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42.xml" ContentType="application/vnd.openxmlformats-officedocument.wordprocessingml.header+xml"/>
  <Override PartName="/word/footer13.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98A70" w14:textId="71934E1E" w:rsidR="00F95015" w:rsidRDefault="008E396A" w:rsidP="00B64A96">
      <w:pPr>
        <w:pStyle w:val="Heading1"/>
      </w:pPr>
      <w:bookmarkStart w:id="0" w:name="_Toc137829512"/>
      <w:bookmarkStart w:id="1" w:name="_Toc1063715398"/>
      <w:r>
        <w:rPr>
          <w:b w:val="0"/>
          <w:noProof/>
        </w:rPr>
        <w:drawing>
          <wp:anchor distT="0" distB="0" distL="114300" distR="114300" simplePos="0" relativeHeight="251658241" behindDoc="0" locked="0" layoutInCell="1" allowOverlap="1" wp14:anchorId="2650AB68" wp14:editId="258BB04B">
            <wp:simplePos x="0" y="0"/>
            <wp:positionH relativeFrom="page">
              <wp:align>right</wp:align>
            </wp:positionH>
            <wp:positionV relativeFrom="paragraph">
              <wp:posOffset>-914400</wp:posOffset>
            </wp:positionV>
            <wp:extent cx="7553314" cy="10677525"/>
            <wp:effectExtent l="0" t="0" r="0" b="0"/>
            <wp:wrapNone/>
            <wp:docPr id="99321952" name="Picture 993219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2195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53314" cy="10677525"/>
                    </a:xfrm>
                    <a:prstGeom prst="rect">
                      <a:avLst/>
                    </a:prstGeom>
                    <a:noFill/>
                    <a:ln>
                      <a:noFill/>
                    </a:ln>
                  </pic:spPr>
                </pic:pic>
              </a:graphicData>
            </a:graphic>
            <wp14:sizeRelH relativeFrom="page">
              <wp14:pctWidth>0</wp14:pctWidth>
            </wp14:sizeRelH>
            <wp14:sizeRelV relativeFrom="page">
              <wp14:pctHeight>0</wp14:pctHeight>
            </wp14:sizeRelV>
          </wp:anchor>
        </w:drawing>
      </w:r>
      <w:r w:rsidR="00887337">
        <w:rPr>
          <w:noProof/>
        </w:rPr>
        <w:t>Australian Universities Accord – Final Report</w:t>
      </w:r>
      <w:r w:rsidR="003420C8">
        <w:br w:type="page"/>
      </w:r>
    </w:p>
    <w:p w14:paraId="1FE2DB13" w14:textId="098BA3BA" w:rsidR="00DD3CAE" w:rsidRDefault="00DD3CAE" w:rsidP="003420C8">
      <w:pPr>
        <w:spacing w:before="7200" w:after="160"/>
      </w:pPr>
      <w:r>
        <w:lastRenderedPageBreak/>
        <w:t xml:space="preserve">The Review acknowledges the Traditional Owners of the lands and waters on which Australians live, work and study, and pays respects to their Elders, past and present. Australia’s First Nations peoples are the custodians of the world’s oldest continuous cultures of learning and the passing down of knowledge. The Review also acknowledges the determination of First Nations leaders over generations to ensure that higher education is accessible to First Nations people, reflects knowledges and law, and supports research led by First Nations people about their community, </w:t>
      </w:r>
      <w:proofErr w:type="gramStart"/>
      <w:r>
        <w:t>land</w:t>
      </w:r>
      <w:proofErr w:type="gramEnd"/>
      <w:r>
        <w:t> and culture.</w:t>
      </w:r>
    </w:p>
    <w:p w14:paraId="5CFB3334" w14:textId="77777777" w:rsidR="00DD3CAE" w:rsidRDefault="00DD3CAE" w:rsidP="00DD3CAE">
      <w:pPr>
        <w:spacing w:before="720"/>
      </w:pPr>
      <w:r>
        <w:rPr>
          <w:noProof/>
        </w:rPr>
        <w:drawing>
          <wp:inline distT="0" distB="0" distL="0" distR="0" wp14:anchorId="01C5373C" wp14:editId="70EED501">
            <wp:extent cx="832437" cy="291353"/>
            <wp:effectExtent l="0" t="0" r="6350" b="0"/>
            <wp:docPr id="7" name="Picture 7"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reative Commons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52387" cy="298336"/>
                    </a:xfrm>
                    <a:prstGeom prst="rect">
                      <a:avLst/>
                    </a:prstGeom>
                  </pic:spPr>
                </pic:pic>
              </a:graphicData>
            </a:graphic>
          </wp:inline>
        </w:drawing>
      </w:r>
    </w:p>
    <w:p w14:paraId="2BE840C9" w14:textId="3615F7C5" w:rsidR="00DD3CAE" w:rsidRDefault="00DD3CAE" w:rsidP="003E5969">
      <w:pPr>
        <w:spacing w:after="120"/>
      </w:pPr>
      <w:r>
        <w:t xml:space="preserve">With the exception of the Commonwealth Coat of Arms, </w:t>
      </w:r>
      <w:r w:rsidR="005B0F36">
        <w:t xml:space="preserve">the Department’s logo, signatures and </w:t>
      </w:r>
      <w:r>
        <w:t>any material protected by a trade mark</w:t>
      </w:r>
      <w:r w:rsidR="00B37D4D">
        <w:t xml:space="preserve"> </w:t>
      </w:r>
      <w:r>
        <w:t xml:space="preserve">and where otherwise noted all material presented in this document is provided under a </w:t>
      </w:r>
      <w:hyperlink r:id="rId13" w:history="1">
        <w:r w:rsidRPr="005746D4">
          <w:rPr>
            <w:rStyle w:val="Hyperlink"/>
          </w:rPr>
          <w:t>Creative Commons Attribution 4.0 International</w:t>
        </w:r>
      </w:hyperlink>
      <w:r w:rsidR="005B0F36">
        <w:t xml:space="preserve"> (https://</w:t>
      </w:r>
      <w:r w:rsidR="00DA25B8" w:rsidRPr="00DA25B8">
        <w:t xml:space="preserve"> creativecommons.org/licenses/by/4.0/)</w:t>
      </w:r>
      <w:r w:rsidR="00DA25B8">
        <w:t xml:space="preserve"> licence.</w:t>
      </w:r>
    </w:p>
    <w:p w14:paraId="080A3245" w14:textId="6B98626C" w:rsidR="00DD3CAE" w:rsidRDefault="00DD3CAE" w:rsidP="003E5969">
      <w:pPr>
        <w:spacing w:after="120"/>
      </w:pPr>
      <w:r>
        <w:t xml:space="preserve">The details of the relevant licence conditions are available on the Creative Commons website (accessible using the links provided) as is the full legal code for the </w:t>
      </w:r>
      <w:hyperlink r:id="rId14" w:history="1">
        <w:r w:rsidRPr="005746D4">
          <w:rPr>
            <w:rStyle w:val="Hyperlink"/>
          </w:rPr>
          <w:t>CC BY 4.0 International</w:t>
        </w:r>
      </w:hyperlink>
      <w:r>
        <w:t xml:space="preserve"> </w:t>
      </w:r>
      <w:r w:rsidR="00054855">
        <w:t>(https://creativecommons.org/licenses/by/4.0/legalcode)</w:t>
      </w:r>
    </w:p>
    <w:p w14:paraId="250940ED" w14:textId="77777777" w:rsidR="003420C8" w:rsidRDefault="00DD3CAE" w:rsidP="00054855">
      <w:pPr>
        <w:spacing w:after="120"/>
        <w:sectPr w:rsidR="003420C8" w:rsidSect="00134415">
          <w:headerReference w:type="default" r:id="rId15"/>
          <w:footerReference w:type="even" r:id="rId16"/>
          <w:footerReference w:type="default" r:id="rId17"/>
          <w:footerReference w:type="first" r:id="rId18"/>
          <w:pgSz w:w="11906" w:h="16838"/>
          <w:pgMar w:top="1440" w:right="1440" w:bottom="1440" w:left="1440" w:header="708" w:footer="708" w:gutter="0"/>
          <w:cols w:space="708"/>
          <w:titlePg/>
          <w:docGrid w:linePitch="360"/>
        </w:sectPr>
      </w:pPr>
      <w:r>
        <w:t>The document must be attributed as the Australian Universities Accord Final Report.</w:t>
      </w:r>
    </w:p>
    <w:p w14:paraId="3C2FBFFD" w14:textId="77311764" w:rsidR="00D55B67" w:rsidRPr="00476CED" w:rsidRDefault="00D55B67" w:rsidP="003E5969">
      <w:pPr>
        <w:pStyle w:val="Heading2-LettertotheMinister"/>
      </w:pPr>
      <w:bookmarkStart w:id="2" w:name="_Toc159500904"/>
      <w:r w:rsidRPr="00476CED">
        <w:lastRenderedPageBreak/>
        <w:t>Letter of Transmittal</w:t>
      </w:r>
      <w:bookmarkEnd w:id="2"/>
    </w:p>
    <w:p w14:paraId="1363608E" w14:textId="73310F95" w:rsidR="00D44102" w:rsidRPr="00C4084C" w:rsidRDefault="00D44102" w:rsidP="00D44102">
      <w:pPr>
        <w:spacing w:after="0"/>
      </w:pPr>
      <w:r w:rsidRPr="00C4084C">
        <w:rPr>
          <w:rFonts w:ascii="Calibri" w:eastAsia="Calibri" w:hAnsi="Calibri" w:cs="Calibri"/>
        </w:rPr>
        <w:t xml:space="preserve">Australian Universities Accord </w:t>
      </w:r>
    </w:p>
    <w:p w14:paraId="667BD225" w14:textId="77777777" w:rsidR="00D44102" w:rsidRPr="00C4084C" w:rsidRDefault="00D44102" w:rsidP="00D44102">
      <w:pPr>
        <w:spacing w:before="480" w:after="0" w:line="240" w:lineRule="auto"/>
      </w:pPr>
      <w:r w:rsidRPr="00C4084C">
        <w:rPr>
          <w:rFonts w:ascii="Calibri" w:eastAsia="Calibri" w:hAnsi="Calibri" w:cs="Calibri"/>
        </w:rPr>
        <w:t>The Hon Jason Clare MP</w:t>
      </w:r>
    </w:p>
    <w:p w14:paraId="3739B5E0" w14:textId="77777777" w:rsidR="00D44102" w:rsidRPr="00C4084C" w:rsidRDefault="00D44102" w:rsidP="00D44102">
      <w:pPr>
        <w:spacing w:after="0" w:line="240" w:lineRule="auto"/>
      </w:pPr>
      <w:r w:rsidRPr="00C4084C">
        <w:rPr>
          <w:rFonts w:ascii="Calibri" w:eastAsia="Calibri" w:hAnsi="Calibri" w:cs="Calibri"/>
        </w:rPr>
        <w:t>Minister for Education</w:t>
      </w:r>
    </w:p>
    <w:p w14:paraId="3C032373" w14:textId="77777777" w:rsidR="00D44102" w:rsidRPr="00C4084C" w:rsidRDefault="00D44102" w:rsidP="00D44102">
      <w:pPr>
        <w:spacing w:after="0" w:line="240" w:lineRule="auto"/>
      </w:pPr>
      <w:r w:rsidRPr="00C4084C">
        <w:rPr>
          <w:rFonts w:ascii="Calibri" w:eastAsia="Calibri" w:hAnsi="Calibri" w:cs="Calibri"/>
        </w:rPr>
        <w:t>Parliament House</w:t>
      </w:r>
    </w:p>
    <w:p w14:paraId="5F73BAC8" w14:textId="77777777" w:rsidR="00D44102" w:rsidRPr="00C4084C" w:rsidRDefault="00D44102" w:rsidP="00D44102">
      <w:pPr>
        <w:spacing w:after="0" w:line="240" w:lineRule="auto"/>
      </w:pPr>
      <w:r w:rsidRPr="00C4084C">
        <w:rPr>
          <w:rFonts w:ascii="Calibri" w:eastAsia="Calibri" w:hAnsi="Calibri" w:cs="Calibri"/>
        </w:rPr>
        <w:t>Canberra ACT 2600</w:t>
      </w:r>
    </w:p>
    <w:p w14:paraId="75D179D9" w14:textId="77777777" w:rsidR="00D44102" w:rsidRPr="00C4084C" w:rsidRDefault="00D44102" w:rsidP="00D44102">
      <w:pPr>
        <w:spacing w:after="0" w:line="240" w:lineRule="auto"/>
      </w:pPr>
    </w:p>
    <w:p w14:paraId="003C68F4" w14:textId="77777777" w:rsidR="00D44102" w:rsidRPr="00C4084C" w:rsidRDefault="00D44102" w:rsidP="00D44102">
      <w:pPr>
        <w:spacing w:line="240" w:lineRule="auto"/>
      </w:pPr>
      <w:r w:rsidRPr="00C4084C">
        <w:rPr>
          <w:rFonts w:ascii="Calibri" w:eastAsia="Calibri" w:hAnsi="Calibri" w:cs="Calibri"/>
        </w:rPr>
        <w:t>Dear Minister</w:t>
      </w:r>
    </w:p>
    <w:p w14:paraId="28931A81" w14:textId="77777777" w:rsidR="00D44102" w:rsidRPr="00C4084C" w:rsidRDefault="00D44102" w:rsidP="00D44102">
      <w:pPr>
        <w:spacing w:line="240" w:lineRule="auto"/>
        <w:rPr>
          <w:rFonts w:ascii="Calibri" w:eastAsia="Calibri" w:hAnsi="Calibri" w:cs="Calibri"/>
          <w:b/>
          <w:bCs/>
        </w:rPr>
      </w:pPr>
      <w:r w:rsidRPr="00C4084C">
        <w:rPr>
          <w:rFonts w:ascii="Calibri" w:eastAsia="Calibri" w:hAnsi="Calibri" w:cs="Calibri"/>
          <w:b/>
          <w:bCs/>
        </w:rPr>
        <w:t>Final Report – Australian Universities Accord</w:t>
      </w:r>
    </w:p>
    <w:p w14:paraId="2E6C93BE" w14:textId="77777777" w:rsidR="00D44102" w:rsidRPr="00C4084C" w:rsidRDefault="00D44102" w:rsidP="00D44102">
      <w:pPr>
        <w:rPr>
          <w:rFonts w:ascii="Calibri" w:eastAsia="Calibri" w:hAnsi="Calibri" w:cs="Calibri"/>
          <w:color w:val="000000" w:themeColor="text1"/>
        </w:rPr>
      </w:pPr>
      <w:r w:rsidRPr="00C4084C">
        <w:rPr>
          <w:rFonts w:ascii="Calibri" w:eastAsia="Calibri" w:hAnsi="Calibri" w:cs="Calibri"/>
        </w:rPr>
        <w:t xml:space="preserve">In November 2022, you commissioned the Australian Universities Accord Panel to </w:t>
      </w:r>
      <w:r w:rsidRPr="00C4084C">
        <w:rPr>
          <w:rFonts w:ascii="Calibri" w:eastAsia="Calibri" w:hAnsi="Calibri" w:cs="Calibri"/>
          <w:color w:val="000000" w:themeColor="text1"/>
        </w:rPr>
        <w:t xml:space="preserve">conduct a review (the Review) to “drive lasting reform in Australia’s higher education system”. </w:t>
      </w:r>
    </w:p>
    <w:p w14:paraId="166CAFD3" w14:textId="77777777" w:rsidR="00D44102" w:rsidRPr="00C4084C" w:rsidRDefault="00D44102" w:rsidP="00D44102">
      <w:pPr>
        <w:rPr>
          <w:rFonts w:ascii="Calibri" w:eastAsia="Calibri" w:hAnsi="Calibri" w:cs="Calibri"/>
        </w:rPr>
      </w:pPr>
      <w:r w:rsidRPr="00C4084C">
        <w:rPr>
          <w:rFonts w:ascii="Calibri" w:eastAsia="Calibri" w:hAnsi="Calibri" w:cs="Calibri"/>
        </w:rPr>
        <w:t>I am pleased to present the Final Report of that Review.</w:t>
      </w:r>
    </w:p>
    <w:p w14:paraId="62A1F649" w14:textId="77777777" w:rsidR="00D44102" w:rsidRPr="00C4084C" w:rsidRDefault="00D44102" w:rsidP="00D44102">
      <w:pPr>
        <w:spacing w:after="200"/>
        <w:rPr>
          <w:rFonts w:ascii="Calibri" w:eastAsia="Calibri" w:hAnsi="Calibri" w:cs="Calibri"/>
        </w:rPr>
      </w:pPr>
      <w:r w:rsidRPr="00C4084C">
        <w:rPr>
          <w:rFonts w:ascii="Calibri" w:eastAsia="Calibri" w:hAnsi="Calibri" w:cs="Calibri"/>
        </w:rPr>
        <w:t>It includes 47 recommendations for change, designed to help deliver higher education and university research – and a broader tertiary education system – that meet the current and future needs of the nation.</w:t>
      </w:r>
    </w:p>
    <w:p w14:paraId="7A72370B" w14:textId="77777777" w:rsidR="00D44102" w:rsidRPr="00C4084C" w:rsidRDefault="00D44102" w:rsidP="00D44102">
      <w:pPr>
        <w:rPr>
          <w:rFonts w:ascii="Calibri" w:eastAsia="Calibri" w:hAnsi="Calibri" w:cs="Calibri"/>
        </w:rPr>
      </w:pPr>
      <w:r w:rsidRPr="00C4084C">
        <w:rPr>
          <w:rFonts w:ascii="Calibri" w:eastAsia="Calibri" w:hAnsi="Calibri" w:cs="Calibri"/>
        </w:rPr>
        <w:t xml:space="preserve">The Review appreciates the considerable assistance it was given. We thank all those who took the time to provide input and feedback to the Review, including individuals; universities; other higher education institutions; VET providers; professional associations; students; unions; colleagues from universities and other tertiary education institutions; colleagues from government departments; and colleagues in business and industry. </w:t>
      </w:r>
    </w:p>
    <w:p w14:paraId="0AB689C0" w14:textId="77777777" w:rsidR="00D44102" w:rsidRDefault="00D44102" w:rsidP="00D44102">
      <w:pPr>
        <w:spacing w:line="240" w:lineRule="auto"/>
        <w:rPr>
          <w:rFonts w:ascii="Calibri" w:eastAsia="Calibri" w:hAnsi="Calibri" w:cs="Calibri"/>
        </w:rPr>
      </w:pPr>
      <w:r w:rsidRPr="00C4084C">
        <w:rPr>
          <w:rFonts w:ascii="Calibri" w:eastAsia="Calibri" w:hAnsi="Calibri" w:cs="Calibri"/>
        </w:rPr>
        <w:t xml:space="preserve">We would also like to thank the Department of Education which provided secretariat support; and advisors to the Review who worked hard to help us understand the capabilities of Australia’s tertiary education system, explore the challenges and opportunities it faces, and set a pathway for the future. </w:t>
      </w:r>
    </w:p>
    <w:p w14:paraId="17CF3BD5" w14:textId="77777777" w:rsidR="00D44102" w:rsidRPr="00C4084C" w:rsidRDefault="00D44102" w:rsidP="00D44102">
      <w:pPr>
        <w:spacing w:line="240" w:lineRule="auto"/>
        <w:rPr>
          <w:rFonts w:ascii="Calibri" w:eastAsia="Calibri" w:hAnsi="Calibri" w:cs="Calibri"/>
        </w:rPr>
      </w:pPr>
    </w:p>
    <w:p w14:paraId="04370CE2" w14:textId="77777777" w:rsidR="00D44102" w:rsidRPr="00C4084C" w:rsidRDefault="00D44102" w:rsidP="00D44102">
      <w:pPr>
        <w:spacing w:after="0" w:line="240" w:lineRule="auto"/>
        <w:rPr>
          <w:rFonts w:ascii="Calibri" w:eastAsia="Calibri" w:hAnsi="Calibri" w:cs="Calibri"/>
        </w:rPr>
      </w:pPr>
      <w:r w:rsidRPr="00C4084C">
        <w:rPr>
          <w:rFonts w:ascii="Calibri" w:eastAsia="Calibri" w:hAnsi="Calibri" w:cs="Calibri"/>
        </w:rPr>
        <w:t>Yours sincerely</w:t>
      </w:r>
    </w:p>
    <w:p w14:paraId="4EF5FDE9" w14:textId="77777777" w:rsidR="00D44102" w:rsidRPr="00C4084C" w:rsidRDefault="00D44102" w:rsidP="00D44102">
      <w:pPr>
        <w:spacing w:after="0" w:line="240" w:lineRule="auto"/>
      </w:pPr>
    </w:p>
    <w:p w14:paraId="4E1ABC3E" w14:textId="7D25510D" w:rsidR="00D44102" w:rsidRDefault="00D44102" w:rsidP="00D44102">
      <w:pPr>
        <w:spacing w:before="240" w:after="0" w:line="240" w:lineRule="auto"/>
        <w:rPr>
          <w:rFonts w:ascii="Arial" w:hAnsi="Arial" w:cs="Arial"/>
          <w:noProof/>
        </w:rPr>
      </w:pPr>
    </w:p>
    <w:p w14:paraId="6589FA15" w14:textId="77777777" w:rsidR="004E590C" w:rsidRPr="00C4084C" w:rsidRDefault="004E590C" w:rsidP="00D44102">
      <w:pPr>
        <w:spacing w:before="240" w:after="0" w:line="240" w:lineRule="auto"/>
        <w:rPr>
          <w:rFonts w:ascii="Calibri" w:eastAsia="Calibri" w:hAnsi="Calibri" w:cs="Calibri"/>
        </w:rPr>
      </w:pPr>
    </w:p>
    <w:p w14:paraId="72B4863D" w14:textId="77777777" w:rsidR="00D44102" w:rsidRPr="00C4084C" w:rsidRDefault="00D44102" w:rsidP="00D44102">
      <w:pPr>
        <w:spacing w:before="240" w:after="0" w:line="240" w:lineRule="auto"/>
        <w:rPr>
          <w:rFonts w:ascii="Calibri" w:eastAsia="Calibri" w:hAnsi="Calibri" w:cs="Calibri"/>
        </w:rPr>
      </w:pPr>
      <w:r w:rsidRPr="00C4084C">
        <w:rPr>
          <w:rFonts w:ascii="Calibri" w:eastAsia="Calibri" w:hAnsi="Calibri" w:cs="Calibri"/>
        </w:rPr>
        <w:t xml:space="preserve">Mary O’Kane </w:t>
      </w:r>
    </w:p>
    <w:p w14:paraId="128ECBB2" w14:textId="77777777" w:rsidR="00D44102" w:rsidRPr="00C4084C" w:rsidRDefault="00D44102" w:rsidP="00D44102">
      <w:pPr>
        <w:spacing w:after="0" w:line="240" w:lineRule="auto"/>
        <w:rPr>
          <w:rFonts w:ascii="Calibri" w:eastAsia="Calibri" w:hAnsi="Calibri" w:cs="Calibri"/>
        </w:rPr>
      </w:pPr>
      <w:r w:rsidRPr="00C4084C">
        <w:rPr>
          <w:rFonts w:ascii="Calibri" w:eastAsia="Calibri" w:hAnsi="Calibri" w:cs="Calibri"/>
        </w:rPr>
        <w:t>Chair</w:t>
      </w:r>
    </w:p>
    <w:p w14:paraId="0B29371F" w14:textId="77777777" w:rsidR="00D44102" w:rsidRPr="00C4084C" w:rsidRDefault="00D44102" w:rsidP="00D44102">
      <w:pPr>
        <w:spacing w:after="0" w:line="240" w:lineRule="auto"/>
        <w:rPr>
          <w:rFonts w:ascii="Calibri" w:eastAsia="Calibri" w:hAnsi="Calibri" w:cs="Calibri"/>
        </w:rPr>
      </w:pPr>
      <w:r w:rsidRPr="00C4084C">
        <w:rPr>
          <w:rFonts w:ascii="Calibri" w:eastAsia="Calibri" w:hAnsi="Calibri" w:cs="Calibri"/>
        </w:rPr>
        <w:t xml:space="preserve">Australian Universities Accord Review Panel </w:t>
      </w:r>
    </w:p>
    <w:p w14:paraId="4734505E" w14:textId="77777777" w:rsidR="00D44102" w:rsidRPr="00C4084C" w:rsidRDefault="00D44102" w:rsidP="00D44102">
      <w:pPr>
        <w:spacing w:line="240" w:lineRule="auto"/>
        <w:rPr>
          <w:rFonts w:ascii="Calibri" w:eastAsia="Calibri" w:hAnsi="Calibri" w:cs="Calibri"/>
        </w:rPr>
      </w:pPr>
      <w:r>
        <w:rPr>
          <w:rFonts w:ascii="Calibri" w:eastAsia="Calibri" w:hAnsi="Calibri" w:cs="Calibri"/>
        </w:rPr>
        <w:t>28</w:t>
      </w:r>
      <w:r w:rsidRPr="00C4084C">
        <w:rPr>
          <w:rFonts w:ascii="Calibri" w:eastAsia="Calibri" w:hAnsi="Calibri" w:cs="Calibri"/>
        </w:rPr>
        <w:t xml:space="preserve"> December 2023</w:t>
      </w:r>
    </w:p>
    <w:p w14:paraId="26B5CCD8" w14:textId="4BD4419F" w:rsidR="006F6B64" w:rsidRPr="00C4084C" w:rsidRDefault="00D44102" w:rsidP="3EDA8D38">
      <w:pPr>
        <w:rPr>
          <w:rFonts w:ascii="Calibri" w:eastAsiaTheme="majorEastAsia" w:hAnsi="Calibri" w:cstheme="majorBidi"/>
          <w:b/>
          <w:bCs/>
          <w:color w:val="002D3E"/>
          <w:sz w:val="72"/>
          <w:szCs w:val="72"/>
        </w:rPr>
      </w:pPr>
      <w:r>
        <w:t>o</w:t>
      </w:r>
      <w:r w:rsidRPr="00C4084C">
        <w:t xml:space="preserve">n behalf of Larissa Behrendt, Barney Glover, Jenny Macklin, Fiona Nash, Ben </w:t>
      </w:r>
      <w:proofErr w:type="gramStart"/>
      <w:r w:rsidRPr="00C4084C">
        <w:t>Rimmer</w:t>
      </w:r>
      <w:proofErr w:type="gramEnd"/>
      <w:r w:rsidRPr="00C4084C">
        <w:t xml:space="preserve"> and Shemara Wikramanayake</w:t>
      </w:r>
      <w:r w:rsidR="006F6B64" w:rsidRPr="00C4084C">
        <w:br w:type="page"/>
      </w:r>
    </w:p>
    <w:p w14:paraId="71585223" w14:textId="3944CA75" w:rsidR="00EA4CB4" w:rsidRPr="00C4084C" w:rsidRDefault="00EA4CB4" w:rsidP="00504771">
      <w:pPr>
        <w:pStyle w:val="TOCHeading"/>
      </w:pPr>
      <w:r w:rsidRPr="00C4084C">
        <w:lastRenderedPageBreak/>
        <w:t>Contents</w:t>
      </w:r>
    </w:p>
    <w:p w14:paraId="21CF0A5D" w14:textId="2DCE3CF6" w:rsidR="00682FC0" w:rsidRDefault="00C00059">
      <w:pPr>
        <w:pStyle w:val="TOC1"/>
        <w:rPr>
          <w:rFonts w:eastAsiaTheme="minorEastAsia" w:cstheme="minorBidi"/>
          <w:b w:val="0"/>
          <w:bCs w:val="0"/>
          <w:i w:val="0"/>
          <w:iCs w:val="0"/>
          <w:noProof/>
          <w:kern w:val="2"/>
          <w:sz w:val="22"/>
          <w:szCs w:val="22"/>
          <w:lang w:eastAsia="en-AU"/>
          <w14:ligatures w14:val="standardContextual"/>
        </w:rPr>
      </w:pPr>
      <w:r>
        <w:fldChar w:fldCharType="begin"/>
      </w:r>
      <w:r>
        <w:instrText xml:space="preserve"> TOC \h \z \t "Heading 2,1,Heading 3,2,Heading 4,3,Heading 2 - Letter to the Minister,1,Non-numbered Heading 2,2" </w:instrText>
      </w:r>
      <w:r>
        <w:fldChar w:fldCharType="separate"/>
      </w:r>
      <w:hyperlink w:anchor="_Toc159500904" w:history="1">
        <w:r w:rsidR="00682FC0" w:rsidRPr="0060053D">
          <w:rPr>
            <w:rStyle w:val="Hyperlink"/>
            <w:noProof/>
          </w:rPr>
          <w:t>Letter of Transmittal</w:t>
        </w:r>
        <w:r w:rsidR="00682FC0">
          <w:rPr>
            <w:noProof/>
            <w:webHidden/>
          </w:rPr>
          <w:tab/>
        </w:r>
        <w:r w:rsidR="00682FC0">
          <w:rPr>
            <w:noProof/>
            <w:webHidden/>
          </w:rPr>
          <w:fldChar w:fldCharType="begin"/>
        </w:r>
        <w:r w:rsidR="00682FC0">
          <w:rPr>
            <w:noProof/>
            <w:webHidden/>
          </w:rPr>
          <w:instrText xml:space="preserve"> PAGEREF _Toc159500904 \h </w:instrText>
        </w:r>
        <w:r w:rsidR="00682FC0">
          <w:rPr>
            <w:noProof/>
            <w:webHidden/>
          </w:rPr>
        </w:r>
        <w:r w:rsidR="00682FC0">
          <w:rPr>
            <w:noProof/>
            <w:webHidden/>
          </w:rPr>
          <w:fldChar w:fldCharType="separate"/>
        </w:r>
        <w:r w:rsidR="00682FC0">
          <w:rPr>
            <w:noProof/>
            <w:webHidden/>
          </w:rPr>
          <w:t>i</w:t>
        </w:r>
        <w:r w:rsidR="00682FC0">
          <w:rPr>
            <w:noProof/>
            <w:webHidden/>
          </w:rPr>
          <w:fldChar w:fldCharType="end"/>
        </w:r>
      </w:hyperlink>
    </w:p>
    <w:p w14:paraId="1ECD6555" w14:textId="7EBF01B8" w:rsidR="00682FC0" w:rsidRDefault="00000000">
      <w:pPr>
        <w:pStyle w:val="TOC2"/>
        <w:rPr>
          <w:rFonts w:eastAsiaTheme="minorEastAsia" w:cstheme="minorBidi"/>
          <w:b w:val="0"/>
          <w:bCs w:val="0"/>
          <w:noProof/>
          <w:kern w:val="2"/>
          <w:lang w:eastAsia="en-AU"/>
          <w14:ligatures w14:val="standardContextual"/>
        </w:rPr>
      </w:pPr>
      <w:hyperlink w:anchor="_Toc159500905" w:history="1">
        <w:r w:rsidR="00682FC0" w:rsidRPr="0060053D">
          <w:rPr>
            <w:rStyle w:val="Hyperlink"/>
            <w:noProof/>
          </w:rPr>
          <w:t>Executive summary</w:t>
        </w:r>
        <w:r w:rsidR="00682FC0">
          <w:rPr>
            <w:noProof/>
            <w:webHidden/>
          </w:rPr>
          <w:tab/>
        </w:r>
        <w:r w:rsidR="00682FC0">
          <w:rPr>
            <w:noProof/>
            <w:webHidden/>
          </w:rPr>
          <w:fldChar w:fldCharType="begin"/>
        </w:r>
        <w:r w:rsidR="00682FC0">
          <w:rPr>
            <w:noProof/>
            <w:webHidden/>
          </w:rPr>
          <w:instrText xml:space="preserve"> PAGEREF _Toc159500905 \h </w:instrText>
        </w:r>
        <w:r w:rsidR="00682FC0">
          <w:rPr>
            <w:noProof/>
            <w:webHidden/>
          </w:rPr>
        </w:r>
        <w:r w:rsidR="00682FC0">
          <w:rPr>
            <w:noProof/>
            <w:webHidden/>
          </w:rPr>
          <w:fldChar w:fldCharType="separate"/>
        </w:r>
        <w:r w:rsidR="00682FC0">
          <w:rPr>
            <w:noProof/>
            <w:webHidden/>
          </w:rPr>
          <w:t>1</w:t>
        </w:r>
        <w:r w:rsidR="00682FC0">
          <w:rPr>
            <w:noProof/>
            <w:webHidden/>
          </w:rPr>
          <w:fldChar w:fldCharType="end"/>
        </w:r>
      </w:hyperlink>
    </w:p>
    <w:p w14:paraId="48B535A9" w14:textId="1146717E" w:rsidR="00682FC0" w:rsidRDefault="00000000">
      <w:pPr>
        <w:pStyle w:val="TOC2"/>
        <w:rPr>
          <w:rFonts w:eastAsiaTheme="minorEastAsia" w:cstheme="minorBidi"/>
          <w:b w:val="0"/>
          <w:bCs w:val="0"/>
          <w:noProof/>
          <w:kern w:val="2"/>
          <w:lang w:eastAsia="en-AU"/>
          <w14:ligatures w14:val="standardContextual"/>
        </w:rPr>
      </w:pPr>
      <w:hyperlink w:anchor="_Toc159500906" w:history="1">
        <w:r w:rsidR="00682FC0" w:rsidRPr="0060053D">
          <w:rPr>
            <w:rStyle w:val="Hyperlink"/>
            <w:noProof/>
          </w:rPr>
          <w:t>Findings</w:t>
        </w:r>
        <w:r w:rsidR="00682FC0">
          <w:rPr>
            <w:noProof/>
            <w:webHidden/>
          </w:rPr>
          <w:tab/>
        </w:r>
        <w:r w:rsidR="00682FC0">
          <w:rPr>
            <w:noProof/>
            <w:webHidden/>
          </w:rPr>
          <w:fldChar w:fldCharType="begin"/>
        </w:r>
        <w:r w:rsidR="00682FC0">
          <w:rPr>
            <w:noProof/>
            <w:webHidden/>
          </w:rPr>
          <w:instrText xml:space="preserve"> PAGEREF _Toc159500906 \h </w:instrText>
        </w:r>
        <w:r w:rsidR="00682FC0">
          <w:rPr>
            <w:noProof/>
            <w:webHidden/>
          </w:rPr>
        </w:r>
        <w:r w:rsidR="00682FC0">
          <w:rPr>
            <w:noProof/>
            <w:webHidden/>
          </w:rPr>
          <w:fldChar w:fldCharType="separate"/>
        </w:r>
        <w:r w:rsidR="00682FC0">
          <w:rPr>
            <w:noProof/>
            <w:webHidden/>
          </w:rPr>
          <w:t>1</w:t>
        </w:r>
        <w:r w:rsidR="00682FC0">
          <w:rPr>
            <w:noProof/>
            <w:webHidden/>
          </w:rPr>
          <w:fldChar w:fldCharType="end"/>
        </w:r>
      </w:hyperlink>
    </w:p>
    <w:p w14:paraId="6AD86EAE" w14:textId="47F5815E" w:rsidR="00682FC0" w:rsidRDefault="00000000">
      <w:pPr>
        <w:pStyle w:val="TOC2"/>
        <w:rPr>
          <w:rFonts w:eastAsiaTheme="minorEastAsia" w:cstheme="minorBidi"/>
          <w:b w:val="0"/>
          <w:bCs w:val="0"/>
          <w:noProof/>
          <w:kern w:val="2"/>
          <w:lang w:eastAsia="en-AU"/>
          <w14:ligatures w14:val="standardContextual"/>
        </w:rPr>
      </w:pPr>
      <w:hyperlink w:anchor="_Toc159500907" w:history="1">
        <w:r w:rsidR="00682FC0" w:rsidRPr="0060053D">
          <w:rPr>
            <w:rStyle w:val="Hyperlink"/>
            <w:noProof/>
          </w:rPr>
          <w:t>Recommendations</w:t>
        </w:r>
        <w:r w:rsidR="00682FC0">
          <w:rPr>
            <w:noProof/>
            <w:webHidden/>
          </w:rPr>
          <w:tab/>
        </w:r>
        <w:r w:rsidR="00682FC0">
          <w:rPr>
            <w:noProof/>
            <w:webHidden/>
          </w:rPr>
          <w:fldChar w:fldCharType="begin"/>
        </w:r>
        <w:r w:rsidR="00682FC0">
          <w:rPr>
            <w:noProof/>
            <w:webHidden/>
          </w:rPr>
          <w:instrText xml:space="preserve"> PAGEREF _Toc159500907 \h </w:instrText>
        </w:r>
        <w:r w:rsidR="00682FC0">
          <w:rPr>
            <w:noProof/>
            <w:webHidden/>
          </w:rPr>
        </w:r>
        <w:r w:rsidR="00682FC0">
          <w:rPr>
            <w:noProof/>
            <w:webHidden/>
          </w:rPr>
          <w:fldChar w:fldCharType="separate"/>
        </w:r>
        <w:r w:rsidR="00682FC0">
          <w:rPr>
            <w:noProof/>
            <w:webHidden/>
          </w:rPr>
          <w:t>1</w:t>
        </w:r>
        <w:r w:rsidR="00682FC0">
          <w:rPr>
            <w:noProof/>
            <w:webHidden/>
          </w:rPr>
          <w:fldChar w:fldCharType="end"/>
        </w:r>
      </w:hyperlink>
    </w:p>
    <w:p w14:paraId="0C1B04B2" w14:textId="44E32CA3" w:rsidR="00682FC0" w:rsidRDefault="00000000">
      <w:pPr>
        <w:pStyle w:val="TOC1"/>
        <w:rPr>
          <w:rFonts w:eastAsiaTheme="minorEastAsia" w:cstheme="minorBidi"/>
          <w:b w:val="0"/>
          <w:bCs w:val="0"/>
          <w:i w:val="0"/>
          <w:iCs w:val="0"/>
          <w:noProof/>
          <w:kern w:val="2"/>
          <w:sz w:val="22"/>
          <w:szCs w:val="22"/>
          <w:lang w:eastAsia="en-AU"/>
          <w14:ligatures w14:val="standardContextual"/>
        </w:rPr>
      </w:pPr>
      <w:hyperlink w:anchor="_Toc159500908" w:history="1">
        <w:r w:rsidR="00682FC0" w:rsidRPr="0060053D">
          <w:rPr>
            <w:rStyle w:val="Hyperlink"/>
            <w:rFonts w:ascii="Calibri" w:hAnsi="Calibri"/>
            <w:noProof/>
          </w:rPr>
          <w:t>Chapter 1 –</w:t>
        </w:r>
        <w:r w:rsidR="00682FC0" w:rsidRPr="0060053D">
          <w:rPr>
            <w:rStyle w:val="Hyperlink"/>
            <w:noProof/>
          </w:rPr>
          <w:t xml:space="preserve"> Introduction and Context</w:t>
        </w:r>
        <w:r w:rsidR="00682FC0">
          <w:rPr>
            <w:noProof/>
            <w:webHidden/>
          </w:rPr>
          <w:tab/>
        </w:r>
        <w:r w:rsidR="00682FC0">
          <w:rPr>
            <w:noProof/>
            <w:webHidden/>
          </w:rPr>
          <w:fldChar w:fldCharType="begin"/>
        </w:r>
        <w:r w:rsidR="00682FC0">
          <w:rPr>
            <w:noProof/>
            <w:webHidden/>
          </w:rPr>
          <w:instrText xml:space="preserve"> PAGEREF _Toc159500908 \h </w:instrText>
        </w:r>
        <w:r w:rsidR="00682FC0">
          <w:rPr>
            <w:noProof/>
            <w:webHidden/>
          </w:rPr>
        </w:r>
        <w:r w:rsidR="00682FC0">
          <w:rPr>
            <w:noProof/>
            <w:webHidden/>
          </w:rPr>
          <w:fldChar w:fldCharType="separate"/>
        </w:r>
        <w:r w:rsidR="00682FC0">
          <w:rPr>
            <w:noProof/>
            <w:webHidden/>
          </w:rPr>
          <w:t>20</w:t>
        </w:r>
        <w:r w:rsidR="00682FC0">
          <w:rPr>
            <w:noProof/>
            <w:webHidden/>
          </w:rPr>
          <w:fldChar w:fldCharType="end"/>
        </w:r>
      </w:hyperlink>
    </w:p>
    <w:p w14:paraId="038FE155" w14:textId="020FDA56" w:rsidR="00682FC0" w:rsidRDefault="00000000">
      <w:pPr>
        <w:pStyle w:val="TOC2"/>
        <w:rPr>
          <w:rFonts w:eastAsiaTheme="minorEastAsia" w:cstheme="minorBidi"/>
          <w:b w:val="0"/>
          <w:bCs w:val="0"/>
          <w:noProof/>
          <w:kern w:val="2"/>
          <w:lang w:eastAsia="en-AU"/>
          <w14:ligatures w14:val="standardContextual"/>
        </w:rPr>
      </w:pPr>
      <w:hyperlink w:anchor="_Toc159500909" w:history="1">
        <w:r w:rsidR="00682FC0" w:rsidRPr="0060053D">
          <w:rPr>
            <w:rStyle w:val="Hyperlink"/>
            <w:noProof/>
          </w:rPr>
          <w:t>1.1 Delivering an Australian Universities Accord Review</w:t>
        </w:r>
        <w:r w:rsidR="00682FC0">
          <w:rPr>
            <w:noProof/>
            <w:webHidden/>
          </w:rPr>
          <w:tab/>
        </w:r>
        <w:r w:rsidR="00682FC0">
          <w:rPr>
            <w:noProof/>
            <w:webHidden/>
          </w:rPr>
          <w:fldChar w:fldCharType="begin"/>
        </w:r>
        <w:r w:rsidR="00682FC0">
          <w:rPr>
            <w:noProof/>
            <w:webHidden/>
          </w:rPr>
          <w:instrText xml:space="preserve"> PAGEREF _Toc159500909 \h </w:instrText>
        </w:r>
        <w:r w:rsidR="00682FC0">
          <w:rPr>
            <w:noProof/>
            <w:webHidden/>
          </w:rPr>
        </w:r>
        <w:r w:rsidR="00682FC0">
          <w:rPr>
            <w:noProof/>
            <w:webHidden/>
          </w:rPr>
          <w:fldChar w:fldCharType="separate"/>
        </w:r>
        <w:r w:rsidR="00682FC0">
          <w:rPr>
            <w:noProof/>
            <w:webHidden/>
          </w:rPr>
          <w:t>20</w:t>
        </w:r>
        <w:r w:rsidR="00682FC0">
          <w:rPr>
            <w:noProof/>
            <w:webHidden/>
          </w:rPr>
          <w:fldChar w:fldCharType="end"/>
        </w:r>
      </w:hyperlink>
    </w:p>
    <w:p w14:paraId="41C423FD" w14:textId="3E8756A6" w:rsidR="00682FC0" w:rsidRDefault="00000000">
      <w:pPr>
        <w:pStyle w:val="TOC3"/>
        <w:rPr>
          <w:rFonts w:eastAsiaTheme="minorEastAsia" w:cstheme="minorBidi"/>
          <w:noProof/>
          <w:kern w:val="2"/>
          <w:sz w:val="22"/>
          <w:szCs w:val="22"/>
          <w:lang w:eastAsia="en-AU"/>
          <w14:ligatures w14:val="standardContextual"/>
        </w:rPr>
      </w:pPr>
      <w:hyperlink w:anchor="_Toc159500910" w:history="1">
        <w:r w:rsidR="00682FC0" w:rsidRPr="0060053D">
          <w:rPr>
            <w:rStyle w:val="Hyperlink"/>
            <w:rFonts w:ascii="Calibri Light" w:hAnsi="Calibri Light"/>
            <w:bCs/>
            <w:noProof/>
          </w:rPr>
          <w:t>1.1.1</w:t>
        </w:r>
        <w:r w:rsidR="00682FC0" w:rsidRPr="0060053D">
          <w:rPr>
            <w:rStyle w:val="Hyperlink"/>
            <w:noProof/>
          </w:rPr>
          <w:t xml:space="preserve"> Process of this Review</w:t>
        </w:r>
        <w:r w:rsidR="00682FC0">
          <w:rPr>
            <w:noProof/>
            <w:webHidden/>
          </w:rPr>
          <w:tab/>
        </w:r>
        <w:r w:rsidR="00682FC0">
          <w:rPr>
            <w:noProof/>
            <w:webHidden/>
          </w:rPr>
          <w:fldChar w:fldCharType="begin"/>
        </w:r>
        <w:r w:rsidR="00682FC0">
          <w:rPr>
            <w:noProof/>
            <w:webHidden/>
          </w:rPr>
          <w:instrText xml:space="preserve"> PAGEREF _Toc159500910 \h </w:instrText>
        </w:r>
        <w:r w:rsidR="00682FC0">
          <w:rPr>
            <w:noProof/>
            <w:webHidden/>
          </w:rPr>
        </w:r>
        <w:r w:rsidR="00682FC0">
          <w:rPr>
            <w:noProof/>
            <w:webHidden/>
          </w:rPr>
          <w:fldChar w:fldCharType="separate"/>
        </w:r>
        <w:r w:rsidR="00682FC0">
          <w:rPr>
            <w:noProof/>
            <w:webHidden/>
          </w:rPr>
          <w:t>20</w:t>
        </w:r>
        <w:r w:rsidR="00682FC0">
          <w:rPr>
            <w:noProof/>
            <w:webHidden/>
          </w:rPr>
          <w:fldChar w:fldCharType="end"/>
        </w:r>
      </w:hyperlink>
    </w:p>
    <w:p w14:paraId="1CA57DE6" w14:textId="75BA0C95" w:rsidR="00682FC0" w:rsidRDefault="00000000">
      <w:pPr>
        <w:pStyle w:val="TOC3"/>
        <w:rPr>
          <w:rFonts w:eastAsiaTheme="minorEastAsia" w:cstheme="minorBidi"/>
          <w:noProof/>
          <w:kern w:val="2"/>
          <w:sz w:val="22"/>
          <w:szCs w:val="22"/>
          <w:lang w:eastAsia="en-AU"/>
          <w14:ligatures w14:val="standardContextual"/>
        </w:rPr>
      </w:pPr>
      <w:hyperlink w:anchor="_Toc159500911" w:history="1">
        <w:r w:rsidR="00682FC0" w:rsidRPr="0060053D">
          <w:rPr>
            <w:rStyle w:val="Hyperlink"/>
            <w:rFonts w:ascii="Calibri Light" w:hAnsi="Calibri Light"/>
            <w:bCs/>
            <w:noProof/>
          </w:rPr>
          <w:t>1.1.2</w:t>
        </w:r>
        <w:r w:rsidR="00682FC0" w:rsidRPr="0060053D">
          <w:rPr>
            <w:rStyle w:val="Hyperlink"/>
            <w:noProof/>
          </w:rPr>
          <w:t xml:space="preserve"> Approach of this Review</w:t>
        </w:r>
        <w:r w:rsidR="00682FC0">
          <w:rPr>
            <w:noProof/>
            <w:webHidden/>
          </w:rPr>
          <w:tab/>
        </w:r>
        <w:r w:rsidR="00682FC0">
          <w:rPr>
            <w:noProof/>
            <w:webHidden/>
          </w:rPr>
          <w:fldChar w:fldCharType="begin"/>
        </w:r>
        <w:r w:rsidR="00682FC0">
          <w:rPr>
            <w:noProof/>
            <w:webHidden/>
          </w:rPr>
          <w:instrText xml:space="preserve"> PAGEREF _Toc159500911 \h </w:instrText>
        </w:r>
        <w:r w:rsidR="00682FC0">
          <w:rPr>
            <w:noProof/>
            <w:webHidden/>
          </w:rPr>
        </w:r>
        <w:r w:rsidR="00682FC0">
          <w:rPr>
            <w:noProof/>
            <w:webHidden/>
          </w:rPr>
          <w:fldChar w:fldCharType="separate"/>
        </w:r>
        <w:r w:rsidR="00682FC0">
          <w:rPr>
            <w:noProof/>
            <w:webHidden/>
          </w:rPr>
          <w:t>21</w:t>
        </w:r>
        <w:r w:rsidR="00682FC0">
          <w:rPr>
            <w:noProof/>
            <w:webHidden/>
          </w:rPr>
          <w:fldChar w:fldCharType="end"/>
        </w:r>
      </w:hyperlink>
    </w:p>
    <w:p w14:paraId="13DBA3FE" w14:textId="502C9BE0" w:rsidR="00682FC0" w:rsidRDefault="00000000">
      <w:pPr>
        <w:pStyle w:val="TOC3"/>
        <w:rPr>
          <w:rFonts w:eastAsiaTheme="minorEastAsia" w:cstheme="minorBidi"/>
          <w:noProof/>
          <w:kern w:val="2"/>
          <w:sz w:val="22"/>
          <w:szCs w:val="22"/>
          <w:lang w:eastAsia="en-AU"/>
          <w14:ligatures w14:val="standardContextual"/>
        </w:rPr>
      </w:pPr>
      <w:hyperlink w:anchor="_Toc159500912" w:history="1">
        <w:r w:rsidR="00682FC0" w:rsidRPr="0060053D">
          <w:rPr>
            <w:rStyle w:val="Hyperlink"/>
            <w:rFonts w:ascii="Calibri Light" w:hAnsi="Calibri Light"/>
            <w:bCs/>
            <w:noProof/>
          </w:rPr>
          <w:t>1.1.3</w:t>
        </w:r>
        <w:r w:rsidR="00682FC0" w:rsidRPr="0060053D">
          <w:rPr>
            <w:rStyle w:val="Hyperlink"/>
            <w:noProof/>
          </w:rPr>
          <w:t xml:space="preserve"> The national education agenda</w:t>
        </w:r>
        <w:r w:rsidR="00682FC0">
          <w:rPr>
            <w:noProof/>
            <w:webHidden/>
          </w:rPr>
          <w:tab/>
        </w:r>
        <w:r w:rsidR="00682FC0">
          <w:rPr>
            <w:noProof/>
            <w:webHidden/>
          </w:rPr>
          <w:fldChar w:fldCharType="begin"/>
        </w:r>
        <w:r w:rsidR="00682FC0">
          <w:rPr>
            <w:noProof/>
            <w:webHidden/>
          </w:rPr>
          <w:instrText xml:space="preserve"> PAGEREF _Toc159500912 \h </w:instrText>
        </w:r>
        <w:r w:rsidR="00682FC0">
          <w:rPr>
            <w:noProof/>
            <w:webHidden/>
          </w:rPr>
        </w:r>
        <w:r w:rsidR="00682FC0">
          <w:rPr>
            <w:noProof/>
            <w:webHidden/>
          </w:rPr>
          <w:fldChar w:fldCharType="separate"/>
        </w:r>
        <w:r w:rsidR="00682FC0">
          <w:rPr>
            <w:noProof/>
            <w:webHidden/>
          </w:rPr>
          <w:t>23</w:t>
        </w:r>
        <w:r w:rsidR="00682FC0">
          <w:rPr>
            <w:noProof/>
            <w:webHidden/>
          </w:rPr>
          <w:fldChar w:fldCharType="end"/>
        </w:r>
      </w:hyperlink>
    </w:p>
    <w:p w14:paraId="6C2F0D08" w14:textId="013A824F" w:rsidR="00682FC0" w:rsidRDefault="00000000">
      <w:pPr>
        <w:pStyle w:val="TOC2"/>
        <w:rPr>
          <w:rFonts w:eastAsiaTheme="minorEastAsia" w:cstheme="minorBidi"/>
          <w:b w:val="0"/>
          <w:bCs w:val="0"/>
          <w:noProof/>
          <w:kern w:val="2"/>
          <w:lang w:eastAsia="en-AU"/>
          <w14:ligatures w14:val="standardContextual"/>
        </w:rPr>
      </w:pPr>
      <w:hyperlink w:anchor="_Toc159500913" w:history="1">
        <w:r w:rsidR="00682FC0" w:rsidRPr="0060053D">
          <w:rPr>
            <w:rStyle w:val="Hyperlink"/>
            <w:noProof/>
          </w:rPr>
          <w:t>1.2 Context</w:t>
        </w:r>
        <w:r w:rsidR="00682FC0">
          <w:rPr>
            <w:noProof/>
            <w:webHidden/>
          </w:rPr>
          <w:tab/>
        </w:r>
        <w:r w:rsidR="00682FC0">
          <w:rPr>
            <w:noProof/>
            <w:webHidden/>
          </w:rPr>
          <w:fldChar w:fldCharType="begin"/>
        </w:r>
        <w:r w:rsidR="00682FC0">
          <w:rPr>
            <w:noProof/>
            <w:webHidden/>
          </w:rPr>
          <w:instrText xml:space="preserve"> PAGEREF _Toc159500913 \h </w:instrText>
        </w:r>
        <w:r w:rsidR="00682FC0">
          <w:rPr>
            <w:noProof/>
            <w:webHidden/>
          </w:rPr>
        </w:r>
        <w:r w:rsidR="00682FC0">
          <w:rPr>
            <w:noProof/>
            <w:webHidden/>
          </w:rPr>
          <w:fldChar w:fldCharType="separate"/>
        </w:r>
        <w:r w:rsidR="00682FC0">
          <w:rPr>
            <w:noProof/>
            <w:webHidden/>
          </w:rPr>
          <w:t>27</w:t>
        </w:r>
        <w:r w:rsidR="00682FC0">
          <w:rPr>
            <w:noProof/>
            <w:webHidden/>
          </w:rPr>
          <w:fldChar w:fldCharType="end"/>
        </w:r>
      </w:hyperlink>
    </w:p>
    <w:p w14:paraId="6413C9DD" w14:textId="7A923DE0" w:rsidR="00682FC0" w:rsidRDefault="00000000">
      <w:pPr>
        <w:pStyle w:val="TOC3"/>
        <w:rPr>
          <w:rFonts w:eastAsiaTheme="minorEastAsia" w:cstheme="minorBidi"/>
          <w:noProof/>
          <w:kern w:val="2"/>
          <w:sz w:val="22"/>
          <w:szCs w:val="22"/>
          <w:lang w:eastAsia="en-AU"/>
          <w14:ligatures w14:val="standardContextual"/>
        </w:rPr>
      </w:pPr>
      <w:hyperlink w:anchor="_Toc159500914" w:history="1">
        <w:r w:rsidR="00682FC0" w:rsidRPr="0060053D">
          <w:rPr>
            <w:rStyle w:val="Hyperlink"/>
            <w:rFonts w:ascii="Calibri Light" w:hAnsi="Calibri Light"/>
            <w:bCs/>
            <w:noProof/>
          </w:rPr>
          <w:t>1.2.1</w:t>
        </w:r>
        <w:r w:rsidR="00682FC0" w:rsidRPr="0060053D">
          <w:rPr>
            <w:rStyle w:val="Hyperlink"/>
            <w:noProof/>
          </w:rPr>
          <w:t xml:space="preserve"> Building on past reviews and reform</w:t>
        </w:r>
        <w:r w:rsidR="00682FC0">
          <w:rPr>
            <w:noProof/>
            <w:webHidden/>
          </w:rPr>
          <w:tab/>
        </w:r>
        <w:r w:rsidR="00682FC0">
          <w:rPr>
            <w:noProof/>
            <w:webHidden/>
          </w:rPr>
          <w:fldChar w:fldCharType="begin"/>
        </w:r>
        <w:r w:rsidR="00682FC0">
          <w:rPr>
            <w:noProof/>
            <w:webHidden/>
          </w:rPr>
          <w:instrText xml:space="preserve"> PAGEREF _Toc159500914 \h </w:instrText>
        </w:r>
        <w:r w:rsidR="00682FC0">
          <w:rPr>
            <w:noProof/>
            <w:webHidden/>
          </w:rPr>
        </w:r>
        <w:r w:rsidR="00682FC0">
          <w:rPr>
            <w:noProof/>
            <w:webHidden/>
          </w:rPr>
          <w:fldChar w:fldCharType="separate"/>
        </w:r>
        <w:r w:rsidR="00682FC0">
          <w:rPr>
            <w:noProof/>
            <w:webHidden/>
          </w:rPr>
          <w:t>27</w:t>
        </w:r>
        <w:r w:rsidR="00682FC0">
          <w:rPr>
            <w:noProof/>
            <w:webHidden/>
          </w:rPr>
          <w:fldChar w:fldCharType="end"/>
        </w:r>
      </w:hyperlink>
    </w:p>
    <w:p w14:paraId="66341B18" w14:textId="11D7E17C" w:rsidR="00682FC0" w:rsidRDefault="00000000">
      <w:pPr>
        <w:pStyle w:val="TOC3"/>
        <w:rPr>
          <w:rFonts w:eastAsiaTheme="minorEastAsia" w:cstheme="minorBidi"/>
          <w:noProof/>
          <w:kern w:val="2"/>
          <w:sz w:val="22"/>
          <w:szCs w:val="22"/>
          <w:lang w:eastAsia="en-AU"/>
          <w14:ligatures w14:val="standardContextual"/>
        </w:rPr>
      </w:pPr>
      <w:hyperlink w:anchor="_Toc159500915" w:history="1">
        <w:r w:rsidR="00682FC0" w:rsidRPr="0060053D">
          <w:rPr>
            <w:rStyle w:val="Hyperlink"/>
            <w:rFonts w:ascii="Calibri Light" w:hAnsi="Calibri Light"/>
            <w:bCs/>
            <w:noProof/>
          </w:rPr>
          <w:t>1.2.2</w:t>
        </w:r>
        <w:r w:rsidR="00682FC0" w:rsidRPr="0060053D">
          <w:rPr>
            <w:rStyle w:val="Hyperlink"/>
            <w:noProof/>
          </w:rPr>
          <w:t xml:space="preserve"> An overview of the current higher education system</w:t>
        </w:r>
        <w:r w:rsidR="00682FC0">
          <w:rPr>
            <w:noProof/>
            <w:webHidden/>
          </w:rPr>
          <w:tab/>
        </w:r>
        <w:r w:rsidR="00682FC0">
          <w:rPr>
            <w:noProof/>
            <w:webHidden/>
          </w:rPr>
          <w:fldChar w:fldCharType="begin"/>
        </w:r>
        <w:r w:rsidR="00682FC0">
          <w:rPr>
            <w:noProof/>
            <w:webHidden/>
          </w:rPr>
          <w:instrText xml:space="preserve"> PAGEREF _Toc159500915 \h </w:instrText>
        </w:r>
        <w:r w:rsidR="00682FC0">
          <w:rPr>
            <w:noProof/>
            <w:webHidden/>
          </w:rPr>
        </w:r>
        <w:r w:rsidR="00682FC0">
          <w:rPr>
            <w:noProof/>
            <w:webHidden/>
          </w:rPr>
          <w:fldChar w:fldCharType="separate"/>
        </w:r>
        <w:r w:rsidR="00682FC0">
          <w:rPr>
            <w:noProof/>
            <w:webHidden/>
          </w:rPr>
          <w:t>32</w:t>
        </w:r>
        <w:r w:rsidR="00682FC0">
          <w:rPr>
            <w:noProof/>
            <w:webHidden/>
          </w:rPr>
          <w:fldChar w:fldCharType="end"/>
        </w:r>
      </w:hyperlink>
    </w:p>
    <w:p w14:paraId="78005290" w14:textId="5593A971" w:rsidR="00682FC0" w:rsidRDefault="00000000">
      <w:pPr>
        <w:pStyle w:val="TOC3"/>
        <w:rPr>
          <w:rFonts w:eastAsiaTheme="minorEastAsia" w:cstheme="minorBidi"/>
          <w:noProof/>
          <w:kern w:val="2"/>
          <w:sz w:val="22"/>
          <w:szCs w:val="22"/>
          <w:lang w:eastAsia="en-AU"/>
          <w14:ligatures w14:val="standardContextual"/>
        </w:rPr>
      </w:pPr>
      <w:hyperlink w:anchor="_Toc159500916" w:history="1">
        <w:r w:rsidR="00682FC0" w:rsidRPr="0060053D">
          <w:rPr>
            <w:rStyle w:val="Hyperlink"/>
            <w:rFonts w:ascii="Calibri Light" w:hAnsi="Calibri Light"/>
            <w:bCs/>
            <w:noProof/>
          </w:rPr>
          <w:t>1.2.3</w:t>
        </w:r>
        <w:r w:rsidR="00682FC0" w:rsidRPr="0060053D">
          <w:rPr>
            <w:rStyle w:val="Hyperlink"/>
            <w:noProof/>
          </w:rPr>
          <w:t xml:space="preserve"> Future challenges and opportunities</w:t>
        </w:r>
        <w:r w:rsidR="00682FC0">
          <w:rPr>
            <w:noProof/>
            <w:webHidden/>
          </w:rPr>
          <w:tab/>
        </w:r>
        <w:r w:rsidR="00682FC0">
          <w:rPr>
            <w:noProof/>
            <w:webHidden/>
          </w:rPr>
          <w:fldChar w:fldCharType="begin"/>
        </w:r>
        <w:r w:rsidR="00682FC0">
          <w:rPr>
            <w:noProof/>
            <w:webHidden/>
          </w:rPr>
          <w:instrText xml:space="preserve"> PAGEREF _Toc159500916 \h </w:instrText>
        </w:r>
        <w:r w:rsidR="00682FC0">
          <w:rPr>
            <w:noProof/>
            <w:webHidden/>
          </w:rPr>
        </w:r>
        <w:r w:rsidR="00682FC0">
          <w:rPr>
            <w:noProof/>
            <w:webHidden/>
          </w:rPr>
          <w:fldChar w:fldCharType="separate"/>
        </w:r>
        <w:r w:rsidR="00682FC0">
          <w:rPr>
            <w:noProof/>
            <w:webHidden/>
          </w:rPr>
          <w:t>36</w:t>
        </w:r>
        <w:r w:rsidR="00682FC0">
          <w:rPr>
            <w:noProof/>
            <w:webHidden/>
          </w:rPr>
          <w:fldChar w:fldCharType="end"/>
        </w:r>
      </w:hyperlink>
    </w:p>
    <w:p w14:paraId="3F6C5F44" w14:textId="7FC6AD8E" w:rsidR="00682FC0" w:rsidRDefault="00000000">
      <w:pPr>
        <w:pStyle w:val="TOC1"/>
        <w:rPr>
          <w:rFonts w:eastAsiaTheme="minorEastAsia" w:cstheme="minorBidi"/>
          <w:b w:val="0"/>
          <w:bCs w:val="0"/>
          <w:i w:val="0"/>
          <w:iCs w:val="0"/>
          <w:noProof/>
          <w:kern w:val="2"/>
          <w:sz w:val="22"/>
          <w:szCs w:val="22"/>
          <w:lang w:eastAsia="en-AU"/>
          <w14:ligatures w14:val="standardContextual"/>
        </w:rPr>
      </w:pPr>
      <w:hyperlink w:anchor="_Toc159500917" w:history="1">
        <w:r w:rsidR="00682FC0" w:rsidRPr="0060053D">
          <w:rPr>
            <w:rStyle w:val="Hyperlink"/>
            <w:rFonts w:ascii="Calibri" w:hAnsi="Calibri"/>
            <w:noProof/>
          </w:rPr>
          <w:t>Chapter 2 –</w:t>
        </w:r>
        <w:r w:rsidR="00682FC0" w:rsidRPr="0060053D">
          <w:rPr>
            <w:rStyle w:val="Hyperlink"/>
            <w:noProof/>
          </w:rPr>
          <w:t xml:space="preserve"> Meeting our current and future skills needs</w:t>
        </w:r>
        <w:r w:rsidR="00682FC0">
          <w:rPr>
            <w:noProof/>
            <w:webHidden/>
          </w:rPr>
          <w:tab/>
        </w:r>
        <w:r w:rsidR="00682FC0">
          <w:rPr>
            <w:noProof/>
            <w:webHidden/>
          </w:rPr>
          <w:fldChar w:fldCharType="begin"/>
        </w:r>
        <w:r w:rsidR="00682FC0">
          <w:rPr>
            <w:noProof/>
            <w:webHidden/>
          </w:rPr>
          <w:instrText xml:space="preserve"> PAGEREF _Toc159500917 \h </w:instrText>
        </w:r>
        <w:r w:rsidR="00682FC0">
          <w:rPr>
            <w:noProof/>
            <w:webHidden/>
          </w:rPr>
        </w:r>
        <w:r w:rsidR="00682FC0">
          <w:rPr>
            <w:noProof/>
            <w:webHidden/>
          </w:rPr>
          <w:fldChar w:fldCharType="separate"/>
        </w:r>
        <w:r w:rsidR="00682FC0">
          <w:rPr>
            <w:noProof/>
            <w:webHidden/>
          </w:rPr>
          <w:t>43</w:t>
        </w:r>
        <w:r w:rsidR="00682FC0">
          <w:rPr>
            <w:noProof/>
            <w:webHidden/>
          </w:rPr>
          <w:fldChar w:fldCharType="end"/>
        </w:r>
      </w:hyperlink>
    </w:p>
    <w:p w14:paraId="3B8F7E68" w14:textId="27CECFAA" w:rsidR="00682FC0" w:rsidRDefault="00000000">
      <w:pPr>
        <w:pStyle w:val="TOC2"/>
        <w:rPr>
          <w:rFonts w:eastAsiaTheme="minorEastAsia" w:cstheme="minorBidi"/>
          <w:b w:val="0"/>
          <w:bCs w:val="0"/>
          <w:noProof/>
          <w:kern w:val="2"/>
          <w:lang w:eastAsia="en-AU"/>
          <w14:ligatures w14:val="standardContextual"/>
        </w:rPr>
      </w:pPr>
      <w:hyperlink w:anchor="_Toc159500918" w:history="1">
        <w:r w:rsidR="00682FC0" w:rsidRPr="0060053D">
          <w:rPr>
            <w:rStyle w:val="Hyperlink"/>
            <w:noProof/>
          </w:rPr>
          <w:t>2.1 Australia’s skills challenge</w:t>
        </w:r>
        <w:r w:rsidR="00682FC0">
          <w:rPr>
            <w:noProof/>
            <w:webHidden/>
          </w:rPr>
          <w:tab/>
        </w:r>
        <w:r w:rsidR="00682FC0">
          <w:rPr>
            <w:noProof/>
            <w:webHidden/>
          </w:rPr>
          <w:fldChar w:fldCharType="begin"/>
        </w:r>
        <w:r w:rsidR="00682FC0">
          <w:rPr>
            <w:noProof/>
            <w:webHidden/>
          </w:rPr>
          <w:instrText xml:space="preserve"> PAGEREF _Toc159500918 \h </w:instrText>
        </w:r>
        <w:r w:rsidR="00682FC0">
          <w:rPr>
            <w:noProof/>
            <w:webHidden/>
          </w:rPr>
        </w:r>
        <w:r w:rsidR="00682FC0">
          <w:rPr>
            <w:noProof/>
            <w:webHidden/>
          </w:rPr>
          <w:fldChar w:fldCharType="separate"/>
        </w:r>
        <w:r w:rsidR="00682FC0">
          <w:rPr>
            <w:noProof/>
            <w:webHidden/>
          </w:rPr>
          <w:t>43</w:t>
        </w:r>
        <w:r w:rsidR="00682FC0">
          <w:rPr>
            <w:noProof/>
            <w:webHidden/>
          </w:rPr>
          <w:fldChar w:fldCharType="end"/>
        </w:r>
      </w:hyperlink>
    </w:p>
    <w:p w14:paraId="0AF1394C" w14:textId="417A1684" w:rsidR="00682FC0" w:rsidRDefault="00000000">
      <w:pPr>
        <w:pStyle w:val="TOC3"/>
        <w:rPr>
          <w:rFonts w:eastAsiaTheme="minorEastAsia" w:cstheme="minorBidi"/>
          <w:noProof/>
          <w:kern w:val="2"/>
          <w:sz w:val="22"/>
          <w:szCs w:val="22"/>
          <w:lang w:eastAsia="en-AU"/>
          <w14:ligatures w14:val="standardContextual"/>
        </w:rPr>
      </w:pPr>
      <w:hyperlink w:anchor="_Toc159500919" w:history="1">
        <w:r w:rsidR="00682FC0" w:rsidRPr="0060053D">
          <w:rPr>
            <w:rStyle w:val="Hyperlink"/>
            <w:rFonts w:ascii="Calibri Light" w:hAnsi="Calibri Light"/>
            <w:bCs/>
            <w:noProof/>
          </w:rPr>
          <w:t>2.1.1</w:t>
        </w:r>
        <w:r w:rsidR="00682FC0" w:rsidRPr="0060053D">
          <w:rPr>
            <w:rStyle w:val="Hyperlink"/>
            <w:noProof/>
          </w:rPr>
          <w:t xml:space="preserve"> There will be substantial growth in demand for tertiary education</w:t>
        </w:r>
        <w:r w:rsidR="00682FC0">
          <w:rPr>
            <w:noProof/>
            <w:webHidden/>
          </w:rPr>
          <w:tab/>
        </w:r>
        <w:r w:rsidR="00682FC0">
          <w:rPr>
            <w:noProof/>
            <w:webHidden/>
          </w:rPr>
          <w:fldChar w:fldCharType="begin"/>
        </w:r>
        <w:r w:rsidR="00682FC0">
          <w:rPr>
            <w:noProof/>
            <w:webHidden/>
          </w:rPr>
          <w:instrText xml:space="preserve"> PAGEREF _Toc159500919 \h </w:instrText>
        </w:r>
        <w:r w:rsidR="00682FC0">
          <w:rPr>
            <w:noProof/>
            <w:webHidden/>
          </w:rPr>
        </w:r>
        <w:r w:rsidR="00682FC0">
          <w:rPr>
            <w:noProof/>
            <w:webHidden/>
          </w:rPr>
          <w:fldChar w:fldCharType="separate"/>
        </w:r>
        <w:r w:rsidR="00682FC0">
          <w:rPr>
            <w:noProof/>
            <w:webHidden/>
          </w:rPr>
          <w:t>44</w:t>
        </w:r>
        <w:r w:rsidR="00682FC0">
          <w:rPr>
            <w:noProof/>
            <w:webHidden/>
          </w:rPr>
          <w:fldChar w:fldCharType="end"/>
        </w:r>
      </w:hyperlink>
    </w:p>
    <w:p w14:paraId="632FC018" w14:textId="1E0F2DE0" w:rsidR="00682FC0" w:rsidRDefault="00000000">
      <w:pPr>
        <w:pStyle w:val="TOC3"/>
        <w:rPr>
          <w:rFonts w:eastAsiaTheme="minorEastAsia" w:cstheme="minorBidi"/>
          <w:noProof/>
          <w:kern w:val="2"/>
          <w:sz w:val="22"/>
          <w:szCs w:val="22"/>
          <w:lang w:eastAsia="en-AU"/>
          <w14:ligatures w14:val="standardContextual"/>
        </w:rPr>
      </w:pPr>
      <w:hyperlink w:anchor="_Toc159500920" w:history="1">
        <w:r w:rsidR="00682FC0" w:rsidRPr="0060053D">
          <w:rPr>
            <w:rStyle w:val="Hyperlink"/>
            <w:rFonts w:ascii="Calibri Light" w:hAnsi="Calibri Light"/>
            <w:bCs/>
            <w:noProof/>
          </w:rPr>
          <w:t>2.1.2</w:t>
        </w:r>
        <w:r w:rsidR="00682FC0" w:rsidRPr="0060053D">
          <w:rPr>
            <w:rStyle w:val="Hyperlink"/>
            <w:noProof/>
          </w:rPr>
          <w:t xml:space="preserve"> Growing the system: new targets to drive tertiary attainment</w:t>
        </w:r>
        <w:r w:rsidR="00682FC0">
          <w:rPr>
            <w:noProof/>
            <w:webHidden/>
          </w:rPr>
          <w:tab/>
        </w:r>
        <w:r w:rsidR="00682FC0">
          <w:rPr>
            <w:noProof/>
            <w:webHidden/>
          </w:rPr>
          <w:fldChar w:fldCharType="begin"/>
        </w:r>
        <w:r w:rsidR="00682FC0">
          <w:rPr>
            <w:noProof/>
            <w:webHidden/>
          </w:rPr>
          <w:instrText xml:space="preserve"> PAGEREF _Toc159500920 \h </w:instrText>
        </w:r>
        <w:r w:rsidR="00682FC0">
          <w:rPr>
            <w:noProof/>
            <w:webHidden/>
          </w:rPr>
        </w:r>
        <w:r w:rsidR="00682FC0">
          <w:rPr>
            <w:noProof/>
            <w:webHidden/>
          </w:rPr>
          <w:fldChar w:fldCharType="separate"/>
        </w:r>
        <w:r w:rsidR="00682FC0">
          <w:rPr>
            <w:noProof/>
            <w:webHidden/>
          </w:rPr>
          <w:t>46</w:t>
        </w:r>
        <w:r w:rsidR="00682FC0">
          <w:rPr>
            <w:noProof/>
            <w:webHidden/>
          </w:rPr>
          <w:fldChar w:fldCharType="end"/>
        </w:r>
      </w:hyperlink>
    </w:p>
    <w:p w14:paraId="39E94E5B" w14:textId="571BCC0D" w:rsidR="00682FC0" w:rsidRDefault="00000000">
      <w:pPr>
        <w:pStyle w:val="TOC3"/>
        <w:rPr>
          <w:rFonts w:eastAsiaTheme="minorEastAsia" w:cstheme="minorBidi"/>
          <w:noProof/>
          <w:kern w:val="2"/>
          <w:sz w:val="22"/>
          <w:szCs w:val="22"/>
          <w:lang w:eastAsia="en-AU"/>
          <w14:ligatures w14:val="standardContextual"/>
        </w:rPr>
      </w:pPr>
      <w:hyperlink w:anchor="_Toc159500921" w:history="1">
        <w:r w:rsidR="00682FC0" w:rsidRPr="0060053D">
          <w:rPr>
            <w:rStyle w:val="Hyperlink"/>
            <w:rFonts w:ascii="Calibri Light" w:hAnsi="Calibri Light"/>
            <w:bCs/>
            <w:noProof/>
          </w:rPr>
          <w:t>2.1.3</w:t>
        </w:r>
        <w:r w:rsidR="00682FC0" w:rsidRPr="0060053D">
          <w:rPr>
            <w:rStyle w:val="Hyperlink"/>
            <w:noProof/>
          </w:rPr>
          <w:t xml:space="preserve"> There are barriers to increasing attainment</w:t>
        </w:r>
        <w:r w:rsidR="00682FC0">
          <w:rPr>
            <w:noProof/>
            <w:webHidden/>
          </w:rPr>
          <w:tab/>
        </w:r>
        <w:r w:rsidR="00682FC0">
          <w:rPr>
            <w:noProof/>
            <w:webHidden/>
          </w:rPr>
          <w:fldChar w:fldCharType="begin"/>
        </w:r>
        <w:r w:rsidR="00682FC0">
          <w:rPr>
            <w:noProof/>
            <w:webHidden/>
          </w:rPr>
          <w:instrText xml:space="preserve"> PAGEREF _Toc159500921 \h </w:instrText>
        </w:r>
        <w:r w:rsidR="00682FC0">
          <w:rPr>
            <w:noProof/>
            <w:webHidden/>
          </w:rPr>
        </w:r>
        <w:r w:rsidR="00682FC0">
          <w:rPr>
            <w:noProof/>
            <w:webHidden/>
          </w:rPr>
          <w:fldChar w:fldCharType="separate"/>
        </w:r>
        <w:r w:rsidR="00682FC0">
          <w:rPr>
            <w:noProof/>
            <w:webHidden/>
          </w:rPr>
          <w:t>50</w:t>
        </w:r>
        <w:r w:rsidR="00682FC0">
          <w:rPr>
            <w:noProof/>
            <w:webHidden/>
          </w:rPr>
          <w:fldChar w:fldCharType="end"/>
        </w:r>
      </w:hyperlink>
    </w:p>
    <w:p w14:paraId="466FD9A4" w14:textId="4CCCD1E3" w:rsidR="00682FC0" w:rsidRDefault="00000000">
      <w:pPr>
        <w:pStyle w:val="TOC3"/>
        <w:rPr>
          <w:rFonts w:eastAsiaTheme="minorEastAsia" w:cstheme="minorBidi"/>
          <w:noProof/>
          <w:kern w:val="2"/>
          <w:sz w:val="22"/>
          <w:szCs w:val="22"/>
          <w:lang w:eastAsia="en-AU"/>
          <w14:ligatures w14:val="standardContextual"/>
        </w:rPr>
      </w:pPr>
      <w:hyperlink w:anchor="_Toc159500922" w:history="1">
        <w:r w:rsidR="00682FC0" w:rsidRPr="0060053D">
          <w:rPr>
            <w:rStyle w:val="Hyperlink"/>
            <w:rFonts w:ascii="Calibri Light" w:hAnsi="Calibri Light"/>
            <w:bCs/>
            <w:noProof/>
          </w:rPr>
          <w:t>2.1.4</w:t>
        </w:r>
        <w:r w:rsidR="00682FC0" w:rsidRPr="0060053D">
          <w:rPr>
            <w:rStyle w:val="Hyperlink"/>
            <w:noProof/>
          </w:rPr>
          <w:t xml:space="preserve"> A better managed migration system will remain important to meeting skills needs</w:t>
        </w:r>
        <w:r w:rsidR="00682FC0">
          <w:rPr>
            <w:noProof/>
            <w:webHidden/>
          </w:rPr>
          <w:tab/>
        </w:r>
        <w:r w:rsidR="00682FC0">
          <w:rPr>
            <w:noProof/>
            <w:webHidden/>
          </w:rPr>
          <w:fldChar w:fldCharType="begin"/>
        </w:r>
        <w:r w:rsidR="00682FC0">
          <w:rPr>
            <w:noProof/>
            <w:webHidden/>
          </w:rPr>
          <w:instrText xml:space="preserve"> PAGEREF _Toc159500922 \h </w:instrText>
        </w:r>
        <w:r w:rsidR="00682FC0">
          <w:rPr>
            <w:noProof/>
            <w:webHidden/>
          </w:rPr>
        </w:r>
        <w:r w:rsidR="00682FC0">
          <w:rPr>
            <w:noProof/>
            <w:webHidden/>
          </w:rPr>
          <w:fldChar w:fldCharType="separate"/>
        </w:r>
        <w:r w:rsidR="00682FC0">
          <w:rPr>
            <w:noProof/>
            <w:webHidden/>
          </w:rPr>
          <w:t>54</w:t>
        </w:r>
        <w:r w:rsidR="00682FC0">
          <w:rPr>
            <w:noProof/>
            <w:webHidden/>
          </w:rPr>
          <w:fldChar w:fldCharType="end"/>
        </w:r>
      </w:hyperlink>
    </w:p>
    <w:p w14:paraId="4BFD4796" w14:textId="394639D5" w:rsidR="00682FC0" w:rsidRDefault="00000000">
      <w:pPr>
        <w:pStyle w:val="TOC2"/>
        <w:rPr>
          <w:rFonts w:eastAsiaTheme="minorEastAsia" w:cstheme="minorBidi"/>
          <w:b w:val="0"/>
          <w:bCs w:val="0"/>
          <w:noProof/>
          <w:kern w:val="2"/>
          <w:lang w:eastAsia="en-AU"/>
          <w14:ligatures w14:val="standardContextual"/>
        </w:rPr>
      </w:pPr>
      <w:hyperlink w:anchor="_Toc159500923" w:history="1">
        <w:r w:rsidR="00682FC0" w:rsidRPr="0060053D">
          <w:rPr>
            <w:rStyle w:val="Hyperlink"/>
            <w:noProof/>
          </w:rPr>
          <w:t>2.2 Skills shortages</w:t>
        </w:r>
        <w:r w:rsidR="00682FC0">
          <w:rPr>
            <w:noProof/>
            <w:webHidden/>
          </w:rPr>
          <w:tab/>
        </w:r>
        <w:r w:rsidR="00682FC0">
          <w:rPr>
            <w:noProof/>
            <w:webHidden/>
          </w:rPr>
          <w:fldChar w:fldCharType="begin"/>
        </w:r>
        <w:r w:rsidR="00682FC0">
          <w:rPr>
            <w:noProof/>
            <w:webHidden/>
          </w:rPr>
          <w:instrText xml:space="preserve"> PAGEREF _Toc159500923 \h </w:instrText>
        </w:r>
        <w:r w:rsidR="00682FC0">
          <w:rPr>
            <w:noProof/>
            <w:webHidden/>
          </w:rPr>
        </w:r>
        <w:r w:rsidR="00682FC0">
          <w:rPr>
            <w:noProof/>
            <w:webHidden/>
          </w:rPr>
          <w:fldChar w:fldCharType="separate"/>
        </w:r>
        <w:r w:rsidR="00682FC0">
          <w:rPr>
            <w:noProof/>
            <w:webHidden/>
          </w:rPr>
          <w:t>56</w:t>
        </w:r>
        <w:r w:rsidR="00682FC0">
          <w:rPr>
            <w:noProof/>
            <w:webHidden/>
          </w:rPr>
          <w:fldChar w:fldCharType="end"/>
        </w:r>
      </w:hyperlink>
    </w:p>
    <w:p w14:paraId="4EB02B9E" w14:textId="21AFD763" w:rsidR="00682FC0" w:rsidRDefault="00000000">
      <w:pPr>
        <w:pStyle w:val="TOC3"/>
        <w:rPr>
          <w:rFonts w:eastAsiaTheme="minorEastAsia" w:cstheme="minorBidi"/>
          <w:noProof/>
          <w:kern w:val="2"/>
          <w:sz w:val="22"/>
          <w:szCs w:val="22"/>
          <w:lang w:eastAsia="en-AU"/>
          <w14:ligatures w14:val="standardContextual"/>
        </w:rPr>
      </w:pPr>
      <w:hyperlink w:anchor="_Toc159500924" w:history="1">
        <w:r w:rsidR="00682FC0" w:rsidRPr="0060053D">
          <w:rPr>
            <w:rStyle w:val="Hyperlink"/>
            <w:rFonts w:ascii="Calibri Light" w:hAnsi="Calibri Light"/>
            <w:bCs/>
            <w:noProof/>
          </w:rPr>
          <w:t>2.2.1</w:t>
        </w:r>
        <w:r w:rsidR="00682FC0" w:rsidRPr="0060053D">
          <w:rPr>
            <w:rStyle w:val="Hyperlink"/>
            <w:noProof/>
          </w:rPr>
          <w:t xml:space="preserve"> The education and training system must address areas of acute skills shortage</w:t>
        </w:r>
        <w:r w:rsidR="00682FC0">
          <w:rPr>
            <w:noProof/>
            <w:webHidden/>
          </w:rPr>
          <w:tab/>
        </w:r>
        <w:r w:rsidR="00682FC0">
          <w:rPr>
            <w:noProof/>
            <w:webHidden/>
          </w:rPr>
          <w:fldChar w:fldCharType="begin"/>
        </w:r>
        <w:r w:rsidR="00682FC0">
          <w:rPr>
            <w:noProof/>
            <w:webHidden/>
          </w:rPr>
          <w:instrText xml:space="preserve"> PAGEREF _Toc159500924 \h </w:instrText>
        </w:r>
        <w:r w:rsidR="00682FC0">
          <w:rPr>
            <w:noProof/>
            <w:webHidden/>
          </w:rPr>
        </w:r>
        <w:r w:rsidR="00682FC0">
          <w:rPr>
            <w:noProof/>
            <w:webHidden/>
          </w:rPr>
          <w:fldChar w:fldCharType="separate"/>
        </w:r>
        <w:r w:rsidR="00682FC0">
          <w:rPr>
            <w:noProof/>
            <w:webHidden/>
          </w:rPr>
          <w:t>56</w:t>
        </w:r>
        <w:r w:rsidR="00682FC0">
          <w:rPr>
            <w:noProof/>
            <w:webHidden/>
          </w:rPr>
          <w:fldChar w:fldCharType="end"/>
        </w:r>
      </w:hyperlink>
    </w:p>
    <w:p w14:paraId="57863C57" w14:textId="50BE7871" w:rsidR="00682FC0" w:rsidRDefault="00000000">
      <w:pPr>
        <w:pStyle w:val="TOC3"/>
        <w:rPr>
          <w:rFonts w:eastAsiaTheme="minorEastAsia" w:cstheme="minorBidi"/>
          <w:noProof/>
          <w:kern w:val="2"/>
          <w:sz w:val="22"/>
          <w:szCs w:val="22"/>
          <w:lang w:eastAsia="en-AU"/>
          <w14:ligatures w14:val="standardContextual"/>
        </w:rPr>
      </w:pPr>
      <w:hyperlink w:anchor="_Toc159500925" w:history="1">
        <w:r w:rsidR="00682FC0" w:rsidRPr="0060053D">
          <w:rPr>
            <w:rStyle w:val="Hyperlink"/>
            <w:rFonts w:ascii="Calibri Light" w:hAnsi="Calibri Light"/>
            <w:bCs/>
            <w:noProof/>
          </w:rPr>
          <w:t>2.2.2</w:t>
        </w:r>
        <w:r w:rsidR="00682FC0" w:rsidRPr="0060053D">
          <w:rPr>
            <w:rStyle w:val="Hyperlink"/>
            <w:noProof/>
          </w:rPr>
          <w:t xml:space="preserve"> The tertiary education system must deliver the right mix of skills</w:t>
        </w:r>
        <w:r w:rsidR="00682FC0">
          <w:rPr>
            <w:noProof/>
            <w:webHidden/>
          </w:rPr>
          <w:tab/>
        </w:r>
        <w:r w:rsidR="00682FC0">
          <w:rPr>
            <w:noProof/>
            <w:webHidden/>
          </w:rPr>
          <w:fldChar w:fldCharType="begin"/>
        </w:r>
        <w:r w:rsidR="00682FC0">
          <w:rPr>
            <w:noProof/>
            <w:webHidden/>
          </w:rPr>
          <w:instrText xml:space="preserve"> PAGEREF _Toc159500925 \h </w:instrText>
        </w:r>
        <w:r w:rsidR="00682FC0">
          <w:rPr>
            <w:noProof/>
            <w:webHidden/>
          </w:rPr>
        </w:r>
        <w:r w:rsidR="00682FC0">
          <w:rPr>
            <w:noProof/>
            <w:webHidden/>
          </w:rPr>
          <w:fldChar w:fldCharType="separate"/>
        </w:r>
        <w:r w:rsidR="00682FC0">
          <w:rPr>
            <w:noProof/>
            <w:webHidden/>
          </w:rPr>
          <w:t>59</w:t>
        </w:r>
        <w:r w:rsidR="00682FC0">
          <w:rPr>
            <w:noProof/>
            <w:webHidden/>
          </w:rPr>
          <w:fldChar w:fldCharType="end"/>
        </w:r>
      </w:hyperlink>
    </w:p>
    <w:p w14:paraId="53C5BDAE" w14:textId="5E891EF0" w:rsidR="00682FC0" w:rsidRDefault="00000000">
      <w:pPr>
        <w:pStyle w:val="TOC2"/>
        <w:rPr>
          <w:rFonts w:eastAsiaTheme="minorEastAsia" w:cstheme="minorBidi"/>
          <w:b w:val="0"/>
          <w:bCs w:val="0"/>
          <w:noProof/>
          <w:kern w:val="2"/>
          <w:lang w:eastAsia="en-AU"/>
          <w14:ligatures w14:val="standardContextual"/>
        </w:rPr>
      </w:pPr>
      <w:hyperlink w:anchor="_Toc159500926" w:history="1">
        <w:r w:rsidR="00682FC0" w:rsidRPr="0060053D">
          <w:rPr>
            <w:rStyle w:val="Hyperlink"/>
            <w:noProof/>
          </w:rPr>
          <w:t>2.3 Mechanisms to support and deliver change</w:t>
        </w:r>
        <w:r w:rsidR="00682FC0">
          <w:rPr>
            <w:noProof/>
            <w:webHidden/>
          </w:rPr>
          <w:tab/>
        </w:r>
        <w:r w:rsidR="00682FC0">
          <w:rPr>
            <w:noProof/>
            <w:webHidden/>
          </w:rPr>
          <w:fldChar w:fldCharType="begin"/>
        </w:r>
        <w:r w:rsidR="00682FC0">
          <w:rPr>
            <w:noProof/>
            <w:webHidden/>
          </w:rPr>
          <w:instrText xml:space="preserve"> PAGEREF _Toc159500926 \h </w:instrText>
        </w:r>
        <w:r w:rsidR="00682FC0">
          <w:rPr>
            <w:noProof/>
            <w:webHidden/>
          </w:rPr>
        </w:r>
        <w:r w:rsidR="00682FC0">
          <w:rPr>
            <w:noProof/>
            <w:webHidden/>
          </w:rPr>
          <w:fldChar w:fldCharType="separate"/>
        </w:r>
        <w:r w:rsidR="00682FC0">
          <w:rPr>
            <w:noProof/>
            <w:webHidden/>
          </w:rPr>
          <w:t>61</w:t>
        </w:r>
        <w:r w:rsidR="00682FC0">
          <w:rPr>
            <w:noProof/>
            <w:webHidden/>
          </w:rPr>
          <w:fldChar w:fldCharType="end"/>
        </w:r>
      </w:hyperlink>
    </w:p>
    <w:p w14:paraId="640AA183" w14:textId="6551268E" w:rsidR="00682FC0" w:rsidRDefault="00000000">
      <w:pPr>
        <w:pStyle w:val="TOC3"/>
        <w:rPr>
          <w:rFonts w:eastAsiaTheme="minorEastAsia" w:cstheme="minorBidi"/>
          <w:noProof/>
          <w:kern w:val="2"/>
          <w:sz w:val="22"/>
          <w:szCs w:val="22"/>
          <w:lang w:eastAsia="en-AU"/>
          <w14:ligatures w14:val="standardContextual"/>
        </w:rPr>
      </w:pPr>
      <w:hyperlink w:anchor="_Toc159500927" w:history="1">
        <w:r w:rsidR="00682FC0" w:rsidRPr="0060053D">
          <w:rPr>
            <w:rStyle w:val="Hyperlink"/>
            <w:rFonts w:ascii="Calibri Light" w:hAnsi="Calibri Light"/>
            <w:bCs/>
            <w:noProof/>
          </w:rPr>
          <w:t>2.3.1</w:t>
        </w:r>
        <w:r w:rsidR="00682FC0" w:rsidRPr="0060053D">
          <w:rPr>
            <w:rStyle w:val="Hyperlink"/>
            <w:noProof/>
          </w:rPr>
          <w:t xml:space="preserve"> A more flexible, efficient and responsive skills system</w:t>
        </w:r>
        <w:r w:rsidR="00682FC0">
          <w:rPr>
            <w:noProof/>
            <w:webHidden/>
          </w:rPr>
          <w:tab/>
        </w:r>
        <w:r w:rsidR="00682FC0">
          <w:rPr>
            <w:noProof/>
            <w:webHidden/>
          </w:rPr>
          <w:fldChar w:fldCharType="begin"/>
        </w:r>
        <w:r w:rsidR="00682FC0">
          <w:rPr>
            <w:noProof/>
            <w:webHidden/>
          </w:rPr>
          <w:instrText xml:space="preserve"> PAGEREF _Toc159500927 \h </w:instrText>
        </w:r>
        <w:r w:rsidR="00682FC0">
          <w:rPr>
            <w:noProof/>
            <w:webHidden/>
          </w:rPr>
        </w:r>
        <w:r w:rsidR="00682FC0">
          <w:rPr>
            <w:noProof/>
            <w:webHidden/>
          </w:rPr>
          <w:fldChar w:fldCharType="separate"/>
        </w:r>
        <w:r w:rsidR="00682FC0">
          <w:rPr>
            <w:noProof/>
            <w:webHidden/>
          </w:rPr>
          <w:t>62</w:t>
        </w:r>
        <w:r w:rsidR="00682FC0">
          <w:rPr>
            <w:noProof/>
            <w:webHidden/>
          </w:rPr>
          <w:fldChar w:fldCharType="end"/>
        </w:r>
      </w:hyperlink>
    </w:p>
    <w:p w14:paraId="06E30E9D" w14:textId="4E97506E" w:rsidR="00682FC0" w:rsidRDefault="00000000">
      <w:pPr>
        <w:pStyle w:val="TOC3"/>
        <w:rPr>
          <w:rFonts w:eastAsiaTheme="minorEastAsia" w:cstheme="minorBidi"/>
          <w:noProof/>
          <w:kern w:val="2"/>
          <w:sz w:val="22"/>
          <w:szCs w:val="22"/>
          <w:lang w:eastAsia="en-AU"/>
          <w14:ligatures w14:val="standardContextual"/>
        </w:rPr>
      </w:pPr>
      <w:hyperlink w:anchor="_Toc159500928" w:history="1">
        <w:r w:rsidR="00682FC0" w:rsidRPr="0060053D">
          <w:rPr>
            <w:rStyle w:val="Hyperlink"/>
            <w:rFonts w:ascii="Calibri Light" w:hAnsi="Calibri Light"/>
            <w:bCs/>
            <w:noProof/>
          </w:rPr>
          <w:t>2.3.2</w:t>
        </w:r>
        <w:r w:rsidR="00682FC0" w:rsidRPr="0060053D">
          <w:rPr>
            <w:rStyle w:val="Hyperlink"/>
            <w:noProof/>
          </w:rPr>
          <w:t xml:space="preserve"> Supporting more people to upskill and reskill (lifelong learning)</w:t>
        </w:r>
        <w:r w:rsidR="00682FC0">
          <w:rPr>
            <w:noProof/>
            <w:webHidden/>
          </w:rPr>
          <w:tab/>
        </w:r>
        <w:r w:rsidR="00682FC0">
          <w:rPr>
            <w:noProof/>
            <w:webHidden/>
          </w:rPr>
          <w:fldChar w:fldCharType="begin"/>
        </w:r>
        <w:r w:rsidR="00682FC0">
          <w:rPr>
            <w:noProof/>
            <w:webHidden/>
          </w:rPr>
          <w:instrText xml:space="preserve"> PAGEREF _Toc159500928 \h </w:instrText>
        </w:r>
        <w:r w:rsidR="00682FC0">
          <w:rPr>
            <w:noProof/>
            <w:webHidden/>
          </w:rPr>
        </w:r>
        <w:r w:rsidR="00682FC0">
          <w:rPr>
            <w:noProof/>
            <w:webHidden/>
          </w:rPr>
          <w:fldChar w:fldCharType="separate"/>
        </w:r>
        <w:r w:rsidR="00682FC0">
          <w:rPr>
            <w:noProof/>
            <w:webHidden/>
          </w:rPr>
          <w:t>68</w:t>
        </w:r>
        <w:r w:rsidR="00682FC0">
          <w:rPr>
            <w:noProof/>
            <w:webHidden/>
          </w:rPr>
          <w:fldChar w:fldCharType="end"/>
        </w:r>
      </w:hyperlink>
    </w:p>
    <w:p w14:paraId="4FB43F5A" w14:textId="35592413" w:rsidR="00682FC0" w:rsidRDefault="00000000">
      <w:pPr>
        <w:pStyle w:val="TOC3"/>
        <w:rPr>
          <w:rFonts w:eastAsiaTheme="minorEastAsia" w:cstheme="minorBidi"/>
          <w:noProof/>
          <w:kern w:val="2"/>
          <w:sz w:val="22"/>
          <w:szCs w:val="22"/>
          <w:lang w:eastAsia="en-AU"/>
          <w14:ligatures w14:val="standardContextual"/>
        </w:rPr>
      </w:pPr>
      <w:hyperlink w:anchor="_Toc159500929" w:history="1">
        <w:r w:rsidR="00682FC0" w:rsidRPr="0060053D">
          <w:rPr>
            <w:rStyle w:val="Hyperlink"/>
            <w:rFonts w:ascii="Calibri Light" w:hAnsi="Calibri Light"/>
            <w:bCs/>
            <w:noProof/>
          </w:rPr>
          <w:t>2.3.3</w:t>
        </w:r>
        <w:r w:rsidR="00682FC0" w:rsidRPr="0060053D">
          <w:rPr>
            <w:rStyle w:val="Hyperlink"/>
            <w:noProof/>
          </w:rPr>
          <w:t xml:space="preserve"> Partnering with industry to deliver skills needs</w:t>
        </w:r>
        <w:r w:rsidR="00682FC0">
          <w:rPr>
            <w:noProof/>
            <w:webHidden/>
          </w:rPr>
          <w:tab/>
        </w:r>
        <w:r w:rsidR="00682FC0">
          <w:rPr>
            <w:noProof/>
            <w:webHidden/>
          </w:rPr>
          <w:fldChar w:fldCharType="begin"/>
        </w:r>
        <w:r w:rsidR="00682FC0">
          <w:rPr>
            <w:noProof/>
            <w:webHidden/>
          </w:rPr>
          <w:instrText xml:space="preserve"> PAGEREF _Toc159500929 \h </w:instrText>
        </w:r>
        <w:r w:rsidR="00682FC0">
          <w:rPr>
            <w:noProof/>
            <w:webHidden/>
          </w:rPr>
        </w:r>
        <w:r w:rsidR="00682FC0">
          <w:rPr>
            <w:noProof/>
            <w:webHidden/>
          </w:rPr>
          <w:fldChar w:fldCharType="separate"/>
        </w:r>
        <w:r w:rsidR="00682FC0">
          <w:rPr>
            <w:noProof/>
            <w:webHidden/>
          </w:rPr>
          <w:t>73</w:t>
        </w:r>
        <w:r w:rsidR="00682FC0">
          <w:rPr>
            <w:noProof/>
            <w:webHidden/>
          </w:rPr>
          <w:fldChar w:fldCharType="end"/>
        </w:r>
      </w:hyperlink>
    </w:p>
    <w:p w14:paraId="50EF40E0" w14:textId="5621C22C" w:rsidR="00682FC0" w:rsidRDefault="00000000">
      <w:pPr>
        <w:pStyle w:val="TOC3"/>
        <w:rPr>
          <w:rFonts w:eastAsiaTheme="minorEastAsia" w:cstheme="minorBidi"/>
          <w:noProof/>
          <w:kern w:val="2"/>
          <w:sz w:val="22"/>
          <w:szCs w:val="22"/>
          <w:lang w:eastAsia="en-AU"/>
          <w14:ligatures w14:val="standardContextual"/>
        </w:rPr>
      </w:pPr>
      <w:hyperlink w:anchor="_Toc159500930" w:history="1">
        <w:r w:rsidR="00682FC0" w:rsidRPr="0060053D">
          <w:rPr>
            <w:rStyle w:val="Hyperlink"/>
            <w:rFonts w:ascii="Calibri Light" w:hAnsi="Calibri Light"/>
            <w:bCs/>
            <w:noProof/>
          </w:rPr>
          <w:t>2.3.4</w:t>
        </w:r>
        <w:r w:rsidR="00682FC0" w:rsidRPr="0060053D">
          <w:rPr>
            <w:rStyle w:val="Hyperlink"/>
            <w:noProof/>
          </w:rPr>
          <w:t xml:space="preserve"> Building better connections and skills coalitions</w:t>
        </w:r>
        <w:r w:rsidR="00682FC0">
          <w:rPr>
            <w:noProof/>
            <w:webHidden/>
          </w:rPr>
          <w:tab/>
        </w:r>
        <w:r w:rsidR="00682FC0">
          <w:rPr>
            <w:noProof/>
            <w:webHidden/>
          </w:rPr>
          <w:fldChar w:fldCharType="begin"/>
        </w:r>
        <w:r w:rsidR="00682FC0">
          <w:rPr>
            <w:noProof/>
            <w:webHidden/>
          </w:rPr>
          <w:instrText xml:space="preserve"> PAGEREF _Toc159500930 \h </w:instrText>
        </w:r>
        <w:r w:rsidR="00682FC0">
          <w:rPr>
            <w:noProof/>
            <w:webHidden/>
          </w:rPr>
        </w:r>
        <w:r w:rsidR="00682FC0">
          <w:rPr>
            <w:noProof/>
            <w:webHidden/>
          </w:rPr>
          <w:fldChar w:fldCharType="separate"/>
        </w:r>
        <w:r w:rsidR="00682FC0">
          <w:rPr>
            <w:noProof/>
            <w:webHidden/>
          </w:rPr>
          <w:t>77</w:t>
        </w:r>
        <w:r w:rsidR="00682FC0">
          <w:rPr>
            <w:noProof/>
            <w:webHidden/>
          </w:rPr>
          <w:fldChar w:fldCharType="end"/>
        </w:r>
      </w:hyperlink>
    </w:p>
    <w:p w14:paraId="0598C1C5" w14:textId="7AC0641D" w:rsidR="00682FC0" w:rsidRDefault="00000000">
      <w:pPr>
        <w:pStyle w:val="TOC1"/>
        <w:rPr>
          <w:rFonts w:eastAsiaTheme="minorEastAsia" w:cstheme="minorBidi"/>
          <w:b w:val="0"/>
          <w:bCs w:val="0"/>
          <w:i w:val="0"/>
          <w:iCs w:val="0"/>
          <w:noProof/>
          <w:kern w:val="2"/>
          <w:sz w:val="22"/>
          <w:szCs w:val="22"/>
          <w:lang w:eastAsia="en-AU"/>
          <w14:ligatures w14:val="standardContextual"/>
        </w:rPr>
      </w:pPr>
      <w:hyperlink w:anchor="_Toc159500931" w:history="1">
        <w:r w:rsidR="00682FC0" w:rsidRPr="0060053D">
          <w:rPr>
            <w:rStyle w:val="Hyperlink"/>
            <w:rFonts w:ascii="Calibri" w:hAnsi="Calibri"/>
            <w:noProof/>
          </w:rPr>
          <w:t>Chapter 3 –</w:t>
        </w:r>
        <w:r w:rsidR="00682FC0" w:rsidRPr="0060053D">
          <w:rPr>
            <w:rStyle w:val="Hyperlink"/>
            <w:noProof/>
          </w:rPr>
          <w:t xml:space="preserve"> Expanding opportunity to all</w:t>
        </w:r>
        <w:r w:rsidR="00682FC0">
          <w:rPr>
            <w:noProof/>
            <w:webHidden/>
          </w:rPr>
          <w:tab/>
        </w:r>
        <w:r w:rsidR="00682FC0">
          <w:rPr>
            <w:noProof/>
            <w:webHidden/>
          </w:rPr>
          <w:fldChar w:fldCharType="begin"/>
        </w:r>
        <w:r w:rsidR="00682FC0">
          <w:rPr>
            <w:noProof/>
            <w:webHidden/>
          </w:rPr>
          <w:instrText xml:space="preserve"> PAGEREF _Toc159500931 \h </w:instrText>
        </w:r>
        <w:r w:rsidR="00682FC0">
          <w:rPr>
            <w:noProof/>
            <w:webHidden/>
          </w:rPr>
        </w:r>
        <w:r w:rsidR="00682FC0">
          <w:rPr>
            <w:noProof/>
            <w:webHidden/>
          </w:rPr>
          <w:fldChar w:fldCharType="separate"/>
        </w:r>
        <w:r w:rsidR="00682FC0">
          <w:rPr>
            <w:noProof/>
            <w:webHidden/>
          </w:rPr>
          <w:t>84</w:t>
        </w:r>
        <w:r w:rsidR="00682FC0">
          <w:rPr>
            <w:noProof/>
            <w:webHidden/>
          </w:rPr>
          <w:fldChar w:fldCharType="end"/>
        </w:r>
      </w:hyperlink>
    </w:p>
    <w:p w14:paraId="504E67B9" w14:textId="5AECC6FC" w:rsidR="00682FC0" w:rsidRDefault="00000000">
      <w:pPr>
        <w:pStyle w:val="TOC2"/>
        <w:rPr>
          <w:rFonts w:eastAsiaTheme="minorEastAsia" w:cstheme="minorBidi"/>
          <w:b w:val="0"/>
          <w:bCs w:val="0"/>
          <w:noProof/>
          <w:kern w:val="2"/>
          <w:lang w:eastAsia="en-AU"/>
          <w14:ligatures w14:val="standardContextual"/>
        </w:rPr>
      </w:pPr>
      <w:hyperlink w:anchor="_Toc159500932" w:history="1">
        <w:r w:rsidR="00682FC0" w:rsidRPr="0060053D">
          <w:rPr>
            <w:rStyle w:val="Hyperlink"/>
            <w:noProof/>
          </w:rPr>
          <w:t>3.1 Growth through equity</w:t>
        </w:r>
        <w:r w:rsidR="00682FC0">
          <w:rPr>
            <w:noProof/>
            <w:webHidden/>
          </w:rPr>
          <w:tab/>
        </w:r>
        <w:r w:rsidR="00682FC0">
          <w:rPr>
            <w:noProof/>
            <w:webHidden/>
          </w:rPr>
          <w:fldChar w:fldCharType="begin"/>
        </w:r>
        <w:r w:rsidR="00682FC0">
          <w:rPr>
            <w:noProof/>
            <w:webHidden/>
          </w:rPr>
          <w:instrText xml:space="preserve"> PAGEREF _Toc159500932 \h </w:instrText>
        </w:r>
        <w:r w:rsidR="00682FC0">
          <w:rPr>
            <w:noProof/>
            <w:webHidden/>
          </w:rPr>
        </w:r>
        <w:r w:rsidR="00682FC0">
          <w:rPr>
            <w:noProof/>
            <w:webHidden/>
          </w:rPr>
          <w:fldChar w:fldCharType="separate"/>
        </w:r>
        <w:r w:rsidR="00682FC0">
          <w:rPr>
            <w:noProof/>
            <w:webHidden/>
          </w:rPr>
          <w:t>84</w:t>
        </w:r>
        <w:r w:rsidR="00682FC0">
          <w:rPr>
            <w:noProof/>
            <w:webHidden/>
          </w:rPr>
          <w:fldChar w:fldCharType="end"/>
        </w:r>
      </w:hyperlink>
    </w:p>
    <w:p w14:paraId="6AEE1725" w14:textId="18752BCE" w:rsidR="00682FC0" w:rsidRDefault="00000000">
      <w:pPr>
        <w:pStyle w:val="TOC2"/>
        <w:rPr>
          <w:rFonts w:eastAsiaTheme="minorEastAsia" w:cstheme="minorBidi"/>
          <w:b w:val="0"/>
          <w:bCs w:val="0"/>
          <w:noProof/>
          <w:kern w:val="2"/>
          <w:lang w:eastAsia="en-AU"/>
          <w14:ligatures w14:val="standardContextual"/>
        </w:rPr>
      </w:pPr>
      <w:hyperlink w:anchor="_Toc159500933" w:history="1">
        <w:r w:rsidR="00682FC0" w:rsidRPr="0060053D">
          <w:rPr>
            <w:rStyle w:val="Hyperlink"/>
            <w:noProof/>
          </w:rPr>
          <w:t>3.2 Participation in higher education among some groups remains too low</w:t>
        </w:r>
        <w:r w:rsidR="00682FC0">
          <w:rPr>
            <w:noProof/>
            <w:webHidden/>
          </w:rPr>
          <w:tab/>
        </w:r>
        <w:r w:rsidR="00682FC0">
          <w:rPr>
            <w:noProof/>
            <w:webHidden/>
          </w:rPr>
          <w:fldChar w:fldCharType="begin"/>
        </w:r>
        <w:r w:rsidR="00682FC0">
          <w:rPr>
            <w:noProof/>
            <w:webHidden/>
          </w:rPr>
          <w:instrText xml:space="preserve"> PAGEREF _Toc159500933 \h </w:instrText>
        </w:r>
        <w:r w:rsidR="00682FC0">
          <w:rPr>
            <w:noProof/>
            <w:webHidden/>
          </w:rPr>
        </w:r>
        <w:r w:rsidR="00682FC0">
          <w:rPr>
            <w:noProof/>
            <w:webHidden/>
          </w:rPr>
          <w:fldChar w:fldCharType="separate"/>
        </w:r>
        <w:r w:rsidR="00682FC0">
          <w:rPr>
            <w:noProof/>
            <w:webHidden/>
          </w:rPr>
          <w:t>85</w:t>
        </w:r>
        <w:r w:rsidR="00682FC0">
          <w:rPr>
            <w:noProof/>
            <w:webHidden/>
          </w:rPr>
          <w:fldChar w:fldCharType="end"/>
        </w:r>
      </w:hyperlink>
    </w:p>
    <w:p w14:paraId="4AFAD8B5" w14:textId="3932857B" w:rsidR="00682FC0" w:rsidRDefault="00000000">
      <w:pPr>
        <w:pStyle w:val="TOC3"/>
        <w:rPr>
          <w:rFonts w:eastAsiaTheme="minorEastAsia" w:cstheme="minorBidi"/>
          <w:noProof/>
          <w:kern w:val="2"/>
          <w:sz w:val="22"/>
          <w:szCs w:val="22"/>
          <w:lang w:eastAsia="en-AU"/>
          <w14:ligatures w14:val="standardContextual"/>
        </w:rPr>
      </w:pPr>
      <w:hyperlink w:anchor="_Toc159500934" w:history="1">
        <w:r w:rsidR="00682FC0" w:rsidRPr="0060053D">
          <w:rPr>
            <w:rStyle w:val="Hyperlink"/>
            <w:rFonts w:ascii="Calibri Light" w:hAnsi="Calibri Light" w:cs="Arial"/>
            <w:bCs/>
            <w:noProof/>
          </w:rPr>
          <w:t>3.2.1</w:t>
        </w:r>
        <w:r w:rsidR="00682FC0" w:rsidRPr="0060053D">
          <w:rPr>
            <w:rStyle w:val="Hyperlink"/>
            <w:noProof/>
          </w:rPr>
          <w:t xml:space="preserve"> The case for equity targets</w:t>
        </w:r>
        <w:r w:rsidR="00682FC0">
          <w:rPr>
            <w:noProof/>
            <w:webHidden/>
          </w:rPr>
          <w:tab/>
        </w:r>
        <w:r w:rsidR="00682FC0">
          <w:rPr>
            <w:noProof/>
            <w:webHidden/>
          </w:rPr>
          <w:fldChar w:fldCharType="begin"/>
        </w:r>
        <w:r w:rsidR="00682FC0">
          <w:rPr>
            <w:noProof/>
            <w:webHidden/>
          </w:rPr>
          <w:instrText xml:space="preserve"> PAGEREF _Toc159500934 \h </w:instrText>
        </w:r>
        <w:r w:rsidR="00682FC0">
          <w:rPr>
            <w:noProof/>
            <w:webHidden/>
          </w:rPr>
        </w:r>
        <w:r w:rsidR="00682FC0">
          <w:rPr>
            <w:noProof/>
            <w:webHidden/>
          </w:rPr>
          <w:fldChar w:fldCharType="separate"/>
        </w:r>
        <w:r w:rsidR="00682FC0">
          <w:rPr>
            <w:noProof/>
            <w:webHidden/>
          </w:rPr>
          <w:t>86</w:t>
        </w:r>
        <w:r w:rsidR="00682FC0">
          <w:rPr>
            <w:noProof/>
            <w:webHidden/>
          </w:rPr>
          <w:fldChar w:fldCharType="end"/>
        </w:r>
      </w:hyperlink>
    </w:p>
    <w:p w14:paraId="145871BF" w14:textId="448683F1" w:rsidR="00682FC0" w:rsidRDefault="00000000">
      <w:pPr>
        <w:pStyle w:val="TOC3"/>
        <w:rPr>
          <w:rFonts w:eastAsiaTheme="minorEastAsia" w:cstheme="minorBidi"/>
          <w:noProof/>
          <w:kern w:val="2"/>
          <w:sz w:val="22"/>
          <w:szCs w:val="22"/>
          <w:lang w:eastAsia="en-AU"/>
          <w14:ligatures w14:val="standardContextual"/>
        </w:rPr>
      </w:pPr>
      <w:hyperlink w:anchor="_Toc159500935" w:history="1">
        <w:r w:rsidR="00682FC0" w:rsidRPr="0060053D">
          <w:rPr>
            <w:rStyle w:val="Hyperlink"/>
            <w:rFonts w:ascii="Calibri Light" w:hAnsi="Calibri Light"/>
            <w:bCs/>
            <w:noProof/>
          </w:rPr>
          <w:t>3.2.2</w:t>
        </w:r>
        <w:r w:rsidR="00682FC0" w:rsidRPr="0060053D">
          <w:rPr>
            <w:rStyle w:val="Hyperlink"/>
            <w:noProof/>
          </w:rPr>
          <w:t xml:space="preserve"> Defining and measuring equity targets</w:t>
        </w:r>
        <w:r w:rsidR="00682FC0">
          <w:rPr>
            <w:noProof/>
            <w:webHidden/>
          </w:rPr>
          <w:tab/>
        </w:r>
        <w:r w:rsidR="00682FC0">
          <w:rPr>
            <w:noProof/>
            <w:webHidden/>
          </w:rPr>
          <w:fldChar w:fldCharType="begin"/>
        </w:r>
        <w:r w:rsidR="00682FC0">
          <w:rPr>
            <w:noProof/>
            <w:webHidden/>
          </w:rPr>
          <w:instrText xml:space="preserve"> PAGEREF _Toc159500935 \h </w:instrText>
        </w:r>
        <w:r w:rsidR="00682FC0">
          <w:rPr>
            <w:noProof/>
            <w:webHidden/>
          </w:rPr>
        </w:r>
        <w:r w:rsidR="00682FC0">
          <w:rPr>
            <w:noProof/>
            <w:webHidden/>
          </w:rPr>
          <w:fldChar w:fldCharType="separate"/>
        </w:r>
        <w:r w:rsidR="00682FC0">
          <w:rPr>
            <w:noProof/>
            <w:webHidden/>
          </w:rPr>
          <w:t>88</w:t>
        </w:r>
        <w:r w:rsidR="00682FC0">
          <w:rPr>
            <w:noProof/>
            <w:webHidden/>
          </w:rPr>
          <w:fldChar w:fldCharType="end"/>
        </w:r>
      </w:hyperlink>
    </w:p>
    <w:p w14:paraId="201065A2" w14:textId="164C52CA" w:rsidR="00682FC0" w:rsidRDefault="00000000">
      <w:pPr>
        <w:pStyle w:val="TOC3"/>
        <w:rPr>
          <w:rFonts w:eastAsiaTheme="minorEastAsia" w:cstheme="minorBidi"/>
          <w:noProof/>
          <w:kern w:val="2"/>
          <w:sz w:val="22"/>
          <w:szCs w:val="22"/>
          <w:lang w:eastAsia="en-AU"/>
          <w14:ligatures w14:val="standardContextual"/>
        </w:rPr>
      </w:pPr>
      <w:hyperlink w:anchor="_Toc159500936" w:history="1">
        <w:r w:rsidR="00682FC0" w:rsidRPr="0060053D">
          <w:rPr>
            <w:rStyle w:val="Hyperlink"/>
            <w:rFonts w:ascii="Calibri Light" w:hAnsi="Calibri Light"/>
            <w:bCs/>
            <w:noProof/>
          </w:rPr>
          <w:t>3.2.3</w:t>
        </w:r>
        <w:r w:rsidR="00682FC0" w:rsidRPr="0060053D">
          <w:rPr>
            <w:rStyle w:val="Hyperlink"/>
            <w:noProof/>
          </w:rPr>
          <w:t xml:space="preserve"> Everyone has a role to play in achieving parity of participation</w:t>
        </w:r>
        <w:r w:rsidR="00682FC0">
          <w:rPr>
            <w:noProof/>
            <w:webHidden/>
          </w:rPr>
          <w:tab/>
        </w:r>
        <w:r w:rsidR="00682FC0">
          <w:rPr>
            <w:noProof/>
            <w:webHidden/>
          </w:rPr>
          <w:fldChar w:fldCharType="begin"/>
        </w:r>
        <w:r w:rsidR="00682FC0">
          <w:rPr>
            <w:noProof/>
            <w:webHidden/>
          </w:rPr>
          <w:instrText xml:space="preserve"> PAGEREF _Toc159500936 \h </w:instrText>
        </w:r>
        <w:r w:rsidR="00682FC0">
          <w:rPr>
            <w:noProof/>
            <w:webHidden/>
          </w:rPr>
        </w:r>
        <w:r w:rsidR="00682FC0">
          <w:rPr>
            <w:noProof/>
            <w:webHidden/>
          </w:rPr>
          <w:fldChar w:fldCharType="separate"/>
        </w:r>
        <w:r w:rsidR="00682FC0">
          <w:rPr>
            <w:noProof/>
            <w:webHidden/>
          </w:rPr>
          <w:t>89</w:t>
        </w:r>
        <w:r w:rsidR="00682FC0">
          <w:rPr>
            <w:noProof/>
            <w:webHidden/>
          </w:rPr>
          <w:fldChar w:fldCharType="end"/>
        </w:r>
      </w:hyperlink>
    </w:p>
    <w:p w14:paraId="3017C900" w14:textId="07554C7C" w:rsidR="00682FC0" w:rsidRDefault="00000000">
      <w:pPr>
        <w:pStyle w:val="TOC3"/>
        <w:rPr>
          <w:rFonts w:eastAsiaTheme="minorEastAsia" w:cstheme="minorBidi"/>
          <w:noProof/>
          <w:kern w:val="2"/>
          <w:sz w:val="22"/>
          <w:szCs w:val="22"/>
          <w:lang w:eastAsia="en-AU"/>
          <w14:ligatures w14:val="standardContextual"/>
        </w:rPr>
      </w:pPr>
      <w:hyperlink w:anchor="_Toc159500937" w:history="1">
        <w:r w:rsidR="00682FC0" w:rsidRPr="0060053D">
          <w:rPr>
            <w:rStyle w:val="Hyperlink"/>
            <w:rFonts w:ascii="Calibri Light" w:hAnsi="Calibri Light"/>
            <w:bCs/>
            <w:noProof/>
          </w:rPr>
          <w:t>3.2.4</w:t>
        </w:r>
        <w:r w:rsidR="00682FC0" w:rsidRPr="0060053D">
          <w:rPr>
            <w:rStyle w:val="Hyperlink"/>
            <w:noProof/>
          </w:rPr>
          <w:t xml:space="preserve"> Achieving parity – a worthy challenge</w:t>
        </w:r>
        <w:r w:rsidR="00682FC0">
          <w:rPr>
            <w:noProof/>
            <w:webHidden/>
          </w:rPr>
          <w:tab/>
        </w:r>
        <w:r w:rsidR="00682FC0">
          <w:rPr>
            <w:noProof/>
            <w:webHidden/>
          </w:rPr>
          <w:fldChar w:fldCharType="begin"/>
        </w:r>
        <w:r w:rsidR="00682FC0">
          <w:rPr>
            <w:noProof/>
            <w:webHidden/>
          </w:rPr>
          <w:instrText xml:space="preserve"> PAGEREF _Toc159500937 \h </w:instrText>
        </w:r>
        <w:r w:rsidR="00682FC0">
          <w:rPr>
            <w:noProof/>
            <w:webHidden/>
          </w:rPr>
        </w:r>
        <w:r w:rsidR="00682FC0">
          <w:rPr>
            <w:noProof/>
            <w:webHidden/>
          </w:rPr>
          <w:fldChar w:fldCharType="separate"/>
        </w:r>
        <w:r w:rsidR="00682FC0">
          <w:rPr>
            <w:noProof/>
            <w:webHidden/>
          </w:rPr>
          <w:t>91</w:t>
        </w:r>
        <w:r w:rsidR="00682FC0">
          <w:rPr>
            <w:noProof/>
            <w:webHidden/>
          </w:rPr>
          <w:fldChar w:fldCharType="end"/>
        </w:r>
      </w:hyperlink>
    </w:p>
    <w:p w14:paraId="1B86D3FA" w14:textId="0F8B1B7B" w:rsidR="00682FC0" w:rsidRDefault="00000000">
      <w:pPr>
        <w:pStyle w:val="TOC3"/>
        <w:rPr>
          <w:rFonts w:eastAsiaTheme="minorEastAsia" w:cstheme="minorBidi"/>
          <w:noProof/>
          <w:kern w:val="2"/>
          <w:sz w:val="22"/>
          <w:szCs w:val="22"/>
          <w:lang w:eastAsia="en-AU"/>
          <w14:ligatures w14:val="standardContextual"/>
        </w:rPr>
      </w:pPr>
      <w:hyperlink w:anchor="_Toc159500938" w:history="1">
        <w:r w:rsidR="00682FC0" w:rsidRPr="0060053D">
          <w:rPr>
            <w:rStyle w:val="Hyperlink"/>
            <w:rFonts w:ascii="Calibri Light" w:hAnsi="Calibri Light"/>
            <w:bCs/>
            <w:noProof/>
          </w:rPr>
          <w:t>3.2.5</w:t>
        </w:r>
        <w:r w:rsidR="00682FC0" w:rsidRPr="0060053D">
          <w:rPr>
            <w:rStyle w:val="Hyperlink"/>
            <w:noProof/>
          </w:rPr>
          <w:t xml:space="preserve"> Completion outcomes should be a key performance metric</w:t>
        </w:r>
        <w:r w:rsidR="00682FC0">
          <w:rPr>
            <w:noProof/>
            <w:webHidden/>
          </w:rPr>
          <w:tab/>
        </w:r>
        <w:r w:rsidR="00682FC0">
          <w:rPr>
            <w:noProof/>
            <w:webHidden/>
          </w:rPr>
          <w:fldChar w:fldCharType="begin"/>
        </w:r>
        <w:r w:rsidR="00682FC0">
          <w:rPr>
            <w:noProof/>
            <w:webHidden/>
          </w:rPr>
          <w:instrText xml:space="preserve"> PAGEREF _Toc159500938 \h </w:instrText>
        </w:r>
        <w:r w:rsidR="00682FC0">
          <w:rPr>
            <w:noProof/>
            <w:webHidden/>
          </w:rPr>
        </w:r>
        <w:r w:rsidR="00682FC0">
          <w:rPr>
            <w:noProof/>
            <w:webHidden/>
          </w:rPr>
          <w:fldChar w:fldCharType="separate"/>
        </w:r>
        <w:r w:rsidR="00682FC0">
          <w:rPr>
            <w:noProof/>
            <w:webHidden/>
          </w:rPr>
          <w:t>92</w:t>
        </w:r>
        <w:r w:rsidR="00682FC0">
          <w:rPr>
            <w:noProof/>
            <w:webHidden/>
          </w:rPr>
          <w:fldChar w:fldCharType="end"/>
        </w:r>
      </w:hyperlink>
    </w:p>
    <w:p w14:paraId="1E7EE288" w14:textId="05078DEF" w:rsidR="00682FC0" w:rsidRDefault="00000000">
      <w:pPr>
        <w:pStyle w:val="TOC2"/>
        <w:rPr>
          <w:rFonts w:eastAsiaTheme="minorEastAsia" w:cstheme="minorBidi"/>
          <w:b w:val="0"/>
          <w:bCs w:val="0"/>
          <w:noProof/>
          <w:kern w:val="2"/>
          <w:lang w:eastAsia="en-AU"/>
          <w14:ligatures w14:val="standardContextual"/>
        </w:rPr>
      </w:pPr>
      <w:hyperlink w:anchor="_Toc159500939" w:history="1">
        <w:r w:rsidR="00682FC0" w:rsidRPr="0060053D">
          <w:rPr>
            <w:rStyle w:val="Hyperlink"/>
            <w:noProof/>
          </w:rPr>
          <w:t>3.3 Increasing aspiration and readiness for higher education</w:t>
        </w:r>
        <w:r w:rsidR="00682FC0">
          <w:rPr>
            <w:noProof/>
            <w:webHidden/>
          </w:rPr>
          <w:tab/>
        </w:r>
        <w:r w:rsidR="00682FC0">
          <w:rPr>
            <w:noProof/>
            <w:webHidden/>
          </w:rPr>
          <w:fldChar w:fldCharType="begin"/>
        </w:r>
        <w:r w:rsidR="00682FC0">
          <w:rPr>
            <w:noProof/>
            <w:webHidden/>
          </w:rPr>
          <w:instrText xml:space="preserve"> PAGEREF _Toc159500939 \h </w:instrText>
        </w:r>
        <w:r w:rsidR="00682FC0">
          <w:rPr>
            <w:noProof/>
            <w:webHidden/>
          </w:rPr>
        </w:r>
        <w:r w:rsidR="00682FC0">
          <w:rPr>
            <w:noProof/>
            <w:webHidden/>
          </w:rPr>
          <w:fldChar w:fldCharType="separate"/>
        </w:r>
        <w:r w:rsidR="00682FC0">
          <w:rPr>
            <w:noProof/>
            <w:webHidden/>
          </w:rPr>
          <w:t>94</w:t>
        </w:r>
        <w:r w:rsidR="00682FC0">
          <w:rPr>
            <w:noProof/>
            <w:webHidden/>
          </w:rPr>
          <w:fldChar w:fldCharType="end"/>
        </w:r>
      </w:hyperlink>
    </w:p>
    <w:p w14:paraId="04C5448A" w14:textId="06901098" w:rsidR="00682FC0" w:rsidRDefault="00000000">
      <w:pPr>
        <w:pStyle w:val="TOC3"/>
        <w:rPr>
          <w:rFonts w:eastAsiaTheme="minorEastAsia" w:cstheme="minorBidi"/>
          <w:noProof/>
          <w:kern w:val="2"/>
          <w:sz w:val="22"/>
          <w:szCs w:val="22"/>
          <w:lang w:eastAsia="en-AU"/>
          <w14:ligatures w14:val="standardContextual"/>
        </w:rPr>
      </w:pPr>
      <w:hyperlink w:anchor="_Toc159500940" w:history="1">
        <w:r w:rsidR="00682FC0" w:rsidRPr="0060053D">
          <w:rPr>
            <w:rStyle w:val="Hyperlink"/>
            <w:rFonts w:ascii="Calibri Light" w:hAnsi="Calibri Light"/>
            <w:bCs/>
            <w:noProof/>
          </w:rPr>
          <w:t>3.3.1</w:t>
        </w:r>
        <w:r w:rsidR="00682FC0" w:rsidRPr="0060053D">
          <w:rPr>
            <w:rStyle w:val="Hyperlink"/>
            <w:noProof/>
          </w:rPr>
          <w:t xml:space="preserve"> How the education system prepares students for post-compulsory study … or doesn’t</w:t>
        </w:r>
        <w:r w:rsidR="00682FC0">
          <w:rPr>
            <w:noProof/>
            <w:webHidden/>
          </w:rPr>
          <w:tab/>
        </w:r>
        <w:r w:rsidR="00682FC0">
          <w:rPr>
            <w:noProof/>
            <w:webHidden/>
          </w:rPr>
          <w:fldChar w:fldCharType="begin"/>
        </w:r>
        <w:r w:rsidR="00682FC0">
          <w:rPr>
            <w:noProof/>
            <w:webHidden/>
          </w:rPr>
          <w:instrText xml:space="preserve"> PAGEREF _Toc159500940 \h </w:instrText>
        </w:r>
        <w:r w:rsidR="00682FC0">
          <w:rPr>
            <w:noProof/>
            <w:webHidden/>
          </w:rPr>
        </w:r>
        <w:r w:rsidR="00682FC0">
          <w:rPr>
            <w:noProof/>
            <w:webHidden/>
          </w:rPr>
          <w:fldChar w:fldCharType="separate"/>
        </w:r>
        <w:r w:rsidR="00682FC0">
          <w:rPr>
            <w:noProof/>
            <w:webHidden/>
          </w:rPr>
          <w:t>94</w:t>
        </w:r>
        <w:r w:rsidR="00682FC0">
          <w:rPr>
            <w:noProof/>
            <w:webHidden/>
          </w:rPr>
          <w:fldChar w:fldCharType="end"/>
        </w:r>
      </w:hyperlink>
    </w:p>
    <w:p w14:paraId="1EE32067" w14:textId="58281DD4" w:rsidR="00682FC0" w:rsidRDefault="00000000">
      <w:pPr>
        <w:pStyle w:val="TOC3"/>
        <w:rPr>
          <w:rFonts w:eastAsiaTheme="minorEastAsia" w:cstheme="minorBidi"/>
          <w:noProof/>
          <w:kern w:val="2"/>
          <w:sz w:val="22"/>
          <w:szCs w:val="22"/>
          <w:lang w:eastAsia="en-AU"/>
          <w14:ligatures w14:val="standardContextual"/>
        </w:rPr>
      </w:pPr>
      <w:hyperlink w:anchor="_Toc159500941" w:history="1">
        <w:r w:rsidR="00682FC0" w:rsidRPr="0060053D">
          <w:rPr>
            <w:rStyle w:val="Hyperlink"/>
            <w:rFonts w:ascii="Calibri Light" w:hAnsi="Calibri Light"/>
            <w:bCs/>
            <w:noProof/>
          </w:rPr>
          <w:t>3.3.2</w:t>
        </w:r>
        <w:r w:rsidR="00682FC0" w:rsidRPr="0060053D">
          <w:rPr>
            <w:rStyle w:val="Hyperlink"/>
            <w:noProof/>
          </w:rPr>
          <w:t xml:space="preserve"> Building awareness and aspiration</w:t>
        </w:r>
        <w:r w:rsidR="00682FC0">
          <w:rPr>
            <w:noProof/>
            <w:webHidden/>
          </w:rPr>
          <w:tab/>
        </w:r>
        <w:r w:rsidR="00682FC0">
          <w:rPr>
            <w:noProof/>
            <w:webHidden/>
          </w:rPr>
          <w:fldChar w:fldCharType="begin"/>
        </w:r>
        <w:r w:rsidR="00682FC0">
          <w:rPr>
            <w:noProof/>
            <w:webHidden/>
          </w:rPr>
          <w:instrText xml:space="preserve"> PAGEREF _Toc159500941 \h </w:instrText>
        </w:r>
        <w:r w:rsidR="00682FC0">
          <w:rPr>
            <w:noProof/>
            <w:webHidden/>
          </w:rPr>
        </w:r>
        <w:r w:rsidR="00682FC0">
          <w:rPr>
            <w:noProof/>
            <w:webHidden/>
          </w:rPr>
          <w:fldChar w:fldCharType="separate"/>
        </w:r>
        <w:r w:rsidR="00682FC0">
          <w:rPr>
            <w:noProof/>
            <w:webHidden/>
          </w:rPr>
          <w:t>96</w:t>
        </w:r>
        <w:r w:rsidR="00682FC0">
          <w:rPr>
            <w:noProof/>
            <w:webHidden/>
          </w:rPr>
          <w:fldChar w:fldCharType="end"/>
        </w:r>
      </w:hyperlink>
    </w:p>
    <w:p w14:paraId="0A5EC0B9" w14:textId="53D67FCC" w:rsidR="00682FC0" w:rsidRDefault="00000000">
      <w:pPr>
        <w:pStyle w:val="TOC3"/>
        <w:rPr>
          <w:rFonts w:eastAsiaTheme="minorEastAsia" w:cstheme="minorBidi"/>
          <w:noProof/>
          <w:kern w:val="2"/>
          <w:sz w:val="22"/>
          <w:szCs w:val="22"/>
          <w:lang w:eastAsia="en-AU"/>
          <w14:ligatures w14:val="standardContextual"/>
        </w:rPr>
      </w:pPr>
      <w:hyperlink w:anchor="_Toc159500942" w:history="1">
        <w:r w:rsidR="00682FC0" w:rsidRPr="0060053D">
          <w:rPr>
            <w:rStyle w:val="Hyperlink"/>
            <w:rFonts w:ascii="Calibri Light" w:hAnsi="Calibri Light"/>
            <w:bCs/>
            <w:noProof/>
          </w:rPr>
          <w:t>3.3.3</w:t>
        </w:r>
        <w:r w:rsidR="00682FC0" w:rsidRPr="0060053D">
          <w:rPr>
            <w:rStyle w:val="Hyperlink"/>
            <w:noProof/>
          </w:rPr>
          <w:t xml:space="preserve"> Turning awareness and aspiration into action</w:t>
        </w:r>
        <w:r w:rsidR="00682FC0">
          <w:rPr>
            <w:noProof/>
            <w:webHidden/>
          </w:rPr>
          <w:tab/>
        </w:r>
        <w:r w:rsidR="00682FC0">
          <w:rPr>
            <w:noProof/>
            <w:webHidden/>
          </w:rPr>
          <w:fldChar w:fldCharType="begin"/>
        </w:r>
        <w:r w:rsidR="00682FC0">
          <w:rPr>
            <w:noProof/>
            <w:webHidden/>
          </w:rPr>
          <w:instrText xml:space="preserve"> PAGEREF _Toc159500942 \h </w:instrText>
        </w:r>
        <w:r w:rsidR="00682FC0">
          <w:rPr>
            <w:noProof/>
            <w:webHidden/>
          </w:rPr>
        </w:r>
        <w:r w:rsidR="00682FC0">
          <w:rPr>
            <w:noProof/>
            <w:webHidden/>
          </w:rPr>
          <w:fldChar w:fldCharType="separate"/>
        </w:r>
        <w:r w:rsidR="00682FC0">
          <w:rPr>
            <w:noProof/>
            <w:webHidden/>
          </w:rPr>
          <w:t>98</w:t>
        </w:r>
        <w:r w:rsidR="00682FC0">
          <w:rPr>
            <w:noProof/>
            <w:webHidden/>
          </w:rPr>
          <w:fldChar w:fldCharType="end"/>
        </w:r>
      </w:hyperlink>
    </w:p>
    <w:p w14:paraId="7014409C" w14:textId="582A2878" w:rsidR="00682FC0" w:rsidRDefault="00000000">
      <w:pPr>
        <w:pStyle w:val="TOC2"/>
        <w:rPr>
          <w:rFonts w:eastAsiaTheme="minorEastAsia" w:cstheme="minorBidi"/>
          <w:b w:val="0"/>
          <w:bCs w:val="0"/>
          <w:noProof/>
          <w:kern w:val="2"/>
          <w:lang w:eastAsia="en-AU"/>
          <w14:ligatures w14:val="standardContextual"/>
        </w:rPr>
      </w:pPr>
      <w:hyperlink w:anchor="_Toc159500943" w:history="1">
        <w:r w:rsidR="00682FC0" w:rsidRPr="0060053D">
          <w:rPr>
            <w:rStyle w:val="Hyperlink"/>
            <w:noProof/>
          </w:rPr>
          <w:t>3.4 Preparing for entry</w:t>
        </w:r>
        <w:r w:rsidR="00682FC0">
          <w:rPr>
            <w:noProof/>
            <w:webHidden/>
          </w:rPr>
          <w:tab/>
        </w:r>
        <w:r w:rsidR="00682FC0">
          <w:rPr>
            <w:noProof/>
            <w:webHidden/>
          </w:rPr>
          <w:fldChar w:fldCharType="begin"/>
        </w:r>
        <w:r w:rsidR="00682FC0">
          <w:rPr>
            <w:noProof/>
            <w:webHidden/>
          </w:rPr>
          <w:instrText xml:space="preserve"> PAGEREF _Toc159500943 \h </w:instrText>
        </w:r>
        <w:r w:rsidR="00682FC0">
          <w:rPr>
            <w:noProof/>
            <w:webHidden/>
          </w:rPr>
        </w:r>
        <w:r w:rsidR="00682FC0">
          <w:rPr>
            <w:noProof/>
            <w:webHidden/>
          </w:rPr>
          <w:fldChar w:fldCharType="separate"/>
        </w:r>
        <w:r w:rsidR="00682FC0">
          <w:rPr>
            <w:noProof/>
            <w:webHidden/>
          </w:rPr>
          <w:t>101</w:t>
        </w:r>
        <w:r w:rsidR="00682FC0">
          <w:rPr>
            <w:noProof/>
            <w:webHidden/>
          </w:rPr>
          <w:fldChar w:fldCharType="end"/>
        </w:r>
      </w:hyperlink>
    </w:p>
    <w:p w14:paraId="53FFA4D8" w14:textId="5538CDFA" w:rsidR="00682FC0" w:rsidRDefault="00000000">
      <w:pPr>
        <w:pStyle w:val="TOC3"/>
        <w:rPr>
          <w:rFonts w:eastAsiaTheme="minorEastAsia" w:cstheme="minorBidi"/>
          <w:noProof/>
          <w:kern w:val="2"/>
          <w:sz w:val="22"/>
          <w:szCs w:val="22"/>
          <w:lang w:eastAsia="en-AU"/>
          <w14:ligatures w14:val="standardContextual"/>
        </w:rPr>
      </w:pPr>
      <w:hyperlink w:anchor="_Toc159500944" w:history="1">
        <w:r w:rsidR="00682FC0" w:rsidRPr="0060053D">
          <w:rPr>
            <w:rStyle w:val="Hyperlink"/>
            <w:rFonts w:ascii="Calibri Light" w:hAnsi="Calibri Light"/>
            <w:bCs/>
            <w:noProof/>
          </w:rPr>
          <w:t>3.4.1</w:t>
        </w:r>
        <w:r w:rsidR="00682FC0" w:rsidRPr="0060053D">
          <w:rPr>
            <w:rStyle w:val="Hyperlink"/>
            <w:noProof/>
          </w:rPr>
          <w:t xml:space="preserve"> Students from groups under-represented in higher education are more likely to enter higher education through a range of different pathways</w:t>
        </w:r>
        <w:r w:rsidR="00682FC0">
          <w:rPr>
            <w:noProof/>
            <w:webHidden/>
          </w:rPr>
          <w:tab/>
        </w:r>
        <w:r w:rsidR="00682FC0">
          <w:rPr>
            <w:noProof/>
            <w:webHidden/>
          </w:rPr>
          <w:fldChar w:fldCharType="begin"/>
        </w:r>
        <w:r w:rsidR="00682FC0">
          <w:rPr>
            <w:noProof/>
            <w:webHidden/>
          </w:rPr>
          <w:instrText xml:space="preserve"> PAGEREF _Toc159500944 \h </w:instrText>
        </w:r>
        <w:r w:rsidR="00682FC0">
          <w:rPr>
            <w:noProof/>
            <w:webHidden/>
          </w:rPr>
        </w:r>
        <w:r w:rsidR="00682FC0">
          <w:rPr>
            <w:noProof/>
            <w:webHidden/>
          </w:rPr>
          <w:fldChar w:fldCharType="separate"/>
        </w:r>
        <w:r w:rsidR="00682FC0">
          <w:rPr>
            <w:noProof/>
            <w:webHidden/>
          </w:rPr>
          <w:t>102</w:t>
        </w:r>
        <w:r w:rsidR="00682FC0">
          <w:rPr>
            <w:noProof/>
            <w:webHidden/>
          </w:rPr>
          <w:fldChar w:fldCharType="end"/>
        </w:r>
      </w:hyperlink>
    </w:p>
    <w:p w14:paraId="1163DC32" w14:textId="6DB7EC48" w:rsidR="00682FC0" w:rsidRDefault="00000000">
      <w:pPr>
        <w:pStyle w:val="TOC3"/>
        <w:rPr>
          <w:rFonts w:eastAsiaTheme="minorEastAsia" w:cstheme="minorBidi"/>
          <w:noProof/>
          <w:kern w:val="2"/>
          <w:sz w:val="22"/>
          <w:szCs w:val="22"/>
          <w:lang w:eastAsia="en-AU"/>
          <w14:ligatures w14:val="standardContextual"/>
        </w:rPr>
      </w:pPr>
      <w:hyperlink w:anchor="_Toc159500945" w:history="1">
        <w:r w:rsidR="00682FC0" w:rsidRPr="0060053D">
          <w:rPr>
            <w:rStyle w:val="Hyperlink"/>
            <w:rFonts w:ascii="Calibri Light" w:hAnsi="Calibri Light"/>
            <w:bCs/>
            <w:noProof/>
          </w:rPr>
          <w:t>3.4.2</w:t>
        </w:r>
        <w:r w:rsidR="00682FC0" w:rsidRPr="0060053D">
          <w:rPr>
            <w:rStyle w:val="Hyperlink"/>
            <w:noProof/>
          </w:rPr>
          <w:t xml:space="preserve"> Preparatory programs in higher education</w:t>
        </w:r>
        <w:r w:rsidR="00682FC0">
          <w:rPr>
            <w:noProof/>
            <w:webHidden/>
          </w:rPr>
          <w:tab/>
        </w:r>
        <w:r w:rsidR="00682FC0">
          <w:rPr>
            <w:noProof/>
            <w:webHidden/>
          </w:rPr>
          <w:fldChar w:fldCharType="begin"/>
        </w:r>
        <w:r w:rsidR="00682FC0">
          <w:rPr>
            <w:noProof/>
            <w:webHidden/>
          </w:rPr>
          <w:instrText xml:space="preserve"> PAGEREF _Toc159500945 \h </w:instrText>
        </w:r>
        <w:r w:rsidR="00682FC0">
          <w:rPr>
            <w:noProof/>
            <w:webHidden/>
          </w:rPr>
        </w:r>
        <w:r w:rsidR="00682FC0">
          <w:rPr>
            <w:noProof/>
            <w:webHidden/>
          </w:rPr>
          <w:fldChar w:fldCharType="separate"/>
        </w:r>
        <w:r w:rsidR="00682FC0">
          <w:rPr>
            <w:noProof/>
            <w:webHidden/>
          </w:rPr>
          <w:t>104</w:t>
        </w:r>
        <w:r w:rsidR="00682FC0">
          <w:rPr>
            <w:noProof/>
            <w:webHidden/>
          </w:rPr>
          <w:fldChar w:fldCharType="end"/>
        </w:r>
      </w:hyperlink>
    </w:p>
    <w:p w14:paraId="3F0328F4" w14:textId="130BA0D3" w:rsidR="00682FC0" w:rsidRDefault="00000000">
      <w:pPr>
        <w:pStyle w:val="TOC2"/>
        <w:rPr>
          <w:rFonts w:eastAsiaTheme="minorEastAsia" w:cstheme="minorBidi"/>
          <w:b w:val="0"/>
          <w:bCs w:val="0"/>
          <w:noProof/>
          <w:kern w:val="2"/>
          <w:lang w:eastAsia="en-AU"/>
          <w14:ligatures w14:val="standardContextual"/>
        </w:rPr>
      </w:pPr>
      <w:hyperlink w:anchor="_Toc159500946" w:history="1">
        <w:r w:rsidR="00682FC0" w:rsidRPr="0060053D">
          <w:rPr>
            <w:rStyle w:val="Hyperlink"/>
            <w:noProof/>
          </w:rPr>
          <w:t>3.5 Providing scaffolded support during the learning journey</w:t>
        </w:r>
        <w:r w:rsidR="00682FC0">
          <w:rPr>
            <w:noProof/>
            <w:webHidden/>
          </w:rPr>
          <w:tab/>
        </w:r>
        <w:r w:rsidR="00682FC0">
          <w:rPr>
            <w:noProof/>
            <w:webHidden/>
          </w:rPr>
          <w:fldChar w:fldCharType="begin"/>
        </w:r>
        <w:r w:rsidR="00682FC0">
          <w:rPr>
            <w:noProof/>
            <w:webHidden/>
          </w:rPr>
          <w:instrText xml:space="preserve"> PAGEREF _Toc159500946 \h </w:instrText>
        </w:r>
        <w:r w:rsidR="00682FC0">
          <w:rPr>
            <w:noProof/>
            <w:webHidden/>
          </w:rPr>
        </w:r>
        <w:r w:rsidR="00682FC0">
          <w:rPr>
            <w:noProof/>
            <w:webHidden/>
          </w:rPr>
          <w:fldChar w:fldCharType="separate"/>
        </w:r>
        <w:r w:rsidR="00682FC0">
          <w:rPr>
            <w:noProof/>
            <w:webHidden/>
          </w:rPr>
          <w:t>107</w:t>
        </w:r>
        <w:r w:rsidR="00682FC0">
          <w:rPr>
            <w:noProof/>
            <w:webHidden/>
          </w:rPr>
          <w:fldChar w:fldCharType="end"/>
        </w:r>
      </w:hyperlink>
    </w:p>
    <w:p w14:paraId="7746FAB8" w14:textId="729E6E79" w:rsidR="00682FC0" w:rsidRDefault="00000000">
      <w:pPr>
        <w:pStyle w:val="TOC3"/>
        <w:rPr>
          <w:rFonts w:eastAsiaTheme="minorEastAsia" w:cstheme="minorBidi"/>
          <w:noProof/>
          <w:kern w:val="2"/>
          <w:sz w:val="22"/>
          <w:szCs w:val="22"/>
          <w:lang w:eastAsia="en-AU"/>
          <w14:ligatures w14:val="standardContextual"/>
        </w:rPr>
      </w:pPr>
      <w:hyperlink w:anchor="_Toc159500947" w:history="1">
        <w:r w:rsidR="00682FC0" w:rsidRPr="0060053D">
          <w:rPr>
            <w:rStyle w:val="Hyperlink"/>
            <w:rFonts w:ascii="Calibri Light" w:hAnsi="Calibri Light"/>
            <w:bCs/>
            <w:noProof/>
          </w:rPr>
          <w:t>3.5.1</w:t>
        </w:r>
        <w:r w:rsidR="00682FC0" w:rsidRPr="0060053D">
          <w:rPr>
            <w:rStyle w:val="Hyperlink"/>
            <w:noProof/>
          </w:rPr>
          <w:t xml:space="preserve"> Supporting universities to recognise and teach for student needs</w:t>
        </w:r>
        <w:r w:rsidR="00682FC0">
          <w:rPr>
            <w:noProof/>
            <w:webHidden/>
          </w:rPr>
          <w:tab/>
        </w:r>
        <w:r w:rsidR="00682FC0">
          <w:rPr>
            <w:noProof/>
            <w:webHidden/>
          </w:rPr>
          <w:fldChar w:fldCharType="begin"/>
        </w:r>
        <w:r w:rsidR="00682FC0">
          <w:rPr>
            <w:noProof/>
            <w:webHidden/>
          </w:rPr>
          <w:instrText xml:space="preserve"> PAGEREF _Toc159500947 \h </w:instrText>
        </w:r>
        <w:r w:rsidR="00682FC0">
          <w:rPr>
            <w:noProof/>
            <w:webHidden/>
          </w:rPr>
        </w:r>
        <w:r w:rsidR="00682FC0">
          <w:rPr>
            <w:noProof/>
            <w:webHidden/>
          </w:rPr>
          <w:fldChar w:fldCharType="separate"/>
        </w:r>
        <w:r w:rsidR="00682FC0">
          <w:rPr>
            <w:noProof/>
            <w:webHidden/>
          </w:rPr>
          <w:t>107</w:t>
        </w:r>
        <w:r w:rsidR="00682FC0">
          <w:rPr>
            <w:noProof/>
            <w:webHidden/>
          </w:rPr>
          <w:fldChar w:fldCharType="end"/>
        </w:r>
      </w:hyperlink>
    </w:p>
    <w:p w14:paraId="790D5C20" w14:textId="397ABA38" w:rsidR="00682FC0" w:rsidRDefault="00000000">
      <w:pPr>
        <w:pStyle w:val="TOC2"/>
        <w:rPr>
          <w:rFonts w:eastAsiaTheme="minorEastAsia" w:cstheme="minorBidi"/>
          <w:b w:val="0"/>
          <w:bCs w:val="0"/>
          <w:noProof/>
          <w:kern w:val="2"/>
          <w:lang w:eastAsia="en-AU"/>
          <w14:ligatures w14:val="standardContextual"/>
        </w:rPr>
      </w:pPr>
      <w:hyperlink w:anchor="_Toc159500948" w:history="1">
        <w:r w:rsidR="00682FC0" w:rsidRPr="0060053D">
          <w:rPr>
            <w:rStyle w:val="Hyperlink"/>
            <w:noProof/>
          </w:rPr>
          <w:t>3.6 Removing roadblocks to participation</w:t>
        </w:r>
        <w:r w:rsidR="00682FC0">
          <w:rPr>
            <w:noProof/>
            <w:webHidden/>
          </w:rPr>
          <w:tab/>
        </w:r>
        <w:r w:rsidR="00682FC0">
          <w:rPr>
            <w:noProof/>
            <w:webHidden/>
          </w:rPr>
          <w:fldChar w:fldCharType="begin"/>
        </w:r>
        <w:r w:rsidR="00682FC0">
          <w:rPr>
            <w:noProof/>
            <w:webHidden/>
          </w:rPr>
          <w:instrText xml:space="preserve"> PAGEREF _Toc159500948 \h </w:instrText>
        </w:r>
        <w:r w:rsidR="00682FC0">
          <w:rPr>
            <w:noProof/>
            <w:webHidden/>
          </w:rPr>
        </w:r>
        <w:r w:rsidR="00682FC0">
          <w:rPr>
            <w:noProof/>
            <w:webHidden/>
          </w:rPr>
          <w:fldChar w:fldCharType="separate"/>
        </w:r>
        <w:r w:rsidR="00682FC0">
          <w:rPr>
            <w:noProof/>
            <w:webHidden/>
          </w:rPr>
          <w:t>109</w:t>
        </w:r>
        <w:r w:rsidR="00682FC0">
          <w:rPr>
            <w:noProof/>
            <w:webHidden/>
          </w:rPr>
          <w:fldChar w:fldCharType="end"/>
        </w:r>
      </w:hyperlink>
    </w:p>
    <w:p w14:paraId="10943E6D" w14:textId="2C312927" w:rsidR="00682FC0" w:rsidRDefault="00000000">
      <w:pPr>
        <w:pStyle w:val="TOC3"/>
        <w:rPr>
          <w:rFonts w:eastAsiaTheme="minorEastAsia" w:cstheme="minorBidi"/>
          <w:noProof/>
          <w:kern w:val="2"/>
          <w:sz w:val="22"/>
          <w:szCs w:val="22"/>
          <w:lang w:eastAsia="en-AU"/>
          <w14:ligatures w14:val="standardContextual"/>
        </w:rPr>
      </w:pPr>
      <w:hyperlink w:anchor="_Toc159500949" w:history="1">
        <w:r w:rsidR="00682FC0" w:rsidRPr="0060053D">
          <w:rPr>
            <w:rStyle w:val="Hyperlink"/>
            <w:rFonts w:ascii="Calibri Light" w:hAnsi="Calibri Light"/>
            <w:bCs/>
            <w:noProof/>
          </w:rPr>
          <w:t>3.6.1</w:t>
        </w:r>
        <w:r w:rsidR="00682FC0" w:rsidRPr="0060053D">
          <w:rPr>
            <w:rStyle w:val="Hyperlink"/>
            <w:noProof/>
          </w:rPr>
          <w:t xml:space="preserve"> Financial barriers to study</w:t>
        </w:r>
        <w:r w:rsidR="00682FC0">
          <w:rPr>
            <w:noProof/>
            <w:webHidden/>
          </w:rPr>
          <w:tab/>
        </w:r>
        <w:r w:rsidR="00682FC0">
          <w:rPr>
            <w:noProof/>
            <w:webHidden/>
          </w:rPr>
          <w:fldChar w:fldCharType="begin"/>
        </w:r>
        <w:r w:rsidR="00682FC0">
          <w:rPr>
            <w:noProof/>
            <w:webHidden/>
          </w:rPr>
          <w:instrText xml:space="preserve"> PAGEREF _Toc159500949 \h </w:instrText>
        </w:r>
        <w:r w:rsidR="00682FC0">
          <w:rPr>
            <w:noProof/>
            <w:webHidden/>
          </w:rPr>
        </w:r>
        <w:r w:rsidR="00682FC0">
          <w:rPr>
            <w:noProof/>
            <w:webHidden/>
          </w:rPr>
          <w:fldChar w:fldCharType="separate"/>
        </w:r>
        <w:r w:rsidR="00682FC0">
          <w:rPr>
            <w:noProof/>
            <w:webHidden/>
          </w:rPr>
          <w:t>109</w:t>
        </w:r>
        <w:r w:rsidR="00682FC0">
          <w:rPr>
            <w:noProof/>
            <w:webHidden/>
          </w:rPr>
          <w:fldChar w:fldCharType="end"/>
        </w:r>
      </w:hyperlink>
    </w:p>
    <w:p w14:paraId="222B8662" w14:textId="62C4C055" w:rsidR="00682FC0" w:rsidRDefault="00000000">
      <w:pPr>
        <w:pStyle w:val="TOC3"/>
        <w:rPr>
          <w:rFonts w:eastAsiaTheme="minorEastAsia" w:cstheme="minorBidi"/>
          <w:noProof/>
          <w:kern w:val="2"/>
          <w:sz w:val="22"/>
          <w:szCs w:val="22"/>
          <w:lang w:eastAsia="en-AU"/>
          <w14:ligatures w14:val="standardContextual"/>
        </w:rPr>
      </w:pPr>
      <w:hyperlink w:anchor="_Toc159500950" w:history="1">
        <w:r w:rsidR="00682FC0" w:rsidRPr="0060053D">
          <w:rPr>
            <w:rStyle w:val="Hyperlink"/>
            <w:rFonts w:ascii="Calibri Light" w:hAnsi="Calibri Light"/>
            <w:bCs/>
            <w:noProof/>
          </w:rPr>
          <w:t>3.6.2</w:t>
        </w:r>
        <w:r w:rsidR="00682FC0" w:rsidRPr="0060053D">
          <w:rPr>
            <w:rStyle w:val="Hyperlink"/>
            <w:noProof/>
          </w:rPr>
          <w:t xml:space="preserve"> Geographical barriers to study</w:t>
        </w:r>
        <w:r w:rsidR="00682FC0">
          <w:rPr>
            <w:noProof/>
            <w:webHidden/>
          </w:rPr>
          <w:tab/>
        </w:r>
        <w:r w:rsidR="00682FC0">
          <w:rPr>
            <w:noProof/>
            <w:webHidden/>
          </w:rPr>
          <w:fldChar w:fldCharType="begin"/>
        </w:r>
        <w:r w:rsidR="00682FC0">
          <w:rPr>
            <w:noProof/>
            <w:webHidden/>
          </w:rPr>
          <w:instrText xml:space="preserve"> PAGEREF _Toc159500950 \h </w:instrText>
        </w:r>
        <w:r w:rsidR="00682FC0">
          <w:rPr>
            <w:noProof/>
            <w:webHidden/>
          </w:rPr>
        </w:r>
        <w:r w:rsidR="00682FC0">
          <w:rPr>
            <w:noProof/>
            <w:webHidden/>
          </w:rPr>
          <w:fldChar w:fldCharType="separate"/>
        </w:r>
        <w:r w:rsidR="00682FC0">
          <w:rPr>
            <w:noProof/>
            <w:webHidden/>
          </w:rPr>
          <w:t>117</w:t>
        </w:r>
        <w:r w:rsidR="00682FC0">
          <w:rPr>
            <w:noProof/>
            <w:webHidden/>
          </w:rPr>
          <w:fldChar w:fldCharType="end"/>
        </w:r>
      </w:hyperlink>
    </w:p>
    <w:p w14:paraId="7ACF2C93" w14:textId="545AC246" w:rsidR="00682FC0" w:rsidRDefault="00000000">
      <w:pPr>
        <w:pStyle w:val="TOC2"/>
        <w:rPr>
          <w:rFonts w:eastAsiaTheme="minorEastAsia" w:cstheme="minorBidi"/>
          <w:b w:val="0"/>
          <w:bCs w:val="0"/>
          <w:noProof/>
          <w:kern w:val="2"/>
          <w:lang w:eastAsia="en-AU"/>
          <w14:ligatures w14:val="standardContextual"/>
        </w:rPr>
      </w:pPr>
      <w:hyperlink w:anchor="_Toc159500951" w:history="1">
        <w:r w:rsidR="00682FC0" w:rsidRPr="0060053D">
          <w:rPr>
            <w:rStyle w:val="Hyperlink"/>
            <w:noProof/>
          </w:rPr>
          <w:t>3.7 A holistic approach to achieving equity of participation and attainment</w:t>
        </w:r>
        <w:r w:rsidR="00682FC0">
          <w:rPr>
            <w:noProof/>
            <w:webHidden/>
          </w:rPr>
          <w:tab/>
        </w:r>
        <w:r w:rsidR="00682FC0">
          <w:rPr>
            <w:noProof/>
            <w:webHidden/>
          </w:rPr>
          <w:fldChar w:fldCharType="begin"/>
        </w:r>
        <w:r w:rsidR="00682FC0">
          <w:rPr>
            <w:noProof/>
            <w:webHidden/>
          </w:rPr>
          <w:instrText xml:space="preserve"> PAGEREF _Toc159500951 \h </w:instrText>
        </w:r>
        <w:r w:rsidR="00682FC0">
          <w:rPr>
            <w:noProof/>
            <w:webHidden/>
          </w:rPr>
        </w:r>
        <w:r w:rsidR="00682FC0">
          <w:rPr>
            <w:noProof/>
            <w:webHidden/>
          </w:rPr>
          <w:fldChar w:fldCharType="separate"/>
        </w:r>
        <w:r w:rsidR="00682FC0">
          <w:rPr>
            <w:noProof/>
            <w:webHidden/>
          </w:rPr>
          <w:t>120</w:t>
        </w:r>
        <w:r w:rsidR="00682FC0">
          <w:rPr>
            <w:noProof/>
            <w:webHidden/>
          </w:rPr>
          <w:fldChar w:fldCharType="end"/>
        </w:r>
      </w:hyperlink>
    </w:p>
    <w:p w14:paraId="78EDEE79" w14:textId="554B829B" w:rsidR="00682FC0" w:rsidRDefault="00000000">
      <w:pPr>
        <w:pStyle w:val="TOC1"/>
        <w:rPr>
          <w:rFonts w:eastAsiaTheme="minorEastAsia" w:cstheme="minorBidi"/>
          <w:b w:val="0"/>
          <w:bCs w:val="0"/>
          <w:i w:val="0"/>
          <w:iCs w:val="0"/>
          <w:noProof/>
          <w:kern w:val="2"/>
          <w:sz w:val="22"/>
          <w:szCs w:val="22"/>
          <w:lang w:eastAsia="en-AU"/>
          <w14:ligatures w14:val="standardContextual"/>
        </w:rPr>
      </w:pPr>
      <w:hyperlink w:anchor="_Toc159500952" w:history="1">
        <w:r w:rsidR="00682FC0" w:rsidRPr="0060053D">
          <w:rPr>
            <w:rStyle w:val="Hyperlink"/>
            <w:rFonts w:ascii="Calibri" w:hAnsi="Calibri"/>
            <w:noProof/>
          </w:rPr>
          <w:t>Chapter 4 –</w:t>
        </w:r>
        <w:r w:rsidR="00682FC0" w:rsidRPr="0060053D">
          <w:rPr>
            <w:rStyle w:val="Hyperlink"/>
            <w:noProof/>
          </w:rPr>
          <w:t xml:space="preserve"> Delivering for students</w:t>
        </w:r>
        <w:r w:rsidR="00682FC0">
          <w:rPr>
            <w:noProof/>
            <w:webHidden/>
          </w:rPr>
          <w:tab/>
        </w:r>
        <w:r w:rsidR="00682FC0">
          <w:rPr>
            <w:noProof/>
            <w:webHidden/>
          </w:rPr>
          <w:fldChar w:fldCharType="begin"/>
        </w:r>
        <w:r w:rsidR="00682FC0">
          <w:rPr>
            <w:noProof/>
            <w:webHidden/>
          </w:rPr>
          <w:instrText xml:space="preserve"> PAGEREF _Toc159500952 \h </w:instrText>
        </w:r>
        <w:r w:rsidR="00682FC0">
          <w:rPr>
            <w:noProof/>
            <w:webHidden/>
          </w:rPr>
        </w:r>
        <w:r w:rsidR="00682FC0">
          <w:rPr>
            <w:noProof/>
            <w:webHidden/>
          </w:rPr>
          <w:fldChar w:fldCharType="separate"/>
        </w:r>
        <w:r w:rsidR="00682FC0">
          <w:rPr>
            <w:noProof/>
            <w:webHidden/>
          </w:rPr>
          <w:t>121</w:t>
        </w:r>
        <w:r w:rsidR="00682FC0">
          <w:rPr>
            <w:noProof/>
            <w:webHidden/>
          </w:rPr>
          <w:fldChar w:fldCharType="end"/>
        </w:r>
      </w:hyperlink>
    </w:p>
    <w:p w14:paraId="5AE28786" w14:textId="1EE8F57D" w:rsidR="00682FC0" w:rsidRDefault="00000000">
      <w:pPr>
        <w:pStyle w:val="TOC2"/>
        <w:rPr>
          <w:rFonts w:eastAsiaTheme="minorEastAsia" w:cstheme="minorBidi"/>
          <w:b w:val="0"/>
          <w:bCs w:val="0"/>
          <w:noProof/>
          <w:kern w:val="2"/>
          <w:lang w:eastAsia="en-AU"/>
          <w14:ligatures w14:val="standardContextual"/>
        </w:rPr>
      </w:pPr>
      <w:hyperlink w:anchor="_Toc159500953" w:history="1">
        <w:r w:rsidR="00682FC0" w:rsidRPr="0060053D">
          <w:rPr>
            <w:rStyle w:val="Hyperlink"/>
            <w:noProof/>
          </w:rPr>
          <w:t>4.1 Students at the centre</w:t>
        </w:r>
        <w:r w:rsidR="00682FC0">
          <w:rPr>
            <w:noProof/>
            <w:webHidden/>
          </w:rPr>
          <w:tab/>
        </w:r>
        <w:r w:rsidR="00682FC0">
          <w:rPr>
            <w:noProof/>
            <w:webHidden/>
          </w:rPr>
          <w:fldChar w:fldCharType="begin"/>
        </w:r>
        <w:r w:rsidR="00682FC0">
          <w:rPr>
            <w:noProof/>
            <w:webHidden/>
          </w:rPr>
          <w:instrText xml:space="preserve"> PAGEREF _Toc159500953 \h </w:instrText>
        </w:r>
        <w:r w:rsidR="00682FC0">
          <w:rPr>
            <w:noProof/>
            <w:webHidden/>
          </w:rPr>
        </w:r>
        <w:r w:rsidR="00682FC0">
          <w:rPr>
            <w:noProof/>
            <w:webHidden/>
          </w:rPr>
          <w:fldChar w:fldCharType="separate"/>
        </w:r>
        <w:r w:rsidR="00682FC0">
          <w:rPr>
            <w:noProof/>
            <w:webHidden/>
          </w:rPr>
          <w:t>121</w:t>
        </w:r>
        <w:r w:rsidR="00682FC0">
          <w:rPr>
            <w:noProof/>
            <w:webHidden/>
          </w:rPr>
          <w:fldChar w:fldCharType="end"/>
        </w:r>
      </w:hyperlink>
    </w:p>
    <w:p w14:paraId="3F760B5A" w14:textId="77D949E3" w:rsidR="00682FC0" w:rsidRDefault="00000000">
      <w:pPr>
        <w:pStyle w:val="TOC2"/>
        <w:rPr>
          <w:rFonts w:eastAsiaTheme="minorEastAsia" w:cstheme="minorBidi"/>
          <w:b w:val="0"/>
          <w:bCs w:val="0"/>
          <w:noProof/>
          <w:kern w:val="2"/>
          <w:lang w:eastAsia="en-AU"/>
          <w14:ligatures w14:val="standardContextual"/>
        </w:rPr>
      </w:pPr>
      <w:hyperlink w:anchor="_Toc159500954" w:history="1">
        <w:r w:rsidR="00682FC0" w:rsidRPr="0060053D">
          <w:rPr>
            <w:rStyle w:val="Hyperlink"/>
            <w:noProof/>
          </w:rPr>
          <w:t>4.2 Improving student contributions and debt repayment arrangements</w:t>
        </w:r>
        <w:r w:rsidR="00682FC0">
          <w:rPr>
            <w:noProof/>
            <w:webHidden/>
          </w:rPr>
          <w:tab/>
        </w:r>
        <w:r w:rsidR="00682FC0">
          <w:rPr>
            <w:noProof/>
            <w:webHidden/>
          </w:rPr>
          <w:fldChar w:fldCharType="begin"/>
        </w:r>
        <w:r w:rsidR="00682FC0">
          <w:rPr>
            <w:noProof/>
            <w:webHidden/>
          </w:rPr>
          <w:instrText xml:space="preserve"> PAGEREF _Toc159500954 \h </w:instrText>
        </w:r>
        <w:r w:rsidR="00682FC0">
          <w:rPr>
            <w:noProof/>
            <w:webHidden/>
          </w:rPr>
        </w:r>
        <w:r w:rsidR="00682FC0">
          <w:rPr>
            <w:noProof/>
            <w:webHidden/>
          </w:rPr>
          <w:fldChar w:fldCharType="separate"/>
        </w:r>
        <w:r w:rsidR="00682FC0">
          <w:rPr>
            <w:noProof/>
            <w:webHidden/>
          </w:rPr>
          <w:t>121</w:t>
        </w:r>
        <w:r w:rsidR="00682FC0">
          <w:rPr>
            <w:noProof/>
            <w:webHidden/>
          </w:rPr>
          <w:fldChar w:fldCharType="end"/>
        </w:r>
      </w:hyperlink>
    </w:p>
    <w:p w14:paraId="2E9E5636" w14:textId="4F613DB9" w:rsidR="00682FC0" w:rsidRDefault="00000000">
      <w:pPr>
        <w:pStyle w:val="TOC3"/>
        <w:rPr>
          <w:rFonts w:eastAsiaTheme="minorEastAsia" w:cstheme="minorBidi"/>
          <w:noProof/>
          <w:kern w:val="2"/>
          <w:sz w:val="22"/>
          <w:szCs w:val="22"/>
          <w:lang w:eastAsia="en-AU"/>
          <w14:ligatures w14:val="standardContextual"/>
        </w:rPr>
      </w:pPr>
      <w:hyperlink w:anchor="_Toc159500955" w:history="1">
        <w:r w:rsidR="00682FC0" w:rsidRPr="0060053D">
          <w:rPr>
            <w:rStyle w:val="Hyperlink"/>
            <w:rFonts w:ascii="Calibri Light" w:hAnsi="Calibri Light"/>
            <w:bCs/>
            <w:noProof/>
          </w:rPr>
          <w:t>4.2.1</w:t>
        </w:r>
        <w:r w:rsidR="00682FC0" w:rsidRPr="0060053D">
          <w:rPr>
            <w:rStyle w:val="Hyperlink"/>
            <w:noProof/>
          </w:rPr>
          <w:t xml:space="preserve"> Fairer contributions for Commonwealth supported students</w:t>
        </w:r>
        <w:r w:rsidR="00682FC0">
          <w:rPr>
            <w:noProof/>
            <w:webHidden/>
          </w:rPr>
          <w:tab/>
        </w:r>
        <w:r w:rsidR="00682FC0">
          <w:rPr>
            <w:noProof/>
            <w:webHidden/>
          </w:rPr>
          <w:fldChar w:fldCharType="begin"/>
        </w:r>
        <w:r w:rsidR="00682FC0">
          <w:rPr>
            <w:noProof/>
            <w:webHidden/>
          </w:rPr>
          <w:instrText xml:space="preserve"> PAGEREF _Toc159500955 \h </w:instrText>
        </w:r>
        <w:r w:rsidR="00682FC0">
          <w:rPr>
            <w:noProof/>
            <w:webHidden/>
          </w:rPr>
        </w:r>
        <w:r w:rsidR="00682FC0">
          <w:rPr>
            <w:noProof/>
            <w:webHidden/>
          </w:rPr>
          <w:fldChar w:fldCharType="separate"/>
        </w:r>
        <w:r w:rsidR="00682FC0">
          <w:rPr>
            <w:noProof/>
            <w:webHidden/>
          </w:rPr>
          <w:t>123</w:t>
        </w:r>
        <w:r w:rsidR="00682FC0">
          <w:rPr>
            <w:noProof/>
            <w:webHidden/>
          </w:rPr>
          <w:fldChar w:fldCharType="end"/>
        </w:r>
      </w:hyperlink>
    </w:p>
    <w:p w14:paraId="0B5E1948" w14:textId="6E436B5C" w:rsidR="00682FC0" w:rsidRDefault="00000000">
      <w:pPr>
        <w:pStyle w:val="TOC3"/>
        <w:rPr>
          <w:rFonts w:eastAsiaTheme="minorEastAsia" w:cstheme="minorBidi"/>
          <w:noProof/>
          <w:kern w:val="2"/>
          <w:sz w:val="22"/>
          <w:szCs w:val="22"/>
          <w:lang w:eastAsia="en-AU"/>
          <w14:ligatures w14:val="standardContextual"/>
        </w:rPr>
      </w:pPr>
      <w:hyperlink w:anchor="_Toc159500956" w:history="1">
        <w:r w:rsidR="00682FC0" w:rsidRPr="0060053D">
          <w:rPr>
            <w:rStyle w:val="Hyperlink"/>
            <w:rFonts w:ascii="Calibri Light" w:hAnsi="Calibri Light"/>
            <w:bCs/>
            <w:noProof/>
          </w:rPr>
          <w:t>4.2.2</w:t>
        </w:r>
        <w:r w:rsidR="00682FC0" w:rsidRPr="0060053D">
          <w:rPr>
            <w:rStyle w:val="Hyperlink"/>
            <w:noProof/>
          </w:rPr>
          <w:t xml:space="preserve"> Building on the world-leading success of the HELP system</w:t>
        </w:r>
        <w:r w:rsidR="00682FC0">
          <w:rPr>
            <w:noProof/>
            <w:webHidden/>
          </w:rPr>
          <w:tab/>
        </w:r>
        <w:r w:rsidR="00682FC0">
          <w:rPr>
            <w:noProof/>
            <w:webHidden/>
          </w:rPr>
          <w:fldChar w:fldCharType="begin"/>
        </w:r>
        <w:r w:rsidR="00682FC0">
          <w:rPr>
            <w:noProof/>
            <w:webHidden/>
          </w:rPr>
          <w:instrText xml:space="preserve"> PAGEREF _Toc159500956 \h </w:instrText>
        </w:r>
        <w:r w:rsidR="00682FC0">
          <w:rPr>
            <w:noProof/>
            <w:webHidden/>
          </w:rPr>
        </w:r>
        <w:r w:rsidR="00682FC0">
          <w:rPr>
            <w:noProof/>
            <w:webHidden/>
          </w:rPr>
          <w:fldChar w:fldCharType="separate"/>
        </w:r>
        <w:r w:rsidR="00682FC0">
          <w:rPr>
            <w:noProof/>
            <w:webHidden/>
          </w:rPr>
          <w:t>125</w:t>
        </w:r>
        <w:r w:rsidR="00682FC0">
          <w:rPr>
            <w:noProof/>
            <w:webHidden/>
          </w:rPr>
          <w:fldChar w:fldCharType="end"/>
        </w:r>
      </w:hyperlink>
    </w:p>
    <w:p w14:paraId="33FC9375" w14:textId="0711FEC3" w:rsidR="00682FC0" w:rsidRDefault="00000000">
      <w:pPr>
        <w:pStyle w:val="TOC3"/>
        <w:rPr>
          <w:rFonts w:eastAsiaTheme="minorEastAsia" w:cstheme="minorBidi"/>
          <w:noProof/>
          <w:kern w:val="2"/>
          <w:sz w:val="22"/>
          <w:szCs w:val="22"/>
          <w:lang w:eastAsia="en-AU"/>
          <w14:ligatures w14:val="standardContextual"/>
        </w:rPr>
      </w:pPr>
      <w:hyperlink w:anchor="_Toc159500957" w:history="1">
        <w:r w:rsidR="00682FC0" w:rsidRPr="0060053D">
          <w:rPr>
            <w:rStyle w:val="Hyperlink"/>
            <w:rFonts w:ascii="Calibri Light" w:hAnsi="Calibri Light"/>
            <w:bCs/>
            <w:noProof/>
          </w:rPr>
          <w:t>4.2.3</w:t>
        </w:r>
        <w:r w:rsidR="00682FC0" w:rsidRPr="0060053D">
          <w:rPr>
            <w:rStyle w:val="Hyperlink"/>
            <w:noProof/>
          </w:rPr>
          <w:t xml:space="preserve"> Fair and flexible arrangements for full fee-paying students</w:t>
        </w:r>
        <w:r w:rsidR="00682FC0">
          <w:rPr>
            <w:noProof/>
            <w:webHidden/>
          </w:rPr>
          <w:tab/>
        </w:r>
        <w:r w:rsidR="00682FC0">
          <w:rPr>
            <w:noProof/>
            <w:webHidden/>
          </w:rPr>
          <w:fldChar w:fldCharType="begin"/>
        </w:r>
        <w:r w:rsidR="00682FC0">
          <w:rPr>
            <w:noProof/>
            <w:webHidden/>
          </w:rPr>
          <w:instrText xml:space="preserve"> PAGEREF _Toc159500957 \h </w:instrText>
        </w:r>
        <w:r w:rsidR="00682FC0">
          <w:rPr>
            <w:noProof/>
            <w:webHidden/>
          </w:rPr>
        </w:r>
        <w:r w:rsidR="00682FC0">
          <w:rPr>
            <w:noProof/>
            <w:webHidden/>
          </w:rPr>
          <w:fldChar w:fldCharType="separate"/>
        </w:r>
        <w:r w:rsidR="00682FC0">
          <w:rPr>
            <w:noProof/>
            <w:webHidden/>
          </w:rPr>
          <w:t>131</w:t>
        </w:r>
        <w:r w:rsidR="00682FC0">
          <w:rPr>
            <w:noProof/>
            <w:webHidden/>
          </w:rPr>
          <w:fldChar w:fldCharType="end"/>
        </w:r>
      </w:hyperlink>
    </w:p>
    <w:p w14:paraId="7BB1C119" w14:textId="33C9EBC1" w:rsidR="00682FC0" w:rsidRDefault="00000000">
      <w:pPr>
        <w:pStyle w:val="TOC2"/>
        <w:rPr>
          <w:rFonts w:eastAsiaTheme="minorEastAsia" w:cstheme="minorBidi"/>
          <w:b w:val="0"/>
          <w:bCs w:val="0"/>
          <w:noProof/>
          <w:kern w:val="2"/>
          <w:lang w:eastAsia="en-AU"/>
          <w14:ligatures w14:val="standardContextual"/>
        </w:rPr>
      </w:pPr>
      <w:hyperlink w:anchor="_Toc159500958" w:history="1">
        <w:r w:rsidR="00682FC0" w:rsidRPr="0060053D">
          <w:rPr>
            <w:rStyle w:val="Hyperlink"/>
            <w:noProof/>
          </w:rPr>
          <w:t>4.3 Ensuring a high-quality student experience</w:t>
        </w:r>
        <w:r w:rsidR="00682FC0">
          <w:rPr>
            <w:noProof/>
            <w:webHidden/>
          </w:rPr>
          <w:tab/>
        </w:r>
        <w:r w:rsidR="00682FC0">
          <w:rPr>
            <w:noProof/>
            <w:webHidden/>
          </w:rPr>
          <w:fldChar w:fldCharType="begin"/>
        </w:r>
        <w:r w:rsidR="00682FC0">
          <w:rPr>
            <w:noProof/>
            <w:webHidden/>
          </w:rPr>
          <w:instrText xml:space="preserve"> PAGEREF _Toc159500958 \h </w:instrText>
        </w:r>
        <w:r w:rsidR="00682FC0">
          <w:rPr>
            <w:noProof/>
            <w:webHidden/>
          </w:rPr>
        </w:r>
        <w:r w:rsidR="00682FC0">
          <w:rPr>
            <w:noProof/>
            <w:webHidden/>
          </w:rPr>
          <w:fldChar w:fldCharType="separate"/>
        </w:r>
        <w:r w:rsidR="00682FC0">
          <w:rPr>
            <w:noProof/>
            <w:webHidden/>
          </w:rPr>
          <w:t>135</w:t>
        </w:r>
        <w:r w:rsidR="00682FC0">
          <w:rPr>
            <w:noProof/>
            <w:webHidden/>
          </w:rPr>
          <w:fldChar w:fldCharType="end"/>
        </w:r>
      </w:hyperlink>
    </w:p>
    <w:p w14:paraId="6D49D4DD" w14:textId="5F7BE8CF" w:rsidR="00682FC0" w:rsidRDefault="00000000">
      <w:pPr>
        <w:pStyle w:val="TOC3"/>
        <w:rPr>
          <w:rFonts w:eastAsiaTheme="minorEastAsia" w:cstheme="minorBidi"/>
          <w:noProof/>
          <w:kern w:val="2"/>
          <w:sz w:val="22"/>
          <w:szCs w:val="22"/>
          <w:lang w:eastAsia="en-AU"/>
          <w14:ligatures w14:val="standardContextual"/>
        </w:rPr>
      </w:pPr>
      <w:hyperlink w:anchor="_Toc159500959" w:history="1">
        <w:r w:rsidR="00682FC0" w:rsidRPr="0060053D">
          <w:rPr>
            <w:rStyle w:val="Hyperlink"/>
            <w:rFonts w:ascii="Calibri Light" w:hAnsi="Calibri Light"/>
            <w:bCs/>
            <w:noProof/>
          </w:rPr>
          <w:t>4.3.1</w:t>
        </w:r>
        <w:r w:rsidR="00682FC0" w:rsidRPr="0060053D">
          <w:rPr>
            <w:rStyle w:val="Hyperlink"/>
            <w:noProof/>
          </w:rPr>
          <w:t xml:space="preserve"> Ensuring student safety and wellbeing</w:t>
        </w:r>
        <w:r w:rsidR="00682FC0">
          <w:rPr>
            <w:noProof/>
            <w:webHidden/>
          </w:rPr>
          <w:tab/>
        </w:r>
        <w:r w:rsidR="00682FC0">
          <w:rPr>
            <w:noProof/>
            <w:webHidden/>
          </w:rPr>
          <w:fldChar w:fldCharType="begin"/>
        </w:r>
        <w:r w:rsidR="00682FC0">
          <w:rPr>
            <w:noProof/>
            <w:webHidden/>
          </w:rPr>
          <w:instrText xml:space="preserve"> PAGEREF _Toc159500959 \h </w:instrText>
        </w:r>
        <w:r w:rsidR="00682FC0">
          <w:rPr>
            <w:noProof/>
            <w:webHidden/>
          </w:rPr>
        </w:r>
        <w:r w:rsidR="00682FC0">
          <w:rPr>
            <w:noProof/>
            <w:webHidden/>
          </w:rPr>
          <w:fldChar w:fldCharType="separate"/>
        </w:r>
        <w:r w:rsidR="00682FC0">
          <w:rPr>
            <w:noProof/>
            <w:webHidden/>
          </w:rPr>
          <w:t>136</w:t>
        </w:r>
        <w:r w:rsidR="00682FC0">
          <w:rPr>
            <w:noProof/>
            <w:webHidden/>
          </w:rPr>
          <w:fldChar w:fldCharType="end"/>
        </w:r>
      </w:hyperlink>
    </w:p>
    <w:p w14:paraId="44781AFF" w14:textId="22E5467E" w:rsidR="00682FC0" w:rsidRDefault="00000000">
      <w:pPr>
        <w:pStyle w:val="TOC3"/>
        <w:rPr>
          <w:rFonts w:eastAsiaTheme="minorEastAsia" w:cstheme="minorBidi"/>
          <w:noProof/>
          <w:kern w:val="2"/>
          <w:sz w:val="22"/>
          <w:szCs w:val="22"/>
          <w:lang w:eastAsia="en-AU"/>
          <w14:ligatures w14:val="standardContextual"/>
        </w:rPr>
      </w:pPr>
      <w:hyperlink w:anchor="_Toc159500960" w:history="1">
        <w:r w:rsidR="00682FC0" w:rsidRPr="0060053D">
          <w:rPr>
            <w:rStyle w:val="Hyperlink"/>
            <w:rFonts w:ascii="Calibri Light" w:hAnsi="Calibri Light"/>
            <w:bCs/>
            <w:noProof/>
          </w:rPr>
          <w:t>4.3.2</w:t>
        </w:r>
        <w:r w:rsidR="00682FC0" w:rsidRPr="0060053D">
          <w:rPr>
            <w:rStyle w:val="Hyperlink"/>
            <w:noProof/>
          </w:rPr>
          <w:t xml:space="preserve"> World-class learning and teaching</w:t>
        </w:r>
        <w:r w:rsidR="00682FC0">
          <w:rPr>
            <w:noProof/>
            <w:webHidden/>
          </w:rPr>
          <w:tab/>
        </w:r>
        <w:r w:rsidR="00682FC0">
          <w:rPr>
            <w:noProof/>
            <w:webHidden/>
          </w:rPr>
          <w:fldChar w:fldCharType="begin"/>
        </w:r>
        <w:r w:rsidR="00682FC0">
          <w:rPr>
            <w:noProof/>
            <w:webHidden/>
          </w:rPr>
          <w:instrText xml:space="preserve"> PAGEREF _Toc159500960 \h </w:instrText>
        </w:r>
        <w:r w:rsidR="00682FC0">
          <w:rPr>
            <w:noProof/>
            <w:webHidden/>
          </w:rPr>
        </w:r>
        <w:r w:rsidR="00682FC0">
          <w:rPr>
            <w:noProof/>
            <w:webHidden/>
          </w:rPr>
          <w:fldChar w:fldCharType="separate"/>
        </w:r>
        <w:r w:rsidR="00682FC0">
          <w:rPr>
            <w:noProof/>
            <w:webHidden/>
          </w:rPr>
          <w:t>141</w:t>
        </w:r>
        <w:r w:rsidR="00682FC0">
          <w:rPr>
            <w:noProof/>
            <w:webHidden/>
          </w:rPr>
          <w:fldChar w:fldCharType="end"/>
        </w:r>
      </w:hyperlink>
    </w:p>
    <w:p w14:paraId="4EB07417" w14:textId="13BB58D9" w:rsidR="00682FC0" w:rsidRDefault="00000000">
      <w:pPr>
        <w:pStyle w:val="TOC3"/>
        <w:rPr>
          <w:rFonts w:eastAsiaTheme="minorEastAsia" w:cstheme="minorBidi"/>
          <w:noProof/>
          <w:kern w:val="2"/>
          <w:sz w:val="22"/>
          <w:szCs w:val="22"/>
          <w:lang w:eastAsia="en-AU"/>
          <w14:ligatures w14:val="standardContextual"/>
        </w:rPr>
      </w:pPr>
      <w:hyperlink w:anchor="_Toc159500961" w:history="1">
        <w:r w:rsidR="00682FC0" w:rsidRPr="0060053D">
          <w:rPr>
            <w:rStyle w:val="Hyperlink"/>
            <w:rFonts w:ascii="Calibri Light" w:hAnsi="Calibri Light"/>
            <w:bCs/>
            <w:noProof/>
          </w:rPr>
          <w:t>4.3.3</w:t>
        </w:r>
        <w:r w:rsidR="00682FC0" w:rsidRPr="0060053D">
          <w:rPr>
            <w:rStyle w:val="Hyperlink"/>
            <w:noProof/>
          </w:rPr>
          <w:t xml:space="preserve"> International education</w:t>
        </w:r>
        <w:r w:rsidR="00682FC0">
          <w:rPr>
            <w:noProof/>
            <w:webHidden/>
          </w:rPr>
          <w:tab/>
        </w:r>
        <w:r w:rsidR="00682FC0">
          <w:rPr>
            <w:noProof/>
            <w:webHidden/>
          </w:rPr>
          <w:fldChar w:fldCharType="begin"/>
        </w:r>
        <w:r w:rsidR="00682FC0">
          <w:rPr>
            <w:noProof/>
            <w:webHidden/>
          </w:rPr>
          <w:instrText xml:space="preserve"> PAGEREF _Toc159500961 \h </w:instrText>
        </w:r>
        <w:r w:rsidR="00682FC0">
          <w:rPr>
            <w:noProof/>
            <w:webHidden/>
          </w:rPr>
        </w:r>
        <w:r w:rsidR="00682FC0">
          <w:rPr>
            <w:noProof/>
            <w:webHidden/>
          </w:rPr>
          <w:fldChar w:fldCharType="separate"/>
        </w:r>
        <w:r w:rsidR="00682FC0">
          <w:rPr>
            <w:noProof/>
            <w:webHidden/>
          </w:rPr>
          <w:t>149</w:t>
        </w:r>
        <w:r w:rsidR="00682FC0">
          <w:rPr>
            <w:noProof/>
            <w:webHidden/>
          </w:rPr>
          <w:fldChar w:fldCharType="end"/>
        </w:r>
      </w:hyperlink>
    </w:p>
    <w:p w14:paraId="62626CD2" w14:textId="0F508A61" w:rsidR="00682FC0" w:rsidRDefault="00000000">
      <w:pPr>
        <w:pStyle w:val="TOC2"/>
        <w:rPr>
          <w:rFonts w:eastAsiaTheme="minorEastAsia" w:cstheme="minorBidi"/>
          <w:b w:val="0"/>
          <w:bCs w:val="0"/>
          <w:noProof/>
          <w:kern w:val="2"/>
          <w:lang w:eastAsia="en-AU"/>
          <w14:ligatures w14:val="standardContextual"/>
        </w:rPr>
      </w:pPr>
      <w:hyperlink w:anchor="_Toc159500962" w:history="1">
        <w:r w:rsidR="00682FC0" w:rsidRPr="0060053D">
          <w:rPr>
            <w:rStyle w:val="Hyperlink"/>
            <w:noProof/>
          </w:rPr>
          <w:t>4.4 Changes that focus on students</w:t>
        </w:r>
        <w:r w:rsidR="00682FC0">
          <w:rPr>
            <w:noProof/>
            <w:webHidden/>
          </w:rPr>
          <w:tab/>
        </w:r>
        <w:r w:rsidR="00682FC0">
          <w:rPr>
            <w:noProof/>
            <w:webHidden/>
          </w:rPr>
          <w:fldChar w:fldCharType="begin"/>
        </w:r>
        <w:r w:rsidR="00682FC0">
          <w:rPr>
            <w:noProof/>
            <w:webHidden/>
          </w:rPr>
          <w:instrText xml:space="preserve"> PAGEREF _Toc159500962 \h </w:instrText>
        </w:r>
        <w:r w:rsidR="00682FC0">
          <w:rPr>
            <w:noProof/>
            <w:webHidden/>
          </w:rPr>
        </w:r>
        <w:r w:rsidR="00682FC0">
          <w:rPr>
            <w:noProof/>
            <w:webHidden/>
          </w:rPr>
          <w:fldChar w:fldCharType="separate"/>
        </w:r>
        <w:r w:rsidR="00682FC0">
          <w:rPr>
            <w:noProof/>
            <w:webHidden/>
          </w:rPr>
          <w:t>156</w:t>
        </w:r>
        <w:r w:rsidR="00682FC0">
          <w:rPr>
            <w:noProof/>
            <w:webHidden/>
          </w:rPr>
          <w:fldChar w:fldCharType="end"/>
        </w:r>
      </w:hyperlink>
    </w:p>
    <w:p w14:paraId="74F5A5A7" w14:textId="15C9CEDC" w:rsidR="00682FC0" w:rsidRDefault="00000000">
      <w:pPr>
        <w:pStyle w:val="TOC1"/>
        <w:rPr>
          <w:rFonts w:eastAsiaTheme="minorEastAsia" w:cstheme="minorBidi"/>
          <w:b w:val="0"/>
          <w:bCs w:val="0"/>
          <w:i w:val="0"/>
          <w:iCs w:val="0"/>
          <w:noProof/>
          <w:kern w:val="2"/>
          <w:sz w:val="22"/>
          <w:szCs w:val="22"/>
          <w:lang w:eastAsia="en-AU"/>
          <w14:ligatures w14:val="standardContextual"/>
        </w:rPr>
      </w:pPr>
      <w:hyperlink w:anchor="_Toc159500963" w:history="1">
        <w:r w:rsidR="00682FC0" w:rsidRPr="0060053D">
          <w:rPr>
            <w:rStyle w:val="Hyperlink"/>
            <w:rFonts w:ascii="Calibri" w:hAnsi="Calibri"/>
            <w:noProof/>
          </w:rPr>
          <w:t>Chapter 5 –</w:t>
        </w:r>
        <w:r w:rsidR="00682FC0" w:rsidRPr="0060053D">
          <w:rPr>
            <w:rStyle w:val="Hyperlink"/>
            <w:noProof/>
          </w:rPr>
          <w:t xml:space="preserve"> Producing and using new knowledge</w:t>
        </w:r>
        <w:r w:rsidR="00682FC0">
          <w:rPr>
            <w:noProof/>
            <w:webHidden/>
          </w:rPr>
          <w:tab/>
        </w:r>
        <w:r w:rsidR="00682FC0">
          <w:rPr>
            <w:noProof/>
            <w:webHidden/>
          </w:rPr>
          <w:fldChar w:fldCharType="begin"/>
        </w:r>
        <w:r w:rsidR="00682FC0">
          <w:rPr>
            <w:noProof/>
            <w:webHidden/>
          </w:rPr>
          <w:instrText xml:space="preserve"> PAGEREF _Toc159500963 \h </w:instrText>
        </w:r>
        <w:r w:rsidR="00682FC0">
          <w:rPr>
            <w:noProof/>
            <w:webHidden/>
          </w:rPr>
        </w:r>
        <w:r w:rsidR="00682FC0">
          <w:rPr>
            <w:noProof/>
            <w:webHidden/>
          </w:rPr>
          <w:fldChar w:fldCharType="separate"/>
        </w:r>
        <w:r w:rsidR="00682FC0">
          <w:rPr>
            <w:noProof/>
            <w:webHidden/>
          </w:rPr>
          <w:t>158</w:t>
        </w:r>
        <w:r w:rsidR="00682FC0">
          <w:rPr>
            <w:noProof/>
            <w:webHidden/>
          </w:rPr>
          <w:fldChar w:fldCharType="end"/>
        </w:r>
      </w:hyperlink>
    </w:p>
    <w:p w14:paraId="0EE0F10E" w14:textId="7BB6458C" w:rsidR="00682FC0" w:rsidRDefault="00000000">
      <w:pPr>
        <w:pStyle w:val="TOC2"/>
        <w:rPr>
          <w:rFonts w:eastAsiaTheme="minorEastAsia" w:cstheme="minorBidi"/>
          <w:b w:val="0"/>
          <w:bCs w:val="0"/>
          <w:noProof/>
          <w:kern w:val="2"/>
          <w:lang w:eastAsia="en-AU"/>
          <w14:ligatures w14:val="standardContextual"/>
        </w:rPr>
      </w:pPr>
      <w:hyperlink w:anchor="_Toc159500964" w:history="1">
        <w:r w:rsidR="00682FC0" w:rsidRPr="0060053D">
          <w:rPr>
            <w:rStyle w:val="Hyperlink"/>
            <w:noProof/>
          </w:rPr>
          <w:t>5.1 Introduction</w:t>
        </w:r>
        <w:r w:rsidR="00682FC0">
          <w:rPr>
            <w:noProof/>
            <w:webHidden/>
          </w:rPr>
          <w:tab/>
        </w:r>
        <w:r w:rsidR="00682FC0">
          <w:rPr>
            <w:noProof/>
            <w:webHidden/>
          </w:rPr>
          <w:fldChar w:fldCharType="begin"/>
        </w:r>
        <w:r w:rsidR="00682FC0">
          <w:rPr>
            <w:noProof/>
            <w:webHidden/>
          </w:rPr>
          <w:instrText xml:space="preserve"> PAGEREF _Toc159500964 \h </w:instrText>
        </w:r>
        <w:r w:rsidR="00682FC0">
          <w:rPr>
            <w:noProof/>
            <w:webHidden/>
          </w:rPr>
        </w:r>
        <w:r w:rsidR="00682FC0">
          <w:rPr>
            <w:noProof/>
            <w:webHidden/>
          </w:rPr>
          <w:fldChar w:fldCharType="separate"/>
        </w:r>
        <w:r w:rsidR="00682FC0">
          <w:rPr>
            <w:noProof/>
            <w:webHidden/>
          </w:rPr>
          <w:t>158</w:t>
        </w:r>
        <w:r w:rsidR="00682FC0">
          <w:rPr>
            <w:noProof/>
            <w:webHidden/>
          </w:rPr>
          <w:fldChar w:fldCharType="end"/>
        </w:r>
      </w:hyperlink>
    </w:p>
    <w:p w14:paraId="668C6373" w14:textId="1281B6F9" w:rsidR="00682FC0" w:rsidRDefault="00000000">
      <w:pPr>
        <w:pStyle w:val="TOC2"/>
        <w:rPr>
          <w:rFonts w:eastAsiaTheme="minorEastAsia" w:cstheme="minorBidi"/>
          <w:b w:val="0"/>
          <w:bCs w:val="0"/>
          <w:noProof/>
          <w:kern w:val="2"/>
          <w:lang w:eastAsia="en-AU"/>
          <w14:ligatures w14:val="standardContextual"/>
        </w:rPr>
      </w:pPr>
      <w:hyperlink w:anchor="_Toc159500965" w:history="1">
        <w:r w:rsidR="00682FC0" w:rsidRPr="0060053D">
          <w:rPr>
            <w:rStyle w:val="Hyperlink"/>
            <w:noProof/>
          </w:rPr>
          <w:t>5.2 Australian higher education research – context and comparisons</w:t>
        </w:r>
        <w:r w:rsidR="00682FC0">
          <w:rPr>
            <w:noProof/>
            <w:webHidden/>
          </w:rPr>
          <w:tab/>
        </w:r>
        <w:r w:rsidR="00682FC0">
          <w:rPr>
            <w:noProof/>
            <w:webHidden/>
          </w:rPr>
          <w:fldChar w:fldCharType="begin"/>
        </w:r>
        <w:r w:rsidR="00682FC0">
          <w:rPr>
            <w:noProof/>
            <w:webHidden/>
          </w:rPr>
          <w:instrText xml:space="preserve"> PAGEREF _Toc159500965 \h </w:instrText>
        </w:r>
        <w:r w:rsidR="00682FC0">
          <w:rPr>
            <w:noProof/>
            <w:webHidden/>
          </w:rPr>
        </w:r>
        <w:r w:rsidR="00682FC0">
          <w:rPr>
            <w:noProof/>
            <w:webHidden/>
          </w:rPr>
          <w:fldChar w:fldCharType="separate"/>
        </w:r>
        <w:r w:rsidR="00682FC0">
          <w:rPr>
            <w:noProof/>
            <w:webHidden/>
          </w:rPr>
          <w:t>159</w:t>
        </w:r>
        <w:r w:rsidR="00682FC0">
          <w:rPr>
            <w:noProof/>
            <w:webHidden/>
          </w:rPr>
          <w:fldChar w:fldCharType="end"/>
        </w:r>
      </w:hyperlink>
    </w:p>
    <w:p w14:paraId="32D029EA" w14:textId="07E2407E" w:rsidR="00682FC0" w:rsidRDefault="00000000">
      <w:pPr>
        <w:pStyle w:val="TOC3"/>
        <w:rPr>
          <w:rFonts w:eastAsiaTheme="minorEastAsia" w:cstheme="minorBidi"/>
          <w:noProof/>
          <w:kern w:val="2"/>
          <w:sz w:val="22"/>
          <w:szCs w:val="22"/>
          <w:lang w:eastAsia="en-AU"/>
          <w14:ligatures w14:val="standardContextual"/>
        </w:rPr>
      </w:pPr>
      <w:hyperlink w:anchor="_Toc159500966" w:history="1">
        <w:r w:rsidR="00682FC0" w:rsidRPr="0060053D">
          <w:rPr>
            <w:rStyle w:val="Hyperlink"/>
            <w:rFonts w:ascii="Calibri Light" w:hAnsi="Calibri Light"/>
            <w:bCs/>
            <w:noProof/>
          </w:rPr>
          <w:t>5.2.1</w:t>
        </w:r>
        <w:r w:rsidR="00682FC0" w:rsidRPr="0060053D">
          <w:rPr>
            <w:rStyle w:val="Hyperlink"/>
            <w:noProof/>
          </w:rPr>
          <w:t xml:space="preserve"> Higher education research is high-quality</w:t>
        </w:r>
        <w:r w:rsidR="00682FC0">
          <w:rPr>
            <w:noProof/>
            <w:webHidden/>
          </w:rPr>
          <w:tab/>
        </w:r>
        <w:r w:rsidR="00682FC0">
          <w:rPr>
            <w:noProof/>
            <w:webHidden/>
          </w:rPr>
          <w:fldChar w:fldCharType="begin"/>
        </w:r>
        <w:r w:rsidR="00682FC0">
          <w:rPr>
            <w:noProof/>
            <w:webHidden/>
          </w:rPr>
          <w:instrText xml:space="preserve"> PAGEREF _Toc159500966 \h </w:instrText>
        </w:r>
        <w:r w:rsidR="00682FC0">
          <w:rPr>
            <w:noProof/>
            <w:webHidden/>
          </w:rPr>
        </w:r>
        <w:r w:rsidR="00682FC0">
          <w:rPr>
            <w:noProof/>
            <w:webHidden/>
          </w:rPr>
          <w:fldChar w:fldCharType="separate"/>
        </w:r>
        <w:r w:rsidR="00682FC0">
          <w:rPr>
            <w:noProof/>
            <w:webHidden/>
          </w:rPr>
          <w:t>159</w:t>
        </w:r>
        <w:r w:rsidR="00682FC0">
          <w:rPr>
            <w:noProof/>
            <w:webHidden/>
          </w:rPr>
          <w:fldChar w:fldCharType="end"/>
        </w:r>
      </w:hyperlink>
    </w:p>
    <w:p w14:paraId="76E4C880" w14:textId="057E24D2" w:rsidR="00682FC0" w:rsidRDefault="00000000">
      <w:pPr>
        <w:pStyle w:val="TOC3"/>
        <w:rPr>
          <w:rFonts w:eastAsiaTheme="minorEastAsia" w:cstheme="minorBidi"/>
          <w:noProof/>
          <w:kern w:val="2"/>
          <w:sz w:val="22"/>
          <w:szCs w:val="22"/>
          <w:lang w:eastAsia="en-AU"/>
          <w14:ligatures w14:val="standardContextual"/>
        </w:rPr>
      </w:pPr>
      <w:hyperlink w:anchor="_Toc159500967" w:history="1">
        <w:r w:rsidR="00682FC0" w:rsidRPr="0060053D">
          <w:rPr>
            <w:rStyle w:val="Hyperlink"/>
            <w:rFonts w:ascii="Calibri Light" w:hAnsi="Calibri Light"/>
            <w:bCs/>
            <w:noProof/>
          </w:rPr>
          <w:t>5.2.2</w:t>
        </w:r>
        <w:r w:rsidR="00682FC0" w:rsidRPr="0060053D">
          <w:rPr>
            <w:rStyle w:val="Hyperlink"/>
            <w:noProof/>
          </w:rPr>
          <w:t xml:space="preserve"> National R&amp;D expenditure is low and overly reliant on higher education</w:t>
        </w:r>
        <w:r w:rsidR="00682FC0">
          <w:rPr>
            <w:noProof/>
            <w:webHidden/>
          </w:rPr>
          <w:tab/>
        </w:r>
        <w:r w:rsidR="00682FC0">
          <w:rPr>
            <w:noProof/>
            <w:webHidden/>
          </w:rPr>
          <w:fldChar w:fldCharType="begin"/>
        </w:r>
        <w:r w:rsidR="00682FC0">
          <w:rPr>
            <w:noProof/>
            <w:webHidden/>
          </w:rPr>
          <w:instrText xml:space="preserve"> PAGEREF _Toc159500967 \h </w:instrText>
        </w:r>
        <w:r w:rsidR="00682FC0">
          <w:rPr>
            <w:noProof/>
            <w:webHidden/>
          </w:rPr>
        </w:r>
        <w:r w:rsidR="00682FC0">
          <w:rPr>
            <w:noProof/>
            <w:webHidden/>
          </w:rPr>
          <w:fldChar w:fldCharType="separate"/>
        </w:r>
        <w:r w:rsidR="00682FC0">
          <w:rPr>
            <w:noProof/>
            <w:webHidden/>
          </w:rPr>
          <w:t>161</w:t>
        </w:r>
        <w:r w:rsidR="00682FC0">
          <w:rPr>
            <w:noProof/>
            <w:webHidden/>
          </w:rPr>
          <w:fldChar w:fldCharType="end"/>
        </w:r>
      </w:hyperlink>
    </w:p>
    <w:p w14:paraId="41ECD62E" w14:textId="4DB8F828" w:rsidR="00682FC0" w:rsidRDefault="00000000">
      <w:pPr>
        <w:pStyle w:val="TOC3"/>
        <w:rPr>
          <w:rFonts w:eastAsiaTheme="minorEastAsia" w:cstheme="minorBidi"/>
          <w:noProof/>
          <w:kern w:val="2"/>
          <w:sz w:val="22"/>
          <w:szCs w:val="22"/>
          <w:lang w:eastAsia="en-AU"/>
          <w14:ligatures w14:val="standardContextual"/>
        </w:rPr>
      </w:pPr>
      <w:hyperlink w:anchor="_Toc159500968" w:history="1">
        <w:r w:rsidR="00682FC0" w:rsidRPr="0060053D">
          <w:rPr>
            <w:rStyle w:val="Hyperlink"/>
            <w:rFonts w:ascii="Calibri Light" w:hAnsi="Calibri Light"/>
            <w:bCs/>
            <w:noProof/>
          </w:rPr>
          <w:t>5.2.3</w:t>
        </w:r>
        <w:r w:rsidR="00682FC0" w:rsidRPr="0060053D">
          <w:rPr>
            <w:rStyle w:val="Hyperlink"/>
            <w:noProof/>
          </w:rPr>
          <w:t xml:space="preserve"> Innovation outputs are low</w:t>
        </w:r>
        <w:r w:rsidR="00682FC0">
          <w:rPr>
            <w:noProof/>
            <w:webHidden/>
          </w:rPr>
          <w:tab/>
        </w:r>
        <w:r w:rsidR="00682FC0">
          <w:rPr>
            <w:noProof/>
            <w:webHidden/>
          </w:rPr>
          <w:fldChar w:fldCharType="begin"/>
        </w:r>
        <w:r w:rsidR="00682FC0">
          <w:rPr>
            <w:noProof/>
            <w:webHidden/>
          </w:rPr>
          <w:instrText xml:space="preserve"> PAGEREF _Toc159500968 \h </w:instrText>
        </w:r>
        <w:r w:rsidR="00682FC0">
          <w:rPr>
            <w:noProof/>
            <w:webHidden/>
          </w:rPr>
        </w:r>
        <w:r w:rsidR="00682FC0">
          <w:rPr>
            <w:noProof/>
            <w:webHidden/>
          </w:rPr>
          <w:fldChar w:fldCharType="separate"/>
        </w:r>
        <w:r w:rsidR="00682FC0">
          <w:rPr>
            <w:noProof/>
            <w:webHidden/>
          </w:rPr>
          <w:t>164</w:t>
        </w:r>
        <w:r w:rsidR="00682FC0">
          <w:rPr>
            <w:noProof/>
            <w:webHidden/>
          </w:rPr>
          <w:fldChar w:fldCharType="end"/>
        </w:r>
      </w:hyperlink>
    </w:p>
    <w:p w14:paraId="35E169F8" w14:textId="085C8D60" w:rsidR="00682FC0" w:rsidRDefault="00000000">
      <w:pPr>
        <w:pStyle w:val="TOC2"/>
        <w:rPr>
          <w:rFonts w:eastAsiaTheme="minorEastAsia" w:cstheme="minorBidi"/>
          <w:b w:val="0"/>
          <w:bCs w:val="0"/>
          <w:noProof/>
          <w:kern w:val="2"/>
          <w:lang w:eastAsia="en-AU"/>
          <w14:ligatures w14:val="standardContextual"/>
        </w:rPr>
      </w:pPr>
      <w:hyperlink w:anchor="_Toc159500969" w:history="1">
        <w:r w:rsidR="00682FC0" w:rsidRPr="0060053D">
          <w:rPr>
            <w:rStyle w:val="Hyperlink"/>
            <w:noProof/>
          </w:rPr>
          <w:t>5.3 A call for a considered R&amp;D target strategy</w:t>
        </w:r>
        <w:r w:rsidR="00682FC0">
          <w:rPr>
            <w:noProof/>
            <w:webHidden/>
          </w:rPr>
          <w:tab/>
        </w:r>
        <w:r w:rsidR="00682FC0">
          <w:rPr>
            <w:noProof/>
            <w:webHidden/>
          </w:rPr>
          <w:fldChar w:fldCharType="begin"/>
        </w:r>
        <w:r w:rsidR="00682FC0">
          <w:rPr>
            <w:noProof/>
            <w:webHidden/>
          </w:rPr>
          <w:instrText xml:space="preserve"> PAGEREF _Toc159500969 \h </w:instrText>
        </w:r>
        <w:r w:rsidR="00682FC0">
          <w:rPr>
            <w:noProof/>
            <w:webHidden/>
          </w:rPr>
        </w:r>
        <w:r w:rsidR="00682FC0">
          <w:rPr>
            <w:noProof/>
            <w:webHidden/>
          </w:rPr>
          <w:fldChar w:fldCharType="separate"/>
        </w:r>
        <w:r w:rsidR="00682FC0">
          <w:rPr>
            <w:noProof/>
            <w:webHidden/>
          </w:rPr>
          <w:t>165</w:t>
        </w:r>
        <w:r w:rsidR="00682FC0">
          <w:rPr>
            <w:noProof/>
            <w:webHidden/>
          </w:rPr>
          <w:fldChar w:fldCharType="end"/>
        </w:r>
      </w:hyperlink>
    </w:p>
    <w:p w14:paraId="23AB1EF8" w14:textId="00D4DE06" w:rsidR="00682FC0" w:rsidRDefault="00000000">
      <w:pPr>
        <w:pStyle w:val="TOC2"/>
        <w:rPr>
          <w:rFonts w:eastAsiaTheme="minorEastAsia" w:cstheme="minorBidi"/>
          <w:b w:val="0"/>
          <w:bCs w:val="0"/>
          <w:noProof/>
          <w:kern w:val="2"/>
          <w:lang w:eastAsia="en-AU"/>
          <w14:ligatures w14:val="standardContextual"/>
        </w:rPr>
      </w:pPr>
      <w:hyperlink w:anchor="_Toc159500970" w:history="1">
        <w:r w:rsidR="00682FC0" w:rsidRPr="0060053D">
          <w:rPr>
            <w:rStyle w:val="Hyperlink"/>
            <w:noProof/>
          </w:rPr>
          <w:t>5.4 Making sure that Australian university research has maximum impact</w:t>
        </w:r>
        <w:r w:rsidR="00682FC0">
          <w:rPr>
            <w:noProof/>
            <w:webHidden/>
          </w:rPr>
          <w:tab/>
        </w:r>
        <w:r w:rsidR="00682FC0">
          <w:rPr>
            <w:noProof/>
            <w:webHidden/>
          </w:rPr>
          <w:fldChar w:fldCharType="begin"/>
        </w:r>
        <w:r w:rsidR="00682FC0">
          <w:rPr>
            <w:noProof/>
            <w:webHidden/>
          </w:rPr>
          <w:instrText xml:space="preserve"> PAGEREF _Toc159500970 \h </w:instrText>
        </w:r>
        <w:r w:rsidR="00682FC0">
          <w:rPr>
            <w:noProof/>
            <w:webHidden/>
          </w:rPr>
        </w:r>
        <w:r w:rsidR="00682FC0">
          <w:rPr>
            <w:noProof/>
            <w:webHidden/>
          </w:rPr>
          <w:fldChar w:fldCharType="separate"/>
        </w:r>
        <w:r w:rsidR="00682FC0">
          <w:rPr>
            <w:noProof/>
            <w:webHidden/>
          </w:rPr>
          <w:t>167</w:t>
        </w:r>
        <w:r w:rsidR="00682FC0">
          <w:rPr>
            <w:noProof/>
            <w:webHidden/>
          </w:rPr>
          <w:fldChar w:fldCharType="end"/>
        </w:r>
      </w:hyperlink>
    </w:p>
    <w:p w14:paraId="76CFDBB2" w14:textId="77AE1DA5" w:rsidR="00682FC0" w:rsidRDefault="00000000">
      <w:pPr>
        <w:pStyle w:val="TOC3"/>
        <w:rPr>
          <w:rFonts w:eastAsiaTheme="minorEastAsia" w:cstheme="minorBidi"/>
          <w:noProof/>
          <w:kern w:val="2"/>
          <w:sz w:val="22"/>
          <w:szCs w:val="22"/>
          <w:lang w:eastAsia="en-AU"/>
          <w14:ligatures w14:val="standardContextual"/>
        </w:rPr>
      </w:pPr>
      <w:hyperlink w:anchor="_Toc159500971" w:history="1">
        <w:r w:rsidR="00682FC0" w:rsidRPr="0060053D">
          <w:rPr>
            <w:rStyle w:val="Hyperlink"/>
            <w:rFonts w:ascii="Calibri Light" w:hAnsi="Calibri Light"/>
            <w:bCs/>
            <w:noProof/>
          </w:rPr>
          <w:t>5.4.1</w:t>
        </w:r>
        <w:r w:rsidR="00682FC0" w:rsidRPr="0060053D">
          <w:rPr>
            <w:rStyle w:val="Hyperlink"/>
            <w:noProof/>
          </w:rPr>
          <w:t xml:space="preserve"> Mechanisms for sharing research problems and capabilities</w:t>
        </w:r>
        <w:r w:rsidR="00682FC0">
          <w:rPr>
            <w:noProof/>
            <w:webHidden/>
          </w:rPr>
          <w:tab/>
        </w:r>
        <w:r w:rsidR="00682FC0">
          <w:rPr>
            <w:noProof/>
            <w:webHidden/>
          </w:rPr>
          <w:fldChar w:fldCharType="begin"/>
        </w:r>
        <w:r w:rsidR="00682FC0">
          <w:rPr>
            <w:noProof/>
            <w:webHidden/>
          </w:rPr>
          <w:instrText xml:space="preserve"> PAGEREF _Toc159500971 \h </w:instrText>
        </w:r>
        <w:r w:rsidR="00682FC0">
          <w:rPr>
            <w:noProof/>
            <w:webHidden/>
          </w:rPr>
        </w:r>
        <w:r w:rsidR="00682FC0">
          <w:rPr>
            <w:noProof/>
            <w:webHidden/>
          </w:rPr>
          <w:fldChar w:fldCharType="separate"/>
        </w:r>
        <w:r w:rsidR="00682FC0">
          <w:rPr>
            <w:noProof/>
            <w:webHidden/>
          </w:rPr>
          <w:t>168</w:t>
        </w:r>
        <w:r w:rsidR="00682FC0">
          <w:rPr>
            <w:noProof/>
            <w:webHidden/>
          </w:rPr>
          <w:fldChar w:fldCharType="end"/>
        </w:r>
      </w:hyperlink>
    </w:p>
    <w:p w14:paraId="1F2C2012" w14:textId="0CFF8AD7" w:rsidR="00682FC0" w:rsidRDefault="00000000">
      <w:pPr>
        <w:pStyle w:val="TOC3"/>
        <w:rPr>
          <w:rFonts w:eastAsiaTheme="minorEastAsia" w:cstheme="minorBidi"/>
          <w:noProof/>
          <w:kern w:val="2"/>
          <w:sz w:val="22"/>
          <w:szCs w:val="22"/>
          <w:lang w:eastAsia="en-AU"/>
          <w14:ligatures w14:val="standardContextual"/>
        </w:rPr>
      </w:pPr>
      <w:hyperlink w:anchor="_Toc159500972" w:history="1">
        <w:r w:rsidR="00682FC0" w:rsidRPr="0060053D">
          <w:rPr>
            <w:rStyle w:val="Hyperlink"/>
            <w:rFonts w:ascii="Calibri Light" w:hAnsi="Calibri Light"/>
            <w:bCs/>
            <w:noProof/>
          </w:rPr>
          <w:t>5.4.2</w:t>
        </w:r>
        <w:r w:rsidR="00682FC0" w:rsidRPr="0060053D">
          <w:rPr>
            <w:rStyle w:val="Hyperlink"/>
            <w:noProof/>
          </w:rPr>
          <w:t xml:space="preserve"> A strategic fund aimed to reward ‘real-world’ impact</w:t>
        </w:r>
        <w:r w:rsidR="00682FC0">
          <w:rPr>
            <w:noProof/>
            <w:webHidden/>
          </w:rPr>
          <w:tab/>
        </w:r>
        <w:r w:rsidR="00682FC0">
          <w:rPr>
            <w:noProof/>
            <w:webHidden/>
          </w:rPr>
          <w:fldChar w:fldCharType="begin"/>
        </w:r>
        <w:r w:rsidR="00682FC0">
          <w:rPr>
            <w:noProof/>
            <w:webHidden/>
          </w:rPr>
          <w:instrText xml:space="preserve"> PAGEREF _Toc159500972 \h </w:instrText>
        </w:r>
        <w:r w:rsidR="00682FC0">
          <w:rPr>
            <w:noProof/>
            <w:webHidden/>
          </w:rPr>
        </w:r>
        <w:r w:rsidR="00682FC0">
          <w:rPr>
            <w:noProof/>
            <w:webHidden/>
          </w:rPr>
          <w:fldChar w:fldCharType="separate"/>
        </w:r>
        <w:r w:rsidR="00682FC0">
          <w:rPr>
            <w:noProof/>
            <w:webHidden/>
          </w:rPr>
          <w:t>169</w:t>
        </w:r>
        <w:r w:rsidR="00682FC0">
          <w:rPr>
            <w:noProof/>
            <w:webHidden/>
          </w:rPr>
          <w:fldChar w:fldCharType="end"/>
        </w:r>
      </w:hyperlink>
    </w:p>
    <w:p w14:paraId="7AD7154C" w14:textId="2FDF0381" w:rsidR="00682FC0" w:rsidRDefault="00000000">
      <w:pPr>
        <w:pStyle w:val="TOC2"/>
        <w:rPr>
          <w:rFonts w:eastAsiaTheme="minorEastAsia" w:cstheme="minorBidi"/>
          <w:b w:val="0"/>
          <w:bCs w:val="0"/>
          <w:noProof/>
          <w:kern w:val="2"/>
          <w:lang w:eastAsia="en-AU"/>
          <w14:ligatures w14:val="standardContextual"/>
        </w:rPr>
      </w:pPr>
      <w:hyperlink w:anchor="_Toc159500973" w:history="1">
        <w:r w:rsidR="00682FC0" w:rsidRPr="0060053D">
          <w:rPr>
            <w:rStyle w:val="Hyperlink"/>
            <w:noProof/>
          </w:rPr>
          <w:t>5.5 Maintaining a strong foundation</w:t>
        </w:r>
        <w:r w:rsidR="00682FC0">
          <w:rPr>
            <w:noProof/>
            <w:webHidden/>
          </w:rPr>
          <w:tab/>
        </w:r>
        <w:r w:rsidR="00682FC0">
          <w:rPr>
            <w:noProof/>
            <w:webHidden/>
          </w:rPr>
          <w:fldChar w:fldCharType="begin"/>
        </w:r>
        <w:r w:rsidR="00682FC0">
          <w:rPr>
            <w:noProof/>
            <w:webHidden/>
          </w:rPr>
          <w:instrText xml:space="preserve"> PAGEREF _Toc159500973 \h </w:instrText>
        </w:r>
        <w:r w:rsidR="00682FC0">
          <w:rPr>
            <w:noProof/>
            <w:webHidden/>
          </w:rPr>
        </w:r>
        <w:r w:rsidR="00682FC0">
          <w:rPr>
            <w:noProof/>
            <w:webHidden/>
          </w:rPr>
          <w:fldChar w:fldCharType="separate"/>
        </w:r>
        <w:r w:rsidR="00682FC0">
          <w:rPr>
            <w:noProof/>
            <w:webHidden/>
          </w:rPr>
          <w:t>171</w:t>
        </w:r>
        <w:r w:rsidR="00682FC0">
          <w:rPr>
            <w:noProof/>
            <w:webHidden/>
          </w:rPr>
          <w:fldChar w:fldCharType="end"/>
        </w:r>
      </w:hyperlink>
    </w:p>
    <w:p w14:paraId="2858FEBF" w14:textId="2CDCDC22" w:rsidR="00682FC0" w:rsidRDefault="00000000">
      <w:pPr>
        <w:pStyle w:val="TOC3"/>
        <w:rPr>
          <w:rFonts w:eastAsiaTheme="minorEastAsia" w:cstheme="minorBidi"/>
          <w:noProof/>
          <w:kern w:val="2"/>
          <w:sz w:val="22"/>
          <w:szCs w:val="22"/>
          <w:lang w:eastAsia="en-AU"/>
          <w14:ligatures w14:val="standardContextual"/>
        </w:rPr>
      </w:pPr>
      <w:hyperlink w:anchor="_Toc159500974" w:history="1">
        <w:r w:rsidR="00682FC0" w:rsidRPr="0060053D">
          <w:rPr>
            <w:rStyle w:val="Hyperlink"/>
            <w:rFonts w:ascii="Calibri Light" w:hAnsi="Calibri Light"/>
            <w:bCs/>
            <w:noProof/>
          </w:rPr>
          <w:t>5.5.1</w:t>
        </w:r>
        <w:r w:rsidR="00682FC0" w:rsidRPr="0060053D">
          <w:rPr>
            <w:rStyle w:val="Hyperlink"/>
            <w:noProof/>
          </w:rPr>
          <w:t xml:space="preserve"> Investing in basic research</w:t>
        </w:r>
        <w:r w:rsidR="00682FC0">
          <w:rPr>
            <w:noProof/>
            <w:webHidden/>
          </w:rPr>
          <w:tab/>
        </w:r>
        <w:r w:rsidR="00682FC0">
          <w:rPr>
            <w:noProof/>
            <w:webHidden/>
          </w:rPr>
          <w:fldChar w:fldCharType="begin"/>
        </w:r>
        <w:r w:rsidR="00682FC0">
          <w:rPr>
            <w:noProof/>
            <w:webHidden/>
          </w:rPr>
          <w:instrText xml:space="preserve"> PAGEREF _Toc159500974 \h </w:instrText>
        </w:r>
        <w:r w:rsidR="00682FC0">
          <w:rPr>
            <w:noProof/>
            <w:webHidden/>
          </w:rPr>
        </w:r>
        <w:r w:rsidR="00682FC0">
          <w:rPr>
            <w:noProof/>
            <w:webHidden/>
          </w:rPr>
          <w:fldChar w:fldCharType="separate"/>
        </w:r>
        <w:r w:rsidR="00682FC0">
          <w:rPr>
            <w:noProof/>
            <w:webHidden/>
          </w:rPr>
          <w:t>171</w:t>
        </w:r>
        <w:r w:rsidR="00682FC0">
          <w:rPr>
            <w:noProof/>
            <w:webHidden/>
          </w:rPr>
          <w:fldChar w:fldCharType="end"/>
        </w:r>
      </w:hyperlink>
    </w:p>
    <w:p w14:paraId="79319BDB" w14:textId="01EF15FB" w:rsidR="00682FC0" w:rsidRDefault="00000000">
      <w:pPr>
        <w:pStyle w:val="TOC3"/>
        <w:rPr>
          <w:rFonts w:eastAsiaTheme="minorEastAsia" w:cstheme="minorBidi"/>
          <w:noProof/>
          <w:kern w:val="2"/>
          <w:sz w:val="22"/>
          <w:szCs w:val="22"/>
          <w:lang w:eastAsia="en-AU"/>
          <w14:ligatures w14:val="standardContextual"/>
        </w:rPr>
      </w:pPr>
      <w:hyperlink w:anchor="_Toc159500975" w:history="1">
        <w:r w:rsidR="00682FC0" w:rsidRPr="0060053D">
          <w:rPr>
            <w:rStyle w:val="Hyperlink"/>
            <w:rFonts w:ascii="Calibri Light" w:hAnsi="Calibri Light"/>
            <w:bCs/>
            <w:noProof/>
          </w:rPr>
          <w:t>5.5.2</w:t>
        </w:r>
        <w:r w:rsidR="00682FC0" w:rsidRPr="0060053D">
          <w:rPr>
            <w:rStyle w:val="Hyperlink"/>
            <w:noProof/>
          </w:rPr>
          <w:t xml:space="preserve"> Longer grant times</w:t>
        </w:r>
        <w:r w:rsidR="00682FC0">
          <w:rPr>
            <w:noProof/>
            <w:webHidden/>
          </w:rPr>
          <w:tab/>
        </w:r>
        <w:r w:rsidR="00682FC0">
          <w:rPr>
            <w:noProof/>
            <w:webHidden/>
          </w:rPr>
          <w:fldChar w:fldCharType="begin"/>
        </w:r>
        <w:r w:rsidR="00682FC0">
          <w:rPr>
            <w:noProof/>
            <w:webHidden/>
          </w:rPr>
          <w:instrText xml:space="preserve"> PAGEREF _Toc159500975 \h </w:instrText>
        </w:r>
        <w:r w:rsidR="00682FC0">
          <w:rPr>
            <w:noProof/>
            <w:webHidden/>
          </w:rPr>
        </w:r>
        <w:r w:rsidR="00682FC0">
          <w:rPr>
            <w:noProof/>
            <w:webHidden/>
          </w:rPr>
          <w:fldChar w:fldCharType="separate"/>
        </w:r>
        <w:r w:rsidR="00682FC0">
          <w:rPr>
            <w:noProof/>
            <w:webHidden/>
          </w:rPr>
          <w:t>173</w:t>
        </w:r>
        <w:r w:rsidR="00682FC0">
          <w:rPr>
            <w:noProof/>
            <w:webHidden/>
          </w:rPr>
          <w:fldChar w:fldCharType="end"/>
        </w:r>
      </w:hyperlink>
    </w:p>
    <w:p w14:paraId="7F3522C8" w14:textId="28A61B04" w:rsidR="00682FC0" w:rsidRDefault="00000000">
      <w:pPr>
        <w:pStyle w:val="TOC3"/>
        <w:rPr>
          <w:rFonts w:eastAsiaTheme="minorEastAsia" w:cstheme="minorBidi"/>
          <w:noProof/>
          <w:kern w:val="2"/>
          <w:sz w:val="22"/>
          <w:szCs w:val="22"/>
          <w:lang w:eastAsia="en-AU"/>
          <w14:ligatures w14:val="standardContextual"/>
        </w:rPr>
      </w:pPr>
      <w:hyperlink w:anchor="_Toc159500976" w:history="1">
        <w:r w:rsidR="00682FC0" w:rsidRPr="0060053D">
          <w:rPr>
            <w:rStyle w:val="Hyperlink"/>
            <w:rFonts w:ascii="Calibri Light" w:hAnsi="Calibri Light"/>
            <w:bCs/>
            <w:noProof/>
          </w:rPr>
          <w:t>5.5.3</w:t>
        </w:r>
        <w:r w:rsidR="00682FC0" w:rsidRPr="0060053D">
          <w:rPr>
            <w:rStyle w:val="Hyperlink"/>
            <w:noProof/>
          </w:rPr>
          <w:t xml:space="preserve"> Valuing and supporting First Nations knowledge and research</w:t>
        </w:r>
        <w:r w:rsidR="00682FC0">
          <w:rPr>
            <w:noProof/>
            <w:webHidden/>
          </w:rPr>
          <w:tab/>
        </w:r>
        <w:r w:rsidR="00682FC0">
          <w:rPr>
            <w:noProof/>
            <w:webHidden/>
          </w:rPr>
          <w:fldChar w:fldCharType="begin"/>
        </w:r>
        <w:r w:rsidR="00682FC0">
          <w:rPr>
            <w:noProof/>
            <w:webHidden/>
          </w:rPr>
          <w:instrText xml:space="preserve"> PAGEREF _Toc159500976 \h </w:instrText>
        </w:r>
        <w:r w:rsidR="00682FC0">
          <w:rPr>
            <w:noProof/>
            <w:webHidden/>
          </w:rPr>
        </w:r>
        <w:r w:rsidR="00682FC0">
          <w:rPr>
            <w:noProof/>
            <w:webHidden/>
          </w:rPr>
          <w:fldChar w:fldCharType="separate"/>
        </w:r>
        <w:r w:rsidR="00682FC0">
          <w:rPr>
            <w:noProof/>
            <w:webHidden/>
          </w:rPr>
          <w:t>174</w:t>
        </w:r>
        <w:r w:rsidR="00682FC0">
          <w:rPr>
            <w:noProof/>
            <w:webHidden/>
          </w:rPr>
          <w:fldChar w:fldCharType="end"/>
        </w:r>
      </w:hyperlink>
    </w:p>
    <w:p w14:paraId="3484472C" w14:textId="78B07FCF" w:rsidR="00682FC0" w:rsidRDefault="00000000">
      <w:pPr>
        <w:pStyle w:val="TOC3"/>
        <w:rPr>
          <w:rFonts w:eastAsiaTheme="minorEastAsia" w:cstheme="minorBidi"/>
          <w:noProof/>
          <w:kern w:val="2"/>
          <w:sz w:val="22"/>
          <w:szCs w:val="22"/>
          <w:lang w:eastAsia="en-AU"/>
          <w14:ligatures w14:val="standardContextual"/>
        </w:rPr>
      </w:pPr>
      <w:hyperlink w:anchor="_Toc159500977" w:history="1">
        <w:r w:rsidR="00682FC0" w:rsidRPr="0060053D">
          <w:rPr>
            <w:rStyle w:val="Hyperlink"/>
            <w:rFonts w:ascii="Calibri Light" w:hAnsi="Calibri Light"/>
            <w:bCs/>
            <w:noProof/>
          </w:rPr>
          <w:t>5.5.4</w:t>
        </w:r>
        <w:r w:rsidR="00682FC0" w:rsidRPr="0060053D">
          <w:rPr>
            <w:rStyle w:val="Hyperlink"/>
            <w:noProof/>
          </w:rPr>
          <w:t xml:space="preserve"> Securing research infrastructure</w:t>
        </w:r>
        <w:r w:rsidR="00682FC0">
          <w:rPr>
            <w:noProof/>
            <w:webHidden/>
          </w:rPr>
          <w:tab/>
        </w:r>
        <w:r w:rsidR="00682FC0">
          <w:rPr>
            <w:noProof/>
            <w:webHidden/>
          </w:rPr>
          <w:fldChar w:fldCharType="begin"/>
        </w:r>
        <w:r w:rsidR="00682FC0">
          <w:rPr>
            <w:noProof/>
            <w:webHidden/>
          </w:rPr>
          <w:instrText xml:space="preserve"> PAGEREF _Toc159500977 \h </w:instrText>
        </w:r>
        <w:r w:rsidR="00682FC0">
          <w:rPr>
            <w:noProof/>
            <w:webHidden/>
          </w:rPr>
        </w:r>
        <w:r w:rsidR="00682FC0">
          <w:rPr>
            <w:noProof/>
            <w:webHidden/>
          </w:rPr>
          <w:fldChar w:fldCharType="separate"/>
        </w:r>
        <w:r w:rsidR="00682FC0">
          <w:rPr>
            <w:noProof/>
            <w:webHidden/>
          </w:rPr>
          <w:t>174</w:t>
        </w:r>
        <w:r w:rsidR="00682FC0">
          <w:rPr>
            <w:noProof/>
            <w:webHidden/>
          </w:rPr>
          <w:fldChar w:fldCharType="end"/>
        </w:r>
      </w:hyperlink>
    </w:p>
    <w:p w14:paraId="51AB27D8" w14:textId="552B2F02" w:rsidR="00682FC0" w:rsidRDefault="00000000">
      <w:pPr>
        <w:pStyle w:val="TOC3"/>
        <w:rPr>
          <w:rFonts w:eastAsiaTheme="minorEastAsia" w:cstheme="minorBidi"/>
          <w:noProof/>
          <w:kern w:val="2"/>
          <w:sz w:val="22"/>
          <w:szCs w:val="22"/>
          <w:lang w:eastAsia="en-AU"/>
          <w14:ligatures w14:val="standardContextual"/>
        </w:rPr>
      </w:pPr>
      <w:hyperlink w:anchor="_Toc159500978" w:history="1">
        <w:r w:rsidR="00682FC0" w:rsidRPr="0060053D">
          <w:rPr>
            <w:rStyle w:val="Hyperlink"/>
            <w:rFonts w:ascii="Calibri Light" w:hAnsi="Calibri Light"/>
            <w:bCs/>
            <w:noProof/>
          </w:rPr>
          <w:t>5.5.5</w:t>
        </w:r>
        <w:r w:rsidR="00682FC0" w:rsidRPr="0060053D">
          <w:rPr>
            <w:rStyle w:val="Hyperlink"/>
            <w:noProof/>
          </w:rPr>
          <w:t xml:space="preserve"> Training the next generation of researchers</w:t>
        </w:r>
        <w:r w:rsidR="00682FC0">
          <w:rPr>
            <w:noProof/>
            <w:webHidden/>
          </w:rPr>
          <w:tab/>
        </w:r>
        <w:r w:rsidR="00682FC0">
          <w:rPr>
            <w:noProof/>
            <w:webHidden/>
          </w:rPr>
          <w:fldChar w:fldCharType="begin"/>
        </w:r>
        <w:r w:rsidR="00682FC0">
          <w:rPr>
            <w:noProof/>
            <w:webHidden/>
          </w:rPr>
          <w:instrText xml:space="preserve"> PAGEREF _Toc159500978 \h </w:instrText>
        </w:r>
        <w:r w:rsidR="00682FC0">
          <w:rPr>
            <w:noProof/>
            <w:webHidden/>
          </w:rPr>
        </w:r>
        <w:r w:rsidR="00682FC0">
          <w:rPr>
            <w:noProof/>
            <w:webHidden/>
          </w:rPr>
          <w:fldChar w:fldCharType="separate"/>
        </w:r>
        <w:r w:rsidR="00682FC0">
          <w:rPr>
            <w:noProof/>
            <w:webHidden/>
          </w:rPr>
          <w:t>175</w:t>
        </w:r>
        <w:r w:rsidR="00682FC0">
          <w:rPr>
            <w:noProof/>
            <w:webHidden/>
          </w:rPr>
          <w:fldChar w:fldCharType="end"/>
        </w:r>
      </w:hyperlink>
    </w:p>
    <w:p w14:paraId="2E246089" w14:textId="4FEECF02" w:rsidR="00682FC0" w:rsidRDefault="00000000">
      <w:pPr>
        <w:pStyle w:val="TOC3"/>
        <w:rPr>
          <w:rFonts w:eastAsiaTheme="minorEastAsia" w:cstheme="minorBidi"/>
          <w:noProof/>
          <w:kern w:val="2"/>
          <w:sz w:val="22"/>
          <w:szCs w:val="22"/>
          <w:lang w:eastAsia="en-AU"/>
          <w14:ligatures w14:val="standardContextual"/>
        </w:rPr>
      </w:pPr>
      <w:hyperlink w:anchor="_Toc159500979" w:history="1">
        <w:r w:rsidR="00682FC0" w:rsidRPr="0060053D">
          <w:rPr>
            <w:rStyle w:val="Hyperlink"/>
            <w:rFonts w:ascii="Calibri Light" w:hAnsi="Calibri Light"/>
            <w:bCs/>
            <w:noProof/>
          </w:rPr>
          <w:t>5.5.6</w:t>
        </w:r>
        <w:r w:rsidR="00682FC0" w:rsidRPr="0060053D">
          <w:rPr>
            <w:rStyle w:val="Hyperlink"/>
            <w:noProof/>
          </w:rPr>
          <w:t xml:space="preserve"> Evolving research training to expand access and increase diverse participation</w:t>
        </w:r>
        <w:r w:rsidR="00682FC0">
          <w:rPr>
            <w:noProof/>
            <w:webHidden/>
          </w:rPr>
          <w:tab/>
        </w:r>
        <w:r w:rsidR="00682FC0">
          <w:rPr>
            <w:noProof/>
            <w:webHidden/>
          </w:rPr>
          <w:fldChar w:fldCharType="begin"/>
        </w:r>
        <w:r w:rsidR="00682FC0">
          <w:rPr>
            <w:noProof/>
            <w:webHidden/>
          </w:rPr>
          <w:instrText xml:space="preserve"> PAGEREF _Toc159500979 \h </w:instrText>
        </w:r>
        <w:r w:rsidR="00682FC0">
          <w:rPr>
            <w:noProof/>
            <w:webHidden/>
          </w:rPr>
        </w:r>
        <w:r w:rsidR="00682FC0">
          <w:rPr>
            <w:noProof/>
            <w:webHidden/>
          </w:rPr>
          <w:fldChar w:fldCharType="separate"/>
        </w:r>
        <w:r w:rsidR="00682FC0">
          <w:rPr>
            <w:noProof/>
            <w:webHidden/>
          </w:rPr>
          <w:t>179</w:t>
        </w:r>
        <w:r w:rsidR="00682FC0">
          <w:rPr>
            <w:noProof/>
            <w:webHidden/>
          </w:rPr>
          <w:fldChar w:fldCharType="end"/>
        </w:r>
      </w:hyperlink>
    </w:p>
    <w:p w14:paraId="44984428" w14:textId="3B871316" w:rsidR="00682FC0" w:rsidRDefault="00000000">
      <w:pPr>
        <w:pStyle w:val="TOC2"/>
        <w:rPr>
          <w:rFonts w:eastAsiaTheme="minorEastAsia" w:cstheme="minorBidi"/>
          <w:b w:val="0"/>
          <w:bCs w:val="0"/>
          <w:noProof/>
          <w:kern w:val="2"/>
          <w:lang w:eastAsia="en-AU"/>
          <w14:ligatures w14:val="standardContextual"/>
        </w:rPr>
      </w:pPr>
      <w:hyperlink w:anchor="_Toc159500980" w:history="1">
        <w:r w:rsidR="00682FC0" w:rsidRPr="0060053D">
          <w:rPr>
            <w:rStyle w:val="Hyperlink"/>
            <w:noProof/>
          </w:rPr>
          <w:t>5.6 More needs to be done to fund the full economic cost of research</w:t>
        </w:r>
        <w:r w:rsidR="00682FC0">
          <w:rPr>
            <w:noProof/>
            <w:webHidden/>
          </w:rPr>
          <w:tab/>
        </w:r>
        <w:r w:rsidR="00682FC0">
          <w:rPr>
            <w:noProof/>
            <w:webHidden/>
          </w:rPr>
          <w:fldChar w:fldCharType="begin"/>
        </w:r>
        <w:r w:rsidR="00682FC0">
          <w:rPr>
            <w:noProof/>
            <w:webHidden/>
          </w:rPr>
          <w:instrText xml:space="preserve"> PAGEREF _Toc159500980 \h </w:instrText>
        </w:r>
        <w:r w:rsidR="00682FC0">
          <w:rPr>
            <w:noProof/>
            <w:webHidden/>
          </w:rPr>
        </w:r>
        <w:r w:rsidR="00682FC0">
          <w:rPr>
            <w:noProof/>
            <w:webHidden/>
          </w:rPr>
          <w:fldChar w:fldCharType="separate"/>
        </w:r>
        <w:r w:rsidR="00682FC0">
          <w:rPr>
            <w:noProof/>
            <w:webHidden/>
          </w:rPr>
          <w:t>182</w:t>
        </w:r>
        <w:r w:rsidR="00682FC0">
          <w:rPr>
            <w:noProof/>
            <w:webHidden/>
          </w:rPr>
          <w:fldChar w:fldCharType="end"/>
        </w:r>
      </w:hyperlink>
    </w:p>
    <w:p w14:paraId="207B8AF3" w14:textId="6B0ABBDD" w:rsidR="00682FC0" w:rsidRDefault="00000000">
      <w:pPr>
        <w:pStyle w:val="TOC3"/>
        <w:rPr>
          <w:rFonts w:eastAsiaTheme="minorEastAsia" w:cstheme="minorBidi"/>
          <w:noProof/>
          <w:kern w:val="2"/>
          <w:sz w:val="22"/>
          <w:szCs w:val="22"/>
          <w:lang w:eastAsia="en-AU"/>
          <w14:ligatures w14:val="standardContextual"/>
        </w:rPr>
      </w:pPr>
      <w:hyperlink w:anchor="_Toc159500981" w:history="1">
        <w:r w:rsidR="00682FC0" w:rsidRPr="0060053D">
          <w:rPr>
            <w:rStyle w:val="Hyperlink"/>
            <w:rFonts w:ascii="Calibri Light" w:hAnsi="Calibri Light"/>
            <w:bCs/>
            <w:noProof/>
          </w:rPr>
          <w:t>5.6.1</w:t>
        </w:r>
        <w:r w:rsidR="00682FC0" w:rsidRPr="0060053D">
          <w:rPr>
            <w:rStyle w:val="Hyperlink"/>
            <w:noProof/>
          </w:rPr>
          <w:t xml:space="preserve"> Pathway towards increased indirect cost support for nationally competitive research grants</w:t>
        </w:r>
        <w:r w:rsidR="00682FC0">
          <w:rPr>
            <w:noProof/>
            <w:webHidden/>
          </w:rPr>
          <w:tab/>
        </w:r>
        <w:r w:rsidR="00682FC0">
          <w:rPr>
            <w:noProof/>
            <w:webHidden/>
          </w:rPr>
          <w:fldChar w:fldCharType="begin"/>
        </w:r>
        <w:r w:rsidR="00682FC0">
          <w:rPr>
            <w:noProof/>
            <w:webHidden/>
          </w:rPr>
          <w:instrText xml:space="preserve"> PAGEREF _Toc159500981 \h </w:instrText>
        </w:r>
        <w:r w:rsidR="00682FC0">
          <w:rPr>
            <w:noProof/>
            <w:webHidden/>
          </w:rPr>
        </w:r>
        <w:r w:rsidR="00682FC0">
          <w:rPr>
            <w:noProof/>
            <w:webHidden/>
          </w:rPr>
          <w:fldChar w:fldCharType="separate"/>
        </w:r>
        <w:r w:rsidR="00682FC0">
          <w:rPr>
            <w:noProof/>
            <w:webHidden/>
          </w:rPr>
          <w:t>185</w:t>
        </w:r>
        <w:r w:rsidR="00682FC0">
          <w:rPr>
            <w:noProof/>
            <w:webHidden/>
          </w:rPr>
          <w:fldChar w:fldCharType="end"/>
        </w:r>
      </w:hyperlink>
    </w:p>
    <w:p w14:paraId="3E8E4CA4" w14:textId="02F41778" w:rsidR="00682FC0" w:rsidRDefault="00000000">
      <w:pPr>
        <w:pStyle w:val="TOC2"/>
        <w:rPr>
          <w:rFonts w:eastAsiaTheme="minorEastAsia" w:cstheme="minorBidi"/>
          <w:b w:val="0"/>
          <w:bCs w:val="0"/>
          <w:noProof/>
          <w:kern w:val="2"/>
          <w:lang w:eastAsia="en-AU"/>
          <w14:ligatures w14:val="standardContextual"/>
        </w:rPr>
      </w:pPr>
      <w:hyperlink w:anchor="_Toc159500982" w:history="1">
        <w:r w:rsidR="00682FC0" w:rsidRPr="0060053D">
          <w:rPr>
            <w:rStyle w:val="Hyperlink"/>
            <w:noProof/>
          </w:rPr>
          <w:t>5.7 Keeping Australian research quality high</w:t>
        </w:r>
        <w:r w:rsidR="00682FC0">
          <w:rPr>
            <w:noProof/>
            <w:webHidden/>
          </w:rPr>
          <w:tab/>
        </w:r>
        <w:r w:rsidR="00682FC0">
          <w:rPr>
            <w:noProof/>
            <w:webHidden/>
          </w:rPr>
          <w:fldChar w:fldCharType="begin"/>
        </w:r>
        <w:r w:rsidR="00682FC0">
          <w:rPr>
            <w:noProof/>
            <w:webHidden/>
          </w:rPr>
          <w:instrText xml:space="preserve"> PAGEREF _Toc159500982 \h </w:instrText>
        </w:r>
        <w:r w:rsidR="00682FC0">
          <w:rPr>
            <w:noProof/>
            <w:webHidden/>
          </w:rPr>
        </w:r>
        <w:r w:rsidR="00682FC0">
          <w:rPr>
            <w:noProof/>
            <w:webHidden/>
          </w:rPr>
          <w:fldChar w:fldCharType="separate"/>
        </w:r>
        <w:r w:rsidR="00682FC0">
          <w:rPr>
            <w:noProof/>
            <w:webHidden/>
          </w:rPr>
          <w:t>186</w:t>
        </w:r>
        <w:r w:rsidR="00682FC0">
          <w:rPr>
            <w:noProof/>
            <w:webHidden/>
          </w:rPr>
          <w:fldChar w:fldCharType="end"/>
        </w:r>
      </w:hyperlink>
    </w:p>
    <w:p w14:paraId="741F0A8A" w14:textId="3AD9D5F5" w:rsidR="00682FC0" w:rsidRDefault="00000000">
      <w:pPr>
        <w:pStyle w:val="TOC3"/>
        <w:rPr>
          <w:rFonts w:eastAsiaTheme="minorEastAsia" w:cstheme="minorBidi"/>
          <w:noProof/>
          <w:kern w:val="2"/>
          <w:sz w:val="22"/>
          <w:szCs w:val="22"/>
          <w:lang w:eastAsia="en-AU"/>
          <w14:ligatures w14:val="standardContextual"/>
        </w:rPr>
      </w:pPr>
      <w:hyperlink w:anchor="_Toc159500983" w:history="1">
        <w:r w:rsidR="00682FC0" w:rsidRPr="0060053D">
          <w:rPr>
            <w:rStyle w:val="Hyperlink"/>
            <w:rFonts w:ascii="Calibri Light" w:hAnsi="Calibri Light"/>
            <w:bCs/>
            <w:noProof/>
          </w:rPr>
          <w:t>5.7.1</w:t>
        </w:r>
        <w:r w:rsidR="00682FC0" w:rsidRPr="0060053D">
          <w:rPr>
            <w:rStyle w:val="Hyperlink"/>
            <w:noProof/>
          </w:rPr>
          <w:t xml:space="preserve"> Improving research evaluation and data collection</w:t>
        </w:r>
        <w:r w:rsidR="00682FC0">
          <w:rPr>
            <w:noProof/>
            <w:webHidden/>
          </w:rPr>
          <w:tab/>
        </w:r>
        <w:r w:rsidR="00682FC0">
          <w:rPr>
            <w:noProof/>
            <w:webHidden/>
          </w:rPr>
          <w:fldChar w:fldCharType="begin"/>
        </w:r>
        <w:r w:rsidR="00682FC0">
          <w:rPr>
            <w:noProof/>
            <w:webHidden/>
          </w:rPr>
          <w:instrText xml:space="preserve"> PAGEREF _Toc159500983 \h </w:instrText>
        </w:r>
        <w:r w:rsidR="00682FC0">
          <w:rPr>
            <w:noProof/>
            <w:webHidden/>
          </w:rPr>
        </w:r>
        <w:r w:rsidR="00682FC0">
          <w:rPr>
            <w:noProof/>
            <w:webHidden/>
          </w:rPr>
          <w:fldChar w:fldCharType="separate"/>
        </w:r>
        <w:r w:rsidR="00682FC0">
          <w:rPr>
            <w:noProof/>
            <w:webHidden/>
          </w:rPr>
          <w:t>187</w:t>
        </w:r>
        <w:r w:rsidR="00682FC0">
          <w:rPr>
            <w:noProof/>
            <w:webHidden/>
          </w:rPr>
          <w:fldChar w:fldCharType="end"/>
        </w:r>
      </w:hyperlink>
    </w:p>
    <w:p w14:paraId="65E43D9A" w14:textId="4D7D2D56" w:rsidR="00682FC0" w:rsidRDefault="00000000">
      <w:pPr>
        <w:pStyle w:val="TOC3"/>
        <w:rPr>
          <w:rFonts w:eastAsiaTheme="minorEastAsia" w:cstheme="minorBidi"/>
          <w:noProof/>
          <w:kern w:val="2"/>
          <w:sz w:val="22"/>
          <w:szCs w:val="22"/>
          <w:lang w:eastAsia="en-AU"/>
          <w14:ligatures w14:val="standardContextual"/>
        </w:rPr>
      </w:pPr>
      <w:hyperlink w:anchor="_Toc159500984" w:history="1">
        <w:r w:rsidR="00682FC0" w:rsidRPr="0060053D">
          <w:rPr>
            <w:rStyle w:val="Hyperlink"/>
            <w:rFonts w:ascii="Calibri Light" w:hAnsi="Calibri Light"/>
            <w:bCs/>
            <w:noProof/>
          </w:rPr>
          <w:t>5.7.2</w:t>
        </w:r>
        <w:r w:rsidR="00682FC0" w:rsidRPr="0060053D">
          <w:rPr>
            <w:rStyle w:val="Hyperlink"/>
            <w:noProof/>
          </w:rPr>
          <w:t xml:space="preserve"> National Research Evaluation and Impact Framework</w:t>
        </w:r>
        <w:r w:rsidR="00682FC0">
          <w:rPr>
            <w:noProof/>
            <w:webHidden/>
          </w:rPr>
          <w:tab/>
        </w:r>
        <w:r w:rsidR="00682FC0">
          <w:rPr>
            <w:noProof/>
            <w:webHidden/>
          </w:rPr>
          <w:fldChar w:fldCharType="begin"/>
        </w:r>
        <w:r w:rsidR="00682FC0">
          <w:rPr>
            <w:noProof/>
            <w:webHidden/>
          </w:rPr>
          <w:instrText xml:space="preserve"> PAGEREF _Toc159500984 \h </w:instrText>
        </w:r>
        <w:r w:rsidR="00682FC0">
          <w:rPr>
            <w:noProof/>
            <w:webHidden/>
          </w:rPr>
        </w:r>
        <w:r w:rsidR="00682FC0">
          <w:rPr>
            <w:noProof/>
            <w:webHidden/>
          </w:rPr>
          <w:fldChar w:fldCharType="separate"/>
        </w:r>
        <w:r w:rsidR="00682FC0">
          <w:rPr>
            <w:noProof/>
            <w:webHidden/>
          </w:rPr>
          <w:t>190</w:t>
        </w:r>
        <w:r w:rsidR="00682FC0">
          <w:rPr>
            <w:noProof/>
            <w:webHidden/>
          </w:rPr>
          <w:fldChar w:fldCharType="end"/>
        </w:r>
      </w:hyperlink>
    </w:p>
    <w:p w14:paraId="001C2553" w14:textId="10DF34B0" w:rsidR="00682FC0" w:rsidRDefault="00000000">
      <w:pPr>
        <w:pStyle w:val="TOC3"/>
        <w:rPr>
          <w:rFonts w:eastAsiaTheme="minorEastAsia" w:cstheme="minorBidi"/>
          <w:noProof/>
          <w:kern w:val="2"/>
          <w:sz w:val="22"/>
          <w:szCs w:val="22"/>
          <w:lang w:eastAsia="en-AU"/>
          <w14:ligatures w14:val="standardContextual"/>
        </w:rPr>
      </w:pPr>
      <w:hyperlink w:anchor="_Toc159500985" w:history="1">
        <w:r w:rsidR="00682FC0" w:rsidRPr="0060053D">
          <w:rPr>
            <w:rStyle w:val="Hyperlink"/>
            <w:rFonts w:ascii="Calibri Light" w:hAnsi="Calibri Light"/>
            <w:bCs/>
            <w:noProof/>
          </w:rPr>
          <w:t>5.7.3</w:t>
        </w:r>
        <w:r w:rsidR="00682FC0" w:rsidRPr="0060053D">
          <w:rPr>
            <w:rStyle w:val="Hyperlink"/>
            <w:noProof/>
          </w:rPr>
          <w:t xml:space="preserve"> Research integrity</w:t>
        </w:r>
        <w:r w:rsidR="00682FC0">
          <w:rPr>
            <w:noProof/>
            <w:webHidden/>
          </w:rPr>
          <w:tab/>
        </w:r>
        <w:r w:rsidR="00682FC0">
          <w:rPr>
            <w:noProof/>
            <w:webHidden/>
          </w:rPr>
          <w:fldChar w:fldCharType="begin"/>
        </w:r>
        <w:r w:rsidR="00682FC0">
          <w:rPr>
            <w:noProof/>
            <w:webHidden/>
          </w:rPr>
          <w:instrText xml:space="preserve"> PAGEREF _Toc159500985 \h </w:instrText>
        </w:r>
        <w:r w:rsidR="00682FC0">
          <w:rPr>
            <w:noProof/>
            <w:webHidden/>
          </w:rPr>
        </w:r>
        <w:r w:rsidR="00682FC0">
          <w:rPr>
            <w:noProof/>
            <w:webHidden/>
          </w:rPr>
          <w:fldChar w:fldCharType="separate"/>
        </w:r>
        <w:r w:rsidR="00682FC0">
          <w:rPr>
            <w:noProof/>
            <w:webHidden/>
          </w:rPr>
          <w:t>191</w:t>
        </w:r>
        <w:r w:rsidR="00682FC0">
          <w:rPr>
            <w:noProof/>
            <w:webHidden/>
          </w:rPr>
          <w:fldChar w:fldCharType="end"/>
        </w:r>
      </w:hyperlink>
    </w:p>
    <w:p w14:paraId="52D0959A" w14:textId="4EC695B4" w:rsidR="00682FC0" w:rsidRDefault="00000000">
      <w:pPr>
        <w:pStyle w:val="TOC2"/>
        <w:rPr>
          <w:rFonts w:eastAsiaTheme="minorEastAsia" w:cstheme="minorBidi"/>
          <w:b w:val="0"/>
          <w:bCs w:val="0"/>
          <w:noProof/>
          <w:kern w:val="2"/>
          <w:lang w:eastAsia="en-AU"/>
          <w14:ligatures w14:val="standardContextual"/>
        </w:rPr>
      </w:pPr>
      <w:hyperlink w:anchor="_Toc159500986" w:history="1">
        <w:r w:rsidR="00682FC0" w:rsidRPr="0060053D">
          <w:rPr>
            <w:rStyle w:val="Hyperlink"/>
            <w:noProof/>
          </w:rPr>
          <w:t>5.8 The case for new knowledge</w:t>
        </w:r>
        <w:r w:rsidR="00682FC0">
          <w:rPr>
            <w:noProof/>
            <w:webHidden/>
          </w:rPr>
          <w:tab/>
        </w:r>
        <w:r w:rsidR="00682FC0">
          <w:rPr>
            <w:noProof/>
            <w:webHidden/>
          </w:rPr>
          <w:fldChar w:fldCharType="begin"/>
        </w:r>
        <w:r w:rsidR="00682FC0">
          <w:rPr>
            <w:noProof/>
            <w:webHidden/>
          </w:rPr>
          <w:instrText xml:space="preserve"> PAGEREF _Toc159500986 \h </w:instrText>
        </w:r>
        <w:r w:rsidR="00682FC0">
          <w:rPr>
            <w:noProof/>
            <w:webHidden/>
          </w:rPr>
        </w:r>
        <w:r w:rsidR="00682FC0">
          <w:rPr>
            <w:noProof/>
            <w:webHidden/>
          </w:rPr>
          <w:fldChar w:fldCharType="separate"/>
        </w:r>
        <w:r w:rsidR="00682FC0">
          <w:rPr>
            <w:noProof/>
            <w:webHidden/>
          </w:rPr>
          <w:t>192</w:t>
        </w:r>
        <w:r w:rsidR="00682FC0">
          <w:rPr>
            <w:noProof/>
            <w:webHidden/>
          </w:rPr>
          <w:fldChar w:fldCharType="end"/>
        </w:r>
      </w:hyperlink>
    </w:p>
    <w:p w14:paraId="2708147B" w14:textId="585EC81D" w:rsidR="00682FC0" w:rsidRDefault="00000000">
      <w:pPr>
        <w:pStyle w:val="TOC1"/>
        <w:rPr>
          <w:rFonts w:eastAsiaTheme="minorEastAsia" w:cstheme="minorBidi"/>
          <w:b w:val="0"/>
          <w:bCs w:val="0"/>
          <w:i w:val="0"/>
          <w:iCs w:val="0"/>
          <w:noProof/>
          <w:kern w:val="2"/>
          <w:sz w:val="22"/>
          <w:szCs w:val="22"/>
          <w:lang w:eastAsia="en-AU"/>
          <w14:ligatures w14:val="standardContextual"/>
        </w:rPr>
      </w:pPr>
      <w:hyperlink w:anchor="_Toc159500987" w:history="1">
        <w:r w:rsidR="00682FC0" w:rsidRPr="0060053D">
          <w:rPr>
            <w:rStyle w:val="Hyperlink"/>
            <w:rFonts w:ascii="Calibri" w:hAnsi="Calibri"/>
            <w:noProof/>
          </w:rPr>
          <w:t>Chapter 6 –</w:t>
        </w:r>
        <w:r w:rsidR="00682FC0" w:rsidRPr="0060053D">
          <w:rPr>
            <w:rStyle w:val="Hyperlink"/>
            <w:noProof/>
          </w:rPr>
          <w:t xml:space="preserve"> A dynamic, collaborative and responsive system that serves the national interest</w:t>
        </w:r>
        <w:r w:rsidR="00682FC0">
          <w:rPr>
            <w:noProof/>
            <w:webHidden/>
          </w:rPr>
          <w:tab/>
        </w:r>
        <w:r w:rsidR="00682FC0">
          <w:rPr>
            <w:noProof/>
            <w:webHidden/>
          </w:rPr>
          <w:fldChar w:fldCharType="begin"/>
        </w:r>
        <w:r w:rsidR="00682FC0">
          <w:rPr>
            <w:noProof/>
            <w:webHidden/>
          </w:rPr>
          <w:instrText xml:space="preserve"> PAGEREF _Toc159500987 \h </w:instrText>
        </w:r>
        <w:r w:rsidR="00682FC0">
          <w:rPr>
            <w:noProof/>
            <w:webHidden/>
          </w:rPr>
        </w:r>
        <w:r w:rsidR="00682FC0">
          <w:rPr>
            <w:noProof/>
            <w:webHidden/>
          </w:rPr>
          <w:fldChar w:fldCharType="separate"/>
        </w:r>
        <w:r w:rsidR="00682FC0">
          <w:rPr>
            <w:noProof/>
            <w:webHidden/>
          </w:rPr>
          <w:t>193</w:t>
        </w:r>
        <w:r w:rsidR="00682FC0">
          <w:rPr>
            <w:noProof/>
            <w:webHidden/>
          </w:rPr>
          <w:fldChar w:fldCharType="end"/>
        </w:r>
      </w:hyperlink>
    </w:p>
    <w:p w14:paraId="7C068B3F" w14:textId="6F15B309" w:rsidR="00682FC0" w:rsidRDefault="00000000">
      <w:pPr>
        <w:pStyle w:val="TOC2"/>
        <w:rPr>
          <w:rFonts w:eastAsiaTheme="minorEastAsia" w:cstheme="minorBidi"/>
          <w:b w:val="0"/>
          <w:bCs w:val="0"/>
          <w:noProof/>
          <w:kern w:val="2"/>
          <w:lang w:eastAsia="en-AU"/>
          <w14:ligatures w14:val="standardContextual"/>
        </w:rPr>
      </w:pPr>
      <w:hyperlink w:anchor="_Toc159500988" w:history="1">
        <w:r w:rsidR="00682FC0" w:rsidRPr="0060053D">
          <w:rPr>
            <w:rStyle w:val="Hyperlink"/>
            <w:noProof/>
          </w:rPr>
          <w:t>6.1 The need for stewardship</w:t>
        </w:r>
        <w:r w:rsidR="00682FC0">
          <w:rPr>
            <w:noProof/>
            <w:webHidden/>
          </w:rPr>
          <w:tab/>
        </w:r>
        <w:r w:rsidR="00682FC0">
          <w:rPr>
            <w:noProof/>
            <w:webHidden/>
          </w:rPr>
          <w:fldChar w:fldCharType="begin"/>
        </w:r>
        <w:r w:rsidR="00682FC0">
          <w:rPr>
            <w:noProof/>
            <w:webHidden/>
          </w:rPr>
          <w:instrText xml:space="preserve"> PAGEREF _Toc159500988 \h </w:instrText>
        </w:r>
        <w:r w:rsidR="00682FC0">
          <w:rPr>
            <w:noProof/>
            <w:webHidden/>
          </w:rPr>
        </w:r>
        <w:r w:rsidR="00682FC0">
          <w:rPr>
            <w:noProof/>
            <w:webHidden/>
          </w:rPr>
          <w:fldChar w:fldCharType="separate"/>
        </w:r>
        <w:r w:rsidR="00682FC0">
          <w:rPr>
            <w:noProof/>
            <w:webHidden/>
          </w:rPr>
          <w:t>193</w:t>
        </w:r>
        <w:r w:rsidR="00682FC0">
          <w:rPr>
            <w:noProof/>
            <w:webHidden/>
          </w:rPr>
          <w:fldChar w:fldCharType="end"/>
        </w:r>
      </w:hyperlink>
    </w:p>
    <w:p w14:paraId="2218E48D" w14:textId="4DD7E4E5" w:rsidR="00682FC0" w:rsidRDefault="00000000">
      <w:pPr>
        <w:pStyle w:val="TOC2"/>
        <w:rPr>
          <w:rFonts w:eastAsiaTheme="minorEastAsia" w:cstheme="minorBidi"/>
          <w:b w:val="0"/>
          <w:bCs w:val="0"/>
          <w:noProof/>
          <w:kern w:val="2"/>
          <w:lang w:eastAsia="en-AU"/>
          <w14:ligatures w14:val="standardContextual"/>
        </w:rPr>
      </w:pPr>
      <w:hyperlink w:anchor="_Toc159500989" w:history="1">
        <w:r w:rsidR="00682FC0" w:rsidRPr="0060053D">
          <w:rPr>
            <w:rStyle w:val="Hyperlink"/>
            <w:noProof/>
          </w:rPr>
          <w:t>6.2 The need for a deep-thinking system with clear direction</w:t>
        </w:r>
        <w:r w:rsidR="00682FC0">
          <w:rPr>
            <w:noProof/>
            <w:webHidden/>
          </w:rPr>
          <w:tab/>
        </w:r>
        <w:r w:rsidR="00682FC0">
          <w:rPr>
            <w:noProof/>
            <w:webHidden/>
          </w:rPr>
          <w:fldChar w:fldCharType="begin"/>
        </w:r>
        <w:r w:rsidR="00682FC0">
          <w:rPr>
            <w:noProof/>
            <w:webHidden/>
          </w:rPr>
          <w:instrText xml:space="preserve"> PAGEREF _Toc159500989 \h </w:instrText>
        </w:r>
        <w:r w:rsidR="00682FC0">
          <w:rPr>
            <w:noProof/>
            <w:webHidden/>
          </w:rPr>
        </w:r>
        <w:r w:rsidR="00682FC0">
          <w:rPr>
            <w:noProof/>
            <w:webHidden/>
          </w:rPr>
          <w:fldChar w:fldCharType="separate"/>
        </w:r>
        <w:r w:rsidR="00682FC0">
          <w:rPr>
            <w:noProof/>
            <w:webHidden/>
          </w:rPr>
          <w:t>194</w:t>
        </w:r>
        <w:r w:rsidR="00682FC0">
          <w:rPr>
            <w:noProof/>
            <w:webHidden/>
          </w:rPr>
          <w:fldChar w:fldCharType="end"/>
        </w:r>
      </w:hyperlink>
    </w:p>
    <w:p w14:paraId="3004C805" w14:textId="5756220C" w:rsidR="00682FC0" w:rsidRDefault="00000000">
      <w:pPr>
        <w:pStyle w:val="TOC3"/>
        <w:rPr>
          <w:rFonts w:eastAsiaTheme="minorEastAsia" w:cstheme="minorBidi"/>
          <w:noProof/>
          <w:kern w:val="2"/>
          <w:sz w:val="22"/>
          <w:szCs w:val="22"/>
          <w:lang w:eastAsia="en-AU"/>
          <w14:ligatures w14:val="standardContextual"/>
        </w:rPr>
      </w:pPr>
      <w:hyperlink w:anchor="_Toc159500990" w:history="1">
        <w:r w:rsidR="00682FC0" w:rsidRPr="0060053D">
          <w:rPr>
            <w:rStyle w:val="Hyperlink"/>
            <w:rFonts w:ascii="Calibri Light" w:hAnsi="Calibri Light"/>
            <w:bCs/>
            <w:noProof/>
          </w:rPr>
          <w:t>6.2.1</w:t>
        </w:r>
        <w:r w:rsidR="00682FC0" w:rsidRPr="0060053D">
          <w:rPr>
            <w:rStyle w:val="Hyperlink"/>
            <w:noProof/>
          </w:rPr>
          <w:t xml:space="preserve"> Regulatory challenges</w:t>
        </w:r>
        <w:r w:rsidR="00682FC0">
          <w:rPr>
            <w:noProof/>
            <w:webHidden/>
          </w:rPr>
          <w:tab/>
        </w:r>
        <w:r w:rsidR="00682FC0">
          <w:rPr>
            <w:noProof/>
            <w:webHidden/>
          </w:rPr>
          <w:fldChar w:fldCharType="begin"/>
        </w:r>
        <w:r w:rsidR="00682FC0">
          <w:rPr>
            <w:noProof/>
            <w:webHidden/>
          </w:rPr>
          <w:instrText xml:space="preserve"> PAGEREF _Toc159500990 \h </w:instrText>
        </w:r>
        <w:r w:rsidR="00682FC0">
          <w:rPr>
            <w:noProof/>
            <w:webHidden/>
          </w:rPr>
        </w:r>
        <w:r w:rsidR="00682FC0">
          <w:rPr>
            <w:noProof/>
            <w:webHidden/>
          </w:rPr>
          <w:fldChar w:fldCharType="separate"/>
        </w:r>
        <w:r w:rsidR="00682FC0">
          <w:rPr>
            <w:noProof/>
            <w:webHidden/>
          </w:rPr>
          <w:t>196</w:t>
        </w:r>
        <w:r w:rsidR="00682FC0">
          <w:rPr>
            <w:noProof/>
            <w:webHidden/>
          </w:rPr>
          <w:fldChar w:fldCharType="end"/>
        </w:r>
      </w:hyperlink>
    </w:p>
    <w:p w14:paraId="427A36A4" w14:textId="3778ED4A" w:rsidR="00682FC0" w:rsidRDefault="00000000">
      <w:pPr>
        <w:pStyle w:val="TOC3"/>
        <w:rPr>
          <w:rFonts w:eastAsiaTheme="minorEastAsia" w:cstheme="minorBidi"/>
          <w:noProof/>
          <w:kern w:val="2"/>
          <w:sz w:val="22"/>
          <w:szCs w:val="22"/>
          <w:lang w:eastAsia="en-AU"/>
          <w14:ligatures w14:val="standardContextual"/>
        </w:rPr>
      </w:pPr>
      <w:hyperlink w:anchor="_Toc159500991" w:history="1">
        <w:r w:rsidR="00682FC0" w:rsidRPr="0060053D">
          <w:rPr>
            <w:rStyle w:val="Hyperlink"/>
            <w:rFonts w:ascii="Calibri Light" w:hAnsi="Calibri Light"/>
            <w:bCs/>
            <w:noProof/>
          </w:rPr>
          <w:t>6.2.2</w:t>
        </w:r>
        <w:r w:rsidR="00682FC0" w:rsidRPr="0060053D">
          <w:rPr>
            <w:rStyle w:val="Hyperlink"/>
            <w:noProof/>
          </w:rPr>
          <w:t xml:space="preserve"> Addressing some serious issues</w:t>
        </w:r>
        <w:r w:rsidR="00682FC0">
          <w:rPr>
            <w:noProof/>
            <w:webHidden/>
          </w:rPr>
          <w:tab/>
        </w:r>
        <w:r w:rsidR="00682FC0">
          <w:rPr>
            <w:noProof/>
            <w:webHidden/>
          </w:rPr>
          <w:fldChar w:fldCharType="begin"/>
        </w:r>
        <w:r w:rsidR="00682FC0">
          <w:rPr>
            <w:noProof/>
            <w:webHidden/>
          </w:rPr>
          <w:instrText xml:space="preserve"> PAGEREF _Toc159500991 \h </w:instrText>
        </w:r>
        <w:r w:rsidR="00682FC0">
          <w:rPr>
            <w:noProof/>
            <w:webHidden/>
          </w:rPr>
        </w:r>
        <w:r w:rsidR="00682FC0">
          <w:rPr>
            <w:noProof/>
            <w:webHidden/>
          </w:rPr>
          <w:fldChar w:fldCharType="separate"/>
        </w:r>
        <w:r w:rsidR="00682FC0">
          <w:rPr>
            <w:noProof/>
            <w:webHidden/>
          </w:rPr>
          <w:t>197</w:t>
        </w:r>
        <w:r w:rsidR="00682FC0">
          <w:rPr>
            <w:noProof/>
            <w:webHidden/>
          </w:rPr>
          <w:fldChar w:fldCharType="end"/>
        </w:r>
      </w:hyperlink>
    </w:p>
    <w:p w14:paraId="658F0EB6" w14:textId="007E25E2" w:rsidR="00682FC0" w:rsidRDefault="00000000">
      <w:pPr>
        <w:pStyle w:val="TOC3"/>
        <w:rPr>
          <w:rFonts w:eastAsiaTheme="minorEastAsia" w:cstheme="minorBidi"/>
          <w:noProof/>
          <w:kern w:val="2"/>
          <w:sz w:val="22"/>
          <w:szCs w:val="22"/>
          <w:lang w:eastAsia="en-AU"/>
          <w14:ligatures w14:val="standardContextual"/>
        </w:rPr>
      </w:pPr>
      <w:hyperlink w:anchor="_Toc159500992" w:history="1">
        <w:r w:rsidR="00682FC0" w:rsidRPr="0060053D">
          <w:rPr>
            <w:rStyle w:val="Hyperlink"/>
            <w:rFonts w:ascii="Calibri Light" w:hAnsi="Calibri Light"/>
            <w:bCs/>
            <w:noProof/>
          </w:rPr>
          <w:t>6.2.3</w:t>
        </w:r>
        <w:r w:rsidR="00682FC0" w:rsidRPr="0060053D">
          <w:rPr>
            <w:rStyle w:val="Hyperlink"/>
            <w:noProof/>
          </w:rPr>
          <w:t xml:space="preserve"> Workforce challenges</w:t>
        </w:r>
        <w:r w:rsidR="00682FC0">
          <w:rPr>
            <w:noProof/>
            <w:webHidden/>
          </w:rPr>
          <w:tab/>
        </w:r>
        <w:r w:rsidR="00682FC0">
          <w:rPr>
            <w:noProof/>
            <w:webHidden/>
          </w:rPr>
          <w:fldChar w:fldCharType="begin"/>
        </w:r>
        <w:r w:rsidR="00682FC0">
          <w:rPr>
            <w:noProof/>
            <w:webHidden/>
          </w:rPr>
          <w:instrText xml:space="preserve"> PAGEREF _Toc159500992 \h </w:instrText>
        </w:r>
        <w:r w:rsidR="00682FC0">
          <w:rPr>
            <w:noProof/>
            <w:webHidden/>
          </w:rPr>
        </w:r>
        <w:r w:rsidR="00682FC0">
          <w:rPr>
            <w:noProof/>
            <w:webHidden/>
          </w:rPr>
          <w:fldChar w:fldCharType="separate"/>
        </w:r>
        <w:r w:rsidR="00682FC0">
          <w:rPr>
            <w:noProof/>
            <w:webHidden/>
          </w:rPr>
          <w:t>197</w:t>
        </w:r>
        <w:r w:rsidR="00682FC0">
          <w:rPr>
            <w:noProof/>
            <w:webHidden/>
          </w:rPr>
          <w:fldChar w:fldCharType="end"/>
        </w:r>
      </w:hyperlink>
    </w:p>
    <w:p w14:paraId="3C3453DA" w14:textId="6406AE45" w:rsidR="00682FC0" w:rsidRDefault="00000000">
      <w:pPr>
        <w:pStyle w:val="TOC2"/>
        <w:rPr>
          <w:rFonts w:eastAsiaTheme="minorEastAsia" w:cstheme="minorBidi"/>
          <w:b w:val="0"/>
          <w:bCs w:val="0"/>
          <w:noProof/>
          <w:kern w:val="2"/>
          <w:lang w:eastAsia="en-AU"/>
          <w14:ligatures w14:val="standardContextual"/>
        </w:rPr>
      </w:pPr>
      <w:hyperlink w:anchor="_Toc159500993" w:history="1">
        <w:r w:rsidR="00682FC0" w:rsidRPr="0060053D">
          <w:rPr>
            <w:rStyle w:val="Hyperlink"/>
            <w:noProof/>
          </w:rPr>
          <w:t>6.3 Mechanisms to drive change</w:t>
        </w:r>
        <w:r w:rsidR="00682FC0">
          <w:rPr>
            <w:noProof/>
            <w:webHidden/>
          </w:rPr>
          <w:tab/>
        </w:r>
        <w:r w:rsidR="00682FC0">
          <w:rPr>
            <w:noProof/>
            <w:webHidden/>
          </w:rPr>
          <w:fldChar w:fldCharType="begin"/>
        </w:r>
        <w:r w:rsidR="00682FC0">
          <w:rPr>
            <w:noProof/>
            <w:webHidden/>
          </w:rPr>
          <w:instrText xml:space="preserve"> PAGEREF _Toc159500993 \h </w:instrText>
        </w:r>
        <w:r w:rsidR="00682FC0">
          <w:rPr>
            <w:noProof/>
            <w:webHidden/>
          </w:rPr>
        </w:r>
        <w:r w:rsidR="00682FC0">
          <w:rPr>
            <w:noProof/>
            <w:webHidden/>
          </w:rPr>
          <w:fldChar w:fldCharType="separate"/>
        </w:r>
        <w:r w:rsidR="00682FC0">
          <w:rPr>
            <w:noProof/>
            <w:webHidden/>
          </w:rPr>
          <w:t>200</w:t>
        </w:r>
        <w:r w:rsidR="00682FC0">
          <w:rPr>
            <w:noProof/>
            <w:webHidden/>
          </w:rPr>
          <w:fldChar w:fldCharType="end"/>
        </w:r>
      </w:hyperlink>
    </w:p>
    <w:p w14:paraId="3E81B613" w14:textId="165D5CD1" w:rsidR="00682FC0" w:rsidRDefault="00000000">
      <w:pPr>
        <w:pStyle w:val="TOC3"/>
        <w:rPr>
          <w:rFonts w:eastAsiaTheme="minorEastAsia" w:cstheme="minorBidi"/>
          <w:noProof/>
          <w:kern w:val="2"/>
          <w:sz w:val="22"/>
          <w:szCs w:val="22"/>
          <w:lang w:eastAsia="en-AU"/>
          <w14:ligatures w14:val="standardContextual"/>
        </w:rPr>
      </w:pPr>
      <w:hyperlink w:anchor="_Toc159500994" w:history="1">
        <w:r w:rsidR="00682FC0" w:rsidRPr="0060053D">
          <w:rPr>
            <w:rStyle w:val="Hyperlink"/>
            <w:rFonts w:ascii="Calibri Light" w:hAnsi="Calibri Light"/>
            <w:bCs/>
            <w:noProof/>
          </w:rPr>
          <w:t>6.3.1</w:t>
        </w:r>
        <w:r w:rsidR="00682FC0" w:rsidRPr="0060053D">
          <w:rPr>
            <w:rStyle w:val="Hyperlink"/>
            <w:noProof/>
          </w:rPr>
          <w:t xml:space="preserve"> An overarching objective</w:t>
        </w:r>
        <w:r w:rsidR="00682FC0">
          <w:rPr>
            <w:noProof/>
            <w:webHidden/>
          </w:rPr>
          <w:tab/>
        </w:r>
        <w:r w:rsidR="00682FC0">
          <w:rPr>
            <w:noProof/>
            <w:webHidden/>
          </w:rPr>
          <w:fldChar w:fldCharType="begin"/>
        </w:r>
        <w:r w:rsidR="00682FC0">
          <w:rPr>
            <w:noProof/>
            <w:webHidden/>
          </w:rPr>
          <w:instrText xml:space="preserve"> PAGEREF _Toc159500994 \h </w:instrText>
        </w:r>
        <w:r w:rsidR="00682FC0">
          <w:rPr>
            <w:noProof/>
            <w:webHidden/>
          </w:rPr>
        </w:r>
        <w:r w:rsidR="00682FC0">
          <w:rPr>
            <w:noProof/>
            <w:webHidden/>
          </w:rPr>
          <w:fldChar w:fldCharType="separate"/>
        </w:r>
        <w:r w:rsidR="00682FC0">
          <w:rPr>
            <w:noProof/>
            <w:webHidden/>
          </w:rPr>
          <w:t>200</w:t>
        </w:r>
        <w:r w:rsidR="00682FC0">
          <w:rPr>
            <w:noProof/>
            <w:webHidden/>
          </w:rPr>
          <w:fldChar w:fldCharType="end"/>
        </w:r>
      </w:hyperlink>
    </w:p>
    <w:p w14:paraId="1132D59D" w14:textId="469992A2" w:rsidR="00682FC0" w:rsidRDefault="00000000">
      <w:pPr>
        <w:pStyle w:val="TOC3"/>
        <w:rPr>
          <w:rFonts w:eastAsiaTheme="minorEastAsia" w:cstheme="minorBidi"/>
          <w:noProof/>
          <w:kern w:val="2"/>
          <w:sz w:val="22"/>
          <w:szCs w:val="22"/>
          <w:lang w:eastAsia="en-AU"/>
          <w14:ligatures w14:val="standardContextual"/>
        </w:rPr>
      </w:pPr>
      <w:hyperlink w:anchor="_Toc159500995" w:history="1">
        <w:r w:rsidR="00682FC0" w:rsidRPr="0060053D">
          <w:rPr>
            <w:rStyle w:val="Hyperlink"/>
            <w:rFonts w:ascii="Calibri Light" w:hAnsi="Calibri Light"/>
            <w:bCs/>
            <w:noProof/>
          </w:rPr>
          <w:t>6.3.2</w:t>
        </w:r>
        <w:r w:rsidR="00682FC0" w:rsidRPr="0060053D">
          <w:rPr>
            <w:rStyle w:val="Hyperlink"/>
            <w:noProof/>
          </w:rPr>
          <w:t xml:space="preserve"> Establishing a single system steward: an Australian Tertiary Education Commission</w:t>
        </w:r>
        <w:r w:rsidR="00682FC0">
          <w:rPr>
            <w:noProof/>
            <w:webHidden/>
          </w:rPr>
          <w:tab/>
        </w:r>
        <w:r w:rsidR="00682FC0">
          <w:rPr>
            <w:noProof/>
            <w:webHidden/>
          </w:rPr>
          <w:fldChar w:fldCharType="begin"/>
        </w:r>
        <w:r w:rsidR="00682FC0">
          <w:rPr>
            <w:noProof/>
            <w:webHidden/>
          </w:rPr>
          <w:instrText xml:space="preserve"> PAGEREF _Toc159500995 \h </w:instrText>
        </w:r>
        <w:r w:rsidR="00682FC0">
          <w:rPr>
            <w:noProof/>
            <w:webHidden/>
          </w:rPr>
        </w:r>
        <w:r w:rsidR="00682FC0">
          <w:rPr>
            <w:noProof/>
            <w:webHidden/>
          </w:rPr>
          <w:fldChar w:fldCharType="separate"/>
        </w:r>
        <w:r w:rsidR="00682FC0">
          <w:rPr>
            <w:noProof/>
            <w:webHidden/>
          </w:rPr>
          <w:t>201</w:t>
        </w:r>
        <w:r w:rsidR="00682FC0">
          <w:rPr>
            <w:noProof/>
            <w:webHidden/>
          </w:rPr>
          <w:fldChar w:fldCharType="end"/>
        </w:r>
      </w:hyperlink>
    </w:p>
    <w:p w14:paraId="6639B249" w14:textId="30CA1E41" w:rsidR="00682FC0" w:rsidRDefault="00000000">
      <w:pPr>
        <w:pStyle w:val="TOC3"/>
        <w:rPr>
          <w:rFonts w:eastAsiaTheme="minorEastAsia" w:cstheme="minorBidi"/>
          <w:noProof/>
          <w:kern w:val="2"/>
          <w:sz w:val="22"/>
          <w:szCs w:val="22"/>
          <w:lang w:eastAsia="en-AU"/>
          <w14:ligatures w14:val="standardContextual"/>
        </w:rPr>
      </w:pPr>
      <w:hyperlink w:anchor="_Toc159500996" w:history="1">
        <w:r w:rsidR="00682FC0" w:rsidRPr="0060053D">
          <w:rPr>
            <w:rStyle w:val="Hyperlink"/>
            <w:rFonts w:ascii="Calibri Light" w:hAnsi="Calibri Light"/>
            <w:bCs/>
            <w:noProof/>
          </w:rPr>
          <w:t>6.3.3</w:t>
        </w:r>
        <w:r w:rsidR="00682FC0" w:rsidRPr="0060053D">
          <w:rPr>
            <w:rStyle w:val="Hyperlink"/>
            <w:noProof/>
          </w:rPr>
          <w:t xml:space="preserve"> Form and composition of the Commission</w:t>
        </w:r>
        <w:r w:rsidR="00682FC0">
          <w:rPr>
            <w:noProof/>
            <w:webHidden/>
          </w:rPr>
          <w:tab/>
        </w:r>
        <w:r w:rsidR="00682FC0">
          <w:rPr>
            <w:noProof/>
            <w:webHidden/>
          </w:rPr>
          <w:fldChar w:fldCharType="begin"/>
        </w:r>
        <w:r w:rsidR="00682FC0">
          <w:rPr>
            <w:noProof/>
            <w:webHidden/>
          </w:rPr>
          <w:instrText xml:space="preserve"> PAGEREF _Toc159500996 \h </w:instrText>
        </w:r>
        <w:r w:rsidR="00682FC0">
          <w:rPr>
            <w:noProof/>
            <w:webHidden/>
          </w:rPr>
        </w:r>
        <w:r w:rsidR="00682FC0">
          <w:rPr>
            <w:noProof/>
            <w:webHidden/>
          </w:rPr>
          <w:fldChar w:fldCharType="separate"/>
        </w:r>
        <w:r w:rsidR="00682FC0">
          <w:rPr>
            <w:noProof/>
            <w:webHidden/>
          </w:rPr>
          <w:t>201</w:t>
        </w:r>
        <w:r w:rsidR="00682FC0">
          <w:rPr>
            <w:noProof/>
            <w:webHidden/>
          </w:rPr>
          <w:fldChar w:fldCharType="end"/>
        </w:r>
      </w:hyperlink>
    </w:p>
    <w:p w14:paraId="4E799AF2" w14:textId="527170F0" w:rsidR="00682FC0" w:rsidRDefault="00000000">
      <w:pPr>
        <w:pStyle w:val="TOC3"/>
        <w:rPr>
          <w:rFonts w:eastAsiaTheme="minorEastAsia" w:cstheme="minorBidi"/>
          <w:noProof/>
          <w:kern w:val="2"/>
          <w:sz w:val="22"/>
          <w:szCs w:val="22"/>
          <w:lang w:eastAsia="en-AU"/>
          <w14:ligatures w14:val="standardContextual"/>
        </w:rPr>
      </w:pPr>
      <w:hyperlink w:anchor="_Toc159500997" w:history="1">
        <w:r w:rsidR="00682FC0" w:rsidRPr="0060053D">
          <w:rPr>
            <w:rStyle w:val="Hyperlink"/>
            <w:rFonts w:ascii="Calibri Light" w:hAnsi="Calibri Light"/>
            <w:bCs/>
            <w:noProof/>
          </w:rPr>
          <w:t>6.3.4</w:t>
        </w:r>
        <w:r w:rsidR="00682FC0" w:rsidRPr="0060053D">
          <w:rPr>
            <w:rStyle w:val="Hyperlink"/>
            <w:noProof/>
          </w:rPr>
          <w:t xml:space="preserve"> Roles of the Commission</w:t>
        </w:r>
        <w:r w:rsidR="00682FC0">
          <w:rPr>
            <w:noProof/>
            <w:webHidden/>
          </w:rPr>
          <w:tab/>
        </w:r>
        <w:r w:rsidR="00682FC0">
          <w:rPr>
            <w:noProof/>
            <w:webHidden/>
          </w:rPr>
          <w:fldChar w:fldCharType="begin"/>
        </w:r>
        <w:r w:rsidR="00682FC0">
          <w:rPr>
            <w:noProof/>
            <w:webHidden/>
          </w:rPr>
          <w:instrText xml:space="preserve"> PAGEREF _Toc159500997 \h </w:instrText>
        </w:r>
        <w:r w:rsidR="00682FC0">
          <w:rPr>
            <w:noProof/>
            <w:webHidden/>
          </w:rPr>
        </w:r>
        <w:r w:rsidR="00682FC0">
          <w:rPr>
            <w:noProof/>
            <w:webHidden/>
          </w:rPr>
          <w:fldChar w:fldCharType="separate"/>
        </w:r>
        <w:r w:rsidR="00682FC0">
          <w:rPr>
            <w:noProof/>
            <w:webHidden/>
          </w:rPr>
          <w:t>202</w:t>
        </w:r>
        <w:r w:rsidR="00682FC0">
          <w:rPr>
            <w:noProof/>
            <w:webHidden/>
          </w:rPr>
          <w:fldChar w:fldCharType="end"/>
        </w:r>
      </w:hyperlink>
    </w:p>
    <w:p w14:paraId="2A3A1C7E" w14:textId="0D6CA941" w:rsidR="00682FC0" w:rsidRDefault="00000000">
      <w:pPr>
        <w:pStyle w:val="TOC3"/>
        <w:rPr>
          <w:rFonts w:eastAsiaTheme="minorEastAsia" w:cstheme="minorBidi"/>
          <w:noProof/>
          <w:kern w:val="2"/>
          <w:sz w:val="22"/>
          <w:szCs w:val="22"/>
          <w:lang w:eastAsia="en-AU"/>
          <w14:ligatures w14:val="standardContextual"/>
        </w:rPr>
      </w:pPr>
      <w:hyperlink w:anchor="_Toc159500998" w:history="1">
        <w:r w:rsidR="00682FC0" w:rsidRPr="0060053D">
          <w:rPr>
            <w:rStyle w:val="Hyperlink"/>
            <w:rFonts w:ascii="Calibri Light" w:hAnsi="Calibri Light"/>
            <w:bCs/>
            <w:noProof/>
          </w:rPr>
          <w:t>6.3.5</w:t>
        </w:r>
        <w:r w:rsidR="00682FC0" w:rsidRPr="0060053D">
          <w:rPr>
            <w:rStyle w:val="Hyperlink"/>
            <w:noProof/>
          </w:rPr>
          <w:t xml:space="preserve"> First Nations leadership</w:t>
        </w:r>
        <w:r w:rsidR="00682FC0">
          <w:rPr>
            <w:noProof/>
            <w:webHidden/>
          </w:rPr>
          <w:tab/>
        </w:r>
        <w:r w:rsidR="00682FC0">
          <w:rPr>
            <w:noProof/>
            <w:webHidden/>
          </w:rPr>
          <w:fldChar w:fldCharType="begin"/>
        </w:r>
        <w:r w:rsidR="00682FC0">
          <w:rPr>
            <w:noProof/>
            <w:webHidden/>
          </w:rPr>
          <w:instrText xml:space="preserve"> PAGEREF _Toc159500998 \h </w:instrText>
        </w:r>
        <w:r w:rsidR="00682FC0">
          <w:rPr>
            <w:noProof/>
            <w:webHidden/>
          </w:rPr>
        </w:r>
        <w:r w:rsidR="00682FC0">
          <w:rPr>
            <w:noProof/>
            <w:webHidden/>
          </w:rPr>
          <w:fldChar w:fldCharType="separate"/>
        </w:r>
        <w:r w:rsidR="00682FC0">
          <w:rPr>
            <w:noProof/>
            <w:webHidden/>
          </w:rPr>
          <w:t>212</w:t>
        </w:r>
        <w:r w:rsidR="00682FC0">
          <w:rPr>
            <w:noProof/>
            <w:webHidden/>
          </w:rPr>
          <w:fldChar w:fldCharType="end"/>
        </w:r>
      </w:hyperlink>
    </w:p>
    <w:p w14:paraId="1263DACE" w14:textId="14D3E943" w:rsidR="00682FC0" w:rsidRDefault="00000000">
      <w:pPr>
        <w:pStyle w:val="TOC3"/>
        <w:rPr>
          <w:rFonts w:eastAsiaTheme="minorEastAsia" w:cstheme="minorBidi"/>
          <w:noProof/>
          <w:kern w:val="2"/>
          <w:sz w:val="22"/>
          <w:szCs w:val="22"/>
          <w:lang w:eastAsia="en-AU"/>
          <w14:ligatures w14:val="standardContextual"/>
        </w:rPr>
      </w:pPr>
      <w:hyperlink w:anchor="_Toc159500999" w:history="1">
        <w:r w:rsidR="00682FC0" w:rsidRPr="0060053D">
          <w:rPr>
            <w:rStyle w:val="Hyperlink"/>
            <w:rFonts w:ascii="Calibri Light" w:hAnsi="Calibri Light"/>
            <w:bCs/>
            <w:noProof/>
          </w:rPr>
          <w:t>6.3.6</w:t>
        </w:r>
        <w:r w:rsidR="00682FC0" w:rsidRPr="0060053D">
          <w:rPr>
            <w:rStyle w:val="Hyperlink"/>
            <w:noProof/>
          </w:rPr>
          <w:t xml:space="preserve"> Knowing what works: the importance of good data and metrics</w:t>
        </w:r>
        <w:r w:rsidR="00682FC0">
          <w:rPr>
            <w:noProof/>
            <w:webHidden/>
          </w:rPr>
          <w:tab/>
        </w:r>
        <w:r w:rsidR="00682FC0">
          <w:rPr>
            <w:noProof/>
            <w:webHidden/>
          </w:rPr>
          <w:fldChar w:fldCharType="begin"/>
        </w:r>
        <w:r w:rsidR="00682FC0">
          <w:rPr>
            <w:noProof/>
            <w:webHidden/>
          </w:rPr>
          <w:instrText xml:space="preserve"> PAGEREF _Toc159500999 \h </w:instrText>
        </w:r>
        <w:r w:rsidR="00682FC0">
          <w:rPr>
            <w:noProof/>
            <w:webHidden/>
          </w:rPr>
        </w:r>
        <w:r w:rsidR="00682FC0">
          <w:rPr>
            <w:noProof/>
            <w:webHidden/>
          </w:rPr>
          <w:fldChar w:fldCharType="separate"/>
        </w:r>
        <w:r w:rsidR="00682FC0">
          <w:rPr>
            <w:noProof/>
            <w:webHidden/>
          </w:rPr>
          <w:t>216</w:t>
        </w:r>
        <w:r w:rsidR="00682FC0">
          <w:rPr>
            <w:noProof/>
            <w:webHidden/>
          </w:rPr>
          <w:fldChar w:fldCharType="end"/>
        </w:r>
      </w:hyperlink>
    </w:p>
    <w:p w14:paraId="1BCDB9D3" w14:textId="13FA8992" w:rsidR="00682FC0" w:rsidRDefault="00000000">
      <w:pPr>
        <w:pStyle w:val="TOC3"/>
        <w:rPr>
          <w:rFonts w:eastAsiaTheme="minorEastAsia" w:cstheme="minorBidi"/>
          <w:noProof/>
          <w:kern w:val="2"/>
          <w:sz w:val="22"/>
          <w:szCs w:val="22"/>
          <w:lang w:eastAsia="en-AU"/>
          <w14:ligatures w14:val="standardContextual"/>
        </w:rPr>
      </w:pPr>
      <w:hyperlink w:anchor="_Toc159501000" w:history="1">
        <w:r w:rsidR="00682FC0" w:rsidRPr="0060053D">
          <w:rPr>
            <w:rStyle w:val="Hyperlink"/>
            <w:rFonts w:ascii="Calibri Light" w:hAnsi="Calibri Light"/>
            <w:bCs/>
            <w:noProof/>
          </w:rPr>
          <w:t>6.3.7</w:t>
        </w:r>
        <w:r w:rsidR="00682FC0" w:rsidRPr="0060053D">
          <w:rPr>
            <w:rStyle w:val="Hyperlink"/>
            <w:noProof/>
          </w:rPr>
          <w:t xml:space="preserve"> A responsive and locally adapted system</w:t>
        </w:r>
        <w:r w:rsidR="00682FC0">
          <w:rPr>
            <w:noProof/>
            <w:webHidden/>
          </w:rPr>
          <w:tab/>
        </w:r>
        <w:r w:rsidR="00682FC0">
          <w:rPr>
            <w:noProof/>
            <w:webHidden/>
          </w:rPr>
          <w:fldChar w:fldCharType="begin"/>
        </w:r>
        <w:r w:rsidR="00682FC0">
          <w:rPr>
            <w:noProof/>
            <w:webHidden/>
          </w:rPr>
          <w:instrText xml:space="preserve"> PAGEREF _Toc159501000 \h </w:instrText>
        </w:r>
        <w:r w:rsidR="00682FC0">
          <w:rPr>
            <w:noProof/>
            <w:webHidden/>
          </w:rPr>
        </w:r>
        <w:r w:rsidR="00682FC0">
          <w:rPr>
            <w:noProof/>
            <w:webHidden/>
          </w:rPr>
          <w:fldChar w:fldCharType="separate"/>
        </w:r>
        <w:r w:rsidR="00682FC0">
          <w:rPr>
            <w:noProof/>
            <w:webHidden/>
          </w:rPr>
          <w:t>220</w:t>
        </w:r>
        <w:r w:rsidR="00682FC0">
          <w:rPr>
            <w:noProof/>
            <w:webHidden/>
          </w:rPr>
          <w:fldChar w:fldCharType="end"/>
        </w:r>
      </w:hyperlink>
    </w:p>
    <w:p w14:paraId="3E5E94D7" w14:textId="23EF1654" w:rsidR="00682FC0" w:rsidRDefault="00000000">
      <w:pPr>
        <w:pStyle w:val="TOC2"/>
        <w:rPr>
          <w:rFonts w:eastAsiaTheme="minorEastAsia" w:cstheme="minorBidi"/>
          <w:b w:val="0"/>
          <w:bCs w:val="0"/>
          <w:noProof/>
          <w:kern w:val="2"/>
          <w:lang w:eastAsia="en-AU"/>
          <w14:ligatures w14:val="standardContextual"/>
        </w:rPr>
      </w:pPr>
      <w:hyperlink w:anchor="_Toc159501001" w:history="1">
        <w:r w:rsidR="00682FC0" w:rsidRPr="0060053D">
          <w:rPr>
            <w:rStyle w:val="Hyperlink"/>
            <w:noProof/>
          </w:rPr>
          <w:t>6.4 A pathway to improving system governance and regulatory arrangements</w:t>
        </w:r>
        <w:r w:rsidR="00682FC0">
          <w:rPr>
            <w:noProof/>
            <w:webHidden/>
          </w:rPr>
          <w:tab/>
        </w:r>
        <w:r w:rsidR="00682FC0">
          <w:rPr>
            <w:noProof/>
            <w:webHidden/>
          </w:rPr>
          <w:fldChar w:fldCharType="begin"/>
        </w:r>
        <w:r w:rsidR="00682FC0">
          <w:rPr>
            <w:noProof/>
            <w:webHidden/>
          </w:rPr>
          <w:instrText xml:space="preserve"> PAGEREF _Toc159501001 \h </w:instrText>
        </w:r>
        <w:r w:rsidR="00682FC0">
          <w:rPr>
            <w:noProof/>
            <w:webHidden/>
          </w:rPr>
        </w:r>
        <w:r w:rsidR="00682FC0">
          <w:rPr>
            <w:noProof/>
            <w:webHidden/>
          </w:rPr>
          <w:fldChar w:fldCharType="separate"/>
        </w:r>
        <w:r w:rsidR="00682FC0">
          <w:rPr>
            <w:noProof/>
            <w:webHidden/>
          </w:rPr>
          <w:t>223</w:t>
        </w:r>
        <w:r w:rsidR="00682FC0">
          <w:rPr>
            <w:noProof/>
            <w:webHidden/>
          </w:rPr>
          <w:fldChar w:fldCharType="end"/>
        </w:r>
      </w:hyperlink>
    </w:p>
    <w:p w14:paraId="4D80D6FE" w14:textId="03A2AE38" w:rsidR="00682FC0" w:rsidRDefault="00000000">
      <w:pPr>
        <w:pStyle w:val="TOC1"/>
        <w:rPr>
          <w:rFonts w:eastAsiaTheme="minorEastAsia" w:cstheme="minorBidi"/>
          <w:b w:val="0"/>
          <w:bCs w:val="0"/>
          <w:i w:val="0"/>
          <w:iCs w:val="0"/>
          <w:noProof/>
          <w:kern w:val="2"/>
          <w:sz w:val="22"/>
          <w:szCs w:val="22"/>
          <w:lang w:eastAsia="en-AU"/>
          <w14:ligatures w14:val="standardContextual"/>
        </w:rPr>
      </w:pPr>
      <w:hyperlink w:anchor="_Toc159501002" w:history="1">
        <w:r w:rsidR="00682FC0" w:rsidRPr="0060053D">
          <w:rPr>
            <w:rStyle w:val="Hyperlink"/>
            <w:rFonts w:ascii="Calibri" w:hAnsi="Calibri"/>
            <w:noProof/>
          </w:rPr>
          <w:t>Chapter 7 –</w:t>
        </w:r>
        <w:r w:rsidR="00682FC0" w:rsidRPr="0060053D">
          <w:rPr>
            <w:rStyle w:val="Hyperlink"/>
            <w:noProof/>
          </w:rPr>
          <w:t xml:space="preserve"> Serving the regions through tertiary education</w:t>
        </w:r>
        <w:r w:rsidR="00682FC0">
          <w:rPr>
            <w:noProof/>
            <w:webHidden/>
          </w:rPr>
          <w:tab/>
        </w:r>
        <w:r w:rsidR="00682FC0">
          <w:rPr>
            <w:noProof/>
            <w:webHidden/>
          </w:rPr>
          <w:fldChar w:fldCharType="begin"/>
        </w:r>
        <w:r w:rsidR="00682FC0">
          <w:rPr>
            <w:noProof/>
            <w:webHidden/>
          </w:rPr>
          <w:instrText xml:space="preserve"> PAGEREF _Toc159501002 \h </w:instrText>
        </w:r>
        <w:r w:rsidR="00682FC0">
          <w:rPr>
            <w:noProof/>
            <w:webHidden/>
          </w:rPr>
        </w:r>
        <w:r w:rsidR="00682FC0">
          <w:rPr>
            <w:noProof/>
            <w:webHidden/>
          </w:rPr>
          <w:fldChar w:fldCharType="separate"/>
        </w:r>
        <w:r w:rsidR="00682FC0">
          <w:rPr>
            <w:noProof/>
            <w:webHidden/>
          </w:rPr>
          <w:t>224</w:t>
        </w:r>
        <w:r w:rsidR="00682FC0">
          <w:rPr>
            <w:noProof/>
            <w:webHidden/>
          </w:rPr>
          <w:fldChar w:fldCharType="end"/>
        </w:r>
      </w:hyperlink>
    </w:p>
    <w:p w14:paraId="62C4B4C6" w14:textId="0819343F" w:rsidR="00682FC0" w:rsidRDefault="00000000">
      <w:pPr>
        <w:pStyle w:val="TOC2"/>
        <w:rPr>
          <w:rFonts w:eastAsiaTheme="minorEastAsia" w:cstheme="minorBidi"/>
          <w:b w:val="0"/>
          <w:bCs w:val="0"/>
          <w:noProof/>
          <w:kern w:val="2"/>
          <w:lang w:eastAsia="en-AU"/>
          <w14:ligatures w14:val="standardContextual"/>
        </w:rPr>
      </w:pPr>
      <w:hyperlink w:anchor="_Toc159501003" w:history="1">
        <w:r w:rsidR="00682FC0" w:rsidRPr="0060053D">
          <w:rPr>
            <w:rStyle w:val="Hyperlink"/>
            <w:noProof/>
          </w:rPr>
          <w:t>7.1 Benefits of regional tertiary education</w:t>
        </w:r>
        <w:r w:rsidR="00682FC0">
          <w:rPr>
            <w:noProof/>
            <w:webHidden/>
          </w:rPr>
          <w:tab/>
        </w:r>
        <w:r w:rsidR="00682FC0">
          <w:rPr>
            <w:noProof/>
            <w:webHidden/>
          </w:rPr>
          <w:fldChar w:fldCharType="begin"/>
        </w:r>
        <w:r w:rsidR="00682FC0">
          <w:rPr>
            <w:noProof/>
            <w:webHidden/>
          </w:rPr>
          <w:instrText xml:space="preserve"> PAGEREF _Toc159501003 \h </w:instrText>
        </w:r>
        <w:r w:rsidR="00682FC0">
          <w:rPr>
            <w:noProof/>
            <w:webHidden/>
          </w:rPr>
        </w:r>
        <w:r w:rsidR="00682FC0">
          <w:rPr>
            <w:noProof/>
            <w:webHidden/>
          </w:rPr>
          <w:fldChar w:fldCharType="separate"/>
        </w:r>
        <w:r w:rsidR="00682FC0">
          <w:rPr>
            <w:noProof/>
            <w:webHidden/>
          </w:rPr>
          <w:t>224</w:t>
        </w:r>
        <w:r w:rsidR="00682FC0">
          <w:rPr>
            <w:noProof/>
            <w:webHidden/>
          </w:rPr>
          <w:fldChar w:fldCharType="end"/>
        </w:r>
      </w:hyperlink>
    </w:p>
    <w:p w14:paraId="2F57FC5A" w14:textId="5F903B44" w:rsidR="00682FC0" w:rsidRDefault="00000000">
      <w:pPr>
        <w:pStyle w:val="TOC2"/>
        <w:rPr>
          <w:rFonts w:eastAsiaTheme="minorEastAsia" w:cstheme="minorBidi"/>
          <w:b w:val="0"/>
          <w:bCs w:val="0"/>
          <w:noProof/>
          <w:kern w:val="2"/>
          <w:lang w:eastAsia="en-AU"/>
          <w14:ligatures w14:val="standardContextual"/>
        </w:rPr>
      </w:pPr>
      <w:hyperlink w:anchor="_Toc159501004" w:history="1">
        <w:r w:rsidR="00682FC0" w:rsidRPr="0060053D">
          <w:rPr>
            <w:rStyle w:val="Hyperlink"/>
            <w:noProof/>
          </w:rPr>
          <w:t>7.2 The case for additional investment in regional tertiary education</w:t>
        </w:r>
        <w:r w:rsidR="00682FC0">
          <w:rPr>
            <w:noProof/>
            <w:webHidden/>
          </w:rPr>
          <w:tab/>
        </w:r>
        <w:r w:rsidR="00682FC0">
          <w:rPr>
            <w:noProof/>
            <w:webHidden/>
          </w:rPr>
          <w:fldChar w:fldCharType="begin"/>
        </w:r>
        <w:r w:rsidR="00682FC0">
          <w:rPr>
            <w:noProof/>
            <w:webHidden/>
          </w:rPr>
          <w:instrText xml:space="preserve"> PAGEREF _Toc159501004 \h </w:instrText>
        </w:r>
        <w:r w:rsidR="00682FC0">
          <w:rPr>
            <w:noProof/>
            <w:webHidden/>
          </w:rPr>
        </w:r>
        <w:r w:rsidR="00682FC0">
          <w:rPr>
            <w:noProof/>
            <w:webHidden/>
          </w:rPr>
          <w:fldChar w:fldCharType="separate"/>
        </w:r>
        <w:r w:rsidR="00682FC0">
          <w:rPr>
            <w:noProof/>
            <w:webHidden/>
          </w:rPr>
          <w:t>225</w:t>
        </w:r>
        <w:r w:rsidR="00682FC0">
          <w:rPr>
            <w:noProof/>
            <w:webHidden/>
          </w:rPr>
          <w:fldChar w:fldCharType="end"/>
        </w:r>
      </w:hyperlink>
    </w:p>
    <w:p w14:paraId="5D78DC2A" w14:textId="6EC7F4BC" w:rsidR="00682FC0" w:rsidRDefault="00000000">
      <w:pPr>
        <w:pStyle w:val="TOC2"/>
        <w:rPr>
          <w:rFonts w:eastAsiaTheme="minorEastAsia" w:cstheme="minorBidi"/>
          <w:b w:val="0"/>
          <w:bCs w:val="0"/>
          <w:noProof/>
          <w:kern w:val="2"/>
          <w:lang w:eastAsia="en-AU"/>
          <w14:ligatures w14:val="standardContextual"/>
        </w:rPr>
      </w:pPr>
      <w:hyperlink w:anchor="_Toc159501005" w:history="1">
        <w:r w:rsidR="00682FC0" w:rsidRPr="0060053D">
          <w:rPr>
            <w:rStyle w:val="Hyperlink"/>
            <w:noProof/>
          </w:rPr>
          <w:t>7.3 The character of regional, rural and remote higher education</w:t>
        </w:r>
        <w:r w:rsidR="00682FC0">
          <w:rPr>
            <w:noProof/>
            <w:webHidden/>
          </w:rPr>
          <w:tab/>
        </w:r>
        <w:r w:rsidR="00682FC0">
          <w:rPr>
            <w:noProof/>
            <w:webHidden/>
          </w:rPr>
          <w:fldChar w:fldCharType="begin"/>
        </w:r>
        <w:r w:rsidR="00682FC0">
          <w:rPr>
            <w:noProof/>
            <w:webHidden/>
          </w:rPr>
          <w:instrText xml:space="preserve"> PAGEREF _Toc159501005 \h </w:instrText>
        </w:r>
        <w:r w:rsidR="00682FC0">
          <w:rPr>
            <w:noProof/>
            <w:webHidden/>
          </w:rPr>
        </w:r>
        <w:r w:rsidR="00682FC0">
          <w:rPr>
            <w:noProof/>
            <w:webHidden/>
          </w:rPr>
          <w:fldChar w:fldCharType="separate"/>
        </w:r>
        <w:r w:rsidR="00682FC0">
          <w:rPr>
            <w:noProof/>
            <w:webHidden/>
          </w:rPr>
          <w:t>226</w:t>
        </w:r>
        <w:r w:rsidR="00682FC0">
          <w:rPr>
            <w:noProof/>
            <w:webHidden/>
          </w:rPr>
          <w:fldChar w:fldCharType="end"/>
        </w:r>
      </w:hyperlink>
    </w:p>
    <w:p w14:paraId="00A31E70" w14:textId="2E1199A6" w:rsidR="00682FC0" w:rsidRDefault="00000000">
      <w:pPr>
        <w:pStyle w:val="TOC2"/>
        <w:rPr>
          <w:rFonts w:eastAsiaTheme="minorEastAsia" w:cstheme="minorBidi"/>
          <w:b w:val="0"/>
          <w:bCs w:val="0"/>
          <w:noProof/>
          <w:kern w:val="2"/>
          <w:lang w:eastAsia="en-AU"/>
          <w14:ligatures w14:val="standardContextual"/>
        </w:rPr>
      </w:pPr>
      <w:hyperlink w:anchor="_Toc159501006" w:history="1">
        <w:r w:rsidR="00682FC0" w:rsidRPr="0060053D">
          <w:rPr>
            <w:rStyle w:val="Hyperlink"/>
            <w:noProof/>
          </w:rPr>
          <w:t>7.4 Delivering a homegrown workforce to address regional skills needs</w:t>
        </w:r>
        <w:r w:rsidR="00682FC0">
          <w:rPr>
            <w:noProof/>
            <w:webHidden/>
          </w:rPr>
          <w:tab/>
        </w:r>
        <w:r w:rsidR="00682FC0">
          <w:rPr>
            <w:noProof/>
            <w:webHidden/>
          </w:rPr>
          <w:fldChar w:fldCharType="begin"/>
        </w:r>
        <w:r w:rsidR="00682FC0">
          <w:rPr>
            <w:noProof/>
            <w:webHidden/>
          </w:rPr>
          <w:instrText xml:space="preserve"> PAGEREF _Toc159501006 \h </w:instrText>
        </w:r>
        <w:r w:rsidR="00682FC0">
          <w:rPr>
            <w:noProof/>
            <w:webHidden/>
          </w:rPr>
        </w:r>
        <w:r w:rsidR="00682FC0">
          <w:rPr>
            <w:noProof/>
            <w:webHidden/>
          </w:rPr>
          <w:fldChar w:fldCharType="separate"/>
        </w:r>
        <w:r w:rsidR="00682FC0">
          <w:rPr>
            <w:noProof/>
            <w:webHidden/>
          </w:rPr>
          <w:t>228</w:t>
        </w:r>
        <w:r w:rsidR="00682FC0">
          <w:rPr>
            <w:noProof/>
            <w:webHidden/>
          </w:rPr>
          <w:fldChar w:fldCharType="end"/>
        </w:r>
      </w:hyperlink>
    </w:p>
    <w:p w14:paraId="0CD366BD" w14:textId="13CCFFA4" w:rsidR="00682FC0" w:rsidRDefault="00000000">
      <w:pPr>
        <w:pStyle w:val="TOC3"/>
        <w:rPr>
          <w:rFonts w:eastAsiaTheme="minorEastAsia" w:cstheme="minorBidi"/>
          <w:noProof/>
          <w:kern w:val="2"/>
          <w:sz w:val="22"/>
          <w:szCs w:val="22"/>
          <w:lang w:eastAsia="en-AU"/>
          <w14:ligatures w14:val="standardContextual"/>
        </w:rPr>
      </w:pPr>
      <w:hyperlink w:anchor="_Toc159501007" w:history="1">
        <w:r w:rsidR="00682FC0" w:rsidRPr="0060053D">
          <w:rPr>
            <w:rStyle w:val="Hyperlink"/>
            <w:rFonts w:ascii="Calibri Light" w:hAnsi="Calibri Light"/>
            <w:bCs/>
            <w:noProof/>
          </w:rPr>
          <w:t>7.4.1</w:t>
        </w:r>
        <w:r w:rsidR="00682FC0" w:rsidRPr="0060053D">
          <w:rPr>
            <w:rStyle w:val="Hyperlink"/>
            <w:noProof/>
          </w:rPr>
          <w:t xml:space="preserve"> Barriers to study</w:t>
        </w:r>
        <w:r w:rsidR="00682FC0">
          <w:rPr>
            <w:noProof/>
            <w:webHidden/>
          </w:rPr>
          <w:tab/>
        </w:r>
        <w:r w:rsidR="00682FC0">
          <w:rPr>
            <w:noProof/>
            <w:webHidden/>
          </w:rPr>
          <w:fldChar w:fldCharType="begin"/>
        </w:r>
        <w:r w:rsidR="00682FC0">
          <w:rPr>
            <w:noProof/>
            <w:webHidden/>
          </w:rPr>
          <w:instrText xml:space="preserve"> PAGEREF _Toc159501007 \h </w:instrText>
        </w:r>
        <w:r w:rsidR="00682FC0">
          <w:rPr>
            <w:noProof/>
            <w:webHidden/>
          </w:rPr>
        </w:r>
        <w:r w:rsidR="00682FC0">
          <w:rPr>
            <w:noProof/>
            <w:webHidden/>
          </w:rPr>
          <w:fldChar w:fldCharType="separate"/>
        </w:r>
        <w:r w:rsidR="00682FC0">
          <w:rPr>
            <w:noProof/>
            <w:webHidden/>
          </w:rPr>
          <w:t>230</w:t>
        </w:r>
        <w:r w:rsidR="00682FC0">
          <w:rPr>
            <w:noProof/>
            <w:webHidden/>
          </w:rPr>
          <w:fldChar w:fldCharType="end"/>
        </w:r>
      </w:hyperlink>
    </w:p>
    <w:p w14:paraId="25190F0B" w14:textId="16740F6B" w:rsidR="00682FC0" w:rsidRDefault="00000000">
      <w:pPr>
        <w:pStyle w:val="TOC2"/>
        <w:rPr>
          <w:rFonts w:eastAsiaTheme="minorEastAsia" w:cstheme="minorBidi"/>
          <w:b w:val="0"/>
          <w:bCs w:val="0"/>
          <w:noProof/>
          <w:kern w:val="2"/>
          <w:lang w:eastAsia="en-AU"/>
          <w14:ligatures w14:val="standardContextual"/>
        </w:rPr>
      </w:pPr>
      <w:hyperlink w:anchor="_Toc159501008" w:history="1">
        <w:r w:rsidR="00682FC0" w:rsidRPr="0060053D">
          <w:rPr>
            <w:rStyle w:val="Hyperlink"/>
            <w:noProof/>
          </w:rPr>
          <w:t>7.5 High cost of delivery and diseconomies of scale in the regions</w:t>
        </w:r>
        <w:r w:rsidR="00682FC0">
          <w:rPr>
            <w:noProof/>
            <w:webHidden/>
          </w:rPr>
          <w:tab/>
        </w:r>
        <w:r w:rsidR="00682FC0">
          <w:rPr>
            <w:noProof/>
            <w:webHidden/>
          </w:rPr>
          <w:fldChar w:fldCharType="begin"/>
        </w:r>
        <w:r w:rsidR="00682FC0">
          <w:rPr>
            <w:noProof/>
            <w:webHidden/>
          </w:rPr>
          <w:instrText xml:space="preserve"> PAGEREF _Toc159501008 \h </w:instrText>
        </w:r>
        <w:r w:rsidR="00682FC0">
          <w:rPr>
            <w:noProof/>
            <w:webHidden/>
          </w:rPr>
        </w:r>
        <w:r w:rsidR="00682FC0">
          <w:rPr>
            <w:noProof/>
            <w:webHidden/>
          </w:rPr>
          <w:fldChar w:fldCharType="separate"/>
        </w:r>
        <w:r w:rsidR="00682FC0">
          <w:rPr>
            <w:noProof/>
            <w:webHidden/>
          </w:rPr>
          <w:t>232</w:t>
        </w:r>
        <w:r w:rsidR="00682FC0">
          <w:rPr>
            <w:noProof/>
            <w:webHidden/>
          </w:rPr>
          <w:fldChar w:fldCharType="end"/>
        </w:r>
      </w:hyperlink>
    </w:p>
    <w:p w14:paraId="4D62E8AF" w14:textId="61575798" w:rsidR="00682FC0" w:rsidRDefault="00000000">
      <w:pPr>
        <w:pStyle w:val="TOC2"/>
        <w:rPr>
          <w:rFonts w:eastAsiaTheme="minorEastAsia" w:cstheme="minorBidi"/>
          <w:b w:val="0"/>
          <w:bCs w:val="0"/>
          <w:noProof/>
          <w:kern w:val="2"/>
          <w:lang w:eastAsia="en-AU"/>
          <w14:ligatures w14:val="standardContextual"/>
        </w:rPr>
      </w:pPr>
      <w:hyperlink w:anchor="_Toc159501009" w:history="1">
        <w:r w:rsidR="00682FC0" w:rsidRPr="0060053D">
          <w:rPr>
            <w:rStyle w:val="Hyperlink"/>
            <w:noProof/>
          </w:rPr>
          <w:t>7.6 A way forward</w:t>
        </w:r>
        <w:r w:rsidR="00682FC0">
          <w:rPr>
            <w:noProof/>
            <w:webHidden/>
          </w:rPr>
          <w:tab/>
        </w:r>
        <w:r w:rsidR="00682FC0">
          <w:rPr>
            <w:noProof/>
            <w:webHidden/>
          </w:rPr>
          <w:fldChar w:fldCharType="begin"/>
        </w:r>
        <w:r w:rsidR="00682FC0">
          <w:rPr>
            <w:noProof/>
            <w:webHidden/>
          </w:rPr>
          <w:instrText xml:space="preserve"> PAGEREF _Toc159501009 \h </w:instrText>
        </w:r>
        <w:r w:rsidR="00682FC0">
          <w:rPr>
            <w:noProof/>
            <w:webHidden/>
          </w:rPr>
        </w:r>
        <w:r w:rsidR="00682FC0">
          <w:rPr>
            <w:noProof/>
            <w:webHidden/>
          </w:rPr>
          <w:fldChar w:fldCharType="separate"/>
        </w:r>
        <w:r w:rsidR="00682FC0">
          <w:rPr>
            <w:noProof/>
            <w:webHidden/>
          </w:rPr>
          <w:t>234</w:t>
        </w:r>
        <w:r w:rsidR="00682FC0">
          <w:rPr>
            <w:noProof/>
            <w:webHidden/>
          </w:rPr>
          <w:fldChar w:fldCharType="end"/>
        </w:r>
      </w:hyperlink>
    </w:p>
    <w:p w14:paraId="66854EF0" w14:textId="15D05DC9" w:rsidR="00682FC0" w:rsidRDefault="00000000">
      <w:pPr>
        <w:pStyle w:val="TOC3"/>
        <w:rPr>
          <w:rFonts w:eastAsiaTheme="minorEastAsia" w:cstheme="minorBidi"/>
          <w:noProof/>
          <w:kern w:val="2"/>
          <w:sz w:val="22"/>
          <w:szCs w:val="22"/>
          <w:lang w:eastAsia="en-AU"/>
          <w14:ligatures w14:val="standardContextual"/>
        </w:rPr>
      </w:pPr>
      <w:hyperlink w:anchor="_Toc159501010" w:history="1">
        <w:r w:rsidR="00682FC0" w:rsidRPr="0060053D">
          <w:rPr>
            <w:rStyle w:val="Hyperlink"/>
            <w:rFonts w:ascii="Calibri Light" w:hAnsi="Calibri Light"/>
            <w:bCs/>
            <w:noProof/>
          </w:rPr>
          <w:t>7.6.1</w:t>
        </w:r>
        <w:r w:rsidR="00682FC0" w:rsidRPr="0060053D">
          <w:rPr>
            <w:rStyle w:val="Hyperlink"/>
            <w:noProof/>
          </w:rPr>
          <w:t xml:space="preserve"> Needs-based funding for students studying at regional universities</w:t>
        </w:r>
        <w:r w:rsidR="00682FC0">
          <w:rPr>
            <w:noProof/>
            <w:webHidden/>
          </w:rPr>
          <w:tab/>
        </w:r>
        <w:r w:rsidR="00682FC0">
          <w:rPr>
            <w:noProof/>
            <w:webHidden/>
          </w:rPr>
          <w:fldChar w:fldCharType="begin"/>
        </w:r>
        <w:r w:rsidR="00682FC0">
          <w:rPr>
            <w:noProof/>
            <w:webHidden/>
          </w:rPr>
          <w:instrText xml:space="preserve"> PAGEREF _Toc159501010 \h </w:instrText>
        </w:r>
        <w:r w:rsidR="00682FC0">
          <w:rPr>
            <w:noProof/>
            <w:webHidden/>
          </w:rPr>
        </w:r>
        <w:r w:rsidR="00682FC0">
          <w:rPr>
            <w:noProof/>
            <w:webHidden/>
          </w:rPr>
          <w:fldChar w:fldCharType="separate"/>
        </w:r>
        <w:r w:rsidR="00682FC0">
          <w:rPr>
            <w:noProof/>
            <w:webHidden/>
          </w:rPr>
          <w:t>234</w:t>
        </w:r>
        <w:r w:rsidR="00682FC0">
          <w:rPr>
            <w:noProof/>
            <w:webHidden/>
          </w:rPr>
          <w:fldChar w:fldCharType="end"/>
        </w:r>
      </w:hyperlink>
    </w:p>
    <w:p w14:paraId="233228C1" w14:textId="0CD01FAF" w:rsidR="00682FC0" w:rsidRDefault="00000000">
      <w:pPr>
        <w:pStyle w:val="TOC3"/>
        <w:rPr>
          <w:rFonts w:eastAsiaTheme="minorEastAsia" w:cstheme="minorBidi"/>
          <w:noProof/>
          <w:kern w:val="2"/>
          <w:sz w:val="22"/>
          <w:szCs w:val="22"/>
          <w:lang w:eastAsia="en-AU"/>
          <w14:ligatures w14:val="standardContextual"/>
        </w:rPr>
      </w:pPr>
      <w:hyperlink w:anchor="_Toc159501011" w:history="1">
        <w:r w:rsidR="00682FC0" w:rsidRPr="0060053D">
          <w:rPr>
            <w:rStyle w:val="Hyperlink"/>
            <w:rFonts w:ascii="Calibri Light" w:hAnsi="Calibri Light"/>
            <w:bCs/>
            <w:noProof/>
          </w:rPr>
          <w:t>7.6.2</w:t>
        </w:r>
        <w:r w:rsidR="00682FC0" w:rsidRPr="0060053D">
          <w:rPr>
            <w:rStyle w:val="Hyperlink"/>
            <w:noProof/>
          </w:rPr>
          <w:t xml:space="preserve"> An innovative, flexible and accessible tertiary education system</w:t>
        </w:r>
        <w:r w:rsidR="00682FC0">
          <w:rPr>
            <w:noProof/>
            <w:webHidden/>
          </w:rPr>
          <w:tab/>
        </w:r>
        <w:r w:rsidR="00682FC0">
          <w:rPr>
            <w:noProof/>
            <w:webHidden/>
          </w:rPr>
          <w:fldChar w:fldCharType="begin"/>
        </w:r>
        <w:r w:rsidR="00682FC0">
          <w:rPr>
            <w:noProof/>
            <w:webHidden/>
          </w:rPr>
          <w:instrText xml:space="preserve"> PAGEREF _Toc159501011 \h </w:instrText>
        </w:r>
        <w:r w:rsidR="00682FC0">
          <w:rPr>
            <w:noProof/>
            <w:webHidden/>
          </w:rPr>
        </w:r>
        <w:r w:rsidR="00682FC0">
          <w:rPr>
            <w:noProof/>
            <w:webHidden/>
          </w:rPr>
          <w:fldChar w:fldCharType="separate"/>
        </w:r>
        <w:r w:rsidR="00682FC0">
          <w:rPr>
            <w:noProof/>
            <w:webHidden/>
          </w:rPr>
          <w:t>235</w:t>
        </w:r>
        <w:r w:rsidR="00682FC0">
          <w:rPr>
            <w:noProof/>
            <w:webHidden/>
          </w:rPr>
          <w:fldChar w:fldCharType="end"/>
        </w:r>
      </w:hyperlink>
    </w:p>
    <w:p w14:paraId="5652263D" w14:textId="14B5D7F1" w:rsidR="00682FC0" w:rsidRDefault="00000000">
      <w:pPr>
        <w:pStyle w:val="TOC3"/>
        <w:rPr>
          <w:rFonts w:eastAsiaTheme="minorEastAsia" w:cstheme="minorBidi"/>
          <w:noProof/>
          <w:kern w:val="2"/>
          <w:sz w:val="22"/>
          <w:szCs w:val="22"/>
          <w:lang w:eastAsia="en-AU"/>
          <w14:ligatures w14:val="standardContextual"/>
        </w:rPr>
      </w:pPr>
      <w:hyperlink w:anchor="_Toc159501012" w:history="1">
        <w:r w:rsidR="00682FC0" w:rsidRPr="0060053D">
          <w:rPr>
            <w:rStyle w:val="Hyperlink"/>
            <w:rFonts w:ascii="Calibri Light" w:hAnsi="Calibri Light"/>
            <w:bCs/>
            <w:noProof/>
          </w:rPr>
          <w:t>7.6.3</w:t>
        </w:r>
        <w:r w:rsidR="00682FC0" w:rsidRPr="0060053D">
          <w:rPr>
            <w:rStyle w:val="Hyperlink"/>
            <w:noProof/>
          </w:rPr>
          <w:t xml:space="preserve"> A national regional university and a more integrated tertiary system in regional Australia</w:t>
        </w:r>
        <w:r w:rsidR="00682FC0">
          <w:rPr>
            <w:noProof/>
            <w:webHidden/>
          </w:rPr>
          <w:tab/>
        </w:r>
        <w:r w:rsidR="00682FC0">
          <w:rPr>
            <w:noProof/>
            <w:webHidden/>
          </w:rPr>
          <w:fldChar w:fldCharType="begin"/>
        </w:r>
        <w:r w:rsidR="00682FC0">
          <w:rPr>
            <w:noProof/>
            <w:webHidden/>
          </w:rPr>
          <w:instrText xml:space="preserve"> PAGEREF _Toc159501012 \h </w:instrText>
        </w:r>
        <w:r w:rsidR="00682FC0">
          <w:rPr>
            <w:noProof/>
            <w:webHidden/>
          </w:rPr>
        </w:r>
        <w:r w:rsidR="00682FC0">
          <w:rPr>
            <w:noProof/>
            <w:webHidden/>
          </w:rPr>
          <w:fldChar w:fldCharType="separate"/>
        </w:r>
        <w:r w:rsidR="00682FC0">
          <w:rPr>
            <w:noProof/>
            <w:webHidden/>
          </w:rPr>
          <w:t>238</w:t>
        </w:r>
        <w:r w:rsidR="00682FC0">
          <w:rPr>
            <w:noProof/>
            <w:webHidden/>
          </w:rPr>
          <w:fldChar w:fldCharType="end"/>
        </w:r>
      </w:hyperlink>
    </w:p>
    <w:p w14:paraId="2891DFDB" w14:textId="28098BA2" w:rsidR="00682FC0" w:rsidRDefault="00000000">
      <w:pPr>
        <w:pStyle w:val="TOC2"/>
        <w:rPr>
          <w:rFonts w:eastAsiaTheme="minorEastAsia" w:cstheme="minorBidi"/>
          <w:b w:val="0"/>
          <w:bCs w:val="0"/>
          <w:noProof/>
          <w:kern w:val="2"/>
          <w:lang w:eastAsia="en-AU"/>
          <w14:ligatures w14:val="standardContextual"/>
        </w:rPr>
      </w:pPr>
      <w:hyperlink w:anchor="_Toc159501013" w:history="1">
        <w:r w:rsidR="00682FC0" w:rsidRPr="0060053D">
          <w:rPr>
            <w:rStyle w:val="Hyperlink"/>
            <w:noProof/>
          </w:rPr>
          <w:t>7.7 Delivering strong and vibrant regional education</w:t>
        </w:r>
        <w:r w:rsidR="00682FC0">
          <w:rPr>
            <w:noProof/>
            <w:webHidden/>
          </w:rPr>
          <w:tab/>
        </w:r>
        <w:r w:rsidR="00682FC0">
          <w:rPr>
            <w:noProof/>
            <w:webHidden/>
          </w:rPr>
          <w:fldChar w:fldCharType="begin"/>
        </w:r>
        <w:r w:rsidR="00682FC0">
          <w:rPr>
            <w:noProof/>
            <w:webHidden/>
          </w:rPr>
          <w:instrText xml:space="preserve"> PAGEREF _Toc159501013 \h </w:instrText>
        </w:r>
        <w:r w:rsidR="00682FC0">
          <w:rPr>
            <w:noProof/>
            <w:webHidden/>
          </w:rPr>
        </w:r>
        <w:r w:rsidR="00682FC0">
          <w:rPr>
            <w:noProof/>
            <w:webHidden/>
          </w:rPr>
          <w:fldChar w:fldCharType="separate"/>
        </w:r>
        <w:r w:rsidR="00682FC0">
          <w:rPr>
            <w:noProof/>
            <w:webHidden/>
          </w:rPr>
          <w:t>239</w:t>
        </w:r>
        <w:r w:rsidR="00682FC0">
          <w:rPr>
            <w:noProof/>
            <w:webHidden/>
          </w:rPr>
          <w:fldChar w:fldCharType="end"/>
        </w:r>
      </w:hyperlink>
    </w:p>
    <w:p w14:paraId="7F45AB66" w14:textId="20E9B20A" w:rsidR="00682FC0" w:rsidRDefault="00000000">
      <w:pPr>
        <w:pStyle w:val="TOC1"/>
        <w:rPr>
          <w:rFonts w:eastAsiaTheme="minorEastAsia" w:cstheme="minorBidi"/>
          <w:b w:val="0"/>
          <w:bCs w:val="0"/>
          <w:i w:val="0"/>
          <w:iCs w:val="0"/>
          <w:noProof/>
          <w:kern w:val="2"/>
          <w:sz w:val="22"/>
          <w:szCs w:val="22"/>
          <w:lang w:eastAsia="en-AU"/>
          <w14:ligatures w14:val="standardContextual"/>
        </w:rPr>
      </w:pPr>
      <w:hyperlink w:anchor="_Toc159501014" w:history="1">
        <w:r w:rsidR="00682FC0" w:rsidRPr="0060053D">
          <w:rPr>
            <w:rStyle w:val="Hyperlink"/>
            <w:rFonts w:ascii="Calibri" w:hAnsi="Calibri"/>
            <w:noProof/>
          </w:rPr>
          <w:t>Chapter 8 –</w:t>
        </w:r>
        <w:r w:rsidR="00682FC0" w:rsidRPr="0060053D">
          <w:rPr>
            <w:rStyle w:val="Hyperlink"/>
            <w:noProof/>
          </w:rPr>
          <w:t xml:space="preserve"> A new funding model to underpin growth and quality</w:t>
        </w:r>
        <w:r w:rsidR="00682FC0">
          <w:rPr>
            <w:noProof/>
            <w:webHidden/>
          </w:rPr>
          <w:tab/>
        </w:r>
        <w:r w:rsidR="00682FC0">
          <w:rPr>
            <w:noProof/>
            <w:webHidden/>
          </w:rPr>
          <w:fldChar w:fldCharType="begin"/>
        </w:r>
        <w:r w:rsidR="00682FC0">
          <w:rPr>
            <w:noProof/>
            <w:webHidden/>
          </w:rPr>
          <w:instrText xml:space="preserve"> PAGEREF _Toc159501014 \h </w:instrText>
        </w:r>
        <w:r w:rsidR="00682FC0">
          <w:rPr>
            <w:noProof/>
            <w:webHidden/>
          </w:rPr>
        </w:r>
        <w:r w:rsidR="00682FC0">
          <w:rPr>
            <w:noProof/>
            <w:webHidden/>
          </w:rPr>
          <w:fldChar w:fldCharType="separate"/>
        </w:r>
        <w:r w:rsidR="00682FC0">
          <w:rPr>
            <w:noProof/>
            <w:webHidden/>
          </w:rPr>
          <w:t>240</w:t>
        </w:r>
        <w:r w:rsidR="00682FC0">
          <w:rPr>
            <w:noProof/>
            <w:webHidden/>
          </w:rPr>
          <w:fldChar w:fldCharType="end"/>
        </w:r>
      </w:hyperlink>
    </w:p>
    <w:p w14:paraId="2ECD55E7" w14:textId="30B145D6" w:rsidR="00682FC0" w:rsidRDefault="00000000">
      <w:pPr>
        <w:pStyle w:val="TOC2"/>
        <w:rPr>
          <w:rFonts w:eastAsiaTheme="minorEastAsia" w:cstheme="minorBidi"/>
          <w:b w:val="0"/>
          <w:bCs w:val="0"/>
          <w:noProof/>
          <w:kern w:val="2"/>
          <w:lang w:eastAsia="en-AU"/>
          <w14:ligatures w14:val="standardContextual"/>
        </w:rPr>
      </w:pPr>
      <w:hyperlink w:anchor="_Toc159501015" w:history="1">
        <w:r w:rsidR="00682FC0" w:rsidRPr="0060053D">
          <w:rPr>
            <w:rStyle w:val="Hyperlink"/>
            <w:noProof/>
          </w:rPr>
          <w:t>8.1 University funding</w:t>
        </w:r>
        <w:r w:rsidR="00682FC0">
          <w:rPr>
            <w:noProof/>
            <w:webHidden/>
          </w:rPr>
          <w:tab/>
        </w:r>
        <w:r w:rsidR="00682FC0">
          <w:rPr>
            <w:noProof/>
            <w:webHidden/>
          </w:rPr>
          <w:fldChar w:fldCharType="begin"/>
        </w:r>
        <w:r w:rsidR="00682FC0">
          <w:rPr>
            <w:noProof/>
            <w:webHidden/>
          </w:rPr>
          <w:instrText xml:space="preserve"> PAGEREF _Toc159501015 \h </w:instrText>
        </w:r>
        <w:r w:rsidR="00682FC0">
          <w:rPr>
            <w:noProof/>
            <w:webHidden/>
          </w:rPr>
        </w:r>
        <w:r w:rsidR="00682FC0">
          <w:rPr>
            <w:noProof/>
            <w:webHidden/>
          </w:rPr>
          <w:fldChar w:fldCharType="separate"/>
        </w:r>
        <w:r w:rsidR="00682FC0">
          <w:rPr>
            <w:noProof/>
            <w:webHidden/>
          </w:rPr>
          <w:t>240</w:t>
        </w:r>
        <w:r w:rsidR="00682FC0">
          <w:rPr>
            <w:noProof/>
            <w:webHidden/>
          </w:rPr>
          <w:fldChar w:fldCharType="end"/>
        </w:r>
      </w:hyperlink>
    </w:p>
    <w:p w14:paraId="16653D7C" w14:textId="10966BAA" w:rsidR="00682FC0" w:rsidRDefault="00000000">
      <w:pPr>
        <w:pStyle w:val="TOC3"/>
        <w:rPr>
          <w:rFonts w:eastAsiaTheme="minorEastAsia" w:cstheme="minorBidi"/>
          <w:noProof/>
          <w:kern w:val="2"/>
          <w:sz w:val="22"/>
          <w:szCs w:val="22"/>
          <w:lang w:eastAsia="en-AU"/>
          <w14:ligatures w14:val="standardContextual"/>
        </w:rPr>
      </w:pPr>
      <w:hyperlink w:anchor="_Toc159501016" w:history="1">
        <w:r w:rsidR="00682FC0" w:rsidRPr="0060053D">
          <w:rPr>
            <w:rStyle w:val="Hyperlink"/>
            <w:rFonts w:ascii="Calibri Light" w:hAnsi="Calibri Light"/>
            <w:bCs/>
            <w:noProof/>
          </w:rPr>
          <w:t>8.1.1</w:t>
        </w:r>
        <w:r w:rsidR="00682FC0" w:rsidRPr="0060053D">
          <w:rPr>
            <w:rStyle w:val="Hyperlink"/>
            <w:noProof/>
          </w:rPr>
          <w:t xml:space="preserve"> University finances</w:t>
        </w:r>
        <w:r w:rsidR="00682FC0">
          <w:rPr>
            <w:noProof/>
            <w:webHidden/>
          </w:rPr>
          <w:tab/>
        </w:r>
        <w:r w:rsidR="00682FC0">
          <w:rPr>
            <w:noProof/>
            <w:webHidden/>
          </w:rPr>
          <w:fldChar w:fldCharType="begin"/>
        </w:r>
        <w:r w:rsidR="00682FC0">
          <w:rPr>
            <w:noProof/>
            <w:webHidden/>
          </w:rPr>
          <w:instrText xml:space="preserve"> PAGEREF _Toc159501016 \h </w:instrText>
        </w:r>
        <w:r w:rsidR="00682FC0">
          <w:rPr>
            <w:noProof/>
            <w:webHidden/>
          </w:rPr>
        </w:r>
        <w:r w:rsidR="00682FC0">
          <w:rPr>
            <w:noProof/>
            <w:webHidden/>
          </w:rPr>
          <w:fldChar w:fldCharType="separate"/>
        </w:r>
        <w:r w:rsidR="00682FC0">
          <w:rPr>
            <w:noProof/>
            <w:webHidden/>
          </w:rPr>
          <w:t>241</w:t>
        </w:r>
        <w:r w:rsidR="00682FC0">
          <w:rPr>
            <w:noProof/>
            <w:webHidden/>
          </w:rPr>
          <w:fldChar w:fldCharType="end"/>
        </w:r>
      </w:hyperlink>
    </w:p>
    <w:p w14:paraId="44F48B39" w14:textId="35FE1711" w:rsidR="00682FC0" w:rsidRDefault="00000000">
      <w:pPr>
        <w:pStyle w:val="TOC2"/>
        <w:rPr>
          <w:rFonts w:eastAsiaTheme="minorEastAsia" w:cstheme="minorBidi"/>
          <w:b w:val="0"/>
          <w:bCs w:val="0"/>
          <w:noProof/>
          <w:kern w:val="2"/>
          <w:lang w:eastAsia="en-AU"/>
          <w14:ligatures w14:val="standardContextual"/>
        </w:rPr>
      </w:pPr>
      <w:hyperlink w:anchor="_Toc159501017" w:history="1">
        <w:r w:rsidR="00682FC0" w:rsidRPr="0060053D">
          <w:rPr>
            <w:rStyle w:val="Hyperlink"/>
            <w:noProof/>
          </w:rPr>
          <w:t>8.2 A new funding model for Commonwealth supported teaching places</w:t>
        </w:r>
        <w:r w:rsidR="00682FC0">
          <w:rPr>
            <w:noProof/>
            <w:webHidden/>
          </w:rPr>
          <w:tab/>
        </w:r>
        <w:r w:rsidR="00682FC0">
          <w:rPr>
            <w:noProof/>
            <w:webHidden/>
          </w:rPr>
          <w:fldChar w:fldCharType="begin"/>
        </w:r>
        <w:r w:rsidR="00682FC0">
          <w:rPr>
            <w:noProof/>
            <w:webHidden/>
          </w:rPr>
          <w:instrText xml:space="preserve"> PAGEREF _Toc159501017 \h </w:instrText>
        </w:r>
        <w:r w:rsidR="00682FC0">
          <w:rPr>
            <w:noProof/>
            <w:webHidden/>
          </w:rPr>
        </w:r>
        <w:r w:rsidR="00682FC0">
          <w:rPr>
            <w:noProof/>
            <w:webHidden/>
          </w:rPr>
          <w:fldChar w:fldCharType="separate"/>
        </w:r>
        <w:r w:rsidR="00682FC0">
          <w:rPr>
            <w:noProof/>
            <w:webHidden/>
          </w:rPr>
          <w:t>242</w:t>
        </w:r>
        <w:r w:rsidR="00682FC0">
          <w:rPr>
            <w:noProof/>
            <w:webHidden/>
          </w:rPr>
          <w:fldChar w:fldCharType="end"/>
        </w:r>
      </w:hyperlink>
    </w:p>
    <w:p w14:paraId="748DE6FD" w14:textId="2EFAD664" w:rsidR="00682FC0" w:rsidRDefault="00000000">
      <w:pPr>
        <w:pStyle w:val="TOC3"/>
        <w:rPr>
          <w:rFonts w:eastAsiaTheme="minorEastAsia" w:cstheme="minorBidi"/>
          <w:noProof/>
          <w:kern w:val="2"/>
          <w:sz w:val="22"/>
          <w:szCs w:val="22"/>
          <w:lang w:eastAsia="en-AU"/>
          <w14:ligatures w14:val="standardContextual"/>
        </w:rPr>
      </w:pPr>
      <w:hyperlink w:anchor="_Toc159501018" w:history="1">
        <w:r w:rsidR="00682FC0" w:rsidRPr="0060053D">
          <w:rPr>
            <w:rStyle w:val="Hyperlink"/>
            <w:rFonts w:ascii="Calibri Light" w:hAnsi="Calibri Light"/>
            <w:bCs/>
            <w:noProof/>
          </w:rPr>
          <w:t>8.2.1</w:t>
        </w:r>
        <w:r w:rsidR="00682FC0" w:rsidRPr="0060053D">
          <w:rPr>
            <w:rStyle w:val="Hyperlink"/>
            <w:noProof/>
          </w:rPr>
          <w:t xml:space="preserve"> Evolution of the current funding system</w:t>
        </w:r>
        <w:r w:rsidR="00682FC0">
          <w:rPr>
            <w:noProof/>
            <w:webHidden/>
          </w:rPr>
          <w:tab/>
        </w:r>
        <w:r w:rsidR="00682FC0">
          <w:rPr>
            <w:noProof/>
            <w:webHidden/>
          </w:rPr>
          <w:fldChar w:fldCharType="begin"/>
        </w:r>
        <w:r w:rsidR="00682FC0">
          <w:rPr>
            <w:noProof/>
            <w:webHidden/>
          </w:rPr>
          <w:instrText xml:space="preserve"> PAGEREF _Toc159501018 \h </w:instrText>
        </w:r>
        <w:r w:rsidR="00682FC0">
          <w:rPr>
            <w:noProof/>
            <w:webHidden/>
          </w:rPr>
        </w:r>
        <w:r w:rsidR="00682FC0">
          <w:rPr>
            <w:noProof/>
            <w:webHidden/>
          </w:rPr>
          <w:fldChar w:fldCharType="separate"/>
        </w:r>
        <w:r w:rsidR="00682FC0">
          <w:rPr>
            <w:noProof/>
            <w:webHidden/>
          </w:rPr>
          <w:t>242</w:t>
        </w:r>
        <w:r w:rsidR="00682FC0">
          <w:rPr>
            <w:noProof/>
            <w:webHidden/>
          </w:rPr>
          <w:fldChar w:fldCharType="end"/>
        </w:r>
      </w:hyperlink>
    </w:p>
    <w:p w14:paraId="02E37D96" w14:textId="6C3A22E3" w:rsidR="00682FC0" w:rsidRDefault="00000000">
      <w:pPr>
        <w:pStyle w:val="TOC3"/>
        <w:rPr>
          <w:rFonts w:eastAsiaTheme="minorEastAsia" w:cstheme="minorBidi"/>
          <w:noProof/>
          <w:kern w:val="2"/>
          <w:sz w:val="22"/>
          <w:szCs w:val="22"/>
          <w:lang w:eastAsia="en-AU"/>
          <w14:ligatures w14:val="standardContextual"/>
        </w:rPr>
      </w:pPr>
      <w:hyperlink w:anchor="_Toc159501019" w:history="1">
        <w:r w:rsidR="00682FC0" w:rsidRPr="0060053D">
          <w:rPr>
            <w:rStyle w:val="Hyperlink"/>
            <w:rFonts w:ascii="Calibri Light" w:hAnsi="Calibri Light"/>
            <w:bCs/>
            <w:noProof/>
          </w:rPr>
          <w:t>8.2.2</w:t>
        </w:r>
        <w:r w:rsidR="00682FC0" w:rsidRPr="0060053D">
          <w:rPr>
            <w:rStyle w:val="Hyperlink"/>
            <w:noProof/>
          </w:rPr>
          <w:t xml:space="preserve"> Principles for a new funding model</w:t>
        </w:r>
        <w:r w:rsidR="00682FC0">
          <w:rPr>
            <w:noProof/>
            <w:webHidden/>
          </w:rPr>
          <w:tab/>
        </w:r>
        <w:r w:rsidR="00682FC0">
          <w:rPr>
            <w:noProof/>
            <w:webHidden/>
          </w:rPr>
          <w:fldChar w:fldCharType="begin"/>
        </w:r>
        <w:r w:rsidR="00682FC0">
          <w:rPr>
            <w:noProof/>
            <w:webHidden/>
          </w:rPr>
          <w:instrText xml:space="preserve"> PAGEREF _Toc159501019 \h </w:instrText>
        </w:r>
        <w:r w:rsidR="00682FC0">
          <w:rPr>
            <w:noProof/>
            <w:webHidden/>
          </w:rPr>
        </w:r>
        <w:r w:rsidR="00682FC0">
          <w:rPr>
            <w:noProof/>
            <w:webHidden/>
          </w:rPr>
          <w:fldChar w:fldCharType="separate"/>
        </w:r>
        <w:r w:rsidR="00682FC0">
          <w:rPr>
            <w:noProof/>
            <w:webHidden/>
          </w:rPr>
          <w:t>247</w:t>
        </w:r>
        <w:r w:rsidR="00682FC0">
          <w:rPr>
            <w:noProof/>
            <w:webHidden/>
          </w:rPr>
          <w:fldChar w:fldCharType="end"/>
        </w:r>
      </w:hyperlink>
    </w:p>
    <w:p w14:paraId="6C5598C4" w14:textId="6E9CC145" w:rsidR="00682FC0" w:rsidRDefault="00000000">
      <w:pPr>
        <w:pStyle w:val="TOC3"/>
        <w:rPr>
          <w:rFonts w:eastAsiaTheme="minorEastAsia" w:cstheme="minorBidi"/>
          <w:noProof/>
          <w:kern w:val="2"/>
          <w:sz w:val="22"/>
          <w:szCs w:val="22"/>
          <w:lang w:eastAsia="en-AU"/>
          <w14:ligatures w14:val="standardContextual"/>
        </w:rPr>
      </w:pPr>
      <w:hyperlink w:anchor="_Toc159501020" w:history="1">
        <w:r w:rsidR="00682FC0" w:rsidRPr="0060053D">
          <w:rPr>
            <w:rStyle w:val="Hyperlink"/>
            <w:rFonts w:ascii="Calibri Light" w:hAnsi="Calibri Light"/>
            <w:bCs/>
            <w:noProof/>
          </w:rPr>
          <w:t>8.2.3</w:t>
        </w:r>
        <w:r w:rsidR="00682FC0" w:rsidRPr="0060053D">
          <w:rPr>
            <w:rStyle w:val="Hyperlink"/>
            <w:noProof/>
          </w:rPr>
          <w:t xml:space="preserve"> A new approach to core funding for Commonwealth supported places</w:t>
        </w:r>
        <w:r w:rsidR="00682FC0">
          <w:rPr>
            <w:noProof/>
            <w:webHidden/>
          </w:rPr>
          <w:tab/>
        </w:r>
        <w:r w:rsidR="00682FC0">
          <w:rPr>
            <w:noProof/>
            <w:webHidden/>
          </w:rPr>
          <w:fldChar w:fldCharType="begin"/>
        </w:r>
        <w:r w:rsidR="00682FC0">
          <w:rPr>
            <w:noProof/>
            <w:webHidden/>
          </w:rPr>
          <w:instrText xml:space="preserve"> PAGEREF _Toc159501020 \h </w:instrText>
        </w:r>
        <w:r w:rsidR="00682FC0">
          <w:rPr>
            <w:noProof/>
            <w:webHidden/>
          </w:rPr>
        </w:r>
        <w:r w:rsidR="00682FC0">
          <w:rPr>
            <w:noProof/>
            <w:webHidden/>
          </w:rPr>
          <w:fldChar w:fldCharType="separate"/>
        </w:r>
        <w:r w:rsidR="00682FC0">
          <w:rPr>
            <w:noProof/>
            <w:webHidden/>
          </w:rPr>
          <w:t>248</w:t>
        </w:r>
        <w:r w:rsidR="00682FC0">
          <w:rPr>
            <w:noProof/>
            <w:webHidden/>
          </w:rPr>
          <w:fldChar w:fldCharType="end"/>
        </w:r>
      </w:hyperlink>
    </w:p>
    <w:p w14:paraId="2AD276AA" w14:textId="0F1BB14A" w:rsidR="00682FC0" w:rsidRDefault="00000000">
      <w:pPr>
        <w:pStyle w:val="TOC3"/>
        <w:rPr>
          <w:rFonts w:eastAsiaTheme="minorEastAsia" w:cstheme="minorBidi"/>
          <w:noProof/>
          <w:kern w:val="2"/>
          <w:sz w:val="22"/>
          <w:szCs w:val="22"/>
          <w:lang w:eastAsia="en-AU"/>
          <w14:ligatures w14:val="standardContextual"/>
        </w:rPr>
      </w:pPr>
      <w:hyperlink w:anchor="_Toc159501021" w:history="1">
        <w:r w:rsidR="00682FC0" w:rsidRPr="0060053D">
          <w:rPr>
            <w:rStyle w:val="Hyperlink"/>
            <w:rFonts w:ascii="Calibri Light" w:hAnsi="Calibri Light"/>
            <w:bCs/>
            <w:noProof/>
          </w:rPr>
          <w:t>8.2.4</w:t>
        </w:r>
        <w:r w:rsidR="00682FC0" w:rsidRPr="0060053D">
          <w:rPr>
            <w:rStyle w:val="Hyperlink"/>
            <w:noProof/>
          </w:rPr>
          <w:t xml:space="preserve"> Delivering growth</w:t>
        </w:r>
        <w:r w:rsidR="00682FC0">
          <w:rPr>
            <w:noProof/>
            <w:webHidden/>
          </w:rPr>
          <w:tab/>
        </w:r>
        <w:r w:rsidR="00682FC0">
          <w:rPr>
            <w:noProof/>
            <w:webHidden/>
          </w:rPr>
          <w:fldChar w:fldCharType="begin"/>
        </w:r>
        <w:r w:rsidR="00682FC0">
          <w:rPr>
            <w:noProof/>
            <w:webHidden/>
          </w:rPr>
          <w:instrText xml:space="preserve"> PAGEREF _Toc159501021 \h </w:instrText>
        </w:r>
        <w:r w:rsidR="00682FC0">
          <w:rPr>
            <w:noProof/>
            <w:webHidden/>
          </w:rPr>
        </w:r>
        <w:r w:rsidR="00682FC0">
          <w:rPr>
            <w:noProof/>
            <w:webHidden/>
          </w:rPr>
          <w:fldChar w:fldCharType="separate"/>
        </w:r>
        <w:r w:rsidR="00682FC0">
          <w:rPr>
            <w:noProof/>
            <w:webHidden/>
          </w:rPr>
          <w:t>253</w:t>
        </w:r>
        <w:r w:rsidR="00682FC0">
          <w:rPr>
            <w:noProof/>
            <w:webHidden/>
          </w:rPr>
          <w:fldChar w:fldCharType="end"/>
        </w:r>
      </w:hyperlink>
    </w:p>
    <w:p w14:paraId="671F320B" w14:textId="21944DBE" w:rsidR="00682FC0" w:rsidRDefault="00000000">
      <w:pPr>
        <w:pStyle w:val="TOC3"/>
        <w:rPr>
          <w:rFonts w:eastAsiaTheme="minorEastAsia" w:cstheme="minorBidi"/>
          <w:noProof/>
          <w:kern w:val="2"/>
          <w:sz w:val="22"/>
          <w:szCs w:val="22"/>
          <w:lang w:eastAsia="en-AU"/>
          <w14:ligatures w14:val="standardContextual"/>
        </w:rPr>
      </w:pPr>
      <w:hyperlink w:anchor="_Toc159501022" w:history="1">
        <w:r w:rsidR="00682FC0" w:rsidRPr="0060053D">
          <w:rPr>
            <w:rStyle w:val="Hyperlink"/>
            <w:rFonts w:ascii="Calibri Light" w:hAnsi="Calibri Light"/>
            <w:bCs/>
            <w:noProof/>
          </w:rPr>
          <w:t>8.2.5</w:t>
        </w:r>
        <w:r w:rsidR="00682FC0" w:rsidRPr="0060053D">
          <w:rPr>
            <w:rStyle w:val="Hyperlink"/>
            <w:noProof/>
          </w:rPr>
          <w:t xml:space="preserve"> Accountability</w:t>
        </w:r>
        <w:r w:rsidR="00682FC0">
          <w:rPr>
            <w:noProof/>
            <w:webHidden/>
          </w:rPr>
          <w:tab/>
        </w:r>
        <w:r w:rsidR="00682FC0">
          <w:rPr>
            <w:noProof/>
            <w:webHidden/>
          </w:rPr>
          <w:fldChar w:fldCharType="begin"/>
        </w:r>
        <w:r w:rsidR="00682FC0">
          <w:rPr>
            <w:noProof/>
            <w:webHidden/>
          </w:rPr>
          <w:instrText xml:space="preserve"> PAGEREF _Toc159501022 \h </w:instrText>
        </w:r>
        <w:r w:rsidR="00682FC0">
          <w:rPr>
            <w:noProof/>
            <w:webHidden/>
          </w:rPr>
        </w:r>
        <w:r w:rsidR="00682FC0">
          <w:rPr>
            <w:noProof/>
            <w:webHidden/>
          </w:rPr>
          <w:fldChar w:fldCharType="separate"/>
        </w:r>
        <w:r w:rsidR="00682FC0">
          <w:rPr>
            <w:noProof/>
            <w:webHidden/>
          </w:rPr>
          <w:t>256</w:t>
        </w:r>
        <w:r w:rsidR="00682FC0">
          <w:rPr>
            <w:noProof/>
            <w:webHidden/>
          </w:rPr>
          <w:fldChar w:fldCharType="end"/>
        </w:r>
      </w:hyperlink>
    </w:p>
    <w:p w14:paraId="32CFCB7B" w14:textId="43260D75" w:rsidR="00682FC0" w:rsidRDefault="00000000">
      <w:pPr>
        <w:pStyle w:val="TOC3"/>
        <w:rPr>
          <w:rFonts w:eastAsiaTheme="minorEastAsia" w:cstheme="minorBidi"/>
          <w:noProof/>
          <w:kern w:val="2"/>
          <w:sz w:val="22"/>
          <w:szCs w:val="22"/>
          <w:lang w:eastAsia="en-AU"/>
          <w14:ligatures w14:val="standardContextual"/>
        </w:rPr>
      </w:pPr>
      <w:hyperlink w:anchor="_Toc159501023" w:history="1">
        <w:r w:rsidR="00682FC0" w:rsidRPr="0060053D">
          <w:rPr>
            <w:rStyle w:val="Hyperlink"/>
            <w:rFonts w:ascii="Calibri Light" w:hAnsi="Calibri Light"/>
            <w:bCs/>
            <w:noProof/>
          </w:rPr>
          <w:t>8.2.6</w:t>
        </w:r>
        <w:r w:rsidR="00682FC0" w:rsidRPr="0060053D">
          <w:rPr>
            <w:rStyle w:val="Hyperlink"/>
            <w:noProof/>
          </w:rPr>
          <w:t xml:space="preserve"> Recognising the symbiotic relationship between teaching and research</w:t>
        </w:r>
        <w:r w:rsidR="00682FC0">
          <w:rPr>
            <w:noProof/>
            <w:webHidden/>
          </w:rPr>
          <w:tab/>
        </w:r>
        <w:r w:rsidR="00682FC0">
          <w:rPr>
            <w:noProof/>
            <w:webHidden/>
          </w:rPr>
          <w:fldChar w:fldCharType="begin"/>
        </w:r>
        <w:r w:rsidR="00682FC0">
          <w:rPr>
            <w:noProof/>
            <w:webHidden/>
          </w:rPr>
          <w:instrText xml:space="preserve"> PAGEREF _Toc159501023 \h </w:instrText>
        </w:r>
        <w:r w:rsidR="00682FC0">
          <w:rPr>
            <w:noProof/>
            <w:webHidden/>
          </w:rPr>
        </w:r>
        <w:r w:rsidR="00682FC0">
          <w:rPr>
            <w:noProof/>
            <w:webHidden/>
          </w:rPr>
          <w:fldChar w:fldCharType="separate"/>
        </w:r>
        <w:r w:rsidR="00682FC0">
          <w:rPr>
            <w:noProof/>
            <w:webHidden/>
          </w:rPr>
          <w:t>257</w:t>
        </w:r>
        <w:r w:rsidR="00682FC0">
          <w:rPr>
            <w:noProof/>
            <w:webHidden/>
          </w:rPr>
          <w:fldChar w:fldCharType="end"/>
        </w:r>
      </w:hyperlink>
    </w:p>
    <w:p w14:paraId="68BDEE58" w14:textId="324EE352" w:rsidR="00682FC0" w:rsidRDefault="00000000">
      <w:pPr>
        <w:pStyle w:val="TOC3"/>
        <w:rPr>
          <w:rFonts w:eastAsiaTheme="minorEastAsia" w:cstheme="minorBidi"/>
          <w:noProof/>
          <w:kern w:val="2"/>
          <w:sz w:val="22"/>
          <w:szCs w:val="22"/>
          <w:lang w:eastAsia="en-AU"/>
          <w14:ligatures w14:val="standardContextual"/>
        </w:rPr>
      </w:pPr>
      <w:hyperlink w:anchor="_Toc159501024" w:history="1">
        <w:r w:rsidR="00682FC0" w:rsidRPr="0060053D">
          <w:rPr>
            <w:rStyle w:val="Hyperlink"/>
            <w:rFonts w:ascii="Calibri Light" w:hAnsi="Calibri Light"/>
            <w:bCs/>
            <w:noProof/>
          </w:rPr>
          <w:t>8.2.7</w:t>
        </w:r>
        <w:r w:rsidR="00682FC0" w:rsidRPr="0060053D">
          <w:rPr>
            <w:rStyle w:val="Hyperlink"/>
            <w:noProof/>
          </w:rPr>
          <w:t xml:space="preserve"> Outcomes</w:t>
        </w:r>
        <w:r w:rsidR="00682FC0">
          <w:rPr>
            <w:noProof/>
            <w:webHidden/>
          </w:rPr>
          <w:tab/>
        </w:r>
        <w:r w:rsidR="00682FC0">
          <w:rPr>
            <w:noProof/>
            <w:webHidden/>
          </w:rPr>
          <w:fldChar w:fldCharType="begin"/>
        </w:r>
        <w:r w:rsidR="00682FC0">
          <w:rPr>
            <w:noProof/>
            <w:webHidden/>
          </w:rPr>
          <w:instrText xml:space="preserve"> PAGEREF _Toc159501024 \h </w:instrText>
        </w:r>
        <w:r w:rsidR="00682FC0">
          <w:rPr>
            <w:noProof/>
            <w:webHidden/>
          </w:rPr>
        </w:r>
        <w:r w:rsidR="00682FC0">
          <w:rPr>
            <w:noProof/>
            <w:webHidden/>
          </w:rPr>
          <w:fldChar w:fldCharType="separate"/>
        </w:r>
        <w:r w:rsidR="00682FC0">
          <w:rPr>
            <w:noProof/>
            <w:webHidden/>
          </w:rPr>
          <w:t>257</w:t>
        </w:r>
        <w:r w:rsidR="00682FC0">
          <w:rPr>
            <w:noProof/>
            <w:webHidden/>
          </w:rPr>
          <w:fldChar w:fldCharType="end"/>
        </w:r>
      </w:hyperlink>
    </w:p>
    <w:p w14:paraId="596D9CCE" w14:textId="202B0ED7" w:rsidR="00682FC0" w:rsidRDefault="00000000">
      <w:pPr>
        <w:pStyle w:val="TOC2"/>
        <w:rPr>
          <w:rFonts w:eastAsiaTheme="minorEastAsia" w:cstheme="minorBidi"/>
          <w:b w:val="0"/>
          <w:bCs w:val="0"/>
          <w:noProof/>
          <w:kern w:val="2"/>
          <w:lang w:eastAsia="en-AU"/>
          <w14:ligatures w14:val="standardContextual"/>
        </w:rPr>
      </w:pPr>
      <w:hyperlink w:anchor="_Toc159501025" w:history="1">
        <w:r w:rsidR="00682FC0" w:rsidRPr="0060053D">
          <w:rPr>
            <w:rStyle w:val="Hyperlink"/>
            <w:noProof/>
          </w:rPr>
          <w:t>8.3 Research funding</w:t>
        </w:r>
        <w:r w:rsidR="00682FC0">
          <w:rPr>
            <w:noProof/>
            <w:webHidden/>
          </w:rPr>
          <w:tab/>
        </w:r>
        <w:r w:rsidR="00682FC0">
          <w:rPr>
            <w:noProof/>
            <w:webHidden/>
          </w:rPr>
          <w:fldChar w:fldCharType="begin"/>
        </w:r>
        <w:r w:rsidR="00682FC0">
          <w:rPr>
            <w:noProof/>
            <w:webHidden/>
          </w:rPr>
          <w:instrText xml:space="preserve"> PAGEREF _Toc159501025 \h </w:instrText>
        </w:r>
        <w:r w:rsidR="00682FC0">
          <w:rPr>
            <w:noProof/>
            <w:webHidden/>
          </w:rPr>
        </w:r>
        <w:r w:rsidR="00682FC0">
          <w:rPr>
            <w:noProof/>
            <w:webHidden/>
          </w:rPr>
          <w:fldChar w:fldCharType="separate"/>
        </w:r>
        <w:r w:rsidR="00682FC0">
          <w:rPr>
            <w:noProof/>
            <w:webHidden/>
          </w:rPr>
          <w:t>259</w:t>
        </w:r>
        <w:r w:rsidR="00682FC0">
          <w:rPr>
            <w:noProof/>
            <w:webHidden/>
          </w:rPr>
          <w:fldChar w:fldCharType="end"/>
        </w:r>
      </w:hyperlink>
    </w:p>
    <w:p w14:paraId="5D2567D2" w14:textId="484535A5" w:rsidR="00682FC0" w:rsidRDefault="00000000">
      <w:pPr>
        <w:pStyle w:val="TOC3"/>
        <w:rPr>
          <w:rFonts w:eastAsiaTheme="minorEastAsia" w:cstheme="minorBidi"/>
          <w:noProof/>
          <w:kern w:val="2"/>
          <w:sz w:val="22"/>
          <w:szCs w:val="22"/>
          <w:lang w:eastAsia="en-AU"/>
          <w14:ligatures w14:val="standardContextual"/>
        </w:rPr>
      </w:pPr>
      <w:hyperlink w:anchor="_Toc159501026" w:history="1">
        <w:r w:rsidR="00682FC0" w:rsidRPr="0060053D">
          <w:rPr>
            <w:rStyle w:val="Hyperlink"/>
            <w:rFonts w:ascii="Calibri Light" w:hAnsi="Calibri Light"/>
            <w:bCs/>
            <w:noProof/>
          </w:rPr>
          <w:t>8.3.1</w:t>
        </w:r>
        <w:r w:rsidR="00682FC0" w:rsidRPr="0060053D">
          <w:rPr>
            <w:rStyle w:val="Hyperlink"/>
            <w:noProof/>
          </w:rPr>
          <w:t xml:space="preserve"> Overview and evolution of the research funding system</w:t>
        </w:r>
        <w:r w:rsidR="00682FC0">
          <w:rPr>
            <w:noProof/>
            <w:webHidden/>
          </w:rPr>
          <w:tab/>
        </w:r>
        <w:r w:rsidR="00682FC0">
          <w:rPr>
            <w:noProof/>
            <w:webHidden/>
          </w:rPr>
          <w:fldChar w:fldCharType="begin"/>
        </w:r>
        <w:r w:rsidR="00682FC0">
          <w:rPr>
            <w:noProof/>
            <w:webHidden/>
          </w:rPr>
          <w:instrText xml:space="preserve"> PAGEREF _Toc159501026 \h </w:instrText>
        </w:r>
        <w:r w:rsidR="00682FC0">
          <w:rPr>
            <w:noProof/>
            <w:webHidden/>
          </w:rPr>
        </w:r>
        <w:r w:rsidR="00682FC0">
          <w:rPr>
            <w:noProof/>
            <w:webHidden/>
          </w:rPr>
          <w:fldChar w:fldCharType="separate"/>
        </w:r>
        <w:r w:rsidR="00682FC0">
          <w:rPr>
            <w:noProof/>
            <w:webHidden/>
          </w:rPr>
          <w:t>259</w:t>
        </w:r>
        <w:r w:rsidR="00682FC0">
          <w:rPr>
            <w:noProof/>
            <w:webHidden/>
          </w:rPr>
          <w:fldChar w:fldCharType="end"/>
        </w:r>
      </w:hyperlink>
    </w:p>
    <w:p w14:paraId="7F0CCD16" w14:textId="14F719B0" w:rsidR="00682FC0" w:rsidRDefault="00000000">
      <w:pPr>
        <w:pStyle w:val="TOC3"/>
        <w:rPr>
          <w:rFonts w:eastAsiaTheme="minorEastAsia" w:cstheme="minorBidi"/>
          <w:noProof/>
          <w:kern w:val="2"/>
          <w:sz w:val="22"/>
          <w:szCs w:val="22"/>
          <w:lang w:eastAsia="en-AU"/>
          <w14:ligatures w14:val="standardContextual"/>
        </w:rPr>
      </w:pPr>
      <w:hyperlink w:anchor="_Toc159501027" w:history="1">
        <w:r w:rsidR="00682FC0" w:rsidRPr="0060053D">
          <w:rPr>
            <w:rStyle w:val="Hyperlink"/>
            <w:rFonts w:ascii="Calibri Light" w:hAnsi="Calibri Light"/>
            <w:bCs/>
            <w:noProof/>
          </w:rPr>
          <w:t>8.3.2</w:t>
        </w:r>
        <w:r w:rsidR="00682FC0" w:rsidRPr="0060053D">
          <w:rPr>
            <w:rStyle w:val="Hyperlink"/>
            <w:noProof/>
          </w:rPr>
          <w:t xml:space="preserve"> Funding system changes</w:t>
        </w:r>
        <w:r w:rsidR="00682FC0">
          <w:rPr>
            <w:noProof/>
            <w:webHidden/>
          </w:rPr>
          <w:tab/>
        </w:r>
        <w:r w:rsidR="00682FC0">
          <w:rPr>
            <w:noProof/>
            <w:webHidden/>
          </w:rPr>
          <w:fldChar w:fldCharType="begin"/>
        </w:r>
        <w:r w:rsidR="00682FC0">
          <w:rPr>
            <w:noProof/>
            <w:webHidden/>
          </w:rPr>
          <w:instrText xml:space="preserve"> PAGEREF _Toc159501027 \h </w:instrText>
        </w:r>
        <w:r w:rsidR="00682FC0">
          <w:rPr>
            <w:noProof/>
            <w:webHidden/>
          </w:rPr>
        </w:r>
        <w:r w:rsidR="00682FC0">
          <w:rPr>
            <w:noProof/>
            <w:webHidden/>
          </w:rPr>
          <w:fldChar w:fldCharType="separate"/>
        </w:r>
        <w:r w:rsidR="00682FC0">
          <w:rPr>
            <w:noProof/>
            <w:webHidden/>
          </w:rPr>
          <w:t>262</w:t>
        </w:r>
        <w:r w:rsidR="00682FC0">
          <w:rPr>
            <w:noProof/>
            <w:webHidden/>
          </w:rPr>
          <w:fldChar w:fldCharType="end"/>
        </w:r>
      </w:hyperlink>
    </w:p>
    <w:p w14:paraId="2924B11E" w14:textId="2381C1DE" w:rsidR="00682FC0" w:rsidRDefault="00000000">
      <w:pPr>
        <w:pStyle w:val="TOC2"/>
        <w:rPr>
          <w:rFonts w:eastAsiaTheme="minorEastAsia" w:cstheme="minorBidi"/>
          <w:b w:val="0"/>
          <w:bCs w:val="0"/>
          <w:noProof/>
          <w:kern w:val="2"/>
          <w:lang w:eastAsia="en-AU"/>
          <w14:ligatures w14:val="standardContextual"/>
        </w:rPr>
      </w:pPr>
      <w:hyperlink w:anchor="_Toc159501028" w:history="1">
        <w:r w:rsidR="00682FC0" w:rsidRPr="0060053D">
          <w:rPr>
            <w:rStyle w:val="Hyperlink"/>
            <w:noProof/>
          </w:rPr>
          <w:t>8.4 A Higher Education Future Fund</w:t>
        </w:r>
        <w:r w:rsidR="00682FC0">
          <w:rPr>
            <w:noProof/>
            <w:webHidden/>
          </w:rPr>
          <w:tab/>
        </w:r>
        <w:r w:rsidR="00682FC0">
          <w:rPr>
            <w:noProof/>
            <w:webHidden/>
          </w:rPr>
          <w:fldChar w:fldCharType="begin"/>
        </w:r>
        <w:r w:rsidR="00682FC0">
          <w:rPr>
            <w:noProof/>
            <w:webHidden/>
          </w:rPr>
          <w:instrText xml:space="preserve"> PAGEREF _Toc159501028 \h </w:instrText>
        </w:r>
        <w:r w:rsidR="00682FC0">
          <w:rPr>
            <w:noProof/>
            <w:webHidden/>
          </w:rPr>
        </w:r>
        <w:r w:rsidR="00682FC0">
          <w:rPr>
            <w:noProof/>
            <w:webHidden/>
          </w:rPr>
          <w:fldChar w:fldCharType="separate"/>
        </w:r>
        <w:r w:rsidR="00682FC0">
          <w:rPr>
            <w:noProof/>
            <w:webHidden/>
          </w:rPr>
          <w:t>265</w:t>
        </w:r>
        <w:r w:rsidR="00682FC0">
          <w:rPr>
            <w:noProof/>
            <w:webHidden/>
          </w:rPr>
          <w:fldChar w:fldCharType="end"/>
        </w:r>
      </w:hyperlink>
    </w:p>
    <w:p w14:paraId="7FAB8391" w14:textId="2F4864B6" w:rsidR="00682FC0" w:rsidRDefault="00000000">
      <w:pPr>
        <w:pStyle w:val="TOC3"/>
        <w:rPr>
          <w:rFonts w:eastAsiaTheme="minorEastAsia" w:cstheme="minorBidi"/>
          <w:noProof/>
          <w:kern w:val="2"/>
          <w:sz w:val="22"/>
          <w:szCs w:val="22"/>
          <w:lang w:eastAsia="en-AU"/>
          <w14:ligatures w14:val="standardContextual"/>
        </w:rPr>
      </w:pPr>
      <w:hyperlink w:anchor="_Toc159501029" w:history="1">
        <w:r w:rsidR="00682FC0" w:rsidRPr="0060053D">
          <w:rPr>
            <w:rStyle w:val="Hyperlink"/>
            <w:rFonts w:ascii="Calibri Light" w:hAnsi="Calibri Light"/>
            <w:bCs/>
            <w:noProof/>
          </w:rPr>
          <w:t>8.4.1</w:t>
        </w:r>
        <w:r w:rsidR="00682FC0" w:rsidRPr="0060053D">
          <w:rPr>
            <w:rStyle w:val="Hyperlink"/>
            <w:noProof/>
          </w:rPr>
          <w:t xml:space="preserve"> Infrastructure</w:t>
        </w:r>
        <w:r w:rsidR="00682FC0">
          <w:rPr>
            <w:noProof/>
            <w:webHidden/>
          </w:rPr>
          <w:tab/>
        </w:r>
        <w:r w:rsidR="00682FC0">
          <w:rPr>
            <w:noProof/>
            <w:webHidden/>
          </w:rPr>
          <w:fldChar w:fldCharType="begin"/>
        </w:r>
        <w:r w:rsidR="00682FC0">
          <w:rPr>
            <w:noProof/>
            <w:webHidden/>
          </w:rPr>
          <w:instrText xml:space="preserve"> PAGEREF _Toc159501029 \h </w:instrText>
        </w:r>
        <w:r w:rsidR="00682FC0">
          <w:rPr>
            <w:noProof/>
            <w:webHidden/>
          </w:rPr>
        </w:r>
        <w:r w:rsidR="00682FC0">
          <w:rPr>
            <w:noProof/>
            <w:webHidden/>
          </w:rPr>
          <w:fldChar w:fldCharType="separate"/>
        </w:r>
        <w:r w:rsidR="00682FC0">
          <w:rPr>
            <w:noProof/>
            <w:webHidden/>
          </w:rPr>
          <w:t>266</w:t>
        </w:r>
        <w:r w:rsidR="00682FC0">
          <w:rPr>
            <w:noProof/>
            <w:webHidden/>
          </w:rPr>
          <w:fldChar w:fldCharType="end"/>
        </w:r>
      </w:hyperlink>
    </w:p>
    <w:p w14:paraId="71E3504D" w14:textId="386FC879" w:rsidR="00682FC0" w:rsidRDefault="00000000">
      <w:pPr>
        <w:pStyle w:val="TOC2"/>
        <w:rPr>
          <w:rFonts w:eastAsiaTheme="minorEastAsia" w:cstheme="minorBidi"/>
          <w:b w:val="0"/>
          <w:bCs w:val="0"/>
          <w:noProof/>
          <w:kern w:val="2"/>
          <w:lang w:eastAsia="en-AU"/>
          <w14:ligatures w14:val="standardContextual"/>
        </w:rPr>
      </w:pPr>
      <w:hyperlink w:anchor="_Toc159501030" w:history="1">
        <w:r w:rsidR="00682FC0" w:rsidRPr="0060053D">
          <w:rPr>
            <w:rStyle w:val="Hyperlink"/>
            <w:noProof/>
          </w:rPr>
          <w:t>8.5 Transitional arrangements</w:t>
        </w:r>
        <w:r w:rsidR="00682FC0">
          <w:rPr>
            <w:noProof/>
            <w:webHidden/>
          </w:rPr>
          <w:tab/>
        </w:r>
        <w:r w:rsidR="00682FC0">
          <w:rPr>
            <w:noProof/>
            <w:webHidden/>
          </w:rPr>
          <w:fldChar w:fldCharType="begin"/>
        </w:r>
        <w:r w:rsidR="00682FC0">
          <w:rPr>
            <w:noProof/>
            <w:webHidden/>
          </w:rPr>
          <w:instrText xml:space="preserve"> PAGEREF _Toc159501030 \h </w:instrText>
        </w:r>
        <w:r w:rsidR="00682FC0">
          <w:rPr>
            <w:noProof/>
            <w:webHidden/>
          </w:rPr>
        </w:r>
        <w:r w:rsidR="00682FC0">
          <w:rPr>
            <w:noProof/>
            <w:webHidden/>
          </w:rPr>
          <w:fldChar w:fldCharType="separate"/>
        </w:r>
        <w:r w:rsidR="00682FC0">
          <w:rPr>
            <w:noProof/>
            <w:webHidden/>
          </w:rPr>
          <w:t>267</w:t>
        </w:r>
        <w:r w:rsidR="00682FC0">
          <w:rPr>
            <w:noProof/>
            <w:webHidden/>
          </w:rPr>
          <w:fldChar w:fldCharType="end"/>
        </w:r>
      </w:hyperlink>
    </w:p>
    <w:p w14:paraId="388C9947" w14:textId="1D40533E" w:rsidR="00682FC0" w:rsidRDefault="00000000">
      <w:pPr>
        <w:pStyle w:val="TOC3"/>
        <w:rPr>
          <w:rFonts w:eastAsiaTheme="minorEastAsia" w:cstheme="minorBidi"/>
          <w:noProof/>
          <w:kern w:val="2"/>
          <w:sz w:val="22"/>
          <w:szCs w:val="22"/>
          <w:lang w:eastAsia="en-AU"/>
          <w14:ligatures w14:val="standardContextual"/>
        </w:rPr>
      </w:pPr>
      <w:hyperlink w:anchor="_Toc159501031" w:history="1">
        <w:r w:rsidR="00682FC0" w:rsidRPr="0060053D">
          <w:rPr>
            <w:rStyle w:val="Hyperlink"/>
            <w:rFonts w:ascii="Calibri Light" w:hAnsi="Calibri Light"/>
            <w:bCs/>
            <w:noProof/>
          </w:rPr>
          <w:t>8.5.1</w:t>
        </w:r>
        <w:r w:rsidR="00682FC0" w:rsidRPr="0060053D">
          <w:rPr>
            <w:rStyle w:val="Hyperlink"/>
            <w:noProof/>
          </w:rPr>
          <w:t xml:space="preserve"> Funding for teaching and scholarship</w:t>
        </w:r>
        <w:r w:rsidR="00682FC0">
          <w:rPr>
            <w:noProof/>
            <w:webHidden/>
          </w:rPr>
          <w:tab/>
        </w:r>
        <w:r w:rsidR="00682FC0">
          <w:rPr>
            <w:noProof/>
            <w:webHidden/>
          </w:rPr>
          <w:fldChar w:fldCharType="begin"/>
        </w:r>
        <w:r w:rsidR="00682FC0">
          <w:rPr>
            <w:noProof/>
            <w:webHidden/>
          </w:rPr>
          <w:instrText xml:space="preserve"> PAGEREF _Toc159501031 \h </w:instrText>
        </w:r>
        <w:r w:rsidR="00682FC0">
          <w:rPr>
            <w:noProof/>
            <w:webHidden/>
          </w:rPr>
        </w:r>
        <w:r w:rsidR="00682FC0">
          <w:rPr>
            <w:noProof/>
            <w:webHidden/>
          </w:rPr>
          <w:fldChar w:fldCharType="separate"/>
        </w:r>
        <w:r w:rsidR="00682FC0">
          <w:rPr>
            <w:noProof/>
            <w:webHidden/>
          </w:rPr>
          <w:t>267</w:t>
        </w:r>
        <w:r w:rsidR="00682FC0">
          <w:rPr>
            <w:noProof/>
            <w:webHidden/>
          </w:rPr>
          <w:fldChar w:fldCharType="end"/>
        </w:r>
      </w:hyperlink>
    </w:p>
    <w:p w14:paraId="04E103A6" w14:textId="655FA0D8" w:rsidR="00682FC0" w:rsidRDefault="00000000">
      <w:pPr>
        <w:pStyle w:val="TOC2"/>
        <w:rPr>
          <w:rFonts w:eastAsiaTheme="minorEastAsia" w:cstheme="minorBidi"/>
          <w:b w:val="0"/>
          <w:bCs w:val="0"/>
          <w:noProof/>
          <w:kern w:val="2"/>
          <w:lang w:eastAsia="en-AU"/>
          <w14:ligatures w14:val="standardContextual"/>
        </w:rPr>
      </w:pPr>
      <w:hyperlink w:anchor="_Toc159501032" w:history="1">
        <w:r w:rsidR="00682FC0" w:rsidRPr="0060053D">
          <w:rPr>
            <w:rStyle w:val="Hyperlink"/>
            <w:noProof/>
          </w:rPr>
          <w:t>8.6 Funding arrangements now and for the future</w:t>
        </w:r>
        <w:r w:rsidR="00682FC0">
          <w:rPr>
            <w:noProof/>
            <w:webHidden/>
          </w:rPr>
          <w:tab/>
        </w:r>
        <w:r w:rsidR="00682FC0">
          <w:rPr>
            <w:noProof/>
            <w:webHidden/>
          </w:rPr>
          <w:fldChar w:fldCharType="begin"/>
        </w:r>
        <w:r w:rsidR="00682FC0">
          <w:rPr>
            <w:noProof/>
            <w:webHidden/>
          </w:rPr>
          <w:instrText xml:space="preserve"> PAGEREF _Toc159501032 \h </w:instrText>
        </w:r>
        <w:r w:rsidR="00682FC0">
          <w:rPr>
            <w:noProof/>
            <w:webHidden/>
          </w:rPr>
        </w:r>
        <w:r w:rsidR="00682FC0">
          <w:rPr>
            <w:noProof/>
            <w:webHidden/>
          </w:rPr>
          <w:fldChar w:fldCharType="separate"/>
        </w:r>
        <w:r w:rsidR="00682FC0">
          <w:rPr>
            <w:noProof/>
            <w:webHidden/>
          </w:rPr>
          <w:t>268</w:t>
        </w:r>
        <w:r w:rsidR="00682FC0">
          <w:rPr>
            <w:noProof/>
            <w:webHidden/>
          </w:rPr>
          <w:fldChar w:fldCharType="end"/>
        </w:r>
      </w:hyperlink>
    </w:p>
    <w:p w14:paraId="4755BC63" w14:textId="7B583BB3" w:rsidR="00682FC0" w:rsidRDefault="00000000">
      <w:pPr>
        <w:pStyle w:val="TOC1"/>
        <w:rPr>
          <w:rFonts w:eastAsiaTheme="minorEastAsia" w:cstheme="minorBidi"/>
          <w:b w:val="0"/>
          <w:bCs w:val="0"/>
          <w:i w:val="0"/>
          <w:iCs w:val="0"/>
          <w:noProof/>
          <w:kern w:val="2"/>
          <w:sz w:val="22"/>
          <w:szCs w:val="22"/>
          <w:lang w:eastAsia="en-AU"/>
          <w14:ligatures w14:val="standardContextual"/>
        </w:rPr>
      </w:pPr>
      <w:hyperlink w:anchor="_Toc159501033" w:history="1">
        <w:r w:rsidR="00682FC0" w:rsidRPr="0060053D">
          <w:rPr>
            <w:rStyle w:val="Hyperlink"/>
            <w:rFonts w:ascii="Calibri" w:hAnsi="Calibri"/>
            <w:noProof/>
          </w:rPr>
          <w:t>Chapter 9 –</w:t>
        </w:r>
        <w:r w:rsidR="00682FC0" w:rsidRPr="0060053D">
          <w:rPr>
            <w:rStyle w:val="Hyperlink"/>
            <w:noProof/>
          </w:rPr>
          <w:t xml:space="preserve"> In closing</w:t>
        </w:r>
        <w:r w:rsidR="00682FC0">
          <w:rPr>
            <w:noProof/>
            <w:webHidden/>
          </w:rPr>
          <w:tab/>
        </w:r>
        <w:r w:rsidR="00682FC0">
          <w:rPr>
            <w:noProof/>
            <w:webHidden/>
          </w:rPr>
          <w:fldChar w:fldCharType="begin"/>
        </w:r>
        <w:r w:rsidR="00682FC0">
          <w:rPr>
            <w:noProof/>
            <w:webHidden/>
          </w:rPr>
          <w:instrText xml:space="preserve"> PAGEREF _Toc159501033 \h </w:instrText>
        </w:r>
        <w:r w:rsidR="00682FC0">
          <w:rPr>
            <w:noProof/>
            <w:webHidden/>
          </w:rPr>
        </w:r>
        <w:r w:rsidR="00682FC0">
          <w:rPr>
            <w:noProof/>
            <w:webHidden/>
          </w:rPr>
          <w:fldChar w:fldCharType="separate"/>
        </w:r>
        <w:r w:rsidR="00682FC0">
          <w:rPr>
            <w:noProof/>
            <w:webHidden/>
          </w:rPr>
          <w:t>269</w:t>
        </w:r>
        <w:r w:rsidR="00682FC0">
          <w:rPr>
            <w:noProof/>
            <w:webHidden/>
          </w:rPr>
          <w:fldChar w:fldCharType="end"/>
        </w:r>
      </w:hyperlink>
    </w:p>
    <w:p w14:paraId="3F290DF0" w14:textId="7E9433FE" w:rsidR="00682FC0" w:rsidRDefault="00000000">
      <w:pPr>
        <w:pStyle w:val="TOC2"/>
        <w:rPr>
          <w:rFonts w:eastAsiaTheme="minorEastAsia" w:cstheme="minorBidi"/>
          <w:b w:val="0"/>
          <w:bCs w:val="0"/>
          <w:noProof/>
          <w:kern w:val="2"/>
          <w:lang w:eastAsia="en-AU"/>
          <w14:ligatures w14:val="standardContextual"/>
        </w:rPr>
      </w:pPr>
      <w:hyperlink w:anchor="_Toc159501034" w:history="1">
        <w:r w:rsidR="00682FC0" w:rsidRPr="0060053D">
          <w:rPr>
            <w:rStyle w:val="Hyperlink"/>
            <w:noProof/>
          </w:rPr>
          <w:t>9.1 Ensuring a smooth transition</w:t>
        </w:r>
        <w:r w:rsidR="00682FC0">
          <w:rPr>
            <w:noProof/>
            <w:webHidden/>
          </w:rPr>
          <w:tab/>
        </w:r>
        <w:r w:rsidR="00682FC0">
          <w:rPr>
            <w:noProof/>
            <w:webHidden/>
          </w:rPr>
          <w:fldChar w:fldCharType="begin"/>
        </w:r>
        <w:r w:rsidR="00682FC0">
          <w:rPr>
            <w:noProof/>
            <w:webHidden/>
          </w:rPr>
          <w:instrText xml:space="preserve"> PAGEREF _Toc159501034 \h </w:instrText>
        </w:r>
        <w:r w:rsidR="00682FC0">
          <w:rPr>
            <w:noProof/>
            <w:webHidden/>
          </w:rPr>
        </w:r>
        <w:r w:rsidR="00682FC0">
          <w:rPr>
            <w:noProof/>
            <w:webHidden/>
          </w:rPr>
          <w:fldChar w:fldCharType="separate"/>
        </w:r>
        <w:r w:rsidR="00682FC0">
          <w:rPr>
            <w:noProof/>
            <w:webHidden/>
          </w:rPr>
          <w:t>269</w:t>
        </w:r>
        <w:r w:rsidR="00682FC0">
          <w:rPr>
            <w:noProof/>
            <w:webHidden/>
          </w:rPr>
          <w:fldChar w:fldCharType="end"/>
        </w:r>
      </w:hyperlink>
    </w:p>
    <w:p w14:paraId="25088036" w14:textId="606F1CBF" w:rsidR="00682FC0" w:rsidRDefault="00000000">
      <w:pPr>
        <w:pStyle w:val="TOC3"/>
        <w:rPr>
          <w:rFonts w:eastAsiaTheme="minorEastAsia" w:cstheme="minorBidi"/>
          <w:noProof/>
          <w:kern w:val="2"/>
          <w:sz w:val="22"/>
          <w:szCs w:val="22"/>
          <w:lang w:eastAsia="en-AU"/>
          <w14:ligatures w14:val="standardContextual"/>
        </w:rPr>
      </w:pPr>
      <w:hyperlink w:anchor="_Toc159501035" w:history="1">
        <w:r w:rsidR="00682FC0" w:rsidRPr="0060053D">
          <w:rPr>
            <w:rStyle w:val="Hyperlink"/>
            <w:rFonts w:ascii="Calibri Light" w:hAnsi="Calibri Light"/>
            <w:bCs/>
            <w:noProof/>
          </w:rPr>
          <w:t>9.1.1</w:t>
        </w:r>
        <w:r w:rsidR="00682FC0" w:rsidRPr="0060053D">
          <w:rPr>
            <w:rStyle w:val="Hyperlink"/>
            <w:noProof/>
          </w:rPr>
          <w:t xml:space="preserve"> Delivering reform in stages</w:t>
        </w:r>
        <w:r w:rsidR="00682FC0">
          <w:rPr>
            <w:noProof/>
            <w:webHidden/>
          </w:rPr>
          <w:tab/>
        </w:r>
        <w:r w:rsidR="00682FC0">
          <w:rPr>
            <w:noProof/>
            <w:webHidden/>
          </w:rPr>
          <w:fldChar w:fldCharType="begin"/>
        </w:r>
        <w:r w:rsidR="00682FC0">
          <w:rPr>
            <w:noProof/>
            <w:webHidden/>
          </w:rPr>
          <w:instrText xml:space="preserve"> PAGEREF _Toc159501035 \h </w:instrText>
        </w:r>
        <w:r w:rsidR="00682FC0">
          <w:rPr>
            <w:noProof/>
            <w:webHidden/>
          </w:rPr>
        </w:r>
        <w:r w:rsidR="00682FC0">
          <w:rPr>
            <w:noProof/>
            <w:webHidden/>
          </w:rPr>
          <w:fldChar w:fldCharType="separate"/>
        </w:r>
        <w:r w:rsidR="00682FC0">
          <w:rPr>
            <w:noProof/>
            <w:webHidden/>
          </w:rPr>
          <w:t>270</w:t>
        </w:r>
        <w:r w:rsidR="00682FC0">
          <w:rPr>
            <w:noProof/>
            <w:webHidden/>
          </w:rPr>
          <w:fldChar w:fldCharType="end"/>
        </w:r>
      </w:hyperlink>
    </w:p>
    <w:p w14:paraId="522B7128" w14:textId="4738D38C" w:rsidR="00682FC0" w:rsidRDefault="00000000">
      <w:pPr>
        <w:pStyle w:val="TOC2"/>
        <w:rPr>
          <w:rFonts w:eastAsiaTheme="minorEastAsia" w:cstheme="minorBidi"/>
          <w:b w:val="0"/>
          <w:bCs w:val="0"/>
          <w:noProof/>
          <w:kern w:val="2"/>
          <w:lang w:eastAsia="en-AU"/>
          <w14:ligatures w14:val="standardContextual"/>
        </w:rPr>
      </w:pPr>
      <w:hyperlink w:anchor="_Toc159501036" w:history="1">
        <w:r w:rsidR="00682FC0" w:rsidRPr="0060053D">
          <w:rPr>
            <w:rStyle w:val="Hyperlink"/>
            <w:noProof/>
          </w:rPr>
          <w:t>9.2 Achieving lasting reform</w:t>
        </w:r>
        <w:r w:rsidR="00682FC0">
          <w:rPr>
            <w:noProof/>
            <w:webHidden/>
          </w:rPr>
          <w:tab/>
        </w:r>
        <w:r w:rsidR="00682FC0">
          <w:rPr>
            <w:noProof/>
            <w:webHidden/>
          </w:rPr>
          <w:fldChar w:fldCharType="begin"/>
        </w:r>
        <w:r w:rsidR="00682FC0">
          <w:rPr>
            <w:noProof/>
            <w:webHidden/>
          </w:rPr>
          <w:instrText xml:space="preserve"> PAGEREF _Toc159501036 \h </w:instrText>
        </w:r>
        <w:r w:rsidR="00682FC0">
          <w:rPr>
            <w:noProof/>
            <w:webHidden/>
          </w:rPr>
        </w:r>
        <w:r w:rsidR="00682FC0">
          <w:rPr>
            <w:noProof/>
            <w:webHidden/>
          </w:rPr>
          <w:fldChar w:fldCharType="separate"/>
        </w:r>
        <w:r w:rsidR="00682FC0">
          <w:rPr>
            <w:noProof/>
            <w:webHidden/>
          </w:rPr>
          <w:t>270</w:t>
        </w:r>
        <w:r w:rsidR="00682FC0">
          <w:rPr>
            <w:noProof/>
            <w:webHidden/>
          </w:rPr>
          <w:fldChar w:fldCharType="end"/>
        </w:r>
      </w:hyperlink>
    </w:p>
    <w:p w14:paraId="67A0E7B1" w14:textId="64B1C8FC" w:rsidR="00682FC0" w:rsidRDefault="00000000">
      <w:pPr>
        <w:pStyle w:val="TOC2"/>
        <w:rPr>
          <w:rFonts w:eastAsiaTheme="minorEastAsia" w:cstheme="minorBidi"/>
          <w:b w:val="0"/>
          <w:bCs w:val="0"/>
          <w:noProof/>
          <w:kern w:val="2"/>
          <w:lang w:eastAsia="en-AU"/>
          <w14:ligatures w14:val="standardContextual"/>
        </w:rPr>
      </w:pPr>
      <w:hyperlink w:anchor="_Toc159501037" w:history="1">
        <w:r w:rsidR="00682FC0" w:rsidRPr="0060053D">
          <w:rPr>
            <w:rStyle w:val="Hyperlink"/>
            <w:noProof/>
          </w:rPr>
          <w:t>Appendix A – Terms of Reference</w:t>
        </w:r>
        <w:r w:rsidR="00682FC0">
          <w:rPr>
            <w:noProof/>
            <w:webHidden/>
          </w:rPr>
          <w:tab/>
        </w:r>
        <w:r w:rsidR="00682FC0">
          <w:rPr>
            <w:noProof/>
            <w:webHidden/>
          </w:rPr>
          <w:fldChar w:fldCharType="begin"/>
        </w:r>
        <w:r w:rsidR="00682FC0">
          <w:rPr>
            <w:noProof/>
            <w:webHidden/>
          </w:rPr>
          <w:instrText xml:space="preserve"> PAGEREF _Toc159501037 \h </w:instrText>
        </w:r>
        <w:r w:rsidR="00682FC0">
          <w:rPr>
            <w:noProof/>
            <w:webHidden/>
          </w:rPr>
        </w:r>
        <w:r w:rsidR="00682FC0">
          <w:rPr>
            <w:noProof/>
            <w:webHidden/>
          </w:rPr>
          <w:fldChar w:fldCharType="separate"/>
        </w:r>
        <w:r w:rsidR="00682FC0">
          <w:rPr>
            <w:noProof/>
            <w:webHidden/>
          </w:rPr>
          <w:t>273</w:t>
        </w:r>
        <w:r w:rsidR="00682FC0">
          <w:rPr>
            <w:noProof/>
            <w:webHidden/>
          </w:rPr>
          <w:fldChar w:fldCharType="end"/>
        </w:r>
      </w:hyperlink>
    </w:p>
    <w:p w14:paraId="22E55B2D" w14:textId="78072577" w:rsidR="00682FC0" w:rsidRDefault="00000000">
      <w:pPr>
        <w:pStyle w:val="TOC2"/>
        <w:rPr>
          <w:rFonts w:eastAsiaTheme="minorEastAsia" w:cstheme="minorBidi"/>
          <w:b w:val="0"/>
          <w:bCs w:val="0"/>
          <w:noProof/>
          <w:kern w:val="2"/>
          <w:lang w:eastAsia="en-AU"/>
          <w14:ligatures w14:val="standardContextual"/>
        </w:rPr>
      </w:pPr>
      <w:hyperlink w:anchor="_Toc159501038" w:history="1">
        <w:r w:rsidR="00682FC0" w:rsidRPr="0060053D">
          <w:rPr>
            <w:rStyle w:val="Hyperlink"/>
            <w:noProof/>
          </w:rPr>
          <w:t>Appendix B – Australian Universities Accord Panel members</w:t>
        </w:r>
        <w:r w:rsidR="00682FC0">
          <w:rPr>
            <w:noProof/>
            <w:webHidden/>
          </w:rPr>
          <w:tab/>
        </w:r>
        <w:r w:rsidR="00682FC0">
          <w:rPr>
            <w:noProof/>
            <w:webHidden/>
          </w:rPr>
          <w:fldChar w:fldCharType="begin"/>
        </w:r>
        <w:r w:rsidR="00682FC0">
          <w:rPr>
            <w:noProof/>
            <w:webHidden/>
          </w:rPr>
          <w:instrText xml:space="preserve"> PAGEREF _Toc159501038 \h </w:instrText>
        </w:r>
        <w:r w:rsidR="00682FC0">
          <w:rPr>
            <w:noProof/>
            <w:webHidden/>
          </w:rPr>
        </w:r>
        <w:r w:rsidR="00682FC0">
          <w:rPr>
            <w:noProof/>
            <w:webHidden/>
          </w:rPr>
          <w:fldChar w:fldCharType="separate"/>
        </w:r>
        <w:r w:rsidR="00682FC0">
          <w:rPr>
            <w:noProof/>
            <w:webHidden/>
          </w:rPr>
          <w:t>275</w:t>
        </w:r>
        <w:r w:rsidR="00682FC0">
          <w:rPr>
            <w:noProof/>
            <w:webHidden/>
          </w:rPr>
          <w:fldChar w:fldCharType="end"/>
        </w:r>
      </w:hyperlink>
    </w:p>
    <w:p w14:paraId="53E79A13" w14:textId="751BA9ED" w:rsidR="00682FC0" w:rsidRDefault="00000000">
      <w:pPr>
        <w:pStyle w:val="TOC2"/>
        <w:rPr>
          <w:rFonts w:eastAsiaTheme="minorEastAsia" w:cstheme="minorBidi"/>
          <w:b w:val="0"/>
          <w:bCs w:val="0"/>
          <w:noProof/>
          <w:kern w:val="2"/>
          <w:lang w:eastAsia="en-AU"/>
          <w14:ligatures w14:val="standardContextual"/>
        </w:rPr>
      </w:pPr>
      <w:hyperlink w:anchor="_Toc159501039" w:history="1">
        <w:r w:rsidR="00682FC0" w:rsidRPr="0060053D">
          <w:rPr>
            <w:rStyle w:val="Hyperlink"/>
            <w:rFonts w:cs="Arial"/>
            <w:noProof/>
          </w:rPr>
          <w:t>Appendix C</w:t>
        </w:r>
        <w:r w:rsidR="00682FC0" w:rsidRPr="0060053D">
          <w:rPr>
            <w:rStyle w:val="Hyperlink"/>
            <w:noProof/>
          </w:rPr>
          <w:t xml:space="preserve"> – Australian Universities Accord</w:t>
        </w:r>
        <w:r w:rsidR="00682FC0" w:rsidRPr="0060053D">
          <w:rPr>
            <w:rStyle w:val="Hyperlink"/>
            <w:rFonts w:cs="Arial"/>
            <w:noProof/>
          </w:rPr>
          <w:t xml:space="preserve"> Panel meetings</w:t>
        </w:r>
        <w:r w:rsidR="00682FC0">
          <w:rPr>
            <w:noProof/>
            <w:webHidden/>
          </w:rPr>
          <w:tab/>
        </w:r>
        <w:r w:rsidR="00682FC0">
          <w:rPr>
            <w:noProof/>
            <w:webHidden/>
          </w:rPr>
          <w:fldChar w:fldCharType="begin"/>
        </w:r>
        <w:r w:rsidR="00682FC0">
          <w:rPr>
            <w:noProof/>
            <w:webHidden/>
          </w:rPr>
          <w:instrText xml:space="preserve"> PAGEREF _Toc159501039 \h </w:instrText>
        </w:r>
        <w:r w:rsidR="00682FC0">
          <w:rPr>
            <w:noProof/>
            <w:webHidden/>
          </w:rPr>
        </w:r>
        <w:r w:rsidR="00682FC0">
          <w:rPr>
            <w:noProof/>
            <w:webHidden/>
          </w:rPr>
          <w:fldChar w:fldCharType="separate"/>
        </w:r>
        <w:r w:rsidR="00682FC0">
          <w:rPr>
            <w:noProof/>
            <w:webHidden/>
          </w:rPr>
          <w:t>278</w:t>
        </w:r>
        <w:r w:rsidR="00682FC0">
          <w:rPr>
            <w:noProof/>
            <w:webHidden/>
          </w:rPr>
          <w:fldChar w:fldCharType="end"/>
        </w:r>
      </w:hyperlink>
    </w:p>
    <w:p w14:paraId="770EA4BD" w14:textId="1145C00B" w:rsidR="00682FC0" w:rsidRDefault="00000000">
      <w:pPr>
        <w:pStyle w:val="TOC2"/>
        <w:rPr>
          <w:rFonts w:eastAsiaTheme="minorEastAsia" w:cstheme="minorBidi"/>
          <w:b w:val="0"/>
          <w:bCs w:val="0"/>
          <w:noProof/>
          <w:kern w:val="2"/>
          <w:lang w:eastAsia="en-AU"/>
          <w14:ligatures w14:val="standardContextual"/>
        </w:rPr>
      </w:pPr>
      <w:hyperlink w:anchor="_Toc159501040" w:history="1">
        <w:r w:rsidR="00682FC0" w:rsidRPr="0060053D">
          <w:rPr>
            <w:rStyle w:val="Hyperlink"/>
            <w:noProof/>
          </w:rPr>
          <w:t>Appendix D – Submissions Overview</w:t>
        </w:r>
        <w:r w:rsidR="00682FC0">
          <w:rPr>
            <w:noProof/>
            <w:webHidden/>
          </w:rPr>
          <w:tab/>
        </w:r>
        <w:r w:rsidR="00682FC0">
          <w:rPr>
            <w:noProof/>
            <w:webHidden/>
          </w:rPr>
          <w:fldChar w:fldCharType="begin"/>
        </w:r>
        <w:r w:rsidR="00682FC0">
          <w:rPr>
            <w:noProof/>
            <w:webHidden/>
          </w:rPr>
          <w:instrText xml:space="preserve"> PAGEREF _Toc159501040 \h </w:instrText>
        </w:r>
        <w:r w:rsidR="00682FC0">
          <w:rPr>
            <w:noProof/>
            <w:webHidden/>
          </w:rPr>
        </w:r>
        <w:r w:rsidR="00682FC0">
          <w:rPr>
            <w:noProof/>
            <w:webHidden/>
          </w:rPr>
          <w:fldChar w:fldCharType="separate"/>
        </w:r>
        <w:r w:rsidR="00682FC0">
          <w:rPr>
            <w:noProof/>
            <w:webHidden/>
          </w:rPr>
          <w:t>279</w:t>
        </w:r>
        <w:r w:rsidR="00682FC0">
          <w:rPr>
            <w:noProof/>
            <w:webHidden/>
          </w:rPr>
          <w:fldChar w:fldCharType="end"/>
        </w:r>
      </w:hyperlink>
    </w:p>
    <w:p w14:paraId="07D2DEB3" w14:textId="52E51511" w:rsidR="00682FC0" w:rsidRDefault="00000000">
      <w:pPr>
        <w:pStyle w:val="TOC2"/>
        <w:rPr>
          <w:rFonts w:eastAsiaTheme="minorEastAsia" w:cstheme="minorBidi"/>
          <w:b w:val="0"/>
          <w:bCs w:val="0"/>
          <w:noProof/>
          <w:kern w:val="2"/>
          <w:lang w:eastAsia="en-AU"/>
          <w14:ligatures w14:val="standardContextual"/>
        </w:rPr>
      </w:pPr>
      <w:hyperlink w:anchor="_Toc159501041" w:history="1">
        <w:r w:rsidR="00682FC0" w:rsidRPr="0060053D">
          <w:rPr>
            <w:rStyle w:val="Hyperlink"/>
            <w:noProof/>
          </w:rPr>
          <w:t>Appendix E – Consultations and Attendance</w:t>
        </w:r>
        <w:r w:rsidR="00682FC0">
          <w:rPr>
            <w:noProof/>
            <w:webHidden/>
          </w:rPr>
          <w:tab/>
        </w:r>
        <w:r w:rsidR="00682FC0">
          <w:rPr>
            <w:noProof/>
            <w:webHidden/>
          </w:rPr>
          <w:fldChar w:fldCharType="begin"/>
        </w:r>
        <w:r w:rsidR="00682FC0">
          <w:rPr>
            <w:noProof/>
            <w:webHidden/>
          </w:rPr>
          <w:instrText xml:space="preserve"> PAGEREF _Toc159501041 \h </w:instrText>
        </w:r>
        <w:r w:rsidR="00682FC0">
          <w:rPr>
            <w:noProof/>
            <w:webHidden/>
          </w:rPr>
        </w:r>
        <w:r w:rsidR="00682FC0">
          <w:rPr>
            <w:noProof/>
            <w:webHidden/>
          </w:rPr>
          <w:fldChar w:fldCharType="separate"/>
        </w:r>
        <w:r w:rsidR="00682FC0">
          <w:rPr>
            <w:noProof/>
            <w:webHidden/>
          </w:rPr>
          <w:t>283</w:t>
        </w:r>
        <w:r w:rsidR="00682FC0">
          <w:rPr>
            <w:noProof/>
            <w:webHidden/>
          </w:rPr>
          <w:fldChar w:fldCharType="end"/>
        </w:r>
      </w:hyperlink>
    </w:p>
    <w:p w14:paraId="3FB62C34" w14:textId="09FAE5E9" w:rsidR="00682FC0" w:rsidRDefault="00000000">
      <w:pPr>
        <w:pStyle w:val="TOC2"/>
        <w:rPr>
          <w:rFonts w:eastAsiaTheme="minorEastAsia" w:cstheme="minorBidi"/>
          <w:b w:val="0"/>
          <w:bCs w:val="0"/>
          <w:noProof/>
          <w:kern w:val="2"/>
          <w:lang w:eastAsia="en-AU"/>
          <w14:ligatures w14:val="standardContextual"/>
        </w:rPr>
      </w:pPr>
      <w:hyperlink w:anchor="_Toc159501042" w:history="1">
        <w:r w:rsidR="00682FC0" w:rsidRPr="0060053D">
          <w:rPr>
            <w:rStyle w:val="Hyperlink"/>
            <w:noProof/>
          </w:rPr>
          <w:t>Presentations to the Panel</w:t>
        </w:r>
        <w:r w:rsidR="00682FC0">
          <w:rPr>
            <w:noProof/>
            <w:webHidden/>
          </w:rPr>
          <w:tab/>
        </w:r>
        <w:r w:rsidR="00682FC0">
          <w:rPr>
            <w:noProof/>
            <w:webHidden/>
          </w:rPr>
          <w:fldChar w:fldCharType="begin"/>
        </w:r>
        <w:r w:rsidR="00682FC0">
          <w:rPr>
            <w:noProof/>
            <w:webHidden/>
          </w:rPr>
          <w:instrText xml:space="preserve"> PAGEREF _Toc159501042 \h </w:instrText>
        </w:r>
        <w:r w:rsidR="00682FC0">
          <w:rPr>
            <w:noProof/>
            <w:webHidden/>
          </w:rPr>
        </w:r>
        <w:r w:rsidR="00682FC0">
          <w:rPr>
            <w:noProof/>
            <w:webHidden/>
          </w:rPr>
          <w:fldChar w:fldCharType="separate"/>
        </w:r>
        <w:r w:rsidR="00682FC0">
          <w:rPr>
            <w:noProof/>
            <w:webHidden/>
          </w:rPr>
          <w:t>289</w:t>
        </w:r>
        <w:r w:rsidR="00682FC0">
          <w:rPr>
            <w:noProof/>
            <w:webHidden/>
          </w:rPr>
          <w:fldChar w:fldCharType="end"/>
        </w:r>
      </w:hyperlink>
    </w:p>
    <w:p w14:paraId="4ACAA30D" w14:textId="18A660A1" w:rsidR="00682FC0" w:rsidRDefault="00000000">
      <w:pPr>
        <w:pStyle w:val="TOC2"/>
        <w:rPr>
          <w:rFonts w:eastAsiaTheme="minorEastAsia" w:cstheme="minorBidi"/>
          <w:b w:val="0"/>
          <w:bCs w:val="0"/>
          <w:noProof/>
          <w:kern w:val="2"/>
          <w:lang w:eastAsia="en-AU"/>
          <w14:ligatures w14:val="standardContextual"/>
        </w:rPr>
      </w:pPr>
      <w:hyperlink w:anchor="_Toc159501043" w:history="1">
        <w:r w:rsidR="00682FC0" w:rsidRPr="0060053D">
          <w:rPr>
            <w:rStyle w:val="Hyperlink"/>
            <w:noProof/>
          </w:rPr>
          <w:t>Appendix F – Commissioned works</w:t>
        </w:r>
        <w:r w:rsidR="00682FC0">
          <w:rPr>
            <w:noProof/>
            <w:webHidden/>
          </w:rPr>
          <w:tab/>
        </w:r>
        <w:r w:rsidR="00682FC0">
          <w:rPr>
            <w:noProof/>
            <w:webHidden/>
          </w:rPr>
          <w:fldChar w:fldCharType="begin"/>
        </w:r>
        <w:r w:rsidR="00682FC0">
          <w:rPr>
            <w:noProof/>
            <w:webHidden/>
          </w:rPr>
          <w:instrText xml:space="preserve"> PAGEREF _Toc159501043 \h </w:instrText>
        </w:r>
        <w:r w:rsidR="00682FC0">
          <w:rPr>
            <w:noProof/>
            <w:webHidden/>
          </w:rPr>
        </w:r>
        <w:r w:rsidR="00682FC0">
          <w:rPr>
            <w:noProof/>
            <w:webHidden/>
          </w:rPr>
          <w:fldChar w:fldCharType="separate"/>
        </w:r>
        <w:r w:rsidR="00682FC0">
          <w:rPr>
            <w:noProof/>
            <w:webHidden/>
          </w:rPr>
          <w:t>300</w:t>
        </w:r>
        <w:r w:rsidR="00682FC0">
          <w:rPr>
            <w:noProof/>
            <w:webHidden/>
          </w:rPr>
          <w:fldChar w:fldCharType="end"/>
        </w:r>
      </w:hyperlink>
    </w:p>
    <w:p w14:paraId="5ADE1398" w14:textId="276150B1" w:rsidR="00682FC0" w:rsidRDefault="00000000">
      <w:pPr>
        <w:pStyle w:val="TOC2"/>
        <w:rPr>
          <w:rFonts w:eastAsiaTheme="minorEastAsia" w:cstheme="minorBidi"/>
          <w:b w:val="0"/>
          <w:bCs w:val="0"/>
          <w:noProof/>
          <w:kern w:val="2"/>
          <w:lang w:eastAsia="en-AU"/>
          <w14:ligatures w14:val="standardContextual"/>
        </w:rPr>
      </w:pPr>
      <w:hyperlink w:anchor="_Toc159501044" w:history="1">
        <w:r w:rsidR="00682FC0" w:rsidRPr="0060053D">
          <w:rPr>
            <w:rStyle w:val="Hyperlink"/>
            <w:noProof/>
          </w:rPr>
          <w:t>Acronyms</w:t>
        </w:r>
        <w:r w:rsidR="00682FC0">
          <w:rPr>
            <w:noProof/>
            <w:webHidden/>
          </w:rPr>
          <w:tab/>
        </w:r>
        <w:r w:rsidR="00682FC0">
          <w:rPr>
            <w:noProof/>
            <w:webHidden/>
          </w:rPr>
          <w:fldChar w:fldCharType="begin"/>
        </w:r>
        <w:r w:rsidR="00682FC0">
          <w:rPr>
            <w:noProof/>
            <w:webHidden/>
          </w:rPr>
          <w:instrText xml:space="preserve"> PAGEREF _Toc159501044 \h </w:instrText>
        </w:r>
        <w:r w:rsidR="00682FC0">
          <w:rPr>
            <w:noProof/>
            <w:webHidden/>
          </w:rPr>
        </w:r>
        <w:r w:rsidR="00682FC0">
          <w:rPr>
            <w:noProof/>
            <w:webHidden/>
          </w:rPr>
          <w:fldChar w:fldCharType="separate"/>
        </w:r>
        <w:r w:rsidR="00682FC0">
          <w:rPr>
            <w:noProof/>
            <w:webHidden/>
          </w:rPr>
          <w:t>303</w:t>
        </w:r>
        <w:r w:rsidR="00682FC0">
          <w:rPr>
            <w:noProof/>
            <w:webHidden/>
          </w:rPr>
          <w:fldChar w:fldCharType="end"/>
        </w:r>
      </w:hyperlink>
    </w:p>
    <w:p w14:paraId="14A2A150" w14:textId="52BF0B75" w:rsidR="00682FC0" w:rsidRDefault="00000000">
      <w:pPr>
        <w:pStyle w:val="TOC2"/>
        <w:rPr>
          <w:rFonts w:eastAsiaTheme="minorEastAsia" w:cstheme="minorBidi"/>
          <w:b w:val="0"/>
          <w:bCs w:val="0"/>
          <w:noProof/>
          <w:kern w:val="2"/>
          <w:lang w:eastAsia="en-AU"/>
          <w14:ligatures w14:val="standardContextual"/>
        </w:rPr>
      </w:pPr>
      <w:hyperlink w:anchor="_Toc159501045" w:history="1">
        <w:r w:rsidR="00682FC0" w:rsidRPr="0060053D">
          <w:rPr>
            <w:rStyle w:val="Hyperlink"/>
            <w:noProof/>
          </w:rPr>
          <w:t>Glossary</w:t>
        </w:r>
        <w:r w:rsidR="00682FC0">
          <w:rPr>
            <w:noProof/>
            <w:webHidden/>
          </w:rPr>
          <w:tab/>
        </w:r>
        <w:r w:rsidR="00682FC0">
          <w:rPr>
            <w:noProof/>
            <w:webHidden/>
          </w:rPr>
          <w:fldChar w:fldCharType="begin"/>
        </w:r>
        <w:r w:rsidR="00682FC0">
          <w:rPr>
            <w:noProof/>
            <w:webHidden/>
          </w:rPr>
          <w:instrText xml:space="preserve"> PAGEREF _Toc159501045 \h </w:instrText>
        </w:r>
        <w:r w:rsidR="00682FC0">
          <w:rPr>
            <w:noProof/>
            <w:webHidden/>
          </w:rPr>
        </w:r>
        <w:r w:rsidR="00682FC0">
          <w:rPr>
            <w:noProof/>
            <w:webHidden/>
          </w:rPr>
          <w:fldChar w:fldCharType="separate"/>
        </w:r>
        <w:r w:rsidR="00682FC0">
          <w:rPr>
            <w:noProof/>
            <w:webHidden/>
          </w:rPr>
          <w:t>308</w:t>
        </w:r>
        <w:r w:rsidR="00682FC0">
          <w:rPr>
            <w:noProof/>
            <w:webHidden/>
          </w:rPr>
          <w:fldChar w:fldCharType="end"/>
        </w:r>
      </w:hyperlink>
    </w:p>
    <w:p w14:paraId="3E132D8A" w14:textId="21ED8591" w:rsidR="00682FC0" w:rsidRDefault="00000000">
      <w:pPr>
        <w:pStyle w:val="TOC2"/>
        <w:rPr>
          <w:rFonts w:eastAsiaTheme="minorEastAsia" w:cstheme="minorBidi"/>
          <w:b w:val="0"/>
          <w:bCs w:val="0"/>
          <w:noProof/>
          <w:kern w:val="2"/>
          <w:lang w:eastAsia="en-AU"/>
          <w14:ligatures w14:val="standardContextual"/>
        </w:rPr>
      </w:pPr>
      <w:hyperlink w:anchor="_Toc159501046" w:history="1">
        <w:r w:rsidR="00682FC0" w:rsidRPr="0060053D">
          <w:rPr>
            <w:rStyle w:val="Hyperlink"/>
            <w:noProof/>
          </w:rPr>
          <w:t>List of Tables and Figures</w:t>
        </w:r>
        <w:r w:rsidR="00682FC0">
          <w:rPr>
            <w:noProof/>
            <w:webHidden/>
          </w:rPr>
          <w:tab/>
        </w:r>
        <w:r w:rsidR="00682FC0">
          <w:rPr>
            <w:noProof/>
            <w:webHidden/>
          </w:rPr>
          <w:fldChar w:fldCharType="begin"/>
        </w:r>
        <w:r w:rsidR="00682FC0">
          <w:rPr>
            <w:noProof/>
            <w:webHidden/>
          </w:rPr>
          <w:instrText xml:space="preserve"> PAGEREF _Toc159501046 \h </w:instrText>
        </w:r>
        <w:r w:rsidR="00682FC0">
          <w:rPr>
            <w:noProof/>
            <w:webHidden/>
          </w:rPr>
        </w:r>
        <w:r w:rsidR="00682FC0">
          <w:rPr>
            <w:noProof/>
            <w:webHidden/>
          </w:rPr>
          <w:fldChar w:fldCharType="separate"/>
        </w:r>
        <w:r w:rsidR="00682FC0">
          <w:rPr>
            <w:noProof/>
            <w:webHidden/>
          </w:rPr>
          <w:t>311</w:t>
        </w:r>
        <w:r w:rsidR="00682FC0">
          <w:rPr>
            <w:noProof/>
            <w:webHidden/>
          </w:rPr>
          <w:fldChar w:fldCharType="end"/>
        </w:r>
      </w:hyperlink>
    </w:p>
    <w:p w14:paraId="00C6D8CF" w14:textId="4F782D6D" w:rsidR="00682FC0" w:rsidRDefault="00000000">
      <w:pPr>
        <w:pStyle w:val="TOC2"/>
        <w:rPr>
          <w:rFonts w:eastAsiaTheme="minorEastAsia" w:cstheme="minorBidi"/>
          <w:b w:val="0"/>
          <w:bCs w:val="0"/>
          <w:noProof/>
          <w:kern w:val="2"/>
          <w:lang w:eastAsia="en-AU"/>
          <w14:ligatures w14:val="standardContextual"/>
        </w:rPr>
      </w:pPr>
      <w:hyperlink w:anchor="_Toc159501047" w:history="1">
        <w:r w:rsidR="00682FC0" w:rsidRPr="0060053D">
          <w:rPr>
            <w:rStyle w:val="Hyperlink"/>
            <w:noProof/>
          </w:rPr>
          <w:t>Reference List</w:t>
        </w:r>
        <w:r w:rsidR="00682FC0">
          <w:rPr>
            <w:noProof/>
            <w:webHidden/>
          </w:rPr>
          <w:tab/>
        </w:r>
        <w:r w:rsidR="00682FC0">
          <w:rPr>
            <w:noProof/>
            <w:webHidden/>
          </w:rPr>
          <w:fldChar w:fldCharType="begin"/>
        </w:r>
        <w:r w:rsidR="00682FC0">
          <w:rPr>
            <w:noProof/>
            <w:webHidden/>
          </w:rPr>
          <w:instrText xml:space="preserve"> PAGEREF _Toc159501047 \h </w:instrText>
        </w:r>
        <w:r w:rsidR="00682FC0">
          <w:rPr>
            <w:noProof/>
            <w:webHidden/>
          </w:rPr>
        </w:r>
        <w:r w:rsidR="00682FC0">
          <w:rPr>
            <w:noProof/>
            <w:webHidden/>
          </w:rPr>
          <w:fldChar w:fldCharType="separate"/>
        </w:r>
        <w:r w:rsidR="00682FC0">
          <w:rPr>
            <w:noProof/>
            <w:webHidden/>
          </w:rPr>
          <w:t>313</w:t>
        </w:r>
        <w:r w:rsidR="00682FC0">
          <w:rPr>
            <w:noProof/>
            <w:webHidden/>
          </w:rPr>
          <w:fldChar w:fldCharType="end"/>
        </w:r>
      </w:hyperlink>
    </w:p>
    <w:p w14:paraId="065F3EE2" w14:textId="67783039" w:rsidR="00D5547D" w:rsidRDefault="00C00059" w:rsidP="00682FC0">
      <w:pPr>
        <w:pStyle w:val="TOC2"/>
        <w:sectPr w:rsidR="00D5547D" w:rsidSect="00134415">
          <w:headerReference w:type="even" r:id="rId19"/>
          <w:footerReference w:type="default" r:id="rId20"/>
          <w:headerReference w:type="first" r:id="rId21"/>
          <w:footerReference w:type="first" r:id="rId22"/>
          <w:pgSz w:w="11906" w:h="16838"/>
          <w:pgMar w:top="1440" w:right="1440" w:bottom="1440" w:left="1440" w:header="708" w:footer="794" w:gutter="0"/>
          <w:pgNumType w:fmt="lowerRoman" w:start="1"/>
          <w:cols w:space="708"/>
          <w:titlePg/>
          <w:docGrid w:linePitch="360"/>
        </w:sectPr>
      </w:pPr>
      <w:r>
        <w:fldChar w:fldCharType="end"/>
      </w:r>
    </w:p>
    <w:p w14:paraId="509DB87A" w14:textId="27587982" w:rsidR="00607884" w:rsidRPr="00C4084C" w:rsidRDefault="00607884" w:rsidP="00581C53">
      <w:pPr>
        <w:pStyle w:val="Non-numberedHeading2"/>
      </w:pPr>
      <w:bookmarkStart w:id="3" w:name="_Toc153482989"/>
      <w:bookmarkStart w:id="4" w:name="_Toc159500905"/>
      <w:bookmarkStart w:id="5" w:name="_Toc151815644"/>
      <w:r w:rsidRPr="00C4084C">
        <w:lastRenderedPageBreak/>
        <w:t xml:space="preserve">Executive </w:t>
      </w:r>
      <w:r w:rsidR="00704C06" w:rsidRPr="00C4084C">
        <w:t>summary</w:t>
      </w:r>
      <w:bookmarkEnd w:id="3"/>
      <w:bookmarkEnd w:id="4"/>
    </w:p>
    <w:p w14:paraId="679857DF" w14:textId="6E2ABEE6" w:rsidR="00FD087D" w:rsidRPr="00C4084C" w:rsidRDefault="00FD087D" w:rsidP="00E4228B">
      <w:pPr>
        <w:pStyle w:val="Non-numberedHeading3"/>
      </w:pPr>
      <w:bookmarkStart w:id="6" w:name="_Toc153482990"/>
      <w:r w:rsidRPr="00C4084C">
        <w:t xml:space="preserve">Higher </w:t>
      </w:r>
      <w:r w:rsidR="00D525A0" w:rsidRPr="00C4084C">
        <w:t>e</w:t>
      </w:r>
      <w:r w:rsidRPr="00C4084C">
        <w:t xml:space="preserve">ducation – </w:t>
      </w:r>
      <w:r w:rsidR="0074443E" w:rsidRPr="00C4084C">
        <w:t xml:space="preserve">meeting </w:t>
      </w:r>
      <w:r w:rsidRPr="00C4084C">
        <w:t>Australia’s future needs</w:t>
      </w:r>
      <w:bookmarkEnd w:id="6"/>
    </w:p>
    <w:p w14:paraId="15386E57" w14:textId="590F5289" w:rsidR="00FD087D" w:rsidRPr="00C4084C" w:rsidRDefault="00FD087D" w:rsidP="008C67CA">
      <w:r w:rsidRPr="00C4084C">
        <w:t xml:space="preserve">Higher education is vital to Australia’s future: the knowledge, </w:t>
      </w:r>
      <w:proofErr w:type="gramStart"/>
      <w:r w:rsidRPr="00C4084C">
        <w:t>skills</w:t>
      </w:r>
      <w:proofErr w:type="gramEnd"/>
      <w:r w:rsidRPr="00C4084C">
        <w:t xml:space="preserve"> and research it produces enable us to </w:t>
      </w:r>
      <w:r w:rsidR="00C50A23" w:rsidRPr="00C4084C">
        <w:t xml:space="preserve">be </w:t>
      </w:r>
      <w:r w:rsidRPr="00C4084C">
        <w:t xml:space="preserve">an economically prosperous, socially equitable and environmentally sustainable nation. By encouraging intellectual endeavour, </w:t>
      </w:r>
      <w:proofErr w:type="gramStart"/>
      <w:r w:rsidRPr="00C4084C">
        <w:t>creativity</w:t>
      </w:r>
      <w:proofErr w:type="gramEnd"/>
      <w:r w:rsidRPr="00C4084C">
        <w:t xml:space="preserve"> and personal accomplishment, it adds to the quality of our lives. </w:t>
      </w:r>
      <w:r w:rsidR="347E6F43" w:rsidRPr="00C4084C">
        <w:t>P</w:t>
      </w:r>
      <w:r w:rsidRPr="00C4084C">
        <w:t xml:space="preserve">ursuing truth through free discussion, it promotes democracy and civic values. Those communities fortunate enough to host a university benefit directly from the employment, higher incomes, sporting facilities, cultural </w:t>
      </w:r>
      <w:r w:rsidR="00C14C26" w:rsidRPr="00C4084C">
        <w:t>and intellectual</w:t>
      </w:r>
      <w:r w:rsidRPr="00C4084C">
        <w:t xml:space="preserve"> </w:t>
      </w:r>
      <w:proofErr w:type="gramStart"/>
      <w:r w:rsidRPr="00C4084C">
        <w:t>richness</w:t>
      </w:r>
      <w:proofErr w:type="gramEnd"/>
      <w:r w:rsidRPr="00C4084C">
        <w:t xml:space="preserve"> and other benefits they bring. </w:t>
      </w:r>
    </w:p>
    <w:p w14:paraId="2918E885" w14:textId="5515C9EB" w:rsidR="00FD087D" w:rsidRPr="00C4084C" w:rsidRDefault="00FD087D" w:rsidP="008C67CA">
      <w:r w:rsidRPr="00C4084C">
        <w:t>This Review was asked to examine Australia’s higher education system</w:t>
      </w:r>
      <w:r w:rsidR="005B29D8" w:rsidRPr="00C4084C">
        <w:t xml:space="preserve"> and create a long-term plan </w:t>
      </w:r>
      <w:r w:rsidR="00387292" w:rsidRPr="00C4084C">
        <w:t xml:space="preserve">for </w:t>
      </w:r>
      <w:r w:rsidR="00F719CA" w:rsidRPr="00C4084C">
        <w:t>reform</w:t>
      </w:r>
      <w:r w:rsidR="00387292" w:rsidRPr="00C4084C">
        <w:t xml:space="preserve">. </w:t>
      </w:r>
      <w:r w:rsidR="00F612F7" w:rsidRPr="00C4084C">
        <w:t xml:space="preserve">To be successful, these reforms </w:t>
      </w:r>
      <w:r w:rsidR="00F719CA" w:rsidRPr="00C4084C">
        <w:t>will require a large investment from the Australian Government</w:t>
      </w:r>
      <w:r w:rsidR="00387292" w:rsidRPr="00C4084C">
        <w:t xml:space="preserve"> and </w:t>
      </w:r>
      <w:r w:rsidR="00F612F7" w:rsidRPr="00C4084C">
        <w:t xml:space="preserve">a major contribution from </w:t>
      </w:r>
      <w:r w:rsidR="00387292" w:rsidRPr="00C4084C">
        <w:t>higher education providers</w:t>
      </w:r>
      <w:r w:rsidR="00F719CA" w:rsidRPr="00C4084C">
        <w:t xml:space="preserve">. </w:t>
      </w:r>
      <w:r w:rsidR="00387292" w:rsidRPr="00C4084C">
        <w:t>B</w:t>
      </w:r>
      <w:r w:rsidRPr="00C4084C">
        <w:t>ut a central tenet of the Review is that all parts of Australia’s education system need to work together to meet Australia</w:t>
      </w:r>
      <w:r w:rsidR="007051B6" w:rsidRPr="00C4084C">
        <w:t>’s</w:t>
      </w:r>
      <w:r w:rsidRPr="00C4084C">
        <w:t xml:space="preserve"> future skills challenge. Education in the early years and through the school system delivers the </w:t>
      </w:r>
      <w:r w:rsidR="00264249" w:rsidRPr="00C4084C">
        <w:t>student body</w:t>
      </w:r>
      <w:r w:rsidRPr="00C4084C">
        <w:t xml:space="preserve"> required to grow the higher education system. And growth in higher education needs to be paired with similar growth in </w:t>
      </w:r>
      <w:r w:rsidR="0004187E" w:rsidRPr="00C4084C">
        <w:t>vocational education and training (</w:t>
      </w:r>
      <w:r w:rsidRPr="00C4084C">
        <w:t>VET</w:t>
      </w:r>
      <w:r w:rsidR="0004187E" w:rsidRPr="00C4084C">
        <w:t>)</w:t>
      </w:r>
      <w:r w:rsidRPr="00C4084C">
        <w:t xml:space="preserve">, which will </w:t>
      </w:r>
      <w:r w:rsidR="00B13A86" w:rsidRPr="00C4084C">
        <w:t xml:space="preserve">be </w:t>
      </w:r>
      <w:r w:rsidRPr="00C4084C">
        <w:t xml:space="preserve">an essential part of Australia’s skills mix into the future. </w:t>
      </w:r>
      <w:r w:rsidR="00916360" w:rsidRPr="00C4084C">
        <w:t>Where possible, t</w:t>
      </w:r>
      <w:r w:rsidRPr="00C4084C">
        <w:t xml:space="preserve">he Review </w:t>
      </w:r>
      <w:r w:rsidR="00BA309F" w:rsidRPr="00C4084C">
        <w:t>–</w:t>
      </w:r>
      <w:r w:rsidR="00916360" w:rsidRPr="00C4084C">
        <w:t xml:space="preserve"> and this </w:t>
      </w:r>
      <w:r w:rsidR="00311496">
        <w:t>R</w:t>
      </w:r>
      <w:r w:rsidR="00916360" w:rsidRPr="00C4084C">
        <w:t>eport – focuses</w:t>
      </w:r>
      <w:r w:rsidRPr="00C4084C">
        <w:t xml:space="preserve"> on tertiary education</w:t>
      </w:r>
      <w:r w:rsidR="00E87C9F" w:rsidRPr="00C4084C">
        <w:t>, seeing higher education and VET as</w:t>
      </w:r>
      <w:r w:rsidRPr="00C4084C">
        <w:t xml:space="preserve"> </w:t>
      </w:r>
      <w:r w:rsidR="00D16150" w:rsidRPr="00C4084C">
        <w:t xml:space="preserve">2 </w:t>
      </w:r>
      <w:r w:rsidRPr="00C4084C">
        <w:t>important parts of the same system, each bringing different strengths.</w:t>
      </w:r>
    </w:p>
    <w:p w14:paraId="107C62FF" w14:textId="67723896" w:rsidR="00FD087D" w:rsidRPr="00C4084C" w:rsidRDefault="00FD087D" w:rsidP="008C67CA">
      <w:r w:rsidRPr="00C4084C">
        <w:t xml:space="preserve">Australia is fortunate to have a high-quality tertiary education </w:t>
      </w:r>
      <w:r w:rsidR="00A75571" w:rsidRPr="00C4084C">
        <w:t>system.</w:t>
      </w:r>
      <w:r w:rsidRPr="00C4084C">
        <w:t xml:space="preserve"> It performs above the OECD average in delivering high levels of participation and attainment and strong labour market outcomes. Its teachers, trainers, </w:t>
      </w:r>
      <w:proofErr w:type="gramStart"/>
      <w:r w:rsidRPr="00C4084C">
        <w:t>researchers</w:t>
      </w:r>
      <w:proofErr w:type="gramEnd"/>
      <w:r w:rsidRPr="00C4084C">
        <w:t xml:space="preserve"> and students are highly motivated, work hard and are making a major contribution to Australia and the world. </w:t>
      </w:r>
    </w:p>
    <w:p w14:paraId="6EA585D6" w14:textId="2CB35928" w:rsidR="00FD087D" w:rsidRPr="00C4084C" w:rsidRDefault="00FD087D" w:rsidP="008C67CA">
      <w:r w:rsidRPr="00C4084C">
        <w:t xml:space="preserve">And yet </w:t>
      </w:r>
      <w:r w:rsidR="009B5B6E" w:rsidRPr="00C4084C">
        <w:t xml:space="preserve">there is pressure across the </w:t>
      </w:r>
      <w:r w:rsidR="00C05B3A" w:rsidRPr="00C4084C">
        <w:t>tertiary</w:t>
      </w:r>
      <w:r w:rsidR="009B5B6E" w:rsidRPr="00C4084C">
        <w:t xml:space="preserve"> education s</w:t>
      </w:r>
      <w:r w:rsidR="00C05B3A" w:rsidRPr="00C4084C">
        <w:t>ystem</w:t>
      </w:r>
      <w:r w:rsidR="009B5B6E" w:rsidRPr="00C4084C">
        <w:t>, with low demand from students to study, the casualisation of the university workforce, and some universities under real financial strain. At the same time</w:t>
      </w:r>
      <w:r w:rsidR="00A53A85" w:rsidRPr="00C4084C">
        <w:t>,</w:t>
      </w:r>
      <w:r w:rsidRPr="00C4084C">
        <w:t xml:space="preserve"> the s</w:t>
      </w:r>
      <w:r w:rsidR="00A53A85" w:rsidRPr="00C4084C">
        <w:t>ystem</w:t>
      </w:r>
      <w:r w:rsidRPr="00C4084C">
        <w:t xml:space="preserve"> needs to constantly </w:t>
      </w:r>
      <w:r w:rsidR="008B0BA7" w:rsidRPr="00C4084C">
        <w:t xml:space="preserve">grow </w:t>
      </w:r>
      <w:r w:rsidRPr="00C4084C">
        <w:t xml:space="preserve">and improve. It has no choice. Rapid technological, social, </w:t>
      </w:r>
      <w:proofErr w:type="gramStart"/>
      <w:r w:rsidRPr="00C4084C">
        <w:t>political</w:t>
      </w:r>
      <w:proofErr w:type="gramEnd"/>
      <w:r w:rsidRPr="00C4084C">
        <w:t xml:space="preserve"> and environmental change means the pressure is always on to produce more knowledge, skills, opportunities and research. Fall behind in this race and Australia will see its productivity, </w:t>
      </w:r>
      <w:proofErr w:type="gramStart"/>
      <w:r w:rsidRPr="00C4084C">
        <w:t>innovation</w:t>
      </w:r>
      <w:proofErr w:type="gramEnd"/>
      <w:r w:rsidRPr="00C4084C">
        <w:t xml:space="preserve"> and standard of living decline. </w:t>
      </w:r>
    </w:p>
    <w:p w14:paraId="755CFC5A" w14:textId="7FDF623F" w:rsidR="00FD087D" w:rsidRPr="00C4084C" w:rsidRDefault="00FD087D" w:rsidP="008C67CA">
      <w:r w:rsidRPr="00C4084C">
        <w:t xml:space="preserve">Signs of the pressure from rapid change are already starting to emerge in ways that affect our everyday lives. Schools, childcare centres, medical </w:t>
      </w:r>
      <w:proofErr w:type="gramStart"/>
      <w:r w:rsidRPr="00C4084C">
        <w:t>clinics</w:t>
      </w:r>
      <w:proofErr w:type="gramEnd"/>
      <w:r w:rsidRPr="00C4084C">
        <w:t xml:space="preserve"> and hospitals regularly report shortages of teachers, early childhood educators, local doctors and nurses. Shortages of engineers and skilled tradespeople are delaying crucial infrastructure developments and housing construction, pushing up costs and inflation. Where are the highly educated and trained experts needed to modernise our energy grid, </w:t>
      </w:r>
      <w:r w:rsidR="00316152" w:rsidRPr="00C4084C">
        <w:t xml:space="preserve">improve </w:t>
      </w:r>
      <w:r w:rsidRPr="00C4084C">
        <w:t>our agricultur</w:t>
      </w:r>
      <w:r w:rsidR="00316152" w:rsidRPr="00C4084C">
        <w:t xml:space="preserve">al </w:t>
      </w:r>
      <w:proofErr w:type="gramStart"/>
      <w:r w:rsidR="00316152" w:rsidRPr="00C4084C">
        <w:t>capacity</w:t>
      </w:r>
      <w:proofErr w:type="gramEnd"/>
      <w:r w:rsidRPr="00C4084C">
        <w:t xml:space="preserve"> and protect our water supplies going to come from? The major problems we face – including threats to our social cohesion – are ultimately problems for which a big part of the answer is tertiary education.</w:t>
      </w:r>
    </w:p>
    <w:p w14:paraId="0B49F259" w14:textId="30CA842D" w:rsidR="00FD087D" w:rsidRPr="00C4084C" w:rsidRDefault="00FD087D" w:rsidP="00E4228B">
      <w:pPr>
        <w:pStyle w:val="Non-numberedHeading3"/>
      </w:pPr>
      <w:bookmarkStart w:id="7" w:name="_Toc479019900"/>
      <w:bookmarkStart w:id="8" w:name="_Toc153482991"/>
      <w:r w:rsidRPr="00C4084C">
        <w:t>Skills through equity</w:t>
      </w:r>
      <w:bookmarkEnd w:id="7"/>
      <w:bookmarkEnd w:id="8"/>
    </w:p>
    <w:p w14:paraId="545C961C" w14:textId="7E3ABD50" w:rsidR="00FD087D" w:rsidRPr="00C4084C" w:rsidRDefault="001F6A2A" w:rsidP="008C67CA">
      <w:r w:rsidRPr="00C4084C">
        <w:t xml:space="preserve">Equity also provides an answer to meeting Australia’s skills needs. </w:t>
      </w:r>
      <w:r w:rsidR="008B55A6" w:rsidRPr="00C4084C">
        <w:t xml:space="preserve">Increasing the number of people </w:t>
      </w:r>
      <w:r w:rsidRPr="00C4084C">
        <w:t>undertaking</w:t>
      </w:r>
      <w:r w:rsidR="008B55A6" w:rsidRPr="00C4084C">
        <w:t xml:space="preserve"> </w:t>
      </w:r>
      <w:r w:rsidRPr="00C4084C">
        <w:t xml:space="preserve">tertiary </w:t>
      </w:r>
      <w:r w:rsidR="008B55A6" w:rsidRPr="00C4084C">
        <w:t xml:space="preserve">education through a more inclusive approach will have positive benefits. </w:t>
      </w:r>
      <w:r w:rsidR="00EE32FA" w:rsidRPr="00C4084C">
        <w:t xml:space="preserve">Australia </w:t>
      </w:r>
      <w:r w:rsidR="00FD087D" w:rsidRPr="00C4084C">
        <w:t>need</w:t>
      </w:r>
      <w:r w:rsidR="00EE32FA" w:rsidRPr="00C4084C">
        <w:t>s</w:t>
      </w:r>
      <w:r w:rsidR="00FD087D" w:rsidRPr="00C4084C">
        <w:t xml:space="preserve"> not only </w:t>
      </w:r>
      <w:r w:rsidRPr="00C4084C">
        <w:t xml:space="preserve">to </w:t>
      </w:r>
      <w:r w:rsidR="00FD087D" w:rsidRPr="00C4084C">
        <w:t xml:space="preserve">increase the number of skilled workers but also ensure that they have </w:t>
      </w:r>
      <w:r w:rsidR="00FD087D" w:rsidRPr="00C4084C">
        <w:lastRenderedPageBreak/>
        <w:t xml:space="preserve">access to lifelong learning. </w:t>
      </w:r>
      <w:r w:rsidRPr="00C4084C">
        <w:t>This</w:t>
      </w:r>
      <w:r w:rsidR="00FD087D" w:rsidRPr="00C4084C">
        <w:t xml:space="preserve"> will require much higher participation among groups historically </w:t>
      </w:r>
      <w:r w:rsidR="00D7545F" w:rsidRPr="00C4084C">
        <w:t>under-represented</w:t>
      </w:r>
      <w:r w:rsidR="00FD087D" w:rsidRPr="00C4084C">
        <w:t xml:space="preserve"> in higher education</w:t>
      </w:r>
      <w:r w:rsidRPr="00C4084C">
        <w:t>, and</w:t>
      </w:r>
      <w:r w:rsidR="00FD087D" w:rsidRPr="00C4084C">
        <w:t xml:space="preserve"> students from these groups </w:t>
      </w:r>
      <w:r w:rsidRPr="00C4084C">
        <w:t>will need adequate</w:t>
      </w:r>
      <w:r w:rsidR="00FD087D" w:rsidRPr="00C4084C">
        <w:t xml:space="preserve"> support to succeed throughout their learning journeys. </w:t>
      </w:r>
    </w:p>
    <w:p w14:paraId="7C9582CE" w14:textId="6B4D43DF" w:rsidR="00FD087D" w:rsidRPr="00C4084C" w:rsidRDefault="00FD087D" w:rsidP="008C67CA">
      <w:r w:rsidRPr="00C4084C">
        <w:rPr>
          <w:b/>
          <w:bCs/>
        </w:rPr>
        <w:t>Increasing the number of skilled workers.</w:t>
      </w:r>
      <w:r w:rsidRPr="00C4084C">
        <w:t xml:space="preserve"> Australia must significantly increase participation in tertiary education. This is a matter of urgency. </w:t>
      </w:r>
      <w:r w:rsidR="00EE32FA" w:rsidRPr="00C4084C">
        <w:t>Australia is</w:t>
      </w:r>
      <w:r w:rsidRPr="00C4084C">
        <w:t xml:space="preserve"> not meeting </w:t>
      </w:r>
      <w:r w:rsidR="00EE32FA" w:rsidRPr="00C4084C">
        <w:t xml:space="preserve">its </w:t>
      </w:r>
      <w:r w:rsidRPr="00C4084C">
        <w:t xml:space="preserve">current skills needs and will not meet them in the future unless we produce more higher education and VET graduates.  </w:t>
      </w:r>
    </w:p>
    <w:p w14:paraId="2E2D5E1B" w14:textId="43855A44" w:rsidR="00FD087D" w:rsidRPr="00C4084C" w:rsidRDefault="00FD087D" w:rsidP="008C67CA">
      <w:r w:rsidRPr="00C4084C">
        <w:t xml:space="preserve">Failure to increase student numbers to meet these needs will do lasting damage to Australia’s prospects of national economic success. It will also do lasting damage to social cohesion by preventing generations of Australians from enjoying the career opportunities and higher incomes that tertiary education makes possible. </w:t>
      </w:r>
    </w:p>
    <w:p w14:paraId="1D7FF09A" w14:textId="2E7DA42B" w:rsidR="00FD087D" w:rsidRPr="00C4084C" w:rsidRDefault="00FD087D" w:rsidP="008C67CA">
      <w:r w:rsidRPr="00C4084C">
        <w:t>The Review proposes ambitious targets to increase the number of places in the tertiary education system to meet Australia’s skill</w:t>
      </w:r>
      <w:r w:rsidR="00EE32FA" w:rsidRPr="00C4084C">
        <w:t>s</w:t>
      </w:r>
      <w:r w:rsidRPr="00C4084C">
        <w:t xml:space="preserve"> needs. This includes:</w:t>
      </w:r>
    </w:p>
    <w:p w14:paraId="503DFFAA" w14:textId="675AE0FA" w:rsidR="00FD087D" w:rsidRPr="008C67CA" w:rsidRDefault="00FD087D" w:rsidP="008C67CA">
      <w:pPr>
        <w:pStyle w:val="ListBullet"/>
      </w:pPr>
      <w:r w:rsidRPr="008C67CA">
        <w:t xml:space="preserve">lifting the tertiary attainment rate of the working age population (people with at least one Certificate III qualification or higher) from </w:t>
      </w:r>
      <w:r w:rsidR="00F41AA6">
        <w:t>60</w:t>
      </w:r>
      <w:r w:rsidRPr="008C67CA">
        <w:t xml:space="preserve">% currently to </w:t>
      </w:r>
      <w:r w:rsidR="00E80530" w:rsidRPr="008C67CA">
        <w:t>at least 80</w:t>
      </w:r>
      <w:r w:rsidRPr="008C67CA">
        <w:t xml:space="preserve">% by 2050 </w:t>
      </w:r>
    </w:p>
    <w:p w14:paraId="2DFC0CA5" w14:textId="37032A29" w:rsidR="00FD087D" w:rsidRPr="008C67CA" w:rsidRDefault="00FD087D" w:rsidP="008C67CA">
      <w:pPr>
        <w:pStyle w:val="ListBullet"/>
      </w:pPr>
      <w:r w:rsidRPr="008C67CA">
        <w:t>increasing the proportion of university educated Australians aged 25 to 34 from 45%</w:t>
      </w:r>
      <w:r w:rsidR="00772CE8" w:rsidRPr="008C67CA">
        <w:t> </w:t>
      </w:r>
      <w:r w:rsidRPr="008C67CA">
        <w:t>currently to 55% by 2050</w:t>
      </w:r>
      <w:r w:rsidR="00BB6382" w:rsidRPr="008C67CA">
        <w:t xml:space="preserve"> –</w:t>
      </w:r>
      <w:r w:rsidR="001F632D" w:rsidRPr="008C67CA">
        <w:t xml:space="preserve"> </w:t>
      </w:r>
      <w:r w:rsidR="008217CE" w:rsidRPr="008C67CA">
        <w:t xml:space="preserve">to </w:t>
      </w:r>
      <w:r w:rsidR="005165BA" w:rsidRPr="008C67CA">
        <w:t>achiev</w:t>
      </w:r>
      <w:r w:rsidR="008217CE" w:rsidRPr="008C67CA">
        <w:t>e</w:t>
      </w:r>
      <w:r w:rsidR="005165BA" w:rsidRPr="008C67CA">
        <w:t xml:space="preserve"> this </w:t>
      </w:r>
      <w:r w:rsidR="008217CE" w:rsidRPr="008C67CA">
        <w:t>increase,</w:t>
      </w:r>
      <w:r w:rsidR="005165BA" w:rsidRPr="008C67CA">
        <w:t xml:space="preserve"> </w:t>
      </w:r>
      <w:r w:rsidR="000C0986" w:rsidRPr="008C67CA">
        <w:t xml:space="preserve">the system </w:t>
      </w:r>
      <w:r w:rsidR="005165BA" w:rsidRPr="008C67CA">
        <w:t>will</w:t>
      </w:r>
      <w:r w:rsidR="000B67EF" w:rsidRPr="008C67CA">
        <w:t xml:space="preserve"> </w:t>
      </w:r>
      <w:r w:rsidRPr="008C67CA">
        <w:t>more than doubl</w:t>
      </w:r>
      <w:r w:rsidR="000C0986" w:rsidRPr="008C67CA">
        <w:t>e</w:t>
      </w:r>
      <w:r w:rsidRPr="008C67CA">
        <w:t xml:space="preserve"> the number of Commonwealth supported </w:t>
      </w:r>
      <w:r w:rsidR="00853695" w:rsidRPr="008C67CA">
        <w:t xml:space="preserve">students </w:t>
      </w:r>
      <w:r w:rsidRPr="008C67CA">
        <w:t xml:space="preserve">in universities from 860,000 </w:t>
      </w:r>
      <w:r w:rsidR="57A7FA64" w:rsidRPr="008C67CA">
        <w:t>currently</w:t>
      </w:r>
      <w:r w:rsidRPr="008C67CA">
        <w:t xml:space="preserve"> to 1.8 million by </w:t>
      </w:r>
      <w:proofErr w:type="gramStart"/>
      <w:r w:rsidRPr="008C67CA">
        <w:t>2050</w:t>
      </w:r>
      <w:proofErr w:type="gramEnd"/>
    </w:p>
    <w:p w14:paraId="2284EDAE" w14:textId="77777777" w:rsidR="008C691B" w:rsidRPr="008C67CA" w:rsidRDefault="008C691B" w:rsidP="008C67CA">
      <w:pPr>
        <w:pStyle w:val="ListBullet"/>
        <w:rPr>
          <w:rStyle w:val="PriorityAction-Bold"/>
          <w:b w:val="0"/>
          <w:bCs w:val="0"/>
          <w:i w:val="0"/>
        </w:rPr>
      </w:pPr>
      <w:r w:rsidRPr="008C67CA">
        <w:rPr>
          <w:rStyle w:val="PriorityAction-Bold"/>
          <w:b w:val="0"/>
          <w:bCs w:val="0"/>
          <w:i w:val="0"/>
        </w:rPr>
        <w:t xml:space="preserve">a strong and growing contribution to tertiary attainment driven by TAFE and the vocational system, with a planning assumption that 40% of 25 to 34-year-olds will have a tertiary level vocational or technical qualification in 2050, noting that some people have both a VET and higher education </w:t>
      </w:r>
      <w:proofErr w:type="gramStart"/>
      <w:r w:rsidRPr="008C67CA">
        <w:rPr>
          <w:rStyle w:val="PriorityAction-Bold"/>
          <w:b w:val="0"/>
          <w:bCs w:val="0"/>
          <w:i w:val="0"/>
        </w:rPr>
        <w:t>qualification</w:t>
      </w:r>
      <w:proofErr w:type="gramEnd"/>
    </w:p>
    <w:p w14:paraId="609F0021" w14:textId="343ED67F" w:rsidR="008C691B" w:rsidRPr="008C67CA" w:rsidRDefault="008C691B" w:rsidP="008C67CA">
      <w:pPr>
        <w:pStyle w:val="ListBullet"/>
        <w:rPr>
          <w:rStyle w:val="PriorityAction-Bold"/>
          <w:b w:val="0"/>
          <w:bCs w:val="0"/>
          <w:i w:val="0"/>
        </w:rPr>
      </w:pPr>
      <w:r w:rsidRPr="008C67CA">
        <w:rPr>
          <w:rStyle w:val="PriorityAction-Bold"/>
          <w:b w:val="0"/>
          <w:bCs w:val="0"/>
          <w:i w:val="0"/>
        </w:rPr>
        <w:t xml:space="preserve">opportunities for lifelong learning for all Australians to reskill and upskill, driven by national targets for tertiary participation and attainment across the working age population developed with the states and territories through a stewardship approach </w:t>
      </w:r>
      <w:proofErr w:type="gramStart"/>
      <w:r w:rsidRPr="008C67CA">
        <w:rPr>
          <w:rStyle w:val="PriorityAction-Bold"/>
          <w:b w:val="0"/>
          <w:bCs w:val="0"/>
          <w:i w:val="0"/>
        </w:rPr>
        <w:t>similar to</w:t>
      </w:r>
      <w:proofErr w:type="gramEnd"/>
      <w:r w:rsidRPr="008C67CA">
        <w:rPr>
          <w:rStyle w:val="PriorityAction-Bold"/>
          <w:b w:val="0"/>
          <w:bCs w:val="0"/>
          <w:i w:val="0"/>
        </w:rPr>
        <w:t xml:space="preserve"> that agreed in the 2023 National Skills Agreement</w:t>
      </w:r>
      <w:r w:rsidR="009A3D5E" w:rsidRPr="008C67CA">
        <w:rPr>
          <w:rStyle w:val="PriorityAction-Bold"/>
          <w:b w:val="0"/>
          <w:bCs w:val="0"/>
          <w:i w:val="0"/>
        </w:rPr>
        <w:t>.</w:t>
      </w:r>
    </w:p>
    <w:p w14:paraId="4A0C7D96" w14:textId="1EEB2D5C" w:rsidR="00FD087D" w:rsidRPr="00C4084C" w:rsidRDefault="00FD087D" w:rsidP="008C67CA">
      <w:r w:rsidRPr="00C4084C">
        <w:t xml:space="preserve">The Review recognises that </w:t>
      </w:r>
      <w:r w:rsidR="00172BD5" w:rsidRPr="00C4084C">
        <w:t>achieving these targets will</w:t>
      </w:r>
      <w:r w:rsidR="005165BA" w:rsidRPr="00C4084C">
        <w:t xml:space="preserve"> require both the higher education and VET sector</w:t>
      </w:r>
      <w:r w:rsidR="00B0252F" w:rsidRPr="00C4084C">
        <w:t>s</w:t>
      </w:r>
      <w:r w:rsidR="005165BA" w:rsidRPr="00C4084C">
        <w:t xml:space="preserve"> to gro</w:t>
      </w:r>
      <w:r w:rsidR="00392BC6" w:rsidRPr="00C4084C">
        <w:t xml:space="preserve">w substantially </w:t>
      </w:r>
      <w:r w:rsidR="00556627" w:rsidRPr="00C4084C">
        <w:t>as well as work</w:t>
      </w:r>
      <w:r w:rsidR="00392BC6" w:rsidRPr="00C4084C">
        <w:t xml:space="preserve"> more closely</w:t>
      </w:r>
      <w:r w:rsidR="00172BD5" w:rsidRPr="00C4084C">
        <w:t xml:space="preserve"> together. </w:t>
      </w:r>
      <w:r w:rsidR="007475E8" w:rsidRPr="00C4084C">
        <w:t>I</w:t>
      </w:r>
      <w:r w:rsidR="002741BC" w:rsidRPr="00C4084C">
        <w:t xml:space="preserve">ncreasing participation and attainment is not just about what people do </w:t>
      </w:r>
      <w:r w:rsidR="0044290A" w:rsidRPr="00C4084C">
        <w:t>during</w:t>
      </w:r>
      <w:r w:rsidR="002741BC" w:rsidRPr="00C4084C">
        <w:t xml:space="preserve"> the </w:t>
      </w:r>
      <w:r w:rsidR="0044290A" w:rsidRPr="00C4084C">
        <w:t>career-building</w:t>
      </w:r>
      <w:r w:rsidR="002741BC" w:rsidRPr="00C4084C">
        <w:t xml:space="preserve"> </w:t>
      </w:r>
      <w:r w:rsidR="007475E8" w:rsidRPr="00C4084C">
        <w:t>momentum of</w:t>
      </w:r>
      <w:r w:rsidR="002741BC" w:rsidRPr="00C4084C">
        <w:t xml:space="preserve"> the post-school years, but throughout their working lives</w:t>
      </w:r>
      <w:r w:rsidR="003E2128" w:rsidRPr="00C4084C">
        <w:t xml:space="preserve"> as they return</w:t>
      </w:r>
      <w:r w:rsidR="002741BC" w:rsidRPr="00C4084C">
        <w:t xml:space="preserve"> to education </w:t>
      </w:r>
      <w:r w:rsidR="007475E8" w:rsidRPr="00C4084C">
        <w:t>to reskill and upskill.</w:t>
      </w:r>
    </w:p>
    <w:p w14:paraId="57BCF22D" w14:textId="2475B4EF" w:rsidR="00FD087D" w:rsidRPr="00C4084C" w:rsidRDefault="00217F81" w:rsidP="008C67CA">
      <w:r w:rsidRPr="00C4084C">
        <w:rPr>
          <w:b/>
          <w:bCs/>
        </w:rPr>
        <w:t>Achieving</w:t>
      </w:r>
      <w:r w:rsidR="00FD087D" w:rsidRPr="00C4084C">
        <w:rPr>
          <w:b/>
          <w:bCs/>
        </w:rPr>
        <w:t xml:space="preserve"> equity of participation in higher education.</w:t>
      </w:r>
      <w:r w:rsidR="00FD087D" w:rsidRPr="00C4084C">
        <w:t xml:space="preserve"> Raising tertiary</w:t>
      </w:r>
      <w:r w:rsidR="00B0252F" w:rsidRPr="00C4084C">
        <w:t xml:space="preserve"> education</w:t>
      </w:r>
      <w:r w:rsidR="00FD087D" w:rsidRPr="00C4084C">
        <w:t xml:space="preserve"> attainment to these levels will not be easy. </w:t>
      </w:r>
      <w:r w:rsidR="003E2128" w:rsidRPr="00C4084C">
        <w:t xml:space="preserve">It </w:t>
      </w:r>
      <w:r w:rsidR="00FD087D" w:rsidRPr="00C4084C">
        <w:t>can only be achieved by making the higher education system far more equitable. The current under</w:t>
      </w:r>
      <w:r w:rsidR="00970BB0" w:rsidRPr="00C4084C">
        <w:t>-</w:t>
      </w:r>
      <w:r w:rsidR="00FD087D" w:rsidRPr="00C4084C">
        <w:t xml:space="preserve">representation of people from disadvantaged groups must end. To take just one example, Australians from low </w:t>
      </w:r>
      <w:r w:rsidR="00970BB0" w:rsidRPr="00C4084C">
        <w:t>socio-economic status (SES)</w:t>
      </w:r>
      <w:r w:rsidR="00FD087D" w:rsidRPr="00C4084C">
        <w:t xml:space="preserve"> backgrounds make up 25% of the population, but only </w:t>
      </w:r>
      <w:r w:rsidR="00031C8C">
        <w:t>17</w:t>
      </w:r>
      <w:r w:rsidR="00FD087D" w:rsidRPr="00C4084C">
        <w:t>% of enrolments in higher education.</w:t>
      </w:r>
      <w:r w:rsidR="000C6E9B" w:rsidRPr="00C4084C">
        <w:rPr>
          <w:rStyle w:val="FootnoteReference"/>
        </w:rPr>
        <w:footnoteReference w:id="2"/>
      </w:r>
      <w:r w:rsidR="00FD087D" w:rsidRPr="00C4084C">
        <w:t xml:space="preserve"> All Australians must be encouraged and assisted to obtain the life-changing benefits of higher education. The Review recommends that</w:t>
      </w:r>
      <w:r w:rsidR="003E2128" w:rsidRPr="00C4084C">
        <w:t>, by 2050,</w:t>
      </w:r>
      <w:r w:rsidR="00FD087D" w:rsidRPr="00C4084C">
        <w:t xml:space="preserve"> those most under</w:t>
      </w:r>
      <w:r w:rsidR="00970BB0" w:rsidRPr="00C4084C">
        <w:t>-</w:t>
      </w:r>
      <w:r w:rsidR="00FD087D" w:rsidRPr="00C4084C">
        <w:t xml:space="preserve">represented in higher education (First Nations people, people with low </w:t>
      </w:r>
      <w:r w:rsidR="00B978DA" w:rsidRPr="00C4084C">
        <w:t xml:space="preserve">SES </w:t>
      </w:r>
      <w:r w:rsidR="00FD087D" w:rsidRPr="00C4084C">
        <w:t xml:space="preserve">backgrounds, people with disability, and people from regional, </w:t>
      </w:r>
      <w:proofErr w:type="gramStart"/>
      <w:r w:rsidR="00FD087D" w:rsidRPr="00C4084C">
        <w:t>rural</w:t>
      </w:r>
      <w:proofErr w:type="gramEnd"/>
      <w:r w:rsidR="00FD087D" w:rsidRPr="00C4084C">
        <w:t xml:space="preserve"> and remote communities) be represented in higher education according to their proportion of the Australian </w:t>
      </w:r>
      <w:r w:rsidR="00FD087D" w:rsidRPr="00C4084C">
        <w:lastRenderedPageBreak/>
        <w:t>population</w:t>
      </w:r>
      <w:r w:rsidR="003E2128" w:rsidRPr="00C4084C">
        <w:t>.</w:t>
      </w:r>
      <w:r w:rsidR="00FD087D" w:rsidRPr="00C4084C">
        <w:t xml:space="preserve"> </w:t>
      </w:r>
      <w:r w:rsidR="003E2128" w:rsidRPr="00C4084C">
        <w:t>Urgent</w:t>
      </w:r>
      <w:r w:rsidR="001E3825" w:rsidRPr="00C4084C">
        <w:t xml:space="preserve"> action to establish the right trajectory must start today</w:t>
      </w:r>
      <w:r w:rsidR="00FD087D" w:rsidRPr="00C4084C">
        <w:t>.</w:t>
      </w:r>
      <w:r w:rsidR="00E248AC" w:rsidRPr="00C4084C">
        <w:t xml:space="preserve"> This urgent action requires ‘whole of student’ focus – on learning and teaching, affordable student housing, assistance with finding employment</w:t>
      </w:r>
      <w:r w:rsidR="003E2128" w:rsidRPr="00C4084C">
        <w:t>,</w:t>
      </w:r>
      <w:r w:rsidR="00E248AC" w:rsidRPr="00C4084C">
        <w:t xml:space="preserve"> and income support where relevant </w:t>
      </w:r>
      <w:r w:rsidR="003E2128" w:rsidRPr="00C4084C">
        <w:t xml:space="preserve">– </w:t>
      </w:r>
      <w:r w:rsidR="00E248AC" w:rsidRPr="00C4084C">
        <w:t>as opposed to simply enrolling disadvantaged students into a course and hoping they succeed.</w:t>
      </w:r>
    </w:p>
    <w:p w14:paraId="4972E0DC" w14:textId="2DE5C84D" w:rsidR="00FD087D" w:rsidRPr="00C4084C" w:rsidRDefault="00FD087D" w:rsidP="008C67CA">
      <w:r w:rsidRPr="00C4084C">
        <w:rPr>
          <w:b/>
          <w:bCs/>
        </w:rPr>
        <w:t>Needs</w:t>
      </w:r>
      <w:r w:rsidR="005841A5" w:rsidRPr="00C4084C">
        <w:rPr>
          <w:b/>
          <w:bCs/>
        </w:rPr>
        <w:t>-</w:t>
      </w:r>
      <w:r w:rsidRPr="00C4084C">
        <w:rPr>
          <w:b/>
          <w:bCs/>
        </w:rPr>
        <w:t xml:space="preserve">based </w:t>
      </w:r>
      <w:r w:rsidRPr="00C4084C">
        <w:rPr>
          <w:b/>
        </w:rPr>
        <w:t>funding</w:t>
      </w:r>
      <w:r w:rsidRPr="00C4084C">
        <w:rPr>
          <w:b/>
          <w:bCs/>
        </w:rPr>
        <w:t>.</w:t>
      </w:r>
      <w:r w:rsidRPr="00C4084C">
        <w:t xml:space="preserve"> </w:t>
      </w:r>
      <w:r w:rsidR="00706D65" w:rsidRPr="00C4084C">
        <w:t xml:space="preserve">Australia </w:t>
      </w:r>
      <w:r w:rsidRPr="00C4084C">
        <w:t>need</w:t>
      </w:r>
      <w:r w:rsidR="00706D65" w:rsidRPr="00C4084C">
        <w:t>s</w:t>
      </w:r>
      <w:r w:rsidRPr="00C4084C">
        <w:t xml:space="preserve"> to recognise that people from groups </w:t>
      </w:r>
      <w:r w:rsidR="00D7545F" w:rsidRPr="00C4084C">
        <w:t>under-represented</w:t>
      </w:r>
      <w:r w:rsidRPr="00C4084C">
        <w:t xml:space="preserve"> in higher education on average require greater support to succeed</w:t>
      </w:r>
      <w:r w:rsidR="008C0EA9" w:rsidRPr="00C4084C">
        <w:t xml:space="preserve">, often due to </w:t>
      </w:r>
      <w:r w:rsidR="005970C3" w:rsidRPr="00C4084C">
        <w:t>experiencing educational disadvantage</w:t>
      </w:r>
      <w:r w:rsidRPr="00C4084C">
        <w:t xml:space="preserve">. The Review recommends the introduction of a needs-based funding model that </w:t>
      </w:r>
      <w:r w:rsidR="003E2128" w:rsidRPr="00C4084C">
        <w:t xml:space="preserve">acknowledges </w:t>
      </w:r>
      <w:r w:rsidRPr="00C4084C">
        <w:t>the cost of this additional support</w:t>
      </w:r>
      <w:r w:rsidR="003E2128" w:rsidRPr="00C4084C">
        <w:t xml:space="preserve"> and </w:t>
      </w:r>
      <w:r w:rsidRPr="00C4084C">
        <w:t xml:space="preserve">the locality of the institution they </w:t>
      </w:r>
      <w:proofErr w:type="gramStart"/>
      <w:r w:rsidRPr="00C4084C">
        <w:t>attend, and</w:t>
      </w:r>
      <w:proofErr w:type="gramEnd"/>
      <w:r w:rsidRPr="00C4084C">
        <w:t xml:space="preserve"> includes bonuses </w:t>
      </w:r>
      <w:r w:rsidR="51FDAD39" w:rsidRPr="00C4084C">
        <w:t xml:space="preserve">to providers </w:t>
      </w:r>
      <w:r w:rsidRPr="00C4084C">
        <w:t>for student completions.</w:t>
      </w:r>
    </w:p>
    <w:p w14:paraId="572935BB" w14:textId="7D46F977" w:rsidR="00FD087D" w:rsidRPr="00C4084C" w:rsidRDefault="00FD087D" w:rsidP="008C67CA">
      <w:r w:rsidRPr="00C4084C">
        <w:rPr>
          <w:b/>
          <w:bCs/>
        </w:rPr>
        <w:t xml:space="preserve">Improving regional higher education. </w:t>
      </w:r>
      <w:r w:rsidRPr="00C4084C">
        <w:t xml:space="preserve">Delivering education in regional and remote Australia is central to ensuring access and participation for all Australians and the success of regional communities. Regional universities shoulder </w:t>
      </w:r>
      <w:r w:rsidR="006E24CA" w:rsidRPr="00C4084C">
        <w:t>more than their</w:t>
      </w:r>
      <w:r w:rsidRPr="00C4084C">
        <w:t xml:space="preserve"> fair share of the task of educating groups under</w:t>
      </w:r>
      <w:r w:rsidR="00641A31" w:rsidRPr="00C4084C">
        <w:noBreakHyphen/>
      </w:r>
      <w:r w:rsidRPr="00C4084C">
        <w:t>represented in higher education.</w:t>
      </w:r>
    </w:p>
    <w:p w14:paraId="62FF30A8" w14:textId="449DD58B" w:rsidR="00FD087D" w:rsidRPr="00C4084C" w:rsidRDefault="00FD087D" w:rsidP="008C67CA">
      <w:r w:rsidRPr="00C4084C">
        <w:t xml:space="preserve">The needs-based funding </w:t>
      </w:r>
      <w:r w:rsidR="00550EC3" w:rsidRPr="00C4084C">
        <w:t xml:space="preserve">model </w:t>
      </w:r>
      <w:r w:rsidRPr="00C4084C">
        <w:t xml:space="preserve">will be a game-changer for regional </w:t>
      </w:r>
      <w:r w:rsidR="00D57C81" w:rsidRPr="00C4084C">
        <w:t xml:space="preserve">higher </w:t>
      </w:r>
      <w:r w:rsidR="006B1767" w:rsidRPr="00C4084C">
        <w:t>education</w:t>
      </w:r>
      <w:r w:rsidR="00D57C81" w:rsidRPr="00C4084C">
        <w:t xml:space="preserve"> providers</w:t>
      </w:r>
      <w:r w:rsidRPr="00C4084C">
        <w:t xml:space="preserve">, </w:t>
      </w:r>
      <w:r w:rsidR="00127B31" w:rsidRPr="00C4084C">
        <w:t xml:space="preserve">better </w:t>
      </w:r>
      <w:r w:rsidRPr="00C4084C">
        <w:t xml:space="preserve">reflecting the increased costs of educating </w:t>
      </w:r>
      <w:r w:rsidR="00E57A1B" w:rsidRPr="00C4084C">
        <w:t>students</w:t>
      </w:r>
      <w:r w:rsidRPr="00C4084C">
        <w:t xml:space="preserve"> in the regions. The Review recommend</w:t>
      </w:r>
      <w:r w:rsidR="59602A62" w:rsidRPr="00C4084C">
        <w:t>s</w:t>
      </w:r>
      <w:r w:rsidRPr="00C4084C">
        <w:t xml:space="preserve"> several measures which </w:t>
      </w:r>
      <w:r w:rsidRPr="00C4084C" w:rsidDel="000F55CA">
        <w:t xml:space="preserve">will </w:t>
      </w:r>
      <w:r w:rsidRPr="00C4084C">
        <w:t>deliver for the regions</w:t>
      </w:r>
      <w:r w:rsidR="00641A31" w:rsidRPr="00C4084C">
        <w:t>, including</w:t>
      </w:r>
      <w:r w:rsidRPr="00C4084C">
        <w:t>:</w:t>
      </w:r>
    </w:p>
    <w:p w14:paraId="72FA822F" w14:textId="1F18226C" w:rsidR="00FD087D" w:rsidRPr="00C4084C" w:rsidRDefault="00FD087D" w:rsidP="0032275C">
      <w:pPr>
        <w:pStyle w:val="ListBullet"/>
      </w:pPr>
      <w:r w:rsidRPr="00C4084C">
        <w:t xml:space="preserve">significantly increasing the number of Commonwealth supported </w:t>
      </w:r>
      <w:r w:rsidR="00250C58" w:rsidRPr="00C4084C">
        <w:t xml:space="preserve">medical </w:t>
      </w:r>
      <w:r w:rsidRPr="00C4084C">
        <w:t xml:space="preserve">places allocated to </w:t>
      </w:r>
      <w:r w:rsidR="00250C58" w:rsidRPr="00C4084C">
        <w:t>regionally</w:t>
      </w:r>
      <w:r w:rsidR="00B0252F" w:rsidRPr="00C4084C">
        <w:t xml:space="preserve"> </w:t>
      </w:r>
      <w:r w:rsidR="00250C58" w:rsidRPr="00C4084C">
        <w:t xml:space="preserve">based end to end </w:t>
      </w:r>
      <w:r w:rsidRPr="00C4084C">
        <w:t xml:space="preserve">medical </w:t>
      </w:r>
      <w:proofErr w:type="gramStart"/>
      <w:r w:rsidRPr="00C4084C">
        <w:t>schools</w:t>
      </w:r>
      <w:proofErr w:type="gramEnd"/>
    </w:p>
    <w:p w14:paraId="0F612729" w14:textId="77777777" w:rsidR="00FD087D" w:rsidRPr="00C4084C" w:rsidRDefault="00FD087D" w:rsidP="0032275C">
      <w:pPr>
        <w:pStyle w:val="ListBullet"/>
      </w:pPr>
      <w:r w:rsidRPr="00C4084C">
        <w:t xml:space="preserve">expanding the successful Regional Study Hubs program to increase participation, retention and completion rates for university and VET </w:t>
      </w:r>
      <w:proofErr w:type="gramStart"/>
      <w:r w:rsidRPr="00C4084C">
        <w:t>students</w:t>
      </w:r>
      <w:proofErr w:type="gramEnd"/>
    </w:p>
    <w:p w14:paraId="21C2F472" w14:textId="3A2C1181" w:rsidR="00FD087D" w:rsidRPr="00C4084C" w:rsidRDefault="00FD087D" w:rsidP="0032275C">
      <w:pPr>
        <w:pStyle w:val="ListBullet"/>
      </w:pPr>
      <w:r w:rsidRPr="00C4084C">
        <w:t>exploring the potential for establishing a National Regional University</w:t>
      </w:r>
      <w:r w:rsidR="00DA2B37" w:rsidRPr="00C4084C">
        <w:t xml:space="preserve"> and a more integrated tertiary education system in regional Australia</w:t>
      </w:r>
      <w:r w:rsidRPr="00C4084C">
        <w:t>.</w:t>
      </w:r>
    </w:p>
    <w:p w14:paraId="60B78C87" w14:textId="50B275C4" w:rsidR="00FD087D" w:rsidRPr="00C4084C" w:rsidRDefault="00FD087D" w:rsidP="008C67CA">
      <w:r w:rsidRPr="00C4084C">
        <w:rPr>
          <w:b/>
          <w:bCs/>
        </w:rPr>
        <w:t xml:space="preserve">A more seamless tertiary </w:t>
      </w:r>
      <w:r w:rsidR="00501D4B" w:rsidRPr="00C4084C">
        <w:rPr>
          <w:b/>
          <w:bCs/>
        </w:rPr>
        <w:t xml:space="preserve">education </w:t>
      </w:r>
      <w:r w:rsidRPr="00C4084C">
        <w:rPr>
          <w:b/>
          <w:bCs/>
        </w:rPr>
        <w:t xml:space="preserve">system. </w:t>
      </w:r>
      <w:r w:rsidRPr="00C4084C">
        <w:t xml:space="preserve">To make qualification attainment faster and easier, </w:t>
      </w:r>
      <w:r w:rsidR="003C2CF4" w:rsidRPr="00C4084C">
        <w:t xml:space="preserve">Australia </w:t>
      </w:r>
      <w:r w:rsidRPr="00C4084C">
        <w:t xml:space="preserve">must ensure students can more seamlessly navigate between </w:t>
      </w:r>
      <w:r w:rsidR="3D7175CF" w:rsidRPr="00C4084C">
        <w:t>VET</w:t>
      </w:r>
      <w:r w:rsidRPr="00C4084C">
        <w:t xml:space="preserve"> and higher education. Misalignment between and within </w:t>
      </w:r>
      <w:r w:rsidR="0096718C" w:rsidRPr="00C4084C">
        <w:t xml:space="preserve">these </w:t>
      </w:r>
      <w:r w:rsidRPr="00C4084C">
        <w:t xml:space="preserve">sectors </w:t>
      </w:r>
      <w:r w:rsidR="00737F45" w:rsidRPr="00C4084C">
        <w:t>currently</w:t>
      </w:r>
      <w:r w:rsidRPr="00C4084C">
        <w:t xml:space="preserve"> makes this more difficult than it should be. The Review recommends </w:t>
      </w:r>
      <w:r w:rsidR="00CB4433" w:rsidRPr="00C4084C">
        <w:t xml:space="preserve">the continued development of a National Skills Passport to help individuals demonstrate the skills they have obtained to employers, supported by </w:t>
      </w:r>
      <w:r w:rsidRPr="00C4084C">
        <w:t>improvements to credit transfer and recognition of prior learning</w:t>
      </w:r>
      <w:r w:rsidR="00C91CAA" w:rsidRPr="00C4084C">
        <w:t xml:space="preserve"> (RPL)</w:t>
      </w:r>
      <w:r w:rsidR="00CB4433" w:rsidRPr="00C4084C">
        <w:t>.</w:t>
      </w:r>
    </w:p>
    <w:p w14:paraId="485000FE" w14:textId="2D3E964E" w:rsidR="00FD087D" w:rsidRPr="00C4084C" w:rsidRDefault="00FD087D" w:rsidP="008C67CA">
      <w:pPr>
        <w:rPr>
          <w:b/>
        </w:rPr>
      </w:pPr>
      <w:r w:rsidRPr="00C4084C">
        <w:rPr>
          <w:b/>
          <w:bCs/>
        </w:rPr>
        <w:t>Modular, stackable skills.</w:t>
      </w:r>
      <w:r w:rsidRPr="00C4084C">
        <w:t xml:space="preserve"> Australia needs to develop new and more flexible </w:t>
      </w:r>
      <w:r w:rsidR="003B2141" w:rsidRPr="00C4084C">
        <w:t>and efficient</w:t>
      </w:r>
      <w:r w:rsidRPr="00C4084C">
        <w:t xml:space="preserve"> ways for individuals to attain the skills they need across their working life. This will be driven through more modular, </w:t>
      </w:r>
      <w:proofErr w:type="gramStart"/>
      <w:r w:rsidRPr="00C4084C">
        <w:t>stackable</w:t>
      </w:r>
      <w:proofErr w:type="gramEnd"/>
      <w:r w:rsidRPr="00C4084C">
        <w:t xml:space="preserve"> and transferable qualifications that address Australia’s emerging skill needs, including </w:t>
      </w:r>
      <w:proofErr w:type="spellStart"/>
      <w:r w:rsidRPr="00C4084C">
        <w:t>microcredentials</w:t>
      </w:r>
      <w:proofErr w:type="spellEnd"/>
      <w:r w:rsidRPr="00C4084C">
        <w:t xml:space="preserve"> </w:t>
      </w:r>
      <w:r w:rsidR="006B7174" w:rsidRPr="00C4084C">
        <w:t>that are</w:t>
      </w:r>
      <w:r w:rsidR="006B7174" w:rsidRPr="00C4084C" w:rsidDel="00930F52">
        <w:t xml:space="preserve"> </w:t>
      </w:r>
      <w:r w:rsidRPr="00C4084C">
        <w:t>funded, accredited and recognised by the Australian Government.</w:t>
      </w:r>
    </w:p>
    <w:p w14:paraId="64891045" w14:textId="10D1A1BC" w:rsidR="00FD087D" w:rsidRPr="00C4084C" w:rsidRDefault="00FD087D" w:rsidP="008C67CA">
      <w:r w:rsidRPr="00C4084C">
        <w:rPr>
          <w:b/>
          <w:bCs/>
        </w:rPr>
        <w:t>Fee-free</w:t>
      </w:r>
      <w:r w:rsidRPr="00C4084C">
        <w:rPr>
          <w:b/>
        </w:rPr>
        <w:t xml:space="preserve"> </w:t>
      </w:r>
      <w:r w:rsidR="00EE72DA" w:rsidRPr="00C4084C">
        <w:rPr>
          <w:b/>
        </w:rPr>
        <w:t>preparatory</w:t>
      </w:r>
      <w:r w:rsidRPr="00C4084C">
        <w:rPr>
          <w:b/>
          <w:bCs/>
        </w:rPr>
        <w:t xml:space="preserve"> courses. </w:t>
      </w:r>
      <w:r w:rsidRPr="00C4084C">
        <w:t xml:space="preserve">One of the most important ways of increasing enrolments, particularly from </w:t>
      </w:r>
      <w:r w:rsidR="00D7545F" w:rsidRPr="00C4084C">
        <w:t>under-represented</w:t>
      </w:r>
      <w:r w:rsidRPr="00C4084C">
        <w:t xml:space="preserve"> groups, is through </w:t>
      </w:r>
      <w:r w:rsidR="001F2966">
        <w:t>enabling</w:t>
      </w:r>
      <w:r w:rsidR="00ED3B76" w:rsidRPr="00C4084C">
        <w:t xml:space="preserve"> </w:t>
      </w:r>
      <w:r w:rsidRPr="00C4084C">
        <w:t>courses</w:t>
      </w:r>
      <w:r w:rsidR="00ED3B76">
        <w:t xml:space="preserve"> (</w:t>
      </w:r>
      <w:r w:rsidR="001F2966">
        <w:t xml:space="preserve">generally </w:t>
      </w:r>
      <w:r w:rsidR="00ED3B76">
        <w:t xml:space="preserve">referred to as </w:t>
      </w:r>
      <w:r w:rsidR="001F2966">
        <w:t>‘preparatory</w:t>
      </w:r>
      <w:r w:rsidR="00ED3B76">
        <w:t xml:space="preserve"> courses</w:t>
      </w:r>
      <w:r w:rsidR="001F2966">
        <w:t xml:space="preserve">’ in this </w:t>
      </w:r>
      <w:r w:rsidR="00311496">
        <w:t>R</w:t>
      </w:r>
      <w:r w:rsidR="001F2966">
        <w:t>eport to emphasise how vital they are to the higher education journey for many students</w:t>
      </w:r>
      <w:r w:rsidR="00ED3B76">
        <w:t>)</w:t>
      </w:r>
      <w:r w:rsidRPr="00C4084C">
        <w:t xml:space="preserve">. Currently 25,000 </w:t>
      </w:r>
      <w:r w:rsidR="00636CE4">
        <w:t>students</w:t>
      </w:r>
      <w:r w:rsidRPr="00C4084C">
        <w:t xml:space="preserve"> undertake </w:t>
      </w:r>
      <w:r w:rsidR="00ED3B76">
        <w:t>preparatory</w:t>
      </w:r>
      <w:r w:rsidR="00ED3B76" w:rsidRPr="00C4084C">
        <w:t xml:space="preserve"> </w:t>
      </w:r>
      <w:r w:rsidRPr="00C4084C">
        <w:t>courses each year.</w:t>
      </w:r>
      <w:r w:rsidR="00F575B7" w:rsidRPr="00C4084C">
        <w:rPr>
          <w:rStyle w:val="FootnoteReference"/>
        </w:rPr>
        <w:footnoteReference w:id="3"/>
      </w:r>
      <w:r w:rsidRPr="00C4084C">
        <w:t xml:space="preserve"> These courses prepare those with interrupted educational journeys to qualify for higher education entry </w:t>
      </w:r>
      <w:r w:rsidRPr="00C4084C">
        <w:lastRenderedPageBreak/>
        <w:t xml:space="preserve">without having to return to school. The Review calls for an increase in </w:t>
      </w:r>
      <w:r w:rsidR="706F212C" w:rsidRPr="00C4084C">
        <w:t>quality</w:t>
      </w:r>
      <w:r w:rsidRPr="00C4084C">
        <w:t xml:space="preserve"> </w:t>
      </w:r>
      <w:r w:rsidR="00ED3B76">
        <w:t>preparatory</w:t>
      </w:r>
      <w:r w:rsidR="00ED3B76" w:rsidRPr="00C4084C">
        <w:t xml:space="preserve"> </w:t>
      </w:r>
      <w:r w:rsidRPr="00C4084C">
        <w:t>courses that are fee-free and funded at a level that reflects the full cost of delivery.</w:t>
      </w:r>
    </w:p>
    <w:p w14:paraId="78AD21F6" w14:textId="2C726DC1" w:rsidR="00FD087D" w:rsidRPr="00C4084C" w:rsidRDefault="00FD087D" w:rsidP="008C67CA">
      <w:r w:rsidRPr="00C4084C">
        <w:rPr>
          <w:b/>
          <w:bCs/>
        </w:rPr>
        <w:t xml:space="preserve">Encouraging aspiration. </w:t>
      </w:r>
      <w:r w:rsidRPr="00C4084C">
        <w:t xml:space="preserve">Decisions about attending tertiary education are often formed early in life, affected by numerous factors, including </w:t>
      </w:r>
      <w:r w:rsidR="00127B31" w:rsidRPr="00C4084C">
        <w:t xml:space="preserve">students’ </w:t>
      </w:r>
      <w:r w:rsidR="5F96D112" w:rsidRPr="00C4084C">
        <w:t xml:space="preserve">background and where </w:t>
      </w:r>
      <w:r w:rsidR="00127B31" w:rsidRPr="00C4084C">
        <w:t xml:space="preserve">they </w:t>
      </w:r>
      <w:r w:rsidR="5F96D112" w:rsidRPr="00C4084C">
        <w:t>live</w:t>
      </w:r>
      <w:r w:rsidRPr="00C4084C">
        <w:t>.</w:t>
      </w:r>
      <w:r w:rsidRPr="00C4084C">
        <w:rPr>
          <w:b/>
          <w:bCs/>
        </w:rPr>
        <w:t xml:space="preserve"> </w:t>
      </w:r>
      <w:r w:rsidRPr="00C4084C">
        <w:t xml:space="preserve">Surveys show that students from the highest SES quartile </w:t>
      </w:r>
      <w:r w:rsidR="5C425CD6" w:rsidRPr="00C4084C">
        <w:t>a</w:t>
      </w:r>
      <w:r w:rsidRPr="00C4084C">
        <w:t>re around twice as likely as those from the lowest quartile to plan to attend university immediately after leaving school.</w:t>
      </w:r>
      <w:r w:rsidR="00FE2D2D" w:rsidRPr="00C4084C">
        <w:rPr>
          <w:rStyle w:val="FootnoteReference"/>
        </w:rPr>
        <w:footnoteReference w:id="4"/>
      </w:r>
      <w:r w:rsidRPr="00C4084C">
        <w:t xml:space="preserve"> Increasing equity in tertiary education requires raising aspiration levels among currently </w:t>
      </w:r>
      <w:r w:rsidR="00D7545F" w:rsidRPr="00C4084C">
        <w:t>under-represented</w:t>
      </w:r>
      <w:r w:rsidRPr="00C4084C">
        <w:t xml:space="preserve"> groups through outreach programs to develop familiarity with higher education. The Review is also recommending a nationally consistent framework for careers advice throughout life, better career pathways advice in secondary schools and </w:t>
      </w:r>
      <w:r w:rsidR="1C2F7484" w:rsidRPr="00C4084C">
        <w:t>high</w:t>
      </w:r>
      <w:r w:rsidR="00E05A55" w:rsidRPr="00C4084C">
        <w:t>-</w:t>
      </w:r>
      <w:r w:rsidR="1C2F7484" w:rsidRPr="00C4084C">
        <w:t>quality, high</w:t>
      </w:r>
      <w:r w:rsidR="00E05A55" w:rsidRPr="00C4084C">
        <w:t>-</w:t>
      </w:r>
      <w:r w:rsidR="1C2F7484" w:rsidRPr="00C4084C">
        <w:t>impact communications campaign</w:t>
      </w:r>
      <w:r w:rsidR="00B0252F" w:rsidRPr="00C4084C">
        <w:t>s</w:t>
      </w:r>
      <w:r w:rsidRPr="00C4084C">
        <w:t xml:space="preserve"> about the benefits of tertiary</w:t>
      </w:r>
      <w:r w:rsidR="00396255" w:rsidRPr="00C4084C">
        <w:t> </w:t>
      </w:r>
      <w:r w:rsidRPr="00C4084C">
        <w:t>education.</w:t>
      </w:r>
    </w:p>
    <w:p w14:paraId="24FCD314" w14:textId="77777777" w:rsidR="00FD087D" w:rsidRPr="00C4084C" w:rsidRDefault="00FD087D" w:rsidP="00E4228B">
      <w:pPr>
        <w:pStyle w:val="Non-numberedHeading3"/>
      </w:pPr>
      <w:bookmarkStart w:id="9" w:name="_Toc1876668795"/>
      <w:bookmarkStart w:id="10" w:name="_Toc153482992"/>
      <w:r w:rsidRPr="00C4084C">
        <w:t>Putting students at the centre</w:t>
      </w:r>
      <w:bookmarkEnd w:id="9"/>
      <w:bookmarkEnd w:id="10"/>
    </w:p>
    <w:p w14:paraId="123A71B9" w14:textId="5620F2BF" w:rsidR="00FD087D" w:rsidRPr="00C4084C" w:rsidRDefault="007837EA" w:rsidP="008C67CA">
      <w:r w:rsidRPr="00C4084C">
        <w:t>Students</w:t>
      </w:r>
      <w:r w:rsidR="00FD087D" w:rsidRPr="00C4084C">
        <w:t xml:space="preserve"> are </w:t>
      </w:r>
      <w:r w:rsidR="00737F45" w:rsidRPr="00C4084C">
        <w:t xml:space="preserve">Australia’s </w:t>
      </w:r>
      <w:r w:rsidR="00FD087D" w:rsidRPr="00C4084C">
        <w:t xml:space="preserve">hope. </w:t>
      </w:r>
      <w:r w:rsidR="00F11BB9" w:rsidRPr="00C4084C">
        <w:t>We want them</w:t>
      </w:r>
      <w:r w:rsidR="00FD087D" w:rsidRPr="00C4084C">
        <w:t xml:space="preserve"> to study hard, gain skills and do the research that will set our nation up for the future. </w:t>
      </w:r>
      <w:r w:rsidR="001D561B" w:rsidRPr="00C4084C">
        <w:t xml:space="preserve">Tertiary education </w:t>
      </w:r>
      <w:r w:rsidR="00F11BB9" w:rsidRPr="00C4084C">
        <w:t xml:space="preserve">is also </w:t>
      </w:r>
      <w:r w:rsidR="001D561B" w:rsidRPr="00C4084C">
        <w:t xml:space="preserve">a valuable investment for individuals to make </w:t>
      </w:r>
      <w:r w:rsidR="00F11BB9" w:rsidRPr="00C4084C">
        <w:t>on a personal level</w:t>
      </w:r>
      <w:r w:rsidR="00AC395F" w:rsidRPr="00C4084C">
        <w:t>. However</w:t>
      </w:r>
      <w:r w:rsidR="002F5937" w:rsidRPr="00C4084C">
        <w:t>,</w:t>
      </w:r>
      <w:r w:rsidR="001D561B" w:rsidRPr="00C4084C">
        <w:t xml:space="preserve"> </w:t>
      </w:r>
      <w:r w:rsidR="00FD087D" w:rsidRPr="00C4084C">
        <w:t xml:space="preserve">there is a growing sense that it </w:t>
      </w:r>
      <w:r w:rsidR="00737F45" w:rsidRPr="00C4084C">
        <w:t xml:space="preserve">is </w:t>
      </w:r>
      <w:r w:rsidR="00085F53" w:rsidRPr="00C4084C">
        <w:t>becoming more expensive and</w:t>
      </w:r>
      <w:r w:rsidR="00737F45" w:rsidRPr="00C4084C">
        <w:t xml:space="preserve"> </w:t>
      </w:r>
      <w:r w:rsidR="00FD087D" w:rsidRPr="00C4084C">
        <w:t>increasingly difficult for</w:t>
      </w:r>
      <w:r w:rsidR="00B0252F" w:rsidRPr="00C4084C">
        <w:t xml:space="preserve"> </w:t>
      </w:r>
      <w:r w:rsidR="00AF2CEE" w:rsidRPr="00C4084C">
        <w:t>students</w:t>
      </w:r>
      <w:r w:rsidR="001D561B" w:rsidRPr="00C4084C">
        <w:t xml:space="preserve"> to participate </w:t>
      </w:r>
      <w:r w:rsidR="00F11BB9" w:rsidRPr="00C4084C">
        <w:t xml:space="preserve">in </w:t>
      </w:r>
      <w:r w:rsidR="001D561B" w:rsidRPr="00C4084C">
        <w:t>and complete</w:t>
      </w:r>
      <w:r w:rsidR="00F11BB9" w:rsidRPr="00C4084C">
        <w:t xml:space="preserve"> tertiary education</w:t>
      </w:r>
      <w:r w:rsidR="00B0252F" w:rsidRPr="00C4084C">
        <w:t xml:space="preserve"> </w:t>
      </w:r>
      <w:r w:rsidR="00085F53" w:rsidRPr="00C4084C">
        <w:t xml:space="preserve">without </w:t>
      </w:r>
      <w:r w:rsidR="00FD087D" w:rsidRPr="00C4084C">
        <w:t>financial hardship, even poverty</w:t>
      </w:r>
      <w:r w:rsidR="001D561B" w:rsidRPr="00C4084C">
        <w:t>.</w:t>
      </w:r>
      <w:r w:rsidR="003916E6" w:rsidRPr="00C4084C">
        <w:t xml:space="preserve"> </w:t>
      </w:r>
      <w:r w:rsidR="00FD087D" w:rsidRPr="00C4084C">
        <w:t xml:space="preserve"> </w:t>
      </w:r>
    </w:p>
    <w:p w14:paraId="549872AC" w14:textId="4B2ADC36" w:rsidR="00094348" w:rsidRPr="00C4084C" w:rsidRDefault="00FD087D" w:rsidP="008C67CA">
      <w:r w:rsidRPr="00C4084C">
        <w:t xml:space="preserve">The Review believes it is time to listen to what students are saying and to respond genuinely to their pleas for change. This is extremely important, as the views of students influence </w:t>
      </w:r>
      <w:proofErr w:type="gramStart"/>
      <w:r w:rsidRPr="00C4084C">
        <w:t>general public</w:t>
      </w:r>
      <w:proofErr w:type="gramEnd"/>
      <w:r w:rsidRPr="00C4084C">
        <w:t xml:space="preserve"> sentiment towards tertiary education, particularly universities</w:t>
      </w:r>
      <w:r w:rsidR="00C97F5E" w:rsidRPr="00C4084C">
        <w:t xml:space="preserve">, and there is evidence that positive sentiment towards universities has declined. The proportion of Australians who thought universities were </w:t>
      </w:r>
      <w:r w:rsidR="00D63906" w:rsidRPr="00C4084C">
        <w:t>‘</w:t>
      </w:r>
      <w:r w:rsidR="00C97F5E" w:rsidRPr="00C4084C">
        <w:t>doing a good job</w:t>
      </w:r>
      <w:r w:rsidR="00D63906" w:rsidRPr="00C4084C">
        <w:t>’</w:t>
      </w:r>
      <w:r w:rsidR="00C97F5E" w:rsidRPr="00C4084C">
        <w:t xml:space="preserve"> fell from 78.9% in 2008 to 70.6% in 2023.</w:t>
      </w:r>
      <w:r w:rsidR="00C97F5E" w:rsidRPr="00C4084C">
        <w:rPr>
          <w:rStyle w:val="FootnoteReference"/>
        </w:rPr>
        <w:footnoteReference w:id="5"/>
      </w:r>
      <w:r w:rsidRPr="00C4084C">
        <w:t xml:space="preserve"> This must be turned around if </w:t>
      </w:r>
      <w:r w:rsidR="00B978DA" w:rsidRPr="00C4084C">
        <w:t>Australia is to</w:t>
      </w:r>
      <w:r w:rsidRPr="00C4084C">
        <w:t xml:space="preserve"> meet </w:t>
      </w:r>
      <w:r w:rsidR="00B978DA" w:rsidRPr="00C4084C">
        <w:t xml:space="preserve">its skills </w:t>
      </w:r>
      <w:r w:rsidRPr="00C4084C">
        <w:t>need</w:t>
      </w:r>
      <w:r w:rsidR="00C63330" w:rsidRPr="00C4084C">
        <w:t>s</w:t>
      </w:r>
      <w:r w:rsidRPr="00C4084C">
        <w:t xml:space="preserve"> for the future. </w:t>
      </w:r>
    </w:p>
    <w:p w14:paraId="3CACA611" w14:textId="335A58B2" w:rsidR="00FD087D" w:rsidRPr="00C4084C" w:rsidRDefault="00FD087D" w:rsidP="008C67CA">
      <w:r w:rsidRPr="00C4084C">
        <w:t xml:space="preserve">After hearing from students, the Review is recommending </w:t>
      </w:r>
      <w:proofErr w:type="gramStart"/>
      <w:r w:rsidRPr="00C4084C">
        <w:t>a number of</w:t>
      </w:r>
      <w:proofErr w:type="gramEnd"/>
      <w:r w:rsidRPr="00C4084C">
        <w:t xml:space="preserve"> changes that address their major</w:t>
      </w:r>
      <w:r w:rsidR="001D7077" w:rsidRPr="00C4084C">
        <w:t> </w:t>
      </w:r>
      <w:r w:rsidRPr="00C4084C">
        <w:t>concerns.</w:t>
      </w:r>
      <w:r w:rsidR="00094348" w:rsidRPr="00C4084C">
        <w:t xml:space="preserve"> These changes will improve student experience, but also unlock the growth necessary to meet future skills requirements and improve the impact of investment in higher education.</w:t>
      </w:r>
    </w:p>
    <w:p w14:paraId="3FE33975" w14:textId="3C7CE922" w:rsidR="00B26E7F" w:rsidRPr="00C4084C" w:rsidRDefault="00FD087D" w:rsidP="008C67CA">
      <w:r w:rsidRPr="00C4084C">
        <w:rPr>
          <w:b/>
          <w:bCs/>
        </w:rPr>
        <w:t xml:space="preserve">Replacing the Job-ready Graduates (JRG) package. </w:t>
      </w:r>
      <w:r w:rsidRPr="00C4084C">
        <w:t xml:space="preserve">The JRG package needs to be replaced. Its purpose of providing price signals to influence student subject choices has failed. Only 1.5% of students applied to enrol in courses they would not have applied for under the </w:t>
      </w:r>
      <w:r w:rsidR="00B26E7F" w:rsidRPr="00C4084C">
        <w:t>pre JRG student contribution arrangements.</w:t>
      </w:r>
      <w:r w:rsidR="00B26E7F" w:rsidRPr="00C4084C">
        <w:rPr>
          <w:rStyle w:val="FootnoteReference"/>
        </w:rPr>
        <w:footnoteReference w:id="6"/>
      </w:r>
      <w:r w:rsidR="00B26E7F" w:rsidRPr="00C4084C">
        <w:t xml:space="preserve"> It has left some students </w:t>
      </w:r>
      <w:r w:rsidR="000774D0" w:rsidRPr="00C4084C">
        <w:t>facing</w:t>
      </w:r>
      <w:r w:rsidR="00B26E7F" w:rsidRPr="00C4084C">
        <w:t xml:space="preserve"> extremely high student contributions and large </w:t>
      </w:r>
      <w:r w:rsidR="00311D1A" w:rsidRPr="00C4084C">
        <w:t>HELP debts</w:t>
      </w:r>
      <w:r w:rsidR="00B26E7F" w:rsidRPr="00C4084C">
        <w:t xml:space="preserve"> that do not reflect their future earning </w:t>
      </w:r>
      <w:proofErr w:type="gramStart"/>
      <w:r w:rsidR="00B26E7F" w:rsidRPr="00C4084C">
        <w:t>potential</w:t>
      </w:r>
      <w:r w:rsidR="00F11BB9" w:rsidRPr="00C4084C">
        <w:t>,</w:t>
      </w:r>
      <w:r w:rsidR="00B26E7F" w:rsidRPr="00C4084C">
        <w:t xml:space="preserve"> and</w:t>
      </w:r>
      <w:proofErr w:type="gramEnd"/>
      <w:r w:rsidR="00B26E7F" w:rsidRPr="00C4084C">
        <w:t xml:space="preserve"> tilted the overall cost burden of higher education further on</w:t>
      </w:r>
      <w:r w:rsidR="00855695">
        <w:t xml:space="preserve"> </w:t>
      </w:r>
      <w:r w:rsidR="00B26E7F" w:rsidRPr="00C4084C">
        <w:t xml:space="preserve">to students and away from the Australian Government. </w:t>
      </w:r>
    </w:p>
    <w:p w14:paraId="2BE03AE5" w14:textId="5D4E48BD" w:rsidR="00FD087D" w:rsidRPr="00C4084C" w:rsidRDefault="00FD087D" w:rsidP="008C67CA">
      <w:r w:rsidRPr="00C4084C">
        <w:lastRenderedPageBreak/>
        <w:t xml:space="preserve">Particularly significant was the 113% rise in student contributions for students studying communications, humanities, other society and culture, and human movement. By cutting student </w:t>
      </w:r>
      <w:r w:rsidR="00F526E6" w:rsidRPr="00C4084C">
        <w:t xml:space="preserve">and Commonwealth </w:t>
      </w:r>
      <w:r w:rsidRPr="00C4084C">
        <w:t>contributions</w:t>
      </w:r>
      <w:r w:rsidR="007B0548" w:rsidRPr="00C4084C">
        <w:t xml:space="preserve"> in other </w:t>
      </w:r>
      <w:r w:rsidR="00626536" w:rsidRPr="00C4084C">
        <w:t>disciplines</w:t>
      </w:r>
      <w:r w:rsidRPr="00C4084C">
        <w:t xml:space="preserve">, the JRG </w:t>
      </w:r>
      <w:r w:rsidR="08885FD4" w:rsidRPr="00C4084C">
        <w:t>package</w:t>
      </w:r>
      <w:r w:rsidRPr="00C4084C">
        <w:t xml:space="preserve"> also reduced the amount of funding available to higher education providers to deliver subjects </w:t>
      </w:r>
      <w:r w:rsidR="00E12976" w:rsidRPr="00C4084C">
        <w:t>that are critical to future jobs and innovation</w:t>
      </w:r>
      <w:r w:rsidRPr="00C4084C">
        <w:t xml:space="preserve"> like science, </w:t>
      </w:r>
      <w:proofErr w:type="gramStart"/>
      <w:r w:rsidRPr="00C4084C">
        <w:t>engineering</w:t>
      </w:r>
      <w:proofErr w:type="gramEnd"/>
      <w:r w:rsidRPr="00C4084C">
        <w:t xml:space="preserve"> and </w:t>
      </w:r>
      <w:r w:rsidR="0009569F" w:rsidRPr="00C4084C">
        <w:t>mathematics</w:t>
      </w:r>
      <w:r w:rsidRPr="00C4084C">
        <w:t>. The Review recommends that the Australian Government reduce student contributions for those affected by JRG and moves towards a student contribution system based on potential lifetime earnings.</w:t>
      </w:r>
    </w:p>
    <w:p w14:paraId="1AE94E9A" w14:textId="5C1EB764" w:rsidR="002F1FF7" w:rsidRPr="00C4084C" w:rsidRDefault="002F1FF7" w:rsidP="008C67CA">
      <w:r w:rsidRPr="00C4084C">
        <w:rPr>
          <w:b/>
          <w:bCs/>
        </w:rPr>
        <w:t>Modernising HELP.</w:t>
      </w:r>
      <w:r w:rsidRPr="00C4084C">
        <w:t xml:space="preserve"> If</w:t>
      </w:r>
      <w:r w:rsidRPr="00C4084C" w:rsidDel="00790B54">
        <w:t xml:space="preserve"> </w:t>
      </w:r>
      <w:r w:rsidR="00790B54" w:rsidRPr="00C4084C">
        <w:t>the nation’s</w:t>
      </w:r>
      <w:r w:rsidRPr="00C4084C">
        <w:t xml:space="preserve"> goal is to expand tertiary education, the H</w:t>
      </w:r>
      <w:r w:rsidR="00D95CD9" w:rsidRPr="00C4084C">
        <w:t xml:space="preserve">igher </w:t>
      </w:r>
      <w:r w:rsidRPr="00C4084C">
        <w:t>E</w:t>
      </w:r>
      <w:r w:rsidR="00D95CD9" w:rsidRPr="00C4084C">
        <w:t xml:space="preserve">ducation </w:t>
      </w:r>
      <w:r w:rsidRPr="00C4084C">
        <w:t>L</w:t>
      </w:r>
      <w:r w:rsidR="00D95CD9" w:rsidRPr="00C4084C">
        <w:t xml:space="preserve">oan </w:t>
      </w:r>
      <w:r w:rsidRPr="00C4084C">
        <w:t>P</w:t>
      </w:r>
      <w:r w:rsidR="00D95CD9" w:rsidRPr="00C4084C">
        <w:t>rogram</w:t>
      </w:r>
      <w:r w:rsidR="003039F1" w:rsidRPr="00C4084C">
        <w:t xml:space="preserve"> (</w:t>
      </w:r>
      <w:r w:rsidRPr="00C4084C">
        <w:t>HELP</w:t>
      </w:r>
      <w:r w:rsidR="003039F1" w:rsidRPr="00C4084C">
        <w:t>)</w:t>
      </w:r>
      <w:r w:rsidRPr="00C4084C">
        <w:t xml:space="preserve"> system </w:t>
      </w:r>
      <w:r w:rsidR="00790B54" w:rsidRPr="00C4084C">
        <w:t>must</w:t>
      </w:r>
      <w:r w:rsidRPr="00C4084C">
        <w:t xml:space="preserve"> continue to operate well and respond to changing circumstances. The core principles of </w:t>
      </w:r>
      <w:r w:rsidR="6ACA30C4" w:rsidRPr="00C4084C">
        <w:t>HELP remain sound – ask</w:t>
      </w:r>
      <w:r w:rsidR="77F1CC2B" w:rsidRPr="00C4084C">
        <w:t>ing</w:t>
      </w:r>
      <w:r w:rsidR="6ACA30C4" w:rsidRPr="00C4084C">
        <w:t xml:space="preserve"> </w:t>
      </w:r>
      <w:r w:rsidR="2C44321F" w:rsidRPr="00C4084C">
        <w:t xml:space="preserve">students </w:t>
      </w:r>
      <w:r w:rsidR="6ACA30C4" w:rsidRPr="00C4084C">
        <w:t>to contribute to the costs of their education later in life</w:t>
      </w:r>
      <w:r w:rsidR="0FA81361" w:rsidRPr="00C4084C">
        <w:t xml:space="preserve"> through an income </w:t>
      </w:r>
      <w:r w:rsidR="203722CB" w:rsidRPr="00C4084C">
        <w:t>contingent</w:t>
      </w:r>
      <w:r w:rsidR="0FA81361" w:rsidRPr="00C4084C">
        <w:t xml:space="preserve"> loan</w:t>
      </w:r>
      <w:r w:rsidRPr="00C4084C">
        <w:t xml:space="preserve">. HELP has served Australia well by </w:t>
      </w:r>
      <w:r w:rsidR="002C5536" w:rsidRPr="00C4084C">
        <w:t xml:space="preserve">sustainably </w:t>
      </w:r>
      <w:r w:rsidRPr="00C4084C">
        <w:t xml:space="preserve">expanding </w:t>
      </w:r>
      <w:r w:rsidR="002C5536" w:rsidRPr="00C4084C">
        <w:t>university</w:t>
      </w:r>
      <w:r w:rsidRPr="00C4084C">
        <w:t xml:space="preserve"> access to many more students</w:t>
      </w:r>
      <w:r w:rsidR="003B3199" w:rsidRPr="00C4084C">
        <w:t>.</w:t>
      </w:r>
    </w:p>
    <w:p w14:paraId="46455E5B" w14:textId="2C1BAA55" w:rsidR="002F1FF7" w:rsidRPr="00C4084C" w:rsidRDefault="002F1FF7" w:rsidP="008C67CA">
      <w:r>
        <w:t>However, some features of HELP are now outdated</w:t>
      </w:r>
      <w:r w:rsidR="3F57C831">
        <w:t xml:space="preserve">. </w:t>
      </w:r>
      <w:r w:rsidR="7CAD7E47">
        <w:t>H</w:t>
      </w:r>
      <w:r>
        <w:t>igher student contribution</w:t>
      </w:r>
      <w:r w:rsidR="00BE4903">
        <w:t xml:space="preserve"> amounts</w:t>
      </w:r>
      <w:r>
        <w:t xml:space="preserve">, particularly those imposed through the JRG package, have significantly </w:t>
      </w:r>
      <w:r w:rsidR="007D6E90">
        <w:t>and unfairly</w:t>
      </w:r>
      <w:r>
        <w:t xml:space="preserve"> </w:t>
      </w:r>
      <w:r w:rsidR="007D6E90">
        <w:t>increased what students pay</w:t>
      </w:r>
      <w:r>
        <w:t xml:space="preserve">. While </w:t>
      </w:r>
      <w:r w:rsidR="39913FF3">
        <w:t>the HELP system</w:t>
      </w:r>
      <w:r w:rsidR="0084232E">
        <w:t xml:space="preserve"> protects students </w:t>
      </w:r>
      <w:r w:rsidR="00EA11CC">
        <w:t xml:space="preserve">by </w:t>
      </w:r>
      <w:r w:rsidR="0084232E">
        <w:t>ensur</w:t>
      </w:r>
      <w:r w:rsidR="00EA11CC">
        <w:t>ing</w:t>
      </w:r>
      <w:r w:rsidR="0084232E">
        <w:t xml:space="preserve"> </w:t>
      </w:r>
      <w:r>
        <w:t>th</w:t>
      </w:r>
      <w:r w:rsidR="004E2EDF">
        <w:t>at</w:t>
      </w:r>
      <w:r>
        <w:t xml:space="preserve"> the </w:t>
      </w:r>
      <w:r w:rsidR="5AC2FF7C">
        <w:t>day-to-day</w:t>
      </w:r>
      <w:r>
        <w:t xml:space="preserve"> financial impacts </w:t>
      </w:r>
      <w:r w:rsidR="00914489">
        <w:t xml:space="preserve">scale with </w:t>
      </w:r>
      <w:r w:rsidR="005C25AC">
        <w:t>their</w:t>
      </w:r>
      <w:r w:rsidR="00914489">
        <w:t xml:space="preserve"> income</w:t>
      </w:r>
      <w:r w:rsidR="00E25A1D">
        <w:t>,</w:t>
      </w:r>
      <w:r>
        <w:t xml:space="preserve"> cost of living pressures and higher than usual inflation rates</w:t>
      </w:r>
      <w:r w:rsidR="009126D9">
        <w:t xml:space="preserve"> have increased concerns about</w:t>
      </w:r>
      <w:r w:rsidR="006A279B">
        <w:t xml:space="preserve"> the</w:t>
      </w:r>
      <w:r w:rsidR="009126D9">
        <w:t xml:space="preserve"> HELP s</w:t>
      </w:r>
      <w:r w:rsidR="006A279B">
        <w:t>ystem</w:t>
      </w:r>
      <w:r>
        <w:t xml:space="preserve">. </w:t>
      </w:r>
      <w:r w:rsidR="4067AE6E">
        <w:t>Higher levels of HELP indebtedness, and the public debate about these developments, risk deterring some people from seeking higher education at exactly the time we need growth in participation.</w:t>
      </w:r>
      <w:r>
        <w:t xml:space="preserve"> The Review therefore believes the HELP system needs to be modernised to make it fairer and simpler. Detailed changes have been recommended to reduce the financial burden of repayment on low-income earners, particularly women and </w:t>
      </w:r>
      <w:r w:rsidR="00B13D21">
        <w:t xml:space="preserve">those just starting out in their careers, </w:t>
      </w:r>
      <w:r>
        <w:t xml:space="preserve">limit disincentives to do additional work, change the timing of indexation to deduct compulsory repayments first, and ensure that HELP liabilities do not grow faster than wages. </w:t>
      </w:r>
    </w:p>
    <w:p w14:paraId="644D7DBF" w14:textId="7B065201" w:rsidR="00DA193C" w:rsidRPr="00C4084C" w:rsidRDefault="00FD087D" w:rsidP="008C67CA">
      <w:r w:rsidRPr="00C4084C">
        <w:rPr>
          <w:b/>
          <w:bCs/>
        </w:rPr>
        <w:t>Improved income support.</w:t>
      </w:r>
      <w:r w:rsidRPr="00C4084C">
        <w:rPr>
          <w:b/>
        </w:rPr>
        <w:t xml:space="preserve"> </w:t>
      </w:r>
      <w:r w:rsidR="00206FD9" w:rsidRPr="00C4084C">
        <w:t xml:space="preserve">Income support payments for students </w:t>
      </w:r>
      <w:r w:rsidRPr="00C4084C">
        <w:t>ha</w:t>
      </w:r>
      <w:r w:rsidR="006A279B" w:rsidRPr="00C4084C">
        <w:t>ve</w:t>
      </w:r>
      <w:r w:rsidR="00DA193C" w:rsidRPr="00C4084C">
        <w:t xml:space="preserve"> </w:t>
      </w:r>
      <w:r w:rsidRPr="00C4084C">
        <w:t xml:space="preserve">not kept pace with wages or the needs of students </w:t>
      </w:r>
      <w:r w:rsidR="00206FD9" w:rsidRPr="00C4084C">
        <w:t xml:space="preserve">– resulting in a smaller proportion of students now receiving income support – </w:t>
      </w:r>
      <w:r w:rsidRPr="00C4084C">
        <w:t xml:space="preserve">and need to be adjusted to prevent cost-of-living pressures deterring people from studying. Evidence suggests that First Nations students, students from low SES backgrounds and regional, </w:t>
      </w:r>
      <w:proofErr w:type="gramStart"/>
      <w:r w:rsidRPr="00C4084C">
        <w:t>rural</w:t>
      </w:r>
      <w:proofErr w:type="gramEnd"/>
      <w:r w:rsidRPr="00C4084C">
        <w:t xml:space="preserve"> and remote students are more likely to report financial barriers to studying.</w:t>
      </w:r>
      <w:r w:rsidR="00847FB5" w:rsidRPr="00C4084C">
        <w:rPr>
          <w:rStyle w:val="FootnoteReference"/>
        </w:rPr>
        <w:footnoteReference w:id="7"/>
      </w:r>
      <w:r w:rsidRPr="00C4084C">
        <w:t xml:space="preserve"> This is exactly the sort of thing </w:t>
      </w:r>
      <w:r w:rsidR="00923023" w:rsidRPr="00C4084C">
        <w:t xml:space="preserve">Australia </w:t>
      </w:r>
      <w:r w:rsidRPr="00C4084C">
        <w:t xml:space="preserve">must avoid. </w:t>
      </w:r>
    </w:p>
    <w:p w14:paraId="49A2C439" w14:textId="73F48E6C" w:rsidR="00FD087D" w:rsidRPr="00C4084C" w:rsidRDefault="00206FD9" w:rsidP="008C67CA">
      <w:r w:rsidRPr="00C4084C">
        <w:t xml:space="preserve">Recognising that many students need to work to support themselves while studying, and that finding appropriate work can be tough, the Review recommends establishing a Jobs Broker to help students find part-time employment in areas close to their field of study. For those in need of additional support while studying, the </w:t>
      </w:r>
      <w:r w:rsidR="00FD087D" w:rsidRPr="00C4084C">
        <w:t xml:space="preserve">Review </w:t>
      </w:r>
      <w:r w:rsidR="0014573F" w:rsidRPr="00C4084C">
        <w:t xml:space="preserve">is </w:t>
      </w:r>
      <w:r w:rsidRPr="00C4084C">
        <w:t xml:space="preserve">also </w:t>
      </w:r>
      <w:r w:rsidR="00FD087D" w:rsidRPr="00C4084C">
        <w:t>recommend</w:t>
      </w:r>
      <w:r w:rsidR="0014573F" w:rsidRPr="00C4084C">
        <w:t>ing</w:t>
      </w:r>
      <w:r w:rsidR="00FD087D" w:rsidRPr="00C4084C">
        <w:t xml:space="preserve"> that the </w:t>
      </w:r>
      <w:r w:rsidR="007644DC" w:rsidRPr="00C4084C">
        <w:t>G</w:t>
      </w:r>
      <w:r w:rsidR="00FD087D" w:rsidRPr="00C4084C">
        <w:t>overnment increase the Parental Income Free Area for Youth Allowance and index it more appropriately, extend pro</w:t>
      </w:r>
      <w:r w:rsidR="77045593" w:rsidRPr="00C4084C">
        <w:t xml:space="preserve"> </w:t>
      </w:r>
      <w:r w:rsidR="00FD087D" w:rsidRPr="00C4084C">
        <w:t>rata support to students who study part-time, and adjust the criteria for the Tertiary Access Payment</w:t>
      </w:r>
      <w:r w:rsidR="00DA193C" w:rsidRPr="00C4084C">
        <w:t>, an important youth payment for regional students</w:t>
      </w:r>
      <w:r w:rsidR="00FD087D" w:rsidRPr="00C4084C">
        <w:t>, to reflect and better cover relocation costs.</w:t>
      </w:r>
      <w:r w:rsidR="4F24B27A" w:rsidRPr="00C4084C">
        <w:t xml:space="preserve"> Recognising that Australia’s social security system is complex, the Review recommends the Government commission further technical analysis </w:t>
      </w:r>
      <w:r w:rsidR="5ADFB286" w:rsidRPr="00C4084C">
        <w:t xml:space="preserve">to address the problems it has identified. </w:t>
      </w:r>
    </w:p>
    <w:p w14:paraId="54C3959A" w14:textId="3271AE89" w:rsidR="00FD087D" w:rsidRPr="00C4084C" w:rsidRDefault="00FD087D" w:rsidP="008C67CA">
      <w:r w:rsidRPr="00C4084C">
        <w:rPr>
          <w:b/>
          <w:bCs/>
        </w:rPr>
        <w:t>Tackling ‘placement poverty’.</w:t>
      </w:r>
      <w:r w:rsidRPr="00C4084C">
        <w:t xml:space="preserve"> The Review received strong feedback from students about the burdens imposed by unpaid work placements. To </w:t>
      </w:r>
      <w:r w:rsidR="005C25AC" w:rsidRPr="00C4084C">
        <w:t>ensure</w:t>
      </w:r>
      <w:r w:rsidRPr="00C4084C">
        <w:t xml:space="preserve"> ‘placement poverty’ </w:t>
      </w:r>
      <w:r w:rsidR="005C25AC" w:rsidRPr="00C4084C">
        <w:t>does</w:t>
      </w:r>
      <w:r w:rsidR="00373D17" w:rsidRPr="00C4084C">
        <w:t xml:space="preserve"> not</w:t>
      </w:r>
      <w:r w:rsidRPr="00C4084C">
        <w:t xml:space="preserve"> deter tertiary </w:t>
      </w:r>
      <w:r w:rsidRPr="00C4084C">
        <w:lastRenderedPageBreak/>
        <w:t>participation</w:t>
      </w:r>
      <w:r w:rsidR="005C25AC" w:rsidRPr="00C4084C">
        <w:t xml:space="preserve"> and successful completion</w:t>
      </w:r>
      <w:r w:rsidRPr="00C4084C">
        <w:t xml:space="preserve">, the Review recommends that the Australian Government work with higher education providers and employers to introduce payment for unpaid placements, including government </w:t>
      </w:r>
      <w:r w:rsidR="00B26063" w:rsidRPr="00C4084C">
        <w:t xml:space="preserve">financial support </w:t>
      </w:r>
      <w:r w:rsidRPr="00C4084C">
        <w:t>for placements in the areas of nursing</w:t>
      </w:r>
      <w:r w:rsidR="00A22828" w:rsidRPr="00C4084C">
        <w:t>,</w:t>
      </w:r>
      <w:r w:rsidRPr="00C4084C">
        <w:t xml:space="preserve"> </w:t>
      </w:r>
      <w:proofErr w:type="gramStart"/>
      <w:r w:rsidRPr="00C4084C">
        <w:t>care</w:t>
      </w:r>
      <w:proofErr w:type="gramEnd"/>
      <w:r w:rsidRPr="00C4084C">
        <w:t xml:space="preserve"> and teaching.</w:t>
      </w:r>
    </w:p>
    <w:p w14:paraId="6AEE3B91" w14:textId="494729A3" w:rsidR="00FD087D" w:rsidRPr="00C4084C" w:rsidRDefault="00FD087D" w:rsidP="008C67CA">
      <w:r w:rsidRPr="00C4084C">
        <w:rPr>
          <w:b/>
          <w:bCs/>
        </w:rPr>
        <w:t xml:space="preserve">Quality </w:t>
      </w:r>
      <w:r w:rsidR="29B635DF" w:rsidRPr="00C4084C">
        <w:rPr>
          <w:b/>
          <w:bCs/>
        </w:rPr>
        <w:t>learning and</w:t>
      </w:r>
      <w:r w:rsidRPr="00C4084C">
        <w:rPr>
          <w:b/>
          <w:bCs/>
        </w:rPr>
        <w:t xml:space="preserve"> teaching. </w:t>
      </w:r>
      <w:r w:rsidRPr="00C4084C">
        <w:t xml:space="preserve">Institutions and course sizes are increasing and technologies like the virtual classroom and artificial intelligence are becoming even more widespread. As students look to more accessible means of studying, it is vitally important to ensure learning </w:t>
      </w:r>
      <w:r w:rsidR="118B82C8" w:rsidRPr="00C4084C">
        <w:t>and teaching</w:t>
      </w:r>
      <w:r w:rsidRPr="00C4084C">
        <w:t xml:space="preserve"> are not compromised. Students pay considerable fees for their courses and deserve the best we can provide. The Review calls upon the Australian Government and universities to improve the quality of learning and teaching by embracing the full potential of new teaching technologies</w:t>
      </w:r>
      <w:r w:rsidR="00CB4433" w:rsidRPr="00C4084C">
        <w:t>. T</w:t>
      </w:r>
      <w:r w:rsidRPr="00C4084C">
        <w:t>hey should invest in the teaching workforce</w:t>
      </w:r>
      <w:r w:rsidR="00BC57EA" w:rsidRPr="00C4084C">
        <w:t>,</w:t>
      </w:r>
      <w:r w:rsidRPr="00C4084C">
        <w:t xml:space="preserve"> </w:t>
      </w:r>
      <w:r w:rsidR="00971AA9" w:rsidRPr="00C4084C">
        <w:t xml:space="preserve">train university lecturers in how to teach most effectively, </w:t>
      </w:r>
      <w:r w:rsidRPr="00C4084C">
        <w:t xml:space="preserve">employ best practice teaching methodologies and curriculum, and improve the </w:t>
      </w:r>
      <w:r w:rsidR="00427E98" w:rsidRPr="00C4084C">
        <w:t xml:space="preserve">quality, </w:t>
      </w:r>
      <w:r w:rsidRPr="00C4084C">
        <w:t xml:space="preserve">transparency and measurement of </w:t>
      </w:r>
      <w:r w:rsidR="00CB4433" w:rsidRPr="00C4084C">
        <w:t xml:space="preserve">learning </w:t>
      </w:r>
      <w:r w:rsidRPr="00C4084C">
        <w:t xml:space="preserve">and </w:t>
      </w:r>
      <w:r w:rsidR="00CB4433" w:rsidRPr="00C4084C">
        <w:t>teaching</w:t>
      </w:r>
      <w:r w:rsidRPr="00C4084C">
        <w:t>.</w:t>
      </w:r>
    </w:p>
    <w:p w14:paraId="78937F09" w14:textId="37C930BB" w:rsidR="00FD087D" w:rsidRPr="00C4084C" w:rsidRDefault="00FD087D" w:rsidP="008C67CA">
      <w:r w:rsidRPr="00C4084C">
        <w:rPr>
          <w:b/>
          <w:bCs/>
        </w:rPr>
        <w:t xml:space="preserve">Student safety. </w:t>
      </w:r>
      <w:r w:rsidRPr="00C4084C">
        <w:t>The Review heard from students about the serious wellbeing problems they face at present, ranging from sexual harm and sexual violence</w:t>
      </w:r>
      <w:r w:rsidR="004C2AD2" w:rsidRPr="00C4084C">
        <w:t xml:space="preserve"> to lack of </w:t>
      </w:r>
      <w:r w:rsidRPr="00C4084C">
        <w:t xml:space="preserve">mental health support and housing shortages. It is important </w:t>
      </w:r>
      <w:r w:rsidR="004C2AD2" w:rsidRPr="00C4084C">
        <w:t>that</w:t>
      </w:r>
      <w:r w:rsidRPr="00C4084C">
        <w:t xml:space="preserve"> students and staff alike feel safe and healthy when on campus or online. The Review supports the establishment of a national student charter covering student welfare, </w:t>
      </w:r>
      <w:proofErr w:type="gramStart"/>
      <w:r w:rsidRPr="00C4084C">
        <w:t>safety</w:t>
      </w:r>
      <w:proofErr w:type="gramEnd"/>
      <w:r w:rsidRPr="00C4084C">
        <w:t xml:space="preserve"> and wellbeing, along with a National Student Ombudsman to address student complaints.</w:t>
      </w:r>
    </w:p>
    <w:p w14:paraId="0CAF34A4" w14:textId="1F4971E0" w:rsidR="00FD1604" w:rsidRPr="00C4084C" w:rsidRDefault="004B365D" w:rsidP="00FD1604">
      <w:pPr>
        <w:pStyle w:val="Non-numberedHeading3"/>
      </w:pPr>
      <w:bookmarkStart w:id="13" w:name="_Toc153482993"/>
      <w:bookmarkStart w:id="14" w:name="_Toc1572134423"/>
      <w:r w:rsidRPr="00C4084C">
        <w:t xml:space="preserve">A stronger research system </w:t>
      </w:r>
      <w:bookmarkEnd w:id="13"/>
      <w:r w:rsidR="00CF5261">
        <w:t xml:space="preserve">building on quality research in </w:t>
      </w:r>
      <w:proofErr w:type="gramStart"/>
      <w:r w:rsidR="00CF5261">
        <w:t>universities</w:t>
      </w:r>
      <w:proofErr w:type="gramEnd"/>
    </w:p>
    <w:bookmarkEnd w:id="14"/>
    <w:p w14:paraId="6446671A" w14:textId="4A1531C0" w:rsidR="00FD087D" w:rsidRPr="00C4084C" w:rsidRDefault="00FD087D" w:rsidP="008C67CA">
      <w:r w:rsidRPr="00C4084C">
        <w:t xml:space="preserve">University research is uniquely important to Australia. In few other countries does university research comprise such a large proportion of overall national research. It is highly regarded and globally connected. Two-thirds of Australian university research output is assessed by the Australian Research Council (ARC) as being above or well above world standard. Its notable achievements – from solar cells to fully automated mines to COVID-19 virus sequencing – are popularly known, and rightly so. </w:t>
      </w:r>
    </w:p>
    <w:p w14:paraId="238D3F9E" w14:textId="6AD7263A" w:rsidR="00FD087D" w:rsidRPr="00C4084C" w:rsidRDefault="00FD087D" w:rsidP="008C67CA">
      <w:r w:rsidRPr="00C4084C">
        <w:t xml:space="preserve">Despite the high quality of </w:t>
      </w:r>
      <w:r w:rsidR="00866E35" w:rsidRPr="00C4084C">
        <w:t xml:space="preserve">Australia’s </w:t>
      </w:r>
      <w:r w:rsidRPr="00C4084C">
        <w:t xml:space="preserve">university research and development (R&amp;D), </w:t>
      </w:r>
      <w:r w:rsidR="00866E35" w:rsidRPr="00C4084C">
        <w:t xml:space="preserve">the </w:t>
      </w:r>
      <w:r w:rsidRPr="00C4084C">
        <w:t>nation does not currently utilise its full potential as a source of innovation. The Review devoted considerable time to the question of how to increase the amount and quality of university R&amp;D and its uptake by government</w:t>
      </w:r>
      <w:r w:rsidR="00866E35" w:rsidRPr="00C4084C">
        <w:t xml:space="preserve">, </w:t>
      </w:r>
      <w:proofErr w:type="gramStart"/>
      <w:r w:rsidR="00866E35" w:rsidRPr="00C4084C">
        <w:t>business</w:t>
      </w:r>
      <w:proofErr w:type="gramEnd"/>
      <w:r w:rsidRPr="00C4084C">
        <w:t xml:space="preserve"> and industry.</w:t>
      </w:r>
    </w:p>
    <w:p w14:paraId="15921A8D" w14:textId="2E873BFC" w:rsidR="00FD087D" w:rsidRPr="00C4084C" w:rsidRDefault="00FD087D" w:rsidP="008C67CA">
      <w:r w:rsidRPr="00C4084C">
        <w:rPr>
          <w:b/>
          <w:bCs/>
        </w:rPr>
        <w:t xml:space="preserve">A new fund. </w:t>
      </w:r>
      <w:r w:rsidRPr="00C4084C">
        <w:t xml:space="preserve">A new Solving Australia’s Challenges Fund should be established to reward universities that demonstrate effective </w:t>
      </w:r>
      <w:r w:rsidR="003C5FB9" w:rsidRPr="00C4084C">
        <w:t>use of their research expertise</w:t>
      </w:r>
      <w:r w:rsidR="00C63CC4" w:rsidRPr="00C4084C">
        <w:t xml:space="preserve"> and</w:t>
      </w:r>
      <w:r w:rsidR="003C5FB9" w:rsidRPr="00C4084C">
        <w:t xml:space="preserve"> capability </w:t>
      </w:r>
      <w:r w:rsidR="00CC074B" w:rsidRPr="00C4084C">
        <w:t xml:space="preserve">and application of their research findings to </w:t>
      </w:r>
      <w:r w:rsidR="00F71DA6" w:rsidRPr="00C4084C">
        <w:t xml:space="preserve">big </w:t>
      </w:r>
      <w:r w:rsidR="00CC074B" w:rsidRPr="00C4084C">
        <w:t xml:space="preserve">national challenges </w:t>
      </w:r>
      <w:r w:rsidR="003C5FB9" w:rsidRPr="00C4084C">
        <w:t>by governments</w:t>
      </w:r>
      <w:r w:rsidR="00CC074B" w:rsidRPr="00C4084C">
        <w:t xml:space="preserve">, </w:t>
      </w:r>
      <w:proofErr w:type="gramStart"/>
      <w:r w:rsidR="00CC074B" w:rsidRPr="00C4084C">
        <w:t>business</w:t>
      </w:r>
      <w:proofErr w:type="gramEnd"/>
      <w:r w:rsidR="003C5FB9" w:rsidRPr="00C4084C">
        <w:t xml:space="preserve"> and industry</w:t>
      </w:r>
      <w:r w:rsidR="00CC074B" w:rsidRPr="00C4084C">
        <w:t>.</w:t>
      </w:r>
    </w:p>
    <w:p w14:paraId="303C4268" w14:textId="1514F6F6" w:rsidR="00FD087D" w:rsidRPr="00C4084C" w:rsidRDefault="00FD087D" w:rsidP="008C67CA">
      <w:r w:rsidRPr="00C4084C">
        <w:rPr>
          <w:b/>
          <w:bCs/>
        </w:rPr>
        <w:t xml:space="preserve">Targets for more research. </w:t>
      </w:r>
      <w:r w:rsidRPr="00C4084C">
        <w:t>As part of a strategic examination of national research funding, there should be a multi-agency government strategy containing targets to significantly increase national R&amp;D spending as a proportion of Gross Domestic Product. The ARC should also be given increased funding to invest in fundamental research.</w:t>
      </w:r>
    </w:p>
    <w:p w14:paraId="7EBBDABC" w14:textId="5B9B378B" w:rsidR="009513BC" w:rsidRPr="00C4084C" w:rsidRDefault="009513BC" w:rsidP="008C67CA">
      <w:bookmarkStart w:id="15" w:name="_Hlk153269143"/>
      <w:r w:rsidRPr="00C4084C">
        <w:rPr>
          <w:b/>
          <w:bCs/>
        </w:rPr>
        <w:t xml:space="preserve">A pathway to fully funding university research. </w:t>
      </w:r>
      <w:r w:rsidRPr="00C4084C">
        <w:t>Fully funded university research is a crucial objective for Australia’s universities. This is not just to allow more and better research, but to free up funding so that universities can invest in other priorities like learning and teaching</w:t>
      </w:r>
      <w:r w:rsidRPr="00C4084C" w:rsidDel="00FD087D">
        <w:t xml:space="preserve"> and </w:t>
      </w:r>
      <w:r w:rsidRPr="00C4084C">
        <w:t xml:space="preserve">infrastructure, to support growth. Fully funding research will also reduce the currently excessive pressure on </w:t>
      </w:r>
      <w:r w:rsidRPr="00C4084C">
        <w:lastRenderedPageBreak/>
        <w:t xml:space="preserve">universities to secure international student revenue. To achieve this, the Review proposes that, over time, universities charge and government and industry pay </w:t>
      </w:r>
      <w:r w:rsidR="57ECA628" w:rsidRPr="00C4084C">
        <w:t xml:space="preserve">at least </w:t>
      </w:r>
      <w:r w:rsidRPr="00C4084C">
        <w:t xml:space="preserve">the full economic cost for the university research they commission and consulting they purchase. In addition, the Australian Government should </w:t>
      </w:r>
      <w:r w:rsidR="00941AA4" w:rsidRPr="00C4084C">
        <w:t>establish</w:t>
      </w:r>
      <w:r w:rsidRPr="00C4084C">
        <w:t xml:space="preserve"> a higher and fixed base funding level through the Research Support</w:t>
      </w:r>
      <w:r w:rsidR="004C2AD2" w:rsidRPr="00C4084C">
        <w:t xml:space="preserve"> </w:t>
      </w:r>
      <w:r w:rsidRPr="00C4084C">
        <w:t xml:space="preserve">Program for the indirect costs associated with Australian competitive grants. </w:t>
      </w:r>
    </w:p>
    <w:bookmarkEnd w:id="15"/>
    <w:p w14:paraId="4DEB0C54" w14:textId="57EA7F73" w:rsidR="00FD087D" w:rsidRPr="00C4084C" w:rsidRDefault="00FD087D" w:rsidP="008C67CA">
      <w:r w:rsidRPr="00C4084C">
        <w:rPr>
          <w:b/>
          <w:bCs/>
        </w:rPr>
        <w:t>Government leading by example.</w:t>
      </w:r>
      <w:r w:rsidRPr="00C4084C">
        <w:t xml:space="preserve"> All Australian governments should lead by example by increasing their use of </w:t>
      </w:r>
      <w:r w:rsidR="00B85D28" w:rsidRPr="00C4084C">
        <w:t xml:space="preserve">university </w:t>
      </w:r>
      <w:r w:rsidRPr="00C4084C">
        <w:t xml:space="preserve">research and </w:t>
      </w:r>
      <w:r w:rsidR="00040155" w:rsidRPr="00C4084C">
        <w:t xml:space="preserve">by </w:t>
      </w:r>
      <w:r w:rsidR="001802B7" w:rsidRPr="00C4084C">
        <w:t>calling on</w:t>
      </w:r>
      <w:r w:rsidR="00040155" w:rsidRPr="00C4084C">
        <w:t xml:space="preserve"> the </w:t>
      </w:r>
      <w:r w:rsidRPr="00C4084C">
        <w:t xml:space="preserve">capacity of Australia’s universities to address the nation’s pressing economic, social, health and environmental problems. </w:t>
      </w:r>
    </w:p>
    <w:p w14:paraId="5B635366" w14:textId="4533D749" w:rsidR="00FD087D" w:rsidRPr="00C4084C" w:rsidRDefault="00FD087D" w:rsidP="008C67CA">
      <w:r w:rsidRPr="00C4084C">
        <w:rPr>
          <w:b/>
          <w:bCs/>
        </w:rPr>
        <w:t xml:space="preserve">More opportunities and increased reward for </w:t>
      </w:r>
      <w:r w:rsidR="00C63CC4" w:rsidRPr="00C4084C">
        <w:rPr>
          <w:b/>
          <w:bCs/>
        </w:rPr>
        <w:t>early career</w:t>
      </w:r>
      <w:r w:rsidRPr="00C4084C">
        <w:rPr>
          <w:b/>
          <w:bCs/>
        </w:rPr>
        <w:t xml:space="preserve"> researchers. </w:t>
      </w:r>
      <w:r w:rsidRPr="00C4084C">
        <w:t xml:space="preserve">Governments, industry bodies and employers should establish targets to increase the number of doctoral candidates employed in industry undertaking a PhD relevant to their company. The Research Training Program should raise </w:t>
      </w:r>
      <w:r w:rsidR="34B7E9EC" w:rsidRPr="00C4084C">
        <w:t>the</w:t>
      </w:r>
      <w:r w:rsidRPr="00C4084C">
        <w:t xml:space="preserve"> minimum stipend for Higher Degree by Research (HDR) candidates and make its part-time scholarships tax free.</w:t>
      </w:r>
    </w:p>
    <w:p w14:paraId="0C835D87" w14:textId="77777777" w:rsidR="00FD087D" w:rsidRPr="00C4084C" w:rsidRDefault="00FD087D" w:rsidP="00E4228B">
      <w:pPr>
        <w:pStyle w:val="Non-numberedHeading3"/>
      </w:pPr>
      <w:bookmarkStart w:id="16" w:name="_Toc2082823452"/>
      <w:bookmarkStart w:id="17" w:name="_Toc153482994"/>
      <w:r w:rsidRPr="00C4084C">
        <w:t>System-wide changes</w:t>
      </w:r>
      <w:bookmarkEnd w:id="16"/>
      <w:bookmarkEnd w:id="17"/>
    </w:p>
    <w:p w14:paraId="0D630208" w14:textId="026738F9" w:rsidR="00FD087D" w:rsidRPr="00C4084C" w:rsidRDefault="00FD087D" w:rsidP="008C67CA">
      <w:r w:rsidRPr="00C4084C">
        <w:t xml:space="preserve">The changes proposed by the Review are broad and ambitious. Australian tertiary education needs a step change in participation, </w:t>
      </w:r>
      <w:proofErr w:type="gramStart"/>
      <w:r w:rsidRPr="00C4084C">
        <w:t>performance</w:t>
      </w:r>
      <w:proofErr w:type="gramEnd"/>
      <w:r w:rsidRPr="00C4084C">
        <w:t xml:space="preserve"> and investment to </w:t>
      </w:r>
      <w:r w:rsidR="00866E35" w:rsidRPr="00C4084C">
        <w:t xml:space="preserve">generate </w:t>
      </w:r>
      <w:r w:rsidRPr="00C4084C">
        <w:t xml:space="preserve">the knowledge, skills and research </w:t>
      </w:r>
      <w:r w:rsidR="00866E35" w:rsidRPr="00C4084C">
        <w:t>needed</w:t>
      </w:r>
      <w:r w:rsidRPr="00C4084C">
        <w:t xml:space="preserve"> to prosper in the contemporary world. Increasing the numbers of tertiary </w:t>
      </w:r>
      <w:r w:rsidR="0065021A" w:rsidRPr="00C4084C">
        <w:t xml:space="preserve">education </w:t>
      </w:r>
      <w:r w:rsidRPr="00C4084C">
        <w:t>students to the required level while improving the equity and quality of the entire system will be difficult to achieve</w:t>
      </w:r>
      <w:r w:rsidR="00003192" w:rsidRPr="00C4084C">
        <w:t>, and will require new institutions, more diverse operating models and more cross-provision between VET and higher education providers, including opportunities to expand the role of TAFEs</w:t>
      </w:r>
      <w:r w:rsidRPr="00C4084C">
        <w:t xml:space="preserve">. </w:t>
      </w:r>
    </w:p>
    <w:p w14:paraId="19FB3056" w14:textId="7D2FF9DB" w:rsidR="00FD087D" w:rsidRPr="00C4084C" w:rsidRDefault="00FD087D" w:rsidP="008C67CA">
      <w:r w:rsidRPr="00C4084C">
        <w:t xml:space="preserve">Success demands stronger leadership, planning and coordination than is possible under current system arrangements. The system needs far greater understanding of policy and reform priorities, and information on the state of the system. Big changes are </w:t>
      </w:r>
      <w:r w:rsidR="002970AA" w:rsidRPr="00C4084C">
        <w:t>needed,</w:t>
      </w:r>
      <w:r w:rsidRPr="00C4084C">
        <w:t xml:space="preserve"> and </w:t>
      </w:r>
      <w:r w:rsidR="00AC577F" w:rsidRPr="00C4084C">
        <w:t xml:space="preserve">Australia </w:t>
      </w:r>
      <w:r w:rsidRPr="00C4084C">
        <w:t xml:space="preserve">should </w:t>
      </w:r>
      <w:r w:rsidR="00217F81" w:rsidRPr="00C4084C">
        <w:t>meet them head on.</w:t>
      </w:r>
    </w:p>
    <w:p w14:paraId="67E4F813" w14:textId="1CB4D555" w:rsidR="00FD087D" w:rsidRPr="00C4084C" w:rsidRDefault="00FD087D" w:rsidP="008C67CA">
      <w:r w:rsidRPr="00C4084C">
        <w:rPr>
          <w:b/>
          <w:bCs/>
        </w:rPr>
        <w:t>Leadership and stewardship.</w:t>
      </w:r>
      <w:r w:rsidRPr="00C4084C">
        <w:t xml:space="preserve"> To implement change, the Australian Government should establish an Australian Tertiary Education Commission (the Commission). Its task </w:t>
      </w:r>
      <w:r w:rsidR="00B97749" w:rsidRPr="00C4084C">
        <w:t xml:space="preserve">would </w:t>
      </w:r>
      <w:r w:rsidRPr="00C4084C">
        <w:t>be to provide the leadership and stewardship necessary to transform the tertiary education s</w:t>
      </w:r>
      <w:r w:rsidR="00C63CC4" w:rsidRPr="00C4084C">
        <w:t>ystem</w:t>
      </w:r>
      <w:r w:rsidRPr="00C4084C">
        <w:t xml:space="preserve"> to achieve an agreed objective for Australian tertiary education. Its </w:t>
      </w:r>
      <w:r w:rsidR="00AA7FC3" w:rsidRPr="00C4084C">
        <w:t xml:space="preserve">initial </w:t>
      </w:r>
      <w:r w:rsidRPr="00C4084C">
        <w:t>remit will extend to policy development</w:t>
      </w:r>
      <w:r w:rsidR="002970AA" w:rsidRPr="00C4084C">
        <w:t xml:space="preserve"> for</w:t>
      </w:r>
      <w:r w:rsidR="00AA7FC3" w:rsidRPr="00C4084C">
        <w:t xml:space="preserve"> higher</w:t>
      </w:r>
      <w:r w:rsidR="002970AA" w:rsidRPr="00C4084C">
        <w:t xml:space="preserve"> education and research</w:t>
      </w:r>
      <w:r w:rsidRPr="00C4084C">
        <w:t xml:space="preserve">, future planning, making mission-based compacts, pricing, funding allocation, accountability, data collection and transparency, </w:t>
      </w:r>
      <w:proofErr w:type="gramStart"/>
      <w:r w:rsidRPr="00C4084C">
        <w:t>quality</w:t>
      </w:r>
      <w:proofErr w:type="gramEnd"/>
      <w:r w:rsidRPr="00C4084C">
        <w:t xml:space="preserve"> and performance. </w:t>
      </w:r>
      <w:r w:rsidR="002E4D44" w:rsidRPr="00C4084C">
        <w:t xml:space="preserve">The Commission will aim for a stronger, more diverse, </w:t>
      </w:r>
      <w:r w:rsidR="00542674" w:rsidRPr="00C4084C">
        <w:t xml:space="preserve">innovative, </w:t>
      </w:r>
      <w:r w:rsidR="002E4D44" w:rsidRPr="00C4084C">
        <w:t>mission-driven system, likely with more public providers and greater differentiation between those providers.</w:t>
      </w:r>
      <w:r w:rsidRPr="00C4084C">
        <w:t xml:space="preserve"> It will draw advice widely from across the s</w:t>
      </w:r>
      <w:r w:rsidR="007037CC" w:rsidRPr="00C4084C">
        <w:t>ystem. T</w:t>
      </w:r>
      <w:r w:rsidRPr="00C4084C">
        <w:t xml:space="preserve">he ARC and the Tertiary Education and Quality and Standards Agency (TEQSA) will </w:t>
      </w:r>
      <w:r w:rsidR="00DE1B38" w:rsidRPr="00C4084C">
        <w:t xml:space="preserve">continue as independent statutory bodies within the </w:t>
      </w:r>
      <w:r w:rsidR="00280546">
        <w:t>Commission</w:t>
      </w:r>
      <w:r w:rsidR="00DE1B38" w:rsidRPr="00C4084C">
        <w:t>, with the Chairs of those agencies having ex</w:t>
      </w:r>
      <w:r w:rsidR="002E23F7">
        <w:t>-</w:t>
      </w:r>
      <w:r w:rsidR="00DE1B38" w:rsidRPr="00C4084C">
        <w:t>officio membership of the Commission</w:t>
      </w:r>
      <w:r w:rsidR="00280546">
        <w:t xml:space="preserve"> board</w:t>
      </w:r>
      <w:r w:rsidRPr="00C4084C">
        <w:t>.</w:t>
      </w:r>
    </w:p>
    <w:p w14:paraId="6DA5A479" w14:textId="024176E6" w:rsidR="00FD087D" w:rsidRPr="00C4084C" w:rsidRDefault="00FD087D" w:rsidP="008C67CA">
      <w:r w:rsidRPr="00C4084C">
        <w:rPr>
          <w:b/>
          <w:bCs/>
        </w:rPr>
        <w:t xml:space="preserve">First Nations self-determination. </w:t>
      </w:r>
      <w:r w:rsidRPr="00C4084C">
        <w:t>To ensure self-determination for First Nations peoples within a reformed and improved tertiary education s</w:t>
      </w:r>
      <w:r w:rsidR="007037CC" w:rsidRPr="00C4084C">
        <w:t>ystem</w:t>
      </w:r>
      <w:r w:rsidRPr="00C4084C">
        <w:t xml:space="preserve">, there </w:t>
      </w:r>
      <w:r w:rsidR="0083202F" w:rsidRPr="00C4084C">
        <w:t>should</w:t>
      </w:r>
      <w:r w:rsidRPr="00C4084C">
        <w:t xml:space="preserve"> be a First Nations Council to advise ministers and the </w:t>
      </w:r>
      <w:r w:rsidR="238CAF7D" w:rsidRPr="00C4084C">
        <w:t>Commission</w:t>
      </w:r>
      <w:r w:rsidRPr="00C4084C">
        <w:t xml:space="preserve">, </w:t>
      </w:r>
      <w:r w:rsidR="00A014E9" w:rsidRPr="00C4084C">
        <w:t>stronger obligations on universities to demonstrate self-determination within their operations</w:t>
      </w:r>
      <w:r w:rsidRPr="00C4084C">
        <w:t xml:space="preserve"> and a First Nations review of tertiary education to improve </w:t>
      </w:r>
      <w:r w:rsidR="0077519A" w:rsidRPr="00C4084C">
        <w:t xml:space="preserve">First Nations </w:t>
      </w:r>
      <w:r w:rsidRPr="00C4084C">
        <w:t xml:space="preserve">participation and </w:t>
      </w:r>
      <w:r w:rsidR="00217F81" w:rsidRPr="00C4084C">
        <w:t>workforce</w:t>
      </w:r>
      <w:r w:rsidRPr="00C4084C">
        <w:t xml:space="preserve"> and </w:t>
      </w:r>
      <w:r w:rsidR="00802B78" w:rsidRPr="00C4084C">
        <w:t xml:space="preserve">to </w:t>
      </w:r>
      <w:r w:rsidRPr="00C4084C">
        <w:t>strengthen First Nations knowledge and research.</w:t>
      </w:r>
    </w:p>
    <w:p w14:paraId="74D32E43" w14:textId="6CAEA4FD" w:rsidR="009E699F" w:rsidRPr="00C4084C" w:rsidRDefault="009E699F" w:rsidP="008C67CA">
      <w:bookmarkStart w:id="18" w:name="_Hlk153270245"/>
      <w:r w:rsidRPr="00C4084C">
        <w:rPr>
          <w:b/>
          <w:bCs/>
        </w:rPr>
        <w:lastRenderedPageBreak/>
        <w:t xml:space="preserve">Quality international education. </w:t>
      </w:r>
      <w:r w:rsidRPr="00C4084C">
        <w:t xml:space="preserve">International education makes an enormous contribution to Australian tertiary education by enabling Australian learning and teaching to have wider impact, helping universities to invest in important research, adding to diversity, and being an important avenue for soft diplomacy and international </w:t>
      </w:r>
      <w:r w:rsidR="005125F1" w:rsidRPr="00C4084C">
        <w:t>linkages</w:t>
      </w:r>
      <w:r w:rsidRPr="00C4084C">
        <w:t xml:space="preserve">. </w:t>
      </w:r>
    </w:p>
    <w:p w14:paraId="64A2C017" w14:textId="011CE46A" w:rsidR="009E699F" w:rsidRPr="00C4084C" w:rsidRDefault="009E699F" w:rsidP="008C67CA">
      <w:r w:rsidRPr="00C4084C">
        <w:t xml:space="preserve">In 2022, Australian higher education providers enrolled almost 450,000 international </w:t>
      </w:r>
      <w:r w:rsidR="0044393F" w:rsidRPr="00C4084C">
        <w:t>fee-paying</w:t>
      </w:r>
      <w:r w:rsidRPr="00C4084C">
        <w:t xml:space="preserve"> students (more than a quarter of total enrolments), with </w:t>
      </w:r>
      <w:r w:rsidR="00025E3A" w:rsidRPr="00C4084C">
        <w:t>around 120</w:t>
      </w:r>
      <w:r w:rsidRPr="00C4084C">
        <w:t>,000 of these studying Australian higher education courses from outside Australia.</w:t>
      </w:r>
      <w:r w:rsidRPr="00C4084C">
        <w:rPr>
          <w:rStyle w:val="FootnoteReference"/>
        </w:rPr>
        <w:footnoteReference w:id="8"/>
      </w:r>
      <w:r w:rsidRPr="00C4084C">
        <w:t xml:space="preserve"> International student fees contributed more than a fifth of overall university funding.</w:t>
      </w:r>
      <w:r w:rsidRPr="00C4084C">
        <w:rPr>
          <w:rStyle w:val="FootnoteReference"/>
        </w:rPr>
        <w:footnoteReference w:id="9"/>
      </w:r>
      <w:r w:rsidRPr="00C4084C">
        <w:t xml:space="preserve"> Now Australia’s fourth largest export, international education is a permanent fixture of the economy.</w:t>
      </w:r>
      <w:r w:rsidRPr="00C4084C">
        <w:rPr>
          <w:rStyle w:val="FootnoteReference"/>
        </w:rPr>
        <w:footnoteReference w:id="10"/>
      </w:r>
      <w:r w:rsidRPr="00C4084C">
        <w:t xml:space="preserve"> </w:t>
      </w:r>
    </w:p>
    <w:p w14:paraId="52B02705" w14:textId="2C12D1CC" w:rsidR="009E699F" w:rsidRPr="00C4084C" w:rsidRDefault="009E699F" w:rsidP="008C67CA">
      <w:r w:rsidRPr="00C4084C">
        <w:t>Therefore</w:t>
      </w:r>
      <w:r w:rsidR="18B7C7CD" w:rsidRPr="00C4084C">
        <w:t>,</w:t>
      </w:r>
      <w:r w:rsidRPr="00C4084C">
        <w:t xml:space="preserve"> a strong and sustainable footing is important. On the demand side, fluctuations in enrolments risk the stability and viability of institutions. On the supply side,</w:t>
      </w:r>
      <w:r w:rsidRPr="00C4084C">
        <w:rPr>
          <w:b/>
          <w:bCs/>
        </w:rPr>
        <w:t xml:space="preserve"> </w:t>
      </w:r>
      <w:r w:rsidRPr="00C4084C">
        <w:t xml:space="preserve">there have been failures in quality and integrity in some parts of the market, and these must be addressed. </w:t>
      </w:r>
    </w:p>
    <w:p w14:paraId="4AD5BD89" w14:textId="627736C2" w:rsidR="009E699F" w:rsidRPr="00C4084C" w:rsidRDefault="009E699F" w:rsidP="008C67CA">
      <w:r w:rsidRPr="00C4084C">
        <w:rPr>
          <w:rFonts w:eastAsia="Arial"/>
        </w:rPr>
        <w:t xml:space="preserve">The Review recommends that the Australian Government and the Commission work together to </w:t>
      </w:r>
      <w:r w:rsidRPr="00C4084C">
        <w:t xml:space="preserve">manage volatility in demand where possible, including by diversifying markets to avoid overreliance on a small number of countries. Some international students seek a migration pathway. </w:t>
      </w:r>
      <w:r w:rsidR="003E3F29" w:rsidRPr="00C4084C">
        <w:t>In line with the Australian Government’s Migration Strategy</w:t>
      </w:r>
      <w:r w:rsidR="00C742CB" w:rsidRPr="00C4084C">
        <w:t xml:space="preserve"> goal for a better targeted system</w:t>
      </w:r>
      <w:r w:rsidR="00AA7FC3" w:rsidRPr="00C4084C">
        <w:t>,</w:t>
      </w:r>
      <w:r w:rsidR="00E4639B" w:rsidRPr="00C4084C">
        <w:rPr>
          <w:rStyle w:val="FootnoteReference"/>
        </w:rPr>
        <w:footnoteReference w:id="11"/>
      </w:r>
      <w:r w:rsidR="003E3F29" w:rsidRPr="00C4084C">
        <w:t xml:space="preserve"> t</w:t>
      </w:r>
      <w:r w:rsidRPr="00C4084C">
        <w:t xml:space="preserve">he </w:t>
      </w:r>
      <w:r w:rsidR="00902FD7">
        <w:t xml:space="preserve">tertiary education </w:t>
      </w:r>
      <w:r w:rsidRPr="00C4084C">
        <w:t xml:space="preserve">sector should encourage these students to study courses </w:t>
      </w:r>
      <w:r w:rsidR="007037CC" w:rsidRPr="00C4084C">
        <w:t>linked to</w:t>
      </w:r>
      <w:r w:rsidRPr="00C4084C">
        <w:t xml:space="preserve"> Australian skill shortages and to study in regional locations. Finally, the sector should protect its reputation and ranking as a study destination by lifting course quality and improving the overall student experience.</w:t>
      </w:r>
    </w:p>
    <w:bookmarkEnd w:id="18"/>
    <w:p w14:paraId="286376CF" w14:textId="52AAEDB2" w:rsidR="00FD087D" w:rsidRPr="00C4084C" w:rsidRDefault="00FD087D" w:rsidP="008C67CA">
      <w:r w:rsidRPr="00C4084C">
        <w:rPr>
          <w:b/>
          <w:bCs/>
        </w:rPr>
        <w:t xml:space="preserve">A better funding </w:t>
      </w:r>
      <w:proofErr w:type="gramStart"/>
      <w:r w:rsidRPr="00C4084C">
        <w:rPr>
          <w:b/>
          <w:bCs/>
        </w:rPr>
        <w:t>model</w:t>
      </w:r>
      <w:proofErr w:type="gramEnd"/>
      <w:r w:rsidRPr="00C4084C">
        <w:rPr>
          <w:b/>
          <w:bCs/>
        </w:rPr>
        <w:t xml:space="preserve">. </w:t>
      </w:r>
      <w:r w:rsidRPr="00C4084C">
        <w:t>The current funding model does not provide for sufficient growth in enrolments to meet the nation’s skills needs, with growth occurring in unplanned</w:t>
      </w:r>
      <w:r w:rsidR="00AA7FC3" w:rsidRPr="00C4084C">
        <w:t>,</w:t>
      </w:r>
      <w:r w:rsidRPr="00C4084C">
        <w:t xml:space="preserve"> </w:t>
      </w:r>
      <w:proofErr w:type="gramStart"/>
      <w:r w:rsidRPr="00C4084C">
        <w:t>unmanaged</w:t>
      </w:r>
      <w:proofErr w:type="gramEnd"/>
      <w:r w:rsidRPr="00C4084C">
        <w:t xml:space="preserve"> </w:t>
      </w:r>
      <w:r w:rsidR="00861404" w:rsidRPr="00C4084C">
        <w:t xml:space="preserve">and under-funded </w:t>
      </w:r>
      <w:r w:rsidRPr="00C4084C">
        <w:t xml:space="preserve">ways that can have unintended consequences for the breadth and quality of courses. The Review recommends the introduction of a new funding model, </w:t>
      </w:r>
      <w:proofErr w:type="gramStart"/>
      <w:r w:rsidRPr="00C4084C">
        <w:t>planned</w:t>
      </w:r>
      <w:proofErr w:type="gramEnd"/>
      <w:r w:rsidRPr="00C4084C">
        <w:t xml:space="preserve"> and managed by the Commission. It </w:t>
      </w:r>
      <w:r w:rsidR="00175B2C" w:rsidRPr="00C4084C">
        <w:t>would</w:t>
      </w:r>
      <w:r w:rsidRPr="00C4084C">
        <w:t xml:space="preserve"> deliver managed growth by making a fully funded Commonwealth supported place available for all students who meet course entry requirements, with growth in places managed through mission-based compacts agreed with the Commission</w:t>
      </w:r>
      <w:r w:rsidR="000E3293">
        <w:t xml:space="preserve"> and effectively introduce ‘demand</w:t>
      </w:r>
      <w:r w:rsidR="005C2D53">
        <w:t xml:space="preserve"> </w:t>
      </w:r>
      <w:r w:rsidR="000E3293">
        <w:t>drive</w:t>
      </w:r>
      <w:r w:rsidR="005C2D53">
        <w:t>n</w:t>
      </w:r>
      <w:r w:rsidR="000E3293">
        <w:t xml:space="preserve"> places for equity </w:t>
      </w:r>
      <w:proofErr w:type="gramStart"/>
      <w:r w:rsidR="000E3293">
        <w:t>students’</w:t>
      </w:r>
      <w:proofErr w:type="gramEnd"/>
      <w:r w:rsidRPr="00C4084C">
        <w:t xml:space="preserve">. </w:t>
      </w:r>
      <w:r w:rsidR="000E3293">
        <w:t>The model</w:t>
      </w:r>
      <w:r w:rsidRPr="00C4084C">
        <w:t xml:space="preserve"> </w:t>
      </w:r>
      <w:r w:rsidR="00C06C6C" w:rsidRPr="00C4084C">
        <w:t>would</w:t>
      </w:r>
      <w:r w:rsidRPr="00C4084C">
        <w:t xml:space="preserve"> include a needs-based system that covers the costs of providing courses, </w:t>
      </w:r>
      <w:proofErr w:type="gramStart"/>
      <w:r w:rsidRPr="00C4084C">
        <w:t xml:space="preserve">taking </w:t>
      </w:r>
      <w:r w:rsidR="6490A46D" w:rsidRPr="00C4084C">
        <w:t>i</w:t>
      </w:r>
      <w:r w:rsidRPr="00C4084C">
        <w:t>nto account</w:t>
      </w:r>
      <w:proofErr w:type="gramEnd"/>
      <w:r w:rsidRPr="00C4084C">
        <w:t xml:space="preserve"> the higher costs of educating equity groups and providing regional education. The new funding model </w:t>
      </w:r>
      <w:r w:rsidR="00C06C6C" w:rsidRPr="00C4084C">
        <w:t xml:space="preserve">would </w:t>
      </w:r>
      <w:r w:rsidR="0910D5CE" w:rsidRPr="00C4084C">
        <w:t xml:space="preserve">appropriately price the cost of teaching </w:t>
      </w:r>
      <w:r w:rsidR="00861404" w:rsidRPr="00C4084C">
        <w:t>in different disciplines</w:t>
      </w:r>
      <w:r w:rsidR="00436C4B" w:rsidRPr="00C4084C">
        <w:t xml:space="preserve"> including increasing </w:t>
      </w:r>
      <w:r w:rsidR="00A2651E">
        <w:t>g</w:t>
      </w:r>
      <w:r w:rsidR="00A2651E" w:rsidRPr="00C4084C">
        <w:t xml:space="preserve">overnment </w:t>
      </w:r>
      <w:r w:rsidR="00436C4B" w:rsidRPr="00C4084C">
        <w:t xml:space="preserve">contributions for disciplines in </w:t>
      </w:r>
      <w:r w:rsidR="00D6219B" w:rsidRPr="00C4084C">
        <w:t>s</w:t>
      </w:r>
      <w:r w:rsidR="00436C4B" w:rsidRPr="00C4084C">
        <w:t xml:space="preserve">cience, </w:t>
      </w:r>
      <w:r w:rsidR="00D6219B" w:rsidRPr="00C4084C">
        <w:t>t</w:t>
      </w:r>
      <w:r w:rsidR="00436C4B" w:rsidRPr="00C4084C">
        <w:t xml:space="preserve">echnology, </w:t>
      </w:r>
      <w:proofErr w:type="gramStart"/>
      <w:r w:rsidR="00D6219B" w:rsidRPr="00C4084C">
        <w:t>e</w:t>
      </w:r>
      <w:r w:rsidR="00436C4B" w:rsidRPr="00C4084C">
        <w:t>ngineering</w:t>
      </w:r>
      <w:proofErr w:type="gramEnd"/>
      <w:r w:rsidR="00436C4B" w:rsidRPr="00C4084C">
        <w:t xml:space="preserve"> and </w:t>
      </w:r>
      <w:r w:rsidR="00D6219B" w:rsidRPr="00C4084C">
        <w:t>m</w:t>
      </w:r>
      <w:r w:rsidR="00436C4B" w:rsidRPr="00C4084C">
        <w:t>athematics</w:t>
      </w:r>
      <w:r w:rsidR="00861404" w:rsidRPr="00C4084C">
        <w:t xml:space="preserve">, </w:t>
      </w:r>
      <w:r w:rsidR="0910D5CE" w:rsidRPr="00C4084C">
        <w:t>and</w:t>
      </w:r>
      <w:r w:rsidR="00E3204B" w:rsidRPr="00C4084C">
        <w:t>,</w:t>
      </w:r>
      <w:r w:rsidR="0910D5CE" w:rsidRPr="00C4084C">
        <w:t xml:space="preserve"> </w:t>
      </w:r>
      <w:r w:rsidR="00861404" w:rsidRPr="00C4084C">
        <w:t>when</w:t>
      </w:r>
      <w:r w:rsidR="0910D5CE" w:rsidRPr="00C4084C">
        <w:t xml:space="preserve"> student contribution</w:t>
      </w:r>
      <w:r w:rsidR="00861404" w:rsidRPr="00C4084C">
        <w:t>s are included</w:t>
      </w:r>
      <w:r w:rsidR="0910D5CE" w:rsidRPr="00C4084C">
        <w:t xml:space="preserve">, fully fund </w:t>
      </w:r>
      <w:r w:rsidR="0910D5CE" w:rsidRPr="00C4084C">
        <w:lastRenderedPageBreak/>
        <w:t>the cost of teaching.</w:t>
      </w:r>
      <w:r w:rsidR="009862D5" w:rsidRPr="00C4084C">
        <w:t xml:space="preserve"> It </w:t>
      </w:r>
      <w:r w:rsidR="004560F0" w:rsidRPr="00C4084C">
        <w:t>would</w:t>
      </w:r>
      <w:r w:rsidR="009862D5" w:rsidRPr="00C4084C">
        <w:t xml:space="preserve"> end the process of universities enrolling students over their funding cap and only receiving partial funding for additional students.</w:t>
      </w:r>
    </w:p>
    <w:p w14:paraId="27AD9B15" w14:textId="02FC616B" w:rsidR="00FD087D" w:rsidRPr="00C4084C" w:rsidRDefault="00FD087D" w:rsidP="008C67CA">
      <w:r w:rsidRPr="00C4084C">
        <w:rPr>
          <w:b/>
          <w:bCs/>
        </w:rPr>
        <w:t xml:space="preserve">A future fund. </w:t>
      </w:r>
      <w:r w:rsidR="00D2118F" w:rsidRPr="00C4084C">
        <w:t>Since the closure of the Education Infrastructure Fund, there has been no dedicated government funding for higher education infrastructure funding. To provide such a source of funding</w:t>
      </w:r>
      <w:r w:rsidRPr="00C4084C">
        <w:t>,</w:t>
      </w:r>
      <w:r w:rsidR="003703FE" w:rsidRPr="00C4084C">
        <w:t xml:space="preserve"> </w:t>
      </w:r>
      <w:r w:rsidR="003703FE" w:rsidRPr="00C4084C">
        <w:rPr>
          <w:rFonts w:ascii="Calibri" w:hAnsi="Calibri" w:cs="Calibri"/>
          <w:color w:val="000000"/>
        </w:rPr>
        <w:t xml:space="preserve">and funding for other significant sector needs such as student housing, </w:t>
      </w:r>
      <w:r w:rsidRPr="00C4084C">
        <w:t xml:space="preserve">the Review recommends the creation of a Higher Education Future Fund (HEFF). It would be managed by the Future Fund Board of Guardians and funded by co-contributions from </w:t>
      </w:r>
      <w:r w:rsidR="00952145" w:rsidRPr="00C4084C">
        <w:t xml:space="preserve">universities and </w:t>
      </w:r>
      <w:r w:rsidRPr="00C4084C">
        <w:t>the Australian Government, with the aim of reaching $10 billion in assets.</w:t>
      </w:r>
      <w:r w:rsidR="00B63E12" w:rsidRPr="00C4084C">
        <w:t xml:space="preserve"> Distribution of returns would be invested in projects informed by advice of an independent board.</w:t>
      </w:r>
    </w:p>
    <w:p w14:paraId="4A233956" w14:textId="77777777" w:rsidR="00FD087D" w:rsidRPr="00C4084C" w:rsidRDefault="00FD087D" w:rsidP="00E4228B">
      <w:pPr>
        <w:pStyle w:val="Non-numberedHeading3"/>
      </w:pPr>
      <w:bookmarkStart w:id="19" w:name="_Toc741435994"/>
      <w:bookmarkStart w:id="20" w:name="_Toc153482995"/>
      <w:r w:rsidRPr="00C4084C">
        <w:t>Starting now</w:t>
      </w:r>
      <w:bookmarkEnd w:id="19"/>
      <w:bookmarkEnd w:id="20"/>
    </w:p>
    <w:p w14:paraId="3CB6DB5F" w14:textId="227B93D9" w:rsidR="00C02DC8" w:rsidRPr="00C4084C" w:rsidRDefault="00FD087D" w:rsidP="008C67CA">
      <w:r w:rsidRPr="00C4084C">
        <w:t xml:space="preserve">The changes proposed by the Review are not only large, </w:t>
      </w:r>
      <w:proofErr w:type="gramStart"/>
      <w:r w:rsidRPr="00C4084C">
        <w:t>they are</w:t>
      </w:r>
      <w:proofErr w:type="gramEnd"/>
      <w:r w:rsidRPr="00C4084C">
        <w:t xml:space="preserve"> urgent. The</w:t>
      </w:r>
      <w:r w:rsidR="00B63E12" w:rsidRPr="00C4084C">
        <w:t>y</w:t>
      </w:r>
      <w:r w:rsidRPr="00C4084C">
        <w:t xml:space="preserve"> must get underway as soon as possible. The Review recommends </w:t>
      </w:r>
      <w:r w:rsidR="00615BE3" w:rsidRPr="00C4084C">
        <w:t>staging</w:t>
      </w:r>
      <w:r w:rsidR="00C02DC8" w:rsidRPr="00C4084C">
        <w:t xml:space="preserve"> the recommendations in this </w:t>
      </w:r>
      <w:r w:rsidR="00311496">
        <w:t>R</w:t>
      </w:r>
      <w:r w:rsidR="00C02DC8" w:rsidRPr="00C4084C">
        <w:t xml:space="preserve">eport, </w:t>
      </w:r>
      <w:r w:rsidR="00C776A8" w:rsidRPr="00C4084C">
        <w:t xml:space="preserve">with particular emphasis on building skills through equity, as well as developing the stewardship role and </w:t>
      </w:r>
      <w:r w:rsidR="00D018A5" w:rsidRPr="00C4084C">
        <w:t xml:space="preserve">managing </w:t>
      </w:r>
      <w:r w:rsidR="00C02DC8" w:rsidRPr="00C4084C">
        <w:t>the transition to the proposed new funding model.</w:t>
      </w:r>
    </w:p>
    <w:p w14:paraId="1409B9DC" w14:textId="77777777" w:rsidR="00F63705" w:rsidRDefault="000F41AF" w:rsidP="008C67CA">
      <w:pPr>
        <w:sectPr w:rsidR="00F63705" w:rsidSect="00134415">
          <w:headerReference w:type="even" r:id="rId23"/>
          <w:headerReference w:type="first" r:id="rId24"/>
          <w:footerReference w:type="first" r:id="rId25"/>
          <w:pgSz w:w="11906" w:h="16838"/>
          <w:pgMar w:top="1440" w:right="1440" w:bottom="1440" w:left="1440" w:header="708" w:footer="794" w:gutter="0"/>
          <w:pgNumType w:start="1"/>
          <w:cols w:space="708"/>
          <w:titlePg/>
          <w:docGrid w:linePitch="360"/>
        </w:sectPr>
      </w:pPr>
      <w:r w:rsidRPr="00C4084C">
        <w:t>Supporting</w:t>
      </w:r>
      <w:r w:rsidR="00C02DC8" w:rsidRPr="00C4084C">
        <w:t xml:space="preserve"> this, the Review recommends that the </w:t>
      </w:r>
      <w:r w:rsidR="003F5AFC" w:rsidRPr="00C4084C">
        <w:t>Minister for Education</w:t>
      </w:r>
      <w:r w:rsidR="00D018A5" w:rsidRPr="00C4084C">
        <w:t xml:space="preserve"> and</w:t>
      </w:r>
      <w:r w:rsidR="003F5AFC" w:rsidRPr="00C4084C">
        <w:t xml:space="preserve"> the Minister for Skills</w:t>
      </w:r>
      <w:r w:rsidR="00F41D5E" w:rsidRPr="00C4084C">
        <w:t xml:space="preserve"> and Training</w:t>
      </w:r>
      <w:r w:rsidR="003F5AFC" w:rsidRPr="00C4084C">
        <w:t xml:space="preserve"> </w:t>
      </w:r>
      <w:r w:rsidR="00C02DC8" w:rsidRPr="00C4084C">
        <w:t>bring together all stakeholders in our tertiary education s</w:t>
      </w:r>
      <w:r w:rsidR="00D018A5" w:rsidRPr="00C4084C">
        <w:t>ystem</w:t>
      </w:r>
      <w:r w:rsidR="00C02DC8" w:rsidRPr="00C4084C">
        <w:t xml:space="preserve"> to build the shared understanding and cooperation that is necessary to make enduring change happen.</w:t>
      </w:r>
    </w:p>
    <w:p w14:paraId="789FFB97" w14:textId="6B8C4219" w:rsidR="00C82EB9" w:rsidRPr="00C4084C" w:rsidRDefault="00C82EB9" w:rsidP="00F63705">
      <w:pPr>
        <w:pStyle w:val="Non-numberedHeading2"/>
      </w:pPr>
      <w:bookmarkStart w:id="21" w:name="_Toc153482996"/>
      <w:bookmarkStart w:id="22" w:name="_Toc159500906"/>
      <w:r w:rsidRPr="00C4084C">
        <w:lastRenderedPageBreak/>
        <w:t>Findings</w:t>
      </w:r>
      <w:bookmarkEnd w:id="21"/>
      <w:bookmarkEnd w:id="22"/>
    </w:p>
    <w:tbl>
      <w:tblPr>
        <w:tblW w:w="0" w:type="auto"/>
        <w:shd w:val="clear" w:color="auto" w:fill="FBE4D5"/>
        <w:tblLook w:val="04A0" w:firstRow="1" w:lastRow="0" w:firstColumn="1" w:lastColumn="0" w:noHBand="0" w:noVBand="1"/>
      </w:tblPr>
      <w:tblGrid>
        <w:gridCol w:w="9026"/>
      </w:tblGrid>
      <w:tr w:rsidR="00165566" w:rsidRPr="00C4084C" w14:paraId="1E42ABD7" w14:textId="77777777" w:rsidTr="00D26B82">
        <w:tc>
          <w:tcPr>
            <w:tcW w:w="9026" w:type="dxa"/>
            <w:shd w:val="clear" w:color="auto" w:fill="B0C3DB"/>
          </w:tcPr>
          <w:p w14:paraId="2FDBCC8B" w14:textId="77777777" w:rsidR="00165566" w:rsidRPr="00C4084C" w:rsidDel="00882244" w:rsidRDefault="00165566" w:rsidP="00FD3383">
            <w:pPr>
              <w:pStyle w:val="Boxtext0"/>
            </w:pPr>
            <w:r w:rsidRPr="00C4084C">
              <w:rPr>
                <w:rStyle w:val="normaltextrun"/>
                <w:rFonts w:ascii="Calibri" w:hAnsi="Calibri" w:cs="Calibri"/>
                <w:b/>
                <w:bCs/>
              </w:rPr>
              <w:t>Vision</w:t>
            </w:r>
            <w:r w:rsidRPr="00C4084C">
              <w:rPr>
                <w:rStyle w:val="normaltextrun"/>
                <w:rFonts w:ascii="Calibri" w:hAnsi="Calibri" w:cs="Calibri"/>
              </w:rPr>
              <w:t>: </w:t>
            </w:r>
            <w:r w:rsidRPr="00C4084C">
              <w:t xml:space="preserve">Our vision is to grow and strengthen tertiary education in Australia over the next two decades so that all Australians </w:t>
            </w:r>
            <w:proofErr w:type="gramStart"/>
            <w:r w:rsidRPr="00C4084C">
              <w:t>have the opportunity to</w:t>
            </w:r>
            <w:proofErr w:type="gramEnd"/>
            <w:r w:rsidRPr="00C4084C">
              <w:t xml:space="preserve"> obtain the knowledge, skills and understanding to create and thrive in the jobs of the future. Australia needs this expanded tertiary education system to help achieve skills through equity and excellent, fit-for-purpose research, enabling more people to help meet the challenges facing our nation, </w:t>
            </w:r>
            <w:proofErr w:type="gramStart"/>
            <w:r w:rsidRPr="00C4084C">
              <w:t>region</w:t>
            </w:r>
            <w:proofErr w:type="gramEnd"/>
            <w:r w:rsidRPr="00C4084C">
              <w:t xml:space="preserve"> and world. Education, research, </w:t>
            </w:r>
            <w:proofErr w:type="gramStart"/>
            <w:r w:rsidRPr="00C4084C">
              <w:t>innovation</w:t>
            </w:r>
            <w:proofErr w:type="gramEnd"/>
            <w:r w:rsidRPr="00C4084C">
              <w:t xml:space="preserve"> and society-wide partnerships are vital for Australia’s economic prosperity, democratic cohesion and environmental sustainability.</w:t>
            </w:r>
          </w:p>
        </w:tc>
      </w:tr>
    </w:tbl>
    <w:p w14:paraId="7EC72B8C" w14:textId="77777777" w:rsidR="00165566" w:rsidRPr="00C4084C" w:rsidRDefault="00165566" w:rsidP="00165566">
      <w:pPr>
        <w:pStyle w:val="NoSpacing"/>
      </w:pPr>
    </w:p>
    <w:tbl>
      <w:tblPr>
        <w:tblW w:w="0" w:type="auto"/>
        <w:shd w:val="clear" w:color="auto" w:fill="FBE4D5"/>
        <w:tblLook w:val="04A0" w:firstRow="1" w:lastRow="0" w:firstColumn="1" w:lastColumn="0" w:noHBand="0" w:noVBand="1"/>
      </w:tblPr>
      <w:tblGrid>
        <w:gridCol w:w="9026"/>
      </w:tblGrid>
      <w:tr w:rsidR="00165566" w:rsidRPr="00C4084C" w14:paraId="2A1CDCE8" w14:textId="77777777" w:rsidTr="00D26B82">
        <w:tc>
          <w:tcPr>
            <w:tcW w:w="9026" w:type="dxa"/>
            <w:shd w:val="clear" w:color="auto" w:fill="B0C3DB"/>
          </w:tcPr>
          <w:p w14:paraId="39DE8EE6" w14:textId="6068CD9B" w:rsidR="00165566" w:rsidRPr="00C4084C" w:rsidRDefault="00165566" w:rsidP="00FD3383">
            <w:pPr>
              <w:pStyle w:val="Boxtext0"/>
            </w:pPr>
            <w:r w:rsidRPr="00C4084C">
              <w:rPr>
                <w:b/>
              </w:rPr>
              <w:t xml:space="preserve">Leadership </w:t>
            </w:r>
            <w:r w:rsidR="009D586E">
              <w:rPr>
                <w:b/>
              </w:rPr>
              <w:t>–</w:t>
            </w:r>
            <w:r w:rsidRPr="00C4084C">
              <w:rPr>
                <w:b/>
              </w:rPr>
              <w:t xml:space="preserve"> </w:t>
            </w:r>
            <w:r w:rsidR="009D586E" w:rsidRPr="00C4084C">
              <w:rPr>
                <w:b/>
              </w:rPr>
              <w:t>Australian</w:t>
            </w:r>
            <w:r w:rsidR="009D586E">
              <w:rPr>
                <w:b/>
              </w:rPr>
              <w:t xml:space="preserve"> </w:t>
            </w:r>
            <w:r w:rsidRPr="00C4084C">
              <w:rPr>
                <w:b/>
              </w:rPr>
              <w:t>Tertiary Education Commission: </w:t>
            </w:r>
            <w:r w:rsidRPr="00C4084C">
              <w:t>Our tertiary education system lacks the coordinated, future-</w:t>
            </w:r>
            <w:proofErr w:type="gramStart"/>
            <w:r w:rsidRPr="00C4084C">
              <w:t>focused</w:t>
            </w:r>
            <w:proofErr w:type="gramEnd"/>
            <w:r w:rsidRPr="00C4084C">
              <w:t xml:space="preserve"> and evidence-based</w:t>
            </w:r>
            <w:r w:rsidR="00186D63" w:rsidRPr="00C4084C">
              <w:t>,</w:t>
            </w:r>
            <w:r w:rsidRPr="00C4084C">
              <w:t xml:space="preserve"> decision-making capacity necessary for Australia’s future success. This must change. </w:t>
            </w:r>
            <w:r w:rsidR="00CC4698" w:rsidRPr="00C4084C">
              <w:t xml:space="preserve">Over the past </w:t>
            </w:r>
            <w:r w:rsidR="004C2AD2" w:rsidRPr="00C4084C">
              <w:t xml:space="preserve">20 </w:t>
            </w:r>
            <w:r w:rsidR="00CC4698" w:rsidRPr="00C4084C">
              <w:t xml:space="preserve">years, there have been significant failures – both of action and inaction – where the absence of a strong sector stewardship function has been </w:t>
            </w:r>
            <w:r w:rsidR="00422A55">
              <w:t>telling</w:t>
            </w:r>
            <w:r w:rsidR="00CC4698" w:rsidRPr="00C4084C">
              <w:t xml:space="preserve">. The tertiary education system is too important to Australia’s social, </w:t>
            </w:r>
            <w:proofErr w:type="gramStart"/>
            <w:r w:rsidR="00CC4698" w:rsidRPr="00C4084C">
              <w:t>economic</w:t>
            </w:r>
            <w:proofErr w:type="gramEnd"/>
            <w:r w:rsidR="00CC4698" w:rsidRPr="00C4084C">
              <w:t xml:space="preserve"> and environmental wellbeing to leave its future to the uncoordinated action of individual institutions.</w:t>
            </w:r>
          </w:p>
        </w:tc>
      </w:tr>
    </w:tbl>
    <w:p w14:paraId="30537178" w14:textId="77777777" w:rsidR="00165566" w:rsidRPr="00C4084C" w:rsidRDefault="00165566" w:rsidP="00165566">
      <w:pPr>
        <w:pStyle w:val="NoSpacing"/>
      </w:pPr>
    </w:p>
    <w:tbl>
      <w:tblPr>
        <w:tblW w:w="0" w:type="auto"/>
        <w:shd w:val="clear" w:color="auto" w:fill="FBE4D5"/>
        <w:tblLook w:val="04A0" w:firstRow="1" w:lastRow="0" w:firstColumn="1" w:lastColumn="0" w:noHBand="0" w:noVBand="1"/>
      </w:tblPr>
      <w:tblGrid>
        <w:gridCol w:w="9026"/>
      </w:tblGrid>
      <w:tr w:rsidR="00165566" w:rsidRPr="00C4084C" w14:paraId="6407CC2F" w14:textId="77777777" w:rsidTr="00D26B82">
        <w:tc>
          <w:tcPr>
            <w:tcW w:w="9026" w:type="dxa"/>
            <w:shd w:val="clear" w:color="auto" w:fill="B0C3DB"/>
          </w:tcPr>
          <w:p w14:paraId="0C34E37C" w14:textId="2FA4A833" w:rsidR="00165566" w:rsidRPr="00C4084C" w:rsidRDefault="00165566" w:rsidP="00FD3383">
            <w:pPr>
              <w:pStyle w:val="Boxtext0"/>
            </w:pPr>
            <w:r w:rsidRPr="00C4084C">
              <w:rPr>
                <w:b/>
              </w:rPr>
              <w:t xml:space="preserve">Leadership </w:t>
            </w:r>
            <w:r w:rsidR="009D586E">
              <w:rPr>
                <w:b/>
              </w:rPr>
              <w:t>–</w:t>
            </w:r>
            <w:r w:rsidRPr="00C4084C">
              <w:rPr>
                <w:b/>
              </w:rPr>
              <w:t xml:space="preserve"> stakeholders: </w:t>
            </w:r>
            <w:r w:rsidRPr="00C4084C">
              <w:t>Stakeholders across the tertiary education system need a seat at the table alongside government to discuss the system’s future needs and share responsibility for solutions. There is currently insufficient shared understanding of the policy and reform priorities needed to build solutions and plan for the years ahead.</w:t>
            </w:r>
            <w:r w:rsidRPr="00C4084C">
              <w:rPr>
                <w:b/>
              </w:rPr>
              <w:t> </w:t>
            </w:r>
          </w:p>
        </w:tc>
      </w:tr>
    </w:tbl>
    <w:p w14:paraId="1A311380" w14:textId="77777777" w:rsidR="00165566" w:rsidRPr="00C4084C" w:rsidRDefault="00165566" w:rsidP="00165566">
      <w:pPr>
        <w:pStyle w:val="NoSpacing"/>
      </w:pPr>
    </w:p>
    <w:tbl>
      <w:tblPr>
        <w:tblW w:w="0" w:type="auto"/>
        <w:shd w:val="clear" w:color="auto" w:fill="FBE4D5"/>
        <w:tblLook w:val="04A0" w:firstRow="1" w:lastRow="0" w:firstColumn="1" w:lastColumn="0" w:noHBand="0" w:noVBand="1"/>
      </w:tblPr>
      <w:tblGrid>
        <w:gridCol w:w="9026"/>
      </w:tblGrid>
      <w:tr w:rsidR="0071657F" w:rsidRPr="00C4084C" w14:paraId="5B895C47" w14:textId="77777777" w:rsidTr="00D26B82">
        <w:trPr>
          <w:cantSplit/>
        </w:trPr>
        <w:tc>
          <w:tcPr>
            <w:tcW w:w="9026" w:type="dxa"/>
            <w:shd w:val="clear" w:color="auto" w:fill="B0C3DB"/>
          </w:tcPr>
          <w:p w14:paraId="440A55C6" w14:textId="5AD56DCA" w:rsidR="0071657F" w:rsidRPr="00C4084C" w:rsidRDefault="0071657F" w:rsidP="00FD3383">
            <w:pPr>
              <w:pStyle w:val="Boxtext0"/>
            </w:pPr>
            <w:r w:rsidRPr="00C4084C">
              <w:rPr>
                <w:b/>
              </w:rPr>
              <w:t xml:space="preserve">Leadership </w:t>
            </w:r>
            <w:r w:rsidR="009D586E">
              <w:rPr>
                <w:b/>
              </w:rPr>
              <w:t>–</w:t>
            </w:r>
            <w:r w:rsidRPr="00C4084C" w:rsidDel="009D586E">
              <w:rPr>
                <w:b/>
              </w:rPr>
              <w:t xml:space="preserve"> </w:t>
            </w:r>
            <w:r w:rsidR="009D586E" w:rsidRPr="00C4084C">
              <w:rPr>
                <w:b/>
              </w:rPr>
              <w:t>First</w:t>
            </w:r>
            <w:r w:rsidR="009D586E">
              <w:rPr>
                <w:b/>
              </w:rPr>
              <w:t xml:space="preserve"> </w:t>
            </w:r>
            <w:r w:rsidRPr="00C4084C">
              <w:rPr>
                <w:b/>
              </w:rPr>
              <w:t xml:space="preserve">Nations: </w:t>
            </w:r>
            <w:r w:rsidRPr="00C4084C">
              <w:t xml:space="preserve">To ensure that First Nations are central to the higher education sector, it is essential that there is First Nations leadership and a self-determination framework. This includes ensuring First Nations leadership in policies, programs, </w:t>
            </w:r>
            <w:proofErr w:type="gramStart"/>
            <w:r w:rsidRPr="00C4084C">
              <w:t>funding</w:t>
            </w:r>
            <w:proofErr w:type="gramEnd"/>
            <w:r w:rsidRPr="00C4084C">
              <w:t xml:space="preserve"> and decision-making that affects First Nations staff and students within individual institutions and nationally through representation by a First Nations Council responsible for advising Ministers and the Australian Tertiary Education Commission on a self-determined approach to matters relating to First Nations people in the tertiary education sector.</w:t>
            </w:r>
          </w:p>
        </w:tc>
      </w:tr>
    </w:tbl>
    <w:p w14:paraId="5F0C82E8" w14:textId="77777777" w:rsidR="000219B0" w:rsidRPr="00C4084C" w:rsidRDefault="000219B0" w:rsidP="000219B0">
      <w:pPr>
        <w:pStyle w:val="NoSpacing"/>
      </w:pPr>
    </w:p>
    <w:tbl>
      <w:tblPr>
        <w:tblW w:w="0" w:type="auto"/>
        <w:shd w:val="clear" w:color="auto" w:fill="FBE4D5"/>
        <w:tblLook w:val="04A0" w:firstRow="1" w:lastRow="0" w:firstColumn="1" w:lastColumn="0" w:noHBand="0" w:noVBand="1"/>
      </w:tblPr>
      <w:tblGrid>
        <w:gridCol w:w="9026"/>
      </w:tblGrid>
      <w:tr w:rsidR="000219B0" w:rsidRPr="00C4084C" w14:paraId="6994F84D" w14:textId="77777777" w:rsidTr="00D26B82">
        <w:trPr>
          <w:cantSplit/>
        </w:trPr>
        <w:tc>
          <w:tcPr>
            <w:tcW w:w="9026" w:type="dxa"/>
            <w:shd w:val="clear" w:color="auto" w:fill="B0C3DB"/>
          </w:tcPr>
          <w:p w14:paraId="7E06E53B" w14:textId="31041CA4" w:rsidR="000219B0" w:rsidRPr="00C4084C" w:rsidRDefault="000219B0">
            <w:pPr>
              <w:pStyle w:val="Boxtext0"/>
            </w:pPr>
            <w:r w:rsidRPr="00C4084C">
              <w:rPr>
                <w:b/>
              </w:rPr>
              <w:t xml:space="preserve">Community engagement: </w:t>
            </w:r>
            <w:r w:rsidRPr="00C4084C">
              <w:t xml:space="preserve">Tertiary education providers have deep connections to their communities that go well beyond education and research. They create jobs, partner with local businesses and schools, undertake locally relevant research, attract </w:t>
            </w:r>
            <w:proofErr w:type="gramStart"/>
            <w:r w:rsidRPr="00C4084C">
              <w:t>investment</w:t>
            </w:r>
            <w:proofErr w:type="gramEnd"/>
            <w:r w:rsidRPr="00C4084C">
              <w:t xml:space="preserve"> and provide resources, facilities and leadership that improve lives in the communities that host them. This community engagement represents a major and largely unsung contribution to the nation. </w:t>
            </w:r>
          </w:p>
        </w:tc>
      </w:tr>
    </w:tbl>
    <w:p w14:paraId="0CA4C276" w14:textId="77777777" w:rsidR="00165566" w:rsidRPr="00C4084C" w:rsidRDefault="00165566" w:rsidP="00165566">
      <w:pPr>
        <w:pStyle w:val="NoSpacing"/>
      </w:pPr>
    </w:p>
    <w:tbl>
      <w:tblPr>
        <w:tblW w:w="0" w:type="auto"/>
        <w:shd w:val="clear" w:color="auto" w:fill="FBE4D5"/>
        <w:tblLook w:val="04A0" w:firstRow="1" w:lastRow="0" w:firstColumn="1" w:lastColumn="0" w:noHBand="0" w:noVBand="1"/>
      </w:tblPr>
      <w:tblGrid>
        <w:gridCol w:w="9026"/>
      </w:tblGrid>
      <w:tr w:rsidR="00165566" w:rsidRPr="00C4084C" w14:paraId="4582766F" w14:textId="77777777" w:rsidTr="00D26B82">
        <w:tc>
          <w:tcPr>
            <w:tcW w:w="9026" w:type="dxa"/>
            <w:shd w:val="clear" w:color="auto" w:fill="B0C3DB"/>
          </w:tcPr>
          <w:p w14:paraId="27C4D740" w14:textId="5A4EFEC7" w:rsidR="00165566" w:rsidRPr="00C4084C" w:rsidRDefault="00165566" w:rsidP="00FD3383">
            <w:pPr>
              <w:pStyle w:val="Boxtext0"/>
              <w:rPr>
                <w:b/>
              </w:rPr>
            </w:pPr>
            <w:r w:rsidRPr="00C4084C">
              <w:rPr>
                <w:b/>
              </w:rPr>
              <w:lastRenderedPageBreak/>
              <w:t>First Nations</w:t>
            </w:r>
            <w:r w:rsidR="00B44C38">
              <w:rPr>
                <w:b/>
              </w:rPr>
              <w:t xml:space="preserve"> participation</w:t>
            </w:r>
            <w:r w:rsidRPr="00C4084C">
              <w:rPr>
                <w:b/>
              </w:rPr>
              <w:t xml:space="preserve">: </w:t>
            </w:r>
            <w:r w:rsidRPr="00C4084C">
              <w:t xml:space="preserve">Participation in tertiary education learning, teaching and research is an essential pathway to success for First Nations families and their </w:t>
            </w:r>
            <w:proofErr w:type="gramStart"/>
            <w:r w:rsidRPr="00C4084C">
              <w:t>communities, and</w:t>
            </w:r>
            <w:proofErr w:type="gramEnd"/>
            <w:r w:rsidRPr="00C4084C">
              <w:t xml:space="preserve"> is necessary for Closing the Gap. Weaving First Nations cultures and knowledge more strongly into the fabric of our tertiary education system will enrich Australian society. A strong First Nations workforce in tertiary education will help achieve this goal.</w:t>
            </w:r>
            <w:r w:rsidRPr="00C4084C">
              <w:rPr>
                <w:b/>
              </w:rPr>
              <w:t> </w:t>
            </w:r>
          </w:p>
        </w:tc>
      </w:tr>
    </w:tbl>
    <w:p w14:paraId="39066567" w14:textId="77777777" w:rsidR="00165566" w:rsidRPr="00C4084C" w:rsidRDefault="00165566" w:rsidP="00165566">
      <w:pPr>
        <w:pStyle w:val="NoSpacing"/>
      </w:pPr>
    </w:p>
    <w:tbl>
      <w:tblPr>
        <w:tblW w:w="0" w:type="auto"/>
        <w:shd w:val="clear" w:color="auto" w:fill="FBE4D5"/>
        <w:tblLook w:val="04A0" w:firstRow="1" w:lastRow="0" w:firstColumn="1" w:lastColumn="0" w:noHBand="0" w:noVBand="1"/>
      </w:tblPr>
      <w:tblGrid>
        <w:gridCol w:w="9026"/>
      </w:tblGrid>
      <w:tr w:rsidR="00165566" w:rsidRPr="00C4084C" w14:paraId="00FA6574" w14:textId="77777777" w:rsidTr="00D26B82">
        <w:tc>
          <w:tcPr>
            <w:tcW w:w="9026" w:type="dxa"/>
            <w:shd w:val="clear" w:color="auto" w:fill="B0C3DB"/>
          </w:tcPr>
          <w:p w14:paraId="456CFB88" w14:textId="2A4ECFCE" w:rsidR="00165566" w:rsidRPr="00C4084C" w:rsidRDefault="00165566" w:rsidP="00FD3383">
            <w:pPr>
              <w:pStyle w:val="Boxtext0"/>
              <w:rPr>
                <w:b/>
              </w:rPr>
            </w:pPr>
            <w:r w:rsidRPr="00C4084C">
              <w:rPr>
                <w:b/>
              </w:rPr>
              <w:t xml:space="preserve">Equity:  </w:t>
            </w:r>
            <w:r w:rsidRPr="00C4084C">
              <w:t xml:space="preserve">Every Australian should have the opportunity to experience the life transforming benefits of tertiary education. This is vital for Australia’s future. Only by expanding access to </w:t>
            </w:r>
            <w:r w:rsidR="00902FD7">
              <w:t>tertiary</w:t>
            </w:r>
            <w:r w:rsidR="00902FD7" w:rsidRPr="00C4084C">
              <w:t xml:space="preserve"> </w:t>
            </w:r>
            <w:r w:rsidRPr="00C4084C">
              <w:t xml:space="preserve">education to currently under-represented groups – including people from low SES backgrounds, First Nations, people with disability and regional, </w:t>
            </w:r>
            <w:proofErr w:type="gramStart"/>
            <w:r w:rsidRPr="00C4084C">
              <w:t>rural</w:t>
            </w:r>
            <w:proofErr w:type="gramEnd"/>
            <w:r w:rsidRPr="00C4084C">
              <w:t xml:space="preserve"> and remote students – can the nation meet its projected skill</w:t>
            </w:r>
            <w:r w:rsidR="00945F71" w:rsidRPr="00C4084C">
              <w:t>s</w:t>
            </w:r>
            <w:r w:rsidRPr="00C4084C">
              <w:t xml:space="preserve"> needs.</w:t>
            </w:r>
            <w:r w:rsidR="00253ACE" w:rsidRPr="00C4084C">
              <w:t xml:space="preserve"> Access to </w:t>
            </w:r>
            <w:r w:rsidR="00902FD7">
              <w:t>tertiary</w:t>
            </w:r>
            <w:r w:rsidR="00902FD7" w:rsidRPr="00C4084C">
              <w:t xml:space="preserve"> </w:t>
            </w:r>
            <w:r w:rsidR="00253ACE" w:rsidRPr="00C4084C">
              <w:t xml:space="preserve">education </w:t>
            </w:r>
            <w:r w:rsidR="00902FD7">
              <w:t>must include</w:t>
            </w:r>
            <w:r w:rsidR="00902FD7" w:rsidRPr="00C4084C">
              <w:t xml:space="preserve"> </w:t>
            </w:r>
            <w:r w:rsidR="00253ACE" w:rsidRPr="00C4084C">
              <w:t>high quality teaching and learning targeted to students with lower educational attainment, alongside access to income support where necessary, affordable student housing and the ability to find reasonable work and placement opportunities.</w:t>
            </w:r>
          </w:p>
        </w:tc>
      </w:tr>
    </w:tbl>
    <w:p w14:paraId="2112CCD6" w14:textId="77777777" w:rsidR="00165566" w:rsidRPr="00C4084C" w:rsidRDefault="00165566" w:rsidP="00165566">
      <w:pPr>
        <w:pStyle w:val="NoSpacing"/>
      </w:pPr>
    </w:p>
    <w:tbl>
      <w:tblPr>
        <w:tblW w:w="0" w:type="auto"/>
        <w:shd w:val="clear" w:color="auto" w:fill="FBE4D5"/>
        <w:tblLook w:val="04A0" w:firstRow="1" w:lastRow="0" w:firstColumn="1" w:lastColumn="0" w:noHBand="0" w:noVBand="1"/>
      </w:tblPr>
      <w:tblGrid>
        <w:gridCol w:w="9026"/>
      </w:tblGrid>
      <w:tr w:rsidR="00165566" w:rsidRPr="00C4084C" w14:paraId="30EB855B" w14:textId="77777777" w:rsidTr="00D26B82">
        <w:tc>
          <w:tcPr>
            <w:tcW w:w="9026" w:type="dxa"/>
            <w:shd w:val="clear" w:color="auto" w:fill="B0C3DB"/>
          </w:tcPr>
          <w:p w14:paraId="69490256" w14:textId="77777777" w:rsidR="00165566" w:rsidRPr="00C4084C" w:rsidRDefault="00165566" w:rsidP="00FD3383">
            <w:pPr>
              <w:pStyle w:val="Boxtext0"/>
              <w:rPr>
                <w:b/>
                <w:bCs/>
              </w:rPr>
            </w:pPr>
            <w:r w:rsidRPr="00C4084C">
              <w:rPr>
                <w:b/>
                <w:bCs/>
              </w:rPr>
              <w:t xml:space="preserve">Funding for equity: </w:t>
            </w:r>
            <w:r w:rsidRPr="00C4084C">
              <w:t>Current funding arrangements limit enrolment growth in student cohorts from under-represented backgrounds because they do not reflect the additional costs of teaching these students who, on average, need additional support to succeed. </w:t>
            </w:r>
            <w:r w:rsidRPr="00C4084C">
              <w:rPr>
                <w:b/>
                <w:bCs/>
              </w:rPr>
              <w:t> </w:t>
            </w:r>
          </w:p>
        </w:tc>
      </w:tr>
    </w:tbl>
    <w:p w14:paraId="5667C9A0" w14:textId="77777777" w:rsidR="00165566" w:rsidRPr="00C4084C" w:rsidRDefault="00165566" w:rsidP="00165566">
      <w:pPr>
        <w:pStyle w:val="NoSpacing"/>
      </w:pPr>
    </w:p>
    <w:tbl>
      <w:tblPr>
        <w:tblW w:w="0" w:type="auto"/>
        <w:shd w:val="clear" w:color="auto" w:fill="FBE4D5"/>
        <w:tblLook w:val="04A0" w:firstRow="1" w:lastRow="0" w:firstColumn="1" w:lastColumn="0" w:noHBand="0" w:noVBand="1"/>
      </w:tblPr>
      <w:tblGrid>
        <w:gridCol w:w="9026"/>
      </w:tblGrid>
      <w:tr w:rsidR="00165566" w:rsidRPr="00C4084C" w14:paraId="5F4470B1" w14:textId="77777777" w:rsidTr="00D26B82">
        <w:tc>
          <w:tcPr>
            <w:tcW w:w="9026" w:type="dxa"/>
            <w:shd w:val="clear" w:color="auto" w:fill="B0C3DB"/>
          </w:tcPr>
          <w:p w14:paraId="66AEE999" w14:textId="5D800984" w:rsidR="00165566" w:rsidRPr="00C4084C" w:rsidRDefault="00165566" w:rsidP="00FD3383">
            <w:pPr>
              <w:pStyle w:val="Boxtext0"/>
              <w:rPr>
                <w:b/>
                <w:bCs/>
              </w:rPr>
            </w:pPr>
            <w:r w:rsidRPr="00C4084C">
              <w:rPr>
                <w:b/>
                <w:bCs/>
              </w:rPr>
              <w:t xml:space="preserve">Growth: </w:t>
            </w:r>
            <w:r w:rsidRPr="00C4084C">
              <w:t xml:space="preserve">The current funding model does not provide for sufficient </w:t>
            </w:r>
            <w:r w:rsidR="00253ACE" w:rsidRPr="00C4084C">
              <w:t>fully funded</w:t>
            </w:r>
            <w:r w:rsidRPr="00C4084C">
              <w:t xml:space="preserve"> growth in enrolments to meet the nation’s skills needs, with growth occurring in unplanned and unmanaged ways. The relatively low current demand for places highlights the need for a system that plans for, and delivers, growth in skills with equity.</w:t>
            </w:r>
            <w:r w:rsidRPr="00C4084C">
              <w:rPr>
                <w:b/>
              </w:rPr>
              <w:t>  </w:t>
            </w:r>
          </w:p>
        </w:tc>
      </w:tr>
    </w:tbl>
    <w:p w14:paraId="3C6C8B3D" w14:textId="77777777" w:rsidR="000219B0" w:rsidRPr="00C4084C" w:rsidRDefault="000219B0" w:rsidP="000219B0">
      <w:pPr>
        <w:pStyle w:val="NoSpacing"/>
      </w:pPr>
    </w:p>
    <w:tbl>
      <w:tblPr>
        <w:tblW w:w="0" w:type="auto"/>
        <w:shd w:val="clear" w:color="auto" w:fill="FBE4D5"/>
        <w:tblLook w:val="04A0" w:firstRow="1" w:lastRow="0" w:firstColumn="1" w:lastColumn="0" w:noHBand="0" w:noVBand="1"/>
      </w:tblPr>
      <w:tblGrid>
        <w:gridCol w:w="9026"/>
      </w:tblGrid>
      <w:tr w:rsidR="000219B0" w:rsidRPr="00C4084C" w14:paraId="7E513DC6" w14:textId="77777777" w:rsidTr="00D26B82">
        <w:tc>
          <w:tcPr>
            <w:tcW w:w="9026" w:type="dxa"/>
            <w:shd w:val="clear" w:color="auto" w:fill="B0C3DB"/>
          </w:tcPr>
          <w:p w14:paraId="2B267B34" w14:textId="1BF60D9B" w:rsidR="000219B0" w:rsidRPr="00C4084C" w:rsidRDefault="000219B0">
            <w:pPr>
              <w:pStyle w:val="Boxtext0"/>
              <w:rPr>
                <w:b/>
                <w:bCs/>
              </w:rPr>
            </w:pPr>
            <w:r w:rsidRPr="00C4084C">
              <w:rPr>
                <w:b/>
              </w:rPr>
              <w:t xml:space="preserve">Skills: </w:t>
            </w:r>
            <w:r w:rsidRPr="00C4084C">
              <w:t xml:space="preserve">Australia is not meeting its current skills needs and will not meet them in the future without large scale increases in the number of tertiary education graduates it produces, and without a significant uplift in the number of people engaging in learning throughout their working life. Australia must set ambitious targets to increase rates of completion and attainment and increase the equity of the system. Without growth and reform, skills shortages will do lasting damage to Australia’s national success and </w:t>
            </w:r>
            <w:proofErr w:type="gramStart"/>
            <w:r w:rsidRPr="00C4084C">
              <w:t>future prospects</w:t>
            </w:r>
            <w:proofErr w:type="gramEnd"/>
            <w:r w:rsidRPr="00C4084C">
              <w:t>.</w:t>
            </w:r>
          </w:p>
        </w:tc>
      </w:tr>
    </w:tbl>
    <w:p w14:paraId="4C203AE7" w14:textId="77777777" w:rsidR="00165566" w:rsidRPr="00C4084C" w:rsidRDefault="00165566" w:rsidP="00165566">
      <w:pPr>
        <w:pStyle w:val="NoSpacing"/>
      </w:pPr>
    </w:p>
    <w:tbl>
      <w:tblPr>
        <w:tblW w:w="0" w:type="auto"/>
        <w:shd w:val="clear" w:color="auto" w:fill="FBE4D5"/>
        <w:tblLook w:val="04A0" w:firstRow="1" w:lastRow="0" w:firstColumn="1" w:lastColumn="0" w:noHBand="0" w:noVBand="1"/>
      </w:tblPr>
      <w:tblGrid>
        <w:gridCol w:w="9026"/>
      </w:tblGrid>
      <w:tr w:rsidR="00165566" w:rsidRPr="00C4084C" w14:paraId="5D542798" w14:textId="77777777" w:rsidTr="00D26B82">
        <w:trPr>
          <w:cantSplit/>
        </w:trPr>
        <w:tc>
          <w:tcPr>
            <w:tcW w:w="9026" w:type="dxa"/>
            <w:shd w:val="clear" w:color="auto" w:fill="B0C3DB"/>
          </w:tcPr>
          <w:p w14:paraId="0B808AA9" w14:textId="13F9FC60" w:rsidR="00165566" w:rsidRPr="00C4084C" w:rsidRDefault="00165566" w:rsidP="00FD3383">
            <w:pPr>
              <w:pStyle w:val="Boxtext0"/>
            </w:pPr>
            <w:r w:rsidRPr="00C4084C">
              <w:rPr>
                <w:b/>
              </w:rPr>
              <w:t>Generic skills:</w:t>
            </w:r>
            <w:r w:rsidRPr="00C4084C">
              <w:t xml:space="preserve"> Australia’s economy not only needs greater numbers of tertiary educated graduates, </w:t>
            </w:r>
            <w:proofErr w:type="gramStart"/>
            <w:r w:rsidRPr="00C4084C">
              <w:t>these graduates must</w:t>
            </w:r>
            <w:proofErr w:type="gramEnd"/>
            <w:r w:rsidRPr="00C4084C">
              <w:t xml:space="preserve"> have the right mix of skills. In addition to discipline-specific knowledge and technical skills, graduates need the transferable generic skills sought by employers. Australian workers now need to be digitally literate, creative, collaborative, good communicators, and able to solve complex problems. Our tertiary education providers must teach these skills more effectively, together with our school system, </w:t>
            </w:r>
            <w:proofErr w:type="gramStart"/>
            <w:r w:rsidRPr="00C4084C">
              <w:t>employers</w:t>
            </w:r>
            <w:proofErr w:type="gramEnd"/>
            <w:r w:rsidRPr="00C4084C">
              <w:t xml:space="preserve"> and the wider community. </w:t>
            </w:r>
          </w:p>
        </w:tc>
      </w:tr>
    </w:tbl>
    <w:p w14:paraId="78A9F336" w14:textId="77777777" w:rsidR="000219B0" w:rsidRPr="00C4084C" w:rsidRDefault="000219B0" w:rsidP="000219B0">
      <w:pPr>
        <w:pStyle w:val="NoSpacing"/>
      </w:pPr>
    </w:p>
    <w:tbl>
      <w:tblPr>
        <w:tblW w:w="0" w:type="auto"/>
        <w:shd w:val="clear" w:color="auto" w:fill="FBE4D5"/>
        <w:tblLook w:val="04A0" w:firstRow="1" w:lastRow="0" w:firstColumn="1" w:lastColumn="0" w:noHBand="0" w:noVBand="1"/>
      </w:tblPr>
      <w:tblGrid>
        <w:gridCol w:w="9026"/>
      </w:tblGrid>
      <w:tr w:rsidR="000219B0" w:rsidRPr="00C4084C" w14:paraId="141F6699" w14:textId="77777777" w:rsidTr="00D26B82">
        <w:trPr>
          <w:cantSplit/>
        </w:trPr>
        <w:tc>
          <w:tcPr>
            <w:tcW w:w="9026" w:type="dxa"/>
            <w:shd w:val="clear" w:color="auto" w:fill="B0C3DB"/>
          </w:tcPr>
          <w:p w14:paraId="2AE451B5" w14:textId="6AC42CFC" w:rsidR="000219B0" w:rsidRPr="00C4084C" w:rsidRDefault="000219B0" w:rsidP="008C67CA">
            <w:pPr>
              <w:pStyle w:val="Boxtext0"/>
            </w:pPr>
            <w:r w:rsidRPr="008C67CA">
              <w:rPr>
                <w:b/>
              </w:rPr>
              <w:lastRenderedPageBreak/>
              <w:t xml:space="preserve">Job-ready Graduates: </w:t>
            </w:r>
            <w:r w:rsidRPr="008C67CA">
              <w:t>The Job-ready Graduates package needs urgent remediation. Its intended purpose of influencing students’ choice of courses through price signals has failed. While some students are paying less, the overall funding balance has shifted in the direction of lower government contributions and higher student contributions. Many students have extremely high student contributions resulting in large HELP loans that do not reflect their future earning potential.</w:t>
            </w:r>
          </w:p>
        </w:tc>
      </w:tr>
    </w:tbl>
    <w:p w14:paraId="7223A438" w14:textId="77777777" w:rsidR="000219B0" w:rsidRPr="00C4084C" w:rsidRDefault="000219B0" w:rsidP="000219B0">
      <w:pPr>
        <w:pStyle w:val="NoSpacing"/>
      </w:pPr>
    </w:p>
    <w:tbl>
      <w:tblPr>
        <w:tblW w:w="0" w:type="auto"/>
        <w:shd w:val="clear" w:color="auto" w:fill="FBE4D5"/>
        <w:tblLook w:val="04A0" w:firstRow="1" w:lastRow="0" w:firstColumn="1" w:lastColumn="0" w:noHBand="0" w:noVBand="1"/>
      </w:tblPr>
      <w:tblGrid>
        <w:gridCol w:w="9026"/>
      </w:tblGrid>
      <w:tr w:rsidR="000219B0" w:rsidRPr="00C4084C" w14:paraId="648A95C0" w14:textId="77777777" w:rsidTr="00D26B82">
        <w:trPr>
          <w:cantSplit/>
        </w:trPr>
        <w:tc>
          <w:tcPr>
            <w:tcW w:w="9026" w:type="dxa"/>
            <w:shd w:val="clear" w:color="auto" w:fill="B0C3DB"/>
          </w:tcPr>
          <w:p w14:paraId="5C5FDC12" w14:textId="08718536" w:rsidR="000219B0" w:rsidRPr="00C4084C" w:rsidRDefault="000219B0">
            <w:pPr>
              <w:pStyle w:val="Boxtext0"/>
            </w:pPr>
            <w:r w:rsidRPr="008C67CA">
              <w:rPr>
                <w:b/>
                <w:bCs/>
              </w:rPr>
              <w:t>Tertiary education:</w:t>
            </w:r>
            <w:r w:rsidRPr="008C67CA">
              <w:t xml:space="preserve"> </w:t>
            </w:r>
            <w:r w:rsidRPr="000219B0">
              <w:t>Many students move between higher education and vocational education throughout their lives to enhance, broaden and update their knowledge and skills. Pathways between vocational education and training and higher education are currently fragmented and misaligned, making navigation across sectors very difficult. Admission, credit transfer and recognition of prior learning practices are inconsistent and can act as a barrier to further study. These transitions should be made as seamless as possible.</w:t>
            </w:r>
          </w:p>
        </w:tc>
      </w:tr>
    </w:tbl>
    <w:p w14:paraId="1D85CC08" w14:textId="77777777" w:rsidR="00165566" w:rsidRPr="00C4084C" w:rsidRDefault="00165566" w:rsidP="00165566">
      <w:pPr>
        <w:pStyle w:val="NoSpacing"/>
      </w:pPr>
    </w:p>
    <w:tbl>
      <w:tblPr>
        <w:tblW w:w="0" w:type="auto"/>
        <w:shd w:val="clear" w:color="auto" w:fill="FBE4D5"/>
        <w:tblLook w:val="04A0" w:firstRow="1" w:lastRow="0" w:firstColumn="1" w:lastColumn="0" w:noHBand="0" w:noVBand="1"/>
      </w:tblPr>
      <w:tblGrid>
        <w:gridCol w:w="9026"/>
      </w:tblGrid>
      <w:tr w:rsidR="00165566" w:rsidRPr="00C4084C" w14:paraId="2BD51A2B" w14:textId="77777777" w:rsidTr="00D26B82">
        <w:tc>
          <w:tcPr>
            <w:tcW w:w="9026" w:type="dxa"/>
            <w:shd w:val="clear" w:color="auto" w:fill="B0C3DB"/>
          </w:tcPr>
          <w:p w14:paraId="30F11591" w14:textId="2C86D99E" w:rsidR="00165566" w:rsidRPr="00C4084C" w:rsidRDefault="00165566" w:rsidP="00FD3383">
            <w:pPr>
              <w:pStyle w:val="Boxtext0"/>
            </w:pPr>
            <w:r w:rsidRPr="00C4084C">
              <w:rPr>
                <w:b/>
              </w:rPr>
              <w:t>Accreditation bodies:</w:t>
            </w:r>
            <w:r w:rsidRPr="00C4084C">
              <w:t xml:space="preserve"> Placements and other requirements for professional accreditation are not always working effectively. Professional accreditation is crucial for training the future workforce, but accreditation requirements can be unduly burdensome for both students and </w:t>
            </w:r>
            <w:r w:rsidR="00A43EC7">
              <w:t>tertiary education providers</w:t>
            </w:r>
            <w:r w:rsidRPr="00C4084C">
              <w:t>. Mandatory placements can involve onerous hours and can financially disadvantage students who are unable to participate in paid work while on placement or need to relocate to undertake their placement.  </w:t>
            </w:r>
          </w:p>
        </w:tc>
      </w:tr>
    </w:tbl>
    <w:p w14:paraId="2959A9D5" w14:textId="77777777" w:rsidR="00165566" w:rsidRPr="00C4084C" w:rsidRDefault="00165566" w:rsidP="00165566">
      <w:pPr>
        <w:pStyle w:val="NoSpacing"/>
      </w:pPr>
    </w:p>
    <w:tbl>
      <w:tblPr>
        <w:tblW w:w="0" w:type="auto"/>
        <w:shd w:val="clear" w:color="auto" w:fill="FBE4D5"/>
        <w:tblLook w:val="04A0" w:firstRow="1" w:lastRow="0" w:firstColumn="1" w:lastColumn="0" w:noHBand="0" w:noVBand="1"/>
      </w:tblPr>
      <w:tblGrid>
        <w:gridCol w:w="9026"/>
      </w:tblGrid>
      <w:tr w:rsidR="00165566" w:rsidRPr="00C4084C" w14:paraId="5B240D2B" w14:textId="77777777" w:rsidTr="00D26B82">
        <w:tc>
          <w:tcPr>
            <w:tcW w:w="9026" w:type="dxa"/>
            <w:shd w:val="clear" w:color="auto" w:fill="B0C3DB"/>
          </w:tcPr>
          <w:p w14:paraId="6FD50B6B" w14:textId="4C575CB0" w:rsidR="00165566" w:rsidRPr="00C4084C" w:rsidRDefault="00165566" w:rsidP="00FD3383">
            <w:pPr>
              <w:pStyle w:val="Boxtext0"/>
            </w:pPr>
            <w:r w:rsidRPr="00C4084C">
              <w:rPr>
                <w:b/>
                <w:bCs/>
              </w:rPr>
              <w:t>Students</w:t>
            </w:r>
            <w:r w:rsidRPr="00C4084C">
              <w:rPr>
                <w:b/>
              </w:rPr>
              <w:t xml:space="preserve">: </w:t>
            </w:r>
            <w:r w:rsidRPr="00C4084C">
              <w:t xml:space="preserve">The HELP system needs to be modernised to make it fairer and simpler. HELP has served Australia well by expanding access to many more students. Its core components – no upfront tuition fees and income contingent repayment – are fundamental to its fairness and effectiveness. HELP is an indispensable part of the higher education funding system, but it requires reform to retain its social </w:t>
            </w:r>
            <w:r w:rsidR="009F391F" w:rsidRPr="00C4084C">
              <w:t>licence</w:t>
            </w:r>
            <w:r w:rsidRPr="00C4084C">
              <w:t>. Australians should not be deterred from higher education because of</w:t>
            </w:r>
            <w:r w:rsidR="009E78E5">
              <w:t xml:space="preserve"> the</w:t>
            </w:r>
            <w:r w:rsidRPr="00C4084C">
              <w:t xml:space="preserve"> </w:t>
            </w:r>
            <w:r w:rsidR="009E78E5" w:rsidRPr="0072052F">
              <w:t xml:space="preserve">increased burden </w:t>
            </w:r>
            <w:r w:rsidRPr="00C4084C">
              <w:t xml:space="preserve">of student loans. </w:t>
            </w:r>
          </w:p>
        </w:tc>
      </w:tr>
    </w:tbl>
    <w:p w14:paraId="111A09DC" w14:textId="77777777" w:rsidR="00165566" w:rsidRPr="00C4084C" w:rsidRDefault="00165566" w:rsidP="00165566">
      <w:pPr>
        <w:pStyle w:val="NoSpacing"/>
      </w:pPr>
    </w:p>
    <w:tbl>
      <w:tblPr>
        <w:tblW w:w="0" w:type="auto"/>
        <w:shd w:val="clear" w:color="auto" w:fill="FBE4D5"/>
        <w:tblLook w:val="04A0" w:firstRow="1" w:lastRow="0" w:firstColumn="1" w:lastColumn="0" w:noHBand="0" w:noVBand="1"/>
      </w:tblPr>
      <w:tblGrid>
        <w:gridCol w:w="9026"/>
      </w:tblGrid>
      <w:tr w:rsidR="00165566" w:rsidRPr="00C4084C" w14:paraId="1E64F3A7" w14:textId="77777777" w:rsidTr="00D26B82">
        <w:tc>
          <w:tcPr>
            <w:tcW w:w="9026" w:type="dxa"/>
            <w:shd w:val="clear" w:color="auto" w:fill="B0C3DB"/>
          </w:tcPr>
          <w:p w14:paraId="2EF8EB3B" w14:textId="69889009" w:rsidR="00165566" w:rsidRPr="00C4084C" w:rsidRDefault="00165566" w:rsidP="00FD3383">
            <w:pPr>
              <w:pStyle w:val="Boxtext0"/>
            </w:pPr>
            <w:r w:rsidRPr="00C4084C">
              <w:rPr>
                <w:b/>
              </w:rPr>
              <w:t xml:space="preserve">Students: </w:t>
            </w:r>
            <w:r w:rsidRPr="00C4084C">
              <w:t>The proportion of Australian students studying part-time is increasing. Students are, on average, taking on lower study loads, most likely to accommodate extra paid work, and taking longer to complete their degrees. Supporting combinations of earning and learning that enable more students to study successfully and complete relevant qualifications in timely ways is an urgent priority for tertiary education. Australia needs more people working and more people learning, in the decades ahead.</w:t>
            </w:r>
            <w:r w:rsidRPr="00C4084C">
              <w:rPr>
                <w:b/>
              </w:rPr>
              <w:t>   </w:t>
            </w:r>
          </w:p>
        </w:tc>
      </w:tr>
    </w:tbl>
    <w:p w14:paraId="21E41082" w14:textId="77777777" w:rsidR="00165566" w:rsidRPr="00C4084C" w:rsidRDefault="00165566" w:rsidP="00165566">
      <w:pPr>
        <w:pStyle w:val="NoSpacing"/>
      </w:pPr>
    </w:p>
    <w:tbl>
      <w:tblPr>
        <w:tblW w:w="0" w:type="auto"/>
        <w:shd w:val="clear" w:color="auto" w:fill="FBE4D5"/>
        <w:tblLook w:val="04A0" w:firstRow="1" w:lastRow="0" w:firstColumn="1" w:lastColumn="0" w:noHBand="0" w:noVBand="1"/>
      </w:tblPr>
      <w:tblGrid>
        <w:gridCol w:w="9026"/>
      </w:tblGrid>
      <w:tr w:rsidR="00165566" w:rsidRPr="00C4084C" w14:paraId="28AF8F83" w14:textId="77777777" w:rsidTr="00D26B82">
        <w:tc>
          <w:tcPr>
            <w:tcW w:w="9026" w:type="dxa"/>
            <w:shd w:val="clear" w:color="auto" w:fill="B0C3DB"/>
          </w:tcPr>
          <w:p w14:paraId="4559FF9A" w14:textId="77777777" w:rsidR="00165566" w:rsidRPr="00C4084C" w:rsidRDefault="00165566" w:rsidP="00FD3383">
            <w:pPr>
              <w:pStyle w:val="Boxtext0"/>
            </w:pPr>
            <w:r w:rsidRPr="00C4084C">
              <w:rPr>
                <w:b/>
              </w:rPr>
              <w:lastRenderedPageBreak/>
              <w:t xml:space="preserve">Students: </w:t>
            </w:r>
            <w:r w:rsidRPr="00C4084C">
              <w:t>Globally, learning and teaching methods are undergoing a profound shift. A marked trend towards more online learning (the ‘virtual classroom’) and enrolment in more affordable courses that are more tailored to individual student need is creating new expectations and opportunities to innovate for tertiary education providers. Australia needs to be at the forefront of these developments to be prepared for the changes that are coming.  </w:t>
            </w:r>
          </w:p>
        </w:tc>
      </w:tr>
    </w:tbl>
    <w:p w14:paraId="722162E3" w14:textId="77777777" w:rsidR="00165566" w:rsidRPr="00C4084C" w:rsidRDefault="00165566" w:rsidP="00165566">
      <w:pPr>
        <w:pStyle w:val="NoSpacing"/>
      </w:pPr>
    </w:p>
    <w:tbl>
      <w:tblPr>
        <w:tblW w:w="0" w:type="auto"/>
        <w:shd w:val="clear" w:color="auto" w:fill="FBE4D5"/>
        <w:tblLook w:val="04A0" w:firstRow="1" w:lastRow="0" w:firstColumn="1" w:lastColumn="0" w:noHBand="0" w:noVBand="1"/>
      </w:tblPr>
      <w:tblGrid>
        <w:gridCol w:w="9026"/>
      </w:tblGrid>
      <w:tr w:rsidR="00165566" w:rsidRPr="00C4084C" w14:paraId="5451C414" w14:textId="77777777" w:rsidTr="00D26B82">
        <w:tc>
          <w:tcPr>
            <w:tcW w:w="9026" w:type="dxa"/>
            <w:shd w:val="clear" w:color="auto" w:fill="B0C3DB"/>
          </w:tcPr>
          <w:p w14:paraId="05DB978E" w14:textId="77777777" w:rsidR="00165566" w:rsidRPr="00C4084C" w:rsidRDefault="00165566" w:rsidP="008C67CA">
            <w:pPr>
              <w:pStyle w:val="Boxtext0"/>
              <w:rPr>
                <w:b/>
              </w:rPr>
            </w:pPr>
            <w:r w:rsidRPr="00C4084C">
              <w:rPr>
                <w:b/>
              </w:rPr>
              <w:t xml:space="preserve">Research: </w:t>
            </w:r>
            <w:r w:rsidRPr="00C4084C">
              <w:t>Australian university research is of high quality and is highly connected globally. Its size reflects the larger role universities play in our research ecosystem compared to most countries, where the relative percentage of private sector research investment tends to be higher. Australia’s governments and industries are not making enough use of university research capability and capacity, nor are they using it across as broad a range of disciplines as they should be.</w:t>
            </w:r>
            <w:r w:rsidRPr="00C4084C">
              <w:rPr>
                <w:b/>
              </w:rPr>
              <w:t> </w:t>
            </w:r>
          </w:p>
        </w:tc>
      </w:tr>
    </w:tbl>
    <w:p w14:paraId="5FDC1485" w14:textId="77777777" w:rsidR="00165566" w:rsidRPr="00C4084C" w:rsidRDefault="00165566" w:rsidP="00165566">
      <w:pPr>
        <w:pStyle w:val="NoSpacing"/>
      </w:pPr>
    </w:p>
    <w:tbl>
      <w:tblPr>
        <w:tblW w:w="0" w:type="auto"/>
        <w:shd w:val="clear" w:color="auto" w:fill="FBE4D5"/>
        <w:tblLook w:val="04A0" w:firstRow="1" w:lastRow="0" w:firstColumn="1" w:lastColumn="0" w:noHBand="0" w:noVBand="1"/>
      </w:tblPr>
      <w:tblGrid>
        <w:gridCol w:w="9026"/>
      </w:tblGrid>
      <w:tr w:rsidR="00165566" w:rsidRPr="00C4084C" w14:paraId="02A7B941" w14:textId="77777777" w:rsidTr="00D26B82">
        <w:tc>
          <w:tcPr>
            <w:tcW w:w="9026" w:type="dxa"/>
            <w:shd w:val="clear" w:color="auto" w:fill="B0C3DB"/>
          </w:tcPr>
          <w:p w14:paraId="190C29AE" w14:textId="77777777" w:rsidR="00165566" w:rsidRPr="00C4084C" w:rsidRDefault="00165566" w:rsidP="008C67CA">
            <w:pPr>
              <w:pStyle w:val="Boxtext0"/>
              <w:rPr>
                <w:b/>
              </w:rPr>
            </w:pPr>
            <w:r w:rsidRPr="00C4084C">
              <w:rPr>
                <w:b/>
              </w:rPr>
              <w:t xml:space="preserve">Research: </w:t>
            </w:r>
            <w:r w:rsidRPr="00C4084C">
              <w:rPr>
                <w:bCs/>
              </w:rPr>
              <w:t xml:space="preserve">While </w:t>
            </w:r>
            <w:r w:rsidRPr="00C4084C">
              <w:t xml:space="preserve">Australian universities invest significantly in research, </w:t>
            </w:r>
            <w:r w:rsidRPr="00C4084C">
              <w:rPr>
                <w:rFonts w:eastAsia="Arial"/>
              </w:rPr>
              <w:t xml:space="preserve">national R&amp;D expenditure overall is low for an advanced economy and our rankings on innovation indices are poor. </w:t>
            </w:r>
            <w:r w:rsidRPr="00C4084C">
              <w:t xml:space="preserve">Securing Australia’s high-quality research bedrock will require </w:t>
            </w:r>
            <w:r w:rsidRPr="00C4084C">
              <w:rPr>
                <w:rStyle w:val="normaltextrun"/>
                <w:rFonts w:cs="Arial"/>
              </w:rPr>
              <w:t xml:space="preserve">significant growth of Australia’s R&amp;D system. This growth </w:t>
            </w:r>
            <w:r w:rsidRPr="008C67CA">
              <w:t>cannot</w:t>
            </w:r>
            <w:r w:rsidRPr="00C4084C">
              <w:rPr>
                <w:rStyle w:val="normaltextrun"/>
                <w:rFonts w:cs="Arial"/>
              </w:rPr>
              <w:t xml:space="preserve"> be achieved without a significant increase in Australia’s expenditure on R&amp;D as a proportion of GDP.</w:t>
            </w:r>
          </w:p>
        </w:tc>
      </w:tr>
    </w:tbl>
    <w:p w14:paraId="777A9933" w14:textId="77777777" w:rsidR="00165566" w:rsidRPr="00C4084C" w:rsidRDefault="00165566" w:rsidP="00165566">
      <w:pPr>
        <w:pStyle w:val="NoSpacing"/>
      </w:pPr>
    </w:p>
    <w:tbl>
      <w:tblPr>
        <w:tblW w:w="0" w:type="auto"/>
        <w:shd w:val="clear" w:color="auto" w:fill="FBE4D5"/>
        <w:tblLook w:val="04A0" w:firstRow="1" w:lastRow="0" w:firstColumn="1" w:lastColumn="0" w:noHBand="0" w:noVBand="1"/>
      </w:tblPr>
      <w:tblGrid>
        <w:gridCol w:w="9026"/>
      </w:tblGrid>
      <w:tr w:rsidR="00165566" w:rsidRPr="00C4084C" w14:paraId="7899E1D0" w14:textId="77777777" w:rsidTr="00D26B82">
        <w:tc>
          <w:tcPr>
            <w:tcW w:w="9026" w:type="dxa"/>
            <w:shd w:val="clear" w:color="auto" w:fill="B0C3DB"/>
          </w:tcPr>
          <w:p w14:paraId="35542846" w14:textId="4E8BA10E" w:rsidR="00165566" w:rsidRPr="00C4084C" w:rsidRDefault="00165566" w:rsidP="008C67CA">
            <w:pPr>
              <w:pStyle w:val="Boxtext0"/>
              <w:rPr>
                <w:b/>
              </w:rPr>
            </w:pPr>
            <w:r w:rsidRPr="00C4084C">
              <w:rPr>
                <w:b/>
              </w:rPr>
              <w:t xml:space="preserve">Research: </w:t>
            </w:r>
            <w:r w:rsidRPr="00C4084C">
              <w:t xml:space="preserve">The current stipend for </w:t>
            </w:r>
            <w:r w:rsidR="00282B7C" w:rsidRPr="00C4084C">
              <w:t>Higher D</w:t>
            </w:r>
            <w:r w:rsidRPr="00C4084C">
              <w:t>egree</w:t>
            </w:r>
            <w:r w:rsidR="00282B7C" w:rsidRPr="00C4084C">
              <w:t xml:space="preserve"> </w:t>
            </w:r>
            <w:r w:rsidRPr="00C4084C">
              <w:t>by</w:t>
            </w:r>
            <w:r w:rsidR="00282B7C" w:rsidRPr="00C4084C">
              <w:t xml:space="preserve"> R</w:t>
            </w:r>
            <w:r w:rsidRPr="00C4084C">
              <w:t xml:space="preserve">esearch students is too low and is discouraging many of the best students from becoming the next generation of researchers. This includes students from under-represented backgrounds. Potential candidates are currently faced with an economic disincentive to pursue research training. </w:t>
            </w:r>
            <w:r w:rsidRPr="00C4084C">
              <w:rPr>
                <w:bCs/>
              </w:rPr>
              <w:t xml:space="preserve">The </w:t>
            </w:r>
            <w:r w:rsidR="00282B7C" w:rsidRPr="00C4084C">
              <w:rPr>
                <w:bCs/>
              </w:rPr>
              <w:t xml:space="preserve">Research Training Program </w:t>
            </w:r>
            <w:r w:rsidRPr="00C4084C">
              <w:rPr>
                <w:bCs/>
              </w:rPr>
              <w:t xml:space="preserve">needs to be </w:t>
            </w:r>
            <w:r w:rsidR="00FC5DC4">
              <w:rPr>
                <w:bCs/>
              </w:rPr>
              <w:t>adjusted</w:t>
            </w:r>
            <w:r w:rsidR="00FC5DC4" w:rsidRPr="00C4084C">
              <w:rPr>
                <w:bCs/>
              </w:rPr>
              <w:t xml:space="preserve"> </w:t>
            </w:r>
            <w:proofErr w:type="gramStart"/>
            <w:r w:rsidRPr="00C4084C">
              <w:rPr>
                <w:bCs/>
              </w:rPr>
              <w:t>in order to</w:t>
            </w:r>
            <w:proofErr w:type="gramEnd"/>
            <w:r w:rsidRPr="00C4084C">
              <w:rPr>
                <w:bCs/>
              </w:rPr>
              <w:t xml:space="preserve"> address this.</w:t>
            </w:r>
          </w:p>
        </w:tc>
      </w:tr>
    </w:tbl>
    <w:p w14:paraId="4278E757" w14:textId="77777777" w:rsidR="00165566" w:rsidRPr="00C4084C" w:rsidRDefault="00165566" w:rsidP="00165566">
      <w:pPr>
        <w:pStyle w:val="NoSpacing"/>
      </w:pPr>
    </w:p>
    <w:tbl>
      <w:tblPr>
        <w:tblW w:w="0" w:type="auto"/>
        <w:shd w:val="clear" w:color="auto" w:fill="FBE4D5"/>
        <w:tblLook w:val="04A0" w:firstRow="1" w:lastRow="0" w:firstColumn="1" w:lastColumn="0" w:noHBand="0" w:noVBand="1"/>
      </w:tblPr>
      <w:tblGrid>
        <w:gridCol w:w="9026"/>
      </w:tblGrid>
      <w:tr w:rsidR="00165566" w:rsidRPr="00C4084C" w14:paraId="199E26D8" w14:textId="77777777" w:rsidTr="00D26B82">
        <w:tc>
          <w:tcPr>
            <w:tcW w:w="9026" w:type="dxa"/>
            <w:shd w:val="clear" w:color="auto" w:fill="B0C3DB"/>
          </w:tcPr>
          <w:p w14:paraId="334FDB55" w14:textId="3BA4AAFC" w:rsidR="00165566" w:rsidRPr="00C4084C" w:rsidRDefault="00165566" w:rsidP="00FD3383">
            <w:pPr>
              <w:pStyle w:val="Boxtext0"/>
              <w:rPr>
                <w:b/>
              </w:rPr>
            </w:pPr>
            <w:r w:rsidRPr="00C4084C">
              <w:rPr>
                <w:b/>
              </w:rPr>
              <w:t xml:space="preserve">Regulation: </w:t>
            </w:r>
            <w:r w:rsidRPr="00C4084C">
              <w:t xml:space="preserve">The creation of TEQSA following the Bradley Review has helped strengthen the reputation of Australia’s higher education sector. It has been successful in </w:t>
            </w:r>
            <w:r w:rsidR="00074371" w:rsidRPr="00C4084C">
              <w:t>establishing</w:t>
            </w:r>
            <w:r w:rsidRPr="00C4084C">
              <w:t xml:space="preserve"> a set of minimum standards and enforcing a baseline for provider behaviour</w:t>
            </w:r>
            <w:r w:rsidR="00074371" w:rsidRPr="00C4084C">
              <w:t>. H</w:t>
            </w:r>
            <w:r w:rsidRPr="00C4084C">
              <w:t xml:space="preserve">owever, new regulatory challenges </w:t>
            </w:r>
            <w:r w:rsidR="007836DF" w:rsidRPr="00C4084C">
              <w:t>will continue to emerge, and a process for responding to these is needed.</w:t>
            </w:r>
          </w:p>
        </w:tc>
      </w:tr>
    </w:tbl>
    <w:p w14:paraId="6344F393" w14:textId="77777777" w:rsidR="00165566" w:rsidRPr="00C4084C" w:rsidRDefault="00165566" w:rsidP="00165566">
      <w:pPr>
        <w:pStyle w:val="NoSpacing"/>
      </w:pPr>
    </w:p>
    <w:tbl>
      <w:tblPr>
        <w:tblW w:w="0" w:type="auto"/>
        <w:shd w:val="clear" w:color="auto" w:fill="FBE4D5"/>
        <w:tblLook w:val="04A0" w:firstRow="1" w:lastRow="0" w:firstColumn="1" w:lastColumn="0" w:noHBand="0" w:noVBand="1"/>
      </w:tblPr>
      <w:tblGrid>
        <w:gridCol w:w="9026"/>
      </w:tblGrid>
      <w:tr w:rsidR="00165566" w:rsidRPr="00C4084C" w14:paraId="4BDC6B3C" w14:textId="77777777" w:rsidTr="00D26B82">
        <w:tc>
          <w:tcPr>
            <w:tcW w:w="9026" w:type="dxa"/>
            <w:shd w:val="clear" w:color="auto" w:fill="B0C3DB"/>
          </w:tcPr>
          <w:p w14:paraId="674136B3" w14:textId="77777777" w:rsidR="00165566" w:rsidRPr="00C4084C" w:rsidRDefault="00165566" w:rsidP="00FD3383">
            <w:pPr>
              <w:pStyle w:val="Boxtext0"/>
            </w:pPr>
            <w:r w:rsidRPr="00C4084C">
              <w:rPr>
                <w:b/>
              </w:rPr>
              <w:t xml:space="preserve">Governance: </w:t>
            </w:r>
            <w:r w:rsidRPr="00C4084C">
              <w:t>In recent times, our regulatory and university governance arrangements have been too slow to recognise and respond to several important issues, especially in the areas of student wellbeing and staff employment. The Review’s consultations heard repeatedly about failures to ensure students are safe, particularly from sexual assault and sexual harassment, and about staff employment concerns, especially relating to casualisation and underpayment.</w:t>
            </w:r>
          </w:p>
        </w:tc>
      </w:tr>
    </w:tbl>
    <w:p w14:paraId="620AC073" w14:textId="77777777" w:rsidR="00165566" w:rsidRPr="00C4084C" w:rsidRDefault="00165566" w:rsidP="00165566">
      <w:pPr>
        <w:pStyle w:val="NoSpacing"/>
      </w:pPr>
    </w:p>
    <w:tbl>
      <w:tblPr>
        <w:tblW w:w="0" w:type="auto"/>
        <w:shd w:val="clear" w:color="auto" w:fill="FBE4D5"/>
        <w:tblLook w:val="04A0" w:firstRow="1" w:lastRow="0" w:firstColumn="1" w:lastColumn="0" w:noHBand="0" w:noVBand="1"/>
      </w:tblPr>
      <w:tblGrid>
        <w:gridCol w:w="9026"/>
      </w:tblGrid>
      <w:tr w:rsidR="00165566" w:rsidRPr="00C4084C" w14:paraId="19B97989" w14:textId="77777777" w:rsidTr="00D26B82">
        <w:trPr>
          <w:cantSplit/>
        </w:trPr>
        <w:tc>
          <w:tcPr>
            <w:tcW w:w="9026" w:type="dxa"/>
            <w:shd w:val="clear" w:color="auto" w:fill="B0C3DB"/>
          </w:tcPr>
          <w:p w14:paraId="5185EBF2" w14:textId="77777777" w:rsidR="00165566" w:rsidRPr="00C4084C" w:rsidRDefault="00165566" w:rsidP="00FD3383">
            <w:pPr>
              <w:pStyle w:val="Boxtext0"/>
            </w:pPr>
            <w:r w:rsidRPr="00C4084C">
              <w:rPr>
                <w:b/>
              </w:rPr>
              <w:lastRenderedPageBreak/>
              <w:t xml:space="preserve">Size and shape of the tertiary education sector: </w:t>
            </w:r>
            <w:r w:rsidRPr="00C4084C">
              <w:t xml:space="preserve">Institutions need to innovate and evolve in type, diversity, </w:t>
            </w:r>
            <w:proofErr w:type="gramStart"/>
            <w:r w:rsidRPr="00C4084C">
              <w:t>size</w:t>
            </w:r>
            <w:proofErr w:type="gramEnd"/>
            <w:r w:rsidRPr="00C4084C">
              <w:t xml:space="preserve"> and number over the coming decades to respond to the changing needs of our students and economy. Achieving this greater level of institutional innovation and diversity will require long-term planning, system-wide </w:t>
            </w:r>
            <w:proofErr w:type="gramStart"/>
            <w:r w:rsidRPr="00C4084C">
              <w:t>collaboration</w:t>
            </w:r>
            <w:proofErr w:type="gramEnd"/>
            <w:r w:rsidRPr="00C4084C">
              <w:t xml:space="preserve"> and proactive intervention by governments to reduce barriers to evolution and change, and to unlock the innovation potential within the sector.</w:t>
            </w:r>
            <w:r w:rsidRPr="00C4084C">
              <w:rPr>
                <w:b/>
              </w:rPr>
              <w:t> </w:t>
            </w:r>
          </w:p>
        </w:tc>
      </w:tr>
    </w:tbl>
    <w:p w14:paraId="642AAB62" w14:textId="77777777" w:rsidR="000219B0" w:rsidRPr="00C4084C" w:rsidRDefault="000219B0" w:rsidP="000219B0">
      <w:pPr>
        <w:pStyle w:val="NoSpacing"/>
      </w:pPr>
    </w:p>
    <w:tbl>
      <w:tblPr>
        <w:tblW w:w="0" w:type="auto"/>
        <w:shd w:val="clear" w:color="auto" w:fill="FBE4D5"/>
        <w:tblLook w:val="04A0" w:firstRow="1" w:lastRow="0" w:firstColumn="1" w:lastColumn="0" w:noHBand="0" w:noVBand="1"/>
      </w:tblPr>
      <w:tblGrid>
        <w:gridCol w:w="9026"/>
      </w:tblGrid>
      <w:tr w:rsidR="000219B0" w:rsidRPr="00C4084C" w14:paraId="4A91CAE8" w14:textId="77777777" w:rsidTr="00D26B82">
        <w:trPr>
          <w:cantSplit/>
        </w:trPr>
        <w:tc>
          <w:tcPr>
            <w:tcW w:w="9026" w:type="dxa"/>
            <w:shd w:val="clear" w:color="auto" w:fill="B0C3DB"/>
          </w:tcPr>
          <w:p w14:paraId="53FDCC41" w14:textId="1A904674" w:rsidR="000219B0" w:rsidRPr="00C4084C" w:rsidRDefault="000219B0">
            <w:pPr>
              <w:pStyle w:val="Boxtext0"/>
            </w:pPr>
            <w:r w:rsidRPr="00C4084C">
              <w:rPr>
                <w:b/>
              </w:rPr>
              <w:t xml:space="preserve">International: </w:t>
            </w:r>
            <w:r w:rsidRPr="00C4084C">
              <w:t xml:space="preserve">International education is well-recognised as a crucial export industry, but less so as an important element of Australia’s soft diplomacy, </w:t>
            </w:r>
            <w:proofErr w:type="gramStart"/>
            <w:r w:rsidRPr="00C4084C">
              <w:t>reputation</w:t>
            </w:r>
            <w:proofErr w:type="gramEnd"/>
            <w:r w:rsidRPr="00C4084C">
              <w:t xml:space="preserve"> and ability to generate relationships across the world. International alumni can be strong champions for institutions, regions and the nation and their potential needs to be harnessed. Maintaining the quality and integrity of the international education system is essential to continuing to deliver this value.</w:t>
            </w:r>
          </w:p>
        </w:tc>
      </w:tr>
    </w:tbl>
    <w:p w14:paraId="35966224" w14:textId="77777777" w:rsidR="00165566" w:rsidRPr="00C4084C" w:rsidRDefault="00165566" w:rsidP="00165566">
      <w:pPr>
        <w:pStyle w:val="NoSpacing"/>
      </w:pPr>
    </w:p>
    <w:tbl>
      <w:tblPr>
        <w:tblW w:w="0" w:type="auto"/>
        <w:shd w:val="clear" w:color="auto" w:fill="FBE4D5"/>
        <w:tblLook w:val="04A0" w:firstRow="1" w:lastRow="0" w:firstColumn="1" w:lastColumn="0" w:noHBand="0" w:noVBand="1"/>
      </w:tblPr>
      <w:tblGrid>
        <w:gridCol w:w="9026"/>
      </w:tblGrid>
      <w:tr w:rsidR="00165566" w:rsidRPr="00C4084C" w14:paraId="5AAE60DB" w14:textId="77777777" w:rsidTr="00D26B82">
        <w:tc>
          <w:tcPr>
            <w:tcW w:w="9026" w:type="dxa"/>
            <w:shd w:val="clear" w:color="auto" w:fill="B0C3DB"/>
          </w:tcPr>
          <w:p w14:paraId="653FC67C" w14:textId="77777777" w:rsidR="00165566" w:rsidRPr="00C4084C" w:rsidRDefault="00165566" w:rsidP="00FD3383">
            <w:pPr>
              <w:pStyle w:val="Boxtext0"/>
            </w:pPr>
            <w:r w:rsidRPr="00C4084C">
              <w:rPr>
                <w:b/>
              </w:rPr>
              <w:t xml:space="preserve">Regional: </w:t>
            </w:r>
            <w:r w:rsidRPr="00C4084C">
              <w:t xml:space="preserve">Regional tertiary education providers play a crucial role in Australian society. They deliver local jobs, make significant social and economic contributions to their local communities, provide relevant research and many other tangible benefits. </w:t>
            </w:r>
          </w:p>
        </w:tc>
      </w:tr>
    </w:tbl>
    <w:p w14:paraId="6EC69B48" w14:textId="77777777" w:rsidR="00165566" w:rsidRPr="00C4084C" w:rsidRDefault="00165566" w:rsidP="00165566">
      <w:pPr>
        <w:pStyle w:val="NoSpacing"/>
      </w:pPr>
    </w:p>
    <w:tbl>
      <w:tblPr>
        <w:tblW w:w="0" w:type="auto"/>
        <w:shd w:val="clear" w:color="auto" w:fill="FBE4D5"/>
        <w:tblLook w:val="04A0" w:firstRow="1" w:lastRow="0" w:firstColumn="1" w:lastColumn="0" w:noHBand="0" w:noVBand="1"/>
      </w:tblPr>
      <w:tblGrid>
        <w:gridCol w:w="9026"/>
      </w:tblGrid>
      <w:tr w:rsidR="00165566" w:rsidRPr="00C4084C" w14:paraId="360BFEEE" w14:textId="77777777" w:rsidTr="00D26B82">
        <w:tc>
          <w:tcPr>
            <w:tcW w:w="9026" w:type="dxa"/>
            <w:shd w:val="clear" w:color="auto" w:fill="B0C3DB"/>
          </w:tcPr>
          <w:p w14:paraId="543FFE4F" w14:textId="77777777" w:rsidR="00165566" w:rsidRPr="00C4084C" w:rsidRDefault="00165566" w:rsidP="00FD3383">
            <w:pPr>
              <w:pStyle w:val="Boxtext0"/>
            </w:pPr>
            <w:r w:rsidRPr="00C4084C">
              <w:rPr>
                <w:b/>
              </w:rPr>
              <w:t xml:space="preserve">Funding: </w:t>
            </w:r>
            <w:r w:rsidRPr="00C4084C">
              <w:t xml:space="preserve">Changes made to funding through the Job-ready Graduates package unfairly affected some students (particularly those studying humanities, human movement, society and culture, and communications) and reduced the amount of funding available to universities to deliver subjects that are critical to future jobs and innovation like science, </w:t>
            </w:r>
            <w:proofErr w:type="gramStart"/>
            <w:r w:rsidRPr="00C4084C">
              <w:t>engineering</w:t>
            </w:r>
            <w:proofErr w:type="gramEnd"/>
            <w:r w:rsidRPr="00C4084C">
              <w:t xml:space="preserve"> and mathematics.</w:t>
            </w:r>
          </w:p>
        </w:tc>
      </w:tr>
    </w:tbl>
    <w:p w14:paraId="053FCF53" w14:textId="77777777" w:rsidR="00165566" w:rsidRPr="00C4084C" w:rsidRDefault="00165566" w:rsidP="00165566">
      <w:pPr>
        <w:pStyle w:val="NoSpacing"/>
      </w:pPr>
    </w:p>
    <w:tbl>
      <w:tblPr>
        <w:tblW w:w="0" w:type="auto"/>
        <w:shd w:val="clear" w:color="auto" w:fill="FBE4D5"/>
        <w:tblLook w:val="04A0" w:firstRow="1" w:lastRow="0" w:firstColumn="1" w:lastColumn="0" w:noHBand="0" w:noVBand="1"/>
      </w:tblPr>
      <w:tblGrid>
        <w:gridCol w:w="9026"/>
      </w:tblGrid>
      <w:tr w:rsidR="00165566" w:rsidRPr="00C4084C" w14:paraId="5A25F301" w14:textId="77777777" w:rsidTr="00D26B82">
        <w:tc>
          <w:tcPr>
            <w:tcW w:w="9026" w:type="dxa"/>
            <w:shd w:val="clear" w:color="auto" w:fill="B0C3DB"/>
          </w:tcPr>
          <w:p w14:paraId="7C0154FA" w14:textId="77777777" w:rsidR="00165566" w:rsidRPr="00C4084C" w:rsidRDefault="00165566" w:rsidP="008C67CA">
            <w:pPr>
              <w:pStyle w:val="Boxtext0"/>
            </w:pPr>
            <w:r w:rsidRPr="00C4084C">
              <w:rPr>
                <w:b/>
              </w:rPr>
              <w:t xml:space="preserve">Funding: </w:t>
            </w:r>
            <w:r w:rsidRPr="00C4084C">
              <w:t xml:space="preserve">The current funding system is overly complex, </w:t>
            </w:r>
            <w:proofErr w:type="gramStart"/>
            <w:r w:rsidRPr="00C4084C">
              <w:t>fragmented</w:t>
            </w:r>
            <w:proofErr w:type="gramEnd"/>
            <w:r w:rsidRPr="00C4084C">
              <w:t xml:space="preserve"> and difficult to comprehend. It needs to be simplified.</w:t>
            </w:r>
            <w:r w:rsidRPr="00C4084C">
              <w:rPr>
                <w:b/>
              </w:rPr>
              <w:t> </w:t>
            </w:r>
          </w:p>
        </w:tc>
      </w:tr>
    </w:tbl>
    <w:p w14:paraId="7CE854B0" w14:textId="77777777" w:rsidR="00165566" w:rsidRPr="00C4084C" w:rsidRDefault="00165566" w:rsidP="00165566">
      <w:pPr>
        <w:pStyle w:val="NoSpacing"/>
      </w:pPr>
    </w:p>
    <w:tbl>
      <w:tblPr>
        <w:tblW w:w="0" w:type="auto"/>
        <w:shd w:val="clear" w:color="auto" w:fill="FBE4D5"/>
        <w:tblLook w:val="04A0" w:firstRow="1" w:lastRow="0" w:firstColumn="1" w:lastColumn="0" w:noHBand="0" w:noVBand="1"/>
      </w:tblPr>
      <w:tblGrid>
        <w:gridCol w:w="9026"/>
      </w:tblGrid>
      <w:tr w:rsidR="00813280" w:rsidRPr="00C4084C" w14:paraId="1402D279" w14:textId="77777777" w:rsidTr="00D26B82">
        <w:tc>
          <w:tcPr>
            <w:tcW w:w="9026" w:type="dxa"/>
            <w:shd w:val="clear" w:color="auto" w:fill="B0C3DB"/>
          </w:tcPr>
          <w:p w14:paraId="3471FCFA" w14:textId="4E63E27E" w:rsidR="00813280" w:rsidRPr="00C4084C" w:rsidRDefault="00813280" w:rsidP="008C67CA">
            <w:pPr>
              <w:pStyle w:val="Boxtext0"/>
            </w:pPr>
            <w:r w:rsidRPr="00C4084C">
              <w:rPr>
                <w:b/>
              </w:rPr>
              <w:t xml:space="preserve">Funding: </w:t>
            </w:r>
            <w:r w:rsidRPr="00C4084C">
              <w:t>The current approach to setting core funding through ‘cluster rates’ means that some disciplines are likely substantially under-funded, and some potentially over-funded. The lack of fidelity and accuracy in pricing means that small, expensive courses such as veterinary science and the performing arts require significant and unsatisfactory cross-subsidy within universities and reduces the ability of the system overall and individual providers to increase efficiency and effectiveness of course delivery arrangements.</w:t>
            </w:r>
          </w:p>
        </w:tc>
      </w:tr>
    </w:tbl>
    <w:p w14:paraId="63EDC540" w14:textId="77777777" w:rsidR="00813280" w:rsidRPr="00C4084C" w:rsidRDefault="00813280" w:rsidP="00165566">
      <w:pPr>
        <w:pStyle w:val="NoSpacing"/>
      </w:pPr>
    </w:p>
    <w:tbl>
      <w:tblPr>
        <w:tblW w:w="0" w:type="auto"/>
        <w:shd w:val="clear" w:color="auto" w:fill="FBE4D5"/>
        <w:tblLook w:val="04A0" w:firstRow="1" w:lastRow="0" w:firstColumn="1" w:lastColumn="0" w:noHBand="0" w:noVBand="1"/>
      </w:tblPr>
      <w:tblGrid>
        <w:gridCol w:w="9026"/>
      </w:tblGrid>
      <w:tr w:rsidR="00165566" w:rsidRPr="00C4084C" w14:paraId="12144D2D" w14:textId="77777777" w:rsidTr="00D26B82">
        <w:tc>
          <w:tcPr>
            <w:tcW w:w="9026" w:type="dxa"/>
            <w:shd w:val="clear" w:color="auto" w:fill="B0C3DB"/>
          </w:tcPr>
          <w:p w14:paraId="7805D048" w14:textId="4E9173CA" w:rsidR="00165566" w:rsidRPr="00C4084C" w:rsidRDefault="00165566" w:rsidP="00FD3383">
            <w:pPr>
              <w:pStyle w:val="Boxtext0"/>
            </w:pPr>
            <w:r w:rsidRPr="00C4084C">
              <w:rPr>
                <w:b/>
              </w:rPr>
              <w:t xml:space="preserve">Funding: </w:t>
            </w:r>
            <w:r w:rsidRPr="00C4084C">
              <w:t>The practice of universities enrolling students over their funding cap and receiving only marginal funding for additional students has had adverse flow-on effects for the whole system. Marginal funding has distorted the distribution of students between universities, creating potential long-term viability issues for some universities.</w:t>
            </w:r>
            <w:r w:rsidRPr="00C4084C">
              <w:rPr>
                <w:b/>
              </w:rPr>
              <w:t> </w:t>
            </w:r>
          </w:p>
        </w:tc>
      </w:tr>
    </w:tbl>
    <w:p w14:paraId="755D1B38" w14:textId="77777777" w:rsidR="00F63705" w:rsidRDefault="00F63705" w:rsidP="00165566">
      <w:pPr>
        <w:spacing w:after="0" w:line="240" w:lineRule="auto"/>
        <w:rPr>
          <w:rStyle w:val="normaltextrun"/>
          <w:rFonts w:ascii="Calibri" w:hAnsi="Calibri" w:cs="Calibri"/>
          <w:b/>
          <w:bCs/>
          <w:color w:val="000000"/>
          <w:shd w:val="clear" w:color="auto" w:fill="FFFFFF"/>
        </w:rPr>
        <w:sectPr w:rsidR="00F63705" w:rsidSect="00134415">
          <w:headerReference w:type="even" r:id="rId26"/>
          <w:headerReference w:type="default" r:id="rId27"/>
          <w:headerReference w:type="first" r:id="rId28"/>
          <w:pgSz w:w="11906" w:h="16838"/>
          <w:pgMar w:top="1440" w:right="1440" w:bottom="1440" w:left="1440" w:header="708" w:footer="794" w:gutter="0"/>
          <w:pgNumType w:start="1"/>
          <w:cols w:space="708"/>
          <w:titlePg/>
          <w:docGrid w:linePitch="360"/>
        </w:sectPr>
      </w:pPr>
    </w:p>
    <w:p w14:paraId="257AF117" w14:textId="6EBC0B8A" w:rsidR="00C977C2" w:rsidRPr="00C4084C" w:rsidRDefault="00C977C2" w:rsidP="00F63705">
      <w:pPr>
        <w:pStyle w:val="Non-numberedHeading2"/>
      </w:pPr>
      <w:bookmarkStart w:id="23" w:name="_Toc153482997"/>
      <w:bookmarkStart w:id="24" w:name="_Toc159500907"/>
      <w:r w:rsidRPr="00C4084C">
        <w:lastRenderedPageBreak/>
        <w:t>Recommendations</w:t>
      </w:r>
      <w:bookmarkEnd w:id="23"/>
      <w:bookmarkEnd w:id="24"/>
    </w:p>
    <w:p w14:paraId="7B710B4B" w14:textId="77777777" w:rsidR="00FA5EFE" w:rsidRPr="00C4084C" w:rsidRDefault="00FA5EFE" w:rsidP="00FA5EFE">
      <w:pPr>
        <w:pStyle w:val="Rec-frontmatternonheading"/>
      </w:pPr>
      <w:r w:rsidRPr="00C4084C">
        <w:t>National Tertiary Education Objective</w:t>
      </w:r>
    </w:p>
    <w:tbl>
      <w:tblPr>
        <w:tblW w:w="0" w:type="auto"/>
        <w:shd w:val="clear" w:color="auto" w:fill="FBE4D5"/>
        <w:tblLook w:val="04A0" w:firstRow="1" w:lastRow="0" w:firstColumn="1" w:lastColumn="0" w:noHBand="0" w:noVBand="1"/>
      </w:tblPr>
      <w:tblGrid>
        <w:gridCol w:w="9026"/>
      </w:tblGrid>
      <w:tr w:rsidR="00FA5EFE" w:rsidRPr="00C4084C" w14:paraId="1821EEBB" w14:textId="77777777" w:rsidTr="00D26B82">
        <w:tc>
          <w:tcPr>
            <w:tcW w:w="0" w:type="auto"/>
            <w:shd w:val="clear" w:color="auto" w:fill="FEECDF"/>
          </w:tcPr>
          <w:p w14:paraId="3ACB3AF3" w14:textId="77777777" w:rsidR="00FA5EFE" w:rsidRPr="00C4084C" w:rsidRDefault="00FA5EFE">
            <w:pPr>
              <w:pStyle w:val="List"/>
              <w:spacing w:before="240" w:after="0"/>
            </w:pPr>
            <w:r w:rsidRPr="00C4084C">
              <w:t>That to set a clear vision for the tertiary education system – both higher education and vocational education and training – the Australian Government specify that the objective of the national tertiary education system is to:</w:t>
            </w:r>
          </w:p>
          <w:p w14:paraId="21A15C1D" w14:textId="77777777" w:rsidR="00FA5EFE" w:rsidRPr="00C4084C" w:rsidRDefault="00FA5EFE" w:rsidP="008C4411">
            <w:pPr>
              <w:pStyle w:val="List2"/>
              <w:spacing w:before="0" w:beforeAutospacing="0"/>
            </w:pPr>
            <w:r w:rsidRPr="00C4084C">
              <w:rPr>
                <w:b/>
              </w:rPr>
              <w:t>underpin</w:t>
            </w:r>
            <w:r w:rsidRPr="00C4084C">
              <w:t xml:space="preserve"> a strong, equitable and resilient </w:t>
            </w:r>
            <w:proofErr w:type="gramStart"/>
            <w:r w:rsidRPr="00C4084C">
              <w:t>democracy</w:t>
            </w:r>
            <w:proofErr w:type="gramEnd"/>
          </w:p>
          <w:p w14:paraId="46578439" w14:textId="77777777" w:rsidR="00FA5EFE" w:rsidRPr="00C4084C" w:rsidRDefault="00FA5EFE">
            <w:pPr>
              <w:pStyle w:val="List2"/>
            </w:pPr>
            <w:r w:rsidRPr="00C4084C">
              <w:rPr>
                <w:b/>
              </w:rPr>
              <w:t>drive</w:t>
            </w:r>
            <w:r w:rsidRPr="00C4084C">
              <w:t xml:space="preserve"> national economic and social development and environmental sustainability.  </w:t>
            </w:r>
          </w:p>
          <w:p w14:paraId="267867AF" w14:textId="77777777" w:rsidR="00FA5EFE" w:rsidRPr="00C4084C" w:rsidRDefault="00FA5EFE">
            <w:pPr>
              <w:spacing w:before="240" w:after="0" w:line="240" w:lineRule="auto"/>
              <w:ind w:left="397"/>
              <w:rPr>
                <w:rFonts w:ascii="Calibri" w:eastAsia="Calibri" w:hAnsi="Calibri" w:cs="Times New Roman"/>
                <w:kern w:val="2"/>
                <w14:ligatures w14:val="standardContextual"/>
              </w:rPr>
            </w:pPr>
            <w:r w:rsidRPr="00C4084C">
              <w:rPr>
                <w:rFonts w:ascii="Calibri" w:eastAsia="Calibri" w:hAnsi="Calibri" w:cs="Times New Roman"/>
                <w:kern w:val="2"/>
                <w14:ligatures w14:val="standardContextual"/>
              </w:rPr>
              <w:t>The National Tertiary Education Objective will be achieved through ensuring: </w:t>
            </w:r>
          </w:p>
          <w:p w14:paraId="742E6A68" w14:textId="3D13F0DD" w:rsidR="00FA5EFE" w:rsidRPr="00C4084C" w:rsidRDefault="00FA5EFE" w:rsidP="00FB44F8">
            <w:pPr>
              <w:pStyle w:val="List2"/>
              <w:numPr>
                <w:ilvl w:val="0"/>
                <w:numId w:val="29"/>
              </w:numPr>
              <w:spacing w:before="0" w:beforeAutospacing="0"/>
            </w:pPr>
            <w:r w:rsidRPr="00C4084C">
              <w:t xml:space="preserve">a strong, dynamic and efficient tertiary education system that has the capacity, capability and infrastructure it </w:t>
            </w:r>
            <w:proofErr w:type="gramStart"/>
            <w:r w:rsidRPr="00C4084C">
              <w:t>needs</w:t>
            </w:r>
            <w:proofErr w:type="gramEnd"/>
          </w:p>
          <w:p w14:paraId="33B4FCB6" w14:textId="410C1804" w:rsidR="00FA5EFE" w:rsidRPr="00C4084C" w:rsidRDefault="00FA5EFE" w:rsidP="00FB44F8">
            <w:pPr>
              <w:pStyle w:val="List2"/>
              <w:numPr>
                <w:ilvl w:val="0"/>
                <w:numId w:val="29"/>
              </w:numPr>
            </w:pPr>
            <w:r w:rsidRPr="00C4084C">
              <w:t xml:space="preserve">affordable and equitable opportunity for all Australians to access and participate in high-quality, engaging and transformative tertiary education </w:t>
            </w:r>
            <w:proofErr w:type="gramStart"/>
            <w:r w:rsidRPr="00C4084C">
              <w:t>programs</w:t>
            </w:r>
            <w:proofErr w:type="gramEnd"/>
          </w:p>
          <w:p w14:paraId="414F9F5E" w14:textId="77777777" w:rsidR="00FA5EFE" w:rsidRPr="00C4084C" w:rsidRDefault="00FA5EFE" w:rsidP="00FB44F8">
            <w:pPr>
              <w:pStyle w:val="List2"/>
              <w:numPr>
                <w:ilvl w:val="0"/>
                <w:numId w:val="29"/>
              </w:numPr>
            </w:pPr>
            <w:r w:rsidRPr="00C4084C">
              <w:t xml:space="preserve">delivery of graduates with the creativity and technical skills to meet future workforce and societal </w:t>
            </w:r>
            <w:proofErr w:type="gramStart"/>
            <w:r w:rsidRPr="00C4084C">
              <w:t>need</w:t>
            </w:r>
            <w:proofErr w:type="gramEnd"/>
          </w:p>
          <w:p w14:paraId="26A1BD68" w14:textId="0802211B" w:rsidR="00FA5EFE" w:rsidRPr="00C4084C" w:rsidRDefault="00FA5EFE" w:rsidP="00FB44F8">
            <w:pPr>
              <w:pStyle w:val="List2"/>
              <w:numPr>
                <w:ilvl w:val="0"/>
                <w:numId w:val="29"/>
              </w:numPr>
            </w:pPr>
            <w:r w:rsidRPr="00C4084C">
              <w:t xml:space="preserve">collaborative and purposeful work between all governments, tertiary education providers, industry, employers and unions to flexibly align local skills supply with </w:t>
            </w:r>
            <w:proofErr w:type="gramStart"/>
            <w:r w:rsidRPr="00C4084C">
              <w:t>demand</w:t>
            </w:r>
            <w:proofErr w:type="gramEnd"/>
            <w:r w:rsidRPr="00C4084C">
              <w:t xml:space="preserve"> </w:t>
            </w:r>
          </w:p>
          <w:p w14:paraId="25EBF39C" w14:textId="77777777" w:rsidR="00FA5EFE" w:rsidRPr="00C4084C" w:rsidRDefault="00FA5EFE" w:rsidP="00FB44F8">
            <w:pPr>
              <w:pStyle w:val="List2"/>
              <w:numPr>
                <w:ilvl w:val="0"/>
                <w:numId w:val="29"/>
              </w:numPr>
            </w:pPr>
            <w:r w:rsidRPr="00C4084C">
              <w:t>the creation and diffusion of new knowledge and its innovative application for the betterment of society. </w:t>
            </w:r>
          </w:p>
          <w:p w14:paraId="67ED5D52" w14:textId="77777777" w:rsidR="00FA5EFE" w:rsidRPr="00C4084C" w:rsidDel="00C977C2" w:rsidRDefault="00FA5EFE">
            <w:pPr>
              <w:spacing w:after="160" w:line="240" w:lineRule="auto"/>
              <w:ind w:left="397"/>
              <w:rPr>
                <w:rStyle w:val="PriorityAction-Bold"/>
                <w:rFonts w:ascii="Calibri" w:eastAsia="Calibri" w:hAnsi="Calibri" w:cs="Times New Roman"/>
                <w:b w:val="0"/>
                <w:bCs w:val="0"/>
                <w:i w:val="0"/>
                <w:kern w:val="2"/>
                <w14:ligatures w14:val="standardContextual"/>
              </w:rPr>
            </w:pPr>
            <w:r w:rsidRPr="00C4084C">
              <w:rPr>
                <w:rFonts w:ascii="Calibri" w:eastAsia="Calibri" w:hAnsi="Calibri" w:cs="Times New Roman"/>
                <w:kern w:val="2"/>
                <w14:ligatures w14:val="standardContextual"/>
              </w:rPr>
              <w:t>Recommendations for the tertiary education system are made within this framework. </w:t>
            </w:r>
          </w:p>
        </w:tc>
      </w:tr>
    </w:tbl>
    <w:p w14:paraId="68D02A89" w14:textId="77777777" w:rsidR="00FA5EFE" w:rsidRPr="00C4084C" w:rsidRDefault="00FA5EFE" w:rsidP="00FA5EFE">
      <w:pPr>
        <w:pStyle w:val="Rec-frontmatternonheading"/>
      </w:pPr>
      <w:r w:rsidRPr="00C4084C">
        <w:t>Attainment targets </w:t>
      </w:r>
    </w:p>
    <w:tbl>
      <w:tblPr>
        <w:tblW w:w="0" w:type="auto"/>
        <w:shd w:val="clear" w:color="auto" w:fill="FBE4D5"/>
        <w:tblLook w:val="04A0" w:firstRow="1" w:lastRow="0" w:firstColumn="1" w:lastColumn="0" w:noHBand="0" w:noVBand="1"/>
      </w:tblPr>
      <w:tblGrid>
        <w:gridCol w:w="9026"/>
      </w:tblGrid>
      <w:tr w:rsidR="00FA5EFE" w:rsidRPr="00C4084C" w14:paraId="4EE002E7" w14:textId="77777777" w:rsidTr="00D26B82">
        <w:trPr>
          <w:trHeight w:val="1276"/>
        </w:trPr>
        <w:tc>
          <w:tcPr>
            <w:tcW w:w="9026" w:type="dxa"/>
            <w:shd w:val="clear" w:color="auto" w:fill="FEECDF"/>
          </w:tcPr>
          <w:p w14:paraId="14FCC93A" w14:textId="77777777" w:rsidR="00FA5EFE" w:rsidRPr="00C4084C" w:rsidRDefault="00FA5EFE">
            <w:pPr>
              <w:pStyle w:val="List"/>
              <w:spacing w:before="240" w:after="0"/>
            </w:pPr>
            <w:r w:rsidRPr="00C4084C">
              <w:t>That to meet Australia’s future skills needs and drive improvements to national workforce participation and productivity, the Australian Government adopt attainment targets to set the ambition for the tertiary education system to deliver:</w:t>
            </w:r>
          </w:p>
          <w:p w14:paraId="40C0686C" w14:textId="026D9A56" w:rsidR="00FA5EFE" w:rsidRPr="00C4084C" w:rsidRDefault="00FA5EFE" w:rsidP="008C4411">
            <w:pPr>
              <w:pStyle w:val="List2"/>
              <w:spacing w:before="0" w:beforeAutospacing="0"/>
              <w:rPr>
                <w:rStyle w:val="PriorityAction-Bold"/>
                <w:b w:val="0"/>
                <w:bCs w:val="0"/>
                <w:i w:val="0"/>
              </w:rPr>
            </w:pPr>
            <w:r w:rsidRPr="00C4084C">
              <w:rPr>
                <w:rStyle w:val="PriorityAction-Bold"/>
                <w:b w:val="0"/>
                <w:bCs w:val="0"/>
                <w:i w:val="0"/>
              </w:rPr>
              <w:t>a skilled workforce to meet the changing needs of the economy through a tertiary education attainment target of</w:t>
            </w:r>
            <w:r w:rsidR="00703794" w:rsidRPr="00C4084C">
              <w:rPr>
                <w:rStyle w:val="PriorityAction-Bold"/>
                <w:b w:val="0"/>
                <w:bCs w:val="0"/>
                <w:i w:val="0"/>
              </w:rPr>
              <w:t xml:space="preserve"> </w:t>
            </w:r>
            <w:r w:rsidR="006F7175" w:rsidRPr="00C4084C">
              <w:rPr>
                <w:rStyle w:val="PriorityAction-Bold"/>
                <w:b w:val="0"/>
                <w:bCs w:val="0"/>
                <w:i w:val="0"/>
                <w:iCs/>
              </w:rPr>
              <w:t>at least 80</w:t>
            </w:r>
            <w:r w:rsidRPr="00C4084C">
              <w:rPr>
                <w:rStyle w:val="PriorityAction-Bold"/>
                <w:b w:val="0"/>
                <w:bCs w:val="0"/>
                <w:i w:val="0"/>
                <w:iCs/>
              </w:rPr>
              <w:t>% of</w:t>
            </w:r>
            <w:r w:rsidRPr="00C4084C">
              <w:rPr>
                <w:rStyle w:val="PriorityAction-Bold"/>
                <w:b w:val="0"/>
                <w:bCs w:val="0"/>
                <w:i w:val="0"/>
              </w:rPr>
              <w:t xml:space="preserve"> the working age population with at least one tertiary qualification (Certificate III and above) by 2050 compared with </w:t>
            </w:r>
            <w:r w:rsidR="00F41AA6">
              <w:rPr>
                <w:rStyle w:val="PriorityAction-Bold"/>
                <w:b w:val="0"/>
                <w:i w:val="0"/>
              </w:rPr>
              <w:t>6</w:t>
            </w:r>
            <w:r w:rsidR="00F41AA6" w:rsidRPr="003E5969">
              <w:rPr>
                <w:rStyle w:val="PriorityAction-Bold"/>
                <w:b w:val="0"/>
                <w:bCs w:val="0"/>
                <w:i w:val="0"/>
                <w:iCs/>
              </w:rPr>
              <w:t>0</w:t>
            </w:r>
            <w:r w:rsidRPr="00C4084C">
              <w:rPr>
                <w:rStyle w:val="PriorityAction-Bold"/>
                <w:b w:val="0"/>
                <w:i w:val="0"/>
              </w:rPr>
              <w:t xml:space="preserve">% in </w:t>
            </w:r>
            <w:proofErr w:type="gramStart"/>
            <w:r w:rsidRPr="00C4084C">
              <w:rPr>
                <w:rStyle w:val="PriorityAction-Bold"/>
                <w:b w:val="0"/>
                <w:i w:val="0"/>
              </w:rPr>
              <w:t>2023</w:t>
            </w:r>
            <w:proofErr w:type="gramEnd"/>
          </w:p>
          <w:p w14:paraId="3072D379" w14:textId="1C066909" w:rsidR="00FA5EFE" w:rsidRPr="00C4084C" w:rsidRDefault="00FA5EFE">
            <w:pPr>
              <w:pStyle w:val="List2"/>
              <w:rPr>
                <w:rStyle w:val="PriorityAction-Bold"/>
                <w:b w:val="0"/>
                <w:bCs w:val="0"/>
                <w:i w:val="0"/>
              </w:rPr>
            </w:pPr>
            <w:r w:rsidRPr="00C4084C">
              <w:rPr>
                <w:rStyle w:val="PriorityAction-Bold"/>
                <w:b w:val="0"/>
                <w:bCs w:val="0"/>
                <w:i w:val="0"/>
              </w:rPr>
              <w:t>growth in Commonwealth supported places in higher education to achieve this target, more than doubling the number of students</w:t>
            </w:r>
            <w:r w:rsidR="00D362E9" w:rsidRPr="00C4084C">
              <w:rPr>
                <w:rStyle w:val="PriorityAction-Bold"/>
                <w:b w:val="0"/>
                <w:bCs w:val="0"/>
                <w:i w:val="0"/>
                <w:iCs/>
              </w:rPr>
              <w:t xml:space="preserve"> in Commonwealth supported places</w:t>
            </w:r>
            <w:r w:rsidRPr="00C4084C">
              <w:rPr>
                <w:rStyle w:val="PriorityAction-Bold"/>
                <w:b w:val="0"/>
                <w:bCs w:val="0"/>
                <w:i w:val="0"/>
              </w:rPr>
              <w:t xml:space="preserve"> from around 860,000 in 2022 to 1.8 million in 2050 across all age </w:t>
            </w:r>
            <w:proofErr w:type="gramStart"/>
            <w:r w:rsidRPr="00C4084C">
              <w:rPr>
                <w:rStyle w:val="PriorityAction-Bold"/>
                <w:b w:val="0"/>
                <w:bCs w:val="0"/>
                <w:i w:val="0"/>
              </w:rPr>
              <w:t>groups</w:t>
            </w:r>
            <w:proofErr w:type="gramEnd"/>
          </w:p>
          <w:p w14:paraId="40279370" w14:textId="77777777" w:rsidR="00FA5EFE" w:rsidRPr="00C4084C" w:rsidRDefault="00FA5EFE">
            <w:pPr>
              <w:pStyle w:val="List2"/>
              <w:rPr>
                <w:rStyle w:val="PriorityAction-Bold"/>
                <w:b w:val="0"/>
                <w:bCs w:val="0"/>
                <w:i w:val="0"/>
              </w:rPr>
            </w:pPr>
            <w:r w:rsidRPr="00C4084C">
              <w:rPr>
                <w:rStyle w:val="PriorityAction-Bold"/>
                <w:b w:val="0"/>
                <w:bCs w:val="0"/>
                <w:i w:val="0"/>
              </w:rPr>
              <w:t xml:space="preserve">growing numbers of younger Australians with a university education, through an attainment target of 55% of 25 to 34-year-olds with a </w:t>
            </w:r>
            <w:proofErr w:type="gramStart"/>
            <w:r w:rsidRPr="00C4084C">
              <w:rPr>
                <w:rStyle w:val="PriorityAction-Bold"/>
                <w:b w:val="0"/>
                <w:bCs w:val="0"/>
                <w:i w:val="0"/>
              </w:rPr>
              <w:t>bachelor</w:t>
            </w:r>
            <w:proofErr w:type="gramEnd"/>
            <w:r w:rsidRPr="00C4084C">
              <w:rPr>
                <w:rStyle w:val="PriorityAction-Bold"/>
                <w:b w:val="0"/>
                <w:bCs w:val="0"/>
                <w:i w:val="0"/>
              </w:rPr>
              <w:t xml:space="preserve"> degree qualification or above by 2050 compared with 45% in 2023, noting that many will also have a VET qualification</w:t>
            </w:r>
          </w:p>
          <w:p w14:paraId="494FF84B" w14:textId="77777777" w:rsidR="00FA5EFE" w:rsidRPr="00C4084C" w:rsidRDefault="00FA5EFE">
            <w:pPr>
              <w:pStyle w:val="List2"/>
              <w:rPr>
                <w:rStyle w:val="PriorityAction-Bold"/>
                <w:b w:val="0"/>
                <w:bCs w:val="0"/>
                <w:i w:val="0"/>
              </w:rPr>
            </w:pPr>
            <w:r w:rsidRPr="00C4084C">
              <w:rPr>
                <w:rStyle w:val="PriorityAction-Bold"/>
                <w:b w:val="0"/>
                <w:bCs w:val="0"/>
                <w:i w:val="0"/>
              </w:rPr>
              <w:t xml:space="preserve">a strong and growing contribution to tertiary attainment driven by TAFE and the vocational system, with a planning assumption that 40% of 25 to 34-year-olds will have a tertiary level vocational or technical qualification in 2050, noting that some people have both a VET and higher education </w:t>
            </w:r>
            <w:proofErr w:type="gramStart"/>
            <w:r w:rsidRPr="00C4084C">
              <w:rPr>
                <w:rStyle w:val="PriorityAction-Bold"/>
                <w:b w:val="0"/>
                <w:bCs w:val="0"/>
                <w:i w:val="0"/>
              </w:rPr>
              <w:t>qualification</w:t>
            </w:r>
            <w:proofErr w:type="gramEnd"/>
          </w:p>
          <w:p w14:paraId="282A9005" w14:textId="5DAE7D1C" w:rsidR="00FA5EFE" w:rsidRPr="00C4084C" w:rsidRDefault="00FA5EFE" w:rsidP="008C4411">
            <w:pPr>
              <w:pStyle w:val="List2"/>
              <w:rPr>
                <w:rStyle w:val="PriorityAction-Bold"/>
                <w:b w:val="0"/>
                <w:i w:val="0"/>
              </w:rPr>
            </w:pPr>
            <w:r w:rsidRPr="00C4084C">
              <w:rPr>
                <w:rStyle w:val="PriorityAction-Bold"/>
                <w:b w:val="0"/>
                <w:bCs w:val="0"/>
                <w:i w:val="0"/>
              </w:rPr>
              <w:t xml:space="preserve">opportunities for lifelong learning for all Australians to reskill and upskill, driven by national targets for tertiary participation and attainment across the working age population developed with the states and territories through a stewardship approach </w:t>
            </w:r>
            <w:proofErr w:type="gramStart"/>
            <w:r w:rsidRPr="00C4084C">
              <w:rPr>
                <w:rStyle w:val="PriorityAction-Bold"/>
                <w:b w:val="0"/>
                <w:bCs w:val="0"/>
                <w:i w:val="0"/>
              </w:rPr>
              <w:t>similar to</w:t>
            </w:r>
            <w:proofErr w:type="gramEnd"/>
            <w:r w:rsidRPr="00C4084C">
              <w:rPr>
                <w:rStyle w:val="PriorityAction-Bold"/>
                <w:b w:val="0"/>
                <w:bCs w:val="0"/>
                <w:i w:val="0"/>
              </w:rPr>
              <w:t xml:space="preserve"> that agreed in the 2023 National Skills Agreement</w:t>
            </w:r>
          </w:p>
          <w:p w14:paraId="565FE80B" w14:textId="1FA833B7" w:rsidR="00FA5EFE" w:rsidRPr="00C4084C" w:rsidRDefault="00B02AC7" w:rsidP="008C4411">
            <w:pPr>
              <w:pStyle w:val="List2"/>
              <w:rPr>
                <w:rStyle w:val="PriorityAction-Bold"/>
                <w:b w:val="0"/>
                <w:bCs w:val="0"/>
                <w:i w:val="0"/>
              </w:rPr>
            </w:pPr>
            <w:r>
              <w:rPr>
                <w:rStyle w:val="PriorityAction-Bold"/>
                <w:b w:val="0"/>
                <w:bCs w:val="0"/>
                <w:i w:val="0"/>
              </w:rPr>
              <w:lastRenderedPageBreak/>
              <w:t>t</w:t>
            </w:r>
            <w:r w:rsidR="00FA5EFE" w:rsidRPr="00C4084C">
              <w:rPr>
                <w:rStyle w:val="PriorityAction-Bold"/>
                <w:b w:val="0"/>
                <w:bCs w:val="0"/>
                <w:i w:val="0"/>
              </w:rPr>
              <w:t xml:space="preserve">hese targets should be monitored through yearly reports published by the Australian Tertiary Education Commission in consultation with Jobs and Skills Australia with an assessment of skills and graduate workforce participation by </w:t>
            </w:r>
            <w:proofErr w:type="gramStart"/>
            <w:r w:rsidR="00FA5EFE" w:rsidRPr="00C4084C">
              <w:rPr>
                <w:rStyle w:val="PriorityAction-Bold"/>
                <w:b w:val="0"/>
                <w:bCs w:val="0"/>
                <w:i w:val="0"/>
              </w:rPr>
              <w:t>discipline</w:t>
            </w:r>
            <w:proofErr w:type="gramEnd"/>
          </w:p>
          <w:p w14:paraId="3855CE81" w14:textId="12D4B6EB" w:rsidR="00FA5EFE" w:rsidRPr="00C4084C" w:rsidDel="00C977C2" w:rsidRDefault="00B02AC7" w:rsidP="008C4411">
            <w:pPr>
              <w:pStyle w:val="List2"/>
              <w:rPr>
                <w:rStyle w:val="PriorityAction-Bold"/>
                <w:b w:val="0"/>
                <w:bCs w:val="0"/>
                <w:i w:val="0"/>
              </w:rPr>
            </w:pPr>
            <w:r>
              <w:rPr>
                <w:rStyle w:val="PriorityAction-Bold"/>
                <w:b w:val="0"/>
                <w:bCs w:val="0"/>
                <w:i w:val="0"/>
              </w:rPr>
              <w:t>t</w:t>
            </w:r>
            <w:r w:rsidR="00FA5EFE" w:rsidRPr="00C4084C">
              <w:rPr>
                <w:rStyle w:val="PriorityAction-Bold"/>
                <w:b w:val="0"/>
                <w:bCs w:val="0"/>
                <w:i w:val="0"/>
              </w:rPr>
              <w:t xml:space="preserve">hese targets should be reviewed as necessary, considering advice from Jobs and Skills Australia, as qualification design, student preferences and employer demand change over this period. </w:t>
            </w:r>
          </w:p>
        </w:tc>
      </w:tr>
    </w:tbl>
    <w:p w14:paraId="02DC422C" w14:textId="77777777" w:rsidR="00FA5EFE" w:rsidRPr="00C4084C" w:rsidRDefault="00FA5EFE" w:rsidP="00FA5EFE">
      <w:pPr>
        <w:pStyle w:val="Rec-frontmatternonheading"/>
      </w:pPr>
      <w:r w:rsidRPr="00C4084C">
        <w:lastRenderedPageBreak/>
        <w:t xml:space="preserve">Commonwealth supported medical </w:t>
      </w:r>
      <w:proofErr w:type="gramStart"/>
      <w:r w:rsidRPr="00C4084C">
        <w:t>places</w:t>
      </w:r>
      <w:proofErr w:type="gramEnd"/>
    </w:p>
    <w:tbl>
      <w:tblPr>
        <w:tblW w:w="0" w:type="auto"/>
        <w:shd w:val="clear" w:color="auto" w:fill="FBE4D5"/>
        <w:tblLook w:val="04A0" w:firstRow="1" w:lastRow="0" w:firstColumn="1" w:lastColumn="0" w:noHBand="0" w:noVBand="1"/>
      </w:tblPr>
      <w:tblGrid>
        <w:gridCol w:w="9026"/>
      </w:tblGrid>
      <w:tr w:rsidR="00FA5EFE" w:rsidRPr="00C4084C" w14:paraId="588877CC" w14:textId="77777777" w:rsidTr="00D26B82">
        <w:tc>
          <w:tcPr>
            <w:tcW w:w="9026" w:type="dxa"/>
            <w:shd w:val="clear" w:color="auto" w:fill="FEECDF"/>
          </w:tcPr>
          <w:p w14:paraId="098AF8A7" w14:textId="2C22A53F" w:rsidR="00643DCA" w:rsidRPr="00C4084C" w:rsidRDefault="00FA5EFE" w:rsidP="008C4411">
            <w:pPr>
              <w:pStyle w:val="List"/>
              <w:spacing w:before="240" w:after="0"/>
              <w:contextualSpacing w:val="0"/>
            </w:pPr>
            <w:r w:rsidRPr="00C4084C">
              <w:t xml:space="preserve">That to accelerate the supply of medical graduates in communities experiencing </w:t>
            </w:r>
            <w:r w:rsidR="0022005D" w:rsidRPr="00C4084C">
              <w:t>medical pr</w:t>
            </w:r>
            <w:r w:rsidR="00442356" w:rsidRPr="00C4084C">
              <w:t>actitioner</w:t>
            </w:r>
            <w:r w:rsidR="00184691" w:rsidRPr="00C4084C">
              <w:t xml:space="preserve"> </w:t>
            </w:r>
            <w:r w:rsidRPr="00C4084C">
              <w:t>shortages and to increase the number of medical graduates from under-represented backgrounds, the Australian Government</w:t>
            </w:r>
            <w:r w:rsidR="00C41B48" w:rsidRPr="00C4084C">
              <w:t>:</w:t>
            </w:r>
          </w:p>
          <w:p w14:paraId="56E334D3" w14:textId="05A2FCF6" w:rsidR="00FA5EFE" w:rsidRPr="00C4084C" w:rsidRDefault="00FA5EFE" w:rsidP="008C4411">
            <w:pPr>
              <w:pStyle w:val="List2"/>
            </w:pPr>
            <w:r w:rsidRPr="00C4084C">
              <w:t xml:space="preserve">increase the number of new medical Commonwealth supported places to address critical shortages and allocate them on </w:t>
            </w:r>
            <w:r w:rsidR="00C47AC9" w:rsidRPr="00C4084C">
              <w:t>transparent,</w:t>
            </w:r>
            <w:r w:rsidRPr="00C4084C">
              <w:t xml:space="preserve"> evidence-based criteria of acute </w:t>
            </w:r>
            <w:proofErr w:type="gramStart"/>
            <w:r w:rsidRPr="00C4084C">
              <w:t>need</w:t>
            </w:r>
            <w:proofErr w:type="gramEnd"/>
          </w:p>
          <w:p w14:paraId="656E6E40" w14:textId="335FAE2E" w:rsidR="00FA5EFE" w:rsidRPr="00C4084C" w:rsidRDefault="0022005D" w:rsidP="008C4411">
            <w:pPr>
              <w:pStyle w:val="List2"/>
            </w:pPr>
            <w:r w:rsidRPr="00C4084C">
              <w:t>p</w:t>
            </w:r>
            <w:r w:rsidR="00FA5EFE" w:rsidRPr="00C4084C">
              <w:t>rovide</w:t>
            </w:r>
            <w:r w:rsidR="00643DCA" w:rsidRPr="00C4084C">
              <w:t xml:space="preserve"> places</w:t>
            </w:r>
            <w:r w:rsidR="00FA5EFE" w:rsidRPr="00C4084C">
              <w:t xml:space="preserve"> for all First Nations students who apply and meet the entry requirements for a medical degree. </w:t>
            </w:r>
          </w:p>
        </w:tc>
      </w:tr>
    </w:tbl>
    <w:p w14:paraId="0668B231" w14:textId="77777777" w:rsidR="00FA5EFE" w:rsidRPr="00C4084C" w:rsidRDefault="00FA5EFE" w:rsidP="00FA5EFE">
      <w:pPr>
        <w:pStyle w:val="Rec-frontmatternonheading"/>
      </w:pPr>
      <w:r w:rsidRPr="00C4084C">
        <w:t>A more flexible and responsive skills system </w:t>
      </w:r>
    </w:p>
    <w:tbl>
      <w:tblPr>
        <w:tblW w:w="0" w:type="auto"/>
        <w:shd w:val="clear" w:color="auto" w:fill="FBE4D5"/>
        <w:tblLook w:val="04A0" w:firstRow="1" w:lastRow="0" w:firstColumn="1" w:lastColumn="0" w:noHBand="0" w:noVBand="1"/>
      </w:tblPr>
      <w:tblGrid>
        <w:gridCol w:w="9026"/>
      </w:tblGrid>
      <w:tr w:rsidR="00FA5EFE" w:rsidRPr="00C4084C" w14:paraId="64B91CFB" w14:textId="77777777" w:rsidTr="00D26B82">
        <w:tc>
          <w:tcPr>
            <w:tcW w:w="9026" w:type="dxa"/>
            <w:shd w:val="clear" w:color="auto" w:fill="FEECDF"/>
          </w:tcPr>
          <w:p w14:paraId="7988B68C" w14:textId="680BA8A1" w:rsidR="00FA5EFE" w:rsidRPr="00C4084C" w:rsidRDefault="00FA5EFE">
            <w:pPr>
              <w:pStyle w:val="List"/>
              <w:spacing w:before="240" w:after="0"/>
            </w:pPr>
            <w:r w:rsidRPr="00C4084C">
              <w:t xml:space="preserve">That to help students accelerate the acquisition and recognition of their skills, help graduates track skills, </w:t>
            </w:r>
            <w:proofErr w:type="gramStart"/>
            <w:r w:rsidRPr="00C4084C">
              <w:t>qualifications</w:t>
            </w:r>
            <w:proofErr w:type="gramEnd"/>
            <w:r w:rsidRPr="00C4084C">
              <w:t xml:space="preserve"> and experience, and make it simpler for employers to verify job candidate capabilities, the Australian Government implement a National Skills Passport</w:t>
            </w:r>
            <w:r w:rsidR="00104813" w:rsidRPr="00C4084C">
              <w:t>,</w:t>
            </w:r>
            <w:r w:rsidRPr="00C4084C">
              <w:t xml:space="preserve"> </w:t>
            </w:r>
            <w:r w:rsidR="00104813" w:rsidRPr="00C4084C">
              <w:t>along with other</w:t>
            </w:r>
            <w:r w:rsidRPr="00C4084C">
              <w:t xml:space="preserve"> core infrastructure </w:t>
            </w:r>
            <w:r w:rsidR="00104813" w:rsidRPr="00C4084C">
              <w:t>needed for</w:t>
            </w:r>
            <w:r w:rsidRPr="00C4084C">
              <w:t xml:space="preserve"> an integrated skills system by:</w:t>
            </w:r>
          </w:p>
          <w:p w14:paraId="0CD01445" w14:textId="2251107E" w:rsidR="00FA5EFE" w:rsidRPr="00C4084C" w:rsidRDefault="00FA5EFE" w:rsidP="008C4411">
            <w:pPr>
              <w:pStyle w:val="List2"/>
              <w:spacing w:before="0" w:beforeAutospacing="0"/>
            </w:pPr>
            <w:r w:rsidRPr="00C4084C">
              <w:t xml:space="preserve">immediately progressing the recommendations of the Review of the Australian Qualifications Framework through engagement with industry, </w:t>
            </w:r>
            <w:proofErr w:type="gramStart"/>
            <w:r w:rsidRPr="00C4084C">
              <w:t>unions</w:t>
            </w:r>
            <w:proofErr w:type="gramEnd"/>
            <w:r w:rsidRPr="00C4084C">
              <w:t xml:space="preserve"> and governments, as a matter of priority</w:t>
            </w:r>
          </w:p>
          <w:p w14:paraId="25A654D7" w14:textId="3CF84561" w:rsidR="00FA5EFE" w:rsidRPr="00C4084C" w:rsidRDefault="00FA5EFE">
            <w:pPr>
              <w:pStyle w:val="List2"/>
            </w:pPr>
            <w:r w:rsidRPr="00C4084C">
              <w:t xml:space="preserve">continuing development and use of the </w:t>
            </w:r>
            <w:r w:rsidR="00CA6960" w:rsidRPr="00C4084C">
              <w:t>National Skills Taxonomy</w:t>
            </w:r>
            <w:r w:rsidRPr="00C4084C">
              <w:t xml:space="preserve"> across the tertiary education system, using rich skills descriptors to make professional and vocational skill formation more explicit and </w:t>
            </w:r>
            <w:proofErr w:type="gramStart"/>
            <w:r w:rsidRPr="00C4084C">
              <w:t>transparent</w:t>
            </w:r>
            <w:proofErr w:type="gramEnd"/>
          </w:p>
          <w:p w14:paraId="7911714D" w14:textId="77777777" w:rsidR="00FA5EFE" w:rsidRPr="00C4084C" w:rsidRDefault="00FA5EFE">
            <w:pPr>
              <w:pStyle w:val="List2"/>
            </w:pPr>
            <w:r w:rsidRPr="00C4084C">
              <w:t xml:space="preserve">extending the unique student identifier to provide coverage of the whole tertiary education system, including </w:t>
            </w:r>
            <w:proofErr w:type="spellStart"/>
            <w:r w:rsidRPr="00C4084C">
              <w:t>microcredentials</w:t>
            </w:r>
            <w:proofErr w:type="spellEnd"/>
            <w:r w:rsidRPr="00C4084C">
              <w:t xml:space="preserve">, and continuing to embed the unique student identifier in the schooling </w:t>
            </w:r>
            <w:proofErr w:type="gramStart"/>
            <w:r w:rsidRPr="00C4084C">
              <w:t>system</w:t>
            </w:r>
            <w:proofErr w:type="gramEnd"/>
          </w:p>
          <w:p w14:paraId="2D3495D4" w14:textId="77777777" w:rsidR="00FA5EFE" w:rsidRPr="00C4084C" w:rsidRDefault="00FA5EFE">
            <w:pPr>
              <w:pStyle w:val="List2"/>
            </w:pPr>
            <w:r w:rsidRPr="00C4084C">
              <w:t xml:space="preserve">aligning data standards and practices across the higher education and vocational education and training sectors to allow for better measurement of student pathways and system </w:t>
            </w:r>
            <w:proofErr w:type="gramStart"/>
            <w:r w:rsidRPr="00C4084C">
              <w:t>outcomes</w:t>
            </w:r>
            <w:proofErr w:type="gramEnd"/>
          </w:p>
          <w:p w14:paraId="5564AD6C" w14:textId="60CF9229" w:rsidR="00FA5EFE" w:rsidRPr="00C4084C" w:rsidRDefault="00FA5EFE">
            <w:pPr>
              <w:pStyle w:val="List2"/>
            </w:pPr>
            <w:r w:rsidRPr="00C4084C">
              <w:t>integrating Government digital platforms across the vocational education and training and higher education sectors (including for careers advice</w:t>
            </w:r>
            <w:r w:rsidR="00320E16" w:rsidRPr="00C4084C">
              <w:t xml:space="preserve"> and </w:t>
            </w:r>
            <w:r w:rsidRPr="00C4084C">
              <w:t xml:space="preserve">course and study options), making it easier for students to access and navigate the tertiary education </w:t>
            </w:r>
            <w:proofErr w:type="gramStart"/>
            <w:r w:rsidRPr="00C4084C">
              <w:t>system</w:t>
            </w:r>
            <w:proofErr w:type="gramEnd"/>
          </w:p>
          <w:p w14:paraId="125DE60C" w14:textId="77777777" w:rsidR="00FA5EFE" w:rsidRPr="00C4084C" w:rsidRDefault="00FA5EFE">
            <w:pPr>
              <w:pStyle w:val="List2"/>
            </w:pPr>
            <w:r w:rsidRPr="00C4084C">
              <w:rPr>
                <w:rStyle w:val="PriorityAction-Bold"/>
                <w:b w:val="0"/>
                <w:i w:val="0"/>
              </w:rPr>
              <w:t>creating a pathway for short courses provided by industry and business to be accredited and recognised on the National Skills Passport</w:t>
            </w:r>
          </w:p>
          <w:p w14:paraId="374F1DB9" w14:textId="16271D91" w:rsidR="00FA5EFE" w:rsidRPr="00C4084C" w:rsidRDefault="00FA5EFE" w:rsidP="008C4411">
            <w:pPr>
              <w:pStyle w:val="List2"/>
              <w:spacing w:after="0" w:afterAutospacing="0"/>
            </w:pPr>
            <w:r w:rsidRPr="00C4084C">
              <w:t xml:space="preserve">working with tertiary education providers, </w:t>
            </w:r>
            <w:proofErr w:type="gramStart"/>
            <w:r w:rsidRPr="00C4084C">
              <w:t>industry</w:t>
            </w:r>
            <w:proofErr w:type="gramEnd"/>
            <w:r w:rsidRPr="00C4084C">
              <w:t xml:space="preserve"> and business to adopt a consistent, published, national approach to recognition of prior learning (RPL) </w:t>
            </w:r>
            <w:r w:rsidR="00490D2D" w:rsidRPr="00C4084C">
              <w:t xml:space="preserve">and credit recognition </w:t>
            </w:r>
            <w:r w:rsidRPr="00C4084C">
              <w:t>which should:</w:t>
            </w:r>
          </w:p>
          <w:p w14:paraId="713400FF" w14:textId="75A60203" w:rsidR="00FA5EFE" w:rsidRPr="00C4084C" w:rsidRDefault="00FA5EFE">
            <w:pPr>
              <w:pStyle w:val="List3"/>
            </w:pPr>
            <w:r w:rsidRPr="00C4084C">
              <w:t>address historical, cultural and institutional barriers to RPL</w:t>
            </w:r>
            <w:r w:rsidR="00490D2D" w:rsidRPr="00C4084C">
              <w:t xml:space="preserve"> and credit </w:t>
            </w:r>
            <w:proofErr w:type="gramStart"/>
            <w:r w:rsidR="00490D2D" w:rsidRPr="00C4084C">
              <w:t>recognition</w:t>
            </w:r>
            <w:proofErr w:type="gramEnd"/>
          </w:p>
          <w:p w14:paraId="731718B7" w14:textId="77777777" w:rsidR="00FA5EFE" w:rsidRPr="00C4084C" w:rsidRDefault="00FA5EFE">
            <w:pPr>
              <w:pStyle w:val="List3"/>
            </w:pPr>
            <w:r w:rsidRPr="00C4084C">
              <w:t xml:space="preserve">make it easier for students to gain maximum credit for previous study and minimise the time taken and cost to get a new </w:t>
            </w:r>
            <w:proofErr w:type="gramStart"/>
            <w:r w:rsidRPr="00C4084C">
              <w:t>qualification</w:t>
            </w:r>
            <w:proofErr w:type="gramEnd"/>
          </w:p>
          <w:p w14:paraId="581C1BD7" w14:textId="77777777" w:rsidR="00FA5EFE" w:rsidRPr="00C4084C" w:rsidRDefault="00FA5EFE">
            <w:pPr>
              <w:pStyle w:val="List3"/>
            </w:pPr>
            <w:r w:rsidRPr="00C4084C">
              <w:t xml:space="preserve">include recognising appropriate work </w:t>
            </w:r>
            <w:proofErr w:type="gramStart"/>
            <w:r w:rsidRPr="00C4084C">
              <w:t>experience</w:t>
            </w:r>
            <w:proofErr w:type="gramEnd"/>
          </w:p>
          <w:p w14:paraId="4964EE95" w14:textId="77777777" w:rsidR="00FA5EFE" w:rsidRPr="00C4084C" w:rsidRDefault="00FA5EFE">
            <w:pPr>
              <w:pStyle w:val="List3"/>
              <w:spacing w:after="0"/>
            </w:pPr>
            <w:r w:rsidRPr="00C4084C">
              <w:t xml:space="preserve">improve student mobility to enter, exit and return to tertiary </w:t>
            </w:r>
            <w:proofErr w:type="gramStart"/>
            <w:r w:rsidRPr="00C4084C">
              <w:t>education</w:t>
            </w:r>
            <w:proofErr w:type="gramEnd"/>
          </w:p>
          <w:p w14:paraId="40219E0D" w14:textId="77777777" w:rsidR="00FA5EFE" w:rsidRPr="00C4084C" w:rsidDel="00C977C2" w:rsidRDefault="00FA5EFE">
            <w:pPr>
              <w:pStyle w:val="List2"/>
              <w:rPr>
                <w:rStyle w:val="PriorityAction-Bold"/>
                <w:b w:val="0"/>
                <w:bCs w:val="0"/>
                <w:i w:val="0"/>
              </w:rPr>
            </w:pPr>
            <w:r w:rsidRPr="00C4084C">
              <w:lastRenderedPageBreak/>
              <w:t xml:space="preserve">requiring that higher education providers – through a regular cycle of curriculum review – establish early exit and articulation pathways from </w:t>
            </w:r>
            <w:proofErr w:type="gramStart"/>
            <w:r w:rsidRPr="00C4084C">
              <w:t>bachelor</w:t>
            </w:r>
            <w:proofErr w:type="gramEnd"/>
            <w:r w:rsidRPr="00C4084C">
              <w:t xml:space="preserve"> degree courses, at diploma and associate degree levels, for students who decide to withdraw before completing the whole degree.</w:t>
            </w:r>
          </w:p>
        </w:tc>
      </w:tr>
    </w:tbl>
    <w:p w14:paraId="2C99B53B" w14:textId="77777777" w:rsidR="00FA5EFE" w:rsidRPr="00C4084C" w:rsidRDefault="00FA5EFE" w:rsidP="00FA5EFE">
      <w:pPr>
        <w:spacing w:after="0"/>
      </w:pPr>
    </w:p>
    <w:tbl>
      <w:tblPr>
        <w:tblW w:w="0" w:type="auto"/>
        <w:shd w:val="clear" w:color="auto" w:fill="FBE4D5"/>
        <w:tblLook w:val="04A0" w:firstRow="1" w:lastRow="0" w:firstColumn="1" w:lastColumn="0" w:noHBand="0" w:noVBand="1"/>
      </w:tblPr>
      <w:tblGrid>
        <w:gridCol w:w="9026"/>
      </w:tblGrid>
      <w:tr w:rsidR="00FA5EFE" w:rsidRPr="00C4084C" w14:paraId="34217E04" w14:textId="77777777" w:rsidTr="00D26B82">
        <w:tc>
          <w:tcPr>
            <w:tcW w:w="9026" w:type="dxa"/>
            <w:shd w:val="clear" w:color="auto" w:fill="FEECDF"/>
          </w:tcPr>
          <w:p w14:paraId="1FCA6F6D" w14:textId="7CA83216" w:rsidR="00FA5EFE" w:rsidRPr="00C4084C" w:rsidDel="00C977C2" w:rsidRDefault="00FA5EFE">
            <w:pPr>
              <w:pStyle w:val="List"/>
              <w:spacing w:before="200"/>
              <w:rPr>
                <w:rStyle w:val="PriorityAction-Bold"/>
                <w:b w:val="0"/>
                <w:bCs w:val="0"/>
                <w:i w:val="0"/>
              </w:rPr>
            </w:pPr>
            <w:r w:rsidRPr="00C4084C">
              <w:t xml:space="preserve">That to help Australians quickly get the skills they need to fill jobs that are in shortage, the Australian Government establish a comprehensive system of modular, </w:t>
            </w:r>
            <w:proofErr w:type="gramStart"/>
            <w:r w:rsidRPr="00C4084C">
              <w:t>stackable</w:t>
            </w:r>
            <w:proofErr w:type="gramEnd"/>
            <w:r w:rsidRPr="00C4084C">
              <w:t xml:space="preserve"> and transferable qualifications, including </w:t>
            </w:r>
            <w:proofErr w:type="spellStart"/>
            <w:r w:rsidRPr="00C4084C">
              <w:t>microcredentials</w:t>
            </w:r>
            <w:proofErr w:type="spellEnd"/>
            <w:r w:rsidRPr="00C4084C">
              <w:t>, consistent with a reformed Australian Qualifications Framework.</w:t>
            </w:r>
          </w:p>
        </w:tc>
      </w:tr>
    </w:tbl>
    <w:p w14:paraId="03EC3BFE" w14:textId="77777777" w:rsidR="00FA5EFE" w:rsidRPr="00C4084C" w:rsidRDefault="00FA5EFE" w:rsidP="00FA5EFE">
      <w:pPr>
        <w:spacing w:after="0"/>
      </w:pPr>
    </w:p>
    <w:tbl>
      <w:tblPr>
        <w:tblW w:w="0" w:type="auto"/>
        <w:shd w:val="clear" w:color="auto" w:fill="FBE4D5"/>
        <w:tblLook w:val="04A0" w:firstRow="1" w:lastRow="0" w:firstColumn="1" w:lastColumn="0" w:noHBand="0" w:noVBand="1"/>
      </w:tblPr>
      <w:tblGrid>
        <w:gridCol w:w="9026"/>
      </w:tblGrid>
      <w:tr w:rsidR="00FA5EFE" w:rsidRPr="00C4084C" w14:paraId="237B7C12" w14:textId="77777777" w:rsidTr="00D26B82">
        <w:tc>
          <w:tcPr>
            <w:tcW w:w="9026" w:type="dxa"/>
            <w:shd w:val="clear" w:color="auto" w:fill="FEECDF"/>
          </w:tcPr>
          <w:p w14:paraId="18C63F44" w14:textId="77777777" w:rsidR="00FA5EFE" w:rsidRPr="00C4084C" w:rsidRDefault="00FA5EFE">
            <w:pPr>
              <w:pStyle w:val="List"/>
              <w:spacing w:before="240" w:after="0"/>
            </w:pPr>
            <w:r w:rsidRPr="00C4084C">
              <w:t xml:space="preserve">That to deliver new options for lifelong learning and to encourage higher education participation from new cohorts, the Australian Government move toward funding a set of </w:t>
            </w:r>
            <w:proofErr w:type="spellStart"/>
            <w:r w:rsidRPr="00C4084C">
              <w:t>microcredentials</w:t>
            </w:r>
            <w:proofErr w:type="spellEnd"/>
            <w:r w:rsidRPr="00C4084C">
              <w:t xml:space="preserve"> as a new element in the system of Commonwealth supported places, initially in areas of employer demand and national priority. This will require:</w:t>
            </w:r>
          </w:p>
          <w:p w14:paraId="0875CBD4" w14:textId="77777777" w:rsidR="00FA5EFE" w:rsidRPr="00C4084C" w:rsidRDefault="00FA5EFE" w:rsidP="00FB44F8">
            <w:pPr>
              <w:pStyle w:val="List2"/>
              <w:numPr>
                <w:ilvl w:val="1"/>
                <w:numId w:val="23"/>
              </w:numPr>
              <w:spacing w:before="0" w:beforeAutospacing="0"/>
              <w:rPr>
                <w:rStyle w:val="PriorityAction-Bold"/>
                <w:b w:val="0"/>
                <w:bCs w:val="0"/>
                <w:i w:val="0"/>
                <w:iCs/>
              </w:rPr>
            </w:pPr>
            <w:r w:rsidRPr="00C4084C">
              <w:rPr>
                <w:rStyle w:val="PriorityAction-Bold"/>
                <w:b w:val="0"/>
                <w:bCs w:val="0"/>
                <w:i w:val="0"/>
                <w:iCs/>
              </w:rPr>
              <w:t xml:space="preserve">new accreditation arrangements for </w:t>
            </w:r>
            <w:proofErr w:type="spellStart"/>
            <w:r w:rsidRPr="00C4084C">
              <w:rPr>
                <w:rStyle w:val="PriorityAction-Bold"/>
                <w:b w:val="0"/>
                <w:bCs w:val="0"/>
                <w:i w:val="0"/>
                <w:iCs/>
              </w:rPr>
              <w:t>microcredentials</w:t>
            </w:r>
            <w:proofErr w:type="spellEnd"/>
            <w:r w:rsidRPr="00C4084C">
              <w:rPr>
                <w:rStyle w:val="PriorityAction-Bold"/>
                <w:b w:val="0"/>
                <w:bCs w:val="0"/>
                <w:i w:val="0"/>
                <w:iCs/>
              </w:rPr>
              <w:t xml:space="preserve"> in the higher education sector, prioritising those that meet employer demand requirements, provide credit, involve minimum volumes of learning and can be stacked to a full </w:t>
            </w:r>
            <w:proofErr w:type="gramStart"/>
            <w:r w:rsidRPr="00C4084C">
              <w:rPr>
                <w:rStyle w:val="PriorityAction-Bold"/>
                <w:b w:val="0"/>
                <w:bCs w:val="0"/>
                <w:i w:val="0"/>
                <w:iCs/>
              </w:rPr>
              <w:t>qualification</w:t>
            </w:r>
            <w:proofErr w:type="gramEnd"/>
            <w:r w:rsidRPr="00C4084C">
              <w:rPr>
                <w:rStyle w:val="PriorityAction-Bold"/>
                <w:b w:val="0"/>
                <w:bCs w:val="0"/>
                <w:i w:val="0"/>
                <w:iCs/>
              </w:rPr>
              <w:t xml:space="preserve"> </w:t>
            </w:r>
          </w:p>
          <w:p w14:paraId="2A19395E" w14:textId="77777777" w:rsidR="00FA5EFE" w:rsidRPr="00C4084C" w:rsidRDefault="00FA5EFE" w:rsidP="00FB44F8">
            <w:pPr>
              <w:pStyle w:val="List2"/>
              <w:numPr>
                <w:ilvl w:val="1"/>
                <w:numId w:val="23"/>
              </w:numPr>
              <w:rPr>
                <w:rStyle w:val="PriorityAction-Bold"/>
                <w:b w:val="0"/>
                <w:bCs w:val="0"/>
                <w:i w:val="0"/>
                <w:iCs/>
              </w:rPr>
            </w:pPr>
            <w:r w:rsidRPr="00C4084C">
              <w:rPr>
                <w:rStyle w:val="PriorityAction-Bold"/>
                <w:b w:val="0"/>
                <w:bCs w:val="0"/>
                <w:i w:val="0"/>
                <w:iCs/>
              </w:rPr>
              <w:t xml:space="preserve">establishing new rules for ‘micro-HELP’ student contribution amounts and micro-Commonwealth support for each course, based on the course </w:t>
            </w:r>
            <w:proofErr w:type="gramStart"/>
            <w:r w:rsidRPr="00C4084C">
              <w:rPr>
                <w:rStyle w:val="PriorityAction-Bold"/>
                <w:b w:val="0"/>
                <w:bCs w:val="0"/>
                <w:i w:val="0"/>
                <w:iCs/>
              </w:rPr>
              <w:t>length</w:t>
            </w:r>
            <w:proofErr w:type="gramEnd"/>
          </w:p>
          <w:p w14:paraId="24BA8B37" w14:textId="32E2D4B6" w:rsidR="00FA5EFE" w:rsidRPr="00C4084C" w:rsidDel="00C977C2" w:rsidRDefault="00FA5EFE" w:rsidP="00FB44F8">
            <w:pPr>
              <w:pStyle w:val="List2"/>
              <w:numPr>
                <w:ilvl w:val="1"/>
                <w:numId w:val="23"/>
              </w:numPr>
              <w:rPr>
                <w:rStyle w:val="PriorityAction-Bold"/>
                <w:b w:val="0"/>
                <w:bCs w:val="0"/>
                <w:i w:val="0"/>
              </w:rPr>
            </w:pPr>
            <w:r w:rsidRPr="00C4084C">
              <w:rPr>
                <w:rStyle w:val="PriorityAction-Bold"/>
                <w:b w:val="0"/>
                <w:bCs w:val="0"/>
                <w:i w:val="0"/>
                <w:iCs/>
              </w:rPr>
              <w:t xml:space="preserve">setting conditions so that </w:t>
            </w:r>
            <w:proofErr w:type="spellStart"/>
            <w:r w:rsidRPr="00C4084C">
              <w:rPr>
                <w:rStyle w:val="PriorityAction-Bold"/>
                <w:b w:val="0"/>
                <w:bCs w:val="0"/>
                <w:i w:val="0"/>
                <w:iCs/>
              </w:rPr>
              <w:t>microcredentials</w:t>
            </w:r>
            <w:proofErr w:type="spellEnd"/>
            <w:r w:rsidRPr="00C4084C">
              <w:rPr>
                <w:rStyle w:val="PriorityAction-Bold"/>
                <w:b w:val="0"/>
                <w:bCs w:val="0"/>
                <w:i w:val="0"/>
                <w:iCs/>
              </w:rPr>
              <w:t xml:space="preserve"> in higher education that are funded as Commonwealth </w:t>
            </w:r>
            <w:r w:rsidR="00320E16" w:rsidRPr="00C4084C">
              <w:rPr>
                <w:rStyle w:val="PriorityAction-Bold"/>
                <w:b w:val="0"/>
                <w:bCs w:val="0"/>
                <w:i w:val="0"/>
                <w:iCs/>
              </w:rPr>
              <w:t xml:space="preserve">supported places </w:t>
            </w:r>
            <w:r w:rsidRPr="00C4084C">
              <w:rPr>
                <w:rStyle w:val="PriorityAction-Bold"/>
                <w:b w:val="0"/>
                <w:bCs w:val="0"/>
                <w:i w:val="0"/>
                <w:iCs/>
              </w:rPr>
              <w:t>cannot subsequently be provided at full-fee cost to domestic students.</w:t>
            </w:r>
          </w:p>
        </w:tc>
      </w:tr>
    </w:tbl>
    <w:p w14:paraId="53539621" w14:textId="77777777" w:rsidR="00FA5EFE" w:rsidRPr="00C4084C" w:rsidRDefault="00FA5EFE" w:rsidP="00FA5EFE">
      <w:pPr>
        <w:spacing w:after="0"/>
      </w:pPr>
    </w:p>
    <w:tbl>
      <w:tblPr>
        <w:tblW w:w="0" w:type="auto"/>
        <w:shd w:val="clear" w:color="auto" w:fill="FBE4D5"/>
        <w:tblLook w:val="04A0" w:firstRow="1" w:lastRow="0" w:firstColumn="1" w:lastColumn="0" w:noHBand="0" w:noVBand="1"/>
      </w:tblPr>
      <w:tblGrid>
        <w:gridCol w:w="9026"/>
      </w:tblGrid>
      <w:tr w:rsidR="00FA5EFE" w:rsidRPr="00C4084C" w14:paraId="44C23516" w14:textId="77777777" w:rsidTr="00D26B82">
        <w:tc>
          <w:tcPr>
            <w:tcW w:w="9026" w:type="dxa"/>
            <w:shd w:val="clear" w:color="auto" w:fill="FEECDF"/>
          </w:tcPr>
          <w:p w14:paraId="48B356CA" w14:textId="77777777" w:rsidR="00FA5EFE" w:rsidRPr="00C4084C" w:rsidRDefault="00FA5EFE">
            <w:pPr>
              <w:pStyle w:val="List"/>
              <w:spacing w:before="240" w:after="0"/>
            </w:pPr>
            <w:r w:rsidRPr="00C4084C">
              <w:t>That to ensure students develop work relevant skills for employment after their study, the Australian Government increase opportunities for students to both earn and learn while studying by:</w:t>
            </w:r>
          </w:p>
          <w:p w14:paraId="23156551" w14:textId="77777777" w:rsidR="00FA5EFE" w:rsidRPr="00C4084C" w:rsidRDefault="00FA5EFE" w:rsidP="008C4411">
            <w:pPr>
              <w:pStyle w:val="List2"/>
              <w:spacing w:before="0" w:beforeAutospacing="0"/>
              <w:rPr>
                <w:rStyle w:val="PriorityAction-Bold"/>
                <w:b w:val="0"/>
                <w:bCs w:val="0"/>
                <w:i w:val="0"/>
              </w:rPr>
            </w:pPr>
            <w:r w:rsidRPr="00C4084C">
              <w:rPr>
                <w:rStyle w:val="PriorityAction-Bold"/>
                <w:b w:val="0"/>
                <w:bCs w:val="0"/>
                <w:i w:val="0"/>
              </w:rPr>
              <w:t xml:space="preserve">establishing a national brokerage system (‘Jobs Broker’) to support tertiary education students find part-time work and placements relevant to their fields of study. Delivery should be through a provider that charges paid subscriptions by employers. The service should be free for students, and allow them to earn income while studying and reduce cost of living </w:t>
            </w:r>
            <w:proofErr w:type="gramStart"/>
            <w:r w:rsidRPr="00C4084C">
              <w:rPr>
                <w:rStyle w:val="PriorityAction-Bold"/>
                <w:b w:val="0"/>
                <w:bCs w:val="0"/>
                <w:i w:val="0"/>
              </w:rPr>
              <w:t>pressures</w:t>
            </w:r>
            <w:proofErr w:type="gramEnd"/>
          </w:p>
          <w:p w14:paraId="06DC976A" w14:textId="43070CCE" w:rsidR="00FA5EFE" w:rsidRPr="00C4084C" w:rsidRDefault="00FA5EFE">
            <w:pPr>
              <w:pStyle w:val="List2"/>
              <w:rPr>
                <w:rStyle w:val="PriorityAction-Bold"/>
                <w:b w:val="0"/>
                <w:bCs w:val="0"/>
                <w:i w:val="0"/>
              </w:rPr>
            </w:pPr>
            <w:r w:rsidRPr="00C4084C">
              <w:rPr>
                <w:rStyle w:val="PriorityAction-Bold"/>
                <w:b w:val="0"/>
                <w:bCs w:val="0"/>
                <w:i w:val="0"/>
              </w:rPr>
              <w:t xml:space="preserve">promoting work-integrated learning (WIL) by working with peak bodies for employers, industry, business and tertiary education providers to deliver more WIL opportunities in curricula across all disciplines, and provide training to industry </w:t>
            </w:r>
            <w:proofErr w:type="gramStart"/>
            <w:r w:rsidRPr="00C4084C">
              <w:rPr>
                <w:rStyle w:val="PriorityAction-Bold"/>
                <w:b w:val="0"/>
                <w:bCs w:val="0"/>
                <w:i w:val="0"/>
              </w:rPr>
              <w:t>supervisors</w:t>
            </w:r>
            <w:proofErr w:type="gramEnd"/>
            <w:r w:rsidRPr="00C4084C">
              <w:rPr>
                <w:rStyle w:val="PriorityAction-Bold"/>
                <w:b w:val="0"/>
                <w:bCs w:val="0"/>
                <w:i w:val="0"/>
              </w:rPr>
              <w:t xml:space="preserve"> </w:t>
            </w:r>
          </w:p>
          <w:p w14:paraId="57A97FD1" w14:textId="77777777" w:rsidR="00FA5EFE" w:rsidRPr="00C4084C" w:rsidRDefault="00FA5EFE">
            <w:pPr>
              <w:pStyle w:val="List2"/>
              <w:rPr>
                <w:rStyle w:val="PriorityAction-Bold"/>
                <w:b w:val="0"/>
                <w:bCs w:val="0"/>
                <w:i w:val="0"/>
              </w:rPr>
            </w:pPr>
            <w:r w:rsidRPr="00C4084C">
              <w:rPr>
                <w:rStyle w:val="PriorityAction-Bold"/>
                <w:b w:val="0"/>
                <w:bCs w:val="0"/>
                <w:i w:val="0"/>
              </w:rPr>
              <w:t xml:space="preserve">improving measures of graduate generic skills as part of the Graduate Outcomes Survey and Employer Satisfaction Survey. The Australian Tertiary Education Commission should showcase best practice as part of its ‘State of the Tertiary Education System’ annual </w:t>
            </w:r>
            <w:proofErr w:type="gramStart"/>
            <w:r w:rsidRPr="00C4084C">
              <w:rPr>
                <w:rStyle w:val="PriorityAction-Bold"/>
                <w:b w:val="0"/>
                <w:bCs w:val="0"/>
                <w:i w:val="0"/>
              </w:rPr>
              <w:t>report</w:t>
            </w:r>
            <w:proofErr w:type="gramEnd"/>
          </w:p>
          <w:p w14:paraId="1C996B9D" w14:textId="77777777" w:rsidR="00FA5EFE" w:rsidRPr="00C4084C" w:rsidDel="00C977C2" w:rsidRDefault="00FA5EFE">
            <w:pPr>
              <w:pStyle w:val="List2"/>
              <w:rPr>
                <w:rStyle w:val="PriorityAction-Bold"/>
                <w:b w:val="0"/>
                <w:bCs w:val="0"/>
                <w:i w:val="0"/>
              </w:rPr>
            </w:pPr>
            <w:r w:rsidRPr="00C4084C">
              <w:rPr>
                <w:rStyle w:val="PriorityAction-Bold"/>
                <w:b w:val="0"/>
                <w:bCs w:val="0"/>
                <w:i w:val="0"/>
              </w:rPr>
              <w:t>using models like degree apprenticeships that encourage an employment relationship as part of course design.</w:t>
            </w:r>
          </w:p>
        </w:tc>
      </w:tr>
    </w:tbl>
    <w:p w14:paraId="697B58AB" w14:textId="77777777" w:rsidR="00FA5EFE" w:rsidRPr="00C4084C" w:rsidRDefault="00FA5EFE" w:rsidP="00FA5EFE">
      <w:pPr>
        <w:spacing w:after="0"/>
      </w:pPr>
    </w:p>
    <w:tbl>
      <w:tblPr>
        <w:tblW w:w="0" w:type="auto"/>
        <w:shd w:val="clear" w:color="auto" w:fill="FBE4D5"/>
        <w:tblLook w:val="04A0" w:firstRow="1" w:lastRow="0" w:firstColumn="1" w:lastColumn="0" w:noHBand="0" w:noVBand="1"/>
      </w:tblPr>
      <w:tblGrid>
        <w:gridCol w:w="9026"/>
      </w:tblGrid>
      <w:tr w:rsidR="00FA5EFE" w:rsidRPr="00C4084C" w14:paraId="3CD3F4DA" w14:textId="77777777" w:rsidTr="00D26B82">
        <w:tc>
          <w:tcPr>
            <w:tcW w:w="9026" w:type="dxa"/>
            <w:shd w:val="clear" w:color="auto" w:fill="FEECDF"/>
          </w:tcPr>
          <w:p w14:paraId="3C05837E" w14:textId="3DC8D906" w:rsidR="00FA5EFE" w:rsidRPr="00C4084C" w:rsidRDefault="00FA5EFE">
            <w:pPr>
              <w:pStyle w:val="List"/>
              <w:spacing w:before="240" w:after="0"/>
            </w:pPr>
            <w:r w:rsidRPr="00C4084C">
              <w:lastRenderedPageBreak/>
              <w:t xml:space="preserve">That to improve the speed and focus on meeting high impact skills needs, the Australian Government partner with select tertiary education providers, states and territories, industry, </w:t>
            </w:r>
            <w:proofErr w:type="gramStart"/>
            <w:r w:rsidRPr="00C4084C">
              <w:t>business</w:t>
            </w:r>
            <w:proofErr w:type="gramEnd"/>
            <w:r w:rsidRPr="00C4084C">
              <w:t xml:space="preserve"> and unions to rapidly provide students with innovative skills through:</w:t>
            </w:r>
          </w:p>
          <w:p w14:paraId="3A925DC7" w14:textId="77777777" w:rsidR="00FA5EFE" w:rsidRPr="00C4084C" w:rsidRDefault="00FA5EFE" w:rsidP="008C4411">
            <w:pPr>
              <w:pStyle w:val="List2"/>
              <w:spacing w:before="0" w:beforeAutospacing="0"/>
              <w:rPr>
                <w:rStyle w:val="PriorityAction-Bold"/>
                <w:b w:val="0"/>
                <w:bCs w:val="0"/>
                <w:i w:val="0"/>
              </w:rPr>
            </w:pPr>
            <w:r w:rsidRPr="00C4084C">
              <w:rPr>
                <w:rStyle w:val="PriorityAction-Bold"/>
                <w:b w:val="0"/>
                <w:bCs w:val="0"/>
                <w:i w:val="0"/>
              </w:rPr>
              <w:t>supporting methods of quickly ramping up delivery, including through use of newly developed collaborative infrastructure such as the TAFE Centres of Excellence and the NSW Institutes of Applied Technology</w:t>
            </w:r>
          </w:p>
          <w:p w14:paraId="1C246F71" w14:textId="1B8A5C2D" w:rsidR="00FA5EFE" w:rsidRPr="00C4084C" w:rsidDel="00C977C2" w:rsidRDefault="00FA5EFE">
            <w:pPr>
              <w:pStyle w:val="List2"/>
              <w:rPr>
                <w:rStyle w:val="PriorityAction-Bold"/>
                <w:b w:val="0"/>
                <w:bCs w:val="0"/>
                <w:i w:val="0"/>
              </w:rPr>
            </w:pPr>
            <w:r w:rsidRPr="00C4084C">
              <w:rPr>
                <w:rStyle w:val="PriorityAction-Bold"/>
                <w:b w:val="0"/>
                <w:bCs w:val="0"/>
                <w:i w:val="0"/>
              </w:rPr>
              <w:t xml:space="preserve">including higher education </w:t>
            </w:r>
            <w:r w:rsidRPr="00C4084C">
              <w:rPr>
                <w:rStyle w:val="PriorityAction-Bold"/>
                <w:b w:val="0"/>
                <w:i w:val="0"/>
              </w:rPr>
              <w:t xml:space="preserve">sector </w:t>
            </w:r>
            <w:r w:rsidR="00490D2D" w:rsidRPr="00C4084C">
              <w:rPr>
                <w:rStyle w:val="PriorityAction-Bold"/>
                <w:b w:val="0"/>
                <w:i w:val="0"/>
              </w:rPr>
              <w:t>engage</w:t>
            </w:r>
            <w:r w:rsidR="00575727" w:rsidRPr="00C4084C">
              <w:rPr>
                <w:rStyle w:val="PriorityAction-Bold"/>
                <w:b w:val="0"/>
                <w:i w:val="0"/>
              </w:rPr>
              <w:t>ment</w:t>
            </w:r>
            <w:r w:rsidRPr="00C4084C">
              <w:rPr>
                <w:rStyle w:val="PriorityAction-Bold"/>
                <w:b w:val="0"/>
                <w:i w:val="0"/>
              </w:rPr>
              <w:t xml:space="preserve"> </w:t>
            </w:r>
            <w:r w:rsidR="00104813" w:rsidRPr="00C4084C">
              <w:rPr>
                <w:rStyle w:val="PriorityAction-Bold"/>
                <w:b w:val="0"/>
                <w:i w:val="0"/>
              </w:rPr>
              <w:t>with</w:t>
            </w:r>
            <w:r w:rsidRPr="00C4084C">
              <w:rPr>
                <w:rStyle w:val="PriorityAction-Bold"/>
                <w:b w:val="0"/>
                <w:i w:val="0"/>
              </w:rPr>
              <w:t xml:space="preserve"> the</w:t>
            </w:r>
            <w:r w:rsidRPr="00C4084C">
              <w:rPr>
                <w:rStyle w:val="PriorityAction-Bold"/>
                <w:b w:val="0"/>
                <w:bCs w:val="0"/>
                <w:i w:val="0"/>
              </w:rPr>
              <w:t xml:space="preserve"> Jobs and Skills Australia Ministerial Advisory Board</w:t>
            </w:r>
            <w:r w:rsidR="00C47AC9" w:rsidRPr="00C4084C">
              <w:rPr>
                <w:rStyle w:val="PriorityAction-Bold"/>
                <w:b w:val="0"/>
                <w:bCs w:val="0"/>
                <w:i w:val="0"/>
              </w:rPr>
              <w:t xml:space="preserve"> </w:t>
            </w:r>
            <w:r w:rsidR="00C47AC9" w:rsidRPr="00C4084C">
              <w:rPr>
                <w:rStyle w:val="PriorityAction-Bold"/>
                <w:b w:val="0"/>
                <w:bCs w:val="0"/>
                <w:i w:val="0"/>
                <w:iCs/>
              </w:rPr>
              <w:t>and the Jobs and Skills Councils</w:t>
            </w:r>
            <w:r w:rsidRPr="00C4084C">
              <w:rPr>
                <w:rStyle w:val="PriorityAction-Bold"/>
                <w:b w:val="0"/>
                <w:bCs w:val="0"/>
                <w:i w:val="0"/>
                <w:iCs/>
              </w:rPr>
              <w:t>.</w:t>
            </w:r>
          </w:p>
        </w:tc>
      </w:tr>
    </w:tbl>
    <w:p w14:paraId="2A652EE1" w14:textId="77777777" w:rsidR="00FA5EFE" w:rsidRPr="00C4084C" w:rsidRDefault="00FA5EFE" w:rsidP="00FA5EFE">
      <w:pPr>
        <w:pStyle w:val="Rec-frontmatternonheading"/>
      </w:pPr>
      <w:r w:rsidRPr="00C4084C">
        <w:t>Professional accreditation bodies </w:t>
      </w:r>
    </w:p>
    <w:tbl>
      <w:tblPr>
        <w:tblW w:w="0" w:type="auto"/>
        <w:shd w:val="clear" w:color="auto" w:fill="FBE4D5"/>
        <w:tblLook w:val="04A0" w:firstRow="1" w:lastRow="0" w:firstColumn="1" w:lastColumn="0" w:noHBand="0" w:noVBand="1"/>
      </w:tblPr>
      <w:tblGrid>
        <w:gridCol w:w="9026"/>
      </w:tblGrid>
      <w:tr w:rsidR="00FA5EFE" w:rsidRPr="00C4084C" w14:paraId="32B8AD6A" w14:textId="77777777" w:rsidTr="00D26B82">
        <w:trPr>
          <w:trHeight w:val="300"/>
        </w:trPr>
        <w:tc>
          <w:tcPr>
            <w:tcW w:w="9026" w:type="dxa"/>
            <w:shd w:val="clear" w:color="auto" w:fill="FEECDF"/>
          </w:tcPr>
          <w:p w14:paraId="06C445DC" w14:textId="5D3A88BB" w:rsidR="00FA5EFE" w:rsidRPr="00C4084C" w:rsidDel="00C977C2" w:rsidRDefault="00FA5EFE">
            <w:pPr>
              <w:pStyle w:val="List"/>
              <w:spacing w:before="240"/>
              <w:rPr>
                <w:rStyle w:val="PriorityAction-Bold"/>
                <w:b w:val="0"/>
                <w:bCs w:val="0"/>
                <w:i w:val="0"/>
              </w:rPr>
            </w:pPr>
            <w:r w:rsidRPr="00C4084C">
              <w:t>That to ensure professional accreditation including placement requirements are appropriate for industry and business skill needs,</w:t>
            </w:r>
            <w:r w:rsidR="004E1C89" w:rsidRPr="00C4084C">
              <w:t xml:space="preserve"> tertiary education providers and</w:t>
            </w:r>
            <w:r w:rsidRPr="00C4084C">
              <w:t xml:space="preserve"> the Australian Government</w:t>
            </w:r>
            <w:r w:rsidR="00C47AC9" w:rsidRPr="00C4084C">
              <w:t>,</w:t>
            </w:r>
            <w:r w:rsidRPr="00C4084C">
              <w:t xml:space="preserve"> through the Australian Tertiary Education Commission</w:t>
            </w:r>
            <w:r w:rsidR="00C47AC9" w:rsidRPr="00C4084C">
              <w:t>,</w:t>
            </w:r>
            <w:r w:rsidRPr="00C4084C">
              <w:t xml:space="preserve"> work with professional accreditation bodies</w:t>
            </w:r>
            <w:r w:rsidR="0055733F" w:rsidRPr="00C4084C">
              <w:t>,</w:t>
            </w:r>
            <w:r w:rsidRPr="00C4084C">
              <w:t xml:space="preserve"> to agree a code of conduct for these bodies. The code should ensure that any accreditation requirements are evidence-based and proportionate to the gain they provide and that placement requirements ensure that students gain industry relevant skills and experience without imposing onerous placement length and conditions.</w:t>
            </w:r>
          </w:p>
        </w:tc>
      </w:tr>
    </w:tbl>
    <w:p w14:paraId="71E18097" w14:textId="77777777" w:rsidR="00FA5EFE" w:rsidRPr="00C4084C" w:rsidRDefault="00FA5EFE" w:rsidP="00FA5EFE">
      <w:pPr>
        <w:pStyle w:val="Rec-frontmatternonheading"/>
      </w:pPr>
      <w:r w:rsidRPr="00C4084C">
        <w:t>Participation targets </w:t>
      </w:r>
    </w:p>
    <w:tbl>
      <w:tblPr>
        <w:tblW w:w="0" w:type="auto"/>
        <w:shd w:val="clear" w:color="auto" w:fill="FBE4D5"/>
        <w:tblLook w:val="04A0" w:firstRow="1" w:lastRow="0" w:firstColumn="1" w:lastColumn="0" w:noHBand="0" w:noVBand="1"/>
      </w:tblPr>
      <w:tblGrid>
        <w:gridCol w:w="9026"/>
      </w:tblGrid>
      <w:tr w:rsidR="00FA5EFE" w:rsidRPr="00C4084C" w14:paraId="2B7E39E2" w14:textId="77777777" w:rsidTr="00D26B82">
        <w:tc>
          <w:tcPr>
            <w:tcW w:w="9026" w:type="dxa"/>
            <w:shd w:val="clear" w:color="auto" w:fill="FEECDF"/>
          </w:tcPr>
          <w:p w14:paraId="730F0CD3" w14:textId="299C532A" w:rsidR="00FA5EFE" w:rsidRPr="00C4084C" w:rsidRDefault="00FA5EFE">
            <w:pPr>
              <w:pStyle w:val="List"/>
              <w:spacing w:before="240" w:after="0"/>
              <w:contextualSpacing w:val="0"/>
            </w:pPr>
            <w:r w:rsidRPr="00C4084C">
              <w:t xml:space="preserve">That to ensure that all Australians regardless of background </w:t>
            </w:r>
            <w:proofErr w:type="gramStart"/>
            <w:r w:rsidRPr="00C4084C">
              <w:t>have the opportunity to</w:t>
            </w:r>
            <w:proofErr w:type="gramEnd"/>
            <w:r w:rsidRPr="00C4084C">
              <w:t xml:space="preserve"> go to university and no one is left behind, the Australian Government aspire to equal participation at university for under-represented groups, supported by needs-based funding for universities, more effective learning and teaching, and improved student income support. To achieve this, attainment and participation targets should be set for 2035 and the following years with the aim of reaching equal participation by 2050. This requires:</w:t>
            </w:r>
          </w:p>
          <w:p w14:paraId="236BF11E" w14:textId="77777777" w:rsidR="00FA5EFE" w:rsidRPr="00C4084C" w:rsidRDefault="00FA5EFE" w:rsidP="008C4411">
            <w:pPr>
              <w:pStyle w:val="List2"/>
              <w:spacing w:before="0" w:beforeAutospacing="0"/>
            </w:pPr>
            <w:r w:rsidRPr="00C4084C">
              <w:t>participation targets to grow the proportion of undergraduate university students from under-represented backgrounds in 2035 to:</w:t>
            </w:r>
          </w:p>
          <w:p w14:paraId="7F0DC61D" w14:textId="77777777" w:rsidR="00FA5EFE" w:rsidRPr="00C4084C" w:rsidRDefault="00FA5EFE">
            <w:pPr>
              <w:pStyle w:val="List3"/>
            </w:pPr>
            <w:r w:rsidRPr="00C4084C">
              <w:t>3.3% from 2.1% for First Nations students</w:t>
            </w:r>
          </w:p>
          <w:p w14:paraId="4E764BE8" w14:textId="77777777" w:rsidR="00FA5EFE" w:rsidRPr="00C4084C" w:rsidRDefault="00FA5EFE">
            <w:pPr>
              <w:pStyle w:val="List3"/>
            </w:pPr>
            <w:r w:rsidRPr="00C4084C">
              <w:t>20.2% from 17.0% for students from lowest quartile SES backgrounds</w:t>
            </w:r>
          </w:p>
          <w:p w14:paraId="2B4AE969" w14:textId="6D2F34F1" w:rsidR="00FA5EFE" w:rsidRPr="00C4084C" w:rsidRDefault="00FA5EFE">
            <w:pPr>
              <w:pStyle w:val="List3"/>
            </w:pPr>
            <w:r w:rsidRPr="00C4084C">
              <w:t>24.0% from 19.8% for regional, rural, and remote students</w:t>
            </w:r>
            <w:r w:rsidR="00320E16" w:rsidRPr="00C4084C">
              <w:t xml:space="preserve">, </w:t>
            </w:r>
            <w:r w:rsidRPr="00C4084C">
              <w:t>and</w:t>
            </w:r>
          </w:p>
          <w:p w14:paraId="73E92AB9" w14:textId="1F44B8FE" w:rsidR="00FA5EFE" w:rsidRPr="00C4084C" w:rsidRDefault="00FA5EFE">
            <w:pPr>
              <w:pStyle w:val="List3"/>
            </w:pPr>
            <w:r w:rsidRPr="00C4084C">
              <w:t>maintaining participation rates for students with disability</w:t>
            </w:r>
            <w:r w:rsidR="00D83CED">
              <w:t>.</w:t>
            </w:r>
            <w:r w:rsidRPr="00C4084C">
              <w:t xml:space="preserve"> </w:t>
            </w:r>
          </w:p>
          <w:p w14:paraId="5318E348" w14:textId="77777777" w:rsidR="00FA5EFE" w:rsidRPr="00C4084C" w:rsidRDefault="00FA5EFE">
            <w:pPr>
              <w:pStyle w:val="List3"/>
              <w:numPr>
                <w:ilvl w:val="0"/>
                <w:numId w:val="0"/>
              </w:numPr>
              <w:spacing w:after="0" w:line="240" w:lineRule="auto"/>
              <w:ind w:left="794"/>
            </w:pPr>
            <w:r w:rsidRPr="00C4084C">
              <w:t xml:space="preserve">This is based on the trajectory required to achieve parity in </w:t>
            </w:r>
            <w:proofErr w:type="gramStart"/>
            <w:r w:rsidRPr="00C4084C">
              <w:t>2050</w:t>
            </w:r>
            <w:proofErr w:type="gramEnd"/>
          </w:p>
          <w:p w14:paraId="7CD42688" w14:textId="77777777" w:rsidR="00FA5EFE" w:rsidRPr="00C4084C" w:rsidRDefault="00FA5EFE">
            <w:pPr>
              <w:pStyle w:val="List2"/>
              <w:spacing w:before="0" w:beforeAutospacing="0" w:after="0" w:afterAutospacing="0"/>
            </w:pPr>
            <w:r w:rsidRPr="00C4084C">
              <w:t xml:space="preserve">all universities to make an equal effort in contributing to achieve these targets, recognising that each university will have an individual target for completions that considers the different starting points and contexts of states, territories and </w:t>
            </w:r>
            <w:proofErr w:type="gramStart"/>
            <w:r w:rsidRPr="00C4084C">
              <w:t>universities</w:t>
            </w:r>
            <w:proofErr w:type="gramEnd"/>
          </w:p>
          <w:p w14:paraId="71D72664" w14:textId="77777777" w:rsidR="00FA5EFE" w:rsidRPr="00C4084C" w:rsidRDefault="00FA5EFE">
            <w:pPr>
              <w:pStyle w:val="List2"/>
            </w:pPr>
            <w:r w:rsidRPr="00C4084C">
              <w:t xml:space="preserve">universities continue to report annually on their actions and progress toward increasing the participation and attainment by students from under-represented </w:t>
            </w:r>
            <w:proofErr w:type="gramStart"/>
            <w:r w:rsidRPr="00C4084C">
              <w:t>backgrounds</w:t>
            </w:r>
            <w:proofErr w:type="gramEnd"/>
          </w:p>
          <w:p w14:paraId="4C68E665" w14:textId="470EF4B7" w:rsidR="00224D46" w:rsidRPr="00C4084C" w:rsidRDefault="00FA5EFE">
            <w:pPr>
              <w:pStyle w:val="List2"/>
            </w:pPr>
            <w:r w:rsidRPr="00C4084C">
              <w:t xml:space="preserve">the Australian Tertiary Education Commission, in collaboration with research bodies such as the National Centre for Student Equity in Higher Education, identify and disseminate successful approaches to attracting, preparing and ensuring success for students from under-represented backgrounds who need the most additional support to </w:t>
            </w:r>
            <w:proofErr w:type="gramStart"/>
            <w:r w:rsidRPr="00C4084C">
              <w:t>succeed</w:t>
            </w:r>
            <w:proofErr w:type="gramEnd"/>
          </w:p>
          <w:p w14:paraId="65E8B540" w14:textId="23CEF15D" w:rsidR="00FA5EFE" w:rsidRPr="00C4084C" w:rsidDel="00C977C2" w:rsidRDefault="00CE7B20">
            <w:pPr>
              <w:pStyle w:val="List2"/>
              <w:rPr>
                <w:rStyle w:val="PriorityAction-Bold"/>
                <w:b w:val="0"/>
                <w:bCs w:val="0"/>
                <w:i w:val="0"/>
              </w:rPr>
            </w:pPr>
            <w:r w:rsidRPr="00C4084C">
              <w:t xml:space="preserve">continuing effort, in partnership with the National Indigenous Affairs Agency and the Coalition of Peaks, to link the new attainment targets with Closing the Gap targets, and to deliver the current Closing the Gap Target 6, which aims for 70% of First Nations people </w:t>
            </w:r>
            <w:r w:rsidR="00877061" w:rsidRPr="00C4084C">
              <w:lastRenderedPageBreak/>
              <w:t xml:space="preserve">aged </w:t>
            </w:r>
            <w:r w:rsidRPr="00C4084C">
              <w:t>between 25</w:t>
            </w:r>
            <w:r w:rsidR="00877061" w:rsidRPr="00C4084C">
              <w:t xml:space="preserve"> and </w:t>
            </w:r>
            <w:r w:rsidRPr="00C4084C">
              <w:t>34</w:t>
            </w:r>
            <w:r w:rsidR="00877061" w:rsidRPr="00C4084C">
              <w:t xml:space="preserve"> years</w:t>
            </w:r>
            <w:r w:rsidRPr="00C4084C">
              <w:t xml:space="preserve"> to have completed a tertiary qualification (Certificate III and above) by 2031.</w:t>
            </w:r>
          </w:p>
        </w:tc>
      </w:tr>
    </w:tbl>
    <w:p w14:paraId="247F6094" w14:textId="77777777" w:rsidR="00FA5EFE" w:rsidRPr="00C4084C" w:rsidRDefault="00FA5EFE" w:rsidP="00FA5EFE">
      <w:pPr>
        <w:pStyle w:val="Rec-frontmatternonheading"/>
      </w:pPr>
      <w:r w:rsidRPr="00C4084C">
        <w:lastRenderedPageBreak/>
        <w:t>Building aspiration including through increasing readiness for tertiary education and providing career advice </w:t>
      </w:r>
    </w:p>
    <w:tbl>
      <w:tblPr>
        <w:tblW w:w="0" w:type="auto"/>
        <w:shd w:val="clear" w:color="auto" w:fill="FBE4D5"/>
        <w:tblLook w:val="04A0" w:firstRow="1" w:lastRow="0" w:firstColumn="1" w:lastColumn="0" w:noHBand="0" w:noVBand="1"/>
      </w:tblPr>
      <w:tblGrid>
        <w:gridCol w:w="9026"/>
      </w:tblGrid>
      <w:tr w:rsidR="00FA5EFE" w:rsidRPr="00C4084C" w14:paraId="4E3C8C6D" w14:textId="77777777" w:rsidTr="00D26B82">
        <w:tc>
          <w:tcPr>
            <w:tcW w:w="9026" w:type="dxa"/>
            <w:shd w:val="clear" w:color="auto" w:fill="FEECDF"/>
          </w:tcPr>
          <w:p w14:paraId="45A8E090" w14:textId="77777777" w:rsidR="00FA5EFE" w:rsidRPr="00C4084C" w:rsidRDefault="00FA5EFE">
            <w:pPr>
              <w:pStyle w:val="List"/>
              <w:spacing w:before="240" w:after="0"/>
            </w:pPr>
            <w:r w:rsidRPr="00C4084C">
              <w:t xml:space="preserve">That to encourage greater aspiration, </w:t>
            </w:r>
            <w:proofErr w:type="gramStart"/>
            <w:r w:rsidRPr="00C4084C">
              <w:t>participation</w:t>
            </w:r>
            <w:proofErr w:type="gramEnd"/>
            <w:r w:rsidRPr="00C4084C">
              <w:t xml:space="preserve"> and success in tertiary education among under-represented groups, the Australian Government support effective outreach programs designed to develop familiarity with tertiary education. These outreach programs should be resourced separately from the Review’s recommended needs-based funding model and include:</w:t>
            </w:r>
          </w:p>
          <w:p w14:paraId="7ABBC322" w14:textId="77777777" w:rsidR="00FA5EFE" w:rsidRPr="00C4084C" w:rsidRDefault="00FA5EFE">
            <w:pPr>
              <w:pStyle w:val="List2"/>
            </w:pPr>
            <w:r w:rsidRPr="00C4084C">
              <w:t xml:space="preserve">work with state and territory governments to drive a consistent national framework for careers advice across all life </w:t>
            </w:r>
            <w:proofErr w:type="gramStart"/>
            <w:r w:rsidRPr="00C4084C">
              <w:t>stages</w:t>
            </w:r>
            <w:proofErr w:type="gramEnd"/>
          </w:p>
          <w:p w14:paraId="1039F2DB" w14:textId="77777777" w:rsidR="00FA5EFE" w:rsidRPr="00C4084C" w:rsidRDefault="00FA5EFE">
            <w:pPr>
              <w:pStyle w:val="List2"/>
            </w:pPr>
            <w:r w:rsidRPr="00C4084C">
              <w:t xml:space="preserve">work with state and territory governments to ensure post-school pathways are visible and integrated into secondary schooling, including current reforms to senior secondary pathways and assessment, and that the schooling system increasingly produces Year 12 completers who are ready and informed about tertiary education </w:t>
            </w:r>
            <w:proofErr w:type="gramStart"/>
            <w:r w:rsidRPr="00C4084C">
              <w:t>opportunities</w:t>
            </w:r>
            <w:proofErr w:type="gramEnd"/>
          </w:p>
          <w:p w14:paraId="1A2666A5" w14:textId="77777777" w:rsidR="00FA5EFE" w:rsidRPr="00C4084C" w:rsidDel="00C977C2" w:rsidRDefault="00FA5EFE">
            <w:pPr>
              <w:pStyle w:val="List2"/>
              <w:spacing w:after="100"/>
              <w:rPr>
                <w:rStyle w:val="PriorityAction-Bold"/>
                <w:b w:val="0"/>
                <w:bCs w:val="0"/>
                <w:i w:val="0"/>
              </w:rPr>
            </w:pPr>
            <w:r w:rsidRPr="00C4084C">
              <w:t>a national communications campaign that shares positive examples that build aspiration and that speak to prospective students about their pathway into tertiary education, particularly young people, through media and channels they engage with, trust and respect.</w:t>
            </w:r>
          </w:p>
        </w:tc>
      </w:tr>
    </w:tbl>
    <w:p w14:paraId="03E40C31" w14:textId="7B24C050" w:rsidR="00FA5EFE" w:rsidRPr="00C4084C" w:rsidRDefault="00FA5EFE" w:rsidP="00FA5EFE">
      <w:pPr>
        <w:pStyle w:val="Rec-frontmatternonheading"/>
      </w:pPr>
      <w:r w:rsidRPr="00C4084C">
        <w:t xml:space="preserve">Fee-free </w:t>
      </w:r>
      <w:r w:rsidR="0079141F" w:rsidRPr="00C4084C">
        <w:t>preparatory</w:t>
      </w:r>
      <w:r w:rsidRPr="00C4084C">
        <w:t> courses</w:t>
      </w:r>
    </w:p>
    <w:tbl>
      <w:tblPr>
        <w:tblW w:w="0" w:type="auto"/>
        <w:shd w:val="clear" w:color="auto" w:fill="FBE4D5"/>
        <w:tblLook w:val="04A0" w:firstRow="1" w:lastRow="0" w:firstColumn="1" w:lastColumn="0" w:noHBand="0" w:noVBand="1"/>
      </w:tblPr>
      <w:tblGrid>
        <w:gridCol w:w="9026"/>
      </w:tblGrid>
      <w:tr w:rsidR="00FA5EFE" w:rsidRPr="00C4084C" w14:paraId="47B04FB6" w14:textId="77777777" w:rsidTr="00D26B82">
        <w:tc>
          <w:tcPr>
            <w:tcW w:w="9026" w:type="dxa"/>
            <w:shd w:val="clear" w:color="auto" w:fill="FEECDF"/>
          </w:tcPr>
          <w:p w14:paraId="5EB45811" w14:textId="5FE35243" w:rsidR="00FA5EFE" w:rsidRPr="00C4084C" w:rsidRDefault="00FA5EFE">
            <w:pPr>
              <w:pStyle w:val="List"/>
              <w:spacing w:before="240" w:after="0"/>
            </w:pPr>
            <w:r w:rsidRPr="00C4084C">
              <w:t xml:space="preserve">That to help more students who aspire to university to qualify for entry, the Australian Government significantly increase the availability of fee-free places, meeting the need </w:t>
            </w:r>
            <w:r w:rsidR="004E1C89" w:rsidRPr="00C4084C">
              <w:t>for</w:t>
            </w:r>
            <w:r w:rsidRPr="00C4084C">
              <w:t xml:space="preserve"> high-quality </w:t>
            </w:r>
            <w:r w:rsidR="0079141F" w:rsidRPr="00C4084C">
              <w:t>preparatory</w:t>
            </w:r>
            <w:r w:rsidRPr="00C4084C">
              <w:t xml:space="preserve"> courses by ensuring:</w:t>
            </w:r>
          </w:p>
          <w:p w14:paraId="47A35AB8" w14:textId="77777777" w:rsidR="00FA5EFE" w:rsidRPr="00C4084C" w:rsidRDefault="00FA5EFE">
            <w:pPr>
              <w:pStyle w:val="List2"/>
              <w:spacing w:after="100"/>
            </w:pPr>
            <w:r w:rsidRPr="00C4084C">
              <w:t xml:space="preserve">the number of Commonwealth supported places is expanded to meet demand from </w:t>
            </w:r>
            <w:proofErr w:type="gramStart"/>
            <w:r w:rsidRPr="00C4084C">
              <w:t>students</w:t>
            </w:r>
            <w:proofErr w:type="gramEnd"/>
            <w:r w:rsidRPr="00C4084C">
              <w:t xml:space="preserve"> </w:t>
            </w:r>
          </w:p>
          <w:p w14:paraId="60DC16D0" w14:textId="3A312D01" w:rsidR="00FA5EFE" w:rsidRPr="00C4084C" w:rsidRDefault="00A05C6D">
            <w:pPr>
              <w:pStyle w:val="List2"/>
              <w:spacing w:after="100"/>
            </w:pPr>
            <w:r w:rsidRPr="00C4084C">
              <w:t>preparatory</w:t>
            </w:r>
            <w:r w:rsidR="00FA5EFE" w:rsidRPr="00C4084C">
              <w:t xml:space="preserve"> courses are free for any student in a Commonwealth supported place and this </w:t>
            </w:r>
            <w:r w:rsidR="004E1C89" w:rsidRPr="00C4084C">
              <w:t xml:space="preserve">is </w:t>
            </w:r>
            <w:r w:rsidR="00FA5EFE" w:rsidRPr="00C4084C">
              <w:t xml:space="preserve">enshrined in </w:t>
            </w:r>
            <w:proofErr w:type="gramStart"/>
            <w:r w:rsidR="00FA5EFE" w:rsidRPr="00C4084C">
              <w:t>legislation</w:t>
            </w:r>
            <w:proofErr w:type="gramEnd"/>
          </w:p>
          <w:p w14:paraId="76641ED3" w14:textId="0B984473" w:rsidR="00FA5EFE" w:rsidRPr="00C4084C" w:rsidRDefault="00FA5EFE">
            <w:pPr>
              <w:pStyle w:val="List2"/>
            </w:pPr>
            <w:r w:rsidRPr="00C4084C">
              <w:t xml:space="preserve">funding for </w:t>
            </w:r>
            <w:r w:rsidR="00A05C6D" w:rsidRPr="00C4084C">
              <w:t>preparatory</w:t>
            </w:r>
            <w:r w:rsidRPr="00C4084C">
              <w:t xml:space="preserve"> places reflects the cost of </w:t>
            </w:r>
            <w:proofErr w:type="gramStart"/>
            <w:r w:rsidRPr="00C4084C">
              <w:t>delivery</w:t>
            </w:r>
            <w:proofErr w:type="gramEnd"/>
          </w:p>
          <w:p w14:paraId="79FF68C1" w14:textId="363F3679" w:rsidR="00FA5EFE" w:rsidRPr="00C4084C" w:rsidRDefault="00FA5EFE">
            <w:pPr>
              <w:pStyle w:val="List2"/>
            </w:pPr>
            <w:r w:rsidRPr="00C4084C">
              <w:t xml:space="preserve">recognition of and investment in high-quality models that deliver successful student </w:t>
            </w:r>
            <w:proofErr w:type="gramStart"/>
            <w:r w:rsidRPr="00C4084C">
              <w:t>outcomes</w:t>
            </w:r>
            <w:proofErr w:type="gramEnd"/>
          </w:p>
          <w:p w14:paraId="5662A7BA" w14:textId="6B86B562" w:rsidR="00FA5EFE" w:rsidRPr="00C4084C" w:rsidRDefault="00A05C6D">
            <w:pPr>
              <w:pStyle w:val="List2"/>
            </w:pPr>
            <w:r w:rsidRPr="00C4084C">
              <w:t>preparatory</w:t>
            </w:r>
            <w:r w:rsidR="00FA5EFE" w:rsidRPr="00C4084C">
              <w:t xml:space="preserve"> programs in fields such as mathematics, which are needed for specialist tertiary education entry, are delivered online to improve </w:t>
            </w:r>
            <w:proofErr w:type="gramStart"/>
            <w:r w:rsidR="00FA5EFE" w:rsidRPr="00C4084C">
              <w:t>access</w:t>
            </w:r>
            <w:proofErr w:type="gramEnd"/>
          </w:p>
          <w:p w14:paraId="21C96EE7" w14:textId="29E966FD" w:rsidR="00FA5EFE" w:rsidRPr="00C4084C" w:rsidDel="00C977C2" w:rsidRDefault="00FA5EFE">
            <w:pPr>
              <w:pStyle w:val="List2"/>
              <w:rPr>
                <w:rStyle w:val="PriorityAction-Bold"/>
                <w:b w:val="0"/>
                <w:bCs w:val="0"/>
                <w:i w:val="0"/>
              </w:rPr>
            </w:pPr>
            <w:r w:rsidRPr="00C4084C">
              <w:t xml:space="preserve">a systematic approach to recognising </w:t>
            </w:r>
            <w:r w:rsidR="00A05C6D" w:rsidRPr="00C4084C">
              <w:t>preparatory</w:t>
            </w:r>
            <w:r w:rsidR="00054C44" w:rsidRPr="00C4084C">
              <w:t xml:space="preserve"> and</w:t>
            </w:r>
            <w:r w:rsidR="00961EA7" w:rsidRPr="00C4084C">
              <w:t xml:space="preserve"> other </w:t>
            </w:r>
            <w:r w:rsidR="00D24F29" w:rsidRPr="00C4084C">
              <w:t>preparatory</w:t>
            </w:r>
            <w:r w:rsidR="004E1C89" w:rsidRPr="00C4084C">
              <w:t>-</w:t>
            </w:r>
            <w:r w:rsidR="00D24F29" w:rsidRPr="00C4084C">
              <w:t>type</w:t>
            </w:r>
            <w:r w:rsidRPr="00C4084C">
              <w:t xml:space="preserve"> programs across tertiary education providers through the National Skills Passport.</w:t>
            </w:r>
          </w:p>
        </w:tc>
      </w:tr>
    </w:tbl>
    <w:p w14:paraId="51EED102" w14:textId="77777777" w:rsidR="00FA5EFE" w:rsidRPr="00C4084C" w:rsidRDefault="00FA5EFE" w:rsidP="00FA5EFE">
      <w:pPr>
        <w:pStyle w:val="Rec-frontmatternonheading"/>
      </w:pPr>
      <w:r w:rsidRPr="00C4084C">
        <w:t xml:space="preserve">Support to participate and succeed in </w:t>
      </w:r>
      <w:proofErr w:type="gramStart"/>
      <w:r w:rsidRPr="00C4084C">
        <w:t>learning</w:t>
      </w:r>
      <w:proofErr w:type="gramEnd"/>
      <w:r w:rsidRPr="00C4084C">
        <w:t>  </w:t>
      </w:r>
    </w:p>
    <w:tbl>
      <w:tblPr>
        <w:tblW w:w="0" w:type="auto"/>
        <w:shd w:val="clear" w:color="auto" w:fill="FBE4D5"/>
        <w:tblLook w:val="04A0" w:firstRow="1" w:lastRow="0" w:firstColumn="1" w:lastColumn="0" w:noHBand="0" w:noVBand="1"/>
      </w:tblPr>
      <w:tblGrid>
        <w:gridCol w:w="9026"/>
      </w:tblGrid>
      <w:tr w:rsidR="00FA5EFE" w:rsidRPr="00C4084C" w14:paraId="578A21FE" w14:textId="77777777" w:rsidTr="00D26B82">
        <w:tc>
          <w:tcPr>
            <w:tcW w:w="9026" w:type="dxa"/>
            <w:shd w:val="clear" w:color="auto" w:fill="FEECDF"/>
          </w:tcPr>
          <w:p w14:paraId="51D5160A" w14:textId="77777777" w:rsidR="00FA5EFE" w:rsidRPr="00C4084C" w:rsidRDefault="00FA5EFE">
            <w:pPr>
              <w:pStyle w:val="List"/>
              <w:spacing w:before="240" w:after="0"/>
            </w:pPr>
            <w:r w:rsidRPr="00C4084C">
              <w:t xml:space="preserve">That to ensure the new focus on increasing the number of higher education students from an under-represented background is matched by a focus on the success of these students, the Australian Government adopt a needs-based funding model including:  </w:t>
            </w:r>
          </w:p>
          <w:p w14:paraId="76BB4F14" w14:textId="057A1B22" w:rsidR="00FA5EFE" w:rsidRPr="00C4084C" w:rsidRDefault="00FA5EFE">
            <w:pPr>
              <w:pStyle w:val="List2"/>
            </w:pPr>
            <w:r w:rsidRPr="00C4084C">
              <w:lastRenderedPageBreak/>
              <w:t>a per-student funding amount for under-represented students that recognises the cost of the additional support they need to succeed, specifically First Nations students, students from lowe</w:t>
            </w:r>
            <w:r w:rsidR="00494419">
              <w:t>r</w:t>
            </w:r>
            <w:r w:rsidRPr="00C4084C">
              <w:t xml:space="preserve"> quartile SES backgrounds, and students with disability</w:t>
            </w:r>
          </w:p>
          <w:p w14:paraId="0AD59D1E" w14:textId="77777777" w:rsidR="00FA5EFE" w:rsidRPr="00C4084C" w:rsidRDefault="00FA5EFE">
            <w:pPr>
              <w:pStyle w:val="List2"/>
            </w:pPr>
            <w:r w:rsidRPr="00C4084C">
              <w:t xml:space="preserve">a specific element based on the location of delivery in regional and remote Australia recognising the important equity issues involved in delivering courses to students in regional Australia, and the additional costs of that </w:t>
            </w:r>
            <w:proofErr w:type="gramStart"/>
            <w:r w:rsidRPr="00C4084C">
              <w:t>delivery</w:t>
            </w:r>
            <w:proofErr w:type="gramEnd"/>
          </w:p>
          <w:p w14:paraId="3FF93C46" w14:textId="77777777" w:rsidR="00FA5EFE" w:rsidRPr="00C4084C" w:rsidRDefault="00FA5EFE">
            <w:pPr>
              <w:pStyle w:val="List2"/>
            </w:pPr>
            <w:r w:rsidRPr="00C4084C">
              <w:t>a completion bonus for higher education providers who meet agreed completion targets negotiated through their mission-based compact with a focus on students who face the largest barriers to success.</w:t>
            </w:r>
          </w:p>
        </w:tc>
      </w:tr>
    </w:tbl>
    <w:p w14:paraId="694701EF" w14:textId="77777777" w:rsidR="00FA5EFE" w:rsidRPr="00C4084C" w:rsidRDefault="00FA5EFE" w:rsidP="00FA5EFE">
      <w:pPr>
        <w:pStyle w:val="Rec-frontmatternonheading"/>
      </w:pPr>
      <w:r w:rsidRPr="00C4084C">
        <w:lastRenderedPageBreak/>
        <w:t>Financial support for placements </w:t>
      </w:r>
    </w:p>
    <w:tbl>
      <w:tblPr>
        <w:tblW w:w="0" w:type="auto"/>
        <w:shd w:val="clear" w:color="auto" w:fill="FBE4D5"/>
        <w:tblLook w:val="04A0" w:firstRow="1" w:lastRow="0" w:firstColumn="1" w:lastColumn="0" w:noHBand="0" w:noVBand="1"/>
      </w:tblPr>
      <w:tblGrid>
        <w:gridCol w:w="9026"/>
      </w:tblGrid>
      <w:tr w:rsidR="00FA5EFE" w:rsidRPr="00C4084C" w14:paraId="0D3B8081" w14:textId="77777777" w:rsidTr="00D26B82">
        <w:tc>
          <w:tcPr>
            <w:tcW w:w="9026" w:type="dxa"/>
            <w:shd w:val="clear" w:color="auto" w:fill="FEECDF"/>
          </w:tcPr>
          <w:p w14:paraId="642226E8" w14:textId="2347AC20" w:rsidR="00FA5EFE" w:rsidRPr="00C4084C" w:rsidDel="00C977C2" w:rsidRDefault="00FA5EFE">
            <w:pPr>
              <w:pStyle w:val="List"/>
              <w:spacing w:before="240"/>
              <w:rPr>
                <w:rStyle w:val="PriorityAction-Bold"/>
                <w:b w:val="0"/>
                <w:bCs w:val="0"/>
                <w:i w:val="0"/>
              </w:rPr>
            </w:pPr>
            <w:r w:rsidRPr="00C4084C">
              <w:t>That to reduce the financial hardship and placement poverty caused by mandatory unpaid placements, the Australian Government work with tertiary education providers, state and territory governments, industry</w:t>
            </w:r>
            <w:r w:rsidR="00877061" w:rsidRPr="00C4084C">
              <w:t>,</w:t>
            </w:r>
            <w:r w:rsidRPr="00C4084C">
              <w:t xml:space="preserve"> </w:t>
            </w:r>
            <w:proofErr w:type="gramStart"/>
            <w:r w:rsidRPr="00C4084C">
              <w:t>business</w:t>
            </w:r>
            <w:proofErr w:type="gramEnd"/>
            <w:r w:rsidRPr="00C4084C">
              <w:t xml:space="preserve"> and unions to introduce financial support for unpaid work placements. This should include funding by governments for the nursing, care and teaching professions, and funding by employers generally (public and private) for other fields.</w:t>
            </w:r>
          </w:p>
        </w:tc>
      </w:tr>
    </w:tbl>
    <w:p w14:paraId="3EBD8FC2" w14:textId="77777777" w:rsidR="00FA5EFE" w:rsidRPr="00C4084C" w:rsidRDefault="00FA5EFE" w:rsidP="00FA5EFE">
      <w:pPr>
        <w:pStyle w:val="Rec-frontmatternonheading"/>
      </w:pPr>
      <w:r w:rsidRPr="00C4084C">
        <w:t>Student income support </w:t>
      </w:r>
    </w:p>
    <w:tbl>
      <w:tblPr>
        <w:tblW w:w="0" w:type="auto"/>
        <w:shd w:val="clear" w:color="auto" w:fill="FBE4D5"/>
        <w:tblLook w:val="04A0" w:firstRow="1" w:lastRow="0" w:firstColumn="1" w:lastColumn="0" w:noHBand="0" w:noVBand="1"/>
      </w:tblPr>
      <w:tblGrid>
        <w:gridCol w:w="9026"/>
      </w:tblGrid>
      <w:tr w:rsidR="00FA5EFE" w:rsidRPr="00C4084C" w14:paraId="4E4E3721" w14:textId="77777777" w:rsidTr="00D26B82">
        <w:tc>
          <w:tcPr>
            <w:tcW w:w="9026" w:type="dxa"/>
            <w:shd w:val="clear" w:color="auto" w:fill="FEECDF"/>
          </w:tcPr>
          <w:p w14:paraId="0940D67A" w14:textId="77777777" w:rsidR="00FA5EFE" w:rsidRPr="00C4084C" w:rsidRDefault="00FA5EFE">
            <w:pPr>
              <w:pStyle w:val="List"/>
              <w:spacing w:before="240" w:after="0"/>
            </w:pPr>
            <w:r w:rsidRPr="00C4084C">
              <w:t>That to reduce the cost-of-living pressures on current students and remove the financial barriers to commencing study, the Australian Government improve access to income support for those who need it most and consider how to ensure the level of support is adequate to meet basic living standards while studying by:</w:t>
            </w:r>
          </w:p>
          <w:p w14:paraId="1770C75C" w14:textId="7A20D172" w:rsidR="00FA5EFE" w:rsidRPr="0071438E" w:rsidRDefault="00FA5EFE" w:rsidP="0071438E">
            <w:pPr>
              <w:pStyle w:val="List2"/>
            </w:pPr>
            <w:r w:rsidRPr="0071438E">
              <w:t>increasing the Parental Income Free Area for Youth Allowance from $58,10</w:t>
            </w:r>
            <w:r w:rsidR="00F8677F" w:rsidRPr="0071438E">
              <w:t>8</w:t>
            </w:r>
            <w:r w:rsidRPr="0071438E">
              <w:t xml:space="preserve"> to $68,857 per family and index it to the higher of the Consumer Price Index and Male Total Average Weekly Earnings, recognising that the current income free area has not kept pace with growth in </w:t>
            </w:r>
            <w:proofErr w:type="gramStart"/>
            <w:r w:rsidRPr="0071438E">
              <w:t>wages</w:t>
            </w:r>
            <w:proofErr w:type="gramEnd"/>
          </w:p>
          <w:p w14:paraId="5C9CE15F" w14:textId="77777777" w:rsidR="00FA5EFE" w:rsidRPr="0071438E" w:rsidRDefault="00FA5EFE" w:rsidP="0071438E">
            <w:pPr>
              <w:pStyle w:val="List2"/>
            </w:pPr>
            <w:r w:rsidRPr="0071438E">
              <w:t>expanding income support eligibility and providing pro rata student payments to students who study part-time (between 50% and 74% of a full study load)</w:t>
            </w:r>
          </w:p>
          <w:p w14:paraId="097EE842" w14:textId="0FA318C7" w:rsidR="00FA5EFE" w:rsidRPr="00C4084C" w:rsidRDefault="00FA5EFE" w:rsidP="0072052F">
            <w:pPr>
              <w:pStyle w:val="List2"/>
              <w:numPr>
                <w:ilvl w:val="0"/>
                <w:numId w:val="0"/>
              </w:numPr>
              <w:spacing w:after="0" w:afterAutospacing="0"/>
              <w:ind w:left="397"/>
            </w:pPr>
            <w:r w:rsidRPr="009A3D90">
              <w:t>and that, due to the complexity of social security payments, the Minister for Social Services works with the Minister for Education to address the problems the Review has identified by commissioning further technical analysis, with a report back to the Ministers by early 2025. Such work should follow the principles below</w:t>
            </w:r>
            <w:r w:rsidRPr="00C4084C">
              <w:t>:</w:t>
            </w:r>
          </w:p>
          <w:p w14:paraId="64A0F149" w14:textId="0896DB81" w:rsidR="00FA5EFE" w:rsidRPr="00C4084C" w:rsidRDefault="00FA5EFE">
            <w:pPr>
              <w:pStyle w:val="List3"/>
            </w:pPr>
            <w:r w:rsidRPr="00C4084C">
              <w:t>student</w:t>
            </w:r>
            <w:r w:rsidR="007333C9" w:rsidRPr="00C4084C">
              <w:t xml:space="preserve"> income</w:t>
            </w:r>
            <w:r w:rsidRPr="00C4084C">
              <w:t xml:space="preserve"> support payments should continue to be focused on those most in need of support, and eligibility criteria should be regularly monitored to ensure the level of support is adequate to meet basic living standards while </w:t>
            </w:r>
            <w:proofErr w:type="gramStart"/>
            <w:r w:rsidRPr="00C4084C">
              <w:t>studying</w:t>
            </w:r>
            <w:proofErr w:type="gramEnd"/>
            <w:r w:rsidRPr="00C4084C">
              <w:t xml:space="preserve"> </w:t>
            </w:r>
          </w:p>
          <w:p w14:paraId="0D555809" w14:textId="352C2DB8" w:rsidR="00FA5EFE" w:rsidRPr="00C4084C" w:rsidRDefault="00FA5EFE">
            <w:pPr>
              <w:pStyle w:val="List3"/>
            </w:pPr>
            <w:r w:rsidRPr="00C4084C">
              <w:t xml:space="preserve">student </w:t>
            </w:r>
            <w:r w:rsidR="007333C9" w:rsidRPr="00C4084C">
              <w:t xml:space="preserve">income </w:t>
            </w:r>
            <w:r w:rsidRPr="00C4084C">
              <w:t xml:space="preserve">support payments should continue to allow students to undertake reasonable amounts of work while studying, including through arrangements such as the income </w:t>
            </w:r>
            <w:proofErr w:type="gramStart"/>
            <w:r w:rsidRPr="00C4084C">
              <w:t>bank</w:t>
            </w:r>
            <w:proofErr w:type="gramEnd"/>
          </w:p>
          <w:p w14:paraId="1E1F14EF" w14:textId="7EFA32E7" w:rsidR="00FA5EFE" w:rsidRPr="00C4084C" w:rsidRDefault="00FA5EFE">
            <w:pPr>
              <w:pStyle w:val="List3"/>
            </w:pPr>
            <w:r w:rsidRPr="00C4084C">
              <w:t xml:space="preserve">student income support payments should follow an education-first principle where the policy intent is to reduce roadblocks to tertiary education participation and enable retention, success and </w:t>
            </w:r>
            <w:proofErr w:type="gramStart"/>
            <w:r w:rsidRPr="00C4084C">
              <w:t>completion</w:t>
            </w:r>
            <w:proofErr w:type="gramEnd"/>
          </w:p>
          <w:p w14:paraId="2972C920" w14:textId="77777777" w:rsidR="00FA5EFE" w:rsidRPr="00C4084C" w:rsidRDefault="00FA5EFE">
            <w:pPr>
              <w:pStyle w:val="List3"/>
            </w:pPr>
            <w:r w:rsidRPr="00C4084C">
              <w:t>student income support payments should reduce the barriers facing students deciding whether to commence their study, focusing on the largest barriers of financial security and other responsibilities (such as working, caring and family)</w:t>
            </w:r>
          </w:p>
          <w:p w14:paraId="339AA239" w14:textId="37EB7C62" w:rsidR="00FA5EFE" w:rsidRPr="00C4084C" w:rsidDel="00C977C2" w:rsidRDefault="00FA5EFE">
            <w:pPr>
              <w:pStyle w:val="List3"/>
              <w:rPr>
                <w:rStyle w:val="PriorityAction-Bold"/>
                <w:b w:val="0"/>
                <w:bCs w:val="0"/>
                <w:i w:val="0"/>
              </w:rPr>
            </w:pPr>
            <w:r w:rsidRPr="00C4084C">
              <w:lastRenderedPageBreak/>
              <w:t xml:space="preserve">eligibility criteria for youth payments should </w:t>
            </w:r>
            <w:proofErr w:type="gramStart"/>
            <w:r w:rsidRPr="00C4084C">
              <w:t>take into account</w:t>
            </w:r>
            <w:proofErr w:type="gramEnd"/>
            <w:r w:rsidRPr="00C4084C">
              <w:t xml:space="preserve"> the specific needs of regional students, including the extra costs of relocation and that</w:t>
            </w:r>
            <w:r w:rsidR="00877061" w:rsidRPr="00C4084C">
              <w:t>,</w:t>
            </w:r>
            <w:r w:rsidRPr="00C4084C">
              <w:t xml:space="preserve"> once they leave home to study, many are effectively independent.</w:t>
            </w:r>
          </w:p>
        </w:tc>
      </w:tr>
    </w:tbl>
    <w:p w14:paraId="29A5BF56" w14:textId="77777777" w:rsidR="00FA5EFE" w:rsidRPr="00C4084C" w:rsidRDefault="00FA5EFE" w:rsidP="00FA5EFE">
      <w:pPr>
        <w:pStyle w:val="Rec-frontmatternonheading"/>
      </w:pPr>
      <w:r w:rsidRPr="00C4084C">
        <w:lastRenderedPageBreak/>
        <w:t>Reducing student contributions and reforming HELP repayment arrangements </w:t>
      </w:r>
    </w:p>
    <w:tbl>
      <w:tblPr>
        <w:tblW w:w="0" w:type="auto"/>
        <w:shd w:val="clear" w:color="auto" w:fill="FBE4D5"/>
        <w:tblLook w:val="04A0" w:firstRow="1" w:lastRow="0" w:firstColumn="1" w:lastColumn="0" w:noHBand="0" w:noVBand="1"/>
      </w:tblPr>
      <w:tblGrid>
        <w:gridCol w:w="9026"/>
      </w:tblGrid>
      <w:tr w:rsidR="00FA5EFE" w:rsidRPr="00C4084C" w14:paraId="78C55C7C" w14:textId="77777777" w:rsidTr="00D26B82">
        <w:tc>
          <w:tcPr>
            <w:tcW w:w="9026" w:type="dxa"/>
            <w:shd w:val="clear" w:color="auto" w:fill="FEECDF"/>
          </w:tcPr>
          <w:p w14:paraId="56AA119E" w14:textId="4F81EE34" w:rsidR="00FA5EFE" w:rsidRPr="00C4084C" w:rsidRDefault="00FA5EFE">
            <w:pPr>
              <w:pStyle w:val="List"/>
              <w:spacing w:before="240" w:after="0"/>
              <w:rPr>
                <w:rFonts w:cs="Calibri"/>
              </w:rPr>
            </w:pPr>
            <w:r w:rsidRPr="00C4084C">
              <w:t>That to reduce</w:t>
            </w:r>
            <w:r w:rsidR="00B015F2" w:rsidRPr="00C4084C">
              <w:t xml:space="preserve"> the</w:t>
            </w:r>
            <w:r w:rsidRPr="00C4084C">
              <w:t xml:space="preserve"> long-term financial costs of studying for students, the Australian Government make student contributions fairer and better reflect</w:t>
            </w:r>
            <w:r w:rsidR="00877061" w:rsidRPr="00C4084C">
              <w:t>ive of</w:t>
            </w:r>
            <w:r w:rsidRPr="00C4084C">
              <w:t xml:space="preserve"> the lifetime benefits that students will gain from studying</w:t>
            </w:r>
            <w:r w:rsidR="00877061" w:rsidRPr="00C4084C">
              <w:t>,</w:t>
            </w:r>
            <w:r w:rsidRPr="00C4084C">
              <w:t xml:space="preserve"> and reduce the burden of HELP loans</w:t>
            </w:r>
            <w:r w:rsidR="00877061" w:rsidRPr="00C4084C">
              <w:t>,</w:t>
            </w:r>
            <w:r w:rsidRPr="00C4084C">
              <w:t xml:space="preserve"> by introducing fairer and simpler indexation and repayment arrangements. This </w:t>
            </w:r>
            <w:r w:rsidR="00352CB5" w:rsidRPr="00C4084C">
              <w:t xml:space="preserve">should </w:t>
            </w:r>
            <w:r w:rsidRPr="00C4084C">
              <w:t>involve:</w:t>
            </w:r>
          </w:p>
          <w:p w14:paraId="5572D042" w14:textId="318C5AA0" w:rsidR="00FA5EFE" w:rsidRPr="00C4084C" w:rsidRDefault="00FA5EFE">
            <w:pPr>
              <w:pStyle w:val="List2"/>
            </w:pPr>
            <w:r w:rsidRPr="00C4084C">
              <w:t xml:space="preserve">reducing student contributions to address the most significant impacts of the Job-ready Graduates (JRG) package starting with students in </w:t>
            </w:r>
            <w:r w:rsidR="00CC4E66">
              <w:t>h</w:t>
            </w:r>
            <w:r w:rsidRPr="00C4084C">
              <w:t xml:space="preserve">umanities, </w:t>
            </w:r>
            <w:r w:rsidR="00CC4E66">
              <w:t>o</w:t>
            </w:r>
            <w:r w:rsidRPr="00C4084C">
              <w:t xml:space="preserve">ther </w:t>
            </w:r>
            <w:r w:rsidR="00CC4E66">
              <w:t>s</w:t>
            </w:r>
            <w:r w:rsidRPr="00C4084C">
              <w:t xml:space="preserve">ociety and </w:t>
            </w:r>
            <w:r w:rsidR="00CC4E66">
              <w:t>c</w:t>
            </w:r>
            <w:r w:rsidRPr="00C4084C">
              <w:t xml:space="preserve">ulture, </w:t>
            </w:r>
            <w:r w:rsidR="00CC4E66">
              <w:t>c</w:t>
            </w:r>
            <w:r w:rsidRPr="00C4084C">
              <w:t xml:space="preserve">ommunications and </w:t>
            </w:r>
            <w:r w:rsidR="00CC4E66">
              <w:t>h</w:t>
            </w:r>
            <w:r w:rsidRPr="00C4084C">
              <w:t xml:space="preserve">uman </w:t>
            </w:r>
            <w:r w:rsidR="00CC4E66">
              <w:t>m</w:t>
            </w:r>
            <w:r w:rsidRPr="00C4084C">
              <w:t xml:space="preserve">ovement, and moving toward a student contribution system based on projected potential lifetime </w:t>
            </w:r>
            <w:proofErr w:type="gramStart"/>
            <w:r w:rsidRPr="00C4084C">
              <w:t>earnings</w:t>
            </w:r>
            <w:proofErr w:type="gramEnd"/>
          </w:p>
          <w:p w14:paraId="30AC6977" w14:textId="77777777" w:rsidR="00FA5EFE" w:rsidRPr="00C4084C" w:rsidRDefault="00FA5EFE">
            <w:pPr>
              <w:pStyle w:val="List2"/>
            </w:pPr>
            <w:r w:rsidRPr="00C4084C">
              <w:t xml:space="preserve">reducing the financial burden of repayment on low-income earners and limiting disincentives to work additional hours by moving to a system of HELP repayment based on marginal </w:t>
            </w:r>
            <w:proofErr w:type="gramStart"/>
            <w:r w:rsidRPr="00C4084C">
              <w:t>rates</w:t>
            </w:r>
            <w:proofErr w:type="gramEnd"/>
          </w:p>
          <w:p w14:paraId="6156CCE0" w14:textId="77777777" w:rsidR="00FA5EFE" w:rsidRPr="00C4084C" w:rsidRDefault="00FA5EFE">
            <w:pPr>
              <w:pStyle w:val="List2"/>
            </w:pPr>
            <w:r w:rsidRPr="00C4084C">
              <w:t xml:space="preserve">reducing repayment times by changing the timing of indexation for HELP loans so that amounts withheld for compulsory repayment can be accounted for before indexation is </w:t>
            </w:r>
            <w:proofErr w:type="gramStart"/>
            <w:r w:rsidRPr="00C4084C">
              <w:t>applied</w:t>
            </w:r>
            <w:proofErr w:type="gramEnd"/>
          </w:p>
          <w:p w14:paraId="59FE94A0" w14:textId="77777777" w:rsidR="00FA5EFE" w:rsidRPr="00C4084C" w:rsidRDefault="00FA5EFE">
            <w:pPr>
              <w:pStyle w:val="List2"/>
            </w:pPr>
            <w:r w:rsidRPr="00C4084C">
              <w:t xml:space="preserve">ensuring that growth in HELP loans does not outpace growth in wages by setting the HELP indexation rate to the lower of the Consumer Price Index (CPI) and the Wage Price Index (WPI) </w:t>
            </w:r>
          </w:p>
          <w:p w14:paraId="1698A381" w14:textId="7302538D" w:rsidR="00FA5EFE" w:rsidRPr="00C4084C" w:rsidRDefault="00FA5EFE">
            <w:pPr>
              <w:pStyle w:val="List2"/>
            </w:pPr>
            <w:r w:rsidRPr="00C4084C">
              <w:t xml:space="preserve">reviewing bank lending practices to ensure banks recognise that HELP loans are not like other types of loans and </w:t>
            </w:r>
            <w:r w:rsidR="00877061" w:rsidRPr="00C4084C">
              <w:t xml:space="preserve">are </w:t>
            </w:r>
            <w:r w:rsidRPr="00C4084C">
              <w:t>not treated in a way that unduly limits peoples’ borrowing capacity for home loans.</w:t>
            </w:r>
          </w:p>
        </w:tc>
      </w:tr>
    </w:tbl>
    <w:p w14:paraId="4679EBF8" w14:textId="77777777" w:rsidR="00FA5EFE" w:rsidRPr="00C4084C" w:rsidRDefault="00FA5EFE" w:rsidP="00FA5EFE">
      <w:pPr>
        <w:spacing w:after="0"/>
      </w:pPr>
    </w:p>
    <w:tbl>
      <w:tblPr>
        <w:tblW w:w="0" w:type="auto"/>
        <w:shd w:val="clear" w:color="auto" w:fill="FBE4D5"/>
        <w:tblLook w:val="04A0" w:firstRow="1" w:lastRow="0" w:firstColumn="1" w:lastColumn="0" w:noHBand="0" w:noVBand="1"/>
      </w:tblPr>
      <w:tblGrid>
        <w:gridCol w:w="9026"/>
      </w:tblGrid>
      <w:tr w:rsidR="00FA5EFE" w:rsidRPr="00C4084C" w14:paraId="03E8BB33" w14:textId="77777777" w:rsidTr="00D26B82">
        <w:tc>
          <w:tcPr>
            <w:tcW w:w="9026" w:type="dxa"/>
            <w:shd w:val="clear" w:color="auto" w:fill="FEECDF"/>
          </w:tcPr>
          <w:p w14:paraId="4E5E6ABA" w14:textId="7BDE0D5C" w:rsidR="00FA5EFE" w:rsidRPr="00C4084C" w:rsidRDefault="00FA5EFE">
            <w:pPr>
              <w:pStyle w:val="List"/>
              <w:spacing w:before="240" w:after="0"/>
            </w:pPr>
            <w:r w:rsidRPr="00C4084C">
              <w:t>That to improve access to postgraduate</w:t>
            </w:r>
            <w:r w:rsidR="00C47CDF" w:rsidRPr="00C4084C">
              <w:t xml:space="preserve"> coursework</w:t>
            </w:r>
            <w:r w:rsidRPr="00C4084C">
              <w:t xml:space="preserve"> studies:</w:t>
            </w:r>
          </w:p>
          <w:p w14:paraId="17312F0D" w14:textId="161F1F07" w:rsidR="00FA5EFE" w:rsidRPr="00C4084C" w:rsidRDefault="00FB4DFC">
            <w:pPr>
              <w:pStyle w:val="List2"/>
              <w:spacing w:before="0" w:beforeAutospacing="0" w:after="120"/>
              <w:contextualSpacing w:val="0"/>
            </w:pPr>
            <w:r w:rsidRPr="00C4084C">
              <w:t>t</w:t>
            </w:r>
            <w:r w:rsidR="00FA5EFE" w:rsidRPr="00C4084C">
              <w:t xml:space="preserve">he Australian Government increase the number of Commonwealth supported places available for postgraduate study in areas of national priority and skills </w:t>
            </w:r>
            <w:proofErr w:type="gramStart"/>
            <w:r w:rsidR="00FA5EFE" w:rsidRPr="00C4084C">
              <w:t>shortages</w:t>
            </w:r>
            <w:proofErr w:type="gramEnd"/>
          </w:p>
          <w:p w14:paraId="54E6B227" w14:textId="77777777" w:rsidR="00FA5EFE" w:rsidRPr="00C4084C" w:rsidRDefault="00FA5EFE">
            <w:pPr>
              <w:pStyle w:val="List2"/>
              <w:spacing w:before="0" w:beforeAutospacing="0" w:after="120"/>
              <w:contextualSpacing w:val="0"/>
            </w:pPr>
            <w:r w:rsidRPr="00C4084C">
              <w:t xml:space="preserve">the Australian Tertiary Education Commission negotiate as part of mission-based compacts with universities that they prioritise Commonwealth supported postgraduate places over full-fee paying postgraduate </w:t>
            </w:r>
            <w:proofErr w:type="gramStart"/>
            <w:r w:rsidRPr="00C4084C">
              <w:t>places</w:t>
            </w:r>
            <w:proofErr w:type="gramEnd"/>
          </w:p>
          <w:p w14:paraId="314D775B" w14:textId="77777777" w:rsidR="00FA5EFE" w:rsidRPr="00C4084C" w:rsidDel="00C977C2" w:rsidRDefault="00FA5EFE">
            <w:pPr>
              <w:pStyle w:val="List2"/>
              <w:spacing w:before="0" w:beforeAutospacing="0" w:after="100"/>
              <w:contextualSpacing w:val="0"/>
              <w:rPr>
                <w:rStyle w:val="PriorityAction-Bold"/>
                <w:rFonts w:cs="Calibri"/>
                <w:b w:val="0"/>
                <w:i w:val="0"/>
              </w:rPr>
            </w:pPr>
            <w:r w:rsidRPr="00C4084C">
              <w:t>higher education providers charging high fees (above $40,000 per Equivalent Full Time Student Load) for domestic full-fee postgraduate courses be required to re-invest a proportion of income earned back into scholarships and bursaries to support students from under-represented backgrounds to access these courses.</w:t>
            </w:r>
          </w:p>
        </w:tc>
      </w:tr>
    </w:tbl>
    <w:p w14:paraId="12623E8A" w14:textId="77777777" w:rsidR="00FA5EFE" w:rsidRPr="00C4084C" w:rsidRDefault="00FA5EFE" w:rsidP="00FA5EFE">
      <w:pPr>
        <w:pStyle w:val="Rec-frontmatternonheading"/>
      </w:pPr>
      <w:r w:rsidRPr="00C4084C">
        <w:t>Ensuring student safety and experience </w:t>
      </w:r>
    </w:p>
    <w:tbl>
      <w:tblPr>
        <w:tblW w:w="0" w:type="auto"/>
        <w:shd w:val="clear" w:color="auto" w:fill="FBE4D5"/>
        <w:tblLook w:val="04A0" w:firstRow="1" w:lastRow="0" w:firstColumn="1" w:lastColumn="0" w:noHBand="0" w:noVBand="1"/>
      </w:tblPr>
      <w:tblGrid>
        <w:gridCol w:w="9026"/>
      </w:tblGrid>
      <w:tr w:rsidR="00FA5EFE" w:rsidRPr="00C4084C" w14:paraId="38C29CD2" w14:textId="77777777" w:rsidTr="00D26B82">
        <w:tc>
          <w:tcPr>
            <w:tcW w:w="9026" w:type="dxa"/>
            <w:shd w:val="clear" w:color="auto" w:fill="FEECDF"/>
          </w:tcPr>
          <w:p w14:paraId="5E05F1A6" w14:textId="19C18279" w:rsidR="00FA5EFE" w:rsidRPr="00C4084C" w:rsidRDefault="00FA5EFE">
            <w:pPr>
              <w:pStyle w:val="List"/>
              <w:spacing w:before="240" w:after="0"/>
            </w:pPr>
            <w:r w:rsidRPr="00C4084C">
              <w:t xml:space="preserve">That to improve the overall student experience and reflect domestic and international student expectations of their </w:t>
            </w:r>
            <w:r w:rsidR="007807A8" w:rsidRPr="00C4084C">
              <w:t>higher</w:t>
            </w:r>
            <w:r w:rsidRPr="00C4084C">
              <w:t xml:space="preserve"> education outcomes, the Australian Government work with national student bodies and the higher education sector to:</w:t>
            </w:r>
          </w:p>
          <w:p w14:paraId="25144C04" w14:textId="707D6CC9" w:rsidR="00FA5EFE" w:rsidRPr="00C4084C" w:rsidRDefault="00FA5EFE">
            <w:pPr>
              <w:pStyle w:val="List2"/>
              <w:spacing w:before="0" w:beforeAutospacing="0" w:after="120"/>
              <w:contextualSpacing w:val="0"/>
            </w:pPr>
            <w:r w:rsidRPr="00C4084C">
              <w:t xml:space="preserve">develop a national student charter that sets out a shared, national commitment to the welfare, safety and wellbeing of all students on campus and </w:t>
            </w:r>
            <w:proofErr w:type="gramStart"/>
            <w:r w:rsidRPr="00C4084C">
              <w:t>online</w:t>
            </w:r>
            <w:proofErr w:type="gramEnd"/>
          </w:p>
          <w:p w14:paraId="16B4FFB6" w14:textId="46742A3B" w:rsidR="00FA5EFE" w:rsidRPr="00C4084C" w:rsidDel="00C977C2" w:rsidRDefault="00FA5EFE">
            <w:pPr>
              <w:pStyle w:val="List2"/>
              <w:spacing w:before="0" w:beforeAutospacing="0" w:after="120"/>
              <w:contextualSpacing w:val="0"/>
              <w:rPr>
                <w:rStyle w:val="PriorityAction-Bold"/>
                <w:b w:val="0"/>
                <w:bCs w:val="0"/>
                <w:i w:val="0"/>
              </w:rPr>
            </w:pPr>
            <w:r w:rsidRPr="00C4084C">
              <w:lastRenderedPageBreak/>
              <w:t>establish a National Student Ombudsman to respond to student complaints. </w:t>
            </w:r>
          </w:p>
        </w:tc>
      </w:tr>
    </w:tbl>
    <w:p w14:paraId="1D06E481" w14:textId="77777777" w:rsidR="00FA5EFE" w:rsidRPr="00C4084C" w:rsidRDefault="00FA5EFE" w:rsidP="00FA5EFE">
      <w:pPr>
        <w:spacing w:after="0"/>
      </w:pPr>
    </w:p>
    <w:tbl>
      <w:tblPr>
        <w:tblW w:w="0" w:type="auto"/>
        <w:shd w:val="clear" w:color="auto" w:fill="FBE4D5"/>
        <w:tblLook w:val="04A0" w:firstRow="1" w:lastRow="0" w:firstColumn="1" w:lastColumn="0" w:noHBand="0" w:noVBand="1"/>
      </w:tblPr>
      <w:tblGrid>
        <w:gridCol w:w="9026"/>
      </w:tblGrid>
      <w:tr w:rsidR="00FA5EFE" w:rsidRPr="00C4084C" w14:paraId="377DFB2E" w14:textId="77777777" w:rsidTr="00D26B82">
        <w:tc>
          <w:tcPr>
            <w:tcW w:w="9026" w:type="dxa"/>
            <w:shd w:val="clear" w:color="auto" w:fill="FEECDF"/>
          </w:tcPr>
          <w:p w14:paraId="2C78F5E4" w14:textId="7843967A" w:rsidR="00FA5EFE" w:rsidRPr="00C4084C" w:rsidRDefault="00FA5EFE">
            <w:pPr>
              <w:pStyle w:val="List"/>
              <w:spacing w:before="240"/>
            </w:pPr>
            <w:r w:rsidRPr="00C4084C">
              <w:t xml:space="preserve">That to ensure the sustainability of student-led organisations, such as associations, unions and guilds, the Australian Government </w:t>
            </w:r>
            <w:r w:rsidR="00FD60B8" w:rsidRPr="00C4084C">
              <w:t>ensur</w:t>
            </w:r>
            <w:r w:rsidRPr="00C4084C">
              <w:t>e that a proportion of the Student Services and Amenities Fee received by each higher education provider be directed to these organisations to deliver agreed services and amenities. </w:t>
            </w:r>
          </w:p>
        </w:tc>
      </w:tr>
    </w:tbl>
    <w:p w14:paraId="7719D4E5" w14:textId="77777777" w:rsidR="00FA5EFE" w:rsidRPr="00C4084C" w:rsidRDefault="00FA5EFE" w:rsidP="00FA5EFE">
      <w:pPr>
        <w:pStyle w:val="Rec-frontmatternonheading"/>
      </w:pPr>
      <w:r w:rsidRPr="00C4084C">
        <w:t xml:space="preserve">Early at-school </w:t>
      </w:r>
      <w:proofErr w:type="gramStart"/>
      <w:r w:rsidRPr="00C4084C">
        <w:t>offers</w:t>
      </w:r>
      <w:proofErr w:type="gramEnd"/>
      <w:r w:rsidRPr="00C4084C">
        <w:t> </w:t>
      </w:r>
    </w:p>
    <w:tbl>
      <w:tblPr>
        <w:tblW w:w="0" w:type="auto"/>
        <w:shd w:val="clear" w:color="auto" w:fill="FBE4D5"/>
        <w:tblLook w:val="04A0" w:firstRow="1" w:lastRow="0" w:firstColumn="1" w:lastColumn="0" w:noHBand="0" w:noVBand="1"/>
      </w:tblPr>
      <w:tblGrid>
        <w:gridCol w:w="9026"/>
      </w:tblGrid>
      <w:tr w:rsidR="00FA5EFE" w:rsidRPr="00C4084C" w14:paraId="7D94AF90" w14:textId="77777777" w:rsidTr="00D26B82">
        <w:tc>
          <w:tcPr>
            <w:tcW w:w="9026" w:type="dxa"/>
            <w:shd w:val="clear" w:color="auto" w:fill="FEECDF"/>
          </w:tcPr>
          <w:p w14:paraId="35095672" w14:textId="386F9EF3" w:rsidR="00FA5EFE" w:rsidRPr="00C4084C" w:rsidRDefault="00042E75">
            <w:pPr>
              <w:pStyle w:val="List"/>
              <w:spacing w:before="240" w:after="0"/>
            </w:pPr>
            <w:r w:rsidRPr="00C4084C">
              <w:t xml:space="preserve">That </w:t>
            </w:r>
            <w:r>
              <w:t xml:space="preserve">to recognise the critical importance of school to higher education pathways, </w:t>
            </w:r>
            <w:r w:rsidRPr="00C4084C">
              <w:t>to ensure that students get the most out of their final year of school</w:t>
            </w:r>
            <w:r>
              <w:t>,</w:t>
            </w:r>
            <w:r w:rsidRPr="00C4084C">
              <w:t xml:space="preserve"> and to maintain the integrity of senior secondary certificates, </w:t>
            </w:r>
            <w:r w:rsidR="00FA5EFE" w:rsidRPr="00C4084C">
              <w:t>governments (through the Education Ministers Meeting) agree that early at-school offers for 2025 and 2026 should not be issued before September in the relevant year. Relevant stakeholders (including schools, higher education providers and tertiary admission centres) should also develop a national, cross-jurisdictional approach to at-school offers in time for 2027 offers that includes:</w:t>
            </w:r>
          </w:p>
          <w:p w14:paraId="424613A1" w14:textId="77777777" w:rsidR="00FA5EFE" w:rsidRPr="00C4084C" w:rsidRDefault="00FA5EFE">
            <w:pPr>
              <w:pStyle w:val="List2"/>
              <w:spacing w:before="0" w:beforeAutospacing="0" w:after="120"/>
              <w:contextualSpacing w:val="0"/>
            </w:pPr>
            <w:r w:rsidRPr="00C4084C">
              <w:t xml:space="preserve">the timing of when at-school offers are </w:t>
            </w:r>
            <w:proofErr w:type="gramStart"/>
            <w:r w:rsidRPr="00C4084C">
              <w:t>made</w:t>
            </w:r>
            <w:proofErr w:type="gramEnd"/>
          </w:p>
          <w:p w14:paraId="156BD484" w14:textId="16C351DC" w:rsidR="00FA5EFE" w:rsidRPr="00C4084C" w:rsidRDefault="00FA5EFE">
            <w:pPr>
              <w:pStyle w:val="List2"/>
              <w:spacing w:before="0" w:beforeAutospacing="0" w:after="120"/>
              <w:contextualSpacing w:val="0"/>
            </w:pPr>
            <w:r w:rsidRPr="00C4084C">
              <w:t xml:space="preserve">a consistent and transparent framework for admissions requirements and assessment processes for at-school </w:t>
            </w:r>
            <w:proofErr w:type="gramStart"/>
            <w:r w:rsidRPr="00C4084C">
              <w:t>offers</w:t>
            </w:r>
            <w:proofErr w:type="gramEnd"/>
          </w:p>
          <w:p w14:paraId="64C49B4D" w14:textId="5E281BB1" w:rsidR="00FA5EFE" w:rsidRPr="00C4084C" w:rsidRDefault="00FA5EFE">
            <w:pPr>
              <w:pStyle w:val="List2"/>
              <w:spacing w:before="0" w:beforeAutospacing="0" w:after="120"/>
              <w:contextualSpacing w:val="0"/>
            </w:pPr>
            <w:r w:rsidRPr="00C4084C">
              <w:t xml:space="preserve">approaches to improving post-school transitions through at-school offers, particularly for those most at risk of falling out of post-school </w:t>
            </w:r>
            <w:proofErr w:type="gramStart"/>
            <w:r w:rsidRPr="00C4084C">
              <w:t>education</w:t>
            </w:r>
            <w:proofErr w:type="gramEnd"/>
          </w:p>
          <w:p w14:paraId="6586C086" w14:textId="43BB4D09" w:rsidR="00FA5EFE" w:rsidRPr="00C4084C" w:rsidDel="00C977C2" w:rsidRDefault="00FA5EFE">
            <w:pPr>
              <w:pStyle w:val="List2"/>
              <w:spacing w:before="0" w:beforeAutospacing="0" w:after="120"/>
              <w:contextualSpacing w:val="0"/>
              <w:rPr>
                <w:rStyle w:val="PriorityAction-Bold"/>
                <w:b w:val="0"/>
                <w:bCs w:val="0"/>
                <w:i w:val="0"/>
              </w:rPr>
            </w:pPr>
            <w:r w:rsidRPr="00C4084C">
              <w:t>improvements to data and analysis across at-school offers.</w:t>
            </w:r>
          </w:p>
        </w:tc>
      </w:tr>
    </w:tbl>
    <w:p w14:paraId="4C20342D" w14:textId="77777777" w:rsidR="00FA5EFE" w:rsidRPr="00C4084C" w:rsidRDefault="00FA5EFE" w:rsidP="00FA5EFE">
      <w:pPr>
        <w:pStyle w:val="Rec-frontmatternonheading"/>
      </w:pPr>
      <w:r w:rsidRPr="00C4084C">
        <w:t>Quality learning and teaching </w:t>
      </w:r>
    </w:p>
    <w:tbl>
      <w:tblPr>
        <w:tblW w:w="0" w:type="auto"/>
        <w:shd w:val="clear" w:color="auto" w:fill="FBE4D5"/>
        <w:tblLook w:val="04A0" w:firstRow="1" w:lastRow="0" w:firstColumn="1" w:lastColumn="0" w:noHBand="0" w:noVBand="1"/>
      </w:tblPr>
      <w:tblGrid>
        <w:gridCol w:w="9026"/>
      </w:tblGrid>
      <w:tr w:rsidR="00FA5EFE" w:rsidRPr="00C4084C" w14:paraId="3DD2B246" w14:textId="77777777" w:rsidTr="00D26B82">
        <w:tc>
          <w:tcPr>
            <w:tcW w:w="9026" w:type="dxa"/>
            <w:shd w:val="clear" w:color="auto" w:fill="FEECDF"/>
          </w:tcPr>
          <w:p w14:paraId="0A7E8EC6" w14:textId="77777777" w:rsidR="00FA5EFE" w:rsidRPr="00C4084C" w:rsidRDefault="00FA5EFE">
            <w:pPr>
              <w:pStyle w:val="List"/>
              <w:spacing w:before="240" w:after="0"/>
            </w:pPr>
            <w:r w:rsidRPr="00C4084C">
              <w:t>That to improve student learning outcomes and prepare the higher education sector for growth in student numbers (particularly of students from under-represented backgrounds who need additional support) the higher education sector, in partnership with the Australian Government, improve the quality of learning and teaching through:</w:t>
            </w:r>
          </w:p>
          <w:p w14:paraId="3437EF0A" w14:textId="77777777" w:rsidR="00FA5EFE" w:rsidRPr="00C4084C" w:rsidRDefault="00FA5EFE">
            <w:pPr>
              <w:pStyle w:val="List2"/>
              <w:spacing w:before="0" w:beforeAutospacing="0" w:after="120"/>
              <w:contextualSpacing w:val="0"/>
            </w:pPr>
            <w:r w:rsidRPr="00C4084C">
              <w:t xml:space="preserve">using proven innovative learning approaches which embrace online and hybrid teaching </w:t>
            </w:r>
            <w:proofErr w:type="gramStart"/>
            <w:r w:rsidRPr="00C4084C">
              <w:t>modalities</w:t>
            </w:r>
            <w:proofErr w:type="gramEnd"/>
          </w:p>
          <w:p w14:paraId="60DA1372" w14:textId="77777777" w:rsidR="00FA5EFE" w:rsidRPr="00C4084C" w:rsidRDefault="00FA5EFE">
            <w:pPr>
              <w:pStyle w:val="List2"/>
              <w:spacing w:before="0" w:beforeAutospacing="0" w:after="120"/>
              <w:contextualSpacing w:val="0"/>
            </w:pPr>
            <w:r w:rsidRPr="00C4084C">
              <w:t>sharing and encouraging the uptake of best practice teaching methodologies and curriculum</w:t>
            </w:r>
          </w:p>
          <w:p w14:paraId="2928DAD3" w14:textId="77777777" w:rsidR="00FA5EFE" w:rsidRPr="00C4084C" w:rsidRDefault="00FA5EFE">
            <w:pPr>
              <w:pStyle w:val="List2"/>
              <w:spacing w:before="0" w:beforeAutospacing="0" w:after="120"/>
              <w:contextualSpacing w:val="0"/>
            </w:pPr>
            <w:r w:rsidRPr="00C4084C">
              <w:t>improving the evidence-base for the quality of higher education learning and teaching by: </w:t>
            </w:r>
          </w:p>
          <w:p w14:paraId="1F5FA566" w14:textId="77777777" w:rsidR="00FA5EFE" w:rsidRPr="00C4084C" w:rsidRDefault="00FA5EFE">
            <w:pPr>
              <w:pStyle w:val="List3"/>
            </w:pPr>
            <w:r w:rsidRPr="00C4084C">
              <w:t xml:space="preserve">developing a comprehensive Australian Higher Education Teaching Quality Framework, with regular reporting against the Framework, to improve transparency of provider performance across multiple dimensions of student outcomes and teaching </w:t>
            </w:r>
            <w:proofErr w:type="gramStart"/>
            <w:r w:rsidRPr="00C4084C">
              <w:t>practice</w:t>
            </w:r>
            <w:proofErr w:type="gramEnd"/>
          </w:p>
          <w:p w14:paraId="3358FE3E" w14:textId="77777777" w:rsidR="00FA5EFE" w:rsidRPr="00C4084C" w:rsidRDefault="00FA5EFE">
            <w:pPr>
              <w:pStyle w:val="List3"/>
            </w:pPr>
            <w:r w:rsidRPr="00C4084C">
              <w:t>developing new metrics and improving existing metrics for measuring learning and teaching quality in higher education</w:t>
            </w:r>
          </w:p>
          <w:p w14:paraId="781E4F3C" w14:textId="77777777" w:rsidR="00FA5EFE" w:rsidRPr="00C4084C" w:rsidDel="00C977C2" w:rsidRDefault="00FA5EFE">
            <w:pPr>
              <w:pStyle w:val="List3"/>
              <w:rPr>
                <w:rStyle w:val="PriorityAction-Bold"/>
                <w:b w:val="0"/>
                <w:bCs w:val="0"/>
                <w:i w:val="0"/>
              </w:rPr>
            </w:pPr>
            <w:r w:rsidRPr="00C4084C">
              <w:t>encouraging the more systematic use of peer review of teaching to assist educators to improve their practice.</w:t>
            </w:r>
          </w:p>
        </w:tc>
      </w:tr>
    </w:tbl>
    <w:p w14:paraId="6F3C1CF8" w14:textId="58CAA5B2" w:rsidR="00FA5EFE" w:rsidRPr="00C4084C" w:rsidRDefault="00FA5EFE" w:rsidP="00FA5EFE">
      <w:pPr>
        <w:pStyle w:val="Rec-frontmatternonheading"/>
      </w:pPr>
      <w:r w:rsidRPr="00C4084C">
        <w:lastRenderedPageBreak/>
        <w:t>International education</w:t>
      </w:r>
    </w:p>
    <w:tbl>
      <w:tblPr>
        <w:tblW w:w="0" w:type="auto"/>
        <w:shd w:val="clear" w:color="auto" w:fill="FBE4D5"/>
        <w:tblLook w:val="04A0" w:firstRow="1" w:lastRow="0" w:firstColumn="1" w:lastColumn="0" w:noHBand="0" w:noVBand="1"/>
      </w:tblPr>
      <w:tblGrid>
        <w:gridCol w:w="9026"/>
      </w:tblGrid>
      <w:tr w:rsidR="00FA5EFE" w:rsidRPr="00C4084C" w14:paraId="726CB440" w14:textId="77777777" w:rsidTr="00D26B82">
        <w:tc>
          <w:tcPr>
            <w:tcW w:w="9026" w:type="dxa"/>
            <w:shd w:val="clear" w:color="auto" w:fill="FEECDF"/>
          </w:tcPr>
          <w:p w14:paraId="70304369" w14:textId="77777777" w:rsidR="00FA5EFE" w:rsidRPr="00C4084C" w:rsidRDefault="00FA5EFE">
            <w:pPr>
              <w:pStyle w:val="List"/>
              <w:spacing w:before="240" w:after="0"/>
              <w:rPr>
                <w:rStyle w:val="normaltextrun"/>
              </w:rPr>
            </w:pPr>
            <w:r w:rsidRPr="00C4084C">
              <w:rPr>
                <w:rStyle w:val="normaltextrun"/>
              </w:rPr>
              <w:t xml:space="preserve">That to plan for a strong future for the international education system and recognise the </w:t>
            </w:r>
            <w:r w:rsidRPr="00C4084C">
              <w:t>contribution</w:t>
            </w:r>
            <w:r w:rsidRPr="00C4084C">
              <w:rPr>
                <w:rStyle w:val="normaltextrun"/>
              </w:rPr>
              <w:t xml:space="preserve"> international students make to Australia, the Australian </w:t>
            </w:r>
            <w:proofErr w:type="gramStart"/>
            <w:r w:rsidRPr="00C4084C">
              <w:rPr>
                <w:rStyle w:val="normaltextrun"/>
              </w:rPr>
              <w:t>Government</w:t>
            </w:r>
            <w:proofErr w:type="gramEnd"/>
            <w:r w:rsidRPr="00C4084C">
              <w:rPr>
                <w:rStyle w:val="normaltextrun"/>
              </w:rPr>
              <w:t xml:space="preserve"> and the Australian Tertiary Education Commission:</w:t>
            </w:r>
          </w:p>
          <w:p w14:paraId="069713F3" w14:textId="77777777" w:rsidR="00FA5EFE" w:rsidRPr="00C4084C" w:rsidRDefault="00FA5EFE">
            <w:pPr>
              <w:pStyle w:val="List2"/>
              <w:rPr>
                <w:rStyle w:val="normaltextrun"/>
              </w:rPr>
            </w:pPr>
            <w:r w:rsidRPr="00C4084C">
              <w:rPr>
                <w:rStyle w:val="normaltextrun"/>
              </w:rPr>
              <w:t xml:space="preserve">work with tertiary education providers to ensure greater alignment and coordination between the courses and programs that are marketed to international students and the national skills agenda and relevant migration </w:t>
            </w:r>
            <w:proofErr w:type="gramStart"/>
            <w:r w:rsidRPr="00C4084C">
              <w:rPr>
                <w:rStyle w:val="normaltextrun"/>
              </w:rPr>
              <w:t>initiatives</w:t>
            </w:r>
            <w:proofErr w:type="gramEnd"/>
          </w:p>
          <w:p w14:paraId="6CE50E0B" w14:textId="77777777" w:rsidR="00FA5EFE" w:rsidRPr="00C4084C" w:rsidRDefault="00FA5EFE">
            <w:pPr>
              <w:pStyle w:val="List2"/>
              <w:rPr>
                <w:rStyle w:val="normaltextrun"/>
              </w:rPr>
            </w:pPr>
            <w:r w:rsidRPr="00C4084C">
              <w:rPr>
                <w:rStyle w:val="normaltextrun"/>
              </w:rPr>
              <w:t xml:space="preserve">work across government and tertiary education providers to support the growth of international education in regional and remote areas, encouraging providers to communicate the benefits of studying and living in regional and remote </w:t>
            </w:r>
            <w:proofErr w:type="gramStart"/>
            <w:r w:rsidRPr="00C4084C">
              <w:rPr>
                <w:rStyle w:val="normaltextrun"/>
              </w:rPr>
              <w:t>Australia</w:t>
            </w:r>
            <w:proofErr w:type="gramEnd"/>
          </w:p>
          <w:p w14:paraId="2A58A1C0" w14:textId="77777777" w:rsidR="00FA5EFE" w:rsidRPr="00C4084C" w:rsidRDefault="00FA5EFE">
            <w:pPr>
              <w:pStyle w:val="List2"/>
              <w:rPr>
                <w:rStyle w:val="normaltextrun"/>
              </w:rPr>
            </w:pPr>
            <w:r w:rsidRPr="00C4084C">
              <w:rPr>
                <w:rStyle w:val="normaltextrun"/>
              </w:rPr>
              <w:t xml:space="preserve">work with tertiary education providers to explore opportunities and review visa requirements to support diversification of international student markets within a national strategic framework, including through using innovative transnational education delivery modes. This engagement should particularly focus on medium term opportunities in South Asia, consistent with </w:t>
            </w:r>
            <w:r w:rsidRPr="00C4084C">
              <w:rPr>
                <w:rStyle w:val="normaltextrun"/>
                <w:i/>
                <w:iCs/>
              </w:rPr>
              <w:t>Australia’s Education Strategy for India</w:t>
            </w:r>
            <w:r w:rsidRPr="00C4084C">
              <w:rPr>
                <w:rStyle w:val="normaltextrun"/>
              </w:rPr>
              <w:t xml:space="preserve">, and Southeast Asia, consistent with the </w:t>
            </w:r>
            <w:r w:rsidRPr="00C4084C">
              <w:rPr>
                <w:rStyle w:val="normaltextrun"/>
                <w:i/>
                <w:iCs/>
              </w:rPr>
              <w:t>Southeast Asia Economic Strategy to 2040</w:t>
            </w:r>
          </w:p>
          <w:p w14:paraId="25421001" w14:textId="77777777" w:rsidR="00FA5EFE" w:rsidRPr="00C4084C" w:rsidDel="00882244" w:rsidRDefault="00FA5EFE">
            <w:pPr>
              <w:pStyle w:val="List2"/>
            </w:pPr>
            <w:r w:rsidRPr="00C4084C">
              <w:rPr>
                <w:rStyle w:val="normaltextrun"/>
              </w:rPr>
              <w:t xml:space="preserve">support tertiary education providers, in partnership with relevant government agencies, to enhance Australian alumni engagement in students’ countries/regions of origin. These alumni networks should aim to foster enduring connections to Australia which strengthen Australia’s international research networks and partnerships. </w:t>
            </w:r>
          </w:p>
        </w:tc>
      </w:tr>
    </w:tbl>
    <w:p w14:paraId="4F4BFCCD" w14:textId="77777777" w:rsidR="00FA5EFE" w:rsidRPr="00C4084C" w:rsidRDefault="00FA5EFE" w:rsidP="00FA5EFE">
      <w:pPr>
        <w:spacing w:after="0"/>
      </w:pPr>
    </w:p>
    <w:tbl>
      <w:tblPr>
        <w:tblW w:w="0" w:type="auto"/>
        <w:shd w:val="clear" w:color="auto" w:fill="FBE4D5"/>
        <w:tblLook w:val="04A0" w:firstRow="1" w:lastRow="0" w:firstColumn="1" w:lastColumn="0" w:noHBand="0" w:noVBand="1"/>
      </w:tblPr>
      <w:tblGrid>
        <w:gridCol w:w="9026"/>
      </w:tblGrid>
      <w:tr w:rsidR="00FA5EFE" w:rsidRPr="00C4084C" w14:paraId="5DF66290" w14:textId="77777777" w:rsidTr="00D26B82">
        <w:tc>
          <w:tcPr>
            <w:tcW w:w="9026" w:type="dxa"/>
            <w:shd w:val="clear" w:color="auto" w:fill="FEECDF"/>
          </w:tcPr>
          <w:p w14:paraId="312E2090" w14:textId="77777777" w:rsidR="00FA5EFE" w:rsidRPr="00C4084C" w:rsidRDefault="00FA5EFE" w:rsidP="008C4411">
            <w:pPr>
              <w:pStyle w:val="List"/>
              <w:spacing w:before="240" w:after="0"/>
              <w:rPr>
                <w:rStyle w:val="normaltextrun"/>
              </w:rPr>
            </w:pPr>
            <w:r w:rsidRPr="00C4084C">
              <w:rPr>
                <w:rStyle w:val="normaltextrun"/>
              </w:rPr>
              <w:t xml:space="preserve">That to address issues with the integrity and quality of teaching and facilities in international </w:t>
            </w:r>
            <w:r w:rsidRPr="00C4084C">
              <w:t>tertiary</w:t>
            </w:r>
            <w:r w:rsidRPr="00C4084C">
              <w:rPr>
                <w:rStyle w:val="normaltextrun"/>
              </w:rPr>
              <w:t xml:space="preserve"> education and ensure that international education providers maintain their social licence to operate, the Australian Government and the Australian Tertiary Education Commission:</w:t>
            </w:r>
          </w:p>
          <w:p w14:paraId="51A3F0DB" w14:textId="71AAEBC5" w:rsidR="00FA5EFE" w:rsidRPr="00C4084C" w:rsidRDefault="00FA5EFE">
            <w:pPr>
              <w:pStyle w:val="List2"/>
              <w:rPr>
                <w:rStyle w:val="normaltextrun"/>
              </w:rPr>
            </w:pPr>
            <w:r w:rsidRPr="00C4084C">
              <w:rPr>
                <w:rStyle w:val="normaltextrun"/>
              </w:rPr>
              <w:t>work across government and with tertiary education providers to ensure trust and integrity within the Australian visa system is maintained, in line with agreed recommendations from the Nixon Review and the Migration Strategy to protect international students from recruitment agents and providers</w:t>
            </w:r>
            <w:r w:rsidR="00C53A92" w:rsidRPr="00C4084C">
              <w:rPr>
                <w:rStyle w:val="normaltextrun"/>
              </w:rPr>
              <w:t xml:space="preserve"> that do not meet </w:t>
            </w:r>
            <w:r w:rsidR="004E1C89" w:rsidRPr="00C4084C">
              <w:rPr>
                <w:rStyle w:val="normaltextrun"/>
              </w:rPr>
              <w:t xml:space="preserve">the </w:t>
            </w:r>
            <w:r w:rsidR="00C53A92" w:rsidRPr="00C4084C">
              <w:rPr>
                <w:rStyle w:val="normaltextrun"/>
              </w:rPr>
              <w:t>hig</w:t>
            </w:r>
            <w:r w:rsidR="004E1C89" w:rsidRPr="00C4084C">
              <w:rPr>
                <w:rStyle w:val="normaltextrun"/>
              </w:rPr>
              <w:t xml:space="preserve">h national </w:t>
            </w:r>
            <w:r w:rsidR="00C53A92" w:rsidRPr="00C4084C">
              <w:rPr>
                <w:rStyle w:val="normaltextrun"/>
              </w:rPr>
              <w:t>standards</w:t>
            </w:r>
            <w:r w:rsidR="0069747E" w:rsidRPr="00C4084C">
              <w:rPr>
                <w:rStyle w:val="normaltextrun"/>
              </w:rPr>
              <w:t xml:space="preserve"> expected by </w:t>
            </w:r>
            <w:r w:rsidR="000E7367" w:rsidRPr="00C4084C">
              <w:rPr>
                <w:rStyle w:val="normaltextrun"/>
              </w:rPr>
              <w:t xml:space="preserve">the </w:t>
            </w:r>
            <w:proofErr w:type="gramStart"/>
            <w:r w:rsidR="000E7367" w:rsidRPr="00C4084C">
              <w:rPr>
                <w:rStyle w:val="normaltextrun"/>
              </w:rPr>
              <w:t>industry</w:t>
            </w:r>
            <w:proofErr w:type="gramEnd"/>
          </w:p>
          <w:p w14:paraId="195BD269" w14:textId="474E47A6" w:rsidR="00FA5EFE" w:rsidRPr="00C4084C" w:rsidRDefault="00FA5EFE">
            <w:pPr>
              <w:pStyle w:val="List2"/>
              <w:rPr>
                <w:rStyle w:val="normaltextrun"/>
              </w:rPr>
            </w:pPr>
            <w:r w:rsidRPr="00C4084C">
              <w:t>through TEQSA’s existing or expanded regulatory functions and negotiation of mission-based-compacts</w:t>
            </w:r>
            <w:r w:rsidRPr="00C4084C">
              <w:rPr>
                <w:rStyle w:val="normaltextrun"/>
              </w:rPr>
              <w:t>, ensure that providers have appropriate risk management strategies for international education consistent with</w:t>
            </w:r>
            <w:r w:rsidR="00B93C48" w:rsidRPr="00C4084C">
              <w:rPr>
                <w:rStyle w:val="normaltextrun"/>
              </w:rPr>
              <w:t xml:space="preserve"> the</w:t>
            </w:r>
            <w:r w:rsidRPr="00C4084C">
              <w:rPr>
                <w:rStyle w:val="normaltextrun"/>
              </w:rPr>
              <w:t xml:space="preserve"> </w:t>
            </w:r>
            <w:r w:rsidRPr="003E5969">
              <w:rPr>
                <w:rStyle w:val="normaltextrun"/>
                <w:i/>
                <w:iCs/>
              </w:rPr>
              <w:t>Education Services for Overseas Students (ESOS) Act</w:t>
            </w:r>
            <w:r w:rsidRPr="00C4084C">
              <w:rPr>
                <w:rStyle w:val="normaltextrun"/>
              </w:rPr>
              <w:t xml:space="preserve">, other legislative </w:t>
            </w:r>
            <w:proofErr w:type="gramStart"/>
            <w:r w:rsidRPr="00C4084C">
              <w:rPr>
                <w:rStyle w:val="normaltextrun"/>
              </w:rPr>
              <w:t>obligations</w:t>
            </w:r>
            <w:proofErr w:type="gramEnd"/>
            <w:r w:rsidRPr="00C4084C">
              <w:rPr>
                <w:rStyle w:val="normaltextrun"/>
              </w:rPr>
              <w:t xml:space="preserve"> and the higher education standards, taking an evidence-based approach to issues including:</w:t>
            </w:r>
          </w:p>
          <w:p w14:paraId="72A3B93E" w14:textId="77777777" w:rsidR="00FA5EFE" w:rsidRPr="00C4084C" w:rsidRDefault="00FA5EFE">
            <w:pPr>
              <w:pStyle w:val="List3"/>
            </w:pPr>
            <w:r w:rsidRPr="00C4084C">
              <w:t>managing demand volatility</w:t>
            </w:r>
          </w:p>
          <w:p w14:paraId="0E067B15" w14:textId="2D31A193" w:rsidR="00FA5EFE" w:rsidRPr="00C4084C" w:rsidRDefault="00FA5EFE">
            <w:pPr>
              <w:pStyle w:val="List3"/>
            </w:pPr>
            <w:r w:rsidRPr="00C4084C">
              <w:t>course concentrations and the quality of the student experience</w:t>
            </w:r>
          </w:p>
          <w:p w14:paraId="29AC9C56" w14:textId="77777777" w:rsidR="00FA5EFE" w:rsidRPr="00C4084C" w:rsidDel="00882244" w:rsidRDefault="00FA5EFE">
            <w:pPr>
              <w:pStyle w:val="List3"/>
            </w:pPr>
            <w:r w:rsidRPr="00C4084C">
              <w:t>access and availability of affordable student housing.</w:t>
            </w:r>
          </w:p>
        </w:tc>
      </w:tr>
    </w:tbl>
    <w:p w14:paraId="5030078D" w14:textId="77777777" w:rsidR="00FA5EFE" w:rsidRPr="00C4084C" w:rsidRDefault="00FA5EFE" w:rsidP="00FA5EFE">
      <w:pPr>
        <w:pStyle w:val="Rec-frontmatternonheading"/>
        <w:rPr>
          <w:rFonts w:ascii="Calibri" w:eastAsia="Times New Roman" w:hAnsi="Calibri" w:cs="Calibri"/>
          <w:color w:val="2F5496"/>
          <w:lang w:eastAsia="en-AU"/>
        </w:rPr>
      </w:pPr>
      <w:r w:rsidRPr="00C4084C">
        <w:t>Producing new knowledge and using research capability</w:t>
      </w:r>
    </w:p>
    <w:tbl>
      <w:tblPr>
        <w:tblW w:w="0" w:type="auto"/>
        <w:shd w:val="clear" w:color="auto" w:fill="FBE4D5"/>
        <w:tblLook w:val="04A0" w:firstRow="1" w:lastRow="0" w:firstColumn="1" w:lastColumn="0" w:noHBand="0" w:noVBand="1"/>
      </w:tblPr>
      <w:tblGrid>
        <w:gridCol w:w="9026"/>
      </w:tblGrid>
      <w:tr w:rsidR="00FA5EFE" w:rsidRPr="00C4084C" w14:paraId="27756F5F" w14:textId="77777777" w:rsidTr="00D26B82">
        <w:tc>
          <w:tcPr>
            <w:tcW w:w="9026" w:type="dxa"/>
            <w:shd w:val="clear" w:color="auto" w:fill="FEECDF"/>
          </w:tcPr>
          <w:p w14:paraId="5D9E92DF" w14:textId="6251C458" w:rsidR="00FA5EFE" w:rsidRPr="00C4084C" w:rsidRDefault="00FA5EFE">
            <w:pPr>
              <w:pStyle w:val="List"/>
              <w:spacing w:before="240"/>
            </w:pPr>
            <w:r w:rsidRPr="00C4084C">
              <w:t xml:space="preserve">That the Australian Government commission a formal strategic, cross-portfolio examination of national research funding with a view to increasing Australia’s capacity to maximise Australia’s R&amp;D competitiveness for economic gain, and environmental, </w:t>
            </w:r>
            <w:proofErr w:type="gramStart"/>
            <w:r w:rsidRPr="00C4084C">
              <w:t>cultural</w:t>
            </w:r>
            <w:proofErr w:type="gramEnd"/>
            <w:r w:rsidRPr="00C4084C">
              <w:t xml:space="preserve"> and social good. As part of this, the Australian Government develop a multi-agency government strategy that sets medium and long-term targets for Australia’s overall national spending on R&amp;D as a </w:t>
            </w:r>
            <w:r w:rsidRPr="00C4084C">
              <w:lastRenderedPageBreak/>
              <w:t xml:space="preserve">percentage of GDP, requiring </w:t>
            </w:r>
            <w:r w:rsidR="007A54CC" w:rsidRPr="00C4084C">
              <w:t xml:space="preserve">a </w:t>
            </w:r>
            <w:r w:rsidRPr="00C4084C">
              <w:t>significant increase to ensure Australia fully utilises the potential of its research sector and, consequently, competes more effectively in the global knowledge economy. As a starting point, this work needs to note that while university investment in research has been strong over the last 25 years, additional business and government investment in research is essential. The strategy should also undertake a root and branch consideration of the suitability and sustainability of the national research funding and governance architecture.</w:t>
            </w:r>
          </w:p>
        </w:tc>
      </w:tr>
    </w:tbl>
    <w:p w14:paraId="5F3E5ABD" w14:textId="77777777" w:rsidR="00FA5EFE" w:rsidRPr="00C4084C" w:rsidRDefault="00FA5EFE" w:rsidP="00FA5EFE">
      <w:pPr>
        <w:spacing w:after="0"/>
      </w:pPr>
    </w:p>
    <w:tbl>
      <w:tblPr>
        <w:tblW w:w="0" w:type="auto"/>
        <w:shd w:val="clear" w:color="auto" w:fill="FBE4D5"/>
        <w:tblLook w:val="04A0" w:firstRow="1" w:lastRow="0" w:firstColumn="1" w:lastColumn="0" w:noHBand="0" w:noVBand="1"/>
      </w:tblPr>
      <w:tblGrid>
        <w:gridCol w:w="9026"/>
      </w:tblGrid>
      <w:tr w:rsidR="00FA5EFE" w:rsidRPr="00C4084C" w14:paraId="6816740F" w14:textId="77777777" w:rsidTr="00D26B82">
        <w:tc>
          <w:tcPr>
            <w:tcW w:w="9026" w:type="dxa"/>
            <w:shd w:val="clear" w:color="auto" w:fill="FEECDF"/>
          </w:tcPr>
          <w:p w14:paraId="762BEC95" w14:textId="77777777" w:rsidR="00FA5EFE" w:rsidRPr="00C4084C" w:rsidRDefault="00FA5EFE">
            <w:pPr>
              <w:pStyle w:val="List"/>
              <w:spacing w:before="240" w:after="0"/>
            </w:pPr>
            <w:r w:rsidRPr="00C4084C">
              <w:t xml:space="preserve">That to ensure Australia’s research capacity and capability has a high impact and is made use of as effectively as possible: </w:t>
            </w:r>
          </w:p>
          <w:p w14:paraId="0E200DDD" w14:textId="03873627" w:rsidR="00FA5EFE" w:rsidRPr="00C4084C" w:rsidRDefault="00FA5EFE">
            <w:pPr>
              <w:pStyle w:val="List2"/>
            </w:pPr>
            <w:r w:rsidRPr="00C4084C">
              <w:t xml:space="preserve">Australian governments lead by example in the use and uptake of Australian research and innovation, and develop processes to draw heavily on the research and consulting capacity and capability of Australia’s universities and publicly funded research agencies in addressing acute </w:t>
            </w:r>
            <w:r w:rsidR="00AC61EC" w:rsidRPr="00C4084C">
              <w:t xml:space="preserve">and </w:t>
            </w:r>
            <w:r w:rsidR="005F703C" w:rsidRPr="00C4084C">
              <w:t>stubborn</w:t>
            </w:r>
            <w:r w:rsidR="000B6AA2" w:rsidRPr="00C4084C">
              <w:t xml:space="preserve"> </w:t>
            </w:r>
            <w:r w:rsidRPr="00C4084C">
              <w:t xml:space="preserve">economic, social, health, climate and environmental </w:t>
            </w:r>
            <w:proofErr w:type="gramStart"/>
            <w:r w:rsidRPr="00C4084C">
              <w:t>challenges</w:t>
            </w:r>
            <w:proofErr w:type="gramEnd"/>
          </w:p>
          <w:p w14:paraId="7EC082F7" w14:textId="77777777" w:rsidR="00FA5EFE" w:rsidRPr="00C4084C" w:rsidRDefault="00FA5EFE">
            <w:pPr>
              <w:pStyle w:val="List2"/>
            </w:pPr>
            <w:r w:rsidRPr="00C4084C">
              <w:t xml:space="preserve">Australian governments working closely with business and industry peak bodies (e.g. Business Council of Australia, Australian Industry Group, Australian Chamber of Commerce and Industry) establish a Research Investor Forum to explore mechanisms that keep universities, industry and government informed of significant research problems that need to be addressed, and of significant research capabilities in the higher education </w:t>
            </w:r>
            <w:proofErr w:type="gramStart"/>
            <w:r w:rsidRPr="00C4084C">
              <w:t>system</w:t>
            </w:r>
            <w:proofErr w:type="gramEnd"/>
          </w:p>
          <w:p w14:paraId="3A6D39F6" w14:textId="75352E83" w:rsidR="00FA5EFE" w:rsidRPr="00C4084C" w:rsidRDefault="00FA5EFE">
            <w:pPr>
              <w:pStyle w:val="List2"/>
            </w:pPr>
            <w:r w:rsidRPr="00C4084C">
              <w:t xml:space="preserve">the Australian Government establish a new Solving Australian Challenges Strategic Fund to reward universities which can demonstrate effective use and development of their research and innovation capacity in working with and for governments, </w:t>
            </w:r>
            <w:proofErr w:type="gramStart"/>
            <w:r w:rsidRPr="00C4084C">
              <w:t>industry</w:t>
            </w:r>
            <w:proofErr w:type="gramEnd"/>
            <w:r w:rsidRPr="00C4084C">
              <w:t xml:space="preserve"> and communities to address major challenges. The allocation of this fund should</w:t>
            </w:r>
            <w:r w:rsidR="00787593" w:rsidRPr="00C4084C">
              <w:t xml:space="preserve"> </w:t>
            </w:r>
            <w:r w:rsidR="00B104C5" w:rsidRPr="00C4084C">
              <w:t xml:space="preserve">use </w:t>
            </w:r>
            <w:r w:rsidRPr="00C4084C">
              <w:t>a light-touch portfolio assessment and hav</w:t>
            </w:r>
            <w:r w:rsidR="00D76451" w:rsidRPr="00C4084C">
              <w:t>e</w:t>
            </w:r>
            <w:r w:rsidRPr="00C4084C">
              <w:t xml:space="preserve"> regard to each university’s mission. Universities with exceptional performance should be rewarded at a higher level than </w:t>
            </w:r>
            <w:proofErr w:type="gramStart"/>
            <w:r w:rsidRPr="00C4084C">
              <w:t>others</w:t>
            </w:r>
            <w:proofErr w:type="gramEnd"/>
          </w:p>
          <w:p w14:paraId="0B557281" w14:textId="2CEA1B0B" w:rsidR="00FA5EFE" w:rsidRPr="00C4084C" w:rsidDel="00882244" w:rsidRDefault="00FA5EFE">
            <w:pPr>
              <w:pStyle w:val="List2"/>
            </w:pPr>
            <w:r w:rsidRPr="00C4084C">
              <w:t>firms invest in upskilling staff to PhD level at scale, collaborating with peak bodies and governments to establish a target for the number of PhD candidates employed in industry undertaking a PhD relevant to their firm.</w:t>
            </w:r>
          </w:p>
        </w:tc>
      </w:tr>
    </w:tbl>
    <w:p w14:paraId="406F624E" w14:textId="77777777" w:rsidR="00FA5EFE" w:rsidRPr="00C4084C" w:rsidRDefault="00FA5EFE" w:rsidP="00FA5EFE">
      <w:pPr>
        <w:spacing w:after="0"/>
      </w:pPr>
    </w:p>
    <w:tbl>
      <w:tblPr>
        <w:tblW w:w="0" w:type="auto"/>
        <w:shd w:val="clear" w:color="auto" w:fill="FBE4D5"/>
        <w:tblLook w:val="04A0" w:firstRow="1" w:lastRow="0" w:firstColumn="1" w:lastColumn="0" w:noHBand="0" w:noVBand="1"/>
      </w:tblPr>
      <w:tblGrid>
        <w:gridCol w:w="9026"/>
      </w:tblGrid>
      <w:tr w:rsidR="00FA5EFE" w:rsidRPr="00C4084C" w14:paraId="76A5C4A9" w14:textId="77777777" w:rsidTr="00D26B82">
        <w:tc>
          <w:tcPr>
            <w:tcW w:w="9026" w:type="dxa"/>
            <w:shd w:val="clear" w:color="auto" w:fill="FEECDF"/>
          </w:tcPr>
          <w:p w14:paraId="0C1B11AC" w14:textId="77777777" w:rsidR="00FA5EFE" w:rsidRPr="00C4084C" w:rsidRDefault="00FA5EFE">
            <w:pPr>
              <w:pStyle w:val="List"/>
              <w:spacing w:before="240" w:after="0"/>
            </w:pPr>
            <w:r w:rsidRPr="00C4084C">
              <w:t>That to improve Australia’s research quality, the Australian Government strengthen the fundamentals of the Australian research system by:</w:t>
            </w:r>
          </w:p>
          <w:p w14:paraId="0581A3F8" w14:textId="1283FCCD" w:rsidR="00FA5EFE" w:rsidRPr="00C4084C" w:rsidRDefault="00FA5EFE">
            <w:pPr>
              <w:pStyle w:val="List2"/>
            </w:pPr>
            <w:r w:rsidRPr="00C4084C">
              <w:t xml:space="preserve">enhancing the ARC’s capacity to support fundamental research by additional investment in its programs with the allocation of the new funding to be </w:t>
            </w:r>
            <w:r w:rsidR="005A75FC" w:rsidRPr="00C4084C">
              <w:t>advised on by</w:t>
            </w:r>
            <w:r w:rsidRPr="00C4084C">
              <w:t xml:space="preserve"> the board of the Australian Research Council  </w:t>
            </w:r>
          </w:p>
          <w:p w14:paraId="597C0236" w14:textId="77777777" w:rsidR="00FA5EFE" w:rsidRPr="00C4084C" w:rsidRDefault="00FA5EFE">
            <w:pPr>
              <w:pStyle w:val="List2"/>
            </w:pPr>
            <w:r w:rsidRPr="00C4084C">
              <w:t xml:space="preserve">setting a minimum percentage of national competitive grants that run for 5 years or </w:t>
            </w:r>
            <w:proofErr w:type="gramStart"/>
            <w:r w:rsidRPr="00C4084C">
              <w:t>longer</w:t>
            </w:r>
            <w:proofErr w:type="gramEnd"/>
          </w:p>
          <w:p w14:paraId="056DB666" w14:textId="77777777" w:rsidR="00FA5EFE" w:rsidRPr="00C4084C" w:rsidRDefault="00FA5EFE">
            <w:pPr>
              <w:pStyle w:val="List2"/>
            </w:pPr>
            <w:r w:rsidRPr="00C4084C">
              <w:t>substantially increasing investment in the Research Training Program and improving the attractiveness of the program by raising minimum stipends and making part-time scholarships tax free</w:t>
            </w:r>
          </w:p>
          <w:p w14:paraId="5CFB264B" w14:textId="77777777" w:rsidR="00FA5EFE" w:rsidRPr="00C4084C" w:rsidRDefault="00FA5EFE">
            <w:pPr>
              <w:pStyle w:val="List2"/>
            </w:pPr>
            <w:r w:rsidRPr="00C4084C">
              <w:t xml:space="preserve">providing dedicated PhD scholarships and postdoctoral fellowships for First Nations researchers to support, broaden and grow the pipeline of First Nations researchers at Australian </w:t>
            </w:r>
            <w:proofErr w:type="gramStart"/>
            <w:r w:rsidRPr="00C4084C">
              <w:t>universities</w:t>
            </w:r>
            <w:proofErr w:type="gramEnd"/>
          </w:p>
          <w:p w14:paraId="29F8F0C7" w14:textId="64106150" w:rsidR="00FA5EFE" w:rsidRPr="00C4084C" w:rsidRDefault="00FA5EFE">
            <w:pPr>
              <w:pStyle w:val="List2"/>
            </w:pPr>
            <w:r w:rsidRPr="00C4084C">
              <w:t xml:space="preserve">ensuring that </w:t>
            </w:r>
            <w:r w:rsidR="00715F03" w:rsidRPr="00C4084C">
              <w:t>training in</w:t>
            </w:r>
            <w:r w:rsidRPr="00C4084C">
              <w:t xml:space="preserve"> entrepreneurial, business, teaching and leadership skills </w:t>
            </w:r>
            <w:r w:rsidR="00573851">
              <w:t>is</w:t>
            </w:r>
            <w:r w:rsidR="00573851" w:rsidRPr="00C4084C">
              <w:t xml:space="preserve"> </w:t>
            </w:r>
            <w:r w:rsidRPr="00C4084C">
              <w:t xml:space="preserve">offered through additional qualifications in parallel with research training in preparation for careers beyond </w:t>
            </w:r>
            <w:proofErr w:type="gramStart"/>
            <w:r w:rsidRPr="00C4084C">
              <w:t>academia</w:t>
            </w:r>
            <w:proofErr w:type="gramEnd"/>
          </w:p>
          <w:p w14:paraId="4E39BA7D" w14:textId="1CC7470D" w:rsidR="00FA5EFE" w:rsidRPr="00C4084C" w:rsidRDefault="00FA5EFE">
            <w:pPr>
              <w:pStyle w:val="List2"/>
            </w:pPr>
            <w:r w:rsidRPr="00C4084C">
              <w:lastRenderedPageBreak/>
              <w:t xml:space="preserve">requiring the Australian Tertiary Education Commission, with advice from the ARC and industry peak bodies, </w:t>
            </w:r>
            <w:r w:rsidR="007A54CC" w:rsidRPr="00C4084C">
              <w:t xml:space="preserve">to </w:t>
            </w:r>
            <w:r w:rsidRPr="00C4084C">
              <w:t xml:space="preserve">develop a National Research Workforce Development Strategy by the end of 2026. This strategy should capture research career pathways, including higher degree by research (HDR) graduate employment pathways. It also should support national research workforce planning and facilitate pathways for HDR students into and out of </w:t>
            </w:r>
            <w:proofErr w:type="gramStart"/>
            <w:r w:rsidRPr="00C4084C">
              <w:t>universities</w:t>
            </w:r>
            <w:proofErr w:type="gramEnd"/>
          </w:p>
          <w:p w14:paraId="17B43018" w14:textId="77777777" w:rsidR="00FA5EFE" w:rsidRPr="00C4084C" w:rsidDel="00882244" w:rsidRDefault="00FA5EFE">
            <w:pPr>
              <w:pStyle w:val="List2"/>
            </w:pPr>
            <w:r w:rsidRPr="00C4084C">
              <w:t>providing stable and predictable ongoing funding for the National Collaborative Research Infrastructure Strategy (NCRIS).</w:t>
            </w:r>
          </w:p>
        </w:tc>
      </w:tr>
    </w:tbl>
    <w:p w14:paraId="50766D39" w14:textId="77777777" w:rsidR="00FA5EFE" w:rsidRPr="00C4084C" w:rsidRDefault="00FA5EFE" w:rsidP="00FA5EFE">
      <w:pPr>
        <w:spacing w:after="0"/>
      </w:pPr>
    </w:p>
    <w:tbl>
      <w:tblPr>
        <w:tblW w:w="0" w:type="auto"/>
        <w:shd w:val="clear" w:color="auto" w:fill="FBE4D5"/>
        <w:tblLook w:val="04A0" w:firstRow="1" w:lastRow="0" w:firstColumn="1" w:lastColumn="0" w:noHBand="0" w:noVBand="1"/>
      </w:tblPr>
      <w:tblGrid>
        <w:gridCol w:w="9026"/>
      </w:tblGrid>
      <w:tr w:rsidR="00FA5EFE" w:rsidRPr="00C4084C" w14:paraId="0C593F5D" w14:textId="77777777" w:rsidTr="00D26B82">
        <w:tc>
          <w:tcPr>
            <w:tcW w:w="9026" w:type="dxa"/>
            <w:shd w:val="clear" w:color="auto" w:fill="FEECDF"/>
          </w:tcPr>
          <w:p w14:paraId="6A48F7D9" w14:textId="2E63CCFB" w:rsidR="00FA5EFE" w:rsidRPr="00C4084C" w:rsidDel="00882244" w:rsidRDefault="00FA5EFE">
            <w:pPr>
              <w:pStyle w:val="List"/>
              <w:spacing w:before="240"/>
            </w:pPr>
            <w:r w:rsidRPr="00C4084C">
              <w:t>That to advance the Australian Government’s focus on the importance of research into First Nations knowledges and the need to make sustained progress on closing the gap in outcomes for First Nations people, the Australian Government elevate First Nations knowledge, knowledge systems and Closing the Gap through First Nations Leadership to the National Science and Research Priorities, implementing a framework that ensures First Nations-led research, First Nations leadership and capacity building, self-determination, and impactful, transformative outcomes.</w:t>
            </w:r>
          </w:p>
        </w:tc>
      </w:tr>
    </w:tbl>
    <w:p w14:paraId="56E08C1B" w14:textId="77777777" w:rsidR="00FA5EFE" w:rsidRPr="00C4084C" w:rsidRDefault="00FA5EFE" w:rsidP="00FA5EFE">
      <w:pPr>
        <w:spacing w:after="0"/>
      </w:pPr>
    </w:p>
    <w:tbl>
      <w:tblPr>
        <w:tblW w:w="0" w:type="auto"/>
        <w:shd w:val="clear" w:color="auto" w:fill="FBE4D5"/>
        <w:tblLook w:val="04A0" w:firstRow="1" w:lastRow="0" w:firstColumn="1" w:lastColumn="0" w:noHBand="0" w:noVBand="1"/>
      </w:tblPr>
      <w:tblGrid>
        <w:gridCol w:w="9026"/>
      </w:tblGrid>
      <w:tr w:rsidR="00FA5EFE" w:rsidRPr="00C4084C" w14:paraId="3D44710A" w14:textId="77777777" w:rsidTr="00D26B82">
        <w:tc>
          <w:tcPr>
            <w:tcW w:w="9026" w:type="dxa"/>
            <w:shd w:val="clear" w:color="auto" w:fill="FEECDF"/>
          </w:tcPr>
          <w:p w14:paraId="7F6BBFEC" w14:textId="77777777" w:rsidR="00FA5EFE" w:rsidRPr="00C4084C" w:rsidRDefault="00FA5EFE">
            <w:pPr>
              <w:pStyle w:val="List"/>
              <w:spacing w:before="240" w:after="0"/>
            </w:pPr>
            <w:r w:rsidRPr="00C4084C">
              <w:t>That to develop a pathway to fund the full economic cost of university research:</w:t>
            </w:r>
          </w:p>
          <w:p w14:paraId="63AEB1F3" w14:textId="2811506E" w:rsidR="00FA5EFE" w:rsidRPr="00C4084C" w:rsidRDefault="00FA5EFE">
            <w:pPr>
              <w:pStyle w:val="List2"/>
              <w:spacing w:before="240"/>
            </w:pPr>
            <w:r w:rsidRPr="00C4084C">
              <w:t xml:space="preserve">universities charge, and governments and industry pay, full market rates for commissioned and contract research and </w:t>
            </w:r>
            <w:proofErr w:type="gramStart"/>
            <w:r w:rsidRPr="00C4084C">
              <w:t>consulting</w:t>
            </w:r>
            <w:proofErr w:type="gramEnd"/>
          </w:p>
          <w:p w14:paraId="3FEDA2CD" w14:textId="77777777" w:rsidR="00FA5EFE" w:rsidRPr="00C4084C" w:rsidRDefault="00FA5EFE">
            <w:pPr>
              <w:pStyle w:val="List2"/>
              <w:spacing w:before="240"/>
            </w:pPr>
            <w:r w:rsidRPr="00C4084C">
              <w:t>the Australian Government provide transparency and significant material support for national competitive schemes, amending the Research Support Program to provide explicit indirect cost support tied to national competitive grant schemes by:</w:t>
            </w:r>
          </w:p>
          <w:p w14:paraId="1A8B5F0D" w14:textId="77777777" w:rsidR="00FA5EFE" w:rsidRPr="00C4084C" w:rsidRDefault="00FA5EFE">
            <w:pPr>
              <w:pStyle w:val="List3"/>
            </w:pPr>
            <w:r w:rsidRPr="00C4084C">
              <w:t xml:space="preserve">setting a base for indirect costs, increasing over time to a target of </w:t>
            </w:r>
            <w:r w:rsidRPr="00C4084C" w:rsidDel="00743DF2">
              <w:t>50</w:t>
            </w:r>
            <w:r w:rsidRPr="00C4084C">
              <w:t xml:space="preserve">%. This target should be reviewed by the Australian Tertiary Education Commission on a 5-yearly basis for </w:t>
            </w:r>
            <w:proofErr w:type="gramStart"/>
            <w:r w:rsidRPr="00C4084C">
              <w:t>suitability</w:t>
            </w:r>
            <w:proofErr w:type="gramEnd"/>
          </w:p>
          <w:p w14:paraId="6FCA419F" w14:textId="3B475371" w:rsidR="00FA5EFE" w:rsidRPr="00C4084C" w:rsidDel="00882244" w:rsidRDefault="00FA5EFE">
            <w:pPr>
              <w:pStyle w:val="List3"/>
            </w:pPr>
            <w:r w:rsidRPr="00C4084C">
              <w:t>changing Australian Research Council (and other national competitive grant) funding rules to ensure grants deemed fundable are funded with the fixed indirect cost support rate amount.</w:t>
            </w:r>
          </w:p>
        </w:tc>
      </w:tr>
    </w:tbl>
    <w:p w14:paraId="05B16547" w14:textId="77777777" w:rsidR="00FA5EFE" w:rsidRPr="00C4084C" w:rsidRDefault="00FA5EFE" w:rsidP="00FA5EFE">
      <w:pPr>
        <w:pStyle w:val="NoSpacing"/>
      </w:pPr>
    </w:p>
    <w:tbl>
      <w:tblPr>
        <w:tblW w:w="0" w:type="auto"/>
        <w:shd w:val="clear" w:color="auto" w:fill="FBE4D5"/>
        <w:tblLook w:val="04A0" w:firstRow="1" w:lastRow="0" w:firstColumn="1" w:lastColumn="0" w:noHBand="0" w:noVBand="1"/>
      </w:tblPr>
      <w:tblGrid>
        <w:gridCol w:w="9026"/>
      </w:tblGrid>
      <w:tr w:rsidR="00FA5EFE" w:rsidRPr="00C4084C" w14:paraId="7436259C" w14:textId="77777777" w:rsidTr="00D26B82">
        <w:tc>
          <w:tcPr>
            <w:tcW w:w="9026" w:type="dxa"/>
            <w:shd w:val="clear" w:color="auto" w:fill="FEECDF"/>
          </w:tcPr>
          <w:p w14:paraId="018703B4" w14:textId="14464836" w:rsidR="00FA5EFE" w:rsidRPr="00C4084C" w:rsidRDefault="00FA5EFE">
            <w:pPr>
              <w:pStyle w:val="List"/>
              <w:spacing w:before="240" w:after="0"/>
            </w:pPr>
            <w:r w:rsidRPr="00C4084C">
              <w:t>That to demonstrate the quality of and return on investment in Australian university research, the Australian Government commission the ARC to work with the Australian Tertiary Education Commission, TEQSA and universities to develop a fit for purpose research quality and impact evaluation system through the creation of a National Research Evaluation and Impact Framework that is data driven and uses intelligent technologies and that:</w:t>
            </w:r>
          </w:p>
          <w:p w14:paraId="33A5B8A1" w14:textId="77777777" w:rsidR="00FA5EFE" w:rsidRPr="00C4084C" w:rsidRDefault="00FA5EFE">
            <w:pPr>
              <w:pStyle w:val="List2"/>
            </w:pPr>
            <w:r w:rsidRPr="00C4084C">
              <w:t xml:space="preserve">is less burdensome for universities to measure and report research quality and impact without affecting </w:t>
            </w:r>
            <w:proofErr w:type="gramStart"/>
            <w:r w:rsidRPr="00C4084C">
              <w:t>robustness</w:t>
            </w:r>
            <w:proofErr w:type="gramEnd"/>
          </w:p>
          <w:p w14:paraId="77A8C0B8" w14:textId="77777777" w:rsidR="00FA5EFE" w:rsidRPr="00C4084C" w:rsidRDefault="00FA5EFE">
            <w:pPr>
              <w:pStyle w:val="List2"/>
            </w:pPr>
            <w:r w:rsidRPr="00C4084C">
              <w:t xml:space="preserve">delivers a clear evaluation to Government and the community of the quality and impact of Australian university </w:t>
            </w:r>
            <w:proofErr w:type="gramStart"/>
            <w:r w:rsidRPr="00C4084C">
              <w:t>research</w:t>
            </w:r>
            <w:proofErr w:type="gramEnd"/>
          </w:p>
          <w:p w14:paraId="1FF63C15" w14:textId="77777777" w:rsidR="00FA5EFE" w:rsidRPr="00C4084C" w:rsidRDefault="00FA5EFE">
            <w:pPr>
              <w:pStyle w:val="List2"/>
            </w:pPr>
            <w:r w:rsidRPr="00C4084C">
              <w:t>strengthens the capacity of Australian universities and researchers to describe in detail the powerful impact of Australian university research – and deepen community and industry buy-in</w:t>
            </w:r>
          </w:p>
          <w:p w14:paraId="446BBCC8" w14:textId="77777777" w:rsidR="00FA5EFE" w:rsidRPr="00C4084C" w:rsidRDefault="00FA5EFE">
            <w:pPr>
              <w:pStyle w:val="List2"/>
            </w:pPr>
            <w:r w:rsidRPr="00C4084C">
              <w:lastRenderedPageBreak/>
              <w:t>improves the external scrutiny of research integrity through providing additional funding to the Australian Research Council to strengthen its independent research integrity processes.</w:t>
            </w:r>
          </w:p>
        </w:tc>
      </w:tr>
    </w:tbl>
    <w:p w14:paraId="4F814D6D" w14:textId="77777777" w:rsidR="00FA5EFE" w:rsidRPr="00C4084C" w:rsidRDefault="00FA5EFE" w:rsidP="00FA5EFE">
      <w:pPr>
        <w:pStyle w:val="Rec-frontmatternonheading"/>
      </w:pPr>
      <w:r w:rsidRPr="00C4084C">
        <w:lastRenderedPageBreak/>
        <w:t>Establish an Australian Tertiary Education Commission</w:t>
      </w:r>
    </w:p>
    <w:tbl>
      <w:tblPr>
        <w:tblW w:w="0" w:type="auto"/>
        <w:shd w:val="clear" w:color="auto" w:fill="FBE4D5"/>
        <w:tblLook w:val="04A0" w:firstRow="1" w:lastRow="0" w:firstColumn="1" w:lastColumn="0" w:noHBand="0" w:noVBand="1"/>
      </w:tblPr>
      <w:tblGrid>
        <w:gridCol w:w="9026"/>
      </w:tblGrid>
      <w:tr w:rsidR="00FA5EFE" w:rsidRPr="00C4084C" w14:paraId="16D1FC3F" w14:textId="77777777" w:rsidTr="00D26B82">
        <w:tc>
          <w:tcPr>
            <w:tcW w:w="9026" w:type="dxa"/>
            <w:shd w:val="clear" w:color="auto" w:fill="FEECDF"/>
          </w:tcPr>
          <w:p w14:paraId="2E84213F" w14:textId="77777777" w:rsidR="00FA5EFE" w:rsidRPr="00C4084C" w:rsidRDefault="00FA5EFE">
            <w:pPr>
              <w:pStyle w:val="List"/>
              <w:spacing w:before="240" w:after="0"/>
            </w:pPr>
            <w:r w:rsidRPr="00C4084C">
              <w:t xml:space="preserve">That to deliver on the National Tertiary Education Objective and establish a public sector steward for the tertiary education system, the Australian Government establish an Australian Tertiary Education Commission as a statutory, national body reporting to the Minister for Education and the Minister for Skills and Training. </w:t>
            </w:r>
          </w:p>
          <w:p w14:paraId="1DFC2EC7" w14:textId="1C90D0DD" w:rsidR="00FA5EFE" w:rsidRPr="00C4084C" w:rsidRDefault="00FA5EFE">
            <w:pPr>
              <w:pStyle w:val="List2"/>
            </w:pPr>
            <w:r w:rsidRPr="00C4084C">
              <w:t>The Australian Tertiary Education Commission would:</w:t>
            </w:r>
          </w:p>
          <w:p w14:paraId="6E9B474E" w14:textId="77777777" w:rsidR="00FA5EFE" w:rsidRPr="00C4084C" w:rsidRDefault="00FA5EFE">
            <w:pPr>
              <w:pStyle w:val="List3"/>
              <w:rPr>
                <w:rStyle w:val="normaltextrun"/>
                <w:rFonts w:ascii="Calibri" w:hAnsi="Calibri" w:cs="Calibri"/>
              </w:rPr>
            </w:pPr>
            <w:r w:rsidRPr="00C4084C">
              <w:rPr>
                <w:rStyle w:val="normaltextrun"/>
                <w:rFonts w:ascii="Calibri" w:hAnsi="Calibri" w:cs="Calibri"/>
              </w:rPr>
              <w:t xml:space="preserve">convene ongoing collaborative engagement about the future of the tertiary education </w:t>
            </w:r>
            <w:proofErr w:type="gramStart"/>
            <w:r w:rsidRPr="00C4084C">
              <w:rPr>
                <w:rStyle w:val="normaltextrun"/>
                <w:rFonts w:ascii="Calibri" w:hAnsi="Calibri" w:cs="Calibri"/>
              </w:rPr>
              <w:t>system</w:t>
            </w:r>
            <w:proofErr w:type="gramEnd"/>
            <w:r w:rsidRPr="00C4084C">
              <w:rPr>
                <w:rStyle w:val="normaltextrun"/>
                <w:rFonts w:ascii="Calibri" w:hAnsi="Calibri" w:cs="Calibri"/>
              </w:rPr>
              <w:t xml:space="preserve"> </w:t>
            </w:r>
          </w:p>
          <w:p w14:paraId="560B7252" w14:textId="77777777" w:rsidR="00FA5EFE" w:rsidRPr="00C4084C" w:rsidRDefault="00FA5EFE">
            <w:pPr>
              <w:pStyle w:val="List3"/>
              <w:rPr>
                <w:rStyle w:val="normaltextrun"/>
                <w:rFonts w:ascii="Calibri" w:hAnsi="Calibri" w:cs="Calibri"/>
              </w:rPr>
            </w:pPr>
            <w:r w:rsidRPr="00C4084C">
              <w:rPr>
                <w:rStyle w:val="normaltextrun"/>
                <w:rFonts w:ascii="Calibri" w:hAnsi="Calibri" w:cs="Calibri"/>
              </w:rPr>
              <w:t xml:space="preserve">foster a high quality and cohesive tertiary education system, that encourages diversity and student </w:t>
            </w:r>
            <w:proofErr w:type="gramStart"/>
            <w:r w:rsidRPr="00C4084C">
              <w:rPr>
                <w:rStyle w:val="normaltextrun"/>
                <w:rFonts w:ascii="Calibri" w:hAnsi="Calibri" w:cs="Calibri"/>
              </w:rPr>
              <w:t>choice</w:t>
            </w:r>
            <w:proofErr w:type="gramEnd"/>
          </w:p>
          <w:p w14:paraId="3E058146" w14:textId="74E47E42" w:rsidR="00506C5F" w:rsidRPr="00C4084C" w:rsidRDefault="00506C5F">
            <w:pPr>
              <w:pStyle w:val="List3"/>
              <w:rPr>
                <w:rStyle w:val="normaltextrun"/>
                <w:rFonts w:ascii="Calibri" w:hAnsi="Calibri" w:cs="Calibri"/>
              </w:rPr>
            </w:pPr>
            <w:r w:rsidRPr="00C4084C">
              <w:rPr>
                <w:rStyle w:val="normaltextrun"/>
                <w:rFonts w:ascii="Calibri" w:hAnsi="Calibri" w:cs="Calibri"/>
              </w:rPr>
              <w:t xml:space="preserve">advise on meeting skills and equity </w:t>
            </w:r>
            <w:proofErr w:type="gramStart"/>
            <w:r w:rsidRPr="00C4084C">
              <w:rPr>
                <w:rStyle w:val="normaltextrun"/>
                <w:rFonts w:ascii="Calibri" w:hAnsi="Calibri" w:cs="Calibri"/>
              </w:rPr>
              <w:t>targets</w:t>
            </w:r>
            <w:proofErr w:type="gramEnd"/>
          </w:p>
          <w:p w14:paraId="102D9EB7" w14:textId="77777777" w:rsidR="00FA5EFE" w:rsidRPr="00C4084C" w:rsidRDefault="00FA5EFE">
            <w:pPr>
              <w:pStyle w:val="List3"/>
              <w:rPr>
                <w:rStyle w:val="normaltextrun"/>
                <w:rFonts w:ascii="Calibri" w:hAnsi="Calibri" w:cs="Calibri"/>
              </w:rPr>
            </w:pPr>
            <w:r w:rsidRPr="00C4084C">
              <w:rPr>
                <w:rStyle w:val="normaltextrun"/>
                <w:rFonts w:ascii="Calibri" w:hAnsi="Calibri" w:cs="Calibri"/>
              </w:rPr>
              <w:t xml:space="preserve">ensure that regulatory burden is monitored and minimised in the </w:t>
            </w:r>
            <w:proofErr w:type="gramStart"/>
            <w:r w:rsidRPr="00C4084C">
              <w:rPr>
                <w:rStyle w:val="normaltextrun"/>
                <w:rFonts w:ascii="Calibri" w:hAnsi="Calibri" w:cs="Calibri"/>
              </w:rPr>
              <w:t>sector</w:t>
            </w:r>
            <w:proofErr w:type="gramEnd"/>
            <w:r w:rsidRPr="00C4084C">
              <w:rPr>
                <w:rStyle w:val="normaltextrun"/>
                <w:rFonts w:ascii="Calibri" w:hAnsi="Calibri" w:cs="Calibri"/>
              </w:rPr>
              <w:t xml:space="preserve"> </w:t>
            </w:r>
          </w:p>
          <w:p w14:paraId="412E8DAD" w14:textId="63721CE4" w:rsidR="00FA5EFE" w:rsidRPr="00C4084C" w:rsidRDefault="00FA5EFE">
            <w:pPr>
              <w:pStyle w:val="List3"/>
              <w:spacing w:after="0"/>
              <w:rPr>
                <w:rStyle w:val="normaltextrun"/>
                <w:rFonts w:ascii="Calibri" w:hAnsi="Calibri" w:cs="Calibri"/>
              </w:rPr>
            </w:pPr>
            <w:r w:rsidRPr="00C4084C">
              <w:rPr>
                <w:rStyle w:val="normaltextrun"/>
                <w:rFonts w:ascii="Calibri" w:hAnsi="Calibri" w:cs="Calibri"/>
              </w:rPr>
              <w:t xml:space="preserve">provide expert advice to the Government and tertiary education </w:t>
            </w:r>
            <w:proofErr w:type="gramStart"/>
            <w:r w:rsidRPr="00C4084C">
              <w:rPr>
                <w:rStyle w:val="normaltextrun"/>
                <w:rFonts w:ascii="Calibri" w:hAnsi="Calibri" w:cs="Calibri"/>
              </w:rPr>
              <w:t>system</w:t>
            </w:r>
            <w:proofErr w:type="gramEnd"/>
          </w:p>
          <w:p w14:paraId="31FDEC5B" w14:textId="2BCB4712" w:rsidR="00FA5EFE" w:rsidRPr="00C4084C" w:rsidRDefault="00A71572" w:rsidP="008C4411">
            <w:pPr>
              <w:pStyle w:val="List2"/>
              <w:spacing w:before="0" w:beforeAutospacing="0"/>
              <w:rPr>
                <w:rFonts w:eastAsia="Yu Gothic Light" w:cs="Times New Roman"/>
              </w:rPr>
            </w:pPr>
            <w:r>
              <w:rPr>
                <w:rFonts w:eastAsia="Yu Gothic Light" w:cs="Times New Roman"/>
                <w:bCs/>
              </w:rPr>
              <w:t>T</w:t>
            </w:r>
            <w:r w:rsidR="00FA5EFE" w:rsidRPr="00C4084C">
              <w:rPr>
                <w:rFonts w:eastAsia="Yu Gothic Light" w:cs="Times New Roman"/>
                <w:bCs/>
              </w:rPr>
              <w:t xml:space="preserve">he Australian Tertiary </w:t>
            </w:r>
            <w:r w:rsidR="00FA5EFE" w:rsidRPr="00C4084C">
              <w:rPr>
                <w:rFonts w:eastAsia="Yu Gothic Light" w:cs="Times New Roman"/>
              </w:rPr>
              <w:t>Education Commission would have the following functions:</w:t>
            </w:r>
          </w:p>
          <w:p w14:paraId="756135F9" w14:textId="77777777" w:rsidR="00FA5EFE" w:rsidRPr="00C4084C" w:rsidRDefault="00FA5EFE">
            <w:pPr>
              <w:pStyle w:val="List3"/>
            </w:pPr>
            <w:r w:rsidRPr="00C4084C">
              <w:t>policy coordination and development for higher education and university research, and joint development of policy initiatives on tertiary education with the Skills and Workforce Ministerial Council</w:t>
            </w:r>
          </w:p>
          <w:p w14:paraId="2D608646" w14:textId="77777777" w:rsidR="00FA5EFE" w:rsidRPr="00C4084C" w:rsidRDefault="00FA5EFE">
            <w:pPr>
              <w:pStyle w:val="List3"/>
            </w:pPr>
            <w:r w:rsidRPr="00C4084C">
              <w:t>system planning</w:t>
            </w:r>
          </w:p>
          <w:p w14:paraId="6B0BE5CC" w14:textId="5F16B5E6" w:rsidR="00FA5EFE" w:rsidRPr="00C4084C" w:rsidRDefault="00FA5EFE">
            <w:pPr>
              <w:pStyle w:val="List3"/>
            </w:pPr>
            <w:r w:rsidRPr="00C4084C">
              <w:t xml:space="preserve">negotiating mission-based compacts </w:t>
            </w:r>
            <w:r w:rsidR="004100B6" w:rsidRPr="00C4084C">
              <w:t>for universities</w:t>
            </w:r>
          </w:p>
          <w:p w14:paraId="427BB00E" w14:textId="77777777" w:rsidR="00FA5EFE" w:rsidRPr="00C4084C" w:rsidRDefault="00FA5EFE">
            <w:pPr>
              <w:pStyle w:val="List3"/>
            </w:pPr>
            <w:r w:rsidRPr="00C4084C">
              <w:t>pricing authority for the higher education sector</w:t>
            </w:r>
          </w:p>
          <w:p w14:paraId="1E1DE720" w14:textId="77777777" w:rsidR="00FA5EFE" w:rsidRPr="00C4084C" w:rsidRDefault="00FA5EFE">
            <w:pPr>
              <w:pStyle w:val="List3"/>
            </w:pPr>
            <w:r w:rsidRPr="00C4084C">
              <w:t>funding allocation for the higher education sector</w:t>
            </w:r>
          </w:p>
          <w:p w14:paraId="7C386886" w14:textId="77777777" w:rsidR="00FA5EFE" w:rsidRPr="00C4084C" w:rsidRDefault="00FA5EFE">
            <w:pPr>
              <w:pStyle w:val="List3"/>
            </w:pPr>
            <w:r w:rsidRPr="00C4084C">
              <w:t>facilitating wide engagement with the tertiary education system</w:t>
            </w:r>
          </w:p>
          <w:p w14:paraId="1B0EDBD6" w14:textId="77777777" w:rsidR="00FA5EFE" w:rsidRPr="00C4084C" w:rsidRDefault="00FA5EFE">
            <w:pPr>
              <w:pStyle w:val="List3"/>
            </w:pPr>
            <w:r w:rsidRPr="00C4084C">
              <w:t>strengthening First Nations representation and self-determination</w:t>
            </w:r>
          </w:p>
          <w:p w14:paraId="24145DA9" w14:textId="77777777" w:rsidR="00FA5EFE" w:rsidRPr="00C4084C" w:rsidRDefault="00FA5EFE">
            <w:pPr>
              <w:pStyle w:val="List3"/>
            </w:pPr>
            <w:r w:rsidRPr="00C4084C">
              <w:t>advising the Minister on regulatory frameworks within the higher education sector</w:t>
            </w:r>
          </w:p>
          <w:p w14:paraId="3C59E9B9" w14:textId="77777777" w:rsidR="00FA5EFE" w:rsidRPr="00C4084C" w:rsidRDefault="00FA5EFE">
            <w:pPr>
              <w:pStyle w:val="List3"/>
            </w:pPr>
            <w:r w:rsidRPr="00C4084C">
              <w:t>overseeing and</w:t>
            </w:r>
            <w:r w:rsidRPr="00C4084C" w:rsidDel="31ACFFB5">
              <w:t xml:space="preserve"> </w:t>
            </w:r>
            <w:r w:rsidRPr="00C4084C">
              <w:t>monitoring of the Australian Qualifications Framework</w:t>
            </w:r>
          </w:p>
          <w:p w14:paraId="60682311" w14:textId="77777777" w:rsidR="00FA5EFE" w:rsidRPr="00C4084C" w:rsidRDefault="00FA5EFE">
            <w:pPr>
              <w:pStyle w:val="List3"/>
            </w:pPr>
            <w:r w:rsidRPr="00C4084C">
              <w:t xml:space="preserve">accountability, </w:t>
            </w:r>
            <w:proofErr w:type="gramStart"/>
            <w:r w:rsidRPr="00C4084C">
              <w:t>quality</w:t>
            </w:r>
            <w:proofErr w:type="gramEnd"/>
            <w:r w:rsidRPr="00C4084C">
              <w:t xml:space="preserve"> and performance </w:t>
            </w:r>
          </w:p>
          <w:p w14:paraId="16161A3F" w14:textId="2E1EAF72" w:rsidR="00FA5EFE" w:rsidRPr="00C4084C" w:rsidRDefault="00FA5EFE">
            <w:pPr>
              <w:pStyle w:val="List3"/>
              <w:spacing w:after="0"/>
            </w:pPr>
            <w:r w:rsidRPr="00C4084C">
              <w:t>improving data and metrics</w:t>
            </w:r>
          </w:p>
          <w:p w14:paraId="68F998E8" w14:textId="6A3D7391" w:rsidR="00FA5EFE" w:rsidRPr="00C4084C" w:rsidRDefault="00FA5EFE">
            <w:pPr>
              <w:pStyle w:val="List2"/>
              <w:rPr>
                <w:rFonts w:eastAsia="Yu Gothic Light" w:cs="Times New Roman"/>
              </w:rPr>
            </w:pPr>
            <w:proofErr w:type="gramStart"/>
            <w:r w:rsidRPr="00C4084C">
              <w:rPr>
                <w:rStyle w:val="normaltextrun"/>
                <w:rFonts w:ascii="Calibri" w:hAnsi="Calibri" w:cs="Calibri"/>
              </w:rPr>
              <w:t xml:space="preserve">The </w:t>
            </w:r>
            <w:r w:rsidRPr="00C4084C">
              <w:rPr>
                <w:rFonts w:eastAsia="Yu Gothic Light" w:cs="Times New Roman"/>
                <w:bCs/>
              </w:rPr>
              <w:t>majority of</w:t>
            </w:r>
            <w:proofErr w:type="gramEnd"/>
            <w:r w:rsidRPr="00C4084C">
              <w:rPr>
                <w:rFonts w:eastAsia="Yu Gothic Light" w:cs="Times New Roman"/>
                <w:bCs/>
              </w:rPr>
              <w:t xml:space="preserve"> the</w:t>
            </w:r>
            <w:r w:rsidRPr="00C4084C" w:rsidDel="00461566">
              <w:rPr>
                <w:rFonts w:eastAsia="Yu Gothic Light" w:cs="Times New Roman"/>
                <w:bCs/>
              </w:rPr>
              <w:t xml:space="preserve"> </w:t>
            </w:r>
            <w:r w:rsidRPr="00C4084C">
              <w:rPr>
                <w:rFonts w:eastAsia="Yu Gothic Light" w:cs="Times New Roman"/>
                <w:bCs/>
              </w:rPr>
              <w:t>Australian Tertiary Education Commission’s function</w:t>
            </w:r>
            <w:r w:rsidR="00506C5F" w:rsidRPr="00C4084C">
              <w:rPr>
                <w:rFonts w:eastAsia="Yu Gothic Light" w:cs="Times New Roman"/>
                <w:bCs/>
              </w:rPr>
              <w:t>s</w:t>
            </w:r>
            <w:r w:rsidRPr="00C4084C">
              <w:rPr>
                <w:rFonts w:eastAsia="Yu Gothic Light" w:cs="Times New Roman"/>
                <w:bCs/>
              </w:rPr>
              <w:t xml:space="preserve"> will start in higher education with additional priorities aimed at achieving higher levels of tertiary education system alignment, </w:t>
            </w:r>
            <w:r w:rsidRPr="00C4084C">
              <w:rPr>
                <w:rFonts w:eastAsia="Yu Gothic Light" w:cs="Times New Roman"/>
              </w:rPr>
              <w:t xml:space="preserve">focused on student pathways, credit recognition and the Australian Qualifications Framework. </w:t>
            </w:r>
            <w:r w:rsidR="004100B6" w:rsidRPr="00C4084C">
              <w:rPr>
                <w:rFonts w:eastAsia="Yu Gothic Light" w:cs="Times New Roman"/>
              </w:rPr>
              <w:t>T</w:t>
            </w:r>
            <w:r w:rsidRPr="00C4084C">
              <w:rPr>
                <w:rFonts w:eastAsia="Yu Gothic Light" w:cs="Times New Roman"/>
              </w:rPr>
              <w:t xml:space="preserve">he Australian Government should </w:t>
            </w:r>
            <w:r w:rsidR="004100B6" w:rsidRPr="00C4084C">
              <w:rPr>
                <w:rFonts w:eastAsia="Yu Gothic Light" w:cs="Times New Roman"/>
              </w:rPr>
              <w:t>also</w:t>
            </w:r>
            <w:r w:rsidR="00417BEC" w:rsidRPr="00C4084C">
              <w:rPr>
                <w:rFonts w:eastAsia="Yu Gothic Light" w:cs="Times New Roman"/>
              </w:rPr>
              <w:t xml:space="preserve"> </w:t>
            </w:r>
            <w:r w:rsidRPr="00C4084C">
              <w:rPr>
                <w:rFonts w:eastAsia="Yu Gothic Light" w:cs="Times New Roman"/>
              </w:rPr>
              <w:t xml:space="preserve">negotiate with </w:t>
            </w:r>
            <w:r w:rsidR="007A54CC" w:rsidRPr="00C4084C">
              <w:rPr>
                <w:rFonts w:eastAsia="Yu Gothic Light" w:cs="Times New Roman"/>
              </w:rPr>
              <w:t xml:space="preserve">states </w:t>
            </w:r>
            <w:r w:rsidRPr="00C4084C">
              <w:rPr>
                <w:rFonts w:eastAsia="Yu Gothic Light" w:cs="Times New Roman"/>
              </w:rPr>
              <w:t xml:space="preserve">and </w:t>
            </w:r>
            <w:r w:rsidR="007A54CC" w:rsidRPr="00C4084C">
              <w:rPr>
                <w:rFonts w:eastAsia="Yu Gothic Light" w:cs="Times New Roman"/>
              </w:rPr>
              <w:t xml:space="preserve">territories </w:t>
            </w:r>
            <w:r w:rsidRPr="00C4084C">
              <w:rPr>
                <w:rFonts w:eastAsia="Yu Gothic Light" w:cs="Times New Roman"/>
              </w:rPr>
              <w:t xml:space="preserve">to expand the Australian Tertiary Education Commission’s role to focus on the whole tertiary education system, with </w:t>
            </w:r>
            <w:r w:rsidR="00BA6298" w:rsidRPr="00C4084C">
              <w:rPr>
                <w:rFonts w:eastAsia="Yu Gothic Light" w:cs="Times New Roman"/>
                <w:bCs/>
              </w:rPr>
              <w:t xml:space="preserve">governance arrangements </w:t>
            </w:r>
            <w:r w:rsidR="0009158B" w:rsidRPr="00C4084C">
              <w:rPr>
                <w:rFonts w:eastAsia="Yu Gothic Light" w:cs="Times New Roman"/>
                <w:bCs/>
              </w:rPr>
              <w:t xml:space="preserve">reflecting the ongoing role of all jurisdictions in its future, </w:t>
            </w:r>
            <w:r w:rsidR="00BA6298" w:rsidRPr="00C4084C">
              <w:rPr>
                <w:rFonts w:eastAsia="Yu Gothic Light" w:cs="Times New Roman"/>
                <w:bCs/>
              </w:rPr>
              <w:t>and</w:t>
            </w:r>
            <w:r w:rsidR="00BA6298" w:rsidRPr="00C4084C">
              <w:rPr>
                <w:rFonts w:eastAsia="Yu Gothic Light" w:cs="Times New Roman"/>
              </w:rPr>
              <w:t xml:space="preserve"> </w:t>
            </w:r>
            <w:r w:rsidRPr="00C4084C">
              <w:rPr>
                <w:rFonts w:eastAsia="Yu Gothic Light" w:cs="Times New Roman"/>
              </w:rPr>
              <w:t>with expansion to take effect in the context of the next National Skills Agreement</w:t>
            </w:r>
          </w:p>
          <w:p w14:paraId="4A6BFB0F" w14:textId="528762A2" w:rsidR="00FA5EFE" w:rsidRPr="00C4084C" w:rsidRDefault="00FA5EFE">
            <w:pPr>
              <w:pStyle w:val="List2"/>
              <w:rPr>
                <w:rFonts w:eastAsia="Yu Gothic Light" w:cs="Times New Roman"/>
              </w:rPr>
            </w:pPr>
            <w:r w:rsidRPr="00C4084C">
              <w:rPr>
                <w:rFonts w:eastAsia="Yu Gothic Light" w:cs="Times New Roman"/>
              </w:rPr>
              <w:t xml:space="preserve">The Australian Tertiary Education Commission should be reviewed every 5 years of </w:t>
            </w:r>
            <w:proofErr w:type="gramStart"/>
            <w:r w:rsidRPr="00C4084C">
              <w:rPr>
                <w:rFonts w:eastAsia="Yu Gothic Light" w:cs="Times New Roman"/>
              </w:rPr>
              <w:t>operation</w:t>
            </w:r>
            <w:proofErr w:type="gramEnd"/>
          </w:p>
          <w:p w14:paraId="2B8B552D" w14:textId="2EDFBC57" w:rsidR="00FA5EFE" w:rsidRPr="00C4084C" w:rsidRDefault="00FA5EFE">
            <w:pPr>
              <w:pStyle w:val="List2"/>
              <w:rPr>
                <w:rFonts w:eastAsia="Yu Gothic Light" w:cs="Times New Roman"/>
              </w:rPr>
            </w:pPr>
            <w:r w:rsidRPr="00C4084C">
              <w:rPr>
                <w:rFonts w:eastAsia="Yu Gothic Light" w:cs="Times New Roman"/>
              </w:rPr>
              <w:t xml:space="preserve">To ensure the Australian Tertiary Education Commission has a comprehensive view of the whole tertiary education system, the Tertiary Education Quality and Standards Agency (TEQSA) and the Australian Research Council should form part of the Commission, </w:t>
            </w:r>
            <w:r w:rsidR="00495C9E" w:rsidRPr="00C4084C">
              <w:rPr>
                <w:rFonts w:eastAsia="Yu Gothic Light" w:cs="Times New Roman"/>
              </w:rPr>
              <w:t>a</w:t>
            </w:r>
            <w:r w:rsidRPr="00C4084C">
              <w:rPr>
                <w:rFonts w:eastAsia="Yu Gothic Light" w:cs="Times New Roman"/>
              </w:rPr>
              <w:t xml:space="preserve">s independent statutory bodies under </w:t>
            </w:r>
            <w:r w:rsidR="00495C9E" w:rsidRPr="00C4084C">
              <w:rPr>
                <w:rFonts w:eastAsia="Yu Gothic Light" w:cs="Times New Roman"/>
              </w:rPr>
              <w:t>its</w:t>
            </w:r>
            <w:r w:rsidRPr="00C4084C">
              <w:rPr>
                <w:rFonts w:eastAsia="Yu Gothic Light" w:cs="Times New Roman"/>
              </w:rPr>
              <w:t xml:space="preserve"> umbrella, with each Chair becoming a dedicated Commissioner and retaining their legislated </w:t>
            </w:r>
            <w:proofErr w:type="gramStart"/>
            <w:r w:rsidRPr="00C4084C">
              <w:rPr>
                <w:rFonts w:eastAsia="Yu Gothic Light" w:cs="Times New Roman"/>
              </w:rPr>
              <w:t>roles</w:t>
            </w:r>
            <w:proofErr w:type="gramEnd"/>
            <w:r w:rsidRPr="00C4084C">
              <w:rPr>
                <w:rFonts w:eastAsia="Yu Gothic Light" w:cs="Times New Roman"/>
              </w:rPr>
              <w:t xml:space="preserve"> </w:t>
            </w:r>
          </w:p>
          <w:p w14:paraId="1B4F7A50" w14:textId="58492720" w:rsidR="00FA5EFE" w:rsidRPr="00C4084C" w:rsidRDefault="00FA5EFE">
            <w:pPr>
              <w:pStyle w:val="List2"/>
              <w:rPr>
                <w:rFonts w:eastAsia="Yu Gothic Light" w:cs="Times New Roman"/>
              </w:rPr>
            </w:pPr>
            <w:r w:rsidRPr="00C4084C">
              <w:rPr>
                <w:rFonts w:eastAsia="Yu Gothic Light" w:cs="Times New Roman"/>
              </w:rPr>
              <w:lastRenderedPageBreak/>
              <w:t xml:space="preserve">Governments should also consider the desirability and timing of bringing the Australian Skills Quality Authority into the Australian Tertiary Education Commission in order to reduce regulatory </w:t>
            </w:r>
            <w:proofErr w:type="gramStart"/>
            <w:r w:rsidRPr="00C4084C">
              <w:rPr>
                <w:rFonts w:eastAsia="Yu Gothic Light" w:cs="Times New Roman"/>
              </w:rPr>
              <w:t>duplication</w:t>
            </w:r>
            <w:proofErr w:type="gramEnd"/>
          </w:p>
          <w:p w14:paraId="5314162B" w14:textId="096EE872" w:rsidR="00FA5EFE" w:rsidRPr="00C4084C" w:rsidRDefault="00FA5EFE">
            <w:pPr>
              <w:pStyle w:val="List2"/>
              <w:rPr>
                <w:rFonts w:eastAsia="Yu Gothic Light" w:cs="Times New Roman"/>
              </w:rPr>
            </w:pPr>
            <w:r w:rsidRPr="00C4084C">
              <w:rPr>
                <w:rFonts w:eastAsia="Yu Gothic Light" w:cs="Times New Roman"/>
              </w:rPr>
              <w:t>The Australian Tertiary Education Commission should be governed by a Board</w:t>
            </w:r>
            <w:r w:rsidR="001714A8" w:rsidRPr="00C4084C">
              <w:rPr>
                <w:rFonts w:eastAsia="Yu Gothic Light" w:cs="Times New Roman"/>
              </w:rPr>
              <w:t xml:space="preserve"> comprising the</w:t>
            </w:r>
            <w:r w:rsidRPr="00C4084C">
              <w:rPr>
                <w:rFonts w:eastAsia="Yu Gothic Light" w:cs="Times New Roman"/>
              </w:rPr>
              <w:t xml:space="preserve"> Chief Commissioner</w:t>
            </w:r>
            <w:r w:rsidR="001714A8" w:rsidRPr="00C4084C">
              <w:rPr>
                <w:rFonts w:eastAsia="Yu Gothic Light" w:cs="Times New Roman"/>
              </w:rPr>
              <w:t xml:space="preserve"> as Chair</w:t>
            </w:r>
            <w:r w:rsidRPr="00C4084C">
              <w:rPr>
                <w:rFonts w:eastAsia="Yu Gothic Light" w:cs="Times New Roman"/>
              </w:rPr>
              <w:t xml:space="preserve">, 2 Deputy Commissioners, the TEQSA Chief Commissioner, the ARC Board Chair, a First Nations Commissioner, an Equity </w:t>
            </w:r>
            <w:proofErr w:type="gramStart"/>
            <w:r w:rsidRPr="00C4084C">
              <w:rPr>
                <w:rFonts w:eastAsia="Yu Gothic Light" w:cs="Times New Roman"/>
              </w:rPr>
              <w:t>Commissioner</w:t>
            </w:r>
            <w:proofErr w:type="gramEnd"/>
            <w:r w:rsidRPr="00C4084C">
              <w:rPr>
                <w:rFonts w:eastAsia="Yu Gothic Light" w:cs="Times New Roman"/>
              </w:rPr>
              <w:t xml:space="preserve"> and the Regional Education Commissioner. Most commissioners would be fractional or part-time. The day-to-day administration of the Australian Tertiary Education Commission would be handled by a full-time </w:t>
            </w:r>
            <w:proofErr w:type="gramStart"/>
            <w:r w:rsidRPr="00C4084C">
              <w:rPr>
                <w:rFonts w:eastAsia="Yu Gothic Light" w:cs="Times New Roman"/>
              </w:rPr>
              <w:t>CEO</w:t>
            </w:r>
            <w:proofErr w:type="gramEnd"/>
          </w:p>
          <w:p w14:paraId="44A357EC" w14:textId="77777777" w:rsidR="00FA5EFE" w:rsidRPr="00C4084C" w:rsidRDefault="00FA5EFE">
            <w:pPr>
              <w:pStyle w:val="List2"/>
              <w:rPr>
                <w:rFonts w:eastAsia="Yu Gothic Light" w:cs="Times New Roman"/>
              </w:rPr>
            </w:pPr>
            <w:r w:rsidRPr="00C4084C">
              <w:rPr>
                <w:rFonts w:eastAsia="Yu Gothic Light" w:cs="Times New Roman"/>
              </w:rPr>
              <w:t>The Australian Tertiary Education Commission should seek the views of a wide range of stakeholders in the tertiary education system, through:</w:t>
            </w:r>
          </w:p>
          <w:p w14:paraId="4970CC94" w14:textId="0291FBE2" w:rsidR="00FA5EFE" w:rsidRPr="00C4084C" w:rsidRDefault="00FA5EFE">
            <w:pPr>
              <w:pStyle w:val="List3"/>
            </w:pPr>
            <w:r w:rsidRPr="00C4084C">
              <w:t xml:space="preserve">an ongoing Advisory Board, with representatives from tertiary education providers, all Australian governments, students, staff, employers (including business and industry representatives), unions, alumni and civil society </w:t>
            </w:r>
            <w:proofErr w:type="gramStart"/>
            <w:r w:rsidRPr="00C4084C">
              <w:t>organisations</w:t>
            </w:r>
            <w:proofErr w:type="gramEnd"/>
            <w:r w:rsidRPr="00C4084C">
              <w:t> </w:t>
            </w:r>
          </w:p>
          <w:p w14:paraId="07652D6D" w14:textId="77777777" w:rsidR="00FA5EFE" w:rsidRPr="00C4084C" w:rsidRDefault="00FA5EFE">
            <w:pPr>
              <w:pStyle w:val="List3"/>
            </w:pPr>
            <w:r w:rsidRPr="00C4084C">
              <w:t>a First Nations Council</w:t>
            </w:r>
          </w:p>
          <w:p w14:paraId="4F8C520A" w14:textId="77777777" w:rsidR="00FA5EFE" w:rsidRPr="00C4084C" w:rsidRDefault="00FA5EFE">
            <w:pPr>
              <w:pStyle w:val="List3"/>
            </w:pPr>
            <w:r w:rsidRPr="00C4084C">
              <w:t>a Learning and Teaching Council</w:t>
            </w:r>
          </w:p>
          <w:p w14:paraId="55342040" w14:textId="7ED80D84" w:rsidR="00FA5EFE" w:rsidRPr="00C4084C" w:rsidRDefault="00FA5EFE">
            <w:pPr>
              <w:pStyle w:val="List3"/>
              <w:spacing w:after="0"/>
            </w:pPr>
            <w:r w:rsidRPr="00C4084C">
              <w:t xml:space="preserve">regular engagement with representatives from key stakeholders covering learning and teaching, research, equity, regional issues, and private tertiary education </w:t>
            </w:r>
            <w:proofErr w:type="gramStart"/>
            <w:r w:rsidRPr="00C4084C">
              <w:t>providers</w:t>
            </w:r>
            <w:proofErr w:type="gramEnd"/>
          </w:p>
          <w:p w14:paraId="0867F295" w14:textId="4A8F11B4" w:rsidR="009C7036" w:rsidRPr="00C4084C" w:rsidDel="00882244" w:rsidRDefault="00FA5EFE" w:rsidP="00401B26">
            <w:pPr>
              <w:pStyle w:val="List2"/>
            </w:pPr>
            <w:r w:rsidRPr="00C4084C">
              <w:t>Through the pricing authority function, the Australian Tertiary Education Commission should develop a deep understanding of the true costs of delivery of the range of activities across the tertiary education system, with a priority on pricing issues in higher education related to learning and teaching, additional support for under-represented students, regional delivery, and the full economic cost of research</w:t>
            </w:r>
            <w:r w:rsidR="00401B26" w:rsidRPr="00C4084C">
              <w:t>.</w:t>
            </w:r>
          </w:p>
        </w:tc>
      </w:tr>
    </w:tbl>
    <w:p w14:paraId="5B40702B" w14:textId="77777777" w:rsidR="00C40AC1" w:rsidRPr="00C4084C" w:rsidRDefault="00C40AC1" w:rsidP="00C40AC1">
      <w:pPr>
        <w:pStyle w:val="Rec-frontmatternonheading"/>
      </w:pPr>
      <w:r w:rsidRPr="00C4084C">
        <w:lastRenderedPageBreak/>
        <w:t>Improving workforce capability and capacity</w:t>
      </w:r>
    </w:p>
    <w:tbl>
      <w:tblPr>
        <w:tblW w:w="0" w:type="auto"/>
        <w:shd w:val="clear" w:color="auto" w:fill="FBE4D5"/>
        <w:tblLook w:val="04A0" w:firstRow="1" w:lastRow="0" w:firstColumn="1" w:lastColumn="0" w:noHBand="0" w:noVBand="1"/>
      </w:tblPr>
      <w:tblGrid>
        <w:gridCol w:w="9026"/>
      </w:tblGrid>
      <w:tr w:rsidR="00C40AC1" w:rsidRPr="00C4084C" w14:paraId="48C1DFA7" w14:textId="77777777" w:rsidTr="00D26B82">
        <w:tc>
          <w:tcPr>
            <w:tcW w:w="9026" w:type="dxa"/>
            <w:shd w:val="clear" w:color="auto" w:fill="FEECDF"/>
          </w:tcPr>
          <w:p w14:paraId="521C13F6" w14:textId="77777777" w:rsidR="00C40AC1" w:rsidRPr="00C4084C" w:rsidRDefault="00C40AC1">
            <w:pPr>
              <w:pStyle w:val="List"/>
              <w:spacing w:before="240" w:after="0"/>
            </w:pPr>
            <w:r w:rsidRPr="00C4084C">
              <w:t>That to improve capability and capacity of the workforce, higher education providers with Australian Government support:</w:t>
            </w:r>
          </w:p>
          <w:p w14:paraId="1A36A541" w14:textId="77777777" w:rsidR="00C40AC1" w:rsidRPr="00C4084C" w:rsidRDefault="00C40AC1">
            <w:pPr>
              <w:pStyle w:val="List2"/>
            </w:pPr>
            <w:r w:rsidRPr="00C4084C">
              <w:t xml:space="preserve">develop professional learning and teaching standards for </w:t>
            </w:r>
            <w:proofErr w:type="gramStart"/>
            <w:r w:rsidRPr="00C4084C">
              <w:t>academics</w:t>
            </w:r>
            <w:proofErr w:type="gramEnd"/>
          </w:p>
          <w:p w14:paraId="3D6E5CC5" w14:textId="77777777" w:rsidR="00C40AC1" w:rsidRPr="00C4084C" w:rsidRDefault="00C40AC1">
            <w:pPr>
              <w:pStyle w:val="List2"/>
            </w:pPr>
            <w:r w:rsidRPr="00C4084C">
              <w:t xml:space="preserve">encourage minimum teaching qualifications for higher education teaching </w:t>
            </w:r>
            <w:proofErr w:type="gramStart"/>
            <w:r w:rsidRPr="00C4084C">
              <w:t>roles</w:t>
            </w:r>
            <w:proofErr w:type="gramEnd"/>
          </w:p>
          <w:p w14:paraId="4DE9C735" w14:textId="77777777" w:rsidR="00C40AC1" w:rsidRPr="00C4084C" w:rsidRDefault="00C40AC1">
            <w:pPr>
              <w:pStyle w:val="List2"/>
            </w:pPr>
            <w:r w:rsidRPr="00C4084C">
              <w:t xml:space="preserve">improve professional development for all </w:t>
            </w:r>
            <w:proofErr w:type="gramStart"/>
            <w:r w:rsidRPr="00C4084C">
              <w:t>staff</w:t>
            </w:r>
            <w:proofErr w:type="gramEnd"/>
          </w:p>
          <w:p w14:paraId="1C8C2DB3" w14:textId="77777777" w:rsidR="00C40AC1" w:rsidRPr="00C4084C" w:rsidDel="00882244" w:rsidRDefault="00C40AC1">
            <w:pPr>
              <w:pStyle w:val="List2"/>
            </w:pPr>
            <w:r w:rsidRPr="00C4084C">
              <w:t>provide opportunities for higher education staff to access training in research and research training, management, and learning and teaching.</w:t>
            </w:r>
          </w:p>
        </w:tc>
      </w:tr>
    </w:tbl>
    <w:p w14:paraId="20E69EB6" w14:textId="612E95D4" w:rsidR="0008121E" w:rsidRPr="00C4084C" w:rsidRDefault="0008121E" w:rsidP="000B4420">
      <w:pPr>
        <w:pStyle w:val="Rec-frontmatternonheading"/>
      </w:pPr>
      <w:r w:rsidRPr="00C4084C">
        <w:t>Centre of Excellence in Higher Education and Research</w:t>
      </w:r>
    </w:p>
    <w:tbl>
      <w:tblPr>
        <w:tblW w:w="0" w:type="auto"/>
        <w:shd w:val="clear" w:color="auto" w:fill="FBE4D5"/>
        <w:tblLook w:val="04A0" w:firstRow="1" w:lastRow="0" w:firstColumn="1" w:lastColumn="0" w:noHBand="0" w:noVBand="1"/>
      </w:tblPr>
      <w:tblGrid>
        <w:gridCol w:w="9026"/>
      </w:tblGrid>
      <w:tr w:rsidR="0008121E" w:rsidRPr="00C4084C" w14:paraId="70261D6B" w14:textId="77777777" w:rsidTr="00D26B82">
        <w:tc>
          <w:tcPr>
            <w:tcW w:w="9026" w:type="dxa"/>
            <w:shd w:val="clear" w:color="auto" w:fill="FEECDF"/>
          </w:tcPr>
          <w:p w14:paraId="3918313F" w14:textId="3578CAC5" w:rsidR="0008121E" w:rsidRPr="00C4084C" w:rsidDel="00882244" w:rsidRDefault="0008121E">
            <w:pPr>
              <w:pStyle w:val="List"/>
              <w:spacing w:before="240"/>
            </w:pPr>
            <w:r w:rsidRPr="00C4084C">
              <w:t>That to build the evidence and expertise base necessary to support the Australian Tertiary Education Commission’</w:t>
            </w:r>
            <w:r w:rsidR="007A54CC" w:rsidRPr="00C4084C">
              <w:t>s</w:t>
            </w:r>
            <w:r w:rsidRPr="00C4084C">
              <w:t xml:space="preserve"> core functions, the Australian Government establish a Centre of Excellence in Higher Education and Research. </w:t>
            </w:r>
          </w:p>
        </w:tc>
      </w:tr>
    </w:tbl>
    <w:p w14:paraId="262F087C" w14:textId="397A38ED" w:rsidR="000B4420" w:rsidRPr="00C4084C" w:rsidRDefault="000B4420" w:rsidP="000B4420">
      <w:pPr>
        <w:pStyle w:val="Rec-frontmatternonheading"/>
      </w:pPr>
      <w:r w:rsidRPr="00C4084C">
        <w:t>Tertiary Education Racism Study </w:t>
      </w:r>
    </w:p>
    <w:tbl>
      <w:tblPr>
        <w:tblW w:w="0" w:type="auto"/>
        <w:shd w:val="clear" w:color="auto" w:fill="FBE4D5"/>
        <w:tblLook w:val="04A0" w:firstRow="1" w:lastRow="0" w:firstColumn="1" w:lastColumn="0" w:noHBand="0" w:noVBand="1"/>
      </w:tblPr>
      <w:tblGrid>
        <w:gridCol w:w="9026"/>
      </w:tblGrid>
      <w:tr w:rsidR="000B4420" w:rsidRPr="00C4084C" w14:paraId="46E94C01" w14:textId="77777777" w:rsidTr="00D26B82">
        <w:tc>
          <w:tcPr>
            <w:tcW w:w="9026" w:type="dxa"/>
            <w:shd w:val="clear" w:color="auto" w:fill="FEECDF"/>
          </w:tcPr>
          <w:p w14:paraId="75653684" w14:textId="77777777" w:rsidR="000B4420" w:rsidRPr="00C4084C" w:rsidDel="00882244" w:rsidRDefault="000B4420">
            <w:pPr>
              <w:pStyle w:val="List"/>
              <w:spacing w:before="240"/>
            </w:pPr>
            <w:r w:rsidRPr="00C4084C">
              <w:t xml:space="preserve">That to contribute to making the tertiary education system as safe as possible for students and staff, the Australian Government conduct a study into the prevalence and impact of racism across the tertiary education system, on campus and online, guided by an expert </w:t>
            </w:r>
            <w:r w:rsidRPr="00C4084C">
              <w:lastRenderedPageBreak/>
              <w:t>committee with representation from a wide range of stakeholder groups, with the Australian Tertiary Education Commission tasked with leading the response and acting on the outcomes.</w:t>
            </w:r>
          </w:p>
        </w:tc>
      </w:tr>
    </w:tbl>
    <w:p w14:paraId="048734BA" w14:textId="77777777" w:rsidR="00FA5EFE" w:rsidRPr="00C4084C" w:rsidRDefault="00FA5EFE" w:rsidP="00FA5EFE">
      <w:pPr>
        <w:pStyle w:val="Rec-frontmatternonheading"/>
      </w:pPr>
      <w:r w:rsidRPr="00C4084C">
        <w:lastRenderedPageBreak/>
        <w:t>A First Nations-led review </w:t>
      </w:r>
    </w:p>
    <w:tbl>
      <w:tblPr>
        <w:tblW w:w="0" w:type="auto"/>
        <w:shd w:val="clear" w:color="auto" w:fill="FBE4D5"/>
        <w:tblLook w:val="04A0" w:firstRow="1" w:lastRow="0" w:firstColumn="1" w:lastColumn="0" w:noHBand="0" w:noVBand="1"/>
      </w:tblPr>
      <w:tblGrid>
        <w:gridCol w:w="9026"/>
      </w:tblGrid>
      <w:tr w:rsidR="00FA5EFE" w:rsidRPr="00C4084C" w14:paraId="0D322B7B" w14:textId="77777777" w:rsidTr="00D26B82">
        <w:tc>
          <w:tcPr>
            <w:tcW w:w="9026" w:type="dxa"/>
            <w:shd w:val="clear" w:color="auto" w:fill="FEECDF"/>
          </w:tcPr>
          <w:p w14:paraId="51FE7B51" w14:textId="77777777" w:rsidR="00FA5EFE" w:rsidRPr="00C4084C" w:rsidRDefault="00FA5EFE">
            <w:pPr>
              <w:pStyle w:val="List"/>
              <w:spacing w:before="240" w:after="0"/>
            </w:pPr>
            <w:r w:rsidRPr="00C4084C">
              <w:t>To deliver on the commitment to self-determination for First Nations people, the Australian Government commission a First Nations-led review of higher education in consultation with relevant First Nations stakeholder groups with terms of reference that include:</w:t>
            </w:r>
          </w:p>
          <w:p w14:paraId="2ACDB1A9" w14:textId="77777777" w:rsidR="00FA5EFE" w:rsidRPr="00C4084C" w:rsidRDefault="00FA5EFE">
            <w:pPr>
              <w:pStyle w:val="List2"/>
            </w:pPr>
            <w:r w:rsidRPr="00C4084C">
              <w:t>national system level changes including:</w:t>
            </w:r>
          </w:p>
          <w:p w14:paraId="30257511" w14:textId="77777777" w:rsidR="00FA5EFE" w:rsidRPr="00C4084C" w:rsidRDefault="00FA5EFE">
            <w:pPr>
              <w:pStyle w:val="List3"/>
            </w:pPr>
            <w:r w:rsidRPr="00C4084C">
              <w:t>moving toward a self-determined approach to funding and policy settings</w:t>
            </w:r>
          </w:p>
          <w:p w14:paraId="2808CA65" w14:textId="7607ADD9" w:rsidR="00FA5EFE" w:rsidRPr="00C4084C" w:rsidRDefault="00FA5EFE">
            <w:pPr>
              <w:pStyle w:val="List3"/>
            </w:pPr>
            <w:r w:rsidRPr="00C4084C">
              <w:t xml:space="preserve">removing barriers around access, </w:t>
            </w:r>
            <w:proofErr w:type="gramStart"/>
            <w:r w:rsidRPr="00C4084C">
              <w:t>participation</w:t>
            </w:r>
            <w:proofErr w:type="gramEnd"/>
            <w:r w:rsidRPr="00C4084C">
              <w:t xml:space="preserve"> and outcomes</w:t>
            </w:r>
          </w:p>
          <w:p w14:paraId="74494786" w14:textId="77777777" w:rsidR="00FA5EFE" w:rsidRPr="00C4084C" w:rsidRDefault="00FA5EFE">
            <w:pPr>
              <w:pStyle w:val="List3"/>
            </w:pPr>
            <w:r w:rsidRPr="00C4084C">
              <w:t>the role of institutions such as the Batchelor Institute of Indigenous Tertiary Education and the Australian Institute for Aboriginal and Torres Strait Islander Studies</w:t>
            </w:r>
          </w:p>
          <w:p w14:paraId="3A49E0C8" w14:textId="418B7252" w:rsidR="00FA5EFE" w:rsidRPr="00C4084C" w:rsidRDefault="00FA5EFE">
            <w:pPr>
              <w:pStyle w:val="List3"/>
              <w:spacing w:after="0"/>
            </w:pPr>
            <w:r w:rsidRPr="00C4084C">
              <w:t>the need for a national centre for First Nations student research</w:t>
            </w:r>
          </w:p>
          <w:p w14:paraId="3F41314C" w14:textId="77777777" w:rsidR="00FA5EFE" w:rsidRPr="00C4084C" w:rsidRDefault="00FA5EFE">
            <w:pPr>
              <w:pStyle w:val="List2"/>
            </w:pPr>
            <w:r w:rsidRPr="00C4084C">
              <w:t>strengthening First Nations knowledges and research including around:</w:t>
            </w:r>
          </w:p>
          <w:p w14:paraId="430D05E1" w14:textId="77777777" w:rsidR="00FA5EFE" w:rsidRPr="00C4084C" w:rsidRDefault="00FA5EFE">
            <w:pPr>
              <w:pStyle w:val="List3"/>
              <w:rPr>
                <w:rStyle w:val="normaltextrun"/>
              </w:rPr>
            </w:pPr>
            <w:r w:rsidRPr="00C4084C">
              <w:rPr>
                <w:rStyle w:val="normaltextrun"/>
              </w:rPr>
              <w:t>First Nations workforce and the pipeline of early career First Nations researchers</w:t>
            </w:r>
          </w:p>
          <w:p w14:paraId="65A75756" w14:textId="77777777" w:rsidR="00FA5EFE" w:rsidRPr="00C4084C" w:rsidRDefault="00FA5EFE">
            <w:pPr>
              <w:pStyle w:val="List3"/>
              <w:rPr>
                <w:rStyle w:val="normaltextrun"/>
              </w:rPr>
            </w:pPr>
            <w:r w:rsidRPr="00C4084C">
              <w:rPr>
                <w:rStyle w:val="normaltextrun"/>
              </w:rPr>
              <w:t>allocation of competitive research grants to First Nations research</w:t>
            </w:r>
          </w:p>
          <w:p w14:paraId="626A78BF" w14:textId="77777777" w:rsidR="00AD35EC" w:rsidRPr="00C4084C" w:rsidRDefault="00FA5EFE">
            <w:pPr>
              <w:pStyle w:val="List3"/>
              <w:rPr>
                <w:rStyle w:val="normaltextrun"/>
              </w:rPr>
            </w:pPr>
            <w:r w:rsidRPr="00C4084C">
              <w:rPr>
                <w:rStyle w:val="normaltextrun"/>
              </w:rPr>
              <w:t>enhancing research capability for First Nations knowledges</w:t>
            </w:r>
          </w:p>
          <w:p w14:paraId="5FCE6CD6" w14:textId="6489ECA2" w:rsidR="00FA5EFE" w:rsidRPr="00C4084C" w:rsidDel="00882244" w:rsidRDefault="00AD35EC">
            <w:pPr>
              <w:pStyle w:val="List3"/>
            </w:pPr>
            <w:r w:rsidRPr="00C4084C">
              <w:rPr>
                <w:rStyle w:val="normaltextrun"/>
                <w:rFonts w:eastAsia="Times New Roman"/>
                <w:bCs/>
                <w:iCs/>
              </w:rPr>
              <w:t>i</w:t>
            </w:r>
            <w:r w:rsidRPr="00C4084C">
              <w:rPr>
                <w:rStyle w:val="normaltextrun"/>
                <w:rFonts w:eastAsia="Times New Roman"/>
                <w:iCs/>
              </w:rPr>
              <w:t>ntroduction of a</w:t>
            </w:r>
            <w:r w:rsidRPr="00C4084C">
              <w:rPr>
                <w:rStyle w:val="eop"/>
              </w:rPr>
              <w:t xml:space="preserve"> First Nations graduate attribute</w:t>
            </w:r>
            <w:r w:rsidR="00FA5EFE" w:rsidRPr="00C4084C">
              <w:rPr>
                <w:rStyle w:val="normaltextrun"/>
              </w:rPr>
              <w:t>.</w:t>
            </w:r>
          </w:p>
        </w:tc>
      </w:tr>
    </w:tbl>
    <w:p w14:paraId="58BACA13" w14:textId="77777777" w:rsidR="00FA5EFE" w:rsidRPr="00C4084C" w:rsidRDefault="00FA5EFE" w:rsidP="00FA5EFE">
      <w:pPr>
        <w:pStyle w:val="Rec-frontmatternonheading"/>
      </w:pPr>
      <w:r w:rsidRPr="00C4084C">
        <w:t>First Nations governance </w:t>
      </w:r>
    </w:p>
    <w:tbl>
      <w:tblPr>
        <w:tblW w:w="0" w:type="auto"/>
        <w:shd w:val="clear" w:color="auto" w:fill="FBE4D5"/>
        <w:tblLook w:val="04A0" w:firstRow="1" w:lastRow="0" w:firstColumn="1" w:lastColumn="0" w:noHBand="0" w:noVBand="1"/>
      </w:tblPr>
      <w:tblGrid>
        <w:gridCol w:w="9026"/>
      </w:tblGrid>
      <w:tr w:rsidR="00FA5EFE" w:rsidRPr="00C4084C" w14:paraId="0E63B40F" w14:textId="77777777" w:rsidTr="00D26B82">
        <w:tc>
          <w:tcPr>
            <w:tcW w:w="9026" w:type="dxa"/>
            <w:shd w:val="clear" w:color="auto" w:fill="FEECDF"/>
          </w:tcPr>
          <w:p w14:paraId="10E7242E" w14:textId="77777777" w:rsidR="00FA5EFE" w:rsidRPr="00C4084C" w:rsidDel="00882244" w:rsidRDefault="00FA5EFE">
            <w:pPr>
              <w:pStyle w:val="List"/>
              <w:spacing w:before="240"/>
            </w:pPr>
            <w:r w:rsidRPr="00C4084C">
              <w:t>That as part of the work on strengthening university governance that resulted from the Interim Report, the Australian Government examine the representation of First Nations people in university governance and leadership positions and work with state and territory governments and universities to increase the representation of suitably qualified First Nations people.</w:t>
            </w:r>
          </w:p>
        </w:tc>
      </w:tr>
    </w:tbl>
    <w:p w14:paraId="21FF5188" w14:textId="77777777" w:rsidR="00FA5EFE" w:rsidRPr="00C4084C" w:rsidRDefault="00FA5EFE" w:rsidP="00FA5EFE">
      <w:pPr>
        <w:pStyle w:val="Rec-frontmatternonheading"/>
      </w:pPr>
      <w:r w:rsidRPr="00C4084C">
        <w:t>Data, measurement, and reporting </w:t>
      </w:r>
    </w:p>
    <w:tbl>
      <w:tblPr>
        <w:tblW w:w="0" w:type="auto"/>
        <w:shd w:val="clear" w:color="auto" w:fill="FBE4D5"/>
        <w:tblLook w:val="04A0" w:firstRow="1" w:lastRow="0" w:firstColumn="1" w:lastColumn="0" w:noHBand="0" w:noVBand="1"/>
      </w:tblPr>
      <w:tblGrid>
        <w:gridCol w:w="9026"/>
      </w:tblGrid>
      <w:tr w:rsidR="00FA5EFE" w:rsidRPr="00C4084C" w14:paraId="4CA70E9F" w14:textId="77777777" w:rsidTr="00D26B82">
        <w:tc>
          <w:tcPr>
            <w:tcW w:w="9026" w:type="dxa"/>
            <w:shd w:val="clear" w:color="auto" w:fill="FEECDF"/>
          </w:tcPr>
          <w:p w14:paraId="5AE79D14" w14:textId="77777777" w:rsidR="00FA5EFE" w:rsidRPr="00C4084C" w:rsidRDefault="00FA5EFE">
            <w:pPr>
              <w:pStyle w:val="List"/>
              <w:spacing w:before="240" w:after="0"/>
              <w:rPr>
                <w:rStyle w:val="normaltextrun"/>
              </w:rPr>
            </w:pPr>
            <w:r w:rsidRPr="00C4084C">
              <w:rPr>
                <w:rStyle w:val="normaltextrun"/>
              </w:rPr>
              <w:t xml:space="preserve">That to improve our understanding of the state of Australia’s tertiary education system, and its broad economic, </w:t>
            </w:r>
            <w:proofErr w:type="gramStart"/>
            <w:r w:rsidRPr="00C4084C">
              <w:rPr>
                <w:rStyle w:val="normaltextrun"/>
              </w:rPr>
              <w:t>social</w:t>
            </w:r>
            <w:proofErr w:type="gramEnd"/>
            <w:r w:rsidRPr="00C4084C">
              <w:rPr>
                <w:rStyle w:val="normaltextrun"/>
              </w:rPr>
              <w:t xml:space="preserve"> and environmental importance: </w:t>
            </w:r>
          </w:p>
          <w:p w14:paraId="0281FDD5" w14:textId="1DAD86E3" w:rsidR="00FA5EFE" w:rsidRPr="00C4084C" w:rsidRDefault="00FA5EFE">
            <w:pPr>
              <w:pStyle w:val="List2"/>
              <w:rPr>
                <w:rStyle w:val="normaltextrun"/>
              </w:rPr>
            </w:pPr>
            <w:r w:rsidRPr="00C4084C">
              <w:rPr>
                <w:rStyle w:val="normaltextrun"/>
              </w:rPr>
              <w:t xml:space="preserve">the Australian Government build on existing data assets to develop a fit-for-purpose, integrated and timely tertiary education data capability which can be used to understand problems, answer difficult policy questions, identify emerging issues, and monitor long term student outcomes through the education system and into post-study </w:t>
            </w:r>
            <w:proofErr w:type="gramStart"/>
            <w:r w:rsidRPr="00C4084C">
              <w:rPr>
                <w:rStyle w:val="normaltextrun"/>
              </w:rPr>
              <w:t>destinations</w:t>
            </w:r>
            <w:proofErr w:type="gramEnd"/>
          </w:p>
          <w:p w14:paraId="4FF387A1" w14:textId="77777777" w:rsidR="00FA5EFE" w:rsidRPr="00C4084C" w:rsidDel="00882244" w:rsidRDefault="00FA5EFE">
            <w:pPr>
              <w:pStyle w:val="List2"/>
            </w:pPr>
            <w:r w:rsidRPr="00C4084C">
              <w:rPr>
                <w:rStyle w:val="normaltextrun"/>
              </w:rPr>
              <w:t>the Australian Tertiary Education Commission produce an annual State of the Tertiary Education System Report and a rolling triennial planning report which will evaluate the system’s progress towards the shared goals of the Review, report on the broader performance of the system, share good practice, and identify emerging issues.</w:t>
            </w:r>
          </w:p>
        </w:tc>
      </w:tr>
    </w:tbl>
    <w:p w14:paraId="3FE8C028" w14:textId="54E0D560" w:rsidR="00FA5EFE" w:rsidRPr="00C4084C" w:rsidRDefault="00FA5EFE" w:rsidP="00FA5EFE">
      <w:pPr>
        <w:pStyle w:val="Rec-frontmatternonheading"/>
      </w:pPr>
      <w:r w:rsidRPr="00C4084C">
        <w:lastRenderedPageBreak/>
        <w:t>Planning the tertiary education system of the future</w:t>
      </w:r>
    </w:p>
    <w:tbl>
      <w:tblPr>
        <w:tblW w:w="0" w:type="auto"/>
        <w:shd w:val="clear" w:color="auto" w:fill="FBE4D5"/>
        <w:tblLook w:val="04A0" w:firstRow="1" w:lastRow="0" w:firstColumn="1" w:lastColumn="0" w:noHBand="0" w:noVBand="1"/>
      </w:tblPr>
      <w:tblGrid>
        <w:gridCol w:w="9026"/>
      </w:tblGrid>
      <w:tr w:rsidR="00FA5EFE" w:rsidRPr="00C4084C" w14:paraId="3F1DD7EC" w14:textId="77777777" w:rsidTr="00D26B82">
        <w:tc>
          <w:tcPr>
            <w:tcW w:w="9026" w:type="dxa"/>
            <w:shd w:val="clear" w:color="auto" w:fill="FEECDF"/>
          </w:tcPr>
          <w:p w14:paraId="5F208291" w14:textId="3C5D9C7B" w:rsidR="00FA5EFE" w:rsidRPr="00C4084C" w:rsidRDefault="00FA5EFE">
            <w:pPr>
              <w:pStyle w:val="List"/>
              <w:spacing w:before="240" w:after="0"/>
            </w:pPr>
            <w:r w:rsidRPr="00C4084C">
              <w:t>That in its role as the steward, the Australian Tertiary Education Commission address the appropriate diversity of tertiary education providers of varying size, shape</w:t>
            </w:r>
            <w:r w:rsidR="0038795C" w:rsidRPr="00C4084C">
              <w:t>,</w:t>
            </w:r>
            <w:r w:rsidRPr="00C4084C">
              <w:t xml:space="preserve"> </w:t>
            </w:r>
            <w:proofErr w:type="gramStart"/>
            <w:r w:rsidRPr="00C4084C">
              <w:t>purpose</w:t>
            </w:r>
            <w:proofErr w:type="gramEnd"/>
            <w:r w:rsidRPr="00C4084C">
              <w:t xml:space="preserve"> </w:t>
            </w:r>
            <w:r w:rsidR="002D703D" w:rsidRPr="00C4084C">
              <w:t>and location</w:t>
            </w:r>
            <w:r w:rsidRPr="00C4084C">
              <w:t xml:space="preserve"> to meet national and place-based needs, including by:</w:t>
            </w:r>
          </w:p>
          <w:p w14:paraId="7D3DCBD0" w14:textId="77777777" w:rsidR="00FA5EFE" w:rsidRPr="00C4084C" w:rsidRDefault="00FA5EFE">
            <w:pPr>
              <w:pStyle w:val="List2"/>
            </w:pPr>
            <w:r w:rsidRPr="00C4084C">
              <w:t xml:space="preserve">exploring the case for the establishment of new public universities in under-serviced areas, including research intensive institutions. All governments should work together closely to ensure alignment of planning priorities and </w:t>
            </w:r>
            <w:proofErr w:type="gramStart"/>
            <w:r w:rsidRPr="00C4084C">
              <w:t>resourcing</w:t>
            </w:r>
            <w:proofErr w:type="gramEnd"/>
          </w:p>
          <w:p w14:paraId="46C0F448" w14:textId="77777777" w:rsidR="00FA5EFE" w:rsidRPr="00C4084C" w:rsidRDefault="00FA5EFE">
            <w:pPr>
              <w:pStyle w:val="List2"/>
            </w:pPr>
            <w:r w:rsidRPr="00C4084C">
              <w:t xml:space="preserve">facilitating the emergence of tertiary education providers which specialise to a greater or lesser extent in teaching or </w:t>
            </w:r>
            <w:proofErr w:type="gramStart"/>
            <w:r w:rsidRPr="00C4084C">
              <w:t>research</w:t>
            </w:r>
            <w:proofErr w:type="gramEnd"/>
          </w:p>
          <w:p w14:paraId="73684299" w14:textId="77777777" w:rsidR="00FA5EFE" w:rsidRPr="00C4084C" w:rsidRDefault="00FA5EFE">
            <w:pPr>
              <w:pStyle w:val="List2"/>
            </w:pPr>
            <w:r w:rsidRPr="00C4084C">
              <w:t xml:space="preserve">facilitating the evolution of tertiary education providers to become nimble in responding to skills needs, diverse in nature and offerings, and aiming for excellence in specialised </w:t>
            </w:r>
            <w:proofErr w:type="gramStart"/>
            <w:r w:rsidRPr="00C4084C">
              <w:t>areas</w:t>
            </w:r>
            <w:proofErr w:type="gramEnd"/>
          </w:p>
          <w:p w14:paraId="01CFDCA0" w14:textId="77777777" w:rsidR="00FA5EFE" w:rsidRPr="00C4084C" w:rsidRDefault="00FA5EFE">
            <w:pPr>
              <w:pStyle w:val="List2"/>
            </w:pPr>
            <w:r w:rsidRPr="00C4084C">
              <w:t xml:space="preserve">encouraging and incentivising new models of delivery and collaboration to increase tertiary education and research provision, particularly in regional and under-serviced areas, and </w:t>
            </w:r>
            <w:proofErr w:type="gramStart"/>
            <w:r w:rsidRPr="00C4084C">
              <w:t>internationally</w:t>
            </w:r>
            <w:proofErr w:type="gramEnd"/>
          </w:p>
          <w:p w14:paraId="1E4F8F1D" w14:textId="77777777" w:rsidR="00FA5EFE" w:rsidRPr="00C4084C" w:rsidRDefault="00FA5EFE">
            <w:pPr>
              <w:pStyle w:val="List2"/>
            </w:pPr>
            <w:r w:rsidRPr="00C4084C">
              <w:t xml:space="preserve">encouraging more cross-provision of VET by higher education providers, and vice versa, such that dual sector provision becomes </w:t>
            </w:r>
            <w:proofErr w:type="gramStart"/>
            <w:r w:rsidRPr="00C4084C">
              <w:t>commonplace</w:t>
            </w:r>
            <w:proofErr w:type="gramEnd"/>
          </w:p>
          <w:p w14:paraId="6D320CB9" w14:textId="77777777" w:rsidR="00FA5EFE" w:rsidRPr="00C4084C" w:rsidRDefault="00FA5EFE">
            <w:pPr>
              <w:pStyle w:val="List2"/>
            </w:pPr>
            <w:r w:rsidRPr="00C4084C">
              <w:t>considering revisions to the Provider Category Standards to:</w:t>
            </w:r>
          </w:p>
          <w:p w14:paraId="341F0719" w14:textId="23CFE0AB" w:rsidR="00FA5EFE" w:rsidRPr="00C4084C" w:rsidRDefault="00FA5EFE">
            <w:pPr>
              <w:pStyle w:val="List3"/>
            </w:pPr>
            <w:r w:rsidRPr="00C4084C">
              <w:t>reinforce the importance of scholarship</w:t>
            </w:r>
            <w:r w:rsidR="007F4151" w:rsidRPr="00C4084C">
              <w:t xml:space="preserve"> and engagement</w:t>
            </w:r>
            <w:r w:rsidRPr="00C4084C">
              <w:t xml:space="preserve"> in all </w:t>
            </w:r>
            <w:proofErr w:type="gramStart"/>
            <w:r w:rsidRPr="00C4084C">
              <w:t>universities</w:t>
            </w:r>
            <w:proofErr w:type="gramEnd"/>
          </w:p>
          <w:p w14:paraId="25602785" w14:textId="77777777" w:rsidR="00FA5EFE" w:rsidRPr="00C4084C" w:rsidRDefault="00FA5EFE">
            <w:pPr>
              <w:pStyle w:val="List3"/>
            </w:pPr>
            <w:r w:rsidRPr="00C4084C">
              <w:t>consider relaxing the current requirement to meet benchmark levels of research in at least 3 broad Fields of Education</w:t>
            </w:r>
          </w:p>
          <w:p w14:paraId="582F7510" w14:textId="77777777" w:rsidR="00401B26" w:rsidRPr="00C4084C" w:rsidRDefault="00FA5EFE" w:rsidP="008C4411">
            <w:pPr>
              <w:pStyle w:val="List3"/>
              <w:spacing w:after="0"/>
            </w:pPr>
            <w:r w:rsidRPr="00C4084C">
              <w:t xml:space="preserve">facilitate entry for high quality applicants for university status, for example from overseas </w:t>
            </w:r>
            <w:proofErr w:type="gramStart"/>
            <w:r w:rsidRPr="00C4084C">
              <w:t>institutions</w:t>
            </w:r>
            <w:proofErr w:type="gramEnd"/>
          </w:p>
          <w:p w14:paraId="74D8E032" w14:textId="1FA55D36" w:rsidR="00FA5EFE" w:rsidRPr="00C4084C" w:rsidDel="00882244" w:rsidRDefault="00401B26" w:rsidP="008C4411">
            <w:pPr>
              <w:pStyle w:val="List2"/>
            </w:pPr>
            <w:r w:rsidRPr="00C4084C">
              <w:t xml:space="preserve">building alignment such that policy changes in relation to VET, and in relation to </w:t>
            </w:r>
            <w:r w:rsidR="005022D7" w:rsidRPr="00C4084C">
              <w:t>h</w:t>
            </w:r>
            <w:r w:rsidRPr="00C4084C">
              <w:t xml:space="preserve">igher </w:t>
            </w:r>
            <w:r w:rsidR="005022D7" w:rsidRPr="00C4084C">
              <w:t>e</w:t>
            </w:r>
            <w:r w:rsidRPr="00C4084C">
              <w:t>ducation, produce outcomes which enable both the higher education and vocational education and training</w:t>
            </w:r>
            <w:r w:rsidR="0038795C" w:rsidRPr="00C4084C">
              <w:t xml:space="preserve"> sectors</w:t>
            </w:r>
            <w:r w:rsidRPr="00C4084C">
              <w:t xml:space="preserve"> to thrive in the pursuit of growth in skills and avoid any unintended consequences that put those outcomes at risk</w:t>
            </w:r>
            <w:r w:rsidR="00FA5EFE" w:rsidRPr="00C4084C">
              <w:t>.</w:t>
            </w:r>
          </w:p>
        </w:tc>
      </w:tr>
    </w:tbl>
    <w:p w14:paraId="76F15904" w14:textId="77777777" w:rsidR="00FA5EFE" w:rsidRPr="00C4084C" w:rsidRDefault="00FA5EFE" w:rsidP="00FA5EFE">
      <w:pPr>
        <w:spacing w:after="0"/>
      </w:pPr>
    </w:p>
    <w:tbl>
      <w:tblPr>
        <w:tblW w:w="0" w:type="auto"/>
        <w:shd w:val="clear" w:color="auto" w:fill="FBE4D5"/>
        <w:tblLook w:val="04A0" w:firstRow="1" w:lastRow="0" w:firstColumn="1" w:lastColumn="0" w:noHBand="0" w:noVBand="1"/>
      </w:tblPr>
      <w:tblGrid>
        <w:gridCol w:w="9026"/>
      </w:tblGrid>
      <w:tr w:rsidR="00FA5EFE" w:rsidRPr="00C4084C" w14:paraId="717A3771" w14:textId="77777777" w:rsidTr="00D26B82">
        <w:tc>
          <w:tcPr>
            <w:tcW w:w="9026" w:type="dxa"/>
            <w:shd w:val="clear" w:color="auto" w:fill="FEECDF"/>
          </w:tcPr>
          <w:p w14:paraId="23F0D7F4" w14:textId="77777777" w:rsidR="00FA5EFE" w:rsidRPr="00C4084C" w:rsidRDefault="00FA5EFE">
            <w:pPr>
              <w:pStyle w:val="List"/>
              <w:spacing w:before="240" w:after="0"/>
            </w:pPr>
            <w:r w:rsidRPr="00C4084C">
              <w:t>That to achieve better alignment between higher education and vocational education and training and to allow TAFEs to be more responsive to student and industry needs, the Australian Government:</w:t>
            </w:r>
          </w:p>
          <w:p w14:paraId="69997BE3" w14:textId="77777777" w:rsidR="00FA5EFE" w:rsidRPr="00C4084C" w:rsidRDefault="00FA5EFE">
            <w:pPr>
              <w:pStyle w:val="List2"/>
            </w:pPr>
            <w:r w:rsidRPr="00C4084C">
              <w:t xml:space="preserve">encourage and assist TAFEs to become self-accrediting organisations in higher </w:t>
            </w:r>
            <w:proofErr w:type="gramStart"/>
            <w:r w:rsidRPr="00C4084C">
              <w:t>education</w:t>
            </w:r>
            <w:proofErr w:type="gramEnd"/>
            <w:r w:rsidRPr="00C4084C">
              <w:t xml:space="preserve"> </w:t>
            </w:r>
          </w:p>
          <w:p w14:paraId="4032A1E9" w14:textId="77777777" w:rsidR="00FA5EFE" w:rsidRPr="00C4084C" w:rsidDel="00882244" w:rsidRDefault="00FA5EFE">
            <w:pPr>
              <w:pStyle w:val="List2"/>
            </w:pPr>
            <w:r w:rsidRPr="00C4084C">
              <w:t xml:space="preserve">explore pathways for selected TAFEs to become self-accrediting in VET at the Australian Qualification Framework (AQF) Level 5 and above in areas of national priority, starting with areas such as net zero emissions, </w:t>
            </w:r>
            <w:proofErr w:type="gramStart"/>
            <w:r w:rsidRPr="00C4084C">
              <w:t>care</w:t>
            </w:r>
            <w:proofErr w:type="gramEnd"/>
            <w:r w:rsidRPr="00C4084C">
              <w:t xml:space="preserve"> and digitisation.</w:t>
            </w:r>
          </w:p>
        </w:tc>
      </w:tr>
    </w:tbl>
    <w:p w14:paraId="78ADD50C" w14:textId="77777777" w:rsidR="00FA5EFE" w:rsidRPr="00C4084C" w:rsidRDefault="00FA5EFE" w:rsidP="00FA5EFE">
      <w:pPr>
        <w:pStyle w:val="Rec-frontmatternonheading"/>
      </w:pPr>
      <w:r w:rsidRPr="00C4084C">
        <w:t>Regional tertiary education and communities</w:t>
      </w:r>
    </w:p>
    <w:tbl>
      <w:tblPr>
        <w:tblW w:w="0" w:type="auto"/>
        <w:shd w:val="clear" w:color="auto" w:fill="FBE4D5"/>
        <w:tblLook w:val="04A0" w:firstRow="1" w:lastRow="0" w:firstColumn="1" w:lastColumn="0" w:noHBand="0" w:noVBand="1"/>
      </w:tblPr>
      <w:tblGrid>
        <w:gridCol w:w="9026"/>
      </w:tblGrid>
      <w:tr w:rsidR="00FA5EFE" w:rsidRPr="00C4084C" w14:paraId="7FF69010" w14:textId="77777777" w:rsidTr="00D26B82">
        <w:tc>
          <w:tcPr>
            <w:tcW w:w="9026" w:type="dxa"/>
            <w:shd w:val="clear" w:color="auto" w:fill="FEECDF"/>
          </w:tcPr>
          <w:p w14:paraId="3FD315E2" w14:textId="77777777" w:rsidR="00FA5EFE" w:rsidRPr="00C4084C" w:rsidRDefault="00FA5EFE">
            <w:pPr>
              <w:pStyle w:val="List"/>
              <w:spacing w:before="240" w:after="0"/>
              <w:rPr>
                <w:rStyle w:val="normaltextrun"/>
              </w:rPr>
            </w:pPr>
            <w:r w:rsidRPr="00C4084C">
              <w:rPr>
                <w:rStyle w:val="normaltextrun"/>
              </w:rPr>
              <w:t xml:space="preserve">That to recognise the benefits of access to tertiary education and the challenges to delivery in regional, </w:t>
            </w:r>
            <w:proofErr w:type="gramStart"/>
            <w:r w:rsidRPr="00C4084C">
              <w:rPr>
                <w:rStyle w:val="normaltextrun"/>
              </w:rPr>
              <w:t>rural</w:t>
            </w:r>
            <w:proofErr w:type="gramEnd"/>
            <w:r w:rsidRPr="00C4084C">
              <w:rPr>
                <w:rStyle w:val="normaltextrun"/>
              </w:rPr>
              <w:t xml:space="preserve"> </w:t>
            </w:r>
            <w:r w:rsidRPr="00C4084C">
              <w:t>and</w:t>
            </w:r>
            <w:r w:rsidRPr="00C4084C">
              <w:rPr>
                <w:rStyle w:val="normaltextrun"/>
              </w:rPr>
              <w:t xml:space="preserve"> remote areas, the Australian Government:</w:t>
            </w:r>
          </w:p>
          <w:p w14:paraId="1FFB67EE" w14:textId="77777777" w:rsidR="00FA5EFE" w:rsidRPr="00C4084C" w:rsidRDefault="00FA5EFE">
            <w:pPr>
              <w:pStyle w:val="List2"/>
              <w:rPr>
                <w:rStyle w:val="normaltextrun"/>
              </w:rPr>
            </w:pPr>
            <w:r w:rsidRPr="00C4084C">
              <w:rPr>
                <w:rStyle w:val="normaltextrun"/>
              </w:rPr>
              <w:t xml:space="preserve">include in its new needs-based funding model a specific element based on the location of higher education delivery in regional and remote Australia – to better recognise the important equity issues involved in course delivery in regional Australia, and the additional costs of that </w:t>
            </w:r>
            <w:proofErr w:type="gramStart"/>
            <w:r w:rsidRPr="00C4084C">
              <w:rPr>
                <w:rStyle w:val="normaltextrun"/>
              </w:rPr>
              <w:t>delivery</w:t>
            </w:r>
            <w:proofErr w:type="gramEnd"/>
          </w:p>
          <w:p w14:paraId="0ACECD5C" w14:textId="25F5B25E" w:rsidR="00FA5EFE" w:rsidRPr="00C4084C" w:rsidRDefault="00FA5EFE">
            <w:pPr>
              <w:pStyle w:val="List2"/>
              <w:rPr>
                <w:rStyle w:val="normaltextrun"/>
              </w:rPr>
            </w:pPr>
            <w:r w:rsidRPr="00C4084C">
              <w:rPr>
                <w:rStyle w:val="normaltextrun"/>
              </w:rPr>
              <w:lastRenderedPageBreak/>
              <w:t>significantly increase the number of Commonwealth supported places dedicated and allocated to universities delivering regionally</w:t>
            </w:r>
            <w:r w:rsidR="003206FD" w:rsidRPr="00C4084C">
              <w:rPr>
                <w:rStyle w:val="normaltextrun"/>
              </w:rPr>
              <w:t xml:space="preserve"> </w:t>
            </w:r>
            <w:r w:rsidRPr="00C4084C">
              <w:rPr>
                <w:rStyle w:val="normaltextrun"/>
              </w:rPr>
              <w:t xml:space="preserve">based end-to-end medical schools, to attract and retain medical graduates in regional areas. These places should be additional to currently allocated Commonwealth supported medical </w:t>
            </w:r>
            <w:proofErr w:type="gramStart"/>
            <w:r w:rsidRPr="00C4084C">
              <w:rPr>
                <w:rStyle w:val="normaltextrun"/>
              </w:rPr>
              <w:t>places</w:t>
            </w:r>
            <w:proofErr w:type="gramEnd"/>
          </w:p>
          <w:p w14:paraId="3AA9093B" w14:textId="5DC87A24" w:rsidR="00FA5EFE" w:rsidRPr="00C4084C" w:rsidRDefault="00FA5EFE">
            <w:pPr>
              <w:pStyle w:val="List2"/>
              <w:rPr>
                <w:rStyle w:val="normaltextrun"/>
              </w:rPr>
            </w:pPr>
            <w:r w:rsidRPr="00C4084C">
              <w:rPr>
                <w:rStyle w:val="normaltextrun"/>
              </w:rPr>
              <w:t xml:space="preserve">consider further expanding the successful Regional University Study Hubs program –following evaluation of its effectiveness in improving regional and remote student participation, </w:t>
            </w:r>
            <w:proofErr w:type="gramStart"/>
            <w:r w:rsidRPr="00C4084C">
              <w:rPr>
                <w:rStyle w:val="normaltextrun"/>
              </w:rPr>
              <w:t>retention</w:t>
            </w:r>
            <w:proofErr w:type="gramEnd"/>
            <w:r w:rsidRPr="00C4084C">
              <w:rPr>
                <w:rStyle w:val="normaltextrun"/>
              </w:rPr>
              <w:t xml:space="preserve"> and completion rates. This expansion could consider:</w:t>
            </w:r>
          </w:p>
          <w:p w14:paraId="01D3E8DD" w14:textId="77777777" w:rsidR="00FA5EFE" w:rsidRPr="00C4084C" w:rsidRDefault="00FA5EFE">
            <w:pPr>
              <w:pStyle w:val="List3"/>
              <w:rPr>
                <w:rStyle w:val="normaltextrun"/>
              </w:rPr>
            </w:pPr>
            <w:r w:rsidRPr="00C4084C">
              <w:rPr>
                <w:rStyle w:val="normaltextrun"/>
              </w:rPr>
              <w:t>increased use of existing tertiary education infrastructure like TAFEs</w:t>
            </w:r>
          </w:p>
          <w:p w14:paraId="39992440" w14:textId="77777777" w:rsidR="00FA5EFE" w:rsidRPr="00C4084C" w:rsidRDefault="00FA5EFE">
            <w:pPr>
              <w:pStyle w:val="List3"/>
              <w:rPr>
                <w:rStyle w:val="normaltextrun"/>
              </w:rPr>
            </w:pPr>
            <w:r w:rsidRPr="00C4084C">
              <w:rPr>
                <w:rStyle w:val="normaltextrun"/>
              </w:rPr>
              <w:t>allowing eligibility for existing universities to host a Regional University Study Hub</w:t>
            </w:r>
          </w:p>
          <w:p w14:paraId="43108D69" w14:textId="45533F12" w:rsidR="00FA5EFE" w:rsidRPr="00C4084C" w:rsidRDefault="00FA5EFE">
            <w:pPr>
              <w:pStyle w:val="List3"/>
              <w:spacing w:after="0"/>
              <w:rPr>
                <w:rStyle w:val="normaltextrun"/>
              </w:rPr>
            </w:pPr>
            <w:r w:rsidRPr="00C4084C">
              <w:rPr>
                <w:rStyle w:val="normaltextrun"/>
              </w:rPr>
              <w:t xml:space="preserve">changing the name of the program from </w:t>
            </w:r>
            <w:r w:rsidRPr="00C4084C">
              <w:rPr>
                <w:rStyle w:val="normaltextrun"/>
                <w:i/>
                <w:iCs/>
              </w:rPr>
              <w:t xml:space="preserve">Regional </w:t>
            </w:r>
            <w:r w:rsidRPr="00C4084C">
              <w:rPr>
                <w:rStyle w:val="normaltextrun"/>
                <w:i/>
              </w:rPr>
              <w:t>University</w:t>
            </w:r>
            <w:r w:rsidRPr="00C4084C">
              <w:rPr>
                <w:rStyle w:val="normaltextrun"/>
              </w:rPr>
              <w:t xml:space="preserve"> </w:t>
            </w:r>
            <w:r w:rsidRPr="00C4084C">
              <w:rPr>
                <w:rStyle w:val="normaltextrun"/>
                <w:i/>
              </w:rPr>
              <w:t>Study Hub</w:t>
            </w:r>
            <w:r w:rsidR="00816480">
              <w:rPr>
                <w:rStyle w:val="normaltextrun"/>
                <w:i/>
              </w:rPr>
              <w:t>s</w:t>
            </w:r>
            <w:r w:rsidRPr="00C4084C">
              <w:rPr>
                <w:rStyle w:val="normaltextrun"/>
              </w:rPr>
              <w:t xml:space="preserve"> to </w:t>
            </w:r>
            <w:r w:rsidRPr="00C4084C">
              <w:rPr>
                <w:rStyle w:val="normaltextrun"/>
                <w:i/>
              </w:rPr>
              <w:t xml:space="preserve">Regional Study </w:t>
            </w:r>
            <w:r w:rsidRPr="00C4084C">
              <w:rPr>
                <w:rStyle w:val="normaltextrun"/>
                <w:i/>
                <w:iCs/>
              </w:rPr>
              <w:t>Hub</w:t>
            </w:r>
            <w:r w:rsidR="00816480">
              <w:rPr>
                <w:rStyle w:val="normaltextrun"/>
                <w:i/>
                <w:iCs/>
              </w:rPr>
              <w:t>s</w:t>
            </w:r>
            <w:r w:rsidRPr="00C4084C">
              <w:rPr>
                <w:rStyle w:val="normaltextrun"/>
              </w:rPr>
              <w:t xml:space="preserve"> to recognise their role across both VET and higher </w:t>
            </w:r>
            <w:proofErr w:type="gramStart"/>
            <w:r w:rsidRPr="00C4084C">
              <w:rPr>
                <w:rStyle w:val="normaltextrun"/>
              </w:rPr>
              <w:t>education</w:t>
            </w:r>
            <w:proofErr w:type="gramEnd"/>
          </w:p>
          <w:p w14:paraId="6D0DBDAC" w14:textId="6DA70493" w:rsidR="00FA5EFE" w:rsidRPr="00C4084C" w:rsidRDefault="00FA5EFE">
            <w:pPr>
              <w:pStyle w:val="List2"/>
              <w:spacing w:after="0" w:afterAutospacing="0"/>
              <w:rPr>
                <w:rStyle w:val="normaltextrun"/>
              </w:rPr>
            </w:pPr>
            <w:r w:rsidRPr="00C4084C">
              <w:rPr>
                <w:rStyle w:val="normaltextrun"/>
              </w:rPr>
              <w:t xml:space="preserve">adjust the policy settings for the Tertiary Access Payment </w:t>
            </w:r>
            <w:r w:rsidR="00413175" w:rsidRPr="00C4084C">
              <w:rPr>
                <w:rStyle w:val="normaltextrun"/>
              </w:rPr>
              <w:t>to remove the</w:t>
            </w:r>
            <w:r w:rsidRPr="00C4084C">
              <w:rPr>
                <w:rStyle w:val="normaltextrun"/>
              </w:rPr>
              <w:t xml:space="preserve"> requirement to commence an eligible course within the 12 months following completion of Year 12 (or equivalent) and amend the timing of payments to provide timely assistance with the costs of relocation for tertiary study before </w:t>
            </w:r>
            <w:proofErr w:type="gramStart"/>
            <w:r w:rsidRPr="00C4084C">
              <w:rPr>
                <w:rStyle w:val="normaltextrun"/>
              </w:rPr>
              <w:t>moving</w:t>
            </w:r>
            <w:proofErr w:type="gramEnd"/>
          </w:p>
          <w:p w14:paraId="43326918" w14:textId="77777777" w:rsidR="00FA5EFE" w:rsidRPr="00C4084C" w:rsidDel="00882244" w:rsidRDefault="00FA5EFE">
            <w:pPr>
              <w:pStyle w:val="List2"/>
              <w:rPr>
                <w:rFonts w:ascii="Calibri" w:hAnsi="Calibri" w:cs="Calibri"/>
                <w:color w:val="000000"/>
                <w:shd w:val="clear" w:color="auto" w:fill="FFFFFF"/>
              </w:rPr>
            </w:pPr>
            <w:r w:rsidRPr="00C4084C">
              <w:rPr>
                <w:rStyle w:val="normaltextrun"/>
              </w:rPr>
              <w:t>task the Regional Education Commissioner with examining further opportunities to strengthen regional tertiary education, including the potential creation of a National Regional University, and a more integrated tertiary education system in regional communities, reporting to the Minister for Education by June 2025.</w:t>
            </w:r>
          </w:p>
        </w:tc>
      </w:tr>
    </w:tbl>
    <w:p w14:paraId="3101A78E" w14:textId="77777777" w:rsidR="00FA5EFE" w:rsidRPr="00C4084C" w:rsidRDefault="00FA5EFE" w:rsidP="00FA5EFE">
      <w:pPr>
        <w:pStyle w:val="Rec-frontmatternonheading"/>
      </w:pPr>
      <w:r w:rsidRPr="00C4084C">
        <w:lastRenderedPageBreak/>
        <w:t>New funding model </w:t>
      </w:r>
    </w:p>
    <w:tbl>
      <w:tblPr>
        <w:tblW w:w="0" w:type="auto"/>
        <w:shd w:val="clear" w:color="auto" w:fill="FBE4D5"/>
        <w:tblLook w:val="04A0" w:firstRow="1" w:lastRow="0" w:firstColumn="1" w:lastColumn="0" w:noHBand="0" w:noVBand="1"/>
      </w:tblPr>
      <w:tblGrid>
        <w:gridCol w:w="9026"/>
      </w:tblGrid>
      <w:tr w:rsidR="00FA5EFE" w:rsidRPr="00C4084C" w14:paraId="1B7221B3" w14:textId="77777777" w:rsidTr="00D26B82">
        <w:tc>
          <w:tcPr>
            <w:tcW w:w="9026" w:type="dxa"/>
            <w:shd w:val="clear" w:color="auto" w:fill="FEECDF"/>
          </w:tcPr>
          <w:p w14:paraId="2785C23D" w14:textId="5C29456D" w:rsidR="00FA5EFE" w:rsidRPr="00C4084C" w:rsidRDefault="00FA5EFE">
            <w:pPr>
              <w:pStyle w:val="List"/>
              <w:spacing w:before="240" w:after="0"/>
            </w:pPr>
            <w:r w:rsidRPr="00C4084C">
              <w:t xml:space="preserve">That to provide a framework for funding higher education that </w:t>
            </w:r>
            <w:r w:rsidR="00CD3FC7" w:rsidRPr="00CD3FC7">
              <w:t>supports achievement of the National Tertiary Education Objective</w:t>
            </w:r>
            <w:r w:rsidRPr="00C4084C">
              <w:t xml:space="preserve">, the Australian Government adopt a new funding model for higher education that is planned and managed by the Australian Tertiary Education Commission through mission-based compacts with publicly funded universities to:  </w:t>
            </w:r>
          </w:p>
          <w:p w14:paraId="517954DB" w14:textId="77777777" w:rsidR="00FA5EFE" w:rsidRPr="00C4084C" w:rsidRDefault="00FA5EFE">
            <w:pPr>
              <w:pStyle w:val="List2"/>
            </w:pPr>
            <w:r w:rsidRPr="00C4084C">
              <w:t xml:space="preserve">deliver Australia’s future skills </w:t>
            </w:r>
            <w:proofErr w:type="gramStart"/>
            <w:r w:rsidRPr="00C4084C">
              <w:t>needs</w:t>
            </w:r>
            <w:proofErr w:type="gramEnd"/>
          </w:p>
          <w:p w14:paraId="36B94654" w14:textId="56679636" w:rsidR="00FA5EFE" w:rsidRPr="00C4084C" w:rsidRDefault="00226CC5">
            <w:pPr>
              <w:pStyle w:val="List2"/>
            </w:pPr>
            <w:r w:rsidRPr="00C4084C">
              <w:t>deliver</w:t>
            </w:r>
            <w:r w:rsidR="00B22EFB" w:rsidRPr="00C4084C">
              <w:t xml:space="preserve"> </w:t>
            </w:r>
            <w:r w:rsidRPr="00C4084C">
              <w:t xml:space="preserve">places </w:t>
            </w:r>
            <w:r w:rsidR="00EC774A" w:rsidRPr="00C4084C">
              <w:t xml:space="preserve">to </w:t>
            </w:r>
            <w:r w:rsidR="00FA5EFE" w:rsidRPr="00C4084C">
              <w:t xml:space="preserve">ensure equitable access, participation, and success </w:t>
            </w:r>
            <w:r w:rsidR="00EC774A" w:rsidRPr="00C4084C">
              <w:t xml:space="preserve">for equity students </w:t>
            </w:r>
            <w:r w:rsidR="00FA5EFE" w:rsidRPr="00C4084C">
              <w:t>in higher education</w:t>
            </w:r>
            <w:r w:rsidRPr="00C4084C">
              <w:t xml:space="preserve"> </w:t>
            </w:r>
            <w:r w:rsidR="00B22EFB" w:rsidRPr="00C4084C">
              <w:t>– effectively ‘demand</w:t>
            </w:r>
            <w:r w:rsidR="00E33E47">
              <w:t xml:space="preserve"> </w:t>
            </w:r>
            <w:r w:rsidR="00B22EFB" w:rsidRPr="00C4084C">
              <w:t>driven</w:t>
            </w:r>
            <w:r w:rsidR="0038795C" w:rsidRPr="00C4084C">
              <w:t xml:space="preserve"> for equity</w:t>
            </w:r>
            <w:r w:rsidR="00B22EFB" w:rsidRPr="00C4084C">
              <w:t xml:space="preserve">’ </w:t>
            </w:r>
            <w:r w:rsidR="0038795C" w:rsidRPr="00C4084C">
              <w:t>but with planned allocation of places to</w:t>
            </w:r>
            <w:r w:rsidR="003C5420" w:rsidRPr="00C4084C">
              <w:t xml:space="preserve"> </w:t>
            </w:r>
            <w:proofErr w:type="gramStart"/>
            <w:r w:rsidR="003C5420" w:rsidRPr="00C4084C">
              <w:t>universities</w:t>
            </w:r>
            <w:proofErr w:type="gramEnd"/>
            <w:r w:rsidR="00B22EFB" w:rsidRPr="00C4084C">
              <w:t xml:space="preserve"> </w:t>
            </w:r>
            <w:r w:rsidRPr="00C4084C">
              <w:t xml:space="preserve"> </w:t>
            </w:r>
          </w:p>
          <w:p w14:paraId="4E6CEC63" w14:textId="0409873F" w:rsidR="00E44204" w:rsidRPr="00C4084C" w:rsidRDefault="00970EC1">
            <w:pPr>
              <w:pStyle w:val="List2"/>
            </w:pPr>
            <w:r w:rsidRPr="00C4084C">
              <w:t xml:space="preserve">deliver </w:t>
            </w:r>
            <w:r w:rsidR="00E44204" w:rsidRPr="00C4084C">
              <w:t xml:space="preserve">‘demand driven’ fee-free preparatory </w:t>
            </w:r>
            <w:proofErr w:type="gramStart"/>
            <w:r w:rsidR="00E44204" w:rsidRPr="00C4084C">
              <w:t>courses</w:t>
            </w:r>
            <w:proofErr w:type="gramEnd"/>
          </w:p>
          <w:p w14:paraId="0FAEC903" w14:textId="251C76CD" w:rsidR="00C55C08" w:rsidRPr="00C4084C" w:rsidRDefault="00C55C08" w:rsidP="00F04D7C">
            <w:pPr>
              <w:pStyle w:val="List2"/>
            </w:pPr>
            <w:r w:rsidRPr="00C4084C">
              <w:t>provid</w:t>
            </w:r>
            <w:r w:rsidR="009F2E6C" w:rsidRPr="00C4084C">
              <w:t>e</w:t>
            </w:r>
            <w:r w:rsidRPr="00C4084C">
              <w:t xml:space="preserve"> sufficient funding to cover the cost of teaching and scholarship from combined </w:t>
            </w:r>
            <w:r w:rsidR="006F46AC">
              <w:t>g</w:t>
            </w:r>
            <w:r w:rsidR="005B0D29" w:rsidRPr="00C4084C">
              <w:t xml:space="preserve">overnment </w:t>
            </w:r>
            <w:r w:rsidRPr="00C4084C">
              <w:t xml:space="preserve">and student contributions based on advice from the Australian Tertiary Education Commission </w:t>
            </w:r>
            <w:r w:rsidR="0038795C" w:rsidRPr="00C4084C">
              <w:t xml:space="preserve">through its pricing authority </w:t>
            </w:r>
            <w:proofErr w:type="gramStart"/>
            <w:r w:rsidR="0038795C" w:rsidRPr="00C4084C">
              <w:t>function</w:t>
            </w:r>
            <w:proofErr w:type="gramEnd"/>
          </w:p>
          <w:p w14:paraId="7CCBC626" w14:textId="4BA32FC8" w:rsidR="00FA5EFE" w:rsidRPr="00C4084C" w:rsidRDefault="00FA5EFE">
            <w:pPr>
              <w:pStyle w:val="List2"/>
            </w:pPr>
            <w:r w:rsidRPr="00C4084C">
              <w:t xml:space="preserve">ensure Australia’s academic workforce can support the nation’s teaching and research </w:t>
            </w:r>
            <w:proofErr w:type="gramStart"/>
            <w:r w:rsidRPr="00C4084C">
              <w:t>ambitions</w:t>
            </w:r>
            <w:proofErr w:type="gramEnd"/>
          </w:p>
          <w:p w14:paraId="307DA481" w14:textId="77777777" w:rsidR="00FA5EFE" w:rsidRPr="00C4084C" w:rsidRDefault="00FA5EFE">
            <w:pPr>
              <w:pStyle w:val="List2"/>
            </w:pPr>
            <w:r w:rsidRPr="00C4084C">
              <w:t xml:space="preserve">invest in creating and using new knowledge through research and research </w:t>
            </w:r>
            <w:proofErr w:type="gramStart"/>
            <w:r w:rsidRPr="00C4084C">
              <w:t>training</w:t>
            </w:r>
            <w:proofErr w:type="gramEnd"/>
          </w:p>
          <w:p w14:paraId="5F1CB6B6" w14:textId="77777777" w:rsidR="00FA5EFE" w:rsidRPr="00C4084C" w:rsidRDefault="00FA5EFE">
            <w:pPr>
              <w:pStyle w:val="List2"/>
            </w:pPr>
            <w:r w:rsidRPr="00C4084C">
              <w:t xml:space="preserve">provide freedom for universities to make choices about their enrolments and finances, within a framework set out by the funding principles and monitored by the </w:t>
            </w:r>
            <w:proofErr w:type="gramStart"/>
            <w:r w:rsidRPr="00C4084C">
              <w:t>Commission</w:t>
            </w:r>
            <w:proofErr w:type="gramEnd"/>
          </w:p>
          <w:p w14:paraId="6B9A59C1" w14:textId="77777777" w:rsidR="00FA5EFE" w:rsidRPr="00C4084C" w:rsidDel="00882244" w:rsidRDefault="00FA5EFE">
            <w:pPr>
              <w:pStyle w:val="List2"/>
            </w:pPr>
            <w:r w:rsidRPr="00C4084C">
              <w:t>stop the practice of providing only partial funding for additional students when a university is overenrolled.</w:t>
            </w:r>
          </w:p>
        </w:tc>
      </w:tr>
    </w:tbl>
    <w:p w14:paraId="048388C1" w14:textId="77777777" w:rsidR="00FA5EFE" w:rsidRPr="00C4084C" w:rsidRDefault="00FA5EFE" w:rsidP="00FA5EFE">
      <w:pPr>
        <w:spacing w:after="0"/>
      </w:pPr>
    </w:p>
    <w:tbl>
      <w:tblPr>
        <w:tblW w:w="0" w:type="auto"/>
        <w:shd w:val="clear" w:color="auto" w:fill="FBE4D5"/>
        <w:tblLook w:val="04A0" w:firstRow="1" w:lastRow="0" w:firstColumn="1" w:lastColumn="0" w:noHBand="0" w:noVBand="1"/>
      </w:tblPr>
      <w:tblGrid>
        <w:gridCol w:w="9026"/>
      </w:tblGrid>
      <w:tr w:rsidR="00FA5EFE" w:rsidRPr="00C4084C" w14:paraId="70081FB8" w14:textId="77777777" w:rsidTr="00D26B82">
        <w:tc>
          <w:tcPr>
            <w:tcW w:w="9026" w:type="dxa"/>
            <w:shd w:val="clear" w:color="auto" w:fill="FEECDF"/>
          </w:tcPr>
          <w:p w14:paraId="4521F47B" w14:textId="1885A050" w:rsidR="00FA5EFE" w:rsidRPr="00C4084C" w:rsidRDefault="00FA5EFE">
            <w:pPr>
              <w:pStyle w:val="List"/>
              <w:spacing w:before="240" w:after="0"/>
            </w:pPr>
            <w:r w:rsidRPr="00C4084C">
              <w:t xml:space="preserve">That the Australian Government ensure the new funding model supports publicly funded universities to deliver quality learning, </w:t>
            </w:r>
            <w:proofErr w:type="gramStart"/>
            <w:r w:rsidRPr="00C4084C">
              <w:t>teaching</w:t>
            </w:r>
            <w:proofErr w:type="gramEnd"/>
            <w:r w:rsidRPr="00C4084C">
              <w:t xml:space="preserve"> and scholarship by: </w:t>
            </w:r>
          </w:p>
          <w:p w14:paraId="42ACFE81" w14:textId="77777777" w:rsidR="00FA5EFE" w:rsidRPr="00C4084C" w:rsidRDefault="00FA5EFE">
            <w:pPr>
              <w:pStyle w:val="List2"/>
            </w:pPr>
            <w:r w:rsidRPr="00C4084C">
              <w:t>ensuring places for undergraduate students in publicly funded higher education courses continue to be partially funded by a student contribution (and HELP) and partially funded by the government contribution (the Commonwealth Grants Scheme)</w:t>
            </w:r>
          </w:p>
          <w:p w14:paraId="01AC8351" w14:textId="77777777" w:rsidR="00FA5EFE" w:rsidRPr="00C4084C" w:rsidRDefault="00FA5EFE">
            <w:pPr>
              <w:pStyle w:val="List2"/>
            </w:pPr>
            <w:r w:rsidRPr="00C4084C">
              <w:lastRenderedPageBreak/>
              <w:t xml:space="preserve">delivering growth for the higher education system through providing a fully funded place for students who want to access higher education and can meet the entry requirements, managed at the system level to ensure that genuine demand is met with supply, and managed at the university level to ensure sustainability of </w:t>
            </w:r>
            <w:proofErr w:type="gramStart"/>
            <w:r w:rsidRPr="00C4084C">
              <w:t>universities</w:t>
            </w:r>
            <w:proofErr w:type="gramEnd"/>
          </w:p>
          <w:p w14:paraId="523675D8" w14:textId="77777777" w:rsidR="00FA5EFE" w:rsidRPr="00C4084C" w:rsidRDefault="00FA5EFE">
            <w:pPr>
              <w:pStyle w:val="List2"/>
            </w:pPr>
            <w:r w:rsidRPr="00C4084C">
              <w:t xml:space="preserve">ensuring all students from under-represented backgrounds are eligible for a funded place at a public university as soon as possible by redirecting the unused funding from the Australian Government’s commitment to deliver 20,000 commencing </w:t>
            </w:r>
            <w:r w:rsidRPr="00C4084C">
              <w:rPr>
                <w:rStyle w:val="normaltextrun"/>
              </w:rPr>
              <w:t>Commonwealth supported place</w:t>
            </w:r>
            <w:r w:rsidRPr="00C4084C">
              <w:t xml:space="preserve">s in 2023 and </w:t>
            </w:r>
            <w:proofErr w:type="gramStart"/>
            <w:r w:rsidRPr="00C4084C">
              <w:t>2024</w:t>
            </w:r>
            <w:proofErr w:type="gramEnd"/>
            <w:r w:rsidRPr="00C4084C">
              <w:t xml:space="preserve"> </w:t>
            </w:r>
          </w:p>
          <w:p w14:paraId="0E53BAE3" w14:textId="77777777" w:rsidR="00FA5EFE" w:rsidRPr="00C4084C" w:rsidRDefault="00FA5EFE">
            <w:pPr>
              <w:pStyle w:val="List2"/>
            </w:pPr>
            <w:r w:rsidRPr="00C4084C">
              <w:rPr>
                <w:rFonts w:cs="Times New Roman"/>
              </w:rPr>
              <w:t xml:space="preserve">increasing government funding to support science, technology, engineering and mathematics courses to reduce the negative impacts of the JRG </w:t>
            </w:r>
            <w:proofErr w:type="gramStart"/>
            <w:r w:rsidRPr="00C4084C">
              <w:rPr>
                <w:rFonts w:cs="Times New Roman"/>
              </w:rPr>
              <w:t>package</w:t>
            </w:r>
            <w:proofErr w:type="gramEnd"/>
            <w:r w:rsidRPr="00C4084C">
              <w:t xml:space="preserve"> </w:t>
            </w:r>
          </w:p>
          <w:p w14:paraId="418A86E7" w14:textId="77777777" w:rsidR="00FA5EFE" w:rsidRPr="00C4084C" w:rsidRDefault="00FA5EFE">
            <w:pPr>
              <w:pStyle w:val="List2"/>
            </w:pPr>
            <w:r w:rsidRPr="00C4084C">
              <w:t xml:space="preserve">providing sufficient funding to cover the costs of learning, teaching and scholarship in each discipline, with increasing fidelity in the pricing system over </w:t>
            </w:r>
            <w:proofErr w:type="gramStart"/>
            <w:r w:rsidRPr="00C4084C">
              <w:t>time</w:t>
            </w:r>
            <w:proofErr w:type="gramEnd"/>
          </w:p>
          <w:p w14:paraId="3E04C4B4" w14:textId="77777777" w:rsidR="00AC6406" w:rsidRPr="00C4084C" w:rsidRDefault="00AC6406">
            <w:pPr>
              <w:pStyle w:val="List2"/>
            </w:pPr>
            <w:r w:rsidRPr="00C4084C">
              <w:t xml:space="preserve">ensuring that student contributions reflect future </w:t>
            </w:r>
            <w:proofErr w:type="gramStart"/>
            <w:r w:rsidRPr="00C4084C">
              <w:t>earnings</w:t>
            </w:r>
            <w:proofErr w:type="gramEnd"/>
          </w:p>
          <w:p w14:paraId="7A6622D5" w14:textId="38C022D3" w:rsidR="00FA5EFE" w:rsidRPr="00C4084C" w:rsidRDefault="00FA5EFE">
            <w:pPr>
              <w:pStyle w:val="List2"/>
            </w:pPr>
            <w:r w:rsidRPr="00C4084C">
              <w:t>providing needs-based funding to address the cost of teaching students from backgrounds that need additional support and different locations of delivery by:</w:t>
            </w:r>
          </w:p>
          <w:p w14:paraId="3B533A31" w14:textId="3FF010B9" w:rsidR="00FA5EFE" w:rsidRPr="00C4084C" w:rsidRDefault="00FA5EFE">
            <w:pPr>
              <w:pStyle w:val="List3"/>
            </w:pPr>
            <w:r w:rsidRPr="00C4084C">
              <w:t xml:space="preserve">recognising the additional costs involved in teaching students who need additional support to complete their studies, specifically First Nations students, students from lower quartile SES backgrounds, and students with </w:t>
            </w:r>
            <w:proofErr w:type="gramStart"/>
            <w:r w:rsidRPr="00C4084C">
              <w:t>disability</w:t>
            </w:r>
            <w:proofErr w:type="gramEnd"/>
          </w:p>
          <w:p w14:paraId="02EC4A8A" w14:textId="77777777" w:rsidR="00FA5EFE" w:rsidRPr="00C4084C" w:rsidRDefault="00FA5EFE">
            <w:pPr>
              <w:pStyle w:val="List3"/>
              <w:spacing w:after="0"/>
            </w:pPr>
            <w:r w:rsidRPr="00C4084C">
              <w:t xml:space="preserve">increasing the funding for regional delivery to better recognise the important equity issues involved in delivering courses to students in regional Australia, and additional costs of delivering higher education in regional </w:t>
            </w:r>
            <w:proofErr w:type="gramStart"/>
            <w:r w:rsidRPr="00C4084C">
              <w:t>areas</w:t>
            </w:r>
            <w:proofErr w:type="gramEnd"/>
          </w:p>
          <w:p w14:paraId="3DF4305A" w14:textId="50066320" w:rsidR="00FA5EFE" w:rsidRPr="00C4084C" w:rsidRDefault="00FA5EFE">
            <w:pPr>
              <w:pStyle w:val="List2"/>
            </w:pPr>
            <w:r w:rsidRPr="00C4084C">
              <w:t>significantly increasing the availability of fee-free</w:t>
            </w:r>
            <w:r w:rsidR="00C96D1B" w:rsidRPr="00C4084C">
              <w:t xml:space="preserve"> </w:t>
            </w:r>
            <w:r w:rsidR="0016193F" w:rsidRPr="00C4084C">
              <w:t>preparat</w:t>
            </w:r>
            <w:r w:rsidR="0016193F">
              <w:t>ory</w:t>
            </w:r>
            <w:r w:rsidR="0016193F" w:rsidRPr="00C4084C">
              <w:t xml:space="preserve"> </w:t>
            </w:r>
            <w:r w:rsidR="00C96D1B" w:rsidRPr="00C4084C">
              <w:t>pl</w:t>
            </w:r>
            <w:r w:rsidRPr="00C4084C">
              <w:t>aces, meeting the need from interested students in high-quality</w:t>
            </w:r>
            <w:r w:rsidR="00C96D1B" w:rsidRPr="00C4084C">
              <w:t xml:space="preserve"> preparatory</w:t>
            </w:r>
            <w:r w:rsidRPr="00C4084C">
              <w:t xml:space="preserve"> courses ensuring:</w:t>
            </w:r>
          </w:p>
          <w:p w14:paraId="5BEFCA95" w14:textId="5261CD22" w:rsidR="00FA5EFE" w:rsidRPr="00C4084C" w:rsidRDefault="00C96D1B">
            <w:pPr>
              <w:pStyle w:val="List3"/>
            </w:pPr>
            <w:r w:rsidRPr="00C4084C">
              <w:t>prep</w:t>
            </w:r>
            <w:r w:rsidR="00A840FB" w:rsidRPr="00C4084C">
              <w:t>aratory c</w:t>
            </w:r>
            <w:r w:rsidR="00FA5EFE" w:rsidRPr="00C4084C">
              <w:t xml:space="preserve">ourses are free for any student in a Commonwealth supported place and this continues to be enshrined in </w:t>
            </w:r>
            <w:proofErr w:type="gramStart"/>
            <w:r w:rsidR="00FA5EFE" w:rsidRPr="00C4084C">
              <w:t>legislation</w:t>
            </w:r>
            <w:proofErr w:type="gramEnd"/>
          </w:p>
          <w:p w14:paraId="193B9777" w14:textId="711DE32B" w:rsidR="00FA5EFE" w:rsidRPr="00C4084C" w:rsidRDefault="00FA5EFE">
            <w:pPr>
              <w:pStyle w:val="List3"/>
              <w:spacing w:after="0"/>
            </w:pPr>
            <w:r w:rsidRPr="00C4084C">
              <w:t>funding for</w:t>
            </w:r>
            <w:r w:rsidR="00A840FB" w:rsidRPr="00C4084C">
              <w:t xml:space="preserve"> preparatory</w:t>
            </w:r>
            <w:r w:rsidRPr="00C4084C">
              <w:t xml:space="preserve"> places will reflect the cost of </w:t>
            </w:r>
            <w:proofErr w:type="gramStart"/>
            <w:r w:rsidRPr="00C4084C">
              <w:t>delivery</w:t>
            </w:r>
            <w:proofErr w:type="gramEnd"/>
          </w:p>
          <w:p w14:paraId="1E2E61D6" w14:textId="09D3D85A" w:rsidR="00FA5EFE" w:rsidRPr="00C4084C" w:rsidRDefault="00FA5EFE">
            <w:pPr>
              <w:pStyle w:val="List2"/>
            </w:pPr>
            <w:r w:rsidRPr="00C4084C">
              <w:t xml:space="preserve">expanding the number of publicly funded higher education places, including at TAFEs, ensuring students are funded to undertake the qualification of their choice, whether that be a funded </w:t>
            </w:r>
            <w:proofErr w:type="spellStart"/>
            <w:r w:rsidRPr="00C4084C">
              <w:t>microcredential</w:t>
            </w:r>
            <w:proofErr w:type="spellEnd"/>
            <w:r w:rsidRPr="00C4084C">
              <w:t xml:space="preserve">, diploma, </w:t>
            </w:r>
            <w:proofErr w:type="gramStart"/>
            <w:r w:rsidRPr="00C4084C">
              <w:t>bachelor</w:t>
            </w:r>
            <w:proofErr w:type="gramEnd"/>
            <w:r w:rsidRPr="00C4084C">
              <w:t xml:space="preserve"> degree, postgraduate degree, or other type of accredited qualification. Tertiary education </w:t>
            </w:r>
            <w:r w:rsidR="00E6359B" w:rsidRPr="00C4084C">
              <w:t xml:space="preserve">providers </w:t>
            </w:r>
            <w:r w:rsidRPr="00C4084C">
              <w:t xml:space="preserve">should continue to retain the flexibility to allocate places across different types of </w:t>
            </w:r>
            <w:proofErr w:type="gramStart"/>
            <w:r w:rsidRPr="00C4084C">
              <w:t>qualification</w:t>
            </w:r>
            <w:proofErr w:type="gramEnd"/>
          </w:p>
          <w:p w14:paraId="4388D774" w14:textId="2015957F" w:rsidR="00FA5EFE" w:rsidRPr="0016193F" w:rsidRDefault="00FA5EFE">
            <w:pPr>
              <w:pStyle w:val="List2"/>
              <w:rPr>
                <w:rFonts w:cs="Times New Roman"/>
              </w:rPr>
            </w:pPr>
            <w:r w:rsidRPr="00C4084C">
              <w:t xml:space="preserve">ensuring funding for efforts to build aspiration and boost the pipeline of students is kept outside the new funding </w:t>
            </w:r>
            <w:proofErr w:type="gramStart"/>
            <w:r w:rsidRPr="00C4084C">
              <w:t>model</w:t>
            </w:r>
            <w:proofErr w:type="gramEnd"/>
          </w:p>
          <w:p w14:paraId="746C0BA8" w14:textId="65B03BAA" w:rsidR="0016193F" w:rsidRPr="00C4084C" w:rsidDel="00882244" w:rsidRDefault="0016193F">
            <w:pPr>
              <w:pStyle w:val="List2"/>
              <w:rPr>
                <w:rFonts w:cs="Times New Roman"/>
              </w:rPr>
            </w:pPr>
            <w:r>
              <w:t>continuing to provide the Indigenous Student Support Program, with potential future reforms to be guided by the First Nations-led review, but with accountability for the program to shift to the Minister for Education to ensure effective integration with these overall funding arrangements</w:t>
            </w:r>
            <w:r w:rsidRPr="00C4084C">
              <w:t>.</w:t>
            </w:r>
          </w:p>
        </w:tc>
      </w:tr>
    </w:tbl>
    <w:p w14:paraId="02B5C112" w14:textId="77777777" w:rsidR="00FA5EFE" w:rsidRPr="00C4084C" w:rsidRDefault="00FA5EFE" w:rsidP="00FA5EFE">
      <w:pPr>
        <w:spacing w:after="0"/>
      </w:pPr>
    </w:p>
    <w:tbl>
      <w:tblPr>
        <w:tblW w:w="0" w:type="auto"/>
        <w:shd w:val="clear" w:color="auto" w:fill="FBE4D5"/>
        <w:tblLook w:val="04A0" w:firstRow="1" w:lastRow="0" w:firstColumn="1" w:lastColumn="0" w:noHBand="0" w:noVBand="1"/>
      </w:tblPr>
      <w:tblGrid>
        <w:gridCol w:w="9026"/>
      </w:tblGrid>
      <w:tr w:rsidR="00FA5EFE" w:rsidRPr="00C4084C" w14:paraId="0FF2F554" w14:textId="77777777" w:rsidTr="00D26B82">
        <w:tc>
          <w:tcPr>
            <w:tcW w:w="9026" w:type="dxa"/>
            <w:shd w:val="clear" w:color="auto" w:fill="FEECDF"/>
          </w:tcPr>
          <w:p w14:paraId="11BC8052" w14:textId="77777777" w:rsidR="00FA5EFE" w:rsidRPr="00C4084C" w:rsidRDefault="00FA5EFE">
            <w:pPr>
              <w:pStyle w:val="List"/>
              <w:spacing w:before="240" w:after="0"/>
            </w:pPr>
            <w:r w:rsidRPr="00C4084C">
              <w:t xml:space="preserve">That to support and strengthen universities’ capacity to conduct research and research training, the </w:t>
            </w:r>
            <w:r w:rsidRPr="00C4084C">
              <w:rPr>
                <w:rStyle w:val="normaltextrun"/>
              </w:rPr>
              <w:t>Australian</w:t>
            </w:r>
            <w:r w:rsidRPr="00C4084C">
              <w:t xml:space="preserve"> Government make changes to the university research funding model through: </w:t>
            </w:r>
          </w:p>
          <w:p w14:paraId="079386C9" w14:textId="1F27025C" w:rsidR="00FA5EFE" w:rsidRPr="00C4084C" w:rsidRDefault="00FA5EFE">
            <w:pPr>
              <w:pStyle w:val="List2"/>
            </w:pPr>
            <w:r w:rsidRPr="00C4084C">
              <w:t>establishing a Solving Australian Challenges Strategic Fund to drive effective use of universities</w:t>
            </w:r>
            <w:r w:rsidR="009F2E6C" w:rsidRPr="00C4084C">
              <w:t>’</w:t>
            </w:r>
            <w:r w:rsidRPr="00C4084C">
              <w:t xml:space="preserve"> research and research </w:t>
            </w:r>
            <w:proofErr w:type="gramStart"/>
            <w:r w:rsidRPr="00C4084C">
              <w:t>capability</w:t>
            </w:r>
            <w:proofErr w:type="gramEnd"/>
            <w:r w:rsidRPr="00C4084C">
              <w:t xml:space="preserve"> </w:t>
            </w:r>
          </w:p>
          <w:p w14:paraId="41A691F4" w14:textId="77777777" w:rsidR="00FA5EFE" w:rsidRPr="00C4084C" w:rsidRDefault="00FA5EFE">
            <w:pPr>
              <w:pStyle w:val="List2"/>
            </w:pPr>
            <w:r w:rsidRPr="00C4084C">
              <w:t>increasing funding to the Australian Research Council</w:t>
            </w:r>
          </w:p>
          <w:p w14:paraId="2E3A1BAD" w14:textId="77777777" w:rsidR="00FA5EFE" w:rsidRPr="00C4084C" w:rsidRDefault="00FA5EFE">
            <w:pPr>
              <w:pStyle w:val="List2"/>
            </w:pPr>
            <w:r w:rsidRPr="00C4084C">
              <w:t>creating a pathway towards funding more of the full economic cost of research</w:t>
            </w:r>
          </w:p>
          <w:p w14:paraId="0644941E" w14:textId="458C21DE" w:rsidR="00FA5EFE" w:rsidRPr="00C4084C" w:rsidDel="00882244" w:rsidRDefault="00FA5EFE">
            <w:pPr>
              <w:pStyle w:val="List2"/>
            </w:pPr>
            <w:r w:rsidRPr="00C4084C">
              <w:t xml:space="preserve">substantially increasing investment in the Research Training Program and raising </w:t>
            </w:r>
            <w:r w:rsidR="009F2E6C" w:rsidRPr="00C4084C">
              <w:t xml:space="preserve">the </w:t>
            </w:r>
            <w:r w:rsidRPr="00C4084C">
              <w:t>minimum stipend rate.</w:t>
            </w:r>
          </w:p>
        </w:tc>
      </w:tr>
    </w:tbl>
    <w:p w14:paraId="76BA545B" w14:textId="77777777" w:rsidR="00FA5EFE" w:rsidRPr="00C4084C" w:rsidRDefault="00FA5EFE" w:rsidP="00FA5EFE">
      <w:pPr>
        <w:pStyle w:val="Rec-frontmatternonheading"/>
      </w:pPr>
      <w:r w:rsidRPr="00C4084C">
        <w:lastRenderedPageBreak/>
        <w:t xml:space="preserve">Higher Education Future Fund </w:t>
      </w:r>
    </w:p>
    <w:tbl>
      <w:tblPr>
        <w:tblW w:w="0" w:type="auto"/>
        <w:shd w:val="clear" w:color="auto" w:fill="FBE4D5"/>
        <w:tblLook w:val="04A0" w:firstRow="1" w:lastRow="0" w:firstColumn="1" w:lastColumn="0" w:noHBand="0" w:noVBand="1"/>
      </w:tblPr>
      <w:tblGrid>
        <w:gridCol w:w="9026"/>
      </w:tblGrid>
      <w:tr w:rsidR="00FA5EFE" w:rsidRPr="00C4084C" w14:paraId="4A9408FF" w14:textId="77777777" w:rsidTr="00D26B82">
        <w:tc>
          <w:tcPr>
            <w:tcW w:w="9026" w:type="dxa"/>
            <w:shd w:val="clear" w:color="auto" w:fill="FEECDF"/>
          </w:tcPr>
          <w:p w14:paraId="654313C7" w14:textId="7714FEED" w:rsidR="00FA5EFE" w:rsidRPr="00C4084C" w:rsidRDefault="00FA5EFE">
            <w:pPr>
              <w:pStyle w:val="List"/>
              <w:spacing w:before="240" w:after="0"/>
            </w:pPr>
            <w:r w:rsidRPr="00C4084C">
              <w:t>That to provide support for the built and digital infrastructure</w:t>
            </w:r>
            <w:r w:rsidR="000961C1" w:rsidRPr="00C4084C">
              <w:t>,</w:t>
            </w:r>
            <w:r w:rsidRPr="00C4084C">
              <w:t xml:space="preserve"> including student housing</w:t>
            </w:r>
            <w:r w:rsidR="000961C1" w:rsidRPr="00C4084C">
              <w:t>,</w:t>
            </w:r>
            <w:r w:rsidRPr="00C4084C">
              <w:t xml:space="preserve"> that will be </w:t>
            </w:r>
            <w:r w:rsidRPr="00C4084C">
              <w:rPr>
                <w:rStyle w:val="normaltextrun"/>
              </w:rPr>
              <w:t>needed</w:t>
            </w:r>
            <w:r w:rsidRPr="00C4084C">
              <w:t xml:space="preserve"> to cope with projected future enrolment growth, the Australian Government establish a Higher Education Future Fund (HEFF) managed by the Future Fund, with co-contributions from public universities and </w:t>
            </w:r>
            <w:r w:rsidR="00A32D76">
              <w:t>G</w:t>
            </w:r>
            <w:r w:rsidR="00A32D76" w:rsidRPr="00C4084C">
              <w:t xml:space="preserve">overnment </w:t>
            </w:r>
            <w:r w:rsidRPr="00C4084C">
              <w:t>with the aim of reaching $10 billion in assets.</w:t>
            </w:r>
          </w:p>
          <w:p w14:paraId="595AA8B6" w14:textId="77777777" w:rsidR="00FA5EFE" w:rsidRPr="00C4084C" w:rsidRDefault="00FA5EFE">
            <w:pPr>
              <w:pStyle w:val="List2"/>
            </w:pPr>
            <w:r w:rsidRPr="00C4084C">
              <w:t xml:space="preserve">Co-contributions should be made according to the following principles: </w:t>
            </w:r>
          </w:p>
          <w:p w14:paraId="06072BC8" w14:textId="5963CDD7" w:rsidR="00FA5EFE" w:rsidRPr="00C4084C" w:rsidRDefault="00FA5EFE">
            <w:pPr>
              <w:pStyle w:val="List3"/>
            </w:pPr>
            <w:r w:rsidRPr="00C4084C">
              <w:t xml:space="preserve">come from </w:t>
            </w:r>
            <w:proofErr w:type="gramStart"/>
            <w:r w:rsidRPr="00C4084C">
              <w:t>universit</w:t>
            </w:r>
            <w:r w:rsidR="009F2E6C" w:rsidRPr="00C4084C">
              <w:t>ies’</w:t>
            </w:r>
            <w:proofErr w:type="gramEnd"/>
            <w:r w:rsidRPr="00C4084C">
              <w:t xml:space="preserve"> </w:t>
            </w:r>
            <w:r w:rsidR="009B0F69">
              <w:t xml:space="preserve">untied </w:t>
            </w:r>
            <w:r w:rsidR="003D08E8" w:rsidRPr="00C4084C">
              <w:t xml:space="preserve">own source </w:t>
            </w:r>
            <w:r w:rsidRPr="00C4084C">
              <w:t>revenue</w:t>
            </w:r>
          </w:p>
          <w:p w14:paraId="5C274D14" w14:textId="77777777" w:rsidR="00FA5EFE" w:rsidRPr="00C4084C" w:rsidRDefault="00FA5EFE">
            <w:pPr>
              <w:pStyle w:val="List3"/>
            </w:pPr>
            <w:r w:rsidRPr="00C4084C">
              <w:t xml:space="preserve">be matched by funding from the </w:t>
            </w:r>
            <w:proofErr w:type="gramStart"/>
            <w:r w:rsidRPr="00C4084C">
              <w:t>Commonwealth</w:t>
            </w:r>
            <w:proofErr w:type="gramEnd"/>
          </w:p>
          <w:p w14:paraId="6AC4E5A9" w14:textId="22A0D8DE" w:rsidR="00FA5EFE" w:rsidRPr="00C4084C" w:rsidRDefault="00FA5EFE">
            <w:pPr>
              <w:pStyle w:val="List3"/>
            </w:pPr>
            <w:r w:rsidRPr="00C4084C">
              <w:t xml:space="preserve">control the adverse impact on </w:t>
            </w:r>
            <w:r w:rsidR="00923A0A" w:rsidRPr="00C4084C">
              <w:t xml:space="preserve">universities </w:t>
            </w:r>
            <w:r w:rsidRPr="00C4084C">
              <w:t xml:space="preserve">with limited capacity to </w:t>
            </w:r>
            <w:proofErr w:type="gramStart"/>
            <w:r w:rsidRPr="00C4084C">
              <w:t>contribute</w:t>
            </w:r>
            <w:proofErr w:type="gramEnd"/>
          </w:p>
          <w:p w14:paraId="1EAB65BB" w14:textId="77777777" w:rsidR="00FA5EFE" w:rsidRPr="00C4084C" w:rsidRDefault="00FA5EFE">
            <w:pPr>
              <w:pStyle w:val="List3"/>
            </w:pPr>
            <w:r w:rsidRPr="00C4084C">
              <w:t xml:space="preserve">be time limited based on reaching a stable equity base in the </w:t>
            </w:r>
            <w:proofErr w:type="gramStart"/>
            <w:r w:rsidRPr="00C4084C">
              <w:t>Fund</w:t>
            </w:r>
            <w:proofErr w:type="gramEnd"/>
          </w:p>
          <w:p w14:paraId="306A689D" w14:textId="7B84C979" w:rsidR="00FA5EFE" w:rsidRPr="00C4084C" w:rsidRDefault="00FA5EFE">
            <w:pPr>
              <w:pStyle w:val="List3"/>
              <w:spacing w:after="0"/>
            </w:pPr>
            <w:r w:rsidRPr="00C4084C">
              <w:t xml:space="preserve">begin only when the new funding model is in place to ensure stability for universities through transition </w:t>
            </w:r>
            <w:proofErr w:type="gramStart"/>
            <w:r w:rsidRPr="00C4084C">
              <w:t>arrangements</w:t>
            </w:r>
            <w:proofErr w:type="gramEnd"/>
          </w:p>
          <w:p w14:paraId="7D3C12EB" w14:textId="30321F12" w:rsidR="00FA5EFE" w:rsidRPr="00C4084C" w:rsidRDefault="008C478C">
            <w:pPr>
              <w:pStyle w:val="List2"/>
            </w:pPr>
            <w:r>
              <w:t>R</w:t>
            </w:r>
            <w:r w:rsidR="00FA5EFE" w:rsidRPr="00C4084C">
              <w:t xml:space="preserve">eturns from the Fund be used by Government and contributing </w:t>
            </w:r>
            <w:r w:rsidR="00923A0A" w:rsidRPr="00C4084C">
              <w:t xml:space="preserve">universities </w:t>
            </w:r>
            <w:r w:rsidR="00FA5EFE" w:rsidRPr="00C4084C">
              <w:t xml:space="preserve">working together to make investments in the higher education sector: </w:t>
            </w:r>
          </w:p>
          <w:p w14:paraId="04AEB0F1" w14:textId="77777777" w:rsidR="00FA5EFE" w:rsidRPr="00C4084C" w:rsidRDefault="00FA5EFE">
            <w:pPr>
              <w:pStyle w:val="List3"/>
            </w:pPr>
            <w:r w:rsidRPr="00C4084C">
              <w:t xml:space="preserve">on advice from an independent board </w:t>
            </w:r>
          </w:p>
          <w:p w14:paraId="3CC6D2DC" w14:textId="77777777" w:rsidR="00FA5EFE" w:rsidRPr="00C4084C" w:rsidRDefault="00FA5EFE">
            <w:pPr>
              <w:pStyle w:val="List3"/>
            </w:pPr>
            <w:r w:rsidRPr="00C4084C">
              <w:t xml:space="preserve">that contribute to solving key issues such as built and digital infrastructure and provision of affordable student </w:t>
            </w:r>
            <w:proofErr w:type="gramStart"/>
            <w:r w:rsidRPr="00C4084C">
              <w:t>housing</w:t>
            </w:r>
            <w:proofErr w:type="gramEnd"/>
            <w:r w:rsidRPr="00C4084C">
              <w:t xml:space="preserve"> </w:t>
            </w:r>
          </w:p>
          <w:p w14:paraId="32941C70" w14:textId="77777777" w:rsidR="00FA5EFE" w:rsidRPr="00C4084C" w:rsidRDefault="00FA5EFE">
            <w:pPr>
              <w:pStyle w:val="List3"/>
            </w:pPr>
            <w:r w:rsidRPr="00C4084C">
              <w:t xml:space="preserve">that leverage other funding </w:t>
            </w:r>
            <w:proofErr w:type="gramStart"/>
            <w:r w:rsidRPr="00C4084C">
              <w:t>sources</w:t>
            </w:r>
            <w:proofErr w:type="gramEnd"/>
            <w:r w:rsidRPr="00C4084C">
              <w:t xml:space="preserve">  </w:t>
            </w:r>
          </w:p>
          <w:p w14:paraId="7713B858" w14:textId="19B0A47B" w:rsidR="00FA5EFE" w:rsidRPr="00C4084C" w:rsidDel="00882244" w:rsidRDefault="009F2E6C">
            <w:pPr>
              <w:pStyle w:val="List3"/>
            </w:pPr>
            <w:r w:rsidRPr="00C4084C">
              <w:t xml:space="preserve">that </w:t>
            </w:r>
            <w:r w:rsidR="00FA5EFE" w:rsidRPr="00C4084C">
              <w:t xml:space="preserve">recognise </w:t>
            </w:r>
            <w:r w:rsidR="00923A0A" w:rsidRPr="00C4084C">
              <w:t>universities’</w:t>
            </w:r>
            <w:r w:rsidR="00FA5EFE" w:rsidRPr="00C4084C">
              <w:t xml:space="preserve"> capacity to pay. </w:t>
            </w:r>
          </w:p>
        </w:tc>
      </w:tr>
    </w:tbl>
    <w:p w14:paraId="5FF7BFF5" w14:textId="77777777" w:rsidR="00FA5EFE" w:rsidRPr="00C4084C" w:rsidRDefault="00FA5EFE" w:rsidP="00FA5EFE">
      <w:pPr>
        <w:pStyle w:val="Rec-frontmatternonheading"/>
      </w:pPr>
      <w:r w:rsidRPr="00C4084C">
        <w:t>Transition</w:t>
      </w:r>
    </w:p>
    <w:tbl>
      <w:tblPr>
        <w:tblW w:w="0" w:type="auto"/>
        <w:shd w:val="clear" w:color="auto" w:fill="FBE4D5"/>
        <w:tblLook w:val="04A0" w:firstRow="1" w:lastRow="0" w:firstColumn="1" w:lastColumn="0" w:noHBand="0" w:noVBand="1"/>
      </w:tblPr>
      <w:tblGrid>
        <w:gridCol w:w="9026"/>
      </w:tblGrid>
      <w:tr w:rsidR="00FA5EFE" w:rsidRPr="00C4084C" w14:paraId="1D7A9016" w14:textId="77777777" w:rsidTr="00D26B82">
        <w:tc>
          <w:tcPr>
            <w:tcW w:w="9026" w:type="dxa"/>
            <w:shd w:val="clear" w:color="auto" w:fill="FEECDF"/>
          </w:tcPr>
          <w:p w14:paraId="3E8C0A79" w14:textId="77777777" w:rsidR="00FA5EFE" w:rsidRPr="00C4084C" w:rsidDel="00882244" w:rsidRDefault="00FA5EFE">
            <w:pPr>
              <w:pStyle w:val="List"/>
              <w:spacing w:before="240"/>
            </w:pPr>
            <w:r w:rsidRPr="00C4084C">
              <w:t xml:space="preserve">That as a priority, the work to build a stewardship role in the tertiary education sector begin </w:t>
            </w:r>
            <w:r w:rsidRPr="00C4084C">
              <w:rPr>
                <w:rStyle w:val="normaltextrun"/>
              </w:rPr>
              <w:t>immediately</w:t>
            </w:r>
            <w:r w:rsidRPr="00C4084C">
              <w:t xml:space="preserve"> with the Minister for Education establishing an Implementation Advisory Committee to provide advice to him on the implementation of the recommendations from this Review.</w:t>
            </w:r>
          </w:p>
        </w:tc>
      </w:tr>
    </w:tbl>
    <w:p w14:paraId="01F66474" w14:textId="77777777" w:rsidR="00FA5EFE" w:rsidRPr="00C4084C" w:rsidRDefault="00FA5EFE" w:rsidP="00FA5EFE">
      <w:pPr>
        <w:spacing w:after="0"/>
      </w:pPr>
    </w:p>
    <w:tbl>
      <w:tblPr>
        <w:tblW w:w="0" w:type="auto"/>
        <w:shd w:val="clear" w:color="auto" w:fill="FBE4D5"/>
        <w:tblLook w:val="04A0" w:firstRow="1" w:lastRow="0" w:firstColumn="1" w:lastColumn="0" w:noHBand="0" w:noVBand="1"/>
      </w:tblPr>
      <w:tblGrid>
        <w:gridCol w:w="9026"/>
      </w:tblGrid>
      <w:tr w:rsidR="002135EE" w:rsidRPr="00C4084C" w14:paraId="41CB2CB8" w14:textId="77777777" w:rsidTr="00D26B82">
        <w:tc>
          <w:tcPr>
            <w:tcW w:w="9026" w:type="dxa"/>
            <w:shd w:val="clear" w:color="auto" w:fill="FEECDF"/>
          </w:tcPr>
          <w:p w14:paraId="108BEDFD" w14:textId="2024F580" w:rsidR="000E04B0" w:rsidRPr="00C4084C" w:rsidRDefault="000E04B0" w:rsidP="008C67CA">
            <w:pPr>
              <w:pStyle w:val="List"/>
              <w:spacing w:before="240" w:after="0"/>
            </w:pPr>
            <w:r w:rsidRPr="00C4084C">
              <w:t>That implementation and transition planning should include a staged and managed approach to updating legislation that governs the sector:</w:t>
            </w:r>
          </w:p>
          <w:p w14:paraId="61B18440" w14:textId="77777777" w:rsidR="00A840FB" w:rsidRPr="00C4084C" w:rsidRDefault="000E04B0" w:rsidP="00222145">
            <w:pPr>
              <w:pStyle w:val="List2"/>
            </w:pPr>
            <w:r w:rsidRPr="00C4084C">
              <w:t xml:space="preserve">starting with those measures with most urgent impact that arise from the Review’s recommendations and most immediate implementation </w:t>
            </w:r>
            <w:proofErr w:type="gramStart"/>
            <w:r w:rsidRPr="00C4084C">
              <w:t>timelines</w:t>
            </w:r>
            <w:proofErr w:type="gramEnd"/>
          </w:p>
          <w:p w14:paraId="1CC59B1B" w14:textId="17DF0438" w:rsidR="000E04B0" w:rsidRPr="00C4084C" w:rsidRDefault="000E04B0" w:rsidP="008C4411">
            <w:pPr>
              <w:pStyle w:val="List2"/>
            </w:pPr>
            <w:r w:rsidRPr="00C4084C">
              <w:t>continuing to identify other features in legislation which require update and modernisation. In doing so, priorities should be:</w:t>
            </w:r>
          </w:p>
          <w:p w14:paraId="63DC2DC1" w14:textId="71B4DDFC" w:rsidR="000E04B0" w:rsidRPr="00C4084C" w:rsidRDefault="000E04B0" w:rsidP="008C4411">
            <w:pPr>
              <w:pStyle w:val="List3"/>
            </w:pPr>
            <w:r w:rsidRPr="00C4084C">
              <w:t>ensuring that the higher education sector is supporting students</w:t>
            </w:r>
            <w:r w:rsidR="0038795C" w:rsidRPr="00C4084C">
              <w:t>, carrying out research,</w:t>
            </w:r>
            <w:r w:rsidRPr="00C4084C">
              <w:t xml:space="preserve"> and delivering the best outcomes for Australia, </w:t>
            </w:r>
            <w:r w:rsidR="0038795C" w:rsidRPr="00C4084C">
              <w:t>with</w:t>
            </w:r>
            <w:r w:rsidRPr="00C4084C">
              <w:t xml:space="preserve"> legislative and regulatory settings </w:t>
            </w:r>
            <w:r w:rsidR="0038795C" w:rsidRPr="00C4084C">
              <w:t xml:space="preserve">that </w:t>
            </w:r>
            <w:r w:rsidRPr="00C4084C">
              <w:t xml:space="preserve">are modern and fit for </w:t>
            </w:r>
            <w:proofErr w:type="gramStart"/>
            <w:r w:rsidRPr="00C4084C">
              <w:t>purpose</w:t>
            </w:r>
            <w:proofErr w:type="gramEnd"/>
            <w:r w:rsidRPr="00C4084C">
              <w:t xml:space="preserve"> </w:t>
            </w:r>
          </w:p>
          <w:p w14:paraId="10D421E1" w14:textId="1AEF867F" w:rsidR="000E04B0" w:rsidRPr="00C4084C" w:rsidRDefault="000E04B0" w:rsidP="008C4411">
            <w:pPr>
              <w:pStyle w:val="List3"/>
            </w:pPr>
            <w:r w:rsidRPr="00C4084C">
              <w:t xml:space="preserve">identifying areas that are not adequately </w:t>
            </w:r>
            <w:r w:rsidR="0038795C" w:rsidRPr="00C4084C">
              <w:t xml:space="preserve">currently </w:t>
            </w:r>
            <w:r w:rsidRPr="00C4084C">
              <w:t xml:space="preserve">covered by legislation and developing strategies to work with the higher education sector to address these regulatory </w:t>
            </w:r>
            <w:proofErr w:type="gramStart"/>
            <w:r w:rsidRPr="00C4084C">
              <w:t>gaps</w:t>
            </w:r>
            <w:proofErr w:type="gramEnd"/>
            <w:r w:rsidRPr="00C4084C">
              <w:t xml:space="preserve"> </w:t>
            </w:r>
          </w:p>
          <w:p w14:paraId="35246345" w14:textId="64DC9475" w:rsidR="000E04B0" w:rsidRPr="00C4084C" w:rsidRDefault="000E04B0" w:rsidP="008C4411">
            <w:pPr>
              <w:pStyle w:val="List3"/>
            </w:pPr>
            <w:r w:rsidRPr="00C4084C">
              <w:t xml:space="preserve">addressing issues of fragmentation, </w:t>
            </w:r>
            <w:proofErr w:type="gramStart"/>
            <w:r w:rsidRPr="00C4084C">
              <w:t>duplication</w:t>
            </w:r>
            <w:proofErr w:type="gramEnd"/>
            <w:r w:rsidRPr="00C4084C">
              <w:t xml:space="preserve"> or unnecessary regulatory burden</w:t>
            </w:r>
          </w:p>
          <w:p w14:paraId="61975969" w14:textId="77777777" w:rsidR="00A840FB" w:rsidRPr="00C4084C" w:rsidRDefault="000E04B0" w:rsidP="00857151">
            <w:pPr>
              <w:pStyle w:val="List3"/>
            </w:pPr>
            <w:r w:rsidRPr="00C4084C">
              <w:t>recognising the interlinkages between the higher education and vocational education and training sectors</w:t>
            </w:r>
          </w:p>
          <w:p w14:paraId="4E2A249B" w14:textId="77777777" w:rsidR="002135EE" w:rsidRPr="00C4084C" w:rsidDel="00882244" w:rsidRDefault="00151AFB" w:rsidP="00EF7190">
            <w:pPr>
              <w:pStyle w:val="List3"/>
            </w:pPr>
            <w:r w:rsidRPr="00C4084C">
              <w:t>encouraging continuous quality improvement in the higher education sector</w:t>
            </w:r>
            <w:r w:rsidR="000E04B0" w:rsidRPr="00C4084C">
              <w:t>.</w:t>
            </w:r>
          </w:p>
        </w:tc>
      </w:tr>
    </w:tbl>
    <w:p w14:paraId="6DCFFEC2" w14:textId="77777777" w:rsidR="002135EE" w:rsidRPr="00C4084C" w:rsidRDefault="002135EE" w:rsidP="00FA5EFE">
      <w:pPr>
        <w:spacing w:after="0"/>
      </w:pPr>
    </w:p>
    <w:tbl>
      <w:tblPr>
        <w:tblW w:w="0" w:type="auto"/>
        <w:shd w:val="clear" w:color="auto" w:fill="FBE4D5"/>
        <w:tblLook w:val="04A0" w:firstRow="1" w:lastRow="0" w:firstColumn="1" w:lastColumn="0" w:noHBand="0" w:noVBand="1"/>
      </w:tblPr>
      <w:tblGrid>
        <w:gridCol w:w="9026"/>
      </w:tblGrid>
      <w:tr w:rsidR="00FA5EFE" w:rsidRPr="00C4084C" w14:paraId="097258BA" w14:textId="77777777" w:rsidTr="00D26B82">
        <w:tc>
          <w:tcPr>
            <w:tcW w:w="9026" w:type="dxa"/>
            <w:shd w:val="clear" w:color="auto" w:fill="FEECDF"/>
          </w:tcPr>
          <w:p w14:paraId="10C30A2D" w14:textId="0DDEAF9D" w:rsidR="00FA5EFE" w:rsidRPr="00C4084C" w:rsidRDefault="00FA5EFE" w:rsidP="008C67CA">
            <w:pPr>
              <w:pStyle w:val="List"/>
              <w:spacing w:before="240"/>
            </w:pPr>
            <w:r w:rsidRPr="00C4084C">
              <w:t xml:space="preserve">That during the transition phase to a new funding model, universities be supported </w:t>
            </w:r>
            <w:r w:rsidRPr="00C4084C">
              <w:rPr>
                <w:rFonts w:eastAsia="Yu Gothic Light" w:cs="Times New Roman"/>
              </w:rPr>
              <w:t>through</w:t>
            </w:r>
            <w:r w:rsidRPr="00C4084C">
              <w:t xml:space="preserve"> a ‘glidepath’ to full policy implementation as they transition from the current funding system based on a fixed dollar amount (i.e. Maximum Basic Grant Amount – MBGA) to the new funding model </w:t>
            </w:r>
            <w:r w:rsidR="001F7FB0">
              <w:t>built</w:t>
            </w:r>
            <w:r w:rsidR="001F7FB0" w:rsidRPr="00C4084C">
              <w:t xml:space="preserve"> </w:t>
            </w:r>
            <w:r w:rsidRPr="00C4084C">
              <w:t>on EFTSL, discipline-based and needs-based funding.</w:t>
            </w:r>
          </w:p>
          <w:p w14:paraId="393E10AC" w14:textId="77777777" w:rsidR="003A3C41" w:rsidRPr="00C4084C" w:rsidRDefault="003A3C41" w:rsidP="00EF71EF">
            <w:pPr>
              <w:pStyle w:val="List"/>
              <w:numPr>
                <w:ilvl w:val="0"/>
                <w:numId w:val="0"/>
              </w:numPr>
              <w:ind w:left="397"/>
              <w:rPr>
                <w:sz w:val="12"/>
                <w:szCs w:val="12"/>
              </w:rPr>
            </w:pPr>
          </w:p>
          <w:p w14:paraId="78705B7A" w14:textId="3303C4BF" w:rsidR="00FA5EFE" w:rsidRPr="00C4084C" w:rsidRDefault="00FA5EFE" w:rsidP="008C4411">
            <w:pPr>
              <w:pStyle w:val="List"/>
              <w:numPr>
                <w:ilvl w:val="0"/>
                <w:numId w:val="0"/>
              </w:numPr>
              <w:ind w:left="397"/>
            </w:pPr>
            <w:r w:rsidRPr="00C4084C">
              <w:t xml:space="preserve">Where current funding programs change, care should be taken to avoid </w:t>
            </w:r>
            <w:r w:rsidR="00E174E0">
              <w:t>affecting</w:t>
            </w:r>
            <w:r w:rsidR="00E174E0" w:rsidRPr="00C4084C">
              <w:t xml:space="preserve"> </w:t>
            </w:r>
            <w:r w:rsidRPr="00C4084C">
              <w:t>quality activities that are being delivered under current arrangements.</w:t>
            </w:r>
            <w:r w:rsidRPr="00C4084C" w:rsidDel="003F38E7">
              <w:t xml:space="preserve"> </w:t>
            </w:r>
          </w:p>
        </w:tc>
      </w:tr>
    </w:tbl>
    <w:p w14:paraId="02C27F5C" w14:textId="77777777" w:rsidR="00FA5EFE" w:rsidRPr="00C4084C" w:rsidRDefault="00FA5EFE" w:rsidP="00FA5EFE">
      <w:pPr>
        <w:spacing w:after="0"/>
      </w:pPr>
    </w:p>
    <w:tbl>
      <w:tblPr>
        <w:tblW w:w="0" w:type="auto"/>
        <w:shd w:val="clear" w:color="auto" w:fill="FBE4D5"/>
        <w:tblLook w:val="04A0" w:firstRow="1" w:lastRow="0" w:firstColumn="1" w:lastColumn="0" w:noHBand="0" w:noVBand="1"/>
      </w:tblPr>
      <w:tblGrid>
        <w:gridCol w:w="9026"/>
      </w:tblGrid>
      <w:tr w:rsidR="00FA5EFE" w:rsidRPr="00C4084C" w14:paraId="68470E5A" w14:textId="77777777" w:rsidTr="00D26B82">
        <w:tc>
          <w:tcPr>
            <w:tcW w:w="9026" w:type="dxa"/>
            <w:shd w:val="clear" w:color="auto" w:fill="FEECDF"/>
          </w:tcPr>
          <w:p w14:paraId="7A9CB134" w14:textId="77777777" w:rsidR="00FA5EFE" w:rsidRPr="00C4084C" w:rsidRDefault="00FA5EFE">
            <w:pPr>
              <w:pStyle w:val="List"/>
              <w:spacing w:before="240"/>
            </w:pPr>
            <w:r w:rsidRPr="00C4084C">
              <w:t xml:space="preserve">That to provide transparency and predictability for the tertiary education sector in recognition of the </w:t>
            </w:r>
            <w:r w:rsidRPr="00C4084C">
              <w:rPr>
                <w:rStyle w:val="normaltextrun"/>
              </w:rPr>
              <w:t>Review’s</w:t>
            </w:r>
            <w:r w:rsidRPr="00C4084C">
              <w:t xml:space="preserve"> ambition for lasting reform, the Australian Government outline a staged approach to implementation of the Review’s recommendations.</w:t>
            </w:r>
          </w:p>
        </w:tc>
      </w:tr>
    </w:tbl>
    <w:p w14:paraId="19BBC403" w14:textId="77777777" w:rsidR="0053718E" w:rsidRDefault="0053718E" w:rsidP="008C67CA">
      <w:pPr>
        <w:sectPr w:rsidR="0053718E" w:rsidSect="00134415">
          <w:headerReference w:type="even" r:id="rId29"/>
          <w:headerReference w:type="default" r:id="rId30"/>
          <w:headerReference w:type="first" r:id="rId31"/>
          <w:pgSz w:w="11906" w:h="16838"/>
          <w:pgMar w:top="1440" w:right="1440" w:bottom="1440" w:left="1440" w:header="708" w:footer="794" w:gutter="0"/>
          <w:pgNumType w:start="1"/>
          <w:cols w:space="708"/>
          <w:titlePg/>
          <w:docGrid w:linePitch="360"/>
        </w:sectPr>
      </w:pPr>
    </w:p>
    <w:p w14:paraId="1C9771E5" w14:textId="5DAA0EFE" w:rsidR="00E33FC3" w:rsidRPr="00C4084C" w:rsidRDefault="00A80440" w:rsidP="0053718E">
      <w:pPr>
        <w:pStyle w:val="Heading2"/>
      </w:pPr>
      <w:bookmarkStart w:id="25" w:name="_Ref153185604"/>
      <w:bookmarkStart w:id="26" w:name="_Toc153482998"/>
      <w:bookmarkStart w:id="27" w:name="_Toc159500908"/>
      <w:r w:rsidRPr="00C4084C">
        <w:lastRenderedPageBreak/>
        <w:t>Introduction and Context</w:t>
      </w:r>
      <w:bookmarkEnd w:id="25"/>
      <w:bookmarkEnd w:id="26"/>
      <w:bookmarkEnd w:id="27"/>
    </w:p>
    <w:p w14:paraId="7413ABB4" w14:textId="220578EE" w:rsidR="00E33FC3" w:rsidRPr="00C4084C" w:rsidRDefault="00A74C1B" w:rsidP="00745009">
      <w:pPr>
        <w:pStyle w:val="Heading3"/>
      </w:pPr>
      <w:bookmarkStart w:id="28" w:name="_Toc153482999"/>
      <w:bookmarkStart w:id="29" w:name="_Toc159500909"/>
      <w:r w:rsidRPr="00C4084C">
        <w:t>Delivering an Australian Universities Accord</w:t>
      </w:r>
      <w:r w:rsidR="00C00C2F" w:rsidRPr="00C4084C">
        <w:t xml:space="preserve"> Review</w:t>
      </w:r>
      <w:bookmarkEnd w:id="28"/>
      <w:bookmarkEnd w:id="29"/>
    </w:p>
    <w:p w14:paraId="7611EF7E" w14:textId="7A06E516" w:rsidR="005042B4" w:rsidRPr="00C4084C" w:rsidRDefault="005042B4" w:rsidP="005042B4">
      <w:r w:rsidRPr="00C4084C">
        <w:t>The</w:t>
      </w:r>
      <w:r w:rsidR="00BD29D6" w:rsidRPr="00C4084C">
        <w:t xml:space="preserve"> Australian</w:t>
      </w:r>
      <w:r w:rsidRPr="00C4084C">
        <w:t xml:space="preserve"> Government committed to </w:t>
      </w:r>
      <w:r w:rsidR="32661D4D" w:rsidRPr="00C4084C">
        <w:t>establish</w:t>
      </w:r>
      <w:r w:rsidR="2CBE05E1" w:rsidRPr="00C4084C">
        <w:t>ing</w:t>
      </w:r>
      <w:r w:rsidRPr="00C4084C">
        <w:t xml:space="preserve"> an Australian Universities Accord to </w:t>
      </w:r>
      <w:r w:rsidR="5B0AB2FA" w:rsidRPr="00C4084C">
        <w:t>reform</w:t>
      </w:r>
      <w:r w:rsidRPr="00C4084C">
        <w:t xml:space="preserve"> Australia’s higher education system so that it can drive nationwide skills </w:t>
      </w:r>
      <w:r w:rsidR="55AC9341" w:rsidRPr="00C4084C">
        <w:t xml:space="preserve">and equity </w:t>
      </w:r>
      <w:proofErr w:type="gramStart"/>
      <w:r w:rsidRPr="00C4084C">
        <w:t>growth in particular, and</w:t>
      </w:r>
      <w:proofErr w:type="gramEnd"/>
      <w:r w:rsidRPr="00C4084C">
        <w:t xml:space="preserve"> economic</w:t>
      </w:r>
      <w:r w:rsidR="3F1BFE67" w:rsidRPr="00C4084C">
        <w:t xml:space="preserve">, </w:t>
      </w:r>
      <w:r w:rsidRPr="00C4084C">
        <w:t xml:space="preserve">social </w:t>
      </w:r>
      <w:r w:rsidR="2B307A32" w:rsidRPr="00C4084C">
        <w:t>and environmental</w:t>
      </w:r>
      <w:r w:rsidRPr="00C4084C">
        <w:t xml:space="preserve"> prosperity more generally.</w:t>
      </w:r>
    </w:p>
    <w:p w14:paraId="291DB4E7" w14:textId="69FDCF25" w:rsidR="005042B4" w:rsidRPr="00C4084C" w:rsidRDefault="7A8615A7" w:rsidP="005042B4">
      <w:r w:rsidRPr="00C4084C">
        <w:t>T</w:t>
      </w:r>
      <w:r w:rsidR="005042B4" w:rsidRPr="00C4084C">
        <w:t xml:space="preserve">he Minister for Education, the Hon Jason Clare MP, appointed the Australian University Accord Panel in November 2022 to undertake </w:t>
      </w:r>
      <w:r w:rsidR="4A50A287" w:rsidRPr="00C4084C">
        <w:t xml:space="preserve">this </w:t>
      </w:r>
      <w:r w:rsidR="3EB7BF3A" w:rsidRPr="00C4084C">
        <w:t>R</w:t>
      </w:r>
      <w:r w:rsidR="32661D4D" w:rsidRPr="00C4084C">
        <w:t>eview</w:t>
      </w:r>
      <w:r w:rsidR="005042B4" w:rsidRPr="00C4084C">
        <w:t xml:space="preserve"> of the higher education system (the Review) and to make recommendations for </w:t>
      </w:r>
      <w:r w:rsidR="408CBDCE" w:rsidRPr="00C4084C">
        <w:t>G</w:t>
      </w:r>
      <w:r w:rsidR="005042B4" w:rsidRPr="00C4084C">
        <w:t xml:space="preserve">overnment, the </w:t>
      </w:r>
      <w:r w:rsidR="3676DC6C" w:rsidRPr="00C4084C">
        <w:t xml:space="preserve">higher education </w:t>
      </w:r>
      <w:r w:rsidR="005042B4" w:rsidRPr="00C4084C">
        <w:t xml:space="preserve">sector, and other relevant stakeholders to deliver a </w:t>
      </w:r>
      <w:r w:rsidR="00F70D8B" w:rsidRPr="00C4084C">
        <w:t xml:space="preserve">higher education </w:t>
      </w:r>
      <w:r w:rsidR="005042B4" w:rsidRPr="00C4084C">
        <w:t xml:space="preserve">system that meets the </w:t>
      </w:r>
      <w:r w:rsidR="00F70D8B" w:rsidRPr="00C4084C">
        <w:t>current and future needs of</w:t>
      </w:r>
      <w:r w:rsidR="005042B4" w:rsidRPr="00C4084C">
        <w:t xml:space="preserve"> the nation, </w:t>
      </w:r>
      <w:r w:rsidR="3FAFF829" w:rsidRPr="00C4084C">
        <w:t>with</w:t>
      </w:r>
      <w:r w:rsidR="005042B4" w:rsidRPr="00C4084C">
        <w:t xml:space="preserve"> targets to achieve this.</w:t>
      </w:r>
    </w:p>
    <w:p w14:paraId="73B1CCC5" w14:textId="5C88A4B6" w:rsidR="005042B4" w:rsidRPr="00C4084C" w:rsidRDefault="005042B4" w:rsidP="00BA6095">
      <w:pPr>
        <w:pStyle w:val="Heading4"/>
      </w:pPr>
      <w:bookmarkStart w:id="30" w:name="_Toc153483000"/>
      <w:bookmarkStart w:id="31" w:name="_Toc159500910"/>
      <w:bookmarkStart w:id="32" w:name="_Toc152314492"/>
      <w:r w:rsidRPr="00C4084C">
        <w:t>Process of this Review</w:t>
      </w:r>
      <w:bookmarkEnd w:id="30"/>
      <w:bookmarkEnd w:id="31"/>
    </w:p>
    <w:p w14:paraId="07098D04" w14:textId="24BDE1C5" w:rsidR="005042B4" w:rsidRPr="00C4084C" w:rsidRDefault="005042B4" w:rsidP="005042B4">
      <w:r w:rsidRPr="00C4084C">
        <w:t xml:space="preserve">Following establishment, the Review has met often and consulted widely. This includes consultation with universities and </w:t>
      </w:r>
      <w:r w:rsidR="00C752A5">
        <w:t xml:space="preserve">other </w:t>
      </w:r>
      <w:r w:rsidRPr="00C4084C">
        <w:t>higher education providers, 3 meetings of the Ministerial Reference Group</w:t>
      </w:r>
      <w:r w:rsidR="00055EDA" w:rsidRPr="00C4084C">
        <w:t>,</w:t>
      </w:r>
      <w:r w:rsidRPr="00C4084C">
        <w:t xml:space="preserve"> and various other meetings, forums and roundtables with </w:t>
      </w:r>
      <w:r w:rsidR="00DE1072" w:rsidRPr="00C4084C">
        <w:t>g</w:t>
      </w:r>
      <w:r w:rsidRPr="00C4084C">
        <w:t>overnment agencies, First Nations people</w:t>
      </w:r>
      <w:r w:rsidR="00C752A5">
        <w:t>,</w:t>
      </w:r>
      <w:r w:rsidRPr="00C4084C">
        <w:t xml:space="preserve"> </w:t>
      </w:r>
      <w:r w:rsidR="5ABEA8DA" w:rsidRPr="00C4084C">
        <w:t>students</w:t>
      </w:r>
      <w:r w:rsidR="2F4A00BA" w:rsidRPr="00C4084C">
        <w:t>, business</w:t>
      </w:r>
      <w:r w:rsidR="00055EDA" w:rsidRPr="00C4084C">
        <w:t xml:space="preserve">, </w:t>
      </w:r>
      <w:proofErr w:type="gramStart"/>
      <w:r w:rsidR="00055EDA" w:rsidRPr="00C4084C">
        <w:t>unions</w:t>
      </w:r>
      <w:proofErr w:type="gramEnd"/>
      <w:r w:rsidR="2F4A00BA" w:rsidRPr="00C4084C">
        <w:t xml:space="preserve"> </w:t>
      </w:r>
      <w:r w:rsidRPr="00C4084C">
        <w:t xml:space="preserve">and other organisations. </w:t>
      </w:r>
    </w:p>
    <w:p w14:paraId="14739837" w14:textId="1AC4FBBA" w:rsidR="005042B4" w:rsidRPr="00C4084C" w:rsidRDefault="005042B4" w:rsidP="005042B4">
      <w:r w:rsidRPr="00C4084C">
        <w:t xml:space="preserve">The Review has asked many questions – and received many great answers. It received over 1,900 survey responses to the consultation request on the Terms of Reference, and over </w:t>
      </w:r>
      <w:r w:rsidR="00777650" w:rsidRPr="00C4084C">
        <w:t>785</w:t>
      </w:r>
      <w:r w:rsidRPr="00C4084C">
        <w:t xml:space="preserve"> submissions across 3 submission rounds. </w:t>
      </w:r>
    </w:p>
    <w:p w14:paraId="31A32D94" w14:textId="7D384728" w:rsidR="005042B4" w:rsidRPr="00C4084C" w:rsidRDefault="005042B4" w:rsidP="005042B4">
      <w:r w:rsidRPr="00C4084C">
        <w:t xml:space="preserve">A schedule of Panel meetings, consultations, </w:t>
      </w:r>
      <w:proofErr w:type="gramStart"/>
      <w:r w:rsidRPr="00C4084C">
        <w:t>survey</w:t>
      </w:r>
      <w:proofErr w:type="gramEnd"/>
      <w:r w:rsidRPr="00C4084C">
        <w:t xml:space="preserve"> and submissions analysis is included </w:t>
      </w:r>
      <w:r w:rsidR="000E6DD3" w:rsidRPr="00C4084C">
        <w:t xml:space="preserve">in </w:t>
      </w:r>
      <w:r w:rsidRPr="00C4084C">
        <w:t xml:space="preserve">Appendices </w:t>
      </w:r>
      <w:r w:rsidR="00A93D69" w:rsidRPr="00C4084C">
        <w:t>D</w:t>
      </w:r>
      <w:r w:rsidRPr="00C4084C">
        <w:t xml:space="preserve"> </w:t>
      </w:r>
      <w:r w:rsidR="00202A60" w:rsidRPr="00C4084C">
        <w:t xml:space="preserve">and </w:t>
      </w:r>
      <w:r w:rsidR="00A93D69" w:rsidRPr="00C4084C">
        <w:t>E</w:t>
      </w:r>
      <w:r w:rsidRPr="00C4084C">
        <w:t>.</w:t>
      </w:r>
    </w:p>
    <w:p w14:paraId="5C185810" w14:textId="758F7446" w:rsidR="005042B4" w:rsidRPr="00C4084C" w:rsidRDefault="005042B4" w:rsidP="005042B4">
      <w:r w:rsidRPr="00C4084C">
        <w:t>The Accord Discussion Paper, released in February 2023, posed 49 questions</w:t>
      </w:r>
      <w:r w:rsidR="007F2FCE" w:rsidRPr="00C4084C">
        <w:t>,</w:t>
      </w:r>
      <w:r w:rsidRPr="00C4084C">
        <w:t xml:space="preserve"> and sought input on the kind of </w:t>
      </w:r>
      <w:r w:rsidR="00955055" w:rsidRPr="00C4084C">
        <w:t>tertiary</w:t>
      </w:r>
      <w:r w:rsidRPr="00C4084C">
        <w:t xml:space="preserve"> education system Australia wants and needs, and the actions required to achieve this – both immediate and longer-term. </w:t>
      </w:r>
    </w:p>
    <w:p w14:paraId="2CF73ABA" w14:textId="1B6CA83A" w:rsidR="005042B4" w:rsidRPr="00C4084C" w:rsidRDefault="005042B4" w:rsidP="005042B4">
      <w:r w:rsidRPr="00C4084C">
        <w:t xml:space="preserve">The Review sought to understand the options available to drive lasting reform and meet current and future national need. The Accord Interim Report, delivered </w:t>
      </w:r>
      <w:r w:rsidR="00955055" w:rsidRPr="00C4084C">
        <w:t>on 30 June</w:t>
      </w:r>
      <w:r w:rsidRPr="00C4084C">
        <w:t xml:space="preserve"> 2023, canvassed 12 packages of ideas on how Australia’s higher education sector could contribute significantly to important national needs. </w:t>
      </w:r>
    </w:p>
    <w:p w14:paraId="31B0802B" w14:textId="327E8A38" w:rsidR="00C00C2F" w:rsidRPr="00C4084C" w:rsidRDefault="00951B52" w:rsidP="005042B4">
      <w:pPr>
        <w:spacing w:after="0"/>
      </w:pPr>
      <w:r w:rsidRPr="00C4084C">
        <w:t>The Interim Report</w:t>
      </w:r>
      <w:r w:rsidR="005042B4" w:rsidRPr="00C4084C">
        <w:t xml:space="preserve"> also made 5 recommendations for priority action, able to be implemented quickly to address immediate issues and start to grow student numbers and the </w:t>
      </w:r>
      <w:r w:rsidR="00055EDA" w:rsidRPr="00C4084C">
        <w:t xml:space="preserve">tertiary </w:t>
      </w:r>
      <w:r w:rsidR="005042B4" w:rsidRPr="00C4084C">
        <w:t xml:space="preserve">education system </w:t>
      </w:r>
      <w:r w:rsidR="00055EDA" w:rsidRPr="00C4084C">
        <w:t>more generally</w:t>
      </w:r>
      <w:r w:rsidR="005042B4" w:rsidRPr="00C4084C">
        <w:t xml:space="preserve"> through increased participation and engagement from equity cohorts. </w:t>
      </w:r>
    </w:p>
    <w:p w14:paraId="2394AE0A" w14:textId="4AAEDF12" w:rsidR="005042B4" w:rsidRPr="00C4084C" w:rsidRDefault="005042B4" w:rsidP="005042B4">
      <w:pPr>
        <w:spacing w:after="0"/>
      </w:pPr>
      <w:r w:rsidRPr="00C4084C">
        <w:t>These actions included to:</w:t>
      </w:r>
    </w:p>
    <w:p w14:paraId="19E57F84" w14:textId="329F9B65" w:rsidR="005042B4" w:rsidRPr="00C4084C" w:rsidRDefault="005042B4" w:rsidP="00FB44F8">
      <w:pPr>
        <w:pStyle w:val="ListParagraph"/>
        <w:numPr>
          <w:ilvl w:val="0"/>
          <w:numId w:val="16"/>
        </w:numPr>
        <w:spacing w:after="160" w:line="259" w:lineRule="auto"/>
        <w:ind w:left="360"/>
      </w:pPr>
      <w:r w:rsidRPr="00C4084C">
        <w:t xml:space="preserve">Extend visible, local access to tertiary education by creating further Regional University Centres (RUCs) and establish a similar concept for suburban/metropolitan </w:t>
      </w:r>
      <w:proofErr w:type="gramStart"/>
      <w:r w:rsidRPr="00C4084C">
        <w:t>locations</w:t>
      </w:r>
      <w:proofErr w:type="gramEnd"/>
    </w:p>
    <w:p w14:paraId="1459A22E" w14:textId="30193A86" w:rsidR="005042B4" w:rsidRPr="00C4084C" w:rsidRDefault="005042B4" w:rsidP="00FB44F8">
      <w:pPr>
        <w:pStyle w:val="ListParagraph"/>
        <w:numPr>
          <w:ilvl w:val="0"/>
          <w:numId w:val="16"/>
        </w:numPr>
        <w:spacing w:after="160" w:line="259" w:lineRule="auto"/>
        <w:ind w:left="360"/>
      </w:pPr>
      <w:r w:rsidRPr="00C4084C">
        <w:t xml:space="preserve">Cease the 50% pass rule, given its poor equity impacts, and require increased reporting on student </w:t>
      </w:r>
      <w:proofErr w:type="gramStart"/>
      <w:r w:rsidRPr="00C4084C">
        <w:t>progress</w:t>
      </w:r>
      <w:proofErr w:type="gramEnd"/>
    </w:p>
    <w:p w14:paraId="4DAF6D2A" w14:textId="52E6EF6F" w:rsidR="005042B4" w:rsidRPr="00C4084C" w:rsidRDefault="005042B4" w:rsidP="00FB44F8">
      <w:pPr>
        <w:pStyle w:val="ListParagraph"/>
        <w:numPr>
          <w:ilvl w:val="0"/>
          <w:numId w:val="16"/>
        </w:numPr>
        <w:spacing w:after="160" w:line="259" w:lineRule="auto"/>
        <w:ind w:left="360"/>
      </w:pPr>
      <w:r w:rsidRPr="00C4084C">
        <w:t xml:space="preserve">Ensure that all First Nations students are eligible for a funded place at university, by extending demand driven funding to metropolitan First Nations </w:t>
      </w:r>
      <w:proofErr w:type="gramStart"/>
      <w:r w:rsidRPr="00C4084C">
        <w:t>students</w:t>
      </w:r>
      <w:proofErr w:type="gramEnd"/>
    </w:p>
    <w:p w14:paraId="5DFBD5C6" w14:textId="007C5D7B" w:rsidR="005042B4" w:rsidRPr="00C4084C" w:rsidRDefault="005042B4" w:rsidP="00FB44F8">
      <w:pPr>
        <w:pStyle w:val="ListParagraph"/>
        <w:numPr>
          <w:ilvl w:val="0"/>
          <w:numId w:val="16"/>
        </w:numPr>
        <w:spacing w:after="160" w:line="259" w:lineRule="auto"/>
        <w:ind w:left="360"/>
      </w:pPr>
      <w:r w:rsidRPr="00C4084C">
        <w:t xml:space="preserve">Provide funding certainty, through the extension of the Higher Education Continuity Guarantee into 2024 and 2025, to minimise the risk of unnecessary structural adjustment to the sector. </w:t>
      </w:r>
      <w:r w:rsidRPr="00C4084C">
        <w:lastRenderedPageBreak/>
        <w:t xml:space="preserve">Interim funding arrangements must prioritise the delivery of supports for equity students to accelerate reform towards a high equity, high participation </w:t>
      </w:r>
      <w:proofErr w:type="gramStart"/>
      <w:r w:rsidRPr="00C4084C">
        <w:t>system</w:t>
      </w:r>
      <w:proofErr w:type="gramEnd"/>
    </w:p>
    <w:p w14:paraId="2144EDE4" w14:textId="77777777" w:rsidR="005042B4" w:rsidRPr="00C4084C" w:rsidRDefault="005042B4" w:rsidP="00FB44F8">
      <w:pPr>
        <w:pStyle w:val="ListParagraph"/>
        <w:numPr>
          <w:ilvl w:val="0"/>
          <w:numId w:val="16"/>
        </w:numPr>
        <w:spacing w:after="160" w:line="259" w:lineRule="auto"/>
        <w:ind w:left="360"/>
      </w:pPr>
      <w:r w:rsidRPr="00C4084C">
        <w:t xml:space="preserve">Through National Cabinet, immediately engage with state and territory governments and universities to improve university governance, particularly focusing on:  </w:t>
      </w:r>
    </w:p>
    <w:p w14:paraId="6C66F8F3" w14:textId="11F9DA8D" w:rsidR="005042B4" w:rsidRPr="00C4084C" w:rsidRDefault="005042B4" w:rsidP="00FB44F8">
      <w:pPr>
        <w:pStyle w:val="ListParagraph"/>
        <w:numPr>
          <w:ilvl w:val="0"/>
          <w:numId w:val="17"/>
        </w:numPr>
        <w:spacing w:after="160" w:line="259" w:lineRule="auto"/>
        <w:ind w:left="720"/>
      </w:pPr>
      <w:r w:rsidRPr="00C4084C">
        <w:t xml:space="preserve">universities being good </w:t>
      </w:r>
      <w:proofErr w:type="gramStart"/>
      <w:r w:rsidRPr="00C4084C">
        <w:t>employers</w:t>
      </w:r>
      <w:proofErr w:type="gramEnd"/>
    </w:p>
    <w:p w14:paraId="45697A2A" w14:textId="39420DBE" w:rsidR="005042B4" w:rsidRPr="00C4084C" w:rsidRDefault="005042B4" w:rsidP="00FB44F8">
      <w:pPr>
        <w:pStyle w:val="ListParagraph"/>
        <w:numPr>
          <w:ilvl w:val="0"/>
          <w:numId w:val="17"/>
        </w:numPr>
        <w:spacing w:after="160" w:line="259" w:lineRule="auto"/>
        <w:ind w:left="720"/>
      </w:pPr>
      <w:r w:rsidRPr="00C4084C">
        <w:t>student and staff safety</w:t>
      </w:r>
    </w:p>
    <w:p w14:paraId="7A8068B5" w14:textId="3616068B" w:rsidR="005042B4" w:rsidRPr="00C4084C" w:rsidRDefault="005042B4" w:rsidP="00FB44F8">
      <w:pPr>
        <w:pStyle w:val="ListParagraph"/>
        <w:numPr>
          <w:ilvl w:val="0"/>
          <w:numId w:val="17"/>
        </w:numPr>
        <w:spacing w:after="160" w:line="259" w:lineRule="auto"/>
        <w:ind w:left="720"/>
      </w:pPr>
      <w:r w:rsidRPr="00C4084C">
        <w:t>membership of governing bodies, including ensuring additional involvement of people with expertise in the business of universities.</w:t>
      </w:r>
    </w:p>
    <w:p w14:paraId="2B3DE496" w14:textId="045C5C57" w:rsidR="005042B4" w:rsidRPr="00C4084C" w:rsidRDefault="005042B4" w:rsidP="005042B4">
      <w:r w:rsidRPr="00C4084C">
        <w:t xml:space="preserve">Each of these priority actions has been accepted by </w:t>
      </w:r>
      <w:r w:rsidR="00652121" w:rsidRPr="00C4084C">
        <w:t xml:space="preserve">the Australian </w:t>
      </w:r>
      <w:r w:rsidRPr="00C4084C">
        <w:t>Government, and the Review notes</w:t>
      </w:r>
      <w:r w:rsidR="00202A60" w:rsidRPr="00C4084C">
        <w:t xml:space="preserve"> that</w:t>
      </w:r>
      <w:r w:rsidRPr="00C4084C">
        <w:t xml:space="preserve"> </w:t>
      </w:r>
      <w:r w:rsidRPr="00F50407">
        <w:rPr>
          <w:i/>
          <w:iCs/>
        </w:rPr>
        <w:t xml:space="preserve">The </w:t>
      </w:r>
      <w:r w:rsidR="00C77C6B" w:rsidRPr="00F50407">
        <w:rPr>
          <w:i/>
          <w:iCs/>
        </w:rPr>
        <w:t xml:space="preserve">Higher </w:t>
      </w:r>
      <w:r w:rsidRPr="00F50407">
        <w:rPr>
          <w:i/>
          <w:iCs/>
        </w:rPr>
        <w:t xml:space="preserve">Education Support Amendment (Response to the Australian Universities Accord Interim Report) </w:t>
      </w:r>
      <w:r w:rsidR="00202A60" w:rsidRPr="00F50407">
        <w:rPr>
          <w:i/>
          <w:iCs/>
        </w:rPr>
        <w:t xml:space="preserve">Act </w:t>
      </w:r>
      <w:r w:rsidRPr="00F50407">
        <w:rPr>
          <w:i/>
          <w:iCs/>
        </w:rPr>
        <w:t>2023</w:t>
      </w:r>
      <w:r w:rsidRPr="00C4084C">
        <w:t xml:space="preserve"> </w:t>
      </w:r>
      <w:r w:rsidR="00202A60" w:rsidRPr="00C4084C">
        <w:t>(</w:t>
      </w:r>
      <w:proofErr w:type="spellStart"/>
      <w:r w:rsidR="00202A60" w:rsidRPr="00C4084C">
        <w:t>Cth</w:t>
      </w:r>
      <w:proofErr w:type="spellEnd"/>
      <w:r w:rsidR="00202A60" w:rsidRPr="00C4084C">
        <w:t xml:space="preserve">) </w:t>
      </w:r>
      <w:r w:rsidR="00151D73" w:rsidRPr="00C4084C">
        <w:t>came</w:t>
      </w:r>
      <w:r w:rsidR="004F0125" w:rsidRPr="00C4084C">
        <w:t xml:space="preserve"> into </w:t>
      </w:r>
      <w:r w:rsidR="00966374" w:rsidRPr="00C4084C">
        <w:t>force</w:t>
      </w:r>
      <w:r w:rsidR="004F0125" w:rsidRPr="00C4084C">
        <w:t xml:space="preserve"> </w:t>
      </w:r>
      <w:r w:rsidR="00151D73" w:rsidRPr="00C4084C">
        <w:t>on</w:t>
      </w:r>
      <w:r w:rsidR="004F0125" w:rsidRPr="00C4084C">
        <w:t xml:space="preserve"> 6 November</w:t>
      </w:r>
      <w:r w:rsidRPr="00C4084C">
        <w:t xml:space="preserve"> 2023. These are positive steps in building momentum for change.</w:t>
      </w:r>
    </w:p>
    <w:p w14:paraId="06ECD6C5" w14:textId="3E1AD73B" w:rsidR="00B9573F" w:rsidRPr="00C4084C" w:rsidRDefault="00B9573F" w:rsidP="00B9573F">
      <w:r w:rsidRPr="00C4084C">
        <w:t xml:space="preserve">Over the course of the year, the Review commissioned work from </w:t>
      </w:r>
      <w:r w:rsidR="00CD6ACA" w:rsidRPr="00C4084C">
        <w:t>tertiary education</w:t>
      </w:r>
      <w:r w:rsidR="005042B4" w:rsidRPr="00C4084C">
        <w:t xml:space="preserve"> </w:t>
      </w:r>
      <w:r w:rsidRPr="00C4084C">
        <w:t xml:space="preserve">sector experts to provide additional research, test ideas and help formulate options to drive reform. The Review </w:t>
      </w:r>
      <w:r w:rsidR="00EC4200" w:rsidRPr="00C4084C">
        <w:t>thank</w:t>
      </w:r>
      <w:r w:rsidR="0057450D" w:rsidRPr="00C4084C">
        <w:t>s</w:t>
      </w:r>
      <w:r w:rsidRPr="00C4084C">
        <w:t xml:space="preserve"> these partners, whose </w:t>
      </w:r>
      <w:r w:rsidR="00903750" w:rsidRPr="00C4084C">
        <w:t>research</w:t>
      </w:r>
      <w:r w:rsidRPr="00C4084C">
        <w:t xml:space="preserve"> </w:t>
      </w:r>
      <w:r w:rsidR="005C2D3E" w:rsidRPr="00C4084C">
        <w:t>th</w:t>
      </w:r>
      <w:r w:rsidR="00123C9B" w:rsidRPr="00C4084C">
        <w:t>is Report</w:t>
      </w:r>
      <w:r w:rsidRPr="00C4084C">
        <w:t xml:space="preserve"> </w:t>
      </w:r>
      <w:r w:rsidR="00202A60" w:rsidRPr="00C4084C">
        <w:t xml:space="preserve">considerably </w:t>
      </w:r>
      <w:r w:rsidRPr="00C4084C">
        <w:t xml:space="preserve">draws on. For practical reasons the </w:t>
      </w:r>
      <w:r w:rsidR="00F002F6">
        <w:t>R</w:t>
      </w:r>
      <w:r w:rsidR="00F002F6" w:rsidRPr="00C4084C">
        <w:t xml:space="preserve">eport </w:t>
      </w:r>
      <w:r w:rsidRPr="00C4084C">
        <w:t>does not footnote each use of a commissioned piece. A full list of commissioned works is included at Appendix F.</w:t>
      </w:r>
    </w:p>
    <w:p w14:paraId="77569953" w14:textId="2401799D" w:rsidR="00223D48" w:rsidRPr="00C4084C" w:rsidRDefault="001D3E58" w:rsidP="00B9573F">
      <w:r w:rsidRPr="00C4084C">
        <w:t>Under terms of confidentiality</w:t>
      </w:r>
      <w:r w:rsidR="006768AE" w:rsidRPr="00C4084C" w:rsidDel="001D3E58">
        <w:t>,</w:t>
      </w:r>
      <w:r w:rsidRPr="00C4084C">
        <w:t xml:space="preserve"> various experts reviewed and commented on </w:t>
      </w:r>
      <w:r w:rsidR="00E776B9" w:rsidRPr="00C4084C">
        <w:t>chapters</w:t>
      </w:r>
      <w:r w:rsidRPr="00C4084C">
        <w:t xml:space="preserve"> of this</w:t>
      </w:r>
      <w:r w:rsidR="00E776B9" w:rsidRPr="00C4084C">
        <w:t xml:space="preserve"> </w:t>
      </w:r>
      <w:r w:rsidR="000775DD">
        <w:t>R</w:t>
      </w:r>
      <w:r w:rsidRPr="00C4084C">
        <w:t>eport.</w:t>
      </w:r>
      <w:r w:rsidR="00E776B9" w:rsidRPr="00C4084C">
        <w:t xml:space="preserve"> </w:t>
      </w:r>
      <w:r w:rsidRPr="00C4084C">
        <w:t xml:space="preserve">The </w:t>
      </w:r>
      <w:r w:rsidR="006768AE" w:rsidRPr="00C4084C">
        <w:t xml:space="preserve">Review </w:t>
      </w:r>
      <w:r w:rsidRPr="00C4084C">
        <w:t>thanks</w:t>
      </w:r>
      <w:r w:rsidR="00B86BA5" w:rsidRPr="00C4084C">
        <w:t xml:space="preserve"> </w:t>
      </w:r>
      <w:r w:rsidR="00E776B9" w:rsidRPr="00C4084C">
        <w:t xml:space="preserve">them and </w:t>
      </w:r>
      <w:r w:rsidR="00771018" w:rsidRPr="00C4084C">
        <w:t>all</w:t>
      </w:r>
      <w:r w:rsidR="00A85029" w:rsidRPr="00C4084C">
        <w:t xml:space="preserve"> </w:t>
      </w:r>
      <w:r w:rsidRPr="00C4084C">
        <w:t xml:space="preserve">those </w:t>
      </w:r>
      <w:r w:rsidR="00A85029" w:rsidRPr="00C4084C">
        <w:t xml:space="preserve">who generously donated their </w:t>
      </w:r>
      <w:r w:rsidRPr="00C4084C">
        <w:t xml:space="preserve">ideas, </w:t>
      </w:r>
      <w:r w:rsidR="00A85029" w:rsidRPr="00C4084C">
        <w:t>time</w:t>
      </w:r>
      <w:r w:rsidR="003903D8" w:rsidRPr="00C4084C">
        <w:t>,</w:t>
      </w:r>
      <w:r w:rsidR="00A85029" w:rsidRPr="00C4084C">
        <w:t xml:space="preserve"> </w:t>
      </w:r>
      <w:proofErr w:type="gramStart"/>
      <w:r w:rsidR="00A85029" w:rsidRPr="00C4084C">
        <w:t>expertise</w:t>
      </w:r>
      <w:proofErr w:type="gramEnd"/>
      <w:r w:rsidR="003903D8" w:rsidRPr="00C4084C">
        <w:t xml:space="preserve"> and wise counsel </w:t>
      </w:r>
      <w:r w:rsidR="00771018" w:rsidRPr="00C4084C">
        <w:t>and</w:t>
      </w:r>
      <w:r w:rsidR="00FF0280" w:rsidRPr="00C4084C">
        <w:t>,</w:t>
      </w:r>
      <w:r w:rsidR="00771018" w:rsidRPr="00C4084C">
        <w:t xml:space="preserve"> in doing so</w:t>
      </w:r>
      <w:r w:rsidR="00FF0280" w:rsidRPr="00C4084C">
        <w:t>,</w:t>
      </w:r>
      <w:r w:rsidR="00771018" w:rsidRPr="00C4084C">
        <w:t xml:space="preserve"> made</w:t>
      </w:r>
      <w:r w:rsidR="00A85029" w:rsidRPr="00C4084C">
        <w:t xml:space="preserve"> this </w:t>
      </w:r>
      <w:r w:rsidR="000775DD">
        <w:t>R</w:t>
      </w:r>
      <w:r w:rsidR="003903D8" w:rsidRPr="00C4084C">
        <w:t>eport</w:t>
      </w:r>
      <w:r w:rsidR="00A85029" w:rsidRPr="00C4084C">
        <w:t xml:space="preserve"> stronger.</w:t>
      </w:r>
    </w:p>
    <w:p w14:paraId="741FAFE5" w14:textId="77777777" w:rsidR="005042B4" w:rsidRPr="00C4084C" w:rsidRDefault="005042B4" w:rsidP="00BA6095">
      <w:pPr>
        <w:pStyle w:val="Heading4"/>
      </w:pPr>
      <w:bookmarkStart w:id="33" w:name="_Toc153483001"/>
      <w:bookmarkStart w:id="34" w:name="_Toc159500911"/>
      <w:r w:rsidRPr="00BA6095">
        <w:t>Approach</w:t>
      </w:r>
      <w:r w:rsidRPr="00C4084C">
        <w:t xml:space="preserve"> of this Review</w:t>
      </w:r>
      <w:bookmarkEnd w:id="32"/>
      <w:bookmarkEnd w:id="33"/>
      <w:bookmarkEnd w:id="34"/>
    </w:p>
    <w:p w14:paraId="7EABE60A" w14:textId="2D7E542B" w:rsidR="005042B4" w:rsidRPr="00C4084C" w:rsidRDefault="005042B4" w:rsidP="008C67CA">
      <w:r w:rsidRPr="00C4084C">
        <w:t xml:space="preserve">The Review has been guided by its broad </w:t>
      </w:r>
      <w:r w:rsidR="006935A1" w:rsidRPr="00C4084C">
        <w:t>Terms</w:t>
      </w:r>
      <w:r w:rsidRPr="00C4084C">
        <w:t xml:space="preserve"> of </w:t>
      </w:r>
      <w:r w:rsidR="006935A1" w:rsidRPr="00C4084C">
        <w:t>Reference</w:t>
      </w:r>
      <w:r w:rsidRPr="00C4084C">
        <w:t xml:space="preserve">. The full </w:t>
      </w:r>
      <w:r w:rsidR="006935A1" w:rsidRPr="00C4084C">
        <w:t>Terms</w:t>
      </w:r>
      <w:r w:rsidRPr="00C4084C">
        <w:t xml:space="preserve"> of </w:t>
      </w:r>
      <w:r w:rsidR="006935A1" w:rsidRPr="00C4084C">
        <w:t>Reference</w:t>
      </w:r>
      <w:r w:rsidRPr="00C4084C">
        <w:t xml:space="preserve"> of the Review are included at Appendix </w:t>
      </w:r>
      <w:r w:rsidR="00A93D69" w:rsidRPr="00C4084C">
        <w:t>A</w:t>
      </w:r>
      <w:r w:rsidRPr="00C4084C">
        <w:t>. They list 7 key areas for review:</w:t>
      </w:r>
    </w:p>
    <w:p w14:paraId="23A51122" w14:textId="77777777" w:rsidR="005042B4" w:rsidRPr="00C4084C" w:rsidRDefault="005042B4" w:rsidP="005042B4">
      <w:pPr>
        <w:pStyle w:val="ListBullet"/>
      </w:pPr>
      <w:r w:rsidRPr="00C4084C">
        <w:t xml:space="preserve">meeting Australia’s knowledge and skills needs, now and in the </w:t>
      </w:r>
      <w:proofErr w:type="gramStart"/>
      <w:r w:rsidRPr="00C4084C">
        <w:t>future</w:t>
      </w:r>
      <w:proofErr w:type="gramEnd"/>
    </w:p>
    <w:p w14:paraId="0E8F16CD" w14:textId="729E2DEC" w:rsidR="005042B4" w:rsidRPr="00C4084C" w:rsidRDefault="005042B4" w:rsidP="005042B4">
      <w:pPr>
        <w:pStyle w:val="ListBullet"/>
      </w:pPr>
      <w:r w:rsidRPr="00C4084C">
        <w:t>access and opportunity</w:t>
      </w:r>
    </w:p>
    <w:p w14:paraId="226A7AF6" w14:textId="77777777" w:rsidR="005042B4" w:rsidRPr="00C4084C" w:rsidRDefault="005042B4" w:rsidP="005042B4">
      <w:pPr>
        <w:pStyle w:val="ListBullet"/>
      </w:pPr>
      <w:r w:rsidRPr="00C4084C">
        <w:t>investment and affordability</w:t>
      </w:r>
    </w:p>
    <w:p w14:paraId="69FBE397" w14:textId="77777777" w:rsidR="005042B4" w:rsidRPr="00C4084C" w:rsidRDefault="005042B4" w:rsidP="005042B4">
      <w:pPr>
        <w:pStyle w:val="ListBullet"/>
      </w:pPr>
      <w:r w:rsidRPr="00C4084C">
        <w:t xml:space="preserve">governance, </w:t>
      </w:r>
      <w:proofErr w:type="gramStart"/>
      <w:r w:rsidRPr="00C4084C">
        <w:t>accountability</w:t>
      </w:r>
      <w:proofErr w:type="gramEnd"/>
      <w:r w:rsidRPr="00C4084C">
        <w:t xml:space="preserve"> and community</w:t>
      </w:r>
    </w:p>
    <w:p w14:paraId="7F5708D8" w14:textId="77777777" w:rsidR="005042B4" w:rsidRPr="00C4084C" w:rsidRDefault="005042B4" w:rsidP="005042B4">
      <w:pPr>
        <w:pStyle w:val="ListBullet"/>
      </w:pPr>
      <w:r w:rsidRPr="00C4084C">
        <w:t>the connection between the vocational education and training (VET) and the higher education systems</w:t>
      </w:r>
    </w:p>
    <w:p w14:paraId="48FB4360" w14:textId="3954AE3F" w:rsidR="005042B4" w:rsidRPr="00C4084C" w:rsidRDefault="005042B4" w:rsidP="005042B4">
      <w:pPr>
        <w:pStyle w:val="ListBullet"/>
      </w:pPr>
      <w:r w:rsidRPr="00C4084C">
        <w:t>quality and sustainability</w:t>
      </w:r>
    </w:p>
    <w:p w14:paraId="6A548BEB" w14:textId="77777777" w:rsidR="005042B4" w:rsidRPr="00C4084C" w:rsidRDefault="005042B4" w:rsidP="005042B4">
      <w:pPr>
        <w:pStyle w:val="ListBullet"/>
      </w:pPr>
      <w:r w:rsidRPr="00C4084C">
        <w:t xml:space="preserve">delivering new knowledge, </w:t>
      </w:r>
      <w:proofErr w:type="gramStart"/>
      <w:r w:rsidRPr="00C4084C">
        <w:t>innovation</w:t>
      </w:r>
      <w:proofErr w:type="gramEnd"/>
      <w:r w:rsidRPr="00C4084C">
        <w:t xml:space="preserve"> and capability.</w:t>
      </w:r>
    </w:p>
    <w:p w14:paraId="4888B29A" w14:textId="02C7A2FC" w:rsidR="005042B4" w:rsidRPr="00C4084C" w:rsidRDefault="005042B4" w:rsidP="005042B4">
      <w:pPr>
        <w:spacing w:after="0"/>
      </w:pPr>
      <w:r w:rsidRPr="00C4084C">
        <w:t xml:space="preserve">Of these 7 areas, the Review considers 3 </w:t>
      </w:r>
      <w:r w:rsidR="6B81833E" w:rsidRPr="00C4084C">
        <w:t>major</w:t>
      </w:r>
      <w:r w:rsidR="00837892" w:rsidRPr="00C4084C">
        <w:t xml:space="preserve"> </w:t>
      </w:r>
      <w:r w:rsidR="295AC863" w:rsidRPr="00C4084C">
        <w:t>national needs that the tertiary education system delivers for</w:t>
      </w:r>
      <w:r w:rsidRPr="00C4084C">
        <w:t xml:space="preserve">: </w:t>
      </w:r>
    </w:p>
    <w:p w14:paraId="3F389DEE" w14:textId="77777777" w:rsidR="005042B4" w:rsidRPr="00C4084C" w:rsidRDefault="005042B4" w:rsidP="005042B4">
      <w:pPr>
        <w:pStyle w:val="ListBullet"/>
        <w:rPr>
          <w:i/>
          <w:iCs/>
        </w:rPr>
      </w:pPr>
      <w:r w:rsidRPr="00C4084C">
        <w:rPr>
          <w:i/>
          <w:iCs/>
        </w:rPr>
        <w:t xml:space="preserve">meeting Australia’s future knowledge and skills </w:t>
      </w:r>
      <w:proofErr w:type="gramStart"/>
      <w:r w:rsidRPr="00C4084C">
        <w:rPr>
          <w:i/>
          <w:iCs/>
        </w:rPr>
        <w:t>needs</w:t>
      </w:r>
      <w:proofErr w:type="gramEnd"/>
    </w:p>
    <w:p w14:paraId="7A0F8115" w14:textId="67A351AD" w:rsidR="005042B4" w:rsidRPr="00C4084C" w:rsidRDefault="005042B4" w:rsidP="005042B4">
      <w:pPr>
        <w:pStyle w:val="ListBullet"/>
      </w:pPr>
      <w:r w:rsidRPr="00C4084C">
        <w:rPr>
          <w:i/>
          <w:iCs/>
        </w:rPr>
        <w:t>expanding access and opportunity</w:t>
      </w:r>
      <w:r w:rsidRPr="00C4084C">
        <w:t xml:space="preserve"> to people currently </w:t>
      </w:r>
      <w:r w:rsidR="00D7545F" w:rsidRPr="00C4084C">
        <w:t>under-represented</w:t>
      </w:r>
      <w:r w:rsidRPr="00C4084C">
        <w:t xml:space="preserve"> at </w:t>
      </w:r>
      <w:proofErr w:type="gramStart"/>
      <w:r w:rsidRPr="00C4084C">
        <w:t>university</w:t>
      </w:r>
      <w:proofErr w:type="gramEnd"/>
    </w:p>
    <w:p w14:paraId="3FD809BA" w14:textId="28455390" w:rsidR="005042B4" w:rsidRPr="00C4084C" w:rsidRDefault="005042B4" w:rsidP="005042B4">
      <w:pPr>
        <w:pStyle w:val="ListBullet"/>
      </w:pPr>
      <w:r w:rsidRPr="00C4084C">
        <w:t xml:space="preserve">continuing to </w:t>
      </w:r>
      <w:r w:rsidRPr="00C4084C">
        <w:rPr>
          <w:i/>
          <w:iCs/>
        </w:rPr>
        <w:t xml:space="preserve">deliver new knowledge, </w:t>
      </w:r>
      <w:proofErr w:type="gramStart"/>
      <w:r w:rsidRPr="00C4084C">
        <w:rPr>
          <w:i/>
          <w:iCs/>
        </w:rPr>
        <w:t>innovation</w:t>
      </w:r>
      <w:proofErr w:type="gramEnd"/>
      <w:r w:rsidRPr="00C4084C">
        <w:rPr>
          <w:i/>
          <w:iCs/>
        </w:rPr>
        <w:t xml:space="preserve"> and capability</w:t>
      </w:r>
      <w:r w:rsidRPr="00C4084C">
        <w:t xml:space="preserve"> to benefit Australia’s society and economy.</w:t>
      </w:r>
    </w:p>
    <w:p w14:paraId="57C1F4EC" w14:textId="05A9E977" w:rsidR="005042B4" w:rsidRPr="00C4084C" w:rsidRDefault="005042B4" w:rsidP="00BF406A">
      <w:r w:rsidRPr="00C4084C">
        <w:t xml:space="preserve">Although the </w:t>
      </w:r>
      <w:r w:rsidR="006935A1" w:rsidRPr="00C4084C">
        <w:t>Terms</w:t>
      </w:r>
      <w:r w:rsidRPr="00C4084C">
        <w:t xml:space="preserve"> of </w:t>
      </w:r>
      <w:r w:rsidR="006935A1" w:rsidRPr="00C4084C">
        <w:t>Reference</w:t>
      </w:r>
      <w:r w:rsidRPr="00C4084C">
        <w:t xml:space="preserve"> ask the Review to consider connections between VET and higher education, they do not extend to an in-depth review of the VET system itself. </w:t>
      </w:r>
    </w:p>
    <w:p w14:paraId="46DDEE4E" w14:textId="77777777" w:rsidR="005042B4" w:rsidRPr="00C4084C" w:rsidRDefault="005042B4" w:rsidP="00BF406A">
      <w:r w:rsidRPr="00C4084C">
        <w:t xml:space="preserve">It is difficult to consider the higher education system in isolation – particularly in the context of national need. For example, it is impossible to achieve expanded access and opportunity, or to meet </w:t>
      </w:r>
      <w:r w:rsidRPr="00C4084C">
        <w:lastRenderedPageBreak/>
        <w:t xml:space="preserve">current skills shortages (in both the professions and critical trades), without the full contribution of both the VET and higher education systems. It is critical that VET and higher education work closely together.   </w:t>
      </w:r>
    </w:p>
    <w:p w14:paraId="4B0C07BE" w14:textId="27088DB4" w:rsidR="005042B4" w:rsidRPr="00C4084C" w:rsidRDefault="644587FC" w:rsidP="00BF406A">
      <w:r w:rsidRPr="00C4084C">
        <w:t>I</w:t>
      </w:r>
      <w:r w:rsidR="2EED1171" w:rsidRPr="00C4084C">
        <w:t>n</w:t>
      </w:r>
      <w:r w:rsidR="005042B4" w:rsidRPr="00C4084C">
        <w:t xml:space="preserve"> exploring areas of current and future national need, and assessing system performance against these, a priority of the Review has been to reinforce the fundamental role of tertiary education in Australia and how, through learning, teaching, research</w:t>
      </w:r>
      <w:r w:rsidR="00FF0280" w:rsidRPr="00C4084C">
        <w:t>,</w:t>
      </w:r>
      <w:r w:rsidR="005042B4" w:rsidRPr="00C4084C">
        <w:t xml:space="preserve"> and community engagement, it underpins and contributes to the nation’s intellectual, cultural, </w:t>
      </w:r>
      <w:proofErr w:type="gramStart"/>
      <w:r w:rsidR="005042B4" w:rsidRPr="00C4084C">
        <w:t>social</w:t>
      </w:r>
      <w:proofErr w:type="gramEnd"/>
      <w:r w:rsidR="005042B4" w:rsidRPr="00C4084C">
        <w:t xml:space="preserve"> and economic development </w:t>
      </w:r>
      <w:r w:rsidR="786825A2" w:rsidRPr="00C4084C">
        <w:t>and environmental sustainability</w:t>
      </w:r>
      <w:r w:rsidR="2EED1171" w:rsidRPr="00C4084C">
        <w:t xml:space="preserve"> </w:t>
      </w:r>
      <w:r w:rsidR="005042B4" w:rsidRPr="00C4084C">
        <w:t>at individual, community and societal levels.</w:t>
      </w:r>
    </w:p>
    <w:p w14:paraId="2791E2F6" w14:textId="41C39376" w:rsidR="005042B4" w:rsidRPr="00C4084C" w:rsidRDefault="005042B4" w:rsidP="005042B4">
      <w:pPr>
        <w:pStyle w:val="Heading5"/>
      </w:pPr>
      <w:bookmarkStart w:id="35" w:name="_Toc152314493"/>
      <w:r w:rsidRPr="00C4084C">
        <w:t>An overarching objective</w:t>
      </w:r>
      <w:bookmarkEnd w:id="35"/>
    </w:p>
    <w:p w14:paraId="22BCB02A" w14:textId="3B739A39" w:rsidR="005042B4" w:rsidRPr="00C4084C" w:rsidDel="008374D8" w:rsidRDefault="005042B4" w:rsidP="00BF406A">
      <w:r w:rsidRPr="00C4084C">
        <w:t xml:space="preserve">The objects of </w:t>
      </w:r>
      <w:r w:rsidRPr="00C4084C">
        <w:rPr>
          <w:i/>
        </w:rPr>
        <w:t>higher education</w:t>
      </w:r>
      <w:r w:rsidRPr="00C4084C">
        <w:t xml:space="preserve"> are well articulated in the </w:t>
      </w:r>
      <w:r w:rsidRPr="00C4084C">
        <w:rPr>
          <w:i/>
          <w:iCs/>
        </w:rPr>
        <w:t>Higher Education Support Act 2003</w:t>
      </w:r>
      <w:r w:rsidR="00E3363C" w:rsidRPr="00C4084C">
        <w:rPr>
          <w:i/>
          <w:iCs/>
        </w:rPr>
        <w:t xml:space="preserve"> </w:t>
      </w:r>
      <w:r w:rsidR="00E3363C" w:rsidRPr="00C4084C">
        <w:t>(</w:t>
      </w:r>
      <w:proofErr w:type="spellStart"/>
      <w:r w:rsidR="00E3363C" w:rsidRPr="00C4084C">
        <w:t>Cth</w:t>
      </w:r>
      <w:proofErr w:type="spellEnd"/>
      <w:r w:rsidR="00E3363C" w:rsidRPr="00C4084C">
        <w:t>)</w:t>
      </w:r>
      <w:r w:rsidR="00577D66" w:rsidRPr="00C4084C">
        <w:t xml:space="preserve"> (HESA</w:t>
      </w:r>
      <w:r w:rsidR="00E3363C" w:rsidRPr="00C4084C">
        <w:t>)</w:t>
      </w:r>
      <w:r w:rsidRPr="00C4084C" w:rsidDel="008374D8">
        <w:t>, as follows:</w:t>
      </w:r>
    </w:p>
    <w:p w14:paraId="3BBF08F6" w14:textId="7D708AE4" w:rsidR="005042B4" w:rsidRPr="00C4084C" w:rsidDel="008374D8" w:rsidRDefault="005042B4" w:rsidP="00FB44F8">
      <w:pPr>
        <w:numPr>
          <w:ilvl w:val="0"/>
          <w:numId w:val="6"/>
        </w:numPr>
        <w:spacing w:after="160"/>
        <w:rPr>
          <w:i/>
          <w:iCs/>
        </w:rPr>
      </w:pPr>
      <w:r w:rsidRPr="00C4084C" w:rsidDel="008374D8">
        <w:rPr>
          <w:i/>
          <w:iCs/>
        </w:rPr>
        <w:t>to support a higher education system that:</w:t>
      </w:r>
    </w:p>
    <w:p w14:paraId="2AC786B5" w14:textId="7D708AE4" w:rsidR="005042B4" w:rsidRPr="00C4084C" w:rsidDel="008374D8" w:rsidRDefault="005042B4" w:rsidP="00FB44F8">
      <w:pPr>
        <w:numPr>
          <w:ilvl w:val="0"/>
          <w:numId w:val="7"/>
        </w:numPr>
        <w:spacing w:after="160"/>
        <w:rPr>
          <w:i/>
          <w:iCs/>
        </w:rPr>
      </w:pPr>
      <w:r w:rsidRPr="00C4084C" w:rsidDel="008374D8">
        <w:rPr>
          <w:i/>
          <w:iCs/>
        </w:rPr>
        <w:t xml:space="preserve">is characterised by quality, </w:t>
      </w:r>
      <w:proofErr w:type="gramStart"/>
      <w:r w:rsidRPr="00C4084C" w:rsidDel="008374D8">
        <w:rPr>
          <w:i/>
          <w:iCs/>
        </w:rPr>
        <w:t>diversity</w:t>
      </w:r>
      <w:proofErr w:type="gramEnd"/>
      <w:r w:rsidRPr="00C4084C" w:rsidDel="008374D8">
        <w:rPr>
          <w:i/>
          <w:iCs/>
        </w:rPr>
        <w:t xml:space="preserve"> and equity of access; and</w:t>
      </w:r>
    </w:p>
    <w:p w14:paraId="43879037" w14:textId="7D708AE4" w:rsidR="005042B4" w:rsidRPr="00C4084C" w:rsidDel="008374D8" w:rsidRDefault="005042B4" w:rsidP="00FB44F8">
      <w:pPr>
        <w:numPr>
          <w:ilvl w:val="0"/>
          <w:numId w:val="7"/>
        </w:numPr>
        <w:spacing w:after="160"/>
        <w:rPr>
          <w:i/>
          <w:iCs/>
        </w:rPr>
      </w:pPr>
      <w:r w:rsidRPr="00C4084C" w:rsidDel="008374D8">
        <w:rPr>
          <w:i/>
          <w:iCs/>
        </w:rPr>
        <w:t>contributes to the development of cultural and intellectual life in Australia; and</w:t>
      </w:r>
    </w:p>
    <w:p w14:paraId="42B46C3E" w14:textId="7D708AE4" w:rsidR="005042B4" w:rsidRPr="00C4084C" w:rsidDel="008374D8" w:rsidRDefault="005042B4" w:rsidP="00FB44F8">
      <w:pPr>
        <w:numPr>
          <w:ilvl w:val="0"/>
          <w:numId w:val="7"/>
        </w:numPr>
        <w:spacing w:after="160"/>
        <w:rPr>
          <w:i/>
          <w:iCs/>
        </w:rPr>
      </w:pPr>
      <w:r w:rsidRPr="00C4084C" w:rsidDel="008374D8">
        <w:rPr>
          <w:i/>
          <w:iCs/>
        </w:rPr>
        <w:t>is appropriate to meet Australia’s social and economic needs for a highly educated and skilled population; and</w:t>
      </w:r>
    </w:p>
    <w:p w14:paraId="1EA94D55" w14:textId="7D708AE4" w:rsidR="005042B4" w:rsidRPr="00C4084C" w:rsidDel="008374D8" w:rsidRDefault="005042B4" w:rsidP="00F50407">
      <w:pPr>
        <w:numPr>
          <w:ilvl w:val="0"/>
          <w:numId w:val="7"/>
        </w:numPr>
        <w:spacing w:after="160"/>
        <w:ind w:left="1077" w:hanging="357"/>
        <w:rPr>
          <w:i/>
          <w:iCs/>
        </w:rPr>
      </w:pPr>
      <w:r w:rsidRPr="00C4084C" w:rsidDel="008374D8">
        <w:rPr>
          <w:i/>
          <w:iCs/>
        </w:rPr>
        <w:t xml:space="preserve">promotes and protects free intellectual inquiry in learning, </w:t>
      </w:r>
      <w:proofErr w:type="gramStart"/>
      <w:r w:rsidRPr="00C4084C" w:rsidDel="008374D8">
        <w:rPr>
          <w:i/>
          <w:iCs/>
        </w:rPr>
        <w:t>teaching</w:t>
      </w:r>
      <w:proofErr w:type="gramEnd"/>
      <w:r w:rsidRPr="00C4084C" w:rsidDel="008374D8">
        <w:rPr>
          <w:i/>
          <w:iCs/>
        </w:rPr>
        <w:t xml:space="preserve"> and research; and</w:t>
      </w:r>
    </w:p>
    <w:p w14:paraId="6008824E" w14:textId="7D708AE4" w:rsidR="005042B4" w:rsidRPr="00C4084C" w:rsidDel="008374D8" w:rsidRDefault="005042B4" w:rsidP="00FB44F8">
      <w:pPr>
        <w:numPr>
          <w:ilvl w:val="0"/>
          <w:numId w:val="6"/>
        </w:numPr>
        <w:spacing w:after="160"/>
        <w:rPr>
          <w:i/>
          <w:iCs/>
        </w:rPr>
      </w:pPr>
      <w:r w:rsidRPr="00C4084C" w:rsidDel="008374D8">
        <w:rPr>
          <w:i/>
          <w:iCs/>
        </w:rPr>
        <w:t>to support the distinctive purposes of universities, which are:</w:t>
      </w:r>
    </w:p>
    <w:p w14:paraId="417BCEAA" w14:textId="7D708AE4" w:rsidR="005042B4" w:rsidRPr="00C4084C" w:rsidDel="008374D8" w:rsidRDefault="005042B4" w:rsidP="00FB44F8">
      <w:pPr>
        <w:numPr>
          <w:ilvl w:val="0"/>
          <w:numId w:val="8"/>
        </w:numPr>
        <w:spacing w:after="160"/>
        <w:rPr>
          <w:i/>
          <w:iCs/>
        </w:rPr>
      </w:pPr>
      <w:r w:rsidRPr="00C4084C" w:rsidDel="008374D8">
        <w:rPr>
          <w:i/>
          <w:iCs/>
        </w:rPr>
        <w:t xml:space="preserve">the education of persons, enabling them to take a leadership role in the intellectual, cultural, </w:t>
      </w:r>
      <w:proofErr w:type="gramStart"/>
      <w:r w:rsidRPr="00C4084C" w:rsidDel="008374D8">
        <w:rPr>
          <w:i/>
          <w:iCs/>
        </w:rPr>
        <w:t>economic</w:t>
      </w:r>
      <w:proofErr w:type="gramEnd"/>
      <w:r w:rsidRPr="00C4084C" w:rsidDel="008374D8">
        <w:rPr>
          <w:i/>
          <w:iCs/>
        </w:rPr>
        <w:t xml:space="preserve"> and social development of their communities; and</w:t>
      </w:r>
    </w:p>
    <w:p w14:paraId="45B431EA" w14:textId="7D708AE4" w:rsidR="005042B4" w:rsidRPr="00C4084C" w:rsidDel="008374D8" w:rsidRDefault="005042B4" w:rsidP="00FB44F8">
      <w:pPr>
        <w:numPr>
          <w:ilvl w:val="0"/>
          <w:numId w:val="8"/>
        </w:numPr>
        <w:spacing w:after="160"/>
        <w:rPr>
          <w:i/>
          <w:iCs/>
        </w:rPr>
      </w:pPr>
      <w:r w:rsidRPr="00C4084C" w:rsidDel="008374D8">
        <w:rPr>
          <w:i/>
          <w:iCs/>
        </w:rPr>
        <w:t>the creation and advancement of knowledge; and</w:t>
      </w:r>
    </w:p>
    <w:p w14:paraId="2CEBB5E6" w14:textId="7D708AE4" w:rsidR="005042B4" w:rsidRPr="00C4084C" w:rsidDel="008374D8" w:rsidRDefault="005042B4" w:rsidP="0072052F">
      <w:pPr>
        <w:numPr>
          <w:ilvl w:val="0"/>
          <w:numId w:val="8"/>
        </w:numPr>
        <w:spacing w:after="120"/>
        <w:ind w:left="1077" w:hanging="357"/>
        <w:rPr>
          <w:i/>
          <w:iCs/>
        </w:rPr>
      </w:pPr>
      <w:r w:rsidRPr="00C4084C" w:rsidDel="008374D8">
        <w:rPr>
          <w:i/>
          <w:iCs/>
        </w:rPr>
        <w:t xml:space="preserve">the application of knowledge and discoveries to the betterment of communities in Australia and </w:t>
      </w:r>
      <w:proofErr w:type="gramStart"/>
      <w:r w:rsidRPr="00C4084C" w:rsidDel="008374D8">
        <w:rPr>
          <w:i/>
          <w:iCs/>
        </w:rPr>
        <w:t>internationally;</w:t>
      </w:r>
      <w:proofErr w:type="gramEnd"/>
    </w:p>
    <w:p w14:paraId="69AE14DD" w14:textId="7D708AE4" w:rsidR="005042B4" w:rsidRPr="00C4084C" w:rsidDel="008374D8" w:rsidRDefault="005042B4" w:rsidP="73220C76">
      <w:pPr>
        <w:ind w:left="720"/>
        <w:rPr>
          <w:i/>
          <w:iCs/>
        </w:rPr>
      </w:pPr>
      <w:r w:rsidRPr="00C4084C" w:rsidDel="008374D8">
        <w:rPr>
          <w:i/>
          <w:iCs/>
        </w:rPr>
        <w:t>recognising that universities are established under laws of the Commonwealth, the States and the Territories that empower them to achieve their objectives as autonomous institutions through governing bodies that are responsible for both the university’s overall performance and its ongoing independence; and</w:t>
      </w:r>
    </w:p>
    <w:p w14:paraId="56635A18" w14:textId="7D708AE4" w:rsidR="005042B4" w:rsidRPr="00C4084C" w:rsidDel="008374D8" w:rsidRDefault="005042B4" w:rsidP="00F50407">
      <w:pPr>
        <w:numPr>
          <w:ilvl w:val="0"/>
          <w:numId w:val="6"/>
        </w:numPr>
        <w:spacing w:after="160"/>
        <w:ind w:left="714" w:hanging="357"/>
        <w:rPr>
          <w:i/>
          <w:iCs/>
        </w:rPr>
      </w:pPr>
      <w:r w:rsidRPr="00C4084C" w:rsidDel="008374D8">
        <w:rPr>
          <w:i/>
          <w:iCs/>
        </w:rPr>
        <w:t xml:space="preserve">to strengthen Australia’s knowledge base, and enhance the contribution of Australia’s research capabilities to national economic development, international </w:t>
      </w:r>
      <w:proofErr w:type="gramStart"/>
      <w:r w:rsidRPr="00C4084C" w:rsidDel="008374D8">
        <w:rPr>
          <w:i/>
          <w:iCs/>
        </w:rPr>
        <w:t>competitiveness</w:t>
      </w:r>
      <w:proofErr w:type="gramEnd"/>
      <w:r w:rsidRPr="00C4084C" w:rsidDel="008374D8">
        <w:rPr>
          <w:i/>
          <w:iCs/>
        </w:rPr>
        <w:t xml:space="preserve"> and the attainment of social goals; and</w:t>
      </w:r>
    </w:p>
    <w:p w14:paraId="3C843591" w14:textId="7D708AE4" w:rsidR="005042B4" w:rsidRPr="00C4084C" w:rsidDel="008374D8" w:rsidRDefault="005042B4" w:rsidP="00FB44F8">
      <w:pPr>
        <w:numPr>
          <w:ilvl w:val="0"/>
          <w:numId w:val="6"/>
        </w:numPr>
        <w:spacing w:after="160"/>
        <w:rPr>
          <w:i/>
          <w:iCs/>
        </w:rPr>
      </w:pPr>
      <w:r w:rsidRPr="00C4084C" w:rsidDel="008374D8">
        <w:rPr>
          <w:i/>
          <w:iCs/>
        </w:rPr>
        <w:t>to support students undertaking higher education and certain vocational education and training.</w:t>
      </w:r>
    </w:p>
    <w:p w14:paraId="3707D644" w14:textId="17DE71D8" w:rsidR="005042B4" w:rsidRPr="00C4084C" w:rsidRDefault="008374D8" w:rsidP="00BF406A">
      <w:r w:rsidRPr="00C4084C">
        <w:t xml:space="preserve">The </w:t>
      </w:r>
      <w:r w:rsidR="005042B4" w:rsidRPr="00C4084C">
        <w:t>Review endorses these objects</w:t>
      </w:r>
      <w:r w:rsidR="00202A60" w:rsidRPr="00C4084C">
        <w:t>. T</w:t>
      </w:r>
      <w:r w:rsidR="005042B4" w:rsidRPr="00C4084C">
        <w:t xml:space="preserve">hey </w:t>
      </w:r>
      <w:r w:rsidR="5C8422C7" w:rsidRPr="00C4084C">
        <w:t xml:space="preserve">cover </w:t>
      </w:r>
      <w:r w:rsidR="005042B4" w:rsidRPr="00C4084C">
        <w:t>Australia’s intellectual, cultural, economic</w:t>
      </w:r>
      <w:r w:rsidR="0F6A2F39" w:rsidRPr="00C4084C">
        <w:t>,</w:t>
      </w:r>
      <w:r w:rsidR="005042B4" w:rsidRPr="00C4084C">
        <w:t xml:space="preserve"> </w:t>
      </w:r>
      <w:proofErr w:type="gramStart"/>
      <w:r w:rsidR="005042B4" w:rsidRPr="00C4084C">
        <w:t>social</w:t>
      </w:r>
      <w:proofErr w:type="gramEnd"/>
      <w:r w:rsidR="7EA40BE2" w:rsidRPr="00C4084C">
        <w:t xml:space="preserve"> </w:t>
      </w:r>
      <w:r w:rsidR="005042B4" w:rsidRPr="00C4084C">
        <w:t xml:space="preserve">and </w:t>
      </w:r>
      <w:r w:rsidR="7EA40BE2" w:rsidRPr="00C4084C">
        <w:t>environmental</w:t>
      </w:r>
      <w:r w:rsidR="005042B4" w:rsidRPr="00C4084C">
        <w:t xml:space="preserve"> development and outline the value of higher education contributing to </w:t>
      </w:r>
      <w:r w:rsidR="24A7BF0B" w:rsidRPr="00C4084C">
        <w:t>these</w:t>
      </w:r>
      <w:r w:rsidR="005042B4" w:rsidRPr="00C4084C">
        <w:t>.</w:t>
      </w:r>
      <w:r w:rsidR="005042B4" w:rsidRPr="00C4084C">
        <w:rPr>
          <w:vertAlign w:val="superscript"/>
        </w:rPr>
        <w:footnoteReference w:id="12"/>
      </w:r>
      <w:r w:rsidR="005042B4" w:rsidRPr="00C4084C">
        <w:t xml:space="preserve"> Yet there is no clear statement describing the </w:t>
      </w:r>
      <w:r w:rsidR="10455527" w:rsidRPr="00C4084C">
        <w:t xml:space="preserve">objectives of the whole </w:t>
      </w:r>
      <w:r w:rsidR="005042B4" w:rsidRPr="00C4084C">
        <w:t xml:space="preserve">tertiary education </w:t>
      </w:r>
      <w:r w:rsidR="02284A03" w:rsidRPr="00C4084C">
        <w:t>system</w:t>
      </w:r>
      <w:r w:rsidR="00305E5B" w:rsidRPr="00C4084C">
        <w:t xml:space="preserve"> </w:t>
      </w:r>
      <w:r w:rsidR="005042B4" w:rsidRPr="00C4084C">
        <w:t xml:space="preserve">– encompassing both higher education and VET. </w:t>
      </w:r>
    </w:p>
    <w:p w14:paraId="42B3B955" w14:textId="3D258FCE" w:rsidR="005042B4" w:rsidRPr="00C4084C" w:rsidRDefault="3F5ECA3A" w:rsidP="00BF406A">
      <w:r w:rsidRPr="00C4084C">
        <w:lastRenderedPageBreak/>
        <w:t>T</w:t>
      </w:r>
      <w:r w:rsidR="00064454" w:rsidRPr="00C4084C">
        <w:t>o date, t</w:t>
      </w:r>
      <w:r w:rsidR="005042B4" w:rsidRPr="00C4084C">
        <w:t xml:space="preserve">he tertiary </w:t>
      </w:r>
      <w:r w:rsidR="00305E5B" w:rsidRPr="00C4084C">
        <w:t>education</w:t>
      </w:r>
      <w:r w:rsidR="005042B4" w:rsidRPr="00C4084C">
        <w:t xml:space="preserve"> </w:t>
      </w:r>
      <w:r w:rsidR="00123C9B" w:rsidRPr="00C4084C">
        <w:t>system</w:t>
      </w:r>
      <w:r w:rsidR="005042B4" w:rsidRPr="00C4084C">
        <w:t xml:space="preserve"> has </w:t>
      </w:r>
      <w:r w:rsidR="00064454" w:rsidRPr="00C4084C">
        <w:t>not worked</w:t>
      </w:r>
      <w:r w:rsidR="005042B4" w:rsidRPr="00C4084C">
        <w:t xml:space="preserve"> towards a shared vision of its future</w:t>
      </w:r>
      <w:r w:rsidR="00853C53" w:rsidRPr="00C4084C">
        <w:t>. W</w:t>
      </w:r>
      <w:r w:rsidR="005042B4" w:rsidRPr="00C4084C">
        <w:t xml:space="preserve">ithout </w:t>
      </w:r>
      <w:r w:rsidR="00853C53" w:rsidRPr="00C4084C">
        <w:t>a clear</w:t>
      </w:r>
      <w:r w:rsidR="005042B4" w:rsidRPr="00C4084C">
        <w:t xml:space="preserve"> whole-of-system </w:t>
      </w:r>
      <w:r w:rsidR="00B73E99" w:rsidRPr="00C4084C">
        <w:t>objective</w:t>
      </w:r>
      <w:r w:rsidR="00376F7C" w:rsidRPr="00C4084C">
        <w:t>,</w:t>
      </w:r>
      <w:r w:rsidR="005A2D8D" w:rsidRPr="00C4084C">
        <w:t xml:space="preserve"> it</w:t>
      </w:r>
      <w:r w:rsidR="00B73E99" w:rsidRPr="00C4084C">
        <w:t xml:space="preserve"> has </w:t>
      </w:r>
      <w:r w:rsidR="005042B4" w:rsidRPr="00C4084C">
        <w:t xml:space="preserve">missed opportunities </w:t>
      </w:r>
      <w:r w:rsidR="00A740B5" w:rsidRPr="00C4084C">
        <w:t xml:space="preserve">for </w:t>
      </w:r>
      <w:r w:rsidR="005042B4" w:rsidRPr="00C4084C">
        <w:t xml:space="preserve">integrated reform. </w:t>
      </w:r>
    </w:p>
    <w:p w14:paraId="03D9C86D" w14:textId="650AA5E7" w:rsidR="005042B4" w:rsidRPr="00C4084C" w:rsidRDefault="00F2423A" w:rsidP="00BF406A">
      <w:r w:rsidRPr="00C4084C">
        <w:t>Accordingly, t</w:t>
      </w:r>
      <w:r w:rsidR="005042B4" w:rsidRPr="00C4084C">
        <w:t xml:space="preserve">he Review proposes that an expanded system objective apply in parallel to the objects of HESA with potential to apply across the policy spectrum of the whole tertiary </w:t>
      </w:r>
      <w:r w:rsidR="007162DD" w:rsidRPr="00C4084C">
        <w:t xml:space="preserve">education </w:t>
      </w:r>
      <w:r w:rsidR="005042B4" w:rsidRPr="00C4084C">
        <w:t>system.</w:t>
      </w:r>
    </w:p>
    <w:p w14:paraId="54EAA934" w14:textId="57D93720" w:rsidR="005042B4" w:rsidRPr="00C4084C" w:rsidRDefault="00F2423A" w:rsidP="00BF406A">
      <w:r w:rsidRPr="00C4084C">
        <w:t>It is recommended that the O</w:t>
      </w:r>
      <w:r w:rsidR="005042B4" w:rsidRPr="00C4084C">
        <w:t>bjective of the tertiary education system is to:</w:t>
      </w:r>
    </w:p>
    <w:p w14:paraId="605CF6F2" w14:textId="470F22CB" w:rsidR="00007A79" w:rsidRPr="00BF406A" w:rsidRDefault="00007A79" w:rsidP="00BF406A">
      <w:pPr>
        <w:pStyle w:val="List"/>
        <w:numPr>
          <w:ilvl w:val="0"/>
          <w:numId w:val="37"/>
        </w:numPr>
      </w:pPr>
      <w:bookmarkStart w:id="36" w:name="_Toc152314494"/>
      <w:r w:rsidRPr="00BF406A">
        <w:rPr>
          <w:rStyle w:val="normaltextrun"/>
          <w:b/>
          <w:bCs/>
        </w:rPr>
        <w:t>underpin</w:t>
      </w:r>
      <w:r w:rsidRPr="00BF406A">
        <w:rPr>
          <w:rStyle w:val="normaltextrun"/>
        </w:rPr>
        <w:t xml:space="preserve"> a strong, equitable and resilient </w:t>
      </w:r>
      <w:proofErr w:type="gramStart"/>
      <w:r w:rsidRPr="00BF406A">
        <w:rPr>
          <w:rStyle w:val="normaltextrun"/>
        </w:rPr>
        <w:t>democracy</w:t>
      </w:r>
      <w:proofErr w:type="gramEnd"/>
    </w:p>
    <w:p w14:paraId="08202D47" w14:textId="77777777" w:rsidR="005042B4" w:rsidRPr="00BF406A" w:rsidRDefault="005042B4" w:rsidP="00BF406A">
      <w:pPr>
        <w:pStyle w:val="List"/>
      </w:pPr>
      <w:r w:rsidRPr="00BF406A">
        <w:rPr>
          <w:rStyle w:val="normaltextrun"/>
          <w:b/>
          <w:bCs/>
        </w:rPr>
        <w:t>drive</w:t>
      </w:r>
      <w:r w:rsidRPr="00BF406A">
        <w:rPr>
          <w:rStyle w:val="normaltextrun"/>
        </w:rPr>
        <w:t xml:space="preserve"> national economic, social development and environmental sustainability.</w:t>
      </w:r>
      <w:r w:rsidRPr="00BF406A">
        <w:rPr>
          <w:rStyle w:val="eop"/>
        </w:rPr>
        <w:t> </w:t>
      </w:r>
    </w:p>
    <w:p w14:paraId="5575A3AE" w14:textId="77777777" w:rsidR="005042B4" w:rsidRPr="00BF406A" w:rsidRDefault="005042B4" w:rsidP="00BF406A">
      <w:pPr>
        <w:rPr>
          <w:rStyle w:val="eop"/>
          <w:color w:val="000000" w:themeColor="text1"/>
        </w:rPr>
      </w:pPr>
      <w:r w:rsidRPr="00BF406A">
        <w:rPr>
          <w:rStyle w:val="eop"/>
        </w:rPr>
        <w:t>The National Tertiary Education Objective will be achieved through ensuring:</w:t>
      </w:r>
    </w:p>
    <w:p w14:paraId="1D152E78" w14:textId="4BC21F8B" w:rsidR="005042B4" w:rsidRPr="004406D4" w:rsidRDefault="005042B4" w:rsidP="00BF406A">
      <w:pPr>
        <w:pStyle w:val="ListBullet"/>
        <w:rPr>
          <w:rStyle w:val="normaltextrun"/>
        </w:rPr>
      </w:pPr>
      <w:r w:rsidRPr="00C4084C">
        <w:rPr>
          <w:rStyle w:val="normaltextrun"/>
        </w:rPr>
        <w:t>a strong</w:t>
      </w:r>
      <w:r w:rsidR="7729E927" w:rsidRPr="00C4084C">
        <w:rPr>
          <w:rStyle w:val="normaltextrun"/>
        </w:rPr>
        <w:t xml:space="preserve">, </w:t>
      </w:r>
      <w:r w:rsidR="00E518C4" w:rsidRPr="00C4084C">
        <w:rPr>
          <w:rStyle w:val="normaltextrun"/>
        </w:rPr>
        <w:t>efficient</w:t>
      </w:r>
      <w:r w:rsidRPr="00C4084C">
        <w:rPr>
          <w:rStyle w:val="normaltextrun"/>
        </w:rPr>
        <w:t xml:space="preserve"> and dynamic tertiary education system that has the capacity, capability and infrastructure it </w:t>
      </w:r>
      <w:proofErr w:type="gramStart"/>
      <w:r w:rsidRPr="00C4084C">
        <w:rPr>
          <w:rStyle w:val="normaltextrun"/>
        </w:rPr>
        <w:t>needs</w:t>
      </w:r>
      <w:proofErr w:type="gramEnd"/>
      <w:r w:rsidRPr="00C4084C">
        <w:rPr>
          <w:rStyle w:val="normaltextrun"/>
        </w:rPr>
        <w:t> </w:t>
      </w:r>
    </w:p>
    <w:p w14:paraId="50A4666B" w14:textId="7140FA8C" w:rsidR="005042B4" w:rsidRPr="00C4084C" w:rsidRDefault="005042B4" w:rsidP="00BF406A">
      <w:pPr>
        <w:pStyle w:val="ListBullet"/>
        <w:rPr>
          <w:rStyle w:val="normaltextrun"/>
        </w:rPr>
      </w:pPr>
      <w:r w:rsidRPr="00C4084C">
        <w:rPr>
          <w:rStyle w:val="normaltextrun"/>
        </w:rPr>
        <w:t xml:space="preserve">affordable and equitable opportunity for all Australians to access and participate in high-quality, engaging and transformative tertiary education </w:t>
      </w:r>
      <w:proofErr w:type="gramStart"/>
      <w:r w:rsidRPr="00C4084C">
        <w:rPr>
          <w:rStyle w:val="normaltextrun"/>
        </w:rPr>
        <w:t>programs</w:t>
      </w:r>
      <w:proofErr w:type="gramEnd"/>
      <w:r w:rsidRPr="00C4084C">
        <w:rPr>
          <w:rStyle w:val="normaltextrun"/>
        </w:rPr>
        <w:t> </w:t>
      </w:r>
    </w:p>
    <w:p w14:paraId="4DF9F2E2" w14:textId="762F0065" w:rsidR="005042B4" w:rsidRPr="00C4084C" w:rsidRDefault="005042B4" w:rsidP="00BF406A">
      <w:pPr>
        <w:pStyle w:val="ListBullet"/>
        <w:rPr>
          <w:rStyle w:val="normaltextrun"/>
        </w:rPr>
      </w:pPr>
      <w:r w:rsidRPr="00C4084C">
        <w:rPr>
          <w:rStyle w:val="normaltextrun"/>
        </w:rPr>
        <w:t xml:space="preserve">delivery of graduates with the creativity and technical skills to meet future workforce and societal </w:t>
      </w:r>
      <w:proofErr w:type="gramStart"/>
      <w:r w:rsidRPr="00C4084C">
        <w:rPr>
          <w:rStyle w:val="normaltextrun"/>
        </w:rPr>
        <w:t>need</w:t>
      </w:r>
      <w:proofErr w:type="gramEnd"/>
    </w:p>
    <w:p w14:paraId="08E7A40B" w14:textId="43249E5E" w:rsidR="005042B4" w:rsidRPr="00C4084C" w:rsidRDefault="005042B4" w:rsidP="00BF406A">
      <w:pPr>
        <w:pStyle w:val="ListBullet"/>
        <w:rPr>
          <w:rStyle w:val="normaltextrun"/>
        </w:rPr>
      </w:pPr>
      <w:r w:rsidRPr="00C4084C">
        <w:rPr>
          <w:rStyle w:val="normaltextrun"/>
        </w:rPr>
        <w:t xml:space="preserve">collaborative and purposeful work between governments, tertiary education providers, industry, </w:t>
      </w:r>
      <w:r w:rsidR="00DF3E75" w:rsidRPr="00C4084C">
        <w:rPr>
          <w:rStyle w:val="normaltextrun"/>
        </w:rPr>
        <w:t>employers and unions</w:t>
      </w:r>
      <w:r w:rsidRPr="00C4084C">
        <w:rPr>
          <w:rStyle w:val="normaltextrun"/>
        </w:rPr>
        <w:t xml:space="preserve"> to flexibly align local skills supply with </w:t>
      </w:r>
      <w:proofErr w:type="gramStart"/>
      <w:r w:rsidRPr="00C4084C">
        <w:rPr>
          <w:rStyle w:val="normaltextrun"/>
        </w:rPr>
        <w:t>demand</w:t>
      </w:r>
      <w:proofErr w:type="gramEnd"/>
    </w:p>
    <w:p w14:paraId="68464CAD" w14:textId="58EB8BF8" w:rsidR="00854A75" w:rsidRPr="008C67CA" w:rsidRDefault="005042B4" w:rsidP="00C5169B">
      <w:pPr>
        <w:pStyle w:val="ListBullet"/>
      </w:pPr>
      <w:r w:rsidRPr="00C4084C">
        <w:rPr>
          <w:rStyle w:val="normaltextrun"/>
        </w:rPr>
        <w:t>the creation and diffusion of new knowledge and its innovative application for the betterment of society.</w:t>
      </w:r>
    </w:p>
    <w:tbl>
      <w:tblPr>
        <w:tblW w:w="0" w:type="auto"/>
        <w:shd w:val="clear" w:color="auto" w:fill="FBE4D5"/>
        <w:tblLook w:val="04A0" w:firstRow="1" w:lastRow="0" w:firstColumn="1" w:lastColumn="0" w:noHBand="0" w:noVBand="1"/>
      </w:tblPr>
      <w:tblGrid>
        <w:gridCol w:w="9026"/>
      </w:tblGrid>
      <w:tr w:rsidR="007776B9" w:rsidRPr="00C4084C" w14:paraId="5F8EEF0F" w14:textId="77777777" w:rsidTr="00D26B82">
        <w:tc>
          <w:tcPr>
            <w:tcW w:w="9026" w:type="dxa"/>
            <w:shd w:val="clear" w:color="auto" w:fill="B0C3DB"/>
          </w:tcPr>
          <w:p w14:paraId="4C3195CB" w14:textId="03900F11" w:rsidR="008D0305" w:rsidRDefault="00C5169B" w:rsidP="003E5969">
            <w:pPr>
              <w:pStyle w:val="Findinginchapterheading"/>
              <w:rPr>
                <w:rStyle w:val="normaltextrun"/>
                <w:rFonts w:ascii="Calibri" w:hAnsi="Calibri" w:cs="Calibri"/>
              </w:rPr>
            </w:pPr>
            <w:r w:rsidRPr="00784CC8">
              <w:rPr>
                <w:rStyle w:val="normaltextrun"/>
                <w:szCs w:val="28"/>
              </w:rPr>
              <w:t>Findin</w:t>
            </w:r>
            <w:r w:rsidR="008D0305">
              <w:rPr>
                <w:rStyle w:val="normaltextrun"/>
                <w:szCs w:val="28"/>
              </w:rPr>
              <w:t xml:space="preserve">g: </w:t>
            </w:r>
            <w:r w:rsidR="007776B9" w:rsidRPr="00C4084C">
              <w:rPr>
                <w:rStyle w:val="normaltextrun"/>
                <w:rFonts w:ascii="Calibri" w:hAnsi="Calibri" w:cs="Calibri"/>
                <w:bCs/>
              </w:rPr>
              <w:t>Vision</w:t>
            </w:r>
            <w:r w:rsidR="007776B9" w:rsidRPr="00C4084C">
              <w:rPr>
                <w:rStyle w:val="normaltextrun"/>
                <w:rFonts w:ascii="Calibri" w:hAnsi="Calibri" w:cs="Calibri"/>
              </w:rPr>
              <w:t> </w:t>
            </w:r>
          </w:p>
          <w:p w14:paraId="57F4A5F1" w14:textId="16656DCA" w:rsidR="007776B9" w:rsidRPr="00C4084C" w:rsidDel="00882244" w:rsidRDefault="007776B9" w:rsidP="003E5969">
            <w:pPr>
              <w:pStyle w:val="Boxtext0"/>
              <w:spacing w:before="0"/>
            </w:pPr>
            <w:r w:rsidRPr="00C4084C">
              <w:t xml:space="preserve">Our vision is to grow and strengthen tertiary education in Australia over the next two decades so that all Australians </w:t>
            </w:r>
            <w:proofErr w:type="gramStart"/>
            <w:r w:rsidRPr="00C4084C">
              <w:t>have the opportunity to</w:t>
            </w:r>
            <w:proofErr w:type="gramEnd"/>
            <w:r w:rsidRPr="00C4084C">
              <w:t xml:space="preserve"> obtain the knowledge, skills and understanding to create and thrive in the jobs of the future. Australia needs this expanded tertiary education system to help achieve skills through equity and excellent, fit-for-purpose research, enabling more people to help meet the challenges facing our nation, </w:t>
            </w:r>
            <w:proofErr w:type="gramStart"/>
            <w:r w:rsidRPr="00C4084C">
              <w:t>region</w:t>
            </w:r>
            <w:proofErr w:type="gramEnd"/>
            <w:r w:rsidRPr="00C4084C">
              <w:t xml:space="preserve"> and world. Education, research, </w:t>
            </w:r>
            <w:proofErr w:type="gramStart"/>
            <w:r w:rsidRPr="00C4084C">
              <w:t>innovation</w:t>
            </w:r>
            <w:proofErr w:type="gramEnd"/>
            <w:r w:rsidRPr="00C4084C">
              <w:t xml:space="preserve"> and society-wide partnerships are vital for Australia’s economic prosperity, democratic cohesion and environmental sustainability.</w:t>
            </w:r>
          </w:p>
        </w:tc>
      </w:tr>
    </w:tbl>
    <w:p w14:paraId="37FA1EF5" w14:textId="77777777" w:rsidR="005042B4" w:rsidRPr="00C4084C" w:rsidRDefault="005042B4" w:rsidP="00BA6095">
      <w:pPr>
        <w:pStyle w:val="Heading4"/>
      </w:pPr>
      <w:bookmarkStart w:id="37" w:name="_Toc153483002"/>
      <w:bookmarkStart w:id="38" w:name="_Toc159500912"/>
      <w:bookmarkEnd w:id="36"/>
      <w:r w:rsidRPr="00C4084C">
        <w:t>The national education agenda</w:t>
      </w:r>
      <w:bookmarkEnd w:id="37"/>
      <w:bookmarkEnd w:id="38"/>
    </w:p>
    <w:p w14:paraId="461015B0" w14:textId="64D8D201" w:rsidR="1C1E4E48" w:rsidRPr="00C4084C" w:rsidRDefault="512FB013" w:rsidP="00D570D6">
      <w:pPr>
        <w:rPr>
          <w:rFonts w:cs="Arial"/>
        </w:rPr>
      </w:pPr>
      <w:r w:rsidRPr="00C4084C">
        <w:t xml:space="preserve">Australia requires a better and fairer education system. </w:t>
      </w:r>
      <w:proofErr w:type="gramStart"/>
      <w:r w:rsidRPr="00C4084C">
        <w:t>At the moment</w:t>
      </w:r>
      <w:proofErr w:type="gramEnd"/>
      <w:r w:rsidR="09863398" w:rsidRPr="00C4084C">
        <w:t>,</w:t>
      </w:r>
      <w:r w:rsidRPr="00C4084C">
        <w:t xml:space="preserve"> a child </w:t>
      </w:r>
      <w:r w:rsidR="00861F13" w:rsidRPr="00C4084C">
        <w:t xml:space="preserve">experiencing disadvantage </w:t>
      </w:r>
      <w:r w:rsidRPr="00C4084C">
        <w:t xml:space="preserve">is less likely to </w:t>
      </w:r>
      <w:r w:rsidR="002518F1" w:rsidRPr="00C4084C">
        <w:t xml:space="preserve">attend early childhood education and care </w:t>
      </w:r>
      <w:r w:rsidRPr="00C4084C">
        <w:t xml:space="preserve">and </w:t>
      </w:r>
      <w:r w:rsidR="00D16150" w:rsidRPr="00C4084C">
        <w:t xml:space="preserve">3 </w:t>
      </w:r>
      <w:r w:rsidRPr="00C4084C">
        <w:t>times more likely to fall behind at school.</w:t>
      </w:r>
      <w:r w:rsidR="00353B6E" w:rsidRPr="00C4084C">
        <w:rPr>
          <w:rStyle w:val="FootnoteReference"/>
        </w:rPr>
        <w:footnoteReference w:id="13"/>
      </w:r>
      <w:r w:rsidRPr="00C4084C">
        <w:t xml:space="preserve"> They are also less likely to finish high school and less likely to go on to tertiary education. The </w:t>
      </w:r>
      <w:r w:rsidR="3CE6FDD2" w:rsidRPr="00C4084C">
        <w:t>national e</w:t>
      </w:r>
      <w:r w:rsidRPr="00C4084C">
        <w:t>d</w:t>
      </w:r>
      <w:r w:rsidR="042548D2" w:rsidRPr="00C4084C">
        <w:t>u</w:t>
      </w:r>
      <w:r w:rsidRPr="00C4084C">
        <w:t>cation syste</w:t>
      </w:r>
      <w:r w:rsidR="23B318C9" w:rsidRPr="00C4084C">
        <w:t>m needs a coordinated approach that builds o</w:t>
      </w:r>
      <w:r w:rsidR="1BAB42E3" w:rsidRPr="00C4084C">
        <w:t>n</w:t>
      </w:r>
      <w:r w:rsidR="23B318C9" w:rsidRPr="00C4084C">
        <w:t xml:space="preserve"> the skills and capabilities of </w:t>
      </w:r>
      <w:r w:rsidR="00F43042" w:rsidRPr="00C4084C">
        <w:t xml:space="preserve">all </w:t>
      </w:r>
      <w:r w:rsidR="2536D78E" w:rsidRPr="00C4084C">
        <w:t>people throughout their education journey.</w:t>
      </w:r>
    </w:p>
    <w:p w14:paraId="538C3FDB" w14:textId="143FD486" w:rsidR="005042B4" w:rsidRPr="00C4084C" w:rsidRDefault="005042B4" w:rsidP="00D570D6">
      <w:r w:rsidRPr="00C4084C">
        <w:t xml:space="preserve">The early childhood education and care (ECEC) and school systems are crucial to preparing students to access and succeed in </w:t>
      </w:r>
      <w:r w:rsidR="0081303B" w:rsidRPr="00C4084C">
        <w:t xml:space="preserve">tertiary </w:t>
      </w:r>
      <w:r w:rsidRPr="00C4084C">
        <w:t xml:space="preserve">education. The impacts of successful or unsuccessful learning even in the early years of primary school and pre-school education can be lifelong and affect </w:t>
      </w:r>
      <w:r w:rsidR="00923715" w:rsidRPr="00C4084C">
        <w:t xml:space="preserve">tertiary </w:t>
      </w:r>
      <w:r w:rsidRPr="00C4084C">
        <w:lastRenderedPageBreak/>
        <w:t xml:space="preserve">education attainment and employment. Policies in these sectors are far reaching and their effects are felt for decades. </w:t>
      </w:r>
    </w:p>
    <w:p w14:paraId="467AA972" w14:textId="76F4C477" w:rsidR="005042B4" w:rsidRPr="00C4084C" w:rsidRDefault="005042B4" w:rsidP="00D570D6">
      <w:r w:rsidRPr="00C4084C">
        <w:t xml:space="preserve">These systems, including </w:t>
      </w:r>
      <w:r w:rsidR="0090533E" w:rsidRPr="00C4084C">
        <w:t>tertiary</w:t>
      </w:r>
      <w:r w:rsidRPr="00C4084C">
        <w:t xml:space="preserve"> education, can do more to meet Australia’s educational needs. They must work together to expand access to high-quality learning experiences and ensure better educational outcomes for all.</w:t>
      </w:r>
    </w:p>
    <w:p w14:paraId="5C46CA00" w14:textId="7F814B49" w:rsidR="00033780" w:rsidRPr="00C4084C" w:rsidRDefault="3AC52F41" w:rsidP="00D570D6">
      <w:pPr>
        <w:rPr>
          <w:rFonts w:cs="Arial"/>
        </w:rPr>
      </w:pPr>
      <w:r w:rsidRPr="00C4084C">
        <w:t xml:space="preserve">The Accord Review </w:t>
      </w:r>
      <w:r w:rsidR="134A6A04" w:rsidRPr="00C4084C">
        <w:t xml:space="preserve">is a key element of the </w:t>
      </w:r>
      <w:r w:rsidR="558DCAE2" w:rsidRPr="00C4084C">
        <w:t xml:space="preserve">wider </w:t>
      </w:r>
      <w:r w:rsidR="0090533E" w:rsidRPr="00C4084C">
        <w:t>set of</w:t>
      </w:r>
      <w:r w:rsidR="558DCAE2" w:rsidRPr="00C4084C">
        <w:t xml:space="preserve"> review</w:t>
      </w:r>
      <w:r w:rsidR="0090533E" w:rsidRPr="00C4084C">
        <w:t>s</w:t>
      </w:r>
      <w:r w:rsidR="558DCAE2" w:rsidRPr="00C4084C">
        <w:t xml:space="preserve"> of the Australian education system commissioned </w:t>
      </w:r>
      <w:r w:rsidRPr="00C4084C">
        <w:t xml:space="preserve">by </w:t>
      </w:r>
      <w:r w:rsidR="00652121" w:rsidRPr="00C4084C">
        <w:t>the Australian</w:t>
      </w:r>
      <w:r w:rsidRPr="00C4084C">
        <w:t xml:space="preserve"> Government in 2022. In addition to this Review, there is the Productivity Commission Inquiry into Australia’s Early Childhood Education and Care System led by Emeritus Professor Deborah Brennan AM, and the Review to Inform a Better and Fairer Education System led by Dr Lisa O’Brien AM (NSRA Review).</w:t>
      </w:r>
      <w:r w:rsidR="6436E4B4" w:rsidRPr="00C4084C">
        <w:t xml:space="preserve"> </w:t>
      </w:r>
    </w:p>
    <w:p w14:paraId="3209D8C9" w14:textId="77777777" w:rsidR="00E33FC3" w:rsidRPr="00C4084C" w:rsidRDefault="00E33FC3" w:rsidP="00B1626C">
      <w:pPr>
        <w:pStyle w:val="Heading6"/>
      </w:pPr>
      <w:bookmarkStart w:id="39" w:name="_Toc150605377"/>
      <w:bookmarkStart w:id="40" w:name="_Toc150675521"/>
      <w:bookmarkStart w:id="41" w:name="_Toc150675562"/>
      <w:bookmarkStart w:id="42" w:name="_Toc150605378"/>
      <w:bookmarkStart w:id="43" w:name="_Toc150675522"/>
      <w:bookmarkStart w:id="44" w:name="_Toc150675563"/>
      <w:bookmarkStart w:id="45" w:name="_Toc150605379"/>
      <w:bookmarkStart w:id="46" w:name="_Toc150675523"/>
      <w:bookmarkStart w:id="47" w:name="_Toc150675564"/>
      <w:bookmarkStart w:id="48" w:name="_Toc150605381"/>
      <w:bookmarkStart w:id="49" w:name="_Toc150675525"/>
      <w:bookmarkStart w:id="50" w:name="_Toc150675566"/>
      <w:bookmarkStart w:id="51" w:name="_Toc150605382"/>
      <w:bookmarkStart w:id="52" w:name="_Toc150675526"/>
      <w:bookmarkStart w:id="53" w:name="_Toc150675567"/>
      <w:bookmarkStart w:id="54" w:name="_Toc150605383"/>
      <w:bookmarkStart w:id="55" w:name="_Toc150675527"/>
      <w:bookmarkStart w:id="56" w:name="_Toc150675568"/>
      <w:bookmarkStart w:id="57" w:name="_Toc150605384"/>
      <w:bookmarkStart w:id="58" w:name="_Toc150675528"/>
      <w:bookmarkStart w:id="59" w:name="_Toc150675569"/>
      <w:bookmarkStart w:id="60" w:name="_Toc150605385"/>
      <w:bookmarkStart w:id="61" w:name="_Toc150675529"/>
      <w:bookmarkStart w:id="62" w:name="_Toc150675570"/>
      <w:bookmarkStart w:id="63" w:name="_Toc151806456"/>
      <w:bookmarkStart w:id="64" w:name="_Toc150689975"/>
      <w:bookmarkStart w:id="65" w:name="_Toc151806450"/>
      <w:bookmarkStart w:id="66" w:name="_Toc127203135"/>
      <w:bookmarkStart w:id="67" w:name="_Toc127786380"/>
      <w:bookmarkStart w:id="68" w:name="_Toc144391239"/>
      <w:bookmarkStart w:id="69" w:name="_Toc144391240"/>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C4084C">
        <w:t>Productivity Commission inquiry into early childhood education and care</w:t>
      </w:r>
      <w:bookmarkEnd w:id="63"/>
    </w:p>
    <w:p w14:paraId="3ECE5EBA" w14:textId="508C8B17" w:rsidR="00E33FC3" w:rsidRPr="00C4084C" w:rsidRDefault="00E33FC3" w:rsidP="00BB5FF7">
      <w:pPr>
        <w:rPr>
          <w:b/>
          <w:bCs/>
        </w:rPr>
      </w:pPr>
      <w:r w:rsidRPr="00C4084C">
        <w:t xml:space="preserve">The early years are a critical period in the cognitive, </w:t>
      </w:r>
      <w:proofErr w:type="gramStart"/>
      <w:r w:rsidRPr="00C4084C">
        <w:t>social</w:t>
      </w:r>
      <w:proofErr w:type="gramEnd"/>
      <w:r w:rsidRPr="00C4084C">
        <w:t xml:space="preserve"> and emotional development of children.</w:t>
      </w:r>
      <w:r w:rsidRPr="00C4084C">
        <w:rPr>
          <w:rStyle w:val="FootnoteReference"/>
        </w:rPr>
        <w:footnoteReference w:id="14"/>
      </w:r>
      <w:r w:rsidRPr="00C4084C">
        <w:t xml:space="preserve"> </w:t>
      </w:r>
      <w:r w:rsidR="00D7228D" w:rsidRPr="00C4084C">
        <w:t>Building aspiration to attend tertiary education can occur in the early years, as children see and model behaviour of people in the workplace, including in early childhood education settings.</w:t>
      </w:r>
      <w:r w:rsidR="00BF4AA5" w:rsidRPr="00C4084C">
        <w:rPr>
          <w:rStyle w:val="FootnoteReference"/>
        </w:rPr>
        <w:footnoteReference w:id="15"/>
      </w:r>
      <w:r w:rsidRPr="00C4084C">
        <w:t xml:space="preserve"> ECEC programs have positive effects on children’s early academic, cognitive </w:t>
      </w:r>
      <w:r w:rsidR="7236A71C" w:rsidRPr="00C4084C">
        <w:t>and</w:t>
      </w:r>
      <w:r w:rsidRPr="00C4084C">
        <w:t xml:space="preserve"> noncognitive skills. These benefits can last well into adulthood and an expansion of ECEC can have a positive effect on adult outcomes such as completing school and tertiary education, getting a job and </w:t>
      </w:r>
      <w:r w:rsidR="0090533E" w:rsidRPr="00C4084C">
        <w:t xml:space="preserve">a </w:t>
      </w:r>
      <w:r w:rsidR="00C9747E" w:rsidRPr="00C4084C">
        <w:t>decent income</w:t>
      </w:r>
      <w:r w:rsidR="001502C9" w:rsidRPr="00C4084C">
        <w:t>,</w:t>
      </w:r>
      <w:r w:rsidRPr="00C4084C">
        <w:t xml:space="preserve"> and avoiding contact with the justice system.</w:t>
      </w:r>
      <w:r w:rsidRPr="00C4084C">
        <w:rPr>
          <w:rStyle w:val="FootnoteReference"/>
          <w:spacing w:val="-4"/>
        </w:rPr>
        <w:footnoteReference w:id="16"/>
      </w:r>
      <w:r w:rsidRPr="00C4084C">
        <w:rPr>
          <w:b/>
          <w:bCs/>
        </w:rPr>
        <w:t xml:space="preserve"> </w:t>
      </w:r>
      <w:r w:rsidRPr="00C4084C">
        <w:t>Children who participate in high</w:t>
      </w:r>
      <w:r w:rsidR="006A5783" w:rsidRPr="00C4084C">
        <w:t>-</w:t>
      </w:r>
      <w:r w:rsidRPr="00C4084C">
        <w:t xml:space="preserve">quality ECEC are better prepared for school and tend to perform </w:t>
      </w:r>
      <w:r w:rsidR="009B3172" w:rsidRPr="00C4084C">
        <w:t xml:space="preserve">better </w:t>
      </w:r>
      <w:r w:rsidRPr="00C4084C">
        <w:t>academically.</w:t>
      </w:r>
      <w:r w:rsidRPr="00C4084C">
        <w:rPr>
          <w:rStyle w:val="FootnoteReference"/>
        </w:rPr>
        <w:footnoteReference w:id="17"/>
      </w:r>
      <w:r w:rsidRPr="00C4084C">
        <w:t xml:space="preserve"> Investing in the early years has a dual benefit for both children and parents by supporting children’s development </w:t>
      </w:r>
      <w:r w:rsidR="006103F0" w:rsidRPr="00C4084C">
        <w:t>in addition to</w:t>
      </w:r>
      <w:r w:rsidRPr="00C4084C">
        <w:t xml:space="preserve"> helping parents and carers to work, train or study</w:t>
      </w:r>
      <w:r w:rsidR="00D323F2" w:rsidRPr="00C4084C">
        <w:t>,</w:t>
      </w:r>
      <w:r w:rsidRPr="00C4084C">
        <w:t xml:space="preserve"> </w:t>
      </w:r>
      <w:r w:rsidR="006103F0" w:rsidRPr="00C4084C">
        <w:t>with</w:t>
      </w:r>
      <w:r w:rsidRPr="00C4084C">
        <w:t xml:space="preserve"> these benefits flow</w:t>
      </w:r>
      <w:r w:rsidR="006103F0" w:rsidRPr="00C4084C">
        <w:t>ing</w:t>
      </w:r>
      <w:r w:rsidRPr="00C4084C">
        <w:t xml:space="preserve"> into the community and Australian economy.</w:t>
      </w:r>
      <w:r w:rsidRPr="00C4084C">
        <w:rPr>
          <w:rStyle w:val="FootnoteReference"/>
        </w:rPr>
        <w:footnoteReference w:id="18"/>
      </w:r>
    </w:p>
    <w:p w14:paraId="5BBB5F02" w14:textId="556612F0" w:rsidR="00E33FC3" w:rsidRPr="00C4084C" w:rsidRDefault="00E33FC3" w:rsidP="00BB5FF7">
      <w:r w:rsidRPr="00C4084C">
        <w:t xml:space="preserve">The Productivity Commission’s inquiry into Australia’s ECEC system will help chart a course </w:t>
      </w:r>
      <w:r w:rsidR="006A788E" w:rsidRPr="00C4084C">
        <w:t xml:space="preserve">towards </w:t>
      </w:r>
      <w:r w:rsidRPr="00C4084C">
        <w:t>universal, affordable ECEC and make recommendations to support affordable, accessible, equitable</w:t>
      </w:r>
      <w:r w:rsidR="00902EF9" w:rsidRPr="00C4084C">
        <w:t xml:space="preserve">, </w:t>
      </w:r>
      <w:proofErr w:type="gramStart"/>
      <w:r w:rsidR="00902EF9" w:rsidRPr="00C4084C">
        <w:t>inclusive</w:t>
      </w:r>
      <w:proofErr w:type="gramEnd"/>
      <w:r w:rsidRPr="00C4084C">
        <w:t xml:space="preserve"> and high-quality ECEC that supports children’s learning and development</w:t>
      </w:r>
      <w:r w:rsidR="6B7F4768" w:rsidRPr="00C4084C">
        <w:t xml:space="preserve"> and reduces barriers to workforce participation</w:t>
      </w:r>
      <w:r w:rsidRPr="00C4084C">
        <w:t xml:space="preserve">. The </w:t>
      </w:r>
      <w:r w:rsidR="75EBB29A" w:rsidRPr="00C4084C">
        <w:t>Productivity</w:t>
      </w:r>
      <w:r w:rsidRPr="00C4084C">
        <w:t xml:space="preserve"> Commission released a draft report on 23 November 2023</w:t>
      </w:r>
      <w:r w:rsidR="009B3172" w:rsidRPr="00C4084C">
        <w:t xml:space="preserve"> which</w:t>
      </w:r>
      <w:r w:rsidRPr="00C4084C">
        <w:t xml:space="preserve"> includes 32 draft recommendations.</w:t>
      </w:r>
    </w:p>
    <w:p w14:paraId="3E38C151" w14:textId="48C857A6" w:rsidR="00E33FC3" w:rsidRPr="00C4084C" w:rsidRDefault="00E33FC3" w:rsidP="00BB5FF7">
      <w:r w:rsidRPr="00C4084C">
        <w:t xml:space="preserve">The Productivity Commission will consider submissions and undertake further consultations as it prepares its final report, which will be provided to the </w:t>
      </w:r>
      <w:r w:rsidR="00652121" w:rsidRPr="00C4084C">
        <w:t>Australian</w:t>
      </w:r>
      <w:r w:rsidRPr="00C4084C">
        <w:t xml:space="preserve"> Government by 30 June 2024.</w:t>
      </w:r>
    </w:p>
    <w:p w14:paraId="6AE1DC0F" w14:textId="3AD0A76A" w:rsidR="00E33FC3" w:rsidRPr="00C4084C" w:rsidRDefault="00E33FC3" w:rsidP="00BB5FF7">
      <w:r w:rsidRPr="00C4084C">
        <w:t>The draft report acknowledges and addresses that quality of the children’s education and care workforce is critical to the successful delivery of high-quality ECEC.</w:t>
      </w:r>
      <w:r w:rsidRPr="00C4084C">
        <w:rPr>
          <w:rStyle w:val="FootnoteReference"/>
        </w:rPr>
        <w:footnoteReference w:id="19"/>
      </w:r>
      <w:r w:rsidRPr="00C4084C">
        <w:t xml:space="preserve"> Appropriately qualified </w:t>
      </w:r>
      <w:r w:rsidRPr="00C4084C">
        <w:lastRenderedPageBreak/>
        <w:t>educators and teachers are better able to involve children, stimulate positive interactions, and use a range of strategies to extend and support learning and development.</w:t>
      </w:r>
      <w:r w:rsidRPr="00C4084C">
        <w:rPr>
          <w:rStyle w:val="FootnoteReference"/>
        </w:rPr>
        <w:footnoteReference w:id="20"/>
      </w:r>
    </w:p>
    <w:p w14:paraId="75C423B5" w14:textId="77777777" w:rsidR="00E33FC3" w:rsidRPr="00C4084C" w:rsidRDefault="00E33FC3" w:rsidP="00B1626C">
      <w:pPr>
        <w:pStyle w:val="Heading6"/>
      </w:pPr>
      <w:bookmarkStart w:id="70" w:name="_Toc151806457"/>
      <w:r w:rsidRPr="00C4084C">
        <w:t>Review to Inform a Better and Fairer Education System</w:t>
      </w:r>
      <w:bookmarkEnd w:id="70"/>
    </w:p>
    <w:p w14:paraId="009AC521" w14:textId="3F433891" w:rsidR="00E33FC3" w:rsidRPr="00C4084C" w:rsidRDefault="00E33FC3" w:rsidP="00BB5FF7">
      <w:r w:rsidRPr="00C4084C">
        <w:t xml:space="preserve">Academic preparedness is essential to improving access to and success in </w:t>
      </w:r>
      <w:r w:rsidR="0090533E" w:rsidRPr="00C4084C">
        <w:t>tertiary</w:t>
      </w:r>
      <w:r w:rsidRPr="00C4084C">
        <w:t xml:space="preserve"> education. While there are increasingly flexible alternative pathways into </w:t>
      </w:r>
      <w:r w:rsidR="0090533E" w:rsidRPr="00C4084C">
        <w:t>tertiary</w:t>
      </w:r>
      <w:r w:rsidRPr="00C4084C">
        <w:t xml:space="preserve"> education</w:t>
      </w:r>
      <w:r w:rsidR="00B3166A" w:rsidRPr="00C4084C">
        <w:t xml:space="preserve">, student outcomes in </w:t>
      </w:r>
      <w:r w:rsidRPr="00C4084C">
        <w:t xml:space="preserve">school are a strong basis for aspiration and attainment of a </w:t>
      </w:r>
      <w:r w:rsidR="0090533E" w:rsidRPr="00C4084C">
        <w:t>tertiary</w:t>
      </w:r>
      <w:r w:rsidRPr="00C4084C">
        <w:t xml:space="preserve"> education qualification. Improving the school system and student outcomes will ensure more students can access a </w:t>
      </w:r>
      <w:r w:rsidR="00156870" w:rsidRPr="00C4084C">
        <w:t>tertiary</w:t>
      </w:r>
      <w:r w:rsidRPr="00C4084C">
        <w:t xml:space="preserve"> education</w:t>
      </w:r>
      <w:r w:rsidR="00B3166A" w:rsidRPr="00C4084C">
        <w:t xml:space="preserve">, </w:t>
      </w:r>
      <w:r w:rsidRPr="00C4084C">
        <w:t xml:space="preserve">particularly for </w:t>
      </w:r>
      <w:r w:rsidR="00B3166A" w:rsidRPr="00C4084C">
        <w:t xml:space="preserve">cohorts </w:t>
      </w:r>
      <w:r w:rsidRPr="00C4084C">
        <w:t xml:space="preserve">historically </w:t>
      </w:r>
      <w:r w:rsidR="00D7545F" w:rsidRPr="00C4084C">
        <w:t>under-represented</w:t>
      </w:r>
      <w:r w:rsidRPr="00C4084C">
        <w:t xml:space="preserve"> in </w:t>
      </w:r>
      <w:r w:rsidR="00156870" w:rsidRPr="00C4084C">
        <w:t>tertiary</w:t>
      </w:r>
      <w:r w:rsidRPr="00C4084C">
        <w:t xml:space="preserve"> education</w:t>
      </w:r>
      <w:r w:rsidR="00E8425C" w:rsidRPr="00C4084C">
        <w:t>, as</w:t>
      </w:r>
      <w:r w:rsidRPr="00C4084C">
        <w:t xml:space="preserve"> discussed further in </w:t>
      </w:r>
      <w:r w:rsidR="00FC259E" w:rsidRPr="00C4084C">
        <w:rPr>
          <w:i/>
        </w:rPr>
        <w:fldChar w:fldCharType="begin"/>
      </w:r>
      <w:r w:rsidR="00FC259E" w:rsidRPr="00C4084C">
        <w:instrText xml:space="preserve"> REF _Ref151934425 \r \h </w:instrText>
      </w:r>
      <w:r w:rsidR="00E242B1" w:rsidRPr="00C4084C">
        <w:instrText xml:space="preserve"> \* MERGEFORMAT </w:instrText>
      </w:r>
      <w:r w:rsidR="00FC259E" w:rsidRPr="00C4084C">
        <w:rPr>
          <w:i/>
        </w:rPr>
      </w:r>
      <w:r w:rsidR="00FC259E" w:rsidRPr="00C4084C">
        <w:rPr>
          <w:i/>
        </w:rPr>
        <w:fldChar w:fldCharType="separate"/>
      </w:r>
      <w:r w:rsidR="00467B4F" w:rsidRPr="00467B4F">
        <w:rPr>
          <w:i/>
        </w:rPr>
        <w:t xml:space="preserve">Chapter 3 </w:t>
      </w:r>
      <w:r w:rsidR="00467B4F">
        <w:t xml:space="preserve">– </w:t>
      </w:r>
      <w:r w:rsidR="00FC259E" w:rsidRPr="00C4084C">
        <w:rPr>
          <w:i/>
        </w:rPr>
        <w:fldChar w:fldCharType="end"/>
      </w:r>
      <w:r w:rsidR="00B3166A" w:rsidRPr="00C4084C">
        <w:rPr>
          <w:i/>
        </w:rPr>
        <w:fldChar w:fldCharType="begin"/>
      </w:r>
      <w:r w:rsidR="00B3166A" w:rsidRPr="00C4084C">
        <w:rPr>
          <w:i/>
        </w:rPr>
        <w:instrText xml:space="preserve"> REF _Ref151934425 \h </w:instrText>
      </w:r>
      <w:r w:rsidR="00B3166A" w:rsidRPr="00C4084C">
        <w:rPr>
          <w:i/>
          <w:iCs/>
        </w:rPr>
        <w:instrText xml:space="preserve"> \* MERGEFORMAT </w:instrText>
      </w:r>
      <w:r w:rsidR="00B3166A" w:rsidRPr="00C4084C">
        <w:rPr>
          <w:i/>
        </w:rPr>
      </w:r>
      <w:r w:rsidR="00B3166A" w:rsidRPr="00C4084C">
        <w:rPr>
          <w:i/>
        </w:rPr>
        <w:fldChar w:fldCharType="separate"/>
      </w:r>
      <w:r w:rsidR="00467B4F" w:rsidRPr="00467B4F">
        <w:rPr>
          <w:i/>
        </w:rPr>
        <w:t>Expanding opportunity to all</w:t>
      </w:r>
      <w:r w:rsidR="00B3166A" w:rsidRPr="00C4084C">
        <w:rPr>
          <w:i/>
        </w:rPr>
        <w:fldChar w:fldCharType="end"/>
      </w:r>
      <w:r w:rsidRPr="00C4084C">
        <w:rPr>
          <w:i/>
        </w:rPr>
        <w:t>.</w:t>
      </w:r>
    </w:p>
    <w:p w14:paraId="4471A222" w14:textId="12B67C47" w:rsidR="00E33FC3" w:rsidRPr="00C4084C" w:rsidRDefault="00E33FC3" w:rsidP="00BB5FF7">
      <w:r w:rsidRPr="00C4084C">
        <w:t xml:space="preserve">The </w:t>
      </w:r>
      <w:r w:rsidR="00166484" w:rsidRPr="00C4084C">
        <w:t xml:space="preserve">Final Report of the </w:t>
      </w:r>
      <w:r w:rsidR="00B3166A" w:rsidRPr="00C4084C">
        <w:t>NSRA</w:t>
      </w:r>
      <w:r w:rsidRPr="00C4084C">
        <w:t xml:space="preserve"> Review</w:t>
      </w:r>
      <w:r w:rsidR="00166484" w:rsidRPr="00C4084C">
        <w:t>, published in December 2023,</w:t>
      </w:r>
      <w:r w:rsidRPr="00C4084C">
        <w:t xml:space="preserve"> </w:t>
      </w:r>
      <w:r w:rsidR="005E1E61" w:rsidRPr="00C4084C">
        <w:t>provides</w:t>
      </w:r>
      <w:r w:rsidR="00B3166A" w:rsidRPr="00C4084C">
        <w:t xml:space="preserve"> input to</w:t>
      </w:r>
      <w:r w:rsidRPr="00C4084C">
        <w:t xml:space="preserve"> the development and negotiation of the next </w:t>
      </w:r>
      <w:r w:rsidR="00CE6CCF" w:rsidRPr="00C4084C">
        <w:t xml:space="preserve">National School Reform </w:t>
      </w:r>
      <w:proofErr w:type="gramStart"/>
      <w:r w:rsidR="00CE6CCF" w:rsidRPr="00C4084C">
        <w:t>Agreement</w:t>
      </w:r>
      <w:proofErr w:type="gramEnd"/>
      <w:r w:rsidR="00CE6CCF" w:rsidRPr="00C4084C">
        <w:t xml:space="preserve"> </w:t>
      </w:r>
      <w:r w:rsidRPr="00C4084C">
        <w:t xml:space="preserve">and </w:t>
      </w:r>
      <w:r w:rsidR="00B3166A" w:rsidRPr="00C4084C">
        <w:t>associated</w:t>
      </w:r>
      <w:r w:rsidR="006103F0" w:rsidRPr="00C4084C">
        <w:t xml:space="preserve"> </w:t>
      </w:r>
      <w:r w:rsidR="00B3166A" w:rsidRPr="00C4084C">
        <w:t>b</w:t>
      </w:r>
      <w:r w:rsidRPr="00C4084C">
        <w:t xml:space="preserve">ilateral </w:t>
      </w:r>
      <w:r w:rsidR="00B3166A" w:rsidRPr="00C4084C">
        <w:t>a</w:t>
      </w:r>
      <w:r w:rsidRPr="00C4084C">
        <w:t>greements with individual states and territories. The</w:t>
      </w:r>
      <w:r w:rsidRPr="00C4084C" w:rsidDel="00B3166A">
        <w:t xml:space="preserve"> </w:t>
      </w:r>
      <w:r w:rsidR="00B3166A" w:rsidRPr="00C4084C">
        <w:t>NSRA</w:t>
      </w:r>
      <w:r w:rsidRPr="00C4084C">
        <w:t xml:space="preserve"> Review builds on the work of the Productivity Commission’s Review of the National School Reform Agreement</w:t>
      </w:r>
      <w:r w:rsidR="002100E4" w:rsidRPr="00C4084C">
        <w:t xml:space="preserve"> with a focus on driving improvements in learning and wellbeing outcomes for students. </w:t>
      </w:r>
      <w:r w:rsidRPr="00C4084C">
        <w:t>It</w:t>
      </w:r>
      <w:r w:rsidRPr="00C4084C" w:rsidDel="002100E4">
        <w:t xml:space="preserve"> </w:t>
      </w:r>
      <w:r w:rsidR="002100E4" w:rsidRPr="00C4084C">
        <w:t>proposes</w:t>
      </w:r>
      <w:r w:rsidRPr="00C4084C">
        <w:t xml:space="preserve"> reforms that are evidence-based, leverage existing systems and high-impact initiatives, and consider</w:t>
      </w:r>
      <w:r w:rsidR="0002065D" w:rsidRPr="00C4084C">
        <w:t>s</w:t>
      </w:r>
      <w:r w:rsidRPr="00C4084C">
        <w:t xml:space="preserve"> the impacts on teacher and school leader workload. It</w:t>
      </w:r>
      <w:r w:rsidR="00CF7EEA" w:rsidRPr="00C4084C">
        <w:t xml:space="preserve"> </w:t>
      </w:r>
      <w:r w:rsidRPr="00C4084C">
        <w:t>also consider</w:t>
      </w:r>
      <w:r w:rsidR="00166484" w:rsidRPr="00C4084C">
        <w:t>s</w:t>
      </w:r>
      <w:r w:rsidRPr="00C4084C">
        <w:t xml:space="preserve"> how funding and reforms can be more transparent and better demonstrate links to student outcomes.</w:t>
      </w:r>
    </w:p>
    <w:p w14:paraId="17D64251" w14:textId="13C606F4" w:rsidR="00E33FC3" w:rsidRPr="00C4084C" w:rsidRDefault="00E33FC3" w:rsidP="00BB5FF7">
      <w:r w:rsidRPr="00C4084C">
        <w:t xml:space="preserve">The </w:t>
      </w:r>
      <w:r w:rsidR="002100E4" w:rsidRPr="00C4084C">
        <w:t xml:space="preserve">NSRA </w:t>
      </w:r>
      <w:r w:rsidRPr="00C4084C">
        <w:t>Review consider</w:t>
      </w:r>
      <w:r w:rsidR="78AF43C1" w:rsidRPr="00C4084C">
        <w:t>s</w:t>
      </w:r>
      <w:r w:rsidR="00376C8A">
        <w:t xml:space="preserve"> how</w:t>
      </w:r>
      <w:r w:rsidRPr="00C4084C">
        <w:t>:</w:t>
      </w:r>
    </w:p>
    <w:p w14:paraId="11BACEBB" w14:textId="1E322FE0" w:rsidR="00E33FC3" w:rsidRPr="00C4084C" w:rsidRDefault="00E33FC3" w:rsidP="00E242B1">
      <w:pPr>
        <w:pStyle w:val="ListBullet"/>
      </w:pPr>
      <w:r w:rsidRPr="00C4084C">
        <w:t xml:space="preserve">the next agreement can contribute to improving student mental health and wellbeing, by addressing in-school factors while acknowledging the impact of non-school </w:t>
      </w:r>
      <w:proofErr w:type="gramStart"/>
      <w:r w:rsidRPr="00C4084C">
        <w:t>factors</w:t>
      </w:r>
      <w:proofErr w:type="gramEnd"/>
      <w:r w:rsidRPr="00C4084C">
        <w:t xml:space="preserve"> </w:t>
      </w:r>
    </w:p>
    <w:p w14:paraId="4699A357" w14:textId="06635DB3" w:rsidR="00E33FC3" w:rsidRPr="00C4084C" w:rsidRDefault="00E33FC3" w:rsidP="00E242B1">
      <w:pPr>
        <w:pStyle w:val="ListBullet"/>
      </w:pPr>
      <w:r w:rsidRPr="00C4084C">
        <w:t xml:space="preserve">the next agreement can support schools to attract and retain </w:t>
      </w:r>
      <w:proofErr w:type="gramStart"/>
      <w:r w:rsidRPr="00C4084C">
        <w:t>teachers</w:t>
      </w:r>
      <w:proofErr w:type="gramEnd"/>
    </w:p>
    <w:p w14:paraId="0F1C1E6B" w14:textId="2D0E4DC8" w:rsidR="00E33FC3" w:rsidRPr="00C4084C" w:rsidRDefault="00E33FC3" w:rsidP="00E242B1">
      <w:pPr>
        <w:pStyle w:val="ListBullet"/>
      </w:pPr>
      <w:r w:rsidRPr="00C4084C">
        <w:t xml:space="preserve">data collection can best inform decision-making and boost student </w:t>
      </w:r>
      <w:proofErr w:type="gramStart"/>
      <w:r w:rsidRPr="00C4084C">
        <w:t>outcomes</w:t>
      </w:r>
      <w:proofErr w:type="gramEnd"/>
    </w:p>
    <w:p w14:paraId="44C7B23B" w14:textId="34AEB2AD" w:rsidR="00E33FC3" w:rsidRPr="00C4084C" w:rsidRDefault="00E33FC3" w:rsidP="00E242B1">
      <w:pPr>
        <w:pStyle w:val="ListBullet"/>
      </w:pPr>
      <w:r w:rsidRPr="00C4084C">
        <w:t xml:space="preserve">to ensure public funding is delivering on national agreements and that all school authorities are transparent and accountable to the community for how funding is </w:t>
      </w:r>
      <w:proofErr w:type="gramStart"/>
      <w:r w:rsidRPr="00C4084C">
        <w:t>invested</w:t>
      </w:r>
      <w:r w:rsidR="00560B64" w:rsidRPr="00C4084C">
        <w:t>,</w:t>
      </w:r>
      <w:r w:rsidRPr="00C4084C">
        <w:t xml:space="preserve"> and</w:t>
      </w:r>
      <w:proofErr w:type="gramEnd"/>
      <w:r w:rsidRPr="00C4084C">
        <w:t xml:space="preserve"> measuring the impacts of this investment.</w:t>
      </w:r>
    </w:p>
    <w:p w14:paraId="252DB473" w14:textId="72BAD8D3" w:rsidR="00147845" w:rsidRPr="00C4084C" w:rsidRDefault="00147845" w:rsidP="00BB5FF7">
      <w:pPr>
        <w:rPr>
          <w:i/>
        </w:rPr>
      </w:pPr>
      <w:r w:rsidRPr="00C4084C">
        <w:t>One recommendation of the NSRA Review is that governments consider reforms to the tertiary education sector to ensure that initial teacher education students do not face financial hardship when undertaking mandatory teaching practicums</w:t>
      </w:r>
      <w:r w:rsidR="00123CC3" w:rsidRPr="00C4084C">
        <w:t>.</w:t>
      </w:r>
      <w:r w:rsidR="00123CC3" w:rsidRPr="00C4084C">
        <w:rPr>
          <w:rStyle w:val="FootnoteReference"/>
        </w:rPr>
        <w:footnoteReference w:id="21"/>
      </w:r>
      <w:r w:rsidR="00650D3F" w:rsidRPr="00C4084C">
        <w:t xml:space="preserve"> This issue is considered</w:t>
      </w:r>
      <w:r w:rsidR="00DC7E15" w:rsidRPr="00C4084C">
        <w:t xml:space="preserve"> in </w:t>
      </w:r>
      <w:r w:rsidR="00453E61" w:rsidRPr="00C4084C">
        <w:rPr>
          <w:i/>
          <w:iCs/>
        </w:rPr>
        <w:fldChar w:fldCharType="begin"/>
      </w:r>
      <w:r w:rsidR="00453E61" w:rsidRPr="00C4084C">
        <w:rPr>
          <w:i/>
          <w:iCs/>
        </w:rPr>
        <w:instrText xml:space="preserve"> REF _Ref151932669 \r \h </w:instrText>
      </w:r>
      <w:r w:rsidR="007046BA" w:rsidRPr="00C4084C">
        <w:rPr>
          <w:i/>
          <w:iCs/>
        </w:rPr>
        <w:instrText xml:space="preserve"> \* MERGEFORMAT </w:instrText>
      </w:r>
      <w:r w:rsidR="00453E61" w:rsidRPr="00C4084C">
        <w:rPr>
          <w:i/>
          <w:iCs/>
        </w:rPr>
      </w:r>
      <w:r w:rsidR="00453E61" w:rsidRPr="00C4084C">
        <w:rPr>
          <w:i/>
          <w:iCs/>
        </w:rPr>
        <w:fldChar w:fldCharType="separate"/>
      </w:r>
      <w:r w:rsidR="00467B4F">
        <w:rPr>
          <w:i/>
          <w:iCs/>
        </w:rPr>
        <w:t xml:space="preserve">Chapter 2 – </w:t>
      </w:r>
      <w:r w:rsidR="00453E61" w:rsidRPr="00C4084C">
        <w:rPr>
          <w:i/>
          <w:iCs/>
        </w:rPr>
        <w:fldChar w:fldCharType="end"/>
      </w:r>
      <w:r w:rsidR="00453E61" w:rsidRPr="00C4084C">
        <w:rPr>
          <w:i/>
          <w:iCs/>
        </w:rPr>
        <w:fldChar w:fldCharType="begin"/>
      </w:r>
      <w:r w:rsidR="00453E61" w:rsidRPr="00C4084C">
        <w:rPr>
          <w:i/>
          <w:iCs/>
        </w:rPr>
        <w:instrText xml:space="preserve"> REF _Ref151932669 \h </w:instrText>
      </w:r>
      <w:r w:rsidR="007046BA" w:rsidRPr="00C4084C">
        <w:rPr>
          <w:i/>
          <w:iCs/>
        </w:rPr>
        <w:instrText xml:space="preserve"> \* MERGEFORMAT </w:instrText>
      </w:r>
      <w:r w:rsidR="00453E61" w:rsidRPr="00C4084C">
        <w:rPr>
          <w:i/>
          <w:iCs/>
        </w:rPr>
      </w:r>
      <w:r w:rsidR="00453E61" w:rsidRPr="00C4084C">
        <w:rPr>
          <w:i/>
          <w:iCs/>
        </w:rPr>
        <w:fldChar w:fldCharType="separate"/>
      </w:r>
      <w:r w:rsidR="00467B4F" w:rsidRPr="00467B4F">
        <w:rPr>
          <w:i/>
          <w:iCs/>
        </w:rPr>
        <w:t>Meeting our current and future skills needs</w:t>
      </w:r>
      <w:r w:rsidR="00453E61" w:rsidRPr="00C4084C">
        <w:rPr>
          <w:i/>
          <w:iCs/>
        </w:rPr>
        <w:fldChar w:fldCharType="end"/>
      </w:r>
      <w:r w:rsidR="00DC7E15" w:rsidRPr="00C4084C">
        <w:rPr>
          <w:i/>
          <w:iCs/>
        </w:rPr>
        <w:t>.</w:t>
      </w:r>
    </w:p>
    <w:p w14:paraId="680B59B4" w14:textId="1697059B" w:rsidR="00410A08" w:rsidRPr="00C4084C" w:rsidRDefault="00410A08" w:rsidP="00410A08">
      <w:pPr>
        <w:pStyle w:val="Heading6"/>
        <w:spacing w:after="120"/>
      </w:pPr>
      <w:r w:rsidRPr="00C4084C">
        <w:t>Productivity Commission 5-year inquiry into productivity growth</w:t>
      </w:r>
    </w:p>
    <w:p w14:paraId="167D4E39" w14:textId="4AA59B1C" w:rsidR="00410A08" w:rsidRPr="00C4084C" w:rsidRDefault="00410A08" w:rsidP="00BB5FF7">
      <w:r w:rsidRPr="00C4084C">
        <w:t xml:space="preserve">Productivity growth is vital for Australia’s future. Australia needs policy settings that foster a flexible and dynamic economy that </w:t>
      </w:r>
      <w:r w:rsidR="00CE6CCF" w:rsidRPr="00C4084C">
        <w:t>can</w:t>
      </w:r>
      <w:r w:rsidRPr="00C4084C">
        <w:t xml:space="preserve"> adapt to growing technologies and changes in workforce and skills</w:t>
      </w:r>
      <w:r w:rsidR="00CE6CCF" w:rsidRPr="00C4084C">
        <w:t xml:space="preserve"> </w:t>
      </w:r>
      <w:r w:rsidRPr="00C4084C">
        <w:t>needs.</w:t>
      </w:r>
      <w:r w:rsidRPr="00C4084C">
        <w:rPr>
          <w:rStyle w:val="FootnoteReference"/>
        </w:rPr>
        <w:footnoteReference w:id="22"/>
      </w:r>
      <w:r w:rsidRPr="00C4084C">
        <w:t xml:space="preserve"> </w:t>
      </w:r>
      <w:r w:rsidR="00A262B2" w:rsidRPr="00C4084C">
        <w:t xml:space="preserve">This extends to ensuring education and training opportunities are available to all Australians. </w:t>
      </w:r>
    </w:p>
    <w:p w14:paraId="602E8F89" w14:textId="0628DE0D" w:rsidR="00410A08" w:rsidRPr="00C4084C" w:rsidRDefault="00410A08" w:rsidP="00BB5FF7">
      <w:r w:rsidRPr="00C4084C">
        <w:lastRenderedPageBreak/>
        <w:t xml:space="preserve">The Productivity Commission released </w:t>
      </w:r>
      <w:r w:rsidR="00156870" w:rsidRPr="00C4084C">
        <w:t>its</w:t>
      </w:r>
      <w:r w:rsidRPr="00C4084C">
        <w:t xml:space="preserve"> </w:t>
      </w:r>
      <w:r w:rsidRPr="00C4084C">
        <w:rPr>
          <w:i/>
          <w:iCs/>
        </w:rPr>
        <w:t>5-year Productivity Inquiry: Advancing Prosperity</w:t>
      </w:r>
      <w:r w:rsidRPr="00C4084C">
        <w:t xml:space="preserve"> on </w:t>
      </w:r>
      <w:r w:rsidR="00E3363C" w:rsidRPr="00C4084C">
        <w:t>17 </w:t>
      </w:r>
      <w:r w:rsidRPr="00C4084C">
        <w:t xml:space="preserve">March 2023. The </w:t>
      </w:r>
      <w:r w:rsidR="00156870" w:rsidRPr="00C4084C">
        <w:t>I</w:t>
      </w:r>
      <w:r w:rsidRPr="00C4084C">
        <w:t>nquiry reviews Australia’s productivity performance and presents a roadmap to conduct productivity-enhancing reforms.</w:t>
      </w:r>
      <w:r w:rsidRPr="00C4084C">
        <w:rPr>
          <w:rStyle w:val="FootnoteReference"/>
        </w:rPr>
        <w:footnoteReference w:id="23"/>
      </w:r>
      <w:r w:rsidRPr="00C4084C">
        <w:t xml:space="preserve"> </w:t>
      </w:r>
    </w:p>
    <w:p w14:paraId="754568C3" w14:textId="68DB51F7" w:rsidR="00410A08" w:rsidRPr="00C4084C" w:rsidRDefault="00410A08" w:rsidP="00BB5FF7">
      <w:r w:rsidRPr="00C4084C">
        <w:t xml:space="preserve">The </w:t>
      </w:r>
      <w:r w:rsidR="00156870" w:rsidRPr="00C4084C">
        <w:t>I</w:t>
      </w:r>
      <w:r w:rsidRPr="00C4084C">
        <w:t xml:space="preserve">nquiry </w:t>
      </w:r>
      <w:proofErr w:type="gramStart"/>
      <w:r w:rsidRPr="00C4084C">
        <w:t>shares</w:t>
      </w:r>
      <w:proofErr w:type="gramEnd"/>
      <w:r w:rsidRPr="00C4084C">
        <w:t xml:space="preserve"> themes and makes recommendations that have </w:t>
      </w:r>
      <w:r w:rsidR="007F6448" w:rsidRPr="00C4084C">
        <w:t xml:space="preserve">informed </w:t>
      </w:r>
      <w:r w:rsidRPr="00C4084C">
        <w:t>and shaped this Review</w:t>
      </w:r>
      <w:r w:rsidR="00156870" w:rsidRPr="00C4084C">
        <w:t>. It</w:t>
      </w:r>
      <w:r w:rsidRPr="00C4084C">
        <w:t xml:space="preserve">: </w:t>
      </w:r>
    </w:p>
    <w:p w14:paraId="02D0F38F" w14:textId="602D5566" w:rsidR="00410A08" w:rsidRPr="00C4084C" w:rsidRDefault="00410A08" w:rsidP="007F6448">
      <w:pPr>
        <w:pStyle w:val="ListBullet"/>
      </w:pPr>
      <w:r w:rsidRPr="00C4084C">
        <w:t xml:space="preserve">advocates </w:t>
      </w:r>
      <w:r w:rsidR="007F6448" w:rsidRPr="00C4084C">
        <w:t xml:space="preserve">for </w:t>
      </w:r>
      <w:r w:rsidRPr="00C4084C">
        <w:t>a demand</w:t>
      </w:r>
      <w:r w:rsidR="0084652B">
        <w:t xml:space="preserve"> </w:t>
      </w:r>
      <w:r w:rsidRPr="00C4084C">
        <w:t xml:space="preserve">driven funding model for higher education that separates research and teaching costs, underpinned by principles reflecting the private benefits of higher </w:t>
      </w:r>
      <w:proofErr w:type="gramStart"/>
      <w:r w:rsidRPr="00C4084C">
        <w:t>education</w:t>
      </w:r>
      <w:proofErr w:type="gramEnd"/>
      <w:r w:rsidRPr="00C4084C">
        <w:t xml:space="preserve"> </w:t>
      </w:r>
    </w:p>
    <w:p w14:paraId="4E68E910" w14:textId="77777777" w:rsidR="00410A08" w:rsidRPr="00C4084C" w:rsidRDefault="00410A08" w:rsidP="007F6448">
      <w:pPr>
        <w:pStyle w:val="ListBullet"/>
      </w:pPr>
      <w:r w:rsidRPr="00C4084C">
        <w:t xml:space="preserve">advocates for more exit qualifications in higher education </w:t>
      </w:r>
    </w:p>
    <w:p w14:paraId="29C1F536" w14:textId="1AE5AEEA" w:rsidR="00410A08" w:rsidRPr="00C4084C" w:rsidRDefault="00410A08" w:rsidP="007F6448">
      <w:pPr>
        <w:pStyle w:val="ListBullet"/>
      </w:pPr>
      <w:r w:rsidRPr="00C4084C">
        <w:t xml:space="preserve">places importance on knowledge dissemination and lifelong learning </w:t>
      </w:r>
    </w:p>
    <w:p w14:paraId="10E8EFC3" w14:textId="77777777" w:rsidR="00410A08" w:rsidRPr="00C4084C" w:rsidRDefault="00410A08" w:rsidP="007F6448">
      <w:pPr>
        <w:pStyle w:val="ListBullet"/>
      </w:pPr>
      <w:r w:rsidRPr="00C4084C">
        <w:t xml:space="preserve">recommends increased public accessibility to higher education course material and academic research in public </w:t>
      </w:r>
      <w:proofErr w:type="gramStart"/>
      <w:r w:rsidRPr="00C4084C">
        <w:t>universities</w:t>
      </w:r>
      <w:proofErr w:type="gramEnd"/>
      <w:r w:rsidRPr="00C4084C">
        <w:t xml:space="preserve"> </w:t>
      </w:r>
    </w:p>
    <w:p w14:paraId="7F26644F" w14:textId="2DC50C33" w:rsidR="00E27F29" w:rsidRPr="00C4084C" w:rsidRDefault="00992459" w:rsidP="007F6448">
      <w:pPr>
        <w:pStyle w:val="ListBullet"/>
      </w:pPr>
      <w:r w:rsidRPr="00C4084C">
        <w:t>recommends reducing administrative barriers to academic</w:t>
      </w:r>
      <w:r w:rsidR="00E27F29" w:rsidRPr="00C4084C">
        <w:t xml:space="preserve"> </w:t>
      </w:r>
      <w:proofErr w:type="gramStart"/>
      <w:r w:rsidR="00E27F29" w:rsidRPr="00C4084C">
        <w:t>consulting</w:t>
      </w:r>
      <w:proofErr w:type="gramEnd"/>
    </w:p>
    <w:p w14:paraId="5342C8D5" w14:textId="67F453BB" w:rsidR="00410A08" w:rsidRPr="00C4084C" w:rsidRDefault="00410A08" w:rsidP="007F6448">
      <w:pPr>
        <w:pStyle w:val="ListBullet"/>
      </w:pPr>
      <w:r w:rsidRPr="00C4084C">
        <w:t xml:space="preserve">recommends changes to skilled migration, </w:t>
      </w:r>
      <w:r w:rsidRPr="00C4084C" w:rsidDel="007F6448">
        <w:t xml:space="preserve">which would </w:t>
      </w:r>
      <w:r w:rsidR="007F6448" w:rsidRPr="00C4084C">
        <w:t>complement necessary increases in</w:t>
      </w:r>
      <w:r w:rsidRPr="00C4084C">
        <w:t xml:space="preserve"> higher education attainment and</w:t>
      </w:r>
      <w:r w:rsidR="007F6448" w:rsidRPr="00C4084C">
        <w:t>, more broadly, the level of skilled labour in</w:t>
      </w:r>
      <w:r w:rsidRPr="00C4084C">
        <w:t xml:space="preserve"> Australia’s skilled workforce.</w:t>
      </w:r>
      <w:r w:rsidRPr="00C4084C">
        <w:rPr>
          <w:rStyle w:val="FootnoteReference"/>
        </w:rPr>
        <w:footnoteReference w:id="24"/>
      </w:r>
    </w:p>
    <w:p w14:paraId="6F6B7E23" w14:textId="6B30CDB4" w:rsidR="00F04E45" w:rsidRPr="00C4084C" w:rsidRDefault="00F04E45" w:rsidP="00A26A20">
      <w:pPr>
        <w:pStyle w:val="Heading6"/>
      </w:pPr>
      <w:r w:rsidRPr="00C4084C">
        <w:t>The National Skills Agreement</w:t>
      </w:r>
    </w:p>
    <w:p w14:paraId="617235E6" w14:textId="51936D49" w:rsidR="007E4CE1" w:rsidRPr="00C4084C" w:rsidRDefault="007E4CE1" w:rsidP="00633F37">
      <w:r w:rsidRPr="00C4084C">
        <w:t xml:space="preserve">The National Skills Agreement is a 5-year agreement between the Australian, </w:t>
      </w:r>
      <w:r w:rsidR="00E749CC" w:rsidRPr="00C4084C">
        <w:t>s</w:t>
      </w:r>
      <w:r w:rsidRPr="00C4084C">
        <w:t xml:space="preserve">tate and </w:t>
      </w:r>
      <w:r w:rsidR="00E749CC" w:rsidRPr="00C4084C">
        <w:t>t</w:t>
      </w:r>
      <w:r w:rsidRPr="00C4084C">
        <w:t xml:space="preserve">erritory </w:t>
      </w:r>
      <w:r w:rsidR="00E749CC" w:rsidRPr="00C4084C">
        <w:t>g</w:t>
      </w:r>
      <w:r w:rsidRPr="00C4084C">
        <w:t xml:space="preserve">overnments, working in partnership to ensure that the national vocational education and training (VET) system provides high-quality, </w:t>
      </w:r>
      <w:proofErr w:type="gramStart"/>
      <w:r w:rsidRPr="00C4084C">
        <w:t>responsive</w:t>
      </w:r>
      <w:proofErr w:type="gramEnd"/>
      <w:r w:rsidRPr="00C4084C">
        <w:t xml:space="preserve"> and accessible education and training to boost productivity, deliver national priorities and support Australians to obtain the skills and capabilities they need to obtain well-paid, secure jobs. The Agreement gives effect to National Cabinet’s vision statement and guiding principles on longer-term VET reform. The National Cabinet endorsed the Agreement on 16 October 2023</w:t>
      </w:r>
      <w:r w:rsidR="00A61780" w:rsidRPr="00C4084C">
        <w:t>,</w:t>
      </w:r>
      <w:r w:rsidRPr="00C4084C">
        <w:t xml:space="preserve"> and it will commence </w:t>
      </w:r>
      <w:r w:rsidR="001176A8" w:rsidRPr="00C4084C">
        <w:t xml:space="preserve">on </w:t>
      </w:r>
      <w:r w:rsidRPr="00C4084C">
        <w:t>1 January 2024.</w:t>
      </w:r>
    </w:p>
    <w:p w14:paraId="63AB557F" w14:textId="1C4504C1" w:rsidR="007E4CE1" w:rsidRPr="00C4084C" w:rsidRDefault="007E4CE1" w:rsidP="00633F37">
      <w:r w:rsidRPr="00C4084C">
        <w:t xml:space="preserve">The Agreement will deliver a skilled Australian workforce with TAFE at the heart of the VET sector. It will support access for all, especially priority groups, to the education, </w:t>
      </w:r>
      <w:proofErr w:type="gramStart"/>
      <w:r w:rsidRPr="00C4084C">
        <w:t>training</w:t>
      </w:r>
      <w:proofErr w:type="gramEnd"/>
      <w:r w:rsidRPr="00C4084C">
        <w:t xml:space="preserve"> and assistance they need to obtain the skills to participate and prosper in the modern economy. The Agreement reflects a commitment by the Australian </w:t>
      </w:r>
      <w:r w:rsidR="0005363D" w:rsidRPr="00C4084C">
        <w:t>G</w:t>
      </w:r>
      <w:r w:rsidRPr="00C4084C">
        <w:t>overnment to ensure that no Australian is left behind or held back as the economy transitions and adapts to structural change, including by providing opportunities for life-long learning and foundation skills development.</w:t>
      </w:r>
    </w:p>
    <w:p w14:paraId="5BB8BF63" w14:textId="7C70D447" w:rsidR="007E4CE1" w:rsidRPr="00C4084C" w:rsidRDefault="007E4CE1" w:rsidP="00633F37">
      <w:r w:rsidRPr="00C4084C">
        <w:t xml:space="preserve">The $12.6 billion investment by the </w:t>
      </w:r>
      <w:r w:rsidR="003E5778" w:rsidRPr="00C4084C">
        <w:t>Australian Government</w:t>
      </w:r>
      <w:r w:rsidRPr="00C4084C">
        <w:t xml:space="preserve"> includes an extra $2.4 billion in flexible funding to support </w:t>
      </w:r>
      <w:r w:rsidR="001176A8" w:rsidRPr="00C4084C">
        <w:t xml:space="preserve">state </w:t>
      </w:r>
      <w:r w:rsidRPr="00C4084C">
        <w:t xml:space="preserve">and </w:t>
      </w:r>
      <w:r w:rsidR="001176A8" w:rsidRPr="00C4084C">
        <w:t xml:space="preserve">territory </w:t>
      </w:r>
      <w:r w:rsidRPr="00C4084C">
        <w:t xml:space="preserve">skills sectors with capacity to deliver skills for critical and emerging industries. There is up to an additional $1.3 billion of Commonwealth funding to implement agreed reforms. The Agreement also represents a fundamental shift in the way that governments work together to address shared challenges and capitalise on shared opportunities in the VET system. A new stewardship model will support governments </w:t>
      </w:r>
      <w:r w:rsidR="003E3BF8" w:rsidRPr="00C4084C">
        <w:t>working</w:t>
      </w:r>
      <w:r w:rsidRPr="00C4084C">
        <w:t xml:space="preserve"> collaboratively and purposefully towards national priorities, while preserving flexibility for states and territories to align local skills supply with demand.</w:t>
      </w:r>
    </w:p>
    <w:p w14:paraId="6E788A74" w14:textId="73F937F1" w:rsidR="00393DD9" w:rsidRPr="00C4084C" w:rsidRDefault="007E4CE1" w:rsidP="003E5969">
      <w:r w:rsidRPr="00C4084C">
        <w:t xml:space="preserve">Through the Agreement, </w:t>
      </w:r>
      <w:r w:rsidR="00E749CC" w:rsidRPr="00C4084C">
        <w:t>g</w:t>
      </w:r>
      <w:r w:rsidRPr="00C4084C">
        <w:t>overnment</w:t>
      </w:r>
      <w:r w:rsidR="00A17CB3" w:rsidRPr="00C4084C">
        <w:t>s</w:t>
      </w:r>
      <w:r w:rsidRPr="00C4084C">
        <w:t xml:space="preserve"> ha</w:t>
      </w:r>
      <w:r w:rsidR="00A17CB3" w:rsidRPr="00C4084C">
        <w:t>ve</w:t>
      </w:r>
      <w:r w:rsidRPr="00C4084C">
        <w:t xml:space="preserve"> committed to establishing TAFE Centres of Excellence to partner with industry, universities</w:t>
      </w:r>
      <w:r w:rsidR="003E3BF8" w:rsidRPr="00C4084C">
        <w:t xml:space="preserve">, </w:t>
      </w:r>
      <w:proofErr w:type="gramStart"/>
      <w:r w:rsidR="003E3BF8" w:rsidRPr="00C4084C">
        <w:t>unions</w:t>
      </w:r>
      <w:proofErr w:type="gramEnd"/>
      <w:r w:rsidR="003E3BF8" w:rsidRPr="00C4084C">
        <w:t xml:space="preserve"> </w:t>
      </w:r>
      <w:r w:rsidRPr="00C4084C">
        <w:t xml:space="preserve">and governments to meet workforce challenges. TAFE </w:t>
      </w:r>
      <w:r w:rsidRPr="00C4084C">
        <w:lastRenderedPageBreak/>
        <w:t xml:space="preserve">Centres of Excellence are explored in greater detail in </w:t>
      </w:r>
      <w:r w:rsidR="00AF0D2F" w:rsidRPr="00C4084C">
        <w:rPr>
          <w:i/>
          <w:iCs/>
        </w:rPr>
        <w:fldChar w:fldCharType="begin"/>
      </w:r>
      <w:r w:rsidR="00AF0D2F" w:rsidRPr="00C4084C">
        <w:rPr>
          <w:i/>
          <w:iCs/>
        </w:rPr>
        <w:instrText xml:space="preserve"> REF _Ref151932669 \w \h  \* MERGEFORMAT </w:instrText>
      </w:r>
      <w:r w:rsidR="00AF0D2F" w:rsidRPr="00C4084C">
        <w:rPr>
          <w:i/>
          <w:iCs/>
        </w:rPr>
      </w:r>
      <w:r w:rsidR="00AF0D2F" w:rsidRPr="00C4084C">
        <w:rPr>
          <w:i/>
          <w:iCs/>
        </w:rPr>
        <w:fldChar w:fldCharType="separate"/>
      </w:r>
      <w:r w:rsidR="00467B4F">
        <w:rPr>
          <w:i/>
          <w:iCs/>
        </w:rPr>
        <w:t xml:space="preserve">Chapter 2 – </w:t>
      </w:r>
      <w:r w:rsidR="00AF0D2F" w:rsidRPr="00C4084C">
        <w:rPr>
          <w:i/>
          <w:iCs/>
        </w:rPr>
        <w:fldChar w:fldCharType="end"/>
      </w:r>
      <w:r w:rsidR="00AF0D2F" w:rsidRPr="00C4084C">
        <w:rPr>
          <w:i/>
          <w:iCs/>
        </w:rPr>
        <w:fldChar w:fldCharType="begin"/>
      </w:r>
      <w:r w:rsidR="00AF0D2F" w:rsidRPr="00C4084C">
        <w:rPr>
          <w:i/>
          <w:iCs/>
        </w:rPr>
        <w:instrText xml:space="preserve"> REF _Ref151932669 \h  \* MERGEFORMAT </w:instrText>
      </w:r>
      <w:r w:rsidR="00AF0D2F" w:rsidRPr="00C4084C">
        <w:rPr>
          <w:i/>
          <w:iCs/>
        </w:rPr>
      </w:r>
      <w:r w:rsidR="00AF0D2F" w:rsidRPr="00C4084C">
        <w:rPr>
          <w:i/>
          <w:iCs/>
        </w:rPr>
        <w:fldChar w:fldCharType="separate"/>
      </w:r>
      <w:r w:rsidR="00467B4F" w:rsidRPr="00467B4F">
        <w:rPr>
          <w:i/>
          <w:iCs/>
        </w:rPr>
        <w:t>Meeting our current and future skills needs</w:t>
      </w:r>
      <w:r w:rsidR="00AF0D2F" w:rsidRPr="00C4084C">
        <w:rPr>
          <w:i/>
          <w:iCs/>
        </w:rPr>
        <w:fldChar w:fldCharType="end"/>
      </w:r>
      <w:r w:rsidRPr="00C4084C">
        <w:rPr>
          <w:i/>
          <w:iCs/>
        </w:rPr>
        <w:t>.</w:t>
      </w:r>
    </w:p>
    <w:tbl>
      <w:tblPr>
        <w:tblW w:w="0" w:type="auto"/>
        <w:shd w:val="clear" w:color="auto" w:fill="FBE4D5"/>
        <w:tblLook w:val="04A0" w:firstRow="1" w:lastRow="0" w:firstColumn="1" w:lastColumn="0" w:noHBand="0" w:noVBand="1"/>
      </w:tblPr>
      <w:tblGrid>
        <w:gridCol w:w="9026"/>
      </w:tblGrid>
      <w:tr w:rsidR="00403545" w:rsidRPr="00C4084C" w14:paraId="2FEC3435" w14:textId="77777777" w:rsidTr="00D26B82">
        <w:tc>
          <w:tcPr>
            <w:tcW w:w="0" w:type="auto"/>
            <w:shd w:val="clear" w:color="auto" w:fill="FEECDF"/>
          </w:tcPr>
          <w:p w14:paraId="0346CD21" w14:textId="0C540AF0" w:rsidR="00CA7DD7" w:rsidRDefault="00CA7DD7" w:rsidP="003E5969">
            <w:pPr>
              <w:pStyle w:val="Recheadinginbox"/>
            </w:pPr>
            <w:r w:rsidRPr="00C4084C">
              <w:t>Recommendation</w:t>
            </w:r>
            <w:r>
              <w:t xml:space="preserve">: </w:t>
            </w:r>
            <w:r w:rsidRPr="00C4084C">
              <w:t>National Tertiary Education Objective</w:t>
            </w:r>
          </w:p>
          <w:p w14:paraId="0EF2F8D2" w14:textId="4D0CE8AB" w:rsidR="00403545" w:rsidRPr="00C4084C" w:rsidRDefault="00403545" w:rsidP="003E5969">
            <w:pPr>
              <w:pStyle w:val="Recsin-chapterL1"/>
              <w:framePr w:wrap="notBeside"/>
              <w:spacing w:before="0" w:after="0"/>
            </w:pPr>
            <w:r w:rsidRPr="00C4084C">
              <w:t>That to set a clear vision for the tertiary education system – both higher education and vocational education and training – the Australian Government specify that the objective of the national tertiary education system is to:</w:t>
            </w:r>
          </w:p>
          <w:p w14:paraId="1A404EC8" w14:textId="77777777" w:rsidR="00403545" w:rsidRPr="00C4084C" w:rsidRDefault="00403545" w:rsidP="003E5969">
            <w:pPr>
              <w:pStyle w:val="Recsin-chapterL2"/>
              <w:spacing w:before="0" w:beforeAutospacing="0"/>
            </w:pPr>
            <w:r w:rsidRPr="00C4084C">
              <w:rPr>
                <w:b/>
              </w:rPr>
              <w:t>underpin</w:t>
            </w:r>
            <w:r w:rsidRPr="00C4084C">
              <w:t xml:space="preserve"> a strong, equitable and resilient </w:t>
            </w:r>
            <w:proofErr w:type="gramStart"/>
            <w:r w:rsidRPr="00C4084C">
              <w:t>democracy</w:t>
            </w:r>
            <w:proofErr w:type="gramEnd"/>
          </w:p>
          <w:p w14:paraId="301B14DE" w14:textId="77777777" w:rsidR="00403545" w:rsidRPr="00C4084C" w:rsidRDefault="00403545" w:rsidP="003E5969">
            <w:pPr>
              <w:pStyle w:val="Recsin-chapterL2"/>
            </w:pPr>
            <w:r w:rsidRPr="00C4084C">
              <w:rPr>
                <w:b/>
              </w:rPr>
              <w:t>drive</w:t>
            </w:r>
            <w:r w:rsidRPr="00C4084C">
              <w:t xml:space="preserve"> national economic and social development and environmental sustainability.  </w:t>
            </w:r>
          </w:p>
          <w:p w14:paraId="19FC43B2" w14:textId="77777777" w:rsidR="00403545" w:rsidRPr="00C4084C" w:rsidRDefault="00403545">
            <w:pPr>
              <w:spacing w:before="240" w:after="0" w:line="240" w:lineRule="auto"/>
              <w:ind w:left="397"/>
              <w:rPr>
                <w:rFonts w:ascii="Calibri" w:eastAsia="Calibri" w:hAnsi="Calibri" w:cs="Times New Roman"/>
                <w:kern w:val="2"/>
                <w14:ligatures w14:val="standardContextual"/>
              </w:rPr>
            </w:pPr>
            <w:r w:rsidRPr="00C4084C">
              <w:rPr>
                <w:rFonts w:ascii="Calibri" w:eastAsia="Calibri" w:hAnsi="Calibri" w:cs="Times New Roman"/>
                <w:kern w:val="2"/>
                <w14:ligatures w14:val="standardContextual"/>
              </w:rPr>
              <w:t>The National Tertiary Education Objective will be achieved through ensuring: </w:t>
            </w:r>
          </w:p>
          <w:p w14:paraId="7DBDBC3B" w14:textId="0F8C91AC" w:rsidR="00403545" w:rsidRPr="00C4084C" w:rsidRDefault="00403545" w:rsidP="00FB44F8">
            <w:pPr>
              <w:pStyle w:val="List2"/>
              <w:numPr>
                <w:ilvl w:val="0"/>
                <w:numId w:val="29"/>
              </w:numPr>
              <w:spacing w:before="0" w:beforeAutospacing="0"/>
            </w:pPr>
            <w:r w:rsidRPr="00C4084C">
              <w:t xml:space="preserve">a strong, dynamic and efficient tertiary education system that has the capacity, capability and infrastructure it </w:t>
            </w:r>
            <w:proofErr w:type="gramStart"/>
            <w:r w:rsidRPr="00C4084C">
              <w:t>needs</w:t>
            </w:r>
            <w:proofErr w:type="gramEnd"/>
          </w:p>
          <w:p w14:paraId="72EB28F4" w14:textId="1EBD19ED" w:rsidR="00403545" w:rsidRPr="00C4084C" w:rsidRDefault="00403545" w:rsidP="00FB44F8">
            <w:pPr>
              <w:pStyle w:val="List2"/>
              <w:numPr>
                <w:ilvl w:val="0"/>
                <w:numId w:val="29"/>
              </w:numPr>
            </w:pPr>
            <w:r w:rsidRPr="00C4084C">
              <w:t xml:space="preserve">affordable and equitable opportunity for all Australians to access and participate in high-quality, engaging and transformative tertiary education </w:t>
            </w:r>
            <w:proofErr w:type="gramStart"/>
            <w:r w:rsidRPr="00C4084C">
              <w:t>programs</w:t>
            </w:r>
            <w:proofErr w:type="gramEnd"/>
          </w:p>
          <w:p w14:paraId="428F0CDB" w14:textId="77777777" w:rsidR="00403545" w:rsidRPr="00C4084C" w:rsidRDefault="00403545" w:rsidP="00FB44F8">
            <w:pPr>
              <w:pStyle w:val="List2"/>
              <w:numPr>
                <w:ilvl w:val="0"/>
                <w:numId w:val="29"/>
              </w:numPr>
            </w:pPr>
            <w:r w:rsidRPr="00C4084C">
              <w:t xml:space="preserve">delivery of graduates with the creativity and technical skills to meet future workforce and societal </w:t>
            </w:r>
            <w:proofErr w:type="gramStart"/>
            <w:r w:rsidRPr="00C4084C">
              <w:t>need</w:t>
            </w:r>
            <w:proofErr w:type="gramEnd"/>
          </w:p>
          <w:p w14:paraId="04ECFCE9" w14:textId="5798538A" w:rsidR="00403545" w:rsidRPr="00C4084C" w:rsidRDefault="00403545" w:rsidP="00FB44F8">
            <w:pPr>
              <w:pStyle w:val="List2"/>
              <w:numPr>
                <w:ilvl w:val="0"/>
                <w:numId w:val="29"/>
              </w:numPr>
            </w:pPr>
            <w:r w:rsidRPr="00C4084C">
              <w:t xml:space="preserve">collaborative and purposeful work between all governments, tertiary education providers, industry, employers and unions to flexibly align local skills supply with </w:t>
            </w:r>
            <w:proofErr w:type="gramStart"/>
            <w:r w:rsidRPr="00C4084C">
              <w:t>demand</w:t>
            </w:r>
            <w:proofErr w:type="gramEnd"/>
            <w:r w:rsidRPr="00C4084C">
              <w:t xml:space="preserve"> </w:t>
            </w:r>
          </w:p>
          <w:p w14:paraId="12AF37D6" w14:textId="77777777" w:rsidR="00403545" w:rsidRPr="00C4084C" w:rsidRDefault="00403545" w:rsidP="00FB44F8">
            <w:pPr>
              <w:pStyle w:val="List2"/>
              <w:numPr>
                <w:ilvl w:val="0"/>
                <w:numId w:val="29"/>
              </w:numPr>
            </w:pPr>
            <w:r w:rsidRPr="00C4084C">
              <w:t>the creation and diffusion of new knowledge and its innovative application for the betterment of society. </w:t>
            </w:r>
          </w:p>
          <w:p w14:paraId="66FDC144" w14:textId="77777777" w:rsidR="00403545" w:rsidRPr="00C4084C" w:rsidDel="00C977C2" w:rsidRDefault="00403545">
            <w:pPr>
              <w:spacing w:after="160" w:line="240" w:lineRule="auto"/>
              <w:ind w:left="397"/>
              <w:rPr>
                <w:rStyle w:val="PriorityAction-Bold"/>
                <w:rFonts w:ascii="Calibri" w:eastAsia="Calibri" w:hAnsi="Calibri" w:cs="Times New Roman"/>
                <w:b w:val="0"/>
                <w:bCs w:val="0"/>
                <w:i w:val="0"/>
                <w:kern w:val="2"/>
                <w14:ligatures w14:val="standardContextual"/>
              </w:rPr>
            </w:pPr>
            <w:r w:rsidRPr="00C4084C">
              <w:rPr>
                <w:rFonts w:ascii="Calibri" w:eastAsia="Calibri" w:hAnsi="Calibri" w:cs="Times New Roman"/>
                <w:kern w:val="2"/>
                <w14:ligatures w14:val="standardContextual"/>
              </w:rPr>
              <w:t>Recommendations for the tertiary education system are made within this framework. </w:t>
            </w:r>
          </w:p>
        </w:tc>
      </w:tr>
    </w:tbl>
    <w:p w14:paraId="25684D20" w14:textId="77777777" w:rsidR="006A114C" w:rsidRPr="00C4084C" w:rsidRDefault="006A114C" w:rsidP="006A114C">
      <w:pPr>
        <w:pStyle w:val="Heading3"/>
      </w:pPr>
      <w:bookmarkStart w:id="71" w:name="_Toc152314495"/>
      <w:bookmarkStart w:id="72" w:name="_Toc153483003"/>
      <w:bookmarkStart w:id="73" w:name="_Ref153807806"/>
      <w:bookmarkStart w:id="74" w:name="_Toc159500913"/>
      <w:r w:rsidRPr="00C4084C">
        <w:t>Context</w:t>
      </w:r>
      <w:bookmarkEnd w:id="71"/>
      <w:bookmarkEnd w:id="72"/>
      <w:bookmarkEnd w:id="73"/>
      <w:bookmarkEnd w:id="74"/>
    </w:p>
    <w:p w14:paraId="2593BAF7" w14:textId="77777777" w:rsidR="00601107" w:rsidRPr="00C4084C" w:rsidRDefault="00601107" w:rsidP="00BA6095">
      <w:pPr>
        <w:pStyle w:val="Heading4"/>
      </w:pPr>
      <w:bookmarkStart w:id="75" w:name="_Toc1354898559"/>
      <w:bookmarkStart w:id="76" w:name="_Toc153483004"/>
      <w:bookmarkStart w:id="77" w:name="_Toc159500914"/>
      <w:r w:rsidRPr="00C4084C">
        <w:t xml:space="preserve">Building on </w:t>
      </w:r>
      <w:bookmarkStart w:id="78" w:name="_Toc152314496"/>
      <w:bookmarkStart w:id="79" w:name="_Toc149903486"/>
      <w:bookmarkStart w:id="80" w:name="_Toc150689969"/>
      <w:bookmarkStart w:id="81" w:name="_Toc151806444"/>
      <w:bookmarkStart w:id="82" w:name="_Toc152068509"/>
      <w:bookmarkStart w:id="83" w:name="_Toc152314497"/>
      <w:bookmarkStart w:id="84" w:name="_Toc144391242"/>
      <w:bookmarkEnd w:id="78"/>
      <w:r w:rsidRPr="00C4084C">
        <w:t>past reviews and reform</w:t>
      </w:r>
      <w:bookmarkEnd w:id="75"/>
      <w:bookmarkEnd w:id="76"/>
      <w:bookmarkEnd w:id="77"/>
      <w:bookmarkEnd w:id="79"/>
      <w:bookmarkEnd w:id="80"/>
      <w:bookmarkEnd w:id="81"/>
      <w:bookmarkEnd w:id="82"/>
      <w:bookmarkEnd w:id="83"/>
      <w:r w:rsidRPr="00C4084C">
        <w:t xml:space="preserve"> </w:t>
      </w:r>
    </w:p>
    <w:p w14:paraId="2F784FF3" w14:textId="3B543422" w:rsidR="00601107" w:rsidRPr="00C4084C" w:rsidRDefault="00601107" w:rsidP="00633F37">
      <w:r w:rsidRPr="00C4084C">
        <w:t xml:space="preserve">The ambition of the Accord – long-term reform for </w:t>
      </w:r>
      <w:r w:rsidR="21F785ED" w:rsidRPr="00C4084C">
        <w:t xml:space="preserve">the </w:t>
      </w:r>
      <w:r w:rsidR="001953E7" w:rsidRPr="00C4084C">
        <w:t>higher education</w:t>
      </w:r>
      <w:r w:rsidRPr="00C4084C">
        <w:t xml:space="preserve"> </w:t>
      </w:r>
      <w:r w:rsidR="5DD66F41" w:rsidRPr="00C4084C">
        <w:t>system to meet</w:t>
      </w:r>
      <w:r w:rsidRPr="00C4084C">
        <w:t xml:space="preserve"> national need – is not new. </w:t>
      </w:r>
    </w:p>
    <w:p w14:paraId="359FFC4A" w14:textId="260F9371" w:rsidR="00601107" w:rsidRPr="00C4084C" w:rsidRDefault="00601107" w:rsidP="00633F37">
      <w:r w:rsidRPr="00C4084C">
        <w:t>Higher education has long been recognised as a core driver of national prosperity. As a result, successive</w:t>
      </w:r>
      <w:r w:rsidRPr="00C4084C" w:rsidDel="00500DE1">
        <w:t xml:space="preserve"> </w:t>
      </w:r>
      <w:r w:rsidRPr="00C4084C">
        <w:t xml:space="preserve">governments have adjusted policy settings so that the higher education system can evolve and respond </w:t>
      </w:r>
      <w:r w:rsidR="003E3BF8" w:rsidRPr="00C4084C">
        <w:t>to</w:t>
      </w:r>
      <w:r w:rsidRPr="00C4084C">
        <w:t xml:space="preserve"> </w:t>
      </w:r>
      <w:r w:rsidR="22BE83E2" w:rsidRPr="00C4084C">
        <w:t>the changing needs of the nation.</w:t>
      </w:r>
    </w:p>
    <w:p w14:paraId="559E62A5" w14:textId="1B57D565" w:rsidR="00601107" w:rsidRPr="00C4084C" w:rsidRDefault="00601107" w:rsidP="00633F37">
      <w:r w:rsidRPr="00C4084C">
        <w:t>During the Second World War, the national agenda focused on producing skilled trades</w:t>
      </w:r>
      <w:r w:rsidR="003012CF" w:rsidRPr="00C4084C">
        <w:t>people</w:t>
      </w:r>
      <w:r w:rsidRPr="00C4084C">
        <w:t xml:space="preserve"> and professionals to support the war effort. In 1944, the Commonwealth Reconstruction Training Scheme (CRTS) was introduced under the </w:t>
      </w:r>
      <w:r w:rsidR="003012CF" w:rsidRPr="00C4084C">
        <w:t>guidance</w:t>
      </w:r>
      <w:r w:rsidRPr="00C4084C">
        <w:t xml:space="preserve"> of the Universities Commission</w:t>
      </w:r>
      <w:r w:rsidRPr="00C4084C">
        <w:rPr>
          <w:rStyle w:val="FootnoteReference"/>
        </w:rPr>
        <w:footnoteReference w:id="25"/>
      </w:r>
      <w:r w:rsidRPr="00C4084C">
        <w:t xml:space="preserve"> to equip returning service personnel with the necessary skills to contribute to the nation’s rapidly growing industrial economy.</w:t>
      </w:r>
      <w:r w:rsidRPr="00C4084C">
        <w:rPr>
          <w:vertAlign w:val="superscript"/>
        </w:rPr>
        <w:footnoteReference w:id="26"/>
      </w:r>
      <w:r w:rsidRPr="00C4084C">
        <w:rPr>
          <w:vertAlign w:val="superscript"/>
        </w:rPr>
        <w:t xml:space="preserve"> </w:t>
      </w:r>
      <w:r w:rsidRPr="00C4084C">
        <w:t>University enrolments grew significantly between 1945 and 1946, from 15,286 to 25,585.</w:t>
      </w:r>
      <w:r w:rsidRPr="00C4084C">
        <w:rPr>
          <w:rStyle w:val="FootnoteReference"/>
        </w:rPr>
        <w:footnoteReference w:id="27"/>
      </w:r>
    </w:p>
    <w:p w14:paraId="383B43E3" w14:textId="41AA5BD9" w:rsidR="00601107" w:rsidRPr="00C4084C" w:rsidRDefault="00601107" w:rsidP="00633F37">
      <w:r w:rsidRPr="00C4084C">
        <w:lastRenderedPageBreak/>
        <w:t>Following recommendations of the Martin Committee</w:t>
      </w:r>
      <w:r w:rsidR="00801904" w:rsidRPr="00C4084C">
        <w:t xml:space="preserve"> on the Future of Tertiary Education in Australia</w:t>
      </w:r>
      <w:r w:rsidR="005649C9" w:rsidRPr="00C4084C">
        <w:t xml:space="preserve"> in the 1960s</w:t>
      </w:r>
      <w:r w:rsidRPr="00C4084C">
        <w:t>,</w:t>
      </w:r>
      <w:r w:rsidRPr="00C4084C">
        <w:rPr>
          <w:vertAlign w:val="superscript"/>
        </w:rPr>
        <w:footnoteReference w:id="28"/>
      </w:r>
      <w:r w:rsidRPr="00C4084C">
        <w:rPr>
          <w:vertAlign w:val="superscript"/>
        </w:rPr>
        <w:t xml:space="preserve"> </w:t>
      </w:r>
      <w:r w:rsidRPr="00C4084C">
        <w:t>the introduction of the binary system saw enrolments grow further</w:t>
      </w:r>
      <w:r w:rsidR="007565EA" w:rsidRPr="00C4084C">
        <w:t xml:space="preserve"> </w:t>
      </w:r>
      <w:r w:rsidR="00CD0655" w:rsidRPr="00C4084C">
        <w:t xml:space="preserve">(see </w:t>
      </w:r>
      <w:r w:rsidR="00CD0655" w:rsidRPr="00C4084C">
        <w:fldChar w:fldCharType="begin"/>
      </w:r>
      <w:r w:rsidR="00CD0655" w:rsidRPr="00C4084C">
        <w:instrText xml:space="preserve"> REF _Ref151936098 \h </w:instrText>
      </w:r>
      <w:r w:rsidR="002C0572">
        <w:instrText xml:space="preserve"> \* MERGEFORMAT </w:instrText>
      </w:r>
      <w:r w:rsidR="00CD0655" w:rsidRPr="00C4084C">
        <w:fldChar w:fldCharType="separate"/>
      </w:r>
      <w:r w:rsidR="00467B4F" w:rsidRPr="00C4084C">
        <w:t xml:space="preserve">Figure </w:t>
      </w:r>
      <w:r w:rsidR="00467B4F">
        <w:rPr>
          <w:noProof/>
        </w:rPr>
        <w:t>1</w:t>
      </w:r>
      <w:r w:rsidR="00CD0655" w:rsidRPr="00C4084C">
        <w:fldChar w:fldCharType="end"/>
      </w:r>
      <w:r w:rsidR="00CD0655" w:rsidRPr="00C4084C">
        <w:t>)</w:t>
      </w:r>
      <w:r w:rsidRPr="00C4084C">
        <w:t>.</w:t>
      </w:r>
      <w:r w:rsidRPr="00C4084C">
        <w:rPr>
          <w:rStyle w:val="FootnoteReference"/>
        </w:rPr>
        <w:footnoteReference w:id="29"/>
      </w:r>
      <w:r w:rsidRPr="00C4084C">
        <w:t xml:space="preserve"> Under this system, Colleges of Advanced Education (CAEs) were established to provide professional education and skills in </w:t>
      </w:r>
      <w:r w:rsidR="621D9416" w:rsidRPr="00C4084C">
        <w:t xml:space="preserve">emerging </w:t>
      </w:r>
      <w:r w:rsidRPr="00C4084C">
        <w:t>fields, like computing and librarianship. Though often held in lesser regard than universities, these colleges and institutions afforded flexibility of study (for example, night</w:t>
      </w:r>
      <w:r w:rsidR="00FE4ED1">
        <w:t xml:space="preserve"> </w:t>
      </w:r>
      <w:r w:rsidRPr="00C4084C">
        <w:t xml:space="preserve">classes) not </w:t>
      </w:r>
      <w:r w:rsidR="003E3BF8" w:rsidRPr="00C4084C">
        <w:t xml:space="preserve">always </w:t>
      </w:r>
      <w:r w:rsidRPr="00C4084C">
        <w:t>as easily available to university students, and consequently they enrolled a growing proportion of all higher education students.</w:t>
      </w:r>
    </w:p>
    <w:p w14:paraId="54A81D2D" w14:textId="514F45FC" w:rsidR="00601107" w:rsidRPr="00C4084C" w:rsidRDefault="00601107" w:rsidP="00633F37">
      <w:r w:rsidRPr="00C4084C">
        <w:t xml:space="preserve">The system demonstrated considerable resilience and flexibility in responding to these and other major changes, </w:t>
      </w:r>
      <w:r w:rsidR="7E727ACD" w:rsidRPr="00C4084C">
        <w:t>including major reforms like</w:t>
      </w:r>
      <w:r w:rsidRPr="00C4084C">
        <w:t>:</w:t>
      </w:r>
    </w:p>
    <w:p w14:paraId="50742CA6" w14:textId="05AD62BF" w:rsidR="00601107" w:rsidRPr="00C4084C" w:rsidRDefault="00601107" w:rsidP="00601107">
      <w:pPr>
        <w:pStyle w:val="ListBullet"/>
      </w:pPr>
      <w:r w:rsidRPr="00C4084C">
        <w:t xml:space="preserve">the transition of financial and policy responsibilities </w:t>
      </w:r>
      <w:r w:rsidR="005A53CD" w:rsidRPr="00C4084C">
        <w:t>for higher education</w:t>
      </w:r>
      <w:r w:rsidRPr="00C4084C">
        <w:t xml:space="preserve"> from states to the Australian Government in 1974</w:t>
      </w:r>
    </w:p>
    <w:p w14:paraId="13E1CC53" w14:textId="77777777" w:rsidR="00601107" w:rsidRPr="00C4084C" w:rsidRDefault="00601107" w:rsidP="00601107">
      <w:pPr>
        <w:pStyle w:val="ListBullet"/>
      </w:pPr>
      <w:r w:rsidRPr="00C4084C">
        <w:t xml:space="preserve">the abolition of tuition fees also in 1974 </w:t>
      </w:r>
    </w:p>
    <w:p w14:paraId="586854D5" w14:textId="5B2CC487" w:rsidR="00601107" w:rsidRPr="00C4084C" w:rsidRDefault="00601107" w:rsidP="00601107">
      <w:pPr>
        <w:pStyle w:val="ListBullet"/>
      </w:pPr>
      <w:r w:rsidRPr="00C4084C">
        <w:t xml:space="preserve">the growing importance of research and innovation to university </w:t>
      </w:r>
      <w:r w:rsidR="007565EA" w:rsidRPr="00C4084C">
        <w:t>activity</w:t>
      </w:r>
      <w:r w:rsidRPr="00C4084C">
        <w:t>, reinforced by recommendations of the Mills,</w:t>
      </w:r>
      <w:r w:rsidRPr="00C4084C">
        <w:rPr>
          <w:rStyle w:val="FootnoteReference"/>
        </w:rPr>
        <w:footnoteReference w:id="30"/>
      </w:r>
      <w:r w:rsidRPr="00C4084C">
        <w:rPr>
          <w:vertAlign w:val="superscript"/>
        </w:rPr>
        <w:t xml:space="preserve"> </w:t>
      </w:r>
      <w:r w:rsidRPr="00C4084C">
        <w:t>Murray</w:t>
      </w:r>
      <w:r w:rsidRPr="00C4084C">
        <w:rPr>
          <w:rStyle w:val="FootnoteReference"/>
        </w:rPr>
        <w:footnoteReference w:id="31"/>
      </w:r>
      <w:r w:rsidRPr="00C4084C">
        <w:rPr>
          <w:vertAlign w:val="superscript"/>
        </w:rPr>
        <w:t xml:space="preserve"> </w:t>
      </w:r>
      <w:r w:rsidRPr="00C4084C">
        <w:t>and Martin Committees</w:t>
      </w:r>
      <w:r w:rsidR="00C0552A">
        <w:rPr>
          <w:rStyle w:val="FootnoteReference"/>
        </w:rPr>
        <w:footnoteReference w:id="32"/>
      </w:r>
      <w:r w:rsidRPr="00C4084C">
        <w:t xml:space="preserve"> and the availability of competitive grants through the Australian Research Grants </w:t>
      </w:r>
      <w:r w:rsidRPr="00C4084C">
        <w:rPr>
          <w:rFonts w:eastAsiaTheme="minorEastAsia"/>
        </w:rPr>
        <w:t>Committee</w:t>
      </w:r>
      <w:r w:rsidRPr="00C4084C">
        <w:t xml:space="preserve"> </w:t>
      </w:r>
      <w:r w:rsidR="5D939149" w:rsidRPr="00C4084C">
        <w:t xml:space="preserve">from </w:t>
      </w:r>
      <w:r w:rsidRPr="00C4084C">
        <w:t>1965.</w:t>
      </w:r>
      <w:r w:rsidRPr="00C4084C">
        <w:rPr>
          <w:vertAlign w:val="superscript"/>
        </w:rPr>
        <w:footnoteReference w:id="33"/>
      </w:r>
    </w:p>
    <w:p w14:paraId="358B5090" w14:textId="09C9C90D" w:rsidR="00601107" w:rsidRPr="00C4084C" w:rsidRDefault="00601107" w:rsidP="00633F37">
      <w:r w:rsidRPr="00C4084C">
        <w:t>Arguably, the most significant period of change in Australian higher education took place during the late 1980s. The extensive Dawkins reforms package of 1988</w:t>
      </w:r>
      <w:r w:rsidRPr="00C4084C">
        <w:rPr>
          <w:rStyle w:val="FootnoteReference"/>
        </w:rPr>
        <w:footnoteReference w:id="34"/>
      </w:r>
      <w:r w:rsidRPr="00C4084C">
        <w:t xml:space="preserve"> ended the binary system and restructured the </w:t>
      </w:r>
      <w:r w:rsidR="00586A98" w:rsidRPr="00C4084C">
        <w:t>higher education</w:t>
      </w:r>
      <w:r w:rsidRPr="00C4084C">
        <w:t xml:space="preserve"> sector. It has been identified as the </w:t>
      </w:r>
      <w:r w:rsidR="00493FD2" w:rsidRPr="00C4084C">
        <w:t>“</w:t>
      </w:r>
      <w:r w:rsidRPr="00C4084C">
        <w:t>point when Australian higher education tipped from elite to mass</w:t>
      </w:r>
      <w:r w:rsidR="00493FD2" w:rsidRPr="00C4084C">
        <w:t>”</w:t>
      </w:r>
      <w:r w:rsidR="00726540" w:rsidRPr="00C4084C">
        <w:t>.</w:t>
      </w:r>
      <w:r w:rsidRPr="00C4084C">
        <w:rPr>
          <w:rStyle w:val="FootnoteReference"/>
        </w:rPr>
        <w:footnoteReference w:id="35"/>
      </w:r>
      <w:r w:rsidRPr="00C4084C">
        <w:t xml:space="preserve"> </w:t>
      </w:r>
    </w:p>
    <w:p w14:paraId="3C9E6E58" w14:textId="3F92595E" w:rsidR="006336E1" w:rsidRDefault="00601107" w:rsidP="00633F37">
      <w:bookmarkStart w:id="87" w:name="_Ref153123326"/>
      <w:bookmarkStart w:id="88" w:name="_Ref153123251"/>
      <w:r w:rsidRPr="00C4084C">
        <w:t>These reforms resulted in amalgamations and mergers of Australia’s 75 various higher education institutions to 36 universities</w:t>
      </w:r>
      <w:r w:rsidR="00A262B2" w:rsidRPr="00C4084C">
        <w:t>,</w:t>
      </w:r>
      <w:r w:rsidRPr="00C4084C">
        <w:rPr>
          <w:rStyle w:val="FootnoteReference"/>
        </w:rPr>
        <w:footnoteReference w:id="36"/>
      </w:r>
      <w:r w:rsidRPr="00C4084C">
        <w:t xml:space="preserve"> introduction of a financial contribution by students to the cost of their education </w:t>
      </w:r>
      <w:r w:rsidR="53634DDC" w:rsidRPr="00C4084C">
        <w:t>supported by an</w:t>
      </w:r>
      <w:r w:rsidRPr="00C4084C">
        <w:t xml:space="preserve"> income-contingent loan</w:t>
      </w:r>
      <w:r w:rsidR="33C2D2FE" w:rsidRPr="00C4084C">
        <w:t xml:space="preserve"> system to defer this cost</w:t>
      </w:r>
      <w:r w:rsidRPr="00C4084C">
        <w:t xml:space="preserve">, the </w:t>
      </w:r>
      <w:r w:rsidR="72AB936F" w:rsidRPr="00C4084C">
        <w:t>Higher Education Contribution Scheme</w:t>
      </w:r>
      <w:r w:rsidR="1D23FCF7" w:rsidRPr="00C4084C">
        <w:t xml:space="preserve"> </w:t>
      </w:r>
      <w:r w:rsidR="7F58A203" w:rsidRPr="00C4084C">
        <w:t>(</w:t>
      </w:r>
      <w:r w:rsidRPr="00C4084C">
        <w:t>HECS</w:t>
      </w:r>
      <w:r w:rsidR="43232DEE" w:rsidRPr="00C4084C">
        <w:t>)</w:t>
      </w:r>
      <w:r w:rsidR="00A262B2" w:rsidRPr="00C4084C">
        <w:t>,</w:t>
      </w:r>
      <w:r w:rsidRPr="00C4084C">
        <w:t xml:space="preserve"> and a one-off funding equalisation adjustment, the relative funding model (RFM), which rebased the funding to universities so they received the same amount per student but with weighting for different disciplines. The</w:t>
      </w:r>
      <w:r w:rsidR="00586A98" w:rsidRPr="00C4084C">
        <w:t xml:space="preserve"> Dawkins reforms</w:t>
      </w:r>
      <w:r w:rsidRPr="00C4084C">
        <w:t xml:space="preserve"> also resulted in a</w:t>
      </w:r>
      <w:r w:rsidR="00586A98" w:rsidRPr="00C4084C">
        <w:t xml:space="preserve"> large</w:t>
      </w:r>
      <w:r w:rsidRPr="00C4084C">
        <w:t xml:space="preserve"> expansion in the number of domestic and international students</w:t>
      </w:r>
      <w:r w:rsidR="6310B951" w:rsidRPr="00C4084C">
        <w:t xml:space="preserve"> (see </w:t>
      </w:r>
      <w:r w:rsidR="00D0149B" w:rsidRPr="00C4084C">
        <w:fldChar w:fldCharType="begin"/>
      </w:r>
      <w:r w:rsidR="00D0149B" w:rsidRPr="00C4084C">
        <w:instrText xml:space="preserve"> REF _Ref151936098 \h </w:instrText>
      </w:r>
      <w:r w:rsidR="002C0572">
        <w:instrText xml:space="preserve"> \* MERGEFORMAT </w:instrText>
      </w:r>
      <w:r w:rsidR="00D0149B" w:rsidRPr="00C4084C">
        <w:fldChar w:fldCharType="separate"/>
      </w:r>
      <w:r w:rsidR="00467B4F" w:rsidRPr="00C4084C">
        <w:t xml:space="preserve">Figure </w:t>
      </w:r>
      <w:r w:rsidR="00467B4F">
        <w:rPr>
          <w:noProof/>
        </w:rPr>
        <w:t>1</w:t>
      </w:r>
      <w:r w:rsidR="00D0149B" w:rsidRPr="00C4084C">
        <w:fldChar w:fldCharType="end"/>
      </w:r>
      <w:r w:rsidR="6310B951" w:rsidRPr="00C4084C">
        <w:t>)</w:t>
      </w:r>
      <w:r w:rsidRPr="00C4084C">
        <w:t xml:space="preserve">; major growth in the quantity and quality of higher education research; and, over time, a move towards greater reliance </w:t>
      </w:r>
      <w:r w:rsidRPr="00C4084C">
        <w:lastRenderedPageBreak/>
        <w:t xml:space="preserve">on non-Commonwealth </w:t>
      </w:r>
      <w:r w:rsidR="00E749CC" w:rsidRPr="00C4084C">
        <w:t>g</w:t>
      </w:r>
      <w:r w:rsidRPr="00C4084C">
        <w:t>overnment sources of revenue</w:t>
      </w:r>
      <w:r w:rsidR="3982CEDA" w:rsidRPr="00C4084C">
        <w:t xml:space="preserve"> and an emphasis on research collaboration between universities and industry</w:t>
      </w:r>
      <w:r w:rsidRPr="00C4084C">
        <w:t>.</w:t>
      </w:r>
      <w:bookmarkEnd w:id="87"/>
    </w:p>
    <w:p w14:paraId="68240B39" w14:textId="77777777" w:rsidR="006336E1" w:rsidRDefault="006336E1" w:rsidP="004406D4">
      <w:pPr>
        <w:rPr>
          <w:szCs w:val="20"/>
        </w:rPr>
      </w:pPr>
      <w:r>
        <w:br w:type="page"/>
      </w:r>
    </w:p>
    <w:p w14:paraId="1C3C7854" w14:textId="018E6519" w:rsidR="001B2011" w:rsidRPr="00C4084C" w:rsidRDefault="008901B6" w:rsidP="001B2011">
      <w:pPr>
        <w:pStyle w:val="Caption"/>
      </w:pPr>
      <w:bookmarkStart w:id="89" w:name="_Ref151936098"/>
      <w:bookmarkStart w:id="90" w:name="_Ref153123409"/>
      <w:bookmarkStart w:id="91" w:name="_Toc154674763"/>
      <w:r w:rsidRPr="00D26B82">
        <w:rPr>
          <w:b/>
          <w:bCs/>
          <w:noProof/>
          <w:sz w:val="24"/>
          <w:szCs w:val="24"/>
        </w:rPr>
        <w:lastRenderedPageBreak/>
        <w:drawing>
          <wp:inline distT="0" distB="0" distL="0" distR="0" wp14:anchorId="3AB994E9" wp14:editId="2D8F534C">
            <wp:extent cx="6113145" cy="3161030"/>
            <wp:effectExtent l="0" t="0" r="0" b="0"/>
            <wp:docPr id="1356898433" name="Graphic 1" descr="A line graph showing the share of higher education enrolments among the Australian population from 1906 to 2022. Enrolments are close to 0% in 1906, and trend steadily upwards from 1956 to reach above 6% by 2016, falling to just under 6% in 20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898433" name="Graphic 1" descr="A line graph showing the share of higher education enrolments among the Australian population from 1906 to 2022. Enrolments are close to 0% in 1906, and trend steadily upwards from 1956 to reach above 6% by 2016, falling to just under 6% in 2022. "/>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113145" cy="3161030"/>
                    </a:xfrm>
                    <a:prstGeom prst="rect">
                      <a:avLst/>
                    </a:prstGeom>
                  </pic:spPr>
                </pic:pic>
              </a:graphicData>
            </a:graphic>
          </wp:inline>
        </w:drawing>
      </w:r>
      <w:r w:rsidR="001B2011" w:rsidRPr="00D26B82">
        <w:rPr>
          <w:b/>
          <w:bCs/>
          <w:sz w:val="24"/>
          <w:szCs w:val="24"/>
        </w:rPr>
        <w:t xml:space="preserve">Figure </w:t>
      </w:r>
      <w:r w:rsidR="001B2011" w:rsidRPr="00D26B82">
        <w:rPr>
          <w:b/>
          <w:bCs/>
          <w:sz w:val="24"/>
          <w:szCs w:val="24"/>
        </w:rPr>
        <w:fldChar w:fldCharType="begin"/>
      </w:r>
      <w:r w:rsidR="001B2011" w:rsidRPr="00D26B82">
        <w:rPr>
          <w:b/>
          <w:bCs/>
          <w:sz w:val="24"/>
          <w:szCs w:val="24"/>
        </w:rPr>
        <w:instrText>SEQ Figure \* ARABIC</w:instrText>
      </w:r>
      <w:r w:rsidR="001B2011" w:rsidRPr="00D26B82">
        <w:rPr>
          <w:b/>
          <w:bCs/>
          <w:sz w:val="24"/>
          <w:szCs w:val="24"/>
        </w:rPr>
        <w:fldChar w:fldCharType="separate"/>
      </w:r>
      <w:r w:rsidR="00467B4F" w:rsidRPr="00D26B82">
        <w:rPr>
          <w:b/>
          <w:bCs/>
          <w:noProof/>
          <w:sz w:val="24"/>
          <w:szCs w:val="24"/>
        </w:rPr>
        <w:t>1</w:t>
      </w:r>
      <w:r w:rsidR="001B2011" w:rsidRPr="00D26B82">
        <w:rPr>
          <w:b/>
          <w:bCs/>
          <w:sz w:val="24"/>
          <w:szCs w:val="24"/>
        </w:rPr>
        <w:fldChar w:fldCharType="end"/>
      </w:r>
      <w:bookmarkEnd w:id="88"/>
      <w:bookmarkEnd w:id="89"/>
      <w:r w:rsidR="001B2011" w:rsidRPr="00D26B82">
        <w:rPr>
          <w:b/>
          <w:bCs/>
          <w:sz w:val="24"/>
          <w:szCs w:val="24"/>
        </w:rPr>
        <w:t xml:space="preserve">: </w:t>
      </w:r>
      <w:r w:rsidR="00AF6620" w:rsidRPr="00D26B82">
        <w:rPr>
          <w:b/>
          <w:bCs/>
          <w:sz w:val="24"/>
          <w:szCs w:val="24"/>
        </w:rPr>
        <w:t>H</w:t>
      </w:r>
      <w:r w:rsidR="001B2011" w:rsidRPr="00D26B82">
        <w:rPr>
          <w:b/>
          <w:bCs/>
          <w:sz w:val="24"/>
          <w:szCs w:val="24"/>
        </w:rPr>
        <w:t>igher education enrolments</w:t>
      </w:r>
      <w:r w:rsidR="00C962AE" w:rsidRPr="00D26B82">
        <w:rPr>
          <w:b/>
          <w:bCs/>
          <w:sz w:val="24"/>
          <w:szCs w:val="24"/>
        </w:rPr>
        <w:t>,</w:t>
      </w:r>
      <w:r w:rsidR="001B2011" w:rsidRPr="00D26B82">
        <w:rPr>
          <w:b/>
          <w:bCs/>
          <w:sz w:val="24"/>
          <w:szCs w:val="24"/>
        </w:rPr>
        <w:t xml:space="preserve"> </w:t>
      </w:r>
      <w:r w:rsidR="00C962AE" w:rsidRPr="00D26B82">
        <w:rPr>
          <w:b/>
          <w:bCs/>
          <w:sz w:val="24"/>
          <w:szCs w:val="24"/>
        </w:rPr>
        <w:t>share</w:t>
      </w:r>
      <w:r w:rsidR="00DF1B43" w:rsidRPr="00D26B82">
        <w:rPr>
          <w:b/>
          <w:bCs/>
          <w:sz w:val="24"/>
          <w:szCs w:val="24"/>
        </w:rPr>
        <w:t xml:space="preserve"> of population</w:t>
      </w:r>
      <w:r w:rsidR="00C962AE" w:rsidRPr="00D26B82">
        <w:rPr>
          <w:b/>
          <w:bCs/>
          <w:sz w:val="24"/>
          <w:szCs w:val="24"/>
        </w:rPr>
        <w:t xml:space="preserve"> </w:t>
      </w:r>
      <w:r w:rsidR="00D01544" w:rsidRPr="00D26B82">
        <w:rPr>
          <w:b/>
          <w:bCs/>
          <w:sz w:val="24"/>
          <w:szCs w:val="24"/>
        </w:rPr>
        <w:t>(%)</w:t>
      </w:r>
      <w:r w:rsidR="00D3157B" w:rsidRPr="00D26B82">
        <w:rPr>
          <w:b/>
          <w:bCs/>
          <w:sz w:val="24"/>
          <w:szCs w:val="24"/>
        </w:rPr>
        <w:t xml:space="preserve">, </w:t>
      </w:r>
      <w:r w:rsidR="00D01544" w:rsidRPr="00D26B82">
        <w:rPr>
          <w:b/>
          <w:bCs/>
          <w:sz w:val="24"/>
          <w:szCs w:val="24"/>
        </w:rPr>
        <w:t>1906</w:t>
      </w:r>
      <w:r w:rsidR="00C672C7" w:rsidRPr="00D26B82">
        <w:rPr>
          <w:b/>
          <w:bCs/>
          <w:sz w:val="24"/>
          <w:szCs w:val="24"/>
        </w:rPr>
        <w:t xml:space="preserve"> to </w:t>
      </w:r>
      <w:r w:rsidR="001B2011" w:rsidRPr="00D26B82">
        <w:rPr>
          <w:b/>
          <w:bCs/>
          <w:sz w:val="24"/>
          <w:szCs w:val="24"/>
        </w:rPr>
        <w:t>202</w:t>
      </w:r>
      <w:r w:rsidR="7E1AF11A" w:rsidRPr="00D26B82">
        <w:rPr>
          <w:b/>
          <w:bCs/>
          <w:sz w:val="24"/>
          <w:szCs w:val="24"/>
        </w:rPr>
        <w:t>2</w:t>
      </w:r>
      <w:r w:rsidR="003D0799" w:rsidRPr="00C4084C">
        <w:t>.</w:t>
      </w:r>
      <w:bookmarkEnd w:id="90"/>
      <w:bookmarkEnd w:id="91"/>
    </w:p>
    <w:p w14:paraId="0696226B" w14:textId="6C7B3433" w:rsidR="00105946" w:rsidRPr="00C4084C" w:rsidRDefault="001B2011" w:rsidP="008C4411">
      <w:pPr>
        <w:pStyle w:val="Source"/>
      </w:pPr>
      <w:r w:rsidRPr="00C4084C">
        <w:t xml:space="preserve">Source: Australian Bureau of Statistics, </w:t>
      </w:r>
      <w:r w:rsidR="00882A00" w:rsidRPr="00C4084C">
        <w:rPr>
          <w:i/>
          <w:iCs/>
        </w:rPr>
        <w:t>Year Book Australia</w:t>
      </w:r>
      <w:r w:rsidRPr="00C4084C">
        <w:t xml:space="preserve">, (Canberra: Australian Bureau of Statistics, 2023), accessed </w:t>
      </w:r>
      <w:r w:rsidR="00AF6620" w:rsidRPr="00C4084C">
        <w:t>1 </w:t>
      </w:r>
      <w:r w:rsidRPr="00C4084C">
        <w:t>November 2023,</w:t>
      </w:r>
      <w:r w:rsidR="00882A00" w:rsidRPr="00C4084C">
        <w:t xml:space="preserve"> </w:t>
      </w:r>
      <w:hyperlink r:id="rId34" w:history="1">
        <w:r w:rsidR="004D26C5" w:rsidRPr="00C4084C">
          <w:rPr>
            <w:rStyle w:val="Hyperlink"/>
          </w:rPr>
          <w:t>www.abs.gov.au/AUSSTATS/abs@.nsf/second+level+view?ReadForm&amp;</w:t>
        </w:r>
        <w:r w:rsidR="004D26C5" w:rsidRPr="00C4084C">
          <w:rPr>
            <w:rStyle w:val="Hyperlink"/>
          </w:rPr>
          <w:br/>
          <w:t>prodno=1301.0&amp;viewtitle=‌Year‌%‌20‌Book‌%20Australia~2012~Latest~24/05/2012&amp;&amp;tabname=Past%20</w:t>
        </w:r>
        <w:r w:rsidR="004D26C5" w:rsidRPr="00C4084C">
          <w:rPr>
            <w:rStyle w:val="Hyperlink"/>
          </w:rPr>
          <w:br/>
          <w:t>Future%20Issues&amp;prodno=1301.0&amp;issue=2012&amp;‌num‌=‌&amp;view=&amp;</w:t>
        </w:r>
      </w:hyperlink>
      <w:r w:rsidRPr="00C4084C">
        <w:t xml:space="preserve">; </w:t>
      </w:r>
      <w:r w:rsidR="00882A00" w:rsidRPr="00C4084C">
        <w:t xml:space="preserve">Department of Education, </w:t>
      </w:r>
      <w:r w:rsidR="00882A00" w:rsidRPr="00C4084C">
        <w:rPr>
          <w:i/>
          <w:iCs/>
        </w:rPr>
        <w:t>Higher Education Statistics – Student Data</w:t>
      </w:r>
      <w:r w:rsidR="00882A00" w:rsidRPr="00C4084C">
        <w:rPr>
          <w:i/>
        </w:rPr>
        <w:t xml:space="preserve"> </w:t>
      </w:r>
      <w:r w:rsidR="00F455B3" w:rsidRPr="00C4084C">
        <w:rPr>
          <w:i/>
          <w:iCs/>
        </w:rPr>
        <w:t>– Time Series Data 1949</w:t>
      </w:r>
      <w:r w:rsidR="00BA1028" w:rsidRPr="00C4084C">
        <w:rPr>
          <w:i/>
          <w:iCs/>
        </w:rPr>
        <w:t>–</w:t>
      </w:r>
      <w:r w:rsidR="00F455B3" w:rsidRPr="00C4084C">
        <w:rPr>
          <w:i/>
          <w:iCs/>
        </w:rPr>
        <w:t>2000</w:t>
      </w:r>
      <w:r w:rsidR="00F455B3" w:rsidRPr="00C4084C">
        <w:t xml:space="preserve">, (Canberra: 2023) accessed 13 December 2023, </w:t>
      </w:r>
      <w:hyperlink r:id="rId35" w:history="1">
        <w:r w:rsidR="001E253E" w:rsidRPr="00811871">
          <w:rPr>
            <w:rStyle w:val="Hyperlink"/>
          </w:rPr>
          <w:t>https://www.education.gov.au/higher-education-statistics/resources/time-series-data-1949-2000</w:t>
        </w:r>
      </w:hyperlink>
      <w:r w:rsidR="00F455B3" w:rsidRPr="00C4084C">
        <w:t xml:space="preserve">; </w:t>
      </w:r>
      <w:r w:rsidR="00882A00" w:rsidRPr="00C4084C">
        <w:t xml:space="preserve">Department of Education, </w:t>
      </w:r>
      <w:r w:rsidR="00882A00" w:rsidRPr="00C4084C">
        <w:rPr>
          <w:i/>
          <w:iCs/>
        </w:rPr>
        <w:t>Higher Education Statistics – Student Data</w:t>
      </w:r>
      <w:r w:rsidR="00882A00" w:rsidRPr="00C4084C">
        <w:t xml:space="preserve"> [unpublished data], (Canberra: 2023)</w:t>
      </w:r>
      <w:r w:rsidR="5925E775" w:rsidRPr="00C4084C">
        <w:t xml:space="preserve">; </w:t>
      </w:r>
      <w:r w:rsidR="73D4EA10" w:rsidRPr="00C4084C">
        <w:t xml:space="preserve">Australian Bureau of Statistics, </w:t>
      </w:r>
      <w:r w:rsidR="73D4EA10" w:rsidRPr="00C4084C">
        <w:rPr>
          <w:i/>
        </w:rPr>
        <w:t>National, state and territory population</w:t>
      </w:r>
      <w:r w:rsidR="73D4EA10" w:rsidRPr="00C4084C">
        <w:t xml:space="preserve">, accessed 13 December 2023, </w:t>
      </w:r>
      <w:hyperlink r:id="rId36" w:history="1">
        <w:r w:rsidR="00025E3A" w:rsidRPr="00C4084C">
          <w:rPr>
            <w:rStyle w:val="Hyperlink"/>
          </w:rPr>
          <w:t>www.abs.gov.au/statistics/people/population/national-state-and-territory-population/jun-2022</w:t>
        </w:r>
      </w:hyperlink>
      <w:r w:rsidR="003F2591" w:rsidRPr="00C4084C">
        <w:t>.</w:t>
      </w:r>
    </w:p>
    <w:p w14:paraId="321D1329" w14:textId="4ECAD7E2" w:rsidR="00D6185E" w:rsidRPr="00C4084C" w:rsidRDefault="00D6185E" w:rsidP="00C96FF6">
      <w:pPr>
        <w:pStyle w:val="Source"/>
      </w:pPr>
      <w:r w:rsidRPr="00C4084C">
        <w:t xml:space="preserve">Note: </w:t>
      </w:r>
      <w:r w:rsidR="00947E08" w:rsidRPr="00C4084C">
        <w:t xml:space="preserve">Figure 1 </w:t>
      </w:r>
      <w:r w:rsidR="00991B73" w:rsidRPr="00C4084C">
        <w:t xml:space="preserve">shows </w:t>
      </w:r>
      <w:r w:rsidR="00E53AE9" w:rsidRPr="00C4084C">
        <w:t xml:space="preserve">higher education enrolments as a share of population every 5 years </w:t>
      </w:r>
      <w:proofErr w:type="gramStart"/>
      <w:r w:rsidR="00E53AE9" w:rsidRPr="00C4084C">
        <w:t>with the exception o</w:t>
      </w:r>
      <w:r w:rsidR="0079766C" w:rsidRPr="00C4084C">
        <w:t>f</w:t>
      </w:r>
      <w:proofErr w:type="gramEnd"/>
      <w:r w:rsidR="00E53AE9" w:rsidRPr="00C4084C">
        <w:t xml:space="preserve"> 1942 and 2022. </w:t>
      </w:r>
      <w:r w:rsidR="0079766C" w:rsidRPr="00C4084C">
        <w:t>T</w:t>
      </w:r>
      <w:r w:rsidR="00947E08" w:rsidRPr="00C4084C">
        <w:t xml:space="preserve">he 1942 share of population </w:t>
      </w:r>
      <w:r w:rsidR="0079766C" w:rsidRPr="00C4084C">
        <w:t xml:space="preserve">was used </w:t>
      </w:r>
      <w:r w:rsidR="00947E08" w:rsidRPr="00C4084C">
        <w:t>due to</w:t>
      </w:r>
      <w:r w:rsidR="00AF1F6A" w:rsidRPr="00C4084C">
        <w:t xml:space="preserve"> unavailability of 1941 enrolment data</w:t>
      </w:r>
      <w:r w:rsidR="0079766C" w:rsidRPr="00C4084C">
        <w:t xml:space="preserve"> and the </w:t>
      </w:r>
      <w:r w:rsidR="00AF1F6A" w:rsidRPr="00C4084C">
        <w:t xml:space="preserve">2022 </w:t>
      </w:r>
      <w:r w:rsidR="00CB76F9" w:rsidRPr="00C4084C">
        <w:t>share of population</w:t>
      </w:r>
      <w:r w:rsidR="00AF1F6A" w:rsidRPr="00C4084C">
        <w:t xml:space="preserve"> </w:t>
      </w:r>
      <w:r w:rsidR="0079766C" w:rsidRPr="00C4084C">
        <w:t>was used</w:t>
      </w:r>
      <w:r w:rsidR="00AF1F6A" w:rsidRPr="00C4084C">
        <w:t xml:space="preserve"> to </w:t>
      </w:r>
      <w:r w:rsidR="0079766C" w:rsidRPr="00C4084C">
        <w:t>encompass</w:t>
      </w:r>
      <w:r w:rsidR="008E3C33" w:rsidRPr="00C4084C">
        <w:t xml:space="preserve"> the decline in </w:t>
      </w:r>
      <w:r w:rsidR="00CB76F9" w:rsidRPr="00C4084C">
        <w:t>2022 enrolments.</w:t>
      </w:r>
    </w:p>
    <w:p w14:paraId="24FBEB21" w14:textId="77777777" w:rsidR="00601107" w:rsidRPr="00C4084C" w:rsidRDefault="00601107" w:rsidP="0091405C">
      <w:r w:rsidRPr="00C4084C">
        <w:t xml:space="preserve">The Dawkins reforms have proved enduring. The structure and direction of the system has not changed significantly since, though subsequent reforms have made some important adjustments. </w:t>
      </w:r>
    </w:p>
    <w:p w14:paraId="59F71DCC" w14:textId="78F558FF" w:rsidR="00601107" w:rsidRPr="00C4084C" w:rsidRDefault="00601107" w:rsidP="0091405C">
      <w:r w:rsidRPr="00C4084C">
        <w:t>In addition to improvements in efficiency and productivity in higher education delivery, noteworthy system changes throughout the 1990s and early 2000s included</w:t>
      </w:r>
      <w:r w:rsidR="00D44853" w:rsidRPr="00C4084C">
        <w:t xml:space="preserve"> </w:t>
      </w:r>
      <w:r w:rsidRPr="00C4084C">
        <w:t>increased government support for, and diversification of, private higher education provision</w:t>
      </w:r>
      <w:r w:rsidR="00D44853" w:rsidRPr="00C4084C">
        <w:t xml:space="preserve">, and </w:t>
      </w:r>
      <w:r w:rsidRPr="00C4084C">
        <w:t>greater diversity of university income sources, including from international students.</w:t>
      </w:r>
    </w:p>
    <w:p w14:paraId="783EF34C" w14:textId="1D32AB20" w:rsidR="00601107" w:rsidRPr="00C4084C" w:rsidRDefault="009C52DA" w:rsidP="0091405C">
      <w:r w:rsidRPr="00C4084C">
        <w:t>Informing another substantial set of reforms</w:t>
      </w:r>
      <w:r w:rsidR="00DA3369" w:rsidRPr="00C4084C">
        <w:t xml:space="preserve">, </w:t>
      </w:r>
      <w:r w:rsidR="0C41CC6C" w:rsidRPr="00C4084C">
        <w:t>the 2008</w:t>
      </w:r>
      <w:r w:rsidR="00601107" w:rsidRPr="00C4084C">
        <w:t xml:space="preserve"> Review of Australian Higher Education led by the late Professor Denise Bradley AC (the Bradley Review) was commissioned to </w:t>
      </w:r>
      <w:r w:rsidR="00493FD2" w:rsidRPr="00C4084C">
        <w:t>“</w:t>
      </w:r>
      <w:r w:rsidR="00601107" w:rsidRPr="00C4084C">
        <w:t>examine and report on… the future direction of the higher education sector, its fitness for purpose in meeting the needs of the Australian community and economy and the options for ongoing reform</w:t>
      </w:r>
      <w:r w:rsidR="000B3E71" w:rsidRPr="00C4084C">
        <w:t>”</w:t>
      </w:r>
      <w:r w:rsidR="00726540" w:rsidRPr="00C4084C">
        <w:t>.</w:t>
      </w:r>
      <w:r w:rsidR="00601107" w:rsidRPr="00C4084C">
        <w:rPr>
          <w:rStyle w:val="FootnoteReference"/>
        </w:rPr>
        <w:footnoteReference w:id="37"/>
      </w:r>
    </w:p>
    <w:p w14:paraId="2208A2CC" w14:textId="11F9AF98" w:rsidR="00601107" w:rsidRPr="00C4084C" w:rsidRDefault="00601107" w:rsidP="0091405C">
      <w:r w:rsidRPr="00C4084C">
        <w:t xml:space="preserve">The Bradley Review identified Australia’s sustained failure to capitalise on the abilities of all Australians – given projected shortfall in the number of suitably qualified people to meet Australia’s </w:t>
      </w:r>
      <w:r w:rsidRPr="00C4084C">
        <w:lastRenderedPageBreak/>
        <w:t>workforce needs – as a substantial economic issue for the nation, in addition to being a significant issue of social inequity.</w:t>
      </w:r>
      <w:r w:rsidRPr="00C4084C">
        <w:rPr>
          <w:rStyle w:val="FootnoteReference"/>
        </w:rPr>
        <w:footnoteReference w:id="38"/>
      </w:r>
      <w:r w:rsidRPr="00C4084C">
        <w:t xml:space="preserve"> It recommended that Australia set higher education targets for the total student population and groups historically </w:t>
      </w:r>
      <w:r w:rsidR="00D7545F" w:rsidRPr="00C4084C">
        <w:t>under-represented</w:t>
      </w:r>
      <w:r w:rsidRPr="00C4084C">
        <w:t xml:space="preserve"> in higher education to drive increased participation and attainment. Though growth in equitable access to higher education was substantial, by the target date of 2020 the targets for historically </w:t>
      </w:r>
      <w:r w:rsidR="00D7545F" w:rsidRPr="00C4084C">
        <w:t>under-represented</w:t>
      </w:r>
      <w:r w:rsidRPr="00C4084C">
        <w:t xml:space="preserve"> groups had not been met.</w:t>
      </w:r>
    </w:p>
    <w:p w14:paraId="405A2D13" w14:textId="77777777" w:rsidR="00601107" w:rsidRPr="00C4084C" w:rsidRDefault="00601107" w:rsidP="0091405C">
      <w:r w:rsidRPr="00C4084C">
        <w:t>Significant changes to Australian higher education policy since the Bradley Review include:</w:t>
      </w:r>
    </w:p>
    <w:p w14:paraId="5E7FF7E2" w14:textId="6FFC71A8" w:rsidR="00601107" w:rsidRPr="00C4084C" w:rsidRDefault="00601107" w:rsidP="00601107">
      <w:pPr>
        <w:pStyle w:val="ListBullet"/>
      </w:pPr>
      <w:r w:rsidRPr="00C4084C">
        <w:t>the introduction of the demand</w:t>
      </w:r>
      <w:r w:rsidR="007D62DA">
        <w:t xml:space="preserve"> </w:t>
      </w:r>
      <w:r w:rsidRPr="00C4084C">
        <w:t xml:space="preserve">driven system in 2012 that provided an entitlement to a Commonwealth </w:t>
      </w:r>
      <w:r w:rsidR="00C50ECA" w:rsidRPr="00C4084C">
        <w:t>s</w:t>
      </w:r>
      <w:r w:rsidRPr="00C4084C">
        <w:t xml:space="preserve">upported </w:t>
      </w:r>
      <w:r w:rsidR="7B8A99B5" w:rsidRPr="00C4084C">
        <w:t>p</w:t>
      </w:r>
      <w:r w:rsidRPr="00C4084C">
        <w:t>lace for any eligible domestic student offered a place in a non-medical bachelor course at a Table A higher education provider. The demand</w:t>
      </w:r>
      <w:r w:rsidR="007D62DA">
        <w:t xml:space="preserve"> </w:t>
      </w:r>
      <w:r w:rsidRPr="00C4084C">
        <w:t xml:space="preserve">driven system operated from 2012 to </w:t>
      </w:r>
      <w:proofErr w:type="gramStart"/>
      <w:r w:rsidRPr="00C4084C">
        <w:t>2017</w:t>
      </w:r>
      <w:proofErr w:type="gramEnd"/>
    </w:p>
    <w:p w14:paraId="6E558BF7" w14:textId="7E4064BC" w:rsidR="00601107" w:rsidRPr="00C4084C" w:rsidRDefault="00601107" w:rsidP="00601107">
      <w:pPr>
        <w:pStyle w:val="ListBullet"/>
      </w:pPr>
      <w:r w:rsidRPr="00C4084C">
        <w:t xml:space="preserve">the </w:t>
      </w:r>
      <w:r w:rsidR="002E5A3D" w:rsidRPr="00C4084C">
        <w:t>freezing of the demand driven system from 2018,</w:t>
      </w:r>
      <w:r w:rsidRPr="00C4084C">
        <w:t xml:space="preserve"> </w:t>
      </w:r>
      <w:r w:rsidR="002E5A3D" w:rsidRPr="00C4084C">
        <w:t xml:space="preserve">capping the amount of Commonwealth Grant Scheme (CGS) funding each university received, but </w:t>
      </w:r>
      <w:r w:rsidRPr="00C4084C">
        <w:t xml:space="preserve">allowing </w:t>
      </w:r>
      <w:r w:rsidR="002E5A3D" w:rsidRPr="00C4084C">
        <w:t>them to</w:t>
      </w:r>
      <w:r w:rsidRPr="00C4084C">
        <w:t xml:space="preserve"> </w:t>
      </w:r>
      <w:r w:rsidR="008B4BB9" w:rsidRPr="00C4084C">
        <w:t xml:space="preserve">enrol as many students as they wished and keep the full value of student </w:t>
      </w:r>
      <w:proofErr w:type="gramStart"/>
      <w:r w:rsidR="008B4BB9" w:rsidRPr="00C4084C">
        <w:t>contributions</w:t>
      </w:r>
      <w:proofErr w:type="gramEnd"/>
      <w:r w:rsidR="002E5A3D" w:rsidRPr="00C4084C">
        <w:t xml:space="preserve"> </w:t>
      </w:r>
    </w:p>
    <w:p w14:paraId="62E76E07" w14:textId="5CCD2A88" w:rsidR="00601107" w:rsidRPr="00C4084C" w:rsidRDefault="00601107" w:rsidP="00601107">
      <w:pPr>
        <w:pStyle w:val="ListBullet"/>
      </w:pPr>
      <w:r w:rsidRPr="00C4084C">
        <w:t xml:space="preserve">new regulatory structures, </w:t>
      </w:r>
      <w:proofErr w:type="gramStart"/>
      <w:r w:rsidRPr="00C4084C">
        <w:t>frameworks</w:t>
      </w:r>
      <w:proofErr w:type="gramEnd"/>
      <w:r w:rsidRPr="00C4084C">
        <w:t xml:space="preserve"> and bodies, including the Provider Category Standards and the </w:t>
      </w:r>
      <w:r w:rsidR="1956454E" w:rsidRPr="00C4084C">
        <w:rPr>
          <w:rFonts w:ascii="Calibri" w:eastAsia="Calibri" w:hAnsi="Calibri" w:cs="Calibri"/>
        </w:rPr>
        <w:t xml:space="preserve">establishment of </w:t>
      </w:r>
      <w:r w:rsidRPr="00C4084C">
        <w:t>Tertiary Education Quality Standards Agency (TEQSA)</w:t>
      </w:r>
      <w:r w:rsidR="00A80D0E" w:rsidRPr="00C4084C">
        <w:t>,</w:t>
      </w:r>
      <w:r w:rsidRPr="00C4084C">
        <w:t xml:space="preserve"> </w:t>
      </w:r>
      <w:r w:rsidR="11F6F66C" w:rsidRPr="00C4084C">
        <w:t xml:space="preserve">a key </w:t>
      </w:r>
      <w:r w:rsidR="00A80D0E" w:rsidRPr="00C4084C">
        <w:t>recommendation</w:t>
      </w:r>
      <w:r w:rsidR="11F6F66C" w:rsidRPr="00C4084C">
        <w:t xml:space="preserve"> of the Bradley Review</w:t>
      </w:r>
    </w:p>
    <w:p w14:paraId="6374E093" w14:textId="514BAF58" w:rsidR="00601107" w:rsidRPr="00C4084C" w:rsidRDefault="00601107" w:rsidP="00601107">
      <w:pPr>
        <w:pStyle w:val="ListBullet"/>
      </w:pPr>
      <w:r w:rsidRPr="00C4084C">
        <w:t xml:space="preserve">the introduction of major reforms to what students and the </w:t>
      </w:r>
      <w:r w:rsidR="00E749CC" w:rsidRPr="00C4084C">
        <w:t>Australian</w:t>
      </w:r>
      <w:r w:rsidRPr="00C4084C">
        <w:t xml:space="preserve"> Government pay for different subjects through the Job-ready Graduates (JRG) package from 2021.</w:t>
      </w:r>
    </w:p>
    <w:p w14:paraId="5FADE1FA" w14:textId="64C61B8A" w:rsidR="00601107" w:rsidRPr="00C4084C" w:rsidRDefault="00717581" w:rsidP="00E3432A">
      <w:r w:rsidRPr="00C4084C">
        <w:t>On</w:t>
      </w:r>
      <w:r w:rsidR="00601107" w:rsidRPr="00C4084C">
        <w:t xml:space="preserve"> the research side, </w:t>
      </w:r>
      <w:r w:rsidR="00601107" w:rsidRPr="00C4084C" w:rsidDel="00601107">
        <w:t>f</w:t>
      </w:r>
      <w:r w:rsidR="00601107" w:rsidRPr="00C4084C">
        <w:t xml:space="preserve">rom 1989 to the present there has been a sustained government push for higher education research to be more applied and end-user focused. Several industry and higher education research funding schemes were introduced to encourage this, including the ARC </w:t>
      </w:r>
      <w:r w:rsidR="00CF1DFA" w:rsidRPr="00C4084C">
        <w:t xml:space="preserve">Collaborative Grants Scheme (now known as the </w:t>
      </w:r>
      <w:r w:rsidR="00601107" w:rsidRPr="00C4084C">
        <w:t>Linkage Grants</w:t>
      </w:r>
      <w:r w:rsidR="00CF1DFA" w:rsidRPr="00C4084C">
        <w:t>)</w:t>
      </w:r>
      <w:r w:rsidR="00601107" w:rsidRPr="00C4084C">
        <w:t xml:space="preserve">, the Cooperative Research Centre Program and a range of similar schemes across several portfolios. All these schemes have been heavily oversubscribed. </w:t>
      </w:r>
      <w:r w:rsidRPr="00C4084C">
        <w:t>Notably, many do not typically provide full funding for the cost of research</w:t>
      </w:r>
      <w:r w:rsidR="55B0FF3F" w:rsidRPr="00C4084C">
        <w:t xml:space="preserve"> t</w:t>
      </w:r>
      <w:r w:rsidRPr="00C4084C">
        <w:t>hough block grants from government provide some assistance</w:t>
      </w:r>
      <w:r w:rsidR="43C12182" w:rsidRPr="00C4084C">
        <w:t>.</w:t>
      </w:r>
      <w:r w:rsidR="4E55D42E" w:rsidRPr="00C4084C">
        <w:t xml:space="preserve"> Most notably in research</w:t>
      </w:r>
      <w:r w:rsidRPr="00C4084C">
        <w:t xml:space="preserve">, university expenditure on research has risen considerably </w:t>
      </w:r>
      <w:r w:rsidR="00E8605B" w:rsidRPr="00C4084C">
        <w:t>from $</w:t>
      </w:r>
      <w:r w:rsidR="24ED6E35" w:rsidRPr="00C4084C">
        <w:t>2.3</w:t>
      </w:r>
      <w:r w:rsidR="00E8605B" w:rsidRPr="00C4084C">
        <w:t xml:space="preserve"> billion in </w:t>
      </w:r>
      <w:r w:rsidR="6BDF20C8" w:rsidRPr="00C4084C">
        <w:t>1996</w:t>
      </w:r>
      <w:r w:rsidR="5516EF9A" w:rsidRPr="00C4084C">
        <w:t xml:space="preserve"> </w:t>
      </w:r>
      <w:r w:rsidR="00E8605B" w:rsidRPr="00C4084C">
        <w:t>to $12.7 billion in 2020.</w:t>
      </w:r>
      <w:r w:rsidR="00E8605B" w:rsidRPr="00C4084C">
        <w:rPr>
          <w:rStyle w:val="FootnoteReference"/>
        </w:rPr>
        <w:footnoteReference w:id="39"/>
      </w:r>
    </w:p>
    <w:p w14:paraId="4ACC51A0" w14:textId="3BDBB554" w:rsidR="00601107" w:rsidRPr="00C4084C" w:rsidRDefault="00601107" w:rsidP="00E3432A">
      <w:r w:rsidRPr="00C4084C">
        <w:t>There has also been a strong push for higher education providers to commercialise research better</w:t>
      </w:r>
      <w:r w:rsidR="53043A94" w:rsidRPr="00C4084C">
        <w:t>.</w:t>
      </w:r>
      <w:r w:rsidR="00E8605B" w:rsidRPr="00C4084C" w:rsidDel="00E8605B">
        <w:t xml:space="preserve"> </w:t>
      </w:r>
      <w:r w:rsidR="70D73D40" w:rsidRPr="00C4084C">
        <w:t xml:space="preserve">This was supported with an </w:t>
      </w:r>
      <w:r w:rsidRPr="00C4084C">
        <w:t xml:space="preserve">announcement of the $2.2 billion University Research Commercialisation Action Plan </w:t>
      </w:r>
      <w:r w:rsidR="003F3A82" w:rsidRPr="00C4084C">
        <w:t xml:space="preserve">in February 2022, </w:t>
      </w:r>
      <w:r w:rsidRPr="00C4084C">
        <w:t>and the establishment of the Trailblazer Universities Program</w:t>
      </w:r>
      <w:r w:rsidR="0067090B" w:rsidRPr="00C4084C">
        <w:t xml:space="preserve"> in </w:t>
      </w:r>
      <w:r w:rsidR="002874AD" w:rsidRPr="00C4084C">
        <w:t>November 2021</w:t>
      </w:r>
      <w:r w:rsidRPr="00C4084C">
        <w:t>.</w:t>
      </w:r>
      <w:r w:rsidRPr="00C4084C">
        <w:rPr>
          <w:rStyle w:val="FootnoteReference"/>
        </w:rPr>
        <w:footnoteReference w:id="40"/>
      </w:r>
      <w:r w:rsidRPr="00C4084C">
        <w:rPr>
          <w:rFonts w:ascii="Calibri" w:eastAsia="Calibri" w:hAnsi="Calibri" w:cs="Calibri"/>
        </w:rPr>
        <w:t xml:space="preserve"> </w:t>
      </w:r>
      <w:r w:rsidR="00224593" w:rsidRPr="00C4084C">
        <w:rPr>
          <w:rFonts w:ascii="Calibri" w:eastAsia="Calibri" w:hAnsi="Calibri" w:cs="Calibri"/>
        </w:rPr>
        <w:t>Research commercialisation</w:t>
      </w:r>
      <w:r w:rsidR="2C6AD491" w:rsidRPr="00C4084C">
        <w:rPr>
          <w:rFonts w:ascii="Calibri" w:eastAsia="Calibri" w:hAnsi="Calibri" w:cs="Calibri"/>
        </w:rPr>
        <w:t xml:space="preserve"> has</w:t>
      </w:r>
      <w:r w:rsidR="00224593" w:rsidRPr="00C4084C">
        <w:rPr>
          <w:rFonts w:ascii="Calibri" w:eastAsia="Calibri" w:hAnsi="Calibri" w:cs="Calibri"/>
        </w:rPr>
        <w:t xml:space="preserve"> also</w:t>
      </w:r>
      <w:r w:rsidR="2C6AD491" w:rsidRPr="00C4084C">
        <w:rPr>
          <w:rFonts w:ascii="Calibri" w:eastAsia="Calibri" w:hAnsi="Calibri" w:cs="Calibri"/>
        </w:rPr>
        <w:t xml:space="preserve"> been supported by many universities creating technology transfer offices, </w:t>
      </w:r>
      <w:r w:rsidR="006D5AE5" w:rsidRPr="00C4084C">
        <w:rPr>
          <w:rFonts w:ascii="Calibri" w:eastAsia="Calibri" w:hAnsi="Calibri" w:cs="Calibri"/>
        </w:rPr>
        <w:t>initially within</w:t>
      </w:r>
      <w:r w:rsidR="00471535" w:rsidRPr="00C4084C">
        <w:rPr>
          <w:rFonts w:ascii="Calibri" w:eastAsia="Calibri" w:hAnsi="Calibri" w:cs="Calibri"/>
        </w:rPr>
        <w:t xml:space="preserve"> the portfolio of Deputy Vice-Chancellor (Research)</w:t>
      </w:r>
      <w:r w:rsidR="0030097B" w:rsidRPr="00C4084C">
        <w:rPr>
          <w:rFonts w:ascii="Calibri" w:eastAsia="Calibri" w:hAnsi="Calibri" w:cs="Calibri"/>
        </w:rPr>
        <w:t xml:space="preserve"> and</w:t>
      </w:r>
      <w:r w:rsidR="00471535" w:rsidRPr="00C4084C">
        <w:rPr>
          <w:rFonts w:ascii="Calibri" w:eastAsia="Calibri" w:hAnsi="Calibri" w:cs="Calibri"/>
        </w:rPr>
        <w:t>,</w:t>
      </w:r>
      <w:r w:rsidR="0030097B" w:rsidRPr="00C4084C">
        <w:rPr>
          <w:rFonts w:ascii="Calibri" w:eastAsia="Calibri" w:hAnsi="Calibri" w:cs="Calibri"/>
        </w:rPr>
        <w:t xml:space="preserve"> more recently</w:t>
      </w:r>
      <w:r w:rsidR="00471535" w:rsidRPr="00C4084C">
        <w:rPr>
          <w:rFonts w:ascii="Calibri" w:eastAsia="Calibri" w:hAnsi="Calibri" w:cs="Calibri"/>
        </w:rPr>
        <w:t>,</w:t>
      </w:r>
      <w:r w:rsidR="0030097B" w:rsidRPr="00C4084C">
        <w:rPr>
          <w:rFonts w:ascii="Calibri" w:eastAsia="Calibri" w:hAnsi="Calibri" w:cs="Calibri"/>
        </w:rPr>
        <w:t xml:space="preserve"> </w:t>
      </w:r>
      <w:r w:rsidR="2C6AD491" w:rsidRPr="00C4084C">
        <w:rPr>
          <w:rFonts w:ascii="Calibri" w:eastAsia="Calibri" w:hAnsi="Calibri" w:cs="Calibri"/>
        </w:rPr>
        <w:t>in the portfolio of a new senior manager position with a title such as Deputy Vice-Chancellor (Enterprise)</w:t>
      </w:r>
      <w:r w:rsidR="0030097B" w:rsidRPr="00C4084C">
        <w:rPr>
          <w:rFonts w:ascii="Calibri" w:eastAsia="Calibri" w:hAnsi="Calibri" w:cs="Calibri"/>
        </w:rPr>
        <w:t xml:space="preserve"> reflecting the rising interest in entrepreneurship and innovation more broadly</w:t>
      </w:r>
      <w:r w:rsidR="2C6AD491" w:rsidRPr="00C4084C">
        <w:rPr>
          <w:rFonts w:ascii="Calibri" w:eastAsia="Calibri" w:hAnsi="Calibri" w:cs="Calibri"/>
        </w:rPr>
        <w:t>.</w:t>
      </w:r>
      <w:r w:rsidR="2C6AD491" w:rsidRPr="00C4084C">
        <w:t xml:space="preserve"> </w:t>
      </w:r>
    </w:p>
    <w:p w14:paraId="29CF19B3" w14:textId="1EEC59F5" w:rsidR="00601107" w:rsidRPr="00C4084C" w:rsidRDefault="0952C006" w:rsidP="00E3432A">
      <w:r w:rsidRPr="00C4084C">
        <w:lastRenderedPageBreak/>
        <w:t xml:space="preserve">Most of these reforms have </w:t>
      </w:r>
      <w:r w:rsidR="00601107" w:rsidRPr="00C4084C">
        <w:t xml:space="preserve">been successful in enhancing higher education performance in Australia. </w:t>
      </w:r>
      <w:r w:rsidR="00F743E2" w:rsidRPr="00C4084C">
        <w:t>There</w:t>
      </w:r>
      <w:r w:rsidR="00601107" w:rsidRPr="00C4084C">
        <w:t xml:space="preserve"> are some notable exceptions where a policy did not deliver the intended consequences, specifically the JRG package and the </w:t>
      </w:r>
      <w:r w:rsidR="73BE314A" w:rsidRPr="00C4084C">
        <w:t>re-</w:t>
      </w:r>
      <w:r w:rsidR="00601107" w:rsidRPr="00C4084C">
        <w:t xml:space="preserve">introduction of marginal funding at the end of the demand driven system. </w:t>
      </w:r>
    </w:p>
    <w:p w14:paraId="37D6C55F" w14:textId="4B849575" w:rsidR="00601107" w:rsidRPr="00C4084C" w:rsidRDefault="00601107" w:rsidP="00BA6095">
      <w:pPr>
        <w:pStyle w:val="Heading4"/>
      </w:pPr>
      <w:bookmarkStart w:id="92" w:name="_Toc153483005"/>
      <w:bookmarkStart w:id="93" w:name="_Toc159500915"/>
      <w:bookmarkStart w:id="94" w:name="_Toc144391236"/>
      <w:bookmarkStart w:id="95" w:name="_Toc149903487"/>
      <w:bookmarkStart w:id="96" w:name="_Toc150689970"/>
      <w:bookmarkStart w:id="97" w:name="_Toc151806445"/>
      <w:bookmarkStart w:id="98" w:name="_Toc152068510"/>
      <w:bookmarkStart w:id="99" w:name="_Toc152314498"/>
      <w:bookmarkEnd w:id="84"/>
      <w:r w:rsidRPr="00C4084C">
        <w:t>An overview of the current higher education system</w:t>
      </w:r>
      <w:bookmarkEnd w:id="92"/>
      <w:bookmarkEnd w:id="93"/>
    </w:p>
    <w:p w14:paraId="455E967E" w14:textId="3E889B25" w:rsidR="00601107" w:rsidRPr="00C4084C" w:rsidRDefault="00601107" w:rsidP="00E3432A">
      <w:r w:rsidRPr="00C4084C">
        <w:t xml:space="preserve">Australia has a </w:t>
      </w:r>
      <w:r w:rsidR="00FB153C" w:rsidRPr="00C4084C">
        <w:t xml:space="preserve">complex </w:t>
      </w:r>
      <w:r w:rsidRPr="00C4084C">
        <w:t>higher education system, with a wide range of students, and a diverse combination of public and private providers.</w:t>
      </w:r>
    </w:p>
    <w:p w14:paraId="58C03677" w14:textId="0185DD7D" w:rsidR="00601107" w:rsidRPr="00C4084C" w:rsidRDefault="00F743E2" w:rsidP="00E3432A">
      <w:r w:rsidRPr="00C4084C">
        <w:t xml:space="preserve">A </w:t>
      </w:r>
      <w:r w:rsidR="00601107" w:rsidRPr="00C4084C">
        <w:t>brief overview of the current system is provided</w:t>
      </w:r>
      <w:r w:rsidR="00123BFB" w:rsidRPr="00C4084C">
        <w:t>,</w:t>
      </w:r>
      <w:r w:rsidR="00601107" w:rsidRPr="00C4084C">
        <w:t xml:space="preserve"> with recent trends</w:t>
      </w:r>
      <w:r w:rsidR="00C519A4" w:rsidRPr="00C4084C">
        <w:t xml:space="preserve"> and</w:t>
      </w:r>
      <w:r w:rsidR="00601107" w:rsidRPr="00C4084C">
        <w:t xml:space="preserve"> change</w:t>
      </w:r>
      <w:r w:rsidR="00C519A4" w:rsidRPr="00C4084C">
        <w:t>s</w:t>
      </w:r>
      <w:r w:rsidR="00601107" w:rsidRPr="00C4084C">
        <w:t xml:space="preserve"> detailed throughout the following </w:t>
      </w:r>
      <w:r w:rsidR="00AF0D2F" w:rsidRPr="00C4084C">
        <w:t>c</w:t>
      </w:r>
      <w:r w:rsidR="00601107" w:rsidRPr="00C4084C">
        <w:t>hapters.</w:t>
      </w:r>
    </w:p>
    <w:p w14:paraId="60F65323" w14:textId="77777777" w:rsidR="00601107" w:rsidRPr="00C4084C" w:rsidRDefault="00601107" w:rsidP="00601107">
      <w:pPr>
        <w:pStyle w:val="Heading5"/>
      </w:pPr>
      <w:r w:rsidRPr="00C4084C">
        <w:t>Students and provision</w:t>
      </w:r>
    </w:p>
    <w:p w14:paraId="64E052BC" w14:textId="76C83506" w:rsidR="00601107" w:rsidRPr="00C4084C" w:rsidRDefault="00F743E2" w:rsidP="00E3432A">
      <w:r w:rsidRPr="00C4084C">
        <w:t>In</w:t>
      </w:r>
      <w:r w:rsidR="005A6DD4" w:rsidRPr="00C4084C">
        <w:t xml:space="preserve"> 2022, t</w:t>
      </w:r>
      <w:r w:rsidR="00601107" w:rsidRPr="00C4084C">
        <w:t xml:space="preserve">he </w:t>
      </w:r>
      <w:r w:rsidRPr="00C4084C">
        <w:t xml:space="preserve">higher education </w:t>
      </w:r>
      <w:r w:rsidR="00601107" w:rsidRPr="00C4084C">
        <w:t xml:space="preserve">system </w:t>
      </w:r>
      <w:r w:rsidR="007D4620" w:rsidRPr="00C4084C">
        <w:t xml:space="preserve">supported </w:t>
      </w:r>
      <w:r w:rsidR="00601107" w:rsidRPr="00C4084C">
        <w:t>around 1.6 million students</w:t>
      </w:r>
      <w:r w:rsidR="00CF024B" w:rsidRPr="00C4084C">
        <w:t>.</w:t>
      </w:r>
      <w:r w:rsidR="00601107" w:rsidRPr="00C4084C">
        <w:t xml:space="preserve"> </w:t>
      </w:r>
      <w:r w:rsidR="00B32077" w:rsidRPr="00C4084C">
        <w:t xml:space="preserve">Of these, </w:t>
      </w:r>
      <w:r w:rsidR="00601107" w:rsidRPr="00C4084C">
        <w:t>7</w:t>
      </w:r>
      <w:r w:rsidR="00A42056" w:rsidRPr="00C4084C">
        <w:t>1.1</w:t>
      </w:r>
      <w:r w:rsidR="00601107" w:rsidRPr="00C4084C">
        <w:t xml:space="preserve">% are domestic students, of </w:t>
      </w:r>
      <w:r w:rsidR="00B32077" w:rsidRPr="00C4084C">
        <w:t xml:space="preserve">whom </w:t>
      </w:r>
      <w:r w:rsidR="00601107" w:rsidRPr="00C4084C">
        <w:t>around 8</w:t>
      </w:r>
      <w:r w:rsidR="00A42056" w:rsidRPr="00C4084C">
        <w:t>0</w:t>
      </w:r>
      <w:r w:rsidR="00601107" w:rsidRPr="00C4084C">
        <w:t>0,000 are undergraduates</w:t>
      </w:r>
      <w:r w:rsidR="00B26BBA" w:rsidRPr="00C4084C">
        <w:t xml:space="preserve">, </w:t>
      </w:r>
      <w:r w:rsidR="00601107" w:rsidRPr="00C4084C">
        <w:t>about 2</w:t>
      </w:r>
      <w:r w:rsidR="00A42056" w:rsidRPr="00C4084C">
        <w:t>80</w:t>
      </w:r>
      <w:r w:rsidR="00601107" w:rsidRPr="00C4084C">
        <w:t xml:space="preserve">,000 </w:t>
      </w:r>
      <w:r w:rsidR="007D4620" w:rsidRPr="00C4084C">
        <w:t xml:space="preserve">are </w:t>
      </w:r>
      <w:r w:rsidR="00601107" w:rsidRPr="00C4084C">
        <w:t>postgraduates</w:t>
      </w:r>
      <w:r w:rsidR="00E8727F" w:rsidRPr="00C4084C">
        <w:t>,</w:t>
      </w:r>
      <w:r w:rsidR="00A42056" w:rsidRPr="00C4084C">
        <w:t xml:space="preserve"> and about 30,000 are </w:t>
      </w:r>
      <w:r w:rsidR="00307ABC" w:rsidRPr="00C4084C">
        <w:t xml:space="preserve">in </w:t>
      </w:r>
      <w:r w:rsidR="00A42056" w:rsidRPr="00C4084C">
        <w:t>enabling or non-award</w:t>
      </w:r>
      <w:r w:rsidR="00307ABC" w:rsidRPr="00C4084C">
        <w:t xml:space="preserve"> courses</w:t>
      </w:r>
      <w:r w:rsidR="00601107" w:rsidRPr="00C4084C">
        <w:t xml:space="preserve">. </w:t>
      </w:r>
      <w:r w:rsidR="00C862BF" w:rsidRPr="00C4084C">
        <w:t>The remaining 28.9% (</w:t>
      </w:r>
      <w:r w:rsidR="009456E0" w:rsidRPr="00C4084C">
        <w:t xml:space="preserve">around 450,000 </w:t>
      </w:r>
      <w:r w:rsidR="00E8727F" w:rsidRPr="00C4084C">
        <w:t>people</w:t>
      </w:r>
      <w:r w:rsidR="00C862BF" w:rsidRPr="00C4084C">
        <w:t xml:space="preserve">) </w:t>
      </w:r>
      <w:r w:rsidR="00E8727F" w:rsidRPr="00C4084C">
        <w:t>are</w:t>
      </w:r>
      <w:r w:rsidR="00C862BF" w:rsidRPr="00C4084C">
        <w:t xml:space="preserve"> international students.</w:t>
      </w:r>
      <w:r w:rsidR="00601107" w:rsidRPr="00C4084C">
        <w:rPr>
          <w:rStyle w:val="FootnoteReference"/>
        </w:rPr>
        <w:t xml:space="preserve"> </w:t>
      </w:r>
      <w:r w:rsidR="001A22FE" w:rsidRPr="00C4084C">
        <w:t>In 202</w:t>
      </w:r>
      <w:r w:rsidR="00D6502A" w:rsidRPr="00C4084C">
        <w:t>2</w:t>
      </w:r>
      <w:r w:rsidR="001A22FE" w:rsidRPr="00C4084C">
        <w:t>, o</w:t>
      </w:r>
      <w:r w:rsidR="0D16F1EC" w:rsidRPr="00C4084C">
        <w:t xml:space="preserve">f the </w:t>
      </w:r>
      <w:r w:rsidR="0A7DB220" w:rsidRPr="00C4084C">
        <w:t>over 4</w:t>
      </w:r>
      <w:r w:rsidR="00D6502A" w:rsidRPr="00C4084C">
        <w:t>67</w:t>
      </w:r>
      <w:r w:rsidR="0A7DB220" w:rsidRPr="00C4084C">
        <w:t>,000</w:t>
      </w:r>
      <w:r w:rsidR="0D16F1EC" w:rsidRPr="00C4084C">
        <w:t xml:space="preserve"> </w:t>
      </w:r>
      <w:r w:rsidR="00C862BF" w:rsidRPr="00C4084C">
        <w:t xml:space="preserve">domestic and international </w:t>
      </w:r>
      <w:r w:rsidR="0D16F1EC" w:rsidRPr="00C4084C">
        <w:t>postgraduate student</w:t>
      </w:r>
      <w:r w:rsidR="7D9E20EA" w:rsidRPr="00C4084C">
        <w:t>s</w:t>
      </w:r>
      <w:r w:rsidR="0D16F1EC" w:rsidRPr="00C4084C">
        <w:t xml:space="preserve">, </w:t>
      </w:r>
      <w:r w:rsidR="00D6502A" w:rsidRPr="00C4084C">
        <w:t xml:space="preserve">around </w:t>
      </w:r>
      <w:r w:rsidR="0B1A9A7A" w:rsidRPr="00C4084C">
        <w:t>6</w:t>
      </w:r>
      <w:r w:rsidR="00D6502A" w:rsidRPr="00C4084C">
        <w:t>7</w:t>
      </w:r>
      <w:r w:rsidR="0B1A9A7A" w:rsidRPr="00C4084C">
        <w:t>,000</w:t>
      </w:r>
      <w:r w:rsidR="0D16F1EC" w:rsidRPr="00C4084C">
        <w:t xml:space="preserve"> are H</w:t>
      </w:r>
      <w:r w:rsidR="7AD5B30D" w:rsidRPr="00C4084C">
        <w:t>i</w:t>
      </w:r>
      <w:r w:rsidR="0D16F1EC" w:rsidRPr="00C4084C">
        <w:t xml:space="preserve">gher Degree by Research </w:t>
      </w:r>
      <w:r w:rsidR="004069C7" w:rsidRPr="00C4084C">
        <w:t>(HDR)</w:t>
      </w:r>
      <w:r w:rsidR="0D16F1EC" w:rsidRPr="00C4084C">
        <w:t xml:space="preserve"> students.</w:t>
      </w:r>
      <w:r w:rsidR="00A77D52" w:rsidRPr="00C4084C">
        <w:rPr>
          <w:rStyle w:val="FootnoteReference"/>
        </w:rPr>
        <w:footnoteReference w:id="41"/>
      </w:r>
      <w:r w:rsidR="0D16F1EC" w:rsidRPr="00C4084C">
        <w:t xml:space="preserve"> </w:t>
      </w:r>
    </w:p>
    <w:p w14:paraId="0CD2DB27" w14:textId="79A71B64" w:rsidR="00601107" w:rsidRPr="00C4084C" w:rsidRDefault="00B26BBA" w:rsidP="00E3432A">
      <w:r w:rsidRPr="00C4084C">
        <w:t>There</w:t>
      </w:r>
      <w:r w:rsidR="00601107" w:rsidRPr="00C4084C">
        <w:t xml:space="preserve"> are 20</w:t>
      </w:r>
      <w:r w:rsidR="00A5651E" w:rsidRPr="00C4084C">
        <w:t>2</w:t>
      </w:r>
      <w:r w:rsidR="00601107" w:rsidRPr="00C4084C">
        <w:t xml:space="preserve"> higher education providers currently registered in Australia. This includes 42 </w:t>
      </w:r>
      <w:r w:rsidR="004672A6" w:rsidRPr="00C4084C">
        <w:t xml:space="preserve">Australian </w:t>
      </w:r>
      <w:r w:rsidR="00601107" w:rsidRPr="00C4084C">
        <w:t xml:space="preserve">universities, 38 of which are public universities </w:t>
      </w:r>
      <w:r w:rsidR="0072462B" w:rsidRPr="00C4084C">
        <w:t>teaching</w:t>
      </w:r>
      <w:r w:rsidR="00601107" w:rsidRPr="00C4084C">
        <w:t xml:space="preserve"> over 90% of students.</w:t>
      </w:r>
      <w:r w:rsidR="00601107" w:rsidRPr="00C4084C">
        <w:rPr>
          <w:rStyle w:val="FootnoteReference"/>
        </w:rPr>
        <w:footnoteReference w:id="42"/>
      </w:r>
      <w:r w:rsidR="00601107" w:rsidRPr="00C4084C">
        <w:t xml:space="preserve"> Just over 5% and 2% of students attend private for-profit and private not-for-profit institutions respectively, with 0.5% of higher education students attending public </w:t>
      </w:r>
      <w:r w:rsidR="00AD6EB3" w:rsidRPr="00C4084C">
        <w:t>TAFEs</w:t>
      </w:r>
      <w:r w:rsidR="00601107" w:rsidRPr="00C4084C">
        <w:t xml:space="preserve">. </w:t>
      </w:r>
    </w:p>
    <w:p w14:paraId="6A1F59F0" w14:textId="6E44DA15" w:rsidR="00E647E1" w:rsidRPr="00C4084C" w:rsidRDefault="00601107" w:rsidP="00E3432A">
      <w:r w:rsidRPr="00C4084C">
        <w:t>Public universities deliver a mix of publicly and privately funded courses, ranging from domestic undergraduate Commonwealth supported places,</w:t>
      </w:r>
      <w:r w:rsidRPr="00C4084C">
        <w:rPr>
          <w:rStyle w:val="FootnoteReference"/>
          <w:rFonts w:eastAsia="Arial"/>
        </w:rPr>
        <w:footnoteReference w:id="43"/>
      </w:r>
      <w:r w:rsidRPr="00C4084C">
        <w:t xml:space="preserve"> to full fee postgraduate </w:t>
      </w:r>
      <w:r w:rsidR="7600E029" w:rsidRPr="00C4084C">
        <w:t xml:space="preserve">coursework </w:t>
      </w:r>
      <w:r w:rsidRPr="00C4084C">
        <w:t xml:space="preserve">provision and deregulated international </w:t>
      </w:r>
      <w:r w:rsidR="00BC27D6" w:rsidRPr="00C4084C">
        <w:t xml:space="preserve">fee-paying </w:t>
      </w:r>
      <w:r w:rsidRPr="00C4084C">
        <w:t>student provision. Around 5</w:t>
      </w:r>
      <w:r w:rsidR="005A6DD4" w:rsidRPr="00C4084C">
        <w:t>5</w:t>
      </w:r>
      <w:r w:rsidRPr="00C4084C">
        <w:t xml:space="preserve">% of students </w:t>
      </w:r>
      <w:r w:rsidR="00B46F34" w:rsidRPr="00C4084C">
        <w:t xml:space="preserve">are domestic students </w:t>
      </w:r>
      <w:r w:rsidRPr="00C4084C">
        <w:t>study</w:t>
      </w:r>
      <w:r w:rsidR="00B46F34" w:rsidRPr="00C4084C">
        <w:t>ing</w:t>
      </w:r>
      <w:r w:rsidRPr="00C4084C">
        <w:t xml:space="preserve"> in </w:t>
      </w:r>
      <w:r w:rsidR="5D0B8B6B" w:rsidRPr="00C4084C">
        <w:rPr>
          <w:rStyle w:val="normaltextrun"/>
        </w:rPr>
        <w:t>Commonwealth supported place</w:t>
      </w:r>
      <w:r w:rsidRPr="00C4084C">
        <w:t xml:space="preserve">s, </w:t>
      </w:r>
      <w:r w:rsidR="009D4C3B" w:rsidRPr="00C4084C">
        <w:t xml:space="preserve">for which </w:t>
      </w:r>
      <w:r w:rsidRPr="00C4084C">
        <w:t xml:space="preserve">the </w:t>
      </w:r>
      <w:r w:rsidR="002F458A" w:rsidRPr="00C4084C">
        <w:t xml:space="preserve">Australian </w:t>
      </w:r>
      <w:r w:rsidRPr="00C4084C">
        <w:t xml:space="preserve">Government provides a </w:t>
      </w:r>
      <w:proofErr w:type="gramStart"/>
      <w:r w:rsidRPr="00C4084C">
        <w:t>subsidy</w:t>
      </w:r>
      <w:proofErr w:type="gramEnd"/>
      <w:r w:rsidRPr="00C4084C">
        <w:t xml:space="preserve"> and the student pays a student contribution (with the maximum they can pay regulated by the </w:t>
      </w:r>
      <w:r w:rsidR="002F458A" w:rsidRPr="00C4084C">
        <w:t xml:space="preserve">Australian </w:t>
      </w:r>
      <w:r w:rsidRPr="00C4084C">
        <w:t xml:space="preserve">Government), </w:t>
      </w:r>
      <w:r w:rsidR="00F970FD" w:rsidRPr="00C4084C">
        <w:t xml:space="preserve">payment of </w:t>
      </w:r>
      <w:r w:rsidRPr="00C4084C">
        <w:t xml:space="preserve">which can be deferred through a HELP loan. In contrast, </w:t>
      </w:r>
      <w:r w:rsidR="00386B6E" w:rsidRPr="00C4084C">
        <w:t>domestic</w:t>
      </w:r>
      <w:r w:rsidRPr="00C4084C">
        <w:t xml:space="preserve"> students in full</w:t>
      </w:r>
      <w:r w:rsidR="0094132F" w:rsidRPr="00C4084C">
        <w:t xml:space="preserve"> </w:t>
      </w:r>
      <w:r w:rsidRPr="00C4084C">
        <w:t>fee</w:t>
      </w:r>
      <w:r w:rsidR="0094132F" w:rsidRPr="00C4084C">
        <w:t>-</w:t>
      </w:r>
      <w:r w:rsidRPr="00C4084C">
        <w:t>paying places (around 1</w:t>
      </w:r>
      <w:r w:rsidR="00386B6E" w:rsidRPr="00C4084C">
        <w:t>3</w:t>
      </w:r>
      <w:r w:rsidRPr="00C4084C">
        <w:t xml:space="preserve">% of students) do not receive a </w:t>
      </w:r>
      <w:r w:rsidR="002F458A" w:rsidRPr="00C4084C">
        <w:t>g</w:t>
      </w:r>
      <w:r w:rsidRPr="00C4084C">
        <w:t xml:space="preserve">overnment subsidy </w:t>
      </w:r>
      <w:r w:rsidR="0043776B" w:rsidRPr="00C4084C">
        <w:t xml:space="preserve">through the CGS </w:t>
      </w:r>
      <w:r w:rsidRPr="00C4084C">
        <w:t>and are required to pay the full fee, although eligible students are also able to defer this through a HELP loan.</w:t>
      </w:r>
      <w:r w:rsidR="001B5F3A" w:rsidRPr="00C4084C">
        <w:rPr>
          <w:rStyle w:val="FootnoteReference"/>
        </w:rPr>
        <w:footnoteReference w:id="44"/>
      </w:r>
      <w:r w:rsidR="00661633" w:rsidRPr="00C4084C">
        <w:t xml:space="preserve"> </w:t>
      </w:r>
      <w:r w:rsidR="00B46F34" w:rsidRPr="00C4084C">
        <w:t xml:space="preserve">The remainder of the student body is made up of international students (around 29% of students) and non-award and research students (around 3% of </w:t>
      </w:r>
      <w:r w:rsidR="006B10FA" w:rsidRPr="00C4084C">
        <w:t>students).</w:t>
      </w:r>
    </w:p>
    <w:p w14:paraId="102E2D61" w14:textId="38DB5FBB" w:rsidR="00601107" w:rsidRPr="00C4084C" w:rsidRDefault="00E647E1" w:rsidP="00E3432A">
      <w:r w:rsidRPr="00C4084C">
        <w:rPr>
          <w:rStyle w:val="ui-provider"/>
        </w:rPr>
        <w:lastRenderedPageBreak/>
        <w:t>The Australian Government</w:t>
      </w:r>
      <w:r w:rsidR="0053260D">
        <w:rPr>
          <w:rStyle w:val="ui-provider"/>
        </w:rPr>
        <w:t>’s major funding</w:t>
      </w:r>
      <w:r w:rsidRPr="00C4084C">
        <w:rPr>
          <w:rStyle w:val="ui-provider"/>
        </w:rPr>
        <w:t xml:space="preserve"> </w:t>
      </w:r>
      <w:r w:rsidR="0053260D">
        <w:rPr>
          <w:rStyle w:val="ui-provider"/>
        </w:rPr>
        <w:t>of</w:t>
      </w:r>
      <w:r w:rsidR="0053260D" w:rsidRPr="00C4084C">
        <w:rPr>
          <w:rStyle w:val="ui-provider"/>
        </w:rPr>
        <w:t xml:space="preserve"> </w:t>
      </w:r>
      <w:r w:rsidRPr="00C4084C">
        <w:rPr>
          <w:rStyle w:val="ui-provider"/>
        </w:rPr>
        <w:t xml:space="preserve">research training </w:t>
      </w:r>
      <w:r w:rsidR="0053260D">
        <w:rPr>
          <w:rStyle w:val="ui-provider"/>
        </w:rPr>
        <w:t xml:space="preserve">is </w:t>
      </w:r>
      <w:r w:rsidRPr="00C4084C">
        <w:rPr>
          <w:rStyle w:val="ui-provider"/>
        </w:rPr>
        <w:t>through the Research Training Program (RTP), which can be provided to students in the form of stipends, fees offsets and allowances. In 202</w:t>
      </w:r>
      <w:r w:rsidR="00215937" w:rsidRPr="00C4084C">
        <w:rPr>
          <w:rStyle w:val="ui-provider"/>
        </w:rPr>
        <w:t>2</w:t>
      </w:r>
      <w:r w:rsidRPr="00C4084C">
        <w:rPr>
          <w:rStyle w:val="ui-provider"/>
        </w:rPr>
        <w:t>, 8</w:t>
      </w:r>
      <w:r w:rsidR="00215937" w:rsidRPr="00C4084C">
        <w:rPr>
          <w:rStyle w:val="ui-provider"/>
        </w:rPr>
        <w:t>8</w:t>
      </w:r>
      <w:r w:rsidRPr="00C4084C">
        <w:rPr>
          <w:rStyle w:val="ui-provider"/>
        </w:rPr>
        <w:t xml:space="preserve">% </w:t>
      </w:r>
      <w:r w:rsidR="00215937" w:rsidRPr="00C4084C">
        <w:rPr>
          <w:rStyle w:val="ui-provider"/>
        </w:rPr>
        <w:t xml:space="preserve">of HDR students </w:t>
      </w:r>
      <w:r w:rsidRPr="00C4084C">
        <w:rPr>
          <w:rStyle w:val="ui-provider"/>
        </w:rPr>
        <w:t xml:space="preserve">were doctorate by research students. </w:t>
      </w:r>
      <w:r w:rsidR="00953D7B" w:rsidRPr="00C4084C">
        <w:rPr>
          <w:rStyle w:val="ui-provider"/>
        </w:rPr>
        <w:t>Around 90</w:t>
      </w:r>
      <w:r w:rsidRPr="00C4084C">
        <w:rPr>
          <w:rStyle w:val="ui-provider"/>
        </w:rPr>
        <w:t>% of domestic HDR students received some form of support from the RTP</w:t>
      </w:r>
      <w:r w:rsidR="00231408" w:rsidRPr="00C4084C">
        <w:rPr>
          <w:rStyle w:val="ui-provider"/>
        </w:rPr>
        <w:t xml:space="preserve"> in 2022</w:t>
      </w:r>
      <w:r w:rsidRPr="00C4084C">
        <w:rPr>
          <w:rStyle w:val="ui-provider"/>
        </w:rPr>
        <w:t xml:space="preserve">. </w:t>
      </w:r>
      <w:r w:rsidR="00AA4AEF" w:rsidRPr="00C4084C">
        <w:rPr>
          <w:rStyle w:val="ui-provider"/>
        </w:rPr>
        <w:t>The distribution of funding from the RTP to support HDR students is a matter for institutions.</w:t>
      </w:r>
      <w:r w:rsidRPr="00C4084C">
        <w:rPr>
          <w:rStyle w:val="ui-provider"/>
        </w:rPr>
        <w:t xml:space="preserve"> Beyond the RTP, scholarships for research training are available from other sources, including universities, </w:t>
      </w:r>
      <w:proofErr w:type="gramStart"/>
      <w:r w:rsidRPr="00C4084C">
        <w:rPr>
          <w:rStyle w:val="ui-provider"/>
        </w:rPr>
        <w:t>governments</w:t>
      </w:r>
      <w:proofErr w:type="gramEnd"/>
      <w:r w:rsidRPr="00C4084C">
        <w:rPr>
          <w:rStyle w:val="ui-provider"/>
        </w:rPr>
        <w:t xml:space="preserve"> and industry.</w:t>
      </w:r>
    </w:p>
    <w:p w14:paraId="568F9D48" w14:textId="1A910A27" w:rsidR="00601107" w:rsidRPr="00C4084C" w:rsidRDefault="00601107" w:rsidP="00E3432A">
      <w:r w:rsidRPr="00C4084C">
        <w:t>Public universities operate over 300 physical campuses across every state and territory</w:t>
      </w:r>
      <w:r w:rsidR="00B411C7" w:rsidRPr="00C4084C">
        <w:t>,</w:t>
      </w:r>
      <w:r w:rsidR="00F970FD" w:rsidRPr="00C4084C">
        <w:t xml:space="preserve"> </w:t>
      </w:r>
      <w:r w:rsidR="00B411C7" w:rsidRPr="00C4084C">
        <w:t xml:space="preserve">as well as </w:t>
      </w:r>
      <w:r w:rsidR="00F970FD" w:rsidRPr="00C4084C">
        <w:t>some overseas campuses</w:t>
      </w:r>
      <w:r w:rsidRPr="00C4084C">
        <w:t xml:space="preserve">. </w:t>
      </w:r>
      <w:proofErr w:type="gramStart"/>
      <w:r w:rsidRPr="00C4084C">
        <w:t>The majority of</w:t>
      </w:r>
      <w:proofErr w:type="gramEnd"/>
      <w:r w:rsidRPr="00C4084C">
        <w:t xml:space="preserve"> these campuses are in a metropolitan area. However, only a minority of universities exclusively deliver in a metropolitan area, with over 70% having a least one campus in a regional area and delivering alongside a group of regional universities that </w:t>
      </w:r>
      <w:r w:rsidR="00BB0654" w:rsidRPr="00C4084C">
        <w:t xml:space="preserve">primarily </w:t>
      </w:r>
      <w:r w:rsidRPr="00C4084C">
        <w:t>deliver in the regions – in most cases, across multiple campuses.</w:t>
      </w:r>
    </w:p>
    <w:p w14:paraId="5E91B217" w14:textId="3992B9D5" w:rsidR="00601107" w:rsidRPr="00C4084C" w:rsidRDefault="00B32077" w:rsidP="00E3432A">
      <w:pPr>
        <w:rPr>
          <w:rFonts w:ascii="Calibri" w:eastAsia="Calibri" w:hAnsi="Calibri" w:cs="Calibri"/>
        </w:rPr>
      </w:pPr>
      <w:r w:rsidRPr="00C4084C">
        <w:t>A</w:t>
      </w:r>
      <w:r w:rsidR="00601107" w:rsidRPr="00C4084C">
        <w:t xml:space="preserve"> small number of universities </w:t>
      </w:r>
      <w:r w:rsidRPr="00C4084C">
        <w:t xml:space="preserve">are very large </w:t>
      </w:r>
      <w:r w:rsidR="00601107" w:rsidRPr="00C4084C">
        <w:t>with more than 70,000 students</w:t>
      </w:r>
      <w:r w:rsidRPr="00C4084C">
        <w:t xml:space="preserve"> and</w:t>
      </w:r>
      <w:r w:rsidR="00601107" w:rsidRPr="00C4084C">
        <w:t xml:space="preserve"> more than $2 billion in revenue</w:t>
      </w:r>
      <w:r w:rsidRPr="00C4084C">
        <w:t>,</w:t>
      </w:r>
      <w:r w:rsidR="00601107" w:rsidRPr="00C4084C">
        <w:t xml:space="preserve"> but the majority operate with equivalent student loads of less than 30,000 and revenues closer to $500 million.</w:t>
      </w:r>
      <w:r w:rsidR="00836DF0" w:rsidRPr="00C4084C">
        <w:rPr>
          <w:rStyle w:val="FootnoteReference"/>
        </w:rPr>
        <w:footnoteReference w:id="45"/>
      </w:r>
      <w:r w:rsidR="45E1823C" w:rsidRPr="00C4084C">
        <w:rPr>
          <w:rStyle w:val="FootnoteReference"/>
        </w:rPr>
        <w:t xml:space="preserve"> </w:t>
      </w:r>
      <w:r w:rsidR="4EBDABD7" w:rsidRPr="00C4084C">
        <w:rPr>
          <w:rFonts w:ascii="Calibri" w:eastAsia="Calibri" w:hAnsi="Calibri" w:cs="Calibri"/>
        </w:rPr>
        <w:t>A</w:t>
      </w:r>
      <w:r w:rsidR="1E3915C8" w:rsidRPr="00C4084C">
        <w:rPr>
          <w:rFonts w:ascii="Calibri" w:eastAsia="Calibri" w:hAnsi="Calibri" w:cs="Calibri"/>
        </w:rPr>
        <w:t xml:space="preserve">s noted by </w:t>
      </w:r>
      <w:r w:rsidR="5C0B9DF0" w:rsidRPr="00C4084C">
        <w:rPr>
          <w:rFonts w:ascii="Calibri" w:eastAsia="Calibri" w:hAnsi="Calibri" w:cs="Calibri"/>
        </w:rPr>
        <w:t xml:space="preserve">Professor </w:t>
      </w:r>
      <w:r w:rsidR="1E3915C8" w:rsidRPr="00C4084C">
        <w:rPr>
          <w:rFonts w:ascii="Calibri" w:eastAsia="Calibri" w:hAnsi="Calibri" w:cs="Calibri"/>
        </w:rPr>
        <w:t>Glyn Davis</w:t>
      </w:r>
      <w:r w:rsidR="2D96EE0B" w:rsidRPr="00C4084C">
        <w:rPr>
          <w:rFonts w:ascii="Calibri" w:eastAsia="Calibri" w:hAnsi="Calibri" w:cs="Calibri"/>
        </w:rPr>
        <w:t xml:space="preserve"> AC</w:t>
      </w:r>
      <w:r w:rsidR="1E3915C8" w:rsidRPr="00C4084C">
        <w:rPr>
          <w:rFonts w:ascii="Calibri" w:eastAsia="Calibri" w:hAnsi="Calibri" w:cs="Calibri"/>
        </w:rPr>
        <w:t xml:space="preserve">, </w:t>
      </w:r>
      <w:r w:rsidR="255BB67B" w:rsidRPr="00C4084C">
        <w:rPr>
          <w:rFonts w:ascii="Calibri" w:eastAsia="Calibri" w:hAnsi="Calibri" w:cs="Calibri"/>
        </w:rPr>
        <w:t xml:space="preserve">some </w:t>
      </w:r>
      <w:r w:rsidR="45E1823C" w:rsidRPr="00C4084C">
        <w:rPr>
          <w:rFonts w:ascii="Calibri" w:eastAsia="Calibri" w:hAnsi="Calibri" w:cs="Calibri"/>
        </w:rPr>
        <w:t>Australia</w:t>
      </w:r>
      <w:r w:rsidR="4A2C6DC9" w:rsidRPr="00C4084C">
        <w:rPr>
          <w:rFonts w:ascii="Calibri" w:eastAsia="Calibri" w:hAnsi="Calibri" w:cs="Calibri"/>
        </w:rPr>
        <w:t xml:space="preserve">n </w:t>
      </w:r>
      <w:r w:rsidR="00F978A0" w:rsidRPr="00C4084C">
        <w:rPr>
          <w:rFonts w:ascii="Calibri" w:eastAsia="Calibri" w:hAnsi="Calibri" w:cs="Calibri"/>
        </w:rPr>
        <w:t xml:space="preserve">public </w:t>
      </w:r>
      <w:r w:rsidR="05972DE3" w:rsidRPr="00C4084C">
        <w:rPr>
          <w:rFonts w:ascii="Calibri" w:eastAsia="Calibri" w:hAnsi="Calibri" w:cs="Calibri"/>
        </w:rPr>
        <w:t xml:space="preserve">universities </w:t>
      </w:r>
      <w:r w:rsidR="4A2C6DC9" w:rsidRPr="00C4084C">
        <w:rPr>
          <w:rFonts w:ascii="Calibri" w:eastAsia="Calibri" w:hAnsi="Calibri" w:cs="Calibri"/>
        </w:rPr>
        <w:t xml:space="preserve">are </w:t>
      </w:r>
      <w:r w:rsidR="0DC13C45" w:rsidRPr="00C4084C">
        <w:rPr>
          <w:rFonts w:ascii="Calibri" w:eastAsia="Calibri" w:hAnsi="Calibri" w:cs="Calibri"/>
        </w:rPr>
        <w:t>extraordinarily large by global standards</w:t>
      </w:r>
      <w:r w:rsidR="000B3E71" w:rsidRPr="00C4084C">
        <w:rPr>
          <w:rFonts w:ascii="Calibri" w:eastAsia="Calibri" w:hAnsi="Calibri" w:cs="Calibri"/>
        </w:rPr>
        <w:t>.</w:t>
      </w:r>
      <w:r w:rsidR="00601107" w:rsidRPr="00C4084C">
        <w:rPr>
          <w:rFonts w:ascii="Calibri" w:eastAsia="Calibri" w:hAnsi="Calibri" w:cs="Calibri"/>
          <w:vertAlign w:val="superscript"/>
        </w:rPr>
        <w:footnoteReference w:id="46"/>
      </w:r>
    </w:p>
    <w:p w14:paraId="1669FB84" w14:textId="4CF002C2" w:rsidR="00601107" w:rsidRPr="00C4084C" w:rsidRDefault="00601107" w:rsidP="00E3432A">
      <w:r w:rsidRPr="00C4084C">
        <w:t xml:space="preserve">There are </w:t>
      </w:r>
      <w:r w:rsidR="004672A6" w:rsidRPr="00C4084C">
        <w:t>around</w:t>
      </w:r>
      <w:r w:rsidRPr="00C4084C">
        <w:t xml:space="preserve"> </w:t>
      </w:r>
      <w:r w:rsidR="004672A6" w:rsidRPr="00C4084C">
        <w:t>160</w:t>
      </w:r>
      <w:r w:rsidRPr="00C4084C">
        <w:t xml:space="preserve"> non-university, mainly non-self</w:t>
      </w:r>
      <w:r w:rsidR="004D708B" w:rsidRPr="00C4084C">
        <w:t>-</w:t>
      </w:r>
      <w:r w:rsidRPr="00C4084C">
        <w:t>accrediting</w:t>
      </w:r>
      <w:r w:rsidR="66ABD634" w:rsidRPr="00C4084C">
        <w:t>,</w:t>
      </w:r>
      <w:r w:rsidRPr="00C4084C">
        <w:t xml:space="preserve"> higher education providers.</w:t>
      </w:r>
      <w:r w:rsidR="00197967" w:rsidRPr="00C4084C">
        <w:rPr>
          <w:rStyle w:val="FootnoteReference"/>
        </w:rPr>
        <w:footnoteReference w:id="47"/>
      </w:r>
      <w:r w:rsidRPr="00C4084C">
        <w:t xml:space="preserve"> These include some TAFEs, </w:t>
      </w:r>
      <w:proofErr w:type="gramStart"/>
      <w:r w:rsidRPr="00C4084C">
        <w:t>a number of</w:t>
      </w:r>
      <w:proofErr w:type="gramEnd"/>
      <w:r w:rsidRPr="00C4084C">
        <w:t xml:space="preserve"> university colleges such as the Australian College of Theology and the National Institute of Dramatic Art, and other specialist providers in fields such as business, health and technology. </w:t>
      </w:r>
    </w:p>
    <w:p w14:paraId="7AE2C4A7" w14:textId="6B43B9F4" w:rsidR="00601107" w:rsidRPr="00C4084C" w:rsidRDefault="00601107" w:rsidP="00E3432A">
      <w:r w:rsidRPr="00C4084C">
        <w:t>Recently, new models of provision have emerged. Regional University Centres, as well as industry focused collaborations such as the Institute</w:t>
      </w:r>
      <w:r w:rsidR="00213878" w:rsidRPr="00C4084C">
        <w:t>s</w:t>
      </w:r>
      <w:r w:rsidRPr="00C4084C">
        <w:t xml:space="preserve"> of Applied Technology led by TAFE NSW, have contributed to institutional diversity and outreach. </w:t>
      </w:r>
      <w:proofErr w:type="spellStart"/>
      <w:r w:rsidRPr="00C4084C">
        <w:t>Microcredentials</w:t>
      </w:r>
      <w:proofErr w:type="spellEnd"/>
      <w:r w:rsidRPr="00C4084C">
        <w:t xml:space="preserve">, MOOCs and Open Educational Resources are further examples of the increasingly granular tertiary education </w:t>
      </w:r>
      <w:r w:rsidR="00A6252F" w:rsidRPr="00C4084C">
        <w:t>offerings</w:t>
      </w:r>
      <w:r w:rsidRPr="00C4084C">
        <w:t xml:space="preserve">. </w:t>
      </w:r>
    </w:p>
    <w:p w14:paraId="689F225E" w14:textId="31F3AB27" w:rsidR="00601107" w:rsidRPr="00C4084C" w:rsidRDefault="00987769" w:rsidP="00E3432A">
      <w:r w:rsidRPr="00C4084C">
        <w:t>There are also</w:t>
      </w:r>
      <w:r w:rsidR="00601107" w:rsidRPr="00C4084C">
        <w:t xml:space="preserve"> moves by long-established universities to reinvent themselves through mergers. The passage of legislation in November 2023 to establish a new Adelaide University is a rare and significant change, not just for the universities concerned but for the whole sector.</w:t>
      </w:r>
      <w:r w:rsidR="6B009B36" w:rsidRPr="00C4084C">
        <w:t xml:space="preserve"> These moves are being driven by state governments in search of improved performance and national competitiveness. The </w:t>
      </w:r>
      <w:r w:rsidR="6B009B36" w:rsidRPr="00C4084C">
        <w:rPr>
          <w:i/>
          <w:iCs/>
        </w:rPr>
        <w:t>Western Australian University Sector Review</w:t>
      </w:r>
      <w:r w:rsidR="6B009B36" w:rsidRPr="00C4084C">
        <w:t xml:space="preserve"> is currently exploring the possibility of structural change to the combination of Curtin University, Edith Cowan University, Murdoch University and The University of Western Australia.</w:t>
      </w:r>
    </w:p>
    <w:p w14:paraId="3BF658F9" w14:textId="77777777" w:rsidR="00601107" w:rsidRPr="00C4084C" w:rsidRDefault="00601107" w:rsidP="00601107">
      <w:pPr>
        <w:pStyle w:val="Heading5"/>
      </w:pPr>
      <w:r w:rsidRPr="00C4084C">
        <w:t>Research and innovation</w:t>
      </w:r>
    </w:p>
    <w:p w14:paraId="74C026B7" w14:textId="18E58953" w:rsidR="00601107" w:rsidRPr="00C4084C" w:rsidRDefault="00601107" w:rsidP="007D10A8">
      <w:r w:rsidRPr="00C4084C">
        <w:t xml:space="preserve">The combination of teaching </w:t>
      </w:r>
      <w:r w:rsidRPr="00C4084C">
        <w:rPr>
          <w:i/>
          <w:iCs/>
        </w:rPr>
        <w:t xml:space="preserve">and </w:t>
      </w:r>
      <w:r w:rsidRPr="00C4084C">
        <w:t>research is a distinctive aspect of universities as higher education institutions, protected by regulation.</w:t>
      </w:r>
      <w:r w:rsidRPr="00C4084C">
        <w:rPr>
          <w:rStyle w:val="FootnoteReference"/>
        </w:rPr>
        <w:footnoteReference w:id="48"/>
      </w:r>
      <w:r w:rsidRPr="00C4084C">
        <w:t xml:space="preserve"> Australia’s universities are significant research and development (R&amp;D) contributors, with revenue from international students </w:t>
      </w:r>
      <w:r w:rsidR="001A3241" w:rsidRPr="00C4084C">
        <w:t>contributing to</w:t>
      </w:r>
      <w:r w:rsidR="00987769" w:rsidRPr="00C4084C">
        <w:t xml:space="preserve"> </w:t>
      </w:r>
      <w:r w:rsidR="001A3241" w:rsidRPr="00C4084C">
        <w:lastRenderedPageBreak/>
        <w:t xml:space="preserve">substantial </w:t>
      </w:r>
      <w:r w:rsidRPr="00C4084C">
        <w:t xml:space="preserve">research </w:t>
      </w:r>
      <w:r w:rsidR="00BF0EB9" w:rsidRPr="00C4084C">
        <w:t>investment</w:t>
      </w:r>
      <w:r w:rsidRPr="00C4084C">
        <w:t>. In inflation-adjusted terms, university expenditure on research nearly tripled to $12.7 billion between 2000 and 2020.</w:t>
      </w:r>
      <w:r w:rsidRPr="00C4084C">
        <w:rPr>
          <w:rStyle w:val="FootnoteReference"/>
        </w:rPr>
        <w:footnoteReference w:id="49"/>
      </w:r>
    </w:p>
    <w:p w14:paraId="0A9A27A8" w14:textId="01C7A21C" w:rsidR="00601107" w:rsidRPr="00C4084C" w:rsidRDefault="00601107" w:rsidP="007D10A8">
      <w:r w:rsidRPr="00C4084C">
        <w:t>The Australian R&amp;D system is unlike the R&amp;D systems in most leading OECD nations. While universities account for 33</w:t>
      </w:r>
      <w:r w:rsidRPr="00C4084C" w:rsidDel="0002240E">
        <w:t>%</w:t>
      </w:r>
      <w:r w:rsidRPr="00C4084C">
        <w:t xml:space="preserve"> of the nation’s R&amp;D expenditure (high by OECD norms), industry</w:t>
      </w:r>
      <w:r w:rsidR="00DB04E4" w:rsidRPr="00C4084C">
        <w:t xml:space="preserve"> accounts for </w:t>
      </w:r>
      <w:r w:rsidR="00DB04E4" w:rsidRPr="00C4084C">
        <w:rPr>
          <w:rFonts w:eastAsia="Times New Roman"/>
        </w:rPr>
        <w:t>53% of</w:t>
      </w:r>
      <w:r w:rsidRPr="00C4084C">
        <w:t xml:space="preserve"> R&amp;D expenditure</w:t>
      </w:r>
      <w:r w:rsidR="0065228F" w:rsidRPr="00C4084C">
        <w:t>.</w:t>
      </w:r>
      <w:r w:rsidR="00E86188" w:rsidRPr="00C4084C">
        <w:t xml:space="preserve"> This</w:t>
      </w:r>
      <w:r w:rsidRPr="00C4084C">
        <w:t xml:space="preserve"> is low by OECD standards</w:t>
      </w:r>
      <w:r w:rsidR="0026251C" w:rsidRPr="00C4084C">
        <w:t>,</w:t>
      </w:r>
      <w:r w:rsidR="00172DD0" w:rsidRPr="00C4084C">
        <w:t xml:space="preserve"> and has been stagnant in recent years</w:t>
      </w:r>
      <w:r w:rsidR="00DB04E4" w:rsidRPr="00C4084C">
        <w:t>, with business contributing</w:t>
      </w:r>
      <w:r w:rsidRPr="00C4084C">
        <w:t xml:space="preserve"> </w:t>
      </w:r>
      <w:r w:rsidR="00DB04E4" w:rsidRPr="00C4084C">
        <w:t xml:space="preserve">just </w:t>
      </w:r>
      <w:r w:rsidRPr="00C4084C">
        <w:t>0.89</w:t>
      </w:r>
      <w:r w:rsidRPr="00C4084C" w:rsidDel="0002240E">
        <w:t>%</w:t>
      </w:r>
      <w:r w:rsidRPr="00C4084C">
        <w:t xml:space="preserve"> of gross domestic product in 2021–22.</w:t>
      </w:r>
      <w:r w:rsidRPr="00C4084C">
        <w:rPr>
          <w:vertAlign w:val="superscript"/>
        </w:rPr>
        <w:footnoteReference w:id="50"/>
      </w:r>
      <w:r w:rsidRPr="00C4084C">
        <w:t xml:space="preserve"> Government investment</w:t>
      </w:r>
      <w:r w:rsidR="00BF0EB9" w:rsidRPr="00C4084C">
        <w:t xml:space="preserve"> in research</w:t>
      </w:r>
      <w:r w:rsidRPr="00C4084C">
        <w:t xml:space="preserve"> has been marginally declining relative to economic growth.</w:t>
      </w:r>
      <w:r w:rsidRPr="00C4084C">
        <w:rPr>
          <w:vertAlign w:val="superscript"/>
        </w:rPr>
        <w:footnoteReference w:id="51"/>
      </w:r>
      <w:r w:rsidRPr="00C4084C">
        <w:t xml:space="preserve"> </w:t>
      </w:r>
    </w:p>
    <w:p w14:paraId="56EFFE2B" w14:textId="14938181" w:rsidR="00601107" w:rsidRPr="00C4084C" w:rsidRDefault="00601107" w:rsidP="007D10A8">
      <w:r w:rsidRPr="00C4084C">
        <w:t xml:space="preserve">The university sector also does the underpinning work </w:t>
      </w:r>
      <w:r w:rsidR="6E396350" w:rsidRPr="00C4084C">
        <w:t>(</w:t>
      </w:r>
      <w:r w:rsidR="00E52AFA" w:rsidRPr="00C4084C">
        <w:t>basic research</w:t>
      </w:r>
      <w:r w:rsidRPr="00C4084C">
        <w:t xml:space="preserve"> and </w:t>
      </w:r>
      <w:r w:rsidR="002F0A9B">
        <w:t xml:space="preserve">research </w:t>
      </w:r>
      <w:r w:rsidR="6E396350" w:rsidRPr="00C4084C">
        <w:t xml:space="preserve">training) </w:t>
      </w:r>
      <w:r w:rsidRPr="00C4084C">
        <w:t xml:space="preserve">for </w:t>
      </w:r>
      <w:r w:rsidR="1AC74A78" w:rsidRPr="00C4084C">
        <w:t xml:space="preserve">all of </w:t>
      </w:r>
      <w:r w:rsidRPr="00C4084C">
        <w:t xml:space="preserve">Australia’s innovation and R&amp;D systems. It trains PhD students and carries out the bulk of Australia’s </w:t>
      </w:r>
      <w:r w:rsidR="00EA0D76" w:rsidRPr="00C4084C">
        <w:t xml:space="preserve">basic </w:t>
      </w:r>
      <w:r w:rsidRPr="00C4084C">
        <w:t>research. Australia has a high concentration of investment in pure basic and strategic basic research (22%), compared to countries like Israel (10%), Japan (13%) and the US (15%)</w:t>
      </w:r>
      <w:r w:rsidR="58587525" w:rsidRPr="00C4084C">
        <w:t xml:space="preserve">. </w:t>
      </w:r>
      <w:r w:rsidR="3A3EBB29" w:rsidRPr="00C4084C">
        <w:rPr>
          <w:rFonts w:ascii="Calibri" w:eastAsia="Calibri" w:hAnsi="Calibri" w:cs="Calibri"/>
        </w:rPr>
        <w:t>These comparator countries generally have</w:t>
      </w:r>
      <w:r w:rsidRPr="00C4084C">
        <w:rPr>
          <w:rFonts w:ascii="Calibri" w:eastAsia="Calibri" w:hAnsi="Calibri" w:cs="Calibri"/>
        </w:rPr>
        <w:t xml:space="preserve"> </w:t>
      </w:r>
      <w:r w:rsidR="3A3EBB29" w:rsidRPr="00C4084C">
        <w:rPr>
          <w:rFonts w:ascii="Calibri" w:eastAsia="Calibri" w:hAnsi="Calibri" w:cs="Calibri"/>
        </w:rPr>
        <w:t>higher</w:t>
      </w:r>
      <w:r w:rsidRPr="00C4084C">
        <w:t xml:space="preserve"> concentrations of investment in applied research and experimental development </w:t>
      </w:r>
      <w:r w:rsidR="64B3F669" w:rsidRPr="00C4084C">
        <w:t>compared to Australia</w:t>
      </w:r>
      <w:r w:rsidRPr="00C4084C">
        <w:t>. Most investment in basic research is by the higher education sector, while businesses focus more on applied research and experimental</w:t>
      </w:r>
      <w:r w:rsidR="00B83BC1" w:rsidRPr="00C4084C">
        <w:t xml:space="preserve"> development</w:t>
      </w:r>
      <w:r w:rsidRPr="00C4084C">
        <w:t>.</w:t>
      </w:r>
      <w:r w:rsidRPr="00C4084C">
        <w:rPr>
          <w:rStyle w:val="FootnoteReference"/>
        </w:rPr>
        <w:footnoteReference w:id="52"/>
      </w:r>
    </w:p>
    <w:p w14:paraId="4FF6A2EB" w14:textId="036A8DA7" w:rsidR="00601107" w:rsidRPr="00C4084C" w:rsidRDefault="00EA0D76" w:rsidP="007D10A8">
      <w:r w:rsidRPr="00C4084C">
        <w:t>Universities</w:t>
      </w:r>
      <w:r w:rsidR="00601107" w:rsidRPr="00C4084C">
        <w:t xml:space="preserve"> also produce most of Australia’s scientific publications – a substantial task given Australia produces </w:t>
      </w:r>
      <w:r w:rsidR="00423ED3" w:rsidRPr="00C4084C">
        <w:t>3.4</w:t>
      </w:r>
      <w:r w:rsidR="00601107" w:rsidRPr="00C4084C" w:rsidDel="0002240E">
        <w:t>%</w:t>
      </w:r>
      <w:r w:rsidR="00601107" w:rsidRPr="00C4084C">
        <w:t xml:space="preserve"> of the world’s published research with only 0.3</w:t>
      </w:r>
      <w:r w:rsidR="00683917" w:rsidRPr="00C4084C">
        <w:t>3</w:t>
      </w:r>
      <w:r w:rsidR="00601107" w:rsidRPr="00C4084C" w:rsidDel="0002240E">
        <w:t>%</w:t>
      </w:r>
      <w:r w:rsidR="00601107" w:rsidRPr="00C4084C">
        <w:t xml:space="preserve"> of the world’s population.</w:t>
      </w:r>
      <w:r w:rsidR="00601107" w:rsidRPr="00C4084C">
        <w:rPr>
          <w:vertAlign w:val="superscript"/>
        </w:rPr>
        <w:footnoteReference w:id="53"/>
      </w:r>
      <w:r w:rsidR="00601107" w:rsidRPr="00C4084C">
        <w:t xml:space="preserve"> In 2022, </w:t>
      </w:r>
      <w:r w:rsidR="004164C6" w:rsidRPr="00C4084C">
        <w:t>59.8</w:t>
      </w:r>
      <w:r w:rsidR="00601107" w:rsidRPr="00C4084C">
        <w:t>% of all research publications with an Australian author included an international co-author, higher than the EU (</w:t>
      </w:r>
      <w:r w:rsidR="004164C6" w:rsidRPr="00C4084C">
        <w:t>43.5</w:t>
      </w:r>
      <w:r w:rsidR="00601107" w:rsidRPr="00C4084C">
        <w:t>%) and the US (</w:t>
      </w:r>
      <w:r w:rsidR="004164C6" w:rsidRPr="00C4084C">
        <w:t>37.3</w:t>
      </w:r>
      <w:r w:rsidR="00601107" w:rsidRPr="00C4084C">
        <w:t>%).</w:t>
      </w:r>
      <w:r w:rsidR="00601107" w:rsidRPr="00C4084C">
        <w:rPr>
          <w:vertAlign w:val="superscript"/>
        </w:rPr>
        <w:footnoteReference w:id="54"/>
      </w:r>
      <w:r w:rsidR="00601107" w:rsidRPr="00C4084C">
        <w:t xml:space="preserve">  </w:t>
      </w:r>
    </w:p>
    <w:p w14:paraId="43D4EF68" w14:textId="77777777" w:rsidR="00601107" w:rsidRPr="00C4084C" w:rsidRDefault="00601107" w:rsidP="007D10A8">
      <w:r w:rsidRPr="00C4084C">
        <w:lastRenderedPageBreak/>
        <w:t>Two-thirds of Australian university research output is assessed by the Australian Research Council (ARC) as being above or well above world standard.</w:t>
      </w:r>
      <w:r w:rsidRPr="00C4084C">
        <w:rPr>
          <w:rStyle w:val="FootnoteReference"/>
        </w:rPr>
        <w:footnoteReference w:id="55"/>
      </w:r>
    </w:p>
    <w:p w14:paraId="5AF1410C" w14:textId="764B4A32" w:rsidR="00601107" w:rsidRPr="00C4084C" w:rsidRDefault="00601107" w:rsidP="007D10A8">
      <w:r w:rsidRPr="00C4084C">
        <w:t xml:space="preserve">Despite strong </w:t>
      </w:r>
      <w:r w:rsidR="313F0F02" w:rsidRPr="00C4084C">
        <w:t xml:space="preserve">university </w:t>
      </w:r>
      <w:r w:rsidRPr="00C4084C">
        <w:t xml:space="preserve">research outputs, in 2022, R&amp;D expenditure from all sources – business, government, higher education and the private non-profit sector – represented </w:t>
      </w:r>
      <w:r w:rsidR="06A0EFBF" w:rsidRPr="00C4084C">
        <w:t xml:space="preserve">only </w:t>
      </w:r>
      <w:r w:rsidRPr="00C4084C">
        <w:t>1.68% of gross domestic product, falling from 1.8% in 2020 and 2.25% in 2009.</w:t>
      </w:r>
      <w:r w:rsidRPr="00C4084C">
        <w:rPr>
          <w:rStyle w:val="FootnoteReference"/>
        </w:rPr>
        <w:footnoteReference w:id="56"/>
      </w:r>
      <w:r w:rsidRPr="00C4084C">
        <w:t xml:space="preserve"> It is the lowest level recorded in 17 years, since the Australian Bureau of Statistics (ABS) adopted its current methodology for measuring gross R&amp;D expenditure. </w:t>
      </w:r>
    </w:p>
    <w:p w14:paraId="74594226" w14:textId="0ABB19A3" w:rsidR="00601107" w:rsidRPr="00C4084C" w:rsidRDefault="00601107" w:rsidP="007D10A8">
      <w:r w:rsidRPr="00C4084C">
        <w:t>Further, in terms of international innovation rankings such as the Global Innovation Index, Australia has consistently scored poorly compared to other OECD nations.</w:t>
      </w:r>
      <w:r w:rsidR="00FB0449" w:rsidRPr="00C4084C">
        <w:rPr>
          <w:rStyle w:val="FootnoteReference"/>
        </w:rPr>
        <w:footnoteReference w:id="57"/>
      </w:r>
      <w:r w:rsidRPr="00C4084C">
        <w:t xml:space="preserve"> In 2023, Australia ranked </w:t>
      </w:r>
      <w:r w:rsidR="00D33FD7" w:rsidRPr="00C4084C">
        <w:t>16</w:t>
      </w:r>
      <w:r w:rsidR="00D33FD7" w:rsidRPr="00C4084C">
        <w:rPr>
          <w:vertAlign w:val="superscript"/>
        </w:rPr>
        <w:t>th</w:t>
      </w:r>
      <w:r w:rsidR="00D33FD7" w:rsidRPr="00C4084C">
        <w:t xml:space="preserve"> in innovation inputs (stable business and legal systems, quality education and research systems) but </w:t>
      </w:r>
      <w:r w:rsidRPr="00C4084C">
        <w:t>30</w:t>
      </w:r>
      <w:r w:rsidRPr="00C4084C">
        <w:rPr>
          <w:vertAlign w:val="superscript"/>
        </w:rPr>
        <w:t>th</w:t>
      </w:r>
      <w:r w:rsidRPr="00C4084C">
        <w:t xml:space="preserve"> in knowledge and technology outputs</w:t>
      </w:r>
      <w:r w:rsidR="00E52AFA" w:rsidRPr="00C4084C">
        <w:t>. In effect</w:t>
      </w:r>
      <w:r w:rsidR="23E815C4" w:rsidRPr="00C4084C">
        <w:t>,</w:t>
      </w:r>
      <w:r w:rsidRPr="00C4084C">
        <w:t xml:space="preserve"> it fails to translate </w:t>
      </w:r>
      <w:r w:rsidR="00561EBC" w:rsidRPr="00C4084C">
        <w:t>its</w:t>
      </w:r>
      <w:r w:rsidRPr="00C4084C">
        <w:t xml:space="preserve"> </w:t>
      </w:r>
      <w:r w:rsidR="00E52AFA" w:rsidRPr="00C4084C">
        <w:t>innovation</w:t>
      </w:r>
      <w:r w:rsidR="061FE918" w:rsidRPr="00C4084C">
        <w:t xml:space="preserve"> input</w:t>
      </w:r>
      <w:r w:rsidR="00E52AFA" w:rsidRPr="00C4084C">
        <w:t>s</w:t>
      </w:r>
      <w:r w:rsidRPr="00C4084C">
        <w:t xml:space="preserve"> into high</w:t>
      </w:r>
      <w:r w:rsidR="00D43CEC" w:rsidRPr="00C4084C">
        <w:t>-</w:t>
      </w:r>
      <w:r w:rsidRPr="00C4084C">
        <w:t xml:space="preserve">impact innovation outputs (new processes, </w:t>
      </w:r>
      <w:proofErr w:type="gramStart"/>
      <w:r w:rsidRPr="00C4084C">
        <w:t>products</w:t>
      </w:r>
      <w:proofErr w:type="gramEnd"/>
      <w:r w:rsidRPr="00C4084C">
        <w:t xml:space="preserve"> and services).</w:t>
      </w:r>
      <w:r w:rsidRPr="00C4084C">
        <w:rPr>
          <w:vertAlign w:val="superscript"/>
        </w:rPr>
        <w:footnoteReference w:id="58"/>
      </w:r>
    </w:p>
    <w:p w14:paraId="1F4B8F03" w14:textId="77777777" w:rsidR="00601107" w:rsidRPr="00C4084C" w:rsidRDefault="00601107" w:rsidP="00601107">
      <w:pPr>
        <w:pStyle w:val="Heading5"/>
      </w:pPr>
      <w:r w:rsidRPr="00C4084C">
        <w:t>Community and regional engagement</w:t>
      </w:r>
    </w:p>
    <w:p w14:paraId="30BA2C73" w14:textId="40B52851" w:rsidR="00601107" w:rsidRPr="00C4084C" w:rsidRDefault="00601107" w:rsidP="005B588A">
      <w:r w:rsidRPr="00C4084C">
        <w:t xml:space="preserve">Australia’s </w:t>
      </w:r>
      <w:r w:rsidR="00561EBC" w:rsidRPr="00C4084C">
        <w:t>tertiary</w:t>
      </w:r>
      <w:r w:rsidRPr="00C4084C">
        <w:t xml:space="preserve"> education providers are embedded in, and contribute to</w:t>
      </w:r>
      <w:r w:rsidR="00893781" w:rsidRPr="00C4084C">
        <w:t>,</w:t>
      </w:r>
      <w:r w:rsidRPr="00C4084C">
        <w:t xml:space="preserve"> the social fabric and development of their diverse communities. </w:t>
      </w:r>
      <w:r w:rsidR="00561EBC" w:rsidRPr="00C4084C">
        <w:t>They</w:t>
      </w:r>
      <w:r w:rsidRPr="00C4084C">
        <w:t xml:space="preserve"> create local jobs and stimulate economic activity. </w:t>
      </w:r>
      <w:proofErr w:type="gramStart"/>
      <w:r w:rsidR="008A3F2D" w:rsidRPr="00C4084C">
        <w:t>Also</w:t>
      </w:r>
      <w:proofErr w:type="gramEnd"/>
      <w:r w:rsidR="008A3F2D" w:rsidRPr="00C4084C">
        <w:t xml:space="preserve"> t</w:t>
      </w:r>
      <w:r w:rsidRPr="00C4084C">
        <w:t xml:space="preserve">hey encourage civic engagement, intellectual enrichment, </w:t>
      </w:r>
      <w:r w:rsidR="18E500E0" w:rsidRPr="00C4084C">
        <w:t>cultural events,</w:t>
      </w:r>
      <w:r w:rsidRPr="00C4084C">
        <w:t xml:space="preserve"> reconciliation and other social benefits. Increasingly, place-based and infrastructure development strategies that focus on social and economic inclusion and progress are occurring right across the </w:t>
      </w:r>
      <w:r w:rsidR="008A3F2D" w:rsidRPr="00C4084C">
        <w:t>tertiary education system</w:t>
      </w:r>
      <w:r w:rsidRPr="00C4084C">
        <w:t>.</w:t>
      </w:r>
    </w:p>
    <w:p w14:paraId="536FB2C2" w14:textId="41CB8415" w:rsidR="00887492" w:rsidRPr="005B588A" w:rsidRDefault="00601107" w:rsidP="00BC1B7E">
      <w:r w:rsidRPr="00C4084C">
        <w:t xml:space="preserve">Universities and university colleges are required to engage with their communities, </w:t>
      </w:r>
      <w:proofErr w:type="gramStart"/>
      <w:r w:rsidRPr="00C4084C">
        <w:t>employers</w:t>
      </w:r>
      <w:proofErr w:type="gramEnd"/>
      <w:r w:rsidRPr="00C4084C">
        <w:t xml:space="preserve"> and industry.</w:t>
      </w:r>
      <w:r w:rsidRPr="00C4084C">
        <w:rPr>
          <w:rStyle w:val="FootnoteReference"/>
        </w:rPr>
        <w:footnoteReference w:id="59"/>
      </w:r>
      <w:r w:rsidRPr="00C4084C">
        <w:t xml:space="preserve"> Community engagement objectives are </w:t>
      </w:r>
      <w:r w:rsidR="00E52AFA" w:rsidRPr="00C4084C">
        <w:t xml:space="preserve">generally </w:t>
      </w:r>
      <w:r w:rsidRPr="00C4084C">
        <w:t>included in founding legislation which encourages universities to focus on practical problems or commercial opportunities relevant to their community.</w:t>
      </w:r>
      <w:r w:rsidRPr="00C4084C">
        <w:rPr>
          <w:rStyle w:val="FootnoteReference"/>
        </w:rPr>
        <w:footnoteReference w:id="60"/>
      </w:r>
      <w:r w:rsidRPr="00C4084C">
        <w:t xml:space="preserve"> After teaching and research, community engagement is considered the ‘third stream’ of university activity. Regional universities and other higher education providers are particularly important in their local communities. They are often the largest employer in their area. They provide facilities and essential infrastructure, foster community participation and connection through local sports and other sponsorships and </w:t>
      </w:r>
      <w:r w:rsidR="002F0DA2" w:rsidRPr="00C4084C">
        <w:t xml:space="preserve">can </w:t>
      </w:r>
      <w:r w:rsidRPr="00C4084C">
        <w:t xml:space="preserve">play an important role in times of crisis, as evidenced by </w:t>
      </w:r>
      <w:r w:rsidR="00D10C20" w:rsidRPr="00C4084C">
        <w:t>examples of universities providing support to their communities</w:t>
      </w:r>
      <w:r w:rsidRPr="00C4084C">
        <w:t xml:space="preserve"> during </w:t>
      </w:r>
      <w:r w:rsidR="00B40FC9" w:rsidRPr="00C4084C">
        <w:t>natural disasters such as cyclones,</w:t>
      </w:r>
      <w:r w:rsidRPr="00C4084C">
        <w:t xml:space="preserve"> </w:t>
      </w:r>
      <w:proofErr w:type="gramStart"/>
      <w:r w:rsidRPr="00C4084C">
        <w:t>bushfire</w:t>
      </w:r>
      <w:r w:rsidR="00B40FC9" w:rsidRPr="00C4084C">
        <w:t>s</w:t>
      </w:r>
      <w:proofErr w:type="gramEnd"/>
      <w:r w:rsidRPr="00C4084C">
        <w:t xml:space="preserve"> and flood</w:t>
      </w:r>
      <w:r w:rsidR="00B40FC9" w:rsidRPr="00C4084C">
        <w:t>s</w:t>
      </w:r>
      <w:r w:rsidRPr="00C4084C">
        <w:t>.</w:t>
      </w:r>
      <w:r w:rsidR="00D10C20" w:rsidRPr="00C4084C">
        <w:rPr>
          <w:rStyle w:val="FootnoteReference"/>
        </w:rPr>
        <w:footnoteReference w:id="61"/>
      </w:r>
    </w:p>
    <w:tbl>
      <w:tblPr>
        <w:tblW w:w="0" w:type="auto"/>
        <w:shd w:val="clear" w:color="auto" w:fill="FBE4D5"/>
        <w:tblLook w:val="04A0" w:firstRow="1" w:lastRow="0" w:firstColumn="1" w:lastColumn="0" w:noHBand="0" w:noVBand="1"/>
      </w:tblPr>
      <w:tblGrid>
        <w:gridCol w:w="9026"/>
      </w:tblGrid>
      <w:tr w:rsidR="00887492" w:rsidRPr="00C4084C" w14:paraId="7CDC8C0A" w14:textId="77777777" w:rsidTr="00D26B82">
        <w:tc>
          <w:tcPr>
            <w:tcW w:w="9026" w:type="dxa"/>
            <w:shd w:val="clear" w:color="auto" w:fill="B0C3DB"/>
            <w:tcMar>
              <w:top w:w="108" w:type="dxa"/>
            </w:tcMar>
          </w:tcPr>
          <w:p w14:paraId="0B285725" w14:textId="3D6481CE" w:rsidR="00BC1B7E" w:rsidRPr="00285443" w:rsidRDefault="00BC1B7E" w:rsidP="003E5969">
            <w:pPr>
              <w:pStyle w:val="Findinginchapterheading"/>
            </w:pPr>
            <w:r w:rsidRPr="00285443">
              <w:lastRenderedPageBreak/>
              <w:t>Finding</w:t>
            </w:r>
            <w:r w:rsidR="00B36821">
              <w:t xml:space="preserve">: </w:t>
            </w:r>
            <w:r w:rsidR="00B36821" w:rsidRPr="00F649E3">
              <w:t>Community</w:t>
            </w:r>
            <w:r w:rsidR="00B36821" w:rsidRPr="00B36821">
              <w:t xml:space="preserve"> engagement</w:t>
            </w:r>
          </w:p>
          <w:p w14:paraId="7F29ACF1" w14:textId="3AE41D19" w:rsidR="00887492" w:rsidRPr="00C4084C" w:rsidRDefault="00887492" w:rsidP="003E5969">
            <w:pPr>
              <w:pStyle w:val="Boxtext0"/>
              <w:spacing w:before="0"/>
            </w:pPr>
            <w:r w:rsidRPr="00C4084C">
              <w:t xml:space="preserve">Tertiary education providers have deep connections to their communities that go well beyond education and research. They create jobs, partner with local businesses and schools, undertake locally relevant research, attract </w:t>
            </w:r>
            <w:proofErr w:type="gramStart"/>
            <w:r w:rsidRPr="00C4084C">
              <w:t>investment</w:t>
            </w:r>
            <w:proofErr w:type="gramEnd"/>
            <w:r w:rsidRPr="00C4084C">
              <w:t xml:space="preserve"> and provide resources, facilities and leadership that improve lives in the communities that host them. This community engagement represents a major and largely unsung contribution to the nation. </w:t>
            </w:r>
          </w:p>
        </w:tc>
      </w:tr>
    </w:tbl>
    <w:p w14:paraId="4B6AF69B" w14:textId="77777777" w:rsidR="00601107" w:rsidRPr="00C4084C" w:rsidRDefault="00601107" w:rsidP="00601107">
      <w:pPr>
        <w:pStyle w:val="Heading5"/>
      </w:pPr>
      <w:r w:rsidRPr="00C4084C">
        <w:t>Connections to VET</w:t>
      </w:r>
    </w:p>
    <w:p w14:paraId="08ED426E" w14:textId="7BCCC258" w:rsidR="00601107" w:rsidRPr="00C4084C" w:rsidRDefault="00A23ABE" w:rsidP="005B588A">
      <w:r w:rsidRPr="00C4084C">
        <w:t>I</w:t>
      </w:r>
      <w:r w:rsidR="008E06AC" w:rsidRPr="00C4084C">
        <w:t>n 2022 there were</w:t>
      </w:r>
      <w:r w:rsidR="00601107" w:rsidRPr="00C4084C">
        <w:t xml:space="preserve"> </w:t>
      </w:r>
      <w:r w:rsidR="00A00A82" w:rsidRPr="00C4084C">
        <w:t xml:space="preserve">around </w:t>
      </w:r>
      <w:r w:rsidR="00601107" w:rsidRPr="00C4084C">
        <w:t>3,</w:t>
      </w:r>
      <w:r w:rsidR="00A00A82" w:rsidRPr="00C4084C">
        <w:t>600</w:t>
      </w:r>
      <w:r w:rsidR="00601107" w:rsidRPr="00C4084C">
        <w:t xml:space="preserve"> registered training organisations (RTOs) with an active registration </w:t>
      </w:r>
      <w:r w:rsidR="008E06AC" w:rsidRPr="00C4084C">
        <w:t xml:space="preserve">that </w:t>
      </w:r>
      <w:r w:rsidR="00601107" w:rsidRPr="00C4084C">
        <w:t>delivered nationally recognised VET</w:t>
      </w:r>
      <w:r w:rsidRPr="00C4084C">
        <w:t>.</w:t>
      </w:r>
      <w:r w:rsidR="00601107" w:rsidRPr="00C4084C">
        <w:t xml:space="preserve"> </w:t>
      </w:r>
      <w:r w:rsidRPr="00C4084C">
        <w:t xml:space="preserve">They include public </w:t>
      </w:r>
      <w:r w:rsidR="00601107" w:rsidRPr="00C4084C">
        <w:t>TAFE institutes, universities, schools, private training providers and others.</w:t>
      </w:r>
      <w:r w:rsidR="00601107" w:rsidRPr="00C4084C">
        <w:rPr>
          <w:rStyle w:val="FootnoteReference"/>
        </w:rPr>
        <w:footnoteReference w:id="62"/>
      </w:r>
      <w:r w:rsidR="00F904BB" w:rsidRPr="00C4084C">
        <w:t xml:space="preserve"> </w:t>
      </w:r>
      <w:r w:rsidR="00BE44E1" w:rsidRPr="00C4084C">
        <w:t>During</w:t>
      </w:r>
      <w:r w:rsidR="00601107" w:rsidRPr="00C4084C">
        <w:t xml:space="preserve"> 2022, 4.5 million students were enrolled in nationally recognised</w:t>
      </w:r>
      <w:r w:rsidR="00BE142B" w:rsidRPr="00C4084C">
        <w:t xml:space="preserve"> </w:t>
      </w:r>
      <w:r w:rsidR="00F904BB" w:rsidRPr="00C4084C">
        <w:t xml:space="preserve">training </w:t>
      </w:r>
      <w:r w:rsidR="00BE142B" w:rsidRPr="00C4084C">
        <w:t>of which 2.1</w:t>
      </w:r>
      <w:r w:rsidR="00F904BB" w:rsidRPr="00C4084C">
        <w:t xml:space="preserve"> million enrol</w:t>
      </w:r>
      <w:r w:rsidR="00C629D7" w:rsidRPr="00C4084C">
        <w:t>ments were</w:t>
      </w:r>
      <w:r w:rsidR="00F904BB" w:rsidRPr="00C4084C">
        <w:t xml:space="preserve"> in a nationally recognised program</w:t>
      </w:r>
      <w:r w:rsidR="006809B5" w:rsidRPr="00C4084C">
        <w:t xml:space="preserve"> (associated with one or more clusters of subjects)</w:t>
      </w:r>
      <w:r w:rsidR="00F904BB" w:rsidRPr="00C4084C">
        <w:t>.</w:t>
      </w:r>
      <w:r w:rsidR="00601107" w:rsidRPr="00C4084C">
        <w:rPr>
          <w:rStyle w:val="FootnoteReference"/>
        </w:rPr>
        <w:footnoteReference w:id="63"/>
      </w:r>
      <w:r w:rsidR="00601107" w:rsidRPr="00C4084C">
        <w:t xml:space="preserve"> </w:t>
      </w:r>
    </w:p>
    <w:p w14:paraId="111A386D" w14:textId="38D1FD3C" w:rsidR="00601107" w:rsidRPr="00C4084C" w:rsidRDefault="00601107" w:rsidP="005B588A">
      <w:r w:rsidRPr="00C4084C">
        <w:t>Historically, VET providers have focused on trades and applied skills, whereas higher education providers generally focu</w:t>
      </w:r>
      <w:r w:rsidR="00A23ABE" w:rsidRPr="00C4084C">
        <w:t>sed</w:t>
      </w:r>
      <w:r w:rsidRPr="00C4084C">
        <w:t xml:space="preserve"> on advanced-level knowledge</w:t>
      </w:r>
      <w:r w:rsidR="00E52AFA" w:rsidRPr="00C4084C">
        <w:t>,</w:t>
      </w:r>
      <w:r w:rsidRPr="00C4084C">
        <w:t xml:space="preserve"> </w:t>
      </w:r>
      <w:r w:rsidR="143753D0" w:rsidRPr="00C4084C">
        <w:t>the professions</w:t>
      </w:r>
      <w:r w:rsidRPr="00C4084C">
        <w:t xml:space="preserve"> and research. However, in recent decades, growth and innovation across both systems ha</w:t>
      </w:r>
      <w:r w:rsidR="001F2887" w:rsidRPr="00C4084C">
        <w:t>ve</w:t>
      </w:r>
      <w:r w:rsidRPr="00C4084C">
        <w:t xml:space="preserve"> led to increasing interactions and overlaps. The </w:t>
      </w:r>
      <w:r w:rsidR="003E5778" w:rsidRPr="00C4084C">
        <w:t>Australian Government</w:t>
      </w:r>
      <w:r w:rsidRPr="00C4084C">
        <w:t xml:space="preserve"> and the states and territories are working to strengthen public TAFEs, boost participation and demand, drive new partnerships with higher education and improve the overall status and perceptions of VET.</w:t>
      </w:r>
    </w:p>
    <w:p w14:paraId="35F3657F" w14:textId="5ECADD99" w:rsidR="00601107" w:rsidRPr="00C4084C" w:rsidRDefault="00601107" w:rsidP="005B588A">
      <w:r w:rsidRPr="00C4084C">
        <w:t>Despite these efforts, VET and higher education remain largely separate and siloed systems. Various cross-sectoral barriers continue, and there is a lack of shared purpose and direction. Arrangements in relation to student places, credit for prior learning</w:t>
      </w:r>
      <w:r w:rsidR="00E52AFA" w:rsidRPr="00C4084C">
        <w:t>,</w:t>
      </w:r>
      <w:r w:rsidRPr="00C4084C">
        <w:t xml:space="preserve"> articulation, </w:t>
      </w:r>
      <w:proofErr w:type="gramStart"/>
      <w:r w:rsidRPr="00C4084C">
        <w:t>funding</w:t>
      </w:r>
      <w:proofErr w:type="gramEnd"/>
      <w:r w:rsidRPr="00C4084C">
        <w:t xml:space="preserve"> and regulation are fragmented across different institutions, levels of government, industries and places. </w:t>
      </w:r>
    </w:p>
    <w:p w14:paraId="55897FF1" w14:textId="35B44C88" w:rsidR="00601107" w:rsidRPr="00C4084C" w:rsidRDefault="00601107" w:rsidP="00BA6095">
      <w:pPr>
        <w:pStyle w:val="Heading4"/>
      </w:pPr>
      <w:bookmarkStart w:id="109" w:name="_Toc145372278"/>
      <w:bookmarkStart w:id="110" w:name="_Toc153483006"/>
      <w:bookmarkStart w:id="111" w:name="_Toc159500916"/>
      <w:r w:rsidRPr="00C4084C">
        <w:t>Future challenges and opportunities</w:t>
      </w:r>
      <w:bookmarkEnd w:id="94"/>
      <w:bookmarkEnd w:id="95"/>
      <w:bookmarkEnd w:id="96"/>
      <w:bookmarkEnd w:id="97"/>
      <w:bookmarkEnd w:id="98"/>
      <w:bookmarkEnd w:id="99"/>
      <w:bookmarkEnd w:id="109"/>
      <w:bookmarkEnd w:id="110"/>
      <w:bookmarkEnd w:id="111"/>
    </w:p>
    <w:p w14:paraId="16FE3358" w14:textId="5BBCC18D" w:rsidR="00601107" w:rsidRPr="00C4084C" w:rsidRDefault="00601107" w:rsidP="005B588A">
      <w:r w:rsidRPr="00C4084C">
        <w:t xml:space="preserve">Australia – and the world – has experienced rapid and complex social, </w:t>
      </w:r>
      <w:proofErr w:type="gramStart"/>
      <w:r w:rsidRPr="00C4084C">
        <w:t>economic</w:t>
      </w:r>
      <w:proofErr w:type="gramEnd"/>
      <w:r w:rsidRPr="00C4084C">
        <w:t xml:space="preserve"> and environmental change over the past few decades</w:t>
      </w:r>
      <w:r w:rsidR="0092615B" w:rsidRPr="00C4084C">
        <w:t xml:space="preserve">. This has </w:t>
      </w:r>
      <w:r w:rsidRPr="00C4084C">
        <w:t>reshap</w:t>
      </w:r>
      <w:r w:rsidR="0092615B" w:rsidRPr="00C4084C">
        <w:t>ed</w:t>
      </w:r>
      <w:r w:rsidRPr="00C4084C">
        <w:t xml:space="preserve"> the way all sectors, including higher and </w:t>
      </w:r>
      <w:r w:rsidR="00893781" w:rsidRPr="00C4084C">
        <w:t xml:space="preserve">vocational </w:t>
      </w:r>
      <w:r w:rsidRPr="00C4084C">
        <w:t>education</w:t>
      </w:r>
      <w:r w:rsidR="00893781" w:rsidRPr="00C4084C">
        <w:t xml:space="preserve"> and training</w:t>
      </w:r>
      <w:r w:rsidRPr="00C4084C">
        <w:t xml:space="preserve">, organise themselves and contribute to national structures and outcomes. </w:t>
      </w:r>
    </w:p>
    <w:p w14:paraId="310474F0" w14:textId="77777777" w:rsidR="00601107" w:rsidRPr="00C4084C" w:rsidRDefault="00601107" w:rsidP="005B588A">
      <w:r w:rsidRPr="00C4084C">
        <w:t xml:space="preserve">Australian tertiary education is at another critical moment. </w:t>
      </w:r>
    </w:p>
    <w:p w14:paraId="1306D6FC" w14:textId="47097E9A" w:rsidR="00601107" w:rsidRPr="00C4084C" w:rsidRDefault="00601107" w:rsidP="005B588A">
      <w:r w:rsidRPr="00C4084C">
        <w:t>Essential skills needs are not being met. Australia continues to perform poorly compared to other OECD nations in international innovation rankings</w:t>
      </w:r>
      <w:r w:rsidRPr="00C4084C">
        <w:rPr>
          <w:rStyle w:val="FootnoteReference"/>
        </w:rPr>
        <w:footnoteReference w:id="64"/>
      </w:r>
      <w:r w:rsidRPr="00C4084C">
        <w:t xml:space="preserve"> because it fails to translate innovation inputs </w:t>
      </w:r>
      <w:r w:rsidRPr="00C4084C">
        <w:lastRenderedPageBreak/>
        <w:t>(quality higher education system; rule of law; quality research system) into high</w:t>
      </w:r>
      <w:r w:rsidR="00D43CEC" w:rsidRPr="00C4084C">
        <w:t>-</w:t>
      </w:r>
      <w:r w:rsidRPr="00C4084C">
        <w:t>impact innovation outputs (products, services, intellectual property).</w:t>
      </w:r>
      <w:r w:rsidR="00F816DA" w:rsidRPr="00C4084C">
        <w:rPr>
          <w:rStyle w:val="FootnoteReference"/>
        </w:rPr>
        <w:footnoteReference w:id="65"/>
      </w:r>
    </w:p>
    <w:p w14:paraId="08723314" w14:textId="40BCF9FF" w:rsidR="00601107" w:rsidRPr="00C4084C" w:rsidRDefault="00601107" w:rsidP="005B588A">
      <w:r w:rsidRPr="00C4084C">
        <w:t>Advances in digital technology, the democratisation of information</w:t>
      </w:r>
      <w:r w:rsidR="00493A1E" w:rsidRPr="00C4084C">
        <w:t>,</w:t>
      </w:r>
      <w:r w:rsidRPr="00C4084C">
        <w:t xml:space="preserve"> and other emerging technologies have the potential to disrupt traditional higher education teaching and research roles.</w:t>
      </w:r>
      <w:r w:rsidRPr="00C4084C">
        <w:rPr>
          <w:rStyle w:val="FootnoteReference"/>
        </w:rPr>
        <w:footnoteReference w:id="66"/>
      </w:r>
      <w:r w:rsidRPr="00C4084C">
        <w:t xml:space="preserve"> They may also affect the physical footprint of universities. Large built facilities may become redundant as remote study becomes more </w:t>
      </w:r>
      <w:proofErr w:type="gramStart"/>
      <w:r w:rsidRPr="00C4084C" w:rsidDel="0069374A">
        <w:t>prevalent</w:t>
      </w:r>
      <w:r w:rsidR="00366AD2" w:rsidRPr="00C4084C">
        <w:t>,</w:t>
      </w:r>
      <w:r w:rsidR="0069374A" w:rsidRPr="00C4084C">
        <w:t xml:space="preserve"> or</w:t>
      </w:r>
      <w:proofErr w:type="gramEnd"/>
      <w:r w:rsidRPr="00C4084C">
        <w:t xml:space="preserve"> be rendered unsuitable due to the effects of climate change, making way for technology-enabled collaboration and group spaces.</w:t>
      </w:r>
      <w:r w:rsidRPr="00C4084C">
        <w:rPr>
          <w:rStyle w:val="FootnoteReference"/>
        </w:rPr>
        <w:footnoteReference w:id="67"/>
      </w:r>
      <w:r w:rsidRPr="00C4084C">
        <w:t xml:space="preserve"> </w:t>
      </w:r>
    </w:p>
    <w:p w14:paraId="201E3C37" w14:textId="4AAC196F" w:rsidR="00601107" w:rsidRPr="00C4084C" w:rsidRDefault="00601107" w:rsidP="005B588A">
      <w:r w:rsidRPr="00C4084C">
        <w:t xml:space="preserve">The very business model of </w:t>
      </w:r>
      <w:r w:rsidR="001F2887" w:rsidRPr="00C4084C">
        <w:t>tertiary</w:t>
      </w:r>
      <w:r w:rsidRPr="00C4084C">
        <w:t xml:space="preserve"> education providers will be challenged. Currently, </w:t>
      </w:r>
      <w:r w:rsidR="00AF6B23" w:rsidRPr="00C4084C">
        <w:t>many</w:t>
      </w:r>
      <w:r w:rsidRPr="00C4084C">
        <w:t xml:space="preserve"> providers operate as conglomerates that bundle together a range of teaching, research and community activities, each activity informing and supporting the other. As technology reduces barriers to entry into various fields, including tertiary education, there is potential for new players to offer better quality and cheaper education, and even research, services.</w:t>
      </w:r>
      <w:r w:rsidRPr="00C4084C">
        <w:rPr>
          <w:rStyle w:val="FootnoteReference"/>
        </w:rPr>
        <w:footnoteReference w:id="68"/>
      </w:r>
      <w:r w:rsidRPr="00C4084C">
        <w:t xml:space="preserve"> </w:t>
      </w:r>
    </w:p>
    <w:p w14:paraId="6006CF72" w14:textId="77777777" w:rsidR="00601107" w:rsidRPr="00C4084C" w:rsidRDefault="00601107" w:rsidP="00601107">
      <w:pPr>
        <w:pStyle w:val="Heading5"/>
      </w:pPr>
      <w:bookmarkStart w:id="112" w:name="_Toc144391237"/>
      <w:bookmarkStart w:id="113" w:name="_Toc150689972"/>
      <w:bookmarkStart w:id="114" w:name="_Toc151806447"/>
      <w:bookmarkStart w:id="115" w:name="_Toc152314500"/>
      <w:r w:rsidRPr="00C4084C">
        <w:t>Demographic changes</w:t>
      </w:r>
      <w:bookmarkEnd w:id="112"/>
      <w:bookmarkEnd w:id="113"/>
      <w:bookmarkEnd w:id="114"/>
      <w:bookmarkEnd w:id="115"/>
    </w:p>
    <w:p w14:paraId="00512302" w14:textId="4D481851" w:rsidR="00601107" w:rsidRPr="00C4084C" w:rsidRDefault="00601107" w:rsidP="005B588A">
      <w:r w:rsidRPr="00C4084C">
        <w:t xml:space="preserve">Australia’s population has grown from 18.9 million at the turn of the century to 26.5 million in </w:t>
      </w:r>
      <w:r w:rsidR="00A17442" w:rsidRPr="00C4084C">
        <w:br/>
      </w:r>
      <w:r w:rsidRPr="00C4084C">
        <w:t>2022–23</w:t>
      </w:r>
      <w:r w:rsidR="00A23ABE" w:rsidRPr="00C4084C">
        <w:t>. It</w:t>
      </w:r>
      <w:r w:rsidRPr="00C4084C">
        <w:t xml:space="preserve"> is projected to reach 30.4 million by 2032–33</w:t>
      </w:r>
      <w:r w:rsidRPr="00C4084C">
        <w:rPr>
          <w:vertAlign w:val="superscript"/>
        </w:rPr>
        <w:footnoteReference w:id="69"/>
      </w:r>
      <w:r w:rsidRPr="00C4084C">
        <w:t xml:space="preserve"> and 40.5 million by 2062–63.</w:t>
      </w:r>
      <w:r w:rsidRPr="00C4084C">
        <w:rPr>
          <w:rStyle w:val="FootnoteReference"/>
        </w:rPr>
        <w:footnoteReference w:id="70"/>
      </w:r>
      <w:r w:rsidRPr="00C4084C">
        <w:t xml:space="preserve"> This growth will arise from both natural increase</w:t>
      </w:r>
      <w:r w:rsidR="00896E5E" w:rsidRPr="00C4084C">
        <w:t>s</w:t>
      </w:r>
      <w:r w:rsidRPr="00C4084C">
        <w:rPr>
          <w:rStyle w:val="FootnoteReference"/>
        </w:rPr>
        <w:footnoteReference w:id="71"/>
      </w:r>
      <w:r w:rsidRPr="00C4084C">
        <w:t xml:space="preserve"> and overseas migration. As of 202</w:t>
      </w:r>
      <w:r w:rsidR="00903D41" w:rsidRPr="00C4084C">
        <w:t>2</w:t>
      </w:r>
      <w:r w:rsidRPr="00C4084C">
        <w:t>, 2</w:t>
      </w:r>
      <w:r w:rsidR="00903D41" w:rsidRPr="00C4084C">
        <w:t>9.5</w:t>
      </w:r>
      <w:r w:rsidRPr="00C4084C">
        <w:t>% of Australians were born overseas.</w:t>
      </w:r>
      <w:r w:rsidRPr="00C4084C">
        <w:rPr>
          <w:rStyle w:val="FootnoteReference"/>
        </w:rPr>
        <w:footnoteReference w:id="72"/>
      </w:r>
    </w:p>
    <w:p w14:paraId="43B8A7FE" w14:textId="61D9BF61" w:rsidR="00601107" w:rsidRPr="00C4084C" w:rsidRDefault="00601107" w:rsidP="005B588A">
      <w:r w:rsidRPr="00C4084C">
        <w:t>With increasing life expectancies and low fertility rates,</w:t>
      </w:r>
      <w:r w:rsidRPr="00C4084C">
        <w:rPr>
          <w:rStyle w:val="FootnoteReference"/>
        </w:rPr>
        <w:footnoteReference w:id="73"/>
      </w:r>
      <w:r w:rsidRPr="00C4084C">
        <w:t xml:space="preserve"> Australia’s population is also ageing. By 2062–63, the proportion of the population aged 65 and over is expected to increase by 6.1% to 23.4%.</w:t>
      </w:r>
      <w:r w:rsidRPr="00C4084C">
        <w:rPr>
          <w:rStyle w:val="FootnoteReference"/>
        </w:rPr>
        <w:footnoteReference w:id="74"/>
      </w:r>
      <w:r w:rsidRPr="00C4084C">
        <w:t xml:space="preserve"> An ageing population presents long-term economic challenges, as demand for quality care and support services increases but the proportion of people of working age to older Australians decreases.</w:t>
      </w:r>
    </w:p>
    <w:p w14:paraId="2E773253" w14:textId="048642DD" w:rsidR="00601107" w:rsidRPr="00C4084C" w:rsidRDefault="00601107" w:rsidP="056F5EF3">
      <w:r w:rsidRPr="00C4084C">
        <w:t xml:space="preserve">Australia’s regional, </w:t>
      </w:r>
      <w:r w:rsidR="007C038C" w:rsidRPr="00C4084C">
        <w:t>rural, remote,</w:t>
      </w:r>
      <w:r w:rsidRPr="00C4084C">
        <w:t xml:space="preserve"> </w:t>
      </w:r>
      <w:proofErr w:type="gramStart"/>
      <w:r w:rsidRPr="00C4084C">
        <w:t>urban</w:t>
      </w:r>
      <w:proofErr w:type="gramEnd"/>
      <w:r w:rsidRPr="00C4084C">
        <w:t xml:space="preserve"> and suburban population mix is also changing.</w:t>
      </w:r>
      <w:r w:rsidR="00493A1E" w:rsidRPr="00C4084C">
        <w:t xml:space="preserve"> The </w:t>
      </w:r>
      <w:r w:rsidRPr="00C4084C">
        <w:t>largest absolute growth in 9 to 16-year-olds between 2016 and 2021 was in major city outer suburbs, with some inner regional areas also showing substantial growth.</w:t>
      </w:r>
    </w:p>
    <w:p w14:paraId="7F64D911" w14:textId="4D221069" w:rsidR="00601107" w:rsidRPr="00C4084C" w:rsidRDefault="00601107" w:rsidP="005B588A">
      <w:r w:rsidRPr="00C4084C">
        <w:t>It is anticipated that rapid population growth will continue in outer suburban communities, major cities will become denser and more diverse, and regional communities will continue to grow.</w:t>
      </w:r>
      <w:r w:rsidRPr="00C4084C">
        <w:rPr>
          <w:vertAlign w:val="superscript"/>
        </w:rPr>
        <w:footnoteReference w:id="75"/>
      </w:r>
      <w:r w:rsidRPr="00C4084C">
        <w:t xml:space="preserve"> </w:t>
      </w:r>
      <w:r w:rsidRPr="00C4084C">
        <w:lastRenderedPageBreak/>
        <w:t xml:space="preserve">People in outer suburban and regional areas find it difficult to access </w:t>
      </w:r>
      <w:r w:rsidR="00AF6B23" w:rsidRPr="00C4084C">
        <w:t>tertiary</w:t>
      </w:r>
      <w:r w:rsidRPr="00C4084C">
        <w:t xml:space="preserve"> education, meaning that thousands miss out on the life changing opportunities that </w:t>
      </w:r>
      <w:r w:rsidR="00AF6B23" w:rsidRPr="00C4084C">
        <w:t>tertiary</w:t>
      </w:r>
      <w:r w:rsidRPr="00C4084C">
        <w:t xml:space="preserve"> education provides.</w:t>
      </w:r>
    </w:p>
    <w:p w14:paraId="5AE853D1" w14:textId="77777777" w:rsidR="00601107" w:rsidRPr="00C4084C" w:rsidRDefault="00601107" w:rsidP="00601107">
      <w:pPr>
        <w:pStyle w:val="Heading5"/>
      </w:pPr>
      <w:bookmarkStart w:id="116" w:name="_Toc144391238"/>
      <w:bookmarkStart w:id="117" w:name="_Toc150689973"/>
      <w:bookmarkStart w:id="118" w:name="_Toc151806448"/>
      <w:bookmarkStart w:id="119" w:name="_Toc152314501"/>
      <w:r w:rsidRPr="00C4084C">
        <w:t>Reducing inequality</w:t>
      </w:r>
      <w:bookmarkEnd w:id="116"/>
      <w:bookmarkEnd w:id="117"/>
      <w:bookmarkEnd w:id="118"/>
      <w:bookmarkEnd w:id="119"/>
    </w:p>
    <w:p w14:paraId="1DE44F78" w14:textId="205EB2C4" w:rsidR="00601107" w:rsidRPr="00C4084C" w:rsidRDefault="00601107" w:rsidP="005B588A">
      <w:r w:rsidRPr="00C4084C">
        <w:t>Australia</w:t>
      </w:r>
      <w:r w:rsidR="004D708B" w:rsidRPr="00C4084C">
        <w:t xml:space="preserve"> is home to the world’s oldest living cultures and Aboriginal and Torres Strait Islander cultures continue to evolve, </w:t>
      </w:r>
      <w:proofErr w:type="gramStart"/>
      <w:r w:rsidR="004D708B" w:rsidRPr="00C4084C">
        <w:t>revive</w:t>
      </w:r>
      <w:proofErr w:type="gramEnd"/>
      <w:r w:rsidR="004D708B" w:rsidRPr="00C4084C">
        <w:t xml:space="preserve"> and thrive. As</w:t>
      </w:r>
      <w:r w:rsidRPr="00C4084C">
        <w:t xml:space="preserve"> a multi-cultural country, </w:t>
      </w:r>
      <w:r w:rsidR="00D8132C" w:rsidRPr="00C4084C">
        <w:t>Australia</w:t>
      </w:r>
      <w:r w:rsidRPr="00C4084C">
        <w:t xml:space="preserve"> is increasingly accepting and celebrating diversity in all its forms. A wider range of groups are increasingly conscious of their distinct identity and expect that to be accepted and accommodated.</w:t>
      </w:r>
      <w:r w:rsidRPr="00C4084C">
        <w:rPr>
          <w:rStyle w:val="FootnoteReference"/>
        </w:rPr>
        <w:footnoteReference w:id="76"/>
      </w:r>
      <w:r w:rsidRPr="00C4084C">
        <w:t xml:space="preserve"> </w:t>
      </w:r>
    </w:p>
    <w:p w14:paraId="5AC98090" w14:textId="44513A07" w:rsidR="00601107" w:rsidRPr="00C4084C" w:rsidRDefault="00601107" w:rsidP="005B588A">
      <w:r w:rsidRPr="00C4084C">
        <w:t xml:space="preserve">Despite this increasing acceptance, Australia, like many other nations around the world, faces challenges of structural inequality and participation in civil society and democracy. The Review identified </w:t>
      </w:r>
      <w:r w:rsidR="00D16150" w:rsidRPr="00C4084C">
        <w:t>4</w:t>
      </w:r>
      <w:r w:rsidRPr="00C4084C" w:rsidDel="00C24A91">
        <w:t xml:space="preserve"> </w:t>
      </w:r>
      <w:r w:rsidRPr="00C4084C">
        <w:t xml:space="preserve">groups – First Nations people, people with disability, people from regional, </w:t>
      </w:r>
      <w:proofErr w:type="gramStart"/>
      <w:r w:rsidRPr="00C4084C">
        <w:t>rural</w:t>
      </w:r>
      <w:proofErr w:type="gramEnd"/>
      <w:r w:rsidRPr="00C4084C">
        <w:t xml:space="preserve"> and remote areas, and people from low socio-economic status (low SES) backgrounds – </w:t>
      </w:r>
      <w:r w:rsidR="00833985" w:rsidRPr="00C4084C">
        <w:t xml:space="preserve">who </w:t>
      </w:r>
      <w:r w:rsidRPr="00C4084C">
        <w:t xml:space="preserve">are substantially </w:t>
      </w:r>
      <w:r w:rsidR="00D7545F" w:rsidRPr="00C4084C">
        <w:t>under-represented</w:t>
      </w:r>
      <w:r w:rsidRPr="00C4084C">
        <w:t xml:space="preserve"> </w:t>
      </w:r>
      <w:r w:rsidR="006847E5" w:rsidRPr="00C4084C">
        <w:t>in higher</w:t>
      </w:r>
      <w:r w:rsidRPr="00C4084C">
        <w:t xml:space="preserve"> education. </w:t>
      </w:r>
    </w:p>
    <w:p w14:paraId="7F560992" w14:textId="7192F3C9" w:rsidR="00601107" w:rsidRPr="00C4084C" w:rsidRDefault="00601107" w:rsidP="005B588A">
      <w:r w:rsidRPr="00C4084C">
        <w:t xml:space="preserve">In the case of First Nations Australians, </w:t>
      </w:r>
      <w:r w:rsidR="0050187F" w:rsidRPr="00C4084C">
        <w:t>C</w:t>
      </w:r>
      <w:r w:rsidRPr="00C4084C">
        <w:t xml:space="preserve">losing the </w:t>
      </w:r>
      <w:r w:rsidR="0050187F" w:rsidRPr="00C4084C">
        <w:t>G</w:t>
      </w:r>
      <w:r w:rsidRPr="00C4084C">
        <w:t>ap – by addressing marginalisation and inequalities that reduce wellbeing and opportunity – is fundamental to the national agenda. Strengthening and embedding the place of First Nations people, knowledge</w:t>
      </w:r>
      <w:r w:rsidR="00FA55F9" w:rsidRPr="00C4084C">
        <w:t>s</w:t>
      </w:r>
      <w:r w:rsidRPr="00C4084C">
        <w:t xml:space="preserve"> and culture in Australia’s national life is a key commitment of the Australian Government. </w:t>
      </w:r>
    </w:p>
    <w:p w14:paraId="22BA3082" w14:textId="77777777" w:rsidR="00601107" w:rsidRPr="00C4084C" w:rsidRDefault="00601107" w:rsidP="00601107">
      <w:pPr>
        <w:pStyle w:val="Heading5"/>
      </w:pPr>
      <w:bookmarkStart w:id="120" w:name="_Toc150689974"/>
      <w:bookmarkStart w:id="121" w:name="_Toc151806449"/>
      <w:bookmarkStart w:id="122" w:name="_Toc152314502"/>
      <w:r w:rsidRPr="00C4084C">
        <w:t>Acute skills shortages</w:t>
      </w:r>
      <w:bookmarkEnd w:id="120"/>
      <w:bookmarkEnd w:id="121"/>
      <w:bookmarkEnd w:id="122"/>
    </w:p>
    <w:p w14:paraId="356F213A" w14:textId="7B0C47F6" w:rsidR="00013403" w:rsidRPr="00C4084C" w:rsidRDefault="00013403" w:rsidP="005B588A">
      <w:r w:rsidRPr="00C4084C">
        <w:rPr>
          <w:lang w:eastAsia="en-AU"/>
        </w:rPr>
        <w:t xml:space="preserve">Skills shortages hold Australia back. They affect individual and community wellbeing, ambition and achievement, shackle </w:t>
      </w:r>
      <w:r w:rsidR="00600955" w:rsidRPr="00C4084C">
        <w:rPr>
          <w:lang w:eastAsia="en-AU"/>
        </w:rPr>
        <w:t>future</w:t>
      </w:r>
      <w:r w:rsidRPr="00C4084C">
        <w:rPr>
          <w:lang w:eastAsia="en-AU"/>
        </w:rPr>
        <w:t xml:space="preserve"> economic prosperity</w:t>
      </w:r>
      <w:r w:rsidR="00CB2336" w:rsidRPr="00C4084C">
        <w:rPr>
          <w:lang w:eastAsia="en-AU"/>
        </w:rPr>
        <w:t>,</w:t>
      </w:r>
      <w:r w:rsidRPr="00C4084C">
        <w:rPr>
          <w:lang w:eastAsia="en-AU"/>
        </w:rPr>
        <w:t xml:space="preserve"> </w:t>
      </w:r>
      <w:r w:rsidR="00600955" w:rsidRPr="00C4084C">
        <w:rPr>
          <w:lang w:eastAsia="en-AU"/>
        </w:rPr>
        <w:t xml:space="preserve">and lead to </w:t>
      </w:r>
      <w:r w:rsidRPr="00C4084C">
        <w:rPr>
          <w:lang w:eastAsia="en-AU"/>
        </w:rPr>
        <w:t xml:space="preserve">low productivity growth. </w:t>
      </w:r>
      <w:r w:rsidRPr="00C4084C">
        <w:t>Failure to address skills shortages will lead to a failure to capitalise on the nation’s human potential and Australia will fall behind its international peers.</w:t>
      </w:r>
    </w:p>
    <w:p w14:paraId="5BE3B87A" w14:textId="61A250BC" w:rsidR="00601107" w:rsidRPr="00C4084C" w:rsidRDefault="00601107" w:rsidP="005B588A">
      <w:r w:rsidRPr="00C4084C">
        <w:t xml:space="preserve">In 2023, 42% of all occupations </w:t>
      </w:r>
      <w:r w:rsidR="003929E2" w:rsidRPr="00C4084C">
        <w:t>that</w:t>
      </w:r>
      <w:r w:rsidRPr="00C4084C">
        <w:t xml:space="preserve"> generally requir</w:t>
      </w:r>
      <w:r w:rsidR="003929E2" w:rsidRPr="00C4084C">
        <w:t>e</w:t>
      </w:r>
      <w:r w:rsidRPr="00C4084C">
        <w:t xml:space="preserve"> a </w:t>
      </w:r>
      <w:proofErr w:type="gramStart"/>
      <w:r w:rsidRPr="00C4084C">
        <w:t>bachelor</w:t>
      </w:r>
      <w:proofErr w:type="gramEnd"/>
      <w:r w:rsidRPr="00C4084C">
        <w:t xml:space="preserve"> degree or higher qualification were in national shortage, an increase from 35% in 2022 and 19% in 2021.</w:t>
      </w:r>
      <w:r w:rsidRPr="00C4084C">
        <w:rPr>
          <w:vertAlign w:val="superscript"/>
        </w:rPr>
        <w:footnoteReference w:id="77"/>
      </w:r>
      <w:r w:rsidRPr="00C4084C">
        <w:t xml:space="preserve"> </w:t>
      </w:r>
    </w:p>
    <w:p w14:paraId="32A4B296" w14:textId="77777777" w:rsidR="00601107" w:rsidRPr="00C4084C" w:rsidRDefault="00601107" w:rsidP="005B588A">
      <w:r w:rsidRPr="00C4084C">
        <w:t>Over the last 5 years, growth in the care and support workforce – which includes nursing, aged and disability care workers, medicine and allied health – has been 3 times faster than total employment.</w:t>
      </w:r>
      <w:r w:rsidRPr="00C4084C">
        <w:rPr>
          <w:rStyle w:val="FootnoteReference"/>
        </w:rPr>
        <w:footnoteReference w:id="78"/>
      </w:r>
      <w:r w:rsidRPr="00C4084C">
        <w:t xml:space="preserve"> Other critical professions including engineering, dentistry and veterinary science are experiencing significant skills shortages nationally, many of which are particularly acute in regional and remote communities.</w:t>
      </w:r>
      <w:r w:rsidRPr="00C4084C">
        <w:rPr>
          <w:vertAlign w:val="superscript"/>
        </w:rPr>
        <w:footnoteReference w:id="79"/>
      </w:r>
      <w:r w:rsidRPr="00C4084C">
        <w:t xml:space="preserve"> These persistent shortages expose a historical lack of forward planning relating to jobs and skills.</w:t>
      </w:r>
    </w:p>
    <w:p w14:paraId="7363F975" w14:textId="52E5BB49" w:rsidR="00601107" w:rsidRPr="00C4084C" w:rsidRDefault="00601107" w:rsidP="005B588A">
      <w:r w:rsidRPr="00C4084C">
        <w:t xml:space="preserve">In the future, even more of these jobs will be required. An expanding and ageing population </w:t>
      </w:r>
      <w:r w:rsidR="0050187F" w:rsidRPr="00C4084C">
        <w:t xml:space="preserve">requires </w:t>
      </w:r>
      <w:r w:rsidRPr="00C4084C">
        <w:t>more health professionals including nurses and aged and disability carers. Overall, Health Care and Social Assistance industry employment is projected to grow by 533,400 persons or around 25% to 2033.</w:t>
      </w:r>
      <w:r w:rsidRPr="00C4084C">
        <w:rPr>
          <w:rStyle w:val="FootnoteReference"/>
        </w:rPr>
        <w:footnoteReference w:id="80"/>
      </w:r>
      <w:r w:rsidRPr="00C4084C">
        <w:t xml:space="preserve"> It is expected that Australia will require more than 40,000 additional registered nurses alone </w:t>
      </w:r>
      <w:r w:rsidRPr="00C4084C">
        <w:lastRenderedPageBreak/>
        <w:t>over the period to 2026, a growth rate of 13.9%.</w:t>
      </w:r>
      <w:r w:rsidRPr="00C4084C">
        <w:rPr>
          <w:vertAlign w:val="superscript"/>
        </w:rPr>
        <w:footnoteReference w:id="81"/>
      </w:r>
      <w:r w:rsidRPr="00C4084C">
        <w:t xml:space="preserve"> In the same period, Australia is expected to need an additional 98,600 ICT professionals (including cybersecurity professionals), a growth rate of 26.3%.</w:t>
      </w:r>
      <w:r w:rsidRPr="00C4084C">
        <w:rPr>
          <w:vertAlign w:val="superscript"/>
        </w:rPr>
        <w:footnoteReference w:id="82"/>
      </w:r>
      <w:r w:rsidRPr="00C4084C">
        <w:t xml:space="preserve"> </w:t>
      </w:r>
    </w:p>
    <w:p w14:paraId="5D65FCF5" w14:textId="33E50E46" w:rsidR="00601107" w:rsidRPr="00C4084C" w:rsidRDefault="00601107" w:rsidP="005B588A">
      <w:r w:rsidRPr="00C4084C">
        <w:t xml:space="preserve">The infrastructure, </w:t>
      </w:r>
      <w:r w:rsidR="2AFDC71F" w:rsidRPr="00C4084C">
        <w:t>energy,</w:t>
      </w:r>
      <w:r w:rsidRPr="00C4084C">
        <w:t xml:space="preserve"> </w:t>
      </w:r>
      <w:proofErr w:type="gramStart"/>
      <w:r w:rsidRPr="00C4084C">
        <w:t>housing</w:t>
      </w:r>
      <w:proofErr w:type="gramEnd"/>
      <w:r w:rsidRPr="00C4084C">
        <w:t xml:space="preserve"> and advanced manufacturing </w:t>
      </w:r>
      <w:r w:rsidR="11818A19" w:rsidRPr="00C4084C">
        <w:t xml:space="preserve">sectors </w:t>
      </w:r>
      <w:r w:rsidRPr="00C4084C">
        <w:t xml:space="preserve">required to support a larger population will also lead to increased demand for engineers and planning professionals. Likewise, areas of national priority like clean energy, critical technology, </w:t>
      </w:r>
      <w:proofErr w:type="gramStart"/>
      <w:r w:rsidRPr="00C4084C">
        <w:t>minerals</w:t>
      </w:r>
      <w:proofErr w:type="gramEnd"/>
      <w:r w:rsidRPr="00C4084C">
        <w:t xml:space="preserve"> and defence will need more skilled professionals.</w:t>
      </w:r>
      <w:r w:rsidRPr="00C4084C">
        <w:rPr>
          <w:vertAlign w:val="superscript"/>
        </w:rPr>
        <w:footnoteReference w:id="83"/>
      </w:r>
      <w:r w:rsidRPr="00C4084C">
        <w:t xml:space="preserve"> </w:t>
      </w:r>
    </w:p>
    <w:p w14:paraId="3C0D6696" w14:textId="77777777" w:rsidR="00E33FC3" w:rsidRPr="00C4084C" w:rsidRDefault="00E33FC3" w:rsidP="007B0775">
      <w:pPr>
        <w:pStyle w:val="Heading5"/>
      </w:pPr>
      <w:bookmarkStart w:id="123" w:name="_Toc152314506"/>
      <w:r w:rsidRPr="00C4084C">
        <w:t>Emerging technologies and the digital environment</w:t>
      </w:r>
      <w:bookmarkEnd w:id="64"/>
      <w:bookmarkEnd w:id="65"/>
      <w:bookmarkEnd w:id="123"/>
    </w:p>
    <w:p w14:paraId="69256A92" w14:textId="777DFB74" w:rsidR="00E33FC3" w:rsidRPr="00C4084C" w:rsidRDefault="00E33FC3" w:rsidP="005B588A">
      <w:r w:rsidRPr="00C4084C">
        <w:t xml:space="preserve">Globally, the invention and widespread adoption of digital technologies has revolutionised how knowledge and information are created, </w:t>
      </w:r>
      <w:proofErr w:type="gramStart"/>
      <w:r w:rsidRPr="00C4084C">
        <w:t>stored</w:t>
      </w:r>
      <w:proofErr w:type="gramEnd"/>
      <w:r w:rsidRPr="00C4084C">
        <w:t xml:space="preserve"> and accessed. </w:t>
      </w:r>
    </w:p>
    <w:p w14:paraId="5B765A53" w14:textId="634BBB5C" w:rsidR="00E33FC3" w:rsidRPr="00C4084C" w:rsidRDefault="00E33FC3" w:rsidP="005B588A">
      <w:r w:rsidRPr="00C4084C">
        <w:t xml:space="preserve">New knowledge and technologies create new demands and possibilities for all higher education functions. They enable Australian higher education providers to solve complex and wicked problems, make ground-breaking discoveries, extend engagement and connections with community, adopt innovative learning and teaching practices, and </w:t>
      </w:r>
      <w:r w:rsidR="0CA52614" w:rsidRPr="00C4084C">
        <w:t xml:space="preserve">allow </w:t>
      </w:r>
      <w:r w:rsidRPr="00C4084C">
        <w:t xml:space="preserve">the research workforce to </w:t>
      </w:r>
      <w:r w:rsidR="0383798B" w:rsidRPr="00C4084C">
        <w:t xml:space="preserve">stay </w:t>
      </w:r>
      <w:r w:rsidRPr="00C4084C">
        <w:t>at the forefront of global breakthroughs.</w:t>
      </w:r>
    </w:p>
    <w:p w14:paraId="66740295" w14:textId="189CBE07" w:rsidR="00E33FC3" w:rsidRPr="00C4084C" w:rsidRDefault="00C03271" w:rsidP="005B588A">
      <w:r w:rsidRPr="00C4084C">
        <w:t>However</w:t>
      </w:r>
      <w:r w:rsidR="00E33FC3" w:rsidRPr="00C4084C">
        <w:t xml:space="preserve">, as mentioned above, emerging technologies also call into question the traditional role of universities. Knowledge is no longer just accessed via specific buildings, </w:t>
      </w:r>
      <w:proofErr w:type="gramStart"/>
      <w:r w:rsidR="00E33FC3" w:rsidRPr="00C4084C">
        <w:t>books</w:t>
      </w:r>
      <w:proofErr w:type="gramEnd"/>
      <w:r w:rsidR="00E33FC3" w:rsidRPr="00C4084C">
        <w:t xml:space="preserve"> and journals or through consulting a limited number of experts. It has been so thoroughly democratised that anyone, anywhere, can rapidly access most of the knowledge and information on any subject in minutes or seconds.</w:t>
      </w:r>
    </w:p>
    <w:p w14:paraId="0B940591" w14:textId="77777777" w:rsidR="00E33FC3" w:rsidRPr="00C4084C" w:rsidRDefault="00E33FC3" w:rsidP="00601107">
      <w:pPr>
        <w:pStyle w:val="Heading6"/>
      </w:pPr>
      <w:bookmarkStart w:id="124" w:name="_Toc152314507"/>
      <w:r w:rsidRPr="00C4084C">
        <w:t>Artificial intelligence</w:t>
      </w:r>
      <w:bookmarkEnd w:id="124"/>
    </w:p>
    <w:p w14:paraId="48A653AF" w14:textId="77777777" w:rsidR="00E33FC3" w:rsidRPr="00C4084C" w:rsidRDefault="00E33FC3" w:rsidP="002715F2">
      <w:r w:rsidRPr="00C4084C">
        <w:t>Artificial intelligence (AI) and automated complex systems are developing rapidly and increasingly being integrated into activities across all sectors and parts of the economy. There are many types of AI, both generative and non-generative.</w:t>
      </w:r>
      <w:r w:rsidRPr="00C4084C">
        <w:rPr>
          <w:rStyle w:val="FootnoteReference"/>
        </w:rPr>
        <w:footnoteReference w:id="84"/>
      </w:r>
      <w:r w:rsidRPr="00C4084C">
        <w:t xml:space="preserve"> </w:t>
      </w:r>
    </w:p>
    <w:p w14:paraId="2FE52968" w14:textId="0C44AF04" w:rsidR="00E33FC3" w:rsidRPr="00C4084C" w:rsidRDefault="00E33FC3" w:rsidP="002715F2">
      <w:r w:rsidRPr="00C4084C">
        <w:t>Some of the most discussed impacts of generative AI in universities are for education and students.</w:t>
      </w:r>
      <w:r w:rsidRPr="00C4084C">
        <w:rPr>
          <w:rStyle w:val="FootnoteReference"/>
        </w:rPr>
        <w:footnoteReference w:id="85"/>
      </w:r>
      <w:r w:rsidRPr="00C4084C">
        <w:t xml:space="preserve"> The ability of generative AI programs to produce reasonable quality academic work on any topic challenges traditional approaches to teaching and assessment.</w:t>
      </w:r>
      <w:r w:rsidRPr="00C4084C">
        <w:rPr>
          <w:rStyle w:val="FootnoteReference"/>
        </w:rPr>
        <w:footnoteReference w:id="86"/>
      </w:r>
      <w:r w:rsidRPr="00C4084C">
        <w:t xml:space="preserve"> It is anticipated that these technologies will enhance teaching practices, as well as increase accessibility for people with disability or for those from </w:t>
      </w:r>
      <w:r w:rsidR="00C03271" w:rsidRPr="00C4084C">
        <w:t xml:space="preserve">historically </w:t>
      </w:r>
      <w:r w:rsidR="00D7545F" w:rsidRPr="00C4084C">
        <w:t>under-represented</w:t>
      </w:r>
      <w:r w:rsidR="00C03271" w:rsidRPr="00C4084C">
        <w:t xml:space="preserve"> cohorts</w:t>
      </w:r>
      <w:r w:rsidRPr="00C4084C">
        <w:t>.</w:t>
      </w:r>
      <w:r w:rsidRPr="00C4084C">
        <w:rPr>
          <w:rStyle w:val="FootnoteReference"/>
        </w:rPr>
        <w:footnoteReference w:id="87"/>
      </w:r>
      <w:r w:rsidRPr="00C4084C">
        <w:t xml:space="preserve"> Some commentators believe AI has the potential to replace existing teaching practice – perhaps with teaching that is personalised to an individual’s needs, abilities and interests, completely undermining the need for or relevance of </w:t>
      </w:r>
      <w:r w:rsidRPr="00C4084C">
        <w:lastRenderedPageBreak/>
        <w:t>school and university in-person education.</w:t>
      </w:r>
      <w:r w:rsidRPr="00C4084C">
        <w:rPr>
          <w:rStyle w:val="FootnoteReference"/>
        </w:rPr>
        <w:footnoteReference w:id="88"/>
      </w:r>
      <w:r w:rsidRPr="00C4084C">
        <w:t xml:space="preserve"> Others note the emergence of generative AI will increase the need to focus on critical thinking, socio-emotional intelligence and interpersonal skills, alongside offering the opportunity to provide educators with more time for student engagement and personalised learning.</w:t>
      </w:r>
      <w:r w:rsidRPr="00C4084C">
        <w:rPr>
          <w:rStyle w:val="FootnoteReference"/>
        </w:rPr>
        <w:footnoteReference w:id="89"/>
      </w:r>
      <w:r w:rsidRPr="00C4084C">
        <w:t xml:space="preserve"> </w:t>
      </w:r>
    </w:p>
    <w:p w14:paraId="0572438A" w14:textId="56C34834" w:rsidR="00E33FC3" w:rsidRPr="00C4084C" w:rsidRDefault="00E33FC3" w:rsidP="002715F2">
      <w:r w:rsidRPr="00C4084C">
        <w:t xml:space="preserve">Generative AI will also affect research activities. Emerging research shows that AI can lead to </w:t>
      </w:r>
      <w:r w:rsidR="00AF6B23" w:rsidRPr="00C4084C">
        <w:t xml:space="preserve">large </w:t>
      </w:r>
      <w:r w:rsidRPr="00C4084C">
        <w:t>productivity improvements in knowledge and information work</w:t>
      </w:r>
      <w:r w:rsidR="00226182" w:rsidRPr="00C4084C">
        <w:t xml:space="preserve">, with </w:t>
      </w:r>
      <w:r w:rsidR="00806E7F" w:rsidRPr="00C4084C">
        <w:t>one study identifying</w:t>
      </w:r>
      <w:r w:rsidR="00226182" w:rsidRPr="00C4084C">
        <w:t xml:space="preserve"> </w:t>
      </w:r>
      <w:r w:rsidRPr="00C4084C">
        <w:t>productivity improvement</w:t>
      </w:r>
      <w:r w:rsidR="00226182" w:rsidRPr="00C4084C">
        <w:t>s</w:t>
      </w:r>
      <w:r w:rsidRPr="00C4084C">
        <w:t xml:space="preserve"> of </w:t>
      </w:r>
      <w:r w:rsidR="00226182" w:rsidRPr="00C4084C">
        <w:t xml:space="preserve">up </w:t>
      </w:r>
      <w:r w:rsidR="00B327FE" w:rsidRPr="00C4084C">
        <w:t xml:space="preserve">to </w:t>
      </w:r>
      <w:r w:rsidRPr="00C4084C">
        <w:t>25% combined with quality improvement</w:t>
      </w:r>
      <w:r w:rsidR="00226182" w:rsidRPr="00C4084C">
        <w:t>s</w:t>
      </w:r>
      <w:r w:rsidRPr="00C4084C">
        <w:t xml:space="preserve"> of 40%.</w:t>
      </w:r>
      <w:r w:rsidRPr="00C4084C">
        <w:rPr>
          <w:rStyle w:val="FootnoteReference"/>
        </w:rPr>
        <w:footnoteReference w:id="90"/>
      </w:r>
      <w:r w:rsidRPr="00C4084C">
        <w:t xml:space="preserve"> This potential applies to research productivity and building new forms of research infrastructure, especially if different fields build their own generative AI models. </w:t>
      </w:r>
      <w:r w:rsidR="499C060B" w:rsidRPr="00C4084C">
        <w:t>Australian u</w:t>
      </w:r>
      <w:r w:rsidRPr="00C4084C">
        <w:t xml:space="preserve">niversities have the experience, </w:t>
      </w:r>
      <w:proofErr w:type="gramStart"/>
      <w:r w:rsidRPr="00C4084C">
        <w:t>infrastructure</w:t>
      </w:r>
      <w:proofErr w:type="gramEnd"/>
      <w:r w:rsidRPr="00C4084C">
        <w:t xml:space="preserve"> and expertise to lead in these areas.</w:t>
      </w:r>
      <w:r w:rsidRPr="00C4084C">
        <w:rPr>
          <w:rStyle w:val="FootnoteReference"/>
        </w:rPr>
        <w:footnoteReference w:id="91"/>
      </w:r>
    </w:p>
    <w:p w14:paraId="0B95C6EC" w14:textId="77777777" w:rsidR="00E33FC3" w:rsidRPr="00C4084C" w:rsidRDefault="00E33FC3" w:rsidP="007B0775">
      <w:pPr>
        <w:pStyle w:val="Heading5"/>
      </w:pPr>
      <w:bookmarkStart w:id="125" w:name="_Toc152314508"/>
      <w:bookmarkEnd w:id="66"/>
      <w:bookmarkEnd w:id="67"/>
      <w:bookmarkEnd w:id="68"/>
      <w:r w:rsidRPr="00C4084C">
        <w:t>Economic and industry transformation</w:t>
      </w:r>
      <w:bookmarkEnd w:id="125"/>
    </w:p>
    <w:p w14:paraId="149CE308" w14:textId="77777777" w:rsidR="00E01E4A" w:rsidRPr="00C4084C" w:rsidRDefault="00E01E4A" w:rsidP="002715F2">
      <w:r w:rsidRPr="00C4084C">
        <w:t xml:space="preserve">Australia’s broader tertiary education system must continue to meet the changing needs of industry and contribute to a more innovative, </w:t>
      </w:r>
      <w:proofErr w:type="gramStart"/>
      <w:r w:rsidRPr="00C4084C">
        <w:t>productive</w:t>
      </w:r>
      <w:proofErr w:type="gramEnd"/>
      <w:r w:rsidRPr="00C4084C">
        <w:t xml:space="preserve"> and knowledge-infused economy. As well as addressing existing skills shortages in critical industries such as health and aged care, it must cater for emerging challenges and industries which demand advanced research skills and flexible capabilities in new disciplines. </w:t>
      </w:r>
    </w:p>
    <w:p w14:paraId="0BFD11A5" w14:textId="77777777" w:rsidR="00E33FC3" w:rsidRPr="00C4084C" w:rsidRDefault="00E33FC3" w:rsidP="002715F2">
      <w:r w:rsidRPr="00C4084C">
        <w:t xml:space="preserve">Over the past 40 years, Australia’s economy has transformed and advanced. Australia has become more open to international investment and global trade. It has seen rising participation from women and a shift towards services, away from its traditional reliance on manufacturing and primary production. These changes have led to increased prosperity, higher-paid </w:t>
      </w:r>
      <w:proofErr w:type="gramStart"/>
      <w:r w:rsidRPr="00C4084C">
        <w:t>jobs</w:t>
      </w:r>
      <w:proofErr w:type="gramEnd"/>
      <w:r w:rsidRPr="00C4084C">
        <w:t xml:space="preserve"> and a more accessible, global economy.</w:t>
      </w:r>
      <w:r w:rsidRPr="00C4084C">
        <w:rPr>
          <w:rStyle w:val="FootnoteReference"/>
        </w:rPr>
        <w:footnoteReference w:id="92"/>
      </w:r>
      <w:r w:rsidRPr="00C4084C">
        <w:t xml:space="preserve"> They have also helped Australia become more resilient to major economic crises, including the recent COVID-19 pandemic.</w:t>
      </w:r>
      <w:r w:rsidRPr="00C4084C">
        <w:rPr>
          <w:rStyle w:val="FootnoteReference"/>
        </w:rPr>
        <w:footnoteReference w:id="93"/>
      </w:r>
    </w:p>
    <w:p w14:paraId="069AAC7B" w14:textId="57A04D76" w:rsidR="00E33FC3" w:rsidRPr="00C4084C" w:rsidRDefault="00E33FC3" w:rsidP="002715F2">
      <w:r w:rsidRPr="00C4084C">
        <w:t xml:space="preserve">As Australia’s industry and economic structures have shifted, so too has its </w:t>
      </w:r>
      <w:r w:rsidR="00F368F2" w:rsidRPr="00C4084C">
        <w:t>tertiary</w:t>
      </w:r>
      <w:r w:rsidRPr="00C4084C">
        <w:t xml:space="preserve"> education system. The mix of skills, knowledge and technologies used to develop and deliver products and services required by existing and emerging industries has seen advances in teaching and research – for example, the use of AI</w:t>
      </w:r>
      <w:r w:rsidR="00013403" w:rsidRPr="00C4084C">
        <w:t>,</w:t>
      </w:r>
      <w:r w:rsidRPr="00C4084C">
        <w:t xml:space="preserve"> knowledge repositories and clean energy innovations.</w:t>
      </w:r>
    </w:p>
    <w:p w14:paraId="76D78D5F" w14:textId="58868014" w:rsidR="00E33FC3" w:rsidRPr="00C4084C" w:rsidRDefault="00E33FC3" w:rsidP="002715F2">
      <w:r w:rsidRPr="00C4084C">
        <w:t xml:space="preserve">The recent </w:t>
      </w:r>
      <w:r w:rsidRPr="00C4084C">
        <w:rPr>
          <w:i/>
          <w:iCs/>
        </w:rPr>
        <w:t>Intergenerational Report 2023</w:t>
      </w:r>
      <w:r w:rsidRPr="00C4084C">
        <w:t xml:space="preserve"> considers major global and domestic forces that will further influence and shape the Australian economy over the next 40 years, including population ageing, information and technological transformation, climate change and the net zero </w:t>
      </w:r>
      <w:r w:rsidR="00F368F2" w:rsidRPr="00C4084C">
        <w:t xml:space="preserve">emissions </w:t>
      </w:r>
      <w:r w:rsidRPr="00C4084C">
        <w:t>transformation, rising demand for care and support services, and geopolitical risk and fragmentation.</w:t>
      </w:r>
      <w:r w:rsidRPr="00C4084C">
        <w:rPr>
          <w:vertAlign w:val="superscript"/>
        </w:rPr>
        <w:footnoteReference w:id="94"/>
      </w:r>
      <w:r w:rsidRPr="00C4084C">
        <w:t xml:space="preserve"> </w:t>
      </w:r>
    </w:p>
    <w:p w14:paraId="24DE58B5" w14:textId="77777777" w:rsidR="00E33FC3" w:rsidRPr="00C4084C" w:rsidRDefault="00E33FC3" w:rsidP="007B0775">
      <w:pPr>
        <w:pStyle w:val="Heading5"/>
      </w:pPr>
      <w:bookmarkStart w:id="126" w:name="_Toc152314509"/>
      <w:r w:rsidRPr="00C4084C">
        <w:lastRenderedPageBreak/>
        <w:t>National resilience and sustainability</w:t>
      </w:r>
      <w:bookmarkEnd w:id="69"/>
      <w:bookmarkEnd w:id="126"/>
    </w:p>
    <w:p w14:paraId="0F310428" w14:textId="3BC881DB" w:rsidR="00E01E4A" w:rsidRPr="00C4084C" w:rsidRDefault="00F368F2" w:rsidP="002715F2">
      <w:r w:rsidRPr="00C4084C">
        <w:t>Tertiary</w:t>
      </w:r>
      <w:r w:rsidR="00E01E4A" w:rsidRPr="00C4084C">
        <w:t xml:space="preserve"> education has a critical role in underpinning national capacity and capability to adapt and respond effectively, through the production of research, new </w:t>
      </w:r>
      <w:proofErr w:type="gramStart"/>
      <w:r w:rsidR="00E01E4A" w:rsidRPr="00C4084C">
        <w:t>knowledge</w:t>
      </w:r>
      <w:proofErr w:type="gramEnd"/>
      <w:r w:rsidR="00E01E4A" w:rsidRPr="00C4084C">
        <w:t xml:space="preserve"> and innovation to develop sustainable and resilient solutions (which could also be exported) and the provision of sufficient and relevant skills across the workforce.</w:t>
      </w:r>
    </w:p>
    <w:p w14:paraId="00FDECBA" w14:textId="6AECB698" w:rsidR="00E33FC3" w:rsidRPr="00C4084C" w:rsidRDefault="00E33FC3" w:rsidP="002715F2">
      <w:r w:rsidRPr="00C4084C">
        <w:t xml:space="preserve">Australia has a varied climate and so experiences a variety of more extreme weather phenomena and hazards, such as bushfire, flood, severe storms, </w:t>
      </w:r>
      <w:proofErr w:type="gramStart"/>
      <w:r w:rsidRPr="00C4084C">
        <w:t>drought</w:t>
      </w:r>
      <w:proofErr w:type="gramEnd"/>
      <w:r w:rsidRPr="00C4084C">
        <w:t xml:space="preserve"> and heatwaves. Australia is also vulnerable to geological-driven hazards including earthquakes and tsunami, and biosecurity threats such as COVID-19 and Hendra virus. </w:t>
      </w:r>
    </w:p>
    <w:p w14:paraId="286F4E4C" w14:textId="1134CC8B" w:rsidR="00E33FC3" w:rsidRPr="00C4084C" w:rsidRDefault="00E33FC3" w:rsidP="002715F2">
      <w:r w:rsidRPr="00C4084C">
        <w:t xml:space="preserve">Recent, successive natural and health disasters have had a compounding effect on almost every aspect of Australian society and the economy, including </w:t>
      </w:r>
      <w:r w:rsidR="00EE2104" w:rsidRPr="00C4084C">
        <w:t>tertiary</w:t>
      </w:r>
      <w:r w:rsidRPr="00C4084C">
        <w:t xml:space="preserve"> education operations themselves. Extreme fire and flood can affect </w:t>
      </w:r>
      <w:r w:rsidR="00F368F2" w:rsidRPr="00C4084C">
        <w:t>campuses</w:t>
      </w:r>
      <w:r w:rsidRPr="00C4084C">
        <w:t>, necessitating rebuilding or relocation.</w:t>
      </w:r>
      <w:r w:rsidRPr="00C4084C">
        <w:rPr>
          <w:rStyle w:val="FootnoteReference"/>
        </w:rPr>
        <w:footnoteReference w:id="95"/>
      </w:r>
      <w:r w:rsidRPr="00C4084C">
        <w:t xml:space="preserve"> The COVID-19 pandemic shut down universities’ physical spaces leading to an expansion of online learning. </w:t>
      </w:r>
    </w:p>
    <w:p w14:paraId="511B9253" w14:textId="39BEB6D6" w:rsidR="00E33FC3" w:rsidRPr="00C4084C" w:rsidRDefault="00E33FC3" w:rsidP="002715F2">
      <w:r w:rsidRPr="00C4084C">
        <w:t>Responding and adapting to climate change and other threats is a multifaceted challenge which will shape Australia’s ability to maintain economic and social progress.</w:t>
      </w:r>
    </w:p>
    <w:p w14:paraId="2DBD40FF" w14:textId="77777777" w:rsidR="00E33FC3" w:rsidRPr="00C4084C" w:rsidRDefault="00E33FC3" w:rsidP="007B0775">
      <w:pPr>
        <w:pStyle w:val="Heading5"/>
      </w:pPr>
      <w:bookmarkStart w:id="127" w:name="_Toc152314510"/>
      <w:r w:rsidRPr="00C4084C">
        <w:t xml:space="preserve">Global and regional security, </w:t>
      </w:r>
      <w:proofErr w:type="gramStart"/>
      <w:r w:rsidRPr="00C4084C">
        <w:t>engagement</w:t>
      </w:r>
      <w:proofErr w:type="gramEnd"/>
      <w:r w:rsidRPr="00C4084C">
        <w:t xml:space="preserve"> and competitiveness</w:t>
      </w:r>
      <w:bookmarkEnd w:id="127"/>
    </w:p>
    <w:p w14:paraId="29AED545" w14:textId="77777777" w:rsidR="00E01E4A" w:rsidRPr="00C4084C" w:rsidRDefault="00E01E4A" w:rsidP="002715F2">
      <w:r w:rsidRPr="00C4084C">
        <w:t xml:space="preserve">Higher education is a fundamental contributor to sovereign capability through the development of advanced expertise and critical technologies, and the encouragement of strong cultures of scholarship and critical enquiry. </w:t>
      </w:r>
    </w:p>
    <w:p w14:paraId="6E03A21E" w14:textId="70E2CFFC" w:rsidR="00E33FC3" w:rsidRPr="00C4084C" w:rsidRDefault="00E33FC3" w:rsidP="002715F2">
      <w:r w:rsidRPr="00C4084C">
        <w:t xml:space="preserve">Global economic, </w:t>
      </w:r>
      <w:proofErr w:type="gramStart"/>
      <w:r w:rsidRPr="00C4084C">
        <w:t>geopolitical</w:t>
      </w:r>
      <w:proofErr w:type="gramEnd"/>
      <w:r w:rsidRPr="00C4084C">
        <w:t xml:space="preserve"> and social structures are also continuously and rapidly evolving. After a period of relative geopolitical and strategic stability, it is expected that geopolitical tensions and rivalries will continue and magnify over the next decades.</w:t>
      </w:r>
      <w:r w:rsidR="00E01E4A" w:rsidRPr="00C4084C">
        <w:t xml:space="preserve"> </w:t>
      </w:r>
      <w:r w:rsidRPr="00C4084C">
        <w:t xml:space="preserve">Australia is constantly responding to a complex array of national security threats, including foreign interference, unauthorised surveillance and cyberattacks. </w:t>
      </w:r>
    </w:p>
    <w:p w14:paraId="78F5F46F" w14:textId="1AA75B31" w:rsidR="00E01E4A" w:rsidRPr="00C4084C" w:rsidRDefault="00E33FC3" w:rsidP="002715F2">
      <w:r w:rsidRPr="00C4084C">
        <w:t xml:space="preserve">International education was Australia’s </w:t>
      </w:r>
      <w:r w:rsidR="003F6DAB" w:rsidRPr="00C4084C">
        <w:t xml:space="preserve">fourth </w:t>
      </w:r>
      <w:r w:rsidRPr="00C4084C">
        <w:t>largest export in 202</w:t>
      </w:r>
      <w:r w:rsidR="003F6DAB" w:rsidRPr="00C4084C">
        <w:t>2</w:t>
      </w:r>
      <w:r w:rsidRPr="00C4084C">
        <w:t>,</w:t>
      </w:r>
      <w:r w:rsidRPr="00C4084C">
        <w:rPr>
          <w:vertAlign w:val="superscript"/>
        </w:rPr>
        <w:footnoteReference w:id="96"/>
      </w:r>
      <w:r w:rsidRPr="00C4084C">
        <w:t xml:space="preserve"> bringing hundreds of thousands of international students to study with Australian providers.</w:t>
      </w:r>
      <w:r w:rsidRPr="00C4084C">
        <w:rPr>
          <w:vertAlign w:val="superscript"/>
        </w:rPr>
        <w:footnoteReference w:id="97"/>
      </w:r>
      <w:r w:rsidRPr="00C4084C">
        <w:t xml:space="preserve"> Many of these students, studying both onshore and offshore, came from China, India, Nepal, </w:t>
      </w:r>
      <w:proofErr w:type="gramStart"/>
      <w:r w:rsidRPr="00C4084C">
        <w:t>Vietnam</w:t>
      </w:r>
      <w:proofErr w:type="gramEnd"/>
      <w:r w:rsidRPr="00C4084C">
        <w:t xml:space="preserve"> and Indonesia,</w:t>
      </w:r>
      <w:r w:rsidRPr="00C4084C">
        <w:rPr>
          <w:rStyle w:val="FootnoteReference"/>
        </w:rPr>
        <w:footnoteReference w:id="98"/>
      </w:r>
      <w:r w:rsidRPr="00C4084C">
        <w:t xml:space="preserve"> and Asia continues to dominate Australia</w:t>
      </w:r>
      <w:r w:rsidR="00025E3A" w:rsidRPr="00C4084C">
        <w:t>’</w:t>
      </w:r>
      <w:r w:rsidRPr="00C4084C">
        <w:t>s two-way trade flows with nearly two-thirds – or 65.2% – of the market.</w:t>
      </w:r>
      <w:r w:rsidRPr="00C4084C">
        <w:rPr>
          <w:rStyle w:val="FootnoteReference"/>
        </w:rPr>
        <w:footnoteReference w:id="99"/>
      </w:r>
    </w:p>
    <w:p w14:paraId="747B260E" w14:textId="24153B21" w:rsidR="00E33FC3" w:rsidRPr="00C4084C" w:rsidRDefault="00E33FC3" w:rsidP="002715F2">
      <w:pPr>
        <w:rPr>
          <w:rStyle w:val="FootnoteReference"/>
        </w:rPr>
      </w:pPr>
      <w:r w:rsidRPr="00C4084C">
        <w:lastRenderedPageBreak/>
        <w:t>While China remains Australia’s major two-way trading partner and single largest source of international students,</w:t>
      </w:r>
      <w:r w:rsidR="0024296B" w:rsidRPr="00C4084C">
        <w:t xml:space="preserve"> </w:t>
      </w:r>
      <w:r w:rsidRPr="00C4084C">
        <w:t xml:space="preserve">India is now the world’s most populous nation with the largest youth population in the world. This presents </w:t>
      </w:r>
      <w:r w:rsidR="00EE2104" w:rsidRPr="00C4084C">
        <w:t xml:space="preserve">considerable </w:t>
      </w:r>
      <w:r w:rsidRPr="00C4084C">
        <w:t>opportunities for Australia. There is also</w:t>
      </w:r>
      <w:r w:rsidRPr="00C4084C" w:rsidDel="00E33FC3">
        <w:t xml:space="preserve"> </w:t>
      </w:r>
      <w:r w:rsidR="047453DF" w:rsidRPr="00C4084C">
        <w:t>si</w:t>
      </w:r>
      <w:r w:rsidR="00C85E2F" w:rsidRPr="00C4084C">
        <w:t>g</w:t>
      </w:r>
      <w:r w:rsidR="047453DF" w:rsidRPr="00C4084C">
        <w:t>nificant</w:t>
      </w:r>
      <w:r w:rsidRPr="00C4084C">
        <w:t xml:space="preserve"> competition for international students.</w:t>
      </w:r>
      <w:r w:rsidRPr="00C4084C">
        <w:rPr>
          <w:rStyle w:val="FootnoteReference"/>
        </w:rPr>
        <w:footnoteReference w:id="100"/>
      </w:r>
      <w:r w:rsidR="009A00DA" w:rsidRPr="00C4084C">
        <w:t xml:space="preserve"> </w:t>
      </w:r>
      <w:r w:rsidRPr="00C4084C">
        <w:t xml:space="preserve">Expansion of </w:t>
      </w:r>
      <w:r w:rsidR="00EE2104" w:rsidRPr="00C4084C">
        <w:t>tertiary</w:t>
      </w:r>
      <w:r w:rsidRPr="00C4084C">
        <w:t xml:space="preserve"> education in the </w:t>
      </w:r>
      <w:r w:rsidR="00C05B61" w:rsidRPr="00C4084C">
        <w:t>Asia</w:t>
      </w:r>
      <w:r w:rsidRPr="00C4084C">
        <w:t>-Pacific has been rapid, keeping pace with growth in the region’s economies. For example, 7 Chinese universities are now in the global top 100, compared with 2 in 2018.</w:t>
      </w:r>
      <w:r w:rsidRPr="00C4084C">
        <w:rPr>
          <w:vertAlign w:val="superscript"/>
        </w:rPr>
        <w:footnoteReference w:id="101"/>
      </w:r>
      <w:r w:rsidRPr="00C4084C">
        <w:t xml:space="preserve"> </w:t>
      </w:r>
    </w:p>
    <w:p w14:paraId="336FDA07" w14:textId="13B35B9E" w:rsidR="00E33FC3" w:rsidRPr="00C4084C" w:rsidRDefault="00EE2104" w:rsidP="002715F2">
      <w:r w:rsidRPr="00C4084C">
        <w:t>International education</w:t>
      </w:r>
      <w:r w:rsidR="00E33FC3" w:rsidRPr="00C4084C">
        <w:t xml:space="preserve"> also presents opportunities for greater collaboration and productive, new partnerships. The Review notes the Australian Government is deepening engagement with </w:t>
      </w:r>
      <w:r w:rsidR="00833985" w:rsidRPr="00C4084C">
        <w:t>South</w:t>
      </w:r>
      <w:r w:rsidRPr="00C4084C">
        <w:t>e</w:t>
      </w:r>
      <w:r w:rsidR="00833985" w:rsidRPr="00C4084C">
        <w:t xml:space="preserve">ast Asia and </w:t>
      </w:r>
      <w:r w:rsidR="00E33FC3" w:rsidRPr="00C4084C">
        <w:t xml:space="preserve">the Pacific (through multilateral forums including the Group of Twenty (G20), Asia-Pacific Economic Cooperation (APEC), Association of Southeast Asian Nations (ASEAN), East Asia Summit (EAS) and the United Nations Educational, Scientific and Cultural </w:t>
      </w:r>
      <w:r w:rsidR="00B327FE" w:rsidRPr="00C4084C">
        <w:t xml:space="preserve">Organization </w:t>
      </w:r>
      <w:r w:rsidR="00E33FC3" w:rsidRPr="00C4084C">
        <w:t>(UNESCO)</w:t>
      </w:r>
      <w:r w:rsidR="1B2D4897" w:rsidRPr="00C4084C">
        <w:t>)</w:t>
      </w:r>
      <w:r w:rsidR="00E33FC3" w:rsidRPr="00C4084C">
        <w:t xml:space="preserve">, and has commissioned a Southeast Asia Economic Strategy to 2040 with education as a key focus. </w:t>
      </w:r>
    </w:p>
    <w:p w14:paraId="650C0A98" w14:textId="6C1440D1" w:rsidR="00E33FC3" w:rsidRPr="00C4084C" w:rsidRDefault="00E33FC3" w:rsidP="002715F2">
      <w:r w:rsidRPr="00C4084C">
        <w:t>As Australia is a key partner in the Asi</w:t>
      </w:r>
      <w:r w:rsidR="00CC75B6" w:rsidRPr="00C4084C">
        <w:t>a</w:t>
      </w:r>
      <w:r w:rsidR="00CC75B6" w:rsidRPr="00C4084C" w:rsidDel="00CC75B6">
        <w:t xml:space="preserve"> </w:t>
      </w:r>
      <w:r w:rsidRPr="00C4084C">
        <w:t xml:space="preserve">Pacific, engagement through </w:t>
      </w:r>
      <w:r w:rsidR="00042682" w:rsidRPr="00C4084C">
        <w:t>tertiary</w:t>
      </w:r>
      <w:r w:rsidRPr="00C4084C">
        <w:t xml:space="preserve"> education can help build Australia’s reputation as a world-class destination for high-quality education and research, as an attractive place for business and investment</w:t>
      </w:r>
      <w:r w:rsidR="00833985" w:rsidRPr="00C4084C">
        <w:t>,</w:t>
      </w:r>
      <w:r w:rsidRPr="00C4084C">
        <w:t xml:space="preserve"> and as a significant contributor to global peace and sustainable prosperity.</w:t>
      </w:r>
    </w:p>
    <w:p w14:paraId="33382FE0" w14:textId="77777777" w:rsidR="00C354A1" w:rsidRDefault="00601107">
      <w:pPr>
        <w:spacing w:after="160"/>
        <w:sectPr w:rsidR="00C354A1" w:rsidSect="00134415">
          <w:headerReference w:type="even" r:id="rId37"/>
          <w:headerReference w:type="first" r:id="rId38"/>
          <w:pgSz w:w="11906" w:h="16838"/>
          <w:pgMar w:top="1440" w:right="1440" w:bottom="1440" w:left="1440" w:header="708" w:footer="794" w:gutter="0"/>
          <w:cols w:space="708"/>
          <w:titlePg/>
          <w:docGrid w:linePitch="360"/>
        </w:sectPr>
      </w:pPr>
      <w:r w:rsidRPr="00C4084C">
        <w:t xml:space="preserve">Australia is well positioned to drive innovation and collaboration with its </w:t>
      </w:r>
      <w:r w:rsidR="00B23920" w:rsidRPr="00C4084C">
        <w:t>Asia</w:t>
      </w:r>
      <w:r w:rsidRPr="00C4084C">
        <w:t>-Pacific neighbours without compromising national security or Australia’s technological advantages in critical defence technologies. Similarly, national research strengths provide a means to contribute to strategic partnerships and address regional priorities, such as readiness for climate extremes, food security in a changing climate, being prepared for new disease outbreaks, and developing institutional resilience.</w:t>
      </w:r>
      <w:bookmarkStart w:id="128" w:name="_Ref151932669"/>
      <w:bookmarkStart w:id="129" w:name="_Toc1577224819"/>
      <w:bookmarkStart w:id="130" w:name="_Toc153483007"/>
      <w:bookmarkStart w:id="131" w:name="_Ref153794263"/>
    </w:p>
    <w:p w14:paraId="532B6575" w14:textId="3A7927D8" w:rsidR="005B3445" w:rsidRPr="00C4084C" w:rsidRDefault="005B3445" w:rsidP="006D19F8">
      <w:pPr>
        <w:pStyle w:val="Heading2"/>
      </w:pPr>
      <w:bookmarkStart w:id="132" w:name="_Toc159500917"/>
      <w:r w:rsidRPr="00C4084C">
        <w:lastRenderedPageBreak/>
        <w:t>Meeting our current and future skills needs</w:t>
      </w:r>
      <w:bookmarkEnd w:id="128"/>
      <w:bookmarkEnd w:id="129"/>
      <w:bookmarkEnd w:id="130"/>
      <w:bookmarkEnd w:id="131"/>
      <w:bookmarkEnd w:id="132"/>
    </w:p>
    <w:p w14:paraId="635E12E5" w14:textId="1470D53B" w:rsidR="005B3445" w:rsidRPr="00C4084C" w:rsidRDefault="00E5138B" w:rsidP="00745009">
      <w:pPr>
        <w:pStyle w:val="Heading3"/>
      </w:pPr>
      <w:bookmarkStart w:id="133" w:name="_Toc153483008"/>
      <w:bookmarkStart w:id="134" w:name="_Toc159500918"/>
      <w:r w:rsidRPr="00C4084C">
        <w:t>Australia’s skills</w:t>
      </w:r>
      <w:r w:rsidR="00DF701F" w:rsidRPr="00C4084C">
        <w:t xml:space="preserve"> challenge</w:t>
      </w:r>
      <w:bookmarkEnd w:id="133"/>
      <w:bookmarkEnd w:id="134"/>
    </w:p>
    <w:p w14:paraId="2B07BB2D" w14:textId="2444FA72" w:rsidR="005B3445" w:rsidRPr="00C4084C" w:rsidRDefault="004F4F3D" w:rsidP="00EC748D">
      <w:bookmarkStart w:id="135" w:name="_Toc148091316"/>
      <w:r w:rsidRPr="00C4084C">
        <w:t>Labour market d</w:t>
      </w:r>
      <w:r w:rsidR="005B3445" w:rsidRPr="00C4084C">
        <w:t>emand for tertiary educat</w:t>
      </w:r>
      <w:r w:rsidR="006F3541" w:rsidRPr="00C4084C">
        <w:t>ed workers</w:t>
      </w:r>
      <w:r w:rsidR="005B3445" w:rsidRPr="00C4084C">
        <w:t xml:space="preserve"> is growing and will continue to grow substantially. This means more students will require tertiary qualifications from the higher education and/or vocational education and training (VET) system. Demographer Bernard Salt has described the </w:t>
      </w:r>
      <w:r w:rsidR="00493FD2" w:rsidRPr="00C4084C">
        <w:t>“</w:t>
      </w:r>
      <w:r w:rsidR="005B3445" w:rsidRPr="00C4084C">
        <w:t>great skills shift</w:t>
      </w:r>
      <w:r w:rsidR="00493FD2" w:rsidRPr="00C4084C">
        <w:t>”</w:t>
      </w:r>
      <w:r w:rsidR="005B3445" w:rsidRPr="00C4084C">
        <w:rPr>
          <w:rStyle w:val="FootnoteReference"/>
        </w:rPr>
        <w:footnoteReference w:id="102"/>
      </w:r>
      <w:r w:rsidR="005B3445" w:rsidRPr="00C4084C">
        <w:t xml:space="preserve"> evident in the acceleration in demand for more highly skilled workers in the current labour market</w:t>
      </w:r>
      <w:r w:rsidR="00CB5225" w:rsidRPr="00C4084C">
        <w:t>.</w:t>
      </w:r>
      <w:r w:rsidR="005B3445" w:rsidRPr="00C4084C">
        <w:t xml:space="preserve"> </w:t>
      </w:r>
      <w:proofErr w:type="gramStart"/>
      <w:r w:rsidR="00CB5225" w:rsidRPr="00C4084C">
        <w:t>I</w:t>
      </w:r>
      <w:r w:rsidR="005B3445" w:rsidRPr="00C4084C">
        <w:t>t is clear that Australia</w:t>
      </w:r>
      <w:proofErr w:type="gramEnd"/>
      <w:r w:rsidR="005B3445" w:rsidRPr="00C4084C">
        <w:t xml:space="preserve"> must educate many more people to VET </w:t>
      </w:r>
      <w:r w:rsidR="00D77612" w:rsidRPr="00C4084C">
        <w:t xml:space="preserve">qualification </w:t>
      </w:r>
      <w:r w:rsidR="005B3445" w:rsidRPr="00C4084C">
        <w:t>and degree level.</w:t>
      </w:r>
      <w:r w:rsidR="00AC1957" w:rsidRPr="00C4084C">
        <w:t xml:space="preserve"> </w:t>
      </w:r>
    </w:p>
    <w:p w14:paraId="62A47AF9" w14:textId="4DC8E96A" w:rsidR="005B3445" w:rsidRPr="00C4084C" w:rsidRDefault="005B3445" w:rsidP="00EC748D">
      <w:r w:rsidRPr="00C4084C">
        <w:t xml:space="preserve">Jobs and Skills Australia (JSA) anticipates that over the next decade more than 90% of new jobs will require post-school qualifications. This includes around 50% requiring </w:t>
      </w:r>
      <w:proofErr w:type="gramStart"/>
      <w:r w:rsidRPr="00C4084C">
        <w:t>bachelor</w:t>
      </w:r>
      <w:proofErr w:type="gramEnd"/>
      <w:r w:rsidRPr="00C4084C">
        <w:t xml:space="preserve"> degree or higher qualifications and 44% requiring VET qualifications.</w:t>
      </w:r>
      <w:r w:rsidRPr="00C4084C">
        <w:rPr>
          <w:rStyle w:val="FootnoteReference"/>
        </w:rPr>
        <w:footnoteReference w:id="103"/>
      </w:r>
      <w:r w:rsidRPr="00C4084C">
        <w:t xml:space="preserve"> Further, evidence prepared for the Review by Oxford Economics </w:t>
      </w:r>
      <w:r w:rsidR="00CA3A0C" w:rsidRPr="00C4084C">
        <w:t>Australia</w:t>
      </w:r>
      <w:r w:rsidRPr="00C4084C">
        <w:t xml:space="preserve"> suggests that 90% of 25 to 34-year-olds will require a tertiary education</w:t>
      </w:r>
      <w:r w:rsidR="00001D35" w:rsidRPr="00C4084C">
        <w:t xml:space="preserve"> by 2050</w:t>
      </w:r>
      <w:r w:rsidRPr="00C4084C">
        <w:t>.</w:t>
      </w:r>
      <w:r w:rsidRPr="00C4084C">
        <w:rPr>
          <w:rStyle w:val="FootnoteReference"/>
        </w:rPr>
        <w:footnoteReference w:id="104"/>
      </w:r>
      <w:r w:rsidRPr="00C4084C">
        <w:t xml:space="preserve"> This will necessitate a significant expansion of post-secondary education in Australia</w:t>
      </w:r>
      <w:r w:rsidR="00001D35" w:rsidRPr="00C4084C">
        <w:t xml:space="preserve">. </w:t>
      </w:r>
      <w:r w:rsidR="00B2679C" w:rsidRPr="00C4084C">
        <w:t>M</w:t>
      </w:r>
      <w:r w:rsidRPr="00C4084C">
        <w:t>ost young people</w:t>
      </w:r>
      <w:r w:rsidR="00B2679C" w:rsidRPr="00C4084C">
        <w:t xml:space="preserve"> will need</w:t>
      </w:r>
      <w:r w:rsidRPr="00C4084C">
        <w:t xml:space="preserve"> to obtain a further qualification after school </w:t>
      </w:r>
      <w:r w:rsidR="00322080" w:rsidRPr="00C4084C">
        <w:t>and</w:t>
      </w:r>
      <w:r w:rsidRPr="00C4084C" w:rsidDel="00322080">
        <w:t xml:space="preserve"> </w:t>
      </w:r>
      <w:r w:rsidRPr="00C4084C">
        <w:t>more people</w:t>
      </w:r>
      <w:r w:rsidR="00322080" w:rsidRPr="00C4084C">
        <w:t xml:space="preserve"> will need</w:t>
      </w:r>
      <w:r w:rsidRPr="00C4084C">
        <w:t xml:space="preserve"> to undertake additional learning throughout their working lives. </w:t>
      </w:r>
    </w:p>
    <w:p w14:paraId="5B0E8330" w14:textId="570582F4" w:rsidR="005B3445" w:rsidRPr="00C4084C" w:rsidRDefault="005B3445" w:rsidP="00EC748D">
      <w:pPr>
        <w:rPr>
          <w:i/>
        </w:rPr>
      </w:pPr>
      <w:r w:rsidRPr="00C4084C">
        <w:t>The scale of change has implications for the entire tertiary education sector. Achieving this level of growth will be challenging, not least because current evidence suggests that</w:t>
      </w:r>
      <w:r w:rsidR="004F4F3D" w:rsidRPr="00C4084C">
        <w:t xml:space="preserve"> student </w:t>
      </w:r>
      <w:r w:rsidR="00745DB5" w:rsidRPr="00C4084C">
        <w:t>demand</w:t>
      </w:r>
      <w:r w:rsidRPr="00C4084C">
        <w:t xml:space="preserve"> for tertiary education has fallen recently, especially among groups historically </w:t>
      </w:r>
      <w:r w:rsidR="00D7545F" w:rsidRPr="00C4084C">
        <w:t>under-represented</w:t>
      </w:r>
      <w:r w:rsidRPr="00C4084C">
        <w:t xml:space="preserve"> in higher education.</w:t>
      </w:r>
      <w:r w:rsidR="00F15DF6" w:rsidRPr="00C4084C">
        <w:rPr>
          <w:rStyle w:val="FootnoteReference"/>
        </w:rPr>
        <w:footnoteReference w:id="105"/>
      </w:r>
      <w:r w:rsidRPr="00C4084C">
        <w:t xml:space="preserve"> Australia needs to foster ambitions across </w:t>
      </w:r>
      <w:r w:rsidR="007B3FEB" w:rsidRPr="00C4084C">
        <w:t>all sections of the population</w:t>
      </w:r>
      <w:r w:rsidRPr="00C4084C">
        <w:t xml:space="preserve"> to undertake </w:t>
      </w:r>
      <w:r w:rsidR="00132948" w:rsidRPr="00C4084C">
        <w:t xml:space="preserve">tertiary </w:t>
      </w:r>
      <w:r w:rsidRPr="00C4084C">
        <w:t xml:space="preserve">education, and support those who want to study </w:t>
      </w:r>
      <w:r w:rsidR="00896210" w:rsidRPr="00C4084C">
        <w:t xml:space="preserve">by offering </w:t>
      </w:r>
      <w:r w:rsidRPr="00C4084C">
        <w:t xml:space="preserve">sufficient places, </w:t>
      </w:r>
      <w:proofErr w:type="gramStart"/>
      <w:r w:rsidRPr="00C4084C">
        <w:t>funding</w:t>
      </w:r>
      <w:proofErr w:type="gramEnd"/>
      <w:r w:rsidRPr="00C4084C">
        <w:t xml:space="preserve"> and other supports. This is discussed in detail in </w:t>
      </w:r>
      <w:r w:rsidR="007C7679" w:rsidRPr="00C4084C">
        <w:rPr>
          <w:i/>
        </w:rPr>
        <w:fldChar w:fldCharType="begin"/>
      </w:r>
      <w:r w:rsidR="007C7679" w:rsidRPr="00C4084C">
        <w:instrText xml:space="preserve"> REF _Ref151934425 \r \h </w:instrText>
      </w:r>
      <w:r w:rsidR="00D958BD" w:rsidRPr="00C4084C">
        <w:instrText xml:space="preserve"> \* MERGEFORMAT </w:instrText>
      </w:r>
      <w:r w:rsidR="007C7679" w:rsidRPr="00C4084C">
        <w:rPr>
          <w:i/>
        </w:rPr>
      </w:r>
      <w:r w:rsidR="007C7679" w:rsidRPr="00C4084C">
        <w:rPr>
          <w:i/>
        </w:rPr>
        <w:fldChar w:fldCharType="separate"/>
      </w:r>
      <w:r w:rsidR="00467B4F" w:rsidRPr="00467B4F">
        <w:rPr>
          <w:i/>
        </w:rPr>
        <w:t xml:space="preserve">Chapter 3 – </w:t>
      </w:r>
      <w:r w:rsidR="007C7679" w:rsidRPr="00C4084C">
        <w:rPr>
          <w:i/>
        </w:rPr>
        <w:fldChar w:fldCharType="end"/>
      </w:r>
      <w:r w:rsidR="000133CF" w:rsidRPr="00C4084C">
        <w:rPr>
          <w:i/>
        </w:rPr>
        <w:fldChar w:fldCharType="begin"/>
      </w:r>
      <w:r w:rsidR="000133CF" w:rsidRPr="00C4084C">
        <w:rPr>
          <w:i/>
        </w:rPr>
        <w:instrText xml:space="preserve"> REF _Ref151934425 \h  \* MERGEFORMAT </w:instrText>
      </w:r>
      <w:r w:rsidR="000133CF" w:rsidRPr="00C4084C">
        <w:rPr>
          <w:i/>
        </w:rPr>
      </w:r>
      <w:r w:rsidR="000133CF" w:rsidRPr="00C4084C">
        <w:rPr>
          <w:i/>
        </w:rPr>
        <w:fldChar w:fldCharType="separate"/>
      </w:r>
      <w:r w:rsidR="00467B4F" w:rsidRPr="00467B4F">
        <w:rPr>
          <w:i/>
        </w:rPr>
        <w:t>Expanding opportunity to all</w:t>
      </w:r>
      <w:r w:rsidR="000133CF" w:rsidRPr="00C4084C">
        <w:rPr>
          <w:i/>
        </w:rPr>
        <w:fldChar w:fldCharType="end"/>
      </w:r>
      <w:r w:rsidRPr="00C4084C">
        <w:rPr>
          <w:i/>
        </w:rPr>
        <w:t xml:space="preserve"> </w:t>
      </w:r>
      <w:r w:rsidRPr="00C4084C">
        <w:t xml:space="preserve">and </w:t>
      </w:r>
      <w:r w:rsidR="007C7679" w:rsidRPr="00C4084C">
        <w:rPr>
          <w:i/>
        </w:rPr>
        <w:fldChar w:fldCharType="begin"/>
      </w:r>
      <w:r w:rsidR="007C7679" w:rsidRPr="00C4084C">
        <w:rPr>
          <w:i/>
        </w:rPr>
        <w:instrText xml:space="preserve"> REF _Ref151934381 \r \h </w:instrText>
      </w:r>
      <w:r w:rsidR="00D958BD" w:rsidRPr="00C4084C">
        <w:rPr>
          <w:i/>
        </w:rPr>
        <w:instrText xml:space="preserve"> \* MERGEFORMAT </w:instrText>
      </w:r>
      <w:r w:rsidR="007C7679" w:rsidRPr="00C4084C">
        <w:rPr>
          <w:i/>
        </w:rPr>
      </w:r>
      <w:r w:rsidR="007C7679" w:rsidRPr="00C4084C">
        <w:rPr>
          <w:i/>
        </w:rPr>
        <w:fldChar w:fldCharType="separate"/>
      </w:r>
      <w:r w:rsidR="00467B4F">
        <w:rPr>
          <w:i/>
        </w:rPr>
        <w:t xml:space="preserve">Chapter 8 – </w:t>
      </w:r>
      <w:r w:rsidR="007C7679" w:rsidRPr="00C4084C">
        <w:rPr>
          <w:i/>
        </w:rPr>
        <w:fldChar w:fldCharType="end"/>
      </w:r>
      <w:r w:rsidR="000133CF" w:rsidRPr="00C4084C">
        <w:rPr>
          <w:i/>
        </w:rPr>
        <w:fldChar w:fldCharType="begin"/>
      </w:r>
      <w:r w:rsidR="000133CF" w:rsidRPr="00C4084C">
        <w:rPr>
          <w:i/>
        </w:rPr>
        <w:instrText xml:space="preserve"> REF _Ref152700427 \h  \* MERGEFORMAT </w:instrText>
      </w:r>
      <w:r w:rsidR="000133CF" w:rsidRPr="00C4084C">
        <w:rPr>
          <w:i/>
        </w:rPr>
      </w:r>
      <w:r w:rsidR="000133CF" w:rsidRPr="00C4084C">
        <w:rPr>
          <w:i/>
        </w:rPr>
        <w:fldChar w:fldCharType="separate"/>
      </w:r>
      <w:r w:rsidR="00467B4F" w:rsidRPr="00467B4F">
        <w:rPr>
          <w:i/>
        </w:rPr>
        <w:t>A new funding model to underpin growth and quality</w:t>
      </w:r>
      <w:r w:rsidR="000133CF" w:rsidRPr="00C4084C">
        <w:rPr>
          <w:i/>
        </w:rPr>
        <w:fldChar w:fldCharType="end"/>
      </w:r>
      <w:r w:rsidR="000133CF" w:rsidRPr="00C4084C">
        <w:rPr>
          <w:i/>
        </w:rPr>
        <w:t>.</w:t>
      </w:r>
    </w:p>
    <w:p w14:paraId="56CBB562" w14:textId="6C1637A5" w:rsidR="005B3445" w:rsidRPr="00C4084C" w:rsidRDefault="005B3445" w:rsidP="00EC748D">
      <w:r w:rsidRPr="00C4084C">
        <w:t>In addition to achieving the</w:t>
      </w:r>
      <w:r w:rsidRPr="00C4084C" w:rsidDel="00322080">
        <w:t xml:space="preserve"> </w:t>
      </w:r>
      <w:r w:rsidR="00322080" w:rsidRPr="00C4084C">
        <w:t xml:space="preserve">required </w:t>
      </w:r>
      <w:r w:rsidRPr="00C4084C">
        <w:t xml:space="preserve">growth, we also need to build a </w:t>
      </w:r>
      <w:r w:rsidR="00132948" w:rsidRPr="00C4084C">
        <w:t xml:space="preserve">tertiary education </w:t>
      </w:r>
      <w:r w:rsidRPr="00C4084C">
        <w:t xml:space="preserve">system capable of solving Australia’s skills challenges and delivering the skills employers want. Australia is experiencing serious and sustained skills shortages in critical industries, </w:t>
      </w:r>
      <w:r w:rsidR="00F04EA0" w:rsidRPr="00C4084C">
        <w:t>both</w:t>
      </w:r>
      <w:r w:rsidRPr="00C4084C">
        <w:t xml:space="preserve"> regionally and nationwide. Professions in acute shortage include health and care services, teaching and childcare, ICT, </w:t>
      </w:r>
      <w:proofErr w:type="gramStart"/>
      <w:r w:rsidRPr="00C4084C">
        <w:t>engineering</w:t>
      </w:r>
      <w:proofErr w:type="gramEnd"/>
      <w:r w:rsidRPr="00C4084C">
        <w:t xml:space="preserve"> and construction</w:t>
      </w:r>
      <w:r w:rsidR="00FC4980" w:rsidRPr="00C4084C">
        <w:t>.</w:t>
      </w:r>
      <w:r w:rsidR="00FC4980" w:rsidRPr="00C4084C">
        <w:rPr>
          <w:rStyle w:val="FootnoteReference"/>
        </w:rPr>
        <w:footnoteReference w:id="106"/>
      </w:r>
      <w:r w:rsidR="00FC4980" w:rsidRPr="00C4084C">
        <w:t xml:space="preserve"> T</w:t>
      </w:r>
      <w:r w:rsidRPr="00C4084C">
        <w:t xml:space="preserve">hese professions are predicted to be among </w:t>
      </w:r>
      <w:r w:rsidR="00164301" w:rsidRPr="00C4084C">
        <w:t xml:space="preserve">Australia’s </w:t>
      </w:r>
      <w:r w:rsidRPr="00C4084C">
        <w:t>fastest growing occupations in the future. Action is required now to ensure that these skills shortages do not persist.</w:t>
      </w:r>
      <w:r w:rsidRPr="00C4084C">
        <w:rPr>
          <w:rStyle w:val="FootnoteReference"/>
        </w:rPr>
        <w:footnoteReference w:id="107"/>
      </w:r>
      <w:r w:rsidRPr="00C4084C">
        <w:t xml:space="preserve"> </w:t>
      </w:r>
    </w:p>
    <w:p w14:paraId="5FFA4E7C" w14:textId="5BABFE00" w:rsidR="005B3445" w:rsidRPr="00C4084C" w:rsidRDefault="005B3445" w:rsidP="00EC748D">
      <w:r w:rsidRPr="00C4084C">
        <w:t>We need to build a more adaptive and responsive</w:t>
      </w:r>
      <w:r w:rsidRPr="00C4084C">
        <w:rPr>
          <w:i/>
        </w:rPr>
        <w:t xml:space="preserve"> </w:t>
      </w:r>
      <w:r w:rsidRPr="00C4084C">
        <w:t>tertiary education system that is capable of lifting participation and attainment over time, while responding to increasingly complex, fast-changing economic</w:t>
      </w:r>
      <w:r w:rsidR="00132948" w:rsidRPr="00C4084C">
        <w:t>,</w:t>
      </w:r>
      <w:r w:rsidRPr="00C4084C">
        <w:t xml:space="preserve"> </w:t>
      </w:r>
      <w:proofErr w:type="gramStart"/>
      <w:r w:rsidRPr="00C4084C">
        <w:t>social</w:t>
      </w:r>
      <w:proofErr w:type="gramEnd"/>
      <w:r w:rsidR="00132948" w:rsidRPr="00C4084C">
        <w:t xml:space="preserve"> and environmental</w:t>
      </w:r>
      <w:r w:rsidRPr="00C4084C">
        <w:t xml:space="preserve"> challenges. The system needs to operate on </w:t>
      </w:r>
      <w:r w:rsidR="00D16150" w:rsidRPr="00C4084C">
        <w:t xml:space="preserve">2 </w:t>
      </w:r>
      <w:r w:rsidRPr="00C4084C">
        <w:t>horizons simultaneously: it must quickly leverage resources and meet urgent, targeted skill needs, while also making steady investment in longer-term skills and innovation capability to build and develop durable skills and knowledge.</w:t>
      </w:r>
    </w:p>
    <w:p w14:paraId="20A1DBBE" w14:textId="6CAB59B6" w:rsidR="005B3445" w:rsidRPr="00C4084C" w:rsidRDefault="00EC47BA" w:rsidP="00EC748D">
      <w:r w:rsidRPr="00C4084C">
        <w:t>Presently</w:t>
      </w:r>
      <w:r w:rsidR="005B3445" w:rsidRPr="00C4084C">
        <w:t xml:space="preserve">, various roadblocks in and around the tertiary </w:t>
      </w:r>
      <w:r w:rsidR="005C4948" w:rsidRPr="00C4084C">
        <w:t xml:space="preserve">education </w:t>
      </w:r>
      <w:r w:rsidR="005B3445" w:rsidRPr="00C4084C">
        <w:t xml:space="preserve">system are preventing agile and responsive skills delivery. These include rigid professional accreditation requirements; complicated </w:t>
      </w:r>
      <w:r w:rsidR="005B3445" w:rsidRPr="00C4084C">
        <w:lastRenderedPageBreak/>
        <w:t xml:space="preserve">pathways between courses, levels, </w:t>
      </w:r>
      <w:proofErr w:type="gramStart"/>
      <w:r w:rsidR="005B3445" w:rsidRPr="00C4084C">
        <w:t>institutions</w:t>
      </w:r>
      <w:proofErr w:type="gramEnd"/>
      <w:r w:rsidR="005B3445" w:rsidRPr="00C4084C">
        <w:t xml:space="preserve"> and sectors</w:t>
      </w:r>
      <w:r w:rsidR="00AA38C0" w:rsidRPr="00C4084C">
        <w:t xml:space="preserve">; </w:t>
      </w:r>
      <w:r w:rsidR="00794218" w:rsidRPr="00C4084C">
        <w:t xml:space="preserve">and </w:t>
      </w:r>
      <w:r w:rsidR="005B3445" w:rsidRPr="00C4084C">
        <w:t xml:space="preserve">difficulty getting credit for prior study and experience. These need to be addressed. </w:t>
      </w:r>
      <w:r w:rsidR="001211FE" w:rsidRPr="00C4084C">
        <w:t>Respo</w:t>
      </w:r>
      <w:r w:rsidR="00497904" w:rsidRPr="00C4084C">
        <w:t>n</w:t>
      </w:r>
      <w:r w:rsidR="001211FE" w:rsidRPr="00C4084C">
        <w:t xml:space="preserve">siveness of both </w:t>
      </w:r>
      <w:r w:rsidR="2AEAC750" w:rsidRPr="00C4084C">
        <w:t>the</w:t>
      </w:r>
      <w:r w:rsidR="001211FE" w:rsidRPr="00C4084C">
        <w:t xml:space="preserve"> </w:t>
      </w:r>
      <w:r w:rsidR="006E2B54" w:rsidRPr="00C4084C">
        <w:t xml:space="preserve">tertiary education </w:t>
      </w:r>
      <w:r w:rsidR="001211FE" w:rsidRPr="00C4084C">
        <w:t xml:space="preserve">system and individual tertiary education providers </w:t>
      </w:r>
      <w:r w:rsidR="00482F2D" w:rsidRPr="00C4084C">
        <w:t>is</w:t>
      </w:r>
      <w:r w:rsidR="00AA38C0" w:rsidRPr="00C4084C">
        <w:t xml:space="preserve"> </w:t>
      </w:r>
      <w:r w:rsidR="001211FE" w:rsidRPr="00C4084C">
        <w:t xml:space="preserve">key to having </w:t>
      </w:r>
      <w:r w:rsidR="005B3445" w:rsidRPr="00C4084C">
        <w:t>the ability to ‘ramp up’ delivery of required courses and leading-edge skills quickly to accommodate emerging industries</w:t>
      </w:r>
      <w:r w:rsidR="00D165F0" w:rsidRPr="00C4084C">
        <w:t>, including</w:t>
      </w:r>
      <w:r w:rsidR="005B3445" w:rsidRPr="00C4084C">
        <w:t xml:space="preserve"> clean energy. </w:t>
      </w:r>
    </w:p>
    <w:p w14:paraId="7C77C2B0" w14:textId="32408826" w:rsidR="005B3445" w:rsidRPr="00C4084C" w:rsidRDefault="005B3445" w:rsidP="00EC748D">
      <w:r w:rsidRPr="00C4084C">
        <w:t xml:space="preserve">This </w:t>
      </w:r>
      <w:r w:rsidR="003621A7" w:rsidRPr="00C4084C">
        <w:t>c</w:t>
      </w:r>
      <w:r w:rsidRPr="00C4084C">
        <w:t xml:space="preserve">hapter explores skills provision across the whole of the tertiary </w:t>
      </w:r>
      <w:r w:rsidR="005C4948" w:rsidRPr="00C4084C">
        <w:t>education</w:t>
      </w:r>
      <w:r w:rsidRPr="00C4084C">
        <w:t xml:space="preserve"> system. It recommends new and ambitious tertiary </w:t>
      </w:r>
      <w:r w:rsidR="005C4948" w:rsidRPr="00C4084C">
        <w:t xml:space="preserve">education </w:t>
      </w:r>
      <w:r w:rsidRPr="00C4084C">
        <w:t>attainment and participation targets to grow the number of people with higher education and VET qualifications. To achieve an</w:t>
      </w:r>
      <w:r w:rsidRPr="00C4084C" w:rsidDel="00920393">
        <w:t xml:space="preserve"> </w:t>
      </w:r>
      <w:r w:rsidR="00920393" w:rsidRPr="00C4084C">
        <w:t xml:space="preserve">increase </w:t>
      </w:r>
      <w:r w:rsidRPr="00C4084C">
        <w:t xml:space="preserve">in skills quality and quantity, the proposed </w:t>
      </w:r>
      <w:r w:rsidR="008E5A59" w:rsidRPr="00C4084C">
        <w:t>Australian Ter</w:t>
      </w:r>
      <w:r w:rsidR="6E9CA9F7" w:rsidRPr="00C4084C">
        <w:t>t</w:t>
      </w:r>
      <w:r w:rsidR="008E5A59" w:rsidRPr="00C4084C">
        <w:t xml:space="preserve">iary Education </w:t>
      </w:r>
      <w:r w:rsidR="00B11CD7" w:rsidRPr="00C4084C">
        <w:t>Commission</w:t>
      </w:r>
      <w:r w:rsidRPr="00C4084C">
        <w:t xml:space="preserve"> </w:t>
      </w:r>
      <w:r w:rsidR="0093163D" w:rsidRPr="00C4084C">
        <w:t>(the Commission)</w:t>
      </w:r>
      <w:r w:rsidRPr="00C4084C">
        <w:t xml:space="preserve"> </w:t>
      </w:r>
      <w:r w:rsidR="0029013D">
        <w:t>will rely heavily on</w:t>
      </w:r>
      <w:r w:rsidR="0029013D" w:rsidRPr="00C4084C">
        <w:t xml:space="preserve"> Jobs and Skills Australia (JSA)</w:t>
      </w:r>
      <w:r w:rsidR="0029013D">
        <w:t xml:space="preserve"> inputs regarding national skills needs so that it can</w:t>
      </w:r>
      <w:r w:rsidR="0029013D" w:rsidRPr="00C4084C">
        <w:t xml:space="preserve"> plan future provision</w:t>
      </w:r>
      <w:r w:rsidRPr="00C4084C">
        <w:t xml:space="preserve">, and with higher education and VET providers to track </w:t>
      </w:r>
      <w:r w:rsidR="00B96EEE" w:rsidRPr="00C4084C">
        <w:t xml:space="preserve">their </w:t>
      </w:r>
      <w:r w:rsidRPr="00C4084C">
        <w:t xml:space="preserve">progress against attainment targets. </w:t>
      </w:r>
      <w:r w:rsidR="000853BD" w:rsidRPr="00C4084C">
        <w:t>The Commission will also have a role in ensur</w:t>
      </w:r>
      <w:r w:rsidR="00397B5E" w:rsidRPr="00C4084C">
        <w:t>ing</w:t>
      </w:r>
      <w:r w:rsidR="000853BD" w:rsidRPr="00C4084C">
        <w:t xml:space="preserve"> that</w:t>
      </w:r>
      <w:r w:rsidR="00D77612" w:rsidRPr="00C4084C">
        <w:t>,</w:t>
      </w:r>
      <w:r w:rsidR="00397B5E" w:rsidRPr="00C4084C">
        <w:t xml:space="preserve"> while the tertiary </w:t>
      </w:r>
      <w:r w:rsidR="00794218" w:rsidRPr="00C4084C">
        <w:t xml:space="preserve">education </w:t>
      </w:r>
      <w:r w:rsidR="00397B5E" w:rsidRPr="00C4084C">
        <w:t>system responds to growth to meet the future skills need,</w:t>
      </w:r>
      <w:r w:rsidR="000853BD" w:rsidRPr="00C4084C">
        <w:t xml:space="preserve"> there are no unintended consequences of changes in either sector</w:t>
      </w:r>
      <w:r w:rsidR="00397B5E" w:rsidRPr="00C4084C">
        <w:t xml:space="preserve">. </w:t>
      </w:r>
    </w:p>
    <w:p w14:paraId="1974E2C2" w14:textId="4A9DA23F" w:rsidR="005B3445" w:rsidRPr="00C4084C" w:rsidRDefault="005B3445" w:rsidP="00EC748D">
      <w:r w:rsidRPr="00C4084C">
        <w:t>The Review also outlines priorities for developing a system that supports upskilling</w:t>
      </w:r>
      <w:r w:rsidR="00920393" w:rsidRPr="00C4084C">
        <w:t xml:space="preserve">, </w:t>
      </w:r>
      <w:proofErr w:type="gramStart"/>
      <w:r w:rsidR="00920393" w:rsidRPr="00C4084C">
        <w:t>reskilling</w:t>
      </w:r>
      <w:proofErr w:type="gramEnd"/>
      <w:r w:rsidRPr="00C4084C">
        <w:t xml:space="preserve"> and lifelong learning, so that people can continually develop their skills</w:t>
      </w:r>
      <w:r w:rsidR="00920393" w:rsidRPr="00C4084C">
        <w:t>.</w:t>
      </w:r>
      <w:r w:rsidRPr="00C4084C" w:rsidDel="00920393">
        <w:t xml:space="preserve"> </w:t>
      </w:r>
      <w:r w:rsidR="00920393" w:rsidRPr="00C4084C">
        <w:t>This can be through people</w:t>
      </w:r>
      <w:r w:rsidRPr="00C4084C">
        <w:t xml:space="preserve"> building on existing skills</w:t>
      </w:r>
      <w:r w:rsidR="00FC3CCB" w:rsidRPr="00C4084C">
        <w:t>,</w:t>
      </w:r>
      <w:r w:rsidRPr="00C4084C">
        <w:t xml:space="preserve"> or by adding new skills through flexible and stackable </w:t>
      </w:r>
      <w:r w:rsidR="003F18B8" w:rsidRPr="00C4084C">
        <w:t>credentials</w:t>
      </w:r>
      <w:r w:rsidRPr="00C4084C">
        <w:t xml:space="preserve"> such as </w:t>
      </w:r>
      <w:proofErr w:type="spellStart"/>
      <w:r w:rsidRPr="00C4084C">
        <w:t>microcredentials</w:t>
      </w:r>
      <w:proofErr w:type="spellEnd"/>
      <w:r w:rsidR="00FC3CCB" w:rsidRPr="00C4084C">
        <w:t>,</w:t>
      </w:r>
      <w:r w:rsidR="00920393" w:rsidRPr="00C4084C">
        <w:t xml:space="preserve"> so they are prepared</w:t>
      </w:r>
      <w:r w:rsidRPr="00C4084C">
        <w:t xml:space="preserve"> to meet the needs of a dynamic economy and changing labour market. </w:t>
      </w:r>
    </w:p>
    <w:p w14:paraId="342BFA07" w14:textId="57F73A3E" w:rsidR="005B3445" w:rsidRPr="00C4084C" w:rsidRDefault="005B3445" w:rsidP="00EC748D">
      <w:r w:rsidRPr="00C4084C">
        <w:rPr>
          <w:rFonts w:eastAsia="Arial"/>
        </w:rPr>
        <w:t>To achieve this, we need to</w:t>
      </w:r>
      <w:r w:rsidRPr="00C4084C">
        <w:t xml:space="preserve"> modernise the </w:t>
      </w:r>
      <w:r w:rsidR="00166580" w:rsidRPr="00C4084C">
        <w:t xml:space="preserve">tertiary education </w:t>
      </w:r>
      <w:r w:rsidRPr="00C4084C">
        <w:t>system’s infrastructure; expand pathways through the system for students to improve mobility; enhance skills provision through work-integrated learning (WIL) and placements; and build skills delivery coalitions that bring together the best aspects of VET, higher education, and industry and business knowledge.</w:t>
      </w:r>
      <w:r w:rsidRPr="00C4084C">
        <w:rPr>
          <w:rFonts w:eastAsia="Arial"/>
          <w:color w:val="000000" w:themeColor="text1"/>
        </w:rPr>
        <w:t xml:space="preserve"> </w:t>
      </w:r>
      <w:r w:rsidR="0093163D" w:rsidRPr="00C4084C">
        <w:rPr>
          <w:rFonts w:eastAsia="Arial"/>
          <w:color w:val="000000" w:themeColor="text1"/>
        </w:rPr>
        <w:t>M</w:t>
      </w:r>
      <w:r w:rsidRPr="00C4084C">
        <w:rPr>
          <w:rFonts w:eastAsia="Arial"/>
          <w:color w:val="000000" w:themeColor="text1"/>
        </w:rPr>
        <w:t>ore systematic approach</w:t>
      </w:r>
      <w:r w:rsidR="0082563E" w:rsidRPr="00C4084C">
        <w:rPr>
          <w:rFonts w:eastAsia="Arial"/>
          <w:color w:val="000000" w:themeColor="text1"/>
        </w:rPr>
        <w:t>es</w:t>
      </w:r>
      <w:r w:rsidRPr="00C4084C">
        <w:rPr>
          <w:rFonts w:eastAsia="Arial"/>
          <w:color w:val="000000" w:themeColor="text1"/>
        </w:rPr>
        <w:t xml:space="preserve"> to Recognition of Prior Learning </w:t>
      </w:r>
      <w:r w:rsidR="00DA160F" w:rsidRPr="00C4084C">
        <w:rPr>
          <w:rFonts w:eastAsia="Arial"/>
          <w:color w:val="000000" w:themeColor="text1"/>
        </w:rPr>
        <w:t xml:space="preserve">(RPL) </w:t>
      </w:r>
      <w:r w:rsidR="009E40B9" w:rsidRPr="00C4084C">
        <w:rPr>
          <w:rFonts w:eastAsia="Arial"/>
          <w:color w:val="000000" w:themeColor="text1"/>
        </w:rPr>
        <w:t xml:space="preserve">and </w:t>
      </w:r>
      <w:r w:rsidR="006E2B54" w:rsidRPr="00C4084C">
        <w:rPr>
          <w:rFonts w:eastAsia="Arial"/>
          <w:color w:val="000000" w:themeColor="text1"/>
        </w:rPr>
        <w:t>credit transfer</w:t>
      </w:r>
      <w:r w:rsidR="009E40B9" w:rsidRPr="00C4084C">
        <w:rPr>
          <w:rFonts w:eastAsia="Arial"/>
          <w:color w:val="000000" w:themeColor="text1"/>
        </w:rPr>
        <w:t xml:space="preserve"> </w:t>
      </w:r>
      <w:r w:rsidRPr="00C4084C">
        <w:rPr>
          <w:rFonts w:eastAsia="Arial"/>
          <w:color w:val="000000" w:themeColor="text1"/>
        </w:rPr>
        <w:t xml:space="preserve">will </w:t>
      </w:r>
      <w:r w:rsidR="00FF7A97">
        <w:rPr>
          <w:rFonts w:eastAsia="Arial"/>
          <w:color w:val="000000" w:themeColor="text1"/>
        </w:rPr>
        <w:t xml:space="preserve">need to </w:t>
      </w:r>
      <w:r w:rsidRPr="00C4084C">
        <w:rPr>
          <w:rFonts w:eastAsia="Arial"/>
          <w:color w:val="000000" w:themeColor="text1"/>
        </w:rPr>
        <w:t>underpin many of these reforms</w:t>
      </w:r>
      <w:r w:rsidR="005C766B" w:rsidRPr="00C4084C">
        <w:rPr>
          <w:rFonts w:eastAsia="Arial"/>
          <w:color w:val="000000" w:themeColor="text1"/>
        </w:rPr>
        <w:t>.</w:t>
      </w:r>
      <w:r w:rsidRPr="00C4084C">
        <w:t xml:space="preserve"> </w:t>
      </w:r>
    </w:p>
    <w:p w14:paraId="1623B84F" w14:textId="049D9AB9" w:rsidR="005B3445" w:rsidRPr="00C4084C" w:rsidRDefault="005B3445" w:rsidP="00EC748D">
      <w:r w:rsidRPr="00C4084C">
        <w:t xml:space="preserve">Collaboration </w:t>
      </w:r>
      <w:r w:rsidR="00920393" w:rsidRPr="00C4084C">
        <w:t xml:space="preserve">across the </w:t>
      </w:r>
      <w:r w:rsidR="00166580" w:rsidRPr="00C4084C">
        <w:t xml:space="preserve">tertiary education system </w:t>
      </w:r>
      <w:r w:rsidR="00920393" w:rsidRPr="00C4084C">
        <w:t>led from the</w:t>
      </w:r>
      <w:r w:rsidR="00183070" w:rsidRPr="00C4084C">
        <w:t xml:space="preserve"> Commission</w:t>
      </w:r>
      <w:r w:rsidRPr="00C4084C">
        <w:t xml:space="preserve"> will be essential to break down cultural and regulatory barriers to effective skills provision. The</w:t>
      </w:r>
      <w:r w:rsidRPr="00C4084C" w:rsidDel="00DA160F">
        <w:t xml:space="preserve"> </w:t>
      </w:r>
      <w:r w:rsidR="00DA160F" w:rsidRPr="00C4084C">
        <w:t>VET and higher</w:t>
      </w:r>
      <w:r w:rsidRPr="00C4084C">
        <w:t xml:space="preserve"> education sectors must work closely with </w:t>
      </w:r>
      <w:r w:rsidR="65AA62EA" w:rsidRPr="00C4084C">
        <w:t xml:space="preserve">business and </w:t>
      </w:r>
      <w:r w:rsidRPr="00C4084C">
        <w:t>industry to ensure that learning in both specific technical skills and general capabilities is of the highest quality</w:t>
      </w:r>
      <w:r w:rsidR="006E0672" w:rsidRPr="00C4084C">
        <w:t xml:space="preserve">. </w:t>
      </w:r>
      <w:r w:rsidR="00DC6968" w:rsidRPr="00C4084C">
        <w:t>This is also key</w:t>
      </w:r>
      <w:r w:rsidRPr="00C4084C">
        <w:t xml:space="preserve"> to deliver</w:t>
      </w:r>
      <w:r w:rsidR="00DF1E89" w:rsidRPr="00C4084C">
        <w:t>ing</w:t>
      </w:r>
      <w:r w:rsidRPr="00C4084C">
        <w:t xml:space="preserve"> better learning experiences through work-integrated learning (WIL), integrated skills recognition, a coherent and contemporary Australian Qualifications Framework (AQF) and easier, more affordable pathways to </w:t>
      </w:r>
      <w:r w:rsidR="006E0672" w:rsidRPr="00C4084C">
        <w:t xml:space="preserve">obtain </w:t>
      </w:r>
      <w:r w:rsidRPr="00C4084C">
        <w:t>skills.</w:t>
      </w:r>
    </w:p>
    <w:bookmarkEnd w:id="135"/>
    <w:p w14:paraId="73627966" w14:textId="0E09219F" w:rsidR="005B3445" w:rsidRPr="00C4084C" w:rsidRDefault="005B3445" w:rsidP="00EC748D">
      <w:r w:rsidRPr="00C4084C">
        <w:t xml:space="preserve">This task is challenging but necessary, and requires shared ambition from governments, the tertiary </w:t>
      </w:r>
      <w:r w:rsidR="00920393" w:rsidRPr="00C4084C">
        <w:t xml:space="preserve">education </w:t>
      </w:r>
      <w:r w:rsidR="007C1417" w:rsidRPr="00C4084C">
        <w:t>system</w:t>
      </w:r>
      <w:r w:rsidR="00920393" w:rsidRPr="00C4084C">
        <w:t xml:space="preserve"> </w:t>
      </w:r>
      <w:r w:rsidRPr="00C4084C">
        <w:t xml:space="preserve">and industry. Australia has a strong skills agenda, underpinned by the </w:t>
      </w:r>
      <w:r w:rsidR="007C1417" w:rsidRPr="00C4084C">
        <w:t>new</w:t>
      </w:r>
      <w:r w:rsidRPr="00C4084C">
        <w:t xml:space="preserve"> National Skills Agreement</w:t>
      </w:r>
      <w:r w:rsidR="007C1417" w:rsidRPr="00C4084C">
        <w:t xml:space="preserve"> commencing 1 January 2024. The</w:t>
      </w:r>
      <w:r w:rsidRPr="00C4084C">
        <w:t xml:space="preserve"> Australian Government has committed to ensuring that all Australians have access to high-quality education, </w:t>
      </w:r>
      <w:proofErr w:type="gramStart"/>
      <w:r w:rsidRPr="00C4084C">
        <w:t>training</w:t>
      </w:r>
      <w:proofErr w:type="gramEnd"/>
      <w:r w:rsidRPr="00C4084C">
        <w:t xml:space="preserve"> and support to secure well-paid jobs. Without ambitious</w:t>
      </w:r>
      <w:r w:rsidR="00DF1E89" w:rsidRPr="00C4084C">
        <w:t xml:space="preserve"> and</w:t>
      </w:r>
      <w:r w:rsidRPr="00C4084C">
        <w:t xml:space="preserve"> integrated action across every major sector and every part of Australia, we will struggle to realise our potential in a more skills-and knowledge-intensive global economy. Productivity and participation will not grow, jobs and enterprise will be held back, and too many students will be left behind. </w:t>
      </w:r>
    </w:p>
    <w:p w14:paraId="040B5CD4" w14:textId="4E8C5873" w:rsidR="005B3445" w:rsidRPr="00C4084C" w:rsidRDefault="005B3445" w:rsidP="00BA6095">
      <w:pPr>
        <w:pStyle w:val="Heading4"/>
      </w:pPr>
      <w:bookmarkStart w:id="136" w:name="_Toc149815094"/>
      <w:bookmarkStart w:id="137" w:name="_Toc151807259"/>
      <w:bookmarkStart w:id="138" w:name="_Toc1462733873"/>
      <w:bookmarkStart w:id="139" w:name="_Toc153483009"/>
      <w:bookmarkStart w:id="140" w:name="_Toc159500919"/>
      <w:bookmarkEnd w:id="136"/>
      <w:r w:rsidRPr="00C4084C">
        <w:t xml:space="preserve">There will be substantial growth in demand for tertiary </w:t>
      </w:r>
      <w:proofErr w:type="gramStart"/>
      <w:r w:rsidRPr="00C4084C">
        <w:t>education</w:t>
      </w:r>
      <w:bookmarkEnd w:id="137"/>
      <w:bookmarkEnd w:id="138"/>
      <w:bookmarkEnd w:id="139"/>
      <w:bookmarkEnd w:id="140"/>
      <w:proofErr w:type="gramEnd"/>
      <w:r w:rsidRPr="00C4084C">
        <w:t xml:space="preserve"> </w:t>
      </w:r>
    </w:p>
    <w:p w14:paraId="42F4E9BD" w14:textId="10C39C92" w:rsidR="005B3445" w:rsidRPr="00C4084C" w:rsidRDefault="005B3445" w:rsidP="00EC748D">
      <w:r w:rsidRPr="00C4084C">
        <w:t xml:space="preserve">To meet Australia’s current and future skills needs, a much higher share of </w:t>
      </w:r>
      <w:r w:rsidRPr="00C4084C" w:rsidDel="00FB1C45">
        <w:t xml:space="preserve">the </w:t>
      </w:r>
      <w:r w:rsidRPr="00C4084C">
        <w:t xml:space="preserve">population will require tertiary </w:t>
      </w:r>
      <w:r w:rsidR="00DF1E89" w:rsidRPr="00C4084C">
        <w:t xml:space="preserve">education </w:t>
      </w:r>
      <w:r w:rsidRPr="00C4084C">
        <w:t xml:space="preserve">qualifications. This means that the entire tertiary </w:t>
      </w:r>
      <w:r w:rsidR="005C4948" w:rsidRPr="00C4084C">
        <w:t xml:space="preserve">education </w:t>
      </w:r>
      <w:r w:rsidRPr="00C4084C">
        <w:t xml:space="preserve">system will need to grow substantially and be better aligned with the rapidly changing needs of the economy and the demographic distribution of the Australian community. </w:t>
      </w:r>
    </w:p>
    <w:p w14:paraId="411DE4A9" w14:textId="6228C488" w:rsidR="00633EA9" w:rsidRPr="00C4084C" w:rsidRDefault="005B3445" w:rsidP="00EC748D">
      <w:r w:rsidRPr="00C4084C">
        <w:t>The Review has considered evidence from a range of sources on the demand for tertiary education, including the work of JSA and analysis commissioned from Oxford Economics</w:t>
      </w:r>
      <w:r w:rsidR="00CA3A0C" w:rsidRPr="00C4084C">
        <w:t xml:space="preserve"> Australia</w:t>
      </w:r>
      <w:r w:rsidRPr="00C4084C">
        <w:t xml:space="preserve">, to project the growth in demand for tertiary qualifications over the next 30 years. </w:t>
      </w:r>
    </w:p>
    <w:p w14:paraId="31187B39" w14:textId="1DA460ED" w:rsidR="00F6285E" w:rsidRPr="00C4084C" w:rsidRDefault="0006239B" w:rsidP="00EC748D">
      <w:r w:rsidRPr="00C4084C">
        <w:lastRenderedPageBreak/>
        <w:t>Oxford Economics</w:t>
      </w:r>
      <w:r w:rsidR="00CA3A0C" w:rsidRPr="00C4084C">
        <w:t xml:space="preserve"> Australia</w:t>
      </w:r>
      <w:r w:rsidRPr="00C4084C">
        <w:t xml:space="preserve"> projections show that the share of employment that requires a tertiary education is expected to grow, highlighting the increasing importance of post-school qualifications in the job market</w:t>
      </w:r>
      <w:r w:rsidR="00014822" w:rsidRPr="00C4084C">
        <w:t xml:space="preserve"> (</w:t>
      </w:r>
      <w:r w:rsidR="000E47AB" w:rsidRPr="00C4084C">
        <w:t>s</w:t>
      </w:r>
      <w:r w:rsidR="00014822" w:rsidRPr="00C4084C">
        <w:t xml:space="preserve">ee </w:t>
      </w:r>
      <w:r w:rsidR="000E47AB" w:rsidRPr="00C4084C">
        <w:fldChar w:fldCharType="begin"/>
      </w:r>
      <w:r w:rsidR="000E47AB" w:rsidRPr="00C4084C">
        <w:instrText xml:space="preserve"> REF _Ref151936133 \h </w:instrText>
      </w:r>
      <w:r w:rsidR="001434C8">
        <w:instrText xml:space="preserve"> \* MERGEFORMAT </w:instrText>
      </w:r>
      <w:r w:rsidR="000E47AB" w:rsidRPr="00C4084C">
        <w:fldChar w:fldCharType="separate"/>
      </w:r>
      <w:r w:rsidR="00467B4F" w:rsidRPr="00C4084C">
        <w:t xml:space="preserve">Figure </w:t>
      </w:r>
      <w:r w:rsidR="00467B4F">
        <w:rPr>
          <w:noProof/>
        </w:rPr>
        <w:t>2</w:t>
      </w:r>
      <w:r w:rsidR="000E47AB" w:rsidRPr="00C4084C">
        <w:fldChar w:fldCharType="end"/>
      </w:r>
      <w:r w:rsidR="001E083B" w:rsidRPr="00C4084C">
        <w:t>)</w:t>
      </w:r>
      <w:r w:rsidRPr="00C4084C">
        <w:t>. To meet this level of demand from industry</w:t>
      </w:r>
      <w:r w:rsidR="00537E68" w:rsidRPr="00C4084C">
        <w:t>,</w:t>
      </w:r>
      <w:r w:rsidRPr="00C4084C">
        <w:t xml:space="preserve"> and to ensure that the population is sufficiently educated to participate effectively in the future labour market, </w:t>
      </w:r>
      <w:r w:rsidR="00537E68" w:rsidRPr="00C4084C">
        <w:t>many more</w:t>
      </w:r>
      <w:r w:rsidR="00A53F82" w:rsidRPr="00C4084C">
        <w:t xml:space="preserve"> people in the </w:t>
      </w:r>
      <w:r w:rsidR="00537E68" w:rsidRPr="00C4084C">
        <w:t xml:space="preserve">employed </w:t>
      </w:r>
      <w:r w:rsidR="00A53F82" w:rsidRPr="00C4084C">
        <w:t>working age population (</w:t>
      </w:r>
      <w:r w:rsidR="00AB6204" w:rsidRPr="00C4084C">
        <w:t xml:space="preserve">aged </w:t>
      </w:r>
      <w:r w:rsidR="00A53F82" w:rsidRPr="00C4084C">
        <w:t>15 to 64) wi</w:t>
      </w:r>
      <w:r w:rsidR="00537E68" w:rsidRPr="00C4084C">
        <w:t>ll need</w:t>
      </w:r>
      <w:r w:rsidR="00A53F82" w:rsidRPr="00C4084C">
        <w:t xml:space="preserve"> a tertiary qualification </w:t>
      </w:r>
      <w:r w:rsidR="517B3779" w:rsidRPr="00C4084C">
        <w:t>(Certificate III and above)</w:t>
      </w:r>
      <w:r w:rsidR="00A53F82" w:rsidRPr="00C4084C">
        <w:t xml:space="preserve"> </w:t>
      </w:r>
      <w:r w:rsidR="00AB6204" w:rsidRPr="00C4084C">
        <w:t>in</w:t>
      </w:r>
      <w:r w:rsidRPr="00C4084C">
        <w:t xml:space="preserve"> 2050</w:t>
      </w:r>
      <w:r w:rsidR="00AB6204" w:rsidRPr="00C4084C">
        <w:t xml:space="preserve"> (</w:t>
      </w:r>
      <w:r w:rsidRPr="00C4084C">
        <w:t>82%</w:t>
      </w:r>
      <w:r w:rsidR="00AB6204" w:rsidRPr="00C4084C">
        <w:t>)</w:t>
      </w:r>
      <w:r w:rsidRPr="00C4084C">
        <w:t xml:space="preserve"> </w:t>
      </w:r>
      <w:r w:rsidR="00AB6204" w:rsidRPr="00C4084C">
        <w:t>relative to 2020 levels (</w:t>
      </w:r>
      <w:r w:rsidRPr="00C4084C">
        <w:t>66%</w:t>
      </w:r>
      <w:r w:rsidR="00AB6204" w:rsidRPr="00C4084C">
        <w:t>)</w:t>
      </w:r>
      <w:r w:rsidRPr="00C4084C">
        <w:t xml:space="preserve">. This equates to the number of people </w:t>
      </w:r>
      <w:r w:rsidR="0073019F" w:rsidRPr="00C4084C">
        <w:t xml:space="preserve">in the workforce </w:t>
      </w:r>
      <w:r w:rsidRPr="00C4084C">
        <w:t>requiring a tertiary education qualification growing from 9.6</w:t>
      </w:r>
      <w:r w:rsidR="000E47AB" w:rsidRPr="00C4084C">
        <w:t> </w:t>
      </w:r>
      <w:r w:rsidRPr="00C4084C">
        <w:t>million in 2023 to an estimated 15.9 million by 2050.</w:t>
      </w:r>
    </w:p>
    <w:p w14:paraId="4C0FEE26" w14:textId="6C411FEB" w:rsidR="005B3445" w:rsidRPr="00D26B82" w:rsidRDefault="00576DA1" w:rsidP="005E5C5F">
      <w:pPr>
        <w:pStyle w:val="Caption"/>
        <w:rPr>
          <w:b/>
          <w:bCs/>
          <w:sz w:val="24"/>
          <w:szCs w:val="24"/>
        </w:rPr>
      </w:pPr>
      <w:bookmarkStart w:id="141" w:name="_Ref151936133"/>
      <w:bookmarkStart w:id="142" w:name="_Toc154674764"/>
      <w:r w:rsidRPr="00D26B82">
        <w:rPr>
          <w:b/>
          <w:bCs/>
          <w:sz w:val="24"/>
          <w:szCs w:val="24"/>
        </w:rPr>
        <w:t xml:space="preserve">Figure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2</w:t>
      </w:r>
      <w:r w:rsidRPr="00D26B82">
        <w:rPr>
          <w:b/>
          <w:bCs/>
          <w:sz w:val="24"/>
          <w:szCs w:val="24"/>
        </w:rPr>
        <w:fldChar w:fldCharType="end"/>
      </w:r>
      <w:bookmarkEnd w:id="141"/>
      <w:r w:rsidRPr="00D26B82">
        <w:rPr>
          <w:b/>
          <w:bCs/>
          <w:sz w:val="24"/>
          <w:szCs w:val="24"/>
        </w:rPr>
        <w:t>:</w:t>
      </w:r>
      <w:r w:rsidR="005B3445" w:rsidRPr="00D26B82">
        <w:rPr>
          <w:b/>
          <w:bCs/>
          <w:sz w:val="24"/>
          <w:szCs w:val="24"/>
        </w:rPr>
        <w:t xml:space="preserve"> </w:t>
      </w:r>
      <w:r w:rsidR="005234C5" w:rsidRPr="00D26B82">
        <w:rPr>
          <w:b/>
          <w:bCs/>
          <w:sz w:val="24"/>
          <w:szCs w:val="24"/>
        </w:rPr>
        <w:t xml:space="preserve">VET and higher education graduates share of </w:t>
      </w:r>
      <w:r w:rsidR="00213487" w:rsidRPr="00D26B82">
        <w:rPr>
          <w:b/>
          <w:bCs/>
          <w:sz w:val="24"/>
          <w:szCs w:val="24"/>
        </w:rPr>
        <w:t>total</w:t>
      </w:r>
      <w:r w:rsidR="005234C5" w:rsidRPr="00D26B82">
        <w:rPr>
          <w:b/>
          <w:bCs/>
          <w:sz w:val="24"/>
          <w:szCs w:val="24"/>
        </w:rPr>
        <w:t xml:space="preserve"> employment</w:t>
      </w:r>
      <w:r w:rsidR="00D359C3" w:rsidRPr="00D26B82">
        <w:rPr>
          <w:b/>
          <w:bCs/>
          <w:sz w:val="24"/>
          <w:szCs w:val="24"/>
        </w:rPr>
        <w:t xml:space="preserve"> (%)</w:t>
      </w:r>
      <w:r w:rsidR="005234C5" w:rsidRPr="00D26B82">
        <w:rPr>
          <w:b/>
          <w:bCs/>
          <w:sz w:val="24"/>
          <w:szCs w:val="24"/>
        </w:rPr>
        <w:t xml:space="preserve">, </w:t>
      </w:r>
      <w:r w:rsidR="00B25B61" w:rsidRPr="00D26B82">
        <w:rPr>
          <w:b/>
          <w:bCs/>
          <w:sz w:val="24"/>
          <w:szCs w:val="24"/>
        </w:rPr>
        <w:t xml:space="preserve">current figures and projected future demand, </w:t>
      </w:r>
      <w:r w:rsidR="005234C5" w:rsidRPr="00D26B82">
        <w:rPr>
          <w:b/>
          <w:bCs/>
          <w:sz w:val="24"/>
          <w:szCs w:val="24"/>
        </w:rPr>
        <w:t>2010</w:t>
      </w:r>
      <w:r w:rsidR="005872D9" w:rsidRPr="00D26B82">
        <w:rPr>
          <w:b/>
          <w:bCs/>
          <w:sz w:val="24"/>
          <w:szCs w:val="24"/>
        </w:rPr>
        <w:t xml:space="preserve"> to </w:t>
      </w:r>
      <w:r w:rsidR="005234C5" w:rsidRPr="00D26B82">
        <w:rPr>
          <w:b/>
          <w:bCs/>
          <w:sz w:val="24"/>
          <w:szCs w:val="24"/>
        </w:rPr>
        <w:t>2050</w:t>
      </w:r>
      <w:r w:rsidR="000E3770" w:rsidRPr="00D26B82">
        <w:rPr>
          <w:b/>
          <w:bCs/>
          <w:sz w:val="24"/>
          <w:szCs w:val="24"/>
        </w:rPr>
        <w:t>.</w:t>
      </w:r>
      <w:bookmarkEnd w:id="142"/>
    </w:p>
    <w:p w14:paraId="56E9F362" w14:textId="3A979FB0" w:rsidR="00F3585C" w:rsidRDefault="00F3585C" w:rsidP="00BA75DE">
      <w:pPr>
        <w:pStyle w:val="Source"/>
      </w:pPr>
      <w:r>
        <w:rPr>
          <w:noProof/>
        </w:rPr>
        <w:drawing>
          <wp:inline distT="0" distB="0" distL="0" distR="0" wp14:anchorId="68E6827F" wp14:editId="4CC9C515">
            <wp:extent cx="6122477" cy="2668772"/>
            <wp:effectExtent l="0" t="0" r="0" b="0"/>
            <wp:docPr id="60004509" name="Graphic 2" descr="A bar graph showing VET and higher education graduates as a share of total employment in Australia in 2010, 2020, and then projected every 10 years until 2050. Higher education graduates overtook VET graduates as a share of total employment from 2010, with 35% and 31% in 2020, respectively. While the projected share of VET graduates remains relatively stable, the graph shows the share of higher education graduates increasing to 51% in 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04509" name="Graphic 2" descr="A bar graph showing VET and higher education graduates as a share of total employment in Australia in 2010, 2020, and then projected every 10 years until 2050. Higher education graduates overtook VET graduates as a share of total employment from 2010, with 35% and 31% in 2020, respectively. While the projected share of VET graduates remains relatively stable, the graph shows the share of higher education graduates increasing to 51% in 2020. "/>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6122477" cy="2668772"/>
                    </a:xfrm>
                    <a:prstGeom prst="rect">
                      <a:avLst/>
                    </a:prstGeom>
                  </pic:spPr>
                </pic:pic>
              </a:graphicData>
            </a:graphic>
          </wp:inline>
        </w:drawing>
      </w:r>
    </w:p>
    <w:p w14:paraId="40EC6F65" w14:textId="174F43D5" w:rsidR="005B3445" w:rsidRPr="00C4084C" w:rsidRDefault="005B3445" w:rsidP="00BA75DE">
      <w:pPr>
        <w:pStyle w:val="Source"/>
      </w:pPr>
      <w:r w:rsidRPr="00C4084C">
        <w:t>Source: Oxford Economics</w:t>
      </w:r>
      <w:r w:rsidR="00CA3A0C" w:rsidRPr="00C4084C">
        <w:t xml:space="preserve"> Australia</w:t>
      </w:r>
      <w:r w:rsidRPr="00C4084C">
        <w:t xml:space="preserve">, </w:t>
      </w:r>
      <w:r w:rsidRPr="00C4084C">
        <w:rPr>
          <w:i/>
        </w:rPr>
        <w:t>Tertiary Education Qualification Demand: Preliminary Report</w:t>
      </w:r>
      <w:r w:rsidRPr="00C4084C">
        <w:t>, produced for the Department of Education [unpublished report], OE, Sydney, November 2023.</w:t>
      </w:r>
    </w:p>
    <w:tbl>
      <w:tblPr>
        <w:tblW w:w="0" w:type="auto"/>
        <w:shd w:val="clear" w:color="auto" w:fill="DAF2EF"/>
        <w:tblLook w:val="04A0" w:firstRow="1" w:lastRow="0" w:firstColumn="1" w:lastColumn="0" w:noHBand="0" w:noVBand="1"/>
      </w:tblPr>
      <w:tblGrid>
        <w:gridCol w:w="9026"/>
      </w:tblGrid>
      <w:tr w:rsidR="00D9053F" w:rsidRPr="00C4084C" w14:paraId="5E8CE5F5" w14:textId="77777777" w:rsidTr="00D26B82">
        <w:tc>
          <w:tcPr>
            <w:tcW w:w="9026" w:type="dxa"/>
            <w:shd w:val="clear" w:color="auto" w:fill="E3DAEA"/>
          </w:tcPr>
          <w:p w14:paraId="66E928D9" w14:textId="51E5BE26" w:rsidR="00D9053F" w:rsidRPr="00C4084C" w:rsidRDefault="00D9053F">
            <w:pPr>
              <w:pStyle w:val="Boxtitlessubheadings"/>
              <w:rPr>
                <w:rStyle w:val="s2"/>
                <w:szCs w:val="20"/>
              </w:rPr>
            </w:pPr>
            <w:r w:rsidRPr="00C4084C">
              <w:t>Summary of Oxford Economic</w:t>
            </w:r>
            <w:r w:rsidR="00EC7E9D">
              <w:t>s</w:t>
            </w:r>
            <w:r w:rsidRPr="00C4084C">
              <w:t xml:space="preserve"> </w:t>
            </w:r>
            <w:r w:rsidR="00E56B4D" w:rsidRPr="00C4084C">
              <w:t>f</w:t>
            </w:r>
            <w:r w:rsidRPr="00C4084C">
              <w:t>indings</w:t>
            </w:r>
          </w:p>
          <w:p w14:paraId="1E98DBB1" w14:textId="2FE237D1" w:rsidR="0030152B" w:rsidRPr="00DA1683" w:rsidRDefault="0030152B" w:rsidP="004406D4">
            <w:pPr>
              <w:pStyle w:val="Boxtext0"/>
            </w:pPr>
            <w:r w:rsidRPr="00DA1683">
              <w:t>Australia</w:t>
            </w:r>
            <w:r w:rsidR="00025E3A" w:rsidRPr="00DA1683">
              <w:t>’</w:t>
            </w:r>
            <w:r w:rsidRPr="00DA1683">
              <w:t>s employment growth is expected to grow in line with gross domestic product (GDP).</w:t>
            </w:r>
          </w:p>
          <w:p w14:paraId="283B4514" w14:textId="65C8B107" w:rsidR="00E526B5" w:rsidRPr="00DA1683" w:rsidRDefault="0030152B" w:rsidP="004406D4">
            <w:pPr>
              <w:pStyle w:val="Boxtext0"/>
            </w:pPr>
            <w:r w:rsidRPr="00DA1683">
              <w:t xml:space="preserve">By 2050, it is estimated that 82% of jobs across the entire workforce will require a tertiary education. </w:t>
            </w:r>
            <w:r w:rsidR="00503556" w:rsidRPr="00DA1683">
              <w:t>To meet this level of labour market need,</w:t>
            </w:r>
            <w:r w:rsidRPr="00DA1683">
              <w:t xml:space="preserve"> 90% of 25 to 34-year-olds in the workforce will require a tertiary qualification. </w:t>
            </w:r>
          </w:p>
          <w:p w14:paraId="1150E36D" w14:textId="3ED90FAD" w:rsidR="0030152B" w:rsidRPr="00DA1683" w:rsidRDefault="0030152B" w:rsidP="004406D4">
            <w:pPr>
              <w:pStyle w:val="Boxtext0"/>
            </w:pPr>
            <w:r w:rsidRPr="00DA1683">
              <w:t xml:space="preserve">This suggests an additional 6.3 million jobs requiring tertiary education will be added to the labour force over the next 30 years. </w:t>
            </w:r>
          </w:p>
          <w:p w14:paraId="6731755B" w14:textId="0059D1ED" w:rsidR="0030152B" w:rsidRPr="00DA1683" w:rsidRDefault="0030152B" w:rsidP="004406D4">
            <w:pPr>
              <w:pStyle w:val="Boxtext0"/>
            </w:pPr>
            <w:r w:rsidRPr="00DA1683">
              <w:t xml:space="preserve">An estimated 960,000 additional tertiary qualifications will be required each year on average over the next 30 years to meet labour market needs for tertiary jobs. Oxford Economics </w:t>
            </w:r>
            <w:r w:rsidR="00CA3A0C" w:rsidRPr="00DA1683">
              <w:t>Australia</w:t>
            </w:r>
            <w:r w:rsidRPr="00DA1683">
              <w:t xml:space="preserve"> has assumed that skilled migration will continue to contribute to meeting this demand for qualifications.</w:t>
            </w:r>
          </w:p>
          <w:p w14:paraId="5E7F8E8F" w14:textId="3784C09B" w:rsidR="00D9053F" w:rsidRPr="00C4084C" w:rsidRDefault="0030152B" w:rsidP="004406D4">
            <w:pPr>
              <w:pStyle w:val="Boxtext0"/>
            </w:pPr>
            <w:r w:rsidRPr="00DA1683">
              <w:t>The outlook for strong demand in higher educated roles implies that within the tertiary attainment rate of 82</w:t>
            </w:r>
            <w:r w:rsidRPr="000219B0">
              <w:t>%,</w:t>
            </w:r>
            <w:r w:rsidRPr="00DA1683">
              <w:t xml:space="preserve"> a higher education attainment rate of 51% of the working age population and 57% of 25 to 34-year-olds by 2050 is required to meet labour market demands.</w:t>
            </w:r>
          </w:p>
        </w:tc>
      </w:tr>
    </w:tbl>
    <w:p w14:paraId="3B9FB677" w14:textId="14A85BA2" w:rsidR="00A53F82" w:rsidRPr="00C4084C" w:rsidRDefault="00A53F82" w:rsidP="00A53F82">
      <w:pPr>
        <w:pStyle w:val="Source"/>
      </w:pPr>
      <w:r w:rsidRPr="00C4084C">
        <w:t xml:space="preserve">Source: Oxford Economics </w:t>
      </w:r>
      <w:r w:rsidR="00CA3A0C" w:rsidRPr="00C4084C">
        <w:t xml:space="preserve">Australia, </w:t>
      </w:r>
      <w:r w:rsidRPr="00C4084C">
        <w:rPr>
          <w:i/>
        </w:rPr>
        <w:t>Tertiary Education Qualification Demand: Preliminary Report</w:t>
      </w:r>
      <w:r w:rsidRPr="00C4084C">
        <w:t>, produced for the Department of Education [unpublished report], OE, Sydney, November 2023.</w:t>
      </w:r>
    </w:p>
    <w:p w14:paraId="05C4E887" w14:textId="77CC9177" w:rsidR="005B3445" w:rsidRPr="00C4084C" w:rsidRDefault="005B3445" w:rsidP="004406D4">
      <w:r w:rsidRPr="00C4084C">
        <w:lastRenderedPageBreak/>
        <w:t>The O</w:t>
      </w:r>
      <w:r w:rsidR="00073FA0" w:rsidRPr="00C4084C">
        <w:t xml:space="preserve">xford </w:t>
      </w:r>
      <w:r w:rsidRPr="00C4084C">
        <w:t>E</w:t>
      </w:r>
      <w:r w:rsidR="00073FA0" w:rsidRPr="00C4084C">
        <w:t>conomics</w:t>
      </w:r>
      <w:r w:rsidRPr="00C4084C">
        <w:t xml:space="preserve"> </w:t>
      </w:r>
      <w:r w:rsidR="00CA3A0C" w:rsidRPr="00C4084C">
        <w:t>Australia</w:t>
      </w:r>
      <w:r w:rsidRPr="00C4084C">
        <w:t xml:space="preserve"> projections build on already substantial growth in demand for tertiary educated graduates: </w:t>
      </w:r>
      <w:r w:rsidR="0034262A" w:rsidRPr="00C4084C">
        <w:t xml:space="preserve">in </w:t>
      </w:r>
      <w:r w:rsidRPr="00C4084C">
        <w:t xml:space="preserve">the decade prior to the COVID-19 pandemic, tertiary educated employment grew for </w:t>
      </w:r>
      <w:r w:rsidR="00750357" w:rsidRPr="00C4084C">
        <w:t xml:space="preserve">both </w:t>
      </w:r>
      <w:r w:rsidRPr="00C4084C">
        <w:t xml:space="preserve">higher </w:t>
      </w:r>
      <w:r w:rsidR="00750357" w:rsidRPr="00C4084C">
        <w:t>educated (</w:t>
      </w:r>
      <w:r w:rsidR="00B71939" w:rsidRPr="00C4084C">
        <w:t xml:space="preserve">by </w:t>
      </w:r>
      <w:r w:rsidR="00750357" w:rsidRPr="00C4084C">
        <w:t>5.2%)</w:t>
      </w:r>
      <w:r w:rsidRPr="00C4084C">
        <w:t xml:space="preserve"> and VET </w:t>
      </w:r>
      <w:r w:rsidR="00750357" w:rsidRPr="00C4084C">
        <w:t>qualified (</w:t>
      </w:r>
      <w:r w:rsidR="00B71939" w:rsidRPr="00C4084C">
        <w:t xml:space="preserve">by </w:t>
      </w:r>
      <w:r w:rsidR="00750357" w:rsidRPr="00C4084C">
        <w:t>2.5%) people</w:t>
      </w:r>
      <w:r w:rsidRPr="00C4084C">
        <w:t xml:space="preserve">, </w:t>
      </w:r>
      <w:r w:rsidR="004D190E" w:rsidRPr="00C4084C">
        <w:t>both by</w:t>
      </w:r>
      <w:r w:rsidRPr="00C4084C">
        <w:t xml:space="preserve"> more than double the rate of total employment growth (1.8%). The share of employment for higher educated workers </w:t>
      </w:r>
      <w:r w:rsidR="004D190E" w:rsidRPr="00C4084C">
        <w:t xml:space="preserve">roughly </w:t>
      </w:r>
      <w:r w:rsidRPr="00C4084C">
        <w:t xml:space="preserve">doubled over </w:t>
      </w:r>
      <w:r w:rsidR="00750357" w:rsidRPr="00C4084C">
        <w:t xml:space="preserve">the </w:t>
      </w:r>
      <w:r w:rsidRPr="00C4084C">
        <w:t xml:space="preserve">20 years </w:t>
      </w:r>
      <w:r w:rsidR="00750357" w:rsidRPr="00C4084C">
        <w:t>from</w:t>
      </w:r>
      <w:r w:rsidRPr="00C4084C">
        <w:t xml:space="preserve"> </w:t>
      </w:r>
      <w:r w:rsidR="00750357" w:rsidRPr="00C4084C">
        <w:t xml:space="preserve">2001 </w:t>
      </w:r>
      <w:r w:rsidRPr="00C4084C">
        <w:t>(17%</w:t>
      </w:r>
      <w:r w:rsidR="00750357" w:rsidRPr="00C4084C">
        <w:t>)</w:t>
      </w:r>
      <w:r w:rsidRPr="00C4084C">
        <w:t xml:space="preserve"> to 2021</w:t>
      </w:r>
      <w:r w:rsidR="00750357" w:rsidRPr="00C4084C">
        <w:t xml:space="preserve"> (36%</w:t>
      </w:r>
      <w:r w:rsidRPr="00C4084C">
        <w:t xml:space="preserve">) and, for the first time, exceeded VET employment which was relatively stable </w:t>
      </w:r>
      <w:r w:rsidR="1940ED4B" w:rsidRPr="00C4084C">
        <w:t>as a share of the workforce</w:t>
      </w:r>
      <w:r w:rsidRPr="00C4084C">
        <w:t xml:space="preserve"> </w:t>
      </w:r>
      <w:r w:rsidR="00750357" w:rsidRPr="00C4084C">
        <w:t xml:space="preserve">over the 15 years from 2006 </w:t>
      </w:r>
      <w:r w:rsidRPr="00C4084C">
        <w:t>(28%</w:t>
      </w:r>
      <w:r w:rsidR="00750357" w:rsidRPr="00C4084C">
        <w:t>)</w:t>
      </w:r>
      <w:r w:rsidRPr="00C4084C">
        <w:t xml:space="preserve"> </w:t>
      </w:r>
      <w:r w:rsidR="00AA29C6" w:rsidRPr="00C4084C">
        <w:t>to</w:t>
      </w:r>
      <w:r w:rsidRPr="00C4084C">
        <w:t xml:space="preserve"> </w:t>
      </w:r>
      <w:r w:rsidR="00750357" w:rsidRPr="00C4084C">
        <w:t>2021 (</w:t>
      </w:r>
      <w:r w:rsidRPr="00C4084C">
        <w:t>31%).</w:t>
      </w:r>
      <w:r w:rsidR="791077D1" w:rsidRPr="00C4084C">
        <w:t xml:space="preserve"> Oxford Economics</w:t>
      </w:r>
      <w:r w:rsidR="00CA3A0C" w:rsidRPr="00C4084C">
        <w:t xml:space="preserve"> Australia</w:t>
      </w:r>
      <w:r w:rsidR="001D68E6" w:rsidRPr="00C4084C">
        <w:t>’</w:t>
      </w:r>
      <w:r w:rsidR="00CA3A0C" w:rsidRPr="00C4084C">
        <w:t>s</w:t>
      </w:r>
      <w:r w:rsidR="001D68E6" w:rsidRPr="00C4084C">
        <w:t xml:space="preserve"> analysis</w:t>
      </w:r>
      <w:r w:rsidR="791077D1" w:rsidRPr="00C4084C">
        <w:t xml:space="preserve"> is based on</w:t>
      </w:r>
      <w:r w:rsidR="0FC9FDDF" w:rsidRPr="00C4084C">
        <w:t xml:space="preserve"> </w:t>
      </w:r>
      <w:r w:rsidR="001D68E6" w:rsidRPr="00C4084C">
        <w:t xml:space="preserve">these </w:t>
      </w:r>
      <w:r w:rsidR="0FC9FDDF" w:rsidRPr="00C4084C">
        <w:t>historical trends a</w:t>
      </w:r>
      <w:r w:rsidR="001D68E6" w:rsidRPr="00C4084C">
        <w:t>s well as</w:t>
      </w:r>
      <w:r w:rsidR="791077D1" w:rsidRPr="00C4084C">
        <w:t xml:space="preserve"> a consistent policy landsc</w:t>
      </w:r>
      <w:r w:rsidR="5B953D20" w:rsidRPr="00C4084C">
        <w:t>ap</w:t>
      </w:r>
      <w:r w:rsidR="7B26F377" w:rsidRPr="00C4084C">
        <w:t>e</w:t>
      </w:r>
      <w:r w:rsidR="001D68E6" w:rsidRPr="00C4084C">
        <w:t>, and consistent with recent growth, shows that the</w:t>
      </w:r>
      <w:r w:rsidR="7B26F377" w:rsidRPr="00C4084C">
        <w:t xml:space="preserve"> </w:t>
      </w:r>
      <w:r w:rsidR="115EDDD4" w:rsidRPr="00C4084C">
        <w:t>higher education share of employment is expected to continue to grow</w:t>
      </w:r>
      <w:r w:rsidR="002A1C2D" w:rsidRPr="00C4084C">
        <w:t>.</w:t>
      </w:r>
      <w:r w:rsidRPr="00C4084C">
        <w:rPr>
          <w:vertAlign w:val="superscript"/>
        </w:rPr>
        <w:footnoteReference w:id="108"/>
      </w:r>
    </w:p>
    <w:p w14:paraId="35F3C926" w14:textId="6926967B" w:rsidR="006336E1" w:rsidRDefault="005B3445" w:rsidP="00DA1683">
      <w:bookmarkStart w:id="143" w:name="_Ref153124105"/>
      <w:r w:rsidRPr="00C4084C">
        <w:t>Australia’s comparatively high attainment rate</w:t>
      </w:r>
      <w:r w:rsidR="008D6A43" w:rsidRPr="00C4084C">
        <w:t xml:space="preserve"> compared with other countries</w:t>
      </w:r>
      <w:r w:rsidR="00470A67" w:rsidRPr="00C4084C">
        <w:t xml:space="preserve"> </w:t>
      </w:r>
      <w:r w:rsidRPr="00C4084C">
        <w:t>has contributed to the nation’s productivity and success</w:t>
      </w:r>
      <w:r w:rsidR="001E083B" w:rsidRPr="00C4084C">
        <w:t xml:space="preserve"> (see</w:t>
      </w:r>
      <w:r w:rsidR="00DA1683">
        <w:t xml:space="preserve"> </w:t>
      </w:r>
      <w:r w:rsidR="00DA1683">
        <w:fldChar w:fldCharType="begin"/>
      </w:r>
      <w:r w:rsidR="00DA1683">
        <w:instrText xml:space="preserve"> REF _Ref155970796 \h </w:instrText>
      </w:r>
      <w:r w:rsidR="00DA1683">
        <w:fldChar w:fldCharType="separate"/>
      </w:r>
      <w:r w:rsidR="00DA1683" w:rsidRPr="00C4084C">
        <w:t xml:space="preserve">Figure </w:t>
      </w:r>
      <w:r w:rsidR="00DA1683">
        <w:rPr>
          <w:noProof/>
        </w:rPr>
        <w:t>3</w:t>
      </w:r>
      <w:r w:rsidR="00DA1683">
        <w:fldChar w:fldCharType="end"/>
      </w:r>
      <w:r w:rsidR="001E083B" w:rsidRPr="00C4084C">
        <w:t>)</w:t>
      </w:r>
      <w:r w:rsidRPr="00C4084C">
        <w:t xml:space="preserve">. However, we still </w:t>
      </w:r>
      <w:proofErr w:type="gramStart"/>
      <w:r w:rsidRPr="00C4084C">
        <w:t xml:space="preserve">lag </w:t>
      </w:r>
      <w:r w:rsidR="0034262A" w:rsidRPr="00C4084C">
        <w:t>behind</w:t>
      </w:r>
      <w:proofErr w:type="gramEnd"/>
      <w:r w:rsidRPr="00C4084C">
        <w:t xml:space="preserve"> the top performing countries, and our attainment rates will need to be substantially higher if we are to develop the skills required for our rapidly changing economy and to mitigate the risk that current skill</w:t>
      </w:r>
      <w:r w:rsidR="00DC727C" w:rsidRPr="00C4084C">
        <w:t>s</w:t>
      </w:r>
      <w:r w:rsidRPr="00C4084C">
        <w:t xml:space="preserve"> shortages become entrenched.</w:t>
      </w:r>
      <w:bookmarkStart w:id="144" w:name="_Ref151936153"/>
    </w:p>
    <w:p w14:paraId="4C708392" w14:textId="513E080B" w:rsidR="005B3445" w:rsidRPr="00D26B82" w:rsidRDefault="005B3445" w:rsidP="006336E1">
      <w:pPr>
        <w:pStyle w:val="Caption"/>
        <w:rPr>
          <w:rFonts w:cstheme="minorHAnsi"/>
          <w:b/>
          <w:bCs/>
          <w:sz w:val="24"/>
          <w:szCs w:val="24"/>
        </w:rPr>
      </w:pPr>
      <w:bookmarkStart w:id="145" w:name="_Ref155970796"/>
      <w:bookmarkStart w:id="146" w:name="_Toc154674765"/>
      <w:bookmarkStart w:id="147" w:name="_Ref155970790"/>
      <w:r w:rsidRPr="00D26B82">
        <w:rPr>
          <w:b/>
          <w:bCs/>
          <w:sz w:val="24"/>
          <w:szCs w:val="24"/>
        </w:rPr>
        <w:t xml:space="preserve">Figure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3</w:t>
      </w:r>
      <w:r w:rsidRPr="00D26B82">
        <w:rPr>
          <w:b/>
          <w:bCs/>
          <w:sz w:val="24"/>
          <w:szCs w:val="24"/>
        </w:rPr>
        <w:fldChar w:fldCharType="end"/>
      </w:r>
      <w:bookmarkEnd w:id="143"/>
      <w:bookmarkEnd w:id="144"/>
      <w:bookmarkEnd w:id="145"/>
      <w:r w:rsidR="00D45C26" w:rsidRPr="00D26B82">
        <w:rPr>
          <w:b/>
          <w:bCs/>
          <w:sz w:val="24"/>
          <w:szCs w:val="24"/>
        </w:rPr>
        <w:t>:</w:t>
      </w:r>
      <w:r w:rsidRPr="00D26B82">
        <w:rPr>
          <w:b/>
          <w:bCs/>
          <w:sz w:val="24"/>
          <w:szCs w:val="24"/>
        </w:rPr>
        <w:t xml:space="preserve"> </w:t>
      </w:r>
      <w:r w:rsidR="003A2197" w:rsidRPr="00D26B82">
        <w:rPr>
          <w:b/>
          <w:bCs/>
          <w:sz w:val="24"/>
          <w:szCs w:val="24"/>
        </w:rPr>
        <w:t>T</w:t>
      </w:r>
      <w:r w:rsidR="005234C5" w:rsidRPr="00D26B82">
        <w:rPr>
          <w:b/>
          <w:bCs/>
          <w:sz w:val="24"/>
          <w:szCs w:val="24"/>
        </w:rPr>
        <w:t xml:space="preserve">ertiary attainment </w:t>
      </w:r>
      <w:r w:rsidR="003A2197" w:rsidRPr="00D26B82">
        <w:rPr>
          <w:b/>
          <w:bCs/>
          <w:sz w:val="24"/>
          <w:szCs w:val="24"/>
        </w:rPr>
        <w:t xml:space="preserve">by OECD country, proportion of </w:t>
      </w:r>
      <w:r w:rsidR="005234C5" w:rsidRPr="00D26B82">
        <w:rPr>
          <w:b/>
          <w:bCs/>
          <w:sz w:val="24"/>
          <w:szCs w:val="24"/>
        </w:rPr>
        <w:t>25</w:t>
      </w:r>
      <w:r w:rsidR="00490AD2" w:rsidRPr="00D26B82">
        <w:rPr>
          <w:b/>
          <w:bCs/>
          <w:sz w:val="24"/>
          <w:szCs w:val="24"/>
        </w:rPr>
        <w:t xml:space="preserve"> to </w:t>
      </w:r>
      <w:r w:rsidR="005234C5" w:rsidRPr="00D26B82">
        <w:rPr>
          <w:b/>
          <w:bCs/>
          <w:sz w:val="24"/>
          <w:szCs w:val="24"/>
        </w:rPr>
        <w:t>34</w:t>
      </w:r>
      <w:r w:rsidR="00490AD2" w:rsidRPr="00D26B82">
        <w:rPr>
          <w:b/>
          <w:bCs/>
          <w:sz w:val="24"/>
          <w:szCs w:val="24"/>
        </w:rPr>
        <w:t>-</w:t>
      </w:r>
      <w:r w:rsidR="005234C5" w:rsidRPr="00D26B82">
        <w:rPr>
          <w:b/>
          <w:bCs/>
          <w:sz w:val="24"/>
          <w:szCs w:val="24"/>
        </w:rPr>
        <w:t>year</w:t>
      </w:r>
      <w:r w:rsidR="00490AD2" w:rsidRPr="00D26B82">
        <w:rPr>
          <w:b/>
          <w:bCs/>
          <w:sz w:val="24"/>
          <w:szCs w:val="24"/>
        </w:rPr>
        <w:t>-</w:t>
      </w:r>
      <w:r w:rsidR="005234C5" w:rsidRPr="00D26B82">
        <w:rPr>
          <w:b/>
          <w:bCs/>
          <w:sz w:val="24"/>
          <w:szCs w:val="24"/>
        </w:rPr>
        <w:t xml:space="preserve">olds </w:t>
      </w:r>
      <w:r w:rsidR="003A2197" w:rsidRPr="00D26B82">
        <w:rPr>
          <w:b/>
          <w:bCs/>
          <w:sz w:val="24"/>
          <w:szCs w:val="24"/>
        </w:rPr>
        <w:t>(%)</w:t>
      </w:r>
      <w:r w:rsidR="005234C5" w:rsidRPr="00D26B82">
        <w:rPr>
          <w:b/>
          <w:bCs/>
          <w:sz w:val="24"/>
          <w:szCs w:val="24"/>
        </w:rPr>
        <w:t>, 2022</w:t>
      </w:r>
      <w:r w:rsidR="00302261" w:rsidRPr="00D26B82">
        <w:rPr>
          <w:b/>
          <w:bCs/>
          <w:sz w:val="24"/>
          <w:szCs w:val="24"/>
        </w:rPr>
        <w:t>.</w:t>
      </w:r>
      <w:bookmarkEnd w:id="146"/>
      <w:bookmarkEnd w:id="147"/>
    </w:p>
    <w:p w14:paraId="5DBFE38E" w14:textId="38749A5C" w:rsidR="00F3585C" w:rsidRDefault="00F3585C" w:rsidP="00EE30AB">
      <w:pPr>
        <w:pStyle w:val="Source"/>
      </w:pPr>
      <w:r>
        <w:rPr>
          <w:noProof/>
        </w:rPr>
        <w:drawing>
          <wp:inline distT="0" distB="0" distL="0" distR="0" wp14:anchorId="7038B37E" wp14:editId="58D3DE44">
            <wp:extent cx="6134480" cy="2477386"/>
            <wp:effectExtent l="0" t="0" r="0" b="0"/>
            <wp:docPr id="627363726" name="Graphic 3" descr="A bar graph showing the proportion of 25 to 34-year-olds with tertiary attainment amongst OECD countries in 2022. Australia is above the OECD average, with about 55%, and ranks 8th out of OECD countries. It is below the United Kingdom, Lithuania, Luxembourg, Ireland, Japan, Canada and Korea (from lowest to high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363726" name="Graphic 3" descr="A bar graph showing the proportion of 25 to 34-year-olds with tertiary attainment amongst OECD countries in 2022. Australia is above the OECD average, with about 55%, and ranks 8th out of OECD countries. It is below the United Kingdom, Lithuania, Luxembourg, Ireland, Japan, Canada and Korea (from lowest to highest). "/>
                    <pic:cNvPicPr/>
                  </pic:nvPicPr>
                  <pic:blipFill>
                    <a:blip r:embed="rId41">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6173784" cy="2493259"/>
                    </a:xfrm>
                    <a:prstGeom prst="rect">
                      <a:avLst/>
                    </a:prstGeom>
                  </pic:spPr>
                </pic:pic>
              </a:graphicData>
            </a:graphic>
          </wp:inline>
        </w:drawing>
      </w:r>
    </w:p>
    <w:p w14:paraId="13745806" w14:textId="33BFBCEF" w:rsidR="005B3445" w:rsidRPr="00C4084C" w:rsidRDefault="005B3445" w:rsidP="00EE30AB">
      <w:pPr>
        <w:pStyle w:val="Source"/>
        <w:rPr>
          <w:szCs w:val="18"/>
        </w:rPr>
      </w:pPr>
      <w:r w:rsidRPr="00C4084C">
        <w:t xml:space="preserve">Source: OECD, </w:t>
      </w:r>
      <w:r w:rsidRPr="00C4084C">
        <w:rPr>
          <w:i/>
        </w:rPr>
        <w:t>Education at glance: Educational attainment and outcomes</w:t>
      </w:r>
      <w:r w:rsidRPr="00C4084C">
        <w:t xml:space="preserve">, </w:t>
      </w:r>
      <w:r w:rsidR="00222DA0" w:rsidRPr="00C4084C">
        <w:t xml:space="preserve">OECD Publishing: Pairs, </w:t>
      </w:r>
      <w:r w:rsidRPr="00C4084C">
        <w:t xml:space="preserve">2023, </w:t>
      </w:r>
      <w:r w:rsidR="003E5ED7" w:rsidRPr="00C4084C">
        <w:rPr>
          <w:szCs w:val="18"/>
        </w:rPr>
        <w:pgNum/>
      </w:r>
      <w:r w:rsidR="003E5ED7" w:rsidRPr="00C4084C">
        <w:rPr>
          <w:szCs w:val="18"/>
        </w:rPr>
        <w:t xml:space="preserve">, </w:t>
      </w:r>
      <w:r w:rsidR="003E5ED7" w:rsidRPr="00C4084C">
        <w:t>https://doi.org/10.1787/e13bef63-en.</w:t>
      </w:r>
      <w:r w:rsidRPr="00C4084C">
        <w:t xml:space="preserve"> </w:t>
      </w:r>
    </w:p>
    <w:p w14:paraId="6AC98A91" w14:textId="1583BFC7" w:rsidR="00FF48F7" w:rsidRPr="00C4084C" w:rsidRDefault="00FF48F7" w:rsidP="00EE30AB">
      <w:pPr>
        <w:pStyle w:val="Source"/>
        <w:rPr>
          <w:szCs w:val="18"/>
        </w:rPr>
      </w:pPr>
      <w:r w:rsidRPr="00C4084C">
        <w:t xml:space="preserve">Note: Tertiary education </w:t>
      </w:r>
      <w:r w:rsidR="00F87812" w:rsidRPr="00C4084C">
        <w:t>as defined by the OECD</w:t>
      </w:r>
      <w:r w:rsidRPr="00C4084C">
        <w:t xml:space="preserve"> includes diploma or above degrees (diploma, advanced diploma, bachelor, graduate certificate, graduate </w:t>
      </w:r>
      <w:proofErr w:type="gramStart"/>
      <w:r w:rsidRPr="00C4084C">
        <w:t>diploma</w:t>
      </w:r>
      <w:proofErr w:type="gramEnd"/>
      <w:r w:rsidRPr="00C4084C">
        <w:t xml:space="preserve"> and postgraduate degree).</w:t>
      </w:r>
    </w:p>
    <w:p w14:paraId="7161ABCD" w14:textId="50D1A942" w:rsidR="005B3445" w:rsidRPr="00C4084C" w:rsidRDefault="005B3445" w:rsidP="00BA6095">
      <w:pPr>
        <w:pStyle w:val="Heading4"/>
      </w:pPr>
      <w:bookmarkStart w:id="148" w:name="_Toc149394880"/>
      <w:bookmarkStart w:id="149" w:name="_Toc149395013"/>
      <w:bookmarkStart w:id="150" w:name="_Toc149394882"/>
      <w:bookmarkStart w:id="151" w:name="_Toc149395015"/>
      <w:bookmarkStart w:id="152" w:name="_Toc149394883"/>
      <w:bookmarkStart w:id="153" w:name="_Toc149395016"/>
      <w:bookmarkStart w:id="154" w:name="_Toc149297905"/>
      <w:bookmarkStart w:id="155" w:name="_Toc149394884"/>
      <w:bookmarkStart w:id="156" w:name="_Toc149395017"/>
      <w:bookmarkStart w:id="157" w:name="_Toc149297906"/>
      <w:bookmarkStart w:id="158" w:name="_Toc149394885"/>
      <w:bookmarkStart w:id="159" w:name="_Toc149395018"/>
      <w:bookmarkStart w:id="160" w:name="_Toc149297907"/>
      <w:bookmarkStart w:id="161" w:name="_Toc149394886"/>
      <w:bookmarkStart w:id="162" w:name="_Toc149395019"/>
      <w:bookmarkStart w:id="163" w:name="_Toc149297908"/>
      <w:bookmarkStart w:id="164" w:name="_Toc149394887"/>
      <w:bookmarkStart w:id="165" w:name="_Toc149395020"/>
      <w:bookmarkStart w:id="166" w:name="_Toc149297909"/>
      <w:bookmarkStart w:id="167" w:name="_Toc149394888"/>
      <w:bookmarkStart w:id="168" w:name="_Toc149395021"/>
      <w:bookmarkStart w:id="169" w:name="_Toc149297910"/>
      <w:bookmarkStart w:id="170" w:name="_Toc149394889"/>
      <w:bookmarkStart w:id="171" w:name="_Toc149395022"/>
      <w:bookmarkStart w:id="172" w:name="_Toc149297911"/>
      <w:bookmarkStart w:id="173" w:name="_Toc149394890"/>
      <w:bookmarkStart w:id="174" w:name="_Toc149395023"/>
      <w:bookmarkStart w:id="175" w:name="_Toc149297912"/>
      <w:bookmarkStart w:id="176" w:name="_Toc149394891"/>
      <w:bookmarkStart w:id="177" w:name="_Toc149395024"/>
      <w:bookmarkStart w:id="178" w:name="_Toc149297913"/>
      <w:bookmarkStart w:id="179" w:name="_Toc149394892"/>
      <w:bookmarkStart w:id="180" w:name="_Toc149395025"/>
      <w:bookmarkStart w:id="181" w:name="_Toc149297914"/>
      <w:bookmarkStart w:id="182" w:name="_Toc149394893"/>
      <w:bookmarkStart w:id="183" w:name="_Toc149395026"/>
      <w:bookmarkStart w:id="184" w:name="_Toc149297915"/>
      <w:bookmarkStart w:id="185" w:name="_Toc149394894"/>
      <w:bookmarkStart w:id="186" w:name="_Toc149395027"/>
      <w:bookmarkStart w:id="187" w:name="_Toc151807260"/>
      <w:bookmarkStart w:id="188" w:name="_Toc614972679"/>
      <w:bookmarkStart w:id="189" w:name="_Toc153483010"/>
      <w:bookmarkStart w:id="190" w:name="_Toc159500920"/>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sidRPr="00C4084C">
        <w:t xml:space="preserve">Growing the system: new targets to drive tertiary </w:t>
      </w:r>
      <w:proofErr w:type="gramStart"/>
      <w:r w:rsidRPr="00C4084C">
        <w:t>attainment</w:t>
      </w:r>
      <w:bookmarkEnd w:id="187"/>
      <w:bookmarkEnd w:id="188"/>
      <w:bookmarkEnd w:id="189"/>
      <w:bookmarkEnd w:id="190"/>
      <w:proofErr w:type="gramEnd"/>
    </w:p>
    <w:p w14:paraId="4B08DE91" w14:textId="559BF49A" w:rsidR="005B3445" w:rsidRPr="00C4084C" w:rsidRDefault="005B3445" w:rsidP="00F82F56">
      <w:r w:rsidRPr="00C4084C">
        <w:t>The Review was asked to consider and propose new targets to help meet Australia’s skills needs now and into the future.</w:t>
      </w:r>
    </w:p>
    <w:p w14:paraId="2E4F4DB3" w14:textId="5119C415" w:rsidR="005B3445" w:rsidRPr="00C4084C" w:rsidRDefault="005B3445" w:rsidP="00F82F56">
      <w:r w:rsidRPr="00C4084C">
        <w:t xml:space="preserve">As the Review noted in its Interim Report, a higher education target is required to guide policy development and funding decisions. However, a higher education target alone is insufficient. A whole-of-tertiary target is required, as both higher education and VET participation will need to </w:t>
      </w:r>
      <w:r w:rsidR="00471D8F" w:rsidRPr="00C4084C">
        <w:t xml:space="preserve">grow </w:t>
      </w:r>
      <w:r w:rsidRPr="00C4084C">
        <w:t>if Australia is to meet its skills needs. This represents an evolution in the Review’s thinking since delivery of the Interim Report</w:t>
      </w:r>
      <w:r w:rsidR="00F43225" w:rsidRPr="00C4084C">
        <w:t>. There, the Review o</w:t>
      </w:r>
      <w:r w:rsidRPr="00C4084C">
        <w:t>utlined the potential to set a target of 55% of 25 to 34</w:t>
      </w:r>
      <w:r w:rsidR="005B231D" w:rsidRPr="00C4084C">
        <w:noBreakHyphen/>
      </w:r>
      <w:r w:rsidRPr="00C4084C">
        <w:t xml:space="preserve">year-olds holding a </w:t>
      </w:r>
      <w:proofErr w:type="gramStart"/>
      <w:r w:rsidRPr="00C4084C">
        <w:t>bachelor</w:t>
      </w:r>
      <w:proofErr w:type="gramEnd"/>
      <w:r w:rsidRPr="00C4084C">
        <w:t xml:space="preserve"> degree or above by 2050. </w:t>
      </w:r>
      <w:r w:rsidR="00F43225" w:rsidRPr="00C4084C">
        <w:t>But</w:t>
      </w:r>
      <w:r w:rsidR="00702D8C" w:rsidRPr="00C4084C">
        <w:t xml:space="preserve"> </w:t>
      </w:r>
      <w:r w:rsidR="00F43225" w:rsidRPr="00C4084C">
        <w:t>a</w:t>
      </w:r>
      <w:r w:rsidR="00A36407" w:rsidRPr="00C4084C">
        <w:t xml:space="preserve"> whole-of-tertiary target acknowledges th</w:t>
      </w:r>
      <w:r w:rsidR="00F43225" w:rsidRPr="00C4084C">
        <w:t>e</w:t>
      </w:r>
      <w:r w:rsidR="00A36407" w:rsidRPr="00C4084C">
        <w:t xml:space="preserve"> role that a more integrated tertiary </w:t>
      </w:r>
      <w:r w:rsidR="00EB55F9" w:rsidRPr="00C4084C">
        <w:t xml:space="preserve">education </w:t>
      </w:r>
      <w:r w:rsidR="00A36407" w:rsidRPr="00C4084C">
        <w:t xml:space="preserve">system will play in meeting skills demand and the need to foster greater parity of esteem between the </w:t>
      </w:r>
      <w:r w:rsidR="00D16150" w:rsidRPr="00C4084C">
        <w:t xml:space="preserve">2 </w:t>
      </w:r>
      <w:r w:rsidR="00A36407" w:rsidRPr="00C4084C">
        <w:t>sectors.</w:t>
      </w:r>
    </w:p>
    <w:p w14:paraId="33648A85" w14:textId="7BBCA7ED" w:rsidR="005B3445" w:rsidRPr="00C4084C" w:rsidRDefault="005B3445" w:rsidP="00F82F56">
      <w:r w:rsidRPr="00C4084C">
        <w:lastRenderedPageBreak/>
        <w:t>A new and ambitious tertiary attainment and participation target would</w:t>
      </w:r>
      <w:r w:rsidRPr="00C4084C" w:rsidDel="00DC457B">
        <w:t xml:space="preserve"> </w:t>
      </w:r>
      <w:r w:rsidR="00DC457B" w:rsidRPr="00C4084C">
        <w:t xml:space="preserve">drive </w:t>
      </w:r>
      <w:r w:rsidRPr="00C4084C">
        <w:t xml:space="preserve">the responses of </w:t>
      </w:r>
      <w:r w:rsidR="00DC457B" w:rsidRPr="00C4084C">
        <w:t xml:space="preserve">tertiary education </w:t>
      </w:r>
      <w:r w:rsidRPr="00C4084C">
        <w:t xml:space="preserve">providers, </w:t>
      </w:r>
      <w:proofErr w:type="gramStart"/>
      <w:r w:rsidRPr="00C4084C">
        <w:t>government</w:t>
      </w:r>
      <w:r w:rsidR="00702D8C" w:rsidRPr="00C4084C">
        <w:t>s</w:t>
      </w:r>
      <w:proofErr w:type="gramEnd"/>
      <w:r w:rsidRPr="00C4084C">
        <w:t xml:space="preserve"> and regulators, all working towards a better-connected tertiary </w:t>
      </w:r>
      <w:r w:rsidR="00EB55F9" w:rsidRPr="00C4084C">
        <w:t xml:space="preserve">education </w:t>
      </w:r>
      <w:r w:rsidRPr="00C4084C">
        <w:t xml:space="preserve">system centred on meeting skills needs </w:t>
      </w:r>
      <w:r w:rsidR="00F82711" w:rsidRPr="00C4084C">
        <w:t>including</w:t>
      </w:r>
      <w:r w:rsidRPr="00C4084C">
        <w:t xml:space="preserve"> through upskilling, reskilling and other forms of lifelong learning. Targets also provide an important metric for tracking and measuring progress.</w:t>
      </w:r>
    </w:p>
    <w:p w14:paraId="3322D686" w14:textId="15972D04" w:rsidR="005B3445" w:rsidRPr="00C4084C" w:rsidRDefault="005B3445" w:rsidP="00F82F56">
      <w:r w:rsidRPr="00C4084C">
        <w:t xml:space="preserve">Australia has done remarkably well over several decades to increase the share of young people with a tertiary qualification, driven particularly by a significant expansion in the number of women obtaining higher education and by the contribution of skilled migration. However, the nation cannot rely on these continuing shifts alone to meet future demands. To further increase attainment, it will be necessary to </w:t>
      </w:r>
      <w:proofErr w:type="gramStart"/>
      <w:r w:rsidRPr="00C4084C">
        <w:t>open up</w:t>
      </w:r>
      <w:proofErr w:type="gramEnd"/>
      <w:r w:rsidRPr="00C4084C">
        <w:t xml:space="preserve"> educational opportunities for new cohorts, particularly those from backgrounds which remain under</w:t>
      </w:r>
      <w:r w:rsidR="009215E5" w:rsidRPr="00C4084C">
        <w:t>-</w:t>
      </w:r>
      <w:r w:rsidRPr="00C4084C">
        <w:t>represented in education.</w:t>
      </w:r>
    </w:p>
    <w:p w14:paraId="5312522B" w14:textId="027EF04C" w:rsidR="00510F27" w:rsidRPr="00C4084C" w:rsidRDefault="005B3445" w:rsidP="00F82F56">
      <w:r w:rsidRPr="00C4084C">
        <w:t>The Review is recommending that, to meet the skills needs of the future</w:t>
      </w:r>
      <w:r w:rsidR="00072B40" w:rsidRPr="00C4084C">
        <w:t xml:space="preserve"> and to facilitate participation in the labour market</w:t>
      </w:r>
      <w:r w:rsidRPr="00C4084C">
        <w:t xml:space="preserve">, the </w:t>
      </w:r>
      <w:r w:rsidR="002F458A" w:rsidRPr="00C4084C">
        <w:t xml:space="preserve">Australian </w:t>
      </w:r>
      <w:r w:rsidRPr="00C4084C">
        <w:t>Government set a target of</w:t>
      </w:r>
      <w:r w:rsidR="008C4411" w:rsidRPr="00C4084C">
        <w:t xml:space="preserve"> </w:t>
      </w:r>
      <w:r w:rsidR="00594122" w:rsidRPr="00C4084C">
        <w:t>at least</w:t>
      </w:r>
      <w:r w:rsidR="00DE37EA" w:rsidRPr="00C4084C">
        <w:t xml:space="preserve"> 80</w:t>
      </w:r>
      <w:r w:rsidRPr="00C4084C">
        <w:t xml:space="preserve">% of </w:t>
      </w:r>
      <w:r w:rsidR="00225ACA" w:rsidRPr="00C4084C">
        <w:t>the working age population</w:t>
      </w:r>
      <w:r w:rsidRPr="00C4084C">
        <w:t xml:space="preserve"> achieving a tertiary education by 2050 and, within this, a target of 55% of </w:t>
      </w:r>
      <w:r w:rsidRPr="00D25266">
        <w:t>25</w:t>
      </w:r>
      <w:r w:rsidR="001067C6" w:rsidRPr="00D25266">
        <w:t> to </w:t>
      </w:r>
      <w:r w:rsidRPr="00D25266">
        <w:t>34</w:t>
      </w:r>
      <w:r w:rsidR="00D25266">
        <w:t>-</w:t>
      </w:r>
      <w:r w:rsidRPr="00D25266">
        <w:t>year</w:t>
      </w:r>
      <w:r w:rsidR="00D25266">
        <w:t>-</w:t>
      </w:r>
      <w:r w:rsidRPr="00D25266">
        <w:t xml:space="preserve">olds achieving a </w:t>
      </w:r>
      <w:r w:rsidR="00510F27" w:rsidRPr="00D25266">
        <w:t>bachelor level or above qualification by 2050</w:t>
      </w:r>
      <w:r w:rsidR="00B40765" w:rsidRPr="00D25266">
        <w:t xml:space="preserve"> (see Recommendation </w:t>
      </w:r>
      <w:r w:rsidR="00B40765" w:rsidRPr="00C4084C">
        <w:t>2)</w:t>
      </w:r>
      <w:r w:rsidR="00510F27" w:rsidRPr="00C4084C">
        <w:t>. While th</w:t>
      </w:r>
      <w:r w:rsidR="00C44ACC" w:rsidRPr="00C4084C">
        <w:t>e latter</w:t>
      </w:r>
      <w:r w:rsidR="00A00C43" w:rsidRPr="00C4084C">
        <w:t xml:space="preserve"> proposed</w:t>
      </w:r>
      <w:r w:rsidR="00510F27" w:rsidRPr="00C4084C">
        <w:t xml:space="preserve"> </w:t>
      </w:r>
      <w:r w:rsidR="5E760170" w:rsidRPr="00C4084C">
        <w:t xml:space="preserve">target </w:t>
      </w:r>
      <w:r w:rsidR="00A00C43" w:rsidRPr="00C4084C">
        <w:t xml:space="preserve">(55%) </w:t>
      </w:r>
      <w:r w:rsidR="00510F27" w:rsidRPr="00C4084C">
        <w:t xml:space="preserve">is below the figure indicated by the Oxford Economics </w:t>
      </w:r>
      <w:r w:rsidR="00CA3A0C" w:rsidRPr="00C4084C">
        <w:t>Australia</w:t>
      </w:r>
      <w:r w:rsidR="00510F27" w:rsidRPr="00C4084C">
        <w:t xml:space="preserve"> analysis</w:t>
      </w:r>
      <w:r w:rsidR="00A00C43" w:rsidRPr="00C4084C">
        <w:t xml:space="preserve"> (57%)</w:t>
      </w:r>
      <w:r w:rsidRPr="00C4084C">
        <w:t>,</w:t>
      </w:r>
      <w:r w:rsidR="00510F27" w:rsidRPr="00C4084C">
        <w:t xml:space="preserve"> the </w:t>
      </w:r>
      <w:r w:rsidR="00524007" w:rsidRPr="00C4084C">
        <w:t>Review</w:t>
      </w:r>
      <w:r w:rsidR="00510F27" w:rsidRPr="00C4084C">
        <w:t xml:space="preserve"> </w:t>
      </w:r>
      <w:r w:rsidR="0898335F" w:rsidRPr="00C4084C">
        <w:t>notes</w:t>
      </w:r>
      <w:r w:rsidR="00510F27" w:rsidRPr="00C4084C">
        <w:t xml:space="preserve"> that the OE analysis is based on current policy settings in VET and </w:t>
      </w:r>
      <w:r w:rsidR="7C13530F" w:rsidRPr="00C4084C">
        <w:t>h</w:t>
      </w:r>
      <w:r w:rsidR="00510F27" w:rsidRPr="00C4084C">
        <w:t xml:space="preserve">igher </w:t>
      </w:r>
      <w:proofErr w:type="gramStart"/>
      <w:r w:rsidR="00510F27" w:rsidRPr="00C4084C">
        <w:t>education</w:t>
      </w:r>
      <w:r w:rsidR="7B2D0C4D" w:rsidRPr="00C4084C">
        <w:t>,</w:t>
      </w:r>
      <w:r w:rsidR="00510F27" w:rsidRPr="00C4084C">
        <w:t xml:space="preserve"> and</w:t>
      </w:r>
      <w:proofErr w:type="gramEnd"/>
      <w:r w:rsidR="00510F27" w:rsidRPr="00C4084C">
        <w:t xml:space="preserve"> considers that </w:t>
      </w:r>
      <w:r w:rsidR="6466C701" w:rsidRPr="00C4084C">
        <w:t>a</w:t>
      </w:r>
      <w:r w:rsidR="00510F27" w:rsidRPr="00C4084C">
        <w:t xml:space="preserve"> 55%</w:t>
      </w:r>
      <w:r w:rsidR="7FEC625C" w:rsidRPr="00C4084C">
        <w:t xml:space="preserve"> target</w:t>
      </w:r>
      <w:r w:rsidR="00510F27" w:rsidRPr="00C4084C">
        <w:t xml:space="preserve"> is appropriate to </w:t>
      </w:r>
      <w:r w:rsidR="08AEFDDC" w:rsidRPr="00C4084C">
        <w:t>recognise</w:t>
      </w:r>
      <w:r w:rsidR="00510F27" w:rsidRPr="00C4084C">
        <w:t xml:space="preserve"> that VET will make a growing contribution to tertiary attainment in the future. To this end, the </w:t>
      </w:r>
      <w:r w:rsidR="002502A3" w:rsidRPr="00C4084C">
        <w:t>Review</w:t>
      </w:r>
      <w:r w:rsidR="00510F27" w:rsidRPr="00C4084C">
        <w:t xml:space="preserve"> is also recommending a planning assumption that 40% of 25 to 34</w:t>
      </w:r>
      <w:r w:rsidR="00C504DC" w:rsidRPr="00C4084C">
        <w:t>-</w:t>
      </w:r>
      <w:r w:rsidR="00510F27" w:rsidRPr="00C4084C">
        <w:t>year-olds will have a tertiary level vocational or technical qualification in 2050, noting that some people have both a VET and higher education qualification</w:t>
      </w:r>
      <w:r w:rsidR="00FA7CD0" w:rsidRPr="00C4084C">
        <w:t xml:space="preserve"> (also see Recommendation 2)</w:t>
      </w:r>
      <w:r w:rsidR="00510F27" w:rsidRPr="00C4084C">
        <w:t xml:space="preserve">. </w:t>
      </w:r>
    </w:p>
    <w:p w14:paraId="00E71876" w14:textId="37ABE3DB" w:rsidR="00510F27" w:rsidRPr="00C4084C" w:rsidRDefault="00510F27" w:rsidP="00F82F56">
      <w:r w:rsidRPr="00C4084C">
        <w:t xml:space="preserve">The Review is not recommending a specific growth target for VET but acknowledges that a planning assumption around potential growth in VET is necessary </w:t>
      </w:r>
      <w:r w:rsidR="004D594E">
        <w:t>and that</w:t>
      </w:r>
      <w:r w:rsidR="004D594E" w:rsidRPr="00C4084C">
        <w:t xml:space="preserve"> </w:t>
      </w:r>
      <w:r w:rsidRPr="00C4084C">
        <w:t xml:space="preserve">specific targets for VET participation </w:t>
      </w:r>
      <w:r w:rsidR="004D594E">
        <w:t>will</w:t>
      </w:r>
      <w:r w:rsidR="004D594E" w:rsidRPr="00C4084C">
        <w:t xml:space="preserve"> </w:t>
      </w:r>
      <w:r w:rsidRPr="00C4084C">
        <w:t xml:space="preserve">be built into the National Skills Agreement. </w:t>
      </w:r>
    </w:p>
    <w:p w14:paraId="5A8CB416" w14:textId="0B82FAC6" w:rsidR="005B3445" w:rsidRPr="00C4084C" w:rsidRDefault="00510F27" w:rsidP="00F82F56">
      <w:r w:rsidRPr="00C4084C">
        <w:t xml:space="preserve">Achieving these targets will require substantial growth in the proportion of the population that </w:t>
      </w:r>
      <w:r w:rsidR="00F82711" w:rsidRPr="00C4084C">
        <w:t xml:space="preserve">has </w:t>
      </w:r>
      <w:r w:rsidRPr="00C4084C">
        <w:t>a tertiary qualification</w:t>
      </w:r>
      <w:r w:rsidR="00DC6FDC" w:rsidRPr="00C4084C">
        <w:t xml:space="preserve"> </w:t>
      </w:r>
      <w:r w:rsidR="005F7F3B" w:rsidRPr="00C4084C">
        <w:t>relative</w:t>
      </w:r>
      <w:r w:rsidR="00DC6FDC" w:rsidRPr="00C4084C">
        <w:t xml:space="preserve"> </w:t>
      </w:r>
      <w:r w:rsidR="1A71215E" w:rsidRPr="00C4084C">
        <w:t xml:space="preserve">to </w:t>
      </w:r>
      <w:r w:rsidR="00DC6FDC" w:rsidRPr="00C4084C">
        <w:t>current</w:t>
      </w:r>
      <w:r w:rsidRPr="00C4084C">
        <w:t xml:space="preserve"> attainment rates (highest level obtained) for </w:t>
      </w:r>
      <w:r w:rsidR="00DC6FDC" w:rsidRPr="00C4084C">
        <w:t xml:space="preserve">both </w:t>
      </w:r>
      <w:r w:rsidRPr="00C4084C">
        <w:t>the working age population in higher education</w:t>
      </w:r>
      <w:r w:rsidR="00DC6FDC" w:rsidRPr="00C4084C">
        <w:t xml:space="preserve"> (33%)</w:t>
      </w:r>
      <w:r w:rsidRPr="00C4084C">
        <w:t xml:space="preserve">, VET </w:t>
      </w:r>
      <w:r w:rsidR="00DC6FDC" w:rsidRPr="00C4084C">
        <w:t xml:space="preserve">(27%) </w:t>
      </w:r>
      <w:r w:rsidRPr="00C4084C">
        <w:t xml:space="preserve">and tertiary education </w:t>
      </w:r>
      <w:r w:rsidR="00DC6FDC" w:rsidRPr="00C4084C">
        <w:t xml:space="preserve">(60%), as well as for </w:t>
      </w:r>
      <w:r w:rsidR="005B3445" w:rsidRPr="00C4084C">
        <w:t>25</w:t>
      </w:r>
      <w:r w:rsidR="005F7F3B" w:rsidRPr="00C4084C">
        <w:t> </w:t>
      </w:r>
      <w:r w:rsidR="005B3445" w:rsidRPr="00C4084C">
        <w:t>to 34-year-olds in higher education</w:t>
      </w:r>
      <w:r w:rsidR="00DC6FDC" w:rsidRPr="00C4084C">
        <w:t xml:space="preserve"> (45%)</w:t>
      </w:r>
      <w:r w:rsidR="005B3445" w:rsidRPr="00C4084C">
        <w:t xml:space="preserve">, VET </w:t>
      </w:r>
      <w:r w:rsidR="00DC6FDC" w:rsidRPr="00C4084C">
        <w:t>(2</w:t>
      </w:r>
      <w:r w:rsidR="005F7F3B" w:rsidRPr="00C4084C">
        <w:t>8</w:t>
      </w:r>
      <w:r w:rsidR="00DC6FDC" w:rsidRPr="00C4084C">
        <w:t xml:space="preserve">%) </w:t>
      </w:r>
      <w:r w:rsidR="005B3445" w:rsidRPr="00C4084C">
        <w:t xml:space="preserve">and tertiary education </w:t>
      </w:r>
      <w:r w:rsidR="00DC6FDC" w:rsidRPr="00C4084C">
        <w:t>(7</w:t>
      </w:r>
      <w:r w:rsidR="005F7F3B" w:rsidRPr="00C4084C">
        <w:t>3</w:t>
      </w:r>
      <w:r w:rsidR="00DC6FDC" w:rsidRPr="00C4084C">
        <w:t>%)</w:t>
      </w:r>
      <w:r w:rsidR="005B3445" w:rsidRPr="00C4084C">
        <w:t>.</w:t>
      </w:r>
      <w:r w:rsidR="005B3445" w:rsidRPr="00C4084C">
        <w:rPr>
          <w:rStyle w:val="FootnoteReference"/>
        </w:rPr>
        <w:footnoteReference w:id="109"/>
      </w:r>
      <w:r w:rsidR="005B3445" w:rsidRPr="00C4084C">
        <w:t xml:space="preserve"> </w:t>
      </w:r>
    </w:p>
    <w:p w14:paraId="3C6F26AE" w14:textId="71397A76" w:rsidR="005B3445" w:rsidRPr="00C4084C" w:rsidRDefault="004D708B" w:rsidP="00F82F56">
      <w:pPr>
        <w:rPr>
          <w:b/>
        </w:rPr>
      </w:pPr>
      <w:r w:rsidRPr="00C4084C">
        <w:t>T</w:t>
      </w:r>
      <w:r w:rsidR="005B3445" w:rsidRPr="00C4084C">
        <w:t xml:space="preserve">o reach these tertiary and higher education targets, relatively higher attainment </w:t>
      </w:r>
      <w:r w:rsidR="00E75A65" w:rsidRPr="00C4084C">
        <w:t>is</w:t>
      </w:r>
      <w:r w:rsidR="005B3445" w:rsidRPr="00C4084C">
        <w:t xml:space="preserve"> needed amongst younger cohorts relative to the working age population overall, particularly over the next decade. This reflects that</w:t>
      </w:r>
      <w:r w:rsidR="00D25266">
        <w:t>,</w:t>
      </w:r>
      <w:r w:rsidR="005B3445" w:rsidRPr="00C4084C">
        <w:t xml:space="preserve"> as current younger age cohorts ‘age through’ the workforce over the next 30 years, their attainment rates will make a greater contribution to the proposed 2050 working age population attainment targets compared with, for example, those currently in the 45 to 54-year-old age bracket.</w:t>
      </w:r>
      <w:r w:rsidR="00295890" w:rsidRPr="00C4084C">
        <w:t xml:space="preserve"> </w:t>
      </w:r>
      <w:r w:rsidR="00EB55F9" w:rsidRPr="00C4084C">
        <w:t>Of course,</w:t>
      </w:r>
      <w:r w:rsidR="00295890" w:rsidRPr="00C4084C">
        <w:t xml:space="preserve"> </w:t>
      </w:r>
      <w:r w:rsidR="006E26D0" w:rsidRPr="00C4084C">
        <w:t>as</w:t>
      </w:r>
      <w:r w:rsidR="00295890" w:rsidRPr="00C4084C">
        <w:t xml:space="preserve"> these cohorts </w:t>
      </w:r>
      <w:r w:rsidR="006E26D0" w:rsidRPr="00C4084C">
        <w:t xml:space="preserve">age through the workforce they </w:t>
      </w:r>
      <w:r w:rsidR="00295890" w:rsidRPr="00C4084C">
        <w:t>will also reskill and upskill</w:t>
      </w:r>
      <w:r w:rsidR="006E26D0" w:rsidRPr="00C4084C">
        <w:t>,</w:t>
      </w:r>
      <w:r w:rsidR="00295890" w:rsidRPr="00C4084C">
        <w:t xml:space="preserve"> further </w:t>
      </w:r>
      <w:r w:rsidR="006E26D0" w:rsidRPr="00C4084C">
        <w:t xml:space="preserve">contributing </w:t>
      </w:r>
      <w:r w:rsidR="00295890" w:rsidRPr="00C4084C">
        <w:t xml:space="preserve">to the </w:t>
      </w:r>
      <w:r w:rsidR="00FC2886" w:rsidRPr="00C4084C">
        <w:t xml:space="preserve">supply </w:t>
      </w:r>
      <w:r w:rsidR="00295890" w:rsidRPr="00C4084C">
        <w:t>of people with the skills from tertiary education needed in the workforce.</w:t>
      </w:r>
    </w:p>
    <w:p w14:paraId="7C04C0D5" w14:textId="43899C17" w:rsidR="006D19F8" w:rsidRDefault="005B3445" w:rsidP="00F82F56">
      <w:r w:rsidRPr="00C4084C">
        <w:t xml:space="preserve">Achieving new higher education and broader tertiary attainment targets will require concerted effort to bring those who are not currently participating in tertiary education into the system, rather than simply shifting </w:t>
      </w:r>
      <w:r w:rsidR="000C78E1" w:rsidRPr="00C4084C">
        <w:t xml:space="preserve">existing </w:t>
      </w:r>
      <w:r w:rsidRPr="00C4084C">
        <w:t xml:space="preserve">students between the higher education and VET sectors. In the case of higher education, achieving 55% attainment for 25 to 34-year-olds in 2050 is likely to require </w:t>
      </w:r>
      <w:r w:rsidR="00423ED9" w:rsidRPr="00C4084C">
        <w:t>more than</w:t>
      </w:r>
      <w:r w:rsidRPr="00C4084C">
        <w:t xml:space="preserve"> doubling </w:t>
      </w:r>
      <w:r w:rsidR="00487AC4" w:rsidRPr="00C4084C">
        <w:t>of</w:t>
      </w:r>
      <w:r w:rsidRPr="00C4084C">
        <w:t xml:space="preserve"> the number of Commonwealth supported </w:t>
      </w:r>
      <w:r w:rsidR="005F7F3B" w:rsidRPr="00C4084C">
        <w:t>students</w:t>
      </w:r>
      <w:r w:rsidRPr="00C4084C">
        <w:t xml:space="preserve"> from </w:t>
      </w:r>
      <w:r w:rsidR="00B86C54" w:rsidRPr="00C4084C">
        <w:t xml:space="preserve">current, </w:t>
      </w:r>
      <w:r w:rsidRPr="00C4084C">
        <w:t>202</w:t>
      </w:r>
      <w:r w:rsidR="00C14B26" w:rsidRPr="00C4084C">
        <w:t>2</w:t>
      </w:r>
      <w:r w:rsidRPr="00C4084C">
        <w:t xml:space="preserve"> </w:t>
      </w:r>
      <w:r w:rsidR="00B86C54" w:rsidRPr="00C4084C">
        <w:t xml:space="preserve">levels </w:t>
      </w:r>
      <w:r w:rsidR="005F7F3B" w:rsidRPr="00C4084C">
        <w:t xml:space="preserve">(860,000) </w:t>
      </w:r>
      <w:r w:rsidR="00B86C54" w:rsidRPr="00C4084C">
        <w:t xml:space="preserve">through </w:t>
      </w:r>
      <w:r w:rsidRPr="00C4084C">
        <w:t xml:space="preserve">to 2035 </w:t>
      </w:r>
      <w:r w:rsidR="005F7F3B" w:rsidRPr="00C4084C">
        <w:t xml:space="preserve">(at least 1.2 million) </w:t>
      </w:r>
      <w:r w:rsidRPr="00C4084C">
        <w:t>and 2050</w:t>
      </w:r>
      <w:r w:rsidR="005F7F3B" w:rsidRPr="00C4084C">
        <w:t xml:space="preserve"> (at least 1.8 million</w:t>
      </w:r>
      <w:r w:rsidR="00B86C54" w:rsidRPr="00C4084C">
        <w:t>)</w:t>
      </w:r>
      <w:r w:rsidRPr="00C4084C">
        <w:t xml:space="preserve">. </w:t>
      </w:r>
      <w:r w:rsidR="002F5F75" w:rsidRPr="00C4084C">
        <w:t xml:space="preserve">As shown in </w:t>
      </w:r>
      <w:r w:rsidR="002F5F75" w:rsidRPr="00C4084C">
        <w:fldChar w:fldCharType="begin"/>
      </w:r>
      <w:r w:rsidR="002F5F75" w:rsidRPr="00C4084C">
        <w:instrText xml:space="preserve"> REF _Ref153270985 \h </w:instrText>
      </w:r>
      <w:r w:rsidR="00404FEC" w:rsidRPr="00C4084C">
        <w:instrText xml:space="preserve"> \* MERGEFORMAT </w:instrText>
      </w:r>
      <w:r w:rsidR="002F5F75" w:rsidRPr="00C4084C">
        <w:fldChar w:fldCharType="separate"/>
      </w:r>
      <w:r w:rsidR="00467B4F" w:rsidRPr="00C4084C">
        <w:t xml:space="preserve">Figure </w:t>
      </w:r>
      <w:r w:rsidR="00467B4F">
        <w:rPr>
          <w:noProof/>
        </w:rPr>
        <w:t>4</w:t>
      </w:r>
      <w:r w:rsidR="002F5F75" w:rsidRPr="00C4084C">
        <w:fldChar w:fldCharType="end"/>
      </w:r>
      <w:r w:rsidR="002F5F75" w:rsidRPr="00C4084C">
        <w:t>,</w:t>
      </w:r>
      <w:r w:rsidRPr="00C4084C" w:rsidDel="002F5F75">
        <w:t xml:space="preserve"> </w:t>
      </w:r>
      <w:r w:rsidR="002F5F75" w:rsidRPr="00C4084C">
        <w:t>this</w:t>
      </w:r>
      <w:r w:rsidRPr="00C4084C">
        <w:t xml:space="preserve"> is significantly above current </w:t>
      </w:r>
      <w:r w:rsidRPr="00C4084C">
        <w:lastRenderedPageBreak/>
        <w:t>Department of Education projections of growth in C</w:t>
      </w:r>
      <w:r w:rsidR="6BE954A5" w:rsidRPr="00C4084C">
        <w:t>ommonwealth supported places</w:t>
      </w:r>
      <w:r w:rsidRPr="00C4084C">
        <w:t xml:space="preserve"> based on existing policy settings and population growth</w:t>
      </w:r>
      <w:r w:rsidR="00487AC4" w:rsidRPr="00C4084C">
        <w:t>.</w:t>
      </w:r>
    </w:p>
    <w:p w14:paraId="1135EFF5" w14:textId="77777777" w:rsidR="006D19F8" w:rsidRDefault="006D19F8">
      <w:pPr>
        <w:spacing w:after="160"/>
      </w:pPr>
      <w:r>
        <w:br w:type="page"/>
      </w:r>
    </w:p>
    <w:p w14:paraId="5D66988C" w14:textId="7997E0A1" w:rsidR="005B3445" w:rsidRPr="00D26B82" w:rsidRDefault="005B3445" w:rsidP="005E5C5F">
      <w:pPr>
        <w:pStyle w:val="Caption"/>
        <w:rPr>
          <w:b/>
          <w:bCs/>
          <w:sz w:val="24"/>
          <w:szCs w:val="24"/>
        </w:rPr>
      </w:pPr>
      <w:bookmarkStart w:id="191" w:name="_Ref153270985"/>
      <w:bookmarkStart w:id="192" w:name="_Toc154674766"/>
      <w:r w:rsidRPr="00D26B82">
        <w:rPr>
          <w:b/>
          <w:bCs/>
          <w:sz w:val="24"/>
          <w:szCs w:val="24"/>
        </w:rPr>
        <w:lastRenderedPageBreak/>
        <w:t xml:space="preserve">Figure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4</w:t>
      </w:r>
      <w:r w:rsidRPr="00D26B82">
        <w:rPr>
          <w:b/>
          <w:bCs/>
          <w:sz w:val="24"/>
          <w:szCs w:val="24"/>
        </w:rPr>
        <w:fldChar w:fldCharType="end"/>
      </w:r>
      <w:bookmarkEnd w:id="191"/>
      <w:r w:rsidR="00EE30AB" w:rsidRPr="00D26B82">
        <w:rPr>
          <w:b/>
          <w:bCs/>
          <w:sz w:val="24"/>
          <w:szCs w:val="24"/>
        </w:rPr>
        <w:t>:</w:t>
      </w:r>
      <w:r w:rsidRPr="00D26B82">
        <w:rPr>
          <w:b/>
          <w:bCs/>
          <w:sz w:val="24"/>
          <w:szCs w:val="24"/>
        </w:rPr>
        <w:t xml:space="preserve"> </w:t>
      </w:r>
      <w:r w:rsidR="00F032A9" w:rsidRPr="00D26B82">
        <w:rPr>
          <w:rStyle w:val="normaltextrun"/>
          <w:rFonts w:ascii="Calibri" w:hAnsi="Calibri" w:cs="Calibri"/>
          <w:b/>
          <w:bCs/>
          <w:sz w:val="24"/>
          <w:szCs w:val="24"/>
        </w:rPr>
        <w:t>Total C</w:t>
      </w:r>
      <w:r w:rsidR="58E1FE00" w:rsidRPr="00D26B82">
        <w:rPr>
          <w:rStyle w:val="normaltextrun"/>
          <w:rFonts w:ascii="Calibri" w:hAnsi="Calibri" w:cs="Calibri"/>
          <w:b/>
          <w:bCs/>
          <w:sz w:val="24"/>
          <w:szCs w:val="24"/>
        </w:rPr>
        <w:t xml:space="preserve">ommonwealth supported </w:t>
      </w:r>
      <w:r w:rsidR="00EE4EC7" w:rsidRPr="00D26B82">
        <w:rPr>
          <w:rStyle w:val="normaltextrun"/>
          <w:rFonts w:ascii="Calibri" w:hAnsi="Calibri" w:cs="Calibri"/>
          <w:b/>
          <w:bCs/>
          <w:sz w:val="24"/>
          <w:szCs w:val="24"/>
        </w:rPr>
        <w:t>student</w:t>
      </w:r>
      <w:r w:rsidR="00F032A9" w:rsidRPr="00D26B82">
        <w:rPr>
          <w:rStyle w:val="normaltextrun"/>
          <w:rFonts w:ascii="Calibri" w:hAnsi="Calibri" w:cs="Calibri"/>
          <w:b/>
          <w:bCs/>
          <w:sz w:val="24"/>
          <w:szCs w:val="24"/>
        </w:rPr>
        <w:t xml:space="preserve"> projection </w:t>
      </w:r>
      <w:r w:rsidR="00A54545" w:rsidRPr="00D26B82">
        <w:rPr>
          <w:rStyle w:val="normaltextrun"/>
          <w:rFonts w:ascii="Calibri" w:hAnsi="Calibri" w:cs="Calibri"/>
          <w:b/>
          <w:bCs/>
          <w:sz w:val="24"/>
          <w:szCs w:val="24"/>
        </w:rPr>
        <w:t>(headcount</w:t>
      </w:r>
      <w:r w:rsidR="002B76E8" w:rsidRPr="00D26B82">
        <w:rPr>
          <w:rStyle w:val="normaltextrun"/>
          <w:rFonts w:ascii="Calibri" w:hAnsi="Calibri" w:cs="Calibri"/>
          <w:b/>
          <w:bCs/>
          <w:sz w:val="24"/>
          <w:szCs w:val="24"/>
        </w:rPr>
        <w:t>, thousands of students</w:t>
      </w:r>
      <w:r w:rsidR="00A54545" w:rsidRPr="00D26B82">
        <w:rPr>
          <w:rStyle w:val="normaltextrun"/>
          <w:rFonts w:ascii="Calibri" w:hAnsi="Calibri" w:cs="Calibri"/>
          <w:b/>
          <w:bCs/>
          <w:sz w:val="24"/>
          <w:szCs w:val="24"/>
        </w:rPr>
        <w:t xml:space="preserve">) </w:t>
      </w:r>
      <w:r w:rsidR="00F032A9" w:rsidRPr="00D26B82">
        <w:rPr>
          <w:rStyle w:val="normaltextrun"/>
          <w:rFonts w:ascii="Calibri" w:hAnsi="Calibri" w:cs="Calibri"/>
          <w:b/>
          <w:bCs/>
          <w:sz w:val="24"/>
          <w:szCs w:val="24"/>
        </w:rPr>
        <w:t>under current policy settings and to achieve 55% attainment by 2050</w:t>
      </w:r>
      <w:r w:rsidR="00E116AD" w:rsidRPr="00D26B82">
        <w:rPr>
          <w:rStyle w:val="normaltextrun"/>
          <w:rFonts w:ascii="Calibri" w:hAnsi="Calibri" w:cs="Calibri"/>
          <w:b/>
          <w:bCs/>
          <w:sz w:val="24"/>
          <w:szCs w:val="24"/>
        </w:rPr>
        <w:t>.</w:t>
      </w:r>
      <w:bookmarkEnd w:id="192"/>
    </w:p>
    <w:p w14:paraId="0F1E7975" w14:textId="4D43652A" w:rsidR="00F3585C" w:rsidRDefault="00F3585C" w:rsidP="00EE30AB">
      <w:pPr>
        <w:pStyle w:val="Source"/>
      </w:pPr>
      <w:r>
        <w:rPr>
          <w:noProof/>
        </w:rPr>
        <w:drawing>
          <wp:inline distT="0" distB="0" distL="0" distR="0" wp14:anchorId="1927028F" wp14:editId="110964AD">
            <wp:extent cx="5902945" cy="2573079"/>
            <wp:effectExtent l="0" t="0" r="0" b="0"/>
            <wp:docPr id="170277370" name="Graphic 4" descr="A line graph showing a projection of the number of students in a Commonwealth supported place (CSP) needed to achieve 55% attainment for 25 to 34-year-olds by 2050, and another line showing the projection under current policy settings. The lines begin close together, and over time the total CSPs required to achieve 55% attainment by 2050 steadily outgrows the current policy settings. By 2050, there are significantly more CSPs under the requirement for 55% than under current policy setting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7370" name="Graphic 4" descr="A line graph showing a projection of the number of students in a Commonwealth supported place (CSP) needed to achieve 55% attainment for 25 to 34-year-olds by 2050, and another line showing the projection under current policy settings. The lines begin close together, and over time the total CSPs required to achieve 55% attainment by 2050 steadily outgrows the current policy settings. By 2050, there are significantly more CSPs under the requirement for 55% than under current policy settings. "/>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5922758" cy="2581715"/>
                    </a:xfrm>
                    <a:prstGeom prst="rect">
                      <a:avLst/>
                    </a:prstGeom>
                  </pic:spPr>
                </pic:pic>
              </a:graphicData>
            </a:graphic>
          </wp:inline>
        </w:drawing>
      </w:r>
    </w:p>
    <w:p w14:paraId="7B6F1580" w14:textId="4E7239C1" w:rsidR="005B3445" w:rsidRPr="00C4084C" w:rsidRDefault="005B3445" w:rsidP="00EE30AB">
      <w:pPr>
        <w:pStyle w:val="Source"/>
        <w:rPr>
          <w:szCs w:val="18"/>
        </w:rPr>
      </w:pPr>
      <w:r w:rsidRPr="00C4084C">
        <w:t xml:space="preserve">Source: Department of Education internal analysis based on ABS, </w:t>
      </w:r>
      <w:r w:rsidRPr="00C4084C">
        <w:rPr>
          <w:i/>
        </w:rPr>
        <w:t>Population</w:t>
      </w:r>
      <w:r w:rsidR="00990C66" w:rsidRPr="00C4084C">
        <w:rPr>
          <w:i/>
          <w:iCs/>
        </w:rPr>
        <w:t xml:space="preserve">: </w:t>
      </w:r>
      <w:r w:rsidRPr="00C4084C">
        <w:rPr>
          <w:i/>
        </w:rPr>
        <w:t>Census 2021</w:t>
      </w:r>
      <w:r w:rsidR="00990C66" w:rsidRPr="00C4084C">
        <w:rPr>
          <w:rStyle w:val="ui-provider"/>
        </w:rPr>
        <w:t>, (Canberra: ABS, 2022), accessed 6 June 2023, </w:t>
      </w:r>
      <w:hyperlink r:id="rId45" w:tgtFrame="_blank" w:tooltip="https://www.abs.gov.au/statistics/people/population/population-census/latest-release" w:history="1">
        <w:r w:rsidR="00990C66" w:rsidRPr="00C4084C">
          <w:rPr>
            <w:rStyle w:val="Hyperlink"/>
          </w:rPr>
          <w:t>https://www.abs.gov.au/statistics/people/population/population-census/latest-release</w:t>
        </w:r>
      </w:hyperlink>
      <w:r w:rsidRPr="00C4084C">
        <w:t xml:space="preserve">; </w:t>
      </w:r>
      <w:r w:rsidR="00D40964" w:rsidRPr="00C4084C">
        <w:rPr>
          <w:rStyle w:val="ui-provider"/>
        </w:rPr>
        <w:t xml:space="preserve">ABS, </w:t>
      </w:r>
      <w:r w:rsidR="00D40964" w:rsidRPr="00C4084C">
        <w:rPr>
          <w:rStyle w:val="ui-provider"/>
          <w:i/>
          <w:iCs/>
        </w:rPr>
        <w:t>Population Projections, Australia</w:t>
      </w:r>
      <w:r w:rsidR="00D40964" w:rsidRPr="00C4084C">
        <w:rPr>
          <w:rStyle w:val="ui-provider"/>
        </w:rPr>
        <w:t xml:space="preserve"> [data sets], (Canberra: ABS, 2021),</w:t>
      </w:r>
      <w:r w:rsidRPr="00C4084C">
        <w:t>, accessed 6 June 2023</w:t>
      </w:r>
      <w:r w:rsidR="00B70C4F" w:rsidRPr="00C4084C">
        <w:t>,</w:t>
      </w:r>
      <w:r w:rsidR="00D40964" w:rsidRPr="00C4084C">
        <w:rPr>
          <w:rStyle w:val="Strong"/>
        </w:rPr>
        <w:t xml:space="preserve"> </w:t>
      </w:r>
      <w:hyperlink r:id="rId46" w:tgtFrame="_blank" w:tooltip="https://www.abs.gov.au/statistics/people/population/population-projections-australia/latest-release" w:history="1">
        <w:r w:rsidR="00D40964" w:rsidRPr="00C4084C">
          <w:rPr>
            <w:rStyle w:val="Hyperlink"/>
          </w:rPr>
          <w:t>https://www.abs.gov.au/statistics/people/population/population-projections-australia/latest-release</w:t>
        </w:r>
      </w:hyperlink>
      <w:r w:rsidRPr="00C4084C">
        <w:t xml:space="preserve">; Centre for Population, </w:t>
      </w:r>
      <w:r w:rsidRPr="00C4084C">
        <w:rPr>
          <w:rStyle w:val="ui-provider"/>
          <w:i/>
        </w:rPr>
        <w:t>Budget 2023</w:t>
      </w:r>
      <w:r w:rsidR="00B70C4F" w:rsidRPr="00C4084C">
        <w:rPr>
          <w:rStyle w:val="ui-provider"/>
          <w:i/>
          <w:iCs/>
        </w:rPr>
        <w:t>–24, population projections, Australia, 2022–23 to 2033–34</w:t>
      </w:r>
      <w:r w:rsidR="00B70C4F" w:rsidRPr="00C4084C">
        <w:rPr>
          <w:rStyle w:val="ui-provider"/>
        </w:rPr>
        <w:t xml:space="preserve"> [data set], (Canberra: Centre for Population, 2023), </w:t>
      </w:r>
      <w:r w:rsidRPr="00C4084C">
        <w:t>accessed 6 June 2023</w:t>
      </w:r>
      <w:r w:rsidRPr="00C4084C">
        <w:rPr>
          <w:rStyle w:val="Strong"/>
        </w:rPr>
        <w:t xml:space="preserve"> </w:t>
      </w:r>
      <w:hyperlink r:id="rId47" w:tgtFrame="_blank" w:tooltip="https://population.gov.au/data-and-forecasts/projections/budget-2023-24-population-projections-australia-2022-23-2033-34" w:history="1">
        <w:r w:rsidR="004E3277" w:rsidRPr="00C4084C">
          <w:rPr>
            <w:rStyle w:val="Hyperlink"/>
          </w:rPr>
          <w:t>https://population.gov.au/data-and-forecasts/projections/budget-2023-24-population-projections-australia-2022-23-2033-34</w:t>
        </w:r>
      </w:hyperlink>
      <w:r w:rsidR="004E3277" w:rsidRPr="00C4084C">
        <w:rPr>
          <w:rStyle w:val="ui-provider"/>
        </w:rPr>
        <w:t xml:space="preserve">; </w:t>
      </w:r>
      <w:r w:rsidRPr="00C4084C">
        <w:t xml:space="preserve"> and </w:t>
      </w:r>
      <w:r w:rsidRPr="00C4084C">
        <w:rPr>
          <w:i/>
        </w:rPr>
        <w:t>Department of Education, Higher Education Statistics –</w:t>
      </w:r>
      <w:r w:rsidR="00CE4B5A" w:rsidRPr="00C4084C">
        <w:rPr>
          <w:i/>
        </w:rPr>
        <w:t xml:space="preserve"> </w:t>
      </w:r>
      <w:r w:rsidRPr="00C4084C">
        <w:rPr>
          <w:i/>
        </w:rPr>
        <w:t>Student Data</w:t>
      </w:r>
      <w:r w:rsidRPr="00C4084C">
        <w:t xml:space="preserve"> [unpublished data]</w:t>
      </w:r>
      <w:r w:rsidR="004E3277" w:rsidRPr="00C4084C">
        <w:rPr>
          <w:rStyle w:val="Strong"/>
        </w:rPr>
        <w:t xml:space="preserve"> </w:t>
      </w:r>
      <w:r w:rsidR="004E3277" w:rsidRPr="00C4084C">
        <w:rPr>
          <w:rStyle w:val="ui-provider"/>
        </w:rPr>
        <w:t>, (Canberra, n.d.)</w:t>
      </w:r>
      <w:r w:rsidRPr="00C4084C">
        <w:t xml:space="preserve">. </w:t>
      </w:r>
    </w:p>
    <w:p w14:paraId="6F98D3E5" w14:textId="6E093372" w:rsidR="005B3445" w:rsidRPr="00C4084C" w:rsidRDefault="00EE30AB" w:rsidP="00EE30AB">
      <w:pPr>
        <w:pStyle w:val="Source"/>
        <w:rPr>
          <w:szCs w:val="18"/>
        </w:rPr>
      </w:pPr>
      <w:r w:rsidRPr="00C4084C">
        <w:t xml:space="preserve">Note: </w:t>
      </w:r>
      <w:r w:rsidR="005B3445" w:rsidRPr="00C4084C">
        <w:t>Assumptions based on current completion profiles.</w:t>
      </w:r>
    </w:p>
    <w:p w14:paraId="5505F6E5" w14:textId="22F1D07A" w:rsidR="005B3445" w:rsidRPr="00C4084C" w:rsidRDefault="005B3445" w:rsidP="00F82F56">
      <w:r w:rsidRPr="00C4084C">
        <w:t>Such an increase in enrolments will have significant implications for the higher education funding system, discussed in</w:t>
      </w:r>
      <w:r w:rsidR="009A57A7" w:rsidRPr="00C4084C">
        <w:t xml:space="preserve"> </w:t>
      </w:r>
      <w:r w:rsidR="009A57A7" w:rsidRPr="00C4084C">
        <w:rPr>
          <w:i/>
        </w:rPr>
        <w:fldChar w:fldCharType="begin"/>
      </w:r>
      <w:r w:rsidR="009A57A7" w:rsidRPr="00C4084C">
        <w:instrText xml:space="preserve"> REF _Ref151934381 \r \h </w:instrText>
      </w:r>
      <w:r w:rsidR="00936F8C" w:rsidRPr="00C4084C">
        <w:instrText xml:space="preserve"> \* MERGEFORMAT </w:instrText>
      </w:r>
      <w:r w:rsidR="009A57A7" w:rsidRPr="00C4084C">
        <w:rPr>
          <w:i/>
        </w:rPr>
      </w:r>
      <w:r w:rsidR="009A57A7" w:rsidRPr="00C4084C">
        <w:rPr>
          <w:i/>
        </w:rPr>
        <w:fldChar w:fldCharType="separate"/>
      </w:r>
      <w:r w:rsidR="00467B4F" w:rsidRPr="00467B4F">
        <w:rPr>
          <w:i/>
        </w:rPr>
        <w:t xml:space="preserve">Chapter 8 </w:t>
      </w:r>
      <w:r w:rsidR="00467B4F">
        <w:t xml:space="preserve">– </w:t>
      </w:r>
      <w:r w:rsidR="009A57A7" w:rsidRPr="00C4084C">
        <w:rPr>
          <w:i/>
        </w:rPr>
        <w:fldChar w:fldCharType="end"/>
      </w:r>
      <w:r w:rsidR="00796383" w:rsidRPr="00C4084C">
        <w:rPr>
          <w:i/>
        </w:rPr>
        <w:fldChar w:fldCharType="begin"/>
      </w:r>
      <w:r w:rsidR="00796383" w:rsidRPr="00C4084C">
        <w:rPr>
          <w:i/>
        </w:rPr>
        <w:instrText xml:space="preserve"> REF _Ref152700509 \h  \* MERGEFORMAT </w:instrText>
      </w:r>
      <w:r w:rsidR="00796383" w:rsidRPr="00C4084C">
        <w:rPr>
          <w:i/>
        </w:rPr>
      </w:r>
      <w:r w:rsidR="00796383" w:rsidRPr="00C4084C">
        <w:rPr>
          <w:i/>
        </w:rPr>
        <w:fldChar w:fldCharType="separate"/>
      </w:r>
      <w:r w:rsidR="00467B4F" w:rsidRPr="00467B4F">
        <w:rPr>
          <w:i/>
        </w:rPr>
        <w:t>A new funding model to underpin growth and quality</w:t>
      </w:r>
      <w:r w:rsidR="00796383" w:rsidRPr="00C4084C">
        <w:rPr>
          <w:i/>
        </w:rPr>
        <w:fldChar w:fldCharType="end"/>
      </w:r>
      <w:r w:rsidRPr="00C4084C">
        <w:rPr>
          <w:i/>
        </w:rPr>
        <w:t>.</w:t>
      </w:r>
      <w:r w:rsidR="00BB5B40" w:rsidRPr="00C4084C">
        <w:t xml:space="preserve"> As shown in</w:t>
      </w:r>
      <w:r w:rsidR="002F5F75" w:rsidRPr="00C4084C">
        <w:t xml:space="preserve"> </w:t>
      </w:r>
      <w:r w:rsidR="002F5F75" w:rsidRPr="00C4084C">
        <w:fldChar w:fldCharType="begin"/>
      </w:r>
      <w:r w:rsidR="002F5F75" w:rsidRPr="00C4084C">
        <w:instrText xml:space="preserve"> REF _Ref152699648 \h </w:instrText>
      </w:r>
      <w:r w:rsidR="003E77DE">
        <w:instrText xml:space="preserve"> \* MERGEFORMAT </w:instrText>
      </w:r>
      <w:r w:rsidR="002F5F75" w:rsidRPr="00C4084C">
        <w:fldChar w:fldCharType="separate"/>
      </w:r>
      <w:r w:rsidR="00467B4F" w:rsidRPr="00C4084C">
        <w:t xml:space="preserve">Figure </w:t>
      </w:r>
      <w:r w:rsidR="00467B4F">
        <w:rPr>
          <w:noProof/>
        </w:rPr>
        <w:t>5</w:t>
      </w:r>
      <w:r w:rsidR="002F5F75" w:rsidRPr="00C4084C">
        <w:fldChar w:fldCharType="end"/>
      </w:r>
      <w:r w:rsidR="00BB5B40" w:rsidRPr="00C4084C">
        <w:t xml:space="preserve">, this increase in enrolments will mean a greater proportion of the nation’s population will be </w:t>
      </w:r>
      <w:r w:rsidR="00295890" w:rsidRPr="00C4084C">
        <w:t xml:space="preserve">participating </w:t>
      </w:r>
      <w:r w:rsidR="00BB5B40" w:rsidRPr="00C4084C">
        <w:t xml:space="preserve">in higher education. After a stagnation in participation since 2015, the growth envisaged by this review </w:t>
      </w:r>
      <w:r w:rsidR="00DB240B" w:rsidRPr="00C4084C">
        <w:t xml:space="preserve">would </w:t>
      </w:r>
      <w:r w:rsidR="00BB5B40" w:rsidRPr="00C4084C">
        <w:t>see the participation rate return to the earlier trend</w:t>
      </w:r>
      <w:r w:rsidR="00295890" w:rsidRPr="00C4084C">
        <w:t xml:space="preserve"> of strong upward growth</w:t>
      </w:r>
      <w:r w:rsidR="00BB5B40" w:rsidRPr="00C4084C">
        <w:t>.</w:t>
      </w:r>
    </w:p>
    <w:p w14:paraId="42942DD1" w14:textId="541E17EE" w:rsidR="00BB5B40" w:rsidRPr="00D26B82" w:rsidRDefault="000E199E" w:rsidP="00FA7353">
      <w:pPr>
        <w:pStyle w:val="Caption"/>
        <w:rPr>
          <w:b/>
          <w:bCs/>
          <w:sz w:val="24"/>
          <w:szCs w:val="24"/>
        </w:rPr>
      </w:pPr>
      <w:bookmarkStart w:id="193" w:name="_Ref152699648"/>
      <w:bookmarkStart w:id="194" w:name="_Toc154674767"/>
      <w:r w:rsidRPr="00D26B82">
        <w:rPr>
          <w:b/>
          <w:bCs/>
          <w:sz w:val="24"/>
          <w:szCs w:val="24"/>
        </w:rPr>
        <w:t xml:space="preserve">Figure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5</w:t>
      </w:r>
      <w:r w:rsidRPr="00D26B82">
        <w:rPr>
          <w:b/>
          <w:bCs/>
          <w:sz w:val="24"/>
          <w:szCs w:val="24"/>
        </w:rPr>
        <w:fldChar w:fldCharType="end"/>
      </w:r>
      <w:bookmarkEnd w:id="193"/>
      <w:r w:rsidR="001741E5" w:rsidRPr="00D26B82">
        <w:rPr>
          <w:b/>
          <w:bCs/>
          <w:sz w:val="24"/>
          <w:szCs w:val="24"/>
        </w:rPr>
        <w:t xml:space="preserve">: </w:t>
      </w:r>
      <w:r w:rsidR="00B02B80" w:rsidRPr="00D26B82">
        <w:rPr>
          <w:b/>
          <w:bCs/>
          <w:sz w:val="24"/>
          <w:szCs w:val="24"/>
        </w:rPr>
        <w:t>Projected h</w:t>
      </w:r>
      <w:r w:rsidR="009271E5" w:rsidRPr="00D26B82">
        <w:rPr>
          <w:b/>
          <w:bCs/>
          <w:sz w:val="24"/>
          <w:szCs w:val="24"/>
        </w:rPr>
        <w:t xml:space="preserve">igher education participation rate as a share of </w:t>
      </w:r>
      <w:r w:rsidR="00B02B80" w:rsidRPr="00D26B82">
        <w:rPr>
          <w:b/>
          <w:bCs/>
          <w:sz w:val="24"/>
          <w:szCs w:val="24"/>
        </w:rPr>
        <w:t xml:space="preserve">Australia’s population </w:t>
      </w:r>
      <w:r w:rsidR="00A54545" w:rsidRPr="00D26B82">
        <w:rPr>
          <w:b/>
          <w:bCs/>
          <w:sz w:val="24"/>
          <w:szCs w:val="24"/>
        </w:rPr>
        <w:t>(%), 1995</w:t>
      </w:r>
      <w:r w:rsidR="00B02B80" w:rsidRPr="00D26B82">
        <w:rPr>
          <w:b/>
          <w:bCs/>
          <w:sz w:val="24"/>
          <w:szCs w:val="24"/>
        </w:rPr>
        <w:t xml:space="preserve"> to 2050</w:t>
      </w:r>
      <w:r w:rsidR="001741E5" w:rsidRPr="00D26B82">
        <w:rPr>
          <w:b/>
          <w:bCs/>
          <w:sz w:val="24"/>
          <w:szCs w:val="24"/>
        </w:rPr>
        <w:t>.</w:t>
      </w:r>
      <w:bookmarkEnd w:id="194"/>
    </w:p>
    <w:p w14:paraId="3C1F8924" w14:textId="6D764498" w:rsidR="00F3585C" w:rsidRDefault="00F3585C" w:rsidP="00FA7353">
      <w:pPr>
        <w:pStyle w:val="Source"/>
      </w:pPr>
      <w:r>
        <w:rPr>
          <w:noProof/>
        </w:rPr>
        <w:drawing>
          <wp:inline distT="0" distB="0" distL="0" distR="0" wp14:anchorId="04A7B05E" wp14:editId="7F9ABA6B">
            <wp:extent cx="5971244" cy="2424223"/>
            <wp:effectExtent l="0" t="0" r="0" b="0"/>
            <wp:docPr id="1192409726" name="Graphic 5" descr="A line graph showing the projected higher education participation rate as a share of Australia's population from 1995 to 2050. The participation rate plateaus at around 6% just after 2020, decreasing after 2025, and then increases to just above 10% by 205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409726" name="Graphic 5" descr="A line graph showing the projected higher education participation rate as a share of Australia's population from 1995 to 2050. The participation rate plateaus at around 6% just after 2020, decreasing after 2025, and then increases to just above 10% by 2050. "/>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5988777" cy="2431341"/>
                    </a:xfrm>
                    <a:prstGeom prst="rect">
                      <a:avLst/>
                    </a:prstGeom>
                  </pic:spPr>
                </pic:pic>
              </a:graphicData>
            </a:graphic>
          </wp:inline>
        </w:drawing>
      </w:r>
    </w:p>
    <w:p w14:paraId="42EE8CE5" w14:textId="2D30970D" w:rsidR="001741E5" w:rsidRPr="00C4084C" w:rsidRDefault="001741E5" w:rsidP="00FA7353">
      <w:pPr>
        <w:pStyle w:val="Source"/>
      </w:pPr>
      <w:r w:rsidRPr="00C4084C">
        <w:t xml:space="preserve">Source: </w:t>
      </w:r>
      <w:r w:rsidR="00784443" w:rsidRPr="00C4084C">
        <w:t xml:space="preserve">Department </w:t>
      </w:r>
      <w:r w:rsidR="00B56FC2" w:rsidRPr="00C4084C">
        <w:t>of Education internal projections based on</w:t>
      </w:r>
      <w:r w:rsidR="004C0BE1" w:rsidRPr="00C4084C">
        <w:t xml:space="preserve"> </w:t>
      </w:r>
      <w:r w:rsidR="005728BD" w:rsidRPr="00C4084C">
        <w:t xml:space="preserve">Department of Education, </w:t>
      </w:r>
      <w:r w:rsidR="005728BD" w:rsidRPr="00C4084C">
        <w:rPr>
          <w:i/>
          <w:iCs/>
        </w:rPr>
        <w:t>Higher Education Statistics – Student Data</w:t>
      </w:r>
      <w:r w:rsidR="005728BD" w:rsidRPr="00C4084C">
        <w:t xml:space="preserve"> [unpublished data], (Canberra: Department of Education, 2023)</w:t>
      </w:r>
      <w:r w:rsidR="00AA18E4" w:rsidRPr="00C4084C">
        <w:t xml:space="preserve">; </w:t>
      </w:r>
      <w:r w:rsidR="00236717" w:rsidRPr="00C4084C">
        <w:t xml:space="preserve">Australian Bureau of Statistics, </w:t>
      </w:r>
      <w:r w:rsidR="002B3871" w:rsidRPr="00C4084C">
        <w:rPr>
          <w:i/>
        </w:rPr>
        <w:lastRenderedPageBreak/>
        <w:t>Population Projections, Australia 2022 (base)</w:t>
      </w:r>
      <w:r w:rsidR="002B3871" w:rsidRPr="00C4084C">
        <w:t xml:space="preserve">, </w:t>
      </w:r>
      <w:r w:rsidR="006A216B" w:rsidRPr="00C4084C">
        <w:t>(Canberra: ABS, 2023)</w:t>
      </w:r>
      <w:r w:rsidR="006D1019" w:rsidRPr="00C4084C">
        <w:t>,</w:t>
      </w:r>
      <w:r w:rsidR="006A216B" w:rsidRPr="00C4084C">
        <w:t xml:space="preserve"> </w:t>
      </w:r>
      <w:hyperlink r:id="rId50" w:history="1">
        <w:r w:rsidR="004F06DD" w:rsidRPr="00C4084C">
          <w:rPr>
            <w:rStyle w:val="Hyperlink"/>
          </w:rPr>
          <w:t>https://www.abs.gov.au/statistics/people/population/population-projections-australia/2022-base-2071</w:t>
        </w:r>
      </w:hyperlink>
      <w:r w:rsidR="00B82483" w:rsidRPr="00C4084C">
        <w:t>.</w:t>
      </w:r>
    </w:p>
    <w:p w14:paraId="60DD8F06" w14:textId="0C244333" w:rsidR="005B3445" w:rsidRPr="00C4084C" w:rsidRDefault="005B3445" w:rsidP="00F82F56">
      <w:r w:rsidRPr="00C4084C">
        <w:t>This</w:t>
      </w:r>
      <w:r w:rsidRPr="00C4084C" w:rsidDel="00833309">
        <w:t xml:space="preserve"> </w:t>
      </w:r>
      <w:r w:rsidR="00833309" w:rsidRPr="00C4084C">
        <w:t xml:space="preserve">Review’s </w:t>
      </w:r>
      <w:r w:rsidRPr="00C4084C">
        <w:t xml:space="preserve">recommendations </w:t>
      </w:r>
      <w:r w:rsidR="008D3A93" w:rsidRPr="00C4084C">
        <w:t>identify</w:t>
      </w:r>
      <w:r w:rsidRPr="00C4084C">
        <w:t xml:space="preserve"> many changes needed to build a tertiary </w:t>
      </w:r>
      <w:r w:rsidR="00E75A65" w:rsidRPr="00C4084C">
        <w:t>education</w:t>
      </w:r>
      <w:r w:rsidRPr="00C4084C">
        <w:t xml:space="preserve"> system capable of supporting growth and innovation to meet the proposed attainment targets. While the primary focus is the higher education sector, the Review recognises that developments and improvements across the whole tertiary </w:t>
      </w:r>
      <w:r w:rsidR="00E75A65" w:rsidRPr="00C4084C">
        <w:t xml:space="preserve">education </w:t>
      </w:r>
      <w:r w:rsidRPr="00C4084C">
        <w:t xml:space="preserve">system are essential. </w:t>
      </w:r>
    </w:p>
    <w:p w14:paraId="1ACAFC60" w14:textId="3A84C12C" w:rsidR="00CF6571" w:rsidRPr="00C4084C" w:rsidRDefault="002C399B" w:rsidP="00F82F56">
      <w:r w:rsidRPr="00C4084C">
        <w:t xml:space="preserve">The benefits from higher education and VET attainment accrue to both the individual and the national economy. </w:t>
      </w:r>
      <w:r w:rsidR="00C92558" w:rsidRPr="00C4084C">
        <w:t xml:space="preserve">Additional educational attainment develops higher skills, leading to higher rates of employment, higher productivity, and higher lifetime earnings for individuals. </w:t>
      </w:r>
      <w:r w:rsidRPr="00C4084C">
        <w:t xml:space="preserve">Analysis </w:t>
      </w:r>
      <w:r w:rsidR="00CF6571" w:rsidRPr="00C4084C">
        <w:t xml:space="preserve">from the Department of Education using </w:t>
      </w:r>
      <w:r w:rsidR="00B359F2" w:rsidRPr="00C4084C">
        <w:t>internal</w:t>
      </w:r>
      <w:r w:rsidR="00CF6571" w:rsidRPr="00C4084C">
        <w:t xml:space="preserve"> </w:t>
      </w:r>
      <w:r w:rsidR="00813CB4" w:rsidRPr="00C4084C">
        <w:t>income-linked education</w:t>
      </w:r>
      <w:r w:rsidR="00CF6571" w:rsidRPr="00C4084C">
        <w:t xml:space="preserve"> data shows that people who attain post-school qualification have higher</w:t>
      </w:r>
      <w:r w:rsidR="00C92558" w:rsidRPr="00C4084C">
        <w:t xml:space="preserve"> lifetime earnings, relative to </w:t>
      </w:r>
      <w:r w:rsidR="00CF6571" w:rsidRPr="00C4084C">
        <w:t>people who have their</w:t>
      </w:r>
      <w:r w:rsidR="00C92558" w:rsidRPr="00C4084C">
        <w:t xml:space="preserve"> highest level of education as year 11 or below</w:t>
      </w:r>
      <w:r w:rsidR="00CF6571" w:rsidRPr="00C4084C">
        <w:t>. This lifetime income premium is a</w:t>
      </w:r>
      <w:r w:rsidR="00B86C54" w:rsidRPr="00C4084C">
        <w:t>n increase of</w:t>
      </w:r>
      <w:r w:rsidR="00CF6571" w:rsidRPr="00C4084C">
        <w:t>:</w:t>
      </w:r>
    </w:p>
    <w:p w14:paraId="2C58B3DF" w14:textId="4429C132" w:rsidR="00CF6571" w:rsidRPr="00C4084C" w:rsidRDefault="00C92558" w:rsidP="00570A6C">
      <w:pPr>
        <w:pStyle w:val="ListBullet"/>
      </w:pPr>
      <w:r w:rsidRPr="00C4084C">
        <w:t>20</w:t>
      </w:r>
      <w:r w:rsidR="00CF6571" w:rsidRPr="00C4084C">
        <w:t>%</w:t>
      </w:r>
      <w:r w:rsidRPr="00C4084C" w:rsidDel="00CF6571">
        <w:t xml:space="preserve"> </w:t>
      </w:r>
      <w:r w:rsidRPr="00C4084C">
        <w:t>for a certificate III or IV</w:t>
      </w:r>
    </w:p>
    <w:p w14:paraId="209B0F18" w14:textId="4C848785" w:rsidR="00CF6571" w:rsidRPr="00C4084C" w:rsidRDefault="00C92558" w:rsidP="00570A6C">
      <w:pPr>
        <w:pStyle w:val="ListBullet"/>
      </w:pPr>
      <w:r w:rsidRPr="00C4084C">
        <w:t>35</w:t>
      </w:r>
      <w:r w:rsidR="00CF6571" w:rsidRPr="00C4084C">
        <w:t>%</w:t>
      </w:r>
      <w:r w:rsidRPr="00C4084C">
        <w:t xml:space="preserve"> for a diploma or advanced diploma</w:t>
      </w:r>
    </w:p>
    <w:p w14:paraId="415B59C2" w14:textId="51397F72" w:rsidR="00CF6571" w:rsidRPr="00C4084C" w:rsidRDefault="00C92558" w:rsidP="00570A6C">
      <w:pPr>
        <w:pStyle w:val="ListBullet"/>
      </w:pPr>
      <w:r w:rsidRPr="00C4084C">
        <w:t>6</w:t>
      </w:r>
      <w:r w:rsidR="18539E37" w:rsidRPr="00C4084C">
        <w:t>0</w:t>
      </w:r>
      <w:r w:rsidR="00CF6571" w:rsidRPr="00C4084C">
        <w:t>%</w:t>
      </w:r>
      <w:r w:rsidRPr="00C4084C" w:rsidDel="00CF6571">
        <w:t xml:space="preserve"> </w:t>
      </w:r>
      <w:r w:rsidRPr="00C4084C">
        <w:t xml:space="preserve">for a </w:t>
      </w:r>
      <w:proofErr w:type="gramStart"/>
      <w:r w:rsidRPr="00C4084C">
        <w:t>bachelor</w:t>
      </w:r>
      <w:proofErr w:type="gramEnd"/>
      <w:r w:rsidRPr="00C4084C">
        <w:t xml:space="preserve"> degree</w:t>
      </w:r>
    </w:p>
    <w:p w14:paraId="5F1ECEE0" w14:textId="1EA6BD7D" w:rsidR="00CF6571" w:rsidRPr="00C4084C" w:rsidRDefault="00C92558" w:rsidP="00570A6C">
      <w:pPr>
        <w:pStyle w:val="ListBullet"/>
      </w:pPr>
      <w:r w:rsidRPr="00C4084C">
        <w:t>70</w:t>
      </w:r>
      <w:r w:rsidR="00CF6571" w:rsidRPr="00C4084C">
        <w:t xml:space="preserve">% </w:t>
      </w:r>
      <w:r w:rsidRPr="00C4084C">
        <w:t>for a graduate diploma or graduate certificate</w:t>
      </w:r>
      <w:r w:rsidR="00CF6571" w:rsidRPr="00C4084C">
        <w:t xml:space="preserve">; </w:t>
      </w:r>
      <w:r w:rsidRPr="00C4084C">
        <w:t>and</w:t>
      </w:r>
    </w:p>
    <w:p w14:paraId="08AA7B6C" w14:textId="3F353A3F" w:rsidR="00CF6571" w:rsidRPr="00C4084C" w:rsidRDefault="00C92558" w:rsidP="00570A6C">
      <w:pPr>
        <w:pStyle w:val="ListBullet"/>
      </w:pPr>
      <w:r w:rsidRPr="00C4084C">
        <w:t>90</w:t>
      </w:r>
      <w:r w:rsidR="00CF6571" w:rsidRPr="00C4084C">
        <w:t xml:space="preserve">% </w:t>
      </w:r>
      <w:r w:rsidRPr="00C4084C">
        <w:t xml:space="preserve">for a </w:t>
      </w:r>
      <w:proofErr w:type="gramStart"/>
      <w:r w:rsidRPr="00C4084C">
        <w:t>master</w:t>
      </w:r>
      <w:r w:rsidR="004B6F8C" w:rsidRPr="00C4084C">
        <w:t>s</w:t>
      </w:r>
      <w:proofErr w:type="gramEnd"/>
      <w:r w:rsidRPr="00C4084C">
        <w:t xml:space="preserve"> or doctoral degree. </w:t>
      </w:r>
    </w:p>
    <w:p w14:paraId="148EA730" w14:textId="71DAFC47" w:rsidR="00C92558" w:rsidRPr="00C4084C" w:rsidRDefault="00C92558" w:rsidP="00F82F56">
      <w:r w:rsidRPr="00C4084C">
        <w:t xml:space="preserve">For employed people with </w:t>
      </w:r>
      <w:proofErr w:type="gramStart"/>
      <w:r w:rsidRPr="00C4084C">
        <w:t>a</w:t>
      </w:r>
      <w:proofErr w:type="gramEnd"/>
      <w:r w:rsidRPr="00C4084C">
        <w:t xml:space="preserve"> highest level of education as year 11 or below, the median income</w:t>
      </w:r>
      <w:r w:rsidR="006F5D34" w:rsidRPr="00C4084C">
        <w:t xml:space="preserve"> from salary and wages</w:t>
      </w:r>
      <w:r w:rsidRPr="00C4084C">
        <w:t xml:space="preserve"> was around $50,000 in 2021. Taking the increases above, this income would grow to around $60,000 if that median individual achieved a certificate III or IV, and to around $80,000 if they achieved a </w:t>
      </w:r>
      <w:proofErr w:type="gramStart"/>
      <w:r w:rsidRPr="00C4084C">
        <w:t>bachelor</w:t>
      </w:r>
      <w:proofErr w:type="gramEnd"/>
      <w:r w:rsidRPr="00C4084C">
        <w:t xml:space="preserve"> degree. </w:t>
      </w:r>
      <w:r w:rsidR="0021775D" w:rsidRPr="00C4084C">
        <w:t>The additional income for higher education qualified people is mostly due to increases in productivity. For VET</w:t>
      </w:r>
      <w:r w:rsidR="003334E1" w:rsidRPr="00C4084C">
        <w:t>, one third of</w:t>
      </w:r>
      <w:r w:rsidR="0021775D" w:rsidRPr="00C4084C">
        <w:t xml:space="preserve"> the higher incomes are from increased productivity and </w:t>
      </w:r>
      <w:r w:rsidR="003334E1" w:rsidRPr="00C4084C">
        <w:t>two thirds are</w:t>
      </w:r>
      <w:r w:rsidR="0021775D" w:rsidRPr="00C4084C">
        <w:t xml:space="preserve"> from increased workforce participation.</w:t>
      </w:r>
    </w:p>
    <w:p w14:paraId="34056770" w14:textId="0EDF46DF" w:rsidR="003C5660" w:rsidRPr="00F82F56" w:rsidRDefault="0024708C" w:rsidP="00285443">
      <w:r w:rsidRPr="00C4084C">
        <w:t>The</w:t>
      </w:r>
      <w:r w:rsidRPr="00C4084C" w:rsidDel="0021775D">
        <w:t xml:space="preserve"> </w:t>
      </w:r>
      <w:r w:rsidR="0021775D" w:rsidRPr="00C4084C">
        <w:t xml:space="preserve">Department of Education </w:t>
      </w:r>
      <w:r w:rsidRPr="00C4084C">
        <w:t>estimates that</w:t>
      </w:r>
      <w:r w:rsidR="008E49B1">
        <w:t>,</w:t>
      </w:r>
      <w:r w:rsidRPr="00C4084C">
        <w:t xml:space="preserve"> in 2050 alone, reaching the proposed bachelor and tertiary attainment targets would result in around an additional $20 billion (2021 dollars) earned across the workforce, compared to the additionally educated population having Year 12 </w:t>
      </w:r>
      <w:r w:rsidR="005131B7">
        <w:t xml:space="preserve">or below </w:t>
      </w:r>
      <w:r w:rsidRPr="00C4084C">
        <w:t>as their highest level of education.</w:t>
      </w:r>
      <w:r w:rsidR="00C92558" w:rsidRPr="00C4084C">
        <w:rPr>
          <w:rStyle w:val="FootnoteReference"/>
        </w:rPr>
        <w:footnoteReference w:id="110"/>
      </w:r>
    </w:p>
    <w:tbl>
      <w:tblPr>
        <w:tblStyle w:val="BlueTable"/>
        <w:tblW w:w="0" w:type="auto"/>
        <w:tblLook w:val="04A0" w:firstRow="1" w:lastRow="0" w:firstColumn="1" w:lastColumn="0" w:noHBand="0" w:noVBand="1"/>
      </w:tblPr>
      <w:tblGrid>
        <w:gridCol w:w="9360"/>
      </w:tblGrid>
      <w:tr w:rsidR="00127D5E" w:rsidRPr="00C4084C" w14:paraId="7B719913" w14:textId="77777777" w:rsidTr="00D26B82">
        <w:tc>
          <w:tcPr>
            <w:tcW w:w="9360" w:type="dxa"/>
            <w:shd w:val="clear" w:color="auto" w:fill="B0C3DB"/>
          </w:tcPr>
          <w:p w14:paraId="60CC0AF1" w14:textId="26AE9BA0" w:rsidR="00B00569" w:rsidRPr="00B00569" w:rsidRDefault="0080264E" w:rsidP="003E5969">
            <w:pPr>
              <w:pStyle w:val="Findinginchapterheading"/>
            </w:pPr>
            <w:r w:rsidRPr="003E5969">
              <w:rPr>
                <w:rFonts w:ascii="Calibri" w:eastAsia="Yu Gothic Light" w:hAnsi="Calibri" w:cs="Calibri"/>
              </w:rPr>
              <w:t>Finding</w:t>
            </w:r>
            <w:r w:rsidR="00B00569">
              <w:t xml:space="preserve">: </w:t>
            </w:r>
            <w:r w:rsidR="00127D5E" w:rsidRPr="00C4084C">
              <w:t>Skills</w:t>
            </w:r>
          </w:p>
          <w:p w14:paraId="5181CBBB" w14:textId="43C11193" w:rsidR="00127D5E" w:rsidRPr="00C4084C" w:rsidRDefault="00127D5E" w:rsidP="003E5969">
            <w:pPr>
              <w:pStyle w:val="Boxtext0"/>
              <w:spacing w:before="0"/>
              <w:rPr>
                <w:b/>
              </w:rPr>
            </w:pPr>
            <w:r w:rsidRPr="00C4084C">
              <w:t xml:space="preserve">Australia is not meeting its current skills needs and will not meet them in the future without large scale increases in the number of tertiary education graduates it produces, and without a significant </w:t>
            </w:r>
            <w:r w:rsidRPr="00F82F56">
              <w:rPr>
                <w:rStyle w:val="BoxtextChar0"/>
              </w:rPr>
              <w:t>uplift</w:t>
            </w:r>
            <w:r w:rsidRPr="00C4084C">
              <w:t xml:space="preserve"> in the number of people engaging in learning throughout their working life. Australia must set ambitious targets to increase rates of completion and attainment and increase the equity of the system. Without growth and reform, skills shortages will do lasting damage to Australia’s national success and </w:t>
            </w:r>
            <w:proofErr w:type="gramStart"/>
            <w:r w:rsidRPr="00C4084C">
              <w:t>future prospects</w:t>
            </w:r>
            <w:proofErr w:type="gramEnd"/>
            <w:r w:rsidRPr="00C4084C">
              <w:t>.</w:t>
            </w:r>
          </w:p>
        </w:tc>
      </w:tr>
    </w:tbl>
    <w:p w14:paraId="2EC4BF3C" w14:textId="5C6E7750" w:rsidR="005B3445" w:rsidRPr="00C4084C" w:rsidRDefault="005B3445" w:rsidP="00BA6095">
      <w:pPr>
        <w:pStyle w:val="Heading4"/>
      </w:pPr>
      <w:bookmarkStart w:id="195" w:name="_Toc151807261"/>
      <w:bookmarkStart w:id="196" w:name="_Toc930929315"/>
      <w:bookmarkStart w:id="197" w:name="_Toc153483011"/>
      <w:bookmarkStart w:id="198" w:name="_Toc159500921"/>
      <w:r w:rsidRPr="00C4084C">
        <w:t xml:space="preserve">There are barriers to increasing </w:t>
      </w:r>
      <w:proofErr w:type="gramStart"/>
      <w:r w:rsidRPr="00C4084C">
        <w:t>attainment</w:t>
      </w:r>
      <w:bookmarkEnd w:id="195"/>
      <w:bookmarkEnd w:id="196"/>
      <w:bookmarkEnd w:id="197"/>
      <w:bookmarkEnd w:id="198"/>
      <w:proofErr w:type="gramEnd"/>
    </w:p>
    <w:p w14:paraId="4CE92368" w14:textId="378ED126" w:rsidR="005B3445" w:rsidRPr="00C4084C" w:rsidRDefault="005B3445" w:rsidP="00936F8C">
      <w:pPr>
        <w:pStyle w:val="Heading5"/>
      </w:pPr>
      <w:bookmarkStart w:id="199" w:name="_Toc151807262"/>
      <w:r w:rsidRPr="00C4084C">
        <w:t xml:space="preserve">Participation among historically </w:t>
      </w:r>
      <w:r w:rsidR="00D7545F" w:rsidRPr="00C4084C">
        <w:t>under-represented</w:t>
      </w:r>
      <w:r w:rsidRPr="00C4084C">
        <w:t xml:space="preserve"> cohorts must </w:t>
      </w:r>
      <w:proofErr w:type="gramStart"/>
      <w:r w:rsidRPr="00C4084C">
        <w:t>increase</w:t>
      </w:r>
      <w:bookmarkEnd w:id="199"/>
      <w:proofErr w:type="gramEnd"/>
    </w:p>
    <w:p w14:paraId="270038FB" w14:textId="54479540" w:rsidR="005B3445" w:rsidRPr="00C4084C" w:rsidRDefault="005B3445" w:rsidP="00C35648">
      <w:r w:rsidRPr="00C4084C">
        <w:t xml:space="preserve">Achieving growth </w:t>
      </w:r>
      <w:r w:rsidR="00630236" w:rsidRPr="00C4084C">
        <w:t xml:space="preserve">in tertiary education attainment </w:t>
      </w:r>
      <w:r w:rsidRPr="00C4084C">
        <w:t>will be challenging without a substantial increase in participation from cohorts historically under</w:t>
      </w:r>
      <w:r w:rsidR="00683598" w:rsidRPr="00C4084C">
        <w:t>-</w:t>
      </w:r>
      <w:r w:rsidRPr="00C4084C">
        <w:t xml:space="preserve">represented in higher </w:t>
      </w:r>
      <w:r w:rsidR="00683598" w:rsidRPr="00C4084C">
        <w:t>education</w:t>
      </w:r>
      <w:r w:rsidR="00A154AD" w:rsidRPr="00C4084C">
        <w:t>.</w:t>
      </w:r>
      <w:r w:rsidR="00A87C3F" w:rsidRPr="00C4084C">
        <w:t xml:space="preserve"> </w:t>
      </w:r>
      <w:r w:rsidRPr="00C4084C">
        <w:t xml:space="preserve"> </w:t>
      </w:r>
    </w:p>
    <w:p w14:paraId="4E96B3C0" w14:textId="30653C49" w:rsidR="005B3445" w:rsidRPr="00C4084C" w:rsidRDefault="005B3445" w:rsidP="00C35648">
      <w:r w:rsidRPr="00C4084C">
        <w:lastRenderedPageBreak/>
        <w:t>Young people from low SES cohorts are less likely to have any form of tertiary qualification and substantially less likely to have a higher education</w:t>
      </w:r>
      <w:r w:rsidR="00313A92" w:rsidRPr="00C4084C">
        <w:t xml:space="preserve"> (see </w:t>
      </w:r>
      <w:r w:rsidR="00313A92" w:rsidRPr="00C4084C">
        <w:fldChar w:fldCharType="begin"/>
      </w:r>
      <w:r w:rsidR="00313A92" w:rsidRPr="00C4084C">
        <w:instrText xml:space="preserve"> REF _Ref153272694 \h </w:instrText>
      </w:r>
      <w:r w:rsidR="00404FEC" w:rsidRPr="00C4084C">
        <w:instrText xml:space="preserve"> \* MERGEFORMAT </w:instrText>
      </w:r>
      <w:r w:rsidR="00313A92" w:rsidRPr="00C4084C">
        <w:fldChar w:fldCharType="separate"/>
      </w:r>
      <w:r w:rsidR="00467B4F" w:rsidRPr="00C4084C">
        <w:t xml:space="preserve">Figure </w:t>
      </w:r>
      <w:r w:rsidR="00467B4F">
        <w:rPr>
          <w:noProof/>
        </w:rPr>
        <w:t>6</w:t>
      </w:r>
      <w:r w:rsidR="00313A92" w:rsidRPr="00C4084C">
        <w:fldChar w:fldCharType="end"/>
      </w:r>
      <w:r w:rsidR="00313A92" w:rsidRPr="00C4084C">
        <w:t>)</w:t>
      </w:r>
      <w:r w:rsidRPr="00C4084C">
        <w:t xml:space="preserve">. </w:t>
      </w:r>
      <w:r w:rsidR="00C616FC" w:rsidRPr="00C4084C">
        <w:t>In 2021, higher education attainment rates among 25 to 34-year-olds w</w:t>
      </w:r>
      <w:r w:rsidR="00F27154" w:rsidRPr="00C4084C">
        <w:t>ere</w:t>
      </w:r>
      <w:r w:rsidR="00C616FC" w:rsidRPr="00C4084C">
        <w:t xml:space="preserve"> </w:t>
      </w:r>
      <w:r w:rsidR="00F27154" w:rsidRPr="00C4084C">
        <w:t xml:space="preserve">significantly </w:t>
      </w:r>
      <w:r w:rsidR="00C616FC" w:rsidRPr="00C4084C">
        <w:t>lower</w:t>
      </w:r>
      <w:r w:rsidR="00F27154" w:rsidRPr="00C4084C">
        <w:t xml:space="preserve"> among those from the lowest SES quintile (</w:t>
      </w:r>
      <w:r w:rsidR="00313A92" w:rsidRPr="00C4084C">
        <w:t>24</w:t>
      </w:r>
      <w:r w:rsidRPr="00C4084C">
        <w:t>%</w:t>
      </w:r>
      <w:r w:rsidR="00F27154" w:rsidRPr="00C4084C">
        <w:t>)</w:t>
      </w:r>
      <w:r w:rsidRPr="00C4084C">
        <w:t xml:space="preserve"> compared to the highest SES quintile</w:t>
      </w:r>
      <w:r w:rsidR="00F27154" w:rsidRPr="00C4084C">
        <w:t xml:space="preserve"> (</w:t>
      </w:r>
      <w:r w:rsidR="00313A92" w:rsidRPr="00C4084C">
        <w:t>66%</w:t>
      </w:r>
      <w:r w:rsidR="00F27154" w:rsidRPr="00C4084C">
        <w:t>)</w:t>
      </w:r>
      <w:r w:rsidRPr="00C4084C">
        <w:t xml:space="preserve">. At </w:t>
      </w:r>
      <w:r w:rsidR="00CF7B11" w:rsidRPr="00C4084C">
        <w:t xml:space="preserve">the </w:t>
      </w:r>
      <w:r w:rsidRPr="00C4084C">
        <w:t xml:space="preserve">tertiary level, </w:t>
      </w:r>
      <w:r w:rsidR="00CF7B11" w:rsidRPr="00C4084C">
        <w:t xml:space="preserve">there was a smaller but still significant </w:t>
      </w:r>
      <w:r w:rsidR="00313A92" w:rsidRPr="00C4084C">
        <w:t xml:space="preserve">tertiary attainment </w:t>
      </w:r>
      <w:r w:rsidR="00CF7B11" w:rsidRPr="00C4084C">
        <w:t xml:space="preserve">gap between </w:t>
      </w:r>
      <w:r w:rsidRPr="00C4084C">
        <w:t xml:space="preserve">the lowest SES cohort </w:t>
      </w:r>
      <w:r w:rsidR="00CF7B11" w:rsidRPr="00C4084C">
        <w:t>(</w:t>
      </w:r>
      <w:r w:rsidR="00B33706">
        <w:t>59</w:t>
      </w:r>
      <w:r w:rsidR="00CF7B11" w:rsidRPr="00C4084C">
        <w:t>%) and the highest SES cohort (</w:t>
      </w:r>
      <w:r w:rsidR="00B33706">
        <w:t>87</w:t>
      </w:r>
      <w:r w:rsidR="00CF7B11" w:rsidRPr="00C4084C">
        <w:t>%)</w:t>
      </w:r>
      <w:r w:rsidRPr="00C4084C">
        <w:t xml:space="preserve">. </w:t>
      </w:r>
      <w:r w:rsidR="00A25088" w:rsidRPr="00C4084C">
        <w:t xml:space="preserve">As </w:t>
      </w:r>
      <w:r w:rsidR="006B6B66" w:rsidRPr="00C4084C">
        <w:fldChar w:fldCharType="begin"/>
      </w:r>
      <w:r w:rsidR="006B6B66" w:rsidRPr="00C4084C">
        <w:instrText xml:space="preserve"> REF _Ref153272694 \h </w:instrText>
      </w:r>
      <w:r w:rsidR="00404FEC" w:rsidRPr="00C4084C">
        <w:instrText xml:space="preserve"> \* MERGEFORMAT </w:instrText>
      </w:r>
      <w:r w:rsidR="006B6B66" w:rsidRPr="00C4084C">
        <w:fldChar w:fldCharType="separate"/>
      </w:r>
      <w:r w:rsidR="00467B4F" w:rsidRPr="00C4084C">
        <w:t xml:space="preserve">Figure </w:t>
      </w:r>
      <w:r w:rsidR="00467B4F">
        <w:rPr>
          <w:noProof/>
        </w:rPr>
        <w:t>6</w:t>
      </w:r>
      <w:r w:rsidR="006B6B66" w:rsidRPr="00C4084C">
        <w:fldChar w:fldCharType="end"/>
      </w:r>
      <w:r w:rsidR="00A25088" w:rsidRPr="00C4084C">
        <w:t xml:space="preserve"> illustrates, uplift in tertiary attainment rates must come from the lower SES quintiles.</w:t>
      </w:r>
    </w:p>
    <w:p w14:paraId="067A99EE" w14:textId="5B69BDB5" w:rsidR="005B3445" w:rsidRPr="00D26B82" w:rsidRDefault="005B3445" w:rsidP="005E5C5F">
      <w:pPr>
        <w:pStyle w:val="Caption"/>
        <w:rPr>
          <w:b/>
          <w:bCs/>
          <w:sz w:val="24"/>
          <w:szCs w:val="24"/>
        </w:rPr>
      </w:pPr>
      <w:bookmarkStart w:id="200" w:name="_Ref153272694"/>
      <w:bookmarkStart w:id="201" w:name="_Toc154674768"/>
      <w:r w:rsidRPr="00D26B82">
        <w:rPr>
          <w:b/>
          <w:bCs/>
          <w:sz w:val="24"/>
          <w:szCs w:val="24"/>
        </w:rPr>
        <w:t xml:space="preserve">Figure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6</w:t>
      </w:r>
      <w:r w:rsidRPr="00D26B82">
        <w:rPr>
          <w:b/>
          <w:bCs/>
          <w:sz w:val="24"/>
          <w:szCs w:val="24"/>
        </w:rPr>
        <w:fldChar w:fldCharType="end"/>
      </w:r>
      <w:bookmarkEnd w:id="200"/>
      <w:r w:rsidR="00C830AB" w:rsidRPr="00D26B82">
        <w:rPr>
          <w:b/>
          <w:bCs/>
          <w:sz w:val="24"/>
          <w:szCs w:val="24"/>
        </w:rPr>
        <w:t>:</w:t>
      </w:r>
      <w:r w:rsidRPr="00D26B82">
        <w:rPr>
          <w:b/>
          <w:bCs/>
          <w:sz w:val="24"/>
          <w:szCs w:val="24"/>
        </w:rPr>
        <w:t xml:space="preserve"> Highest educational attainment for 25 to 34-year-olds by </w:t>
      </w:r>
      <w:r w:rsidR="003B7993" w:rsidRPr="00D26B82">
        <w:rPr>
          <w:b/>
          <w:bCs/>
          <w:sz w:val="24"/>
          <w:szCs w:val="24"/>
        </w:rPr>
        <w:t>SES</w:t>
      </w:r>
      <w:r w:rsidR="00FD4061" w:rsidRPr="00D26B82">
        <w:rPr>
          <w:b/>
          <w:bCs/>
          <w:sz w:val="24"/>
          <w:szCs w:val="24"/>
        </w:rPr>
        <w:t xml:space="preserve"> derived from SEIFA </w:t>
      </w:r>
      <w:r w:rsidR="00BB6451" w:rsidRPr="00D26B82">
        <w:rPr>
          <w:b/>
          <w:bCs/>
          <w:sz w:val="24"/>
          <w:szCs w:val="24"/>
        </w:rPr>
        <w:t xml:space="preserve">Index of </w:t>
      </w:r>
      <w:r w:rsidR="00FD4061" w:rsidRPr="00D26B82">
        <w:rPr>
          <w:b/>
          <w:bCs/>
          <w:sz w:val="24"/>
          <w:szCs w:val="24"/>
        </w:rPr>
        <w:t xml:space="preserve">Education and Occupation </w:t>
      </w:r>
      <w:r w:rsidR="00673F92" w:rsidRPr="00D26B82">
        <w:rPr>
          <w:b/>
          <w:bCs/>
          <w:sz w:val="24"/>
          <w:szCs w:val="24"/>
        </w:rPr>
        <w:t>(IEO)</w:t>
      </w:r>
      <w:r w:rsidR="00CE3E7A" w:rsidRPr="00D26B82">
        <w:rPr>
          <w:b/>
          <w:bCs/>
          <w:sz w:val="24"/>
          <w:szCs w:val="24"/>
        </w:rPr>
        <w:t xml:space="preserve">, </w:t>
      </w:r>
      <w:r w:rsidR="001C348D" w:rsidRPr="00D26B82">
        <w:rPr>
          <w:b/>
          <w:bCs/>
          <w:sz w:val="24"/>
          <w:szCs w:val="24"/>
        </w:rPr>
        <w:t>quintiles 1 (most disadvantaged) to 5 (most advantaged)</w:t>
      </w:r>
      <w:r w:rsidR="00CE3E7A" w:rsidRPr="00D26B82">
        <w:rPr>
          <w:b/>
          <w:bCs/>
          <w:sz w:val="24"/>
          <w:szCs w:val="24"/>
        </w:rPr>
        <w:t>, 2021</w:t>
      </w:r>
      <w:r w:rsidR="00C830AB" w:rsidRPr="00D26B82">
        <w:rPr>
          <w:b/>
          <w:bCs/>
          <w:sz w:val="24"/>
          <w:szCs w:val="24"/>
        </w:rPr>
        <w:t>.</w:t>
      </w:r>
      <w:bookmarkEnd w:id="201"/>
    </w:p>
    <w:p w14:paraId="3EC3CB95" w14:textId="3FC0FBE7" w:rsidR="00F3585C" w:rsidRDefault="00F3585C" w:rsidP="00C830AB">
      <w:pPr>
        <w:pStyle w:val="Source"/>
      </w:pPr>
      <w:r>
        <w:rPr>
          <w:noProof/>
        </w:rPr>
        <w:drawing>
          <wp:inline distT="0" distB="0" distL="0" distR="0" wp14:anchorId="51AF7F63" wp14:editId="13A3D63E">
            <wp:extent cx="6162980" cy="2870790"/>
            <wp:effectExtent l="0" t="0" r="0" b="0"/>
            <wp:docPr id="1001070617" name="Graphic 6" descr="A bar graph showing the highest educational attainment for 25 to 34-year-olds by SES derived from SEIFA Index of Education and Occupation in 2021, showing quintiles 1 (most disadvantaged) to 5 (most advantaged) on the horizontal access. The graph shows that the share of Year 12 or below and VET attainment decreases at higher quintiles. Subsequently the % with Bachelor or above is significantly higher in the most advantaged quintile compared to the most disadvantaged quintile, at 68.8% and 19.2% respective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70617" name="Graphic 6" descr="A bar graph showing the highest educational attainment for 25 to 34-year-olds by SES derived from SEIFA Index of Education and Occupation in 2021, showing quintiles 1 (most disadvantaged) to 5 (most advantaged) on the horizontal access. The graph shows that the share of Year 12 or below and VET attainment decreases at higher quintiles. Subsequently the % with Bachelor or above is significantly higher in the most advantaged quintile compared to the most disadvantaged quintile, at 68.8% and 19.2% respectively. "/>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6178320" cy="2877935"/>
                    </a:xfrm>
                    <a:prstGeom prst="rect">
                      <a:avLst/>
                    </a:prstGeom>
                  </pic:spPr>
                </pic:pic>
              </a:graphicData>
            </a:graphic>
          </wp:inline>
        </w:drawing>
      </w:r>
    </w:p>
    <w:p w14:paraId="7F3B2FBF" w14:textId="48429E68" w:rsidR="001526BB" w:rsidRPr="00C4084C" w:rsidRDefault="005B3445" w:rsidP="00C830AB">
      <w:pPr>
        <w:pStyle w:val="Source"/>
      </w:pPr>
      <w:r w:rsidRPr="00C4084C">
        <w:t>Source: Australian Bureau of Statistics</w:t>
      </w:r>
      <w:r w:rsidR="00504A26" w:rsidRPr="00C4084C">
        <w:t>,</w:t>
      </w:r>
      <w:r w:rsidRPr="00C4084C">
        <w:t xml:space="preserve"> </w:t>
      </w:r>
      <w:r w:rsidRPr="00C4084C">
        <w:rPr>
          <w:i/>
        </w:rPr>
        <w:t>Census of Population and Housing, 2021</w:t>
      </w:r>
      <w:r w:rsidR="00974690" w:rsidRPr="00C4084C">
        <w:rPr>
          <w:i/>
          <w:iCs/>
        </w:rPr>
        <w:t xml:space="preserve"> </w:t>
      </w:r>
      <w:r w:rsidR="00974690" w:rsidRPr="00C4084C">
        <w:t>[data set]</w:t>
      </w:r>
      <w:r w:rsidRPr="00C4084C">
        <w:t xml:space="preserve">, </w:t>
      </w:r>
      <w:proofErr w:type="spellStart"/>
      <w:r w:rsidRPr="00C4084C">
        <w:t>Tablebuilder</w:t>
      </w:r>
      <w:proofErr w:type="spellEnd"/>
      <w:r w:rsidR="00974690" w:rsidRPr="00C4084C">
        <w:t>,</w:t>
      </w:r>
      <w:r w:rsidRPr="00C4084C">
        <w:t xml:space="preserve"> </w:t>
      </w:r>
      <w:r w:rsidR="0087327B" w:rsidRPr="00C4084C">
        <w:t xml:space="preserve">IEO </w:t>
      </w:r>
      <w:r w:rsidRPr="00C4084C">
        <w:t>Deciles at SA1 Level (Area) by Level of Highest Educational Attainment (HEAP)</w:t>
      </w:r>
      <w:r w:rsidR="00504A26" w:rsidRPr="00C4084C">
        <w:t xml:space="preserve">, </w:t>
      </w:r>
      <w:r w:rsidR="00974690" w:rsidRPr="00C4084C">
        <w:t>(</w:t>
      </w:r>
      <w:r w:rsidRPr="00C4084C">
        <w:t>Canberra</w:t>
      </w:r>
      <w:r w:rsidR="00974690" w:rsidRPr="00C4084C">
        <w:t>:</w:t>
      </w:r>
      <w:r w:rsidRPr="00C4084C">
        <w:t xml:space="preserve"> 2022</w:t>
      </w:r>
      <w:r w:rsidR="00974690" w:rsidRPr="00C4084C">
        <w:t>)</w:t>
      </w:r>
      <w:r w:rsidRPr="00C4084C">
        <w:t xml:space="preserve"> </w:t>
      </w:r>
      <w:hyperlink r:id="rId53" w:history="1">
        <w:r w:rsidR="002D7CD5" w:rsidRPr="00C4084C">
          <w:rPr>
            <w:rStyle w:val="Hyperlink"/>
          </w:rPr>
          <w:t>https://www.abs.gov.au/statistics/microdata-tablebuilder/tablebuilder</w:t>
        </w:r>
      </w:hyperlink>
      <w:r w:rsidR="00C830AB" w:rsidRPr="00C4084C">
        <w:t>.</w:t>
      </w:r>
      <w:r w:rsidR="001B3BD8" w:rsidRPr="00C4084C">
        <w:t xml:space="preserve"> </w:t>
      </w:r>
    </w:p>
    <w:p w14:paraId="454AA310" w14:textId="64842A06" w:rsidR="00FA3D15" w:rsidRPr="00C4084C" w:rsidRDefault="00BD2BAF" w:rsidP="008F054A">
      <w:pPr>
        <w:pStyle w:val="Source"/>
      </w:pPr>
      <w:r w:rsidRPr="00C4084C">
        <w:t xml:space="preserve">Note: The </w:t>
      </w:r>
      <w:r w:rsidR="00BB6451" w:rsidRPr="00C4084C">
        <w:t xml:space="preserve">Index of Education and Occupation (IEO) </w:t>
      </w:r>
      <w:r w:rsidRPr="00C4084C">
        <w:t>summarises information about the economic and social conditions of people and households within an area</w:t>
      </w:r>
      <w:r w:rsidR="001B3BD8" w:rsidRPr="00C4084C">
        <w:t>, ranging from Qu</w:t>
      </w:r>
      <w:r w:rsidR="00777E2C">
        <w:t>i</w:t>
      </w:r>
      <w:r w:rsidR="001B3BD8" w:rsidRPr="00C4084C">
        <w:t>ntile 1 (most disadvantaged) to Quintile 5 (most advantaged).</w:t>
      </w:r>
      <w:r w:rsidR="00BC326B" w:rsidRPr="00C4084C">
        <w:t xml:space="preserve"> Figures may not sum due to rounding. </w:t>
      </w:r>
    </w:p>
    <w:p w14:paraId="7DCC8247" w14:textId="70EA51F4" w:rsidR="005B3445" w:rsidRPr="00C4084C" w:rsidRDefault="003738EB" w:rsidP="00C35648">
      <w:r w:rsidRPr="00C4084C">
        <w:t>A</w:t>
      </w:r>
      <w:r w:rsidR="00F738E1" w:rsidRPr="00C4084C">
        <w:t xml:space="preserve">s seen </w:t>
      </w:r>
      <w:r w:rsidR="0033217D" w:rsidRPr="00C4084C">
        <w:t xml:space="preserve">in </w:t>
      </w:r>
      <w:r w:rsidR="0033217D" w:rsidRPr="00C4084C">
        <w:fldChar w:fldCharType="begin"/>
      </w:r>
      <w:r w:rsidR="0033217D" w:rsidRPr="00C4084C">
        <w:instrText xml:space="preserve"> REF _Ref153272992 \h </w:instrText>
      </w:r>
      <w:r w:rsidR="004379E9">
        <w:instrText xml:space="preserve"> \* MERGEFORMAT </w:instrText>
      </w:r>
      <w:r w:rsidR="0033217D" w:rsidRPr="00C4084C">
        <w:fldChar w:fldCharType="separate"/>
      </w:r>
      <w:r w:rsidR="00467B4F" w:rsidRPr="00C4084C">
        <w:t xml:space="preserve">Figure </w:t>
      </w:r>
      <w:r w:rsidR="00467B4F">
        <w:rPr>
          <w:noProof/>
        </w:rPr>
        <w:t>7</w:t>
      </w:r>
      <w:r w:rsidR="0033217D" w:rsidRPr="00C4084C">
        <w:fldChar w:fldCharType="end"/>
      </w:r>
      <w:r w:rsidR="00F738E1" w:rsidRPr="00C4084C">
        <w:t>, a</w:t>
      </w:r>
      <w:r w:rsidRPr="00C4084C">
        <w:t xml:space="preserve">cross the population of </w:t>
      </w:r>
      <w:r w:rsidR="00C31BC5" w:rsidRPr="00C4084C">
        <w:t xml:space="preserve">25 </w:t>
      </w:r>
      <w:r w:rsidRPr="00C4084C">
        <w:t xml:space="preserve">to </w:t>
      </w:r>
      <w:r w:rsidR="00C31BC5" w:rsidRPr="00C4084C">
        <w:t>34</w:t>
      </w:r>
      <w:r w:rsidRPr="00C4084C">
        <w:t xml:space="preserve">-year-olds, higher </w:t>
      </w:r>
      <w:r w:rsidR="005B3445" w:rsidRPr="00C4084C">
        <w:t>education attainment varies significantly between states</w:t>
      </w:r>
      <w:r w:rsidRPr="00C4084C">
        <w:t>: in 2023,</w:t>
      </w:r>
      <w:r w:rsidR="005B3445" w:rsidRPr="00C4084C">
        <w:t xml:space="preserve"> </w:t>
      </w:r>
      <w:r w:rsidR="003334E1" w:rsidRPr="00C4084C">
        <w:t xml:space="preserve">it was lowest in </w:t>
      </w:r>
      <w:r w:rsidR="005B3445" w:rsidRPr="00C4084C">
        <w:t xml:space="preserve">Queensland </w:t>
      </w:r>
      <w:r w:rsidR="003334E1" w:rsidRPr="00C4084C">
        <w:t>(</w:t>
      </w:r>
      <w:r w:rsidR="005B3445" w:rsidRPr="00C4084C">
        <w:t>3</w:t>
      </w:r>
      <w:r w:rsidR="00954EF5" w:rsidRPr="00C4084C">
        <w:t>7</w:t>
      </w:r>
      <w:r w:rsidR="005B3445" w:rsidRPr="00C4084C">
        <w:t>%</w:t>
      </w:r>
      <w:r w:rsidR="003334E1" w:rsidRPr="00C4084C">
        <w:t>)</w:t>
      </w:r>
      <w:r w:rsidR="005B3445" w:rsidRPr="00C4084C">
        <w:t xml:space="preserve"> and </w:t>
      </w:r>
      <w:r w:rsidR="003334E1" w:rsidRPr="00C4084C">
        <w:t xml:space="preserve">highest in </w:t>
      </w:r>
      <w:r w:rsidR="005B3445" w:rsidRPr="00C4084C">
        <w:t xml:space="preserve">the ACT </w:t>
      </w:r>
      <w:r w:rsidR="003334E1" w:rsidRPr="00C4084C">
        <w:t>(</w:t>
      </w:r>
      <w:r w:rsidR="005B3445" w:rsidRPr="00C4084C">
        <w:t>56%</w:t>
      </w:r>
      <w:r w:rsidR="003334E1" w:rsidRPr="00C4084C">
        <w:t>)</w:t>
      </w:r>
      <w:r w:rsidR="005B3445" w:rsidRPr="00C4084C">
        <w:t xml:space="preserve">. However, the disparity in tertiary education attainment is less variable, as states with lower higher education attainment, such as Queensland and Western Australia, have higher VET attainment, reflecting those states’ different industry mix, </w:t>
      </w:r>
      <w:proofErr w:type="gramStart"/>
      <w:r w:rsidR="005B3445" w:rsidRPr="00C4084C">
        <w:t>demographics</w:t>
      </w:r>
      <w:proofErr w:type="gramEnd"/>
      <w:r w:rsidR="005B3445" w:rsidRPr="00C4084C">
        <w:t xml:space="preserve"> and population dispersion.  </w:t>
      </w:r>
    </w:p>
    <w:p w14:paraId="439D008D" w14:textId="19EC144C" w:rsidR="00355931" w:rsidRPr="00D26B82" w:rsidRDefault="005B3445" w:rsidP="00570A6C">
      <w:pPr>
        <w:pStyle w:val="Caption"/>
        <w:rPr>
          <w:b/>
          <w:bCs/>
          <w:sz w:val="24"/>
          <w:szCs w:val="24"/>
        </w:rPr>
      </w:pPr>
      <w:bookmarkStart w:id="202" w:name="_Ref153272992"/>
      <w:bookmarkStart w:id="203" w:name="_Ref153387070"/>
      <w:bookmarkStart w:id="204" w:name="_Toc154674769"/>
      <w:r w:rsidRPr="00D26B82">
        <w:rPr>
          <w:b/>
          <w:bCs/>
          <w:sz w:val="24"/>
          <w:szCs w:val="24"/>
        </w:rPr>
        <w:lastRenderedPageBreak/>
        <w:t xml:space="preserve">Figure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7</w:t>
      </w:r>
      <w:r w:rsidRPr="00D26B82">
        <w:rPr>
          <w:b/>
          <w:bCs/>
          <w:sz w:val="24"/>
          <w:szCs w:val="24"/>
        </w:rPr>
        <w:fldChar w:fldCharType="end"/>
      </w:r>
      <w:bookmarkEnd w:id="202"/>
      <w:r w:rsidR="00C830AB" w:rsidRPr="00D26B82">
        <w:rPr>
          <w:b/>
          <w:bCs/>
          <w:sz w:val="24"/>
          <w:szCs w:val="24"/>
        </w:rPr>
        <w:t>:</w:t>
      </w:r>
      <w:r w:rsidRPr="00D26B82">
        <w:rPr>
          <w:b/>
          <w:bCs/>
          <w:sz w:val="24"/>
          <w:szCs w:val="24"/>
        </w:rPr>
        <w:t xml:space="preserve"> Higher education and VET attainment</w:t>
      </w:r>
      <w:r w:rsidR="00F1478A" w:rsidRPr="00D26B82">
        <w:rPr>
          <w:b/>
          <w:bCs/>
          <w:sz w:val="24"/>
          <w:szCs w:val="24"/>
        </w:rPr>
        <w:t xml:space="preserve"> share</w:t>
      </w:r>
      <w:r w:rsidRPr="00D26B82">
        <w:rPr>
          <w:b/>
          <w:bCs/>
          <w:sz w:val="24"/>
          <w:szCs w:val="24"/>
        </w:rPr>
        <w:t xml:space="preserve"> </w:t>
      </w:r>
      <w:r w:rsidR="00F1478A" w:rsidRPr="00D26B82">
        <w:rPr>
          <w:b/>
          <w:bCs/>
          <w:sz w:val="24"/>
          <w:szCs w:val="24"/>
        </w:rPr>
        <w:t>among</w:t>
      </w:r>
      <w:r w:rsidRPr="00D26B82">
        <w:rPr>
          <w:b/>
          <w:bCs/>
          <w:sz w:val="24"/>
          <w:szCs w:val="24"/>
        </w:rPr>
        <w:t xml:space="preserve"> </w:t>
      </w:r>
      <w:r w:rsidR="00FA3D15" w:rsidRPr="00D26B82">
        <w:rPr>
          <w:b/>
          <w:bCs/>
          <w:sz w:val="24"/>
          <w:szCs w:val="24"/>
        </w:rPr>
        <w:t>2</w:t>
      </w:r>
      <w:r w:rsidRPr="00D26B82">
        <w:rPr>
          <w:b/>
          <w:bCs/>
          <w:sz w:val="24"/>
          <w:szCs w:val="24"/>
        </w:rPr>
        <w:t xml:space="preserve">5 to </w:t>
      </w:r>
      <w:r w:rsidR="00FA3D15" w:rsidRPr="00D26B82">
        <w:rPr>
          <w:b/>
          <w:bCs/>
          <w:sz w:val="24"/>
          <w:szCs w:val="24"/>
        </w:rPr>
        <w:t>3</w:t>
      </w:r>
      <w:r w:rsidRPr="00D26B82">
        <w:rPr>
          <w:b/>
          <w:bCs/>
          <w:sz w:val="24"/>
          <w:szCs w:val="24"/>
        </w:rPr>
        <w:t>4-year-</w:t>
      </w:r>
      <w:r w:rsidR="00F1478A" w:rsidRPr="00D26B82">
        <w:rPr>
          <w:b/>
          <w:bCs/>
          <w:sz w:val="24"/>
          <w:szCs w:val="24"/>
        </w:rPr>
        <w:t>old population (%),</w:t>
      </w:r>
      <w:r w:rsidR="00A2790A" w:rsidRPr="00D26B82">
        <w:rPr>
          <w:b/>
          <w:bCs/>
          <w:sz w:val="24"/>
          <w:szCs w:val="24"/>
        </w:rPr>
        <w:t xml:space="preserve"> by state and territory</w:t>
      </w:r>
      <w:r w:rsidR="003E0B7D" w:rsidRPr="00D26B82">
        <w:rPr>
          <w:b/>
          <w:bCs/>
          <w:sz w:val="24"/>
          <w:szCs w:val="24"/>
        </w:rPr>
        <w:t xml:space="preserve"> and nationally</w:t>
      </w:r>
      <w:r w:rsidR="00067F37" w:rsidRPr="00D26B82">
        <w:rPr>
          <w:b/>
          <w:bCs/>
          <w:sz w:val="24"/>
          <w:szCs w:val="24"/>
        </w:rPr>
        <w:t>,</w:t>
      </w:r>
      <w:r w:rsidRPr="00D26B82" w:rsidDel="00067F37">
        <w:rPr>
          <w:b/>
          <w:bCs/>
          <w:sz w:val="24"/>
          <w:szCs w:val="24"/>
        </w:rPr>
        <w:t xml:space="preserve"> </w:t>
      </w:r>
      <w:r w:rsidRPr="00D26B82">
        <w:rPr>
          <w:b/>
          <w:bCs/>
          <w:sz w:val="24"/>
          <w:szCs w:val="24"/>
        </w:rPr>
        <w:t>2023</w:t>
      </w:r>
      <w:r w:rsidR="00C830AB" w:rsidRPr="00D26B82">
        <w:rPr>
          <w:b/>
          <w:bCs/>
          <w:sz w:val="24"/>
          <w:szCs w:val="24"/>
        </w:rPr>
        <w:t>.</w:t>
      </w:r>
      <w:bookmarkEnd w:id="203"/>
      <w:bookmarkEnd w:id="204"/>
    </w:p>
    <w:p w14:paraId="431BD839" w14:textId="6858F59F" w:rsidR="00F3585C" w:rsidRPr="00C4084C" w:rsidRDefault="00F3585C" w:rsidP="00D26B82">
      <w:pPr>
        <w:pStyle w:val="Caption"/>
      </w:pPr>
      <w:r>
        <w:rPr>
          <w:noProof/>
        </w:rPr>
        <w:drawing>
          <wp:inline distT="0" distB="0" distL="0" distR="0" wp14:anchorId="1C181B08" wp14:editId="768AD189">
            <wp:extent cx="5911702" cy="3296911"/>
            <wp:effectExtent l="0" t="0" r="0" b="0"/>
            <wp:docPr id="459576373" name="Graphic 7" descr="A bar graph the share of higher education and VET attainment among 25 to 34-year olds, by state and territory and nationally in 2023. Higher education attainment is highest in the ACT with 56.1% and lowest in Queensland at 36.5% with a national average of 45%. VET attainment is highest in Queensland with 32.5% and lowest in the Northern Territory at 2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576373" name="Graphic 7" descr="A bar graph the share of higher education and VET attainment among 25 to 34-year olds, by state and territory and nationally in 2023. Higher education attainment is highest in the ACT with 56.1% and lowest in Queensland at 36.5% with a national average of 45%. VET attainment is highest in Queensland with 32.5% and lowest in the Northern Territory at 22.2%. "/>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5928994" cy="3306555"/>
                    </a:xfrm>
                    <a:prstGeom prst="rect">
                      <a:avLst/>
                    </a:prstGeom>
                  </pic:spPr>
                </pic:pic>
              </a:graphicData>
            </a:graphic>
          </wp:inline>
        </w:drawing>
      </w:r>
    </w:p>
    <w:p w14:paraId="355EE7C3" w14:textId="4AB2B3C5" w:rsidR="005B3445" w:rsidRPr="00C4084C" w:rsidRDefault="005B3445" w:rsidP="00C830AB">
      <w:pPr>
        <w:pStyle w:val="Source"/>
        <w:rPr>
          <w:szCs w:val="18"/>
        </w:rPr>
      </w:pPr>
      <w:r w:rsidRPr="00C4084C">
        <w:t xml:space="preserve">Source: </w:t>
      </w:r>
      <w:r w:rsidRPr="00C4084C">
        <w:rPr>
          <w:szCs w:val="18"/>
        </w:rPr>
        <w:t>Australian Bureau of Statistics</w:t>
      </w:r>
      <w:r w:rsidR="00C5784B" w:rsidRPr="00C4084C">
        <w:rPr>
          <w:szCs w:val="18"/>
        </w:rPr>
        <w:t>,</w:t>
      </w:r>
      <w:r w:rsidRPr="00C4084C">
        <w:rPr>
          <w:szCs w:val="18"/>
        </w:rPr>
        <w:t xml:space="preserve"> </w:t>
      </w:r>
      <w:r w:rsidRPr="00C4084C">
        <w:rPr>
          <w:i/>
          <w:szCs w:val="18"/>
        </w:rPr>
        <w:t>Education and Work, May 2023</w:t>
      </w:r>
      <w:r w:rsidR="006F4ADD" w:rsidRPr="00C4084C">
        <w:rPr>
          <w:iCs/>
          <w:szCs w:val="18"/>
        </w:rPr>
        <w:t xml:space="preserve"> </w:t>
      </w:r>
      <w:r w:rsidR="00974690" w:rsidRPr="00C4084C">
        <w:rPr>
          <w:iCs/>
          <w:szCs w:val="18"/>
        </w:rPr>
        <w:t>[data set],</w:t>
      </w:r>
      <w:r w:rsidRPr="00C4084C">
        <w:rPr>
          <w:szCs w:val="18"/>
        </w:rPr>
        <w:t xml:space="preserve"> Table 33 and 34</w:t>
      </w:r>
      <w:r w:rsidR="00C5784B" w:rsidRPr="00C4084C">
        <w:rPr>
          <w:i/>
          <w:szCs w:val="18"/>
        </w:rPr>
        <w:t>,</w:t>
      </w:r>
      <w:r w:rsidRPr="00C4084C">
        <w:rPr>
          <w:i/>
          <w:szCs w:val="18"/>
        </w:rPr>
        <w:t xml:space="preserve"> </w:t>
      </w:r>
      <w:r w:rsidR="00974690" w:rsidRPr="00C4084C">
        <w:rPr>
          <w:iCs/>
          <w:szCs w:val="18"/>
        </w:rPr>
        <w:t>(</w:t>
      </w:r>
      <w:r w:rsidRPr="00C4084C">
        <w:rPr>
          <w:szCs w:val="18"/>
        </w:rPr>
        <w:t>Canberra, 2023</w:t>
      </w:r>
      <w:r w:rsidR="00974690" w:rsidRPr="00C4084C">
        <w:rPr>
          <w:szCs w:val="18"/>
        </w:rPr>
        <w:t>)</w:t>
      </w:r>
      <w:r w:rsidRPr="00C4084C">
        <w:rPr>
          <w:szCs w:val="18"/>
        </w:rPr>
        <w:t xml:space="preserve"> https://www.abs.gov.au/statistics/people/education/education-and-work-australia/may-2023. </w:t>
      </w:r>
    </w:p>
    <w:p w14:paraId="14EDE2A2" w14:textId="2F9680FD" w:rsidR="005B3445" w:rsidRPr="00C4084C" w:rsidRDefault="005B3445" w:rsidP="00C35648">
      <w:r w:rsidRPr="00C4084C">
        <w:t xml:space="preserve">Proposed targets to support increased equity of access to higher and tertiary education are outlined in </w:t>
      </w:r>
      <w:r w:rsidR="009A57A7" w:rsidRPr="00C4084C">
        <w:rPr>
          <w:i/>
        </w:rPr>
        <w:fldChar w:fldCharType="begin"/>
      </w:r>
      <w:r w:rsidR="009A57A7" w:rsidRPr="00C4084C">
        <w:instrText xml:space="preserve"> REF _Ref151934425 \r \h </w:instrText>
      </w:r>
      <w:r w:rsidR="00936F8C" w:rsidRPr="00C4084C">
        <w:instrText xml:space="preserve"> \* MERGEFORMAT </w:instrText>
      </w:r>
      <w:r w:rsidR="009A57A7" w:rsidRPr="00C4084C">
        <w:rPr>
          <w:i/>
        </w:rPr>
      </w:r>
      <w:r w:rsidR="009A57A7" w:rsidRPr="00C4084C">
        <w:rPr>
          <w:i/>
        </w:rPr>
        <w:fldChar w:fldCharType="separate"/>
      </w:r>
      <w:r w:rsidR="00467B4F" w:rsidRPr="00467B4F">
        <w:rPr>
          <w:i/>
        </w:rPr>
        <w:t>Chapter 3 –</w:t>
      </w:r>
      <w:r w:rsidR="00467B4F">
        <w:t xml:space="preserve"> </w:t>
      </w:r>
      <w:r w:rsidR="009A57A7" w:rsidRPr="00C4084C">
        <w:rPr>
          <w:i/>
        </w:rPr>
        <w:fldChar w:fldCharType="end"/>
      </w:r>
      <w:r w:rsidR="00796383" w:rsidRPr="00C4084C">
        <w:rPr>
          <w:i/>
        </w:rPr>
        <w:fldChar w:fldCharType="begin"/>
      </w:r>
      <w:r w:rsidR="00796383" w:rsidRPr="00C4084C">
        <w:rPr>
          <w:i/>
        </w:rPr>
        <w:instrText xml:space="preserve"> REF _Ref151934425 \h  \* MERGEFORMAT </w:instrText>
      </w:r>
      <w:r w:rsidR="00796383" w:rsidRPr="00C4084C">
        <w:rPr>
          <w:i/>
        </w:rPr>
      </w:r>
      <w:r w:rsidR="00796383" w:rsidRPr="00C4084C">
        <w:rPr>
          <w:i/>
        </w:rPr>
        <w:fldChar w:fldCharType="separate"/>
      </w:r>
      <w:r w:rsidR="00467B4F" w:rsidRPr="00467B4F">
        <w:rPr>
          <w:i/>
        </w:rPr>
        <w:t>Expanding opportunity to all</w:t>
      </w:r>
      <w:r w:rsidR="00796383" w:rsidRPr="00C4084C">
        <w:rPr>
          <w:i/>
        </w:rPr>
        <w:fldChar w:fldCharType="end"/>
      </w:r>
      <w:r w:rsidR="009A57A7" w:rsidRPr="00C4084C">
        <w:t>.</w:t>
      </w:r>
    </w:p>
    <w:p w14:paraId="051C1C93" w14:textId="77777777" w:rsidR="005B3445" w:rsidRPr="00C4084C" w:rsidRDefault="005B3445" w:rsidP="007B0775">
      <w:pPr>
        <w:pStyle w:val="Heading5"/>
      </w:pPr>
      <w:bookmarkStart w:id="205" w:name="_Toc151807263"/>
      <w:r w:rsidRPr="00C4084C">
        <w:t xml:space="preserve">A range of factors affect the decision to enrol in higher </w:t>
      </w:r>
      <w:proofErr w:type="gramStart"/>
      <w:r w:rsidRPr="00C4084C">
        <w:t>education</w:t>
      </w:r>
      <w:bookmarkEnd w:id="205"/>
      <w:proofErr w:type="gramEnd"/>
    </w:p>
    <w:p w14:paraId="44D006CD" w14:textId="525E18F5" w:rsidR="005B3445" w:rsidRPr="00C4084C" w:rsidRDefault="005B3445" w:rsidP="00C35648">
      <w:r w:rsidRPr="00C4084C">
        <w:t xml:space="preserve">Growth in enrolments in higher education is currently subdued, </w:t>
      </w:r>
      <w:r w:rsidR="0082163A">
        <w:t>including</w:t>
      </w:r>
      <w:r w:rsidR="0082163A" w:rsidRPr="00C4084C">
        <w:t xml:space="preserve"> </w:t>
      </w:r>
      <w:r w:rsidRPr="00C4084C">
        <w:t xml:space="preserve">among those from </w:t>
      </w:r>
      <w:r w:rsidR="00A6094E">
        <w:t>l</w:t>
      </w:r>
      <w:r w:rsidR="00A6094E" w:rsidRPr="00C4084C">
        <w:t xml:space="preserve">ow </w:t>
      </w:r>
      <w:r w:rsidRPr="00C4084C">
        <w:t xml:space="preserve">SES and regional backgrounds as well as among First Nations people. </w:t>
      </w:r>
      <w:r w:rsidR="00D47CBD" w:rsidRPr="00C4084C">
        <w:fldChar w:fldCharType="begin"/>
      </w:r>
      <w:r w:rsidR="00D47CBD" w:rsidRPr="00C4084C">
        <w:instrText xml:space="preserve"> REF _Ref151936179 \h </w:instrText>
      </w:r>
      <w:r w:rsidR="00404FEC" w:rsidRPr="00C4084C">
        <w:instrText xml:space="preserve"> \* MERGEFORMAT </w:instrText>
      </w:r>
      <w:r w:rsidR="00D47CBD" w:rsidRPr="00C4084C">
        <w:fldChar w:fldCharType="separate"/>
      </w:r>
      <w:r w:rsidR="00467B4F" w:rsidRPr="00C4084C">
        <w:t xml:space="preserve">Figure </w:t>
      </w:r>
      <w:r w:rsidR="00467B4F">
        <w:rPr>
          <w:noProof/>
        </w:rPr>
        <w:t>8</w:t>
      </w:r>
      <w:r w:rsidR="00D47CBD" w:rsidRPr="00C4084C">
        <w:fldChar w:fldCharType="end"/>
      </w:r>
      <w:r w:rsidR="00747107" w:rsidRPr="00C4084C">
        <w:t xml:space="preserve"> shows that b</w:t>
      </w:r>
      <w:r w:rsidR="008F2BEE" w:rsidRPr="00C4084C">
        <w:t>etween 2021 and 2022, c</w:t>
      </w:r>
      <w:r w:rsidRPr="00C4084C">
        <w:t xml:space="preserve">ommencing domestic higher education enrolments </w:t>
      </w:r>
      <w:r w:rsidR="008F2BEE" w:rsidRPr="00C4084C">
        <w:t>declined overall</w:t>
      </w:r>
      <w:r w:rsidRPr="00C4084C">
        <w:t xml:space="preserve"> </w:t>
      </w:r>
      <w:r w:rsidR="008F2BEE" w:rsidRPr="00C4084C">
        <w:t>(</w:t>
      </w:r>
      <w:r w:rsidRPr="00C4084C">
        <w:t>10</w:t>
      </w:r>
      <w:r w:rsidR="004247E4" w:rsidRPr="00C4084C">
        <w:t>.4</w:t>
      </w:r>
      <w:r w:rsidRPr="00C4084C">
        <w:t>%</w:t>
      </w:r>
      <w:r w:rsidR="008F2BEE" w:rsidRPr="00C4084C">
        <w:t>)</w:t>
      </w:r>
      <w:r w:rsidRPr="00C4084C">
        <w:t xml:space="preserve">, </w:t>
      </w:r>
      <w:r w:rsidR="00A6094E">
        <w:t xml:space="preserve">and in specific cohorts: </w:t>
      </w:r>
      <w:r w:rsidR="008F2BEE" w:rsidRPr="00C4084C">
        <w:t>low SES students (</w:t>
      </w:r>
      <w:r w:rsidR="004247E4" w:rsidRPr="00C4084C">
        <w:t>11.7</w:t>
      </w:r>
      <w:r w:rsidRPr="00C4084C">
        <w:t>%</w:t>
      </w:r>
      <w:r w:rsidR="008F2BEE" w:rsidRPr="00C4084C">
        <w:t>)</w:t>
      </w:r>
      <w:r w:rsidRPr="00C4084C">
        <w:t>, regional</w:t>
      </w:r>
      <w:r w:rsidR="008F2BEE" w:rsidRPr="00C4084C">
        <w:t xml:space="preserve">, </w:t>
      </w:r>
      <w:proofErr w:type="gramStart"/>
      <w:r w:rsidR="008F2BEE" w:rsidRPr="00C4084C">
        <w:t>rural</w:t>
      </w:r>
      <w:proofErr w:type="gramEnd"/>
      <w:r w:rsidRPr="00C4084C">
        <w:t xml:space="preserve"> and remote students </w:t>
      </w:r>
      <w:r w:rsidR="008F2BEE" w:rsidRPr="00C4084C">
        <w:t>(8.1%) and First Nations students (</w:t>
      </w:r>
      <w:r w:rsidRPr="00C4084C">
        <w:t>8</w:t>
      </w:r>
      <w:r w:rsidR="004E40F9" w:rsidRPr="00C4084C">
        <w:t>.0</w:t>
      </w:r>
      <w:r w:rsidRPr="00C4084C">
        <w:t>%</w:t>
      </w:r>
      <w:r w:rsidR="008F2BEE" w:rsidRPr="00C4084C">
        <w:t>)</w:t>
      </w:r>
      <w:r w:rsidRPr="00C4084C">
        <w:t>.</w:t>
      </w:r>
      <w:r w:rsidR="00F738E1" w:rsidRPr="00C4084C">
        <w:rPr>
          <w:rStyle w:val="FootnoteReference"/>
        </w:rPr>
        <w:footnoteReference w:id="111"/>
      </w:r>
    </w:p>
    <w:p w14:paraId="7BA1B78B" w14:textId="55EB58DB" w:rsidR="005B3445" w:rsidRPr="00D26B82" w:rsidRDefault="005B3445" w:rsidP="005E5C5F">
      <w:pPr>
        <w:pStyle w:val="Caption"/>
        <w:rPr>
          <w:b/>
          <w:bCs/>
          <w:sz w:val="24"/>
          <w:szCs w:val="24"/>
        </w:rPr>
      </w:pPr>
      <w:bookmarkStart w:id="206" w:name="_Ref151936179"/>
      <w:bookmarkStart w:id="207" w:name="_Toc154674770"/>
      <w:r w:rsidRPr="00D26B82">
        <w:rPr>
          <w:b/>
          <w:bCs/>
          <w:sz w:val="24"/>
          <w:szCs w:val="24"/>
        </w:rPr>
        <w:lastRenderedPageBreak/>
        <w:t xml:space="preserve">Figure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8</w:t>
      </w:r>
      <w:r w:rsidRPr="00D26B82">
        <w:rPr>
          <w:b/>
          <w:bCs/>
          <w:sz w:val="24"/>
          <w:szCs w:val="24"/>
        </w:rPr>
        <w:fldChar w:fldCharType="end"/>
      </w:r>
      <w:bookmarkEnd w:id="206"/>
      <w:r w:rsidR="00FA7EF1" w:rsidRPr="00D26B82">
        <w:rPr>
          <w:b/>
          <w:bCs/>
          <w:sz w:val="24"/>
          <w:szCs w:val="24"/>
        </w:rPr>
        <w:t>:</w:t>
      </w:r>
      <w:r w:rsidRPr="00D26B82">
        <w:rPr>
          <w:b/>
          <w:bCs/>
          <w:sz w:val="24"/>
          <w:szCs w:val="24"/>
        </w:rPr>
        <w:t xml:space="preserve"> </w:t>
      </w:r>
      <w:r w:rsidR="00E22197" w:rsidRPr="00D26B82">
        <w:rPr>
          <w:b/>
          <w:bCs/>
          <w:sz w:val="24"/>
          <w:szCs w:val="24"/>
        </w:rPr>
        <w:t xml:space="preserve">Number of </w:t>
      </w:r>
      <w:r w:rsidR="00FD3D0A" w:rsidRPr="00D26B82">
        <w:rPr>
          <w:b/>
          <w:bCs/>
          <w:sz w:val="24"/>
          <w:szCs w:val="24"/>
        </w:rPr>
        <w:t xml:space="preserve">commencing domestic students </w:t>
      </w:r>
      <w:r w:rsidR="00E7087D" w:rsidRPr="00D26B82">
        <w:rPr>
          <w:b/>
          <w:bCs/>
          <w:sz w:val="24"/>
          <w:szCs w:val="24"/>
        </w:rPr>
        <w:t>(</w:t>
      </w:r>
      <w:r w:rsidR="00761997" w:rsidRPr="00D26B82">
        <w:rPr>
          <w:b/>
          <w:bCs/>
          <w:sz w:val="24"/>
          <w:szCs w:val="24"/>
        </w:rPr>
        <w:t>thousands of students</w:t>
      </w:r>
      <w:r w:rsidR="00166D27" w:rsidRPr="00D26B82">
        <w:rPr>
          <w:b/>
          <w:bCs/>
          <w:sz w:val="24"/>
          <w:szCs w:val="24"/>
        </w:rPr>
        <w:t>, headcount</w:t>
      </w:r>
      <w:r w:rsidR="00E7087D" w:rsidRPr="00D26B82">
        <w:rPr>
          <w:b/>
          <w:bCs/>
          <w:sz w:val="24"/>
          <w:szCs w:val="24"/>
        </w:rPr>
        <w:t>)</w:t>
      </w:r>
      <w:r w:rsidR="00E22197" w:rsidRPr="00D26B82">
        <w:rPr>
          <w:b/>
          <w:bCs/>
          <w:sz w:val="24"/>
          <w:szCs w:val="24"/>
        </w:rPr>
        <w:t>,</w:t>
      </w:r>
      <w:r w:rsidR="00FD3D0A" w:rsidRPr="00D26B82">
        <w:rPr>
          <w:b/>
          <w:bCs/>
          <w:sz w:val="24"/>
          <w:szCs w:val="24"/>
        </w:rPr>
        <w:t xml:space="preserve"> target cohort</w:t>
      </w:r>
      <w:r w:rsidR="009246DA" w:rsidRPr="00D26B82">
        <w:rPr>
          <w:b/>
          <w:bCs/>
          <w:sz w:val="24"/>
          <w:szCs w:val="24"/>
        </w:rPr>
        <w:t>s</w:t>
      </w:r>
      <w:r w:rsidR="00E22197" w:rsidRPr="00D26B82">
        <w:rPr>
          <w:b/>
          <w:bCs/>
          <w:sz w:val="24"/>
          <w:szCs w:val="24"/>
        </w:rPr>
        <w:t xml:space="preserve"> relative to all domestic</w:t>
      </w:r>
      <w:r w:rsidR="00FD3D0A" w:rsidRPr="00D26B82">
        <w:rPr>
          <w:b/>
          <w:bCs/>
          <w:sz w:val="24"/>
          <w:szCs w:val="24"/>
        </w:rPr>
        <w:t>, 2006</w:t>
      </w:r>
      <w:r w:rsidR="005872D9" w:rsidRPr="00D26B82">
        <w:rPr>
          <w:b/>
          <w:bCs/>
          <w:sz w:val="24"/>
          <w:szCs w:val="24"/>
        </w:rPr>
        <w:t xml:space="preserve"> to </w:t>
      </w:r>
      <w:r w:rsidR="00FD3D0A" w:rsidRPr="00D26B82">
        <w:rPr>
          <w:b/>
          <w:bCs/>
          <w:sz w:val="24"/>
          <w:szCs w:val="24"/>
        </w:rPr>
        <w:t>2022</w:t>
      </w:r>
      <w:r w:rsidR="007921E2" w:rsidRPr="00D26B82">
        <w:rPr>
          <w:b/>
          <w:bCs/>
          <w:sz w:val="24"/>
          <w:szCs w:val="24"/>
        </w:rPr>
        <w:t>.</w:t>
      </w:r>
      <w:bookmarkEnd w:id="207"/>
      <w:r w:rsidRPr="00D26B82">
        <w:rPr>
          <w:b/>
          <w:bCs/>
          <w:sz w:val="24"/>
          <w:szCs w:val="24"/>
        </w:rPr>
        <w:t xml:space="preserve"> </w:t>
      </w:r>
    </w:p>
    <w:p w14:paraId="371B087C" w14:textId="14D59EDF" w:rsidR="00F3585C" w:rsidRDefault="00F3585C" w:rsidP="00FA7EF1">
      <w:pPr>
        <w:pStyle w:val="Source"/>
      </w:pPr>
      <w:r>
        <w:rPr>
          <w:noProof/>
        </w:rPr>
        <w:drawing>
          <wp:inline distT="0" distB="0" distL="0" distR="0" wp14:anchorId="04B4A3A3" wp14:editId="48F0CD1D">
            <wp:extent cx="6101270" cy="2594344"/>
            <wp:effectExtent l="0" t="0" r="0" b="0"/>
            <wp:docPr id="959667270" name="Graphic 8" descr="A line graph showing the number of commencing domestic students from target cohorts compared to all domestic from 2006 to 2022. There is a large gap between First Nations, Low SES, and Regional and Remote students (the latter group having the highest number of commencing domestic students) and all commencing domestic students. The target cohort groups relatively mirror the changes in the number of all commencing domestic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667270" name="Graphic 8" descr="A line graph showing the number of commencing domestic students from target cohorts compared to all domestic from 2006 to 2022. There is a large gap between First Nations, Low SES, and Regional and Remote students (the latter group having the highest number of commencing domestic students) and all commencing domestic students. The target cohort groups relatively mirror the changes in the number of all commencing domestic students."/>
                    <pic:cNvPicPr/>
                  </pic:nvPicPr>
                  <pic:blipFill>
                    <a:blip r:embed="rId56">
                      <a:extLst>
                        <a:ext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0" y="0"/>
                      <a:ext cx="6129215" cy="2606227"/>
                    </a:xfrm>
                    <a:prstGeom prst="rect">
                      <a:avLst/>
                    </a:prstGeom>
                  </pic:spPr>
                </pic:pic>
              </a:graphicData>
            </a:graphic>
          </wp:inline>
        </w:drawing>
      </w:r>
    </w:p>
    <w:p w14:paraId="7BEA5B9B" w14:textId="37AB063C" w:rsidR="000A5E4F" w:rsidRPr="00C4084C" w:rsidRDefault="005B3445" w:rsidP="00FA7EF1">
      <w:pPr>
        <w:pStyle w:val="Source"/>
      </w:pPr>
      <w:r w:rsidRPr="00C4084C">
        <w:t xml:space="preserve">Source: Department of Education, </w:t>
      </w:r>
      <w:r w:rsidRPr="00C4084C">
        <w:rPr>
          <w:i/>
        </w:rPr>
        <w:t>Higher Education Statistics</w:t>
      </w:r>
      <w:r w:rsidR="00D024F9" w:rsidRPr="00C4084C">
        <w:rPr>
          <w:i/>
        </w:rPr>
        <w:t xml:space="preserve"> – Student Data – 202</w:t>
      </w:r>
      <w:r w:rsidR="00856E0F" w:rsidRPr="00C4084C">
        <w:rPr>
          <w:i/>
        </w:rPr>
        <w:t>2</w:t>
      </w:r>
      <w:r w:rsidR="00D024F9" w:rsidRPr="00C4084C">
        <w:rPr>
          <w:i/>
        </w:rPr>
        <w:t xml:space="preserve"> Section 11 Equity groups</w:t>
      </w:r>
      <w:r w:rsidR="00D024F9" w:rsidRPr="00C4084C">
        <w:rPr>
          <w:iCs/>
        </w:rPr>
        <w:t xml:space="preserve"> </w:t>
      </w:r>
      <w:r w:rsidR="00856E0F" w:rsidRPr="00C4084C">
        <w:rPr>
          <w:iCs/>
        </w:rPr>
        <w:t>[data set]</w:t>
      </w:r>
      <w:r w:rsidR="00C5784B" w:rsidRPr="00C4084C">
        <w:t xml:space="preserve">, </w:t>
      </w:r>
      <w:r w:rsidR="00856E0F" w:rsidRPr="00C4084C">
        <w:t>(</w:t>
      </w:r>
      <w:r w:rsidRPr="00C4084C">
        <w:t>Canberra</w:t>
      </w:r>
      <w:r w:rsidR="00856E0F" w:rsidRPr="00C4084C">
        <w:t>: 2023</w:t>
      </w:r>
      <w:r w:rsidR="00276B52" w:rsidRPr="00C4084C">
        <w:t>)</w:t>
      </w:r>
      <w:r w:rsidRPr="00C4084C">
        <w:t xml:space="preserve">, </w:t>
      </w:r>
      <w:r w:rsidR="00276B52" w:rsidRPr="00C4084C">
        <w:t xml:space="preserve">accessed </w:t>
      </w:r>
      <w:r w:rsidR="00CF467B" w:rsidRPr="00C4084C">
        <w:t>18</w:t>
      </w:r>
      <w:r w:rsidR="00551379" w:rsidRPr="00C4084C">
        <w:t xml:space="preserve"> December 2023</w:t>
      </w:r>
      <w:r w:rsidR="00276B52" w:rsidRPr="00C4084C">
        <w:t>,</w:t>
      </w:r>
      <w:r w:rsidRPr="00C4084C">
        <w:t xml:space="preserve"> </w:t>
      </w:r>
      <w:hyperlink r:id="rId58" w:tgtFrame="_blank" w:tooltip="https://www.education.gov.au/higher-education-statistics/resources/2022-section-11-equity-groups" w:history="1">
        <w:r w:rsidR="001C2944" w:rsidRPr="00C4084C">
          <w:rPr>
            <w:rStyle w:val="Hyperlink"/>
          </w:rPr>
          <w:t>https://www.education.gov.au/higher-education-statistics/resources/2022-section-11-equity-groups</w:t>
        </w:r>
      </w:hyperlink>
      <w:r w:rsidR="00276B52" w:rsidRPr="00C4084C">
        <w:t>.</w:t>
      </w:r>
      <w:r w:rsidR="00342689" w:rsidRPr="00C4084C">
        <w:t xml:space="preserve"> </w:t>
      </w:r>
      <w:r w:rsidR="001C2944" w:rsidRPr="00C4084C">
        <w:t xml:space="preserve"> </w:t>
      </w:r>
    </w:p>
    <w:p w14:paraId="5C27F33B" w14:textId="234A7EAC" w:rsidR="00342689" w:rsidRPr="00C4084C" w:rsidRDefault="00342689" w:rsidP="00FA7EF1">
      <w:pPr>
        <w:pStyle w:val="Source"/>
      </w:pPr>
      <w:r w:rsidRPr="00C4084C">
        <w:t xml:space="preserve">Note: Total domestic students </w:t>
      </w:r>
      <w:proofErr w:type="gramStart"/>
      <w:r w:rsidRPr="00C4084C">
        <w:t>refers</w:t>
      </w:r>
      <w:proofErr w:type="gramEnd"/>
      <w:r w:rsidRPr="00C4084C">
        <w:t xml:space="preserve"> to domestic students with a permanent home address in Australia only</w:t>
      </w:r>
    </w:p>
    <w:p w14:paraId="5EA6B54F" w14:textId="16E704F1" w:rsidR="005B3445" w:rsidRPr="00C4084C" w:rsidRDefault="005B3445" w:rsidP="00C35648">
      <w:r w:rsidRPr="00C4084C">
        <w:t>Falling enrolments in higher education are partly being driven by strong employment growth, as those who might otherwise have studied can now more readily find paid employment. This manifests in</w:t>
      </w:r>
      <w:r w:rsidRPr="00C4084C" w:rsidDel="00D16150">
        <w:t xml:space="preserve"> </w:t>
      </w:r>
      <w:r w:rsidR="00D16150" w:rsidRPr="00C4084C">
        <w:t>2</w:t>
      </w:r>
      <w:r w:rsidRPr="00C4084C">
        <w:t xml:space="preserve"> ways: more people transitioning directly from school into the workforce (affecting attainment rates), and fewer non-school leavers studying as an alternative to paid employment (affecting the overall rate of upskilling). </w:t>
      </w:r>
    </w:p>
    <w:p w14:paraId="3C867BBB" w14:textId="7ADDBBDE" w:rsidR="005B3445" w:rsidRPr="00C4084C" w:rsidRDefault="005B3445" w:rsidP="00C35648">
      <w:r w:rsidRPr="00C4084C">
        <w:t>During these times</w:t>
      </w:r>
      <w:r w:rsidR="00D761FA" w:rsidRPr="00C4084C">
        <w:t xml:space="preserve"> of </w:t>
      </w:r>
      <w:r w:rsidR="00323540" w:rsidRPr="00C4084C">
        <w:t>high employment</w:t>
      </w:r>
      <w:r w:rsidRPr="00C4084C">
        <w:t xml:space="preserve">, emphasis should be on offering upskilling – for example through </w:t>
      </w:r>
      <w:proofErr w:type="spellStart"/>
      <w:r w:rsidRPr="00C4084C">
        <w:t>microcredentials</w:t>
      </w:r>
      <w:proofErr w:type="spellEnd"/>
      <w:r w:rsidRPr="00C4084C">
        <w:t xml:space="preserve"> – to </w:t>
      </w:r>
      <w:r w:rsidR="000C118C" w:rsidRPr="00C4084C">
        <w:t xml:space="preserve">encourage </w:t>
      </w:r>
      <w:r w:rsidRPr="00C4084C">
        <w:t>people to take advantage of employment opportunities while also preparing themselves for future changes in the labour market. This is dealt with further at</w:t>
      </w:r>
      <w:r w:rsidR="00F97CB2" w:rsidRPr="00C4084C">
        <w:t xml:space="preserve"> </w:t>
      </w:r>
      <w:r w:rsidR="00F97CB2" w:rsidRPr="00C4084C">
        <w:fldChar w:fldCharType="begin"/>
      </w:r>
      <w:r w:rsidR="00F97CB2" w:rsidRPr="00C4084C">
        <w:instrText xml:space="preserve"> REF _Ref152172175 \w \h  \* MERGEFORMAT </w:instrText>
      </w:r>
      <w:r w:rsidR="00F97CB2" w:rsidRPr="00C4084C">
        <w:fldChar w:fldCharType="separate"/>
      </w:r>
      <w:r w:rsidR="00467B4F">
        <w:t>2.3.2</w:t>
      </w:r>
      <w:r w:rsidR="00F97CB2" w:rsidRPr="00C4084C">
        <w:fldChar w:fldCharType="end"/>
      </w:r>
      <w:r w:rsidR="0092383F" w:rsidRPr="00C4084C">
        <w:t>.</w:t>
      </w:r>
    </w:p>
    <w:p w14:paraId="0E457B38" w14:textId="77777777" w:rsidR="005B3445" w:rsidRPr="00C4084C" w:rsidRDefault="005B3445" w:rsidP="00B1626C">
      <w:pPr>
        <w:pStyle w:val="Heading6"/>
      </w:pPr>
      <w:r w:rsidRPr="00C4084C">
        <w:t>Barriers to entry</w:t>
      </w:r>
    </w:p>
    <w:p w14:paraId="1A94D55C" w14:textId="60E52820" w:rsidR="005B3445" w:rsidRPr="00C4084C" w:rsidRDefault="005B3445" w:rsidP="00C35648">
      <w:r w:rsidRPr="00C4084C">
        <w:t>The recent decline in enrolments also reflect</w:t>
      </w:r>
      <w:r w:rsidR="000711C5" w:rsidRPr="00C4084C">
        <w:t>s</w:t>
      </w:r>
      <w:r w:rsidRPr="00C4084C">
        <w:t xml:space="preserve"> barriers to obtaining an education</w:t>
      </w:r>
      <w:r w:rsidRPr="00C4084C" w:rsidDel="00E51808">
        <w:t>, such as</w:t>
      </w:r>
      <w:r w:rsidRPr="00C4084C" w:rsidDel="00651917">
        <w:t xml:space="preserve"> </w:t>
      </w:r>
      <w:r w:rsidRPr="00C4084C">
        <w:t xml:space="preserve">lack of </w:t>
      </w:r>
      <w:r w:rsidR="00F90A9A" w:rsidRPr="00C4084C">
        <w:t xml:space="preserve">access to funds </w:t>
      </w:r>
      <w:r w:rsidRPr="00C4084C">
        <w:t xml:space="preserve">and other financial and community supports to sustain an education. They also include limitations in the support available to build aspiration and help provide young people with the life skills and learning capabilities to undertake further education. </w:t>
      </w:r>
    </w:p>
    <w:p w14:paraId="5AC9DEDF" w14:textId="04C15F5E" w:rsidR="005B3445" w:rsidRPr="00C4084C" w:rsidRDefault="005B3445" w:rsidP="00C35648">
      <w:r w:rsidRPr="00C4084C">
        <w:t>Often, the study decisions that students make in years 9 and 10 of secondary education</w:t>
      </w:r>
      <w:r w:rsidRPr="00C4084C" w:rsidDel="008979FA">
        <w:t xml:space="preserve"> </w:t>
      </w:r>
      <w:r w:rsidRPr="00C4084C">
        <w:t xml:space="preserve">define how well prepared they are for future tertiary study. </w:t>
      </w:r>
      <w:r w:rsidR="00060869" w:rsidRPr="00C4084C">
        <w:t>This highlights the need to improve careers advice</w:t>
      </w:r>
      <w:r w:rsidR="00FA686E" w:rsidRPr="00C4084C">
        <w:t xml:space="preserve">, </w:t>
      </w:r>
      <w:r w:rsidR="00060869" w:rsidRPr="00C4084C">
        <w:t xml:space="preserve">particularly at younger ages. </w:t>
      </w:r>
      <w:r w:rsidR="595FDF2D" w:rsidRPr="00C4084C">
        <w:t>A</w:t>
      </w:r>
      <w:r w:rsidR="020E2546" w:rsidRPr="00C4084C">
        <w:t>ccess</w:t>
      </w:r>
      <w:r w:rsidR="40604F47" w:rsidRPr="00C4084C">
        <w:t xml:space="preserve"> to subjects</w:t>
      </w:r>
      <w:r w:rsidR="51822F71" w:rsidRPr="00C4084C">
        <w:t xml:space="preserve"> at school</w:t>
      </w:r>
      <w:r w:rsidR="29F2A1E3" w:rsidRPr="00C4084C" w:rsidDel="00722569">
        <w:t xml:space="preserve">, </w:t>
      </w:r>
      <w:r w:rsidR="29F2A1E3" w:rsidRPr="00C4084C">
        <w:t>such as higher-level mathematics and some sciences, can</w:t>
      </w:r>
      <w:r w:rsidR="276DCD4E" w:rsidRPr="00C4084C">
        <w:t xml:space="preserve"> </w:t>
      </w:r>
      <w:r w:rsidR="5B372560" w:rsidRPr="00C4084C">
        <w:t xml:space="preserve">also affect </w:t>
      </w:r>
      <w:r w:rsidR="0C2DEC69" w:rsidRPr="00C4084C">
        <w:t xml:space="preserve">preparedness for higher education, with </w:t>
      </w:r>
      <w:r w:rsidR="1E042742" w:rsidRPr="00C4084C">
        <w:t>evidence suggest</w:t>
      </w:r>
      <w:r w:rsidR="3539EC2B" w:rsidRPr="00C4084C">
        <w:t>ing</w:t>
      </w:r>
      <w:r w:rsidR="1E042742" w:rsidRPr="00C4084C">
        <w:t xml:space="preserve"> students from low SES backgrounds and non-metropolitan</w:t>
      </w:r>
      <w:r w:rsidR="5B372560" w:rsidRPr="00C4084C">
        <w:t xml:space="preserve"> </w:t>
      </w:r>
      <w:r w:rsidR="4E34F322" w:rsidRPr="00C4084C">
        <w:t>locations</w:t>
      </w:r>
      <w:r w:rsidR="2E31485A" w:rsidRPr="00C4084C">
        <w:t xml:space="preserve"> are less likely to access </w:t>
      </w:r>
      <w:r w:rsidR="00D31468" w:rsidRPr="00C4084C">
        <w:t>some</w:t>
      </w:r>
      <w:r w:rsidR="2E31485A" w:rsidRPr="00C4084C">
        <w:t xml:space="preserve"> </w:t>
      </w:r>
      <w:proofErr w:type="gramStart"/>
      <w:r w:rsidR="2E31485A" w:rsidRPr="00C4084C">
        <w:t>higher level</w:t>
      </w:r>
      <w:proofErr w:type="gramEnd"/>
      <w:r w:rsidR="2E31485A" w:rsidRPr="00C4084C">
        <w:t xml:space="preserve"> subjects</w:t>
      </w:r>
      <w:r w:rsidR="6028751B" w:rsidRPr="00C4084C">
        <w:t>.</w:t>
      </w:r>
      <w:r w:rsidR="00A67256" w:rsidRPr="00C4084C">
        <w:rPr>
          <w:rStyle w:val="FootnoteReference"/>
        </w:rPr>
        <w:footnoteReference w:id="112"/>
      </w:r>
      <w:r w:rsidRPr="00C4084C" w:rsidDel="005B3445">
        <w:t xml:space="preserve"> </w:t>
      </w:r>
    </w:p>
    <w:p w14:paraId="679F0164" w14:textId="0196BF08" w:rsidR="00ED00C4" w:rsidRPr="00C4084C" w:rsidRDefault="005B3445" w:rsidP="00C35648">
      <w:r w:rsidRPr="00C4084C">
        <w:t>These issues are addressed in more detail in</w:t>
      </w:r>
      <w:r w:rsidR="00796383" w:rsidRPr="00C4084C">
        <w:t xml:space="preserve"> </w:t>
      </w:r>
      <w:r w:rsidR="00796383" w:rsidRPr="00C4084C">
        <w:rPr>
          <w:i/>
        </w:rPr>
        <w:fldChar w:fldCharType="begin"/>
      </w:r>
      <w:r w:rsidR="00796383" w:rsidRPr="00C4084C">
        <w:instrText xml:space="preserve"> REF _Ref151934425 \r \h  \* MERGEFORMAT </w:instrText>
      </w:r>
      <w:r w:rsidR="00796383" w:rsidRPr="00C4084C">
        <w:rPr>
          <w:i/>
        </w:rPr>
      </w:r>
      <w:r w:rsidR="00796383" w:rsidRPr="00C4084C">
        <w:rPr>
          <w:i/>
        </w:rPr>
        <w:fldChar w:fldCharType="separate"/>
      </w:r>
      <w:r w:rsidR="00467B4F" w:rsidRPr="00467B4F">
        <w:rPr>
          <w:i/>
        </w:rPr>
        <w:t>Chapter 3</w:t>
      </w:r>
      <w:r w:rsidR="00467B4F">
        <w:t xml:space="preserve"> – </w:t>
      </w:r>
      <w:r w:rsidR="00796383" w:rsidRPr="00C4084C">
        <w:rPr>
          <w:i/>
        </w:rPr>
        <w:fldChar w:fldCharType="end"/>
      </w:r>
      <w:r w:rsidR="00796383" w:rsidRPr="00C4084C">
        <w:rPr>
          <w:i/>
        </w:rPr>
        <w:fldChar w:fldCharType="begin"/>
      </w:r>
      <w:r w:rsidR="00796383" w:rsidRPr="00C4084C">
        <w:rPr>
          <w:i/>
        </w:rPr>
        <w:instrText xml:space="preserve"> REF _Ref151934425 \h  \* MERGEFORMAT </w:instrText>
      </w:r>
      <w:r w:rsidR="00796383" w:rsidRPr="00C4084C">
        <w:rPr>
          <w:i/>
        </w:rPr>
      </w:r>
      <w:r w:rsidR="00796383" w:rsidRPr="00C4084C">
        <w:rPr>
          <w:i/>
        </w:rPr>
        <w:fldChar w:fldCharType="separate"/>
      </w:r>
      <w:r w:rsidR="00467B4F" w:rsidRPr="00467B4F">
        <w:rPr>
          <w:i/>
        </w:rPr>
        <w:t>Expanding opportunity to all</w:t>
      </w:r>
      <w:r w:rsidR="00796383" w:rsidRPr="00C4084C">
        <w:rPr>
          <w:i/>
        </w:rPr>
        <w:fldChar w:fldCharType="end"/>
      </w:r>
      <w:r w:rsidR="00796383" w:rsidRPr="00C4084C">
        <w:t>.</w:t>
      </w:r>
      <w:r w:rsidRPr="00C4084C">
        <w:t xml:space="preserve"> </w:t>
      </w:r>
      <w:bookmarkStart w:id="208" w:name="_Toc151807264"/>
    </w:p>
    <w:p w14:paraId="15E70D73" w14:textId="75415E61" w:rsidR="005B3445" w:rsidRPr="00C4084C" w:rsidRDefault="006A17EF" w:rsidP="00BA6095">
      <w:pPr>
        <w:pStyle w:val="Heading4"/>
      </w:pPr>
      <w:bookmarkStart w:id="209" w:name="_Toc151999769"/>
      <w:bookmarkStart w:id="210" w:name="_Toc152068520"/>
      <w:bookmarkStart w:id="211" w:name="_Toc1412480226"/>
      <w:bookmarkStart w:id="212" w:name="_Toc153483012"/>
      <w:bookmarkStart w:id="213" w:name="_Toc159500922"/>
      <w:bookmarkEnd w:id="209"/>
      <w:bookmarkEnd w:id="210"/>
      <w:r w:rsidRPr="00C4084C">
        <w:lastRenderedPageBreak/>
        <w:t xml:space="preserve">A better managed </w:t>
      </w:r>
      <w:r w:rsidR="005B3445" w:rsidRPr="00C4084C">
        <w:t xml:space="preserve">migration </w:t>
      </w:r>
      <w:bookmarkEnd w:id="208"/>
      <w:bookmarkEnd w:id="211"/>
      <w:r w:rsidR="001016BE" w:rsidRPr="00C4084C">
        <w:t xml:space="preserve">system will remain important to meeting skills </w:t>
      </w:r>
      <w:proofErr w:type="gramStart"/>
      <w:r w:rsidR="001016BE" w:rsidRPr="00C4084C">
        <w:t>needs</w:t>
      </w:r>
      <w:bookmarkEnd w:id="212"/>
      <w:bookmarkEnd w:id="213"/>
      <w:proofErr w:type="gramEnd"/>
    </w:p>
    <w:p w14:paraId="5BFBA029" w14:textId="26EF6212" w:rsidR="005B3445" w:rsidRPr="00C4084C" w:rsidRDefault="005B3445" w:rsidP="00C35648">
      <w:r w:rsidRPr="00C4084C">
        <w:t>Increasing</w:t>
      </w:r>
      <w:r w:rsidRPr="00C4084C" w:rsidDel="007A0844">
        <w:t xml:space="preserve"> </w:t>
      </w:r>
      <w:r w:rsidRPr="00C4084C">
        <w:t xml:space="preserve">participation and attainment of Australian students in </w:t>
      </w:r>
      <w:r w:rsidR="5D42AFC4" w:rsidRPr="00C4084C">
        <w:t>tertiary</w:t>
      </w:r>
      <w:r w:rsidRPr="00C4084C">
        <w:t xml:space="preserve"> education is not the only way to meet future skills needs.</w:t>
      </w:r>
    </w:p>
    <w:p w14:paraId="5F3C2540" w14:textId="40498BCC" w:rsidR="005B3445" w:rsidRPr="00C4084C" w:rsidRDefault="005B3445" w:rsidP="00C35648">
      <w:pPr>
        <w:rPr>
          <w:i/>
        </w:rPr>
      </w:pPr>
      <w:r w:rsidRPr="00C4084C">
        <w:t>The Review recognises that migration plays an invaluable role in meeting areas of skills needs and contributes to the development of Australia</w:t>
      </w:r>
      <w:r w:rsidR="00B741A2" w:rsidRPr="00C4084C">
        <w:t>’s</w:t>
      </w:r>
      <w:r w:rsidRPr="00C4084C">
        <w:t xml:space="preserve"> soft diplomacy and influence in the region and more widely.</w:t>
      </w:r>
      <w:r w:rsidRPr="00C4084C" w:rsidDel="007A0844">
        <w:t xml:space="preserve"> </w:t>
      </w:r>
      <w:r w:rsidRPr="00C4084C">
        <w:t xml:space="preserve">The </w:t>
      </w:r>
      <w:r w:rsidR="002F458A" w:rsidRPr="00C4084C">
        <w:t>Australian</w:t>
      </w:r>
      <w:r w:rsidRPr="00C4084C">
        <w:t xml:space="preserve"> Government’s </w:t>
      </w:r>
      <w:r w:rsidR="00303B1F" w:rsidRPr="00C4084C">
        <w:t>2023</w:t>
      </w:r>
      <w:r w:rsidRPr="00C4084C">
        <w:t xml:space="preserve"> Employment White Paper and the 2023 Review of the Migration System both highlight the vital role that Australia’s targeted skilled migration program plays and will continue to play in addressing skills shortages and providing access to the specialist skills and critical expertise needed in Australia’s emerging industries.</w:t>
      </w:r>
      <w:r w:rsidRPr="00C4084C">
        <w:rPr>
          <w:rStyle w:val="FootnoteReference"/>
          <w:rFonts w:eastAsia="Arial"/>
          <w:color w:val="000000" w:themeColor="text1"/>
        </w:rPr>
        <w:footnoteReference w:id="113"/>
      </w:r>
      <w:r w:rsidRPr="00C4084C">
        <w:t xml:space="preserve"> Of particular relevance to the tertiary education sector, the </w:t>
      </w:r>
      <w:r w:rsidR="002F458A" w:rsidRPr="00C4084C">
        <w:t>Australian</w:t>
      </w:r>
      <w:r w:rsidRPr="00C4084C">
        <w:t xml:space="preserve"> Government’s Migration Strategy, released in </w:t>
      </w:r>
      <w:r w:rsidR="00C43B0A">
        <w:t>December</w:t>
      </w:r>
      <w:r w:rsidRPr="00C4084C">
        <w:t xml:space="preserve"> 2023, outlines reforms to ensure better targeting of Australia’s skilled migration program and to build the job-readiness of international students.</w:t>
      </w:r>
      <w:r w:rsidRPr="00C4084C">
        <w:rPr>
          <w:rStyle w:val="FootnoteReference"/>
          <w:rFonts w:eastAsia="Arial"/>
          <w:color w:val="000000" w:themeColor="text1"/>
        </w:rPr>
        <w:footnoteReference w:id="114"/>
      </w:r>
      <w:r w:rsidRPr="00C4084C">
        <w:t xml:space="preserve"> This is further explored in </w:t>
      </w:r>
      <w:r w:rsidR="009A57A7" w:rsidRPr="00C4084C">
        <w:rPr>
          <w:i/>
        </w:rPr>
        <w:fldChar w:fldCharType="begin"/>
      </w:r>
      <w:r w:rsidR="009A57A7" w:rsidRPr="00C4084C">
        <w:rPr>
          <w:i/>
        </w:rPr>
        <w:instrText xml:space="preserve"> REF _Ref151934666 \r \h </w:instrText>
      </w:r>
      <w:r w:rsidR="00936F8C" w:rsidRPr="00C4084C">
        <w:rPr>
          <w:i/>
        </w:rPr>
        <w:instrText xml:space="preserve"> \* MERGEFORMAT </w:instrText>
      </w:r>
      <w:r w:rsidR="009A57A7" w:rsidRPr="00C4084C">
        <w:rPr>
          <w:i/>
        </w:rPr>
      </w:r>
      <w:r w:rsidR="009A57A7" w:rsidRPr="00C4084C">
        <w:rPr>
          <w:i/>
        </w:rPr>
        <w:fldChar w:fldCharType="separate"/>
      </w:r>
      <w:r w:rsidR="00467B4F">
        <w:rPr>
          <w:i/>
        </w:rPr>
        <w:t xml:space="preserve">Chapter 6 – </w:t>
      </w:r>
      <w:r w:rsidR="009A57A7" w:rsidRPr="00C4084C">
        <w:rPr>
          <w:i/>
        </w:rPr>
        <w:fldChar w:fldCharType="end"/>
      </w:r>
      <w:r w:rsidR="004413A4" w:rsidRPr="00C4084C">
        <w:rPr>
          <w:i/>
        </w:rPr>
        <w:t xml:space="preserve"> </w:t>
      </w:r>
      <w:r w:rsidR="00796383" w:rsidRPr="00C4084C">
        <w:rPr>
          <w:i/>
        </w:rPr>
        <w:fldChar w:fldCharType="begin"/>
      </w:r>
      <w:r w:rsidR="00796383" w:rsidRPr="00C4084C">
        <w:rPr>
          <w:i/>
        </w:rPr>
        <w:instrText xml:space="preserve"> REF _Ref151934666 \h  \* MERGEFORMAT </w:instrText>
      </w:r>
      <w:r w:rsidR="00796383" w:rsidRPr="00C4084C">
        <w:rPr>
          <w:i/>
        </w:rPr>
      </w:r>
      <w:r w:rsidR="00796383" w:rsidRPr="00C4084C">
        <w:rPr>
          <w:i/>
        </w:rPr>
        <w:fldChar w:fldCharType="separate"/>
      </w:r>
      <w:r w:rsidR="00467B4F" w:rsidRPr="00467B4F">
        <w:rPr>
          <w:i/>
        </w:rPr>
        <w:t>A dynamic, collaborative and responsive system that serves the national interest</w:t>
      </w:r>
      <w:r w:rsidR="00796383" w:rsidRPr="00C4084C">
        <w:rPr>
          <w:i/>
        </w:rPr>
        <w:fldChar w:fldCharType="end"/>
      </w:r>
      <w:r w:rsidRPr="00C4084C">
        <w:rPr>
          <w:i/>
        </w:rPr>
        <w:t>.</w:t>
      </w:r>
    </w:p>
    <w:tbl>
      <w:tblPr>
        <w:tblW w:w="0" w:type="auto"/>
        <w:shd w:val="clear" w:color="auto" w:fill="DAF2EF"/>
        <w:tblLook w:val="04A0" w:firstRow="1" w:lastRow="0" w:firstColumn="1" w:lastColumn="0" w:noHBand="0" w:noVBand="1"/>
      </w:tblPr>
      <w:tblGrid>
        <w:gridCol w:w="9356"/>
      </w:tblGrid>
      <w:tr w:rsidR="00117434" w:rsidRPr="00C4084C" w14:paraId="4F2683BB" w14:textId="77777777" w:rsidTr="00D26B82">
        <w:tc>
          <w:tcPr>
            <w:tcW w:w="9356" w:type="dxa"/>
            <w:shd w:val="clear" w:color="auto" w:fill="E3DAEA"/>
          </w:tcPr>
          <w:p w14:paraId="61710A71" w14:textId="35BA0A5D" w:rsidR="00117434" w:rsidRPr="00C4084C" w:rsidRDefault="00BE615A" w:rsidP="00570A6C">
            <w:pPr>
              <w:pStyle w:val="Boxtitlessubheadings"/>
            </w:pPr>
            <w:r w:rsidRPr="00C4084C">
              <w:lastRenderedPageBreak/>
              <w:t>The Employment White Paper</w:t>
            </w:r>
          </w:p>
          <w:p w14:paraId="14D8E991" w14:textId="3FB036B5" w:rsidR="00BE615A" w:rsidRPr="00C35648" w:rsidRDefault="00BE615A" w:rsidP="00C35648">
            <w:pPr>
              <w:pStyle w:val="Boxtext0"/>
            </w:pPr>
            <w:r w:rsidRPr="00C35648">
              <w:t xml:space="preserve">Delivered in September 2023, the Employment White Paper (White Paper) is designed as a roadmap to position the Australian labour market for the future, providing an outline of practical actions being taken and areas for further reform to achieve Australia’s employment potential. </w:t>
            </w:r>
          </w:p>
          <w:p w14:paraId="6085226F" w14:textId="77777777" w:rsidR="00BE615A" w:rsidRPr="00C4084C" w:rsidRDefault="00BE615A" w:rsidP="00C35648">
            <w:pPr>
              <w:pStyle w:val="Boxtext0"/>
              <w:rPr>
                <w:rFonts w:ascii="Calibri" w:eastAsia="Yu Gothic Light" w:hAnsi="Calibri" w:cs="Calibri"/>
                <w:bCs/>
              </w:rPr>
            </w:pPr>
            <w:r w:rsidRPr="00C4084C">
              <w:rPr>
                <w:rFonts w:ascii="Calibri" w:eastAsia="Yu Gothic Light" w:hAnsi="Calibri" w:cs="Calibri"/>
                <w:bCs/>
              </w:rPr>
              <w:t xml:space="preserve">One of 10 principal policy areas of the White Paper is reforming the migration system through better targeting skilled migration, improving the employment outcomes of international </w:t>
            </w:r>
            <w:proofErr w:type="gramStart"/>
            <w:r w:rsidRPr="00C4084C">
              <w:rPr>
                <w:rFonts w:ascii="Calibri" w:eastAsia="Yu Gothic Light" w:hAnsi="Calibri" w:cs="Calibri"/>
                <w:bCs/>
              </w:rPr>
              <w:t>students</w:t>
            </w:r>
            <w:proofErr w:type="gramEnd"/>
            <w:r w:rsidRPr="00C4084C">
              <w:rPr>
                <w:rFonts w:ascii="Calibri" w:eastAsia="Yu Gothic Light" w:hAnsi="Calibri" w:cs="Calibri"/>
                <w:bCs/>
              </w:rPr>
              <w:t xml:space="preserve"> and realising the employment potential of migrants.</w:t>
            </w:r>
          </w:p>
          <w:p w14:paraId="6E86F674" w14:textId="77777777" w:rsidR="00BE615A" w:rsidRPr="00C4084C" w:rsidRDefault="00BE615A" w:rsidP="00C35648">
            <w:pPr>
              <w:pStyle w:val="Boxtext0"/>
              <w:rPr>
                <w:rFonts w:ascii="Calibri" w:eastAsia="Yu Gothic Light" w:hAnsi="Calibri" w:cs="Calibri"/>
                <w:bCs/>
              </w:rPr>
            </w:pPr>
            <w:r w:rsidRPr="00C4084C">
              <w:rPr>
                <w:rFonts w:ascii="Calibri" w:eastAsia="Yu Gothic Light" w:hAnsi="Calibri" w:cs="Calibri"/>
                <w:bCs/>
              </w:rPr>
              <w:t>The White Paper recommends better targeted skilled migration as a key direction for future reform. This includes delivering a new temporary skilled migration system that is effective at targeting Australia’s evolving skills needs, developing an improved occupation list in partnership with JSA, and introducing new permanent skilled visa settings.</w:t>
            </w:r>
          </w:p>
          <w:p w14:paraId="48AA7A66" w14:textId="4AA9C331" w:rsidR="00117434" w:rsidRPr="00C4084C" w:rsidRDefault="00BE615A" w:rsidP="00C35648">
            <w:pPr>
              <w:pStyle w:val="Boxtext0"/>
              <w:rPr>
                <w:rFonts w:ascii="Calibri" w:eastAsia="Yu Gothic Light" w:hAnsi="Calibri" w:cs="Calibri"/>
                <w:bCs/>
              </w:rPr>
            </w:pPr>
            <w:r w:rsidRPr="00C4084C">
              <w:rPr>
                <w:rFonts w:ascii="Calibri" w:eastAsia="Yu Gothic Light" w:hAnsi="Calibri" w:cs="Calibri"/>
                <w:bCs/>
              </w:rPr>
              <w:t xml:space="preserve">In relation to VET providers, the White Paper notes that removing information barriers for domestic and international students to enable them to choose high-quality VET providers will improve the integrity of the system and opportunities for students.  </w:t>
            </w:r>
          </w:p>
        </w:tc>
      </w:tr>
    </w:tbl>
    <w:p w14:paraId="36CF16BF" w14:textId="3C573D7C" w:rsidR="007A5313" w:rsidRPr="00C4084C" w:rsidRDefault="007A5313" w:rsidP="003E5969">
      <w:pPr>
        <w:pStyle w:val="Recheadinginbox"/>
        <w:ind w:left="0"/>
        <w:rPr>
          <w:rStyle w:val="normaltextrun"/>
          <w:b w:val="0"/>
          <w:color w:val="auto"/>
          <w:sz w:val="22"/>
        </w:rPr>
      </w:pPr>
    </w:p>
    <w:tbl>
      <w:tblPr>
        <w:tblW w:w="0" w:type="auto"/>
        <w:shd w:val="clear" w:color="auto" w:fill="FBE4D5"/>
        <w:tblLook w:val="04A0" w:firstRow="1" w:lastRow="0" w:firstColumn="1" w:lastColumn="0" w:noHBand="0" w:noVBand="1"/>
      </w:tblPr>
      <w:tblGrid>
        <w:gridCol w:w="9026"/>
      </w:tblGrid>
      <w:tr w:rsidR="0018177F" w:rsidRPr="00C4084C" w14:paraId="1A12E4A1" w14:textId="77777777" w:rsidTr="00D26B82">
        <w:trPr>
          <w:trHeight w:val="1276"/>
        </w:trPr>
        <w:tc>
          <w:tcPr>
            <w:tcW w:w="9026" w:type="dxa"/>
            <w:shd w:val="clear" w:color="auto" w:fill="FEECDF"/>
          </w:tcPr>
          <w:p w14:paraId="4F25C7AF" w14:textId="7145AF4B" w:rsidR="00412575" w:rsidRDefault="00412575" w:rsidP="003E5969">
            <w:pPr>
              <w:pStyle w:val="Recheadinginbox"/>
            </w:pPr>
            <w:r>
              <w:t>Recommendation: Attainment targets</w:t>
            </w:r>
          </w:p>
          <w:p w14:paraId="4ED48591" w14:textId="6CCB526B" w:rsidR="0018177F" w:rsidRPr="00C4084C" w:rsidRDefault="0018177F" w:rsidP="003E5969">
            <w:pPr>
              <w:pStyle w:val="Recsin-chapterL1"/>
              <w:framePr w:wrap="notBeside"/>
              <w:spacing w:before="0" w:after="0"/>
            </w:pPr>
            <w:r w:rsidRPr="00C4084C">
              <w:t>That to meet Australia’s future skills needs and drive improvements to national workforce participation and productivity, the Australian Government adopt attainment targets to set the ambition for the tertiary education system to deliver:</w:t>
            </w:r>
          </w:p>
          <w:p w14:paraId="4A14FD7E" w14:textId="79DEA020" w:rsidR="0018177F" w:rsidRPr="00C4084C" w:rsidRDefault="0018177F" w:rsidP="003E5969">
            <w:pPr>
              <w:pStyle w:val="Recsin-chapterL2"/>
              <w:spacing w:before="0" w:beforeAutospacing="0"/>
              <w:rPr>
                <w:rStyle w:val="PriorityAction-Bold"/>
                <w:b w:val="0"/>
                <w:i w:val="0"/>
              </w:rPr>
            </w:pPr>
            <w:r w:rsidRPr="00C4084C">
              <w:rPr>
                <w:rStyle w:val="PriorityAction-Bold"/>
                <w:b w:val="0"/>
                <w:i w:val="0"/>
              </w:rPr>
              <w:t xml:space="preserve">a skilled workforce to meet the changing needs of the economy through a tertiary education attainment target of </w:t>
            </w:r>
            <w:r w:rsidRPr="00C4084C">
              <w:rPr>
                <w:rStyle w:val="PriorityAction-Bold"/>
                <w:b w:val="0"/>
                <w:i w:val="0"/>
                <w:iCs/>
              </w:rPr>
              <w:t>at least 80% of</w:t>
            </w:r>
            <w:r w:rsidRPr="00C4084C">
              <w:rPr>
                <w:rStyle w:val="PriorityAction-Bold"/>
                <w:b w:val="0"/>
                <w:i w:val="0"/>
              </w:rPr>
              <w:t xml:space="preserve"> the working age population with at least one tertiary qualification (Certificate III and above) by 2050 compared with </w:t>
            </w:r>
            <w:r w:rsidR="00DF0380">
              <w:rPr>
                <w:rStyle w:val="PriorityAction-Bold"/>
                <w:b w:val="0"/>
                <w:i w:val="0"/>
              </w:rPr>
              <w:t>6</w:t>
            </w:r>
            <w:r w:rsidR="00DF0380" w:rsidRPr="00412575">
              <w:rPr>
                <w:rStyle w:val="PriorityAction-Bold"/>
                <w:b w:val="0"/>
                <w:i w:val="0"/>
                <w:iCs/>
              </w:rPr>
              <w:t>0</w:t>
            </w:r>
            <w:r w:rsidRPr="00C4084C">
              <w:rPr>
                <w:rStyle w:val="PriorityAction-Bold"/>
                <w:b w:val="0"/>
                <w:i w:val="0"/>
              </w:rPr>
              <w:t xml:space="preserve">% in </w:t>
            </w:r>
            <w:proofErr w:type="gramStart"/>
            <w:r w:rsidRPr="00C4084C">
              <w:rPr>
                <w:rStyle w:val="PriorityAction-Bold"/>
                <w:b w:val="0"/>
                <w:i w:val="0"/>
              </w:rPr>
              <w:t>2023</w:t>
            </w:r>
            <w:proofErr w:type="gramEnd"/>
          </w:p>
          <w:p w14:paraId="224DA13E" w14:textId="77777777" w:rsidR="0018177F" w:rsidRPr="00C4084C" w:rsidRDefault="0018177F" w:rsidP="003E5969">
            <w:pPr>
              <w:pStyle w:val="Recsin-chapterL2"/>
              <w:rPr>
                <w:rStyle w:val="PriorityAction-Bold"/>
                <w:b w:val="0"/>
                <w:bCs/>
                <w:i w:val="0"/>
              </w:rPr>
            </w:pPr>
            <w:r w:rsidRPr="00C4084C">
              <w:rPr>
                <w:rStyle w:val="PriorityAction-Bold"/>
                <w:b w:val="0"/>
                <w:i w:val="0"/>
              </w:rPr>
              <w:t>growth in Commonwealth supported places in higher education to achieve this target, more than doubling the number of students</w:t>
            </w:r>
            <w:r w:rsidRPr="00C4084C">
              <w:rPr>
                <w:rStyle w:val="PriorityAction-Bold"/>
                <w:b w:val="0"/>
                <w:i w:val="0"/>
                <w:iCs/>
              </w:rPr>
              <w:t xml:space="preserve"> in Commonwealth supported places</w:t>
            </w:r>
            <w:r w:rsidRPr="00C4084C">
              <w:rPr>
                <w:rStyle w:val="PriorityAction-Bold"/>
                <w:b w:val="0"/>
                <w:i w:val="0"/>
              </w:rPr>
              <w:t xml:space="preserve"> from around 860,000 in 2022 to 1.8 million in 2050 across all age </w:t>
            </w:r>
            <w:proofErr w:type="gramStart"/>
            <w:r w:rsidRPr="00C4084C">
              <w:rPr>
                <w:rStyle w:val="PriorityAction-Bold"/>
                <w:b w:val="0"/>
                <w:i w:val="0"/>
              </w:rPr>
              <w:t>groups</w:t>
            </w:r>
            <w:proofErr w:type="gramEnd"/>
          </w:p>
          <w:p w14:paraId="172F9288" w14:textId="77777777" w:rsidR="0018177F" w:rsidRPr="00C4084C" w:rsidRDefault="0018177F" w:rsidP="003E5969">
            <w:pPr>
              <w:pStyle w:val="Recsin-chapterL2"/>
              <w:rPr>
                <w:rStyle w:val="PriorityAction-Bold"/>
                <w:b w:val="0"/>
                <w:i w:val="0"/>
              </w:rPr>
            </w:pPr>
            <w:r w:rsidRPr="00C4084C">
              <w:rPr>
                <w:rStyle w:val="PriorityAction-Bold"/>
                <w:b w:val="0"/>
                <w:i w:val="0"/>
              </w:rPr>
              <w:t xml:space="preserve">growing numbers of younger Australians with a university education, through an attainment target of 55% of 25 to 34-year-olds with a </w:t>
            </w:r>
            <w:proofErr w:type="gramStart"/>
            <w:r w:rsidRPr="00C4084C">
              <w:rPr>
                <w:rStyle w:val="PriorityAction-Bold"/>
                <w:b w:val="0"/>
                <w:i w:val="0"/>
              </w:rPr>
              <w:t>bachelor</w:t>
            </w:r>
            <w:proofErr w:type="gramEnd"/>
            <w:r w:rsidRPr="00C4084C">
              <w:rPr>
                <w:rStyle w:val="PriorityAction-Bold"/>
                <w:b w:val="0"/>
                <w:i w:val="0"/>
              </w:rPr>
              <w:t xml:space="preserve"> degree qualification or above by 2050 compared with 45% in 2023, noting that many will also have a VET qualification</w:t>
            </w:r>
          </w:p>
          <w:p w14:paraId="17151811" w14:textId="77777777" w:rsidR="0018177F" w:rsidRPr="00C4084C" w:rsidRDefault="0018177F" w:rsidP="003E5969">
            <w:pPr>
              <w:pStyle w:val="Recsin-chapterL2"/>
              <w:rPr>
                <w:rStyle w:val="PriorityAction-Bold"/>
                <w:b w:val="0"/>
                <w:i w:val="0"/>
              </w:rPr>
            </w:pPr>
            <w:r w:rsidRPr="00C4084C">
              <w:rPr>
                <w:rStyle w:val="PriorityAction-Bold"/>
                <w:b w:val="0"/>
                <w:i w:val="0"/>
              </w:rPr>
              <w:t xml:space="preserve">a strong and growing contribution to tertiary attainment driven by TAFE and the vocational system, with a planning assumption that 40% of 25 to 34-year-olds will have a tertiary level vocational or technical qualification in 2050, noting that some people have both a VET and higher education </w:t>
            </w:r>
            <w:proofErr w:type="gramStart"/>
            <w:r w:rsidRPr="00C4084C">
              <w:rPr>
                <w:rStyle w:val="PriorityAction-Bold"/>
                <w:b w:val="0"/>
                <w:i w:val="0"/>
              </w:rPr>
              <w:t>qualification</w:t>
            </w:r>
            <w:proofErr w:type="gramEnd"/>
          </w:p>
          <w:p w14:paraId="1F49018B" w14:textId="7DBDE12A" w:rsidR="0018177F" w:rsidRPr="00C4084C" w:rsidRDefault="0018177F" w:rsidP="003E5969">
            <w:pPr>
              <w:pStyle w:val="Recsin-chapterL2"/>
              <w:rPr>
                <w:rStyle w:val="PriorityAction-Bold"/>
                <w:b w:val="0"/>
                <w:i w:val="0"/>
              </w:rPr>
            </w:pPr>
            <w:r w:rsidRPr="00C4084C">
              <w:rPr>
                <w:rStyle w:val="PriorityAction-Bold"/>
                <w:b w:val="0"/>
                <w:i w:val="0"/>
              </w:rPr>
              <w:t xml:space="preserve">opportunities for lifelong learning for all Australians to reskill and upskill, driven by national targets for tertiary participation and attainment across the working age population developed with the states and territories through a stewardship approach </w:t>
            </w:r>
            <w:proofErr w:type="gramStart"/>
            <w:r w:rsidRPr="00C4084C">
              <w:rPr>
                <w:rStyle w:val="PriorityAction-Bold"/>
                <w:b w:val="0"/>
                <w:i w:val="0"/>
              </w:rPr>
              <w:t>similar to</w:t>
            </w:r>
            <w:proofErr w:type="gramEnd"/>
            <w:r w:rsidRPr="00C4084C">
              <w:rPr>
                <w:rStyle w:val="PriorityAction-Bold"/>
                <w:b w:val="0"/>
                <w:i w:val="0"/>
              </w:rPr>
              <w:t xml:space="preserve"> that agreed in the 2023 National Skills Agreement</w:t>
            </w:r>
          </w:p>
          <w:p w14:paraId="4ECD0245" w14:textId="1319EF36" w:rsidR="0018177F" w:rsidRPr="00C4084C" w:rsidRDefault="00785DDB" w:rsidP="003E5969">
            <w:pPr>
              <w:pStyle w:val="Recsin-chapterL2"/>
              <w:rPr>
                <w:rStyle w:val="PriorityAction-Bold"/>
                <w:b w:val="0"/>
                <w:i w:val="0"/>
              </w:rPr>
            </w:pPr>
            <w:r>
              <w:rPr>
                <w:rStyle w:val="PriorityAction-Bold"/>
                <w:b w:val="0"/>
                <w:i w:val="0"/>
              </w:rPr>
              <w:t>t</w:t>
            </w:r>
            <w:r w:rsidR="0018177F" w:rsidRPr="00C4084C">
              <w:rPr>
                <w:rStyle w:val="PriorityAction-Bold"/>
                <w:b w:val="0"/>
                <w:i w:val="0"/>
              </w:rPr>
              <w:t xml:space="preserve">hese targets should be monitored through yearly reports published by the Australian Tertiary Education Commission in consultation with Jobs and Skills Australia with an assessment of skills and graduate workforce participation by </w:t>
            </w:r>
            <w:proofErr w:type="gramStart"/>
            <w:r w:rsidR="0018177F" w:rsidRPr="00C4084C">
              <w:rPr>
                <w:rStyle w:val="PriorityAction-Bold"/>
                <w:b w:val="0"/>
                <w:i w:val="0"/>
              </w:rPr>
              <w:t>discipline</w:t>
            </w:r>
            <w:proofErr w:type="gramEnd"/>
          </w:p>
          <w:p w14:paraId="29DCE390" w14:textId="64FAA249" w:rsidR="0018177F" w:rsidRPr="00C4084C" w:rsidDel="00C977C2" w:rsidRDefault="00785DDB" w:rsidP="003E5969">
            <w:pPr>
              <w:pStyle w:val="Recsin-chapterL2"/>
              <w:rPr>
                <w:rStyle w:val="PriorityAction-Bold"/>
                <w:b w:val="0"/>
                <w:i w:val="0"/>
              </w:rPr>
            </w:pPr>
            <w:r>
              <w:rPr>
                <w:rStyle w:val="PriorityAction-Bold"/>
                <w:b w:val="0"/>
                <w:i w:val="0"/>
              </w:rPr>
              <w:t>t</w:t>
            </w:r>
            <w:r w:rsidR="0018177F" w:rsidRPr="00C4084C">
              <w:rPr>
                <w:rStyle w:val="PriorityAction-Bold"/>
                <w:b w:val="0"/>
                <w:i w:val="0"/>
              </w:rPr>
              <w:t xml:space="preserve">hese targets should be reviewed as necessary, considering advice from Jobs and Skills Australia, as qualification design, student preferences and employer demand change over this period. </w:t>
            </w:r>
          </w:p>
        </w:tc>
      </w:tr>
    </w:tbl>
    <w:p w14:paraId="055926A2" w14:textId="7A22E02E" w:rsidR="005B3445" w:rsidRPr="00C4084C" w:rsidRDefault="003153FC" w:rsidP="00745009">
      <w:pPr>
        <w:pStyle w:val="Heading3"/>
      </w:pPr>
      <w:bookmarkStart w:id="214" w:name="_Toc151999771"/>
      <w:bookmarkStart w:id="215" w:name="_Toc152068522"/>
      <w:bookmarkStart w:id="216" w:name="_Toc150857821"/>
      <w:bookmarkStart w:id="217" w:name="_Toc150857822"/>
      <w:bookmarkStart w:id="218" w:name="_Toc151999772"/>
      <w:bookmarkStart w:id="219" w:name="_Toc152068523"/>
      <w:bookmarkStart w:id="220" w:name="_Toc151999773"/>
      <w:bookmarkStart w:id="221" w:name="_Toc152068524"/>
      <w:bookmarkStart w:id="222" w:name="_Toc151999774"/>
      <w:bookmarkStart w:id="223" w:name="_Toc152068525"/>
      <w:bookmarkStart w:id="224" w:name="_Toc151999775"/>
      <w:bookmarkStart w:id="225" w:name="_Toc152068526"/>
      <w:bookmarkStart w:id="226" w:name="_Toc151999776"/>
      <w:bookmarkStart w:id="227" w:name="_Toc152068527"/>
      <w:bookmarkStart w:id="228" w:name="_Toc151999777"/>
      <w:bookmarkStart w:id="229" w:name="_Toc152068528"/>
      <w:bookmarkStart w:id="230" w:name="_Toc151999778"/>
      <w:bookmarkStart w:id="231" w:name="_Toc152068529"/>
      <w:bookmarkStart w:id="232" w:name="_Toc151999779"/>
      <w:bookmarkStart w:id="233" w:name="_Toc152068530"/>
      <w:bookmarkStart w:id="234" w:name="_Toc151999780"/>
      <w:bookmarkStart w:id="235" w:name="_Toc152068531"/>
      <w:bookmarkStart w:id="236" w:name="_Toc151715114"/>
      <w:bookmarkStart w:id="237" w:name="_Toc151715115"/>
      <w:bookmarkStart w:id="238" w:name="_Toc151715116"/>
      <w:bookmarkStart w:id="239" w:name="_Toc151715117"/>
      <w:bookmarkStart w:id="240" w:name="_Toc151715118"/>
      <w:bookmarkStart w:id="241" w:name="_Toc151715119"/>
      <w:bookmarkStart w:id="242" w:name="_Toc151715120"/>
      <w:bookmarkStart w:id="243" w:name="_Toc151715121"/>
      <w:bookmarkStart w:id="244" w:name="_Toc151715122"/>
      <w:bookmarkStart w:id="245" w:name="_Toc151715123"/>
      <w:bookmarkStart w:id="246" w:name="_Toc151715124"/>
      <w:bookmarkStart w:id="247" w:name="_Toc151715126"/>
      <w:bookmarkStart w:id="248" w:name="_Toc151715127"/>
      <w:bookmarkStart w:id="249" w:name="_Toc151715128"/>
      <w:bookmarkStart w:id="250" w:name="_Toc151715129"/>
      <w:bookmarkStart w:id="251" w:name="_Toc151715130"/>
      <w:bookmarkStart w:id="252" w:name="_Toc151715131"/>
      <w:bookmarkStart w:id="253" w:name="_Toc151715132"/>
      <w:bookmarkStart w:id="254" w:name="_Toc150686542"/>
      <w:bookmarkStart w:id="255" w:name="_Toc150686628"/>
      <w:bookmarkStart w:id="256" w:name="_Toc153483013"/>
      <w:bookmarkStart w:id="257" w:name="_Toc15950092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sidRPr="00C4084C">
        <w:lastRenderedPageBreak/>
        <w:t>Skills shortages</w:t>
      </w:r>
      <w:bookmarkEnd w:id="256"/>
      <w:bookmarkEnd w:id="257"/>
    </w:p>
    <w:p w14:paraId="482BCC39" w14:textId="61E38F92" w:rsidR="005B3445" w:rsidRPr="00C4084C" w:rsidRDefault="005B3445" w:rsidP="00BA6095">
      <w:pPr>
        <w:pStyle w:val="Heading4"/>
      </w:pPr>
      <w:bookmarkStart w:id="258" w:name="_Toc151807267"/>
      <w:bookmarkStart w:id="259" w:name="_Toc153483014"/>
      <w:bookmarkStart w:id="260" w:name="_Toc159500924"/>
      <w:r w:rsidRPr="00C4084C">
        <w:t xml:space="preserve">The </w:t>
      </w:r>
      <w:r w:rsidR="00835F06" w:rsidRPr="00C4084C">
        <w:t>education and training</w:t>
      </w:r>
      <w:r w:rsidRPr="00C4084C">
        <w:t xml:space="preserve"> system must address areas of acute skills </w:t>
      </w:r>
      <w:proofErr w:type="gramStart"/>
      <w:r w:rsidRPr="00C4084C">
        <w:t>shortage</w:t>
      </w:r>
      <w:bookmarkEnd w:id="258"/>
      <w:bookmarkEnd w:id="259"/>
      <w:bookmarkEnd w:id="260"/>
      <w:proofErr w:type="gramEnd"/>
      <w:r w:rsidRPr="00C4084C">
        <w:t xml:space="preserve"> </w:t>
      </w:r>
    </w:p>
    <w:p w14:paraId="53468976" w14:textId="5AC8CB86" w:rsidR="005B3445" w:rsidRPr="00C4084C" w:rsidRDefault="005B3445" w:rsidP="00C35648">
      <w:r w:rsidRPr="00C4084C">
        <w:t xml:space="preserve">Australia has </w:t>
      </w:r>
      <w:r w:rsidR="00A215E5" w:rsidRPr="00C4084C">
        <w:t>serious</w:t>
      </w:r>
      <w:r w:rsidRPr="00C4084C">
        <w:t xml:space="preserve"> skills shortages in critical industries. </w:t>
      </w:r>
      <w:r w:rsidRPr="00C4084C">
        <w:rPr>
          <w:lang w:eastAsia="zh-CN" w:bidi="th-TH"/>
        </w:rPr>
        <w:t>As</w:t>
      </w:r>
      <w:r w:rsidRPr="00C4084C" w:rsidDel="00621840">
        <w:rPr>
          <w:lang w:eastAsia="zh-CN" w:bidi="th-TH"/>
        </w:rPr>
        <w:t xml:space="preserve"> </w:t>
      </w:r>
      <w:r w:rsidRPr="00C4084C">
        <w:rPr>
          <w:lang w:eastAsia="zh-CN" w:bidi="th-TH"/>
        </w:rPr>
        <w:t xml:space="preserve">stated in the 2023 White Paper on Jobs and Opportunities, </w:t>
      </w:r>
      <w:r w:rsidR="00187A64">
        <w:rPr>
          <w:lang w:eastAsia="zh-CN" w:bidi="th-TH"/>
        </w:rPr>
        <w:t>there are</w:t>
      </w:r>
      <w:r w:rsidRPr="00C4084C">
        <w:rPr>
          <w:lang w:eastAsia="zh-CN" w:bidi="th-TH"/>
        </w:rPr>
        <w:t xml:space="preserve"> critical shortages in care and wellbeing, technological and digital transformation</w:t>
      </w:r>
      <w:r w:rsidR="00481CBF" w:rsidRPr="00C4084C">
        <w:rPr>
          <w:lang w:eastAsia="zh-CN" w:bidi="th-TH"/>
        </w:rPr>
        <w:t>,</w:t>
      </w:r>
      <w:r w:rsidRPr="00C4084C">
        <w:rPr>
          <w:lang w:eastAsia="zh-CN" w:bidi="th-TH"/>
        </w:rPr>
        <w:t xml:space="preserve"> and clean energy.</w:t>
      </w:r>
      <w:r w:rsidRPr="00C4084C">
        <w:rPr>
          <w:rStyle w:val="FootnoteReference"/>
          <w:rFonts w:eastAsia="Times New Roman" w:cs="Arial"/>
          <w:lang w:eastAsia="zh-CN" w:bidi="th-TH"/>
        </w:rPr>
        <w:footnoteReference w:id="115"/>
      </w:r>
    </w:p>
    <w:p w14:paraId="54145D24" w14:textId="50D27F1A" w:rsidR="005B3445" w:rsidRPr="00C4084C" w:rsidRDefault="005B3445" w:rsidP="00C35648">
      <w:r w:rsidRPr="00C4084C">
        <w:t>JSA analysis shows that 36% of all occupations were in shortage in 2023, with these shortages particularly acute in jobs requiring either higher or vocational education</w:t>
      </w:r>
      <w:r w:rsidR="00BF6DDA" w:rsidRPr="00C4084C">
        <w:t xml:space="preserve"> (see </w:t>
      </w:r>
      <w:r w:rsidR="00BF6DDA" w:rsidRPr="00C4084C">
        <w:fldChar w:fldCharType="begin"/>
      </w:r>
      <w:r w:rsidR="00BF6DDA" w:rsidRPr="00C4084C">
        <w:instrText xml:space="preserve"> REF _Ref153273877 \h </w:instrText>
      </w:r>
      <w:r w:rsidR="00023976">
        <w:instrText xml:space="preserve"> \* MERGEFORMAT </w:instrText>
      </w:r>
      <w:r w:rsidR="00BF6DDA" w:rsidRPr="00C4084C">
        <w:fldChar w:fldCharType="separate"/>
      </w:r>
      <w:r w:rsidR="00467B4F" w:rsidRPr="00C4084C">
        <w:t xml:space="preserve">Figure </w:t>
      </w:r>
      <w:r w:rsidR="00467B4F">
        <w:rPr>
          <w:noProof/>
        </w:rPr>
        <w:t>9</w:t>
      </w:r>
      <w:r w:rsidR="00BF6DDA" w:rsidRPr="00C4084C">
        <w:fldChar w:fldCharType="end"/>
      </w:r>
      <w:r w:rsidR="00BF6DDA" w:rsidRPr="00C4084C">
        <w:t>)</w:t>
      </w:r>
      <w:r w:rsidRPr="00C4084C">
        <w:t xml:space="preserve">. In 2023, 42% of all occupations requiring a </w:t>
      </w:r>
      <w:proofErr w:type="gramStart"/>
      <w:r w:rsidRPr="00C4084C">
        <w:t>bachelor</w:t>
      </w:r>
      <w:proofErr w:type="gramEnd"/>
      <w:r w:rsidRPr="00C4084C">
        <w:t xml:space="preserve"> degree or higher qualification were in shortage, an increase from 35% in 2022 and 19% in 2021.</w:t>
      </w:r>
      <w:r w:rsidRPr="00C4084C">
        <w:rPr>
          <w:vertAlign w:val="superscript"/>
        </w:rPr>
        <w:footnoteReference w:id="116"/>
      </w:r>
      <w:r w:rsidRPr="00C4084C">
        <w:t xml:space="preserve"> Similarly, jobs requiring a VET qualification, including 47% of jobs typically requiring a Certificate III or IV qualification, were in shortage. This includes half of all technician and trade jobs.</w:t>
      </w:r>
      <w:r w:rsidRPr="00C4084C">
        <w:rPr>
          <w:rStyle w:val="FootnoteReference"/>
        </w:rPr>
        <w:footnoteReference w:id="117"/>
      </w:r>
      <w:r w:rsidRPr="00C4084C">
        <w:t xml:space="preserve"> </w:t>
      </w:r>
    </w:p>
    <w:p w14:paraId="2C460FC9" w14:textId="37800B9A" w:rsidR="005B3445" w:rsidRPr="00D26B82" w:rsidRDefault="005B3445" w:rsidP="005E5C5F">
      <w:pPr>
        <w:pStyle w:val="Caption"/>
        <w:rPr>
          <w:b/>
          <w:bCs/>
          <w:sz w:val="24"/>
          <w:szCs w:val="24"/>
        </w:rPr>
      </w:pPr>
      <w:bookmarkStart w:id="261" w:name="_Ref153273877"/>
      <w:bookmarkStart w:id="262" w:name="_Toc154674771"/>
      <w:r w:rsidRPr="00D26B82">
        <w:rPr>
          <w:b/>
          <w:bCs/>
          <w:sz w:val="24"/>
          <w:szCs w:val="24"/>
        </w:rPr>
        <w:t xml:space="preserve">Figure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9</w:t>
      </w:r>
      <w:r w:rsidRPr="00D26B82">
        <w:rPr>
          <w:b/>
          <w:bCs/>
          <w:sz w:val="24"/>
          <w:szCs w:val="24"/>
        </w:rPr>
        <w:fldChar w:fldCharType="end"/>
      </w:r>
      <w:bookmarkEnd w:id="261"/>
      <w:r w:rsidR="00FA7EF1" w:rsidRPr="00D26B82">
        <w:rPr>
          <w:b/>
          <w:bCs/>
          <w:sz w:val="24"/>
          <w:szCs w:val="24"/>
        </w:rPr>
        <w:t>:</w:t>
      </w:r>
      <w:r w:rsidRPr="00D26B82">
        <w:rPr>
          <w:b/>
          <w:bCs/>
          <w:sz w:val="24"/>
          <w:szCs w:val="24"/>
        </w:rPr>
        <w:t xml:space="preserve"> </w:t>
      </w:r>
      <w:r w:rsidR="00176058" w:rsidRPr="00D26B82">
        <w:rPr>
          <w:b/>
          <w:bCs/>
          <w:sz w:val="24"/>
          <w:szCs w:val="24"/>
        </w:rPr>
        <w:t xml:space="preserve">Proportion of occupations in shortage </w:t>
      </w:r>
      <w:r w:rsidR="00C361AE" w:rsidRPr="00D26B82">
        <w:rPr>
          <w:b/>
          <w:bCs/>
          <w:sz w:val="24"/>
          <w:szCs w:val="24"/>
        </w:rPr>
        <w:t>by skill level</w:t>
      </w:r>
      <w:r w:rsidR="009754C2" w:rsidRPr="00D26B82">
        <w:rPr>
          <w:b/>
          <w:bCs/>
          <w:sz w:val="24"/>
          <w:szCs w:val="24"/>
        </w:rPr>
        <w:t>, 2022 and 2023</w:t>
      </w:r>
      <w:r w:rsidR="00150B6F" w:rsidRPr="00D26B82">
        <w:rPr>
          <w:b/>
          <w:bCs/>
          <w:sz w:val="24"/>
          <w:szCs w:val="24"/>
        </w:rPr>
        <w:t>.</w:t>
      </w:r>
      <w:bookmarkEnd w:id="262"/>
    </w:p>
    <w:p w14:paraId="09D5C4F2" w14:textId="1896AF3C" w:rsidR="00F3585C" w:rsidRDefault="00F3585C" w:rsidP="00FA7EF1">
      <w:pPr>
        <w:pStyle w:val="Source"/>
      </w:pPr>
      <w:r>
        <w:rPr>
          <w:noProof/>
        </w:rPr>
        <w:drawing>
          <wp:inline distT="0" distB="0" distL="0" distR="0" wp14:anchorId="269CF5B5" wp14:editId="13DFEEE2">
            <wp:extent cx="6143883" cy="2573079"/>
            <wp:effectExtent l="0" t="0" r="0" b="0"/>
            <wp:docPr id="182134664" name="Graphic 9" descr="A bar graph showing the proportion of occupations in shortage by skill level in 2022 and 2023. The horizontal axis shows Skill level's 1-4, and then all occupations. Across each skill level, there is a greater shortage in 2023 than there is in 2022 except for Skill Level 3, which has a shortage percentage of 47% in both 2022 and 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34664" name="Graphic 9" descr="A bar graph showing the proportion of occupations in shortage by skill level in 2022 and 2023. The horizontal axis shows Skill level's 1-4, and then all occupations. Across each skill level, there is a greater shortage in 2023 than there is in 2022 except for Skill Level 3, which has a shortage percentage of 47% in both 2022 and 2023. "/>
                    <pic:cNvPicPr/>
                  </pic:nvPicPr>
                  <pic:blipFill>
                    <a:blip r:embed="rId59">
                      <a:extLst>
                        <a:ext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a:xfrm>
                      <a:off x="0" y="0"/>
                      <a:ext cx="6154329" cy="2577454"/>
                    </a:xfrm>
                    <a:prstGeom prst="rect">
                      <a:avLst/>
                    </a:prstGeom>
                  </pic:spPr>
                </pic:pic>
              </a:graphicData>
            </a:graphic>
          </wp:inline>
        </w:drawing>
      </w:r>
    </w:p>
    <w:p w14:paraId="06DFB1E9" w14:textId="374915CA" w:rsidR="005B3445" w:rsidRPr="00C4084C" w:rsidRDefault="005B3445" w:rsidP="00FA7EF1">
      <w:pPr>
        <w:pStyle w:val="Source"/>
      </w:pPr>
      <w:r w:rsidRPr="00C4084C">
        <w:t xml:space="preserve">Source: Jobs and Skills Australia, </w:t>
      </w:r>
      <w:r w:rsidRPr="00C4084C">
        <w:rPr>
          <w:i/>
        </w:rPr>
        <w:t>2023 S</w:t>
      </w:r>
      <w:r w:rsidR="005E2420" w:rsidRPr="00C4084C">
        <w:rPr>
          <w:i/>
        </w:rPr>
        <w:t xml:space="preserve">kills </w:t>
      </w:r>
      <w:r w:rsidRPr="00C4084C">
        <w:rPr>
          <w:i/>
        </w:rPr>
        <w:t>P</w:t>
      </w:r>
      <w:r w:rsidR="005E2420" w:rsidRPr="00C4084C">
        <w:rPr>
          <w:i/>
        </w:rPr>
        <w:t xml:space="preserve">riority </w:t>
      </w:r>
      <w:r w:rsidRPr="00C4084C">
        <w:rPr>
          <w:i/>
        </w:rPr>
        <w:t>L</w:t>
      </w:r>
      <w:r w:rsidR="005E2420" w:rsidRPr="00C4084C">
        <w:rPr>
          <w:i/>
        </w:rPr>
        <w:t>ist</w:t>
      </w:r>
      <w:r w:rsidRPr="00C4084C">
        <w:rPr>
          <w:i/>
        </w:rPr>
        <w:t xml:space="preserve"> Key Findings Report</w:t>
      </w:r>
      <w:r w:rsidRPr="00C4084C">
        <w:t xml:space="preserve">, </w:t>
      </w:r>
      <w:r w:rsidR="009B21EC" w:rsidRPr="00C4084C">
        <w:t>(</w:t>
      </w:r>
      <w:r w:rsidR="00556A3D" w:rsidRPr="00C4084C">
        <w:t xml:space="preserve">Canberra: </w:t>
      </w:r>
      <w:r w:rsidRPr="00C4084C">
        <w:t>2023</w:t>
      </w:r>
      <w:r w:rsidR="009B21EC" w:rsidRPr="00C4084C">
        <w:t>)</w:t>
      </w:r>
      <w:r w:rsidRPr="00C4084C">
        <w:t xml:space="preserve">, </w:t>
      </w:r>
      <w:r w:rsidR="00267E8C" w:rsidRPr="00C4084C">
        <w:t>9</w:t>
      </w:r>
      <w:r w:rsidRPr="00C4084C">
        <w:t xml:space="preserve">, </w:t>
      </w:r>
      <w:hyperlink r:id="rId61" w:history="1">
        <w:r w:rsidR="00F06052" w:rsidRPr="00C4084C">
          <w:rPr>
            <w:rStyle w:val="Hyperlink"/>
          </w:rPr>
          <w:t>https://www.jobsandskills.gov.au/sites/default/files/2023-10/2023%20SPL%20Key%20Findings%20Report.pdf</w:t>
        </w:r>
      </w:hyperlink>
      <w:r w:rsidR="00FA7EF1" w:rsidRPr="00C4084C">
        <w:t>.</w:t>
      </w:r>
    </w:p>
    <w:p w14:paraId="7C9281F4" w14:textId="3A196CE8" w:rsidR="00E91DEC" w:rsidRPr="00C4084C" w:rsidRDefault="005D1A9A" w:rsidP="00C45E1A">
      <w:pPr>
        <w:pStyle w:val="Source"/>
      </w:pPr>
      <w:r w:rsidRPr="00C4084C">
        <w:t xml:space="preserve">Note: </w:t>
      </w:r>
      <w:r w:rsidR="00F06052" w:rsidRPr="00C4084C">
        <w:t>Skill level is defined as a function of the range and complexity of the set of tasks performed in a particular occupation. The greater the range and complexity of the set of tasks, the greater the skill level of an occupation.</w:t>
      </w:r>
      <w:r w:rsidR="001A5D68" w:rsidRPr="00C4084C">
        <w:t xml:space="preserve"> </w:t>
      </w:r>
      <w:r w:rsidR="009D0C29" w:rsidRPr="00C4084C">
        <w:t xml:space="preserve">Occupations at Skill Level 1 have a level of skill commensurate with a </w:t>
      </w:r>
      <w:proofErr w:type="gramStart"/>
      <w:r w:rsidR="009D0C29" w:rsidRPr="00C4084C">
        <w:t>bachelor</w:t>
      </w:r>
      <w:proofErr w:type="gramEnd"/>
      <w:r w:rsidR="009D0C29" w:rsidRPr="00C4084C">
        <w:t xml:space="preserve"> degree or higher qualification</w:t>
      </w:r>
      <w:r w:rsidR="001A5D68" w:rsidRPr="00C4084C">
        <w:t xml:space="preserve">. </w:t>
      </w:r>
      <w:r w:rsidR="00E91DEC" w:rsidRPr="00C4084C">
        <w:t xml:space="preserve">Occupations at Skill Level 2 have a level of skill commensurate with AQF </w:t>
      </w:r>
      <w:proofErr w:type="gramStart"/>
      <w:r w:rsidR="00E91DEC" w:rsidRPr="00C4084C">
        <w:t>Associate Degree</w:t>
      </w:r>
      <w:proofErr w:type="gramEnd"/>
      <w:r w:rsidR="00E91DEC" w:rsidRPr="00C4084C">
        <w:t>, Advanced Diploma or Diploma.</w:t>
      </w:r>
      <w:r w:rsidR="00232D77" w:rsidRPr="00C4084C">
        <w:t xml:space="preserve"> Occupations at Skill Level 3 have a level of skill commensurate with AQF Certificate IV or AQF Certificate III including at least two years of on-the-job training.</w:t>
      </w:r>
      <w:r w:rsidR="001A5D68" w:rsidRPr="00C4084C">
        <w:t xml:space="preserve"> </w:t>
      </w:r>
      <w:r w:rsidR="00C45E1A" w:rsidRPr="00C4084C">
        <w:t>Occupations at Skill Level 4 have a level of skill commensurate with AQF Certificate II or III.</w:t>
      </w:r>
    </w:p>
    <w:p w14:paraId="4EB8E07B" w14:textId="59E3E64F" w:rsidR="005B3445" w:rsidRPr="00C4084C" w:rsidRDefault="00BB3223" w:rsidP="00C35648">
      <w:r w:rsidRPr="00C4084C">
        <w:t>At the</w:t>
      </w:r>
      <w:r w:rsidR="005B3445" w:rsidRPr="00C4084C">
        <w:t xml:space="preserve"> </w:t>
      </w:r>
      <w:r w:rsidRPr="00C4084C">
        <w:t>occupation level</w:t>
      </w:r>
      <w:r w:rsidR="005B3445" w:rsidRPr="00C4084C">
        <w:t>, there are shortages across many professional roles which require higher education, including in the health professions</w:t>
      </w:r>
      <w:r w:rsidR="00D23790" w:rsidRPr="00C4084C">
        <w:t xml:space="preserve"> (82%)</w:t>
      </w:r>
      <w:r w:rsidR="00D36E23" w:rsidRPr="00C4084C">
        <w:t>,</w:t>
      </w:r>
      <w:r w:rsidR="005B3445" w:rsidRPr="00C4084C">
        <w:t xml:space="preserve"> </w:t>
      </w:r>
      <w:r w:rsidR="004C7E26" w:rsidRPr="00C4084C">
        <w:t>which includes</w:t>
      </w:r>
      <w:r w:rsidR="005B3445" w:rsidRPr="00C4084C">
        <w:t xml:space="preserve"> nurses, doctors and allied health professionals, I</w:t>
      </w:r>
      <w:r w:rsidR="00626DF1" w:rsidRPr="00C4084C">
        <w:t xml:space="preserve">nformation and Communication </w:t>
      </w:r>
      <w:r w:rsidR="005B3445" w:rsidRPr="00C4084C">
        <w:t>T</w:t>
      </w:r>
      <w:r w:rsidR="00626DF1" w:rsidRPr="00C4084C">
        <w:t>echnology</w:t>
      </w:r>
      <w:r w:rsidR="005B3445" w:rsidRPr="00C4084C">
        <w:t xml:space="preserve"> professions </w:t>
      </w:r>
      <w:r w:rsidR="004C7E26" w:rsidRPr="00C4084C">
        <w:t>(69%)</w:t>
      </w:r>
      <w:r w:rsidR="005B3445" w:rsidRPr="00C4084C">
        <w:t>, design, engineering and transport professions</w:t>
      </w:r>
      <w:r w:rsidR="0009540D" w:rsidRPr="00C4084C">
        <w:t xml:space="preserve"> (</w:t>
      </w:r>
      <w:r w:rsidR="004C7E26" w:rsidRPr="00C4084C">
        <w:t>54%)</w:t>
      </w:r>
      <w:r w:rsidR="005B3445" w:rsidRPr="00C4084C">
        <w:t>, and education professions</w:t>
      </w:r>
      <w:r w:rsidR="00D23790" w:rsidRPr="00C4084C">
        <w:t xml:space="preserve"> (47%)</w:t>
      </w:r>
      <w:r w:rsidR="004C7E26" w:rsidRPr="00C4084C">
        <w:t>, which includes both</w:t>
      </w:r>
      <w:r w:rsidR="0009540D" w:rsidRPr="00C4084C">
        <w:t xml:space="preserve"> teachers and childcare workers</w:t>
      </w:r>
      <w:r w:rsidR="004C7E26" w:rsidRPr="00C4084C">
        <w:t xml:space="preserve"> </w:t>
      </w:r>
      <w:r w:rsidR="007A283D" w:rsidRPr="00C4084C">
        <w:t xml:space="preserve">(see </w:t>
      </w:r>
      <w:r w:rsidR="006E3E40" w:rsidRPr="00C4084C">
        <w:fldChar w:fldCharType="begin"/>
      </w:r>
      <w:r w:rsidR="006E3E40" w:rsidRPr="00C4084C">
        <w:instrText xml:space="preserve"> REF _Ref153478206 \h </w:instrText>
      </w:r>
      <w:r w:rsidR="00023976">
        <w:instrText xml:space="preserve"> \* MERGEFORMAT </w:instrText>
      </w:r>
      <w:r w:rsidR="006E3E40" w:rsidRPr="00C4084C">
        <w:fldChar w:fldCharType="separate"/>
      </w:r>
      <w:r w:rsidR="00467B4F" w:rsidRPr="00C4084C">
        <w:t xml:space="preserve">Figure </w:t>
      </w:r>
      <w:r w:rsidR="00467B4F">
        <w:rPr>
          <w:noProof/>
        </w:rPr>
        <w:t>10</w:t>
      </w:r>
      <w:r w:rsidR="006E3E40" w:rsidRPr="00C4084C">
        <w:fldChar w:fldCharType="end"/>
      </w:r>
      <w:r w:rsidR="007A283D" w:rsidRPr="00C4084C">
        <w:t>)</w:t>
      </w:r>
      <w:r w:rsidR="005B3445" w:rsidRPr="00C4084C">
        <w:t xml:space="preserve">.  </w:t>
      </w:r>
    </w:p>
    <w:p w14:paraId="192086BF" w14:textId="2E5B2448" w:rsidR="000767AD" w:rsidRPr="00D26B82" w:rsidRDefault="005B3445" w:rsidP="004B3078">
      <w:pPr>
        <w:pStyle w:val="Caption"/>
        <w:rPr>
          <w:b/>
          <w:bCs/>
          <w:sz w:val="24"/>
          <w:szCs w:val="24"/>
        </w:rPr>
      </w:pPr>
      <w:bookmarkStart w:id="263" w:name="_Ref153478206"/>
      <w:bookmarkStart w:id="264" w:name="_Toc154674772"/>
      <w:r w:rsidRPr="00D26B82">
        <w:rPr>
          <w:b/>
          <w:bCs/>
          <w:sz w:val="24"/>
          <w:szCs w:val="24"/>
        </w:rPr>
        <w:lastRenderedPageBreak/>
        <w:t xml:space="preserve">Figure </w:t>
      </w:r>
      <w:r w:rsidRPr="00D26B82">
        <w:rPr>
          <w:b/>
          <w:bCs/>
          <w:iCs w:val="0"/>
          <w:sz w:val="24"/>
          <w:szCs w:val="24"/>
        </w:rPr>
        <w:fldChar w:fldCharType="begin"/>
      </w:r>
      <w:r w:rsidRPr="00D26B82">
        <w:rPr>
          <w:b/>
          <w:bCs/>
          <w:sz w:val="24"/>
          <w:szCs w:val="24"/>
        </w:rPr>
        <w:instrText>SEQ Figure \* ARABIC</w:instrText>
      </w:r>
      <w:r w:rsidRPr="00D26B82">
        <w:rPr>
          <w:b/>
          <w:bCs/>
          <w:iCs w:val="0"/>
          <w:sz w:val="24"/>
          <w:szCs w:val="24"/>
        </w:rPr>
        <w:fldChar w:fldCharType="separate"/>
      </w:r>
      <w:r w:rsidR="00467B4F" w:rsidRPr="00D26B82">
        <w:rPr>
          <w:b/>
          <w:bCs/>
          <w:noProof/>
          <w:sz w:val="24"/>
          <w:szCs w:val="24"/>
        </w:rPr>
        <w:t>10</w:t>
      </w:r>
      <w:r w:rsidRPr="00D26B82">
        <w:rPr>
          <w:b/>
          <w:bCs/>
          <w:iCs w:val="0"/>
          <w:sz w:val="24"/>
          <w:szCs w:val="24"/>
        </w:rPr>
        <w:fldChar w:fldCharType="end"/>
      </w:r>
      <w:bookmarkEnd w:id="263"/>
      <w:r w:rsidR="00FA7EF1" w:rsidRPr="00D26B82">
        <w:rPr>
          <w:b/>
          <w:bCs/>
          <w:sz w:val="24"/>
          <w:szCs w:val="24"/>
        </w:rPr>
        <w:t>:</w:t>
      </w:r>
      <w:r w:rsidRPr="00D26B82">
        <w:rPr>
          <w:b/>
          <w:bCs/>
          <w:sz w:val="24"/>
          <w:szCs w:val="24"/>
        </w:rPr>
        <w:t xml:space="preserve"> </w:t>
      </w:r>
      <w:r w:rsidR="00BB3223" w:rsidRPr="00D26B82">
        <w:rPr>
          <w:b/>
          <w:bCs/>
          <w:sz w:val="24"/>
          <w:szCs w:val="24"/>
        </w:rPr>
        <w:t xml:space="preserve">Occupations </w:t>
      </w:r>
      <w:r w:rsidR="0058276C" w:rsidRPr="00D26B82">
        <w:rPr>
          <w:b/>
          <w:bCs/>
          <w:sz w:val="24"/>
          <w:szCs w:val="24"/>
        </w:rPr>
        <w:t>in shortage</w:t>
      </w:r>
      <w:r w:rsidR="00BB3223" w:rsidRPr="00D26B82">
        <w:rPr>
          <w:b/>
          <w:bCs/>
          <w:sz w:val="24"/>
          <w:szCs w:val="24"/>
        </w:rPr>
        <w:t>,</w:t>
      </w:r>
      <w:r w:rsidR="0058276C" w:rsidRPr="00D26B82">
        <w:rPr>
          <w:b/>
          <w:bCs/>
          <w:sz w:val="24"/>
          <w:szCs w:val="24"/>
        </w:rPr>
        <w:t xml:space="preserve"> </w:t>
      </w:r>
      <w:r w:rsidR="00BB3223" w:rsidRPr="00D26B82">
        <w:rPr>
          <w:b/>
          <w:bCs/>
          <w:sz w:val="24"/>
          <w:szCs w:val="24"/>
        </w:rPr>
        <w:t>proportion of selected</w:t>
      </w:r>
      <w:r w:rsidR="0058276C" w:rsidRPr="00D26B82">
        <w:rPr>
          <w:b/>
          <w:bCs/>
          <w:sz w:val="24"/>
          <w:szCs w:val="24"/>
        </w:rPr>
        <w:t xml:space="preserve"> professional occupation sub-groups</w:t>
      </w:r>
      <w:r w:rsidR="00BB3223" w:rsidRPr="00D26B82">
        <w:rPr>
          <w:b/>
          <w:bCs/>
          <w:sz w:val="24"/>
          <w:szCs w:val="24"/>
        </w:rPr>
        <w:t xml:space="preserve"> (%)</w:t>
      </w:r>
      <w:r w:rsidR="0058276C" w:rsidRPr="00D26B82">
        <w:rPr>
          <w:b/>
          <w:bCs/>
          <w:sz w:val="24"/>
          <w:szCs w:val="24"/>
        </w:rPr>
        <w:t>, 2023.</w:t>
      </w:r>
      <w:bookmarkEnd w:id="264"/>
    </w:p>
    <w:p w14:paraId="10395508" w14:textId="25917BC0" w:rsidR="00F3585C" w:rsidRDefault="00F3585C" w:rsidP="00FA7EF1">
      <w:pPr>
        <w:pStyle w:val="Source"/>
      </w:pPr>
      <w:r>
        <w:rPr>
          <w:noProof/>
        </w:rPr>
        <w:drawing>
          <wp:inline distT="0" distB="0" distL="0" distR="0" wp14:anchorId="0D8B530C" wp14:editId="7CF3CE27">
            <wp:extent cx="6007395" cy="3145445"/>
            <wp:effectExtent l="0" t="0" r="0" b="0"/>
            <wp:docPr id="188543045" name="Graphic 10" descr="A horizontal bar graph showing the % of selected professional occupation sub-groups in shortage in 2023. The highest shortage is for Health Professionals, at 82%. In descending order, there is ICT Professionals, Design, Engineering, Science and Transport Professionals, Education Professionals, Legal, Social and Welfare Professionals, and Business, Human Resource and Marketing Professionals which has a shortage of 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43045" name="Graphic 10" descr="A horizontal bar graph showing the % of selected professional occupation sub-groups in shortage in 2023. The highest shortage is for Health Professionals, at 82%. In descending order, there is ICT Professionals, Design, Engineering, Science and Transport Professionals, Education Professionals, Legal, Social and Welfare Professionals, and Business, Human Resource and Marketing Professionals which has a shortage of 21%. "/>
                    <pic:cNvPicPr/>
                  </pic:nvPicPr>
                  <pic:blipFill>
                    <a:blip r:embed="rId62">
                      <a:extLst>
                        <a:ext uri="{28A0092B-C50C-407E-A947-70E740481C1C}">
                          <a14:useLocalDpi xmlns:a14="http://schemas.microsoft.com/office/drawing/2010/main" val="0"/>
                        </a:ext>
                        <a:ext uri="{96DAC541-7B7A-43D3-8B79-37D633B846F1}">
                          <asvg:svgBlip xmlns:asvg="http://schemas.microsoft.com/office/drawing/2016/SVG/main" r:embed="rId63"/>
                        </a:ext>
                      </a:extLst>
                    </a:blip>
                    <a:stretch>
                      <a:fillRect/>
                    </a:stretch>
                  </pic:blipFill>
                  <pic:spPr>
                    <a:xfrm>
                      <a:off x="0" y="0"/>
                      <a:ext cx="6020798" cy="3152463"/>
                    </a:xfrm>
                    <a:prstGeom prst="rect">
                      <a:avLst/>
                    </a:prstGeom>
                  </pic:spPr>
                </pic:pic>
              </a:graphicData>
            </a:graphic>
          </wp:inline>
        </w:drawing>
      </w:r>
    </w:p>
    <w:p w14:paraId="41B28E6A" w14:textId="43FB069C" w:rsidR="005B3445" w:rsidRPr="00C4084C" w:rsidRDefault="005B3445" w:rsidP="00FA7EF1">
      <w:pPr>
        <w:pStyle w:val="Source"/>
      </w:pPr>
      <w:r w:rsidRPr="00C4084C">
        <w:t xml:space="preserve">Source: Jobs and Skills Australia, </w:t>
      </w:r>
      <w:r w:rsidRPr="00C4084C">
        <w:rPr>
          <w:i/>
        </w:rPr>
        <w:t>2023 S</w:t>
      </w:r>
      <w:r w:rsidR="00BB3223" w:rsidRPr="00C4084C">
        <w:rPr>
          <w:i/>
        </w:rPr>
        <w:t xml:space="preserve">kills </w:t>
      </w:r>
      <w:r w:rsidRPr="00C4084C">
        <w:rPr>
          <w:i/>
        </w:rPr>
        <w:t>P</w:t>
      </w:r>
      <w:r w:rsidR="00BB3223" w:rsidRPr="00C4084C">
        <w:rPr>
          <w:i/>
        </w:rPr>
        <w:t xml:space="preserve">riority </w:t>
      </w:r>
      <w:r w:rsidRPr="00C4084C">
        <w:rPr>
          <w:i/>
        </w:rPr>
        <w:t>L</w:t>
      </w:r>
      <w:r w:rsidR="00BB3223" w:rsidRPr="00C4084C">
        <w:rPr>
          <w:i/>
        </w:rPr>
        <w:t>ist</w:t>
      </w:r>
      <w:r w:rsidRPr="00C4084C">
        <w:rPr>
          <w:i/>
        </w:rPr>
        <w:t xml:space="preserve"> Key Findings Report</w:t>
      </w:r>
      <w:r w:rsidRPr="00C4084C">
        <w:t xml:space="preserve">, </w:t>
      </w:r>
      <w:r w:rsidR="00267E8C" w:rsidRPr="00C4084C">
        <w:t>(</w:t>
      </w:r>
      <w:r w:rsidR="00E34667" w:rsidRPr="00C4084C">
        <w:t xml:space="preserve">Canberra: </w:t>
      </w:r>
      <w:r w:rsidRPr="00C4084C">
        <w:t>2023</w:t>
      </w:r>
      <w:r w:rsidR="00267E8C" w:rsidRPr="00C4084C">
        <w:t>)</w:t>
      </w:r>
      <w:r w:rsidRPr="00C4084C">
        <w:t xml:space="preserve">, </w:t>
      </w:r>
      <w:r w:rsidR="00267E8C" w:rsidRPr="00C4084C">
        <w:t>10</w:t>
      </w:r>
      <w:r w:rsidRPr="00C4084C">
        <w:t xml:space="preserve">, </w:t>
      </w:r>
      <w:hyperlink r:id="rId64" w:history="1">
        <w:r w:rsidR="00025E3A" w:rsidRPr="00C4084C">
          <w:rPr>
            <w:rStyle w:val="Hyperlink"/>
          </w:rPr>
          <w:t>https://www.jobsandskills.gov.au/sites/default/files/2023-10/2023%20SPL%20Key%20Findings%20Report.pdf</w:t>
        </w:r>
      </w:hyperlink>
      <w:r w:rsidR="00FA7EF1" w:rsidRPr="00C4084C">
        <w:t>.</w:t>
      </w:r>
    </w:p>
    <w:p w14:paraId="7A0E459B" w14:textId="77777777" w:rsidR="005B3445" w:rsidRPr="00C4084C" w:rsidRDefault="005B3445" w:rsidP="00C35648">
      <w:r w:rsidRPr="00C4084C">
        <w:t>Many of the sectors in shortage now are also forecast to require the most future growth.</w:t>
      </w:r>
    </w:p>
    <w:p w14:paraId="109147FE" w14:textId="0BA879CC" w:rsidR="005B3445" w:rsidRPr="00C4084C" w:rsidRDefault="005B3445" w:rsidP="00C35648">
      <w:pPr>
        <w:rPr>
          <w:lang w:eastAsia="zh-CN" w:bidi="th-TH"/>
        </w:rPr>
      </w:pPr>
      <w:r w:rsidRPr="00C4084C">
        <w:rPr>
          <w:lang w:eastAsia="zh-CN" w:bidi="th-TH"/>
        </w:rPr>
        <w:t xml:space="preserve">For example, the social care and wellbeing sectors face overwhelming and accelerating community demand for services, driven by a growing and ageing population. Technology-intensive sectors such as engineering, </w:t>
      </w:r>
      <w:proofErr w:type="gramStart"/>
      <w:r w:rsidRPr="00C4084C">
        <w:rPr>
          <w:lang w:eastAsia="zh-CN" w:bidi="th-TH"/>
        </w:rPr>
        <w:t>computing</w:t>
      </w:r>
      <w:proofErr w:type="gramEnd"/>
      <w:r w:rsidRPr="00C4084C">
        <w:rPr>
          <w:lang w:eastAsia="zh-CN" w:bidi="th-TH"/>
        </w:rPr>
        <w:t xml:space="preserve"> and manufacturing risk being outpaced by demand for faster, deeper specialisation in emerging technologies and processes. The pathway to net zero</w:t>
      </w:r>
      <w:r w:rsidR="00B968AE" w:rsidRPr="00C4084C">
        <w:rPr>
          <w:lang w:eastAsia="zh-CN" w:bidi="th-TH"/>
        </w:rPr>
        <w:t xml:space="preserve"> emissions</w:t>
      </w:r>
      <w:r w:rsidRPr="00C4084C">
        <w:rPr>
          <w:lang w:eastAsia="zh-CN" w:bidi="th-TH"/>
        </w:rPr>
        <w:t xml:space="preserve"> presents opportunities for industrial transformation, new jobs and enterprises, and productivity growth</w:t>
      </w:r>
      <w:r w:rsidR="00C7073F" w:rsidRPr="00C4084C">
        <w:rPr>
          <w:lang w:eastAsia="zh-CN" w:bidi="th-TH"/>
        </w:rPr>
        <w:t xml:space="preserve"> which require </w:t>
      </w:r>
      <w:r w:rsidR="00745380" w:rsidRPr="00C4084C">
        <w:rPr>
          <w:lang w:eastAsia="zh-CN" w:bidi="th-TH"/>
        </w:rPr>
        <w:t>new or significantly enhanced skills from the workforce</w:t>
      </w:r>
      <w:r w:rsidRPr="00C4084C" w:rsidDel="00C7073F">
        <w:rPr>
          <w:lang w:eastAsia="zh-CN" w:bidi="th-TH"/>
        </w:rPr>
        <w:t>.</w:t>
      </w:r>
      <w:r w:rsidRPr="00C4084C">
        <w:rPr>
          <w:lang w:eastAsia="zh-CN" w:bidi="th-TH"/>
        </w:rPr>
        <w:t xml:space="preserve"> A growing population will require new housing and infrastructure construction, continuing to drive strong demand for the trade professions. </w:t>
      </w:r>
    </w:p>
    <w:p w14:paraId="30839857" w14:textId="5EBBEE18" w:rsidR="005B3445" w:rsidRPr="00C4084C" w:rsidRDefault="005B3445" w:rsidP="00C35648">
      <w:r w:rsidRPr="00C4084C">
        <w:t>Total employment in the Australian economy is projected to grow over the next 10 years, resulting in around 2 million more people being employed in the Australian economy in 2033 than now. While all industries are expected to grow</w:t>
      </w:r>
      <w:r w:rsidR="0081351B" w:rsidRPr="00C4084C">
        <w:t xml:space="preserve"> in absolute terms</w:t>
      </w:r>
      <w:r w:rsidR="0056336C" w:rsidRPr="00C4084C">
        <w:t xml:space="preserve"> (see </w:t>
      </w:r>
      <w:r w:rsidR="0056336C" w:rsidRPr="00C4084C">
        <w:fldChar w:fldCharType="begin"/>
      </w:r>
      <w:r w:rsidR="0056336C" w:rsidRPr="00C4084C">
        <w:instrText xml:space="preserve"> REF _Ref153275998 \h </w:instrText>
      </w:r>
      <w:r w:rsidR="00023976">
        <w:instrText xml:space="preserve"> \* MERGEFORMAT </w:instrText>
      </w:r>
      <w:r w:rsidR="0056336C" w:rsidRPr="00C4084C">
        <w:fldChar w:fldCharType="separate"/>
      </w:r>
      <w:r w:rsidR="00467B4F" w:rsidRPr="00C4084C">
        <w:t xml:space="preserve">Figure </w:t>
      </w:r>
      <w:r w:rsidR="00467B4F">
        <w:rPr>
          <w:noProof/>
        </w:rPr>
        <w:t>11</w:t>
      </w:r>
      <w:r w:rsidR="0056336C" w:rsidRPr="00C4084C">
        <w:fldChar w:fldCharType="end"/>
      </w:r>
      <w:r w:rsidR="0056336C" w:rsidRPr="00C4084C">
        <w:t>)</w:t>
      </w:r>
      <w:r w:rsidRPr="00C4084C">
        <w:t>, the greatest growth by far is expected in Health Care and Social Assistance. Other sectors expecting high employment growth are Professional, Scientific and Technical Services, Education</w:t>
      </w:r>
      <w:r w:rsidRPr="00C4084C" w:rsidDel="00BE06C6">
        <w:t xml:space="preserve"> and </w:t>
      </w:r>
      <w:r w:rsidRPr="00C4084C">
        <w:t>Training, and Construction. After a long period of slow growth, Manufacturing is also expected to grow</w:t>
      </w:r>
      <w:r w:rsidRPr="00C4084C" w:rsidDel="00BE06C6">
        <w:t xml:space="preserve"> </w:t>
      </w:r>
      <w:r w:rsidRPr="00C4084C">
        <w:t>and slightly increase its share of total employment over the next decade.</w:t>
      </w:r>
    </w:p>
    <w:p w14:paraId="43781CDE" w14:textId="7B083594" w:rsidR="005B3445" w:rsidRPr="00D26B82" w:rsidRDefault="005B3445" w:rsidP="005E5C5F">
      <w:pPr>
        <w:pStyle w:val="Caption"/>
        <w:rPr>
          <w:b/>
          <w:bCs/>
          <w:sz w:val="24"/>
          <w:szCs w:val="24"/>
        </w:rPr>
      </w:pPr>
      <w:bookmarkStart w:id="265" w:name="_Ref153275998"/>
      <w:bookmarkStart w:id="266" w:name="_Toc154674773"/>
      <w:r w:rsidRPr="00D26B82">
        <w:rPr>
          <w:b/>
          <w:bCs/>
          <w:sz w:val="24"/>
          <w:szCs w:val="24"/>
        </w:rPr>
        <w:lastRenderedPageBreak/>
        <w:t xml:space="preserve">Figure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11</w:t>
      </w:r>
      <w:r w:rsidRPr="00D26B82">
        <w:rPr>
          <w:b/>
          <w:bCs/>
          <w:sz w:val="24"/>
          <w:szCs w:val="24"/>
        </w:rPr>
        <w:fldChar w:fldCharType="end"/>
      </w:r>
      <w:bookmarkEnd w:id="265"/>
      <w:r w:rsidR="00D63A16" w:rsidRPr="00D26B82">
        <w:rPr>
          <w:b/>
          <w:bCs/>
          <w:sz w:val="24"/>
          <w:szCs w:val="24"/>
        </w:rPr>
        <w:t>:</w:t>
      </w:r>
      <w:r w:rsidRPr="00D26B82">
        <w:rPr>
          <w:b/>
          <w:bCs/>
          <w:sz w:val="24"/>
          <w:szCs w:val="24"/>
        </w:rPr>
        <w:t xml:space="preserve"> </w:t>
      </w:r>
      <w:r w:rsidR="00C124F4" w:rsidRPr="00D26B82">
        <w:rPr>
          <w:b/>
          <w:bCs/>
          <w:sz w:val="24"/>
          <w:szCs w:val="24"/>
        </w:rPr>
        <w:t>Projected growth in employment by industry</w:t>
      </w:r>
      <w:r w:rsidR="00E83678" w:rsidRPr="00D26B82">
        <w:rPr>
          <w:b/>
          <w:bCs/>
          <w:sz w:val="24"/>
          <w:szCs w:val="24"/>
        </w:rPr>
        <w:t xml:space="preserve"> (thousands of positions)</w:t>
      </w:r>
      <w:r w:rsidR="00C124F4" w:rsidRPr="00D26B82">
        <w:rPr>
          <w:b/>
          <w:bCs/>
          <w:sz w:val="24"/>
          <w:szCs w:val="24"/>
        </w:rPr>
        <w:t>, May 202</w:t>
      </w:r>
      <w:r w:rsidR="00E616C1" w:rsidRPr="00D26B82">
        <w:rPr>
          <w:b/>
          <w:bCs/>
          <w:sz w:val="24"/>
          <w:szCs w:val="24"/>
        </w:rPr>
        <w:t>3</w:t>
      </w:r>
      <w:r w:rsidR="00C124F4" w:rsidRPr="00D26B82">
        <w:rPr>
          <w:b/>
          <w:bCs/>
          <w:sz w:val="24"/>
          <w:szCs w:val="24"/>
        </w:rPr>
        <w:t xml:space="preserve"> </w:t>
      </w:r>
      <w:r w:rsidR="00147FD7" w:rsidRPr="00D26B82">
        <w:rPr>
          <w:b/>
          <w:bCs/>
          <w:sz w:val="24"/>
          <w:szCs w:val="24"/>
        </w:rPr>
        <w:t>to</w:t>
      </w:r>
      <w:r w:rsidR="00C124F4" w:rsidRPr="00D26B82">
        <w:rPr>
          <w:b/>
          <w:bCs/>
          <w:sz w:val="24"/>
          <w:szCs w:val="24"/>
        </w:rPr>
        <w:t xml:space="preserve"> May 2033</w:t>
      </w:r>
      <w:r w:rsidR="00DA3D13" w:rsidRPr="00D26B82">
        <w:rPr>
          <w:b/>
          <w:bCs/>
          <w:sz w:val="24"/>
          <w:szCs w:val="24"/>
        </w:rPr>
        <w:t>.</w:t>
      </w:r>
      <w:bookmarkEnd w:id="266"/>
    </w:p>
    <w:p w14:paraId="1F4249D0" w14:textId="3D0D3376" w:rsidR="00F3585C" w:rsidRPr="00C4084C" w:rsidRDefault="00F3585C" w:rsidP="00D26B82">
      <w:pPr>
        <w:keepNext/>
        <w:spacing w:after="0"/>
      </w:pPr>
      <w:r>
        <w:rPr>
          <w:noProof/>
        </w:rPr>
        <w:drawing>
          <wp:inline distT="0" distB="0" distL="0" distR="0" wp14:anchorId="19FA1826" wp14:editId="4688C390">
            <wp:extent cx="5964865" cy="3257218"/>
            <wp:effectExtent l="0" t="0" r="0" b="0"/>
            <wp:docPr id="640142441" name="Graphic 11" descr="Horizontal bar graph showing the projected growth in employment by industry from May 2023 to May 2033. Graph shows the highest level of projected growth in employment in the Health Care and Social Assistance industry, followed by Professional, Scientific and Technical Services, Education and Training and Manufacturing industries. The lowest levels of projected growth in employment is in the Electricity, Gas, Water and Waste Services and Arts and Recreation Services indus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142441" name="Graphic 11" descr="Horizontal bar graph showing the projected growth in employment by industry from May 2023 to May 2033. Graph shows the highest level of projected growth in employment in the Health Care and Social Assistance industry, followed by Professional, Scientific and Technical Services, Education and Training and Manufacturing industries. The lowest levels of projected growth in employment is in the Electricity, Gas, Water and Waste Services and Arts and Recreation Services industries."/>
                    <pic:cNvPicPr/>
                  </pic:nvPicPr>
                  <pic:blipFill>
                    <a:blip r:embed="rId65">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5976249" cy="3263435"/>
                    </a:xfrm>
                    <a:prstGeom prst="rect">
                      <a:avLst/>
                    </a:prstGeom>
                  </pic:spPr>
                </pic:pic>
              </a:graphicData>
            </a:graphic>
          </wp:inline>
        </w:drawing>
      </w:r>
    </w:p>
    <w:tbl>
      <w:tblPr>
        <w:tblpPr w:leftFromText="180" w:rightFromText="180" w:vertAnchor="text" w:horzAnchor="margin" w:tblpY="733"/>
        <w:tblW w:w="0" w:type="auto"/>
        <w:shd w:val="clear" w:color="auto" w:fill="D2E8FF"/>
        <w:tblLook w:val="04A0" w:firstRow="1" w:lastRow="0" w:firstColumn="1" w:lastColumn="0" w:noHBand="0" w:noVBand="1"/>
      </w:tblPr>
      <w:tblGrid>
        <w:gridCol w:w="9638"/>
      </w:tblGrid>
      <w:tr w:rsidR="00184B86" w:rsidRPr="00C4084C" w14:paraId="640CC7C2" w14:textId="77777777" w:rsidTr="00D26B82">
        <w:tc>
          <w:tcPr>
            <w:tcW w:w="0" w:type="auto"/>
            <w:shd w:val="clear" w:color="auto" w:fill="D3D4D6"/>
          </w:tcPr>
          <w:p w14:paraId="2EE61F64" w14:textId="77777777" w:rsidR="00184B86" w:rsidRPr="00C4084C" w:rsidRDefault="00184B86" w:rsidP="00184B86">
            <w:pPr>
              <w:pStyle w:val="Boxtitlessubheadings"/>
            </w:pPr>
            <w:r w:rsidRPr="00C4084C">
              <w:t>Case study: Shortage of veterinary professionals in regional areas</w:t>
            </w:r>
          </w:p>
          <w:p w14:paraId="4D4EF8DF" w14:textId="734B91AF" w:rsidR="00184B86" w:rsidRPr="00C4084C" w:rsidRDefault="00184B86" w:rsidP="00C35648">
            <w:pPr>
              <w:pStyle w:val="Boxtext0"/>
            </w:pPr>
            <w:r w:rsidRPr="00C4084C">
              <w:t>Australia</w:t>
            </w:r>
            <w:r w:rsidR="00025E3A" w:rsidRPr="00C4084C">
              <w:t>’</w:t>
            </w:r>
            <w:r w:rsidRPr="00C4084C">
              <w:t xml:space="preserve">s </w:t>
            </w:r>
            <w:r w:rsidRPr="00E526B5">
              <w:t xml:space="preserve">veterinary professionals play a crucial role in Australia, particularly in regional, </w:t>
            </w:r>
            <w:proofErr w:type="gramStart"/>
            <w:r w:rsidRPr="00E526B5">
              <w:t>rural</w:t>
            </w:r>
            <w:proofErr w:type="gramEnd"/>
            <w:r w:rsidRPr="00E526B5">
              <w:t xml:space="preserve"> and remote communities. They contribute significantly to the agriculture sector, which is vital to the Australian economy. According to</w:t>
            </w:r>
            <w:r w:rsidRPr="00C4084C">
              <w:t xml:space="preserve"> employment projections published by JSA, there are currently 12,400 veterinarians working in Australia and this number is projected to increase nationally to 14,500 by 2033, </w:t>
            </w:r>
            <w:r w:rsidRPr="00E526B5">
              <w:t>representing</w:t>
            </w:r>
            <w:r w:rsidRPr="00C4084C">
              <w:t xml:space="preserve"> a growth rate of 16.9%</w:t>
            </w:r>
            <w:r w:rsidR="00323A0D" w:rsidRPr="00C4084C">
              <w:t>.</w:t>
            </w:r>
            <w:r w:rsidRPr="00C4084C">
              <w:rPr>
                <w:vertAlign w:val="superscript"/>
              </w:rPr>
              <w:footnoteReference w:id="118"/>
            </w:r>
            <w:r w:rsidR="00323A0D" w:rsidRPr="00C4084C">
              <w:t xml:space="preserve"> </w:t>
            </w:r>
            <w:r w:rsidRPr="00C4084C">
              <w:t>The current workforce of veterinarians is not adequate, leading to a severe shortage especially in rural and regional areas.</w:t>
            </w:r>
            <w:r w:rsidRPr="00C4084C">
              <w:rPr>
                <w:vertAlign w:val="superscript"/>
              </w:rPr>
              <w:footnoteReference w:id="119"/>
            </w:r>
            <w:r w:rsidRPr="00C4084C">
              <w:t xml:space="preserve"> This shortage has led to the closure of veterinary clinics in these areas. The lack of veterinarians has negative effects on biosecurity and animal health and welfare. The sustainability of veterinary services is threatened due to insufficient investment and the high costs of providing modern veterinary care. </w:t>
            </w:r>
          </w:p>
          <w:p w14:paraId="69AE7008" w14:textId="77777777" w:rsidR="00184B86" w:rsidRPr="00C4084C" w:rsidRDefault="00184B86" w:rsidP="00C35648">
            <w:pPr>
              <w:pStyle w:val="Boxtext0"/>
            </w:pPr>
            <w:r w:rsidRPr="00C4084C">
              <w:t xml:space="preserve">To ensure that Australian communities can enjoy the benefits of proper animal health and welfare, it is essential to increase </w:t>
            </w:r>
            <w:r w:rsidRPr="00E526B5">
              <w:t>the</w:t>
            </w:r>
            <w:r w:rsidRPr="00C4084C">
              <w:t xml:space="preserve"> skilled rural workforce in the veterinary profession. This skills development will help </w:t>
            </w:r>
            <w:r w:rsidRPr="00E526B5">
              <w:t>sustainably</w:t>
            </w:r>
            <w:r w:rsidRPr="00C4084C">
              <w:t xml:space="preserve"> provide these crucial services.</w:t>
            </w:r>
            <w:r w:rsidRPr="00C4084C">
              <w:rPr>
                <w:vertAlign w:val="superscript"/>
              </w:rPr>
              <w:footnoteReference w:id="120"/>
            </w:r>
          </w:p>
        </w:tc>
      </w:tr>
    </w:tbl>
    <w:p w14:paraId="38ED1841" w14:textId="3D1E4B99" w:rsidR="00BE1F9E" w:rsidRDefault="005B3445" w:rsidP="008C67CA">
      <w:pPr>
        <w:pStyle w:val="Source"/>
        <w:spacing w:after="360"/>
        <w:contextualSpacing w:val="0"/>
      </w:pPr>
      <w:r w:rsidRPr="00C4084C">
        <w:t>Source: Jobs and Skills Australia</w:t>
      </w:r>
      <w:r w:rsidR="000861BD" w:rsidRPr="00C4084C">
        <w:t>,</w:t>
      </w:r>
      <w:r w:rsidRPr="00C4084C">
        <w:t xml:space="preserve"> </w:t>
      </w:r>
      <w:r w:rsidRPr="00C4084C">
        <w:rPr>
          <w:i/>
        </w:rPr>
        <w:t>Employment Projections</w:t>
      </w:r>
      <w:r w:rsidRPr="00C4084C">
        <w:t xml:space="preserve">, </w:t>
      </w:r>
      <w:r w:rsidR="009310FC" w:rsidRPr="00C4084C">
        <w:t>Canberra</w:t>
      </w:r>
      <w:r w:rsidR="00C5785D" w:rsidRPr="00C4084C">
        <w:t>,</w:t>
      </w:r>
      <w:r w:rsidRPr="00C4084C">
        <w:t xml:space="preserve"> 2023 </w:t>
      </w:r>
      <w:hyperlink r:id="rId67" w:history="1">
        <w:r w:rsidRPr="00C4084C">
          <w:rPr>
            <w:rStyle w:val="Hyperlink"/>
            <w:szCs w:val="18"/>
          </w:rPr>
          <w:t>https://www.jobsandskills.gov.au/data/employment-projections</w:t>
        </w:r>
      </w:hyperlink>
      <w:r w:rsidRPr="00C4084C">
        <w:rPr>
          <w:szCs w:val="18"/>
        </w:rPr>
        <w:t>, accessed 20 November 2023.</w:t>
      </w:r>
      <w:bookmarkStart w:id="267" w:name="_Toc151807268"/>
    </w:p>
    <w:p w14:paraId="3296C8AE" w14:textId="46795CE2" w:rsidR="005B3445" w:rsidRPr="00C4084C" w:rsidRDefault="005B3445" w:rsidP="0072052F">
      <w:pPr>
        <w:pStyle w:val="Heading5"/>
        <w:spacing w:before="0"/>
      </w:pPr>
      <w:r w:rsidRPr="00C4084C">
        <w:t>Medical places</w:t>
      </w:r>
      <w:bookmarkEnd w:id="267"/>
    </w:p>
    <w:p w14:paraId="46DD879C" w14:textId="6434AF8A" w:rsidR="004B1851" w:rsidRPr="00C4084C" w:rsidRDefault="00161C16" w:rsidP="00C35648">
      <w:r w:rsidRPr="00C4084C">
        <w:t>To address the undersupply of doctors in certain areas</w:t>
      </w:r>
      <w:r w:rsidR="000D7DB8">
        <w:t>,</w:t>
      </w:r>
      <w:r w:rsidRPr="00C4084C">
        <w:rPr>
          <w:rStyle w:val="FootnoteReference"/>
        </w:rPr>
        <w:footnoteReference w:id="121"/>
      </w:r>
      <w:r w:rsidR="005B3445" w:rsidRPr="00C4084C">
        <w:t xml:space="preserve"> Commonwealth supported medical places </w:t>
      </w:r>
      <w:r w:rsidR="00360306" w:rsidRPr="00C4084C">
        <w:t>should be</w:t>
      </w:r>
      <w:r w:rsidR="005B3445" w:rsidRPr="00C4084C">
        <w:t xml:space="preserve"> </w:t>
      </w:r>
      <w:r w:rsidR="0080728E" w:rsidRPr="00C4084C">
        <w:t xml:space="preserve">increased </w:t>
      </w:r>
      <w:r w:rsidR="005B3445" w:rsidRPr="00C4084C">
        <w:t xml:space="preserve">through a transparent and competitive process. </w:t>
      </w:r>
      <w:r w:rsidR="004B1851" w:rsidRPr="00C4084C">
        <w:t>Unlike other fields of study</w:t>
      </w:r>
      <w:r w:rsidR="004B3078" w:rsidRPr="00C4084C">
        <w:t>,</w:t>
      </w:r>
      <w:r w:rsidR="004B1851" w:rsidRPr="00C4084C">
        <w:t xml:space="preserve"> the Minister for </w:t>
      </w:r>
      <w:r w:rsidR="00965FBD" w:rsidRPr="00C4084C">
        <w:t>E</w:t>
      </w:r>
      <w:r w:rsidR="004B1851" w:rsidRPr="00C4084C">
        <w:t xml:space="preserve">ducation allocates a set number of </w:t>
      </w:r>
      <w:r w:rsidR="78E66C4E" w:rsidRPr="00C4084C">
        <w:t xml:space="preserve">Commonwealth supported </w:t>
      </w:r>
      <w:r w:rsidR="004B1851" w:rsidRPr="00C4084C">
        <w:t xml:space="preserve">medical </w:t>
      </w:r>
      <w:r w:rsidR="02B9247E" w:rsidRPr="00C4084C">
        <w:t>place</w:t>
      </w:r>
      <w:r w:rsidR="004B1851" w:rsidRPr="00C4084C">
        <w:t xml:space="preserve">s to each </w:t>
      </w:r>
      <w:r w:rsidR="0080728E" w:rsidRPr="00C4084C">
        <w:t xml:space="preserve">accredited </w:t>
      </w:r>
      <w:r w:rsidR="0080728E" w:rsidRPr="00C4084C">
        <w:lastRenderedPageBreak/>
        <w:t>university</w:t>
      </w:r>
      <w:r w:rsidR="004B1851" w:rsidRPr="00C4084C">
        <w:t xml:space="preserve"> for each calendar year. These allocations, and any associated conditions, are set out in funding agreements. Courses that have CSPs allocated in this way are referred to as ‘designated higher education courses’ in the </w:t>
      </w:r>
      <w:r w:rsidR="004B1851" w:rsidRPr="00C4084C">
        <w:rPr>
          <w:i/>
        </w:rPr>
        <w:t>Higher Education Support Act 2003</w:t>
      </w:r>
      <w:r w:rsidR="004B1851" w:rsidRPr="00C4084C">
        <w:t xml:space="preserve"> (</w:t>
      </w:r>
      <w:proofErr w:type="spellStart"/>
      <w:r w:rsidR="004B3078" w:rsidRPr="00C4084C">
        <w:t>Cth</w:t>
      </w:r>
      <w:proofErr w:type="spellEnd"/>
      <w:r w:rsidR="004B1851" w:rsidRPr="00C4084C">
        <w:t>).</w:t>
      </w:r>
    </w:p>
    <w:p w14:paraId="46A79C67" w14:textId="6CB1E2E9" w:rsidR="00ED338E" w:rsidRPr="00C4084C" w:rsidRDefault="00EB64AF" w:rsidP="00C35648">
      <w:r w:rsidRPr="00C4084C">
        <w:t>The Review recommends</w:t>
      </w:r>
      <w:r w:rsidR="005B3445" w:rsidRPr="00C4084C">
        <w:t xml:space="preserve"> prioritising these </w:t>
      </w:r>
      <w:r w:rsidR="00372BC0" w:rsidRPr="00C4084C">
        <w:t xml:space="preserve">additional </w:t>
      </w:r>
      <w:r w:rsidR="005B3445" w:rsidRPr="00C4084C">
        <w:t xml:space="preserve">places for training in </w:t>
      </w:r>
      <w:r w:rsidR="00966596" w:rsidRPr="00C4084C">
        <w:t>areas of critical shortages</w:t>
      </w:r>
      <w:r w:rsidR="005B3445" w:rsidRPr="00C4084C">
        <w:t xml:space="preserve"> in regional and outer metropolitan areas</w:t>
      </w:r>
      <w:r w:rsidR="00974524" w:rsidRPr="00C4084C">
        <w:t xml:space="preserve"> (see Recommendation </w:t>
      </w:r>
      <w:r w:rsidR="00F870D4" w:rsidRPr="00C4084C">
        <w:t>3</w:t>
      </w:r>
      <w:r w:rsidR="00974524" w:rsidRPr="00C4084C">
        <w:t>)</w:t>
      </w:r>
      <w:r w:rsidR="005B3445" w:rsidRPr="00C4084C">
        <w:t xml:space="preserve">. </w:t>
      </w:r>
      <w:r w:rsidR="00ED338E" w:rsidRPr="00C4084C">
        <w:t xml:space="preserve">Additional places </w:t>
      </w:r>
      <w:r w:rsidR="00B524C0" w:rsidRPr="00C4084C">
        <w:t>should be consistent with the National Medical Workforce Strategy and</w:t>
      </w:r>
      <w:r w:rsidR="00ED338E" w:rsidRPr="00C4084C">
        <w:t xml:space="preserve"> will</w:t>
      </w:r>
      <w:r w:rsidR="00C32592" w:rsidRPr="00C4084C">
        <w:t xml:space="preserve"> require buy</w:t>
      </w:r>
      <w:r w:rsidR="0061674E">
        <w:t>-</w:t>
      </w:r>
      <w:r w:rsidR="00C32592" w:rsidRPr="00C4084C">
        <w:t>in from states and territories</w:t>
      </w:r>
      <w:r w:rsidR="00D4466D" w:rsidRPr="00C4084C">
        <w:t>,</w:t>
      </w:r>
      <w:r w:rsidR="00C32592" w:rsidRPr="00C4084C">
        <w:t xml:space="preserve"> </w:t>
      </w:r>
      <w:r w:rsidR="00FC5D7D" w:rsidRPr="00C4084C">
        <w:t xml:space="preserve">which </w:t>
      </w:r>
      <w:r w:rsidR="00C32592" w:rsidRPr="00C4084C">
        <w:t>are responsible for ensuring training places for these students</w:t>
      </w:r>
      <w:r w:rsidR="00D4466D" w:rsidRPr="00C4084C">
        <w:t xml:space="preserve"> </w:t>
      </w:r>
      <w:r w:rsidR="00370C9B" w:rsidRPr="003E5969">
        <w:t>—</w:t>
      </w:r>
      <w:r w:rsidR="00C32592" w:rsidRPr="00C4084C">
        <w:t xml:space="preserve"> both during their studies through placements and </w:t>
      </w:r>
      <w:r w:rsidR="00B524C0" w:rsidRPr="00C4084C">
        <w:t>once they commence their hospital internships.</w:t>
      </w:r>
    </w:p>
    <w:p w14:paraId="5D9D90C7" w14:textId="528D412C" w:rsidR="005B3445" w:rsidRPr="00C4084C" w:rsidRDefault="005B3445" w:rsidP="00C35648">
      <w:r w:rsidRPr="00C4084C">
        <w:t>Evidence shows that medical students from regional areas and those that train in the regions are more likely to stay in the regions post-graduation.</w:t>
      </w:r>
      <w:r w:rsidRPr="00C4084C">
        <w:rPr>
          <w:rStyle w:val="FootnoteReference"/>
          <w:rFonts w:eastAsiaTheme="minorEastAsia"/>
        </w:rPr>
        <w:footnoteReference w:id="122"/>
      </w:r>
      <w:r w:rsidRPr="00C4084C">
        <w:t xml:space="preserve"> Given the </w:t>
      </w:r>
      <w:r w:rsidR="0071797F">
        <w:t>medical practitioner</w:t>
      </w:r>
      <w:r w:rsidR="0071797F" w:rsidRPr="00C4084C">
        <w:t xml:space="preserve"> </w:t>
      </w:r>
      <w:r w:rsidRPr="00C4084C">
        <w:t xml:space="preserve">shortages in much of regional Australia, prioritising the allocation of medical places in these </w:t>
      </w:r>
      <w:r w:rsidR="00FF61A2" w:rsidRPr="00C4084C">
        <w:t xml:space="preserve">areas </w:t>
      </w:r>
      <w:r w:rsidR="005D3D22">
        <w:t>should</w:t>
      </w:r>
      <w:r w:rsidR="005D3D22" w:rsidRPr="00C4084C">
        <w:t xml:space="preserve"> </w:t>
      </w:r>
      <w:r w:rsidRPr="00C4084C">
        <w:t xml:space="preserve">help alleviate these shortages. Increasing the number of medical places provided in regional and outer metropolitan areas </w:t>
      </w:r>
      <w:r w:rsidR="005D3D22">
        <w:t>should</w:t>
      </w:r>
      <w:r w:rsidR="005D3D22" w:rsidRPr="00C4084C">
        <w:t xml:space="preserve"> </w:t>
      </w:r>
      <w:r w:rsidRPr="00C4084C">
        <w:t>also help contribute to increasing the representation of students from traditionally under</w:t>
      </w:r>
      <w:r w:rsidR="001D7F24" w:rsidRPr="00C4084C">
        <w:t>-</w:t>
      </w:r>
      <w:r w:rsidRPr="00C4084C">
        <w:t>represented backgrounds.</w:t>
      </w:r>
      <w:r w:rsidR="00C83321" w:rsidRPr="00C4084C">
        <w:t xml:space="preserve"> </w:t>
      </w:r>
    </w:p>
    <w:p w14:paraId="159E9951" w14:textId="2E9CE9D9" w:rsidR="005B3445" w:rsidRPr="00C4084C" w:rsidRDefault="005B3445" w:rsidP="00BA6095">
      <w:pPr>
        <w:pStyle w:val="Heading4"/>
      </w:pPr>
      <w:bookmarkStart w:id="268" w:name="_Toc150857827"/>
      <w:bookmarkStart w:id="269" w:name="_Toc150857828"/>
      <w:bookmarkStart w:id="270" w:name="_Toc150857829"/>
      <w:bookmarkStart w:id="271" w:name="_Toc150857830"/>
      <w:bookmarkStart w:id="272" w:name="_Toc150857831"/>
      <w:bookmarkStart w:id="273" w:name="_Toc150857832"/>
      <w:bookmarkStart w:id="274" w:name="_Toc150857833"/>
      <w:bookmarkStart w:id="275" w:name="_Toc150857834"/>
      <w:bookmarkStart w:id="276" w:name="_Toc150857835"/>
      <w:bookmarkStart w:id="277" w:name="_Toc150857836"/>
      <w:bookmarkStart w:id="278" w:name="_Toc150857837"/>
      <w:bookmarkStart w:id="279" w:name="_Toc150857838"/>
      <w:bookmarkStart w:id="280" w:name="_Toc150857839"/>
      <w:bookmarkStart w:id="281" w:name="_Toc150857840"/>
      <w:bookmarkStart w:id="282" w:name="_Toc150857841"/>
      <w:bookmarkStart w:id="283" w:name="_Toc150857842"/>
      <w:bookmarkStart w:id="284" w:name="_Toc150857843"/>
      <w:bookmarkStart w:id="285" w:name="_Toc150857844"/>
      <w:bookmarkStart w:id="286" w:name="_Toc150857845"/>
      <w:bookmarkStart w:id="287" w:name="_Toc150857846"/>
      <w:bookmarkStart w:id="288" w:name="_Toc150857847"/>
      <w:bookmarkStart w:id="289" w:name="_Toc150857848"/>
      <w:bookmarkStart w:id="290" w:name="_Toc150857849"/>
      <w:bookmarkStart w:id="291" w:name="_Toc150857850"/>
      <w:bookmarkStart w:id="292" w:name="_Toc150857851"/>
      <w:bookmarkStart w:id="293" w:name="_Toc150857852"/>
      <w:bookmarkStart w:id="294" w:name="_Toc150857853"/>
      <w:bookmarkStart w:id="295" w:name="_Toc150857854"/>
      <w:bookmarkStart w:id="296" w:name="_Toc150857855"/>
      <w:bookmarkStart w:id="297" w:name="_Toc150857856"/>
      <w:bookmarkStart w:id="298" w:name="_Toc150857857"/>
      <w:bookmarkStart w:id="299" w:name="_Toc150857858"/>
      <w:bookmarkStart w:id="300" w:name="_Toc150616302"/>
      <w:bookmarkStart w:id="301" w:name="_Toc150677488"/>
      <w:bookmarkStart w:id="302" w:name="_Toc150616303"/>
      <w:bookmarkStart w:id="303" w:name="_Toc150677489"/>
      <w:bookmarkStart w:id="304" w:name="_Toc150616304"/>
      <w:bookmarkStart w:id="305" w:name="_Toc150677490"/>
      <w:bookmarkStart w:id="306" w:name="_Toc150616305"/>
      <w:bookmarkStart w:id="307" w:name="_Toc150677491"/>
      <w:bookmarkStart w:id="308" w:name="_Toc150616306"/>
      <w:bookmarkStart w:id="309" w:name="_Toc150677492"/>
      <w:bookmarkStart w:id="310" w:name="_Toc150616307"/>
      <w:bookmarkStart w:id="311" w:name="_Toc150677493"/>
      <w:bookmarkStart w:id="312" w:name="_Toc150616308"/>
      <w:bookmarkStart w:id="313" w:name="_Toc150677494"/>
      <w:bookmarkStart w:id="314" w:name="_Toc150616309"/>
      <w:bookmarkStart w:id="315" w:name="_Toc150677495"/>
      <w:bookmarkStart w:id="316" w:name="_Toc151807269"/>
      <w:bookmarkStart w:id="317" w:name="_Toc414344329"/>
      <w:bookmarkStart w:id="318" w:name="_Toc153483015"/>
      <w:bookmarkStart w:id="319" w:name="_Toc159500925"/>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r w:rsidRPr="00C4084C">
        <w:t xml:space="preserve">The </w:t>
      </w:r>
      <w:r w:rsidR="00DB7F74" w:rsidRPr="00C4084C">
        <w:t xml:space="preserve">tertiary education </w:t>
      </w:r>
      <w:r w:rsidRPr="00C4084C">
        <w:t xml:space="preserve">system must deliver the right mix of </w:t>
      </w:r>
      <w:proofErr w:type="gramStart"/>
      <w:r w:rsidRPr="00C4084C">
        <w:t>skills</w:t>
      </w:r>
      <w:bookmarkEnd w:id="316"/>
      <w:bookmarkEnd w:id="317"/>
      <w:bookmarkEnd w:id="318"/>
      <w:bookmarkEnd w:id="319"/>
      <w:proofErr w:type="gramEnd"/>
      <w:r w:rsidRPr="00C4084C">
        <w:t xml:space="preserve"> </w:t>
      </w:r>
    </w:p>
    <w:p w14:paraId="006C714D" w14:textId="3F820285" w:rsidR="005B3445" w:rsidRPr="00C4084C" w:rsidRDefault="005B3445" w:rsidP="00C35648">
      <w:r w:rsidRPr="00C4084C">
        <w:t>To meet Australia’s growing need for tertiary educated people, the tertiary education system must be attuned to Australia’s skills needs and produce graduates that employers want. Overwhelmingly, employers told the Review that they need more graduates with the right mix of skills – not just technical, discipline-specific, specialist skills, but also gener</w:t>
      </w:r>
      <w:r w:rsidR="00A92B1C" w:rsidRPr="00C4084C">
        <w:t>ic</w:t>
      </w:r>
      <w:r w:rsidRPr="00C4084C">
        <w:t xml:space="preserve"> skills and ‘leading-edge’ </w:t>
      </w:r>
      <w:r w:rsidR="00A92B1C" w:rsidRPr="00C4084C">
        <w:t>knowledge</w:t>
      </w:r>
      <w:r w:rsidRPr="00C4084C">
        <w:t xml:space="preserve"> informed by new research and innovations. </w:t>
      </w:r>
    </w:p>
    <w:p w14:paraId="5B4350C7" w14:textId="259C9FC7" w:rsidR="005B3445" w:rsidRPr="00C4084C" w:rsidRDefault="005B3445" w:rsidP="00C35648">
      <w:r w:rsidRPr="00C4084C">
        <w:t>While Australia’s current critical skills shortages partly reflect insufficient numbers of people with the right qualifications for jobs</w:t>
      </w:r>
      <w:r w:rsidR="00965FBD" w:rsidRPr="00C4084C">
        <w:t xml:space="preserve">, </w:t>
      </w:r>
      <w:r w:rsidR="007E3FEA" w:rsidRPr="00C4084C">
        <w:t>they</w:t>
      </w:r>
      <w:r w:rsidR="00EE3079" w:rsidRPr="00C4084C">
        <w:t xml:space="preserve"> </w:t>
      </w:r>
      <w:r w:rsidRPr="00C4084C">
        <w:t>also reflect the fact that qualified people do not have all the necessary skills required to make them suitable for jobs, or they have skills that misalign with the needs of these roles. People may also have requisite technical skills but lack the other qualities and</w:t>
      </w:r>
      <w:r w:rsidR="00D60339" w:rsidRPr="00C4084C">
        <w:t xml:space="preserve"> in particular</w:t>
      </w:r>
      <w:r w:rsidR="00FC5D7D" w:rsidRPr="00C4084C">
        <w:t>,</w:t>
      </w:r>
      <w:r w:rsidRPr="00C4084C">
        <w:t xml:space="preserve"> generic skills that employers find important</w:t>
      </w:r>
      <w:r w:rsidR="00427DF1" w:rsidRPr="00C4084C">
        <w:t xml:space="preserve"> and are calling for at a high level of attainment</w:t>
      </w:r>
      <w:r w:rsidRPr="00C4084C">
        <w:t>.</w:t>
      </w:r>
    </w:p>
    <w:tbl>
      <w:tblPr>
        <w:tblpPr w:leftFromText="180" w:rightFromText="180" w:vertAnchor="text" w:horzAnchor="margin" w:tblpY="267"/>
        <w:tblW w:w="0" w:type="auto"/>
        <w:shd w:val="clear" w:color="auto" w:fill="D2E8FF"/>
        <w:tblLook w:val="04A0" w:firstRow="1" w:lastRow="0" w:firstColumn="1" w:lastColumn="0" w:noHBand="0" w:noVBand="1"/>
      </w:tblPr>
      <w:tblGrid>
        <w:gridCol w:w="9638"/>
      </w:tblGrid>
      <w:tr w:rsidR="00C959C4" w:rsidRPr="00C4084C" w14:paraId="25B8783F" w14:textId="77777777" w:rsidTr="00D26B82">
        <w:tc>
          <w:tcPr>
            <w:tcW w:w="0" w:type="auto"/>
            <w:shd w:val="clear" w:color="auto" w:fill="E3DAEA"/>
          </w:tcPr>
          <w:p w14:paraId="1EAA190D" w14:textId="77777777" w:rsidR="00C959C4" w:rsidRPr="00C4084C" w:rsidRDefault="00C959C4" w:rsidP="00C959C4">
            <w:pPr>
              <w:pStyle w:val="Boxtitlessubheadings"/>
            </w:pPr>
            <w:r w:rsidRPr="00C4084C">
              <w:t xml:space="preserve">The need for a higher education strategy integrated with jobs and skills </w:t>
            </w:r>
            <w:proofErr w:type="gramStart"/>
            <w:r w:rsidRPr="00C4084C">
              <w:t>needs</w:t>
            </w:r>
            <w:proofErr w:type="gramEnd"/>
          </w:p>
          <w:p w14:paraId="7E8FD1AC" w14:textId="50BCF0D8" w:rsidR="00C959C4" w:rsidRPr="00C4084C" w:rsidRDefault="00C959C4" w:rsidP="00C35648">
            <w:pPr>
              <w:pStyle w:val="Boxtext0"/>
            </w:pPr>
            <w:r w:rsidRPr="00C4084C">
              <w:t>JSA’s recent ‘Towards a National Jobs and Skills Roadmap</w:t>
            </w:r>
            <w:r w:rsidR="008D14AB" w:rsidRPr="00C4084C">
              <w:t>:</w:t>
            </w:r>
            <w:r w:rsidRPr="00C4084C">
              <w:t xml:space="preserve"> Annual Jobs and Skills Report 2023’ provides a detailed analysis of the </w:t>
            </w:r>
            <w:r w:rsidRPr="00B62D50">
              <w:rPr>
                <w:rFonts w:ascii="Calibri" w:hAnsi="Calibri"/>
              </w:rPr>
              <w:t>current</w:t>
            </w:r>
            <w:r w:rsidRPr="00C4084C">
              <w:t xml:space="preserve"> job market and the skills required for future employment. It highlights the necessity of a national strategy to adapt to changes in work dynamics, including advancements in technology and evolving skill demands.  </w:t>
            </w:r>
          </w:p>
          <w:p w14:paraId="6E6BBE66" w14:textId="77777777" w:rsidR="00C959C4" w:rsidRPr="00C4084C" w:rsidRDefault="00C959C4" w:rsidP="00C35648">
            <w:pPr>
              <w:pStyle w:val="Boxtext0"/>
            </w:pPr>
            <w:r w:rsidRPr="00C4084C">
              <w:t xml:space="preserve">The report underscores the significance of investing in education and training programs to develop a competent workforce capable of adjusting to the demands of the digital era. It also calls for </w:t>
            </w:r>
            <w:r w:rsidRPr="00B62D50">
              <w:rPr>
                <w:rFonts w:ascii="Calibri" w:hAnsi="Calibri"/>
              </w:rPr>
              <w:t>collaboration</w:t>
            </w:r>
            <w:r w:rsidRPr="00C4084C">
              <w:t xml:space="preserve"> among the government, </w:t>
            </w:r>
            <w:proofErr w:type="gramStart"/>
            <w:r w:rsidRPr="00C4084C">
              <w:t>industry</w:t>
            </w:r>
            <w:proofErr w:type="gramEnd"/>
            <w:r w:rsidRPr="00C4084C">
              <w:t xml:space="preserve"> and education sectors to ensure the successful implementation of the roadmap and to provide individuals with opportunities to improve their skills.</w:t>
            </w:r>
          </w:p>
          <w:p w14:paraId="36744644" w14:textId="76FA2C68" w:rsidR="00C959C4" w:rsidRPr="00C4084C" w:rsidRDefault="00C959C4" w:rsidP="00C35648">
            <w:pPr>
              <w:pStyle w:val="Boxtext0"/>
              <w:rPr>
                <w:b/>
                <w:sz w:val="24"/>
              </w:rPr>
            </w:pPr>
            <w:r w:rsidRPr="00C4084C">
              <w:t xml:space="preserve">The report pinpoints sectors that will drive job growth in the future, such as renewable energy, </w:t>
            </w:r>
            <w:proofErr w:type="gramStart"/>
            <w:r w:rsidRPr="00C4084C">
              <w:t>healthcare</w:t>
            </w:r>
            <w:proofErr w:type="gramEnd"/>
            <w:r w:rsidRPr="00C4084C">
              <w:t xml:space="preserve"> and digital technology. It stresses the need for targeted interventions in these sectors to bridge skill gaps and create employment opportunities. Additionally, the report emphasises the </w:t>
            </w:r>
            <w:r w:rsidRPr="00C4084C">
              <w:lastRenderedPageBreak/>
              <w:t xml:space="preserve">importance of </w:t>
            </w:r>
            <w:r w:rsidRPr="00B62D50">
              <w:rPr>
                <w:rFonts w:ascii="Calibri" w:hAnsi="Calibri"/>
              </w:rPr>
              <w:t>fostering</w:t>
            </w:r>
            <w:r w:rsidRPr="00C4084C">
              <w:t xml:space="preserve"> inclusivity and diversity in the workforce to ensure equal access to job prospects for all individuals, regardless of their background or social standing. Overall, the report serves as a guide for policymakers and stakeholders in developing a national roadmap that aligns with </w:t>
            </w:r>
            <w:r w:rsidR="000F488E" w:rsidRPr="00C4084C">
              <w:t>supporting the</w:t>
            </w:r>
            <w:r w:rsidR="009957A0" w:rsidRPr="00C4084C">
              <w:t xml:space="preserve"> </w:t>
            </w:r>
            <w:r w:rsidRPr="00C4084C">
              <w:t>job market and equips individuals with the skills needed to excel in the future workplace.</w:t>
            </w:r>
          </w:p>
        </w:tc>
      </w:tr>
    </w:tbl>
    <w:p w14:paraId="407ED486" w14:textId="3CC2B653" w:rsidR="005B3445" w:rsidRPr="00C4084C" w:rsidRDefault="005B3445" w:rsidP="00B62D50">
      <w:r w:rsidRPr="00C4084C">
        <w:lastRenderedPageBreak/>
        <w:t xml:space="preserve">More must be done to ensure </w:t>
      </w:r>
      <w:r w:rsidR="000D7DB8">
        <w:t xml:space="preserve">the </w:t>
      </w:r>
      <w:r w:rsidRPr="00C4084C">
        <w:t>higher education</w:t>
      </w:r>
      <w:r w:rsidR="000D7DB8">
        <w:t xml:space="preserve"> sector</w:t>
      </w:r>
      <w:r w:rsidRPr="00C4084C">
        <w:t xml:space="preserve">, and the tertiary education </w:t>
      </w:r>
      <w:proofErr w:type="gramStart"/>
      <w:r w:rsidRPr="00C4084C">
        <w:t>sector as a whole, have</w:t>
      </w:r>
      <w:proofErr w:type="gramEnd"/>
      <w:r w:rsidRPr="00C4084C">
        <w:t xml:space="preserve"> the capacity and capability to meet the extensive knowledge and workforce skills required. </w:t>
      </w:r>
    </w:p>
    <w:p w14:paraId="2D6C4DAC" w14:textId="207C3F98" w:rsidR="005B3445" w:rsidRPr="00C4084C" w:rsidRDefault="005B3445" w:rsidP="007B0775">
      <w:pPr>
        <w:pStyle w:val="Heading5"/>
      </w:pPr>
      <w:bookmarkStart w:id="320" w:name="_Toc151807270"/>
      <w:r w:rsidRPr="00C4084C">
        <w:t>Advanced gener</w:t>
      </w:r>
      <w:r w:rsidR="643BCBDE" w:rsidRPr="00C4084C">
        <w:t>ic</w:t>
      </w:r>
      <w:r w:rsidRPr="00C4084C">
        <w:t xml:space="preserve"> skills and learning </w:t>
      </w:r>
      <w:proofErr w:type="gramStart"/>
      <w:r w:rsidRPr="00C4084C">
        <w:t>capabilities</w:t>
      </w:r>
      <w:bookmarkEnd w:id="320"/>
      <w:proofErr w:type="gramEnd"/>
      <w:r w:rsidRPr="00C4084C">
        <w:t xml:space="preserve"> </w:t>
      </w:r>
    </w:p>
    <w:p w14:paraId="2EEC77FB" w14:textId="50860BF3" w:rsidR="005B3445" w:rsidRPr="00C4084C" w:rsidRDefault="005B3445" w:rsidP="00B62D50">
      <w:r w:rsidRPr="00C4084C">
        <w:t xml:space="preserve">Throughout the Review, employers and industry raised the need for graduates with advanced, </w:t>
      </w:r>
      <w:r w:rsidR="000B2EDA" w:rsidRPr="00C4084C">
        <w:t>generic</w:t>
      </w:r>
      <w:r w:rsidRPr="00C4084C">
        <w:t xml:space="preserve"> skills and general capabilities.</w:t>
      </w:r>
      <w:r w:rsidRPr="00C4084C">
        <w:rPr>
          <w:rStyle w:val="FootnoteReference"/>
        </w:rPr>
        <w:footnoteReference w:id="123"/>
      </w:r>
      <w:r w:rsidRPr="00C4084C">
        <w:t xml:space="preserve"> Submissions to the Review emphasised this issue and it was a strong, common theme in </w:t>
      </w:r>
      <w:r w:rsidR="000B2EDA" w:rsidRPr="00C4084C">
        <w:t>the Review’s</w:t>
      </w:r>
      <w:r w:rsidRPr="00C4084C">
        <w:t xml:space="preserve"> roundtables and consultations with business and industry leaders.</w:t>
      </w:r>
      <w:r w:rsidR="2C038035" w:rsidRPr="00C4084C">
        <w:t xml:space="preserve"> Research by </w:t>
      </w:r>
      <w:r w:rsidR="0096697E" w:rsidRPr="00C4084C">
        <w:t xml:space="preserve">the National Careers Institute (NCI) and </w:t>
      </w:r>
      <w:r w:rsidR="2C038035" w:rsidRPr="00C4084C">
        <w:t>Jobs and S</w:t>
      </w:r>
      <w:r w:rsidR="0096697E" w:rsidRPr="00C4084C">
        <w:t>kills</w:t>
      </w:r>
      <w:r w:rsidR="2C038035" w:rsidRPr="00C4084C">
        <w:t xml:space="preserve"> Australia</w:t>
      </w:r>
      <w:r w:rsidR="0096697E" w:rsidRPr="00C4084C">
        <w:t xml:space="preserve"> (JSA)</w:t>
      </w:r>
      <w:r w:rsidR="2C038035" w:rsidRPr="00C4084C">
        <w:t xml:space="preserve"> highlights the importance of these skills</w:t>
      </w:r>
      <w:r w:rsidR="4958ADD0" w:rsidRPr="00C4084C">
        <w:t>, showing that 75% of employers</w:t>
      </w:r>
      <w:r w:rsidR="37AF3DA8" w:rsidRPr="00C4084C">
        <w:t xml:space="preserve"> </w:t>
      </w:r>
      <w:r w:rsidR="000D7DB8">
        <w:t xml:space="preserve">consider </w:t>
      </w:r>
      <w:r w:rsidR="007B7740" w:rsidRPr="00C4084C">
        <w:t>people skills</w:t>
      </w:r>
      <w:r w:rsidR="002200EB">
        <w:t xml:space="preserve"> – </w:t>
      </w:r>
      <w:r w:rsidR="003C13EC" w:rsidRPr="00C4084C">
        <w:t>communication skills, ability to work in a team</w:t>
      </w:r>
      <w:r w:rsidR="007B7740" w:rsidRPr="00C4084C">
        <w:t xml:space="preserve"> and demonstrating</w:t>
      </w:r>
      <w:r w:rsidR="003C13EC" w:rsidRPr="00C4084C">
        <w:t xml:space="preserve"> </w:t>
      </w:r>
      <w:r w:rsidR="007B7740" w:rsidRPr="00C4084C">
        <w:t xml:space="preserve">initiative </w:t>
      </w:r>
      <w:r w:rsidR="002200EB">
        <w:t xml:space="preserve">– </w:t>
      </w:r>
      <w:r w:rsidR="007B7740" w:rsidRPr="00C4084C">
        <w:t>to be</w:t>
      </w:r>
      <w:r w:rsidR="37AF3DA8" w:rsidRPr="00C4084C">
        <w:t xml:space="preserve"> at least as important </w:t>
      </w:r>
      <w:r w:rsidR="002200EB">
        <w:t>as</w:t>
      </w:r>
      <w:r w:rsidR="5F0EC9AA" w:rsidRPr="00C4084C">
        <w:t xml:space="preserve"> technical skills.</w:t>
      </w:r>
      <w:r w:rsidRPr="00C4084C">
        <w:rPr>
          <w:rStyle w:val="FootnoteReference"/>
        </w:rPr>
        <w:footnoteReference w:id="124"/>
      </w:r>
    </w:p>
    <w:p w14:paraId="2E5224B3" w14:textId="49919288" w:rsidR="005B3445" w:rsidRPr="00C4084C" w:rsidRDefault="005B3445" w:rsidP="00B62D50">
      <w:pPr>
        <w:rPr>
          <w:rFonts w:cstheme="minorHAnsi"/>
        </w:rPr>
      </w:pPr>
      <w:r w:rsidRPr="00C4084C">
        <w:t xml:space="preserve">Occupations intensive in </w:t>
      </w:r>
      <w:r w:rsidR="000B2EDA" w:rsidRPr="00C4084C">
        <w:t xml:space="preserve">generic </w:t>
      </w:r>
      <w:r w:rsidR="004E6E16" w:rsidRPr="00C4084C">
        <w:t xml:space="preserve">skills </w:t>
      </w:r>
      <w:r w:rsidRPr="00C4084C">
        <w:t>are projected to grow at 2.5 times the rate of jobs in other occupations and are expected to account for two-thirds of all jobs by 2030.</w:t>
      </w:r>
      <w:r w:rsidRPr="00C4084C">
        <w:rPr>
          <w:vertAlign w:val="superscript"/>
        </w:rPr>
        <w:footnoteReference w:id="125"/>
      </w:r>
      <w:r w:rsidRPr="00C4084C">
        <w:t xml:space="preserve"> </w:t>
      </w:r>
      <w:r w:rsidRPr="00C4084C">
        <w:rPr>
          <w:rFonts w:cstheme="minorHAnsi"/>
        </w:rPr>
        <w:t xml:space="preserve">Strong generic skills provide employees with a foundation for learning and adapting to new responsibilities – something which </w:t>
      </w:r>
      <w:r w:rsidR="00E225FB" w:rsidRPr="00C4084C">
        <w:rPr>
          <w:rFonts w:cstheme="minorHAnsi"/>
        </w:rPr>
        <w:t xml:space="preserve">will be </w:t>
      </w:r>
      <w:r w:rsidRPr="00C4084C">
        <w:rPr>
          <w:rFonts w:cstheme="minorHAnsi"/>
        </w:rPr>
        <w:t xml:space="preserve">increasingly important in the coming years. </w:t>
      </w:r>
    </w:p>
    <w:p w14:paraId="2056A7FE" w14:textId="5E15D060" w:rsidR="005B3445" w:rsidRPr="00C4084C" w:rsidRDefault="005B3445" w:rsidP="00B62D50">
      <w:r w:rsidRPr="00C4084C">
        <w:t>J</w:t>
      </w:r>
      <w:r w:rsidR="0D261F02" w:rsidRPr="00C4084C">
        <w:t>SA</w:t>
      </w:r>
      <w:r w:rsidRPr="00C4084C">
        <w:t xml:space="preserve"> notes that in many professions qualified graduates are proving unsuitable for specific roles, in part because they lack these generic skills. </w:t>
      </w:r>
      <w:r w:rsidRPr="00C4084C" w:rsidDel="00D060BB">
        <w:t xml:space="preserve">For example, </w:t>
      </w:r>
      <w:r w:rsidRPr="00C4084C">
        <w:t xml:space="preserve">JSA states that, though more engineering graduates are needed, </w:t>
      </w:r>
      <w:r w:rsidR="00CD23CC" w:rsidRPr="00C4084C">
        <w:t>increasing the number of engineering graduates alone</w:t>
      </w:r>
      <w:r w:rsidRPr="00C4084C">
        <w:t xml:space="preserve"> is unlikely to be effective at addressing skills shortages if the graduates are not better equipped with all the generic skills they need. JSA highlights client relations, project management, data and digital skills, critical thinking, </w:t>
      </w:r>
      <w:proofErr w:type="gramStart"/>
      <w:r w:rsidRPr="00C4084C">
        <w:t>communication</w:t>
      </w:r>
      <w:proofErr w:type="gramEnd"/>
      <w:r w:rsidRPr="00C4084C">
        <w:t xml:space="preserve"> and teamwork as skills graduates lack, contributing to a suitability gap and resulting skills shortages.</w:t>
      </w:r>
      <w:r w:rsidRPr="00C4084C">
        <w:rPr>
          <w:rStyle w:val="FootnoteReference"/>
        </w:rPr>
        <w:footnoteReference w:id="126"/>
      </w:r>
      <w:r w:rsidRPr="00C4084C">
        <w:t xml:space="preserve"> </w:t>
      </w:r>
    </w:p>
    <w:p w14:paraId="37778142" w14:textId="63629003" w:rsidR="005B3445" w:rsidRPr="00C4084C" w:rsidDel="00314881" w:rsidRDefault="005B3445" w:rsidP="00B62D50">
      <w:r w:rsidRPr="00C4084C">
        <w:t xml:space="preserve">Universities are </w:t>
      </w:r>
      <w:r w:rsidR="003225EF" w:rsidRPr="00C4084C">
        <w:t xml:space="preserve">already </w:t>
      </w:r>
      <w:r w:rsidRPr="00C4084C">
        <w:t xml:space="preserve">addressing these generic skills as part of their curricula, and they typically highlight these as key attributes in their graduate outcomes. However, </w:t>
      </w:r>
      <w:proofErr w:type="gramStart"/>
      <w:r w:rsidRPr="00C4084C">
        <w:t>it is clear that universities</w:t>
      </w:r>
      <w:proofErr w:type="gramEnd"/>
      <w:r w:rsidRPr="00C4084C">
        <w:t xml:space="preserve">, industry and business </w:t>
      </w:r>
      <w:r w:rsidR="00117900" w:rsidRPr="00C4084C">
        <w:t xml:space="preserve">must </w:t>
      </w:r>
      <w:r w:rsidRPr="00C4084C">
        <w:t xml:space="preserve">do more to help students develop these skills.  </w:t>
      </w:r>
    </w:p>
    <w:p w14:paraId="3EBBCA76" w14:textId="117D4FA1" w:rsidR="00BF5CFE" w:rsidRPr="00C4084C" w:rsidRDefault="005B3445" w:rsidP="00285443">
      <w:r w:rsidRPr="00C4084C">
        <w:t>Equipping students with the well-rounded skillset they need for their future careers requires a</w:t>
      </w:r>
      <w:r w:rsidR="00CD23CC" w:rsidRPr="00C4084C">
        <w:t xml:space="preserve">n </w:t>
      </w:r>
      <w:r w:rsidRPr="00C4084C">
        <w:t xml:space="preserve">approach that includes skills-integrated curriculum design, industry partnerships, work-integrated learning, and continuous improvements to course delivery. Universities must ensure that university curricula reflect professional requirements, and that the university teaching workforce is suitably trained and knowledgeable in current industry practices. </w:t>
      </w:r>
    </w:p>
    <w:tbl>
      <w:tblPr>
        <w:tblW w:w="9360" w:type="dxa"/>
        <w:shd w:val="clear" w:color="auto" w:fill="E5EAF2"/>
        <w:tblLook w:val="04A0" w:firstRow="1" w:lastRow="0" w:firstColumn="1" w:lastColumn="0" w:noHBand="0" w:noVBand="1"/>
      </w:tblPr>
      <w:tblGrid>
        <w:gridCol w:w="9360"/>
      </w:tblGrid>
      <w:tr w:rsidR="00BF5CFE" w:rsidRPr="00C4084C" w14:paraId="181A1DE7" w14:textId="77777777" w:rsidTr="00D26B82">
        <w:tc>
          <w:tcPr>
            <w:tcW w:w="0" w:type="auto"/>
            <w:shd w:val="clear" w:color="auto" w:fill="B0C3DB"/>
          </w:tcPr>
          <w:p w14:paraId="5CF1A4EB" w14:textId="0F649880" w:rsidR="00B00569" w:rsidRPr="00B00569" w:rsidRDefault="0080264E" w:rsidP="003E5969">
            <w:pPr>
              <w:pStyle w:val="Findinginchapterheading"/>
              <w:rPr>
                <w:szCs w:val="24"/>
              </w:rPr>
            </w:pPr>
            <w:r w:rsidRPr="003E5969">
              <w:rPr>
                <w:rFonts w:ascii="Calibri" w:eastAsia="Yu Gothic Light" w:hAnsi="Calibri" w:cs="Calibri"/>
                <w:szCs w:val="24"/>
              </w:rPr>
              <w:lastRenderedPageBreak/>
              <w:t>Finding</w:t>
            </w:r>
            <w:r w:rsidR="00B00569">
              <w:rPr>
                <w:szCs w:val="24"/>
              </w:rPr>
              <w:t xml:space="preserve">: </w:t>
            </w:r>
            <w:r w:rsidR="00BF5CFE" w:rsidRPr="00C4084C">
              <w:t>Generic skills</w:t>
            </w:r>
          </w:p>
          <w:p w14:paraId="4552E4A3" w14:textId="793AB9AA" w:rsidR="00BF5CFE" w:rsidRPr="00C4084C" w:rsidRDefault="00BF5CFE" w:rsidP="003E5969">
            <w:pPr>
              <w:pStyle w:val="Boxtext0"/>
              <w:spacing w:before="0"/>
            </w:pPr>
            <w:r w:rsidRPr="00C4084C">
              <w:t xml:space="preserve">Australia’s economy not only needs greater numbers of tertiary educated graduates, </w:t>
            </w:r>
            <w:proofErr w:type="gramStart"/>
            <w:r w:rsidRPr="00C4084C">
              <w:t>these graduates must</w:t>
            </w:r>
            <w:proofErr w:type="gramEnd"/>
            <w:r w:rsidRPr="00C4084C">
              <w:t xml:space="preserve"> have the right mix of skills. In addition to discipline-specific knowledge and technical skills, graduates need the transferable generic skills sought by employers. Australian workers now need to be digitally literate, creative, collaborative, good communicators, and able to solve complex problems. Our tertiary education providers must teach these skills more effectively, together with our school system, </w:t>
            </w:r>
            <w:proofErr w:type="gramStart"/>
            <w:r w:rsidRPr="00C4084C">
              <w:t>employers</w:t>
            </w:r>
            <w:proofErr w:type="gramEnd"/>
            <w:r w:rsidRPr="00C4084C">
              <w:t xml:space="preserve"> and the wider community. </w:t>
            </w:r>
          </w:p>
        </w:tc>
      </w:tr>
    </w:tbl>
    <w:p w14:paraId="45274ABA" w14:textId="76595392" w:rsidR="00C96A8C" w:rsidRPr="00C4084C" w:rsidRDefault="00C96A8C" w:rsidP="00C96A8C">
      <w:pPr>
        <w:pStyle w:val="Heading5"/>
      </w:pPr>
      <w:r w:rsidRPr="00C4084C">
        <w:t xml:space="preserve">Increasing absorptive capacity with innovative curricula and pedagogy informed by leading-edge </w:t>
      </w:r>
      <w:proofErr w:type="gramStart"/>
      <w:r w:rsidRPr="00C4084C">
        <w:t>knowledge</w:t>
      </w:r>
      <w:proofErr w:type="gramEnd"/>
    </w:p>
    <w:p w14:paraId="0F6A9DA9" w14:textId="4B8D9469" w:rsidR="00C96A8C" w:rsidRPr="00C4084C" w:rsidRDefault="00C96A8C" w:rsidP="00B62D50">
      <w:pPr>
        <w:rPr>
          <w:rFonts w:cstheme="minorHAnsi"/>
        </w:rPr>
      </w:pPr>
      <w:r w:rsidRPr="00C4084C">
        <w:t>Revised curricula and teaching methods are needed to meet the future skills needs of a knowledge economy. And advances in pedagogy are required to fulfill the potential of high</w:t>
      </w:r>
      <w:r w:rsidR="006A5783" w:rsidRPr="00C4084C">
        <w:t>-</w:t>
      </w:r>
      <w:r w:rsidRPr="00C4084C">
        <w:t>quality online and hybrid learning modes, as well as deliver teaching which supports more diverse student cohorts.</w:t>
      </w:r>
    </w:p>
    <w:p w14:paraId="082F18F1" w14:textId="42D7C7A6" w:rsidR="00C96A8C" w:rsidRPr="00C4084C" w:rsidRDefault="00C96A8C" w:rsidP="00B62D50">
      <w:pPr>
        <w:rPr>
          <w:rFonts w:cstheme="minorHAnsi"/>
        </w:rPr>
      </w:pPr>
      <w:r w:rsidRPr="00C4084C">
        <w:t>Curricula must keep pace with rapid developments in the workplace and wider society in areas such as climate change, artificial intelligence, and the evolving international landscape. The Productivity Commission has argued that highly skilled employees who have been exposed to the latest research and knowledge, and who have the ability to adopt new ideas, processes and technologies, increase a firm</w:t>
      </w:r>
      <w:r w:rsidR="00025E3A" w:rsidRPr="00C4084C">
        <w:t>’</w:t>
      </w:r>
      <w:r w:rsidRPr="00C4084C">
        <w:t xml:space="preserve">s </w:t>
      </w:r>
      <w:r w:rsidR="00493FD2" w:rsidRPr="00C4084C">
        <w:t>“</w:t>
      </w:r>
      <w:r w:rsidRPr="00C4084C">
        <w:rPr>
          <w:i/>
        </w:rPr>
        <w:t>absorptive capacity</w:t>
      </w:r>
      <w:r w:rsidR="00553AD0">
        <w:rPr>
          <w:i/>
        </w:rPr>
        <w:t>”</w:t>
      </w:r>
      <w:r w:rsidRPr="00C4084C">
        <w:rPr>
          <w:i/>
          <w:iCs/>
        </w:rPr>
        <w:t>,</w:t>
      </w:r>
      <w:r w:rsidRPr="00C4084C">
        <w:t xml:space="preserve"> that is, a firm’s ability to learn from and capitalise on the innovation and research of others</w:t>
      </w:r>
      <w:r w:rsidR="00493FD2" w:rsidRPr="00C4084C">
        <w:t>”</w:t>
      </w:r>
      <w:r w:rsidR="00C55099">
        <w:t>.</w:t>
      </w:r>
      <w:r w:rsidRPr="00C4084C">
        <w:rPr>
          <w:rStyle w:val="FootnoteReference"/>
        </w:rPr>
        <w:footnoteReference w:id="127"/>
      </w:r>
      <w:r w:rsidRPr="00C4084C">
        <w:t xml:space="preserve"> Improving absorptive capacity can aid the diffusion of innovation through the economy and boost productivity growth.</w:t>
      </w:r>
    </w:p>
    <w:p w14:paraId="11DC800A" w14:textId="77777777" w:rsidR="00C96A8C" w:rsidRPr="00C4084C" w:rsidRDefault="00C96A8C" w:rsidP="00B62D50">
      <w:pPr>
        <w:rPr>
          <w:rFonts w:cstheme="minorHAnsi"/>
        </w:rPr>
      </w:pPr>
      <w:r w:rsidRPr="00C4084C">
        <w:t xml:space="preserve">This requires staff to have up-to-date industry knowledge and to engage closely with research experts and employers and industry peak bodies. </w:t>
      </w:r>
    </w:p>
    <w:p w14:paraId="5328B2BC" w14:textId="60839774" w:rsidR="00C96A8C" w:rsidRPr="00C4084C" w:rsidRDefault="00C96A8C" w:rsidP="00B62D50">
      <w:r w:rsidRPr="00C4084C">
        <w:t>Universities which engage in both research and teaching are well placed to ensure that curricula embody the latest developments in cutting edge knowledge. This can include students, even at undergraduate level, being taught by academics who are also top researchers in their field. This exposes students to the excitement of new knowledge, provides them with an understanding of the challenges of research, and can inspire the next generation to become part of the future knowledge economy.</w:t>
      </w:r>
    </w:p>
    <w:p w14:paraId="09638D70" w14:textId="3560F014" w:rsidR="005B3445" w:rsidRPr="00C4084C" w:rsidRDefault="005B3445" w:rsidP="00745009">
      <w:pPr>
        <w:pStyle w:val="Heading3"/>
      </w:pPr>
      <w:bookmarkStart w:id="324" w:name="_Toc151999784"/>
      <w:bookmarkStart w:id="325" w:name="_Toc152068535"/>
      <w:bookmarkStart w:id="326" w:name="_Toc151999785"/>
      <w:bookmarkStart w:id="327" w:name="_Toc152068536"/>
      <w:bookmarkStart w:id="328" w:name="_Toc151999786"/>
      <w:bookmarkStart w:id="329" w:name="_Toc152068537"/>
      <w:bookmarkStart w:id="330" w:name="_Toc151999787"/>
      <w:bookmarkStart w:id="331" w:name="_Toc152068538"/>
      <w:bookmarkStart w:id="332" w:name="_Toc149815105"/>
      <w:bookmarkStart w:id="333" w:name="_Toc149815106"/>
      <w:bookmarkStart w:id="334" w:name="_Toc149815107"/>
      <w:bookmarkStart w:id="335" w:name="_Toc149815108"/>
      <w:bookmarkStart w:id="336" w:name="_Toc149815109"/>
      <w:bookmarkStart w:id="337" w:name="_Toc149815110"/>
      <w:bookmarkStart w:id="338" w:name="_Toc149815111"/>
      <w:bookmarkStart w:id="339" w:name="_Toc149815112"/>
      <w:bookmarkStart w:id="340" w:name="_Toc149815113"/>
      <w:bookmarkStart w:id="341" w:name="_Toc149815114"/>
      <w:bookmarkStart w:id="342" w:name="_Toc149815115"/>
      <w:bookmarkStart w:id="343" w:name="_Toc149815116"/>
      <w:bookmarkStart w:id="344" w:name="_Toc149815117"/>
      <w:bookmarkStart w:id="345" w:name="_Toc149815118"/>
      <w:bookmarkStart w:id="346" w:name="_Toc149815119"/>
      <w:bookmarkStart w:id="347" w:name="_Toc149721468"/>
      <w:bookmarkStart w:id="348" w:name="_Toc149394898"/>
      <w:bookmarkStart w:id="349" w:name="_Toc149395031"/>
      <w:bookmarkStart w:id="350" w:name="_Toc149394899"/>
      <w:bookmarkStart w:id="351" w:name="_Toc149395032"/>
      <w:bookmarkStart w:id="352" w:name="_Toc150616314"/>
      <w:bookmarkStart w:id="353" w:name="_Toc150677500"/>
      <w:bookmarkStart w:id="354" w:name="_Toc150616315"/>
      <w:bookmarkStart w:id="355" w:name="_Toc150677501"/>
      <w:bookmarkStart w:id="356" w:name="_Toc150616322"/>
      <w:bookmarkStart w:id="357" w:name="_Toc150677508"/>
      <w:bookmarkStart w:id="358" w:name="_Toc150616323"/>
      <w:bookmarkStart w:id="359" w:name="_Toc150677509"/>
      <w:bookmarkStart w:id="360" w:name="_Toc150616324"/>
      <w:bookmarkStart w:id="361" w:name="_Toc150677510"/>
      <w:bookmarkStart w:id="362" w:name="_Toc150616325"/>
      <w:bookmarkStart w:id="363" w:name="_Toc150677511"/>
      <w:bookmarkStart w:id="364" w:name="_Toc149297919"/>
      <w:bookmarkStart w:id="365" w:name="_Toc149297921"/>
      <w:bookmarkStart w:id="366" w:name="_Toc149297922"/>
      <w:bookmarkStart w:id="367" w:name="_Toc149297923"/>
      <w:bookmarkStart w:id="368" w:name="_Toc149297924"/>
      <w:bookmarkStart w:id="369" w:name="_Toc149297925"/>
      <w:bookmarkStart w:id="370" w:name="_Toc149297926"/>
      <w:bookmarkStart w:id="371" w:name="_Toc149297927"/>
      <w:bookmarkStart w:id="372" w:name="_Toc150616326"/>
      <w:bookmarkStart w:id="373" w:name="_Toc150677512"/>
      <w:bookmarkStart w:id="374" w:name="_Toc150616327"/>
      <w:bookmarkStart w:id="375" w:name="_Toc150677513"/>
      <w:bookmarkStart w:id="376" w:name="_Toc150616328"/>
      <w:bookmarkStart w:id="377" w:name="_Toc150677514"/>
      <w:bookmarkStart w:id="378" w:name="_Toc150616329"/>
      <w:bookmarkStart w:id="379" w:name="_Toc150677515"/>
      <w:bookmarkStart w:id="380" w:name="_Toc150616330"/>
      <w:bookmarkStart w:id="381" w:name="_Toc150677516"/>
      <w:bookmarkStart w:id="382" w:name="_Toc150616331"/>
      <w:bookmarkStart w:id="383" w:name="_Toc150677517"/>
      <w:bookmarkStart w:id="384" w:name="_Toc150616332"/>
      <w:bookmarkStart w:id="385" w:name="_Toc150677518"/>
      <w:bookmarkStart w:id="386" w:name="_Toc150616333"/>
      <w:bookmarkStart w:id="387" w:name="_Toc150677519"/>
      <w:bookmarkStart w:id="388" w:name="_Toc149721471"/>
      <w:bookmarkStart w:id="389" w:name="_Toc149815123"/>
      <w:bookmarkStart w:id="390" w:name="_Toc149394902"/>
      <w:bookmarkStart w:id="391" w:name="_Toc149395035"/>
      <w:bookmarkStart w:id="392" w:name="_Toc149394903"/>
      <w:bookmarkStart w:id="393" w:name="_Toc149395036"/>
      <w:bookmarkStart w:id="394" w:name="_Toc149394904"/>
      <w:bookmarkStart w:id="395" w:name="_Toc149395037"/>
      <w:bookmarkStart w:id="396" w:name="_Toc149394905"/>
      <w:bookmarkStart w:id="397" w:name="_Toc149395038"/>
      <w:bookmarkStart w:id="398" w:name="_Toc149297929"/>
      <w:bookmarkStart w:id="399" w:name="_Toc149394906"/>
      <w:bookmarkStart w:id="400" w:name="_Toc149395039"/>
      <w:bookmarkStart w:id="401" w:name="_Toc148091325"/>
      <w:bookmarkStart w:id="402" w:name="_Toc151807273"/>
      <w:bookmarkStart w:id="403" w:name="_Toc2055355670"/>
      <w:bookmarkStart w:id="404" w:name="_Toc153483016"/>
      <w:bookmarkStart w:id="405" w:name="_Toc159500926"/>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r w:rsidRPr="00C4084C">
        <w:t xml:space="preserve">Mechanisms to support and deliver </w:t>
      </w:r>
      <w:proofErr w:type="gramStart"/>
      <w:r w:rsidRPr="00C4084C">
        <w:t>change</w:t>
      </w:r>
      <w:bookmarkEnd w:id="401"/>
      <w:bookmarkEnd w:id="402"/>
      <w:bookmarkEnd w:id="403"/>
      <w:bookmarkEnd w:id="404"/>
      <w:bookmarkEnd w:id="405"/>
      <w:proofErr w:type="gramEnd"/>
    </w:p>
    <w:p w14:paraId="4B35B277" w14:textId="2651967B" w:rsidR="005B3445" w:rsidRPr="00C4084C" w:rsidRDefault="005B3445" w:rsidP="00B62D50">
      <w:pPr>
        <w:rPr>
          <w:lang w:eastAsia="zh-CN" w:bidi="th-TH"/>
        </w:rPr>
      </w:pPr>
      <w:bookmarkStart w:id="406" w:name="_Toc148091326"/>
      <w:bookmarkStart w:id="407" w:name="_Toc150685898"/>
      <w:r w:rsidRPr="00C4084C">
        <w:rPr>
          <w:lang w:eastAsia="zh-CN" w:bidi="th-TH"/>
        </w:rPr>
        <w:t xml:space="preserve">The necessary transformation required by our economy cannot occur without radically different and </w:t>
      </w:r>
      <w:r w:rsidR="00432CA8" w:rsidRPr="00C4084C">
        <w:rPr>
          <w:lang w:eastAsia="zh-CN" w:bidi="th-TH"/>
        </w:rPr>
        <w:t>improved</w:t>
      </w:r>
      <w:r w:rsidRPr="00C4084C">
        <w:rPr>
          <w:lang w:eastAsia="zh-CN" w:bidi="th-TH"/>
        </w:rPr>
        <w:t xml:space="preserve"> skills supply, brought about by investment, </w:t>
      </w:r>
      <w:proofErr w:type="gramStart"/>
      <w:r w:rsidRPr="00C4084C">
        <w:rPr>
          <w:lang w:eastAsia="zh-CN" w:bidi="th-TH"/>
        </w:rPr>
        <w:t>innovation</w:t>
      </w:r>
      <w:proofErr w:type="gramEnd"/>
      <w:r w:rsidRPr="00C4084C">
        <w:rPr>
          <w:lang w:eastAsia="zh-CN" w:bidi="th-TH"/>
        </w:rPr>
        <w:t xml:space="preserve"> and collaboration across the tertiary </w:t>
      </w:r>
      <w:r w:rsidR="00A5776B" w:rsidRPr="00C4084C">
        <w:rPr>
          <w:lang w:eastAsia="zh-CN" w:bidi="th-TH"/>
        </w:rPr>
        <w:t xml:space="preserve">education </w:t>
      </w:r>
      <w:r w:rsidRPr="00C4084C">
        <w:rPr>
          <w:lang w:eastAsia="zh-CN" w:bidi="th-TH"/>
        </w:rPr>
        <w:t>sector.</w:t>
      </w:r>
    </w:p>
    <w:p w14:paraId="660C6295" w14:textId="028D2DB5" w:rsidR="005B3445" w:rsidRPr="00C4084C" w:rsidRDefault="005B3445" w:rsidP="00B62D50">
      <w:r w:rsidRPr="00C4084C">
        <w:t>There are several barriers to meeting current and future skills</w:t>
      </w:r>
      <w:r w:rsidR="009E2B61" w:rsidRPr="00C4084C">
        <w:t xml:space="preserve"> needs</w:t>
      </w:r>
      <w:r w:rsidRPr="00C4084C">
        <w:t xml:space="preserve">. The current </w:t>
      </w:r>
      <w:r w:rsidR="00DE330C">
        <w:t xml:space="preserve">education </w:t>
      </w:r>
      <w:r w:rsidRPr="00C4084C">
        <w:t>system is not responsive enough to the skill needs of business and industries (see</w:t>
      </w:r>
      <w:r w:rsidR="009A57A7" w:rsidRPr="00C4084C">
        <w:t xml:space="preserve"> </w:t>
      </w:r>
      <w:r w:rsidR="004802C1" w:rsidRPr="00C4084C">
        <w:rPr>
          <w:i/>
          <w:iCs/>
        </w:rPr>
        <w:fldChar w:fldCharType="begin"/>
      </w:r>
      <w:r w:rsidR="004802C1" w:rsidRPr="00C4084C">
        <w:rPr>
          <w:i/>
          <w:iCs/>
        </w:rPr>
        <w:instrText xml:space="preserve"> REF _Ref152700656 \r \h  \* MERGEFORMAT </w:instrText>
      </w:r>
      <w:r w:rsidR="004802C1" w:rsidRPr="00C4084C">
        <w:rPr>
          <w:i/>
          <w:iCs/>
        </w:rPr>
      </w:r>
      <w:r w:rsidR="004802C1" w:rsidRPr="00C4084C">
        <w:rPr>
          <w:i/>
          <w:iCs/>
        </w:rPr>
        <w:fldChar w:fldCharType="separate"/>
      </w:r>
      <w:r w:rsidR="00467B4F">
        <w:rPr>
          <w:i/>
          <w:iCs/>
        </w:rPr>
        <w:t xml:space="preserve">Chapter 4 – </w:t>
      </w:r>
      <w:r w:rsidR="004802C1" w:rsidRPr="00C4084C">
        <w:rPr>
          <w:i/>
          <w:iCs/>
        </w:rPr>
        <w:fldChar w:fldCharType="end"/>
      </w:r>
      <w:r w:rsidR="004802C1" w:rsidRPr="00C4084C">
        <w:rPr>
          <w:i/>
          <w:iCs/>
        </w:rPr>
        <w:fldChar w:fldCharType="begin"/>
      </w:r>
      <w:r w:rsidR="004802C1" w:rsidRPr="00C4084C">
        <w:rPr>
          <w:i/>
          <w:iCs/>
        </w:rPr>
        <w:instrText xml:space="preserve"> REF _Ref152700656 \h  \* MERGEFORMAT </w:instrText>
      </w:r>
      <w:r w:rsidR="004802C1" w:rsidRPr="00C4084C">
        <w:rPr>
          <w:i/>
          <w:iCs/>
        </w:rPr>
      </w:r>
      <w:r w:rsidR="004802C1" w:rsidRPr="00C4084C">
        <w:rPr>
          <w:i/>
          <w:iCs/>
        </w:rPr>
        <w:fldChar w:fldCharType="separate"/>
      </w:r>
      <w:r w:rsidR="00467B4F" w:rsidRPr="00467B4F">
        <w:rPr>
          <w:i/>
          <w:iCs/>
        </w:rPr>
        <w:t>Delivering for students</w:t>
      </w:r>
      <w:r w:rsidR="004802C1" w:rsidRPr="00C4084C">
        <w:rPr>
          <w:i/>
          <w:iCs/>
        </w:rPr>
        <w:fldChar w:fldCharType="end"/>
      </w:r>
      <w:r w:rsidRPr="00C4084C">
        <w:t>)</w:t>
      </w:r>
      <w:r w:rsidRPr="00C4084C">
        <w:rPr>
          <w:i/>
          <w:iCs/>
        </w:rPr>
        <w:t xml:space="preserve"> </w:t>
      </w:r>
      <w:r w:rsidRPr="00C4084C">
        <w:t>and we are not adequately preparing students for transition into further education, or providing sufficient supports to them when they are studying (see</w:t>
      </w:r>
      <w:r w:rsidR="009A57A7" w:rsidRPr="00C4084C">
        <w:rPr>
          <w:i/>
          <w:iCs/>
        </w:rPr>
        <w:t xml:space="preserve"> </w:t>
      </w:r>
      <w:r w:rsidR="009A57A7" w:rsidRPr="00C4084C">
        <w:rPr>
          <w:i/>
          <w:iCs/>
        </w:rPr>
        <w:fldChar w:fldCharType="begin"/>
      </w:r>
      <w:r w:rsidR="009A57A7" w:rsidRPr="00C4084C">
        <w:instrText xml:space="preserve"> REF _Ref151934425 \r \h  \* MERGEFORMAT </w:instrText>
      </w:r>
      <w:r w:rsidR="009A57A7" w:rsidRPr="00C4084C">
        <w:rPr>
          <w:i/>
          <w:iCs/>
        </w:rPr>
      </w:r>
      <w:r w:rsidR="009A57A7" w:rsidRPr="00C4084C">
        <w:rPr>
          <w:i/>
          <w:iCs/>
        </w:rPr>
        <w:fldChar w:fldCharType="separate"/>
      </w:r>
      <w:r w:rsidR="00467B4F" w:rsidRPr="00467B4F">
        <w:rPr>
          <w:i/>
          <w:iCs/>
        </w:rPr>
        <w:t xml:space="preserve">Chapter 3 – </w:t>
      </w:r>
      <w:r w:rsidR="009A57A7" w:rsidRPr="00C4084C">
        <w:rPr>
          <w:i/>
          <w:iCs/>
        </w:rPr>
        <w:fldChar w:fldCharType="end"/>
      </w:r>
      <w:r w:rsidR="003621A7" w:rsidRPr="00C4084C">
        <w:rPr>
          <w:i/>
          <w:iCs/>
        </w:rPr>
        <w:fldChar w:fldCharType="begin"/>
      </w:r>
      <w:r w:rsidR="003621A7" w:rsidRPr="00C4084C">
        <w:rPr>
          <w:i/>
          <w:iCs/>
        </w:rPr>
        <w:instrText xml:space="preserve"> REF _Ref151934425 \h  \* MERGEFORMAT </w:instrText>
      </w:r>
      <w:r w:rsidR="003621A7" w:rsidRPr="00C4084C">
        <w:rPr>
          <w:i/>
          <w:iCs/>
        </w:rPr>
      </w:r>
      <w:r w:rsidR="003621A7" w:rsidRPr="00C4084C">
        <w:rPr>
          <w:i/>
          <w:iCs/>
        </w:rPr>
        <w:fldChar w:fldCharType="separate"/>
      </w:r>
      <w:r w:rsidR="00467B4F" w:rsidRPr="00467B4F">
        <w:rPr>
          <w:i/>
          <w:iCs/>
        </w:rPr>
        <w:t>Expanding opportunity to all</w:t>
      </w:r>
      <w:r w:rsidR="003621A7" w:rsidRPr="00C4084C">
        <w:rPr>
          <w:i/>
          <w:iCs/>
        </w:rPr>
        <w:fldChar w:fldCharType="end"/>
      </w:r>
      <w:r w:rsidRPr="00C4084C">
        <w:t xml:space="preserve">). </w:t>
      </w:r>
    </w:p>
    <w:p w14:paraId="042EE8CA" w14:textId="77777777" w:rsidR="005B3445" w:rsidRPr="00C4084C" w:rsidRDefault="005B3445" w:rsidP="00B62D50">
      <w:r w:rsidRPr="00C4084C">
        <w:t>The roadblocks in the system include:</w:t>
      </w:r>
    </w:p>
    <w:p w14:paraId="16A54E20" w14:textId="5EF03026" w:rsidR="005B3445" w:rsidRPr="00C4084C" w:rsidRDefault="005B3445" w:rsidP="00A70C28">
      <w:pPr>
        <w:pStyle w:val="ListBullet"/>
      </w:pPr>
      <w:r w:rsidRPr="00C4084C">
        <w:t xml:space="preserve">structural barriers to lifelong learning and capacity to upskill including rigidity of the </w:t>
      </w:r>
      <w:r w:rsidR="00CD23CC" w:rsidRPr="00C4084C">
        <w:t>Australian Qualifications Framework (</w:t>
      </w:r>
      <w:r w:rsidRPr="00C4084C">
        <w:t>AQF</w:t>
      </w:r>
      <w:r w:rsidR="00CD23CC" w:rsidRPr="00C4084C">
        <w:t>)</w:t>
      </w:r>
      <w:r w:rsidRPr="00C4084C">
        <w:t xml:space="preserve">, lack of credit recognition for vocational skills, and lack of support for students to gain higher level tertiary </w:t>
      </w:r>
      <w:proofErr w:type="gramStart"/>
      <w:r w:rsidRPr="00C4084C">
        <w:t>qualifications</w:t>
      </w:r>
      <w:proofErr w:type="gramEnd"/>
      <w:r w:rsidRPr="00C4084C">
        <w:t xml:space="preserve"> </w:t>
      </w:r>
    </w:p>
    <w:p w14:paraId="5EB2D2B4" w14:textId="029182F7" w:rsidR="005B3445" w:rsidRPr="00C4084C" w:rsidRDefault="005B3445" w:rsidP="00A70C28">
      <w:pPr>
        <w:pStyle w:val="ListBullet"/>
      </w:pPr>
      <w:r w:rsidRPr="00C4084C">
        <w:lastRenderedPageBreak/>
        <w:t xml:space="preserve">lack of access </w:t>
      </w:r>
      <w:r w:rsidR="006E0365" w:rsidRPr="00C4084C">
        <w:t>for enough student</w:t>
      </w:r>
      <w:r w:rsidR="00447282" w:rsidRPr="00C4084C">
        <w:t xml:space="preserve">s </w:t>
      </w:r>
      <w:r w:rsidRPr="00C4084C">
        <w:t>to high</w:t>
      </w:r>
      <w:r w:rsidR="006A5783" w:rsidRPr="00C4084C">
        <w:t>-</w:t>
      </w:r>
      <w:r w:rsidRPr="00C4084C">
        <w:t xml:space="preserve">quality </w:t>
      </w:r>
      <w:r w:rsidR="00CD23CC" w:rsidRPr="00C4084C">
        <w:t xml:space="preserve">work-integrated learning (WIL) </w:t>
      </w:r>
      <w:r w:rsidRPr="00C4084C">
        <w:t>opportunities, particularly for students from low SES backgrounds and in regional areas</w:t>
      </w:r>
    </w:p>
    <w:p w14:paraId="2D437765" w14:textId="09758ABF" w:rsidR="00912348" w:rsidRPr="00C4084C" w:rsidRDefault="00912348" w:rsidP="00912348">
      <w:pPr>
        <w:pStyle w:val="ListBullet"/>
      </w:pPr>
      <w:r w:rsidRPr="00C4084C">
        <w:t>lack of access to careers advice and relevant work (including appropriate work experience or part</w:t>
      </w:r>
      <w:r w:rsidR="00176F92" w:rsidRPr="00C4084C">
        <w:t>-time</w:t>
      </w:r>
      <w:r w:rsidRPr="00C4084C">
        <w:t xml:space="preserve"> work while studying)</w:t>
      </w:r>
    </w:p>
    <w:p w14:paraId="0D4A1C42" w14:textId="4A17AFC2" w:rsidR="005B3445" w:rsidRPr="00C4084C" w:rsidRDefault="005B3445" w:rsidP="00A70C28">
      <w:pPr>
        <w:pStyle w:val="ListBullet"/>
      </w:pPr>
      <w:r w:rsidRPr="00C4084C">
        <w:t>highly specialised and inflexible accreditation requirements for professional qualifications that operate as barriers to entry</w:t>
      </w:r>
      <w:r w:rsidR="00447282" w:rsidRPr="00C4084C">
        <w:t xml:space="preserve"> including:</w:t>
      </w:r>
    </w:p>
    <w:p w14:paraId="6F2AD3C9" w14:textId="020244A4" w:rsidR="005B3445" w:rsidRPr="00C4084C" w:rsidRDefault="005B3445" w:rsidP="00B62D50">
      <w:pPr>
        <w:pStyle w:val="ListBullet2"/>
        <w:spacing w:before="0" w:beforeAutospacing="0"/>
        <w:rPr>
          <w:rFonts w:cstheme="minorHAnsi"/>
        </w:rPr>
      </w:pPr>
      <w:r w:rsidRPr="00C4084C">
        <w:t xml:space="preserve">mandatory work placement requirements in professional courses which, given that most placements are unpaid and full time, </w:t>
      </w:r>
      <w:r w:rsidR="00912348" w:rsidRPr="00C4084C">
        <w:t>can</w:t>
      </w:r>
      <w:r w:rsidRPr="00C4084C">
        <w:t xml:space="preserve"> leave students unable to support themselves while undertaking </w:t>
      </w:r>
      <w:proofErr w:type="gramStart"/>
      <w:r w:rsidRPr="00C4084C">
        <w:t>placement</w:t>
      </w:r>
      <w:proofErr w:type="gramEnd"/>
    </w:p>
    <w:p w14:paraId="109C766C" w14:textId="10AF360A" w:rsidR="00850812" w:rsidRPr="00C4084C" w:rsidRDefault="00850812" w:rsidP="00B62D50">
      <w:pPr>
        <w:pStyle w:val="ListBullet2"/>
        <w:rPr>
          <w:rFonts w:cstheme="minorHAnsi"/>
        </w:rPr>
      </w:pPr>
      <w:r w:rsidRPr="00C4084C">
        <w:t>onerous requirements for placement length that limits numbers of placements available per year in critical industries</w:t>
      </w:r>
      <w:r w:rsidR="00585FB6">
        <w:t>.</w:t>
      </w:r>
    </w:p>
    <w:p w14:paraId="3036D31E" w14:textId="08A2E72E" w:rsidR="005B3445" w:rsidRPr="00C4084C" w:rsidRDefault="005B3445" w:rsidP="005E6F99">
      <w:r w:rsidRPr="00C4084C">
        <w:t xml:space="preserve">Many of these challenges particularly affect </w:t>
      </w:r>
      <w:r w:rsidR="00D7545F" w:rsidRPr="00C4084C">
        <w:t>under-represented</w:t>
      </w:r>
      <w:r w:rsidRPr="00C4084C">
        <w:t xml:space="preserve"> groups, including First Nations, low SES, regional, </w:t>
      </w:r>
      <w:proofErr w:type="gramStart"/>
      <w:r w:rsidRPr="00C4084C">
        <w:t>rural</w:t>
      </w:r>
      <w:proofErr w:type="gramEnd"/>
      <w:r w:rsidRPr="00C4084C">
        <w:t xml:space="preserve"> and remote, and people with disability. These issues are discussed in more detail in</w:t>
      </w:r>
      <w:r w:rsidR="009A57A7" w:rsidRPr="00C4084C">
        <w:t xml:space="preserve"> </w:t>
      </w:r>
      <w:r w:rsidR="009A57A7" w:rsidRPr="00C4084C">
        <w:rPr>
          <w:i/>
        </w:rPr>
        <w:fldChar w:fldCharType="begin"/>
      </w:r>
      <w:r w:rsidR="009A57A7" w:rsidRPr="00C4084C">
        <w:instrText xml:space="preserve"> REF _Ref151934425 \r \h </w:instrText>
      </w:r>
      <w:r w:rsidR="00A70C28" w:rsidRPr="00C4084C">
        <w:instrText xml:space="preserve"> \* MERGEFORMAT </w:instrText>
      </w:r>
      <w:r w:rsidR="009A57A7" w:rsidRPr="00C4084C">
        <w:rPr>
          <w:i/>
        </w:rPr>
      </w:r>
      <w:r w:rsidR="009A57A7" w:rsidRPr="00C4084C">
        <w:rPr>
          <w:i/>
        </w:rPr>
        <w:fldChar w:fldCharType="separate"/>
      </w:r>
      <w:r w:rsidR="00467B4F" w:rsidRPr="00467B4F">
        <w:rPr>
          <w:i/>
          <w:iCs/>
        </w:rPr>
        <w:t>Chapter 3</w:t>
      </w:r>
      <w:r w:rsidR="00467B4F">
        <w:t xml:space="preserve"> – </w:t>
      </w:r>
      <w:r w:rsidR="009A57A7" w:rsidRPr="00C4084C">
        <w:rPr>
          <w:i/>
        </w:rPr>
        <w:fldChar w:fldCharType="end"/>
      </w:r>
      <w:r w:rsidR="004802C1" w:rsidRPr="00C4084C">
        <w:rPr>
          <w:i/>
        </w:rPr>
        <w:fldChar w:fldCharType="begin"/>
      </w:r>
      <w:r w:rsidR="004802C1" w:rsidRPr="00C4084C">
        <w:rPr>
          <w:i/>
        </w:rPr>
        <w:instrText xml:space="preserve"> REF _Ref151934425 \h  \* MERGEFORMAT </w:instrText>
      </w:r>
      <w:r w:rsidR="004802C1" w:rsidRPr="00C4084C">
        <w:rPr>
          <w:i/>
        </w:rPr>
      </w:r>
      <w:r w:rsidR="004802C1" w:rsidRPr="00C4084C">
        <w:rPr>
          <w:i/>
        </w:rPr>
        <w:fldChar w:fldCharType="separate"/>
      </w:r>
      <w:r w:rsidR="00467B4F" w:rsidRPr="00467B4F">
        <w:rPr>
          <w:i/>
        </w:rPr>
        <w:t>Expanding opportunity to all</w:t>
      </w:r>
      <w:r w:rsidR="004802C1" w:rsidRPr="00C4084C">
        <w:rPr>
          <w:i/>
        </w:rPr>
        <w:fldChar w:fldCharType="end"/>
      </w:r>
      <w:r w:rsidR="004802C1" w:rsidRPr="00C4084C">
        <w:t>.</w:t>
      </w:r>
    </w:p>
    <w:p w14:paraId="424DF912" w14:textId="77777777" w:rsidR="005B3445" w:rsidRPr="00C4084C" w:rsidRDefault="005B3445" w:rsidP="00BA6095">
      <w:pPr>
        <w:pStyle w:val="Heading4"/>
      </w:pPr>
      <w:bookmarkStart w:id="408" w:name="_Toc150686070"/>
      <w:bookmarkStart w:id="409" w:name="_Toc150857863"/>
      <w:bookmarkStart w:id="410" w:name="_Toc150686071"/>
      <w:bookmarkStart w:id="411" w:name="_Toc150857864"/>
      <w:bookmarkStart w:id="412" w:name="_Toc150686072"/>
      <w:bookmarkStart w:id="413" w:name="_Toc150857865"/>
      <w:bookmarkStart w:id="414" w:name="_Toc150686073"/>
      <w:bookmarkStart w:id="415" w:name="_Toc150857866"/>
      <w:bookmarkStart w:id="416" w:name="_Toc150686074"/>
      <w:bookmarkStart w:id="417" w:name="_Toc150857867"/>
      <w:bookmarkStart w:id="418" w:name="_Toc150686075"/>
      <w:bookmarkStart w:id="419" w:name="_Toc150857868"/>
      <w:bookmarkStart w:id="420" w:name="_Toc150686076"/>
      <w:bookmarkStart w:id="421" w:name="_Toc150857869"/>
      <w:bookmarkStart w:id="422" w:name="_Toc150686077"/>
      <w:bookmarkStart w:id="423" w:name="_Toc150857870"/>
      <w:bookmarkStart w:id="424" w:name="_Toc150686078"/>
      <w:bookmarkStart w:id="425" w:name="_Toc150857871"/>
      <w:bookmarkStart w:id="426" w:name="_Toc150686079"/>
      <w:bookmarkStart w:id="427" w:name="_Toc150857872"/>
      <w:bookmarkStart w:id="428" w:name="_Toc150686080"/>
      <w:bookmarkStart w:id="429" w:name="_Toc150857873"/>
      <w:bookmarkStart w:id="430" w:name="_Toc150686081"/>
      <w:bookmarkStart w:id="431" w:name="_Toc150857874"/>
      <w:bookmarkStart w:id="432" w:name="_Toc150686082"/>
      <w:bookmarkStart w:id="433" w:name="_Toc150857875"/>
      <w:bookmarkStart w:id="434" w:name="_Toc150686083"/>
      <w:bookmarkStart w:id="435" w:name="_Toc150857876"/>
      <w:bookmarkStart w:id="436" w:name="_Toc150686084"/>
      <w:bookmarkStart w:id="437" w:name="_Toc150857877"/>
      <w:bookmarkStart w:id="438" w:name="_Toc150677523"/>
      <w:bookmarkStart w:id="439" w:name="_Toc150677524"/>
      <w:bookmarkStart w:id="440" w:name="_Toc151807274"/>
      <w:bookmarkStart w:id="441" w:name="_Toc345273637"/>
      <w:bookmarkStart w:id="442" w:name="_Toc153483017"/>
      <w:bookmarkStart w:id="443" w:name="_Toc159500927"/>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Pr="00C4084C">
        <w:t xml:space="preserve">A more flexible, </w:t>
      </w:r>
      <w:proofErr w:type="gramStart"/>
      <w:r w:rsidRPr="00C4084C">
        <w:t>efficient</w:t>
      </w:r>
      <w:proofErr w:type="gramEnd"/>
      <w:r w:rsidRPr="00C4084C">
        <w:t xml:space="preserve"> and responsive skills system</w:t>
      </w:r>
      <w:bookmarkEnd w:id="440"/>
      <w:bookmarkEnd w:id="441"/>
      <w:bookmarkEnd w:id="442"/>
      <w:bookmarkEnd w:id="443"/>
      <w:r w:rsidRPr="00C4084C">
        <w:t xml:space="preserve"> </w:t>
      </w:r>
    </w:p>
    <w:p w14:paraId="4458F2D8" w14:textId="4A2907FF" w:rsidR="005B3445" w:rsidRPr="00C4084C" w:rsidRDefault="005B3445" w:rsidP="005E6F99">
      <w:pPr>
        <w:rPr>
          <w:rFonts w:eastAsia="Arial"/>
        </w:rPr>
      </w:pPr>
      <w:r w:rsidRPr="00C4084C">
        <w:t xml:space="preserve">Achieving an uplift in attainment and skills acquisition requires </w:t>
      </w:r>
      <w:r w:rsidR="00FF61A2" w:rsidRPr="00C4084C">
        <w:t>tertiary</w:t>
      </w:r>
      <w:r w:rsidRPr="00C4084C">
        <w:t xml:space="preserve"> education</w:t>
      </w:r>
      <w:r w:rsidRPr="00C4084C" w:rsidDel="00CD23CC">
        <w:t xml:space="preserve"> </w:t>
      </w:r>
      <w:r w:rsidR="00CD23CC" w:rsidRPr="00C4084C">
        <w:t xml:space="preserve">providers </w:t>
      </w:r>
      <w:r w:rsidRPr="00C4084C">
        <w:t xml:space="preserve">to be more responsive to changing and emerging skills needs. </w:t>
      </w:r>
      <w:r w:rsidRPr="00C4084C">
        <w:rPr>
          <w:rFonts w:eastAsia="Arial"/>
        </w:rPr>
        <w:t>According to the World Economic Forum in 2018,</w:t>
      </w:r>
      <w:r w:rsidRPr="00C4084C">
        <w:t xml:space="preserve"> </w:t>
      </w:r>
      <w:r w:rsidRPr="00C4084C">
        <w:rPr>
          <w:rFonts w:eastAsia="Arial"/>
        </w:rPr>
        <w:t>Australia ranked 6</w:t>
      </w:r>
      <w:r w:rsidRPr="00C4084C">
        <w:rPr>
          <w:rFonts w:eastAsia="Arial"/>
          <w:vertAlign w:val="superscript"/>
        </w:rPr>
        <w:t>th</w:t>
      </w:r>
      <w:r w:rsidRPr="00C4084C">
        <w:rPr>
          <w:rFonts w:eastAsia="Arial"/>
        </w:rPr>
        <w:t xml:space="preserve"> for attainment of tertiary education</w:t>
      </w:r>
      <w:r w:rsidRPr="00C4084C" w:rsidDel="006240D1">
        <w:rPr>
          <w:rFonts w:eastAsia="Arial"/>
        </w:rPr>
        <w:t xml:space="preserve">, </w:t>
      </w:r>
      <w:r w:rsidRPr="00C4084C">
        <w:rPr>
          <w:rFonts w:eastAsia="Arial"/>
        </w:rPr>
        <w:t>but</w:t>
      </w:r>
      <w:r w:rsidRPr="00C4084C" w:rsidDel="006240D1">
        <w:rPr>
          <w:rFonts w:eastAsia="Arial"/>
        </w:rPr>
        <w:t xml:space="preserve"> </w:t>
      </w:r>
      <w:r w:rsidRPr="00C4084C">
        <w:rPr>
          <w:rFonts w:eastAsia="Arial"/>
        </w:rPr>
        <w:t>10</w:t>
      </w:r>
      <w:r w:rsidRPr="00C4084C">
        <w:rPr>
          <w:rFonts w:eastAsia="Arial"/>
          <w:vertAlign w:val="superscript"/>
        </w:rPr>
        <w:t>th</w:t>
      </w:r>
      <w:r w:rsidRPr="00C4084C">
        <w:rPr>
          <w:rFonts w:eastAsia="Arial"/>
        </w:rPr>
        <w:t xml:space="preserve"> for business relevance in tertiary education and 12</w:t>
      </w:r>
      <w:r w:rsidRPr="00C4084C">
        <w:rPr>
          <w:rFonts w:eastAsia="Arial"/>
          <w:vertAlign w:val="superscript"/>
        </w:rPr>
        <w:t>th</w:t>
      </w:r>
      <w:r w:rsidRPr="00C4084C">
        <w:rPr>
          <w:rFonts w:eastAsia="Arial"/>
        </w:rPr>
        <w:t xml:space="preserve"> for the supply of business-relevant skills.</w:t>
      </w:r>
      <w:r w:rsidRPr="00C4084C">
        <w:rPr>
          <w:rStyle w:val="FootnoteReference"/>
          <w:rFonts w:eastAsia="Arial"/>
        </w:rPr>
        <w:footnoteReference w:id="128"/>
      </w:r>
    </w:p>
    <w:tbl>
      <w:tblPr>
        <w:tblW w:w="0" w:type="auto"/>
        <w:shd w:val="clear" w:color="auto" w:fill="D2E8FF" w:themeFill="text2" w:themeFillTint="1A"/>
        <w:tblLook w:val="04A0" w:firstRow="1" w:lastRow="0" w:firstColumn="1" w:lastColumn="0" w:noHBand="0" w:noVBand="1"/>
      </w:tblPr>
      <w:tblGrid>
        <w:gridCol w:w="9356"/>
      </w:tblGrid>
      <w:tr w:rsidR="00264180" w:rsidRPr="00C4084C" w14:paraId="5F3F8F32" w14:textId="77777777" w:rsidTr="00D26B82">
        <w:tc>
          <w:tcPr>
            <w:tcW w:w="9356" w:type="dxa"/>
            <w:shd w:val="clear" w:color="auto" w:fill="D3D4D6"/>
          </w:tcPr>
          <w:p w14:paraId="02380414" w14:textId="77777777" w:rsidR="00264180" w:rsidRPr="002B64BE" w:rsidRDefault="00264180" w:rsidP="005E6F99">
            <w:pPr>
              <w:pStyle w:val="Boxtitlessubheadings"/>
              <w:rPr>
                <w:rStyle w:val="s2"/>
              </w:rPr>
            </w:pPr>
            <w:r w:rsidRPr="00C4084C">
              <w:rPr>
                <w:rStyle w:val="s2"/>
              </w:rPr>
              <w:t>Case study: The clean energy transition</w:t>
            </w:r>
          </w:p>
          <w:p w14:paraId="3A013700" w14:textId="1BCD4551" w:rsidR="00264180" w:rsidRPr="008C67CA" w:rsidRDefault="00264180" w:rsidP="005E6F99">
            <w:pPr>
              <w:pStyle w:val="Boxtext0"/>
              <w:rPr>
                <w:rStyle w:val="s2"/>
              </w:rPr>
            </w:pPr>
            <w:r w:rsidRPr="008C67CA">
              <w:rPr>
                <w:rStyle w:val="s2"/>
              </w:rPr>
              <w:t>Jobs and Skills Australia’s Clean Energy Capacity Study, ‘The Clean Energy Generation’</w:t>
            </w:r>
            <w:r w:rsidR="003072B4" w:rsidRPr="008C67CA">
              <w:rPr>
                <w:rStyle w:val="s2"/>
              </w:rPr>
              <w:t>,</w:t>
            </w:r>
            <w:r w:rsidRPr="008C67CA">
              <w:rPr>
                <w:rStyle w:val="s2"/>
              </w:rPr>
              <w:t xml:space="preserve"> examined the workforce </w:t>
            </w:r>
            <w:r w:rsidRPr="005E6F99">
              <w:t>needs</w:t>
            </w:r>
            <w:r w:rsidRPr="008C67CA">
              <w:rPr>
                <w:rStyle w:val="s2"/>
              </w:rPr>
              <w:t xml:space="preserve"> for Australia’s transition to a clean energy economy. It highlighted that this transformation, which will be </w:t>
            </w:r>
            <w:r w:rsidR="00493FD2" w:rsidRPr="008C67CA">
              <w:rPr>
                <w:rStyle w:val="s2"/>
              </w:rPr>
              <w:t>“</w:t>
            </w:r>
            <w:r w:rsidRPr="008C67CA">
              <w:rPr>
                <w:rStyle w:val="s2"/>
              </w:rPr>
              <w:t>substantial but not unprecedented</w:t>
            </w:r>
            <w:r w:rsidR="00493FD2" w:rsidRPr="008C67CA">
              <w:rPr>
                <w:rStyle w:val="s2"/>
              </w:rPr>
              <w:t>”</w:t>
            </w:r>
            <w:r w:rsidR="003072B4" w:rsidRPr="008C67CA">
              <w:rPr>
                <w:rStyle w:val="s2"/>
              </w:rPr>
              <w:t>,</w:t>
            </w:r>
            <w:r w:rsidRPr="008C67CA">
              <w:rPr>
                <w:rStyle w:val="s2"/>
              </w:rPr>
              <w:t xml:space="preserve"> will require a </w:t>
            </w:r>
            <w:r w:rsidR="00493FD2" w:rsidRPr="008C67CA">
              <w:rPr>
                <w:rStyle w:val="s2"/>
              </w:rPr>
              <w:t>“</w:t>
            </w:r>
            <w:r w:rsidRPr="008C67CA">
              <w:rPr>
                <w:rStyle w:val="s2"/>
              </w:rPr>
              <w:t xml:space="preserve">big contribution from the education and training sector working </w:t>
            </w:r>
            <w:r w:rsidR="0000388F" w:rsidRPr="008C67CA">
              <w:rPr>
                <w:rStyle w:val="s2"/>
              </w:rPr>
              <w:t xml:space="preserve">closely </w:t>
            </w:r>
            <w:r w:rsidRPr="008C67CA">
              <w:rPr>
                <w:rStyle w:val="s2"/>
              </w:rPr>
              <w:t>with industry</w:t>
            </w:r>
            <w:r w:rsidR="00493FD2" w:rsidRPr="008C67CA">
              <w:rPr>
                <w:rStyle w:val="s2"/>
              </w:rPr>
              <w:t>”</w:t>
            </w:r>
            <w:r w:rsidR="00585FB6" w:rsidRPr="008C67CA">
              <w:rPr>
                <w:rStyle w:val="s2"/>
              </w:rPr>
              <w:t>.</w:t>
            </w:r>
            <w:r w:rsidR="00771C58" w:rsidRPr="008C67CA">
              <w:rPr>
                <w:rStyle w:val="FootnoteReference"/>
              </w:rPr>
              <w:footnoteReference w:id="129"/>
            </w:r>
          </w:p>
          <w:p w14:paraId="5BA7DCA2" w14:textId="4B6F96A7" w:rsidR="00264180" w:rsidRPr="005E6F99" w:rsidRDefault="00264180" w:rsidP="005E6F99">
            <w:pPr>
              <w:pStyle w:val="Boxtext0"/>
              <w:rPr>
                <w:rStyle w:val="s2"/>
                <w:b/>
              </w:rPr>
            </w:pPr>
            <w:r w:rsidRPr="008C67CA">
              <w:rPr>
                <w:rStyle w:val="s2"/>
              </w:rPr>
              <w:t>The study identifies the large array of specific skills and occupations, spanning higher education and VET, which this transition will require</w:t>
            </w:r>
            <w:r w:rsidR="00585FB6" w:rsidRPr="008C67CA">
              <w:rPr>
                <w:rStyle w:val="s2"/>
              </w:rPr>
              <w:t>,</w:t>
            </w:r>
            <w:r w:rsidRPr="008C67CA">
              <w:rPr>
                <w:rStyle w:val="s2"/>
              </w:rPr>
              <w:t xml:space="preserve"> including technicians and trades workers like electricians, metal fitters and </w:t>
            </w:r>
            <w:r w:rsidRPr="005E6F99">
              <w:t>mechanics</w:t>
            </w:r>
            <w:r w:rsidRPr="008C67CA">
              <w:rPr>
                <w:rStyle w:val="s2"/>
              </w:rPr>
              <w:t xml:space="preserve"> and highly skilled professionals like engineers, chemists</w:t>
            </w:r>
            <w:r w:rsidR="00F94478" w:rsidRPr="008C67CA">
              <w:rPr>
                <w:rStyle w:val="s2"/>
              </w:rPr>
              <w:t>,</w:t>
            </w:r>
            <w:r w:rsidRPr="00C4084C">
              <w:rPr>
                <w:rStyle w:val="s2"/>
              </w:rPr>
              <w:t xml:space="preserve"> </w:t>
            </w:r>
            <w:proofErr w:type="gramStart"/>
            <w:r w:rsidRPr="008C67CA">
              <w:rPr>
                <w:rStyle w:val="s2"/>
              </w:rPr>
              <w:t>architects</w:t>
            </w:r>
            <w:proofErr w:type="gramEnd"/>
            <w:r w:rsidRPr="008C67CA">
              <w:rPr>
                <w:rStyle w:val="s2"/>
              </w:rPr>
              <w:t xml:space="preserve"> and professional managers. JSA highlights that there is a high</w:t>
            </w:r>
            <w:r w:rsidR="00D55EFC" w:rsidRPr="008C67CA">
              <w:rPr>
                <w:rStyle w:val="s2"/>
              </w:rPr>
              <w:t xml:space="preserve"> </w:t>
            </w:r>
            <w:r w:rsidRPr="008C67CA">
              <w:rPr>
                <w:rStyle w:val="s2"/>
              </w:rPr>
              <w:t xml:space="preserve">risk of experiencing skills shortages in workers to support this transition as well as resultant shortfalls in related industries. However, JSA recognises that many of the skills required already exist within our economy and could be utilised effectively with targeted upskilling and/or reskilling. </w:t>
            </w:r>
          </w:p>
          <w:p w14:paraId="51C81754" w14:textId="4B25D11E" w:rsidR="00264180" w:rsidRPr="005E6F99" w:rsidRDefault="00264180" w:rsidP="005E6F99">
            <w:pPr>
              <w:pStyle w:val="Boxtext0"/>
              <w:rPr>
                <w:rStyle w:val="s2"/>
                <w:b/>
              </w:rPr>
            </w:pPr>
            <w:r w:rsidRPr="008C67CA">
              <w:rPr>
                <w:rStyle w:val="s2"/>
              </w:rPr>
              <w:t xml:space="preserve">This transition provides a </w:t>
            </w:r>
            <w:r w:rsidRPr="005E6F99">
              <w:t>whole</w:t>
            </w:r>
            <w:r w:rsidRPr="008C67CA">
              <w:rPr>
                <w:rStyle w:val="s2"/>
              </w:rPr>
              <w:t xml:space="preserve">-of-sector challenge across curriculum co-design, course delivery models, </w:t>
            </w:r>
            <w:proofErr w:type="gramStart"/>
            <w:r w:rsidRPr="008C67CA">
              <w:rPr>
                <w:rStyle w:val="s2"/>
              </w:rPr>
              <w:t>funding</w:t>
            </w:r>
            <w:proofErr w:type="gramEnd"/>
            <w:r w:rsidRPr="008C67CA">
              <w:rPr>
                <w:rStyle w:val="s2"/>
              </w:rPr>
              <w:t xml:space="preserve"> and workforce integration but</w:t>
            </w:r>
            <w:r w:rsidR="5906A1B3" w:rsidRPr="008C67CA">
              <w:rPr>
                <w:rStyle w:val="s2"/>
              </w:rPr>
              <w:t xml:space="preserve"> </w:t>
            </w:r>
            <w:r w:rsidRPr="008C67CA">
              <w:rPr>
                <w:rStyle w:val="s2"/>
              </w:rPr>
              <w:t>it could establish a successful blueprint for effective cross-sector, industry-partnered delivery</w:t>
            </w:r>
            <w:r w:rsidR="00CA6B71" w:rsidRPr="008C67CA">
              <w:rPr>
                <w:rStyle w:val="s2"/>
              </w:rPr>
              <w:t xml:space="preserve"> if appropriate action is taken</w:t>
            </w:r>
            <w:r w:rsidRPr="008C67CA">
              <w:rPr>
                <w:rStyle w:val="s2"/>
              </w:rPr>
              <w:t xml:space="preserve">. </w:t>
            </w:r>
          </w:p>
          <w:p w14:paraId="57652B6B" w14:textId="2EF5B045" w:rsidR="00264180" w:rsidRPr="00C4084C" w:rsidRDefault="00264180" w:rsidP="005E6F99">
            <w:pPr>
              <w:pStyle w:val="Boxtext0"/>
            </w:pPr>
            <w:r w:rsidRPr="008C67CA">
              <w:rPr>
                <w:rStyle w:val="s2"/>
              </w:rPr>
              <w:t xml:space="preserve">Regional Australia is particularly vulnerable to this mismatch, despite the potential benefits it could gain from </w:t>
            </w:r>
            <w:r w:rsidR="00F471ED" w:rsidRPr="008C67CA">
              <w:rPr>
                <w:rStyle w:val="s2"/>
              </w:rPr>
              <w:t xml:space="preserve">construction </w:t>
            </w:r>
            <w:r w:rsidR="00F471ED" w:rsidRPr="005E6F99">
              <w:t>of</w:t>
            </w:r>
            <w:r w:rsidR="00F471ED" w:rsidRPr="008C67CA">
              <w:rPr>
                <w:rStyle w:val="s2"/>
              </w:rPr>
              <w:t xml:space="preserve"> </w:t>
            </w:r>
            <w:r w:rsidR="00711E09" w:rsidRPr="008C67CA">
              <w:rPr>
                <w:rStyle w:val="s2"/>
              </w:rPr>
              <w:t xml:space="preserve">renewable energy </w:t>
            </w:r>
            <w:r w:rsidR="00F471ED" w:rsidRPr="008C67CA">
              <w:rPr>
                <w:rStyle w:val="s2"/>
              </w:rPr>
              <w:t>infrastructure</w:t>
            </w:r>
            <w:r w:rsidR="00711E09" w:rsidRPr="008C67CA">
              <w:rPr>
                <w:rStyle w:val="s2"/>
              </w:rPr>
              <w:t xml:space="preserve"> in the regions.</w:t>
            </w:r>
          </w:p>
        </w:tc>
      </w:tr>
    </w:tbl>
    <w:p w14:paraId="468155A6" w14:textId="213B2524" w:rsidR="005B3445" w:rsidRPr="00C4084C" w:rsidRDefault="005B3445" w:rsidP="005E6F99">
      <w:r w:rsidRPr="00C4084C">
        <w:t>A</w:t>
      </w:r>
      <w:r w:rsidR="00264180" w:rsidRPr="00C4084C">
        <w:t xml:space="preserve"> </w:t>
      </w:r>
      <w:r w:rsidRPr="00C4084C">
        <w:t>substantial proportion of future skills demand will be in the VET sector. Cohesion between the higher education and VET sectors will be required</w:t>
      </w:r>
      <w:r w:rsidR="00895D3A" w:rsidRPr="00C4084C">
        <w:t xml:space="preserve"> to increase flexibility and access to post-school education</w:t>
      </w:r>
      <w:r w:rsidR="00D4466D" w:rsidRPr="00C4084C">
        <w:t xml:space="preserve"> </w:t>
      </w:r>
      <w:r w:rsidR="00A65538" w:rsidRPr="001E3749">
        <w:t>—</w:t>
      </w:r>
      <w:r w:rsidR="00D4466D" w:rsidRPr="00C4084C">
        <w:t xml:space="preserve"> </w:t>
      </w:r>
      <w:r w:rsidR="00711E09" w:rsidRPr="00C4084C">
        <w:lastRenderedPageBreak/>
        <w:t>f</w:t>
      </w:r>
      <w:r w:rsidR="00FF61A2" w:rsidRPr="00C4084C">
        <w:t>i</w:t>
      </w:r>
      <w:r w:rsidRPr="00C4084C">
        <w:t>rst</w:t>
      </w:r>
      <w:r w:rsidR="00CD23CC" w:rsidRPr="00C4084C">
        <w:t>ly</w:t>
      </w:r>
      <w:r w:rsidRPr="00C4084C">
        <w:t xml:space="preserve">, to bring in the people who are not currently participating in tertiary education and secondly, to provide flexible pathways so those who need to upskill and reskill throughout their careers can navigate between the </w:t>
      </w:r>
      <w:r w:rsidR="00D16150" w:rsidRPr="00C4084C">
        <w:t xml:space="preserve">2 </w:t>
      </w:r>
      <w:r w:rsidRPr="00C4084C">
        <w:t>systems as seamlessly as possible.</w:t>
      </w:r>
    </w:p>
    <w:p w14:paraId="6ABFA4CF" w14:textId="7F456A8C" w:rsidR="005B3445" w:rsidRPr="00C4084C" w:rsidRDefault="005B3445" w:rsidP="005E6F99">
      <w:r w:rsidRPr="00C4084C">
        <w:t>Many emerging and future skills areas are highly specialised</w:t>
      </w:r>
      <w:r w:rsidR="00CD23CC" w:rsidRPr="00C4084C">
        <w:t xml:space="preserve"> or</w:t>
      </w:r>
      <w:r w:rsidRPr="00C4084C">
        <w:t xml:space="preserve"> </w:t>
      </w:r>
      <w:r w:rsidR="00850812" w:rsidRPr="00C4084C">
        <w:t>location</w:t>
      </w:r>
      <w:r w:rsidR="00C371DE" w:rsidRPr="00C4084C">
        <w:t xml:space="preserve"> </w:t>
      </w:r>
      <w:r w:rsidRPr="00C4084C">
        <w:t>specific. Some</w:t>
      </w:r>
      <w:r w:rsidRPr="00C4084C" w:rsidDel="00D37BA2">
        <w:t xml:space="preserve"> </w:t>
      </w:r>
      <w:r w:rsidRPr="00C4084C">
        <w:t>necessitate rapid deployment of</w:t>
      </w:r>
      <w:r w:rsidRPr="00C4084C" w:rsidDel="00D37BA2">
        <w:t xml:space="preserve"> </w:t>
      </w:r>
      <w:r w:rsidRPr="00C4084C">
        <w:t>strategies and resources to meet them. In such cases, responses will be best provided by nearby tertiary education institutions.</w:t>
      </w:r>
      <w:r w:rsidRPr="00C4084C" w:rsidDel="00E30C8A">
        <w:t xml:space="preserve"> </w:t>
      </w:r>
      <w:r w:rsidRPr="00C4084C">
        <w:t xml:space="preserve">This will require new and innovative delivery solutions that bring together the best knowledge and expertise from across local industry, </w:t>
      </w:r>
      <w:proofErr w:type="gramStart"/>
      <w:r w:rsidRPr="00C4084C">
        <w:t>VET</w:t>
      </w:r>
      <w:proofErr w:type="gramEnd"/>
      <w:r w:rsidRPr="00C4084C">
        <w:t xml:space="preserve"> and higher education institutions so the next generation of professionals can attain the required skills.</w:t>
      </w:r>
    </w:p>
    <w:p w14:paraId="55227B6E" w14:textId="67608D0B" w:rsidR="005B3445" w:rsidRPr="00C4084C" w:rsidRDefault="005B3445" w:rsidP="005E6F99">
      <w:r w:rsidRPr="00C4084C">
        <w:t>Not all universities need to focus on</w:t>
      </w:r>
      <w:r w:rsidRPr="00C4084C" w:rsidDel="00E30C8A">
        <w:t xml:space="preserve"> </w:t>
      </w:r>
      <w:r w:rsidRPr="00C4084C">
        <w:t>the nexus between higher education and VET – but there must be enough universities doing this. These may include, but not be limited to, dual</w:t>
      </w:r>
      <w:r w:rsidR="007B6566" w:rsidRPr="00C4084C">
        <w:t xml:space="preserve"> </w:t>
      </w:r>
      <w:r w:rsidRPr="00C4084C">
        <w:t>sector universities, and universities with historically well-developed links to local and regional industry and the vocational sector. The higher education system should foster diversity of institutions and recognise that universities have different comparative advantages in skills provision</w:t>
      </w:r>
      <w:r w:rsidR="00850812" w:rsidRPr="00C4084C">
        <w:t xml:space="preserve"> going all the way to PhDs and professional doctorates</w:t>
      </w:r>
      <w:r w:rsidRPr="00C4084C">
        <w:t>.</w:t>
      </w:r>
    </w:p>
    <w:p w14:paraId="26E609D2" w14:textId="5F4C303C" w:rsidR="005B3445" w:rsidRPr="00C4084C" w:rsidRDefault="005B3445" w:rsidP="005E6F99">
      <w:r w:rsidRPr="00C4084C">
        <w:t>It is important to have the enabling infrastructure that will foster collaboration between providers (higher education and VET)</w:t>
      </w:r>
      <w:r w:rsidR="00850812" w:rsidRPr="00C4084C">
        <w:t>,</w:t>
      </w:r>
      <w:r w:rsidRPr="00C4084C">
        <w:t xml:space="preserve"> industry </w:t>
      </w:r>
      <w:r w:rsidR="00850812" w:rsidRPr="00C4084C">
        <w:t xml:space="preserve">and </w:t>
      </w:r>
      <w:r w:rsidRPr="00C4084C">
        <w:t xml:space="preserve">Jobs and Skills Councils. </w:t>
      </w:r>
      <w:r w:rsidR="00CD23CC" w:rsidRPr="00C4084C">
        <w:t xml:space="preserve">TAFE </w:t>
      </w:r>
      <w:r w:rsidRPr="00C4084C">
        <w:t xml:space="preserve">Centres of Excellence, which were announced as part of the National Skills Agreement, could be useful here, as could the </w:t>
      </w:r>
      <w:r w:rsidR="002E0B29" w:rsidRPr="00C4084C">
        <w:t>Regional</w:t>
      </w:r>
      <w:r w:rsidRPr="00C4084C">
        <w:t xml:space="preserve"> University Study Hubs. They are structures designed to be rapidly responsive to skills needs. </w:t>
      </w:r>
    </w:p>
    <w:p w14:paraId="6213957A" w14:textId="671547E6" w:rsidR="005B3445" w:rsidRPr="00C4084C" w:rsidRDefault="005B3445" w:rsidP="005E6F99">
      <w:r w:rsidRPr="00C4084C">
        <w:t>Australia</w:t>
      </w:r>
      <w:r w:rsidRPr="00C4084C" w:rsidDel="00E55567">
        <w:t xml:space="preserve"> </w:t>
      </w:r>
      <w:r w:rsidRPr="00C4084C">
        <w:t xml:space="preserve">will also need a more efficient and responsive tertiary </w:t>
      </w:r>
      <w:r w:rsidR="00850812" w:rsidRPr="00C4084C">
        <w:t>education</w:t>
      </w:r>
      <w:r w:rsidRPr="00C4084C">
        <w:t xml:space="preserve"> system if it is to address skill needs and expand the benefits of tertiary education to more people. The architecture underpinning the system must include modern regulatory and digital infrastructure, as well as more consistent policy and governance structures that are adopted by all jurisdictions.</w:t>
      </w:r>
    </w:p>
    <w:p w14:paraId="245A6182" w14:textId="77777777" w:rsidR="005B3445" w:rsidRPr="00C4084C" w:rsidRDefault="005B3445" w:rsidP="007B0775">
      <w:pPr>
        <w:pStyle w:val="Heading5"/>
      </w:pPr>
      <w:bookmarkStart w:id="444" w:name="_Toc151807275"/>
      <w:r w:rsidRPr="00C4084C">
        <w:t>Australian Qualifications Framework (AQF) reform</w:t>
      </w:r>
      <w:bookmarkEnd w:id="444"/>
    </w:p>
    <w:p w14:paraId="3A5B7931" w14:textId="2F01FA01" w:rsidR="005B3445" w:rsidRPr="00C4084C" w:rsidRDefault="005B3445" w:rsidP="000C4A2C">
      <w:r w:rsidRPr="00C4084C">
        <w:t xml:space="preserve">The effectiveness and utility of the AQF is arguably more important today than when it was first implemented in 1995. One objective of the AQF is to </w:t>
      </w:r>
      <w:r w:rsidR="00585FB6">
        <w:t>“</w:t>
      </w:r>
      <w:r w:rsidRPr="00C4084C">
        <w:t xml:space="preserve">facilitate pathways to, and through, formal </w:t>
      </w:r>
      <w:r w:rsidR="00585FB6" w:rsidRPr="00C4084C">
        <w:t>qualifications</w:t>
      </w:r>
      <w:r w:rsidR="00585FB6">
        <w:t>”</w:t>
      </w:r>
      <w:r w:rsidR="00585FB6" w:rsidRPr="00C4084C">
        <w:t xml:space="preserve"> </w:t>
      </w:r>
      <w:r w:rsidRPr="00C4084C">
        <w:t>by ensuring qualifications are consistent and comparable and can be articulated between sectors.</w:t>
      </w:r>
      <w:r w:rsidRPr="00C4084C">
        <w:rPr>
          <w:rStyle w:val="FootnoteReference"/>
        </w:rPr>
        <w:footnoteReference w:id="130"/>
      </w:r>
      <w:r w:rsidRPr="00C4084C">
        <w:t xml:space="preserve"> However, submissions to the Review indicate that </w:t>
      </w:r>
      <w:r w:rsidR="008540F7" w:rsidRPr="00C4084C">
        <w:t xml:space="preserve">the current AQF </w:t>
      </w:r>
      <w:r w:rsidRPr="00C4084C">
        <w:t>is widely perceived as inhibiting the</w:t>
      </w:r>
      <w:r w:rsidRPr="00C4084C" w:rsidDel="00E06A04">
        <w:t xml:space="preserve"> </w:t>
      </w:r>
      <w:r w:rsidRPr="00C4084C">
        <w:t xml:space="preserve">future needs of the tertiary </w:t>
      </w:r>
      <w:r w:rsidR="5FD69DB6" w:rsidRPr="00C4084C">
        <w:t xml:space="preserve">education </w:t>
      </w:r>
      <w:r w:rsidRPr="00C4084C">
        <w:t xml:space="preserve">sector and Australia’s workforce, </w:t>
      </w:r>
      <w:proofErr w:type="gramStart"/>
      <w:r w:rsidRPr="00C4084C">
        <w:t>economy</w:t>
      </w:r>
      <w:proofErr w:type="gramEnd"/>
      <w:r w:rsidRPr="00C4084C">
        <w:t xml:space="preserve"> and society.</w:t>
      </w:r>
    </w:p>
    <w:p w14:paraId="624512C8" w14:textId="0D271265" w:rsidR="005B3445" w:rsidRPr="00C4084C" w:rsidRDefault="005B3445" w:rsidP="000C4A2C">
      <w:r w:rsidRPr="00C4084C">
        <w:t xml:space="preserve">The AQF is a national framework that describes the 14 different types of </w:t>
      </w:r>
      <w:r w:rsidR="00066E2D" w:rsidRPr="00C4084C">
        <w:t>regulated</w:t>
      </w:r>
      <w:r w:rsidRPr="00C4084C">
        <w:t xml:space="preserve"> qualifications that can be obtained in Australia, </w:t>
      </w:r>
      <w:r w:rsidR="00066E2D" w:rsidRPr="00C4084C">
        <w:t>across</w:t>
      </w:r>
      <w:r w:rsidRPr="00C4084C">
        <w:t xml:space="preserve"> senior secondary education</w:t>
      </w:r>
      <w:r w:rsidR="00066E2D" w:rsidRPr="00C4084C">
        <w:t xml:space="preserve">, </w:t>
      </w:r>
      <w:proofErr w:type="gramStart"/>
      <w:r w:rsidR="00066E2D" w:rsidRPr="00C4084C">
        <w:t>VET</w:t>
      </w:r>
      <w:proofErr w:type="gramEnd"/>
      <w:r w:rsidRPr="00C4084C">
        <w:t xml:space="preserve"> </w:t>
      </w:r>
      <w:r w:rsidR="00066E2D" w:rsidRPr="00C4084C">
        <w:t>and</w:t>
      </w:r>
      <w:r w:rsidRPr="00C4084C">
        <w:t xml:space="preserve"> higher education. It sets out the essential features of each qualification type, including the knowledge, skills and </w:t>
      </w:r>
      <w:r w:rsidR="00066E2D" w:rsidRPr="00C4084C">
        <w:t>application of knowledge and skills</w:t>
      </w:r>
      <w:r w:rsidRPr="00C4084C">
        <w:t xml:space="preserve"> that learners must demonstrate to achieve the qualification. </w:t>
      </w:r>
    </w:p>
    <w:p w14:paraId="6D1F5A9C" w14:textId="3C74DA09" w:rsidR="005B3445" w:rsidRPr="00C4084C" w:rsidRDefault="005B3445" w:rsidP="000C4A2C">
      <w:r w:rsidRPr="00C4084C">
        <w:t xml:space="preserve">The core goal of </w:t>
      </w:r>
      <w:r w:rsidR="00DF28C3" w:rsidRPr="00C4084C">
        <w:t>national qualifications frameworks more broadly</w:t>
      </w:r>
      <w:r w:rsidRPr="00C4084C">
        <w:t xml:space="preserve"> is to </w:t>
      </w:r>
      <w:r w:rsidR="00791E80">
        <w:t>“</w:t>
      </w:r>
      <w:r w:rsidRPr="00C4084C">
        <w:t xml:space="preserve">establish a basis for improving the quality, accessibility, linkages and public or labour market recognition of qualifications within a country and </w:t>
      </w:r>
      <w:r w:rsidR="00791E80" w:rsidRPr="00C4084C">
        <w:t>internationally</w:t>
      </w:r>
      <w:r w:rsidR="00791E80">
        <w:t>”</w:t>
      </w:r>
      <w:r w:rsidRPr="00C4084C">
        <w:t>.</w:t>
      </w:r>
      <w:r w:rsidRPr="00C4084C">
        <w:rPr>
          <w:rStyle w:val="FootnoteReference"/>
        </w:rPr>
        <w:footnoteReference w:id="131"/>
      </w:r>
      <w:r w:rsidRPr="00C4084C">
        <w:t xml:space="preserve"> </w:t>
      </w:r>
    </w:p>
    <w:p w14:paraId="66E41711" w14:textId="146BBCF3" w:rsidR="005B3445" w:rsidRPr="00C4084C" w:rsidRDefault="005B3445" w:rsidP="000C4A2C">
      <w:r w:rsidRPr="00C4084C">
        <w:t xml:space="preserve">AQF reform is essential if Australia is serious about transitioning to a new truly tertiary education system centred around lifelong learning and attainment of skills alongside knowledge for increasingly diverse learners. The Review recognises the challenges associated with AQF reform and notes there has been little </w:t>
      </w:r>
      <w:r w:rsidRPr="00C4084C">
        <w:lastRenderedPageBreak/>
        <w:t xml:space="preserve">progress towards implementation of the Review of the Australian Qualifications Framework (Noonan Review) in the </w:t>
      </w:r>
      <w:r w:rsidR="00D16150" w:rsidRPr="00C4084C">
        <w:t xml:space="preserve">4 </w:t>
      </w:r>
      <w:r w:rsidRPr="00C4084C">
        <w:t>years since it was released.</w:t>
      </w:r>
      <w:r w:rsidRPr="00C4084C">
        <w:rPr>
          <w:rStyle w:val="FootnoteReference"/>
        </w:rPr>
        <w:footnoteReference w:id="132"/>
      </w:r>
      <w:r w:rsidRPr="00C4084C">
        <w:t xml:space="preserve"> </w:t>
      </w:r>
    </w:p>
    <w:p w14:paraId="5755E5E1" w14:textId="77ED3F0F" w:rsidR="005B3445" w:rsidRPr="00C4084C" w:rsidRDefault="005B3445" w:rsidP="000C4A2C">
      <w:r w:rsidRPr="00C4084C">
        <w:t xml:space="preserve">The Noonan Review found that, while the AQF </w:t>
      </w:r>
      <w:r w:rsidR="00025E3A" w:rsidRPr="00C4084C">
        <w:t>I</w:t>
      </w:r>
      <w:r w:rsidRPr="00C4084C">
        <w:t xml:space="preserve">s a valuable framework, it needs reform to meet the changing needs of learners, </w:t>
      </w:r>
      <w:proofErr w:type="gramStart"/>
      <w:r w:rsidRPr="00C4084C">
        <w:t>employers</w:t>
      </w:r>
      <w:proofErr w:type="gramEnd"/>
      <w:r w:rsidRPr="00C4084C">
        <w:t xml:space="preserve"> and the economy. The extensive body of work that underpinned this review mounted a compelling case for change and outlined a comprehensive set of reforms. The areas covered included supporting a more connected and aligned tertiary </w:t>
      </w:r>
      <w:r w:rsidR="007162DD" w:rsidRPr="00C4084C">
        <w:t xml:space="preserve">education </w:t>
      </w:r>
      <w:r w:rsidRPr="00C4084C">
        <w:t xml:space="preserve">system; increased visibility of skills across the entire AQF; greater parity </w:t>
      </w:r>
      <w:r w:rsidR="008540F7" w:rsidRPr="00C4084C">
        <w:t xml:space="preserve">of esteem </w:t>
      </w:r>
      <w:r w:rsidRPr="00C4084C">
        <w:t xml:space="preserve">between VET and higher education; support for recognition of prior learning; and </w:t>
      </w:r>
      <w:r w:rsidR="00066E2D" w:rsidRPr="00C4084C">
        <w:t>recognition</w:t>
      </w:r>
      <w:r w:rsidRPr="00C4084C">
        <w:t xml:space="preserve"> of </w:t>
      </w:r>
      <w:proofErr w:type="spellStart"/>
      <w:r w:rsidRPr="00C4084C">
        <w:t>microcredentials</w:t>
      </w:r>
      <w:proofErr w:type="spellEnd"/>
      <w:r w:rsidRPr="00C4084C">
        <w:t xml:space="preserve"> – all key concerns for this Review. The Noonan Review forms the foundation of this Review’s recommendations on AQF reform.</w:t>
      </w:r>
    </w:p>
    <w:p w14:paraId="1560C880" w14:textId="5850F870" w:rsidR="005B3445" w:rsidRPr="00C4084C" w:rsidRDefault="005B3445" w:rsidP="000C4A2C">
      <w:r w:rsidRPr="00C4084C">
        <w:t xml:space="preserve">One challenge hindering progress in implementation of the Noonan Review is the absence of a central body that could coordinate implementation of the reform agenda across the higher education and VET sectors, skills </w:t>
      </w:r>
      <w:proofErr w:type="gramStart"/>
      <w:r w:rsidRPr="00C4084C">
        <w:t>needs</w:t>
      </w:r>
      <w:proofErr w:type="gramEnd"/>
      <w:r w:rsidRPr="00C4084C">
        <w:t xml:space="preserve">, migration, </w:t>
      </w:r>
      <w:r w:rsidR="00B85845" w:rsidRPr="00C4084C">
        <w:t>modern</w:t>
      </w:r>
      <w:r w:rsidRPr="00C4084C">
        <w:t xml:space="preserve"> awards, and student payments legislation.</w:t>
      </w:r>
      <w:r w:rsidRPr="00C4084C">
        <w:rPr>
          <w:rStyle w:val="FootnoteReference"/>
        </w:rPr>
        <w:footnoteReference w:id="133"/>
      </w:r>
      <w:r w:rsidRPr="00C4084C">
        <w:t xml:space="preserve"> Despite being a recommendation of the Noonan Review, no such body has been established. </w:t>
      </w:r>
    </w:p>
    <w:p w14:paraId="3CF88F39" w14:textId="170AFF86" w:rsidR="005B3445" w:rsidRPr="00C4084C" w:rsidRDefault="00D9492F" w:rsidP="000C4A2C">
      <w:r w:rsidRPr="00C4084C">
        <w:t>T</w:t>
      </w:r>
      <w:r w:rsidR="005B3445" w:rsidRPr="00C4084C">
        <w:t>his Review is recommending th</w:t>
      </w:r>
      <w:r w:rsidR="00CD1413">
        <w:t xml:space="preserve">at </w:t>
      </w:r>
      <w:r w:rsidR="00583F29">
        <w:t>the</w:t>
      </w:r>
      <w:r w:rsidR="00CD1413">
        <w:t xml:space="preserve"> proposed </w:t>
      </w:r>
      <w:r w:rsidR="003D6703" w:rsidRPr="00C4084C">
        <w:t>Commission</w:t>
      </w:r>
      <w:r w:rsidR="005B3445" w:rsidRPr="00C4084C">
        <w:t xml:space="preserve"> </w:t>
      </w:r>
      <w:r w:rsidRPr="00C4084C">
        <w:t>take on this role</w:t>
      </w:r>
      <w:r w:rsidR="005B3445" w:rsidRPr="00C4084C">
        <w:t xml:space="preserve"> – discussed in detail at </w:t>
      </w:r>
      <w:r w:rsidR="009A57A7" w:rsidRPr="000C4A2C">
        <w:rPr>
          <w:i/>
          <w:iCs/>
        </w:rPr>
        <w:fldChar w:fldCharType="begin"/>
      </w:r>
      <w:r w:rsidR="009A57A7" w:rsidRPr="000C4A2C">
        <w:rPr>
          <w:i/>
          <w:iCs/>
        </w:rPr>
        <w:instrText xml:space="preserve"> REF _Ref151934666 \r \h </w:instrText>
      </w:r>
      <w:r w:rsidR="00A70C28" w:rsidRPr="000C4A2C">
        <w:rPr>
          <w:i/>
          <w:iCs/>
        </w:rPr>
        <w:instrText xml:space="preserve"> \* MERGEFORMAT </w:instrText>
      </w:r>
      <w:r w:rsidR="009A57A7" w:rsidRPr="000C4A2C">
        <w:rPr>
          <w:i/>
          <w:iCs/>
        </w:rPr>
      </w:r>
      <w:r w:rsidR="009A57A7" w:rsidRPr="000C4A2C">
        <w:rPr>
          <w:i/>
          <w:iCs/>
        </w:rPr>
        <w:fldChar w:fldCharType="separate"/>
      </w:r>
      <w:r w:rsidR="00467B4F" w:rsidRPr="000C4A2C">
        <w:rPr>
          <w:i/>
          <w:iCs/>
        </w:rPr>
        <w:t xml:space="preserve">Chapter 6 – </w:t>
      </w:r>
      <w:r w:rsidR="009A57A7" w:rsidRPr="000C4A2C">
        <w:rPr>
          <w:i/>
          <w:iCs/>
        </w:rPr>
        <w:fldChar w:fldCharType="end"/>
      </w:r>
      <w:r w:rsidR="008C34DB" w:rsidRPr="000C4A2C">
        <w:rPr>
          <w:i/>
          <w:iCs/>
        </w:rPr>
        <w:fldChar w:fldCharType="begin"/>
      </w:r>
      <w:r w:rsidR="008C34DB" w:rsidRPr="000C4A2C">
        <w:rPr>
          <w:i/>
          <w:iCs/>
        </w:rPr>
        <w:instrText xml:space="preserve"> REF _Ref151934666 \h  \* MERGEFORMAT </w:instrText>
      </w:r>
      <w:r w:rsidR="008C34DB" w:rsidRPr="000C4A2C">
        <w:rPr>
          <w:i/>
          <w:iCs/>
        </w:rPr>
      </w:r>
      <w:r w:rsidR="008C34DB" w:rsidRPr="000C4A2C">
        <w:rPr>
          <w:i/>
          <w:iCs/>
        </w:rPr>
        <w:fldChar w:fldCharType="separate"/>
      </w:r>
      <w:r w:rsidR="00467B4F" w:rsidRPr="000C4A2C">
        <w:rPr>
          <w:i/>
          <w:iCs/>
        </w:rPr>
        <w:t>A dynamic, collaborative and responsive system that serves the national interest</w:t>
      </w:r>
      <w:r w:rsidR="008C34DB" w:rsidRPr="000C4A2C">
        <w:rPr>
          <w:i/>
          <w:iCs/>
        </w:rPr>
        <w:fldChar w:fldCharType="end"/>
      </w:r>
      <w:r w:rsidR="005B3445" w:rsidRPr="00C4084C">
        <w:t xml:space="preserve">. A primary </w:t>
      </w:r>
      <w:r w:rsidR="003D6703" w:rsidRPr="00C4084C">
        <w:t>Commission</w:t>
      </w:r>
      <w:r w:rsidR="005B3445" w:rsidRPr="00C4084C">
        <w:t xml:space="preserve"> function from day one should be taking overall leadership and ownership of the AQF and driving AQF reform – using the findings of the Noonan Review as a guide, but also adapting these to the needs of the future.</w:t>
      </w:r>
    </w:p>
    <w:p w14:paraId="269B4471" w14:textId="0A717970" w:rsidR="005B3445" w:rsidRPr="00C4084C" w:rsidRDefault="005B3445" w:rsidP="007B0775">
      <w:pPr>
        <w:pStyle w:val="Heading5"/>
      </w:pPr>
      <w:r w:rsidRPr="00C4084C">
        <w:t>Australian Skills Classification</w:t>
      </w:r>
      <w:r w:rsidR="00591CFB" w:rsidRPr="00C4084C">
        <w:t>/National Skills Taxonomy</w:t>
      </w:r>
    </w:p>
    <w:p w14:paraId="536A5E43" w14:textId="50320D1E" w:rsidR="00A3555E" w:rsidRPr="00C4084C" w:rsidRDefault="00A3555E" w:rsidP="000C4A2C">
      <w:r w:rsidRPr="00C4084C">
        <w:t>The Australian Skills Classification (ASC)</w:t>
      </w:r>
      <w:r w:rsidR="00493C94">
        <w:t xml:space="preserve">, </w:t>
      </w:r>
      <w:r w:rsidR="00CE4026">
        <w:t>now part of</w:t>
      </w:r>
      <w:r w:rsidR="00493C94">
        <w:t xml:space="preserve"> the National Skills Taxonomy</w:t>
      </w:r>
      <w:r w:rsidR="00CE4026">
        <w:t xml:space="preserve"> project</w:t>
      </w:r>
      <w:r w:rsidR="00493C94">
        <w:t>,</w:t>
      </w:r>
      <w:r w:rsidRPr="00C4084C">
        <w:t xml:space="preserve"> is a framework that sets out the core competencies, specialist tasks and technology tools required for occupations in Australia. Its purpose is to reveal the relationships – and potential transferability – of specialist tasks across occupations. The ASC:</w:t>
      </w:r>
    </w:p>
    <w:p w14:paraId="32AF0AC8" w14:textId="77777777" w:rsidR="00A3555E" w:rsidRPr="00C4084C" w:rsidRDefault="00A3555E" w:rsidP="00A3555E">
      <w:pPr>
        <w:pStyle w:val="ListBullet"/>
      </w:pPr>
      <w:r w:rsidRPr="00C4084C">
        <w:t xml:space="preserve">offers a common language of skills, enabling stakeholders to identify and articulate skills using a comprehensive and universal </w:t>
      </w:r>
      <w:proofErr w:type="gramStart"/>
      <w:r w:rsidRPr="00C4084C">
        <w:t>taxonomy</w:t>
      </w:r>
      <w:proofErr w:type="gramEnd"/>
    </w:p>
    <w:p w14:paraId="003D575A" w14:textId="77777777" w:rsidR="00A3555E" w:rsidRPr="00C4084C" w:rsidRDefault="00A3555E" w:rsidP="00A3555E">
      <w:pPr>
        <w:pStyle w:val="ListBullet"/>
      </w:pPr>
      <w:r w:rsidRPr="00C4084C">
        <w:t>identifies key skills attached to an occupation – this is to highlight common and transferable skills across occupations.</w:t>
      </w:r>
    </w:p>
    <w:p w14:paraId="4C4CD01E" w14:textId="630DF3D6" w:rsidR="00A3555E" w:rsidRPr="00C4084C" w:rsidRDefault="00A3555E" w:rsidP="0020392A">
      <w:r w:rsidRPr="00C4084C">
        <w:t xml:space="preserve">In Australia, the current frameworks for skills, qualifications and training programs are fragmented and do not fully capture the wide range of skills needed by employers and workers. This includes not only technical skills, but also </w:t>
      </w:r>
      <w:r w:rsidR="00710475">
        <w:t>generic</w:t>
      </w:r>
      <w:r w:rsidR="00710475" w:rsidRPr="00C4084C">
        <w:t xml:space="preserve"> </w:t>
      </w:r>
      <w:r w:rsidRPr="00C4084C">
        <w:t>skills</w:t>
      </w:r>
      <w:r w:rsidR="00710475">
        <w:t xml:space="preserve"> including digital literacy and </w:t>
      </w:r>
      <w:r w:rsidRPr="00C4084C">
        <w:t xml:space="preserve">specific job tasks. The Australian Skills Classification bridges this gap by bringing together existing frameworks and translating them into a standardised language. </w:t>
      </w:r>
    </w:p>
    <w:p w14:paraId="39D8E01F" w14:textId="58FC86C1" w:rsidR="00A3555E" w:rsidRPr="00C4084C" w:rsidRDefault="00A3555E" w:rsidP="0020392A">
      <w:r w:rsidRPr="00C4084C">
        <w:t xml:space="preserve">The ASC </w:t>
      </w:r>
      <w:r w:rsidR="00A96E41" w:rsidRPr="00C4084C">
        <w:t>i</w:t>
      </w:r>
      <w:r w:rsidRPr="00C4084C">
        <w:t xml:space="preserve">s designed to categorise skills in jobs into three types: core competencies, specialist tasks, and technology tools. It is built around the concept of transferrable skills, enabling identification of skills that can be used across different occupations, </w:t>
      </w:r>
      <w:proofErr w:type="gramStart"/>
      <w:r w:rsidRPr="00C4084C">
        <w:t>employers</w:t>
      </w:r>
      <w:proofErr w:type="gramEnd"/>
      <w:r w:rsidRPr="00C4084C">
        <w:t xml:space="preserve"> and industries. </w:t>
      </w:r>
    </w:p>
    <w:p w14:paraId="501AE997" w14:textId="29504D55" w:rsidR="003255AA" w:rsidRPr="00C4084C" w:rsidRDefault="00A3555E" w:rsidP="0020392A">
      <w:r w:rsidRPr="00C4084C">
        <w:t>The ASC</w:t>
      </w:r>
      <w:r w:rsidR="00AD461A" w:rsidRPr="00C4084C">
        <w:t xml:space="preserve"> </w:t>
      </w:r>
      <w:r w:rsidR="00C371DE" w:rsidRPr="00C4084C">
        <w:t>has</w:t>
      </w:r>
      <w:r w:rsidR="007F662D" w:rsidRPr="00C4084C">
        <w:t xml:space="preserve"> many </w:t>
      </w:r>
      <w:r w:rsidRPr="00C4084C">
        <w:t>use</w:t>
      </w:r>
      <w:r w:rsidR="001C79BA" w:rsidRPr="00C4084C">
        <w:t>s</w:t>
      </w:r>
      <w:r w:rsidR="003255AA" w:rsidRPr="00C4084C">
        <w:t xml:space="preserve">, particularly those related to workforce planning, transition planning for </w:t>
      </w:r>
      <w:r w:rsidR="00710475">
        <w:t>affected</w:t>
      </w:r>
      <w:r w:rsidR="00710475" w:rsidRPr="00C4084C">
        <w:t xml:space="preserve"> </w:t>
      </w:r>
      <w:r w:rsidRPr="00C4084C">
        <w:t>workers and career planning. In December 2023 the ASC was expanded to include 80</w:t>
      </w:r>
      <w:r w:rsidR="00791E80">
        <w:t>%</w:t>
      </w:r>
      <w:r w:rsidRPr="00C4084C">
        <w:t xml:space="preserve"> coverage of the labour market and skills statements for specialist tasks.</w:t>
      </w:r>
      <w:r w:rsidR="003255AA" w:rsidRPr="00C4084C">
        <w:t xml:space="preserve"> </w:t>
      </w:r>
    </w:p>
    <w:p w14:paraId="33802803" w14:textId="127D78E7" w:rsidR="003255AA" w:rsidRPr="00C4084C" w:rsidRDefault="003255AA" w:rsidP="0020392A">
      <w:r w:rsidRPr="00C4084C">
        <w:lastRenderedPageBreak/>
        <w:t xml:space="preserve">The Annual Jobs and Skills Report 2023 notes a potential opportunity to develop a </w:t>
      </w:r>
      <w:r w:rsidR="00FA3735">
        <w:t>N</w:t>
      </w:r>
      <w:r w:rsidR="00FA3735" w:rsidRPr="00C4084C">
        <w:t xml:space="preserve">ational </w:t>
      </w:r>
      <w:r w:rsidR="00FA3735">
        <w:t>S</w:t>
      </w:r>
      <w:r w:rsidR="00FA3735" w:rsidRPr="00C4084C">
        <w:t xml:space="preserve">kills </w:t>
      </w:r>
      <w:r w:rsidR="00FA3735">
        <w:t>T</w:t>
      </w:r>
      <w:r w:rsidR="00FA3735" w:rsidRPr="00C4084C">
        <w:t xml:space="preserve">axonomy </w:t>
      </w:r>
      <w:r w:rsidRPr="00C4084C">
        <w:t xml:space="preserve">to underpin a joined up tertiary education system. In practical terms this would: </w:t>
      </w:r>
    </w:p>
    <w:p w14:paraId="568BD2FB" w14:textId="77777777" w:rsidR="003255AA" w:rsidRPr="0020392A" w:rsidRDefault="003255AA" w:rsidP="0020392A">
      <w:pPr>
        <w:pStyle w:val="ListBullet"/>
      </w:pPr>
      <w:r w:rsidRPr="0020392A">
        <w:t xml:space="preserve">allow for the identification of relationships between units and courses to improve credit and recognition practices, supporting learners to effectively engage in lifelong </w:t>
      </w:r>
      <w:proofErr w:type="gramStart"/>
      <w:r w:rsidRPr="0020392A">
        <w:t>learning</w:t>
      </w:r>
      <w:proofErr w:type="gramEnd"/>
      <w:r w:rsidRPr="0020392A">
        <w:t> </w:t>
      </w:r>
    </w:p>
    <w:p w14:paraId="4D29C37F" w14:textId="5E59B775" w:rsidR="003255AA" w:rsidRPr="0020392A" w:rsidRDefault="003255AA" w:rsidP="0020392A">
      <w:pPr>
        <w:pStyle w:val="ListBullet"/>
      </w:pPr>
      <w:r w:rsidRPr="0020392A">
        <w:t xml:space="preserve">allow the National Skills Passport to be </w:t>
      </w:r>
      <w:r w:rsidR="001C79BA" w:rsidRPr="0020392A">
        <w:t xml:space="preserve">an </w:t>
      </w:r>
      <w:r w:rsidR="00A3555E" w:rsidRPr="0020392A">
        <w:t xml:space="preserve">expression of specific </w:t>
      </w:r>
      <w:proofErr w:type="gramStart"/>
      <w:r w:rsidR="00A3555E" w:rsidRPr="0020392A">
        <w:t>skills</w:t>
      </w:r>
      <w:proofErr w:type="gramEnd"/>
    </w:p>
    <w:p w14:paraId="563DB095" w14:textId="77777777" w:rsidR="00A3555E" w:rsidRPr="0020392A" w:rsidRDefault="00A3555E" w:rsidP="0020392A">
      <w:pPr>
        <w:pStyle w:val="ListBullet"/>
      </w:pPr>
      <w:r w:rsidRPr="0020392A">
        <w:t>provide tools to education providers that support the improvement of skills articulation in education design, including micro-credentials.</w:t>
      </w:r>
      <w:r w:rsidRPr="0020392A">
        <w:rPr>
          <w:rStyle w:val="FootnoteReference"/>
          <w:vertAlign w:val="baseline"/>
        </w:rPr>
        <w:footnoteReference w:id="134"/>
      </w:r>
    </w:p>
    <w:p w14:paraId="0406AF7A" w14:textId="517F540C" w:rsidR="00A3555E" w:rsidRPr="00C4084C" w:rsidRDefault="00A3555E" w:rsidP="0020392A">
      <w:r w:rsidRPr="00C4084C">
        <w:t xml:space="preserve">Jobs and Skills Australia has several projects underway to map higher education curricula to the ASC and has commenced work to build a data model and asset to map higher education curricula and vocational education materials to skills. Along with the development of a </w:t>
      </w:r>
      <w:r w:rsidR="00CF7F07">
        <w:t>N</w:t>
      </w:r>
      <w:r w:rsidR="00CF7F07" w:rsidRPr="00C4084C">
        <w:t xml:space="preserve">ational </w:t>
      </w:r>
      <w:r w:rsidR="00CF7F07">
        <w:t>S</w:t>
      </w:r>
      <w:r w:rsidR="00CF7F07" w:rsidRPr="00C4084C">
        <w:t xml:space="preserve">kills </w:t>
      </w:r>
      <w:r w:rsidR="00CF7F07">
        <w:t>T</w:t>
      </w:r>
      <w:r w:rsidR="00CF7F07" w:rsidRPr="00C4084C">
        <w:t xml:space="preserve">axonomy </w:t>
      </w:r>
      <w:r w:rsidRPr="00C4084C">
        <w:t xml:space="preserve">with industry, the skills mapping model and data asset would need to be scaled and should be a focus of work for JSA in collaboration with the proposed </w:t>
      </w:r>
      <w:r w:rsidR="005A4F3D" w:rsidRPr="00C4084C">
        <w:t>Commission</w:t>
      </w:r>
      <w:r w:rsidRPr="00C4084C">
        <w:t xml:space="preserve">. This would assist </w:t>
      </w:r>
      <w:r w:rsidR="005A4F3D" w:rsidRPr="00C4084C">
        <w:t xml:space="preserve">tertiary education providers </w:t>
      </w:r>
      <w:r w:rsidRPr="00C4084C">
        <w:t>to develop portfolio</w:t>
      </w:r>
      <w:r w:rsidR="00710475">
        <w:t>-</w:t>
      </w:r>
      <w:r w:rsidRPr="00C4084C">
        <w:t>wide skills maps.</w:t>
      </w:r>
    </w:p>
    <w:tbl>
      <w:tblPr>
        <w:tblW w:w="0" w:type="auto"/>
        <w:shd w:val="clear" w:color="auto" w:fill="D2E8FF"/>
        <w:tblLook w:val="04A0" w:firstRow="1" w:lastRow="0" w:firstColumn="1" w:lastColumn="0" w:noHBand="0" w:noVBand="1"/>
      </w:tblPr>
      <w:tblGrid>
        <w:gridCol w:w="9016"/>
      </w:tblGrid>
      <w:tr w:rsidR="00A3555E" w:rsidRPr="00C4084C" w14:paraId="2E80D080" w14:textId="77777777" w:rsidTr="00D26B82">
        <w:tc>
          <w:tcPr>
            <w:tcW w:w="9016" w:type="dxa"/>
            <w:shd w:val="clear" w:color="auto" w:fill="FFEFBB"/>
          </w:tcPr>
          <w:p w14:paraId="0F868702" w14:textId="64270A2A" w:rsidR="00A3555E" w:rsidRPr="008C67CA" w:rsidRDefault="00A3555E" w:rsidP="0020392A">
            <w:pPr>
              <w:pStyle w:val="Boxtitlessubheadings"/>
            </w:pPr>
            <w:r w:rsidRPr="008C67CA">
              <w:t xml:space="preserve">The </w:t>
            </w:r>
            <w:r w:rsidR="003B026C" w:rsidRPr="008C67CA">
              <w:t xml:space="preserve">potential use </w:t>
            </w:r>
            <w:r w:rsidRPr="008C67CA">
              <w:t xml:space="preserve">of the ASC as a </w:t>
            </w:r>
            <w:r w:rsidR="003B026C" w:rsidRPr="008C67CA">
              <w:t xml:space="preserve">tool </w:t>
            </w:r>
            <w:r w:rsidRPr="008C67CA">
              <w:t xml:space="preserve">in </w:t>
            </w:r>
            <w:r w:rsidR="003B026C" w:rsidRPr="008C67CA">
              <w:t>curriculum design</w:t>
            </w:r>
          </w:p>
          <w:p w14:paraId="36F6073B" w14:textId="77777777" w:rsidR="00A3555E" w:rsidRPr="00C4084C" w:rsidRDefault="00A3555E" w:rsidP="0020392A">
            <w:pPr>
              <w:pStyle w:val="Boxtext0"/>
            </w:pPr>
            <w:r w:rsidRPr="00C4084C">
              <w:t xml:space="preserve">JSA is undertaking a project to link Australian university curricula to the ASC and identify the specific skills taught in higher education qualifications. Utilising pre-trained natural language processing (NLP) models, higher education curriculum data is analysed alongside the ASC, with the models able to identify similarities between university curriculum data, unit descriptions and learning outcomes, and the skills listed in the ASC – an otherwise highly manual process that would not be able to keep pace with the speed of curriculum change. </w:t>
            </w:r>
          </w:p>
          <w:p w14:paraId="1780426B" w14:textId="77777777" w:rsidR="00A3555E" w:rsidRPr="00C4084C" w:rsidRDefault="00A3555E" w:rsidP="0020392A">
            <w:pPr>
              <w:pStyle w:val="Boxtext0"/>
              <w:rPr>
                <w:b/>
                <w:sz w:val="24"/>
              </w:rPr>
            </w:pPr>
            <w:r w:rsidRPr="00C4084C">
              <w:t>Based on the degree of similarity, skills determined to be relevant in the curriculum can be aligned and mapped to the ASC. This tool has the potential to assist providers in developing courses aligned to skills need and providing RPL.</w:t>
            </w:r>
          </w:p>
        </w:tc>
      </w:tr>
    </w:tbl>
    <w:p w14:paraId="26340550" w14:textId="4646F55B" w:rsidR="005B3445" w:rsidRPr="00C4084C" w:rsidRDefault="008D3806" w:rsidP="007B0775">
      <w:pPr>
        <w:pStyle w:val="Heading5"/>
      </w:pPr>
      <w:bookmarkStart w:id="445" w:name="_Toc151807276"/>
      <w:r w:rsidRPr="00C4084C">
        <w:t xml:space="preserve">Credit </w:t>
      </w:r>
      <w:r w:rsidR="006805CF" w:rsidRPr="00C4084C">
        <w:t>t</w:t>
      </w:r>
      <w:r w:rsidRPr="00C4084C">
        <w:t xml:space="preserve">ransfer and </w:t>
      </w:r>
      <w:r w:rsidR="003B026C">
        <w:t>r</w:t>
      </w:r>
      <w:r w:rsidR="003B026C" w:rsidRPr="00C4084C">
        <w:t xml:space="preserve">ecognition </w:t>
      </w:r>
      <w:r w:rsidR="005B3445" w:rsidRPr="00C4084C">
        <w:t xml:space="preserve">of </w:t>
      </w:r>
      <w:r w:rsidR="003B026C">
        <w:t>p</w:t>
      </w:r>
      <w:r w:rsidR="003B026C" w:rsidRPr="00C4084C">
        <w:t xml:space="preserve">rior </w:t>
      </w:r>
      <w:r w:rsidR="003B026C">
        <w:t>l</w:t>
      </w:r>
      <w:r w:rsidR="003B026C" w:rsidRPr="00C4084C">
        <w:t>earning</w:t>
      </w:r>
      <w:bookmarkEnd w:id="445"/>
    </w:p>
    <w:p w14:paraId="34BC89C8" w14:textId="2B3F6F83" w:rsidR="005B3445" w:rsidRPr="00C4084C" w:rsidRDefault="005B3445" w:rsidP="0020392A">
      <w:r w:rsidRPr="00C4084C">
        <w:t xml:space="preserve">Recognition of </w:t>
      </w:r>
      <w:r w:rsidR="003B026C">
        <w:t>p</w:t>
      </w:r>
      <w:r w:rsidR="003B026C" w:rsidRPr="00C4084C">
        <w:t xml:space="preserve">rior </w:t>
      </w:r>
      <w:r w:rsidR="003B026C">
        <w:t>l</w:t>
      </w:r>
      <w:r w:rsidR="003B026C" w:rsidRPr="00C4084C">
        <w:t xml:space="preserve">earning </w:t>
      </w:r>
      <w:r w:rsidRPr="00C4084C">
        <w:t xml:space="preserve">(RPL) involves assessing an individual’s prior learning, including formal, </w:t>
      </w:r>
      <w:proofErr w:type="gramStart"/>
      <w:r w:rsidRPr="00C4084C">
        <w:t>informal</w:t>
      </w:r>
      <w:proofErr w:type="gramEnd"/>
      <w:r w:rsidR="3F391CC9" w:rsidRPr="00C4084C">
        <w:t xml:space="preserve"> </w:t>
      </w:r>
      <w:r w:rsidRPr="00C4084C">
        <w:t xml:space="preserve">and non-formal learning, to determine whether it meets the requirements for credit towards a qualification. </w:t>
      </w:r>
      <w:r w:rsidR="00B738D9" w:rsidRPr="00C4084C">
        <w:t xml:space="preserve">Credit transfer is an administrative process for granting credit towards a qualification based on previous completion of another equivalent training product. It does not require individual assessment of the student, because it </w:t>
      </w:r>
      <w:r w:rsidR="003B026C">
        <w:t xml:space="preserve">is </w:t>
      </w:r>
      <w:r w:rsidR="00B738D9" w:rsidRPr="00C4084C">
        <w:t xml:space="preserve">based on a recognised unit of study. </w:t>
      </w:r>
      <w:r w:rsidRPr="00C4084C">
        <w:t xml:space="preserve">The Review </w:t>
      </w:r>
      <w:r w:rsidR="008540F7" w:rsidRPr="00C4084C">
        <w:t>notes</w:t>
      </w:r>
      <w:r w:rsidR="008D3806" w:rsidRPr="00C4084C">
        <w:t xml:space="preserve"> credit transfer and</w:t>
      </w:r>
      <w:r w:rsidRPr="00C4084C">
        <w:t xml:space="preserve"> RPL </w:t>
      </w:r>
      <w:r w:rsidR="00EB08DD">
        <w:t>are</w:t>
      </w:r>
      <w:r w:rsidR="00EB08DD" w:rsidRPr="00C4084C">
        <w:t xml:space="preserve"> </w:t>
      </w:r>
      <w:r w:rsidR="008540F7" w:rsidRPr="00C4084C">
        <w:t>generally</w:t>
      </w:r>
      <w:r w:rsidRPr="00C4084C">
        <w:t xml:space="preserve"> offered in a discretionary manner between education providers</w:t>
      </w:r>
      <w:r w:rsidR="003B026C">
        <w:t>,</w:t>
      </w:r>
      <w:r w:rsidRPr="00C4084C">
        <w:t xml:space="preserve"> and practices for granting credit are often not systematic or transparent. </w:t>
      </w:r>
      <w:r w:rsidR="008D3806" w:rsidRPr="00C4084C">
        <w:t>Credit recognition</w:t>
      </w:r>
      <w:r w:rsidRPr="00C4084C">
        <w:t xml:space="preserve"> practices differ widely across different </w:t>
      </w:r>
      <w:r w:rsidR="00835B00" w:rsidRPr="00C4084C">
        <w:t xml:space="preserve">tertiary education </w:t>
      </w:r>
      <w:r w:rsidRPr="00C4084C">
        <w:t xml:space="preserve">providers, </w:t>
      </w:r>
      <w:proofErr w:type="gramStart"/>
      <w:r w:rsidRPr="00C4084C">
        <w:t>fields</w:t>
      </w:r>
      <w:proofErr w:type="gramEnd"/>
      <w:r w:rsidRPr="00C4084C">
        <w:t xml:space="preserve"> and courses. The process is complex for students to navigate and can be costly for </w:t>
      </w:r>
      <w:r w:rsidR="005509A3" w:rsidRPr="00C4084C">
        <w:t xml:space="preserve">tertiary education providers </w:t>
      </w:r>
      <w:r w:rsidRPr="00C4084C">
        <w:t xml:space="preserve">to administer. </w:t>
      </w:r>
      <w:r w:rsidR="008540F7" w:rsidRPr="00C4084C">
        <w:t>Achieving effective RPL has been a problem for decades.</w:t>
      </w:r>
    </w:p>
    <w:p w14:paraId="3FFE8E94" w14:textId="32D82FE8" w:rsidR="005B3445" w:rsidRPr="00C4084C" w:rsidRDefault="005B3445" w:rsidP="0020392A">
      <w:r w:rsidRPr="00C4084C">
        <w:t>For students who do not complete a full qualification, it can be challenging to get the learning they have completed recognised</w:t>
      </w:r>
      <w:r w:rsidR="00F32F4C" w:rsidRPr="00C4084C">
        <w:t xml:space="preserve">. This challenge applies when seeking RPL for </w:t>
      </w:r>
      <w:r w:rsidRPr="00C4084C">
        <w:t xml:space="preserve">a different qualification, or as </w:t>
      </w:r>
      <w:r w:rsidR="008D3806" w:rsidRPr="00C4084C">
        <w:t>credit or</w:t>
      </w:r>
      <w:r w:rsidRPr="00C4084C">
        <w:t xml:space="preserve"> RPL for future studies, or as proof to employers that they have some requisite learning for a job. This can be especially problematic for students who face additional barriers to completing their studies.</w:t>
      </w:r>
    </w:p>
    <w:p w14:paraId="23B0A433" w14:textId="52A2EB3F" w:rsidR="005B3445" w:rsidRPr="00C4084C" w:rsidRDefault="005B3445" w:rsidP="0020392A">
      <w:r w:rsidRPr="00C4084C">
        <w:t xml:space="preserve">Improving </w:t>
      </w:r>
      <w:r w:rsidR="008D3806" w:rsidRPr="00C4084C">
        <w:t>credit recognition</w:t>
      </w:r>
      <w:r w:rsidRPr="00C4084C">
        <w:t xml:space="preserve"> practices will help ensure that learners are not required to repeat learning, minimising both time in study and the unnecessary acquisition of debt. It will also make it easier for learners to transition between different education sectors and to upskill and reskill throughout their </w:t>
      </w:r>
      <w:r w:rsidRPr="00C4084C">
        <w:lastRenderedPageBreak/>
        <w:t>careers. This is critical to expanding new pathways into higher education, especially for groups facing barriers to participation.</w:t>
      </w:r>
    </w:p>
    <w:p w14:paraId="4A980999" w14:textId="79218199" w:rsidR="005B3445" w:rsidRPr="00C4084C" w:rsidRDefault="005B3445" w:rsidP="0020392A">
      <w:r w:rsidRPr="00C4084C">
        <w:t xml:space="preserve">The Review considers that </w:t>
      </w:r>
      <w:proofErr w:type="gramStart"/>
      <w:r w:rsidRPr="00C4084C">
        <w:t>a number of</w:t>
      </w:r>
      <w:proofErr w:type="gramEnd"/>
      <w:r w:rsidRPr="00C4084C">
        <w:t xml:space="preserve"> reforms would enable more consistent </w:t>
      </w:r>
      <w:r w:rsidR="003A27D1" w:rsidRPr="00C4084C">
        <w:t>credit recognition practices</w:t>
      </w:r>
      <w:r w:rsidRPr="00C4084C">
        <w:t xml:space="preserve">: </w:t>
      </w:r>
    </w:p>
    <w:p w14:paraId="45B520F4" w14:textId="77777777" w:rsidR="005B3445" w:rsidRPr="00C4084C" w:rsidRDefault="005B3445" w:rsidP="00A70C28">
      <w:pPr>
        <w:pStyle w:val="ListBullet"/>
      </w:pPr>
      <w:r w:rsidRPr="00C4084C">
        <w:t xml:space="preserve">developing and widely adopting a common credit point system, as recommended by the Noonan Review, to provide greater transparency about what students have learned and the volume of </w:t>
      </w:r>
      <w:proofErr w:type="gramStart"/>
      <w:r w:rsidRPr="00C4084C">
        <w:t>learning</w:t>
      </w:r>
      <w:proofErr w:type="gramEnd"/>
      <w:r w:rsidRPr="00C4084C">
        <w:t xml:space="preserve"> </w:t>
      </w:r>
    </w:p>
    <w:p w14:paraId="50BDF978" w14:textId="0F0B37C8" w:rsidR="005B3445" w:rsidRPr="00C4084C" w:rsidRDefault="005B3445" w:rsidP="00A70C28">
      <w:pPr>
        <w:pStyle w:val="ListBullet"/>
      </w:pPr>
      <w:r w:rsidRPr="00C4084C">
        <w:t>extending the</w:t>
      </w:r>
      <w:r w:rsidRPr="00C4084C" w:rsidDel="005B3445">
        <w:t xml:space="preserve"> </w:t>
      </w:r>
      <w:r w:rsidR="00B738D9" w:rsidRPr="00C4084C">
        <w:t>National Skills Taxonomy project’s</w:t>
      </w:r>
      <w:r w:rsidRPr="00C4084C">
        <w:t xml:space="preserve"> consistent national skills taxonomy across higher education and VET and using it as a tool for curriculum design, to help embed RPL into course design by more richly describing the specific skills and competencies taught through the </w:t>
      </w:r>
      <w:proofErr w:type="gramStart"/>
      <w:r w:rsidRPr="00C4084C">
        <w:t>course</w:t>
      </w:r>
      <w:proofErr w:type="gramEnd"/>
    </w:p>
    <w:p w14:paraId="56AB7A72" w14:textId="33DA9E72" w:rsidR="00C371DE" w:rsidRPr="00C4084C" w:rsidRDefault="5842E612" w:rsidP="00A70C28">
      <w:pPr>
        <w:pStyle w:val="ListBullet"/>
      </w:pPr>
      <w:r w:rsidRPr="00C4084C">
        <w:t>e</w:t>
      </w:r>
      <w:r w:rsidR="21511893" w:rsidRPr="00C4084C">
        <w:t xml:space="preserve">stablishing more structured, transparent and systematic processes for </w:t>
      </w:r>
      <w:r w:rsidR="6ECC6201" w:rsidRPr="00C4084C">
        <w:t xml:space="preserve">quick credit recognition </w:t>
      </w:r>
      <w:r w:rsidR="1622EC29" w:rsidRPr="00C4084C">
        <w:t>and</w:t>
      </w:r>
      <w:r w:rsidR="6ECC6201" w:rsidRPr="00C4084C">
        <w:t xml:space="preserve"> </w:t>
      </w:r>
      <w:r w:rsidR="57344950" w:rsidRPr="00C4084C">
        <w:t xml:space="preserve">to </w:t>
      </w:r>
      <w:r w:rsidR="6ECC6201" w:rsidRPr="00C4084C">
        <w:t xml:space="preserve">facilitate </w:t>
      </w:r>
      <w:r w:rsidR="1DE1B986" w:rsidRPr="00C4084C">
        <w:t>transfers between</w:t>
      </w:r>
      <w:r w:rsidR="6ECC6201" w:rsidRPr="00C4084C">
        <w:t xml:space="preserve"> </w:t>
      </w:r>
      <w:proofErr w:type="gramStart"/>
      <w:r w:rsidR="6ECC6201" w:rsidRPr="00C4084C">
        <w:t>course</w:t>
      </w:r>
      <w:r w:rsidR="5D8E86EA" w:rsidRPr="00C4084C">
        <w:t>s</w:t>
      </w:r>
      <w:proofErr w:type="gramEnd"/>
    </w:p>
    <w:p w14:paraId="791CB144" w14:textId="590FAEC1" w:rsidR="005B3445" w:rsidRPr="00C4084C" w:rsidRDefault="00C371DE" w:rsidP="00501B0F">
      <w:pPr>
        <w:pStyle w:val="ListBullet"/>
      </w:pPr>
      <w:r w:rsidRPr="00C4084C">
        <w:t>improving</w:t>
      </w:r>
      <w:r w:rsidR="326B7A76" w:rsidRPr="00C4084C">
        <w:t xml:space="preserve"> collaboration among tertiary education providers</w:t>
      </w:r>
      <w:r w:rsidR="01EE0912" w:rsidRPr="00C4084C">
        <w:t xml:space="preserve">, </w:t>
      </w:r>
      <w:proofErr w:type="gramStart"/>
      <w:r w:rsidR="01EE0912" w:rsidRPr="00C4084C">
        <w:t>industr</w:t>
      </w:r>
      <w:r w:rsidR="755FEB2E" w:rsidRPr="00C4084C">
        <w:t>ies</w:t>
      </w:r>
      <w:proofErr w:type="gramEnd"/>
      <w:r w:rsidR="01EE0912" w:rsidRPr="00C4084C">
        <w:t xml:space="preserve"> and businesses </w:t>
      </w:r>
      <w:r w:rsidR="63EE1B65" w:rsidRPr="00C4084C">
        <w:t>to implement a uniform nationwide strategy for</w:t>
      </w:r>
      <w:r w:rsidR="4D239987" w:rsidRPr="00C4084C">
        <w:t xml:space="preserve"> acknowledging prior learning and experi</w:t>
      </w:r>
      <w:r w:rsidR="3313560E" w:rsidRPr="00C4084C">
        <w:t>e</w:t>
      </w:r>
      <w:r w:rsidR="4D239987" w:rsidRPr="00C4084C">
        <w:t>nce</w:t>
      </w:r>
      <w:r w:rsidR="0B413E23" w:rsidRPr="00C4084C">
        <w:t xml:space="preserve"> that simplifies credit transfe</w:t>
      </w:r>
      <w:r w:rsidR="009A6A88" w:rsidRPr="00C4084C">
        <w:t>r</w:t>
      </w:r>
      <w:r w:rsidR="005B3445" w:rsidRPr="00C4084C">
        <w:t xml:space="preserve"> (see case study below) </w:t>
      </w:r>
    </w:p>
    <w:p w14:paraId="23906A5A" w14:textId="5E09D24E" w:rsidR="00A42FED" w:rsidRPr="00C4084C" w:rsidRDefault="005B3445" w:rsidP="00A70C28">
      <w:pPr>
        <w:pStyle w:val="ListBullet"/>
      </w:pPr>
      <w:r w:rsidRPr="00C4084C">
        <w:t xml:space="preserve">developing the National Skills Passport into a tool that students can utilise to </w:t>
      </w:r>
      <w:r w:rsidR="001D43A1">
        <w:t xml:space="preserve">provide </w:t>
      </w:r>
      <w:r w:rsidRPr="00C4084C">
        <w:t>evidence</w:t>
      </w:r>
      <w:r w:rsidR="001D43A1">
        <w:t xml:space="preserve"> of</w:t>
      </w:r>
      <w:r w:rsidRPr="00C4084C">
        <w:t xml:space="preserve"> their learning and their credentials in support of requests for RPL.</w:t>
      </w:r>
    </w:p>
    <w:tbl>
      <w:tblPr>
        <w:tblW w:w="0" w:type="auto"/>
        <w:shd w:val="clear" w:color="auto" w:fill="D2E8FF"/>
        <w:tblLook w:val="04A0" w:firstRow="1" w:lastRow="0" w:firstColumn="1" w:lastColumn="0" w:noHBand="0" w:noVBand="1"/>
      </w:tblPr>
      <w:tblGrid>
        <w:gridCol w:w="9638"/>
      </w:tblGrid>
      <w:tr w:rsidR="00A42FED" w:rsidRPr="00C4084C" w14:paraId="20E9E38B" w14:textId="77777777" w:rsidTr="00D26B82">
        <w:tc>
          <w:tcPr>
            <w:tcW w:w="0" w:type="auto"/>
            <w:shd w:val="clear" w:color="auto" w:fill="D3D4D6"/>
          </w:tcPr>
          <w:p w14:paraId="4B72EAF1" w14:textId="3F34983F" w:rsidR="00A42FED" w:rsidRPr="00C4084C" w:rsidRDefault="00A42FED" w:rsidP="00570A6C">
            <w:pPr>
              <w:pStyle w:val="Boxtitlessubheadings"/>
            </w:pPr>
            <w:r w:rsidRPr="00C4084C">
              <w:t xml:space="preserve">Case study:  Embedded </w:t>
            </w:r>
            <w:r w:rsidR="75DC819C" w:rsidRPr="00C4084C">
              <w:t>c</w:t>
            </w:r>
            <w:r w:rsidR="003A27D1" w:rsidRPr="00C4084C">
              <w:t xml:space="preserve">redit </w:t>
            </w:r>
            <w:r w:rsidR="18A67EB4" w:rsidRPr="00C4084C">
              <w:t>r</w:t>
            </w:r>
            <w:r w:rsidR="003A27D1" w:rsidRPr="00C4084C">
              <w:t>ecognition</w:t>
            </w:r>
            <w:r w:rsidRPr="00C4084C">
              <w:t xml:space="preserve"> – North </w:t>
            </w:r>
            <w:r w:rsidR="007F27E6" w:rsidRPr="00C4084C">
              <w:t xml:space="preserve">Metropolitan </w:t>
            </w:r>
            <w:r w:rsidRPr="00C4084C">
              <w:t>TAFE &amp; Edith Cowan University</w:t>
            </w:r>
          </w:p>
          <w:p w14:paraId="25C05A11" w14:textId="103FBC52" w:rsidR="00A42FED" w:rsidRPr="00C4084C" w:rsidRDefault="00A42FED" w:rsidP="0020392A">
            <w:pPr>
              <w:pStyle w:val="Boxtext0"/>
            </w:pPr>
            <w:r w:rsidRPr="00C4084C">
              <w:t>North</w:t>
            </w:r>
            <w:r w:rsidRPr="00C4084C" w:rsidDel="007F27E6">
              <w:t xml:space="preserve"> </w:t>
            </w:r>
            <w:r w:rsidR="007F27E6" w:rsidRPr="00C4084C">
              <w:t>Metropolitan</w:t>
            </w:r>
            <w:r w:rsidRPr="00C4084C">
              <w:t xml:space="preserve"> TAFE and Edith Cowan University have developed a pathway partnership (the Cyber Security </w:t>
            </w:r>
            <w:r w:rsidRPr="0020392A">
              <w:rPr>
                <w:rStyle w:val="s2"/>
              </w:rPr>
              <w:t>Industry</w:t>
            </w:r>
            <w:r w:rsidRPr="00C4084C">
              <w:t xml:space="preserve"> Pathway Program) that allows for a student to complete 3 qualifications in cyber security in 3.5 years.</w:t>
            </w:r>
            <w:r w:rsidR="007F27E6" w:rsidRPr="00C4084C">
              <w:rPr>
                <w:rStyle w:val="FootnoteReference"/>
              </w:rPr>
              <w:footnoteReference w:id="135"/>
            </w:r>
          </w:p>
          <w:p w14:paraId="382C9200" w14:textId="782844D7" w:rsidR="00EE26E5" w:rsidRPr="00C4084C" w:rsidRDefault="00A42FED" w:rsidP="0020392A">
            <w:pPr>
              <w:pStyle w:val="Boxtext0"/>
            </w:pPr>
            <w:r w:rsidRPr="00C4084C">
              <w:t xml:space="preserve">A Certificate IV in </w:t>
            </w:r>
            <w:r w:rsidRPr="00E526B5">
              <w:t>Cyber</w:t>
            </w:r>
            <w:r w:rsidRPr="00C4084C">
              <w:t xml:space="preserve"> Security and an Advanced Diploma of Cyber Security completed at North </w:t>
            </w:r>
            <w:r w:rsidR="007F27E6" w:rsidRPr="0020392A">
              <w:rPr>
                <w:rStyle w:val="s2"/>
              </w:rPr>
              <w:t>Metropolitan</w:t>
            </w:r>
            <w:r w:rsidR="007F27E6" w:rsidRPr="00C4084C">
              <w:t xml:space="preserve"> </w:t>
            </w:r>
            <w:r w:rsidRPr="00C4084C">
              <w:t xml:space="preserve">TAFE over 2 years provides 18 months of credit towards a Bachelor of Science (Cyber Security) at </w:t>
            </w:r>
            <w:r w:rsidR="00D509B8" w:rsidRPr="00C4084C">
              <w:t>Edith Cowan University</w:t>
            </w:r>
            <w:r w:rsidRPr="00C4084C">
              <w:t>, allowing a student to obtain the degree with a further 18 months of study rather than 3 years.</w:t>
            </w:r>
          </w:p>
        </w:tc>
      </w:tr>
    </w:tbl>
    <w:p w14:paraId="2A99517C" w14:textId="3518BBD9" w:rsidR="00127D5E" w:rsidRPr="00C4084C" w:rsidRDefault="00127D5E" w:rsidP="00285443">
      <w:pPr>
        <w:pStyle w:val="BodyText"/>
      </w:pPr>
    </w:p>
    <w:tbl>
      <w:tblPr>
        <w:tblW w:w="0" w:type="auto"/>
        <w:shd w:val="clear" w:color="auto" w:fill="E5EAF2"/>
        <w:tblLook w:val="04A0" w:firstRow="1" w:lastRow="0" w:firstColumn="1" w:lastColumn="0" w:noHBand="0" w:noVBand="1"/>
      </w:tblPr>
      <w:tblGrid>
        <w:gridCol w:w="9638"/>
      </w:tblGrid>
      <w:tr w:rsidR="00F07278" w:rsidRPr="00C4084C" w14:paraId="3F7ADC3E" w14:textId="77777777" w:rsidTr="00D26B82">
        <w:tc>
          <w:tcPr>
            <w:tcW w:w="0" w:type="auto"/>
            <w:shd w:val="clear" w:color="auto" w:fill="B0C3DB"/>
          </w:tcPr>
          <w:p w14:paraId="7FC74BB2" w14:textId="10EB3387" w:rsidR="00B00569" w:rsidRPr="00B00569" w:rsidRDefault="0080264E" w:rsidP="003E5969">
            <w:pPr>
              <w:pStyle w:val="Findinginchapterheading"/>
              <w:rPr>
                <w:szCs w:val="24"/>
              </w:rPr>
            </w:pPr>
            <w:r w:rsidRPr="003E5969">
              <w:rPr>
                <w:rFonts w:ascii="Calibri" w:eastAsia="Yu Gothic Light" w:hAnsi="Calibri" w:cs="Calibri"/>
                <w:szCs w:val="24"/>
              </w:rPr>
              <w:t>Finding</w:t>
            </w:r>
            <w:r w:rsidR="00B00569">
              <w:rPr>
                <w:szCs w:val="24"/>
              </w:rPr>
              <w:t xml:space="preserve">: </w:t>
            </w:r>
            <w:r w:rsidR="00F07278" w:rsidRPr="00C4084C">
              <w:t>Tertiary education</w:t>
            </w:r>
          </w:p>
          <w:p w14:paraId="26E1CCCF" w14:textId="0E5F7990" w:rsidR="00F07278" w:rsidRPr="00C4084C" w:rsidRDefault="00F07278" w:rsidP="003E5969">
            <w:pPr>
              <w:pStyle w:val="Boxtext0"/>
              <w:spacing w:before="0"/>
            </w:pPr>
            <w:r w:rsidRPr="00C4084C">
              <w:t xml:space="preserve">Many students move between higher education and vocational education throughout their lives to enhance, broaden and update their knowledge and skills. Pathways between vocational education </w:t>
            </w:r>
            <w:r w:rsidRPr="0020392A">
              <w:rPr>
                <w:rStyle w:val="s2"/>
              </w:rPr>
              <w:t>and</w:t>
            </w:r>
            <w:r w:rsidRPr="00C4084C">
              <w:t xml:space="preserve"> training and higher education are currently fragmented and misaligned, making navigation across sectors very difficult. Admission, credit transfer and recognition of prior learning practices are inconsistent and can act as a barrier to further study. These transitions should be made as seamless as possible. </w:t>
            </w:r>
          </w:p>
        </w:tc>
      </w:tr>
    </w:tbl>
    <w:p w14:paraId="046B370C" w14:textId="7CD64D8C" w:rsidR="005B3445" w:rsidRPr="00C4084C" w:rsidRDefault="005B3445" w:rsidP="007B0775">
      <w:pPr>
        <w:pStyle w:val="Heading5"/>
      </w:pPr>
      <w:bookmarkStart w:id="446" w:name="_Toc151807277"/>
      <w:r w:rsidRPr="00C4084C">
        <w:t>Digital infrastructure and platforms</w:t>
      </w:r>
      <w:bookmarkEnd w:id="446"/>
    </w:p>
    <w:p w14:paraId="202B6DBA" w14:textId="5354B37B" w:rsidR="005B3445" w:rsidRPr="00C4084C" w:rsidRDefault="005B3445" w:rsidP="0020392A">
      <w:r w:rsidRPr="00C4084C">
        <w:t xml:space="preserve">Digital infrastructure connects the </w:t>
      </w:r>
      <w:r w:rsidR="0020464C" w:rsidRPr="00C4084C">
        <w:t>higher</w:t>
      </w:r>
      <w:r w:rsidRPr="00C4084C">
        <w:t xml:space="preserve"> education and </w:t>
      </w:r>
      <w:r w:rsidR="5E08F463" w:rsidRPr="00C4084C">
        <w:t>VET</w:t>
      </w:r>
      <w:r w:rsidRPr="00C4084C">
        <w:t xml:space="preserve"> skills systems, providing </w:t>
      </w:r>
      <w:r w:rsidR="00F32F4C" w:rsidRPr="00C4084C">
        <w:t xml:space="preserve">navigation </w:t>
      </w:r>
      <w:r w:rsidRPr="00C4084C">
        <w:t xml:space="preserve">and </w:t>
      </w:r>
      <w:r w:rsidR="00F32F4C" w:rsidRPr="00C4084C">
        <w:t xml:space="preserve">information </w:t>
      </w:r>
      <w:r w:rsidRPr="00C4084C">
        <w:t xml:space="preserve">tools that </w:t>
      </w:r>
      <w:r w:rsidR="00F32F4C" w:rsidRPr="00C4084C">
        <w:t>link</w:t>
      </w:r>
      <w:r w:rsidRPr="00C4084C" w:rsidDel="00F32F4C">
        <w:t xml:space="preserve"> </w:t>
      </w:r>
      <w:r w:rsidRPr="00C4084C">
        <w:t xml:space="preserve">individuals to upskilling and reskilling opportunities. Investment in well-designed digital infrastructure is a powerful way to address issues of equity and access to the tertiary </w:t>
      </w:r>
      <w:r w:rsidR="008540F7" w:rsidRPr="00C4084C">
        <w:t>education</w:t>
      </w:r>
      <w:r w:rsidRPr="00C4084C">
        <w:t xml:space="preserve"> </w:t>
      </w:r>
      <w:r w:rsidRPr="00C4084C">
        <w:lastRenderedPageBreak/>
        <w:t xml:space="preserve">system and an important tool in enabling personalisation of pathways – between and through – the tertiary </w:t>
      </w:r>
      <w:r w:rsidR="008540F7" w:rsidRPr="00C4084C">
        <w:t xml:space="preserve">education </w:t>
      </w:r>
      <w:r w:rsidRPr="00C4084C">
        <w:t>system and into work.</w:t>
      </w:r>
    </w:p>
    <w:p w14:paraId="3D1D2C0C" w14:textId="77777777" w:rsidR="005B3445" w:rsidRPr="00C4084C" w:rsidRDefault="005B3445" w:rsidP="00B1626C">
      <w:pPr>
        <w:pStyle w:val="Heading6"/>
      </w:pPr>
      <w:r w:rsidRPr="00C4084C">
        <w:t>Digital platforms</w:t>
      </w:r>
    </w:p>
    <w:p w14:paraId="232F9A09" w14:textId="2E98281E" w:rsidR="005B3445" w:rsidRPr="00C4084C" w:rsidRDefault="005B3445" w:rsidP="0020392A">
      <w:r w:rsidRPr="00C4084C">
        <w:t>Several reviews cite challenges that students face navigating information for the purpose of career pathways, with information often fragmented across different websites and not always complete.</w:t>
      </w:r>
      <w:r w:rsidRPr="00C4084C">
        <w:rPr>
          <w:rStyle w:val="FootnoteReference"/>
        </w:rPr>
        <w:footnoteReference w:id="136"/>
      </w:r>
      <w:r w:rsidRPr="00C4084C">
        <w:t xml:space="preserve"> Governments have funded numerous digital platforms but there has been a lack of a systemic approach</w:t>
      </w:r>
      <w:r w:rsidR="00DC7F44" w:rsidRPr="00C4084C">
        <w:t xml:space="preserve"> or a clear roadmap</w:t>
      </w:r>
      <w:r w:rsidRPr="00C4084C">
        <w:t xml:space="preserve"> to build these platforms in a way that makes them easy for students to navigate. </w:t>
      </w:r>
    </w:p>
    <w:p w14:paraId="7434FE4B" w14:textId="1CAC287F" w:rsidR="005B3445" w:rsidRPr="00C4084C" w:rsidRDefault="005B3445" w:rsidP="0020392A">
      <w:r w:rsidRPr="00C4084C">
        <w:t xml:space="preserve">These challenges limit learners’ ability to make well-informed choices, and are linked to skills mismatches with labour market demand, tertiary </w:t>
      </w:r>
      <w:r w:rsidR="008540F7" w:rsidRPr="00C4084C">
        <w:t xml:space="preserve">education </w:t>
      </w:r>
      <w:r w:rsidRPr="00C4084C">
        <w:t>system usage, and poor learning outcomes. In recent years, several countries have set up digital platforms that provide students and workers with a record of the skills and qualifications they have attained.</w:t>
      </w:r>
      <w:r w:rsidR="00781D75" w:rsidRPr="00C4084C">
        <w:rPr>
          <w:rStyle w:val="FootnoteReference"/>
        </w:rPr>
        <w:footnoteReference w:id="137"/>
      </w:r>
      <w:r w:rsidRPr="00C4084C">
        <w:t xml:space="preserve"> These platforms aim to standardise access to education records, making it easier for students to compile and present their credentials, and for employers to verify prior learning. The platforms are often linked to skills and labour market information that assists individuals with career choices.</w:t>
      </w:r>
    </w:p>
    <w:p w14:paraId="300C77D6" w14:textId="21CB0842" w:rsidR="005B3445" w:rsidRPr="00C4084C" w:rsidRDefault="005B3445" w:rsidP="0020392A">
      <w:r w:rsidRPr="00C4084C">
        <w:t xml:space="preserve">The </w:t>
      </w:r>
      <w:r w:rsidR="008540F7" w:rsidRPr="00C4084C">
        <w:t xml:space="preserve">Review </w:t>
      </w:r>
      <w:r w:rsidR="00242BC0" w:rsidRPr="00C4084C">
        <w:t xml:space="preserve">recommends </w:t>
      </w:r>
      <w:r w:rsidR="008540F7" w:rsidRPr="00C4084C">
        <w:t>the</w:t>
      </w:r>
      <w:r w:rsidRPr="00C4084C">
        <w:t xml:space="preserve"> Australian </w:t>
      </w:r>
      <w:r w:rsidR="008540F7" w:rsidRPr="00C4084C">
        <w:t>Government</w:t>
      </w:r>
      <w:r w:rsidRPr="00C4084C">
        <w:t xml:space="preserve"> should take a leading role in developing and implementing a unified digital platform for skills and qualifications</w:t>
      </w:r>
      <w:r w:rsidR="00974524" w:rsidRPr="00C4084C">
        <w:t xml:space="preserve"> (see Recommendation </w:t>
      </w:r>
      <w:r w:rsidR="00D40DB6" w:rsidRPr="00C4084C">
        <w:t>4</w:t>
      </w:r>
      <w:r w:rsidR="00974524" w:rsidRPr="00C4084C">
        <w:t>)</w:t>
      </w:r>
      <w:r w:rsidRPr="00C4084C">
        <w:t xml:space="preserve">. There have been positive steps to unite some platforms under the </w:t>
      </w:r>
      <w:proofErr w:type="spellStart"/>
      <w:r w:rsidRPr="00C4084C">
        <w:rPr>
          <w:i/>
        </w:rPr>
        <w:t>YourCareer</w:t>
      </w:r>
      <w:proofErr w:type="spellEnd"/>
      <w:r w:rsidRPr="00C4084C">
        <w:t xml:space="preserve"> </w:t>
      </w:r>
      <w:r w:rsidR="0032275E" w:rsidRPr="00C4084C">
        <w:t>platform</w:t>
      </w:r>
      <w:r w:rsidR="00CE11D1" w:rsidRPr="00C4084C">
        <w:t xml:space="preserve">, including through the incorporation of the learner-facing component of </w:t>
      </w:r>
      <w:proofErr w:type="spellStart"/>
      <w:r w:rsidR="00CE11D1" w:rsidRPr="00C4084C">
        <w:rPr>
          <w:i/>
          <w:iCs/>
        </w:rPr>
        <w:t>MySkills</w:t>
      </w:r>
      <w:proofErr w:type="spellEnd"/>
      <w:r w:rsidRPr="00C4084C">
        <w:t>.</w:t>
      </w:r>
      <w:r w:rsidR="001445E8" w:rsidRPr="00C4084C">
        <w:rPr>
          <w:rStyle w:val="FootnoteReference"/>
        </w:rPr>
        <w:footnoteReference w:id="138"/>
      </w:r>
    </w:p>
    <w:p w14:paraId="695E187E" w14:textId="3BA5CB0F" w:rsidR="005B3445" w:rsidRPr="00C4084C" w:rsidRDefault="005B3445" w:rsidP="0020392A">
      <w:r w:rsidRPr="00C4084C">
        <w:t xml:space="preserve">However, more accessible and navigable information is needed, including digital platforms that identify learning opportunities such as </w:t>
      </w:r>
      <w:proofErr w:type="spellStart"/>
      <w:r w:rsidRPr="00C4084C">
        <w:rPr>
          <w:i/>
        </w:rPr>
        <w:t>MicroCred</w:t>
      </w:r>
      <w:proofErr w:type="spellEnd"/>
      <w:r w:rsidRPr="00C4084C">
        <w:t xml:space="preserve"> </w:t>
      </w:r>
      <w:r w:rsidRPr="00C4084C">
        <w:rPr>
          <w:i/>
        </w:rPr>
        <w:t>Seeker</w:t>
      </w:r>
      <w:r w:rsidR="009A6A88" w:rsidRPr="00C4084C">
        <w:t>,</w:t>
      </w:r>
      <w:r w:rsidR="00F93272" w:rsidRPr="00C4084C">
        <w:rPr>
          <w:rStyle w:val="FootnoteReference"/>
        </w:rPr>
        <w:footnoteReference w:id="139"/>
      </w:r>
      <w:r w:rsidR="00297EEE" w:rsidRPr="00C4084C">
        <w:t xml:space="preserve"> </w:t>
      </w:r>
      <w:proofErr w:type="spellStart"/>
      <w:r w:rsidR="00297EEE" w:rsidRPr="00C4084C">
        <w:rPr>
          <w:i/>
        </w:rPr>
        <w:t>CourseSeeker</w:t>
      </w:r>
      <w:proofErr w:type="spellEnd"/>
      <w:r w:rsidR="00417E83" w:rsidRPr="00C4084C">
        <w:rPr>
          <w:rStyle w:val="FootnoteReference"/>
        </w:rPr>
        <w:footnoteReference w:id="140"/>
      </w:r>
      <w:r w:rsidRPr="00C4084C">
        <w:t xml:space="preserve"> and </w:t>
      </w:r>
      <w:proofErr w:type="spellStart"/>
      <w:r w:rsidRPr="00C4084C">
        <w:rPr>
          <w:i/>
        </w:rPr>
        <w:t>SkillFinder</w:t>
      </w:r>
      <w:proofErr w:type="spellEnd"/>
      <w:r w:rsidR="009A6A88" w:rsidRPr="00C4084C">
        <w:t>.</w:t>
      </w:r>
      <w:r w:rsidR="00FF0732" w:rsidRPr="00C4084C">
        <w:rPr>
          <w:rStyle w:val="FootnoteReference"/>
        </w:rPr>
        <w:footnoteReference w:id="141"/>
      </w:r>
      <w:r w:rsidR="00297EEE" w:rsidRPr="00C4084C">
        <w:t xml:space="preserve"> </w:t>
      </w:r>
      <w:r w:rsidRPr="00C4084C">
        <w:t xml:space="preserve">A platform to access learning credentials such as the National Skills Passport (see below), </w:t>
      </w:r>
      <w:r w:rsidR="00BB2DAE" w:rsidRPr="00C4084C">
        <w:t xml:space="preserve">should </w:t>
      </w:r>
      <w:r w:rsidRPr="00C4084C">
        <w:t>be unified across higher education and VET (i.e. to include and expand learning opportunities on the Your Career platform) to support students to pursue pathways across the tertiary education sector that suit their circumstances.</w:t>
      </w:r>
    </w:p>
    <w:p w14:paraId="59DE8C1D" w14:textId="77777777" w:rsidR="005B3445" w:rsidRPr="00C4084C" w:rsidRDefault="005B3445" w:rsidP="00D10FB1">
      <w:pPr>
        <w:pStyle w:val="Heading6"/>
      </w:pPr>
      <w:r w:rsidRPr="00C4084C">
        <w:t xml:space="preserve">National Skills Passport </w:t>
      </w:r>
    </w:p>
    <w:p w14:paraId="49B2156B" w14:textId="77777777" w:rsidR="005B3445" w:rsidRPr="00C4084C" w:rsidRDefault="005B3445" w:rsidP="0020392A">
      <w:r w:rsidRPr="00C4084C">
        <w:t>A National Skills Passport has the potential to support learners to navigate the skills system and entry and movement across the workforce by providing a consistently recognised document of the qualifications, skills and experience they have acquired, and make it visible to potential employers.</w:t>
      </w:r>
    </w:p>
    <w:p w14:paraId="4FEC7E64" w14:textId="30D8EFDF" w:rsidR="005B3445" w:rsidRPr="00C4084C" w:rsidRDefault="005B3445" w:rsidP="0020392A">
      <w:pPr>
        <w:rPr>
          <w:rFonts w:cstheme="minorHAnsi"/>
        </w:rPr>
      </w:pPr>
      <w:r w:rsidRPr="00C4084C">
        <w:t>The Review commends the</w:t>
      </w:r>
      <w:r w:rsidR="00154411" w:rsidRPr="00C4084C">
        <w:t xml:space="preserve"> Australian</w:t>
      </w:r>
      <w:r w:rsidRPr="00C4084C">
        <w:t xml:space="preserve"> Government</w:t>
      </w:r>
      <w:r w:rsidR="008540F7" w:rsidRPr="00C4084C">
        <w:t>’s</w:t>
      </w:r>
      <w:r w:rsidRPr="00C4084C">
        <w:t xml:space="preserve"> announcement that it will progress a National Skills Passport, in response to the Employment White Paper released in September 2023. </w:t>
      </w:r>
      <w:r w:rsidR="00CE11D1" w:rsidRPr="00C4084C">
        <w:t>A</w:t>
      </w:r>
      <w:r w:rsidRPr="00C4084C">
        <w:t xml:space="preserve"> Skills Passport </w:t>
      </w:r>
      <w:r w:rsidR="00CE11D1" w:rsidRPr="00C4084C">
        <w:t>should</w:t>
      </w:r>
      <w:r w:rsidRPr="00C4084C">
        <w:t xml:space="preserve"> be developed in consultation with industry</w:t>
      </w:r>
      <w:r w:rsidR="0032275E" w:rsidRPr="00C4084C">
        <w:t xml:space="preserve">, unions, students, tertiary </w:t>
      </w:r>
      <w:r w:rsidR="009E51A6" w:rsidRPr="00C4084C">
        <w:t>ed</w:t>
      </w:r>
      <w:r w:rsidR="009B24F4" w:rsidRPr="00C4084C">
        <w:t>ucation</w:t>
      </w:r>
      <w:r w:rsidR="0032275E" w:rsidRPr="00C4084C">
        <w:t xml:space="preserve"> institutions</w:t>
      </w:r>
      <w:r w:rsidRPr="00C4084C">
        <w:t xml:space="preserve"> and </w:t>
      </w:r>
      <w:r w:rsidRPr="00C4084C">
        <w:lastRenderedPageBreak/>
        <w:t>governments, as part of efforts to help workers promote their qualifications, and businesses find more skilled workers.</w:t>
      </w:r>
      <w:r w:rsidRPr="00C4084C">
        <w:rPr>
          <w:rStyle w:val="FootnoteReference"/>
        </w:rPr>
        <w:footnoteReference w:id="142"/>
      </w:r>
      <w:r w:rsidRPr="00C4084C">
        <w:t xml:space="preserve"> A Skills Passport </w:t>
      </w:r>
      <w:r w:rsidR="009A6A88" w:rsidRPr="00C4084C">
        <w:t>would</w:t>
      </w:r>
      <w:r w:rsidR="00EC4336" w:rsidRPr="00C4084C">
        <w:t xml:space="preserve"> </w:t>
      </w:r>
      <w:r w:rsidRPr="00C4084C">
        <w:t xml:space="preserve">provide a comprehensive and nationally recognised platform to document an individual’s skills, </w:t>
      </w:r>
      <w:proofErr w:type="gramStart"/>
      <w:r w:rsidRPr="00C4084C">
        <w:t>qualifications</w:t>
      </w:r>
      <w:proofErr w:type="gramEnd"/>
      <w:r w:rsidRPr="00C4084C">
        <w:t xml:space="preserve"> and competencies. </w:t>
      </w:r>
    </w:p>
    <w:p w14:paraId="3EB997F9" w14:textId="77777777" w:rsidR="005B3445" w:rsidRPr="00C4084C" w:rsidRDefault="005B3445" w:rsidP="00D10FB1">
      <w:pPr>
        <w:pStyle w:val="Heading6"/>
      </w:pPr>
      <w:r w:rsidRPr="00C4084C">
        <w:t>Unique Student Identifier (USI)</w:t>
      </w:r>
    </w:p>
    <w:p w14:paraId="7107F688" w14:textId="71B9CB46" w:rsidR="005B3445" w:rsidRPr="00C4084C" w:rsidRDefault="005B3445" w:rsidP="0020392A">
      <w:r w:rsidRPr="00C4084C">
        <w:t xml:space="preserve">In 2014, the Australian </w:t>
      </w:r>
      <w:r w:rsidR="008540F7" w:rsidRPr="00C4084C">
        <w:t>Government</w:t>
      </w:r>
      <w:r w:rsidRPr="00C4084C">
        <w:t xml:space="preserve"> introduced legislation to establish the USI system, which became operational in 2015. Initially, the USI was used for VET courses and did not cover the entire education system. From 1 January 2023, all higher education students, including those who commenced prior to 2021, must have a USI </w:t>
      </w:r>
      <w:proofErr w:type="gramStart"/>
      <w:r w:rsidRPr="00C4084C">
        <w:t>in order to</w:t>
      </w:r>
      <w:proofErr w:type="gramEnd"/>
      <w:r w:rsidRPr="00C4084C">
        <w:t xml:space="preserve"> receive HELP loans, access Commonwealth supported places, and graduate and receive their award.</w:t>
      </w:r>
    </w:p>
    <w:p w14:paraId="5989BFC2" w14:textId="052FF226" w:rsidR="005B3445" w:rsidRPr="00C4084C" w:rsidRDefault="005B3445" w:rsidP="0020392A">
      <w:r w:rsidRPr="00C4084C">
        <w:t xml:space="preserve">The USI is an essential piece of infrastructure for an interconnected system. The USI enables the creation of a single, </w:t>
      </w:r>
      <w:proofErr w:type="gramStart"/>
      <w:r w:rsidRPr="00C4084C">
        <w:t>comprehensive</w:t>
      </w:r>
      <w:proofErr w:type="gramEnd"/>
      <w:r w:rsidRPr="00C4084C">
        <w:t xml:space="preserve"> and accurate record that encompasses all of a students’ qualifications, awards and statements of attainment from various educational providers. The USI can also facilitate seamless transcript portability. It allows students to share their educational records across different education institutions and </w:t>
      </w:r>
      <w:proofErr w:type="gramStart"/>
      <w:r w:rsidRPr="00C4084C">
        <w:t>employers, and</w:t>
      </w:r>
      <w:proofErr w:type="gramEnd"/>
      <w:r w:rsidRPr="00C4084C">
        <w:t xml:space="preserve"> will be a fundamental enabling feature of an integrated National Skills Passport. It will also assist with RPL by simplifying transitions between learning providers and reducing the administrative burden associated with verifying qualifications.</w:t>
      </w:r>
    </w:p>
    <w:p w14:paraId="148E552A" w14:textId="674E2CDE" w:rsidR="005B3445" w:rsidRPr="00C4084C" w:rsidRDefault="00F32F4C" w:rsidP="0020392A">
      <w:r w:rsidRPr="00C4084C">
        <w:t>T</w:t>
      </w:r>
      <w:r w:rsidR="005B3445" w:rsidRPr="00C4084C">
        <w:t xml:space="preserve">he USI plays a significant role in maintaining the quality and standards of education by providing a linking mechanism for administrative data in education. It aids regulatory bodies and education providers in monitoring trends, identifying patterns, and addressing gaps in the education system. These insights contribute to continuous improvement efforts that enhance the overall quality of education in Australia. The USI also enables the collection of comprehensive data on student participation, </w:t>
      </w:r>
      <w:proofErr w:type="gramStart"/>
      <w:r w:rsidR="005B3445" w:rsidRPr="00C4084C">
        <w:t>progression</w:t>
      </w:r>
      <w:proofErr w:type="gramEnd"/>
      <w:r w:rsidR="005B3445" w:rsidRPr="00C4084C">
        <w:t xml:space="preserve"> and completion rates. This data is crucial for policy development, resource allocation and monitoring the effectiveness of various educational initiatives.</w:t>
      </w:r>
    </w:p>
    <w:p w14:paraId="5F9A2E65" w14:textId="1C3F94D5" w:rsidR="006176CF" w:rsidRPr="00C4084C" w:rsidRDefault="006176CF" w:rsidP="0020392A">
      <w:r w:rsidRPr="00C4084C">
        <w:t xml:space="preserve">Work to support USIs within the Australian schooling system is underway as one of </w:t>
      </w:r>
      <w:r w:rsidR="7FD7EE5E" w:rsidRPr="00C4084C">
        <w:t>8</w:t>
      </w:r>
      <w:r w:rsidRPr="00C4084C">
        <w:t xml:space="preserve"> national policy initiatives in the current National School Reform Agreement. This project will see a USI issued to every Australian school student</w:t>
      </w:r>
      <w:r w:rsidR="00E77DD3" w:rsidRPr="00C4084C">
        <w:t>. It</w:t>
      </w:r>
      <w:r w:rsidRPr="00C4084C">
        <w:t xml:space="preserve"> will travel with them throughout school and into vocational education and training and higher education. The Australian Government is leading implementation of this initiative in collaboration with state and territory governments and the non-government schooling sector.  </w:t>
      </w:r>
    </w:p>
    <w:p w14:paraId="3365DE03" w14:textId="76E06EAD" w:rsidR="005B3445" w:rsidRPr="00C4084C" w:rsidRDefault="005B3445" w:rsidP="0020392A">
      <w:r w:rsidRPr="00C4084C">
        <w:t xml:space="preserve">The </w:t>
      </w:r>
      <w:r w:rsidR="00F32F4C" w:rsidRPr="00C4084C">
        <w:t>R</w:t>
      </w:r>
      <w:r w:rsidRPr="00C4084C">
        <w:t xml:space="preserve">eview </w:t>
      </w:r>
      <w:r w:rsidR="00810FA4" w:rsidRPr="00C4084C">
        <w:t xml:space="preserve">recommends </w:t>
      </w:r>
      <w:r w:rsidRPr="00C4084C">
        <w:t xml:space="preserve">that the USI be further expanded by widening it to all forms of learning, including </w:t>
      </w:r>
      <w:r w:rsidR="004265FF" w:rsidRPr="00C4084C">
        <w:t>continued expansion into the</w:t>
      </w:r>
      <w:r w:rsidRPr="00C4084C">
        <w:t xml:space="preserve"> schooling </w:t>
      </w:r>
      <w:r w:rsidR="004265FF" w:rsidRPr="00C4084C">
        <w:t xml:space="preserve">system </w:t>
      </w:r>
      <w:r w:rsidRPr="00C4084C">
        <w:t xml:space="preserve">and </w:t>
      </w:r>
      <w:r w:rsidR="004265FF" w:rsidRPr="00C4084C">
        <w:t>into</w:t>
      </w:r>
      <w:r w:rsidRPr="00C4084C">
        <w:t xml:space="preserve"> accredited </w:t>
      </w:r>
      <w:proofErr w:type="gramStart"/>
      <w:r w:rsidRPr="00C4084C">
        <w:t>short-form</w:t>
      </w:r>
      <w:proofErr w:type="gramEnd"/>
      <w:r w:rsidRPr="00C4084C">
        <w:t xml:space="preserve"> learning like </w:t>
      </w:r>
      <w:proofErr w:type="spellStart"/>
      <w:r w:rsidRPr="00C4084C">
        <w:t>microcredentials</w:t>
      </w:r>
      <w:proofErr w:type="spellEnd"/>
      <w:r w:rsidR="00974524" w:rsidRPr="00C4084C">
        <w:t xml:space="preserve"> (see Recommendation </w:t>
      </w:r>
      <w:r w:rsidR="00D40DB6" w:rsidRPr="00C4084C">
        <w:t>4</w:t>
      </w:r>
      <w:r w:rsidR="00974524" w:rsidRPr="00C4084C">
        <w:t>)</w:t>
      </w:r>
      <w:r w:rsidRPr="00C4084C">
        <w:t>.</w:t>
      </w:r>
    </w:p>
    <w:p w14:paraId="6602E3F1" w14:textId="77777777" w:rsidR="005B3445" w:rsidRPr="00C4084C" w:rsidRDefault="005B3445" w:rsidP="00BA6095">
      <w:pPr>
        <w:pStyle w:val="Heading4"/>
      </w:pPr>
      <w:bookmarkStart w:id="455" w:name="_Toc150857879"/>
      <w:bookmarkStart w:id="456" w:name="_Toc150857880"/>
      <w:bookmarkStart w:id="457" w:name="_Toc150857881"/>
      <w:bookmarkStart w:id="458" w:name="_Toc150857882"/>
      <w:bookmarkStart w:id="459" w:name="_Toc150857883"/>
      <w:bookmarkStart w:id="460" w:name="_Toc150857884"/>
      <w:bookmarkStart w:id="461" w:name="_Toc150857885"/>
      <w:bookmarkStart w:id="462" w:name="_Toc150857886"/>
      <w:bookmarkStart w:id="463" w:name="_Toc150857887"/>
      <w:bookmarkStart w:id="464" w:name="_Toc150857888"/>
      <w:bookmarkStart w:id="465" w:name="_Toc150857889"/>
      <w:bookmarkStart w:id="466" w:name="_Toc150857890"/>
      <w:bookmarkStart w:id="467" w:name="_Toc150857891"/>
      <w:bookmarkStart w:id="468" w:name="_Toc150857892"/>
      <w:bookmarkStart w:id="469" w:name="_Toc150857893"/>
      <w:bookmarkStart w:id="470" w:name="_Toc151807278"/>
      <w:bookmarkStart w:id="471" w:name="_Ref152172160"/>
      <w:bookmarkStart w:id="472" w:name="_Ref152172175"/>
      <w:bookmarkStart w:id="473" w:name="_Toc1915318938"/>
      <w:bookmarkStart w:id="474" w:name="_Toc153483018"/>
      <w:bookmarkStart w:id="475" w:name="_Toc159500928"/>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r w:rsidRPr="00C4084C">
        <w:t>Supporting more people to upskill and reskill (lifelong learning)</w:t>
      </w:r>
      <w:bookmarkEnd w:id="470"/>
      <w:bookmarkEnd w:id="471"/>
      <w:bookmarkEnd w:id="472"/>
      <w:bookmarkEnd w:id="473"/>
      <w:bookmarkEnd w:id="474"/>
      <w:bookmarkEnd w:id="475"/>
    </w:p>
    <w:p w14:paraId="17EF8000" w14:textId="6E3031B7" w:rsidR="005B3445" w:rsidRPr="00C4084C" w:rsidRDefault="005B3445" w:rsidP="0020392A">
      <w:r w:rsidRPr="00C4084C">
        <w:t xml:space="preserve">Automation and the digital revolution, </w:t>
      </w:r>
      <w:r w:rsidR="00ED65BD" w:rsidRPr="00C4084C">
        <w:t xml:space="preserve">and </w:t>
      </w:r>
      <w:r w:rsidRPr="00C4084C">
        <w:t>climate change</w:t>
      </w:r>
      <w:r w:rsidR="003B026C">
        <w:t>,</w:t>
      </w:r>
      <w:r w:rsidRPr="00C4084C">
        <w:t xml:space="preserve"> are </w:t>
      </w:r>
      <w:r w:rsidR="00A7362A" w:rsidRPr="00C4084C">
        <w:t xml:space="preserve">two critical factors that are </w:t>
      </w:r>
      <w:r w:rsidRPr="00C4084C">
        <w:t xml:space="preserve">significantly affecting the job market, rendering certain skills obsolete whilst creating demand for new ones. The linear career trajectory is giving way to a dynamic employment landscape characterised by the need for </w:t>
      </w:r>
      <w:r w:rsidR="0020516C" w:rsidRPr="00C4084C">
        <w:t xml:space="preserve">more regular </w:t>
      </w:r>
      <w:r w:rsidRPr="00C4084C">
        <w:t>skilling</w:t>
      </w:r>
      <w:r w:rsidR="00141D42" w:rsidRPr="00C4084C">
        <w:t>.</w:t>
      </w:r>
      <w:r w:rsidR="0020516C" w:rsidRPr="00C4084C">
        <w:rPr>
          <w:rStyle w:val="FootnoteReference"/>
        </w:rPr>
        <w:footnoteReference w:id="143"/>
      </w:r>
      <w:r w:rsidRPr="00C4084C">
        <w:t xml:space="preserve"> As such, in addition to expanding the number of younger people obtaining initial qualifications, we also need to facilitate more people undertaking lifelong study to support upskilling and reskilling.</w:t>
      </w:r>
    </w:p>
    <w:p w14:paraId="5A0E459B" w14:textId="78AC2DD5" w:rsidR="005B3445" w:rsidRPr="00C4084C" w:rsidRDefault="005B3445" w:rsidP="0020392A">
      <w:r w:rsidRPr="00C4084C">
        <w:lastRenderedPageBreak/>
        <w:t xml:space="preserve">Lifelong learning is not a new concept. It featured prominently in the 1990s </w:t>
      </w:r>
      <w:r w:rsidR="00AC5298" w:rsidRPr="00C4084C">
        <w:t>and was used in implementing</w:t>
      </w:r>
      <w:r w:rsidRPr="00C4084C">
        <w:t xml:space="preserve"> the Dawkins reforms</w:t>
      </w:r>
      <w:r w:rsidRPr="00C4084C">
        <w:rPr>
          <w:szCs w:val="24"/>
        </w:rPr>
        <w:t>,</w:t>
      </w:r>
      <w:r w:rsidRPr="00C4084C">
        <w:t xml:space="preserve"> which highlighted the importance of lifelong learning to address </w:t>
      </w:r>
      <w:r w:rsidR="008F5644" w:rsidRPr="00C4084C">
        <w:t>“</w:t>
      </w:r>
      <w:r w:rsidRPr="00C4084C">
        <w:t>the growing pressures for skills development</w:t>
      </w:r>
      <w:r w:rsidR="008F5644" w:rsidRPr="00C4084C">
        <w:t>”</w:t>
      </w:r>
      <w:r w:rsidRPr="00C4084C">
        <w:t xml:space="preserve"> which</w:t>
      </w:r>
      <w:r w:rsidRPr="00C4084C">
        <w:rPr>
          <w:szCs w:val="24"/>
        </w:rPr>
        <w:t xml:space="preserve"> </w:t>
      </w:r>
      <w:r w:rsidRPr="00C4084C">
        <w:t xml:space="preserve">required changes </w:t>
      </w:r>
      <w:r w:rsidR="008F5644" w:rsidRPr="00C4084C">
        <w:t>“</w:t>
      </w:r>
      <w:r w:rsidRPr="00C4084C">
        <w:t>associated with award restructuring, changes in industry structure, technology, and in Australia’s demographic profile and the role of women in the workforce and society</w:t>
      </w:r>
      <w:r w:rsidR="008F5644" w:rsidRPr="00C4084C">
        <w:t>”</w:t>
      </w:r>
      <w:r w:rsidR="003109D6">
        <w:t>.</w:t>
      </w:r>
      <w:r w:rsidRPr="00C4084C">
        <w:rPr>
          <w:rStyle w:val="FootnoteReference"/>
        </w:rPr>
        <w:footnoteReference w:id="144"/>
      </w:r>
    </w:p>
    <w:p w14:paraId="709141B1" w14:textId="626BC973" w:rsidR="005B3445" w:rsidRPr="00C4084C" w:rsidRDefault="005B3445" w:rsidP="0020392A">
      <w:pPr>
        <w:rPr>
          <w:lang w:eastAsia="zh-CN" w:bidi="th-TH"/>
        </w:rPr>
      </w:pPr>
      <w:r w:rsidRPr="00C4084C">
        <w:t xml:space="preserve">However, since that time, not enough has been done to expand the availability of lifelong learning. </w:t>
      </w:r>
      <w:r w:rsidRPr="00C4084C">
        <w:rPr>
          <w:lang w:eastAsia="zh-CN" w:bidi="th-TH"/>
        </w:rPr>
        <w:t xml:space="preserve">The need is now greater and is fundamentally being driven by the growth of knowledge and its application in every part of society. Knowledge-intensive and technological innovation </w:t>
      </w:r>
      <w:r w:rsidR="00CD1A4A">
        <w:rPr>
          <w:lang w:eastAsia="zh-CN" w:bidi="th-TH"/>
        </w:rPr>
        <w:t>is</w:t>
      </w:r>
      <w:r w:rsidR="00CD1A4A" w:rsidRPr="00C4084C">
        <w:rPr>
          <w:lang w:eastAsia="zh-CN" w:bidi="th-TH"/>
        </w:rPr>
        <w:t xml:space="preserve"> </w:t>
      </w:r>
      <w:r w:rsidRPr="00C4084C">
        <w:rPr>
          <w:lang w:eastAsia="zh-CN" w:bidi="th-TH"/>
        </w:rPr>
        <w:t xml:space="preserve">creating rapid changes </w:t>
      </w:r>
      <w:proofErr w:type="gramStart"/>
      <w:r w:rsidRPr="00C4084C">
        <w:rPr>
          <w:lang w:eastAsia="zh-CN" w:bidi="th-TH"/>
        </w:rPr>
        <w:t>in the nature of work</w:t>
      </w:r>
      <w:proofErr w:type="gramEnd"/>
      <w:r w:rsidRPr="00C4084C">
        <w:rPr>
          <w:lang w:eastAsia="zh-CN" w:bidi="th-TH"/>
        </w:rPr>
        <w:t xml:space="preserve"> in many occupations, while also driving the transformation and restructuring of entire industries. </w:t>
      </w:r>
    </w:p>
    <w:p w14:paraId="0F922335" w14:textId="77777777" w:rsidR="005B3445" w:rsidRPr="00C4084C" w:rsidRDefault="005B3445" w:rsidP="0020392A">
      <w:pPr>
        <w:rPr>
          <w:rFonts w:ascii="Calibri" w:eastAsia="Calibri" w:hAnsi="Calibri" w:cs="Calibri"/>
        </w:rPr>
      </w:pPr>
      <w:r w:rsidRPr="00C4084C">
        <w:t xml:space="preserve">The Productivity Commission suggests that lifelong learning is no longer just a choice but a necessity due to technological advancements, </w:t>
      </w:r>
      <w:proofErr w:type="gramStart"/>
      <w:r w:rsidRPr="00C4084C">
        <w:t>globalisation</w:t>
      </w:r>
      <w:proofErr w:type="gramEnd"/>
      <w:r w:rsidRPr="00C4084C">
        <w:t xml:space="preserve"> and demographic shifts. It makes clear that reform to strengthen foundational learning and provide individuals with a wider range of flexible training options throughout their careers is necessary to deliver the skills Australia needs.</w:t>
      </w:r>
      <w:r w:rsidRPr="00C4084C">
        <w:rPr>
          <w:rStyle w:val="FootnoteReference"/>
        </w:rPr>
        <w:footnoteReference w:id="145"/>
      </w:r>
      <w:r w:rsidRPr="00C4084C">
        <w:t xml:space="preserve"> </w:t>
      </w:r>
    </w:p>
    <w:p w14:paraId="745D5E20" w14:textId="0067427D" w:rsidR="005B3445" w:rsidRPr="00C4084C" w:rsidRDefault="005B3445" w:rsidP="0020392A">
      <w:pPr>
        <w:rPr>
          <w:rFonts w:ascii="Calibri" w:eastAsia="Calibri" w:hAnsi="Calibri" w:cs="Calibri"/>
        </w:rPr>
      </w:pPr>
      <w:r w:rsidRPr="00C4084C">
        <w:rPr>
          <w:rFonts w:ascii="Calibri" w:eastAsia="Calibri" w:hAnsi="Calibri" w:cs="Calibri"/>
        </w:rPr>
        <w:t>The</w:t>
      </w:r>
      <w:r w:rsidRPr="00C4084C">
        <w:t xml:space="preserve"> Review has heard that </w:t>
      </w:r>
      <w:r w:rsidR="00693144" w:rsidRPr="00C4084C">
        <w:t>the</w:t>
      </w:r>
      <w:r w:rsidRPr="00C4084C">
        <w:t xml:space="preserve"> </w:t>
      </w:r>
      <w:r w:rsidR="00B06CFE" w:rsidRPr="00C4084C">
        <w:t xml:space="preserve">regulatory, </w:t>
      </w:r>
      <w:r w:rsidR="00133232" w:rsidRPr="00C4084C">
        <w:t>course</w:t>
      </w:r>
      <w:r w:rsidR="00B06CFE" w:rsidRPr="00C4084C">
        <w:t xml:space="preserve"> and institutional</w:t>
      </w:r>
      <w:r w:rsidRPr="00C4084C">
        <w:t xml:space="preserve"> structures </w:t>
      </w:r>
      <w:r w:rsidR="00693144" w:rsidRPr="00C4084C">
        <w:t>within the tertiary education system</w:t>
      </w:r>
      <w:r w:rsidRPr="00C4084C">
        <w:t xml:space="preserve"> are not</w:t>
      </w:r>
      <w:r w:rsidR="00B06CFE" w:rsidRPr="00C4084C">
        <w:t xml:space="preserve"> currently</w:t>
      </w:r>
      <w:r w:rsidRPr="00C4084C">
        <w:t xml:space="preserve"> capable of supporting either the level of participation or the speed of learning and adaptation that Australia’s changing economic structure demands.</w:t>
      </w:r>
      <w:r w:rsidR="00133232" w:rsidRPr="00C4084C">
        <w:rPr>
          <w:rStyle w:val="FootnoteReference"/>
        </w:rPr>
        <w:footnoteReference w:id="146"/>
      </w:r>
      <w:r w:rsidRPr="00C4084C">
        <w:t xml:space="preserve"> The OECD notes that the financial burden associated with lifelong learning can be prohibitive, especially for adults with other financial responsibilities.</w:t>
      </w:r>
      <w:r w:rsidRPr="00C4084C">
        <w:rPr>
          <w:rFonts w:ascii="Calibri" w:eastAsia="Calibri" w:hAnsi="Calibri" w:cs="Calibri"/>
          <w:vertAlign w:val="superscript"/>
        </w:rPr>
        <w:footnoteReference w:id="147"/>
      </w:r>
    </w:p>
    <w:p w14:paraId="0BC099F5" w14:textId="77777777" w:rsidR="003618EA" w:rsidRPr="00C4084C" w:rsidRDefault="005B3445" w:rsidP="007B0775">
      <w:pPr>
        <w:pStyle w:val="Heading5"/>
      </w:pPr>
      <w:bookmarkStart w:id="476" w:name="_Toc151807279"/>
      <w:proofErr w:type="spellStart"/>
      <w:r w:rsidRPr="00C4084C">
        <w:t>Microcredentials</w:t>
      </w:r>
      <w:bookmarkEnd w:id="476"/>
      <w:proofErr w:type="spellEnd"/>
    </w:p>
    <w:p w14:paraId="002CDE5A" w14:textId="7F220936" w:rsidR="005B3445" w:rsidRPr="00C4084C" w:rsidRDefault="005B3445" w:rsidP="0020392A">
      <w:r w:rsidRPr="00C4084C">
        <w:t xml:space="preserve">Over the past decade, </w:t>
      </w:r>
      <w:proofErr w:type="spellStart"/>
      <w:r w:rsidRPr="00C4084C">
        <w:t>microcredentials</w:t>
      </w:r>
      <w:proofErr w:type="spellEnd"/>
      <w:r w:rsidRPr="00C4084C">
        <w:t xml:space="preserve"> and other short courses have gained popularity as they offer a fast</w:t>
      </w:r>
      <w:r w:rsidR="00371ED4" w:rsidRPr="00C4084C">
        <w:t>er</w:t>
      </w:r>
      <w:r w:rsidRPr="00C4084C">
        <w:t xml:space="preserve">, </w:t>
      </w:r>
      <w:proofErr w:type="gramStart"/>
      <w:r w:rsidRPr="00C4084C">
        <w:t>accessible</w:t>
      </w:r>
      <w:proofErr w:type="gramEnd"/>
      <w:r w:rsidRPr="00C4084C">
        <w:t xml:space="preserve"> and affordable way to gain specific </w:t>
      </w:r>
      <w:r w:rsidR="003F3DDB" w:rsidRPr="00C4084C">
        <w:t>credentials</w:t>
      </w:r>
      <w:r w:rsidRPr="00C4084C">
        <w:t xml:space="preserve"> that are relevant to industry needs. </w:t>
      </w:r>
      <w:proofErr w:type="spellStart"/>
      <w:r w:rsidR="002D1172" w:rsidRPr="00C4084C">
        <w:t>Microcredentials</w:t>
      </w:r>
      <w:proofErr w:type="spellEnd"/>
      <w:r w:rsidR="002D1172" w:rsidRPr="00C4084C">
        <w:t xml:space="preserve"> are shorter than existing Australian Qualifications Framework (AQF) qualifications and build on broader core knowledge and skills. Where they contribute to a larger body of structured and coherent knowledge, they may be aggregated into larger qualifications.</w:t>
      </w:r>
      <w:r w:rsidR="00EA06FB" w:rsidRPr="00C4084C">
        <w:rPr>
          <w:rStyle w:val="FootnoteReference"/>
        </w:rPr>
        <w:footnoteReference w:id="148"/>
      </w:r>
      <w:r w:rsidR="002D1172" w:rsidRPr="00C4084C">
        <w:t xml:space="preserve"> </w:t>
      </w:r>
      <w:r w:rsidRPr="00C4084C">
        <w:t xml:space="preserve">Nationally and internationally recognised </w:t>
      </w:r>
      <w:proofErr w:type="spellStart"/>
      <w:r w:rsidRPr="00C4084C">
        <w:t>microcredentials</w:t>
      </w:r>
      <w:proofErr w:type="spellEnd"/>
      <w:r w:rsidRPr="00C4084C">
        <w:t xml:space="preserve"> are already being developed for this purpose and are starting to be incorporated into Australia’s </w:t>
      </w:r>
      <w:r w:rsidR="00B052A2" w:rsidRPr="00C4084C">
        <w:t>higher education sector</w:t>
      </w:r>
      <w:r w:rsidRPr="00C4084C">
        <w:t xml:space="preserve">. </w:t>
      </w:r>
      <w:r w:rsidR="00B052A2" w:rsidRPr="00C4084C">
        <w:t xml:space="preserve">The VET sector has </w:t>
      </w:r>
      <w:r w:rsidR="005C62E2" w:rsidRPr="00C4084C">
        <w:t>a robust</w:t>
      </w:r>
      <w:r w:rsidRPr="00C4084C">
        <w:t xml:space="preserve"> system</w:t>
      </w:r>
      <w:r w:rsidR="005C62E2" w:rsidRPr="00C4084C">
        <w:t xml:space="preserve"> of </w:t>
      </w:r>
      <w:r w:rsidR="005E7F8F" w:rsidRPr="00C4084C">
        <w:t xml:space="preserve">nationally </w:t>
      </w:r>
      <w:r w:rsidR="005C62E2" w:rsidRPr="00C4084C">
        <w:t xml:space="preserve">recognised </w:t>
      </w:r>
      <w:proofErr w:type="spellStart"/>
      <w:r w:rsidR="005C62E2" w:rsidRPr="00C4084C">
        <w:t>microcredentials</w:t>
      </w:r>
      <w:proofErr w:type="spellEnd"/>
      <w:r w:rsidR="005C62E2" w:rsidRPr="00C4084C">
        <w:t xml:space="preserve"> through skill sets or accredited short courses</w:t>
      </w:r>
      <w:r w:rsidR="005E7F8F" w:rsidRPr="00C4084C">
        <w:t xml:space="preserve"> to support upskilling o</w:t>
      </w:r>
      <w:r w:rsidR="001E5259" w:rsidRPr="00C4084C">
        <w:t>f</w:t>
      </w:r>
      <w:r w:rsidR="005E7F8F" w:rsidRPr="00C4084C">
        <w:t xml:space="preserve"> workers</w:t>
      </w:r>
      <w:r w:rsidRPr="00C4084C">
        <w:t xml:space="preserve">. </w:t>
      </w:r>
    </w:p>
    <w:p w14:paraId="545AE47B" w14:textId="56379ECE" w:rsidR="005B3445" w:rsidRPr="00C4084C" w:rsidRDefault="006A0F85" w:rsidP="0020392A">
      <w:r w:rsidRPr="00C4084C">
        <w:t>The Australian</w:t>
      </w:r>
      <w:r w:rsidR="005B3445" w:rsidRPr="00C4084C">
        <w:t xml:space="preserve"> </w:t>
      </w:r>
      <w:r w:rsidRPr="00C4084C">
        <w:t>G</w:t>
      </w:r>
      <w:r w:rsidR="00DB4E4F" w:rsidRPr="00C4084C">
        <w:t xml:space="preserve">overnment </w:t>
      </w:r>
      <w:r w:rsidR="005B3445" w:rsidRPr="00C4084C">
        <w:t xml:space="preserve">is funding a </w:t>
      </w:r>
      <w:proofErr w:type="spellStart"/>
      <w:r w:rsidR="005B3445" w:rsidRPr="00C4084C">
        <w:t>Microcredentials</w:t>
      </w:r>
      <w:proofErr w:type="spellEnd"/>
      <w:r w:rsidR="005B3445" w:rsidRPr="00C4084C">
        <w:t xml:space="preserve"> Pilot in higher education specifically targeted at areas of key skills need</w:t>
      </w:r>
      <w:r w:rsidR="33E8B4C4" w:rsidRPr="00C4084C">
        <w:t xml:space="preserve"> (explored below)</w:t>
      </w:r>
      <w:r w:rsidR="005B3445" w:rsidRPr="00C4084C">
        <w:t>. As noted in the Interim Report, New Zealand</w:t>
      </w:r>
      <w:r w:rsidR="27489CE6" w:rsidRPr="00C4084C">
        <w:t>’s</w:t>
      </w:r>
      <w:r w:rsidR="00C337DD" w:rsidRPr="00C4084C">
        <w:t xml:space="preserve"> </w:t>
      </w:r>
      <w:r w:rsidR="005B3445" w:rsidRPr="00C4084C">
        <w:t xml:space="preserve">national qualification authority accredits </w:t>
      </w:r>
      <w:proofErr w:type="spellStart"/>
      <w:r w:rsidR="005B3445" w:rsidRPr="00C4084C">
        <w:t>microcredentials</w:t>
      </w:r>
      <w:proofErr w:type="spellEnd"/>
      <w:r w:rsidR="005B3445" w:rsidRPr="00C4084C">
        <w:t xml:space="preserve"> as well as assigning them credit points</w:t>
      </w:r>
      <w:r w:rsidR="2D0F06B3" w:rsidRPr="00C4084C">
        <w:t>.</w:t>
      </w:r>
      <w:r w:rsidR="006D0E66" w:rsidRPr="00C4084C">
        <w:rPr>
          <w:rStyle w:val="FootnoteReference"/>
        </w:rPr>
        <w:footnoteReference w:id="149"/>
      </w:r>
      <w:r w:rsidR="005B3445" w:rsidRPr="00C4084C">
        <w:t xml:space="preserve"> </w:t>
      </w:r>
      <w:r w:rsidR="3CDFF8B1" w:rsidRPr="00C4084C">
        <w:t>T</w:t>
      </w:r>
      <w:r w:rsidR="005B3445" w:rsidRPr="00C4084C">
        <w:t>he</w:t>
      </w:r>
      <w:r w:rsidR="00FC7187" w:rsidRPr="00C4084C">
        <w:t xml:space="preserve"> Government of the</w:t>
      </w:r>
      <w:r w:rsidR="005B3445" w:rsidRPr="00C4084C">
        <w:t xml:space="preserve"> United Kingdom is trialling higher education short courses as part of its approach to </w:t>
      </w:r>
      <w:r w:rsidR="005B3445" w:rsidRPr="00C4084C">
        <w:lastRenderedPageBreak/>
        <w:t>delivering a new student finance product, designed to provide learners with shorter, flexible options to develop their skills.</w:t>
      </w:r>
      <w:r w:rsidR="005B3445" w:rsidRPr="00C4084C">
        <w:rPr>
          <w:rStyle w:val="FootnoteReference"/>
        </w:rPr>
        <w:footnoteReference w:id="150"/>
      </w:r>
      <w:r w:rsidR="005B3445" w:rsidRPr="00C4084C" w:rsidDel="00BD30B6">
        <w:t xml:space="preserve"> </w:t>
      </w:r>
    </w:p>
    <w:p w14:paraId="3DFC2EF5" w14:textId="3C8A4593" w:rsidR="005B3445" w:rsidRPr="00C4084C" w:rsidRDefault="005B3445" w:rsidP="0020392A">
      <w:r w:rsidRPr="00C4084C">
        <w:t xml:space="preserve">Some sectors, including technology and broader ICT development, have been proactive in developing their own, industry-specific </w:t>
      </w:r>
      <w:proofErr w:type="spellStart"/>
      <w:r w:rsidRPr="00C4084C">
        <w:t>microcredentials</w:t>
      </w:r>
      <w:proofErr w:type="spellEnd"/>
      <w:r w:rsidRPr="00C4084C">
        <w:t xml:space="preserve">. </w:t>
      </w:r>
      <w:r w:rsidR="00985FD6" w:rsidRPr="00C4084C">
        <w:t>As an example</w:t>
      </w:r>
      <w:r w:rsidR="001E77E0" w:rsidRPr="00C4084C">
        <w:t>,</w:t>
      </w:r>
      <w:r w:rsidR="00985FD6" w:rsidRPr="00C4084C">
        <w:t xml:space="preserve"> the Australian Computer Society offers a range of </w:t>
      </w:r>
      <w:proofErr w:type="spellStart"/>
      <w:r w:rsidR="00985FD6" w:rsidRPr="00C4084C">
        <w:t>microcredentials</w:t>
      </w:r>
      <w:proofErr w:type="spellEnd"/>
      <w:r w:rsidR="0070554D" w:rsidRPr="00C4084C">
        <w:t xml:space="preserve"> to</w:t>
      </w:r>
      <w:r w:rsidR="00985FD6" w:rsidRPr="00C4084C">
        <w:t xml:space="preserve"> </w:t>
      </w:r>
      <w:r w:rsidR="0070554D" w:rsidRPr="00C4084C">
        <w:t xml:space="preserve">enable recognition and validation of skills and knowledge across a range of specialisms and function areas within </w:t>
      </w:r>
      <w:r w:rsidR="003109D6">
        <w:t xml:space="preserve">the </w:t>
      </w:r>
      <w:r w:rsidR="0070554D" w:rsidRPr="00C4084C">
        <w:t>Information/Cyber Security discipline.</w:t>
      </w:r>
      <w:r w:rsidR="00F8755A" w:rsidRPr="00C4084C">
        <w:rPr>
          <w:rStyle w:val="FootnoteReference"/>
        </w:rPr>
        <w:footnoteReference w:id="151"/>
      </w:r>
      <w:r w:rsidR="0070554D" w:rsidRPr="00C4084C">
        <w:t xml:space="preserve"> </w:t>
      </w:r>
      <w:r w:rsidRPr="00C4084C">
        <w:t xml:space="preserve">Often these are offered independently rather than through tertiary </w:t>
      </w:r>
      <w:r w:rsidR="00A44BB1" w:rsidRPr="00C4084C">
        <w:t xml:space="preserve">education </w:t>
      </w:r>
      <w:r w:rsidRPr="00C4084C">
        <w:t xml:space="preserve">providers. In such cases, significant government participation may be unwarranted. Other sectors, such as clean energy, require active and innovative government partnerships with tertiary </w:t>
      </w:r>
      <w:r w:rsidR="00CD1A4A">
        <w:t xml:space="preserve">education </w:t>
      </w:r>
      <w:r w:rsidRPr="00C4084C">
        <w:t xml:space="preserve">providers to develop </w:t>
      </w:r>
      <w:proofErr w:type="spellStart"/>
      <w:r w:rsidRPr="00C4084C">
        <w:t>microcredentials</w:t>
      </w:r>
      <w:proofErr w:type="spellEnd"/>
      <w:r w:rsidRPr="00C4084C">
        <w:t xml:space="preserve"> to meet industry skills shortages.</w:t>
      </w:r>
      <w:r w:rsidR="004265FF" w:rsidRPr="00C4084C">
        <w:t xml:space="preserve"> But students doing such courses should </w:t>
      </w:r>
      <w:r w:rsidR="007073DB" w:rsidRPr="00C4084C">
        <w:t xml:space="preserve">be able to </w:t>
      </w:r>
      <w:r w:rsidR="004265FF" w:rsidRPr="00C4084C">
        <w:t>apply for credit for these through RPL mechanisms if they wish to stack them with a higher education</w:t>
      </w:r>
      <w:r w:rsidR="003109D6">
        <w:t>-</w:t>
      </w:r>
      <w:r w:rsidR="004265FF" w:rsidRPr="00C4084C">
        <w:t xml:space="preserve">offered </w:t>
      </w:r>
      <w:proofErr w:type="spellStart"/>
      <w:r w:rsidR="004265FF" w:rsidRPr="00C4084C">
        <w:t>microcredential</w:t>
      </w:r>
      <w:proofErr w:type="spellEnd"/>
      <w:r w:rsidR="004265FF" w:rsidRPr="00C4084C">
        <w:t>.</w:t>
      </w:r>
    </w:p>
    <w:p w14:paraId="0EA240ED" w14:textId="5C1C3A29" w:rsidR="005B3445" w:rsidRPr="00C4084C" w:rsidRDefault="005B3445" w:rsidP="0020392A">
      <w:proofErr w:type="spellStart"/>
      <w:r w:rsidRPr="00C4084C">
        <w:t>Microcredentials</w:t>
      </w:r>
      <w:proofErr w:type="spellEnd"/>
      <w:r w:rsidRPr="00C4084C">
        <w:t xml:space="preserve"> provide learners with flexible, </w:t>
      </w:r>
      <w:proofErr w:type="gramStart"/>
      <w:r w:rsidRPr="00C4084C">
        <w:t>modular</w:t>
      </w:r>
      <w:proofErr w:type="gramEnd"/>
      <w:r w:rsidRPr="00C4084C">
        <w:t xml:space="preserve"> and inclusive methods to acquire skills rapidly</w:t>
      </w:r>
      <w:r w:rsidR="00F32F4C" w:rsidRPr="00C4084C">
        <w:t xml:space="preserve"> </w:t>
      </w:r>
      <w:r w:rsidR="00AF2F6A" w:rsidRPr="00C4084C">
        <w:t>and they</w:t>
      </w:r>
      <w:r w:rsidR="00F32F4C" w:rsidRPr="00C4084C">
        <w:t xml:space="preserve"> give</w:t>
      </w:r>
      <w:r w:rsidR="00017185" w:rsidRPr="00C4084C">
        <w:t xml:space="preserve"> </w:t>
      </w:r>
      <w:r w:rsidR="00D73738" w:rsidRPr="00C4084C">
        <w:t>tertiary education</w:t>
      </w:r>
      <w:r w:rsidR="00017185" w:rsidRPr="00C4084C">
        <w:t xml:space="preserve"> </w:t>
      </w:r>
      <w:r w:rsidRPr="00C4084C">
        <w:t>providers an industry-aligned offering that is quick-to-market. They can help people to continually update and refresh their skills across their lifetimes, in addition to obtaining foundational and enduring knowledge from existing higher education and VET qualifications.</w:t>
      </w:r>
      <w:r w:rsidR="00857C91" w:rsidRPr="00C4084C">
        <w:t xml:space="preserve"> </w:t>
      </w:r>
      <w:r w:rsidRPr="00C4084C">
        <w:t xml:space="preserve">The Review has heard from industry </w:t>
      </w:r>
      <w:r w:rsidR="00F56A04">
        <w:t xml:space="preserve">about its interest </w:t>
      </w:r>
      <w:r w:rsidRPr="00C4084C">
        <w:t xml:space="preserve">in </w:t>
      </w:r>
      <w:r w:rsidR="51F69427" w:rsidRPr="00C4084C">
        <w:t>using</w:t>
      </w:r>
      <w:r w:rsidRPr="00C4084C">
        <w:t xml:space="preserve"> </w:t>
      </w:r>
      <w:proofErr w:type="spellStart"/>
      <w:r w:rsidRPr="00C4084C">
        <w:t>microcredentials</w:t>
      </w:r>
      <w:proofErr w:type="spellEnd"/>
      <w:r w:rsidRPr="00C4084C">
        <w:t xml:space="preserve"> to address specific skills needs across many sectors of the economy. </w:t>
      </w:r>
      <w:proofErr w:type="spellStart"/>
      <w:r w:rsidRPr="00C4084C">
        <w:t>Microcredentials</w:t>
      </w:r>
      <w:proofErr w:type="spellEnd"/>
      <w:r w:rsidRPr="00C4084C">
        <w:t xml:space="preserve"> will also be important for addressing identified skills gaps and industry workforce demand, especially for employees in industries undergoing transitions.</w:t>
      </w:r>
    </w:p>
    <w:p w14:paraId="01A1885D" w14:textId="22373070" w:rsidR="005B3445" w:rsidRPr="00C4084C" w:rsidRDefault="005B3445" w:rsidP="0020392A">
      <w:pPr>
        <w:rPr>
          <w:i/>
        </w:rPr>
      </w:pPr>
      <w:r w:rsidRPr="00C4084C">
        <w:t xml:space="preserve">Despite these opportunities and benefits, the flexible and online nature of </w:t>
      </w:r>
      <w:proofErr w:type="spellStart"/>
      <w:r w:rsidRPr="00C4084C">
        <w:t>microcredentials</w:t>
      </w:r>
      <w:proofErr w:type="spellEnd"/>
      <w:r w:rsidRPr="00C4084C">
        <w:t xml:space="preserve"> challenges </w:t>
      </w:r>
      <w:r w:rsidR="00D70093" w:rsidRPr="00C4084C">
        <w:t>som</w:t>
      </w:r>
      <w:r w:rsidR="037F303E" w:rsidRPr="00C4084C">
        <w:t>e</w:t>
      </w:r>
      <w:r w:rsidR="00D70093" w:rsidRPr="00C4084C">
        <w:t xml:space="preserve"> </w:t>
      </w:r>
      <w:r w:rsidRPr="00C4084C">
        <w:t xml:space="preserve">traditional </w:t>
      </w:r>
      <w:r w:rsidR="00D70093" w:rsidRPr="00C4084C">
        <w:t xml:space="preserve">aspects of the </w:t>
      </w:r>
      <w:r w:rsidRPr="00C4084C">
        <w:t>tertiary education system</w:t>
      </w:r>
      <w:r w:rsidR="00D70093" w:rsidRPr="00C4084C">
        <w:t>.</w:t>
      </w:r>
      <w:r w:rsidRPr="00C4084C">
        <w:t xml:space="preserve"> </w:t>
      </w:r>
      <w:r w:rsidR="00D70093" w:rsidRPr="00C4084C">
        <w:t xml:space="preserve">Industry and business </w:t>
      </w:r>
      <w:r w:rsidRPr="00C4084C">
        <w:t>need a short timeframe between development and delivery</w:t>
      </w:r>
      <w:r w:rsidR="003109D6">
        <w:t>, and this</w:t>
      </w:r>
      <w:r w:rsidRPr="00C4084C">
        <w:t xml:space="preserve"> is often at odds with the timeframes required to develop a fully assessed and approved </w:t>
      </w:r>
      <w:proofErr w:type="spellStart"/>
      <w:r w:rsidRPr="00C4084C">
        <w:t>microcredential</w:t>
      </w:r>
      <w:proofErr w:type="spellEnd"/>
      <w:r w:rsidRPr="00C4084C">
        <w:t xml:space="preserve"> at a tertiary </w:t>
      </w:r>
      <w:r w:rsidR="00AF2F6A" w:rsidRPr="00C4084C">
        <w:t>education</w:t>
      </w:r>
      <w:r w:rsidRPr="00C4084C">
        <w:t xml:space="preserve"> institution.</w:t>
      </w:r>
    </w:p>
    <w:p w14:paraId="2CF8F71B" w14:textId="053D03FF" w:rsidR="005B3445" w:rsidRPr="00C4084C" w:rsidRDefault="005B3445" w:rsidP="0020392A">
      <w:r w:rsidRPr="00C4084C">
        <w:t xml:space="preserve">The Review considers that there are many important and valuable </w:t>
      </w:r>
      <w:proofErr w:type="spellStart"/>
      <w:r w:rsidRPr="00C4084C">
        <w:t>microcredentials</w:t>
      </w:r>
      <w:proofErr w:type="spellEnd"/>
      <w:r w:rsidRPr="00C4084C">
        <w:t xml:space="preserve"> that are being delivered, and that this should be encouraged. However, there are some </w:t>
      </w:r>
      <w:proofErr w:type="spellStart"/>
      <w:r w:rsidRPr="00C4084C">
        <w:t>microcredentials</w:t>
      </w:r>
      <w:proofErr w:type="spellEnd"/>
      <w:r w:rsidRPr="00C4084C">
        <w:t xml:space="preserve"> </w:t>
      </w:r>
      <w:r w:rsidR="7EF3D85A" w:rsidRPr="00C4084C">
        <w:t>(</w:t>
      </w:r>
      <w:r w:rsidRPr="00C4084C">
        <w:t>for example for people upskilling in areas of skills need</w:t>
      </w:r>
      <w:r w:rsidR="4C7A187C" w:rsidRPr="00C4084C">
        <w:t>)</w:t>
      </w:r>
      <w:r w:rsidRPr="00C4084C">
        <w:t xml:space="preserve"> where </w:t>
      </w:r>
      <w:r w:rsidR="00154411" w:rsidRPr="00C4084C">
        <w:t>g</w:t>
      </w:r>
      <w:r w:rsidRPr="00C4084C">
        <w:t xml:space="preserve">overnment investment may be needed, utilising the CGS and HELP through a new </w:t>
      </w:r>
      <w:proofErr w:type="spellStart"/>
      <w:r w:rsidRPr="00C4084C">
        <w:t>microcredentials</w:t>
      </w:r>
      <w:proofErr w:type="spellEnd"/>
      <w:r w:rsidRPr="00C4084C">
        <w:t xml:space="preserve"> funding framework</w:t>
      </w:r>
      <w:r w:rsidR="005E7F8F" w:rsidRPr="00C4084C">
        <w:t xml:space="preserve"> for the higher education sector</w:t>
      </w:r>
      <w:r w:rsidRPr="00C4084C">
        <w:t>. This framework would need to ensure that funding is consistent with existing frameworks for fees in higher education.</w:t>
      </w:r>
    </w:p>
    <w:p w14:paraId="662C9DCD" w14:textId="77777777" w:rsidR="005B3445" w:rsidRPr="00C4084C" w:rsidRDefault="005B3445" w:rsidP="00B1626C">
      <w:pPr>
        <w:pStyle w:val="Heading6"/>
      </w:pPr>
      <w:r w:rsidRPr="00C4084C">
        <w:rPr>
          <w:rFonts w:cstheme="minorHAnsi"/>
        </w:rPr>
        <w:t xml:space="preserve">The </w:t>
      </w:r>
      <w:r w:rsidRPr="00C4084C">
        <w:t xml:space="preserve">National </w:t>
      </w:r>
      <w:proofErr w:type="spellStart"/>
      <w:r w:rsidRPr="00C4084C">
        <w:t>Microcredentials</w:t>
      </w:r>
      <w:proofErr w:type="spellEnd"/>
      <w:r w:rsidRPr="00C4084C">
        <w:t xml:space="preserve"> Framework  </w:t>
      </w:r>
    </w:p>
    <w:p w14:paraId="58AEA264" w14:textId="77777777" w:rsidR="005B3445" w:rsidRPr="00C4084C" w:rsidRDefault="005B3445" w:rsidP="0020392A">
      <w:r w:rsidRPr="00C4084C">
        <w:t xml:space="preserve">The National </w:t>
      </w:r>
      <w:proofErr w:type="spellStart"/>
      <w:r w:rsidRPr="00C4084C">
        <w:t>Microcredentials</w:t>
      </w:r>
      <w:proofErr w:type="spellEnd"/>
      <w:r w:rsidRPr="00C4084C">
        <w:t xml:space="preserve"> Framework (NMF) was developed in 2021 and provided the following guidance on the definition of </w:t>
      </w:r>
      <w:proofErr w:type="spellStart"/>
      <w:r w:rsidRPr="00C4084C">
        <w:t>microcredentials</w:t>
      </w:r>
      <w:proofErr w:type="spellEnd"/>
      <w:r w:rsidRPr="00C4084C">
        <w:t>:</w:t>
      </w:r>
    </w:p>
    <w:p w14:paraId="3E98C17A" w14:textId="1A90E14D" w:rsidR="005B3445" w:rsidRPr="00C4084C" w:rsidRDefault="005B3445" w:rsidP="00F50407">
      <w:pPr>
        <w:pStyle w:val="Quote"/>
        <w:rPr>
          <w:rFonts w:cstheme="minorHAnsi"/>
        </w:rPr>
      </w:pPr>
      <w:r w:rsidRPr="00C4084C">
        <w:t>a certification of assessed learning or competency, with a minimum volume of learning of one hour and less than an AQF award qualification, that is additional, alternate, complementary to or a component part of an AQF award qualification</w:t>
      </w:r>
      <w:r w:rsidR="000B3E71" w:rsidRPr="00C4084C">
        <w:t>.</w:t>
      </w:r>
      <w:r w:rsidRPr="00C4084C">
        <w:rPr>
          <w:rStyle w:val="FootnoteReference"/>
        </w:rPr>
        <w:footnoteReference w:id="152"/>
      </w:r>
    </w:p>
    <w:p w14:paraId="0543356C" w14:textId="41F01AA0" w:rsidR="005B3445" w:rsidRPr="00C4084C" w:rsidRDefault="005B3445" w:rsidP="0020392A">
      <w:r w:rsidRPr="00C4084C">
        <w:t>The Review considers this definition to be extremely broad –</w:t>
      </w:r>
      <w:r w:rsidR="375899BC" w:rsidRPr="00C4084C">
        <w:t xml:space="preserve"> </w:t>
      </w:r>
      <w:r w:rsidR="00B75D83" w:rsidRPr="00C4084C">
        <w:t xml:space="preserve">reflecting the differing needs of the higher </w:t>
      </w:r>
      <w:r w:rsidR="004C5B24">
        <w:t xml:space="preserve">education </w:t>
      </w:r>
      <w:r w:rsidR="00B75D83" w:rsidRPr="00C4084C">
        <w:t xml:space="preserve">and </w:t>
      </w:r>
      <w:r w:rsidR="004C5B24">
        <w:t xml:space="preserve">vocational </w:t>
      </w:r>
      <w:r w:rsidR="00B75D83" w:rsidRPr="00C4084C">
        <w:t xml:space="preserve">education </w:t>
      </w:r>
      <w:r w:rsidR="004C5B24">
        <w:t xml:space="preserve">and training </w:t>
      </w:r>
      <w:r w:rsidR="00B75D83" w:rsidRPr="00C4084C">
        <w:t>sector</w:t>
      </w:r>
      <w:r w:rsidR="00315657">
        <w:t>s</w:t>
      </w:r>
      <w:r w:rsidR="00B75D83" w:rsidRPr="00C4084C">
        <w:t xml:space="preserve">, but this </w:t>
      </w:r>
      <w:r w:rsidR="00B2348D">
        <w:t>breadth</w:t>
      </w:r>
      <w:r w:rsidR="00B2348D" w:rsidRPr="00C4084C">
        <w:t xml:space="preserve"> </w:t>
      </w:r>
      <w:r w:rsidR="00B75D83" w:rsidRPr="00C4084C">
        <w:t>is</w:t>
      </w:r>
      <w:r w:rsidRPr="00C4084C">
        <w:t xml:space="preserve"> affecting the consistent rollout of </w:t>
      </w:r>
      <w:proofErr w:type="spellStart"/>
      <w:r w:rsidRPr="00C4084C">
        <w:t>microcredentials</w:t>
      </w:r>
      <w:proofErr w:type="spellEnd"/>
      <w:r w:rsidRPr="00C4084C">
        <w:t xml:space="preserve"> across </w:t>
      </w:r>
      <w:r w:rsidR="00B75D83" w:rsidRPr="00C4084C">
        <w:t xml:space="preserve">the higher education sector in </w:t>
      </w:r>
      <w:r w:rsidRPr="00C4084C">
        <w:t>Australia.</w:t>
      </w:r>
    </w:p>
    <w:p w14:paraId="7E652A60" w14:textId="5C82C361" w:rsidR="005B3445" w:rsidRPr="00C4084C" w:rsidRDefault="005B3445" w:rsidP="0020392A">
      <w:r w:rsidRPr="00C4084C">
        <w:lastRenderedPageBreak/>
        <w:t xml:space="preserve">Stakeholder feedback during development of the National </w:t>
      </w:r>
      <w:proofErr w:type="spellStart"/>
      <w:r w:rsidRPr="00C4084C">
        <w:t>Microcredentials</w:t>
      </w:r>
      <w:proofErr w:type="spellEnd"/>
      <w:r w:rsidRPr="00C4084C">
        <w:t xml:space="preserve"> Framework highlighted </w:t>
      </w:r>
      <w:r w:rsidR="00D70093" w:rsidRPr="00C4084C">
        <w:t>several</w:t>
      </w:r>
      <w:r w:rsidRPr="00C4084C">
        <w:t xml:space="preserve"> issues with this definition, including the need for clearer guidance on the smallest unit of credit that can be called a </w:t>
      </w:r>
      <w:proofErr w:type="spellStart"/>
      <w:r w:rsidRPr="00C4084C">
        <w:t>microcredential</w:t>
      </w:r>
      <w:proofErr w:type="spellEnd"/>
      <w:r w:rsidRPr="00C4084C">
        <w:t xml:space="preserve">. VET stakeholders most often identified 5 or 6 hours of learning as appropriate, with some identifying one hour as the smallest definable </w:t>
      </w:r>
      <w:proofErr w:type="spellStart"/>
      <w:r w:rsidRPr="00C4084C">
        <w:t>microcredential</w:t>
      </w:r>
      <w:proofErr w:type="spellEnd"/>
      <w:r w:rsidRPr="00C4084C">
        <w:t xml:space="preserve">. Higher education respondents generally described </w:t>
      </w:r>
      <w:proofErr w:type="spellStart"/>
      <w:r w:rsidRPr="00C4084C">
        <w:t>microcredentials</w:t>
      </w:r>
      <w:proofErr w:type="spellEnd"/>
      <w:r w:rsidRPr="00C4084C">
        <w:t xml:space="preserve"> as requiring longer to qualify, most often as single subject short courses that could later stack into existing qualifications structures (for example, 8 </w:t>
      </w:r>
      <w:proofErr w:type="spellStart"/>
      <w:r w:rsidRPr="00C4084C">
        <w:t>microcredentials</w:t>
      </w:r>
      <w:proofErr w:type="spellEnd"/>
      <w:r w:rsidRPr="00C4084C">
        <w:t xml:space="preserve"> could form a semester of a course).</w:t>
      </w:r>
      <w:r w:rsidR="00B75D83" w:rsidRPr="00C4084C">
        <w:t xml:space="preserve"> </w:t>
      </w:r>
    </w:p>
    <w:p w14:paraId="0A17A348" w14:textId="77777777" w:rsidR="005B3445" w:rsidRPr="00C4084C" w:rsidRDefault="005B3445" w:rsidP="0020392A">
      <w:r w:rsidRPr="00C4084C">
        <w:t xml:space="preserve">Further targeted work to identify the most useful forms of </w:t>
      </w:r>
      <w:proofErr w:type="spellStart"/>
      <w:r w:rsidRPr="00C4084C">
        <w:t>microcredentials</w:t>
      </w:r>
      <w:proofErr w:type="spellEnd"/>
      <w:r w:rsidRPr="00C4084C">
        <w:t xml:space="preserve"> to support an uplift in tertiary attainment and skills delivery is required. The Review notes the current </w:t>
      </w:r>
      <w:proofErr w:type="spellStart"/>
      <w:r w:rsidRPr="00C4084C">
        <w:t>Microcredentials</w:t>
      </w:r>
      <w:proofErr w:type="spellEnd"/>
      <w:r w:rsidRPr="00C4084C">
        <w:t xml:space="preserve"> Pilot in Higher Education will provide valuable insights into the next steps for greater rollout of this form of flexible, agile qualification.  </w:t>
      </w:r>
    </w:p>
    <w:tbl>
      <w:tblPr>
        <w:tblW w:w="0" w:type="auto"/>
        <w:shd w:val="clear" w:color="auto" w:fill="D2E8FF"/>
        <w:tblLook w:val="04A0" w:firstRow="1" w:lastRow="0" w:firstColumn="1" w:lastColumn="0" w:noHBand="0" w:noVBand="1"/>
      </w:tblPr>
      <w:tblGrid>
        <w:gridCol w:w="9638"/>
      </w:tblGrid>
      <w:tr w:rsidR="00191F0E" w:rsidRPr="00C4084C" w14:paraId="77C0C532" w14:textId="77777777" w:rsidTr="00D26B82">
        <w:tc>
          <w:tcPr>
            <w:tcW w:w="0" w:type="auto"/>
            <w:shd w:val="clear" w:color="auto" w:fill="E3DAEA"/>
          </w:tcPr>
          <w:p w14:paraId="20D37963" w14:textId="594FADDC" w:rsidR="00191F0E" w:rsidRPr="00C4084C" w:rsidRDefault="00191F0E">
            <w:pPr>
              <w:pStyle w:val="Boxtitlessubheadings"/>
            </w:pPr>
            <w:proofErr w:type="spellStart"/>
            <w:r w:rsidRPr="00C4084C">
              <w:t>Microcredentials</w:t>
            </w:r>
            <w:proofErr w:type="spellEnd"/>
            <w:r w:rsidRPr="00C4084C">
              <w:t xml:space="preserve"> Pilot in Higher Education</w:t>
            </w:r>
          </w:p>
          <w:p w14:paraId="57C62C13" w14:textId="7856E3A9" w:rsidR="00191F0E" w:rsidRPr="00C4084C" w:rsidRDefault="00191F0E" w:rsidP="0020392A">
            <w:pPr>
              <w:pStyle w:val="Boxtext0"/>
            </w:pPr>
            <w:r w:rsidRPr="00C4084C">
              <w:t xml:space="preserve">The Australian Government has committed $18.5 million to the </w:t>
            </w:r>
            <w:proofErr w:type="spellStart"/>
            <w:r w:rsidRPr="00C4084C">
              <w:t>Microcredentials</w:t>
            </w:r>
            <w:proofErr w:type="spellEnd"/>
            <w:r w:rsidRPr="00C4084C">
              <w:t xml:space="preserve"> Pilot in Higher Education (the Pilot). The Pilot will run from 2023–24 to 2025–26 to test the efficacy of </w:t>
            </w:r>
            <w:proofErr w:type="spellStart"/>
            <w:r w:rsidRPr="00C4084C">
              <w:t>microcredentials</w:t>
            </w:r>
            <w:proofErr w:type="spellEnd"/>
            <w:r w:rsidRPr="00C4084C">
              <w:t xml:space="preserve"> as a solution to skills shortages in priority industries such as health, engineering, IT, </w:t>
            </w:r>
            <w:proofErr w:type="gramStart"/>
            <w:r w:rsidRPr="00C4084C">
              <w:t>science</w:t>
            </w:r>
            <w:proofErr w:type="gramEnd"/>
            <w:r w:rsidRPr="00C4084C">
              <w:t xml:space="preserve"> and education. </w:t>
            </w:r>
          </w:p>
          <w:p w14:paraId="6895B09D" w14:textId="77777777" w:rsidR="00191F0E" w:rsidRPr="00C4084C" w:rsidRDefault="00191F0E" w:rsidP="0020392A">
            <w:pPr>
              <w:pStyle w:val="Boxtext0"/>
            </w:pPr>
            <w:r w:rsidRPr="00C4084C">
              <w:t xml:space="preserve">The Pilot is assisting higher education providers to design and deliver </w:t>
            </w:r>
            <w:proofErr w:type="spellStart"/>
            <w:r w:rsidRPr="00C4084C">
              <w:t>microcredential</w:t>
            </w:r>
            <w:proofErr w:type="spellEnd"/>
            <w:r w:rsidRPr="00C4084C">
              <w:t xml:space="preserve"> courses that provide credit toward a higher education qualification and a digital badge to students who successfully complete a course in partnership with industry. </w:t>
            </w:r>
          </w:p>
          <w:p w14:paraId="020378FE" w14:textId="77777777" w:rsidR="00191F0E" w:rsidRPr="00C4084C" w:rsidRDefault="00191F0E" w:rsidP="0020392A">
            <w:pPr>
              <w:pStyle w:val="Boxtext0"/>
            </w:pPr>
            <w:r w:rsidRPr="00C4084C">
              <w:t xml:space="preserve">Funding is being made available in two rounds and aims to deliver </w:t>
            </w:r>
            <w:proofErr w:type="spellStart"/>
            <w:r w:rsidRPr="00C4084C">
              <w:t>microcredentials</w:t>
            </w:r>
            <w:proofErr w:type="spellEnd"/>
            <w:r w:rsidRPr="00C4084C">
              <w:t xml:space="preserve"> to up to 4,000 students. </w:t>
            </w:r>
          </w:p>
          <w:p w14:paraId="3A3AAB0C" w14:textId="32D7674B" w:rsidR="00191F0E" w:rsidRPr="00C4084C" w:rsidRDefault="00CB4481" w:rsidP="0020392A">
            <w:pPr>
              <w:pStyle w:val="Boxtext0"/>
              <w:rPr>
                <w:b/>
                <w:sz w:val="24"/>
              </w:rPr>
            </w:pPr>
            <w:r w:rsidRPr="00C4084C">
              <w:t xml:space="preserve">Under the first round, the Pilot is supporting 18 universities </w:t>
            </w:r>
            <w:r w:rsidR="00EB0E72">
              <w:t xml:space="preserve">to </w:t>
            </w:r>
            <w:r w:rsidRPr="00C4084C">
              <w:t xml:space="preserve">design and deliver 28 </w:t>
            </w:r>
            <w:proofErr w:type="spellStart"/>
            <w:r w:rsidRPr="00C4084C">
              <w:t>microcredentials</w:t>
            </w:r>
            <w:proofErr w:type="spellEnd"/>
            <w:r w:rsidRPr="00C4084C">
              <w:t xml:space="preserve"> across a range of professions including nursing, </w:t>
            </w:r>
            <w:proofErr w:type="gramStart"/>
            <w:r w:rsidRPr="00C4084C">
              <w:t>teaching</w:t>
            </w:r>
            <w:proofErr w:type="gramEnd"/>
            <w:r w:rsidRPr="00C4084C">
              <w:t xml:space="preserve"> and engineering. The first </w:t>
            </w:r>
            <w:r w:rsidR="00EB0E72">
              <w:t>2</w:t>
            </w:r>
            <w:r w:rsidR="00EB0E72" w:rsidRPr="00C4084C">
              <w:t xml:space="preserve"> </w:t>
            </w:r>
            <w:proofErr w:type="spellStart"/>
            <w:r w:rsidRPr="00C4084C">
              <w:t>microcredential</w:t>
            </w:r>
            <w:proofErr w:type="spellEnd"/>
            <w:r w:rsidRPr="00C4084C">
              <w:t xml:space="preserve"> courses have commenced delivery</w:t>
            </w:r>
            <w:r w:rsidR="00EB0E72">
              <w:t>:</w:t>
            </w:r>
            <w:r w:rsidR="00EB0E72" w:rsidRPr="00C4084C">
              <w:t xml:space="preserve"> </w:t>
            </w:r>
            <w:r w:rsidRPr="00C4084C">
              <w:t>La Trobe University’s Professional Certificate in Rural Nursing</w:t>
            </w:r>
            <w:r w:rsidR="00EB0E72" w:rsidRPr="00C4084C">
              <w:t xml:space="preserve"> </w:t>
            </w:r>
            <w:r w:rsidRPr="00C4084C">
              <w:t xml:space="preserve">and Charles Sturt University’s Fundamentals of Nuclear Science and Safety. The remaining </w:t>
            </w:r>
            <w:proofErr w:type="spellStart"/>
            <w:r w:rsidRPr="00C4084C">
              <w:t>microcredential</w:t>
            </w:r>
            <w:proofErr w:type="spellEnd"/>
            <w:r w:rsidRPr="00C4084C">
              <w:t xml:space="preserve"> courses will commence in 2024.</w:t>
            </w:r>
          </w:p>
        </w:tc>
      </w:tr>
    </w:tbl>
    <w:p w14:paraId="3E61104A" w14:textId="439949DE" w:rsidR="005B3445" w:rsidRPr="00C4084C" w:rsidRDefault="005B3445" w:rsidP="0020392A">
      <w:r w:rsidRPr="00C4084C">
        <w:t xml:space="preserve">In considering expansion of </w:t>
      </w:r>
      <w:r w:rsidR="003E5778" w:rsidRPr="00C4084C">
        <w:t>Australian Government</w:t>
      </w:r>
      <w:r w:rsidRPr="00C4084C">
        <w:t xml:space="preserve"> funding of </w:t>
      </w:r>
      <w:proofErr w:type="spellStart"/>
      <w:r w:rsidRPr="00C4084C">
        <w:t>microcredentials</w:t>
      </w:r>
      <w:proofErr w:type="spellEnd"/>
      <w:r w:rsidRPr="00C4084C">
        <w:t xml:space="preserve">, the Review recommends that governments focus on areas of acute need where private provision is underdeveloped and </w:t>
      </w:r>
      <w:proofErr w:type="spellStart"/>
      <w:r w:rsidRPr="00C4084C">
        <w:t>microcredentials</w:t>
      </w:r>
      <w:proofErr w:type="spellEnd"/>
      <w:r w:rsidRPr="00C4084C">
        <w:t xml:space="preserve"> themselves are recognised as part of a full accredited qualification</w:t>
      </w:r>
      <w:r w:rsidR="00974524" w:rsidRPr="00C4084C">
        <w:t xml:space="preserve"> (see Recommendation</w:t>
      </w:r>
      <w:r w:rsidR="0036185E">
        <w:t>s</w:t>
      </w:r>
      <w:r w:rsidR="00974524" w:rsidRPr="00C4084C">
        <w:t xml:space="preserve"> </w:t>
      </w:r>
      <w:r w:rsidR="0036185E">
        <w:t xml:space="preserve">5 and </w:t>
      </w:r>
      <w:r w:rsidR="00C60E59" w:rsidRPr="00C4084C">
        <w:t>6</w:t>
      </w:r>
      <w:r w:rsidR="00974524" w:rsidRPr="00C4084C">
        <w:t>)</w:t>
      </w:r>
      <w:r w:rsidRPr="00C4084C">
        <w:t>.</w:t>
      </w:r>
    </w:p>
    <w:p w14:paraId="2CBABE40" w14:textId="333A3CE6" w:rsidR="005B3445" w:rsidRPr="00C4084C" w:rsidRDefault="005B3445" w:rsidP="0020392A">
      <w:r w:rsidRPr="00C4084C">
        <w:t xml:space="preserve">The Review </w:t>
      </w:r>
      <w:r w:rsidR="006C1D9A" w:rsidRPr="00C4084C">
        <w:t>recommends</w:t>
      </w:r>
      <w:r w:rsidR="00895D3A" w:rsidRPr="00C4084C">
        <w:t xml:space="preserve"> the Government consider</w:t>
      </w:r>
      <w:r w:rsidRPr="00C4084C">
        <w:t xml:space="preserve"> </w:t>
      </w:r>
      <w:r w:rsidR="00AF2F6A" w:rsidRPr="00C4084C">
        <w:t>implementing</w:t>
      </w:r>
      <w:r w:rsidRPr="00C4084C">
        <w:t xml:space="preserve"> a larger</w:t>
      </w:r>
      <w:r w:rsidR="08FF96CC" w:rsidRPr="00C4084C">
        <w:t xml:space="preserve"> scale</w:t>
      </w:r>
      <w:r w:rsidRPr="00C4084C">
        <w:t xml:space="preserve"> </w:t>
      </w:r>
      <w:proofErr w:type="spellStart"/>
      <w:r w:rsidRPr="00C4084C">
        <w:t>microcredential</w:t>
      </w:r>
      <w:proofErr w:type="spellEnd"/>
      <w:r w:rsidRPr="00C4084C">
        <w:t xml:space="preserve"> pilot to facilitate </w:t>
      </w:r>
      <w:r w:rsidR="00BD4021">
        <w:t>development of</w:t>
      </w:r>
      <w:r w:rsidRPr="00C4084C">
        <w:t xml:space="preserve"> a systematised way of funding accredited </w:t>
      </w:r>
      <w:proofErr w:type="spellStart"/>
      <w:r w:rsidRPr="00C4084C">
        <w:t>microcredentials</w:t>
      </w:r>
      <w:proofErr w:type="spellEnd"/>
      <w:r w:rsidR="00974524" w:rsidRPr="00C4084C">
        <w:t xml:space="preserve"> (see Recommendation </w:t>
      </w:r>
      <w:r w:rsidR="00C60E59" w:rsidRPr="00C4084C">
        <w:t>6</w:t>
      </w:r>
      <w:r w:rsidR="00974524" w:rsidRPr="00C4084C">
        <w:t>)</w:t>
      </w:r>
      <w:r w:rsidRPr="00C4084C">
        <w:t xml:space="preserve">. Funding through the pilot should support the development and maintenance of the infrastructure needed to issue and verify </w:t>
      </w:r>
      <w:proofErr w:type="spellStart"/>
      <w:r w:rsidRPr="00C4084C">
        <w:t>microcredentials</w:t>
      </w:r>
      <w:proofErr w:type="spellEnd"/>
      <w:r w:rsidRPr="00C4084C">
        <w:t>. This includes creating digital platforms for credential management, designing assessment methods, and hiring staff to oversee the process. Funding</w:t>
      </w:r>
      <w:r w:rsidRPr="00C4084C" w:rsidDel="00B93390">
        <w:t xml:space="preserve"> </w:t>
      </w:r>
      <w:r w:rsidR="00A027F7" w:rsidRPr="00C4084C">
        <w:t>should</w:t>
      </w:r>
      <w:r w:rsidRPr="00C4084C">
        <w:t xml:space="preserve"> be provided to universities through the Commonwealth grants scheme.</w:t>
      </w:r>
      <w:r w:rsidRPr="00C4084C" w:rsidDel="00B93390">
        <w:t xml:space="preserve"> </w:t>
      </w:r>
      <w:r w:rsidRPr="00C4084C">
        <w:t>For the student contribution, income contingent loans should be available through the HELP system.</w:t>
      </w:r>
    </w:p>
    <w:p w14:paraId="13216F26" w14:textId="1639CED2" w:rsidR="005B3445" w:rsidRPr="00C4084C" w:rsidRDefault="005B3445" w:rsidP="0020392A">
      <w:proofErr w:type="spellStart"/>
      <w:r w:rsidRPr="00C4084C">
        <w:t>Microcredentials</w:t>
      </w:r>
      <w:proofErr w:type="spellEnd"/>
      <w:r w:rsidRPr="00C4084C">
        <w:t xml:space="preserve"> funded through the pilot should be </w:t>
      </w:r>
      <w:r w:rsidR="000023A5" w:rsidRPr="00C4084C">
        <w:t>‘</w:t>
      </w:r>
      <w:r w:rsidRPr="00C4084C">
        <w:t>stackable</w:t>
      </w:r>
      <w:r w:rsidR="000023A5" w:rsidRPr="00C4084C">
        <w:t>’</w:t>
      </w:r>
      <w:r w:rsidRPr="00C4084C">
        <w:t xml:space="preserve">, meaning </w:t>
      </w:r>
      <w:r w:rsidR="2630C616" w:rsidRPr="00C4084C">
        <w:t>they are</w:t>
      </w:r>
      <w:r w:rsidRPr="00C4084C">
        <w:t xml:space="preserve"> able to be combined or built upon to form larger qualifications</w:t>
      </w:r>
      <w:r w:rsidR="00F124C0" w:rsidRPr="00C4084C">
        <w:t xml:space="preserve"> where they constitute a larger body of structured and coherent knowledge</w:t>
      </w:r>
      <w:r w:rsidRPr="00C4084C">
        <w:t xml:space="preserve">. This flexibility allows individuals to customise their learning paths according to their specific needs and career goals. By stacking </w:t>
      </w:r>
      <w:proofErr w:type="spellStart"/>
      <w:r w:rsidRPr="00C4084C">
        <w:t>microcredentials</w:t>
      </w:r>
      <w:proofErr w:type="spellEnd"/>
      <w:r w:rsidRPr="00C4084C">
        <w:t xml:space="preserve">, learners can gradually gain a comprehensive set of skills and knowledge, improving their employability and professional development. </w:t>
      </w:r>
    </w:p>
    <w:p w14:paraId="04B1CCBD" w14:textId="77777777" w:rsidR="005B3445" w:rsidRPr="00C4084C" w:rsidRDefault="005B3445" w:rsidP="0020392A">
      <w:proofErr w:type="gramStart"/>
      <w:r w:rsidRPr="00C4084C">
        <w:lastRenderedPageBreak/>
        <w:t>In order to</w:t>
      </w:r>
      <w:proofErr w:type="gramEnd"/>
      <w:r w:rsidRPr="00C4084C">
        <w:t xml:space="preserve"> make </w:t>
      </w:r>
      <w:proofErr w:type="spellStart"/>
      <w:r w:rsidRPr="00C4084C">
        <w:t>microcredentials</w:t>
      </w:r>
      <w:proofErr w:type="spellEnd"/>
      <w:r w:rsidRPr="00C4084C">
        <w:t xml:space="preserve"> stackable, it will be necessary to establish a minimum load requirement, possibly as 1/16</w:t>
      </w:r>
      <w:r w:rsidRPr="00C4084C">
        <w:rPr>
          <w:vertAlign w:val="superscript"/>
        </w:rPr>
        <w:t>th</w:t>
      </w:r>
      <w:r w:rsidRPr="00C4084C">
        <w:t xml:space="preserve"> or 1/20</w:t>
      </w:r>
      <w:r w:rsidRPr="00C4084C">
        <w:rPr>
          <w:vertAlign w:val="superscript"/>
        </w:rPr>
        <w:t>th</w:t>
      </w:r>
      <w:r w:rsidRPr="00C4084C">
        <w:t xml:space="preserve"> of EFTSL levels. A minimum load is important to</w:t>
      </w:r>
      <w:r w:rsidRPr="00C4084C" w:rsidDel="00B93390">
        <w:t xml:space="preserve"> </w:t>
      </w:r>
      <w:r w:rsidRPr="00C4084C">
        <w:t xml:space="preserve">indicate that learners have thoroughly engaged with the material and achieved a sufficient level of proficiency. It also helps maintain the integrity and credibility of </w:t>
      </w:r>
      <w:proofErr w:type="spellStart"/>
      <w:r w:rsidRPr="00C4084C">
        <w:t>microcredentials</w:t>
      </w:r>
      <w:proofErr w:type="spellEnd"/>
      <w:r w:rsidRPr="00C4084C">
        <w:t xml:space="preserve"> and ensures they provide meaningful value to learners.</w:t>
      </w:r>
    </w:p>
    <w:p w14:paraId="34083086" w14:textId="4A538111" w:rsidR="005B3445" w:rsidRPr="00C4084C" w:rsidRDefault="005B3445" w:rsidP="0020392A">
      <w:r w:rsidRPr="00C4084C">
        <w:t xml:space="preserve">The Review </w:t>
      </w:r>
      <w:r w:rsidR="00F124C0" w:rsidRPr="00C4084C">
        <w:t>also</w:t>
      </w:r>
      <w:r w:rsidRPr="00C4084C">
        <w:t xml:space="preserve"> recommends that a system for accrediting </w:t>
      </w:r>
      <w:proofErr w:type="spellStart"/>
      <w:r w:rsidRPr="00C4084C">
        <w:t>microcredentials</w:t>
      </w:r>
      <w:proofErr w:type="spellEnd"/>
      <w:r w:rsidRPr="00C4084C">
        <w:t xml:space="preserve"> be implemented</w:t>
      </w:r>
      <w:r w:rsidR="005E7F8F" w:rsidRPr="00C4084C">
        <w:t xml:space="preserve"> across the </w:t>
      </w:r>
      <w:r w:rsidR="00DE51FB" w:rsidRPr="00C4084C">
        <w:t xml:space="preserve">higher </w:t>
      </w:r>
      <w:r w:rsidR="005E7F8F" w:rsidRPr="00C4084C">
        <w:t>education sector</w:t>
      </w:r>
      <w:r w:rsidR="00404375" w:rsidRPr="00C4084C">
        <w:t xml:space="preserve"> (see Recommendation 6)</w:t>
      </w:r>
      <w:r w:rsidRPr="00C4084C">
        <w:t xml:space="preserve">. Accreditation ensures that the educational content, assessment methods and learning outcomes meet established standards of quality and rigor and gives employers and educational institutions confidence in their value and relevance. This system would provide a pathway for a wider range of providers, including industry and business, to have </w:t>
      </w:r>
      <w:r w:rsidR="00786547" w:rsidRPr="00C4084C">
        <w:t xml:space="preserve">a </w:t>
      </w:r>
      <w:r w:rsidRPr="00C4084C">
        <w:t>course recognised and able to be included in a National Skills Passport.</w:t>
      </w:r>
    </w:p>
    <w:p w14:paraId="46029850" w14:textId="77777777" w:rsidR="00DC567E" w:rsidRPr="00C4084C" w:rsidRDefault="00DC567E" w:rsidP="00DC567E">
      <w:pPr>
        <w:pStyle w:val="Heading6"/>
      </w:pPr>
      <w:bookmarkStart w:id="477" w:name="_Toc151807281"/>
      <w:r w:rsidRPr="00C4084C">
        <w:t>Early exit with some qualification</w:t>
      </w:r>
      <w:bookmarkEnd w:id="477"/>
    </w:p>
    <w:p w14:paraId="6C9A103F" w14:textId="6EA3ABE9" w:rsidR="00DC567E" w:rsidRPr="00C4084C" w:rsidRDefault="00DC567E" w:rsidP="0020392A">
      <w:r w:rsidRPr="00C4084C">
        <w:t xml:space="preserve">‘Nested </w:t>
      </w:r>
      <w:r w:rsidR="00E22256" w:rsidRPr="00C4084C">
        <w:t>courses’ are a set of courses of study that are offered sequentially and can lead to qualifications at different Australian Qualifications Framework (AQF) levels.</w:t>
      </w:r>
      <w:r w:rsidR="00912F4F" w:rsidRPr="00C4084C">
        <w:rPr>
          <w:rStyle w:val="FootnoteReference"/>
        </w:rPr>
        <w:footnoteReference w:id="153"/>
      </w:r>
      <w:r w:rsidRPr="00C4084C">
        <w:t xml:space="preserve"> </w:t>
      </w:r>
      <w:r w:rsidR="00E22256" w:rsidRPr="00C4084C">
        <w:t>Nested qualification</w:t>
      </w:r>
      <w:r w:rsidR="00466B52" w:rsidRPr="00C4084C">
        <w:t>s</w:t>
      </w:r>
      <w:r w:rsidR="00E22256" w:rsidRPr="00C4084C">
        <w:t xml:space="preserve"> </w:t>
      </w:r>
      <w:r w:rsidRPr="00C4084C">
        <w:t>would enable students exiting an incomplete degree to still receive a qualification. If exit pathways are integrated into qualifications, students who choose not to complete a full higher education degree will still be able to leave university with a recognisable qualification and enhance their employability outcomes.</w:t>
      </w:r>
    </w:p>
    <w:p w14:paraId="6D6E4342" w14:textId="501AC689" w:rsidR="00DC567E" w:rsidRPr="00C4084C" w:rsidRDefault="00DC567E" w:rsidP="0020392A">
      <w:r w:rsidRPr="00C4084C">
        <w:t xml:space="preserve">Some </w:t>
      </w:r>
      <w:r w:rsidR="004F51AA" w:rsidRPr="00C4084C">
        <w:t>higher edu</w:t>
      </w:r>
      <w:r w:rsidR="00A81B92" w:rsidRPr="00C4084C">
        <w:t>c</w:t>
      </w:r>
      <w:r w:rsidR="004F51AA" w:rsidRPr="00C4084C">
        <w:t xml:space="preserve">ation </w:t>
      </w:r>
      <w:r w:rsidRPr="00C4084C">
        <w:t xml:space="preserve">providers are offering nested undergraduate qualifications that enable students to exit their studies early with an undergraduate certificate. For example, Federation University’s Undergraduate Certificate in Early Childhood Studies is nested in a </w:t>
      </w:r>
      <w:proofErr w:type="gramStart"/>
      <w:r w:rsidRPr="00C4084C">
        <w:t>bachelor</w:t>
      </w:r>
      <w:proofErr w:type="gramEnd"/>
      <w:r w:rsidRPr="00C4084C">
        <w:t xml:space="preserve"> degree. In general, an undergraduate certificate is a higher education qualification of 6 months duration covered by an existing higher education qualification at AQF levels 5, 6, or 7. Course content is drawn from those existing higher education qualifications. It means that students who complete part of an AQF level 5, 6, or 7 </w:t>
      </w:r>
      <w:proofErr w:type="gramStart"/>
      <w:r w:rsidRPr="00C4084C">
        <w:t>qualification</w:t>
      </w:r>
      <w:proofErr w:type="gramEnd"/>
      <w:r w:rsidRPr="00C4084C">
        <w:t>, but for whatever reason are no longer willing or able to continue their studies, may be in a position to receive an undergraduate certificate.</w:t>
      </w:r>
    </w:p>
    <w:p w14:paraId="22F44294" w14:textId="2E3F5CB9" w:rsidR="00DC567E" w:rsidRPr="00C4084C" w:rsidRDefault="00DC567E" w:rsidP="0020392A">
      <w:r w:rsidRPr="00C4084C">
        <w:t xml:space="preserve">The Review is recommending that higher education providers look at </w:t>
      </w:r>
      <w:r w:rsidR="00E6494D" w:rsidRPr="00C4084C">
        <w:t xml:space="preserve">facilitating </w:t>
      </w:r>
      <w:r w:rsidRPr="00C4084C">
        <w:t xml:space="preserve">early exit pathways from </w:t>
      </w:r>
      <w:proofErr w:type="gramStart"/>
      <w:r w:rsidRPr="00C4084C">
        <w:t>bachelor</w:t>
      </w:r>
      <w:proofErr w:type="gramEnd"/>
      <w:r w:rsidRPr="00C4084C">
        <w:t xml:space="preserve"> degree courses, at diploma and associate degree levels</w:t>
      </w:r>
      <w:r w:rsidRPr="00C4084C">
        <w:rPr>
          <w:rStyle w:val="ui-provider"/>
        </w:rPr>
        <w:t xml:space="preserve">, </w:t>
      </w:r>
      <w:r w:rsidR="00582BFF" w:rsidRPr="00C4084C">
        <w:rPr>
          <w:rStyle w:val="ui-provider"/>
        </w:rPr>
        <w:t>to recognise the achievements of students who decide to withdraw before completing the entire degree</w:t>
      </w:r>
      <w:r w:rsidR="00CB714E" w:rsidRPr="00C4084C">
        <w:rPr>
          <w:rStyle w:val="ui-provider"/>
        </w:rPr>
        <w:t xml:space="preserve"> (see Recommendation </w:t>
      </w:r>
      <w:r w:rsidR="000925E7" w:rsidRPr="00C4084C">
        <w:rPr>
          <w:rStyle w:val="ui-provider"/>
        </w:rPr>
        <w:t>4</w:t>
      </w:r>
      <w:r w:rsidR="00CB714E" w:rsidRPr="00C4084C">
        <w:rPr>
          <w:rStyle w:val="ui-provider"/>
        </w:rPr>
        <w:t>)</w:t>
      </w:r>
      <w:r w:rsidR="00582BFF" w:rsidRPr="00C4084C">
        <w:rPr>
          <w:rStyle w:val="ui-provider"/>
        </w:rPr>
        <w:t>. These pathways should also provide opportunities for re-entry in the future</w:t>
      </w:r>
      <w:r w:rsidRPr="00C4084C">
        <w:t>. This can be part of the regular cycle of curriculum review and may be focused on some discipl</w:t>
      </w:r>
      <w:r w:rsidR="4130A7EF" w:rsidRPr="00C4084C">
        <w:t>in</w:t>
      </w:r>
      <w:r w:rsidRPr="00C4084C">
        <w:t>es where it is most appropriate. The Productivity Commission in its 5-year Productivity Review also recommended that all Australian higher education providers develop at least one subset of courses that, if completed, lead to a form of nested qualification.</w:t>
      </w:r>
      <w:r w:rsidRPr="00C4084C">
        <w:rPr>
          <w:rStyle w:val="FootnoteReference"/>
        </w:rPr>
        <w:footnoteReference w:id="154"/>
      </w:r>
    </w:p>
    <w:p w14:paraId="393A518F" w14:textId="77777777" w:rsidR="005B3445" w:rsidRPr="00C4084C" w:rsidRDefault="005B3445" w:rsidP="007B0775">
      <w:pPr>
        <w:pStyle w:val="Heading5"/>
      </w:pPr>
      <w:bookmarkStart w:id="480" w:name="_Toc151807280"/>
      <w:r w:rsidRPr="00C4084C">
        <w:t>Postgraduate qualifications</w:t>
      </w:r>
      <w:bookmarkEnd w:id="480"/>
    </w:p>
    <w:p w14:paraId="1A97CA69" w14:textId="5C3F160D" w:rsidR="00373E35" w:rsidRPr="00C4084C" w:rsidRDefault="0024095E" w:rsidP="00373E35">
      <w:r w:rsidRPr="00C4084C">
        <w:rPr>
          <w:lang w:eastAsia="zh-CN" w:bidi="th-TH"/>
        </w:rPr>
        <w:t>Domestic</w:t>
      </w:r>
      <w:r w:rsidR="005B3445" w:rsidRPr="00C4084C">
        <w:rPr>
          <w:lang w:eastAsia="zh-CN" w:bidi="th-TH"/>
        </w:rPr>
        <w:t xml:space="preserve"> enrolments in traditional postgraduate learning have been in sustained decline across many disciplines since before the COVID-19 pandemic, and uncertainty remains about international postgraduate markets in the post-pandemic environment. Postgraduate </w:t>
      </w:r>
      <w:r w:rsidR="00882195" w:rsidRPr="00C4084C">
        <w:rPr>
          <w:lang w:eastAsia="zh-CN" w:bidi="th-TH"/>
        </w:rPr>
        <w:t>coursework</w:t>
      </w:r>
      <w:r w:rsidR="005B3445" w:rsidRPr="00C4084C">
        <w:rPr>
          <w:lang w:eastAsia="zh-CN" w:bidi="th-TH"/>
        </w:rPr>
        <w:t xml:space="preserve"> qualifications remain a critical piece of upskilling and reskilling </w:t>
      </w:r>
      <w:r w:rsidR="00D56072" w:rsidRPr="00C4084C">
        <w:rPr>
          <w:lang w:eastAsia="zh-CN" w:bidi="th-TH"/>
        </w:rPr>
        <w:t>the workforce</w:t>
      </w:r>
      <w:r w:rsidR="00013276" w:rsidRPr="00C4084C">
        <w:rPr>
          <w:lang w:eastAsia="zh-CN" w:bidi="th-TH"/>
        </w:rPr>
        <w:t>, including where a postgraduate qualification is the entry level requirement for a profession</w:t>
      </w:r>
      <w:r w:rsidR="005B3445" w:rsidRPr="00C4084C">
        <w:rPr>
          <w:lang w:eastAsia="zh-CN" w:bidi="th-TH"/>
        </w:rPr>
        <w:t xml:space="preserve">. </w:t>
      </w:r>
      <w:r w:rsidR="00373E35" w:rsidRPr="00C4084C">
        <w:t>Many occupations that require postgraduate qualifications or have a high proportion of postgraduate qualified workers are also in shortage across the country</w:t>
      </w:r>
      <w:r w:rsidR="007C7218">
        <w:t>. T</w:t>
      </w:r>
      <w:r w:rsidR="00373E35" w:rsidRPr="00C4084C">
        <w:t>his includes specialist medical practitioners (like surgeons and psychiatrists), nurse practitioners and psychologists.</w:t>
      </w:r>
    </w:p>
    <w:p w14:paraId="75166536" w14:textId="7B3DCA09" w:rsidR="005B3445" w:rsidRPr="00C4084C" w:rsidRDefault="005B3445" w:rsidP="0020392A">
      <w:pPr>
        <w:rPr>
          <w:lang w:eastAsia="zh-CN" w:bidi="th-TH"/>
        </w:rPr>
      </w:pPr>
      <w:r w:rsidRPr="00C4084C">
        <w:rPr>
          <w:lang w:eastAsia="zh-CN" w:bidi="th-TH"/>
        </w:rPr>
        <w:lastRenderedPageBreak/>
        <w:t xml:space="preserve">There is a compelling case for </w:t>
      </w:r>
      <w:r w:rsidR="006A3AED" w:rsidRPr="00C4084C">
        <w:rPr>
          <w:lang w:eastAsia="zh-CN" w:bidi="th-TH"/>
        </w:rPr>
        <w:t xml:space="preserve">increasing </w:t>
      </w:r>
      <w:r w:rsidRPr="00C4084C">
        <w:rPr>
          <w:lang w:eastAsia="zh-CN" w:bidi="th-TH"/>
        </w:rPr>
        <w:t xml:space="preserve">Commonwealth supported </w:t>
      </w:r>
      <w:r w:rsidR="00037FDC" w:rsidRPr="00C4084C">
        <w:rPr>
          <w:lang w:eastAsia="zh-CN" w:bidi="th-TH"/>
        </w:rPr>
        <w:t xml:space="preserve">coursework </w:t>
      </w:r>
      <w:r w:rsidRPr="00C4084C">
        <w:rPr>
          <w:lang w:eastAsia="zh-CN" w:bidi="th-TH"/>
        </w:rPr>
        <w:t>postgraduate places in areas of high public value</w:t>
      </w:r>
      <w:r w:rsidR="16A39310" w:rsidRPr="00C4084C">
        <w:rPr>
          <w:lang w:eastAsia="zh-CN" w:bidi="th-TH"/>
        </w:rPr>
        <w:t xml:space="preserve"> </w:t>
      </w:r>
      <w:r w:rsidR="00F7325F" w:rsidRPr="00C4084C">
        <w:rPr>
          <w:lang w:eastAsia="zh-CN" w:bidi="th-TH"/>
        </w:rPr>
        <w:t>–</w:t>
      </w:r>
      <w:r w:rsidRPr="00C4084C">
        <w:rPr>
          <w:lang w:eastAsia="zh-CN" w:bidi="th-TH"/>
        </w:rPr>
        <w:t xml:space="preserve"> for example</w:t>
      </w:r>
      <w:r w:rsidR="551F838C" w:rsidRPr="00C4084C">
        <w:rPr>
          <w:lang w:eastAsia="zh-CN" w:bidi="th-TH"/>
        </w:rPr>
        <w:t>,</w:t>
      </w:r>
      <w:r w:rsidRPr="00C4084C">
        <w:rPr>
          <w:lang w:eastAsia="zh-CN" w:bidi="th-TH"/>
        </w:rPr>
        <w:t xml:space="preserve"> in teaching and nursing, and in </w:t>
      </w:r>
      <w:r w:rsidR="00425C48" w:rsidRPr="00C4084C">
        <w:rPr>
          <w:lang w:eastAsia="zh-CN" w:bidi="th-TH"/>
        </w:rPr>
        <w:t xml:space="preserve">other </w:t>
      </w:r>
      <w:r w:rsidRPr="00C4084C">
        <w:rPr>
          <w:lang w:eastAsia="zh-CN" w:bidi="th-TH"/>
        </w:rPr>
        <w:t xml:space="preserve">national priority skills areas. According to the OECD, in 2022, </w:t>
      </w:r>
      <w:r w:rsidR="005768E3" w:rsidRPr="00C4084C">
        <w:rPr>
          <w:lang w:eastAsia="zh-CN" w:bidi="th-TH"/>
        </w:rPr>
        <w:t xml:space="preserve">the percentage of the population aged 25 to 64 with a </w:t>
      </w:r>
      <w:proofErr w:type="gramStart"/>
      <w:r w:rsidR="00037FDC" w:rsidRPr="00C4084C">
        <w:rPr>
          <w:lang w:eastAsia="zh-CN" w:bidi="th-TH"/>
        </w:rPr>
        <w:t>masters</w:t>
      </w:r>
      <w:proofErr w:type="gramEnd"/>
      <w:r w:rsidR="005768E3" w:rsidRPr="00C4084C">
        <w:rPr>
          <w:lang w:eastAsia="zh-CN" w:bidi="th-TH"/>
        </w:rPr>
        <w:t xml:space="preserve"> qualification was lower in Australia (</w:t>
      </w:r>
      <w:r w:rsidRPr="00C4084C">
        <w:rPr>
          <w:lang w:eastAsia="zh-CN" w:bidi="th-TH"/>
        </w:rPr>
        <w:t>9%</w:t>
      </w:r>
      <w:r w:rsidR="005768E3" w:rsidRPr="00C4084C">
        <w:rPr>
          <w:lang w:eastAsia="zh-CN" w:bidi="th-TH"/>
        </w:rPr>
        <w:t>)</w:t>
      </w:r>
      <w:r w:rsidRPr="00C4084C">
        <w:rPr>
          <w:lang w:eastAsia="zh-CN" w:bidi="th-TH"/>
        </w:rPr>
        <w:t xml:space="preserve"> </w:t>
      </w:r>
      <w:r w:rsidR="005768E3" w:rsidRPr="00C4084C">
        <w:rPr>
          <w:lang w:eastAsia="zh-CN" w:bidi="th-TH"/>
        </w:rPr>
        <w:t>than the OECD average (14%)</w:t>
      </w:r>
      <w:r w:rsidRPr="00C4084C">
        <w:rPr>
          <w:lang w:eastAsia="zh-CN" w:bidi="th-TH"/>
        </w:rPr>
        <w:t>.</w:t>
      </w:r>
      <w:r w:rsidR="00AE2B94" w:rsidRPr="00C4084C">
        <w:rPr>
          <w:rStyle w:val="FootnoteReference"/>
          <w:rFonts w:cs="Arial"/>
          <w:lang w:eastAsia="zh-CN" w:bidi="th-TH"/>
        </w:rPr>
        <w:footnoteReference w:id="155"/>
      </w:r>
      <w:r w:rsidR="00430689" w:rsidRPr="00C4084C">
        <w:rPr>
          <w:lang w:eastAsia="zh-CN" w:bidi="th-TH"/>
        </w:rPr>
        <w:t xml:space="preserve"> Increasing the availability of </w:t>
      </w:r>
      <w:r w:rsidR="45F225EF" w:rsidRPr="00C4084C">
        <w:rPr>
          <w:lang w:eastAsia="zh-CN" w:bidi="th-TH"/>
        </w:rPr>
        <w:t>Commonwealth supported place</w:t>
      </w:r>
      <w:r w:rsidR="00430689" w:rsidRPr="00C4084C">
        <w:rPr>
          <w:lang w:eastAsia="zh-CN" w:bidi="th-TH"/>
        </w:rPr>
        <w:t xml:space="preserve">s at the postgraduate level in areas of need will support reskilling, and also ensure postgraduate study is an option for more prospective students. </w:t>
      </w:r>
      <w:r w:rsidR="006A3AED" w:rsidRPr="00C4084C">
        <w:rPr>
          <w:lang w:eastAsia="zh-CN" w:bidi="th-TH"/>
        </w:rPr>
        <w:t xml:space="preserve">This recommendation is discussed in further detail in </w:t>
      </w:r>
      <w:r w:rsidR="006A3AED" w:rsidRPr="00C4084C">
        <w:rPr>
          <w:i/>
          <w:iCs/>
          <w:lang w:eastAsia="zh-CN" w:bidi="th-TH"/>
        </w:rPr>
        <w:t xml:space="preserve">Chapter 8 – A new funding model to </w:t>
      </w:r>
      <w:r w:rsidR="0030767C" w:rsidRPr="00C4084C">
        <w:rPr>
          <w:i/>
          <w:iCs/>
          <w:lang w:eastAsia="zh-CN" w:bidi="th-TH"/>
        </w:rPr>
        <w:t>underpin success.</w:t>
      </w:r>
    </w:p>
    <w:p w14:paraId="7735C91E" w14:textId="3F13FA11" w:rsidR="005B3445" w:rsidRPr="00C4084C" w:rsidRDefault="005B3445" w:rsidP="0020392A">
      <w:pPr>
        <w:rPr>
          <w:i/>
          <w:lang w:eastAsia="zh-CN" w:bidi="th-TH"/>
        </w:rPr>
      </w:pPr>
      <w:r w:rsidRPr="00C4084C">
        <w:rPr>
          <w:lang w:eastAsia="zh-CN" w:bidi="th-TH"/>
        </w:rPr>
        <w:t>Australia’s higher degree by research (HDR) graduates will also play a key role in ensuring Australia can compete more effectively in the global knowledge economy. HDR graduates, including professional doctorate holders, will play a pivotal role as Australia continues to shift from a commodity and manufacturing-based economy to a knowledge-based economy, which requires a strong research workforce with the ability to generate and absorb new knowledge and innovation. In addition to their deep technical expertise, Australia’s researchers and HDR graduates also bring transferable critical thinking and problem-solving skills to the many and varied sectors they work in.</w:t>
      </w:r>
      <w:r w:rsidRPr="00C4084C">
        <w:rPr>
          <w:rStyle w:val="FootnoteReference"/>
          <w:rFonts w:cs="Arial"/>
          <w:lang w:eastAsia="zh-CN" w:bidi="th-TH"/>
        </w:rPr>
        <w:footnoteReference w:id="156"/>
      </w:r>
      <w:r w:rsidRPr="00C4084C">
        <w:rPr>
          <w:lang w:eastAsia="zh-CN" w:bidi="th-TH"/>
        </w:rPr>
        <w:t xml:space="preserve"> Strengthening and supporting Australia’s critical research workforce is explored further in</w:t>
      </w:r>
      <w:r w:rsidR="009A57A7" w:rsidRPr="00C4084C">
        <w:rPr>
          <w:lang w:eastAsia="zh-CN" w:bidi="th-TH"/>
        </w:rPr>
        <w:t xml:space="preserve"> </w:t>
      </w:r>
      <w:r w:rsidR="008C34DB" w:rsidRPr="00C4084C">
        <w:rPr>
          <w:i/>
          <w:lang w:eastAsia="zh-CN" w:bidi="th-TH"/>
        </w:rPr>
        <w:fldChar w:fldCharType="begin"/>
      </w:r>
      <w:r w:rsidR="008C34DB" w:rsidRPr="00C4084C">
        <w:rPr>
          <w:i/>
          <w:lang w:eastAsia="zh-CN" w:bidi="th-TH"/>
        </w:rPr>
        <w:instrText xml:space="preserve"> REF _Ref151935602 \r \h </w:instrText>
      </w:r>
      <w:r w:rsidR="005513E1" w:rsidRPr="00C4084C">
        <w:rPr>
          <w:i/>
          <w:lang w:eastAsia="zh-CN" w:bidi="th-TH"/>
        </w:rPr>
        <w:instrText xml:space="preserve"> \* MERGEFORMAT </w:instrText>
      </w:r>
      <w:r w:rsidR="008C34DB" w:rsidRPr="00C4084C">
        <w:rPr>
          <w:i/>
          <w:lang w:eastAsia="zh-CN" w:bidi="th-TH"/>
        </w:rPr>
      </w:r>
      <w:r w:rsidR="008C34DB" w:rsidRPr="00C4084C">
        <w:rPr>
          <w:i/>
          <w:lang w:eastAsia="zh-CN" w:bidi="th-TH"/>
        </w:rPr>
        <w:fldChar w:fldCharType="separate"/>
      </w:r>
      <w:r w:rsidR="00467B4F">
        <w:rPr>
          <w:i/>
          <w:lang w:eastAsia="zh-CN" w:bidi="th-TH"/>
        </w:rPr>
        <w:t xml:space="preserve">Chapter 5 – </w:t>
      </w:r>
      <w:r w:rsidR="008C34DB" w:rsidRPr="00C4084C">
        <w:rPr>
          <w:i/>
          <w:lang w:eastAsia="zh-CN" w:bidi="th-TH"/>
        </w:rPr>
        <w:fldChar w:fldCharType="end"/>
      </w:r>
      <w:r w:rsidR="008C34DB" w:rsidRPr="00C4084C">
        <w:rPr>
          <w:i/>
          <w:lang w:eastAsia="zh-CN" w:bidi="th-TH"/>
        </w:rPr>
        <w:fldChar w:fldCharType="begin"/>
      </w:r>
      <w:r w:rsidR="008C34DB" w:rsidRPr="00C4084C">
        <w:rPr>
          <w:i/>
          <w:lang w:eastAsia="zh-CN" w:bidi="th-TH"/>
        </w:rPr>
        <w:instrText xml:space="preserve"> REF _Ref151935602 \h  \* MERGEFORMAT </w:instrText>
      </w:r>
      <w:r w:rsidR="008C34DB" w:rsidRPr="00C4084C">
        <w:rPr>
          <w:i/>
          <w:lang w:eastAsia="zh-CN" w:bidi="th-TH"/>
        </w:rPr>
      </w:r>
      <w:r w:rsidR="008C34DB" w:rsidRPr="00C4084C">
        <w:rPr>
          <w:i/>
          <w:lang w:eastAsia="zh-CN" w:bidi="th-TH"/>
        </w:rPr>
        <w:fldChar w:fldCharType="separate"/>
      </w:r>
      <w:r w:rsidR="00467B4F" w:rsidRPr="004406D4">
        <w:rPr>
          <w:i/>
        </w:rPr>
        <w:t>Producing and using new knowledge</w:t>
      </w:r>
      <w:r w:rsidR="008C34DB" w:rsidRPr="00C4084C">
        <w:rPr>
          <w:i/>
          <w:lang w:eastAsia="zh-CN" w:bidi="th-TH"/>
        </w:rPr>
        <w:fldChar w:fldCharType="end"/>
      </w:r>
      <w:r w:rsidR="008C34DB" w:rsidRPr="00C4084C">
        <w:rPr>
          <w:i/>
          <w:lang w:eastAsia="zh-CN" w:bidi="th-TH"/>
        </w:rPr>
        <w:t>.</w:t>
      </w:r>
    </w:p>
    <w:p w14:paraId="565FD7B6" w14:textId="77777777" w:rsidR="005B3445" w:rsidRPr="00C4084C" w:rsidRDefault="005B3445" w:rsidP="00BA6095">
      <w:pPr>
        <w:pStyle w:val="Heading4"/>
      </w:pPr>
      <w:bookmarkStart w:id="481" w:name="_Toc150857895"/>
      <w:bookmarkStart w:id="482" w:name="_Toc151807282"/>
      <w:bookmarkStart w:id="483" w:name="_Toc457307279"/>
      <w:bookmarkStart w:id="484" w:name="_Toc153483019"/>
      <w:bookmarkStart w:id="485" w:name="_Toc159500929"/>
      <w:bookmarkEnd w:id="481"/>
      <w:r w:rsidRPr="00C4084C">
        <w:t xml:space="preserve">Partnering with industry to deliver skills </w:t>
      </w:r>
      <w:proofErr w:type="gramStart"/>
      <w:r w:rsidRPr="00C4084C">
        <w:t>needs</w:t>
      </w:r>
      <w:bookmarkEnd w:id="482"/>
      <w:bookmarkEnd w:id="483"/>
      <w:bookmarkEnd w:id="484"/>
      <w:bookmarkEnd w:id="485"/>
      <w:proofErr w:type="gramEnd"/>
    </w:p>
    <w:p w14:paraId="35E34A9E" w14:textId="25E4AC22" w:rsidR="005B3445" w:rsidRPr="00C4084C" w:rsidRDefault="005B3445" w:rsidP="0020392A">
      <w:r w:rsidRPr="00C4084C">
        <w:t>The Australian higher education sector and industry need to engage more effectively. While many faculties, particularly in professional disciplines, have Industry Advisory Boards and industry-</w:t>
      </w:r>
      <w:r w:rsidR="00FE2839" w:rsidRPr="00C4084C">
        <w:t>related</w:t>
      </w:r>
      <w:r w:rsidRPr="00C4084C">
        <w:t xml:space="preserve"> accreditation structures, </w:t>
      </w:r>
      <w:r w:rsidR="00910316" w:rsidRPr="00C4084C">
        <w:t>it is not clear</w:t>
      </w:r>
      <w:r w:rsidRPr="00C4084C">
        <w:t xml:space="preserve"> that </w:t>
      </w:r>
      <w:r w:rsidR="00910316" w:rsidRPr="00C4084C">
        <w:t>many of</w:t>
      </w:r>
      <w:r w:rsidRPr="00C4084C">
        <w:t xml:space="preserve"> these lead to curricula that reflect employer needs</w:t>
      </w:r>
      <w:r w:rsidR="00910316" w:rsidRPr="00C4084C">
        <w:t xml:space="preserve"> adequately</w:t>
      </w:r>
      <w:r w:rsidRPr="00C4084C">
        <w:t xml:space="preserve">. </w:t>
      </w:r>
      <w:r w:rsidR="00037FDC" w:rsidRPr="00C4084C">
        <w:t>This Review</w:t>
      </w:r>
      <w:r w:rsidRPr="00C4084C" w:rsidDel="00AB4161">
        <w:t xml:space="preserve"> </w:t>
      </w:r>
      <w:r w:rsidR="00AB4161" w:rsidRPr="00C4084C">
        <w:t>provided</w:t>
      </w:r>
      <w:r w:rsidRPr="00C4084C">
        <w:t xml:space="preserve"> an opportunity for higher education providers and industry to examine exactly what type of engagement works best.</w:t>
      </w:r>
    </w:p>
    <w:p w14:paraId="6BB25FA5" w14:textId="0C7CA8E5" w:rsidR="005B3445" w:rsidRPr="00C4084C" w:rsidRDefault="00910316" w:rsidP="0020392A">
      <w:pPr>
        <w:rPr>
          <w:bCs/>
          <w:szCs w:val="24"/>
        </w:rPr>
      </w:pPr>
      <w:r w:rsidRPr="00C4084C">
        <w:t>Of course</w:t>
      </w:r>
      <w:r w:rsidR="00037FDC" w:rsidRPr="00C4084C">
        <w:t>,</w:t>
      </w:r>
      <w:r w:rsidRPr="00C4084C">
        <w:t xml:space="preserve"> t</w:t>
      </w:r>
      <w:r w:rsidR="005B3445" w:rsidRPr="00C4084C">
        <w:t xml:space="preserve">here are good examples of productive partnerships in the system, including Institutes of Applied Technology in NSW, the Queensland Future Skills Partnership and Victoria’s </w:t>
      </w:r>
      <w:r w:rsidR="005B3445" w:rsidRPr="00C4084C">
        <w:rPr>
          <w:bCs/>
          <w:szCs w:val="24"/>
        </w:rPr>
        <w:t>Higher Apprenticeship Training Program in the social care sector.</w:t>
      </w:r>
    </w:p>
    <w:p w14:paraId="350C2B63" w14:textId="0DC5FDDC" w:rsidR="005B3445" w:rsidRPr="00C4084C" w:rsidRDefault="005B3445" w:rsidP="0020392A">
      <w:r w:rsidRPr="00C4084C">
        <w:t>The Review heard from stakeholders that greater industry engagement in student learning and pedagogy can help bridge the gap between the skills that students learn as part of a formal qualification and those that they require for the workplace.</w:t>
      </w:r>
    </w:p>
    <w:p w14:paraId="77AC3093" w14:textId="6246B2B4" w:rsidR="002000A5" w:rsidRPr="00C4084C" w:rsidRDefault="002000A5" w:rsidP="0020392A">
      <w:pPr>
        <w:rPr>
          <w:i/>
        </w:rPr>
      </w:pPr>
      <w:r w:rsidRPr="00C4084C">
        <w:t xml:space="preserve">The </w:t>
      </w:r>
      <w:r w:rsidR="00464C0E" w:rsidRPr="00C4084C">
        <w:t>R</w:t>
      </w:r>
      <w:r w:rsidR="00756267" w:rsidRPr="00C4084C">
        <w:t>eview considers that there is</w:t>
      </w:r>
      <w:r w:rsidRPr="00C4084C">
        <w:t xml:space="preserve"> a </w:t>
      </w:r>
      <w:r w:rsidR="00756267" w:rsidRPr="00C4084C">
        <w:t xml:space="preserve">need for </w:t>
      </w:r>
      <w:r w:rsidRPr="00C4084C">
        <w:t xml:space="preserve">a </w:t>
      </w:r>
      <w:r w:rsidR="00756267" w:rsidRPr="00C4084C">
        <w:t>forum between</w:t>
      </w:r>
      <w:r w:rsidRPr="00C4084C">
        <w:t xml:space="preserve"> industry</w:t>
      </w:r>
      <w:r w:rsidR="00756267" w:rsidRPr="00C4084C">
        <w:t xml:space="preserve"> and universities to support</w:t>
      </w:r>
      <w:r w:rsidRPr="00C4084C">
        <w:t xml:space="preserve"> skills </w:t>
      </w:r>
      <w:r w:rsidR="00756267" w:rsidRPr="00C4084C">
        <w:t>delivery</w:t>
      </w:r>
      <w:r w:rsidR="3F7A441E" w:rsidRPr="00C4084C">
        <w:t>,</w:t>
      </w:r>
      <w:r w:rsidRPr="00C4084C">
        <w:t xml:space="preserve"> </w:t>
      </w:r>
      <w:r w:rsidR="511B6219" w:rsidRPr="00C4084C">
        <w:t>the</w:t>
      </w:r>
      <w:r w:rsidRPr="00C4084C">
        <w:t xml:space="preserve"> co-design of both course curriculum and work integrated learning programs</w:t>
      </w:r>
      <w:r w:rsidR="00E25C51">
        <w:t>,</w:t>
      </w:r>
      <w:r w:rsidR="00323411" w:rsidRPr="00C4084C">
        <w:t xml:space="preserve"> </w:t>
      </w:r>
      <w:r w:rsidRPr="00C4084C">
        <w:t>and improve</w:t>
      </w:r>
      <w:r w:rsidR="00824611">
        <w:t>d</w:t>
      </w:r>
      <w:r w:rsidRPr="00C4084C">
        <w:t xml:space="preserve"> industry utilisation of higher education research and knowledge. The Review considers </w:t>
      </w:r>
      <w:r w:rsidR="00E25C51">
        <w:t xml:space="preserve">this </w:t>
      </w:r>
      <w:r w:rsidRPr="00C4084C">
        <w:t xml:space="preserve">could be developed through the </w:t>
      </w:r>
      <w:r w:rsidR="00E25C51">
        <w:t xml:space="preserve">new </w:t>
      </w:r>
      <w:r w:rsidRPr="00C4084C">
        <w:t>Commission</w:t>
      </w:r>
      <w:r w:rsidR="00E21161" w:rsidRPr="00C4084C">
        <w:t xml:space="preserve">, </w:t>
      </w:r>
      <w:r w:rsidR="00E25C51">
        <w:t>as proposed</w:t>
      </w:r>
      <w:r w:rsidR="00E25C51" w:rsidRPr="00C4084C">
        <w:t xml:space="preserve"> </w:t>
      </w:r>
      <w:r w:rsidR="00E21161" w:rsidRPr="00C4084C">
        <w:t xml:space="preserve">in </w:t>
      </w:r>
      <w:r w:rsidR="004802C1" w:rsidRPr="00C4084C">
        <w:rPr>
          <w:i/>
          <w:iCs/>
        </w:rPr>
        <w:fldChar w:fldCharType="begin"/>
      </w:r>
      <w:r w:rsidR="004802C1" w:rsidRPr="00C4084C">
        <w:rPr>
          <w:i/>
          <w:iCs/>
        </w:rPr>
        <w:instrText xml:space="preserve"> REF _Ref151934666 \r \h </w:instrText>
      </w:r>
      <w:r w:rsidR="008C34DB" w:rsidRPr="00C4084C">
        <w:rPr>
          <w:i/>
          <w:iCs/>
        </w:rPr>
        <w:instrText xml:space="preserve"> \* MERGEFORMAT </w:instrText>
      </w:r>
      <w:r w:rsidR="004802C1" w:rsidRPr="00C4084C">
        <w:rPr>
          <w:i/>
          <w:iCs/>
        </w:rPr>
      </w:r>
      <w:r w:rsidR="004802C1" w:rsidRPr="00C4084C">
        <w:rPr>
          <w:i/>
          <w:iCs/>
        </w:rPr>
        <w:fldChar w:fldCharType="separate"/>
      </w:r>
      <w:r w:rsidR="00467B4F">
        <w:rPr>
          <w:i/>
          <w:iCs/>
        </w:rPr>
        <w:t xml:space="preserve">Chapter 6 – </w:t>
      </w:r>
      <w:r w:rsidR="004802C1" w:rsidRPr="00C4084C">
        <w:rPr>
          <w:i/>
          <w:iCs/>
        </w:rPr>
        <w:fldChar w:fldCharType="end"/>
      </w:r>
      <w:r w:rsidR="008C34DB" w:rsidRPr="00C4084C">
        <w:rPr>
          <w:i/>
          <w:iCs/>
        </w:rPr>
        <w:fldChar w:fldCharType="begin"/>
      </w:r>
      <w:r w:rsidR="008C34DB" w:rsidRPr="00C4084C">
        <w:rPr>
          <w:i/>
          <w:iCs/>
        </w:rPr>
        <w:instrText xml:space="preserve"> REF _Ref151934666 \h  \* MERGEFORMAT </w:instrText>
      </w:r>
      <w:r w:rsidR="008C34DB" w:rsidRPr="00C4084C">
        <w:rPr>
          <w:i/>
          <w:iCs/>
        </w:rPr>
      </w:r>
      <w:r w:rsidR="008C34DB" w:rsidRPr="00C4084C">
        <w:rPr>
          <w:i/>
          <w:iCs/>
        </w:rPr>
        <w:fldChar w:fldCharType="separate"/>
      </w:r>
      <w:r w:rsidR="00467B4F" w:rsidRPr="00467B4F">
        <w:rPr>
          <w:i/>
          <w:iCs/>
        </w:rPr>
        <w:t>A dynamic, collaborative and responsive system that serves the national interest</w:t>
      </w:r>
      <w:r w:rsidR="008C34DB" w:rsidRPr="00C4084C">
        <w:rPr>
          <w:i/>
          <w:iCs/>
        </w:rPr>
        <w:fldChar w:fldCharType="end"/>
      </w:r>
      <w:r w:rsidR="00C47F3A" w:rsidRPr="00C4084C">
        <w:rPr>
          <w:i/>
          <w:iCs/>
        </w:rPr>
        <w:t>.</w:t>
      </w:r>
    </w:p>
    <w:p w14:paraId="2EE944EA" w14:textId="77777777" w:rsidR="005B3445" w:rsidRPr="00C4084C" w:rsidRDefault="005B3445" w:rsidP="007B0775">
      <w:pPr>
        <w:pStyle w:val="Heading5"/>
      </w:pPr>
      <w:bookmarkStart w:id="486" w:name="_Toc151807283"/>
      <w:r w:rsidRPr="00C4084C">
        <w:t>Work Integrated learning (WIL)</w:t>
      </w:r>
      <w:bookmarkEnd w:id="486"/>
    </w:p>
    <w:p w14:paraId="46059794" w14:textId="27C48C3B" w:rsidR="005B3445" w:rsidRPr="00C4084C" w:rsidRDefault="005B3445" w:rsidP="0020392A">
      <w:pPr>
        <w:rPr>
          <w:rFonts w:eastAsia="Arial" w:cstheme="minorHAnsi"/>
        </w:rPr>
      </w:pPr>
      <w:r w:rsidRPr="00C4084C">
        <w:rPr>
          <w:bCs/>
        </w:rPr>
        <w:t>There is a long-standing industry-partnered learning</w:t>
      </w:r>
      <w:r w:rsidR="004D339D" w:rsidRPr="00C4084C">
        <w:rPr>
          <w:bCs/>
        </w:rPr>
        <w:t xml:space="preserve"> approach</w:t>
      </w:r>
      <w:r w:rsidRPr="00C4084C">
        <w:rPr>
          <w:bCs/>
        </w:rPr>
        <w:t xml:space="preserve"> </w:t>
      </w:r>
      <w:r w:rsidRPr="00C4084C">
        <w:t>in</w:t>
      </w:r>
      <w:r w:rsidRPr="00C4084C">
        <w:rPr>
          <w:bCs/>
        </w:rPr>
        <w:t xml:space="preserve"> the VET sector in the form of</w:t>
      </w:r>
      <w:r w:rsidR="004D339D" w:rsidRPr="00C4084C">
        <w:rPr>
          <w:bCs/>
        </w:rPr>
        <w:t xml:space="preserve"> work-based learning</w:t>
      </w:r>
      <w:r w:rsidRPr="00C4084C">
        <w:t xml:space="preserve">. </w:t>
      </w:r>
      <w:r w:rsidR="004D339D" w:rsidRPr="00C4084C">
        <w:t>A</w:t>
      </w:r>
      <w:r w:rsidRPr="00C4084C">
        <w:t>pprenticeships and traineeships</w:t>
      </w:r>
      <w:r w:rsidR="004D339D" w:rsidRPr="00C4084C">
        <w:t xml:space="preserve"> are well-known models. Apprenticeships allow</w:t>
      </w:r>
      <w:r w:rsidRPr="00C4084C">
        <w:t xml:space="preserve"> workers</w:t>
      </w:r>
      <w:r w:rsidR="004D339D" w:rsidRPr="00C4084C">
        <w:t xml:space="preserve"> to</w:t>
      </w:r>
      <w:r w:rsidRPr="00C4084C">
        <w:t xml:space="preserve"> </w:t>
      </w:r>
      <w:r w:rsidRPr="00C4084C">
        <w:lastRenderedPageBreak/>
        <w:t xml:space="preserve">participate in a </w:t>
      </w:r>
      <w:r w:rsidR="004D339D" w:rsidRPr="00C4084C">
        <w:t xml:space="preserve">structured training arrangement which combines on the job training through paid employment with </w:t>
      </w:r>
      <w:r w:rsidRPr="00C4084C">
        <w:t xml:space="preserve">formal </w:t>
      </w:r>
      <w:r w:rsidR="004D339D" w:rsidRPr="00C4084C">
        <w:t>off-the-job training</w:t>
      </w:r>
      <w:r w:rsidR="00767E19" w:rsidRPr="00C4084C">
        <w:t xml:space="preserve"> </w:t>
      </w:r>
      <w:r w:rsidRPr="00C4084C">
        <w:t>to develop their skills</w:t>
      </w:r>
      <w:r w:rsidR="0043653C" w:rsidRPr="00C4084C">
        <w:t>.</w:t>
      </w:r>
    </w:p>
    <w:p w14:paraId="5F94E90C" w14:textId="54C6C77E" w:rsidR="005B3445" w:rsidRPr="00C4084C" w:rsidRDefault="005B3445" w:rsidP="0020392A">
      <w:pPr>
        <w:rPr>
          <w:rFonts w:eastAsia="Arial" w:cstheme="minorHAnsi"/>
        </w:rPr>
      </w:pPr>
      <w:r w:rsidRPr="00C4084C">
        <w:rPr>
          <w:rFonts w:eastAsia="Arial" w:cstheme="minorHAnsi"/>
        </w:rPr>
        <w:t xml:space="preserve">In higher education, industry-partnered learning primarily happens through </w:t>
      </w:r>
      <w:r w:rsidRPr="00C4084C">
        <w:t xml:space="preserve">WIL which encompasses any arrangement where students undertake learning in a work context for credit towards their course requirements. Placements are one type of WIL. </w:t>
      </w:r>
      <w:r w:rsidRPr="00C4084C">
        <w:rPr>
          <w:rFonts w:eastAsia="Arial" w:cstheme="minorHAnsi"/>
        </w:rPr>
        <w:t xml:space="preserve"> </w:t>
      </w:r>
    </w:p>
    <w:p w14:paraId="6EBD5ADB" w14:textId="3A447AEA" w:rsidR="005B3445" w:rsidRPr="007B5E16" w:rsidRDefault="005B3445" w:rsidP="0020392A">
      <w:r w:rsidRPr="00C4084C">
        <w:t xml:space="preserve">WIL opportunities are intended to help bridge the skills gap between what employers require from prospective staff and what students need </w:t>
      </w:r>
      <w:proofErr w:type="gramStart"/>
      <w:r w:rsidR="00E25C51">
        <w:t>in order</w:t>
      </w:r>
      <w:r w:rsidRPr="00C4084C">
        <w:t xml:space="preserve"> to</w:t>
      </w:r>
      <w:proofErr w:type="gramEnd"/>
      <w:r w:rsidRPr="00C4084C">
        <w:t xml:space="preserve"> demonstrate </w:t>
      </w:r>
      <w:r w:rsidR="00B1083F" w:rsidRPr="00C4084C">
        <w:t>their skills</w:t>
      </w:r>
      <w:r w:rsidRPr="00C4084C">
        <w:t xml:space="preserve"> to potential employers.</w:t>
      </w:r>
    </w:p>
    <w:p w14:paraId="2A82B224" w14:textId="0A015A54" w:rsidR="005B3445" w:rsidRPr="00C4084C" w:rsidRDefault="005B3445" w:rsidP="0020392A">
      <w:r w:rsidRPr="00C4084C">
        <w:t>In addition to the shortage of WIL places, access to places is unequal.</w:t>
      </w:r>
      <w:r w:rsidRPr="00C4084C">
        <w:rPr>
          <w:b/>
          <w:bCs/>
        </w:rPr>
        <w:t xml:space="preserve"> </w:t>
      </w:r>
      <w:r w:rsidRPr="00C4084C">
        <w:t xml:space="preserve">Research from Universities Australia using 2017 survey data shows that about </w:t>
      </w:r>
      <w:r w:rsidR="005768E3" w:rsidRPr="00C4084C">
        <w:t>a third of</w:t>
      </w:r>
      <w:r w:rsidR="00D16150" w:rsidRPr="00C4084C">
        <w:t xml:space="preserve"> </w:t>
      </w:r>
      <w:r w:rsidRPr="00C4084C">
        <w:t>university students (37.4%) had a WIL experience and nearly half of all WIL experiences (4</w:t>
      </w:r>
      <w:r w:rsidR="00934E7B" w:rsidRPr="00C4084C">
        <w:t>3.0</w:t>
      </w:r>
      <w:r w:rsidRPr="00C4084C">
        <w:t>%) were placements</w:t>
      </w:r>
      <w:r w:rsidR="00934E7B" w:rsidRPr="00C4084C">
        <w:t>.</w:t>
      </w:r>
      <w:r w:rsidR="00093A74" w:rsidRPr="00C4084C">
        <w:rPr>
          <w:vertAlign w:val="superscript"/>
        </w:rPr>
        <w:footnoteReference w:id="157"/>
      </w:r>
      <w:r w:rsidR="00934E7B" w:rsidRPr="00C4084C">
        <w:t xml:space="preserve"> </w:t>
      </w:r>
      <w:r w:rsidR="00093A74" w:rsidRPr="00C4084C">
        <w:t>Placements that are essential for professional accreditation may partially explain this high proportion</w:t>
      </w:r>
      <w:r w:rsidRPr="00C4084C">
        <w:t>.</w:t>
      </w:r>
    </w:p>
    <w:p w14:paraId="72F8E5EB" w14:textId="532B7E6F" w:rsidR="005B3445" w:rsidRPr="00C4084C" w:rsidRDefault="005B3445" w:rsidP="0020392A">
      <w:r w:rsidRPr="00C4084C">
        <w:t xml:space="preserve">Students from groups historically </w:t>
      </w:r>
      <w:r w:rsidR="00D7545F" w:rsidRPr="00C4084C">
        <w:t>under-represented</w:t>
      </w:r>
      <w:r w:rsidRPr="00C4084C">
        <w:t xml:space="preserve"> in higher education are less likely to participate in WIL. Less than one third of low SES students (27.8%) participated in some form of WIL compared to almost half of high</w:t>
      </w:r>
      <w:r w:rsidR="005768E3" w:rsidRPr="00C4084C">
        <w:t xml:space="preserve"> </w:t>
      </w:r>
      <w:r w:rsidRPr="00C4084C">
        <w:t>SES (48.6%).</w:t>
      </w:r>
      <w:r w:rsidR="00870C0F" w:rsidRPr="00C4084C">
        <w:rPr>
          <w:rStyle w:val="FootnoteReference"/>
        </w:rPr>
        <w:footnoteReference w:id="158"/>
      </w:r>
      <w:r w:rsidRPr="00C4084C">
        <w:t xml:space="preserve"> </w:t>
      </w:r>
    </w:p>
    <w:p w14:paraId="51995637" w14:textId="2B35ACB1" w:rsidR="005B3445" w:rsidRPr="00C4084C" w:rsidRDefault="005B3445" w:rsidP="0020392A">
      <w:r w:rsidRPr="00C4084C">
        <w:t xml:space="preserve">Industry and provider submissions provided strong and consistent support for the expansion of WIL as a </w:t>
      </w:r>
      <w:r w:rsidR="00FE2839" w:rsidRPr="00C4084C">
        <w:t>near-</w:t>
      </w:r>
      <w:r w:rsidRPr="00C4084C">
        <w:t xml:space="preserve">universal part of Australian higher education qualifications, particularly where placements were mandatory for professional certification </w:t>
      </w:r>
      <w:r w:rsidR="00FE2839" w:rsidRPr="00C4084C">
        <w:t>as a component of</w:t>
      </w:r>
      <w:r w:rsidRPr="00C4084C">
        <w:t xml:space="preserve"> formal qualifications (discussed further below). </w:t>
      </w:r>
      <w:r w:rsidR="007E40FF" w:rsidRPr="00C4084C">
        <w:t>The Review notes</w:t>
      </w:r>
      <w:r w:rsidRPr="00C4084C">
        <w:t xml:space="preserve"> that major </w:t>
      </w:r>
      <w:r w:rsidR="007E40FF" w:rsidRPr="00C4084C">
        <w:t>challenges in this area</w:t>
      </w:r>
      <w:r w:rsidRPr="00C4084C">
        <w:t xml:space="preserve"> are</w:t>
      </w:r>
      <w:r w:rsidRPr="00C4084C" w:rsidDel="005B0FEE">
        <w:t xml:space="preserve"> </w:t>
      </w:r>
      <w:r w:rsidRPr="00C4084C">
        <w:t xml:space="preserve">recognition of student needs, </w:t>
      </w:r>
      <w:r w:rsidRPr="00C4084C" w:rsidDel="005B0FEE">
        <w:t>WIL</w:t>
      </w:r>
      <w:r w:rsidRPr="00C4084C">
        <w:t xml:space="preserve"> quality, and payment for students’ work. </w:t>
      </w:r>
    </w:p>
    <w:p w14:paraId="04CB97D3" w14:textId="37699859" w:rsidR="005B3445" w:rsidRPr="00C4084C" w:rsidRDefault="005B3445" w:rsidP="0020392A">
      <w:r w:rsidRPr="00C4084C">
        <w:t xml:space="preserve">Industry and employers </w:t>
      </w:r>
      <w:r w:rsidR="007E40FF" w:rsidRPr="00C4084C">
        <w:t xml:space="preserve">note that they </w:t>
      </w:r>
      <w:r w:rsidRPr="00C4084C">
        <w:t>benefit</w:t>
      </w:r>
      <w:r w:rsidR="007B5E16">
        <w:t xml:space="preserve"> from</w:t>
      </w:r>
      <w:r w:rsidRPr="00C4084C">
        <w:t xml:space="preserve"> WIL</w:t>
      </w:r>
      <w:r w:rsidR="00622A86" w:rsidRPr="00C4084C">
        <w:t xml:space="preserve"> </w:t>
      </w:r>
      <w:r w:rsidRPr="00C4084C">
        <w:t>through early</w:t>
      </w:r>
      <w:r w:rsidRPr="00C4084C" w:rsidDel="005B0FEE">
        <w:t xml:space="preserve"> </w:t>
      </w:r>
      <w:r w:rsidRPr="00C4084C">
        <w:t xml:space="preserve">connections </w:t>
      </w:r>
      <w:r w:rsidR="007B5E16">
        <w:t>to</w:t>
      </w:r>
      <w:r w:rsidR="007B5E16" w:rsidRPr="00C4084C">
        <w:t xml:space="preserve"> </w:t>
      </w:r>
      <w:r w:rsidRPr="00C4084C">
        <w:t>build the skills of their future workforce</w:t>
      </w:r>
      <w:r w:rsidRPr="00C4084C" w:rsidDel="008D6AD2">
        <w:t xml:space="preserve"> and </w:t>
      </w:r>
      <w:r w:rsidRPr="00C4084C">
        <w:t>recruit</w:t>
      </w:r>
      <w:r w:rsidR="007B5E16">
        <w:t>ment</w:t>
      </w:r>
      <w:r w:rsidRPr="00C4084C">
        <w:t xml:space="preserve"> to entry level positions. </w:t>
      </w:r>
    </w:p>
    <w:tbl>
      <w:tblPr>
        <w:tblW w:w="9639" w:type="dxa"/>
        <w:shd w:val="clear" w:color="auto" w:fill="D2E8FF"/>
        <w:tblLook w:val="04A0" w:firstRow="1" w:lastRow="0" w:firstColumn="1" w:lastColumn="0" w:noHBand="0" w:noVBand="1"/>
      </w:tblPr>
      <w:tblGrid>
        <w:gridCol w:w="9639"/>
      </w:tblGrid>
      <w:tr w:rsidR="00911BA4" w:rsidRPr="00C4084C" w14:paraId="3A80ADF2" w14:textId="77777777" w:rsidTr="00D26B82">
        <w:tc>
          <w:tcPr>
            <w:tcW w:w="9639" w:type="dxa"/>
            <w:shd w:val="clear" w:color="auto" w:fill="E3DAEA"/>
          </w:tcPr>
          <w:p w14:paraId="7A39E418" w14:textId="0BA3308E" w:rsidR="00911BA4" w:rsidRPr="00C4084C" w:rsidRDefault="00911BA4" w:rsidP="00570A6C">
            <w:pPr>
              <w:pStyle w:val="Boxtitlessubheadings"/>
            </w:pPr>
            <w:r w:rsidRPr="00C4084C">
              <w:t>National Strategy on WIL</w:t>
            </w:r>
          </w:p>
          <w:p w14:paraId="24530755" w14:textId="70FDD4E5" w:rsidR="00490964" w:rsidRPr="00C4084C" w:rsidRDefault="00767E19" w:rsidP="0020392A">
            <w:pPr>
              <w:pStyle w:val="Boxtext0"/>
            </w:pPr>
            <w:r w:rsidRPr="00C4084C">
              <w:t xml:space="preserve">Universities Australia is developing </w:t>
            </w:r>
            <w:r w:rsidR="00911BA4" w:rsidRPr="00C4084C">
              <w:t xml:space="preserve">a new National </w:t>
            </w:r>
            <w:r w:rsidR="00490964" w:rsidRPr="00C4084C">
              <w:t xml:space="preserve">Higher Education Work-integrated Learning </w:t>
            </w:r>
            <w:r w:rsidR="00911BA4" w:rsidRPr="00C4084C">
              <w:t xml:space="preserve">Strategy in partnership with the Australian </w:t>
            </w:r>
            <w:r w:rsidR="00490964" w:rsidRPr="00C4084C">
              <w:t xml:space="preserve">Chamber of Commerce and Industry (ACCI), the Australian </w:t>
            </w:r>
            <w:r w:rsidR="00911BA4" w:rsidRPr="00C4084C">
              <w:t>Collaborative Education Network</w:t>
            </w:r>
            <w:r w:rsidR="00490964" w:rsidRPr="00C4084C">
              <w:t xml:space="preserve"> (ACEN),</w:t>
            </w:r>
            <w:r w:rsidR="00911BA4" w:rsidRPr="00C4084C">
              <w:t xml:space="preserve"> the Australian Industry Group (AiG) and the Business Council of Australia (BCA). </w:t>
            </w:r>
            <w:r w:rsidR="00490964" w:rsidRPr="00C4084C">
              <w:t xml:space="preserve">The new WIL strategy will build on the successes of the previous strategy released in 2015. </w:t>
            </w:r>
          </w:p>
          <w:p w14:paraId="3DA33DA5" w14:textId="3F5458D1" w:rsidR="00EE26E5" w:rsidRPr="00C4084C" w:rsidRDefault="00490964" w:rsidP="0020392A">
            <w:pPr>
              <w:pStyle w:val="Boxtext0"/>
              <w:rPr>
                <w:b/>
                <w:sz w:val="24"/>
              </w:rPr>
            </w:pPr>
            <w:bookmarkStart w:id="487" w:name="_Ref153463596"/>
            <w:r w:rsidRPr="00C4084C">
              <w:t xml:space="preserve">The new strategy </w:t>
            </w:r>
            <w:r w:rsidR="004E5885" w:rsidRPr="00C4084C">
              <w:t>will</w:t>
            </w:r>
            <w:r w:rsidRPr="00C4084C">
              <w:t xml:space="preserve"> seek to set a vision for improved WIL arrangements by outlining good practices and the roles and responsibilities of different stakeholders, including industry, higher education providers and government. It acknowledges the need to expand WIL opportunities to keep pace with the needs of the future economy and to better align it with Australia’s changing skill </w:t>
            </w:r>
            <w:proofErr w:type="gramStart"/>
            <w:r w:rsidRPr="00C4084C">
              <w:t>needs, and</w:t>
            </w:r>
            <w:proofErr w:type="gramEnd"/>
            <w:r w:rsidRPr="00C4084C">
              <w:t xml:space="preserve"> will include recommendations to achieve these outcomes.</w:t>
            </w:r>
            <w:bookmarkEnd w:id="487"/>
          </w:p>
        </w:tc>
      </w:tr>
    </w:tbl>
    <w:p w14:paraId="37BDD9CB" w14:textId="25197765" w:rsidR="005B3445" w:rsidRPr="00C4084C" w:rsidRDefault="005B3445" w:rsidP="007B0775">
      <w:pPr>
        <w:pStyle w:val="Heading5"/>
      </w:pPr>
      <w:bookmarkStart w:id="488" w:name="_Toc151807284"/>
      <w:r w:rsidRPr="00C4084C">
        <w:t>Reforming mandatory placements</w:t>
      </w:r>
      <w:bookmarkEnd w:id="488"/>
    </w:p>
    <w:p w14:paraId="09590203" w14:textId="77777777" w:rsidR="005B3445" w:rsidRPr="00C4084C" w:rsidRDefault="005B3445" w:rsidP="00B1626C">
      <w:pPr>
        <w:pStyle w:val="Heading6"/>
      </w:pPr>
      <w:r w:rsidRPr="00C4084C">
        <w:t>Placement poverty</w:t>
      </w:r>
    </w:p>
    <w:p w14:paraId="36AEE895" w14:textId="69067249" w:rsidR="005B3445" w:rsidRPr="00C4084C" w:rsidRDefault="008C1F71" w:rsidP="0020392A">
      <w:r w:rsidRPr="00C4084C">
        <w:t>Work placement</w:t>
      </w:r>
      <w:r w:rsidR="002023CF" w:rsidRPr="00C4084C">
        <w:t>s</w:t>
      </w:r>
      <w:r w:rsidRPr="00C4084C">
        <w:t xml:space="preserve"> are a mandatory requirement in many </w:t>
      </w:r>
      <w:r w:rsidR="001033CE" w:rsidRPr="00C4084C">
        <w:t>professional course</w:t>
      </w:r>
      <w:r w:rsidR="7221E2D7" w:rsidRPr="00C4084C">
        <w:t>s</w:t>
      </w:r>
      <w:r w:rsidR="001033CE" w:rsidRPr="00C4084C">
        <w:t>, both to qu</w:t>
      </w:r>
      <w:r w:rsidR="00444944" w:rsidRPr="00C4084C">
        <w:t>a</w:t>
      </w:r>
      <w:r w:rsidR="001033CE" w:rsidRPr="00C4084C">
        <w:t xml:space="preserve">lify for a degree and to get some form of professional certification. </w:t>
      </w:r>
      <w:r w:rsidR="005B3445" w:rsidRPr="00C4084C">
        <w:t xml:space="preserve">Many students </w:t>
      </w:r>
      <w:proofErr w:type="gramStart"/>
      <w:r w:rsidR="005B3445" w:rsidRPr="00C4084C">
        <w:t>have to</w:t>
      </w:r>
      <w:proofErr w:type="gramEnd"/>
      <w:r w:rsidR="005B3445" w:rsidRPr="00C4084C">
        <w:t xml:space="preserve"> forego paid work to undertake </w:t>
      </w:r>
      <w:r w:rsidR="005B3445" w:rsidRPr="00C4084C">
        <w:lastRenderedPageBreak/>
        <w:t>unpaid placements and relocate away from home, leading to ‘placement poverty’. This results in poor early experiences in the workplace and negative perceptions of employment in the relevant industries, many of which are industries with longstanding skills shortages.</w:t>
      </w:r>
    </w:p>
    <w:p w14:paraId="598B2E05" w14:textId="42BAAAA9" w:rsidR="005B3445" w:rsidRPr="00C4084C" w:rsidRDefault="005B3445" w:rsidP="0020392A">
      <w:r w:rsidRPr="00C4084C">
        <w:t xml:space="preserve">The Review welcomes the Government’s commitment in the Employment White Paper (EWP) to </w:t>
      </w:r>
      <w:r w:rsidR="00D069B9">
        <w:t>“</w:t>
      </w:r>
      <w:r w:rsidRPr="00C4084C">
        <w:t xml:space="preserve">undertake scoping work on approaches to mitigate financial hardship placed on tertiary students completing unpaid mandatory </w:t>
      </w:r>
      <w:r w:rsidR="0004213F" w:rsidRPr="00C4084C">
        <w:t xml:space="preserve">work </w:t>
      </w:r>
      <w:r w:rsidRPr="00C4084C">
        <w:t>placements as part of studies in care and teaching professions</w:t>
      </w:r>
      <w:r w:rsidR="00D069B9">
        <w:t>”</w:t>
      </w:r>
      <w:r w:rsidRPr="00C4084C">
        <w:t>.</w:t>
      </w:r>
      <w:r w:rsidR="00870C0F" w:rsidRPr="00C4084C">
        <w:rPr>
          <w:rStyle w:val="FootnoteReference"/>
        </w:rPr>
        <w:footnoteReference w:id="159"/>
      </w:r>
      <w:r w:rsidRPr="00C4084C">
        <w:t xml:space="preserve"> Given the urgent and pressing need in the</w:t>
      </w:r>
      <w:r w:rsidR="0004213F" w:rsidRPr="00C4084C">
        <w:t>se</w:t>
      </w:r>
      <w:r w:rsidRPr="00C4084C">
        <w:t xml:space="preserve"> professions, this is a </w:t>
      </w:r>
      <w:r w:rsidR="0066582A" w:rsidRPr="00C4084C">
        <w:t>critical</w:t>
      </w:r>
      <w:r w:rsidRPr="00C4084C">
        <w:t xml:space="preserve"> starting point. Following this initial phase, more work should be undertaken to consider how financial hardship can be mitigated in a wider range of professions</w:t>
      </w:r>
      <w:r w:rsidR="00585EE0" w:rsidRPr="00C4084C">
        <w:t>.</w:t>
      </w:r>
    </w:p>
    <w:p w14:paraId="4B716C21" w14:textId="74272491" w:rsidR="005B3445" w:rsidRPr="00C4084C" w:rsidRDefault="00002608" w:rsidP="0020392A">
      <w:r>
        <w:t>Providing financial support</w:t>
      </w:r>
      <w:r w:rsidRPr="00C4084C">
        <w:t xml:space="preserve"> </w:t>
      </w:r>
      <w:r w:rsidR="005B3445" w:rsidRPr="00C4084C">
        <w:t xml:space="preserve">for placements is </w:t>
      </w:r>
      <w:r w:rsidR="00F365EF" w:rsidRPr="00C4084C">
        <w:t>essential to ensure that</w:t>
      </w:r>
      <w:r w:rsidR="00F51950" w:rsidRPr="00C4084C">
        <w:t xml:space="preserve"> enough students can meet their placement requirements without falling into poverty and</w:t>
      </w:r>
      <w:r w:rsidR="00F365EF" w:rsidRPr="00C4084C">
        <w:t xml:space="preserve"> there are enough skilled graduates for </w:t>
      </w:r>
      <w:r w:rsidR="00C054FA" w:rsidRPr="00C4084C">
        <w:t xml:space="preserve">future jobs. The </w:t>
      </w:r>
      <w:r w:rsidR="0030767C" w:rsidRPr="00C4084C">
        <w:t xml:space="preserve">Review </w:t>
      </w:r>
      <w:r w:rsidR="00C054FA" w:rsidRPr="00C4084C">
        <w:t>i</w:t>
      </w:r>
      <w:r w:rsidR="00F51950" w:rsidRPr="00C4084C">
        <w:t>s recommending</w:t>
      </w:r>
      <w:r w:rsidR="005B3445" w:rsidRPr="00C4084C">
        <w:t xml:space="preserve"> that industry and employers make reasonable contributions to the costs of providing placements </w:t>
      </w:r>
      <w:r w:rsidR="00F51950" w:rsidRPr="00C4084C">
        <w:t>as</w:t>
      </w:r>
      <w:r w:rsidR="005B3445" w:rsidRPr="00C4084C">
        <w:t xml:space="preserve"> they </w:t>
      </w:r>
      <w:r w:rsidR="00F51950" w:rsidRPr="00C4084C">
        <w:t>benefit from the pipeline of qualified people to fill jobs</w:t>
      </w:r>
      <w:r w:rsidR="004235CA" w:rsidRPr="00C4084C">
        <w:t xml:space="preserve">, and that the Government provide financial support for students undertaking placements in key industries including </w:t>
      </w:r>
      <w:r w:rsidR="00675A8E">
        <w:t xml:space="preserve">nursing, </w:t>
      </w:r>
      <w:proofErr w:type="gramStart"/>
      <w:r w:rsidR="00675A8E">
        <w:t>care</w:t>
      </w:r>
      <w:proofErr w:type="gramEnd"/>
      <w:r w:rsidR="00675A8E">
        <w:t xml:space="preserve"> and </w:t>
      </w:r>
      <w:r w:rsidR="004235CA" w:rsidRPr="00C4084C">
        <w:t>teaching (see Recommendation</w:t>
      </w:r>
      <w:r w:rsidR="00D66429" w:rsidRPr="00C4084C">
        <w:t xml:space="preserve"> </w:t>
      </w:r>
      <w:r w:rsidR="00723570" w:rsidRPr="00C4084C">
        <w:t>14</w:t>
      </w:r>
      <w:r w:rsidR="004235CA" w:rsidRPr="00C4084C">
        <w:t>)</w:t>
      </w:r>
      <w:r w:rsidR="005B3445" w:rsidRPr="00C4084C">
        <w:t>.</w:t>
      </w:r>
    </w:p>
    <w:p w14:paraId="594E008F" w14:textId="77E9ECE1" w:rsidR="005B3445" w:rsidRPr="00C4084C" w:rsidRDefault="005B3445" w:rsidP="00B1626C">
      <w:pPr>
        <w:pStyle w:val="Heading6"/>
      </w:pPr>
      <w:r w:rsidRPr="00C4084C">
        <w:t>Professional accreditation</w:t>
      </w:r>
    </w:p>
    <w:p w14:paraId="425E16EF" w14:textId="2CCAA170" w:rsidR="005B3445" w:rsidRPr="00C4084C" w:rsidRDefault="005B3445" w:rsidP="0020392A">
      <w:r w:rsidRPr="00C4084C">
        <w:t>Industry and professional accreditation bodies operate across multiple industry sectors in both vocational and higher education</w:t>
      </w:r>
      <w:r w:rsidR="08C09F1E" w:rsidRPr="00C4084C">
        <w:t>.</w:t>
      </w:r>
      <w:r w:rsidRPr="00C4084C">
        <w:t xml:space="preserve"> </w:t>
      </w:r>
      <w:r w:rsidR="67F2CACF" w:rsidRPr="00C4084C">
        <w:t>They</w:t>
      </w:r>
      <w:r w:rsidRPr="00C4084C">
        <w:t xml:space="preserve"> maintain considerable authority over qualifications and mandatory work placements for students, though the level of involvement in different fields of study varies. While maintaining standards for professional practice – including for </w:t>
      </w:r>
      <w:r w:rsidR="00622A86" w:rsidRPr="00C4084C">
        <w:t xml:space="preserve">skills, </w:t>
      </w:r>
      <w:r w:rsidRPr="00C4084C">
        <w:t xml:space="preserve">safety, quality, </w:t>
      </w:r>
      <w:proofErr w:type="gramStart"/>
      <w:r w:rsidRPr="00C4084C">
        <w:t>consistency</w:t>
      </w:r>
      <w:proofErr w:type="gramEnd"/>
      <w:r w:rsidRPr="00C4084C">
        <w:t xml:space="preserve"> and accountability – is important, there is less clarity on the certification process of the accrediting bodies themselves</w:t>
      </w:r>
      <w:r w:rsidR="00D97194">
        <w:t xml:space="preserve"> and </w:t>
      </w:r>
      <w:r w:rsidRPr="00C4084C">
        <w:t>their own obligations toward meeting skills shortages</w:t>
      </w:r>
      <w:r w:rsidR="00D97194">
        <w:t>,</w:t>
      </w:r>
      <w:r w:rsidR="00592BE2" w:rsidRPr="00C4084C">
        <w:t xml:space="preserve"> along with tests of reasonableness of placement length and requirements</w:t>
      </w:r>
      <w:r w:rsidRPr="00C4084C">
        <w:t xml:space="preserve">, and the relevant standards for the student experience. </w:t>
      </w:r>
    </w:p>
    <w:p w14:paraId="32A57ECD" w14:textId="35C63118" w:rsidR="007F183E" w:rsidRPr="00C4084C" w:rsidRDefault="007F183E" w:rsidP="0020392A">
      <w:r w:rsidRPr="00C4084C">
        <w:t>The</w:t>
      </w:r>
      <w:r w:rsidR="006B4708" w:rsidRPr="00C4084C">
        <w:t xml:space="preserve"> opportunitie</w:t>
      </w:r>
      <w:r w:rsidRPr="00C4084C">
        <w:t xml:space="preserve">s for placement differ across fields, </w:t>
      </w:r>
      <w:proofErr w:type="gramStart"/>
      <w:r w:rsidRPr="00C4084C">
        <w:t>regions</w:t>
      </w:r>
      <w:proofErr w:type="gramEnd"/>
      <w:r w:rsidRPr="00C4084C">
        <w:t xml:space="preserve"> and institutions. In many fields of study</w:t>
      </w:r>
      <w:r w:rsidR="63D31DB3" w:rsidRPr="00C4084C">
        <w:t xml:space="preserve"> and regions</w:t>
      </w:r>
      <w:r w:rsidRPr="00C4084C">
        <w:t>, there are insufficient placement places to meet demand.</w:t>
      </w:r>
      <w:r w:rsidRPr="00C4084C">
        <w:rPr>
          <w:rStyle w:val="FootnoteReference"/>
        </w:rPr>
        <w:footnoteReference w:id="160"/>
      </w:r>
      <w:r w:rsidRPr="00C4084C">
        <w:rPr>
          <w:rStyle w:val="FootnoteReference"/>
          <w:vertAlign w:val="baseline"/>
        </w:rPr>
        <w:t xml:space="preserve"> </w:t>
      </w:r>
      <w:r w:rsidR="008F24D8" w:rsidRPr="00C4084C">
        <w:t xml:space="preserve">This </w:t>
      </w:r>
      <w:r w:rsidRPr="00C4084C">
        <w:t>limits the supply of graduates, which in turn leads to skills needs not being met.</w:t>
      </w:r>
    </w:p>
    <w:p w14:paraId="2EA29F13" w14:textId="4BB786A7" w:rsidR="005B3445" w:rsidRPr="00C4084C" w:rsidRDefault="005B3445" w:rsidP="0020392A">
      <w:r w:rsidRPr="00C4084C">
        <w:t>Given the current pace of change,</w:t>
      </w:r>
      <w:r w:rsidRPr="00C4084C" w:rsidDel="002274EC">
        <w:t xml:space="preserve"> </w:t>
      </w:r>
      <w:r w:rsidRPr="00C4084C">
        <w:t>greater and more structured participation by industry and professional bodies is necessary to help generate solutions to skill acquisition in a workplace environment</w:t>
      </w:r>
      <w:r w:rsidR="004249F7">
        <w:t xml:space="preserve"> including through use of</w:t>
      </w:r>
      <w:r w:rsidR="004249F7" w:rsidRPr="00C4084C">
        <w:t xml:space="preserve"> technological advances </w:t>
      </w:r>
      <w:r w:rsidR="004249F7">
        <w:t>in fields such as</w:t>
      </w:r>
      <w:r w:rsidR="004249F7" w:rsidRPr="00C4084C">
        <w:t xml:space="preserve"> AI and simulation</w:t>
      </w:r>
      <w:r w:rsidR="004249F7">
        <w:t>.</w:t>
      </w:r>
    </w:p>
    <w:p w14:paraId="2FBD63FC" w14:textId="7A38C979" w:rsidR="005B3445" w:rsidRPr="00C4084C" w:rsidRDefault="005B3445" w:rsidP="0020392A">
      <w:r w:rsidRPr="00C4084C">
        <w:t>Accrediting bodies should regularly review their accreditation requirements to ensure they remain fit for purpose</w:t>
      </w:r>
      <w:r w:rsidR="004D4BBB" w:rsidRPr="00C4084C">
        <w:t xml:space="preserve"> and based on </w:t>
      </w:r>
      <w:r w:rsidR="007F183E" w:rsidRPr="00C4084C">
        <w:t>up</w:t>
      </w:r>
      <w:r w:rsidR="006B4708" w:rsidRPr="00C4084C">
        <w:t>-</w:t>
      </w:r>
      <w:r w:rsidR="007F183E" w:rsidRPr="00C4084C">
        <w:t>to</w:t>
      </w:r>
      <w:r w:rsidR="006B4708" w:rsidRPr="00C4084C">
        <w:t>-</w:t>
      </w:r>
      <w:r w:rsidR="007F183E" w:rsidRPr="00C4084C">
        <w:t xml:space="preserve">date </w:t>
      </w:r>
      <w:r w:rsidR="004D4BBB" w:rsidRPr="00C4084C">
        <w:t>objective evidence</w:t>
      </w:r>
      <w:r w:rsidRPr="00C4084C">
        <w:t xml:space="preserve">, and that </w:t>
      </w:r>
      <w:r w:rsidR="279BD691" w:rsidRPr="00C4084C">
        <w:t>RPL</w:t>
      </w:r>
      <w:r w:rsidRPr="00C4084C">
        <w:t xml:space="preserve"> arrangements are working. </w:t>
      </w:r>
      <w:r w:rsidR="2EE61F3A" w:rsidRPr="00C4084C">
        <w:t>Professional certification bodies should be expected to consider existing work experience in the field as RPL toward placement requirements</w:t>
      </w:r>
      <w:r w:rsidR="002023CF" w:rsidRPr="00C4084C">
        <w:t>. They</w:t>
      </w:r>
      <w:r w:rsidR="2EE61F3A" w:rsidRPr="00C4084C">
        <w:t xml:space="preserve"> should</w:t>
      </w:r>
      <w:r w:rsidR="002023CF" w:rsidRPr="00C4084C">
        <w:t xml:space="preserve"> also</w:t>
      </w:r>
      <w:r w:rsidR="2EE61F3A" w:rsidRPr="00C4084C">
        <w:t xml:space="preserve"> be reviewed to ensure accessible and equitable pathways are being recognised for students.</w:t>
      </w:r>
    </w:p>
    <w:p w14:paraId="0FB18A59" w14:textId="599E0876" w:rsidR="005B3445" w:rsidRPr="00C4084C" w:rsidRDefault="005B3445" w:rsidP="0020392A">
      <w:r w:rsidRPr="00C4084C">
        <w:t>Possibilities for consideration include:</w:t>
      </w:r>
    </w:p>
    <w:p w14:paraId="29153CF8" w14:textId="779893F6" w:rsidR="005B3445" w:rsidRPr="00C4084C" w:rsidRDefault="005B3445" w:rsidP="005B3445">
      <w:pPr>
        <w:pStyle w:val="ListBullet"/>
        <w:ind w:left="284" w:hanging="284"/>
      </w:pPr>
      <w:r w:rsidRPr="00C4084C">
        <w:t xml:space="preserve">greater use of simulated WIL in </w:t>
      </w:r>
      <w:r w:rsidR="000C0085" w:rsidRPr="00C4084C">
        <w:t xml:space="preserve">appropriate </w:t>
      </w:r>
      <w:r w:rsidRPr="00C4084C">
        <w:t>professions</w:t>
      </w:r>
    </w:p>
    <w:p w14:paraId="2ED0B842" w14:textId="07501A85" w:rsidR="005B3445" w:rsidRPr="00C4084C" w:rsidRDefault="005B3445" w:rsidP="005B3445">
      <w:pPr>
        <w:pStyle w:val="ListBullet"/>
        <w:ind w:left="284" w:hanging="284"/>
      </w:pPr>
      <w:r w:rsidRPr="00C4084C">
        <w:t xml:space="preserve">restructuring course design to recognise competencies and prior experience (instead of meeting mandatory minimum hours of practice) which, at </w:t>
      </w:r>
      <w:r w:rsidR="3A4E6A93" w:rsidRPr="00C4084C">
        <w:t xml:space="preserve">a </w:t>
      </w:r>
      <w:r w:rsidRPr="00C4084C">
        <w:t xml:space="preserve">minimum, could accelerate completions and free up training and placement opportunities for students without </w:t>
      </w:r>
      <w:proofErr w:type="gramStart"/>
      <w:r w:rsidRPr="00C4084C">
        <w:t>these</w:t>
      </w:r>
      <w:proofErr w:type="gramEnd"/>
    </w:p>
    <w:p w14:paraId="5365161A" w14:textId="14C2E744" w:rsidR="00892F96" w:rsidRPr="00C4084C" w:rsidRDefault="7CB6E97B" w:rsidP="005B3445">
      <w:pPr>
        <w:pStyle w:val="ListBullet"/>
        <w:ind w:left="284" w:hanging="284"/>
      </w:pPr>
      <w:r w:rsidRPr="00C4084C">
        <w:lastRenderedPageBreak/>
        <w:t>p</w:t>
      </w:r>
      <w:r w:rsidR="00892F96" w:rsidRPr="00C4084C">
        <w:t>roviding greater flexibility to undertake placements, including recognition of offshore placements, part</w:t>
      </w:r>
      <w:r w:rsidR="00176F92" w:rsidRPr="00C4084C">
        <w:t>-time</w:t>
      </w:r>
      <w:r w:rsidR="00892F96" w:rsidRPr="00C4084C">
        <w:t xml:space="preserve"> </w:t>
      </w:r>
      <w:proofErr w:type="gramStart"/>
      <w:r w:rsidR="00892F96" w:rsidRPr="00C4084C">
        <w:t>placements</w:t>
      </w:r>
      <w:proofErr w:type="gramEnd"/>
      <w:r w:rsidR="00892F96" w:rsidRPr="00C4084C">
        <w:t xml:space="preserve"> and online placements, where feasible.</w:t>
      </w:r>
    </w:p>
    <w:p w14:paraId="18397E5E" w14:textId="77777777" w:rsidR="005B3445" w:rsidRPr="00C4084C" w:rsidRDefault="005B3445" w:rsidP="0020392A">
      <w:r w:rsidRPr="00C4084C">
        <w:t>There is also growing concern over the shortage of supervisors and supervisory standards in some placements. This shortage is mainly attributed to factors such as the increasing number of students seeking placements, limited resources, and the lack of qualified individuals to fill supervisory positions.</w:t>
      </w:r>
    </w:p>
    <w:p w14:paraId="495DAD04" w14:textId="240C6D1F" w:rsidR="00FC6A5A" w:rsidRPr="00C4084C" w:rsidRDefault="00FC6A5A" w:rsidP="0020392A">
      <w:pPr>
        <w:rPr>
          <w:rStyle w:val="ui-provider"/>
        </w:rPr>
      </w:pPr>
      <w:r w:rsidRPr="00C4084C">
        <w:rPr>
          <w:rStyle w:val="ui-provider"/>
        </w:rPr>
        <w:t xml:space="preserve">Professional bodies, governments and regulators should regularly review the accreditation requirements that underpin professional qualifications. These accreditation requirements </w:t>
      </w:r>
      <w:r w:rsidR="007F183E" w:rsidRPr="00C4084C">
        <w:rPr>
          <w:rStyle w:val="ui-provider"/>
        </w:rPr>
        <w:t>often</w:t>
      </w:r>
      <w:r w:rsidR="009B5FD3" w:rsidRPr="00C4084C">
        <w:rPr>
          <w:rStyle w:val="ui-provider"/>
        </w:rPr>
        <w:t xml:space="preserve"> </w:t>
      </w:r>
      <w:r w:rsidRPr="00C4084C">
        <w:rPr>
          <w:rStyle w:val="ui-provider"/>
        </w:rPr>
        <w:t xml:space="preserve">dictate the standards for mandatory placements, including minimum contact hours and methods of delivery (which may not keep pace with advances in technology). While it is essential to maintain quality and ensure that students have developed sufficient skills to enter the workforce, excessive requirements </w:t>
      </w:r>
      <w:r w:rsidR="47C5869A" w:rsidRPr="00C4084C">
        <w:rPr>
          <w:rStyle w:val="ui-provider"/>
        </w:rPr>
        <w:t xml:space="preserve">that are not based on objective evidence </w:t>
      </w:r>
      <w:r w:rsidRPr="00C4084C">
        <w:rPr>
          <w:rStyle w:val="ui-provider"/>
        </w:rPr>
        <w:t xml:space="preserve">can deter students and in turn exacerbate skills shortages. </w:t>
      </w:r>
    </w:p>
    <w:p w14:paraId="5B69577D" w14:textId="336D7E97" w:rsidR="00524159" w:rsidRPr="008C67CA" w:rsidRDefault="00FC6A5A" w:rsidP="00285443">
      <w:pPr>
        <w:rPr>
          <w:rStyle w:val="ui-provider"/>
          <w:b/>
        </w:rPr>
      </w:pPr>
      <w:r w:rsidRPr="00C4084C">
        <w:rPr>
          <w:rStyle w:val="ui-provider"/>
        </w:rPr>
        <w:t xml:space="preserve">Given the impact that placements have on students, the </w:t>
      </w:r>
      <w:r w:rsidR="003D6703" w:rsidRPr="00C4084C">
        <w:rPr>
          <w:rStyle w:val="ui-provider"/>
        </w:rPr>
        <w:t>Commission</w:t>
      </w:r>
      <w:r w:rsidRPr="00C4084C">
        <w:rPr>
          <w:rStyle w:val="ui-provider"/>
        </w:rPr>
        <w:t xml:space="preserve"> should work with accrediting bodies and universities to develop a code of practice that underlies their interactions in relation to mandatory placements.</w:t>
      </w:r>
    </w:p>
    <w:tbl>
      <w:tblPr>
        <w:tblW w:w="0" w:type="auto"/>
        <w:shd w:val="clear" w:color="auto" w:fill="E5EAF2"/>
        <w:tblLook w:val="04A0" w:firstRow="1" w:lastRow="0" w:firstColumn="1" w:lastColumn="0" w:noHBand="0" w:noVBand="1"/>
      </w:tblPr>
      <w:tblGrid>
        <w:gridCol w:w="9638"/>
      </w:tblGrid>
      <w:tr w:rsidR="00524159" w:rsidRPr="00C4084C" w14:paraId="1E0A65F8" w14:textId="77777777" w:rsidTr="00D26B82">
        <w:tc>
          <w:tcPr>
            <w:tcW w:w="0" w:type="auto"/>
            <w:shd w:val="clear" w:color="auto" w:fill="B0C3DB"/>
          </w:tcPr>
          <w:p w14:paraId="63AF20A7" w14:textId="1F89846A" w:rsidR="00DB7629" w:rsidRPr="00DB7629" w:rsidRDefault="0080264E" w:rsidP="003E5969">
            <w:pPr>
              <w:pStyle w:val="Findinginchapterheading"/>
              <w:rPr>
                <w:szCs w:val="24"/>
              </w:rPr>
            </w:pPr>
            <w:r w:rsidRPr="003E5969">
              <w:rPr>
                <w:rFonts w:ascii="Calibri" w:eastAsia="Yu Gothic Light" w:hAnsi="Calibri" w:cs="Calibri"/>
                <w:szCs w:val="24"/>
              </w:rPr>
              <w:t>Finding</w:t>
            </w:r>
            <w:r w:rsidR="00DB7629">
              <w:rPr>
                <w:szCs w:val="24"/>
              </w:rPr>
              <w:t xml:space="preserve">: </w:t>
            </w:r>
            <w:r w:rsidR="00524159" w:rsidRPr="00C4084C">
              <w:t xml:space="preserve">Accreditation bodies: </w:t>
            </w:r>
          </w:p>
          <w:p w14:paraId="734E4DC5" w14:textId="3048609C" w:rsidR="00524159" w:rsidRPr="00C4084C" w:rsidRDefault="00524159" w:rsidP="003E5969">
            <w:pPr>
              <w:pStyle w:val="Boxtext0"/>
              <w:spacing w:before="0"/>
            </w:pPr>
            <w:r w:rsidRPr="00C4084C">
              <w:t>Placements and other requirements for professional accreditation are not always working effectively. Professional accreditation is crucial for training the future workforce, but accreditation requirements can be unduly burdensome for both students and universities. Mandatory placements can involve onerous hours and can financially disadvantage students who are unable to participate in paid work while on placement or need to relocate to undertake their placement.  </w:t>
            </w:r>
          </w:p>
        </w:tc>
      </w:tr>
    </w:tbl>
    <w:p w14:paraId="70B18D13" w14:textId="7EB76E4C" w:rsidR="005B3445" w:rsidRPr="00C4084C" w:rsidRDefault="5AE314FB" w:rsidP="007B0775">
      <w:pPr>
        <w:pStyle w:val="Heading5"/>
      </w:pPr>
      <w:bookmarkStart w:id="489" w:name="_Toc151807285"/>
      <w:r w:rsidRPr="00C4084C">
        <w:t>Earning</w:t>
      </w:r>
      <w:r w:rsidR="005B3445" w:rsidRPr="00C4084C">
        <w:t xml:space="preserve"> while learning – Jobs Broker</w:t>
      </w:r>
      <w:bookmarkEnd w:id="489"/>
    </w:p>
    <w:p w14:paraId="5F6FC825" w14:textId="4EDCE561" w:rsidR="005B3445" w:rsidRPr="00C4084C" w:rsidRDefault="005B3445" w:rsidP="0020392A">
      <w:r w:rsidRPr="00C4084C">
        <w:t xml:space="preserve">Many students need to undertake paid, part-time employment to finance their study. </w:t>
      </w:r>
      <w:r w:rsidR="73E4E25E" w:rsidRPr="00C4084C">
        <w:t xml:space="preserve">If the employment can be obtained in an industry aligned with their field of study, it can provide valuable experience, connections and job skills that enhance their post-graduation job opportunities.  </w:t>
      </w:r>
    </w:p>
    <w:p w14:paraId="350FEFB5" w14:textId="27B24FA2" w:rsidR="005B3445" w:rsidRPr="00C4084C" w:rsidRDefault="73E4E25E" w:rsidP="0020392A">
      <w:r w:rsidRPr="00C4084C">
        <w:t>The Review recommends that a national brokerage service (Jobs Broker) be established to support tertiary education students to find paid, part-time work in their chosen field of study</w:t>
      </w:r>
      <w:r w:rsidR="00974524" w:rsidRPr="00C4084C">
        <w:t xml:space="preserve"> (see Recommendation </w:t>
      </w:r>
      <w:r w:rsidR="00413554" w:rsidRPr="00C4084C">
        <w:t>7</w:t>
      </w:r>
      <w:r w:rsidR="00974524" w:rsidRPr="00C4084C">
        <w:t>)</w:t>
      </w:r>
      <w:r w:rsidRPr="00C4084C">
        <w:t xml:space="preserve">. This </w:t>
      </w:r>
      <w:r w:rsidR="00B761EE" w:rsidRPr="00C4084C">
        <w:t>would be its</w:t>
      </w:r>
      <w:r w:rsidRPr="00C4084C">
        <w:t xml:space="preserve"> primary function, and the Review recommends it be implemented immediately via Australian Government tender.</w:t>
      </w:r>
    </w:p>
    <w:p w14:paraId="07592725" w14:textId="4809217E" w:rsidR="005B3445" w:rsidRPr="00C4084C" w:rsidRDefault="73E4E25E" w:rsidP="0020392A">
      <w:r w:rsidRPr="00C4084C">
        <w:t>There are some good examples of existing university services which match students with employment opportunities. Western Sydney University’s Job Spot allows students to search online for full-time and part-time job opportunities both on and off campus, as well as international jobs and internships, unpaid work experience and volunteer opportunities.</w:t>
      </w:r>
    </w:p>
    <w:p w14:paraId="59ECAC61" w14:textId="474096CE" w:rsidR="005B3445" w:rsidRPr="00C4084C" w:rsidRDefault="73E4E25E" w:rsidP="0020392A">
      <w:r w:rsidRPr="00C4084C">
        <w:t>The Jobs Broker could similarly operate through an online portal, supported by limited interactive services, where students can express their interest in available jobs based on their skills, qualifications, study commitments and region, and where employers can advertise available positions and their requirements. It would be a subscription service</w:t>
      </w:r>
      <w:r w:rsidR="00575ACF">
        <w:t xml:space="preserve"> –</w:t>
      </w:r>
      <w:r w:rsidR="00575ACF" w:rsidRPr="00C4084C">
        <w:t xml:space="preserve"> </w:t>
      </w:r>
      <w:r w:rsidRPr="00C4084C">
        <w:t>free for students, including international students, with employers paying a fee</w:t>
      </w:r>
      <w:r w:rsidR="00575ACF">
        <w:t>,</w:t>
      </w:r>
      <w:r w:rsidRPr="00C4084C">
        <w:t xml:space="preserve"> possibly based on </w:t>
      </w:r>
      <w:r w:rsidR="00F27D90">
        <w:t>their employee</w:t>
      </w:r>
      <w:r w:rsidRPr="00C4084C">
        <w:t xml:space="preserve"> number</w:t>
      </w:r>
      <w:r w:rsidR="00F27D90">
        <w:t>s</w:t>
      </w:r>
      <w:r w:rsidRPr="00C4084C">
        <w:t xml:space="preserve"> or annual revenue.</w:t>
      </w:r>
    </w:p>
    <w:p w14:paraId="73409830" w14:textId="6C22ECCA" w:rsidR="005B3445" w:rsidRPr="00C4084C" w:rsidRDefault="73E4E25E" w:rsidP="0020392A">
      <w:r w:rsidRPr="00C4084C">
        <w:t xml:space="preserve">Eventually, the Jobs Broker might also be expanded to facilitate placements and WIL opportunities that involve an element of course credit for students, and to provide students with career advice and other information. </w:t>
      </w:r>
    </w:p>
    <w:p w14:paraId="3D3E381E" w14:textId="3D82D5B2" w:rsidR="007D1CB4" w:rsidRPr="00C4084C" w:rsidRDefault="73E4E25E" w:rsidP="0020392A">
      <w:r w:rsidRPr="00C4084C">
        <w:lastRenderedPageBreak/>
        <w:t xml:space="preserve">The Jobs Broker is also discussed further </w:t>
      </w:r>
      <w:r w:rsidR="004B146B">
        <w:t>in</w:t>
      </w:r>
      <w:r w:rsidR="004B146B" w:rsidRPr="00C4084C">
        <w:t xml:space="preserve"> </w:t>
      </w:r>
      <w:r w:rsidR="004B146B" w:rsidRPr="00C4084C">
        <w:rPr>
          <w:i/>
          <w:iCs/>
        </w:rPr>
        <w:fldChar w:fldCharType="begin"/>
      </w:r>
      <w:r w:rsidR="004B146B" w:rsidRPr="004406D4">
        <w:rPr>
          <w:i/>
        </w:rPr>
        <w:instrText xml:space="preserve"> REF _Ref151934425 \r \h  \* MERGEFORMAT </w:instrText>
      </w:r>
      <w:r w:rsidR="004B146B" w:rsidRPr="00C4084C">
        <w:rPr>
          <w:i/>
          <w:iCs/>
        </w:rPr>
      </w:r>
      <w:r w:rsidR="004B146B" w:rsidRPr="00C4084C">
        <w:rPr>
          <w:i/>
          <w:iCs/>
        </w:rPr>
        <w:fldChar w:fldCharType="separate"/>
      </w:r>
      <w:r w:rsidR="004B146B">
        <w:rPr>
          <w:i/>
          <w:iCs/>
        </w:rPr>
        <w:t>Chapter 3</w:t>
      </w:r>
      <w:r w:rsidR="004B146B" w:rsidRPr="004406D4">
        <w:rPr>
          <w:i/>
        </w:rPr>
        <w:t xml:space="preserve"> – </w:t>
      </w:r>
      <w:r w:rsidR="004B146B" w:rsidRPr="00C4084C">
        <w:rPr>
          <w:i/>
          <w:iCs/>
        </w:rPr>
        <w:fldChar w:fldCharType="end"/>
      </w:r>
      <w:r w:rsidR="004B146B" w:rsidRPr="00C4084C">
        <w:rPr>
          <w:i/>
          <w:iCs/>
        </w:rPr>
        <w:fldChar w:fldCharType="begin"/>
      </w:r>
      <w:r w:rsidR="004B146B" w:rsidRPr="00C4084C">
        <w:rPr>
          <w:i/>
          <w:iCs/>
        </w:rPr>
        <w:instrText xml:space="preserve"> REF _Ref151934425 \h  \* MERGEFORMAT </w:instrText>
      </w:r>
      <w:r w:rsidR="004B146B" w:rsidRPr="00C4084C">
        <w:rPr>
          <w:i/>
          <w:iCs/>
        </w:rPr>
      </w:r>
      <w:r w:rsidR="004B146B" w:rsidRPr="00C4084C">
        <w:rPr>
          <w:i/>
          <w:iCs/>
        </w:rPr>
        <w:fldChar w:fldCharType="separate"/>
      </w:r>
      <w:r w:rsidR="004B146B" w:rsidRPr="008C67CA">
        <w:rPr>
          <w:i/>
        </w:rPr>
        <w:t>Expanding opportunity to all</w:t>
      </w:r>
      <w:r w:rsidR="004B146B" w:rsidRPr="00C4084C">
        <w:rPr>
          <w:i/>
          <w:iCs/>
        </w:rPr>
        <w:fldChar w:fldCharType="end"/>
      </w:r>
      <w:r w:rsidR="004B146B">
        <w:rPr>
          <w:i/>
          <w:iCs/>
        </w:rPr>
        <w:t xml:space="preserve"> </w:t>
      </w:r>
      <w:r w:rsidRPr="00C4084C">
        <w:t xml:space="preserve">as a mechanism to remove financial roadblocks to accessing or completing </w:t>
      </w:r>
      <w:r w:rsidR="005B3445" w:rsidRPr="00C4084C">
        <w:t>tertiary education</w:t>
      </w:r>
      <w:r w:rsidR="00C612FE">
        <w:t>.</w:t>
      </w:r>
    </w:p>
    <w:p w14:paraId="07A1EE89" w14:textId="5AA42C24" w:rsidR="00A161A0" w:rsidRPr="00C4084C" w:rsidRDefault="00A161A0" w:rsidP="00BA6095">
      <w:pPr>
        <w:pStyle w:val="Heading4"/>
      </w:pPr>
      <w:bookmarkStart w:id="490" w:name="_Toc150857898"/>
      <w:bookmarkStart w:id="491" w:name="_Toc150857899"/>
      <w:bookmarkStart w:id="492" w:name="_Toc150857901"/>
      <w:bookmarkStart w:id="493" w:name="_Toc151807286"/>
      <w:bookmarkStart w:id="494" w:name="_Toc152778705"/>
      <w:bookmarkStart w:id="495" w:name="_Toc153483020"/>
      <w:bookmarkStart w:id="496" w:name="_Toc159500930"/>
      <w:bookmarkEnd w:id="490"/>
      <w:bookmarkEnd w:id="491"/>
      <w:bookmarkEnd w:id="492"/>
      <w:r w:rsidRPr="00C4084C">
        <w:t>Building better connections and skills coalitions</w:t>
      </w:r>
      <w:bookmarkEnd w:id="493"/>
      <w:bookmarkEnd w:id="494"/>
      <w:bookmarkEnd w:id="495"/>
      <w:bookmarkEnd w:id="496"/>
    </w:p>
    <w:p w14:paraId="5BBE5E25" w14:textId="6587E9AD" w:rsidR="005B3445" w:rsidRPr="00C4084C" w:rsidRDefault="005B3445" w:rsidP="0020392A">
      <w:r w:rsidRPr="00C4084C">
        <w:t>VET and higher education</w:t>
      </w:r>
      <w:r w:rsidRPr="00C4084C" w:rsidDel="00E82319">
        <w:t xml:space="preserve"> </w:t>
      </w:r>
      <w:r w:rsidRPr="00C4084C">
        <w:t xml:space="preserve">are key pillars of Australia’s economic and social infrastructure, with distinct but complementary strengths and purposes. When they work together </w:t>
      </w:r>
      <w:r w:rsidR="00502E2C" w:rsidRPr="00C4084C">
        <w:t>and</w:t>
      </w:r>
      <w:r w:rsidRPr="00C4084C">
        <w:t xml:space="preserve"> with industry and business, they have great potential to deliver on </w:t>
      </w:r>
      <w:r w:rsidR="00182A41" w:rsidRPr="00C4084C">
        <w:t xml:space="preserve">meeting </w:t>
      </w:r>
      <w:r w:rsidRPr="00C4084C">
        <w:t xml:space="preserve">individual and employer demand. This is not a new observation, but the Review </w:t>
      </w:r>
      <w:r w:rsidR="007E1F5D" w:rsidRPr="00C4084C">
        <w:t>recommends</w:t>
      </w:r>
      <w:r w:rsidRPr="00C4084C">
        <w:t xml:space="preserve"> that working together must become embedded practice to meet the challenges of the future.</w:t>
      </w:r>
    </w:p>
    <w:p w14:paraId="312E92ED" w14:textId="5AB59D6B" w:rsidR="005B3445" w:rsidRPr="00C4084C" w:rsidRDefault="00A737E0" w:rsidP="0020392A">
      <w:r w:rsidRPr="00C4084C">
        <w:t xml:space="preserve">The </w:t>
      </w:r>
      <w:r w:rsidR="005B3445" w:rsidRPr="00C4084C">
        <w:t>VET sector and higher education</w:t>
      </w:r>
      <w:r w:rsidR="005B3445" w:rsidRPr="00C4084C" w:rsidDel="00E82319">
        <w:t xml:space="preserve"> </w:t>
      </w:r>
      <w:r w:rsidR="005B3445" w:rsidRPr="00C4084C">
        <w:t xml:space="preserve">have traditionally served different purposes. This has necessitated different regulatory requirements – highlighted by the </w:t>
      </w:r>
      <w:r w:rsidR="00D16150" w:rsidRPr="00C4084C">
        <w:t xml:space="preserve">2 </w:t>
      </w:r>
      <w:r w:rsidR="005B3445" w:rsidRPr="00C4084C">
        <w:t xml:space="preserve">regulators (ASQA and TEQSA) and </w:t>
      </w:r>
      <w:r w:rsidR="00323411" w:rsidRPr="00C4084C">
        <w:t>their</w:t>
      </w:r>
      <w:r w:rsidR="00D16150" w:rsidRPr="00C4084C">
        <w:t xml:space="preserve"> </w:t>
      </w:r>
      <w:r w:rsidR="005B3445" w:rsidRPr="00C4084C">
        <w:t xml:space="preserve">different approaches to course accreditation. </w:t>
      </w:r>
      <w:r w:rsidR="00163780" w:rsidRPr="00C4084C">
        <w:t>C</w:t>
      </w:r>
      <w:r w:rsidR="005B3445" w:rsidRPr="00C4084C">
        <w:t xml:space="preserve">loser integration of the sectors into an aligned tertiary </w:t>
      </w:r>
      <w:r w:rsidRPr="00C4084C">
        <w:t>education</w:t>
      </w:r>
      <w:r w:rsidR="005B3445" w:rsidRPr="00C4084C">
        <w:t xml:space="preserve"> system is an essential reform, requiring a carefully considered and coordinated approach across jurisdictions</w:t>
      </w:r>
      <w:r w:rsidR="00163780" w:rsidRPr="00C4084C">
        <w:t xml:space="preserve"> that maintains the unique strengths of the VET and higher education </w:t>
      </w:r>
      <w:r w:rsidR="00387524" w:rsidRPr="00C4084C">
        <w:t>s</w:t>
      </w:r>
      <w:r w:rsidR="00387524">
        <w:t>ectors</w:t>
      </w:r>
      <w:r w:rsidR="005B3445" w:rsidRPr="00C4084C">
        <w:t xml:space="preserve">. </w:t>
      </w:r>
    </w:p>
    <w:p w14:paraId="62C74DA3" w14:textId="304E8447" w:rsidR="005B3445" w:rsidRPr="00C4084C" w:rsidRDefault="005B3445" w:rsidP="0020392A">
      <w:r w:rsidRPr="00C4084C">
        <w:t xml:space="preserve">The </w:t>
      </w:r>
      <w:r w:rsidR="004D339D" w:rsidRPr="00C4084C">
        <w:t>Review’s</w:t>
      </w:r>
      <w:r w:rsidRPr="00C4084C">
        <w:t xml:space="preserve"> recommendation to establish a </w:t>
      </w:r>
      <w:r w:rsidR="003D6703" w:rsidRPr="00C4084C">
        <w:t>Commission</w:t>
      </w:r>
      <w:r w:rsidRPr="00C4084C">
        <w:t xml:space="preserve">, as outlined in </w:t>
      </w:r>
      <w:r w:rsidR="009A57A7" w:rsidRPr="0020392A">
        <w:rPr>
          <w:i/>
          <w:iCs/>
        </w:rPr>
        <w:fldChar w:fldCharType="begin"/>
      </w:r>
      <w:r w:rsidR="009A57A7" w:rsidRPr="0020392A">
        <w:rPr>
          <w:i/>
          <w:iCs/>
        </w:rPr>
        <w:instrText xml:space="preserve"> REF _Ref151934666 \r \h </w:instrText>
      </w:r>
      <w:r w:rsidR="00DA4EDE" w:rsidRPr="0020392A">
        <w:rPr>
          <w:i/>
          <w:iCs/>
        </w:rPr>
        <w:instrText xml:space="preserve"> \* MERGEFORMAT </w:instrText>
      </w:r>
      <w:r w:rsidR="009A57A7" w:rsidRPr="0020392A">
        <w:rPr>
          <w:i/>
          <w:iCs/>
        </w:rPr>
      </w:r>
      <w:r w:rsidR="009A57A7" w:rsidRPr="0020392A">
        <w:rPr>
          <w:i/>
          <w:iCs/>
        </w:rPr>
        <w:fldChar w:fldCharType="separate"/>
      </w:r>
      <w:r w:rsidR="00467B4F" w:rsidRPr="0020392A">
        <w:rPr>
          <w:i/>
          <w:iCs/>
        </w:rPr>
        <w:t xml:space="preserve">Chapter 6 – </w:t>
      </w:r>
      <w:r w:rsidR="009A57A7" w:rsidRPr="0020392A">
        <w:rPr>
          <w:i/>
          <w:iCs/>
        </w:rPr>
        <w:fldChar w:fldCharType="end"/>
      </w:r>
      <w:r w:rsidR="008C34DB" w:rsidRPr="0020392A">
        <w:rPr>
          <w:i/>
          <w:iCs/>
        </w:rPr>
        <w:fldChar w:fldCharType="begin"/>
      </w:r>
      <w:r w:rsidR="008C34DB" w:rsidRPr="0020392A">
        <w:rPr>
          <w:i/>
          <w:iCs/>
        </w:rPr>
        <w:instrText xml:space="preserve"> REF _Ref151934666 \h  \* MERGEFORMAT </w:instrText>
      </w:r>
      <w:r w:rsidR="008C34DB" w:rsidRPr="0020392A">
        <w:rPr>
          <w:i/>
          <w:iCs/>
        </w:rPr>
      </w:r>
      <w:r w:rsidR="008C34DB" w:rsidRPr="0020392A">
        <w:rPr>
          <w:i/>
          <w:iCs/>
        </w:rPr>
        <w:fldChar w:fldCharType="separate"/>
      </w:r>
      <w:r w:rsidR="00467B4F" w:rsidRPr="0020392A">
        <w:rPr>
          <w:i/>
          <w:iCs/>
        </w:rPr>
        <w:t>A dynamic, collaborative and responsive system that serves the national interest</w:t>
      </w:r>
      <w:r w:rsidR="008C34DB" w:rsidRPr="0020392A">
        <w:rPr>
          <w:i/>
          <w:iCs/>
        </w:rPr>
        <w:fldChar w:fldCharType="end"/>
      </w:r>
      <w:r w:rsidRPr="00C4084C">
        <w:t xml:space="preserve">, is fundamental to this integration. In </w:t>
      </w:r>
      <w:r w:rsidR="004D339D" w:rsidRPr="00C4084C">
        <w:t>partnership</w:t>
      </w:r>
      <w:r w:rsidRPr="00C4084C">
        <w:t xml:space="preserve"> with state and territory governments, </w:t>
      </w:r>
      <w:r w:rsidR="0016042C" w:rsidRPr="00C4084C">
        <w:t xml:space="preserve">through the Skills and Workforce Ministerial Council </w:t>
      </w:r>
      <w:r w:rsidR="005115B8" w:rsidRPr="00C4084C">
        <w:t>(SWMC)</w:t>
      </w:r>
      <w:r w:rsidR="0016042C" w:rsidRPr="00C4084C">
        <w:t xml:space="preserve"> as steward of the VET system,</w:t>
      </w:r>
      <w:r w:rsidRPr="00C4084C">
        <w:t xml:space="preserve"> </w:t>
      </w:r>
      <w:r w:rsidR="00A12BA0" w:rsidRPr="00C4084C">
        <w:t xml:space="preserve">it is recommended that </w:t>
      </w:r>
      <w:r w:rsidRPr="00C4084C">
        <w:t xml:space="preserve">the </w:t>
      </w:r>
      <w:r w:rsidR="003D6703" w:rsidRPr="00C4084C">
        <w:t>Commission</w:t>
      </w:r>
      <w:r w:rsidRPr="00C4084C">
        <w:t xml:space="preserve"> will, over time, drive more and better alignment between higher education and VET.</w:t>
      </w:r>
    </w:p>
    <w:p w14:paraId="12FA4141" w14:textId="71FE28D9" w:rsidR="005B3445" w:rsidRPr="00C4084C" w:rsidRDefault="005B3445" w:rsidP="0020392A">
      <w:r w:rsidRPr="00C4084C">
        <w:t>Some</w:t>
      </w:r>
      <w:r w:rsidR="00163780" w:rsidRPr="00C4084C">
        <w:t xml:space="preserve"> of the</w:t>
      </w:r>
      <w:r w:rsidR="00A12BA0" w:rsidRPr="00C4084C">
        <w:t xml:space="preserve"> </w:t>
      </w:r>
      <w:r w:rsidR="00163780" w:rsidRPr="00C4084C">
        <w:t xml:space="preserve">reforms </w:t>
      </w:r>
      <w:r w:rsidR="00F27D90">
        <w:t>to</w:t>
      </w:r>
      <w:r w:rsidR="00F27D90" w:rsidRPr="00C4084C">
        <w:t xml:space="preserve"> </w:t>
      </w:r>
      <w:r w:rsidR="00163780" w:rsidRPr="00C4084C">
        <w:t>drive closer integration</w:t>
      </w:r>
      <w:r w:rsidRPr="00C4084C">
        <w:t xml:space="preserve"> have been discussed in this </w:t>
      </w:r>
      <w:r w:rsidR="00163780" w:rsidRPr="00C4084C">
        <w:t>chapter</w:t>
      </w:r>
      <w:r w:rsidRPr="00C4084C">
        <w:t xml:space="preserve">. Reforms to the Australian Qualifications Framework (AQF), focused on clear and consistent qualifications taxonomy spanning the entire tertiary </w:t>
      </w:r>
      <w:r w:rsidR="007162DD" w:rsidRPr="00C4084C">
        <w:t xml:space="preserve">education </w:t>
      </w:r>
      <w:r w:rsidRPr="00C4084C">
        <w:t>system, will support greater tertiary integration and a move towards parity of esteem. While improving RPL has clear benefits for students, it could also help widen the pathways between higher education and VET.</w:t>
      </w:r>
    </w:p>
    <w:p w14:paraId="25A628B1" w14:textId="7EA5B604" w:rsidR="005B3445" w:rsidRPr="00C4084C" w:rsidRDefault="005B3445" w:rsidP="0020392A">
      <w:r w:rsidRPr="00C4084C">
        <w:t>Broadening</w:t>
      </w:r>
      <w:r w:rsidRPr="00C4084C" w:rsidDel="00A25F02">
        <w:t xml:space="preserve"> the </w:t>
      </w:r>
      <w:r w:rsidRPr="00C4084C">
        <w:t xml:space="preserve">portfolio of qualifications and credentials that cross both VET and higher education will also create more obvious pathways for students. This is particularly important for </w:t>
      </w:r>
      <w:r w:rsidR="00D7545F" w:rsidRPr="00C4084C">
        <w:t>under-represented</w:t>
      </w:r>
      <w:r w:rsidRPr="00C4084C">
        <w:t xml:space="preserve"> cohorts who are more likely to start their tertiary education with a VET qualification and build to a higher education qualification. </w:t>
      </w:r>
      <w:r w:rsidR="003D16E6" w:rsidRPr="00C4084C">
        <w:t>M</w:t>
      </w:r>
      <w:r w:rsidRPr="00C4084C">
        <w:t xml:space="preserve">any people with higher education </w:t>
      </w:r>
      <w:r w:rsidR="00F1084E" w:rsidRPr="00C4084C">
        <w:t>will</w:t>
      </w:r>
      <w:r w:rsidRPr="00C4084C">
        <w:t xml:space="preserve"> pick up additional qualifications and skills through the VET system.</w:t>
      </w:r>
    </w:p>
    <w:p w14:paraId="7273CC1D" w14:textId="017CF67E" w:rsidR="005B3445" w:rsidRPr="00C4084C" w:rsidRDefault="005B3445" w:rsidP="007B0775">
      <w:pPr>
        <w:pStyle w:val="Heading5"/>
        <w:rPr>
          <w:rFonts w:eastAsia="Calibri"/>
        </w:rPr>
      </w:pPr>
      <w:bookmarkStart w:id="497" w:name="_Toc151807287"/>
      <w:r w:rsidRPr="00C4084C">
        <w:t>Role of TAFE and lifting tertiary</w:t>
      </w:r>
      <w:bookmarkEnd w:id="497"/>
      <w:r w:rsidR="007D1CB4" w:rsidRPr="00C4084C">
        <w:t xml:space="preserve"> attainment</w:t>
      </w:r>
    </w:p>
    <w:p w14:paraId="5F6A6F1E" w14:textId="5663541D" w:rsidR="005B3445" w:rsidRPr="00C4084C" w:rsidRDefault="005B3445" w:rsidP="0020392A">
      <w:pPr>
        <w:rPr>
          <w:rFonts w:cstheme="minorHAnsi"/>
        </w:rPr>
      </w:pPr>
      <w:r w:rsidRPr="00C4084C">
        <w:t>Australia’s network of publicly</w:t>
      </w:r>
      <w:r w:rsidR="00723A08" w:rsidRPr="00C4084C">
        <w:t xml:space="preserve"> </w:t>
      </w:r>
      <w:r w:rsidRPr="00C4084C">
        <w:t>owned TAFE institutions is critical to the national skills system and to developing and delivering skills solutions to regions and sectors of need. Through</w:t>
      </w:r>
      <w:r w:rsidR="00BC06B2" w:rsidRPr="00C4084C" w:rsidDel="003160E3">
        <w:t xml:space="preserve"> </w:t>
      </w:r>
      <w:r w:rsidR="003160E3" w:rsidRPr="00C4084C">
        <w:t>its</w:t>
      </w:r>
      <w:r w:rsidR="00BC06B2" w:rsidRPr="00C4084C">
        <w:t xml:space="preserve"> use</w:t>
      </w:r>
      <w:r w:rsidRPr="00C4084C">
        <w:t xml:space="preserve"> </w:t>
      </w:r>
      <w:r w:rsidR="00D25DD3" w:rsidRPr="00C4084C">
        <w:t xml:space="preserve">of </w:t>
      </w:r>
      <w:r w:rsidRPr="00C4084C">
        <w:t xml:space="preserve">competency standards and </w:t>
      </w:r>
      <w:r w:rsidR="00BE3D26" w:rsidRPr="00C4084C">
        <w:t xml:space="preserve">the </w:t>
      </w:r>
      <w:r w:rsidRPr="00C4084C">
        <w:t>training package system, the TAFE network offers access to relevant skills training, labour market entry and re-entry pathways, and a focus on workplace needs.</w:t>
      </w:r>
      <w:r w:rsidRPr="00C4084C">
        <w:rPr>
          <w:rStyle w:val="FootnoteReference"/>
        </w:rPr>
        <w:footnoteReference w:id="161"/>
      </w:r>
      <w:r w:rsidRPr="00C4084C">
        <w:t xml:space="preserve"> This culture of industry partnership in training design and delivery allows learners to transition readily from training to work.</w:t>
      </w:r>
    </w:p>
    <w:p w14:paraId="1135B209" w14:textId="02A8AF83" w:rsidR="005B3445" w:rsidRPr="00C4084C" w:rsidRDefault="005B3445" w:rsidP="0020392A">
      <w:r w:rsidRPr="00C4084C">
        <w:t xml:space="preserve">In the process of moving to a more fully coordinated system reform, governments, </w:t>
      </w:r>
      <w:proofErr w:type="gramStart"/>
      <w:r w:rsidRPr="00C4084C">
        <w:t>industry</w:t>
      </w:r>
      <w:proofErr w:type="gramEnd"/>
      <w:r w:rsidRPr="00C4084C">
        <w:t xml:space="preserve"> and tertiary </w:t>
      </w:r>
      <w:r w:rsidR="00E46095" w:rsidRPr="00C4084C">
        <w:t xml:space="preserve">education </w:t>
      </w:r>
      <w:r w:rsidRPr="00C4084C">
        <w:t xml:space="preserve">providers have invested in the design and piloting of several innovative </w:t>
      </w:r>
      <w:r w:rsidR="00163780" w:rsidRPr="00C4084C">
        <w:t>partnership models</w:t>
      </w:r>
      <w:r w:rsidRPr="00C4084C">
        <w:t xml:space="preserve"> over the past decade. These partnership models generally specialise in the delivery of new and emerging qualification types that support quicker and more adaptive course development, are more closely aligned </w:t>
      </w:r>
      <w:r w:rsidRPr="00C4084C">
        <w:lastRenderedPageBreak/>
        <w:t xml:space="preserve">with industry skill needs and are also more attractive to </w:t>
      </w:r>
      <w:r w:rsidR="00A737E0" w:rsidRPr="00C4084C">
        <w:t>some</w:t>
      </w:r>
      <w:r w:rsidRPr="00C4084C">
        <w:t xml:space="preserve"> learner cohorts who are typically underserved by traditional higher education or VET programs. </w:t>
      </w:r>
    </w:p>
    <w:p w14:paraId="53FBB878" w14:textId="444D717D" w:rsidR="005B3445" w:rsidRPr="00C4084C" w:rsidRDefault="005B3445" w:rsidP="0020392A">
      <w:r w:rsidRPr="00C4084C">
        <w:t>Australia’s TAFE network, working collaboratively with universities and industry partners, is critical to delivering skills needs in regions. TAFE-led delivery models, such as the Queensland Future Skills Partnership with C</w:t>
      </w:r>
      <w:r w:rsidR="003110C4">
        <w:t xml:space="preserve">entral </w:t>
      </w:r>
      <w:r w:rsidRPr="00C4084C">
        <w:t>Q</w:t>
      </w:r>
      <w:r w:rsidR="003110C4">
        <w:t xml:space="preserve">ueensland </w:t>
      </w:r>
      <w:r w:rsidRPr="00C4084C">
        <w:t xml:space="preserve">University and TAFE NSW’s Institutes of Applied Technology, have been used successfully in the mining </w:t>
      </w:r>
      <w:r w:rsidR="008D759D" w:rsidRPr="00C4084C">
        <w:t xml:space="preserve">and other </w:t>
      </w:r>
      <w:r w:rsidRPr="00C4084C">
        <w:t>sector</w:t>
      </w:r>
      <w:r w:rsidR="7690DBBA" w:rsidRPr="00C4084C">
        <w:t>s</w:t>
      </w:r>
      <w:r w:rsidRPr="00C4084C">
        <w:t>.</w:t>
      </w:r>
    </w:p>
    <w:tbl>
      <w:tblPr>
        <w:tblW w:w="9639" w:type="dxa"/>
        <w:shd w:val="clear" w:color="auto" w:fill="D2E8FF"/>
        <w:tblLook w:val="04A0" w:firstRow="1" w:lastRow="0" w:firstColumn="1" w:lastColumn="0" w:noHBand="0" w:noVBand="1"/>
      </w:tblPr>
      <w:tblGrid>
        <w:gridCol w:w="9639"/>
      </w:tblGrid>
      <w:tr w:rsidR="00806605" w:rsidRPr="00C4084C" w14:paraId="6A182156" w14:textId="77777777" w:rsidTr="00D26B82">
        <w:tc>
          <w:tcPr>
            <w:tcW w:w="9639" w:type="dxa"/>
            <w:shd w:val="clear" w:color="auto" w:fill="D3D4D6"/>
          </w:tcPr>
          <w:p w14:paraId="576CB2BE" w14:textId="3515B808" w:rsidR="00806605" w:rsidRPr="00C4084C" w:rsidRDefault="00806605" w:rsidP="00570A6C">
            <w:pPr>
              <w:pStyle w:val="Boxtitlessubheadings"/>
            </w:pPr>
            <w:r w:rsidRPr="00C4084C">
              <w:t xml:space="preserve">Case study: TAFE-led </w:t>
            </w:r>
            <w:r w:rsidR="371BBBEB" w:rsidRPr="00C4084C">
              <w:t>s</w:t>
            </w:r>
            <w:r w:rsidR="65A49810" w:rsidRPr="00C4084C">
              <w:t xml:space="preserve">kills </w:t>
            </w:r>
            <w:r w:rsidR="631F23B7" w:rsidRPr="00C4084C">
              <w:t>d</w:t>
            </w:r>
            <w:r w:rsidR="65A49810" w:rsidRPr="00C4084C">
              <w:t xml:space="preserve">elivery </w:t>
            </w:r>
            <w:r w:rsidR="2D6505D0" w:rsidRPr="00C4084C">
              <w:t>c</w:t>
            </w:r>
            <w:r w:rsidR="65A49810" w:rsidRPr="00C4084C">
              <w:t>oalitions</w:t>
            </w:r>
          </w:p>
          <w:p w14:paraId="3566F92F" w14:textId="21425D6A" w:rsidR="00806605" w:rsidRPr="00C4084C" w:rsidRDefault="00806605" w:rsidP="0020392A">
            <w:r w:rsidRPr="00C4084C">
              <w:t xml:space="preserve">There are many strong examples of TAFE-industry partnerships being deployed to rapidly meet critical workforce demand. In addition, the 2023 Employment White Paper outlines the innovative capacity of the TAFE network, arguing that </w:t>
            </w:r>
            <w:r w:rsidR="00F27D90">
              <w:t>“</w:t>
            </w:r>
            <w:r w:rsidRPr="00C4084C">
              <w:t xml:space="preserve">TAFEs can lift the quality of VET by trialling innovative </w:t>
            </w:r>
            <w:r w:rsidR="434FA8E2" w:rsidRPr="00C4084C">
              <w:t xml:space="preserve">learning and </w:t>
            </w:r>
            <w:r w:rsidRPr="00C4084C">
              <w:t>teaching approaches, developing new curriculum and course materials, and supporting VET workforce initiatives</w:t>
            </w:r>
            <w:r w:rsidR="00F27D90">
              <w:t>”</w:t>
            </w:r>
            <w:r w:rsidR="00291A6D" w:rsidRPr="00C4084C">
              <w:t>.</w:t>
            </w:r>
            <w:r w:rsidR="00FD58D8" w:rsidRPr="00C4084C">
              <w:rPr>
                <w:rStyle w:val="FootnoteReference"/>
              </w:rPr>
              <w:footnoteReference w:id="162"/>
            </w:r>
            <w:r w:rsidRPr="00C4084C">
              <w:t xml:space="preserve"> </w:t>
            </w:r>
          </w:p>
          <w:p w14:paraId="4A72466E" w14:textId="7CA03A92" w:rsidR="00806605" w:rsidRPr="00C4084C" w:rsidRDefault="00806605" w:rsidP="0020392A">
            <w:r w:rsidRPr="00C4084C">
              <w:t>Many tertiary</w:t>
            </w:r>
            <w:r w:rsidR="008D759D" w:rsidRPr="00C4084C">
              <w:t xml:space="preserve"> education</w:t>
            </w:r>
            <w:r w:rsidRPr="00C4084C">
              <w:t xml:space="preserve"> institutions in Australia are involved in both the higher education and VET domains, including ‘dual sector </w:t>
            </w:r>
            <w:proofErr w:type="gramStart"/>
            <w:r w:rsidRPr="00C4084C">
              <w:t>universities’</w:t>
            </w:r>
            <w:proofErr w:type="gramEnd"/>
            <w:r w:rsidRPr="00C4084C">
              <w:t xml:space="preserve"> and RTOs with accreditation to offer higher education courses. Several TAFE-led delivery models have already been successfully designed and piloted in specific areas, notably TAFE Centres of Excellence.</w:t>
            </w:r>
          </w:p>
          <w:p w14:paraId="40FAA1A6" w14:textId="0464E92B" w:rsidR="00EE26E5" w:rsidRPr="00C4084C" w:rsidRDefault="00806605" w:rsidP="0020392A">
            <w:pPr>
              <w:rPr>
                <w:b/>
                <w:sz w:val="24"/>
                <w:szCs w:val="24"/>
              </w:rPr>
            </w:pPr>
            <w:r w:rsidRPr="00C4084C">
              <w:t>The Queensland Future Skills (QFS) Partnership is a training partnership between BHP Mitsubishi Alliance, TAFE Queensland and C</w:t>
            </w:r>
            <w:r w:rsidR="00D0498C">
              <w:t xml:space="preserve">entral </w:t>
            </w:r>
            <w:r w:rsidRPr="00C4084C">
              <w:t>Q</w:t>
            </w:r>
            <w:r w:rsidR="00D0498C">
              <w:t xml:space="preserve">ueensland </w:t>
            </w:r>
            <w:r w:rsidRPr="00C4084C">
              <w:t>University focused on facilitating development and delivery of new relevant qualifications for open-cut mining operations in Queensland.</w:t>
            </w:r>
            <w:r w:rsidR="00BF2FAB" w:rsidRPr="00C4084C">
              <w:rPr>
                <w:rStyle w:val="FootnoteReference"/>
              </w:rPr>
              <w:footnoteReference w:id="163"/>
            </w:r>
            <w:r w:rsidRPr="00C4084C">
              <w:t xml:space="preserve"> The partnership aims to bring together knowledge from the resource sector, </w:t>
            </w:r>
            <w:proofErr w:type="gramStart"/>
            <w:r w:rsidRPr="00C4084C">
              <w:t>researchers</w:t>
            </w:r>
            <w:proofErr w:type="gramEnd"/>
            <w:r w:rsidRPr="00C4084C">
              <w:t xml:space="preserve"> and government to implement emerging skills for new employment opportunities in the mining sector. Currently the partnership is assisting in the design of relevant </w:t>
            </w:r>
            <w:proofErr w:type="spellStart"/>
            <w:r w:rsidRPr="00C4084C">
              <w:t>microcredentials</w:t>
            </w:r>
            <w:proofErr w:type="spellEnd"/>
            <w:r w:rsidRPr="00C4084C">
              <w:t>, skillsets and the Certificate II in Autonomous Technologies offered at TAFE Queensland which has over 80 currently enrolled students.</w:t>
            </w:r>
          </w:p>
        </w:tc>
      </w:tr>
    </w:tbl>
    <w:p w14:paraId="17FB62D7" w14:textId="11630712" w:rsidR="005B3445" w:rsidRPr="00C4084C" w:rsidRDefault="00C96A8C" w:rsidP="000A4BE0">
      <w:pPr>
        <w:pStyle w:val="Heading5"/>
      </w:pPr>
      <w:r w:rsidRPr="00C4084C">
        <w:t xml:space="preserve">Cooperative models for delivering cutting edge </w:t>
      </w:r>
      <w:proofErr w:type="gramStart"/>
      <w:r w:rsidRPr="00C4084C">
        <w:t>skills</w:t>
      </w:r>
      <w:proofErr w:type="gramEnd"/>
    </w:p>
    <w:p w14:paraId="2CEE3429" w14:textId="63DFB5F3" w:rsidR="007A709A" w:rsidRPr="00C4084C" w:rsidRDefault="007A709A" w:rsidP="0020392A">
      <w:r w:rsidRPr="00C4084C">
        <w:t xml:space="preserve">An important element of quickly ramping up skills in areas of acute need is to encourage innovative methods of course delivery, particularly in areas of national priority such as health care, clean </w:t>
      </w:r>
      <w:proofErr w:type="gramStart"/>
      <w:r w:rsidRPr="00C4084C">
        <w:t>energy</w:t>
      </w:r>
      <w:proofErr w:type="gramEnd"/>
      <w:r w:rsidRPr="00C4084C">
        <w:t xml:space="preserve"> and defence. Industry providers should be engaged in course design with VET and higher education providers to identify key learning requirements across both sectors. The Review considered models of promoting greater collaboration including the concept of Cooperative Skills Centres</w:t>
      </w:r>
      <w:r w:rsidR="00A46C3E">
        <w:t xml:space="preserve"> (</w:t>
      </w:r>
      <w:r w:rsidR="00A46C3E" w:rsidRPr="00C4084C">
        <w:t>modelled on the successful Cooperative Research Centres (CRC) program</w:t>
      </w:r>
      <w:r w:rsidR="00A46C3E">
        <w:t>)</w:t>
      </w:r>
      <w:r w:rsidRPr="00C4084C">
        <w:t xml:space="preserve"> in key areas of urgent need. </w:t>
      </w:r>
      <w:r w:rsidR="00A46C3E">
        <w:t>The Review concluded that this concept could be effectively implemented through the</w:t>
      </w:r>
      <w:r w:rsidR="00AE2ABF" w:rsidRPr="00C4084C">
        <w:t xml:space="preserve"> </w:t>
      </w:r>
      <w:r w:rsidR="003160E3" w:rsidRPr="00C4084C">
        <w:t>TAFE Centres of Excellence</w:t>
      </w:r>
      <w:r w:rsidR="00A46C3E">
        <w:t xml:space="preserve"> being</w:t>
      </w:r>
      <w:r w:rsidR="00AE2ABF" w:rsidRPr="00C4084C">
        <w:t xml:space="preserve"> developed through the National Skills Agreement. These centres would bring together </w:t>
      </w:r>
      <w:r w:rsidR="00A46C3E">
        <w:t xml:space="preserve">VET, </w:t>
      </w:r>
      <w:r w:rsidR="00AE2ABF" w:rsidRPr="00C4084C">
        <w:t xml:space="preserve">higher education, </w:t>
      </w:r>
      <w:proofErr w:type="gramStart"/>
      <w:r w:rsidR="00AE2ABF" w:rsidRPr="00C4084C">
        <w:t>industry</w:t>
      </w:r>
      <w:proofErr w:type="gramEnd"/>
      <w:r w:rsidR="00AE2ABF" w:rsidRPr="00C4084C">
        <w:t xml:space="preserve"> and unions to develop and deliver courses that rapidly upskill people in areas of industry need.</w:t>
      </w:r>
    </w:p>
    <w:p w14:paraId="220B8C7A" w14:textId="63F2B9F1" w:rsidR="005B3445" w:rsidRPr="00C4084C" w:rsidRDefault="00AE2ABF" w:rsidP="0020392A">
      <w:r w:rsidRPr="00C4084C">
        <w:t xml:space="preserve">The </w:t>
      </w:r>
      <w:r w:rsidR="00C92FFF" w:rsidRPr="00C4084C">
        <w:t>Australian</w:t>
      </w:r>
      <w:r w:rsidRPr="00C4084C">
        <w:t xml:space="preserve"> Government has committed to establishing TAFE Centres of Excellence, </w:t>
      </w:r>
      <w:r w:rsidR="00F27D90">
        <w:t xml:space="preserve">to </w:t>
      </w:r>
      <w:r w:rsidRPr="00C4084C">
        <w:t>design and teach worl</w:t>
      </w:r>
      <w:r w:rsidR="007415C3" w:rsidRPr="00C4084C">
        <w:t>d</w:t>
      </w:r>
      <w:r w:rsidRPr="00C4084C">
        <w:t xml:space="preserve"> leading curricul</w:t>
      </w:r>
      <w:r w:rsidR="00F27D90">
        <w:t>a</w:t>
      </w:r>
      <w:r w:rsidRPr="00C4084C">
        <w:t xml:space="preserve"> and provide students with cutting edge skills. </w:t>
      </w:r>
      <w:r w:rsidR="00A46C3E">
        <w:t>As noted above, t</w:t>
      </w:r>
      <w:r w:rsidR="00A46C3E" w:rsidRPr="00C4084C">
        <w:t xml:space="preserve">his </w:t>
      </w:r>
      <w:r w:rsidRPr="00C4084C">
        <w:t xml:space="preserve">model shares many of the features of the idea of Cooperative Skills Centres previously explored by the Review, </w:t>
      </w:r>
      <w:proofErr w:type="gramStart"/>
      <w:r w:rsidRPr="00C4084C">
        <w:t>in particular ensuring</w:t>
      </w:r>
      <w:proofErr w:type="gramEnd"/>
      <w:r w:rsidRPr="00C4084C">
        <w:t xml:space="preserve"> they support partnerships where higher education providers are active participants alongside TAFEs, Jobs and Skills Councils, and industry and business. </w:t>
      </w:r>
      <w:r w:rsidR="005B3445" w:rsidRPr="00C4084C">
        <w:t>In</w:t>
      </w:r>
      <w:r w:rsidR="005B3445" w:rsidRPr="00C4084C" w:rsidDel="003160E3">
        <w:t xml:space="preserve"> </w:t>
      </w:r>
      <w:r w:rsidR="003160E3" w:rsidRPr="00C4084C">
        <w:t>November</w:t>
      </w:r>
      <w:r w:rsidR="005B3445" w:rsidRPr="00C4084C">
        <w:t xml:space="preserve"> 2023 the Australian Government </w:t>
      </w:r>
      <w:r w:rsidR="003160E3" w:rsidRPr="00C4084C">
        <w:t xml:space="preserve">reached agreement </w:t>
      </w:r>
      <w:r w:rsidR="005B3445" w:rsidRPr="00C4084C">
        <w:t xml:space="preserve">with states and territories to establish and operate up to 20 TAFE Centres </w:t>
      </w:r>
      <w:r w:rsidR="005B3445" w:rsidRPr="00C4084C">
        <w:lastRenderedPageBreak/>
        <w:t>of Excellence, under the National Skills Agreement</w:t>
      </w:r>
      <w:r w:rsidR="00F27D90">
        <w:t>,</w:t>
      </w:r>
      <w:r w:rsidR="000623AF" w:rsidRPr="00C4084C">
        <w:t xml:space="preserve"> through a Commonwealth investment of up to $325 million over 5 years with matching funding from </w:t>
      </w:r>
      <w:r w:rsidR="00217942" w:rsidRPr="00C4084C">
        <w:t>states</w:t>
      </w:r>
      <w:r w:rsidR="000623AF" w:rsidRPr="00C4084C">
        <w:t xml:space="preserve"> and </w:t>
      </w:r>
      <w:r w:rsidR="00217942" w:rsidRPr="00C4084C">
        <w:t>territories</w:t>
      </w:r>
      <w:r w:rsidR="005B3445" w:rsidRPr="00C4084C">
        <w:t xml:space="preserve">. </w:t>
      </w:r>
    </w:p>
    <w:p w14:paraId="7AD5AD94" w14:textId="7E876871" w:rsidR="005B3445" w:rsidRPr="00C4084C" w:rsidRDefault="005B3445" w:rsidP="0020392A">
      <w:r w:rsidRPr="00C4084C">
        <w:t xml:space="preserve">TAFE Centres of Excellence will provide national leadership in the delivery of skills, education and training and bring together employers, unions, universities and other education and training providers to develop and implement real work and practical solutions to meet skills needs. This will support industry and enrich students’ learning experience through applied research and problem-solving programs. The TAFE Centres of Excellence will be innovative in the delivery of tertiary education, especially in areas of high demand and skills shortages. </w:t>
      </w:r>
      <w:r w:rsidR="007415C3" w:rsidRPr="00C4084C">
        <w:t>The</w:t>
      </w:r>
      <w:r w:rsidR="00C92FFF" w:rsidRPr="00C4084C">
        <w:t xml:space="preserve"> Australian</w:t>
      </w:r>
      <w:r w:rsidR="007415C3" w:rsidRPr="00C4084C">
        <w:t xml:space="preserve"> Government</w:t>
      </w:r>
      <w:r w:rsidR="005C6882" w:rsidRPr="00C4084C">
        <w:t xml:space="preserve"> has also signalled its intention</w:t>
      </w:r>
      <w:r w:rsidRPr="00C4084C">
        <w:t xml:space="preserve"> to </w:t>
      </w:r>
      <w:r w:rsidR="005C6882" w:rsidRPr="00C4084C">
        <w:t xml:space="preserve">double the number of </w:t>
      </w:r>
      <w:r w:rsidR="00C91C8A" w:rsidRPr="00C4084C">
        <w:t xml:space="preserve">higher apprenticeship commencements in the priority areas identified in the Employment White Paper over </w:t>
      </w:r>
      <w:r w:rsidR="00F27D90">
        <w:t>5</w:t>
      </w:r>
      <w:r w:rsidR="00F27D90" w:rsidRPr="00C4084C">
        <w:t xml:space="preserve"> </w:t>
      </w:r>
      <w:r w:rsidR="00C91C8A" w:rsidRPr="00C4084C">
        <w:t>years</w:t>
      </w:r>
      <w:r w:rsidR="00217942" w:rsidRPr="00C4084C">
        <w:t>,</w:t>
      </w:r>
      <w:r w:rsidR="00792AEF" w:rsidRPr="00C4084C">
        <w:rPr>
          <w:rStyle w:val="FootnoteReference"/>
        </w:rPr>
        <w:footnoteReference w:id="164"/>
      </w:r>
      <w:r w:rsidR="00385C65" w:rsidRPr="00C4084C">
        <w:t xml:space="preserve"> </w:t>
      </w:r>
      <w:r w:rsidR="005C6882" w:rsidRPr="00C4084C">
        <w:t>including</w:t>
      </w:r>
      <w:r w:rsidR="004E1229" w:rsidRPr="00C4084C">
        <w:t xml:space="preserve"> by enabling </w:t>
      </w:r>
      <w:r w:rsidRPr="00C4084C">
        <w:t>TAFEs to deliver new bachelor-equivalent ‘higher apprenticeships’ independent of universities.</w:t>
      </w:r>
    </w:p>
    <w:p w14:paraId="6E4F67B9" w14:textId="562D3710" w:rsidR="00F20AA4" w:rsidRPr="00C4084C" w:rsidRDefault="00B07DD6" w:rsidP="0020392A">
      <w:r w:rsidRPr="00C4084C">
        <w:t>Ongoing collaboration between</w:t>
      </w:r>
      <w:r w:rsidR="00F20AA4" w:rsidRPr="00C4084C">
        <w:t xml:space="preserve"> </w:t>
      </w:r>
      <w:r w:rsidR="00CB6716">
        <w:t>g</w:t>
      </w:r>
      <w:r w:rsidRPr="00C4084C">
        <w:t>overnment</w:t>
      </w:r>
      <w:r w:rsidR="00CB6716">
        <w:t>s</w:t>
      </w:r>
      <w:r w:rsidRPr="00C4084C">
        <w:t>,</w:t>
      </w:r>
      <w:r w:rsidR="00F20AA4" w:rsidRPr="00C4084C">
        <w:t xml:space="preserve"> industry, </w:t>
      </w:r>
      <w:proofErr w:type="gramStart"/>
      <w:r w:rsidR="00F20AA4" w:rsidRPr="00C4084C">
        <w:t>employers</w:t>
      </w:r>
      <w:proofErr w:type="gramEnd"/>
      <w:r w:rsidR="00F20AA4" w:rsidRPr="00C4084C">
        <w:t xml:space="preserve"> and </w:t>
      </w:r>
      <w:r w:rsidRPr="00C4084C">
        <w:t>tertiary</w:t>
      </w:r>
      <w:r w:rsidR="00CB6716">
        <w:t xml:space="preserve"> education</w:t>
      </w:r>
      <w:r w:rsidR="00F20AA4" w:rsidRPr="00C4084C">
        <w:t xml:space="preserve"> institutions</w:t>
      </w:r>
      <w:r w:rsidR="00F94C99">
        <w:t>,</w:t>
      </w:r>
      <w:r w:rsidR="00F20AA4" w:rsidRPr="00C4084C">
        <w:t xml:space="preserve"> </w:t>
      </w:r>
      <w:r w:rsidR="00F94C99">
        <w:t>facilitated by</w:t>
      </w:r>
      <w:r w:rsidR="00F94C99" w:rsidRPr="00C4084C">
        <w:t xml:space="preserve"> </w:t>
      </w:r>
      <w:r w:rsidR="00F94C99">
        <w:t>the Commission</w:t>
      </w:r>
      <w:r w:rsidR="00051957">
        <w:t xml:space="preserve"> – </w:t>
      </w:r>
      <w:r w:rsidR="00F94C99">
        <w:t xml:space="preserve">building on the idea of </w:t>
      </w:r>
      <w:r w:rsidR="00F94C99" w:rsidRPr="00C4084C">
        <w:t>a Skills and Research Compact</w:t>
      </w:r>
      <w:r w:rsidR="00F94C99">
        <w:t xml:space="preserve"> </w:t>
      </w:r>
      <w:r w:rsidR="00F94C99" w:rsidRPr="00C4084C">
        <w:t>suggested to the Review by the Business Council of Australia</w:t>
      </w:r>
      <w:r w:rsidR="00051957">
        <w:t xml:space="preserve"> –</w:t>
      </w:r>
      <w:r w:rsidR="00051957" w:rsidRPr="00C4084C">
        <w:t xml:space="preserve"> </w:t>
      </w:r>
      <w:r w:rsidR="00F94C99">
        <w:t>will</w:t>
      </w:r>
      <w:r w:rsidR="00F94C99" w:rsidRPr="00C4084C">
        <w:t xml:space="preserve"> </w:t>
      </w:r>
      <w:r w:rsidR="008C5B79" w:rsidRPr="00C4084C">
        <w:t xml:space="preserve">be an effective mechanism for </w:t>
      </w:r>
      <w:r w:rsidR="005F05E3" w:rsidRPr="00C4084C">
        <w:t>jointly</w:t>
      </w:r>
      <w:r w:rsidR="008C5B79" w:rsidRPr="00C4084C">
        <w:t xml:space="preserve"> identifying key and emerging skills needs and foster a shared </w:t>
      </w:r>
      <w:r w:rsidR="005F05E3" w:rsidRPr="00C4084C">
        <w:t xml:space="preserve">approach </w:t>
      </w:r>
      <w:r w:rsidR="00571079" w:rsidRPr="00C4084C">
        <w:t>in addressing the</w:t>
      </w:r>
      <w:r w:rsidR="005F05E3" w:rsidRPr="00C4084C">
        <w:t>m</w:t>
      </w:r>
      <w:r w:rsidR="00F20AA4" w:rsidRPr="00C4084C">
        <w:t>.</w:t>
      </w:r>
      <w:r w:rsidR="00571079" w:rsidRPr="00C4084C">
        <w:t xml:space="preserve"> </w:t>
      </w:r>
      <w:r w:rsidR="00F20AA4" w:rsidRPr="00C4084C">
        <w:t xml:space="preserve">  </w:t>
      </w:r>
    </w:p>
    <w:p w14:paraId="05798C34" w14:textId="77777777" w:rsidR="007D1CB4" w:rsidRPr="00C4084C" w:rsidRDefault="00746B22" w:rsidP="007D1CB4">
      <w:pPr>
        <w:pStyle w:val="Heading5"/>
      </w:pPr>
      <w:r w:rsidRPr="00C4084C">
        <w:t xml:space="preserve"> </w:t>
      </w:r>
      <w:r w:rsidR="007D1CB4" w:rsidRPr="00C4084C">
        <w:t>Leading-edge technical skills</w:t>
      </w:r>
    </w:p>
    <w:p w14:paraId="23046C80" w14:textId="77777777" w:rsidR="007D1CB4" w:rsidRPr="00C4084C" w:rsidRDefault="007D1CB4" w:rsidP="0020392A">
      <w:r w:rsidRPr="00C4084C">
        <w:t xml:space="preserve">A key role of the tertiary education sector is to equip students with the specific technical skills needed to fulfill the requirements of a job or profession. These are strengths of the VET sector, where links between employers and institutions are well established, and the nature of education is typically more closely aligned with competency accreditation for specific trades and occupations. </w:t>
      </w:r>
    </w:p>
    <w:p w14:paraId="7BC33A85" w14:textId="77777777" w:rsidR="007D1CB4" w:rsidRPr="00C4084C" w:rsidRDefault="007D1CB4" w:rsidP="0020392A">
      <w:r w:rsidRPr="00C4084C">
        <w:t xml:space="preserve">Australia needs technical skill provision at the leading edge of industry practice – so that firms are equipped with workers who are familiar with the latest industry leading knowledge in certain domains. Industry-university collaboration is important to ensure that curricula can adapt and respond flexibly to emerging skills needs. Australian higher education and VET providers are already working with industry to develop new programs and qualifications that meet the changing needs of the </w:t>
      </w:r>
      <w:proofErr w:type="gramStart"/>
      <w:r w:rsidRPr="00C4084C">
        <w:t>workforce</w:t>
      </w:r>
      <w:proofErr w:type="gramEnd"/>
      <w:r w:rsidRPr="00C4084C">
        <w:t xml:space="preserve"> but more action is needed. </w:t>
      </w:r>
    </w:p>
    <w:p w14:paraId="0BA90039" w14:textId="5AA24531" w:rsidR="007D1CB4" w:rsidRPr="00C4084C" w:rsidRDefault="007D1CB4" w:rsidP="0020392A">
      <w:r w:rsidRPr="00C4084C">
        <w:t xml:space="preserve">‘Skills coalitions’ can create mutual benefit for students, tertiary education providers, </w:t>
      </w:r>
      <w:proofErr w:type="gramStart"/>
      <w:r w:rsidRPr="00C4084C">
        <w:t>industry</w:t>
      </w:r>
      <w:proofErr w:type="gramEnd"/>
      <w:r w:rsidRPr="00C4084C">
        <w:t xml:space="preserve"> and union partners, and help to create a basis for scaling skills delivery</w:t>
      </w:r>
      <w:r w:rsidRPr="00C4084C" w:rsidDel="00044F37">
        <w:t xml:space="preserve"> </w:t>
      </w:r>
      <w:r w:rsidRPr="00C4084C">
        <w:t xml:space="preserve">on a sector basis. A variety of innovative approaches is already being employed, such as co-designing and piloting new programs with industry partners and new delivery models that combine knowledge and applied skills. Examples include: </w:t>
      </w:r>
    </w:p>
    <w:p w14:paraId="6D7A4094" w14:textId="77777777" w:rsidR="007D1CB4" w:rsidRPr="00C4084C" w:rsidRDefault="007D1CB4" w:rsidP="007D1CB4">
      <w:pPr>
        <w:pStyle w:val="ListBullet"/>
      </w:pPr>
      <w:r w:rsidRPr="00C4084C">
        <w:t>Rio Tinto launched Australia’s first accredited automation qualification in 2019 in partnership with South Metropolitan TAFE and the WA Government. Certificate III and IV courses were released in 2022 which were nationally recognised by the Resources and Infrastructure Industry Training Package</w:t>
      </w:r>
    </w:p>
    <w:p w14:paraId="060C5E9D" w14:textId="77777777" w:rsidR="007D1CB4" w:rsidRPr="00C4084C" w:rsidRDefault="007D1CB4" w:rsidP="007D1CB4">
      <w:pPr>
        <w:pStyle w:val="ListBullet"/>
      </w:pPr>
      <w:r w:rsidRPr="00C4084C">
        <w:t xml:space="preserve">the New Education &amp; Training Model is a new industry-led workforce training initiative in Sydney’s West Parkland City which offers flexible, accessible </w:t>
      </w:r>
      <w:proofErr w:type="spellStart"/>
      <w:r w:rsidRPr="00C4084C">
        <w:t>microcredentials</w:t>
      </w:r>
      <w:proofErr w:type="spellEnd"/>
      <w:r w:rsidRPr="00C4084C">
        <w:t xml:space="preserve"> tailored to industry specific skills needs in collaboration with its industry, universities and VET </w:t>
      </w:r>
      <w:proofErr w:type="gramStart"/>
      <w:r w:rsidRPr="00C4084C">
        <w:t>providers</w:t>
      </w:r>
      <w:proofErr w:type="gramEnd"/>
    </w:p>
    <w:p w14:paraId="23964F6E" w14:textId="77777777" w:rsidR="007D1CB4" w:rsidRPr="00C4084C" w:rsidRDefault="007D1CB4" w:rsidP="007D1CB4">
      <w:pPr>
        <w:pStyle w:val="ListBullet"/>
      </w:pPr>
      <w:r w:rsidRPr="00C4084C">
        <w:t xml:space="preserve">RMIT’s Higher Apprenticeship Training Program was developed to address skills shortages in the Victorian social service sector and to build a pipeline of future leaders. The program adapts apprenticeship models to create upskilling opportunities through nationally recognised qualifications, together with workplace mentoring and leadership opportunities, including credentialing pathways into management </w:t>
      </w:r>
      <w:proofErr w:type="gramStart"/>
      <w:r w:rsidRPr="00C4084C">
        <w:t>roles</w:t>
      </w:r>
      <w:proofErr w:type="gramEnd"/>
    </w:p>
    <w:p w14:paraId="5871F0BF" w14:textId="3644B230" w:rsidR="007D1CB4" w:rsidRPr="00C4084C" w:rsidRDefault="007D1CB4" w:rsidP="007D1CB4">
      <w:pPr>
        <w:pStyle w:val="ListBullet"/>
      </w:pPr>
      <w:r w:rsidRPr="00C4084C">
        <w:lastRenderedPageBreak/>
        <w:t xml:space="preserve">the Skills in Employment Project is a work-integrated learning program to train and employ workers in the disability and aged care sector. Participants are supported to undertake a Certificate III Individual Support (Ageing) or a Certificate IV Disability while they </w:t>
      </w:r>
      <w:proofErr w:type="gramStart"/>
      <w:r w:rsidRPr="00C4084C">
        <w:t>work</w:t>
      </w:r>
      <w:proofErr w:type="gramEnd"/>
    </w:p>
    <w:p w14:paraId="262DBBA9" w14:textId="19E1718A" w:rsidR="007D1CB4" w:rsidRPr="00C4084C" w:rsidRDefault="007D1CB4" w:rsidP="007D1CB4">
      <w:pPr>
        <w:pStyle w:val="ListBullet"/>
      </w:pPr>
      <w:r w:rsidRPr="00C4084C">
        <w:t>University of Wollongong’s Cyber Academy, a 3-year professional apprenticeship program that provides students with a Diploma of Information Technology (Cyber Security) from TAFE NSW and a Bachelor of Computer Science (Cyber Security) from U</w:t>
      </w:r>
      <w:r w:rsidR="00E32578">
        <w:t xml:space="preserve">niversity </w:t>
      </w:r>
      <w:r w:rsidRPr="00C4084C">
        <w:t>o</w:t>
      </w:r>
      <w:r w:rsidR="00E32578">
        <w:t xml:space="preserve">f </w:t>
      </w:r>
      <w:r w:rsidRPr="00C4084C">
        <w:t>W</w:t>
      </w:r>
      <w:r w:rsidR="00E32578">
        <w:t>ollongong</w:t>
      </w:r>
      <w:r w:rsidRPr="00C4084C">
        <w:t xml:space="preserve"> while providing work experience with Deloitte, an industry partner</w:t>
      </w:r>
      <w:r w:rsidR="00D34B86">
        <w:t>,</w:t>
      </w:r>
      <w:r w:rsidRPr="00C4084C">
        <w:t xml:space="preserve"> or a government </w:t>
      </w:r>
      <w:proofErr w:type="gramStart"/>
      <w:r w:rsidRPr="00C4084C">
        <w:t>department</w:t>
      </w:r>
      <w:proofErr w:type="gramEnd"/>
    </w:p>
    <w:p w14:paraId="773A2916" w14:textId="77153A11" w:rsidR="00671F68" w:rsidRPr="00C4084C" w:rsidRDefault="007D1CB4" w:rsidP="003E5969">
      <w:pPr>
        <w:pStyle w:val="ListBullet"/>
      </w:pPr>
      <w:r w:rsidRPr="00C4084C">
        <w:t xml:space="preserve">to support AUKUS the University of South Australia is partnering with the South Australian Government, the Australian Industry </w:t>
      </w:r>
      <w:proofErr w:type="gramStart"/>
      <w:r w:rsidRPr="00C4084C">
        <w:t>Group</w:t>
      </w:r>
      <w:proofErr w:type="gramEnd"/>
      <w:r w:rsidRPr="00C4084C">
        <w:t xml:space="preserve"> and </w:t>
      </w:r>
      <w:r w:rsidR="00D34B86">
        <w:t xml:space="preserve">the </w:t>
      </w:r>
      <w:r w:rsidRPr="00C4084C">
        <w:t>defence industry to develop university degree apprenticeships to support the construction of nuclear-powered submarines.</w:t>
      </w:r>
    </w:p>
    <w:tbl>
      <w:tblPr>
        <w:tblW w:w="0" w:type="auto"/>
        <w:shd w:val="clear" w:color="auto" w:fill="FBE4D5"/>
        <w:tblLook w:val="04A0" w:firstRow="1" w:lastRow="0" w:firstColumn="1" w:lastColumn="0" w:noHBand="0" w:noVBand="1"/>
      </w:tblPr>
      <w:tblGrid>
        <w:gridCol w:w="9026"/>
      </w:tblGrid>
      <w:tr w:rsidR="00021452" w:rsidRPr="00C4084C" w14:paraId="3109812A" w14:textId="77777777" w:rsidTr="00D26B82">
        <w:tc>
          <w:tcPr>
            <w:tcW w:w="9026" w:type="dxa"/>
            <w:shd w:val="clear" w:color="auto" w:fill="FEECDF"/>
          </w:tcPr>
          <w:p w14:paraId="7E26CCDE" w14:textId="11D35E44" w:rsidR="00412575" w:rsidRDefault="00412575" w:rsidP="003E5969">
            <w:pPr>
              <w:pStyle w:val="Recheadinginbox"/>
            </w:pPr>
            <w:r w:rsidRPr="00C4084C">
              <w:t>Recommendation</w:t>
            </w:r>
            <w:r>
              <w:t xml:space="preserve">: </w:t>
            </w:r>
            <w:r w:rsidRPr="00C4084C">
              <w:t>Commonwealth supported medical places </w:t>
            </w:r>
          </w:p>
          <w:p w14:paraId="4C6A23BE" w14:textId="627A0536" w:rsidR="00021452" w:rsidRPr="00C4084C" w:rsidRDefault="00021452" w:rsidP="003E5969">
            <w:pPr>
              <w:pStyle w:val="Recsin-chapterL1"/>
              <w:framePr w:wrap="notBeside"/>
              <w:spacing w:before="0" w:after="0"/>
            </w:pPr>
            <w:r w:rsidRPr="00C4084C">
              <w:t>That to accelerate the supply of medical graduates in communities experiencing medical practitioner shortages and to increase the number of medical graduates from under-represented backgrounds, the Australian Government:</w:t>
            </w:r>
          </w:p>
          <w:p w14:paraId="1EEA12EE" w14:textId="77777777" w:rsidR="00021452" w:rsidRPr="00412575" w:rsidRDefault="00021452" w:rsidP="003E5969">
            <w:pPr>
              <w:pStyle w:val="Recsin-chapterL2"/>
              <w:spacing w:before="0" w:beforeAutospacing="0"/>
            </w:pPr>
            <w:r w:rsidRPr="00C4084C">
              <w:t xml:space="preserve">increase the </w:t>
            </w:r>
            <w:r w:rsidRPr="00412575">
              <w:t xml:space="preserve">number of new medical Commonwealth supported places to address critical shortages and allocate them on transparent, evidence-based criteria of acute </w:t>
            </w:r>
            <w:proofErr w:type="gramStart"/>
            <w:r w:rsidRPr="00412575">
              <w:t>need</w:t>
            </w:r>
            <w:proofErr w:type="gramEnd"/>
          </w:p>
          <w:p w14:paraId="14E50550" w14:textId="77777777" w:rsidR="00021452" w:rsidRPr="00C4084C" w:rsidRDefault="00021452" w:rsidP="003E5969">
            <w:pPr>
              <w:pStyle w:val="Recsin-chapterL2"/>
            </w:pPr>
            <w:r w:rsidRPr="00412575">
              <w:t>provide places for all Fi</w:t>
            </w:r>
            <w:r w:rsidRPr="00C4084C">
              <w:t xml:space="preserve">rst Nations students who apply and meet the entry requirements for a medical degree. </w:t>
            </w:r>
          </w:p>
        </w:tc>
      </w:tr>
    </w:tbl>
    <w:p w14:paraId="45D7D24A" w14:textId="27D414D6" w:rsidR="007D5786" w:rsidRPr="00C4084C" w:rsidRDefault="007D5786" w:rsidP="003E5969">
      <w:pPr>
        <w:pStyle w:val="BodyText"/>
        <w:rPr>
          <w:rStyle w:val="eop"/>
        </w:rPr>
      </w:pPr>
    </w:p>
    <w:tbl>
      <w:tblPr>
        <w:tblW w:w="0" w:type="auto"/>
        <w:shd w:val="clear" w:color="auto" w:fill="FBE4D5"/>
        <w:tblLook w:val="04A0" w:firstRow="1" w:lastRow="0" w:firstColumn="1" w:lastColumn="0" w:noHBand="0" w:noVBand="1"/>
      </w:tblPr>
      <w:tblGrid>
        <w:gridCol w:w="9026"/>
      </w:tblGrid>
      <w:tr w:rsidR="00F053F4" w:rsidRPr="00C4084C" w14:paraId="18D19B60" w14:textId="77777777" w:rsidTr="00D26B82">
        <w:tc>
          <w:tcPr>
            <w:tcW w:w="9026" w:type="dxa"/>
            <w:shd w:val="clear" w:color="auto" w:fill="FEECDF"/>
          </w:tcPr>
          <w:p w14:paraId="11471A8C" w14:textId="166A39E2" w:rsidR="00412575" w:rsidRPr="00141831" w:rsidRDefault="00295667" w:rsidP="003E5969">
            <w:pPr>
              <w:pStyle w:val="Recheadinginbox"/>
            </w:pPr>
            <w:bookmarkStart w:id="498" w:name="_Toc150857908"/>
            <w:bookmarkStart w:id="499" w:name="_Toc150857909"/>
            <w:bookmarkStart w:id="500" w:name="_Toc150857910"/>
            <w:bookmarkStart w:id="501" w:name="_Toc150857911"/>
            <w:bookmarkStart w:id="502" w:name="_Toc150857912"/>
            <w:bookmarkStart w:id="503" w:name="_Toc150857913"/>
            <w:bookmarkStart w:id="504" w:name="_Toc150857914"/>
            <w:bookmarkStart w:id="505" w:name="_Toc150857915"/>
            <w:bookmarkStart w:id="506" w:name="_Toc150857916"/>
            <w:bookmarkStart w:id="507" w:name="_Toc150857917"/>
            <w:bookmarkStart w:id="508" w:name="_Toc150857918"/>
            <w:bookmarkStart w:id="509" w:name="_Toc150686558"/>
            <w:bookmarkStart w:id="510" w:name="_Toc150686644"/>
            <w:bookmarkStart w:id="511" w:name="_Toc150857920"/>
            <w:bookmarkStart w:id="512" w:name="_Toc150686559"/>
            <w:bookmarkStart w:id="513" w:name="_Toc150686645"/>
            <w:bookmarkStart w:id="514" w:name="_Toc150857921"/>
            <w:bookmarkStart w:id="515" w:name="_Toc150686560"/>
            <w:bookmarkStart w:id="516" w:name="_Toc150686646"/>
            <w:bookmarkStart w:id="517" w:name="_Toc150857922"/>
            <w:bookmarkStart w:id="518" w:name="_Toc150686561"/>
            <w:bookmarkStart w:id="519" w:name="_Toc150686647"/>
            <w:bookmarkStart w:id="520" w:name="_Toc150857923"/>
            <w:bookmarkStart w:id="521" w:name="_Toc150686562"/>
            <w:bookmarkStart w:id="522" w:name="_Toc150686648"/>
            <w:bookmarkStart w:id="523" w:name="_Toc150857924"/>
            <w:bookmarkStart w:id="524" w:name="_Toc150686563"/>
            <w:bookmarkStart w:id="525" w:name="_Toc150686649"/>
            <w:bookmarkStart w:id="526" w:name="_Toc150857925"/>
            <w:bookmarkStart w:id="527" w:name="_Toc150686564"/>
            <w:bookmarkStart w:id="528" w:name="_Toc150686650"/>
            <w:bookmarkStart w:id="529" w:name="_Toc150857926"/>
            <w:bookmarkStart w:id="530" w:name="_Toc150686565"/>
            <w:bookmarkStart w:id="531" w:name="_Toc150686651"/>
            <w:bookmarkStart w:id="532" w:name="_Toc150857927"/>
            <w:bookmarkStart w:id="533" w:name="_Toc150686566"/>
            <w:bookmarkStart w:id="534" w:name="_Toc150686652"/>
            <w:bookmarkStart w:id="535" w:name="_Toc150857928"/>
            <w:bookmarkStart w:id="536" w:name="_Toc150686567"/>
            <w:bookmarkStart w:id="537" w:name="_Toc150686653"/>
            <w:bookmarkStart w:id="538" w:name="_Toc150857929"/>
            <w:bookmarkStart w:id="539" w:name="_Toc150686568"/>
            <w:bookmarkStart w:id="540" w:name="_Toc150686654"/>
            <w:bookmarkStart w:id="541" w:name="_Toc150857930"/>
            <w:bookmarkStart w:id="542" w:name="_Toc150686569"/>
            <w:bookmarkStart w:id="543" w:name="_Toc150686655"/>
            <w:bookmarkStart w:id="544" w:name="_Toc150857931"/>
            <w:bookmarkStart w:id="545" w:name="_Toc150686570"/>
            <w:bookmarkStart w:id="546" w:name="_Toc150686656"/>
            <w:bookmarkStart w:id="547" w:name="_Toc150857932"/>
            <w:bookmarkStart w:id="548" w:name="_Toc150686571"/>
            <w:bookmarkStart w:id="549" w:name="_Toc150686657"/>
            <w:bookmarkStart w:id="550" w:name="_Toc150857933"/>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r>
              <w:rPr>
                <w:rStyle w:val="normaltextrun"/>
              </w:rPr>
              <w:lastRenderedPageBreak/>
              <w:t xml:space="preserve">Recommendation: </w:t>
            </w:r>
            <w:r w:rsidR="00412575" w:rsidRPr="00141831">
              <w:rPr>
                <w:rStyle w:val="normaltextrun"/>
              </w:rPr>
              <w:t>A more flexible and responsive skills system</w:t>
            </w:r>
            <w:r w:rsidR="00412575" w:rsidRPr="00141831">
              <w:rPr>
                <w:rStyle w:val="eop"/>
              </w:rPr>
              <w:t> </w:t>
            </w:r>
          </w:p>
          <w:p w14:paraId="5C8EA314" w14:textId="26BBE4D9" w:rsidR="00F053F4" w:rsidRPr="00C4084C" w:rsidRDefault="00F053F4" w:rsidP="003E5969">
            <w:pPr>
              <w:pStyle w:val="Recsin-chapterL1"/>
              <w:framePr w:wrap="notBeside"/>
              <w:spacing w:before="0" w:after="0"/>
            </w:pPr>
            <w:r w:rsidRPr="00C4084C">
              <w:t>That to help students accelerate the acquisition and recognition of their skills, help graduates track skills, qualifications, and experience, and make it simpler for employers to verify job candidate capabilities, the Australian Government implement a National Skills Passport, along with other core infrastructure needed for an integrated skills system by:</w:t>
            </w:r>
          </w:p>
          <w:p w14:paraId="67132442" w14:textId="159E3615" w:rsidR="00F053F4" w:rsidRPr="00C4084C" w:rsidRDefault="00F053F4" w:rsidP="003E5969">
            <w:pPr>
              <w:pStyle w:val="Recsin-chapterL2"/>
            </w:pPr>
            <w:r w:rsidRPr="00C4084C">
              <w:t xml:space="preserve">immediately progressing the recommendations of the Review of the Australian Qualifications Framework through engagement with industry, </w:t>
            </w:r>
            <w:proofErr w:type="gramStart"/>
            <w:r w:rsidRPr="00C4084C">
              <w:t>unions</w:t>
            </w:r>
            <w:proofErr w:type="gramEnd"/>
            <w:r w:rsidRPr="00C4084C">
              <w:t xml:space="preserve"> and governments, as a matter of priority</w:t>
            </w:r>
          </w:p>
          <w:p w14:paraId="6462EAB1" w14:textId="77777777" w:rsidR="00F053F4" w:rsidRPr="00C4084C" w:rsidRDefault="00F053F4" w:rsidP="003E5969">
            <w:pPr>
              <w:pStyle w:val="Recsin-chapterL2"/>
            </w:pPr>
            <w:r w:rsidRPr="00C4084C">
              <w:t xml:space="preserve">continuing development and use of the National Skills Taxonomy across the tertiary education system, using rich skills descriptors to make professional and vocational skill formation more explicit and </w:t>
            </w:r>
            <w:proofErr w:type="gramStart"/>
            <w:r w:rsidRPr="00C4084C">
              <w:t>transparent</w:t>
            </w:r>
            <w:proofErr w:type="gramEnd"/>
          </w:p>
          <w:p w14:paraId="41D265A9" w14:textId="77777777" w:rsidR="00F053F4" w:rsidRPr="00C4084C" w:rsidRDefault="00F053F4" w:rsidP="003E5969">
            <w:pPr>
              <w:pStyle w:val="Recsin-chapterL2"/>
            </w:pPr>
            <w:r w:rsidRPr="00C4084C">
              <w:t xml:space="preserve">extending the unique student identifier to provide coverage of the whole tertiary education system, including </w:t>
            </w:r>
            <w:proofErr w:type="spellStart"/>
            <w:r w:rsidRPr="00C4084C">
              <w:t>microcredentials</w:t>
            </w:r>
            <w:proofErr w:type="spellEnd"/>
            <w:r w:rsidRPr="00C4084C">
              <w:t xml:space="preserve">, and continuing to embed the unique student identifier in the schooling </w:t>
            </w:r>
            <w:proofErr w:type="gramStart"/>
            <w:r w:rsidRPr="00C4084C">
              <w:t>system</w:t>
            </w:r>
            <w:proofErr w:type="gramEnd"/>
          </w:p>
          <w:p w14:paraId="3F92EAAC" w14:textId="77777777" w:rsidR="00F053F4" w:rsidRPr="00C4084C" w:rsidRDefault="00F053F4" w:rsidP="003E5969">
            <w:pPr>
              <w:pStyle w:val="Recsin-chapterL2"/>
            </w:pPr>
            <w:r w:rsidRPr="00C4084C">
              <w:t xml:space="preserve">aligning data standards and practices across the higher education and vocational education and training sectors to allow for better measurement of student pathways and system </w:t>
            </w:r>
            <w:proofErr w:type="gramStart"/>
            <w:r w:rsidRPr="00C4084C">
              <w:t>outcomes</w:t>
            </w:r>
            <w:proofErr w:type="gramEnd"/>
          </w:p>
          <w:p w14:paraId="0241A001" w14:textId="5C724938" w:rsidR="00F053F4" w:rsidRPr="00C4084C" w:rsidRDefault="00F053F4" w:rsidP="003E5969">
            <w:pPr>
              <w:pStyle w:val="Recsin-chapterL2"/>
            </w:pPr>
            <w:r w:rsidRPr="00C4084C">
              <w:t>integrating Government digital platforms across the vocational education and training and higher education sectors (including for careers advice</w:t>
            </w:r>
            <w:r w:rsidR="00185203">
              <w:t xml:space="preserve"> and</w:t>
            </w:r>
            <w:r w:rsidRPr="00C4084C">
              <w:t xml:space="preserve"> course and study options), making it easier for students to access and navigate the tertiary education </w:t>
            </w:r>
            <w:proofErr w:type="gramStart"/>
            <w:r w:rsidRPr="00C4084C">
              <w:t>system</w:t>
            </w:r>
            <w:proofErr w:type="gramEnd"/>
          </w:p>
          <w:p w14:paraId="2AA3FFD6" w14:textId="77777777" w:rsidR="00F053F4" w:rsidRPr="00C4084C" w:rsidRDefault="00F053F4" w:rsidP="003E5969">
            <w:pPr>
              <w:pStyle w:val="Recsin-chapterL2"/>
            </w:pPr>
            <w:r w:rsidRPr="00C4084C">
              <w:rPr>
                <w:rStyle w:val="PriorityAction-Bold"/>
                <w:b w:val="0"/>
                <w:i w:val="0"/>
              </w:rPr>
              <w:t>creating a pathway for short courses provided by industry and business to be accredited and recognised on the National Skills Passport</w:t>
            </w:r>
          </w:p>
          <w:p w14:paraId="709A746E" w14:textId="276FCF2C" w:rsidR="00F053F4" w:rsidRPr="00C4084C" w:rsidRDefault="00F053F4" w:rsidP="003E5969">
            <w:pPr>
              <w:pStyle w:val="Recsin-chapterL2"/>
            </w:pPr>
            <w:r w:rsidRPr="00C4084C">
              <w:t xml:space="preserve">working with tertiary education providers, </w:t>
            </w:r>
            <w:proofErr w:type="gramStart"/>
            <w:r w:rsidRPr="00C4084C">
              <w:t>industry</w:t>
            </w:r>
            <w:proofErr w:type="gramEnd"/>
            <w:r w:rsidRPr="00C4084C">
              <w:t xml:space="preserve"> and business to adopt a consistent, published, national approach to recognition of prior learning (RPL) and credit recognition which should:</w:t>
            </w:r>
          </w:p>
          <w:p w14:paraId="70719FF0" w14:textId="076B9F0F" w:rsidR="00F053F4" w:rsidRPr="00C4084C" w:rsidRDefault="00F053F4" w:rsidP="003E5969">
            <w:pPr>
              <w:pStyle w:val="Recsin-chapterL3"/>
            </w:pPr>
            <w:r w:rsidRPr="00C4084C">
              <w:t xml:space="preserve">address historical, cultural and institutional barriers to RPL and credit </w:t>
            </w:r>
            <w:proofErr w:type="gramStart"/>
            <w:r w:rsidRPr="00C4084C">
              <w:t>recognition</w:t>
            </w:r>
            <w:proofErr w:type="gramEnd"/>
          </w:p>
          <w:p w14:paraId="52119D51" w14:textId="77777777" w:rsidR="00F053F4" w:rsidRPr="00C4084C" w:rsidRDefault="00F053F4" w:rsidP="003E5969">
            <w:pPr>
              <w:pStyle w:val="Recsin-chapterL3"/>
            </w:pPr>
            <w:r w:rsidRPr="00C4084C">
              <w:t xml:space="preserve">make it easier for students to gain maximum credit for previous study and minimise the time taken and cost to get a new </w:t>
            </w:r>
            <w:proofErr w:type="gramStart"/>
            <w:r w:rsidRPr="00C4084C">
              <w:t>qualification</w:t>
            </w:r>
            <w:proofErr w:type="gramEnd"/>
          </w:p>
          <w:p w14:paraId="08CD1242" w14:textId="77777777" w:rsidR="00F053F4" w:rsidRPr="00C4084C" w:rsidRDefault="00F053F4" w:rsidP="003E5969">
            <w:pPr>
              <w:pStyle w:val="Recsin-chapterL3"/>
            </w:pPr>
            <w:r w:rsidRPr="00C4084C">
              <w:t xml:space="preserve">include recognising appropriate work </w:t>
            </w:r>
            <w:proofErr w:type="gramStart"/>
            <w:r w:rsidRPr="00C4084C">
              <w:t>experience</w:t>
            </w:r>
            <w:proofErr w:type="gramEnd"/>
          </w:p>
          <w:p w14:paraId="3E421BAF" w14:textId="77777777" w:rsidR="00F053F4" w:rsidRPr="00C4084C" w:rsidRDefault="00F053F4" w:rsidP="003E5969">
            <w:pPr>
              <w:pStyle w:val="Recsin-chapterL3"/>
            </w:pPr>
            <w:r w:rsidRPr="00C4084C">
              <w:t xml:space="preserve">improve student mobility to enter, exit and return to tertiary </w:t>
            </w:r>
            <w:proofErr w:type="gramStart"/>
            <w:r w:rsidRPr="00C4084C">
              <w:t>education</w:t>
            </w:r>
            <w:proofErr w:type="gramEnd"/>
          </w:p>
          <w:p w14:paraId="092CDAC6" w14:textId="77777777" w:rsidR="00F053F4" w:rsidRPr="00C4084C" w:rsidDel="00C977C2" w:rsidRDefault="00F053F4" w:rsidP="003E5969">
            <w:pPr>
              <w:pStyle w:val="Recsin-chapterL2"/>
              <w:rPr>
                <w:rStyle w:val="PriorityAction-Bold"/>
                <w:b w:val="0"/>
                <w:i w:val="0"/>
              </w:rPr>
            </w:pPr>
            <w:r w:rsidRPr="00C4084C">
              <w:t xml:space="preserve">requiring that higher education providers – through a regular cycle of curriculum review – establish early exit and articulation pathways from </w:t>
            </w:r>
            <w:proofErr w:type="gramStart"/>
            <w:r w:rsidRPr="00C4084C">
              <w:t>bachelor</w:t>
            </w:r>
            <w:proofErr w:type="gramEnd"/>
            <w:r w:rsidRPr="00C4084C">
              <w:t xml:space="preserve"> degree courses, at diploma and associate degree levels, for students who decide to withdraw before completing the whole degree.</w:t>
            </w:r>
          </w:p>
        </w:tc>
      </w:tr>
    </w:tbl>
    <w:p w14:paraId="5259E3D0" w14:textId="77777777" w:rsidR="00F053F4" w:rsidRPr="00C4084C" w:rsidRDefault="00F053F4" w:rsidP="0020392A">
      <w:pPr>
        <w:spacing w:after="0"/>
      </w:pPr>
    </w:p>
    <w:tbl>
      <w:tblPr>
        <w:tblW w:w="0" w:type="auto"/>
        <w:shd w:val="clear" w:color="auto" w:fill="FBE4D5"/>
        <w:tblLook w:val="04A0" w:firstRow="1" w:lastRow="0" w:firstColumn="1" w:lastColumn="0" w:noHBand="0" w:noVBand="1"/>
      </w:tblPr>
      <w:tblGrid>
        <w:gridCol w:w="9026"/>
      </w:tblGrid>
      <w:tr w:rsidR="00947C69" w:rsidRPr="00C4084C" w14:paraId="12E5DC45" w14:textId="77777777" w:rsidTr="00D26B82">
        <w:tc>
          <w:tcPr>
            <w:tcW w:w="9026" w:type="dxa"/>
            <w:shd w:val="clear" w:color="auto" w:fill="FEECDF"/>
          </w:tcPr>
          <w:p w14:paraId="3D9B890F" w14:textId="46C1AE48" w:rsidR="00947C69" w:rsidRPr="00C4084C" w:rsidDel="00C977C2" w:rsidRDefault="00947C69" w:rsidP="003E5969">
            <w:pPr>
              <w:pStyle w:val="Recsin-chapterL1"/>
              <w:framePr w:wrap="notBeside"/>
              <w:rPr>
                <w:rStyle w:val="PriorityAction-Bold"/>
                <w:b w:val="0"/>
                <w:bCs w:val="0"/>
                <w:i w:val="0"/>
              </w:rPr>
            </w:pPr>
            <w:r w:rsidRPr="00C4084C">
              <w:t xml:space="preserve">That to help Australians quickly get the skills they need to fill jobs that are in shortage, the Australian Government establish a comprehensive system of modular, </w:t>
            </w:r>
            <w:proofErr w:type="gramStart"/>
            <w:r w:rsidRPr="00C4084C">
              <w:t>stackable</w:t>
            </w:r>
            <w:proofErr w:type="gramEnd"/>
            <w:r w:rsidRPr="00C4084C">
              <w:t xml:space="preserve"> and transferable qualifications, including </w:t>
            </w:r>
            <w:proofErr w:type="spellStart"/>
            <w:r w:rsidRPr="00C4084C">
              <w:t>microcredentials</w:t>
            </w:r>
            <w:proofErr w:type="spellEnd"/>
            <w:r w:rsidRPr="00C4084C">
              <w:t>, consistent with a reformed Australian Qualifications Framework.</w:t>
            </w:r>
          </w:p>
        </w:tc>
      </w:tr>
    </w:tbl>
    <w:p w14:paraId="116CF90B" w14:textId="77777777" w:rsidR="00947C69" w:rsidRPr="00C4084C" w:rsidRDefault="00947C69" w:rsidP="0020392A">
      <w:pPr>
        <w:spacing w:after="0"/>
      </w:pPr>
    </w:p>
    <w:tbl>
      <w:tblPr>
        <w:tblW w:w="0" w:type="auto"/>
        <w:shd w:val="clear" w:color="auto" w:fill="FBE4D5"/>
        <w:tblLook w:val="04A0" w:firstRow="1" w:lastRow="0" w:firstColumn="1" w:lastColumn="0" w:noHBand="0" w:noVBand="1"/>
      </w:tblPr>
      <w:tblGrid>
        <w:gridCol w:w="9026"/>
      </w:tblGrid>
      <w:tr w:rsidR="00953149" w:rsidRPr="00C4084C" w14:paraId="5D39F7B4" w14:textId="77777777" w:rsidTr="00D26B82">
        <w:tc>
          <w:tcPr>
            <w:tcW w:w="9026" w:type="dxa"/>
            <w:shd w:val="clear" w:color="auto" w:fill="FEECDF"/>
          </w:tcPr>
          <w:p w14:paraId="01D388EE" w14:textId="77777777" w:rsidR="00953149" w:rsidRPr="00C4084C" w:rsidRDefault="00953149" w:rsidP="003E5969">
            <w:pPr>
              <w:pStyle w:val="Recsin-chapterL1"/>
              <w:framePr w:wrap="notBeside"/>
              <w:spacing w:after="0"/>
            </w:pPr>
            <w:r w:rsidRPr="00C4084C">
              <w:lastRenderedPageBreak/>
              <w:t xml:space="preserve">That to deliver new options for lifelong learning and to encourage higher education participation from new cohorts, the Australian Government move toward funding a set of </w:t>
            </w:r>
            <w:proofErr w:type="spellStart"/>
            <w:r w:rsidRPr="00C4084C">
              <w:t>microcredentials</w:t>
            </w:r>
            <w:proofErr w:type="spellEnd"/>
            <w:r w:rsidRPr="00C4084C">
              <w:t xml:space="preserve"> as a new element in the system of Commonwealth supported places, initially in areas of employer demand and national priority. This will require:</w:t>
            </w:r>
          </w:p>
          <w:p w14:paraId="2B38D406" w14:textId="77777777" w:rsidR="00953149" w:rsidRPr="00C4084C" w:rsidRDefault="00953149" w:rsidP="003E5969">
            <w:pPr>
              <w:pStyle w:val="Recsin-chapterL2"/>
              <w:rPr>
                <w:rStyle w:val="PriorityAction-Bold"/>
                <w:b w:val="0"/>
                <w:i w:val="0"/>
                <w:iCs/>
              </w:rPr>
            </w:pPr>
            <w:r w:rsidRPr="00C4084C">
              <w:rPr>
                <w:rStyle w:val="PriorityAction-Bold"/>
                <w:b w:val="0"/>
                <w:i w:val="0"/>
                <w:iCs/>
              </w:rPr>
              <w:t xml:space="preserve">new accreditation arrangements for </w:t>
            </w:r>
            <w:proofErr w:type="spellStart"/>
            <w:r w:rsidRPr="00C4084C">
              <w:rPr>
                <w:rStyle w:val="PriorityAction-Bold"/>
                <w:b w:val="0"/>
                <w:i w:val="0"/>
                <w:iCs/>
              </w:rPr>
              <w:t>microcredentials</w:t>
            </w:r>
            <w:proofErr w:type="spellEnd"/>
            <w:r w:rsidRPr="00C4084C">
              <w:rPr>
                <w:rStyle w:val="PriorityAction-Bold"/>
                <w:b w:val="0"/>
                <w:i w:val="0"/>
                <w:iCs/>
              </w:rPr>
              <w:t xml:space="preserve"> in the higher education sector, prioritising those that meet employer demand requirements, provide credit, involve minimum volumes of learning and can be stacked to a full </w:t>
            </w:r>
            <w:proofErr w:type="gramStart"/>
            <w:r w:rsidRPr="00C4084C">
              <w:rPr>
                <w:rStyle w:val="PriorityAction-Bold"/>
                <w:b w:val="0"/>
                <w:i w:val="0"/>
                <w:iCs/>
              </w:rPr>
              <w:t>qualification</w:t>
            </w:r>
            <w:proofErr w:type="gramEnd"/>
            <w:r w:rsidRPr="00C4084C">
              <w:rPr>
                <w:rStyle w:val="PriorityAction-Bold"/>
                <w:b w:val="0"/>
                <w:i w:val="0"/>
                <w:iCs/>
              </w:rPr>
              <w:t xml:space="preserve"> </w:t>
            </w:r>
          </w:p>
          <w:p w14:paraId="3E2AC18D" w14:textId="77777777" w:rsidR="00953149" w:rsidRPr="00C4084C" w:rsidRDefault="00953149" w:rsidP="003E5969">
            <w:pPr>
              <w:pStyle w:val="Recsin-chapterL2"/>
              <w:rPr>
                <w:rStyle w:val="PriorityAction-Bold"/>
                <w:b w:val="0"/>
                <w:i w:val="0"/>
                <w:iCs/>
              </w:rPr>
            </w:pPr>
            <w:r w:rsidRPr="00C4084C">
              <w:rPr>
                <w:rStyle w:val="PriorityAction-Bold"/>
                <w:b w:val="0"/>
                <w:i w:val="0"/>
                <w:iCs/>
              </w:rPr>
              <w:t xml:space="preserve">establishing new rules for ‘micro-HELP’ student contribution amounts and micro-Commonwealth support for each course, based on the course </w:t>
            </w:r>
            <w:proofErr w:type="gramStart"/>
            <w:r w:rsidRPr="00C4084C">
              <w:rPr>
                <w:rStyle w:val="PriorityAction-Bold"/>
                <w:b w:val="0"/>
                <w:i w:val="0"/>
                <w:iCs/>
              </w:rPr>
              <w:t>length</w:t>
            </w:r>
            <w:proofErr w:type="gramEnd"/>
          </w:p>
          <w:p w14:paraId="095000C3" w14:textId="54012C1B" w:rsidR="00953149" w:rsidRPr="00C4084C" w:rsidDel="00C977C2" w:rsidRDefault="00953149" w:rsidP="003E5969">
            <w:pPr>
              <w:pStyle w:val="Recsin-chapterL2"/>
              <w:rPr>
                <w:rStyle w:val="PriorityAction-Bold"/>
                <w:b w:val="0"/>
                <w:i w:val="0"/>
              </w:rPr>
            </w:pPr>
            <w:r w:rsidRPr="00C4084C">
              <w:rPr>
                <w:rStyle w:val="PriorityAction-Bold"/>
                <w:b w:val="0"/>
                <w:i w:val="0"/>
                <w:iCs/>
              </w:rPr>
              <w:t xml:space="preserve">setting conditions so that </w:t>
            </w:r>
            <w:proofErr w:type="spellStart"/>
            <w:r w:rsidRPr="00C4084C">
              <w:rPr>
                <w:rStyle w:val="PriorityAction-Bold"/>
                <w:b w:val="0"/>
                <w:i w:val="0"/>
                <w:iCs/>
              </w:rPr>
              <w:t>microcredentials</w:t>
            </w:r>
            <w:proofErr w:type="spellEnd"/>
            <w:r w:rsidRPr="00C4084C">
              <w:rPr>
                <w:rStyle w:val="PriorityAction-Bold"/>
                <w:b w:val="0"/>
                <w:i w:val="0"/>
                <w:iCs/>
              </w:rPr>
              <w:t xml:space="preserve"> in higher education that are funded as Commonwealth </w:t>
            </w:r>
            <w:r w:rsidR="00215B98">
              <w:rPr>
                <w:rStyle w:val="PriorityAction-Bold"/>
                <w:b w:val="0"/>
                <w:i w:val="0"/>
                <w:iCs/>
              </w:rPr>
              <w:t>s</w:t>
            </w:r>
            <w:r w:rsidRPr="00C4084C">
              <w:rPr>
                <w:rStyle w:val="PriorityAction-Bold"/>
                <w:b w:val="0"/>
                <w:i w:val="0"/>
                <w:iCs/>
              </w:rPr>
              <w:t xml:space="preserve">upported </w:t>
            </w:r>
            <w:r w:rsidR="00215B98">
              <w:rPr>
                <w:rStyle w:val="PriorityAction-Bold"/>
                <w:b w:val="0"/>
                <w:i w:val="0"/>
                <w:iCs/>
              </w:rPr>
              <w:t>p</w:t>
            </w:r>
            <w:r w:rsidRPr="00C4084C">
              <w:rPr>
                <w:rStyle w:val="PriorityAction-Bold"/>
                <w:b w:val="0"/>
                <w:i w:val="0"/>
                <w:iCs/>
              </w:rPr>
              <w:t>laces cannot subsequently be provided at full-fee cost to domestic students.</w:t>
            </w:r>
          </w:p>
        </w:tc>
      </w:tr>
    </w:tbl>
    <w:p w14:paraId="756F6F60" w14:textId="77777777" w:rsidR="00947C69" w:rsidRPr="00C4084C" w:rsidRDefault="00947C69" w:rsidP="0020392A">
      <w:pPr>
        <w:spacing w:after="0"/>
      </w:pPr>
    </w:p>
    <w:tbl>
      <w:tblPr>
        <w:tblW w:w="0" w:type="auto"/>
        <w:shd w:val="clear" w:color="auto" w:fill="FBE4D5"/>
        <w:tblLook w:val="04A0" w:firstRow="1" w:lastRow="0" w:firstColumn="1" w:lastColumn="0" w:noHBand="0" w:noVBand="1"/>
      </w:tblPr>
      <w:tblGrid>
        <w:gridCol w:w="9026"/>
      </w:tblGrid>
      <w:tr w:rsidR="0087435B" w:rsidRPr="00C4084C" w14:paraId="7DC9C904" w14:textId="77777777" w:rsidTr="00D26B82">
        <w:tc>
          <w:tcPr>
            <w:tcW w:w="9026" w:type="dxa"/>
            <w:shd w:val="clear" w:color="auto" w:fill="FEECDF"/>
          </w:tcPr>
          <w:p w14:paraId="5773622E" w14:textId="77777777" w:rsidR="0087435B" w:rsidRPr="00C4084C" w:rsidRDefault="0087435B" w:rsidP="003E5969">
            <w:pPr>
              <w:pStyle w:val="Recsin-chapterL1"/>
              <w:framePr w:wrap="notBeside"/>
              <w:spacing w:after="0"/>
            </w:pPr>
            <w:r w:rsidRPr="00C4084C">
              <w:t>That to ensure students develop work relevant skills for employment after their study, the Australian Government increase opportunities for students to both earn and learn while studying by:</w:t>
            </w:r>
          </w:p>
          <w:p w14:paraId="008A7327" w14:textId="77777777" w:rsidR="0087435B" w:rsidRPr="00C4084C" w:rsidRDefault="0087435B" w:rsidP="003E5969">
            <w:pPr>
              <w:pStyle w:val="Recsin-chapterL2"/>
              <w:rPr>
                <w:rStyle w:val="PriorityAction-Bold"/>
                <w:b w:val="0"/>
                <w:i w:val="0"/>
              </w:rPr>
            </w:pPr>
            <w:r w:rsidRPr="00C4084C">
              <w:rPr>
                <w:rStyle w:val="PriorityAction-Bold"/>
                <w:b w:val="0"/>
                <w:i w:val="0"/>
              </w:rPr>
              <w:t xml:space="preserve">establishing a national brokerage system (‘Jobs Broker’) to support tertiary education students find part-time work and placements relevant to their fields of study. Delivery should be through a provider that charges paid subscriptions by employers. The service should be free for students, and allow them to earn income while studying and reduce cost of living </w:t>
            </w:r>
            <w:proofErr w:type="gramStart"/>
            <w:r w:rsidRPr="00C4084C">
              <w:rPr>
                <w:rStyle w:val="PriorityAction-Bold"/>
                <w:b w:val="0"/>
                <w:i w:val="0"/>
              </w:rPr>
              <w:t>pressures</w:t>
            </w:r>
            <w:proofErr w:type="gramEnd"/>
          </w:p>
          <w:p w14:paraId="5A705CFC" w14:textId="4C05FC8C" w:rsidR="0087435B" w:rsidRPr="00C4084C" w:rsidRDefault="0087435B" w:rsidP="003E5969">
            <w:pPr>
              <w:pStyle w:val="Recsin-chapterL2"/>
              <w:rPr>
                <w:rStyle w:val="PriorityAction-Bold"/>
                <w:b w:val="0"/>
                <w:i w:val="0"/>
              </w:rPr>
            </w:pPr>
            <w:r w:rsidRPr="00C4084C">
              <w:rPr>
                <w:rStyle w:val="PriorityAction-Bold"/>
                <w:b w:val="0"/>
                <w:i w:val="0"/>
              </w:rPr>
              <w:t xml:space="preserve">promoting work-integrated learning (WIL) by working with peak bodies for employers, industry, business and tertiary education providers to deliver more WIL opportunities in curricula across all disciplines, and provide training to industry </w:t>
            </w:r>
            <w:proofErr w:type="gramStart"/>
            <w:r w:rsidRPr="00C4084C">
              <w:rPr>
                <w:rStyle w:val="PriorityAction-Bold"/>
                <w:b w:val="0"/>
                <w:i w:val="0"/>
              </w:rPr>
              <w:t>supervisors</w:t>
            </w:r>
            <w:proofErr w:type="gramEnd"/>
            <w:r w:rsidRPr="00C4084C">
              <w:rPr>
                <w:rStyle w:val="PriorityAction-Bold"/>
                <w:b w:val="0"/>
                <w:i w:val="0"/>
              </w:rPr>
              <w:t xml:space="preserve"> </w:t>
            </w:r>
          </w:p>
          <w:p w14:paraId="23AC03C5" w14:textId="77777777" w:rsidR="0087435B" w:rsidRPr="00C4084C" w:rsidRDefault="0087435B" w:rsidP="003E5969">
            <w:pPr>
              <w:pStyle w:val="Recsin-chapterL2"/>
              <w:rPr>
                <w:rStyle w:val="PriorityAction-Bold"/>
                <w:b w:val="0"/>
                <w:i w:val="0"/>
              </w:rPr>
            </w:pPr>
            <w:r w:rsidRPr="00C4084C">
              <w:rPr>
                <w:rStyle w:val="PriorityAction-Bold"/>
                <w:b w:val="0"/>
                <w:i w:val="0"/>
              </w:rPr>
              <w:t xml:space="preserve">improving measures of graduate generic skills as part of the Graduate Outcomes Survey and Employer Satisfaction Survey. The Australian Tertiary Education Commission should showcase best practice as part of its ‘State of the Tertiary Education System’ annual </w:t>
            </w:r>
            <w:proofErr w:type="gramStart"/>
            <w:r w:rsidRPr="00C4084C">
              <w:rPr>
                <w:rStyle w:val="PriorityAction-Bold"/>
                <w:b w:val="0"/>
                <w:i w:val="0"/>
              </w:rPr>
              <w:t>report</w:t>
            </w:r>
            <w:proofErr w:type="gramEnd"/>
          </w:p>
          <w:p w14:paraId="191961CE" w14:textId="77777777" w:rsidR="0087435B" w:rsidRPr="00C4084C" w:rsidDel="00C977C2" w:rsidRDefault="0087435B" w:rsidP="003E5969">
            <w:pPr>
              <w:pStyle w:val="Recsin-chapterL2"/>
              <w:rPr>
                <w:rStyle w:val="PriorityAction-Bold"/>
                <w:b w:val="0"/>
                <w:i w:val="0"/>
              </w:rPr>
            </w:pPr>
            <w:r w:rsidRPr="00C4084C">
              <w:rPr>
                <w:rStyle w:val="PriorityAction-Bold"/>
                <w:b w:val="0"/>
                <w:i w:val="0"/>
              </w:rPr>
              <w:t>using models like degree apprenticeships that encourage an employment relationship as part of course design.</w:t>
            </w:r>
          </w:p>
        </w:tc>
      </w:tr>
    </w:tbl>
    <w:p w14:paraId="46EC63D1" w14:textId="77777777" w:rsidR="00953149" w:rsidRPr="00C4084C" w:rsidRDefault="00953149" w:rsidP="0020392A">
      <w:pPr>
        <w:spacing w:after="0"/>
      </w:pPr>
    </w:p>
    <w:tbl>
      <w:tblPr>
        <w:tblW w:w="0" w:type="auto"/>
        <w:shd w:val="clear" w:color="auto" w:fill="FBE4D5"/>
        <w:tblLook w:val="04A0" w:firstRow="1" w:lastRow="0" w:firstColumn="1" w:lastColumn="0" w:noHBand="0" w:noVBand="1"/>
      </w:tblPr>
      <w:tblGrid>
        <w:gridCol w:w="9026"/>
      </w:tblGrid>
      <w:tr w:rsidR="006B02AA" w:rsidRPr="00C4084C" w14:paraId="7059A019" w14:textId="77777777" w:rsidTr="00D26B82">
        <w:tc>
          <w:tcPr>
            <w:tcW w:w="9026" w:type="dxa"/>
            <w:shd w:val="clear" w:color="auto" w:fill="FEECDF"/>
          </w:tcPr>
          <w:p w14:paraId="5EE9BF8D" w14:textId="1BA2C4F6" w:rsidR="006B02AA" w:rsidRPr="00C4084C" w:rsidRDefault="006B02AA" w:rsidP="003E5969">
            <w:pPr>
              <w:pStyle w:val="Recsin-chapterL1"/>
              <w:framePr w:wrap="notBeside"/>
              <w:spacing w:after="0"/>
            </w:pPr>
            <w:r w:rsidRPr="00C4084C">
              <w:t xml:space="preserve">That to improve the speed and focus on meeting high impact skills needs, the Australian Government partner with select tertiary education providers, states and territories, industry, </w:t>
            </w:r>
            <w:proofErr w:type="gramStart"/>
            <w:r w:rsidRPr="00C4084C">
              <w:t>business</w:t>
            </w:r>
            <w:proofErr w:type="gramEnd"/>
            <w:r w:rsidRPr="00C4084C">
              <w:t xml:space="preserve"> and unions to rapidly provide students with innovative skills through:</w:t>
            </w:r>
          </w:p>
          <w:p w14:paraId="486670CB" w14:textId="77777777" w:rsidR="006B02AA" w:rsidRPr="00C4084C" w:rsidRDefault="006B02AA" w:rsidP="003E5969">
            <w:pPr>
              <w:pStyle w:val="Recsin-chapterL2"/>
              <w:rPr>
                <w:rStyle w:val="PriorityAction-Bold"/>
                <w:b w:val="0"/>
                <w:i w:val="0"/>
              </w:rPr>
            </w:pPr>
            <w:r w:rsidRPr="00C4084C">
              <w:rPr>
                <w:rStyle w:val="PriorityAction-Bold"/>
                <w:b w:val="0"/>
                <w:i w:val="0"/>
              </w:rPr>
              <w:t>supporting methods of quickly ramping up delivery, including through use of newly developed collaborative infrastructure such as the TAFE Centres of Excellence and the NSW Institutes of Applied Technology</w:t>
            </w:r>
          </w:p>
          <w:p w14:paraId="1D01FD28" w14:textId="77777777" w:rsidR="006B02AA" w:rsidRPr="00C4084C" w:rsidDel="00C977C2" w:rsidRDefault="006B02AA" w:rsidP="003E5969">
            <w:pPr>
              <w:pStyle w:val="Recsin-chapterL2"/>
              <w:rPr>
                <w:rStyle w:val="PriorityAction-Bold"/>
                <w:b w:val="0"/>
                <w:i w:val="0"/>
              </w:rPr>
            </w:pPr>
            <w:r w:rsidRPr="00C4084C">
              <w:rPr>
                <w:rStyle w:val="PriorityAction-Bold"/>
                <w:b w:val="0"/>
                <w:i w:val="0"/>
              </w:rPr>
              <w:t xml:space="preserve">including higher education sector engagement with the Jobs and Skills Australia Ministerial Advisory Board </w:t>
            </w:r>
            <w:r w:rsidRPr="00C4084C">
              <w:rPr>
                <w:rStyle w:val="PriorityAction-Bold"/>
                <w:b w:val="0"/>
                <w:i w:val="0"/>
                <w:iCs/>
              </w:rPr>
              <w:t>and the Jobs and Skills Councils.</w:t>
            </w:r>
          </w:p>
        </w:tc>
      </w:tr>
    </w:tbl>
    <w:p w14:paraId="59D2E928" w14:textId="0E3019EE" w:rsidR="00427DBF" w:rsidRPr="00C4084C" w:rsidRDefault="00427DBF" w:rsidP="003E5969">
      <w:pPr>
        <w:pStyle w:val="BodyText"/>
        <w:rPr>
          <w:rStyle w:val="normaltextrun"/>
          <w:b/>
          <w:szCs w:val="20"/>
        </w:rPr>
      </w:pPr>
    </w:p>
    <w:tbl>
      <w:tblPr>
        <w:tblW w:w="0" w:type="auto"/>
        <w:shd w:val="clear" w:color="auto" w:fill="FFF4ED"/>
        <w:tblLook w:val="04A0" w:firstRow="1" w:lastRow="0" w:firstColumn="1" w:lastColumn="0" w:noHBand="0" w:noVBand="1"/>
      </w:tblPr>
      <w:tblGrid>
        <w:gridCol w:w="9072"/>
      </w:tblGrid>
      <w:tr w:rsidR="00AC7945" w:rsidRPr="00C4084C" w14:paraId="0D756937" w14:textId="77777777" w:rsidTr="00D26B82">
        <w:tc>
          <w:tcPr>
            <w:tcW w:w="9072" w:type="dxa"/>
            <w:shd w:val="clear" w:color="auto" w:fill="FEECDF"/>
          </w:tcPr>
          <w:p w14:paraId="6365D211" w14:textId="35C17B4E" w:rsidR="00141831" w:rsidRPr="006D136A" w:rsidRDefault="00295667" w:rsidP="003E5969">
            <w:pPr>
              <w:pStyle w:val="Recheadinginbox"/>
            </w:pPr>
            <w:r w:rsidRPr="006D136A">
              <w:lastRenderedPageBreak/>
              <w:t xml:space="preserve">Recommendation: </w:t>
            </w:r>
            <w:r w:rsidR="00141831" w:rsidRPr="006D136A">
              <w:t>Professional accreditation bodies</w:t>
            </w:r>
          </w:p>
          <w:p w14:paraId="77A8453F" w14:textId="5B5EEAE2" w:rsidR="00AC7945" w:rsidRPr="00C4084C" w:rsidDel="00C977C2" w:rsidRDefault="00AC7945" w:rsidP="003E5969">
            <w:pPr>
              <w:pStyle w:val="Recsin-chapterL1"/>
              <w:framePr w:wrap="notBeside"/>
              <w:rPr>
                <w:rStyle w:val="PriorityAction-Bold"/>
                <w:b w:val="0"/>
                <w:bCs w:val="0"/>
                <w:i w:val="0"/>
              </w:rPr>
            </w:pPr>
            <w:r w:rsidRPr="00C4084C">
              <w:t>That to ensure professional accreditation including placement requirements are appropriate for industry and business skill needs, tertiary education providers and the Australian Government, through the Australian Tertiary Education Commission, work with professional accreditation bodies, to agree a code of conduct for these bodies. The code should ensure that any accreditation requirements are evidence-based and proportionate to the gain they provide and that placement requirements ensure that students gain industry relevant skills and experience without imposing onerous placement length and conditions.</w:t>
            </w:r>
          </w:p>
        </w:tc>
      </w:tr>
    </w:tbl>
    <w:p w14:paraId="330D4097" w14:textId="77777777" w:rsidR="00C354A1" w:rsidRDefault="00C354A1">
      <w:pPr>
        <w:spacing w:after="160"/>
        <w:sectPr w:rsidR="00C354A1" w:rsidSect="00134415">
          <w:headerReference w:type="even" r:id="rId68"/>
          <w:headerReference w:type="default" r:id="rId69"/>
          <w:footerReference w:type="default" r:id="rId70"/>
          <w:headerReference w:type="first" r:id="rId71"/>
          <w:pgSz w:w="11906" w:h="16838"/>
          <w:pgMar w:top="1134" w:right="1134" w:bottom="1134" w:left="1134" w:header="709" w:footer="709" w:gutter="0"/>
          <w:cols w:space="708"/>
          <w:docGrid w:linePitch="360"/>
        </w:sectPr>
      </w:pPr>
    </w:p>
    <w:p w14:paraId="2F9068A7" w14:textId="6CDF1C8B" w:rsidR="00E06C8E" w:rsidRPr="00C4084C" w:rsidRDefault="00E06C8E">
      <w:pPr>
        <w:spacing w:after="160"/>
      </w:pPr>
      <w:r w:rsidRPr="00C4084C">
        <w:br w:type="page"/>
      </w:r>
    </w:p>
    <w:p w14:paraId="0933F5DA" w14:textId="2174E90A" w:rsidR="00D70EAF" w:rsidRPr="00C4084C" w:rsidRDefault="00D70EAF" w:rsidP="00A37C41">
      <w:pPr>
        <w:pStyle w:val="Heading2"/>
      </w:pPr>
      <w:bookmarkStart w:id="551" w:name="_Ref151934425"/>
      <w:bookmarkStart w:id="552" w:name="_Toc153483021"/>
      <w:bookmarkStart w:id="553" w:name="_Toc159500931"/>
      <w:r w:rsidRPr="00C4084C">
        <w:lastRenderedPageBreak/>
        <w:t>Expanding opportunity to all</w:t>
      </w:r>
      <w:bookmarkEnd w:id="551"/>
      <w:bookmarkEnd w:id="552"/>
      <w:bookmarkEnd w:id="553"/>
    </w:p>
    <w:p w14:paraId="1A6B56C9" w14:textId="678A1F5A" w:rsidR="00D27626" w:rsidRPr="00C4084C" w:rsidRDefault="00445836" w:rsidP="00745009">
      <w:pPr>
        <w:pStyle w:val="Heading3"/>
      </w:pPr>
      <w:bookmarkStart w:id="554" w:name="_Ref153133833"/>
      <w:bookmarkStart w:id="555" w:name="_Toc153483022"/>
      <w:bookmarkStart w:id="556" w:name="_Toc159500932"/>
      <w:r w:rsidRPr="00C4084C">
        <w:t>Growth through equity</w:t>
      </w:r>
      <w:bookmarkEnd w:id="554"/>
      <w:bookmarkEnd w:id="555"/>
      <w:bookmarkEnd w:id="556"/>
    </w:p>
    <w:p w14:paraId="08B4DD70" w14:textId="1A9D1D3B" w:rsidR="00D27626" w:rsidRPr="00C4084C" w:rsidRDefault="00D27626" w:rsidP="0020392A">
      <w:r w:rsidRPr="00C4084C">
        <w:t xml:space="preserve">In this chapter, the Review </w:t>
      </w:r>
      <w:r w:rsidR="77506EDD" w:rsidRPr="00C4084C">
        <w:t>examines</w:t>
      </w:r>
      <w:r w:rsidR="0021023A" w:rsidRPr="00C4084C">
        <w:t xml:space="preserve"> </w:t>
      </w:r>
      <w:r w:rsidRPr="00C4084C">
        <w:t>how to improve participation rates and student outcomes for groups which are historically under</w:t>
      </w:r>
      <w:r w:rsidR="004248D9" w:rsidRPr="00C4084C">
        <w:t>-</w:t>
      </w:r>
      <w:r w:rsidRPr="00C4084C">
        <w:t xml:space="preserve">represented in higher education to make the nation more equitable and meet </w:t>
      </w:r>
      <w:r w:rsidR="00175C5C" w:rsidRPr="00C4084C">
        <w:t>Australia’s</w:t>
      </w:r>
      <w:r w:rsidRPr="00C4084C">
        <w:t xml:space="preserve"> future skills demands.</w:t>
      </w:r>
    </w:p>
    <w:p w14:paraId="1D9FBC2D" w14:textId="156DC02A" w:rsidR="00D27626" w:rsidRPr="00C4084C" w:rsidRDefault="00D27626" w:rsidP="0020392A">
      <w:r w:rsidRPr="00C4084C">
        <w:t>The Review sets an ambitious target: that specified cohorts of under</w:t>
      </w:r>
      <w:r w:rsidR="004248D9" w:rsidRPr="00C4084C">
        <w:t>-</w:t>
      </w:r>
      <w:r w:rsidRPr="00C4084C">
        <w:t>represented groups reach the same rates of participation and success as others in the Australian higher education sector.</w:t>
      </w:r>
    </w:p>
    <w:p w14:paraId="1402BD74" w14:textId="5EE60529" w:rsidR="00D27626" w:rsidRPr="00C4084C" w:rsidRDefault="00D27626" w:rsidP="0020392A">
      <w:r w:rsidRPr="00C4084C">
        <w:t xml:space="preserve">It recommends </w:t>
      </w:r>
      <w:r w:rsidR="00D16150" w:rsidRPr="00C4084C">
        <w:t xml:space="preserve">4 </w:t>
      </w:r>
      <w:r w:rsidR="00D60BE3" w:rsidRPr="00C4084C">
        <w:t>interconnected</w:t>
      </w:r>
      <w:r w:rsidR="00D16150" w:rsidRPr="00C4084C">
        <w:t xml:space="preserve"> </w:t>
      </w:r>
      <w:r w:rsidRPr="00C4084C">
        <w:t>areas of intervention to support increased participation and success for these cohorts:</w:t>
      </w:r>
    </w:p>
    <w:p w14:paraId="482AB9F8" w14:textId="413C9B75" w:rsidR="00D27626" w:rsidRPr="00C4084C" w:rsidRDefault="00D27626" w:rsidP="00A06404">
      <w:pPr>
        <w:pStyle w:val="ListBullet"/>
      </w:pPr>
      <w:r w:rsidRPr="00C4084C">
        <w:t>building</w:t>
      </w:r>
      <w:r w:rsidR="00550460" w:rsidRPr="00C4084C">
        <w:t xml:space="preserve"> student</w:t>
      </w:r>
      <w:r w:rsidRPr="00C4084C">
        <w:t xml:space="preserve"> awareness, </w:t>
      </w:r>
      <w:proofErr w:type="gramStart"/>
      <w:r w:rsidRPr="00C4084C">
        <w:t>aspirations</w:t>
      </w:r>
      <w:proofErr w:type="gramEnd"/>
      <w:r w:rsidRPr="00C4084C">
        <w:t xml:space="preserve"> and preparedness</w:t>
      </w:r>
      <w:r w:rsidR="00550460" w:rsidRPr="00C4084C">
        <w:t xml:space="preserve"> for higher education</w:t>
      </w:r>
    </w:p>
    <w:p w14:paraId="2A2D4D17" w14:textId="77777777" w:rsidR="00D27626" w:rsidRPr="00C4084C" w:rsidRDefault="00D27626" w:rsidP="00A06404">
      <w:pPr>
        <w:pStyle w:val="ListBullet"/>
      </w:pPr>
      <w:r w:rsidRPr="00C4084C">
        <w:t>creating flexible pathways for entry to higher education while maintaining appropriate entry standards</w:t>
      </w:r>
    </w:p>
    <w:p w14:paraId="26F337B6" w14:textId="1AC54E42" w:rsidR="00D27626" w:rsidRPr="00C4084C" w:rsidRDefault="00D27626" w:rsidP="00A06404">
      <w:pPr>
        <w:pStyle w:val="ListBullet"/>
      </w:pPr>
      <w:r w:rsidRPr="00C4084C">
        <w:t xml:space="preserve">enabling success </w:t>
      </w:r>
      <w:r w:rsidR="0021023A" w:rsidRPr="00C4084C">
        <w:t xml:space="preserve">in studying for a degree </w:t>
      </w:r>
      <w:r w:rsidRPr="00C4084C">
        <w:t xml:space="preserve">by ensuring adequate support once students enter higher </w:t>
      </w:r>
      <w:proofErr w:type="gramStart"/>
      <w:r w:rsidRPr="00C4084C">
        <w:t>education</w:t>
      </w:r>
      <w:proofErr w:type="gramEnd"/>
    </w:p>
    <w:p w14:paraId="1A5D59A5" w14:textId="0E1BF4F0" w:rsidR="00D27626" w:rsidRPr="00C4084C" w:rsidRDefault="00D27626" w:rsidP="00D27626">
      <w:pPr>
        <w:pStyle w:val="ListBullet"/>
      </w:pPr>
      <w:r w:rsidRPr="00C4084C">
        <w:t>removing roadblocks to participation.</w:t>
      </w:r>
    </w:p>
    <w:p w14:paraId="0A44C3D8" w14:textId="20956B79" w:rsidR="00D27626" w:rsidRPr="00C4084C" w:rsidRDefault="00D27626" w:rsidP="0020392A">
      <w:r w:rsidRPr="00C4084C">
        <w:t xml:space="preserve">Higher education participation and success deliver benefits to students, their communities, and the nation. However, higher education continues to be difficult to access for some groups of Australians, despite extensive investment </w:t>
      </w:r>
      <w:r w:rsidR="0021023A" w:rsidRPr="00C4084C">
        <w:t>over many years in</w:t>
      </w:r>
      <w:r w:rsidRPr="00C4084C">
        <w:t xml:space="preserve"> a series of programs intended to </w:t>
      </w:r>
      <w:r w:rsidR="0021023A" w:rsidRPr="00C4084C">
        <w:t xml:space="preserve">increase </w:t>
      </w:r>
      <w:r w:rsidRPr="00C4084C">
        <w:t xml:space="preserve">participation. The Review has </w:t>
      </w:r>
      <w:r w:rsidR="0021023A" w:rsidRPr="00C4084C">
        <w:t>focused</w:t>
      </w:r>
      <w:r w:rsidRPr="00C4084C">
        <w:t xml:space="preserve"> on this conundrum – how to</w:t>
      </w:r>
      <w:r w:rsidR="5D5AE444" w:rsidRPr="00C4084C">
        <w:t xml:space="preserve"> </w:t>
      </w:r>
      <w:r w:rsidRPr="00C4084C">
        <w:t>substantially increase access and participation in higher education</w:t>
      </w:r>
      <w:r w:rsidR="005B721A">
        <w:t>,</w:t>
      </w:r>
      <w:r w:rsidRPr="00C4084C">
        <w:t xml:space="preserve"> </w:t>
      </w:r>
      <w:proofErr w:type="gramStart"/>
      <w:r w:rsidRPr="00C4084C">
        <w:t>in light of</w:t>
      </w:r>
      <w:proofErr w:type="gramEnd"/>
      <w:r w:rsidRPr="00C4084C">
        <w:t xml:space="preserve"> previous attempts. </w:t>
      </w:r>
    </w:p>
    <w:p w14:paraId="0B19F217" w14:textId="598E7ECE" w:rsidR="00D27626" w:rsidRPr="00C4084C" w:rsidRDefault="00D27626" w:rsidP="0020392A">
      <w:r w:rsidRPr="00C4084C">
        <w:t xml:space="preserve">While the major </w:t>
      </w:r>
      <w:r w:rsidR="16FC5C0C" w:rsidRPr="00C4084C">
        <w:t>higher education</w:t>
      </w:r>
      <w:r w:rsidRPr="00C4084C">
        <w:t xml:space="preserve"> reforms of the 1970s and 1980s led to considerable overall increases in participation, enrolment and attainment rates remained well below parity for </w:t>
      </w:r>
      <w:r w:rsidR="00D16150" w:rsidRPr="00C4084C">
        <w:t xml:space="preserve">3 </w:t>
      </w:r>
      <w:r w:rsidRPr="00C4084C">
        <w:t>cohorts of students: First Nations, students from low socio-economic status (low S</w:t>
      </w:r>
      <w:r w:rsidR="00D95767" w:rsidRPr="00C4084C">
        <w:t>E</w:t>
      </w:r>
      <w:r w:rsidRPr="00C4084C">
        <w:t xml:space="preserve">S) backgrounds, and regional, </w:t>
      </w:r>
      <w:proofErr w:type="gramStart"/>
      <w:r w:rsidRPr="00C4084C">
        <w:t>rural</w:t>
      </w:r>
      <w:proofErr w:type="gramEnd"/>
      <w:r w:rsidRPr="00C4084C">
        <w:t xml:space="preserve"> and remote students. Demand</w:t>
      </w:r>
      <w:r w:rsidR="00F47B96">
        <w:t xml:space="preserve"> </w:t>
      </w:r>
      <w:r w:rsidRPr="00C4084C">
        <w:t>driven funding, which was in place from</w:t>
      </w:r>
      <w:r w:rsidRPr="00C4084C" w:rsidDel="00910744">
        <w:t xml:space="preserve"> </w:t>
      </w:r>
      <w:r w:rsidR="00DD6F2B" w:rsidRPr="00C4084C">
        <w:t>201</w:t>
      </w:r>
      <w:r w:rsidR="00444236" w:rsidRPr="00C4084C">
        <w:t>2</w:t>
      </w:r>
      <w:r w:rsidRPr="00C4084C">
        <w:t xml:space="preserve"> to 2017, did result in a large increase in enrolments in these cohorts. However, in the context of growth in participation by the </w:t>
      </w:r>
      <w:proofErr w:type="gramStart"/>
      <w:r w:rsidRPr="00C4084C">
        <w:t>population as a whole, this</w:t>
      </w:r>
      <w:proofErr w:type="gramEnd"/>
      <w:r w:rsidRPr="00C4084C">
        <w:t xml:space="preserve"> did not deliver </w:t>
      </w:r>
      <w:r w:rsidR="0036207A" w:rsidRPr="00C4084C">
        <w:t xml:space="preserve">on </w:t>
      </w:r>
      <w:r w:rsidRPr="00C4084C">
        <w:t xml:space="preserve">the participation target for students from low socio-economic backgrounds recommended in the 2008 Bradley Review. Students with disability </w:t>
      </w:r>
      <w:r w:rsidR="004E658A" w:rsidRPr="00C4084C">
        <w:t>appear to be</w:t>
      </w:r>
      <w:r w:rsidRPr="00C4084C">
        <w:t xml:space="preserve"> participating </w:t>
      </w:r>
      <w:r w:rsidR="003E4FE8" w:rsidRPr="00C4084C">
        <w:t xml:space="preserve">at </w:t>
      </w:r>
      <w:r w:rsidRPr="00C4084C">
        <w:t>high</w:t>
      </w:r>
      <w:r w:rsidR="00550460" w:rsidRPr="00C4084C">
        <w:t>er</w:t>
      </w:r>
      <w:r w:rsidRPr="00C4084C">
        <w:t xml:space="preserve"> rates compared </w:t>
      </w:r>
      <w:r w:rsidR="003E4FE8" w:rsidRPr="00C4084C">
        <w:t xml:space="preserve">with </w:t>
      </w:r>
      <w:r w:rsidRPr="00C4084C">
        <w:t>other target cohorts</w:t>
      </w:r>
      <w:r w:rsidR="00365CAC">
        <w:t>. H</w:t>
      </w:r>
      <w:r w:rsidRPr="00C4084C">
        <w:t>owever</w:t>
      </w:r>
      <w:r w:rsidR="00365CAC">
        <w:t>,</w:t>
      </w:r>
      <w:r w:rsidRPr="00C4084C">
        <w:t xml:space="preserve"> challenges in data collection </w:t>
      </w:r>
      <w:r w:rsidR="00E63478" w:rsidRPr="00C4084C">
        <w:t xml:space="preserve">and quality </w:t>
      </w:r>
      <w:r w:rsidRPr="00C4084C">
        <w:t xml:space="preserve">(see section </w:t>
      </w:r>
      <w:r w:rsidR="00D17212" w:rsidRPr="00C4084C">
        <w:fldChar w:fldCharType="begin"/>
      </w:r>
      <w:r w:rsidR="00D17212" w:rsidRPr="00C4084C">
        <w:instrText xml:space="preserve"> REF _Ref151937690 \n \h </w:instrText>
      </w:r>
      <w:r w:rsidR="00D6187D" w:rsidRPr="00C4084C">
        <w:instrText xml:space="preserve"> \* MERGEFORMAT </w:instrText>
      </w:r>
      <w:r w:rsidR="00D17212" w:rsidRPr="00C4084C">
        <w:fldChar w:fldCharType="separate"/>
      </w:r>
      <w:r w:rsidR="00467B4F">
        <w:t>3.2.2</w:t>
      </w:r>
      <w:r w:rsidR="00D17212" w:rsidRPr="00C4084C">
        <w:fldChar w:fldCharType="end"/>
      </w:r>
      <w:r w:rsidRPr="00C4084C">
        <w:t xml:space="preserve">) mean that there is a strong likelihood that this cohort may still be </w:t>
      </w:r>
      <w:r w:rsidR="00D7545F" w:rsidRPr="00C4084C">
        <w:t>under-represented</w:t>
      </w:r>
      <w:r w:rsidRPr="00C4084C">
        <w:t xml:space="preserve">. </w:t>
      </w:r>
    </w:p>
    <w:p w14:paraId="6F90F0E4" w14:textId="525CF8C7" w:rsidR="000A4A45" w:rsidRPr="00C4084C" w:rsidRDefault="00D27626" w:rsidP="00285443">
      <w:r w:rsidRPr="00C4084C">
        <w:t xml:space="preserve">To date, participation in higher education has continued to be heavily influenced by a person’s location and socio-economic background, </w:t>
      </w:r>
      <w:r w:rsidR="00DE3053" w:rsidRPr="00C4084C">
        <w:t>not just</w:t>
      </w:r>
      <w:r w:rsidRPr="00C4084C">
        <w:t xml:space="preserve"> ability. This Review’s vision is for an inclusive higher education system that supports learning for any who need and desire it – a system driven by ambitious targets to motivate policy and program action towards achieving equity </w:t>
      </w:r>
      <w:r w:rsidR="00DE3053" w:rsidRPr="00C4084C">
        <w:t xml:space="preserve">across </w:t>
      </w:r>
      <w:r w:rsidRPr="00C4084C">
        <w:t>higher education.</w:t>
      </w:r>
    </w:p>
    <w:tbl>
      <w:tblPr>
        <w:tblW w:w="0" w:type="auto"/>
        <w:shd w:val="clear" w:color="auto" w:fill="E5EAF2"/>
        <w:tblLook w:val="04A0" w:firstRow="1" w:lastRow="0" w:firstColumn="1" w:lastColumn="0" w:noHBand="0" w:noVBand="1"/>
      </w:tblPr>
      <w:tblGrid>
        <w:gridCol w:w="9638"/>
      </w:tblGrid>
      <w:tr w:rsidR="000A4A45" w:rsidRPr="00C4084C" w14:paraId="24B49D7C" w14:textId="77777777" w:rsidTr="00D26B82">
        <w:tc>
          <w:tcPr>
            <w:tcW w:w="0" w:type="auto"/>
            <w:shd w:val="clear" w:color="auto" w:fill="B0C3DB"/>
          </w:tcPr>
          <w:p w14:paraId="32A0B533" w14:textId="25733B0D" w:rsidR="00DB7629" w:rsidRPr="00DB7629" w:rsidRDefault="0080264E" w:rsidP="003E5969">
            <w:pPr>
              <w:pStyle w:val="Findinginchapterheading"/>
            </w:pPr>
            <w:r w:rsidRPr="003E5969">
              <w:rPr>
                <w:rFonts w:ascii="Calibri" w:eastAsia="Yu Gothic Light" w:hAnsi="Calibri" w:cs="Calibri"/>
              </w:rPr>
              <w:lastRenderedPageBreak/>
              <w:t>Finding</w:t>
            </w:r>
            <w:r w:rsidR="00DB7629">
              <w:t xml:space="preserve">: </w:t>
            </w:r>
            <w:r w:rsidR="000A4A45" w:rsidRPr="00C4084C">
              <w:rPr>
                <w:bCs/>
              </w:rPr>
              <w:t>Equity</w:t>
            </w:r>
          </w:p>
          <w:p w14:paraId="26765556" w14:textId="5788B550" w:rsidR="000A4A45" w:rsidRPr="00C4084C" w:rsidRDefault="00902FD7" w:rsidP="003E5969">
            <w:pPr>
              <w:pStyle w:val="Boxtext0"/>
              <w:spacing w:before="0"/>
            </w:pPr>
            <w:r w:rsidRPr="00C4084C">
              <w:t xml:space="preserve">Every Australian should have the opportunity to experience the life transforming benefits of tertiary education. This is vital for Australia’s future. Only by expanding access to </w:t>
            </w:r>
            <w:r>
              <w:t>tertiary</w:t>
            </w:r>
            <w:r w:rsidRPr="00C4084C">
              <w:t xml:space="preserve"> education to currently under-represented groups – including people from low SES backgrounds, First Nations, people with disability and regional, </w:t>
            </w:r>
            <w:proofErr w:type="gramStart"/>
            <w:r w:rsidRPr="00C4084C">
              <w:t>rural</w:t>
            </w:r>
            <w:proofErr w:type="gramEnd"/>
            <w:r w:rsidRPr="00C4084C">
              <w:t xml:space="preserve"> and remote students – can the nation meet its projected skills needs. Access to </w:t>
            </w:r>
            <w:r>
              <w:t>tertiary</w:t>
            </w:r>
            <w:r w:rsidRPr="00C4084C">
              <w:t xml:space="preserve"> education </w:t>
            </w:r>
            <w:r>
              <w:t>must include</w:t>
            </w:r>
            <w:r w:rsidRPr="00C4084C">
              <w:t xml:space="preserve"> high quality teaching and learning targeted to students with lower </w:t>
            </w:r>
            <w:r w:rsidRPr="007157E6">
              <w:t>educational</w:t>
            </w:r>
            <w:r w:rsidRPr="00C4084C">
              <w:t xml:space="preserve"> attainment, alongside access to income support where necessary, affordable student housing and the ability to find reasonable work and placement opportunities.</w:t>
            </w:r>
          </w:p>
        </w:tc>
      </w:tr>
    </w:tbl>
    <w:p w14:paraId="0B32F863" w14:textId="46CB1897" w:rsidR="00D27626" w:rsidRPr="00C4084C" w:rsidRDefault="00D27626" w:rsidP="00745009">
      <w:pPr>
        <w:pStyle w:val="Heading3"/>
      </w:pPr>
      <w:bookmarkStart w:id="557" w:name="_Toc148718538"/>
      <w:bookmarkStart w:id="558" w:name="_Toc150692409"/>
      <w:bookmarkStart w:id="559" w:name="_Toc150523113"/>
      <w:bookmarkStart w:id="560" w:name="_Ref152514701"/>
      <w:bookmarkStart w:id="561" w:name="_Toc1321147348"/>
      <w:bookmarkStart w:id="562" w:name="_Toc153483023"/>
      <w:bookmarkStart w:id="563" w:name="_Toc159500933"/>
      <w:bookmarkEnd w:id="557"/>
      <w:r w:rsidRPr="00C4084C">
        <w:t xml:space="preserve">Participation in higher education among some groups remains too </w:t>
      </w:r>
      <w:proofErr w:type="gramStart"/>
      <w:r w:rsidRPr="00C4084C">
        <w:t>low</w:t>
      </w:r>
      <w:bookmarkEnd w:id="558"/>
      <w:bookmarkEnd w:id="559"/>
      <w:bookmarkEnd w:id="560"/>
      <w:bookmarkEnd w:id="561"/>
      <w:bookmarkEnd w:id="562"/>
      <w:bookmarkEnd w:id="563"/>
      <w:proofErr w:type="gramEnd"/>
    </w:p>
    <w:p w14:paraId="3D6FB3B9" w14:textId="6D68C7C4" w:rsidR="00D27626" w:rsidRPr="00C4084C" w:rsidRDefault="00D27626" w:rsidP="0020392A">
      <w:pPr>
        <w:rPr>
          <w:rStyle w:val="normaltextrun"/>
          <w:rFonts w:cs="Arial"/>
        </w:rPr>
      </w:pPr>
      <w:r w:rsidRPr="00C4084C">
        <w:rPr>
          <w:rStyle w:val="normaltextrun"/>
          <w:rFonts w:cs="Arial"/>
        </w:rPr>
        <w:t>Australia’s higher education system should aspire to nothing less than population parity</w:t>
      </w:r>
      <w:r w:rsidR="00C75BD5" w:rsidRPr="00C4084C">
        <w:rPr>
          <w:rStyle w:val="normaltextrun"/>
          <w:rFonts w:cs="Arial"/>
        </w:rPr>
        <w:t xml:space="preserve"> for equity groups</w:t>
      </w:r>
      <w:r w:rsidRPr="00C4084C">
        <w:rPr>
          <w:rStyle w:val="normaltextrun"/>
          <w:rFonts w:cs="Arial"/>
        </w:rPr>
        <w:t>. The setting of targets is a foundation</w:t>
      </w:r>
      <w:r w:rsidR="005E1DD3" w:rsidRPr="00C4084C">
        <w:rPr>
          <w:rStyle w:val="normaltextrun"/>
          <w:rFonts w:cs="Arial"/>
        </w:rPr>
        <w:t>al mechanism for achieving</w:t>
      </w:r>
      <w:r w:rsidRPr="00C4084C">
        <w:rPr>
          <w:rStyle w:val="normaltextrun"/>
          <w:rFonts w:cs="Arial"/>
        </w:rPr>
        <w:t xml:space="preserve"> the Review’s vision for a fairer and more equitable society. </w:t>
      </w:r>
      <w:r w:rsidR="007A4824" w:rsidRPr="00C4084C">
        <w:rPr>
          <w:rStyle w:val="normaltextrun"/>
          <w:rFonts w:cs="Arial"/>
        </w:rPr>
        <w:t xml:space="preserve">For these reasons, the Review recommends the Australian Government set the target year for achieving parity representation in higher education </w:t>
      </w:r>
      <w:proofErr w:type="gramStart"/>
      <w:r w:rsidR="00A6514E">
        <w:rPr>
          <w:rStyle w:val="normaltextrun"/>
          <w:rFonts w:cs="Arial"/>
        </w:rPr>
        <w:t>at</w:t>
      </w:r>
      <w:proofErr w:type="gramEnd"/>
      <w:r w:rsidR="00A6514E" w:rsidRPr="00C4084C">
        <w:rPr>
          <w:rStyle w:val="normaltextrun"/>
          <w:rFonts w:cs="Arial"/>
        </w:rPr>
        <w:t xml:space="preserve"> </w:t>
      </w:r>
      <w:r w:rsidR="007A4824" w:rsidRPr="00C4084C">
        <w:rPr>
          <w:rStyle w:val="normaltextrun"/>
          <w:rFonts w:cs="Arial"/>
        </w:rPr>
        <w:t>2050, accompanied by a robust measurement and evaluation framework, with interim targets set to measure progress against this goal in 2035</w:t>
      </w:r>
      <w:r w:rsidR="006E1A77" w:rsidRPr="00C4084C">
        <w:rPr>
          <w:rStyle w:val="normaltextrun"/>
          <w:rFonts w:cs="Arial"/>
        </w:rPr>
        <w:t xml:space="preserve"> </w:t>
      </w:r>
      <w:r w:rsidR="006E1A77" w:rsidRPr="00C4084C">
        <w:t xml:space="preserve">(see Recommendation </w:t>
      </w:r>
      <w:r w:rsidR="00021B63" w:rsidRPr="00C4084C">
        <w:t>10</w:t>
      </w:r>
      <w:r w:rsidR="006E1A77" w:rsidRPr="00C4084C">
        <w:t>)</w:t>
      </w:r>
      <w:r w:rsidR="007A4824" w:rsidRPr="00C4084C">
        <w:rPr>
          <w:rStyle w:val="normaltextrun"/>
          <w:rFonts w:cs="Arial"/>
        </w:rPr>
        <w:t xml:space="preserve">. </w:t>
      </w:r>
      <w:r w:rsidRPr="00C4084C">
        <w:rPr>
          <w:rStyle w:val="normaltextrun"/>
          <w:rFonts w:cs="Arial"/>
        </w:rPr>
        <w:t xml:space="preserve">As part of the target-setting process, it will be essential to establish a framework to measure progress, evaluate what works at a system level, and ensure accountability </w:t>
      </w:r>
      <w:r w:rsidR="00CB6FBD">
        <w:rPr>
          <w:rStyle w:val="normaltextrun"/>
          <w:rFonts w:cs="Arial"/>
        </w:rPr>
        <w:t>on</w:t>
      </w:r>
      <w:r w:rsidR="00CB6FBD" w:rsidRPr="00C4084C">
        <w:rPr>
          <w:rStyle w:val="normaltextrun"/>
          <w:rFonts w:cs="Arial"/>
        </w:rPr>
        <w:t xml:space="preserve"> </w:t>
      </w:r>
      <w:r w:rsidRPr="00C4084C">
        <w:rPr>
          <w:rStyle w:val="normaltextrun"/>
          <w:rFonts w:cs="Arial"/>
        </w:rPr>
        <w:t>this vision.</w:t>
      </w:r>
      <w:r w:rsidR="00911F56" w:rsidRPr="00C4084C">
        <w:rPr>
          <w:rStyle w:val="normaltextrun"/>
          <w:rFonts w:cs="Arial"/>
        </w:rPr>
        <w:t xml:space="preserve"> </w:t>
      </w:r>
      <w:r w:rsidR="008044A3" w:rsidRPr="00C4084C">
        <w:rPr>
          <w:rStyle w:val="normaltextrun"/>
          <w:rFonts w:cs="Arial"/>
        </w:rPr>
        <w:t>T</w:t>
      </w:r>
      <w:r w:rsidR="00284246" w:rsidRPr="00C4084C">
        <w:rPr>
          <w:rStyle w:val="normaltextrun"/>
          <w:rFonts w:cs="Arial"/>
        </w:rPr>
        <w:t>h</w:t>
      </w:r>
      <w:r w:rsidR="008044A3" w:rsidRPr="00C4084C">
        <w:rPr>
          <w:rStyle w:val="normaltextrun"/>
          <w:rFonts w:cs="Arial"/>
        </w:rPr>
        <w:t>e target date has been refined since the Review’s Interim Report, which</w:t>
      </w:r>
      <w:r w:rsidR="007A4824" w:rsidRPr="00C4084C">
        <w:rPr>
          <w:rStyle w:val="normaltextrun"/>
          <w:rFonts w:cs="Arial"/>
        </w:rPr>
        <w:t xml:space="preserve"> signalled</w:t>
      </w:r>
      <w:r w:rsidR="00A6514E">
        <w:rPr>
          <w:rStyle w:val="normaltextrun"/>
          <w:rFonts w:cs="Arial"/>
        </w:rPr>
        <w:t xml:space="preserve"> 2035 as</w:t>
      </w:r>
      <w:r w:rsidR="007A4824" w:rsidRPr="00C4084C">
        <w:rPr>
          <w:rStyle w:val="normaltextrun"/>
          <w:rFonts w:cs="Arial"/>
        </w:rPr>
        <w:t xml:space="preserve"> the target year for under-represented groups to achieve population parity. </w:t>
      </w:r>
    </w:p>
    <w:p w14:paraId="7AE95DEC" w14:textId="008094AB" w:rsidR="00550460" w:rsidRPr="00D26B82" w:rsidRDefault="00550460" w:rsidP="00550460">
      <w:pPr>
        <w:pStyle w:val="Caption"/>
        <w:rPr>
          <w:b/>
          <w:bCs/>
          <w:sz w:val="24"/>
          <w:szCs w:val="24"/>
        </w:rPr>
      </w:pPr>
      <w:bookmarkStart w:id="564" w:name="_Toc154674774"/>
      <w:r w:rsidRPr="00D26B82">
        <w:rPr>
          <w:b/>
          <w:bCs/>
          <w:sz w:val="24"/>
          <w:szCs w:val="24"/>
        </w:rPr>
        <w:t xml:space="preserve">Figure </w:t>
      </w:r>
      <w:r w:rsidRPr="00D26B82">
        <w:rPr>
          <w:b/>
          <w:bCs/>
          <w:sz w:val="24"/>
          <w:szCs w:val="24"/>
        </w:rPr>
        <w:fldChar w:fldCharType="begin"/>
      </w:r>
      <w:r w:rsidRPr="00D26B82" w:rsidDel="00E139C0">
        <w:rPr>
          <w:b/>
          <w:bCs/>
          <w:sz w:val="24"/>
          <w:szCs w:val="24"/>
        </w:rPr>
        <w:instrText>SEQ Figure \* ARABIC</w:instrText>
      </w:r>
      <w:r w:rsidRPr="00D26B82">
        <w:rPr>
          <w:b/>
          <w:bCs/>
          <w:sz w:val="24"/>
          <w:szCs w:val="24"/>
        </w:rPr>
        <w:fldChar w:fldCharType="separate"/>
      </w:r>
      <w:r w:rsidR="00467B4F" w:rsidRPr="00D26B82">
        <w:rPr>
          <w:b/>
          <w:bCs/>
          <w:noProof/>
          <w:sz w:val="24"/>
          <w:szCs w:val="24"/>
        </w:rPr>
        <w:t>12</w:t>
      </w:r>
      <w:r w:rsidRPr="00D26B82">
        <w:rPr>
          <w:b/>
          <w:bCs/>
          <w:sz w:val="24"/>
          <w:szCs w:val="24"/>
        </w:rPr>
        <w:fldChar w:fldCharType="end"/>
      </w:r>
      <w:r w:rsidRPr="00D26B82">
        <w:rPr>
          <w:b/>
          <w:bCs/>
          <w:sz w:val="24"/>
          <w:szCs w:val="24"/>
        </w:rPr>
        <w:t>:</w:t>
      </w:r>
      <w:r w:rsidRPr="00D26B82">
        <w:rPr>
          <w:b/>
          <w:bCs/>
          <w:i/>
          <w:sz w:val="24"/>
          <w:szCs w:val="24"/>
        </w:rPr>
        <w:t xml:space="preserve"> </w:t>
      </w:r>
      <w:r w:rsidRPr="00D26B82">
        <w:rPr>
          <w:b/>
          <w:bCs/>
          <w:sz w:val="24"/>
          <w:szCs w:val="24"/>
        </w:rPr>
        <w:t xml:space="preserve">Participation rates of domestic under-represented student cohorts, </w:t>
      </w:r>
      <w:r w:rsidR="001C2944" w:rsidRPr="00D26B82">
        <w:rPr>
          <w:b/>
          <w:bCs/>
          <w:sz w:val="24"/>
          <w:szCs w:val="24"/>
        </w:rPr>
        <w:t xml:space="preserve">share </w:t>
      </w:r>
      <w:r w:rsidRPr="00D26B82">
        <w:rPr>
          <w:b/>
          <w:bCs/>
          <w:sz w:val="24"/>
          <w:szCs w:val="24"/>
        </w:rPr>
        <w:t>of total domestic undergraduate and postgraduate cohort</w:t>
      </w:r>
      <w:r w:rsidR="001C2944" w:rsidRPr="00D26B82">
        <w:rPr>
          <w:b/>
          <w:bCs/>
          <w:sz w:val="24"/>
          <w:szCs w:val="24"/>
        </w:rPr>
        <w:t xml:space="preserve"> (%)</w:t>
      </w:r>
      <w:r w:rsidRPr="00D26B82">
        <w:rPr>
          <w:b/>
          <w:bCs/>
          <w:sz w:val="24"/>
          <w:szCs w:val="24"/>
        </w:rPr>
        <w:t>, 2001 to 2022.</w:t>
      </w:r>
      <w:bookmarkEnd w:id="564"/>
    </w:p>
    <w:p w14:paraId="0A0FDE0E" w14:textId="7398A127" w:rsidR="00F3585C" w:rsidRDefault="00F3585C" w:rsidP="00550460">
      <w:pPr>
        <w:pStyle w:val="Source"/>
      </w:pPr>
      <w:r>
        <w:rPr>
          <w:noProof/>
        </w:rPr>
        <w:drawing>
          <wp:inline distT="0" distB="0" distL="0" distR="0" wp14:anchorId="7FF0A3A4" wp14:editId="07D784CC">
            <wp:extent cx="6016945" cy="2519917"/>
            <wp:effectExtent l="0" t="0" r="0" b="0"/>
            <wp:docPr id="1870366053" name="Graphic 12" descr="Line graph showing the participation rates of under-represented domestic student cohorts as a share of the total domestic undergraduate and postgraduate cohort, from 2001 to 2022. The graph shows that the participation rate of regional and remote students has fallen from 2001 to 2022, with slight rises in the share of low SES and First Nations student coh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366053" name="Graphic 12" descr="Line graph showing the participation rates of under-represented domestic student cohorts as a share of the total domestic undergraduate and postgraduate cohort, from 2001 to 2022. The graph shows that the participation rate of regional and remote students has fallen from 2001 to 2022, with slight rises in the share of low SES and First Nations student cohorts."/>
                    <pic:cNvPicPr/>
                  </pic:nvPicPr>
                  <pic:blipFill>
                    <a:blip r:embed="rId72">
                      <a:extLst>
                        <a:ext uri="{28A0092B-C50C-407E-A947-70E740481C1C}">
                          <a14:useLocalDpi xmlns:a14="http://schemas.microsoft.com/office/drawing/2010/main" val="0"/>
                        </a:ext>
                        <a:ext uri="{96DAC541-7B7A-43D3-8B79-37D633B846F1}">
                          <asvg:svgBlip xmlns:asvg="http://schemas.microsoft.com/office/drawing/2016/SVG/main" r:embed="rId73"/>
                        </a:ext>
                      </a:extLst>
                    </a:blip>
                    <a:stretch>
                      <a:fillRect/>
                    </a:stretch>
                  </pic:blipFill>
                  <pic:spPr>
                    <a:xfrm>
                      <a:off x="0" y="0"/>
                      <a:ext cx="6024914" cy="2523254"/>
                    </a:xfrm>
                    <a:prstGeom prst="rect">
                      <a:avLst/>
                    </a:prstGeom>
                  </pic:spPr>
                </pic:pic>
              </a:graphicData>
            </a:graphic>
          </wp:inline>
        </w:drawing>
      </w:r>
    </w:p>
    <w:p w14:paraId="112955CC" w14:textId="1A5D5844" w:rsidR="00356030" w:rsidRPr="00C4084C" w:rsidRDefault="00550460" w:rsidP="00550460">
      <w:pPr>
        <w:pStyle w:val="Source"/>
      </w:pPr>
      <w:r w:rsidRPr="00C4084C">
        <w:t xml:space="preserve">Source: Department of Education, </w:t>
      </w:r>
      <w:r w:rsidRPr="00C4084C">
        <w:rPr>
          <w:i/>
        </w:rPr>
        <w:t>Higher Education Statistics – Student Data – 2022 Section 11 Equity groups</w:t>
      </w:r>
      <w:r w:rsidRPr="00C4084C">
        <w:t xml:space="preserve"> [data set], (Canberra: 2023), </w:t>
      </w:r>
      <w:r w:rsidR="00072298" w:rsidRPr="00C4084C">
        <w:t>published 18</w:t>
      </w:r>
      <w:r w:rsidRPr="00C4084C">
        <w:t xml:space="preserve"> December 2023</w:t>
      </w:r>
      <w:r w:rsidR="00356030" w:rsidRPr="00C4084C">
        <w:t xml:space="preserve">,  </w:t>
      </w:r>
      <w:hyperlink r:id="rId74" w:history="1">
        <w:r w:rsidR="002632C1" w:rsidRPr="00C4084C">
          <w:rPr>
            <w:rStyle w:val="Hyperlink"/>
          </w:rPr>
          <w:t>https://www.education.gov.au/higher-education-statistics/resources/2022-section-11-equity-groups</w:t>
        </w:r>
      </w:hyperlink>
      <w:r w:rsidR="001C2944" w:rsidRPr="00C4084C">
        <w:t>.</w:t>
      </w:r>
      <w:r w:rsidRPr="00C4084C">
        <w:t xml:space="preserve"> </w:t>
      </w:r>
    </w:p>
    <w:p w14:paraId="4873C776" w14:textId="7A3CEE30" w:rsidR="00550460" w:rsidRPr="0020392A" w:rsidRDefault="00356030" w:rsidP="00526DC1">
      <w:pPr>
        <w:pStyle w:val="Source"/>
        <w:rPr>
          <w:rStyle w:val="normaltextrun"/>
        </w:rPr>
      </w:pPr>
      <w:r w:rsidRPr="00C4084C">
        <w:t>Note:</w:t>
      </w:r>
      <w:r w:rsidR="00550460" w:rsidRPr="00C4084C">
        <w:t xml:space="preserve"> </w:t>
      </w:r>
      <w:r w:rsidR="00550460" w:rsidRPr="00C4084C">
        <w:rPr>
          <w:rFonts w:cstheme="minorHAnsi"/>
        </w:rPr>
        <w:t xml:space="preserve">Changes occurred in the Low SES data series in 2011 and 2016 due to updates in the Socio-Economic Indexes for Areas (SEIFA) index and changes from using </w:t>
      </w:r>
      <w:r w:rsidR="00B915CD" w:rsidRPr="00C4084C">
        <w:rPr>
          <w:rFonts w:cstheme="minorHAnsi"/>
        </w:rPr>
        <w:t xml:space="preserve">SA1 </w:t>
      </w:r>
      <w:r w:rsidR="00550460" w:rsidRPr="00C4084C">
        <w:rPr>
          <w:rFonts w:cstheme="minorHAnsi"/>
        </w:rPr>
        <w:t xml:space="preserve">current postcode to SA1 first address. Changes in the </w:t>
      </w:r>
      <w:r w:rsidR="00B915CD" w:rsidRPr="00C4084C">
        <w:rPr>
          <w:rFonts w:cstheme="minorHAnsi"/>
        </w:rPr>
        <w:t>‘</w:t>
      </w:r>
      <w:r w:rsidR="00550460" w:rsidRPr="00C4084C">
        <w:rPr>
          <w:rFonts w:cstheme="minorHAnsi"/>
        </w:rPr>
        <w:t>Regional</w:t>
      </w:r>
      <w:r w:rsidR="00B915CD" w:rsidRPr="00C4084C">
        <w:rPr>
          <w:rFonts w:cstheme="minorHAnsi"/>
        </w:rPr>
        <w:t xml:space="preserve"> and remote’</w:t>
      </w:r>
      <w:r w:rsidR="00550460" w:rsidRPr="00C4084C">
        <w:rPr>
          <w:rFonts w:cstheme="minorHAnsi"/>
        </w:rPr>
        <w:t xml:space="preserve"> data series occurred in 2011 and 2016 due to updated geographical classifications.</w:t>
      </w:r>
    </w:p>
    <w:tbl>
      <w:tblPr>
        <w:tblW w:w="0" w:type="auto"/>
        <w:shd w:val="clear" w:color="auto" w:fill="D2E8FF"/>
        <w:tblLook w:val="04A0" w:firstRow="1" w:lastRow="0" w:firstColumn="1" w:lastColumn="0" w:noHBand="0" w:noVBand="1"/>
      </w:tblPr>
      <w:tblGrid>
        <w:gridCol w:w="9498"/>
      </w:tblGrid>
      <w:tr w:rsidR="00033746" w:rsidRPr="00C4084C" w14:paraId="47752C6D" w14:textId="77777777" w:rsidTr="00D26B82">
        <w:tc>
          <w:tcPr>
            <w:tcW w:w="9498" w:type="dxa"/>
            <w:shd w:val="clear" w:color="auto" w:fill="E3DAEA"/>
          </w:tcPr>
          <w:p w14:paraId="10D824AB" w14:textId="77B1814F" w:rsidR="00033746" w:rsidRPr="0020392A" w:rsidRDefault="00033746" w:rsidP="0020392A">
            <w:pPr>
              <w:pStyle w:val="Boxtitlessubheadings"/>
            </w:pPr>
            <w:r w:rsidRPr="008C67CA">
              <w:lastRenderedPageBreak/>
              <w:t xml:space="preserve">Defining target </w:t>
            </w:r>
            <w:r w:rsidR="00580AD4" w:rsidRPr="0020392A">
              <w:t>c</w:t>
            </w:r>
            <w:r w:rsidRPr="0020392A">
              <w:t>ohorts</w:t>
            </w:r>
          </w:p>
          <w:p w14:paraId="76E3A3CD" w14:textId="39F74E3D" w:rsidR="00033746" w:rsidRPr="00C4084C" w:rsidRDefault="00033746" w:rsidP="0020392A">
            <w:pPr>
              <w:pStyle w:val="Boxtext0"/>
            </w:pPr>
            <w:r w:rsidRPr="00C4084C">
              <w:t xml:space="preserve">Since 1990, successive Australian Governments have recognised </w:t>
            </w:r>
            <w:r w:rsidR="00062D3E" w:rsidRPr="00C4084C">
              <w:t xml:space="preserve">6 </w:t>
            </w:r>
            <w:r w:rsidRPr="00C4084C">
              <w:t xml:space="preserve">identified equity groups: </w:t>
            </w:r>
          </w:p>
          <w:p w14:paraId="160FF932" w14:textId="373CDB1A" w:rsidR="00033746" w:rsidRPr="0020392A" w:rsidRDefault="00412CA2" w:rsidP="0020392A">
            <w:pPr>
              <w:pStyle w:val="Boxnumber"/>
            </w:pPr>
            <w:r w:rsidRPr="0020392A">
              <w:t>people</w:t>
            </w:r>
            <w:r w:rsidR="00033746" w:rsidRPr="0020392A">
              <w:t xml:space="preserve"> from </w:t>
            </w:r>
            <w:r w:rsidR="00033746" w:rsidRPr="0020392A" w:rsidDel="00634BE9">
              <w:t xml:space="preserve">low </w:t>
            </w:r>
            <w:r w:rsidR="00033746" w:rsidRPr="0020392A">
              <w:t>socio-</w:t>
            </w:r>
            <w:r w:rsidR="00033746" w:rsidRPr="0020392A" w:rsidDel="00993F41">
              <w:t xml:space="preserve">economic </w:t>
            </w:r>
            <w:r w:rsidR="00033746" w:rsidRPr="0020392A" w:rsidDel="00634BE9">
              <w:t xml:space="preserve">status </w:t>
            </w:r>
            <w:r w:rsidR="00033746" w:rsidRPr="0020392A">
              <w:t>backgrounds (students from low SES backgrounds)</w:t>
            </w:r>
            <w:r w:rsidR="00033746" w:rsidRPr="0020392A">
              <w:rPr>
                <w:vertAlign w:val="superscript"/>
              </w:rPr>
              <w:footnoteReference w:id="165"/>
            </w:r>
            <w:r w:rsidR="0020392A">
              <w:t xml:space="preserve"> </w:t>
            </w:r>
          </w:p>
          <w:p w14:paraId="7DD7A13E" w14:textId="3A78F270" w:rsidR="00033746" w:rsidRPr="0020392A" w:rsidRDefault="00412CA2" w:rsidP="0020392A">
            <w:pPr>
              <w:pStyle w:val="Boxnumber"/>
            </w:pPr>
            <w:r w:rsidRPr="0020392A">
              <w:t xml:space="preserve">people </w:t>
            </w:r>
            <w:r w:rsidR="00033746" w:rsidRPr="0020392A">
              <w:t xml:space="preserve">from regional and remote areas (regional, </w:t>
            </w:r>
            <w:proofErr w:type="gramStart"/>
            <w:r w:rsidR="00033746" w:rsidRPr="0020392A">
              <w:t>rural</w:t>
            </w:r>
            <w:proofErr w:type="gramEnd"/>
            <w:r w:rsidR="00033746" w:rsidRPr="0020392A">
              <w:t xml:space="preserve"> and remote students)</w:t>
            </w:r>
          </w:p>
          <w:p w14:paraId="5451BC8F" w14:textId="77777777" w:rsidR="00033746" w:rsidRPr="0020392A" w:rsidRDefault="00033746" w:rsidP="0020392A">
            <w:pPr>
              <w:pStyle w:val="Boxnumber"/>
            </w:pPr>
            <w:r w:rsidRPr="0020392A">
              <w:t>Aboriginal and Torres Strait Islander (First Nations) peoples (First Nations students)</w:t>
            </w:r>
          </w:p>
          <w:p w14:paraId="5EBBAFA9" w14:textId="1C85693C" w:rsidR="00033746" w:rsidRPr="0020392A" w:rsidRDefault="00412CA2" w:rsidP="0020392A">
            <w:pPr>
              <w:pStyle w:val="Boxnumber"/>
            </w:pPr>
            <w:r w:rsidRPr="0020392A">
              <w:t xml:space="preserve">people </w:t>
            </w:r>
            <w:r w:rsidR="00033746" w:rsidRPr="0020392A">
              <w:t xml:space="preserve">with disability (students with disability) </w:t>
            </w:r>
          </w:p>
          <w:p w14:paraId="614ECDF2" w14:textId="66EA316C" w:rsidR="00033746" w:rsidRPr="0020392A" w:rsidRDefault="00412CA2" w:rsidP="0020392A">
            <w:pPr>
              <w:pStyle w:val="Boxnumber"/>
            </w:pPr>
            <w:r w:rsidRPr="0020392A">
              <w:t xml:space="preserve">people </w:t>
            </w:r>
            <w:r w:rsidR="00033746" w:rsidRPr="0020392A">
              <w:t xml:space="preserve">from non-English speaking backgrounds </w:t>
            </w:r>
          </w:p>
          <w:p w14:paraId="273F97CE" w14:textId="0CBF265D" w:rsidR="00033746" w:rsidRPr="0020392A" w:rsidRDefault="00412CA2" w:rsidP="0020392A">
            <w:pPr>
              <w:pStyle w:val="Boxnumber"/>
            </w:pPr>
            <w:r w:rsidRPr="0020392A">
              <w:t>women</w:t>
            </w:r>
            <w:r w:rsidR="00033746" w:rsidRPr="0020392A">
              <w:t>, in non-traditional subject areas.</w:t>
            </w:r>
          </w:p>
          <w:p w14:paraId="4DAF79F9" w14:textId="2B5F529E" w:rsidR="00033746" w:rsidRPr="00C4084C" w:rsidRDefault="00033746" w:rsidP="0020392A">
            <w:pPr>
              <w:pStyle w:val="Boxtext0"/>
              <w:rPr>
                <w:i/>
                <w:iCs/>
              </w:rPr>
            </w:pPr>
            <w:r w:rsidRPr="00C4084C">
              <w:t xml:space="preserve">The Review has focused on </w:t>
            </w:r>
            <w:r w:rsidR="00D16150" w:rsidRPr="00C4084C">
              <w:t xml:space="preserve">4 </w:t>
            </w:r>
            <w:r w:rsidRPr="00C4084C">
              <w:t xml:space="preserve">groups: students from low SES backgrounds, regional and remote students, First Nations students and students with disability (collectively referred to in this Report as the </w:t>
            </w:r>
            <w:r w:rsidRPr="00C4084C">
              <w:rPr>
                <w:i/>
              </w:rPr>
              <w:t xml:space="preserve">target </w:t>
            </w:r>
            <w:r w:rsidRPr="00C4084C">
              <w:rPr>
                <w:i/>
                <w:iCs/>
              </w:rPr>
              <w:t>cohorts</w:t>
            </w:r>
            <w:r w:rsidRPr="00C4084C">
              <w:t>). In determining these target cohorts, the Review has been guided by findings of the 2018 Review of Identified Equity Groups, which found that these groups remained less likely to participate and succeed in higher education.</w:t>
            </w:r>
            <w:r w:rsidRPr="00C4084C">
              <w:rPr>
                <w:vertAlign w:val="superscript"/>
              </w:rPr>
              <w:footnoteReference w:id="166"/>
            </w:r>
            <w:r w:rsidR="00F90CFF" w:rsidRPr="00C4084C">
              <w:t xml:space="preserve"> </w:t>
            </w:r>
            <w:r w:rsidR="000C5227" w:rsidRPr="00C4084C">
              <w:t>An individual may fall into one or more of these groups</w:t>
            </w:r>
            <w:r w:rsidR="00027AE5" w:rsidRPr="00C4084C">
              <w:t>, with multiple group membership associated with lower chances of successful</w:t>
            </w:r>
            <w:r w:rsidR="00A449BD" w:rsidRPr="00C4084C">
              <w:t xml:space="preserve"> participation.</w:t>
            </w:r>
            <w:r w:rsidR="00A449BD" w:rsidRPr="00C4084C">
              <w:rPr>
                <w:rStyle w:val="FootnoteReference"/>
              </w:rPr>
              <w:footnoteReference w:id="167"/>
            </w:r>
          </w:p>
          <w:p w14:paraId="32FDA379" w14:textId="66D397AB" w:rsidR="00EE26E5" w:rsidRPr="00C4084C" w:rsidRDefault="00033746" w:rsidP="00B32F06">
            <w:pPr>
              <w:pStyle w:val="Boxtext0"/>
              <w:rPr>
                <w:b/>
                <w:sz w:val="24"/>
              </w:rPr>
            </w:pPr>
            <w:r w:rsidRPr="00C4084C">
              <w:t xml:space="preserve">While the Review recommends target-setting focus on these cohorts, it is also conscious of the need to monitor other groups of students who experience educational disadvantage, as outlined in section </w:t>
            </w:r>
            <w:r w:rsidRPr="00C4084C">
              <w:fldChar w:fldCharType="begin"/>
            </w:r>
            <w:r w:rsidRPr="00C4084C">
              <w:instrText xml:space="preserve"> REF _Ref151937690 \n \h  \* MERGEFORMAT </w:instrText>
            </w:r>
            <w:r w:rsidRPr="00C4084C">
              <w:fldChar w:fldCharType="separate"/>
            </w:r>
            <w:r w:rsidR="00467B4F">
              <w:t xml:space="preserve">3.2.2 </w:t>
            </w:r>
            <w:r w:rsidRPr="00C4084C">
              <w:fldChar w:fldCharType="end"/>
            </w:r>
            <w:r w:rsidRPr="00C4084C">
              <w:t>.</w:t>
            </w:r>
            <w:r w:rsidR="00F90CFF" w:rsidRPr="00C4084C">
              <w:t xml:space="preserve"> </w:t>
            </w:r>
            <w:r w:rsidR="00662D22" w:rsidRPr="00C4084C">
              <w:t xml:space="preserve">The Review also acknowledges that there </w:t>
            </w:r>
            <w:r w:rsidR="006866F1">
              <w:t xml:space="preserve">are </w:t>
            </w:r>
            <w:r w:rsidR="00662D22" w:rsidRPr="00C4084C">
              <w:t>myriad ways in which these groups intersect.</w:t>
            </w:r>
          </w:p>
        </w:tc>
      </w:tr>
    </w:tbl>
    <w:p w14:paraId="0D182DC7" w14:textId="715948DE" w:rsidR="00D27626" w:rsidRPr="00C4084C" w:rsidRDefault="006866F1" w:rsidP="00B32F06">
      <w:r>
        <w:rPr>
          <w:rStyle w:val="normaltextrun"/>
          <w:rFonts w:cs="Arial"/>
        </w:rPr>
        <w:t>Achieving</w:t>
      </w:r>
      <w:r w:rsidR="00D27626" w:rsidRPr="00C4084C">
        <w:rPr>
          <w:rStyle w:val="normaltextrun"/>
          <w:rFonts w:cs="Arial"/>
        </w:rPr>
        <w:t xml:space="preserve"> parity </w:t>
      </w:r>
      <w:r w:rsidR="00AA3B36" w:rsidRPr="00C4084C">
        <w:rPr>
          <w:rStyle w:val="normaltextrun"/>
          <w:rFonts w:cs="Arial"/>
        </w:rPr>
        <w:t>of</w:t>
      </w:r>
      <w:r w:rsidR="00D27626" w:rsidRPr="00C4084C">
        <w:rPr>
          <w:rStyle w:val="normaltextrun"/>
          <w:rFonts w:cs="Arial"/>
        </w:rPr>
        <w:t xml:space="preserve"> representation in higher education </w:t>
      </w:r>
      <w:r>
        <w:rPr>
          <w:rStyle w:val="normaltextrun"/>
          <w:rFonts w:cs="Arial"/>
        </w:rPr>
        <w:t>cannot be achieved by</w:t>
      </w:r>
      <w:r w:rsidR="00D27626" w:rsidRPr="00C4084C">
        <w:rPr>
          <w:rStyle w:val="normaltextrun"/>
          <w:rFonts w:cs="Arial"/>
        </w:rPr>
        <w:t xml:space="preserve"> the higher education </w:t>
      </w:r>
      <w:r w:rsidR="00F83B3D" w:rsidRPr="00C4084C">
        <w:rPr>
          <w:rStyle w:val="normaltextrun"/>
          <w:rFonts w:cs="Arial"/>
        </w:rPr>
        <w:t xml:space="preserve">sector </w:t>
      </w:r>
      <w:r w:rsidR="00D27626" w:rsidRPr="00C4084C">
        <w:rPr>
          <w:rStyle w:val="normaltextrun"/>
          <w:rFonts w:cs="Arial"/>
        </w:rPr>
        <w:t xml:space="preserve">alone. Educational disadvantage is complex and linked to other forms of social and economic disadvantage. Reforms to reduce inequities in the early learning and schooling systems will take time to reach full effect, as will reforms to the higher education system recommended in this </w:t>
      </w:r>
      <w:r w:rsidR="00175C5C" w:rsidRPr="00C4084C">
        <w:rPr>
          <w:rStyle w:val="normaltextrun"/>
          <w:rFonts w:cs="Arial"/>
        </w:rPr>
        <w:t>Review</w:t>
      </w:r>
      <w:r w:rsidR="00D27626" w:rsidRPr="00C4084C">
        <w:rPr>
          <w:rStyle w:val="normaltextrun"/>
          <w:rFonts w:cs="Arial"/>
        </w:rPr>
        <w:t xml:space="preserve">, should they be implemented by </w:t>
      </w:r>
      <w:r w:rsidR="005D43EC" w:rsidRPr="00C4084C">
        <w:rPr>
          <w:rStyle w:val="normaltextrun"/>
          <w:rFonts w:cs="Arial"/>
        </w:rPr>
        <w:t>the Australian</w:t>
      </w:r>
      <w:r w:rsidR="00D27626" w:rsidRPr="00C4084C">
        <w:rPr>
          <w:rStyle w:val="normaltextrun"/>
          <w:rFonts w:cs="Arial"/>
        </w:rPr>
        <w:t xml:space="preserve"> Government. </w:t>
      </w:r>
    </w:p>
    <w:p w14:paraId="73A0DB2B" w14:textId="39302B92" w:rsidR="00D27626" w:rsidRPr="00C4084C" w:rsidRDefault="00D27626" w:rsidP="00BA6095">
      <w:pPr>
        <w:pStyle w:val="Heading4"/>
        <w:rPr>
          <w:rStyle w:val="normaltextrun"/>
          <w:rFonts w:cs="Arial"/>
        </w:rPr>
      </w:pPr>
      <w:bookmarkStart w:id="565" w:name="_Toc150523114"/>
      <w:bookmarkStart w:id="566" w:name="_Toc150692410"/>
      <w:bookmarkStart w:id="567" w:name="_Toc421535976"/>
      <w:bookmarkStart w:id="568" w:name="_Toc153483024"/>
      <w:bookmarkStart w:id="569" w:name="_Toc159500934"/>
      <w:r w:rsidRPr="00C4084C">
        <w:t>The case for equity targets</w:t>
      </w:r>
      <w:bookmarkEnd w:id="565"/>
      <w:bookmarkEnd w:id="566"/>
      <w:bookmarkEnd w:id="567"/>
      <w:bookmarkEnd w:id="568"/>
      <w:bookmarkEnd w:id="569"/>
    </w:p>
    <w:p w14:paraId="7D050371" w14:textId="5E05E8B1" w:rsidR="00D27626" w:rsidRPr="00C4084C" w:rsidRDefault="00D27626" w:rsidP="00B32F06">
      <w:pPr>
        <w:rPr>
          <w:rStyle w:val="normaltextrun"/>
          <w:rFonts w:cs="Arial"/>
        </w:rPr>
      </w:pPr>
      <w:r w:rsidRPr="00C4084C">
        <w:rPr>
          <w:rStyle w:val="normaltextrun"/>
          <w:rFonts w:cs="Arial"/>
        </w:rPr>
        <w:t>The Review’s vision is to create a higher education system that delivers opportunities for all and</w:t>
      </w:r>
      <w:r w:rsidR="00750071" w:rsidRPr="00C4084C">
        <w:rPr>
          <w:rStyle w:val="normaltextrun"/>
          <w:rFonts w:cs="Arial"/>
        </w:rPr>
        <w:t>,</w:t>
      </w:r>
      <w:r w:rsidRPr="00C4084C">
        <w:rPr>
          <w:rStyle w:val="normaltextrun"/>
          <w:rFonts w:cs="Arial"/>
        </w:rPr>
        <w:t xml:space="preserve"> importantly, that this is delivered in a student population that closely reflects the Australian population. Working towards population parity in higher education will require significant, likely intergenerational, efforts across the education lifecycle and by all Australian governments. </w:t>
      </w:r>
    </w:p>
    <w:p w14:paraId="44620BF3" w14:textId="315FD897" w:rsidR="00D27626" w:rsidRPr="00C4084C" w:rsidRDefault="001E2C33" w:rsidP="00B32F06">
      <w:pPr>
        <w:rPr>
          <w:rStyle w:val="normaltextrun"/>
          <w:rFonts w:cs="Arial"/>
        </w:rPr>
      </w:pPr>
      <w:r w:rsidRPr="00C4084C">
        <w:rPr>
          <w:rStyle w:val="normaltextrun"/>
          <w:rFonts w:cs="Arial"/>
        </w:rPr>
        <w:t xml:space="preserve">As shown in </w:t>
      </w:r>
      <w:r w:rsidRPr="00C4084C">
        <w:rPr>
          <w:rStyle w:val="normaltextrun"/>
          <w:rFonts w:cs="Arial"/>
        </w:rPr>
        <w:fldChar w:fldCharType="begin"/>
      </w:r>
      <w:r w:rsidRPr="00C4084C">
        <w:rPr>
          <w:rStyle w:val="normaltextrun"/>
          <w:rFonts w:cs="Arial"/>
        </w:rPr>
        <w:instrText xml:space="preserve"> REF _Ref150501920 \h </w:instrText>
      </w:r>
      <w:r w:rsidR="007A04F8">
        <w:rPr>
          <w:rStyle w:val="normaltextrun"/>
          <w:rFonts w:cs="Arial"/>
        </w:rPr>
        <w:instrText xml:space="preserve"> \* MERGEFORMAT </w:instrText>
      </w:r>
      <w:r w:rsidRPr="00C4084C">
        <w:rPr>
          <w:rStyle w:val="normaltextrun"/>
          <w:rFonts w:cs="Arial"/>
        </w:rPr>
      </w:r>
      <w:r w:rsidRPr="00C4084C">
        <w:rPr>
          <w:rStyle w:val="normaltextrun"/>
          <w:rFonts w:cs="Arial"/>
        </w:rPr>
        <w:fldChar w:fldCharType="separate"/>
      </w:r>
      <w:r w:rsidR="00467B4F" w:rsidRPr="00C4084C">
        <w:t xml:space="preserve">Figure </w:t>
      </w:r>
      <w:r w:rsidR="00467B4F">
        <w:rPr>
          <w:noProof/>
        </w:rPr>
        <w:t>13</w:t>
      </w:r>
      <w:r w:rsidRPr="00C4084C">
        <w:rPr>
          <w:rStyle w:val="normaltextrun"/>
          <w:rFonts w:cs="Arial"/>
        </w:rPr>
        <w:fldChar w:fldCharType="end"/>
      </w:r>
      <w:r w:rsidRPr="00C4084C">
        <w:rPr>
          <w:rStyle w:val="normaltextrun"/>
          <w:rFonts w:cs="Arial"/>
        </w:rPr>
        <w:t xml:space="preserve">, </w:t>
      </w:r>
      <w:r w:rsidR="00D27626" w:rsidRPr="00C4084C">
        <w:rPr>
          <w:rStyle w:val="normaltextrun"/>
          <w:rFonts w:cs="Arial"/>
        </w:rPr>
        <w:t>First Nations people, people from low SES backgrounds and people</w:t>
      </w:r>
      <w:r w:rsidR="00D27626" w:rsidRPr="00C4084C" w:rsidDel="00A51810">
        <w:rPr>
          <w:rStyle w:val="normaltextrun"/>
          <w:rFonts w:cs="Arial"/>
        </w:rPr>
        <w:t xml:space="preserve"> </w:t>
      </w:r>
      <w:r w:rsidR="00D27626" w:rsidRPr="00C4084C">
        <w:rPr>
          <w:rStyle w:val="normaltextrun"/>
          <w:rFonts w:cs="Arial"/>
        </w:rPr>
        <w:t xml:space="preserve">in regional, </w:t>
      </w:r>
      <w:proofErr w:type="gramStart"/>
      <w:r w:rsidR="00D27626" w:rsidRPr="00C4084C">
        <w:rPr>
          <w:rStyle w:val="normaltextrun"/>
          <w:rFonts w:cs="Arial"/>
        </w:rPr>
        <w:t>rural</w:t>
      </w:r>
      <w:proofErr w:type="gramEnd"/>
      <w:r w:rsidR="00D27626" w:rsidRPr="00C4084C">
        <w:rPr>
          <w:rStyle w:val="normaltextrun"/>
          <w:rFonts w:cs="Arial"/>
        </w:rPr>
        <w:t xml:space="preserve"> and remote areas </w:t>
      </w:r>
      <w:r w:rsidR="0042786C">
        <w:rPr>
          <w:rStyle w:val="normaltextrun"/>
          <w:rFonts w:cs="Arial"/>
        </w:rPr>
        <w:t xml:space="preserve">make up a </w:t>
      </w:r>
      <w:r w:rsidR="00D27626" w:rsidRPr="00C4084C">
        <w:rPr>
          <w:rStyle w:val="normaltextrun"/>
          <w:rFonts w:cs="Arial"/>
        </w:rPr>
        <w:t xml:space="preserve">disproportionately low share of the higher education student population compared to the Australian population. For example, </w:t>
      </w:r>
      <w:r w:rsidR="00453D78" w:rsidRPr="00C4084C">
        <w:rPr>
          <w:rStyle w:val="normaltextrun"/>
          <w:rFonts w:cs="Arial"/>
        </w:rPr>
        <w:t xml:space="preserve">in 2022 </w:t>
      </w:r>
      <w:r w:rsidR="0042786C">
        <w:rPr>
          <w:rStyle w:val="normaltextrun"/>
          <w:rFonts w:cs="Arial"/>
        </w:rPr>
        <w:t>students</w:t>
      </w:r>
      <w:r w:rsidR="0042786C" w:rsidRPr="00C4084C">
        <w:rPr>
          <w:rStyle w:val="normaltextrun"/>
          <w:rFonts w:cs="Arial"/>
        </w:rPr>
        <w:t xml:space="preserve"> </w:t>
      </w:r>
      <w:r w:rsidR="00453D78" w:rsidRPr="00C4084C">
        <w:rPr>
          <w:rStyle w:val="normaltextrun"/>
          <w:rFonts w:cs="Arial"/>
        </w:rPr>
        <w:t xml:space="preserve">from </w:t>
      </w:r>
      <w:r w:rsidR="00D27626" w:rsidRPr="00C4084C">
        <w:rPr>
          <w:rStyle w:val="normaltextrun"/>
          <w:rFonts w:cs="Arial"/>
        </w:rPr>
        <w:t xml:space="preserve">low SES backgrounds </w:t>
      </w:r>
      <w:r w:rsidR="00453D78" w:rsidRPr="00C4084C">
        <w:rPr>
          <w:rStyle w:val="normaltextrun"/>
          <w:rFonts w:cs="Arial"/>
        </w:rPr>
        <w:t xml:space="preserve">made up </w:t>
      </w:r>
      <w:r w:rsidR="0042786C">
        <w:rPr>
          <w:rStyle w:val="normaltextrun"/>
          <w:rFonts w:cs="Arial"/>
        </w:rPr>
        <w:lastRenderedPageBreak/>
        <w:t>17%</w:t>
      </w:r>
      <w:r w:rsidR="00D27626" w:rsidRPr="00C4084C">
        <w:rPr>
          <w:rStyle w:val="normaltextrun"/>
          <w:rFonts w:cs="Arial"/>
        </w:rPr>
        <w:t xml:space="preserve"> </w:t>
      </w:r>
      <w:r w:rsidR="00453D78" w:rsidRPr="00C4084C">
        <w:rPr>
          <w:rStyle w:val="normaltextrun"/>
          <w:rFonts w:cs="Arial"/>
        </w:rPr>
        <w:t xml:space="preserve">of </w:t>
      </w:r>
      <w:r w:rsidR="00D27626" w:rsidRPr="00C4084C">
        <w:rPr>
          <w:rStyle w:val="normaltextrun"/>
          <w:rFonts w:cs="Arial"/>
        </w:rPr>
        <w:t xml:space="preserve">domestic undergraduate higher education enrolments </w:t>
      </w:r>
      <w:r w:rsidR="00A409A5" w:rsidRPr="00C4084C">
        <w:rPr>
          <w:rStyle w:val="normaltextrun"/>
          <w:rFonts w:cs="Arial"/>
        </w:rPr>
        <w:t>at Table A universities</w:t>
      </w:r>
      <w:r w:rsidR="004D0E2E">
        <w:rPr>
          <w:rStyle w:val="normaltextrun"/>
          <w:rFonts w:cs="Arial"/>
        </w:rPr>
        <w:t>,</w:t>
      </w:r>
      <w:r w:rsidR="00A409A5" w:rsidRPr="00C4084C">
        <w:rPr>
          <w:rStyle w:val="normaltextrun"/>
          <w:rFonts w:cs="Arial"/>
        </w:rPr>
        <w:t xml:space="preserve"> </w:t>
      </w:r>
      <w:r w:rsidR="0042786C">
        <w:rPr>
          <w:rStyle w:val="normaltextrun"/>
          <w:rFonts w:cs="Arial"/>
        </w:rPr>
        <w:t xml:space="preserve">although </w:t>
      </w:r>
      <w:r w:rsidR="00BF25A6" w:rsidRPr="00C4084C">
        <w:rPr>
          <w:rStyle w:val="normaltextrun"/>
          <w:rFonts w:cs="Arial"/>
        </w:rPr>
        <w:t>their representation in</w:t>
      </w:r>
      <w:r w:rsidR="00453D78" w:rsidRPr="00C4084C">
        <w:rPr>
          <w:rStyle w:val="normaltextrun"/>
          <w:rFonts w:cs="Arial"/>
        </w:rPr>
        <w:t xml:space="preserve"> the</w:t>
      </w:r>
      <w:r w:rsidR="00D27626" w:rsidRPr="00C4084C">
        <w:rPr>
          <w:rStyle w:val="normaltextrun"/>
          <w:rFonts w:cs="Arial"/>
        </w:rPr>
        <w:t xml:space="preserve"> overall Australian population</w:t>
      </w:r>
      <w:r w:rsidR="00453D78" w:rsidRPr="00C4084C">
        <w:rPr>
          <w:rStyle w:val="normaltextrun"/>
          <w:rFonts w:cs="Arial"/>
        </w:rPr>
        <w:t xml:space="preserve"> </w:t>
      </w:r>
      <w:r w:rsidR="0042786C">
        <w:rPr>
          <w:rStyle w:val="normaltextrun"/>
          <w:rFonts w:cs="Arial"/>
        </w:rPr>
        <w:t xml:space="preserve">was </w:t>
      </w:r>
      <w:r w:rsidR="00453D78" w:rsidRPr="00C4084C">
        <w:rPr>
          <w:rStyle w:val="normaltextrun"/>
          <w:rFonts w:cs="Arial"/>
        </w:rPr>
        <w:t>25%</w:t>
      </w:r>
      <w:r w:rsidR="00D27626" w:rsidRPr="00C4084C">
        <w:rPr>
          <w:rStyle w:val="normaltextrun"/>
          <w:rFonts w:cs="Arial"/>
        </w:rPr>
        <w:t>.</w:t>
      </w:r>
      <w:r w:rsidR="00D27626" w:rsidRPr="00C4084C">
        <w:rPr>
          <w:rStyle w:val="FootnoteReference"/>
          <w:rFonts w:cs="Arial"/>
        </w:rPr>
        <w:footnoteReference w:id="168"/>
      </w:r>
      <w:r w:rsidR="00D27626" w:rsidRPr="00C4084C">
        <w:rPr>
          <w:rStyle w:val="normaltextrun"/>
          <w:rFonts w:cs="Arial"/>
        </w:rPr>
        <w:t xml:space="preserve"> </w:t>
      </w:r>
    </w:p>
    <w:p w14:paraId="00713389" w14:textId="7B3227C7" w:rsidR="00D27626" w:rsidRPr="00C4084C" w:rsidRDefault="00D27626" w:rsidP="00B32F06">
      <w:pPr>
        <w:rPr>
          <w:rStyle w:val="normaltextrun"/>
          <w:rFonts w:cs="Arial"/>
        </w:rPr>
      </w:pPr>
      <w:r w:rsidRPr="00C4084C">
        <w:t xml:space="preserve">Despite overall gains, participation in higher education is geographically uneven. </w:t>
      </w:r>
      <w:r w:rsidR="00D603C8" w:rsidRPr="00C4084C">
        <w:t xml:space="preserve">Among </w:t>
      </w:r>
      <w:r w:rsidRPr="00C4084C">
        <w:t>people aged 25 to 34</w:t>
      </w:r>
      <w:r w:rsidR="00D603C8" w:rsidRPr="00C4084C">
        <w:t xml:space="preserve">, </w:t>
      </w:r>
      <w:r w:rsidR="00641E03" w:rsidRPr="00C4084C">
        <w:t>the rate of attainment of</w:t>
      </w:r>
      <w:r w:rsidRPr="00C4084C">
        <w:t xml:space="preserve"> a university degree</w:t>
      </w:r>
      <w:r w:rsidR="00641E03" w:rsidRPr="00C4084C">
        <w:t xml:space="preserve"> is lower among those from regional, </w:t>
      </w:r>
      <w:proofErr w:type="gramStart"/>
      <w:r w:rsidR="00641E03" w:rsidRPr="00C4084C">
        <w:t>rural</w:t>
      </w:r>
      <w:proofErr w:type="gramEnd"/>
      <w:r w:rsidR="00641E03" w:rsidRPr="00C4084C">
        <w:t xml:space="preserve"> and remote areas (</w:t>
      </w:r>
      <w:r w:rsidR="006E3E4F" w:rsidRPr="00C4084C">
        <w:t>23.8</w:t>
      </w:r>
      <w:r w:rsidR="00641E03" w:rsidRPr="00C4084C">
        <w:t xml:space="preserve">%) than </w:t>
      </w:r>
      <w:r w:rsidR="006E3E4F" w:rsidRPr="00C4084C">
        <w:t xml:space="preserve">major cities </w:t>
      </w:r>
      <w:r w:rsidR="00641E03" w:rsidRPr="00C4084C">
        <w:t>(</w:t>
      </w:r>
      <w:r w:rsidR="006E3E4F" w:rsidRPr="00C4084C">
        <w:t>44.6</w:t>
      </w:r>
      <w:r w:rsidR="00641E03" w:rsidRPr="00C4084C">
        <w:t>%)</w:t>
      </w:r>
      <w:r w:rsidRPr="00C4084C">
        <w:t>.</w:t>
      </w:r>
      <w:r w:rsidRPr="00C4084C">
        <w:rPr>
          <w:rStyle w:val="FootnoteReference"/>
          <w:rFonts w:cs="Arial"/>
          <w:color w:val="00001A"/>
        </w:rPr>
        <w:footnoteReference w:id="169"/>
      </w:r>
      <w:r w:rsidRPr="00C4084C">
        <w:t xml:space="preserve"> Lower attainment </w:t>
      </w:r>
      <w:r w:rsidR="00641E03" w:rsidRPr="00C4084C">
        <w:t xml:space="preserve">of university degrees </w:t>
      </w:r>
      <w:r w:rsidRPr="00C4084C">
        <w:t xml:space="preserve">is also seen in </w:t>
      </w:r>
      <w:r w:rsidR="00750071" w:rsidRPr="00C4084C">
        <w:t>certain</w:t>
      </w:r>
      <w:r w:rsidRPr="00C4084C">
        <w:t xml:space="preserve"> metropolitan and outer-suburban areas</w:t>
      </w:r>
      <w:r w:rsidR="00641E03" w:rsidRPr="00C4084C">
        <w:t xml:space="preserve">, for example among </w:t>
      </w:r>
      <w:r w:rsidRPr="00C4084C">
        <w:t>people living in Fairfield</w:t>
      </w:r>
      <w:r w:rsidR="00641E03" w:rsidRPr="00C4084C">
        <w:t xml:space="preserve">, </w:t>
      </w:r>
      <w:r w:rsidRPr="00C4084C">
        <w:t xml:space="preserve">NSW </w:t>
      </w:r>
      <w:r w:rsidR="00641E03" w:rsidRPr="00C4084C">
        <w:t>(12.8%), Logan</w:t>
      </w:r>
      <w:r w:rsidR="00434531" w:rsidRPr="00C4084C">
        <w:t>,</w:t>
      </w:r>
      <w:r w:rsidR="00641E03" w:rsidRPr="00C4084C">
        <w:t xml:space="preserve"> QLD (</w:t>
      </w:r>
      <w:r w:rsidRPr="00C4084C">
        <w:t>12.0%</w:t>
      </w:r>
      <w:r w:rsidR="00641E03" w:rsidRPr="00C4084C">
        <w:t>)</w:t>
      </w:r>
      <w:r w:rsidR="00434531" w:rsidRPr="00C4084C">
        <w:t>,</w:t>
      </w:r>
      <w:r w:rsidR="00641E03" w:rsidRPr="00C4084C">
        <w:t xml:space="preserve"> </w:t>
      </w:r>
      <w:r w:rsidRPr="00C4084C">
        <w:t xml:space="preserve">and </w:t>
      </w:r>
      <w:r w:rsidR="00641E03" w:rsidRPr="00C4084C">
        <w:t>Elizabeth, SA (</w:t>
      </w:r>
      <w:r w:rsidRPr="00C4084C">
        <w:t>7.9%</w:t>
      </w:r>
      <w:r w:rsidR="00641E03" w:rsidRPr="00C4084C">
        <w:t>)</w:t>
      </w:r>
      <w:r w:rsidRPr="00C4084C">
        <w:t>.</w:t>
      </w:r>
      <w:r w:rsidRPr="00C4084C">
        <w:rPr>
          <w:rStyle w:val="FootnoteReference"/>
          <w:rFonts w:cs="Arial"/>
          <w:color w:val="00001A"/>
        </w:rPr>
        <w:footnoteReference w:id="170"/>
      </w:r>
      <w:r w:rsidRPr="00C4084C">
        <w:t xml:space="preserve"> </w:t>
      </w:r>
    </w:p>
    <w:p w14:paraId="11D2C279" w14:textId="1A829462" w:rsidR="00D27626" w:rsidRPr="00C4084C" w:rsidRDefault="00D27626" w:rsidP="00B32F06">
      <w:pPr>
        <w:rPr>
          <w:rStyle w:val="normaltextrun"/>
          <w:rFonts w:cs="Arial"/>
        </w:rPr>
      </w:pPr>
      <w:r w:rsidRPr="00C4084C">
        <w:rPr>
          <w:rStyle w:val="normaltextrun"/>
          <w:rFonts w:cs="Arial"/>
        </w:rPr>
        <w:t>In the case of students with disability</w:t>
      </w:r>
      <w:r w:rsidR="000437A6" w:rsidRPr="00C4084C">
        <w:rPr>
          <w:rStyle w:val="normaltextrun"/>
          <w:rFonts w:cs="Arial"/>
        </w:rPr>
        <w:t xml:space="preserve"> in 2022, </w:t>
      </w:r>
      <w:r w:rsidRPr="00C4084C">
        <w:rPr>
          <w:rStyle w:val="normaltextrun"/>
          <w:rFonts w:cs="Arial"/>
        </w:rPr>
        <w:t xml:space="preserve">higher education participation rates </w:t>
      </w:r>
      <w:r w:rsidR="00434531" w:rsidRPr="00C4084C">
        <w:rPr>
          <w:rStyle w:val="normaltextrun"/>
          <w:rFonts w:cs="Arial"/>
        </w:rPr>
        <w:t>(1</w:t>
      </w:r>
      <w:r w:rsidR="36790CEA" w:rsidRPr="00C4084C">
        <w:rPr>
          <w:rStyle w:val="normaltextrun"/>
          <w:rFonts w:cs="Arial"/>
        </w:rPr>
        <w:t>1</w:t>
      </w:r>
      <w:r w:rsidR="00434531" w:rsidRPr="00C4084C">
        <w:rPr>
          <w:rStyle w:val="normaltextrun"/>
          <w:rFonts w:cs="Arial"/>
        </w:rPr>
        <w:t>.</w:t>
      </w:r>
      <w:r w:rsidR="69EE2B74" w:rsidRPr="00C4084C">
        <w:rPr>
          <w:rStyle w:val="normaltextrun"/>
          <w:rFonts w:cs="Arial"/>
        </w:rPr>
        <w:t>6</w:t>
      </w:r>
      <w:r w:rsidR="00434531" w:rsidRPr="00C4084C">
        <w:rPr>
          <w:rStyle w:val="normaltextrun"/>
          <w:rFonts w:cs="Arial"/>
        </w:rPr>
        <w:t xml:space="preserve">% of the student population) </w:t>
      </w:r>
      <w:r w:rsidRPr="00C4084C">
        <w:rPr>
          <w:rStyle w:val="normaltextrun"/>
          <w:rFonts w:cs="Arial"/>
        </w:rPr>
        <w:t xml:space="preserve">appear to exceed </w:t>
      </w:r>
      <w:r w:rsidR="429E403F" w:rsidRPr="00C4084C">
        <w:rPr>
          <w:rStyle w:val="normaltextrun"/>
          <w:rFonts w:cs="Arial"/>
        </w:rPr>
        <w:t>this group’s</w:t>
      </w:r>
      <w:r w:rsidR="00123B5A" w:rsidRPr="00C4084C">
        <w:rPr>
          <w:rStyle w:val="normaltextrun"/>
          <w:rFonts w:cs="Arial"/>
        </w:rPr>
        <w:t xml:space="preserve"> </w:t>
      </w:r>
      <w:r w:rsidR="00783AC4" w:rsidRPr="00C4084C">
        <w:rPr>
          <w:rStyle w:val="normaltextrun"/>
          <w:rFonts w:cs="Arial"/>
        </w:rPr>
        <w:t>expected enrolment share</w:t>
      </w:r>
      <w:r w:rsidRPr="00C4084C">
        <w:rPr>
          <w:rStyle w:val="normaltextrun"/>
          <w:rFonts w:cs="Arial"/>
        </w:rPr>
        <w:t xml:space="preserve"> of 8.4%. However, this likely reflects data collection and reporting practices rather than that parity of participation has been achieved. This is explored further in</w:t>
      </w:r>
      <w:r w:rsidR="00B32F06">
        <w:rPr>
          <w:rStyle w:val="normaltextrun"/>
          <w:rFonts w:cs="Arial"/>
        </w:rPr>
        <w:t xml:space="preserve"> </w:t>
      </w:r>
      <w:r w:rsidR="00B32F06">
        <w:rPr>
          <w:rStyle w:val="normaltextrun"/>
          <w:rFonts w:cs="Arial"/>
        </w:rPr>
        <w:fldChar w:fldCharType="begin"/>
      </w:r>
      <w:r w:rsidR="00B32F06">
        <w:rPr>
          <w:rStyle w:val="normaltextrun"/>
          <w:rFonts w:cs="Arial"/>
        </w:rPr>
        <w:instrText xml:space="preserve"> REF _Ref155972259 \r \h </w:instrText>
      </w:r>
      <w:r w:rsidR="00B32F06">
        <w:rPr>
          <w:rStyle w:val="normaltextrun"/>
          <w:rFonts w:cs="Arial"/>
        </w:rPr>
      </w:r>
      <w:r w:rsidR="00B32F06">
        <w:rPr>
          <w:rStyle w:val="normaltextrun"/>
          <w:rFonts w:cs="Arial"/>
        </w:rPr>
        <w:fldChar w:fldCharType="separate"/>
      </w:r>
      <w:r w:rsidR="00B32F06">
        <w:rPr>
          <w:rStyle w:val="normaltextrun"/>
          <w:rFonts w:cs="Arial"/>
        </w:rPr>
        <w:t>3.2.2</w:t>
      </w:r>
      <w:r w:rsidR="00B32F06">
        <w:rPr>
          <w:rStyle w:val="normaltextrun"/>
          <w:rFonts w:cs="Arial"/>
        </w:rPr>
        <w:fldChar w:fldCharType="end"/>
      </w:r>
      <w:r w:rsidR="00B32F06">
        <w:rPr>
          <w:rStyle w:val="normaltextrun"/>
          <w:rFonts w:cs="Arial"/>
        </w:rPr>
        <w:t>.</w:t>
      </w:r>
      <w:r w:rsidRPr="00C4084C">
        <w:rPr>
          <w:rStyle w:val="normaltextrun"/>
          <w:rFonts w:cs="Arial"/>
        </w:rPr>
        <w:t xml:space="preserve"> </w:t>
      </w:r>
    </w:p>
    <w:p w14:paraId="5D7B5C2C" w14:textId="4D803410" w:rsidR="00D27626" w:rsidRPr="00C4084C" w:rsidRDefault="00D27626" w:rsidP="00B32F06">
      <w:pPr>
        <w:rPr>
          <w:rStyle w:val="normaltextrun"/>
          <w:rFonts w:cs="Arial"/>
        </w:rPr>
      </w:pPr>
      <w:r w:rsidRPr="00C4084C">
        <w:rPr>
          <w:rStyle w:val="normaltextrun"/>
          <w:rFonts w:cs="Arial"/>
        </w:rPr>
        <w:t>The same trend of under</w:t>
      </w:r>
      <w:r w:rsidR="00AB764B">
        <w:rPr>
          <w:rStyle w:val="normaltextrun"/>
          <w:rFonts w:cs="Arial"/>
        </w:rPr>
        <w:t>-</w:t>
      </w:r>
      <w:r w:rsidRPr="00C4084C">
        <w:rPr>
          <w:rStyle w:val="normaltextrun"/>
          <w:rFonts w:cs="Arial"/>
        </w:rPr>
        <w:t xml:space="preserve">representation continues in higher education completions, where again students from target cohorts represent a smaller share of total completions relative to their share of the Australian population. For example, </w:t>
      </w:r>
      <w:r w:rsidR="00D13CA5" w:rsidRPr="00C4084C">
        <w:rPr>
          <w:rStyle w:val="normaltextrun"/>
          <w:rFonts w:cs="Arial"/>
        </w:rPr>
        <w:t>working age</w:t>
      </w:r>
      <w:r w:rsidRPr="00C4084C">
        <w:rPr>
          <w:rStyle w:val="normaltextrun"/>
          <w:rFonts w:cs="Arial"/>
        </w:rPr>
        <w:t xml:space="preserve"> population parity in higher education completions would see students from low SES backgrounds making up </w:t>
      </w:r>
      <w:r w:rsidR="00453D78" w:rsidRPr="00C4084C">
        <w:rPr>
          <w:rStyle w:val="normaltextrun"/>
          <w:rFonts w:cs="Arial"/>
        </w:rPr>
        <w:t>a higher share of total domestic undergraduate completions (</w:t>
      </w:r>
      <w:r w:rsidRPr="00C4084C">
        <w:rPr>
          <w:rStyle w:val="normaltextrun"/>
          <w:rFonts w:cs="Arial"/>
        </w:rPr>
        <w:t>25</w:t>
      </w:r>
      <w:r w:rsidR="006451A6" w:rsidRPr="00C4084C">
        <w:rPr>
          <w:rStyle w:val="normaltextrun"/>
          <w:rFonts w:cs="Arial"/>
        </w:rPr>
        <w:t>.0</w:t>
      </w:r>
      <w:r w:rsidRPr="00C4084C">
        <w:rPr>
          <w:rStyle w:val="normaltextrun"/>
          <w:rFonts w:cs="Arial"/>
        </w:rPr>
        <w:t>%</w:t>
      </w:r>
      <w:r w:rsidR="00453D78" w:rsidRPr="00C4084C">
        <w:rPr>
          <w:rStyle w:val="normaltextrun"/>
          <w:rFonts w:cs="Arial"/>
        </w:rPr>
        <w:t>)</w:t>
      </w:r>
      <w:r w:rsidRPr="00C4084C">
        <w:rPr>
          <w:rStyle w:val="normaltextrun"/>
          <w:rFonts w:cs="Arial"/>
        </w:rPr>
        <w:t xml:space="preserve"> </w:t>
      </w:r>
      <w:r w:rsidR="00453D78" w:rsidRPr="00C4084C">
        <w:rPr>
          <w:rStyle w:val="normaltextrun"/>
          <w:rFonts w:cs="Arial"/>
        </w:rPr>
        <w:t>compared with current levels</w:t>
      </w:r>
      <w:r w:rsidRPr="00C4084C">
        <w:rPr>
          <w:rStyle w:val="normaltextrun"/>
          <w:rFonts w:cs="Arial"/>
        </w:rPr>
        <w:t xml:space="preserve"> </w:t>
      </w:r>
      <w:r w:rsidR="00453D78" w:rsidRPr="00C4084C">
        <w:rPr>
          <w:rStyle w:val="normaltextrun"/>
          <w:rFonts w:cs="Arial"/>
        </w:rPr>
        <w:t>(</w:t>
      </w:r>
      <w:r w:rsidRPr="00C4084C">
        <w:rPr>
          <w:rStyle w:val="normaltextrun"/>
          <w:rFonts w:cs="Arial"/>
        </w:rPr>
        <w:t>1</w:t>
      </w:r>
      <w:r w:rsidR="14D0DB8B" w:rsidRPr="00C4084C">
        <w:rPr>
          <w:rStyle w:val="normaltextrun"/>
          <w:rFonts w:cs="Arial"/>
        </w:rPr>
        <w:t>5.7</w:t>
      </w:r>
      <w:r w:rsidRPr="00C4084C">
        <w:rPr>
          <w:rStyle w:val="normaltextrun"/>
          <w:rFonts w:cs="Arial"/>
        </w:rPr>
        <w:t>%</w:t>
      </w:r>
      <w:r w:rsidR="00453D78" w:rsidRPr="00C4084C">
        <w:rPr>
          <w:rStyle w:val="normaltextrun"/>
          <w:rFonts w:cs="Arial"/>
        </w:rPr>
        <w:t>)</w:t>
      </w:r>
      <w:r w:rsidRPr="00C4084C">
        <w:rPr>
          <w:rStyle w:val="normaltextrun"/>
          <w:rFonts w:cs="Arial"/>
        </w:rPr>
        <w:t>.</w:t>
      </w:r>
    </w:p>
    <w:p w14:paraId="608BDC83" w14:textId="59A152CD" w:rsidR="00D27626" w:rsidRPr="00D26B82" w:rsidRDefault="00D27626" w:rsidP="005E5C5F">
      <w:pPr>
        <w:pStyle w:val="Caption"/>
        <w:rPr>
          <w:b/>
          <w:bCs/>
          <w:sz w:val="24"/>
          <w:szCs w:val="24"/>
        </w:rPr>
      </w:pPr>
      <w:bookmarkStart w:id="570" w:name="_Ref150501920"/>
      <w:bookmarkStart w:id="571" w:name="_Toc154674775"/>
      <w:r w:rsidRPr="00D26B82">
        <w:rPr>
          <w:b/>
          <w:bCs/>
          <w:sz w:val="24"/>
          <w:szCs w:val="24"/>
        </w:rPr>
        <w:t xml:space="preserve">Figure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13</w:t>
      </w:r>
      <w:r w:rsidRPr="00D26B82">
        <w:rPr>
          <w:b/>
          <w:bCs/>
          <w:sz w:val="24"/>
          <w:szCs w:val="24"/>
        </w:rPr>
        <w:fldChar w:fldCharType="end"/>
      </w:r>
      <w:bookmarkEnd w:id="570"/>
      <w:r w:rsidRPr="00D26B82">
        <w:rPr>
          <w:b/>
          <w:bCs/>
          <w:sz w:val="24"/>
          <w:szCs w:val="24"/>
        </w:rPr>
        <w:t xml:space="preserve">: </w:t>
      </w:r>
      <w:r w:rsidR="00A84B5A" w:rsidRPr="00D26B82">
        <w:rPr>
          <w:b/>
          <w:bCs/>
          <w:sz w:val="24"/>
          <w:szCs w:val="24"/>
        </w:rPr>
        <w:t>Target cohort</w:t>
      </w:r>
      <w:r w:rsidR="00FF6456" w:rsidRPr="00D26B82">
        <w:rPr>
          <w:b/>
          <w:bCs/>
          <w:sz w:val="24"/>
          <w:szCs w:val="24"/>
        </w:rPr>
        <w:t>s s</w:t>
      </w:r>
      <w:r w:rsidRPr="00D26B82">
        <w:rPr>
          <w:b/>
          <w:bCs/>
          <w:sz w:val="24"/>
          <w:szCs w:val="24"/>
        </w:rPr>
        <w:t xml:space="preserve">hare of Australian population, higher education </w:t>
      </w:r>
      <w:r w:rsidR="006F2F39" w:rsidRPr="00D26B82">
        <w:rPr>
          <w:b/>
          <w:bCs/>
          <w:sz w:val="24"/>
          <w:szCs w:val="24"/>
        </w:rPr>
        <w:t>participation</w:t>
      </w:r>
      <w:r w:rsidRPr="00D26B82">
        <w:rPr>
          <w:b/>
          <w:bCs/>
          <w:sz w:val="24"/>
          <w:szCs w:val="24"/>
        </w:rPr>
        <w:t xml:space="preserve"> </w:t>
      </w:r>
      <w:r w:rsidR="007C4956" w:rsidRPr="00D26B82">
        <w:rPr>
          <w:b/>
          <w:bCs/>
          <w:sz w:val="24"/>
          <w:szCs w:val="24"/>
        </w:rPr>
        <w:t>(</w:t>
      </w:r>
      <w:r w:rsidR="00524B83" w:rsidRPr="00D26B82">
        <w:rPr>
          <w:b/>
          <w:bCs/>
          <w:sz w:val="24"/>
          <w:szCs w:val="24"/>
        </w:rPr>
        <w:t xml:space="preserve">domestic </w:t>
      </w:r>
      <w:r w:rsidR="007C4956" w:rsidRPr="00D26B82">
        <w:rPr>
          <w:b/>
          <w:bCs/>
          <w:sz w:val="24"/>
          <w:szCs w:val="24"/>
        </w:rPr>
        <w:t>undergraduate</w:t>
      </w:r>
      <w:r w:rsidR="18508C69" w:rsidRPr="00D26B82">
        <w:rPr>
          <w:b/>
          <w:bCs/>
          <w:sz w:val="24"/>
          <w:szCs w:val="24"/>
        </w:rPr>
        <w:t xml:space="preserve"> Table A</w:t>
      </w:r>
      <w:r w:rsidR="007C4956" w:rsidRPr="00D26B82">
        <w:rPr>
          <w:b/>
          <w:bCs/>
          <w:sz w:val="24"/>
          <w:szCs w:val="24"/>
        </w:rPr>
        <w:t>)</w:t>
      </w:r>
      <w:r w:rsidRPr="00D26B82">
        <w:rPr>
          <w:b/>
          <w:bCs/>
          <w:sz w:val="24"/>
          <w:szCs w:val="24"/>
        </w:rPr>
        <w:t xml:space="preserve"> and higher education completions</w:t>
      </w:r>
      <w:r w:rsidR="001306E5" w:rsidRPr="00D26B82">
        <w:rPr>
          <w:b/>
          <w:bCs/>
          <w:sz w:val="24"/>
          <w:szCs w:val="24"/>
        </w:rPr>
        <w:t xml:space="preserve"> </w:t>
      </w:r>
      <w:r w:rsidR="007C4956" w:rsidRPr="00D26B82">
        <w:rPr>
          <w:b/>
          <w:bCs/>
          <w:sz w:val="24"/>
          <w:szCs w:val="24"/>
        </w:rPr>
        <w:t>(</w:t>
      </w:r>
      <w:r w:rsidR="00524B83" w:rsidRPr="00D26B82">
        <w:rPr>
          <w:b/>
          <w:bCs/>
          <w:sz w:val="24"/>
          <w:szCs w:val="24"/>
        </w:rPr>
        <w:t xml:space="preserve">domestic </w:t>
      </w:r>
      <w:r w:rsidR="007C4956" w:rsidRPr="00D26B82">
        <w:rPr>
          <w:b/>
          <w:bCs/>
          <w:sz w:val="24"/>
          <w:szCs w:val="24"/>
        </w:rPr>
        <w:t>undergraduate</w:t>
      </w:r>
      <w:r w:rsidR="591E7499" w:rsidRPr="00D26B82">
        <w:rPr>
          <w:b/>
          <w:bCs/>
          <w:sz w:val="24"/>
          <w:szCs w:val="24"/>
        </w:rPr>
        <w:t xml:space="preserve"> Table A</w:t>
      </w:r>
      <w:r w:rsidR="007C4956" w:rsidRPr="00D26B82">
        <w:rPr>
          <w:b/>
          <w:bCs/>
          <w:sz w:val="24"/>
          <w:szCs w:val="24"/>
        </w:rPr>
        <w:t>)</w:t>
      </w:r>
      <w:r w:rsidR="001306E5" w:rsidRPr="00D26B82">
        <w:rPr>
          <w:b/>
          <w:bCs/>
          <w:sz w:val="24"/>
          <w:szCs w:val="24"/>
        </w:rPr>
        <w:t xml:space="preserve"> </w:t>
      </w:r>
      <w:r w:rsidR="007C4956" w:rsidRPr="00D26B82">
        <w:rPr>
          <w:b/>
          <w:bCs/>
          <w:sz w:val="24"/>
          <w:szCs w:val="24"/>
        </w:rPr>
        <w:t>(%)</w:t>
      </w:r>
      <w:r w:rsidR="00B931CA" w:rsidRPr="00D26B82">
        <w:rPr>
          <w:b/>
          <w:bCs/>
          <w:sz w:val="24"/>
          <w:szCs w:val="24"/>
        </w:rPr>
        <w:t xml:space="preserve">, </w:t>
      </w:r>
      <w:r w:rsidR="00C46FEA" w:rsidRPr="00D26B82">
        <w:rPr>
          <w:b/>
          <w:bCs/>
          <w:sz w:val="24"/>
          <w:szCs w:val="24"/>
        </w:rPr>
        <w:t>2022</w:t>
      </w:r>
      <w:r w:rsidR="0088548C" w:rsidRPr="00D26B82">
        <w:rPr>
          <w:b/>
          <w:bCs/>
          <w:sz w:val="24"/>
          <w:szCs w:val="24"/>
        </w:rPr>
        <w:t>.</w:t>
      </w:r>
      <w:bookmarkEnd w:id="571"/>
    </w:p>
    <w:p w14:paraId="58135056" w14:textId="16BB6381" w:rsidR="00F3585C" w:rsidRDefault="00F3585C" w:rsidP="00A95EBC">
      <w:pPr>
        <w:pStyle w:val="Source"/>
        <w:rPr>
          <w:rStyle w:val="eop"/>
        </w:rPr>
      </w:pPr>
      <w:r>
        <w:rPr>
          <w:noProof/>
        </w:rPr>
        <w:drawing>
          <wp:inline distT="0" distB="0" distL="0" distR="0" wp14:anchorId="683B8E12" wp14:editId="3280AEE6">
            <wp:extent cx="6021005" cy="2573079"/>
            <wp:effectExtent l="0" t="0" r="0" b="0"/>
            <wp:docPr id="1792306189" name="Graphic 13" descr="Clustered column graph showing the share of Australian population, higher education participation and higher education completions of the four student target cohorts: low SES, regional and remote, First Nations and people with disability, in 2022. Graph shows that in 2022, First Nations people, people from low SES backgrounds and people in regional, rural and remote areas make up a disproportionately low share of the higher education student population compared to the Australian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306189" name="Graphic 13" descr="Clustered column graph showing the share of Australian population, higher education participation and higher education completions of the four student target cohorts: low SES, regional and remote, First Nations and people with disability, in 2022. Graph shows that in 2022, First Nations people, people from low SES backgrounds and people in regional, rural and remote areas make up a disproportionately low share of the higher education student population compared to the Australian population."/>
                    <pic:cNvPicPr/>
                  </pic:nvPicPr>
                  <pic:blipFill>
                    <a:blip r:embed="rId75">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6043328" cy="2582619"/>
                    </a:xfrm>
                    <a:prstGeom prst="rect">
                      <a:avLst/>
                    </a:prstGeom>
                  </pic:spPr>
                </pic:pic>
              </a:graphicData>
            </a:graphic>
          </wp:inline>
        </w:drawing>
      </w:r>
    </w:p>
    <w:p w14:paraId="7F0414A1" w14:textId="2D48ACA0" w:rsidR="005E4982" w:rsidRPr="00C4084C" w:rsidRDefault="00D27626" w:rsidP="00A95EBC">
      <w:pPr>
        <w:pStyle w:val="Source"/>
      </w:pPr>
      <w:r w:rsidRPr="00C4084C">
        <w:rPr>
          <w:rStyle w:val="eop"/>
        </w:rPr>
        <w:t xml:space="preserve">Source: </w:t>
      </w:r>
      <w:r w:rsidRPr="00C4084C">
        <w:t>Department of Education</w:t>
      </w:r>
      <w:r w:rsidR="00345818" w:rsidRPr="00C4084C">
        <w:t>,</w:t>
      </w:r>
      <w:r w:rsidRPr="00C4084C">
        <w:t xml:space="preserve"> </w:t>
      </w:r>
      <w:r w:rsidRPr="00C4084C">
        <w:rPr>
          <w:i/>
        </w:rPr>
        <w:t xml:space="preserve">Higher Education </w:t>
      </w:r>
      <w:r w:rsidR="007601D1" w:rsidRPr="00C4084C">
        <w:rPr>
          <w:i/>
          <w:iCs/>
        </w:rPr>
        <w:t xml:space="preserve">Statistics – </w:t>
      </w:r>
      <w:r w:rsidR="001D02A7" w:rsidRPr="00C4084C">
        <w:rPr>
          <w:i/>
          <w:iCs/>
        </w:rPr>
        <w:t xml:space="preserve">Section 16 </w:t>
      </w:r>
      <w:r w:rsidR="001D02A7" w:rsidRPr="00F50407">
        <w:rPr>
          <w:iCs/>
        </w:rPr>
        <w:t>Equity Performance Data</w:t>
      </w:r>
      <w:r w:rsidR="001D02A7" w:rsidRPr="00C4084C">
        <w:rPr>
          <w:rStyle w:val="normaltextrun"/>
          <w:rFonts w:ascii="Calibri" w:hAnsi="Calibri" w:cs="Calibri"/>
          <w:color w:val="000000"/>
          <w:shd w:val="clear" w:color="auto" w:fill="FFFFFF"/>
        </w:rPr>
        <w:t xml:space="preserve"> </w:t>
      </w:r>
      <w:r w:rsidR="001D02A7" w:rsidRPr="00F50407">
        <w:t>[data set], (Canberra: 2023), accessed 19 December 2023,</w:t>
      </w:r>
      <w:r w:rsidR="001D02A7" w:rsidRPr="00C4084C">
        <w:rPr>
          <w:rStyle w:val="normaltextrun"/>
          <w:rFonts w:ascii="Calibri" w:hAnsi="Calibri" w:cs="Calibri"/>
          <w:color w:val="000000"/>
          <w:shd w:val="clear" w:color="auto" w:fill="FFFFFF"/>
        </w:rPr>
        <w:t xml:space="preserve"> </w:t>
      </w:r>
      <w:hyperlink r:id="rId77" w:history="1">
        <w:r w:rsidR="001D02A7" w:rsidRPr="00C4084C">
          <w:rPr>
            <w:rStyle w:val="Hyperlink"/>
          </w:rPr>
          <w:t>https://www.education.gov.au/higher-education-statistics/resources/2022-section-16-equity-performance-data</w:t>
        </w:r>
      </w:hyperlink>
      <w:r w:rsidR="001D02A7" w:rsidRPr="00C4084C">
        <w:rPr>
          <w:szCs w:val="20"/>
        </w:rPr>
        <w:t xml:space="preserve">; </w:t>
      </w:r>
      <w:r w:rsidR="001D02A7" w:rsidRPr="00C4084C">
        <w:rPr>
          <w:rStyle w:val="ui-provider"/>
        </w:rPr>
        <w:t xml:space="preserve">Australian Bureau of Statistics, </w:t>
      </w:r>
      <w:r w:rsidR="001D02A7" w:rsidRPr="00C4084C">
        <w:rPr>
          <w:rStyle w:val="ui-provider"/>
          <w:i/>
          <w:iCs/>
        </w:rPr>
        <w:t>2021</w:t>
      </w:r>
      <w:r w:rsidR="001D02A7" w:rsidRPr="00C4084C">
        <w:rPr>
          <w:rStyle w:val="ui-provider"/>
        </w:rPr>
        <w:t xml:space="preserve"> </w:t>
      </w:r>
      <w:r w:rsidR="001D02A7" w:rsidRPr="00C4084C">
        <w:rPr>
          <w:rStyle w:val="ui-provider"/>
          <w:i/>
          <w:iCs/>
        </w:rPr>
        <w:t xml:space="preserve">Census </w:t>
      </w:r>
      <w:proofErr w:type="spellStart"/>
      <w:r w:rsidR="001D02A7" w:rsidRPr="00C4084C">
        <w:rPr>
          <w:rStyle w:val="ui-provider"/>
          <w:i/>
          <w:iCs/>
        </w:rPr>
        <w:t>TableBuilder</w:t>
      </w:r>
      <w:proofErr w:type="spellEnd"/>
      <w:r w:rsidR="001D02A7" w:rsidRPr="00C4084C">
        <w:rPr>
          <w:rStyle w:val="ui-provider"/>
        </w:rPr>
        <w:t xml:space="preserve">, </w:t>
      </w:r>
      <w:r w:rsidR="001D02A7" w:rsidRPr="00C4084C">
        <w:rPr>
          <w:rStyle w:val="ui-provider"/>
          <w:i/>
          <w:iCs/>
        </w:rPr>
        <w:t>Indigenous Status and level of highest qualification</w:t>
      </w:r>
      <w:r w:rsidR="001D02A7" w:rsidRPr="00C4084C">
        <w:rPr>
          <w:rStyle w:val="ui-provider"/>
        </w:rPr>
        <w:t xml:space="preserve">, (Canberra, 2023), accessed 19 December 2023; Australian Bureau of Statistics, </w:t>
      </w:r>
      <w:r w:rsidR="001D02A7" w:rsidRPr="00C4084C">
        <w:rPr>
          <w:rStyle w:val="ui-provider"/>
          <w:i/>
          <w:iCs/>
        </w:rPr>
        <w:t>2021</w:t>
      </w:r>
      <w:r w:rsidR="001D02A7" w:rsidRPr="00C4084C">
        <w:rPr>
          <w:rStyle w:val="ui-provider"/>
        </w:rPr>
        <w:t xml:space="preserve"> </w:t>
      </w:r>
      <w:r w:rsidR="001D02A7" w:rsidRPr="00C4084C">
        <w:rPr>
          <w:rStyle w:val="ui-provider"/>
          <w:i/>
          <w:iCs/>
        </w:rPr>
        <w:t xml:space="preserve">Census </w:t>
      </w:r>
      <w:proofErr w:type="spellStart"/>
      <w:r w:rsidR="001D02A7" w:rsidRPr="00C4084C">
        <w:rPr>
          <w:rStyle w:val="ui-provider"/>
          <w:i/>
          <w:iCs/>
        </w:rPr>
        <w:t>TableBuilder</w:t>
      </w:r>
      <w:proofErr w:type="spellEnd"/>
      <w:r w:rsidR="001D02A7" w:rsidRPr="00C4084C">
        <w:rPr>
          <w:rStyle w:val="ui-provider"/>
        </w:rPr>
        <w:t xml:space="preserve">, </w:t>
      </w:r>
      <w:r w:rsidR="001D02A7" w:rsidRPr="00C4084C">
        <w:rPr>
          <w:rStyle w:val="ui-provider"/>
          <w:i/>
          <w:iCs/>
        </w:rPr>
        <w:t>Remoteness Areas and level of highest qualification</w:t>
      </w:r>
      <w:r w:rsidR="001D02A7" w:rsidRPr="00C4084C">
        <w:rPr>
          <w:rStyle w:val="ui-provider"/>
        </w:rPr>
        <w:t>, (Canberra, 2023), published 18 December 2023</w:t>
      </w:r>
      <w:r w:rsidR="000023A7" w:rsidRPr="00C4084C">
        <w:t>.</w:t>
      </w:r>
    </w:p>
    <w:p w14:paraId="7C05D184" w14:textId="7ED028EC" w:rsidR="00D27626" w:rsidRPr="00C4084C" w:rsidRDefault="005E4982" w:rsidP="00A95EBC">
      <w:pPr>
        <w:pStyle w:val="Source"/>
      </w:pPr>
      <w:r w:rsidRPr="00C4084C">
        <w:lastRenderedPageBreak/>
        <w:t xml:space="preserve">Note: </w:t>
      </w:r>
      <w:r w:rsidR="0A596003" w:rsidRPr="00C4084C">
        <w:t xml:space="preserve">Share of the Australian population for </w:t>
      </w:r>
      <w:r w:rsidR="00F20556" w:rsidRPr="00C4084C">
        <w:t xml:space="preserve">people </w:t>
      </w:r>
      <w:r w:rsidR="0A596003" w:rsidRPr="00C4084C">
        <w:t xml:space="preserve">with </w:t>
      </w:r>
      <w:r w:rsidR="00A24910" w:rsidRPr="00C4084C">
        <w:t xml:space="preserve">disability </w:t>
      </w:r>
      <w:r w:rsidR="0A596003" w:rsidRPr="00C4084C">
        <w:t xml:space="preserve">is an expected enrolment share </w:t>
      </w:r>
      <w:r w:rsidR="0AAD6EFF" w:rsidRPr="00C4084C">
        <w:t>estimated</w:t>
      </w:r>
      <w:r w:rsidR="7F1682CF" w:rsidRPr="00C4084C">
        <w:t xml:space="preserve"> by the Department of Education, </w:t>
      </w:r>
      <w:r w:rsidR="4B3FE15D" w:rsidRPr="00C4084C">
        <w:t>based on the proportion of the 15</w:t>
      </w:r>
      <w:r w:rsidR="00BE69FA" w:rsidRPr="00C4084C">
        <w:t xml:space="preserve"> to </w:t>
      </w:r>
      <w:r w:rsidR="4B3FE15D" w:rsidRPr="00C4084C">
        <w:t>64</w:t>
      </w:r>
      <w:r w:rsidR="00BE69FA" w:rsidRPr="00C4084C">
        <w:t>-</w:t>
      </w:r>
      <w:r w:rsidR="4B3FE15D" w:rsidRPr="00C4084C">
        <w:t>year</w:t>
      </w:r>
      <w:r w:rsidR="00BE69FA" w:rsidRPr="00C4084C">
        <w:t>-</w:t>
      </w:r>
      <w:r w:rsidR="4B3FE15D" w:rsidRPr="00C4084C">
        <w:t>old population with disability,</w:t>
      </w:r>
      <w:r w:rsidR="7F1682CF" w:rsidRPr="00C4084C">
        <w:t xml:space="preserve"> adjusted for </w:t>
      </w:r>
      <w:r w:rsidR="0445B55F" w:rsidRPr="00C4084C">
        <w:t xml:space="preserve">age profile and profound disability. </w:t>
      </w:r>
    </w:p>
    <w:tbl>
      <w:tblPr>
        <w:tblW w:w="0" w:type="auto"/>
        <w:shd w:val="clear" w:color="auto" w:fill="E2EFD9"/>
        <w:tblLook w:val="04A0" w:firstRow="1" w:lastRow="0" w:firstColumn="1" w:lastColumn="0" w:noHBand="0" w:noVBand="1"/>
      </w:tblPr>
      <w:tblGrid>
        <w:gridCol w:w="9356"/>
      </w:tblGrid>
      <w:tr w:rsidR="002E3FE9" w:rsidRPr="00C4084C" w14:paraId="21744E4F" w14:textId="77777777" w:rsidTr="00D26B82">
        <w:tc>
          <w:tcPr>
            <w:tcW w:w="9356" w:type="dxa"/>
            <w:shd w:val="clear" w:color="auto" w:fill="C3D7CA"/>
          </w:tcPr>
          <w:p w14:paraId="747217B0" w14:textId="0A3F1020" w:rsidR="002E3FE9" w:rsidRPr="00C4084C" w:rsidRDefault="002E3FE9" w:rsidP="00570A6C">
            <w:pPr>
              <w:pStyle w:val="Boxtitlessubheadings"/>
            </w:pPr>
            <w:r w:rsidRPr="00C4084C">
              <w:t xml:space="preserve">Government </w:t>
            </w:r>
            <w:r w:rsidR="00842224">
              <w:t>r</w:t>
            </w:r>
            <w:r w:rsidR="00842224" w:rsidRPr="00C4084C">
              <w:t xml:space="preserve">esponse </w:t>
            </w:r>
            <w:r w:rsidRPr="00C4084C">
              <w:t>to Priority Action 2 from the Interim Report</w:t>
            </w:r>
          </w:p>
          <w:p w14:paraId="4BBDC183" w14:textId="43A13922" w:rsidR="002E3FE9" w:rsidRPr="00C4084C" w:rsidRDefault="002E3FE9" w:rsidP="000D4294">
            <w:pPr>
              <w:pStyle w:val="Boxtext0"/>
            </w:pPr>
            <w:r w:rsidRPr="00C4084C">
              <w:t xml:space="preserve">Priority Action 2 recommended that the </w:t>
            </w:r>
            <w:r w:rsidR="005D43EC" w:rsidRPr="00C4084C">
              <w:t xml:space="preserve">Australian </w:t>
            </w:r>
            <w:r w:rsidRPr="00C4084C">
              <w:t xml:space="preserve">Government cease the 50% pass rule immediately and increase reporting on student progress, after finding that the pass rule disproportionately disadvantages students from equity backgrounds. </w:t>
            </w:r>
          </w:p>
          <w:p w14:paraId="5951A6DA" w14:textId="14FDDA15" w:rsidR="002E3FE9" w:rsidRPr="00C4084C" w:rsidRDefault="002E3FE9" w:rsidP="000D4294">
            <w:pPr>
              <w:pStyle w:val="Boxtext0"/>
            </w:pPr>
            <w:r w:rsidRPr="00C4084C">
              <w:t xml:space="preserve">To put this recommendation into effect, the </w:t>
            </w:r>
            <w:r w:rsidR="005D43EC" w:rsidRPr="00C4084C">
              <w:t>Australian</w:t>
            </w:r>
            <w:r w:rsidRPr="00C4084C">
              <w:t xml:space="preserve"> Government introduced the </w:t>
            </w:r>
            <w:r w:rsidRPr="000D4294">
              <w:rPr>
                <w:i/>
                <w:iCs/>
              </w:rPr>
              <w:t>Higher Education Support Amendment (Response to the Australian Universities Accord Interim Report) Act 2023</w:t>
            </w:r>
            <w:r w:rsidR="008B67AA" w:rsidRPr="000D4294">
              <w:rPr>
                <w:i/>
                <w:iCs/>
              </w:rPr>
              <w:t xml:space="preserve"> </w:t>
            </w:r>
            <w:r w:rsidR="008B67AA" w:rsidRPr="00C4084C">
              <w:t>(</w:t>
            </w:r>
            <w:proofErr w:type="spellStart"/>
            <w:r w:rsidR="008B67AA" w:rsidRPr="00C4084C">
              <w:t>Cth</w:t>
            </w:r>
            <w:proofErr w:type="spellEnd"/>
            <w:r w:rsidR="008B67AA" w:rsidRPr="00C4084C">
              <w:t>)</w:t>
            </w:r>
            <w:r w:rsidR="0086542F" w:rsidRPr="00C4084C">
              <w:t xml:space="preserve">. This Act </w:t>
            </w:r>
            <w:r w:rsidRPr="00C4084C">
              <w:t xml:space="preserve">amends the </w:t>
            </w:r>
            <w:r w:rsidRPr="000D4294">
              <w:rPr>
                <w:i/>
                <w:iCs/>
              </w:rPr>
              <w:t>Higher Education Support Act 2003</w:t>
            </w:r>
            <w:r w:rsidR="008B67AA" w:rsidRPr="000D4294">
              <w:rPr>
                <w:i/>
                <w:iCs/>
              </w:rPr>
              <w:t xml:space="preserve"> </w:t>
            </w:r>
            <w:r w:rsidR="008B67AA" w:rsidRPr="00C4084C">
              <w:t>(</w:t>
            </w:r>
            <w:proofErr w:type="spellStart"/>
            <w:r w:rsidR="008B67AA" w:rsidRPr="00C4084C">
              <w:t>Cth</w:t>
            </w:r>
            <w:proofErr w:type="spellEnd"/>
            <w:r w:rsidR="008B67AA" w:rsidRPr="00C4084C">
              <w:t>)</w:t>
            </w:r>
            <w:r w:rsidR="0086542F" w:rsidRPr="00C4084C">
              <w:t xml:space="preserve"> </w:t>
            </w:r>
            <w:r w:rsidR="008B67AA" w:rsidRPr="00C4084C">
              <w:t>with</w:t>
            </w:r>
            <w:r w:rsidR="0086542F" w:rsidRPr="00C4084C">
              <w:t xml:space="preserve"> effect </w:t>
            </w:r>
            <w:r w:rsidRPr="00C4084C">
              <w:t>from 1 January 2024</w:t>
            </w:r>
            <w:r w:rsidR="0086542F" w:rsidRPr="00C4084C">
              <w:t xml:space="preserve">. It will </w:t>
            </w:r>
            <w:r w:rsidRPr="00C4084C">
              <w:t>remove the pass rule and introduce new requirements for higher education providers approved under the Act to have policies in place to provide support to their students.</w:t>
            </w:r>
            <w:r w:rsidR="00B51F3C" w:rsidRPr="00C4084C">
              <w:rPr>
                <w:rStyle w:val="FootnoteReference"/>
              </w:rPr>
              <w:footnoteReference w:id="171"/>
            </w:r>
          </w:p>
          <w:p w14:paraId="5803B645" w14:textId="3B19FAA6" w:rsidR="002E3FE9" w:rsidRPr="00C4084C" w:rsidRDefault="002E3FE9" w:rsidP="000D4294">
            <w:pPr>
              <w:pStyle w:val="Boxtext0"/>
            </w:pPr>
            <w:r w:rsidRPr="00C4084C">
              <w:t xml:space="preserve">Additional requirements around information to be included in a </w:t>
            </w:r>
            <w:r w:rsidR="00323C19" w:rsidRPr="00C4084C">
              <w:t>s</w:t>
            </w:r>
            <w:r w:rsidRPr="00C4084C">
              <w:t xml:space="preserve">upport for </w:t>
            </w:r>
            <w:proofErr w:type="gramStart"/>
            <w:r w:rsidRPr="00C4084C">
              <w:t>students</w:t>
            </w:r>
            <w:proofErr w:type="gramEnd"/>
            <w:r w:rsidRPr="00C4084C">
              <w:t xml:space="preserve"> policy and reporting will be set out in the Higher Education Provider Guidelines (HEP Guidelines). After consultation with the sector the Guidelines were made in late 2023 in preparation for an implementation date toward the end of the first quarter of 2024. The </w:t>
            </w:r>
            <w:r w:rsidR="0047497C" w:rsidRPr="00C4084C">
              <w:t>D</w:t>
            </w:r>
            <w:r w:rsidRPr="00C4084C">
              <w:t xml:space="preserve">epartment </w:t>
            </w:r>
            <w:r w:rsidR="0047497C" w:rsidRPr="00C4084C">
              <w:t>of Education</w:t>
            </w:r>
            <w:r w:rsidRPr="00C4084C">
              <w:t xml:space="preserve"> will continue to work with and provide further updates to the sector, including information about reporting timeframes and compliance, to provide certainty to providers.</w:t>
            </w:r>
          </w:p>
        </w:tc>
      </w:tr>
    </w:tbl>
    <w:p w14:paraId="0643B84E" w14:textId="49FCF33D" w:rsidR="00D27626" w:rsidRPr="00027FAE" w:rsidRDefault="00D27626" w:rsidP="00BA6095">
      <w:pPr>
        <w:pStyle w:val="Heading4"/>
        <w:rPr>
          <w:rStyle w:val="normaltextrun"/>
        </w:rPr>
      </w:pPr>
      <w:bookmarkStart w:id="572" w:name="_Toc150523115"/>
      <w:bookmarkStart w:id="573" w:name="_Toc150692411"/>
      <w:bookmarkStart w:id="574" w:name="_Ref151937690"/>
      <w:bookmarkStart w:id="575" w:name="_Toc1531542519"/>
      <w:bookmarkStart w:id="576" w:name="_Toc153483025"/>
      <w:bookmarkStart w:id="577" w:name="_Ref153805967"/>
      <w:bookmarkStart w:id="578" w:name="_Ref155972259"/>
      <w:bookmarkStart w:id="579" w:name="_Toc159500935"/>
      <w:r w:rsidRPr="00027FAE">
        <w:rPr>
          <w:rStyle w:val="normaltextrun"/>
        </w:rPr>
        <w:t>Defining and measuring equity targets</w:t>
      </w:r>
      <w:bookmarkEnd w:id="572"/>
      <w:bookmarkEnd w:id="573"/>
      <w:bookmarkEnd w:id="574"/>
      <w:bookmarkEnd w:id="575"/>
      <w:bookmarkEnd w:id="576"/>
      <w:bookmarkEnd w:id="577"/>
      <w:bookmarkEnd w:id="578"/>
      <w:bookmarkEnd w:id="579"/>
      <w:r w:rsidRPr="00027FAE">
        <w:rPr>
          <w:rStyle w:val="normaltextrun"/>
        </w:rPr>
        <w:t xml:space="preserve"> </w:t>
      </w:r>
    </w:p>
    <w:p w14:paraId="6F024BD8" w14:textId="67C49653" w:rsidR="00D27626" w:rsidRPr="00C4084C" w:rsidRDefault="00D27626" w:rsidP="000D4294">
      <w:r w:rsidRPr="00C4084C">
        <w:t xml:space="preserve">In proposing targets for student representation in higher education, the Review </w:t>
      </w:r>
      <w:r w:rsidR="004E26C8" w:rsidRPr="00C4084C">
        <w:t xml:space="preserve">recommends </w:t>
      </w:r>
      <w:r w:rsidRPr="00C4084C">
        <w:t xml:space="preserve">that the initial focus be on the undergraduate student population and on </w:t>
      </w:r>
      <w:r w:rsidR="00D16150" w:rsidRPr="00C4084C">
        <w:t xml:space="preserve">4 </w:t>
      </w:r>
      <w:r w:rsidRPr="00C4084C">
        <w:t>target cohorts</w:t>
      </w:r>
      <w:r w:rsidR="008458E9" w:rsidRPr="00C4084C">
        <w:t xml:space="preserve"> (see Recommendation 10)</w:t>
      </w:r>
      <w:r w:rsidRPr="00C4084C">
        <w:t>. There is considerable evidence these groups face persistent educational disadvantage and</w:t>
      </w:r>
      <w:r w:rsidR="00190AF6" w:rsidRPr="00C4084C">
        <w:t>/or</w:t>
      </w:r>
      <w:r w:rsidRPr="00C4084C">
        <w:t xml:space="preserve"> are </w:t>
      </w:r>
      <w:r w:rsidR="00D7545F" w:rsidRPr="00C4084C">
        <w:t>under-represented</w:t>
      </w:r>
      <w:r w:rsidRPr="00C4084C">
        <w:t xml:space="preserve"> in higher education.</w:t>
      </w:r>
      <w:r w:rsidRPr="00C4084C">
        <w:rPr>
          <w:rStyle w:val="FootnoteReference"/>
          <w:rFonts w:cs="Arial"/>
        </w:rPr>
        <w:footnoteReference w:id="172"/>
      </w:r>
      <w:r w:rsidRPr="00C4084C">
        <w:t xml:space="preserve"> Additionally, because these groups have been the focus of Australia’s higher education student equity framework for almost 30 years, there </w:t>
      </w:r>
      <w:r w:rsidR="002C5721" w:rsidRPr="00C4084C">
        <w:t xml:space="preserve">are </w:t>
      </w:r>
      <w:r w:rsidRPr="00C4084C">
        <w:t>rich data and evidence to build on. The Review</w:t>
      </w:r>
      <w:r w:rsidRPr="00C4084C" w:rsidDel="00D92812">
        <w:t xml:space="preserve"> </w:t>
      </w:r>
      <w:r w:rsidR="00D92812" w:rsidRPr="00C4084C">
        <w:t>recommends</w:t>
      </w:r>
      <w:r w:rsidRPr="00C4084C">
        <w:t xml:space="preserve"> that</w:t>
      </w:r>
      <w:r w:rsidR="0082603D">
        <w:t>,</w:t>
      </w:r>
      <w:r w:rsidRPr="00C4084C">
        <w:t xml:space="preserve"> because </w:t>
      </w:r>
      <w:proofErr w:type="gramStart"/>
      <w:r w:rsidR="0082603D">
        <w:t>the</w:t>
      </w:r>
      <w:r w:rsidR="0082603D" w:rsidRPr="00C4084C">
        <w:t xml:space="preserve"> </w:t>
      </w:r>
      <w:r w:rsidR="00D441CB" w:rsidRPr="00C4084C">
        <w:t>vast</w:t>
      </w:r>
      <w:r w:rsidRPr="00C4084C">
        <w:t xml:space="preserve"> majority of</w:t>
      </w:r>
      <w:proofErr w:type="gramEnd"/>
      <w:r w:rsidRPr="00C4084C">
        <w:t xml:space="preserve"> domestic undergraduate students are enrolled at </w:t>
      </w:r>
      <w:r w:rsidR="00644EF6" w:rsidRPr="00C4084C">
        <w:t>publicly</w:t>
      </w:r>
      <w:r w:rsidR="00A324E8" w:rsidRPr="00C4084C">
        <w:t xml:space="preserve"> </w:t>
      </w:r>
      <w:r w:rsidR="00644EF6" w:rsidRPr="00C4084C">
        <w:t>funded</w:t>
      </w:r>
      <w:r w:rsidRPr="00C4084C">
        <w:t xml:space="preserve"> higher education providers, equity targets should </w:t>
      </w:r>
      <w:r w:rsidR="00A324E8" w:rsidRPr="00C4084C">
        <w:t xml:space="preserve">only </w:t>
      </w:r>
      <w:r w:rsidRPr="00C4084C">
        <w:t>be set for these institutions.</w:t>
      </w:r>
    </w:p>
    <w:p w14:paraId="4624908F" w14:textId="7E74CF2A" w:rsidR="00D27626" w:rsidRPr="00C4084C" w:rsidRDefault="00D27626" w:rsidP="000D4294">
      <w:r w:rsidRPr="00C4084C">
        <w:t xml:space="preserve">However, there are some data considerations the Review </w:t>
      </w:r>
      <w:r w:rsidR="00522935" w:rsidRPr="00C4084C">
        <w:t>recommends</w:t>
      </w:r>
      <w:r w:rsidR="005D43EC" w:rsidRPr="00C4084C">
        <w:t xml:space="preserve"> the Australian</w:t>
      </w:r>
      <w:r w:rsidRPr="00C4084C">
        <w:t xml:space="preserve"> Government explore </w:t>
      </w:r>
      <w:r w:rsidR="006F68EA" w:rsidRPr="00C4084C">
        <w:t xml:space="preserve">further </w:t>
      </w:r>
      <w:r w:rsidRPr="00C4084C">
        <w:t xml:space="preserve">before establishing a measurement framework (see </w:t>
      </w:r>
      <w:r w:rsidR="00E95E91" w:rsidRPr="00C4084C">
        <w:rPr>
          <w:i/>
          <w:iCs/>
        </w:rPr>
        <w:fldChar w:fldCharType="begin"/>
      </w:r>
      <w:r w:rsidR="00E95E91" w:rsidRPr="00C4084C">
        <w:rPr>
          <w:i/>
          <w:iCs/>
        </w:rPr>
        <w:instrText xml:space="preserve"> REF _Ref151934666 \r \h </w:instrText>
      </w:r>
      <w:r w:rsidR="008C34DB" w:rsidRPr="00C4084C">
        <w:rPr>
          <w:i/>
          <w:iCs/>
        </w:rPr>
        <w:instrText xml:space="preserve"> \* MERGEFORMAT </w:instrText>
      </w:r>
      <w:r w:rsidR="00E95E91" w:rsidRPr="00C4084C">
        <w:rPr>
          <w:i/>
          <w:iCs/>
        </w:rPr>
      </w:r>
      <w:r w:rsidR="00E95E91" w:rsidRPr="00C4084C">
        <w:rPr>
          <w:i/>
          <w:iCs/>
        </w:rPr>
        <w:fldChar w:fldCharType="separate"/>
      </w:r>
      <w:r w:rsidR="00467B4F">
        <w:rPr>
          <w:i/>
          <w:iCs/>
        </w:rPr>
        <w:t xml:space="preserve">Chapter 6 – </w:t>
      </w:r>
      <w:r w:rsidR="00E95E91" w:rsidRPr="00C4084C">
        <w:rPr>
          <w:i/>
          <w:iCs/>
        </w:rPr>
        <w:fldChar w:fldCharType="end"/>
      </w:r>
      <w:r w:rsidR="008C34DB" w:rsidRPr="00C4084C">
        <w:rPr>
          <w:i/>
          <w:iCs/>
        </w:rPr>
        <w:fldChar w:fldCharType="begin"/>
      </w:r>
      <w:r w:rsidR="008C34DB" w:rsidRPr="00C4084C">
        <w:rPr>
          <w:i/>
          <w:iCs/>
        </w:rPr>
        <w:instrText xml:space="preserve"> REF _Ref151934666 \h  \* MERGEFORMAT </w:instrText>
      </w:r>
      <w:r w:rsidR="008C34DB" w:rsidRPr="00C4084C">
        <w:rPr>
          <w:i/>
          <w:iCs/>
        </w:rPr>
      </w:r>
      <w:r w:rsidR="008C34DB" w:rsidRPr="00C4084C">
        <w:rPr>
          <w:i/>
          <w:iCs/>
        </w:rPr>
        <w:fldChar w:fldCharType="separate"/>
      </w:r>
      <w:r w:rsidR="00467B4F" w:rsidRPr="00467B4F">
        <w:rPr>
          <w:i/>
          <w:iCs/>
        </w:rPr>
        <w:t>A dynamic, collaborative and responsive system that serves the national interest</w:t>
      </w:r>
      <w:r w:rsidR="008C34DB" w:rsidRPr="00C4084C">
        <w:rPr>
          <w:i/>
          <w:iCs/>
        </w:rPr>
        <w:fldChar w:fldCharType="end"/>
      </w:r>
      <w:r w:rsidRPr="00C4084C">
        <w:t xml:space="preserve">). As </w:t>
      </w:r>
      <w:r w:rsidRPr="00C4084C">
        <w:fldChar w:fldCharType="begin"/>
      </w:r>
      <w:r w:rsidRPr="00C4084C">
        <w:instrText xml:space="preserve"> REF _Ref150501920 \h  \* MERGEFORMAT </w:instrText>
      </w:r>
      <w:r w:rsidRPr="00C4084C">
        <w:fldChar w:fldCharType="separate"/>
      </w:r>
      <w:r w:rsidR="00467B4F" w:rsidRPr="00C4084C">
        <w:t xml:space="preserve">Figure </w:t>
      </w:r>
      <w:r w:rsidR="00467B4F">
        <w:rPr>
          <w:noProof/>
        </w:rPr>
        <w:t>13</w:t>
      </w:r>
      <w:r w:rsidRPr="00C4084C">
        <w:fldChar w:fldCharType="end"/>
      </w:r>
      <w:r w:rsidR="00CF7A0E" w:rsidRPr="00C4084C">
        <w:t xml:space="preserve"> </w:t>
      </w:r>
      <w:r w:rsidRPr="00C4084C">
        <w:t>shows, students with disability make up 1</w:t>
      </w:r>
      <w:r w:rsidR="41316D0C" w:rsidRPr="00C4084C">
        <w:t>1.6</w:t>
      </w:r>
      <w:r w:rsidRPr="00C4084C">
        <w:t>% of enrolments compared to an expected enrolment share of 8.4%.</w:t>
      </w:r>
      <w:r w:rsidR="00A16B6E" w:rsidRPr="00C4084C">
        <w:t xml:space="preserve"> </w:t>
      </w:r>
      <w:r w:rsidRPr="00C4084C">
        <w:t xml:space="preserve">This would suggest parity of participation in higher education for people with disability has already been achieved, but this result more likely reflects complexities in data collection and comparison. The expected enrolment share is </w:t>
      </w:r>
      <w:r w:rsidR="00B24D74" w:rsidRPr="00C4084C">
        <w:t>estimated</w:t>
      </w:r>
      <w:r w:rsidRPr="00C4084C">
        <w:t xml:space="preserve"> by the Department of Education based on the proportion of the 15 to 64-year-old population with disability, adjusted for age profile and profound disability, which is assumed to preclude participation in higher education. Definitions and collection of disability statistics in higher education and national data collections like the ABS Census differ, making direct comparison difficult. </w:t>
      </w:r>
      <w:r w:rsidR="00746A18" w:rsidRPr="00C4084C">
        <w:t>There</w:t>
      </w:r>
      <w:r w:rsidRPr="00C4084C">
        <w:t xml:space="preserve"> are reported inconsistencies in data collection between </w:t>
      </w:r>
      <w:r w:rsidR="00C7157C" w:rsidRPr="00C4084C">
        <w:t>universities</w:t>
      </w:r>
      <w:r w:rsidR="0082603D">
        <w:t>.</w:t>
      </w:r>
      <w:r w:rsidR="00C7157C" w:rsidRPr="00C4084C">
        <w:t xml:space="preserve"> </w:t>
      </w:r>
      <w:r w:rsidR="0082603D">
        <w:t>In addition</w:t>
      </w:r>
      <w:r w:rsidR="00746A18" w:rsidRPr="00C4084C">
        <w:t>, under-reporting by some universities during the transition to the Tertiary Collection of Student Information (TCSI) System makes comparison challenging in recent years.</w:t>
      </w:r>
      <w:r w:rsidR="00746A18" w:rsidRPr="00C4084C">
        <w:rPr>
          <w:rStyle w:val="FootnoteReference"/>
        </w:rPr>
        <w:footnoteReference w:id="173"/>
      </w:r>
      <w:r w:rsidRPr="00C4084C">
        <w:t xml:space="preserve"> There are also questions about the appropriateness of the current </w:t>
      </w:r>
      <w:r w:rsidRPr="00C4084C">
        <w:lastRenderedPageBreak/>
        <w:t>methodology as an indicator of population parity.</w:t>
      </w:r>
      <w:r w:rsidRPr="00C4084C">
        <w:rPr>
          <w:rStyle w:val="FootnoteReference"/>
          <w:rFonts w:cs="Arial"/>
        </w:rPr>
        <w:footnoteReference w:id="174"/>
      </w:r>
      <w:r w:rsidRPr="00C4084C">
        <w:t xml:space="preserve"> Other factors, such as the likelihood of disability increasing with age, differences in state populations, reliance on self-identification and the broad spectrum of categories of disability, also need to be taken into account in refining a measurement framework.</w:t>
      </w:r>
    </w:p>
    <w:p w14:paraId="0D3303EE" w14:textId="3AF125B4" w:rsidR="00636B80" w:rsidRPr="00C4084C" w:rsidRDefault="00D27626" w:rsidP="000D4294">
      <w:r w:rsidRPr="00C4084C">
        <w:t xml:space="preserve">While the Review recommends that the Australian Government set targets for the </w:t>
      </w:r>
      <w:r w:rsidR="00D16150" w:rsidRPr="00C4084C">
        <w:t xml:space="preserve">4 </w:t>
      </w:r>
      <w:r w:rsidRPr="00C4084C">
        <w:t xml:space="preserve">target cohorts and enhance data practices to support effective measurement, this should be one component of an expanded, integrated and evidence-based student equity framework. In addition to setting targets, </w:t>
      </w:r>
      <w:r w:rsidR="00AC2910">
        <w:t>G</w:t>
      </w:r>
      <w:r w:rsidR="00AC2910" w:rsidRPr="00C4084C">
        <w:t xml:space="preserve">overnment </w:t>
      </w:r>
      <w:r w:rsidRPr="00C4084C">
        <w:t>must improve data collection to understand and address more granular indicators of disadvantage</w:t>
      </w:r>
      <w:r w:rsidR="00C95EFD" w:rsidRPr="00C4084C">
        <w:t xml:space="preserve"> better</w:t>
      </w:r>
      <w:r w:rsidRPr="00C4084C">
        <w:t xml:space="preserve">. </w:t>
      </w:r>
    </w:p>
    <w:p w14:paraId="03CA97CB" w14:textId="4744D5BF" w:rsidR="00D27626" w:rsidRPr="00C4084C" w:rsidRDefault="00D27626" w:rsidP="000D4294">
      <w:r w:rsidRPr="00C4084C">
        <w:t>There is evidence to suggest other cohorts, such as care leavers, refugees, and some language groups from non-English speaking backgrounds, experience significantly lower higher education participation and attainment outcomes.</w:t>
      </w:r>
      <w:r w:rsidRPr="00C4084C">
        <w:rPr>
          <w:rStyle w:val="FootnoteReference"/>
          <w:rFonts w:cs="Arial"/>
        </w:rPr>
        <w:footnoteReference w:id="175"/>
      </w:r>
      <w:r w:rsidRPr="00C4084C">
        <w:t xml:space="preserve"> </w:t>
      </w:r>
      <w:r w:rsidR="009A7417" w:rsidRPr="00C4084C">
        <w:t>E</w:t>
      </w:r>
      <w:r w:rsidRPr="00C4084C">
        <w:t>nhanced data collection to monitor smaller groups of students who likely face educational disadvantage but whose outcomes are not systematically measured and monitored</w:t>
      </w:r>
      <w:r w:rsidR="006E1A77" w:rsidRPr="00C4084C">
        <w:t xml:space="preserve"> </w:t>
      </w:r>
      <w:r w:rsidR="009A7417" w:rsidRPr="00C4084C">
        <w:t>should be undertaken</w:t>
      </w:r>
      <w:r w:rsidRPr="00C4084C">
        <w:t xml:space="preserve">. The Review </w:t>
      </w:r>
      <w:r w:rsidR="00522935" w:rsidRPr="00C4084C">
        <w:t>recommends</w:t>
      </w:r>
      <w:r w:rsidRPr="00C4084C">
        <w:t xml:space="preserve"> </w:t>
      </w:r>
      <w:r w:rsidR="00D35660" w:rsidRPr="00C4084C">
        <w:t>the Australian</w:t>
      </w:r>
      <w:r w:rsidRPr="00C4084C">
        <w:t xml:space="preserve"> Government</w:t>
      </w:r>
      <w:r w:rsidR="0082603D">
        <w:t>,</w:t>
      </w:r>
      <w:r w:rsidRPr="00C4084C">
        <w:t xml:space="preserve"> </w:t>
      </w:r>
      <w:r w:rsidR="00453E2C" w:rsidRPr="00C4084C">
        <w:t>through</w:t>
      </w:r>
      <w:r w:rsidRPr="00C4084C">
        <w:t xml:space="preserve"> the proposed Commission (see </w:t>
      </w:r>
      <w:r w:rsidR="00E95E91" w:rsidRPr="00C4084C">
        <w:rPr>
          <w:i/>
          <w:iCs/>
        </w:rPr>
        <w:fldChar w:fldCharType="begin"/>
      </w:r>
      <w:r w:rsidR="00E95E91" w:rsidRPr="00C4084C">
        <w:rPr>
          <w:i/>
          <w:iCs/>
        </w:rPr>
        <w:instrText xml:space="preserve"> REF _Ref151934666 \r \h </w:instrText>
      </w:r>
      <w:r w:rsidR="008C34DB" w:rsidRPr="00C4084C">
        <w:rPr>
          <w:i/>
          <w:iCs/>
        </w:rPr>
        <w:instrText xml:space="preserve"> \* MERGEFORMAT </w:instrText>
      </w:r>
      <w:r w:rsidR="00E95E91" w:rsidRPr="00C4084C">
        <w:rPr>
          <w:i/>
          <w:iCs/>
        </w:rPr>
      </w:r>
      <w:r w:rsidR="00E95E91" w:rsidRPr="00C4084C">
        <w:rPr>
          <w:i/>
          <w:iCs/>
        </w:rPr>
        <w:fldChar w:fldCharType="separate"/>
      </w:r>
      <w:r w:rsidR="00467B4F">
        <w:rPr>
          <w:i/>
          <w:iCs/>
        </w:rPr>
        <w:t xml:space="preserve">Chapter 6 – </w:t>
      </w:r>
      <w:r w:rsidR="00E95E91" w:rsidRPr="00C4084C">
        <w:rPr>
          <w:i/>
          <w:iCs/>
        </w:rPr>
        <w:fldChar w:fldCharType="end"/>
      </w:r>
      <w:r w:rsidR="003D6703" w:rsidRPr="00C4084C">
        <w:rPr>
          <w:i/>
          <w:iCs/>
        </w:rPr>
        <w:t>A dynamic, collaborative and responsive system that serves the national interest</w:t>
      </w:r>
      <w:r w:rsidRPr="00C4084C">
        <w:t>)</w:t>
      </w:r>
      <w:r w:rsidR="0082603D">
        <w:t>,</w:t>
      </w:r>
      <w:r w:rsidRPr="00C4084C">
        <w:t xml:space="preserve"> consider other potential target groups, such as mature-aged students, carers and prisoners. This would require </w:t>
      </w:r>
      <w:r w:rsidR="009E10A8" w:rsidRPr="00C4084C">
        <w:t xml:space="preserve">expanded </w:t>
      </w:r>
      <w:r w:rsidRPr="00C4084C">
        <w:t>data collection to identify these students and track</w:t>
      </w:r>
      <w:r w:rsidRPr="00C4084C" w:rsidDel="00C539F6">
        <w:t xml:space="preserve"> </w:t>
      </w:r>
      <w:r w:rsidRPr="00C4084C">
        <w:t>their outcomes. A clear definition of first-in-family should also be developed and integrated into an expanded equity data and reporting framework.</w:t>
      </w:r>
    </w:p>
    <w:p w14:paraId="0E2DF20F" w14:textId="0E33CA9E" w:rsidR="00D27626" w:rsidRPr="00C4084C" w:rsidRDefault="00D27626" w:rsidP="00BA6095">
      <w:pPr>
        <w:pStyle w:val="Heading4"/>
        <w:rPr>
          <w:rStyle w:val="normaltextrun"/>
        </w:rPr>
      </w:pPr>
      <w:bookmarkStart w:id="580" w:name="_Toc150523116"/>
      <w:bookmarkStart w:id="581" w:name="_Toc150692412"/>
      <w:bookmarkStart w:id="582" w:name="_Toc153483026"/>
      <w:bookmarkStart w:id="583" w:name="_Toc159500936"/>
      <w:bookmarkStart w:id="584" w:name="_Toc1764430580"/>
      <w:r w:rsidRPr="00C4084C">
        <w:rPr>
          <w:rStyle w:val="normaltextrun"/>
        </w:rPr>
        <w:t xml:space="preserve">Everyone has a role to play in achieving parity of </w:t>
      </w:r>
      <w:proofErr w:type="gramStart"/>
      <w:r w:rsidRPr="00C4084C">
        <w:rPr>
          <w:rStyle w:val="normaltextrun"/>
        </w:rPr>
        <w:t>participation</w:t>
      </w:r>
      <w:bookmarkEnd w:id="580"/>
      <w:bookmarkEnd w:id="581"/>
      <w:bookmarkEnd w:id="582"/>
      <w:bookmarkEnd w:id="583"/>
      <w:proofErr w:type="gramEnd"/>
    </w:p>
    <w:bookmarkEnd w:id="584"/>
    <w:p w14:paraId="13ABDC7A" w14:textId="393B4664" w:rsidR="00D27626" w:rsidRPr="00C4084C" w:rsidRDefault="00D27626" w:rsidP="000D4294">
      <w:pPr>
        <w:rPr>
          <w:rStyle w:val="normaltextrun"/>
        </w:rPr>
      </w:pPr>
      <w:r w:rsidRPr="00C4084C">
        <w:rPr>
          <w:rStyle w:val="normaltextrun"/>
        </w:rPr>
        <w:t xml:space="preserve">Meeting Australia’s future skills needs means the </w:t>
      </w:r>
      <w:r w:rsidR="00066E6F" w:rsidRPr="00C4084C">
        <w:rPr>
          <w:rStyle w:val="normaltextrun"/>
        </w:rPr>
        <w:t xml:space="preserve">whole </w:t>
      </w:r>
      <w:r w:rsidRPr="00C4084C">
        <w:rPr>
          <w:rStyle w:val="normaltextrun"/>
        </w:rPr>
        <w:t xml:space="preserve">higher education system needs to grow. In the context of this anticipated growth, it is even more important that the benefits of higher education are available to all. </w:t>
      </w:r>
    </w:p>
    <w:p w14:paraId="4336028C" w14:textId="73D4F8C1" w:rsidR="00D27626" w:rsidRPr="00C4084C" w:rsidRDefault="00D27626" w:rsidP="000D4294">
      <w:pPr>
        <w:rPr>
          <w:rStyle w:val="normaltextrun"/>
        </w:rPr>
      </w:pPr>
      <w:r w:rsidRPr="00C4084C">
        <w:rPr>
          <w:rStyle w:val="normaltextrun"/>
        </w:rPr>
        <w:t>A parity target</w:t>
      </w:r>
      <w:r w:rsidR="00D04F2C" w:rsidRPr="00C4084C">
        <w:rPr>
          <w:rStyle w:val="normaltextrun"/>
        </w:rPr>
        <w:t xml:space="preserve">, </w:t>
      </w:r>
      <w:r w:rsidR="00F80387" w:rsidRPr="00C4084C">
        <w:rPr>
          <w:rStyle w:val="normaltextrun"/>
        </w:rPr>
        <w:t>aiming for</w:t>
      </w:r>
      <w:r w:rsidR="00D04F2C" w:rsidRPr="00C4084C">
        <w:rPr>
          <w:rStyle w:val="normaltextrun"/>
        </w:rPr>
        <w:t xml:space="preserve"> equal representation </w:t>
      </w:r>
      <w:r w:rsidR="00F80387" w:rsidRPr="00C4084C">
        <w:rPr>
          <w:rStyle w:val="normaltextrun"/>
        </w:rPr>
        <w:t xml:space="preserve">in higher education </w:t>
      </w:r>
      <w:r w:rsidR="00D04F2C" w:rsidRPr="00C4084C">
        <w:rPr>
          <w:rStyle w:val="normaltextrun"/>
        </w:rPr>
        <w:t>for all Australians,</w:t>
      </w:r>
      <w:r w:rsidRPr="00C4084C">
        <w:rPr>
          <w:rStyle w:val="normaltextrun"/>
        </w:rPr>
        <w:t xml:space="preserve"> could be set in </w:t>
      </w:r>
      <w:proofErr w:type="gramStart"/>
      <w:r w:rsidRPr="00C4084C">
        <w:rPr>
          <w:rStyle w:val="normaltextrun"/>
        </w:rPr>
        <w:t>a number of</w:t>
      </w:r>
      <w:proofErr w:type="gramEnd"/>
      <w:r w:rsidRPr="00C4084C">
        <w:rPr>
          <w:rStyle w:val="normaltextrun"/>
        </w:rPr>
        <w:t xml:space="preserve"> ways. The Review </w:t>
      </w:r>
      <w:r w:rsidR="00453E2C" w:rsidRPr="00C4084C">
        <w:rPr>
          <w:rStyle w:val="normaltextrun"/>
        </w:rPr>
        <w:t>commissioned</w:t>
      </w:r>
      <w:r w:rsidRPr="00C4084C">
        <w:rPr>
          <w:rStyle w:val="normaltextrun"/>
        </w:rPr>
        <w:t xml:space="preserve"> the National Centre for Student Equity in Higher Education (NCSEHE) to explore how population parity targets should be set, </w:t>
      </w:r>
      <w:proofErr w:type="gramStart"/>
      <w:r w:rsidRPr="00C4084C">
        <w:rPr>
          <w:rStyle w:val="normaltextrun"/>
        </w:rPr>
        <w:t>taking into account</w:t>
      </w:r>
      <w:proofErr w:type="gramEnd"/>
      <w:r w:rsidRPr="00C4084C">
        <w:rPr>
          <w:rStyle w:val="normaltextrun"/>
        </w:rPr>
        <w:t xml:space="preserve"> the growth needed in higher education enrolments and completions if Australia is to </w:t>
      </w:r>
      <w:r w:rsidR="00F80387" w:rsidRPr="00C4084C">
        <w:rPr>
          <w:rStyle w:val="normaltextrun"/>
        </w:rPr>
        <w:t xml:space="preserve">reach </w:t>
      </w:r>
      <w:r w:rsidR="00524007" w:rsidRPr="00C4084C">
        <w:t>a target of 55% of 25 to 34</w:t>
      </w:r>
      <w:r w:rsidR="00524007" w:rsidRPr="00C4084C">
        <w:noBreakHyphen/>
        <w:t>year-olds achieving a bachelor level or above qualification by 2050</w:t>
      </w:r>
      <w:r w:rsidRPr="00C4084C">
        <w:rPr>
          <w:rStyle w:val="normaltextrun"/>
        </w:rPr>
        <w:t>. It is clear from this work that achieving parity is an exceptionally challenging task.</w:t>
      </w:r>
    </w:p>
    <w:p w14:paraId="0A0C809E" w14:textId="4F638F2A" w:rsidR="00D27626" w:rsidRPr="00C4084C" w:rsidRDefault="00500649" w:rsidP="000D4294">
      <w:r w:rsidRPr="00C4084C">
        <w:t>Location</w:t>
      </w:r>
      <w:r w:rsidR="00D27626" w:rsidRPr="00C4084C">
        <w:t xml:space="preserve"> and institutional context </w:t>
      </w:r>
      <w:r w:rsidR="0083432E" w:rsidRPr="00C4084C">
        <w:t xml:space="preserve">are important </w:t>
      </w:r>
      <w:r w:rsidR="00D27626" w:rsidRPr="00C4084C">
        <w:t xml:space="preserve">for setting and delivering on targets. The Review weighed the merits of setting a national target (as the Bradley Review did), or a target for each jurisdiction that reflects the composition of the population in that state or territory. </w:t>
      </w:r>
      <w:r w:rsidR="00D20B3B" w:rsidRPr="00C4084C">
        <w:t>The</w:t>
      </w:r>
      <w:r w:rsidR="00D27626" w:rsidRPr="00C4084C">
        <w:t xml:space="preserve"> proportion of people from target cohorts differs</w:t>
      </w:r>
      <w:r w:rsidR="00D20B3B" w:rsidRPr="00C4084C">
        <w:t xml:space="preserve"> considerably</w:t>
      </w:r>
      <w:r w:rsidR="00D27626" w:rsidRPr="00C4084C">
        <w:t xml:space="preserve"> by state and territory. For example, </w:t>
      </w:r>
      <w:r w:rsidR="00983AB1" w:rsidRPr="00C4084C">
        <w:t>in 2022, the share of people from low SES backgrounds was higher in Tasmania (42.</w:t>
      </w:r>
      <w:r w:rsidR="001D02A7" w:rsidRPr="00C4084C">
        <w:t>5</w:t>
      </w:r>
      <w:r w:rsidR="00983AB1" w:rsidRPr="00C4084C">
        <w:t>%) and lower in the ACT (0.2%) relative to the overall</w:t>
      </w:r>
      <w:r w:rsidR="00D27626" w:rsidRPr="00C4084C">
        <w:t xml:space="preserve"> Australian population </w:t>
      </w:r>
      <w:r w:rsidR="00983AB1" w:rsidRPr="00C4084C">
        <w:t>(25.0%)</w:t>
      </w:r>
      <w:r w:rsidR="00D27626" w:rsidRPr="00C4084C">
        <w:t xml:space="preserve">. Taking this into account, the Review considers that a </w:t>
      </w:r>
      <w:r w:rsidR="00524007" w:rsidRPr="00C4084C">
        <w:t xml:space="preserve">single </w:t>
      </w:r>
      <w:r w:rsidR="00D27626" w:rsidRPr="00C4084C">
        <w:t xml:space="preserve">national target is not the most appropriate way to drive effort. </w:t>
      </w:r>
    </w:p>
    <w:p w14:paraId="1CAED304" w14:textId="40059BBB" w:rsidR="00D27626" w:rsidRPr="00C4084C" w:rsidRDefault="00D27626" w:rsidP="005E5C5F">
      <w:pPr>
        <w:pStyle w:val="Caption"/>
        <w:rPr>
          <w:b/>
          <w:bCs/>
        </w:rPr>
      </w:pPr>
      <w:bookmarkStart w:id="585" w:name="_Ref151926867"/>
      <w:bookmarkStart w:id="586" w:name="_Toc153809629"/>
      <w:r w:rsidRPr="00C4084C">
        <w:t xml:space="preserve">Table </w:t>
      </w:r>
      <w:r w:rsidRPr="00C4084C">
        <w:fldChar w:fldCharType="begin"/>
      </w:r>
      <w:r w:rsidRPr="00C4084C">
        <w:instrText>SEQ Table \* ARABIC</w:instrText>
      </w:r>
      <w:r w:rsidRPr="00C4084C">
        <w:fldChar w:fldCharType="separate"/>
      </w:r>
      <w:r w:rsidR="00467B4F">
        <w:rPr>
          <w:noProof/>
        </w:rPr>
        <w:t>1</w:t>
      </w:r>
      <w:r w:rsidRPr="00C4084C">
        <w:fldChar w:fldCharType="end"/>
      </w:r>
      <w:bookmarkEnd w:id="585"/>
      <w:r w:rsidRPr="00C4084C">
        <w:t xml:space="preserve">: Target </w:t>
      </w:r>
      <w:r w:rsidR="000F2074" w:rsidRPr="00C4084C">
        <w:t>c</w:t>
      </w:r>
      <w:r w:rsidRPr="00C4084C">
        <w:t xml:space="preserve">ohort </w:t>
      </w:r>
      <w:r w:rsidR="005F6C4E" w:rsidRPr="00C4084C">
        <w:t>share</w:t>
      </w:r>
      <w:r w:rsidR="00C2672A" w:rsidRPr="00C4084C">
        <w:t xml:space="preserve"> of the</w:t>
      </w:r>
      <w:r w:rsidR="000F2074" w:rsidRPr="00C4084C">
        <w:t xml:space="preserve"> population aged 15 to 64 y</w:t>
      </w:r>
      <w:r w:rsidR="00C2672A" w:rsidRPr="00C4084C">
        <w:t>e</w:t>
      </w:r>
      <w:r w:rsidR="000F2074" w:rsidRPr="00C4084C">
        <w:t>ars</w:t>
      </w:r>
      <w:r w:rsidR="005F6C4E" w:rsidRPr="00C4084C">
        <w:t xml:space="preserve"> (%)</w:t>
      </w:r>
      <w:r w:rsidRPr="00C4084C">
        <w:t xml:space="preserve">, </w:t>
      </w:r>
      <w:r w:rsidR="001D03D8" w:rsidRPr="00C4084C">
        <w:t xml:space="preserve">by state and territory and nationally, </w:t>
      </w:r>
      <w:r w:rsidRPr="00C4084C">
        <w:t>202</w:t>
      </w:r>
      <w:r w:rsidR="00173CBD" w:rsidRPr="00C4084C">
        <w:t>1</w:t>
      </w:r>
      <w:r w:rsidR="00C2672A" w:rsidRPr="00C4084C">
        <w:t>.</w:t>
      </w:r>
      <w:bookmarkEnd w:id="586"/>
    </w:p>
    <w:tbl>
      <w:tblPr>
        <w:tblStyle w:val="GridTable3-Accent31"/>
        <w:tblW w:w="9015" w:type="dxa"/>
        <w:jc w:val="center"/>
        <w:tblLook w:val="04A0" w:firstRow="1" w:lastRow="0" w:firstColumn="1" w:lastColumn="0" w:noHBand="0" w:noVBand="1"/>
      </w:tblPr>
      <w:tblGrid>
        <w:gridCol w:w="2551"/>
        <w:gridCol w:w="1616"/>
        <w:gridCol w:w="1616"/>
        <w:gridCol w:w="1616"/>
        <w:gridCol w:w="1616"/>
      </w:tblGrid>
      <w:tr w:rsidR="001C3833" w:rsidRPr="00C4084C" w14:paraId="39D7C2DE" w14:textId="77777777">
        <w:trPr>
          <w:cnfStyle w:val="100000000000" w:firstRow="1" w:lastRow="0" w:firstColumn="0" w:lastColumn="0" w:oddVBand="0" w:evenVBand="0" w:oddHBand="0" w:evenHBand="0" w:firstRowFirstColumn="0" w:firstRowLastColumn="0" w:lastRowFirstColumn="0" w:lastRowLastColumn="0"/>
          <w:trHeight w:val="315"/>
          <w:tblHeader/>
          <w:jc w:val="center"/>
        </w:trPr>
        <w:tc>
          <w:tcPr>
            <w:cnfStyle w:val="001000000100" w:firstRow="0" w:lastRow="0" w:firstColumn="1" w:lastColumn="0" w:oddVBand="0" w:evenVBand="0" w:oddHBand="0" w:evenHBand="0" w:firstRowFirstColumn="1" w:firstRowLastColumn="0" w:lastRowFirstColumn="0" w:lastRowLastColumn="0"/>
            <w:tcW w:w="2551" w:type="dxa"/>
            <w:tcBorders>
              <w:bottom w:val="single" w:sz="12" w:space="0" w:color="A1E2F9"/>
              <w:right w:val="single" w:sz="12" w:space="0" w:color="A1E2F9"/>
            </w:tcBorders>
            <w:shd w:val="clear" w:color="auto" w:fill="D0F1FC"/>
            <w:hideMark/>
          </w:tcPr>
          <w:p w14:paraId="1736582B" w14:textId="77777777" w:rsidR="00173CBD" w:rsidRPr="00C4084C" w:rsidRDefault="00173CBD">
            <w:pPr>
              <w:spacing w:after="0"/>
              <w:rPr>
                <w:rFonts w:ascii="Calibri" w:eastAsia="Calibri" w:hAnsi="Calibri" w:cs="Arial"/>
                <w:color w:val="FFFFFF"/>
                <w:lang w:eastAsia="en-AU"/>
              </w:rPr>
            </w:pPr>
          </w:p>
        </w:tc>
        <w:tc>
          <w:tcPr>
            <w:tcW w:w="1616" w:type="dxa"/>
            <w:tcBorders>
              <w:left w:val="single" w:sz="12" w:space="0" w:color="A1E2F9"/>
              <w:bottom w:val="single" w:sz="12" w:space="0" w:color="A1E2F9"/>
            </w:tcBorders>
            <w:shd w:val="clear" w:color="auto" w:fill="D0F1FC"/>
            <w:hideMark/>
          </w:tcPr>
          <w:p w14:paraId="1AE13467" w14:textId="77777777" w:rsidR="00173CBD" w:rsidRPr="00C4084C" w:rsidRDefault="00173CBD">
            <w:pPr>
              <w:spacing w:after="0"/>
              <w:jc w:val="right"/>
              <w:cnfStyle w:val="100000000000" w:firstRow="1" w:lastRow="0" w:firstColumn="0" w:lastColumn="0" w:oddVBand="0" w:evenVBand="0" w:oddHBand="0" w:evenHBand="0" w:firstRowFirstColumn="0" w:firstRowLastColumn="0" w:lastRowFirstColumn="0" w:lastRowLastColumn="0"/>
              <w:rPr>
                <w:rFonts w:ascii="Calibri" w:eastAsia="Calibri" w:hAnsi="Calibri" w:cs="Arial"/>
                <w:color w:val="FFFFFF"/>
                <w:lang w:eastAsia="en-AU"/>
              </w:rPr>
            </w:pPr>
            <w:r w:rsidRPr="00C4084C">
              <w:rPr>
                <w:rFonts w:ascii="Calibri" w:eastAsia="Calibri" w:hAnsi="Calibri" w:cs="Arial"/>
                <w:lang w:eastAsia="en-AU"/>
              </w:rPr>
              <w:t xml:space="preserve">Low SES </w:t>
            </w:r>
            <w:r w:rsidRPr="00C4084C" w:rsidDel="00C2672A">
              <w:rPr>
                <w:rFonts w:ascii="Calibri" w:eastAsia="Calibri" w:hAnsi="Calibri" w:cs="Arial"/>
                <w:lang w:eastAsia="en-AU"/>
              </w:rPr>
              <w:t>background</w:t>
            </w:r>
          </w:p>
        </w:tc>
        <w:tc>
          <w:tcPr>
            <w:tcW w:w="1616" w:type="dxa"/>
            <w:tcBorders>
              <w:bottom w:val="single" w:sz="12" w:space="0" w:color="A1E2F9"/>
            </w:tcBorders>
            <w:shd w:val="clear" w:color="auto" w:fill="D0F1FC"/>
            <w:hideMark/>
          </w:tcPr>
          <w:p w14:paraId="4CA41188" w14:textId="77777777" w:rsidR="00173CBD" w:rsidRPr="00C4084C" w:rsidRDefault="00173CBD">
            <w:pPr>
              <w:spacing w:after="0"/>
              <w:jc w:val="right"/>
              <w:cnfStyle w:val="100000000000" w:firstRow="1" w:lastRow="0" w:firstColumn="0" w:lastColumn="0" w:oddVBand="0" w:evenVBand="0" w:oddHBand="0" w:evenHBand="0" w:firstRowFirstColumn="0" w:firstRowLastColumn="0" w:lastRowFirstColumn="0" w:lastRowLastColumn="0"/>
              <w:rPr>
                <w:rFonts w:ascii="Calibri" w:eastAsia="Calibri" w:hAnsi="Calibri" w:cs="Arial"/>
                <w:lang w:eastAsia="en-AU"/>
              </w:rPr>
            </w:pPr>
            <w:r w:rsidRPr="00C4084C">
              <w:rPr>
                <w:rFonts w:ascii="Calibri" w:eastAsia="Calibri" w:hAnsi="Calibri" w:cs="Arial"/>
                <w:lang w:eastAsia="en-AU"/>
              </w:rPr>
              <w:t>First Nations</w:t>
            </w:r>
          </w:p>
        </w:tc>
        <w:tc>
          <w:tcPr>
            <w:tcW w:w="1616" w:type="dxa"/>
            <w:tcBorders>
              <w:bottom w:val="single" w:sz="12" w:space="0" w:color="A1E2F9"/>
            </w:tcBorders>
            <w:shd w:val="clear" w:color="auto" w:fill="D0F1FC"/>
          </w:tcPr>
          <w:p w14:paraId="4D417E80" w14:textId="77777777" w:rsidR="00173CBD" w:rsidRPr="00C4084C" w:rsidRDefault="00173CBD">
            <w:pPr>
              <w:spacing w:after="0"/>
              <w:jc w:val="right"/>
              <w:cnfStyle w:val="100000000000" w:firstRow="1" w:lastRow="0" w:firstColumn="0" w:lastColumn="0" w:oddVBand="0" w:evenVBand="0" w:oddHBand="0" w:evenHBand="0" w:firstRowFirstColumn="0" w:firstRowLastColumn="0" w:lastRowFirstColumn="0" w:lastRowLastColumn="0"/>
              <w:rPr>
                <w:rFonts w:ascii="Calibri" w:eastAsia="Calibri" w:hAnsi="Calibri" w:cs="Arial"/>
                <w:lang w:eastAsia="en-AU"/>
              </w:rPr>
            </w:pPr>
            <w:r w:rsidRPr="00C4084C">
              <w:rPr>
                <w:rFonts w:ascii="Calibri" w:eastAsia="Calibri" w:hAnsi="Calibri" w:cs="Arial"/>
                <w:lang w:eastAsia="en-AU"/>
              </w:rPr>
              <w:t>Regional, Rural and Remote</w:t>
            </w:r>
          </w:p>
        </w:tc>
        <w:tc>
          <w:tcPr>
            <w:tcW w:w="1616" w:type="dxa"/>
            <w:tcBorders>
              <w:bottom w:val="single" w:sz="12" w:space="0" w:color="A1E2F9"/>
            </w:tcBorders>
            <w:shd w:val="clear" w:color="auto" w:fill="D0F1FC"/>
          </w:tcPr>
          <w:p w14:paraId="649EC426" w14:textId="6214904C" w:rsidR="00173CBD" w:rsidRPr="00C4084C" w:rsidRDefault="00173CBD">
            <w:pPr>
              <w:spacing w:after="0"/>
              <w:jc w:val="right"/>
              <w:cnfStyle w:val="100000000000" w:firstRow="1" w:lastRow="0" w:firstColumn="0" w:lastColumn="0" w:oddVBand="0" w:evenVBand="0" w:oddHBand="0" w:evenHBand="0" w:firstRowFirstColumn="0" w:firstRowLastColumn="0" w:lastRowFirstColumn="0" w:lastRowLastColumn="0"/>
              <w:rPr>
                <w:rFonts w:ascii="Calibri" w:eastAsia="Calibri" w:hAnsi="Calibri" w:cs="Arial"/>
                <w:lang w:eastAsia="en-AU"/>
              </w:rPr>
            </w:pPr>
            <w:r w:rsidRPr="00C4084C">
              <w:rPr>
                <w:rFonts w:ascii="Calibri" w:eastAsia="Calibri" w:hAnsi="Calibri" w:cs="Arial"/>
                <w:lang w:eastAsia="en-AU"/>
              </w:rPr>
              <w:t xml:space="preserve">Disability </w:t>
            </w:r>
          </w:p>
        </w:tc>
      </w:tr>
      <w:tr w:rsidR="00CF7760" w:rsidRPr="00C4084C" w14:paraId="56D01600" w14:textId="77777777">
        <w:tblPrEx>
          <w:tblBorders>
            <w:top w:val="none" w:sz="0" w:space="0" w:color="auto"/>
            <w:left w:val="none" w:sz="0" w:space="0" w:color="auto"/>
            <w:insideV w:val="single" w:sz="4" w:space="0" w:color="D0F1FC"/>
          </w:tblBorders>
          <w:tblLook w:val="06A0" w:firstRow="1" w:lastRow="0" w:firstColumn="1" w:lastColumn="0" w:noHBand="1" w:noVBand="1"/>
        </w:tblPrEx>
        <w:trPr>
          <w:cantSplit/>
          <w:trHeight w:val="315"/>
          <w:jc w:val="center"/>
        </w:trPr>
        <w:tc>
          <w:tcPr>
            <w:cnfStyle w:val="001000000000" w:firstRow="0" w:lastRow="0" w:firstColumn="1" w:lastColumn="0" w:oddVBand="0" w:evenVBand="0" w:oddHBand="0" w:evenHBand="0" w:firstRowFirstColumn="0" w:firstRowLastColumn="0" w:lastRowFirstColumn="0" w:lastRowLastColumn="0"/>
            <w:tcW w:w="2551" w:type="dxa"/>
            <w:tcBorders>
              <w:top w:val="single" w:sz="12" w:space="0" w:color="A1E2F9"/>
              <w:bottom w:val="single" w:sz="6" w:space="0" w:color="89DAF7"/>
              <w:right w:val="single" w:sz="12" w:space="0" w:color="A1E2F9"/>
            </w:tcBorders>
            <w:hideMark/>
          </w:tcPr>
          <w:p w14:paraId="255B890E" w14:textId="77777777" w:rsidR="00173CBD" w:rsidRPr="00C4084C" w:rsidRDefault="00173CBD">
            <w:pPr>
              <w:jc w:val="left"/>
              <w:rPr>
                <w:rFonts w:ascii="Calibri" w:eastAsia="Calibri" w:hAnsi="Calibri" w:cs="Arial"/>
                <w:b/>
                <w:bCs/>
                <w:i w:val="0"/>
                <w:iCs w:val="0"/>
                <w:lang w:eastAsia="en-AU"/>
              </w:rPr>
            </w:pPr>
            <w:r w:rsidRPr="00C4084C">
              <w:rPr>
                <w:rFonts w:ascii="Calibri" w:eastAsia="Calibri" w:hAnsi="Calibri" w:cs="Arial"/>
                <w:b/>
                <w:bCs/>
                <w:i w:val="0"/>
                <w:iCs w:val="0"/>
                <w:lang w:eastAsia="en-AU"/>
              </w:rPr>
              <w:t xml:space="preserve">New South Wales </w:t>
            </w:r>
          </w:p>
        </w:tc>
        <w:tc>
          <w:tcPr>
            <w:tcW w:w="1616" w:type="dxa"/>
            <w:tcBorders>
              <w:top w:val="single" w:sz="12" w:space="0" w:color="A1E2F9"/>
              <w:left w:val="single" w:sz="12" w:space="0" w:color="A1E2F9"/>
              <w:bottom w:val="single" w:sz="4" w:space="0" w:color="89DAF7"/>
              <w:right w:val="single" w:sz="4" w:space="0" w:color="D0F1FC"/>
            </w:tcBorders>
            <w:hideMark/>
          </w:tcPr>
          <w:p w14:paraId="43A59FB9" w14:textId="39780D88" w:rsidR="00173CBD" w:rsidRPr="00C4084C" w:rsidRDefault="00DE12B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000000"/>
                <w:lang w:eastAsia="en-AU"/>
              </w:rPr>
            </w:pPr>
            <w:r w:rsidRPr="00C4084C">
              <w:rPr>
                <w:rFonts w:ascii="Calibri" w:eastAsia="Calibri" w:hAnsi="Calibri" w:cs="Arial"/>
                <w:lang w:eastAsia="en-AU"/>
              </w:rPr>
              <w:t>19.7</w:t>
            </w:r>
          </w:p>
        </w:tc>
        <w:tc>
          <w:tcPr>
            <w:tcW w:w="1616" w:type="dxa"/>
            <w:tcBorders>
              <w:top w:val="single" w:sz="12" w:space="0" w:color="A1E2F9"/>
              <w:left w:val="single" w:sz="4" w:space="0" w:color="D0F1FC"/>
              <w:bottom w:val="single" w:sz="4" w:space="0" w:color="89DAF7"/>
              <w:right w:val="single" w:sz="4" w:space="0" w:color="D0F1FC"/>
            </w:tcBorders>
            <w:hideMark/>
          </w:tcPr>
          <w:p w14:paraId="43ED5A8B" w14:textId="77777777" w:rsidR="00173CBD" w:rsidRPr="00C4084C" w:rsidRDefault="00173CBD">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000000"/>
                <w:lang w:eastAsia="en-AU"/>
              </w:rPr>
            </w:pPr>
            <w:r w:rsidRPr="00C4084C">
              <w:rPr>
                <w:rFonts w:ascii="Calibri" w:eastAsia="Calibri" w:hAnsi="Calibri" w:cs="Arial"/>
                <w:color w:val="000000" w:themeColor="text1"/>
                <w:lang w:eastAsia="en-AU"/>
              </w:rPr>
              <w:t>3.0</w:t>
            </w:r>
          </w:p>
        </w:tc>
        <w:tc>
          <w:tcPr>
            <w:tcW w:w="1616" w:type="dxa"/>
            <w:tcBorders>
              <w:top w:val="single" w:sz="12" w:space="0" w:color="A1E2F9"/>
              <w:left w:val="single" w:sz="4" w:space="0" w:color="D0F1FC"/>
              <w:bottom w:val="single" w:sz="4" w:space="0" w:color="89DAF7"/>
              <w:right w:val="single" w:sz="4" w:space="0" w:color="D0F1FC"/>
            </w:tcBorders>
          </w:tcPr>
          <w:p w14:paraId="03B75447" w14:textId="77777777" w:rsidR="00173CBD" w:rsidRPr="00C4084C" w:rsidRDefault="00173CBD">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000000"/>
                <w:lang w:eastAsia="en-AU"/>
              </w:rPr>
            </w:pPr>
            <w:r w:rsidRPr="00C4084C">
              <w:rPr>
                <w:rFonts w:ascii="Calibri" w:eastAsia="Calibri" w:hAnsi="Calibri" w:cs="Arial"/>
                <w:color w:val="000000" w:themeColor="text1"/>
              </w:rPr>
              <w:t>22.5</w:t>
            </w:r>
          </w:p>
        </w:tc>
        <w:tc>
          <w:tcPr>
            <w:tcW w:w="1616" w:type="dxa"/>
            <w:tcBorders>
              <w:top w:val="single" w:sz="12" w:space="0" w:color="A1E2F9"/>
              <w:left w:val="single" w:sz="4" w:space="0" w:color="D0F1FC"/>
              <w:bottom w:val="single" w:sz="4" w:space="0" w:color="89DAF7"/>
              <w:right w:val="nil"/>
            </w:tcBorders>
          </w:tcPr>
          <w:p w14:paraId="2B28C9BD" w14:textId="77777777" w:rsidR="00173CBD" w:rsidRPr="00C4084C" w:rsidRDefault="00173CBD" w:rsidP="00173CBD">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000000"/>
              </w:rPr>
            </w:pPr>
            <w:r w:rsidRPr="00C4084C">
              <w:rPr>
                <w:rFonts w:ascii="Calibri" w:eastAsia="Calibri" w:hAnsi="Calibri" w:cs="Arial"/>
                <w:color w:val="000000"/>
              </w:rPr>
              <w:t>-</w:t>
            </w:r>
          </w:p>
        </w:tc>
      </w:tr>
      <w:tr w:rsidR="00CF7760" w:rsidRPr="00C4084C" w14:paraId="13206510" w14:textId="77777777">
        <w:tblPrEx>
          <w:tblBorders>
            <w:top w:val="none" w:sz="0" w:space="0" w:color="auto"/>
            <w:left w:val="none" w:sz="0" w:space="0" w:color="auto"/>
            <w:insideV w:val="single" w:sz="4" w:space="0" w:color="D0F1FC"/>
          </w:tblBorders>
          <w:tblLook w:val="06A0" w:firstRow="1" w:lastRow="0" w:firstColumn="1" w:lastColumn="0" w:noHBand="1" w:noVBand="1"/>
        </w:tblPrEx>
        <w:trPr>
          <w:cantSplit/>
          <w:trHeight w:val="315"/>
          <w:jc w:val="center"/>
        </w:trPr>
        <w:tc>
          <w:tcPr>
            <w:cnfStyle w:val="001000000000" w:firstRow="0" w:lastRow="0" w:firstColumn="1" w:lastColumn="0" w:oddVBand="0" w:evenVBand="0" w:oddHBand="0" w:evenHBand="0" w:firstRowFirstColumn="0" w:firstRowLastColumn="0" w:lastRowFirstColumn="0" w:lastRowLastColumn="0"/>
            <w:tcW w:w="2551" w:type="dxa"/>
            <w:tcBorders>
              <w:top w:val="single" w:sz="6" w:space="0" w:color="89DAF7"/>
              <w:bottom w:val="single" w:sz="6" w:space="0" w:color="89DAF7"/>
              <w:right w:val="single" w:sz="12" w:space="0" w:color="A1E2F9"/>
            </w:tcBorders>
            <w:hideMark/>
          </w:tcPr>
          <w:p w14:paraId="07E8DCA3" w14:textId="77777777" w:rsidR="00173CBD" w:rsidRPr="00C4084C" w:rsidRDefault="00173CBD">
            <w:pPr>
              <w:jc w:val="left"/>
              <w:rPr>
                <w:rFonts w:ascii="Calibri" w:eastAsia="Calibri" w:hAnsi="Calibri" w:cs="Arial"/>
                <w:b/>
                <w:bCs/>
                <w:i w:val="0"/>
                <w:iCs w:val="0"/>
                <w:lang w:eastAsia="en-AU"/>
              </w:rPr>
            </w:pPr>
            <w:r w:rsidRPr="00C4084C">
              <w:rPr>
                <w:rFonts w:ascii="Calibri" w:eastAsia="Calibri" w:hAnsi="Calibri" w:cs="Arial"/>
                <w:b/>
                <w:bCs/>
                <w:i w:val="0"/>
                <w:iCs w:val="0"/>
                <w:lang w:eastAsia="en-AU"/>
              </w:rPr>
              <w:lastRenderedPageBreak/>
              <w:t xml:space="preserve">Victoria </w:t>
            </w:r>
          </w:p>
        </w:tc>
        <w:tc>
          <w:tcPr>
            <w:tcW w:w="1616" w:type="dxa"/>
            <w:tcBorders>
              <w:top w:val="single" w:sz="4" w:space="0" w:color="89DAF7"/>
              <w:left w:val="single" w:sz="12" w:space="0" w:color="A1E2F9"/>
              <w:bottom w:val="single" w:sz="4" w:space="0" w:color="89DAF7"/>
              <w:right w:val="single" w:sz="4" w:space="0" w:color="D0F1FC"/>
            </w:tcBorders>
            <w:hideMark/>
          </w:tcPr>
          <w:p w14:paraId="0B651C81" w14:textId="4DABFAFD" w:rsidR="00173CBD" w:rsidRPr="00C4084C" w:rsidRDefault="00DE12B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000000"/>
                <w:lang w:eastAsia="en-AU"/>
              </w:rPr>
            </w:pPr>
            <w:r w:rsidRPr="00C4084C">
              <w:rPr>
                <w:rFonts w:ascii="Calibri" w:eastAsia="Calibri" w:hAnsi="Calibri" w:cs="Arial"/>
                <w:lang w:eastAsia="en-AU"/>
              </w:rPr>
              <w:t>15</w:t>
            </w:r>
            <w:r w:rsidR="00173CBD" w:rsidRPr="00C4084C">
              <w:rPr>
                <w:rFonts w:ascii="Calibri" w:eastAsia="Calibri" w:hAnsi="Calibri" w:cs="Arial"/>
                <w:lang w:eastAsia="en-AU"/>
              </w:rPr>
              <w:t>.4</w:t>
            </w:r>
          </w:p>
        </w:tc>
        <w:tc>
          <w:tcPr>
            <w:tcW w:w="1616" w:type="dxa"/>
            <w:tcBorders>
              <w:top w:val="single" w:sz="4" w:space="0" w:color="89DAF7"/>
              <w:left w:val="single" w:sz="4" w:space="0" w:color="D0F1FC"/>
              <w:bottom w:val="single" w:sz="4" w:space="0" w:color="89DAF7"/>
              <w:right w:val="single" w:sz="4" w:space="0" w:color="D0F1FC"/>
            </w:tcBorders>
            <w:hideMark/>
          </w:tcPr>
          <w:p w14:paraId="410338AF" w14:textId="77777777" w:rsidR="00173CBD" w:rsidRPr="00C4084C" w:rsidRDefault="00173CBD">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000000"/>
                <w:lang w:eastAsia="en-AU"/>
              </w:rPr>
            </w:pPr>
            <w:r w:rsidRPr="00C4084C">
              <w:rPr>
                <w:rFonts w:ascii="Calibri" w:eastAsia="Calibri" w:hAnsi="Calibri" w:cs="Arial"/>
                <w:color w:val="000000" w:themeColor="text1"/>
                <w:lang w:eastAsia="en-AU"/>
              </w:rPr>
              <w:t>0.9</w:t>
            </w:r>
          </w:p>
        </w:tc>
        <w:tc>
          <w:tcPr>
            <w:tcW w:w="1616" w:type="dxa"/>
            <w:tcBorders>
              <w:top w:val="single" w:sz="4" w:space="0" w:color="89DAF7"/>
              <w:left w:val="single" w:sz="4" w:space="0" w:color="D0F1FC"/>
              <w:bottom w:val="single" w:sz="4" w:space="0" w:color="89DAF7"/>
              <w:right w:val="single" w:sz="4" w:space="0" w:color="D0F1FC"/>
            </w:tcBorders>
          </w:tcPr>
          <w:p w14:paraId="33A277C7" w14:textId="77777777" w:rsidR="00173CBD" w:rsidRPr="00C4084C" w:rsidRDefault="00173CBD">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000000"/>
                <w:lang w:eastAsia="en-AU"/>
              </w:rPr>
            </w:pPr>
            <w:r w:rsidRPr="00C4084C">
              <w:rPr>
                <w:rFonts w:ascii="Calibri" w:eastAsia="Calibri" w:hAnsi="Calibri" w:cs="Arial"/>
                <w:color w:val="000000" w:themeColor="text1"/>
              </w:rPr>
              <w:t>20.7</w:t>
            </w:r>
          </w:p>
        </w:tc>
        <w:tc>
          <w:tcPr>
            <w:tcW w:w="1616" w:type="dxa"/>
            <w:tcBorders>
              <w:top w:val="single" w:sz="4" w:space="0" w:color="89DAF7"/>
              <w:left w:val="single" w:sz="4" w:space="0" w:color="D0F1FC"/>
              <w:bottom w:val="single" w:sz="4" w:space="0" w:color="89DAF7"/>
              <w:right w:val="nil"/>
            </w:tcBorders>
          </w:tcPr>
          <w:p w14:paraId="7AD9DDD6" w14:textId="77777777" w:rsidR="00173CBD" w:rsidRPr="00C4084C" w:rsidRDefault="00173CBD" w:rsidP="00173CBD">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000000"/>
              </w:rPr>
            </w:pPr>
            <w:r w:rsidRPr="00C4084C">
              <w:rPr>
                <w:rFonts w:ascii="Calibri" w:eastAsia="Calibri" w:hAnsi="Calibri" w:cs="Arial"/>
                <w:color w:val="000000"/>
              </w:rPr>
              <w:t>-</w:t>
            </w:r>
          </w:p>
        </w:tc>
      </w:tr>
      <w:tr w:rsidR="00CF7760" w:rsidRPr="00C4084C" w14:paraId="529ECE6F" w14:textId="77777777">
        <w:tblPrEx>
          <w:tblBorders>
            <w:top w:val="none" w:sz="0" w:space="0" w:color="auto"/>
            <w:left w:val="none" w:sz="0" w:space="0" w:color="auto"/>
            <w:insideV w:val="single" w:sz="4" w:space="0" w:color="D0F1FC"/>
          </w:tblBorders>
          <w:tblLook w:val="06A0" w:firstRow="1" w:lastRow="0" w:firstColumn="1" w:lastColumn="0" w:noHBand="1" w:noVBand="1"/>
        </w:tblPrEx>
        <w:trPr>
          <w:cantSplit/>
          <w:trHeight w:val="315"/>
          <w:jc w:val="center"/>
        </w:trPr>
        <w:tc>
          <w:tcPr>
            <w:cnfStyle w:val="001000000000" w:firstRow="0" w:lastRow="0" w:firstColumn="1" w:lastColumn="0" w:oddVBand="0" w:evenVBand="0" w:oddHBand="0" w:evenHBand="0" w:firstRowFirstColumn="0" w:firstRowLastColumn="0" w:lastRowFirstColumn="0" w:lastRowLastColumn="0"/>
            <w:tcW w:w="2551" w:type="dxa"/>
            <w:tcBorders>
              <w:top w:val="single" w:sz="6" w:space="0" w:color="89DAF7"/>
              <w:bottom w:val="single" w:sz="6" w:space="0" w:color="89DAF7"/>
              <w:right w:val="single" w:sz="12" w:space="0" w:color="A1E2F9"/>
            </w:tcBorders>
            <w:hideMark/>
          </w:tcPr>
          <w:p w14:paraId="5CD1D646" w14:textId="77777777" w:rsidR="00173CBD" w:rsidRPr="00C4084C" w:rsidRDefault="00173CBD">
            <w:pPr>
              <w:jc w:val="left"/>
              <w:rPr>
                <w:rFonts w:ascii="Calibri" w:eastAsia="Calibri" w:hAnsi="Calibri" w:cs="Arial"/>
                <w:b/>
                <w:bCs/>
                <w:i w:val="0"/>
                <w:iCs w:val="0"/>
                <w:lang w:eastAsia="en-AU"/>
              </w:rPr>
            </w:pPr>
            <w:r w:rsidRPr="00C4084C">
              <w:rPr>
                <w:rFonts w:ascii="Calibri" w:eastAsia="Calibri" w:hAnsi="Calibri" w:cs="Arial"/>
                <w:b/>
                <w:bCs/>
                <w:i w:val="0"/>
                <w:iCs w:val="0"/>
                <w:lang w:eastAsia="en-AU"/>
              </w:rPr>
              <w:t xml:space="preserve">Queensland </w:t>
            </w:r>
          </w:p>
        </w:tc>
        <w:tc>
          <w:tcPr>
            <w:tcW w:w="1616" w:type="dxa"/>
            <w:tcBorders>
              <w:top w:val="single" w:sz="4" w:space="0" w:color="89DAF7"/>
              <w:left w:val="single" w:sz="12" w:space="0" w:color="A1E2F9"/>
              <w:bottom w:val="single" w:sz="4" w:space="0" w:color="89DAF7"/>
              <w:right w:val="single" w:sz="4" w:space="0" w:color="D0F1FC"/>
            </w:tcBorders>
            <w:hideMark/>
          </w:tcPr>
          <w:p w14:paraId="791635DC" w14:textId="59C89AEB" w:rsidR="00173CBD" w:rsidRPr="00C4084C" w:rsidRDefault="00DE12B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000000"/>
                <w:lang w:eastAsia="en-AU"/>
              </w:rPr>
            </w:pPr>
            <w:r w:rsidRPr="00C4084C">
              <w:rPr>
                <w:rFonts w:ascii="Calibri" w:eastAsia="Calibri" w:hAnsi="Calibri" w:cs="Arial"/>
                <w:lang w:eastAsia="en-AU"/>
              </w:rPr>
              <w:t>29</w:t>
            </w:r>
            <w:r w:rsidR="00173CBD" w:rsidRPr="00C4084C">
              <w:rPr>
                <w:rFonts w:ascii="Calibri" w:eastAsia="Calibri" w:hAnsi="Calibri" w:cs="Arial"/>
                <w:lang w:eastAsia="en-AU"/>
              </w:rPr>
              <w:t>.1</w:t>
            </w:r>
          </w:p>
        </w:tc>
        <w:tc>
          <w:tcPr>
            <w:tcW w:w="1616" w:type="dxa"/>
            <w:tcBorders>
              <w:top w:val="single" w:sz="4" w:space="0" w:color="89DAF7"/>
              <w:left w:val="single" w:sz="4" w:space="0" w:color="D0F1FC"/>
              <w:bottom w:val="single" w:sz="4" w:space="0" w:color="89DAF7"/>
              <w:right w:val="single" w:sz="4" w:space="0" w:color="D0F1FC"/>
            </w:tcBorders>
            <w:hideMark/>
          </w:tcPr>
          <w:p w14:paraId="641D317B" w14:textId="6242B079" w:rsidR="00173CBD" w:rsidRPr="00C4084C" w:rsidRDefault="00173CBD">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000000"/>
                <w:lang w:eastAsia="en-AU"/>
              </w:rPr>
            </w:pPr>
            <w:r w:rsidRPr="00C4084C">
              <w:rPr>
                <w:rFonts w:ascii="Calibri" w:eastAsia="Calibri" w:hAnsi="Calibri" w:cs="Arial"/>
                <w:color w:val="000000" w:themeColor="text1"/>
                <w:lang w:eastAsia="en-AU"/>
              </w:rPr>
              <w:t>4.</w:t>
            </w:r>
            <w:r w:rsidR="00820A81">
              <w:rPr>
                <w:rFonts w:ascii="Calibri" w:eastAsia="Calibri" w:hAnsi="Calibri" w:cs="Arial"/>
                <w:color w:val="000000" w:themeColor="text1"/>
                <w:lang w:eastAsia="en-AU"/>
              </w:rPr>
              <w:t>4</w:t>
            </w:r>
          </w:p>
        </w:tc>
        <w:tc>
          <w:tcPr>
            <w:tcW w:w="1616" w:type="dxa"/>
            <w:tcBorders>
              <w:top w:val="single" w:sz="4" w:space="0" w:color="89DAF7"/>
              <w:left w:val="single" w:sz="4" w:space="0" w:color="D0F1FC"/>
              <w:bottom w:val="single" w:sz="4" w:space="0" w:color="89DAF7"/>
              <w:right w:val="single" w:sz="4" w:space="0" w:color="D0F1FC"/>
            </w:tcBorders>
          </w:tcPr>
          <w:p w14:paraId="4F001F90" w14:textId="77777777" w:rsidR="00173CBD" w:rsidRPr="00C4084C" w:rsidRDefault="00173CBD">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000000"/>
                <w:lang w:eastAsia="en-AU"/>
              </w:rPr>
            </w:pPr>
            <w:r w:rsidRPr="00C4084C">
              <w:rPr>
                <w:rFonts w:ascii="Calibri" w:eastAsia="Calibri" w:hAnsi="Calibri" w:cs="Arial"/>
                <w:color w:val="000000" w:themeColor="text1"/>
              </w:rPr>
              <w:t>33.9</w:t>
            </w:r>
          </w:p>
        </w:tc>
        <w:tc>
          <w:tcPr>
            <w:tcW w:w="1616" w:type="dxa"/>
            <w:tcBorders>
              <w:top w:val="single" w:sz="4" w:space="0" w:color="89DAF7"/>
              <w:left w:val="single" w:sz="4" w:space="0" w:color="D0F1FC"/>
              <w:bottom w:val="single" w:sz="4" w:space="0" w:color="89DAF7"/>
              <w:right w:val="nil"/>
            </w:tcBorders>
          </w:tcPr>
          <w:p w14:paraId="52C7B605" w14:textId="77777777" w:rsidR="00173CBD" w:rsidRPr="00C4084C" w:rsidRDefault="00173CBD" w:rsidP="00173CBD">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000000"/>
              </w:rPr>
            </w:pPr>
            <w:r w:rsidRPr="00C4084C">
              <w:rPr>
                <w:rFonts w:ascii="Calibri" w:eastAsia="Calibri" w:hAnsi="Calibri" w:cs="Arial"/>
                <w:color w:val="000000"/>
              </w:rPr>
              <w:t>-</w:t>
            </w:r>
          </w:p>
        </w:tc>
      </w:tr>
      <w:tr w:rsidR="00CF7760" w:rsidRPr="00C4084C" w14:paraId="2577A69C" w14:textId="77777777">
        <w:tblPrEx>
          <w:tblBorders>
            <w:top w:val="none" w:sz="0" w:space="0" w:color="auto"/>
            <w:left w:val="none" w:sz="0" w:space="0" w:color="auto"/>
            <w:insideV w:val="single" w:sz="4" w:space="0" w:color="D0F1FC"/>
          </w:tblBorders>
          <w:tblLook w:val="06A0" w:firstRow="1" w:lastRow="0" w:firstColumn="1" w:lastColumn="0" w:noHBand="1" w:noVBand="1"/>
        </w:tblPrEx>
        <w:trPr>
          <w:cantSplit/>
          <w:trHeight w:val="315"/>
          <w:jc w:val="center"/>
        </w:trPr>
        <w:tc>
          <w:tcPr>
            <w:cnfStyle w:val="001000000000" w:firstRow="0" w:lastRow="0" w:firstColumn="1" w:lastColumn="0" w:oddVBand="0" w:evenVBand="0" w:oddHBand="0" w:evenHBand="0" w:firstRowFirstColumn="0" w:firstRowLastColumn="0" w:lastRowFirstColumn="0" w:lastRowLastColumn="0"/>
            <w:tcW w:w="2551" w:type="dxa"/>
            <w:tcBorders>
              <w:top w:val="single" w:sz="6" w:space="0" w:color="89DAF7"/>
              <w:bottom w:val="single" w:sz="6" w:space="0" w:color="89DAF7"/>
              <w:right w:val="single" w:sz="12" w:space="0" w:color="A1E2F9"/>
            </w:tcBorders>
            <w:hideMark/>
          </w:tcPr>
          <w:p w14:paraId="31625264" w14:textId="77777777" w:rsidR="00173CBD" w:rsidRPr="00C4084C" w:rsidRDefault="00173CBD">
            <w:pPr>
              <w:jc w:val="left"/>
              <w:rPr>
                <w:rFonts w:ascii="Calibri" w:eastAsia="Calibri" w:hAnsi="Calibri" w:cs="Arial"/>
                <w:b/>
                <w:bCs/>
                <w:i w:val="0"/>
                <w:iCs w:val="0"/>
                <w:lang w:eastAsia="en-AU"/>
              </w:rPr>
            </w:pPr>
            <w:r w:rsidRPr="00C4084C">
              <w:rPr>
                <w:rFonts w:ascii="Calibri" w:eastAsia="Calibri" w:hAnsi="Calibri" w:cs="Arial"/>
                <w:b/>
                <w:bCs/>
                <w:i w:val="0"/>
                <w:iCs w:val="0"/>
                <w:lang w:eastAsia="en-AU"/>
              </w:rPr>
              <w:t xml:space="preserve">Western Australia </w:t>
            </w:r>
          </w:p>
        </w:tc>
        <w:tc>
          <w:tcPr>
            <w:tcW w:w="1616" w:type="dxa"/>
            <w:tcBorders>
              <w:top w:val="single" w:sz="4" w:space="0" w:color="89DAF7"/>
              <w:left w:val="single" w:sz="12" w:space="0" w:color="A1E2F9"/>
              <w:bottom w:val="single" w:sz="4" w:space="0" w:color="89DAF7"/>
              <w:right w:val="single" w:sz="4" w:space="0" w:color="D0F1FC"/>
            </w:tcBorders>
            <w:hideMark/>
          </w:tcPr>
          <w:p w14:paraId="23FF868B" w14:textId="7FEC0F7F" w:rsidR="00173CBD" w:rsidRPr="00C4084C" w:rsidRDefault="00DE12B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lang w:eastAsia="en-AU"/>
              </w:rPr>
            </w:pPr>
            <w:r w:rsidRPr="00C4084C">
              <w:rPr>
                <w:rFonts w:ascii="Calibri" w:eastAsia="Calibri" w:hAnsi="Calibri" w:cs="Arial"/>
                <w:lang w:eastAsia="en-AU"/>
              </w:rPr>
              <w:t>25.0</w:t>
            </w:r>
          </w:p>
        </w:tc>
        <w:tc>
          <w:tcPr>
            <w:tcW w:w="1616" w:type="dxa"/>
            <w:tcBorders>
              <w:top w:val="single" w:sz="4" w:space="0" w:color="89DAF7"/>
              <w:left w:val="single" w:sz="4" w:space="0" w:color="D0F1FC"/>
              <w:bottom w:val="single" w:sz="4" w:space="0" w:color="89DAF7"/>
              <w:right w:val="single" w:sz="4" w:space="0" w:color="D0F1FC"/>
            </w:tcBorders>
            <w:hideMark/>
          </w:tcPr>
          <w:p w14:paraId="1CD94F86" w14:textId="3378F4F0" w:rsidR="00173CBD" w:rsidRPr="00C4084C" w:rsidRDefault="00173CBD">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lang w:eastAsia="en-AU"/>
              </w:rPr>
            </w:pPr>
            <w:r w:rsidRPr="00C4084C">
              <w:rPr>
                <w:rFonts w:ascii="Calibri" w:eastAsia="Calibri" w:hAnsi="Calibri" w:cs="Arial"/>
                <w:lang w:eastAsia="en-AU"/>
              </w:rPr>
              <w:t>4.</w:t>
            </w:r>
            <w:r w:rsidR="00820A81">
              <w:rPr>
                <w:rFonts w:ascii="Calibri" w:eastAsia="Calibri" w:hAnsi="Calibri" w:cs="Arial"/>
                <w:lang w:eastAsia="en-AU"/>
              </w:rPr>
              <w:t>0</w:t>
            </w:r>
          </w:p>
        </w:tc>
        <w:tc>
          <w:tcPr>
            <w:tcW w:w="1616" w:type="dxa"/>
            <w:tcBorders>
              <w:top w:val="single" w:sz="4" w:space="0" w:color="89DAF7"/>
              <w:left w:val="single" w:sz="4" w:space="0" w:color="D0F1FC"/>
              <w:bottom w:val="single" w:sz="4" w:space="0" w:color="89DAF7"/>
              <w:right w:val="single" w:sz="4" w:space="0" w:color="D0F1FC"/>
            </w:tcBorders>
          </w:tcPr>
          <w:p w14:paraId="57CC9707" w14:textId="77777777" w:rsidR="00173CBD" w:rsidRPr="00C4084C" w:rsidRDefault="00173CBD">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lang w:eastAsia="en-AU"/>
              </w:rPr>
            </w:pPr>
            <w:r w:rsidRPr="00C4084C">
              <w:rPr>
                <w:rFonts w:ascii="Calibri" w:eastAsia="Calibri" w:hAnsi="Calibri" w:cs="Arial"/>
              </w:rPr>
              <w:t>21.0</w:t>
            </w:r>
          </w:p>
        </w:tc>
        <w:tc>
          <w:tcPr>
            <w:tcW w:w="1616" w:type="dxa"/>
            <w:tcBorders>
              <w:top w:val="single" w:sz="4" w:space="0" w:color="89DAF7"/>
              <w:left w:val="single" w:sz="4" w:space="0" w:color="D0F1FC"/>
              <w:bottom w:val="single" w:sz="4" w:space="0" w:color="89DAF7"/>
              <w:right w:val="nil"/>
            </w:tcBorders>
          </w:tcPr>
          <w:p w14:paraId="5ECACF18" w14:textId="77777777" w:rsidR="00173CBD" w:rsidRPr="00C4084C" w:rsidRDefault="00173CBD" w:rsidP="00173CBD">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C4084C">
              <w:rPr>
                <w:rFonts w:ascii="Calibri" w:eastAsia="Calibri" w:hAnsi="Calibri" w:cs="Arial"/>
                <w:color w:val="000000"/>
              </w:rPr>
              <w:t>-</w:t>
            </w:r>
          </w:p>
        </w:tc>
      </w:tr>
      <w:tr w:rsidR="00CF7760" w:rsidRPr="00C4084C" w14:paraId="2F069F78" w14:textId="77777777">
        <w:tblPrEx>
          <w:tblBorders>
            <w:top w:val="none" w:sz="0" w:space="0" w:color="auto"/>
            <w:left w:val="none" w:sz="0" w:space="0" w:color="auto"/>
            <w:insideV w:val="single" w:sz="4" w:space="0" w:color="D0F1FC"/>
          </w:tblBorders>
          <w:tblLook w:val="06A0" w:firstRow="1" w:lastRow="0" w:firstColumn="1" w:lastColumn="0" w:noHBand="1" w:noVBand="1"/>
        </w:tblPrEx>
        <w:trPr>
          <w:cantSplit/>
          <w:trHeight w:val="315"/>
          <w:jc w:val="center"/>
        </w:trPr>
        <w:tc>
          <w:tcPr>
            <w:cnfStyle w:val="001000000000" w:firstRow="0" w:lastRow="0" w:firstColumn="1" w:lastColumn="0" w:oddVBand="0" w:evenVBand="0" w:oddHBand="0" w:evenHBand="0" w:firstRowFirstColumn="0" w:firstRowLastColumn="0" w:lastRowFirstColumn="0" w:lastRowLastColumn="0"/>
            <w:tcW w:w="2551" w:type="dxa"/>
            <w:tcBorders>
              <w:top w:val="single" w:sz="6" w:space="0" w:color="89DAF7"/>
              <w:bottom w:val="single" w:sz="6" w:space="0" w:color="89DAF7"/>
              <w:right w:val="single" w:sz="12" w:space="0" w:color="A1E2F9"/>
            </w:tcBorders>
            <w:hideMark/>
          </w:tcPr>
          <w:p w14:paraId="7A3F6ECF" w14:textId="77777777" w:rsidR="00173CBD" w:rsidRPr="00C4084C" w:rsidRDefault="00173CBD">
            <w:pPr>
              <w:jc w:val="left"/>
              <w:rPr>
                <w:rFonts w:ascii="Calibri" w:eastAsia="Calibri" w:hAnsi="Calibri" w:cs="Arial"/>
                <w:b/>
                <w:bCs/>
                <w:i w:val="0"/>
                <w:iCs w:val="0"/>
                <w:lang w:eastAsia="en-AU"/>
              </w:rPr>
            </w:pPr>
            <w:r w:rsidRPr="00C4084C">
              <w:rPr>
                <w:rFonts w:ascii="Calibri" w:eastAsia="Calibri" w:hAnsi="Calibri" w:cs="Arial"/>
                <w:b/>
                <w:bCs/>
                <w:i w:val="0"/>
                <w:iCs w:val="0"/>
                <w:lang w:eastAsia="en-AU"/>
              </w:rPr>
              <w:t xml:space="preserve">South Australia </w:t>
            </w:r>
          </w:p>
        </w:tc>
        <w:tc>
          <w:tcPr>
            <w:tcW w:w="1616" w:type="dxa"/>
            <w:tcBorders>
              <w:top w:val="single" w:sz="4" w:space="0" w:color="89DAF7"/>
              <w:left w:val="single" w:sz="12" w:space="0" w:color="A1E2F9"/>
              <w:bottom w:val="single" w:sz="4" w:space="0" w:color="89DAF7"/>
              <w:right w:val="single" w:sz="4" w:space="0" w:color="D0F1FC"/>
            </w:tcBorders>
            <w:hideMark/>
          </w:tcPr>
          <w:p w14:paraId="6E8AE79E" w14:textId="1E1B6B15" w:rsidR="00173CBD" w:rsidRPr="00C4084C" w:rsidRDefault="00173CBD">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000000"/>
                <w:lang w:eastAsia="en-AU"/>
              </w:rPr>
            </w:pPr>
            <w:r w:rsidRPr="00C4084C">
              <w:rPr>
                <w:rFonts w:ascii="Calibri" w:eastAsia="Calibri" w:hAnsi="Calibri" w:cs="Arial"/>
                <w:lang w:eastAsia="en-AU"/>
              </w:rPr>
              <w:t>30.</w:t>
            </w:r>
            <w:r w:rsidR="00DE12BF" w:rsidRPr="00C4084C">
              <w:rPr>
                <w:rFonts w:ascii="Calibri" w:eastAsia="Calibri" w:hAnsi="Calibri" w:cs="Arial"/>
                <w:lang w:eastAsia="en-AU"/>
              </w:rPr>
              <w:t>3</w:t>
            </w:r>
          </w:p>
        </w:tc>
        <w:tc>
          <w:tcPr>
            <w:tcW w:w="1616" w:type="dxa"/>
            <w:tcBorders>
              <w:top w:val="single" w:sz="4" w:space="0" w:color="89DAF7"/>
              <w:left w:val="single" w:sz="4" w:space="0" w:color="D0F1FC"/>
              <w:bottom w:val="single" w:sz="4" w:space="0" w:color="89DAF7"/>
              <w:right w:val="single" w:sz="4" w:space="0" w:color="D0F1FC"/>
            </w:tcBorders>
            <w:hideMark/>
          </w:tcPr>
          <w:p w14:paraId="61E4924E" w14:textId="42597301" w:rsidR="00173CBD" w:rsidRPr="00C4084C" w:rsidRDefault="00173CBD">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000000"/>
                <w:lang w:eastAsia="en-AU"/>
              </w:rPr>
            </w:pPr>
            <w:r w:rsidRPr="00C4084C">
              <w:rPr>
                <w:rFonts w:ascii="Calibri" w:eastAsia="Calibri" w:hAnsi="Calibri" w:cs="Arial"/>
                <w:color w:val="000000" w:themeColor="text1"/>
                <w:lang w:eastAsia="en-AU"/>
              </w:rPr>
              <w:t>2.</w:t>
            </w:r>
            <w:r w:rsidR="00820A81">
              <w:rPr>
                <w:rFonts w:ascii="Calibri" w:eastAsia="Calibri" w:hAnsi="Calibri" w:cs="Arial"/>
                <w:color w:val="000000" w:themeColor="text1"/>
                <w:lang w:eastAsia="en-AU"/>
              </w:rPr>
              <w:t>6</w:t>
            </w:r>
          </w:p>
        </w:tc>
        <w:tc>
          <w:tcPr>
            <w:tcW w:w="1616" w:type="dxa"/>
            <w:tcBorders>
              <w:top w:val="single" w:sz="4" w:space="0" w:color="89DAF7"/>
              <w:left w:val="single" w:sz="4" w:space="0" w:color="D0F1FC"/>
              <w:bottom w:val="single" w:sz="4" w:space="0" w:color="89DAF7"/>
              <w:right w:val="single" w:sz="4" w:space="0" w:color="D0F1FC"/>
            </w:tcBorders>
          </w:tcPr>
          <w:p w14:paraId="18CDA88F" w14:textId="77777777" w:rsidR="00173CBD" w:rsidRPr="00C4084C" w:rsidRDefault="00173CBD">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000000"/>
                <w:lang w:eastAsia="en-AU"/>
              </w:rPr>
            </w:pPr>
            <w:r w:rsidRPr="00C4084C">
              <w:rPr>
                <w:rFonts w:ascii="Calibri" w:eastAsia="Calibri" w:hAnsi="Calibri" w:cs="Arial"/>
                <w:color w:val="000000" w:themeColor="text1"/>
              </w:rPr>
              <w:t>23.1</w:t>
            </w:r>
          </w:p>
        </w:tc>
        <w:tc>
          <w:tcPr>
            <w:tcW w:w="1616" w:type="dxa"/>
            <w:tcBorders>
              <w:top w:val="single" w:sz="4" w:space="0" w:color="89DAF7"/>
              <w:left w:val="single" w:sz="4" w:space="0" w:color="D0F1FC"/>
              <w:bottom w:val="single" w:sz="4" w:space="0" w:color="89DAF7"/>
              <w:right w:val="nil"/>
            </w:tcBorders>
          </w:tcPr>
          <w:p w14:paraId="24C830D8" w14:textId="77777777" w:rsidR="00173CBD" w:rsidRPr="00C4084C" w:rsidRDefault="00173CBD" w:rsidP="00173CBD">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000000"/>
              </w:rPr>
            </w:pPr>
            <w:r w:rsidRPr="00C4084C">
              <w:rPr>
                <w:rFonts w:ascii="Calibri" w:eastAsia="Calibri" w:hAnsi="Calibri" w:cs="Arial"/>
                <w:color w:val="000000"/>
              </w:rPr>
              <w:t>-</w:t>
            </w:r>
          </w:p>
        </w:tc>
      </w:tr>
      <w:tr w:rsidR="00CF7760" w:rsidRPr="00C4084C" w14:paraId="3240E984" w14:textId="77777777">
        <w:tblPrEx>
          <w:tblBorders>
            <w:top w:val="none" w:sz="0" w:space="0" w:color="auto"/>
            <w:left w:val="none" w:sz="0" w:space="0" w:color="auto"/>
            <w:insideV w:val="single" w:sz="4" w:space="0" w:color="D0F1FC"/>
          </w:tblBorders>
          <w:tblLook w:val="06A0" w:firstRow="1" w:lastRow="0" w:firstColumn="1" w:lastColumn="0" w:noHBand="1" w:noVBand="1"/>
        </w:tblPrEx>
        <w:trPr>
          <w:cantSplit/>
          <w:trHeight w:val="315"/>
          <w:jc w:val="center"/>
        </w:trPr>
        <w:tc>
          <w:tcPr>
            <w:cnfStyle w:val="001000000000" w:firstRow="0" w:lastRow="0" w:firstColumn="1" w:lastColumn="0" w:oddVBand="0" w:evenVBand="0" w:oddHBand="0" w:evenHBand="0" w:firstRowFirstColumn="0" w:firstRowLastColumn="0" w:lastRowFirstColumn="0" w:lastRowLastColumn="0"/>
            <w:tcW w:w="2551" w:type="dxa"/>
            <w:tcBorders>
              <w:top w:val="single" w:sz="6" w:space="0" w:color="89DAF7"/>
              <w:bottom w:val="single" w:sz="6" w:space="0" w:color="89DAF7"/>
              <w:right w:val="single" w:sz="12" w:space="0" w:color="A1E2F9"/>
            </w:tcBorders>
            <w:hideMark/>
          </w:tcPr>
          <w:p w14:paraId="2C207FA2" w14:textId="77777777" w:rsidR="00173CBD" w:rsidRPr="00C4084C" w:rsidRDefault="00173CBD">
            <w:pPr>
              <w:jc w:val="left"/>
              <w:rPr>
                <w:rFonts w:ascii="Calibri" w:eastAsia="Calibri" w:hAnsi="Calibri" w:cs="Arial"/>
                <w:b/>
                <w:bCs/>
                <w:i w:val="0"/>
                <w:iCs w:val="0"/>
                <w:lang w:eastAsia="en-AU"/>
              </w:rPr>
            </w:pPr>
            <w:r w:rsidRPr="00C4084C">
              <w:rPr>
                <w:rFonts w:ascii="Calibri" w:eastAsia="Calibri" w:hAnsi="Calibri" w:cs="Arial"/>
                <w:b/>
                <w:bCs/>
                <w:i w:val="0"/>
                <w:iCs w:val="0"/>
                <w:lang w:eastAsia="en-AU"/>
              </w:rPr>
              <w:t xml:space="preserve">Tasmania </w:t>
            </w:r>
          </w:p>
        </w:tc>
        <w:tc>
          <w:tcPr>
            <w:tcW w:w="1616" w:type="dxa"/>
            <w:tcBorders>
              <w:top w:val="single" w:sz="4" w:space="0" w:color="89DAF7"/>
              <w:left w:val="single" w:sz="12" w:space="0" w:color="A1E2F9"/>
              <w:bottom w:val="single" w:sz="4" w:space="0" w:color="89DAF7"/>
              <w:right w:val="single" w:sz="4" w:space="0" w:color="D0F1FC"/>
            </w:tcBorders>
            <w:hideMark/>
          </w:tcPr>
          <w:p w14:paraId="75CD36CD" w14:textId="1CE7C67E" w:rsidR="00173CBD" w:rsidRPr="00C4084C" w:rsidRDefault="00173CBD">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000000"/>
                <w:lang w:eastAsia="en-AU"/>
              </w:rPr>
            </w:pPr>
            <w:r w:rsidRPr="00C4084C">
              <w:rPr>
                <w:rFonts w:ascii="Calibri" w:eastAsia="Calibri" w:hAnsi="Calibri" w:cs="Arial"/>
                <w:lang w:eastAsia="en-AU"/>
              </w:rPr>
              <w:t>42.</w:t>
            </w:r>
            <w:r w:rsidR="00DE12BF" w:rsidRPr="00C4084C">
              <w:rPr>
                <w:rFonts w:ascii="Calibri" w:eastAsia="Calibri" w:hAnsi="Calibri" w:cs="Arial"/>
                <w:lang w:eastAsia="en-AU"/>
              </w:rPr>
              <w:t>5</w:t>
            </w:r>
          </w:p>
        </w:tc>
        <w:tc>
          <w:tcPr>
            <w:tcW w:w="1616" w:type="dxa"/>
            <w:tcBorders>
              <w:top w:val="single" w:sz="4" w:space="0" w:color="89DAF7"/>
              <w:left w:val="single" w:sz="4" w:space="0" w:color="D0F1FC"/>
              <w:bottom w:val="single" w:sz="4" w:space="0" w:color="89DAF7"/>
              <w:right w:val="single" w:sz="4" w:space="0" w:color="D0F1FC"/>
            </w:tcBorders>
            <w:hideMark/>
          </w:tcPr>
          <w:p w14:paraId="5CBC4537" w14:textId="7C9DC2B4" w:rsidR="00173CBD" w:rsidRPr="00C4084C" w:rsidRDefault="00173CBD">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000000"/>
                <w:lang w:eastAsia="en-AU"/>
              </w:rPr>
            </w:pPr>
            <w:r w:rsidRPr="00C4084C">
              <w:rPr>
                <w:rFonts w:ascii="Calibri" w:eastAsia="Calibri" w:hAnsi="Calibri" w:cs="Arial"/>
                <w:color w:val="000000" w:themeColor="text1"/>
                <w:lang w:eastAsia="en-AU"/>
              </w:rPr>
              <w:t>5.</w:t>
            </w:r>
            <w:r w:rsidR="00820A81">
              <w:rPr>
                <w:rFonts w:ascii="Calibri" w:eastAsia="Calibri" w:hAnsi="Calibri" w:cs="Arial"/>
                <w:color w:val="000000" w:themeColor="text1"/>
                <w:lang w:eastAsia="en-AU"/>
              </w:rPr>
              <w:t>5</w:t>
            </w:r>
          </w:p>
        </w:tc>
        <w:tc>
          <w:tcPr>
            <w:tcW w:w="1616" w:type="dxa"/>
            <w:tcBorders>
              <w:top w:val="single" w:sz="4" w:space="0" w:color="89DAF7"/>
              <w:left w:val="single" w:sz="4" w:space="0" w:color="D0F1FC"/>
              <w:bottom w:val="single" w:sz="4" w:space="0" w:color="89DAF7"/>
              <w:right w:val="single" w:sz="4" w:space="0" w:color="D0F1FC"/>
            </w:tcBorders>
          </w:tcPr>
          <w:p w14:paraId="3DB83ACE" w14:textId="77777777" w:rsidR="00173CBD" w:rsidRPr="00C4084C" w:rsidRDefault="00173CBD">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000000"/>
                <w:lang w:eastAsia="en-AU"/>
              </w:rPr>
            </w:pPr>
            <w:r w:rsidRPr="00C4084C">
              <w:rPr>
                <w:rFonts w:ascii="Calibri" w:eastAsia="Calibri" w:hAnsi="Calibri" w:cs="Arial"/>
                <w:color w:val="000000" w:themeColor="text1"/>
              </w:rPr>
              <w:t>100.0</w:t>
            </w:r>
          </w:p>
        </w:tc>
        <w:tc>
          <w:tcPr>
            <w:tcW w:w="1616" w:type="dxa"/>
            <w:tcBorders>
              <w:top w:val="single" w:sz="4" w:space="0" w:color="89DAF7"/>
              <w:left w:val="single" w:sz="4" w:space="0" w:color="D0F1FC"/>
              <w:bottom w:val="single" w:sz="4" w:space="0" w:color="89DAF7"/>
              <w:right w:val="nil"/>
            </w:tcBorders>
          </w:tcPr>
          <w:p w14:paraId="5FB4B2EC" w14:textId="77777777" w:rsidR="00173CBD" w:rsidRPr="00C4084C" w:rsidRDefault="00173CBD" w:rsidP="00173CBD">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000000"/>
              </w:rPr>
            </w:pPr>
            <w:r w:rsidRPr="00C4084C">
              <w:rPr>
                <w:rFonts w:ascii="Calibri" w:eastAsia="Calibri" w:hAnsi="Calibri" w:cs="Arial"/>
                <w:color w:val="000000"/>
              </w:rPr>
              <w:t>-</w:t>
            </w:r>
          </w:p>
        </w:tc>
      </w:tr>
      <w:tr w:rsidR="00CF7760" w:rsidRPr="00C4084C" w14:paraId="1AB3602E" w14:textId="77777777">
        <w:tblPrEx>
          <w:tblBorders>
            <w:top w:val="none" w:sz="0" w:space="0" w:color="auto"/>
            <w:left w:val="none" w:sz="0" w:space="0" w:color="auto"/>
            <w:insideV w:val="single" w:sz="4" w:space="0" w:color="D0F1FC"/>
          </w:tblBorders>
          <w:tblLook w:val="06A0" w:firstRow="1" w:lastRow="0" w:firstColumn="1" w:lastColumn="0" w:noHBand="1" w:noVBand="1"/>
        </w:tblPrEx>
        <w:trPr>
          <w:cantSplit/>
          <w:trHeight w:val="315"/>
          <w:jc w:val="center"/>
        </w:trPr>
        <w:tc>
          <w:tcPr>
            <w:cnfStyle w:val="001000000000" w:firstRow="0" w:lastRow="0" w:firstColumn="1" w:lastColumn="0" w:oddVBand="0" w:evenVBand="0" w:oddHBand="0" w:evenHBand="0" w:firstRowFirstColumn="0" w:firstRowLastColumn="0" w:lastRowFirstColumn="0" w:lastRowLastColumn="0"/>
            <w:tcW w:w="2551" w:type="dxa"/>
            <w:tcBorders>
              <w:top w:val="single" w:sz="6" w:space="0" w:color="89DAF7"/>
              <w:bottom w:val="single" w:sz="6" w:space="0" w:color="89DAF7"/>
              <w:right w:val="single" w:sz="12" w:space="0" w:color="A1E2F9"/>
            </w:tcBorders>
            <w:hideMark/>
          </w:tcPr>
          <w:p w14:paraId="7F4B485D" w14:textId="77777777" w:rsidR="00173CBD" w:rsidRPr="00C4084C" w:rsidRDefault="00173CBD">
            <w:pPr>
              <w:jc w:val="left"/>
              <w:rPr>
                <w:rFonts w:ascii="Calibri" w:eastAsia="Calibri" w:hAnsi="Calibri" w:cs="Arial"/>
                <w:b/>
                <w:bCs/>
                <w:i w:val="0"/>
                <w:iCs w:val="0"/>
                <w:lang w:eastAsia="en-AU"/>
              </w:rPr>
            </w:pPr>
            <w:r w:rsidRPr="00C4084C">
              <w:rPr>
                <w:rFonts w:ascii="Calibri" w:eastAsia="Calibri" w:hAnsi="Calibri" w:cs="Arial"/>
                <w:b/>
                <w:bCs/>
                <w:i w:val="0"/>
                <w:iCs w:val="0"/>
                <w:lang w:eastAsia="en-AU"/>
              </w:rPr>
              <w:t xml:space="preserve">Northern Territory </w:t>
            </w:r>
          </w:p>
        </w:tc>
        <w:tc>
          <w:tcPr>
            <w:tcW w:w="1616" w:type="dxa"/>
            <w:tcBorders>
              <w:top w:val="single" w:sz="4" w:space="0" w:color="89DAF7"/>
              <w:left w:val="single" w:sz="12" w:space="0" w:color="A1E2F9"/>
              <w:bottom w:val="single" w:sz="4" w:space="0" w:color="89DAF7"/>
              <w:right w:val="single" w:sz="4" w:space="0" w:color="D0F1FC"/>
            </w:tcBorders>
            <w:hideMark/>
          </w:tcPr>
          <w:p w14:paraId="062408B5" w14:textId="37EDC5D2" w:rsidR="00173CBD" w:rsidRPr="00C4084C" w:rsidRDefault="00173CBD">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000000"/>
                <w:lang w:eastAsia="en-AU"/>
              </w:rPr>
            </w:pPr>
            <w:r w:rsidRPr="00C4084C">
              <w:rPr>
                <w:rFonts w:ascii="Calibri" w:eastAsia="Calibri" w:hAnsi="Calibri" w:cs="Arial"/>
                <w:lang w:eastAsia="en-AU"/>
              </w:rPr>
              <w:t>23.1</w:t>
            </w:r>
            <w:r w:rsidR="00DE12BF" w:rsidRPr="00C4084C">
              <w:rPr>
                <w:rFonts w:ascii="Calibri" w:eastAsia="Calibri" w:hAnsi="Calibri" w:cs="Arial"/>
                <w:lang w:eastAsia="en-AU"/>
              </w:rPr>
              <w:t>8</w:t>
            </w:r>
          </w:p>
        </w:tc>
        <w:tc>
          <w:tcPr>
            <w:tcW w:w="1616" w:type="dxa"/>
            <w:tcBorders>
              <w:top w:val="single" w:sz="4" w:space="0" w:color="89DAF7"/>
              <w:left w:val="single" w:sz="4" w:space="0" w:color="D0F1FC"/>
              <w:bottom w:val="single" w:sz="4" w:space="0" w:color="89DAF7"/>
              <w:right w:val="single" w:sz="4" w:space="0" w:color="D0F1FC"/>
            </w:tcBorders>
            <w:hideMark/>
          </w:tcPr>
          <w:p w14:paraId="2F6EB10A" w14:textId="4B436F52" w:rsidR="00173CBD" w:rsidRPr="00C4084C" w:rsidRDefault="00173CBD">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000000"/>
                <w:lang w:eastAsia="en-AU"/>
              </w:rPr>
            </w:pPr>
            <w:r w:rsidRPr="00C4084C">
              <w:rPr>
                <w:rFonts w:ascii="Calibri" w:eastAsia="Calibri" w:hAnsi="Calibri" w:cs="Arial"/>
                <w:color w:val="000000" w:themeColor="text1"/>
                <w:lang w:eastAsia="en-AU"/>
              </w:rPr>
              <w:t>31.</w:t>
            </w:r>
            <w:r w:rsidR="009E366F">
              <w:rPr>
                <w:rFonts w:ascii="Calibri" w:eastAsia="Calibri" w:hAnsi="Calibri" w:cs="Arial"/>
                <w:color w:val="000000" w:themeColor="text1"/>
                <w:lang w:eastAsia="en-AU"/>
              </w:rPr>
              <w:t>3</w:t>
            </w:r>
          </w:p>
        </w:tc>
        <w:tc>
          <w:tcPr>
            <w:tcW w:w="1616" w:type="dxa"/>
            <w:tcBorders>
              <w:top w:val="single" w:sz="4" w:space="0" w:color="89DAF7"/>
              <w:left w:val="single" w:sz="4" w:space="0" w:color="D0F1FC"/>
              <w:bottom w:val="single" w:sz="4" w:space="0" w:color="89DAF7"/>
              <w:right w:val="single" w:sz="4" w:space="0" w:color="D0F1FC"/>
            </w:tcBorders>
          </w:tcPr>
          <w:p w14:paraId="448AA9B2" w14:textId="77777777" w:rsidR="00173CBD" w:rsidRPr="00C4084C" w:rsidRDefault="00173CBD">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000000"/>
                <w:lang w:eastAsia="en-AU"/>
              </w:rPr>
            </w:pPr>
            <w:r w:rsidRPr="00C4084C">
              <w:rPr>
                <w:rFonts w:ascii="Calibri" w:eastAsia="Calibri" w:hAnsi="Calibri" w:cs="Arial"/>
                <w:color w:val="000000" w:themeColor="text1"/>
              </w:rPr>
              <w:t>100.0</w:t>
            </w:r>
          </w:p>
        </w:tc>
        <w:tc>
          <w:tcPr>
            <w:tcW w:w="1616" w:type="dxa"/>
            <w:tcBorders>
              <w:top w:val="single" w:sz="4" w:space="0" w:color="89DAF7"/>
              <w:left w:val="single" w:sz="4" w:space="0" w:color="D0F1FC"/>
              <w:bottom w:val="single" w:sz="4" w:space="0" w:color="89DAF7"/>
              <w:right w:val="nil"/>
            </w:tcBorders>
          </w:tcPr>
          <w:p w14:paraId="169CDC12" w14:textId="77777777" w:rsidR="00173CBD" w:rsidRPr="00C4084C" w:rsidRDefault="00173CBD" w:rsidP="00173CBD">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000000"/>
              </w:rPr>
            </w:pPr>
            <w:r w:rsidRPr="00C4084C">
              <w:rPr>
                <w:rFonts w:ascii="Calibri" w:eastAsia="Calibri" w:hAnsi="Calibri" w:cs="Arial"/>
                <w:color w:val="000000"/>
              </w:rPr>
              <w:t>-</w:t>
            </w:r>
          </w:p>
        </w:tc>
      </w:tr>
      <w:tr w:rsidR="00CF7760" w:rsidRPr="00C4084C" w14:paraId="2AF7C83C" w14:textId="77777777">
        <w:tblPrEx>
          <w:tblBorders>
            <w:top w:val="none" w:sz="0" w:space="0" w:color="auto"/>
            <w:left w:val="none" w:sz="0" w:space="0" w:color="auto"/>
            <w:insideV w:val="single" w:sz="4" w:space="0" w:color="D0F1FC"/>
          </w:tblBorders>
          <w:tblLook w:val="06A0" w:firstRow="1" w:lastRow="0" w:firstColumn="1" w:lastColumn="0" w:noHBand="1" w:noVBand="1"/>
        </w:tblPrEx>
        <w:trPr>
          <w:cantSplit/>
          <w:trHeight w:val="315"/>
          <w:jc w:val="center"/>
        </w:trPr>
        <w:tc>
          <w:tcPr>
            <w:cnfStyle w:val="001000000000" w:firstRow="0" w:lastRow="0" w:firstColumn="1" w:lastColumn="0" w:oddVBand="0" w:evenVBand="0" w:oddHBand="0" w:evenHBand="0" w:firstRowFirstColumn="0" w:firstRowLastColumn="0" w:lastRowFirstColumn="0" w:lastRowLastColumn="0"/>
            <w:tcW w:w="2551" w:type="dxa"/>
            <w:tcBorders>
              <w:top w:val="single" w:sz="6" w:space="0" w:color="89DAF7"/>
              <w:bottom w:val="single" w:sz="12" w:space="0" w:color="89DAF7"/>
              <w:right w:val="single" w:sz="12" w:space="0" w:color="A1E2F9"/>
            </w:tcBorders>
            <w:hideMark/>
          </w:tcPr>
          <w:p w14:paraId="6E7D7CAE" w14:textId="77777777" w:rsidR="00173CBD" w:rsidRPr="00C4084C" w:rsidRDefault="00173CBD">
            <w:pPr>
              <w:jc w:val="left"/>
              <w:rPr>
                <w:rFonts w:ascii="Calibri" w:eastAsia="Calibri" w:hAnsi="Calibri" w:cs="Arial"/>
                <w:b/>
                <w:bCs/>
                <w:i w:val="0"/>
                <w:iCs w:val="0"/>
                <w:lang w:eastAsia="en-AU"/>
              </w:rPr>
            </w:pPr>
            <w:r w:rsidRPr="00C4084C">
              <w:rPr>
                <w:rFonts w:ascii="Calibri" w:eastAsia="Calibri" w:hAnsi="Calibri" w:cs="Arial"/>
                <w:b/>
                <w:bCs/>
                <w:i w:val="0"/>
                <w:iCs w:val="0"/>
                <w:lang w:eastAsia="en-AU"/>
              </w:rPr>
              <w:t xml:space="preserve">Australian Capital Territory </w:t>
            </w:r>
          </w:p>
        </w:tc>
        <w:tc>
          <w:tcPr>
            <w:tcW w:w="1616" w:type="dxa"/>
            <w:tcBorders>
              <w:top w:val="single" w:sz="4" w:space="0" w:color="89DAF7"/>
              <w:left w:val="single" w:sz="12" w:space="0" w:color="A1E2F9"/>
              <w:bottom w:val="single" w:sz="12" w:space="0" w:color="89DAF7"/>
              <w:right w:val="single" w:sz="4" w:space="0" w:color="D0F1FC"/>
            </w:tcBorders>
            <w:hideMark/>
          </w:tcPr>
          <w:p w14:paraId="5F251359" w14:textId="77777777" w:rsidR="00173CBD" w:rsidRPr="00C4084C" w:rsidRDefault="00173CBD">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000000"/>
                <w:lang w:eastAsia="en-AU"/>
              </w:rPr>
            </w:pPr>
            <w:r w:rsidRPr="00C4084C">
              <w:rPr>
                <w:rFonts w:ascii="Calibri" w:eastAsia="Calibri" w:hAnsi="Calibri" w:cs="Arial"/>
                <w:lang w:eastAsia="en-AU"/>
              </w:rPr>
              <w:t>0.2</w:t>
            </w:r>
          </w:p>
        </w:tc>
        <w:tc>
          <w:tcPr>
            <w:tcW w:w="1616" w:type="dxa"/>
            <w:tcBorders>
              <w:top w:val="single" w:sz="4" w:space="0" w:color="89DAF7"/>
              <w:left w:val="single" w:sz="4" w:space="0" w:color="D0F1FC"/>
              <w:bottom w:val="single" w:sz="12" w:space="0" w:color="89DAF7"/>
              <w:right w:val="single" w:sz="4" w:space="0" w:color="D0F1FC"/>
            </w:tcBorders>
            <w:hideMark/>
          </w:tcPr>
          <w:p w14:paraId="2C642C27" w14:textId="75128769" w:rsidR="00173CBD" w:rsidRPr="00C4084C" w:rsidRDefault="009E366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000000"/>
                <w:lang w:eastAsia="en-AU"/>
              </w:rPr>
            </w:pPr>
            <w:r>
              <w:rPr>
                <w:rFonts w:ascii="Calibri" w:eastAsia="Calibri" w:hAnsi="Calibri" w:cs="Arial"/>
                <w:color w:val="000000" w:themeColor="text1"/>
                <w:lang w:eastAsia="en-AU"/>
              </w:rPr>
              <w:t>1.9</w:t>
            </w:r>
          </w:p>
        </w:tc>
        <w:tc>
          <w:tcPr>
            <w:tcW w:w="1616" w:type="dxa"/>
            <w:tcBorders>
              <w:top w:val="single" w:sz="4" w:space="0" w:color="89DAF7"/>
              <w:left w:val="single" w:sz="4" w:space="0" w:color="D0F1FC"/>
              <w:bottom w:val="single" w:sz="12" w:space="0" w:color="89DAF7"/>
              <w:right w:val="single" w:sz="4" w:space="0" w:color="D0F1FC"/>
            </w:tcBorders>
          </w:tcPr>
          <w:p w14:paraId="19FEA073" w14:textId="77777777" w:rsidR="00173CBD" w:rsidRPr="00C4084C" w:rsidRDefault="00173CBD">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000000"/>
                <w:lang w:eastAsia="en-AU"/>
              </w:rPr>
            </w:pPr>
            <w:r w:rsidRPr="00C4084C">
              <w:rPr>
                <w:rFonts w:ascii="Calibri" w:eastAsia="Calibri" w:hAnsi="Calibri" w:cs="Arial"/>
                <w:color w:val="000000" w:themeColor="text1"/>
              </w:rPr>
              <w:t>0.1</w:t>
            </w:r>
          </w:p>
        </w:tc>
        <w:tc>
          <w:tcPr>
            <w:tcW w:w="1616" w:type="dxa"/>
            <w:tcBorders>
              <w:top w:val="single" w:sz="4" w:space="0" w:color="89DAF7"/>
              <w:left w:val="single" w:sz="4" w:space="0" w:color="D0F1FC"/>
              <w:bottom w:val="single" w:sz="12" w:space="0" w:color="89DAF7"/>
              <w:right w:val="nil"/>
            </w:tcBorders>
          </w:tcPr>
          <w:p w14:paraId="585E0BCE" w14:textId="77777777" w:rsidR="00173CBD" w:rsidRPr="00C4084C" w:rsidRDefault="00173CBD" w:rsidP="00173CBD">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000000"/>
              </w:rPr>
            </w:pPr>
            <w:r w:rsidRPr="00C4084C">
              <w:rPr>
                <w:rFonts w:ascii="Calibri" w:eastAsia="Calibri" w:hAnsi="Calibri" w:cs="Arial"/>
                <w:color w:val="000000"/>
              </w:rPr>
              <w:t>-</w:t>
            </w:r>
          </w:p>
        </w:tc>
      </w:tr>
      <w:tr w:rsidR="00CF7760" w:rsidRPr="00C4084C" w14:paraId="33A40AAF" w14:textId="77777777">
        <w:tblPrEx>
          <w:tblBorders>
            <w:top w:val="none" w:sz="0" w:space="0" w:color="auto"/>
            <w:left w:val="none" w:sz="0" w:space="0" w:color="auto"/>
            <w:insideV w:val="single" w:sz="4" w:space="0" w:color="D0F1FC"/>
          </w:tblBorders>
          <w:tblLook w:val="06A0" w:firstRow="1" w:lastRow="0" w:firstColumn="1" w:lastColumn="0" w:noHBand="1" w:noVBand="1"/>
        </w:tblPrEx>
        <w:trPr>
          <w:cantSplit/>
          <w:trHeight w:val="315"/>
          <w:jc w:val="center"/>
        </w:trPr>
        <w:tc>
          <w:tcPr>
            <w:cnfStyle w:val="001000000000" w:firstRow="0" w:lastRow="0" w:firstColumn="1" w:lastColumn="0" w:oddVBand="0" w:evenVBand="0" w:oddHBand="0" w:evenHBand="0" w:firstRowFirstColumn="0" w:firstRowLastColumn="0" w:lastRowFirstColumn="0" w:lastRowLastColumn="0"/>
            <w:tcW w:w="2551" w:type="dxa"/>
            <w:tcBorders>
              <w:top w:val="single" w:sz="12" w:space="0" w:color="89DAF7"/>
              <w:right w:val="single" w:sz="12" w:space="0" w:color="A1E2F9"/>
            </w:tcBorders>
          </w:tcPr>
          <w:p w14:paraId="7EC97CEF" w14:textId="77777777" w:rsidR="00173CBD" w:rsidRPr="00C4084C" w:rsidRDefault="00173CBD">
            <w:pPr>
              <w:jc w:val="left"/>
              <w:rPr>
                <w:rFonts w:ascii="Calibri" w:eastAsia="Calibri" w:hAnsi="Calibri" w:cs="Arial"/>
                <w:b/>
                <w:bCs/>
                <w:i w:val="0"/>
                <w:iCs w:val="0"/>
                <w:lang w:eastAsia="en-AU"/>
              </w:rPr>
            </w:pPr>
            <w:r w:rsidRPr="00C4084C">
              <w:rPr>
                <w:rFonts w:ascii="Calibri" w:eastAsia="Calibri" w:hAnsi="Calibri" w:cs="Arial"/>
                <w:b/>
                <w:bCs/>
                <w:i w:val="0"/>
                <w:iCs w:val="0"/>
                <w:lang w:eastAsia="en-AU"/>
              </w:rPr>
              <w:t>National</w:t>
            </w:r>
          </w:p>
        </w:tc>
        <w:tc>
          <w:tcPr>
            <w:tcW w:w="1616" w:type="dxa"/>
            <w:tcBorders>
              <w:top w:val="single" w:sz="12" w:space="0" w:color="89DAF7"/>
              <w:left w:val="single" w:sz="12" w:space="0" w:color="A1E2F9"/>
              <w:bottom w:val="nil"/>
              <w:right w:val="single" w:sz="4" w:space="0" w:color="D0F1FC"/>
            </w:tcBorders>
          </w:tcPr>
          <w:p w14:paraId="12CAE68C" w14:textId="77777777" w:rsidR="00173CBD" w:rsidRPr="00C4084C" w:rsidRDefault="00173CBD">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b/>
                <w:lang w:eastAsia="en-AU"/>
              </w:rPr>
            </w:pPr>
            <w:r w:rsidRPr="00C4084C">
              <w:rPr>
                <w:rFonts w:ascii="Calibri" w:eastAsia="Calibri" w:hAnsi="Calibri" w:cs="Arial"/>
                <w:b/>
                <w:lang w:eastAsia="en-AU"/>
              </w:rPr>
              <w:t>25.0</w:t>
            </w:r>
          </w:p>
        </w:tc>
        <w:tc>
          <w:tcPr>
            <w:tcW w:w="1616" w:type="dxa"/>
            <w:tcBorders>
              <w:top w:val="single" w:sz="12" w:space="0" w:color="89DAF7"/>
              <w:left w:val="single" w:sz="4" w:space="0" w:color="D0F1FC"/>
              <w:bottom w:val="nil"/>
              <w:right w:val="single" w:sz="4" w:space="0" w:color="D0F1FC"/>
            </w:tcBorders>
          </w:tcPr>
          <w:p w14:paraId="0CFB36F2" w14:textId="02B69CA7" w:rsidR="00173CBD" w:rsidRPr="00C4084C" w:rsidRDefault="00173CBD">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color w:val="000000"/>
                <w:lang w:eastAsia="en-AU"/>
              </w:rPr>
            </w:pPr>
            <w:r w:rsidRPr="00C4084C">
              <w:rPr>
                <w:rFonts w:ascii="Calibri" w:eastAsia="Calibri" w:hAnsi="Calibri" w:cs="Arial"/>
                <w:b/>
                <w:bCs/>
                <w:color w:val="000000"/>
                <w:lang w:eastAsia="en-AU"/>
              </w:rPr>
              <w:t>3.</w:t>
            </w:r>
            <w:r w:rsidR="00DE12BF" w:rsidRPr="00C4084C">
              <w:rPr>
                <w:rFonts w:ascii="Calibri" w:eastAsia="Calibri" w:hAnsi="Calibri" w:cs="Arial"/>
                <w:b/>
                <w:bCs/>
                <w:color w:val="000000"/>
                <w:lang w:eastAsia="en-AU"/>
              </w:rPr>
              <w:t>7</w:t>
            </w:r>
          </w:p>
        </w:tc>
        <w:tc>
          <w:tcPr>
            <w:tcW w:w="1616" w:type="dxa"/>
            <w:tcBorders>
              <w:top w:val="single" w:sz="12" w:space="0" w:color="89DAF7"/>
              <w:left w:val="single" w:sz="4" w:space="0" w:color="D0F1FC"/>
              <w:bottom w:val="nil"/>
              <w:right w:val="single" w:sz="4" w:space="0" w:color="D0F1FC"/>
            </w:tcBorders>
          </w:tcPr>
          <w:p w14:paraId="1C778A3A" w14:textId="77777777" w:rsidR="00173CBD" w:rsidRPr="00C4084C" w:rsidRDefault="00173CBD">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color w:val="000000"/>
              </w:rPr>
            </w:pPr>
            <w:r w:rsidRPr="00C4084C">
              <w:rPr>
                <w:rFonts w:ascii="Calibri" w:eastAsia="Calibri" w:hAnsi="Calibri" w:cs="Arial"/>
                <w:b/>
                <w:bCs/>
                <w:color w:val="000000"/>
              </w:rPr>
              <w:t>26.1</w:t>
            </w:r>
          </w:p>
        </w:tc>
        <w:tc>
          <w:tcPr>
            <w:tcW w:w="1616" w:type="dxa"/>
            <w:tcBorders>
              <w:top w:val="single" w:sz="12" w:space="0" w:color="89DAF7"/>
              <w:left w:val="single" w:sz="4" w:space="0" w:color="D0F1FC"/>
              <w:bottom w:val="nil"/>
              <w:right w:val="nil"/>
            </w:tcBorders>
          </w:tcPr>
          <w:p w14:paraId="30FEA245" w14:textId="77777777" w:rsidR="00173CBD" w:rsidRPr="00C4084C" w:rsidRDefault="00173CBD">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color w:val="000000"/>
              </w:rPr>
            </w:pPr>
            <w:r w:rsidRPr="00C4084C">
              <w:rPr>
                <w:rFonts w:ascii="Calibri" w:eastAsia="Calibri" w:hAnsi="Calibri" w:cs="Arial"/>
                <w:b/>
                <w:color w:val="000000" w:themeColor="text1"/>
              </w:rPr>
              <w:t>8.4</w:t>
            </w:r>
          </w:p>
        </w:tc>
      </w:tr>
    </w:tbl>
    <w:p w14:paraId="50033AAC" w14:textId="3E35FE29" w:rsidR="004C0F35" w:rsidRDefault="00952103" w:rsidP="008C4411">
      <w:pPr>
        <w:pStyle w:val="Source"/>
        <w:rPr>
          <w:rStyle w:val="ui-provider"/>
        </w:rPr>
      </w:pPr>
      <w:r w:rsidRPr="00C4084C">
        <w:t>Source:</w:t>
      </w:r>
      <w:r w:rsidRPr="00C4084C">
        <w:rPr>
          <w:rFonts w:cs="Arial"/>
          <w:szCs w:val="18"/>
        </w:rPr>
        <w:t xml:space="preserve"> Department of Education;</w:t>
      </w:r>
      <w:r w:rsidRPr="00C4084C">
        <w:rPr>
          <w:rFonts w:cs="Arial"/>
        </w:rPr>
        <w:t xml:space="preserve"> Australian Bureau of Statistics, </w:t>
      </w:r>
      <w:r w:rsidRPr="00C4084C">
        <w:rPr>
          <w:rFonts w:cs="Arial"/>
          <w:i/>
          <w:iCs/>
        </w:rPr>
        <w:t>Census of Population and Housing, 2021</w:t>
      </w:r>
      <w:r w:rsidRPr="00C4084C">
        <w:rPr>
          <w:rFonts w:cs="Arial"/>
        </w:rPr>
        <w:t xml:space="preserve"> [data set], (Canberra: 2021) </w:t>
      </w:r>
      <w:hyperlink r:id="rId78" w:history="1">
        <w:r w:rsidRPr="00C4084C">
          <w:rPr>
            <w:rStyle w:val="Hyperlink"/>
            <w:rFonts w:cs="Arial"/>
          </w:rPr>
          <w:t>https://www.abs.gov.au/statistics/</w:t>
        </w:r>
        <w:bookmarkStart w:id="587" w:name="_Hlt155771983"/>
        <w:bookmarkStart w:id="588" w:name="_Hlt155771984"/>
        <w:r w:rsidRPr="00C4084C">
          <w:rPr>
            <w:rStyle w:val="Hyperlink"/>
            <w:rFonts w:cs="Arial"/>
          </w:rPr>
          <w:t>p</w:t>
        </w:r>
        <w:bookmarkEnd w:id="587"/>
        <w:bookmarkEnd w:id="588"/>
        <w:r w:rsidRPr="00C4084C">
          <w:rPr>
            <w:rStyle w:val="Hyperlink"/>
            <w:rFonts w:cs="Arial"/>
          </w:rPr>
          <w:t>eople/people-and-communities</w:t>
        </w:r>
      </w:hyperlink>
      <w:r w:rsidRPr="00C4084C">
        <w:rPr>
          <w:rFonts w:cs="Arial"/>
        </w:rPr>
        <w:t xml:space="preserve">;  Department of Education, </w:t>
      </w:r>
      <w:r w:rsidRPr="00C4084C">
        <w:rPr>
          <w:rFonts w:cs="Arial"/>
          <w:i/>
          <w:iCs/>
        </w:rPr>
        <w:t>2022 Student Data</w:t>
      </w:r>
      <w:r w:rsidRPr="00C4084C">
        <w:rPr>
          <w:rFonts w:cs="Arial"/>
          <w:i/>
        </w:rPr>
        <w:t xml:space="preserve"> </w:t>
      </w:r>
      <w:r w:rsidRPr="00C4084C">
        <w:rPr>
          <w:rFonts w:cs="Arial"/>
          <w:i/>
          <w:iCs/>
        </w:rPr>
        <w:t>– Section 16 Equity groups</w:t>
      </w:r>
      <w:r w:rsidRPr="00C4084C">
        <w:rPr>
          <w:rFonts w:cs="Arial"/>
        </w:rPr>
        <w:t xml:space="preserve"> [data set], Table 11 (Canberra: 2022), </w:t>
      </w:r>
      <w:r w:rsidR="004038F7" w:rsidRPr="00C4084C">
        <w:rPr>
          <w:rFonts w:cs="Arial"/>
        </w:rPr>
        <w:t>published 1</w:t>
      </w:r>
      <w:r w:rsidR="00F23AD6" w:rsidRPr="00C4084C">
        <w:rPr>
          <w:rFonts w:cs="Arial"/>
        </w:rPr>
        <w:t>8</w:t>
      </w:r>
      <w:r w:rsidR="004038F7" w:rsidRPr="00C4084C">
        <w:rPr>
          <w:rFonts w:cs="Arial"/>
        </w:rPr>
        <w:t xml:space="preserve"> December 2023, </w:t>
      </w:r>
      <w:hyperlink r:id="rId79" w:history="1">
        <w:r w:rsidR="004038F7" w:rsidRPr="00C4084C">
          <w:rPr>
            <w:rStyle w:val="Hyperlink"/>
          </w:rPr>
          <w:t>https://www.education.gov.au/higher-education-stati</w:t>
        </w:r>
        <w:bookmarkStart w:id="589" w:name="_Hlt155771986"/>
        <w:bookmarkStart w:id="590" w:name="_Hlt155771987"/>
        <w:r w:rsidR="004038F7" w:rsidRPr="00C4084C">
          <w:rPr>
            <w:rStyle w:val="Hyperlink"/>
          </w:rPr>
          <w:t>s</w:t>
        </w:r>
        <w:bookmarkEnd w:id="589"/>
        <w:bookmarkEnd w:id="590"/>
        <w:r w:rsidR="004038F7" w:rsidRPr="00C4084C">
          <w:rPr>
            <w:rStyle w:val="Hyperlink"/>
          </w:rPr>
          <w:t>tics/resources/2022-section-16-equity-performance-data</w:t>
        </w:r>
      </w:hyperlink>
      <w:r w:rsidRPr="00C4084C">
        <w:t>.</w:t>
      </w:r>
      <w:r w:rsidR="00BC6CC3" w:rsidRPr="00C4084C">
        <w:t xml:space="preserve"> </w:t>
      </w:r>
    </w:p>
    <w:p w14:paraId="547DCE67" w14:textId="270BDE0E" w:rsidR="004E0703" w:rsidRPr="00C4084C" w:rsidRDefault="00952103" w:rsidP="008C4411">
      <w:pPr>
        <w:pStyle w:val="Source"/>
      </w:pPr>
      <w:r w:rsidRPr="00C4084C">
        <w:t>Note:</w:t>
      </w:r>
      <w:r w:rsidRPr="00C4084C">
        <w:rPr>
          <w:rFonts w:cs="Arial"/>
        </w:rPr>
        <w:t xml:space="preserve"> Low SES background </w:t>
      </w:r>
      <w:r w:rsidR="004C0F35">
        <w:rPr>
          <w:rFonts w:cs="Arial"/>
        </w:rPr>
        <w:t>(</w:t>
      </w:r>
      <w:r w:rsidRPr="00C4084C">
        <w:rPr>
          <w:rFonts w:cs="Arial"/>
        </w:rPr>
        <w:t>Quartile 1</w:t>
      </w:r>
      <w:r w:rsidR="004C0F35">
        <w:rPr>
          <w:rFonts w:cs="Arial"/>
        </w:rPr>
        <w:t>)</w:t>
      </w:r>
      <w:r w:rsidR="00B32464">
        <w:rPr>
          <w:rFonts w:cs="Arial"/>
        </w:rPr>
        <w:t xml:space="preserve"> state and territory reference values are based on</w:t>
      </w:r>
      <w:r w:rsidRPr="00C4084C">
        <w:rPr>
          <w:rFonts w:cs="Arial"/>
        </w:rPr>
        <w:t xml:space="preserve"> 20</w:t>
      </w:r>
      <w:r w:rsidR="00BC6CC3" w:rsidRPr="00C4084C">
        <w:rPr>
          <w:rFonts w:cs="Arial"/>
        </w:rPr>
        <w:t>21</w:t>
      </w:r>
      <w:r w:rsidRPr="00C4084C">
        <w:rPr>
          <w:rFonts w:cs="Arial"/>
        </w:rPr>
        <w:t xml:space="preserve"> SEIFA IEO estimates</w:t>
      </w:r>
      <w:r w:rsidR="00B32464">
        <w:rPr>
          <w:rFonts w:cs="Arial"/>
        </w:rPr>
        <w:t>.</w:t>
      </w:r>
      <w:r w:rsidRPr="00C4084C">
        <w:rPr>
          <w:rFonts w:cs="Arial"/>
        </w:rPr>
        <w:t xml:space="preserve"> </w:t>
      </w:r>
      <w:r w:rsidR="008D4A17">
        <w:rPr>
          <w:rFonts w:cs="Arial"/>
        </w:rPr>
        <w:t xml:space="preserve">First Nations and Regional, Rural and Remote national reference values use 2021 Census. First Nations counts used have been adjusted based on ABS expected underreporting determined using the Post Enumeration Survey for the 2021 Census to better represent expected values for First Nations groups across Australia. </w:t>
      </w:r>
      <w:r w:rsidRPr="00C4084C">
        <w:rPr>
          <w:rFonts w:cs="Arial"/>
        </w:rPr>
        <w:t xml:space="preserve"> </w:t>
      </w:r>
      <w:r w:rsidR="004E0703" w:rsidRPr="00C4084C">
        <w:t xml:space="preserve">The Review has relied on the Department of Education's estimated reference value for students with disability. The Department of Education estimates this value at the national level based on the proportion of the 15 to 64-year-old population with disability, adjusted for age profile and profound disability, which is assumed to preclude participation in higher education. The Department of Education does not estimate reference values at the state and territory level for people with disability. </w:t>
      </w:r>
    </w:p>
    <w:p w14:paraId="25D87A48" w14:textId="545645D3" w:rsidR="00D27626" w:rsidRPr="00C4084C" w:rsidRDefault="009A0363" w:rsidP="007B0775">
      <w:pPr>
        <w:pStyle w:val="Heading5"/>
      </w:pPr>
      <w:r w:rsidRPr="00C4084C">
        <w:t>Moving towards parity –</w:t>
      </w:r>
      <w:r w:rsidR="00D27626" w:rsidRPr="00C4084C">
        <w:t xml:space="preserve"> state and territory target</w:t>
      </w:r>
      <w:r w:rsidRPr="00C4084C">
        <w:t>s</w:t>
      </w:r>
      <w:r w:rsidR="00D27626" w:rsidRPr="00C4084C">
        <w:t xml:space="preserve"> </w:t>
      </w:r>
    </w:p>
    <w:p w14:paraId="7CD7F072" w14:textId="28477A0C" w:rsidR="00D27626" w:rsidRPr="00C4084C" w:rsidRDefault="00D27626" w:rsidP="00401CC1">
      <w:r w:rsidRPr="00C4084C">
        <w:t xml:space="preserve">In Australia, most higher education students are enrolled in </w:t>
      </w:r>
      <w:r w:rsidR="00CD0873" w:rsidRPr="00C4084C">
        <w:t xml:space="preserve">universities </w:t>
      </w:r>
      <w:r w:rsidRPr="00C4084C">
        <w:t xml:space="preserve">in the state or territory where they live, though this differs somewhat between states and territories. For these reasons, the Review proposes a state- and territory-based approach to targets, where each Table A higher education provider works towards a target that reflects the population of its home state or territory. There should be scope for the proposed </w:t>
      </w:r>
      <w:r w:rsidR="003D6703" w:rsidRPr="00C4084C">
        <w:t>Commission</w:t>
      </w:r>
      <w:r w:rsidRPr="00C4084C">
        <w:t xml:space="preserve"> to negotiate modified targets where required, for example in the case of multi-jurisdiction universities like the Australian Catholic University. This approach also offers a way to ensure the benefits of increased higher education participation are distributed across Australia.</w:t>
      </w:r>
    </w:p>
    <w:p w14:paraId="033052E2" w14:textId="13478859" w:rsidR="00D27626" w:rsidRPr="00C4084C" w:rsidRDefault="00D27626" w:rsidP="00401CC1">
      <w:pPr>
        <w:rPr>
          <w:rStyle w:val="eop"/>
          <w:rFonts w:cs="Arial"/>
        </w:rPr>
      </w:pPr>
      <w:r w:rsidRPr="00C4084C">
        <w:t xml:space="preserve">The Review has also considered how </w:t>
      </w:r>
      <w:r w:rsidR="00CD0873" w:rsidRPr="00C4084C">
        <w:t>universities</w:t>
      </w:r>
      <w:r w:rsidRPr="00C4084C">
        <w:t xml:space="preserve"> should be expected to contribute to their state or territory target. Performance</w:t>
      </w:r>
      <w:r w:rsidRPr="00C4084C">
        <w:rPr>
          <w:rStyle w:val="eop"/>
          <w:rFonts w:cs="Arial"/>
        </w:rPr>
        <w:t xml:space="preserve"> varies across the sector, with some </w:t>
      </w:r>
      <w:r w:rsidR="00CD0873" w:rsidRPr="00C4084C">
        <w:rPr>
          <w:rStyle w:val="eop"/>
          <w:rFonts w:cs="Arial"/>
        </w:rPr>
        <w:t xml:space="preserve">universities </w:t>
      </w:r>
      <w:r w:rsidRPr="00C4084C">
        <w:rPr>
          <w:rStyle w:val="eop"/>
          <w:rFonts w:cs="Arial"/>
        </w:rPr>
        <w:t>already at or approaching parity for some identified equity groups, while others are much further away. NCSEHE’s analysis considered multiple options, including requiring</w:t>
      </w:r>
      <w:r w:rsidRPr="00C4084C">
        <w:rPr>
          <w:rStyle w:val="normaltextrun"/>
          <w:rFonts w:cs="Arial"/>
        </w:rPr>
        <w:t xml:space="preserve"> all Table A higher education providers to achieve parity (where parity means share of enrolments is equal to share of the relevant state/territory population). This would mean, for example,</w:t>
      </w:r>
      <w:r w:rsidRPr="00C4084C">
        <w:rPr>
          <w:rStyle w:val="eop"/>
          <w:rFonts w:cs="Arial"/>
        </w:rPr>
        <w:t xml:space="preserve"> that each university in Victoria would be set a target that 20.</w:t>
      </w:r>
      <w:r w:rsidR="007E1C66" w:rsidRPr="00C4084C">
        <w:rPr>
          <w:rStyle w:val="eop"/>
          <w:rFonts w:cs="Arial"/>
        </w:rPr>
        <w:t>7</w:t>
      </w:r>
      <w:r w:rsidRPr="00C4084C">
        <w:rPr>
          <w:rStyle w:val="eop"/>
          <w:rFonts w:cs="Arial"/>
        </w:rPr>
        <w:t xml:space="preserve">% of its enrolments be students from regional, </w:t>
      </w:r>
      <w:proofErr w:type="gramStart"/>
      <w:r w:rsidRPr="00C4084C">
        <w:rPr>
          <w:rStyle w:val="eop"/>
          <w:rFonts w:cs="Arial"/>
        </w:rPr>
        <w:t>rural</w:t>
      </w:r>
      <w:proofErr w:type="gramEnd"/>
      <w:r w:rsidRPr="00C4084C">
        <w:rPr>
          <w:rStyle w:val="eop"/>
          <w:rFonts w:cs="Arial"/>
        </w:rPr>
        <w:t xml:space="preserve"> and remote areas. This is likely to be more achievable for regional institutions than city-based institutions.</w:t>
      </w:r>
    </w:p>
    <w:p w14:paraId="6FE8592D" w14:textId="3C71B965" w:rsidR="00D27626" w:rsidRPr="00C4084C" w:rsidRDefault="00D27626" w:rsidP="00401CC1">
      <w:pPr>
        <w:rPr>
          <w:rStyle w:val="normaltextrun"/>
        </w:rPr>
      </w:pPr>
      <w:r w:rsidRPr="00C4084C">
        <w:rPr>
          <w:rStyle w:val="eop"/>
        </w:rPr>
        <w:t xml:space="preserve">Instead, NCSEHE proposed an </w:t>
      </w:r>
      <w:r w:rsidRPr="00C4084C">
        <w:rPr>
          <w:rStyle w:val="eop"/>
          <w:i/>
        </w:rPr>
        <w:t>equal effort</w:t>
      </w:r>
      <w:r w:rsidRPr="00C4084C">
        <w:rPr>
          <w:rStyle w:val="eop"/>
        </w:rPr>
        <w:t xml:space="preserve"> approach. Equal effort would see each Table A higher education provider in a jurisdiction aiming to increase its proportion of students from the target cohorts</w:t>
      </w:r>
      <w:r w:rsidRPr="00C4084C">
        <w:rPr>
          <w:rStyle w:val="normaltextrun"/>
        </w:rPr>
        <w:t xml:space="preserve"> at the same </w:t>
      </w:r>
      <w:r w:rsidRPr="00C4084C">
        <w:rPr>
          <w:rStyle w:val="normaltextrun"/>
        </w:rPr>
        <w:lastRenderedPageBreak/>
        <w:t>rate, with collective growth across all institutions in that state or territory achieving the jurisdictional parity target. All universities would be expected to achieve the same rate of growth in enrolments from the target cohorts, but the volume of additional students they enrol would differ relative to their starting point. Based on NCSEHE’s work, the Review recommends an equal effort approach to setting targets as being the most appropriate</w:t>
      </w:r>
      <w:r w:rsidR="006E1A77" w:rsidRPr="00C4084C">
        <w:rPr>
          <w:rStyle w:val="normaltextrun"/>
        </w:rPr>
        <w:t xml:space="preserve"> </w:t>
      </w:r>
      <w:r w:rsidR="006E1A77" w:rsidRPr="00C4084C">
        <w:t xml:space="preserve">(see Recommendation </w:t>
      </w:r>
      <w:r w:rsidR="000B2025" w:rsidRPr="00C4084C">
        <w:t>10</w:t>
      </w:r>
      <w:r w:rsidR="006E1A77" w:rsidRPr="00C4084C">
        <w:t>)</w:t>
      </w:r>
      <w:r w:rsidRPr="00C4084C">
        <w:rPr>
          <w:rStyle w:val="normaltextrun"/>
        </w:rPr>
        <w:t>. The Review</w:t>
      </w:r>
      <w:r w:rsidRPr="00C4084C" w:rsidDel="004E425E">
        <w:rPr>
          <w:rStyle w:val="normaltextrun"/>
        </w:rPr>
        <w:t xml:space="preserve"> </w:t>
      </w:r>
      <w:r w:rsidR="004E425E" w:rsidRPr="00C4084C">
        <w:rPr>
          <w:rStyle w:val="normaltextrun"/>
        </w:rPr>
        <w:t>recommend</w:t>
      </w:r>
      <w:r w:rsidR="00A7EC0A" w:rsidRPr="00C4084C">
        <w:rPr>
          <w:rStyle w:val="normaltextrun"/>
        </w:rPr>
        <w:t>s</w:t>
      </w:r>
      <w:r w:rsidRPr="00C4084C">
        <w:rPr>
          <w:rStyle w:val="normaltextrun"/>
        </w:rPr>
        <w:t xml:space="preserve"> the </w:t>
      </w:r>
      <w:r w:rsidR="00D35660" w:rsidRPr="00C4084C">
        <w:rPr>
          <w:rStyle w:val="normaltextrun"/>
        </w:rPr>
        <w:t>Australian</w:t>
      </w:r>
      <w:r w:rsidRPr="00C4084C">
        <w:rPr>
          <w:rStyle w:val="normaltextrun"/>
        </w:rPr>
        <w:t xml:space="preserve"> Government consider enabling collaboration and innovation between </w:t>
      </w:r>
      <w:r w:rsidR="00CD0873" w:rsidRPr="00C4084C">
        <w:rPr>
          <w:rStyle w:val="normaltextrun"/>
        </w:rPr>
        <w:t>universities</w:t>
      </w:r>
      <w:r w:rsidRPr="00C4084C">
        <w:rPr>
          <w:rStyle w:val="normaltextrun"/>
        </w:rPr>
        <w:t>, recognising the need for a target-setting approach that is flexible enough to encourage</w:t>
      </w:r>
      <w:r w:rsidR="00CD0873" w:rsidRPr="00C4084C">
        <w:rPr>
          <w:rStyle w:val="normaltextrun"/>
        </w:rPr>
        <w:t xml:space="preserve"> universities</w:t>
      </w:r>
      <w:r w:rsidRPr="00C4084C">
        <w:rPr>
          <w:rStyle w:val="normaltextrun"/>
        </w:rPr>
        <w:t xml:space="preserve"> to leverage their strengths and work together to achieve system-level goals. </w:t>
      </w:r>
    </w:p>
    <w:p w14:paraId="3FB21294" w14:textId="138290FB" w:rsidR="00D27626" w:rsidRPr="00C4084C" w:rsidRDefault="00D27626" w:rsidP="00401CC1">
      <w:r w:rsidRPr="00C4084C">
        <w:t xml:space="preserve">Under the equal effort approach, every Table A higher education provider within a state or territory </w:t>
      </w:r>
      <w:r w:rsidR="004E425E" w:rsidRPr="00C4084C">
        <w:t xml:space="preserve">would </w:t>
      </w:r>
      <w:r w:rsidRPr="00C4084C">
        <w:t>contribute equally to the goal of parity for that jurisdiction. This means there</w:t>
      </w:r>
      <w:r w:rsidR="004E425E" w:rsidRPr="00C4084C">
        <w:t xml:space="preserve"> would be</w:t>
      </w:r>
      <w:r w:rsidRPr="00C4084C">
        <w:t xml:space="preserve"> an identical percentage increase in participation outcomes from the starting point for each institution, equal to the required percentage increase to achieve a parity outcome for the jurisdiction. Where parity has already been achieved (the participation rate for a</w:t>
      </w:r>
      <w:r w:rsidRPr="00C4084C">
        <w:rPr>
          <w:i/>
          <w:iCs/>
        </w:rPr>
        <w:t xml:space="preserve"> jurisdiction</w:t>
      </w:r>
      <w:r w:rsidRPr="00C4084C">
        <w:t xml:space="preserve"> is higher than the target equity reference value), its parity target will be to </w:t>
      </w:r>
      <w:r w:rsidR="004535FE" w:rsidRPr="00C4084C">
        <w:t xml:space="preserve">see no decrease in rates of participation </w:t>
      </w:r>
      <w:r w:rsidRPr="00C4084C">
        <w:t xml:space="preserve">performance. </w:t>
      </w:r>
      <w:r w:rsidR="00C37A2E" w:rsidRPr="00C4084C">
        <w:t xml:space="preserve">The Commission will need to work closely with </w:t>
      </w:r>
      <w:r w:rsidR="006D5515" w:rsidRPr="00C4084C">
        <w:t>universities</w:t>
      </w:r>
      <w:r w:rsidR="00C37A2E" w:rsidRPr="00C4084C">
        <w:t xml:space="preserve"> to ensure all universities are growing the number of students from target cohorts and that this is supporting system-wide growth in the number of students participating to mee</w:t>
      </w:r>
      <w:r w:rsidR="007659B5" w:rsidRPr="00C4084C">
        <w:t>t</w:t>
      </w:r>
      <w:r w:rsidR="00C37A2E" w:rsidRPr="00C4084C">
        <w:t xml:space="preserve"> the national 2035 targets.</w:t>
      </w:r>
    </w:p>
    <w:p w14:paraId="7EBB528E" w14:textId="71670CA0" w:rsidR="00D27626" w:rsidRPr="00C4084C" w:rsidRDefault="00D27626" w:rsidP="00BA6095">
      <w:pPr>
        <w:pStyle w:val="Heading4"/>
        <w:rPr>
          <w:rStyle w:val="normaltextrun"/>
        </w:rPr>
      </w:pPr>
      <w:bookmarkStart w:id="591" w:name="_Toc150523117"/>
      <w:bookmarkStart w:id="592" w:name="_Toc150692413"/>
      <w:bookmarkStart w:id="593" w:name="_Toc579034677"/>
      <w:bookmarkStart w:id="594" w:name="_Toc153483027"/>
      <w:bookmarkStart w:id="595" w:name="_Toc159500937"/>
      <w:r w:rsidRPr="00C4084C">
        <w:rPr>
          <w:rStyle w:val="normaltextrun"/>
        </w:rPr>
        <w:t>Achieving parity – a worthy challenge</w:t>
      </w:r>
      <w:bookmarkEnd w:id="591"/>
      <w:bookmarkEnd w:id="592"/>
      <w:bookmarkEnd w:id="593"/>
      <w:bookmarkEnd w:id="594"/>
      <w:bookmarkEnd w:id="595"/>
    </w:p>
    <w:p w14:paraId="735AFDEE" w14:textId="475086AE" w:rsidR="00D27626" w:rsidRPr="00C4084C" w:rsidRDefault="00D27626" w:rsidP="00401CC1">
      <w:pPr>
        <w:rPr>
          <w:rStyle w:val="normaltextrun"/>
          <w:rFonts w:cs="Arial"/>
        </w:rPr>
      </w:pPr>
      <w:r w:rsidRPr="00C4084C">
        <w:rPr>
          <w:rStyle w:val="normaltextrun"/>
          <w:rFonts w:cs="Arial"/>
        </w:rPr>
        <w:t xml:space="preserve">Achieving </w:t>
      </w:r>
      <w:r w:rsidR="00F80387" w:rsidRPr="00C4084C">
        <w:rPr>
          <w:rStyle w:val="normaltextrun"/>
          <w:rFonts w:cs="Arial"/>
        </w:rPr>
        <w:t xml:space="preserve">population </w:t>
      </w:r>
      <w:r w:rsidRPr="00C4084C">
        <w:rPr>
          <w:rStyle w:val="normaltextrun"/>
          <w:rFonts w:cs="Arial"/>
        </w:rPr>
        <w:t>parity</w:t>
      </w:r>
      <w:r w:rsidR="00CD0873" w:rsidRPr="00C4084C">
        <w:rPr>
          <w:rStyle w:val="normaltextrun"/>
          <w:rFonts w:cs="Arial"/>
        </w:rPr>
        <w:t xml:space="preserve"> in higher education</w:t>
      </w:r>
      <w:r w:rsidR="00D04F2C" w:rsidRPr="00C4084C">
        <w:rPr>
          <w:rStyle w:val="normaltextrun"/>
          <w:rFonts w:cs="Arial"/>
        </w:rPr>
        <w:t xml:space="preserve">, </w:t>
      </w:r>
      <w:r w:rsidR="00F80387" w:rsidRPr="00C4084C">
        <w:rPr>
          <w:rStyle w:val="normaltextrun"/>
          <w:rFonts w:cs="Arial"/>
        </w:rPr>
        <w:t>with</w:t>
      </w:r>
      <w:r w:rsidR="00D04F2C" w:rsidRPr="00C4084C">
        <w:rPr>
          <w:rStyle w:val="normaltextrun"/>
          <w:rFonts w:cs="Arial"/>
        </w:rPr>
        <w:t xml:space="preserve"> no group under</w:t>
      </w:r>
      <w:r w:rsidR="008669DA" w:rsidRPr="00C4084C">
        <w:rPr>
          <w:rStyle w:val="normaltextrun"/>
          <w:rFonts w:cs="Arial"/>
        </w:rPr>
        <w:t>-</w:t>
      </w:r>
      <w:r w:rsidR="00D04F2C" w:rsidRPr="00C4084C">
        <w:rPr>
          <w:rStyle w:val="normaltextrun"/>
          <w:rFonts w:cs="Arial"/>
        </w:rPr>
        <w:t>represented,</w:t>
      </w:r>
      <w:r w:rsidRPr="00C4084C">
        <w:rPr>
          <w:rStyle w:val="normaltextrun"/>
          <w:rFonts w:cs="Arial"/>
        </w:rPr>
        <w:t xml:space="preserve"> is an exceptionally challenging task, as Australia’s previous experience with target-setting illustrates. In response to the Bradley Review in 2008, the </w:t>
      </w:r>
      <w:r w:rsidR="00D35660" w:rsidRPr="00C4084C">
        <w:rPr>
          <w:rStyle w:val="normaltextrun"/>
          <w:rFonts w:cs="Arial"/>
        </w:rPr>
        <w:t xml:space="preserve">Australian </w:t>
      </w:r>
      <w:r w:rsidRPr="00C4084C">
        <w:rPr>
          <w:rStyle w:val="normaltextrun"/>
          <w:rFonts w:cs="Arial"/>
        </w:rPr>
        <w:t xml:space="preserve">Government set a target </w:t>
      </w:r>
      <w:r w:rsidR="0082603D">
        <w:rPr>
          <w:rStyle w:val="normaltextrun"/>
          <w:rFonts w:cs="Arial"/>
        </w:rPr>
        <w:t>that</w:t>
      </w:r>
      <w:r w:rsidR="0082603D" w:rsidRPr="00C4084C">
        <w:rPr>
          <w:rStyle w:val="normaltextrun"/>
          <w:rFonts w:cs="Arial"/>
        </w:rPr>
        <w:t xml:space="preserve"> </w:t>
      </w:r>
      <w:r w:rsidRPr="00C4084C">
        <w:rPr>
          <w:rStyle w:val="normaltextrun"/>
          <w:rFonts w:cs="Arial"/>
        </w:rPr>
        <w:t xml:space="preserve">20% of higher education enrolments at the undergraduate level be from low SES backgrounds by 2020. This target was not met in part because of higher-than-expected growth in the total undergraduate population. This is not a bad thing. In fact, it appears that higher-than-expected growth in enrolments was accompanied by a significant increase in the </w:t>
      </w:r>
      <w:r w:rsidRPr="00C4084C">
        <w:rPr>
          <w:rStyle w:val="normaltextrun"/>
          <w:rFonts w:cs="Arial"/>
          <w:i/>
          <w:iCs/>
        </w:rPr>
        <w:t>number</w:t>
      </w:r>
      <w:r w:rsidRPr="00C4084C">
        <w:rPr>
          <w:rStyle w:val="normaltextrun"/>
          <w:rFonts w:cs="Arial"/>
        </w:rPr>
        <w:t xml:space="preserve"> of students from </w:t>
      </w:r>
      <w:r w:rsidRPr="00C4084C">
        <w:rPr>
          <w:rStyle w:val="normaltextrun"/>
        </w:rPr>
        <w:t>low SES</w:t>
      </w:r>
      <w:r w:rsidRPr="00C4084C">
        <w:rPr>
          <w:rStyle w:val="normaltextrun"/>
          <w:rFonts w:cs="Arial"/>
        </w:rPr>
        <w:t xml:space="preserve"> backgrounds, which grew 54.7% between 2008 and 2021.</w:t>
      </w:r>
      <w:r w:rsidRPr="00C4084C">
        <w:rPr>
          <w:rStyle w:val="FootnoteReference"/>
          <w:rFonts w:cs="Arial"/>
        </w:rPr>
        <w:footnoteReference w:id="176"/>
      </w:r>
      <w:r w:rsidRPr="00C4084C">
        <w:rPr>
          <w:rStyle w:val="normaltextrun"/>
          <w:rFonts w:cs="Arial"/>
        </w:rPr>
        <w:t xml:space="preserve"> </w:t>
      </w:r>
    </w:p>
    <w:p w14:paraId="04CC867B" w14:textId="219F04AE" w:rsidR="00D27626" w:rsidRPr="00C4084C" w:rsidRDefault="00D27626" w:rsidP="00401CC1">
      <w:pPr>
        <w:rPr>
          <w:rStyle w:val="normaltextrun"/>
          <w:rFonts w:cs="Arial"/>
        </w:rPr>
      </w:pPr>
      <w:r w:rsidRPr="00C4084C">
        <w:rPr>
          <w:rStyle w:val="normaltextrun"/>
          <w:rFonts w:cs="Arial"/>
        </w:rPr>
        <w:t xml:space="preserve">However, because the total number of undergraduate students also increased, the </w:t>
      </w:r>
      <w:r w:rsidRPr="00C4084C">
        <w:rPr>
          <w:rStyle w:val="normaltextrun"/>
          <w:rFonts w:cs="Arial"/>
          <w:i/>
          <w:iCs/>
        </w:rPr>
        <w:t>proportion</w:t>
      </w:r>
      <w:r w:rsidRPr="00C4084C">
        <w:rPr>
          <w:rStyle w:val="normaltextrun"/>
          <w:rFonts w:cs="Arial"/>
        </w:rPr>
        <w:t xml:space="preserve"> of students from low SES backgrounds increased only marginally from 2008 </w:t>
      </w:r>
      <w:r w:rsidR="003972A8" w:rsidRPr="00C4084C">
        <w:rPr>
          <w:rStyle w:val="normaltextrun"/>
          <w:rFonts w:cs="Arial"/>
        </w:rPr>
        <w:t>(</w:t>
      </w:r>
      <w:r w:rsidRPr="00C4084C">
        <w:rPr>
          <w:rStyle w:val="normaltextrun"/>
          <w:rFonts w:cs="Arial"/>
        </w:rPr>
        <w:t>16.</w:t>
      </w:r>
      <w:r w:rsidR="17B41984" w:rsidRPr="00C4084C">
        <w:rPr>
          <w:rStyle w:val="normaltextrun"/>
          <w:rFonts w:cs="Arial"/>
        </w:rPr>
        <w:t>3</w:t>
      </w:r>
      <w:r w:rsidR="003972A8" w:rsidRPr="00C4084C">
        <w:rPr>
          <w:rStyle w:val="normaltextrun"/>
          <w:rFonts w:cs="Arial"/>
        </w:rPr>
        <w:t xml:space="preserve">%) </w:t>
      </w:r>
      <w:r w:rsidRPr="00C4084C">
        <w:rPr>
          <w:rStyle w:val="normaltextrun"/>
          <w:rFonts w:cs="Arial"/>
        </w:rPr>
        <w:t>to</w:t>
      </w:r>
      <w:r w:rsidRPr="00C4084C" w:rsidDel="003972A8">
        <w:rPr>
          <w:rStyle w:val="normaltextrun"/>
          <w:rFonts w:cs="Arial"/>
        </w:rPr>
        <w:t xml:space="preserve"> </w:t>
      </w:r>
      <w:r w:rsidRPr="00C4084C">
        <w:rPr>
          <w:rStyle w:val="normaltextrun"/>
          <w:rFonts w:cs="Arial"/>
        </w:rPr>
        <w:t>202</w:t>
      </w:r>
      <w:r w:rsidR="00952103" w:rsidRPr="00C4084C">
        <w:rPr>
          <w:rStyle w:val="normaltextrun"/>
          <w:rFonts w:cs="Arial"/>
        </w:rPr>
        <w:t>1</w:t>
      </w:r>
      <w:r w:rsidR="003972A8" w:rsidRPr="00C4084C">
        <w:rPr>
          <w:rStyle w:val="normaltextrun"/>
          <w:rFonts w:cs="Arial"/>
        </w:rPr>
        <w:t xml:space="preserve"> (1</w:t>
      </w:r>
      <w:r w:rsidR="23793225" w:rsidRPr="00C4084C">
        <w:rPr>
          <w:rStyle w:val="normaltextrun"/>
          <w:rFonts w:cs="Arial"/>
        </w:rPr>
        <w:t>7.</w:t>
      </w:r>
      <w:r w:rsidR="003972A8" w:rsidRPr="00C4084C">
        <w:rPr>
          <w:rStyle w:val="normaltextrun"/>
          <w:rFonts w:cs="Arial"/>
        </w:rPr>
        <w:t>1%)</w:t>
      </w:r>
      <w:r w:rsidRPr="00C4084C">
        <w:rPr>
          <w:rStyle w:val="normaltextrun"/>
          <w:rFonts w:cs="Arial"/>
        </w:rPr>
        <w:t>.</w:t>
      </w:r>
      <w:r w:rsidRPr="00C4084C">
        <w:rPr>
          <w:rStyle w:val="FootnoteReference"/>
          <w:rFonts w:cs="Arial"/>
        </w:rPr>
        <w:footnoteReference w:id="177"/>
      </w:r>
      <w:r w:rsidR="00DD2288" w:rsidRPr="00C4084C">
        <w:rPr>
          <w:rStyle w:val="normaltextrun"/>
          <w:rFonts w:cs="Arial"/>
        </w:rPr>
        <w:t xml:space="preserve"> </w:t>
      </w:r>
      <w:r w:rsidRPr="00C4084C">
        <w:rPr>
          <w:rStyle w:val="normaltextrun"/>
          <w:rFonts w:cs="Arial"/>
        </w:rPr>
        <w:t xml:space="preserve">Achieving the level of growth necessary to meet future skills needs, as the Review recommends, will make parity an increasingly challenging task. NCSEHE projections suggest that to achieve parity by 2035, students from the </w:t>
      </w:r>
      <w:r w:rsidR="00D16150" w:rsidRPr="00C4084C">
        <w:rPr>
          <w:rStyle w:val="normaltextrun"/>
          <w:rFonts w:cs="Arial"/>
        </w:rPr>
        <w:t>4</w:t>
      </w:r>
      <w:r w:rsidRPr="00C4084C">
        <w:rPr>
          <w:rStyle w:val="normaltextrun"/>
          <w:rFonts w:cs="Arial"/>
        </w:rPr>
        <w:t xml:space="preserve"> target cohorts would need to make up 86</w:t>
      </w:r>
      <w:r w:rsidR="00952103" w:rsidRPr="00C4084C">
        <w:rPr>
          <w:rStyle w:val="normaltextrun"/>
          <w:rFonts w:cs="Arial"/>
        </w:rPr>
        <w:t>.0</w:t>
      </w:r>
      <w:r w:rsidRPr="00C4084C">
        <w:rPr>
          <w:rStyle w:val="normaltextrun"/>
          <w:rFonts w:cs="Arial"/>
        </w:rPr>
        <w:t xml:space="preserve">% of </w:t>
      </w:r>
      <w:r w:rsidR="00A04809" w:rsidRPr="00C4084C">
        <w:rPr>
          <w:rStyle w:val="normaltextrun"/>
          <w:rFonts w:cs="Arial"/>
        </w:rPr>
        <w:t>enrolment growth</w:t>
      </w:r>
      <w:r w:rsidR="00423393" w:rsidRPr="00C4084C">
        <w:rPr>
          <w:rStyle w:val="normaltextrun"/>
          <w:rFonts w:cs="Arial"/>
        </w:rPr>
        <w:t xml:space="preserve">, clearly </w:t>
      </w:r>
      <w:r w:rsidR="00057108" w:rsidRPr="00C4084C">
        <w:rPr>
          <w:rStyle w:val="normaltextrun"/>
          <w:rFonts w:cs="Arial"/>
        </w:rPr>
        <w:t xml:space="preserve">an </w:t>
      </w:r>
      <w:r w:rsidR="009F1042" w:rsidRPr="00C4084C">
        <w:rPr>
          <w:rStyle w:val="normaltextrun"/>
          <w:rFonts w:cs="Arial"/>
        </w:rPr>
        <w:t xml:space="preserve">extremely </w:t>
      </w:r>
      <w:r w:rsidR="00423393" w:rsidRPr="00C4084C">
        <w:rPr>
          <w:rStyle w:val="normaltextrun"/>
          <w:rFonts w:cs="Arial"/>
        </w:rPr>
        <w:t xml:space="preserve">difficult </w:t>
      </w:r>
      <w:r w:rsidR="009F1042" w:rsidRPr="00C4084C">
        <w:rPr>
          <w:rStyle w:val="normaltextrun"/>
          <w:rFonts w:cs="Arial"/>
        </w:rPr>
        <w:t>task</w:t>
      </w:r>
      <w:r w:rsidRPr="00C4084C">
        <w:rPr>
          <w:rStyle w:val="normaltextrun"/>
          <w:rFonts w:cs="Arial"/>
        </w:rPr>
        <w:t xml:space="preserve">. While still ambitious, achieving parity of participation by 2050 is </w:t>
      </w:r>
      <w:r w:rsidR="00BE1088" w:rsidRPr="00C4084C">
        <w:rPr>
          <w:rStyle w:val="normaltextrun"/>
          <w:rFonts w:cs="Arial"/>
        </w:rPr>
        <w:t xml:space="preserve">a </w:t>
      </w:r>
      <w:r w:rsidRPr="00C4084C">
        <w:rPr>
          <w:rStyle w:val="normaltextrun"/>
          <w:rFonts w:cs="Arial"/>
        </w:rPr>
        <w:t>realistic</w:t>
      </w:r>
      <w:r w:rsidR="00BE1088" w:rsidRPr="00C4084C">
        <w:rPr>
          <w:rStyle w:val="normaltextrun"/>
          <w:rFonts w:cs="Arial"/>
        </w:rPr>
        <w:t xml:space="preserve"> goal that the Review considers can be achieved if the changes needed are made</w:t>
      </w:r>
      <w:r w:rsidRPr="00C4084C">
        <w:rPr>
          <w:rStyle w:val="normaltextrun"/>
          <w:rFonts w:cs="Arial"/>
        </w:rPr>
        <w:t>.</w:t>
      </w:r>
    </w:p>
    <w:p w14:paraId="405C466C" w14:textId="2883922B" w:rsidR="00825EB2" w:rsidRPr="00C4084C" w:rsidRDefault="00825EB2" w:rsidP="00B9584E">
      <w:pPr>
        <w:pStyle w:val="Caption"/>
        <w:rPr>
          <w:rStyle w:val="normaltextrun"/>
          <w:rFonts w:cs="Arial"/>
        </w:rPr>
      </w:pPr>
      <w:bookmarkStart w:id="596" w:name="_Toc153809630"/>
      <w:r w:rsidRPr="00C4084C">
        <w:t xml:space="preserve">Table </w:t>
      </w:r>
      <w:fldSimple w:instr=" SEQ Table \* ARABIC ">
        <w:r w:rsidR="00467B4F">
          <w:rPr>
            <w:noProof/>
          </w:rPr>
          <w:t>2</w:t>
        </w:r>
      </w:fldSimple>
      <w:r w:rsidRPr="00C4084C">
        <w:t xml:space="preserve">: </w:t>
      </w:r>
      <w:r w:rsidR="00B84984" w:rsidRPr="00C4084C">
        <w:t>Target cohorts share of g</w:t>
      </w:r>
      <w:r w:rsidRPr="00C4084C">
        <w:t>rowth in enrolments as a proportion of total enrolment growth</w:t>
      </w:r>
      <w:r w:rsidR="00AE70A5" w:rsidRPr="00C4084C">
        <w:t xml:space="preserve"> (%)</w:t>
      </w:r>
      <w:r w:rsidR="00C100C0" w:rsidRPr="00C4084C">
        <w:t>, actual and projected to achieve parity</w:t>
      </w:r>
      <w:r w:rsidR="0066388D" w:rsidRPr="00C4084C">
        <w:t>.</w:t>
      </w:r>
      <w:bookmarkEnd w:id="596"/>
    </w:p>
    <w:tbl>
      <w:tblPr>
        <w:tblStyle w:val="ListTable1Light-Accent3"/>
        <w:tblW w:w="0" w:type="auto"/>
        <w:tblLook w:val="04A0" w:firstRow="1" w:lastRow="0" w:firstColumn="1" w:lastColumn="0" w:noHBand="0" w:noVBand="1"/>
      </w:tblPr>
      <w:tblGrid>
        <w:gridCol w:w="2551"/>
        <w:gridCol w:w="1617"/>
        <w:gridCol w:w="1617"/>
        <w:gridCol w:w="1617"/>
      </w:tblGrid>
      <w:tr w:rsidR="002235F4" w:rsidRPr="00C4084C" w14:paraId="61575DD7" w14:textId="77777777" w:rsidTr="00AE70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Borders>
              <w:bottom w:val="single" w:sz="12" w:space="0" w:color="A1E2F9"/>
              <w:right w:val="single" w:sz="12" w:space="0" w:color="A1E2F9"/>
            </w:tcBorders>
            <w:shd w:val="clear" w:color="auto" w:fill="D0F1FC"/>
          </w:tcPr>
          <w:p w14:paraId="2EAD06AE" w14:textId="77777777" w:rsidR="002235F4" w:rsidRPr="00C4084C" w:rsidRDefault="002235F4" w:rsidP="00AE70A5">
            <w:pPr>
              <w:keepNext/>
              <w:spacing w:after="0"/>
              <w:rPr>
                <w:lang w:eastAsia="en-AU"/>
              </w:rPr>
            </w:pPr>
          </w:p>
        </w:tc>
        <w:tc>
          <w:tcPr>
            <w:tcW w:w="1617" w:type="dxa"/>
            <w:tcBorders>
              <w:left w:val="single" w:sz="12" w:space="0" w:color="A1E2F9"/>
              <w:bottom w:val="single" w:sz="12" w:space="0" w:color="A1E2F9"/>
              <w:right w:val="single" w:sz="6" w:space="0" w:color="89DAF7"/>
            </w:tcBorders>
            <w:shd w:val="clear" w:color="auto" w:fill="D0F1FC"/>
          </w:tcPr>
          <w:p w14:paraId="3EE60A6B" w14:textId="5A60F331" w:rsidR="002235F4" w:rsidRPr="00C4084C" w:rsidRDefault="002235F4" w:rsidP="00C100C0">
            <w:pPr>
              <w:keepNext/>
              <w:spacing w:after="0"/>
              <w:jc w:val="right"/>
              <w:cnfStyle w:val="100000000000" w:firstRow="1" w:lastRow="0" w:firstColumn="0" w:lastColumn="0" w:oddVBand="0" w:evenVBand="0" w:oddHBand="0" w:evenHBand="0" w:firstRowFirstColumn="0" w:firstRowLastColumn="0" w:lastRowFirstColumn="0" w:lastRowLastColumn="0"/>
              <w:rPr>
                <w:lang w:eastAsia="en-AU"/>
              </w:rPr>
            </w:pPr>
            <w:r w:rsidRPr="00C4084C">
              <w:rPr>
                <w:lang w:eastAsia="en-AU"/>
              </w:rPr>
              <w:t>Actual 2008</w:t>
            </w:r>
            <w:r w:rsidR="00C100C0" w:rsidRPr="00C4084C">
              <w:rPr>
                <w:lang w:eastAsia="en-AU"/>
              </w:rPr>
              <w:t xml:space="preserve"> to </w:t>
            </w:r>
            <w:r w:rsidRPr="00C4084C">
              <w:rPr>
                <w:lang w:eastAsia="en-AU"/>
              </w:rPr>
              <w:t xml:space="preserve">2021 </w:t>
            </w:r>
          </w:p>
        </w:tc>
        <w:tc>
          <w:tcPr>
            <w:tcW w:w="1617" w:type="dxa"/>
            <w:tcBorders>
              <w:bottom w:val="single" w:sz="12" w:space="0" w:color="A1E2F9"/>
            </w:tcBorders>
            <w:shd w:val="clear" w:color="auto" w:fill="D0F1FC"/>
          </w:tcPr>
          <w:p w14:paraId="1A2A701C" w14:textId="545E96E9" w:rsidR="002235F4" w:rsidRPr="00C4084C" w:rsidRDefault="002235F4" w:rsidP="00C100C0">
            <w:pPr>
              <w:keepNext/>
              <w:spacing w:after="0"/>
              <w:jc w:val="right"/>
              <w:cnfStyle w:val="100000000000" w:firstRow="1" w:lastRow="0" w:firstColumn="0" w:lastColumn="0" w:oddVBand="0" w:evenVBand="0" w:oddHBand="0" w:evenHBand="0" w:firstRowFirstColumn="0" w:firstRowLastColumn="0" w:lastRowFirstColumn="0" w:lastRowLastColumn="0"/>
              <w:rPr>
                <w:lang w:eastAsia="en-AU"/>
              </w:rPr>
            </w:pPr>
            <w:r w:rsidRPr="00C4084C">
              <w:rPr>
                <w:lang w:eastAsia="en-AU"/>
              </w:rPr>
              <w:t xml:space="preserve">To achieve parity by 2035 </w:t>
            </w:r>
          </w:p>
        </w:tc>
        <w:tc>
          <w:tcPr>
            <w:tcW w:w="1617" w:type="dxa"/>
            <w:tcBorders>
              <w:bottom w:val="single" w:sz="12" w:space="0" w:color="A1E2F9"/>
              <w:right w:val="single" w:sz="6" w:space="0" w:color="89DAF7"/>
            </w:tcBorders>
            <w:shd w:val="clear" w:color="auto" w:fill="D0F1FC"/>
          </w:tcPr>
          <w:p w14:paraId="691B8F5A" w14:textId="108D7578" w:rsidR="002235F4" w:rsidRPr="00C4084C" w:rsidRDefault="002235F4" w:rsidP="00C100C0">
            <w:pPr>
              <w:keepNext/>
              <w:spacing w:after="0"/>
              <w:jc w:val="right"/>
              <w:cnfStyle w:val="100000000000" w:firstRow="1" w:lastRow="0" w:firstColumn="0" w:lastColumn="0" w:oddVBand="0" w:evenVBand="0" w:oddHBand="0" w:evenHBand="0" w:firstRowFirstColumn="0" w:firstRowLastColumn="0" w:lastRowFirstColumn="0" w:lastRowLastColumn="0"/>
              <w:rPr>
                <w:lang w:eastAsia="en-AU"/>
              </w:rPr>
            </w:pPr>
            <w:r w:rsidRPr="00C4084C">
              <w:rPr>
                <w:lang w:eastAsia="en-AU"/>
              </w:rPr>
              <w:t>To achieve parity by 2050</w:t>
            </w:r>
          </w:p>
        </w:tc>
      </w:tr>
      <w:tr w:rsidR="002235F4" w:rsidRPr="00C4084C" w14:paraId="7D8D586D" w14:textId="77777777" w:rsidTr="00AE70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Borders>
              <w:top w:val="single" w:sz="12" w:space="0" w:color="A1E2F9"/>
              <w:right w:val="single" w:sz="12" w:space="0" w:color="A1E2F9"/>
            </w:tcBorders>
            <w:shd w:val="clear" w:color="auto" w:fill="auto"/>
          </w:tcPr>
          <w:p w14:paraId="6FB7DB64" w14:textId="45054EA9" w:rsidR="002235F4" w:rsidRPr="00C4084C" w:rsidRDefault="00B84984">
            <w:pPr>
              <w:rPr>
                <w:b w:val="0"/>
                <w:bCs w:val="0"/>
                <w:lang w:eastAsia="en-AU"/>
              </w:rPr>
            </w:pPr>
            <w:r w:rsidRPr="00C4084C">
              <w:rPr>
                <w:lang w:eastAsia="en-AU"/>
              </w:rPr>
              <w:t xml:space="preserve">Share of enrolment growth </w:t>
            </w:r>
          </w:p>
        </w:tc>
        <w:tc>
          <w:tcPr>
            <w:tcW w:w="1617" w:type="dxa"/>
            <w:tcBorders>
              <w:top w:val="single" w:sz="12" w:space="0" w:color="A1E2F9"/>
              <w:left w:val="single" w:sz="12" w:space="0" w:color="A1E2F9"/>
            </w:tcBorders>
            <w:shd w:val="clear" w:color="auto" w:fill="auto"/>
          </w:tcPr>
          <w:p w14:paraId="7B6886CF" w14:textId="77777777" w:rsidR="002235F4" w:rsidRPr="00C4084C" w:rsidRDefault="002235F4">
            <w:pPr>
              <w:jc w:val="right"/>
              <w:cnfStyle w:val="000000100000" w:firstRow="0" w:lastRow="0" w:firstColumn="0" w:lastColumn="0" w:oddVBand="0" w:evenVBand="0" w:oddHBand="1" w:evenHBand="0" w:firstRowFirstColumn="0" w:firstRowLastColumn="0" w:lastRowFirstColumn="0" w:lastRowLastColumn="0"/>
              <w:rPr>
                <w:lang w:eastAsia="en-AU"/>
              </w:rPr>
            </w:pPr>
            <w:r w:rsidRPr="00C4084C">
              <w:rPr>
                <w:lang w:eastAsia="en-AU"/>
              </w:rPr>
              <w:t>52.8</w:t>
            </w:r>
          </w:p>
        </w:tc>
        <w:tc>
          <w:tcPr>
            <w:tcW w:w="1617" w:type="dxa"/>
            <w:tcBorders>
              <w:top w:val="single" w:sz="12" w:space="0" w:color="A1E2F9"/>
              <w:left w:val="single" w:sz="4" w:space="0" w:color="D0F1FC"/>
              <w:right w:val="single" w:sz="4" w:space="0" w:color="D0F1FC"/>
            </w:tcBorders>
            <w:shd w:val="clear" w:color="auto" w:fill="E8F8FE"/>
          </w:tcPr>
          <w:p w14:paraId="74089A39" w14:textId="77777777" w:rsidR="002235F4" w:rsidRPr="00C4084C" w:rsidRDefault="002235F4">
            <w:pPr>
              <w:jc w:val="right"/>
              <w:cnfStyle w:val="000000100000" w:firstRow="0" w:lastRow="0" w:firstColumn="0" w:lastColumn="0" w:oddVBand="0" w:evenVBand="0" w:oddHBand="1" w:evenHBand="0" w:firstRowFirstColumn="0" w:firstRowLastColumn="0" w:lastRowFirstColumn="0" w:lastRowLastColumn="0"/>
              <w:rPr>
                <w:lang w:eastAsia="en-AU"/>
              </w:rPr>
            </w:pPr>
            <w:r w:rsidRPr="00C4084C">
              <w:rPr>
                <w:lang w:eastAsia="en-AU"/>
              </w:rPr>
              <w:t>86.0</w:t>
            </w:r>
          </w:p>
        </w:tc>
        <w:tc>
          <w:tcPr>
            <w:tcW w:w="1617" w:type="dxa"/>
            <w:tcBorders>
              <w:top w:val="single" w:sz="12" w:space="0" w:color="A1E2F9"/>
              <w:left w:val="single" w:sz="4" w:space="0" w:color="D0F1FC"/>
            </w:tcBorders>
            <w:shd w:val="clear" w:color="auto" w:fill="E8F8FE"/>
          </w:tcPr>
          <w:p w14:paraId="0911739F" w14:textId="77777777" w:rsidR="002235F4" w:rsidRPr="00C4084C" w:rsidRDefault="002235F4">
            <w:pPr>
              <w:jc w:val="right"/>
              <w:cnfStyle w:val="000000100000" w:firstRow="0" w:lastRow="0" w:firstColumn="0" w:lastColumn="0" w:oddVBand="0" w:evenVBand="0" w:oddHBand="1" w:evenHBand="0" w:firstRowFirstColumn="0" w:firstRowLastColumn="0" w:lastRowFirstColumn="0" w:lastRowLastColumn="0"/>
              <w:rPr>
                <w:lang w:eastAsia="en-AU"/>
              </w:rPr>
            </w:pPr>
            <w:r w:rsidRPr="00C4084C">
              <w:rPr>
                <w:lang w:eastAsia="en-AU"/>
              </w:rPr>
              <w:t>62.9</w:t>
            </w:r>
          </w:p>
        </w:tc>
      </w:tr>
    </w:tbl>
    <w:p w14:paraId="09BA81C0" w14:textId="0E222AFE" w:rsidR="00D27626" w:rsidRPr="00401CC1" w:rsidRDefault="00D27626" w:rsidP="00A26A20">
      <w:pPr>
        <w:pStyle w:val="Source"/>
        <w:rPr>
          <w:rStyle w:val="normaltextrun"/>
        </w:rPr>
      </w:pPr>
      <w:r w:rsidRPr="00C4084C">
        <w:rPr>
          <w:rStyle w:val="normaltextrun"/>
        </w:rPr>
        <w:t xml:space="preserve">Source: NCSEHE, </w:t>
      </w:r>
      <w:r w:rsidRPr="00401CC1">
        <w:rPr>
          <w:rStyle w:val="normaltextrun"/>
          <w:i/>
          <w:iCs/>
        </w:rPr>
        <w:t>Equity Policy Options</w:t>
      </w:r>
      <w:r w:rsidR="002235F4" w:rsidRPr="00401CC1">
        <w:rPr>
          <w:rStyle w:val="normaltextrun"/>
          <w:i/>
          <w:iCs/>
        </w:rPr>
        <w:t xml:space="preserve"> </w:t>
      </w:r>
      <w:r w:rsidR="002235F4" w:rsidRPr="00C4084C">
        <w:rPr>
          <w:rStyle w:val="normaltextrun"/>
        </w:rPr>
        <w:t>[unpublished report], (Canberra: Department of Education, 2023).</w:t>
      </w:r>
    </w:p>
    <w:p w14:paraId="53105939" w14:textId="16BA47D3" w:rsidR="00D27626" w:rsidRPr="00C4084C" w:rsidRDefault="00FF1E38" w:rsidP="00401CC1">
      <w:pPr>
        <w:rPr>
          <w:rStyle w:val="normaltextrun"/>
          <w:rFonts w:cs="Arial"/>
        </w:rPr>
      </w:pPr>
      <w:r w:rsidRPr="00C4084C">
        <w:rPr>
          <w:rStyle w:val="normaltextrun"/>
          <w:rFonts w:cs="Arial"/>
        </w:rPr>
        <w:t>As noted above, we</w:t>
      </w:r>
      <w:r w:rsidR="00D27626" w:rsidRPr="00C4084C">
        <w:rPr>
          <w:rStyle w:val="normaltextrun"/>
          <w:rFonts w:cs="Arial"/>
        </w:rPr>
        <w:t xml:space="preserve"> cannot expect the higher education system to achieve the change necessary to reach parity in isolation. There are long-entrenched, structural barriers that affect an individual’s aspiration and </w:t>
      </w:r>
      <w:r w:rsidR="00D27626" w:rsidRPr="00C4084C">
        <w:rPr>
          <w:rStyle w:val="normaltextrun"/>
          <w:rFonts w:cs="Arial"/>
        </w:rPr>
        <w:lastRenderedPageBreak/>
        <w:t>preparedness for, and ability to participate in, higher education. These barriers extend far beyond the higher education system – and they can only be addressed through a coordinated effort across systems and governments to improve outcomes from early childhood, through to schools, and into adulthood.</w:t>
      </w:r>
    </w:p>
    <w:p w14:paraId="353BBB92" w14:textId="50404354" w:rsidR="00D27626" w:rsidRPr="00C4084C" w:rsidRDefault="00D27626" w:rsidP="00401CC1">
      <w:pPr>
        <w:rPr>
          <w:rStyle w:val="normaltextrun"/>
          <w:rFonts w:cs="Arial"/>
        </w:rPr>
      </w:pPr>
      <w:r w:rsidRPr="00C4084C">
        <w:rPr>
          <w:rStyle w:val="normaltextrun"/>
          <w:rFonts w:cs="Arial"/>
        </w:rPr>
        <w:t xml:space="preserve">Educational disadvantage is apparent from early childhood and multiple societal-level barriers, including economic, socio-cultural, </w:t>
      </w:r>
      <w:proofErr w:type="gramStart"/>
      <w:r w:rsidRPr="00C4084C">
        <w:rPr>
          <w:rStyle w:val="normaltextrun"/>
          <w:rFonts w:cs="Arial"/>
        </w:rPr>
        <w:t>geographical</w:t>
      </w:r>
      <w:proofErr w:type="gramEnd"/>
      <w:r w:rsidRPr="00C4084C">
        <w:rPr>
          <w:rStyle w:val="normaltextrun"/>
          <w:rFonts w:cs="Arial"/>
        </w:rPr>
        <w:t xml:space="preserve"> and institutional factors, contribut</w:t>
      </w:r>
      <w:r w:rsidR="0082603D">
        <w:rPr>
          <w:rStyle w:val="normaltextrun"/>
          <w:rFonts w:cs="Arial"/>
        </w:rPr>
        <w:t>e</w:t>
      </w:r>
      <w:r w:rsidRPr="00C4084C">
        <w:rPr>
          <w:rStyle w:val="normaltextrun"/>
          <w:rFonts w:cs="Arial"/>
        </w:rPr>
        <w:t xml:space="preserve"> to under</w:t>
      </w:r>
      <w:r w:rsidR="0040559E">
        <w:rPr>
          <w:rStyle w:val="normaltextrun"/>
          <w:rFonts w:cs="Arial"/>
        </w:rPr>
        <w:t>-</w:t>
      </w:r>
      <w:r w:rsidRPr="00C4084C">
        <w:rPr>
          <w:rStyle w:val="normaltextrun"/>
          <w:rFonts w:cs="Arial"/>
        </w:rPr>
        <w:t>representation in higher education.</w:t>
      </w:r>
      <w:r w:rsidRPr="00C4084C">
        <w:rPr>
          <w:rStyle w:val="FootnoteReference"/>
          <w:rFonts w:cs="Arial"/>
        </w:rPr>
        <w:footnoteReference w:id="178"/>
      </w:r>
      <w:r w:rsidRPr="00C4084C">
        <w:rPr>
          <w:rStyle w:val="normaltextrun"/>
          <w:rFonts w:cs="Arial"/>
        </w:rPr>
        <w:t xml:space="preserve"> Interactions with other systems – for example early learning, schools, vocational education and training, social security, and health – shape a person’s preparedness for and ability to successfully participate in higher education. Infrastructure, like access to public transport and high-quality internet, can also be </w:t>
      </w:r>
      <w:r w:rsidR="0089363E" w:rsidRPr="00C4084C">
        <w:rPr>
          <w:rStyle w:val="normaltextrun"/>
          <w:rFonts w:cs="Arial"/>
        </w:rPr>
        <w:t xml:space="preserve">a </w:t>
      </w:r>
      <w:r w:rsidR="00C3557B" w:rsidRPr="00C4084C">
        <w:rPr>
          <w:rStyle w:val="normaltextrun"/>
          <w:rFonts w:cs="Arial"/>
        </w:rPr>
        <w:t xml:space="preserve">significant </w:t>
      </w:r>
      <w:r w:rsidRPr="00C4084C">
        <w:rPr>
          <w:rStyle w:val="normaltextrun"/>
          <w:rFonts w:cs="Arial"/>
        </w:rPr>
        <w:t>barrier</w:t>
      </w:r>
      <w:r w:rsidR="0089363E" w:rsidRPr="00C4084C">
        <w:rPr>
          <w:rStyle w:val="normaltextrun"/>
          <w:rFonts w:cs="Arial"/>
        </w:rPr>
        <w:t>,</w:t>
      </w:r>
      <w:r w:rsidRPr="00C4084C">
        <w:rPr>
          <w:color w:val="000000" w:themeColor="text1"/>
        </w:rPr>
        <w:t xml:space="preserve"> </w:t>
      </w:r>
      <w:r w:rsidRPr="00C4084C">
        <w:rPr>
          <w:rStyle w:val="normaltextrun"/>
          <w:rFonts w:cs="Arial"/>
        </w:rPr>
        <w:t xml:space="preserve">as can cost-of-living and other financial considerations. Barriers manifest in different ways for different people, but </w:t>
      </w:r>
      <w:r w:rsidR="00323411" w:rsidRPr="00C4084C">
        <w:rPr>
          <w:rStyle w:val="normaltextrun"/>
          <w:rFonts w:cs="Arial"/>
        </w:rPr>
        <w:t>increasing</w:t>
      </w:r>
      <w:r w:rsidRPr="00C4084C">
        <w:rPr>
          <w:rStyle w:val="normaltextrun"/>
          <w:rFonts w:cs="Arial"/>
        </w:rPr>
        <w:t xml:space="preserve"> the participation of people from identified equity groups must </w:t>
      </w:r>
      <w:r w:rsidR="009E09C2">
        <w:rPr>
          <w:rStyle w:val="normaltextrun"/>
          <w:rFonts w:cs="Arial"/>
        </w:rPr>
        <w:t>invo</w:t>
      </w:r>
      <w:r w:rsidR="00D77FF6">
        <w:rPr>
          <w:rStyle w:val="normaltextrun"/>
          <w:rFonts w:cs="Arial"/>
        </w:rPr>
        <w:t>l</w:t>
      </w:r>
      <w:r w:rsidR="009E09C2">
        <w:rPr>
          <w:rStyle w:val="normaltextrun"/>
          <w:rFonts w:cs="Arial"/>
        </w:rPr>
        <w:t>ve</w:t>
      </w:r>
      <w:r w:rsidR="009E09C2" w:rsidRPr="00C4084C">
        <w:rPr>
          <w:rStyle w:val="normaltextrun"/>
          <w:rFonts w:cs="Arial"/>
        </w:rPr>
        <w:t xml:space="preserve"> </w:t>
      </w:r>
      <w:r w:rsidRPr="00C4084C">
        <w:rPr>
          <w:rStyle w:val="normaltextrun"/>
          <w:rFonts w:cs="Arial"/>
        </w:rPr>
        <w:t xml:space="preserve">a holistic approach, drawing on multiple policy </w:t>
      </w:r>
      <w:r w:rsidR="0011607D" w:rsidRPr="00C4084C">
        <w:rPr>
          <w:rStyle w:val="normaltextrun"/>
          <w:rFonts w:cs="Arial"/>
        </w:rPr>
        <w:t>and communication</w:t>
      </w:r>
      <w:r w:rsidRPr="00C4084C">
        <w:rPr>
          <w:rStyle w:val="normaltextrun"/>
          <w:rFonts w:cs="Arial"/>
        </w:rPr>
        <w:t xml:space="preserve"> levers across and outside of the education system:</w:t>
      </w:r>
    </w:p>
    <w:p w14:paraId="4F979E0A" w14:textId="371A09E8" w:rsidR="00D27626" w:rsidRPr="00C4084C" w:rsidRDefault="00D27626" w:rsidP="009A2CA7">
      <w:pPr>
        <w:pStyle w:val="Quote"/>
        <w:rPr>
          <w:rStyle w:val="normaltextrun"/>
          <w:lang w:eastAsia="en-AU"/>
        </w:rPr>
      </w:pPr>
      <w:r w:rsidRPr="00C4084C">
        <w:rPr>
          <w:lang w:eastAsia="en-AU"/>
        </w:rPr>
        <w:t>For many people, barriers intersect and ‘accumulate’ over time. Different people may be disadvantaged in H</w:t>
      </w:r>
      <w:r w:rsidR="004E3D7A" w:rsidRPr="00C4084C">
        <w:rPr>
          <w:lang w:eastAsia="en-AU"/>
        </w:rPr>
        <w:t>igher Education</w:t>
      </w:r>
      <w:r w:rsidRPr="00C4084C">
        <w:rPr>
          <w:lang w:eastAsia="en-AU"/>
        </w:rPr>
        <w:t xml:space="preserve"> at different points in the student life cycle and to different extents. This includes accumulation of barriers prior to </w:t>
      </w:r>
      <w:r w:rsidR="004E3D7A" w:rsidRPr="00C4084C">
        <w:rPr>
          <w:lang w:eastAsia="en-AU"/>
        </w:rPr>
        <w:t>higher education</w:t>
      </w:r>
      <w:r w:rsidRPr="00C4084C">
        <w:rPr>
          <w:lang w:eastAsia="en-AU"/>
        </w:rPr>
        <w:t xml:space="preserve"> participation, during early learning and schooling, and is further complicated by non-linearities in the educational pathways that people follow. This highlights the need for holistic, multidimensional, and longitudinal perspectives to monitoring disadvantage in higher education.</w:t>
      </w:r>
      <w:r w:rsidRPr="00C4084C">
        <w:rPr>
          <w:rStyle w:val="FootnoteReference"/>
          <w:rFonts w:eastAsia="Times New Roman" w:cs="Arial"/>
          <w:sz w:val="20"/>
          <w:szCs w:val="20"/>
          <w:lang w:eastAsia="en-AU"/>
        </w:rPr>
        <w:footnoteReference w:id="179"/>
      </w:r>
    </w:p>
    <w:p w14:paraId="0696C2D9" w14:textId="785910FD" w:rsidR="00D27626" w:rsidRPr="00C4084C" w:rsidRDefault="00D27626" w:rsidP="00E82EFE">
      <w:pPr>
        <w:rPr>
          <w:rStyle w:val="normaltextrun"/>
          <w:rFonts w:cs="Arial"/>
        </w:rPr>
      </w:pPr>
      <w:r w:rsidRPr="00C4084C">
        <w:rPr>
          <w:rStyle w:val="normaltextrun"/>
          <w:rFonts w:cs="Arial"/>
        </w:rPr>
        <w:t>Despite these systemic barriers, many students from under</w:t>
      </w:r>
      <w:r w:rsidR="00BB2746" w:rsidRPr="00C4084C">
        <w:rPr>
          <w:rStyle w:val="normaltextrun"/>
          <w:rFonts w:cs="Arial"/>
        </w:rPr>
        <w:t>-</w:t>
      </w:r>
      <w:r w:rsidRPr="00C4084C">
        <w:rPr>
          <w:rStyle w:val="normaltextrun"/>
          <w:rFonts w:cs="Arial"/>
        </w:rPr>
        <w:t>represented backgrounds aspire to and succeed in higher education. We must ensure that approaches to reducing systemic barriers and drivers of disadvantage recognise and build on the strengths of students and, above all, empower students to succeed in higher education.</w:t>
      </w:r>
      <w:r w:rsidRPr="00C4084C">
        <w:rPr>
          <w:rStyle w:val="FootnoteReference"/>
          <w:rFonts w:cs="Arial"/>
        </w:rPr>
        <w:footnoteReference w:id="180"/>
      </w:r>
    </w:p>
    <w:p w14:paraId="60BDB0CF" w14:textId="25DD2AF4" w:rsidR="00D27626" w:rsidRPr="00C4084C" w:rsidRDefault="00D27626" w:rsidP="00BA6095">
      <w:pPr>
        <w:pStyle w:val="Heading4"/>
        <w:rPr>
          <w:rStyle w:val="normaltextrun"/>
        </w:rPr>
      </w:pPr>
      <w:bookmarkStart w:id="597" w:name="_Toc399532502"/>
      <w:bookmarkStart w:id="598" w:name="_Toc153483028"/>
      <w:bookmarkStart w:id="599" w:name="_Toc159500938"/>
      <w:r w:rsidRPr="00C4084C">
        <w:rPr>
          <w:rStyle w:val="normaltextrun"/>
        </w:rPr>
        <w:t xml:space="preserve">Completion outcomes should be a key performance </w:t>
      </w:r>
      <w:proofErr w:type="gramStart"/>
      <w:r w:rsidRPr="00C4084C">
        <w:rPr>
          <w:rStyle w:val="normaltextrun"/>
        </w:rPr>
        <w:t>metric</w:t>
      </w:r>
      <w:bookmarkEnd w:id="597"/>
      <w:bookmarkEnd w:id="598"/>
      <w:bookmarkEnd w:id="599"/>
      <w:proofErr w:type="gramEnd"/>
    </w:p>
    <w:p w14:paraId="6834D4F5" w14:textId="6D2DC42A" w:rsidR="00D27626" w:rsidRPr="00C4084C" w:rsidRDefault="00D27626" w:rsidP="00E82EFE">
      <w:pPr>
        <w:rPr>
          <w:rStyle w:val="normaltextrun"/>
          <w:rFonts w:cs="Arial"/>
        </w:rPr>
      </w:pPr>
      <w:r w:rsidRPr="00C4084C">
        <w:rPr>
          <w:rStyle w:val="normaltextrun"/>
          <w:rFonts w:cs="Arial"/>
        </w:rPr>
        <w:t xml:space="preserve">Enabling access to higher education for people who would not have otherwise gone to university must be complemented by a focus on student outcomes. </w:t>
      </w:r>
      <w:r w:rsidR="003D7A94" w:rsidRPr="00C4084C">
        <w:t xml:space="preserve">We must ensure additional students do not just enrol in higher education but complete their degree successfully. </w:t>
      </w:r>
      <w:r w:rsidR="00262AA4" w:rsidRPr="00C4084C">
        <w:rPr>
          <w:rStyle w:val="normaltextrun"/>
          <w:rFonts w:cs="Arial"/>
        </w:rPr>
        <w:t>T</w:t>
      </w:r>
      <w:r w:rsidRPr="00C4084C">
        <w:rPr>
          <w:rStyle w:val="normaltextrun"/>
          <w:rFonts w:cs="Arial"/>
        </w:rPr>
        <w:t xml:space="preserve">he proportion of students from the </w:t>
      </w:r>
      <w:r w:rsidR="007172D3" w:rsidRPr="00C4084C">
        <w:rPr>
          <w:rStyle w:val="normaltextrun"/>
          <w:rFonts w:cs="Arial"/>
        </w:rPr>
        <w:t xml:space="preserve">4 </w:t>
      </w:r>
      <w:r w:rsidRPr="00C4084C">
        <w:rPr>
          <w:rStyle w:val="normaltextrun"/>
          <w:rFonts w:cs="Arial"/>
        </w:rPr>
        <w:t xml:space="preserve">target cohorts </w:t>
      </w:r>
      <w:r w:rsidR="007172D3" w:rsidRPr="00C4084C">
        <w:rPr>
          <w:rStyle w:val="normaltextrun"/>
          <w:rFonts w:cs="Arial"/>
        </w:rPr>
        <w:t>completing</w:t>
      </w:r>
      <w:r w:rsidRPr="00C4084C">
        <w:rPr>
          <w:rStyle w:val="normaltextrun"/>
          <w:rFonts w:cs="Arial"/>
        </w:rPr>
        <w:t xml:space="preserve"> their degree within </w:t>
      </w:r>
      <w:r w:rsidR="007172D3" w:rsidRPr="00C4084C">
        <w:rPr>
          <w:rStyle w:val="normaltextrun"/>
          <w:rFonts w:cs="Arial"/>
        </w:rPr>
        <w:t xml:space="preserve">6 </w:t>
      </w:r>
      <w:r w:rsidRPr="00C4084C">
        <w:rPr>
          <w:rStyle w:val="normaltextrun"/>
          <w:rFonts w:cs="Arial"/>
        </w:rPr>
        <w:t>years is below the national average, and the story is the same for retention and success outcomes.</w:t>
      </w:r>
      <w:r w:rsidRPr="00C4084C">
        <w:rPr>
          <w:rStyle w:val="FootnoteReference"/>
          <w:rFonts w:cs="Arial"/>
        </w:rPr>
        <w:footnoteReference w:id="181"/>
      </w:r>
      <w:r w:rsidRPr="00C4084C">
        <w:rPr>
          <w:rStyle w:val="normaltextrun"/>
          <w:rFonts w:cs="Arial"/>
        </w:rPr>
        <w:t xml:space="preserve"> </w:t>
      </w:r>
    </w:p>
    <w:p w14:paraId="2DDBA37B" w14:textId="111DBB2B" w:rsidR="00FA26C7" w:rsidRPr="00C4084C" w:rsidRDefault="00D27626" w:rsidP="00E82EFE">
      <w:r w:rsidRPr="00C4084C">
        <w:t>Setting ambitious equity targets will mean many more students will come to the higher education system with varying levels of academic preparedness</w:t>
      </w:r>
      <w:r w:rsidR="00CB3E8C" w:rsidRPr="00C4084C">
        <w:t xml:space="preserve"> and study</w:t>
      </w:r>
      <w:r w:rsidR="00F65C3F" w:rsidRPr="00C4084C">
        <w:t xml:space="preserve"> skills</w:t>
      </w:r>
      <w:r w:rsidRPr="00C4084C">
        <w:t xml:space="preserve">, as was seen in previous periods of strong system growth. Analysis by the Productivity Commission found that additional students enrolled </w:t>
      </w:r>
      <w:proofErr w:type="gramStart"/>
      <w:r w:rsidRPr="00C4084C">
        <w:t>as a result of</w:t>
      </w:r>
      <w:proofErr w:type="gramEnd"/>
      <w:r w:rsidRPr="00C4084C">
        <w:t xml:space="preserve"> demand</w:t>
      </w:r>
      <w:r w:rsidR="00325637">
        <w:t xml:space="preserve"> </w:t>
      </w:r>
      <w:r w:rsidRPr="00C4084C">
        <w:t xml:space="preserve">driven funding were more likely to be first in their family to go to university and significantly </w:t>
      </w:r>
      <w:r w:rsidRPr="00C4084C">
        <w:lastRenderedPageBreak/>
        <w:t>more likely to have an ATAR below 70 (or no ATAR).</w:t>
      </w:r>
      <w:r w:rsidRPr="00C4084C">
        <w:rPr>
          <w:rStyle w:val="FootnoteReference"/>
        </w:rPr>
        <w:footnoteReference w:id="182"/>
      </w:r>
      <w:r w:rsidRPr="00C4084C">
        <w:t xml:space="preserve"> These students were also more likely to leave without a qualification. By age 23, 21% of these additional students had left university without receiving a qualification compared to 12% of other students.</w:t>
      </w:r>
      <w:r w:rsidRPr="00C4084C">
        <w:rPr>
          <w:rStyle w:val="FootnoteReference"/>
        </w:rPr>
        <w:t xml:space="preserve"> </w:t>
      </w:r>
      <w:r w:rsidRPr="00C4084C">
        <w:rPr>
          <w:rStyle w:val="FootnoteReference"/>
        </w:rPr>
        <w:footnoteReference w:id="183"/>
      </w:r>
      <w:r w:rsidRPr="00C4084C">
        <w:t xml:space="preserve"> Given these risks, monitoring </w:t>
      </w:r>
      <w:r w:rsidR="001A3BA9" w:rsidRPr="00C4084C">
        <w:t>admission standards and</w:t>
      </w:r>
      <w:r w:rsidRPr="00C4084C">
        <w:t xml:space="preserve"> completion outcomes will be a critical measure of the success of participation targets.  </w:t>
      </w:r>
      <w:r w:rsidR="00FA26C7" w:rsidRPr="00C4084C">
        <w:rPr>
          <w:rStyle w:val="eop"/>
          <w:rFonts w:ascii="Calibri" w:hAnsi="Calibri" w:cs="Calibri"/>
        </w:rPr>
        <w:t> </w:t>
      </w:r>
    </w:p>
    <w:tbl>
      <w:tblPr>
        <w:tblW w:w="9639" w:type="dxa"/>
        <w:shd w:val="clear" w:color="auto" w:fill="E2EFD9"/>
        <w:tblLook w:val="04A0" w:firstRow="1" w:lastRow="0" w:firstColumn="1" w:lastColumn="0" w:noHBand="0" w:noVBand="1"/>
      </w:tblPr>
      <w:tblGrid>
        <w:gridCol w:w="9639"/>
      </w:tblGrid>
      <w:tr w:rsidR="00D7186D" w:rsidRPr="00C4084C" w14:paraId="48151DDD" w14:textId="77777777" w:rsidTr="00D26B82">
        <w:tc>
          <w:tcPr>
            <w:tcW w:w="9639" w:type="dxa"/>
            <w:shd w:val="clear" w:color="auto" w:fill="C3D7CA"/>
          </w:tcPr>
          <w:p w14:paraId="375E81F3" w14:textId="2D84B0FF" w:rsidR="00D7186D" w:rsidRPr="00C4084C" w:rsidRDefault="00D7186D" w:rsidP="00570A6C">
            <w:pPr>
              <w:pStyle w:val="Boxtitlessubheadings"/>
            </w:pPr>
            <w:r w:rsidRPr="00C4084C">
              <w:t xml:space="preserve">Government </w:t>
            </w:r>
            <w:r w:rsidR="002E7EBF">
              <w:t>r</w:t>
            </w:r>
            <w:r w:rsidR="002E7EBF" w:rsidRPr="00C4084C">
              <w:t xml:space="preserve">esponse </w:t>
            </w:r>
            <w:r w:rsidRPr="00C4084C">
              <w:t>to Priority Action 3 from the Interim Report</w:t>
            </w:r>
          </w:p>
          <w:p w14:paraId="553F3113" w14:textId="4C63DEA8" w:rsidR="00D7186D" w:rsidRPr="00C4084C" w:rsidRDefault="00D7186D" w:rsidP="00E82EFE">
            <w:pPr>
              <w:pStyle w:val="Boxtext0"/>
            </w:pPr>
            <w:r w:rsidRPr="00C4084C">
              <w:t xml:space="preserve">Introducing demand driven funding for all First Nations students regardless of location </w:t>
            </w:r>
            <w:r w:rsidR="009E09C2">
              <w:t>was called for in</w:t>
            </w:r>
            <w:r w:rsidR="009E09C2" w:rsidRPr="00C4084C">
              <w:t xml:space="preserve"> </w:t>
            </w:r>
            <w:r w:rsidRPr="00C4084C">
              <w:t>Priority Action 3 of the Interim Report</w:t>
            </w:r>
            <w:r w:rsidR="009E09C2">
              <w:t xml:space="preserve"> of the Review</w:t>
            </w:r>
            <w:r w:rsidRPr="00C4084C">
              <w:t xml:space="preserve">: </w:t>
            </w:r>
            <w:r w:rsidRPr="00C4084C">
              <w:rPr>
                <w:i/>
                <w:iCs/>
              </w:rPr>
              <w:t xml:space="preserve">ensure all First Nations students are eligible for a funded place at university. </w:t>
            </w:r>
            <w:r w:rsidRPr="00C4084C">
              <w:t xml:space="preserve">The measure </w:t>
            </w:r>
            <w:r w:rsidR="009E09C2">
              <w:t xml:space="preserve">to implement this </w:t>
            </w:r>
            <w:r w:rsidRPr="00C4084C">
              <w:t xml:space="preserve">was announced by Minister Clare on 19 July 2023 and passed both houses of Parliament as part of the </w:t>
            </w:r>
            <w:r w:rsidRPr="00C4084C">
              <w:rPr>
                <w:i/>
                <w:iCs/>
              </w:rPr>
              <w:t>Higher Education Support Amendment (Response to the Australian Universities Accord Interim Report) Act 2023</w:t>
            </w:r>
            <w:r w:rsidRPr="00C4084C">
              <w:t xml:space="preserve"> which received royal assent on 6 November 2023.</w:t>
            </w:r>
            <w:r w:rsidRPr="00C4084C">
              <w:rPr>
                <w:rStyle w:val="FootnoteReference"/>
                <w:rFonts w:ascii="Calibri" w:eastAsia="Yu Gothic Light" w:hAnsi="Calibri" w:cs="Calibri"/>
                <w:bCs/>
              </w:rPr>
              <w:footnoteReference w:id="184"/>
            </w:r>
          </w:p>
          <w:p w14:paraId="3FAC17AD" w14:textId="263504D0" w:rsidR="00D7186D" w:rsidRPr="00C4084C" w:rsidRDefault="00D7186D" w:rsidP="00E82EFE">
            <w:pPr>
              <w:pStyle w:val="Boxtext0"/>
            </w:pPr>
            <w:r w:rsidRPr="00C4084C">
              <w:t xml:space="preserve">From 1 January 2024, all Aboriginal and Torres Strait Islander students in Australia will be guaranteed a Commonwealth supported place at a university of their choice, when accepted into their chosen course of study.  An eligible university place is a non-designated, bachelor level course (other than medicine) at an Australian public university (Table A university). It will provide greater choice for First Nations bachelor students living in metropolitan areas to pursue study at a Table A university of their choice, rather than being limited to universities </w:t>
            </w:r>
            <w:r w:rsidR="002A245C" w:rsidRPr="00C4084C">
              <w:t xml:space="preserve">which </w:t>
            </w:r>
            <w:r w:rsidRPr="00C4084C">
              <w:t>have not yet exceeded their allocation. </w:t>
            </w:r>
          </w:p>
        </w:tc>
      </w:tr>
    </w:tbl>
    <w:p w14:paraId="5B5BB5CE" w14:textId="5CB3F87D" w:rsidR="000622FA" w:rsidRPr="00C4084C" w:rsidRDefault="00D27626" w:rsidP="003E5969">
      <w:r w:rsidRPr="00C4084C">
        <w:t>The Review recommends</w:t>
      </w:r>
      <w:r w:rsidR="00D35660" w:rsidRPr="00C4084C">
        <w:t xml:space="preserve"> the Australian</w:t>
      </w:r>
      <w:r w:rsidRPr="00C4084C">
        <w:t xml:space="preserve"> Government adopt participation targets, with specific completion measures to be identified and monitored through mission-based compacts, publicly reported</w:t>
      </w:r>
      <w:r w:rsidR="0069677C" w:rsidRPr="00C4084C">
        <w:t>, and with successful completion to be rewarded</w:t>
      </w:r>
      <w:r w:rsidR="00D70208" w:rsidRPr="00C4084C">
        <w:t xml:space="preserve"> (see Recommendation 10)</w:t>
      </w:r>
      <w:r w:rsidRPr="00C4084C">
        <w:t>. The Review considers individualised measures negotiated by the Commission could better recognise that some students who face greater risk of non-completion will need more support than others to complete their degree. The Review</w:t>
      </w:r>
      <w:r w:rsidRPr="00C4084C" w:rsidDel="00262AA4">
        <w:t xml:space="preserve"> </w:t>
      </w:r>
      <w:r w:rsidR="00262AA4" w:rsidRPr="00C4084C">
        <w:t>recommends</w:t>
      </w:r>
      <w:r w:rsidRPr="00C4084C">
        <w:t xml:space="preserve"> a completion bonus </w:t>
      </w:r>
      <w:r w:rsidR="00D11F00">
        <w:t xml:space="preserve">be </w:t>
      </w:r>
      <w:r w:rsidRPr="00C4084C">
        <w:t>paid to higher education providers that meet their identified objectives</w:t>
      </w:r>
      <w:r w:rsidR="00F11E3C" w:rsidRPr="00C4084C">
        <w:t xml:space="preserve"> (see Recommendation </w:t>
      </w:r>
      <w:r w:rsidR="000622FA" w:rsidRPr="00C4084C">
        <w:t>13</w:t>
      </w:r>
      <w:r w:rsidR="00F11E3C" w:rsidRPr="00C4084C">
        <w:t>)</w:t>
      </w:r>
      <w:r w:rsidR="00262AA4" w:rsidRPr="00C4084C">
        <w:t>.</w:t>
      </w:r>
      <w:bookmarkStart w:id="600" w:name="_Toc150692415"/>
    </w:p>
    <w:tbl>
      <w:tblPr>
        <w:tblStyle w:val="EDU-Basic"/>
        <w:tblW w:w="9638" w:type="dxa"/>
        <w:tblInd w:w="-5" w:type="dxa"/>
        <w:tblLook w:val="04A0" w:firstRow="1" w:lastRow="0" w:firstColumn="1" w:lastColumn="0" w:noHBand="0" w:noVBand="1"/>
      </w:tblPr>
      <w:tblGrid>
        <w:gridCol w:w="9638"/>
      </w:tblGrid>
      <w:tr w:rsidR="00303DA9" w:rsidRPr="00C4084C" w14:paraId="5F6835E7" w14:textId="77777777" w:rsidTr="00D26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nil"/>
              <w:right w:val="nil"/>
            </w:tcBorders>
            <w:shd w:val="clear" w:color="auto" w:fill="FEECDF"/>
          </w:tcPr>
          <w:p w14:paraId="7C80782E" w14:textId="66554F16" w:rsidR="00FF79D6" w:rsidRDefault="00FF79D6" w:rsidP="003E5969">
            <w:pPr>
              <w:pStyle w:val="Recheadinginbox"/>
            </w:pPr>
            <w:r>
              <w:lastRenderedPageBreak/>
              <w:t>Recommendation: Participation targets</w:t>
            </w:r>
          </w:p>
          <w:p w14:paraId="5B5AD2A8" w14:textId="2FFF9EEB" w:rsidR="00303DA9" w:rsidRPr="00C4084C" w:rsidRDefault="00303DA9" w:rsidP="003E5969">
            <w:pPr>
              <w:pStyle w:val="Recsin-chapterL1"/>
              <w:framePr w:wrap="notBeside"/>
              <w:spacing w:before="0" w:after="0"/>
            </w:pPr>
            <w:r w:rsidRPr="00C4084C">
              <w:t xml:space="preserve">That to ensure that all Australians regardless of background </w:t>
            </w:r>
            <w:proofErr w:type="gramStart"/>
            <w:r w:rsidRPr="00C4084C">
              <w:t>have the opportunity to</w:t>
            </w:r>
            <w:proofErr w:type="gramEnd"/>
            <w:r w:rsidRPr="00C4084C">
              <w:t xml:space="preserve"> go to university and no one is left behind, the Australian Government aspire to equal participation at university for under-represented groups, supported by needs-based funding for universities, more effective learning and teaching, and improved student income support. To achieve this, attainment and participation targets should be set for 2035 and the following years with the aim of reaching equal participation by 2050. This requires:</w:t>
            </w:r>
          </w:p>
          <w:p w14:paraId="46505837" w14:textId="77777777" w:rsidR="00303DA9" w:rsidRPr="00C4084C" w:rsidRDefault="00303DA9" w:rsidP="003E5969">
            <w:pPr>
              <w:pStyle w:val="Recsin-chapterL2"/>
            </w:pPr>
            <w:r w:rsidRPr="00C4084C">
              <w:t>participation targets to grow the proportion of undergraduate university students from under-represented backgrounds in 2035 to:</w:t>
            </w:r>
          </w:p>
          <w:p w14:paraId="13550003" w14:textId="77777777" w:rsidR="00303DA9" w:rsidRPr="00C4084C" w:rsidRDefault="00303DA9" w:rsidP="003E5969">
            <w:pPr>
              <w:pStyle w:val="Recsin-chapterL3"/>
            </w:pPr>
            <w:r w:rsidRPr="00C4084C">
              <w:t>3.3% from 2.1% for First Nations students</w:t>
            </w:r>
          </w:p>
          <w:p w14:paraId="3EEE3840" w14:textId="77777777" w:rsidR="00303DA9" w:rsidRPr="00C4084C" w:rsidRDefault="00303DA9" w:rsidP="003E5969">
            <w:pPr>
              <w:pStyle w:val="Recsin-chapterL3"/>
            </w:pPr>
            <w:r w:rsidRPr="00C4084C">
              <w:t>20.2% from 17.0% for students from lowest quartile SES backgrounds</w:t>
            </w:r>
          </w:p>
          <w:p w14:paraId="53F0BBD3" w14:textId="10CBC0CB" w:rsidR="00303DA9" w:rsidRPr="00C4084C" w:rsidRDefault="00303DA9" w:rsidP="003E5969">
            <w:pPr>
              <w:pStyle w:val="Recsin-chapterL3"/>
              <w:spacing w:after="100"/>
            </w:pPr>
            <w:r w:rsidRPr="00C4084C">
              <w:t>24.0% from 19.8% for regional, rural, and remote students</w:t>
            </w:r>
            <w:r w:rsidR="00E47242">
              <w:t>,</w:t>
            </w:r>
            <w:r w:rsidRPr="00C4084C">
              <w:t xml:space="preserve"> and</w:t>
            </w:r>
          </w:p>
          <w:p w14:paraId="55627FEB" w14:textId="60FFAEA5" w:rsidR="00303DA9" w:rsidRPr="00C4084C" w:rsidRDefault="00303DA9" w:rsidP="003E5969">
            <w:pPr>
              <w:pStyle w:val="Recsin-chapterL3"/>
              <w:spacing w:after="0" w:afterAutospacing="0"/>
            </w:pPr>
            <w:r w:rsidRPr="00C4084C">
              <w:t>maintaining participation rates for students with disability</w:t>
            </w:r>
            <w:r w:rsidR="00D83CED">
              <w:t>.</w:t>
            </w:r>
            <w:r w:rsidRPr="00C4084C">
              <w:t xml:space="preserve"> </w:t>
            </w:r>
          </w:p>
          <w:p w14:paraId="3ED23449" w14:textId="77777777" w:rsidR="00303DA9" w:rsidRPr="00C4084C" w:rsidRDefault="00303DA9" w:rsidP="008C4411">
            <w:pPr>
              <w:pStyle w:val="List3"/>
              <w:numPr>
                <w:ilvl w:val="0"/>
                <w:numId w:val="0"/>
              </w:numPr>
              <w:spacing w:before="0" w:beforeAutospacing="0" w:after="0" w:afterAutospacing="0"/>
              <w:ind w:left="794"/>
            </w:pPr>
            <w:r w:rsidRPr="00C4084C">
              <w:t xml:space="preserve">This is based on the trajectory required to achieve parity in </w:t>
            </w:r>
            <w:proofErr w:type="gramStart"/>
            <w:r w:rsidRPr="00C4084C">
              <w:t>2050</w:t>
            </w:r>
            <w:proofErr w:type="gramEnd"/>
          </w:p>
          <w:p w14:paraId="212CAD29" w14:textId="77777777" w:rsidR="00303DA9" w:rsidRPr="00C4084C" w:rsidRDefault="00303DA9" w:rsidP="003E5969">
            <w:pPr>
              <w:pStyle w:val="Recsin-chapterL2"/>
              <w:spacing w:before="0" w:beforeAutospacing="0"/>
            </w:pPr>
            <w:r w:rsidRPr="00C4084C">
              <w:t xml:space="preserve">all universities to make an equal effort in contributing to achieve these targets, recognising that each university will have an individual target for completions that considers the different starting points and contexts of states, territories and </w:t>
            </w:r>
            <w:proofErr w:type="gramStart"/>
            <w:r w:rsidRPr="00C4084C">
              <w:t>universities</w:t>
            </w:r>
            <w:proofErr w:type="gramEnd"/>
          </w:p>
          <w:p w14:paraId="49FBD32A" w14:textId="77777777" w:rsidR="00303DA9" w:rsidRPr="00C4084C" w:rsidRDefault="00303DA9" w:rsidP="003E5969">
            <w:pPr>
              <w:pStyle w:val="Recsin-chapterL2"/>
            </w:pPr>
            <w:r w:rsidRPr="00C4084C">
              <w:t xml:space="preserve">universities continue to report annually on their actions and progress toward increasing the participation and attainment by students from under-represented </w:t>
            </w:r>
            <w:proofErr w:type="gramStart"/>
            <w:r w:rsidRPr="00C4084C">
              <w:t>backgrounds</w:t>
            </w:r>
            <w:proofErr w:type="gramEnd"/>
          </w:p>
          <w:p w14:paraId="5CE0C0DB" w14:textId="73AFE776" w:rsidR="00303DA9" w:rsidRPr="00C4084C" w:rsidRDefault="00303DA9" w:rsidP="003E5969">
            <w:pPr>
              <w:pStyle w:val="Recsin-chapterL2"/>
            </w:pPr>
            <w:r w:rsidRPr="00C4084C">
              <w:t xml:space="preserve">the Australian Tertiary Education Commission, in collaboration with research bodies such as the National Centre for Student Equity in Higher Education, identify and disseminate successful approaches to attracting, preparing and ensuring success for students from under-represented backgrounds who need the most additional support to </w:t>
            </w:r>
            <w:proofErr w:type="gramStart"/>
            <w:r w:rsidRPr="00C4084C">
              <w:t>succeed</w:t>
            </w:r>
            <w:proofErr w:type="gramEnd"/>
          </w:p>
          <w:p w14:paraId="35538027" w14:textId="06E02C24" w:rsidR="00303DA9" w:rsidRPr="00C4084C" w:rsidDel="00C977C2" w:rsidRDefault="00303DA9" w:rsidP="003E5969">
            <w:pPr>
              <w:pStyle w:val="Recsin-chapterL2"/>
              <w:rPr>
                <w:rStyle w:val="PriorityAction-Bold"/>
                <w:b w:val="0"/>
                <w:i w:val="0"/>
              </w:rPr>
            </w:pPr>
            <w:r w:rsidRPr="00C4084C">
              <w:t xml:space="preserve">continuing effort, in partnership with the National Indigenous Affairs Agency and the Coalition of Peaks, to link the new attainment targets with Closing the Gap targets, and to deliver the current Closing the Gap Target 6, which aims for 70% of First Nations people </w:t>
            </w:r>
            <w:r w:rsidR="00E47242">
              <w:t xml:space="preserve">aged </w:t>
            </w:r>
            <w:r w:rsidRPr="00C4084C">
              <w:t>between 25</w:t>
            </w:r>
            <w:r w:rsidR="00E47242">
              <w:t xml:space="preserve"> and</w:t>
            </w:r>
            <w:r w:rsidR="00FF79D6">
              <w:t xml:space="preserve"> </w:t>
            </w:r>
            <w:r w:rsidRPr="00C4084C">
              <w:t>34</w:t>
            </w:r>
            <w:r w:rsidR="00E819D5">
              <w:t xml:space="preserve"> years</w:t>
            </w:r>
            <w:r w:rsidRPr="00C4084C">
              <w:t xml:space="preserve"> to have completed a tertiary qualification (Certificate III and above) by 2031.</w:t>
            </w:r>
          </w:p>
        </w:tc>
      </w:tr>
    </w:tbl>
    <w:p w14:paraId="6F87F339" w14:textId="2E61B783" w:rsidR="00D27626" w:rsidRPr="00C4084C" w:rsidRDefault="00D27626" w:rsidP="00745009">
      <w:pPr>
        <w:pStyle w:val="Heading3"/>
      </w:pPr>
      <w:bookmarkStart w:id="601" w:name="_Toc152068552"/>
      <w:bookmarkStart w:id="602" w:name="_Toc152068553"/>
      <w:bookmarkStart w:id="603" w:name="_Toc152068554"/>
      <w:bookmarkStart w:id="604" w:name="_Toc152068555"/>
      <w:bookmarkStart w:id="605" w:name="_Toc152068556"/>
      <w:bookmarkStart w:id="606" w:name="_Toc152068557"/>
      <w:bookmarkStart w:id="607" w:name="_Toc152068558"/>
      <w:bookmarkStart w:id="608" w:name="_Toc152068559"/>
      <w:bookmarkStart w:id="609" w:name="_Toc152068560"/>
      <w:bookmarkStart w:id="610" w:name="_Toc152068561"/>
      <w:bookmarkStart w:id="611" w:name="_Toc150523119"/>
      <w:bookmarkStart w:id="612" w:name="_Toc150692416"/>
      <w:bookmarkStart w:id="613" w:name="_Toc1291872975"/>
      <w:bookmarkStart w:id="614" w:name="_Toc153483029"/>
      <w:bookmarkStart w:id="615" w:name="_Toc159500939"/>
      <w:bookmarkEnd w:id="600"/>
      <w:bookmarkEnd w:id="601"/>
      <w:bookmarkEnd w:id="602"/>
      <w:bookmarkEnd w:id="603"/>
      <w:bookmarkEnd w:id="604"/>
      <w:bookmarkEnd w:id="605"/>
      <w:bookmarkEnd w:id="606"/>
      <w:bookmarkEnd w:id="607"/>
      <w:bookmarkEnd w:id="608"/>
      <w:bookmarkEnd w:id="609"/>
      <w:bookmarkEnd w:id="610"/>
      <w:r w:rsidRPr="00C4084C">
        <w:t xml:space="preserve">Increasing </w:t>
      </w:r>
      <w:r w:rsidR="008676C6">
        <w:t xml:space="preserve">aspiration and </w:t>
      </w:r>
      <w:r w:rsidRPr="00C4084C">
        <w:t>readiness for higher education</w:t>
      </w:r>
      <w:bookmarkEnd w:id="611"/>
      <w:bookmarkEnd w:id="612"/>
      <w:bookmarkEnd w:id="613"/>
      <w:bookmarkEnd w:id="614"/>
      <w:bookmarkEnd w:id="615"/>
    </w:p>
    <w:p w14:paraId="4D8ACA1E" w14:textId="28EE7626" w:rsidR="00D27626" w:rsidRPr="00C4084C" w:rsidRDefault="00D27626" w:rsidP="00E82EFE">
      <w:r w:rsidRPr="00C4084C">
        <w:t xml:space="preserve">The Review’s vision for higher education as a transformational experience available to all who choose to participate relies on more people being academically prepared for higher education. The school system, and even early childhood education, have a significant role to play in driving an uplift in preparedness for post-school education. </w:t>
      </w:r>
    </w:p>
    <w:p w14:paraId="6078B6D7" w14:textId="1A372A42" w:rsidR="00D27626" w:rsidRPr="00C4084C" w:rsidRDefault="00D27626" w:rsidP="00BA6095">
      <w:pPr>
        <w:pStyle w:val="Heading4"/>
      </w:pPr>
      <w:bookmarkStart w:id="616" w:name="_Toc150523120"/>
      <w:bookmarkStart w:id="617" w:name="_Toc150692417"/>
      <w:bookmarkStart w:id="618" w:name="_Toc153483030"/>
      <w:bookmarkStart w:id="619" w:name="_Toc159500940"/>
      <w:r w:rsidRPr="00C4084C">
        <w:t>How the education system prepares students for post</w:t>
      </w:r>
      <w:r w:rsidR="7E1F0500" w:rsidRPr="00C4084C">
        <w:t>-</w:t>
      </w:r>
      <w:r w:rsidRPr="00C4084C">
        <w:t>compulsory study … or doesn’t</w:t>
      </w:r>
      <w:bookmarkEnd w:id="616"/>
      <w:bookmarkEnd w:id="617"/>
      <w:bookmarkEnd w:id="618"/>
      <w:bookmarkEnd w:id="619"/>
    </w:p>
    <w:p w14:paraId="7C0E068E" w14:textId="687FCC5C" w:rsidR="00867C3B" w:rsidRPr="00C4084C" w:rsidRDefault="00D27626" w:rsidP="00E82EFE">
      <w:r w:rsidRPr="00C4084C">
        <w:t>Educational disadvantage begins early in life and is cumulative.</w:t>
      </w:r>
      <w:r w:rsidRPr="00C4084C">
        <w:rPr>
          <w:rStyle w:val="FootnoteReference"/>
          <w:rFonts w:cs="Arial"/>
        </w:rPr>
        <w:footnoteReference w:id="185"/>
      </w:r>
      <w:r w:rsidRPr="00C4084C">
        <w:t xml:space="preserve"> Inequities present in the schooling system influence a student’s preparedness and expectations for post-compulsory study</w:t>
      </w:r>
      <w:r w:rsidR="005D3FE9" w:rsidRPr="00C4084C">
        <w:t>. A</w:t>
      </w:r>
      <w:r w:rsidRPr="00C4084C">
        <w:t xml:space="preserve"> child’s experience at school can be shaped by access to early learning</w:t>
      </w:r>
      <w:r w:rsidR="005D3FE9" w:rsidRPr="00C4084C">
        <w:t>, and more broadly, p</w:t>
      </w:r>
      <w:r w:rsidR="00867C3B" w:rsidRPr="00C4084C">
        <w:t xml:space="preserve">articipation in early learning is an important factor influencing lifelong learning and success. </w:t>
      </w:r>
      <w:r w:rsidR="005D3FE9" w:rsidRPr="00C4084C">
        <w:t>Early learning</w:t>
      </w:r>
      <w:r w:rsidR="00867C3B" w:rsidRPr="00C4084C">
        <w:t xml:space="preserve"> programs can have positive effects on children’s early academic, cognitive, or non-cognitive skills and improve </w:t>
      </w:r>
      <w:r w:rsidR="005D3FE9" w:rsidRPr="00C4084C">
        <w:t xml:space="preserve">their </w:t>
      </w:r>
      <w:r w:rsidR="00867C3B" w:rsidRPr="00C4084C">
        <w:t xml:space="preserve">chances of completing school. This can be especially important for students from </w:t>
      </w:r>
      <w:r w:rsidR="00430EBE" w:rsidRPr="00C4084C">
        <w:t xml:space="preserve">low SES backgrounds when parental income or education </w:t>
      </w:r>
      <w:r w:rsidR="006754EE" w:rsidRPr="00C4084C">
        <w:t xml:space="preserve">levels are </w:t>
      </w:r>
      <w:r w:rsidR="00430EBE" w:rsidRPr="00C4084C">
        <w:t>lower</w:t>
      </w:r>
      <w:r w:rsidR="00867C3B" w:rsidRPr="00C4084C">
        <w:t>.</w:t>
      </w:r>
      <w:r w:rsidR="00867C3B" w:rsidRPr="00C4084C">
        <w:rPr>
          <w:rStyle w:val="FootnoteReference"/>
        </w:rPr>
        <w:footnoteReference w:id="186"/>
      </w:r>
      <w:r w:rsidR="00867C3B" w:rsidRPr="00C4084C">
        <w:t xml:space="preserve"> </w:t>
      </w:r>
    </w:p>
    <w:p w14:paraId="120B3D0F" w14:textId="411E757D" w:rsidR="00D27626" w:rsidRPr="00C4084C" w:rsidRDefault="00D27626" w:rsidP="00E82EFE">
      <w:pPr>
        <w:rPr>
          <w:rStyle w:val="normaltextrun"/>
          <w:rFonts w:cs="Arial"/>
        </w:rPr>
      </w:pPr>
      <w:r w:rsidRPr="00C4084C">
        <w:rPr>
          <w:rStyle w:val="normaltextrun"/>
          <w:rFonts w:cs="Arial"/>
        </w:rPr>
        <w:lastRenderedPageBreak/>
        <w:t xml:space="preserve">There are marked differences in educational attainment across jurisdictions, and especially by identified equity group status. Currently First Nations students, students in regional, </w:t>
      </w:r>
      <w:proofErr w:type="gramStart"/>
      <w:r w:rsidRPr="00C4084C">
        <w:rPr>
          <w:rStyle w:val="normaltextrun"/>
          <w:rFonts w:cs="Arial"/>
        </w:rPr>
        <w:t>rural</w:t>
      </w:r>
      <w:proofErr w:type="gramEnd"/>
      <w:r w:rsidRPr="00C4084C">
        <w:rPr>
          <w:rStyle w:val="normaltextrun"/>
          <w:rFonts w:cs="Arial"/>
        </w:rPr>
        <w:t xml:space="preserve"> and remote areas and students from low SES backgrounds are less likely than their peers to complete Year 12. School students from low SES backgrounds are also less likely than their peers to meet NAPLAN proficiency standards for core literacy and numeracy skills. The</w:t>
      </w:r>
      <w:r w:rsidRPr="00C4084C">
        <w:t xml:space="preserve"> early years, even before a child starts attending school, are critical in shaping that child’s educational, health and wellbeing outcomes, with studies suggesting a </w:t>
      </w:r>
      <w:r w:rsidRPr="00C4084C">
        <w:rPr>
          <w:rStyle w:val="normaltextrun"/>
          <w:rFonts w:cs="Arial"/>
        </w:rPr>
        <w:t xml:space="preserve">positive </w:t>
      </w:r>
      <w:r w:rsidRPr="00C4084C">
        <w:t>association between preschool attendance and Year 3 NAPLAN scores.</w:t>
      </w:r>
      <w:r w:rsidRPr="00C4084C">
        <w:rPr>
          <w:rStyle w:val="FootnoteReference"/>
          <w:rFonts w:cs="Arial"/>
        </w:rPr>
        <w:footnoteReference w:id="187"/>
      </w:r>
    </w:p>
    <w:p w14:paraId="653D1714" w14:textId="3D382CAC" w:rsidR="00D107D7" w:rsidRPr="00C4084C" w:rsidRDefault="00D107D7" w:rsidP="00E82EFE">
      <w:pPr>
        <w:rPr>
          <w:rStyle w:val="normaltextrun"/>
          <w:rFonts w:cs="Arial"/>
        </w:rPr>
      </w:pPr>
      <w:r w:rsidRPr="00C4084C">
        <w:t>The Australian school system needs to do more to prepare students for higher education. Australia does well on international rankings, including the Organisation for Economic Co-operation and Development (OECD) average in the Programme for International Student Assessment (PISA) where Australia has fewer underperforming students than the OECD average.</w:t>
      </w:r>
      <w:r w:rsidR="001616D6" w:rsidRPr="00C4084C">
        <w:rPr>
          <w:rStyle w:val="FootnoteReference"/>
        </w:rPr>
        <w:footnoteReference w:id="188"/>
      </w:r>
      <w:r w:rsidRPr="00C4084C">
        <w:t xml:space="preserve"> However, the proportion of Australian students who attained the National Proficient Standard has decreased in each domain since PISA assessments were first conducted for each domain</w:t>
      </w:r>
      <w:r w:rsidR="184E5942" w:rsidRPr="00C4084C">
        <w:t>.</w:t>
      </w:r>
      <w:r w:rsidRPr="00C4084C" w:rsidDel="00D107D7">
        <w:rPr>
          <w:rStyle w:val="normaltextrun"/>
          <w:rFonts w:cs="Arial"/>
        </w:rPr>
        <w:t xml:space="preserve"> </w:t>
      </w:r>
      <w:r w:rsidRPr="00C4084C">
        <w:t>In 2022, 42</w:t>
      </w:r>
      <w:r w:rsidR="00D129AF" w:rsidRPr="00C4084C">
        <w:t>%</w:t>
      </w:r>
      <w:r w:rsidR="006754EE" w:rsidRPr="00C4084C">
        <w:t xml:space="preserve"> to </w:t>
      </w:r>
      <w:r w:rsidRPr="00C4084C">
        <w:t>49</w:t>
      </w:r>
      <w:r w:rsidR="5EBB88CE" w:rsidRPr="00C4084C">
        <w:t>%</w:t>
      </w:r>
      <w:r w:rsidRPr="00C4084C">
        <w:t xml:space="preserve"> of Australian students did not meet Australia’s National Proficient Standard across PISA’s </w:t>
      </w:r>
      <w:r w:rsidR="00D16150" w:rsidRPr="00C4084C">
        <w:t xml:space="preserve">3 </w:t>
      </w:r>
      <w:r w:rsidRPr="00C4084C">
        <w:t xml:space="preserve">domains (reading, </w:t>
      </w:r>
      <w:proofErr w:type="gramStart"/>
      <w:r w:rsidRPr="00C4084C">
        <w:t>mathematics</w:t>
      </w:r>
      <w:proofErr w:type="gramEnd"/>
      <w:r w:rsidRPr="00C4084C">
        <w:t xml:space="preserve"> and science).</w:t>
      </w:r>
      <w:r w:rsidR="001616D6" w:rsidRPr="00C4084C">
        <w:rPr>
          <w:rStyle w:val="FootnoteReference"/>
        </w:rPr>
        <w:footnoteReference w:id="189"/>
      </w:r>
      <w:r w:rsidRPr="00C4084C" w:rsidDel="00D107D7">
        <w:rPr>
          <w:rStyle w:val="normaltextrun"/>
          <w:i/>
          <w:iCs/>
        </w:rPr>
        <w:t xml:space="preserve"> </w:t>
      </w:r>
      <w:r w:rsidR="001616D6" w:rsidRPr="00C4084C">
        <w:t xml:space="preserve">More students need to be meeting these benchmarks to succeed in higher education, and </w:t>
      </w:r>
      <w:r w:rsidR="001F70B6" w:rsidRPr="00C4084C">
        <w:t xml:space="preserve">to </w:t>
      </w:r>
      <w:r w:rsidR="001616D6" w:rsidRPr="00C4084C">
        <w:t xml:space="preserve">ensure </w:t>
      </w:r>
      <w:r w:rsidR="001F70B6" w:rsidRPr="00C4084C">
        <w:t>that</w:t>
      </w:r>
      <w:r w:rsidR="001616D6" w:rsidRPr="00C4084C">
        <w:t xml:space="preserve"> the Review’s vision for a more equal </w:t>
      </w:r>
      <w:r w:rsidR="001F70B6" w:rsidRPr="00C4084C">
        <w:t xml:space="preserve">higher </w:t>
      </w:r>
      <w:r w:rsidR="00996132" w:rsidRPr="00C4084C">
        <w:t>education</w:t>
      </w:r>
      <w:r w:rsidR="001616D6" w:rsidRPr="00C4084C">
        <w:t xml:space="preserve"> system can be achieved.</w:t>
      </w:r>
      <w:r w:rsidRPr="00C4084C" w:rsidDel="00D107D7">
        <w:t xml:space="preserve"> </w:t>
      </w:r>
    </w:p>
    <w:p w14:paraId="543231F4" w14:textId="4DAAB85A" w:rsidR="00D27626" w:rsidRPr="00C4084C" w:rsidRDefault="00D27626" w:rsidP="00E82EFE">
      <w:pPr>
        <w:rPr>
          <w:rStyle w:val="normaltextrun"/>
          <w:rFonts w:cs="Arial"/>
        </w:rPr>
      </w:pPr>
      <w:r w:rsidRPr="00C4084C">
        <w:rPr>
          <w:rStyle w:val="normaltextrun"/>
          <w:rFonts w:cs="Arial"/>
        </w:rPr>
        <w:t>An important part of th</w:t>
      </w:r>
      <w:r w:rsidR="000D52E1" w:rsidRPr="00C4084C">
        <w:rPr>
          <w:rStyle w:val="normaltextrun"/>
          <w:rFonts w:cs="Arial"/>
        </w:rPr>
        <w:t>is vision will be</w:t>
      </w:r>
      <w:r w:rsidRPr="00C4084C">
        <w:rPr>
          <w:rStyle w:val="normaltextrun"/>
          <w:rFonts w:cs="Arial"/>
        </w:rPr>
        <w:t xml:space="preserve"> assessing the preparedness of students, through admissions standards. Admissions practices have been changing. Where once ATAR was the dominant entry method, more and more students are entering</w:t>
      </w:r>
      <w:r w:rsidR="00120700" w:rsidRPr="00C4084C">
        <w:rPr>
          <w:rStyle w:val="normaltextrun"/>
          <w:rFonts w:cs="Arial"/>
        </w:rPr>
        <w:t xml:space="preserve"> university</w:t>
      </w:r>
      <w:r w:rsidRPr="00C4084C">
        <w:rPr>
          <w:rStyle w:val="normaltextrun"/>
          <w:rFonts w:cs="Arial"/>
        </w:rPr>
        <w:t xml:space="preserve"> based on a wider set of factors. As will be discussed further </w:t>
      </w:r>
      <w:r w:rsidR="003844B9" w:rsidRPr="00C4084C">
        <w:rPr>
          <w:rStyle w:val="normaltextrun"/>
          <w:rFonts w:cs="Arial"/>
        </w:rPr>
        <w:t>below</w:t>
      </w:r>
      <w:r w:rsidRPr="00C4084C">
        <w:rPr>
          <w:rStyle w:val="normaltextrun"/>
          <w:rFonts w:cs="Arial"/>
        </w:rPr>
        <w:t xml:space="preserve">, the Review supports students being considered for admission on their wider merits, rather than rankings alone, but emphasises that consistency and transparency are important to </w:t>
      </w:r>
      <w:r w:rsidR="00B223E9">
        <w:rPr>
          <w:rStyle w:val="normaltextrun"/>
          <w:rFonts w:cs="Arial"/>
        </w:rPr>
        <w:t>maintain</w:t>
      </w:r>
      <w:r w:rsidR="00B223E9" w:rsidRPr="00C4084C">
        <w:rPr>
          <w:rStyle w:val="normaltextrun"/>
          <w:rFonts w:cs="Arial"/>
        </w:rPr>
        <w:t xml:space="preserve"> </w:t>
      </w:r>
      <w:r w:rsidRPr="00C4084C">
        <w:rPr>
          <w:rStyle w:val="normaltextrun"/>
          <w:rFonts w:cs="Arial"/>
        </w:rPr>
        <w:t xml:space="preserve">trust </w:t>
      </w:r>
      <w:r w:rsidR="00B223E9">
        <w:rPr>
          <w:rStyle w:val="normaltextrun"/>
          <w:rFonts w:cs="Arial"/>
        </w:rPr>
        <w:t>in</w:t>
      </w:r>
      <w:r w:rsidR="00B223E9" w:rsidRPr="00C4084C">
        <w:rPr>
          <w:rStyle w:val="normaltextrun"/>
          <w:rFonts w:cs="Arial"/>
        </w:rPr>
        <w:t xml:space="preserve"> </w:t>
      </w:r>
      <w:r w:rsidRPr="00C4084C">
        <w:rPr>
          <w:rStyle w:val="normaltextrun"/>
          <w:rFonts w:cs="Arial"/>
        </w:rPr>
        <w:t>the admissions process</w:t>
      </w:r>
      <w:r w:rsidR="003844B9" w:rsidRPr="00C4084C">
        <w:rPr>
          <w:rStyle w:val="normaltextrun"/>
          <w:rFonts w:cs="Arial"/>
        </w:rPr>
        <w:t xml:space="preserve"> </w:t>
      </w:r>
      <w:r w:rsidR="00B223E9">
        <w:rPr>
          <w:rStyle w:val="normaltextrun"/>
          <w:rFonts w:cs="Arial"/>
        </w:rPr>
        <w:t>and the appropriateness of</w:t>
      </w:r>
      <w:r w:rsidR="008D01E4">
        <w:rPr>
          <w:rStyle w:val="normaltextrun"/>
          <w:rFonts w:cs="Arial"/>
        </w:rPr>
        <w:t xml:space="preserve"> </w:t>
      </w:r>
      <w:r w:rsidR="003844B9" w:rsidRPr="00C4084C">
        <w:rPr>
          <w:rStyle w:val="normaltextrun"/>
          <w:rFonts w:cs="Arial"/>
        </w:rPr>
        <w:t xml:space="preserve">entry </w:t>
      </w:r>
      <w:r w:rsidR="00B223E9">
        <w:rPr>
          <w:rStyle w:val="normaltextrun"/>
          <w:rFonts w:cs="Arial"/>
        </w:rPr>
        <w:t>standards</w:t>
      </w:r>
      <w:r w:rsidRPr="00C4084C">
        <w:rPr>
          <w:rStyle w:val="normaltextrun"/>
          <w:rFonts w:cs="Arial"/>
        </w:rPr>
        <w:t>.</w:t>
      </w:r>
    </w:p>
    <w:p w14:paraId="24B33EC0" w14:textId="6BF68F72" w:rsidR="00D27626" w:rsidRPr="00C4084C" w:rsidRDefault="00D27626" w:rsidP="00E82EFE">
      <w:pPr>
        <w:rPr>
          <w:rStyle w:val="normaltextrun"/>
          <w:rFonts w:cs="Arial"/>
        </w:rPr>
      </w:pPr>
      <w:r w:rsidRPr="00C4084C">
        <w:rPr>
          <w:rStyle w:val="normaltextrun"/>
          <w:rFonts w:cs="Arial"/>
        </w:rPr>
        <w:t>Submissions to the Review have highlighted big differences in students who are allocated an ATAR across jurisdictions. For example, a submission by the Higher Education Standards Panel stated that 62% of school leavers in Victoria were allocated an ATAR compared to 33% in Western Australia.</w:t>
      </w:r>
      <w:r w:rsidRPr="00C4084C">
        <w:rPr>
          <w:rStyle w:val="FootnoteReference"/>
          <w:rFonts w:cs="Arial"/>
        </w:rPr>
        <w:footnoteReference w:id="190"/>
      </w:r>
      <w:r w:rsidRPr="00C4084C">
        <w:rPr>
          <w:rStyle w:val="normaltextrun"/>
          <w:rFonts w:cs="Arial"/>
        </w:rPr>
        <w:t xml:space="preserve"> This is likely an effect of the streaming practices prevalent in the Australian school system where students are grouped based on an assessment of their ability, often from a young age,</w:t>
      </w:r>
      <w:r w:rsidRPr="00C4084C">
        <w:rPr>
          <w:rStyle w:val="FootnoteReference"/>
          <w:rFonts w:cs="Arial"/>
        </w:rPr>
        <w:footnoteReference w:id="191"/>
      </w:r>
      <w:r w:rsidRPr="00C4084C">
        <w:rPr>
          <w:rStyle w:val="normaltextrun"/>
          <w:rFonts w:cs="Arial"/>
        </w:rPr>
        <w:t xml:space="preserve"> and typically into ATAR or non-ATAR tracks around years 9 and 10. </w:t>
      </w:r>
    </w:p>
    <w:p w14:paraId="0B7B0ED0" w14:textId="448A36C2" w:rsidR="00D27626" w:rsidRPr="00C4084C" w:rsidRDefault="00D27626" w:rsidP="00E82EFE">
      <w:pPr>
        <w:rPr>
          <w:rStyle w:val="normaltextrun"/>
          <w:rFonts w:cs="Arial"/>
        </w:rPr>
      </w:pPr>
      <w:r w:rsidRPr="00C4084C">
        <w:rPr>
          <w:rStyle w:val="normaltextrun"/>
          <w:rFonts w:cs="Arial"/>
        </w:rPr>
        <w:t xml:space="preserve">There is evidence to suggest school leavers without an ATAR are far less likely to transition to a </w:t>
      </w:r>
      <w:proofErr w:type="gramStart"/>
      <w:r w:rsidRPr="00C4084C">
        <w:rPr>
          <w:rStyle w:val="normaltextrun"/>
          <w:rFonts w:cs="Arial"/>
        </w:rPr>
        <w:t>bachelor</w:t>
      </w:r>
      <w:proofErr w:type="gramEnd"/>
      <w:r w:rsidRPr="00C4084C">
        <w:rPr>
          <w:rStyle w:val="normaltextrun"/>
          <w:rFonts w:cs="Arial"/>
        </w:rPr>
        <w:t xml:space="preserve"> degree and that this disproportionately affects students from identified and emerging equity groups.</w:t>
      </w:r>
      <w:r w:rsidRPr="00C4084C">
        <w:rPr>
          <w:rStyle w:val="FootnoteReference"/>
          <w:rFonts w:cs="Arial"/>
        </w:rPr>
        <w:footnoteReference w:id="192"/>
      </w:r>
      <w:r w:rsidRPr="00C4084C">
        <w:rPr>
          <w:rStyle w:val="normaltextrun"/>
          <w:rFonts w:cs="Arial"/>
        </w:rPr>
        <w:t xml:space="preserve"> This is a complex issue, with a need to balance consideration of student choice and outcomes, esteem for and recognition of vocational and applied learning, and assumptions about the future state of higher education admissions. The Review recommends that student equity be at the heart of further consideration of this issue. </w:t>
      </w:r>
    </w:p>
    <w:p w14:paraId="0AF40AD9" w14:textId="77777777" w:rsidR="00D27626" w:rsidRPr="00C4084C" w:rsidRDefault="00D27626" w:rsidP="00E82EFE">
      <w:pPr>
        <w:rPr>
          <w:rStyle w:val="normaltextrun"/>
          <w:rFonts w:cs="Arial"/>
        </w:rPr>
      </w:pPr>
      <w:r w:rsidRPr="00C4084C">
        <w:rPr>
          <w:rStyle w:val="normaltextrun"/>
          <w:rFonts w:cs="Arial"/>
        </w:rPr>
        <w:lastRenderedPageBreak/>
        <w:t>Another consideration is that senior secondary school students from identified equity groups may have a narrower range of subjects to choose from with fewer advanced-level subjects likely to be available at their school.</w:t>
      </w:r>
      <w:r w:rsidRPr="00C4084C">
        <w:rPr>
          <w:rStyle w:val="FootnoteReference"/>
          <w:rFonts w:cs="Arial"/>
        </w:rPr>
        <w:footnoteReference w:id="193"/>
      </w:r>
      <w:r w:rsidRPr="00C4084C">
        <w:rPr>
          <w:rStyle w:val="normaltextrun"/>
          <w:rFonts w:cs="Arial"/>
        </w:rPr>
        <w:t xml:space="preserve"> There is evidence that students from low SES backgrounds and non-metropolitan locations are less likely to access higher-level subjects, especially the higher levels of mathematics and science often required for entry to courses like engineering and other areas of skills shortages.</w:t>
      </w:r>
      <w:r w:rsidRPr="00C4084C">
        <w:rPr>
          <w:rStyle w:val="FootnoteReference"/>
          <w:rFonts w:cs="Arial"/>
        </w:rPr>
        <w:footnoteReference w:id="194"/>
      </w:r>
      <w:r w:rsidRPr="00C4084C">
        <w:rPr>
          <w:rStyle w:val="normaltextrun"/>
          <w:rFonts w:cs="Arial"/>
        </w:rPr>
        <w:t xml:space="preserve"> This means that study options for some students are curtailed long before they go to university.  </w:t>
      </w:r>
    </w:p>
    <w:p w14:paraId="4F50CCAC" w14:textId="6A5C9550" w:rsidR="00D27626" w:rsidRPr="00C4084C" w:rsidRDefault="00D27626" w:rsidP="00E82EFE">
      <w:pPr>
        <w:rPr>
          <w:rStyle w:val="normaltextrun"/>
          <w:rFonts w:cs="Arial"/>
        </w:rPr>
      </w:pPr>
      <w:r w:rsidRPr="00C4084C">
        <w:rPr>
          <w:rStyle w:val="normaltextrun"/>
          <w:rFonts w:cs="Arial"/>
        </w:rPr>
        <w:t>More needs to be done to ensure educational opportunity and attainment is equitable in schools if the Review’s targets for both attainment and participation in higher education are to be met.</w:t>
      </w:r>
    </w:p>
    <w:p w14:paraId="69C8B1E8" w14:textId="5D95A770" w:rsidR="00D27626" w:rsidRPr="00C4084C" w:rsidRDefault="00D27626" w:rsidP="00E82EFE">
      <w:pPr>
        <w:rPr>
          <w:rStyle w:val="normaltextrun"/>
          <w:rFonts w:cs="Arial"/>
        </w:rPr>
      </w:pPr>
      <w:r w:rsidRPr="00C4084C">
        <w:rPr>
          <w:rStyle w:val="normaltextrun"/>
          <w:rFonts w:cs="Arial"/>
        </w:rPr>
        <w:t>The Better and Fairer Education Review made recommendations to improve these outcomes through identifying student needs earlier and putting in place robust, evidence-based supports to help students catch</w:t>
      </w:r>
      <w:r w:rsidR="009460FB">
        <w:rPr>
          <w:rStyle w:val="normaltextrun"/>
          <w:rFonts w:cs="Arial"/>
        </w:rPr>
        <w:t xml:space="preserve"> </w:t>
      </w:r>
      <w:r w:rsidRPr="00C4084C">
        <w:rPr>
          <w:rStyle w:val="normaltextrun"/>
          <w:rFonts w:cs="Arial"/>
        </w:rPr>
        <w:t>up and keep</w:t>
      </w:r>
      <w:r w:rsidR="009460FB">
        <w:rPr>
          <w:rStyle w:val="normaltextrun"/>
          <w:rFonts w:cs="Arial"/>
        </w:rPr>
        <w:t xml:space="preserve"> </w:t>
      </w:r>
      <w:r w:rsidRPr="00C4084C">
        <w:rPr>
          <w:rStyle w:val="normaltextrun"/>
          <w:rFonts w:cs="Arial"/>
        </w:rPr>
        <w:t>up.</w:t>
      </w:r>
      <w:r w:rsidR="00474627" w:rsidRPr="00C4084C">
        <w:rPr>
          <w:rStyle w:val="FootnoteReference"/>
          <w:rFonts w:cs="Arial"/>
        </w:rPr>
        <w:footnoteReference w:id="195"/>
      </w:r>
      <w:r w:rsidRPr="00C4084C">
        <w:rPr>
          <w:rStyle w:val="normaltextrun"/>
          <w:rFonts w:cs="Arial"/>
        </w:rPr>
        <w:t xml:space="preserve"> </w:t>
      </w:r>
    </w:p>
    <w:p w14:paraId="5A78BCAE" w14:textId="798EB9BF" w:rsidR="00D27626" w:rsidRPr="00C4084C" w:rsidRDefault="00D27626" w:rsidP="00BA6095">
      <w:pPr>
        <w:pStyle w:val="Heading4"/>
      </w:pPr>
      <w:bookmarkStart w:id="620" w:name="_Toc150523121"/>
      <w:bookmarkStart w:id="621" w:name="_Toc150692418"/>
      <w:bookmarkStart w:id="622" w:name="_Toc1862163674"/>
      <w:bookmarkStart w:id="623" w:name="_Toc153483031"/>
      <w:bookmarkStart w:id="624" w:name="_Toc159500941"/>
      <w:r w:rsidRPr="00C4084C">
        <w:t>Building awareness and aspiration</w:t>
      </w:r>
      <w:bookmarkEnd w:id="620"/>
      <w:bookmarkEnd w:id="621"/>
      <w:bookmarkEnd w:id="622"/>
      <w:bookmarkEnd w:id="623"/>
      <w:bookmarkEnd w:id="624"/>
    </w:p>
    <w:p w14:paraId="64EB4689" w14:textId="1683FFAE" w:rsidR="00D27626" w:rsidRPr="00C4084C" w:rsidRDefault="00D27626" w:rsidP="00E82EFE">
      <w:r w:rsidRPr="00C4084C">
        <w:t>Aspiration for higher education is shaped by many factors. Evidence suggests young people from low SES areas</w:t>
      </w:r>
      <w:r w:rsidR="00765B58" w:rsidRPr="00C4084C">
        <w:t xml:space="preserve"> </w:t>
      </w:r>
      <w:r w:rsidRPr="00C4084C">
        <w:t xml:space="preserve">have similar levels of aspiration to those from high SES </w:t>
      </w:r>
      <w:proofErr w:type="gramStart"/>
      <w:r w:rsidRPr="00C4084C">
        <w:t>areas</w:t>
      </w:r>
      <w:r w:rsidR="00AA128C" w:rsidRPr="00C4084C">
        <w:t>, but</w:t>
      </w:r>
      <w:proofErr w:type="gramEnd"/>
      <w:r w:rsidR="00AA128C" w:rsidRPr="00C4084C">
        <w:t xml:space="preserve"> lack</w:t>
      </w:r>
      <w:r w:rsidRPr="00C4084C">
        <w:t xml:space="preserve"> opportunities to develop a more concrete expectation that they will engage in higher education, or to broaden their perception of what is possible.</w:t>
      </w:r>
      <w:r w:rsidRPr="00C4084C">
        <w:rPr>
          <w:rStyle w:val="FootnoteReference"/>
          <w:rFonts w:cs="Arial"/>
        </w:rPr>
        <w:footnoteReference w:id="196"/>
      </w:r>
      <w:r w:rsidRPr="00C4084C">
        <w:t xml:space="preserve"> This is why strategies that nurture aspiration </w:t>
      </w:r>
      <w:r w:rsidR="00F6759B" w:rsidRPr="00C4084C">
        <w:t>and help people convert aspiration into action</w:t>
      </w:r>
      <w:r w:rsidRPr="00C4084C">
        <w:t xml:space="preserve"> are vitally important.</w:t>
      </w:r>
    </w:p>
    <w:p w14:paraId="30FDE21E" w14:textId="697905CC" w:rsidR="00D27626" w:rsidRPr="00C4084C" w:rsidRDefault="00D27626" w:rsidP="007B0775">
      <w:pPr>
        <w:pStyle w:val="Heading5"/>
      </w:pPr>
      <w:r w:rsidRPr="00C4084C">
        <w:t xml:space="preserve">Improving access to career information and guidance </w:t>
      </w:r>
    </w:p>
    <w:p w14:paraId="16D86567" w14:textId="633AA5DB" w:rsidR="00D27626" w:rsidRPr="00C4084C" w:rsidRDefault="00D27626" w:rsidP="00E82EFE">
      <w:pPr>
        <w:rPr>
          <w:rStyle w:val="s2"/>
          <w:rFonts w:cs="Arial"/>
        </w:rPr>
      </w:pPr>
      <w:r w:rsidRPr="00C4084C">
        <w:rPr>
          <w:rStyle w:val="s2"/>
          <w:rFonts w:cs="Arial"/>
        </w:rPr>
        <w:t>The importance of high-quality, appropriate and timely career guidance is well established.</w:t>
      </w:r>
      <w:r w:rsidRPr="00C4084C">
        <w:rPr>
          <w:rStyle w:val="FootnoteReference"/>
          <w:rFonts w:cs="Arial"/>
        </w:rPr>
        <w:footnoteReference w:id="197"/>
      </w:r>
      <w:r w:rsidRPr="00C4084C">
        <w:rPr>
          <w:rStyle w:val="s2"/>
          <w:rFonts w:cs="Arial"/>
        </w:rPr>
        <w:t xml:space="preserve"> </w:t>
      </w:r>
      <w:r w:rsidRPr="00C4084C">
        <w:t>Young people form ideas about careers from a range of sources and draw on both formal and informal influences.</w:t>
      </w:r>
      <w:r w:rsidRPr="00C4084C">
        <w:rPr>
          <w:rStyle w:val="FootnoteReference"/>
          <w:rFonts w:cs="Arial"/>
        </w:rPr>
        <w:footnoteReference w:id="198"/>
      </w:r>
      <w:r w:rsidRPr="00C4084C">
        <w:t xml:space="preserve"> </w:t>
      </w:r>
      <w:r w:rsidRPr="00C4084C">
        <w:rPr>
          <w:rStyle w:val="s2"/>
          <w:rFonts w:cs="Arial"/>
        </w:rPr>
        <w:t xml:space="preserve">When making career and post-school study decisions, students from low SES backgrounds are more likely to rely on </w:t>
      </w:r>
      <w:r w:rsidR="00AF1479" w:rsidRPr="00C4084C">
        <w:rPr>
          <w:rStyle w:val="s2"/>
          <w:rFonts w:cs="Arial"/>
        </w:rPr>
        <w:t>‘</w:t>
      </w:r>
      <w:r w:rsidRPr="00C4084C">
        <w:rPr>
          <w:rStyle w:val="s2"/>
          <w:rFonts w:cs="Arial"/>
        </w:rPr>
        <w:t>hot</w:t>
      </w:r>
      <w:r w:rsidR="00AF1479" w:rsidRPr="00C4084C">
        <w:rPr>
          <w:rStyle w:val="s2"/>
          <w:rFonts w:cs="Arial"/>
        </w:rPr>
        <w:t>’</w:t>
      </w:r>
      <w:r w:rsidRPr="00C4084C">
        <w:rPr>
          <w:rStyle w:val="s2"/>
          <w:rFonts w:cs="Arial"/>
        </w:rPr>
        <w:t xml:space="preserve"> knowledge, or informal advice from family, friends and teachers, compared to </w:t>
      </w:r>
      <w:r w:rsidR="00AF1479" w:rsidRPr="00C4084C">
        <w:rPr>
          <w:rStyle w:val="s2"/>
          <w:rFonts w:cs="Arial"/>
        </w:rPr>
        <w:t>‘</w:t>
      </w:r>
      <w:r w:rsidRPr="00C4084C">
        <w:rPr>
          <w:rStyle w:val="s2"/>
          <w:rFonts w:cs="Arial"/>
        </w:rPr>
        <w:t>cold</w:t>
      </w:r>
      <w:r w:rsidR="00AF1479" w:rsidRPr="00C4084C">
        <w:rPr>
          <w:rStyle w:val="s2"/>
          <w:rFonts w:cs="Arial"/>
        </w:rPr>
        <w:t>’</w:t>
      </w:r>
      <w:r w:rsidRPr="00C4084C">
        <w:rPr>
          <w:rStyle w:val="s2"/>
          <w:rFonts w:cs="Arial"/>
        </w:rPr>
        <w:t xml:space="preserve"> formal information disseminated by governments and institutions.</w:t>
      </w:r>
      <w:r w:rsidRPr="00C4084C">
        <w:rPr>
          <w:rStyle w:val="FootnoteReference"/>
          <w:rFonts w:cs="Arial"/>
        </w:rPr>
        <w:footnoteReference w:id="199"/>
      </w:r>
      <w:r w:rsidRPr="00C4084C">
        <w:rPr>
          <w:rStyle w:val="s2"/>
          <w:rFonts w:cs="Arial"/>
        </w:rPr>
        <w:t xml:space="preserve"> </w:t>
      </w:r>
      <w:r w:rsidR="00723372" w:rsidRPr="00C4084C">
        <w:rPr>
          <w:rStyle w:val="s2"/>
          <w:rFonts w:cs="Arial"/>
        </w:rPr>
        <w:t>‘</w:t>
      </w:r>
      <w:r w:rsidRPr="00C4084C">
        <w:rPr>
          <w:rStyle w:val="s2"/>
          <w:rFonts w:cs="Arial"/>
        </w:rPr>
        <w:t>Hot</w:t>
      </w:r>
      <w:r w:rsidR="00723372" w:rsidRPr="00C4084C">
        <w:rPr>
          <w:rStyle w:val="s2"/>
          <w:rFonts w:cs="Arial"/>
        </w:rPr>
        <w:t>’</w:t>
      </w:r>
      <w:r w:rsidRPr="00C4084C">
        <w:rPr>
          <w:rStyle w:val="s2"/>
          <w:rFonts w:cs="Arial"/>
        </w:rPr>
        <w:t xml:space="preserve"> influences like parents, peers, communities, the media, the internet and social media play a role in shaping aspirations both directly and indirectly.</w:t>
      </w:r>
      <w:r w:rsidRPr="00C4084C">
        <w:rPr>
          <w:rStyle w:val="FootnoteReference"/>
          <w:rFonts w:cs="Arial"/>
        </w:rPr>
        <w:footnoteReference w:id="200"/>
      </w:r>
      <w:r w:rsidRPr="00C4084C">
        <w:rPr>
          <w:rStyle w:val="s2"/>
          <w:rFonts w:cs="Arial"/>
        </w:rPr>
        <w:t xml:space="preserve"> This suggests exposure to a range of different careers, especially through role models and direct experiences, is an important part of enabling aspiration. </w:t>
      </w:r>
    </w:p>
    <w:p w14:paraId="06B6E55B" w14:textId="73A7439D" w:rsidR="00D27626" w:rsidRPr="00C4084C" w:rsidRDefault="00D27626" w:rsidP="00E82EFE">
      <w:pPr>
        <w:rPr>
          <w:rStyle w:val="s2"/>
          <w:rFonts w:cs="Arial"/>
        </w:rPr>
      </w:pPr>
      <w:r w:rsidRPr="00C4084C">
        <w:lastRenderedPageBreak/>
        <w:t xml:space="preserve">Access to high-quality careers information and guidance is not uniform. </w:t>
      </w:r>
      <w:r w:rsidRPr="00C4084C">
        <w:rPr>
          <w:rStyle w:val="s2"/>
          <w:rFonts w:cs="Arial"/>
        </w:rPr>
        <w:t xml:space="preserve">Career education is not mandated by the Australian Curriculum, so states and territories develop their own strategies, programs and services for students, </w:t>
      </w:r>
      <w:proofErr w:type="gramStart"/>
      <w:r w:rsidRPr="00C4084C">
        <w:rPr>
          <w:rStyle w:val="s2"/>
          <w:rFonts w:cs="Arial"/>
        </w:rPr>
        <w:t>school-leavers</w:t>
      </w:r>
      <w:proofErr w:type="gramEnd"/>
      <w:r w:rsidRPr="00C4084C">
        <w:rPr>
          <w:rStyle w:val="s2"/>
          <w:rFonts w:cs="Arial"/>
        </w:rPr>
        <w:t xml:space="preserve"> and non-school cohorts. Career guidance is delivered by many stakeholders including schools, universities, registered training organisations, TAFEs, employers, employment services, industry organisations, private career advisors, state and territory governments, and the Australian Government’s National Careers Institute </w:t>
      </w:r>
      <w:r w:rsidR="00C5055B" w:rsidRPr="00C4084C">
        <w:rPr>
          <w:rStyle w:val="s2"/>
          <w:rFonts w:cs="Arial"/>
        </w:rPr>
        <w:t>which</w:t>
      </w:r>
      <w:r w:rsidRPr="00C4084C">
        <w:rPr>
          <w:rStyle w:val="s2"/>
          <w:rFonts w:cs="Arial"/>
        </w:rPr>
        <w:t xml:space="preserve"> produces high-quality resources, such as the School Leavers Information Kit and tailored information for First Nations young people, regional, rural and remote young people and young people with disability.</w:t>
      </w:r>
      <w:r w:rsidRPr="00C4084C">
        <w:rPr>
          <w:rStyle w:val="FootnoteReference"/>
          <w:rFonts w:cs="Arial"/>
        </w:rPr>
        <w:footnoteReference w:id="201"/>
      </w:r>
      <w:r w:rsidRPr="00C4084C">
        <w:rPr>
          <w:rStyle w:val="s2"/>
          <w:rFonts w:cs="Arial"/>
        </w:rPr>
        <w:t xml:space="preserve"> Submissions to the Review have highlighted that </w:t>
      </w:r>
      <w:r w:rsidR="008043A6" w:rsidRPr="00C4084C">
        <w:rPr>
          <w:rStyle w:val="s2"/>
          <w:rFonts w:cs="Arial"/>
        </w:rPr>
        <w:t xml:space="preserve">stakeholders that deliver career advice </w:t>
      </w:r>
      <w:r w:rsidRPr="00C4084C">
        <w:rPr>
          <w:rStyle w:val="s2"/>
          <w:rFonts w:cs="Arial"/>
        </w:rPr>
        <w:t>appear to work in isolation.</w:t>
      </w:r>
      <w:r w:rsidRPr="00C4084C">
        <w:rPr>
          <w:rStyle w:val="FootnoteReference"/>
          <w:rFonts w:cs="Arial"/>
        </w:rPr>
        <w:footnoteReference w:id="202"/>
      </w:r>
      <w:r w:rsidRPr="00C4084C">
        <w:rPr>
          <w:rStyle w:val="s2"/>
          <w:rFonts w:cs="Arial"/>
        </w:rPr>
        <w:t xml:space="preserve"> Differing approaches </w:t>
      </w:r>
      <w:r w:rsidRPr="00C4084C">
        <w:t>by</w:t>
      </w:r>
      <w:r w:rsidRPr="00C4084C">
        <w:rPr>
          <w:rStyle w:val="s2"/>
          <w:rFonts w:cs="Arial"/>
        </w:rPr>
        <w:t xml:space="preserve"> states and territories, coupled with a busy mix of stakeholders, is resulting in a disjointed approach with limited oversight and coordination.</w:t>
      </w:r>
    </w:p>
    <w:p w14:paraId="31898BBB" w14:textId="64DD8318" w:rsidR="00D27626" w:rsidRPr="00C4084C" w:rsidRDefault="00D27626" w:rsidP="00E82EFE">
      <w:pPr>
        <w:rPr>
          <w:rStyle w:val="s2"/>
          <w:rFonts w:cs="Arial"/>
        </w:rPr>
      </w:pPr>
      <w:r w:rsidRPr="00C4084C">
        <w:rPr>
          <w:rStyle w:val="s2"/>
          <w:rFonts w:cs="Arial"/>
        </w:rPr>
        <w:t xml:space="preserve">The National Career Education Strategy was developed by the Australian Government in 2019 to support high-quality career education for all school students, reflecting nationally agreed objectives. However, despite many examples of best practice and innovation, there is variation in the type, </w:t>
      </w:r>
      <w:proofErr w:type="gramStart"/>
      <w:r w:rsidRPr="00C4084C">
        <w:rPr>
          <w:rStyle w:val="s2"/>
          <w:rFonts w:cs="Arial"/>
        </w:rPr>
        <w:t>quality</w:t>
      </w:r>
      <w:proofErr w:type="gramEnd"/>
      <w:r w:rsidRPr="00C4084C">
        <w:rPr>
          <w:rStyle w:val="s2"/>
          <w:rFonts w:cs="Arial"/>
        </w:rPr>
        <w:t xml:space="preserve"> and level of access to career education across schools. These issues have been well documented by other reviews. The Senior Secondary Pathways Review </w:t>
      </w:r>
      <w:r w:rsidR="00323411" w:rsidRPr="00C4084C">
        <w:rPr>
          <w:rStyle w:val="s2"/>
          <w:rFonts w:cs="Arial"/>
        </w:rPr>
        <w:t>(</w:t>
      </w:r>
      <w:proofErr w:type="spellStart"/>
      <w:r w:rsidR="00323411" w:rsidRPr="00C4084C">
        <w:rPr>
          <w:rStyle w:val="s2"/>
          <w:rFonts w:cs="Arial"/>
        </w:rPr>
        <w:t>Shergold</w:t>
      </w:r>
      <w:proofErr w:type="spellEnd"/>
      <w:r w:rsidR="00323411" w:rsidRPr="00C4084C">
        <w:rPr>
          <w:rStyle w:val="s2"/>
          <w:rFonts w:cs="Arial"/>
        </w:rPr>
        <w:t xml:space="preserve"> Review)</w:t>
      </w:r>
      <w:r w:rsidRPr="00C4084C">
        <w:rPr>
          <w:rStyle w:val="s2"/>
          <w:rFonts w:cs="Arial"/>
        </w:rPr>
        <w:t xml:space="preserve"> highlighted concerns that career guidance in schools is often outdated, is strongly geared towards subject selection instead of labour market outcomes, and is contingent on a school’s available resources.</w:t>
      </w:r>
      <w:r w:rsidRPr="00C4084C">
        <w:rPr>
          <w:rStyle w:val="FootnoteReference"/>
          <w:rFonts w:cs="Arial"/>
        </w:rPr>
        <w:footnoteReference w:id="203"/>
      </w:r>
      <w:r w:rsidRPr="00C4084C">
        <w:rPr>
          <w:rStyle w:val="s2"/>
          <w:rFonts w:cs="Arial"/>
        </w:rPr>
        <w:t xml:space="preserve"> This is consistent with findings of the National Regional Rural and Remote Tertiary Education Strategy (Napthine Review), which heard that schools in regional and remote Australia often lack the resources to hire a dedicated career advisor so this role is filled by teachers.</w:t>
      </w:r>
      <w:r w:rsidRPr="00C4084C">
        <w:rPr>
          <w:rStyle w:val="FootnoteReference"/>
          <w:rFonts w:cs="Arial"/>
        </w:rPr>
        <w:footnoteReference w:id="204"/>
      </w:r>
      <w:r w:rsidRPr="00C4084C">
        <w:rPr>
          <w:rStyle w:val="s2"/>
          <w:rFonts w:cs="Arial"/>
        </w:rPr>
        <w:t xml:space="preserve"> While professional standards have been developed by the Career Industry Council of Australia (CICA), there is no national requirement that career guidance is delivered by qualified practitioners. </w:t>
      </w:r>
    </w:p>
    <w:p w14:paraId="04C25D34" w14:textId="188BA384" w:rsidR="00D27626" w:rsidRPr="00C4084C" w:rsidRDefault="00D27626" w:rsidP="00E82EFE">
      <w:r w:rsidRPr="00C4084C">
        <w:rPr>
          <w:rStyle w:val="s2"/>
          <w:rFonts w:cs="Arial"/>
        </w:rPr>
        <w:t>Research has found</w:t>
      </w:r>
      <w:r w:rsidRPr="00C4084C">
        <w:t xml:space="preserve"> </w:t>
      </w:r>
      <w:r w:rsidR="00112F16">
        <w:t xml:space="preserve">that </w:t>
      </w:r>
      <w:r w:rsidRPr="00C4084C">
        <w:t>people from identified equity groups are more likely to miss out on high-quality career guidance, and that this extends past schooling into later life. Schools with more students from high SES backgrounds are more likely to have full-time, more experienced career advisors and mandatory career counselling.</w:t>
      </w:r>
      <w:r w:rsidRPr="00C4084C">
        <w:rPr>
          <w:rStyle w:val="FootnoteReference"/>
          <w:rFonts w:cs="Arial"/>
        </w:rPr>
        <w:footnoteReference w:id="205"/>
      </w:r>
      <w:r w:rsidRPr="00C4084C">
        <w:t xml:space="preserve"> Students from high SES areas are also more likely to access information about university, while students from low SES areas are more likely to receive information on vocational pathways, and this trend appears to have become more entrenched over time.</w:t>
      </w:r>
      <w:r w:rsidRPr="00C4084C">
        <w:rPr>
          <w:rStyle w:val="FootnoteReference"/>
          <w:rFonts w:cs="Arial"/>
        </w:rPr>
        <w:footnoteReference w:id="206"/>
      </w:r>
      <w:r w:rsidRPr="00C4084C">
        <w:t xml:space="preserve"> Similarly, adults with lower levels of education are less likely to use career guidance compared to highly educated adults.</w:t>
      </w:r>
      <w:r w:rsidRPr="00C4084C">
        <w:rPr>
          <w:rStyle w:val="FootnoteReference"/>
          <w:rFonts w:cs="Arial"/>
        </w:rPr>
        <w:footnoteReference w:id="207"/>
      </w:r>
      <w:r w:rsidRPr="00C4084C">
        <w:t xml:space="preserve"> </w:t>
      </w:r>
      <w:r w:rsidR="008F4A15" w:rsidRPr="00C4084C">
        <w:t>Not</w:t>
      </w:r>
      <w:r w:rsidRPr="00C4084C">
        <w:t xml:space="preserve"> unsurprising</w:t>
      </w:r>
      <w:r w:rsidR="008F4A15" w:rsidRPr="00C4084C">
        <w:t>ly</w:t>
      </w:r>
      <w:r w:rsidR="002A245C" w:rsidRPr="00C4084C">
        <w:t>,</w:t>
      </w:r>
      <w:r w:rsidRPr="00C4084C">
        <w:t xml:space="preserve"> there is evidence </w:t>
      </w:r>
      <w:r w:rsidR="008F4A15" w:rsidRPr="00C4084C">
        <w:t xml:space="preserve">that </w:t>
      </w:r>
      <w:r w:rsidRPr="00C4084C">
        <w:t>students from low SES backgrounds have less knowledge of university admission processes and how to maximise their outcomes.</w:t>
      </w:r>
      <w:r w:rsidRPr="00C4084C">
        <w:rPr>
          <w:rStyle w:val="FootnoteReference"/>
          <w:rFonts w:cs="Arial"/>
        </w:rPr>
        <w:footnoteReference w:id="208"/>
      </w:r>
      <w:r w:rsidRPr="00C4084C">
        <w:t xml:space="preserve"> Career guidance needs to be improved across all life stages, not only in schools.</w:t>
      </w:r>
    </w:p>
    <w:p w14:paraId="2F7E4652" w14:textId="0E38B16E" w:rsidR="00D27626" w:rsidRPr="00C4084C" w:rsidRDefault="00D27626" w:rsidP="00E82EFE">
      <w:r w:rsidRPr="00C4084C">
        <w:lastRenderedPageBreak/>
        <w:t>Valuable initiatives have emerged to address this issue, but ad</w:t>
      </w:r>
      <w:r w:rsidR="002A245C" w:rsidRPr="00C4084C">
        <w:t xml:space="preserve"> </w:t>
      </w:r>
      <w:r w:rsidRPr="00C4084C">
        <w:t>hoc approaches mean their impact is often time-limited, such as the National Careers Institute Partnership Grants Program, which operated from 2020 to 2023.</w:t>
      </w:r>
      <w:r w:rsidRPr="00C4084C">
        <w:rPr>
          <w:rStyle w:val="FootnoteReference"/>
          <w:rFonts w:cs="Arial"/>
        </w:rPr>
        <w:footnoteReference w:id="209"/>
      </w:r>
      <w:r w:rsidRPr="00C4084C">
        <w:t xml:space="preserve"> Grant approaches have been used to target areas of need, such as the Smith Family’s Growing Careers Project. </w:t>
      </w:r>
    </w:p>
    <w:p w14:paraId="1A5C74A2" w14:textId="514550D3" w:rsidR="00D27626" w:rsidRPr="00C4084C" w:rsidRDefault="00D27626" w:rsidP="00E82EFE">
      <w:r w:rsidRPr="00C4084C">
        <w:t>The Review is also concerned there is a lack of career guidance and support for people outside the school system. Though information does exist, including helpful resources created by the National Careers Institute, the Review is concerned by the lack of consistent guidance available to non-school cohorts. As the higher education system grows and draws in people from all walks of life, including mature-aged students, there is a need to ensure not only that those considering their options can access high-quality guidance, but that they have opportunities to enable their aspirations.</w:t>
      </w:r>
    </w:p>
    <w:tbl>
      <w:tblPr>
        <w:tblW w:w="0" w:type="auto"/>
        <w:shd w:val="clear" w:color="auto" w:fill="D2E8FF"/>
        <w:tblLook w:val="04A0" w:firstRow="1" w:lastRow="0" w:firstColumn="1" w:lastColumn="0" w:noHBand="0" w:noVBand="1"/>
      </w:tblPr>
      <w:tblGrid>
        <w:gridCol w:w="9356"/>
      </w:tblGrid>
      <w:tr w:rsidR="00AD4DA3" w:rsidRPr="00C4084C" w14:paraId="2B9BCCE1" w14:textId="77777777" w:rsidTr="00D26B82">
        <w:tc>
          <w:tcPr>
            <w:tcW w:w="9356" w:type="dxa"/>
            <w:shd w:val="clear" w:color="auto" w:fill="D3D4D6"/>
          </w:tcPr>
          <w:p w14:paraId="378CB00C" w14:textId="3B2C52D2" w:rsidR="00AD4DA3" w:rsidRPr="00C4084C" w:rsidRDefault="00AD4DA3" w:rsidP="00570A6C">
            <w:pPr>
              <w:pStyle w:val="Boxtitlessubheadings"/>
            </w:pPr>
            <w:r w:rsidRPr="00C4084C">
              <w:t>Case study: Good practice approaches to career guidance – Careers NSW</w:t>
            </w:r>
          </w:p>
          <w:p w14:paraId="74B70084" w14:textId="35B34495" w:rsidR="00EE26E5" w:rsidRPr="00C4084C" w:rsidRDefault="00AD4DA3" w:rsidP="00E82EFE">
            <w:pPr>
              <w:pStyle w:val="Boxtext0"/>
              <w:rPr>
                <w:rFonts w:ascii="Calibri" w:eastAsia="Yu Gothic Light" w:hAnsi="Calibri" w:cs="Calibri"/>
                <w:bCs/>
              </w:rPr>
            </w:pPr>
            <w:r w:rsidRPr="00C4084C">
              <w:rPr>
                <w:rFonts w:ascii="Calibri" w:eastAsia="Yu Gothic Light" w:hAnsi="Calibri" w:cs="Calibri"/>
                <w:bCs/>
              </w:rPr>
              <w:t xml:space="preserve">A </w:t>
            </w:r>
            <w:r w:rsidRPr="00BD51F5">
              <w:t xml:space="preserve">recommendation of the 2020 </w:t>
            </w:r>
            <w:proofErr w:type="spellStart"/>
            <w:r w:rsidRPr="00BD51F5">
              <w:t>Shergold</w:t>
            </w:r>
            <w:proofErr w:type="spellEnd"/>
            <w:r w:rsidRPr="00BD51F5">
              <w:t xml:space="preserve"> and Gonski Review</w:t>
            </w:r>
            <w:r w:rsidR="00255F40" w:rsidRPr="00C4084C">
              <w:rPr>
                <w:rStyle w:val="FootnoteReference"/>
                <w:szCs w:val="20"/>
              </w:rPr>
              <w:footnoteReference w:id="210"/>
            </w:r>
            <w:r w:rsidRPr="00BD51F5">
              <w:t xml:space="preserve"> into vocational education and training in NSW, Careers NSW provides lifelong careers information and guidance to NSW residents at any stage of their career. This includes access to tailored, free support from a qualified careers practitioner or industry expert. Careers NSW is currently trialling services in NSW government secondary schools to support more inclusive and equitable access to careers guidance across the state.</w:t>
            </w:r>
          </w:p>
        </w:tc>
      </w:tr>
    </w:tbl>
    <w:p w14:paraId="29DABE23" w14:textId="097C94E9" w:rsidR="00D27626" w:rsidRPr="00C4084C" w:rsidRDefault="00D27626" w:rsidP="00BA6095">
      <w:pPr>
        <w:pStyle w:val="Heading4"/>
      </w:pPr>
      <w:bookmarkStart w:id="625" w:name="_Toc150523122"/>
      <w:bookmarkStart w:id="626" w:name="_Toc150692419"/>
      <w:bookmarkStart w:id="627" w:name="_Toc153483032"/>
      <w:bookmarkStart w:id="628" w:name="_Toc159500942"/>
      <w:r w:rsidRPr="00C4084C">
        <w:t xml:space="preserve">Turning </w:t>
      </w:r>
      <w:r w:rsidR="35407B0F" w:rsidRPr="00C4084C">
        <w:t xml:space="preserve">awareness and </w:t>
      </w:r>
      <w:r w:rsidRPr="00C4084C">
        <w:t>aspiration into action</w:t>
      </w:r>
      <w:bookmarkEnd w:id="625"/>
      <w:bookmarkEnd w:id="626"/>
      <w:bookmarkEnd w:id="627"/>
      <w:bookmarkEnd w:id="628"/>
    </w:p>
    <w:p w14:paraId="3892B593" w14:textId="66FA41B1" w:rsidR="00D27626" w:rsidRPr="00C4084C" w:rsidRDefault="00D27626" w:rsidP="00BD51F5">
      <w:pPr>
        <w:rPr>
          <w:b/>
        </w:rPr>
      </w:pPr>
      <w:r w:rsidRPr="00C4084C">
        <w:t xml:space="preserve">While the literature </w:t>
      </w:r>
      <w:r w:rsidR="00D26903" w:rsidRPr="00C4084C">
        <w:t>suggests young people from low SES backgrounds have a similar level of aspiration to young people from high SES backgrounds, there can be a marked difference in how young people act on their aspirations.</w:t>
      </w:r>
      <w:r w:rsidR="004E3D7A" w:rsidRPr="00C4084C">
        <w:t xml:space="preserve"> </w:t>
      </w:r>
      <w:r w:rsidR="006C473C" w:rsidRPr="00C4084C">
        <w:t xml:space="preserve">In </w:t>
      </w:r>
      <w:r w:rsidR="008F4264" w:rsidRPr="00C4084C">
        <w:t>2015</w:t>
      </w:r>
      <w:r w:rsidR="00AD36B9" w:rsidRPr="00C4084C">
        <w:t>,</w:t>
      </w:r>
      <w:r w:rsidR="006C473C" w:rsidRPr="00C4084C">
        <w:t xml:space="preserve"> 16-year-old </w:t>
      </w:r>
      <w:r w:rsidRPr="00C4084C">
        <w:t>students</w:t>
      </w:r>
      <w:bookmarkStart w:id="629" w:name="_Ref150521679"/>
      <w:r w:rsidRPr="00C4084C">
        <w:t xml:space="preserve"> from the highest SES quartile were </w:t>
      </w:r>
      <w:r w:rsidR="000E7B14" w:rsidRPr="00C4084C">
        <w:t>significantly more</w:t>
      </w:r>
      <w:r w:rsidRPr="00C4084C">
        <w:t xml:space="preserve"> likely </w:t>
      </w:r>
      <w:r w:rsidR="000E7B14" w:rsidRPr="00C4084C">
        <w:t xml:space="preserve">than </w:t>
      </w:r>
      <w:r w:rsidRPr="00C4084C">
        <w:t>those from the lowest quartile to plan to attend university immediately after leaving school.</w:t>
      </w:r>
      <w:bookmarkEnd w:id="629"/>
    </w:p>
    <w:p w14:paraId="6F4CA649" w14:textId="7D293819" w:rsidR="00D27626" w:rsidRPr="00C4084C" w:rsidRDefault="00D27626" w:rsidP="005E5C5F">
      <w:pPr>
        <w:pStyle w:val="Caption"/>
      </w:pPr>
      <w:bookmarkStart w:id="630" w:name="_Ref150521730"/>
      <w:bookmarkStart w:id="631" w:name="_Ref150521726"/>
      <w:bookmarkStart w:id="632" w:name="_Toc153809631"/>
      <w:r w:rsidRPr="00C4084C">
        <w:lastRenderedPageBreak/>
        <w:t xml:space="preserve">Table </w:t>
      </w:r>
      <w:r w:rsidRPr="00C4084C">
        <w:fldChar w:fldCharType="begin"/>
      </w:r>
      <w:r w:rsidRPr="00C4084C">
        <w:instrText>SEQ Table \* ARABIC</w:instrText>
      </w:r>
      <w:r w:rsidRPr="00C4084C">
        <w:fldChar w:fldCharType="separate"/>
      </w:r>
      <w:r w:rsidR="00467B4F">
        <w:rPr>
          <w:noProof/>
        </w:rPr>
        <w:t>3</w:t>
      </w:r>
      <w:r w:rsidRPr="00C4084C">
        <w:fldChar w:fldCharType="end"/>
      </w:r>
      <w:bookmarkEnd w:id="630"/>
      <w:r w:rsidRPr="00C4084C">
        <w:t xml:space="preserve">: </w:t>
      </w:r>
      <w:bookmarkEnd w:id="631"/>
      <w:r w:rsidR="00A46D8D" w:rsidRPr="00C4084C">
        <w:t>Post-school plans of 16</w:t>
      </w:r>
      <w:r w:rsidR="008861D0" w:rsidRPr="00C4084C">
        <w:t>-</w:t>
      </w:r>
      <w:r w:rsidR="00A46D8D" w:rsidRPr="00C4084C">
        <w:t>year</w:t>
      </w:r>
      <w:r w:rsidR="008861D0" w:rsidRPr="00C4084C">
        <w:t>-</w:t>
      </w:r>
      <w:r w:rsidR="00A46D8D" w:rsidRPr="00C4084C">
        <w:t xml:space="preserve">olds, by </w:t>
      </w:r>
      <w:r w:rsidR="00663D2E" w:rsidRPr="00C4084C">
        <w:t>SES quartile as a proportion of all students in that SES</w:t>
      </w:r>
      <w:r w:rsidR="006D3CA8" w:rsidRPr="00C4084C">
        <w:t xml:space="preserve"> quartile</w:t>
      </w:r>
      <w:r w:rsidR="00A46D8D" w:rsidRPr="00C4084C">
        <w:t xml:space="preserve">, </w:t>
      </w:r>
      <w:r w:rsidR="008F4264" w:rsidRPr="00C4084C">
        <w:t>2015</w:t>
      </w:r>
      <w:r w:rsidR="00A46D8D" w:rsidRPr="00C4084C">
        <w:t>.</w:t>
      </w:r>
      <w:bookmarkEnd w:id="632"/>
    </w:p>
    <w:tbl>
      <w:tblPr>
        <w:tblStyle w:val="ListTable1Light-Accent3"/>
        <w:tblW w:w="9016" w:type="dxa"/>
        <w:tblBorders>
          <w:insideH w:val="single" w:sz="4" w:space="0" w:color="D0F1FC"/>
          <w:insideV w:val="single" w:sz="4" w:space="0" w:color="D0F1FC"/>
        </w:tblBorders>
        <w:tblLayout w:type="fixed"/>
        <w:tblLook w:val="06A0" w:firstRow="1" w:lastRow="0" w:firstColumn="1" w:lastColumn="0" w:noHBand="1" w:noVBand="1"/>
      </w:tblPr>
      <w:tblGrid>
        <w:gridCol w:w="2552"/>
        <w:gridCol w:w="1616"/>
        <w:gridCol w:w="1616"/>
        <w:gridCol w:w="1616"/>
        <w:gridCol w:w="1616"/>
      </w:tblGrid>
      <w:tr w:rsidR="00B534CD" w:rsidRPr="00C4084C" w14:paraId="4FB1215D" w14:textId="77777777" w:rsidTr="00B53FB4">
        <w:trPr>
          <w:cnfStyle w:val="100000000000" w:firstRow="1" w:lastRow="0" w:firstColumn="0" w:lastColumn="0" w:oddVBand="0" w:evenVBand="0" w:oddHBand="0" w:evenHBand="0" w:firstRowFirstColumn="0" w:firstRowLastColumn="0" w:lastRowFirstColumn="0" w:lastRowLastColumn="0"/>
          <w:trHeight w:val="270"/>
          <w:tblHeader/>
        </w:trPr>
        <w:tc>
          <w:tcPr>
            <w:cnfStyle w:val="001000000000" w:firstRow="0" w:lastRow="0" w:firstColumn="1" w:lastColumn="0" w:oddVBand="0" w:evenVBand="0" w:oddHBand="0" w:evenHBand="0" w:firstRowFirstColumn="0" w:firstRowLastColumn="0" w:lastRowFirstColumn="0" w:lastRowLastColumn="0"/>
            <w:tcW w:w="2552" w:type="dxa"/>
            <w:vMerge w:val="restart"/>
            <w:tcBorders>
              <w:top w:val="nil"/>
              <w:bottom w:val="single" w:sz="4" w:space="0" w:color="89DAF7"/>
              <w:right w:val="single" w:sz="12" w:space="0" w:color="A1E2F9"/>
            </w:tcBorders>
            <w:shd w:val="clear" w:color="auto" w:fill="D0F1FC"/>
          </w:tcPr>
          <w:p w14:paraId="6A56CDAF" w14:textId="77777777" w:rsidR="00B534CD" w:rsidRPr="00C4084C" w:rsidRDefault="00B534CD">
            <w:pPr>
              <w:keepNext/>
              <w:spacing w:after="0"/>
              <w:rPr>
                <w:rFonts w:eastAsia="Calibri" w:cs="Arial"/>
                <w:b w:val="0"/>
              </w:rPr>
            </w:pPr>
            <w:r w:rsidRPr="00C4084C">
              <w:rPr>
                <w:rFonts w:eastAsia="Calibri" w:cs="Arial"/>
              </w:rPr>
              <w:t>What do you plan to do in the year immediately after you leave school?</w:t>
            </w:r>
          </w:p>
        </w:tc>
        <w:tc>
          <w:tcPr>
            <w:tcW w:w="6463" w:type="dxa"/>
            <w:gridSpan w:val="4"/>
            <w:tcBorders>
              <w:top w:val="nil"/>
              <w:left w:val="single" w:sz="12" w:space="0" w:color="A1E2F9"/>
              <w:bottom w:val="single" w:sz="4" w:space="0" w:color="89DAF7"/>
            </w:tcBorders>
            <w:shd w:val="clear" w:color="auto" w:fill="D0F1FC"/>
          </w:tcPr>
          <w:p w14:paraId="1F1DA78A" w14:textId="77777777" w:rsidR="00B534CD" w:rsidRPr="00C4084C" w:rsidRDefault="00B534CD">
            <w:pPr>
              <w:keepNext/>
              <w:jc w:val="center"/>
              <w:cnfStyle w:val="100000000000" w:firstRow="1" w:lastRow="0" w:firstColumn="0" w:lastColumn="0" w:oddVBand="0" w:evenVBand="0" w:oddHBand="0" w:evenHBand="0" w:firstRowFirstColumn="0" w:firstRowLastColumn="0" w:lastRowFirstColumn="0" w:lastRowLastColumn="0"/>
              <w:rPr>
                <w:rFonts w:eastAsia="Calibri" w:cs="Arial"/>
                <w:b w:val="0"/>
              </w:rPr>
            </w:pPr>
            <w:r w:rsidRPr="00C4084C">
              <w:rPr>
                <w:rFonts w:eastAsia="Calibri" w:cs="Arial"/>
              </w:rPr>
              <w:t>SES</w:t>
            </w:r>
          </w:p>
        </w:tc>
      </w:tr>
      <w:tr w:rsidR="00B534CD" w:rsidRPr="00C4084C" w14:paraId="58DBEE43" w14:textId="77777777" w:rsidTr="00B53FB4">
        <w:trPr>
          <w:cnfStyle w:val="100000000000" w:firstRow="1" w:lastRow="0" w:firstColumn="0" w:lastColumn="0" w:oddVBand="0" w:evenVBand="0" w:oddHBand="0" w:evenHBand="0" w:firstRowFirstColumn="0" w:firstRowLastColumn="0" w:lastRowFirstColumn="0" w:lastRowLastColumn="0"/>
          <w:trHeight w:val="150"/>
          <w:tblHeader/>
        </w:trPr>
        <w:tc>
          <w:tcPr>
            <w:cnfStyle w:val="001000000000" w:firstRow="0" w:lastRow="0" w:firstColumn="1" w:lastColumn="0" w:oddVBand="0" w:evenVBand="0" w:oddHBand="0" w:evenHBand="0" w:firstRowFirstColumn="0" w:firstRowLastColumn="0" w:lastRowFirstColumn="0" w:lastRowLastColumn="0"/>
            <w:tcW w:w="2552" w:type="dxa"/>
            <w:vMerge/>
            <w:tcBorders>
              <w:top w:val="single" w:sz="4" w:space="0" w:color="89DAF7"/>
              <w:bottom w:val="single" w:sz="12" w:space="0" w:color="A1E2F9"/>
              <w:right w:val="single" w:sz="12" w:space="0" w:color="A1E2F9"/>
            </w:tcBorders>
            <w:shd w:val="clear" w:color="auto" w:fill="D0F1FC"/>
          </w:tcPr>
          <w:p w14:paraId="5959CA85" w14:textId="77777777" w:rsidR="00B534CD" w:rsidRPr="00C4084C" w:rsidRDefault="00B534CD">
            <w:pPr>
              <w:keepNext/>
              <w:spacing w:after="0"/>
              <w:rPr>
                <w:rFonts w:cs="Arial"/>
                <w:b w:val="0"/>
              </w:rPr>
            </w:pPr>
          </w:p>
        </w:tc>
        <w:tc>
          <w:tcPr>
            <w:tcW w:w="1616" w:type="dxa"/>
            <w:tcBorders>
              <w:top w:val="single" w:sz="4" w:space="0" w:color="89DAF7"/>
              <w:left w:val="single" w:sz="12" w:space="0" w:color="A1E2F9"/>
              <w:bottom w:val="single" w:sz="12" w:space="0" w:color="A1E2F9"/>
            </w:tcBorders>
            <w:shd w:val="clear" w:color="auto" w:fill="D0F1FC"/>
          </w:tcPr>
          <w:p w14:paraId="64BB3312" w14:textId="77777777" w:rsidR="00B534CD" w:rsidRPr="00C4084C" w:rsidRDefault="00B534CD">
            <w:pPr>
              <w:keepNext/>
              <w:spacing w:after="0"/>
              <w:jc w:val="right"/>
              <w:cnfStyle w:val="100000000000" w:firstRow="1"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Quartile 1 (%) (Lowest)</w:t>
            </w:r>
          </w:p>
        </w:tc>
        <w:tc>
          <w:tcPr>
            <w:tcW w:w="1616" w:type="dxa"/>
            <w:tcBorders>
              <w:top w:val="single" w:sz="4" w:space="0" w:color="89DAF7"/>
              <w:bottom w:val="single" w:sz="12" w:space="0" w:color="A1E2F9"/>
            </w:tcBorders>
            <w:shd w:val="clear" w:color="auto" w:fill="D0F1FC"/>
          </w:tcPr>
          <w:p w14:paraId="7CA322CF" w14:textId="77777777" w:rsidR="00B534CD" w:rsidRPr="00C4084C" w:rsidRDefault="00B534CD">
            <w:pPr>
              <w:keepNext/>
              <w:spacing w:after="0"/>
              <w:jc w:val="right"/>
              <w:cnfStyle w:val="100000000000" w:firstRow="1"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Quartile 2 (%)</w:t>
            </w:r>
          </w:p>
        </w:tc>
        <w:tc>
          <w:tcPr>
            <w:tcW w:w="1616" w:type="dxa"/>
            <w:tcBorders>
              <w:top w:val="single" w:sz="4" w:space="0" w:color="89DAF7"/>
              <w:bottom w:val="single" w:sz="12" w:space="0" w:color="A1E2F9"/>
            </w:tcBorders>
            <w:shd w:val="clear" w:color="auto" w:fill="D0F1FC"/>
          </w:tcPr>
          <w:p w14:paraId="197B6746" w14:textId="77777777" w:rsidR="00B534CD" w:rsidRPr="00C4084C" w:rsidRDefault="00B534CD">
            <w:pPr>
              <w:keepNext/>
              <w:spacing w:after="0"/>
              <w:jc w:val="right"/>
              <w:cnfStyle w:val="100000000000" w:firstRow="1"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Quartile 3 (%)</w:t>
            </w:r>
          </w:p>
        </w:tc>
        <w:tc>
          <w:tcPr>
            <w:tcW w:w="1616" w:type="dxa"/>
            <w:tcBorders>
              <w:top w:val="single" w:sz="4" w:space="0" w:color="89DAF7"/>
              <w:bottom w:val="single" w:sz="12" w:space="0" w:color="A1E2F9"/>
            </w:tcBorders>
            <w:shd w:val="clear" w:color="auto" w:fill="D0F1FC"/>
          </w:tcPr>
          <w:p w14:paraId="2E359683" w14:textId="77777777" w:rsidR="00B534CD" w:rsidRPr="00C4084C" w:rsidRDefault="00B534CD">
            <w:pPr>
              <w:keepNext/>
              <w:spacing w:after="0"/>
              <w:jc w:val="right"/>
              <w:cnfStyle w:val="100000000000" w:firstRow="1"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Quartile 4 (%) (Highest)</w:t>
            </w:r>
          </w:p>
        </w:tc>
      </w:tr>
      <w:tr w:rsidR="00B534CD" w:rsidRPr="00C4084C" w14:paraId="2F09ECFA" w14:textId="77777777" w:rsidTr="00B53FB4">
        <w:trPr>
          <w:cantSplit/>
          <w:trHeight w:val="453"/>
        </w:trPr>
        <w:tc>
          <w:tcPr>
            <w:cnfStyle w:val="001000000000" w:firstRow="0" w:lastRow="0" w:firstColumn="1" w:lastColumn="0" w:oddVBand="0" w:evenVBand="0" w:oddHBand="0" w:evenHBand="0" w:firstRowFirstColumn="0" w:firstRowLastColumn="0" w:lastRowFirstColumn="0" w:lastRowLastColumn="0"/>
            <w:tcW w:w="2552" w:type="dxa"/>
            <w:tcBorders>
              <w:top w:val="single" w:sz="12" w:space="0" w:color="A1E2F9"/>
              <w:bottom w:val="single" w:sz="8" w:space="0" w:color="A1E2F9"/>
              <w:right w:val="single" w:sz="12" w:space="0" w:color="A1E2F9"/>
            </w:tcBorders>
          </w:tcPr>
          <w:p w14:paraId="085075E8" w14:textId="77777777" w:rsidR="00B534CD" w:rsidRPr="00C4084C" w:rsidRDefault="00B534CD">
            <w:pPr>
              <w:keepNext/>
              <w:rPr>
                <w:rFonts w:eastAsia="Calibri" w:cs="Arial"/>
                <w:b w:val="0"/>
              </w:rPr>
            </w:pPr>
            <w:r w:rsidRPr="00C4084C">
              <w:rPr>
                <w:rFonts w:eastAsia="Calibri" w:cs="Arial"/>
              </w:rPr>
              <w:t>Go to university</w:t>
            </w:r>
          </w:p>
        </w:tc>
        <w:tc>
          <w:tcPr>
            <w:tcW w:w="1616" w:type="dxa"/>
            <w:tcBorders>
              <w:top w:val="single" w:sz="12" w:space="0" w:color="A1E2F9"/>
              <w:left w:val="single" w:sz="12" w:space="0" w:color="A1E2F9"/>
              <w:bottom w:val="single" w:sz="4" w:space="0" w:color="89DAF7"/>
              <w:right w:val="single" w:sz="4" w:space="0" w:color="D0F1FC"/>
            </w:tcBorders>
          </w:tcPr>
          <w:p w14:paraId="11C7F889" w14:textId="77777777" w:rsidR="00B534CD" w:rsidRPr="00C4084C" w:rsidRDefault="00B534CD">
            <w:pPr>
              <w:keepNext/>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36.7</w:t>
            </w:r>
          </w:p>
        </w:tc>
        <w:tc>
          <w:tcPr>
            <w:tcW w:w="1616" w:type="dxa"/>
            <w:tcBorders>
              <w:top w:val="single" w:sz="12" w:space="0" w:color="A1E2F9"/>
              <w:left w:val="single" w:sz="4" w:space="0" w:color="D0F1FC"/>
              <w:bottom w:val="single" w:sz="4" w:space="0" w:color="89DAF7"/>
              <w:right w:val="single" w:sz="4" w:space="0" w:color="D0F1FC"/>
            </w:tcBorders>
          </w:tcPr>
          <w:p w14:paraId="3F965C89" w14:textId="77777777" w:rsidR="00B534CD" w:rsidRPr="00C4084C" w:rsidRDefault="00B534CD">
            <w:pPr>
              <w:keepNext/>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44.9</w:t>
            </w:r>
          </w:p>
        </w:tc>
        <w:tc>
          <w:tcPr>
            <w:tcW w:w="1616" w:type="dxa"/>
            <w:tcBorders>
              <w:top w:val="single" w:sz="12" w:space="0" w:color="A1E2F9"/>
              <w:left w:val="single" w:sz="4" w:space="0" w:color="D0F1FC"/>
              <w:bottom w:val="single" w:sz="4" w:space="0" w:color="89DAF7"/>
              <w:right w:val="single" w:sz="4" w:space="0" w:color="D0F1FC"/>
            </w:tcBorders>
          </w:tcPr>
          <w:p w14:paraId="0668D987" w14:textId="77777777" w:rsidR="00B534CD" w:rsidRPr="00C4084C" w:rsidRDefault="00B534CD">
            <w:pPr>
              <w:keepNext/>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51.1</w:t>
            </w:r>
          </w:p>
        </w:tc>
        <w:tc>
          <w:tcPr>
            <w:tcW w:w="1616" w:type="dxa"/>
            <w:tcBorders>
              <w:top w:val="single" w:sz="12" w:space="0" w:color="A1E2F9"/>
              <w:left w:val="single" w:sz="4" w:space="0" w:color="D0F1FC"/>
              <w:bottom w:val="single" w:sz="4" w:space="0" w:color="89DAF7"/>
            </w:tcBorders>
          </w:tcPr>
          <w:p w14:paraId="7F6DB6C7" w14:textId="77777777" w:rsidR="00B534CD" w:rsidRPr="00C4084C" w:rsidRDefault="00B534CD">
            <w:pPr>
              <w:keepNext/>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62.7</w:t>
            </w:r>
          </w:p>
        </w:tc>
      </w:tr>
      <w:tr w:rsidR="00B534CD" w:rsidRPr="00C4084C" w14:paraId="645E6D63" w14:textId="77777777" w:rsidTr="00B53FB4">
        <w:trPr>
          <w:cantSplit/>
          <w:trHeight w:val="420"/>
        </w:trPr>
        <w:tc>
          <w:tcPr>
            <w:cnfStyle w:val="001000000000" w:firstRow="0" w:lastRow="0" w:firstColumn="1" w:lastColumn="0" w:oddVBand="0" w:evenVBand="0" w:oddHBand="0" w:evenHBand="0" w:firstRowFirstColumn="0" w:firstRowLastColumn="0" w:lastRowFirstColumn="0" w:lastRowLastColumn="0"/>
            <w:tcW w:w="2552" w:type="dxa"/>
            <w:tcBorders>
              <w:top w:val="single" w:sz="8" w:space="0" w:color="A1E2F9"/>
              <w:bottom w:val="single" w:sz="8" w:space="0" w:color="A1E2F9"/>
              <w:right w:val="single" w:sz="12" w:space="0" w:color="A1E2F9"/>
            </w:tcBorders>
          </w:tcPr>
          <w:p w14:paraId="2AD4EFE3" w14:textId="77777777" w:rsidR="00B534CD" w:rsidRPr="00C4084C" w:rsidRDefault="00B534CD">
            <w:pPr>
              <w:keepNext/>
              <w:rPr>
                <w:rFonts w:eastAsia="Calibri" w:cs="Arial"/>
                <w:b w:val="0"/>
              </w:rPr>
            </w:pPr>
            <w:r w:rsidRPr="00C4084C">
              <w:rPr>
                <w:rFonts w:eastAsia="Calibri" w:cs="Arial"/>
              </w:rPr>
              <w:t>Go to TAFE or private training provider</w:t>
            </w:r>
          </w:p>
        </w:tc>
        <w:tc>
          <w:tcPr>
            <w:tcW w:w="1616" w:type="dxa"/>
            <w:tcBorders>
              <w:top w:val="single" w:sz="4" w:space="0" w:color="89DAF7"/>
              <w:left w:val="single" w:sz="12" w:space="0" w:color="A1E2F9"/>
              <w:bottom w:val="single" w:sz="4" w:space="0" w:color="89DAF7"/>
              <w:right w:val="single" w:sz="4" w:space="0" w:color="D0F1FC"/>
            </w:tcBorders>
          </w:tcPr>
          <w:p w14:paraId="4603B2BA" w14:textId="77777777" w:rsidR="00B534CD" w:rsidRPr="00C4084C" w:rsidRDefault="00B534CD">
            <w:pPr>
              <w:keepNext/>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9.5</w:t>
            </w:r>
          </w:p>
        </w:tc>
        <w:tc>
          <w:tcPr>
            <w:tcW w:w="1616" w:type="dxa"/>
            <w:tcBorders>
              <w:top w:val="single" w:sz="4" w:space="0" w:color="89DAF7"/>
              <w:left w:val="single" w:sz="4" w:space="0" w:color="D0F1FC"/>
              <w:bottom w:val="single" w:sz="4" w:space="0" w:color="89DAF7"/>
              <w:right w:val="single" w:sz="4" w:space="0" w:color="D0F1FC"/>
            </w:tcBorders>
          </w:tcPr>
          <w:p w14:paraId="16EC6C8E" w14:textId="77777777" w:rsidR="00B534CD" w:rsidRPr="00C4084C" w:rsidRDefault="00B534CD">
            <w:pPr>
              <w:keepNext/>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7.2</w:t>
            </w:r>
          </w:p>
        </w:tc>
        <w:tc>
          <w:tcPr>
            <w:tcW w:w="1616" w:type="dxa"/>
            <w:tcBorders>
              <w:top w:val="single" w:sz="4" w:space="0" w:color="89DAF7"/>
              <w:left w:val="single" w:sz="4" w:space="0" w:color="D0F1FC"/>
              <w:bottom w:val="single" w:sz="4" w:space="0" w:color="89DAF7"/>
              <w:right w:val="single" w:sz="4" w:space="0" w:color="D0F1FC"/>
            </w:tcBorders>
          </w:tcPr>
          <w:p w14:paraId="070D350B" w14:textId="77777777" w:rsidR="00B534CD" w:rsidRPr="00C4084C" w:rsidRDefault="00B534CD">
            <w:pPr>
              <w:keepNext/>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4.8</w:t>
            </w:r>
          </w:p>
        </w:tc>
        <w:tc>
          <w:tcPr>
            <w:tcW w:w="1616" w:type="dxa"/>
            <w:tcBorders>
              <w:top w:val="single" w:sz="4" w:space="0" w:color="89DAF7"/>
              <w:left w:val="single" w:sz="4" w:space="0" w:color="D0F1FC"/>
              <w:bottom w:val="single" w:sz="4" w:space="0" w:color="89DAF7"/>
            </w:tcBorders>
          </w:tcPr>
          <w:p w14:paraId="20B895FA" w14:textId="77777777" w:rsidR="00B534CD" w:rsidRPr="00C4084C" w:rsidRDefault="00B534CD">
            <w:pPr>
              <w:keepNext/>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3.0</w:t>
            </w:r>
          </w:p>
        </w:tc>
      </w:tr>
      <w:tr w:rsidR="00B534CD" w:rsidRPr="00C4084C" w14:paraId="069968C4" w14:textId="77777777" w:rsidTr="00B53FB4">
        <w:trPr>
          <w:cantSplit/>
          <w:trHeight w:val="540"/>
        </w:trPr>
        <w:tc>
          <w:tcPr>
            <w:cnfStyle w:val="001000000000" w:firstRow="0" w:lastRow="0" w:firstColumn="1" w:lastColumn="0" w:oddVBand="0" w:evenVBand="0" w:oddHBand="0" w:evenHBand="0" w:firstRowFirstColumn="0" w:firstRowLastColumn="0" w:lastRowFirstColumn="0" w:lastRowLastColumn="0"/>
            <w:tcW w:w="2552" w:type="dxa"/>
            <w:tcBorders>
              <w:top w:val="single" w:sz="8" w:space="0" w:color="A1E2F9"/>
              <w:bottom w:val="single" w:sz="8" w:space="0" w:color="A1E2F9"/>
              <w:right w:val="single" w:sz="12" w:space="0" w:color="A1E2F9"/>
            </w:tcBorders>
          </w:tcPr>
          <w:p w14:paraId="15975971" w14:textId="77777777" w:rsidR="00B534CD" w:rsidRPr="00C4084C" w:rsidRDefault="00B534CD">
            <w:pPr>
              <w:keepNext/>
              <w:rPr>
                <w:rFonts w:eastAsia="Calibri" w:cs="Arial"/>
                <w:b w:val="0"/>
              </w:rPr>
            </w:pPr>
            <w:r w:rsidRPr="00C4084C">
              <w:rPr>
                <w:rFonts w:eastAsia="Calibri" w:cs="Arial"/>
              </w:rPr>
              <w:t>An apprenticeship</w:t>
            </w:r>
          </w:p>
        </w:tc>
        <w:tc>
          <w:tcPr>
            <w:tcW w:w="1616" w:type="dxa"/>
            <w:tcBorders>
              <w:top w:val="single" w:sz="4" w:space="0" w:color="89DAF7"/>
              <w:left w:val="single" w:sz="12" w:space="0" w:color="A1E2F9"/>
              <w:bottom w:val="single" w:sz="4" w:space="0" w:color="89DAF7"/>
              <w:right w:val="single" w:sz="4" w:space="0" w:color="D0F1FC"/>
            </w:tcBorders>
          </w:tcPr>
          <w:p w14:paraId="6A4EFBCC" w14:textId="77777777" w:rsidR="00B534CD" w:rsidRPr="00C4084C" w:rsidRDefault="00B534CD">
            <w:pPr>
              <w:keepNext/>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10.7</w:t>
            </w:r>
          </w:p>
        </w:tc>
        <w:tc>
          <w:tcPr>
            <w:tcW w:w="1616" w:type="dxa"/>
            <w:tcBorders>
              <w:top w:val="single" w:sz="4" w:space="0" w:color="89DAF7"/>
              <w:left w:val="single" w:sz="4" w:space="0" w:color="D0F1FC"/>
              <w:bottom w:val="single" w:sz="4" w:space="0" w:color="89DAF7"/>
              <w:right w:val="single" w:sz="4" w:space="0" w:color="D0F1FC"/>
            </w:tcBorders>
          </w:tcPr>
          <w:p w14:paraId="731EA057" w14:textId="77777777" w:rsidR="00B534CD" w:rsidRPr="00C4084C" w:rsidRDefault="00B534CD">
            <w:pPr>
              <w:keepNext/>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6.8</w:t>
            </w:r>
          </w:p>
        </w:tc>
        <w:tc>
          <w:tcPr>
            <w:tcW w:w="1616" w:type="dxa"/>
            <w:tcBorders>
              <w:top w:val="single" w:sz="4" w:space="0" w:color="89DAF7"/>
              <w:left w:val="single" w:sz="4" w:space="0" w:color="D0F1FC"/>
              <w:bottom w:val="single" w:sz="4" w:space="0" w:color="89DAF7"/>
              <w:right w:val="single" w:sz="4" w:space="0" w:color="D0F1FC"/>
            </w:tcBorders>
          </w:tcPr>
          <w:p w14:paraId="78FA24A2" w14:textId="77777777" w:rsidR="00B534CD" w:rsidRPr="00C4084C" w:rsidRDefault="00B534CD">
            <w:pPr>
              <w:keepNext/>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7.0</w:t>
            </w:r>
          </w:p>
        </w:tc>
        <w:tc>
          <w:tcPr>
            <w:tcW w:w="1616" w:type="dxa"/>
            <w:tcBorders>
              <w:top w:val="single" w:sz="4" w:space="0" w:color="89DAF7"/>
              <w:left w:val="single" w:sz="4" w:space="0" w:color="D0F1FC"/>
              <w:bottom w:val="single" w:sz="4" w:space="0" w:color="89DAF7"/>
            </w:tcBorders>
          </w:tcPr>
          <w:p w14:paraId="2F5C64F2" w14:textId="77777777" w:rsidR="00B534CD" w:rsidRPr="00C4084C" w:rsidRDefault="00B534CD">
            <w:pPr>
              <w:keepNext/>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2.2</w:t>
            </w:r>
          </w:p>
        </w:tc>
      </w:tr>
      <w:tr w:rsidR="00B534CD" w:rsidRPr="00C4084C" w14:paraId="30C6E18F" w14:textId="77777777" w:rsidTr="00B53FB4">
        <w:trPr>
          <w:cantSplit/>
          <w:trHeight w:val="540"/>
        </w:trPr>
        <w:tc>
          <w:tcPr>
            <w:cnfStyle w:val="001000000000" w:firstRow="0" w:lastRow="0" w:firstColumn="1" w:lastColumn="0" w:oddVBand="0" w:evenVBand="0" w:oddHBand="0" w:evenHBand="0" w:firstRowFirstColumn="0" w:firstRowLastColumn="0" w:lastRowFirstColumn="0" w:lastRowLastColumn="0"/>
            <w:tcW w:w="2552" w:type="dxa"/>
            <w:tcBorders>
              <w:top w:val="single" w:sz="8" w:space="0" w:color="A1E2F9"/>
              <w:bottom w:val="single" w:sz="8" w:space="0" w:color="A1E2F9"/>
              <w:right w:val="single" w:sz="12" w:space="0" w:color="A1E2F9"/>
            </w:tcBorders>
          </w:tcPr>
          <w:p w14:paraId="4654DA4E" w14:textId="77777777" w:rsidR="00B534CD" w:rsidRPr="00C4084C" w:rsidRDefault="00B534CD">
            <w:pPr>
              <w:keepNext/>
              <w:rPr>
                <w:rFonts w:eastAsia="Calibri" w:cs="Arial"/>
                <w:b w:val="0"/>
              </w:rPr>
            </w:pPr>
            <w:r w:rsidRPr="00C4084C">
              <w:rPr>
                <w:rFonts w:eastAsia="Calibri" w:cs="Arial"/>
              </w:rPr>
              <w:t>A traineeship</w:t>
            </w:r>
          </w:p>
        </w:tc>
        <w:tc>
          <w:tcPr>
            <w:tcW w:w="1616" w:type="dxa"/>
            <w:tcBorders>
              <w:top w:val="single" w:sz="4" w:space="0" w:color="89DAF7"/>
              <w:left w:val="single" w:sz="12" w:space="0" w:color="A1E2F9"/>
              <w:bottom w:val="single" w:sz="4" w:space="0" w:color="89DAF7"/>
              <w:right w:val="single" w:sz="4" w:space="0" w:color="D0F1FC"/>
            </w:tcBorders>
          </w:tcPr>
          <w:p w14:paraId="4047B788" w14:textId="77777777" w:rsidR="00B534CD" w:rsidRPr="00C4084C" w:rsidRDefault="00B534CD">
            <w:pPr>
              <w:keepNext/>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2.4</w:t>
            </w:r>
          </w:p>
        </w:tc>
        <w:tc>
          <w:tcPr>
            <w:tcW w:w="1616" w:type="dxa"/>
            <w:tcBorders>
              <w:top w:val="single" w:sz="4" w:space="0" w:color="89DAF7"/>
              <w:left w:val="single" w:sz="4" w:space="0" w:color="D0F1FC"/>
              <w:bottom w:val="single" w:sz="4" w:space="0" w:color="89DAF7"/>
              <w:right w:val="single" w:sz="4" w:space="0" w:color="D0F1FC"/>
            </w:tcBorders>
          </w:tcPr>
          <w:p w14:paraId="1A58A40A" w14:textId="77777777" w:rsidR="00B534CD" w:rsidRPr="00C4084C" w:rsidRDefault="00B534CD">
            <w:pPr>
              <w:keepNext/>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0.3</w:t>
            </w:r>
          </w:p>
        </w:tc>
        <w:tc>
          <w:tcPr>
            <w:tcW w:w="1616" w:type="dxa"/>
            <w:tcBorders>
              <w:top w:val="single" w:sz="4" w:space="0" w:color="89DAF7"/>
              <w:left w:val="single" w:sz="4" w:space="0" w:color="D0F1FC"/>
              <w:bottom w:val="single" w:sz="4" w:space="0" w:color="89DAF7"/>
              <w:right w:val="single" w:sz="4" w:space="0" w:color="D0F1FC"/>
            </w:tcBorders>
          </w:tcPr>
          <w:p w14:paraId="5599DFFC" w14:textId="77777777" w:rsidR="00B534CD" w:rsidRPr="00C4084C" w:rsidRDefault="00B534CD">
            <w:pPr>
              <w:keepNext/>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0.5</w:t>
            </w:r>
          </w:p>
        </w:tc>
        <w:tc>
          <w:tcPr>
            <w:tcW w:w="1616" w:type="dxa"/>
            <w:tcBorders>
              <w:top w:val="single" w:sz="4" w:space="0" w:color="89DAF7"/>
              <w:left w:val="single" w:sz="4" w:space="0" w:color="D0F1FC"/>
              <w:bottom w:val="single" w:sz="4" w:space="0" w:color="89DAF7"/>
            </w:tcBorders>
          </w:tcPr>
          <w:p w14:paraId="0B32A3E9" w14:textId="77777777" w:rsidR="00B534CD" w:rsidRPr="00C4084C" w:rsidRDefault="00B534CD">
            <w:pPr>
              <w:keepNext/>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0.1</w:t>
            </w:r>
          </w:p>
        </w:tc>
      </w:tr>
      <w:tr w:rsidR="00B534CD" w:rsidRPr="00C4084C" w14:paraId="38F6A1EA" w14:textId="77777777" w:rsidTr="00B53FB4">
        <w:trPr>
          <w:cantSplit/>
          <w:trHeight w:val="540"/>
        </w:trPr>
        <w:tc>
          <w:tcPr>
            <w:cnfStyle w:val="001000000000" w:firstRow="0" w:lastRow="0" w:firstColumn="1" w:lastColumn="0" w:oddVBand="0" w:evenVBand="0" w:oddHBand="0" w:evenHBand="0" w:firstRowFirstColumn="0" w:firstRowLastColumn="0" w:lastRowFirstColumn="0" w:lastRowLastColumn="0"/>
            <w:tcW w:w="2552" w:type="dxa"/>
            <w:tcBorders>
              <w:top w:val="single" w:sz="8" w:space="0" w:color="A1E2F9"/>
              <w:bottom w:val="single" w:sz="8" w:space="0" w:color="A1E2F9"/>
              <w:right w:val="single" w:sz="12" w:space="0" w:color="A1E2F9"/>
            </w:tcBorders>
          </w:tcPr>
          <w:p w14:paraId="58C80277" w14:textId="77777777" w:rsidR="00B534CD" w:rsidRPr="00C4084C" w:rsidRDefault="00B534CD">
            <w:pPr>
              <w:keepNext/>
              <w:rPr>
                <w:rFonts w:eastAsia="Calibri" w:cs="Arial"/>
                <w:b w:val="0"/>
              </w:rPr>
            </w:pPr>
            <w:r w:rsidRPr="00C4084C">
              <w:rPr>
                <w:rFonts w:eastAsia="Calibri" w:cs="Arial"/>
              </w:rPr>
              <w:t>Do some other course or training elsewhere</w:t>
            </w:r>
          </w:p>
        </w:tc>
        <w:tc>
          <w:tcPr>
            <w:tcW w:w="1616" w:type="dxa"/>
            <w:tcBorders>
              <w:top w:val="single" w:sz="4" w:space="0" w:color="89DAF7"/>
              <w:left w:val="single" w:sz="12" w:space="0" w:color="A1E2F9"/>
              <w:bottom w:val="single" w:sz="4" w:space="0" w:color="89DAF7"/>
              <w:right w:val="single" w:sz="4" w:space="0" w:color="D0F1FC"/>
            </w:tcBorders>
          </w:tcPr>
          <w:p w14:paraId="0C136F11" w14:textId="77777777" w:rsidR="00B534CD" w:rsidRPr="00C4084C" w:rsidRDefault="00B534CD">
            <w:pPr>
              <w:keepNext/>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1.5</w:t>
            </w:r>
          </w:p>
        </w:tc>
        <w:tc>
          <w:tcPr>
            <w:tcW w:w="1616" w:type="dxa"/>
            <w:tcBorders>
              <w:top w:val="single" w:sz="4" w:space="0" w:color="89DAF7"/>
              <w:left w:val="single" w:sz="4" w:space="0" w:color="D0F1FC"/>
              <w:bottom w:val="single" w:sz="4" w:space="0" w:color="89DAF7"/>
              <w:right w:val="single" w:sz="4" w:space="0" w:color="D0F1FC"/>
            </w:tcBorders>
          </w:tcPr>
          <w:p w14:paraId="60989EDD" w14:textId="77777777" w:rsidR="00B534CD" w:rsidRPr="00C4084C" w:rsidRDefault="00B534CD">
            <w:pPr>
              <w:keepNext/>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1.9</w:t>
            </w:r>
          </w:p>
        </w:tc>
        <w:tc>
          <w:tcPr>
            <w:tcW w:w="1616" w:type="dxa"/>
            <w:tcBorders>
              <w:top w:val="single" w:sz="4" w:space="0" w:color="89DAF7"/>
              <w:left w:val="single" w:sz="4" w:space="0" w:color="D0F1FC"/>
              <w:bottom w:val="single" w:sz="4" w:space="0" w:color="89DAF7"/>
              <w:right w:val="single" w:sz="4" w:space="0" w:color="D0F1FC"/>
            </w:tcBorders>
          </w:tcPr>
          <w:p w14:paraId="5A136D42" w14:textId="77777777" w:rsidR="00B534CD" w:rsidRPr="00C4084C" w:rsidRDefault="00B534CD">
            <w:pPr>
              <w:keepNext/>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2.2</w:t>
            </w:r>
          </w:p>
        </w:tc>
        <w:tc>
          <w:tcPr>
            <w:tcW w:w="1616" w:type="dxa"/>
            <w:tcBorders>
              <w:top w:val="single" w:sz="4" w:space="0" w:color="89DAF7"/>
              <w:left w:val="single" w:sz="4" w:space="0" w:color="D0F1FC"/>
              <w:bottom w:val="single" w:sz="4" w:space="0" w:color="89DAF7"/>
            </w:tcBorders>
          </w:tcPr>
          <w:p w14:paraId="3653692D" w14:textId="77777777" w:rsidR="00B534CD" w:rsidRPr="00C4084C" w:rsidRDefault="00B534CD">
            <w:pPr>
              <w:keepNext/>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0.8</w:t>
            </w:r>
          </w:p>
        </w:tc>
      </w:tr>
      <w:tr w:rsidR="00B534CD" w:rsidRPr="00C4084C" w14:paraId="3E1149B6" w14:textId="77777777" w:rsidTr="00B53FB4">
        <w:trPr>
          <w:cantSplit/>
          <w:trHeight w:val="270"/>
        </w:trPr>
        <w:tc>
          <w:tcPr>
            <w:cnfStyle w:val="001000000000" w:firstRow="0" w:lastRow="0" w:firstColumn="1" w:lastColumn="0" w:oddVBand="0" w:evenVBand="0" w:oddHBand="0" w:evenHBand="0" w:firstRowFirstColumn="0" w:firstRowLastColumn="0" w:lastRowFirstColumn="0" w:lastRowLastColumn="0"/>
            <w:tcW w:w="2552" w:type="dxa"/>
            <w:tcBorders>
              <w:top w:val="single" w:sz="8" w:space="0" w:color="A1E2F9"/>
              <w:bottom w:val="single" w:sz="8" w:space="0" w:color="A1E2F9"/>
              <w:right w:val="single" w:sz="12" w:space="0" w:color="A1E2F9"/>
            </w:tcBorders>
          </w:tcPr>
          <w:p w14:paraId="68AE5B2F" w14:textId="77777777" w:rsidR="00B534CD" w:rsidRPr="00C4084C" w:rsidRDefault="00B534CD">
            <w:pPr>
              <w:rPr>
                <w:rFonts w:eastAsia="Calibri" w:cs="Arial"/>
                <w:b w:val="0"/>
              </w:rPr>
            </w:pPr>
            <w:r w:rsidRPr="00C4084C">
              <w:rPr>
                <w:rFonts w:eastAsia="Calibri" w:cs="Arial"/>
              </w:rPr>
              <w:t>Work at a job</w:t>
            </w:r>
          </w:p>
        </w:tc>
        <w:tc>
          <w:tcPr>
            <w:tcW w:w="1616" w:type="dxa"/>
            <w:tcBorders>
              <w:top w:val="single" w:sz="4" w:space="0" w:color="89DAF7"/>
              <w:left w:val="single" w:sz="12" w:space="0" w:color="A1E2F9"/>
              <w:bottom w:val="single" w:sz="4" w:space="0" w:color="89DAF7"/>
              <w:right w:val="single" w:sz="4" w:space="0" w:color="D0F1FC"/>
            </w:tcBorders>
          </w:tcPr>
          <w:p w14:paraId="03ECF75D" w14:textId="77777777" w:rsidR="00B534CD" w:rsidRPr="00C4084C" w:rsidRDefault="00B534CD">
            <w:pPr>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13.6</w:t>
            </w:r>
          </w:p>
        </w:tc>
        <w:tc>
          <w:tcPr>
            <w:tcW w:w="1616" w:type="dxa"/>
            <w:tcBorders>
              <w:top w:val="single" w:sz="4" w:space="0" w:color="89DAF7"/>
              <w:left w:val="single" w:sz="4" w:space="0" w:color="D0F1FC"/>
              <w:bottom w:val="single" w:sz="4" w:space="0" w:color="89DAF7"/>
              <w:right w:val="single" w:sz="4" w:space="0" w:color="D0F1FC"/>
            </w:tcBorders>
          </w:tcPr>
          <w:p w14:paraId="34DA63BB" w14:textId="77777777" w:rsidR="00B534CD" w:rsidRPr="00C4084C" w:rsidRDefault="00B534CD">
            <w:pPr>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12.6</w:t>
            </w:r>
          </w:p>
        </w:tc>
        <w:tc>
          <w:tcPr>
            <w:tcW w:w="1616" w:type="dxa"/>
            <w:tcBorders>
              <w:top w:val="single" w:sz="4" w:space="0" w:color="89DAF7"/>
              <w:left w:val="single" w:sz="4" w:space="0" w:color="D0F1FC"/>
              <w:bottom w:val="single" w:sz="4" w:space="0" w:color="89DAF7"/>
              <w:right w:val="single" w:sz="4" w:space="0" w:color="D0F1FC"/>
            </w:tcBorders>
          </w:tcPr>
          <w:p w14:paraId="3930D892" w14:textId="77777777" w:rsidR="00B534CD" w:rsidRPr="00C4084C" w:rsidRDefault="00B534CD">
            <w:pPr>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8.2</w:t>
            </w:r>
          </w:p>
        </w:tc>
        <w:tc>
          <w:tcPr>
            <w:tcW w:w="1616" w:type="dxa"/>
            <w:tcBorders>
              <w:top w:val="single" w:sz="4" w:space="0" w:color="89DAF7"/>
              <w:left w:val="single" w:sz="4" w:space="0" w:color="D0F1FC"/>
              <w:bottom w:val="single" w:sz="4" w:space="0" w:color="89DAF7"/>
            </w:tcBorders>
          </w:tcPr>
          <w:p w14:paraId="21F13880" w14:textId="77777777" w:rsidR="00B534CD" w:rsidRPr="00C4084C" w:rsidRDefault="00B534CD">
            <w:pPr>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6.7</w:t>
            </w:r>
          </w:p>
        </w:tc>
      </w:tr>
      <w:tr w:rsidR="00B534CD" w:rsidRPr="00C4084C" w14:paraId="08847219" w14:textId="77777777" w:rsidTr="00B53FB4">
        <w:trPr>
          <w:cantSplit/>
          <w:trHeight w:val="615"/>
        </w:trPr>
        <w:tc>
          <w:tcPr>
            <w:cnfStyle w:val="001000000000" w:firstRow="0" w:lastRow="0" w:firstColumn="1" w:lastColumn="0" w:oddVBand="0" w:evenVBand="0" w:oddHBand="0" w:evenHBand="0" w:firstRowFirstColumn="0" w:firstRowLastColumn="0" w:lastRowFirstColumn="0" w:lastRowLastColumn="0"/>
            <w:tcW w:w="2552" w:type="dxa"/>
            <w:tcBorders>
              <w:top w:val="single" w:sz="8" w:space="0" w:color="A1E2F9"/>
              <w:bottom w:val="single" w:sz="8" w:space="0" w:color="A1E2F9"/>
              <w:right w:val="single" w:sz="12" w:space="0" w:color="A1E2F9"/>
            </w:tcBorders>
          </w:tcPr>
          <w:p w14:paraId="3845A256" w14:textId="77777777" w:rsidR="00B534CD" w:rsidRPr="00C4084C" w:rsidRDefault="00B534CD">
            <w:pPr>
              <w:rPr>
                <w:rFonts w:eastAsia="Calibri" w:cs="Arial"/>
                <w:b w:val="0"/>
              </w:rPr>
            </w:pPr>
            <w:r w:rsidRPr="00C4084C">
              <w:rPr>
                <w:rFonts w:eastAsia="Calibri" w:cs="Arial"/>
              </w:rPr>
              <w:t>Take a gap year</w:t>
            </w:r>
          </w:p>
        </w:tc>
        <w:tc>
          <w:tcPr>
            <w:tcW w:w="1616" w:type="dxa"/>
            <w:tcBorders>
              <w:top w:val="single" w:sz="4" w:space="0" w:color="89DAF7"/>
              <w:left w:val="single" w:sz="12" w:space="0" w:color="A1E2F9"/>
              <w:bottom w:val="single" w:sz="4" w:space="0" w:color="89DAF7"/>
              <w:right w:val="single" w:sz="4" w:space="0" w:color="D0F1FC"/>
            </w:tcBorders>
          </w:tcPr>
          <w:p w14:paraId="62718133" w14:textId="77777777" w:rsidR="00B534CD" w:rsidRPr="00C4084C" w:rsidRDefault="00B534CD">
            <w:pPr>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7.2</w:t>
            </w:r>
          </w:p>
        </w:tc>
        <w:tc>
          <w:tcPr>
            <w:tcW w:w="1616" w:type="dxa"/>
            <w:tcBorders>
              <w:top w:val="single" w:sz="4" w:space="0" w:color="89DAF7"/>
              <w:left w:val="single" w:sz="4" w:space="0" w:color="D0F1FC"/>
              <w:bottom w:val="single" w:sz="4" w:space="0" w:color="89DAF7"/>
              <w:right w:val="single" w:sz="4" w:space="0" w:color="D0F1FC"/>
            </w:tcBorders>
          </w:tcPr>
          <w:p w14:paraId="37767811" w14:textId="77777777" w:rsidR="00B534CD" w:rsidRPr="00C4084C" w:rsidRDefault="00B534CD">
            <w:pPr>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10.7</w:t>
            </w:r>
          </w:p>
        </w:tc>
        <w:tc>
          <w:tcPr>
            <w:tcW w:w="1616" w:type="dxa"/>
            <w:tcBorders>
              <w:top w:val="single" w:sz="4" w:space="0" w:color="89DAF7"/>
              <w:left w:val="single" w:sz="4" w:space="0" w:color="D0F1FC"/>
              <w:bottom w:val="single" w:sz="4" w:space="0" w:color="89DAF7"/>
              <w:right w:val="single" w:sz="4" w:space="0" w:color="D0F1FC"/>
            </w:tcBorders>
          </w:tcPr>
          <w:p w14:paraId="56E8E54A" w14:textId="77777777" w:rsidR="00B534CD" w:rsidRPr="00C4084C" w:rsidRDefault="00B534CD">
            <w:pPr>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12.8</w:t>
            </w:r>
          </w:p>
        </w:tc>
        <w:tc>
          <w:tcPr>
            <w:tcW w:w="1616" w:type="dxa"/>
            <w:tcBorders>
              <w:top w:val="single" w:sz="4" w:space="0" w:color="89DAF7"/>
              <w:left w:val="single" w:sz="4" w:space="0" w:color="D0F1FC"/>
              <w:bottom w:val="single" w:sz="4" w:space="0" w:color="89DAF7"/>
            </w:tcBorders>
          </w:tcPr>
          <w:p w14:paraId="3FB11BCE" w14:textId="77777777" w:rsidR="00B534CD" w:rsidRPr="00C4084C" w:rsidRDefault="00B534CD">
            <w:pPr>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12.1</w:t>
            </w:r>
          </w:p>
        </w:tc>
      </w:tr>
      <w:tr w:rsidR="00B534CD" w:rsidRPr="00C4084C" w14:paraId="1089ABCF" w14:textId="77777777" w:rsidTr="00B53FB4">
        <w:trPr>
          <w:cantSplit/>
          <w:trHeight w:val="540"/>
        </w:trPr>
        <w:tc>
          <w:tcPr>
            <w:cnfStyle w:val="001000000000" w:firstRow="0" w:lastRow="0" w:firstColumn="1" w:lastColumn="0" w:oddVBand="0" w:evenVBand="0" w:oddHBand="0" w:evenHBand="0" w:firstRowFirstColumn="0" w:firstRowLastColumn="0" w:lastRowFirstColumn="0" w:lastRowLastColumn="0"/>
            <w:tcW w:w="2552" w:type="dxa"/>
            <w:tcBorders>
              <w:top w:val="single" w:sz="8" w:space="0" w:color="A1E2F9"/>
              <w:bottom w:val="single" w:sz="8" w:space="0" w:color="A1E2F9"/>
              <w:right w:val="single" w:sz="12" w:space="0" w:color="A1E2F9"/>
            </w:tcBorders>
          </w:tcPr>
          <w:p w14:paraId="5C19EEC4" w14:textId="77777777" w:rsidR="00B534CD" w:rsidRPr="00C4084C" w:rsidRDefault="00B534CD">
            <w:pPr>
              <w:rPr>
                <w:rFonts w:eastAsia="Calibri" w:cs="Arial"/>
                <w:b w:val="0"/>
              </w:rPr>
            </w:pPr>
            <w:r w:rsidRPr="00C4084C">
              <w:rPr>
                <w:rFonts w:eastAsia="Calibri" w:cs="Arial"/>
              </w:rPr>
              <w:t>Have time off</w:t>
            </w:r>
          </w:p>
        </w:tc>
        <w:tc>
          <w:tcPr>
            <w:tcW w:w="1616" w:type="dxa"/>
            <w:tcBorders>
              <w:top w:val="single" w:sz="4" w:space="0" w:color="89DAF7"/>
              <w:left w:val="single" w:sz="12" w:space="0" w:color="A1E2F9"/>
              <w:bottom w:val="single" w:sz="4" w:space="0" w:color="89DAF7"/>
              <w:right w:val="single" w:sz="4" w:space="0" w:color="D0F1FC"/>
            </w:tcBorders>
          </w:tcPr>
          <w:p w14:paraId="69E9AC31" w14:textId="77777777" w:rsidR="00B534CD" w:rsidRPr="00C4084C" w:rsidRDefault="00B534CD">
            <w:pPr>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3.9</w:t>
            </w:r>
          </w:p>
        </w:tc>
        <w:tc>
          <w:tcPr>
            <w:tcW w:w="1616" w:type="dxa"/>
            <w:tcBorders>
              <w:top w:val="single" w:sz="4" w:space="0" w:color="89DAF7"/>
              <w:left w:val="single" w:sz="4" w:space="0" w:color="D0F1FC"/>
              <w:bottom w:val="single" w:sz="4" w:space="0" w:color="89DAF7"/>
              <w:right w:val="single" w:sz="4" w:space="0" w:color="D0F1FC"/>
            </w:tcBorders>
          </w:tcPr>
          <w:p w14:paraId="447FCF95" w14:textId="77777777" w:rsidR="00B534CD" w:rsidRPr="00C4084C" w:rsidRDefault="00B534CD">
            <w:pPr>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3.0</w:t>
            </w:r>
          </w:p>
        </w:tc>
        <w:tc>
          <w:tcPr>
            <w:tcW w:w="1616" w:type="dxa"/>
            <w:tcBorders>
              <w:top w:val="single" w:sz="4" w:space="0" w:color="89DAF7"/>
              <w:left w:val="single" w:sz="4" w:space="0" w:color="D0F1FC"/>
              <w:bottom w:val="single" w:sz="4" w:space="0" w:color="89DAF7"/>
              <w:right w:val="single" w:sz="4" w:space="0" w:color="D0F1FC"/>
            </w:tcBorders>
          </w:tcPr>
          <w:p w14:paraId="764B63AA" w14:textId="77777777" w:rsidR="00B534CD" w:rsidRPr="00C4084C" w:rsidRDefault="00B534CD">
            <w:pPr>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2.5</w:t>
            </w:r>
          </w:p>
        </w:tc>
        <w:tc>
          <w:tcPr>
            <w:tcW w:w="1616" w:type="dxa"/>
            <w:tcBorders>
              <w:top w:val="single" w:sz="4" w:space="0" w:color="89DAF7"/>
              <w:left w:val="single" w:sz="4" w:space="0" w:color="D0F1FC"/>
              <w:bottom w:val="single" w:sz="4" w:space="0" w:color="89DAF7"/>
            </w:tcBorders>
          </w:tcPr>
          <w:p w14:paraId="453B571C" w14:textId="77777777" w:rsidR="00B534CD" w:rsidRPr="00C4084C" w:rsidRDefault="00B534CD">
            <w:pPr>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4.0</w:t>
            </w:r>
          </w:p>
        </w:tc>
      </w:tr>
      <w:tr w:rsidR="00B534CD" w:rsidRPr="00C4084C" w14:paraId="0EB5D16D" w14:textId="77777777" w:rsidTr="00B53FB4">
        <w:trPr>
          <w:cantSplit/>
          <w:trHeight w:val="540"/>
        </w:trPr>
        <w:tc>
          <w:tcPr>
            <w:cnfStyle w:val="001000000000" w:firstRow="0" w:lastRow="0" w:firstColumn="1" w:lastColumn="0" w:oddVBand="0" w:evenVBand="0" w:oddHBand="0" w:evenHBand="0" w:firstRowFirstColumn="0" w:firstRowLastColumn="0" w:lastRowFirstColumn="0" w:lastRowLastColumn="0"/>
            <w:tcW w:w="2552" w:type="dxa"/>
            <w:tcBorders>
              <w:top w:val="single" w:sz="8" w:space="0" w:color="A1E2F9"/>
              <w:bottom w:val="nil"/>
              <w:right w:val="single" w:sz="12" w:space="0" w:color="A1E2F9"/>
            </w:tcBorders>
          </w:tcPr>
          <w:p w14:paraId="0C90E77D" w14:textId="77777777" w:rsidR="00B534CD" w:rsidRPr="00C4084C" w:rsidRDefault="00B534CD">
            <w:pPr>
              <w:rPr>
                <w:rFonts w:eastAsia="Calibri" w:cs="Arial"/>
                <w:b w:val="0"/>
              </w:rPr>
            </w:pPr>
            <w:r w:rsidRPr="00C4084C">
              <w:rPr>
                <w:rFonts w:eastAsia="Calibri" w:cs="Arial"/>
              </w:rPr>
              <w:t>Other or don’t know</w:t>
            </w:r>
          </w:p>
        </w:tc>
        <w:tc>
          <w:tcPr>
            <w:tcW w:w="1616" w:type="dxa"/>
            <w:tcBorders>
              <w:top w:val="single" w:sz="4" w:space="0" w:color="89DAF7"/>
              <w:left w:val="single" w:sz="12" w:space="0" w:color="A1E2F9"/>
              <w:bottom w:val="nil"/>
              <w:right w:val="single" w:sz="4" w:space="0" w:color="D0F1FC"/>
            </w:tcBorders>
          </w:tcPr>
          <w:p w14:paraId="2E0D5E3C" w14:textId="77777777" w:rsidR="00B534CD" w:rsidRPr="00C4084C" w:rsidRDefault="00B534CD">
            <w:pPr>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14.7</w:t>
            </w:r>
          </w:p>
        </w:tc>
        <w:tc>
          <w:tcPr>
            <w:tcW w:w="1616" w:type="dxa"/>
            <w:tcBorders>
              <w:top w:val="single" w:sz="4" w:space="0" w:color="89DAF7"/>
              <w:left w:val="single" w:sz="4" w:space="0" w:color="D0F1FC"/>
              <w:bottom w:val="nil"/>
              <w:right w:val="single" w:sz="4" w:space="0" w:color="D0F1FC"/>
            </w:tcBorders>
          </w:tcPr>
          <w:p w14:paraId="51E4E3A3" w14:textId="77777777" w:rsidR="00B534CD" w:rsidRPr="00C4084C" w:rsidRDefault="00B534CD">
            <w:pPr>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12.6</w:t>
            </w:r>
          </w:p>
        </w:tc>
        <w:tc>
          <w:tcPr>
            <w:tcW w:w="1616" w:type="dxa"/>
            <w:tcBorders>
              <w:top w:val="single" w:sz="4" w:space="0" w:color="89DAF7"/>
              <w:left w:val="single" w:sz="4" w:space="0" w:color="D0F1FC"/>
              <w:bottom w:val="nil"/>
              <w:right w:val="single" w:sz="4" w:space="0" w:color="D0F1FC"/>
            </w:tcBorders>
          </w:tcPr>
          <w:p w14:paraId="54FDB4C3" w14:textId="77777777" w:rsidR="00B534CD" w:rsidRPr="00C4084C" w:rsidRDefault="00B534CD">
            <w:pPr>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10.9</w:t>
            </w:r>
          </w:p>
        </w:tc>
        <w:tc>
          <w:tcPr>
            <w:tcW w:w="1616" w:type="dxa"/>
            <w:tcBorders>
              <w:top w:val="single" w:sz="4" w:space="0" w:color="89DAF7"/>
              <w:left w:val="single" w:sz="4" w:space="0" w:color="D0F1FC"/>
              <w:bottom w:val="nil"/>
            </w:tcBorders>
          </w:tcPr>
          <w:p w14:paraId="240C80CC" w14:textId="77777777" w:rsidR="00B534CD" w:rsidRPr="00C4084C" w:rsidRDefault="00B534CD">
            <w:pPr>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8.5</w:t>
            </w:r>
          </w:p>
        </w:tc>
      </w:tr>
    </w:tbl>
    <w:p w14:paraId="2A6D0A68" w14:textId="03594DFE" w:rsidR="00EC7EA3" w:rsidRPr="00C4084C" w:rsidRDefault="00D27626" w:rsidP="00385E5A">
      <w:pPr>
        <w:pStyle w:val="Source"/>
      </w:pPr>
      <w:r w:rsidRPr="00C4084C">
        <w:rPr>
          <w:rStyle w:val="ui-provider"/>
        </w:rPr>
        <w:t>Source: Department of Education</w:t>
      </w:r>
      <w:r w:rsidR="000169B0" w:rsidRPr="00C4084C">
        <w:rPr>
          <w:rStyle w:val="ui-provider"/>
        </w:rPr>
        <w:t>,</w:t>
      </w:r>
      <w:r w:rsidRPr="00C4084C">
        <w:rPr>
          <w:rStyle w:val="ui-provider"/>
        </w:rPr>
        <w:t xml:space="preserve"> </w:t>
      </w:r>
      <w:r w:rsidR="007E382E" w:rsidRPr="00856BFB">
        <w:rPr>
          <w:rStyle w:val="ui-provider"/>
          <w:i/>
          <w:iCs/>
        </w:rPr>
        <w:t>Q</w:t>
      </w:r>
      <w:r w:rsidR="000169B0" w:rsidRPr="00856BFB">
        <w:rPr>
          <w:rStyle w:val="ui-provider"/>
          <w:i/>
          <w:iCs/>
        </w:rPr>
        <w:t>uality Indicators for Learning and Teaching</w:t>
      </w:r>
      <w:r w:rsidR="00657430" w:rsidRPr="00856BFB">
        <w:rPr>
          <w:rStyle w:val="ui-provider"/>
          <w:i/>
          <w:iCs/>
        </w:rPr>
        <w:t xml:space="preserve"> </w:t>
      </w:r>
      <w:r w:rsidR="000169B0" w:rsidRPr="00856BFB">
        <w:rPr>
          <w:rStyle w:val="ui-provider"/>
          <w:i/>
          <w:iCs/>
        </w:rPr>
        <w:t>(</w:t>
      </w:r>
      <w:r w:rsidR="007E382E" w:rsidRPr="00856BFB">
        <w:rPr>
          <w:rStyle w:val="ui-provider"/>
          <w:i/>
          <w:iCs/>
        </w:rPr>
        <w:t>QILT</w:t>
      </w:r>
      <w:r w:rsidR="000169B0" w:rsidRPr="00856BFB">
        <w:rPr>
          <w:rStyle w:val="ui-provider"/>
          <w:i/>
          <w:iCs/>
        </w:rPr>
        <w:t>)</w:t>
      </w:r>
      <w:r w:rsidR="007E382E" w:rsidRPr="00856BFB">
        <w:rPr>
          <w:rStyle w:val="ui-provider"/>
          <w:i/>
          <w:iCs/>
        </w:rPr>
        <w:t xml:space="preserve"> </w:t>
      </w:r>
      <w:r w:rsidRPr="00856BFB">
        <w:rPr>
          <w:rStyle w:val="ui-provider"/>
          <w:i/>
          <w:iCs/>
        </w:rPr>
        <w:t>LSAY Y15 cohort data</w:t>
      </w:r>
      <w:r w:rsidR="007E382E" w:rsidRPr="00C4084C">
        <w:rPr>
          <w:rStyle w:val="ui-provider"/>
        </w:rPr>
        <w:t xml:space="preserve"> [unpublished data</w:t>
      </w:r>
      <w:r w:rsidR="000169B0" w:rsidRPr="00C4084C">
        <w:rPr>
          <w:rStyle w:val="ui-provider"/>
        </w:rPr>
        <w:t>], (Canberra: 2016).</w:t>
      </w:r>
    </w:p>
    <w:p w14:paraId="42230453" w14:textId="6B3A8006" w:rsidR="00D27626" w:rsidRPr="00C4084C" w:rsidRDefault="00D27626" w:rsidP="00B1626C">
      <w:pPr>
        <w:pStyle w:val="Heading6"/>
      </w:pPr>
      <w:r w:rsidRPr="00C4084C">
        <w:t xml:space="preserve">Outreach is an important first step to widening </w:t>
      </w:r>
      <w:proofErr w:type="gramStart"/>
      <w:r w:rsidRPr="00C4084C">
        <w:t>participation</w:t>
      </w:r>
      <w:proofErr w:type="gramEnd"/>
    </w:p>
    <w:p w14:paraId="5469B1A1" w14:textId="79EA5078" w:rsidR="00D27626" w:rsidRPr="00C4084C" w:rsidRDefault="00D27626" w:rsidP="00856BFB">
      <w:r w:rsidRPr="00C4084C">
        <w:t xml:space="preserve">Universities can help to widen participation through outreach into schools and communities to raise individuals’ awareness of higher education as a real, </w:t>
      </w:r>
      <w:proofErr w:type="gramStart"/>
      <w:r w:rsidRPr="00C4084C">
        <w:t>relevant</w:t>
      </w:r>
      <w:proofErr w:type="gramEnd"/>
      <w:r w:rsidRPr="00C4084C">
        <w:t xml:space="preserve"> and available option for their future. To make meaningful changes to levels of higher education participation in the years to come, outreach needs to start when people are first forming career interests.</w:t>
      </w:r>
      <w:r w:rsidRPr="00C4084C">
        <w:rPr>
          <w:rStyle w:val="FootnoteReference"/>
          <w:rFonts w:cs="Arial"/>
          <w:color w:val="00001A"/>
        </w:rPr>
        <w:footnoteReference w:id="211"/>
      </w:r>
      <w:r w:rsidRPr="00C4084C">
        <w:t xml:space="preserve"> </w:t>
      </w:r>
    </w:p>
    <w:p w14:paraId="75D04048" w14:textId="24FB9DB5" w:rsidR="00D27626" w:rsidRPr="00C4084C" w:rsidRDefault="00D27626" w:rsidP="00856BFB">
      <w:bookmarkStart w:id="633" w:name="_Hlk147416502"/>
      <w:r w:rsidRPr="00C4084C">
        <w:t xml:space="preserve">Currently, dedicated </w:t>
      </w:r>
      <w:r w:rsidR="00D35660" w:rsidRPr="00C4084C">
        <w:t>g</w:t>
      </w:r>
      <w:r w:rsidRPr="00C4084C">
        <w:t xml:space="preserve">overnment funding to support outreach into schools and communities is through the </w:t>
      </w:r>
      <w:r w:rsidR="001844C4" w:rsidRPr="00C4084C">
        <w:t xml:space="preserve">Higher Education Participation and </w:t>
      </w:r>
      <w:r w:rsidRPr="00C4084C">
        <w:t>Partnerships Program (HEPPP</w:t>
      </w:r>
      <w:r w:rsidR="001844C4" w:rsidRPr="00C4084C">
        <w:t>)</w:t>
      </w:r>
      <w:r w:rsidRPr="00C4084C">
        <w:t xml:space="preserve"> and (to a lesser extent) the Regional Partnerships Project Pool Program (RPPPP). The HEPPP allocates funding ($145.2 million in 2023) to Table A higher education providers for activities across the student life cycle (pre-access, access, participation, </w:t>
      </w:r>
      <w:proofErr w:type="gramStart"/>
      <w:r w:rsidRPr="00C4084C">
        <w:t>attainment</w:t>
      </w:r>
      <w:proofErr w:type="gramEnd"/>
      <w:r w:rsidRPr="00C4084C">
        <w:t xml:space="preserve"> and transition out) based on their proportion of domestic undergraduate students from low SES backgrounds, First Nations students, and regional and remote students. Approximately 900 HEPPP-funded activities are delivered each year, including one-off school visits, textbook vouchers, </w:t>
      </w:r>
      <w:proofErr w:type="gramStart"/>
      <w:r w:rsidRPr="00C4084C">
        <w:t>scholarships</w:t>
      </w:r>
      <w:proofErr w:type="gramEnd"/>
      <w:r w:rsidRPr="00C4084C">
        <w:t xml:space="preserve"> and tailored mentoring programs. </w:t>
      </w:r>
      <w:r w:rsidR="00120700" w:rsidRPr="00C4084C">
        <w:t xml:space="preserve">Universities </w:t>
      </w:r>
      <w:r w:rsidRPr="00C4084C">
        <w:t>primarily use HEPPP funding for initiatives at the Participation and Pre-Access stages (together constituting over 65% of primary target of expenditure in 2022).</w:t>
      </w:r>
      <w:r w:rsidR="008922A7" w:rsidRPr="00C4084C">
        <w:rPr>
          <w:rStyle w:val="FootnoteReference"/>
        </w:rPr>
        <w:footnoteReference w:id="212"/>
      </w:r>
      <w:r w:rsidRPr="00C4084C">
        <w:t xml:space="preserve"> </w:t>
      </w:r>
      <w:bookmarkEnd w:id="633"/>
    </w:p>
    <w:p w14:paraId="513EFF58" w14:textId="49C8F922" w:rsidR="00D27626" w:rsidRPr="00C4084C" w:rsidRDefault="00D27626" w:rsidP="00856BFB">
      <w:r w:rsidRPr="00C4084C">
        <w:t xml:space="preserve">Though it is difficult to isolate the impact of outreach on student participation in higher education, evaluation of the HEPPP suggests a positive effect on student applications and enrolments, even if the size </w:t>
      </w:r>
      <w:r w:rsidRPr="00C4084C">
        <w:lastRenderedPageBreak/>
        <w:t>of this impact is difficult to quantify.</w:t>
      </w:r>
      <w:r w:rsidRPr="00C4084C">
        <w:rPr>
          <w:rStyle w:val="FootnoteReference"/>
          <w:rFonts w:cs="Arial"/>
        </w:rPr>
        <w:footnoteReference w:id="213"/>
      </w:r>
      <w:r w:rsidRPr="00C4084C">
        <w:t xml:space="preserve"> Recent work by the </w:t>
      </w:r>
      <w:r w:rsidRPr="00C4084C">
        <w:rPr>
          <w:rFonts w:eastAsia="Arial"/>
        </w:rPr>
        <w:t>Institute for Social Science Research (</w:t>
      </w:r>
      <w:r w:rsidRPr="00C4084C">
        <w:t>ISSR) suggests there is a moderate level of evidence the HEPPP has positive effects for students both in terms of immediate outcomes (e.g. confidence) and some primary outcomes (e.g. first year retention), but without more robust evidence it is difficult to assess whether equity programs are meeting their objectives.</w:t>
      </w:r>
      <w:r w:rsidRPr="00C4084C">
        <w:rPr>
          <w:rStyle w:val="FootnoteReference"/>
        </w:rPr>
        <w:footnoteReference w:id="214"/>
      </w:r>
      <w:r w:rsidR="00135272" w:rsidRPr="00C4084C">
        <w:t xml:space="preserve"> </w:t>
      </w:r>
    </w:p>
    <w:p w14:paraId="32DD352D" w14:textId="6F460065" w:rsidR="00135272" w:rsidRPr="00C4084C" w:rsidRDefault="00135272" w:rsidP="00856BFB">
      <w:r w:rsidRPr="00C4084C">
        <w:t>Similarly</w:t>
      </w:r>
      <w:r w:rsidR="7B6EC8BC" w:rsidRPr="00C4084C">
        <w:t>,</w:t>
      </w:r>
      <w:r w:rsidRPr="00C4084C">
        <w:t xml:space="preserve"> the Indigenous Student Success Program (ISSP) provides supplementary funding to universities to help students take on the demands of university and succeed. However, these programs are often modest, with limited transparency in the use of funding from the perspective of students.</w:t>
      </w:r>
    </w:p>
    <w:p w14:paraId="5F2ECD2E" w14:textId="5C90D759" w:rsidR="00D27626" w:rsidRPr="00C4084C" w:rsidRDefault="00D27626" w:rsidP="00856BFB">
      <w:pPr>
        <w:rPr>
          <w:b/>
          <w:bCs/>
        </w:rPr>
      </w:pPr>
      <w:r w:rsidRPr="00C4084C">
        <w:t>Despite this, academic evidence suggests indicators of best practice for successful outreach projects</w:t>
      </w:r>
      <w:r w:rsidR="004F3490" w:rsidRPr="00C4084C">
        <w:t xml:space="preserve"> </w:t>
      </w:r>
      <w:r w:rsidRPr="00C4084C">
        <w:t>include:</w:t>
      </w:r>
      <w:r w:rsidR="0089479C" w:rsidRPr="00C4084C">
        <w:rPr>
          <w:rStyle w:val="FootnoteReference"/>
          <w:rFonts w:cs="Arial"/>
        </w:rPr>
        <w:footnoteReference w:id="215"/>
      </w:r>
    </w:p>
    <w:p w14:paraId="218241BE" w14:textId="77777777" w:rsidR="00D27626" w:rsidRPr="00C4084C" w:rsidRDefault="00D27626" w:rsidP="00AD4DA3">
      <w:pPr>
        <w:pStyle w:val="ListBullet"/>
      </w:pPr>
      <w:r w:rsidRPr="00C4084C">
        <w:t>clearly defined objectives and a strong evidence base</w:t>
      </w:r>
    </w:p>
    <w:p w14:paraId="1D20DC4F" w14:textId="77777777" w:rsidR="00D27626" w:rsidRPr="00C4084C" w:rsidRDefault="00D27626" w:rsidP="00AD4DA3">
      <w:pPr>
        <w:pStyle w:val="ListBullet"/>
      </w:pPr>
      <w:r w:rsidRPr="00C4084C">
        <w:t xml:space="preserve">tailoring programs to students, </w:t>
      </w:r>
      <w:proofErr w:type="gramStart"/>
      <w:r w:rsidRPr="00C4084C">
        <w:t>schools</w:t>
      </w:r>
      <w:proofErr w:type="gramEnd"/>
      <w:r w:rsidRPr="00C4084C">
        <w:t xml:space="preserve"> and communities</w:t>
      </w:r>
    </w:p>
    <w:p w14:paraId="10B084B7" w14:textId="77777777" w:rsidR="00D27626" w:rsidRPr="00C4084C" w:rsidRDefault="00D27626" w:rsidP="00AD4DA3">
      <w:pPr>
        <w:pStyle w:val="ListBullet"/>
      </w:pPr>
      <w:r w:rsidRPr="00C4084C">
        <w:t xml:space="preserve">working in partnership to build positive educational cultures within schools and </w:t>
      </w:r>
      <w:proofErr w:type="gramStart"/>
      <w:r w:rsidRPr="00C4084C">
        <w:t>communities</w:t>
      </w:r>
      <w:proofErr w:type="gramEnd"/>
    </w:p>
    <w:p w14:paraId="5EE014EE" w14:textId="77777777" w:rsidR="00D27626" w:rsidRPr="00C4084C" w:rsidRDefault="00D27626" w:rsidP="00AD4DA3">
      <w:pPr>
        <w:pStyle w:val="ListBullet"/>
      </w:pPr>
      <w:r w:rsidRPr="00C4084C">
        <w:t>developing effective transitions and pathways</w:t>
      </w:r>
    </w:p>
    <w:p w14:paraId="558FCDFE" w14:textId="77777777" w:rsidR="00D27626" w:rsidRPr="00C4084C" w:rsidRDefault="00D27626" w:rsidP="00AD4DA3">
      <w:pPr>
        <w:pStyle w:val="ListBullet"/>
      </w:pPr>
      <w:r w:rsidRPr="00C4084C">
        <w:t xml:space="preserve">demystifying university culture and cultivating a sense of </w:t>
      </w:r>
      <w:proofErr w:type="gramStart"/>
      <w:r w:rsidRPr="00C4084C">
        <w:t>belonging</w:t>
      </w:r>
      <w:proofErr w:type="gramEnd"/>
    </w:p>
    <w:p w14:paraId="59F41A05" w14:textId="137DBA19" w:rsidR="00D27626" w:rsidRPr="00C4084C" w:rsidRDefault="00D27626" w:rsidP="00AD4DA3">
      <w:pPr>
        <w:pStyle w:val="ListBullet"/>
      </w:pPr>
      <w:r w:rsidRPr="00C4084C">
        <w:t>evaluation of impact.</w:t>
      </w:r>
    </w:p>
    <w:p w14:paraId="04971C85" w14:textId="7CD91678" w:rsidR="00D27626" w:rsidRPr="00C4084C" w:rsidRDefault="00D27626" w:rsidP="007B0775">
      <w:pPr>
        <w:pStyle w:val="Heading5"/>
      </w:pPr>
      <w:r w:rsidRPr="00C4084C">
        <w:t>Supporting outreach through dedicated funding</w:t>
      </w:r>
    </w:p>
    <w:p w14:paraId="342DC09B" w14:textId="7D0B7F53" w:rsidR="00D27626" w:rsidRPr="00C4084C" w:rsidRDefault="00D27626" w:rsidP="00D275FF">
      <w:r w:rsidRPr="00C4084C">
        <w:t xml:space="preserve">Introducing a student needs-based funding </w:t>
      </w:r>
      <w:r w:rsidR="008938D6" w:rsidRPr="00C4084C">
        <w:t xml:space="preserve">model </w:t>
      </w:r>
      <w:r w:rsidRPr="00C4084C">
        <w:t xml:space="preserve">with equity at its heart means existing equity funding programs such as the HEPPP </w:t>
      </w:r>
      <w:r w:rsidR="00135272" w:rsidRPr="00C4084C">
        <w:t>and ISSP</w:t>
      </w:r>
      <w:r w:rsidRPr="00C4084C">
        <w:t xml:space="preserve"> should also evolve. The Review proposes a new student needs-based </w:t>
      </w:r>
      <w:r w:rsidR="003333AC" w:rsidRPr="00C4084C">
        <w:t xml:space="preserve">university </w:t>
      </w:r>
      <w:r w:rsidRPr="00C4084C">
        <w:t xml:space="preserve">funding </w:t>
      </w:r>
      <w:r w:rsidR="008938D6" w:rsidRPr="00C4084C">
        <w:t xml:space="preserve">model </w:t>
      </w:r>
      <w:r w:rsidRPr="00C4084C">
        <w:t xml:space="preserve">that focuses on supporting students to complete their qualification successfully, </w:t>
      </w:r>
      <w:r w:rsidR="00112F16">
        <w:t>and</w:t>
      </w:r>
      <w:r w:rsidR="00112F16" w:rsidRPr="00C4084C">
        <w:t xml:space="preserve"> </w:t>
      </w:r>
      <w:r w:rsidRPr="00C4084C">
        <w:t>recognises the additional costs of doing so</w:t>
      </w:r>
      <w:r w:rsidR="003333AC" w:rsidRPr="00C4084C">
        <w:t xml:space="preserve"> (see </w:t>
      </w:r>
      <w:r w:rsidR="003333AC" w:rsidRPr="00C4084C">
        <w:rPr>
          <w:i/>
          <w:iCs/>
        </w:rPr>
        <w:fldChar w:fldCharType="begin"/>
      </w:r>
      <w:r w:rsidR="003333AC" w:rsidRPr="00C4084C">
        <w:rPr>
          <w:i/>
          <w:iCs/>
        </w:rPr>
        <w:instrText xml:space="preserve"> REF _Ref153105771 \r \h </w:instrText>
      </w:r>
      <w:r w:rsidR="001B5612" w:rsidRPr="00C4084C">
        <w:rPr>
          <w:i/>
          <w:iCs/>
        </w:rPr>
        <w:instrText xml:space="preserve"> \* MERGEFORMAT </w:instrText>
      </w:r>
      <w:r w:rsidR="003333AC" w:rsidRPr="00C4084C">
        <w:rPr>
          <w:i/>
          <w:iCs/>
        </w:rPr>
      </w:r>
      <w:r w:rsidR="003333AC" w:rsidRPr="00C4084C">
        <w:rPr>
          <w:i/>
          <w:iCs/>
        </w:rPr>
        <w:fldChar w:fldCharType="separate"/>
      </w:r>
      <w:r w:rsidR="00467B4F">
        <w:rPr>
          <w:i/>
          <w:iCs/>
        </w:rPr>
        <w:t xml:space="preserve">Chapter 8 – </w:t>
      </w:r>
      <w:r w:rsidR="003333AC" w:rsidRPr="00C4084C">
        <w:rPr>
          <w:i/>
          <w:iCs/>
        </w:rPr>
        <w:fldChar w:fldCharType="end"/>
      </w:r>
      <w:r w:rsidR="003333AC" w:rsidRPr="00C4084C">
        <w:rPr>
          <w:i/>
          <w:iCs/>
        </w:rPr>
        <w:fldChar w:fldCharType="begin"/>
      </w:r>
      <w:r w:rsidR="003333AC" w:rsidRPr="00C4084C">
        <w:rPr>
          <w:i/>
          <w:iCs/>
        </w:rPr>
        <w:instrText xml:space="preserve"> REF _Ref153105761 \h </w:instrText>
      </w:r>
      <w:r w:rsidR="001B5612" w:rsidRPr="00C4084C">
        <w:rPr>
          <w:i/>
          <w:iCs/>
        </w:rPr>
        <w:instrText xml:space="preserve"> \* MERGEFORMAT </w:instrText>
      </w:r>
      <w:r w:rsidR="003333AC" w:rsidRPr="00C4084C">
        <w:rPr>
          <w:i/>
          <w:iCs/>
        </w:rPr>
      </w:r>
      <w:r w:rsidR="003333AC" w:rsidRPr="00C4084C">
        <w:rPr>
          <w:i/>
          <w:iCs/>
        </w:rPr>
        <w:fldChar w:fldCharType="separate"/>
      </w:r>
      <w:r w:rsidR="00467B4F" w:rsidRPr="00467B4F">
        <w:rPr>
          <w:i/>
          <w:iCs/>
        </w:rPr>
        <w:t>A new funding model to underpin growth and quality</w:t>
      </w:r>
      <w:r w:rsidR="003333AC" w:rsidRPr="00C4084C">
        <w:rPr>
          <w:i/>
          <w:iCs/>
        </w:rPr>
        <w:fldChar w:fldCharType="end"/>
      </w:r>
      <w:r w:rsidR="003333AC" w:rsidRPr="00C4084C">
        <w:t>)</w:t>
      </w:r>
      <w:r w:rsidRPr="00C4084C">
        <w:t>.</w:t>
      </w:r>
    </w:p>
    <w:p w14:paraId="5A42CD2E" w14:textId="3E4E4A0F" w:rsidR="00D27626" w:rsidRPr="00C4084C" w:rsidRDefault="00D27626" w:rsidP="00D275FF">
      <w:r w:rsidRPr="00C4084C">
        <w:t xml:space="preserve">Student needs-based funding would be spent by universities on student-centred academic and support services, inclusive course design and pedagogies, and programs to support improved outcomes for students from </w:t>
      </w:r>
      <w:r w:rsidR="00D7545F" w:rsidRPr="00C4084C">
        <w:t>under-represented</w:t>
      </w:r>
      <w:r w:rsidRPr="00C4084C">
        <w:t xml:space="preserve"> cohorts, such as career planning and work-integrated learning. This student needs-based funding would support students once they enter higher education. The Review</w:t>
      </w:r>
      <w:r w:rsidRPr="00C4084C" w:rsidDel="00BA6EA2">
        <w:t xml:space="preserve"> </w:t>
      </w:r>
      <w:r w:rsidR="00BA6EA2" w:rsidRPr="00C4084C">
        <w:t>recommends</w:t>
      </w:r>
      <w:r w:rsidRPr="00C4084C">
        <w:t xml:space="preserve"> that a separate, dedicated outreach </w:t>
      </w:r>
      <w:r w:rsidR="00F94C99">
        <w:t>program</w:t>
      </w:r>
      <w:r w:rsidR="00F94C99" w:rsidRPr="00C4084C">
        <w:t xml:space="preserve"> </w:t>
      </w:r>
      <w:r w:rsidRPr="00C4084C">
        <w:t>be developed to deliver a more targeted, place-</w:t>
      </w:r>
      <w:proofErr w:type="gramStart"/>
      <w:r w:rsidRPr="00C4084C">
        <w:t>based</w:t>
      </w:r>
      <w:proofErr w:type="gramEnd"/>
      <w:r w:rsidRPr="00C4084C">
        <w:t xml:space="preserve"> and community-focused approach to outreach and other initiatives at the pre-access stage</w:t>
      </w:r>
      <w:r w:rsidR="006E1A77" w:rsidRPr="00C4084C">
        <w:t xml:space="preserve"> (see Recommendation </w:t>
      </w:r>
      <w:r w:rsidR="00C40674" w:rsidRPr="00C4084C">
        <w:t>11</w:t>
      </w:r>
      <w:r w:rsidR="006E1A77" w:rsidRPr="00C4084C">
        <w:t>)</w:t>
      </w:r>
      <w:r w:rsidRPr="00C4084C">
        <w:t>.</w:t>
      </w:r>
    </w:p>
    <w:p w14:paraId="4FC63381" w14:textId="3386EC8E" w:rsidR="00D27626" w:rsidRPr="00C4084C" w:rsidRDefault="00D27626" w:rsidP="00D275FF">
      <w:r w:rsidRPr="00C4084C">
        <w:t>Work undertaken by the ISSR found that current funding settings encourage universities to compete</w:t>
      </w:r>
      <w:r w:rsidR="00112F16">
        <w:t>,</w:t>
      </w:r>
      <w:r w:rsidRPr="00C4084C">
        <w:t xml:space="preserve"> where collaboration and coordination could lead to better system-level outcomes.</w:t>
      </w:r>
      <w:r w:rsidR="00CD1D3D">
        <w:rPr>
          <w:rStyle w:val="FootnoteReference"/>
        </w:rPr>
        <w:footnoteReference w:id="216"/>
      </w:r>
      <w:r w:rsidRPr="00C4084C">
        <w:t xml:space="preserve"> A new </w:t>
      </w:r>
      <w:r w:rsidR="00F94C99">
        <w:t>program</w:t>
      </w:r>
      <w:r w:rsidR="00F94C99" w:rsidRPr="00C4084C">
        <w:t xml:space="preserve"> </w:t>
      </w:r>
      <w:r w:rsidR="00976FEF" w:rsidRPr="00C4084C">
        <w:t xml:space="preserve">should </w:t>
      </w:r>
      <w:r w:rsidRPr="00C4084C">
        <w:t>incentivise collaborative consortia-led or regionally</w:t>
      </w:r>
      <w:r w:rsidR="00112F16">
        <w:t xml:space="preserve"> </w:t>
      </w:r>
      <w:r w:rsidRPr="00C4084C">
        <w:t xml:space="preserve">networked approaches that separate outreach from marketing and student recruitment and prioritise widespread coverage of initiatives across Australia. </w:t>
      </w:r>
    </w:p>
    <w:p w14:paraId="01B2B4E2" w14:textId="1C21CF06" w:rsidR="00D27626" w:rsidRPr="00C4084C" w:rsidRDefault="00D27626" w:rsidP="00D275FF">
      <w:r w:rsidRPr="00C4084C">
        <w:lastRenderedPageBreak/>
        <w:t xml:space="preserve">A new </w:t>
      </w:r>
      <w:r w:rsidR="00F94C99">
        <w:t>program</w:t>
      </w:r>
      <w:r w:rsidR="00F94C99" w:rsidRPr="00C4084C">
        <w:t xml:space="preserve"> </w:t>
      </w:r>
      <w:r w:rsidRPr="00C4084C">
        <w:t xml:space="preserve">could better target participation and aspiration-enabling initiatives to areas of low attainment. </w:t>
      </w:r>
      <w:bookmarkStart w:id="634" w:name="_Hlk147418191"/>
      <w:r w:rsidRPr="00C4084C">
        <w:t>An increasing body of research highlights that strong collaboration between universities and communities is a feature of effective outreach. Research particularly recognises the value of community-centred strategies that acknowledge the influence of communities and families in shaping post-school decision making and the futures of young people.</w:t>
      </w:r>
    </w:p>
    <w:p w14:paraId="3FD1ED7C" w14:textId="580FC8C2" w:rsidR="00D27626" w:rsidRPr="00C4084C" w:rsidRDefault="00F94C99" w:rsidP="00D275FF">
      <w:r>
        <w:t>E</w:t>
      </w:r>
      <w:r w:rsidR="00D27626" w:rsidRPr="00C4084C">
        <w:t xml:space="preserve">vidence suggests place-based approaches, which are tailored to the </w:t>
      </w:r>
      <w:proofErr w:type="gramStart"/>
      <w:r w:rsidR="00D27626" w:rsidRPr="00C4084C">
        <w:t>particular circumstances</w:t>
      </w:r>
      <w:proofErr w:type="gramEnd"/>
      <w:r w:rsidR="00D27626" w:rsidRPr="00C4084C">
        <w:t xml:space="preserve"> of a place and involve people from different sectors across the community, could </w:t>
      </w:r>
      <w:r w:rsidR="004C50A9" w:rsidRPr="00C4084C">
        <w:t xml:space="preserve">also help to </w:t>
      </w:r>
      <w:r w:rsidR="00D27626" w:rsidRPr="00C4084C">
        <w:t>effectively target under</w:t>
      </w:r>
      <w:r w:rsidR="00112F16">
        <w:t>-</w:t>
      </w:r>
      <w:r w:rsidR="00D27626" w:rsidRPr="00C4084C">
        <w:t>representation in higher education.</w:t>
      </w:r>
      <w:r w:rsidR="00D27626" w:rsidRPr="00C4084C">
        <w:rPr>
          <w:rStyle w:val="FootnoteReference"/>
          <w:rFonts w:cs="Arial"/>
          <w:color w:val="404040" w:themeColor="text1" w:themeTint="BF"/>
        </w:rPr>
        <w:t xml:space="preserve"> </w:t>
      </w:r>
      <w:r w:rsidR="004C50A9" w:rsidRPr="00C4084C">
        <w:rPr>
          <w:rStyle w:val="FootnoteReference"/>
          <w:rFonts w:cs="Arial"/>
          <w:color w:val="404040" w:themeColor="text1" w:themeTint="BF"/>
        </w:rPr>
        <w:footnoteReference w:id="217"/>
      </w:r>
      <w:r w:rsidR="00D27626" w:rsidRPr="00C4084C">
        <w:t xml:space="preserve"> Outreach is not one size fits all. Place-based approaches could employ context-specific strategies matched to local industries</w:t>
      </w:r>
      <w:r w:rsidR="00112F16">
        <w:t>,</w:t>
      </w:r>
      <w:r w:rsidR="00D27626" w:rsidRPr="00C4084C">
        <w:t xml:space="preserve"> and tailor initiatives to address the perceived and actual barriers of specific cohorts.</w:t>
      </w:r>
      <w:r w:rsidR="00D27626" w:rsidRPr="00C4084C">
        <w:rPr>
          <w:rStyle w:val="FootnoteReference"/>
          <w:rFonts w:cs="Arial"/>
        </w:rPr>
        <w:footnoteReference w:id="218"/>
      </w:r>
      <w:r w:rsidR="00D27626" w:rsidRPr="00C4084C">
        <w:t xml:space="preserve"> Place-based approaches also recognise and leverage the contribution that universities make to communities.</w:t>
      </w:r>
    </w:p>
    <w:p w14:paraId="7F223D43" w14:textId="7827CD68" w:rsidR="00371A01" w:rsidRPr="00C4084C" w:rsidRDefault="00D27626" w:rsidP="003E5969">
      <w:r w:rsidRPr="00C4084C">
        <w:t>Past reporting requirements have made it difficult to evaluate the effectiveness of equity programs, especially at a systemic level and over time.</w:t>
      </w:r>
      <w:r w:rsidRPr="00C4084C">
        <w:rPr>
          <w:rStyle w:val="FootnoteReference"/>
          <w:rFonts w:cs="Arial"/>
        </w:rPr>
        <w:footnoteReference w:id="219"/>
      </w:r>
      <w:r w:rsidRPr="00C4084C">
        <w:t xml:space="preserve"> The Student Equity in Higher Education Evaluation Framework (SEHEEF), which is in the early stages of implementation, should be leveraged to embed appropriate evaluation and reporting mechanisms into the design of the proposed new fund. Universities should be required to account for the effectiveness of their activities, but evaluation structures should also enable longitudinal and systemic evaluation of outcomes at a whole-of-system level. </w:t>
      </w:r>
    </w:p>
    <w:tbl>
      <w:tblPr>
        <w:tblW w:w="0" w:type="auto"/>
        <w:shd w:val="clear" w:color="auto" w:fill="FBE4D5"/>
        <w:tblLook w:val="04A0" w:firstRow="1" w:lastRow="0" w:firstColumn="1" w:lastColumn="0" w:noHBand="0" w:noVBand="1"/>
      </w:tblPr>
      <w:tblGrid>
        <w:gridCol w:w="9356"/>
      </w:tblGrid>
      <w:tr w:rsidR="00B27A46" w:rsidRPr="00C4084C" w14:paraId="6CA4354A" w14:textId="77777777" w:rsidTr="00D26B82">
        <w:tc>
          <w:tcPr>
            <w:tcW w:w="9356" w:type="dxa"/>
            <w:shd w:val="clear" w:color="auto" w:fill="FEECDF"/>
          </w:tcPr>
          <w:p w14:paraId="2FAEFCC8" w14:textId="3BBB9810" w:rsidR="00FF79D6" w:rsidRDefault="00FF79D6" w:rsidP="003E5969">
            <w:pPr>
              <w:pStyle w:val="Recheadinginbox"/>
            </w:pPr>
            <w:r w:rsidRPr="00C4084C">
              <w:t>Recommendation</w:t>
            </w:r>
            <w:r>
              <w:t xml:space="preserve">: </w:t>
            </w:r>
            <w:r w:rsidRPr="00C4084C">
              <w:t>Building aspiration including through increasing readiness for tertiary education and providing career advice</w:t>
            </w:r>
          </w:p>
          <w:p w14:paraId="4D8159D5" w14:textId="7F27A9EE" w:rsidR="00B27A46" w:rsidRPr="00C4084C" w:rsidRDefault="00B27A46" w:rsidP="003E5969">
            <w:pPr>
              <w:pStyle w:val="Recsin-chapterL1"/>
              <w:framePr w:wrap="notBeside"/>
              <w:spacing w:before="0" w:after="0"/>
            </w:pPr>
            <w:r w:rsidRPr="00C4084C">
              <w:t xml:space="preserve">That to encourage greater aspiration, </w:t>
            </w:r>
            <w:proofErr w:type="gramStart"/>
            <w:r w:rsidRPr="00C4084C">
              <w:t>participation</w:t>
            </w:r>
            <w:proofErr w:type="gramEnd"/>
            <w:r w:rsidRPr="00C4084C">
              <w:t xml:space="preserve"> and success in tertiary education among under-represented groups, the Australian Government support effective outreach programs designed to develop familiarity with tertiary education. These outreach programs should be resourced separately from the Review’s recommended needs-based funding model and include:</w:t>
            </w:r>
          </w:p>
          <w:p w14:paraId="76602887" w14:textId="77777777" w:rsidR="00B27A46" w:rsidRPr="00C4084C" w:rsidRDefault="00B27A46" w:rsidP="003E5969">
            <w:pPr>
              <w:pStyle w:val="Recsin-chapterL2"/>
              <w:spacing w:before="0" w:beforeAutospacing="0"/>
            </w:pPr>
            <w:r w:rsidRPr="00C4084C">
              <w:t xml:space="preserve">work with state and territory governments to drive a consistent national framework for careers advice across all life </w:t>
            </w:r>
            <w:proofErr w:type="gramStart"/>
            <w:r w:rsidRPr="00C4084C">
              <w:t>stages</w:t>
            </w:r>
            <w:proofErr w:type="gramEnd"/>
          </w:p>
          <w:p w14:paraId="61FFAF50" w14:textId="77777777" w:rsidR="00B27A46" w:rsidRPr="00C4084C" w:rsidRDefault="00B27A46" w:rsidP="003E5969">
            <w:pPr>
              <w:pStyle w:val="Recsin-chapterL2"/>
            </w:pPr>
            <w:r w:rsidRPr="00C4084C">
              <w:t xml:space="preserve">work with state and territory governments to ensure post-school pathways are visible and integrated into secondary schooling, including current reforms to senior secondary pathways and assessment, and that the schooling system increasingly produces Year 12 completers who are ready and informed about tertiary education </w:t>
            </w:r>
            <w:proofErr w:type="gramStart"/>
            <w:r w:rsidRPr="00C4084C">
              <w:t>opportunities</w:t>
            </w:r>
            <w:proofErr w:type="gramEnd"/>
          </w:p>
          <w:p w14:paraId="28F57C09" w14:textId="77777777" w:rsidR="00B27A46" w:rsidRPr="00C4084C" w:rsidDel="00C977C2" w:rsidRDefault="00B27A46" w:rsidP="003E5969">
            <w:pPr>
              <w:pStyle w:val="Recsin-chapterL2"/>
              <w:rPr>
                <w:rStyle w:val="PriorityAction-Bold"/>
                <w:b w:val="0"/>
                <w:i w:val="0"/>
              </w:rPr>
            </w:pPr>
            <w:r w:rsidRPr="00C4084C">
              <w:t>a national communications campaign that shares positive examples that build aspiration and that speak to prospective students about their pathway into tertiary education, particularly young people, through media and channels they engage with, trust and respect.</w:t>
            </w:r>
          </w:p>
        </w:tc>
      </w:tr>
    </w:tbl>
    <w:p w14:paraId="577093C1" w14:textId="7095A16D" w:rsidR="00D27626" w:rsidRPr="00C4084C" w:rsidRDefault="00724978" w:rsidP="00745009">
      <w:pPr>
        <w:pStyle w:val="Heading3"/>
      </w:pPr>
      <w:bookmarkStart w:id="635" w:name="_Toc152068566"/>
      <w:bookmarkStart w:id="636" w:name="_Toc152068567"/>
      <w:bookmarkStart w:id="637" w:name="_Toc152068568"/>
      <w:bookmarkStart w:id="638" w:name="_Toc152068569"/>
      <w:bookmarkStart w:id="639" w:name="_Toc152068570"/>
      <w:bookmarkStart w:id="640" w:name="_Toc159500943"/>
      <w:bookmarkEnd w:id="634"/>
      <w:bookmarkEnd w:id="635"/>
      <w:bookmarkEnd w:id="636"/>
      <w:bookmarkEnd w:id="637"/>
      <w:bookmarkEnd w:id="638"/>
      <w:bookmarkEnd w:id="639"/>
      <w:r>
        <w:t>Preparing for entry</w:t>
      </w:r>
      <w:bookmarkEnd w:id="640"/>
    </w:p>
    <w:p w14:paraId="46445A56" w14:textId="4C603713" w:rsidR="0033535B" w:rsidRPr="00C4084C" w:rsidRDefault="00E775D2" w:rsidP="009B797D">
      <w:r w:rsidRPr="00C4084C">
        <w:t xml:space="preserve">There </w:t>
      </w:r>
      <w:r w:rsidR="00112F16">
        <w:t>is</w:t>
      </w:r>
      <w:r w:rsidR="00112F16" w:rsidRPr="00C4084C">
        <w:t xml:space="preserve"> </w:t>
      </w:r>
      <w:r w:rsidRPr="00C4084C">
        <w:t xml:space="preserve">a range of ways for students to enter higher education. While many students go directly from secondary education into higher education, others use alternative pathways, </w:t>
      </w:r>
      <w:r w:rsidR="00AC5A85" w:rsidRPr="00C4084C">
        <w:t>including</w:t>
      </w:r>
      <w:r w:rsidRPr="00C4084C">
        <w:t xml:space="preserve"> through a VET pathway</w:t>
      </w:r>
      <w:r w:rsidR="00AC5A85" w:rsidRPr="00C4084C">
        <w:t xml:space="preserve"> or another higher education course.</w:t>
      </w:r>
      <w:r w:rsidRPr="00C4084C">
        <w:t xml:space="preserve"> </w:t>
      </w:r>
      <w:r w:rsidR="00165FE1" w:rsidRPr="00C4084C">
        <w:t xml:space="preserve">For students who require additional support to meet entry </w:t>
      </w:r>
      <w:r w:rsidR="00165FE1" w:rsidRPr="00C4084C">
        <w:lastRenderedPageBreak/>
        <w:t xml:space="preserve">requirements for higher education courses, </w:t>
      </w:r>
      <w:r w:rsidR="00863F56" w:rsidRPr="00C4084C">
        <w:t>t</w:t>
      </w:r>
      <w:r w:rsidR="00165FE1" w:rsidRPr="00C4084C">
        <w:t xml:space="preserve">here are </w:t>
      </w:r>
      <w:r w:rsidR="00D16150" w:rsidRPr="00C4084C">
        <w:t xml:space="preserve">2 </w:t>
      </w:r>
      <w:r w:rsidR="00165FE1" w:rsidRPr="00C4084C">
        <w:t xml:space="preserve">primary </w:t>
      </w:r>
      <w:r w:rsidR="00120700" w:rsidRPr="00C4084C">
        <w:t>options</w:t>
      </w:r>
      <w:r w:rsidR="00AD2309" w:rsidRPr="00C4084C">
        <w:t>:</w:t>
      </w:r>
      <w:r w:rsidR="00165FE1" w:rsidRPr="00C4084C">
        <w:t xml:space="preserve"> </w:t>
      </w:r>
      <w:r w:rsidR="00863F56" w:rsidRPr="00C4084C">
        <w:t xml:space="preserve">through pathway and foundation courses (such as diplomas of tertiary </w:t>
      </w:r>
      <w:r w:rsidR="0033535B" w:rsidRPr="00C4084C">
        <w:t>education</w:t>
      </w:r>
      <w:r w:rsidR="00863F56" w:rsidRPr="00C4084C">
        <w:t xml:space="preserve">); or through </w:t>
      </w:r>
      <w:r w:rsidR="00165FE1" w:rsidRPr="00C4084C">
        <w:t xml:space="preserve">enabling programs </w:t>
      </w:r>
      <w:r w:rsidR="00863F56" w:rsidRPr="00C4084C">
        <w:t xml:space="preserve">offered by universities. </w:t>
      </w:r>
    </w:p>
    <w:p w14:paraId="359CB22C" w14:textId="5D4C94C8" w:rsidR="00C32B8F" w:rsidRPr="00C4084C" w:rsidRDefault="00863F56" w:rsidP="009B797D">
      <w:r w:rsidRPr="00C4084C">
        <w:t xml:space="preserve">Expansion of the </w:t>
      </w:r>
      <w:r w:rsidR="00207706" w:rsidRPr="00C4084C">
        <w:t>higher education enabling</w:t>
      </w:r>
      <w:r w:rsidRPr="00C4084C">
        <w:t xml:space="preserve"> system will require the continued availability of varied pathways into higher education</w:t>
      </w:r>
      <w:r w:rsidR="00885510" w:rsidRPr="00C4084C">
        <w:t>, particularly those that provide additional support to students who are under-prepared for higher education study.</w:t>
      </w:r>
    </w:p>
    <w:p w14:paraId="14E139FE" w14:textId="375EC277" w:rsidR="00D27626" w:rsidRPr="00C4084C" w:rsidRDefault="006814AD" w:rsidP="00BA6095">
      <w:pPr>
        <w:pStyle w:val="Heading4"/>
      </w:pPr>
      <w:bookmarkStart w:id="641" w:name="_Toc150692422"/>
      <w:bookmarkStart w:id="642" w:name="_Toc150523124"/>
      <w:bookmarkStart w:id="643" w:name="_Toc153483034"/>
      <w:bookmarkStart w:id="644" w:name="_Toc159500944"/>
      <w:r w:rsidRPr="00C4084C">
        <w:t>S</w:t>
      </w:r>
      <w:r w:rsidR="00D27626" w:rsidRPr="00C4084C">
        <w:t>tudents</w:t>
      </w:r>
      <w:r w:rsidRPr="00C4084C">
        <w:t xml:space="preserve"> from </w:t>
      </w:r>
      <w:r w:rsidR="001C34D2" w:rsidRPr="00C4084C">
        <w:t>groups under</w:t>
      </w:r>
      <w:r w:rsidR="00C47475" w:rsidRPr="00C4084C">
        <w:t>-</w:t>
      </w:r>
      <w:r w:rsidR="001C34D2" w:rsidRPr="00C4084C">
        <w:t>represented in higher education</w:t>
      </w:r>
      <w:r w:rsidR="00D27626" w:rsidRPr="00C4084C">
        <w:t xml:space="preserve"> are more likely to enter higher education </w:t>
      </w:r>
      <w:bookmarkEnd w:id="641"/>
      <w:bookmarkEnd w:id="642"/>
      <w:r w:rsidR="00854879" w:rsidRPr="00C4084C">
        <w:t xml:space="preserve">through </w:t>
      </w:r>
      <w:r w:rsidR="00521919" w:rsidRPr="00C4084C">
        <w:t xml:space="preserve">a range of different </w:t>
      </w:r>
      <w:proofErr w:type="gramStart"/>
      <w:r w:rsidR="00521919" w:rsidRPr="00C4084C">
        <w:t>pathways</w:t>
      </w:r>
      <w:bookmarkEnd w:id="643"/>
      <w:bookmarkEnd w:id="644"/>
      <w:proofErr w:type="gramEnd"/>
    </w:p>
    <w:p w14:paraId="7EB0BC0E" w14:textId="30E91C8A" w:rsidR="00DB3DD4" w:rsidRPr="00C4084C" w:rsidRDefault="000865F3" w:rsidP="00D275FF">
      <w:r w:rsidRPr="00C4084C">
        <w:t>Students from low SES backgrounds and First Nations students use</w:t>
      </w:r>
      <w:r w:rsidR="00C02F9D" w:rsidRPr="00C4084C">
        <w:t xml:space="preserve"> </w:t>
      </w:r>
      <w:r w:rsidR="00F80BAC" w:rsidRPr="00C4084C">
        <w:t xml:space="preserve">a wider range of </w:t>
      </w:r>
      <w:r w:rsidRPr="00C4084C">
        <w:t>pathways into higher education. This is partly due to their average older age on entry to a degree</w:t>
      </w:r>
      <w:r w:rsidR="00C02F9D" w:rsidRPr="00C4084C">
        <w:t>.</w:t>
      </w:r>
      <w:r w:rsidR="00C64DC4" w:rsidRPr="00C4084C">
        <w:t xml:space="preserve"> </w:t>
      </w:r>
      <w:r w:rsidR="00C02F9D" w:rsidRPr="00C4084C">
        <w:t>In</w:t>
      </w:r>
      <w:r w:rsidR="00C64DC4" w:rsidRPr="00C4084C" w:rsidDel="00C02F9D">
        <w:t xml:space="preserve"> </w:t>
      </w:r>
      <w:r w:rsidR="00356314" w:rsidRPr="00C4084C">
        <w:t>2022</w:t>
      </w:r>
      <w:r w:rsidR="00C64DC4" w:rsidRPr="00C4084C">
        <w:t xml:space="preserve">, the proportion of students aged 25 or above on commencement of a </w:t>
      </w:r>
      <w:proofErr w:type="gramStart"/>
      <w:r w:rsidR="00C64DC4" w:rsidRPr="00C4084C">
        <w:t>bachelor</w:t>
      </w:r>
      <w:proofErr w:type="gramEnd"/>
      <w:r w:rsidR="00C64DC4" w:rsidRPr="00C4084C">
        <w:t xml:space="preserve"> degree was higher </w:t>
      </w:r>
      <w:r w:rsidRPr="00C4084C">
        <w:t>among First</w:t>
      </w:r>
      <w:r w:rsidR="003B7F88" w:rsidRPr="00C4084C">
        <w:t xml:space="preserve"> Nations students </w:t>
      </w:r>
      <w:r w:rsidR="00C64DC4" w:rsidRPr="00C4084C">
        <w:t xml:space="preserve">(34%) and </w:t>
      </w:r>
      <w:r w:rsidR="003B7F88" w:rsidRPr="00C4084C">
        <w:t>low</w:t>
      </w:r>
      <w:r w:rsidR="00C64DC4" w:rsidRPr="00C4084C">
        <w:t xml:space="preserve"> </w:t>
      </w:r>
      <w:r w:rsidR="003B7F88" w:rsidRPr="00C4084C">
        <w:t xml:space="preserve">SES </w:t>
      </w:r>
      <w:r w:rsidR="00C64DC4" w:rsidRPr="00C4084C">
        <w:t xml:space="preserve">students (26%) when compared </w:t>
      </w:r>
      <w:r w:rsidR="00724978">
        <w:t>to</w:t>
      </w:r>
      <w:r w:rsidR="00724978" w:rsidRPr="00C4084C">
        <w:t xml:space="preserve"> </w:t>
      </w:r>
      <w:r w:rsidR="003B7F88" w:rsidRPr="00C4084C">
        <w:t>high</w:t>
      </w:r>
      <w:r w:rsidR="00C64DC4" w:rsidRPr="00C4084C">
        <w:t xml:space="preserve"> </w:t>
      </w:r>
      <w:r w:rsidR="003B7F88" w:rsidRPr="00C4084C">
        <w:t xml:space="preserve">SES students </w:t>
      </w:r>
      <w:r w:rsidR="00C64DC4" w:rsidRPr="00C4084C">
        <w:t>(17%)</w:t>
      </w:r>
      <w:r w:rsidR="003B7F88" w:rsidRPr="00C4084C">
        <w:t xml:space="preserve">. </w:t>
      </w:r>
    </w:p>
    <w:p w14:paraId="3AB7EC6E" w14:textId="7DEA3FFD" w:rsidR="00DB3DD4" w:rsidRPr="00D26B82" w:rsidRDefault="00DB3DD4" w:rsidP="00570A6C">
      <w:pPr>
        <w:pStyle w:val="Caption"/>
        <w:rPr>
          <w:rFonts w:cs="Arial"/>
          <w:b/>
          <w:bCs/>
          <w:sz w:val="24"/>
          <w:szCs w:val="24"/>
        </w:rPr>
      </w:pPr>
      <w:bookmarkStart w:id="645" w:name="_Toc154674776"/>
      <w:r w:rsidRPr="00D26B82">
        <w:rPr>
          <w:b/>
          <w:bCs/>
          <w:sz w:val="24"/>
          <w:szCs w:val="24"/>
        </w:rPr>
        <w:t xml:space="preserve">Figure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14</w:t>
      </w:r>
      <w:r w:rsidRPr="00D26B82">
        <w:rPr>
          <w:b/>
          <w:bCs/>
          <w:sz w:val="24"/>
          <w:szCs w:val="24"/>
        </w:rPr>
        <w:fldChar w:fldCharType="end"/>
      </w:r>
      <w:r w:rsidRPr="00D26B82">
        <w:rPr>
          <w:b/>
          <w:bCs/>
          <w:sz w:val="24"/>
          <w:szCs w:val="24"/>
        </w:rPr>
        <w:t xml:space="preserve">: Age on commencement, </w:t>
      </w:r>
      <w:r w:rsidR="00EB6465" w:rsidRPr="00D26B82">
        <w:rPr>
          <w:b/>
          <w:bCs/>
          <w:sz w:val="24"/>
          <w:szCs w:val="24"/>
        </w:rPr>
        <w:t xml:space="preserve">share of high SES, low SES and First Nations domestic </w:t>
      </w:r>
      <w:r w:rsidR="00941A44" w:rsidRPr="00D26B82">
        <w:rPr>
          <w:b/>
          <w:bCs/>
          <w:sz w:val="24"/>
          <w:szCs w:val="24"/>
        </w:rPr>
        <w:t xml:space="preserve">(onshore) </w:t>
      </w:r>
      <w:r w:rsidR="00EB6465" w:rsidRPr="00D26B82">
        <w:rPr>
          <w:b/>
          <w:bCs/>
          <w:sz w:val="24"/>
          <w:szCs w:val="24"/>
        </w:rPr>
        <w:t xml:space="preserve">bachelor student cohorts (%), </w:t>
      </w:r>
      <w:r w:rsidR="00F42A88" w:rsidRPr="00D26B82">
        <w:rPr>
          <w:b/>
          <w:bCs/>
          <w:sz w:val="24"/>
          <w:szCs w:val="24"/>
        </w:rPr>
        <w:t>202</w:t>
      </w:r>
      <w:r w:rsidR="006916A7" w:rsidRPr="00D26B82">
        <w:rPr>
          <w:b/>
          <w:bCs/>
          <w:sz w:val="24"/>
          <w:szCs w:val="24"/>
        </w:rPr>
        <w:t>2</w:t>
      </w:r>
      <w:r w:rsidRPr="00D26B82">
        <w:rPr>
          <w:b/>
          <w:bCs/>
          <w:sz w:val="24"/>
          <w:szCs w:val="24"/>
        </w:rPr>
        <w:t>.</w:t>
      </w:r>
      <w:bookmarkEnd w:id="645"/>
    </w:p>
    <w:p w14:paraId="25B07315" w14:textId="5A40CC43" w:rsidR="00F3585C" w:rsidRDefault="00F3585C" w:rsidP="0017341C">
      <w:pPr>
        <w:pStyle w:val="Source"/>
      </w:pPr>
      <w:r>
        <w:rPr>
          <w:noProof/>
        </w:rPr>
        <w:drawing>
          <wp:inline distT="0" distB="0" distL="0" distR="0" wp14:anchorId="353907BF" wp14:editId="0FD6A8ED">
            <wp:extent cx="6040562" cy="2594344"/>
            <wp:effectExtent l="0" t="0" r="0" b="0"/>
            <wp:docPr id="269027771" name="Graphic 14" descr="Clustered column graph showing the share of high SES, low SES and First Nations domestic bachelor student cohorts, clustered by their age on commencement. The graph shows that high SES student cohorts are more likely to commence bachelor studies in the 17 to 19-year-old age bracket, compared to low SES and First Nations student coh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027771" name="Graphic 14" descr="Clustered column graph showing the share of high SES, low SES and First Nations domestic bachelor student cohorts, clustered by their age on commencement. The graph shows that high SES student cohorts are more likely to commence bachelor studies in the 17 to 19-year-old age bracket, compared to low SES and First Nations student cohorts."/>
                    <pic:cNvPicPr/>
                  </pic:nvPicPr>
                  <pic:blipFill>
                    <a:blip r:embed="rId80">
                      <a:extLst>
                        <a:ext uri="{28A0092B-C50C-407E-A947-70E740481C1C}">
                          <a14:useLocalDpi xmlns:a14="http://schemas.microsoft.com/office/drawing/2010/main" val="0"/>
                        </a:ext>
                        <a:ext uri="{96DAC541-7B7A-43D3-8B79-37D633B846F1}">
                          <asvg:svgBlip xmlns:asvg="http://schemas.microsoft.com/office/drawing/2016/SVG/main" r:embed="rId81"/>
                        </a:ext>
                      </a:extLst>
                    </a:blip>
                    <a:stretch>
                      <a:fillRect/>
                    </a:stretch>
                  </pic:blipFill>
                  <pic:spPr>
                    <a:xfrm>
                      <a:off x="0" y="0"/>
                      <a:ext cx="6057887" cy="2601785"/>
                    </a:xfrm>
                    <a:prstGeom prst="rect">
                      <a:avLst/>
                    </a:prstGeom>
                  </pic:spPr>
                </pic:pic>
              </a:graphicData>
            </a:graphic>
          </wp:inline>
        </w:drawing>
      </w:r>
    </w:p>
    <w:p w14:paraId="559F819E" w14:textId="11D14E2B" w:rsidR="006217C5" w:rsidRPr="00C4084C" w:rsidRDefault="006217C5" w:rsidP="0017341C">
      <w:pPr>
        <w:pStyle w:val="Source"/>
      </w:pPr>
      <w:r w:rsidRPr="00C4084C">
        <w:t xml:space="preserve">Source: Department of Education, </w:t>
      </w:r>
      <w:r w:rsidRPr="00C4084C">
        <w:rPr>
          <w:i/>
        </w:rPr>
        <w:t>Higher Education Statistics Collection</w:t>
      </w:r>
      <w:r w:rsidRPr="00C4084C">
        <w:t xml:space="preserve"> </w:t>
      </w:r>
      <w:r w:rsidR="00A038EE" w:rsidRPr="00C4084C">
        <w:t>[</w:t>
      </w:r>
      <w:r w:rsidRPr="00C4084C">
        <w:t xml:space="preserve">unpublished </w:t>
      </w:r>
      <w:r w:rsidR="00A038EE" w:rsidRPr="00C4084C">
        <w:t>data], (Canberra: 2023</w:t>
      </w:r>
      <w:r w:rsidRPr="00C4084C">
        <w:t>).</w:t>
      </w:r>
    </w:p>
    <w:p w14:paraId="0066D142" w14:textId="27591526" w:rsidR="006217C5" w:rsidRPr="00C4084C" w:rsidRDefault="006217C5" w:rsidP="0017341C">
      <w:pPr>
        <w:pStyle w:val="Source"/>
      </w:pPr>
      <w:r w:rsidRPr="00C4084C">
        <w:t>Note: Includes Commonwealth supported students at Table A universities commencing study in 2022.</w:t>
      </w:r>
      <w:r w:rsidR="00941A44" w:rsidRPr="00C4084C">
        <w:t xml:space="preserve"> “Onshore” means the domestic student has a permanent home address in Australia.</w:t>
      </w:r>
    </w:p>
    <w:p w14:paraId="13DB8D31" w14:textId="700F7353" w:rsidR="00315BAE" w:rsidRPr="00C4084C" w:rsidRDefault="0085662B" w:rsidP="00D275FF">
      <w:r w:rsidRPr="00C4084C">
        <w:t>Even among older commencers, students from low SES backgrounds and First Nations students are more likely to enter university via VET</w:t>
      </w:r>
      <w:r w:rsidR="000865F3" w:rsidRPr="00C4084C">
        <w:t xml:space="preserve"> than those from high SES backgrounds</w:t>
      </w:r>
      <w:r w:rsidR="009074FB" w:rsidRPr="00C4084C">
        <w:t xml:space="preserve"> (see </w:t>
      </w:r>
      <w:r w:rsidR="009074FB" w:rsidRPr="00C4084C">
        <w:fldChar w:fldCharType="begin"/>
      </w:r>
      <w:r w:rsidR="009074FB" w:rsidRPr="00C4084C">
        <w:instrText xml:space="preserve"> REF _Ref153293899 \h </w:instrText>
      </w:r>
      <w:r w:rsidR="00404FEC" w:rsidRPr="00C4084C">
        <w:instrText xml:space="preserve"> \* MERGEFORMAT </w:instrText>
      </w:r>
      <w:r w:rsidR="009074FB" w:rsidRPr="00C4084C">
        <w:fldChar w:fldCharType="separate"/>
      </w:r>
      <w:r w:rsidR="00467B4F" w:rsidRPr="00C4084C">
        <w:t xml:space="preserve">Figure </w:t>
      </w:r>
      <w:r w:rsidR="00467B4F">
        <w:rPr>
          <w:noProof/>
        </w:rPr>
        <w:t>15</w:t>
      </w:r>
      <w:r w:rsidR="009074FB" w:rsidRPr="00C4084C">
        <w:fldChar w:fldCharType="end"/>
      </w:r>
      <w:r w:rsidR="009074FB" w:rsidRPr="00C4084C">
        <w:t>)</w:t>
      </w:r>
      <w:r w:rsidRPr="00C4084C">
        <w:t xml:space="preserve">. The </w:t>
      </w:r>
      <w:r w:rsidR="002502A3" w:rsidRPr="00C4084C">
        <w:t>Review</w:t>
      </w:r>
      <w:r w:rsidRPr="00C4084C">
        <w:t xml:space="preserve"> has heard that use of the VET pathway </w:t>
      </w:r>
      <w:r w:rsidR="00B659D1">
        <w:t>by</w:t>
      </w:r>
      <w:r w:rsidR="00B659D1" w:rsidRPr="00C4084C">
        <w:t xml:space="preserve"> </w:t>
      </w:r>
      <w:r w:rsidRPr="00C4084C">
        <w:t xml:space="preserve">low SES students is partly due to the greater flexibility offered in TAFEs and other RTOs, with more night </w:t>
      </w:r>
      <w:r w:rsidR="00BA1CDB" w:rsidRPr="00C4084C">
        <w:t xml:space="preserve">class </w:t>
      </w:r>
      <w:r w:rsidRPr="00C4084C">
        <w:t>options. It also reflects the academic preparedness of school leavers</w:t>
      </w:r>
      <w:r w:rsidR="006807B8">
        <w:t>.</w:t>
      </w:r>
      <w:r w:rsidR="006807B8" w:rsidRPr="00C4084C">
        <w:t xml:space="preserve"> </w:t>
      </w:r>
      <w:r w:rsidR="006807B8">
        <w:t>T</w:t>
      </w:r>
      <w:r w:rsidRPr="00C4084C">
        <w:t xml:space="preserve">hose unable to enter higher education based on school achievement </w:t>
      </w:r>
      <w:r w:rsidR="006807B8">
        <w:t xml:space="preserve">often </w:t>
      </w:r>
      <w:r w:rsidRPr="00C4084C">
        <w:t xml:space="preserve">need to pursue entry through pathway courses, such as TAFE certificates or diplomas in tertiary education, which are designed to offer a replacement for </w:t>
      </w:r>
      <w:r w:rsidR="4313D765" w:rsidRPr="00C4084C">
        <w:t>Y</w:t>
      </w:r>
      <w:r w:rsidRPr="00C4084C">
        <w:t xml:space="preserve">ear 12 qualifications. These award courses are portable, unlike most enabling courses offered in higher education, and provide students with an entry score like an ATAR, allowing them to commence in a higher education course. </w:t>
      </w:r>
    </w:p>
    <w:p w14:paraId="3CD2F64A" w14:textId="69C8BD7A" w:rsidR="00F7502C" w:rsidRPr="00D26B82" w:rsidRDefault="00C45037" w:rsidP="00570A6C">
      <w:pPr>
        <w:pStyle w:val="Caption"/>
        <w:rPr>
          <w:b/>
          <w:bCs/>
          <w:sz w:val="24"/>
          <w:szCs w:val="24"/>
        </w:rPr>
      </w:pPr>
      <w:bookmarkStart w:id="646" w:name="_Ref153293899"/>
      <w:bookmarkStart w:id="647" w:name="_Toc154674777"/>
      <w:r w:rsidRPr="00D26B82">
        <w:rPr>
          <w:b/>
          <w:bCs/>
          <w:sz w:val="24"/>
          <w:szCs w:val="24"/>
        </w:rPr>
        <w:lastRenderedPageBreak/>
        <w:t xml:space="preserve">Figure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15</w:t>
      </w:r>
      <w:r w:rsidRPr="00D26B82">
        <w:rPr>
          <w:b/>
          <w:bCs/>
          <w:sz w:val="24"/>
          <w:szCs w:val="24"/>
        </w:rPr>
        <w:fldChar w:fldCharType="end"/>
      </w:r>
      <w:bookmarkEnd w:id="646"/>
      <w:r w:rsidRPr="00D26B82">
        <w:rPr>
          <w:b/>
          <w:bCs/>
          <w:sz w:val="24"/>
          <w:szCs w:val="24"/>
        </w:rPr>
        <w:t xml:space="preserve">: Basis of entry for commencing </w:t>
      </w:r>
      <w:r w:rsidR="00941A44" w:rsidRPr="00D26B82">
        <w:rPr>
          <w:b/>
          <w:bCs/>
          <w:sz w:val="24"/>
          <w:szCs w:val="24"/>
        </w:rPr>
        <w:t xml:space="preserve">domestic (onshore) </w:t>
      </w:r>
      <w:r w:rsidRPr="00D26B82">
        <w:rPr>
          <w:b/>
          <w:bCs/>
          <w:sz w:val="24"/>
          <w:szCs w:val="24"/>
        </w:rPr>
        <w:t>bachelor students aged 2</w:t>
      </w:r>
      <w:r w:rsidR="7CF383F3" w:rsidRPr="00D26B82">
        <w:rPr>
          <w:b/>
          <w:bCs/>
          <w:sz w:val="24"/>
          <w:szCs w:val="24"/>
        </w:rPr>
        <w:t>4</w:t>
      </w:r>
      <w:r w:rsidRPr="00D26B82">
        <w:rPr>
          <w:b/>
          <w:bCs/>
          <w:sz w:val="24"/>
          <w:szCs w:val="24"/>
        </w:rPr>
        <w:t xml:space="preserve"> and older, </w:t>
      </w:r>
      <w:r w:rsidR="00446621" w:rsidRPr="00D26B82">
        <w:rPr>
          <w:b/>
          <w:bCs/>
          <w:sz w:val="24"/>
          <w:szCs w:val="24"/>
        </w:rPr>
        <w:t>share of high SES, low SES and First Nations student cohorts (%),</w:t>
      </w:r>
      <w:r w:rsidRPr="00D26B82">
        <w:rPr>
          <w:b/>
          <w:bCs/>
          <w:sz w:val="24"/>
          <w:szCs w:val="24"/>
        </w:rPr>
        <w:t xml:space="preserve"> </w:t>
      </w:r>
      <w:r w:rsidR="00F7502C" w:rsidRPr="00D26B82">
        <w:rPr>
          <w:b/>
          <w:bCs/>
          <w:sz w:val="24"/>
          <w:szCs w:val="24"/>
        </w:rPr>
        <w:t>202</w:t>
      </w:r>
      <w:r w:rsidR="2E40E8E3" w:rsidRPr="00D26B82">
        <w:rPr>
          <w:b/>
          <w:bCs/>
          <w:sz w:val="24"/>
          <w:szCs w:val="24"/>
        </w:rPr>
        <w:t>2</w:t>
      </w:r>
      <w:r w:rsidRPr="00D26B82">
        <w:rPr>
          <w:b/>
          <w:bCs/>
          <w:sz w:val="24"/>
          <w:szCs w:val="24"/>
        </w:rPr>
        <w:t>.</w:t>
      </w:r>
      <w:bookmarkEnd w:id="647"/>
    </w:p>
    <w:p w14:paraId="40CDAE85" w14:textId="2A498FB9" w:rsidR="00F3585C" w:rsidRDefault="00F3585C" w:rsidP="00CF4B0A">
      <w:pPr>
        <w:pStyle w:val="Source"/>
      </w:pPr>
      <w:r>
        <w:rPr>
          <w:noProof/>
        </w:rPr>
        <w:drawing>
          <wp:inline distT="0" distB="0" distL="0" distR="0" wp14:anchorId="3B9DF1E2" wp14:editId="3F8D60E2">
            <wp:extent cx="6040564" cy="2594345"/>
            <wp:effectExtent l="0" t="0" r="0" b="0"/>
            <wp:docPr id="1702043586" name="Graphic 15" descr="Clustered column graph showing the basis of entry into higher education for commencing domestic bachelor students aged 24 years and older, by the proportion of high SES, low SES and First Nations students. The graph shows that for mature-aged commencers, students from low SES and First Nations are more likely to enter university via VET than those from high SES backgrou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043586" name="Graphic 15" descr="Clustered column graph showing the basis of entry into higher education for commencing domestic bachelor students aged 24 years and older, by the proportion of high SES, low SES and First Nations students. The graph shows that for mature-aged commencers, students from low SES and First Nations are more likely to enter university via VET than those from high SES backgrounds."/>
                    <pic:cNvPicPr/>
                  </pic:nvPicPr>
                  <pic:blipFill>
                    <a:blip r:embed="rId82">
                      <a:extLst>
                        <a:ext uri="{28A0092B-C50C-407E-A947-70E740481C1C}">
                          <a14:useLocalDpi xmlns:a14="http://schemas.microsoft.com/office/drawing/2010/main" val="0"/>
                        </a:ext>
                        <a:ext uri="{96DAC541-7B7A-43D3-8B79-37D633B846F1}">
                          <asvg:svgBlip xmlns:asvg="http://schemas.microsoft.com/office/drawing/2016/SVG/main" r:embed="rId83"/>
                        </a:ext>
                      </a:extLst>
                    </a:blip>
                    <a:stretch>
                      <a:fillRect/>
                    </a:stretch>
                  </pic:blipFill>
                  <pic:spPr>
                    <a:xfrm>
                      <a:off x="0" y="0"/>
                      <a:ext cx="6057601" cy="2601662"/>
                    </a:xfrm>
                    <a:prstGeom prst="rect">
                      <a:avLst/>
                    </a:prstGeom>
                  </pic:spPr>
                </pic:pic>
              </a:graphicData>
            </a:graphic>
          </wp:inline>
        </w:drawing>
      </w:r>
    </w:p>
    <w:p w14:paraId="25C52AA2" w14:textId="5807DD9D" w:rsidR="006916A7" w:rsidRPr="00C4084C" w:rsidRDefault="00EC72FA" w:rsidP="00CF4B0A">
      <w:pPr>
        <w:pStyle w:val="Source"/>
      </w:pPr>
      <w:r w:rsidRPr="00C4084C">
        <w:t xml:space="preserve">Source: </w:t>
      </w:r>
      <w:r w:rsidRPr="00C4084C">
        <w:rPr>
          <w:lang w:eastAsia="en-AU"/>
        </w:rPr>
        <w:t xml:space="preserve">Department of Education, </w:t>
      </w:r>
      <w:r w:rsidRPr="00C4084C">
        <w:rPr>
          <w:i/>
        </w:rPr>
        <w:t>Higher Education Statistics Collection</w:t>
      </w:r>
      <w:r w:rsidRPr="00C4084C">
        <w:rPr>
          <w:lang w:eastAsia="en-AU"/>
        </w:rPr>
        <w:t xml:space="preserve"> </w:t>
      </w:r>
      <w:r w:rsidRPr="00C4084C">
        <w:t>[</w:t>
      </w:r>
      <w:r w:rsidRPr="00C4084C">
        <w:rPr>
          <w:lang w:eastAsia="en-AU"/>
        </w:rPr>
        <w:t xml:space="preserve">unpublished </w:t>
      </w:r>
      <w:r w:rsidRPr="00C4084C">
        <w:t>data], (Canberra: 2023).</w:t>
      </w:r>
    </w:p>
    <w:p w14:paraId="4E8119BD" w14:textId="200D6316" w:rsidR="00CF4B0A" w:rsidRPr="00C4084C" w:rsidRDefault="00CF4B0A" w:rsidP="00CF4B0A">
      <w:pPr>
        <w:pStyle w:val="Source"/>
        <w:rPr>
          <w:lang w:eastAsia="en-AU"/>
        </w:rPr>
      </w:pPr>
      <w:r w:rsidRPr="00C4084C">
        <w:rPr>
          <w:lang w:eastAsia="en-AU"/>
        </w:rPr>
        <w:t>Note: Includes Commonwealth supported students commencing at Table A universities.</w:t>
      </w:r>
      <w:r w:rsidR="0086212A" w:rsidRPr="00C4084C">
        <w:rPr>
          <w:lang w:eastAsia="en-AU"/>
        </w:rPr>
        <w:t xml:space="preserve"> </w:t>
      </w:r>
      <w:r w:rsidR="00E028B5" w:rsidRPr="00C4084C">
        <w:rPr>
          <w:lang w:eastAsia="en-AU"/>
        </w:rPr>
        <w:t>‘Higher education’ basis of entry includes complete or incomplete higher education award course.</w:t>
      </w:r>
      <w:r w:rsidR="0086212A" w:rsidRPr="00C4084C">
        <w:rPr>
          <w:lang w:eastAsia="en-AU"/>
        </w:rPr>
        <w:t xml:space="preserve"> ‘Other’ basis of entry </w:t>
      </w:r>
      <w:r w:rsidR="009A6EEC" w:rsidRPr="00C4084C">
        <w:rPr>
          <w:lang w:eastAsia="en-AU"/>
        </w:rPr>
        <w:t>primaril</w:t>
      </w:r>
      <w:r w:rsidR="00DD21AA" w:rsidRPr="00C4084C">
        <w:rPr>
          <w:lang w:eastAsia="en-AU"/>
        </w:rPr>
        <w:t>y</w:t>
      </w:r>
      <w:r w:rsidR="009A6EEC" w:rsidRPr="00C4084C">
        <w:rPr>
          <w:lang w:eastAsia="en-AU"/>
        </w:rPr>
        <w:t xml:space="preserve"> includes </w:t>
      </w:r>
      <w:r w:rsidR="003D6019" w:rsidRPr="00C4084C">
        <w:rPr>
          <w:lang w:eastAsia="en-AU"/>
        </w:rPr>
        <w:t>enabling</w:t>
      </w:r>
      <w:r w:rsidR="005300A5" w:rsidRPr="00C4084C">
        <w:rPr>
          <w:lang w:eastAsia="en-AU"/>
        </w:rPr>
        <w:t>, bridging,</w:t>
      </w:r>
      <w:r w:rsidR="003D6019" w:rsidRPr="00C4084C">
        <w:rPr>
          <w:lang w:eastAsia="en-AU"/>
        </w:rPr>
        <w:t xml:space="preserve"> </w:t>
      </w:r>
      <w:r w:rsidR="00770F19" w:rsidRPr="00C4084C">
        <w:rPr>
          <w:lang w:eastAsia="en-AU"/>
        </w:rPr>
        <w:t xml:space="preserve">and other non-award </w:t>
      </w:r>
      <w:r w:rsidR="003D6019" w:rsidRPr="00C4084C">
        <w:rPr>
          <w:lang w:eastAsia="en-AU"/>
        </w:rPr>
        <w:t>courses</w:t>
      </w:r>
      <w:r w:rsidR="00770F19" w:rsidRPr="00C4084C">
        <w:rPr>
          <w:lang w:eastAsia="en-AU"/>
        </w:rPr>
        <w:t xml:space="preserve">, mature age </w:t>
      </w:r>
      <w:r w:rsidR="005300A5" w:rsidRPr="00C4084C">
        <w:rPr>
          <w:lang w:eastAsia="en-AU"/>
        </w:rPr>
        <w:t xml:space="preserve">special </w:t>
      </w:r>
      <w:r w:rsidR="00770F19" w:rsidRPr="00C4084C">
        <w:rPr>
          <w:lang w:eastAsia="en-AU"/>
        </w:rPr>
        <w:t>entry schemes</w:t>
      </w:r>
      <w:r w:rsidR="005300A5" w:rsidRPr="00C4084C">
        <w:rPr>
          <w:lang w:eastAsia="en-AU"/>
        </w:rPr>
        <w:t>, professional qualifications.</w:t>
      </w:r>
      <w:r w:rsidR="006D00B3" w:rsidRPr="00C4084C">
        <w:t xml:space="preserve"> “Onshore” means the domestic student has a permanent home address in Australia.</w:t>
      </w:r>
    </w:p>
    <w:p w14:paraId="3C70696A" w14:textId="17A4321B" w:rsidR="00120700" w:rsidRPr="00C4084C" w:rsidRDefault="00120D12" w:rsidP="005C5A94">
      <w:r w:rsidRPr="00C4084C">
        <w:t xml:space="preserve">There are also a range of higher education courses that serve as pathways into </w:t>
      </w:r>
      <w:proofErr w:type="gramStart"/>
      <w:r w:rsidRPr="00C4084C">
        <w:t>bachelor</w:t>
      </w:r>
      <w:proofErr w:type="gramEnd"/>
      <w:r w:rsidRPr="00C4084C">
        <w:t xml:space="preserve"> degrees. As explored below, enabling programs are a fee-free choice for students. </w:t>
      </w:r>
    </w:p>
    <w:p w14:paraId="4CA19083" w14:textId="77777777" w:rsidR="00246785" w:rsidRPr="00C4084C" w:rsidRDefault="00120D12" w:rsidP="005C5A94">
      <w:r w:rsidRPr="00C4084C">
        <w:t xml:space="preserve">In addition, higher education providers offer diploma courses and foundation year programs and, while these are often delivered by private, non-university pathway colleges focussed on overseas students, they are also offered to domestic students, allowing them to enter related </w:t>
      </w:r>
      <w:proofErr w:type="gramStart"/>
      <w:r w:rsidRPr="00C4084C">
        <w:t>bachelor</w:t>
      </w:r>
      <w:proofErr w:type="gramEnd"/>
      <w:r w:rsidRPr="00C4084C">
        <w:t xml:space="preserve"> degrees on completion with credit, often for a full year. Students enrolled in these courses are not exempt from paying fees. </w:t>
      </w:r>
    </w:p>
    <w:p w14:paraId="6FCA9233" w14:textId="3093DE05" w:rsidR="00120D12" w:rsidRPr="00C4084C" w:rsidRDefault="00120D12" w:rsidP="005C5A94">
      <w:r w:rsidRPr="00C4084C">
        <w:t>While eligible students enrolled in diplomas offered by publicly</w:t>
      </w:r>
      <w:r w:rsidR="00B659D1">
        <w:t xml:space="preserve"> </w:t>
      </w:r>
      <w:r w:rsidRPr="00C4084C">
        <w:t xml:space="preserve">funded universities will be in Commonwealth supported places and therefore be subject to the same maximum student contributions as other Commonwealth supported students, students at pathway colleges are likely </w:t>
      </w:r>
      <w:r w:rsidR="00B659D1">
        <w:t xml:space="preserve">to be </w:t>
      </w:r>
      <w:r w:rsidRPr="00C4084C">
        <w:t>in full</w:t>
      </w:r>
      <w:r w:rsidR="00AD78E5" w:rsidRPr="00C4084C">
        <w:t xml:space="preserve"> </w:t>
      </w:r>
      <w:r w:rsidRPr="00C4084C">
        <w:t>fee</w:t>
      </w:r>
      <w:r w:rsidR="00AD78E5" w:rsidRPr="00C4084C">
        <w:t>-</w:t>
      </w:r>
      <w:r w:rsidRPr="00C4084C">
        <w:t>paying places and subject to fees set by the institution (which they can defer through FEE-HELP if eligible</w:t>
      </w:r>
      <w:r w:rsidR="00556EB1" w:rsidRPr="00C4084C">
        <w:t>).</w:t>
      </w:r>
      <w:r w:rsidRPr="00C4084C">
        <w:t xml:space="preserve"> Because these are award courses, the award is potentially portable</w:t>
      </w:r>
      <w:r w:rsidR="00556EB1" w:rsidRPr="00C4084C">
        <w:t xml:space="preserve"> between institutions</w:t>
      </w:r>
      <w:r w:rsidRPr="00C4084C">
        <w:t xml:space="preserve">, although </w:t>
      </w:r>
      <w:r w:rsidR="00622B40" w:rsidRPr="00C4084C">
        <w:t>decisions on</w:t>
      </w:r>
      <w:r w:rsidRPr="00C4084C">
        <w:t xml:space="preserve"> </w:t>
      </w:r>
      <w:r w:rsidR="00622B40" w:rsidRPr="00C4084C">
        <w:t>whether to offer credit for another institution’s diploma</w:t>
      </w:r>
      <w:r w:rsidRPr="00C4084C">
        <w:t xml:space="preserve"> remain a</w:t>
      </w:r>
      <w:r w:rsidR="00622B40" w:rsidRPr="00C4084C">
        <w:t>t the discretion of each</w:t>
      </w:r>
      <w:r w:rsidRPr="00C4084C">
        <w:t xml:space="preserve"> university. </w:t>
      </w:r>
    </w:p>
    <w:p w14:paraId="3F57FF58" w14:textId="7161AC91" w:rsidR="005F2DAA" w:rsidRPr="00C4084C" w:rsidRDefault="00D27626" w:rsidP="005C5A94">
      <w:r w:rsidRPr="00C4084C">
        <w:t>Entry through VET streams</w:t>
      </w:r>
      <w:r w:rsidR="003F1A6D" w:rsidRPr="00C4084C">
        <w:t xml:space="preserve">, which represent </w:t>
      </w:r>
      <w:r w:rsidR="008D5AFB" w:rsidRPr="00C4084C">
        <w:t xml:space="preserve">the basis of entry for </w:t>
      </w:r>
      <w:r w:rsidR="003F1A6D" w:rsidRPr="00C4084C">
        <w:t xml:space="preserve">around </w:t>
      </w:r>
      <w:r w:rsidR="111861AC" w:rsidRPr="00C4084C">
        <w:t>12</w:t>
      </w:r>
      <w:r w:rsidR="001635F2" w:rsidRPr="00C4084C">
        <w:t>%</w:t>
      </w:r>
      <w:r w:rsidR="008D5AFB" w:rsidRPr="00C4084C">
        <w:t xml:space="preserve"> of </w:t>
      </w:r>
      <w:r w:rsidR="7D03A4DD" w:rsidRPr="00C4084C">
        <w:t>commencing bachelor</w:t>
      </w:r>
      <w:r w:rsidR="00E357B0" w:rsidRPr="00C4084C">
        <w:t xml:space="preserve"> </w:t>
      </w:r>
      <w:r w:rsidR="008D5AFB" w:rsidRPr="00C4084C">
        <w:t>students,</w:t>
      </w:r>
      <w:r w:rsidRPr="00C4084C">
        <w:t xml:space="preserve"> is </w:t>
      </w:r>
      <w:r w:rsidR="00B83749" w:rsidRPr="00C4084C">
        <w:t>more</w:t>
      </w:r>
      <w:r w:rsidRPr="00C4084C">
        <w:t xml:space="preserve"> frequently linked to industries that share occupational pathways for both VET and higher education graduates</w:t>
      </w:r>
      <w:r w:rsidR="008D5AFB" w:rsidRPr="00C4084C">
        <w:t>.</w:t>
      </w:r>
      <w:r w:rsidRPr="00C4084C" w:rsidDel="008D5AFB">
        <w:t xml:space="preserve"> </w:t>
      </w:r>
      <w:r w:rsidR="008D5AFB" w:rsidRPr="00C4084C">
        <w:t>In</w:t>
      </w:r>
      <w:r w:rsidRPr="00C4084C">
        <w:t xml:space="preserve"> education and nursing</w:t>
      </w:r>
      <w:r w:rsidR="47659FE9" w:rsidRPr="00C4084C">
        <w:t xml:space="preserve">, which account for </w:t>
      </w:r>
      <w:r w:rsidR="56C66F29" w:rsidRPr="00C4084C">
        <w:t>almost 40</w:t>
      </w:r>
      <w:r w:rsidR="3952C8E8" w:rsidRPr="00C4084C">
        <w:t>%</w:t>
      </w:r>
      <w:r w:rsidR="56C66F29" w:rsidRPr="00C4084C">
        <w:t xml:space="preserve"> of enrolments for those entering </w:t>
      </w:r>
      <w:proofErr w:type="gramStart"/>
      <w:r w:rsidR="56C66F29" w:rsidRPr="00C4084C">
        <w:t>on the basis of</w:t>
      </w:r>
      <w:proofErr w:type="gramEnd"/>
      <w:r w:rsidR="56C66F29" w:rsidRPr="00C4084C">
        <w:t xml:space="preserve"> a VET qualification</w:t>
      </w:r>
      <w:r w:rsidR="004367F7">
        <w:t xml:space="preserve">, </w:t>
      </w:r>
      <w:r w:rsidRPr="00C4084C">
        <w:t xml:space="preserve">VET graduates can work in early childhood education and care and as enrolled nurses. </w:t>
      </w:r>
      <w:proofErr w:type="gramStart"/>
      <w:r w:rsidRPr="00C4084C">
        <w:t>A number of</w:t>
      </w:r>
      <w:proofErr w:type="gramEnd"/>
      <w:r w:rsidRPr="00C4084C">
        <w:t xml:space="preserve"> universities offer credit for VET qualifications in their teaching and nursing programs, which lead to careers as teachers and registered nurses. VET entry bachelor students are less likely to be studying STEM subjects than students entering through other</w:t>
      </w:r>
      <w:r w:rsidR="00726294" w:rsidRPr="00C4084C">
        <w:t xml:space="preserve"> m</w:t>
      </w:r>
      <w:r w:rsidR="001D022F" w:rsidRPr="00C4084C">
        <w:t>e</w:t>
      </w:r>
      <w:r w:rsidR="00726294" w:rsidRPr="00C4084C">
        <w:t>chanisms</w:t>
      </w:r>
      <w:r w:rsidRPr="00C4084C">
        <w:t>.</w:t>
      </w:r>
      <w:r w:rsidR="00711AEF" w:rsidRPr="00C4084C">
        <w:t xml:space="preserve"> </w:t>
      </w:r>
    </w:p>
    <w:p w14:paraId="3FCDF3E5" w14:textId="2C7FF433" w:rsidR="00D27626" w:rsidRPr="00C4084C" w:rsidRDefault="00D27626" w:rsidP="005C5A94">
      <w:r w:rsidRPr="00C4084C">
        <w:t xml:space="preserve">In addition to access through VET, it is important that student mobility (between providers and/or between courses) be facilitated and supported. As outlined in </w:t>
      </w:r>
      <w:r w:rsidR="00E95E91" w:rsidRPr="00C4084C">
        <w:rPr>
          <w:i/>
        </w:rPr>
        <w:fldChar w:fldCharType="begin"/>
      </w:r>
      <w:r w:rsidR="00E95E91" w:rsidRPr="00C4084C">
        <w:instrText xml:space="preserve"> REF _Ref151932669 \r \h </w:instrText>
      </w:r>
      <w:r w:rsidR="005513E1" w:rsidRPr="00C4084C">
        <w:instrText xml:space="preserve"> \* MERGEFORMAT </w:instrText>
      </w:r>
      <w:r w:rsidR="00E95E91" w:rsidRPr="00C4084C">
        <w:rPr>
          <w:i/>
        </w:rPr>
      </w:r>
      <w:r w:rsidR="00E95E91" w:rsidRPr="00C4084C">
        <w:rPr>
          <w:i/>
        </w:rPr>
        <w:fldChar w:fldCharType="separate"/>
      </w:r>
      <w:r w:rsidR="00467B4F" w:rsidRPr="00467B4F">
        <w:rPr>
          <w:i/>
        </w:rPr>
        <w:t>Chapter 2</w:t>
      </w:r>
      <w:r w:rsidR="00467B4F" w:rsidRPr="00467B4F">
        <w:rPr>
          <w:i/>
          <w:iCs/>
        </w:rPr>
        <w:t xml:space="preserve"> – </w:t>
      </w:r>
      <w:r w:rsidR="00E95E91" w:rsidRPr="00C4084C">
        <w:rPr>
          <w:i/>
        </w:rPr>
        <w:fldChar w:fldCharType="end"/>
      </w:r>
      <w:r w:rsidR="00465A87" w:rsidRPr="00C4084C">
        <w:rPr>
          <w:i/>
          <w:iCs/>
        </w:rPr>
        <w:fldChar w:fldCharType="begin"/>
      </w:r>
      <w:r w:rsidR="00465A87" w:rsidRPr="00C4084C">
        <w:rPr>
          <w:i/>
          <w:iCs/>
        </w:rPr>
        <w:instrText xml:space="preserve"> REF _Ref151932669 \h  \* MERGEFORMAT </w:instrText>
      </w:r>
      <w:r w:rsidR="00465A87" w:rsidRPr="00C4084C">
        <w:rPr>
          <w:i/>
          <w:iCs/>
        </w:rPr>
      </w:r>
      <w:r w:rsidR="00465A87" w:rsidRPr="00C4084C">
        <w:rPr>
          <w:i/>
          <w:iCs/>
        </w:rPr>
        <w:fldChar w:fldCharType="separate"/>
      </w:r>
      <w:r w:rsidR="00467B4F" w:rsidRPr="00467B4F">
        <w:rPr>
          <w:i/>
          <w:iCs/>
        </w:rPr>
        <w:t>Meeting our current and future skills needs</w:t>
      </w:r>
      <w:r w:rsidR="00465A87" w:rsidRPr="00C4084C">
        <w:rPr>
          <w:i/>
          <w:iCs/>
        </w:rPr>
        <w:fldChar w:fldCharType="end"/>
      </w:r>
      <w:r w:rsidRPr="00C4084C">
        <w:t xml:space="preserve">, improvements in and expansion of recognition of prior learning would support this mobility. This could be particularly beneficial for students from target cohorts who may not be able to get into or relocate to their preferred course or institution, but who could </w:t>
      </w:r>
      <w:r w:rsidR="006807B8">
        <w:t xml:space="preserve">start with one tertiary education provider </w:t>
      </w:r>
      <w:r w:rsidRPr="00C4084C">
        <w:t>then transfer, with full credit</w:t>
      </w:r>
      <w:r w:rsidR="00246785" w:rsidRPr="00C4084C">
        <w:t>.</w:t>
      </w:r>
    </w:p>
    <w:p w14:paraId="5B127FD1" w14:textId="0BE66655" w:rsidR="00D27626" w:rsidRPr="00C4084C" w:rsidRDefault="00EA7E75" w:rsidP="00BA6095">
      <w:pPr>
        <w:pStyle w:val="Heading4"/>
      </w:pPr>
      <w:bookmarkStart w:id="648" w:name="_Toc150523125"/>
      <w:bookmarkStart w:id="649" w:name="_Toc150692423"/>
      <w:bookmarkStart w:id="650" w:name="_Toc153483035"/>
      <w:bookmarkStart w:id="651" w:name="_Toc159500945"/>
      <w:r w:rsidRPr="00C4084C">
        <w:lastRenderedPageBreak/>
        <w:t>Preparatory</w:t>
      </w:r>
      <w:r w:rsidR="00D27626" w:rsidRPr="00C4084C">
        <w:t xml:space="preserve"> programs in </w:t>
      </w:r>
      <w:r w:rsidR="00C24574" w:rsidRPr="00C4084C">
        <w:t>higher</w:t>
      </w:r>
      <w:r w:rsidR="00D27626" w:rsidRPr="00C4084C">
        <w:t xml:space="preserve"> education</w:t>
      </w:r>
      <w:bookmarkEnd w:id="648"/>
      <w:bookmarkEnd w:id="649"/>
      <w:bookmarkEnd w:id="650"/>
      <w:bookmarkEnd w:id="651"/>
    </w:p>
    <w:p w14:paraId="6FBE56C8" w14:textId="20088010" w:rsidR="00D27626" w:rsidRPr="00C4084C" w:rsidRDefault="00D27626" w:rsidP="005C5A94">
      <w:r w:rsidRPr="00C4084C">
        <w:t xml:space="preserve">Enabling programs, a special type of pathway course, are non-award higher education courses designed to lead to entry to a full higher education qualification. </w:t>
      </w:r>
      <w:r w:rsidR="00404B7F" w:rsidRPr="00C4084C">
        <w:t xml:space="preserve">As enabling programs are not required to lead to an award or whole degree, </w:t>
      </w:r>
      <w:r w:rsidRPr="00C4084C">
        <w:t xml:space="preserve">universities </w:t>
      </w:r>
      <w:r w:rsidR="00404B7F" w:rsidRPr="00C4084C">
        <w:t>have the</w:t>
      </w:r>
      <w:r w:rsidRPr="00C4084C">
        <w:t xml:space="preserve"> flexibility to offer tailored programs to suit their students. A wide variety of enabling programs are on offer, ranging from a few weeks’ duration to a whole year, depending on the </w:t>
      </w:r>
      <w:r w:rsidR="00EAFA37" w:rsidRPr="00C4084C">
        <w:t>desired</w:t>
      </w:r>
      <w:r w:rsidRPr="00C4084C">
        <w:t xml:space="preserve"> course and the prospective students’ level of academic preparation. </w:t>
      </w:r>
    </w:p>
    <w:p w14:paraId="36733F01" w14:textId="2FC7469A" w:rsidR="00876385" w:rsidRPr="00C4084C" w:rsidRDefault="00D27626" w:rsidP="005C5A94">
      <w:r w:rsidRPr="00C4084C">
        <w:t xml:space="preserve">Enabling programs provide a valuable stepping-stone for those who wish to enrol in a higher education course, but who require additional preparation to meet entry requirements. While enabling programs are available to any potential higher education student, they are more likely to assist students from groups historically </w:t>
      </w:r>
      <w:r w:rsidR="00D7545F" w:rsidRPr="00C4084C">
        <w:t>under-represented</w:t>
      </w:r>
      <w:r w:rsidRPr="00C4084C">
        <w:t xml:space="preserve"> in higher education. For school leavers in some areas, particularly regional, </w:t>
      </w:r>
      <w:proofErr w:type="gramStart"/>
      <w:r w:rsidRPr="00C4084C">
        <w:t>rural</w:t>
      </w:r>
      <w:proofErr w:type="gramEnd"/>
      <w:r w:rsidRPr="00C4084C">
        <w:t xml:space="preserve"> and remote areas and some outer-metropolitan areas, their level of preparation is often affected by the limited availability of specialist teachers in some subjects at their schools. For example, a reduction in students undertaking high-level mathematics subjects at school reduces the number of people who have the preparation to directly enter courses such as engineering.</w:t>
      </w:r>
      <w:r w:rsidRPr="00C4084C">
        <w:rPr>
          <w:rStyle w:val="FootnoteReference"/>
          <w:rFonts w:cs="Arial"/>
        </w:rPr>
        <w:footnoteReference w:id="220"/>
      </w:r>
    </w:p>
    <w:tbl>
      <w:tblPr>
        <w:tblW w:w="0" w:type="auto"/>
        <w:shd w:val="clear" w:color="auto" w:fill="D2E8FF"/>
        <w:tblLook w:val="04A0" w:firstRow="1" w:lastRow="0" w:firstColumn="1" w:lastColumn="0" w:noHBand="0" w:noVBand="1"/>
      </w:tblPr>
      <w:tblGrid>
        <w:gridCol w:w="9638"/>
      </w:tblGrid>
      <w:tr w:rsidR="00876385" w:rsidRPr="00C4084C" w14:paraId="70D4CA81" w14:textId="77777777" w:rsidTr="00D26B82">
        <w:tc>
          <w:tcPr>
            <w:tcW w:w="0" w:type="auto"/>
            <w:shd w:val="clear" w:color="auto" w:fill="E3DAEA"/>
          </w:tcPr>
          <w:p w14:paraId="7E44C71A" w14:textId="15001507" w:rsidR="00876385" w:rsidRPr="00C4084C" w:rsidRDefault="00876385" w:rsidP="003E4EF3">
            <w:pPr>
              <w:pStyle w:val="Boxtitlessubheadings"/>
            </w:pPr>
            <w:r w:rsidRPr="00C4084C">
              <w:lastRenderedPageBreak/>
              <w:t xml:space="preserve">Enabling </w:t>
            </w:r>
            <w:r>
              <w:t>p</w:t>
            </w:r>
            <w:r w:rsidRPr="00C4084C">
              <w:t>rograms – a</w:t>
            </w:r>
            <w:r w:rsidR="004103C3">
              <w:t xml:space="preserve"> </w:t>
            </w:r>
            <w:r w:rsidRPr="00C4084C">
              <w:t>path to university</w:t>
            </w:r>
          </w:p>
          <w:p w14:paraId="2F972410" w14:textId="4D7C5949" w:rsidR="00876385" w:rsidRPr="00C4084C" w:rsidRDefault="00876385" w:rsidP="00E8211D">
            <w:pPr>
              <w:pStyle w:val="Boxtext0"/>
            </w:pPr>
            <w:r w:rsidRPr="00C4084C">
              <w:t xml:space="preserve">The University of Newcastle’s Open Foundation program celebrates 50 years of free and open access </w:t>
            </w:r>
            <w:r w:rsidR="00C81A03">
              <w:t>enabling</w:t>
            </w:r>
            <w:r w:rsidRPr="00C4084C">
              <w:t xml:space="preserve"> programs in 2024. In this time, it has supported more than 70,000 students through a university education. Over the past 10 years, nearly one in 5 students who graduated from the University of Newcastle entered via a free enabling program.</w:t>
            </w:r>
            <w:r w:rsidRPr="00C4084C">
              <w:rPr>
                <w:rStyle w:val="FootnoteReference"/>
              </w:rPr>
              <w:footnoteReference w:id="221"/>
            </w:r>
          </w:p>
          <w:p w14:paraId="544F37C7" w14:textId="77777777" w:rsidR="00876385" w:rsidRPr="00C4084C" w:rsidRDefault="00876385" w:rsidP="00E8211D">
            <w:pPr>
              <w:pStyle w:val="Boxtext0"/>
            </w:pPr>
            <w:r w:rsidRPr="00C4084C">
              <w:t xml:space="preserve">Students select courses based on their interest, and study subjects while also learning academic skills such as research, writing and communication. For example, students interested in studying engineering may take enabling maths and physics courses to prepare for success in the subsequent degree. </w:t>
            </w:r>
          </w:p>
          <w:p w14:paraId="7E1BAF72" w14:textId="77777777" w:rsidR="00876385" w:rsidRPr="00C4084C" w:rsidRDefault="00876385" w:rsidP="00E8211D">
            <w:pPr>
              <w:pStyle w:val="Boxtext0"/>
            </w:pPr>
            <w:r w:rsidRPr="00C4084C">
              <w:t xml:space="preserve">Enabling courses are not ‘mainstream’ first year courses. Rather, they are specifically designed between the specialist enabling teams who teach them and teaching staff in the relevant Colleges (faculties). This way, students learn essential subject matter, while simultaneously learning foundational concepts and skills for study. For example, a student interested in data science may take Information and Communication Technology, studying computational thinking, software applications and emerging technology in coursework, while simultaneously learning scaffolded skills in research, writing, </w:t>
            </w:r>
            <w:proofErr w:type="gramStart"/>
            <w:r w:rsidRPr="00C4084C">
              <w:t>teamwork</w:t>
            </w:r>
            <w:proofErr w:type="gramEnd"/>
            <w:r w:rsidRPr="00C4084C">
              <w:t xml:space="preserve"> and presentation, specially designed by enabling practitioners.  </w:t>
            </w:r>
          </w:p>
          <w:p w14:paraId="0726A6AC" w14:textId="77777777" w:rsidR="00876385" w:rsidRPr="00C4084C" w:rsidRDefault="00876385" w:rsidP="00E8211D">
            <w:pPr>
              <w:pStyle w:val="Boxtext0"/>
            </w:pPr>
            <w:r w:rsidRPr="00C4084C">
              <w:t xml:space="preserve">Further, students receive wraparound support from enabling teams – who </w:t>
            </w:r>
            <w:proofErr w:type="gramStart"/>
            <w:r w:rsidRPr="00C4084C">
              <w:t>are able to</w:t>
            </w:r>
            <w:proofErr w:type="gramEnd"/>
            <w:r w:rsidRPr="00C4084C">
              <w:t xml:space="preserve"> help with a range of questions and challenges and connect students with the other types of supports they need.</w:t>
            </w:r>
          </w:p>
        </w:tc>
      </w:tr>
    </w:tbl>
    <w:p w14:paraId="42115B24" w14:textId="58509B9E" w:rsidR="00D27626" w:rsidRPr="00C4084C" w:rsidRDefault="00D27626" w:rsidP="00622C9F">
      <w:r w:rsidRPr="00C4084C">
        <w:t>In 202</w:t>
      </w:r>
      <w:r w:rsidR="007856EF" w:rsidRPr="00C4084C">
        <w:t>2</w:t>
      </w:r>
      <w:r w:rsidRPr="00C4084C">
        <w:t xml:space="preserve">, </w:t>
      </w:r>
      <w:r w:rsidR="007856EF" w:rsidRPr="00C4084C">
        <w:t>around 25,000</w:t>
      </w:r>
      <w:r w:rsidRPr="00C4084C">
        <w:t xml:space="preserve"> students undertook an enabling course at a higher education provider (around </w:t>
      </w:r>
      <w:r w:rsidR="0073236C" w:rsidRPr="00C4084C">
        <w:t>9,000</w:t>
      </w:r>
      <w:r w:rsidRPr="00C4084C">
        <w:t xml:space="preserve"> EFTSL</w:t>
      </w:r>
      <w:r w:rsidR="00F16FF7" w:rsidRPr="00C4084C">
        <w:t>),</w:t>
      </w:r>
      <w:r w:rsidRPr="00C4084C" w:rsidDel="00F16FF7">
        <w:rPr>
          <w:rStyle w:val="FootnoteReference"/>
          <w:rFonts w:cs="Arial"/>
        </w:rPr>
        <w:footnoteReference w:id="222"/>
      </w:r>
      <w:r w:rsidRPr="00C4084C" w:rsidDel="00F16FF7">
        <w:t xml:space="preserve"> </w:t>
      </w:r>
      <w:r w:rsidR="00F16FF7" w:rsidRPr="00C4084C">
        <w:t>with most</w:t>
      </w:r>
      <w:r w:rsidRPr="00C4084C">
        <w:t xml:space="preserve"> (8</w:t>
      </w:r>
      <w:r w:rsidR="007856EF" w:rsidRPr="00C4084C">
        <w:t>8</w:t>
      </w:r>
      <w:r w:rsidRPr="00C4084C">
        <w:t xml:space="preserve">%) </w:t>
      </w:r>
      <w:r w:rsidR="00F16FF7" w:rsidRPr="00C4084C">
        <w:t>doing</w:t>
      </w:r>
      <w:r w:rsidRPr="00C4084C">
        <w:t xml:space="preserve"> so in a Commonwealth supported place.</w:t>
      </w:r>
      <w:r w:rsidR="00F66D42" w:rsidRPr="00C4084C">
        <w:rPr>
          <w:rStyle w:val="FootnoteReference"/>
        </w:rPr>
        <w:footnoteReference w:id="223"/>
      </w:r>
      <w:r w:rsidRPr="00C4084C">
        <w:t xml:space="preserve"> Commonwealth supported students in enabling courses are exempt from being charged a student contribution under </w:t>
      </w:r>
      <w:r w:rsidR="00C500A3" w:rsidRPr="00C4084C">
        <w:t>HESA</w:t>
      </w:r>
      <w:r w:rsidRPr="00C4084C">
        <w:t xml:space="preserve">. </w:t>
      </w:r>
      <w:r w:rsidR="00712823" w:rsidRPr="00C4084C">
        <w:t>F</w:t>
      </w:r>
      <w:r w:rsidRPr="00C4084C">
        <w:t xml:space="preserve">or these </w:t>
      </w:r>
      <w:r w:rsidR="00FB2AD2" w:rsidRPr="00C4084C">
        <w:t>students in a</w:t>
      </w:r>
      <w:r w:rsidRPr="00C4084C">
        <w:t xml:space="preserve"> Commonwealth supported </w:t>
      </w:r>
      <w:r w:rsidR="00FB2AD2" w:rsidRPr="00C4084C">
        <w:t>place</w:t>
      </w:r>
      <w:r w:rsidRPr="00C4084C">
        <w:t xml:space="preserve">, universities receive the relevant Commonwealth contribution through the CGS plus an additional loading in lieu of the student contribution. </w:t>
      </w:r>
    </w:p>
    <w:p w14:paraId="2EE24B12" w14:textId="37F2A02D" w:rsidR="00D27626" w:rsidRPr="00C4084C" w:rsidRDefault="00D27626" w:rsidP="00622C9F">
      <w:r w:rsidRPr="00C4084C">
        <w:t xml:space="preserve">However, this system has led to some </w:t>
      </w:r>
      <w:r w:rsidR="00712823" w:rsidRPr="00C4084C">
        <w:t>poor</w:t>
      </w:r>
      <w:r w:rsidRPr="00C4084C">
        <w:t xml:space="preserve"> outcomes</w:t>
      </w:r>
      <w:r w:rsidR="00FB2AD2" w:rsidRPr="00C4084C">
        <w:t>. F</w:t>
      </w:r>
      <w:r w:rsidR="001572D3" w:rsidRPr="00C4084C">
        <w:t>or example,</w:t>
      </w:r>
      <w:r w:rsidRPr="00C4084C">
        <w:t xml:space="preserve"> some institutions received almost $17,000 per enabling place, while others received less than $3,500 per enabling place.</w:t>
      </w:r>
      <w:r w:rsidRPr="00C4084C">
        <w:rPr>
          <w:rStyle w:val="FootnoteReference"/>
          <w:rFonts w:cs="Arial"/>
        </w:rPr>
        <w:footnoteReference w:id="224"/>
      </w:r>
      <w:r w:rsidRPr="00C4084C">
        <w:t xml:space="preserve"> This was in part due to the impact of the Job-ready Graduates package, which saw the Commonwealth contribution for disciplines such as society and culture, communications and mixed field studies (which made up almost half of enabling load) reduced to $1,100 per EFTSL.</w:t>
      </w:r>
      <w:r w:rsidRPr="00C4084C">
        <w:rPr>
          <w:rStyle w:val="FootnoteReference"/>
          <w:rFonts w:cs="Arial"/>
        </w:rPr>
        <w:footnoteReference w:id="225"/>
      </w:r>
      <w:r w:rsidRPr="00C4084C">
        <w:t xml:space="preserve"> At the degree level, this reduction was largely compensated for by increased student contributions. However, this was not possible in enabling courses, as students cannot be charged a contribution. In addition, the enabling loading is only paid up to a cap per institution, which is not related to student enrolments but to historical outcomes. Some </w:t>
      </w:r>
      <w:r w:rsidR="00246785" w:rsidRPr="00C4084C">
        <w:t xml:space="preserve">universities </w:t>
      </w:r>
      <w:r w:rsidRPr="00C4084C">
        <w:t>have no enabling loading places allocated, some have a handful, while many have hundreds of places (with one university having over 1,600 places).</w:t>
      </w:r>
      <w:r w:rsidR="003E6B8D" w:rsidRPr="00C4084C">
        <w:rPr>
          <w:rStyle w:val="FootnoteReference"/>
        </w:rPr>
        <w:footnoteReference w:id="226"/>
      </w:r>
      <w:r w:rsidR="001572D3" w:rsidRPr="00C4084C">
        <w:t xml:space="preserve"> </w:t>
      </w:r>
      <w:r w:rsidR="00CF2132" w:rsidRPr="00C4084C">
        <w:t>In light of th</w:t>
      </w:r>
      <w:r w:rsidR="00712823" w:rsidRPr="00C4084C">
        <w:t>is</w:t>
      </w:r>
      <w:r w:rsidR="00CF2132" w:rsidRPr="00C4084C">
        <w:t>,</w:t>
      </w:r>
      <w:r w:rsidR="001572D3" w:rsidRPr="00C4084C">
        <w:t xml:space="preserve"> the </w:t>
      </w:r>
      <w:r w:rsidR="00CF2132" w:rsidRPr="00C4084C">
        <w:t>financial</w:t>
      </w:r>
      <w:r w:rsidR="001572D3" w:rsidRPr="00C4084C">
        <w:t xml:space="preserve"> viability of many </w:t>
      </w:r>
      <w:r w:rsidR="002432A0" w:rsidRPr="00C4084C">
        <w:t>enabling</w:t>
      </w:r>
      <w:r w:rsidR="001572D3" w:rsidRPr="00C4084C">
        <w:t xml:space="preserve"> programs is at risk.</w:t>
      </w:r>
    </w:p>
    <w:p w14:paraId="6C0879FA" w14:textId="47C432C0" w:rsidR="00084D0D" w:rsidRPr="00C4084C" w:rsidRDefault="00084D0D" w:rsidP="00622C9F">
      <w:r w:rsidRPr="00C4084C">
        <w:lastRenderedPageBreak/>
        <w:t xml:space="preserve">For the reasons outlined above, </w:t>
      </w:r>
      <w:r w:rsidR="00B659D1">
        <w:t xml:space="preserve">together with </w:t>
      </w:r>
      <w:r w:rsidRPr="00C4084C">
        <w:t xml:space="preserve">confusing funding arrangements and </w:t>
      </w:r>
      <w:r w:rsidR="001E2008" w:rsidRPr="00C4084C">
        <w:t xml:space="preserve">variety in naming conventions, the </w:t>
      </w:r>
      <w:r w:rsidR="00EA7E75" w:rsidRPr="00C4084C">
        <w:t>R</w:t>
      </w:r>
      <w:r w:rsidR="001E2008" w:rsidRPr="00C4084C">
        <w:t xml:space="preserve">eview recommends </w:t>
      </w:r>
      <w:r w:rsidR="00B659D1">
        <w:t xml:space="preserve">that </w:t>
      </w:r>
      <w:r w:rsidR="001E2008" w:rsidRPr="00C4084C">
        <w:t xml:space="preserve">enabling programs </w:t>
      </w:r>
      <w:proofErr w:type="gramStart"/>
      <w:r w:rsidR="001E2008" w:rsidRPr="00C4084C">
        <w:t>be</w:t>
      </w:r>
      <w:proofErr w:type="gramEnd"/>
      <w:r w:rsidR="001E2008" w:rsidRPr="00C4084C">
        <w:t xml:space="preserve"> renamed</w:t>
      </w:r>
      <w:r w:rsidR="00B659D1">
        <w:t xml:space="preserve"> as</w:t>
      </w:r>
      <w:r w:rsidR="00B659D1" w:rsidRPr="00C4084C">
        <w:t xml:space="preserve"> </w:t>
      </w:r>
      <w:r w:rsidR="006C6D93" w:rsidRPr="00C4084C">
        <w:t>p</w:t>
      </w:r>
      <w:r w:rsidR="001E2008" w:rsidRPr="00C4084C">
        <w:t>reparatory courses.</w:t>
      </w:r>
      <w:r w:rsidR="00E91432" w:rsidRPr="00C4084C">
        <w:t xml:space="preserve"> </w:t>
      </w:r>
      <w:r w:rsidR="00B659D1">
        <w:t>The</w:t>
      </w:r>
      <w:r w:rsidR="00E91432" w:rsidRPr="00C4084C">
        <w:t xml:space="preserve"> term enabling </w:t>
      </w:r>
      <w:r w:rsidR="00B659D1">
        <w:t>may be used when</w:t>
      </w:r>
      <w:r w:rsidR="00E91432" w:rsidRPr="00C4084C">
        <w:t xml:space="preserve"> referring to historical examples.</w:t>
      </w:r>
    </w:p>
    <w:p w14:paraId="589A324A" w14:textId="3AA8C63D" w:rsidR="001D4AEE" w:rsidRPr="00C4084C" w:rsidRDefault="00D27626" w:rsidP="003E5969">
      <w:pPr>
        <w:rPr>
          <w:rStyle w:val="normaltextrun"/>
        </w:rPr>
      </w:pPr>
      <w:r w:rsidRPr="00C4084C">
        <w:t xml:space="preserve">The role and importance of </w:t>
      </w:r>
      <w:r w:rsidR="006C6D93" w:rsidRPr="00C4084C">
        <w:t>p</w:t>
      </w:r>
      <w:r w:rsidR="001E2008" w:rsidRPr="00C4084C">
        <w:t>reparatory</w:t>
      </w:r>
      <w:r w:rsidRPr="00C4084C">
        <w:t xml:space="preserve"> </w:t>
      </w:r>
      <w:r w:rsidR="004C5388" w:rsidRPr="00C4084C">
        <w:t xml:space="preserve">courses </w:t>
      </w:r>
      <w:r w:rsidRPr="00C4084C">
        <w:t>is only going to grow as the</w:t>
      </w:r>
      <w:r w:rsidR="00246785" w:rsidRPr="00C4084C">
        <w:t xml:space="preserve"> higher education</w:t>
      </w:r>
      <w:r w:rsidRPr="00C4084C">
        <w:t xml:space="preserve"> system expands. </w:t>
      </w:r>
      <w:r w:rsidR="00253675" w:rsidRPr="00C4084C">
        <w:t>Such</w:t>
      </w:r>
      <w:r w:rsidR="001572D3" w:rsidRPr="00C4084C">
        <w:t xml:space="preserve"> courses have been successful in providing students with the experience of university and the preparation needed to progress to a </w:t>
      </w:r>
      <w:proofErr w:type="gramStart"/>
      <w:r w:rsidR="001572D3" w:rsidRPr="00C4084C">
        <w:t>bachelor</w:t>
      </w:r>
      <w:proofErr w:type="gramEnd"/>
      <w:r w:rsidR="001572D3" w:rsidRPr="00C4084C">
        <w:t xml:space="preserve"> degree.</w:t>
      </w:r>
      <w:r w:rsidR="00893193" w:rsidRPr="00C4084C">
        <w:rPr>
          <w:rStyle w:val="FootnoteReference"/>
        </w:rPr>
        <w:footnoteReference w:id="227"/>
      </w:r>
      <w:r w:rsidR="001572D3" w:rsidRPr="00C4084C">
        <w:t xml:space="preserve"> However, as more students from target groups enter the system, </w:t>
      </w:r>
      <w:r w:rsidR="00253675" w:rsidRPr="00C4084C">
        <w:t>these</w:t>
      </w:r>
      <w:r w:rsidR="001572D3" w:rsidRPr="00C4084C">
        <w:t xml:space="preserve"> courses will need to adapt to an expanded cohort, including </w:t>
      </w:r>
      <w:r w:rsidR="001770EC" w:rsidRPr="00C4084C">
        <w:t xml:space="preserve">more </w:t>
      </w:r>
      <w:r w:rsidR="001572D3" w:rsidRPr="00C4084C">
        <w:t xml:space="preserve">students who are less prepared for higher education. It will be essential to ensure quality by understanding which </w:t>
      </w:r>
      <w:r w:rsidR="00876385">
        <w:t>preparatory</w:t>
      </w:r>
      <w:r w:rsidR="00876385" w:rsidRPr="00C4084C">
        <w:t xml:space="preserve"> </w:t>
      </w:r>
      <w:r w:rsidR="001572D3" w:rsidRPr="00C4084C">
        <w:t>courses offer the best education</w:t>
      </w:r>
      <w:r w:rsidR="0037347A" w:rsidRPr="00C4084C">
        <w:t>al</w:t>
      </w:r>
      <w:r w:rsidR="001572D3" w:rsidRPr="00C4084C">
        <w:t xml:space="preserve"> experience and lead to successful outcomes. This will require better data: for example, currently available enrolment figures do not provide sufficient information on the nature </w:t>
      </w:r>
      <w:r w:rsidR="0073606F" w:rsidRPr="00C4084C">
        <w:t xml:space="preserve">of each course undertaken. The </w:t>
      </w:r>
      <w:r w:rsidR="41A7CB26" w:rsidRPr="00C4084C">
        <w:t>Commission</w:t>
      </w:r>
      <w:r w:rsidR="0073606F" w:rsidRPr="00C4084C">
        <w:t xml:space="preserve"> can have a role in conducting </w:t>
      </w:r>
      <w:r w:rsidR="00A81D14" w:rsidRPr="00C4084C">
        <w:t>this research and implementing any regulatory reforms.</w:t>
      </w:r>
      <w:r w:rsidR="00876385" w:rsidRPr="00C4084C" w:rsidDel="00876385">
        <w:t xml:space="preserve"> </w:t>
      </w:r>
      <w:r w:rsidRPr="00C4084C">
        <w:t xml:space="preserve">The Review finds that maintaining the fee-free nature of </w:t>
      </w:r>
      <w:r w:rsidR="006C6D93" w:rsidRPr="00C4084C">
        <w:t xml:space="preserve">preparatory </w:t>
      </w:r>
      <w:r w:rsidRPr="00C4084C">
        <w:t xml:space="preserve">courses is important, and such a requirement should continue to be legislated. In addition, higher education providers should receive sufficient funding to deliver these courses and the allocation of this funding should reflect student demand, not historical allocations. Together, these findings </w:t>
      </w:r>
      <w:r w:rsidR="00874CBF" w:rsidRPr="00C4084C">
        <w:t>and recommendations</w:t>
      </w:r>
      <w:r w:rsidRPr="00C4084C">
        <w:t xml:space="preserve"> support a better system for maintaining high standards of entry to higher education award courses, </w:t>
      </w:r>
      <w:r w:rsidR="004A2526" w:rsidRPr="00C4084C">
        <w:t>which would</w:t>
      </w:r>
      <w:r w:rsidR="00F5703C" w:rsidRPr="00C4084C">
        <w:t xml:space="preserve"> help </w:t>
      </w:r>
      <w:r w:rsidRPr="00C4084C">
        <w:t xml:space="preserve">to substantially widen participation to cohorts not currently engaging in higher education. </w:t>
      </w:r>
    </w:p>
    <w:tbl>
      <w:tblPr>
        <w:tblW w:w="0" w:type="auto"/>
        <w:shd w:val="clear" w:color="auto" w:fill="FBE4D5"/>
        <w:tblLook w:val="04A0" w:firstRow="1" w:lastRow="0" w:firstColumn="1" w:lastColumn="0" w:noHBand="0" w:noVBand="1"/>
      </w:tblPr>
      <w:tblGrid>
        <w:gridCol w:w="9026"/>
      </w:tblGrid>
      <w:tr w:rsidR="003E0F8B" w:rsidRPr="00C4084C" w14:paraId="01B7B37D" w14:textId="77777777" w:rsidTr="00D26B82">
        <w:tc>
          <w:tcPr>
            <w:tcW w:w="9026" w:type="dxa"/>
            <w:shd w:val="clear" w:color="auto" w:fill="FEECDF"/>
          </w:tcPr>
          <w:p w14:paraId="50BD4B51" w14:textId="736AD0DC" w:rsidR="00FF79D6" w:rsidRDefault="00FF79D6" w:rsidP="003E5969">
            <w:pPr>
              <w:pStyle w:val="Recheadinginbox"/>
            </w:pPr>
            <w:r w:rsidRPr="00C4084C">
              <w:rPr>
                <w:rStyle w:val="normaltextrun"/>
                <w:bCs/>
              </w:rPr>
              <w:lastRenderedPageBreak/>
              <w:t>Recommendation</w:t>
            </w:r>
            <w:r>
              <w:rPr>
                <w:rStyle w:val="normaltextrun"/>
                <w:bCs/>
              </w:rPr>
              <w:t xml:space="preserve">: </w:t>
            </w:r>
            <w:r w:rsidRPr="00C4084C">
              <w:rPr>
                <w:rStyle w:val="normaltextrun"/>
                <w:bCs/>
              </w:rPr>
              <w:t>Fee-free preparatory courses</w:t>
            </w:r>
          </w:p>
          <w:p w14:paraId="040A8A2C" w14:textId="499E15F6" w:rsidR="003E0F8B" w:rsidRPr="00C4084C" w:rsidRDefault="003E0F8B" w:rsidP="003E5969">
            <w:pPr>
              <w:pStyle w:val="Recsin-chapterL1"/>
              <w:framePr w:wrap="notBeside"/>
              <w:spacing w:before="0" w:after="0"/>
            </w:pPr>
            <w:r w:rsidRPr="00C4084C">
              <w:t>That to help more students who aspire to university to qualify for entry, the Australian Government significantly increase the availability of fee-free places, meeting the need for high-quality preparatory courses by ensuring:</w:t>
            </w:r>
          </w:p>
          <w:p w14:paraId="23637A5A" w14:textId="77777777" w:rsidR="003E0F8B" w:rsidRPr="00C4084C" w:rsidRDefault="003E0F8B" w:rsidP="003E5969">
            <w:pPr>
              <w:pStyle w:val="Recsin-chapterL2"/>
              <w:spacing w:before="0" w:beforeAutospacing="0"/>
            </w:pPr>
            <w:r w:rsidRPr="00C4084C">
              <w:t xml:space="preserve">the number of Commonwealth supported places is expanded to meet demand from </w:t>
            </w:r>
            <w:proofErr w:type="gramStart"/>
            <w:r w:rsidRPr="00C4084C">
              <w:t>students</w:t>
            </w:r>
            <w:proofErr w:type="gramEnd"/>
            <w:r w:rsidRPr="00C4084C">
              <w:t xml:space="preserve"> </w:t>
            </w:r>
          </w:p>
          <w:p w14:paraId="3A59834C" w14:textId="77777777" w:rsidR="003E0F8B" w:rsidRPr="00C4084C" w:rsidRDefault="003E0F8B" w:rsidP="003E5969">
            <w:pPr>
              <w:pStyle w:val="Recsin-chapterL2"/>
              <w:spacing w:before="0" w:beforeAutospacing="0"/>
            </w:pPr>
            <w:r w:rsidRPr="00C4084C">
              <w:t xml:space="preserve">preparatory courses are free for any student in a Commonwealth supported place and this is enshrined in </w:t>
            </w:r>
            <w:proofErr w:type="gramStart"/>
            <w:r w:rsidRPr="00C4084C">
              <w:t>legislation</w:t>
            </w:r>
            <w:proofErr w:type="gramEnd"/>
          </w:p>
          <w:p w14:paraId="170EC1B8" w14:textId="77777777" w:rsidR="003E0F8B" w:rsidRPr="00C4084C" w:rsidRDefault="003E0F8B" w:rsidP="003E5969">
            <w:pPr>
              <w:pStyle w:val="Recsin-chapterL2"/>
              <w:spacing w:before="0" w:beforeAutospacing="0"/>
            </w:pPr>
            <w:r w:rsidRPr="00C4084C">
              <w:t xml:space="preserve">funding for preparatory places reflects the cost of </w:t>
            </w:r>
            <w:proofErr w:type="gramStart"/>
            <w:r w:rsidRPr="00C4084C">
              <w:t>delivery</w:t>
            </w:r>
            <w:proofErr w:type="gramEnd"/>
          </w:p>
          <w:p w14:paraId="2C2A71C8" w14:textId="77777777" w:rsidR="003E0F8B" w:rsidRPr="00C4084C" w:rsidRDefault="003E0F8B" w:rsidP="003E5969">
            <w:pPr>
              <w:pStyle w:val="Recsin-chapterL2"/>
              <w:spacing w:before="0" w:beforeAutospacing="0"/>
            </w:pPr>
            <w:r w:rsidRPr="00C4084C">
              <w:t xml:space="preserve">recognition of and investment in high-quality models that deliver successful student </w:t>
            </w:r>
            <w:proofErr w:type="gramStart"/>
            <w:r w:rsidRPr="00C4084C">
              <w:t>outcomes</w:t>
            </w:r>
            <w:proofErr w:type="gramEnd"/>
          </w:p>
          <w:p w14:paraId="735BD980" w14:textId="77777777" w:rsidR="003E0F8B" w:rsidRPr="00C4084C" w:rsidRDefault="003E0F8B" w:rsidP="003E5969">
            <w:pPr>
              <w:pStyle w:val="Recsin-chapterL2"/>
              <w:spacing w:before="0" w:beforeAutospacing="0"/>
            </w:pPr>
            <w:r w:rsidRPr="00C4084C">
              <w:t xml:space="preserve">preparatory programs in fields such as mathematics, which are needed for specialist tertiary education entry, are delivered online to improve </w:t>
            </w:r>
            <w:proofErr w:type="gramStart"/>
            <w:r w:rsidRPr="00C4084C">
              <w:t>access</w:t>
            </w:r>
            <w:proofErr w:type="gramEnd"/>
          </w:p>
          <w:p w14:paraId="25B3E728" w14:textId="77777777" w:rsidR="003E0F8B" w:rsidRPr="00C4084C" w:rsidDel="00C977C2" w:rsidRDefault="003E0F8B" w:rsidP="003E5969">
            <w:pPr>
              <w:pStyle w:val="Recsin-chapterL2"/>
              <w:spacing w:before="0" w:beforeAutospacing="0"/>
              <w:rPr>
                <w:rStyle w:val="PriorityAction-Bold"/>
                <w:b w:val="0"/>
                <w:i w:val="0"/>
              </w:rPr>
            </w:pPr>
            <w:r w:rsidRPr="00C4084C">
              <w:t>a systematic approach to recognising preparatory and other preparatory-type programs across tertiary education providers through the National Skills Passport.</w:t>
            </w:r>
          </w:p>
        </w:tc>
      </w:tr>
    </w:tbl>
    <w:p w14:paraId="4B9F55FC" w14:textId="37FE57CA" w:rsidR="00D27626" w:rsidRPr="00C4084C" w:rsidRDefault="00D27626" w:rsidP="00745009">
      <w:pPr>
        <w:pStyle w:val="Heading3"/>
      </w:pPr>
      <w:bookmarkStart w:id="654" w:name="_Toc152068575"/>
      <w:bookmarkStart w:id="655" w:name="_Toc152068576"/>
      <w:bookmarkStart w:id="656" w:name="_Toc152068577"/>
      <w:bookmarkStart w:id="657" w:name="_Toc152068578"/>
      <w:bookmarkStart w:id="658" w:name="_Toc152068579"/>
      <w:bookmarkStart w:id="659" w:name="_Toc152068580"/>
      <w:bookmarkStart w:id="660" w:name="_Toc152068581"/>
      <w:bookmarkStart w:id="661" w:name="_Toc150523127"/>
      <w:bookmarkStart w:id="662" w:name="_Toc150692426"/>
      <w:bookmarkStart w:id="663" w:name="_Toc596394733"/>
      <w:bookmarkStart w:id="664" w:name="_Toc153483036"/>
      <w:bookmarkStart w:id="665" w:name="_Toc159500946"/>
      <w:bookmarkEnd w:id="654"/>
      <w:bookmarkEnd w:id="655"/>
      <w:bookmarkEnd w:id="656"/>
      <w:bookmarkEnd w:id="657"/>
      <w:bookmarkEnd w:id="658"/>
      <w:bookmarkEnd w:id="659"/>
      <w:bookmarkEnd w:id="660"/>
      <w:r w:rsidRPr="00C4084C">
        <w:t>Providing scaffolded support during the learning journey</w:t>
      </w:r>
      <w:bookmarkEnd w:id="661"/>
      <w:bookmarkEnd w:id="662"/>
      <w:bookmarkEnd w:id="663"/>
      <w:bookmarkEnd w:id="664"/>
      <w:bookmarkEnd w:id="665"/>
      <w:r w:rsidRPr="00C4084C">
        <w:t xml:space="preserve"> </w:t>
      </w:r>
    </w:p>
    <w:p w14:paraId="3AB27E50" w14:textId="77777777" w:rsidR="00D27626" w:rsidRPr="00C4084C" w:rsidRDefault="00D27626" w:rsidP="003E5969">
      <w:pPr>
        <w:pStyle w:val="Heading4"/>
      </w:pPr>
      <w:bookmarkStart w:id="666" w:name="_Toc150523128"/>
      <w:bookmarkStart w:id="667" w:name="_Toc150692427"/>
      <w:bookmarkStart w:id="668" w:name="_Toc159500947"/>
      <w:r w:rsidRPr="00C4084C">
        <w:t xml:space="preserve">Supporting universities to recognise and teach for student </w:t>
      </w:r>
      <w:proofErr w:type="gramStart"/>
      <w:r w:rsidRPr="00C4084C">
        <w:t>need</w:t>
      </w:r>
      <w:bookmarkEnd w:id="666"/>
      <w:bookmarkEnd w:id="667"/>
      <w:r w:rsidRPr="00C4084C">
        <w:t>s</w:t>
      </w:r>
      <w:bookmarkEnd w:id="668"/>
      <w:proofErr w:type="gramEnd"/>
    </w:p>
    <w:p w14:paraId="6CA48DC3" w14:textId="03D68E14" w:rsidR="00D27626" w:rsidRPr="00C4084C" w:rsidRDefault="00D27626" w:rsidP="00622C9F">
      <w:r w:rsidRPr="00C4084C">
        <w:t xml:space="preserve">As noted in </w:t>
      </w:r>
      <w:r w:rsidR="00E95E91" w:rsidRPr="00C4084C">
        <w:rPr>
          <w:i/>
          <w:iCs/>
        </w:rPr>
        <w:fldChar w:fldCharType="begin"/>
      </w:r>
      <w:r w:rsidR="00E95E91" w:rsidRPr="00C4084C">
        <w:rPr>
          <w:highlight w:val="yellow"/>
        </w:rPr>
        <w:instrText xml:space="preserve"> REF _Ref151932669 \r \h </w:instrText>
      </w:r>
      <w:r w:rsidR="008037CA" w:rsidRPr="00C4084C">
        <w:rPr>
          <w:highlight w:val="yellow"/>
        </w:rPr>
        <w:instrText xml:space="preserve"> \* MERGEFORMAT </w:instrText>
      </w:r>
      <w:r w:rsidR="00E95E91" w:rsidRPr="00C4084C">
        <w:rPr>
          <w:i/>
          <w:iCs/>
        </w:rPr>
      </w:r>
      <w:r w:rsidR="00E95E91" w:rsidRPr="00C4084C">
        <w:rPr>
          <w:i/>
          <w:iCs/>
        </w:rPr>
        <w:fldChar w:fldCharType="separate"/>
      </w:r>
      <w:r w:rsidR="00467B4F" w:rsidRPr="00467B4F">
        <w:rPr>
          <w:i/>
          <w:iCs/>
        </w:rPr>
        <w:t xml:space="preserve">Chapter 2 – </w:t>
      </w:r>
      <w:r w:rsidR="00E95E91" w:rsidRPr="00C4084C">
        <w:rPr>
          <w:i/>
          <w:iCs/>
        </w:rPr>
        <w:fldChar w:fldCharType="end"/>
      </w:r>
      <w:r w:rsidR="00815E42" w:rsidRPr="00C4084C">
        <w:rPr>
          <w:i/>
          <w:iCs/>
        </w:rPr>
        <w:fldChar w:fldCharType="begin"/>
      </w:r>
      <w:r w:rsidR="00815E42" w:rsidRPr="00C4084C">
        <w:rPr>
          <w:i/>
          <w:iCs/>
        </w:rPr>
        <w:instrText xml:space="preserve"> REF _Ref153794263 \h  \* MERGEFORMAT</w:instrText>
      </w:r>
      <w:r w:rsidR="00815E42" w:rsidRPr="00C4084C">
        <w:rPr>
          <w:i/>
        </w:rPr>
        <w:instrText xml:space="preserve"> </w:instrText>
      </w:r>
      <w:r w:rsidR="00815E42" w:rsidRPr="00C4084C">
        <w:rPr>
          <w:i/>
          <w:iCs/>
        </w:rPr>
      </w:r>
      <w:r w:rsidR="00815E42" w:rsidRPr="00C4084C">
        <w:rPr>
          <w:i/>
          <w:iCs/>
        </w:rPr>
        <w:fldChar w:fldCharType="separate"/>
      </w:r>
      <w:r w:rsidR="00467B4F" w:rsidRPr="00467B4F">
        <w:rPr>
          <w:i/>
          <w:iCs/>
        </w:rPr>
        <w:t>Meeting our current and future skills needs</w:t>
      </w:r>
      <w:r w:rsidR="00815E42" w:rsidRPr="00C4084C">
        <w:rPr>
          <w:i/>
          <w:iCs/>
        </w:rPr>
        <w:fldChar w:fldCharType="end"/>
      </w:r>
      <w:r w:rsidR="00E95E91" w:rsidRPr="00C4084C">
        <w:rPr>
          <w:i/>
          <w:iCs/>
        </w:rPr>
        <w:t>,</w:t>
      </w:r>
      <w:r w:rsidRPr="00C4084C">
        <w:t xml:space="preserve"> the higher education system will need to grow by at least an additional 900,000 Commonwealth supported students by 2050 to reach the ambitious attainment target</w:t>
      </w:r>
      <w:r w:rsidR="00C77B84" w:rsidRPr="00C4084C">
        <w:t xml:space="preserve"> needed to meet skills demand</w:t>
      </w:r>
      <w:r w:rsidRPr="00C4084C">
        <w:t xml:space="preserve">. A significant part of this growth must come from cohorts traditionally </w:t>
      </w:r>
      <w:r w:rsidR="00D7545F" w:rsidRPr="00C4084C">
        <w:t>under-represented</w:t>
      </w:r>
      <w:r w:rsidRPr="00C4084C">
        <w:t xml:space="preserve"> in higher education, and the Review has proposed targets for </w:t>
      </w:r>
      <w:r w:rsidR="00D16150" w:rsidRPr="00C4084C">
        <w:t xml:space="preserve">4 </w:t>
      </w:r>
      <w:r w:rsidRPr="00C4084C">
        <w:t xml:space="preserve">cohorts, as discussed in </w:t>
      </w:r>
      <w:r w:rsidR="006D627F" w:rsidRPr="00C4084C">
        <w:t>section</w:t>
      </w:r>
      <w:r w:rsidRPr="00C4084C">
        <w:t xml:space="preserve"> </w:t>
      </w:r>
      <w:r w:rsidR="00C94A12" w:rsidRPr="00C4084C">
        <w:fldChar w:fldCharType="begin"/>
      </w:r>
      <w:r w:rsidR="00C94A12" w:rsidRPr="00C4084C">
        <w:instrText xml:space="preserve"> REF _Ref152514701 \r \h </w:instrText>
      </w:r>
      <w:r w:rsidR="005513E1" w:rsidRPr="00C4084C">
        <w:instrText xml:space="preserve"> \* MERGEFORMAT </w:instrText>
      </w:r>
      <w:r w:rsidR="00C94A12" w:rsidRPr="00C4084C">
        <w:fldChar w:fldCharType="separate"/>
      </w:r>
      <w:r w:rsidR="00467B4F">
        <w:t>3.2</w:t>
      </w:r>
      <w:r w:rsidR="00C94A12" w:rsidRPr="00C4084C">
        <w:fldChar w:fldCharType="end"/>
      </w:r>
      <w:r w:rsidRPr="00C4084C">
        <w:t>. But improving access is not enough. We must ensure universities are adequately funded to support these students to graduate.</w:t>
      </w:r>
    </w:p>
    <w:p w14:paraId="7FDF75B6" w14:textId="73486648" w:rsidR="00D27626" w:rsidRPr="00C4084C" w:rsidRDefault="00D27626" w:rsidP="00622C9F">
      <w:r w:rsidRPr="00C4084C">
        <w:t>The Review recommends that core funding for Commonwealth supported places differ not only by discipline but also, depending on student characteristics, through the introduction of student needs-based loadings</w:t>
      </w:r>
      <w:r w:rsidR="006E1A77" w:rsidRPr="00C4084C">
        <w:t xml:space="preserve"> (see Recommendation </w:t>
      </w:r>
      <w:r w:rsidR="00A66F30" w:rsidRPr="00C4084C">
        <w:t>13</w:t>
      </w:r>
      <w:r w:rsidR="006E1A77" w:rsidRPr="00C4084C">
        <w:t>)</w:t>
      </w:r>
      <w:r w:rsidRPr="00C4084C">
        <w:t>. These loadings, in addition to better provision of enabling courses, would help higher education providers give additional support to students from target cohorts who need it, and address their barriers to success in higher education. Future higher education must ensure that per-student base funding reflects not only the discipline being studied, but the unique characteristics of the individual student to ensure they are supported throughout their learning journey.</w:t>
      </w:r>
    </w:p>
    <w:p w14:paraId="49C80B8E" w14:textId="7F25F46C" w:rsidR="00F1206C" w:rsidRPr="00C4084C" w:rsidRDefault="00A84FC8" w:rsidP="00622C9F">
      <w:r w:rsidRPr="00C4084C">
        <w:t xml:space="preserve">Currently, Australia’s higher education system does not do well at supporting </w:t>
      </w:r>
      <w:r w:rsidR="002B5FA7" w:rsidRPr="00C4084C">
        <w:t xml:space="preserve">some groups of </w:t>
      </w:r>
      <w:r w:rsidRPr="00C4084C">
        <w:t xml:space="preserve">students to succeed at university. Students from </w:t>
      </w:r>
      <w:r w:rsidR="002B5FA7" w:rsidRPr="00C4084C">
        <w:t xml:space="preserve">historically </w:t>
      </w:r>
      <w:r w:rsidR="00D7545F" w:rsidRPr="00C4084C">
        <w:t>under-represented</w:t>
      </w:r>
      <w:r w:rsidR="002B5FA7" w:rsidRPr="00C4084C">
        <w:t xml:space="preserve"> </w:t>
      </w:r>
      <w:r w:rsidRPr="00C4084C">
        <w:t>groups experience significantly lower success rates than the national total</w:t>
      </w:r>
      <w:r w:rsidR="00C44EAF" w:rsidRPr="00C4084C">
        <w:t xml:space="preserve">, especially First Nations students (around 14% lower) as well as students </w:t>
      </w:r>
      <w:r w:rsidR="007063D8" w:rsidRPr="00C4084C">
        <w:t xml:space="preserve">with disability </w:t>
      </w:r>
      <w:r w:rsidR="00C44EAF" w:rsidRPr="00C4084C">
        <w:t>(</w:t>
      </w:r>
      <w:r w:rsidR="002B5FA7" w:rsidRPr="00C4084C">
        <w:t>7% lower</w:t>
      </w:r>
      <w:r w:rsidR="00C44EAF" w:rsidRPr="00C4084C">
        <w:t>).</w:t>
      </w:r>
      <w:r w:rsidR="007063D8" w:rsidRPr="00C4084C">
        <w:rPr>
          <w:rStyle w:val="FootnoteReference"/>
        </w:rPr>
        <w:footnoteReference w:id="228"/>
      </w:r>
      <w:r w:rsidR="00617616" w:rsidRPr="00C4084C">
        <w:t xml:space="preserve"> </w:t>
      </w:r>
      <w:r w:rsidR="00A03119" w:rsidRPr="00C4084C">
        <w:t xml:space="preserve">This is a strong indicator that inequities persist in </w:t>
      </w:r>
      <w:r w:rsidR="00226F6F" w:rsidRPr="00C4084C">
        <w:t>Australia’s</w:t>
      </w:r>
      <w:r w:rsidR="00A03119" w:rsidRPr="00C4084C">
        <w:t xml:space="preserve"> higher education system. The additional support these students require should be provided through a system of needs-based funding. </w:t>
      </w:r>
    </w:p>
    <w:p w14:paraId="6E9279A6" w14:textId="5F6BBD66" w:rsidR="00D27626" w:rsidRPr="00C4084C" w:rsidRDefault="00D27626" w:rsidP="00622C9F">
      <w:r w:rsidRPr="00C4084C">
        <w:t xml:space="preserve">The Review proposes </w:t>
      </w:r>
      <w:r w:rsidR="00D16150" w:rsidRPr="00C4084C">
        <w:t xml:space="preserve">4 </w:t>
      </w:r>
      <w:r w:rsidRPr="00C4084C">
        <w:t xml:space="preserve">differential loadings to capture characteristics associated with attrition and additional costs, modelled on the Schooling Resource Standard (SRS) used in the Australian school system. </w:t>
      </w:r>
    </w:p>
    <w:p w14:paraId="0451BBD0" w14:textId="4C2172EA" w:rsidR="00D27626" w:rsidRPr="00C4084C" w:rsidRDefault="00D27626" w:rsidP="00622C9F">
      <w:r w:rsidRPr="00C4084C">
        <w:t xml:space="preserve">The loadings would recognise the additional costs </w:t>
      </w:r>
      <w:r w:rsidR="00246785" w:rsidRPr="00C4084C">
        <w:t>of</w:t>
      </w:r>
      <w:r w:rsidRPr="00C4084C">
        <w:t xml:space="preserve"> higher education providers in providing education to those requiring more academic and other support, a requirement which can be more prevalent in students </w:t>
      </w:r>
      <w:r w:rsidRPr="00C4084C">
        <w:lastRenderedPageBreak/>
        <w:t xml:space="preserve">from the target cohorts. Currently, students from target cohorts have a significantly lower success rate (proportion of units studied that are passed) and higher attrition rate than other students. </w:t>
      </w:r>
      <w:r w:rsidR="00847EDB" w:rsidRPr="00C4084C">
        <w:t>T</w:t>
      </w:r>
      <w:r w:rsidRPr="00C4084C">
        <w:t xml:space="preserve">hese students require additional support, though the Review acknowledges that student background is not the only predictor of where additional support is needed. </w:t>
      </w:r>
    </w:p>
    <w:p w14:paraId="4E9EBA42" w14:textId="1F200D7D" w:rsidR="00D27626" w:rsidRPr="00C4084C" w:rsidRDefault="00D27626" w:rsidP="00622C9F">
      <w:r w:rsidRPr="00C4084C">
        <w:t xml:space="preserve">The </w:t>
      </w:r>
      <w:r w:rsidR="00D16150" w:rsidRPr="00C4084C">
        <w:t xml:space="preserve">4 </w:t>
      </w:r>
      <w:r w:rsidRPr="00C4084C">
        <w:t>loadings align with the target cohorts and are for:</w:t>
      </w:r>
    </w:p>
    <w:p w14:paraId="3A5C4973" w14:textId="0020086E" w:rsidR="00D27626" w:rsidRPr="00C4084C" w:rsidRDefault="009A18EE" w:rsidP="00DE53AB">
      <w:pPr>
        <w:pStyle w:val="List"/>
        <w:numPr>
          <w:ilvl w:val="0"/>
          <w:numId w:val="55"/>
        </w:numPr>
      </w:pPr>
      <w:r w:rsidRPr="00C4084C">
        <w:t>students</w:t>
      </w:r>
      <w:r w:rsidR="00D27626" w:rsidRPr="00C4084C">
        <w:t xml:space="preserve"> from low SES backgrounds (which could be scaled to ensure funding is provided for those who require the most support)</w:t>
      </w:r>
    </w:p>
    <w:p w14:paraId="017A8198" w14:textId="77777777" w:rsidR="00D27626" w:rsidRPr="00C4084C" w:rsidRDefault="00D27626" w:rsidP="00DE53AB">
      <w:pPr>
        <w:pStyle w:val="List"/>
        <w:numPr>
          <w:ilvl w:val="0"/>
          <w:numId w:val="55"/>
        </w:numPr>
      </w:pPr>
      <w:r w:rsidRPr="00C4084C">
        <w:t>First Nations students</w:t>
      </w:r>
    </w:p>
    <w:p w14:paraId="53CA5C44" w14:textId="77777777" w:rsidR="00D27626" w:rsidRPr="00C4084C" w:rsidRDefault="00D27626" w:rsidP="00DE53AB">
      <w:pPr>
        <w:pStyle w:val="List"/>
        <w:numPr>
          <w:ilvl w:val="0"/>
          <w:numId w:val="55"/>
        </w:numPr>
      </w:pPr>
      <w:r w:rsidRPr="00C4084C">
        <w:t>students with disability</w:t>
      </w:r>
    </w:p>
    <w:p w14:paraId="15427173" w14:textId="3A42481C" w:rsidR="00D27626" w:rsidRPr="00C4084C" w:rsidRDefault="00E908F9" w:rsidP="00DE53AB">
      <w:pPr>
        <w:pStyle w:val="List"/>
        <w:numPr>
          <w:ilvl w:val="0"/>
          <w:numId w:val="55"/>
        </w:numPr>
      </w:pPr>
      <w:r w:rsidRPr="00C4084C">
        <w:t>p</w:t>
      </w:r>
      <w:r w:rsidR="00246785" w:rsidRPr="00C4084C">
        <w:t xml:space="preserve">ublic university </w:t>
      </w:r>
      <w:r w:rsidR="00D27626" w:rsidRPr="00C4084C">
        <w:t>campuses operating in regional areas</w:t>
      </w:r>
      <w:r w:rsidR="00C93C31" w:rsidRPr="00C4084C">
        <w:t xml:space="preserve"> (based on student enrolments)</w:t>
      </w:r>
      <w:r w:rsidR="00D27626" w:rsidRPr="00C4084C">
        <w:t>.</w:t>
      </w:r>
    </w:p>
    <w:p w14:paraId="3107186D" w14:textId="0337C34D" w:rsidR="00D27626" w:rsidRPr="00C4084C" w:rsidRDefault="00D27626" w:rsidP="00DE53AB">
      <w:r w:rsidRPr="00C4084C">
        <w:t>The first</w:t>
      </w:r>
      <w:r w:rsidRPr="00C4084C" w:rsidDel="00D16150">
        <w:t xml:space="preserve"> </w:t>
      </w:r>
      <w:r w:rsidR="00D16150" w:rsidRPr="00C4084C">
        <w:t>3</w:t>
      </w:r>
      <w:r w:rsidRPr="00C4084C">
        <w:t xml:space="preserve"> loadings are </w:t>
      </w:r>
      <w:r w:rsidR="001F3D7E" w:rsidRPr="00C4084C">
        <w:t xml:space="preserve">based on student characteristics </w:t>
      </w:r>
      <w:r w:rsidRPr="00C4084C">
        <w:t>and the fourth is institution-based</w:t>
      </w:r>
      <w:r w:rsidR="001F3D7E" w:rsidRPr="00C4084C">
        <w:t xml:space="preserve">, supporting </w:t>
      </w:r>
      <w:r w:rsidR="00246785" w:rsidRPr="00C4084C">
        <w:t xml:space="preserve">public university </w:t>
      </w:r>
      <w:r w:rsidR="001F3D7E" w:rsidRPr="00C4084C">
        <w:t xml:space="preserve">campuses </w:t>
      </w:r>
      <w:r w:rsidR="00A90F10" w:rsidRPr="00C4084C">
        <w:t xml:space="preserve">to </w:t>
      </w:r>
      <w:r w:rsidR="001F3D7E" w:rsidRPr="00C4084C">
        <w:t>deliver courses in regional areas</w:t>
      </w:r>
      <w:r w:rsidRPr="00C4084C">
        <w:t>. These loadings would form part of the core funding model in Australian higher education to ensure long-term funding that give</w:t>
      </w:r>
      <w:r w:rsidR="007677E6" w:rsidRPr="00C4084C">
        <w:t>s</w:t>
      </w:r>
      <w:r w:rsidRPr="00C4084C">
        <w:t xml:space="preserve"> higher education providers the stability they need to </w:t>
      </w:r>
      <w:proofErr w:type="gramStart"/>
      <w:r w:rsidRPr="00C4084C">
        <w:t xml:space="preserve">plan </w:t>
      </w:r>
      <w:r w:rsidR="690531CC" w:rsidRPr="00C4084C">
        <w:t>ahead</w:t>
      </w:r>
      <w:proofErr w:type="gramEnd"/>
      <w:r w:rsidRPr="00C4084C">
        <w:t xml:space="preserve">. The rates would be based on the best available evidence of additional costs to ensure students from the target cohorts are appropriately supported. The </w:t>
      </w:r>
      <w:r w:rsidR="0053210D" w:rsidRPr="00C4084C">
        <w:t>C</w:t>
      </w:r>
      <w:r w:rsidR="00E339A6" w:rsidRPr="00C4084C">
        <w:t>ommission</w:t>
      </w:r>
      <w:r w:rsidRPr="00C4084C">
        <w:t xml:space="preserve"> </w:t>
      </w:r>
      <w:r w:rsidR="000B2714" w:rsidRPr="00C4084C">
        <w:t>in</w:t>
      </w:r>
      <w:r w:rsidR="006848C6" w:rsidRPr="00C4084C">
        <w:t xml:space="preserve"> its role as </w:t>
      </w:r>
      <w:r w:rsidR="005A7647">
        <w:t xml:space="preserve">the </w:t>
      </w:r>
      <w:r w:rsidR="009A0CDE" w:rsidRPr="00C4084C">
        <w:t>p</w:t>
      </w:r>
      <w:r w:rsidR="006848C6" w:rsidRPr="00C4084C">
        <w:t xml:space="preserve">ricing </w:t>
      </w:r>
      <w:r w:rsidR="009A0CDE" w:rsidRPr="00C4084C">
        <w:t>a</w:t>
      </w:r>
      <w:r w:rsidR="006848C6" w:rsidRPr="00C4084C">
        <w:t>uthority</w:t>
      </w:r>
      <w:r w:rsidRPr="00C4084C">
        <w:t xml:space="preserve"> would steward this funding system into the future by determining the most appropriate funding rates and working with </w:t>
      </w:r>
      <w:r w:rsidR="00246785" w:rsidRPr="00C4084C">
        <w:t xml:space="preserve">universities </w:t>
      </w:r>
      <w:r w:rsidRPr="00C4084C">
        <w:t xml:space="preserve">to ensure </w:t>
      </w:r>
      <w:r w:rsidR="00683D21">
        <w:t xml:space="preserve">that </w:t>
      </w:r>
      <w:r w:rsidRPr="00C4084C">
        <w:t xml:space="preserve">the factors with the biggest impacts on student success are addressed. </w:t>
      </w:r>
    </w:p>
    <w:p w14:paraId="7840EAA8" w14:textId="3AAEE1FC" w:rsidR="00D27626" w:rsidRPr="00C4084C" w:rsidRDefault="00D27626" w:rsidP="00DE53AB">
      <w:r w:rsidRPr="00C4084C">
        <w:t xml:space="preserve">The </w:t>
      </w:r>
      <w:r w:rsidR="00E339A6" w:rsidRPr="00C4084C">
        <w:t>Commission</w:t>
      </w:r>
      <w:r w:rsidRPr="00C4084C">
        <w:t xml:space="preserve"> would be best placed to assess the </w:t>
      </w:r>
      <w:r w:rsidR="00B4513C" w:rsidRPr="00C4084C">
        <w:t xml:space="preserve">cost of meeting the </w:t>
      </w:r>
      <w:r w:rsidRPr="00C4084C">
        <w:t xml:space="preserve">needs of each cohort and determine appropriate loading amounts and distribution at the point of delivery. It would also be responsible for ensuring at the individual </w:t>
      </w:r>
      <w:r w:rsidR="00246785" w:rsidRPr="00C4084C">
        <w:t>university</w:t>
      </w:r>
      <w:r w:rsidRPr="00C4084C">
        <w:t xml:space="preserve"> level that discussions are held </w:t>
      </w:r>
      <w:r w:rsidR="00683D21">
        <w:t>about</w:t>
      </w:r>
      <w:r w:rsidR="00683D21" w:rsidRPr="00C4084C">
        <w:t xml:space="preserve"> </w:t>
      </w:r>
      <w:r w:rsidRPr="00C4084C">
        <w:t>target cohorts to ensure the funding allocation has maximum impact on student success.</w:t>
      </w:r>
    </w:p>
    <w:p w14:paraId="6D771FCC" w14:textId="1DD0308F" w:rsidR="00D27626" w:rsidRPr="00C4084C" w:rsidRDefault="00D27626" w:rsidP="00DE53AB">
      <w:r w:rsidRPr="00C4084C">
        <w:t>Loadings should recognise the cumulative and compounding effects of disadvantage for students who belong to more than one identified target cohort</w:t>
      </w:r>
      <w:r w:rsidR="004953A2" w:rsidRPr="00C4084C">
        <w:t xml:space="preserve">. </w:t>
      </w:r>
      <w:r w:rsidR="00853333" w:rsidRPr="00C4084C">
        <w:t xml:space="preserve">For example, </w:t>
      </w:r>
      <w:r w:rsidR="00802AFE" w:rsidRPr="00C4084C">
        <w:t>as shown in</w:t>
      </w:r>
      <w:r w:rsidR="00853333" w:rsidRPr="00C4084C">
        <w:t xml:space="preserve"> </w:t>
      </w:r>
      <w:r w:rsidR="00C03C76" w:rsidRPr="00C4084C">
        <w:fldChar w:fldCharType="begin"/>
      </w:r>
      <w:r w:rsidR="00C03C76" w:rsidRPr="00C4084C">
        <w:instrText xml:space="preserve"> REF _Ref153294429 \h </w:instrText>
      </w:r>
      <w:r w:rsidR="00656B79">
        <w:instrText xml:space="preserve"> \* MERGEFORMAT </w:instrText>
      </w:r>
      <w:r w:rsidR="00C03C76" w:rsidRPr="00C4084C">
        <w:fldChar w:fldCharType="separate"/>
      </w:r>
      <w:r w:rsidR="00467B4F" w:rsidRPr="00C4084C">
        <w:t xml:space="preserve">Figure </w:t>
      </w:r>
      <w:r w:rsidR="00467B4F">
        <w:rPr>
          <w:noProof/>
        </w:rPr>
        <w:t>16</w:t>
      </w:r>
      <w:r w:rsidR="00C03C76" w:rsidRPr="00C4084C">
        <w:fldChar w:fldCharType="end"/>
      </w:r>
      <w:r w:rsidR="00802AFE" w:rsidRPr="00C4084C">
        <w:t xml:space="preserve">, </w:t>
      </w:r>
      <w:r w:rsidR="004D1B81" w:rsidRPr="00C4084C">
        <w:t xml:space="preserve">attrition rates </w:t>
      </w:r>
      <w:r w:rsidR="00DA567A" w:rsidRPr="00C4084C">
        <w:t>for 2021 commencers</w:t>
      </w:r>
      <w:r w:rsidR="00802AFE" w:rsidRPr="00C4084C">
        <w:t xml:space="preserve"> </w:t>
      </w:r>
      <w:r w:rsidR="00853333" w:rsidRPr="00C4084C">
        <w:t>were higher among low SES students with disability (</w:t>
      </w:r>
      <w:r w:rsidR="00681409" w:rsidRPr="00C4084C">
        <w:t>21.6</w:t>
      </w:r>
      <w:r w:rsidR="00853333" w:rsidRPr="00C4084C">
        <w:t>%) compared with</w:t>
      </w:r>
      <w:r w:rsidR="004D1B81" w:rsidRPr="00C4084C">
        <w:t xml:space="preserve"> </w:t>
      </w:r>
      <w:r w:rsidR="00853333" w:rsidRPr="00C4084C">
        <w:t xml:space="preserve">both </w:t>
      </w:r>
      <w:r w:rsidR="004D1B81" w:rsidRPr="00C4084C">
        <w:t>students from low SES back</w:t>
      </w:r>
      <w:r w:rsidR="007677E6" w:rsidRPr="00C4084C">
        <w:t>g</w:t>
      </w:r>
      <w:r w:rsidR="004D1B81" w:rsidRPr="00C4084C">
        <w:t>rounds (</w:t>
      </w:r>
      <w:r w:rsidR="00681409" w:rsidRPr="00C4084C">
        <w:t>18</w:t>
      </w:r>
      <w:r w:rsidR="00802AFE" w:rsidRPr="00C4084C">
        <w:t>.0</w:t>
      </w:r>
      <w:r w:rsidR="004D1B81" w:rsidRPr="00C4084C">
        <w:t>%)</w:t>
      </w:r>
      <w:r w:rsidR="00853333" w:rsidRPr="00C4084C">
        <w:t xml:space="preserve"> and</w:t>
      </w:r>
      <w:r w:rsidR="004D1B81" w:rsidRPr="00C4084C">
        <w:t xml:space="preserve"> students with disability (16</w:t>
      </w:r>
      <w:r w:rsidR="00681409" w:rsidRPr="00C4084C">
        <w:t>.9</w:t>
      </w:r>
      <w:r w:rsidR="004D1B81" w:rsidRPr="00C4084C">
        <w:t>%)</w:t>
      </w:r>
      <w:r w:rsidR="00853333" w:rsidRPr="00C4084C">
        <w:t xml:space="preserve">. In addition, loadings should </w:t>
      </w:r>
      <w:r w:rsidRPr="00C4084C">
        <w:t xml:space="preserve">recognise that students with high ATARs perform well at university, regardless of their background. </w:t>
      </w:r>
    </w:p>
    <w:p w14:paraId="1A874A1B" w14:textId="2A3B399B" w:rsidR="00A01F07" w:rsidRPr="00D26B82" w:rsidRDefault="00D27626" w:rsidP="005C7CEB">
      <w:pPr>
        <w:pStyle w:val="Caption"/>
        <w:rPr>
          <w:b/>
          <w:bCs/>
          <w:sz w:val="24"/>
          <w:szCs w:val="24"/>
        </w:rPr>
      </w:pPr>
      <w:bookmarkStart w:id="669" w:name="_Ref153294429"/>
      <w:bookmarkStart w:id="670" w:name="_Toc154674778"/>
      <w:r w:rsidRPr="00D26B82">
        <w:rPr>
          <w:b/>
          <w:bCs/>
          <w:sz w:val="24"/>
          <w:szCs w:val="24"/>
        </w:rPr>
        <w:t xml:space="preserve">Figure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16</w:t>
      </w:r>
      <w:r w:rsidRPr="00D26B82">
        <w:rPr>
          <w:b/>
          <w:bCs/>
          <w:sz w:val="24"/>
          <w:szCs w:val="24"/>
        </w:rPr>
        <w:fldChar w:fldCharType="end"/>
      </w:r>
      <w:bookmarkEnd w:id="669"/>
      <w:r w:rsidRPr="00D26B82">
        <w:rPr>
          <w:b/>
          <w:bCs/>
          <w:sz w:val="24"/>
          <w:szCs w:val="24"/>
        </w:rPr>
        <w:t xml:space="preserve">: </w:t>
      </w:r>
      <w:r w:rsidR="00137358" w:rsidRPr="00D26B82">
        <w:rPr>
          <w:b/>
          <w:bCs/>
          <w:sz w:val="24"/>
          <w:szCs w:val="24"/>
        </w:rPr>
        <w:t xml:space="preserve">Cumulative disadvantage </w:t>
      </w:r>
      <w:r w:rsidR="00137358" w:rsidRPr="00D26B82">
        <w:rPr>
          <w:b/>
          <w:bCs/>
          <w:sz w:val="24"/>
          <w:szCs w:val="24"/>
        </w:rPr>
        <w:softHyphen/>
        <w:t>– a</w:t>
      </w:r>
      <w:r w:rsidRPr="00D26B82">
        <w:rPr>
          <w:b/>
          <w:bCs/>
          <w:sz w:val="24"/>
          <w:szCs w:val="24"/>
        </w:rPr>
        <w:t xml:space="preserve">ttrition rates for commencing </w:t>
      </w:r>
      <w:r w:rsidR="0046349B" w:rsidRPr="00D26B82">
        <w:rPr>
          <w:b/>
          <w:bCs/>
          <w:sz w:val="24"/>
          <w:szCs w:val="24"/>
        </w:rPr>
        <w:t>bachelor students</w:t>
      </w:r>
      <w:r w:rsidR="006F6795" w:rsidRPr="00D26B82">
        <w:rPr>
          <w:b/>
          <w:bCs/>
          <w:sz w:val="24"/>
          <w:szCs w:val="24"/>
        </w:rPr>
        <w:t xml:space="preserve">, </w:t>
      </w:r>
      <w:r w:rsidR="00652F5F" w:rsidRPr="00D26B82">
        <w:rPr>
          <w:b/>
          <w:bCs/>
          <w:sz w:val="24"/>
          <w:szCs w:val="24"/>
        </w:rPr>
        <w:t xml:space="preserve">share of </w:t>
      </w:r>
      <w:r w:rsidR="006554C1" w:rsidRPr="00D26B82">
        <w:rPr>
          <w:b/>
          <w:bCs/>
          <w:sz w:val="24"/>
          <w:szCs w:val="24"/>
        </w:rPr>
        <w:t>student demographic</w:t>
      </w:r>
      <w:r w:rsidR="00652F5F" w:rsidRPr="00D26B82">
        <w:rPr>
          <w:b/>
          <w:bCs/>
          <w:sz w:val="24"/>
          <w:szCs w:val="24"/>
        </w:rPr>
        <w:t xml:space="preserve"> (%)</w:t>
      </w:r>
      <w:r w:rsidR="006554C1" w:rsidRPr="00D26B82">
        <w:rPr>
          <w:b/>
          <w:bCs/>
          <w:sz w:val="24"/>
          <w:szCs w:val="24"/>
        </w:rPr>
        <w:t xml:space="preserve">, </w:t>
      </w:r>
      <w:r w:rsidR="00AB26E2" w:rsidRPr="00D26B82">
        <w:rPr>
          <w:b/>
          <w:bCs/>
          <w:sz w:val="24"/>
          <w:szCs w:val="24"/>
        </w:rPr>
        <w:t>202</w:t>
      </w:r>
      <w:r w:rsidR="00D840D1" w:rsidRPr="00D26B82">
        <w:rPr>
          <w:b/>
          <w:bCs/>
          <w:sz w:val="24"/>
          <w:szCs w:val="24"/>
        </w:rPr>
        <w:t>1</w:t>
      </w:r>
      <w:r w:rsidR="0046349B" w:rsidRPr="00D26B82">
        <w:rPr>
          <w:b/>
          <w:bCs/>
          <w:sz w:val="24"/>
          <w:szCs w:val="24"/>
        </w:rPr>
        <w:t xml:space="preserve"> commencers</w:t>
      </w:r>
      <w:r w:rsidR="008719C5" w:rsidRPr="00D26B82">
        <w:rPr>
          <w:b/>
          <w:bCs/>
          <w:sz w:val="24"/>
          <w:szCs w:val="24"/>
        </w:rPr>
        <w:t>.</w:t>
      </w:r>
      <w:bookmarkEnd w:id="670"/>
    </w:p>
    <w:p w14:paraId="6F826EB0" w14:textId="79145C58" w:rsidR="00F3585C" w:rsidRDefault="00F3585C" w:rsidP="006C089E">
      <w:pPr>
        <w:pStyle w:val="Source"/>
      </w:pPr>
      <w:r>
        <w:rPr>
          <w:noProof/>
        </w:rPr>
        <w:drawing>
          <wp:inline distT="0" distB="0" distL="0" distR="0" wp14:anchorId="144203B0" wp14:editId="18C076DF">
            <wp:extent cx="6002838" cy="2424223"/>
            <wp:effectExtent l="0" t="0" r="0" b="0"/>
            <wp:docPr id="1773296340" name="Graphic 16" descr="Column Graph showing attrition rates for commencing bachelor students in 2021 by target cohort, and the cumulative disadvantage for students in multiple target cohorts. Graph shows there is a compounding effect of disadvantage for students who belong to more than one identified target cohort. For example, attrition rates for 2021 commencers were higher among low SES students with disability (21.6 per cent) compared with both students from low SES backgrounds (18 per cent) and students with disability (16.9 per c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296340" name="Graphic 16" descr="Column Graph showing attrition rates for commencing bachelor students in 2021 by target cohort, and the cumulative disadvantage for students in multiple target cohorts. Graph shows there is a compounding effect of disadvantage for students who belong to more than one identified target cohort. For example, attrition rates for 2021 commencers were higher among low SES students with disability (21.6 per cent) compared with both students from low SES backgrounds (18 per cent) and students with disability (16.9 per cent). "/>
                    <pic:cNvPicPr/>
                  </pic:nvPicPr>
                  <pic:blipFill>
                    <a:blip r:embed="rId84">
                      <a:extLst>
                        <a:ext uri="{28A0092B-C50C-407E-A947-70E740481C1C}">
                          <a14:useLocalDpi xmlns:a14="http://schemas.microsoft.com/office/drawing/2010/main" val="0"/>
                        </a:ext>
                        <a:ext uri="{96DAC541-7B7A-43D3-8B79-37D633B846F1}">
                          <asvg:svgBlip xmlns:asvg="http://schemas.microsoft.com/office/drawing/2016/SVG/main" r:embed="rId85"/>
                        </a:ext>
                      </a:extLst>
                    </a:blip>
                    <a:stretch>
                      <a:fillRect/>
                    </a:stretch>
                  </pic:blipFill>
                  <pic:spPr>
                    <a:xfrm>
                      <a:off x="0" y="0"/>
                      <a:ext cx="6031899" cy="2435959"/>
                    </a:xfrm>
                    <a:prstGeom prst="rect">
                      <a:avLst/>
                    </a:prstGeom>
                  </pic:spPr>
                </pic:pic>
              </a:graphicData>
            </a:graphic>
          </wp:inline>
        </w:drawing>
      </w:r>
    </w:p>
    <w:p w14:paraId="75E0DB51" w14:textId="562F4BF9" w:rsidR="006C089E" w:rsidRPr="00C4084C" w:rsidRDefault="006C089E" w:rsidP="006C089E">
      <w:pPr>
        <w:pStyle w:val="Source"/>
      </w:pPr>
      <w:r w:rsidRPr="00C4084C">
        <w:t xml:space="preserve">Source: Department of Education, Higher Education Statistics – Student Data [unpublished data], </w:t>
      </w:r>
      <w:r w:rsidR="00EE1FC2" w:rsidRPr="00C4084C">
        <w:t>(</w:t>
      </w:r>
      <w:r w:rsidRPr="00C4084C">
        <w:t>Canberra</w:t>
      </w:r>
      <w:r w:rsidR="00EE1FC2" w:rsidRPr="00C4084C">
        <w:t>:</w:t>
      </w:r>
      <w:r w:rsidRPr="00C4084C">
        <w:t xml:space="preserve"> </w:t>
      </w:r>
      <w:r w:rsidR="00DB32F0" w:rsidRPr="00C4084C">
        <w:t>2022</w:t>
      </w:r>
      <w:r w:rsidR="00EE1FC2" w:rsidRPr="00C4084C">
        <w:t>)</w:t>
      </w:r>
      <w:r w:rsidRPr="00C4084C">
        <w:t>.</w:t>
      </w:r>
    </w:p>
    <w:p w14:paraId="12288695" w14:textId="7AC47B42" w:rsidR="00593D91" w:rsidRPr="00C4084C" w:rsidRDefault="00593D91" w:rsidP="00593D91">
      <w:pPr>
        <w:pStyle w:val="Source"/>
      </w:pPr>
      <w:r w:rsidRPr="00C4084C">
        <w:t>Note: Includes commencing bachelor students at Table A universities. Attrition rate is “New Adjusted” attrition rate.</w:t>
      </w:r>
      <w:r w:rsidR="005C7CEB" w:rsidRPr="00C4084C">
        <w:t xml:space="preserve"> Attrition is the proportion of students who commenced a course in </w:t>
      </w:r>
      <w:r w:rsidR="0046349B" w:rsidRPr="00C4084C">
        <w:t xml:space="preserve">2021 </w:t>
      </w:r>
      <w:r w:rsidR="005C7CEB" w:rsidRPr="00C4084C">
        <w:t xml:space="preserve">who neither completed in </w:t>
      </w:r>
      <w:r w:rsidR="0046349B" w:rsidRPr="00C4084C">
        <w:t xml:space="preserve">2021 </w:t>
      </w:r>
      <w:r w:rsidR="005C7CEB" w:rsidRPr="00C4084C">
        <w:t xml:space="preserve">or </w:t>
      </w:r>
      <w:r w:rsidR="0046349B" w:rsidRPr="00C4084C">
        <w:t>2022</w:t>
      </w:r>
      <w:r w:rsidR="005C7CEB" w:rsidRPr="00C4084C">
        <w:t xml:space="preserve">, nor </w:t>
      </w:r>
      <w:r w:rsidR="005C7CEB" w:rsidRPr="00C4084C">
        <w:lastRenderedPageBreak/>
        <w:t xml:space="preserve">returned in </w:t>
      </w:r>
      <w:r w:rsidR="0046349B" w:rsidRPr="00C4084C">
        <w:t xml:space="preserve">2022 </w:t>
      </w:r>
      <w:r w:rsidR="005C7CEB" w:rsidRPr="00C4084C">
        <w:t xml:space="preserve">at any provider in the system (i.e. students that move from one provider to another are not counted as </w:t>
      </w:r>
      <w:proofErr w:type="spellStart"/>
      <w:r w:rsidR="005C7CEB" w:rsidRPr="00C4084C">
        <w:t>attrited</w:t>
      </w:r>
      <w:proofErr w:type="spellEnd"/>
      <w:r w:rsidR="005C7CEB" w:rsidRPr="00C4084C">
        <w:t>).</w:t>
      </w:r>
      <w:r w:rsidR="00037861" w:rsidRPr="00C4084C">
        <w:t xml:space="preserve"> Attrition data for 2021 commencing students is the most recent available due to needing a full year of year 2 data to determine students’ status.</w:t>
      </w:r>
    </w:p>
    <w:p w14:paraId="63279C95" w14:textId="18A53F68" w:rsidR="00455D8C" w:rsidRPr="00C4084C" w:rsidRDefault="00455D8C" w:rsidP="00DE53AB">
      <w:r w:rsidRPr="00C4084C">
        <w:t xml:space="preserve">In addition to providing needs-based funding based on student characteristics, it is also important to recognise </w:t>
      </w:r>
      <w:r w:rsidR="007677E6" w:rsidRPr="00C4084C">
        <w:t>the</w:t>
      </w:r>
      <w:r w:rsidRPr="00C4084C">
        <w:t xml:space="preserve"> additional cost</w:t>
      </w:r>
      <w:r w:rsidR="007677E6" w:rsidRPr="00C4084C">
        <w:t>s</w:t>
      </w:r>
      <w:r w:rsidRPr="00C4084C">
        <w:t xml:space="preserve"> of </w:t>
      </w:r>
      <w:r w:rsidR="00064A9E" w:rsidRPr="00C4084C">
        <w:t>delivering courses to students</w:t>
      </w:r>
      <w:r w:rsidRPr="00C4084C">
        <w:t xml:space="preserve"> in regional areas. </w:t>
      </w:r>
      <w:r w:rsidR="000C4A8D" w:rsidRPr="00C4084C">
        <w:t xml:space="preserve">This is further discussed in </w:t>
      </w:r>
      <w:r w:rsidR="00B36DE0" w:rsidRPr="00C4084C">
        <w:rPr>
          <w:i/>
          <w:iCs/>
        </w:rPr>
        <w:fldChar w:fldCharType="begin"/>
      </w:r>
      <w:r w:rsidR="00B36DE0" w:rsidRPr="00C4084C">
        <w:rPr>
          <w:i/>
          <w:iCs/>
        </w:rPr>
        <w:instrText xml:space="preserve"> REF _Ref151935289 \r \h  \* MERGEFORMAT </w:instrText>
      </w:r>
      <w:r w:rsidR="00B36DE0" w:rsidRPr="00C4084C">
        <w:rPr>
          <w:i/>
          <w:iCs/>
        </w:rPr>
      </w:r>
      <w:r w:rsidR="00B36DE0" w:rsidRPr="00C4084C">
        <w:rPr>
          <w:i/>
          <w:iCs/>
        </w:rPr>
        <w:fldChar w:fldCharType="separate"/>
      </w:r>
      <w:r w:rsidR="00467B4F">
        <w:rPr>
          <w:i/>
          <w:iCs/>
        </w:rPr>
        <w:t xml:space="preserve">Chapter 7 – </w:t>
      </w:r>
      <w:r w:rsidR="00B36DE0" w:rsidRPr="00C4084C">
        <w:rPr>
          <w:i/>
          <w:iCs/>
        </w:rPr>
        <w:fldChar w:fldCharType="end"/>
      </w:r>
      <w:r w:rsidR="00B36DE0" w:rsidRPr="00C4084C">
        <w:rPr>
          <w:i/>
          <w:iCs/>
        </w:rPr>
        <w:fldChar w:fldCharType="begin"/>
      </w:r>
      <w:r w:rsidR="00B36DE0" w:rsidRPr="00C4084C">
        <w:rPr>
          <w:i/>
          <w:iCs/>
        </w:rPr>
        <w:instrText xml:space="preserve"> REF _Ref151935289 \h  \* MERGEFORMAT </w:instrText>
      </w:r>
      <w:r w:rsidR="00B36DE0" w:rsidRPr="00C4084C">
        <w:rPr>
          <w:i/>
          <w:iCs/>
        </w:rPr>
      </w:r>
      <w:r w:rsidR="00B36DE0" w:rsidRPr="00C4084C">
        <w:rPr>
          <w:i/>
          <w:iCs/>
        </w:rPr>
        <w:fldChar w:fldCharType="separate"/>
      </w:r>
      <w:r w:rsidR="00467B4F" w:rsidRPr="00467B4F">
        <w:rPr>
          <w:i/>
          <w:iCs/>
        </w:rPr>
        <w:t>Serving the regions through tertiary education</w:t>
      </w:r>
      <w:r w:rsidR="00B36DE0" w:rsidRPr="00C4084C">
        <w:rPr>
          <w:i/>
          <w:iCs/>
        </w:rPr>
        <w:fldChar w:fldCharType="end"/>
      </w:r>
      <w:r w:rsidR="000C4A8D" w:rsidRPr="00C4084C">
        <w:rPr>
          <w:i/>
          <w:iCs/>
        </w:rPr>
        <w:t>.</w:t>
      </w:r>
    </w:p>
    <w:p w14:paraId="720E4C87" w14:textId="78264994" w:rsidR="00A73645" w:rsidRPr="00C4084C" w:rsidRDefault="00D27626" w:rsidP="00285443">
      <w:r w:rsidRPr="00C4084C">
        <w:t xml:space="preserve">These loadings would represent a starting point for a new way of delivering and funding support for students in Australian higher education. Once established, the </w:t>
      </w:r>
      <w:r w:rsidR="00E339A6" w:rsidRPr="00C4084C">
        <w:t>Commission</w:t>
      </w:r>
      <w:r w:rsidRPr="00C4084C">
        <w:t xml:space="preserve"> could continue to improve this needs-based system as the quality of data and our understanding of the challenges faced by students improve. The development of these loadings is intended to be an iterative process informed by the </w:t>
      </w:r>
      <w:r w:rsidR="00E339A6" w:rsidRPr="00C4084C">
        <w:t>Commission’s</w:t>
      </w:r>
      <w:r w:rsidRPr="00C4084C">
        <w:t xml:space="preserve"> </w:t>
      </w:r>
      <w:r w:rsidR="008A3AEC" w:rsidRPr="00C4084C">
        <w:t>consultations with</w:t>
      </w:r>
      <w:r w:rsidRPr="00C4084C">
        <w:t xml:space="preserve"> providers and improved data collection and research practices in the sector. </w:t>
      </w:r>
    </w:p>
    <w:tbl>
      <w:tblPr>
        <w:tblW w:w="0" w:type="auto"/>
        <w:shd w:val="clear" w:color="auto" w:fill="FBE4D5"/>
        <w:tblLook w:val="04A0" w:firstRow="1" w:lastRow="0" w:firstColumn="1" w:lastColumn="0" w:noHBand="0" w:noVBand="1"/>
      </w:tblPr>
      <w:tblGrid>
        <w:gridCol w:w="9026"/>
      </w:tblGrid>
      <w:tr w:rsidR="00A73645" w:rsidRPr="00C4084C" w14:paraId="336307AB" w14:textId="77777777" w:rsidTr="00D26B82">
        <w:tc>
          <w:tcPr>
            <w:tcW w:w="9026" w:type="dxa"/>
            <w:shd w:val="clear" w:color="auto" w:fill="B0C3DB"/>
          </w:tcPr>
          <w:p w14:paraId="40FDC93C" w14:textId="6FE1AD59" w:rsidR="00DB7629" w:rsidRPr="00DB7629" w:rsidRDefault="0080264E" w:rsidP="003E5969">
            <w:pPr>
              <w:pStyle w:val="Findinginchapterheading"/>
              <w:rPr>
                <w:szCs w:val="24"/>
              </w:rPr>
            </w:pPr>
            <w:r w:rsidRPr="003E5969">
              <w:rPr>
                <w:rFonts w:ascii="Calibri" w:eastAsia="Yu Gothic Light" w:hAnsi="Calibri" w:cs="Calibri"/>
                <w:szCs w:val="24"/>
              </w:rPr>
              <w:t>Finding</w:t>
            </w:r>
            <w:r w:rsidR="00DB7629">
              <w:rPr>
                <w:szCs w:val="24"/>
              </w:rPr>
              <w:t xml:space="preserve">: </w:t>
            </w:r>
            <w:r w:rsidR="00A73645" w:rsidRPr="00C4084C">
              <w:t>Funding for equity</w:t>
            </w:r>
          </w:p>
          <w:p w14:paraId="299AD17A" w14:textId="7C28B6E7" w:rsidR="00A73645" w:rsidRPr="00C4084C" w:rsidRDefault="00A73645" w:rsidP="003E5969">
            <w:pPr>
              <w:pStyle w:val="Boxtext0"/>
              <w:spacing w:before="0"/>
              <w:rPr>
                <w:b/>
                <w:bCs/>
              </w:rPr>
            </w:pPr>
            <w:r w:rsidRPr="00C4084C">
              <w:t>Current funding arrangements limit enrolment growth in student cohorts from under-represented backgrounds because they do not reflect the additional costs of teaching these students who, on average, need additional support to succeed. </w:t>
            </w:r>
            <w:r w:rsidRPr="00C4084C">
              <w:rPr>
                <w:b/>
                <w:bCs/>
              </w:rPr>
              <w:t> </w:t>
            </w:r>
          </w:p>
        </w:tc>
      </w:tr>
    </w:tbl>
    <w:p w14:paraId="77EC3EC9" w14:textId="5EC08462" w:rsidR="001D4AEE" w:rsidRPr="00C4084C" w:rsidRDefault="001D4AEE" w:rsidP="00570A6C">
      <w:pPr>
        <w:pStyle w:val="Rec-frontmatternonheading"/>
      </w:pPr>
    </w:p>
    <w:tbl>
      <w:tblPr>
        <w:tblW w:w="0" w:type="auto"/>
        <w:shd w:val="clear" w:color="auto" w:fill="FBE4D5"/>
        <w:tblLook w:val="04A0" w:firstRow="1" w:lastRow="0" w:firstColumn="1" w:lastColumn="0" w:noHBand="0" w:noVBand="1"/>
      </w:tblPr>
      <w:tblGrid>
        <w:gridCol w:w="9026"/>
      </w:tblGrid>
      <w:tr w:rsidR="001B26BC" w:rsidRPr="00C4084C" w14:paraId="7DE0BEC3" w14:textId="77777777" w:rsidTr="00D26B82">
        <w:tc>
          <w:tcPr>
            <w:tcW w:w="9026" w:type="dxa"/>
            <w:shd w:val="clear" w:color="auto" w:fill="FEECDF"/>
          </w:tcPr>
          <w:p w14:paraId="59AF78F4" w14:textId="2C7CFD6D" w:rsidR="00FF79D6" w:rsidRDefault="00FF79D6" w:rsidP="003E5969">
            <w:pPr>
              <w:pStyle w:val="Recheadinginbox"/>
            </w:pPr>
            <w:r w:rsidRPr="00C4084C">
              <w:t>Recommendation</w:t>
            </w:r>
            <w:r>
              <w:t xml:space="preserve">: </w:t>
            </w:r>
            <w:r w:rsidRPr="00C4084C">
              <w:t>Support to participate and succeed in learning</w:t>
            </w:r>
          </w:p>
          <w:p w14:paraId="137AF16F" w14:textId="3730796F" w:rsidR="001B26BC" w:rsidRPr="00C4084C" w:rsidRDefault="001B26BC" w:rsidP="003E5969">
            <w:pPr>
              <w:pStyle w:val="Recsin-chapterL1"/>
              <w:framePr w:wrap="notBeside"/>
              <w:spacing w:before="0" w:after="0"/>
            </w:pPr>
            <w:r w:rsidRPr="00C4084C">
              <w:t xml:space="preserve">That to ensure the new focus on increasing the number of higher education students from an under-represented background is matched by a focus on the success of these students, the Australian Government adopt a needs-based funding model including:  </w:t>
            </w:r>
          </w:p>
          <w:p w14:paraId="6E8CF395" w14:textId="4EAA7345" w:rsidR="001B26BC" w:rsidRPr="00C4084C" w:rsidRDefault="001B26BC" w:rsidP="003E5969">
            <w:pPr>
              <w:pStyle w:val="Recsin-chapterL2"/>
              <w:spacing w:before="0" w:beforeAutospacing="0"/>
            </w:pPr>
            <w:r w:rsidRPr="00C4084C">
              <w:t>a per-student funding amount for under-represented students that recognises the cost of the additional support they need to succeed, specifically First Nations students, students from lowe</w:t>
            </w:r>
            <w:r w:rsidR="00494419">
              <w:t>r</w:t>
            </w:r>
            <w:r w:rsidRPr="00C4084C">
              <w:t xml:space="preserve"> quartile SES backgrounds, and students with disability</w:t>
            </w:r>
          </w:p>
          <w:p w14:paraId="3069872D" w14:textId="77777777" w:rsidR="001B26BC" w:rsidRPr="00C4084C" w:rsidRDefault="001B26BC" w:rsidP="003E5969">
            <w:pPr>
              <w:pStyle w:val="Recsin-chapterL2"/>
              <w:spacing w:before="0" w:beforeAutospacing="0"/>
            </w:pPr>
            <w:r w:rsidRPr="00C4084C">
              <w:t xml:space="preserve">a specific element based on the location of delivery in regional and remote Australia recognising the important equity issues involved in delivering courses to students in regional Australia, and the additional costs of that </w:t>
            </w:r>
            <w:proofErr w:type="gramStart"/>
            <w:r w:rsidRPr="00C4084C">
              <w:t>delivery</w:t>
            </w:r>
            <w:proofErr w:type="gramEnd"/>
          </w:p>
          <w:p w14:paraId="5B73A07D" w14:textId="77777777" w:rsidR="001B26BC" w:rsidRPr="00C4084C" w:rsidRDefault="001B26BC" w:rsidP="003E5969">
            <w:pPr>
              <w:pStyle w:val="Recsin-chapterL2"/>
              <w:spacing w:before="0" w:beforeAutospacing="0"/>
            </w:pPr>
            <w:r w:rsidRPr="00C4084C">
              <w:t>a completion bonus for higher education providers who meet agreed completion targets negotiated through their mission-based compact with a focus on students who face the largest barriers to success.</w:t>
            </w:r>
          </w:p>
        </w:tc>
      </w:tr>
    </w:tbl>
    <w:p w14:paraId="07BE9127" w14:textId="6CC078DB" w:rsidR="00D27626" w:rsidRPr="00C4084C" w:rsidRDefault="00D27626" w:rsidP="00745009">
      <w:pPr>
        <w:pStyle w:val="Heading3"/>
      </w:pPr>
      <w:bookmarkStart w:id="671" w:name="_Toc152068583"/>
      <w:bookmarkStart w:id="672" w:name="_Toc152068584"/>
      <w:bookmarkStart w:id="673" w:name="_Toc152068585"/>
      <w:bookmarkStart w:id="674" w:name="_Toc152068586"/>
      <w:bookmarkStart w:id="675" w:name="_Toc152068587"/>
      <w:bookmarkStart w:id="676" w:name="_Toc152068588"/>
      <w:bookmarkStart w:id="677" w:name="_Toc152068589"/>
      <w:bookmarkStart w:id="678" w:name="_Toc150523130"/>
      <w:bookmarkStart w:id="679" w:name="_Toc150692429"/>
      <w:bookmarkStart w:id="680" w:name="_Toc32133359"/>
      <w:bookmarkStart w:id="681" w:name="_Toc153483037"/>
      <w:bookmarkStart w:id="682" w:name="_Toc159500948"/>
      <w:bookmarkEnd w:id="671"/>
      <w:bookmarkEnd w:id="672"/>
      <w:bookmarkEnd w:id="673"/>
      <w:bookmarkEnd w:id="674"/>
      <w:bookmarkEnd w:id="675"/>
      <w:bookmarkEnd w:id="676"/>
      <w:bookmarkEnd w:id="677"/>
      <w:r w:rsidRPr="00C4084C">
        <w:t>Removing roadblocks to participation</w:t>
      </w:r>
      <w:bookmarkEnd w:id="678"/>
      <w:bookmarkEnd w:id="679"/>
      <w:bookmarkEnd w:id="680"/>
      <w:bookmarkEnd w:id="681"/>
      <w:bookmarkEnd w:id="682"/>
    </w:p>
    <w:p w14:paraId="34D328C3" w14:textId="27B5F835" w:rsidR="00D27626" w:rsidRPr="00C4084C" w:rsidRDefault="00D27626" w:rsidP="00BA6095">
      <w:pPr>
        <w:pStyle w:val="Heading4"/>
      </w:pPr>
      <w:bookmarkStart w:id="683" w:name="_Toc150523131"/>
      <w:bookmarkStart w:id="684" w:name="_Toc150692430"/>
      <w:bookmarkStart w:id="685" w:name="_Toc263209641"/>
      <w:bookmarkStart w:id="686" w:name="_Toc153483038"/>
      <w:bookmarkStart w:id="687" w:name="_Toc159500949"/>
      <w:r w:rsidRPr="00C4084C">
        <w:t>Financial barriers to study</w:t>
      </w:r>
      <w:bookmarkEnd w:id="683"/>
      <w:bookmarkEnd w:id="684"/>
      <w:bookmarkEnd w:id="685"/>
      <w:bookmarkEnd w:id="686"/>
      <w:bookmarkEnd w:id="687"/>
    </w:p>
    <w:p w14:paraId="23CF7F08" w14:textId="1DC1D779" w:rsidR="00D27626" w:rsidRPr="00C4084C" w:rsidRDefault="00D27626" w:rsidP="00DE53AB">
      <w:pPr>
        <w:rPr>
          <w:sz w:val="20"/>
        </w:rPr>
      </w:pPr>
      <w:r w:rsidRPr="00C4084C">
        <w:t xml:space="preserve">Stakeholders report that financial barriers deter prospective students. While the HELP system removes upfront tuition costs and levels the higher education playing field to a considerable degree, many students face pressure to meet </w:t>
      </w:r>
      <w:r w:rsidR="00017D70" w:rsidRPr="00C4084C">
        <w:t>living costs.</w:t>
      </w:r>
      <w:r w:rsidRPr="00C4084C">
        <w:t xml:space="preserve"> There is evidence </w:t>
      </w:r>
      <w:r w:rsidR="00860EF1" w:rsidRPr="00C4084C">
        <w:t xml:space="preserve">that </w:t>
      </w:r>
      <w:r w:rsidRPr="00C4084C">
        <w:t>financial considerations are front of mind for students from the target cohorts when making study choices</w:t>
      </w:r>
      <w:r w:rsidRPr="00C4084C">
        <w:rPr>
          <w:sz w:val="20"/>
        </w:rPr>
        <w:t>.</w:t>
      </w:r>
      <w:r w:rsidRPr="00C4084C">
        <w:rPr>
          <w:rStyle w:val="FootnoteReference"/>
          <w:rFonts w:cs="Arial"/>
          <w:sz w:val="20"/>
        </w:rPr>
        <w:footnoteReference w:id="229"/>
      </w:r>
    </w:p>
    <w:p w14:paraId="6A49269A" w14:textId="1349B1C4" w:rsidR="00D27626" w:rsidRPr="00C4084C" w:rsidRDefault="003C558D" w:rsidP="00DE53AB">
      <w:pPr>
        <w:rPr>
          <w:b/>
          <w:bCs/>
        </w:rPr>
      </w:pPr>
      <w:r w:rsidRPr="00C4084C">
        <w:lastRenderedPageBreak/>
        <w:t xml:space="preserve">In </w:t>
      </w:r>
      <w:r w:rsidR="00E17597" w:rsidRPr="00C4084C">
        <w:t>2015</w:t>
      </w:r>
      <w:r w:rsidR="00D27626" w:rsidRPr="00C4084C" w:rsidDel="003C558D">
        <w:t xml:space="preserve">, </w:t>
      </w:r>
      <w:r w:rsidR="00D27626" w:rsidRPr="00C4084C">
        <w:t xml:space="preserve">students from </w:t>
      </w:r>
      <w:r w:rsidRPr="00C4084C">
        <w:t xml:space="preserve">the lowest SES </w:t>
      </w:r>
      <w:r w:rsidR="00055B06" w:rsidRPr="00C4084C">
        <w:t xml:space="preserve">quartile </w:t>
      </w:r>
      <w:r w:rsidR="00D27626" w:rsidRPr="00C4084C">
        <w:t>were 13 percentage points more likely to report financial difficulties as a barrier to undertaking further study</w:t>
      </w:r>
      <w:r w:rsidRPr="00C4084C">
        <w:t xml:space="preserve"> than students from the highest SES </w:t>
      </w:r>
      <w:r w:rsidR="00055B06" w:rsidRPr="00C4084C">
        <w:t>quartile</w:t>
      </w:r>
      <w:r w:rsidR="00D27626" w:rsidRPr="00C4084C" w:rsidDel="003C558D">
        <w:t xml:space="preserve">. </w:t>
      </w:r>
      <w:r w:rsidRPr="00C4084C">
        <w:t>Low SES</w:t>
      </w:r>
      <w:r w:rsidR="00D27626" w:rsidRPr="00C4084C">
        <w:t xml:space="preserve"> students are also </w:t>
      </w:r>
      <w:r w:rsidR="00454FC3" w:rsidRPr="00C4084C">
        <w:t>significantly more</w:t>
      </w:r>
      <w:r w:rsidR="00D27626" w:rsidRPr="00C4084C">
        <w:t xml:space="preserve"> likely to encounter family responsibilities as a hurdle.</w:t>
      </w:r>
    </w:p>
    <w:p w14:paraId="135AD3D7" w14:textId="2ED45CC4" w:rsidR="00D27626" w:rsidRPr="00C4084C" w:rsidRDefault="00D27626" w:rsidP="005E5C5F">
      <w:pPr>
        <w:pStyle w:val="Caption"/>
      </w:pPr>
      <w:bookmarkStart w:id="688" w:name="_Ref150506673"/>
      <w:bookmarkStart w:id="689" w:name="_Ref150506665"/>
      <w:bookmarkStart w:id="690" w:name="_Toc153809632"/>
      <w:r w:rsidRPr="00C4084C">
        <w:t xml:space="preserve">Table </w:t>
      </w:r>
      <w:r w:rsidRPr="00C4084C">
        <w:fldChar w:fldCharType="begin"/>
      </w:r>
      <w:r w:rsidRPr="00C4084C">
        <w:instrText>SEQ Table \* ARABIC</w:instrText>
      </w:r>
      <w:r w:rsidRPr="00C4084C">
        <w:fldChar w:fldCharType="separate"/>
      </w:r>
      <w:r w:rsidR="00467B4F">
        <w:rPr>
          <w:noProof/>
        </w:rPr>
        <w:t>4</w:t>
      </w:r>
      <w:r w:rsidRPr="00C4084C">
        <w:fldChar w:fldCharType="end"/>
      </w:r>
      <w:bookmarkEnd w:id="688"/>
      <w:bookmarkEnd w:id="689"/>
      <w:r w:rsidRPr="00C4084C">
        <w:t xml:space="preserve">: </w:t>
      </w:r>
      <w:r w:rsidR="00021DDF" w:rsidRPr="00C4084C">
        <w:t xml:space="preserve">Barriers to further study identified by 16-year-olds, by </w:t>
      </w:r>
      <w:r w:rsidR="00603A86" w:rsidRPr="00C4084C">
        <w:t>share of students in each SES</w:t>
      </w:r>
      <w:r w:rsidR="00021DDF" w:rsidRPr="00C4084C">
        <w:t xml:space="preserve"> quartile</w:t>
      </w:r>
      <w:r w:rsidR="00603A86" w:rsidRPr="00C4084C">
        <w:t xml:space="preserve"> (%)</w:t>
      </w:r>
      <w:r w:rsidR="00021DDF" w:rsidRPr="00C4084C">
        <w:t xml:space="preserve">, </w:t>
      </w:r>
      <w:r w:rsidR="00E17597" w:rsidRPr="00C4084C">
        <w:t>2015</w:t>
      </w:r>
      <w:r w:rsidR="00021DDF" w:rsidRPr="00C4084C">
        <w:t>.</w:t>
      </w:r>
      <w:bookmarkEnd w:id="690"/>
    </w:p>
    <w:tbl>
      <w:tblPr>
        <w:tblStyle w:val="GridTable2-Accent3"/>
        <w:tblW w:w="9072" w:type="dxa"/>
        <w:tblLayout w:type="fixed"/>
        <w:tblLook w:val="04A0" w:firstRow="1" w:lastRow="0" w:firstColumn="1" w:lastColumn="0" w:noHBand="0" w:noVBand="1"/>
      </w:tblPr>
      <w:tblGrid>
        <w:gridCol w:w="2552"/>
        <w:gridCol w:w="1616"/>
        <w:gridCol w:w="1616"/>
        <w:gridCol w:w="1616"/>
        <w:gridCol w:w="1672"/>
      </w:tblGrid>
      <w:tr w:rsidR="00FB6A3D" w:rsidRPr="00C4084C" w14:paraId="6F037F9D" w14:textId="77777777">
        <w:trPr>
          <w:cnfStyle w:val="100000000000" w:firstRow="1" w:lastRow="0" w:firstColumn="0" w:lastColumn="0" w:oddVBand="0" w:evenVBand="0" w:oddHBand="0" w:evenHBand="0" w:firstRowFirstColumn="0" w:firstRowLastColumn="0" w:lastRowFirstColumn="0" w:lastRowLastColumn="0"/>
          <w:trHeight w:val="420"/>
          <w:tblHeader/>
        </w:trPr>
        <w:tc>
          <w:tcPr>
            <w:cnfStyle w:val="001000000000" w:firstRow="0" w:lastRow="0" w:firstColumn="1" w:lastColumn="0" w:oddVBand="0" w:evenVBand="0" w:oddHBand="0" w:evenHBand="0" w:firstRowFirstColumn="0" w:firstRowLastColumn="0" w:lastRowFirstColumn="0" w:lastRowLastColumn="0"/>
            <w:tcW w:w="2552" w:type="dxa"/>
            <w:vMerge w:val="restart"/>
            <w:tcBorders>
              <w:bottom w:val="single" w:sz="4" w:space="0" w:color="89DAF7"/>
              <w:right w:val="single" w:sz="12" w:space="0" w:color="A1E2F9"/>
            </w:tcBorders>
            <w:shd w:val="clear" w:color="auto" w:fill="D0F1FC"/>
          </w:tcPr>
          <w:p w14:paraId="1E7D962E" w14:textId="77777777" w:rsidR="00D27626" w:rsidRPr="00C4084C" w:rsidRDefault="00D27626">
            <w:pPr>
              <w:keepLines/>
              <w:spacing w:after="0"/>
              <w:rPr>
                <w:rFonts w:eastAsia="Calibri" w:cs="Arial"/>
                <w:b w:val="0"/>
                <w:bCs w:val="0"/>
              </w:rPr>
            </w:pPr>
            <w:r w:rsidRPr="00C4084C">
              <w:rPr>
                <w:rFonts w:eastAsia="Calibri" w:cs="Arial"/>
              </w:rPr>
              <w:t>Main barriers to study</w:t>
            </w:r>
          </w:p>
        </w:tc>
        <w:tc>
          <w:tcPr>
            <w:tcW w:w="6520" w:type="dxa"/>
            <w:gridSpan w:val="4"/>
            <w:tcBorders>
              <w:left w:val="single" w:sz="12" w:space="0" w:color="A1E2F9"/>
              <w:bottom w:val="single" w:sz="4" w:space="0" w:color="89DAF7"/>
            </w:tcBorders>
            <w:shd w:val="clear" w:color="auto" w:fill="D0F1FC"/>
          </w:tcPr>
          <w:p w14:paraId="52F72998" w14:textId="77777777" w:rsidR="00D27626" w:rsidRPr="00C4084C" w:rsidRDefault="00D27626">
            <w:pPr>
              <w:keepLines/>
              <w:spacing w:after="0"/>
              <w:jc w:val="center"/>
              <w:cnfStyle w:val="100000000000" w:firstRow="1" w:lastRow="0" w:firstColumn="0" w:lastColumn="0" w:oddVBand="0" w:evenVBand="0" w:oddHBand="0" w:evenHBand="0" w:firstRowFirstColumn="0" w:firstRowLastColumn="0" w:lastRowFirstColumn="0" w:lastRowLastColumn="0"/>
              <w:rPr>
                <w:rFonts w:eastAsia="Calibri" w:cs="Arial"/>
                <w:b w:val="0"/>
                <w:bCs w:val="0"/>
              </w:rPr>
            </w:pPr>
            <w:r w:rsidRPr="00C4084C">
              <w:rPr>
                <w:rFonts w:eastAsia="Calibri" w:cs="Arial"/>
              </w:rPr>
              <w:t>SES</w:t>
            </w:r>
          </w:p>
        </w:tc>
      </w:tr>
      <w:tr w:rsidR="00316B63" w:rsidRPr="00C4084C" w14:paraId="243612A2" w14:textId="77777777">
        <w:trPr>
          <w:cnfStyle w:val="100000000000" w:firstRow="1" w:lastRow="0" w:firstColumn="0" w:lastColumn="0" w:oddVBand="0" w:evenVBand="0" w:oddHBand="0" w:evenHBand="0" w:firstRowFirstColumn="0" w:firstRowLastColumn="0" w:lastRowFirstColumn="0" w:lastRowLastColumn="0"/>
          <w:trHeight w:val="420"/>
          <w:tblHeader/>
        </w:trPr>
        <w:tc>
          <w:tcPr>
            <w:cnfStyle w:val="001000000000" w:firstRow="0" w:lastRow="0" w:firstColumn="1" w:lastColumn="0" w:oddVBand="0" w:evenVBand="0" w:oddHBand="0" w:evenHBand="0" w:firstRowFirstColumn="0" w:firstRowLastColumn="0" w:lastRowFirstColumn="0" w:lastRowLastColumn="0"/>
            <w:tcW w:w="2552" w:type="dxa"/>
            <w:vMerge/>
            <w:tcBorders>
              <w:bottom w:val="single" w:sz="12" w:space="0" w:color="A1E2F9"/>
              <w:right w:val="single" w:sz="12" w:space="0" w:color="A1E2F9"/>
            </w:tcBorders>
            <w:shd w:val="clear" w:color="auto" w:fill="D0F1FC"/>
          </w:tcPr>
          <w:p w14:paraId="74438A3D" w14:textId="77777777" w:rsidR="00D27626" w:rsidRPr="00C4084C" w:rsidRDefault="00D27626">
            <w:pPr>
              <w:keepLines/>
              <w:spacing w:after="0"/>
              <w:rPr>
                <w:rFonts w:cs="Arial"/>
              </w:rPr>
            </w:pPr>
          </w:p>
        </w:tc>
        <w:tc>
          <w:tcPr>
            <w:tcW w:w="1616" w:type="dxa"/>
            <w:tcBorders>
              <w:top w:val="single" w:sz="4" w:space="0" w:color="89DAF7"/>
              <w:left w:val="single" w:sz="12" w:space="0" w:color="A1E2F9"/>
              <w:bottom w:val="single" w:sz="12" w:space="0" w:color="A1E2F9"/>
              <w:right w:val="single" w:sz="4" w:space="0" w:color="D0F1FC"/>
            </w:tcBorders>
            <w:shd w:val="clear" w:color="auto" w:fill="D0F1FC"/>
          </w:tcPr>
          <w:p w14:paraId="5E1B4F0D" w14:textId="2C91B51A" w:rsidR="00D27626" w:rsidRPr="00C4084C" w:rsidRDefault="00D27626">
            <w:pPr>
              <w:keepLines/>
              <w:spacing w:after="0"/>
              <w:jc w:val="right"/>
              <w:cnfStyle w:val="100000000000" w:firstRow="1" w:lastRow="0" w:firstColumn="0" w:lastColumn="0" w:oddVBand="0" w:evenVBand="0" w:oddHBand="0" w:evenHBand="0" w:firstRowFirstColumn="0" w:firstRowLastColumn="0" w:lastRowFirstColumn="0" w:lastRowLastColumn="0"/>
              <w:rPr>
                <w:rFonts w:eastAsia="Calibri" w:cs="Arial"/>
                <w:b w:val="0"/>
              </w:rPr>
            </w:pPr>
            <w:r w:rsidRPr="00C4084C">
              <w:rPr>
                <w:rFonts w:eastAsia="Calibri" w:cs="Arial"/>
              </w:rPr>
              <w:t>Quartile 1 (%)</w:t>
            </w:r>
            <w:r w:rsidR="00021DDF" w:rsidRPr="00C4084C">
              <w:rPr>
                <w:rFonts w:eastAsia="Calibri" w:cs="Arial"/>
              </w:rPr>
              <w:t xml:space="preserve"> </w:t>
            </w:r>
            <w:r w:rsidR="00B6066A" w:rsidRPr="00C4084C">
              <w:rPr>
                <w:rFonts w:eastAsia="Calibri" w:cs="Arial"/>
              </w:rPr>
              <w:t>(</w:t>
            </w:r>
            <w:r w:rsidR="00021DDF" w:rsidRPr="00C4084C">
              <w:rPr>
                <w:rFonts w:eastAsia="Calibri" w:cs="Arial"/>
              </w:rPr>
              <w:t>Lowest</w:t>
            </w:r>
            <w:r w:rsidR="00B6066A" w:rsidRPr="00C4084C">
              <w:rPr>
                <w:rFonts w:eastAsia="Calibri" w:cs="Arial"/>
              </w:rPr>
              <w:t>)</w:t>
            </w:r>
          </w:p>
        </w:tc>
        <w:tc>
          <w:tcPr>
            <w:tcW w:w="1616" w:type="dxa"/>
            <w:tcBorders>
              <w:top w:val="single" w:sz="4" w:space="0" w:color="89DAF7"/>
              <w:left w:val="single" w:sz="4" w:space="0" w:color="D0F1FC"/>
              <w:bottom w:val="single" w:sz="12" w:space="0" w:color="A1E2F9"/>
              <w:right w:val="single" w:sz="4" w:space="0" w:color="D0F1FC"/>
            </w:tcBorders>
            <w:shd w:val="clear" w:color="auto" w:fill="D0F1FC"/>
          </w:tcPr>
          <w:p w14:paraId="58B4A087" w14:textId="77777777" w:rsidR="00D27626" w:rsidRPr="00C4084C" w:rsidRDefault="00D27626">
            <w:pPr>
              <w:keepLines/>
              <w:spacing w:after="0"/>
              <w:jc w:val="right"/>
              <w:cnfStyle w:val="100000000000" w:firstRow="1" w:lastRow="0" w:firstColumn="0" w:lastColumn="0" w:oddVBand="0" w:evenVBand="0" w:oddHBand="0" w:evenHBand="0" w:firstRowFirstColumn="0" w:firstRowLastColumn="0" w:lastRowFirstColumn="0" w:lastRowLastColumn="0"/>
              <w:rPr>
                <w:rFonts w:eastAsia="Calibri" w:cs="Arial"/>
                <w:b w:val="0"/>
              </w:rPr>
            </w:pPr>
            <w:r w:rsidRPr="00C4084C">
              <w:rPr>
                <w:rFonts w:eastAsia="Calibri" w:cs="Arial"/>
              </w:rPr>
              <w:t>Quartile 2 (%)</w:t>
            </w:r>
          </w:p>
        </w:tc>
        <w:tc>
          <w:tcPr>
            <w:tcW w:w="1616" w:type="dxa"/>
            <w:tcBorders>
              <w:top w:val="single" w:sz="4" w:space="0" w:color="89DAF7"/>
              <w:left w:val="single" w:sz="4" w:space="0" w:color="D0F1FC"/>
              <w:bottom w:val="single" w:sz="12" w:space="0" w:color="A1E2F9"/>
              <w:right w:val="single" w:sz="4" w:space="0" w:color="D0F1FC"/>
            </w:tcBorders>
            <w:shd w:val="clear" w:color="auto" w:fill="D0F1FC"/>
          </w:tcPr>
          <w:p w14:paraId="247F5015" w14:textId="77777777" w:rsidR="00D27626" w:rsidRPr="00C4084C" w:rsidRDefault="00D27626">
            <w:pPr>
              <w:keepLines/>
              <w:spacing w:after="0"/>
              <w:jc w:val="right"/>
              <w:cnfStyle w:val="100000000000" w:firstRow="1" w:lastRow="0" w:firstColumn="0" w:lastColumn="0" w:oddVBand="0" w:evenVBand="0" w:oddHBand="0" w:evenHBand="0" w:firstRowFirstColumn="0" w:firstRowLastColumn="0" w:lastRowFirstColumn="0" w:lastRowLastColumn="0"/>
              <w:rPr>
                <w:rFonts w:eastAsia="Calibri" w:cs="Arial"/>
                <w:b w:val="0"/>
              </w:rPr>
            </w:pPr>
            <w:r w:rsidRPr="00C4084C">
              <w:rPr>
                <w:rFonts w:eastAsia="Calibri" w:cs="Arial"/>
              </w:rPr>
              <w:t>Quartile 3 (%)</w:t>
            </w:r>
          </w:p>
        </w:tc>
        <w:tc>
          <w:tcPr>
            <w:tcW w:w="1616" w:type="dxa"/>
            <w:tcBorders>
              <w:top w:val="single" w:sz="4" w:space="0" w:color="89DAF7"/>
              <w:left w:val="single" w:sz="4" w:space="0" w:color="D0F1FC"/>
              <w:bottom w:val="single" w:sz="12" w:space="0" w:color="A1E2F9"/>
              <w:right w:val="single" w:sz="4" w:space="0" w:color="D0F1FC"/>
            </w:tcBorders>
            <w:shd w:val="clear" w:color="auto" w:fill="D0F1FC"/>
          </w:tcPr>
          <w:p w14:paraId="433004D4" w14:textId="15A51415" w:rsidR="00021DDF" w:rsidRPr="00C4084C" w:rsidRDefault="00D27626">
            <w:pPr>
              <w:keepLines/>
              <w:spacing w:after="0"/>
              <w:jc w:val="right"/>
              <w:cnfStyle w:val="100000000000" w:firstRow="1" w:lastRow="0" w:firstColumn="0" w:lastColumn="0" w:oddVBand="0" w:evenVBand="0" w:oddHBand="0" w:evenHBand="0" w:firstRowFirstColumn="0" w:firstRowLastColumn="0" w:lastRowFirstColumn="0" w:lastRowLastColumn="0"/>
              <w:rPr>
                <w:rFonts w:eastAsia="Calibri" w:cs="Arial"/>
                <w:b w:val="0"/>
              </w:rPr>
            </w:pPr>
            <w:r w:rsidRPr="00C4084C">
              <w:rPr>
                <w:rFonts w:eastAsia="Calibri" w:cs="Arial"/>
              </w:rPr>
              <w:t>Quartile 4 (%)</w:t>
            </w:r>
            <w:r w:rsidR="00021DDF" w:rsidRPr="00C4084C">
              <w:rPr>
                <w:rFonts w:eastAsia="Calibri" w:cs="Arial"/>
              </w:rPr>
              <w:t xml:space="preserve"> </w:t>
            </w:r>
            <w:r w:rsidR="00B6066A" w:rsidRPr="00C4084C">
              <w:rPr>
                <w:rFonts w:eastAsia="Calibri" w:cs="Arial"/>
              </w:rPr>
              <w:t>(</w:t>
            </w:r>
            <w:r w:rsidR="00021DDF" w:rsidRPr="00C4084C">
              <w:rPr>
                <w:rFonts w:eastAsia="Calibri" w:cs="Arial"/>
              </w:rPr>
              <w:t>Highest</w:t>
            </w:r>
            <w:r w:rsidR="00B6066A" w:rsidRPr="00C4084C">
              <w:rPr>
                <w:rFonts w:eastAsia="Calibri" w:cs="Arial"/>
              </w:rPr>
              <w:t>)</w:t>
            </w:r>
          </w:p>
        </w:tc>
      </w:tr>
      <w:tr w:rsidR="00D27626" w:rsidRPr="00C4084C" w14:paraId="02F58F2C" w14:textId="77777777">
        <w:trPr>
          <w:cnfStyle w:val="000000100000" w:firstRow="0" w:lastRow="0" w:firstColumn="0" w:lastColumn="0" w:oddVBand="0" w:evenVBand="0" w:oddHBand="1" w:evenHBand="0" w:firstRowFirstColumn="0" w:firstRowLastColumn="0" w:lastRowFirstColumn="0" w:lastRowLastColumn="0"/>
          <w:cantSplit/>
          <w:trHeight w:val="390"/>
        </w:trPr>
        <w:tc>
          <w:tcPr>
            <w:cnfStyle w:val="001000000000" w:firstRow="0" w:lastRow="0" w:firstColumn="1" w:lastColumn="0" w:oddVBand="0" w:evenVBand="0" w:oddHBand="0" w:evenHBand="0" w:firstRowFirstColumn="0" w:firstRowLastColumn="0" w:lastRowFirstColumn="0" w:lastRowLastColumn="0"/>
            <w:tcW w:w="2552" w:type="dxa"/>
            <w:tcBorders>
              <w:top w:val="single" w:sz="12" w:space="0" w:color="A1E2F9"/>
              <w:bottom w:val="single" w:sz="8" w:space="0" w:color="A1E2F9"/>
              <w:right w:val="single" w:sz="12" w:space="0" w:color="A1E2F9"/>
            </w:tcBorders>
            <w:shd w:val="clear" w:color="auto" w:fill="auto"/>
          </w:tcPr>
          <w:p w14:paraId="49758D9E" w14:textId="77777777" w:rsidR="00D27626" w:rsidRPr="00C4084C" w:rsidRDefault="00D27626" w:rsidP="003011A8">
            <w:pPr>
              <w:keepLines/>
              <w:rPr>
                <w:rFonts w:eastAsia="Calibri" w:cs="Arial"/>
              </w:rPr>
            </w:pPr>
            <w:r w:rsidRPr="00C4084C">
              <w:rPr>
                <w:rFonts w:eastAsia="Calibri" w:cs="Arial"/>
              </w:rPr>
              <w:t>Academic ability</w:t>
            </w:r>
          </w:p>
        </w:tc>
        <w:tc>
          <w:tcPr>
            <w:tcW w:w="1616" w:type="dxa"/>
            <w:tcBorders>
              <w:top w:val="single" w:sz="12" w:space="0" w:color="A1E2F9"/>
              <w:left w:val="single" w:sz="12" w:space="0" w:color="A1E2F9"/>
              <w:bottom w:val="single" w:sz="4" w:space="0" w:color="89DAF7"/>
              <w:right w:val="single" w:sz="4" w:space="0" w:color="D0F1FC"/>
            </w:tcBorders>
            <w:shd w:val="clear" w:color="auto" w:fill="auto"/>
          </w:tcPr>
          <w:p w14:paraId="3DC6CC27" w14:textId="77777777" w:rsidR="00D27626" w:rsidRPr="00C4084C" w:rsidRDefault="00D27626" w:rsidP="00C048F0">
            <w:pPr>
              <w:keepLines/>
              <w:jc w:val="right"/>
              <w:cnfStyle w:val="000000100000" w:firstRow="0" w:lastRow="0" w:firstColumn="0" w:lastColumn="0" w:oddVBand="0" w:evenVBand="0" w:oddHBand="1" w:evenHBand="0" w:firstRowFirstColumn="0" w:firstRowLastColumn="0" w:lastRowFirstColumn="0" w:lastRowLastColumn="0"/>
              <w:rPr>
                <w:rFonts w:eastAsia="Calibri" w:cs="Arial"/>
              </w:rPr>
            </w:pPr>
            <w:r w:rsidRPr="00C4084C">
              <w:rPr>
                <w:rFonts w:eastAsia="Calibri" w:cs="Arial"/>
              </w:rPr>
              <w:t>19.9</w:t>
            </w:r>
          </w:p>
        </w:tc>
        <w:tc>
          <w:tcPr>
            <w:tcW w:w="1616" w:type="dxa"/>
            <w:tcBorders>
              <w:top w:val="single" w:sz="12" w:space="0" w:color="A1E2F9"/>
              <w:left w:val="single" w:sz="4" w:space="0" w:color="D0F1FC"/>
              <w:bottom w:val="single" w:sz="4" w:space="0" w:color="89DAF7"/>
              <w:right w:val="single" w:sz="4" w:space="0" w:color="D0F1FC"/>
            </w:tcBorders>
            <w:shd w:val="clear" w:color="auto" w:fill="auto"/>
          </w:tcPr>
          <w:p w14:paraId="0E92C146" w14:textId="77777777" w:rsidR="00D27626" w:rsidRPr="00C4084C" w:rsidRDefault="00D27626" w:rsidP="00C048F0">
            <w:pPr>
              <w:keepLines/>
              <w:jc w:val="right"/>
              <w:cnfStyle w:val="000000100000" w:firstRow="0" w:lastRow="0" w:firstColumn="0" w:lastColumn="0" w:oddVBand="0" w:evenVBand="0" w:oddHBand="1" w:evenHBand="0" w:firstRowFirstColumn="0" w:firstRowLastColumn="0" w:lastRowFirstColumn="0" w:lastRowLastColumn="0"/>
              <w:rPr>
                <w:rFonts w:eastAsia="Calibri" w:cs="Arial"/>
              </w:rPr>
            </w:pPr>
            <w:r w:rsidRPr="00C4084C">
              <w:rPr>
                <w:rFonts w:eastAsia="Calibri" w:cs="Arial"/>
              </w:rPr>
              <w:t>28.3</w:t>
            </w:r>
          </w:p>
        </w:tc>
        <w:tc>
          <w:tcPr>
            <w:tcW w:w="1616" w:type="dxa"/>
            <w:tcBorders>
              <w:top w:val="single" w:sz="12" w:space="0" w:color="A1E2F9"/>
              <w:left w:val="single" w:sz="4" w:space="0" w:color="D0F1FC"/>
              <w:bottom w:val="single" w:sz="4" w:space="0" w:color="89DAF7"/>
              <w:right w:val="single" w:sz="4" w:space="0" w:color="D0F1FC"/>
            </w:tcBorders>
            <w:shd w:val="clear" w:color="auto" w:fill="auto"/>
          </w:tcPr>
          <w:p w14:paraId="2F0D4A63" w14:textId="77777777" w:rsidR="00D27626" w:rsidRPr="00C4084C" w:rsidRDefault="00D27626" w:rsidP="00C048F0">
            <w:pPr>
              <w:keepLines/>
              <w:jc w:val="right"/>
              <w:cnfStyle w:val="000000100000" w:firstRow="0" w:lastRow="0" w:firstColumn="0" w:lastColumn="0" w:oddVBand="0" w:evenVBand="0" w:oddHBand="1" w:evenHBand="0" w:firstRowFirstColumn="0" w:firstRowLastColumn="0" w:lastRowFirstColumn="0" w:lastRowLastColumn="0"/>
              <w:rPr>
                <w:rFonts w:eastAsia="Calibri" w:cs="Arial"/>
              </w:rPr>
            </w:pPr>
            <w:r w:rsidRPr="00C4084C">
              <w:rPr>
                <w:rFonts w:eastAsia="Calibri" w:cs="Arial"/>
              </w:rPr>
              <w:t>24.4</w:t>
            </w:r>
          </w:p>
        </w:tc>
        <w:tc>
          <w:tcPr>
            <w:tcW w:w="1616" w:type="dxa"/>
            <w:tcBorders>
              <w:top w:val="single" w:sz="12" w:space="0" w:color="A1E2F9"/>
              <w:left w:val="single" w:sz="4" w:space="0" w:color="D0F1FC"/>
              <w:bottom w:val="single" w:sz="4" w:space="0" w:color="89DAF7"/>
            </w:tcBorders>
            <w:shd w:val="clear" w:color="auto" w:fill="auto"/>
          </w:tcPr>
          <w:p w14:paraId="2BEB7508" w14:textId="77777777" w:rsidR="00D27626" w:rsidRPr="00C4084C" w:rsidRDefault="00D27626" w:rsidP="00C048F0">
            <w:pPr>
              <w:keepLines/>
              <w:jc w:val="right"/>
              <w:cnfStyle w:val="000000100000" w:firstRow="0" w:lastRow="0" w:firstColumn="0" w:lastColumn="0" w:oddVBand="0" w:evenVBand="0" w:oddHBand="1" w:evenHBand="0" w:firstRowFirstColumn="0" w:firstRowLastColumn="0" w:lastRowFirstColumn="0" w:lastRowLastColumn="0"/>
              <w:rPr>
                <w:rFonts w:eastAsia="Calibri" w:cs="Arial"/>
              </w:rPr>
            </w:pPr>
            <w:r w:rsidRPr="00C4084C">
              <w:rPr>
                <w:rFonts w:eastAsia="Calibri" w:cs="Arial"/>
              </w:rPr>
              <w:t>21.4</w:t>
            </w:r>
          </w:p>
        </w:tc>
      </w:tr>
      <w:tr w:rsidR="00D27626" w:rsidRPr="00C4084C" w14:paraId="68428114" w14:textId="77777777">
        <w:trPr>
          <w:cantSplit/>
          <w:trHeight w:val="420"/>
        </w:trPr>
        <w:tc>
          <w:tcPr>
            <w:cnfStyle w:val="001000000000" w:firstRow="0" w:lastRow="0" w:firstColumn="1" w:lastColumn="0" w:oddVBand="0" w:evenVBand="0" w:oddHBand="0" w:evenHBand="0" w:firstRowFirstColumn="0" w:firstRowLastColumn="0" w:lastRowFirstColumn="0" w:lastRowLastColumn="0"/>
            <w:tcW w:w="2552" w:type="dxa"/>
            <w:tcBorders>
              <w:top w:val="single" w:sz="8" w:space="0" w:color="A1E2F9"/>
              <w:bottom w:val="single" w:sz="8" w:space="0" w:color="A1E2F9"/>
              <w:right w:val="single" w:sz="12" w:space="0" w:color="A1E2F9"/>
            </w:tcBorders>
            <w:shd w:val="clear" w:color="auto" w:fill="auto"/>
          </w:tcPr>
          <w:p w14:paraId="2182479B" w14:textId="77777777" w:rsidR="00D27626" w:rsidRPr="00C4084C" w:rsidRDefault="00D27626" w:rsidP="003011A8">
            <w:pPr>
              <w:keepLines/>
              <w:rPr>
                <w:rFonts w:eastAsia="Calibri" w:cs="Arial"/>
              </w:rPr>
            </w:pPr>
            <w:r w:rsidRPr="00C4084C">
              <w:rPr>
                <w:rFonts w:eastAsia="Calibri" w:cs="Arial"/>
              </w:rPr>
              <w:t xml:space="preserve">Financial difficulty </w:t>
            </w:r>
          </w:p>
        </w:tc>
        <w:tc>
          <w:tcPr>
            <w:tcW w:w="1616" w:type="dxa"/>
            <w:tcBorders>
              <w:top w:val="single" w:sz="4" w:space="0" w:color="89DAF7"/>
              <w:left w:val="single" w:sz="12" w:space="0" w:color="A1E2F9"/>
              <w:bottom w:val="single" w:sz="4" w:space="0" w:color="89DAF7"/>
              <w:right w:val="single" w:sz="4" w:space="0" w:color="D0F1FC"/>
            </w:tcBorders>
            <w:shd w:val="clear" w:color="auto" w:fill="auto"/>
          </w:tcPr>
          <w:p w14:paraId="1E01B6C4" w14:textId="77777777" w:rsidR="00D27626" w:rsidRPr="00C4084C" w:rsidRDefault="00D27626" w:rsidP="00C048F0">
            <w:pPr>
              <w:keepLines/>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34.7</w:t>
            </w:r>
          </w:p>
        </w:tc>
        <w:tc>
          <w:tcPr>
            <w:tcW w:w="1616" w:type="dxa"/>
            <w:tcBorders>
              <w:top w:val="single" w:sz="4" w:space="0" w:color="89DAF7"/>
              <w:left w:val="single" w:sz="4" w:space="0" w:color="D0F1FC"/>
              <w:bottom w:val="single" w:sz="4" w:space="0" w:color="89DAF7"/>
              <w:right w:val="single" w:sz="4" w:space="0" w:color="D0F1FC"/>
            </w:tcBorders>
            <w:shd w:val="clear" w:color="auto" w:fill="auto"/>
          </w:tcPr>
          <w:p w14:paraId="42CD4330" w14:textId="77777777" w:rsidR="00D27626" w:rsidRPr="00C4084C" w:rsidRDefault="00D27626" w:rsidP="00C048F0">
            <w:pPr>
              <w:keepLines/>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31.4</w:t>
            </w:r>
          </w:p>
        </w:tc>
        <w:tc>
          <w:tcPr>
            <w:tcW w:w="1616" w:type="dxa"/>
            <w:tcBorders>
              <w:top w:val="single" w:sz="4" w:space="0" w:color="89DAF7"/>
              <w:left w:val="single" w:sz="4" w:space="0" w:color="D0F1FC"/>
              <w:bottom w:val="single" w:sz="4" w:space="0" w:color="89DAF7"/>
              <w:right w:val="single" w:sz="4" w:space="0" w:color="D0F1FC"/>
            </w:tcBorders>
            <w:shd w:val="clear" w:color="auto" w:fill="auto"/>
          </w:tcPr>
          <w:p w14:paraId="579754F0" w14:textId="77777777" w:rsidR="00D27626" w:rsidRPr="00C4084C" w:rsidRDefault="00D27626" w:rsidP="00C048F0">
            <w:pPr>
              <w:keepLines/>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21.7</w:t>
            </w:r>
          </w:p>
        </w:tc>
        <w:tc>
          <w:tcPr>
            <w:tcW w:w="1616" w:type="dxa"/>
            <w:tcBorders>
              <w:top w:val="single" w:sz="4" w:space="0" w:color="89DAF7"/>
              <w:left w:val="single" w:sz="4" w:space="0" w:color="D0F1FC"/>
              <w:bottom w:val="single" w:sz="4" w:space="0" w:color="89DAF7"/>
            </w:tcBorders>
            <w:shd w:val="clear" w:color="auto" w:fill="auto"/>
          </w:tcPr>
          <w:p w14:paraId="63A2667C" w14:textId="77777777" w:rsidR="00D27626" w:rsidRPr="00C4084C" w:rsidRDefault="00D27626" w:rsidP="00C048F0">
            <w:pPr>
              <w:keepLines/>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22.0</w:t>
            </w:r>
          </w:p>
        </w:tc>
      </w:tr>
      <w:tr w:rsidR="00D27626" w:rsidRPr="00C4084C" w14:paraId="1242B311" w14:textId="77777777">
        <w:trPr>
          <w:cnfStyle w:val="000000100000" w:firstRow="0" w:lastRow="0" w:firstColumn="0" w:lastColumn="0" w:oddVBand="0" w:evenVBand="0" w:oddHBand="1" w:evenHBand="0" w:firstRowFirstColumn="0" w:firstRowLastColumn="0" w:lastRowFirstColumn="0" w:lastRowLastColumn="0"/>
          <w:cantSplit/>
          <w:trHeight w:val="540"/>
        </w:trPr>
        <w:tc>
          <w:tcPr>
            <w:cnfStyle w:val="001000000000" w:firstRow="0" w:lastRow="0" w:firstColumn="1" w:lastColumn="0" w:oddVBand="0" w:evenVBand="0" w:oddHBand="0" w:evenHBand="0" w:firstRowFirstColumn="0" w:firstRowLastColumn="0" w:lastRowFirstColumn="0" w:lastRowLastColumn="0"/>
            <w:tcW w:w="2552" w:type="dxa"/>
            <w:tcBorders>
              <w:top w:val="single" w:sz="8" w:space="0" w:color="A1E2F9"/>
              <w:bottom w:val="single" w:sz="8" w:space="0" w:color="A1E2F9"/>
              <w:right w:val="single" w:sz="12" w:space="0" w:color="A1E2F9"/>
            </w:tcBorders>
            <w:shd w:val="clear" w:color="auto" w:fill="auto"/>
          </w:tcPr>
          <w:p w14:paraId="5A5EDAE5" w14:textId="77777777" w:rsidR="00D27626" w:rsidRPr="00C4084C" w:rsidRDefault="00D27626" w:rsidP="003011A8">
            <w:pPr>
              <w:keepLines/>
              <w:rPr>
                <w:rFonts w:eastAsia="Calibri" w:cs="Arial"/>
              </w:rPr>
            </w:pPr>
            <w:r w:rsidRPr="00C4084C">
              <w:rPr>
                <w:rFonts w:eastAsia="Calibri" w:cs="Arial"/>
              </w:rPr>
              <w:t>Family responsibility</w:t>
            </w:r>
          </w:p>
        </w:tc>
        <w:tc>
          <w:tcPr>
            <w:tcW w:w="1616" w:type="dxa"/>
            <w:tcBorders>
              <w:top w:val="single" w:sz="4" w:space="0" w:color="89DAF7"/>
              <w:left w:val="single" w:sz="12" w:space="0" w:color="A1E2F9"/>
              <w:bottom w:val="single" w:sz="4" w:space="0" w:color="89DAF7"/>
              <w:right w:val="single" w:sz="4" w:space="0" w:color="D0F1FC"/>
            </w:tcBorders>
            <w:shd w:val="clear" w:color="auto" w:fill="auto"/>
          </w:tcPr>
          <w:p w14:paraId="04005BFC" w14:textId="77777777" w:rsidR="00D27626" w:rsidRPr="00C4084C" w:rsidRDefault="00D27626" w:rsidP="00C048F0">
            <w:pPr>
              <w:keepLines/>
              <w:jc w:val="right"/>
              <w:cnfStyle w:val="000000100000" w:firstRow="0" w:lastRow="0" w:firstColumn="0" w:lastColumn="0" w:oddVBand="0" w:evenVBand="0" w:oddHBand="1" w:evenHBand="0" w:firstRowFirstColumn="0" w:firstRowLastColumn="0" w:lastRowFirstColumn="0" w:lastRowLastColumn="0"/>
              <w:rPr>
                <w:rFonts w:eastAsia="Calibri" w:cs="Arial"/>
              </w:rPr>
            </w:pPr>
            <w:r w:rsidRPr="00C4084C">
              <w:rPr>
                <w:rFonts w:eastAsia="Calibri" w:cs="Arial"/>
              </w:rPr>
              <w:t>17.5</w:t>
            </w:r>
          </w:p>
        </w:tc>
        <w:tc>
          <w:tcPr>
            <w:tcW w:w="1616" w:type="dxa"/>
            <w:tcBorders>
              <w:top w:val="single" w:sz="4" w:space="0" w:color="89DAF7"/>
              <w:left w:val="single" w:sz="4" w:space="0" w:color="D0F1FC"/>
              <w:bottom w:val="single" w:sz="4" w:space="0" w:color="89DAF7"/>
              <w:right w:val="single" w:sz="4" w:space="0" w:color="D0F1FC"/>
            </w:tcBorders>
            <w:shd w:val="clear" w:color="auto" w:fill="auto"/>
          </w:tcPr>
          <w:p w14:paraId="1CD58F64" w14:textId="77777777" w:rsidR="00D27626" w:rsidRPr="00C4084C" w:rsidRDefault="00D27626" w:rsidP="00C048F0">
            <w:pPr>
              <w:keepLines/>
              <w:jc w:val="right"/>
              <w:cnfStyle w:val="000000100000" w:firstRow="0" w:lastRow="0" w:firstColumn="0" w:lastColumn="0" w:oddVBand="0" w:evenVBand="0" w:oddHBand="1" w:evenHBand="0" w:firstRowFirstColumn="0" w:firstRowLastColumn="0" w:lastRowFirstColumn="0" w:lastRowLastColumn="0"/>
              <w:rPr>
                <w:rFonts w:eastAsia="Calibri" w:cs="Arial"/>
              </w:rPr>
            </w:pPr>
            <w:r w:rsidRPr="00C4084C">
              <w:rPr>
                <w:rFonts w:eastAsia="Calibri" w:cs="Arial"/>
              </w:rPr>
              <w:t>13.1</w:t>
            </w:r>
          </w:p>
        </w:tc>
        <w:tc>
          <w:tcPr>
            <w:tcW w:w="1616" w:type="dxa"/>
            <w:tcBorders>
              <w:top w:val="single" w:sz="4" w:space="0" w:color="89DAF7"/>
              <w:left w:val="single" w:sz="4" w:space="0" w:color="D0F1FC"/>
              <w:bottom w:val="single" w:sz="4" w:space="0" w:color="89DAF7"/>
              <w:right w:val="single" w:sz="4" w:space="0" w:color="D0F1FC"/>
            </w:tcBorders>
            <w:shd w:val="clear" w:color="auto" w:fill="auto"/>
          </w:tcPr>
          <w:p w14:paraId="47EAB5B0" w14:textId="77777777" w:rsidR="00D27626" w:rsidRPr="00C4084C" w:rsidRDefault="00D27626" w:rsidP="00C048F0">
            <w:pPr>
              <w:keepLines/>
              <w:jc w:val="right"/>
              <w:cnfStyle w:val="000000100000" w:firstRow="0" w:lastRow="0" w:firstColumn="0" w:lastColumn="0" w:oddVBand="0" w:evenVBand="0" w:oddHBand="1" w:evenHBand="0" w:firstRowFirstColumn="0" w:firstRowLastColumn="0" w:lastRowFirstColumn="0" w:lastRowLastColumn="0"/>
              <w:rPr>
                <w:rFonts w:eastAsia="Calibri" w:cs="Arial"/>
              </w:rPr>
            </w:pPr>
            <w:r w:rsidRPr="00C4084C">
              <w:rPr>
                <w:rFonts w:eastAsia="Calibri" w:cs="Arial"/>
              </w:rPr>
              <w:t>10.7</w:t>
            </w:r>
          </w:p>
        </w:tc>
        <w:tc>
          <w:tcPr>
            <w:tcW w:w="1616" w:type="dxa"/>
            <w:tcBorders>
              <w:top w:val="single" w:sz="4" w:space="0" w:color="89DAF7"/>
              <w:left w:val="single" w:sz="4" w:space="0" w:color="D0F1FC"/>
              <w:bottom w:val="single" w:sz="4" w:space="0" w:color="89DAF7"/>
            </w:tcBorders>
            <w:shd w:val="clear" w:color="auto" w:fill="auto"/>
          </w:tcPr>
          <w:p w14:paraId="1248E9EC" w14:textId="77777777" w:rsidR="00D27626" w:rsidRPr="00C4084C" w:rsidRDefault="00D27626" w:rsidP="00C048F0">
            <w:pPr>
              <w:keepLines/>
              <w:jc w:val="right"/>
              <w:cnfStyle w:val="000000100000" w:firstRow="0" w:lastRow="0" w:firstColumn="0" w:lastColumn="0" w:oddVBand="0" w:evenVBand="0" w:oddHBand="1" w:evenHBand="0" w:firstRowFirstColumn="0" w:firstRowLastColumn="0" w:lastRowFirstColumn="0" w:lastRowLastColumn="0"/>
              <w:rPr>
                <w:rFonts w:eastAsia="Calibri" w:cs="Arial"/>
              </w:rPr>
            </w:pPr>
            <w:r w:rsidRPr="00C4084C">
              <w:rPr>
                <w:rFonts w:eastAsia="Calibri" w:cs="Arial"/>
              </w:rPr>
              <w:t>9.8</w:t>
            </w:r>
          </w:p>
        </w:tc>
      </w:tr>
      <w:tr w:rsidR="00D27626" w:rsidRPr="00C4084C" w14:paraId="290C0CE7" w14:textId="77777777">
        <w:trPr>
          <w:cantSplit/>
          <w:trHeight w:val="540"/>
        </w:trPr>
        <w:tc>
          <w:tcPr>
            <w:cnfStyle w:val="001000000000" w:firstRow="0" w:lastRow="0" w:firstColumn="1" w:lastColumn="0" w:oddVBand="0" w:evenVBand="0" w:oddHBand="0" w:evenHBand="0" w:firstRowFirstColumn="0" w:firstRowLastColumn="0" w:lastRowFirstColumn="0" w:lastRowLastColumn="0"/>
            <w:tcW w:w="2552" w:type="dxa"/>
            <w:tcBorders>
              <w:top w:val="single" w:sz="8" w:space="0" w:color="A1E2F9"/>
              <w:bottom w:val="single" w:sz="8" w:space="0" w:color="A1E2F9"/>
              <w:right w:val="single" w:sz="12" w:space="0" w:color="A1E2F9"/>
            </w:tcBorders>
            <w:shd w:val="clear" w:color="auto" w:fill="auto"/>
          </w:tcPr>
          <w:p w14:paraId="23DC4CB9" w14:textId="77777777" w:rsidR="00D27626" w:rsidRPr="00C4084C" w:rsidRDefault="00D27626" w:rsidP="003011A8">
            <w:pPr>
              <w:keepLines/>
              <w:rPr>
                <w:rFonts w:eastAsia="Calibri" w:cs="Arial"/>
              </w:rPr>
            </w:pPr>
            <w:r w:rsidRPr="00C4084C">
              <w:rPr>
                <w:rFonts w:eastAsia="Calibri" w:cs="Arial"/>
              </w:rPr>
              <w:t>Lack of family support</w:t>
            </w:r>
          </w:p>
        </w:tc>
        <w:tc>
          <w:tcPr>
            <w:tcW w:w="1616" w:type="dxa"/>
            <w:tcBorders>
              <w:top w:val="single" w:sz="4" w:space="0" w:color="89DAF7"/>
              <w:left w:val="single" w:sz="12" w:space="0" w:color="A1E2F9"/>
              <w:bottom w:val="single" w:sz="4" w:space="0" w:color="89DAF7"/>
              <w:right w:val="single" w:sz="4" w:space="0" w:color="D0F1FC"/>
            </w:tcBorders>
            <w:shd w:val="clear" w:color="auto" w:fill="auto"/>
          </w:tcPr>
          <w:p w14:paraId="55781BDD" w14:textId="77777777" w:rsidR="00D27626" w:rsidRPr="00C4084C" w:rsidRDefault="00D27626" w:rsidP="00C048F0">
            <w:pPr>
              <w:keepLines/>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8.8</w:t>
            </w:r>
          </w:p>
        </w:tc>
        <w:tc>
          <w:tcPr>
            <w:tcW w:w="1616" w:type="dxa"/>
            <w:tcBorders>
              <w:top w:val="single" w:sz="4" w:space="0" w:color="89DAF7"/>
              <w:left w:val="single" w:sz="4" w:space="0" w:color="D0F1FC"/>
              <w:bottom w:val="single" w:sz="4" w:space="0" w:color="89DAF7"/>
              <w:right w:val="single" w:sz="4" w:space="0" w:color="D0F1FC"/>
            </w:tcBorders>
            <w:shd w:val="clear" w:color="auto" w:fill="auto"/>
          </w:tcPr>
          <w:p w14:paraId="7BD1D223" w14:textId="77777777" w:rsidR="00D27626" w:rsidRPr="00C4084C" w:rsidRDefault="00D27626" w:rsidP="00C048F0">
            <w:pPr>
              <w:keepLines/>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8.1</w:t>
            </w:r>
          </w:p>
        </w:tc>
        <w:tc>
          <w:tcPr>
            <w:tcW w:w="1616" w:type="dxa"/>
            <w:tcBorders>
              <w:top w:val="single" w:sz="4" w:space="0" w:color="89DAF7"/>
              <w:left w:val="single" w:sz="4" w:space="0" w:color="D0F1FC"/>
              <w:bottom w:val="single" w:sz="4" w:space="0" w:color="89DAF7"/>
              <w:right w:val="single" w:sz="4" w:space="0" w:color="D0F1FC"/>
            </w:tcBorders>
            <w:shd w:val="clear" w:color="auto" w:fill="auto"/>
          </w:tcPr>
          <w:p w14:paraId="3B777549" w14:textId="77777777" w:rsidR="00D27626" w:rsidRPr="00C4084C" w:rsidRDefault="00D27626" w:rsidP="00C048F0">
            <w:pPr>
              <w:keepLines/>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4.7</w:t>
            </w:r>
          </w:p>
        </w:tc>
        <w:tc>
          <w:tcPr>
            <w:tcW w:w="1616" w:type="dxa"/>
            <w:tcBorders>
              <w:top w:val="single" w:sz="4" w:space="0" w:color="89DAF7"/>
              <w:left w:val="single" w:sz="4" w:space="0" w:color="D0F1FC"/>
              <w:bottom w:val="single" w:sz="4" w:space="0" w:color="89DAF7"/>
            </w:tcBorders>
            <w:shd w:val="clear" w:color="auto" w:fill="auto"/>
          </w:tcPr>
          <w:p w14:paraId="70DB5300" w14:textId="77777777" w:rsidR="00D27626" w:rsidRPr="00C4084C" w:rsidRDefault="00D27626" w:rsidP="00C048F0">
            <w:pPr>
              <w:keepLines/>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5.3</w:t>
            </w:r>
          </w:p>
        </w:tc>
      </w:tr>
      <w:tr w:rsidR="00D27626" w:rsidRPr="00C4084C" w14:paraId="1A6DA61D" w14:textId="77777777">
        <w:trPr>
          <w:cnfStyle w:val="000000100000" w:firstRow="0" w:lastRow="0" w:firstColumn="0" w:lastColumn="0" w:oddVBand="0" w:evenVBand="0" w:oddHBand="1" w:evenHBand="0" w:firstRowFirstColumn="0" w:firstRowLastColumn="0" w:lastRowFirstColumn="0" w:lastRowLastColumn="0"/>
          <w:cantSplit/>
          <w:trHeight w:val="540"/>
        </w:trPr>
        <w:tc>
          <w:tcPr>
            <w:cnfStyle w:val="001000000000" w:firstRow="0" w:lastRow="0" w:firstColumn="1" w:lastColumn="0" w:oddVBand="0" w:evenVBand="0" w:oddHBand="0" w:evenHBand="0" w:firstRowFirstColumn="0" w:firstRowLastColumn="0" w:lastRowFirstColumn="0" w:lastRowLastColumn="0"/>
            <w:tcW w:w="2552" w:type="dxa"/>
            <w:tcBorders>
              <w:top w:val="single" w:sz="8" w:space="0" w:color="A1E2F9"/>
              <w:bottom w:val="single" w:sz="8" w:space="0" w:color="A1E2F9"/>
              <w:right w:val="single" w:sz="12" w:space="0" w:color="A1E2F9"/>
            </w:tcBorders>
            <w:shd w:val="clear" w:color="auto" w:fill="auto"/>
          </w:tcPr>
          <w:p w14:paraId="4E57D4F5" w14:textId="77777777" w:rsidR="00D27626" w:rsidRPr="00C4084C" w:rsidRDefault="00D27626" w:rsidP="003011A8">
            <w:pPr>
              <w:keepLines/>
              <w:rPr>
                <w:rFonts w:eastAsia="Calibri" w:cs="Arial"/>
              </w:rPr>
            </w:pPr>
            <w:r w:rsidRPr="00C4084C">
              <w:rPr>
                <w:rFonts w:eastAsia="Calibri" w:cs="Arial"/>
              </w:rPr>
              <w:t>Physical or mental health</w:t>
            </w:r>
          </w:p>
        </w:tc>
        <w:tc>
          <w:tcPr>
            <w:tcW w:w="1616" w:type="dxa"/>
            <w:tcBorders>
              <w:top w:val="single" w:sz="4" w:space="0" w:color="89DAF7"/>
              <w:left w:val="single" w:sz="12" w:space="0" w:color="A1E2F9"/>
              <w:bottom w:val="single" w:sz="4" w:space="0" w:color="89DAF7"/>
              <w:right w:val="single" w:sz="4" w:space="0" w:color="D0F1FC"/>
            </w:tcBorders>
            <w:shd w:val="clear" w:color="auto" w:fill="auto"/>
          </w:tcPr>
          <w:p w14:paraId="1A918915" w14:textId="77777777" w:rsidR="00D27626" w:rsidRPr="00C4084C" w:rsidRDefault="00D27626" w:rsidP="00C048F0">
            <w:pPr>
              <w:keepLines/>
              <w:jc w:val="right"/>
              <w:cnfStyle w:val="000000100000" w:firstRow="0" w:lastRow="0" w:firstColumn="0" w:lastColumn="0" w:oddVBand="0" w:evenVBand="0" w:oddHBand="1" w:evenHBand="0" w:firstRowFirstColumn="0" w:firstRowLastColumn="0" w:lastRowFirstColumn="0" w:lastRowLastColumn="0"/>
              <w:rPr>
                <w:rFonts w:eastAsia="Calibri" w:cs="Arial"/>
              </w:rPr>
            </w:pPr>
            <w:r w:rsidRPr="00C4084C">
              <w:rPr>
                <w:rFonts w:eastAsia="Calibri" w:cs="Arial"/>
              </w:rPr>
              <w:t>16.5</w:t>
            </w:r>
          </w:p>
        </w:tc>
        <w:tc>
          <w:tcPr>
            <w:tcW w:w="1616" w:type="dxa"/>
            <w:tcBorders>
              <w:top w:val="single" w:sz="4" w:space="0" w:color="89DAF7"/>
              <w:left w:val="single" w:sz="4" w:space="0" w:color="D0F1FC"/>
              <w:bottom w:val="single" w:sz="4" w:space="0" w:color="89DAF7"/>
              <w:right w:val="single" w:sz="4" w:space="0" w:color="D0F1FC"/>
            </w:tcBorders>
            <w:shd w:val="clear" w:color="auto" w:fill="auto"/>
          </w:tcPr>
          <w:p w14:paraId="5C44A871" w14:textId="77777777" w:rsidR="00D27626" w:rsidRPr="00C4084C" w:rsidRDefault="00D27626" w:rsidP="00C048F0">
            <w:pPr>
              <w:keepLines/>
              <w:jc w:val="right"/>
              <w:cnfStyle w:val="000000100000" w:firstRow="0" w:lastRow="0" w:firstColumn="0" w:lastColumn="0" w:oddVBand="0" w:evenVBand="0" w:oddHBand="1" w:evenHBand="0" w:firstRowFirstColumn="0" w:firstRowLastColumn="0" w:lastRowFirstColumn="0" w:lastRowLastColumn="0"/>
              <w:rPr>
                <w:rFonts w:eastAsia="Calibri" w:cs="Arial"/>
              </w:rPr>
            </w:pPr>
            <w:r w:rsidRPr="00C4084C">
              <w:rPr>
                <w:rFonts w:eastAsia="Calibri" w:cs="Arial"/>
              </w:rPr>
              <w:t>22.8</w:t>
            </w:r>
          </w:p>
        </w:tc>
        <w:tc>
          <w:tcPr>
            <w:tcW w:w="1616" w:type="dxa"/>
            <w:tcBorders>
              <w:top w:val="single" w:sz="4" w:space="0" w:color="89DAF7"/>
              <w:left w:val="single" w:sz="4" w:space="0" w:color="D0F1FC"/>
              <w:bottom w:val="single" w:sz="4" w:space="0" w:color="89DAF7"/>
              <w:right w:val="single" w:sz="4" w:space="0" w:color="D0F1FC"/>
            </w:tcBorders>
            <w:shd w:val="clear" w:color="auto" w:fill="auto"/>
          </w:tcPr>
          <w:p w14:paraId="50FEF1A2" w14:textId="77777777" w:rsidR="00D27626" w:rsidRPr="00C4084C" w:rsidRDefault="00D27626" w:rsidP="00C048F0">
            <w:pPr>
              <w:keepLines/>
              <w:jc w:val="right"/>
              <w:cnfStyle w:val="000000100000" w:firstRow="0" w:lastRow="0" w:firstColumn="0" w:lastColumn="0" w:oddVBand="0" w:evenVBand="0" w:oddHBand="1" w:evenHBand="0" w:firstRowFirstColumn="0" w:firstRowLastColumn="0" w:lastRowFirstColumn="0" w:lastRowLastColumn="0"/>
              <w:rPr>
                <w:rFonts w:eastAsia="Calibri" w:cs="Arial"/>
              </w:rPr>
            </w:pPr>
            <w:r w:rsidRPr="00C4084C">
              <w:rPr>
                <w:rFonts w:eastAsia="Calibri" w:cs="Arial"/>
              </w:rPr>
              <w:t>17.7</w:t>
            </w:r>
          </w:p>
        </w:tc>
        <w:tc>
          <w:tcPr>
            <w:tcW w:w="1616" w:type="dxa"/>
            <w:tcBorders>
              <w:top w:val="single" w:sz="4" w:space="0" w:color="89DAF7"/>
              <w:left w:val="single" w:sz="4" w:space="0" w:color="D0F1FC"/>
              <w:bottom w:val="single" w:sz="4" w:space="0" w:color="89DAF7"/>
            </w:tcBorders>
            <w:shd w:val="clear" w:color="auto" w:fill="auto"/>
          </w:tcPr>
          <w:p w14:paraId="5F88B3FC" w14:textId="77777777" w:rsidR="00D27626" w:rsidRPr="00C4084C" w:rsidRDefault="00D27626" w:rsidP="00C048F0">
            <w:pPr>
              <w:keepLines/>
              <w:jc w:val="right"/>
              <w:cnfStyle w:val="000000100000" w:firstRow="0" w:lastRow="0" w:firstColumn="0" w:lastColumn="0" w:oddVBand="0" w:evenVBand="0" w:oddHBand="1" w:evenHBand="0" w:firstRowFirstColumn="0" w:firstRowLastColumn="0" w:lastRowFirstColumn="0" w:lastRowLastColumn="0"/>
              <w:rPr>
                <w:rFonts w:eastAsia="Calibri" w:cs="Arial"/>
              </w:rPr>
            </w:pPr>
            <w:r w:rsidRPr="00C4084C">
              <w:rPr>
                <w:rFonts w:eastAsia="Calibri" w:cs="Arial"/>
              </w:rPr>
              <w:t>19.3</w:t>
            </w:r>
          </w:p>
        </w:tc>
      </w:tr>
      <w:tr w:rsidR="00D27626" w:rsidRPr="00C4084C" w14:paraId="306A8949" w14:textId="77777777">
        <w:trPr>
          <w:cantSplit/>
          <w:trHeight w:val="270"/>
        </w:trPr>
        <w:tc>
          <w:tcPr>
            <w:cnfStyle w:val="001000000000" w:firstRow="0" w:lastRow="0" w:firstColumn="1" w:lastColumn="0" w:oddVBand="0" w:evenVBand="0" w:oddHBand="0" w:evenHBand="0" w:firstRowFirstColumn="0" w:firstRowLastColumn="0" w:lastRowFirstColumn="0" w:lastRowLastColumn="0"/>
            <w:tcW w:w="2552" w:type="dxa"/>
            <w:tcBorders>
              <w:top w:val="single" w:sz="8" w:space="0" w:color="A1E2F9"/>
              <w:bottom w:val="single" w:sz="8" w:space="0" w:color="A1E2F9"/>
              <w:right w:val="single" w:sz="12" w:space="0" w:color="A1E2F9"/>
            </w:tcBorders>
            <w:shd w:val="clear" w:color="auto" w:fill="auto"/>
          </w:tcPr>
          <w:p w14:paraId="7B8A58A9" w14:textId="77777777" w:rsidR="00D27626" w:rsidRPr="00C4084C" w:rsidRDefault="00D27626" w:rsidP="003011A8">
            <w:pPr>
              <w:keepLines/>
              <w:rPr>
                <w:rFonts w:eastAsia="Calibri" w:cs="Arial"/>
              </w:rPr>
            </w:pPr>
            <w:r w:rsidRPr="00C4084C">
              <w:rPr>
                <w:rFonts w:eastAsia="Calibri" w:cs="Arial"/>
              </w:rPr>
              <w:t>Where you live</w:t>
            </w:r>
          </w:p>
        </w:tc>
        <w:tc>
          <w:tcPr>
            <w:tcW w:w="1616" w:type="dxa"/>
            <w:tcBorders>
              <w:top w:val="single" w:sz="4" w:space="0" w:color="89DAF7"/>
              <w:left w:val="single" w:sz="12" w:space="0" w:color="A1E2F9"/>
              <w:bottom w:val="single" w:sz="4" w:space="0" w:color="89DAF7"/>
              <w:right w:val="single" w:sz="4" w:space="0" w:color="D0F1FC"/>
            </w:tcBorders>
            <w:shd w:val="clear" w:color="auto" w:fill="auto"/>
          </w:tcPr>
          <w:p w14:paraId="05783918" w14:textId="77777777" w:rsidR="00D27626" w:rsidRPr="00C4084C" w:rsidRDefault="00D27626" w:rsidP="00C048F0">
            <w:pPr>
              <w:keepLines/>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12.8</w:t>
            </w:r>
          </w:p>
        </w:tc>
        <w:tc>
          <w:tcPr>
            <w:tcW w:w="1616" w:type="dxa"/>
            <w:tcBorders>
              <w:top w:val="single" w:sz="4" w:space="0" w:color="89DAF7"/>
              <w:left w:val="single" w:sz="4" w:space="0" w:color="D0F1FC"/>
              <w:bottom w:val="single" w:sz="4" w:space="0" w:color="89DAF7"/>
              <w:right w:val="single" w:sz="4" w:space="0" w:color="D0F1FC"/>
            </w:tcBorders>
            <w:shd w:val="clear" w:color="auto" w:fill="auto"/>
          </w:tcPr>
          <w:p w14:paraId="7032FE32" w14:textId="77777777" w:rsidR="00D27626" w:rsidRPr="00C4084C" w:rsidRDefault="00D27626" w:rsidP="00C048F0">
            <w:pPr>
              <w:keepLines/>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14.3</w:t>
            </w:r>
          </w:p>
        </w:tc>
        <w:tc>
          <w:tcPr>
            <w:tcW w:w="1616" w:type="dxa"/>
            <w:tcBorders>
              <w:top w:val="single" w:sz="4" w:space="0" w:color="89DAF7"/>
              <w:left w:val="single" w:sz="4" w:space="0" w:color="D0F1FC"/>
              <w:bottom w:val="single" w:sz="4" w:space="0" w:color="89DAF7"/>
              <w:right w:val="single" w:sz="4" w:space="0" w:color="D0F1FC"/>
            </w:tcBorders>
            <w:shd w:val="clear" w:color="auto" w:fill="auto"/>
          </w:tcPr>
          <w:p w14:paraId="6F4EB202" w14:textId="77777777" w:rsidR="00D27626" w:rsidRPr="00C4084C" w:rsidRDefault="00D27626" w:rsidP="00C048F0">
            <w:pPr>
              <w:keepLines/>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10.9</w:t>
            </w:r>
          </w:p>
        </w:tc>
        <w:tc>
          <w:tcPr>
            <w:tcW w:w="1616" w:type="dxa"/>
            <w:tcBorders>
              <w:top w:val="single" w:sz="4" w:space="0" w:color="89DAF7"/>
              <w:left w:val="single" w:sz="4" w:space="0" w:color="D0F1FC"/>
              <w:bottom w:val="single" w:sz="4" w:space="0" w:color="89DAF7"/>
            </w:tcBorders>
            <w:shd w:val="clear" w:color="auto" w:fill="auto"/>
          </w:tcPr>
          <w:p w14:paraId="390FDBA8" w14:textId="77777777" w:rsidR="00D27626" w:rsidRPr="00C4084C" w:rsidRDefault="00D27626" w:rsidP="00C048F0">
            <w:pPr>
              <w:keepLines/>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8.6</w:t>
            </w:r>
          </w:p>
        </w:tc>
      </w:tr>
      <w:tr w:rsidR="00D27626" w:rsidRPr="00C4084C" w14:paraId="09AEBD83" w14:textId="77777777">
        <w:trPr>
          <w:cnfStyle w:val="000000100000" w:firstRow="0" w:lastRow="0" w:firstColumn="0" w:lastColumn="0" w:oddVBand="0" w:evenVBand="0" w:oddHBand="1" w:evenHBand="0" w:firstRowFirstColumn="0" w:firstRowLastColumn="0" w:lastRowFirstColumn="0" w:lastRowLastColumn="0"/>
          <w:cantSplit/>
          <w:trHeight w:val="615"/>
        </w:trPr>
        <w:tc>
          <w:tcPr>
            <w:cnfStyle w:val="001000000000" w:firstRow="0" w:lastRow="0" w:firstColumn="1" w:lastColumn="0" w:oddVBand="0" w:evenVBand="0" w:oddHBand="0" w:evenHBand="0" w:firstRowFirstColumn="0" w:firstRowLastColumn="0" w:lastRowFirstColumn="0" w:lastRowLastColumn="0"/>
            <w:tcW w:w="2552" w:type="dxa"/>
            <w:tcBorders>
              <w:top w:val="single" w:sz="8" w:space="0" w:color="A1E2F9"/>
              <w:bottom w:val="single" w:sz="8" w:space="0" w:color="A1E2F9"/>
              <w:right w:val="single" w:sz="12" w:space="0" w:color="A1E2F9"/>
            </w:tcBorders>
            <w:shd w:val="clear" w:color="auto" w:fill="auto"/>
          </w:tcPr>
          <w:p w14:paraId="0221736A" w14:textId="77777777" w:rsidR="00D27626" w:rsidRPr="00C4084C" w:rsidRDefault="00D27626" w:rsidP="003011A8">
            <w:pPr>
              <w:keepLines/>
              <w:rPr>
                <w:rFonts w:eastAsia="Calibri" w:cs="Arial"/>
              </w:rPr>
            </w:pPr>
            <w:r w:rsidRPr="00C4084C">
              <w:rPr>
                <w:rFonts w:eastAsia="Calibri" w:cs="Arial"/>
              </w:rPr>
              <w:t>Your social life or other interests</w:t>
            </w:r>
          </w:p>
        </w:tc>
        <w:tc>
          <w:tcPr>
            <w:tcW w:w="1616" w:type="dxa"/>
            <w:tcBorders>
              <w:top w:val="single" w:sz="4" w:space="0" w:color="89DAF7"/>
              <w:left w:val="single" w:sz="12" w:space="0" w:color="A1E2F9"/>
              <w:bottom w:val="single" w:sz="4" w:space="0" w:color="89DAF7"/>
              <w:right w:val="single" w:sz="4" w:space="0" w:color="D0F1FC"/>
            </w:tcBorders>
            <w:shd w:val="clear" w:color="auto" w:fill="auto"/>
          </w:tcPr>
          <w:p w14:paraId="58555E55" w14:textId="77777777" w:rsidR="00D27626" w:rsidRPr="00C4084C" w:rsidRDefault="00D27626" w:rsidP="00C048F0">
            <w:pPr>
              <w:keepLines/>
              <w:jc w:val="right"/>
              <w:cnfStyle w:val="000000100000" w:firstRow="0" w:lastRow="0" w:firstColumn="0" w:lastColumn="0" w:oddVBand="0" w:evenVBand="0" w:oddHBand="1" w:evenHBand="0" w:firstRowFirstColumn="0" w:firstRowLastColumn="0" w:lastRowFirstColumn="0" w:lastRowLastColumn="0"/>
              <w:rPr>
                <w:rFonts w:eastAsia="Calibri" w:cs="Arial"/>
              </w:rPr>
            </w:pPr>
            <w:r w:rsidRPr="00C4084C">
              <w:rPr>
                <w:rFonts w:eastAsia="Calibri" w:cs="Arial"/>
              </w:rPr>
              <w:t>12.7</w:t>
            </w:r>
          </w:p>
        </w:tc>
        <w:tc>
          <w:tcPr>
            <w:tcW w:w="1616" w:type="dxa"/>
            <w:tcBorders>
              <w:top w:val="single" w:sz="4" w:space="0" w:color="89DAF7"/>
              <w:left w:val="single" w:sz="4" w:space="0" w:color="D0F1FC"/>
              <w:bottom w:val="single" w:sz="4" w:space="0" w:color="89DAF7"/>
              <w:right w:val="single" w:sz="4" w:space="0" w:color="D0F1FC"/>
            </w:tcBorders>
            <w:shd w:val="clear" w:color="auto" w:fill="auto"/>
          </w:tcPr>
          <w:p w14:paraId="5E10BEE4" w14:textId="77777777" w:rsidR="00D27626" w:rsidRPr="00C4084C" w:rsidRDefault="00D27626" w:rsidP="00C048F0">
            <w:pPr>
              <w:keepLines/>
              <w:jc w:val="right"/>
              <w:cnfStyle w:val="000000100000" w:firstRow="0" w:lastRow="0" w:firstColumn="0" w:lastColumn="0" w:oddVBand="0" w:evenVBand="0" w:oddHBand="1" w:evenHBand="0" w:firstRowFirstColumn="0" w:firstRowLastColumn="0" w:lastRowFirstColumn="0" w:lastRowLastColumn="0"/>
              <w:rPr>
                <w:rFonts w:eastAsia="Calibri" w:cs="Arial"/>
              </w:rPr>
            </w:pPr>
            <w:r w:rsidRPr="00C4084C">
              <w:rPr>
                <w:rFonts w:eastAsia="Calibri" w:cs="Arial"/>
              </w:rPr>
              <w:t>20.3</w:t>
            </w:r>
          </w:p>
        </w:tc>
        <w:tc>
          <w:tcPr>
            <w:tcW w:w="1616" w:type="dxa"/>
            <w:tcBorders>
              <w:top w:val="single" w:sz="4" w:space="0" w:color="89DAF7"/>
              <w:left w:val="single" w:sz="4" w:space="0" w:color="D0F1FC"/>
              <w:bottom w:val="single" w:sz="4" w:space="0" w:color="89DAF7"/>
              <w:right w:val="single" w:sz="4" w:space="0" w:color="D0F1FC"/>
            </w:tcBorders>
            <w:shd w:val="clear" w:color="auto" w:fill="auto"/>
          </w:tcPr>
          <w:p w14:paraId="437823C5" w14:textId="77777777" w:rsidR="00D27626" w:rsidRPr="00C4084C" w:rsidRDefault="00D27626" w:rsidP="00C048F0">
            <w:pPr>
              <w:keepLines/>
              <w:jc w:val="right"/>
              <w:cnfStyle w:val="000000100000" w:firstRow="0" w:lastRow="0" w:firstColumn="0" w:lastColumn="0" w:oddVBand="0" w:evenVBand="0" w:oddHBand="1" w:evenHBand="0" w:firstRowFirstColumn="0" w:firstRowLastColumn="0" w:lastRowFirstColumn="0" w:lastRowLastColumn="0"/>
              <w:rPr>
                <w:rFonts w:eastAsia="Calibri" w:cs="Arial"/>
              </w:rPr>
            </w:pPr>
            <w:r w:rsidRPr="00C4084C">
              <w:rPr>
                <w:rFonts w:eastAsia="Calibri" w:cs="Arial"/>
              </w:rPr>
              <w:t>11.7</w:t>
            </w:r>
          </w:p>
        </w:tc>
        <w:tc>
          <w:tcPr>
            <w:tcW w:w="1616" w:type="dxa"/>
            <w:tcBorders>
              <w:top w:val="single" w:sz="4" w:space="0" w:color="89DAF7"/>
              <w:left w:val="single" w:sz="4" w:space="0" w:color="D0F1FC"/>
              <w:bottom w:val="single" w:sz="4" w:space="0" w:color="89DAF7"/>
            </w:tcBorders>
            <w:shd w:val="clear" w:color="auto" w:fill="auto"/>
          </w:tcPr>
          <w:p w14:paraId="73010877" w14:textId="77777777" w:rsidR="00D27626" w:rsidRPr="00C4084C" w:rsidRDefault="00D27626" w:rsidP="00C048F0">
            <w:pPr>
              <w:keepLines/>
              <w:jc w:val="right"/>
              <w:cnfStyle w:val="000000100000" w:firstRow="0" w:lastRow="0" w:firstColumn="0" w:lastColumn="0" w:oddVBand="0" w:evenVBand="0" w:oddHBand="1" w:evenHBand="0" w:firstRowFirstColumn="0" w:firstRowLastColumn="0" w:lastRowFirstColumn="0" w:lastRowLastColumn="0"/>
              <w:rPr>
                <w:rFonts w:eastAsia="Calibri" w:cs="Arial"/>
              </w:rPr>
            </w:pPr>
            <w:r w:rsidRPr="00C4084C">
              <w:rPr>
                <w:rFonts w:eastAsia="Calibri" w:cs="Arial"/>
              </w:rPr>
              <w:t>15.4</w:t>
            </w:r>
          </w:p>
        </w:tc>
      </w:tr>
      <w:tr w:rsidR="00D27626" w:rsidRPr="00C4084C" w14:paraId="718D783D" w14:textId="77777777">
        <w:trPr>
          <w:cantSplit/>
          <w:trHeight w:val="540"/>
        </w:trPr>
        <w:tc>
          <w:tcPr>
            <w:cnfStyle w:val="001000000000" w:firstRow="0" w:lastRow="0" w:firstColumn="1" w:lastColumn="0" w:oddVBand="0" w:evenVBand="0" w:oddHBand="0" w:evenHBand="0" w:firstRowFirstColumn="0" w:firstRowLastColumn="0" w:lastRowFirstColumn="0" w:lastRowLastColumn="0"/>
            <w:tcW w:w="2552" w:type="dxa"/>
            <w:tcBorders>
              <w:top w:val="single" w:sz="8" w:space="0" w:color="A1E2F9"/>
              <w:bottom w:val="nil"/>
              <w:right w:val="single" w:sz="12" w:space="0" w:color="A1E2F9"/>
            </w:tcBorders>
            <w:shd w:val="clear" w:color="auto" w:fill="auto"/>
          </w:tcPr>
          <w:p w14:paraId="0FA8FCDF" w14:textId="77777777" w:rsidR="00D27626" w:rsidRPr="00C4084C" w:rsidRDefault="00D27626" w:rsidP="003011A8">
            <w:pPr>
              <w:keepLines/>
              <w:rPr>
                <w:rFonts w:eastAsia="Calibri" w:cs="Arial"/>
              </w:rPr>
            </w:pPr>
            <w:r w:rsidRPr="00C4084C">
              <w:rPr>
                <w:rFonts w:eastAsia="Calibri" w:cs="Arial"/>
              </w:rPr>
              <w:t xml:space="preserve">Your own motivation </w:t>
            </w:r>
          </w:p>
        </w:tc>
        <w:tc>
          <w:tcPr>
            <w:tcW w:w="1616" w:type="dxa"/>
            <w:tcBorders>
              <w:top w:val="single" w:sz="4" w:space="0" w:color="89DAF7"/>
              <w:left w:val="single" w:sz="12" w:space="0" w:color="A1E2F9"/>
              <w:bottom w:val="nil"/>
              <w:right w:val="single" w:sz="4" w:space="0" w:color="D0F1FC"/>
            </w:tcBorders>
            <w:shd w:val="clear" w:color="auto" w:fill="auto"/>
          </w:tcPr>
          <w:p w14:paraId="60F9A5EA" w14:textId="77777777" w:rsidR="00D27626" w:rsidRPr="00C4084C" w:rsidRDefault="00D27626" w:rsidP="00C048F0">
            <w:pPr>
              <w:keepLines/>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31.9</w:t>
            </w:r>
          </w:p>
        </w:tc>
        <w:tc>
          <w:tcPr>
            <w:tcW w:w="1616" w:type="dxa"/>
            <w:tcBorders>
              <w:top w:val="single" w:sz="4" w:space="0" w:color="89DAF7"/>
              <w:left w:val="single" w:sz="4" w:space="0" w:color="D0F1FC"/>
              <w:bottom w:val="nil"/>
              <w:right w:val="single" w:sz="4" w:space="0" w:color="D0F1FC"/>
            </w:tcBorders>
            <w:shd w:val="clear" w:color="auto" w:fill="auto"/>
          </w:tcPr>
          <w:p w14:paraId="645EF6F8" w14:textId="77777777" w:rsidR="00D27626" w:rsidRPr="00C4084C" w:rsidRDefault="00D27626" w:rsidP="00C048F0">
            <w:pPr>
              <w:keepLines/>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37.2</w:t>
            </w:r>
          </w:p>
        </w:tc>
        <w:tc>
          <w:tcPr>
            <w:tcW w:w="1616" w:type="dxa"/>
            <w:tcBorders>
              <w:top w:val="single" w:sz="4" w:space="0" w:color="89DAF7"/>
              <w:left w:val="single" w:sz="4" w:space="0" w:color="D0F1FC"/>
              <w:bottom w:val="nil"/>
              <w:right w:val="single" w:sz="4" w:space="0" w:color="D0F1FC"/>
            </w:tcBorders>
            <w:shd w:val="clear" w:color="auto" w:fill="auto"/>
          </w:tcPr>
          <w:p w14:paraId="2A3576B1" w14:textId="77777777" w:rsidR="00D27626" w:rsidRPr="00C4084C" w:rsidRDefault="00D27626" w:rsidP="00C048F0">
            <w:pPr>
              <w:keepLines/>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33.8</w:t>
            </w:r>
          </w:p>
        </w:tc>
        <w:tc>
          <w:tcPr>
            <w:tcW w:w="1616" w:type="dxa"/>
            <w:tcBorders>
              <w:top w:val="single" w:sz="4" w:space="0" w:color="89DAF7"/>
              <w:left w:val="single" w:sz="4" w:space="0" w:color="D0F1FC"/>
              <w:bottom w:val="nil"/>
            </w:tcBorders>
            <w:shd w:val="clear" w:color="auto" w:fill="auto"/>
          </w:tcPr>
          <w:p w14:paraId="60171BAC" w14:textId="77777777" w:rsidR="00D27626" w:rsidRPr="00C4084C" w:rsidRDefault="00D27626" w:rsidP="00C048F0">
            <w:pPr>
              <w:keepLines/>
              <w:jc w:val="right"/>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eastAsia="Calibri" w:cs="Arial"/>
              </w:rPr>
              <w:t>31.7</w:t>
            </w:r>
          </w:p>
        </w:tc>
      </w:tr>
    </w:tbl>
    <w:p w14:paraId="5B4AA56F" w14:textId="0D3578C9" w:rsidR="00D27626" w:rsidRPr="00C4084C" w:rsidRDefault="00D27626" w:rsidP="003011A8">
      <w:pPr>
        <w:pStyle w:val="Source"/>
        <w:keepLines/>
      </w:pPr>
      <w:r w:rsidRPr="00C4084C">
        <w:t xml:space="preserve">Source: </w:t>
      </w:r>
      <w:r w:rsidR="00766640" w:rsidRPr="00C4084C">
        <w:t>Department of Education</w:t>
      </w:r>
      <w:r w:rsidR="00B6066A" w:rsidRPr="00C4084C">
        <w:t>,</w:t>
      </w:r>
      <w:r w:rsidR="00766640" w:rsidRPr="00C4084C">
        <w:t xml:space="preserve"> </w:t>
      </w:r>
      <w:r w:rsidR="00766640" w:rsidRPr="00C4084C">
        <w:rPr>
          <w:i/>
        </w:rPr>
        <w:t>LSAY Y15 cohort data</w:t>
      </w:r>
      <w:r w:rsidR="00422B44" w:rsidRPr="00C4084C">
        <w:t xml:space="preserve"> [unpublished data], (Canberra: 201</w:t>
      </w:r>
      <w:r w:rsidR="004B618A" w:rsidRPr="00C4084C">
        <w:t>6</w:t>
      </w:r>
      <w:r w:rsidR="00422B44" w:rsidRPr="00C4084C">
        <w:t>)</w:t>
      </w:r>
      <w:r w:rsidR="00766640" w:rsidRPr="00C4084C">
        <w:t>.</w:t>
      </w:r>
    </w:p>
    <w:p w14:paraId="0A5591DB" w14:textId="1EC27CE3" w:rsidR="00603A86" w:rsidRPr="00C4084C" w:rsidRDefault="00603A86" w:rsidP="003011A8">
      <w:pPr>
        <w:pStyle w:val="Source"/>
        <w:keepLines/>
      </w:pPr>
      <w:r w:rsidRPr="00C4084C">
        <w:t>Note: Percentages do not sum to 100 as participants could nominate more than one response.</w:t>
      </w:r>
    </w:p>
    <w:p w14:paraId="59B9751B" w14:textId="77777777" w:rsidR="00D27626" w:rsidRPr="00C4084C" w:rsidRDefault="00D27626" w:rsidP="007B0775">
      <w:pPr>
        <w:pStyle w:val="Heading5"/>
      </w:pPr>
      <w:r w:rsidRPr="00C4084C">
        <w:t xml:space="preserve">There is evidence that student poverty is </w:t>
      </w:r>
      <w:proofErr w:type="gramStart"/>
      <w:r w:rsidRPr="00C4084C">
        <w:t>increasing</w:t>
      </w:r>
      <w:proofErr w:type="gramEnd"/>
    </w:p>
    <w:p w14:paraId="3ACE6839" w14:textId="329BD8D1" w:rsidR="00D27626" w:rsidRPr="00C4084C" w:rsidRDefault="382A6F95" w:rsidP="00DE53AB">
      <w:r w:rsidRPr="00C4084C">
        <w:t>A</w:t>
      </w:r>
      <w:r w:rsidR="00D27626" w:rsidRPr="00C4084C">
        <w:t xml:space="preserve">s well as deterring prospective students, financial hardship could be a driver of student attrition. It is unsurprising that financial challenges can be a barrier to successfully completing a degree. Evidence from the Student Experience Survey suggests that First Nations students, students from low SES backgrounds and regional, rural and remote students are more likely to report financial difficulties as a reason they consider leaving university early (see </w:t>
      </w:r>
      <w:r w:rsidR="00D27626" w:rsidRPr="00C4084C">
        <w:fldChar w:fldCharType="begin"/>
      </w:r>
      <w:r w:rsidR="00D27626" w:rsidRPr="00C4084C">
        <w:instrText xml:space="preserve"> REF _Ref150529370 \h </w:instrText>
      </w:r>
      <w:r w:rsidR="008037CA" w:rsidRPr="00C4084C">
        <w:instrText xml:space="preserve"> \* MERGEFORMAT </w:instrText>
      </w:r>
      <w:r w:rsidR="00D27626" w:rsidRPr="00C4084C">
        <w:fldChar w:fldCharType="separate"/>
      </w:r>
      <w:r w:rsidR="00467B4F" w:rsidRPr="00C4084C">
        <w:t xml:space="preserve">Figure </w:t>
      </w:r>
      <w:r w:rsidR="00467B4F">
        <w:rPr>
          <w:noProof/>
        </w:rPr>
        <w:t>17</w:t>
      </w:r>
      <w:r w:rsidR="00D27626" w:rsidRPr="00C4084C">
        <w:fldChar w:fldCharType="end"/>
      </w:r>
      <w:r w:rsidR="00D27626" w:rsidRPr="00C4084C">
        <w:t>). They are also more likely to report work/study balance and family responsibilities as reasons for considering departure.</w:t>
      </w:r>
    </w:p>
    <w:p w14:paraId="6F312A1C" w14:textId="05768D8A" w:rsidR="00C12BA5" w:rsidRPr="00D26B82" w:rsidRDefault="00D27626" w:rsidP="00C12BA5">
      <w:pPr>
        <w:pStyle w:val="Caption"/>
        <w:rPr>
          <w:b/>
          <w:bCs/>
          <w:sz w:val="24"/>
          <w:szCs w:val="24"/>
        </w:rPr>
      </w:pPr>
      <w:bookmarkStart w:id="691" w:name="_Ref150529370"/>
      <w:bookmarkStart w:id="692" w:name="_Toc154674779"/>
      <w:r w:rsidRPr="00D26B82">
        <w:rPr>
          <w:b/>
          <w:bCs/>
          <w:sz w:val="24"/>
          <w:szCs w:val="24"/>
        </w:rPr>
        <w:lastRenderedPageBreak/>
        <w:t xml:space="preserve">Figure </w:t>
      </w:r>
      <w:r w:rsidRPr="00D26B82">
        <w:rPr>
          <w:b/>
          <w:bCs/>
          <w:iCs w:val="0"/>
          <w:sz w:val="24"/>
          <w:szCs w:val="24"/>
        </w:rPr>
        <w:fldChar w:fldCharType="begin"/>
      </w:r>
      <w:r w:rsidRPr="00D26B82">
        <w:rPr>
          <w:b/>
          <w:bCs/>
          <w:sz w:val="24"/>
          <w:szCs w:val="24"/>
        </w:rPr>
        <w:instrText>SEQ Figure \* ARABIC</w:instrText>
      </w:r>
      <w:r w:rsidRPr="00D26B82">
        <w:rPr>
          <w:b/>
          <w:bCs/>
          <w:iCs w:val="0"/>
          <w:sz w:val="24"/>
          <w:szCs w:val="24"/>
        </w:rPr>
        <w:fldChar w:fldCharType="separate"/>
      </w:r>
      <w:r w:rsidR="00467B4F" w:rsidRPr="00D26B82">
        <w:rPr>
          <w:b/>
          <w:bCs/>
          <w:noProof/>
          <w:sz w:val="24"/>
          <w:szCs w:val="24"/>
        </w:rPr>
        <w:t>17</w:t>
      </w:r>
      <w:r w:rsidRPr="00D26B82">
        <w:rPr>
          <w:b/>
          <w:bCs/>
          <w:iCs w:val="0"/>
          <w:sz w:val="24"/>
          <w:szCs w:val="24"/>
        </w:rPr>
        <w:fldChar w:fldCharType="end"/>
      </w:r>
      <w:bookmarkEnd w:id="691"/>
      <w:r w:rsidRPr="00D26B82">
        <w:rPr>
          <w:b/>
          <w:bCs/>
          <w:sz w:val="24"/>
          <w:szCs w:val="24"/>
        </w:rPr>
        <w:t xml:space="preserve">: </w:t>
      </w:r>
      <w:r w:rsidR="00FD50D9" w:rsidRPr="00D26B82">
        <w:rPr>
          <w:b/>
          <w:bCs/>
          <w:sz w:val="24"/>
          <w:szCs w:val="24"/>
        </w:rPr>
        <w:t>Among</w:t>
      </w:r>
      <w:r w:rsidRPr="00D26B82">
        <w:rPr>
          <w:b/>
          <w:bCs/>
          <w:sz w:val="24"/>
          <w:szCs w:val="24"/>
        </w:rPr>
        <w:t xml:space="preserve"> </w:t>
      </w:r>
      <w:r w:rsidR="00C219FF" w:rsidRPr="00D26B82">
        <w:rPr>
          <w:b/>
          <w:bCs/>
          <w:sz w:val="24"/>
          <w:szCs w:val="24"/>
        </w:rPr>
        <w:t>u</w:t>
      </w:r>
      <w:r w:rsidR="00440E50" w:rsidRPr="00D26B82">
        <w:rPr>
          <w:b/>
          <w:bCs/>
          <w:sz w:val="24"/>
          <w:szCs w:val="24"/>
        </w:rPr>
        <w:t xml:space="preserve">ndergraduate </w:t>
      </w:r>
      <w:r w:rsidRPr="00D26B82">
        <w:rPr>
          <w:b/>
          <w:bCs/>
          <w:sz w:val="24"/>
          <w:szCs w:val="24"/>
        </w:rPr>
        <w:t xml:space="preserve">students </w:t>
      </w:r>
      <w:r w:rsidR="00122151" w:rsidRPr="00D26B82">
        <w:rPr>
          <w:b/>
          <w:bCs/>
          <w:sz w:val="24"/>
          <w:szCs w:val="24"/>
        </w:rPr>
        <w:t xml:space="preserve">who have seriously considered leaving their </w:t>
      </w:r>
      <w:r w:rsidR="00FD50D9" w:rsidRPr="00D26B82">
        <w:rPr>
          <w:b/>
          <w:bCs/>
          <w:sz w:val="24"/>
          <w:szCs w:val="24"/>
        </w:rPr>
        <w:t>university studies</w:t>
      </w:r>
      <w:r w:rsidR="00122151" w:rsidRPr="00D26B82">
        <w:rPr>
          <w:b/>
          <w:bCs/>
          <w:sz w:val="24"/>
          <w:szCs w:val="24"/>
        </w:rPr>
        <w:t xml:space="preserve"> early</w:t>
      </w:r>
      <w:r w:rsidR="00FD50D9" w:rsidRPr="00D26B82">
        <w:rPr>
          <w:b/>
          <w:bCs/>
          <w:sz w:val="24"/>
          <w:szCs w:val="24"/>
        </w:rPr>
        <w:t>, p</w:t>
      </w:r>
      <w:r w:rsidRPr="00D26B82">
        <w:rPr>
          <w:b/>
          <w:bCs/>
          <w:sz w:val="24"/>
          <w:szCs w:val="24"/>
        </w:rPr>
        <w:t>roportion</w:t>
      </w:r>
      <w:r w:rsidR="00122151" w:rsidRPr="00D26B82">
        <w:rPr>
          <w:b/>
          <w:bCs/>
          <w:sz w:val="24"/>
          <w:szCs w:val="24"/>
        </w:rPr>
        <w:t xml:space="preserve"> that </w:t>
      </w:r>
      <w:r w:rsidR="008A67EF" w:rsidRPr="00D26B82">
        <w:rPr>
          <w:b/>
          <w:bCs/>
          <w:sz w:val="24"/>
          <w:szCs w:val="24"/>
        </w:rPr>
        <w:t>cit</w:t>
      </w:r>
      <w:r w:rsidR="00122151" w:rsidRPr="00D26B82">
        <w:rPr>
          <w:b/>
          <w:bCs/>
          <w:sz w:val="24"/>
          <w:szCs w:val="24"/>
        </w:rPr>
        <w:t>ed</w:t>
      </w:r>
      <w:r w:rsidRPr="00D26B82">
        <w:rPr>
          <w:b/>
          <w:bCs/>
          <w:sz w:val="24"/>
          <w:szCs w:val="24"/>
        </w:rPr>
        <w:t xml:space="preserve"> financial difficulties as a reason </w:t>
      </w:r>
      <w:r w:rsidR="00A514B2" w:rsidRPr="00D26B82">
        <w:rPr>
          <w:b/>
          <w:bCs/>
          <w:sz w:val="24"/>
          <w:szCs w:val="24"/>
        </w:rPr>
        <w:t>(%)</w:t>
      </w:r>
      <w:r w:rsidR="00C03C76" w:rsidRPr="00D26B82">
        <w:rPr>
          <w:b/>
          <w:bCs/>
          <w:sz w:val="24"/>
          <w:szCs w:val="24"/>
        </w:rPr>
        <w:t xml:space="preserve">, </w:t>
      </w:r>
      <w:r w:rsidR="00EB236B" w:rsidRPr="00D26B82">
        <w:rPr>
          <w:b/>
          <w:bCs/>
          <w:sz w:val="24"/>
          <w:szCs w:val="24"/>
        </w:rPr>
        <w:t>by demographic</w:t>
      </w:r>
      <w:r w:rsidR="006554C1" w:rsidRPr="00D26B82">
        <w:rPr>
          <w:b/>
          <w:bCs/>
          <w:sz w:val="24"/>
          <w:szCs w:val="24"/>
        </w:rPr>
        <w:t xml:space="preserve">, </w:t>
      </w:r>
      <w:r w:rsidR="00104E5D" w:rsidRPr="00D26B82">
        <w:rPr>
          <w:b/>
          <w:bCs/>
          <w:sz w:val="24"/>
          <w:szCs w:val="24"/>
        </w:rPr>
        <w:t>2022</w:t>
      </w:r>
      <w:r w:rsidR="00EB236B" w:rsidRPr="00D26B82">
        <w:rPr>
          <w:b/>
          <w:bCs/>
          <w:sz w:val="24"/>
          <w:szCs w:val="24"/>
        </w:rPr>
        <w:t>.</w:t>
      </w:r>
      <w:bookmarkEnd w:id="692"/>
      <w:r w:rsidR="00F51A08" w:rsidRPr="00D26B82" w:rsidDel="00F51A08">
        <w:rPr>
          <w:rStyle w:val="FootnoteReference"/>
          <w:b/>
          <w:bCs/>
          <w:sz w:val="24"/>
          <w:szCs w:val="24"/>
        </w:rPr>
        <w:t xml:space="preserve"> </w:t>
      </w:r>
    </w:p>
    <w:p w14:paraId="38423727" w14:textId="7526A7B1" w:rsidR="00F3585C" w:rsidRDefault="00F3585C" w:rsidP="008719C5">
      <w:pPr>
        <w:pStyle w:val="Source"/>
      </w:pPr>
      <w:r>
        <w:rPr>
          <w:noProof/>
        </w:rPr>
        <w:drawing>
          <wp:inline distT="0" distB="0" distL="0" distR="0" wp14:anchorId="7BD3B4FB" wp14:editId="2FBA7A58">
            <wp:extent cx="5818540" cy="2349795"/>
            <wp:effectExtent l="0" t="0" r="0" b="0"/>
            <wp:docPr id="382423174" name="Graphic 17" descr="A bar graph showing the proportion of undergraduate students who reported seriously considering leaving their universities early and cited financial difficulties as a reason, by demographic. The highest percentage is among First Nations students, with 35% who reported seriously considering leaving their studies early citing financial difficulties as a reason. The lowest is high SES students, with 17.4% of those who reported considering early departure citing financial difficulties as a rea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423174" name="Graphic 17" descr="A bar graph showing the proportion of undergraduate students who reported seriously considering leaving their universities early and cited financial difficulties as a reason, by demographic. The highest percentage is among First Nations students, with 35% who reported seriously considering leaving their studies early citing financial difficulties as a reason. The lowest is high SES students, with 17.4% of those who reported considering early departure citing financial difficulties as a reason. "/>
                    <pic:cNvPicPr/>
                  </pic:nvPicPr>
                  <pic:blipFill>
                    <a:blip r:embed="rId86">
                      <a:extLst>
                        <a:ext uri="{28A0092B-C50C-407E-A947-70E740481C1C}">
                          <a14:useLocalDpi xmlns:a14="http://schemas.microsoft.com/office/drawing/2010/main" val="0"/>
                        </a:ext>
                        <a:ext uri="{96DAC541-7B7A-43D3-8B79-37D633B846F1}">
                          <asvg:svgBlip xmlns:asvg="http://schemas.microsoft.com/office/drawing/2016/SVG/main" r:embed="rId87"/>
                        </a:ext>
                      </a:extLst>
                    </a:blip>
                    <a:stretch>
                      <a:fillRect/>
                    </a:stretch>
                  </pic:blipFill>
                  <pic:spPr>
                    <a:xfrm>
                      <a:off x="0" y="0"/>
                      <a:ext cx="5835593" cy="2356682"/>
                    </a:xfrm>
                    <a:prstGeom prst="rect">
                      <a:avLst/>
                    </a:prstGeom>
                  </pic:spPr>
                </pic:pic>
              </a:graphicData>
            </a:graphic>
          </wp:inline>
        </w:drawing>
      </w:r>
    </w:p>
    <w:p w14:paraId="647B8119" w14:textId="2E456BB8" w:rsidR="00D27626" w:rsidRPr="00C4084C" w:rsidRDefault="00D27626" w:rsidP="008719C5">
      <w:pPr>
        <w:pStyle w:val="Source"/>
      </w:pPr>
      <w:r w:rsidRPr="00C4084C">
        <w:t xml:space="preserve">Source: </w:t>
      </w:r>
      <w:r w:rsidR="00EF1A9C" w:rsidRPr="00C4084C">
        <w:t>Quality Indicators for Learning and Teaching</w:t>
      </w:r>
      <w:r w:rsidR="00C14522" w:rsidRPr="00C4084C">
        <w:t xml:space="preserve"> (QILT)</w:t>
      </w:r>
      <w:r w:rsidR="00EF1A9C" w:rsidRPr="00C4084C">
        <w:t>,</w:t>
      </w:r>
      <w:r w:rsidR="00EF1A9C" w:rsidRPr="00C4084C">
        <w:rPr>
          <w:i/>
        </w:rPr>
        <w:t xml:space="preserve"> </w:t>
      </w:r>
      <w:r w:rsidR="00B76FAD" w:rsidRPr="00C4084C">
        <w:rPr>
          <w:i/>
          <w:iCs/>
        </w:rPr>
        <w:t>2022</w:t>
      </w:r>
      <w:r w:rsidR="00B76FAD" w:rsidRPr="00C4084C">
        <w:rPr>
          <w:i/>
        </w:rPr>
        <w:t xml:space="preserve"> </w:t>
      </w:r>
      <w:r w:rsidR="00EF1A9C" w:rsidRPr="00C4084C">
        <w:rPr>
          <w:i/>
        </w:rPr>
        <w:t>Student Experience Survey</w:t>
      </w:r>
      <w:r w:rsidR="002E402A" w:rsidRPr="00C4084C">
        <w:rPr>
          <w:i/>
          <w:iCs/>
        </w:rPr>
        <w:t xml:space="preserve"> </w:t>
      </w:r>
      <w:r w:rsidR="002E402A" w:rsidRPr="00C4084C">
        <w:t>[</w:t>
      </w:r>
      <w:r w:rsidR="00B20667" w:rsidRPr="00C4084C">
        <w:t xml:space="preserve">unpublished </w:t>
      </w:r>
      <w:r w:rsidR="002E402A" w:rsidRPr="00C4084C">
        <w:t>data set]</w:t>
      </w:r>
      <w:r w:rsidR="00EF1A9C" w:rsidRPr="00C4084C">
        <w:t xml:space="preserve">, </w:t>
      </w:r>
      <w:r w:rsidR="002E402A" w:rsidRPr="00C4084C">
        <w:t>(Canberra: 2022)</w:t>
      </w:r>
      <w:r w:rsidR="00AD4063" w:rsidRPr="00C4084C">
        <w:t>.</w:t>
      </w:r>
    </w:p>
    <w:p w14:paraId="3D0A61B8" w14:textId="6C804194" w:rsidR="00D27626" w:rsidRPr="00C4084C" w:rsidRDefault="00D27626" w:rsidP="00DE53AB">
      <w:r w:rsidRPr="00C4084C">
        <w:t xml:space="preserve">With widely reported increases to the cost of living causing financial stress for many Australians, it is likely students are also facing increased financial struggles. A recent report </w:t>
      </w:r>
      <w:r w:rsidRPr="00C4084C">
        <w:rPr>
          <w:i/>
        </w:rPr>
        <w:t>Generation Z: Life at 22</w:t>
      </w:r>
      <w:r w:rsidRPr="00C4084C">
        <w:t xml:space="preserve"> indicated that, in 2022, the percentage of 22-year-olds facing financial stress rose to 30%, a notable increase from 24% in 2016.</w:t>
      </w:r>
      <w:r w:rsidRPr="00C4084C">
        <w:rPr>
          <w:rStyle w:val="FootnoteReference"/>
          <w:rFonts w:eastAsia="Calibri" w:cs="Arial"/>
        </w:rPr>
        <w:footnoteReference w:id="230"/>
      </w:r>
      <w:r w:rsidRPr="00C4084C">
        <w:t xml:space="preserve"> The survey also revealed that a larger proportion of 22-year-olds struggled to cover essential expenses, such as heating their homes, making timely </w:t>
      </w:r>
      <w:proofErr w:type="gramStart"/>
      <w:r w:rsidRPr="00C4084C">
        <w:t>mortgage</w:t>
      </w:r>
      <w:proofErr w:type="gramEnd"/>
      <w:r w:rsidRPr="00C4084C">
        <w:t xml:space="preserve"> or rent payments</w:t>
      </w:r>
      <w:r w:rsidR="0044767F" w:rsidRPr="00C4084C">
        <w:t>,</w:t>
      </w:r>
      <w:r w:rsidRPr="00C4084C">
        <w:t xml:space="preserve"> and accessing healthcare in 2022 compared to 2016. </w:t>
      </w:r>
    </w:p>
    <w:p w14:paraId="5253B1C6" w14:textId="1B573320" w:rsidR="00D27626" w:rsidRPr="00C4084C" w:rsidRDefault="006A58FE" w:rsidP="00B1626C">
      <w:pPr>
        <w:pStyle w:val="Heading6"/>
      </w:pPr>
      <w:r w:rsidRPr="00C4084C">
        <w:t>Financial barriers during placements</w:t>
      </w:r>
    </w:p>
    <w:p w14:paraId="2CEC59B4" w14:textId="05D2BE1C" w:rsidR="00AC214C" w:rsidRPr="00C4084C" w:rsidRDefault="00AC214C" w:rsidP="003517F1">
      <w:r w:rsidRPr="00C4084C">
        <w:t xml:space="preserve">The Review is also concerned that students who need to undertake work placements as part of their course (as is common in courses leading to professions like teaching, </w:t>
      </w:r>
      <w:proofErr w:type="gramStart"/>
      <w:r w:rsidRPr="00C4084C">
        <w:t>nursing</w:t>
      </w:r>
      <w:proofErr w:type="gramEnd"/>
      <w:r w:rsidRPr="00C4084C">
        <w:t xml:space="preserve"> and engineering) face additional financial constraints. Stakeholders have raised concerns that, for a placement’s duration, students must often reduce or cease paid work in order to </w:t>
      </w:r>
      <w:r w:rsidR="00544055">
        <w:t>gain</w:t>
      </w:r>
      <w:r w:rsidR="00544055" w:rsidRPr="00C4084C">
        <w:t xml:space="preserve"> </w:t>
      </w:r>
      <w:r w:rsidRPr="00C4084C">
        <w:t>industry or practical experience, often in multi-week blocks that can be away from where they live.</w:t>
      </w:r>
      <w:r w:rsidRPr="00C4084C">
        <w:rPr>
          <w:rStyle w:val="FootnoteReference"/>
          <w:rFonts w:cs="Arial"/>
        </w:rPr>
        <w:footnoteReference w:id="231"/>
      </w:r>
      <w:r w:rsidRPr="00C4084C">
        <w:t xml:space="preserve"> Students unable to cease paid work often work excessive hours across the week on top of the requirements of their placement.</w:t>
      </w:r>
      <w:r w:rsidRPr="00C4084C">
        <w:rPr>
          <w:rStyle w:val="FootnoteReference"/>
          <w:rFonts w:cs="Arial"/>
        </w:rPr>
        <w:footnoteReference w:id="232"/>
      </w:r>
      <w:r w:rsidRPr="00C4084C">
        <w:t xml:space="preserve"> The Review is concerned that the financial considerations associated with placements could act as a disincentive to students to study in areas of skills need. The Review further considers this issue in </w:t>
      </w:r>
      <w:r w:rsidRPr="00C4084C">
        <w:rPr>
          <w:i/>
        </w:rPr>
        <w:fldChar w:fldCharType="begin"/>
      </w:r>
      <w:r w:rsidRPr="00C4084C">
        <w:instrText xml:space="preserve"> REF _Ref151932669 \r \h  \* MERGEFORMAT </w:instrText>
      </w:r>
      <w:r w:rsidRPr="00C4084C">
        <w:rPr>
          <w:i/>
        </w:rPr>
      </w:r>
      <w:r w:rsidRPr="00C4084C">
        <w:rPr>
          <w:i/>
        </w:rPr>
        <w:fldChar w:fldCharType="separate"/>
      </w:r>
      <w:r w:rsidR="00467B4F" w:rsidRPr="00467B4F">
        <w:rPr>
          <w:i/>
        </w:rPr>
        <w:t xml:space="preserve">Chapter 2 – </w:t>
      </w:r>
      <w:r w:rsidRPr="00C4084C">
        <w:rPr>
          <w:i/>
        </w:rPr>
        <w:fldChar w:fldCharType="end"/>
      </w:r>
      <w:r w:rsidR="005D5F44" w:rsidRPr="00C4084C">
        <w:rPr>
          <w:i/>
        </w:rPr>
        <w:fldChar w:fldCharType="begin"/>
      </w:r>
      <w:r w:rsidR="005D5F44" w:rsidRPr="00C4084C">
        <w:rPr>
          <w:i/>
          <w:highlight w:val="yellow"/>
        </w:rPr>
        <w:instrText xml:space="preserve"> REF _Ref151932669 \h  \* MERGEFORMAT </w:instrText>
      </w:r>
      <w:r w:rsidR="005D5F44" w:rsidRPr="00C4084C">
        <w:rPr>
          <w:i/>
        </w:rPr>
      </w:r>
      <w:r w:rsidR="005D5F44" w:rsidRPr="00C4084C">
        <w:rPr>
          <w:i/>
        </w:rPr>
        <w:fldChar w:fldCharType="separate"/>
      </w:r>
      <w:r w:rsidR="00467B4F" w:rsidRPr="00467B4F">
        <w:rPr>
          <w:i/>
        </w:rPr>
        <w:t>Meeting our current and future skills needs</w:t>
      </w:r>
      <w:r w:rsidR="005D5F44" w:rsidRPr="00C4084C">
        <w:rPr>
          <w:i/>
        </w:rPr>
        <w:fldChar w:fldCharType="end"/>
      </w:r>
      <w:r w:rsidRPr="00C4084C">
        <w:rPr>
          <w:i/>
        </w:rPr>
        <w:t>.</w:t>
      </w:r>
    </w:p>
    <w:p w14:paraId="3ADA1319" w14:textId="0C821618" w:rsidR="00857B23" w:rsidRPr="00C4084C" w:rsidRDefault="00323411" w:rsidP="00857B23">
      <w:pPr>
        <w:pStyle w:val="Heading5"/>
      </w:pPr>
      <w:r w:rsidRPr="00C4084C">
        <w:t>A</w:t>
      </w:r>
      <w:r w:rsidR="25356CB4" w:rsidRPr="00C4084C">
        <w:t xml:space="preserve"> </w:t>
      </w:r>
      <w:r w:rsidR="00857B23" w:rsidRPr="00C4084C">
        <w:t>Jobs Broker</w:t>
      </w:r>
    </w:p>
    <w:p w14:paraId="5B1B8790" w14:textId="5D810B9D" w:rsidR="00857B23" w:rsidRPr="00C4084C" w:rsidRDefault="00AC1422" w:rsidP="003517F1">
      <w:r w:rsidRPr="00C4084C">
        <w:t xml:space="preserve">Having part-time work is important for students seeking to support themselves while studying. And if the work is in a field related to their field of study, it boosts possibilities of long-term employment post-graduation. </w:t>
      </w:r>
      <w:r w:rsidR="00857B23" w:rsidRPr="00C4084C">
        <w:t xml:space="preserve">A Jobs Broker, recommended by the Review in </w:t>
      </w:r>
      <w:r w:rsidR="00857B23" w:rsidRPr="00C4084C">
        <w:rPr>
          <w:i/>
        </w:rPr>
        <w:fldChar w:fldCharType="begin"/>
      </w:r>
      <w:r w:rsidR="00857B23" w:rsidRPr="00C4084C">
        <w:instrText xml:space="preserve"> REF _Ref151932669 \r \h </w:instrText>
      </w:r>
      <w:r w:rsidR="005513E1" w:rsidRPr="00C4084C">
        <w:instrText xml:space="preserve"> \* MERGEFORMAT </w:instrText>
      </w:r>
      <w:r w:rsidR="00857B23" w:rsidRPr="00C4084C">
        <w:rPr>
          <w:i/>
        </w:rPr>
      </w:r>
      <w:r w:rsidR="00857B23" w:rsidRPr="00C4084C">
        <w:rPr>
          <w:i/>
        </w:rPr>
        <w:fldChar w:fldCharType="separate"/>
      </w:r>
      <w:r w:rsidR="00467B4F" w:rsidRPr="00467B4F">
        <w:rPr>
          <w:i/>
          <w:iCs/>
        </w:rPr>
        <w:t xml:space="preserve">Chapter 2 – </w:t>
      </w:r>
      <w:r w:rsidR="00857B23" w:rsidRPr="00C4084C">
        <w:rPr>
          <w:i/>
        </w:rPr>
        <w:fldChar w:fldCharType="end"/>
      </w:r>
      <w:r w:rsidR="00996B73" w:rsidRPr="00C4084C">
        <w:rPr>
          <w:i/>
          <w:iCs/>
        </w:rPr>
        <w:fldChar w:fldCharType="begin"/>
      </w:r>
      <w:r w:rsidR="00996B73" w:rsidRPr="00C4084C">
        <w:rPr>
          <w:i/>
          <w:iCs/>
        </w:rPr>
        <w:instrText xml:space="preserve"> REF _Ref153794263 \h  \* MERGEFORMAT </w:instrText>
      </w:r>
      <w:r w:rsidR="00996B73" w:rsidRPr="00C4084C">
        <w:rPr>
          <w:i/>
          <w:iCs/>
        </w:rPr>
      </w:r>
      <w:r w:rsidR="00996B73" w:rsidRPr="00C4084C">
        <w:rPr>
          <w:i/>
          <w:iCs/>
        </w:rPr>
        <w:fldChar w:fldCharType="separate"/>
      </w:r>
      <w:r w:rsidR="00467B4F" w:rsidRPr="00467B4F">
        <w:rPr>
          <w:i/>
          <w:iCs/>
        </w:rPr>
        <w:t>Meeting our current and future skills needs</w:t>
      </w:r>
      <w:r w:rsidR="00996B73" w:rsidRPr="00C4084C">
        <w:rPr>
          <w:i/>
          <w:iCs/>
        </w:rPr>
        <w:fldChar w:fldCharType="end"/>
      </w:r>
      <w:r w:rsidR="00857B23" w:rsidRPr="00C4084C">
        <w:t xml:space="preserve">, could assist students to find appropriate employment opportunities relevant to their field of study </w:t>
      </w:r>
      <w:r w:rsidR="00857B23" w:rsidRPr="00C4084C">
        <w:lastRenderedPageBreak/>
        <w:t xml:space="preserve">and reduce the financial roadblock to accessing or completing higher education. Jobs Broker should be implemented so students who need to support themselves financially with part-time work, particularly those from the target cohorts, can be helped to find work related to their field of study. </w:t>
      </w:r>
    </w:p>
    <w:p w14:paraId="4810A678" w14:textId="77777777" w:rsidR="00D27626" w:rsidRPr="00C4084C" w:rsidRDefault="00D27626" w:rsidP="007B0775">
      <w:pPr>
        <w:pStyle w:val="Heading5"/>
      </w:pPr>
      <w:r w:rsidRPr="00C4084C">
        <w:t>The role of student income support payments</w:t>
      </w:r>
    </w:p>
    <w:p w14:paraId="41CF19FE" w14:textId="4AD3203D" w:rsidR="00D27626" w:rsidRPr="00C4084C" w:rsidRDefault="00D27626" w:rsidP="003517F1">
      <w:r w:rsidRPr="00C4084C">
        <w:t xml:space="preserve">Students rely on a range of supports while they study, including family support, paid </w:t>
      </w:r>
      <w:proofErr w:type="gramStart"/>
      <w:r w:rsidRPr="00C4084C">
        <w:t>work</w:t>
      </w:r>
      <w:proofErr w:type="gramEnd"/>
      <w:r w:rsidRPr="00C4084C">
        <w:t xml:space="preserve"> and the social security system. The role of student income support payments like Youth Allowance (Student), </w:t>
      </w:r>
      <w:proofErr w:type="spellStart"/>
      <w:r w:rsidRPr="00C4084C">
        <w:t>Austudy</w:t>
      </w:r>
      <w:proofErr w:type="spellEnd"/>
      <w:r w:rsidRPr="00C4084C">
        <w:t xml:space="preserve"> and ABSTUDY is to support those students who cannot rely on other means. Not all students can be supported </w:t>
      </w:r>
      <w:r w:rsidR="00033EE7" w:rsidRPr="00C4084C">
        <w:t>to study</w:t>
      </w:r>
      <w:r w:rsidRPr="00C4084C">
        <w:t xml:space="preserve"> by their families or partners</w:t>
      </w:r>
      <w:r w:rsidR="002F7CD3" w:rsidRPr="00C4084C">
        <w:t xml:space="preserve">. </w:t>
      </w:r>
      <w:proofErr w:type="gramStart"/>
      <w:r w:rsidR="002F7CD3" w:rsidRPr="00C4084C">
        <w:t>In particular,</w:t>
      </w:r>
      <w:r w:rsidRPr="00C4084C">
        <w:t xml:space="preserve"> students</w:t>
      </w:r>
      <w:proofErr w:type="gramEnd"/>
      <w:r w:rsidRPr="00C4084C">
        <w:t xml:space="preserve"> studying full-time</w:t>
      </w:r>
      <w:r w:rsidR="002F7CD3" w:rsidRPr="00C4084C">
        <w:t xml:space="preserve"> </w:t>
      </w:r>
      <w:r w:rsidR="00033EE7" w:rsidRPr="00C4084C">
        <w:t>generally have</w:t>
      </w:r>
      <w:r w:rsidRPr="00C4084C">
        <w:t xml:space="preserve"> </w:t>
      </w:r>
      <w:r w:rsidR="00D80A8F" w:rsidRPr="00C4084C">
        <w:t>reduc</w:t>
      </w:r>
      <w:r w:rsidRPr="00C4084C">
        <w:t>ed</w:t>
      </w:r>
      <w:r w:rsidR="00033EE7" w:rsidRPr="00C4084C">
        <w:t xml:space="preserve"> capacity</w:t>
      </w:r>
      <w:r w:rsidRPr="00C4084C">
        <w:t xml:space="preserve"> </w:t>
      </w:r>
      <w:r w:rsidR="00D80A8F" w:rsidRPr="00C4084C">
        <w:t xml:space="preserve">to </w:t>
      </w:r>
      <w:r w:rsidRPr="00C4084C">
        <w:t>work</w:t>
      </w:r>
      <w:r w:rsidR="008C11F2" w:rsidRPr="00C4084C">
        <w:t xml:space="preserve"> and may not be able to combine paid work and full-time study during study periods without compromising study outcomes</w:t>
      </w:r>
      <w:r w:rsidRPr="00C4084C">
        <w:t>.</w:t>
      </w:r>
    </w:p>
    <w:p w14:paraId="4124FB4B" w14:textId="13E4B517" w:rsidR="00D27626" w:rsidRPr="00C4084C" w:rsidRDefault="00D27626" w:rsidP="003517F1">
      <w:r w:rsidRPr="00C4084C">
        <w:t xml:space="preserve">Access to </w:t>
      </w:r>
      <w:r w:rsidR="008C11F2" w:rsidRPr="00C4084C">
        <w:t>student payments</w:t>
      </w:r>
      <w:r w:rsidRPr="00C4084C">
        <w:t xml:space="preserve"> is particularly important to enable more people from the target cohorts, and other equity groups, to successfully participate in higher education. Analysis of multi-agency government data by the Department of Education found </w:t>
      </w:r>
      <w:r w:rsidR="00130FDB" w:rsidRPr="00C4084C">
        <w:t>6</w:t>
      </w:r>
      <w:r w:rsidRPr="00C4084C">
        <w:t xml:space="preserve">-year completion rates of </w:t>
      </w:r>
      <w:r w:rsidR="003F45AF">
        <w:t xml:space="preserve">full-time </w:t>
      </w:r>
      <w:r w:rsidRPr="00C4084C">
        <w:t>students receiving income support are on average 6</w:t>
      </w:r>
      <w:r w:rsidR="00E75AF0" w:rsidRPr="00C4084C">
        <w:t xml:space="preserve"> to </w:t>
      </w:r>
      <w:r w:rsidRPr="00C4084C">
        <w:t xml:space="preserve">7 percentage points higher than equivalent students receiving no payments. The positive effect of income support on student completion is higher for students from low SES backgrounds, and for students whose parents don’t have a </w:t>
      </w:r>
      <w:proofErr w:type="gramStart"/>
      <w:r w:rsidRPr="00C4084C">
        <w:t>bachelor</w:t>
      </w:r>
      <w:proofErr w:type="gramEnd"/>
      <w:r w:rsidRPr="00C4084C">
        <w:t xml:space="preserve"> degree, but</w:t>
      </w:r>
      <w:r w:rsidR="003F45AF">
        <w:t xml:space="preserve"> significantly lower or</w:t>
      </w:r>
      <w:r w:rsidRPr="00C4084C">
        <w:t xml:space="preserve"> negligible for students from the highest socio-economically advantaged areas.</w:t>
      </w:r>
      <w:r w:rsidRPr="00C4084C">
        <w:rPr>
          <w:rStyle w:val="FootnoteReference"/>
          <w:rFonts w:cs="Arial"/>
        </w:rPr>
        <w:footnoteReference w:id="233"/>
      </w:r>
    </w:p>
    <w:p w14:paraId="42C933CE" w14:textId="2EB6605B" w:rsidR="00D27626" w:rsidRPr="00C4084C" w:rsidRDefault="00D27626" w:rsidP="003517F1">
      <w:pPr>
        <w:rPr>
          <w:rFonts w:eastAsia="Times New Roman"/>
          <w:lang w:eastAsia="en-AU"/>
        </w:rPr>
      </w:pPr>
      <w:r w:rsidRPr="00C4084C">
        <w:t xml:space="preserve">The income support system is a critical lever to lift student equity outcomes. The inadequacy </w:t>
      </w:r>
      <w:r w:rsidR="003F76B2" w:rsidRPr="00C4084C">
        <w:t>of</w:t>
      </w:r>
      <w:r w:rsidRPr="00C4084C">
        <w:t xml:space="preserve"> student </w:t>
      </w:r>
      <w:r w:rsidR="008C11F2" w:rsidRPr="00C4084C">
        <w:t>payments</w:t>
      </w:r>
      <w:r w:rsidRPr="00C4084C">
        <w:t xml:space="preserve"> may undermin</w:t>
      </w:r>
      <w:r w:rsidR="003F76B2" w:rsidRPr="00C4084C">
        <w:t>e</w:t>
      </w:r>
      <w:r w:rsidRPr="00C4084C">
        <w:t xml:space="preserve"> </w:t>
      </w:r>
      <w:r w:rsidR="007269A9" w:rsidRPr="00C4084C">
        <w:t>students</w:t>
      </w:r>
      <w:r w:rsidR="000A75A0" w:rsidRPr="00C4084C">
        <w:t>’</w:t>
      </w:r>
      <w:r w:rsidR="007269A9" w:rsidRPr="00C4084C">
        <w:t xml:space="preserve"> </w:t>
      </w:r>
      <w:r w:rsidRPr="00C4084C">
        <w:t xml:space="preserve">ability to achieve the significant growth </w:t>
      </w:r>
      <w:r w:rsidR="007269A9" w:rsidRPr="00C4084C">
        <w:t>needed</w:t>
      </w:r>
      <w:r w:rsidRPr="00C4084C">
        <w:t xml:space="preserve"> in the higher education system and across the tertiary </w:t>
      </w:r>
      <w:r w:rsidR="009418C9" w:rsidRPr="00C4084C">
        <w:t xml:space="preserve">education </w:t>
      </w:r>
      <w:r w:rsidRPr="00C4084C">
        <w:t>sector. S</w:t>
      </w:r>
      <w:r w:rsidRPr="00C4084C">
        <w:rPr>
          <w:rFonts w:eastAsia="Times New Roman"/>
          <w:lang w:eastAsia="en-AU"/>
        </w:rPr>
        <w:t xml:space="preserve">tudent payments should follow an education-first principle where the policy intent is to reduce roadblocks to higher education participation and enable retention, </w:t>
      </w:r>
      <w:proofErr w:type="gramStart"/>
      <w:r w:rsidRPr="00C4084C">
        <w:rPr>
          <w:rFonts w:eastAsia="Times New Roman"/>
          <w:lang w:eastAsia="en-AU"/>
        </w:rPr>
        <w:t>success</w:t>
      </w:r>
      <w:proofErr w:type="gramEnd"/>
      <w:r w:rsidRPr="00C4084C">
        <w:rPr>
          <w:rFonts w:eastAsia="Times New Roman"/>
          <w:lang w:eastAsia="en-AU"/>
        </w:rPr>
        <w:t xml:space="preserve"> and completion for these students, with payment settings adjusted where necessary to reflect these objectives. </w:t>
      </w:r>
      <w:r w:rsidR="00FB7DD9" w:rsidRPr="00C4084C">
        <w:t xml:space="preserve">Australia’s income support system is complex and changing settings for one payment can have significant flow on effects for others, meaning changes in this area require careful consideration. </w:t>
      </w:r>
      <w:r w:rsidRPr="00C4084C">
        <w:rPr>
          <w:rFonts w:eastAsia="Times New Roman"/>
          <w:lang w:eastAsia="en-AU"/>
        </w:rPr>
        <w:t xml:space="preserve">It is clear to the Review that, as the higher education system grows, </w:t>
      </w:r>
      <w:r w:rsidRPr="00C4084C">
        <w:t xml:space="preserve">the income support system will need to do more. </w:t>
      </w:r>
    </w:p>
    <w:p w14:paraId="3BD52B38" w14:textId="257A54F1" w:rsidR="00D27626" w:rsidRPr="00C4084C" w:rsidRDefault="00D27626" w:rsidP="00B1626C">
      <w:pPr>
        <w:pStyle w:val="Heading6"/>
      </w:pPr>
      <w:r w:rsidRPr="00C4084C">
        <w:rPr>
          <w:rFonts w:eastAsia="Times New Roman" w:cs="Arial"/>
          <w:lang w:eastAsia="en-AU"/>
        </w:rPr>
        <w:t>The number of</w:t>
      </w:r>
      <w:r w:rsidRPr="00C4084C">
        <w:rPr>
          <w:rFonts w:ascii="Times New Roman" w:eastAsia="Times New Roman" w:hAnsi="Times New Roman" w:cs="Times New Roman"/>
          <w:sz w:val="24"/>
          <w:szCs w:val="24"/>
          <w:lang w:eastAsia="en-AU"/>
        </w:rPr>
        <w:t xml:space="preserve"> </w:t>
      </w:r>
      <w:r w:rsidRPr="00C4084C">
        <w:t xml:space="preserve">student payment recipients is declining, despite increases in youth and student </w:t>
      </w:r>
      <w:proofErr w:type="gramStart"/>
      <w:r w:rsidRPr="00C4084C">
        <w:t>populations</w:t>
      </w:r>
      <w:proofErr w:type="gramEnd"/>
    </w:p>
    <w:p w14:paraId="7BE7E4D2" w14:textId="0FF42089" w:rsidR="00D27626" w:rsidRPr="00C4084C" w:rsidRDefault="00D27626" w:rsidP="003517F1">
      <w:r w:rsidRPr="00C4084C">
        <w:t xml:space="preserve">The number and proportion of students accessing </w:t>
      </w:r>
      <w:r w:rsidR="00640D54" w:rsidRPr="00C4084C">
        <w:t xml:space="preserve">student </w:t>
      </w:r>
      <w:r w:rsidR="00246785" w:rsidRPr="00C4084C">
        <w:t xml:space="preserve">income support </w:t>
      </w:r>
      <w:r w:rsidR="00640D54" w:rsidRPr="00C4084C">
        <w:t>payments</w:t>
      </w:r>
      <w:r w:rsidRPr="00C4084C">
        <w:t xml:space="preserve">, including Youth Allowance (Student), </w:t>
      </w:r>
      <w:proofErr w:type="spellStart"/>
      <w:r w:rsidRPr="00C4084C">
        <w:t>Austudy</w:t>
      </w:r>
      <w:proofErr w:type="spellEnd"/>
      <w:r w:rsidRPr="00C4084C">
        <w:t xml:space="preserve"> and ABSTUDY</w:t>
      </w:r>
      <w:r w:rsidR="000A75A0" w:rsidRPr="00C4084C">
        <w:t>,</w:t>
      </w:r>
      <w:r w:rsidRPr="00C4084C">
        <w:t xml:space="preserve"> </w:t>
      </w:r>
      <w:r w:rsidR="00B07591" w:rsidRPr="00C4084C">
        <w:t>ha</w:t>
      </w:r>
      <w:r w:rsidR="00B07591">
        <w:t>ve</w:t>
      </w:r>
      <w:r w:rsidR="00B07591" w:rsidRPr="00C4084C">
        <w:t xml:space="preserve"> </w:t>
      </w:r>
      <w:r w:rsidRPr="00C4084C">
        <w:t xml:space="preserve">been </w:t>
      </w:r>
      <w:r w:rsidR="003F76B2" w:rsidRPr="00C4084C">
        <w:t>trending downwards for a number of years, notwithstanding a temporary increase associated with the COVID-19 pandemic in 2020 and 2021</w:t>
      </w:r>
      <w:r w:rsidR="00994396" w:rsidRPr="00C4084C">
        <w:t xml:space="preserve"> (see </w:t>
      </w:r>
      <w:r w:rsidR="00994396" w:rsidRPr="00C4084C">
        <w:fldChar w:fldCharType="begin"/>
      </w:r>
      <w:r w:rsidR="00994396" w:rsidRPr="00C4084C">
        <w:instrText xml:space="preserve"> REF _Ref153288353 \h </w:instrText>
      </w:r>
      <w:r w:rsidR="0067417D">
        <w:instrText xml:space="preserve"> \* MERGEFORMAT </w:instrText>
      </w:r>
      <w:r w:rsidR="00994396" w:rsidRPr="00C4084C">
        <w:fldChar w:fldCharType="separate"/>
      </w:r>
      <w:r w:rsidR="00467B4F" w:rsidRPr="00C4084C">
        <w:t xml:space="preserve">Figure </w:t>
      </w:r>
      <w:r w:rsidR="00467B4F">
        <w:rPr>
          <w:noProof/>
        </w:rPr>
        <w:t>18</w:t>
      </w:r>
      <w:r w:rsidR="00994396" w:rsidRPr="00C4084C">
        <w:fldChar w:fldCharType="end"/>
      </w:r>
      <w:r w:rsidR="00994396" w:rsidRPr="00C4084C">
        <w:t>)</w:t>
      </w:r>
      <w:r w:rsidRPr="00C4084C">
        <w:t xml:space="preserve">. </w:t>
      </w:r>
    </w:p>
    <w:p w14:paraId="2E4C1AA0" w14:textId="77273D13" w:rsidR="00D27626" w:rsidRPr="00D26B82" w:rsidRDefault="00D27626" w:rsidP="005E5C5F">
      <w:pPr>
        <w:pStyle w:val="Caption"/>
        <w:rPr>
          <w:b/>
          <w:bCs/>
          <w:sz w:val="24"/>
          <w:szCs w:val="24"/>
        </w:rPr>
      </w:pPr>
      <w:bookmarkStart w:id="693" w:name="_Ref153288353"/>
      <w:bookmarkStart w:id="694" w:name="_Toc154674780"/>
      <w:r w:rsidRPr="00D26B82">
        <w:rPr>
          <w:b/>
          <w:bCs/>
          <w:sz w:val="24"/>
          <w:szCs w:val="24"/>
        </w:rPr>
        <w:lastRenderedPageBreak/>
        <w:t xml:space="preserve">Figure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18</w:t>
      </w:r>
      <w:r w:rsidRPr="00D26B82">
        <w:rPr>
          <w:b/>
          <w:bCs/>
          <w:sz w:val="24"/>
          <w:szCs w:val="24"/>
        </w:rPr>
        <w:fldChar w:fldCharType="end"/>
      </w:r>
      <w:bookmarkEnd w:id="693"/>
      <w:r w:rsidRPr="00D26B82">
        <w:rPr>
          <w:b/>
          <w:bCs/>
          <w:sz w:val="24"/>
          <w:szCs w:val="24"/>
        </w:rPr>
        <w:t xml:space="preserve">: </w:t>
      </w:r>
      <w:r w:rsidR="00A2561E" w:rsidRPr="00D26B82">
        <w:rPr>
          <w:b/>
          <w:bCs/>
          <w:sz w:val="24"/>
          <w:szCs w:val="24"/>
        </w:rPr>
        <w:t>Number of students accessing ABSTUDY</w:t>
      </w:r>
      <w:r w:rsidR="00E208D6" w:rsidRPr="00D26B82">
        <w:rPr>
          <w:b/>
          <w:bCs/>
          <w:sz w:val="24"/>
          <w:szCs w:val="24"/>
        </w:rPr>
        <w:t xml:space="preserve"> (Living Allowance)</w:t>
      </w:r>
      <w:r w:rsidR="00A2561E" w:rsidRPr="00D26B82">
        <w:rPr>
          <w:b/>
          <w:bCs/>
          <w:sz w:val="24"/>
          <w:szCs w:val="24"/>
        </w:rPr>
        <w:t xml:space="preserve">, </w:t>
      </w:r>
      <w:proofErr w:type="spellStart"/>
      <w:r w:rsidR="00A2561E" w:rsidRPr="00D26B82">
        <w:rPr>
          <w:b/>
          <w:bCs/>
          <w:sz w:val="24"/>
          <w:szCs w:val="24"/>
        </w:rPr>
        <w:t>Austudy</w:t>
      </w:r>
      <w:proofErr w:type="spellEnd"/>
      <w:r w:rsidR="00A2561E" w:rsidRPr="00D26B82">
        <w:rPr>
          <w:b/>
          <w:bCs/>
          <w:sz w:val="24"/>
          <w:szCs w:val="24"/>
        </w:rPr>
        <w:t xml:space="preserve"> and Youth Allowance (Student)</w:t>
      </w:r>
      <w:r w:rsidR="00086064" w:rsidRPr="00D26B82">
        <w:rPr>
          <w:b/>
          <w:bCs/>
          <w:sz w:val="24"/>
          <w:szCs w:val="24"/>
        </w:rPr>
        <w:t xml:space="preserve"> by payment type</w:t>
      </w:r>
      <w:r w:rsidR="00A2561E" w:rsidRPr="00D26B82">
        <w:rPr>
          <w:b/>
          <w:bCs/>
          <w:sz w:val="24"/>
          <w:szCs w:val="24"/>
        </w:rPr>
        <w:t xml:space="preserve"> (</w:t>
      </w:r>
      <w:r w:rsidR="00323065" w:rsidRPr="00D26B82">
        <w:rPr>
          <w:b/>
          <w:bCs/>
          <w:sz w:val="24"/>
          <w:szCs w:val="24"/>
        </w:rPr>
        <w:t>thousands of people)</w:t>
      </w:r>
      <w:r w:rsidR="00086064" w:rsidRPr="00D26B82">
        <w:rPr>
          <w:b/>
          <w:bCs/>
          <w:sz w:val="24"/>
          <w:szCs w:val="24"/>
        </w:rPr>
        <w:t>, 2015 to 2022</w:t>
      </w:r>
      <w:r w:rsidR="00BD6951" w:rsidRPr="00D26B82">
        <w:rPr>
          <w:b/>
          <w:bCs/>
          <w:sz w:val="24"/>
          <w:szCs w:val="24"/>
        </w:rPr>
        <w:t>.</w:t>
      </w:r>
      <w:bookmarkEnd w:id="694"/>
    </w:p>
    <w:p w14:paraId="12B479C4" w14:textId="5813B44E" w:rsidR="00F3585C" w:rsidRDefault="00F3585C" w:rsidP="008719C5">
      <w:pPr>
        <w:pStyle w:val="Source"/>
      </w:pPr>
      <w:r>
        <w:rPr>
          <w:noProof/>
        </w:rPr>
        <w:drawing>
          <wp:inline distT="0" distB="0" distL="0" distR="0" wp14:anchorId="293C05D2" wp14:editId="62A01264">
            <wp:extent cx="6044065" cy="2647507"/>
            <wp:effectExtent l="0" t="0" r="0" b="0"/>
            <wp:docPr id="1123436983" name="Graphic 18" descr="A bar graph showing the number of students accessing ABSTUDY (Living Allowance), Austudy and Youth Allowance (Student) by payment type between 2015 and 2022. The overall number of students accessing these payments decreased between 2015 and 2019, before increasing in 2020 and then returning to the declining trend between 2020 and 20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436983" name="Graphic 18" descr="A bar graph showing the number of students accessing ABSTUDY (Living Allowance), Austudy and Youth Allowance (Student) by payment type between 2015 and 2022. The overall number of students accessing these payments decreased between 2015 and 2019, before increasing in 2020 and then returning to the declining trend between 2020 and 2022. "/>
                    <pic:cNvPicPr/>
                  </pic:nvPicPr>
                  <pic:blipFill>
                    <a:blip r:embed="rId88">
                      <a:extLst>
                        <a:ext uri="{28A0092B-C50C-407E-A947-70E740481C1C}">
                          <a14:useLocalDpi xmlns:a14="http://schemas.microsoft.com/office/drawing/2010/main" val="0"/>
                        </a:ext>
                        <a:ext uri="{96DAC541-7B7A-43D3-8B79-37D633B846F1}">
                          <asvg:svgBlip xmlns:asvg="http://schemas.microsoft.com/office/drawing/2016/SVG/main" r:embed="rId89"/>
                        </a:ext>
                      </a:extLst>
                    </a:blip>
                    <a:stretch>
                      <a:fillRect/>
                    </a:stretch>
                  </pic:blipFill>
                  <pic:spPr>
                    <a:xfrm>
                      <a:off x="0" y="0"/>
                      <a:ext cx="6058759" cy="2653943"/>
                    </a:xfrm>
                    <a:prstGeom prst="rect">
                      <a:avLst/>
                    </a:prstGeom>
                  </pic:spPr>
                </pic:pic>
              </a:graphicData>
            </a:graphic>
          </wp:inline>
        </w:drawing>
      </w:r>
    </w:p>
    <w:p w14:paraId="6EFE73DA" w14:textId="71F30284" w:rsidR="008719C5" w:rsidRPr="00C4084C" w:rsidRDefault="008719C5" w:rsidP="008719C5">
      <w:pPr>
        <w:pStyle w:val="Source"/>
      </w:pPr>
      <w:r w:rsidRPr="00C4084C">
        <w:t xml:space="preserve">Source: Services Australia </w:t>
      </w:r>
      <w:r w:rsidR="00CD1929" w:rsidRPr="00C4084C">
        <w:rPr>
          <w:i/>
          <w:iCs/>
        </w:rPr>
        <w:t>Bluebook Dataset ADH23-0335</w:t>
      </w:r>
      <w:r w:rsidR="00D466BD" w:rsidRPr="00C4084C">
        <w:rPr>
          <w:i/>
          <w:iCs/>
        </w:rPr>
        <w:t xml:space="preserve">: Table 1: Current and Suspended ABSTUDY (Living Allowance), </w:t>
      </w:r>
      <w:proofErr w:type="spellStart"/>
      <w:r w:rsidR="00D466BD" w:rsidRPr="00C4084C">
        <w:rPr>
          <w:i/>
          <w:iCs/>
        </w:rPr>
        <w:t>Austudy</w:t>
      </w:r>
      <w:proofErr w:type="spellEnd"/>
      <w:r w:rsidR="00D466BD" w:rsidRPr="00C4084C">
        <w:rPr>
          <w:i/>
          <w:iCs/>
        </w:rPr>
        <w:t xml:space="preserve"> and Youth Allowance (Student</w:t>
      </w:r>
      <w:r w:rsidR="00D466BD" w:rsidRPr="00C4084C">
        <w:t xml:space="preserve"> </w:t>
      </w:r>
      <w:r w:rsidR="00CD1929" w:rsidRPr="00C4084C">
        <w:t>[unpublished data],</w:t>
      </w:r>
      <w:r w:rsidR="004F0A87">
        <w:t xml:space="preserve"> </w:t>
      </w:r>
      <w:r w:rsidR="00CD1929" w:rsidRPr="00C4084C">
        <w:t xml:space="preserve">(Canberra, 2023), accessed </w:t>
      </w:r>
      <w:r w:rsidRPr="00C4084C">
        <w:t xml:space="preserve">September </w:t>
      </w:r>
      <w:r w:rsidR="00BE0E86" w:rsidRPr="00C4084C">
        <w:t>2023</w:t>
      </w:r>
      <w:r w:rsidR="00CD1929" w:rsidRPr="00C4084C">
        <w:t>.</w:t>
      </w:r>
    </w:p>
    <w:p w14:paraId="36173121" w14:textId="4E7658C5" w:rsidR="00C96774" w:rsidRPr="00C4084C" w:rsidRDefault="00C96774" w:rsidP="008719C5">
      <w:pPr>
        <w:pStyle w:val="Source"/>
      </w:pPr>
      <w:r w:rsidRPr="00C4084C">
        <w:t xml:space="preserve">Note: Includes recipients of ABSTUDY (Living Allowance), </w:t>
      </w:r>
      <w:proofErr w:type="spellStart"/>
      <w:r w:rsidRPr="00C4084C">
        <w:t>Austudy</w:t>
      </w:r>
      <w:proofErr w:type="spellEnd"/>
      <w:r w:rsidRPr="00C4084C">
        <w:t xml:space="preserve"> and Youth Allowance (Student), as at the last Friday in September in each of the reported years.</w:t>
      </w:r>
    </w:p>
    <w:p w14:paraId="38A63A33" w14:textId="357107DE" w:rsidR="00D27626" w:rsidRPr="00C4084C" w:rsidRDefault="00D27626" w:rsidP="003517F1">
      <w:r w:rsidRPr="00C4084C">
        <w:t>The causes of this are complex and likely multiple. In part, this decline appears due to non-policy related factors like the currently strong labour market. These labour market conditions have the effect of both increasing students</w:t>
      </w:r>
      <w:r w:rsidR="00823B8F" w:rsidRPr="00C4084C">
        <w:t>’</w:t>
      </w:r>
      <w:r w:rsidRPr="00C4084C">
        <w:t xml:space="preserve"> ability to undertake paid work while studying, and increasing the number of students who defer study to enter the labour market. Analysis of taxation data by the Department of Education supports </w:t>
      </w:r>
      <w:r w:rsidR="00E75AF0" w:rsidRPr="00C4084C">
        <w:t xml:space="preserve">the supposition </w:t>
      </w:r>
      <w:r w:rsidRPr="00C4084C">
        <w:t xml:space="preserve">that more students are working now than in the past: the proportion of bachelor students reporting </w:t>
      </w:r>
      <w:r w:rsidR="001F19E9" w:rsidRPr="00C4084C">
        <w:t>income of more than</w:t>
      </w:r>
      <w:r w:rsidRPr="00C4084C">
        <w:t xml:space="preserve"> $12,000 a year has increased from 43% in 2011 to 58% in 2020.</w:t>
      </w:r>
      <w:r w:rsidRPr="00C4084C">
        <w:rPr>
          <w:rStyle w:val="FootnoteReference"/>
        </w:rPr>
        <w:footnoteReference w:id="234"/>
      </w:r>
      <w:r w:rsidRPr="00C4084C">
        <w:t xml:space="preserve"> It is also possible that the decline in the student </w:t>
      </w:r>
      <w:r w:rsidR="00246785" w:rsidRPr="00C4084C">
        <w:t xml:space="preserve">income support </w:t>
      </w:r>
      <w:r w:rsidRPr="00C4084C">
        <w:t xml:space="preserve">payment population could be associated with increased part-time study, because only full-time students are eligible for payment. </w:t>
      </w:r>
    </w:p>
    <w:p w14:paraId="5C139AB5" w14:textId="7EF1D4E1" w:rsidR="00D27626" w:rsidRPr="00C4084C" w:rsidRDefault="00D27626" w:rsidP="003517F1">
      <w:r w:rsidRPr="00C4084C">
        <w:t xml:space="preserve">There is also evidence that it has become harder to qualify for </w:t>
      </w:r>
      <w:r w:rsidR="00021237" w:rsidRPr="00C4084C">
        <w:t>student</w:t>
      </w:r>
      <w:r w:rsidR="00246785" w:rsidRPr="00C4084C">
        <w:t xml:space="preserve"> income support</w:t>
      </w:r>
      <w:r w:rsidR="00021237" w:rsidRPr="00C4084C">
        <w:t xml:space="preserve"> </w:t>
      </w:r>
      <w:r w:rsidRPr="00C4084C">
        <w:t xml:space="preserve">payments, </w:t>
      </w:r>
      <w:r w:rsidR="001F19E9" w:rsidRPr="00C4084C">
        <w:t xml:space="preserve">because of issues </w:t>
      </w:r>
      <w:r w:rsidRPr="00C4084C">
        <w:t xml:space="preserve">such as narrowing of parental income testing over time. Students aged 21 and under are considered dependent (unless they meet specific criteria to demonstrate independence). This means that their parents’ income is </w:t>
      </w:r>
      <w:proofErr w:type="gramStart"/>
      <w:r w:rsidRPr="00C4084C">
        <w:t>taken into account</w:t>
      </w:r>
      <w:proofErr w:type="gramEnd"/>
      <w:r w:rsidRPr="00C4084C">
        <w:t xml:space="preserve"> to determine their rate of payment. Currently, a student’s rate of payment will be reduced by 20 cents for every dollar of parental income over $58,108 (known as the Parental Income Free Area)</w:t>
      </w:r>
      <w:r w:rsidRPr="00C4084C" w:rsidDel="00B50EFB">
        <w:t>.</w:t>
      </w:r>
      <w:r w:rsidR="002A75EF" w:rsidRPr="00C4084C">
        <w:rPr>
          <w:rStyle w:val="FootnoteReference"/>
        </w:rPr>
        <w:footnoteReference w:id="235"/>
      </w:r>
      <w:r w:rsidRPr="00C4084C">
        <w:t xml:space="preserve"> Following the Bradley Review’s recommendation, the Parental Income Free Area was raised to align with the Family Tax Benefit Part A income test and is indexed annually to the Consumer Price Index (CPI). The Parental Income Free Area has not kept pace with growth in wages over time, meaning student payments are targeted at lower family income levels</w:t>
      </w:r>
      <w:r w:rsidR="00513706" w:rsidRPr="00C4084C">
        <w:t xml:space="preserve">. </w:t>
      </w:r>
      <w:r w:rsidR="00B13D08" w:rsidRPr="00C4084C">
        <w:t>For example, in January 2011</w:t>
      </w:r>
      <w:r w:rsidRPr="00C4084C">
        <w:t xml:space="preserve"> the </w:t>
      </w:r>
      <w:r w:rsidR="00B13D08" w:rsidRPr="00C4084C">
        <w:t>Parental Income Free Area was around 88.8%</w:t>
      </w:r>
      <w:r w:rsidRPr="00C4084C">
        <w:t xml:space="preserve"> of </w:t>
      </w:r>
      <w:r w:rsidR="00B13D08" w:rsidRPr="00C4084C">
        <w:t>Average Weekly Earnings, compared</w:t>
      </w:r>
      <w:r w:rsidRPr="00C4084C">
        <w:t xml:space="preserve"> to </w:t>
      </w:r>
      <w:r w:rsidR="00B13D08" w:rsidRPr="00C4084C">
        <w:t>82</w:t>
      </w:r>
      <w:r w:rsidR="00456BB0" w:rsidRPr="00C4084C">
        <w:t>.0</w:t>
      </w:r>
      <w:r w:rsidR="00B13D08" w:rsidRPr="00C4084C">
        <w:t>% in January</w:t>
      </w:r>
      <w:r w:rsidRPr="00C4084C">
        <w:t xml:space="preserve"> 2021, suggesting parental income testing has become more narrowly targeted over time.</w:t>
      </w:r>
    </w:p>
    <w:p w14:paraId="7722E5F8" w14:textId="585DB540" w:rsidR="00D27626" w:rsidRPr="00C4084C" w:rsidRDefault="00D27626" w:rsidP="003517F1">
      <w:r w:rsidRPr="00C4084C">
        <w:t xml:space="preserve">The Review considers the Parental Income Free </w:t>
      </w:r>
      <w:r w:rsidR="00B07591">
        <w:t>A</w:t>
      </w:r>
      <w:r w:rsidR="00B07591" w:rsidRPr="00C4084C">
        <w:t xml:space="preserve">rea </w:t>
      </w:r>
      <w:r w:rsidRPr="00C4084C">
        <w:t>is set too low</w:t>
      </w:r>
      <w:r w:rsidR="009457F6" w:rsidRPr="00C4084C">
        <w:t>. A</w:t>
      </w:r>
      <w:r w:rsidR="00CD3AD2" w:rsidRPr="00C4084C">
        <w:t>ccordingly,</w:t>
      </w:r>
      <w:r w:rsidRPr="00C4084C">
        <w:t xml:space="preserve"> </w:t>
      </w:r>
      <w:r w:rsidR="009457F6" w:rsidRPr="00C4084C">
        <w:t>the Review</w:t>
      </w:r>
      <w:r w:rsidRPr="00C4084C">
        <w:t xml:space="preserve"> </w:t>
      </w:r>
      <w:r w:rsidR="00246785" w:rsidRPr="00C4084C">
        <w:t xml:space="preserve">recommends </w:t>
      </w:r>
      <w:r w:rsidRPr="00C4084C">
        <w:t xml:space="preserve">the Parental Income Free Area be raised to </w:t>
      </w:r>
      <w:r w:rsidR="003D1422" w:rsidRPr="00C4084C">
        <w:t>$68,857</w:t>
      </w:r>
      <w:r w:rsidRPr="00C4084C">
        <w:t xml:space="preserve"> and indexed annually to the higher of </w:t>
      </w:r>
      <w:r w:rsidR="00FB7D50" w:rsidRPr="00C4084C">
        <w:t xml:space="preserve">growth in the </w:t>
      </w:r>
      <w:r w:rsidRPr="00C4084C">
        <w:t xml:space="preserve">CPI </w:t>
      </w:r>
      <w:r w:rsidRPr="00C4084C">
        <w:lastRenderedPageBreak/>
        <w:t xml:space="preserve">or </w:t>
      </w:r>
      <w:r w:rsidR="009457F6" w:rsidRPr="00C4084C">
        <w:t>Male Total Average Weekly Earnings (MTAWE)</w:t>
      </w:r>
      <w:r w:rsidRPr="00C4084C">
        <w:t xml:space="preserve">, recognising that current arrangements (indexation to </w:t>
      </w:r>
      <w:r w:rsidR="009457F6" w:rsidRPr="00C4084C">
        <w:t>the</w:t>
      </w:r>
      <w:r w:rsidRPr="00C4084C">
        <w:t xml:space="preserve"> CPI) </w:t>
      </w:r>
      <w:r w:rsidR="00CD3AD2" w:rsidRPr="00C4084C">
        <w:t xml:space="preserve">have </w:t>
      </w:r>
      <w:r w:rsidRPr="00C4084C">
        <w:t>seen the Parental Income Free Area fail to keep pace with wage growth</w:t>
      </w:r>
      <w:r w:rsidR="0053119E" w:rsidRPr="00C4084C">
        <w:t xml:space="preserve"> (see Recommendation </w:t>
      </w:r>
      <w:r w:rsidR="00B960F7" w:rsidRPr="00C4084C">
        <w:t>15)</w:t>
      </w:r>
      <w:r w:rsidRPr="00C4084C">
        <w:t>.</w:t>
      </w:r>
      <w:r w:rsidR="00061DA2" w:rsidRPr="00C4084C">
        <w:rPr>
          <w:rStyle w:val="FootnoteReference"/>
        </w:rPr>
        <w:footnoteReference w:id="236"/>
      </w:r>
      <w:r w:rsidRPr="00C4084C">
        <w:t xml:space="preserve"> The Review </w:t>
      </w:r>
      <w:r w:rsidR="00010FA3" w:rsidRPr="00C4084C">
        <w:t xml:space="preserve">recommends the figure of </w:t>
      </w:r>
      <w:r w:rsidR="00061DA2" w:rsidRPr="00C4084C">
        <w:t>$68,857</w:t>
      </w:r>
      <w:r w:rsidRPr="00C4084C">
        <w:t xml:space="preserve"> </w:t>
      </w:r>
      <w:r w:rsidR="00010FA3" w:rsidRPr="00C4084C">
        <w:t>as a starting point</w:t>
      </w:r>
      <w:r w:rsidRPr="00C4084C">
        <w:t xml:space="preserve"> </w:t>
      </w:r>
      <w:r w:rsidR="00D715A0" w:rsidRPr="00C4084C">
        <w:t>as it is</w:t>
      </w:r>
      <w:r w:rsidRPr="00C4084C">
        <w:t xml:space="preserve"> equal to the maximum level of income from earnings a couple on </w:t>
      </w:r>
      <w:proofErr w:type="spellStart"/>
      <w:r w:rsidRPr="00C4084C">
        <w:t>JobSeeker</w:t>
      </w:r>
      <w:proofErr w:type="spellEnd"/>
      <w:r w:rsidRPr="00C4084C">
        <w:t xml:space="preserve"> payment can earn annually before they receive no payment. </w:t>
      </w:r>
      <w:r w:rsidR="009D5E13" w:rsidRPr="00C4084C">
        <w:t>Currently</w:t>
      </w:r>
      <w:r w:rsidRPr="00C4084C">
        <w:t xml:space="preserve">, </w:t>
      </w:r>
      <w:r w:rsidR="00061DA2" w:rsidRPr="00C4084C">
        <w:t>$68,857</w:t>
      </w:r>
      <w:r w:rsidRPr="00C4084C">
        <w:t xml:space="preserve"> is the point at which </w:t>
      </w:r>
      <w:r w:rsidR="0060747A" w:rsidRPr="00C4084C">
        <w:t>g</w:t>
      </w:r>
      <w:r w:rsidRPr="00C4084C">
        <w:t xml:space="preserve">overnment determines a couple is earning sufficient income that they no longer require </w:t>
      </w:r>
      <w:r w:rsidR="00D715A0" w:rsidRPr="00C4084C">
        <w:t>one</w:t>
      </w:r>
      <w:r w:rsidRPr="00C4084C">
        <w:t xml:space="preserve"> dollar of income support. </w:t>
      </w:r>
    </w:p>
    <w:p w14:paraId="10DD6198" w14:textId="06E46930" w:rsidR="00D27626" w:rsidRPr="00C4084C" w:rsidRDefault="00D27626" w:rsidP="003517F1">
      <w:r w:rsidRPr="00C4084C">
        <w:t xml:space="preserve">The Review is also concerned that independence testing arrangements </w:t>
      </w:r>
      <w:r w:rsidR="00861D25" w:rsidRPr="00C4084C">
        <w:t>are</w:t>
      </w:r>
      <w:r w:rsidRPr="00C4084C">
        <w:t xml:space="preserve"> disadvantaging school leavers who need to move away from home to study. Most students satisfying the workforce participation criteria for independence are regional and remote students via concessional arrangements, suggesting more regional and remote students could be delaying entry to university to work for 14 months so they can access </w:t>
      </w:r>
      <w:r w:rsidR="00421784" w:rsidRPr="00C4084C">
        <w:t>student payments</w:t>
      </w:r>
      <w:r w:rsidRPr="00C4084C">
        <w:t xml:space="preserve"> independent of parental means testing. The Napthine Review concluded regional, </w:t>
      </w:r>
      <w:proofErr w:type="gramStart"/>
      <w:r w:rsidRPr="00C4084C">
        <w:t>rural</w:t>
      </w:r>
      <w:proofErr w:type="gramEnd"/>
      <w:r w:rsidRPr="00C4084C">
        <w:t xml:space="preserve"> and remote students who take a gap year are less likely to complete their tertiary studies.</w:t>
      </w:r>
      <w:r w:rsidRPr="00C4084C">
        <w:rPr>
          <w:rStyle w:val="FootnoteReference"/>
        </w:rPr>
        <w:footnoteReference w:id="237"/>
      </w:r>
      <w:r w:rsidRPr="00C4084C">
        <w:t xml:space="preserve"> The Napthine Review also found insufficient</w:t>
      </w:r>
      <w:r w:rsidR="00246785" w:rsidRPr="00C4084C">
        <w:t xml:space="preserve"> income</w:t>
      </w:r>
      <w:r w:rsidRPr="00C4084C">
        <w:t xml:space="preserve"> support to participate in tertiary education is a key driver of lower participation and attainment outcomes for people from regional, rural and remote areas, and recommended more flexible pathways to demonstrate independence for Youth Allowance purposes for these students</w:t>
      </w:r>
      <w:r w:rsidR="00635E79" w:rsidRPr="00C4084C">
        <w:t>. The Napthine Review</w:t>
      </w:r>
      <w:r w:rsidRPr="00C4084C">
        <w:t xml:space="preserve"> </w:t>
      </w:r>
      <w:r w:rsidR="00635E79" w:rsidRPr="00C4084C">
        <w:t>indicated</w:t>
      </w:r>
      <w:r w:rsidR="00CD3AD2" w:rsidRPr="00C4084C">
        <w:t xml:space="preserve"> </w:t>
      </w:r>
      <w:r w:rsidRPr="00C4084C">
        <w:t xml:space="preserve">its preferred approach, if not for budgetary constraints, would be to see all students who relocate from a regional, </w:t>
      </w:r>
      <w:proofErr w:type="gramStart"/>
      <w:r w:rsidRPr="00C4084C">
        <w:t>rural</w:t>
      </w:r>
      <w:proofErr w:type="gramEnd"/>
      <w:r w:rsidRPr="00C4084C">
        <w:t xml:space="preserve"> or remote area automatically considered independent.</w:t>
      </w:r>
      <w:r w:rsidRPr="00C4084C">
        <w:rPr>
          <w:rStyle w:val="FootnoteReference"/>
        </w:rPr>
        <w:footnoteReference w:id="238"/>
      </w:r>
      <w:r w:rsidRPr="00C4084C">
        <w:t xml:space="preserve"> The specific challenges regional, rural and remote students face in accessing higher education, and the extent to which the student income support system is doing enough to reduce these barriers, warrants further consideration. </w:t>
      </w:r>
    </w:p>
    <w:p w14:paraId="17F5B97F" w14:textId="03A3FDB4" w:rsidR="00D27626" w:rsidRPr="00C4084C" w:rsidRDefault="00246785" w:rsidP="007B0775">
      <w:pPr>
        <w:pStyle w:val="Heading5"/>
      </w:pPr>
      <w:r w:rsidRPr="00C4084C">
        <w:t>Income support p</w:t>
      </w:r>
      <w:r w:rsidR="00D27626" w:rsidRPr="00C4084C">
        <w:t xml:space="preserve">ayment adequacy must be further </w:t>
      </w:r>
      <w:proofErr w:type="gramStart"/>
      <w:r w:rsidR="00D27626" w:rsidRPr="00C4084C">
        <w:t>explored</w:t>
      </w:r>
      <w:proofErr w:type="gramEnd"/>
    </w:p>
    <w:p w14:paraId="068347E0" w14:textId="355A3CD0" w:rsidR="002D6FB0" w:rsidRPr="00C4084C" w:rsidRDefault="00D27626" w:rsidP="003517F1">
      <w:pPr>
        <w:sectPr w:rsidR="002D6FB0" w:rsidRPr="00C4084C" w:rsidSect="00134415">
          <w:headerReference w:type="even" r:id="rId90"/>
          <w:headerReference w:type="default" r:id="rId91"/>
          <w:type w:val="continuous"/>
          <w:pgSz w:w="11906" w:h="16838"/>
          <w:pgMar w:top="1134" w:right="1134" w:bottom="1134" w:left="1134" w:header="709" w:footer="709" w:gutter="0"/>
          <w:cols w:space="708"/>
          <w:docGrid w:linePitch="360"/>
        </w:sectPr>
      </w:pPr>
      <w:r w:rsidRPr="00C4084C">
        <w:t>The Review has also heard concerns that student payment rates are too low. Discussion of the adequacy of all income support payments has featured prominently in public discourse in recent years. In its 2023</w:t>
      </w:r>
      <w:r w:rsidRPr="00C4084C">
        <w:rPr>
          <w:rFonts w:ascii="Symbol" w:eastAsia="Symbol" w:hAnsi="Symbol" w:cs="Symbol"/>
        </w:rPr>
        <w:t>-</w:t>
      </w:r>
      <w:r w:rsidRPr="00C4084C">
        <w:t xml:space="preserve">24 report, the Interim Economic Inclusion Advisory Committee recommended that the </w:t>
      </w:r>
      <w:proofErr w:type="spellStart"/>
      <w:r w:rsidRPr="00C4084C">
        <w:t>JobSeeker</w:t>
      </w:r>
      <w:proofErr w:type="spellEnd"/>
      <w:r w:rsidRPr="00C4084C">
        <w:t xml:space="preserve"> Payment and other working age payments be increased to 90% of the Aged Pension.</w:t>
      </w:r>
      <w:r w:rsidRPr="00C4084C">
        <w:rPr>
          <w:rStyle w:val="FootnoteReference"/>
          <w:rFonts w:cs="Arial"/>
        </w:rPr>
        <w:footnoteReference w:id="239"/>
      </w:r>
      <w:r w:rsidRPr="00C4084C">
        <w:t xml:space="preserve"> A</w:t>
      </w:r>
      <w:r w:rsidR="00D606E6" w:rsidRPr="00C4084C">
        <w:t xml:space="preserve"> s</w:t>
      </w:r>
      <w:r w:rsidRPr="00C4084C">
        <w:t xml:space="preserve">tudent in receipt of </w:t>
      </w:r>
      <w:proofErr w:type="spellStart"/>
      <w:r w:rsidRPr="00C4084C">
        <w:t>Austudy</w:t>
      </w:r>
      <w:proofErr w:type="spellEnd"/>
      <w:r w:rsidRPr="00C4084C">
        <w:t xml:space="preserve"> and the maximum rate of Commonwealth Rent Assistance currently receives </w:t>
      </w:r>
      <w:r w:rsidR="00D3620A" w:rsidRPr="00C4084C">
        <w:t>62</w:t>
      </w:r>
      <w:r w:rsidR="000F6893" w:rsidRPr="00C4084C">
        <w:t>.0</w:t>
      </w:r>
      <w:r w:rsidR="00792DFD" w:rsidRPr="00C4084C">
        <w:t>%</w:t>
      </w:r>
      <w:r w:rsidRPr="00C4084C">
        <w:t xml:space="preserve"> of the Aged Pension.</w:t>
      </w:r>
      <w:r w:rsidR="00792DFD" w:rsidRPr="00C4084C">
        <w:rPr>
          <w:rStyle w:val="FootnoteReference"/>
        </w:rPr>
        <w:footnoteReference w:id="240"/>
      </w:r>
      <w:r w:rsidRPr="00C4084C">
        <w:t xml:space="preserve"> The Review considers it is timely for </w:t>
      </w:r>
      <w:r w:rsidR="0060747A" w:rsidRPr="00C4084C">
        <w:t>the Australian</w:t>
      </w:r>
      <w:r w:rsidRPr="00C4084C">
        <w:t xml:space="preserve"> Government to examine student payments, with particular regard to the adequacy of </w:t>
      </w:r>
      <w:r w:rsidR="00246785" w:rsidRPr="00C4084C">
        <w:t xml:space="preserve">income support </w:t>
      </w:r>
      <w:r w:rsidRPr="00C4084C">
        <w:t xml:space="preserve">payment </w:t>
      </w:r>
      <w:r w:rsidR="0082722D">
        <w:t xml:space="preserve">rates (see Figure 19) </w:t>
      </w:r>
      <w:r w:rsidR="0082722D" w:rsidRPr="00C4084C">
        <w:t>in supporting successful participation and completion outcomes.</w:t>
      </w:r>
    </w:p>
    <w:p w14:paraId="409234F7" w14:textId="73A86FD2" w:rsidR="006036FF" w:rsidRPr="00D26B82" w:rsidRDefault="006036FF" w:rsidP="006036FF">
      <w:pPr>
        <w:pStyle w:val="Caption"/>
        <w:rPr>
          <w:b/>
          <w:bCs/>
          <w:sz w:val="24"/>
          <w:szCs w:val="24"/>
        </w:rPr>
      </w:pPr>
      <w:bookmarkStart w:id="695" w:name="_Toc154674781"/>
      <w:bookmarkStart w:id="696" w:name="_Ref153288513"/>
      <w:r w:rsidRPr="00D26B82">
        <w:rPr>
          <w:b/>
          <w:bCs/>
          <w:sz w:val="24"/>
          <w:szCs w:val="24"/>
        </w:rPr>
        <w:lastRenderedPageBreak/>
        <w:t xml:space="preserve">Figure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19</w:t>
      </w:r>
      <w:r w:rsidRPr="00D26B82">
        <w:rPr>
          <w:b/>
          <w:bCs/>
          <w:sz w:val="24"/>
          <w:szCs w:val="24"/>
        </w:rPr>
        <w:fldChar w:fldCharType="end"/>
      </w:r>
      <w:r w:rsidRPr="00D26B82">
        <w:rPr>
          <w:b/>
          <w:bCs/>
          <w:sz w:val="24"/>
          <w:szCs w:val="24"/>
        </w:rPr>
        <w:t>: Student income support payments as a proportion of</w:t>
      </w:r>
      <w:r w:rsidRPr="00D26B82" w:rsidDel="00D606E6">
        <w:rPr>
          <w:b/>
          <w:bCs/>
          <w:sz w:val="24"/>
          <w:szCs w:val="24"/>
        </w:rPr>
        <w:t xml:space="preserve"> </w:t>
      </w:r>
      <w:r w:rsidRPr="00D26B82">
        <w:rPr>
          <w:b/>
          <w:bCs/>
          <w:sz w:val="24"/>
          <w:szCs w:val="24"/>
        </w:rPr>
        <w:t xml:space="preserve">common benchmarks (%), as </w:t>
      </w:r>
      <w:proofErr w:type="gramStart"/>
      <w:r w:rsidRPr="00D26B82">
        <w:rPr>
          <w:b/>
          <w:bCs/>
          <w:sz w:val="24"/>
          <w:szCs w:val="24"/>
        </w:rPr>
        <w:t>at</w:t>
      </w:r>
      <w:proofErr w:type="gramEnd"/>
      <w:r w:rsidRPr="00D26B82">
        <w:rPr>
          <w:b/>
          <w:bCs/>
          <w:sz w:val="24"/>
          <w:szCs w:val="24"/>
        </w:rPr>
        <w:t xml:space="preserve"> December 2023.</w:t>
      </w:r>
      <w:bookmarkEnd w:id="695"/>
    </w:p>
    <w:p w14:paraId="720BDDED" w14:textId="771DD3B5" w:rsidR="00AC684D" w:rsidRDefault="00796DAB" w:rsidP="0072052F">
      <w:pPr>
        <w:pStyle w:val="Caption"/>
        <w:spacing w:before="0" w:after="0"/>
      </w:pPr>
      <w:r>
        <w:rPr>
          <w:noProof/>
        </w:rPr>
        <w:drawing>
          <wp:inline distT="0" distB="0" distL="0" distR="0" wp14:anchorId="4E4FBFB0" wp14:editId="4E75FE4D">
            <wp:extent cx="9122735" cy="3586716"/>
            <wp:effectExtent l="0" t="0" r="0" b="0"/>
            <wp:docPr id="2104741182" name="Graphic 19" descr="A bar graph showing example student income support payment rates as a proportion of common benchmarks.  The graph shows that student income support payment rates are lower than common benchmarks, including Budget Standards, Aged Pension, Net National Minimum Wage, Gross National Minimum Wage and the Henderson Poverty 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741182" name="Graphic 19" descr="A bar graph showing example student income support payment rates as a proportion of common benchmarks.  The graph shows that student income support payment rates are lower than common benchmarks, including Budget Standards, Aged Pension, Net National Minimum Wage, Gross National Minimum Wage and the Henderson Poverty Line. "/>
                    <pic:cNvPicPr/>
                  </pic:nvPicPr>
                  <pic:blipFill>
                    <a:blip r:embed="rId92">
                      <a:extLst>
                        <a:ext uri="{28A0092B-C50C-407E-A947-70E740481C1C}">
                          <a14:useLocalDpi xmlns:a14="http://schemas.microsoft.com/office/drawing/2010/main" val="0"/>
                        </a:ext>
                        <a:ext uri="{96DAC541-7B7A-43D3-8B79-37D633B846F1}">
                          <asvg:svgBlip xmlns:asvg="http://schemas.microsoft.com/office/drawing/2016/SVG/main" r:embed="rId93"/>
                        </a:ext>
                      </a:extLst>
                    </a:blip>
                    <a:stretch>
                      <a:fillRect/>
                    </a:stretch>
                  </pic:blipFill>
                  <pic:spPr>
                    <a:xfrm>
                      <a:off x="0" y="0"/>
                      <a:ext cx="9143417" cy="3594848"/>
                    </a:xfrm>
                    <a:prstGeom prst="rect">
                      <a:avLst/>
                    </a:prstGeom>
                  </pic:spPr>
                </pic:pic>
              </a:graphicData>
            </a:graphic>
          </wp:inline>
        </w:drawing>
      </w:r>
    </w:p>
    <w:bookmarkEnd w:id="696"/>
    <w:p w14:paraId="64435EB2" w14:textId="59539957" w:rsidR="00736F79" w:rsidRPr="00C4084C" w:rsidRDefault="00EE1289" w:rsidP="00661513">
      <w:pPr>
        <w:pStyle w:val="Source"/>
      </w:pPr>
      <w:r>
        <w:t xml:space="preserve">Source: </w:t>
      </w:r>
      <w:r w:rsidR="00736F79" w:rsidRPr="00C4084C">
        <w:t xml:space="preserve">Department of Social Services, </w:t>
      </w:r>
      <w:r w:rsidR="0065648F" w:rsidRPr="00C4084C">
        <w:rPr>
          <w:i/>
          <w:iCs/>
        </w:rPr>
        <w:t>Student payment data</w:t>
      </w:r>
      <w:r w:rsidR="00736F79" w:rsidRPr="00C4084C">
        <w:t xml:space="preserve"> [unpublished data], (Canberra: Department of Social Services, 2023).</w:t>
      </w:r>
    </w:p>
    <w:p w14:paraId="4F024080" w14:textId="3713BFFB" w:rsidR="0042550D" w:rsidRPr="00C4084C" w:rsidRDefault="00736F79" w:rsidP="004E7DE7">
      <w:pPr>
        <w:pStyle w:val="Source"/>
      </w:pPr>
      <w:r w:rsidRPr="00C4084C">
        <w:t xml:space="preserve">Note: </w:t>
      </w:r>
      <w:r w:rsidR="004E7DE7" w:rsidRPr="00C4084C">
        <w:rPr>
          <w:b/>
          <w:bCs/>
        </w:rPr>
        <w:t>Henderson Poverty Line</w:t>
      </w:r>
      <w:r w:rsidR="004E7DE7" w:rsidRPr="00C4084C">
        <w:t xml:space="preserve"> comparison is only available for </w:t>
      </w:r>
      <w:proofErr w:type="spellStart"/>
      <w:r w:rsidR="004E7DE7" w:rsidRPr="00C4084C">
        <w:t>Austudy</w:t>
      </w:r>
      <w:proofErr w:type="spellEnd"/>
      <w:r w:rsidR="004E7DE7" w:rsidRPr="00C4084C">
        <w:t xml:space="preserve">, max Rent Assistance.  The Henderson Poverty Line assumes Head in the Workforce – this </w:t>
      </w:r>
      <w:proofErr w:type="gramStart"/>
      <w:r w:rsidR="004E7DE7" w:rsidRPr="00C4084C">
        <w:t>makes an assumption</w:t>
      </w:r>
      <w:proofErr w:type="gramEnd"/>
      <w:r w:rsidR="004E7DE7" w:rsidRPr="00C4084C">
        <w:t xml:space="preserve"> that a single household on </w:t>
      </w:r>
      <w:proofErr w:type="spellStart"/>
      <w:r w:rsidR="004E7DE7" w:rsidRPr="00C4084C">
        <w:t>Austudy</w:t>
      </w:r>
      <w:proofErr w:type="spellEnd"/>
      <w:r w:rsidR="004E7DE7" w:rsidRPr="00C4084C">
        <w:t xml:space="preserve"> has a similar need for disposable income as a single person who is in the workforce.</w:t>
      </w:r>
    </w:p>
    <w:p w14:paraId="7051701A" w14:textId="5D22E9FA" w:rsidR="0042550D" w:rsidRPr="00C4084C" w:rsidRDefault="004E7DE7" w:rsidP="004E7DE7">
      <w:pPr>
        <w:pStyle w:val="Source"/>
      </w:pPr>
      <w:r w:rsidRPr="00C4084C">
        <w:rPr>
          <w:b/>
          <w:bCs/>
        </w:rPr>
        <w:t xml:space="preserve">The National Minimum Wage (NMW) </w:t>
      </w:r>
      <w:r w:rsidRPr="00C4084C">
        <w:t>assesses payments</w:t>
      </w:r>
      <w:r w:rsidR="00025E3A" w:rsidRPr="00C4084C">
        <w:t>’</w:t>
      </w:r>
      <w:r w:rsidRPr="00C4084C">
        <w:t xml:space="preserve"> proximity to full-time low-income wage earners. Gross and Net variations are compared to show the impact of taxation.</w:t>
      </w:r>
    </w:p>
    <w:p w14:paraId="6D17A8B7" w14:textId="70F46101" w:rsidR="0042550D" w:rsidRPr="00C4084C" w:rsidRDefault="004E7DE7" w:rsidP="004E7DE7">
      <w:pPr>
        <w:pStyle w:val="Source"/>
      </w:pPr>
      <w:r w:rsidRPr="00C4084C">
        <w:rPr>
          <w:b/>
          <w:bCs/>
        </w:rPr>
        <w:t>The Budget Standards </w:t>
      </w:r>
      <w:r w:rsidRPr="00C4084C">
        <w:t xml:space="preserve">approach takes the form of an estimate of the amount of income households require to have an </w:t>
      </w:r>
      <w:r w:rsidR="00025E3A" w:rsidRPr="00C4084C">
        <w:t>‘</w:t>
      </w:r>
      <w:r w:rsidRPr="00C4084C">
        <w:t>adequate</w:t>
      </w:r>
      <w:r w:rsidR="00025E3A" w:rsidRPr="00C4084C">
        <w:t>’</w:t>
      </w:r>
      <w:r w:rsidRPr="00C4084C">
        <w:t xml:space="preserve"> lifestyle, with those with incomes below this level considered to be in poverty. The Budget Standards developed by the Social Policy Research Institute based on 2016 estimates require assumptions drawing on a large array of information.</w:t>
      </w:r>
    </w:p>
    <w:p w14:paraId="281A9314" w14:textId="77777777" w:rsidR="0042550D" w:rsidRPr="00C4084C" w:rsidRDefault="004E7DE7" w:rsidP="004E7DE7">
      <w:pPr>
        <w:pStyle w:val="Source"/>
      </w:pPr>
      <w:r w:rsidRPr="00C4084C">
        <w:t>Calculations assume no rental costs in the Youth Allowance at home scenario and no economies of scale from living with parents.</w:t>
      </w:r>
    </w:p>
    <w:p w14:paraId="0F15B623" w14:textId="5EA62D09" w:rsidR="004E7DE7" w:rsidRPr="00C4084C" w:rsidRDefault="004E7DE7" w:rsidP="004E7DE7">
      <w:pPr>
        <w:pStyle w:val="Source"/>
      </w:pPr>
      <w:r w:rsidRPr="00C4084C">
        <w:t>No economies of sharing have been assumed aside from rental costs for YA away from home (sharer) budget standard calculation, making the 79.8% figure above a likely lower bound for this benchmark.</w:t>
      </w:r>
    </w:p>
    <w:p w14:paraId="759900F3" w14:textId="77777777" w:rsidR="005E54A6" w:rsidRPr="00C4084C" w:rsidRDefault="005E54A6" w:rsidP="00661513">
      <w:pPr>
        <w:pStyle w:val="Source"/>
        <w:sectPr w:rsidR="005E54A6" w:rsidRPr="00C4084C" w:rsidSect="00134415">
          <w:pgSz w:w="16838" w:h="11906" w:orient="landscape"/>
          <w:pgMar w:top="1134" w:right="1134" w:bottom="1134" w:left="1134" w:header="709" w:footer="709" w:gutter="0"/>
          <w:cols w:space="708"/>
          <w:docGrid w:linePitch="360"/>
        </w:sectPr>
      </w:pPr>
    </w:p>
    <w:p w14:paraId="5550028C" w14:textId="77777777" w:rsidR="00D27626" w:rsidRPr="00C4084C" w:rsidRDefault="00D27626" w:rsidP="007B0775">
      <w:pPr>
        <w:pStyle w:val="Heading5"/>
      </w:pPr>
      <w:r w:rsidRPr="00C4084C">
        <w:lastRenderedPageBreak/>
        <w:t xml:space="preserve">Student income bank settings should be </w:t>
      </w:r>
      <w:proofErr w:type="gramStart"/>
      <w:r w:rsidRPr="00C4084C">
        <w:t>maintained</w:t>
      </w:r>
      <w:proofErr w:type="gramEnd"/>
    </w:p>
    <w:p w14:paraId="797E9C55" w14:textId="7ECE4FDE" w:rsidR="00D27626" w:rsidRPr="00C4084C" w:rsidRDefault="00D27626" w:rsidP="0084654E">
      <w:r w:rsidRPr="00C4084C">
        <w:t xml:space="preserve">Student </w:t>
      </w:r>
      <w:r w:rsidR="007333C9" w:rsidRPr="00C4084C">
        <w:t xml:space="preserve">income support </w:t>
      </w:r>
      <w:r w:rsidRPr="00C4084C">
        <w:t xml:space="preserve">payments have more generous personal income provisions than other payments. For example, a student receiving </w:t>
      </w:r>
      <w:proofErr w:type="spellStart"/>
      <w:r w:rsidRPr="00C4084C">
        <w:t>Austudy</w:t>
      </w:r>
      <w:proofErr w:type="spellEnd"/>
      <w:r w:rsidRPr="00C4084C">
        <w:t xml:space="preserve"> can earn up to $480 a fortnight before their payment begins to reduce, while a person in receipt of </w:t>
      </w:r>
      <w:proofErr w:type="spellStart"/>
      <w:r w:rsidRPr="00C4084C">
        <w:t>JobSeeker</w:t>
      </w:r>
      <w:proofErr w:type="spellEnd"/>
      <w:r w:rsidRPr="00C4084C">
        <w:t xml:space="preserve"> will see a reduction once their income reaches $150 a fortnight.</w:t>
      </w:r>
      <w:r w:rsidRPr="00C4084C">
        <w:rPr>
          <w:rStyle w:val="FootnoteReference"/>
          <w:rFonts w:cs="Arial"/>
        </w:rPr>
        <w:footnoteReference w:id="241"/>
      </w:r>
      <w:r w:rsidRPr="00C4084C">
        <w:t xml:space="preserve"> People receiving student </w:t>
      </w:r>
      <w:r w:rsidR="007333C9" w:rsidRPr="00C4084C">
        <w:t xml:space="preserve">income support </w:t>
      </w:r>
      <w:r w:rsidRPr="00C4084C">
        <w:t xml:space="preserve">payments can also make use of an income bank, which allows them to earn credits in periods when their fortnightly income is less than $480 (for example, if they work less during the semester) </w:t>
      </w:r>
      <w:r w:rsidR="00FB3DED" w:rsidRPr="00C4084C">
        <w:t xml:space="preserve">and </w:t>
      </w:r>
      <w:r w:rsidRPr="00C4084C">
        <w:t>to keep more of their payment in times they earn more (such as during the summer holidays).</w:t>
      </w:r>
      <w:r w:rsidRPr="00C4084C">
        <w:rPr>
          <w:rStyle w:val="FootnoteReference"/>
        </w:rPr>
        <w:footnoteReference w:id="242"/>
      </w:r>
      <w:r w:rsidRPr="00C4084C">
        <w:t xml:space="preserve"> The Review considers income bank settings for students are a good thing and a feature of the system that should be maintained, but available evidence suggests not all students are leveraging its potential. </w:t>
      </w:r>
      <w:r w:rsidR="00733E2B" w:rsidRPr="00C4084C">
        <w:t xml:space="preserve">Across a </w:t>
      </w:r>
      <w:r w:rsidRPr="00C4084C">
        <w:t>12</w:t>
      </w:r>
      <w:r w:rsidR="00792DFD" w:rsidRPr="00C4084C">
        <w:t>-</w:t>
      </w:r>
      <w:r w:rsidR="00733E2B" w:rsidRPr="00C4084C">
        <w:t>month period</w:t>
      </w:r>
      <w:r w:rsidRPr="00C4084C">
        <w:t xml:space="preserve"> from </w:t>
      </w:r>
      <w:r w:rsidR="00733E2B" w:rsidRPr="00C4084C">
        <w:t>April 2022, an average of</w:t>
      </w:r>
      <w:r w:rsidRPr="00C4084C">
        <w:t xml:space="preserve"> 40% of Youth Allowance (Student) recipients and 47% of </w:t>
      </w:r>
      <w:proofErr w:type="spellStart"/>
      <w:r w:rsidRPr="00C4084C">
        <w:t>Austudy</w:t>
      </w:r>
      <w:proofErr w:type="spellEnd"/>
      <w:r w:rsidRPr="00C4084C">
        <w:t xml:space="preserve"> recipients accumulated income bank credits but did not use them.</w:t>
      </w:r>
      <w:r w:rsidRPr="00C4084C">
        <w:rPr>
          <w:rStyle w:val="FootnoteReference"/>
          <w:rFonts w:cs="Arial"/>
        </w:rPr>
        <w:footnoteReference w:id="243"/>
      </w:r>
      <w:r w:rsidRPr="00C4084C">
        <w:t xml:space="preserve"> The Review suggests this points to a need for students to be better informed about the income bank, and how they can use it to their benefit.</w:t>
      </w:r>
    </w:p>
    <w:p w14:paraId="0940632A" w14:textId="0F581458" w:rsidR="00D27626" w:rsidRPr="00C4084C" w:rsidRDefault="00D27626" w:rsidP="007B0775">
      <w:pPr>
        <w:pStyle w:val="Heading5"/>
      </w:pPr>
      <w:r w:rsidRPr="00C4084C">
        <w:t xml:space="preserve">To improve completion outcomes, eligibility for student </w:t>
      </w:r>
      <w:r w:rsidR="007333C9" w:rsidRPr="00C4084C">
        <w:t xml:space="preserve">income support </w:t>
      </w:r>
      <w:r w:rsidRPr="00C4084C">
        <w:t xml:space="preserve">payments should include part-time </w:t>
      </w:r>
      <w:proofErr w:type="gramStart"/>
      <w:r w:rsidRPr="00C4084C">
        <w:t>students</w:t>
      </w:r>
      <w:proofErr w:type="gramEnd"/>
    </w:p>
    <w:p w14:paraId="06290685" w14:textId="4A616229" w:rsidR="00D27626" w:rsidRPr="00C4084C" w:rsidRDefault="00D27626" w:rsidP="0084654E">
      <w:r w:rsidRPr="00C4084C">
        <w:t xml:space="preserve">Financial challenges not only prevent some people from enrolling in higher education but </w:t>
      </w:r>
      <w:r w:rsidR="004B34FB" w:rsidRPr="00C4084C">
        <w:t>are</w:t>
      </w:r>
      <w:r w:rsidRPr="00C4084C">
        <w:t xml:space="preserve"> also</w:t>
      </w:r>
      <w:r w:rsidR="00E35625" w:rsidRPr="00C4084C">
        <w:t xml:space="preserve"> </w:t>
      </w:r>
      <w:r w:rsidR="00FB3DED" w:rsidRPr="00C4084C">
        <w:t>a</w:t>
      </w:r>
      <w:r w:rsidR="00E35625" w:rsidRPr="00C4084C">
        <w:t xml:space="preserve"> </w:t>
      </w:r>
      <w:r w:rsidRPr="00C4084C">
        <w:t xml:space="preserve">barrier to completion for current students. Evidence suggests this disproportionately affects students from target cohorts. Data from the Student Experience Survey shows First Nations students, students from low SES backgrounds and regional, rural and remote students are more likely to report financial difficulties as a reason they consider leaving university early (see </w:t>
      </w:r>
      <w:r w:rsidRPr="00C4084C">
        <w:fldChar w:fldCharType="begin"/>
      </w:r>
      <w:r w:rsidRPr="00C4084C">
        <w:instrText xml:space="preserve"> REF _Ref150529370 \h </w:instrText>
      </w:r>
      <w:r w:rsidR="008037CA" w:rsidRPr="00C4084C">
        <w:instrText xml:space="preserve"> \* MERGEFORMAT </w:instrText>
      </w:r>
      <w:r w:rsidRPr="00C4084C">
        <w:fldChar w:fldCharType="separate"/>
      </w:r>
      <w:r w:rsidR="00467B4F" w:rsidRPr="00C4084C">
        <w:t xml:space="preserve">Figure </w:t>
      </w:r>
      <w:r w:rsidR="00467B4F">
        <w:rPr>
          <w:noProof/>
        </w:rPr>
        <w:t>17</w:t>
      </w:r>
      <w:r w:rsidRPr="00C4084C">
        <w:fldChar w:fldCharType="end"/>
      </w:r>
      <w:r w:rsidR="00716AAE" w:rsidRPr="00C4084C">
        <w:t xml:space="preserve"> above</w:t>
      </w:r>
      <w:r w:rsidRPr="00C4084C">
        <w:t>). These students are also more likely to report work/study balance and family responsibilities as reasons for considering departure.</w:t>
      </w:r>
      <w:r w:rsidRPr="00C4084C">
        <w:rPr>
          <w:rStyle w:val="FootnoteReference"/>
          <w:rFonts w:eastAsia="Calibri" w:cs="Arial"/>
        </w:rPr>
        <w:footnoteReference w:id="244"/>
      </w:r>
    </w:p>
    <w:p w14:paraId="6EEBE1FF" w14:textId="55DDF793" w:rsidR="00D27626" w:rsidRPr="00C4084C" w:rsidRDefault="00D27626" w:rsidP="0084654E">
      <w:r w:rsidRPr="00C4084C">
        <w:t xml:space="preserve">Part-time study is increasingly common and is likely to continue to be a feature of the higher education system. </w:t>
      </w:r>
      <w:r w:rsidR="00FE6526" w:rsidRPr="00C4084C">
        <w:t>In 2022, 34 of Australia’s 38 publicly-funded universities reported a reduction in study intensity (EFTSL per student).</w:t>
      </w:r>
      <w:r w:rsidR="00FE6526" w:rsidRPr="00C4084C">
        <w:rPr>
          <w:rStyle w:val="FootnoteReference"/>
        </w:rPr>
        <w:footnoteReference w:id="245"/>
      </w:r>
      <w:r w:rsidR="00FE6526" w:rsidRPr="00C4084C">
        <w:t xml:space="preserve"> </w:t>
      </w:r>
      <w:r w:rsidRPr="00C4084C">
        <w:t>More people will come to the higher education system from different backgrounds with various factors that could limit their capacity to study full-time</w:t>
      </w:r>
      <w:r w:rsidR="00F30733">
        <w:t xml:space="preserve"> – </w:t>
      </w:r>
      <w:r w:rsidRPr="00C4084C">
        <w:t>family and caring responsibilities, need to do paid work, financial constraints, their health, or difficulty managing a full-time study load</w:t>
      </w:r>
      <w:r w:rsidR="00F30733">
        <w:t xml:space="preserve"> – </w:t>
      </w:r>
      <w:r w:rsidRPr="00C4084C">
        <w:t xml:space="preserve">yet, currently, student income support is only available to full-time students (defined as studying at least 75% of a full-time load in their course). </w:t>
      </w:r>
    </w:p>
    <w:p w14:paraId="6A49F0FD" w14:textId="31CEAD55" w:rsidR="00D27626" w:rsidRPr="00C4084C" w:rsidRDefault="00D27626" w:rsidP="0084654E">
      <w:r w:rsidRPr="00C4084C">
        <w:t>The Review acknowledges concerns about the higher risk of non-completion part-time students face. Indeed, 4-year cohort completion rates (201</w:t>
      </w:r>
      <w:r w:rsidR="00E57D5D" w:rsidRPr="00C4084C">
        <w:t>9</w:t>
      </w:r>
      <w:r w:rsidR="003459D3" w:rsidRPr="00C4084C">
        <w:t xml:space="preserve"> to </w:t>
      </w:r>
      <w:r w:rsidRPr="00C4084C">
        <w:t>202</w:t>
      </w:r>
      <w:r w:rsidR="00E57D5D" w:rsidRPr="00C4084C">
        <w:t>2</w:t>
      </w:r>
      <w:r w:rsidRPr="00C4084C">
        <w:t>) show part-time students are more than twice as likely to drop out as full-time students.</w:t>
      </w:r>
      <w:r w:rsidRPr="00C4084C">
        <w:rPr>
          <w:rStyle w:val="FootnoteReference"/>
          <w:rFonts w:eastAsia="Calibri" w:cs="Arial"/>
        </w:rPr>
        <w:footnoteReference w:id="246"/>
      </w:r>
      <w:r w:rsidRPr="00C4084C">
        <w:t xml:space="preserve"> The negative effect of part-time study on completion is at least in part driven by other factors. Part-time students are more likely to be older</w:t>
      </w:r>
      <w:r w:rsidR="00F30733">
        <w:t>:</w:t>
      </w:r>
      <w:r w:rsidR="00F30733" w:rsidRPr="00C4084C">
        <w:t xml:space="preserve"> </w:t>
      </w:r>
      <w:r w:rsidRPr="00C4084C">
        <w:t>5</w:t>
      </w:r>
      <w:r w:rsidR="00E57D5D" w:rsidRPr="00C4084C">
        <w:t>0</w:t>
      </w:r>
      <w:r w:rsidRPr="00C4084C">
        <w:t xml:space="preserve">% of part-time domestic bachelor students, compared to </w:t>
      </w:r>
      <w:r w:rsidR="0034209D" w:rsidRPr="00C4084C">
        <w:t>only</w:t>
      </w:r>
      <w:r w:rsidRPr="00C4084C">
        <w:t xml:space="preserve"> 1</w:t>
      </w:r>
      <w:r w:rsidR="00AA18F4" w:rsidRPr="00C4084C">
        <w:t>6</w:t>
      </w:r>
      <w:r w:rsidRPr="00C4084C">
        <w:t>% of full-time domestic bachelor students</w:t>
      </w:r>
      <w:r w:rsidR="0034209D" w:rsidRPr="00C4084C">
        <w:t xml:space="preserve">, are </w:t>
      </w:r>
      <w:r w:rsidR="0034209D" w:rsidRPr="00C4084C">
        <w:lastRenderedPageBreak/>
        <w:t>25 years of age or older</w:t>
      </w:r>
      <w:r w:rsidRPr="00C4084C">
        <w:t>.</w:t>
      </w:r>
      <w:r w:rsidRPr="00C4084C">
        <w:rPr>
          <w:rStyle w:val="FootnoteReference"/>
          <w:rFonts w:eastAsia="Calibri" w:cs="Arial"/>
        </w:rPr>
        <w:footnoteReference w:id="247"/>
      </w:r>
      <w:r w:rsidRPr="00C4084C">
        <w:t xml:space="preserve"> It follows that part-time students </w:t>
      </w:r>
      <w:r w:rsidR="004B34FB" w:rsidRPr="00C4084C">
        <w:t>are</w:t>
      </w:r>
      <w:r w:rsidRPr="00C4084C">
        <w:t xml:space="preserve"> likely </w:t>
      </w:r>
      <w:r w:rsidR="00F30733">
        <w:t xml:space="preserve">to </w:t>
      </w:r>
      <w:r w:rsidRPr="00C4084C">
        <w:t>enrol on a part-time basis primarily to accommodate their other life circumstances. Data from the Student Experience Survey supports this assumption, with part-time students who consider leaving their course early more likely to report paid work and family responsibilities as a reason why</w:t>
      </w:r>
      <w:r w:rsidR="00F30733">
        <w:t>,</w:t>
      </w:r>
      <w:r w:rsidRPr="00C4084C">
        <w:t xml:space="preserve"> compared to full-</w:t>
      </w:r>
      <w:r w:rsidR="00D6189A" w:rsidRPr="00C4084C">
        <w:t xml:space="preserve">time </w:t>
      </w:r>
      <w:r w:rsidRPr="00C4084C">
        <w:t>students.</w:t>
      </w:r>
      <w:r w:rsidRPr="00C4084C">
        <w:rPr>
          <w:rStyle w:val="FootnoteReference"/>
          <w:rFonts w:eastAsia="Calibri" w:cs="Arial"/>
        </w:rPr>
        <w:footnoteReference w:id="248"/>
      </w:r>
    </w:p>
    <w:p w14:paraId="31AF15C5" w14:textId="3C710854" w:rsidR="00D27626" w:rsidRPr="00C4084C" w:rsidRDefault="00D27626" w:rsidP="0084654E">
      <w:r w:rsidRPr="00C4084C">
        <w:t xml:space="preserve">In addition, students from </w:t>
      </w:r>
      <w:r w:rsidR="004E3D7A" w:rsidRPr="00C4084C">
        <w:t>target cohorts</w:t>
      </w:r>
      <w:r w:rsidRPr="00C4084C">
        <w:t xml:space="preserve"> </w:t>
      </w:r>
      <w:r w:rsidR="002D39D4" w:rsidRPr="00C4084C">
        <w:t xml:space="preserve">study </w:t>
      </w:r>
      <w:r w:rsidRPr="00C4084C">
        <w:t xml:space="preserve">part-time </w:t>
      </w:r>
      <w:r w:rsidR="002D39D4" w:rsidRPr="00C4084C">
        <w:t xml:space="preserve">at </w:t>
      </w:r>
      <w:r w:rsidRPr="00C4084C">
        <w:t>higher rates</w:t>
      </w:r>
      <w:r w:rsidR="00DC4DE1" w:rsidRPr="00C4084C">
        <w:t xml:space="preserve">, shown by differences </w:t>
      </w:r>
      <w:r w:rsidR="002D39D4" w:rsidRPr="00C4084C">
        <w:t>in part-time study rates among</w:t>
      </w:r>
      <w:r w:rsidR="00DC4DE1" w:rsidRPr="00C4084C">
        <w:t xml:space="preserve"> cohorts </w:t>
      </w:r>
      <w:r w:rsidR="002D39D4" w:rsidRPr="00C4084C">
        <w:t>of domestic</w:t>
      </w:r>
      <w:r w:rsidRPr="00C4084C">
        <w:t xml:space="preserve"> bachelor students </w:t>
      </w:r>
      <w:r w:rsidR="00DC4DE1" w:rsidRPr="00C4084C">
        <w:t>in 202</w:t>
      </w:r>
      <w:r w:rsidR="00DF3C6F" w:rsidRPr="00C4084C">
        <w:t>2</w:t>
      </w:r>
      <w:r w:rsidR="00F902CC" w:rsidRPr="00C4084C">
        <w:t xml:space="preserve">: </w:t>
      </w:r>
      <w:r w:rsidRPr="00C4084C">
        <w:t xml:space="preserve">First Nations students </w:t>
      </w:r>
      <w:r w:rsidR="00F902CC" w:rsidRPr="00C4084C">
        <w:t>(3</w:t>
      </w:r>
      <w:r w:rsidR="00DF3C6F" w:rsidRPr="00C4084C">
        <w:t>5</w:t>
      </w:r>
      <w:r w:rsidR="00F902CC" w:rsidRPr="00C4084C">
        <w:t xml:space="preserve">%) </w:t>
      </w:r>
      <w:r w:rsidRPr="00C4084C">
        <w:t xml:space="preserve">compared </w:t>
      </w:r>
      <w:r w:rsidR="00DC4DE1" w:rsidRPr="00C4084C">
        <w:t xml:space="preserve">with </w:t>
      </w:r>
      <w:r w:rsidRPr="00C4084C">
        <w:t>non-First Nations students</w:t>
      </w:r>
      <w:r w:rsidR="00970F09" w:rsidRPr="00C4084C">
        <w:t xml:space="preserve"> (2</w:t>
      </w:r>
      <w:r w:rsidR="00DF3C6F" w:rsidRPr="00C4084C">
        <w:t>7</w:t>
      </w:r>
      <w:r w:rsidR="00970F09" w:rsidRPr="00C4084C">
        <w:t>%)</w:t>
      </w:r>
      <w:r w:rsidR="00F902CC" w:rsidRPr="00C4084C">
        <w:t>; s</w:t>
      </w:r>
      <w:r w:rsidRPr="00C4084C">
        <w:t xml:space="preserve">tudents from low SES backgrounds </w:t>
      </w:r>
      <w:r w:rsidR="00F902CC" w:rsidRPr="00C4084C">
        <w:t>(</w:t>
      </w:r>
      <w:r w:rsidR="00DF3C6F" w:rsidRPr="00C4084C">
        <w:t>40</w:t>
      </w:r>
      <w:r w:rsidR="00F902CC" w:rsidRPr="00C4084C">
        <w:t>%) compared with</w:t>
      </w:r>
      <w:r w:rsidRPr="00C4084C">
        <w:t xml:space="preserve"> students from high SES backgrounds (</w:t>
      </w:r>
      <w:r w:rsidR="002B6912" w:rsidRPr="00C4084C">
        <w:t>30</w:t>
      </w:r>
      <w:r w:rsidR="00F902CC" w:rsidRPr="00C4084C">
        <w:t>%); and</w:t>
      </w:r>
      <w:r w:rsidR="00970F09" w:rsidRPr="00C4084C">
        <w:t xml:space="preserve"> </w:t>
      </w:r>
      <w:r w:rsidR="00F902CC" w:rsidRPr="00C4084C">
        <w:t xml:space="preserve">regional, </w:t>
      </w:r>
      <w:proofErr w:type="gramStart"/>
      <w:r w:rsidR="00F902CC" w:rsidRPr="00C4084C">
        <w:t>rural</w:t>
      </w:r>
      <w:proofErr w:type="gramEnd"/>
      <w:r w:rsidR="00F902CC" w:rsidRPr="00C4084C">
        <w:t xml:space="preserve"> and remote students (31%) compared </w:t>
      </w:r>
      <w:r w:rsidR="00DC4DE1" w:rsidRPr="00C4084C">
        <w:t>with</w:t>
      </w:r>
      <w:r w:rsidR="00F902CC" w:rsidRPr="00C4084C">
        <w:t xml:space="preserve"> </w:t>
      </w:r>
      <w:r w:rsidR="005461A8" w:rsidRPr="00C4084C">
        <w:t>non-regional and remote students</w:t>
      </w:r>
      <w:r w:rsidR="00970F09" w:rsidRPr="00C4084C">
        <w:t xml:space="preserve"> </w:t>
      </w:r>
      <w:r w:rsidR="00DC4DE1" w:rsidRPr="00C4084C">
        <w:t>(2</w:t>
      </w:r>
      <w:r w:rsidR="002B6912" w:rsidRPr="00C4084C">
        <w:t>6</w:t>
      </w:r>
      <w:r w:rsidR="00DC4DE1" w:rsidRPr="00C4084C">
        <w:t>%)</w:t>
      </w:r>
      <w:r w:rsidR="00F902CC" w:rsidRPr="00C4084C">
        <w:t>.</w:t>
      </w:r>
      <w:r w:rsidRPr="00C4084C">
        <w:rPr>
          <w:rStyle w:val="FootnoteReference"/>
          <w:rFonts w:eastAsia="Calibri" w:cs="Arial"/>
        </w:rPr>
        <w:footnoteReference w:id="249"/>
      </w:r>
    </w:p>
    <w:p w14:paraId="541DBCDE" w14:textId="7F94D2DF" w:rsidR="008454FE" w:rsidRPr="00C4084C" w:rsidRDefault="00D27626" w:rsidP="00285443">
      <w:proofErr w:type="gramStart"/>
      <w:r w:rsidRPr="00C4084C">
        <w:t>It is clear that for</w:t>
      </w:r>
      <w:proofErr w:type="gramEnd"/>
      <w:r w:rsidRPr="00C4084C">
        <w:t xml:space="preserve"> some students balancing many commitments, part-time study is the only feasible way they can participate in higher education. The Review </w:t>
      </w:r>
      <w:r w:rsidR="000B0C35" w:rsidRPr="00C4084C">
        <w:t>suggests</w:t>
      </w:r>
      <w:r w:rsidRPr="00C4084C">
        <w:t xml:space="preserve"> that these students, who for good reason are unable to take on a full-time study load, should be able to access student</w:t>
      </w:r>
      <w:r w:rsidR="007333C9" w:rsidRPr="00C4084C">
        <w:t xml:space="preserve"> income support</w:t>
      </w:r>
      <w:r w:rsidRPr="00C4084C">
        <w:t xml:space="preserve"> payments if they need it, especially when they already face increased risk of non-completion compared to students studying full-time. To achieve this, the Review</w:t>
      </w:r>
      <w:r w:rsidRPr="00C4084C" w:rsidDel="00D27626">
        <w:t xml:space="preserve"> </w:t>
      </w:r>
      <w:r w:rsidR="000244CC" w:rsidRPr="00C4084C">
        <w:t>recommends</w:t>
      </w:r>
      <w:r w:rsidR="00F30733">
        <w:t xml:space="preserve"> that</w:t>
      </w:r>
      <w:r w:rsidRPr="00C4084C">
        <w:t xml:space="preserve"> eligibility criteria for student</w:t>
      </w:r>
      <w:r w:rsidR="007333C9" w:rsidRPr="00C4084C">
        <w:t xml:space="preserve"> income support</w:t>
      </w:r>
      <w:r w:rsidRPr="00C4084C">
        <w:t xml:space="preserve"> payments should be expanded to include students studying part-time (between 50% and 74% of a full-time study load) and who meet relevant eligibility criteria</w:t>
      </w:r>
      <w:r w:rsidR="00433314" w:rsidRPr="00C4084C">
        <w:t xml:space="preserve"> (see Recommendation </w:t>
      </w:r>
      <w:r w:rsidR="00B04479" w:rsidRPr="00C4084C">
        <w:t>15</w:t>
      </w:r>
      <w:r w:rsidR="00433314" w:rsidRPr="00C4084C">
        <w:t>)</w:t>
      </w:r>
      <w:r w:rsidRPr="00C4084C">
        <w:t xml:space="preserve">. Assumptions about what part-time students are doing with the rest of their time, how personal income testing and income bank arrangements apply, and other potential eligibility criteria, should be further considered by </w:t>
      </w:r>
      <w:r w:rsidR="0060747A" w:rsidRPr="00C4084C">
        <w:t xml:space="preserve">the Australian </w:t>
      </w:r>
      <w:r w:rsidRPr="00C4084C">
        <w:t xml:space="preserve">Government. </w:t>
      </w:r>
    </w:p>
    <w:tbl>
      <w:tblPr>
        <w:tblW w:w="0" w:type="auto"/>
        <w:shd w:val="clear" w:color="auto" w:fill="E5EAF2"/>
        <w:tblLook w:val="04A0" w:firstRow="1" w:lastRow="0" w:firstColumn="1" w:lastColumn="0" w:noHBand="0" w:noVBand="1"/>
      </w:tblPr>
      <w:tblGrid>
        <w:gridCol w:w="9026"/>
      </w:tblGrid>
      <w:tr w:rsidR="008454FE" w:rsidRPr="00C4084C" w14:paraId="16762F37" w14:textId="77777777" w:rsidTr="00D26B82">
        <w:tc>
          <w:tcPr>
            <w:tcW w:w="0" w:type="auto"/>
            <w:shd w:val="clear" w:color="auto" w:fill="B0C3DB"/>
          </w:tcPr>
          <w:p w14:paraId="0E8C4DB5" w14:textId="0B6AB25F" w:rsidR="00DB7629" w:rsidRPr="00DB7629" w:rsidRDefault="0080264E" w:rsidP="003E5969">
            <w:pPr>
              <w:pStyle w:val="Findinginchapterheading"/>
            </w:pPr>
            <w:r w:rsidRPr="003E5969">
              <w:rPr>
                <w:rFonts w:ascii="Calibri" w:eastAsia="Yu Gothic Light" w:hAnsi="Calibri" w:cs="Calibri"/>
                <w:szCs w:val="24"/>
              </w:rPr>
              <w:t>Finding</w:t>
            </w:r>
            <w:r w:rsidR="00DB7629">
              <w:rPr>
                <w:szCs w:val="24"/>
              </w:rPr>
              <w:t xml:space="preserve">: </w:t>
            </w:r>
            <w:r w:rsidR="008454FE" w:rsidRPr="00C4084C">
              <w:t>Students</w:t>
            </w:r>
          </w:p>
          <w:p w14:paraId="13E36A6A" w14:textId="26E73295" w:rsidR="008454FE" w:rsidRPr="00C4084C" w:rsidRDefault="008454FE" w:rsidP="003E5969">
            <w:pPr>
              <w:pStyle w:val="Boxtext0"/>
              <w:spacing w:before="0"/>
            </w:pPr>
            <w:r w:rsidRPr="00C4084C">
              <w:t>The proportion of Australian students studying part-time is increasing. Students are, on average, taking on lower study loads, most likely to accommodate extra paid work, and taking longer to complete their degrees. Supporting combinations of earning and learning that enable more students to study successfully and complete relevant qualifications in timely ways is an urgent priority for tertiary education. Australia needs more people working and more people learning, in the decades ahead.</w:t>
            </w:r>
            <w:r w:rsidRPr="00C4084C">
              <w:rPr>
                <w:b/>
              </w:rPr>
              <w:t>   </w:t>
            </w:r>
          </w:p>
        </w:tc>
      </w:tr>
    </w:tbl>
    <w:p w14:paraId="292F4548" w14:textId="1D18B7AE" w:rsidR="00D27626" w:rsidRPr="00C4084C" w:rsidRDefault="00BC6870" w:rsidP="00BA6095">
      <w:pPr>
        <w:pStyle w:val="Heading4"/>
      </w:pPr>
      <w:bookmarkStart w:id="697" w:name="_Toc150692431"/>
      <w:bookmarkStart w:id="698" w:name="_Toc150523132"/>
      <w:bookmarkStart w:id="699" w:name="_Toc153483039"/>
      <w:bookmarkStart w:id="700" w:name="_Toc159500950"/>
      <w:r w:rsidRPr="00C4084C">
        <w:t>Geographical barriers</w:t>
      </w:r>
      <w:r w:rsidR="00D27626" w:rsidRPr="00C4084C">
        <w:t xml:space="preserve"> to study</w:t>
      </w:r>
      <w:bookmarkEnd w:id="697"/>
      <w:bookmarkEnd w:id="698"/>
      <w:bookmarkEnd w:id="699"/>
      <w:bookmarkEnd w:id="700"/>
    </w:p>
    <w:p w14:paraId="15819C1F" w14:textId="23CEE35E" w:rsidR="00D27626" w:rsidRPr="00C4084C" w:rsidRDefault="00D27626" w:rsidP="0084654E">
      <w:r w:rsidRPr="00C4084C">
        <w:t xml:space="preserve">Location is a widely recognised and </w:t>
      </w:r>
      <w:r w:rsidR="18668DC2" w:rsidRPr="00C4084C">
        <w:t>significant</w:t>
      </w:r>
      <w:r w:rsidRPr="00C4084C">
        <w:t xml:space="preserve"> barrier to higher education. Distance to a higher education campus limits regional, </w:t>
      </w:r>
      <w:proofErr w:type="gramStart"/>
      <w:r w:rsidRPr="00C4084C">
        <w:t>rural</w:t>
      </w:r>
      <w:proofErr w:type="gramEnd"/>
      <w:r w:rsidRPr="00C4084C">
        <w:t xml:space="preserve"> and remote students’ access to and affordability of higher education. The proportion of 25 to 34-year-olds with a </w:t>
      </w:r>
      <w:proofErr w:type="gramStart"/>
      <w:r w:rsidRPr="00C4084C">
        <w:t>bachelor</w:t>
      </w:r>
      <w:proofErr w:type="gramEnd"/>
      <w:r w:rsidRPr="00C4084C">
        <w:t xml:space="preserve"> degree or above decreases with increasing remoteness.</w:t>
      </w:r>
      <w:r w:rsidRPr="00C4084C">
        <w:rPr>
          <w:rStyle w:val="FootnoteReference"/>
        </w:rPr>
        <w:footnoteReference w:id="250"/>
      </w:r>
      <w:r w:rsidRPr="00C4084C">
        <w:t xml:space="preserve"> The Napthine Review found individuals who grow up in regional, rural and remote areas are less than half as likely to have a bachelor degree or above qualification by age 35, compared to people from metropolitan areas.</w:t>
      </w:r>
      <w:r w:rsidRPr="00C4084C">
        <w:rPr>
          <w:rStyle w:val="FootnoteReference"/>
        </w:rPr>
        <w:footnoteReference w:id="251"/>
      </w:r>
    </w:p>
    <w:p w14:paraId="284F173F" w14:textId="6EDE6F14" w:rsidR="00D27626" w:rsidRPr="00C4084C" w:rsidRDefault="00D27626" w:rsidP="0084654E">
      <w:r w:rsidRPr="00C4084C">
        <w:lastRenderedPageBreak/>
        <w:t xml:space="preserve">A range of factors contribute to lower attainment and participation rates in regional, </w:t>
      </w:r>
      <w:proofErr w:type="gramStart"/>
      <w:r w:rsidRPr="00C4084C">
        <w:t>rural</w:t>
      </w:r>
      <w:proofErr w:type="gramEnd"/>
      <w:r w:rsidRPr="00C4084C">
        <w:t xml:space="preserve"> and remote areas. These include fewer local study options, access to financial support and limited high-quality career guidance.</w:t>
      </w:r>
      <w:r w:rsidRPr="00C4084C">
        <w:rPr>
          <w:rStyle w:val="FootnoteReference"/>
        </w:rPr>
        <w:footnoteReference w:id="252"/>
      </w:r>
      <w:r w:rsidRPr="00C4084C">
        <w:t xml:space="preserve"> For many regional, </w:t>
      </w:r>
      <w:proofErr w:type="gramStart"/>
      <w:r w:rsidRPr="00C4084C">
        <w:t>rural</w:t>
      </w:r>
      <w:proofErr w:type="gramEnd"/>
      <w:r w:rsidRPr="00C4084C">
        <w:t xml:space="preserve"> and remote students, moving on to higher education after </w:t>
      </w:r>
      <w:r w:rsidR="0043579A" w:rsidRPr="00C4084C">
        <w:t xml:space="preserve">finishing school </w:t>
      </w:r>
      <w:r w:rsidRPr="00C4084C">
        <w:t xml:space="preserve">means either leaving their home or undertaking costly commutes. The Review heard directly from regional, </w:t>
      </w:r>
      <w:proofErr w:type="gramStart"/>
      <w:r w:rsidRPr="00C4084C">
        <w:t>rural</w:t>
      </w:r>
      <w:proofErr w:type="gramEnd"/>
      <w:r w:rsidRPr="00C4084C">
        <w:t xml:space="preserve"> and remote students </w:t>
      </w:r>
      <w:r w:rsidR="0043579A" w:rsidRPr="00C4084C">
        <w:t xml:space="preserve">in </w:t>
      </w:r>
      <w:r w:rsidRPr="00C4084C">
        <w:t>consultation</w:t>
      </w:r>
      <w:r w:rsidR="0043579A" w:rsidRPr="00C4084C">
        <w:t>s</w:t>
      </w:r>
      <w:r w:rsidRPr="00C4084C">
        <w:t xml:space="preserve"> that the added financial stress of relocation </w:t>
      </w:r>
      <w:r w:rsidR="007E5367" w:rsidRPr="00C4084C">
        <w:t xml:space="preserve">and living away from home </w:t>
      </w:r>
      <w:r w:rsidRPr="00C4084C">
        <w:t>contributes to students discontinuing their studies before completion. This is discussed further in</w:t>
      </w:r>
      <w:r w:rsidR="00A07BB5" w:rsidRPr="00C4084C">
        <w:t xml:space="preserve"> </w:t>
      </w:r>
      <w:r w:rsidR="0068373B" w:rsidRPr="00C4084C">
        <w:rPr>
          <w:i/>
          <w:iCs/>
        </w:rPr>
        <w:fldChar w:fldCharType="begin"/>
      </w:r>
      <w:r w:rsidR="0068373B" w:rsidRPr="00C4084C">
        <w:rPr>
          <w:i/>
          <w:iCs/>
        </w:rPr>
        <w:instrText xml:space="preserve"> REF _Ref151935289 \r \h </w:instrText>
      </w:r>
      <w:r w:rsidR="00A514B2" w:rsidRPr="00C4084C">
        <w:rPr>
          <w:i/>
          <w:iCs/>
        </w:rPr>
        <w:instrText xml:space="preserve"> \* MERGEFORMAT </w:instrText>
      </w:r>
      <w:r w:rsidR="0068373B" w:rsidRPr="00C4084C">
        <w:rPr>
          <w:i/>
          <w:iCs/>
        </w:rPr>
      </w:r>
      <w:r w:rsidR="0068373B" w:rsidRPr="00C4084C">
        <w:rPr>
          <w:i/>
          <w:iCs/>
        </w:rPr>
        <w:fldChar w:fldCharType="separate"/>
      </w:r>
      <w:r w:rsidR="00467B4F">
        <w:rPr>
          <w:i/>
          <w:iCs/>
        </w:rPr>
        <w:t xml:space="preserve">Chapter 7 – </w:t>
      </w:r>
      <w:r w:rsidR="0068373B" w:rsidRPr="00C4084C">
        <w:rPr>
          <w:i/>
          <w:iCs/>
        </w:rPr>
        <w:fldChar w:fldCharType="end"/>
      </w:r>
      <w:r w:rsidR="008C34DB" w:rsidRPr="00C4084C">
        <w:rPr>
          <w:i/>
        </w:rPr>
        <w:fldChar w:fldCharType="begin"/>
      </w:r>
      <w:r w:rsidR="008C34DB" w:rsidRPr="00C4084C">
        <w:instrText xml:space="preserve"> REF _Ref151935289 \h  \* MERGEFORMAT </w:instrText>
      </w:r>
      <w:r w:rsidR="008C34DB" w:rsidRPr="00C4084C">
        <w:rPr>
          <w:i/>
        </w:rPr>
      </w:r>
      <w:r w:rsidR="008C34DB" w:rsidRPr="00C4084C">
        <w:rPr>
          <w:i/>
        </w:rPr>
        <w:fldChar w:fldCharType="separate"/>
      </w:r>
      <w:r w:rsidR="00467B4F" w:rsidRPr="00467B4F">
        <w:rPr>
          <w:i/>
        </w:rPr>
        <w:t>Serving the regions through</w:t>
      </w:r>
      <w:r w:rsidR="00467B4F" w:rsidRPr="00C4084C">
        <w:t xml:space="preserve"> </w:t>
      </w:r>
      <w:r w:rsidR="00467B4F" w:rsidRPr="00467B4F">
        <w:rPr>
          <w:i/>
        </w:rPr>
        <w:t>tertiary education</w:t>
      </w:r>
      <w:r w:rsidR="008C34DB" w:rsidRPr="00C4084C">
        <w:rPr>
          <w:i/>
        </w:rPr>
        <w:fldChar w:fldCharType="end"/>
      </w:r>
      <w:r w:rsidRPr="00C4084C">
        <w:t>.</w:t>
      </w:r>
    </w:p>
    <w:p w14:paraId="7D3B9863" w14:textId="43D08A1D" w:rsidR="00D27626" w:rsidRPr="00C4084C" w:rsidRDefault="0043579A" w:rsidP="0084654E">
      <w:r w:rsidRPr="00C4084C">
        <w:t xml:space="preserve">Lack of proximity </w:t>
      </w:r>
      <w:r w:rsidR="00D27626" w:rsidRPr="00C4084C">
        <w:t xml:space="preserve">to a university campus </w:t>
      </w:r>
      <w:r w:rsidRPr="00C4084C">
        <w:t xml:space="preserve">or lack of </w:t>
      </w:r>
      <w:r w:rsidR="00D27626" w:rsidRPr="00C4084C">
        <w:t>access to services like public transport can also deter students in major cities. While the</w:t>
      </w:r>
      <w:r w:rsidR="0060747A" w:rsidRPr="00C4084C">
        <w:t xml:space="preserve"> Australian</w:t>
      </w:r>
      <w:r w:rsidR="00D27626" w:rsidRPr="00C4084C">
        <w:t xml:space="preserve"> Government is implementing several initiatives to address this issue, including developing Suburban University Study </w:t>
      </w:r>
      <w:proofErr w:type="gramStart"/>
      <w:r w:rsidR="00D27626" w:rsidRPr="00C4084C">
        <w:t>Hubs</w:t>
      </w:r>
      <w:proofErr w:type="gramEnd"/>
      <w:r w:rsidR="00D27626" w:rsidRPr="00C4084C">
        <w:t xml:space="preserve"> and expanding Regional University Study Hubs in response to Priority Action 1 of the Review’s Interim Report, more must be done to ensure geography is not an insurmountable barrier to </w:t>
      </w:r>
      <w:r w:rsidR="009A3E22" w:rsidRPr="00C4084C">
        <w:t>higher</w:t>
      </w:r>
      <w:r w:rsidR="00D27626" w:rsidRPr="00C4084C">
        <w:t xml:space="preserve"> education.</w:t>
      </w:r>
    </w:p>
    <w:tbl>
      <w:tblPr>
        <w:tblW w:w="0" w:type="auto"/>
        <w:shd w:val="clear" w:color="auto" w:fill="E2EFD9"/>
        <w:tblLook w:val="04A0" w:firstRow="1" w:lastRow="0" w:firstColumn="1" w:lastColumn="0" w:noHBand="0" w:noVBand="1"/>
      </w:tblPr>
      <w:tblGrid>
        <w:gridCol w:w="9026"/>
      </w:tblGrid>
      <w:tr w:rsidR="005B205E" w:rsidRPr="00C4084C" w14:paraId="36FA6B0E" w14:textId="77777777" w:rsidTr="00D26B82">
        <w:tc>
          <w:tcPr>
            <w:tcW w:w="9356" w:type="dxa"/>
            <w:shd w:val="clear" w:color="auto" w:fill="C3D7CA"/>
          </w:tcPr>
          <w:p w14:paraId="32FDAB7D" w14:textId="023868B8" w:rsidR="005B205E" w:rsidRPr="00C4084C" w:rsidRDefault="00345113" w:rsidP="00570A6C">
            <w:pPr>
              <w:pStyle w:val="Boxtitlessubheadings"/>
            </w:pPr>
            <w:r w:rsidRPr="00C4084C">
              <w:lastRenderedPageBreak/>
              <w:t xml:space="preserve">Government </w:t>
            </w:r>
            <w:r w:rsidR="00E86BA8">
              <w:t>r</w:t>
            </w:r>
            <w:r w:rsidRPr="00C4084C">
              <w:t xml:space="preserve">esponse to </w:t>
            </w:r>
            <w:r w:rsidR="004E4C73" w:rsidRPr="00C4084C">
              <w:t>Priority Action 1 from the Interim Report</w:t>
            </w:r>
          </w:p>
          <w:p w14:paraId="75970FA2" w14:textId="0F8D5C0D" w:rsidR="00EE3C95" w:rsidRPr="00C4084C" w:rsidRDefault="00EE3C95" w:rsidP="0084654E">
            <w:pPr>
              <w:pStyle w:val="Boxtext0"/>
            </w:pPr>
            <w:r w:rsidRPr="00C4084C">
              <w:t>In July 2023, in response to Priority Action 1 of the Interim Report, the Australian Government announced $66.9 million to double the number of University Study Hubs across the country, including expanding the concept to the outer suburbs of our major cities for the first time. This will see the establishment of up to 20 additional Regional University Study Hubs (formerly Regional University Centres) and up to 14 new Suburban University Study Hubs.</w:t>
            </w:r>
          </w:p>
          <w:p w14:paraId="3F3FA8D2" w14:textId="77777777" w:rsidR="00EE3C95" w:rsidRPr="00945C1D" w:rsidRDefault="00EE3C95" w:rsidP="00945C1D">
            <w:pPr>
              <w:pStyle w:val="Boxtext0"/>
              <w:rPr>
                <w:b/>
                <w:bCs/>
              </w:rPr>
            </w:pPr>
            <w:r w:rsidRPr="00945C1D">
              <w:rPr>
                <w:b/>
                <w:bCs/>
              </w:rPr>
              <w:t>Regional University Study Hubs</w:t>
            </w:r>
          </w:p>
          <w:p w14:paraId="0E6BB4E3" w14:textId="6FC57F3A" w:rsidR="00EE3C95" w:rsidRPr="00C4084C" w:rsidRDefault="00EE3C95" w:rsidP="0084654E">
            <w:pPr>
              <w:pStyle w:val="Boxtext0"/>
            </w:pPr>
            <w:r w:rsidRPr="00C4084C">
              <w:t xml:space="preserve">An initial application round to select up to 10 of the new Regional University Study Hubs opened on 28 September 2023 and closed on 15 December 2023. An announcement </w:t>
            </w:r>
            <w:r w:rsidR="00E86BA8">
              <w:t>about</w:t>
            </w:r>
            <w:r w:rsidR="00E86BA8" w:rsidRPr="00C4084C">
              <w:t xml:space="preserve"> </w:t>
            </w:r>
            <w:r w:rsidRPr="00C4084C">
              <w:t xml:space="preserve">the successful applicants is expected in early 2024, with Hubs expected to be operational from Semester 2, 2024. An application process to establish </w:t>
            </w:r>
            <w:r w:rsidR="00E86BA8">
              <w:t xml:space="preserve">up to </w:t>
            </w:r>
            <w:r w:rsidRPr="00C4084C">
              <w:t xml:space="preserve">a further 10 Regional University Study Hubs will open </w:t>
            </w:r>
            <w:proofErr w:type="gramStart"/>
            <w:r w:rsidRPr="00C4084C">
              <w:t>at a later date</w:t>
            </w:r>
            <w:proofErr w:type="gramEnd"/>
            <w:r w:rsidRPr="00C4084C">
              <w:t>.</w:t>
            </w:r>
          </w:p>
          <w:p w14:paraId="55072921" w14:textId="77777777" w:rsidR="00EE3C95" w:rsidRPr="00945C1D" w:rsidRDefault="00EE3C95" w:rsidP="00945C1D">
            <w:pPr>
              <w:pStyle w:val="Boxtext0"/>
              <w:rPr>
                <w:b/>
                <w:bCs/>
              </w:rPr>
            </w:pPr>
            <w:r w:rsidRPr="00945C1D">
              <w:rPr>
                <w:b/>
                <w:bCs/>
              </w:rPr>
              <w:t>Suburban University Study Hubs</w:t>
            </w:r>
          </w:p>
          <w:p w14:paraId="40311B8B" w14:textId="3F6FA2B0" w:rsidR="00EE26E5" w:rsidRPr="00C4084C" w:rsidRDefault="00EE3C95" w:rsidP="0084654E">
            <w:pPr>
              <w:pStyle w:val="Boxtext0"/>
              <w:rPr>
                <w:b/>
                <w:sz w:val="24"/>
              </w:rPr>
            </w:pPr>
            <w:r w:rsidRPr="00C4084C">
              <w:t xml:space="preserve">A Consultation Paper to inform the design and implementation of the new Suburban University Study Hubs Program was released on 3 September 2023, with submissions due by 2 October 2023. 44 submissions were received, with the feedback contributing to program design. Further analysis and research </w:t>
            </w:r>
            <w:r w:rsidR="008A6AE2" w:rsidRPr="00C4084C">
              <w:t>are</w:t>
            </w:r>
            <w:r w:rsidRPr="00C4084C">
              <w:t xml:space="preserve"> being undertaken to support the establishment of the program, including to inform the location of the new Hubs, with further details to be provided in due course.</w:t>
            </w:r>
          </w:p>
        </w:tc>
      </w:tr>
    </w:tbl>
    <w:p w14:paraId="55163872" w14:textId="5327B9DB" w:rsidR="00990A52" w:rsidRPr="00C4084C" w:rsidRDefault="00990A52" w:rsidP="00570A6C">
      <w:pPr>
        <w:pStyle w:val="Rec-frontmatternonheading"/>
      </w:pPr>
    </w:p>
    <w:tbl>
      <w:tblPr>
        <w:tblW w:w="0" w:type="auto"/>
        <w:shd w:val="clear" w:color="auto" w:fill="FBE4D5"/>
        <w:tblLook w:val="04A0" w:firstRow="1" w:lastRow="0" w:firstColumn="1" w:lastColumn="0" w:noHBand="0" w:noVBand="1"/>
      </w:tblPr>
      <w:tblGrid>
        <w:gridCol w:w="9026"/>
      </w:tblGrid>
      <w:tr w:rsidR="00C52709" w:rsidRPr="00C4084C" w14:paraId="7AE8BF9F" w14:textId="77777777" w:rsidTr="00D26B82">
        <w:tc>
          <w:tcPr>
            <w:tcW w:w="9026" w:type="dxa"/>
            <w:shd w:val="clear" w:color="auto" w:fill="FEECDF"/>
          </w:tcPr>
          <w:p w14:paraId="65E615D7" w14:textId="02128BFE" w:rsidR="00FF79D6" w:rsidRDefault="00FF79D6" w:rsidP="003E5969">
            <w:pPr>
              <w:pStyle w:val="Recheadinginbox"/>
            </w:pPr>
            <w:r w:rsidRPr="00C4084C">
              <w:t>Recommendation</w:t>
            </w:r>
            <w:r>
              <w:t xml:space="preserve">: </w:t>
            </w:r>
            <w:r w:rsidRPr="00C4084C">
              <w:t>Financial support for placements</w:t>
            </w:r>
          </w:p>
          <w:p w14:paraId="1C1208CF" w14:textId="29DB8766" w:rsidR="00C52709" w:rsidRPr="00C4084C" w:rsidDel="00C977C2" w:rsidRDefault="00C52709" w:rsidP="003E5969">
            <w:pPr>
              <w:pStyle w:val="Recsin-chapterL1"/>
              <w:framePr w:wrap="notBeside"/>
              <w:spacing w:before="0"/>
              <w:rPr>
                <w:rStyle w:val="PriorityAction-Bold"/>
                <w:b w:val="0"/>
                <w:bCs w:val="0"/>
                <w:i w:val="0"/>
              </w:rPr>
            </w:pPr>
            <w:r w:rsidRPr="00C4084C">
              <w:t>That to reduce the financial hardship and placement poverty caused by mandatory unpaid placements, the Australian Government work with tertiary education providers, state and territory governments, industry</w:t>
            </w:r>
            <w:r w:rsidR="00EC4180">
              <w:t>,</w:t>
            </w:r>
            <w:r w:rsidRPr="00C4084C">
              <w:t xml:space="preserve"> </w:t>
            </w:r>
            <w:proofErr w:type="gramStart"/>
            <w:r w:rsidRPr="00C4084C">
              <w:t>business</w:t>
            </w:r>
            <w:proofErr w:type="gramEnd"/>
            <w:r w:rsidRPr="00C4084C">
              <w:t xml:space="preserve"> and unions to introduce financial support for unpaid work placements. This should include funding by governments for the nursing, care and teaching professions, and funding by employers generally (public and private) for other fields.</w:t>
            </w:r>
          </w:p>
        </w:tc>
      </w:tr>
    </w:tbl>
    <w:p w14:paraId="07587179" w14:textId="1C91473F" w:rsidR="00990A52" w:rsidRPr="00C4084C" w:rsidRDefault="00990A52" w:rsidP="00570A6C">
      <w:pPr>
        <w:pStyle w:val="Rec-frontmatternonheading"/>
      </w:pPr>
    </w:p>
    <w:tbl>
      <w:tblPr>
        <w:tblW w:w="0" w:type="auto"/>
        <w:shd w:val="clear" w:color="auto" w:fill="FBE4D5"/>
        <w:tblLook w:val="04A0" w:firstRow="1" w:lastRow="0" w:firstColumn="1" w:lastColumn="0" w:noHBand="0" w:noVBand="1"/>
      </w:tblPr>
      <w:tblGrid>
        <w:gridCol w:w="9026"/>
      </w:tblGrid>
      <w:tr w:rsidR="00670485" w:rsidRPr="00C4084C" w14:paraId="35EE719B" w14:textId="77777777" w:rsidTr="00D26B82">
        <w:tc>
          <w:tcPr>
            <w:tcW w:w="9026" w:type="dxa"/>
            <w:shd w:val="clear" w:color="auto" w:fill="FEECDF"/>
          </w:tcPr>
          <w:p w14:paraId="1320EED4" w14:textId="10C95B70" w:rsidR="00FF79D6" w:rsidRDefault="00295667" w:rsidP="003E5969">
            <w:pPr>
              <w:pStyle w:val="Recheadinginbox"/>
            </w:pPr>
            <w:r>
              <w:lastRenderedPageBreak/>
              <w:t xml:space="preserve">Recommendation: </w:t>
            </w:r>
            <w:r w:rsidR="00FF79D6" w:rsidRPr="00C4084C">
              <w:t xml:space="preserve">Student </w:t>
            </w:r>
            <w:r w:rsidR="00EA0FF7">
              <w:t>i</w:t>
            </w:r>
            <w:r w:rsidR="00FF79D6" w:rsidRPr="00C4084C">
              <w:t xml:space="preserve">ncome </w:t>
            </w:r>
            <w:r w:rsidR="00EA0FF7">
              <w:t>s</w:t>
            </w:r>
            <w:r w:rsidR="00FF79D6" w:rsidRPr="00C4084C">
              <w:t>upport</w:t>
            </w:r>
          </w:p>
          <w:p w14:paraId="152EEBA8" w14:textId="1C3E0A61" w:rsidR="00670485" w:rsidRPr="00C4084C" w:rsidRDefault="00670485" w:rsidP="003E5969">
            <w:pPr>
              <w:pStyle w:val="Recsin-chapterL1"/>
              <w:framePr w:wrap="notBeside"/>
              <w:spacing w:before="0" w:after="0"/>
            </w:pPr>
            <w:r w:rsidRPr="00C4084C">
              <w:t>That to reduce the cost-of-living pressures on current students and remove the financial barriers to commencing study, the Australian Government improve access to income support for those who need it most and consider how to ensure the level of support is adequate to meet basic living standards while studying by:</w:t>
            </w:r>
          </w:p>
          <w:p w14:paraId="44133864" w14:textId="77777777" w:rsidR="00670485" w:rsidRPr="00C4084C" w:rsidRDefault="00670485" w:rsidP="003E5969">
            <w:pPr>
              <w:pStyle w:val="Recsin-chapterL2"/>
              <w:spacing w:before="0" w:beforeAutospacing="0"/>
            </w:pPr>
            <w:r w:rsidRPr="00C4084C">
              <w:t xml:space="preserve">increasing the Parental Income Free Area for Youth Allowance from $58,108 to $68,857 per family and index it to the higher of the Consumer Price Index and Male Total Average Weekly Earnings, recognising that the current income free area has not kept pace with growth in </w:t>
            </w:r>
            <w:proofErr w:type="gramStart"/>
            <w:r w:rsidRPr="00C4084C">
              <w:t>wages</w:t>
            </w:r>
            <w:proofErr w:type="gramEnd"/>
          </w:p>
          <w:p w14:paraId="30671C30" w14:textId="77777777" w:rsidR="00670485" w:rsidRPr="00C4084C" w:rsidRDefault="00670485" w:rsidP="003E5969">
            <w:pPr>
              <w:pStyle w:val="Recsin-chapterL2"/>
            </w:pPr>
            <w:r w:rsidRPr="00C4084C">
              <w:t>expanding income support eligibility and providing pro rata student payments to students who study part-time (between 50% and 74% of a full study load)</w:t>
            </w:r>
          </w:p>
          <w:p w14:paraId="2CFBD8AF" w14:textId="77777777" w:rsidR="00113660" w:rsidRPr="00C4084C" w:rsidRDefault="00113660" w:rsidP="003E5969">
            <w:pPr>
              <w:pStyle w:val="Recsin-chapterL2"/>
            </w:pPr>
            <w:r w:rsidRPr="00C4084C">
              <w:t>and that, due to the complexity of social security payments, the Minister for Social Services works with the Minister for Education to address the problems the Review has identified by commissioning further technical analysis, with a report back to the Ministers by early 2025. Such work should follow the principles below:</w:t>
            </w:r>
          </w:p>
          <w:p w14:paraId="54B48365" w14:textId="77777777" w:rsidR="00113660" w:rsidRPr="00C4084C" w:rsidRDefault="00113660" w:rsidP="003E5969">
            <w:pPr>
              <w:pStyle w:val="Recsin-chapterL3"/>
            </w:pPr>
            <w:r w:rsidRPr="00C4084C">
              <w:t xml:space="preserve">student income support payments should continue to be focused on those most in need of support, and eligibility criteria should be regularly monitored to ensure the level of support is adequate to meet basic living standards while </w:t>
            </w:r>
            <w:proofErr w:type="gramStart"/>
            <w:r w:rsidRPr="00C4084C">
              <w:t>studying</w:t>
            </w:r>
            <w:proofErr w:type="gramEnd"/>
            <w:r w:rsidRPr="00C4084C">
              <w:t xml:space="preserve"> </w:t>
            </w:r>
          </w:p>
          <w:p w14:paraId="2C21A105" w14:textId="77777777" w:rsidR="00113660" w:rsidRPr="00C4084C" w:rsidRDefault="00113660" w:rsidP="003E5969">
            <w:pPr>
              <w:pStyle w:val="Recsin-chapterL3"/>
            </w:pPr>
            <w:r w:rsidRPr="00C4084C">
              <w:t xml:space="preserve">student income support payments should continue to allow students to undertake reasonable amounts of work while studying, including through arrangements such as the income </w:t>
            </w:r>
            <w:proofErr w:type="gramStart"/>
            <w:r w:rsidRPr="00C4084C">
              <w:t>bank</w:t>
            </w:r>
            <w:proofErr w:type="gramEnd"/>
          </w:p>
          <w:p w14:paraId="212B02CD" w14:textId="77777777" w:rsidR="00113660" w:rsidRPr="00C4084C" w:rsidRDefault="00113660" w:rsidP="003E5969">
            <w:pPr>
              <w:pStyle w:val="Recsin-chapterL3"/>
            </w:pPr>
            <w:r w:rsidRPr="00C4084C">
              <w:t xml:space="preserve">student income support payments should follow an education-first principle where the policy intent is to reduce roadblocks to tertiary education participation and enable retention, success and </w:t>
            </w:r>
            <w:proofErr w:type="gramStart"/>
            <w:r w:rsidRPr="00C4084C">
              <w:t>completion</w:t>
            </w:r>
            <w:proofErr w:type="gramEnd"/>
          </w:p>
          <w:p w14:paraId="0A173EFA" w14:textId="77777777" w:rsidR="00113660" w:rsidRPr="00C4084C" w:rsidRDefault="00113660" w:rsidP="003E5969">
            <w:pPr>
              <w:pStyle w:val="Recsin-chapterL3"/>
            </w:pPr>
            <w:r w:rsidRPr="00C4084C">
              <w:t>student income support payments should reduce the barriers facing students deciding whether to commence their study, focusing on the largest barriers of financial security and other responsibilities (such as working, caring and family)</w:t>
            </w:r>
          </w:p>
          <w:p w14:paraId="4E3DDA59" w14:textId="421A4D96" w:rsidR="00670485" w:rsidRPr="00C4084C" w:rsidDel="00C977C2" w:rsidRDefault="00113660" w:rsidP="003E5969">
            <w:pPr>
              <w:pStyle w:val="Recsin-chapterL3"/>
              <w:rPr>
                <w:rStyle w:val="PriorityAction-Bold"/>
                <w:b w:val="0"/>
                <w:i w:val="0"/>
              </w:rPr>
            </w:pPr>
            <w:r w:rsidRPr="00C4084C">
              <w:t xml:space="preserve">eligibility criteria for youth payments should </w:t>
            </w:r>
            <w:proofErr w:type="gramStart"/>
            <w:r w:rsidRPr="00C4084C">
              <w:t>take into account</w:t>
            </w:r>
            <w:proofErr w:type="gramEnd"/>
            <w:r w:rsidRPr="00C4084C">
              <w:t xml:space="preserve"> the specific needs of regional students, including the extra costs of relocation and that, once they leave home to study, many are effectively independent.</w:t>
            </w:r>
          </w:p>
        </w:tc>
      </w:tr>
    </w:tbl>
    <w:p w14:paraId="7D457795" w14:textId="7A96DF75" w:rsidR="00B85CE6" w:rsidRPr="00C4084C" w:rsidRDefault="00B85CE6" w:rsidP="00B85CE6">
      <w:pPr>
        <w:pStyle w:val="Heading3"/>
      </w:pPr>
      <w:bookmarkStart w:id="701" w:name="_Toc153483040"/>
      <w:bookmarkStart w:id="702" w:name="_Toc159500951"/>
      <w:r w:rsidRPr="00C4084C">
        <w:t xml:space="preserve">A </w:t>
      </w:r>
      <w:r w:rsidR="3860B44A" w:rsidRPr="00C4084C">
        <w:t>holi</w:t>
      </w:r>
      <w:r w:rsidR="00412CA2" w:rsidRPr="00C4084C">
        <w:t>s</w:t>
      </w:r>
      <w:r w:rsidR="3860B44A" w:rsidRPr="00C4084C">
        <w:t xml:space="preserve">tic </w:t>
      </w:r>
      <w:r w:rsidRPr="00C4084C">
        <w:t xml:space="preserve">approach to achieving equity of participation and </w:t>
      </w:r>
      <w:proofErr w:type="gramStart"/>
      <w:r w:rsidRPr="00C4084C">
        <w:t>attainment</w:t>
      </w:r>
      <w:bookmarkEnd w:id="701"/>
      <w:bookmarkEnd w:id="702"/>
      <w:proofErr w:type="gramEnd"/>
    </w:p>
    <w:p w14:paraId="5110331C" w14:textId="101E9637" w:rsidR="00062DA7" w:rsidRDefault="051E9463" w:rsidP="00945C1D">
      <w:pPr>
        <w:sectPr w:rsidR="00062DA7" w:rsidSect="00134415">
          <w:headerReference w:type="even" r:id="rId94"/>
          <w:headerReference w:type="default" r:id="rId95"/>
          <w:footerReference w:type="even" r:id="rId96"/>
          <w:footerReference w:type="default" r:id="rId97"/>
          <w:footerReference w:type="first" r:id="rId98"/>
          <w:pgSz w:w="11906" w:h="16838" w:code="9"/>
          <w:pgMar w:top="1225" w:right="1440" w:bottom="1440" w:left="1440" w:header="709" w:footer="709" w:gutter="0"/>
          <w:cols w:space="708"/>
          <w:titlePg/>
          <w:docGrid w:linePitch="360"/>
        </w:sectPr>
      </w:pPr>
      <w:r w:rsidRPr="00945C1D">
        <w:t xml:space="preserve">Expanding higher education attainment levels can only be achieved by making the higher education system far more equitable. With participation </w:t>
      </w:r>
      <w:r w:rsidR="00742FCE" w:rsidRPr="00945C1D">
        <w:t>among</w:t>
      </w:r>
      <w:r w:rsidRPr="00945C1D">
        <w:t xml:space="preserve"> groups </w:t>
      </w:r>
      <w:r w:rsidR="00742FCE" w:rsidRPr="00945C1D">
        <w:t>historically represented in higher education</w:t>
      </w:r>
      <w:r w:rsidRPr="00945C1D">
        <w:t xml:space="preserve"> being far too low, this chapter proposes a range of measures, including parity targets, to improve equity of access to and outcomes in higher education for all Australians. The Review emphasises the need to take a holistic approach to student equity. This means finding new ways to build people’s readiness and aspiration for higher education, enable entry, provide sufficient support for students and institutions, and remove financial roadblocks to study. Only then will we be able to expand opportunities for all people to participate and succeed in higher education, and to achieve the goal of skills growth through equity</w:t>
      </w:r>
    </w:p>
    <w:p w14:paraId="143592C3" w14:textId="383A9CBF" w:rsidR="00E06C8E" w:rsidRPr="00C4084C" w:rsidRDefault="00E06C8E" w:rsidP="00062DA7">
      <w:pPr>
        <w:pStyle w:val="Heading2"/>
      </w:pPr>
      <w:bookmarkStart w:id="703" w:name="_Ref151932720"/>
      <w:bookmarkStart w:id="704" w:name="_Ref152700656"/>
      <w:bookmarkStart w:id="705" w:name="_Toc1126132540"/>
      <w:bookmarkStart w:id="706" w:name="_Toc153483041"/>
      <w:bookmarkStart w:id="707" w:name="_Toc159500952"/>
      <w:r w:rsidRPr="00C4084C">
        <w:lastRenderedPageBreak/>
        <w:t>Delivering for students</w:t>
      </w:r>
      <w:bookmarkEnd w:id="703"/>
      <w:bookmarkEnd w:id="704"/>
      <w:bookmarkEnd w:id="705"/>
      <w:bookmarkEnd w:id="706"/>
      <w:bookmarkEnd w:id="707"/>
    </w:p>
    <w:p w14:paraId="6DB9E29A" w14:textId="090773F5" w:rsidR="00E06C8E" w:rsidRPr="00C4084C" w:rsidRDefault="00445836" w:rsidP="00745009">
      <w:pPr>
        <w:pStyle w:val="Heading3"/>
      </w:pPr>
      <w:bookmarkStart w:id="708" w:name="_Toc153483042"/>
      <w:bookmarkStart w:id="709" w:name="_Toc159500953"/>
      <w:r w:rsidRPr="00C4084C">
        <w:t>Students at the centre</w:t>
      </w:r>
      <w:bookmarkEnd w:id="708"/>
      <w:bookmarkEnd w:id="709"/>
    </w:p>
    <w:p w14:paraId="0F371ABF" w14:textId="410224E0" w:rsidR="00E06C8E" w:rsidRPr="00C4084C" w:rsidRDefault="00E06C8E" w:rsidP="00E94C0A">
      <w:r w:rsidRPr="00C4084C">
        <w:t xml:space="preserve">Preceding chapters have focused on the public benefits of higher education – a skills rich and productive economy, and a strong and equitable civil society. This chapter focuses on students. They are at the centre of the higher education system and </w:t>
      </w:r>
      <w:r w:rsidR="00790EC6" w:rsidRPr="00C4084C">
        <w:t xml:space="preserve">are </w:t>
      </w:r>
      <w:r w:rsidRPr="00C4084C">
        <w:t xml:space="preserve">its most </w:t>
      </w:r>
      <w:r w:rsidR="0029615C" w:rsidRPr="00C4084C">
        <w:t xml:space="preserve">direct </w:t>
      </w:r>
      <w:r w:rsidRPr="00C4084C">
        <w:t xml:space="preserve">beneficiaries. </w:t>
      </w:r>
    </w:p>
    <w:p w14:paraId="5009BAF9" w14:textId="061F3CB3" w:rsidR="00E06C8E" w:rsidRPr="00C4084C" w:rsidRDefault="001B7814" w:rsidP="00E94C0A">
      <w:r w:rsidRPr="00C4084C">
        <w:t xml:space="preserve">This </w:t>
      </w:r>
      <w:r w:rsidR="00E06C8E" w:rsidRPr="00C4084C">
        <w:t>chapter looks first at the financial contributions students make towards their education and then at the quality of the learning and teaching experience which they receive in return. It focuses on a central element of the system’s mission: delivering a fair and affordable education and a high-quality learning experience for all students, both on campus and online</w:t>
      </w:r>
      <w:r w:rsidR="008042FA" w:rsidRPr="00C4084C">
        <w:t xml:space="preserve">, and at all levels – </w:t>
      </w:r>
      <w:r w:rsidR="00F949A5">
        <w:t>preparatory</w:t>
      </w:r>
      <w:r w:rsidR="008042FA" w:rsidRPr="00C4084C">
        <w:t>, undergraduate, coursework postgraduate and higher degree by research.</w:t>
      </w:r>
    </w:p>
    <w:p w14:paraId="2056B508" w14:textId="4F0FDFE5" w:rsidR="00E06C8E" w:rsidRPr="00C4084C" w:rsidRDefault="00E06C8E" w:rsidP="00E94C0A">
      <w:r w:rsidRPr="00C4084C">
        <w:t xml:space="preserve">While the </w:t>
      </w:r>
      <w:r w:rsidR="004D2E6D" w:rsidRPr="00C4084C">
        <w:t>higher education</w:t>
      </w:r>
      <w:r w:rsidRPr="00C4084C">
        <w:t xml:space="preserve"> system has many strengths, the Review received many written and oral submissions suggesting improvements. </w:t>
      </w:r>
    </w:p>
    <w:p w14:paraId="396BADD4" w14:textId="2E98954F" w:rsidR="00E06C8E" w:rsidRPr="00C4084C" w:rsidRDefault="00E06C8E" w:rsidP="00E94C0A">
      <w:r w:rsidRPr="00C4084C">
        <w:t xml:space="preserve">The Review has looked </w:t>
      </w:r>
      <w:r w:rsidR="00323411" w:rsidRPr="00C4084C">
        <w:t>carefully</w:t>
      </w:r>
      <w:r w:rsidRPr="00C4084C">
        <w:t xml:space="preserve"> at the impacts of the 2021 Job-ready Graduates (JRG) package on both student choices and student debt; on some issues resulting from loans under the Higher Education Loan Program (HELP) for fee-paying students; and on ways to improve the broader HELP system. As a result, the Review has identified </w:t>
      </w:r>
      <w:r w:rsidR="00D16150" w:rsidRPr="00C4084C">
        <w:t xml:space="preserve">2 </w:t>
      </w:r>
      <w:r w:rsidRPr="00C4084C">
        <w:t>areas of intervention to deliver better outcomes for students:</w:t>
      </w:r>
    </w:p>
    <w:p w14:paraId="72F86126" w14:textId="5F1CFFEA" w:rsidR="00E06C8E" w:rsidRPr="00C4084C" w:rsidRDefault="00E06C8E" w:rsidP="008037CA">
      <w:pPr>
        <w:pStyle w:val="ListBullet"/>
      </w:pPr>
      <w:r w:rsidRPr="00C4084C">
        <w:t xml:space="preserve">improvements to the level and timing of contributions and repayments, such as aligning student contributions to potential </w:t>
      </w:r>
      <w:r w:rsidR="00123F37" w:rsidRPr="00C4084C">
        <w:t xml:space="preserve">future </w:t>
      </w:r>
      <w:r w:rsidRPr="00C4084C">
        <w:t xml:space="preserve">earnings, and changing HELP debt repayment and indexation arrangements to be fairer for </w:t>
      </w:r>
      <w:proofErr w:type="gramStart"/>
      <w:r w:rsidRPr="00C4084C">
        <w:t>students</w:t>
      </w:r>
      <w:proofErr w:type="gramEnd"/>
    </w:p>
    <w:p w14:paraId="3DB3E56B" w14:textId="6100151D" w:rsidR="00E06C8E" w:rsidRPr="00C4084C" w:rsidRDefault="003D15B0" w:rsidP="008037CA">
      <w:pPr>
        <w:pStyle w:val="ListBullet"/>
      </w:pPr>
      <w:r w:rsidRPr="00C4084C">
        <w:t>improvements</w:t>
      </w:r>
      <w:r w:rsidR="00E06C8E" w:rsidRPr="00C4084C">
        <w:t xml:space="preserve"> to fee arrangements for </w:t>
      </w:r>
      <w:r w:rsidR="00123F37" w:rsidRPr="00C4084C">
        <w:t xml:space="preserve">coursework </w:t>
      </w:r>
      <w:r w:rsidR="00E06C8E" w:rsidRPr="00C4084C">
        <w:t>postgraduate students.</w:t>
      </w:r>
    </w:p>
    <w:p w14:paraId="551F4BC1" w14:textId="47C79BC0" w:rsidR="00E06C8E" w:rsidRPr="00C4084C" w:rsidRDefault="00E06C8E" w:rsidP="00E94C0A">
      <w:r w:rsidRPr="00C4084C">
        <w:t>On the student experience side, the Review looked at issues around safety and student empowerment on and off-</w:t>
      </w:r>
      <w:proofErr w:type="gramStart"/>
      <w:r w:rsidRPr="00C4084C">
        <w:t>campus;</w:t>
      </w:r>
      <w:proofErr w:type="gramEnd"/>
      <w:r w:rsidRPr="00C4084C">
        <w:t xml:space="preserve"> and at broader issues of learning and teaching quality. </w:t>
      </w:r>
      <w:r w:rsidR="007E68D9" w:rsidRPr="00C4084C">
        <w:t xml:space="preserve">The Review </w:t>
      </w:r>
      <w:r w:rsidRPr="00C4084C">
        <w:t>makes recommendations intended to:</w:t>
      </w:r>
    </w:p>
    <w:p w14:paraId="2CAA1C7B" w14:textId="1A8EDB84" w:rsidR="00FB32C5" w:rsidRPr="00C4084C" w:rsidRDefault="00FB32C5" w:rsidP="00FB32C5">
      <w:pPr>
        <w:pStyle w:val="ListBullet"/>
      </w:pPr>
      <w:r w:rsidRPr="00C4084C">
        <w:t xml:space="preserve">improve the student learning experience through better metrics and quality measures; the use of new technologies in learning, teaching, and research training; mechanisms to share best-practice across institutions; a new teaching standards framework; and greater professional development opportunities especially in teaching for </w:t>
      </w:r>
      <w:proofErr w:type="gramStart"/>
      <w:r w:rsidRPr="00C4084C">
        <w:t>academics</w:t>
      </w:r>
      <w:proofErr w:type="gramEnd"/>
    </w:p>
    <w:p w14:paraId="15136DB5" w14:textId="7ADB31E2" w:rsidR="00FB32C5" w:rsidRPr="00C4084C" w:rsidRDefault="00FB32C5" w:rsidP="00FB32C5">
      <w:pPr>
        <w:pStyle w:val="ListBullet"/>
      </w:pPr>
      <w:r w:rsidRPr="00C4084C">
        <w:t>improve online learning experiences to support equity of access to higher education, particularly for those who face geographical barriers to engaging in study, ensuring better student protections and representation through a student charter</w:t>
      </w:r>
      <w:r w:rsidR="007A1458" w:rsidRPr="00C4084C">
        <w:t xml:space="preserve">, introducing a </w:t>
      </w:r>
      <w:r w:rsidR="0019343D">
        <w:t>National S</w:t>
      </w:r>
      <w:r w:rsidR="007A1458" w:rsidRPr="00C4084C">
        <w:t xml:space="preserve">tudent </w:t>
      </w:r>
      <w:proofErr w:type="gramStart"/>
      <w:r w:rsidR="0019343D">
        <w:t>O</w:t>
      </w:r>
      <w:r w:rsidR="007A1458" w:rsidRPr="00C4084C">
        <w:t>mbudsman</w:t>
      </w:r>
      <w:proofErr w:type="gramEnd"/>
      <w:r w:rsidRPr="00C4084C">
        <w:t xml:space="preserve"> and enforcing greater institutional accountability and responsiveness to student issues.</w:t>
      </w:r>
    </w:p>
    <w:p w14:paraId="3A18236C" w14:textId="5F40C4F5" w:rsidR="00E06C8E" w:rsidRPr="00C4084C" w:rsidRDefault="00E06C8E" w:rsidP="00745009">
      <w:pPr>
        <w:pStyle w:val="Heading3"/>
      </w:pPr>
      <w:bookmarkStart w:id="710" w:name="_Toc150855768"/>
      <w:bookmarkStart w:id="711" w:name="_Toc150796954"/>
      <w:bookmarkStart w:id="712" w:name="_Toc150855769"/>
      <w:bookmarkStart w:id="713" w:name="_Toc150796955"/>
      <w:bookmarkStart w:id="714" w:name="_Toc150855770"/>
      <w:bookmarkStart w:id="715" w:name="_Toc150796956"/>
      <w:bookmarkStart w:id="716" w:name="_Toc150855771"/>
      <w:bookmarkStart w:id="717" w:name="_Toc150796957"/>
      <w:bookmarkStart w:id="718" w:name="_Toc150855772"/>
      <w:bookmarkStart w:id="719" w:name="_Toc151023618"/>
      <w:bookmarkStart w:id="720" w:name="_Toc151024061"/>
      <w:bookmarkStart w:id="721" w:name="_Toc403949063"/>
      <w:bookmarkStart w:id="722" w:name="_Toc153483043"/>
      <w:bookmarkStart w:id="723" w:name="_Toc159500954"/>
      <w:bookmarkEnd w:id="710"/>
      <w:bookmarkEnd w:id="711"/>
      <w:bookmarkEnd w:id="712"/>
      <w:bookmarkEnd w:id="713"/>
      <w:bookmarkEnd w:id="714"/>
      <w:bookmarkEnd w:id="715"/>
      <w:bookmarkEnd w:id="716"/>
      <w:bookmarkEnd w:id="717"/>
      <w:bookmarkEnd w:id="718"/>
      <w:r w:rsidRPr="00C4084C">
        <w:t>Improving student contributions and debt repayment arrangements</w:t>
      </w:r>
      <w:bookmarkStart w:id="724" w:name="_Toc149138769"/>
      <w:bookmarkStart w:id="725" w:name="_Toc149140848"/>
      <w:bookmarkStart w:id="726" w:name="_Toc149211919"/>
      <w:bookmarkStart w:id="727" w:name="_Toc149212103"/>
      <w:bookmarkStart w:id="728" w:name="_Toc149138770"/>
      <w:bookmarkStart w:id="729" w:name="_Toc149140849"/>
      <w:bookmarkStart w:id="730" w:name="_Toc149211920"/>
      <w:bookmarkStart w:id="731" w:name="_Toc149212104"/>
      <w:bookmarkStart w:id="732" w:name="_Toc149138771"/>
      <w:bookmarkStart w:id="733" w:name="_Toc149140850"/>
      <w:bookmarkStart w:id="734" w:name="_Toc149211921"/>
      <w:bookmarkStart w:id="735" w:name="_Toc149212105"/>
      <w:bookmarkStart w:id="736" w:name="_Toc149138772"/>
      <w:bookmarkStart w:id="737" w:name="_Toc149140851"/>
      <w:bookmarkStart w:id="738" w:name="_Toc149211922"/>
      <w:bookmarkStart w:id="739" w:name="_Toc149212106"/>
      <w:bookmarkStart w:id="740" w:name="_Toc149138773"/>
      <w:bookmarkStart w:id="741" w:name="_Toc149140852"/>
      <w:bookmarkStart w:id="742" w:name="_Toc149211923"/>
      <w:bookmarkStart w:id="743" w:name="_Toc149212107"/>
      <w:bookmarkStart w:id="744" w:name="_Toc149138774"/>
      <w:bookmarkStart w:id="745" w:name="_Toc149140853"/>
      <w:bookmarkStart w:id="746" w:name="_Toc149211924"/>
      <w:bookmarkStart w:id="747" w:name="_Toc149212108"/>
      <w:bookmarkStart w:id="748" w:name="_Toc149138775"/>
      <w:bookmarkStart w:id="749" w:name="_Toc149140854"/>
      <w:bookmarkStart w:id="750" w:name="_Toc149211925"/>
      <w:bookmarkStart w:id="751" w:name="_Toc149212109"/>
      <w:bookmarkStart w:id="752" w:name="_Toc149138776"/>
      <w:bookmarkStart w:id="753" w:name="_Toc149140855"/>
      <w:bookmarkStart w:id="754" w:name="_Toc149211926"/>
      <w:bookmarkStart w:id="755" w:name="_Toc149212110"/>
      <w:bookmarkStart w:id="756" w:name="_Toc149138777"/>
      <w:bookmarkStart w:id="757" w:name="_Toc149140856"/>
      <w:bookmarkStart w:id="758" w:name="_Toc149211927"/>
      <w:bookmarkStart w:id="759" w:name="_Toc149212111"/>
      <w:bookmarkStart w:id="760" w:name="_Toc149138778"/>
      <w:bookmarkStart w:id="761" w:name="_Toc149140857"/>
      <w:bookmarkStart w:id="762" w:name="_Toc149211928"/>
      <w:bookmarkStart w:id="763" w:name="_Toc149212112"/>
      <w:bookmarkStart w:id="764" w:name="_Toc149138779"/>
      <w:bookmarkStart w:id="765" w:name="_Toc149140858"/>
      <w:bookmarkStart w:id="766" w:name="_Toc149211929"/>
      <w:bookmarkStart w:id="767" w:name="_Toc149212113"/>
      <w:bookmarkStart w:id="768" w:name="_Toc149138780"/>
      <w:bookmarkStart w:id="769" w:name="_Toc149140859"/>
      <w:bookmarkStart w:id="770" w:name="_Toc149211930"/>
      <w:bookmarkStart w:id="771" w:name="_Toc149212114"/>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14:paraId="4F914C83" w14:textId="7D49D148" w:rsidR="00E06C8E" w:rsidRPr="00C4084C" w:rsidRDefault="00E06C8E" w:rsidP="00E94C0A">
      <w:r w:rsidRPr="00C4084C">
        <w:t xml:space="preserve">For most domestic undergraduate and coursework </w:t>
      </w:r>
      <w:r w:rsidR="00F04D39" w:rsidRPr="00C4084C">
        <w:t>postgraduate</w:t>
      </w:r>
      <w:r w:rsidRPr="00C4084C">
        <w:t xml:space="preserve"> students – those who have a Commonwealth supported place – the costs </w:t>
      </w:r>
      <w:r w:rsidR="00505D9B" w:rsidRPr="00C4084C">
        <w:t xml:space="preserve">of delivery </w:t>
      </w:r>
      <w:r w:rsidRPr="00C4084C">
        <w:t xml:space="preserve">are shared between students and taxpayers </w:t>
      </w:r>
      <w:r w:rsidRPr="00C4084C">
        <w:lastRenderedPageBreak/>
        <w:t xml:space="preserve">(via the </w:t>
      </w:r>
      <w:r w:rsidR="00D22AB8" w:rsidRPr="00C4084C">
        <w:t xml:space="preserve">Australian </w:t>
      </w:r>
      <w:r w:rsidRPr="00C4084C">
        <w:t>Government).</w:t>
      </w:r>
      <w:r w:rsidRPr="00C4084C">
        <w:rPr>
          <w:rStyle w:val="FootnoteReference"/>
        </w:rPr>
        <w:footnoteReference w:id="253"/>
      </w:r>
      <w:r w:rsidRPr="00C4084C">
        <w:t xml:space="preserve"> This reflects the basic premise that higher education has a private benefit to the student (through increased income and other life benefits) and a public benefit to society as a whole</w:t>
      </w:r>
      <w:r w:rsidR="00747FB6" w:rsidRPr="00C4084C">
        <w:t xml:space="preserve">, </w:t>
      </w:r>
      <w:r w:rsidRPr="00C4084C">
        <w:t xml:space="preserve">such as providing the necessary knowledge and skills that a successful, modern society requires. The proportion paid by the student is categorised as the ‘student contribution,’ with the maximums determined by the </w:t>
      </w:r>
      <w:r w:rsidR="00D22AB8" w:rsidRPr="00C4084C">
        <w:t xml:space="preserve">Australian </w:t>
      </w:r>
      <w:r w:rsidRPr="00C4084C">
        <w:t>Government. Historically, these maximums broadly reflected estimates of future earnings, but with some adjustments to reflect government priorities and the cost of teaching.</w:t>
      </w:r>
    </w:p>
    <w:p w14:paraId="14312E6F" w14:textId="43D37A84" w:rsidR="00E06C8E" w:rsidRPr="00C4084C" w:rsidRDefault="00E06C8E" w:rsidP="00E94C0A">
      <w:r w:rsidRPr="00C4084C">
        <w:t xml:space="preserve">An important feature of the student contribution is that it can be paid by the student upfront before the start of each semester of their course or, if the student is eligible, deferred under the </w:t>
      </w:r>
      <w:r w:rsidR="00D22AB8" w:rsidRPr="00C4084C">
        <w:t>Australian</w:t>
      </w:r>
      <w:r w:rsidRPr="00C4084C">
        <w:t xml:space="preserve"> Government’s Higher Education Loan Program through a HECS-HELP loan. HECS-HELP loans become accumulated HELP debt which students repay through the tax system once they meet a specified salary threshold. </w:t>
      </w:r>
    </w:p>
    <w:p w14:paraId="3DCF20EE" w14:textId="46159952" w:rsidR="00E06C8E" w:rsidRPr="00C4084C" w:rsidRDefault="00C64BF7" w:rsidP="00E94C0A">
      <w:r w:rsidRPr="00C4084C">
        <w:t>A small number of</w:t>
      </w:r>
      <w:r w:rsidR="00E06C8E" w:rsidRPr="00C4084C">
        <w:t xml:space="preserve"> domestic undergraduate</w:t>
      </w:r>
      <w:r w:rsidR="0008350A" w:rsidRPr="00C4084C">
        <w:t xml:space="preserve"> students (mostly a</w:t>
      </w:r>
      <w:r w:rsidR="005B2DE0" w:rsidRPr="00C4084C">
        <w:t>t non</w:t>
      </w:r>
      <w:r w:rsidR="00CF239C" w:rsidRPr="00C4084C">
        <w:t>-</w:t>
      </w:r>
      <w:r w:rsidR="005B2DE0" w:rsidRPr="00C4084C">
        <w:t>publicly funded universities)</w:t>
      </w:r>
      <w:r w:rsidR="00E06C8E" w:rsidRPr="00C4084C">
        <w:t xml:space="preserve"> and most coursework </w:t>
      </w:r>
      <w:r w:rsidR="003E4A73" w:rsidRPr="00C4084C">
        <w:t xml:space="preserve">postgraduate </w:t>
      </w:r>
      <w:r w:rsidR="00E06C8E" w:rsidRPr="00C4084C">
        <w:t>students do not have a Commonwealth supported place and are required to pay fees, which institutions</w:t>
      </w:r>
      <w:r w:rsidR="00CF239C" w:rsidRPr="00C4084C">
        <w:t xml:space="preserve"> – universit</w:t>
      </w:r>
      <w:r w:rsidR="002E1EF1">
        <w:t>i</w:t>
      </w:r>
      <w:r w:rsidR="00CF239C" w:rsidRPr="00C4084C">
        <w:t>es and non-university higher education providers (NUHEP</w:t>
      </w:r>
      <w:r w:rsidR="0019343D">
        <w:t>s</w:t>
      </w:r>
      <w:r w:rsidR="00CF239C" w:rsidRPr="00C4084C">
        <w:t>) –</w:t>
      </w:r>
      <w:r w:rsidR="00E06C8E" w:rsidRPr="00C4084C">
        <w:t xml:space="preserve"> may set at market rate or full-cost</w:t>
      </w:r>
      <w:r w:rsidR="00BD30FF" w:rsidRPr="00C4084C">
        <w:t xml:space="preserve"> </w:t>
      </w:r>
      <w:r w:rsidR="00E06C8E" w:rsidRPr="00C4084C">
        <w:t>recovery rates. These students may also be eligible to defer payment under a HELP loan (FEE-HELP), on the same basis as HECS-HELP loans.</w:t>
      </w:r>
      <w:r w:rsidR="003A3B7A" w:rsidRPr="00C4084C">
        <w:t xml:space="preserve"> </w:t>
      </w:r>
    </w:p>
    <w:p w14:paraId="4E2F24AD" w14:textId="63E46D56" w:rsidR="00E06C8E" w:rsidRPr="00C4084C" w:rsidRDefault="00E06C8E" w:rsidP="00E94C0A">
      <w:r w:rsidRPr="00C4084C">
        <w:t>In 202</w:t>
      </w:r>
      <w:r w:rsidR="00502B30" w:rsidRPr="00C4084C">
        <w:t>2</w:t>
      </w:r>
      <w:r w:rsidRPr="00C4084C">
        <w:t>, 93</w:t>
      </w:r>
      <w:r w:rsidR="00502B30" w:rsidRPr="00C4084C">
        <w:t>.4</w:t>
      </w:r>
      <w:r w:rsidRPr="00C4084C">
        <w:t xml:space="preserve">% of domestic undergraduate students had a Commonwealth supported place while </w:t>
      </w:r>
      <w:r w:rsidR="00502B30" w:rsidRPr="00C4084C">
        <w:t>5.</w:t>
      </w:r>
      <w:r w:rsidRPr="00C4084C">
        <w:t>6%</w:t>
      </w:r>
      <w:r w:rsidR="0037359B" w:rsidRPr="00C4084C">
        <w:t> </w:t>
      </w:r>
      <w:r w:rsidRPr="00C4084C">
        <w:t xml:space="preserve">were accessing FEE-HELP. For domestic coursework </w:t>
      </w:r>
      <w:r w:rsidR="003E4A73" w:rsidRPr="00C4084C">
        <w:t xml:space="preserve">postgraduate </w:t>
      </w:r>
      <w:r w:rsidRPr="00C4084C">
        <w:t>students</w:t>
      </w:r>
      <w:r w:rsidR="009026EA" w:rsidRPr="00C4084C">
        <w:t>,</w:t>
      </w:r>
      <w:r w:rsidRPr="00C4084C">
        <w:t xml:space="preserve"> </w:t>
      </w:r>
      <w:r w:rsidR="009026EA" w:rsidRPr="00C4084C">
        <w:t>39.0</w:t>
      </w:r>
      <w:r w:rsidRPr="00C4084C">
        <w:t>% had a Commonwealth supported place and 4</w:t>
      </w:r>
      <w:r w:rsidR="009026EA" w:rsidRPr="00C4084C">
        <w:t>1.7</w:t>
      </w:r>
      <w:r w:rsidRPr="00C4084C">
        <w:t>% accessed FEE-HELP. Some students do not access HELP and instead pay the course fees upfront.</w:t>
      </w:r>
    </w:p>
    <w:p w14:paraId="019ECF01" w14:textId="3625C821" w:rsidR="00E06C8E" w:rsidRPr="00C4084C" w:rsidRDefault="00E06C8E" w:rsidP="00E94C0A">
      <w:r w:rsidRPr="00C4084C">
        <w:t xml:space="preserve">The student contribution and HELP system is world-leading and has been imitated or drawn on by many other countries including the United Kingdom and New Zealand. Since its introduction in 1989, it has been instrumental in enabling overall </w:t>
      </w:r>
      <w:r w:rsidR="007E3BC0" w:rsidRPr="00C4084C">
        <w:t xml:space="preserve">higher education </w:t>
      </w:r>
      <w:r w:rsidRPr="00C4084C">
        <w:t xml:space="preserve">system growth. </w:t>
      </w:r>
    </w:p>
    <w:p w14:paraId="4477F7C9" w14:textId="77777777" w:rsidR="00E06C8E" w:rsidRPr="00C4084C" w:rsidRDefault="00E06C8E" w:rsidP="00E94C0A">
      <w:r w:rsidRPr="00C4084C">
        <w:t xml:space="preserve">However, it is not all working smoothly. Various cost pressures on students </w:t>
      </w:r>
      <w:proofErr w:type="gramStart"/>
      <w:r w:rsidRPr="00C4084C">
        <w:t>as a result of</w:t>
      </w:r>
      <w:proofErr w:type="gramEnd"/>
      <w:r w:rsidRPr="00C4084C">
        <w:t xml:space="preserve"> higher fees are impeding student access to, and participation in, higher education – with a consequential effect on further system growth. </w:t>
      </w:r>
    </w:p>
    <w:p w14:paraId="4969AA1E" w14:textId="5273BD59" w:rsidR="00E06C8E" w:rsidRPr="00C4084C" w:rsidRDefault="00E06C8E" w:rsidP="00E94C0A">
      <w:r w:rsidRPr="00C4084C">
        <w:t>Policy changes introduced as part of the JRG package in 2021, designed to influence student choice and usher students into areas of expected employment demand, have not worked. Rather, they have resulted in some students incurring disproportionately large HELP debts relative to future potential earnings</w:t>
      </w:r>
      <w:r w:rsidR="00951AA2">
        <w:t>, meaning that HELP debts are taking longer and longer to repay</w:t>
      </w:r>
      <w:r w:rsidR="00951AA2" w:rsidRPr="00C4084C">
        <w:t>.</w:t>
      </w:r>
    </w:p>
    <w:p w14:paraId="75B02CDE" w14:textId="3D33F306" w:rsidR="00E06C8E" w:rsidRPr="00C4084C" w:rsidRDefault="00E06C8E" w:rsidP="00E94C0A">
      <w:r w:rsidRPr="00C4084C">
        <w:t xml:space="preserve">For all students and graduates with HELP debts, </w:t>
      </w:r>
      <w:r w:rsidR="00951AA2" w:rsidRPr="00C4084C">
        <w:t xml:space="preserve">increased </w:t>
      </w:r>
      <w:r w:rsidR="00951AA2">
        <w:t>inflation has</w:t>
      </w:r>
      <w:r w:rsidR="00951AA2" w:rsidRPr="00C4084C">
        <w:t xml:space="preserve"> led to increases in indexation rates in recent years, meaning </w:t>
      </w:r>
      <w:r w:rsidR="00951AA2">
        <w:t xml:space="preserve">the headline value of </w:t>
      </w:r>
      <w:r w:rsidR="00951AA2" w:rsidRPr="00C4084C">
        <w:t xml:space="preserve">HELP debts </w:t>
      </w:r>
      <w:r w:rsidR="00951AA2">
        <w:t>is growing rapidly</w:t>
      </w:r>
      <w:r w:rsidR="00951AA2" w:rsidRPr="00C4084C">
        <w:t xml:space="preserve">. </w:t>
      </w:r>
    </w:p>
    <w:p w14:paraId="02B6370A" w14:textId="1AC5156D" w:rsidR="00E06C8E" w:rsidRPr="00C4084C" w:rsidRDefault="00E06C8E" w:rsidP="00E94C0A">
      <w:r w:rsidRPr="00C4084C">
        <w:t xml:space="preserve">These issues are leading to adverse student outcomes. Together with </w:t>
      </w:r>
      <w:r w:rsidR="003E4A73" w:rsidRPr="00C4084C">
        <w:t>some</w:t>
      </w:r>
      <w:r w:rsidRPr="00C4084C">
        <w:t xml:space="preserve"> entrenched negative perceptions about the HELP system and debt in general, they could discourage future students from studying, especially students from disadvantaged backgrounds. It is essential that students are supported to access and participate in higher education without unreasonable costs and HELP debts to ensure Australia can meet its future skills needs. </w:t>
      </w:r>
    </w:p>
    <w:p w14:paraId="3676A6AC" w14:textId="627B5E2C" w:rsidR="008E1D33" w:rsidRPr="00C4084C" w:rsidRDefault="000E599E" w:rsidP="00E94C0A">
      <w:r w:rsidRPr="00C4084C">
        <w:lastRenderedPageBreak/>
        <w:t xml:space="preserve">For international students, </w:t>
      </w:r>
      <w:r w:rsidR="006A248E" w:rsidRPr="00C4084C">
        <w:t>course</w:t>
      </w:r>
      <w:r w:rsidRPr="00C4084C">
        <w:t xml:space="preserve"> costs are covered by the fees they pay, which are set by each </w:t>
      </w:r>
      <w:r w:rsidR="00F45916" w:rsidRPr="00C4084C">
        <w:t xml:space="preserve">higher education provider </w:t>
      </w:r>
      <w:r w:rsidRPr="00C4084C">
        <w:t>at free market rates.</w:t>
      </w:r>
    </w:p>
    <w:p w14:paraId="6D4449D8" w14:textId="3AD33A8B" w:rsidR="000E599E" w:rsidRPr="00C4084C" w:rsidRDefault="000E599E" w:rsidP="00E94C0A">
      <w:r w:rsidRPr="00C4084C">
        <w:t xml:space="preserve">For most domestic HDR students, the costs are covered by taxpayers, </w:t>
      </w:r>
      <w:r w:rsidR="00582E76">
        <w:t xml:space="preserve">mainly </w:t>
      </w:r>
      <w:r w:rsidRPr="00C4084C">
        <w:t xml:space="preserve">via the </w:t>
      </w:r>
      <w:r w:rsidR="00D22AB8" w:rsidRPr="00C4084C">
        <w:t xml:space="preserve">Australian </w:t>
      </w:r>
      <w:r w:rsidRPr="00C4084C">
        <w:t>Government’s Research Training Program (RTP)</w:t>
      </w:r>
      <w:r w:rsidR="006A248E" w:rsidRPr="00C4084C">
        <w:t xml:space="preserve">, as discussed in </w:t>
      </w:r>
      <w:r w:rsidR="008C34DB" w:rsidRPr="00C4084C">
        <w:rPr>
          <w:i/>
          <w:iCs/>
        </w:rPr>
        <w:fldChar w:fldCharType="begin"/>
      </w:r>
      <w:r w:rsidR="008C34DB" w:rsidRPr="00C4084C">
        <w:rPr>
          <w:i/>
          <w:iCs/>
        </w:rPr>
        <w:instrText xml:space="preserve"> REF _Ref151935602 \r \h  \* MERGEFORMAT </w:instrText>
      </w:r>
      <w:r w:rsidR="008C34DB" w:rsidRPr="00C4084C">
        <w:rPr>
          <w:i/>
          <w:iCs/>
        </w:rPr>
      </w:r>
      <w:r w:rsidR="008C34DB" w:rsidRPr="00C4084C">
        <w:rPr>
          <w:i/>
          <w:iCs/>
        </w:rPr>
        <w:fldChar w:fldCharType="separate"/>
      </w:r>
      <w:r w:rsidR="00467B4F">
        <w:rPr>
          <w:i/>
          <w:iCs/>
        </w:rPr>
        <w:t xml:space="preserve">Chapter 5 – </w:t>
      </w:r>
      <w:r w:rsidR="008C34DB" w:rsidRPr="00C4084C">
        <w:rPr>
          <w:i/>
          <w:iCs/>
        </w:rPr>
        <w:fldChar w:fldCharType="end"/>
      </w:r>
      <w:r w:rsidR="008C34DB" w:rsidRPr="00C4084C">
        <w:rPr>
          <w:i/>
          <w:iCs/>
        </w:rPr>
        <w:fldChar w:fldCharType="begin"/>
      </w:r>
      <w:r w:rsidR="008C34DB" w:rsidRPr="00C4084C">
        <w:rPr>
          <w:i/>
          <w:iCs/>
        </w:rPr>
        <w:instrText xml:space="preserve"> REF _Ref151935602 \h  \* MERGEFORMAT </w:instrText>
      </w:r>
      <w:r w:rsidR="008C34DB" w:rsidRPr="00C4084C">
        <w:rPr>
          <w:i/>
          <w:iCs/>
        </w:rPr>
      </w:r>
      <w:r w:rsidR="008C34DB" w:rsidRPr="00C4084C">
        <w:rPr>
          <w:i/>
          <w:iCs/>
        </w:rPr>
        <w:fldChar w:fldCharType="separate"/>
      </w:r>
      <w:r w:rsidR="00467B4F" w:rsidRPr="00467B4F">
        <w:rPr>
          <w:i/>
          <w:iCs/>
        </w:rPr>
        <w:t>Producing and using new knowledge</w:t>
      </w:r>
      <w:r w:rsidR="008C34DB" w:rsidRPr="00C4084C">
        <w:rPr>
          <w:i/>
          <w:iCs/>
        </w:rPr>
        <w:fldChar w:fldCharType="end"/>
      </w:r>
      <w:r w:rsidRPr="00C4084C">
        <w:t>. These</w:t>
      </w:r>
      <w:r w:rsidRPr="00C4084C" w:rsidDel="00D16150">
        <w:t xml:space="preserve"> </w:t>
      </w:r>
      <w:r w:rsidR="00D16150" w:rsidRPr="00C4084C">
        <w:t>2</w:t>
      </w:r>
      <w:r w:rsidR="00742FCE" w:rsidRPr="00C4084C">
        <w:t> </w:t>
      </w:r>
      <w:r w:rsidRPr="00C4084C">
        <w:t>student categories are not further discussed in this section.</w:t>
      </w:r>
    </w:p>
    <w:p w14:paraId="236A2DD0" w14:textId="515AF508" w:rsidR="00E06C8E" w:rsidRPr="00C4084C" w:rsidRDefault="00E06C8E" w:rsidP="00BA6095">
      <w:pPr>
        <w:pStyle w:val="Heading4"/>
      </w:pPr>
      <w:bookmarkStart w:id="772" w:name="_Toc150796960"/>
      <w:bookmarkStart w:id="773" w:name="_Toc150855775"/>
      <w:bookmarkStart w:id="774" w:name="_Toc149321273"/>
      <w:bookmarkStart w:id="775" w:name="_Toc151023619"/>
      <w:bookmarkStart w:id="776" w:name="_Toc151024062"/>
      <w:bookmarkStart w:id="777" w:name="_Toc1592763645"/>
      <w:bookmarkStart w:id="778" w:name="_Toc153483044"/>
      <w:bookmarkStart w:id="779" w:name="_Toc159500955"/>
      <w:bookmarkEnd w:id="772"/>
      <w:bookmarkEnd w:id="773"/>
      <w:bookmarkEnd w:id="774"/>
      <w:r w:rsidRPr="00C4084C">
        <w:t>Fairer contributions for Commonwealth supported</w:t>
      </w:r>
      <w:r w:rsidRPr="00C4084C" w:rsidDel="00D87D0C">
        <w:t xml:space="preserve"> </w:t>
      </w:r>
      <w:proofErr w:type="gramStart"/>
      <w:r w:rsidRPr="00C4084C">
        <w:t>students</w:t>
      </w:r>
      <w:bookmarkEnd w:id="775"/>
      <w:bookmarkEnd w:id="776"/>
      <w:bookmarkEnd w:id="777"/>
      <w:bookmarkEnd w:id="778"/>
      <w:bookmarkEnd w:id="779"/>
      <w:proofErr w:type="gramEnd"/>
    </w:p>
    <w:p w14:paraId="3B6C3A5D" w14:textId="09E59C15" w:rsidR="00E06C8E" w:rsidRPr="00C4084C" w:rsidRDefault="00E06C8E" w:rsidP="00E94C0A">
      <w:r w:rsidRPr="00C4084C">
        <w:t xml:space="preserve">The introduction of the JRG package in January 2021 has led to large and unfair increases in student contributions for many </w:t>
      </w:r>
      <w:proofErr w:type="gramStart"/>
      <w:r w:rsidRPr="00C4084C">
        <w:t>Commonwealth</w:t>
      </w:r>
      <w:proofErr w:type="gramEnd"/>
      <w:r w:rsidRPr="00C4084C">
        <w:t xml:space="preserve"> supported students. The package aimed to deter students from studying a specified subset of subjects with the intention of guiding them towards subject areas with higher employment demand. The Review finds that this deterrent approach </w:t>
      </w:r>
      <w:r w:rsidR="00F45916" w:rsidRPr="00C4084C">
        <w:t xml:space="preserve">did not work and </w:t>
      </w:r>
      <w:r w:rsidRPr="00C4084C">
        <w:t xml:space="preserve">is in fundamental conflict with the need to grow the number of people with higher education qualifications </w:t>
      </w:r>
      <w:r w:rsidR="00A1605A" w:rsidRPr="00C4084C">
        <w:t xml:space="preserve">significantly </w:t>
      </w:r>
      <w:r w:rsidRPr="00C4084C">
        <w:t>to meet the nation’s future skills needs.</w:t>
      </w:r>
    </w:p>
    <w:tbl>
      <w:tblPr>
        <w:tblW w:w="0" w:type="auto"/>
        <w:shd w:val="clear" w:color="auto" w:fill="D2E8FF"/>
        <w:tblLook w:val="04A0" w:firstRow="1" w:lastRow="0" w:firstColumn="1" w:lastColumn="0" w:noHBand="0" w:noVBand="1"/>
      </w:tblPr>
      <w:tblGrid>
        <w:gridCol w:w="9026"/>
      </w:tblGrid>
      <w:tr w:rsidR="00D04668" w:rsidRPr="00C4084C" w14:paraId="5F3CA2FD" w14:textId="77777777" w:rsidTr="00D26B82">
        <w:tc>
          <w:tcPr>
            <w:tcW w:w="0" w:type="auto"/>
            <w:shd w:val="clear" w:color="auto" w:fill="E3DAEA"/>
          </w:tcPr>
          <w:p w14:paraId="4D715400" w14:textId="2F9EB7F8" w:rsidR="00D04668" w:rsidRPr="00C4084C" w:rsidRDefault="00D04668" w:rsidP="00742FCE">
            <w:pPr>
              <w:pStyle w:val="Boxtitlessubheadings"/>
              <w:keepNext w:val="0"/>
              <w:keepLines w:val="0"/>
              <w:widowControl w:val="0"/>
            </w:pPr>
            <w:r w:rsidRPr="00C4084C">
              <w:t xml:space="preserve">The JRG </w:t>
            </w:r>
            <w:r w:rsidR="00742FCE" w:rsidRPr="00C4084C">
              <w:t>p</w:t>
            </w:r>
            <w:r w:rsidR="00A14285" w:rsidRPr="00C4084C">
              <w:t>ackage</w:t>
            </w:r>
          </w:p>
          <w:p w14:paraId="356094AB" w14:textId="77777777" w:rsidR="00D04668" w:rsidRPr="00C4084C" w:rsidRDefault="00D04668" w:rsidP="00E94C0A">
            <w:pPr>
              <w:pStyle w:val="Boxtext0"/>
            </w:pPr>
            <w:r w:rsidRPr="00C4084C">
              <w:t xml:space="preserve">At its core, the JRG package adjusted the student and Commonwealth contributions paid for different subjects. While this was the most substantial and controversial change in the package, it also funded additional Commonwealth supported places, restored CPI indexation to university funding and provided additional flexibility to universities to move their funding between undergraduate and postgraduate. </w:t>
            </w:r>
          </w:p>
          <w:p w14:paraId="5C32611A" w14:textId="0BC6ED9B" w:rsidR="00D04668" w:rsidRPr="00C4084C" w:rsidRDefault="00D04668" w:rsidP="00E94C0A">
            <w:pPr>
              <w:pStyle w:val="Boxtext0"/>
            </w:pPr>
            <w:r w:rsidRPr="00C4084C">
              <w:t xml:space="preserve">One goal of the </w:t>
            </w:r>
            <w:r w:rsidR="00A14285" w:rsidRPr="00C4084C">
              <w:t xml:space="preserve">changes </w:t>
            </w:r>
            <w:r w:rsidRPr="00C4084C">
              <w:t>was to “increase the level of support going to fields of study that will contribute to national priorities and future prosperity</w:t>
            </w:r>
            <w:r w:rsidR="00CA4604" w:rsidRPr="00C4084C">
              <w:t>,</w:t>
            </w:r>
            <w:r w:rsidRPr="00C4084C">
              <w:t>” while reducing support for others.</w:t>
            </w:r>
            <w:r w:rsidR="00A74AAD" w:rsidRPr="00C4084C">
              <w:rPr>
                <w:rStyle w:val="FootnoteReference"/>
              </w:rPr>
              <w:footnoteReference w:id="254"/>
            </w:r>
            <w:r w:rsidRPr="00C4084C">
              <w:t xml:space="preserve"> The significant savings in the Commonwealth Grants Scheme (CGS) of around $1 billion per year through the changes to contributions were redirected to other elements of the package, such as additional </w:t>
            </w:r>
            <w:r w:rsidR="7F3F2435" w:rsidRPr="00C4084C">
              <w:t>C</w:t>
            </w:r>
            <w:r w:rsidR="3B05B81C" w:rsidRPr="00C4084C">
              <w:t xml:space="preserve">ommonwealth </w:t>
            </w:r>
            <w:r w:rsidR="49B49614" w:rsidRPr="00C4084C">
              <w:t>s</w:t>
            </w:r>
            <w:r w:rsidR="0CAA9ADD" w:rsidRPr="00C4084C">
              <w:t>upported places</w:t>
            </w:r>
            <w:r w:rsidRPr="00C4084C">
              <w:t xml:space="preserve"> and the National Priorities and Industry Linkage Fund (NPILF).</w:t>
            </w:r>
          </w:p>
          <w:p w14:paraId="4F182ABC" w14:textId="77777777" w:rsidR="00D04668" w:rsidRPr="00E94C0A" w:rsidRDefault="00D04668" w:rsidP="00081E91">
            <w:pPr>
              <w:pStyle w:val="Boxtext0"/>
              <w:rPr>
                <w:b/>
                <w:bCs/>
                <w:i/>
                <w:iCs/>
              </w:rPr>
            </w:pPr>
            <w:r w:rsidRPr="00E94C0A">
              <w:rPr>
                <w:b/>
                <w:bCs/>
                <w:i/>
                <w:iCs/>
              </w:rPr>
              <w:t>Design of the CGS clusters and bands prior to the JRG reforms</w:t>
            </w:r>
          </w:p>
          <w:p w14:paraId="50A3AD8A" w14:textId="640C72C2" w:rsidR="00D04668" w:rsidRPr="00C4084C" w:rsidRDefault="00D04668" w:rsidP="00E94C0A">
            <w:pPr>
              <w:pStyle w:val="Boxtext0"/>
              <w:keepNext w:val="0"/>
              <w:keepLines w:val="0"/>
              <w:widowControl w:val="0"/>
            </w:pPr>
            <w:r w:rsidRPr="00C4084C">
              <w:t xml:space="preserve">The JRG </w:t>
            </w:r>
            <w:r w:rsidR="00A14285" w:rsidRPr="00C4084C">
              <w:t xml:space="preserve">changes </w:t>
            </w:r>
            <w:r w:rsidRPr="00C4084C">
              <w:t>were the first wholesale redesign of per-place funding since the 2005 introduction of the CGS.</w:t>
            </w:r>
          </w:p>
          <w:p w14:paraId="32456A44" w14:textId="77777777" w:rsidR="00D04668" w:rsidRPr="00C4084C" w:rsidRDefault="00D04668" w:rsidP="00E94C0A">
            <w:pPr>
              <w:pStyle w:val="Boxtext0"/>
              <w:keepNext w:val="0"/>
              <w:keepLines w:val="0"/>
              <w:widowControl w:val="0"/>
            </w:pPr>
            <w:r w:rsidRPr="00C4084C">
              <w:t xml:space="preserve">Prior to JRG, student contributions were generally set based on likely future earnings of graduates, with the highest-earning fields attracting the highest student contribution band. This was moderated to an extent for expensive-to-deliver fields, like science and agriculture, where the student contribution was set at a higher rate than would have been the case based purely on future earnings. </w:t>
            </w:r>
          </w:p>
          <w:p w14:paraId="2C0A7218" w14:textId="5EF477EC" w:rsidR="00D04668" w:rsidRPr="00C4084C" w:rsidRDefault="00D04668" w:rsidP="00E94C0A">
            <w:pPr>
              <w:pStyle w:val="Boxtext0"/>
              <w:keepNext w:val="0"/>
              <w:keepLines w:val="0"/>
              <w:widowControl w:val="0"/>
            </w:pPr>
            <w:r w:rsidRPr="00C4084C">
              <w:t xml:space="preserve">Commonwealth contributions were subsequently set to bridge the gap to the accepted level of base funding per place, based on </w:t>
            </w:r>
            <w:r w:rsidR="007374D1" w:rsidRPr="00C4084C">
              <w:t>a</w:t>
            </w:r>
            <w:r w:rsidR="0086450B" w:rsidRPr="00C4084C">
              <w:t xml:space="preserve"> rough</w:t>
            </w:r>
            <w:r w:rsidR="007374D1" w:rsidRPr="00C4084C">
              <w:t xml:space="preserve"> measure of the cost of delivery</w:t>
            </w:r>
            <w:r w:rsidRPr="00C4084C">
              <w:t xml:space="preserve"> and a base level of research capability.</w:t>
            </w:r>
          </w:p>
          <w:p w14:paraId="27C7CFD2" w14:textId="77777777" w:rsidR="00D04668" w:rsidRPr="00081E91" w:rsidRDefault="00D04668" w:rsidP="00081E91">
            <w:pPr>
              <w:pStyle w:val="Boxtext0"/>
              <w:rPr>
                <w:b/>
                <w:bCs/>
                <w:i/>
                <w:iCs/>
              </w:rPr>
            </w:pPr>
            <w:r w:rsidRPr="00081E91">
              <w:rPr>
                <w:b/>
                <w:bCs/>
                <w:i/>
                <w:iCs/>
              </w:rPr>
              <w:lastRenderedPageBreak/>
              <w:t>Key reforms under JRG</w:t>
            </w:r>
          </w:p>
          <w:p w14:paraId="377C819B" w14:textId="25344710" w:rsidR="00D04668" w:rsidRPr="00C4084C" w:rsidRDefault="00D04668" w:rsidP="00081E91">
            <w:pPr>
              <w:pStyle w:val="Boxtext0"/>
            </w:pPr>
            <w:r w:rsidRPr="00C4084C">
              <w:t xml:space="preserve">The JRG </w:t>
            </w:r>
            <w:r w:rsidR="00A14285" w:rsidRPr="00C4084C">
              <w:t xml:space="preserve">changes </w:t>
            </w:r>
            <w:r w:rsidRPr="00C4084C">
              <w:t xml:space="preserve">introduced a significant departure from this formulation: according to the then government’s stated objectives, student contributions now had </w:t>
            </w:r>
            <w:r w:rsidR="67918089" w:rsidRPr="00C4084C">
              <w:t>2</w:t>
            </w:r>
            <w:r w:rsidR="00A14285" w:rsidRPr="00C4084C">
              <w:t xml:space="preserve"> </w:t>
            </w:r>
            <w:r w:rsidRPr="00C4084C">
              <w:t xml:space="preserve">roles to play: </w:t>
            </w:r>
          </w:p>
          <w:p w14:paraId="3E84FABD" w14:textId="745D0578" w:rsidR="00D04668" w:rsidRPr="00C4084C" w:rsidRDefault="00D04668" w:rsidP="00081E91">
            <w:pPr>
              <w:pStyle w:val="Boxdotpoint"/>
            </w:pPr>
            <w:r w:rsidRPr="00C4084C">
              <w:t xml:space="preserve">An incentive element: Those in priority fields of education seen to deliver a </w:t>
            </w:r>
            <w:r w:rsidR="000023A5" w:rsidRPr="00C4084C">
              <w:t>’</w:t>
            </w:r>
            <w:r w:rsidRPr="00C4084C">
              <w:t>public benefit</w:t>
            </w:r>
            <w:r w:rsidR="000023A5" w:rsidRPr="00C4084C">
              <w:t>’</w:t>
            </w:r>
            <w:r w:rsidRPr="00C4084C">
              <w:t xml:space="preserve"> would pay lower fees – despite often-higher private benefits and course delivery costs – to attract prospective students. For example, student contributions for math</w:t>
            </w:r>
            <w:r w:rsidR="00582E76">
              <w:t>ematic</w:t>
            </w:r>
            <w:r w:rsidR="00D320DA">
              <w:t xml:space="preserve"> </w:t>
            </w:r>
            <w:r w:rsidRPr="00C4084C">
              <w:t xml:space="preserve">s and agriculture were reduced by 59%, while contributions for teaching, English, </w:t>
            </w:r>
            <w:proofErr w:type="gramStart"/>
            <w:r w:rsidRPr="00C4084C">
              <w:t>nursing</w:t>
            </w:r>
            <w:proofErr w:type="gramEnd"/>
            <w:r w:rsidRPr="00C4084C">
              <w:t xml:space="preserve"> and foreign languages were reduced by 42%.</w:t>
            </w:r>
          </w:p>
          <w:p w14:paraId="7F684C1B" w14:textId="0AF6EF6B" w:rsidR="00D04668" w:rsidRPr="00C4084C" w:rsidRDefault="00D04668" w:rsidP="00081E91">
            <w:pPr>
              <w:pStyle w:val="Boxdotpoint"/>
            </w:pPr>
            <w:r w:rsidRPr="00C4084C">
              <w:t>A deterrent element: Those in fields seen not to be priorities would face the highest fees to deter prospective students, despite often lower levels of private benefit and course delivery costs. For example, student contributions for communications, humanities, society and culture and human movement were increased by 113%, while contributions for law, economics and management and commerce were increased by 28%.</w:t>
            </w:r>
          </w:p>
        </w:tc>
      </w:tr>
    </w:tbl>
    <w:p w14:paraId="0B985AF0" w14:textId="5AB2ED97" w:rsidR="00E06C8E" w:rsidRPr="00C4084C" w:rsidRDefault="00E06C8E" w:rsidP="00081E91">
      <w:r w:rsidRPr="00C4084C">
        <w:lastRenderedPageBreak/>
        <w:t xml:space="preserve">Overwhelmingly, submissions and consultations for the Review called for the deterrent element introduced by the JRG </w:t>
      </w:r>
      <w:r w:rsidR="001D261A" w:rsidRPr="00C4084C">
        <w:t xml:space="preserve">changes </w:t>
      </w:r>
      <w:r w:rsidRPr="00C4084C">
        <w:t xml:space="preserve">to be </w:t>
      </w:r>
      <w:r w:rsidR="00323411" w:rsidRPr="00C4084C">
        <w:t>remedied</w:t>
      </w:r>
      <w:r w:rsidRPr="00C4084C">
        <w:t>.</w:t>
      </w:r>
      <w:r w:rsidRPr="00C4084C">
        <w:rPr>
          <w:rFonts w:asciiTheme="majorHAnsi" w:hAnsiTheme="majorHAnsi" w:cstheme="majorBidi"/>
        </w:rPr>
        <w:t xml:space="preserve"> </w:t>
      </w:r>
      <w:r w:rsidRPr="00C4084C">
        <w:t>They</w:t>
      </w:r>
      <w:r w:rsidR="00A26EB1" w:rsidRPr="00C4084C">
        <w:t xml:space="preserve"> </w:t>
      </w:r>
      <w:r w:rsidR="00F40DE1" w:rsidRPr="00C4084C">
        <w:t>characterised</w:t>
      </w:r>
      <w:r w:rsidRPr="00C4084C">
        <w:t xml:space="preserve"> the misalignment of prices and graduate incomes resulting from the JRG </w:t>
      </w:r>
      <w:r w:rsidR="001D261A" w:rsidRPr="00C4084C">
        <w:t xml:space="preserve">changes </w:t>
      </w:r>
      <w:r w:rsidRPr="00C4084C">
        <w:t xml:space="preserve">as deeply unfair and punishing students for following their interests. Particularly harmful was the 113% rise in student contributions for Commonwealth supported students studying communications, humanities, other society and culture, and human movement units. </w:t>
      </w:r>
    </w:p>
    <w:p w14:paraId="6EE562CE" w14:textId="230FF9F0" w:rsidR="00E06C8E" w:rsidRPr="00C4084C" w:rsidRDefault="00E06C8E" w:rsidP="00081E91">
      <w:r w:rsidRPr="00C4084C">
        <w:t xml:space="preserve">The JRG changes had little impact on student choice, with </w:t>
      </w:r>
      <w:r w:rsidR="0034776A" w:rsidRPr="00C4084C">
        <w:t>r</w:t>
      </w:r>
      <w:r w:rsidRPr="00C4084C">
        <w:t>esearch finding that only 1.5% of students applied to enrol in courses they would</w:t>
      </w:r>
      <w:r w:rsidR="00CB403A" w:rsidRPr="00C4084C">
        <w:t xml:space="preserve"> not</w:t>
      </w:r>
      <w:r w:rsidRPr="00C4084C">
        <w:t xml:space="preserve"> have applied for under the </w:t>
      </w:r>
      <w:r w:rsidR="00CB403A" w:rsidRPr="00C4084C">
        <w:t>previous</w:t>
      </w:r>
      <w:r w:rsidRPr="00C4084C">
        <w:t xml:space="preserve"> student contribution structure.</w:t>
      </w:r>
      <w:r w:rsidRPr="00C4084C">
        <w:rPr>
          <w:rStyle w:val="FootnoteReference"/>
        </w:rPr>
        <w:footnoteReference w:id="255"/>
      </w:r>
      <w:r w:rsidRPr="00C4084C">
        <w:t xml:space="preserve"> The Productivity Commission found </w:t>
      </w:r>
      <w:r w:rsidR="00E47A0D" w:rsidRPr="00C4084C">
        <w:t>“</w:t>
      </w:r>
      <w:r w:rsidRPr="00C4084C">
        <w:t>the overall demand for university enrolment in Australia is unresponsive even to significant price increases given ICLs [income contingent loans] and existing subsidies</w:t>
      </w:r>
      <w:r w:rsidR="000B3E71" w:rsidRPr="00C4084C">
        <w:t>”</w:t>
      </w:r>
      <w:r w:rsidR="002E1EF1">
        <w:t>.</w:t>
      </w:r>
      <w:r w:rsidRPr="00C4084C">
        <w:rPr>
          <w:rStyle w:val="FootnoteReference"/>
        </w:rPr>
        <w:footnoteReference w:id="256"/>
      </w:r>
    </w:p>
    <w:p w14:paraId="710C6CD2" w14:textId="25E01A90" w:rsidR="00E06C8E" w:rsidRPr="00C4084C" w:rsidRDefault="00E06C8E" w:rsidP="00081E91">
      <w:r w:rsidRPr="00C4084C">
        <w:t xml:space="preserve">The Review </w:t>
      </w:r>
      <w:r w:rsidR="00A26EB1" w:rsidRPr="00C4084C">
        <w:t xml:space="preserve">suggests </w:t>
      </w:r>
      <w:r w:rsidR="00D22AB8" w:rsidRPr="00C4084C">
        <w:t xml:space="preserve">the Australian </w:t>
      </w:r>
      <w:r w:rsidR="00A26EB1" w:rsidRPr="00C4084C">
        <w:t>Government</w:t>
      </w:r>
      <w:r w:rsidRPr="00C4084C">
        <w:t xml:space="preserve"> use the following principles when considering changes to student contribution arrangements. </w:t>
      </w:r>
    </w:p>
    <w:tbl>
      <w:tblPr>
        <w:tblW w:w="0" w:type="auto"/>
        <w:shd w:val="clear" w:color="auto" w:fill="D2E8FF"/>
        <w:tblLook w:val="04A0" w:firstRow="1" w:lastRow="0" w:firstColumn="1" w:lastColumn="0" w:noHBand="0" w:noVBand="1"/>
      </w:tblPr>
      <w:tblGrid>
        <w:gridCol w:w="9026"/>
      </w:tblGrid>
      <w:tr w:rsidR="00D04668" w:rsidRPr="00C4084C" w14:paraId="74A541EE" w14:textId="77777777" w:rsidTr="00D26B82">
        <w:tc>
          <w:tcPr>
            <w:tcW w:w="0" w:type="auto"/>
            <w:shd w:val="clear" w:color="auto" w:fill="E3DAEA"/>
          </w:tcPr>
          <w:p w14:paraId="246B7B18" w14:textId="281FC2E4" w:rsidR="00D04668" w:rsidRPr="00C4084C" w:rsidRDefault="00D04668" w:rsidP="00D04668">
            <w:pPr>
              <w:pStyle w:val="Boxtitlessubheadings"/>
            </w:pPr>
            <w:r w:rsidRPr="00C4084C">
              <w:t xml:space="preserve">The </w:t>
            </w:r>
            <w:r w:rsidR="00337A4B" w:rsidRPr="00C4084C">
              <w:t>p</w:t>
            </w:r>
            <w:r w:rsidRPr="00C4084C">
              <w:t xml:space="preserve">rinciples for </w:t>
            </w:r>
            <w:r w:rsidR="00337A4B" w:rsidRPr="00C4084C">
              <w:t>f</w:t>
            </w:r>
            <w:r w:rsidRPr="00C4084C">
              <w:t xml:space="preserve">air </w:t>
            </w:r>
            <w:r w:rsidR="00337A4B" w:rsidRPr="00C4084C">
              <w:t>s</w:t>
            </w:r>
            <w:r w:rsidRPr="00C4084C">
              <w:t xml:space="preserve">tudent </w:t>
            </w:r>
            <w:r w:rsidR="00337A4B" w:rsidRPr="00C4084C">
              <w:t>c</w:t>
            </w:r>
            <w:r w:rsidRPr="00C4084C">
              <w:t xml:space="preserve">ontribution </w:t>
            </w:r>
            <w:r w:rsidR="00337A4B" w:rsidRPr="00C4084C">
              <w:t>a</w:t>
            </w:r>
            <w:r w:rsidRPr="00C4084C">
              <w:t>rrangements</w:t>
            </w:r>
          </w:p>
          <w:p w14:paraId="617054C4" w14:textId="1B51D5EF" w:rsidR="002E1EF1" w:rsidRPr="00081E91" w:rsidRDefault="002E1EF1" w:rsidP="00F56A97">
            <w:pPr>
              <w:pStyle w:val="Boxnumber"/>
              <w:numPr>
                <w:ilvl w:val="0"/>
                <w:numId w:val="57"/>
              </w:numPr>
              <w:ind w:left="453"/>
            </w:pPr>
            <w:r w:rsidRPr="00081E91">
              <w:t>There should be a fair contribution amount.</w:t>
            </w:r>
          </w:p>
          <w:p w14:paraId="7E264B5F" w14:textId="6567FD61" w:rsidR="00D04668" w:rsidRPr="00081E91" w:rsidRDefault="00D04668" w:rsidP="00081E91">
            <w:pPr>
              <w:pStyle w:val="Boxnumber"/>
            </w:pPr>
            <w:r w:rsidRPr="00081E91">
              <w:t>The system should be simple to understand.</w:t>
            </w:r>
          </w:p>
          <w:p w14:paraId="1E2684DC" w14:textId="77777777" w:rsidR="00D04668" w:rsidRPr="00081E91" w:rsidRDefault="00D04668" w:rsidP="00081E91">
            <w:pPr>
              <w:pStyle w:val="Boxnumber"/>
            </w:pPr>
            <w:r w:rsidRPr="00081E91">
              <w:t xml:space="preserve">The amount students contribute towards their learning should depend on their field of study. </w:t>
            </w:r>
          </w:p>
          <w:p w14:paraId="376D3C0B" w14:textId="097BABDD" w:rsidR="00D04668" w:rsidRPr="00C4084C" w:rsidRDefault="00D04668" w:rsidP="00081E91">
            <w:pPr>
              <w:pStyle w:val="Boxnumber"/>
            </w:pPr>
            <w:r w:rsidRPr="00081E91">
              <w:t>The higher the future earnings potential linked to their field of study, the greater the student contribution.</w:t>
            </w:r>
          </w:p>
        </w:tc>
      </w:tr>
    </w:tbl>
    <w:p w14:paraId="0401C390" w14:textId="69E55EAC" w:rsidR="00E06C8E" w:rsidRPr="00C4084C" w:rsidRDefault="00E06C8E" w:rsidP="00F56A97">
      <w:r w:rsidRPr="00C4084C">
        <w:t xml:space="preserve">Recognising the complexity and cost (both to students and the </w:t>
      </w:r>
      <w:r w:rsidR="00D22AB8" w:rsidRPr="00C4084C">
        <w:t>Australian</w:t>
      </w:r>
      <w:r w:rsidRPr="00C4084C">
        <w:t xml:space="preserve"> Government) of </w:t>
      </w:r>
      <w:r w:rsidR="00E95423" w:rsidRPr="00C4084C">
        <w:t xml:space="preserve">remedying the </w:t>
      </w:r>
      <w:r w:rsidR="00D22122" w:rsidRPr="00C4084C">
        <w:t>JRG changes</w:t>
      </w:r>
      <w:r w:rsidRPr="00C4084C">
        <w:t xml:space="preserve">, reducing the maximum student contributions for those subjects </w:t>
      </w:r>
      <w:r w:rsidR="007B069C" w:rsidRPr="00C4084C">
        <w:t xml:space="preserve">listed </w:t>
      </w:r>
      <w:r w:rsidRPr="00C4084C">
        <w:t xml:space="preserve">above </w:t>
      </w:r>
      <w:r w:rsidR="007A25D1">
        <w:t>is</w:t>
      </w:r>
      <w:r w:rsidR="007A25D1" w:rsidRPr="00C4084C">
        <w:t xml:space="preserve"> a priority</w:t>
      </w:r>
      <w:r w:rsidR="007A25D1">
        <w:t xml:space="preserve"> (see Recommendation 16)</w:t>
      </w:r>
      <w:r w:rsidRPr="00C4084C">
        <w:t>. As the level of student contributions do</w:t>
      </w:r>
      <w:r w:rsidR="0069135D" w:rsidRPr="00C4084C">
        <w:t>es</w:t>
      </w:r>
      <w:r w:rsidRPr="00C4084C">
        <w:t xml:space="preserve"> not </w:t>
      </w:r>
      <w:r w:rsidR="007B069C" w:rsidRPr="00C4084C">
        <w:t xml:space="preserve">affect </w:t>
      </w:r>
      <w:r w:rsidRPr="00C4084C">
        <w:t xml:space="preserve">student choice, over time the system should evolve into one where student contributions are set </w:t>
      </w:r>
      <w:proofErr w:type="gramStart"/>
      <w:r w:rsidRPr="00C4084C">
        <w:t>on the basis of</w:t>
      </w:r>
      <w:proofErr w:type="gramEnd"/>
      <w:r w:rsidRPr="00C4084C">
        <w:t xml:space="preserve"> projected potential future income, while maintaining fairness in the system. This is discussed further in</w:t>
      </w:r>
      <w:r w:rsidR="00A07BB5" w:rsidRPr="00C4084C">
        <w:t xml:space="preserve"> </w:t>
      </w:r>
      <w:r w:rsidR="00A07BB5" w:rsidRPr="00C4084C">
        <w:fldChar w:fldCharType="begin"/>
      </w:r>
      <w:r w:rsidR="00A07BB5" w:rsidRPr="00C4084C">
        <w:instrText xml:space="preserve"> REF _Ref151934381 \r \h </w:instrText>
      </w:r>
      <w:r w:rsidR="008037CA" w:rsidRPr="00C4084C">
        <w:instrText xml:space="preserve"> \* MERGEFORMAT </w:instrText>
      </w:r>
      <w:r w:rsidR="00A07BB5" w:rsidRPr="00C4084C">
        <w:fldChar w:fldCharType="separate"/>
      </w:r>
      <w:r w:rsidR="00467B4F" w:rsidRPr="00467B4F">
        <w:rPr>
          <w:i/>
          <w:iCs/>
        </w:rPr>
        <w:t xml:space="preserve">Chapter 8 – </w:t>
      </w:r>
      <w:r w:rsidR="00A07BB5" w:rsidRPr="00C4084C">
        <w:fldChar w:fldCharType="end"/>
      </w:r>
      <w:r w:rsidR="008C34DB" w:rsidRPr="00C4084C">
        <w:rPr>
          <w:i/>
          <w:iCs/>
        </w:rPr>
        <w:fldChar w:fldCharType="begin"/>
      </w:r>
      <w:r w:rsidR="008C34DB" w:rsidRPr="00C4084C">
        <w:rPr>
          <w:i/>
          <w:iCs/>
        </w:rPr>
        <w:instrText xml:space="preserve"> REF _Ref152710684 \h  \* MERGEFORMAT </w:instrText>
      </w:r>
      <w:r w:rsidR="008C34DB" w:rsidRPr="00C4084C">
        <w:rPr>
          <w:i/>
          <w:iCs/>
        </w:rPr>
      </w:r>
      <w:r w:rsidR="008C34DB" w:rsidRPr="00C4084C">
        <w:rPr>
          <w:i/>
          <w:iCs/>
        </w:rPr>
        <w:fldChar w:fldCharType="separate"/>
      </w:r>
      <w:r w:rsidR="00467B4F" w:rsidRPr="00467B4F">
        <w:rPr>
          <w:i/>
          <w:iCs/>
        </w:rPr>
        <w:t>A new funding model to underpin growth and quality</w:t>
      </w:r>
      <w:r w:rsidR="008C34DB" w:rsidRPr="00C4084C">
        <w:rPr>
          <w:i/>
          <w:iCs/>
        </w:rPr>
        <w:fldChar w:fldCharType="end"/>
      </w:r>
      <w:r w:rsidRPr="00C4084C">
        <w:rPr>
          <w:i/>
          <w:iCs/>
        </w:rPr>
        <w:t>.</w:t>
      </w:r>
    </w:p>
    <w:p w14:paraId="560348F4" w14:textId="68EA8405" w:rsidR="008E52DE" w:rsidRPr="000219B0" w:rsidRDefault="00E06C8E" w:rsidP="00285443">
      <w:r w:rsidRPr="00C4084C">
        <w:lastRenderedPageBreak/>
        <w:t>The</w:t>
      </w:r>
      <w:r w:rsidR="00D22AB8" w:rsidRPr="00C4084C">
        <w:t xml:space="preserve"> Australian</w:t>
      </w:r>
      <w:r w:rsidRPr="00C4084C">
        <w:t xml:space="preserve"> Government should continue to be responsible for setting student contributions, but these decisions should be based on detailed analysis and advice from the </w:t>
      </w:r>
      <w:bookmarkStart w:id="780" w:name="_Toc149138783"/>
      <w:bookmarkStart w:id="781" w:name="_Toc149140862"/>
      <w:bookmarkEnd w:id="780"/>
      <w:bookmarkEnd w:id="781"/>
      <w:r w:rsidR="6ED442BC" w:rsidRPr="00C4084C">
        <w:t>Commission</w:t>
      </w:r>
      <w:r w:rsidR="00D939EE" w:rsidRPr="00C4084C">
        <w:t xml:space="preserve"> </w:t>
      </w:r>
      <w:r w:rsidRPr="00C4084C">
        <w:t>and other experts</w:t>
      </w:r>
      <w:r w:rsidRPr="00C4084C">
        <w:rPr>
          <w:i/>
          <w:iCs/>
        </w:rPr>
        <w:t>.</w:t>
      </w:r>
    </w:p>
    <w:tbl>
      <w:tblPr>
        <w:tblW w:w="0" w:type="auto"/>
        <w:shd w:val="clear" w:color="auto" w:fill="FBE4D5"/>
        <w:tblLook w:val="04A0" w:firstRow="1" w:lastRow="0" w:firstColumn="1" w:lastColumn="0" w:noHBand="0" w:noVBand="1"/>
      </w:tblPr>
      <w:tblGrid>
        <w:gridCol w:w="9026"/>
      </w:tblGrid>
      <w:tr w:rsidR="008E52DE" w:rsidRPr="00C4084C" w14:paraId="029DBB6A" w14:textId="77777777" w:rsidTr="00D26B82">
        <w:tc>
          <w:tcPr>
            <w:tcW w:w="9026" w:type="dxa"/>
            <w:shd w:val="clear" w:color="auto" w:fill="B0C3DB"/>
          </w:tcPr>
          <w:p w14:paraId="42534902" w14:textId="07D79D65" w:rsidR="00861BDA" w:rsidRPr="00861BDA" w:rsidRDefault="0080264E" w:rsidP="003E5969">
            <w:pPr>
              <w:pStyle w:val="Findinginchapterheading"/>
            </w:pPr>
            <w:r w:rsidRPr="003E5969">
              <w:rPr>
                <w:rFonts w:ascii="Calibri" w:eastAsia="Yu Gothic Light" w:hAnsi="Calibri" w:cs="Calibri"/>
                <w:szCs w:val="24"/>
              </w:rPr>
              <w:t>Finding</w:t>
            </w:r>
            <w:r w:rsidR="00861BDA">
              <w:rPr>
                <w:szCs w:val="24"/>
              </w:rPr>
              <w:t xml:space="preserve">: </w:t>
            </w:r>
            <w:r w:rsidR="008E52DE" w:rsidRPr="00F56A97">
              <w:t>Job-ready Graduates</w:t>
            </w:r>
          </w:p>
          <w:p w14:paraId="5712ADAD" w14:textId="73A955F3" w:rsidR="008E52DE" w:rsidRPr="00C4084C" w:rsidRDefault="008E52DE" w:rsidP="003E5969">
            <w:pPr>
              <w:pStyle w:val="Boxtext0"/>
              <w:spacing w:before="0"/>
            </w:pPr>
            <w:r w:rsidRPr="00F56A97">
              <w:t>The Job-ready Graduates package needs urgent remediation. Its intended purpose of influencing students’ choice of courses through price signals has failed. While some students are paying less, the overall funding balance has shifted in the direction of lower government contributions and higher student contributions. Many students have extremely high student contributions resulting in large HELP loans that do not reflect their future earning potential.</w:t>
            </w:r>
          </w:p>
        </w:tc>
      </w:tr>
    </w:tbl>
    <w:p w14:paraId="7ABEB15B" w14:textId="0960738B" w:rsidR="00E06C8E" w:rsidRPr="00C4084C" w:rsidRDefault="00E06C8E" w:rsidP="00BA6095">
      <w:pPr>
        <w:pStyle w:val="Heading4"/>
      </w:pPr>
      <w:bookmarkStart w:id="782" w:name="_Toc149211934"/>
      <w:bookmarkStart w:id="783" w:name="_Toc149212118"/>
      <w:bookmarkStart w:id="784" w:name="_Toc149138784"/>
      <w:bookmarkStart w:id="785" w:name="_Toc149140863"/>
      <w:bookmarkStart w:id="786" w:name="_Toc149211935"/>
      <w:bookmarkStart w:id="787" w:name="_Toc149212119"/>
      <w:bookmarkStart w:id="788" w:name="_Toc151023561"/>
      <w:bookmarkStart w:id="789" w:name="_Toc151023620"/>
      <w:bookmarkStart w:id="790" w:name="_Toc151023562"/>
      <w:bookmarkStart w:id="791" w:name="_Toc151023621"/>
      <w:bookmarkStart w:id="792" w:name="_Toc151023563"/>
      <w:bookmarkStart w:id="793" w:name="_Toc151023622"/>
      <w:bookmarkStart w:id="794" w:name="_Toc151023564"/>
      <w:bookmarkStart w:id="795" w:name="_Toc151023623"/>
      <w:bookmarkStart w:id="796" w:name="_Toc151023565"/>
      <w:bookmarkStart w:id="797" w:name="_Toc151023624"/>
      <w:bookmarkStart w:id="798" w:name="_Toc151023566"/>
      <w:bookmarkStart w:id="799" w:name="_Toc151023625"/>
      <w:bookmarkStart w:id="800" w:name="_Toc151023567"/>
      <w:bookmarkStart w:id="801" w:name="_Toc151023626"/>
      <w:bookmarkStart w:id="802" w:name="_Toc151023568"/>
      <w:bookmarkStart w:id="803" w:name="_Toc151023627"/>
      <w:bookmarkStart w:id="804" w:name="_Toc151023569"/>
      <w:bookmarkStart w:id="805" w:name="_Toc151023628"/>
      <w:bookmarkStart w:id="806" w:name="_Toc151023570"/>
      <w:bookmarkStart w:id="807" w:name="_Toc151023629"/>
      <w:bookmarkStart w:id="808" w:name="_Toc151023571"/>
      <w:bookmarkStart w:id="809" w:name="_Toc151023630"/>
      <w:bookmarkStart w:id="810" w:name="_Toc151023572"/>
      <w:bookmarkStart w:id="811" w:name="_Toc151023631"/>
      <w:bookmarkStart w:id="812" w:name="_Toc151023574"/>
      <w:bookmarkStart w:id="813" w:name="_Toc151023633"/>
      <w:bookmarkStart w:id="814" w:name="_Toc151023575"/>
      <w:bookmarkStart w:id="815" w:name="_Toc151023634"/>
      <w:bookmarkStart w:id="816" w:name="_Toc151023576"/>
      <w:bookmarkStart w:id="817" w:name="_Toc151023635"/>
      <w:bookmarkStart w:id="818" w:name="_Toc151023577"/>
      <w:bookmarkStart w:id="819" w:name="_Toc151023636"/>
      <w:bookmarkStart w:id="820" w:name="_Toc151023578"/>
      <w:bookmarkStart w:id="821" w:name="_Toc151023637"/>
      <w:bookmarkStart w:id="822" w:name="_Toc151023579"/>
      <w:bookmarkStart w:id="823" w:name="_Toc151023638"/>
      <w:bookmarkStart w:id="824" w:name="_Toc151023580"/>
      <w:bookmarkStart w:id="825" w:name="_Toc151023639"/>
      <w:bookmarkStart w:id="826" w:name="_Toc151023581"/>
      <w:bookmarkStart w:id="827" w:name="_Toc151023640"/>
      <w:bookmarkStart w:id="828" w:name="_Toc151023582"/>
      <w:bookmarkStart w:id="829" w:name="_Toc151023641"/>
      <w:bookmarkStart w:id="830" w:name="_Toc151023583"/>
      <w:bookmarkStart w:id="831" w:name="_Toc151023642"/>
      <w:bookmarkStart w:id="832" w:name="_Toc151023584"/>
      <w:bookmarkStart w:id="833" w:name="_Toc151023643"/>
      <w:bookmarkStart w:id="834" w:name="_Toc151023585"/>
      <w:bookmarkStart w:id="835" w:name="_Toc151023644"/>
      <w:bookmarkStart w:id="836" w:name="_Toc151023586"/>
      <w:bookmarkStart w:id="837" w:name="_Toc151023645"/>
      <w:bookmarkStart w:id="838" w:name="_Toc151023587"/>
      <w:bookmarkStart w:id="839" w:name="_Toc151023646"/>
      <w:bookmarkStart w:id="840" w:name="_Toc151023647"/>
      <w:bookmarkStart w:id="841" w:name="_Toc151024063"/>
      <w:bookmarkStart w:id="842" w:name="_Toc56091462"/>
      <w:bookmarkStart w:id="843" w:name="_Toc153483045"/>
      <w:bookmarkStart w:id="844" w:name="_Toc159500956"/>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r w:rsidRPr="00C4084C">
        <w:t>Building on the world-leading success of the HELP system</w:t>
      </w:r>
      <w:bookmarkEnd w:id="840"/>
      <w:bookmarkEnd w:id="841"/>
      <w:bookmarkEnd w:id="842"/>
      <w:bookmarkEnd w:id="843"/>
      <w:bookmarkEnd w:id="844"/>
    </w:p>
    <w:p w14:paraId="00A6EAA5" w14:textId="3D2F7D9E" w:rsidR="00E06C8E" w:rsidRPr="00C4084C" w:rsidRDefault="00E06C8E" w:rsidP="00F56A97">
      <w:r w:rsidRPr="00C4084C">
        <w:t xml:space="preserve">The HELP system was introduced in 1989 (as HECS) </w:t>
      </w:r>
      <w:r w:rsidR="001B54A9" w:rsidRPr="00C4084C">
        <w:t xml:space="preserve">to keep Australia internationally competitive as a knowledge-based economy </w:t>
      </w:r>
      <w:r w:rsidR="00E1324D" w:rsidRPr="00C4084C">
        <w:t>by</w:t>
      </w:r>
      <w:r w:rsidR="00F77A5C" w:rsidRPr="00C4084C">
        <w:t xml:space="preserve"> grow</w:t>
      </w:r>
      <w:r w:rsidR="00E1324D" w:rsidRPr="00C4084C">
        <w:t>ing</w:t>
      </w:r>
      <w:r w:rsidR="00F77A5C" w:rsidRPr="00C4084C">
        <w:t xml:space="preserve"> the number of</w:t>
      </w:r>
      <w:r w:rsidRPr="00C4084C">
        <w:t xml:space="preserve"> university students </w:t>
      </w:r>
      <w:r w:rsidR="00E1324D" w:rsidRPr="00C4084C">
        <w:t>in an affordable way</w:t>
      </w:r>
      <w:r w:rsidRPr="00C4084C">
        <w:t xml:space="preserve">. Australia’s HELP system successfully assisted in funding expanded access to university study for many students, including those from historically </w:t>
      </w:r>
      <w:r w:rsidR="00D7545F" w:rsidRPr="00C4084C">
        <w:t>under-represented</w:t>
      </w:r>
      <w:r w:rsidRPr="00C4084C">
        <w:t xml:space="preserve"> backgrounds. Without HELP, such levels of sustained growth would have placed considerable pressure on both the Commonwealth budget and university resources.</w:t>
      </w:r>
      <w:r w:rsidRPr="00C4084C">
        <w:rPr>
          <w:rStyle w:val="FootnoteReference"/>
        </w:rPr>
        <w:footnoteReference w:id="257"/>
      </w:r>
    </w:p>
    <w:p w14:paraId="1E8475B7" w14:textId="14FFA4BA" w:rsidR="00E06C8E" w:rsidRPr="00C4084C" w:rsidRDefault="004E3D7A" w:rsidP="00F56A97">
      <w:r w:rsidRPr="00C4084C">
        <w:t>S</w:t>
      </w:r>
      <w:r w:rsidR="00E06C8E" w:rsidRPr="00C4084C">
        <w:t>ince its introduction, HELP has been successful in increasing the proportion of low</w:t>
      </w:r>
      <w:r w:rsidR="18CD6404" w:rsidRPr="00C4084C">
        <w:t xml:space="preserve"> </w:t>
      </w:r>
      <w:r w:rsidR="00E06C8E" w:rsidRPr="00C4084C">
        <w:t>SES students commencing university studies, as a percentage of all commencing students</w:t>
      </w:r>
      <w:r w:rsidR="00FA075A" w:rsidRPr="00C4084C">
        <w:t xml:space="preserve"> (see </w:t>
      </w:r>
      <w:r w:rsidR="00FA075A" w:rsidRPr="00C4084C">
        <w:fldChar w:fldCharType="begin"/>
      </w:r>
      <w:r w:rsidR="00FA075A" w:rsidRPr="00C4084C">
        <w:instrText xml:space="preserve"> REF _Ref151936255 \h </w:instrText>
      </w:r>
      <w:r w:rsidR="00404FEC" w:rsidRPr="00C4084C">
        <w:instrText xml:space="preserve"> \* MERGEFORMAT </w:instrText>
      </w:r>
      <w:r w:rsidR="00FA075A" w:rsidRPr="00C4084C">
        <w:fldChar w:fldCharType="separate"/>
      </w:r>
      <w:r w:rsidR="00467B4F" w:rsidRPr="00C4084C">
        <w:t xml:space="preserve">Figure </w:t>
      </w:r>
      <w:r w:rsidR="00467B4F">
        <w:rPr>
          <w:noProof/>
        </w:rPr>
        <w:t>20</w:t>
      </w:r>
      <w:r w:rsidR="00FA075A" w:rsidRPr="00C4084C">
        <w:fldChar w:fldCharType="end"/>
      </w:r>
      <w:r w:rsidR="00FA075A" w:rsidRPr="00C4084C">
        <w:t>)</w:t>
      </w:r>
      <w:r w:rsidR="00E06C8E" w:rsidRPr="00C4084C">
        <w:t xml:space="preserve">. Since the introduction of HELP, the proportion </w:t>
      </w:r>
      <w:r w:rsidR="0037528D" w:rsidRPr="00C4084C">
        <w:t xml:space="preserve">of </w:t>
      </w:r>
      <w:r w:rsidR="00815A0D" w:rsidRPr="00C4084C">
        <w:t xml:space="preserve">commencing </w:t>
      </w:r>
      <w:r w:rsidR="005E4ED5">
        <w:t xml:space="preserve">university </w:t>
      </w:r>
      <w:r w:rsidR="00E06C8E" w:rsidRPr="00C4084C">
        <w:t xml:space="preserve">students </w:t>
      </w:r>
      <w:r w:rsidR="00815A0D" w:rsidRPr="00C4084C">
        <w:t xml:space="preserve">from a low SES background </w:t>
      </w:r>
      <w:r w:rsidR="00E06C8E" w:rsidRPr="00C4084C">
        <w:t xml:space="preserve">has increased from 13.5% in 1989 to </w:t>
      </w:r>
      <w:r w:rsidR="00E63A5C">
        <w:t>17.4</w:t>
      </w:r>
      <w:r w:rsidR="00E06C8E" w:rsidRPr="00C4084C">
        <w:t>% in 202</w:t>
      </w:r>
      <w:r w:rsidR="00A979C5" w:rsidRPr="00C4084C">
        <w:t>2</w:t>
      </w:r>
      <w:r w:rsidR="00E06C8E" w:rsidRPr="00C4084C">
        <w:t xml:space="preserve">. However, more work needs to be done given </w:t>
      </w:r>
      <w:r w:rsidR="00920C0C" w:rsidRPr="00C4084C">
        <w:t>Australia is</w:t>
      </w:r>
      <w:r w:rsidR="00E06C8E" w:rsidRPr="00C4084C">
        <w:t xml:space="preserve"> still </w:t>
      </w:r>
      <w:r w:rsidR="0075172E" w:rsidRPr="00C4084C">
        <w:t>a long</w:t>
      </w:r>
      <w:r w:rsidR="00E06C8E" w:rsidRPr="00C4084C">
        <w:t xml:space="preserve"> way short of </w:t>
      </w:r>
      <w:r w:rsidR="00AC641F" w:rsidRPr="00C4084C">
        <w:t xml:space="preserve">population </w:t>
      </w:r>
      <w:r w:rsidR="00E06C8E" w:rsidRPr="00C4084C">
        <w:t xml:space="preserve">parity, and a fairer HELP system </w:t>
      </w:r>
      <w:r w:rsidR="008F0E1C" w:rsidRPr="00C4084C">
        <w:t xml:space="preserve">would </w:t>
      </w:r>
      <w:r w:rsidR="00E06C8E" w:rsidRPr="00C4084C">
        <w:t>be a key enabler of this.</w:t>
      </w:r>
    </w:p>
    <w:p w14:paraId="5DDE3EEE" w14:textId="5DC797B3" w:rsidR="00623986" w:rsidRPr="00D26B82" w:rsidRDefault="002F34D1" w:rsidP="001B399C">
      <w:pPr>
        <w:pStyle w:val="Caption"/>
        <w:rPr>
          <w:b/>
          <w:bCs/>
          <w:sz w:val="24"/>
          <w:szCs w:val="24"/>
        </w:rPr>
      </w:pPr>
      <w:bookmarkStart w:id="845" w:name="_Ref151936255"/>
      <w:bookmarkStart w:id="846" w:name="_Toc154674782"/>
      <w:r w:rsidRPr="00D26B82">
        <w:rPr>
          <w:b/>
          <w:bCs/>
          <w:sz w:val="24"/>
          <w:szCs w:val="24"/>
        </w:rPr>
        <w:t xml:space="preserve">Figure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20</w:t>
      </w:r>
      <w:r w:rsidRPr="00D26B82">
        <w:rPr>
          <w:b/>
          <w:bCs/>
          <w:sz w:val="24"/>
          <w:szCs w:val="24"/>
        </w:rPr>
        <w:fldChar w:fldCharType="end"/>
      </w:r>
      <w:bookmarkEnd w:id="845"/>
      <w:r w:rsidRPr="00D26B82">
        <w:rPr>
          <w:b/>
          <w:bCs/>
          <w:sz w:val="24"/>
          <w:szCs w:val="24"/>
        </w:rPr>
        <w:t xml:space="preserve">: Proportion of commencing </w:t>
      </w:r>
      <w:r w:rsidR="006A6A21" w:rsidRPr="00D26B82">
        <w:rPr>
          <w:b/>
          <w:bCs/>
          <w:sz w:val="24"/>
          <w:szCs w:val="24"/>
        </w:rPr>
        <w:t>university</w:t>
      </w:r>
      <w:r w:rsidRPr="00D26B82">
        <w:rPr>
          <w:b/>
          <w:bCs/>
          <w:sz w:val="24"/>
          <w:szCs w:val="24"/>
        </w:rPr>
        <w:t xml:space="preserve"> students from a low SES background</w:t>
      </w:r>
      <w:r w:rsidR="00C379C0" w:rsidRPr="00D26B82">
        <w:rPr>
          <w:b/>
          <w:bCs/>
          <w:sz w:val="24"/>
          <w:szCs w:val="24"/>
        </w:rPr>
        <w:t xml:space="preserve"> as a share of all commencing students (%)</w:t>
      </w:r>
      <w:r w:rsidR="00BF1981" w:rsidRPr="00D26B82">
        <w:rPr>
          <w:b/>
          <w:bCs/>
          <w:sz w:val="24"/>
          <w:szCs w:val="24"/>
        </w:rPr>
        <w:t xml:space="preserve">, 1989 to </w:t>
      </w:r>
      <w:r w:rsidR="003008E6" w:rsidRPr="00D26B82">
        <w:rPr>
          <w:b/>
          <w:bCs/>
          <w:sz w:val="24"/>
          <w:szCs w:val="24"/>
        </w:rPr>
        <w:t>2022</w:t>
      </w:r>
      <w:r w:rsidR="00397C76" w:rsidRPr="00D26B82">
        <w:rPr>
          <w:b/>
          <w:bCs/>
          <w:sz w:val="24"/>
          <w:szCs w:val="24"/>
        </w:rPr>
        <w:t>.</w:t>
      </w:r>
      <w:bookmarkEnd w:id="846"/>
    </w:p>
    <w:p w14:paraId="580AFCD7" w14:textId="7EB94B1C" w:rsidR="00796DAB" w:rsidRDefault="00796DAB" w:rsidP="00397C76">
      <w:pPr>
        <w:pStyle w:val="Source"/>
      </w:pPr>
      <w:r>
        <w:rPr>
          <w:noProof/>
        </w:rPr>
        <w:drawing>
          <wp:inline distT="0" distB="0" distL="0" distR="0" wp14:anchorId="2208738C" wp14:editId="51F6923C">
            <wp:extent cx="5709349" cy="2317898"/>
            <wp:effectExtent l="0" t="0" r="0" b="0"/>
            <wp:docPr id="170327227" name="Graphic 20" descr="A line graph showing the proportion of commencing university students from a low SES background as a share of all commencing students from 1989 to 2022. Low SES commencements grew from between 13 and 14% in 1989 to a peak of just under 19% in 2018, then fell to just over 17% in 20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27227" name="Graphic 20" descr="A line graph showing the proportion of commencing university students from a low SES background as a share of all commencing students from 1989 to 2022. Low SES commencements grew from between 13 and 14% in 1989 to a peak of just under 19% in 2018, then fell to just over 17% in 2022.  "/>
                    <pic:cNvPicPr/>
                  </pic:nvPicPr>
                  <pic:blipFill>
                    <a:blip r:embed="rId99">
                      <a:extLst>
                        <a:ext uri="{28A0092B-C50C-407E-A947-70E740481C1C}">
                          <a14:useLocalDpi xmlns:a14="http://schemas.microsoft.com/office/drawing/2010/main" val="0"/>
                        </a:ext>
                        <a:ext uri="{96DAC541-7B7A-43D3-8B79-37D633B846F1}">
                          <asvg:svgBlip xmlns:asvg="http://schemas.microsoft.com/office/drawing/2016/SVG/main" r:embed="rId100"/>
                        </a:ext>
                      </a:extLst>
                    </a:blip>
                    <a:stretch>
                      <a:fillRect/>
                    </a:stretch>
                  </pic:blipFill>
                  <pic:spPr>
                    <a:xfrm>
                      <a:off x="0" y="0"/>
                      <a:ext cx="5722195" cy="2323113"/>
                    </a:xfrm>
                    <a:prstGeom prst="rect">
                      <a:avLst/>
                    </a:prstGeom>
                  </pic:spPr>
                </pic:pic>
              </a:graphicData>
            </a:graphic>
          </wp:inline>
        </w:drawing>
      </w:r>
    </w:p>
    <w:p w14:paraId="263CB54B" w14:textId="31A3128A" w:rsidR="00397C76" w:rsidRDefault="00397C76" w:rsidP="00397C76">
      <w:pPr>
        <w:pStyle w:val="Source"/>
      </w:pPr>
      <w:r w:rsidRPr="00C4084C">
        <w:lastRenderedPageBreak/>
        <w:t xml:space="preserve">Source: Department of Education, </w:t>
      </w:r>
      <w:r w:rsidRPr="00C4084C">
        <w:rPr>
          <w:i/>
        </w:rPr>
        <w:t xml:space="preserve">Selected Higher Education Statistics – </w:t>
      </w:r>
      <w:r w:rsidRPr="00C4084C">
        <w:rPr>
          <w:i/>
          <w:iCs/>
        </w:rPr>
        <w:t>202</w:t>
      </w:r>
      <w:r w:rsidR="007B1F76" w:rsidRPr="00C4084C">
        <w:rPr>
          <w:i/>
          <w:iCs/>
        </w:rPr>
        <w:t>2</w:t>
      </w:r>
      <w:r w:rsidRPr="00C4084C">
        <w:rPr>
          <w:i/>
        </w:rPr>
        <w:t xml:space="preserve"> Student data, Student Enrolment Time Series</w:t>
      </w:r>
      <w:r w:rsidR="007B1F76" w:rsidRPr="00C4084C">
        <w:t xml:space="preserve"> [unpublished data], (Canberra: 2023)</w:t>
      </w:r>
      <w:r w:rsidRPr="00C4084C">
        <w:t xml:space="preserve">. </w:t>
      </w:r>
    </w:p>
    <w:p w14:paraId="5B09728C" w14:textId="254443AA" w:rsidR="00A17B12" w:rsidRPr="00C4084C" w:rsidRDefault="00A17B12" w:rsidP="00397C76">
      <w:pPr>
        <w:pStyle w:val="Source"/>
      </w:pPr>
      <w:r w:rsidRPr="00A17B12">
        <w:t>Note: SES in this figure is determined by postcode to maintain a consistent measurement.</w:t>
      </w:r>
    </w:p>
    <w:p w14:paraId="05C631EA" w14:textId="2E5F2147" w:rsidR="00E06C8E" w:rsidRPr="00C4084C" w:rsidRDefault="0086450B" w:rsidP="00F56A97">
      <w:bookmarkStart w:id="847" w:name="_Ref149905559"/>
      <w:r w:rsidRPr="00C4084C">
        <w:rPr>
          <w:rStyle w:val="ui-provider"/>
        </w:rPr>
        <w:t>A</w:t>
      </w:r>
      <w:r w:rsidR="006E6C0C" w:rsidRPr="00C4084C">
        <w:rPr>
          <w:rStyle w:val="ui-provider"/>
        </w:rPr>
        <w:t xml:space="preserve">nalysis by </w:t>
      </w:r>
      <w:r w:rsidRPr="00C4084C">
        <w:rPr>
          <w:rStyle w:val="ui-provider"/>
        </w:rPr>
        <w:t xml:space="preserve">Emeritus Professor </w:t>
      </w:r>
      <w:r w:rsidR="006E6C0C" w:rsidRPr="00C4084C">
        <w:rPr>
          <w:rStyle w:val="ui-provider"/>
        </w:rPr>
        <w:t>Bruce Chapman</w:t>
      </w:r>
      <w:r w:rsidRPr="00C4084C">
        <w:rPr>
          <w:rStyle w:val="ui-provider"/>
        </w:rPr>
        <w:t xml:space="preserve"> AO</w:t>
      </w:r>
      <w:r w:rsidR="006E6C0C" w:rsidRPr="00C4084C">
        <w:rPr>
          <w:rStyle w:val="ui-provider"/>
        </w:rPr>
        <w:t xml:space="preserve"> shows that the introduction of HECS led to a considerable expansion of the higher education system across all cohorts.</w:t>
      </w:r>
      <w:r w:rsidR="006E6C0C" w:rsidRPr="00C4084C">
        <w:rPr>
          <w:rStyle w:val="FootnoteReference"/>
        </w:rPr>
        <w:footnoteReference w:id="258"/>
      </w:r>
      <w:r w:rsidR="006E6C0C" w:rsidRPr="00C4084C">
        <w:rPr>
          <w:rStyle w:val="ui-provider"/>
        </w:rPr>
        <w:t xml:space="preserve"> </w:t>
      </w:r>
      <w:r w:rsidR="00D45C26" w:rsidRPr="00C4084C">
        <w:fldChar w:fldCharType="begin"/>
      </w:r>
      <w:r w:rsidR="00D45C26" w:rsidRPr="00C4084C">
        <w:instrText xml:space="preserve"> REF _Ref151936271 \h </w:instrText>
      </w:r>
      <w:r w:rsidR="005513E1" w:rsidRPr="00C4084C">
        <w:instrText xml:space="preserve"> \* MERGEFORMAT </w:instrText>
      </w:r>
      <w:r w:rsidR="00D45C26" w:rsidRPr="00C4084C">
        <w:fldChar w:fldCharType="separate"/>
      </w:r>
      <w:r w:rsidR="00467B4F" w:rsidRPr="00C4084C">
        <w:t xml:space="preserve">Figure </w:t>
      </w:r>
      <w:r w:rsidR="00467B4F">
        <w:t>21</w:t>
      </w:r>
      <w:r w:rsidR="00D45C26" w:rsidRPr="00C4084C">
        <w:fldChar w:fldCharType="end"/>
      </w:r>
      <w:r w:rsidR="00E06C8E" w:rsidRPr="00C4084C">
        <w:t xml:space="preserve"> shows that the introduction of HECS </w:t>
      </w:r>
      <w:r w:rsidR="00EC2F71" w:rsidRPr="00C4084C">
        <w:t>saw an increase in the</w:t>
      </w:r>
      <w:r w:rsidR="00E06C8E" w:rsidRPr="00C4084C">
        <w:t xml:space="preserve"> higher education participation </w:t>
      </w:r>
      <w:r w:rsidR="00EC2F71" w:rsidRPr="00C4084C">
        <w:t>rate of</w:t>
      </w:r>
      <w:r w:rsidR="00E06C8E" w:rsidRPr="00C4084C">
        <w:t xml:space="preserve"> 19-year-olds across all SES cohorts, especially low and medium SES cohorts which grew at a proportionately higher rate. Between 1980 and 1984 the proportion of low and medium SES 19-year-olds </w:t>
      </w:r>
      <w:r w:rsidR="00EC2F71" w:rsidRPr="00C4084C">
        <w:t>who had enrolled in university</w:t>
      </w:r>
      <w:r w:rsidR="00E06C8E" w:rsidRPr="00C4084C">
        <w:t xml:space="preserve"> declined</w:t>
      </w:r>
      <w:r w:rsidR="00FE3644">
        <w:t>. H</w:t>
      </w:r>
      <w:r w:rsidR="00E06C8E" w:rsidRPr="00C4084C">
        <w:t>owever</w:t>
      </w:r>
      <w:r w:rsidR="00FE3644">
        <w:t>,</w:t>
      </w:r>
      <w:r w:rsidR="00E06C8E" w:rsidRPr="00C4084C">
        <w:t xml:space="preserve"> it increased markedly between 1984 and 1994 with the introduction of HECS in 1989. </w:t>
      </w:r>
    </w:p>
    <w:p w14:paraId="7E2CBEC4" w14:textId="01809BD9" w:rsidR="00E06C8E" w:rsidRPr="00D26B82" w:rsidRDefault="00397C76" w:rsidP="009533A0">
      <w:pPr>
        <w:pStyle w:val="Caption"/>
        <w:rPr>
          <w:b/>
          <w:bCs/>
          <w:sz w:val="24"/>
          <w:szCs w:val="24"/>
        </w:rPr>
      </w:pPr>
      <w:bookmarkStart w:id="848" w:name="_Ref151936271"/>
      <w:bookmarkStart w:id="849" w:name="_Toc154674783"/>
      <w:r w:rsidRPr="00D26B82">
        <w:rPr>
          <w:b/>
          <w:bCs/>
          <w:sz w:val="24"/>
          <w:szCs w:val="24"/>
        </w:rPr>
        <w:t xml:space="preserve">Figure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21</w:t>
      </w:r>
      <w:r w:rsidRPr="00D26B82">
        <w:rPr>
          <w:b/>
          <w:bCs/>
          <w:sz w:val="24"/>
          <w:szCs w:val="24"/>
        </w:rPr>
        <w:fldChar w:fldCharType="end"/>
      </w:r>
      <w:bookmarkEnd w:id="847"/>
      <w:bookmarkEnd w:id="848"/>
      <w:r w:rsidR="00E06C8E" w:rsidRPr="00D26B82">
        <w:rPr>
          <w:b/>
          <w:bCs/>
          <w:sz w:val="24"/>
          <w:szCs w:val="24"/>
        </w:rPr>
        <w:t xml:space="preserve">: </w:t>
      </w:r>
      <w:r w:rsidR="00EC2F71" w:rsidRPr="00D26B82">
        <w:rPr>
          <w:b/>
          <w:bCs/>
          <w:sz w:val="24"/>
          <w:szCs w:val="24"/>
        </w:rPr>
        <w:t>Proportion of</w:t>
      </w:r>
      <w:r w:rsidR="0069208A" w:rsidRPr="00D26B82">
        <w:rPr>
          <w:b/>
          <w:bCs/>
          <w:sz w:val="24"/>
          <w:szCs w:val="24"/>
        </w:rPr>
        <w:t xml:space="preserve"> 19-year-olds</w:t>
      </w:r>
      <w:r w:rsidR="008E732E" w:rsidRPr="00D26B82">
        <w:rPr>
          <w:b/>
          <w:bCs/>
          <w:sz w:val="24"/>
          <w:szCs w:val="24"/>
        </w:rPr>
        <w:t xml:space="preserve"> </w:t>
      </w:r>
      <w:r w:rsidR="00EC2F71" w:rsidRPr="00D26B82">
        <w:rPr>
          <w:b/>
          <w:bCs/>
          <w:sz w:val="24"/>
          <w:szCs w:val="24"/>
        </w:rPr>
        <w:t>who have ever enrolled in higher education</w:t>
      </w:r>
      <w:r w:rsidR="0086450B" w:rsidRPr="00D26B82">
        <w:rPr>
          <w:b/>
          <w:bCs/>
          <w:sz w:val="24"/>
          <w:szCs w:val="24"/>
        </w:rPr>
        <w:t xml:space="preserve"> </w:t>
      </w:r>
      <w:r w:rsidR="008E732E" w:rsidRPr="00D26B82">
        <w:rPr>
          <w:b/>
          <w:bCs/>
          <w:sz w:val="24"/>
          <w:szCs w:val="24"/>
        </w:rPr>
        <w:t>by socio</w:t>
      </w:r>
      <w:r w:rsidR="00982FCB" w:rsidRPr="00D26B82">
        <w:rPr>
          <w:b/>
          <w:bCs/>
          <w:sz w:val="24"/>
          <w:szCs w:val="24"/>
        </w:rPr>
        <w:t>-</w:t>
      </w:r>
      <w:r w:rsidR="008E732E" w:rsidRPr="00D26B82">
        <w:rPr>
          <w:b/>
          <w:bCs/>
          <w:sz w:val="24"/>
          <w:szCs w:val="24"/>
        </w:rPr>
        <w:t>economic status</w:t>
      </w:r>
      <w:r w:rsidR="009533A0" w:rsidRPr="00D26B82">
        <w:rPr>
          <w:b/>
          <w:bCs/>
          <w:sz w:val="24"/>
          <w:szCs w:val="24"/>
        </w:rPr>
        <w:t xml:space="preserve"> (%)</w:t>
      </w:r>
      <w:r w:rsidR="008E732E" w:rsidRPr="00D26B82">
        <w:rPr>
          <w:b/>
          <w:bCs/>
          <w:sz w:val="24"/>
          <w:szCs w:val="24"/>
        </w:rPr>
        <w:t>, 1980 to 1994.</w:t>
      </w:r>
      <w:bookmarkEnd w:id="849"/>
      <w:r w:rsidR="00EA4733" w:rsidRPr="00D26B82" w:rsidDel="00EA4733">
        <w:rPr>
          <w:rStyle w:val="FootnoteReference"/>
          <w:b/>
          <w:bCs/>
          <w:sz w:val="24"/>
          <w:szCs w:val="24"/>
        </w:rPr>
        <w:t xml:space="preserve"> </w:t>
      </w:r>
    </w:p>
    <w:p w14:paraId="79DE66AE" w14:textId="699DE477" w:rsidR="00796DAB" w:rsidRDefault="00796DAB" w:rsidP="00397C76">
      <w:pPr>
        <w:pStyle w:val="Source"/>
      </w:pPr>
      <w:r>
        <w:rPr>
          <w:noProof/>
        </w:rPr>
        <w:drawing>
          <wp:inline distT="0" distB="0" distL="0" distR="0" wp14:anchorId="4FCC6966" wp14:editId="27799E92">
            <wp:extent cx="5788451" cy="2424223"/>
            <wp:effectExtent l="0" t="0" r="0" b="0"/>
            <wp:docPr id="1926889129" name="Graphic 21" descr="A clustered column graph showing the proportion of 19-year-olds who have ever enrolled in higher education by socio-economic status from 1980 to 1994. The High SES group has an increasing proportion from 1980 to 1994, growing from 29% to 53%. The Medium SES group falls from 19% to 17% from 1980 to 1984, then increases to 37% in 1994. The Low SES group falls from 16% to 11% between 1980 to 1984 and increases to 27% in 199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889129" name="Graphic 21" descr="A clustered column graph showing the proportion of 19-year-olds who have ever enrolled in higher education by socio-economic status from 1980 to 1994. The High SES group has an increasing proportion from 1980 to 1994, growing from 29% to 53%. The Medium SES group falls from 19% to 17% from 1980 to 1984, then increases to 37% in 1994. The Low SES group falls from 16% to 11% between 1980 to 1984 and increases to 27% in 1994. "/>
                    <pic:cNvPicPr/>
                  </pic:nvPicPr>
                  <pic:blipFill>
                    <a:blip r:embed="rId101">
                      <a:extLst>
                        <a:ext uri="{28A0092B-C50C-407E-A947-70E740481C1C}">
                          <a14:useLocalDpi xmlns:a14="http://schemas.microsoft.com/office/drawing/2010/main" val="0"/>
                        </a:ext>
                        <a:ext uri="{96DAC541-7B7A-43D3-8B79-37D633B846F1}">
                          <asvg:svgBlip xmlns:asvg="http://schemas.microsoft.com/office/drawing/2016/SVG/main" r:embed="rId102"/>
                        </a:ext>
                      </a:extLst>
                    </a:blip>
                    <a:stretch>
                      <a:fillRect/>
                    </a:stretch>
                  </pic:blipFill>
                  <pic:spPr>
                    <a:xfrm>
                      <a:off x="0" y="0"/>
                      <a:ext cx="5799979" cy="2429051"/>
                    </a:xfrm>
                    <a:prstGeom prst="rect">
                      <a:avLst/>
                    </a:prstGeom>
                  </pic:spPr>
                </pic:pic>
              </a:graphicData>
            </a:graphic>
          </wp:inline>
        </w:drawing>
      </w:r>
    </w:p>
    <w:p w14:paraId="159F5586" w14:textId="2415F82C" w:rsidR="00E06C8E" w:rsidRPr="00C4084C" w:rsidRDefault="00397C76" w:rsidP="00397C76">
      <w:pPr>
        <w:pStyle w:val="Source"/>
      </w:pPr>
      <w:r w:rsidRPr="00C4084C">
        <w:t>Source:</w:t>
      </w:r>
      <w:r w:rsidRPr="00C4084C">
        <w:rPr>
          <w:szCs w:val="20"/>
        </w:rPr>
        <w:t xml:space="preserve"> </w:t>
      </w:r>
      <w:r w:rsidRPr="00C4084C">
        <w:t>Michael Long, Peter Carpenter</w:t>
      </w:r>
      <w:r w:rsidR="00847925" w:rsidRPr="00C4084C">
        <w:t xml:space="preserve"> and</w:t>
      </w:r>
      <w:r w:rsidRPr="00C4084C">
        <w:t xml:space="preserve"> Martin Hayden</w:t>
      </w:r>
      <w:r w:rsidR="00847925" w:rsidRPr="00C4084C">
        <w:t xml:space="preserve">, </w:t>
      </w:r>
      <w:r w:rsidRPr="00C4084C">
        <w:rPr>
          <w:i/>
        </w:rPr>
        <w:t>Participation in education and training 1980</w:t>
      </w:r>
      <w:r w:rsidR="0009517B" w:rsidRPr="00C4084C">
        <w:rPr>
          <w:i/>
        </w:rPr>
        <w:t>–</w:t>
      </w:r>
      <w:r w:rsidRPr="00C4084C">
        <w:rPr>
          <w:i/>
        </w:rPr>
        <w:t>1994</w:t>
      </w:r>
      <w:r w:rsidR="000B3E71" w:rsidRPr="00C4084C">
        <w:rPr>
          <w:i/>
          <w:iCs/>
        </w:rPr>
        <w:t>,</w:t>
      </w:r>
      <w:r w:rsidRPr="00C4084C">
        <w:t xml:space="preserve"> </w:t>
      </w:r>
      <w:r w:rsidR="00847925" w:rsidRPr="00C4084C">
        <w:t>(Canberra:</w:t>
      </w:r>
      <w:r w:rsidRPr="00C4084C">
        <w:t xml:space="preserve"> Australian Council for </w:t>
      </w:r>
      <w:r w:rsidR="00847925" w:rsidRPr="00C4084C">
        <w:t>E</w:t>
      </w:r>
      <w:r w:rsidRPr="00C4084C">
        <w:t xml:space="preserve">ducational Research, </w:t>
      </w:r>
      <w:r w:rsidR="00847925" w:rsidRPr="00C4084C">
        <w:t>September 1999)</w:t>
      </w:r>
      <w:r w:rsidRPr="00C4084C">
        <w:t xml:space="preserve">, 70, </w:t>
      </w:r>
      <w:r w:rsidR="00C71A36" w:rsidRPr="00C4084C">
        <w:t xml:space="preserve">citing </w:t>
      </w:r>
      <w:r w:rsidRPr="00C4084C">
        <w:t>LSAY data</w:t>
      </w:r>
      <w:r w:rsidR="00C71A36" w:rsidRPr="00C4084C">
        <w:t>, https://research.acer.edu.au‌/lsay_research‌/21‌/‌</w:t>
      </w:r>
    </w:p>
    <w:p w14:paraId="0D971405" w14:textId="66440969" w:rsidR="00C379C0" w:rsidRPr="00C4084C" w:rsidRDefault="00C379C0" w:rsidP="00397C76">
      <w:pPr>
        <w:pStyle w:val="Source"/>
      </w:pPr>
      <w:r w:rsidRPr="00C4084C">
        <w:t>Note: This analysis is limited to the period from 1980 to 1994 due to a change in the way SES was measured in LSAY over time.</w:t>
      </w:r>
    </w:p>
    <w:p w14:paraId="2A8F5F27" w14:textId="7A411836" w:rsidR="00A32CF7" w:rsidRPr="00C4084C" w:rsidRDefault="0043056B" w:rsidP="00285443">
      <w:r>
        <w:t>Whilst</w:t>
      </w:r>
      <w:r w:rsidR="00E06C8E" w:rsidRPr="00C4084C">
        <w:t xml:space="preserve"> HELP has been a successful enabler of university access, there is a risk that </w:t>
      </w:r>
      <w:r w:rsidR="00352CB5" w:rsidRPr="00C4084C">
        <w:t>rising</w:t>
      </w:r>
      <w:r w:rsidR="00E06C8E" w:rsidRPr="00C4084C">
        <w:t xml:space="preserve"> HELP debts will create a barrier to students. Reform of the system is necessary to ensure HELP arrangements remain fair and fit for purpose and continue to meet </w:t>
      </w:r>
      <w:bookmarkStart w:id="850" w:name="_Toc151023648"/>
      <w:bookmarkStart w:id="851" w:name="_Toc151024064"/>
      <w:r w:rsidR="001F7BA2" w:rsidRPr="00C4084C">
        <w:t>student needs.</w:t>
      </w:r>
    </w:p>
    <w:tbl>
      <w:tblPr>
        <w:tblW w:w="0" w:type="auto"/>
        <w:shd w:val="clear" w:color="auto" w:fill="FBE4D5"/>
        <w:tblLook w:val="04A0" w:firstRow="1" w:lastRow="0" w:firstColumn="1" w:lastColumn="0" w:noHBand="0" w:noVBand="1"/>
      </w:tblPr>
      <w:tblGrid>
        <w:gridCol w:w="9026"/>
      </w:tblGrid>
      <w:tr w:rsidR="00A32CF7" w:rsidRPr="00C4084C" w14:paraId="5ACA8CFA" w14:textId="77777777" w:rsidTr="00D26B82">
        <w:tc>
          <w:tcPr>
            <w:tcW w:w="9026" w:type="dxa"/>
            <w:shd w:val="clear" w:color="auto" w:fill="B0C3DB"/>
          </w:tcPr>
          <w:p w14:paraId="2C5E220D" w14:textId="2E4AC5C8" w:rsidR="00861BDA" w:rsidRPr="00861BDA" w:rsidRDefault="0080264E" w:rsidP="003E5969">
            <w:pPr>
              <w:pStyle w:val="Findinginchapterheading"/>
            </w:pPr>
            <w:r w:rsidRPr="003E5969">
              <w:rPr>
                <w:rFonts w:ascii="Calibri" w:eastAsia="Yu Gothic Light" w:hAnsi="Calibri" w:cs="Calibri"/>
                <w:szCs w:val="24"/>
              </w:rPr>
              <w:lastRenderedPageBreak/>
              <w:t>Finding</w:t>
            </w:r>
            <w:r w:rsidR="00861BDA">
              <w:rPr>
                <w:szCs w:val="24"/>
              </w:rPr>
              <w:t xml:space="preserve">: </w:t>
            </w:r>
            <w:r w:rsidR="00A32CF7" w:rsidRPr="00C4084C">
              <w:rPr>
                <w:bCs/>
              </w:rPr>
              <w:t>Students</w:t>
            </w:r>
          </w:p>
          <w:p w14:paraId="59422D23" w14:textId="7599E7CA" w:rsidR="00A32CF7" w:rsidRPr="00C4084C" w:rsidRDefault="00A32CF7" w:rsidP="003E5969">
            <w:pPr>
              <w:pStyle w:val="Boxtext0"/>
              <w:spacing w:before="0"/>
            </w:pPr>
            <w:r w:rsidRPr="00C4084C">
              <w:t xml:space="preserve">The HELP system needs to be modernised to make it fairer and simpler. HELP has served Australia well by expanding access to many more students. Its core components – no upfront tuition fees and income contingent repayment – are fundamental to its fairness and effectiveness. HELP is an indispensable part of the higher education funding system, but it requires </w:t>
            </w:r>
            <w:r w:rsidRPr="00F45D5D">
              <w:t>reform</w:t>
            </w:r>
            <w:r w:rsidRPr="00C4084C">
              <w:t xml:space="preserve"> to retain its social licen</w:t>
            </w:r>
            <w:r w:rsidR="00D30B2D">
              <w:t>c</w:t>
            </w:r>
            <w:r w:rsidRPr="00C4084C">
              <w:t xml:space="preserve">e. Australians should not be deterred from higher education because of </w:t>
            </w:r>
            <w:r w:rsidR="009E78E5">
              <w:t>the</w:t>
            </w:r>
            <w:r w:rsidR="009E78E5" w:rsidRPr="00C4084C">
              <w:t xml:space="preserve"> </w:t>
            </w:r>
            <w:r w:rsidR="009E78E5" w:rsidRPr="0091047B">
              <w:t xml:space="preserve">increased burden </w:t>
            </w:r>
            <w:r w:rsidR="009E78E5" w:rsidRPr="00C4084C">
              <w:t>of student loans</w:t>
            </w:r>
            <w:r w:rsidRPr="00C4084C">
              <w:t xml:space="preserve">. </w:t>
            </w:r>
          </w:p>
        </w:tc>
      </w:tr>
    </w:tbl>
    <w:p w14:paraId="714F7588" w14:textId="3122C7A7" w:rsidR="00E06C8E" w:rsidRPr="00C4084C" w:rsidRDefault="00E06C8E" w:rsidP="007B0775">
      <w:pPr>
        <w:pStyle w:val="Heading5"/>
      </w:pPr>
      <w:r w:rsidRPr="00C4084C">
        <w:t xml:space="preserve">Ensuring HELP repayments are </w:t>
      </w:r>
      <w:proofErr w:type="gramStart"/>
      <w:r w:rsidRPr="00C4084C">
        <w:t>fair</w:t>
      </w:r>
      <w:bookmarkEnd w:id="850"/>
      <w:bookmarkEnd w:id="851"/>
      <w:proofErr w:type="gramEnd"/>
    </w:p>
    <w:p w14:paraId="105CE695" w14:textId="77777777" w:rsidR="00E06C8E" w:rsidRPr="00C4084C" w:rsidRDefault="00E06C8E" w:rsidP="00F56A97">
      <w:r w:rsidRPr="00C4084C">
        <w:t xml:space="preserve">Repayment of HELP debts is income contingent, meaning that individuals only start repaying their loans once their income has reached a minimum repayment threshold. For those who never reach this income level, there is never a requirement to repay. </w:t>
      </w:r>
    </w:p>
    <w:p w14:paraId="5706A57D" w14:textId="77777777" w:rsidR="00E06C8E" w:rsidRPr="00C4084C" w:rsidRDefault="00E06C8E" w:rsidP="00F56A97">
      <w:r w:rsidRPr="00C4084C">
        <w:t>However, changes in repayment rates and a decrease in the minimum repayment threshold means that repayment of HELP debts has become more burdensome for low-income earners over time.</w:t>
      </w:r>
    </w:p>
    <w:tbl>
      <w:tblPr>
        <w:tblW w:w="8931" w:type="dxa"/>
        <w:shd w:val="clear" w:color="auto" w:fill="D2E8FF"/>
        <w:tblLook w:val="04A0" w:firstRow="1" w:lastRow="0" w:firstColumn="1" w:lastColumn="0" w:noHBand="0" w:noVBand="1"/>
      </w:tblPr>
      <w:tblGrid>
        <w:gridCol w:w="8931"/>
      </w:tblGrid>
      <w:tr w:rsidR="00CE187C" w:rsidRPr="00C4084C" w14:paraId="01969512" w14:textId="77777777" w:rsidTr="00D26B82">
        <w:tc>
          <w:tcPr>
            <w:tcW w:w="8931" w:type="dxa"/>
            <w:shd w:val="clear" w:color="auto" w:fill="E3DAEA"/>
          </w:tcPr>
          <w:p w14:paraId="58E9AFA6" w14:textId="7A1BBA09" w:rsidR="00CE187C" w:rsidRPr="00C4084C" w:rsidRDefault="00CE187C" w:rsidP="00570A6C">
            <w:pPr>
              <w:pStyle w:val="Boxtitlessubheadings"/>
            </w:pPr>
            <w:r w:rsidRPr="00C4084C">
              <w:t xml:space="preserve">HELP repayments now occur at a lower income threshold and at higher rates than originally </w:t>
            </w:r>
            <w:proofErr w:type="gramStart"/>
            <w:r w:rsidRPr="00C4084C">
              <w:t>envisaged</w:t>
            </w:r>
            <w:proofErr w:type="gramEnd"/>
          </w:p>
          <w:p w14:paraId="518945A2" w14:textId="128C72FE" w:rsidR="00CE187C" w:rsidRPr="00F56A97" w:rsidRDefault="00CE187C" w:rsidP="00F56A97">
            <w:pPr>
              <w:pStyle w:val="Boxtext0"/>
            </w:pPr>
            <w:r w:rsidRPr="00F56A97">
              <w:t>Loans provided through the HELP system are repaid as a percentage of a graduate’s taxable income. Repayment rates vary with income, with higher earners obliged to repay at a higher rate. Currently, there are 18 thresholds, with the rate of repayment ranging from 1% to 10% – many more than the initial 3 thresholds of 1%, 2%, and 3%</w:t>
            </w:r>
            <w:r w:rsidR="00CB5AD3" w:rsidRPr="00F56A97">
              <w:t xml:space="preserve"> in the first year of the scheme (income year 1988</w:t>
            </w:r>
            <w:r w:rsidR="009533A0" w:rsidRPr="00C4084C">
              <w:rPr>
                <w:rFonts w:ascii="Symbol" w:eastAsia="Symbol" w:hAnsi="Symbol" w:cs="Symbol"/>
              </w:rPr>
              <w:t>-</w:t>
            </w:r>
            <w:r w:rsidR="00CB5AD3" w:rsidRPr="00F56A97">
              <w:t>89)</w:t>
            </w:r>
            <w:r w:rsidRPr="00F56A97">
              <w:t>.</w:t>
            </w:r>
          </w:p>
          <w:p w14:paraId="7C77236A" w14:textId="08DBC48E" w:rsidR="00EE26E5" w:rsidRPr="00F56A97" w:rsidRDefault="00CE187C" w:rsidP="00F56A97">
            <w:pPr>
              <w:pStyle w:val="Boxtext0"/>
            </w:pPr>
            <w:r w:rsidRPr="00F56A97">
              <w:t>The minimum repayment threshold above which those with HELP loans are required to make repayments is currently around 50% of the average income level – the result of steady decreases in the minimum repayment threshold over time. It was originally envisaged that those with HELP loans would only be required to repay once they reached around an average income level.</w:t>
            </w:r>
          </w:p>
        </w:tc>
      </w:tr>
    </w:tbl>
    <w:p w14:paraId="58F82977" w14:textId="721021DF" w:rsidR="00E06C8E" w:rsidRPr="00C4084C" w:rsidRDefault="00E06C8E" w:rsidP="00F56A97">
      <w:r w:rsidRPr="00C4084C">
        <w:t>As HELP repayments are levied based on a debtor’s entire income, rather than just income above the repayment threshold, repayment obligations can increase substantially as incomes rise above each repayment threshold, and by more than the total increase in income. The effect is particularly pronounced at the lowest HELP repayment thresholds and can create a disincentive to earn additional income, particularly for those who already face high barriers to entering the workforce, such as sole parents and those on income support payments.</w:t>
      </w:r>
      <w:r w:rsidRPr="00C4084C" w:rsidDel="004A45CC">
        <w:t xml:space="preserve"> </w:t>
      </w:r>
    </w:p>
    <w:p w14:paraId="435BB1BE" w14:textId="312437B7" w:rsidR="00E06C8E" w:rsidRPr="00C4084C" w:rsidRDefault="00E06C8E" w:rsidP="00F56A97">
      <w:r w:rsidRPr="00C4084C">
        <w:t xml:space="preserve">The system also creates incentives for debtors to reduce their incomes to avoid repayment, potentially by reducing hours worked or by claiming additional tax deductions against their assessable income. </w:t>
      </w:r>
      <w:r w:rsidR="00D45C26" w:rsidRPr="00C4084C">
        <w:fldChar w:fldCharType="begin"/>
      </w:r>
      <w:r w:rsidR="00D45C26" w:rsidRPr="00C4084C">
        <w:instrText xml:space="preserve"> REF _Ref151936289 \h </w:instrText>
      </w:r>
      <w:r w:rsidR="008037CA" w:rsidRPr="00C4084C">
        <w:instrText xml:space="preserve"> \* MERGEFORMAT </w:instrText>
      </w:r>
      <w:r w:rsidR="00D45C26" w:rsidRPr="00C4084C">
        <w:fldChar w:fldCharType="separate"/>
      </w:r>
      <w:r w:rsidR="00467B4F" w:rsidRPr="00C4084C">
        <w:t xml:space="preserve">Figure </w:t>
      </w:r>
      <w:r w:rsidR="00467B4F">
        <w:rPr>
          <w:noProof/>
        </w:rPr>
        <w:t>22</w:t>
      </w:r>
      <w:r w:rsidR="00D45C26" w:rsidRPr="00C4084C">
        <w:fldChar w:fldCharType="end"/>
      </w:r>
      <w:r w:rsidRPr="00C4084C">
        <w:t xml:space="preserve"> shows evidence of clustering of incomes just below the first HELP repayment threshold ($45,881 in 2019</w:t>
      </w:r>
      <w:r w:rsidR="00F552B2" w:rsidRPr="00C4084C">
        <w:rPr>
          <w:rFonts w:ascii="Symbol" w:eastAsia="Symbol" w:hAnsi="Symbol" w:cs="Symbol"/>
        </w:rPr>
        <w:t>-</w:t>
      </w:r>
      <w:r w:rsidRPr="00C4084C">
        <w:t xml:space="preserve">20). </w:t>
      </w:r>
      <w:r w:rsidR="003952C3" w:rsidRPr="00C4084C">
        <w:t xml:space="preserve">This ‘income bunching’ </w:t>
      </w:r>
      <w:proofErr w:type="gramStart"/>
      <w:r w:rsidR="003952C3" w:rsidRPr="00C4084C">
        <w:t>is considered to be</w:t>
      </w:r>
      <w:proofErr w:type="gramEnd"/>
      <w:r w:rsidR="003952C3" w:rsidRPr="00C4084C">
        <w:t xml:space="preserve"> statistically significant.</w:t>
      </w:r>
      <w:r w:rsidR="003952C3" w:rsidRPr="00C4084C">
        <w:rPr>
          <w:rStyle w:val="FootnoteReference"/>
        </w:rPr>
        <w:footnoteReference w:id="259"/>
      </w:r>
      <w:r w:rsidR="003952C3" w:rsidRPr="00C4084C">
        <w:t xml:space="preserve"> </w:t>
      </w:r>
      <w:r w:rsidRPr="00C4084C">
        <w:t xml:space="preserve">This suggests that debtors are aware of the repayment obligation above this income level and seek to avoid </w:t>
      </w:r>
      <w:r w:rsidR="00977467" w:rsidRPr="00C4084C">
        <w:t xml:space="preserve">or delay </w:t>
      </w:r>
      <w:r w:rsidRPr="00C4084C">
        <w:t xml:space="preserve">exceeding it. This is particularly pronounced for </w:t>
      </w:r>
      <w:r w:rsidR="005D4A5E" w:rsidRPr="00C4084C">
        <w:t xml:space="preserve">women with HELP </w:t>
      </w:r>
      <w:r w:rsidR="005D4A5E" w:rsidRPr="00C4084C">
        <w:lastRenderedPageBreak/>
        <w:t>debts</w:t>
      </w:r>
      <w:r w:rsidRPr="00C4084C">
        <w:t>, who are more likely to be on lower repayment incomes (especially due to part</w:t>
      </w:r>
      <w:r w:rsidR="00176F92" w:rsidRPr="00C4084C">
        <w:t>-time</w:t>
      </w:r>
      <w:r w:rsidRPr="00C4084C">
        <w:t xml:space="preserve"> work) and </w:t>
      </w:r>
      <w:r w:rsidR="00977467" w:rsidRPr="00C4084C">
        <w:t xml:space="preserve">who </w:t>
      </w:r>
      <w:r w:rsidR="00D96BEB" w:rsidRPr="00C4084C">
        <w:t>typically</w:t>
      </w:r>
      <w:r w:rsidR="00410535" w:rsidRPr="00C4084C">
        <w:t xml:space="preserve"> </w:t>
      </w:r>
      <w:r w:rsidRPr="00C4084C">
        <w:t xml:space="preserve">face </w:t>
      </w:r>
      <w:r w:rsidR="00E62345" w:rsidRPr="00C4084C">
        <w:t>more</w:t>
      </w:r>
      <w:r w:rsidRPr="00C4084C">
        <w:t xml:space="preserve"> barriers to working additional hours</w:t>
      </w:r>
      <w:r w:rsidR="00C06D87">
        <w:t xml:space="preserve"> such as child caring responsibilities and access to childcare</w:t>
      </w:r>
      <w:r w:rsidR="00C06D87" w:rsidRPr="00951E73">
        <w:t>.</w:t>
      </w:r>
      <w:r w:rsidR="00C06D87">
        <w:rPr>
          <w:rStyle w:val="FootnoteReference"/>
        </w:rPr>
        <w:footnoteReference w:id="260"/>
      </w:r>
      <w:r w:rsidR="00C06D87" w:rsidRPr="00951E73">
        <w:t xml:space="preserve"> </w:t>
      </w:r>
      <w:r w:rsidRPr="00C4084C">
        <w:t xml:space="preserve"> </w:t>
      </w:r>
    </w:p>
    <w:p w14:paraId="2FBE9500" w14:textId="2A64333C" w:rsidR="00E06C8E" w:rsidRPr="00D26B82" w:rsidRDefault="00E06C8E" w:rsidP="005E5C5F">
      <w:pPr>
        <w:pStyle w:val="Caption"/>
        <w:rPr>
          <w:b/>
          <w:bCs/>
          <w:sz w:val="24"/>
          <w:szCs w:val="24"/>
        </w:rPr>
      </w:pPr>
      <w:bookmarkStart w:id="852" w:name="_Ref151936289"/>
      <w:bookmarkStart w:id="853" w:name="_Toc154674784"/>
      <w:r w:rsidRPr="00D26B82">
        <w:rPr>
          <w:b/>
          <w:bCs/>
          <w:sz w:val="24"/>
          <w:szCs w:val="24"/>
        </w:rPr>
        <w:t>Figure</w:t>
      </w:r>
      <w:r w:rsidR="00DC6F33" w:rsidRPr="00D26B82">
        <w:rPr>
          <w:b/>
          <w:bCs/>
          <w:sz w:val="24"/>
          <w:szCs w:val="24"/>
        </w:rPr>
        <w:t xml:space="preserv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22</w:t>
      </w:r>
      <w:r w:rsidRPr="00D26B82">
        <w:rPr>
          <w:b/>
          <w:bCs/>
          <w:sz w:val="24"/>
          <w:szCs w:val="24"/>
        </w:rPr>
        <w:fldChar w:fldCharType="end"/>
      </w:r>
      <w:bookmarkEnd w:id="852"/>
      <w:r w:rsidR="00DC6F33" w:rsidRPr="00D26B82">
        <w:rPr>
          <w:b/>
          <w:bCs/>
          <w:sz w:val="24"/>
          <w:szCs w:val="24"/>
        </w:rPr>
        <w:t>:</w:t>
      </w:r>
      <w:r w:rsidRPr="00D26B82">
        <w:rPr>
          <w:b/>
          <w:bCs/>
          <w:sz w:val="24"/>
          <w:szCs w:val="24"/>
        </w:rPr>
        <w:t xml:space="preserve"> Frequency of repayment incomes for HELP debtors</w:t>
      </w:r>
      <w:r w:rsidR="00BA0C59" w:rsidRPr="00D26B82">
        <w:rPr>
          <w:b/>
          <w:bCs/>
          <w:sz w:val="24"/>
          <w:szCs w:val="24"/>
        </w:rPr>
        <w:t xml:space="preserve"> ($)</w:t>
      </w:r>
      <w:r w:rsidR="00964E1E" w:rsidRPr="00D26B82">
        <w:rPr>
          <w:b/>
          <w:bCs/>
          <w:sz w:val="24"/>
          <w:szCs w:val="24"/>
        </w:rPr>
        <w:t xml:space="preserve"> </w:t>
      </w:r>
      <w:r w:rsidR="005E73BE" w:rsidRPr="00D26B82">
        <w:rPr>
          <w:b/>
          <w:bCs/>
          <w:sz w:val="24"/>
          <w:szCs w:val="24"/>
        </w:rPr>
        <w:t>by number</w:t>
      </w:r>
      <w:r w:rsidR="00BA0C59" w:rsidRPr="00D26B82">
        <w:rPr>
          <w:b/>
          <w:bCs/>
          <w:sz w:val="24"/>
          <w:szCs w:val="24"/>
        </w:rPr>
        <w:t xml:space="preserve"> of debtors,</w:t>
      </w:r>
      <w:r w:rsidR="00964E1E" w:rsidRPr="00D26B82">
        <w:rPr>
          <w:b/>
          <w:bCs/>
          <w:sz w:val="24"/>
          <w:szCs w:val="24"/>
        </w:rPr>
        <w:t xml:space="preserve"> financial year 2019</w:t>
      </w:r>
      <w:r w:rsidR="001F48D9" w:rsidRPr="00D26B82">
        <w:rPr>
          <w:rFonts w:ascii="Symbol" w:eastAsia="Symbol" w:hAnsi="Symbol" w:cs="Symbol"/>
          <w:b/>
          <w:bCs/>
          <w:sz w:val="24"/>
          <w:szCs w:val="24"/>
        </w:rPr>
        <w:t>-</w:t>
      </w:r>
      <w:r w:rsidR="00964E1E" w:rsidRPr="00D26B82">
        <w:rPr>
          <w:b/>
          <w:bCs/>
          <w:sz w:val="24"/>
          <w:szCs w:val="24"/>
        </w:rPr>
        <w:t>20</w:t>
      </w:r>
      <w:r w:rsidR="00DC6F33" w:rsidRPr="00D26B82">
        <w:rPr>
          <w:b/>
          <w:bCs/>
          <w:sz w:val="24"/>
          <w:szCs w:val="24"/>
        </w:rPr>
        <w:t>.</w:t>
      </w:r>
      <w:bookmarkEnd w:id="853"/>
    </w:p>
    <w:p w14:paraId="1348B013" w14:textId="740C3A1D" w:rsidR="00796DAB" w:rsidRPr="00C4084C" w:rsidRDefault="00796DAB" w:rsidP="00DC6F33">
      <w:pPr>
        <w:pStyle w:val="Source"/>
      </w:pPr>
      <w:r>
        <w:rPr>
          <w:noProof/>
        </w:rPr>
        <w:drawing>
          <wp:inline distT="0" distB="0" distL="0" distR="0" wp14:anchorId="2A24E123" wp14:editId="54ECA4B0">
            <wp:extent cx="5728509" cy="2509283"/>
            <wp:effectExtent l="0" t="0" r="5715" b="0"/>
            <wp:docPr id="58200084" name="Graphic 22" descr="A line graph showing the frequency of repayment incomes for HELP debtors by number of debtors in the financial year 2019-20 for males and females. The lines have a sharp spike just before the 1% threshold, a sharp drop after the 2% threshold and another drop at the 2.5% threshol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00084" name="Graphic 22" descr="A line graph showing the frequency of repayment incomes for HELP debtors by number of debtors in the financial year 2019-20 for males and females. The lines have a sharp spike just before the 1% threshold, a sharp drop after the 2% threshold and another drop at the 2.5% threshold. "/>
                    <pic:cNvPicPr/>
                  </pic:nvPicPr>
                  <pic:blipFill>
                    <a:blip r:embed="rId103">
                      <a:extLst>
                        <a:ext uri="{28A0092B-C50C-407E-A947-70E740481C1C}">
                          <a14:useLocalDpi xmlns:a14="http://schemas.microsoft.com/office/drawing/2010/main" val="0"/>
                        </a:ext>
                        <a:ext uri="{96DAC541-7B7A-43D3-8B79-37D633B846F1}">
                          <asvg:svgBlip xmlns:asvg="http://schemas.microsoft.com/office/drawing/2016/SVG/main" r:embed="rId104"/>
                        </a:ext>
                      </a:extLst>
                    </a:blip>
                    <a:stretch>
                      <a:fillRect/>
                    </a:stretch>
                  </pic:blipFill>
                  <pic:spPr>
                    <a:xfrm>
                      <a:off x="0" y="0"/>
                      <a:ext cx="5745186" cy="2516588"/>
                    </a:xfrm>
                    <a:prstGeom prst="rect">
                      <a:avLst/>
                    </a:prstGeom>
                  </pic:spPr>
                </pic:pic>
              </a:graphicData>
            </a:graphic>
          </wp:inline>
        </w:drawing>
      </w:r>
    </w:p>
    <w:p w14:paraId="2F874040" w14:textId="69934978" w:rsidR="00E06C8E" w:rsidRPr="00C4084C" w:rsidRDefault="00E06C8E" w:rsidP="00DC6F33">
      <w:pPr>
        <w:pStyle w:val="Source"/>
      </w:pPr>
      <w:r w:rsidRPr="00C4084C">
        <w:t>Source: Department of Education</w:t>
      </w:r>
      <w:r w:rsidR="005E5C0F" w:rsidRPr="00C4084C">
        <w:t xml:space="preserve">, </w:t>
      </w:r>
      <w:r w:rsidR="005E5C0F" w:rsidRPr="00C4084C">
        <w:rPr>
          <w:i/>
          <w:iCs/>
        </w:rPr>
        <w:t>Internal Administrative data,</w:t>
      </w:r>
      <w:r w:rsidR="005E5C0F" w:rsidRPr="00C4084C">
        <w:t xml:space="preserve"> [unpublished data], (Canberra: 2023).</w:t>
      </w:r>
    </w:p>
    <w:tbl>
      <w:tblPr>
        <w:tblW w:w="0" w:type="auto"/>
        <w:shd w:val="clear" w:color="auto" w:fill="D2E8FF"/>
        <w:tblLook w:val="04A0" w:firstRow="1" w:lastRow="0" w:firstColumn="1" w:lastColumn="0" w:noHBand="0" w:noVBand="1"/>
      </w:tblPr>
      <w:tblGrid>
        <w:gridCol w:w="9026"/>
      </w:tblGrid>
      <w:tr w:rsidR="000040FA" w:rsidRPr="00C4084C" w14:paraId="3E1FFF95" w14:textId="77777777" w:rsidTr="00D26B82">
        <w:tc>
          <w:tcPr>
            <w:tcW w:w="9582" w:type="dxa"/>
            <w:shd w:val="clear" w:color="auto" w:fill="E3DAEA"/>
          </w:tcPr>
          <w:p w14:paraId="31CD8088" w14:textId="77777777" w:rsidR="008037CA" w:rsidRPr="00C4084C" w:rsidRDefault="000040FA" w:rsidP="006C0B7E">
            <w:pPr>
              <w:pStyle w:val="Boxtitlessubheadings"/>
              <w:keepNext w:val="0"/>
              <w:keepLines w:val="0"/>
              <w:widowControl w:val="0"/>
            </w:pPr>
            <w:r w:rsidRPr="00C4084C">
              <w:t xml:space="preserve">High effective marginal tax rates associated with HELP </w:t>
            </w:r>
            <w:proofErr w:type="gramStart"/>
            <w:r w:rsidRPr="00C4084C">
              <w:t>repayment</w:t>
            </w:r>
            <w:proofErr w:type="gramEnd"/>
          </w:p>
          <w:p w14:paraId="5B02C2CB" w14:textId="090E0A1E" w:rsidR="000040FA" w:rsidRPr="00C4084C" w:rsidRDefault="000040FA" w:rsidP="00F56A97">
            <w:pPr>
              <w:pStyle w:val="Boxtext0"/>
              <w:keepNext w:val="0"/>
              <w:keepLines w:val="0"/>
              <w:widowControl w:val="0"/>
            </w:pPr>
            <w:r w:rsidRPr="00C4084C">
              <w:t xml:space="preserve">While HELP repayments are not </w:t>
            </w:r>
            <w:r w:rsidR="000913CF" w:rsidRPr="00C4084C">
              <w:t xml:space="preserve">considered </w:t>
            </w:r>
            <w:r w:rsidRPr="00C4084C">
              <w:t xml:space="preserve">taxation, </w:t>
            </w:r>
            <w:r w:rsidR="000913CF" w:rsidRPr="00C4084C">
              <w:t>they have a real impact on the take-home income of those making repayments. F</w:t>
            </w:r>
            <w:r w:rsidRPr="00C4084C">
              <w:t xml:space="preserve">rom the perspective of the borrower, the reduction in income </w:t>
            </w:r>
            <w:r w:rsidR="000913CF" w:rsidRPr="00C4084C">
              <w:t xml:space="preserve">resulting from </w:t>
            </w:r>
            <w:r w:rsidRPr="00C4084C">
              <w:t>HELP repayment</w:t>
            </w:r>
            <w:r w:rsidR="000913CF" w:rsidRPr="00C4084C">
              <w:t>s</w:t>
            </w:r>
            <w:r w:rsidR="00D63ACB" w:rsidRPr="00C4084C">
              <w:t xml:space="preserve"> is particularly pronounced at HELP repayment thresholds – and while this does not increase their tax rate, it does increase</w:t>
            </w:r>
            <w:r w:rsidRPr="00C4084C">
              <w:t xml:space="preserve"> their ‘effective marginal tax rate’ (EMTR).</w:t>
            </w:r>
          </w:p>
          <w:p w14:paraId="13F7C881" w14:textId="557A3F38" w:rsidR="000040FA" w:rsidRPr="00C4084C" w:rsidRDefault="00077B4D" w:rsidP="00F56A97">
            <w:pPr>
              <w:pStyle w:val="Boxtext0"/>
              <w:keepNext w:val="0"/>
              <w:keepLines w:val="0"/>
              <w:widowControl w:val="0"/>
            </w:pPr>
            <w:r w:rsidRPr="00C4084C">
              <w:t xml:space="preserve">As shown in </w:t>
            </w:r>
            <w:r w:rsidRPr="00C4084C">
              <w:fldChar w:fldCharType="begin"/>
            </w:r>
            <w:r w:rsidRPr="00C4084C">
              <w:instrText xml:space="preserve"> REF _Ref151936310 \h </w:instrText>
            </w:r>
            <w:r w:rsidRPr="00C4084C">
              <w:fldChar w:fldCharType="separate"/>
            </w:r>
            <w:r w:rsidR="00467B4F" w:rsidRPr="00C4084C">
              <w:t xml:space="preserve">Figure </w:t>
            </w:r>
            <w:r w:rsidR="00467B4F">
              <w:rPr>
                <w:noProof/>
              </w:rPr>
              <w:t>23</w:t>
            </w:r>
            <w:r w:rsidRPr="00C4084C">
              <w:fldChar w:fldCharType="end"/>
            </w:r>
            <w:r w:rsidR="00D63ACB" w:rsidRPr="00C4084C">
              <w:t>, under current arrangements, a</w:t>
            </w:r>
            <w:r w:rsidR="000040FA" w:rsidRPr="00C4084C">
              <w:t xml:space="preserve"> debtor earning $48,360 would have had no requirement to make a </w:t>
            </w:r>
            <w:r w:rsidR="00D63ACB" w:rsidRPr="00C4084C">
              <w:t xml:space="preserve">HELP </w:t>
            </w:r>
            <w:r w:rsidR="000040FA" w:rsidRPr="00C4084C">
              <w:t xml:space="preserve">repayment, whereas a debtor earning $48,361 would </w:t>
            </w:r>
            <w:r w:rsidR="00D63ACB" w:rsidRPr="00C4084C">
              <w:t xml:space="preserve">exceed the first HELP repayment threshold and would therefore </w:t>
            </w:r>
            <w:r w:rsidR="000040FA" w:rsidRPr="00C4084C">
              <w:t>have a repayment obligation of $483.61 – an effective tax of $483.61 on that</w:t>
            </w:r>
            <w:r w:rsidR="00D63ACB" w:rsidRPr="00C4084C">
              <w:t xml:space="preserve"> one</w:t>
            </w:r>
            <w:r w:rsidR="007C2ACA" w:rsidRPr="00C4084C">
              <w:t xml:space="preserve"> </w:t>
            </w:r>
            <w:r w:rsidR="000040FA" w:rsidRPr="00C4084C">
              <w:t xml:space="preserve">additional dollar. A debtor would see no increase in their after-repayment income until they earned </w:t>
            </w:r>
            <w:r w:rsidR="00D63ACB" w:rsidRPr="00C4084C">
              <w:t xml:space="preserve">an additional $490 (to a total of </w:t>
            </w:r>
            <w:r w:rsidR="000040FA" w:rsidRPr="00C4084C">
              <w:t>$48,850</w:t>
            </w:r>
            <w:r w:rsidR="00D63ACB" w:rsidRPr="00C4084C">
              <w:t>)</w:t>
            </w:r>
            <w:r w:rsidR="000040FA" w:rsidRPr="00C4084C">
              <w:t xml:space="preserve">. </w:t>
            </w:r>
          </w:p>
          <w:p w14:paraId="0D70F0A4" w14:textId="7B7B8725" w:rsidR="000040FA" w:rsidRPr="00A17A02" w:rsidRDefault="000040FA" w:rsidP="00EF732B">
            <w:pPr>
              <w:pStyle w:val="Caption"/>
              <w:keepLines w:val="0"/>
              <w:ind w:left="108" w:right="108"/>
              <w:rPr>
                <w:b/>
                <w:bCs/>
                <w:color w:val="595959" w:themeColor="text1" w:themeTint="A6"/>
                <w:sz w:val="24"/>
                <w:szCs w:val="24"/>
              </w:rPr>
            </w:pPr>
            <w:bookmarkStart w:id="854" w:name="_Ref151936310"/>
            <w:bookmarkStart w:id="855" w:name="_Toc154674785"/>
            <w:r w:rsidRPr="00A17A02">
              <w:rPr>
                <w:b/>
                <w:bCs/>
                <w:color w:val="595959" w:themeColor="text1" w:themeTint="A6"/>
                <w:sz w:val="24"/>
                <w:szCs w:val="24"/>
              </w:rPr>
              <w:lastRenderedPageBreak/>
              <w:t xml:space="preserve">Figure </w:t>
            </w:r>
            <w:r w:rsidRPr="00A17A02">
              <w:rPr>
                <w:b/>
                <w:bCs/>
                <w:color w:val="595959" w:themeColor="text1" w:themeTint="A6"/>
                <w:sz w:val="24"/>
                <w:szCs w:val="24"/>
              </w:rPr>
              <w:fldChar w:fldCharType="begin"/>
            </w:r>
            <w:r w:rsidRPr="00A17A02">
              <w:rPr>
                <w:b/>
                <w:bCs/>
                <w:color w:val="595959" w:themeColor="text1" w:themeTint="A6"/>
                <w:sz w:val="24"/>
                <w:szCs w:val="24"/>
              </w:rPr>
              <w:instrText>SEQ Figure \* ARABIC</w:instrText>
            </w:r>
            <w:r w:rsidRPr="00A17A02">
              <w:rPr>
                <w:b/>
                <w:bCs/>
                <w:color w:val="595959" w:themeColor="text1" w:themeTint="A6"/>
                <w:sz w:val="24"/>
                <w:szCs w:val="24"/>
              </w:rPr>
              <w:fldChar w:fldCharType="separate"/>
            </w:r>
            <w:r w:rsidR="00467B4F" w:rsidRPr="00A17A02">
              <w:rPr>
                <w:b/>
                <w:bCs/>
                <w:noProof/>
                <w:color w:val="595959" w:themeColor="text1" w:themeTint="A6"/>
                <w:sz w:val="24"/>
                <w:szCs w:val="24"/>
              </w:rPr>
              <w:t>23</w:t>
            </w:r>
            <w:r w:rsidRPr="00A17A02">
              <w:rPr>
                <w:b/>
                <w:bCs/>
                <w:color w:val="595959" w:themeColor="text1" w:themeTint="A6"/>
                <w:sz w:val="24"/>
                <w:szCs w:val="24"/>
              </w:rPr>
              <w:fldChar w:fldCharType="end"/>
            </w:r>
            <w:bookmarkEnd w:id="854"/>
            <w:r w:rsidRPr="00A17A02">
              <w:rPr>
                <w:b/>
                <w:bCs/>
                <w:color w:val="595959" w:themeColor="text1" w:themeTint="A6"/>
                <w:sz w:val="24"/>
                <w:szCs w:val="24"/>
              </w:rPr>
              <w:t xml:space="preserve">: </w:t>
            </w:r>
            <w:r w:rsidR="000354C7" w:rsidRPr="00A17A02">
              <w:rPr>
                <w:b/>
                <w:bCs/>
                <w:color w:val="595959" w:themeColor="text1" w:themeTint="A6"/>
                <w:sz w:val="24"/>
                <w:szCs w:val="24"/>
              </w:rPr>
              <w:t>Impact of</w:t>
            </w:r>
            <w:r w:rsidRPr="00A17A02">
              <w:rPr>
                <w:b/>
                <w:bCs/>
                <w:color w:val="595959" w:themeColor="text1" w:themeTint="A6"/>
                <w:sz w:val="24"/>
                <w:szCs w:val="24"/>
              </w:rPr>
              <w:t xml:space="preserve"> HELP repayment </w:t>
            </w:r>
            <w:r w:rsidR="000354C7" w:rsidRPr="00A17A02">
              <w:rPr>
                <w:b/>
                <w:bCs/>
                <w:color w:val="595959" w:themeColor="text1" w:themeTint="A6"/>
                <w:sz w:val="24"/>
                <w:szCs w:val="24"/>
              </w:rPr>
              <w:t xml:space="preserve">on effective income (before tax) </w:t>
            </w:r>
            <w:r w:rsidRPr="00A17A02">
              <w:rPr>
                <w:b/>
                <w:bCs/>
                <w:color w:val="595959" w:themeColor="text1" w:themeTint="A6"/>
                <w:sz w:val="24"/>
                <w:szCs w:val="24"/>
              </w:rPr>
              <w:t>from $48,000 to $49,000</w:t>
            </w:r>
            <w:r w:rsidR="000354C7" w:rsidRPr="00A17A02">
              <w:rPr>
                <w:b/>
                <w:bCs/>
                <w:color w:val="595959" w:themeColor="text1" w:themeTint="A6"/>
                <w:sz w:val="24"/>
                <w:szCs w:val="24"/>
              </w:rPr>
              <w:t>,</w:t>
            </w:r>
            <w:r w:rsidRPr="00A17A02">
              <w:rPr>
                <w:b/>
                <w:bCs/>
                <w:color w:val="595959" w:themeColor="text1" w:themeTint="A6"/>
                <w:sz w:val="24"/>
                <w:szCs w:val="24"/>
              </w:rPr>
              <w:t xml:space="preserve"> 2022–23 repayment rates.</w:t>
            </w:r>
            <w:bookmarkEnd w:id="855"/>
          </w:p>
          <w:p w14:paraId="40CC71A9" w14:textId="6D732C18" w:rsidR="000040FA" w:rsidRPr="00C4084C" w:rsidRDefault="00796DAB" w:rsidP="00D26B82">
            <w:pPr>
              <w:framePr w:wrap="around" w:vAnchor="text" w:hAnchor="text" w:y="1"/>
              <w:spacing w:after="60"/>
              <w:ind w:left="108" w:right="108"/>
              <w:outlineLvl w:val="4"/>
              <w:rPr>
                <w:rFonts w:ascii="Calibri" w:eastAsia="Yu Gothic Light" w:hAnsi="Calibri" w:cs="Calibri"/>
                <w:bCs/>
              </w:rPr>
            </w:pPr>
            <w:r>
              <w:rPr>
                <w:noProof/>
              </w:rPr>
              <w:drawing>
                <wp:inline distT="0" distB="0" distL="0" distR="0" wp14:anchorId="5283E8A8" wp14:editId="51A5A97E">
                  <wp:extent cx="5509184" cy="2307265"/>
                  <wp:effectExtent l="0" t="0" r="0" b="0"/>
                  <wp:docPr id="1842944222" name="Graphic 23" descr="A line graph showing the impact of HELP repayment on effective income (before tax) from $48,000 to $49,000 using 2022-23 repayment rates. The amount of effective income after HELP repayment drops significantly between $48,200 and $48,4000 of Income before HELP repay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944222" name="Graphic 23" descr="A line graph showing the impact of HELP repayment on effective income (before tax) from $48,000 to $49,000 using 2022-23 repayment rates. The amount of effective income after HELP repayment drops significantly between $48,200 and $48,4000 of Income before HELP repayment. "/>
                          <pic:cNvPicPr/>
                        </pic:nvPicPr>
                        <pic:blipFill>
                          <a:blip r:embed="rId105">
                            <a:extLst>
                              <a:ext uri="{28A0092B-C50C-407E-A947-70E740481C1C}">
                                <a14:useLocalDpi xmlns:a14="http://schemas.microsoft.com/office/drawing/2010/main" val="0"/>
                              </a:ext>
                              <a:ext uri="{96DAC541-7B7A-43D3-8B79-37D633B846F1}">
                                <asvg:svgBlip xmlns:asvg="http://schemas.microsoft.com/office/drawing/2016/SVG/main" r:embed="rId106"/>
                              </a:ext>
                            </a:extLst>
                          </a:blip>
                          <a:stretch>
                            <a:fillRect/>
                          </a:stretch>
                        </pic:blipFill>
                        <pic:spPr>
                          <a:xfrm>
                            <a:off x="0" y="0"/>
                            <a:ext cx="5520878" cy="2312163"/>
                          </a:xfrm>
                          <a:prstGeom prst="rect">
                            <a:avLst/>
                          </a:prstGeom>
                        </pic:spPr>
                      </pic:pic>
                    </a:graphicData>
                  </a:graphic>
                </wp:inline>
              </w:drawing>
            </w:r>
          </w:p>
          <w:p w14:paraId="69226836" w14:textId="7207CC22" w:rsidR="00EE26E5" w:rsidRPr="00C4084C" w:rsidRDefault="000040FA" w:rsidP="00570A6C">
            <w:pPr>
              <w:pStyle w:val="Source"/>
              <w:ind w:left="108" w:right="108"/>
            </w:pPr>
            <w:r w:rsidRPr="00A17A02">
              <w:rPr>
                <w:color w:val="595959" w:themeColor="text1" w:themeTint="A6"/>
              </w:rPr>
              <w:t xml:space="preserve">Source: Australian Taxation Office, </w:t>
            </w:r>
            <w:r w:rsidRPr="00A17A02">
              <w:rPr>
                <w:i/>
                <w:iCs/>
                <w:color w:val="595959" w:themeColor="text1" w:themeTint="A6"/>
              </w:rPr>
              <w:t>Study and training loan repayment thresholds and rates</w:t>
            </w:r>
            <w:r w:rsidR="005E5C0F" w:rsidRPr="00A17A02">
              <w:rPr>
                <w:i/>
                <w:iCs/>
                <w:color w:val="595959" w:themeColor="text1" w:themeTint="A6"/>
              </w:rPr>
              <w:t xml:space="preserve"> </w:t>
            </w:r>
            <w:r w:rsidR="005E5C0F" w:rsidRPr="00A17A02">
              <w:rPr>
                <w:color w:val="595959" w:themeColor="text1" w:themeTint="A6"/>
              </w:rPr>
              <w:t>[data set]</w:t>
            </w:r>
            <w:r w:rsidRPr="00A17A02">
              <w:rPr>
                <w:i/>
                <w:iCs/>
                <w:color w:val="595959" w:themeColor="text1" w:themeTint="A6"/>
              </w:rPr>
              <w:t>,</w:t>
            </w:r>
            <w:r w:rsidRPr="00A17A02">
              <w:rPr>
                <w:color w:val="595959" w:themeColor="text1" w:themeTint="A6"/>
              </w:rPr>
              <w:t xml:space="preserve"> </w:t>
            </w:r>
            <w:r w:rsidR="005E5C0F" w:rsidRPr="00A17A02">
              <w:rPr>
                <w:color w:val="595959" w:themeColor="text1" w:themeTint="A6"/>
              </w:rPr>
              <w:t>(Canberra:</w:t>
            </w:r>
            <w:r w:rsidRPr="00A17A02">
              <w:rPr>
                <w:color w:val="595959" w:themeColor="text1" w:themeTint="A6"/>
              </w:rPr>
              <w:t xml:space="preserve"> 16 June 2023</w:t>
            </w:r>
            <w:r w:rsidR="005E5C0F" w:rsidRPr="00A17A02">
              <w:rPr>
                <w:color w:val="595959" w:themeColor="text1" w:themeTint="A6"/>
              </w:rPr>
              <w:t>)</w:t>
            </w:r>
            <w:r w:rsidRPr="00A17A02">
              <w:rPr>
                <w:color w:val="595959" w:themeColor="text1" w:themeTint="A6"/>
              </w:rPr>
              <w:t>,</w:t>
            </w:r>
            <w:r w:rsidR="005E5C0F" w:rsidRPr="00A17A02">
              <w:rPr>
                <w:color w:val="595959" w:themeColor="text1" w:themeTint="A6"/>
              </w:rPr>
              <w:t xml:space="preserve"> accessed 25 October 2023</w:t>
            </w:r>
            <w:r w:rsidRPr="00A17A02">
              <w:rPr>
                <w:color w:val="595959" w:themeColor="text1" w:themeTint="A6"/>
              </w:rPr>
              <w:t>,</w:t>
            </w:r>
            <w:r w:rsidRPr="00C4084C">
              <w:t xml:space="preserve"> </w:t>
            </w:r>
            <w:hyperlink r:id="rId107" w:history="1">
              <w:r w:rsidR="00DA2B5C" w:rsidRPr="00DB37E5">
                <w:rPr>
                  <w:rStyle w:val="Hyperlink"/>
                  <w:color w:val="003A74" w:themeColor="text2" w:themeTint="E6"/>
                </w:rPr>
                <w:t>https://www.ato.gov.au/tax-rates-and-codes/study-and-training-support-loans-rates-and-repayment-thresholds</w:t>
              </w:r>
            </w:hyperlink>
            <w:r w:rsidR="00DA2B5C" w:rsidRPr="00916C64">
              <w:rPr>
                <w:color w:val="00254A" w:themeColor="text2"/>
              </w:rPr>
              <w:t>.</w:t>
            </w:r>
          </w:p>
          <w:p w14:paraId="329452C2" w14:textId="7F87C842" w:rsidR="00D63ACB" w:rsidRPr="00C4084C" w:rsidRDefault="00D63ACB" w:rsidP="00F56A97">
            <w:pPr>
              <w:pStyle w:val="Boxtext0"/>
            </w:pPr>
            <w:r w:rsidRPr="00C4084C">
              <w:t xml:space="preserve">Similar effects exist at each </w:t>
            </w:r>
            <w:r w:rsidR="00047324" w:rsidRPr="00C4084C">
              <w:t xml:space="preserve">HELP </w:t>
            </w:r>
            <w:r w:rsidRPr="00C4084C">
              <w:t xml:space="preserve">repayment threshold, but the proportion of additional income lost </w:t>
            </w:r>
            <w:proofErr w:type="gramStart"/>
            <w:r w:rsidRPr="00C4084C">
              <w:t>as a result of</w:t>
            </w:r>
            <w:proofErr w:type="gramEnd"/>
            <w:r w:rsidRPr="00C4084C">
              <w:t xml:space="preserve"> repayment is highest at the lowest </w:t>
            </w:r>
            <w:r w:rsidR="00D16150" w:rsidRPr="00C4084C">
              <w:t xml:space="preserve">2 </w:t>
            </w:r>
            <w:r w:rsidRPr="00C4084C">
              <w:t>thresholds.</w:t>
            </w:r>
          </w:p>
          <w:p w14:paraId="0D7434F3" w14:textId="4AC27C39" w:rsidR="00D63ACB" w:rsidRPr="00C4084C" w:rsidRDefault="00D63ACB" w:rsidP="00F56A97">
            <w:pPr>
              <w:pStyle w:val="Boxtext0"/>
            </w:pPr>
            <w:r w:rsidRPr="00C4084C">
              <w:t xml:space="preserve">This effect is not limited to the impacts of HELP repayments: EMTRs represent the financial loss associated with earning an additional dollar of income after accounting for things like taxes, transfers through the income support system, childcare payments, as well as HELP repayments. HELP repayment can exacerbate these EMTRs, particularly around repayment thresholds. </w:t>
            </w:r>
          </w:p>
        </w:tc>
      </w:tr>
    </w:tbl>
    <w:p w14:paraId="343BB699" w14:textId="234AC811" w:rsidR="00E06C8E" w:rsidRPr="00C4084C" w:rsidRDefault="008F5CA2" w:rsidP="00F56A97">
      <w:r w:rsidRPr="00C4084C">
        <w:lastRenderedPageBreak/>
        <w:t xml:space="preserve">The </w:t>
      </w:r>
      <w:r w:rsidR="000E632A" w:rsidRPr="00C4084C">
        <w:t>R</w:t>
      </w:r>
      <w:r w:rsidR="00E06C8E" w:rsidRPr="00C4084C">
        <w:t xml:space="preserve">eview </w:t>
      </w:r>
      <w:r w:rsidR="007C5046" w:rsidRPr="00C4084C">
        <w:t>finds</w:t>
      </w:r>
      <w:r w:rsidR="00E06C8E" w:rsidRPr="00C4084C">
        <w:t xml:space="preserve"> that the current HELP repayment arrangements disproportionately affect those </w:t>
      </w:r>
      <w:r w:rsidR="00AA1149">
        <w:t>on</w:t>
      </w:r>
      <w:r w:rsidR="00AA1149" w:rsidRPr="00C4084C">
        <w:t xml:space="preserve"> </w:t>
      </w:r>
      <w:r w:rsidR="00E06C8E" w:rsidRPr="00C4084C">
        <w:t>lower incomes</w:t>
      </w:r>
      <w:r w:rsidR="005A60DE" w:rsidRPr="00C4084C">
        <w:t>, who are more likely to be women</w:t>
      </w:r>
      <w:r w:rsidR="00A343E8">
        <w:t>,</w:t>
      </w:r>
      <w:r w:rsidR="00E06C8E" w:rsidRPr="00C4084C">
        <w:t xml:space="preserve"> and suggests moving to arrangements based on marginal income.</w:t>
      </w:r>
      <w:r w:rsidR="00581488">
        <w:rPr>
          <w:rStyle w:val="FootnoteReference"/>
        </w:rPr>
        <w:footnoteReference w:id="261"/>
      </w:r>
      <w:r w:rsidR="00E06C8E" w:rsidRPr="00C4084C">
        <w:t xml:space="preserve"> Under a marginal system, repayments would only be levied on earnings above the minimum and each subsequent threshold, ensuring that those making repayments would derive some benefit from each additional dollar earned (beyond the benefit of repaying the loan). </w:t>
      </w:r>
    </w:p>
    <w:p w14:paraId="71D8DFCC" w14:textId="77777777" w:rsidR="00E06C8E" w:rsidRPr="00C4084C" w:rsidRDefault="00E06C8E" w:rsidP="00F56A97">
      <w:r w:rsidRPr="00C4084C">
        <w:t xml:space="preserve">New arrangements should be designed to: </w:t>
      </w:r>
    </w:p>
    <w:p w14:paraId="280E9B9C" w14:textId="77777777" w:rsidR="00E06C8E" w:rsidRPr="00C4084C" w:rsidRDefault="00E06C8E" w:rsidP="00AD60A5">
      <w:pPr>
        <w:pStyle w:val="ListBullet"/>
      </w:pPr>
      <w:r w:rsidRPr="00C4084C">
        <w:t xml:space="preserve">reduce the rate of repayment that relatively lower income earners are required to </w:t>
      </w:r>
      <w:proofErr w:type="gramStart"/>
      <w:r w:rsidRPr="00C4084C">
        <w:t>make</w:t>
      </w:r>
      <w:proofErr w:type="gramEnd"/>
      <w:r w:rsidRPr="00C4084C">
        <w:t xml:space="preserve"> </w:t>
      </w:r>
    </w:p>
    <w:p w14:paraId="537464F2" w14:textId="6092A4F5" w:rsidR="00E06C8E" w:rsidRPr="00C4084C" w:rsidRDefault="00E06C8E" w:rsidP="00AD60A5">
      <w:pPr>
        <w:pStyle w:val="ListBullet"/>
      </w:pPr>
      <w:r w:rsidRPr="00C4084C">
        <w:t xml:space="preserve">remove the unfair situation where someone earns additional income but, as a result of HELP arrangements, sees a decrease in their post-HELP repayment </w:t>
      </w:r>
      <w:proofErr w:type="gramStart"/>
      <w:r w:rsidRPr="00C4084C">
        <w:t>income</w:t>
      </w:r>
      <w:proofErr w:type="gramEnd"/>
    </w:p>
    <w:p w14:paraId="0F81E7F0" w14:textId="503CE94C" w:rsidR="005A60DE" w:rsidRPr="00C4084C" w:rsidRDefault="005A60DE" w:rsidP="00AD60A5">
      <w:pPr>
        <w:pStyle w:val="ListBullet"/>
      </w:pPr>
      <w:r w:rsidRPr="00C4084C">
        <w:t>reduce the disproportionate impact</w:t>
      </w:r>
      <w:r w:rsidR="00834EAA" w:rsidRPr="00C4084C">
        <w:t xml:space="preserve"> on </w:t>
      </w:r>
      <w:proofErr w:type="gramStart"/>
      <w:r w:rsidR="00834EAA" w:rsidRPr="00C4084C">
        <w:t>women</w:t>
      </w:r>
      <w:proofErr w:type="gramEnd"/>
      <w:r w:rsidR="00834EAA" w:rsidRPr="00C4084C">
        <w:t xml:space="preserve"> </w:t>
      </w:r>
    </w:p>
    <w:p w14:paraId="33517760" w14:textId="77777777" w:rsidR="00E06C8E" w:rsidRPr="00C4084C" w:rsidRDefault="00E06C8E" w:rsidP="00AD60A5">
      <w:pPr>
        <w:pStyle w:val="ListBullet"/>
      </w:pPr>
      <w:r w:rsidRPr="00C4084C">
        <w:t>limit workforce disincentives caused by HELP repayments, particularly for sole parents.</w:t>
      </w:r>
    </w:p>
    <w:p w14:paraId="575D6116" w14:textId="26A26014" w:rsidR="00E06C8E" w:rsidRPr="00C4084C" w:rsidRDefault="00E06C8E" w:rsidP="00F56A97">
      <w:r w:rsidRPr="00C4084C">
        <w:t xml:space="preserve">The Review is not recommending specific new rates or thresholds for HELP repayments. Depending on how the rates and thresholds are set under a marginal system, </w:t>
      </w:r>
      <w:proofErr w:type="gramStart"/>
      <w:r w:rsidRPr="00C4084C">
        <w:t>the majority of</w:t>
      </w:r>
      <w:proofErr w:type="gramEnd"/>
      <w:r w:rsidRPr="00C4084C">
        <w:t xml:space="preserve"> HELP debtors who make a repayment (around 35</w:t>
      </w:r>
      <w:r w:rsidR="000E58D3" w:rsidRPr="00C4084C">
        <w:t xml:space="preserve"> to </w:t>
      </w:r>
      <w:r w:rsidRPr="00C4084C">
        <w:t xml:space="preserve">40% of all debtors) would repay less in a given year than under current settings. </w:t>
      </w:r>
      <w:r w:rsidR="00D303BF" w:rsidRPr="00C4084C">
        <w:t>I</w:t>
      </w:r>
      <w:r w:rsidRPr="00C4084C">
        <w:t xml:space="preserve">t should be acknowledged that </w:t>
      </w:r>
      <w:r w:rsidR="00D303BF" w:rsidRPr="00C4084C">
        <w:t>this change</w:t>
      </w:r>
      <w:r w:rsidRPr="00C4084C">
        <w:t xml:space="preserve"> could also result in a small number of high-income HELP debtors (likely less than 10% of HELP debtors) making higher repayments </w:t>
      </w:r>
      <w:proofErr w:type="gramStart"/>
      <w:r w:rsidRPr="00C4084C">
        <w:t>in a given year</w:t>
      </w:r>
      <w:proofErr w:type="gramEnd"/>
      <w:r w:rsidRPr="00C4084C">
        <w:t xml:space="preserve"> than they otherwise would. However, these people would likely have benefited from </w:t>
      </w:r>
      <w:r w:rsidRPr="00C4084C">
        <w:lastRenderedPageBreak/>
        <w:t xml:space="preserve">lower repayments in earlier years </w:t>
      </w:r>
      <w:r w:rsidR="00840FE9" w:rsidRPr="00C4084C">
        <w:t xml:space="preserve">when </w:t>
      </w:r>
      <w:r w:rsidRPr="00C4084C">
        <w:t xml:space="preserve">their income was lower and will still not pay more than the real value of their HELP debt </w:t>
      </w:r>
      <w:r w:rsidRPr="00C4084C" w:rsidDel="00A81CDD">
        <w:t>in aggregate</w:t>
      </w:r>
      <w:r w:rsidRPr="00C4084C">
        <w:t xml:space="preserve">. </w:t>
      </w:r>
    </w:p>
    <w:p w14:paraId="34626036" w14:textId="77777777" w:rsidR="00E06C8E" w:rsidRPr="00C4084C" w:rsidRDefault="00E06C8E" w:rsidP="007B0775">
      <w:pPr>
        <w:pStyle w:val="Heading5"/>
      </w:pPr>
      <w:bookmarkStart w:id="856" w:name="_Toc151023649"/>
      <w:bookmarkStart w:id="857" w:name="_Toc151024065"/>
      <w:r w:rsidRPr="00C4084C">
        <w:t>Adjustments to HELP indexation arrangements</w:t>
      </w:r>
      <w:bookmarkEnd w:id="856"/>
      <w:bookmarkEnd w:id="857"/>
    </w:p>
    <w:p w14:paraId="3D11BB94" w14:textId="3E4CA121" w:rsidR="00E06C8E" w:rsidRPr="00C4084C" w:rsidRDefault="00E06C8E" w:rsidP="00F56A97">
      <w:r w:rsidRPr="00C4084C">
        <w:t xml:space="preserve">To ensure HELP debts retain their real value over time and are not eroded by inflation, the value of outstanding HELP debt is indexed based on CPI. Indexing debts ensures that the system remains sustainable over the long-term. If debts were not indexed, any drop in real value would have to be borne by the </w:t>
      </w:r>
      <w:r w:rsidR="003E5778" w:rsidRPr="00C4084C">
        <w:t>Australian Government</w:t>
      </w:r>
      <w:r w:rsidRPr="00C4084C">
        <w:t xml:space="preserve">. But a high </w:t>
      </w:r>
      <w:r w:rsidR="002C24B5" w:rsidRPr="00C4084C">
        <w:t xml:space="preserve">rate of </w:t>
      </w:r>
      <w:r w:rsidRPr="00C4084C">
        <w:t>CPI</w:t>
      </w:r>
      <w:r w:rsidR="009132B0" w:rsidRPr="00C4084C">
        <w:t>,</w:t>
      </w:r>
      <w:r w:rsidRPr="00C4084C">
        <w:t xml:space="preserve"> as at present, resulting in </w:t>
      </w:r>
      <w:r w:rsidR="002C24B5" w:rsidRPr="00C4084C">
        <w:t xml:space="preserve">the application of </w:t>
      </w:r>
      <w:r w:rsidRPr="00C4084C">
        <w:t xml:space="preserve">a high indexation </w:t>
      </w:r>
      <w:r w:rsidR="00D62BA9" w:rsidRPr="00C4084C">
        <w:t>rate</w:t>
      </w:r>
      <w:r w:rsidRPr="00C4084C">
        <w:t xml:space="preserve"> to HELP loans, can create concern for those whose debts are increasing faster than repayments. Concurrently, real wages have been falling, creating a perverse outcome where HELP debts are growing just as relative ability to service debts </w:t>
      </w:r>
      <w:r w:rsidR="00AE7E9F" w:rsidRPr="00C4084C">
        <w:t>is declining</w:t>
      </w:r>
      <w:r w:rsidRPr="00C4084C">
        <w:t xml:space="preserve">. </w:t>
      </w:r>
    </w:p>
    <w:p w14:paraId="6C55ECF0" w14:textId="77777777" w:rsidR="00E06C8E" w:rsidRPr="00C4084C" w:rsidRDefault="00E06C8E" w:rsidP="00B1626C">
      <w:pPr>
        <w:pStyle w:val="Heading6"/>
      </w:pPr>
      <w:r w:rsidRPr="00C4084C">
        <w:t xml:space="preserve">Capping indexation to limit the growth of HELP </w:t>
      </w:r>
      <w:proofErr w:type="gramStart"/>
      <w:r w:rsidRPr="00C4084C">
        <w:t>debts</w:t>
      </w:r>
      <w:proofErr w:type="gramEnd"/>
    </w:p>
    <w:p w14:paraId="376F9AAA" w14:textId="1CCE3BDE" w:rsidR="00E06C8E" w:rsidRPr="00C4084C" w:rsidRDefault="00E06C8E" w:rsidP="00F56A97">
      <w:r w:rsidRPr="00C4084C">
        <w:t>Over</w:t>
      </w:r>
      <w:r w:rsidR="0037523E" w:rsidRPr="00C4084C">
        <w:t xml:space="preserve"> 2023</w:t>
      </w:r>
      <w:r w:rsidRPr="00C4084C">
        <w:t>, the CPI was at its highest level since the 1980s.</w:t>
      </w:r>
      <w:r w:rsidRPr="00C4084C">
        <w:rPr>
          <w:rStyle w:val="FootnoteReference"/>
        </w:rPr>
        <w:footnoteReference w:id="262"/>
      </w:r>
      <w:r w:rsidRPr="00C4084C">
        <w:t xml:space="preserve"> The Review notes that the indexation of HELP debts has become an area of public concern, with escalating indexation and HELP debts leading to a negative perception of the HELP system. This may discourage some future students from enrolling in university if unaddressed. </w:t>
      </w:r>
    </w:p>
    <w:p w14:paraId="4F8D3FC0" w14:textId="3C4D5EE0" w:rsidR="00E06C8E" w:rsidRPr="00C4084C" w:rsidRDefault="00E06C8E" w:rsidP="00F56A97">
      <w:r w:rsidRPr="00C4084C">
        <w:t xml:space="preserve">To address these emerging concerns, while also protecting the stability of the HELP system, the Review </w:t>
      </w:r>
      <w:r w:rsidR="00FB7B33" w:rsidRPr="00C4084C">
        <w:t>recommends</w:t>
      </w:r>
      <w:r w:rsidRPr="00C4084C">
        <w:t xml:space="preserve"> the introduction of a cap on indexation based on the </w:t>
      </w:r>
      <w:r w:rsidR="00E4510C" w:rsidRPr="00C4084C">
        <w:t>lower of Consumer</w:t>
      </w:r>
      <w:r w:rsidRPr="00C4084C">
        <w:t xml:space="preserve"> Price Index (</w:t>
      </w:r>
      <w:r w:rsidR="00E4510C" w:rsidRPr="00C4084C">
        <w:t>CPI) or</w:t>
      </w:r>
      <w:r w:rsidRPr="00C4084C">
        <w:t xml:space="preserve"> Wage Price Index (WPI)</w:t>
      </w:r>
      <w:r w:rsidR="00433314" w:rsidRPr="00C4084C">
        <w:t xml:space="preserve"> (see Recommendation </w:t>
      </w:r>
      <w:r w:rsidR="00D731B0" w:rsidRPr="00C4084C">
        <w:t>16</w:t>
      </w:r>
      <w:r w:rsidR="00433314" w:rsidRPr="00C4084C">
        <w:t>)</w:t>
      </w:r>
      <w:r w:rsidRPr="00C4084C">
        <w:t xml:space="preserve">. The Review considered alternative caps, such as the long-term </w:t>
      </w:r>
      <w:r w:rsidR="00D22AB8" w:rsidRPr="00C4084C">
        <w:t xml:space="preserve">Australian </w:t>
      </w:r>
      <w:r w:rsidRPr="00C4084C">
        <w:t>Government borrowing rate. However,</w:t>
      </w:r>
      <w:r w:rsidRPr="00C4084C" w:rsidDel="006E7543">
        <w:t xml:space="preserve"> </w:t>
      </w:r>
      <w:r w:rsidRPr="00C4084C">
        <w:t xml:space="preserve">a cap based on wages is preferred and would act as an effective control mechanism. </w:t>
      </w:r>
      <w:r w:rsidR="00DC3351" w:rsidRPr="00C4084C">
        <w:t>Such a cap</w:t>
      </w:r>
      <w:r w:rsidRPr="00C4084C">
        <w:t xml:space="preserve"> will ensure that </w:t>
      </w:r>
      <w:r w:rsidR="00D54D16" w:rsidRPr="00C4084C">
        <w:t xml:space="preserve">the indexation of </w:t>
      </w:r>
      <w:r w:rsidRPr="00C4084C">
        <w:t xml:space="preserve">HELP debts no longer </w:t>
      </w:r>
      <w:r w:rsidR="00D54D16" w:rsidRPr="00C4084C">
        <w:t>outstrips the</w:t>
      </w:r>
      <w:r w:rsidRPr="00C4084C">
        <w:t xml:space="preserve"> growth in wages and the servicing capacity of debtors does not go backwards </w:t>
      </w:r>
      <w:r w:rsidR="00CD0D74" w:rsidRPr="00C4084C">
        <w:t>overall</w:t>
      </w:r>
      <w:r w:rsidRPr="00C4084C">
        <w:t xml:space="preserve">. </w:t>
      </w:r>
    </w:p>
    <w:p w14:paraId="78D39A57" w14:textId="77777777" w:rsidR="00E06C8E" w:rsidRPr="00C4084C" w:rsidRDefault="00E06C8E" w:rsidP="00B1626C">
      <w:pPr>
        <w:pStyle w:val="Heading6"/>
      </w:pPr>
      <w:r w:rsidRPr="00C4084C">
        <w:t xml:space="preserve">Timing changes to benefit </w:t>
      </w:r>
      <w:proofErr w:type="gramStart"/>
      <w:r w:rsidRPr="00C4084C">
        <w:t>students</w:t>
      </w:r>
      <w:proofErr w:type="gramEnd"/>
    </w:p>
    <w:p w14:paraId="68D4E387" w14:textId="51D528AC" w:rsidR="00E06C8E" w:rsidRPr="00C4084C" w:rsidRDefault="00E06C8E" w:rsidP="00F56A97">
      <w:r w:rsidRPr="00C4084C">
        <w:t xml:space="preserve">The Review has also heard concerns about the timing of indexation on 1 June each year. Though this timing (which is late in the financial year) assists with the administration of the HELP system, </w:t>
      </w:r>
      <w:r w:rsidR="00B5610A" w:rsidRPr="00C4084C">
        <w:t xml:space="preserve">amounts </w:t>
      </w:r>
      <w:r w:rsidRPr="00C4084C">
        <w:t xml:space="preserve">withheld during the year are not applied to reduce HELP </w:t>
      </w:r>
      <w:r w:rsidR="005443ED" w:rsidRPr="00C4084C">
        <w:t>debt</w:t>
      </w:r>
      <w:r w:rsidR="009E4E91" w:rsidRPr="00C4084C">
        <w:t>s</w:t>
      </w:r>
      <w:r w:rsidR="005443ED" w:rsidRPr="00C4084C">
        <w:t xml:space="preserve"> until</w:t>
      </w:r>
      <w:r w:rsidR="00B5610A" w:rsidRPr="00C4084C">
        <w:t xml:space="preserve"> the following June.</w:t>
      </w:r>
      <w:r w:rsidRPr="00C4084C">
        <w:t xml:space="preserve">  In some circumstances, HELP debts may have been ‘acquitted’ if not for the application of indexation prior to repayments being recognised. Further, voluntary repayments made before 1 June are considered before indexation is applied</w:t>
      </w:r>
      <w:r w:rsidR="00D74A07" w:rsidRPr="00C4084C">
        <w:t>,</w:t>
      </w:r>
      <w:r w:rsidRPr="00C4084C">
        <w:t xml:space="preserve"> creating a perceived disparity between compulsory and voluntary repayments. </w:t>
      </w:r>
    </w:p>
    <w:p w14:paraId="4A29AFD9" w14:textId="18674AB8" w:rsidR="00E06C8E" w:rsidRPr="00C4084C" w:rsidRDefault="00E06C8E" w:rsidP="00F56A97">
      <w:r w:rsidRPr="00C4084C">
        <w:t xml:space="preserve">The Review recommends that the timing of HELP debt indexation be changed to allow the </w:t>
      </w:r>
      <w:r w:rsidR="00187596">
        <w:t>Australian Taxation Office (</w:t>
      </w:r>
      <w:r w:rsidRPr="00C4084C">
        <w:t>ATO</w:t>
      </w:r>
      <w:r w:rsidR="00187596">
        <w:t>)</w:t>
      </w:r>
      <w:r w:rsidRPr="00C4084C">
        <w:t xml:space="preserve"> to ensure that amounts withheld from debtors’ income during the financial year can be applied as a compulsory repayment before indexation occurs</w:t>
      </w:r>
      <w:r w:rsidR="00433314" w:rsidRPr="00C4084C">
        <w:t xml:space="preserve"> (see Recommendation </w:t>
      </w:r>
      <w:r w:rsidR="00B80C67" w:rsidRPr="00C4084C">
        <w:t>16</w:t>
      </w:r>
      <w:r w:rsidR="00433314" w:rsidRPr="00C4084C">
        <w:t>)</w:t>
      </w:r>
      <w:r w:rsidRPr="00C4084C">
        <w:t>.</w:t>
      </w:r>
    </w:p>
    <w:p w14:paraId="3C4BF0B3" w14:textId="77777777" w:rsidR="00E06C8E" w:rsidRPr="00C4084C" w:rsidRDefault="00E06C8E" w:rsidP="007B0775">
      <w:pPr>
        <w:pStyle w:val="Heading5"/>
      </w:pPr>
      <w:bookmarkStart w:id="858" w:name="_Toc151023650"/>
      <w:bookmarkStart w:id="859" w:name="_Toc151024066"/>
      <w:r w:rsidRPr="00C4084C">
        <w:t>Waivers</w:t>
      </w:r>
      <w:bookmarkEnd w:id="858"/>
      <w:bookmarkEnd w:id="859"/>
      <w:r w:rsidRPr="00C4084C">
        <w:t xml:space="preserve"> </w:t>
      </w:r>
    </w:p>
    <w:p w14:paraId="485DC6D6" w14:textId="77777777" w:rsidR="00E06C8E" w:rsidRPr="00C4084C" w:rsidRDefault="00E06C8E" w:rsidP="00F56A97">
      <w:r w:rsidRPr="00C4084C">
        <w:t xml:space="preserve">Expanding the use of debt waivers to reduce the prevalence of life-long debts was another option explored by the Review. Under the current system, HELP debts are typically written off only at death, with limited waiver schemes to reduce the debts of those working in certain occupations in regional and remote areas. </w:t>
      </w:r>
    </w:p>
    <w:p w14:paraId="50A1E857" w14:textId="4C7BA7B8" w:rsidR="00E06C8E" w:rsidRPr="00C4084C" w:rsidRDefault="00E06C8E" w:rsidP="00F56A97">
      <w:r w:rsidRPr="00C4084C">
        <w:lastRenderedPageBreak/>
        <w:t xml:space="preserve">The Review looked at some time-based models but considered they would either be of little practical benefit to current debtors or would undermine the financial viability of the HELP system. It considers that the recommendations above about repayment and indexation </w:t>
      </w:r>
      <w:r w:rsidR="00ED7CEC" w:rsidRPr="00C4084C">
        <w:t xml:space="preserve">would </w:t>
      </w:r>
      <w:r w:rsidRPr="00C4084C">
        <w:t>have more meaningful and practical benefits.</w:t>
      </w:r>
    </w:p>
    <w:p w14:paraId="6E5B4152" w14:textId="6DD2A21A" w:rsidR="00E06C8E" w:rsidRPr="00C4084C" w:rsidRDefault="00E06C8E" w:rsidP="00F56A97">
      <w:r w:rsidRPr="00C4084C">
        <w:t xml:space="preserve">The cost of any potential broad waiver scheme – such as a time-based automatic write-off – would likely be large unless the write-off period was sufficiently long. But writing debts off after an extended period would be of limited real benefit to those with HELP debts, especially as </w:t>
      </w:r>
      <w:r w:rsidR="001219BC" w:rsidRPr="00C4084C">
        <w:t xml:space="preserve">the </w:t>
      </w:r>
      <w:r w:rsidR="004D4DA8" w:rsidRPr="00C4084C">
        <w:t>write-off</w:t>
      </w:r>
      <w:r w:rsidRPr="00C4084C">
        <w:t xml:space="preserve"> </w:t>
      </w:r>
      <w:r w:rsidR="001219BC" w:rsidRPr="00C4084C">
        <w:t>would likely occur well after it</w:t>
      </w:r>
      <w:r w:rsidRPr="00C4084C" w:rsidDel="001219BC">
        <w:t xml:space="preserve"> </w:t>
      </w:r>
      <w:r w:rsidRPr="00C4084C">
        <w:t>ha</w:t>
      </w:r>
      <w:r w:rsidR="004D4DA8" w:rsidRPr="00C4084C">
        <w:t>s</w:t>
      </w:r>
      <w:r w:rsidRPr="00C4084C">
        <w:t xml:space="preserve"> the potential to assist with life decisions like buying a house or raising a family. </w:t>
      </w:r>
    </w:p>
    <w:p w14:paraId="3DE5E053" w14:textId="1C8192F8" w:rsidR="00E06C8E" w:rsidRPr="00C4084C" w:rsidRDefault="00E06C8E" w:rsidP="00F56A97">
      <w:r w:rsidRPr="00C4084C">
        <w:t xml:space="preserve">Currently, targeted debt waivers are available for teachers working in very remote areas and health workers in rural areas. Their purpose is to incentivise debtors to fill crucial skill gaps. These schemes have not been in effect long enough to gauge their effectiveness accurately. Pending a review of the programs for health workers in 2025, the option to broaden program criteria and expand the use of such waivers </w:t>
      </w:r>
      <w:r w:rsidR="00083A1E" w:rsidRPr="00C4084C">
        <w:t xml:space="preserve">could </w:t>
      </w:r>
      <w:r w:rsidRPr="00C4084C">
        <w:t>be re-examined.</w:t>
      </w:r>
    </w:p>
    <w:p w14:paraId="36DB9B9B" w14:textId="77777777" w:rsidR="00E06C8E" w:rsidRPr="00C4084C" w:rsidRDefault="00E06C8E" w:rsidP="007B0775">
      <w:pPr>
        <w:pStyle w:val="Heading5"/>
      </w:pPr>
      <w:bookmarkStart w:id="860" w:name="_Toc151023651"/>
      <w:bookmarkStart w:id="861" w:name="_Toc151024067"/>
      <w:r w:rsidRPr="00C4084C">
        <w:t>HELP debt and home lending</w:t>
      </w:r>
      <w:bookmarkEnd w:id="860"/>
      <w:bookmarkEnd w:id="861"/>
    </w:p>
    <w:p w14:paraId="21ED5FC7" w14:textId="77777777" w:rsidR="00E06C8E" w:rsidRPr="00C4084C" w:rsidRDefault="00E06C8E" w:rsidP="00F56A97">
      <w:r w:rsidRPr="00C4084C">
        <w:t xml:space="preserve">Many stakeholders told the Review that large HELP debts may affect graduates’ ability to enter the property market. This is a complex issue involving the intersection of a range of factors, such as supply issues, prices, rising interest costs and individual bank policies and practices. </w:t>
      </w:r>
    </w:p>
    <w:p w14:paraId="2A80204C" w14:textId="79863EA6" w:rsidR="00E06C8E" w:rsidRPr="00C4084C" w:rsidRDefault="00E06C8E" w:rsidP="00F56A97">
      <w:r w:rsidRPr="00C4084C">
        <w:t xml:space="preserve">Repayment of HELP debt reduces the </w:t>
      </w:r>
      <w:r w:rsidR="002664FD" w:rsidRPr="00C4084C">
        <w:t xml:space="preserve">income </w:t>
      </w:r>
      <w:r w:rsidRPr="00C4084C">
        <w:t xml:space="preserve">that individuals have available to service a mortgage, so is </w:t>
      </w:r>
      <w:proofErr w:type="gramStart"/>
      <w:r w:rsidRPr="00C4084C">
        <w:t>taken into account</w:t>
      </w:r>
      <w:proofErr w:type="gramEnd"/>
      <w:r w:rsidRPr="00C4084C">
        <w:t xml:space="preserve"> when determining how much someone is able to borrow for a mortgage. The Review notes that larger HELP debts that take longer to repay can affect mortgage debt servicing capacity over a longer </w:t>
      </w:r>
      <w:proofErr w:type="gramStart"/>
      <w:r w:rsidRPr="00C4084C">
        <w:t>time period</w:t>
      </w:r>
      <w:proofErr w:type="gramEnd"/>
      <w:r w:rsidRPr="00C4084C">
        <w:t>.</w:t>
      </w:r>
    </w:p>
    <w:p w14:paraId="1063D6A2" w14:textId="77777777" w:rsidR="00E06C8E" w:rsidRPr="00C4084C" w:rsidRDefault="00E06C8E" w:rsidP="00F56A97">
      <w:r w:rsidRPr="00C4084C">
        <w:t>HELP debts are not like other debts, such as credit card debts or personal loans, as it is not possible to default on them. Unless someone earns sufficient income, there is no obligation to repay and as such they should be treated differently.</w:t>
      </w:r>
    </w:p>
    <w:p w14:paraId="612DC237" w14:textId="77777777" w:rsidR="00E06C8E" w:rsidRPr="00C4084C" w:rsidRDefault="00E06C8E" w:rsidP="00F56A97">
      <w:r w:rsidRPr="00C4084C">
        <w:t>The Australian Prudential Regulation Authority (APRA) (for banks) and the Australian Securities and Investments Commission (ASIC) (for all lenders) provide guidance on how a borrower’s repayment capacity should be assessed when applying for a mortgage. APRA also requires banks to report a range of data on the profile of their home loan books — this includes, for example, the proportion of households that have borrowed with low equity (loan-to-valuation ratio) or at high leverage (debt-to-income ratio). These reporting requirements are used by APRA to monitor banks’ risk profiles, but do not create obligations on banks in relation to how they assess a borrower’s repayment capacity.</w:t>
      </w:r>
    </w:p>
    <w:p w14:paraId="3380AF1E" w14:textId="0654E8AB" w:rsidR="00E06C8E" w:rsidRPr="00C4084C" w:rsidRDefault="00E06C8E" w:rsidP="00F56A97">
      <w:r w:rsidRPr="00C4084C">
        <w:t xml:space="preserve">Measures outlined in this chapter to revise student contribution amounts, improve </w:t>
      </w:r>
      <w:proofErr w:type="gramStart"/>
      <w:r w:rsidRPr="00C4084C">
        <w:t>repayments</w:t>
      </w:r>
      <w:proofErr w:type="gramEnd"/>
      <w:r w:rsidRPr="00C4084C">
        <w:t xml:space="preserve"> and limit excessive indexation should have a positive impact on the intersection between HELP debts and individuals’ ability to obtain a mortgage</w:t>
      </w:r>
      <w:r w:rsidR="001E7730" w:rsidRPr="00C4084C">
        <w:t>, especially for those on lower incomes</w:t>
      </w:r>
      <w:r w:rsidRPr="00C4084C">
        <w:t>.</w:t>
      </w:r>
    </w:p>
    <w:p w14:paraId="6ACAE464" w14:textId="4B51DB3C" w:rsidR="00E06C8E" w:rsidRPr="00C4084C" w:rsidRDefault="00E06C8E" w:rsidP="00BA6095">
      <w:pPr>
        <w:pStyle w:val="Heading4"/>
      </w:pPr>
      <w:bookmarkStart w:id="862" w:name="_Toc151023652"/>
      <w:bookmarkStart w:id="863" w:name="_Toc151024068"/>
      <w:bookmarkStart w:id="864" w:name="_Toc892975557"/>
      <w:bookmarkStart w:id="865" w:name="_Toc153483046"/>
      <w:bookmarkStart w:id="866" w:name="_Toc159500957"/>
      <w:r w:rsidRPr="00C4084C">
        <w:t>Fair and flexible arrangements for full fee-paying students</w:t>
      </w:r>
      <w:bookmarkEnd w:id="862"/>
      <w:bookmarkEnd w:id="863"/>
      <w:bookmarkEnd w:id="864"/>
      <w:bookmarkEnd w:id="865"/>
      <w:bookmarkEnd w:id="866"/>
      <w:r w:rsidRPr="00C4084C">
        <w:t xml:space="preserve"> </w:t>
      </w:r>
    </w:p>
    <w:p w14:paraId="04A8D003" w14:textId="06EA0BD8" w:rsidR="00E06C8E" w:rsidRPr="00C4084C" w:rsidRDefault="00E06C8E" w:rsidP="00F56A97">
      <w:r w:rsidRPr="00C4084C">
        <w:t xml:space="preserve">A smaller part of Australia’s higher education </w:t>
      </w:r>
      <w:r w:rsidR="00747279" w:rsidRPr="00C4084C">
        <w:t xml:space="preserve">landscape </w:t>
      </w:r>
      <w:r w:rsidRPr="00C4084C">
        <w:t xml:space="preserve">is the domestic full fee-paying student cohort, which includes some undergraduate and </w:t>
      </w:r>
      <w:proofErr w:type="gramStart"/>
      <w:r w:rsidR="00A63E01">
        <w:t>a majority</w:t>
      </w:r>
      <w:r w:rsidR="00A63E01" w:rsidRPr="00C4084C">
        <w:t xml:space="preserve"> </w:t>
      </w:r>
      <w:r w:rsidR="00A63E01">
        <w:t>of</w:t>
      </w:r>
      <w:proofErr w:type="gramEnd"/>
      <w:r w:rsidR="00A63E01">
        <w:t xml:space="preserve"> </w:t>
      </w:r>
      <w:r w:rsidRPr="00C4084C">
        <w:t xml:space="preserve">coursework </w:t>
      </w:r>
      <w:r w:rsidR="00AB791A" w:rsidRPr="00C4084C">
        <w:t xml:space="preserve">postgraduate </w:t>
      </w:r>
      <w:r w:rsidRPr="00C4084C">
        <w:t>students</w:t>
      </w:r>
      <w:r w:rsidR="005759DB" w:rsidRPr="00C4084C">
        <w:t xml:space="preserve"> </w:t>
      </w:r>
      <w:r w:rsidR="005759DB" w:rsidRPr="00C4084C">
        <w:lastRenderedPageBreak/>
        <w:t>(</w:t>
      </w:r>
      <w:r w:rsidR="00DB032F" w:rsidRPr="00C4084C">
        <w:t>61</w:t>
      </w:r>
      <w:r w:rsidR="005759DB" w:rsidRPr="00C4084C">
        <w:t>%)</w:t>
      </w:r>
      <w:r w:rsidRPr="00C4084C">
        <w:t>.</w:t>
      </w:r>
      <w:r w:rsidR="00133987" w:rsidRPr="00C4084C">
        <w:rPr>
          <w:rStyle w:val="FootnoteReference"/>
        </w:rPr>
        <w:footnoteReference w:id="263"/>
      </w:r>
      <w:r w:rsidRPr="00C4084C">
        <w:t xml:space="preserve"> There were </w:t>
      </w:r>
      <w:r w:rsidR="00177219" w:rsidRPr="00C4084C">
        <w:t xml:space="preserve">around </w:t>
      </w:r>
      <w:r w:rsidR="00E045CC" w:rsidRPr="00C4084C">
        <w:t>200</w:t>
      </w:r>
      <w:r w:rsidRPr="00C4084C">
        <w:t>,000 domestic full fee-paying students in Australia in 202</w:t>
      </w:r>
      <w:r w:rsidR="00177219" w:rsidRPr="00C4084C">
        <w:t>2</w:t>
      </w:r>
      <w:r w:rsidRPr="00C4084C">
        <w:t>, up from almost 180,000 in 2011.</w:t>
      </w:r>
      <w:r w:rsidRPr="00C4084C">
        <w:rPr>
          <w:rStyle w:val="FootnoteReference"/>
        </w:rPr>
        <w:footnoteReference w:id="264"/>
      </w:r>
      <w:r w:rsidRPr="00C4084C">
        <w:t xml:space="preserve"> These students may have the option of deferring their fees through FEE-HELP.</w:t>
      </w:r>
    </w:p>
    <w:p w14:paraId="5B40A3FB" w14:textId="19AFC14B" w:rsidR="00E06C8E" w:rsidRPr="00C4084C" w:rsidRDefault="00E06C8E" w:rsidP="00F56A97">
      <w:r w:rsidRPr="00C4084C">
        <w:t>In this part of the system, there are no price controls. While there is a HELP loan limit of $113,028 (in 2023) for most students, higher education providers have flexibility to charge more. The loan limit places a ceiling on the amount a student can borrow</w:t>
      </w:r>
      <w:r w:rsidR="00AA1149">
        <w:t xml:space="preserve"> over time</w:t>
      </w:r>
      <w:r w:rsidRPr="00C4084C">
        <w:t>, but not the fees an institution can charge</w:t>
      </w:r>
      <w:r w:rsidR="00AA1149">
        <w:t xml:space="preserve"> for each subject</w:t>
      </w:r>
      <w:r w:rsidRPr="00C4084C">
        <w:t>.</w:t>
      </w:r>
    </w:p>
    <w:p w14:paraId="59DFCA6B" w14:textId="7421033E" w:rsidR="00E06C8E" w:rsidRPr="00C4084C" w:rsidRDefault="00E06C8E" w:rsidP="00F56A97">
      <w:r w:rsidRPr="00C4084C">
        <w:t>Depending on the provider at</w:t>
      </w:r>
      <w:r w:rsidRPr="00C4084C" w:rsidDel="002E31F8">
        <w:t xml:space="preserve"> </w:t>
      </w:r>
      <w:r w:rsidRPr="00C4084C">
        <w:t>which a full fee-paying student studies, and the level of their study, the student may incur an additional loan fee which is 20% of the amount borrowed. Students accessing FEE-HELP need to be fairly treated regardless of their provider and course, and the Review has considered whether change to loan fee arrangements is needed. A relevant consideration is that, like all HELP loans, FEE-HELP loans are income contingent and there are implicit subsidies associated with the government providing them: the loans are provided without market rates of interest (though they are indexed by CPI</w:t>
      </w:r>
      <w:r w:rsidR="002250C7" w:rsidRPr="00C4084C">
        <w:t xml:space="preserve"> </w:t>
      </w:r>
      <w:r w:rsidRPr="00C4084C">
        <w:t>each year), and some will never be repaid in full as the relevant income level is never reached.</w:t>
      </w:r>
    </w:p>
    <w:p w14:paraId="79655CD5" w14:textId="77777777" w:rsidR="00E06C8E" w:rsidRPr="00C4084C" w:rsidRDefault="00E06C8E" w:rsidP="007B0775">
      <w:pPr>
        <w:pStyle w:val="Heading5"/>
      </w:pPr>
      <w:bookmarkStart w:id="867" w:name="_Toc151023653"/>
      <w:bookmarkStart w:id="868" w:name="_Toc151024069"/>
      <w:r w:rsidRPr="00C4084C">
        <w:t>FEE-HELP at the undergraduate level</w:t>
      </w:r>
      <w:bookmarkEnd w:id="867"/>
      <w:bookmarkEnd w:id="868"/>
    </w:p>
    <w:p w14:paraId="40A76225" w14:textId="77777777" w:rsidR="00E06C8E" w:rsidRPr="00C4084C" w:rsidRDefault="00E06C8E" w:rsidP="00F56A97">
      <w:proofErr w:type="gramStart"/>
      <w:r w:rsidRPr="00C4084C">
        <w:t>A number of</w:t>
      </w:r>
      <w:proofErr w:type="gramEnd"/>
      <w:r w:rsidRPr="00C4084C">
        <w:t xml:space="preserve"> submissions to the Review from independent providers argued that the loan fee applied to some undergraduate FEE-HELP loans is inequitable and discriminatory, and advocated for this fee to be removed from FEE-HELP loans (as well as from VET Student Loans).</w:t>
      </w:r>
      <w:r w:rsidRPr="00C4084C">
        <w:rPr>
          <w:rStyle w:val="FootnoteReference"/>
        </w:rPr>
        <w:footnoteReference w:id="265"/>
      </w:r>
      <w:r w:rsidRPr="00C4084C">
        <w:t xml:space="preserve"> However, other commentators have advocated for a consistent loan fee across all HELP loans, given the implicit government subsidy in providing them.</w:t>
      </w:r>
      <w:r w:rsidRPr="00C4084C">
        <w:rPr>
          <w:rStyle w:val="FootnoteReference"/>
        </w:rPr>
        <w:footnoteReference w:id="266"/>
      </w:r>
    </w:p>
    <w:tbl>
      <w:tblPr>
        <w:tblW w:w="9214" w:type="dxa"/>
        <w:shd w:val="clear" w:color="auto" w:fill="D2E8FF"/>
        <w:tblLook w:val="04A0" w:firstRow="1" w:lastRow="0" w:firstColumn="1" w:lastColumn="0" w:noHBand="0" w:noVBand="1"/>
      </w:tblPr>
      <w:tblGrid>
        <w:gridCol w:w="9214"/>
      </w:tblGrid>
      <w:tr w:rsidR="000D7B2C" w:rsidRPr="00C4084C" w14:paraId="2D7903BB" w14:textId="77777777" w:rsidTr="00D26B82">
        <w:tc>
          <w:tcPr>
            <w:tcW w:w="9214" w:type="dxa"/>
            <w:shd w:val="clear" w:color="auto" w:fill="E3DAEA"/>
          </w:tcPr>
          <w:p w14:paraId="42085D06" w14:textId="392D2147" w:rsidR="000D7B2C" w:rsidRPr="00C4084C" w:rsidRDefault="000D7B2C" w:rsidP="00570A6C">
            <w:pPr>
              <w:pStyle w:val="Boxtitlessubheadings"/>
            </w:pPr>
            <w:r w:rsidRPr="00C4084C">
              <w:lastRenderedPageBreak/>
              <w:t xml:space="preserve">Loan </w:t>
            </w:r>
            <w:r w:rsidR="00BE616E" w:rsidRPr="00C4084C">
              <w:t>f</w:t>
            </w:r>
            <w:r w:rsidRPr="00C4084C">
              <w:t xml:space="preserve">ee </w:t>
            </w:r>
            <w:r w:rsidR="00BE616E" w:rsidRPr="00C4084C">
              <w:t>a</w:t>
            </w:r>
            <w:r w:rsidRPr="00C4084C">
              <w:t xml:space="preserve">rrangements at the </w:t>
            </w:r>
            <w:r w:rsidR="00BE616E" w:rsidRPr="00C4084C">
              <w:t>u</w:t>
            </w:r>
            <w:r w:rsidRPr="00C4084C">
              <w:t xml:space="preserve">ndergraduate </w:t>
            </w:r>
            <w:r w:rsidR="00BE616E" w:rsidRPr="00C4084C">
              <w:t>l</w:t>
            </w:r>
            <w:r w:rsidRPr="00C4084C">
              <w:t xml:space="preserve">evel </w:t>
            </w:r>
          </w:p>
          <w:p w14:paraId="32B109F2" w14:textId="56466637" w:rsidR="000D7B2C" w:rsidRPr="00C4084C" w:rsidRDefault="000D7B2C" w:rsidP="00F56A97">
            <w:pPr>
              <w:pStyle w:val="Boxtext0"/>
            </w:pPr>
            <w:r w:rsidRPr="00C4084C">
              <w:t>Table A universities are not permitted to offer full fee-paying places in undergraduate courses to domestic students, except in some exceptional circumstances. As a result</w:t>
            </w:r>
            <w:r w:rsidR="67C9BE20" w:rsidRPr="00C4084C">
              <w:t>,</w:t>
            </w:r>
            <w:r w:rsidRPr="00C4084C">
              <w:t xml:space="preserve"> undergraduate students at these institutions are usually in Commonwealth supported places and access HECS-HELP (where eligible). </w:t>
            </w:r>
          </w:p>
          <w:p w14:paraId="4CD75D35" w14:textId="77777777" w:rsidR="000D7B2C" w:rsidRPr="00C4084C" w:rsidRDefault="000D7B2C" w:rsidP="00F56A97">
            <w:pPr>
              <w:pStyle w:val="Boxtext0"/>
            </w:pPr>
            <w:r w:rsidRPr="00C4084C">
              <w:t>In contrast, students enrolled at Table B universities and other higher education providers are predominantly in full fee-paying places. Eligible undergraduate students at these institutions currently receive support through FEE-HELP.</w:t>
            </w:r>
          </w:p>
          <w:p w14:paraId="7D1FA15A" w14:textId="77777777" w:rsidR="000D7B2C" w:rsidRPr="00C4084C" w:rsidRDefault="000D7B2C" w:rsidP="00F56A97">
            <w:pPr>
              <w:pStyle w:val="Boxtext0"/>
            </w:pPr>
            <w:r w:rsidRPr="00C4084C">
              <w:t>Generally, FEE-HELP loans for those undertaking undergraduate study attract a loan fee set at 20%, which students repay on top of the course fee. The exception (introduced in 2019) is where study is undertaken at a ‘Table B university’ – Bond University, Avondale University, Torrens University, and University of Divinity – in which case no loan fee is paid.</w:t>
            </w:r>
          </w:p>
          <w:p w14:paraId="417DF780" w14:textId="7249813D" w:rsidR="000D7B2C" w:rsidRPr="00C4084C" w:rsidRDefault="000D7B2C" w:rsidP="00F56A97">
            <w:pPr>
              <w:pStyle w:val="Boxtext0"/>
            </w:pPr>
            <w:r w:rsidRPr="00C4084C">
              <w:t>Because institutions can charge unlimited fees in full fee-paying places, fees deferred under FEE-HELP tend to be higher than those under HECS-HELP. As a result, it can be more costly for the government to provide a loan to a student accessing FEE-HELP. This has been the general justification for why FEE-HELP attracts a loan fee</w:t>
            </w:r>
            <w:r w:rsidR="5FEC593E" w:rsidRPr="00C4084C">
              <w:t>.</w:t>
            </w:r>
          </w:p>
          <w:p w14:paraId="02AFCDDB" w14:textId="6B421789" w:rsidR="00EE26E5" w:rsidRPr="00C4084C" w:rsidRDefault="000D7B2C" w:rsidP="00F56A97">
            <w:pPr>
              <w:pStyle w:val="Boxtext0"/>
            </w:pPr>
            <w:r w:rsidRPr="00C4084C">
              <w:t>HECS-HELP loans taken out by Commonwealth supported students tend to be lower and do not have a loan fee applied.</w:t>
            </w:r>
          </w:p>
        </w:tc>
      </w:tr>
    </w:tbl>
    <w:p w14:paraId="175DF876" w14:textId="543886A8" w:rsidR="00A3013F" w:rsidRPr="00C4084C" w:rsidRDefault="00E06C8E" w:rsidP="00F56A97">
      <w:r w:rsidRPr="00C4084C">
        <w:t>Given the higher costs associated with FEE-HELP loans, the Review believes a continued 20% loan fee for undergraduate FEE-HELP loans is justified.</w:t>
      </w:r>
      <w:bookmarkStart w:id="869" w:name="_Toc151023654"/>
      <w:bookmarkStart w:id="870" w:name="_Toc151024070"/>
    </w:p>
    <w:p w14:paraId="6BFFD1DF" w14:textId="092CD116" w:rsidR="00E06C8E" w:rsidRPr="00C4084C" w:rsidRDefault="00E06C8E" w:rsidP="007B0775">
      <w:pPr>
        <w:pStyle w:val="Heading5"/>
      </w:pPr>
      <w:r w:rsidRPr="00C4084C">
        <w:t>FEE-HELP at the postgraduate level</w:t>
      </w:r>
      <w:bookmarkEnd w:id="869"/>
      <w:bookmarkEnd w:id="870"/>
    </w:p>
    <w:p w14:paraId="50235990" w14:textId="1F9B06DF" w:rsidR="00E06C8E" w:rsidRPr="00C4084C" w:rsidRDefault="00E06C8E" w:rsidP="00F56A97">
      <w:r w:rsidRPr="00C4084C">
        <w:t xml:space="preserve">While most undergraduates are in Commonwealth supported places, many </w:t>
      </w:r>
      <w:r w:rsidR="00A775CB" w:rsidRPr="00C4084C">
        <w:t xml:space="preserve">coursework </w:t>
      </w:r>
      <w:r w:rsidRPr="00C4084C">
        <w:t xml:space="preserve">postgraduate students are in full fee-paying places, reflecting the ability of Table A universities to charge full fees at this level. </w:t>
      </w:r>
    </w:p>
    <w:p w14:paraId="772FC565" w14:textId="16F8BF83" w:rsidR="00E06C8E" w:rsidRPr="00C4084C" w:rsidRDefault="00E06C8E" w:rsidP="00F56A97">
      <w:r w:rsidRPr="00C4084C">
        <w:t xml:space="preserve">Most of these </w:t>
      </w:r>
      <w:r w:rsidR="00AB0A16" w:rsidRPr="00C4084C">
        <w:t>full-fee</w:t>
      </w:r>
      <w:r w:rsidRPr="00C4084C">
        <w:t xml:space="preserve"> places are in the fields of society and culture and management and commerce, for degrees such as </w:t>
      </w:r>
      <w:r w:rsidR="6A341E24" w:rsidRPr="00C4084C">
        <w:t xml:space="preserve">Juris Doctor (JD) and </w:t>
      </w:r>
      <w:r w:rsidRPr="00C4084C">
        <w:t xml:space="preserve">Master of Business Administration </w:t>
      </w:r>
      <w:r w:rsidR="6A341E24" w:rsidRPr="00C4084C">
        <w:t>(MBA)</w:t>
      </w:r>
      <w:r w:rsidRPr="00C4084C">
        <w:t xml:space="preserve">. The permitted flexibility in prices gives universities additional incentive to offer these courses, while the government prioritises postgraduate </w:t>
      </w:r>
      <w:r w:rsidR="3E880E4B" w:rsidRPr="00C4084C">
        <w:t>Commonwealth supported place</w:t>
      </w:r>
      <w:r w:rsidRPr="00C4084C">
        <w:t>s in priority disciplines such as nursing.</w:t>
      </w:r>
    </w:p>
    <w:p w14:paraId="7EB4BCF5" w14:textId="77777777" w:rsidR="00E06C8E" w:rsidRPr="00C4084C" w:rsidRDefault="00E06C8E" w:rsidP="00B1626C">
      <w:pPr>
        <w:pStyle w:val="Heading6"/>
      </w:pPr>
      <w:r w:rsidRPr="00C4084C">
        <w:t>Loan fees</w:t>
      </w:r>
    </w:p>
    <w:p w14:paraId="76C1FA36" w14:textId="77777777" w:rsidR="00E06C8E" w:rsidRPr="00C4084C" w:rsidRDefault="00E06C8E" w:rsidP="00F56A97">
      <w:r w:rsidRPr="00C4084C">
        <w:t xml:space="preserve">Unlike most undergraduates accessing FEE-HELP, postgraduates do not incur a loan fee. But, as with undergraduate loans, FEE-HELP loans are income contingent, and there are subsidies associated with the government providing them. </w:t>
      </w:r>
    </w:p>
    <w:p w14:paraId="0D136F8E" w14:textId="3E974A86" w:rsidR="00E06C8E" w:rsidRPr="00C4084C" w:rsidRDefault="00E06C8E" w:rsidP="00F56A97">
      <w:r w:rsidRPr="00C4084C">
        <w:t xml:space="preserve">The Review is concerned about the seeming lack of coherence around FEE-HELP arrangements for students at different classes of provider. These issues – which students should be liable for a loan fee and what the rate should be – raise complex financial and equity considerations that currently lack a reliable public evidence base. Rather than recommend piecemeal changes, the Review considers the </w:t>
      </w:r>
      <w:r w:rsidR="00216730" w:rsidRPr="00C4084C">
        <w:t xml:space="preserve">Government </w:t>
      </w:r>
      <w:r w:rsidRPr="00C4084C">
        <w:t xml:space="preserve">should investigate the question of </w:t>
      </w:r>
      <w:r w:rsidR="00A73AEE" w:rsidRPr="00C4084C">
        <w:t>FEE-</w:t>
      </w:r>
      <w:r w:rsidRPr="00C4084C">
        <w:t xml:space="preserve">HELP loan fees and </w:t>
      </w:r>
      <w:r w:rsidR="00216730" w:rsidRPr="00C4084C">
        <w:t xml:space="preserve">consider </w:t>
      </w:r>
      <w:r w:rsidRPr="00C4084C">
        <w:t>the best way to resolve the apparent inequities in the loan system.</w:t>
      </w:r>
    </w:p>
    <w:p w14:paraId="3DAB6511" w14:textId="3BEC5792" w:rsidR="00E06C8E" w:rsidRPr="00C4084C" w:rsidRDefault="00E06C8E" w:rsidP="00B1626C">
      <w:pPr>
        <w:pStyle w:val="Heading6"/>
      </w:pPr>
      <w:r w:rsidRPr="00C4084C">
        <w:lastRenderedPageBreak/>
        <w:t>Course fees</w:t>
      </w:r>
    </w:p>
    <w:p w14:paraId="735105C7" w14:textId="7A823070" w:rsidR="00E06C8E" w:rsidRPr="00C4084C" w:rsidRDefault="00E06C8E" w:rsidP="00F56A97">
      <w:r w:rsidRPr="00C4084C">
        <w:t xml:space="preserve">Depending on the discipline, course fees can be higher at the postgraduate level as universities have full price discretion and students are often prepared to pay a premium for these qualifications. In some exceptional cases, such as JDs and MBAs, high prices for postgraduate study can be considered a proxy for quality. This quality signal can lead to increased student demand for such courses, and consequent ‘exclusivity’. Although these examples are not common, such highly priced courses raise questions around equity and access. </w:t>
      </w:r>
    </w:p>
    <w:p w14:paraId="0657A3E0" w14:textId="228A109D" w:rsidR="00E06C8E" w:rsidRPr="00C4084C" w:rsidRDefault="00E06C8E" w:rsidP="00F56A97">
      <w:r w:rsidRPr="00C4084C">
        <w:t xml:space="preserve">The </w:t>
      </w:r>
      <w:r w:rsidR="00FD7F9E" w:rsidRPr="00C4084C">
        <w:t>coursework</w:t>
      </w:r>
      <w:r w:rsidRPr="00C4084C">
        <w:t xml:space="preserve"> postgraduate full fee-paying cohort should continue to be characterised by a level of pricing flexibility, but this freedom should exist within a framework that ensures student fees are not exorbitantly high. </w:t>
      </w:r>
    </w:p>
    <w:p w14:paraId="6B367029" w14:textId="7C8B39A4" w:rsidR="00E06C8E" w:rsidRPr="00C4084C" w:rsidRDefault="00E06C8E" w:rsidP="00F56A97">
      <w:r w:rsidRPr="00C4084C">
        <w:t xml:space="preserve">To achieve this, the Review recommends that, for the small number of high fee courses (e.g. those that charge over $40,000 per EFTSL), the </w:t>
      </w:r>
      <w:r w:rsidR="00E339A6" w:rsidRPr="00C4084C">
        <w:t>Commission</w:t>
      </w:r>
      <w:r w:rsidRPr="00C4084C">
        <w:t xml:space="preserve"> </w:t>
      </w:r>
      <w:r w:rsidR="00352CB5" w:rsidRPr="00C4084C">
        <w:t>require a scholarship contribution</w:t>
      </w:r>
      <w:r w:rsidR="00433314" w:rsidRPr="00C4084C">
        <w:t xml:space="preserve"> (see Recommendation </w:t>
      </w:r>
      <w:r w:rsidR="00F77279" w:rsidRPr="00C4084C">
        <w:t>17</w:t>
      </w:r>
      <w:r w:rsidR="00433314" w:rsidRPr="00C4084C">
        <w:t>)</w:t>
      </w:r>
      <w:r w:rsidRPr="00C4084C">
        <w:t xml:space="preserve">. Under such a </w:t>
      </w:r>
      <w:r w:rsidR="00352CB5" w:rsidRPr="00C4084C">
        <w:t>contribution</w:t>
      </w:r>
      <w:r w:rsidRPr="00C4084C">
        <w:t xml:space="preserve">, providers would be obliged to re-invest a proportion of fee income above this level back into scholarships and bursaries for historically </w:t>
      </w:r>
      <w:r w:rsidR="00D7545F" w:rsidRPr="00C4084C">
        <w:t>under-represented</w:t>
      </w:r>
      <w:r w:rsidRPr="00C4084C">
        <w:t xml:space="preserve"> students in these courses, to ensure they have access to, and can benefit from, these high-fee courses.</w:t>
      </w:r>
    </w:p>
    <w:p w14:paraId="2DB3529C" w14:textId="62E20B82" w:rsidR="00496D4E" w:rsidRPr="00C4084C" w:rsidRDefault="006257E2" w:rsidP="003E5969">
      <w:r w:rsidRPr="00C4084C">
        <w:t xml:space="preserve">Another way to reduce what students are required to pay for postgraduate qualifications is to increase the number of Commonwealth supported postgraduate places, given students in these places are </w:t>
      </w:r>
      <w:r w:rsidR="00887AF0" w:rsidRPr="00C4084C">
        <w:t>only</w:t>
      </w:r>
      <w:r w:rsidRPr="00C4084C">
        <w:t xml:space="preserve"> required to pay a student contribution that is capped by the </w:t>
      </w:r>
      <w:r w:rsidR="00D22AB8" w:rsidRPr="00C4084C">
        <w:t>Australian</w:t>
      </w:r>
      <w:r w:rsidRPr="00C4084C">
        <w:t xml:space="preserve"> Government. As outlined in </w:t>
      </w:r>
      <w:r w:rsidR="008C34DB" w:rsidRPr="00C4084C">
        <w:rPr>
          <w:i/>
          <w:iCs/>
        </w:rPr>
        <w:fldChar w:fldCharType="begin"/>
      </w:r>
      <w:r w:rsidR="008C34DB" w:rsidRPr="00C4084C">
        <w:rPr>
          <w:i/>
          <w:iCs/>
        </w:rPr>
        <w:instrText xml:space="preserve"> REF _Ref152710699 \r \h  \* MERGEFORMAT </w:instrText>
      </w:r>
      <w:r w:rsidR="008C34DB" w:rsidRPr="00C4084C">
        <w:rPr>
          <w:i/>
          <w:iCs/>
        </w:rPr>
      </w:r>
      <w:r w:rsidR="008C34DB" w:rsidRPr="00C4084C">
        <w:rPr>
          <w:i/>
          <w:iCs/>
        </w:rPr>
        <w:fldChar w:fldCharType="separate"/>
      </w:r>
      <w:r w:rsidR="00467B4F">
        <w:rPr>
          <w:i/>
          <w:iCs/>
        </w:rPr>
        <w:t xml:space="preserve">Chapter 8 – </w:t>
      </w:r>
      <w:r w:rsidR="008C34DB" w:rsidRPr="00C4084C">
        <w:rPr>
          <w:i/>
          <w:iCs/>
        </w:rPr>
        <w:fldChar w:fldCharType="end"/>
      </w:r>
      <w:r w:rsidR="008C34DB" w:rsidRPr="00C4084C">
        <w:rPr>
          <w:i/>
          <w:iCs/>
        </w:rPr>
        <w:fldChar w:fldCharType="begin"/>
      </w:r>
      <w:r w:rsidR="008C34DB" w:rsidRPr="00C4084C">
        <w:rPr>
          <w:i/>
          <w:iCs/>
        </w:rPr>
        <w:instrText xml:space="preserve"> REF _Ref152710704 \h  \* MERGEFORMAT </w:instrText>
      </w:r>
      <w:r w:rsidR="008C34DB" w:rsidRPr="00C4084C">
        <w:rPr>
          <w:i/>
          <w:iCs/>
        </w:rPr>
      </w:r>
      <w:r w:rsidR="008C34DB" w:rsidRPr="00C4084C">
        <w:rPr>
          <w:i/>
          <w:iCs/>
        </w:rPr>
        <w:fldChar w:fldCharType="separate"/>
      </w:r>
      <w:r w:rsidR="00467B4F" w:rsidRPr="00467B4F">
        <w:rPr>
          <w:i/>
          <w:iCs/>
        </w:rPr>
        <w:t>A new funding model to underpin growth and quality</w:t>
      </w:r>
      <w:r w:rsidR="008C34DB" w:rsidRPr="00C4084C">
        <w:rPr>
          <w:i/>
          <w:iCs/>
        </w:rPr>
        <w:fldChar w:fldCharType="end"/>
      </w:r>
      <w:r w:rsidRPr="00C4084C">
        <w:t>, these places should be provided in areas of national priority and skills shortage</w:t>
      </w:r>
      <w:r w:rsidR="00887AF0" w:rsidRPr="00C4084C">
        <w:t>. Ensuring students wishing to enrol in these courses can access a C</w:t>
      </w:r>
      <w:r w:rsidR="4EEF0B28" w:rsidRPr="00C4084C">
        <w:t>ommonwealth supported place</w:t>
      </w:r>
      <w:r w:rsidR="00887AF0" w:rsidRPr="00C4084C">
        <w:t xml:space="preserve"> rather than having to pay full fees will significantly reduce the amount they are required to either pay or defer through HELP. </w:t>
      </w:r>
    </w:p>
    <w:tbl>
      <w:tblPr>
        <w:tblW w:w="0" w:type="auto"/>
        <w:tblLook w:val="04A0" w:firstRow="1" w:lastRow="0" w:firstColumn="1" w:lastColumn="0" w:noHBand="0" w:noVBand="1"/>
      </w:tblPr>
      <w:tblGrid>
        <w:gridCol w:w="9016"/>
      </w:tblGrid>
      <w:tr w:rsidR="00410AE3" w:rsidRPr="00C4084C" w14:paraId="388D8A45" w14:textId="77777777" w:rsidTr="00D26B82">
        <w:tc>
          <w:tcPr>
            <w:tcW w:w="9016" w:type="dxa"/>
            <w:tcBorders>
              <w:top w:val="nil"/>
              <w:left w:val="nil"/>
              <w:bottom w:val="nil"/>
              <w:right w:val="nil"/>
            </w:tcBorders>
            <w:shd w:val="clear" w:color="auto" w:fill="FEECDF"/>
          </w:tcPr>
          <w:p w14:paraId="29F2C97D" w14:textId="07A23EB8" w:rsidR="00295667" w:rsidRDefault="00295667" w:rsidP="003E5969">
            <w:pPr>
              <w:pStyle w:val="Recheadinginbox"/>
              <w:rPr>
                <w:rFonts w:ascii="Calibri" w:hAnsi="Calibri" w:cs="Calibri"/>
              </w:rPr>
            </w:pPr>
            <w:bookmarkStart w:id="871" w:name="_Toc151023656"/>
            <w:bookmarkStart w:id="872" w:name="_Toc151024072"/>
            <w:r w:rsidRPr="00C4084C">
              <w:lastRenderedPageBreak/>
              <w:t>Recommendation</w:t>
            </w:r>
            <w:r>
              <w:t xml:space="preserve">: </w:t>
            </w:r>
            <w:r w:rsidRPr="00C4084C">
              <w:t>Reducing student contributions and reforming HELP repayment arrangements</w:t>
            </w:r>
          </w:p>
          <w:p w14:paraId="5B961DA4" w14:textId="4491D706" w:rsidR="00410AE3" w:rsidRPr="00C4084C" w:rsidRDefault="00410AE3" w:rsidP="003E5969">
            <w:pPr>
              <w:pStyle w:val="Recsin-chapterL1"/>
              <w:framePr w:wrap="notBeside"/>
              <w:spacing w:before="0" w:after="0"/>
            </w:pPr>
            <w:r w:rsidRPr="00C4084C">
              <w:t>That to reduce the long-term financial costs of studying for students, the Australian Government make student contributions fairer and better reflect</w:t>
            </w:r>
            <w:r w:rsidR="009B66EA">
              <w:t>ive of</w:t>
            </w:r>
            <w:r w:rsidRPr="00C4084C">
              <w:t xml:space="preserve"> lifetime benefits that students will gain from studying and reduce the burden of HELP loans by introducing fairer and simpler indexation and repayment arrangements. This should involve:</w:t>
            </w:r>
          </w:p>
          <w:p w14:paraId="28FBF0A6" w14:textId="547E7831" w:rsidR="00410AE3" w:rsidRPr="00C4084C" w:rsidRDefault="00410AE3" w:rsidP="003E5969">
            <w:pPr>
              <w:pStyle w:val="Recsin-chapterL2"/>
              <w:spacing w:before="0" w:beforeAutospacing="0"/>
            </w:pPr>
            <w:r w:rsidRPr="00C4084C">
              <w:t xml:space="preserve">reducing student contributions to address the most significant impacts of the Job-ready Graduates (JRG) package starting with students in </w:t>
            </w:r>
            <w:r w:rsidR="00443AED">
              <w:t>h</w:t>
            </w:r>
            <w:r w:rsidRPr="00C4084C">
              <w:t xml:space="preserve">umanities, </w:t>
            </w:r>
            <w:r w:rsidR="00443AED">
              <w:t>o</w:t>
            </w:r>
            <w:r w:rsidRPr="00C4084C">
              <w:t xml:space="preserve">ther </w:t>
            </w:r>
            <w:r w:rsidR="00443AED">
              <w:t>s</w:t>
            </w:r>
            <w:r w:rsidRPr="00C4084C">
              <w:t xml:space="preserve">ociety and </w:t>
            </w:r>
            <w:r w:rsidR="00443AED">
              <w:t>c</w:t>
            </w:r>
            <w:r w:rsidRPr="00C4084C">
              <w:t xml:space="preserve">ulture, </w:t>
            </w:r>
            <w:r w:rsidR="00443AED">
              <w:t>c</w:t>
            </w:r>
            <w:r w:rsidRPr="00C4084C">
              <w:t xml:space="preserve">ommunications and </w:t>
            </w:r>
            <w:r w:rsidR="00443AED">
              <w:t>h</w:t>
            </w:r>
            <w:r w:rsidRPr="00C4084C">
              <w:t xml:space="preserve">uman </w:t>
            </w:r>
            <w:r w:rsidR="00443AED">
              <w:t>m</w:t>
            </w:r>
            <w:r w:rsidRPr="00C4084C">
              <w:t xml:space="preserve">ovement, and moving toward a student contribution system based on projected potential lifetime </w:t>
            </w:r>
            <w:proofErr w:type="gramStart"/>
            <w:r w:rsidRPr="00C4084C">
              <w:t>earnings</w:t>
            </w:r>
            <w:proofErr w:type="gramEnd"/>
          </w:p>
          <w:p w14:paraId="644BE280" w14:textId="77777777" w:rsidR="00410AE3" w:rsidRPr="00C4084C" w:rsidRDefault="00410AE3" w:rsidP="003E5969">
            <w:pPr>
              <w:pStyle w:val="Recsin-chapterL2"/>
            </w:pPr>
            <w:r w:rsidRPr="00C4084C">
              <w:t xml:space="preserve">reducing the financial burden of repayment on low-income earners and limiting disincentives to work additional hours by moving to a system of HELP repayment based on marginal </w:t>
            </w:r>
            <w:proofErr w:type="gramStart"/>
            <w:r w:rsidRPr="00C4084C">
              <w:t>rates</w:t>
            </w:r>
            <w:proofErr w:type="gramEnd"/>
          </w:p>
          <w:p w14:paraId="4E3D2C4E" w14:textId="77777777" w:rsidR="00410AE3" w:rsidRPr="00C4084C" w:rsidRDefault="00410AE3" w:rsidP="003E5969">
            <w:pPr>
              <w:pStyle w:val="Recsin-chapterL2"/>
            </w:pPr>
            <w:r w:rsidRPr="00C4084C">
              <w:t xml:space="preserve">reducing repayment times by changing the timing of indexation for HELP loans so that amounts withheld for compulsory repayment can be accounted for before indexation is </w:t>
            </w:r>
            <w:proofErr w:type="gramStart"/>
            <w:r w:rsidRPr="00C4084C">
              <w:t>applied</w:t>
            </w:r>
            <w:proofErr w:type="gramEnd"/>
          </w:p>
          <w:p w14:paraId="1BD98414" w14:textId="77777777" w:rsidR="00410AE3" w:rsidRPr="00C4084C" w:rsidRDefault="00410AE3" w:rsidP="003E5969">
            <w:pPr>
              <w:pStyle w:val="Recsin-chapterL2"/>
            </w:pPr>
            <w:r w:rsidRPr="00C4084C">
              <w:t xml:space="preserve">ensuring that growth in HELP loans does not outpace growth in wages by setting the HELP indexation rate to the lower of the Consumer Price Index (CPI) and the Wage Price Index (WPI) </w:t>
            </w:r>
          </w:p>
          <w:p w14:paraId="02ACC1A5" w14:textId="23857AEC" w:rsidR="00410AE3" w:rsidRPr="00C4084C" w:rsidRDefault="00410AE3" w:rsidP="003E5969">
            <w:pPr>
              <w:pStyle w:val="Recsin-chapterL2"/>
            </w:pPr>
            <w:r w:rsidRPr="00C4084C">
              <w:t xml:space="preserve">reviewing bank lending practices to ensure banks recognise that HELP loans are not like other types of loans and </w:t>
            </w:r>
            <w:r w:rsidR="00443AED">
              <w:t xml:space="preserve">are </w:t>
            </w:r>
            <w:r w:rsidRPr="00C4084C">
              <w:t>not treated in a way that unduly limits peoples’ borrowing capacity for home loans.</w:t>
            </w:r>
          </w:p>
        </w:tc>
      </w:tr>
    </w:tbl>
    <w:p w14:paraId="09815B25" w14:textId="77777777" w:rsidR="003A05EC" w:rsidRPr="00C4084C" w:rsidRDefault="003A05EC" w:rsidP="00F56A97">
      <w:pPr>
        <w:spacing w:after="0"/>
      </w:pPr>
      <w:bookmarkStart w:id="873" w:name="_Toc1014529786"/>
      <w:bookmarkStart w:id="874" w:name="_Toc153483047"/>
    </w:p>
    <w:tbl>
      <w:tblPr>
        <w:tblW w:w="0" w:type="auto"/>
        <w:shd w:val="clear" w:color="auto" w:fill="FBE4D5"/>
        <w:tblLook w:val="04A0" w:firstRow="1" w:lastRow="0" w:firstColumn="1" w:lastColumn="0" w:noHBand="0" w:noVBand="1"/>
      </w:tblPr>
      <w:tblGrid>
        <w:gridCol w:w="9026"/>
      </w:tblGrid>
      <w:tr w:rsidR="00B61E7B" w:rsidRPr="00C4084C" w14:paraId="79C75A90" w14:textId="77777777" w:rsidTr="00D26B82">
        <w:tc>
          <w:tcPr>
            <w:tcW w:w="9026" w:type="dxa"/>
            <w:shd w:val="clear" w:color="auto" w:fill="FEECDF"/>
          </w:tcPr>
          <w:p w14:paraId="594F6EB8" w14:textId="77777777" w:rsidR="00B61E7B" w:rsidRPr="00C4084C" w:rsidRDefault="00B61E7B" w:rsidP="003E5969">
            <w:pPr>
              <w:pStyle w:val="Recsin-chapterL1"/>
              <w:framePr w:wrap="notBeside"/>
              <w:spacing w:after="0"/>
            </w:pPr>
            <w:r w:rsidRPr="00C4084C">
              <w:t>That to improve access to postgraduate coursework studies:</w:t>
            </w:r>
          </w:p>
          <w:p w14:paraId="57576C1F" w14:textId="77777777" w:rsidR="00B61E7B" w:rsidRPr="00C4084C" w:rsidRDefault="00B61E7B" w:rsidP="003E5969">
            <w:pPr>
              <w:pStyle w:val="Recsin-chapterL2"/>
              <w:spacing w:before="0" w:beforeAutospacing="0"/>
            </w:pPr>
            <w:r w:rsidRPr="00C4084C">
              <w:t xml:space="preserve">the Australian Government increase the number of Commonwealth supported places available for postgraduate study in areas of national priority and skills </w:t>
            </w:r>
            <w:proofErr w:type="gramStart"/>
            <w:r w:rsidRPr="00C4084C">
              <w:t>shortages</w:t>
            </w:r>
            <w:proofErr w:type="gramEnd"/>
          </w:p>
          <w:p w14:paraId="4FDBD4F3" w14:textId="77777777" w:rsidR="00B61E7B" w:rsidRPr="00C4084C" w:rsidRDefault="00B61E7B" w:rsidP="003E5969">
            <w:pPr>
              <w:pStyle w:val="Recsin-chapterL2"/>
            </w:pPr>
            <w:r w:rsidRPr="00C4084C">
              <w:t xml:space="preserve">the Australian Tertiary Education Commission negotiate as part of mission-based compacts with universities that they prioritise Commonwealth supported postgraduate places over full-fee paying postgraduate </w:t>
            </w:r>
            <w:proofErr w:type="gramStart"/>
            <w:r w:rsidRPr="00C4084C">
              <w:t>places</w:t>
            </w:r>
            <w:proofErr w:type="gramEnd"/>
          </w:p>
          <w:p w14:paraId="3F855980" w14:textId="77777777" w:rsidR="00B61E7B" w:rsidRPr="00C4084C" w:rsidDel="00C977C2" w:rsidRDefault="00B61E7B" w:rsidP="003E5969">
            <w:pPr>
              <w:pStyle w:val="Recsin-chapterL2"/>
              <w:rPr>
                <w:rStyle w:val="PriorityAction-Bold"/>
                <w:rFonts w:cs="Calibri"/>
                <w:b w:val="0"/>
                <w:i w:val="0"/>
              </w:rPr>
            </w:pPr>
            <w:r w:rsidRPr="00C4084C">
              <w:t>higher education providers charging high fees (above $40,000 per Equivalent Full Time Student Load) for domestic full-fee postgraduate courses be required to re-invest a proportion of income earned back into scholarships and bursaries to support students from under-represented backgrounds to access these courses.</w:t>
            </w:r>
          </w:p>
        </w:tc>
      </w:tr>
    </w:tbl>
    <w:p w14:paraId="692A1AD2" w14:textId="259CC013" w:rsidR="00E06C8E" w:rsidRPr="00C4084C" w:rsidRDefault="00E06C8E" w:rsidP="00745009">
      <w:pPr>
        <w:pStyle w:val="Heading3"/>
      </w:pPr>
      <w:bookmarkStart w:id="875" w:name="_Toc159500958"/>
      <w:r w:rsidRPr="00C4084C">
        <w:t>Ensuring a high-quality student experience</w:t>
      </w:r>
      <w:bookmarkEnd w:id="871"/>
      <w:bookmarkEnd w:id="872"/>
      <w:bookmarkEnd w:id="873"/>
      <w:bookmarkEnd w:id="874"/>
      <w:bookmarkEnd w:id="875"/>
    </w:p>
    <w:p w14:paraId="0F53E6AC" w14:textId="751E9E52" w:rsidR="00E06C8E" w:rsidRPr="00C4084C" w:rsidRDefault="00E06C8E" w:rsidP="00F56A97">
      <w:r w:rsidRPr="00C4084C">
        <w:t xml:space="preserve">The first part of this chapter looked at the student financial contribution to higher education. </w:t>
      </w:r>
    </w:p>
    <w:p w14:paraId="20C51C0B" w14:textId="76506ED7" w:rsidR="00E06C8E" w:rsidRPr="00C4084C" w:rsidRDefault="00E06C8E" w:rsidP="00F56A97">
      <w:r w:rsidRPr="00C4084C">
        <w:t xml:space="preserve">This part of the chapter looks at what students should expect: strong technical and advanced generic skills, a safe learning environment, a student voice in the system, high-quality teaching, innovative delivery modes (both on campus and online), better experiences from student placements, and responsive curricula and pedagogy with deep connections to industry. </w:t>
      </w:r>
    </w:p>
    <w:p w14:paraId="44D19761" w14:textId="2BD25CD9" w:rsidR="00E06C8E" w:rsidRPr="00C4084C" w:rsidRDefault="00E06C8E" w:rsidP="00F56A97">
      <w:r w:rsidRPr="00C4084C">
        <w:t xml:space="preserve">To </w:t>
      </w:r>
      <w:r w:rsidR="00ED55A8" w:rsidRPr="00C4084C">
        <w:t xml:space="preserve">assess if </w:t>
      </w:r>
      <w:r w:rsidRPr="00C4084C">
        <w:t>these outcomes</w:t>
      </w:r>
      <w:r w:rsidR="00ED55A8" w:rsidRPr="00C4084C">
        <w:t xml:space="preserve"> are being delivered</w:t>
      </w:r>
      <w:r w:rsidRPr="00C4084C">
        <w:t xml:space="preserve">, they must be measurable. Despite high rates of graduate employment and consistently positive student experience ratings through QILT, the Review has heard that measuring student outcomes (and teaching performance) is inherently difficult. Student experience metrics – though valuable – are </w:t>
      </w:r>
      <w:r w:rsidR="00ED55A8" w:rsidRPr="00C4084C">
        <w:t>indicators only</w:t>
      </w:r>
      <w:r w:rsidRPr="00C4084C">
        <w:t xml:space="preserve">, the results of which do not easily </w:t>
      </w:r>
      <w:r w:rsidRPr="00C4084C">
        <w:lastRenderedPageBreak/>
        <w:t>translate to improved learning and teaching practices. Measures of graduate outcomes are valuable but are often far removed from learning and teaching practice, making it difficult to understand which practices work. Where best practice is adopted, there is no formal, whole-of-system approach to sharing this and delivering broader benefit.</w:t>
      </w:r>
    </w:p>
    <w:p w14:paraId="37A945B9" w14:textId="29B18D04" w:rsidR="00E06C8E" w:rsidRPr="00C4084C" w:rsidRDefault="00E06C8E" w:rsidP="00F56A97">
      <w:r w:rsidRPr="00C4084C">
        <w:t xml:space="preserve">If Australia is to achieve the ambition of this Review and significantly grow student enrolments, particularly among those from historically </w:t>
      </w:r>
      <w:r w:rsidR="00D7545F" w:rsidRPr="00C4084C">
        <w:t>under-represented</w:t>
      </w:r>
      <w:r w:rsidRPr="00C4084C">
        <w:t xml:space="preserve"> groups, it must strive to be a world leader in delivering innovative, best practice learning and teaching for its students.</w:t>
      </w:r>
    </w:p>
    <w:p w14:paraId="73E489BE" w14:textId="3EB08B52" w:rsidR="00E06C8E" w:rsidRPr="00C4084C" w:rsidRDefault="00E06C8E" w:rsidP="00F56A97">
      <w:r w:rsidRPr="00C4084C">
        <w:t xml:space="preserve">The interventions proposed here are supported by recommendations outlined elsewhere in this Report, including a range of delivery, </w:t>
      </w:r>
      <w:proofErr w:type="gramStart"/>
      <w:r w:rsidRPr="00C4084C">
        <w:t>governance</w:t>
      </w:r>
      <w:proofErr w:type="gramEnd"/>
      <w:r w:rsidRPr="00C4084C">
        <w:t xml:space="preserve"> and funding mechanisms such as the new funding model for learning, teaching and scholarship, </w:t>
      </w:r>
      <w:r w:rsidR="3EF7E4EF" w:rsidRPr="00C4084C">
        <w:t>the</w:t>
      </w:r>
      <w:r w:rsidRPr="00C4084C">
        <w:t xml:space="preserve"> Jobs Broker program, improved Work Integrated Learning, and considerations of income support arrangements for those most in need. </w:t>
      </w:r>
    </w:p>
    <w:p w14:paraId="21853F6D" w14:textId="77777777" w:rsidR="00E06C8E" w:rsidRPr="00C4084C" w:rsidRDefault="00E06C8E" w:rsidP="00F56A97">
      <w:r w:rsidRPr="00C4084C">
        <w:t xml:space="preserve">Each of these measures to improve what students put into and get out of the system, and to deliver a high-quality learning experience and affordable education, will benefit not only students, but the higher education system and nation more broadly. </w:t>
      </w:r>
    </w:p>
    <w:p w14:paraId="0FDF06C0" w14:textId="7477CAE9" w:rsidR="00E06C8E" w:rsidRPr="00C4084C" w:rsidRDefault="00616127" w:rsidP="00BA6095">
      <w:pPr>
        <w:pStyle w:val="Heading4"/>
      </w:pPr>
      <w:bookmarkStart w:id="876" w:name="_Toc153483048"/>
      <w:bookmarkStart w:id="877" w:name="_Toc159500959"/>
      <w:r w:rsidRPr="00C4084C">
        <w:t xml:space="preserve">Ensuring student safety and </w:t>
      </w:r>
      <w:r w:rsidR="001843EA" w:rsidRPr="00C4084C">
        <w:t>wellbeing</w:t>
      </w:r>
      <w:bookmarkEnd w:id="876"/>
      <w:bookmarkEnd w:id="877"/>
    </w:p>
    <w:p w14:paraId="7A12B888" w14:textId="5BD524E0" w:rsidR="00E06C8E" w:rsidRPr="00C4084C" w:rsidRDefault="00E06C8E" w:rsidP="00F56A97">
      <w:pPr>
        <w:rPr>
          <w:rFonts w:cstheme="minorHAnsi"/>
          <w:color w:val="212121"/>
          <w:shd w:val="clear" w:color="auto" w:fill="FFFFFF"/>
        </w:rPr>
      </w:pPr>
      <w:r w:rsidRPr="00C4084C">
        <w:t xml:space="preserve">Student wellbeing and safety is </w:t>
      </w:r>
      <w:r w:rsidR="00323411" w:rsidRPr="00C4084C">
        <w:t>fundamental</w:t>
      </w:r>
      <w:r w:rsidRPr="00C4084C">
        <w:t xml:space="preserve">. In response to the Review’s Interim Report, action is already being taken to prioritise student and staff safety, including the establishment of a </w:t>
      </w:r>
      <w:r w:rsidR="001843EA" w:rsidRPr="00C4084C">
        <w:t xml:space="preserve">cross-jurisdictional </w:t>
      </w:r>
      <w:r w:rsidRPr="00C4084C">
        <w:t xml:space="preserve">Working Group to </w:t>
      </w:r>
      <w:r w:rsidR="004D62B4" w:rsidRPr="00C4084C">
        <w:t xml:space="preserve">strengthen </w:t>
      </w:r>
      <w:r w:rsidRPr="00C4084C">
        <w:t xml:space="preserve">university governance </w:t>
      </w:r>
      <w:r w:rsidR="001843EA" w:rsidRPr="00C4084C">
        <w:t>that</w:t>
      </w:r>
      <w:r w:rsidRPr="00C4084C">
        <w:t xml:space="preserve"> </w:t>
      </w:r>
      <w:r w:rsidR="00634736" w:rsidRPr="00C4084C">
        <w:t>include</w:t>
      </w:r>
      <w:r w:rsidR="00634736">
        <w:t>d</w:t>
      </w:r>
      <w:r w:rsidR="00634736" w:rsidRPr="00C4084C">
        <w:t xml:space="preserve"> </w:t>
      </w:r>
      <w:r w:rsidRPr="00C4084C">
        <w:t xml:space="preserve">an expert on the prevention of </w:t>
      </w:r>
      <w:r w:rsidR="001843EA" w:rsidRPr="00C4084C">
        <w:t xml:space="preserve">violence against women </w:t>
      </w:r>
      <w:r w:rsidRPr="00C4084C">
        <w:t xml:space="preserve">and </w:t>
      </w:r>
      <w:r w:rsidR="001843EA" w:rsidRPr="00C4084C">
        <w:t>children</w:t>
      </w:r>
      <w:r w:rsidRPr="00C4084C">
        <w:t xml:space="preserve">. </w:t>
      </w:r>
      <w:r w:rsidR="001843EA" w:rsidRPr="00C4084C">
        <w:rPr>
          <w:rFonts w:cstheme="minorHAnsi"/>
          <w:color w:val="212121"/>
          <w:shd w:val="clear" w:color="auto" w:fill="FFFFFF"/>
        </w:rPr>
        <w:t>Every student deserves</w:t>
      </w:r>
      <w:r w:rsidRPr="00C4084C">
        <w:rPr>
          <w:rFonts w:cstheme="minorHAnsi"/>
          <w:color w:val="212121"/>
          <w:shd w:val="clear" w:color="auto" w:fill="FFFFFF"/>
        </w:rPr>
        <w:t xml:space="preserve"> to </w:t>
      </w:r>
      <w:r w:rsidR="001843EA" w:rsidRPr="00C4084C">
        <w:rPr>
          <w:rFonts w:cstheme="minorHAnsi"/>
          <w:color w:val="212121"/>
          <w:shd w:val="clear" w:color="auto" w:fill="FFFFFF"/>
        </w:rPr>
        <w:t>be and feel safe while they are engag</w:t>
      </w:r>
      <w:r w:rsidR="002577FD" w:rsidRPr="00C4084C">
        <w:rPr>
          <w:rFonts w:cstheme="minorHAnsi"/>
          <w:color w:val="212121"/>
          <w:shd w:val="clear" w:color="auto" w:fill="FFFFFF"/>
        </w:rPr>
        <w:t>e</w:t>
      </w:r>
      <w:r w:rsidR="001843EA" w:rsidRPr="00C4084C">
        <w:rPr>
          <w:rFonts w:cstheme="minorHAnsi"/>
          <w:color w:val="212121"/>
          <w:shd w:val="clear" w:color="auto" w:fill="FFFFFF"/>
        </w:rPr>
        <w:t>d in higher education.</w:t>
      </w:r>
    </w:p>
    <w:p w14:paraId="3B3E2FDE" w14:textId="347631C8" w:rsidR="00E06C8E" w:rsidRPr="00C4084C" w:rsidRDefault="0E03B113" w:rsidP="00F56A97">
      <w:pPr>
        <w:rPr>
          <w:color w:val="222222"/>
        </w:rPr>
      </w:pPr>
      <w:r w:rsidRPr="00F56A97">
        <w:t>It is important for students to feel a</w:t>
      </w:r>
      <w:r w:rsidR="00E06C8E" w:rsidRPr="00F56A97">
        <w:t xml:space="preserve"> sense of connection and</w:t>
      </w:r>
      <w:r w:rsidR="00E06C8E" w:rsidRPr="00F56A97">
        <w:rPr>
          <w:shd w:val="clear" w:color="auto" w:fill="FFFFFF"/>
        </w:rPr>
        <w:t xml:space="preserve"> belonging</w:t>
      </w:r>
      <w:r w:rsidR="00E06C8E" w:rsidRPr="00F56A97">
        <w:t xml:space="preserve"> </w:t>
      </w:r>
      <w:r w:rsidR="07199179" w:rsidRPr="00F56A97">
        <w:t xml:space="preserve">to their </w:t>
      </w:r>
      <w:r w:rsidR="00352CB5" w:rsidRPr="00F56A97">
        <w:t>university</w:t>
      </w:r>
      <w:r w:rsidR="07199179" w:rsidRPr="00F56A97">
        <w:t>, which</w:t>
      </w:r>
      <w:r w:rsidR="00E06C8E" w:rsidRPr="00F56A97">
        <w:rPr>
          <w:shd w:val="clear" w:color="auto" w:fill="FFFFFF"/>
        </w:rPr>
        <w:t xml:space="preserve"> can have positive impacts on wellbeing,</w:t>
      </w:r>
      <w:r w:rsidR="00E06C8E" w:rsidRPr="00C4084C">
        <w:rPr>
          <w:color w:val="222222"/>
        </w:rPr>
        <w:t xml:space="preserve"> student transition and retention and academic outcomes.</w:t>
      </w:r>
      <w:r w:rsidR="00E06C8E" w:rsidRPr="00C4084C">
        <w:rPr>
          <w:rStyle w:val="FootnoteReference"/>
          <w:color w:val="222222"/>
        </w:rPr>
        <w:footnoteReference w:id="267"/>
      </w:r>
      <w:r w:rsidR="00E06C8E" w:rsidRPr="00C4084C">
        <w:rPr>
          <w:color w:val="222222"/>
        </w:rPr>
        <w:t xml:space="preserve"> The Review has found that technological changes, including the growing prevalence of technology-based communication and </w:t>
      </w:r>
      <w:r w:rsidR="00E35E10" w:rsidRPr="00C4084C">
        <w:rPr>
          <w:color w:val="222222"/>
        </w:rPr>
        <w:t xml:space="preserve">use </w:t>
      </w:r>
      <w:r w:rsidR="00E06C8E" w:rsidRPr="00C4084C">
        <w:rPr>
          <w:color w:val="222222"/>
        </w:rPr>
        <w:t>of artificial intelligence in curriculum and support services</w:t>
      </w:r>
      <w:r w:rsidR="002E409D">
        <w:rPr>
          <w:color w:val="222222"/>
        </w:rPr>
        <w:t>,</w:t>
      </w:r>
      <w:r w:rsidR="00E06C8E" w:rsidRPr="00C4084C">
        <w:rPr>
          <w:color w:val="222222"/>
        </w:rPr>
        <w:t xml:space="preserve"> can </w:t>
      </w:r>
      <w:r w:rsidR="2D6E9498" w:rsidRPr="00C4084C">
        <w:rPr>
          <w:color w:val="222222"/>
        </w:rPr>
        <w:t>affect</w:t>
      </w:r>
      <w:r w:rsidR="00E06C8E" w:rsidRPr="00C4084C">
        <w:rPr>
          <w:color w:val="222222"/>
        </w:rPr>
        <w:t xml:space="preserve"> students</w:t>
      </w:r>
      <w:r w:rsidR="00F906D1" w:rsidRPr="00C4084C">
        <w:rPr>
          <w:color w:val="222222"/>
        </w:rPr>
        <w:t>’</w:t>
      </w:r>
      <w:r w:rsidR="00E06C8E" w:rsidRPr="00C4084C">
        <w:rPr>
          <w:color w:val="222222"/>
        </w:rPr>
        <w:t xml:space="preserve"> sense of belonging to </w:t>
      </w:r>
      <w:r w:rsidR="0024466F" w:rsidRPr="00C4084C">
        <w:rPr>
          <w:color w:val="222222"/>
        </w:rPr>
        <w:t>their universities</w:t>
      </w:r>
      <w:r w:rsidR="00E06C8E" w:rsidRPr="00C4084C">
        <w:rPr>
          <w:color w:val="222222"/>
        </w:rPr>
        <w:t xml:space="preserve">. </w:t>
      </w:r>
      <w:r w:rsidR="00E35E10" w:rsidRPr="00C4084C">
        <w:rPr>
          <w:color w:val="222222"/>
        </w:rPr>
        <w:t>In this sense, technology has undermined</w:t>
      </w:r>
      <w:r w:rsidR="0026438C" w:rsidRPr="00C4084C">
        <w:rPr>
          <w:color w:val="222222"/>
        </w:rPr>
        <w:t xml:space="preserve"> </w:t>
      </w:r>
      <w:r w:rsidR="00F91CF0" w:rsidRPr="00C4084C">
        <w:rPr>
          <w:color w:val="222222"/>
        </w:rPr>
        <w:t>a formerly</w:t>
      </w:r>
      <w:r w:rsidR="0026438C" w:rsidRPr="00C4084C">
        <w:rPr>
          <w:color w:val="222222"/>
        </w:rPr>
        <w:t xml:space="preserve"> unique advantage of campus life.</w:t>
      </w:r>
      <w:r w:rsidR="0026438C" w:rsidRPr="00C4084C">
        <w:rPr>
          <w:rStyle w:val="FootnoteReference"/>
          <w:color w:val="222222"/>
        </w:rPr>
        <w:footnoteReference w:id="268"/>
      </w:r>
    </w:p>
    <w:p w14:paraId="5BBF383B" w14:textId="728B82D7" w:rsidR="00E06C8E" w:rsidRPr="00F56A97" w:rsidRDefault="00E06C8E" w:rsidP="00F56A97">
      <w:r w:rsidRPr="00F56A97">
        <w:t xml:space="preserve">As the student cohort continues to diversify and more students look to study through online or hybrid models, </w:t>
      </w:r>
      <w:r w:rsidR="0024466F" w:rsidRPr="00F56A97">
        <w:t xml:space="preserve">universities </w:t>
      </w:r>
      <w:r w:rsidRPr="00F56A97">
        <w:t>need to explore innovative ways to facilitate student belonging</w:t>
      </w:r>
      <w:r w:rsidR="000B1FAB" w:rsidRPr="00F56A97">
        <w:t>.</w:t>
      </w:r>
      <w:r w:rsidRPr="00F56A97">
        <w:t xml:space="preserve"> </w:t>
      </w:r>
      <w:r w:rsidR="0024466F" w:rsidRPr="00F56A97">
        <w:t xml:space="preserve">Universities </w:t>
      </w:r>
      <w:r w:rsidRPr="00F56A97">
        <w:t>could be supported in this work through improved data on students’ sense of belonging</w:t>
      </w:r>
      <w:r w:rsidR="00491E5A" w:rsidRPr="00F56A97">
        <w:t>, including through</w:t>
      </w:r>
      <w:r w:rsidR="003B0DDC" w:rsidRPr="00F56A97">
        <w:t xml:space="preserve"> </w:t>
      </w:r>
      <w:r w:rsidR="00491E5A" w:rsidRPr="00F56A97">
        <w:t>the</w:t>
      </w:r>
      <w:r w:rsidRPr="00F56A97">
        <w:t xml:space="preserve"> Student Experience Survey. </w:t>
      </w:r>
    </w:p>
    <w:p w14:paraId="51DD0E71" w14:textId="6FBC9B75" w:rsidR="00E06C8E" w:rsidRPr="00C4084C" w:rsidRDefault="00E06C8E" w:rsidP="00F56A97">
      <w:pPr>
        <w:rPr>
          <w:rFonts w:eastAsia="Arial"/>
          <w:u w:val="single"/>
        </w:rPr>
      </w:pPr>
      <w:r w:rsidRPr="00C4084C">
        <w:t xml:space="preserve">Higher education institutions need to ensure learning environments – both on campus and online – are safe, </w:t>
      </w:r>
      <w:proofErr w:type="gramStart"/>
      <w:r w:rsidRPr="00C4084C">
        <w:t>welcoming</w:t>
      </w:r>
      <w:proofErr w:type="gramEnd"/>
      <w:r w:rsidRPr="00C4084C">
        <w:t xml:space="preserve"> and inclusive spaces for all students. When issues arise, universities need to respond quickly and take action</w:t>
      </w:r>
      <w:r w:rsidR="00CD0805" w:rsidRPr="00C4084C">
        <w:t xml:space="preserve"> </w:t>
      </w:r>
      <w:r w:rsidR="4EF3B54D" w:rsidRPr="00C4084C">
        <w:t>t</w:t>
      </w:r>
      <w:r w:rsidR="00CD0805" w:rsidRPr="00C4084C">
        <w:t>o protect those students whose safety has been compromised or threatened by gender-based violence, racism, discrimination, bullying and harassment and other forms of discrimination.</w:t>
      </w:r>
      <w:r w:rsidRPr="00C4084C">
        <w:t xml:space="preserve"> </w:t>
      </w:r>
      <w:r w:rsidRPr="00C4084C">
        <w:rPr>
          <w:rFonts w:eastAsia="Arial"/>
        </w:rPr>
        <w:t xml:space="preserve">This includes addressing student safety within the context of national and global events. At the </w:t>
      </w:r>
      <w:r w:rsidR="002502A3" w:rsidRPr="00C4084C">
        <w:rPr>
          <w:rFonts w:eastAsia="Arial"/>
        </w:rPr>
        <w:t>Review’s</w:t>
      </w:r>
      <w:r w:rsidRPr="00C4084C">
        <w:rPr>
          <w:rFonts w:eastAsia="Arial"/>
        </w:rPr>
        <w:t xml:space="preserve"> First Nations Roundtable in September 2023, stakeholders discussed their own lived experiences of feeling unsafe or unsupported at a university. They proposed a national racism survey to understand the pervasiveness of the issue and what action is needed to provide safer, inclusive spaces for First Nations people at universities. Importantly, stakeholders </w:t>
      </w:r>
      <w:r w:rsidRPr="00C4084C">
        <w:rPr>
          <w:rFonts w:eastAsia="Arial"/>
        </w:rPr>
        <w:lastRenderedPageBreak/>
        <w:t>noted the survey would be an important step in the path to truth-telling and giving voice to the experiences of First Nations Australians. The proposal for a national racism survey is explored further in</w:t>
      </w:r>
      <w:r w:rsidR="00A07BB5" w:rsidRPr="00C4084C">
        <w:rPr>
          <w:rFonts w:eastAsia="Arial"/>
        </w:rPr>
        <w:t xml:space="preserve"> </w:t>
      </w:r>
      <w:r w:rsidR="00A07BB5" w:rsidRPr="00C4084C">
        <w:rPr>
          <w:rFonts w:eastAsia="Arial"/>
        </w:rPr>
        <w:fldChar w:fldCharType="begin"/>
      </w:r>
      <w:r w:rsidR="00A07BB5" w:rsidRPr="00C4084C">
        <w:rPr>
          <w:rFonts w:eastAsia="Arial"/>
        </w:rPr>
        <w:instrText xml:space="preserve"> REF _Ref151934666 \r \h </w:instrText>
      </w:r>
      <w:r w:rsidR="008037CA" w:rsidRPr="00C4084C">
        <w:rPr>
          <w:rFonts w:eastAsia="Arial"/>
        </w:rPr>
        <w:instrText xml:space="preserve"> \* MERGEFORMAT </w:instrText>
      </w:r>
      <w:r w:rsidR="00A07BB5" w:rsidRPr="00C4084C">
        <w:rPr>
          <w:rFonts w:eastAsia="Arial"/>
        </w:rPr>
      </w:r>
      <w:r w:rsidR="00A07BB5" w:rsidRPr="00C4084C">
        <w:rPr>
          <w:rFonts w:eastAsia="Arial"/>
        </w:rPr>
        <w:fldChar w:fldCharType="separate"/>
      </w:r>
      <w:r w:rsidR="00467B4F" w:rsidRPr="00467B4F">
        <w:rPr>
          <w:rFonts w:eastAsia="Arial"/>
          <w:i/>
        </w:rPr>
        <w:t xml:space="preserve">Chapter 6 – </w:t>
      </w:r>
      <w:r w:rsidR="00A07BB5" w:rsidRPr="00C4084C">
        <w:rPr>
          <w:rFonts w:eastAsia="Arial"/>
        </w:rPr>
        <w:fldChar w:fldCharType="end"/>
      </w:r>
      <w:r w:rsidR="008C34DB" w:rsidRPr="00C4084C">
        <w:rPr>
          <w:rFonts w:eastAsia="Arial"/>
          <w:i/>
        </w:rPr>
        <w:fldChar w:fldCharType="begin"/>
      </w:r>
      <w:r w:rsidR="008C34DB" w:rsidRPr="00C4084C">
        <w:rPr>
          <w:rFonts w:eastAsia="Arial"/>
          <w:i/>
        </w:rPr>
        <w:instrText xml:space="preserve"> REF _Ref151934666 \h  \* MERGEFORMAT </w:instrText>
      </w:r>
      <w:r w:rsidR="008C34DB" w:rsidRPr="00C4084C">
        <w:rPr>
          <w:rFonts w:eastAsia="Arial"/>
          <w:i/>
        </w:rPr>
      </w:r>
      <w:r w:rsidR="008C34DB" w:rsidRPr="00C4084C">
        <w:rPr>
          <w:rFonts w:eastAsia="Arial"/>
          <w:i/>
        </w:rPr>
        <w:fldChar w:fldCharType="separate"/>
      </w:r>
      <w:r w:rsidR="00467B4F" w:rsidRPr="00467B4F">
        <w:rPr>
          <w:i/>
          <w:iCs/>
        </w:rPr>
        <w:t>A dynamic, collaborative and responsive system that serves the national interest</w:t>
      </w:r>
      <w:r w:rsidR="008C34DB" w:rsidRPr="00C4084C">
        <w:rPr>
          <w:rFonts w:eastAsia="Arial"/>
          <w:i/>
        </w:rPr>
        <w:fldChar w:fldCharType="end"/>
      </w:r>
      <w:r w:rsidR="00A07BB5" w:rsidRPr="00C4084C">
        <w:rPr>
          <w:rFonts w:eastAsia="Arial"/>
          <w:i/>
        </w:rPr>
        <w:t>.</w:t>
      </w:r>
    </w:p>
    <w:p w14:paraId="287FEB2E" w14:textId="31598BCD" w:rsidR="00E06C8E" w:rsidRPr="00C4084C" w:rsidRDefault="00CD0805" w:rsidP="00F56A97">
      <w:pPr>
        <w:rPr>
          <w:rFonts w:cstheme="minorHAnsi"/>
        </w:rPr>
      </w:pPr>
      <w:r w:rsidRPr="00C4084C">
        <w:t>Issues</w:t>
      </w:r>
      <w:r w:rsidR="00E06C8E" w:rsidRPr="00C4084C">
        <w:t xml:space="preserve"> affecting student wellbeing need ongoing attention, including student safety, mental health, improving accessibility for students with disability, and a lack of social supports and culturally safe spaces. Other issues, such as accessibility of online learning environments and housing instability, extend beyond the physical campus but are equally important to a student’s wellbeing and learning</w:t>
      </w:r>
      <w:r w:rsidR="004367F7">
        <w:t xml:space="preserve">, particularly for those from under-represented groups. </w:t>
      </w:r>
      <w:r w:rsidR="00E06C8E" w:rsidRPr="00C4084C">
        <w:t>Many</w:t>
      </w:r>
      <w:r w:rsidR="00E06C8E" w:rsidRPr="00C4084C" w:rsidDel="000401C6">
        <w:t xml:space="preserve"> </w:t>
      </w:r>
      <w:r w:rsidR="00E06C8E" w:rsidRPr="00C4084C">
        <w:t xml:space="preserve">higher education students are young adults who may be living away from home for the first time and may come from varying cultural backgrounds. These students can be particularly vulnerable, and it is important that their safety and wellbeing </w:t>
      </w:r>
      <w:r w:rsidR="003F0FAD">
        <w:t>are</w:t>
      </w:r>
      <w:r w:rsidR="003F0FAD" w:rsidRPr="00C4084C">
        <w:t xml:space="preserve"> </w:t>
      </w:r>
      <w:r w:rsidR="00E06C8E" w:rsidRPr="00C4084C">
        <w:t xml:space="preserve">prioritised by </w:t>
      </w:r>
      <w:r w:rsidR="00D22AB8" w:rsidRPr="00C4084C">
        <w:t>g</w:t>
      </w:r>
      <w:r w:rsidR="00E06C8E" w:rsidRPr="00C4084C">
        <w:t xml:space="preserve">overnment and </w:t>
      </w:r>
      <w:r w:rsidR="0024466F" w:rsidRPr="00C4084C">
        <w:t>universities</w:t>
      </w:r>
      <w:r w:rsidR="00E06C8E" w:rsidRPr="00C4084C">
        <w:t>.</w:t>
      </w:r>
      <w:r w:rsidR="00E06C8E" w:rsidRPr="00C4084C">
        <w:rPr>
          <w:rStyle w:val="FootnoteReference"/>
        </w:rPr>
        <w:footnoteReference w:id="269"/>
      </w:r>
    </w:p>
    <w:p w14:paraId="3878F412" w14:textId="6947B080" w:rsidR="00401D4D" w:rsidRPr="00C4084C" w:rsidRDefault="00A345C9" w:rsidP="00285443">
      <w:r w:rsidRPr="00C4084C">
        <w:t xml:space="preserve">The Review has heard from many people that students and staff who have experienced gender-based violence have not received the care and support they need and deserve from their higher education providers. There are </w:t>
      </w:r>
      <w:r w:rsidR="002B195A" w:rsidRPr="00C4084C">
        <w:t>often</w:t>
      </w:r>
      <w:r w:rsidRPr="00C4084C">
        <w:t xml:space="preserve"> inadequate pathways for victim-survivors to raise complaints about providers’ responses and there is a perceived lack of accountability for broader action across the system to address the drivers of this violence and respond appropriately. This situation cannot continue, and the Review notes the immediate commitment of the </w:t>
      </w:r>
      <w:r w:rsidR="002F7476" w:rsidRPr="00C4084C">
        <w:t>G</w:t>
      </w:r>
      <w:r w:rsidRPr="00C4084C">
        <w:t>overnment to act on Priority 5 of the Interim Report to address these issues</w:t>
      </w:r>
      <w:r w:rsidR="0027456A" w:rsidRPr="00C4084C">
        <w:t xml:space="preserve"> urgently</w:t>
      </w:r>
      <w:r w:rsidRPr="00C4084C">
        <w:t xml:space="preserve">. </w:t>
      </w:r>
      <w:r w:rsidR="006B2BF3">
        <w:t>Given</w:t>
      </w:r>
      <w:r w:rsidR="006B2BF3" w:rsidRPr="00C4084C">
        <w:t xml:space="preserve"> </w:t>
      </w:r>
      <w:r w:rsidRPr="00C4084C">
        <w:t xml:space="preserve">the urgency to address issues of safety, </w:t>
      </w:r>
      <w:r w:rsidR="0027456A" w:rsidRPr="00C4084C">
        <w:t xml:space="preserve">the </w:t>
      </w:r>
      <w:r w:rsidRPr="00C4084C">
        <w:t xml:space="preserve">Review notes the Australian Government has released the Draft Action Plan to Address </w:t>
      </w:r>
      <w:r w:rsidR="711F3CC1" w:rsidRPr="00C4084C">
        <w:t>G</w:t>
      </w:r>
      <w:r w:rsidRPr="00C4084C">
        <w:t xml:space="preserve">ender-based </w:t>
      </w:r>
      <w:r w:rsidR="1236C471" w:rsidRPr="00C4084C">
        <w:t>V</w:t>
      </w:r>
      <w:r w:rsidRPr="00C4084C">
        <w:t xml:space="preserve">iolence in </w:t>
      </w:r>
      <w:r w:rsidR="745A7257" w:rsidRPr="00C4084C">
        <w:t>H</w:t>
      </w:r>
      <w:r w:rsidRPr="00C4084C">
        <w:t xml:space="preserve">igher </w:t>
      </w:r>
      <w:r w:rsidR="1B28DD9F" w:rsidRPr="00C4084C">
        <w:t>E</w:t>
      </w:r>
      <w:r w:rsidRPr="00C4084C">
        <w:t>ducation for public consultation.</w:t>
      </w:r>
      <w:r w:rsidR="001B388D" w:rsidRPr="00C4084C">
        <w:rPr>
          <w:rStyle w:val="FootnoteReference"/>
        </w:rPr>
        <w:footnoteReference w:id="270"/>
      </w:r>
      <w:r w:rsidRPr="00C4084C">
        <w:t xml:space="preserve"> The Draft Action Plan sets out </w:t>
      </w:r>
      <w:r w:rsidR="00D16150" w:rsidRPr="00C4084C">
        <w:t xml:space="preserve">7 </w:t>
      </w:r>
      <w:r w:rsidRPr="00C4084C">
        <w:t>actions,</w:t>
      </w:r>
      <w:r w:rsidR="00820859" w:rsidRPr="00C4084C">
        <w:t xml:space="preserve"> </w:t>
      </w:r>
      <w:r w:rsidRPr="00C4084C">
        <w:t>including establishing a new National Student Ombudsman and strengthening provider accountability for issues relating to gender-based violence</w:t>
      </w:r>
      <w:r w:rsidR="002B195A" w:rsidRPr="00C4084C">
        <w:t xml:space="preserve"> </w:t>
      </w:r>
      <w:r w:rsidRPr="00C4084C">
        <w:t>through new regulatory and compliance measures and support to employ best practice in prevention and response.</w:t>
      </w:r>
      <w:r w:rsidR="00820859" w:rsidRPr="00C4084C">
        <w:rPr>
          <w:rStyle w:val="FootnoteReference"/>
        </w:rPr>
        <w:footnoteReference w:id="271"/>
      </w:r>
      <w:r w:rsidR="00820859" w:rsidRPr="00C4084C">
        <w:t xml:space="preserve"> </w:t>
      </w:r>
      <w:r w:rsidRPr="00C4084C">
        <w:t>The Plan will be further considered by Education Ministers in early 2024.</w:t>
      </w:r>
    </w:p>
    <w:tbl>
      <w:tblPr>
        <w:tblW w:w="0" w:type="auto"/>
        <w:shd w:val="clear" w:color="auto" w:fill="FBE4D5"/>
        <w:tblLook w:val="04A0" w:firstRow="1" w:lastRow="0" w:firstColumn="1" w:lastColumn="0" w:noHBand="0" w:noVBand="1"/>
      </w:tblPr>
      <w:tblGrid>
        <w:gridCol w:w="9026"/>
      </w:tblGrid>
      <w:tr w:rsidR="00401D4D" w:rsidRPr="00C4084C" w14:paraId="6C5FF986" w14:textId="77777777" w:rsidTr="00D26B82">
        <w:tc>
          <w:tcPr>
            <w:tcW w:w="9026" w:type="dxa"/>
            <w:shd w:val="clear" w:color="auto" w:fill="B0C3DB"/>
          </w:tcPr>
          <w:p w14:paraId="5CC0A5F4" w14:textId="7E4B1123" w:rsidR="00861BDA" w:rsidRPr="00861BDA" w:rsidRDefault="0080264E" w:rsidP="003E5969">
            <w:pPr>
              <w:pStyle w:val="Findinginchapterheading"/>
              <w:rPr>
                <w:szCs w:val="24"/>
              </w:rPr>
            </w:pPr>
            <w:r w:rsidRPr="003E5969">
              <w:rPr>
                <w:rFonts w:ascii="Calibri" w:eastAsia="Yu Gothic Light" w:hAnsi="Calibri" w:cs="Calibri"/>
                <w:szCs w:val="24"/>
              </w:rPr>
              <w:t>Finding</w:t>
            </w:r>
            <w:r w:rsidR="00861BDA">
              <w:rPr>
                <w:szCs w:val="24"/>
              </w:rPr>
              <w:t xml:space="preserve">: </w:t>
            </w:r>
            <w:r w:rsidR="00401D4D" w:rsidRPr="00C4084C">
              <w:t>Governance</w:t>
            </w:r>
          </w:p>
          <w:p w14:paraId="133827EA" w14:textId="728112F1" w:rsidR="00401D4D" w:rsidRPr="00C4084C" w:rsidRDefault="00401D4D" w:rsidP="003E5969">
            <w:pPr>
              <w:pStyle w:val="Boxtext0"/>
              <w:spacing w:before="0"/>
            </w:pPr>
            <w:r w:rsidRPr="00C4084C">
              <w:t xml:space="preserve">In recent times, our regulatory and university governance arrangements have been too slow to recognise and respond to several important issues, especially in the areas of student wellbeing and staff employment. The Review’s consultations heard repeatedly about failures to ensure students are safe, </w:t>
            </w:r>
            <w:r w:rsidRPr="003C30E6">
              <w:t>particularly</w:t>
            </w:r>
            <w:r w:rsidRPr="00C4084C">
              <w:t xml:space="preserve"> from sexual assault and sexual harassment, and about staff employment concerns, especially relating to casualisation and underpayment.</w:t>
            </w:r>
          </w:p>
        </w:tc>
      </w:tr>
    </w:tbl>
    <w:p w14:paraId="4E6E0D4A" w14:textId="0B4FDBEA" w:rsidR="00E06C8E" w:rsidRPr="00C4084C" w:rsidRDefault="00E06C8E" w:rsidP="007B0775">
      <w:pPr>
        <w:pStyle w:val="Heading5"/>
      </w:pPr>
      <w:bookmarkStart w:id="878" w:name="_Toc151023658"/>
      <w:bookmarkStart w:id="879" w:name="_Toc151024074"/>
      <w:r w:rsidRPr="00C4084C">
        <w:t>Addressing student wellbeing and facilitating engagement through a Student Charter</w:t>
      </w:r>
      <w:bookmarkEnd w:id="878"/>
      <w:bookmarkEnd w:id="879"/>
    </w:p>
    <w:p w14:paraId="6F00B7F5" w14:textId="1269A780" w:rsidR="00E06C8E" w:rsidRPr="00C4084C" w:rsidRDefault="00E06C8E" w:rsidP="00F56A97">
      <w:r w:rsidRPr="00C4084C">
        <w:t>The Review</w:t>
      </w:r>
      <w:r w:rsidRPr="00C4084C" w:rsidDel="000A3BC6">
        <w:t xml:space="preserve"> </w:t>
      </w:r>
      <w:r w:rsidR="000A3BC6" w:rsidRPr="00C4084C">
        <w:t>recommends</w:t>
      </w:r>
      <w:r w:rsidRPr="00C4084C">
        <w:t xml:space="preserve"> there should be a Student Charter that </w:t>
      </w:r>
      <w:r w:rsidR="00063C4A" w:rsidRPr="00C4084C">
        <w:t xml:space="preserve">sets out a shared, national commitment to the welfare, </w:t>
      </w:r>
      <w:proofErr w:type="gramStart"/>
      <w:r w:rsidR="00063C4A" w:rsidRPr="00C4084C">
        <w:t>safety</w:t>
      </w:r>
      <w:proofErr w:type="gramEnd"/>
      <w:r w:rsidR="00063C4A" w:rsidRPr="00C4084C">
        <w:t xml:space="preserve"> and wellbeing of all students</w:t>
      </w:r>
      <w:r w:rsidRPr="00C4084C">
        <w:t xml:space="preserve"> regardless of their background, </w:t>
      </w:r>
      <w:r w:rsidRPr="00C4084C">
        <w:lastRenderedPageBreak/>
        <w:t>study level or mode of study (online or in person)</w:t>
      </w:r>
      <w:r w:rsidR="00433314" w:rsidRPr="00C4084C">
        <w:t xml:space="preserve"> (see Recommendation </w:t>
      </w:r>
      <w:r w:rsidR="00677188" w:rsidRPr="00C4084C">
        <w:t>18</w:t>
      </w:r>
      <w:r w:rsidR="00433314" w:rsidRPr="00C4084C">
        <w:t>)</w:t>
      </w:r>
      <w:r w:rsidRPr="00C4084C">
        <w:t xml:space="preserve">. This includes international students. </w:t>
      </w:r>
    </w:p>
    <w:p w14:paraId="099E1750" w14:textId="7C72E283" w:rsidR="00E06C8E" w:rsidRPr="00C4084C" w:rsidRDefault="00E06C8E" w:rsidP="00F56A97">
      <w:r w:rsidRPr="00C4084C">
        <w:t xml:space="preserve">The Charter should </w:t>
      </w:r>
      <w:r w:rsidR="00297D60" w:rsidRPr="00C4084C">
        <w:t xml:space="preserve">outline commitments to provide a mentally, </w:t>
      </w:r>
      <w:proofErr w:type="gramStart"/>
      <w:r w:rsidR="00297D60" w:rsidRPr="00C4084C">
        <w:t>socially</w:t>
      </w:r>
      <w:proofErr w:type="gramEnd"/>
      <w:r w:rsidR="00297D60" w:rsidRPr="00C4084C">
        <w:t xml:space="preserve"> and physically safe, </w:t>
      </w:r>
      <w:r w:rsidRPr="00C4084C">
        <w:t xml:space="preserve">inclusive, </w:t>
      </w:r>
      <w:r w:rsidR="00CD0805" w:rsidRPr="00C4084C">
        <w:t>respectful</w:t>
      </w:r>
      <w:r w:rsidR="00D62058" w:rsidRPr="00C4084C">
        <w:t xml:space="preserve">, </w:t>
      </w:r>
      <w:r w:rsidRPr="00C4084C">
        <w:t>supportive and accessible physical and digital learning environments. The Charter</w:t>
      </w:r>
      <w:r w:rsidR="00B04AFE" w:rsidRPr="00C4084C">
        <w:t xml:space="preserve"> should be underpinned by a National Student Code that outlines the legislated requirements for timely and fair</w:t>
      </w:r>
      <w:r w:rsidRPr="00C4084C">
        <w:t xml:space="preserve"> complaints processes</w:t>
      </w:r>
      <w:r w:rsidR="00CE2C33" w:rsidRPr="00C4084C">
        <w:t>.</w:t>
      </w:r>
      <w:r w:rsidRPr="00C4084C">
        <w:t xml:space="preserve"> </w:t>
      </w:r>
    </w:p>
    <w:p w14:paraId="10F0FB5B" w14:textId="5E68BB57" w:rsidR="00E06C8E" w:rsidRPr="00C4084C" w:rsidRDefault="00E06C8E" w:rsidP="00F56A97">
      <w:r w:rsidRPr="00C4084C">
        <w:t xml:space="preserve">The Charter should be accessible to all students and make it easier for students to understand </w:t>
      </w:r>
      <w:r w:rsidR="00F54D89" w:rsidRPr="00C4084C">
        <w:t xml:space="preserve">student </w:t>
      </w:r>
      <w:r w:rsidRPr="00C4084C">
        <w:t xml:space="preserve">rights and </w:t>
      </w:r>
      <w:r w:rsidR="00F54D89" w:rsidRPr="00C4084C">
        <w:t xml:space="preserve">student </w:t>
      </w:r>
      <w:r w:rsidRPr="00C4084C">
        <w:t xml:space="preserve">responsibilities and the obligations of their </w:t>
      </w:r>
      <w:r w:rsidR="0024466F" w:rsidRPr="00C4084C">
        <w:t>universities</w:t>
      </w:r>
      <w:r w:rsidRPr="00C4084C">
        <w:t xml:space="preserve">. </w:t>
      </w:r>
    </w:p>
    <w:p w14:paraId="07E79ABE" w14:textId="31F4E589" w:rsidR="00E06C8E" w:rsidRPr="00C4084C" w:rsidRDefault="00E06C8E" w:rsidP="00F56A97">
      <w:pPr>
        <w:rPr>
          <w:rFonts w:ascii="Arial" w:eastAsia="Arial" w:hAnsi="Arial" w:cs="Arial"/>
        </w:rPr>
      </w:pPr>
      <w:r w:rsidRPr="00C4084C">
        <w:t xml:space="preserve">International students can face a range of </w:t>
      </w:r>
      <w:r w:rsidR="00D62058" w:rsidRPr="00C4084C">
        <w:t>significant issues</w:t>
      </w:r>
      <w:r w:rsidRPr="00C4084C">
        <w:t xml:space="preserve"> while adjusting to life in Australia including social isolation, financial hardship, workplace exploitation and discrimination.</w:t>
      </w:r>
      <w:r w:rsidRPr="00C4084C">
        <w:rPr>
          <w:rFonts w:eastAsia="Arial"/>
        </w:rPr>
        <w:t xml:space="preserve"> Attracting the best and brightest international students is a priority and Australian higher education providers should </w:t>
      </w:r>
      <w:r w:rsidR="00FF7119" w:rsidRPr="00C4084C">
        <w:rPr>
          <w:rFonts w:eastAsia="Arial"/>
        </w:rPr>
        <w:t>also</w:t>
      </w:r>
      <w:r w:rsidRPr="00C4084C">
        <w:rPr>
          <w:rFonts w:eastAsia="Arial"/>
        </w:rPr>
        <w:t xml:space="preserve"> prioritise equity, </w:t>
      </w:r>
      <w:proofErr w:type="gramStart"/>
      <w:r w:rsidRPr="00C4084C">
        <w:rPr>
          <w:rFonts w:eastAsia="Arial"/>
        </w:rPr>
        <w:t>diversity</w:t>
      </w:r>
      <w:proofErr w:type="gramEnd"/>
      <w:r w:rsidRPr="00C4084C">
        <w:rPr>
          <w:rFonts w:eastAsia="Arial"/>
        </w:rPr>
        <w:t xml:space="preserve"> and inclusion across all educational settings. Supporting social cohesion within and beyond the classroom will benefit international and domestic students alike</w:t>
      </w:r>
      <w:r w:rsidR="00FF7119" w:rsidRPr="00C4084C">
        <w:rPr>
          <w:rFonts w:eastAsia="Arial"/>
        </w:rPr>
        <w:t>.</w:t>
      </w:r>
    </w:p>
    <w:tbl>
      <w:tblPr>
        <w:tblpPr w:leftFromText="180" w:rightFromText="180" w:vertAnchor="text" w:horzAnchor="margin" w:tblpY="1071"/>
        <w:tblW w:w="0" w:type="auto"/>
        <w:shd w:val="clear" w:color="auto" w:fill="D2E8FF"/>
        <w:tblLook w:val="04A0" w:firstRow="1" w:lastRow="0" w:firstColumn="1" w:lastColumn="0" w:noHBand="0" w:noVBand="1"/>
      </w:tblPr>
      <w:tblGrid>
        <w:gridCol w:w="9026"/>
      </w:tblGrid>
      <w:tr w:rsidR="00D5293A" w:rsidRPr="00C4084C" w14:paraId="145C5A42" w14:textId="77777777" w:rsidTr="00D26B82">
        <w:tc>
          <w:tcPr>
            <w:tcW w:w="9356" w:type="dxa"/>
            <w:shd w:val="clear" w:color="auto" w:fill="D3D4D6"/>
          </w:tcPr>
          <w:p w14:paraId="63EAA11F" w14:textId="54ED8B51" w:rsidR="00D5293A" w:rsidRPr="00C4084C" w:rsidRDefault="00D5293A" w:rsidP="00D5293A">
            <w:pPr>
              <w:pStyle w:val="Boxtitlessubheadings"/>
              <w:rPr>
                <w:bCs/>
              </w:rPr>
            </w:pPr>
            <w:r w:rsidRPr="00C4084C">
              <w:t>Case study:  Self-review processes in The New Zealand Code</w:t>
            </w:r>
          </w:p>
          <w:p w14:paraId="3B3416DA" w14:textId="66216117" w:rsidR="00D5293A" w:rsidRPr="00C4084C" w:rsidRDefault="00D5293A" w:rsidP="00F56A97">
            <w:pPr>
              <w:pStyle w:val="Boxtext0"/>
            </w:pPr>
            <w:r w:rsidRPr="00C4084C">
              <w:t xml:space="preserve">In New Zealand, the </w:t>
            </w:r>
            <w:r w:rsidRPr="00C4084C">
              <w:rPr>
                <w:i/>
                <w:iCs/>
              </w:rPr>
              <w:t>Education (Pastoral Care of Tertiary and International Learners) Code of Practice 2021</w:t>
            </w:r>
            <w:r w:rsidRPr="00C4084C">
              <w:t xml:space="preserve"> (the Code)</w:t>
            </w:r>
            <w:r w:rsidR="00AB5F5F" w:rsidRPr="00C4084C">
              <w:rPr>
                <w:vertAlign w:val="superscript"/>
              </w:rPr>
              <w:footnoteReference w:id="272"/>
            </w:r>
            <w:r w:rsidRPr="00C4084C">
              <w:t xml:space="preserve"> outlines the obligations of education providers to support student wellbeing, </w:t>
            </w:r>
            <w:proofErr w:type="gramStart"/>
            <w:r w:rsidRPr="00C4084C">
              <w:t>safety</w:t>
            </w:r>
            <w:proofErr w:type="gramEnd"/>
            <w:r w:rsidRPr="00C4084C">
              <w:t xml:space="preserve"> and academic success. </w:t>
            </w:r>
          </w:p>
          <w:p w14:paraId="585D74F2" w14:textId="77777777" w:rsidR="00D5293A" w:rsidRPr="00C4084C" w:rsidRDefault="00D5293A" w:rsidP="00F56A97">
            <w:pPr>
              <w:pStyle w:val="Boxtext0"/>
              <w:rPr>
                <w:rFonts w:ascii="Calibri" w:eastAsia="Yu Gothic Light" w:hAnsi="Calibri" w:cs="Calibri"/>
                <w:bCs/>
              </w:rPr>
            </w:pPr>
            <w:r w:rsidRPr="00C4084C">
              <w:t xml:space="preserve">A key component of the Code is universities conducting self-review processes to evaluate and improve their performance by identifying strengths, weaknesses, </w:t>
            </w:r>
            <w:proofErr w:type="gramStart"/>
            <w:r w:rsidRPr="00C4084C">
              <w:t>opportunities</w:t>
            </w:r>
            <w:proofErr w:type="gramEnd"/>
            <w:r w:rsidRPr="00C4084C">
              <w:t xml:space="preserve"> and gaps. To support this process, the New Zealand Qualifications Authority has developed tools that universities may use to assist in reflecting on their performance. University self-review reports must be made available to the public, increasing accountability through transparency across the system.</w:t>
            </w:r>
          </w:p>
        </w:tc>
      </w:tr>
    </w:tbl>
    <w:p w14:paraId="5B2825D7" w14:textId="77777777" w:rsidR="00E06C8E" w:rsidRPr="00C4084C" w:rsidRDefault="00E06C8E" w:rsidP="00F56A97">
      <w:r w:rsidRPr="00C4084C">
        <w:t>Similarly, other cohorts such as students with disability, students in university accommodation, students on work integrated learning placements, and mature age students juggling work and family commitments could benefit from the Student Charter incorporating elements specific to their needs.</w:t>
      </w:r>
    </w:p>
    <w:p w14:paraId="3091E9B9" w14:textId="77777777" w:rsidR="00453678" w:rsidRPr="00C4084C" w:rsidRDefault="00E06C8E" w:rsidP="00F56A97">
      <w:r w:rsidRPr="00C4084C">
        <w:t xml:space="preserve">Students need a say in the issues that affect them, and this should extend to international students. </w:t>
      </w:r>
      <w:r w:rsidR="00453678" w:rsidRPr="00C4084C">
        <w:t>To empower the student voice and allow students the opportunity to advocate for their interests further, the Review considers that student consultation on, and co-ownership of, the Charter should be a key focus in its development.</w:t>
      </w:r>
    </w:p>
    <w:p w14:paraId="175399DA" w14:textId="7D784A6B" w:rsidR="00E06C8E" w:rsidRPr="00C4084C" w:rsidRDefault="00E06C8E" w:rsidP="00F56A97">
      <w:pPr>
        <w:rPr>
          <w:rFonts w:ascii="Calibri" w:eastAsia="Calibri" w:hAnsi="Calibri" w:cs="Calibri"/>
        </w:rPr>
      </w:pPr>
      <w:r w:rsidRPr="00C4084C">
        <w:t xml:space="preserve">Further, the Review </w:t>
      </w:r>
      <w:r w:rsidR="00FF7119" w:rsidRPr="00C4084C">
        <w:t>notes</w:t>
      </w:r>
      <w:r w:rsidRPr="00C4084C">
        <w:t xml:space="preserve"> that for First Nations Australians to be at the heart of the higher education system, the representation and genuine participation of First Nations people, including students, in decision making and oversight roles </w:t>
      </w:r>
      <w:r w:rsidR="00E07DF9">
        <w:t>are</w:t>
      </w:r>
      <w:r w:rsidR="00E07DF9" w:rsidRPr="00C4084C">
        <w:t xml:space="preserve"> </w:t>
      </w:r>
      <w:r w:rsidRPr="00C4084C">
        <w:t xml:space="preserve">vital.   </w:t>
      </w:r>
    </w:p>
    <w:p w14:paraId="68DCE03F" w14:textId="17E9B2B7" w:rsidR="00E06C8E" w:rsidRPr="00C4084C" w:rsidRDefault="00E06C8E" w:rsidP="007B0775">
      <w:pPr>
        <w:pStyle w:val="Heading5"/>
      </w:pPr>
      <w:r w:rsidRPr="00C4084C">
        <w:t>The Student Services and Amenities Fee</w:t>
      </w:r>
    </w:p>
    <w:p w14:paraId="7C93B6DC" w14:textId="4DA15855" w:rsidR="00E06C8E" w:rsidRPr="00C4084C" w:rsidRDefault="00E06C8E" w:rsidP="00F56A97">
      <w:r w:rsidRPr="00C4084C">
        <w:t>Universities</w:t>
      </w:r>
      <w:r w:rsidRPr="00C4084C" w:rsidDel="007551C1">
        <w:t xml:space="preserve"> </w:t>
      </w:r>
      <w:r w:rsidRPr="00C4084C">
        <w:t>are permitted to charge students a Student Services and Amenities Fee (SSAF) for student services and amenities of a non-academic nature.</w:t>
      </w:r>
      <w:r w:rsidRPr="00C4084C">
        <w:rPr>
          <w:b/>
          <w:bCs/>
        </w:rPr>
        <w:t xml:space="preserve"> </w:t>
      </w:r>
      <w:r w:rsidRPr="00C4084C">
        <w:t xml:space="preserve">Most universities have the discretion to </w:t>
      </w:r>
      <w:r w:rsidRPr="00C4084C">
        <w:lastRenderedPageBreak/>
        <w:t>decide how much of the SSAF should be provided to the various services they offer, including how much is provided to student unions.</w:t>
      </w:r>
      <w:r w:rsidR="0024466F" w:rsidRPr="00C4084C">
        <w:t xml:space="preserve"> Universities</w:t>
      </w:r>
      <w:r w:rsidRPr="00C4084C">
        <w:t xml:space="preserve"> are required to consult with students on the allocation of proceeds from any compulsory SSAF. While the SSAF is a major source of funding for student unions, </w:t>
      </w:r>
      <w:r w:rsidR="00E50221" w:rsidRPr="00C4084C">
        <w:t xml:space="preserve">which </w:t>
      </w:r>
      <w:r w:rsidRPr="00C4084C">
        <w:t xml:space="preserve">use it to deliver a range of services, many </w:t>
      </w:r>
      <w:r w:rsidR="0024466F" w:rsidRPr="00C4084C">
        <w:t xml:space="preserve">universities </w:t>
      </w:r>
      <w:r w:rsidRPr="00C4084C">
        <w:t>allocate less of the fee directly to unions and use it themselves for services that benefit students.</w:t>
      </w:r>
    </w:p>
    <w:p w14:paraId="49DB1E4B" w14:textId="04A72CA0" w:rsidR="00E06C8E" w:rsidRPr="00C4084C" w:rsidRDefault="00E06C8E" w:rsidP="00F56A97">
      <w:r w:rsidRPr="00C4084C">
        <w:t xml:space="preserve">The Review recognises student unions’ important contribution and has considered whether they should be guaranteed a minimum percentage of the SSAF. The current system can mean that student unions are vulnerable to fluctuations in funding, which may </w:t>
      </w:r>
      <w:r w:rsidR="0039421C" w:rsidRPr="00C4084C">
        <w:t>affect</w:t>
      </w:r>
      <w:r w:rsidRPr="00C4084C">
        <w:t xml:space="preserve"> their ability to provide services and support to students. However, restricting the universities’ use of the SSAF could impede the delivery of other services including professional wellbeing and mental health support for students, career development advice, and sport and recreation.</w:t>
      </w:r>
    </w:p>
    <w:p w14:paraId="7625ED33" w14:textId="01E7B224" w:rsidR="00E06C8E" w:rsidRPr="00C4084C" w:rsidRDefault="00692B0C" w:rsidP="00F56A97">
      <w:pPr>
        <w:rPr>
          <w:rFonts w:cstheme="minorHAnsi"/>
        </w:rPr>
      </w:pPr>
      <w:r w:rsidRPr="00C4084C">
        <w:t xml:space="preserve">The Review </w:t>
      </w:r>
      <w:r w:rsidR="009342B3" w:rsidRPr="00C4084C">
        <w:t xml:space="preserve">recommends </w:t>
      </w:r>
      <w:r w:rsidRPr="00C4084C">
        <w:t xml:space="preserve">the long-term sustainability of student-led organisations should be protected and </w:t>
      </w:r>
      <w:r w:rsidR="00D96946" w:rsidRPr="00C4084C">
        <w:t>that</w:t>
      </w:r>
      <w:r w:rsidRPr="00C4084C">
        <w:t xml:space="preserve"> a set proportion of SSAF funding </w:t>
      </w:r>
      <w:r w:rsidR="00D96946" w:rsidRPr="00C4084C">
        <w:t xml:space="preserve">should be </w:t>
      </w:r>
      <w:r w:rsidRPr="00C4084C">
        <w:t>guaranteed to these organisations</w:t>
      </w:r>
      <w:r w:rsidR="00433314" w:rsidRPr="00C4084C">
        <w:t xml:space="preserve"> (see Recommendation </w:t>
      </w:r>
      <w:r w:rsidR="00677188" w:rsidRPr="00C4084C">
        <w:t>19</w:t>
      </w:r>
      <w:r w:rsidR="00433314" w:rsidRPr="00C4084C">
        <w:t>)</w:t>
      </w:r>
      <w:r w:rsidRPr="00C4084C">
        <w:t xml:space="preserve">. In implementing this recommendation, </w:t>
      </w:r>
      <w:r w:rsidR="00D22AB8" w:rsidRPr="00C4084C">
        <w:t xml:space="preserve">the Australian </w:t>
      </w:r>
      <w:r w:rsidRPr="00C4084C">
        <w:t xml:space="preserve">Government should set appropriate mechanisms to ensure funding for key services, such as mental health, are not adversely </w:t>
      </w:r>
      <w:r w:rsidR="00E50221" w:rsidRPr="00C4084C">
        <w:t>affected</w:t>
      </w:r>
      <w:r w:rsidRPr="00C4084C">
        <w:t>.</w:t>
      </w:r>
      <w:r w:rsidR="00E06C8E" w:rsidRPr="00C4084C">
        <w:t xml:space="preserve"> </w:t>
      </w:r>
    </w:p>
    <w:p w14:paraId="29CAD3DB" w14:textId="41C69769" w:rsidR="00A9658F" w:rsidRPr="00C4084C" w:rsidRDefault="0024466F" w:rsidP="00A9658F">
      <w:pPr>
        <w:pStyle w:val="Heading5"/>
      </w:pPr>
      <w:bookmarkStart w:id="880" w:name="_Toc151023660"/>
      <w:bookmarkStart w:id="881" w:name="_Toc151024076"/>
      <w:r w:rsidRPr="00C4084C">
        <w:t xml:space="preserve">University </w:t>
      </w:r>
      <w:r w:rsidR="00A9658F" w:rsidRPr="00C4084C">
        <w:t>accountability and responsiveness</w:t>
      </w:r>
    </w:p>
    <w:bookmarkEnd w:id="880"/>
    <w:bookmarkEnd w:id="881"/>
    <w:p w14:paraId="4F5BD83F" w14:textId="31D2E5A7" w:rsidR="00453678" w:rsidRPr="00C4084C" w:rsidRDefault="00453678" w:rsidP="000623D9">
      <w:r w:rsidRPr="00C4084C">
        <w:t>When an issue arises, students and universities should first work together to address concerns. If the issue is not able to be resolved, students should then be able to escalate complaints on issues covered by the Charter. While the regulator is the appropriate body to engage with the institutions when they fail to meet their regulated obligations, students need a simpler and more accessible mechanism that allows them to pursue their complaints with appropriate supports. The Review recommends that this should be done through a Student Ombudsman, which is also being considered by the Australian Government as part of the Addressing Gender-Based Violence in Higher Education Action Plan, in response to the Review’s Interim Report</w:t>
      </w:r>
      <w:r w:rsidR="002E409D">
        <w:t xml:space="preserve"> </w:t>
      </w:r>
      <w:r w:rsidRPr="00C4084C">
        <w:t>(see Recommendation 18).</w:t>
      </w:r>
      <w:r w:rsidR="002E409D" w:rsidRPr="00C4084C">
        <w:rPr>
          <w:rStyle w:val="FootnoteReference"/>
        </w:rPr>
        <w:footnoteReference w:id="273"/>
      </w:r>
    </w:p>
    <w:p w14:paraId="1AB81128" w14:textId="4CBB85DF" w:rsidR="00E06C8E" w:rsidRPr="00C4084C" w:rsidRDefault="00453678" w:rsidP="000623D9">
      <w:pPr>
        <w:rPr>
          <w:sz w:val="28"/>
          <w:szCs w:val="28"/>
        </w:rPr>
      </w:pPr>
      <w:r w:rsidRPr="00C4084C">
        <w:t xml:space="preserve">This pathway should be easy for students to navigate rapidly and avoid unnecessary red tape. In addition, the Ombudsman should collect and regularly publish data on complaints made to universities and to the Ombudsman, supporting universities to undertake self-review and implement systemic improvements. </w:t>
      </w:r>
    </w:p>
    <w:p w14:paraId="472AAC51" w14:textId="09BA6F65" w:rsidR="00E06C8E" w:rsidRPr="00C4084C" w:rsidRDefault="00E06C8E" w:rsidP="007B0775">
      <w:pPr>
        <w:pStyle w:val="Heading5"/>
      </w:pPr>
      <w:bookmarkStart w:id="882" w:name="_Toc151023661"/>
      <w:bookmarkStart w:id="883" w:name="_Toc151024077"/>
      <w:r w:rsidRPr="00C4084C">
        <w:t>Admissions practices and early offers</w:t>
      </w:r>
      <w:bookmarkEnd w:id="882"/>
      <w:bookmarkEnd w:id="883"/>
    </w:p>
    <w:p w14:paraId="4B218B9F" w14:textId="77777777" w:rsidR="00E06C8E" w:rsidRPr="00C4084C" w:rsidRDefault="00E06C8E" w:rsidP="00B1626C">
      <w:pPr>
        <w:pStyle w:val="Heading6"/>
      </w:pPr>
      <w:r w:rsidRPr="00C4084C">
        <w:t>Broader admissions pathways</w:t>
      </w:r>
    </w:p>
    <w:p w14:paraId="60F637B0" w14:textId="3A906F97" w:rsidR="00E06C8E" w:rsidRPr="00C4084C" w:rsidRDefault="00E06C8E" w:rsidP="000623D9">
      <w:r w:rsidRPr="00C4084C">
        <w:t xml:space="preserve">For many students, the first time they interact with the higher education system is through an admissions process. These processes allow </w:t>
      </w:r>
      <w:r w:rsidR="001F4DD6" w:rsidRPr="00C4084C">
        <w:t xml:space="preserve">universities </w:t>
      </w:r>
      <w:r w:rsidRPr="00C4084C">
        <w:t xml:space="preserve">to assess the preparedness of students for study, and aid students’ understanding of what studies and skills they need for their chosen course. </w:t>
      </w:r>
    </w:p>
    <w:p w14:paraId="60C34E7A" w14:textId="0ACBE229" w:rsidR="00E06C8E" w:rsidRPr="00C4084C" w:rsidRDefault="00E06C8E" w:rsidP="000623D9">
      <w:r w:rsidRPr="00C4084C">
        <w:t xml:space="preserve">As emphasised throughout this </w:t>
      </w:r>
      <w:r w:rsidR="000775DD">
        <w:t>R</w:t>
      </w:r>
      <w:r w:rsidRPr="00C4084C">
        <w:t xml:space="preserve">eport, if the </w:t>
      </w:r>
      <w:r w:rsidR="003B5FFF" w:rsidRPr="00C4084C">
        <w:t xml:space="preserve">higher </w:t>
      </w:r>
      <w:r w:rsidR="00AD5B73" w:rsidRPr="00C4084C">
        <w:t>education</w:t>
      </w:r>
      <w:r w:rsidR="003B5FFF" w:rsidRPr="00C4084C">
        <w:t xml:space="preserve"> </w:t>
      </w:r>
      <w:r w:rsidRPr="00C4084C">
        <w:t>sector is to progress towards the Review’s attainment and equity targets, improving access to higher education and attracting a wider range of prospective students</w:t>
      </w:r>
      <w:r w:rsidR="007A61A3" w:rsidRPr="00C4084C">
        <w:t xml:space="preserve"> is necessary</w:t>
      </w:r>
      <w:r w:rsidRPr="00C4084C">
        <w:t xml:space="preserve">. This includes students who may not have considered themselves candidates for further study. </w:t>
      </w:r>
    </w:p>
    <w:p w14:paraId="3FA67B9B" w14:textId="63BCD16A" w:rsidR="00E06C8E" w:rsidRPr="00C4084C" w:rsidRDefault="00E06C8E" w:rsidP="000623D9">
      <w:r w:rsidRPr="00C4084C">
        <w:t xml:space="preserve">To foster a more diverse student body, </w:t>
      </w:r>
      <w:r w:rsidR="003B5FFF" w:rsidRPr="00C4084C">
        <w:t xml:space="preserve">universities </w:t>
      </w:r>
      <w:r w:rsidRPr="00C4084C">
        <w:t xml:space="preserve">should continue to offer admissions pathways that </w:t>
      </w:r>
      <w:proofErr w:type="gramStart"/>
      <w:r w:rsidRPr="00C4084C">
        <w:t>take into account</w:t>
      </w:r>
      <w:proofErr w:type="gramEnd"/>
      <w:r w:rsidRPr="00C4084C">
        <w:t xml:space="preserve"> various combinations of previous study, work and life experience. This will </w:t>
      </w:r>
      <w:r w:rsidRPr="00C4084C">
        <w:lastRenderedPageBreak/>
        <w:t>increase admission of prospective students without an ATAR or Senior Secondary Certificate of Education</w:t>
      </w:r>
      <w:r w:rsidR="00D655CE">
        <w:t xml:space="preserve"> (SSCE)</w:t>
      </w:r>
      <w:r w:rsidRPr="00C4084C">
        <w:t>, non-school leavers, older students, and those looking for a mid-career change.</w:t>
      </w:r>
    </w:p>
    <w:p w14:paraId="70E0C89D" w14:textId="77777777" w:rsidR="00E06C8E" w:rsidRPr="00C4084C" w:rsidRDefault="00E06C8E" w:rsidP="00B1626C">
      <w:pPr>
        <w:pStyle w:val="Heading6"/>
      </w:pPr>
      <w:r w:rsidRPr="00C4084C">
        <w:t>Addressing at-school offers</w:t>
      </w:r>
    </w:p>
    <w:p w14:paraId="7A7D3108" w14:textId="33359511" w:rsidR="00E06C8E" w:rsidRPr="00C4084C" w:rsidRDefault="004134B7" w:rsidP="000623D9">
      <w:r w:rsidRPr="00C4084C">
        <w:t xml:space="preserve">Many </w:t>
      </w:r>
      <w:r w:rsidR="001F4DD6" w:rsidRPr="00C4084C">
        <w:t xml:space="preserve">universities </w:t>
      </w:r>
      <w:r w:rsidR="00E06C8E" w:rsidRPr="00C4084C">
        <w:t xml:space="preserve">make early offers to study a higher education course to </w:t>
      </w:r>
      <w:r w:rsidR="009A7C07" w:rsidRPr="00C4084C">
        <w:t xml:space="preserve">some </w:t>
      </w:r>
      <w:r w:rsidR="00E06C8E" w:rsidRPr="00C4084C">
        <w:t xml:space="preserve">Year 12 students before the completion of their senior secondary studies. This practice </w:t>
      </w:r>
      <w:r w:rsidR="00866AA7" w:rsidRPr="00C4084C">
        <w:t>is not new</w:t>
      </w:r>
      <w:r w:rsidR="00E06C8E" w:rsidRPr="00C4084C">
        <w:t xml:space="preserve"> but became widespread during and since the COVID-19 pandemic. </w:t>
      </w:r>
      <w:r w:rsidR="00EB66FB" w:rsidRPr="00C4084C">
        <w:t xml:space="preserve">At their October </w:t>
      </w:r>
      <w:r w:rsidR="00EB66FB">
        <w:t xml:space="preserve">2023 </w:t>
      </w:r>
      <w:r w:rsidR="00EB66FB" w:rsidRPr="00C4084C">
        <w:t xml:space="preserve">meeting, state and territory Education Ministers </w:t>
      </w:r>
      <w:r w:rsidR="00EB66FB" w:rsidRPr="00C4084C">
        <w:rPr>
          <w:lang w:eastAsia="en-AU"/>
        </w:rPr>
        <w:t xml:space="preserve">noted the Review’s consideration of </w:t>
      </w:r>
      <w:r w:rsidR="00EB66FB">
        <w:rPr>
          <w:lang w:eastAsia="en-AU"/>
        </w:rPr>
        <w:t xml:space="preserve">entry pathways to university </w:t>
      </w:r>
      <w:r w:rsidR="00493C23">
        <w:rPr>
          <w:lang w:eastAsia="en-AU"/>
        </w:rPr>
        <w:t>and</w:t>
      </w:r>
      <w:proofErr w:type="gramStart"/>
      <w:r w:rsidR="00493C23">
        <w:rPr>
          <w:lang w:eastAsia="en-AU"/>
        </w:rPr>
        <w:t>, in</w:t>
      </w:r>
      <w:r w:rsidR="00EB66FB">
        <w:rPr>
          <w:lang w:eastAsia="en-AU"/>
        </w:rPr>
        <w:t xml:space="preserve"> particular</w:t>
      </w:r>
      <w:r w:rsidR="004721E9">
        <w:rPr>
          <w:lang w:eastAsia="en-AU"/>
        </w:rPr>
        <w:t>,</w:t>
      </w:r>
      <w:r w:rsidR="00EB66FB">
        <w:rPr>
          <w:lang w:eastAsia="en-AU"/>
        </w:rPr>
        <w:t xml:space="preserve"> </w:t>
      </w:r>
      <w:r w:rsidR="00EB66FB" w:rsidRPr="00C4084C">
        <w:rPr>
          <w:lang w:eastAsia="en-AU"/>
        </w:rPr>
        <w:t>early</w:t>
      </w:r>
      <w:proofErr w:type="gramEnd"/>
      <w:r w:rsidR="00EB66FB" w:rsidRPr="00C4084C">
        <w:rPr>
          <w:lang w:eastAsia="en-AU"/>
        </w:rPr>
        <w:t xml:space="preserve"> university offers</w:t>
      </w:r>
      <w:r w:rsidR="00EB66FB">
        <w:rPr>
          <w:lang w:eastAsia="en-AU"/>
        </w:rPr>
        <w:t>,</w:t>
      </w:r>
      <w:r w:rsidR="00EB66FB" w:rsidRPr="00C4084C">
        <w:rPr>
          <w:lang w:eastAsia="en-AU"/>
        </w:rPr>
        <w:t xml:space="preserve"> </w:t>
      </w:r>
      <w:r w:rsidR="007E7440" w:rsidRPr="00C4084C">
        <w:rPr>
          <w:lang w:eastAsia="en-AU"/>
        </w:rPr>
        <w:t>and agreed</w:t>
      </w:r>
      <w:r w:rsidR="00E66973" w:rsidRPr="00C4084C">
        <w:t xml:space="preserve"> to </w:t>
      </w:r>
      <w:r w:rsidR="00851486" w:rsidRPr="00C4084C">
        <w:rPr>
          <w:lang w:eastAsia="en-AU"/>
        </w:rPr>
        <w:t>revisit</w:t>
      </w:r>
      <w:r w:rsidR="00E66973" w:rsidRPr="00C4084C">
        <w:rPr>
          <w:lang w:eastAsia="en-AU"/>
        </w:rPr>
        <w:t xml:space="preserve"> this issue</w:t>
      </w:r>
      <w:r w:rsidR="007E7440" w:rsidRPr="00C4084C">
        <w:t xml:space="preserve"> </w:t>
      </w:r>
      <w:r w:rsidR="007E7440" w:rsidRPr="00C4084C">
        <w:rPr>
          <w:lang w:eastAsia="en-AU"/>
        </w:rPr>
        <w:t>in 2024</w:t>
      </w:r>
      <w:r w:rsidR="00E66973" w:rsidRPr="00C4084C">
        <w:t>.</w:t>
      </w:r>
      <w:r w:rsidR="00173FBC" w:rsidRPr="00C4084C">
        <w:rPr>
          <w:rStyle w:val="FootnoteReference"/>
        </w:rPr>
        <w:footnoteReference w:id="274"/>
      </w:r>
      <w:r w:rsidR="00E66973" w:rsidRPr="00C4084C">
        <w:t xml:space="preserve"> </w:t>
      </w:r>
    </w:p>
    <w:p w14:paraId="2FCF05CE" w14:textId="46BE99B6" w:rsidR="00E06C8E" w:rsidRPr="00C4084C" w:rsidRDefault="00E06C8E" w:rsidP="000623D9">
      <w:r w:rsidRPr="00C4084C">
        <w:t>The Review, informed by consultations and submissions, has identified early offers as a contentious practice. There is no consistency or transparency around the making of early offers, and scant data on their use across the system.</w:t>
      </w:r>
      <w:r w:rsidRPr="00C4084C" w:rsidDel="00D404E9">
        <w:t xml:space="preserve"> </w:t>
      </w:r>
      <w:r w:rsidR="00E44CEF" w:rsidRPr="00C4084C">
        <w:t>In evaluating the issue of early offers the Review sought the expertise of the Higher Education Standards Panel.</w:t>
      </w:r>
      <w:r w:rsidR="00E44CEF" w:rsidRPr="00C4084C">
        <w:rPr>
          <w:rStyle w:val="FootnoteReference"/>
        </w:rPr>
        <w:footnoteReference w:id="275"/>
      </w:r>
    </w:p>
    <w:p w14:paraId="341E7A17" w14:textId="763196FD" w:rsidR="00E06C8E" w:rsidRPr="00C4084C" w:rsidRDefault="00E06C8E" w:rsidP="000623D9">
      <w:r w:rsidRPr="00C4084C">
        <w:t xml:space="preserve">There is evidence that early offers can be helpful for some students experiencing stress about Year 12. </w:t>
      </w:r>
      <w:r w:rsidR="00E85A62" w:rsidRPr="00C4084C">
        <w:t>On the other hand, t</w:t>
      </w:r>
      <w:r w:rsidRPr="00C4084C">
        <w:t xml:space="preserve">he Review </w:t>
      </w:r>
      <w:r w:rsidR="005D0CB8" w:rsidRPr="00C4084C">
        <w:t>has</w:t>
      </w:r>
      <w:r w:rsidRPr="00C4084C">
        <w:t xml:space="preserve"> also heard concerns that an early offer can contribute to student disengagement in the final and important weeks or months of school. </w:t>
      </w:r>
      <w:r w:rsidR="00BB4AB7" w:rsidRPr="00C4084C">
        <w:t xml:space="preserve">In addition, the </w:t>
      </w:r>
      <w:r w:rsidR="004B1614" w:rsidRPr="00C4084C">
        <w:t>R</w:t>
      </w:r>
      <w:r w:rsidR="00BB4AB7" w:rsidRPr="00C4084C">
        <w:t>eview heard that</w:t>
      </w:r>
      <w:r w:rsidRPr="00C4084C">
        <w:t xml:space="preserve"> there is a risk that early offers </w:t>
      </w:r>
      <w:r w:rsidR="00BB4AB7" w:rsidRPr="00C4084C">
        <w:t xml:space="preserve">can </w:t>
      </w:r>
      <w:r w:rsidRPr="00C4084C">
        <w:t>favour students who have existing personal or socio</w:t>
      </w:r>
      <w:r w:rsidR="005B459E" w:rsidRPr="00C4084C">
        <w:t>-</w:t>
      </w:r>
      <w:r w:rsidRPr="00C4084C">
        <w:t xml:space="preserve">economic advantages such as strong school performances, principal and parent advocacy, school culture and career guidance, and community and extracurricular claims. </w:t>
      </w:r>
    </w:p>
    <w:p w14:paraId="103E9E6C" w14:textId="268FD939" w:rsidR="00E06C8E" w:rsidRPr="00C4084C" w:rsidRDefault="00E06C8E" w:rsidP="000623D9">
      <w:r w:rsidRPr="00C4084C">
        <w:t xml:space="preserve">Therefore, the Review sees a need for a fair, open and consistent framework for the use of at-school offers, based on evidence on their appropriate use. The </w:t>
      </w:r>
      <w:r w:rsidR="00E339A6" w:rsidRPr="00C4084C">
        <w:t>Commission</w:t>
      </w:r>
      <w:r w:rsidRPr="00C4084C">
        <w:t xml:space="preserve"> should work with schools, higher education </w:t>
      </w:r>
      <w:r w:rsidR="001F4DD6" w:rsidRPr="00C4084C">
        <w:t xml:space="preserve">providers </w:t>
      </w:r>
      <w:r w:rsidRPr="00C4084C">
        <w:t xml:space="preserve">and admissions centres to develop this framework. </w:t>
      </w:r>
    </w:p>
    <w:p w14:paraId="4D505573" w14:textId="5B961CD8" w:rsidR="00E06C8E" w:rsidRPr="00C4084C" w:rsidRDefault="00E06C8E" w:rsidP="000623D9">
      <w:r w:rsidRPr="00C4084C">
        <w:t xml:space="preserve">At a minimum, </w:t>
      </w:r>
      <w:r w:rsidR="00892B7C" w:rsidRPr="00C4084C">
        <w:t>the Review is recommending</w:t>
      </w:r>
      <w:r w:rsidRPr="00C4084C">
        <w:t xml:space="preserve"> early offers should be conditional on completion of the SSCE and achievement of course entry requirements. Jurisdictions should adopt and follow nationally consistent practice on early offers. Offers should take place within a consistent time window that occurs after coursework in the final year of school is complete. Finally, there is a need for better availability and transparency of data than is currently the case.</w:t>
      </w:r>
    </w:p>
    <w:p w14:paraId="4A7DCF05" w14:textId="772B3A5F" w:rsidR="00D5293A" w:rsidRPr="00C4084C" w:rsidRDefault="00E06C8E" w:rsidP="003E5969">
      <w:r w:rsidRPr="00C4084C">
        <w:t xml:space="preserve">In advance of this framework being developed, the Review recommends that at-school offers for 2025 </w:t>
      </w:r>
      <w:r w:rsidR="00376FE3" w:rsidRPr="00C4084C">
        <w:t>and 2026</w:t>
      </w:r>
      <w:r w:rsidRPr="00C4084C">
        <w:t xml:space="preserve"> should not be issued before September </w:t>
      </w:r>
      <w:r w:rsidR="00376FE3" w:rsidRPr="00C4084C">
        <w:t xml:space="preserve">in the relevant year </w:t>
      </w:r>
      <w:r w:rsidR="00732144" w:rsidRPr="00C4084C">
        <w:t xml:space="preserve">and that a new system be proposed and in place by </w:t>
      </w:r>
      <w:r w:rsidR="00376FE3" w:rsidRPr="00C4084C">
        <w:t>2027</w:t>
      </w:r>
      <w:r w:rsidR="00182DE4" w:rsidRPr="00C4084C">
        <w:t xml:space="preserve"> (see Recommendation 20)</w:t>
      </w:r>
      <w:r w:rsidRPr="00C4084C">
        <w:t>.</w:t>
      </w:r>
    </w:p>
    <w:tbl>
      <w:tblPr>
        <w:tblW w:w="0" w:type="auto"/>
        <w:shd w:val="clear" w:color="auto" w:fill="FBE4D5"/>
        <w:tblLook w:val="04A0" w:firstRow="1" w:lastRow="0" w:firstColumn="1" w:lastColumn="0" w:noHBand="0" w:noVBand="1"/>
      </w:tblPr>
      <w:tblGrid>
        <w:gridCol w:w="9026"/>
      </w:tblGrid>
      <w:tr w:rsidR="002F7C4C" w:rsidRPr="00C4084C" w14:paraId="169B75F5" w14:textId="77777777" w:rsidTr="00D26B82">
        <w:tc>
          <w:tcPr>
            <w:tcW w:w="9026" w:type="dxa"/>
            <w:shd w:val="clear" w:color="auto" w:fill="FEECDF"/>
          </w:tcPr>
          <w:p w14:paraId="64089579" w14:textId="57153D82" w:rsidR="00295667" w:rsidRDefault="00295667" w:rsidP="003E5969">
            <w:pPr>
              <w:pStyle w:val="Recheadinginbox"/>
            </w:pPr>
            <w:r w:rsidRPr="00C4084C">
              <w:lastRenderedPageBreak/>
              <w:t>Recommendation</w:t>
            </w:r>
            <w:r>
              <w:t xml:space="preserve">: </w:t>
            </w:r>
            <w:r w:rsidRPr="00C4084C">
              <w:t>Ensuring student safety and experience</w:t>
            </w:r>
          </w:p>
          <w:p w14:paraId="2119799B" w14:textId="07EB2C21" w:rsidR="002F7C4C" w:rsidRPr="00C4084C" w:rsidRDefault="002F7C4C" w:rsidP="003E5969">
            <w:pPr>
              <w:pStyle w:val="Recsin-chapterL1"/>
              <w:framePr w:wrap="notBeside"/>
              <w:spacing w:before="0" w:after="0"/>
            </w:pPr>
            <w:r w:rsidRPr="00C4084C">
              <w:t>That to improve the overall student experience and reflect domestic and international student expectations of their higher education outcomes, the Australian Government work with national student bodies and the higher education sector to:</w:t>
            </w:r>
          </w:p>
          <w:p w14:paraId="695B00C1" w14:textId="02C101B4" w:rsidR="002F7C4C" w:rsidRPr="00C4084C" w:rsidRDefault="002F7C4C" w:rsidP="003E5969">
            <w:pPr>
              <w:pStyle w:val="Recsin-chapterL2"/>
            </w:pPr>
            <w:r w:rsidRPr="00C4084C">
              <w:t xml:space="preserve">develop a national student charter that sets out a shared, national commitment to the welfare, safety and wellbeing of all students on campus and </w:t>
            </w:r>
            <w:proofErr w:type="gramStart"/>
            <w:r w:rsidRPr="00C4084C">
              <w:t>online</w:t>
            </w:r>
            <w:proofErr w:type="gramEnd"/>
          </w:p>
          <w:p w14:paraId="6338D6F6" w14:textId="77777777" w:rsidR="002F7C4C" w:rsidRPr="00C4084C" w:rsidDel="00C977C2" w:rsidRDefault="002F7C4C" w:rsidP="003E5969">
            <w:pPr>
              <w:pStyle w:val="Recsin-chapterL2"/>
              <w:spacing w:before="0" w:beforeAutospacing="0"/>
              <w:rPr>
                <w:rStyle w:val="PriorityAction-Bold"/>
                <w:b w:val="0"/>
                <w:i w:val="0"/>
              </w:rPr>
            </w:pPr>
            <w:r w:rsidRPr="00C4084C">
              <w:t>establish a National Student Ombudsman to respond to student complaints. </w:t>
            </w:r>
          </w:p>
        </w:tc>
      </w:tr>
    </w:tbl>
    <w:p w14:paraId="0DBB904A" w14:textId="77777777" w:rsidR="00475CA8" w:rsidRPr="00C4084C" w:rsidRDefault="00475CA8" w:rsidP="000623D9">
      <w:pPr>
        <w:spacing w:after="0"/>
      </w:pPr>
      <w:bookmarkStart w:id="884" w:name="_Toc151023663"/>
      <w:bookmarkStart w:id="885" w:name="_Toc151024079"/>
    </w:p>
    <w:tbl>
      <w:tblPr>
        <w:tblW w:w="0" w:type="auto"/>
        <w:shd w:val="clear" w:color="auto" w:fill="FBE4D5"/>
        <w:tblLook w:val="04A0" w:firstRow="1" w:lastRow="0" w:firstColumn="1" w:lastColumn="0" w:noHBand="0" w:noVBand="1"/>
      </w:tblPr>
      <w:tblGrid>
        <w:gridCol w:w="9026"/>
      </w:tblGrid>
      <w:tr w:rsidR="00541974" w:rsidRPr="00C4084C" w14:paraId="206E1181" w14:textId="77777777" w:rsidTr="00D26B82">
        <w:tc>
          <w:tcPr>
            <w:tcW w:w="9026" w:type="dxa"/>
            <w:shd w:val="clear" w:color="auto" w:fill="FEECDF"/>
          </w:tcPr>
          <w:p w14:paraId="399EE96F" w14:textId="77777777" w:rsidR="00541974" w:rsidRPr="00C4084C" w:rsidRDefault="00541974" w:rsidP="003E5969">
            <w:pPr>
              <w:pStyle w:val="Recsin-chapterL1"/>
              <w:framePr w:wrap="notBeside"/>
            </w:pPr>
            <w:r w:rsidRPr="00C4084C">
              <w:t>That to ensure the sustainability of student-led organisations, such as associations, unions and guilds, the Australian Government ensure that a proportion of the Student Services and Amenities Fee received by each higher education provider be directed to these organisations to deliver agreed services and amenities. </w:t>
            </w:r>
          </w:p>
        </w:tc>
      </w:tr>
    </w:tbl>
    <w:p w14:paraId="1C3EDFE8" w14:textId="64E5863B" w:rsidR="00DF55FC" w:rsidRPr="00C4084C" w:rsidRDefault="00DF55FC" w:rsidP="003E5969">
      <w:pPr>
        <w:spacing w:after="0"/>
      </w:pPr>
    </w:p>
    <w:tbl>
      <w:tblPr>
        <w:tblW w:w="0" w:type="auto"/>
        <w:shd w:val="clear" w:color="auto" w:fill="FBE4D5"/>
        <w:tblLook w:val="04A0" w:firstRow="1" w:lastRow="0" w:firstColumn="1" w:lastColumn="0" w:noHBand="0" w:noVBand="1"/>
      </w:tblPr>
      <w:tblGrid>
        <w:gridCol w:w="9026"/>
      </w:tblGrid>
      <w:tr w:rsidR="006028BB" w:rsidRPr="00C4084C" w14:paraId="6CAC64F7" w14:textId="77777777" w:rsidTr="00D26B82">
        <w:tc>
          <w:tcPr>
            <w:tcW w:w="9026" w:type="dxa"/>
            <w:shd w:val="clear" w:color="auto" w:fill="FEECDF"/>
          </w:tcPr>
          <w:p w14:paraId="085F4A40" w14:textId="1A3E7804" w:rsidR="00295667" w:rsidRDefault="00295667" w:rsidP="003E5969">
            <w:pPr>
              <w:pStyle w:val="Recheadinginbox"/>
            </w:pPr>
            <w:r>
              <w:t xml:space="preserve">Recommendation: </w:t>
            </w:r>
            <w:r w:rsidRPr="00C4084C">
              <w:t>Early at-school offers</w:t>
            </w:r>
          </w:p>
          <w:p w14:paraId="1227A45D" w14:textId="744EA6BB" w:rsidR="006028BB" w:rsidRPr="00C4084C" w:rsidRDefault="00D1179F" w:rsidP="003E5969">
            <w:pPr>
              <w:pStyle w:val="Recsin-chapterL1"/>
              <w:framePr w:wrap="notBeside"/>
              <w:spacing w:before="0" w:after="0"/>
            </w:pPr>
            <w:r w:rsidRPr="00C4084C">
              <w:t xml:space="preserve">That </w:t>
            </w:r>
            <w:r>
              <w:t xml:space="preserve">to recognise the critical importance of school to higher education pathways, </w:t>
            </w:r>
            <w:r w:rsidRPr="00C4084C">
              <w:t>to ensure that students get the most out of their final year of school</w:t>
            </w:r>
            <w:r>
              <w:t>,</w:t>
            </w:r>
            <w:r w:rsidRPr="00C4084C">
              <w:t xml:space="preserve"> and to maintain the integrity of senior secondary certificates, </w:t>
            </w:r>
            <w:r w:rsidR="006028BB" w:rsidRPr="00C4084C">
              <w:t>governments (through the Education Ministers Meeting) agree that early at-school offers for 2025 and 2026 should not be issued before September in the relevant year. Relevant stakeholders (including schools, higher education providers and tertiary admission centres) should also develop a national, cross-jurisdictional approach to at-school offers in time for 2027 offers that includes:</w:t>
            </w:r>
          </w:p>
          <w:p w14:paraId="15D92C66" w14:textId="77777777" w:rsidR="006028BB" w:rsidRPr="00C4084C" w:rsidRDefault="006028BB" w:rsidP="003E5969">
            <w:pPr>
              <w:pStyle w:val="Recsin-chapterL2"/>
              <w:spacing w:before="0" w:beforeAutospacing="0"/>
            </w:pPr>
            <w:r w:rsidRPr="00C4084C">
              <w:t xml:space="preserve">the timing of when at-school offers are </w:t>
            </w:r>
            <w:proofErr w:type="gramStart"/>
            <w:r w:rsidRPr="00C4084C">
              <w:t>made</w:t>
            </w:r>
            <w:proofErr w:type="gramEnd"/>
          </w:p>
          <w:p w14:paraId="478909C4" w14:textId="416AF530" w:rsidR="006028BB" w:rsidRPr="00C4084C" w:rsidRDefault="006028BB" w:rsidP="003E5969">
            <w:pPr>
              <w:pStyle w:val="Recsin-chapterL2"/>
            </w:pPr>
            <w:r w:rsidRPr="00C4084C">
              <w:t xml:space="preserve">a consistent and transparent framework for admissions requirements and assessment processes for at-school </w:t>
            </w:r>
            <w:proofErr w:type="gramStart"/>
            <w:r w:rsidRPr="00C4084C">
              <w:t>offers</w:t>
            </w:r>
            <w:proofErr w:type="gramEnd"/>
          </w:p>
          <w:p w14:paraId="6F486D55" w14:textId="3F4CFF04" w:rsidR="006028BB" w:rsidRPr="00C4084C" w:rsidRDefault="006028BB" w:rsidP="003E5969">
            <w:pPr>
              <w:pStyle w:val="Recsin-chapterL2"/>
            </w:pPr>
            <w:r w:rsidRPr="00C4084C">
              <w:t xml:space="preserve">approaches to improving post-school transitions through at-school offers, particularly for those most at risk of falling out of post-school </w:t>
            </w:r>
            <w:proofErr w:type="gramStart"/>
            <w:r w:rsidRPr="00C4084C">
              <w:t>education</w:t>
            </w:r>
            <w:proofErr w:type="gramEnd"/>
          </w:p>
          <w:p w14:paraId="48973A82" w14:textId="07E01F5D" w:rsidR="006028BB" w:rsidRPr="00C4084C" w:rsidDel="00C977C2" w:rsidRDefault="006028BB" w:rsidP="003E5969">
            <w:pPr>
              <w:pStyle w:val="Recsin-chapterL2"/>
              <w:rPr>
                <w:rStyle w:val="PriorityAction-Bold"/>
                <w:b w:val="0"/>
                <w:i w:val="0"/>
              </w:rPr>
            </w:pPr>
            <w:r w:rsidRPr="00C4084C">
              <w:t>improvements to data and analysis across at-school offers.</w:t>
            </w:r>
          </w:p>
        </w:tc>
      </w:tr>
    </w:tbl>
    <w:p w14:paraId="7C9DB056" w14:textId="5CE90C24" w:rsidR="00E06C8E" w:rsidRPr="00C4084C" w:rsidRDefault="00E06C8E" w:rsidP="00BA6095">
      <w:pPr>
        <w:pStyle w:val="Heading4"/>
      </w:pPr>
      <w:bookmarkStart w:id="886" w:name="_Toc1929262334"/>
      <w:bookmarkStart w:id="887" w:name="_Toc153483049"/>
      <w:bookmarkStart w:id="888" w:name="_Toc159500960"/>
      <w:r w:rsidRPr="00C4084C">
        <w:t>World-class learning and teaching</w:t>
      </w:r>
      <w:bookmarkEnd w:id="884"/>
      <w:bookmarkEnd w:id="885"/>
      <w:bookmarkEnd w:id="886"/>
      <w:bookmarkEnd w:id="887"/>
      <w:bookmarkEnd w:id="888"/>
    </w:p>
    <w:p w14:paraId="4882BFF7" w14:textId="77777777" w:rsidR="00E06C8E" w:rsidRPr="00C4084C" w:rsidRDefault="00E06C8E" w:rsidP="000623D9">
      <w:r w:rsidRPr="00C4084C">
        <w:t xml:space="preserve">In addition to student safety and wellbeing, high-quality learning experiences and environments are central to delivering an improved higher education system for all students. </w:t>
      </w:r>
    </w:p>
    <w:p w14:paraId="5B0B2FC9" w14:textId="77777777" w:rsidR="00E06C8E" w:rsidRPr="00C4084C" w:rsidRDefault="00E06C8E" w:rsidP="000623D9">
      <w:r w:rsidRPr="00C4084C">
        <w:t>If student enrolments are to grow, this growth will be dominated by new entrants from non-traditional or less well-prepared backgrounds. It follows that:</w:t>
      </w:r>
    </w:p>
    <w:p w14:paraId="57350FAE" w14:textId="77777777" w:rsidR="00E06C8E" w:rsidRPr="00C4084C" w:rsidRDefault="00E06C8E" w:rsidP="00031F8E">
      <w:pPr>
        <w:pStyle w:val="ListBullet"/>
      </w:pPr>
      <w:r w:rsidRPr="00C4084C">
        <w:t xml:space="preserve">modes of learning need to accommodate diversity and </w:t>
      </w:r>
      <w:proofErr w:type="gramStart"/>
      <w:r w:rsidRPr="00C4084C">
        <w:t>growth</w:t>
      </w:r>
      <w:proofErr w:type="gramEnd"/>
    </w:p>
    <w:p w14:paraId="29A76200" w14:textId="77777777" w:rsidR="00E06C8E" w:rsidRPr="00C4084C" w:rsidRDefault="00E06C8E" w:rsidP="00031F8E">
      <w:pPr>
        <w:pStyle w:val="ListBullet"/>
      </w:pPr>
      <w:r w:rsidRPr="00C4084C">
        <w:t xml:space="preserve">the university workforce will need to be bigger and better equipped to help different student cohorts learn well. </w:t>
      </w:r>
    </w:p>
    <w:p w14:paraId="15676109" w14:textId="41980643" w:rsidR="00E06C8E" w:rsidRPr="00C4084C" w:rsidRDefault="00E06C8E" w:rsidP="000623D9">
      <w:r w:rsidRPr="00C4084C">
        <w:t>Australia should</w:t>
      </w:r>
      <w:r w:rsidR="00AA2B34" w:rsidRPr="00C4084C">
        <w:t xml:space="preserve"> aspire to</w:t>
      </w:r>
      <w:r w:rsidRPr="00C4084C">
        <w:t xml:space="preserve"> be a world leader in delivering innovative, best practice learning and teaching – not only maintaining but improving higher education student experience and outcomes as the system grows. This means pursuing excellence in learning and teaching at a system-wide level and moving beyond the current threshold standard approach to quality. </w:t>
      </w:r>
    </w:p>
    <w:p w14:paraId="3A02513D" w14:textId="77F7ED0E" w:rsidR="00E06C8E" w:rsidRPr="00C4084C" w:rsidRDefault="005448BC" w:rsidP="000623D9">
      <w:r w:rsidRPr="00C4084C">
        <w:lastRenderedPageBreak/>
        <w:t>L</w:t>
      </w:r>
      <w:r w:rsidR="00E06C8E" w:rsidRPr="00C4084C">
        <w:t xml:space="preserve">eadership in this area should be taken by the </w:t>
      </w:r>
      <w:r w:rsidR="00E339A6" w:rsidRPr="00C4084C">
        <w:t>Commission</w:t>
      </w:r>
      <w:r w:rsidR="00E06C8E" w:rsidRPr="00C4084C">
        <w:t>, working closely with higher education providers, industry</w:t>
      </w:r>
      <w:r w:rsidR="001F4DD6" w:rsidRPr="00C4084C">
        <w:t xml:space="preserve">, </w:t>
      </w:r>
      <w:proofErr w:type="gramStart"/>
      <w:r w:rsidR="001F4DD6" w:rsidRPr="00C4084C">
        <w:t>unions</w:t>
      </w:r>
      <w:proofErr w:type="gramEnd"/>
      <w:r w:rsidR="00E06C8E" w:rsidRPr="00C4084C">
        <w:t xml:space="preserve"> and bodies representing the professions.</w:t>
      </w:r>
      <w:r w:rsidR="00E06C8E" w:rsidRPr="00C4084C" w:rsidDel="00A7645C">
        <w:t xml:space="preserve"> </w:t>
      </w:r>
    </w:p>
    <w:p w14:paraId="05F36921" w14:textId="77777777" w:rsidR="00E06C8E" w:rsidRPr="00C4084C" w:rsidRDefault="00E06C8E" w:rsidP="007B0775">
      <w:pPr>
        <w:pStyle w:val="Heading5"/>
      </w:pPr>
      <w:bookmarkStart w:id="889" w:name="_Toc151023664"/>
      <w:bookmarkStart w:id="890" w:name="_Toc151024080"/>
      <w:r w:rsidRPr="00C4084C">
        <w:t xml:space="preserve">Student outcomes are generally positive, but there is room for </w:t>
      </w:r>
      <w:proofErr w:type="gramStart"/>
      <w:r w:rsidRPr="00C4084C">
        <w:t>improvement</w:t>
      </w:r>
      <w:bookmarkEnd w:id="889"/>
      <w:bookmarkEnd w:id="890"/>
      <w:proofErr w:type="gramEnd"/>
    </w:p>
    <w:p w14:paraId="6614D3E7" w14:textId="3C1FDD45" w:rsidR="00E06C8E" w:rsidRPr="00C4084C" w:rsidRDefault="00E06C8E" w:rsidP="000623D9">
      <w:r w:rsidRPr="00C4084C">
        <w:t>Australian higher education currently produces good employment outcomes for most students, as measured by the Graduate Outcomes Survey (GOS). In 20</w:t>
      </w:r>
      <w:r w:rsidR="00DF4EF2" w:rsidRPr="00C4084C">
        <w:t>19</w:t>
      </w:r>
      <w:r w:rsidRPr="00C4084C">
        <w:t xml:space="preserve">, 88% of </w:t>
      </w:r>
      <w:r w:rsidR="00DF4EF2" w:rsidRPr="00C4084C">
        <w:t>under</w:t>
      </w:r>
      <w:r w:rsidRPr="00C4084C">
        <w:t xml:space="preserve">graduates were in employment </w:t>
      </w:r>
      <w:r w:rsidR="00C44CC5" w:rsidRPr="00C4084C">
        <w:t>4</w:t>
      </w:r>
      <w:r w:rsidR="00924A95" w:rsidRPr="00C4084C">
        <w:t> </w:t>
      </w:r>
      <w:r w:rsidR="00C44CC5" w:rsidRPr="00C4084C">
        <w:t xml:space="preserve">to 6 </w:t>
      </w:r>
      <w:r w:rsidRPr="00C4084C">
        <w:t>months after completing their studies</w:t>
      </w:r>
      <w:r w:rsidR="00C44CC5" w:rsidRPr="00C4084C">
        <w:t xml:space="preserve">. </w:t>
      </w:r>
      <w:r w:rsidR="00D655CE">
        <w:t>Three</w:t>
      </w:r>
      <w:r w:rsidR="00C44CC5" w:rsidRPr="00C4084C">
        <w:t xml:space="preserve"> years later,</w:t>
      </w:r>
      <w:r w:rsidRPr="00C4084C">
        <w:t xml:space="preserve"> 94% of </w:t>
      </w:r>
      <w:r w:rsidR="00C44CC5" w:rsidRPr="00C4084C">
        <w:t>that same group of under</w:t>
      </w:r>
      <w:r w:rsidRPr="00C4084C">
        <w:t xml:space="preserve">graduates </w:t>
      </w:r>
      <w:r w:rsidR="00C44CC5" w:rsidRPr="00C4084C">
        <w:t xml:space="preserve">were </w:t>
      </w:r>
      <w:r w:rsidR="00095854" w:rsidRPr="00C4084C">
        <w:t>in employment</w:t>
      </w:r>
      <w:r w:rsidRPr="00C4084C">
        <w:t>.</w:t>
      </w:r>
      <w:r w:rsidRPr="00C4084C">
        <w:rPr>
          <w:rStyle w:val="FootnoteReference"/>
        </w:rPr>
        <w:footnoteReference w:id="276"/>
      </w:r>
      <w:r w:rsidRPr="00C4084C">
        <w:t xml:space="preserve"> Strong graduate employment outcomes </w:t>
      </w:r>
      <w:r w:rsidR="009D2524" w:rsidRPr="00C4084C">
        <w:t>suggest</w:t>
      </w:r>
      <w:r w:rsidRPr="00C4084C">
        <w:t xml:space="preserve"> students have skills and capabilities which are sought after by employers</w:t>
      </w:r>
      <w:r w:rsidR="00674935" w:rsidRPr="00C4084C">
        <w:t>, but also reflect</w:t>
      </w:r>
      <w:r w:rsidR="2D671B33" w:rsidRPr="00C4084C">
        <w:t>s</w:t>
      </w:r>
      <w:r w:rsidR="00674935" w:rsidRPr="00C4084C">
        <w:t xml:space="preserve"> strong labour </w:t>
      </w:r>
      <w:r w:rsidR="00924A95" w:rsidRPr="00C4084C">
        <w:t>market</w:t>
      </w:r>
      <w:r w:rsidR="00674935" w:rsidRPr="00C4084C">
        <w:t xml:space="preserve"> demand and persistent skills shortages in some occupations</w:t>
      </w:r>
      <w:r w:rsidRPr="00C4084C" w:rsidDel="004D6279">
        <w:t>.</w:t>
      </w:r>
    </w:p>
    <w:p w14:paraId="4812389B" w14:textId="4DD83C15" w:rsidR="00E06C8E" w:rsidRPr="00C4084C" w:rsidRDefault="00E06C8E" w:rsidP="000623D9">
      <w:r w:rsidRPr="00C4084C">
        <w:t xml:space="preserve">Student ratings of their learning experience have been generally positive and </w:t>
      </w:r>
      <w:proofErr w:type="gramStart"/>
      <w:r w:rsidR="005260AB" w:rsidRPr="00C4084C">
        <w:t>fairly</w:t>
      </w:r>
      <w:r w:rsidRPr="00C4084C">
        <w:t xml:space="preserve"> stable</w:t>
      </w:r>
      <w:proofErr w:type="gramEnd"/>
      <w:r w:rsidRPr="00C4084C">
        <w:t xml:space="preserve"> over time</w:t>
      </w:r>
      <w:r w:rsidR="004B7708" w:rsidRPr="00C4084C">
        <w:t xml:space="preserve">, </w:t>
      </w:r>
      <w:r w:rsidR="000E0867">
        <w:t xml:space="preserve">as </w:t>
      </w:r>
      <w:r w:rsidR="004B7708" w:rsidRPr="00C4084C">
        <w:t xml:space="preserve">seen below in </w:t>
      </w:r>
      <w:r w:rsidR="00924A95" w:rsidRPr="00C4084C">
        <w:fldChar w:fldCharType="begin"/>
      </w:r>
      <w:r w:rsidR="00924A95" w:rsidRPr="00C4084C">
        <w:instrText xml:space="preserve"> REF _Ref151936357 \h </w:instrText>
      </w:r>
      <w:r w:rsidR="00404FEC" w:rsidRPr="00C4084C">
        <w:instrText xml:space="preserve"> \* MERGEFORMAT </w:instrText>
      </w:r>
      <w:r w:rsidR="00924A95" w:rsidRPr="00C4084C">
        <w:fldChar w:fldCharType="separate"/>
      </w:r>
      <w:r w:rsidR="00467B4F" w:rsidRPr="00C4084C">
        <w:t xml:space="preserve">Figure </w:t>
      </w:r>
      <w:r w:rsidR="00467B4F">
        <w:rPr>
          <w:noProof/>
        </w:rPr>
        <w:t>24</w:t>
      </w:r>
      <w:r w:rsidR="00924A95" w:rsidRPr="00C4084C">
        <w:fldChar w:fldCharType="end"/>
      </w:r>
      <w:r w:rsidR="007B6A44" w:rsidRPr="00C4084C">
        <w:t xml:space="preserve">. Prior to </w:t>
      </w:r>
      <w:r w:rsidR="00EA69A5" w:rsidRPr="00C4084C">
        <w:t xml:space="preserve">the </w:t>
      </w:r>
      <w:r w:rsidR="007B6A44" w:rsidRPr="00C4084C">
        <w:t>COVID</w:t>
      </w:r>
      <w:r w:rsidR="00EA69A5" w:rsidRPr="00C4084C">
        <w:t>-19 pandemic</w:t>
      </w:r>
      <w:r w:rsidR="007B6A44" w:rsidRPr="00C4084C">
        <w:t xml:space="preserve">, </w:t>
      </w:r>
      <w:r w:rsidR="00E53513" w:rsidRPr="00C4084C">
        <w:t>around 80% of undergraduate students consistently rat</w:t>
      </w:r>
      <w:r w:rsidR="007B6A44" w:rsidRPr="00C4084C">
        <w:t>ed</w:t>
      </w:r>
      <w:r w:rsidR="00E53513" w:rsidRPr="00C4084C">
        <w:t xml:space="preserve"> their educational experience positively</w:t>
      </w:r>
      <w:r w:rsidRPr="00C4084C">
        <w:t>. The notable exception</w:t>
      </w:r>
      <w:r w:rsidR="005E73BE" w:rsidRPr="00C4084C">
        <w:t>, shown</w:t>
      </w:r>
      <w:r w:rsidR="00697F05" w:rsidRPr="00C4084C">
        <w:t xml:space="preserve"> in the figure</w:t>
      </w:r>
      <w:r w:rsidR="00C476D5" w:rsidRPr="00C4084C">
        <w:t xml:space="preserve"> below</w:t>
      </w:r>
      <w:r w:rsidR="005E73BE" w:rsidRPr="00C4084C">
        <w:t>,</w:t>
      </w:r>
      <w:r w:rsidRPr="00C4084C">
        <w:t xml:space="preserve"> is the sharp decline in ratings due to the impact of the COVID-19 pandemic, though ratings have largely recovered in following years.</w:t>
      </w:r>
    </w:p>
    <w:p w14:paraId="7E127D87" w14:textId="47CA2D3E" w:rsidR="00E06C8E" w:rsidRPr="00D26B82" w:rsidRDefault="003D7A14" w:rsidP="005E5C5F">
      <w:pPr>
        <w:pStyle w:val="Caption"/>
        <w:rPr>
          <w:b/>
          <w:bCs/>
          <w:sz w:val="24"/>
          <w:szCs w:val="24"/>
        </w:rPr>
      </w:pPr>
      <w:bookmarkStart w:id="891" w:name="_Ref151936357"/>
      <w:bookmarkStart w:id="892" w:name="_Ref151928350"/>
      <w:bookmarkStart w:id="893" w:name="_Toc154674786"/>
      <w:r w:rsidRPr="00D26B82">
        <w:rPr>
          <w:b/>
          <w:bCs/>
          <w:sz w:val="24"/>
          <w:szCs w:val="24"/>
        </w:rPr>
        <w:t xml:space="preserve">Figure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24</w:t>
      </w:r>
      <w:r w:rsidRPr="00D26B82">
        <w:rPr>
          <w:b/>
          <w:bCs/>
          <w:sz w:val="24"/>
          <w:szCs w:val="24"/>
        </w:rPr>
        <w:fldChar w:fldCharType="end"/>
      </w:r>
      <w:bookmarkEnd w:id="891"/>
      <w:r w:rsidR="00E06C8E" w:rsidRPr="00D26B82">
        <w:rPr>
          <w:b/>
          <w:bCs/>
          <w:sz w:val="24"/>
          <w:szCs w:val="24"/>
        </w:rPr>
        <w:t xml:space="preserve">: </w:t>
      </w:r>
      <w:r w:rsidR="00E06C8E" w:rsidRPr="00D26B82" w:rsidDel="00A0324A">
        <w:rPr>
          <w:b/>
          <w:bCs/>
          <w:sz w:val="24"/>
          <w:szCs w:val="24"/>
        </w:rPr>
        <w:t>Quality of entire educational experience</w:t>
      </w:r>
      <w:r w:rsidR="005E73BE" w:rsidRPr="00D26B82">
        <w:rPr>
          <w:b/>
          <w:bCs/>
          <w:sz w:val="24"/>
          <w:szCs w:val="24"/>
        </w:rPr>
        <w:t xml:space="preserve"> (% positive rating)</w:t>
      </w:r>
      <w:r w:rsidR="00A6185F" w:rsidRPr="00D26B82">
        <w:rPr>
          <w:b/>
          <w:bCs/>
          <w:sz w:val="24"/>
          <w:szCs w:val="24"/>
        </w:rPr>
        <w:t>,</w:t>
      </w:r>
      <w:r w:rsidR="00E06C8E" w:rsidRPr="00D26B82" w:rsidDel="00A0324A">
        <w:rPr>
          <w:b/>
          <w:bCs/>
          <w:sz w:val="24"/>
          <w:szCs w:val="24"/>
        </w:rPr>
        <w:t xml:space="preserve"> by study level, 201</w:t>
      </w:r>
      <w:r w:rsidR="000F2DEB" w:rsidRPr="00D26B82">
        <w:rPr>
          <w:b/>
          <w:bCs/>
          <w:sz w:val="24"/>
          <w:szCs w:val="24"/>
        </w:rPr>
        <w:t>2</w:t>
      </w:r>
      <w:r w:rsidR="00924A95" w:rsidRPr="00D26B82">
        <w:rPr>
          <w:b/>
          <w:bCs/>
          <w:sz w:val="24"/>
          <w:szCs w:val="24"/>
        </w:rPr>
        <w:t xml:space="preserve"> to </w:t>
      </w:r>
      <w:r w:rsidR="00E06C8E" w:rsidRPr="00D26B82" w:rsidDel="00A0324A">
        <w:rPr>
          <w:b/>
          <w:bCs/>
          <w:sz w:val="24"/>
          <w:szCs w:val="24"/>
        </w:rPr>
        <w:t>2022</w:t>
      </w:r>
      <w:bookmarkEnd w:id="892"/>
      <w:r w:rsidR="001929E5" w:rsidRPr="00D26B82">
        <w:rPr>
          <w:b/>
          <w:bCs/>
          <w:sz w:val="24"/>
          <w:szCs w:val="24"/>
        </w:rPr>
        <w:t>.</w:t>
      </w:r>
      <w:bookmarkEnd w:id="893"/>
    </w:p>
    <w:p w14:paraId="1414DB65" w14:textId="1F955C56" w:rsidR="00796DAB" w:rsidRDefault="00796DAB" w:rsidP="001A5BB8">
      <w:pPr>
        <w:pStyle w:val="Source"/>
      </w:pPr>
      <w:r>
        <w:rPr>
          <w:noProof/>
        </w:rPr>
        <w:drawing>
          <wp:inline distT="0" distB="0" distL="0" distR="0" wp14:anchorId="54F0450A" wp14:editId="7B12CFC5">
            <wp:extent cx="5731559" cy="2339162"/>
            <wp:effectExtent l="0" t="0" r="0" b="0"/>
            <wp:docPr id="115359937" name="Graphic 24" descr="A line graph showing student survey data ratings of the quality of their entire educational experience by study level (undergraduate and coursework postgraduate) from 2012 to 2022. The graph shows that student ratings of their learning experience have been generally positive and fairly stable over time, with decreases in 2020. The percentage of positive rating for undergraduates is 80% in 2012, it remains steady before it drops to 68.7% in 2020, then increases to 76.7% in 2022. The percentage of positive ratings for postgraduate coursework students is 75.6% in 2017, 68.5% in 2020 and 75.9% in 20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59937" name="Graphic 24" descr="A line graph showing student survey data ratings of the quality of their entire educational experience by study level (undergraduate and coursework postgraduate) from 2012 to 2022. The graph shows that student ratings of their learning experience have been generally positive and fairly stable over time, with decreases in 2020. The percentage of positive rating for undergraduates is 80% in 2012, it remains steady before it drops to 68.7% in 2020, then increases to 76.7% in 2022. The percentage of positive ratings for postgraduate coursework students is 75.6% in 2017, 68.5% in 2020 and 75.9% in 2022. "/>
                    <pic:cNvPicPr/>
                  </pic:nvPicPr>
                  <pic:blipFill>
                    <a:blip r:embed="rId108">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5741690" cy="2343297"/>
                    </a:xfrm>
                    <a:prstGeom prst="rect">
                      <a:avLst/>
                    </a:prstGeom>
                  </pic:spPr>
                </pic:pic>
              </a:graphicData>
            </a:graphic>
          </wp:inline>
        </w:drawing>
      </w:r>
    </w:p>
    <w:p w14:paraId="7CA77B66" w14:textId="779E6EFD" w:rsidR="00A400DF" w:rsidRPr="00C4084C" w:rsidRDefault="00E06C8E" w:rsidP="001A5BB8">
      <w:pPr>
        <w:pStyle w:val="Source"/>
      </w:pPr>
      <w:r w:rsidRPr="00C4084C">
        <w:t xml:space="preserve">Source: Quality Indicators for Learning and Teaching (QILT), </w:t>
      </w:r>
      <w:r w:rsidRPr="00C4084C">
        <w:rPr>
          <w:i/>
        </w:rPr>
        <w:t>Student Experience Survey</w:t>
      </w:r>
      <w:r w:rsidRPr="00C4084C">
        <w:t xml:space="preserve"> [data set], </w:t>
      </w:r>
      <w:r w:rsidR="004F37C9" w:rsidRPr="00C4084C">
        <w:t xml:space="preserve">(Canberra: Department of Education, </w:t>
      </w:r>
      <w:r w:rsidRPr="00C4084C">
        <w:t>2022</w:t>
      </w:r>
      <w:r w:rsidR="004F37C9" w:rsidRPr="00C4084C">
        <w:t>)</w:t>
      </w:r>
      <w:r w:rsidRPr="00C4084C">
        <w:t>, accessed 20 November 2023.</w:t>
      </w:r>
    </w:p>
    <w:p w14:paraId="7401E1A9" w14:textId="3B331B31" w:rsidR="00095854" w:rsidRPr="00C4084C" w:rsidRDefault="00095854" w:rsidP="001A5BB8">
      <w:pPr>
        <w:pStyle w:val="Source"/>
      </w:pPr>
      <w:r w:rsidRPr="00C4084C">
        <w:t xml:space="preserve">Note: Results from 2015 </w:t>
      </w:r>
      <w:r w:rsidR="00606776" w:rsidRPr="00C4084C">
        <w:t>o</w:t>
      </w:r>
      <w:r w:rsidRPr="00C4084C">
        <w:t>nwards include students attending both university and non</w:t>
      </w:r>
      <w:r w:rsidR="00BE6643" w:rsidRPr="00C4084C">
        <w:t>-</w:t>
      </w:r>
      <w:r w:rsidRPr="00C4084C">
        <w:t>university higher education institutions and therefore are not directly comparable with results from earlier surveys which refer to university students only.</w:t>
      </w:r>
    </w:p>
    <w:p w14:paraId="19877721" w14:textId="31284E65" w:rsidR="00E06C8E" w:rsidRPr="00C4084C" w:rsidRDefault="00E06C8E" w:rsidP="000623D9">
      <w:r w:rsidRPr="00C4084C">
        <w:t xml:space="preserve">Although comparisons with international systems are difficult due to a lack of directly comparable survey data, Australian students have historically rated their education experience slightly lower than those from the United Kingdom and the United States. This gap has narrowed in recent years and may not indicate substantive differences in the quality of education offered between the </w:t>
      </w:r>
      <w:r w:rsidRPr="00C4084C">
        <w:lastRenderedPageBreak/>
        <w:t>countries.</w:t>
      </w:r>
      <w:r w:rsidRPr="00C4084C">
        <w:rPr>
          <w:rStyle w:val="FootnoteReference"/>
        </w:rPr>
        <w:footnoteReference w:id="277"/>
      </w:r>
      <w:r w:rsidRPr="00C4084C">
        <w:t xml:space="preserve"> Nevertheless, Australia must continue to strive to deliver a world-leading student experience.</w:t>
      </w:r>
    </w:p>
    <w:p w14:paraId="3A2FDCF0" w14:textId="1417CE20" w:rsidR="00CB3939" w:rsidRPr="00C4084C" w:rsidRDefault="00E06C8E" w:rsidP="000623D9">
      <w:r w:rsidRPr="00C4084C">
        <w:t xml:space="preserve">At the institutional level, the teaching quality of Australia’s best ranked universities has declined relative to international competitors, as measured by the Times Higher Education (THE) World University Rankings. In </w:t>
      </w:r>
      <w:r w:rsidR="00815B02" w:rsidRPr="00C4084C">
        <w:t xml:space="preserve">the </w:t>
      </w:r>
      <w:r w:rsidRPr="00C4084C">
        <w:t>2024</w:t>
      </w:r>
      <w:r w:rsidR="00815B02" w:rsidRPr="00C4084C">
        <w:t xml:space="preserve"> </w:t>
      </w:r>
      <w:r w:rsidR="00634309" w:rsidRPr="00C4084C">
        <w:t>THE</w:t>
      </w:r>
      <w:r w:rsidR="00815B02" w:rsidRPr="00C4084C">
        <w:t xml:space="preserve"> rankings</w:t>
      </w:r>
      <w:r w:rsidRPr="00C4084C">
        <w:t xml:space="preserve">, despite having 11 universities in the top 200 for overall rankings, Australia had only </w:t>
      </w:r>
      <w:r w:rsidR="00D16150" w:rsidRPr="00C4084C">
        <w:t xml:space="preserve">6 </w:t>
      </w:r>
      <w:r w:rsidRPr="00C4084C">
        <w:t xml:space="preserve">in the top ranked 200 universities for teaching, down from </w:t>
      </w:r>
      <w:r w:rsidR="00D16150" w:rsidRPr="00C4084C">
        <w:t xml:space="preserve">7 </w:t>
      </w:r>
      <w:r w:rsidRPr="00C4084C">
        <w:t xml:space="preserve">in 2015. Over the same period, </w:t>
      </w:r>
      <w:r w:rsidR="00D16150" w:rsidRPr="00C4084C">
        <w:t xml:space="preserve">5 </w:t>
      </w:r>
      <w:r w:rsidRPr="00C4084C">
        <w:t xml:space="preserve">of the top </w:t>
      </w:r>
      <w:r w:rsidR="00D16150" w:rsidRPr="00C4084C">
        <w:t xml:space="preserve">6 </w:t>
      </w:r>
      <w:r w:rsidRPr="00C4084C">
        <w:t>rated Australian universities saw their ranking for teaching decline, with only Monash University improving its ranking.</w:t>
      </w:r>
      <w:r w:rsidRPr="00C4084C">
        <w:rPr>
          <w:rStyle w:val="FootnoteReference"/>
        </w:rPr>
        <w:footnoteReference w:id="278"/>
      </w:r>
    </w:p>
    <w:p w14:paraId="7CF1E51B" w14:textId="7B85CB51" w:rsidR="00E06C8E" w:rsidRPr="00C4084C" w:rsidRDefault="00E06C8E" w:rsidP="000623D9">
      <w:r w:rsidRPr="00C4084C">
        <w:t xml:space="preserve">International students’ ratings of their study experience have tended to be somewhat lower than those of domestic students, although the rebound in international ratings post-COVID-19 has been stronger (see </w:t>
      </w:r>
      <w:r w:rsidR="00E826CB" w:rsidRPr="00C4084C">
        <w:fldChar w:fldCharType="begin"/>
      </w:r>
      <w:r w:rsidR="00E826CB" w:rsidRPr="00C4084C">
        <w:instrText xml:space="preserve"> REF _Ref151936390 \h </w:instrText>
      </w:r>
      <w:r w:rsidR="001617A1" w:rsidRPr="00C4084C">
        <w:instrText xml:space="preserve"> \* MERGEFORMAT </w:instrText>
      </w:r>
      <w:r w:rsidR="00E826CB" w:rsidRPr="00C4084C">
        <w:fldChar w:fldCharType="separate"/>
      </w:r>
      <w:r w:rsidR="00467B4F" w:rsidRPr="00C4084C">
        <w:t xml:space="preserve">Figure </w:t>
      </w:r>
      <w:r w:rsidR="00467B4F">
        <w:rPr>
          <w:noProof/>
        </w:rPr>
        <w:t>25</w:t>
      </w:r>
      <w:r w:rsidR="00E826CB" w:rsidRPr="00C4084C">
        <w:fldChar w:fldCharType="end"/>
      </w:r>
      <w:r w:rsidRPr="00C4084C">
        <w:t xml:space="preserve">). Graduate employment outcomes are substantially lower for international students than their domestic counterparts. This poses a risk to Australia’s standing as a provider of high-quality international education. It is vital </w:t>
      </w:r>
      <w:r w:rsidR="00946273" w:rsidRPr="00C4084C">
        <w:t>to</w:t>
      </w:r>
      <w:r w:rsidRPr="00C4084C">
        <w:t xml:space="preserve"> improve learning outcomes and student experience</w:t>
      </w:r>
      <w:r w:rsidR="00AE05C2" w:rsidRPr="00C4084C">
        <w:t>s for all students,</w:t>
      </w:r>
      <w:r w:rsidRPr="00C4084C">
        <w:t xml:space="preserve"> encompass</w:t>
      </w:r>
      <w:r w:rsidR="00AE05C2" w:rsidRPr="00C4084C">
        <w:t>ing</w:t>
      </w:r>
      <w:r w:rsidRPr="00C4084C">
        <w:t xml:space="preserve"> international students in addition to domestic students.</w:t>
      </w:r>
    </w:p>
    <w:p w14:paraId="27B867DA" w14:textId="3A044EC2" w:rsidR="001A5BB8" w:rsidRPr="00D26B82" w:rsidRDefault="001A5BB8" w:rsidP="005E5C5F">
      <w:pPr>
        <w:pStyle w:val="Caption"/>
        <w:rPr>
          <w:rFonts w:eastAsiaTheme="minorEastAsia"/>
          <w:b/>
          <w:bCs/>
          <w:sz w:val="24"/>
          <w:szCs w:val="24"/>
        </w:rPr>
      </w:pPr>
      <w:bookmarkStart w:id="894" w:name="_Ref151936390"/>
      <w:bookmarkStart w:id="895" w:name="_Toc154674787"/>
      <w:r w:rsidRPr="00D26B82">
        <w:rPr>
          <w:b/>
          <w:bCs/>
          <w:sz w:val="24"/>
          <w:szCs w:val="24"/>
        </w:rPr>
        <w:t xml:space="preserve">Figure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25</w:t>
      </w:r>
      <w:r w:rsidRPr="00D26B82">
        <w:rPr>
          <w:b/>
          <w:bCs/>
          <w:sz w:val="24"/>
          <w:szCs w:val="24"/>
        </w:rPr>
        <w:fldChar w:fldCharType="end"/>
      </w:r>
      <w:bookmarkEnd w:id="894"/>
      <w:r w:rsidRPr="00D26B82">
        <w:rPr>
          <w:b/>
          <w:bCs/>
          <w:sz w:val="24"/>
          <w:szCs w:val="24"/>
        </w:rPr>
        <w:t xml:space="preserve">: </w:t>
      </w:r>
      <w:r w:rsidRPr="00D26B82" w:rsidDel="00A0324A">
        <w:rPr>
          <w:b/>
          <w:bCs/>
          <w:sz w:val="24"/>
          <w:szCs w:val="24"/>
        </w:rPr>
        <w:t>Quality of entire educational experience</w:t>
      </w:r>
      <w:r w:rsidR="005E73BE" w:rsidRPr="00D26B82">
        <w:rPr>
          <w:b/>
          <w:bCs/>
          <w:sz w:val="24"/>
          <w:szCs w:val="24"/>
        </w:rPr>
        <w:t xml:space="preserve"> (% positive rating)</w:t>
      </w:r>
      <w:r w:rsidRPr="00D26B82" w:rsidDel="00A0324A">
        <w:rPr>
          <w:b/>
          <w:bCs/>
          <w:sz w:val="24"/>
          <w:szCs w:val="24"/>
        </w:rPr>
        <w:t>, undergraduate</w:t>
      </w:r>
      <w:r w:rsidR="00A6185F" w:rsidRPr="00D26B82">
        <w:rPr>
          <w:b/>
          <w:bCs/>
          <w:sz w:val="24"/>
          <w:szCs w:val="24"/>
        </w:rPr>
        <w:t>, by citizenship</w:t>
      </w:r>
      <w:r w:rsidRPr="00D26B82" w:rsidDel="00A0324A">
        <w:rPr>
          <w:b/>
          <w:bCs/>
          <w:sz w:val="24"/>
          <w:szCs w:val="24"/>
        </w:rPr>
        <w:t>, 2017</w:t>
      </w:r>
      <w:r w:rsidR="009F577A" w:rsidRPr="00D26B82">
        <w:rPr>
          <w:b/>
          <w:bCs/>
          <w:sz w:val="24"/>
          <w:szCs w:val="24"/>
        </w:rPr>
        <w:t> to </w:t>
      </w:r>
      <w:r w:rsidRPr="00D26B82" w:rsidDel="00A0324A">
        <w:rPr>
          <w:b/>
          <w:bCs/>
          <w:sz w:val="24"/>
          <w:szCs w:val="24"/>
        </w:rPr>
        <w:t>2022.</w:t>
      </w:r>
      <w:bookmarkEnd w:id="895"/>
    </w:p>
    <w:p w14:paraId="739E052F" w14:textId="68D08A00" w:rsidR="00796DAB" w:rsidRDefault="00796DAB" w:rsidP="001A5BB8">
      <w:pPr>
        <w:pStyle w:val="Source"/>
      </w:pPr>
      <w:r>
        <w:rPr>
          <w:noProof/>
        </w:rPr>
        <w:drawing>
          <wp:inline distT="0" distB="0" distL="0" distR="0" wp14:anchorId="53D1D512" wp14:editId="02561227">
            <wp:extent cx="5739554" cy="2317897"/>
            <wp:effectExtent l="0" t="0" r="0" b="0"/>
            <wp:docPr id="773719852" name="Graphic 25" descr="A line graph showing undergraduate student survey data rating the quality of their entire educational experience by citizenship from 2017 to 2022. The graph shows that international students’ ratings of their study tend to be several percentage points lower than domestic students’ ratings. . The trend between the two cohorts’ ratings is mirrored, with steady ratings between 2017 and 2019, a significant drop in 2020, and an increase from 2020 to 202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719852" name="Graphic 25" descr="A line graph showing undergraduate student survey data rating the quality of their entire educational experience by citizenship from 2017 to 2022. The graph shows that international students’ ratings of their study tend to be several percentage points lower than domestic students’ ratings. . The trend between the two cohorts’ ratings is mirrored, with steady ratings between 2017 and 2019, a significant drop in 2020, and an increase from 2020 to 2022. . "/>
                    <pic:cNvPicPr/>
                  </pic:nvPicPr>
                  <pic:blipFill>
                    <a:blip r:embed="rId110">
                      <a:extLst>
                        <a:ext uri="{28A0092B-C50C-407E-A947-70E740481C1C}">
                          <a14:useLocalDpi xmlns:a14="http://schemas.microsoft.com/office/drawing/2010/main" val="0"/>
                        </a:ext>
                        <a:ext uri="{96DAC541-7B7A-43D3-8B79-37D633B846F1}">
                          <asvg:svgBlip xmlns:asvg="http://schemas.microsoft.com/office/drawing/2016/SVG/main" r:embed="rId111"/>
                        </a:ext>
                      </a:extLst>
                    </a:blip>
                    <a:stretch>
                      <a:fillRect/>
                    </a:stretch>
                  </pic:blipFill>
                  <pic:spPr>
                    <a:xfrm>
                      <a:off x="0" y="0"/>
                      <a:ext cx="5754359" cy="2323876"/>
                    </a:xfrm>
                    <a:prstGeom prst="rect">
                      <a:avLst/>
                    </a:prstGeom>
                  </pic:spPr>
                </pic:pic>
              </a:graphicData>
            </a:graphic>
          </wp:inline>
        </w:drawing>
      </w:r>
    </w:p>
    <w:p w14:paraId="007099BC" w14:textId="1BED2480" w:rsidR="00E06C8E" w:rsidRPr="00C4084C" w:rsidRDefault="00E06C8E" w:rsidP="001A5BB8">
      <w:pPr>
        <w:pStyle w:val="Source"/>
      </w:pPr>
      <w:r w:rsidRPr="00C4084C">
        <w:t xml:space="preserve">Source: Quality Indicators for Learning and Teaching (QILT), </w:t>
      </w:r>
      <w:r w:rsidRPr="00C4084C">
        <w:rPr>
          <w:i/>
        </w:rPr>
        <w:t>Student Experience Survey</w:t>
      </w:r>
      <w:r w:rsidRPr="00C4084C">
        <w:t xml:space="preserve"> [data set], </w:t>
      </w:r>
      <w:r w:rsidR="00DA6E2D" w:rsidRPr="00C4084C">
        <w:t xml:space="preserve">(Canberra: Department of Education, </w:t>
      </w:r>
      <w:r w:rsidRPr="00C4084C">
        <w:t>2022</w:t>
      </w:r>
      <w:r w:rsidR="00DA6E2D" w:rsidRPr="00C4084C">
        <w:t>)</w:t>
      </w:r>
      <w:r w:rsidRPr="00C4084C">
        <w:t>, accessed 20 November 2023.</w:t>
      </w:r>
    </w:p>
    <w:p w14:paraId="7AC6725F" w14:textId="77777777" w:rsidR="00E06C8E" w:rsidRPr="00C4084C" w:rsidRDefault="00E06C8E" w:rsidP="007B0775">
      <w:pPr>
        <w:pStyle w:val="Heading5"/>
      </w:pPr>
      <w:bookmarkStart w:id="896" w:name="_Toc151023665"/>
      <w:bookmarkStart w:id="897" w:name="_Toc151024081"/>
      <w:r w:rsidRPr="00C4084C">
        <w:t>Building the evidence base</w:t>
      </w:r>
      <w:bookmarkEnd w:id="896"/>
      <w:bookmarkEnd w:id="897"/>
    </w:p>
    <w:p w14:paraId="2A1EA5BE" w14:textId="2D26BD7F" w:rsidR="00E06C8E" w:rsidRPr="00C4084C" w:rsidRDefault="00E06C8E" w:rsidP="00843890">
      <w:r w:rsidRPr="00C4084C">
        <w:t xml:space="preserve">Measuring teaching performance is inherently difficult. Australia’s approaches include the measurement of student experience and graduate outcomes and the transparent publication of results at both the national and institutional level. Efforts to improve metrics should, however, be ongoing. The Review recommends that the </w:t>
      </w:r>
      <w:r w:rsidR="00E339A6" w:rsidRPr="00C4084C">
        <w:t>Commission</w:t>
      </w:r>
      <w:r w:rsidRPr="00C4084C">
        <w:t xml:space="preserve"> oversee this work</w:t>
      </w:r>
      <w:r w:rsidR="00641E2B">
        <w:t xml:space="preserve"> (see Recommendation 21)</w:t>
      </w:r>
      <w:r w:rsidRPr="00C4084C">
        <w:t xml:space="preserve">. </w:t>
      </w:r>
    </w:p>
    <w:p w14:paraId="66AAD910" w14:textId="0C72AE35" w:rsidR="00E06C8E" w:rsidRPr="00C4084C" w:rsidRDefault="00E06C8E" w:rsidP="00843890">
      <w:r w:rsidRPr="00C4084C">
        <w:t xml:space="preserve">A challenge for improving the quality of higher education learning and teaching is the availability of reliable and actionable data. Currently available metrics, including student experience ratings and employment outcomes referred to above, are valuable but are </w:t>
      </w:r>
      <w:r w:rsidR="00606776" w:rsidRPr="00C4084C">
        <w:t>indicators only</w:t>
      </w:r>
      <w:r w:rsidRPr="00C4084C">
        <w:t xml:space="preserve">. They do not directly </w:t>
      </w:r>
      <w:r w:rsidRPr="00C4084C">
        <w:lastRenderedPageBreak/>
        <w:t>measure teaching performance or student learning gain, and it is often difficult to translate results into improved teaching practice.</w:t>
      </w:r>
      <w:r w:rsidR="007417C1" w:rsidRPr="00C4084C">
        <w:t xml:space="preserve"> </w:t>
      </w:r>
      <w:r w:rsidR="00AC5CBF" w:rsidRPr="00C4084C">
        <w:t xml:space="preserve">The existing Student Experience Survey </w:t>
      </w:r>
      <w:r w:rsidR="00332266" w:rsidRPr="00C4084C">
        <w:t>c</w:t>
      </w:r>
      <w:r w:rsidR="00AC5CBF" w:rsidRPr="00C4084C">
        <w:t xml:space="preserve">ould be enhanced </w:t>
      </w:r>
      <w:r w:rsidRPr="00C4084C">
        <w:t xml:space="preserve">and complemented by a new survey of teaching staff, examining resourcing and the learning environment. </w:t>
      </w:r>
    </w:p>
    <w:p w14:paraId="435615DA" w14:textId="46669C3D" w:rsidR="00E06C8E" w:rsidRPr="00C4084C" w:rsidRDefault="00E06C8E" w:rsidP="00843890">
      <w:r w:rsidRPr="00C4084C">
        <w:t xml:space="preserve">Alongside survey data, increased and systematised use of peer review of teaching </w:t>
      </w:r>
      <w:r w:rsidR="00A358BB" w:rsidRPr="00C4084C">
        <w:t>is also recommended</w:t>
      </w:r>
      <w:r w:rsidR="00641E2B">
        <w:t xml:space="preserve"> (see Recommendation 21)</w:t>
      </w:r>
      <w:r w:rsidRPr="00C4084C">
        <w:t>. Though many</w:t>
      </w:r>
      <w:r w:rsidRPr="00C4084C" w:rsidDel="00A358BB">
        <w:t xml:space="preserve"> </w:t>
      </w:r>
      <w:r w:rsidR="00A358BB" w:rsidRPr="00C4084C">
        <w:t>universities</w:t>
      </w:r>
      <w:r w:rsidRPr="00C4084C">
        <w:t xml:space="preserve"> already make use of peer review processes, the uptake and consistency of review methodologies could be improved through a national accreditation system. This should be underpinned by evidence of effective and efficient methodologies which focus on providing actionable feedback to teaching staff on how to improve their practice. Peer review also has the potential to enhance system-wide evidence of teaching quality. The Productivity Commission has outlined how peer review processes could be used to validate existing and new questions in the Student Experience Survey.</w:t>
      </w:r>
      <w:r w:rsidRPr="00C4084C">
        <w:rPr>
          <w:rStyle w:val="FootnoteReference"/>
        </w:rPr>
        <w:footnoteReference w:id="279"/>
      </w:r>
    </w:p>
    <w:p w14:paraId="58911A45" w14:textId="64A07FB8" w:rsidR="00E06C8E" w:rsidRPr="00C4084C" w:rsidRDefault="00E06C8E" w:rsidP="00843890">
      <w:r w:rsidRPr="00C4084C">
        <w:t>New and existing metrics should be brought together in a comprehensive Australian Higher Education Teaching Quality Framework covering multiple domains such as institutional investment, staffing and professional development, student cohort diversity, learning and employment outcomes, and student experience. In the United Kingdom, the Teaching Excellence Framework administered by the Office for Students fulfills this role.</w:t>
      </w:r>
      <w:r w:rsidRPr="00C4084C">
        <w:rPr>
          <w:rStyle w:val="FootnoteReference"/>
        </w:rPr>
        <w:footnoteReference w:id="280"/>
      </w:r>
      <w:r w:rsidRPr="00C4084C">
        <w:t xml:space="preserve"> In Australia, a National Quality Framework has been developed for the early childhood sector by the Australian Children’s Education and Care Quality Authority.</w:t>
      </w:r>
      <w:r w:rsidRPr="00C4084C">
        <w:rPr>
          <w:rStyle w:val="FootnoteReference"/>
        </w:rPr>
        <w:footnoteReference w:id="281"/>
      </w:r>
    </w:p>
    <w:p w14:paraId="4176CBF3" w14:textId="0A84C4CD" w:rsidR="007B2E84" w:rsidRPr="00C4084C" w:rsidRDefault="00E06C8E" w:rsidP="00285443">
      <w:r w:rsidRPr="00C4084C">
        <w:t xml:space="preserve">An aim of the </w:t>
      </w:r>
      <w:r w:rsidR="00332304" w:rsidRPr="00C4084C">
        <w:t>framework</w:t>
      </w:r>
      <w:r w:rsidRPr="00C4084C">
        <w:t xml:space="preserve"> would be to make transparent to higher education institutions, students, </w:t>
      </w:r>
      <w:proofErr w:type="gramStart"/>
      <w:r w:rsidR="00132640" w:rsidRPr="00C4084C">
        <w:t>g</w:t>
      </w:r>
      <w:r w:rsidRPr="00C4084C">
        <w:t>overnment</w:t>
      </w:r>
      <w:proofErr w:type="gramEnd"/>
      <w:r w:rsidRPr="00C4084C">
        <w:t xml:space="preserve"> and the broader Australian community whether public expenditure on teaching is being </w:t>
      </w:r>
      <w:r w:rsidR="00674935" w:rsidRPr="00C4084C">
        <w:t xml:space="preserve">effectively </w:t>
      </w:r>
      <w:r w:rsidRPr="00C4084C">
        <w:t xml:space="preserve">used to ensure good learning outcomes for students from all walks of life. Increased accountability can ensure quality </w:t>
      </w:r>
      <w:r w:rsidR="00332304" w:rsidRPr="00C4084C">
        <w:t xml:space="preserve">continues to be </w:t>
      </w:r>
      <w:r w:rsidRPr="00C4084C">
        <w:t xml:space="preserve">a central consideration for higher education </w:t>
      </w:r>
      <w:r w:rsidR="002C0C48" w:rsidRPr="00C4084C">
        <w:t>providers</w:t>
      </w:r>
      <w:r w:rsidRPr="00C4084C">
        <w:t xml:space="preserve">, driving towards a system where </w:t>
      </w:r>
      <w:r w:rsidR="002C0C48" w:rsidRPr="00C4084C">
        <w:t>university</w:t>
      </w:r>
      <w:r w:rsidRPr="00C4084C">
        <w:t>-led continuous improvement in teaching standards is the norm</w:t>
      </w:r>
      <w:r w:rsidR="00332304" w:rsidRPr="00C4084C">
        <w:t xml:space="preserve"> across the system</w:t>
      </w:r>
      <w:r w:rsidRPr="00C4084C">
        <w:t>. The framework would also help regulators identify and address emerging challenges to the quality of learning and teaching.</w:t>
      </w:r>
    </w:p>
    <w:tbl>
      <w:tblPr>
        <w:tblW w:w="0" w:type="auto"/>
        <w:shd w:val="clear" w:color="auto" w:fill="FBE4D5"/>
        <w:tblLook w:val="04A0" w:firstRow="1" w:lastRow="0" w:firstColumn="1" w:lastColumn="0" w:noHBand="0" w:noVBand="1"/>
      </w:tblPr>
      <w:tblGrid>
        <w:gridCol w:w="9026"/>
      </w:tblGrid>
      <w:tr w:rsidR="007B2E84" w:rsidRPr="00C4084C" w14:paraId="59F1760E" w14:textId="77777777" w:rsidTr="00D26B82">
        <w:tc>
          <w:tcPr>
            <w:tcW w:w="9026" w:type="dxa"/>
            <w:shd w:val="clear" w:color="auto" w:fill="B0C3DB"/>
          </w:tcPr>
          <w:p w14:paraId="47CADF3C" w14:textId="227EA38C" w:rsidR="00861BDA" w:rsidRPr="00861BDA" w:rsidRDefault="0080264E" w:rsidP="003E5969">
            <w:pPr>
              <w:pStyle w:val="Findinginchapterheading"/>
            </w:pPr>
            <w:r w:rsidRPr="003E5969">
              <w:rPr>
                <w:rFonts w:ascii="Calibri" w:eastAsia="Yu Gothic Light" w:hAnsi="Calibri" w:cs="Calibri"/>
                <w:szCs w:val="24"/>
              </w:rPr>
              <w:t>Finding</w:t>
            </w:r>
            <w:r w:rsidR="00861BDA">
              <w:rPr>
                <w:szCs w:val="24"/>
              </w:rPr>
              <w:t xml:space="preserve">: </w:t>
            </w:r>
            <w:r w:rsidR="007B2E84" w:rsidRPr="00C4084C">
              <w:t>Students</w:t>
            </w:r>
          </w:p>
          <w:p w14:paraId="057AFABA" w14:textId="37620E49" w:rsidR="007B2E84" w:rsidRPr="00C4084C" w:rsidRDefault="007B2E84" w:rsidP="003E5969">
            <w:pPr>
              <w:pStyle w:val="Boxtext0"/>
              <w:spacing w:before="0"/>
            </w:pPr>
            <w:r w:rsidRPr="00C4084C">
              <w:t xml:space="preserve">Globally, learning and teaching methods are undergoing a profound shift. A marked trend towards more online learning (the ‘virtual classroom’) and enrolment in more affordable courses that are more </w:t>
            </w:r>
            <w:r w:rsidRPr="003C30E6">
              <w:t>tailored</w:t>
            </w:r>
            <w:r w:rsidRPr="00C4084C">
              <w:t xml:space="preserve"> to individual student need is creating new expectations and opportunities to innovate for tertiary education providers. Australia needs to be at the forefront of these developments to be prepared for the changes that are coming.  </w:t>
            </w:r>
          </w:p>
        </w:tc>
      </w:tr>
    </w:tbl>
    <w:p w14:paraId="0B426D85" w14:textId="77777777" w:rsidR="00885C40" w:rsidRPr="00C4084C" w:rsidRDefault="00885C40" w:rsidP="00885C40">
      <w:pPr>
        <w:pStyle w:val="Heading5"/>
      </w:pPr>
      <w:r w:rsidRPr="00C4084C">
        <w:t>Raising teaching quality and status  </w:t>
      </w:r>
    </w:p>
    <w:p w14:paraId="0E704283" w14:textId="092BBF5B" w:rsidR="00885C40" w:rsidRPr="00C4084C" w:rsidRDefault="00885C40" w:rsidP="00843890">
      <w:r w:rsidRPr="00C4084C">
        <w:t>The quality of teaching is an important factor in student experience and learning outcomes</w:t>
      </w:r>
      <w:r w:rsidRPr="00C4084C">
        <w:rPr>
          <w:i/>
          <w:iCs/>
        </w:rPr>
        <w:t>.</w:t>
      </w:r>
      <w:r w:rsidRPr="00C4084C">
        <w:t xml:space="preserve"> Increasing student rates of participation and attainment over the next decades needs many more students from diverse backgrounds to succeed in the higher education system. Many will be </w:t>
      </w:r>
      <w:r w:rsidR="542D710B" w:rsidRPr="00C4084C">
        <w:t xml:space="preserve">less </w:t>
      </w:r>
      <w:r w:rsidRPr="00C4084C">
        <w:lastRenderedPageBreak/>
        <w:t>academically prepared for higher level studies than previous cohorts. The academic workforce will need to be larger and better equipped to help different student cohorts learn well. </w:t>
      </w:r>
    </w:p>
    <w:p w14:paraId="03B4621A" w14:textId="2691CF0B" w:rsidR="00885C40" w:rsidRPr="00C4084C" w:rsidRDefault="00885C40" w:rsidP="00843890">
      <w:r w:rsidRPr="00C4084C">
        <w:t xml:space="preserve">Raising </w:t>
      </w:r>
      <w:r w:rsidR="00836AE9">
        <w:t>teaching</w:t>
      </w:r>
      <w:r w:rsidR="00836AE9" w:rsidRPr="00C4084C">
        <w:t xml:space="preserve"> </w:t>
      </w:r>
      <w:r w:rsidRPr="00C4084C">
        <w:t xml:space="preserve">status, professionalisation and training for teaching in higher education institutions will be important for these cohorts. </w:t>
      </w:r>
      <w:r w:rsidR="001F5E1B" w:rsidRPr="00C4084C">
        <w:t xml:space="preserve">The Review </w:t>
      </w:r>
      <w:r w:rsidR="00F32E18">
        <w:t>recommends that</w:t>
      </w:r>
      <w:r w:rsidR="001F5E1B" w:rsidRPr="00C4084C">
        <w:t xml:space="preserve"> </w:t>
      </w:r>
      <w:r w:rsidR="009C6297" w:rsidRPr="00C4084C">
        <w:t>professional</w:t>
      </w:r>
      <w:r w:rsidRPr="00C4084C">
        <w:t xml:space="preserve"> </w:t>
      </w:r>
      <w:r w:rsidR="009C6297" w:rsidRPr="00C4084C">
        <w:t>standards</w:t>
      </w:r>
      <w:r w:rsidRPr="00C4084C">
        <w:t xml:space="preserve"> </w:t>
      </w:r>
      <w:r w:rsidR="00F32E18">
        <w:t>be</w:t>
      </w:r>
      <w:r w:rsidR="00F32E18" w:rsidRPr="00C4084C">
        <w:t xml:space="preserve"> </w:t>
      </w:r>
      <w:r w:rsidR="004D387B" w:rsidRPr="00C4084C">
        <w:t xml:space="preserve">developed </w:t>
      </w:r>
      <w:r w:rsidRPr="00C4084C">
        <w:t xml:space="preserve">for Australian higher education teaching, modelled on the framework administered by </w:t>
      </w:r>
      <w:proofErr w:type="spellStart"/>
      <w:r w:rsidRPr="00C4084C">
        <w:t>AdvanceHE</w:t>
      </w:r>
      <w:proofErr w:type="spellEnd"/>
      <w:r w:rsidRPr="00C4084C">
        <w:t xml:space="preserve"> in the United Kingdom</w:t>
      </w:r>
      <w:r w:rsidR="00652A6B" w:rsidRPr="00C4084C">
        <w:t xml:space="preserve"> (see Recommendation </w:t>
      </w:r>
      <w:r w:rsidR="005448BC" w:rsidRPr="00C4084C">
        <w:t>3</w:t>
      </w:r>
      <w:r w:rsidR="00CB2C39" w:rsidRPr="00C4084C">
        <w:t>1</w:t>
      </w:r>
      <w:r w:rsidR="00652A6B" w:rsidRPr="00C4084C">
        <w:t>)</w:t>
      </w:r>
      <w:r w:rsidRPr="00C4084C">
        <w:t>.</w:t>
      </w:r>
      <w:r w:rsidRPr="00C4084C">
        <w:rPr>
          <w:rStyle w:val="FootnoteReference"/>
        </w:rPr>
        <w:footnoteReference w:id="282"/>
      </w:r>
      <w:r w:rsidRPr="00C4084C">
        <w:t xml:space="preserve"> Formalising professional standards should raise the status of higher education teaching as a whole and allow staff to demonstrate their skills and accomplishments as they pursue </w:t>
      </w:r>
      <w:r w:rsidR="00D84B23" w:rsidRPr="00C4084C">
        <w:t>academic</w:t>
      </w:r>
      <w:r w:rsidRPr="00C4084C">
        <w:t xml:space="preserve"> careers. This work </w:t>
      </w:r>
      <w:r w:rsidR="00B40262" w:rsidRPr="00C4084C">
        <w:t>should</w:t>
      </w:r>
      <w:r w:rsidRPr="00C4084C">
        <w:t xml:space="preserve"> be initiated by the </w:t>
      </w:r>
      <w:r w:rsidR="00E339A6" w:rsidRPr="00C4084C">
        <w:t>Commission</w:t>
      </w:r>
      <w:r w:rsidRPr="00C4084C">
        <w:t>. </w:t>
      </w:r>
    </w:p>
    <w:p w14:paraId="3A243000" w14:textId="227F4C1F" w:rsidR="00885C40" w:rsidRPr="00C4084C" w:rsidRDefault="00885C40" w:rsidP="00843890">
      <w:r w:rsidRPr="00C4084C">
        <w:t>Given the importance of quality teaching, the Review suggests all higher education teaching staff, including sessional staff and PhD students engaged in teaching, should be encouraged to gain an accredited teaching qualification. Formal training and accreditation are requirements for teaching staff in the school, vocational education and training</w:t>
      </w:r>
      <w:r w:rsidR="00F32E18">
        <w:t>,</w:t>
      </w:r>
      <w:r w:rsidRPr="00C4084C">
        <w:t xml:space="preserve"> and early childhood sectors. The main pathway for entering higher education teaching is the completion of a PhD, the primary component of which is undertaking research rather than training in pedagogy. </w:t>
      </w:r>
      <w:r w:rsidR="008209E9" w:rsidRPr="00C4084C">
        <w:t>O</w:t>
      </w:r>
      <w:r w:rsidRPr="00C4084C">
        <w:t xml:space="preserve">ver time it should become the norm that </w:t>
      </w:r>
      <w:r w:rsidR="008209E9" w:rsidRPr="00C4084C">
        <w:t>higher education teaching staff hold teaching qualifications</w:t>
      </w:r>
      <w:r w:rsidRPr="00C4084C">
        <w:t>. Higher education providers should report how many of their staff have undertaken accredited training. </w:t>
      </w:r>
    </w:p>
    <w:p w14:paraId="19523E74" w14:textId="194AF7D1" w:rsidR="00885C40" w:rsidRPr="00C4084C" w:rsidRDefault="00885C40" w:rsidP="00843890">
      <w:r w:rsidRPr="00C4084C">
        <w:t xml:space="preserve">To help teaching staff meet the new professional standards and raise rates of accreditation, existing academic staff, including sessional staff members, will require high-quality professional development opportunities. Ideally, professional development should be structured around formal, accredited qualifications in evidence-based teaching methodology. In the school system, these qualifications are mandatory. For PhD students, accredited teacher training leading to a teaching qualification such as a Graduate Certificate in Higher Education Teaching and mentoring from senior academics </w:t>
      </w:r>
      <w:r w:rsidR="005F4D6E" w:rsidRPr="00C4084C">
        <w:t xml:space="preserve">should </w:t>
      </w:r>
      <w:r w:rsidRPr="00C4084C">
        <w:t>be provided alongside traditional research training activities</w:t>
      </w:r>
      <w:r w:rsidR="00BD724B">
        <w:t>,</w:t>
      </w:r>
      <w:r w:rsidR="00893882">
        <w:t xml:space="preserve"> especially for those PhD students aspiring to an academic career</w:t>
      </w:r>
      <w:r w:rsidRPr="00C4084C">
        <w:t xml:space="preserve">. This will help develop the pipeline of highly skilled educators </w:t>
      </w:r>
      <w:r w:rsidR="00F32E18">
        <w:t xml:space="preserve">that </w:t>
      </w:r>
      <w:r w:rsidRPr="00C4084C">
        <w:t xml:space="preserve">Australia will require in the future. </w:t>
      </w:r>
      <w:r w:rsidR="009E37EA" w:rsidRPr="00C4084C">
        <w:t xml:space="preserve">Development of the university workforce is discussed further in </w:t>
      </w:r>
      <w:r w:rsidR="009E37EA" w:rsidRPr="00C4084C">
        <w:rPr>
          <w:i/>
        </w:rPr>
        <w:fldChar w:fldCharType="begin"/>
      </w:r>
      <w:r w:rsidR="009E37EA" w:rsidRPr="00C4084C">
        <w:rPr>
          <w:i/>
        </w:rPr>
        <w:instrText xml:space="preserve"> REF _Ref151934666 \r \h </w:instrText>
      </w:r>
      <w:r w:rsidR="009E37EA" w:rsidRPr="00C4084C">
        <w:rPr>
          <w:i/>
          <w:iCs/>
        </w:rPr>
        <w:instrText xml:space="preserve"> \* MERGEFORMAT </w:instrText>
      </w:r>
      <w:r w:rsidR="009E37EA" w:rsidRPr="00C4084C">
        <w:rPr>
          <w:i/>
        </w:rPr>
      </w:r>
      <w:r w:rsidR="009E37EA" w:rsidRPr="00C4084C">
        <w:rPr>
          <w:i/>
        </w:rPr>
        <w:fldChar w:fldCharType="separate"/>
      </w:r>
      <w:r w:rsidR="00467B4F">
        <w:rPr>
          <w:i/>
        </w:rPr>
        <w:t xml:space="preserve">Chapter 6 – </w:t>
      </w:r>
      <w:r w:rsidR="009E37EA" w:rsidRPr="00C4084C">
        <w:rPr>
          <w:i/>
        </w:rPr>
        <w:fldChar w:fldCharType="end"/>
      </w:r>
      <w:r w:rsidR="009E37EA" w:rsidRPr="00C4084C">
        <w:rPr>
          <w:i/>
        </w:rPr>
        <w:fldChar w:fldCharType="begin"/>
      </w:r>
      <w:r w:rsidR="009E37EA" w:rsidRPr="00C4084C">
        <w:rPr>
          <w:i/>
        </w:rPr>
        <w:instrText xml:space="preserve"> REF _Ref151934666 \h </w:instrText>
      </w:r>
      <w:r w:rsidR="009E37EA" w:rsidRPr="00C4084C">
        <w:rPr>
          <w:i/>
          <w:iCs/>
        </w:rPr>
        <w:instrText xml:space="preserve"> \* MERGEFORMAT </w:instrText>
      </w:r>
      <w:r w:rsidR="009E37EA" w:rsidRPr="00C4084C">
        <w:rPr>
          <w:i/>
        </w:rPr>
      </w:r>
      <w:r w:rsidR="009E37EA" w:rsidRPr="00C4084C">
        <w:rPr>
          <w:i/>
        </w:rPr>
        <w:fldChar w:fldCharType="separate"/>
      </w:r>
      <w:r w:rsidR="00467B4F" w:rsidRPr="00467B4F">
        <w:rPr>
          <w:i/>
        </w:rPr>
        <w:t>A dynamic, collaborative and responsive system that serves the national interest</w:t>
      </w:r>
      <w:r w:rsidR="009E37EA" w:rsidRPr="00C4084C">
        <w:rPr>
          <w:i/>
        </w:rPr>
        <w:fldChar w:fldCharType="end"/>
      </w:r>
      <w:r w:rsidR="009E37EA" w:rsidRPr="00C4084C">
        <w:t xml:space="preserve">. </w:t>
      </w:r>
      <w:r w:rsidRPr="00C4084C">
        <w:t xml:space="preserve">Structuring training and career pathways for PhD candidates </w:t>
      </w:r>
      <w:r w:rsidR="00893882">
        <w:t>are</w:t>
      </w:r>
      <w:r w:rsidR="00893882" w:rsidRPr="00C4084C">
        <w:t xml:space="preserve"> </w:t>
      </w:r>
      <w:r w:rsidRPr="00C4084C">
        <w:t xml:space="preserve">discussed further in </w:t>
      </w:r>
      <w:r w:rsidRPr="00C4084C">
        <w:rPr>
          <w:i/>
        </w:rPr>
        <w:fldChar w:fldCharType="begin"/>
      </w:r>
      <w:r w:rsidRPr="00C4084C">
        <w:instrText xml:space="preserve"> REF _Ref151935602 \r \h  \* MERGEFORMAT </w:instrText>
      </w:r>
      <w:r w:rsidRPr="00C4084C">
        <w:rPr>
          <w:i/>
        </w:rPr>
      </w:r>
      <w:r w:rsidRPr="00C4084C">
        <w:rPr>
          <w:i/>
        </w:rPr>
        <w:fldChar w:fldCharType="separate"/>
      </w:r>
      <w:r w:rsidR="00467B4F" w:rsidRPr="00467B4F">
        <w:rPr>
          <w:i/>
        </w:rPr>
        <w:t xml:space="preserve">Chapter 5 – </w:t>
      </w:r>
      <w:r w:rsidRPr="00C4084C">
        <w:rPr>
          <w:i/>
        </w:rPr>
        <w:fldChar w:fldCharType="end"/>
      </w:r>
      <w:r w:rsidR="007E0954" w:rsidRPr="00C4084C">
        <w:rPr>
          <w:i/>
        </w:rPr>
        <w:fldChar w:fldCharType="begin"/>
      </w:r>
      <w:r w:rsidR="007E0954" w:rsidRPr="00C4084C">
        <w:rPr>
          <w:i/>
        </w:rPr>
        <w:instrText xml:space="preserve"> REF _Ref151935602 \h  \* MERGEFORMAT </w:instrText>
      </w:r>
      <w:r w:rsidR="007E0954" w:rsidRPr="00C4084C">
        <w:rPr>
          <w:i/>
        </w:rPr>
      </w:r>
      <w:r w:rsidR="007E0954" w:rsidRPr="00C4084C">
        <w:rPr>
          <w:i/>
        </w:rPr>
        <w:fldChar w:fldCharType="separate"/>
      </w:r>
      <w:r w:rsidR="00467B4F" w:rsidRPr="00467B4F">
        <w:rPr>
          <w:i/>
        </w:rPr>
        <w:t>Producing and using new knowledge</w:t>
      </w:r>
      <w:r w:rsidR="007E0954" w:rsidRPr="00C4084C">
        <w:rPr>
          <w:i/>
        </w:rPr>
        <w:fldChar w:fldCharType="end"/>
      </w:r>
      <w:r w:rsidRPr="00C4084C">
        <w:rPr>
          <w:i/>
        </w:rPr>
        <w:t>.</w:t>
      </w:r>
      <w:r w:rsidRPr="00C4084C">
        <w:t> </w:t>
      </w:r>
    </w:p>
    <w:p w14:paraId="75681E1A" w14:textId="77777777" w:rsidR="00E06C8E" w:rsidRPr="00C4084C" w:rsidRDefault="00E06C8E" w:rsidP="007B0775">
      <w:pPr>
        <w:pStyle w:val="Heading5"/>
      </w:pPr>
      <w:bookmarkStart w:id="898" w:name="_Toc151023666"/>
      <w:bookmarkStart w:id="899" w:name="_Toc151024082"/>
      <w:r w:rsidRPr="00C4084C">
        <w:t>Enabling connectivity and belonging through digital delivery and other off-campus experiences</w:t>
      </w:r>
      <w:bookmarkEnd w:id="898"/>
      <w:bookmarkEnd w:id="899"/>
    </w:p>
    <w:p w14:paraId="3657D1F1" w14:textId="77777777" w:rsidR="00E06C8E" w:rsidRPr="00C4084C" w:rsidRDefault="00E06C8E" w:rsidP="00B51E2E">
      <w:r w:rsidRPr="00C4084C">
        <w:t xml:space="preserve">The widespread move to digital and hybrid modes of course delivery, particularly following the COVID-19 pandemic, presents challenges and opportunities for learning and teaching. </w:t>
      </w:r>
    </w:p>
    <w:p w14:paraId="621DE630" w14:textId="56D5CC86" w:rsidR="00E06C8E" w:rsidRPr="00C4084C" w:rsidRDefault="00E06C8E" w:rsidP="00B51E2E">
      <w:r w:rsidRPr="00C4084C">
        <w:t xml:space="preserve">The rapid expansion of online learning during the pandemic, whilst enabling learning to continue, resulted in many students feeling isolated from their peers and teaching staff. This was reflected in student ratings of their learning engagement, which declined markedly between 2019 and 2020. For domestic students, these ratings have not yet returned to pre-COVID-19 levels (see </w:t>
      </w:r>
      <w:r w:rsidR="009E37EA" w:rsidRPr="00C4084C">
        <w:fldChar w:fldCharType="begin"/>
      </w:r>
      <w:r w:rsidR="009E37EA" w:rsidRPr="00C4084C">
        <w:instrText xml:space="preserve"> REF _Ref151936406 \h </w:instrText>
      </w:r>
      <w:r w:rsidR="00404FEC" w:rsidRPr="00C4084C">
        <w:instrText xml:space="preserve"> \* MERGEFORMAT </w:instrText>
      </w:r>
      <w:r w:rsidR="009E37EA" w:rsidRPr="00C4084C">
        <w:fldChar w:fldCharType="separate"/>
      </w:r>
      <w:r w:rsidR="00467B4F" w:rsidRPr="00C4084C">
        <w:t xml:space="preserve">Figure </w:t>
      </w:r>
      <w:r w:rsidR="00467B4F">
        <w:rPr>
          <w:noProof/>
        </w:rPr>
        <w:t>26</w:t>
      </w:r>
      <w:r w:rsidR="009E37EA" w:rsidRPr="00C4084C">
        <w:fldChar w:fldCharType="end"/>
      </w:r>
      <w:r w:rsidRPr="00C4084C">
        <w:t>).</w:t>
      </w:r>
    </w:p>
    <w:p w14:paraId="4B3E7AB0" w14:textId="456647D8" w:rsidR="001A5BB8" w:rsidRPr="00D26B82" w:rsidRDefault="001A5BB8" w:rsidP="005E5C5F">
      <w:pPr>
        <w:pStyle w:val="Caption"/>
        <w:rPr>
          <w:b/>
          <w:bCs/>
          <w:sz w:val="24"/>
          <w:szCs w:val="24"/>
        </w:rPr>
      </w:pPr>
      <w:bookmarkStart w:id="900" w:name="_Ref151936406"/>
      <w:bookmarkStart w:id="901" w:name="_Toc154674788"/>
      <w:r w:rsidRPr="00D26B82">
        <w:rPr>
          <w:b/>
          <w:bCs/>
          <w:sz w:val="24"/>
          <w:szCs w:val="24"/>
        </w:rPr>
        <w:lastRenderedPageBreak/>
        <w:t xml:space="preserve">Figure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26</w:t>
      </w:r>
      <w:r w:rsidRPr="00D26B82">
        <w:rPr>
          <w:b/>
          <w:bCs/>
          <w:sz w:val="24"/>
          <w:szCs w:val="24"/>
        </w:rPr>
        <w:fldChar w:fldCharType="end"/>
      </w:r>
      <w:bookmarkEnd w:id="900"/>
      <w:r w:rsidRPr="00D26B82">
        <w:rPr>
          <w:b/>
          <w:bCs/>
          <w:sz w:val="24"/>
          <w:szCs w:val="24"/>
        </w:rPr>
        <w:t xml:space="preserve">: </w:t>
      </w:r>
      <w:r w:rsidRPr="00D26B82" w:rsidDel="00A0324A">
        <w:rPr>
          <w:b/>
          <w:bCs/>
          <w:sz w:val="24"/>
          <w:szCs w:val="24"/>
        </w:rPr>
        <w:t>Learner engagement</w:t>
      </w:r>
      <w:r w:rsidR="009F577A" w:rsidRPr="00D26B82">
        <w:rPr>
          <w:b/>
          <w:bCs/>
          <w:sz w:val="24"/>
          <w:szCs w:val="24"/>
        </w:rPr>
        <w:t xml:space="preserve"> (% positive rating)</w:t>
      </w:r>
      <w:r w:rsidRPr="00D26B82" w:rsidDel="00A0324A">
        <w:rPr>
          <w:b/>
          <w:bCs/>
          <w:sz w:val="24"/>
          <w:szCs w:val="24"/>
        </w:rPr>
        <w:t>, undergraduate</w:t>
      </w:r>
      <w:r w:rsidR="003F053E" w:rsidRPr="00D26B82">
        <w:rPr>
          <w:b/>
          <w:bCs/>
          <w:sz w:val="24"/>
          <w:szCs w:val="24"/>
        </w:rPr>
        <w:t>,</w:t>
      </w:r>
      <w:r w:rsidRPr="00D26B82" w:rsidDel="00A0324A">
        <w:rPr>
          <w:b/>
          <w:bCs/>
          <w:sz w:val="24"/>
          <w:szCs w:val="24"/>
        </w:rPr>
        <w:t xml:space="preserve"> </w:t>
      </w:r>
      <w:r w:rsidR="00A6185F" w:rsidRPr="00D26B82">
        <w:rPr>
          <w:b/>
          <w:bCs/>
          <w:sz w:val="24"/>
          <w:szCs w:val="24"/>
        </w:rPr>
        <w:t>by citizenship</w:t>
      </w:r>
      <w:r w:rsidR="00AD62C4" w:rsidRPr="00D26B82">
        <w:rPr>
          <w:b/>
          <w:bCs/>
          <w:sz w:val="24"/>
          <w:szCs w:val="24"/>
        </w:rPr>
        <w:t>,</w:t>
      </w:r>
      <w:r w:rsidR="00A6185F" w:rsidRPr="00D26B82">
        <w:rPr>
          <w:b/>
          <w:bCs/>
          <w:sz w:val="24"/>
          <w:szCs w:val="24"/>
        </w:rPr>
        <w:t xml:space="preserve"> </w:t>
      </w:r>
      <w:r w:rsidRPr="00D26B82" w:rsidDel="00A0324A">
        <w:rPr>
          <w:b/>
          <w:bCs/>
          <w:sz w:val="24"/>
          <w:szCs w:val="24"/>
        </w:rPr>
        <w:t>2017</w:t>
      </w:r>
      <w:r w:rsidR="00383D6C" w:rsidRPr="00D26B82">
        <w:rPr>
          <w:b/>
          <w:bCs/>
          <w:sz w:val="24"/>
          <w:szCs w:val="24"/>
        </w:rPr>
        <w:t xml:space="preserve"> to </w:t>
      </w:r>
      <w:r w:rsidRPr="00D26B82" w:rsidDel="00A0324A">
        <w:rPr>
          <w:b/>
          <w:bCs/>
          <w:sz w:val="24"/>
          <w:szCs w:val="24"/>
        </w:rPr>
        <w:t>2022.</w:t>
      </w:r>
      <w:bookmarkEnd w:id="901"/>
    </w:p>
    <w:p w14:paraId="3A4DE19C" w14:textId="4BD84E83" w:rsidR="00796DAB" w:rsidRDefault="00796DAB" w:rsidP="00522936">
      <w:pPr>
        <w:pStyle w:val="Source"/>
      </w:pPr>
      <w:r>
        <w:rPr>
          <w:noProof/>
        </w:rPr>
        <w:drawing>
          <wp:inline distT="0" distB="0" distL="0" distR="0" wp14:anchorId="47E9BD05" wp14:editId="7498EB63">
            <wp:extent cx="5713228" cy="2307265"/>
            <wp:effectExtent l="0" t="0" r="0" b="0"/>
            <wp:docPr id="1451288540" name="Graphic 26" descr="A line graph showing undergraduate student ratings of their learning engagement by the percentage of positive rating by citizenship (domestic and international) from 2017 to 2022. The graph shows that ratings declined markedly between 2019 and 2020 and domestic students ratings have not yet returned to pre-COVID-19 leve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288540" name="Graphic 26" descr="A line graph showing undergraduate student ratings of their learning engagement by the percentage of positive rating by citizenship (domestic and international) from 2017 to 2022. The graph shows that ratings declined markedly between 2019 and 2020 and domestic students ratings have not yet returned to pre-COVID-19 levels. "/>
                    <pic:cNvPicPr/>
                  </pic:nvPicPr>
                  <pic:blipFill>
                    <a:blip r:embed="rId112">
                      <a:extLst>
                        <a:ext uri="{28A0092B-C50C-407E-A947-70E740481C1C}">
                          <a14:useLocalDpi xmlns:a14="http://schemas.microsoft.com/office/drawing/2010/main" val="0"/>
                        </a:ext>
                        <a:ext uri="{96DAC541-7B7A-43D3-8B79-37D633B846F1}">
                          <asvg:svgBlip xmlns:asvg="http://schemas.microsoft.com/office/drawing/2016/SVG/main" r:embed="rId113"/>
                        </a:ext>
                      </a:extLst>
                    </a:blip>
                    <a:stretch>
                      <a:fillRect/>
                    </a:stretch>
                  </pic:blipFill>
                  <pic:spPr>
                    <a:xfrm>
                      <a:off x="0" y="0"/>
                      <a:ext cx="5723617" cy="2311461"/>
                    </a:xfrm>
                    <a:prstGeom prst="rect">
                      <a:avLst/>
                    </a:prstGeom>
                  </pic:spPr>
                </pic:pic>
              </a:graphicData>
            </a:graphic>
          </wp:inline>
        </w:drawing>
      </w:r>
    </w:p>
    <w:p w14:paraId="58C4566B" w14:textId="64841606" w:rsidR="00E06C8E" w:rsidRPr="00C4084C" w:rsidRDefault="00E06C8E" w:rsidP="00522936">
      <w:pPr>
        <w:pStyle w:val="Source"/>
        <w:rPr>
          <w:iCs/>
        </w:rPr>
      </w:pPr>
      <w:r w:rsidRPr="00C4084C">
        <w:t xml:space="preserve">Source: Quality Indicators for Learning and Teaching (QILT), </w:t>
      </w:r>
      <w:r w:rsidRPr="00C4084C">
        <w:rPr>
          <w:i/>
        </w:rPr>
        <w:t>Student Experience Survey</w:t>
      </w:r>
      <w:r w:rsidRPr="00C4084C">
        <w:t xml:space="preserve"> [data set], </w:t>
      </w:r>
      <w:r w:rsidR="00DA6E2D" w:rsidRPr="00C4084C">
        <w:t xml:space="preserve">(Canberra: Department of Education, </w:t>
      </w:r>
      <w:r w:rsidRPr="00C4084C">
        <w:t>2022</w:t>
      </w:r>
      <w:r w:rsidR="00DA6E2D" w:rsidRPr="00C4084C">
        <w:t>)</w:t>
      </w:r>
      <w:r w:rsidRPr="00C4084C">
        <w:t>, accessed 20 November 2023.</w:t>
      </w:r>
    </w:p>
    <w:p w14:paraId="7F343131" w14:textId="77777777" w:rsidR="00E06C8E" w:rsidRPr="00C4084C" w:rsidRDefault="00E06C8E" w:rsidP="00CA1B8F">
      <w:r w:rsidRPr="00C4084C">
        <w:t>The potential of digital delivery to accommodate student diversity and growth must be harnessed, whilst ensuring an excellent learning experience is provided no matter how a student engages with their studies. This includes helping students develop a sense of belonging to their learning community.</w:t>
      </w:r>
    </w:p>
    <w:p w14:paraId="7D2D6DA1" w14:textId="0C34AB91" w:rsidR="00C43148" w:rsidRPr="00C4084C" w:rsidRDefault="00F32E18" w:rsidP="00CA1B8F">
      <w:r>
        <w:t>University innovation in</w:t>
      </w:r>
      <w:r w:rsidR="00EA606A" w:rsidRPr="00C4084C">
        <w:t xml:space="preserve"> online delivery methods helped Australia </w:t>
      </w:r>
      <w:r w:rsidR="002C0C48" w:rsidRPr="00C4084C">
        <w:t xml:space="preserve">during </w:t>
      </w:r>
      <w:r w:rsidR="00EA606A" w:rsidRPr="00C4084C">
        <w:t xml:space="preserve">the COVID-19 pandemic, but there are more opportunities that the </w:t>
      </w:r>
      <w:r w:rsidR="002C0C48" w:rsidRPr="00C4084C">
        <w:t xml:space="preserve">higher education </w:t>
      </w:r>
      <w:r w:rsidR="00EA606A" w:rsidRPr="00C4084C">
        <w:t xml:space="preserve">sector should capitalise on in the future. Artificial Intelligence is likely to change the way Australians work, and </w:t>
      </w:r>
      <w:r w:rsidR="008E1001" w:rsidRPr="00C4084C">
        <w:t xml:space="preserve">universities should look to harness its potential </w:t>
      </w:r>
      <w:r w:rsidR="009E37EA" w:rsidRPr="00C4084C">
        <w:t>further</w:t>
      </w:r>
      <w:r w:rsidR="008E1001" w:rsidRPr="00C4084C">
        <w:t xml:space="preserve"> in learning and teaching.</w:t>
      </w:r>
    </w:p>
    <w:tbl>
      <w:tblPr>
        <w:tblW w:w="0" w:type="auto"/>
        <w:shd w:val="clear" w:color="auto" w:fill="D2E8FF"/>
        <w:tblLook w:val="04A0" w:firstRow="1" w:lastRow="0" w:firstColumn="1" w:lastColumn="0" w:noHBand="0" w:noVBand="1"/>
      </w:tblPr>
      <w:tblGrid>
        <w:gridCol w:w="9026"/>
      </w:tblGrid>
      <w:tr w:rsidR="006C45EF" w:rsidRPr="00C4084C" w14:paraId="3796401E" w14:textId="77777777" w:rsidTr="00D26B82">
        <w:tc>
          <w:tcPr>
            <w:tcW w:w="9356" w:type="dxa"/>
            <w:shd w:val="clear" w:color="auto" w:fill="D3D4D6"/>
          </w:tcPr>
          <w:p w14:paraId="00092C7C" w14:textId="373EEC3D" w:rsidR="006C45EF" w:rsidRPr="00C4084C" w:rsidRDefault="006C45EF" w:rsidP="00570A6C">
            <w:pPr>
              <w:pStyle w:val="Boxtitlessubheadings"/>
            </w:pPr>
            <w:r w:rsidRPr="00C4084C">
              <w:lastRenderedPageBreak/>
              <w:t xml:space="preserve">Case studies: </w:t>
            </w:r>
            <w:r w:rsidRPr="00C4084C">
              <w:rPr>
                <w:bCs/>
              </w:rPr>
              <w:t xml:space="preserve">Supporting students through the campus </w:t>
            </w:r>
            <w:proofErr w:type="gramStart"/>
            <w:r w:rsidRPr="00C4084C">
              <w:rPr>
                <w:bCs/>
              </w:rPr>
              <w:t>community</w:t>
            </w:r>
            <w:proofErr w:type="gramEnd"/>
          </w:p>
          <w:p w14:paraId="7BB31319" w14:textId="77777777" w:rsidR="006C45EF" w:rsidRPr="00C4084C" w:rsidRDefault="006C45EF" w:rsidP="00CA1B8F">
            <w:pPr>
              <w:pStyle w:val="Boxtext0"/>
            </w:pPr>
            <w:r w:rsidRPr="00C4084C">
              <w:t>Building a sense of belonging and connection to their learning community can help students navigate the complexity of higher education. However, students are spending less time on campus as they increasingly juggle study commitments with employment or family responsibilities. Many universities have programs which develop social cohesion on campus and provide support services outside of the classroom setting.</w:t>
            </w:r>
          </w:p>
          <w:p w14:paraId="1FF0943B" w14:textId="5BA69312" w:rsidR="006C45EF" w:rsidRPr="00C4084C" w:rsidRDefault="006C45EF" w:rsidP="00CA1B8F">
            <w:pPr>
              <w:pStyle w:val="Boxtext0"/>
            </w:pPr>
            <w:r w:rsidRPr="00C4084C">
              <w:t>For example, La Trobe University has operated The Lounge, a “student-run, transportable space promoting mental wellbeing</w:t>
            </w:r>
            <w:r w:rsidR="000B3E71" w:rsidRPr="00C4084C">
              <w:t>”</w:t>
            </w:r>
            <w:r w:rsidR="00F32E18">
              <w:t>.</w:t>
            </w:r>
            <w:r w:rsidRPr="00C4084C">
              <w:t xml:space="preserve"> Offering relaxation and wellbeing activities, The Lounge offers a safe space for students to refresh during stressful periods of the academic year. It was developed by students participating in The Rural Health Innovation Sprint, through La Trobe’s own Rural Health School.</w:t>
            </w:r>
            <w:r w:rsidRPr="00C4084C">
              <w:rPr>
                <w:rStyle w:val="FootnoteReference"/>
              </w:rPr>
              <w:footnoteReference w:id="283"/>
            </w:r>
          </w:p>
          <w:p w14:paraId="6B734F82" w14:textId="77777777" w:rsidR="006C45EF" w:rsidRPr="00C4084C" w:rsidRDefault="006C45EF" w:rsidP="00CA1B8F">
            <w:pPr>
              <w:pStyle w:val="Boxtext0"/>
            </w:pPr>
            <w:r w:rsidRPr="00C4084C">
              <w:t>Cost-of-living pressures are a major concern for many students, and universities are helping students to cope. For example, the University of Canberra runs the UCX Food Pantry to supply students with free non-perishable food, as well as providing access to fresh fruit and vegetables through Second Bite and OZ Harvest. The Food Pantry is staffed by student volunteers.</w:t>
            </w:r>
            <w:r w:rsidRPr="00C4084C">
              <w:rPr>
                <w:rStyle w:val="FootnoteReference"/>
              </w:rPr>
              <w:footnoteReference w:id="284"/>
            </w:r>
          </w:p>
          <w:p w14:paraId="41BE1148" w14:textId="77777777" w:rsidR="006C45EF" w:rsidRPr="00C4084C" w:rsidRDefault="006C45EF" w:rsidP="00CA1B8F">
            <w:pPr>
              <w:pStyle w:val="Boxtext0"/>
            </w:pPr>
            <w:r w:rsidRPr="00C4084C">
              <w:t>Support efforts are not limited to students physically present on a campus. Monash University, for example, has developed a range of supports for its online students including student advisers and subject-matter experts to assist students to navigate their study pathway and succeed academically. Students can also connect with peers through discussion boards and online study groups.</w:t>
            </w:r>
            <w:r w:rsidRPr="00C4084C">
              <w:rPr>
                <w:rStyle w:val="FootnoteReference"/>
              </w:rPr>
              <w:footnoteReference w:id="285"/>
            </w:r>
          </w:p>
          <w:p w14:paraId="7AFC2EA4" w14:textId="13BFAD65" w:rsidR="00EE26E5" w:rsidRPr="00C4084C" w:rsidRDefault="006C45EF" w:rsidP="00CA1B8F">
            <w:pPr>
              <w:pStyle w:val="Boxtext0"/>
            </w:pPr>
            <w:r w:rsidRPr="00C4084C">
              <w:t>In regional</w:t>
            </w:r>
            <w:r w:rsidR="008250C2">
              <w:t xml:space="preserve">, </w:t>
            </w:r>
            <w:proofErr w:type="gramStart"/>
            <w:r w:rsidR="008250C2">
              <w:t>rural</w:t>
            </w:r>
            <w:proofErr w:type="gramEnd"/>
            <w:r w:rsidRPr="00C4084C">
              <w:t xml:space="preserve"> and remote areas, Regional University Study Hubs help students access higher education without the need to leave their community. Student testimonials speak to the benefits of accessing dedicated support services and connecting with peers in person, combined with the opportunity presented by online tertiary study.</w:t>
            </w:r>
            <w:r w:rsidRPr="00C4084C">
              <w:rPr>
                <w:rStyle w:val="FootnoteReference"/>
              </w:rPr>
              <w:footnoteReference w:id="286"/>
            </w:r>
            <w:r w:rsidRPr="00C4084C">
              <w:t xml:space="preserve"> The Australian Government has announced it will establish </w:t>
            </w:r>
            <w:r w:rsidR="00A3070D" w:rsidRPr="00C4084C">
              <w:t>up</w:t>
            </w:r>
            <w:r w:rsidRPr="00C4084C">
              <w:t xml:space="preserve"> to 20 new Regional University Study Hubs and up to 14 Suburban University Study Hubs in response to the Priority Actions listed in the </w:t>
            </w:r>
            <w:r w:rsidR="54E014F5" w:rsidRPr="00C4084C">
              <w:t>Review</w:t>
            </w:r>
            <w:r w:rsidR="2EEE6D2B" w:rsidRPr="00C4084C">
              <w:t>’s Interim Report.</w:t>
            </w:r>
          </w:p>
        </w:tc>
      </w:tr>
    </w:tbl>
    <w:p w14:paraId="39F6B054" w14:textId="6C204BA5" w:rsidR="0018132F" w:rsidRPr="00C4084C" w:rsidRDefault="0018132F" w:rsidP="00A26A20">
      <w:pPr>
        <w:pStyle w:val="Heading5"/>
      </w:pPr>
      <w:r w:rsidRPr="00C4084C">
        <w:t xml:space="preserve">Teaching and research informed by First Nations </w:t>
      </w:r>
      <w:proofErr w:type="gramStart"/>
      <w:r w:rsidRPr="00C4084C">
        <w:t>knowledges</w:t>
      </w:r>
      <w:proofErr w:type="gramEnd"/>
    </w:p>
    <w:p w14:paraId="4DD66A45" w14:textId="5CA2D8DB" w:rsidR="00E06C8E" w:rsidRPr="00C4084C" w:rsidRDefault="00E06C8E" w:rsidP="00CA1B8F">
      <w:r w:rsidRPr="00C4084C">
        <w:t>In addition to</w:t>
      </w:r>
      <w:r w:rsidR="07EF6B3F" w:rsidRPr="00C4084C">
        <w:t xml:space="preserve"> </w:t>
      </w:r>
      <w:r w:rsidR="009E37EA" w:rsidRPr="00C4084C">
        <w:t xml:space="preserve">other </w:t>
      </w:r>
      <w:r w:rsidRPr="00C4084C">
        <w:t xml:space="preserve">new knowledge, it is important that teaching and research recognise, and </w:t>
      </w:r>
      <w:r w:rsidR="007F244A">
        <w:t>are</w:t>
      </w:r>
      <w:r w:rsidR="007F244A" w:rsidRPr="00C4084C">
        <w:t xml:space="preserve"> </w:t>
      </w:r>
      <w:r w:rsidRPr="00C4084C">
        <w:t>informed by, the knowledges of the world’s oldest continuous culture</w:t>
      </w:r>
      <w:r w:rsidR="000F26D6" w:rsidRPr="00C4084C">
        <w:t>s</w:t>
      </w:r>
      <w:r w:rsidRPr="00C4084C">
        <w:t xml:space="preserve">. Many universities are embedding First Nations knowledges into their teaching and research, with some also fostering First Nations cultural competency as a graduate attribute. This is supporting a diverse cohort of domestic and international students to develop an understanding and respect for </w:t>
      </w:r>
      <w:r w:rsidR="00D554F8" w:rsidRPr="00C4084C">
        <w:t>First Nations</w:t>
      </w:r>
      <w:r w:rsidRPr="00C4084C">
        <w:t xml:space="preserve"> values, culture </w:t>
      </w:r>
      <w:r w:rsidRPr="00C4084C">
        <w:lastRenderedPageBreak/>
        <w:t xml:space="preserve">and knowledge which can be transferred across broad disciplines. </w:t>
      </w:r>
      <w:r w:rsidR="0048125E" w:rsidRPr="00C4084C">
        <w:t>This research needs to be Indigenous-led and respond to the priorities and needs of First Nations communities.</w:t>
      </w:r>
    </w:p>
    <w:p w14:paraId="35B7A4BF" w14:textId="71F24568" w:rsidR="00E06C8E" w:rsidRPr="00C4084C" w:rsidRDefault="00E06C8E" w:rsidP="00CA1B8F">
      <w:r w:rsidRPr="00C4084C">
        <w:t xml:space="preserve">At the </w:t>
      </w:r>
      <w:r w:rsidR="002502A3" w:rsidRPr="00C4084C">
        <w:t>Review’s</w:t>
      </w:r>
      <w:r w:rsidRPr="00C4084C">
        <w:t xml:space="preserve"> First Nations roundtable, stakeholders raised the need to recognise First Nations knowledge as a national skill need to ensure all Australian students understand and value the knowledges derived from First Nations people and how this knowledge can be applied to address local, </w:t>
      </w:r>
      <w:proofErr w:type="gramStart"/>
      <w:r w:rsidRPr="00C4084C">
        <w:t>national</w:t>
      </w:r>
      <w:proofErr w:type="gramEnd"/>
      <w:r w:rsidRPr="00C4084C">
        <w:t xml:space="preserve"> and global challenges.</w:t>
      </w:r>
      <w:r w:rsidR="00936A00" w:rsidRPr="00C4084C">
        <w:t xml:space="preserve"> This is an idea that the Review believes needs to be further explored through an Indigenous-led process.</w:t>
      </w:r>
    </w:p>
    <w:p w14:paraId="2894D353" w14:textId="77777777" w:rsidR="00E06C8E" w:rsidRPr="00C4084C" w:rsidRDefault="00E06C8E" w:rsidP="007B0775">
      <w:pPr>
        <w:pStyle w:val="Heading5"/>
      </w:pPr>
      <w:bookmarkStart w:id="902" w:name="_Toc151023668"/>
      <w:bookmarkStart w:id="903" w:name="_Toc151024084"/>
      <w:r w:rsidRPr="00C4084C">
        <w:t>Ensuring high-quality generic skills</w:t>
      </w:r>
      <w:bookmarkEnd w:id="902"/>
      <w:bookmarkEnd w:id="903"/>
    </w:p>
    <w:p w14:paraId="707BEDC4" w14:textId="09E17E64" w:rsidR="00E06C8E" w:rsidRPr="00C4084C" w:rsidRDefault="00E06C8E" w:rsidP="00CA1B8F">
      <w:r w:rsidRPr="00C4084C">
        <w:t>As discussed in</w:t>
      </w:r>
      <w:r w:rsidR="00A07BB5" w:rsidRPr="00C4084C">
        <w:t xml:space="preserve"> </w:t>
      </w:r>
      <w:r w:rsidR="00A07BB5" w:rsidRPr="00C4084C">
        <w:rPr>
          <w:i/>
        </w:rPr>
        <w:fldChar w:fldCharType="begin"/>
      </w:r>
      <w:r w:rsidR="00A07BB5" w:rsidRPr="00C4084C">
        <w:instrText xml:space="preserve"> REF _Ref151932669 \r \h </w:instrText>
      </w:r>
      <w:r w:rsidR="005513E1" w:rsidRPr="00C4084C">
        <w:instrText xml:space="preserve"> \* MERGEFORMAT </w:instrText>
      </w:r>
      <w:r w:rsidR="00A07BB5" w:rsidRPr="00C4084C">
        <w:rPr>
          <w:i/>
        </w:rPr>
      </w:r>
      <w:r w:rsidR="00A07BB5" w:rsidRPr="00C4084C">
        <w:rPr>
          <w:i/>
        </w:rPr>
        <w:fldChar w:fldCharType="separate"/>
      </w:r>
      <w:r w:rsidR="00467B4F" w:rsidRPr="00467B4F">
        <w:rPr>
          <w:i/>
        </w:rPr>
        <w:t>Chapter 2</w:t>
      </w:r>
      <w:r w:rsidR="00467B4F" w:rsidRPr="00467B4F">
        <w:rPr>
          <w:i/>
          <w:iCs/>
        </w:rPr>
        <w:t xml:space="preserve"> – </w:t>
      </w:r>
      <w:r w:rsidR="00A07BB5" w:rsidRPr="00C4084C">
        <w:rPr>
          <w:i/>
        </w:rPr>
        <w:fldChar w:fldCharType="end"/>
      </w:r>
      <w:r w:rsidR="0092315A" w:rsidRPr="00C4084C">
        <w:rPr>
          <w:i/>
          <w:iCs/>
        </w:rPr>
        <w:fldChar w:fldCharType="begin"/>
      </w:r>
      <w:r w:rsidR="0092315A" w:rsidRPr="00C4084C">
        <w:rPr>
          <w:i/>
          <w:iCs/>
        </w:rPr>
        <w:instrText xml:space="preserve"> REF _Ref151932669 \h  \* MERGEFORMAT </w:instrText>
      </w:r>
      <w:r w:rsidR="0092315A" w:rsidRPr="00C4084C">
        <w:rPr>
          <w:i/>
          <w:iCs/>
        </w:rPr>
      </w:r>
      <w:r w:rsidR="0092315A" w:rsidRPr="00C4084C">
        <w:rPr>
          <w:i/>
          <w:iCs/>
        </w:rPr>
        <w:fldChar w:fldCharType="separate"/>
      </w:r>
      <w:r w:rsidR="00467B4F" w:rsidRPr="00467B4F">
        <w:rPr>
          <w:i/>
          <w:iCs/>
        </w:rPr>
        <w:t>Meeting our current and future skills needs</w:t>
      </w:r>
      <w:r w:rsidR="0092315A" w:rsidRPr="00C4084C">
        <w:rPr>
          <w:i/>
          <w:iCs/>
        </w:rPr>
        <w:fldChar w:fldCharType="end"/>
      </w:r>
      <w:r w:rsidRPr="00C4084C">
        <w:rPr>
          <w:i/>
        </w:rPr>
        <w:t>,</w:t>
      </w:r>
      <w:r w:rsidRPr="00C4084C">
        <w:t xml:space="preserve"> there is industry demand for advanced generic skills alongside the technical and professional skills students gain through their studies. To ensure all graduates possess these skills, generic skills formation needs to be explicitly incorporated into qualification and assessment </w:t>
      </w:r>
      <w:proofErr w:type="gramStart"/>
      <w:r w:rsidRPr="00C4084C">
        <w:t>frameworks, and</w:t>
      </w:r>
      <w:proofErr w:type="gramEnd"/>
      <w:r w:rsidRPr="00C4084C">
        <w:t xml:space="preserve"> work integrated learning (WIL) opportunities need to be expanded so that more students can build connections to and experience in the work environment. This should be informed by consultation with industry and community partners. Generic skills development needs to be a focus of all quality improvement efforts recommended through</w:t>
      </w:r>
      <w:r w:rsidR="00CF257A">
        <w:t>out</w:t>
      </w:r>
      <w:r w:rsidRPr="00C4084C">
        <w:t xml:space="preserve"> this chapter, including systematisation of best practice curriculum and teaching methods, and introduction of a professional standards framework. New ways to measure generic skills formation should also be explored.</w:t>
      </w:r>
    </w:p>
    <w:p w14:paraId="29D7AB61" w14:textId="338FD9CA" w:rsidR="00E06C8E" w:rsidRPr="00C4084C" w:rsidRDefault="00E06C8E" w:rsidP="007B0775">
      <w:pPr>
        <w:pStyle w:val="Heading5"/>
      </w:pPr>
      <w:bookmarkStart w:id="904" w:name="_Toc151023671"/>
      <w:bookmarkStart w:id="905" w:name="_Toc151024087"/>
      <w:r w:rsidRPr="00C4084C">
        <w:t xml:space="preserve">Sharing best practice between </w:t>
      </w:r>
      <w:r w:rsidR="002C0C48" w:rsidRPr="00C4084C">
        <w:t xml:space="preserve">universities </w:t>
      </w:r>
      <w:r w:rsidRPr="00C4084C">
        <w:t xml:space="preserve">is </w:t>
      </w:r>
      <w:proofErr w:type="gramStart"/>
      <w:r w:rsidRPr="00C4084C">
        <w:t>vital</w:t>
      </w:r>
      <w:bookmarkEnd w:id="904"/>
      <w:bookmarkEnd w:id="905"/>
      <w:proofErr w:type="gramEnd"/>
    </w:p>
    <w:p w14:paraId="51D681C7" w14:textId="716D60EB" w:rsidR="00E06C8E" w:rsidRPr="00C4084C" w:rsidRDefault="00E06C8E" w:rsidP="00CA1B8F">
      <w:r w:rsidRPr="00C4084C">
        <w:t xml:space="preserve">Many of the challenges described above are arguably too complex and urgent to be addressed by individual educators and higher education institutions working in isolation. A </w:t>
      </w:r>
      <w:r w:rsidRPr="00C4084C">
        <w:rPr>
          <w:rFonts w:eastAsia="Arial"/>
        </w:rPr>
        <w:t xml:space="preserve">more collaborative approach could help drive innovative curriculum and raise the quality of teaching practice. </w:t>
      </w:r>
      <w:r w:rsidRPr="00C4084C">
        <w:t xml:space="preserve">Variations in student ratings by provider and study area suggest there is room for sector-wide improvement and adoption of best practice. The Productivity Commission has argued for </w:t>
      </w:r>
      <w:r w:rsidR="49558262" w:rsidRPr="00C4084C">
        <w:t>“</w:t>
      </w:r>
      <w:r w:rsidRPr="00C4084C">
        <w:t xml:space="preserve">finding policy approaches that raise standards amongst </w:t>
      </w:r>
      <w:r w:rsidR="0034704E" w:rsidRPr="00C4084C">
        <w:t>‘</w:t>
      </w:r>
      <w:r w:rsidRPr="00C4084C">
        <w:t>laggards</w:t>
      </w:r>
      <w:r w:rsidR="00E47A0D" w:rsidRPr="00C4084C">
        <w:t>’”</w:t>
      </w:r>
      <w:r w:rsidRPr="00C4084C">
        <w:t>.</w:t>
      </w:r>
      <w:r w:rsidRPr="00C4084C">
        <w:rPr>
          <w:rStyle w:val="FootnoteReference"/>
        </w:rPr>
        <w:footnoteReference w:id="287"/>
      </w:r>
      <w:r w:rsidRPr="00C4084C">
        <w:t xml:space="preserve"> Improving the student experience requires better understanding of what best practice means and the ability to recognise it when it does occur. Central to this is better performance measurement tools.</w:t>
      </w:r>
    </w:p>
    <w:p w14:paraId="2D3D8B75" w14:textId="539B5AE1" w:rsidR="00E06C8E" w:rsidRPr="00C4084C" w:rsidRDefault="00E06C8E" w:rsidP="00CA1B8F">
      <w:r w:rsidRPr="00C4084C">
        <w:t xml:space="preserve">Since the cessation of the Office for Learning and Teaching </w:t>
      </w:r>
      <w:r w:rsidR="005E031E" w:rsidRPr="00C4084C">
        <w:t>(OLT)</w:t>
      </w:r>
      <w:r w:rsidRPr="00C4084C">
        <w:t xml:space="preserve"> in 2016, Australia has </w:t>
      </w:r>
      <w:r w:rsidR="00BA3B5B" w:rsidRPr="00C4084C">
        <w:t xml:space="preserve">not </w:t>
      </w:r>
      <w:r w:rsidR="004D387B" w:rsidRPr="00C4084C">
        <w:t>had sufficient national focus on system-wide improvements in these areas</w:t>
      </w:r>
      <w:r w:rsidRPr="00C4084C">
        <w:t xml:space="preserve">. As a result, while there are many examples of high-quality teaching and educational research within Australian </w:t>
      </w:r>
      <w:r w:rsidR="002C0C48" w:rsidRPr="00C4084C">
        <w:t>universities</w:t>
      </w:r>
      <w:r w:rsidRPr="00C4084C">
        <w:t xml:space="preserve">, the benefits of this work are not shared and systematised. </w:t>
      </w:r>
    </w:p>
    <w:p w14:paraId="2D1BCB04" w14:textId="21B33508" w:rsidR="00E06C8E" w:rsidRPr="00C4084C" w:rsidRDefault="002F7875" w:rsidP="00CA1B8F">
      <w:r w:rsidRPr="00C4084C">
        <w:t>The Review</w:t>
      </w:r>
      <w:r w:rsidRPr="00C4084C" w:rsidDel="004F23E8">
        <w:t xml:space="preserve"> </w:t>
      </w:r>
      <w:r w:rsidR="004F23E8" w:rsidRPr="00C4084C">
        <w:t>recommends</w:t>
      </w:r>
      <w:r w:rsidRPr="00C4084C">
        <w:t xml:space="preserve"> the creation of a Learning and Teaching Council of the </w:t>
      </w:r>
      <w:r w:rsidR="00E339A6" w:rsidRPr="00C4084C">
        <w:t>Commission</w:t>
      </w:r>
      <w:r w:rsidRPr="00C4084C">
        <w:t xml:space="preserve"> which would take up and expand the role of the former </w:t>
      </w:r>
      <w:r w:rsidR="005E031E" w:rsidRPr="00C4084C">
        <w:t>OLT</w:t>
      </w:r>
      <w:r w:rsidRPr="00C4084C">
        <w:t xml:space="preserve"> </w:t>
      </w:r>
      <w:r w:rsidR="008B57B2">
        <w:t xml:space="preserve">– </w:t>
      </w:r>
      <w:r w:rsidRPr="00C4084C">
        <w:t xml:space="preserve">see </w:t>
      </w:r>
      <w:r w:rsidR="007E0954" w:rsidRPr="00C4084C">
        <w:rPr>
          <w:i/>
          <w:iCs/>
        </w:rPr>
        <w:fldChar w:fldCharType="begin"/>
      </w:r>
      <w:r w:rsidR="007E0954" w:rsidRPr="00C4084C">
        <w:rPr>
          <w:i/>
          <w:iCs/>
        </w:rPr>
        <w:instrText xml:space="preserve"> REF _Ref151934666 \r \h  \* MERGEFORMAT </w:instrText>
      </w:r>
      <w:r w:rsidR="007E0954" w:rsidRPr="00C4084C">
        <w:rPr>
          <w:i/>
          <w:iCs/>
        </w:rPr>
      </w:r>
      <w:r w:rsidR="007E0954" w:rsidRPr="00C4084C">
        <w:rPr>
          <w:i/>
          <w:iCs/>
        </w:rPr>
        <w:fldChar w:fldCharType="separate"/>
      </w:r>
      <w:r w:rsidR="00467B4F">
        <w:rPr>
          <w:i/>
          <w:iCs/>
        </w:rPr>
        <w:t xml:space="preserve">Chapter 6 – </w:t>
      </w:r>
      <w:r w:rsidR="007E0954" w:rsidRPr="00C4084C">
        <w:rPr>
          <w:i/>
          <w:iCs/>
        </w:rPr>
        <w:fldChar w:fldCharType="end"/>
      </w:r>
      <w:r w:rsidR="007E0954" w:rsidRPr="00C4084C">
        <w:rPr>
          <w:i/>
          <w:iCs/>
        </w:rPr>
        <w:fldChar w:fldCharType="begin"/>
      </w:r>
      <w:r w:rsidR="007E0954" w:rsidRPr="00C4084C">
        <w:rPr>
          <w:i/>
          <w:iCs/>
        </w:rPr>
        <w:instrText xml:space="preserve"> REF _Ref151934666 \h  \* MERGEFORMAT </w:instrText>
      </w:r>
      <w:r w:rsidR="007E0954" w:rsidRPr="00C4084C">
        <w:rPr>
          <w:i/>
          <w:iCs/>
        </w:rPr>
      </w:r>
      <w:r w:rsidR="007E0954" w:rsidRPr="00C4084C">
        <w:rPr>
          <w:i/>
          <w:iCs/>
        </w:rPr>
        <w:fldChar w:fldCharType="separate"/>
      </w:r>
      <w:r w:rsidR="00467B4F" w:rsidRPr="00467B4F">
        <w:rPr>
          <w:i/>
          <w:iCs/>
        </w:rPr>
        <w:t>A dynamic, collaborative and responsive system that serves the national interest</w:t>
      </w:r>
      <w:r w:rsidR="007E0954" w:rsidRPr="00C4084C">
        <w:rPr>
          <w:i/>
          <w:iCs/>
        </w:rPr>
        <w:fldChar w:fldCharType="end"/>
      </w:r>
      <w:r w:rsidRPr="00C4084C">
        <w:t xml:space="preserve">. It would oversee the </w:t>
      </w:r>
      <w:r w:rsidR="00E06C8E" w:rsidRPr="00C4084C">
        <w:t xml:space="preserve">ongoing coordinated and collaborative effort needed to update research into best practice </w:t>
      </w:r>
      <w:r w:rsidR="56706921" w:rsidRPr="00C4084C">
        <w:t xml:space="preserve">learning and </w:t>
      </w:r>
      <w:r w:rsidR="00E06C8E" w:rsidRPr="00C4084C">
        <w:t xml:space="preserve">teaching approaches, </w:t>
      </w:r>
      <w:proofErr w:type="gramStart"/>
      <w:r w:rsidR="00E06C8E" w:rsidRPr="00C4084C">
        <w:t>taking into account</w:t>
      </w:r>
      <w:proofErr w:type="gramEnd"/>
      <w:r w:rsidR="00E06C8E" w:rsidRPr="00C4084C">
        <w:t xml:space="preserve"> rapid changes in global higher education and in technology. A project</w:t>
      </w:r>
      <w:r w:rsidR="00E06C8E" w:rsidRPr="00C4084C" w:rsidDel="00204CFC">
        <w:t xml:space="preserve"> </w:t>
      </w:r>
      <w:r w:rsidR="00204CFC" w:rsidRPr="00C4084C">
        <w:t>should</w:t>
      </w:r>
      <w:r w:rsidR="00E06C8E" w:rsidRPr="00C4084C">
        <w:t xml:space="preserve"> be commissioned to draw together effective methodologies for student learning in Australian higher education, guided by a panel of experts and embedded within teaching networks and communities of practice. The project’s focus</w:t>
      </w:r>
      <w:r w:rsidR="00E06C8E" w:rsidRPr="00C4084C" w:rsidDel="00176926">
        <w:t xml:space="preserve"> </w:t>
      </w:r>
      <w:r w:rsidR="00E06C8E" w:rsidRPr="00C4084C">
        <w:t xml:space="preserve">could be sharing ‘what works’ in student achievement, such as evidence-based approaches to improving student outcomes including development of generic and technical skills. This includes improving the outcomes of diverse student cohorts, effectively using digital </w:t>
      </w:r>
      <w:proofErr w:type="gramStart"/>
      <w:r w:rsidR="00E06C8E" w:rsidRPr="00C4084C">
        <w:t>delivery</w:t>
      </w:r>
      <w:proofErr w:type="gramEnd"/>
      <w:r w:rsidR="00E06C8E" w:rsidRPr="00C4084C">
        <w:t xml:space="preserve"> and embedding generic skills development in curriculum. The repository could be </w:t>
      </w:r>
      <w:r w:rsidR="00E06C8E" w:rsidRPr="00C4084C">
        <w:lastRenderedPageBreak/>
        <w:t xml:space="preserve">hosted by the </w:t>
      </w:r>
      <w:r w:rsidR="00E339A6" w:rsidRPr="00C4084C">
        <w:t>Commission</w:t>
      </w:r>
      <w:r w:rsidR="00E06C8E" w:rsidRPr="00C4084C">
        <w:t xml:space="preserve"> </w:t>
      </w:r>
      <w:r w:rsidR="00E06C8E" w:rsidRPr="00C4084C" w:rsidDel="00176926">
        <w:t xml:space="preserve">and </w:t>
      </w:r>
      <w:r w:rsidR="00E06C8E" w:rsidRPr="00C4084C">
        <w:t>provide access to implementation guides and tools that can be</w:t>
      </w:r>
      <w:r w:rsidR="00E06C8E" w:rsidRPr="00C4084C" w:rsidDel="00176926">
        <w:t xml:space="preserve"> </w:t>
      </w:r>
      <w:r w:rsidR="00E06C8E" w:rsidRPr="00C4084C">
        <w:t xml:space="preserve">adapted for different </w:t>
      </w:r>
      <w:r w:rsidR="002E6F56" w:rsidRPr="00C4084C">
        <w:t xml:space="preserve">university </w:t>
      </w:r>
      <w:r w:rsidR="00E06C8E" w:rsidRPr="00C4084C">
        <w:t>contexts and missions.</w:t>
      </w:r>
    </w:p>
    <w:p w14:paraId="5F5702D3" w14:textId="58EEBD73" w:rsidR="00EC1619" w:rsidRPr="00C4084C" w:rsidRDefault="00E06C8E" w:rsidP="003E5969">
      <w:r w:rsidRPr="00C4084C">
        <w:t>Best practice curriculum resources for specific discipline areas could also be commissioned. Internationally, sharing</w:t>
      </w:r>
      <w:r w:rsidRPr="00C4084C" w:rsidDel="00176926">
        <w:t xml:space="preserve"> </w:t>
      </w:r>
      <w:r w:rsidRPr="00C4084C">
        <w:t xml:space="preserve">educational resources through digital repositories has become a widespread practice over the past decade, aimed at advancing student learning and promoting global access to higher education. Missing from that landscape of open access resources are quality-assured, student-centred learning materials designed </w:t>
      </w:r>
      <w:r w:rsidR="00C749A6" w:rsidRPr="00C4084C">
        <w:t xml:space="preserve">specifically </w:t>
      </w:r>
      <w:r w:rsidRPr="00C4084C">
        <w:t xml:space="preserve">for the Australian context and aligned with the Australian Qualifications Framework. Discipline-specific digital repositories could be hosted by </w:t>
      </w:r>
      <w:r w:rsidR="00FB4108" w:rsidRPr="00C4084C">
        <w:t>designated centres</w:t>
      </w:r>
      <w:r w:rsidRPr="00C4084C">
        <w:t xml:space="preserve"> – each headquartered in one university but</w:t>
      </w:r>
      <w:r w:rsidRPr="00C4084C" w:rsidDel="00176926">
        <w:t xml:space="preserve"> </w:t>
      </w:r>
      <w:r w:rsidR="00FB4108" w:rsidRPr="00C4084C">
        <w:t xml:space="preserve">acting </w:t>
      </w:r>
      <w:r w:rsidRPr="00C4084C">
        <w:t xml:space="preserve">as a ‘hub’ for cross-institutional collaboration. Projects could be led by academics with high standing in their </w:t>
      </w:r>
      <w:r w:rsidR="00027BC0" w:rsidRPr="00C4084C">
        <w:t>disciplin</w:t>
      </w:r>
      <w:r w:rsidR="00027BC0">
        <w:t>e</w:t>
      </w:r>
      <w:r w:rsidR="00027BC0" w:rsidRPr="00C4084C">
        <w:t xml:space="preserve"> </w:t>
      </w:r>
      <w:r w:rsidRPr="00C4084C">
        <w:t xml:space="preserve">communities. They would engage closely with professional bodies and industry partners to develop a shared understanding of current challenges and opportunities in their fields. </w:t>
      </w:r>
    </w:p>
    <w:tbl>
      <w:tblPr>
        <w:tblW w:w="0" w:type="auto"/>
        <w:shd w:val="clear" w:color="auto" w:fill="FBE4D5"/>
        <w:tblLook w:val="04A0" w:firstRow="1" w:lastRow="0" w:firstColumn="1" w:lastColumn="0" w:noHBand="0" w:noVBand="1"/>
      </w:tblPr>
      <w:tblGrid>
        <w:gridCol w:w="9026"/>
      </w:tblGrid>
      <w:tr w:rsidR="007B307F" w:rsidRPr="00C4084C" w14:paraId="3F302157" w14:textId="77777777" w:rsidTr="00D26B82">
        <w:tc>
          <w:tcPr>
            <w:tcW w:w="9026" w:type="dxa"/>
            <w:shd w:val="clear" w:color="auto" w:fill="FEECDF"/>
          </w:tcPr>
          <w:p w14:paraId="03AC6F6D" w14:textId="6741CC6D" w:rsidR="00295667" w:rsidRDefault="00295667" w:rsidP="003E5969">
            <w:pPr>
              <w:pStyle w:val="Recheadinginbox"/>
            </w:pPr>
            <w:r w:rsidRPr="00C4084C">
              <w:t>Recommendation</w:t>
            </w:r>
            <w:r>
              <w:t xml:space="preserve">: </w:t>
            </w:r>
            <w:r w:rsidRPr="00C4084C">
              <w:t>Quality learning and teaching</w:t>
            </w:r>
          </w:p>
          <w:p w14:paraId="06686C71" w14:textId="78D44D75" w:rsidR="007B307F" w:rsidRPr="00C4084C" w:rsidRDefault="007B307F" w:rsidP="003E5969">
            <w:pPr>
              <w:pStyle w:val="Recsin-chapterL1"/>
              <w:framePr w:wrap="notBeside"/>
              <w:spacing w:before="0" w:after="0"/>
            </w:pPr>
            <w:r w:rsidRPr="00C4084C">
              <w:t>That to improve student learning outcomes and prepare the higher education sector for growth in student numbers (particularly of students from under-represented backgrounds who need additional support) the higher education sector, in partnership with the Australian Government, improve the quality of learning and teaching through:</w:t>
            </w:r>
          </w:p>
          <w:p w14:paraId="6F14DE4D" w14:textId="77777777" w:rsidR="007B307F" w:rsidRPr="00C4084C" w:rsidRDefault="007B307F" w:rsidP="003E5969">
            <w:pPr>
              <w:pStyle w:val="Recsin-chapterL2"/>
              <w:spacing w:before="0" w:beforeAutospacing="0"/>
            </w:pPr>
            <w:r w:rsidRPr="00C4084C">
              <w:t xml:space="preserve">using proven innovative learning approaches which embrace online and hybrid teaching </w:t>
            </w:r>
            <w:proofErr w:type="gramStart"/>
            <w:r w:rsidRPr="00C4084C">
              <w:t>modalities</w:t>
            </w:r>
            <w:proofErr w:type="gramEnd"/>
          </w:p>
          <w:p w14:paraId="0EA1131B" w14:textId="77777777" w:rsidR="007B307F" w:rsidRPr="00C4084C" w:rsidRDefault="007B307F" w:rsidP="003E5969">
            <w:pPr>
              <w:pStyle w:val="Recsin-chapterL2"/>
            </w:pPr>
            <w:r w:rsidRPr="00C4084C">
              <w:t>sharing and encouraging the uptake of best practice teaching methodologies and curriculum</w:t>
            </w:r>
          </w:p>
          <w:p w14:paraId="5466B246" w14:textId="77777777" w:rsidR="007B307F" w:rsidRPr="00C4084C" w:rsidRDefault="007B307F" w:rsidP="003E5969">
            <w:pPr>
              <w:pStyle w:val="Recsin-chapterL2"/>
            </w:pPr>
            <w:r w:rsidRPr="00C4084C">
              <w:t>improving the evidence-base for the quality of higher education learning and teaching by: </w:t>
            </w:r>
          </w:p>
          <w:p w14:paraId="02D1FB81" w14:textId="77777777" w:rsidR="007B307F" w:rsidRPr="00C4084C" w:rsidRDefault="007B307F" w:rsidP="003E5969">
            <w:pPr>
              <w:pStyle w:val="Recsin-chapterL3"/>
            </w:pPr>
            <w:r w:rsidRPr="00C4084C">
              <w:t xml:space="preserve">developing a comprehensive Australian Higher Education Teaching Quality Framework, with regular reporting against the Framework, to improve transparency of provider performance across multiple dimensions of student outcomes and teaching </w:t>
            </w:r>
            <w:proofErr w:type="gramStart"/>
            <w:r w:rsidRPr="00C4084C">
              <w:t>practice</w:t>
            </w:r>
            <w:proofErr w:type="gramEnd"/>
          </w:p>
          <w:p w14:paraId="4CAA2FB2" w14:textId="77777777" w:rsidR="007B307F" w:rsidRPr="00C4084C" w:rsidRDefault="007B307F" w:rsidP="003E5969">
            <w:pPr>
              <w:pStyle w:val="Recsin-chapterL3"/>
            </w:pPr>
            <w:r w:rsidRPr="00C4084C">
              <w:t>developing new metrics and improving existing metrics for measuring learning and teaching quality in higher education</w:t>
            </w:r>
          </w:p>
          <w:p w14:paraId="37F4A379" w14:textId="77777777" w:rsidR="007B307F" w:rsidRPr="00C4084C" w:rsidDel="00C977C2" w:rsidRDefault="007B307F" w:rsidP="003E5969">
            <w:pPr>
              <w:pStyle w:val="Recsin-chapterL3"/>
              <w:rPr>
                <w:rStyle w:val="PriorityAction-Bold"/>
                <w:b w:val="0"/>
                <w:i w:val="0"/>
              </w:rPr>
            </w:pPr>
            <w:r w:rsidRPr="00C4084C">
              <w:t>encouraging the more systematic use of peer review of teaching to assist educators to improve their practice.</w:t>
            </w:r>
          </w:p>
        </w:tc>
      </w:tr>
    </w:tbl>
    <w:p w14:paraId="67E450A6" w14:textId="23E4CBE7" w:rsidR="00BD5EA2" w:rsidRPr="00C4084C" w:rsidRDefault="00BD5EA2" w:rsidP="00BA6095">
      <w:pPr>
        <w:pStyle w:val="Heading4"/>
      </w:pPr>
      <w:bookmarkStart w:id="906" w:name="_Toc153483050"/>
      <w:bookmarkStart w:id="907" w:name="_Toc159500961"/>
      <w:r w:rsidRPr="00C4084C">
        <w:t>International education</w:t>
      </w:r>
      <w:bookmarkEnd w:id="906"/>
      <w:bookmarkEnd w:id="907"/>
    </w:p>
    <w:p w14:paraId="3CF6E6C4" w14:textId="62276FCB" w:rsidR="00BD5EA2" w:rsidRPr="00CA1B8F" w:rsidRDefault="00BD5EA2" w:rsidP="00CA1B8F">
      <w:r w:rsidRPr="00CA1B8F">
        <w:t xml:space="preserve">As one of Australia’s most successful exports, international education is an important source of revenue and a two-way connector to the </w:t>
      </w:r>
      <w:proofErr w:type="gramStart"/>
      <w:r w:rsidRPr="00CA1B8F">
        <w:t>world</w:t>
      </w:r>
      <w:r w:rsidR="00D66243" w:rsidRPr="00CA1B8F">
        <w:t xml:space="preserve">, </w:t>
      </w:r>
      <w:r w:rsidRPr="00CA1B8F">
        <w:t>and</w:t>
      </w:r>
      <w:proofErr w:type="gramEnd"/>
      <w:r w:rsidR="00D66243" w:rsidRPr="00CA1B8F">
        <w:t xml:space="preserve"> has</w:t>
      </w:r>
      <w:r w:rsidRPr="00CA1B8F">
        <w:t xml:space="preserve"> helped Australia extend its global footprint. </w:t>
      </w:r>
      <w:r w:rsidR="003715D5" w:rsidRPr="00CA1B8F">
        <w:t>Many Australian universities have established campuses throughout the Asia</w:t>
      </w:r>
      <w:r w:rsidR="00D66243" w:rsidRPr="00CA1B8F">
        <w:t>-</w:t>
      </w:r>
      <w:r w:rsidR="003715D5" w:rsidRPr="00CA1B8F">
        <w:t xml:space="preserve">Pacific </w:t>
      </w:r>
      <w:proofErr w:type="gramStart"/>
      <w:r w:rsidR="003715D5" w:rsidRPr="00CA1B8F">
        <w:t>region, or</w:t>
      </w:r>
      <w:proofErr w:type="gramEnd"/>
      <w:r w:rsidR="003715D5" w:rsidRPr="00CA1B8F">
        <w:t xml:space="preserve"> have strong linkages to overseas universities</w:t>
      </w:r>
      <w:r w:rsidR="00D66243" w:rsidRPr="00CA1B8F">
        <w:t>.</w:t>
      </w:r>
    </w:p>
    <w:p w14:paraId="007F6F89" w14:textId="3545EBDF" w:rsidR="00D74442" w:rsidRPr="00CA1B8F" w:rsidRDefault="00D74442" w:rsidP="00CA1B8F">
      <w:r w:rsidRPr="00CA1B8F">
        <w:t xml:space="preserve">The Government has played a leadership role to advance Australia’s international education partnerships, deepen relationships in the region and broaden opportunities for Australian </w:t>
      </w:r>
      <w:r w:rsidR="002C0C48" w:rsidRPr="00CA1B8F">
        <w:t xml:space="preserve">higher education </w:t>
      </w:r>
      <w:r w:rsidRPr="00CA1B8F">
        <w:t xml:space="preserve">providers. This includes work with partner governments to increase transnational education delivery, </w:t>
      </w:r>
      <w:r w:rsidR="006C42C6" w:rsidRPr="00CA1B8F">
        <w:t xml:space="preserve">including by </w:t>
      </w:r>
      <w:r w:rsidRPr="00CA1B8F">
        <w:t>facilitating the recent opening of Monash University’s campus in Jakarta, the first foreign</w:t>
      </w:r>
      <w:r w:rsidR="008A2F84" w:rsidRPr="00CA1B8F">
        <w:t>-</w:t>
      </w:r>
      <w:r w:rsidRPr="00CA1B8F">
        <w:t>owned campus in Indonesia</w:t>
      </w:r>
      <w:r w:rsidR="006C42C6" w:rsidRPr="00CA1B8F">
        <w:t>;</w:t>
      </w:r>
      <w:r w:rsidRPr="00CA1B8F">
        <w:t xml:space="preserve"> the soft launch of Western Sydney University’s campus in Surabaya, Indonesia</w:t>
      </w:r>
      <w:r w:rsidR="006C42C6" w:rsidRPr="00CA1B8F">
        <w:t>;</w:t>
      </w:r>
      <w:r w:rsidRPr="00CA1B8F">
        <w:t xml:space="preserve"> and the establishment of international campuses by Deakin University and the University of Wollongong in GIFT City, India. These milestones sit alongside a suite </w:t>
      </w:r>
      <w:r w:rsidRPr="00CA1B8F">
        <w:lastRenderedPageBreak/>
        <w:t>of collaborations in the region, and ongoing work with our key partner countries to provide the skills needed for economic growth and regional enhancement.</w:t>
      </w:r>
    </w:p>
    <w:p w14:paraId="66FFCDB5" w14:textId="623B0B7A" w:rsidR="00BD5EA2" w:rsidRPr="00005981" w:rsidRDefault="00BD5EA2" w:rsidP="00CA1B8F">
      <w:r w:rsidRPr="00CA1B8F">
        <w:t>However</w:t>
      </w:r>
      <w:r w:rsidR="00D66243" w:rsidRPr="00CA1B8F">
        <w:t>,</w:t>
      </w:r>
      <w:r w:rsidRPr="00CA1B8F">
        <w:t xml:space="preserve"> rapid growth has also contributed to fragmented quality. Most international education providers offer a high-quality service to students. These providers, who represent the bulk of the market, have a proven track record of meeting or exceeding expected standards. In 2022</w:t>
      </w:r>
      <w:r w:rsidR="001704EB" w:rsidRPr="00CA1B8F">
        <w:t>,</w:t>
      </w:r>
      <w:r w:rsidRPr="00CA1B8F">
        <w:t xml:space="preserve"> international student ratings of their higher education experience were on par or higher than </w:t>
      </w:r>
      <w:r w:rsidR="000E6B80" w:rsidRPr="00CA1B8F">
        <w:t xml:space="preserve">those for </w:t>
      </w:r>
      <w:r w:rsidRPr="00CA1B8F">
        <w:t>domestic students across all focus areas.</w:t>
      </w:r>
      <w:r w:rsidRPr="00C4084C">
        <w:rPr>
          <w:rStyle w:val="FootnoteReference"/>
          <w:rFonts w:eastAsia="Arial"/>
          <w:color w:val="000000" w:themeColor="text1"/>
        </w:rPr>
        <w:footnoteReference w:id="288"/>
      </w:r>
      <w:r w:rsidRPr="00005981">
        <w:t xml:space="preserve"> At the other end of the spectrum the Review is aware of market segments where low quality, unethical providers are exploiting the system and their students. This is to the entire sector’s detriment. The Review’s assessment is that the regulatory regime and risk management burden placed on providers should reflect evidence about these differing risk profiles. </w:t>
      </w:r>
    </w:p>
    <w:p w14:paraId="65D129EF" w14:textId="4B0839C4" w:rsidR="003C5AFD" w:rsidRPr="00005981" w:rsidRDefault="003C5AFD" w:rsidP="00005981">
      <w:r w:rsidRPr="00005981">
        <w:t xml:space="preserve">In line with significant changes to the policy landscape on education and migration, Minister Clare has foreshadowed the development of an International Education Strategic Framework (‘the Framework’). The Government will </w:t>
      </w:r>
      <w:r w:rsidR="000E6B80" w:rsidRPr="00005981">
        <w:t xml:space="preserve">use this to </w:t>
      </w:r>
      <w:r w:rsidRPr="00005981">
        <w:t>update the role and direction for international education to achieve Australia’s economic, productivity and social wellbeing objectives through a high quality, sustainable and diverse international education sector.</w:t>
      </w:r>
    </w:p>
    <w:p w14:paraId="7E839728" w14:textId="77777777" w:rsidR="00BD5EA2" w:rsidRPr="00C4084C" w:rsidRDefault="00BD5EA2" w:rsidP="00BD5EA2">
      <w:pPr>
        <w:pStyle w:val="Heading5"/>
      </w:pPr>
      <w:r w:rsidRPr="00C4084C">
        <w:t>International student numbers and concentration</w:t>
      </w:r>
    </w:p>
    <w:p w14:paraId="194AC3C8" w14:textId="1D0BFB50" w:rsidR="00BD5EA2" w:rsidRPr="00C4084C" w:rsidRDefault="00BD5EA2" w:rsidP="00005981">
      <w:r w:rsidRPr="00005981">
        <w:t xml:space="preserve">Following years of strong growth, measures </w:t>
      </w:r>
      <w:r w:rsidR="00BB621D" w:rsidRPr="00005981">
        <w:t>implemented</w:t>
      </w:r>
      <w:r w:rsidRPr="00005981">
        <w:t xml:space="preserve"> in response to the COVID</w:t>
      </w:r>
      <w:r w:rsidRPr="00005981">
        <w:noBreakHyphen/>
        <w:t xml:space="preserve">19 pandemic </w:t>
      </w:r>
      <w:r w:rsidR="00BB621D" w:rsidRPr="00005981">
        <w:t xml:space="preserve">– including the closure of Australia’s borders </w:t>
      </w:r>
      <w:r w:rsidR="0D70BC00" w:rsidRPr="00005981">
        <w:t>–</w:t>
      </w:r>
      <w:r w:rsidR="00BB621D" w:rsidRPr="00005981">
        <w:t xml:space="preserve"> </w:t>
      </w:r>
      <w:r w:rsidRPr="00005981">
        <w:t xml:space="preserve">took a toll on international education, both economically and on students stranded onshore and offshore. International student numbers have largely recovered to pre-COVID-19 levels. As </w:t>
      </w:r>
      <w:proofErr w:type="gramStart"/>
      <w:r w:rsidRPr="00005981">
        <w:t>at</w:t>
      </w:r>
      <w:proofErr w:type="gramEnd"/>
      <w:r w:rsidRPr="00005981">
        <w:t xml:space="preserve"> August </w:t>
      </w:r>
      <w:r w:rsidRPr="00C4084C">
        <w:t xml:space="preserve">2023, international student enrolments in higher education are </w:t>
      </w:r>
      <w:r w:rsidR="008A2F84">
        <w:t>1%</w:t>
      </w:r>
      <w:r w:rsidR="008A2F84" w:rsidRPr="00C4084C">
        <w:t xml:space="preserve"> </w:t>
      </w:r>
      <w:r w:rsidRPr="00C4084C">
        <w:t>lower than the same time in 2019. However, commencements have increased by 17% when compared with the same period in 2019,</w:t>
      </w:r>
      <w:r w:rsidRPr="00C4084C">
        <w:rPr>
          <w:rStyle w:val="FootnoteReference"/>
          <w:rFonts w:eastAsia="Calibri"/>
        </w:rPr>
        <w:footnoteReference w:id="289"/>
      </w:r>
      <w:r w:rsidRPr="00C4084C">
        <w:t xml:space="preserve"> which raises concerns about the capacity of the</w:t>
      </w:r>
      <w:r w:rsidR="002C0C48" w:rsidRPr="00C4084C">
        <w:t xml:space="preserve"> higher education</w:t>
      </w:r>
      <w:r w:rsidRPr="00C4084C">
        <w:t xml:space="preserve"> sector and associated infrastructure. </w:t>
      </w:r>
      <w:r w:rsidR="003B08EE" w:rsidRPr="00C4084C">
        <w:t>The Migration Strategy sets out a commitment to getting the migration system back on track and returning migration levels to normal</w:t>
      </w:r>
      <w:r w:rsidRPr="00C4084C">
        <w:t>.</w:t>
      </w:r>
      <w:r w:rsidR="00493A00" w:rsidRPr="00C4084C">
        <w:rPr>
          <w:rStyle w:val="FootnoteReference"/>
        </w:rPr>
        <w:footnoteReference w:id="290"/>
      </w:r>
      <w:r w:rsidRPr="00C4084C">
        <w:t xml:space="preserve"> </w:t>
      </w:r>
      <w:r w:rsidR="00DF70B1" w:rsidRPr="00C4084C">
        <w:t>The Strategy also notes that growth of the international education sector needs to be sustainable and principally driven by quality and a strong connection with our national interest. To support this position, t</w:t>
      </w:r>
      <w:r w:rsidR="00DF70B1" w:rsidRPr="00C4084C">
        <w:rPr>
          <w:rStyle w:val="xnormaltextrun"/>
          <w:color w:val="000000"/>
          <w:shd w:val="clear" w:color="auto" w:fill="FFFFFF"/>
        </w:rPr>
        <w:t>he Government has announced measures to strengthen integrity and quality in the international education sector. These actions combined may slow growth leading to lower international student numbers over the forward years to support a sustainable international education sector.</w:t>
      </w:r>
      <w:r w:rsidR="003B08EE" w:rsidRPr="00C4084C">
        <w:rPr>
          <w:rStyle w:val="FootnoteReference"/>
          <w:color w:val="000000"/>
          <w:shd w:val="clear" w:color="auto" w:fill="FFFFFF"/>
        </w:rPr>
        <w:footnoteReference w:id="291"/>
      </w:r>
      <w:r w:rsidR="005B5414" w:rsidRPr="00C4084C" w:rsidDel="005B5414">
        <w:rPr>
          <w:highlight w:val="magenta"/>
        </w:rPr>
        <w:t xml:space="preserve"> </w:t>
      </w:r>
    </w:p>
    <w:p w14:paraId="64459902" w14:textId="21DE080C" w:rsidR="00BD5EA2" w:rsidRPr="00C4084C" w:rsidRDefault="00BD5EA2" w:rsidP="00005981">
      <w:r w:rsidRPr="00C4084C">
        <w:t xml:space="preserve">The Review recognises the extensive work across government to respond to concerns about some low-quality providers in the wider international tertiary education market. The Review is recommending that, to </w:t>
      </w:r>
      <w:r w:rsidR="008A2F84">
        <w:t>maintain</w:t>
      </w:r>
      <w:r w:rsidR="008A2F84" w:rsidRPr="00C4084C">
        <w:t xml:space="preserve"> </w:t>
      </w:r>
      <w:r w:rsidRPr="00C4084C">
        <w:t xml:space="preserve">trust and integrity </w:t>
      </w:r>
      <w:r w:rsidR="008A2F84">
        <w:t>in</w:t>
      </w:r>
      <w:r w:rsidR="008A2F84" w:rsidRPr="00C4084C">
        <w:t xml:space="preserve"> </w:t>
      </w:r>
      <w:r w:rsidRPr="00C4084C">
        <w:t xml:space="preserve">the Australian visa system, the Australian Government should </w:t>
      </w:r>
      <w:r w:rsidR="004673BA" w:rsidRPr="00C4084C">
        <w:t xml:space="preserve">continue to </w:t>
      </w:r>
      <w:r w:rsidRPr="00C4084C">
        <w:t xml:space="preserve">act on the recommendations of the Nixon Review and implement </w:t>
      </w:r>
      <w:r w:rsidRPr="00C4084C">
        <w:lastRenderedPageBreak/>
        <w:t>the Migration Strategy to protect international students from unscrupulous providers</w:t>
      </w:r>
      <w:r w:rsidR="00652A6B" w:rsidRPr="00C4084C">
        <w:t xml:space="preserve"> (see Recommendation </w:t>
      </w:r>
      <w:r w:rsidR="007608E3" w:rsidRPr="00C4084C">
        <w:t>23</w:t>
      </w:r>
      <w:r w:rsidR="00652A6B" w:rsidRPr="00C4084C">
        <w:t>)</w:t>
      </w:r>
      <w:r w:rsidRPr="00C4084C">
        <w:t>.</w:t>
      </w:r>
    </w:p>
    <w:p w14:paraId="5D0BDB42" w14:textId="4D01D5EB" w:rsidR="00BD5EA2" w:rsidRPr="00C4084C" w:rsidRDefault="00BD5EA2" w:rsidP="00005981">
      <w:r w:rsidRPr="00C4084C">
        <w:t xml:space="preserve">Throughout the Review process, there has been significant discussion about the size of international student cohorts in Australian universities and the potential for large concentrations to affect international and domestic student experiences. For example, in 2022, international students </w:t>
      </w:r>
      <w:r w:rsidR="008A2F84">
        <w:t>at some universities</w:t>
      </w:r>
      <w:r w:rsidRPr="00C4084C">
        <w:t xml:space="preserve"> exceeded 40%</w:t>
      </w:r>
      <w:r w:rsidR="008A2F84">
        <w:t xml:space="preserve"> of the total student population: </w:t>
      </w:r>
      <w:r w:rsidRPr="00C4084C">
        <w:t>the University of Sydney (47.5%), Monash University (42.7%) and RMIT University (45.0%). The data for 2023 is not yet available but is expected to show an increase in the proportion of international students across more universities. There has also been discussion on whether there should be a cap, or limit, on international student numbers by institution and/or course discipline. While some commentators have suggested between 30 and 40% as an optimal concentration for international students in a particular institute, the basis for such figures remains unclear.</w:t>
      </w:r>
      <w:r w:rsidR="00BB621D" w:rsidRPr="00C4084C">
        <w:rPr>
          <w:rStyle w:val="FootnoteReference"/>
        </w:rPr>
        <w:footnoteReference w:id="292"/>
      </w:r>
      <w:r w:rsidR="00746B88" w:rsidRPr="00C4084C">
        <w:t xml:space="preserve"> What is clear</w:t>
      </w:r>
      <w:r w:rsidR="008A2F84">
        <w:t>,</w:t>
      </w:r>
      <w:r w:rsidR="00746B88" w:rsidRPr="00C4084C">
        <w:t xml:space="preserve"> however, is that social </w:t>
      </w:r>
      <w:r w:rsidR="008A2F84" w:rsidRPr="00C4084C">
        <w:t>licen</w:t>
      </w:r>
      <w:r w:rsidR="008A2F84">
        <w:t>c</w:t>
      </w:r>
      <w:r w:rsidR="008A2F84" w:rsidRPr="00C4084C">
        <w:t xml:space="preserve">e </w:t>
      </w:r>
      <w:r w:rsidR="00746B88" w:rsidRPr="00C4084C">
        <w:t xml:space="preserve">to operate international education can become challenging </w:t>
      </w:r>
      <w:r w:rsidR="008A2F84">
        <w:t>when</w:t>
      </w:r>
      <w:r w:rsidR="008A2F84" w:rsidRPr="00C4084C">
        <w:t xml:space="preserve"> </w:t>
      </w:r>
      <w:r w:rsidR="00746B88" w:rsidRPr="00C4084C">
        <w:t xml:space="preserve">large cohorts </w:t>
      </w:r>
      <w:r w:rsidR="008A2F84">
        <w:t xml:space="preserve">are concentrated </w:t>
      </w:r>
      <w:proofErr w:type="gramStart"/>
      <w:r w:rsidR="00746B88" w:rsidRPr="00C4084C">
        <w:t>in particular classes</w:t>
      </w:r>
      <w:proofErr w:type="gramEnd"/>
      <w:r w:rsidR="00746B88" w:rsidRPr="00C4084C">
        <w:t>, courses or</w:t>
      </w:r>
      <w:r w:rsidR="00560A06" w:rsidRPr="00C4084C">
        <w:t xml:space="preserve"> providers</w:t>
      </w:r>
      <w:r w:rsidR="00746B88" w:rsidRPr="00C4084C">
        <w:t xml:space="preserve"> – especially if there are limited efforts to ensure integration across different cohorts. </w:t>
      </w:r>
    </w:p>
    <w:p w14:paraId="2AE764A5" w14:textId="34A321B6" w:rsidR="00BD5EA2" w:rsidRPr="00C4084C" w:rsidRDefault="00746B88" w:rsidP="00005981">
      <w:r w:rsidRPr="00C4084C">
        <w:t>In this light,</w:t>
      </w:r>
      <w:r w:rsidR="00BD5EA2" w:rsidRPr="00C4084C" w:rsidDel="00C01434">
        <w:t xml:space="preserve"> </w:t>
      </w:r>
      <w:r w:rsidR="009B2836" w:rsidRPr="00C4084C">
        <w:t>p</w:t>
      </w:r>
      <w:r w:rsidR="00C01434" w:rsidRPr="00C4084C">
        <w:t xml:space="preserve">roviders </w:t>
      </w:r>
      <w:r w:rsidR="00BD5EA2" w:rsidRPr="00C4084C">
        <w:t>need to consider how they might broaden their student support services and structure their classes to help improve the student experience</w:t>
      </w:r>
      <w:r w:rsidR="008A2F84">
        <w:t>,</w:t>
      </w:r>
      <w:r w:rsidR="00BD5EA2" w:rsidRPr="00C4084C">
        <w:t xml:space="preserve"> and </w:t>
      </w:r>
      <w:r w:rsidR="009B2836" w:rsidRPr="00C4084C">
        <w:t>only</w:t>
      </w:r>
      <w:r w:rsidR="00BD5EA2" w:rsidRPr="00C4084C">
        <w:t xml:space="preserve"> support an increase in the international student intake</w:t>
      </w:r>
      <w:r w:rsidR="009B2836" w:rsidRPr="00C4084C">
        <w:t xml:space="preserve"> where it is educationally sustainable</w:t>
      </w:r>
      <w:r w:rsidR="00BD5EA2" w:rsidRPr="00C4084C">
        <w:t>.</w:t>
      </w:r>
    </w:p>
    <w:p w14:paraId="0A0CD67A" w14:textId="118A4CA3" w:rsidR="00BD5EA2" w:rsidRPr="00C4084C" w:rsidRDefault="00BD5EA2" w:rsidP="00005981">
      <w:r w:rsidRPr="00C4084C">
        <w:t>Optimal concentrations may also vary across fields of study and between undergraduate and postgraduate levels. In 2021, of those courses with total enrolment numbers over 100,000 nationally, the broad fields of Information Technology</w:t>
      </w:r>
      <w:r w:rsidR="003216E7" w:rsidRPr="00C4084C">
        <w:t xml:space="preserve"> </w:t>
      </w:r>
      <w:r w:rsidRPr="00C4084C">
        <w:t xml:space="preserve">and Management and Commerce, had international student enrolment concentrations exceeding 45%, and much higher in some </w:t>
      </w:r>
      <w:r w:rsidR="00C01434" w:rsidRPr="00C4084C">
        <w:t>providers</w:t>
      </w:r>
      <w:r w:rsidRPr="00C4084C">
        <w:t xml:space="preserve">. </w:t>
      </w:r>
    </w:p>
    <w:p w14:paraId="298CB334" w14:textId="00F8BED8" w:rsidR="00BD5EA2" w:rsidRPr="00C4084C" w:rsidRDefault="00BD5EA2" w:rsidP="00005981">
      <w:pPr>
        <w:rPr>
          <w:rFonts w:ascii="Calibri" w:eastAsia="Calibri" w:hAnsi="Calibri" w:cs="Arial"/>
          <w:szCs w:val="20"/>
        </w:rPr>
      </w:pPr>
      <w:r w:rsidRPr="00C4084C">
        <w:rPr>
          <w:rFonts w:ascii="Calibri" w:eastAsia="Calibri" w:hAnsi="Calibri" w:cs="Arial"/>
          <w:szCs w:val="20"/>
        </w:rPr>
        <w:t xml:space="preserve">High concentration rates of international students have led to concerns about the negative impact on the student experience for domestic and international cohorts alike. </w:t>
      </w:r>
      <w:r w:rsidR="000C3B2C" w:rsidRPr="00C4084C">
        <w:rPr>
          <w:rFonts w:ascii="Calibri" w:eastAsia="Calibri" w:hAnsi="Calibri" w:cs="Arial"/>
          <w:szCs w:val="20"/>
        </w:rPr>
        <w:t>While t</w:t>
      </w:r>
      <w:r w:rsidRPr="00C4084C">
        <w:rPr>
          <w:rFonts w:ascii="Calibri" w:eastAsia="Calibri" w:hAnsi="Calibri" w:cs="Arial"/>
          <w:szCs w:val="20"/>
        </w:rPr>
        <w:t>he Review has not seen compelling evidence to suggest that these negative impacts are widespread</w:t>
      </w:r>
      <w:r w:rsidR="000C3B2C" w:rsidRPr="00C4084C">
        <w:rPr>
          <w:rFonts w:ascii="Calibri" w:eastAsia="Calibri" w:hAnsi="Calibri" w:cs="Arial"/>
          <w:szCs w:val="20"/>
        </w:rPr>
        <w:t>, some staff and students who experience these concentrated impacts are expressing concern</w:t>
      </w:r>
      <w:r w:rsidRPr="00C4084C">
        <w:rPr>
          <w:rFonts w:ascii="Calibri" w:eastAsia="Calibri" w:hAnsi="Calibri" w:cs="Arial"/>
          <w:szCs w:val="20"/>
        </w:rPr>
        <w:t xml:space="preserve">. This raises </w:t>
      </w:r>
      <w:r w:rsidR="00C36D1D">
        <w:rPr>
          <w:rFonts w:ascii="Calibri" w:eastAsia="Calibri" w:hAnsi="Calibri" w:cs="Arial"/>
          <w:szCs w:val="20"/>
        </w:rPr>
        <w:t>the</w:t>
      </w:r>
      <w:r w:rsidR="00C36D1D" w:rsidRPr="00C4084C">
        <w:rPr>
          <w:rFonts w:ascii="Calibri" w:eastAsia="Calibri" w:hAnsi="Calibri" w:cs="Arial"/>
          <w:szCs w:val="20"/>
        </w:rPr>
        <w:t xml:space="preserve"> </w:t>
      </w:r>
      <w:r w:rsidRPr="00C4084C">
        <w:rPr>
          <w:rFonts w:ascii="Calibri" w:eastAsia="Calibri" w:hAnsi="Calibri" w:cs="Arial"/>
          <w:szCs w:val="20"/>
        </w:rPr>
        <w:t xml:space="preserve">question </w:t>
      </w:r>
      <w:r w:rsidR="00C36D1D">
        <w:rPr>
          <w:rFonts w:ascii="Calibri" w:eastAsia="Calibri" w:hAnsi="Calibri" w:cs="Arial"/>
          <w:szCs w:val="20"/>
        </w:rPr>
        <w:t>of whether</w:t>
      </w:r>
      <w:r w:rsidR="00C36D1D" w:rsidRPr="00C4084C">
        <w:rPr>
          <w:rFonts w:ascii="Calibri" w:eastAsia="Calibri" w:hAnsi="Calibri" w:cs="Arial"/>
          <w:szCs w:val="20"/>
        </w:rPr>
        <w:t xml:space="preserve"> </w:t>
      </w:r>
      <w:r w:rsidRPr="00C4084C">
        <w:rPr>
          <w:rFonts w:ascii="Calibri" w:eastAsia="Calibri" w:hAnsi="Calibri" w:cs="Arial"/>
          <w:szCs w:val="20"/>
        </w:rPr>
        <w:t xml:space="preserve">there is a role for government to </w:t>
      </w:r>
      <w:r w:rsidR="00DB333E" w:rsidRPr="00C4084C">
        <w:rPr>
          <w:rFonts w:ascii="Calibri" w:eastAsia="Calibri" w:hAnsi="Calibri" w:cs="Arial"/>
          <w:szCs w:val="20"/>
        </w:rPr>
        <w:t>undertake further research on the impact of international student concentration</w:t>
      </w:r>
      <w:r w:rsidR="001D5F66" w:rsidRPr="00C4084C">
        <w:rPr>
          <w:rFonts w:ascii="Calibri" w:eastAsia="Calibri" w:hAnsi="Calibri" w:cs="Arial"/>
          <w:szCs w:val="20"/>
        </w:rPr>
        <w:t>.</w:t>
      </w:r>
      <w:r w:rsidRPr="00C4084C">
        <w:rPr>
          <w:rFonts w:ascii="Calibri" w:eastAsia="Calibri" w:hAnsi="Calibri" w:cs="Arial"/>
          <w:szCs w:val="20"/>
        </w:rPr>
        <w:t xml:space="preserve"> </w:t>
      </w:r>
    </w:p>
    <w:p w14:paraId="15C3A42A" w14:textId="643D2D7D" w:rsidR="00BD5EA2" w:rsidRPr="00C4084C" w:rsidRDefault="00BD5EA2" w:rsidP="00005981">
      <w:r w:rsidRPr="00C4084C">
        <w:t xml:space="preserve">Recent analysis undertaken by </w:t>
      </w:r>
      <w:proofErr w:type="spellStart"/>
      <w:r w:rsidRPr="00C4084C">
        <w:t>Navitas</w:t>
      </w:r>
      <w:proofErr w:type="spellEnd"/>
      <w:r w:rsidRPr="00C4084C">
        <w:t xml:space="preserve"> shows that when </w:t>
      </w:r>
      <w:r w:rsidR="00C867BD" w:rsidRPr="00C4084C">
        <w:t xml:space="preserve">total </w:t>
      </w:r>
      <w:r w:rsidRPr="00C4084C">
        <w:t>international student numbers decrease</w:t>
      </w:r>
      <w:r w:rsidR="00C36D1D">
        <w:t xml:space="preserve"> –</w:t>
      </w:r>
      <w:r w:rsidR="00C36D1D" w:rsidRPr="00C4084C">
        <w:t xml:space="preserve"> </w:t>
      </w:r>
      <w:r w:rsidR="00C36D1D">
        <w:t xml:space="preserve">as happened, </w:t>
      </w:r>
      <w:r w:rsidRPr="00C4084C">
        <w:t>for example</w:t>
      </w:r>
      <w:r w:rsidR="00C867BD" w:rsidRPr="00C4084C">
        <w:t>,</w:t>
      </w:r>
      <w:r w:rsidRPr="00C4084C">
        <w:t xml:space="preserve"> during the global financial crisis and the COVID-19 pandemic</w:t>
      </w:r>
      <w:r w:rsidR="00C36D1D">
        <w:t xml:space="preserve"> – </w:t>
      </w:r>
      <w:r w:rsidRPr="00C4084C">
        <w:t xml:space="preserve">the Group of Eight </w:t>
      </w:r>
      <w:r w:rsidR="007A16EB">
        <w:t xml:space="preserve">(Go8) </w:t>
      </w:r>
      <w:r w:rsidRPr="00C4084C">
        <w:t xml:space="preserve">increases </w:t>
      </w:r>
      <w:r w:rsidR="00C36D1D">
        <w:t>its</w:t>
      </w:r>
      <w:r w:rsidR="00C36D1D" w:rsidRPr="00C4084C">
        <w:t xml:space="preserve"> </w:t>
      </w:r>
      <w:r w:rsidRPr="00C4084C">
        <w:t>share of international students. This suggests that constricting the sector through regulation may disproportionately benefit Go8 providers as international students continue to enrol in higher</w:t>
      </w:r>
      <w:r w:rsidR="001D3FA4">
        <w:t>-</w:t>
      </w:r>
      <w:r w:rsidRPr="00C4084C">
        <w:t xml:space="preserve">ranked </w:t>
      </w:r>
      <w:r w:rsidR="00C01434" w:rsidRPr="00C4084C">
        <w:t>universities</w:t>
      </w:r>
      <w:r w:rsidRPr="00C4084C">
        <w:t>.</w:t>
      </w:r>
      <w:r w:rsidRPr="00C4084C">
        <w:rPr>
          <w:vertAlign w:val="superscript"/>
        </w:rPr>
        <w:footnoteReference w:id="293"/>
      </w:r>
      <w:r w:rsidRPr="00C4084C">
        <w:t xml:space="preserve"> Heavy regulation of international student numbers may also lead to unintended consequences. </w:t>
      </w:r>
      <w:r w:rsidR="004D777F" w:rsidRPr="00C4084C">
        <w:t xml:space="preserve">To overcome some of the perceived challenges surrounding student concentration, </w:t>
      </w:r>
      <w:r w:rsidR="00C01434" w:rsidRPr="00C4084C">
        <w:t xml:space="preserve">higher education </w:t>
      </w:r>
      <w:r w:rsidR="004D777F" w:rsidRPr="00C4084C">
        <w:t>p</w:t>
      </w:r>
      <w:r w:rsidRPr="00C4084C">
        <w:t xml:space="preserve">roviders should therefore explore alternative mitigation strategies such as supporting greater cohesion between domestic and international student cohorts. </w:t>
      </w:r>
    </w:p>
    <w:p w14:paraId="68707560" w14:textId="4221F3BB" w:rsidR="000219B0" w:rsidRPr="00CC72ED" w:rsidRDefault="00BD5EA2" w:rsidP="00285443">
      <w:r w:rsidRPr="00C4084C">
        <w:rPr>
          <w:rFonts w:ascii="Calibri" w:eastAsia="Calibri" w:hAnsi="Calibri" w:cs="Arial"/>
          <w:szCs w:val="20"/>
        </w:rPr>
        <w:lastRenderedPageBreak/>
        <w:t xml:space="preserve">This is why the Review is recommending that the Australian </w:t>
      </w:r>
      <w:r w:rsidRPr="00C4084C">
        <w:rPr>
          <w:rStyle w:val="normaltextrun"/>
          <w:rFonts w:ascii="Calibri" w:hAnsi="Calibri" w:cs="Calibri"/>
          <w:color w:val="000000"/>
          <w:shd w:val="clear" w:color="auto" w:fill="FFFFFF"/>
        </w:rPr>
        <w:t xml:space="preserve">Government have a role in ensuring the regulatory environment addresses any issues that might arise in </w:t>
      </w:r>
      <w:r w:rsidRPr="00C4084C">
        <w:rPr>
          <w:rStyle w:val="normaltextrun"/>
          <w:rFonts w:ascii="Calibri" w:hAnsi="Calibri" w:cs="Calibri"/>
          <w:color w:val="000000"/>
          <w:bdr w:val="none" w:sz="0" w:space="0" w:color="auto" w:frame="1"/>
        </w:rPr>
        <w:t>course concentrations and the resulting impact on quality of the student experience</w:t>
      </w:r>
      <w:r w:rsidR="00652A6B" w:rsidRPr="00C4084C">
        <w:rPr>
          <w:rStyle w:val="normaltextrun"/>
          <w:rFonts w:ascii="Calibri" w:hAnsi="Calibri" w:cs="Calibri"/>
          <w:color w:val="000000"/>
          <w:bdr w:val="none" w:sz="0" w:space="0" w:color="auto" w:frame="1"/>
        </w:rPr>
        <w:t xml:space="preserve"> </w:t>
      </w:r>
      <w:r w:rsidR="00652A6B" w:rsidRPr="00C4084C">
        <w:t xml:space="preserve">(see Recommendation </w:t>
      </w:r>
      <w:r w:rsidR="002772E7" w:rsidRPr="00C4084C">
        <w:t>23</w:t>
      </w:r>
      <w:r w:rsidR="00652A6B" w:rsidRPr="00C4084C">
        <w:t>)</w:t>
      </w:r>
      <w:r w:rsidRPr="00C4084C">
        <w:rPr>
          <w:rStyle w:val="eop"/>
          <w:rFonts w:ascii="Calibri" w:hAnsi="Calibri" w:cs="Calibri"/>
          <w:color w:val="000000"/>
          <w:shd w:val="clear" w:color="auto" w:fill="FFFFFF"/>
        </w:rPr>
        <w:t>.</w:t>
      </w:r>
    </w:p>
    <w:tbl>
      <w:tblPr>
        <w:tblW w:w="0" w:type="auto"/>
        <w:shd w:val="clear" w:color="auto" w:fill="FBE4D5"/>
        <w:tblLook w:val="04A0" w:firstRow="1" w:lastRow="0" w:firstColumn="1" w:lastColumn="0" w:noHBand="0" w:noVBand="1"/>
      </w:tblPr>
      <w:tblGrid>
        <w:gridCol w:w="9026"/>
      </w:tblGrid>
      <w:tr w:rsidR="000219B0" w:rsidRPr="00C4084C" w14:paraId="54427462" w14:textId="77777777" w:rsidTr="00D26B82">
        <w:tc>
          <w:tcPr>
            <w:tcW w:w="9026" w:type="dxa"/>
            <w:shd w:val="clear" w:color="auto" w:fill="B0C3DB"/>
          </w:tcPr>
          <w:p w14:paraId="268976AD" w14:textId="2B90146B" w:rsidR="00861BDA" w:rsidRPr="00861BDA" w:rsidRDefault="0080264E" w:rsidP="003E5969">
            <w:pPr>
              <w:pStyle w:val="Findinginchapterheading"/>
              <w:rPr>
                <w:szCs w:val="24"/>
              </w:rPr>
            </w:pPr>
            <w:r w:rsidRPr="003E5969">
              <w:rPr>
                <w:rFonts w:ascii="Calibri" w:eastAsia="Yu Gothic Light" w:hAnsi="Calibri" w:cs="Calibri"/>
                <w:szCs w:val="24"/>
              </w:rPr>
              <w:t>Finding</w:t>
            </w:r>
            <w:r w:rsidR="00861BDA">
              <w:rPr>
                <w:szCs w:val="24"/>
              </w:rPr>
              <w:t xml:space="preserve">: </w:t>
            </w:r>
            <w:r w:rsidR="000219B0" w:rsidRPr="00C4084C">
              <w:t>International</w:t>
            </w:r>
          </w:p>
          <w:p w14:paraId="3D53D5EB" w14:textId="31124FBB" w:rsidR="000219B0" w:rsidRPr="00C4084C" w:rsidRDefault="000219B0" w:rsidP="003E5969">
            <w:pPr>
              <w:pStyle w:val="Boxtext0"/>
              <w:spacing w:before="0"/>
            </w:pPr>
            <w:r w:rsidRPr="00C4084C">
              <w:t xml:space="preserve">International education is well-recognised as a crucial export industry, but less so as an important </w:t>
            </w:r>
            <w:r w:rsidRPr="003C30E6">
              <w:t>element</w:t>
            </w:r>
            <w:r w:rsidRPr="00C4084C">
              <w:t xml:space="preserve"> of Australia’s soft diplomacy, </w:t>
            </w:r>
            <w:proofErr w:type="gramStart"/>
            <w:r w:rsidRPr="00C4084C">
              <w:t>reputation</w:t>
            </w:r>
            <w:proofErr w:type="gramEnd"/>
            <w:r w:rsidRPr="00C4084C">
              <w:t xml:space="preserve"> and ability to generate relationships across the world. International alumni can be strong champions for institutions, regions and the nation and their potential needs to be harnessed. Maintaining the quality and integrity of the international education system is essential to continuing to deliver this value.</w:t>
            </w:r>
          </w:p>
        </w:tc>
      </w:tr>
    </w:tbl>
    <w:p w14:paraId="746DEDE7" w14:textId="77777777" w:rsidR="00BD5EA2" w:rsidRPr="00C4084C" w:rsidRDefault="00BD5EA2" w:rsidP="00BD5EA2">
      <w:pPr>
        <w:pStyle w:val="Heading5"/>
      </w:pPr>
      <w:r w:rsidRPr="00C4084C">
        <w:t>International student visas and migration pathways</w:t>
      </w:r>
    </w:p>
    <w:p w14:paraId="384CBF83" w14:textId="1A071058" w:rsidR="00BD5EA2" w:rsidRPr="00C4084C" w:rsidRDefault="00BD5EA2" w:rsidP="00CC72ED">
      <w:r w:rsidRPr="00C4084C">
        <w:t>Attracting the best and brightest international students is a shared priority for the Australian Government and the tertiary education sector. Australia is an immensely popular study destination for international students, offering unique study and lifestyle opportunities. As noted in the Inquiry into Australia’s tourism and international education sectors, “through international education Australia can elevate broader engagement to support global and regional democratic development, human rights and economic stability</w:t>
      </w:r>
      <w:r w:rsidR="000B3E71" w:rsidRPr="00C4084C">
        <w:t>”</w:t>
      </w:r>
      <w:r w:rsidR="001D3FA4">
        <w:t>.</w:t>
      </w:r>
      <w:r w:rsidRPr="00C4084C">
        <w:rPr>
          <w:rStyle w:val="FootnoteReference"/>
          <w:rFonts w:eastAsia="Arial"/>
          <w:color w:val="000000" w:themeColor="text1"/>
        </w:rPr>
        <w:footnoteReference w:id="294"/>
      </w:r>
      <w:r w:rsidRPr="00C4084C">
        <w:t xml:space="preserve"> More can be done, however, to improve outcomes for international students, particularly in relation to migration opportunities and positive employment outcomes</w:t>
      </w:r>
      <w:r w:rsidR="00D651B7" w:rsidRPr="00C4084C">
        <w:t>, as acknowledged in the Australian Government’s Migration Strategy</w:t>
      </w:r>
      <w:r w:rsidRPr="00C4084C">
        <w:t xml:space="preserve">. </w:t>
      </w:r>
    </w:p>
    <w:p w14:paraId="735BE385" w14:textId="3C821F56" w:rsidR="00BD5EA2" w:rsidRPr="00C4084C" w:rsidRDefault="00BD5EA2" w:rsidP="00CC72ED">
      <w:r w:rsidRPr="00C4084C">
        <w:t xml:space="preserve">With the Australian Government’s support, tertiary </w:t>
      </w:r>
      <w:r w:rsidR="00C01434" w:rsidRPr="00C4084C">
        <w:t xml:space="preserve">education </w:t>
      </w:r>
      <w:r w:rsidRPr="00C4084C">
        <w:t>providers should prioritise equality and inclusion throughout the lifecycle of international student engagement with the</w:t>
      </w:r>
      <w:r w:rsidR="00C01434" w:rsidRPr="00C4084C">
        <w:t xml:space="preserve"> higher education</w:t>
      </w:r>
      <w:r w:rsidRPr="00C4084C">
        <w:t xml:space="preserve"> sector. Improving transparency, clarity and communication about the Australian visa system would improve migration outcomes</w:t>
      </w:r>
      <w:r w:rsidR="00415CA3" w:rsidRPr="00C4084C">
        <w:t xml:space="preserve"> </w:t>
      </w:r>
      <w:r w:rsidRPr="00C4084C">
        <w:t xml:space="preserve">for international students. This includes addressing issues associated with a ‘permanently temporary’ visa status – where migrants remain in Australia without the opportunity to acquire permanent residency. </w:t>
      </w:r>
    </w:p>
    <w:p w14:paraId="27346AD7" w14:textId="36CE02B9" w:rsidR="00BD5EA2" w:rsidRPr="00C4084C" w:rsidRDefault="00BD5EA2" w:rsidP="00CC72ED">
      <w:r w:rsidRPr="00C4084C">
        <w:t xml:space="preserve">The Migration Strategy highlights the need to </w:t>
      </w:r>
      <w:r w:rsidR="00E35A6E" w:rsidRPr="00C4084C">
        <w:t>end “settings that drive long-term temporary stays (known as ‘permanent temporariness’)</w:t>
      </w:r>
      <w:proofErr w:type="gramStart"/>
      <w:r w:rsidR="008E5EA0" w:rsidRPr="00C4084C">
        <w:t>”</w:t>
      </w:r>
      <w:r w:rsidR="000457F8">
        <w:t>,</w:t>
      </w:r>
      <w:r w:rsidR="00E35A6E" w:rsidRPr="00C4084C">
        <w:t xml:space="preserve"> </w:t>
      </w:r>
      <w:r w:rsidR="008E5EA0" w:rsidRPr="00C4084C">
        <w:t>and</w:t>
      </w:r>
      <w:proofErr w:type="gramEnd"/>
      <w:r w:rsidR="008E5EA0" w:rsidRPr="00C4084C">
        <w:t xml:space="preserve"> </w:t>
      </w:r>
      <w:r w:rsidR="00E35A6E" w:rsidRPr="00C4084C">
        <w:t>restor</w:t>
      </w:r>
      <w:r w:rsidR="008E5EA0" w:rsidRPr="00C4084C">
        <w:t>e</w:t>
      </w:r>
      <w:r w:rsidR="00E35A6E" w:rsidRPr="00C4084C">
        <w:t xml:space="preserve"> integrity to the migration system and international education.</w:t>
      </w:r>
      <w:r w:rsidRPr="00C4084C">
        <w:rPr>
          <w:rStyle w:val="FootnoteReference"/>
        </w:rPr>
        <w:footnoteReference w:id="295"/>
      </w:r>
      <w:r w:rsidRPr="00C4084C">
        <w:t xml:space="preserve"> This is crucial to improving outcomes for international students</w:t>
      </w:r>
      <w:r w:rsidR="001D3FA4">
        <w:t>,</w:t>
      </w:r>
      <w:r w:rsidRPr="00C4084C">
        <w:t xml:space="preserve"> whether they choose to stay in Australia or return overseas, and strengthens Australia’s soft power diplomacy. Developing a well targeted skilled migration program is critical to meeting skills shortages, while also emphasising the government’s sovereign responsibility to upskill the Australian populace to meet longstanding areas of skills shortage.</w:t>
      </w:r>
    </w:p>
    <w:p w14:paraId="20F387F5" w14:textId="184B3C91" w:rsidR="00BD5EA2" w:rsidRPr="00C4084C" w:rsidRDefault="00B60239" w:rsidP="00CC72ED">
      <w:pPr>
        <w:rPr>
          <w:rStyle w:val="normaltextrun"/>
          <w:rFonts w:ascii="Calibri" w:hAnsi="Calibri" w:cs="Calibri"/>
          <w:color w:val="000000"/>
          <w:shd w:val="clear" w:color="auto" w:fill="FFFFFF"/>
        </w:rPr>
      </w:pPr>
      <w:r w:rsidRPr="00C4084C">
        <w:t xml:space="preserve">The </w:t>
      </w:r>
      <w:r w:rsidR="002259D6" w:rsidRPr="00C4084C">
        <w:t>I</w:t>
      </w:r>
      <w:r w:rsidR="00BD5EA2" w:rsidRPr="00C4084C">
        <w:t>nquiry into Australia’s Skilled Migration Program</w:t>
      </w:r>
      <w:r w:rsidR="002259D6" w:rsidRPr="00C4084C">
        <w:t xml:space="preserve"> also</w:t>
      </w:r>
      <w:r w:rsidR="00BD5EA2" w:rsidRPr="00C4084C">
        <w:t xml:space="preserve"> commented on the value of providing a “clear pathway to permanency” in areas of persistent skills shortage for international students who are excelling in relevant areas of study.</w:t>
      </w:r>
      <w:r w:rsidR="00BD5EA2" w:rsidRPr="00C4084C">
        <w:rPr>
          <w:vertAlign w:val="superscript"/>
        </w:rPr>
        <w:footnoteReference w:id="296"/>
      </w:r>
      <w:r w:rsidR="00BD5EA2" w:rsidRPr="00C4084C">
        <w:t xml:space="preserve"> The Grattan Institute suggests that </w:t>
      </w:r>
      <w:r w:rsidR="001D3FA4">
        <w:t>“</w:t>
      </w:r>
      <w:r w:rsidR="00BD5EA2" w:rsidRPr="00C4084C">
        <w:t xml:space="preserve">migrants granted </w:t>
      </w:r>
      <w:r w:rsidR="00BD5EA2" w:rsidRPr="00C4084C">
        <w:lastRenderedPageBreak/>
        <w:t>permanent residency are likely to remain in the workforce for decades” and that “selecting younger, skilled migrants who are proficient in English and have good employment prospects is likely to maximise the benefits that permanent skilled migration offers the Australian community”</w:t>
      </w:r>
      <w:r w:rsidR="001D3FA4">
        <w:t>.</w:t>
      </w:r>
      <w:r w:rsidR="00BD5EA2" w:rsidRPr="00C4084C">
        <w:rPr>
          <w:vertAlign w:val="superscript"/>
        </w:rPr>
        <w:footnoteReference w:id="297"/>
      </w:r>
      <w:r w:rsidR="00BD5EA2" w:rsidRPr="00C4084C">
        <w:t xml:space="preserve"> </w:t>
      </w:r>
      <w:r w:rsidR="00BD5EA2" w:rsidRPr="00C4084C">
        <w:rPr>
          <w:rFonts w:ascii="Calibri" w:eastAsia="Calibri" w:hAnsi="Calibri" w:cs="Arial"/>
        </w:rPr>
        <w:t xml:space="preserve">This is why the Review is recommending </w:t>
      </w:r>
      <w:r w:rsidR="001D3FA4">
        <w:rPr>
          <w:rFonts w:ascii="Calibri" w:eastAsia="Calibri" w:hAnsi="Calibri" w:cs="Arial"/>
        </w:rPr>
        <w:t xml:space="preserve">that </w:t>
      </w:r>
      <w:r w:rsidR="00BD5EA2" w:rsidRPr="00C4084C">
        <w:rPr>
          <w:rFonts w:ascii="Calibri" w:eastAsia="Calibri" w:hAnsi="Calibri" w:cs="Arial"/>
        </w:rPr>
        <w:t xml:space="preserve">the </w:t>
      </w:r>
      <w:r w:rsidR="00BD5EA2" w:rsidRPr="00C4084C">
        <w:rPr>
          <w:rStyle w:val="normaltextrun"/>
          <w:rFonts w:ascii="Calibri" w:hAnsi="Calibri" w:cs="Calibri"/>
          <w:color w:val="000000"/>
          <w:shd w:val="clear" w:color="auto" w:fill="FFFFFF"/>
        </w:rPr>
        <w:t xml:space="preserve">contribution international students make to Australia </w:t>
      </w:r>
      <w:r w:rsidR="001D3FA4">
        <w:rPr>
          <w:rStyle w:val="normaltextrun"/>
          <w:rFonts w:ascii="Calibri" w:hAnsi="Calibri" w:cs="Calibri"/>
          <w:color w:val="000000"/>
          <w:shd w:val="clear" w:color="auto" w:fill="FFFFFF"/>
        </w:rPr>
        <w:t>be</w:t>
      </w:r>
      <w:r w:rsidR="001D3FA4" w:rsidRPr="00C4084C">
        <w:rPr>
          <w:rStyle w:val="normaltextrun"/>
          <w:rFonts w:ascii="Calibri" w:hAnsi="Calibri" w:cs="Calibri"/>
          <w:color w:val="000000"/>
          <w:shd w:val="clear" w:color="auto" w:fill="FFFFFF"/>
        </w:rPr>
        <w:t xml:space="preserve"> </w:t>
      </w:r>
      <w:r w:rsidR="00BD5EA2" w:rsidRPr="00C4084C">
        <w:rPr>
          <w:rStyle w:val="normaltextrun"/>
          <w:rFonts w:ascii="Calibri" w:hAnsi="Calibri" w:cs="Calibri"/>
          <w:color w:val="000000"/>
          <w:shd w:val="clear" w:color="auto" w:fill="FFFFFF"/>
        </w:rPr>
        <w:t>recognised</w:t>
      </w:r>
      <w:r w:rsidR="001D3FA4">
        <w:rPr>
          <w:rStyle w:val="normaltextrun"/>
          <w:rFonts w:ascii="Calibri" w:hAnsi="Calibri" w:cs="Calibri"/>
          <w:color w:val="000000"/>
          <w:shd w:val="clear" w:color="auto" w:fill="FFFFFF"/>
        </w:rPr>
        <w:t xml:space="preserve">, </w:t>
      </w:r>
      <w:r w:rsidR="00BD5EA2" w:rsidRPr="00C4084C">
        <w:rPr>
          <w:rStyle w:val="normaltextrun"/>
          <w:rFonts w:ascii="Calibri" w:hAnsi="Calibri" w:cs="Calibri"/>
          <w:color w:val="000000"/>
          <w:shd w:val="clear" w:color="auto" w:fill="FFFFFF"/>
        </w:rPr>
        <w:t xml:space="preserve">and </w:t>
      </w:r>
      <w:r w:rsidR="001D3FA4">
        <w:rPr>
          <w:rStyle w:val="normaltextrun"/>
          <w:rFonts w:ascii="Calibri" w:hAnsi="Calibri" w:cs="Calibri"/>
          <w:color w:val="000000" w:themeColor="text1"/>
        </w:rPr>
        <w:t>that there be</w:t>
      </w:r>
      <w:r w:rsidR="00BD5EA2" w:rsidRPr="00C4084C">
        <w:rPr>
          <w:rStyle w:val="normaltextrun"/>
          <w:rFonts w:ascii="Calibri" w:hAnsi="Calibri" w:cs="Calibri"/>
          <w:color w:val="000000"/>
          <w:shd w:val="clear" w:color="auto" w:fill="FFFFFF"/>
        </w:rPr>
        <w:t xml:space="preserve"> greater alignment and coordination between the courses and programs marketed to international students and the national skills agenda and relevant migration initiatives</w:t>
      </w:r>
      <w:r w:rsidR="00652A6B" w:rsidRPr="00C4084C">
        <w:rPr>
          <w:rStyle w:val="normaltextrun"/>
          <w:rFonts w:ascii="Calibri" w:hAnsi="Calibri" w:cs="Calibri"/>
          <w:color w:val="000000"/>
          <w:shd w:val="clear" w:color="auto" w:fill="FFFFFF"/>
        </w:rPr>
        <w:t xml:space="preserve"> </w:t>
      </w:r>
      <w:r w:rsidR="00652A6B" w:rsidRPr="00C4084C">
        <w:t xml:space="preserve">(see Recommendation </w:t>
      </w:r>
      <w:r w:rsidR="002772E7" w:rsidRPr="00C4084C">
        <w:t>22</w:t>
      </w:r>
      <w:r w:rsidR="00652A6B" w:rsidRPr="00C4084C">
        <w:t>)</w:t>
      </w:r>
      <w:r w:rsidR="00BD5EA2" w:rsidRPr="00C4084C">
        <w:rPr>
          <w:rStyle w:val="normaltextrun"/>
          <w:rFonts w:ascii="Calibri" w:hAnsi="Calibri" w:cs="Calibri"/>
          <w:color w:val="000000"/>
          <w:shd w:val="clear" w:color="auto" w:fill="FFFFFF"/>
        </w:rPr>
        <w:t>.</w:t>
      </w:r>
    </w:p>
    <w:tbl>
      <w:tblPr>
        <w:tblW w:w="0" w:type="auto"/>
        <w:shd w:val="clear" w:color="auto" w:fill="DAF2EF"/>
        <w:tblLook w:val="04A0" w:firstRow="1" w:lastRow="0" w:firstColumn="1" w:lastColumn="0" w:noHBand="0" w:noVBand="1"/>
      </w:tblPr>
      <w:tblGrid>
        <w:gridCol w:w="9026"/>
      </w:tblGrid>
      <w:tr w:rsidR="00215C8C" w:rsidRPr="00C4084C" w14:paraId="54F4035B" w14:textId="77777777" w:rsidTr="00D26B82">
        <w:tc>
          <w:tcPr>
            <w:tcW w:w="0" w:type="auto"/>
            <w:shd w:val="clear" w:color="auto" w:fill="E3DAEA"/>
          </w:tcPr>
          <w:p w14:paraId="005D3AA2" w14:textId="11697259" w:rsidR="00215C8C" w:rsidRPr="00C4084C" w:rsidRDefault="00215C8C" w:rsidP="003E32CF">
            <w:pPr>
              <w:pStyle w:val="Boxtitlessubheadings"/>
            </w:pPr>
            <w:r w:rsidRPr="00C4084C">
              <w:t>Migration Strategy</w:t>
            </w:r>
          </w:p>
          <w:p w14:paraId="6E4F6678" w14:textId="66F8F883" w:rsidR="00215C8C" w:rsidRPr="00C4084C" w:rsidRDefault="00215C8C" w:rsidP="00CC72ED">
            <w:pPr>
              <w:pStyle w:val="Boxtext0"/>
            </w:pPr>
            <w:r w:rsidRPr="00C4084C">
              <w:t xml:space="preserve">Released in December 2023, the Government’s Migration Strategy is a comprehensive review of Australia’s </w:t>
            </w:r>
            <w:r w:rsidR="003E32CF" w:rsidRPr="00C4084C">
              <w:t>m</w:t>
            </w:r>
            <w:r w:rsidRPr="00C4084C">
              <w:t xml:space="preserve">igration system. It forms part of a whole-of-government program and aligns with broader Government priorities, such as the Employment White Paper. The Strategy identifies eight key actions, with a policy roadmap that will be delivered across three phases: existing commitments, new commitments, and areas for future reform. </w:t>
            </w:r>
          </w:p>
          <w:p w14:paraId="771AF02B" w14:textId="77777777" w:rsidR="00215C8C" w:rsidRPr="00C4084C" w:rsidRDefault="00215C8C" w:rsidP="00CC72ED">
            <w:pPr>
              <w:pStyle w:val="Boxtext0"/>
            </w:pPr>
            <w:r w:rsidRPr="00C4084C">
              <w:t xml:space="preserve">One of these priority actions will be to strengthen the integrity of international education and recalibrate student and graduate visa settings to support both the education sector and Australia’s migration needs, and to create clearer pathways for students to transition to the workforce. </w:t>
            </w:r>
          </w:p>
          <w:p w14:paraId="139EFA46" w14:textId="4570A473" w:rsidR="00215C8C" w:rsidRPr="00C4084C" w:rsidRDefault="00215C8C" w:rsidP="00CC72ED">
            <w:pPr>
              <w:pStyle w:val="Boxtext0"/>
            </w:pPr>
            <w:r w:rsidRPr="00C4084C">
              <w:t>The Migration Strategy recognises that international students play an invaluable part in Australian communities, bringing new ideas and skills to enrich the fabric of our society. International students who stay in Australia to pursue work opportunities help alleviate national skills shortages and make an ongoing contribution to Australia’s communities and way of life. Maintaining the quality and integrity of the sector is critical for the safety and overall experience of international students, the economy and Australia’s international relationships. To support this mission, the Migration Strategy introduces several integrity measures to protect Australia’s international education sector. Among others, these include a new ‘Genuine Student’ requirement in an application process that provides greater clarity, bolstering the student visa integrity unit in Home Affairs, restricting onshore ‘visa hopping’, and raising English language requirements.</w:t>
            </w:r>
          </w:p>
        </w:tc>
      </w:tr>
    </w:tbl>
    <w:p w14:paraId="39B39147" w14:textId="77777777" w:rsidR="00BD5EA2" w:rsidRPr="00C4084C" w:rsidRDefault="00BD5EA2" w:rsidP="00BD5EA2">
      <w:pPr>
        <w:pStyle w:val="Heading5"/>
      </w:pPr>
      <w:r w:rsidRPr="00C4084C">
        <w:t xml:space="preserve">Student experience and English language proficiency </w:t>
      </w:r>
    </w:p>
    <w:p w14:paraId="7F480EE1" w14:textId="77777777" w:rsidR="00BD5EA2" w:rsidRPr="00C4084C" w:rsidRDefault="00BD5EA2" w:rsidP="00CC72ED">
      <w:r w:rsidRPr="00C4084C">
        <w:t>There are multiple factors that affect the student experience both within and beyond the classroom. Students’ ability to communicate effectively with one another is a significant factor. There is anecdotal evidence to suggest that even slight improvements in language skills for international students help them integrate more successfully into educational settings, seek help, and engage more effectively with international and domestic peers.</w:t>
      </w:r>
    </w:p>
    <w:p w14:paraId="0013D318" w14:textId="03BCCA6C" w:rsidR="00BD5EA2" w:rsidRPr="00C4084C" w:rsidRDefault="00BD5EA2" w:rsidP="00CC72ED">
      <w:r w:rsidRPr="00C4084C">
        <w:t xml:space="preserve">To help protect the experience and education of international students </w:t>
      </w:r>
      <w:r w:rsidR="001D3FA4">
        <w:t xml:space="preserve">so that they </w:t>
      </w:r>
      <w:r w:rsidR="001D3FA4" w:rsidRPr="00C4084C">
        <w:t>contribut</w:t>
      </w:r>
      <w:r w:rsidR="001D3FA4">
        <w:t>e</w:t>
      </w:r>
      <w:r w:rsidR="001D3FA4" w:rsidRPr="00C4084C">
        <w:t xml:space="preserve"> </w:t>
      </w:r>
      <w:r w:rsidRPr="00C4084C">
        <w:t xml:space="preserve">to Australia’s overall education environment, </w:t>
      </w:r>
      <w:r w:rsidR="00C01434" w:rsidRPr="00C4084C">
        <w:t xml:space="preserve">tertiary education </w:t>
      </w:r>
      <w:r w:rsidRPr="00C4084C">
        <w:t xml:space="preserve">providers need to deliver on the promise of a high-quality education experience that is expected </w:t>
      </w:r>
      <w:r w:rsidR="001D3FA4">
        <w:t>of</w:t>
      </w:r>
      <w:r w:rsidR="001D3FA4" w:rsidRPr="00C4084C">
        <w:t xml:space="preserve"> </w:t>
      </w:r>
      <w:r w:rsidRPr="00C4084C">
        <w:t xml:space="preserve">an Australian institution. </w:t>
      </w:r>
      <w:r w:rsidRPr="00C4084C">
        <w:lastRenderedPageBreak/>
        <w:t xml:space="preserve">Providers need to apply rigorous testing and admission benchmarks to ensure international students have the appropriate English language level to succeed in the classroom and </w:t>
      </w:r>
      <w:proofErr w:type="gramStart"/>
      <w:r w:rsidRPr="00C4084C">
        <w:t>beyond</w:t>
      </w:r>
      <w:r w:rsidR="00DD0923">
        <w:t>,</w:t>
      </w:r>
      <w:r w:rsidRPr="00C4084C">
        <w:t xml:space="preserve"> and</w:t>
      </w:r>
      <w:proofErr w:type="gramEnd"/>
      <w:r w:rsidRPr="00C4084C">
        <w:t xml:space="preserve"> provide tailored support where required. </w:t>
      </w:r>
      <w:r w:rsidR="00B2332B" w:rsidRPr="00C4084C">
        <w:t>As noted in the Government’s Migration Strategy, “English proficiency has a clear and direct relationship with strong education and labour market outcomes”</w:t>
      </w:r>
      <w:r w:rsidR="00DD0923">
        <w:t>.</w:t>
      </w:r>
      <w:r w:rsidR="00B2332B" w:rsidRPr="00C4084C">
        <w:rPr>
          <w:rStyle w:val="FootnoteReference"/>
        </w:rPr>
        <w:footnoteReference w:id="298"/>
      </w:r>
    </w:p>
    <w:p w14:paraId="7FB6AB29" w14:textId="7CAE36D8" w:rsidR="00E57399" w:rsidRPr="00C4084C" w:rsidRDefault="00E57399" w:rsidP="00CC72ED">
      <w:r w:rsidRPr="00CC72ED">
        <w:t>Under the Migration Strategy, the Government will increase English language requirements for Student and Temporary Graduate visas from early 2024.</w:t>
      </w:r>
      <w:r w:rsidRPr="00C4084C">
        <w:rPr>
          <w:rStyle w:val="FootnoteReference"/>
          <w:rFonts w:ascii="Calibri" w:eastAsia="Calibri" w:hAnsi="Calibri" w:cs="Arial"/>
        </w:rPr>
        <w:footnoteReference w:id="299"/>
      </w:r>
      <w:r w:rsidRPr="00CC72ED">
        <w:t xml:space="preserve"> Along with test scores required for Student and Temporary Graduate visas, language requirements for students undertaking an English Language Intensive Course for Overseas Students (ELICOS)</w:t>
      </w:r>
      <w:r w:rsidR="00DD0923" w:rsidRPr="00CC72ED">
        <w:t>,</w:t>
      </w:r>
      <w:r w:rsidRPr="00CC72ED">
        <w:t xml:space="preserve"> and students undertaking a university foundation or pathway program that deliver</w:t>
      </w:r>
      <w:r w:rsidR="00DD0923" w:rsidRPr="00CC72ED">
        <w:t>s</w:t>
      </w:r>
      <w:r w:rsidRPr="00CC72ED">
        <w:t xml:space="preserve"> reputable English language training, will also be raised.</w:t>
      </w:r>
      <w:r w:rsidRPr="00C4084C">
        <w:rPr>
          <w:rStyle w:val="FootnoteReference"/>
          <w:rFonts w:ascii="Calibri" w:eastAsia="Calibri" w:hAnsi="Calibri" w:cs="Arial"/>
        </w:rPr>
        <w:footnoteReference w:id="300"/>
      </w:r>
      <w:r w:rsidRPr="00CC72ED">
        <w:t xml:space="preserve"> </w:t>
      </w:r>
    </w:p>
    <w:p w14:paraId="497008C4" w14:textId="26A729AA" w:rsidR="00E57399" w:rsidRPr="00C4084C" w:rsidRDefault="00E57399" w:rsidP="00CC72ED">
      <w:pPr>
        <w:rPr>
          <w:rFonts w:ascii="Calibri" w:eastAsia="Calibri" w:hAnsi="Calibri" w:cs="Arial"/>
        </w:rPr>
      </w:pPr>
      <w:r w:rsidRPr="00C4084C">
        <w:rPr>
          <w:rFonts w:ascii="Calibri" w:eastAsia="Calibri" w:hAnsi="Calibri" w:cs="Arial"/>
        </w:rPr>
        <w:t>These measures will support a range of better outcomes for international students and the international education sector more generally, driving an improved educational experience, increasing the outcomes of international students in the labour market, strengthening the integrity and reputation of the international education sector, and reducing the workplace exploitation of international students.</w:t>
      </w:r>
      <w:r w:rsidRPr="00C4084C">
        <w:rPr>
          <w:rStyle w:val="FootnoteReference"/>
          <w:rFonts w:ascii="Calibri" w:eastAsia="Calibri" w:hAnsi="Calibri" w:cs="Arial"/>
        </w:rPr>
        <w:footnoteReference w:id="301"/>
      </w:r>
    </w:p>
    <w:p w14:paraId="780D5473" w14:textId="77777777" w:rsidR="00BD5EA2" w:rsidRPr="00C4084C" w:rsidRDefault="00BD5EA2" w:rsidP="00BD5EA2">
      <w:pPr>
        <w:pStyle w:val="Heading6"/>
      </w:pPr>
      <w:r w:rsidRPr="00C4084C">
        <w:t xml:space="preserve">Regional universities using metropolitan-based campuses to attract international </w:t>
      </w:r>
      <w:proofErr w:type="gramStart"/>
      <w:r w:rsidRPr="00C4084C">
        <w:t>students</w:t>
      </w:r>
      <w:proofErr w:type="gramEnd"/>
    </w:p>
    <w:p w14:paraId="326DBDD4" w14:textId="195F337C" w:rsidR="00BD5EA2" w:rsidRPr="00C4084C" w:rsidRDefault="00BD5EA2" w:rsidP="00CC72ED">
      <w:r w:rsidRPr="00C4084C">
        <w:rPr>
          <w:rFonts w:ascii="Calibri" w:eastAsia="Calibri" w:hAnsi="Calibri" w:cs="Arial"/>
        </w:rPr>
        <w:t xml:space="preserve">The Review has </w:t>
      </w:r>
      <w:r w:rsidR="00DD0923">
        <w:rPr>
          <w:rFonts w:ascii="Calibri" w:eastAsia="Calibri" w:hAnsi="Calibri" w:cs="Arial"/>
        </w:rPr>
        <w:t>noted</w:t>
      </w:r>
      <w:r w:rsidR="00DD0923" w:rsidRPr="00C4084C">
        <w:rPr>
          <w:rFonts w:ascii="Calibri" w:eastAsia="Calibri" w:hAnsi="Calibri" w:cs="Arial"/>
        </w:rPr>
        <w:t xml:space="preserve"> </w:t>
      </w:r>
      <w:r w:rsidRPr="00C4084C">
        <w:rPr>
          <w:rFonts w:ascii="Calibri" w:eastAsia="Calibri" w:hAnsi="Calibri" w:cs="Arial"/>
        </w:rPr>
        <w:t xml:space="preserve">concerns </w:t>
      </w:r>
      <w:r w:rsidR="00DD0923">
        <w:rPr>
          <w:rFonts w:ascii="Calibri" w:eastAsia="Calibri" w:hAnsi="Calibri" w:cs="Arial"/>
        </w:rPr>
        <w:t>about</w:t>
      </w:r>
      <w:r w:rsidRPr="00C4084C">
        <w:rPr>
          <w:rFonts w:ascii="Calibri" w:eastAsia="Calibri" w:hAnsi="Calibri" w:cs="Arial"/>
        </w:rPr>
        <w:t xml:space="preserve"> </w:t>
      </w:r>
      <w:r w:rsidRPr="00C4084C">
        <w:t xml:space="preserve">regional universities using metropolitan-based campuses to attract international students. In its Interim Paper, </w:t>
      </w:r>
      <w:r w:rsidR="00CB27A3">
        <w:t xml:space="preserve">the </w:t>
      </w:r>
      <w:r w:rsidR="00CB27A3" w:rsidRPr="004B6912">
        <w:rPr>
          <w:rFonts w:eastAsia="Calibri" w:cstheme="minorHAnsi"/>
        </w:rPr>
        <w:t xml:space="preserve">Joint Standing Committee on Foreign Affairs, Defence and Trade, </w:t>
      </w:r>
      <w:r w:rsidR="00CB27A3" w:rsidRPr="00B856BF">
        <w:t>Quality and Integrity</w:t>
      </w:r>
      <w:r w:rsidR="00CB27A3" w:rsidRPr="00C4084C">
        <w:t xml:space="preserve"> </w:t>
      </w:r>
      <w:r w:rsidR="00CB27A3">
        <w:t>conducting the</w:t>
      </w:r>
      <w:r w:rsidR="00CB27A3" w:rsidRPr="00C4084C">
        <w:t xml:space="preserve"> </w:t>
      </w:r>
      <w:r w:rsidRPr="00C4084C">
        <w:t xml:space="preserve">Inquiry into the Post COVID-19 Recovery of Australia’s Tourism and International Education sectors recommended that the Accord process consider the desirability of the widespread practice in the university sector whereby universities establish Central Business District (CBD) campuses largely comprising international students and sub-contract the teaching to private institutions. The Committee noted that adjustments to funding formulas may be warranted to ensure </w:t>
      </w:r>
      <w:r w:rsidR="00DD0923">
        <w:t xml:space="preserve">that </w:t>
      </w:r>
      <w:r w:rsidRPr="00C4084C">
        <w:t>genuine regional universities are adequately funded and not forced to chase revenue in this manner.</w:t>
      </w:r>
      <w:r w:rsidRPr="00C4084C">
        <w:rPr>
          <w:rStyle w:val="FootnoteReference"/>
          <w:rFonts w:eastAsia="Calibri"/>
        </w:rPr>
        <w:footnoteReference w:id="302"/>
      </w:r>
      <w:r w:rsidRPr="00C4084C">
        <w:t xml:space="preserve"> Placing restrictions on such campuses without a parallel increase in funding would further disadvantage regional universities. </w:t>
      </w:r>
    </w:p>
    <w:p w14:paraId="37182DA1" w14:textId="77777777" w:rsidR="00BD5EA2" w:rsidRPr="00C4084C" w:rsidRDefault="00BD5EA2" w:rsidP="00CC72ED">
      <w:r w:rsidRPr="00C4084C">
        <w:t xml:space="preserve">The Committee also noted that regional communities offer exceptional student experience and employment opportunities. </w:t>
      </w:r>
    </w:p>
    <w:p w14:paraId="359B5B7F" w14:textId="7446E759" w:rsidR="00BD5EA2" w:rsidRPr="00C4084C" w:rsidRDefault="00BD5EA2" w:rsidP="00CC72ED">
      <w:r w:rsidRPr="00C4084C">
        <w:t>Regional Australian higher education providers often excel in specialist field of study rankings, for example James Cook University in marine sciences. However, despite efforts by successive governments</w:t>
      </w:r>
      <w:r w:rsidR="00DD0923">
        <w:t>,</w:t>
      </w:r>
      <w:r w:rsidRPr="00C4084C">
        <w:t xml:space="preserve"> it has proven very difficult to attract students to study in regional areas in significant </w:t>
      </w:r>
      <w:r w:rsidR="00CB27A3">
        <w:t>numbers</w:t>
      </w:r>
      <w:r w:rsidRPr="00C4084C">
        <w:t xml:space="preserve">. More could be done to promote regional Australian university rankings at a field of study level, </w:t>
      </w:r>
      <w:r w:rsidR="00857EFC" w:rsidRPr="00C4084C">
        <w:t xml:space="preserve">rather than institutional level. State and </w:t>
      </w:r>
      <w:r w:rsidR="00213EC4" w:rsidRPr="00C4084C">
        <w:t>t</w:t>
      </w:r>
      <w:r w:rsidR="00857EFC" w:rsidRPr="00C4084C">
        <w:t>erritory government</w:t>
      </w:r>
      <w:r w:rsidR="00804B63" w:rsidRPr="00C4084C">
        <w:t xml:space="preserve"> and</w:t>
      </w:r>
      <w:r w:rsidR="00857EFC" w:rsidRPr="00C4084C">
        <w:t xml:space="preserve"> individual university efforts to promote regional study are important. Under the Migration Strategy, the Government will retain the ability for students who studied in a regional area to apply for an extension of their Temporary Graduate visa for a period of one to </w:t>
      </w:r>
      <w:r w:rsidR="00804B63" w:rsidRPr="00C4084C">
        <w:t>2 </w:t>
      </w:r>
      <w:r w:rsidR="00857EFC" w:rsidRPr="00C4084C">
        <w:t>years.</w:t>
      </w:r>
      <w:r w:rsidR="00857EFC" w:rsidRPr="00C4084C">
        <w:rPr>
          <w:rStyle w:val="FootnoteReference"/>
        </w:rPr>
        <w:footnoteReference w:id="303"/>
      </w:r>
    </w:p>
    <w:p w14:paraId="2411E118" w14:textId="4D10D99D" w:rsidR="00BD5EA2" w:rsidRPr="00C4084C" w:rsidRDefault="00BD5EA2" w:rsidP="00BD5EA2">
      <w:pPr>
        <w:pStyle w:val="Heading6"/>
      </w:pPr>
      <w:r w:rsidRPr="00C4084C">
        <w:lastRenderedPageBreak/>
        <w:t xml:space="preserve">Student </w:t>
      </w:r>
      <w:r w:rsidR="00804B63" w:rsidRPr="00C4084C">
        <w:t>housing</w:t>
      </w:r>
    </w:p>
    <w:p w14:paraId="5CF513E8" w14:textId="3FDB98D0" w:rsidR="00BD5EA2" w:rsidRPr="00C4084C" w:rsidRDefault="00BD5EA2" w:rsidP="00CC72ED">
      <w:r w:rsidRPr="00C4084C">
        <w:t>The Review has heard that international student</w:t>
      </w:r>
      <w:r w:rsidR="00DD0923">
        <w:t>s</w:t>
      </w:r>
      <w:r w:rsidRPr="00C4084C">
        <w:t xml:space="preserve"> are </w:t>
      </w:r>
      <w:r w:rsidRPr="00C4084C">
        <w:rPr>
          <w:lang w:eastAsia="en-AU"/>
        </w:rPr>
        <w:t xml:space="preserve">one of </w:t>
      </w:r>
      <w:r w:rsidR="00DD0923">
        <w:rPr>
          <w:lang w:eastAsia="en-AU"/>
        </w:rPr>
        <w:t>the</w:t>
      </w:r>
      <w:r w:rsidRPr="00C4084C">
        <w:rPr>
          <w:lang w:eastAsia="en-AU"/>
        </w:rPr>
        <w:t xml:space="preserve"> factors </w:t>
      </w:r>
      <w:r w:rsidRPr="00C4084C">
        <w:t xml:space="preserve">contributing to pressures on housing availability and cost, and broader infrastructure. The Australian Government needs a planned and managed approach to </w:t>
      </w:r>
      <w:r w:rsidR="0025042A">
        <w:t>determining</w:t>
      </w:r>
      <w:r w:rsidR="0025042A" w:rsidRPr="00C4084C">
        <w:t xml:space="preserve"> </w:t>
      </w:r>
      <w:r w:rsidRPr="00C4084C">
        <w:t xml:space="preserve">the optimal size and composition of the </w:t>
      </w:r>
      <w:r w:rsidR="00C01434" w:rsidRPr="00C4084C">
        <w:t xml:space="preserve">higher education </w:t>
      </w:r>
      <w:r w:rsidRPr="00C4084C">
        <w:t xml:space="preserve">sector. This managed approach should </w:t>
      </w:r>
      <w:r w:rsidR="0025042A">
        <w:t>assess</w:t>
      </w:r>
      <w:r w:rsidR="0025042A" w:rsidRPr="00C4084C">
        <w:t xml:space="preserve"> </w:t>
      </w:r>
      <w:r w:rsidRPr="00C4084C">
        <w:t>these pressures against the broader benefits that international students bring to the economy, labour market and Australia’s influence in the region and globally.</w:t>
      </w:r>
    </w:p>
    <w:p w14:paraId="4109A258" w14:textId="15A7CF26" w:rsidR="00BD5EA2" w:rsidRPr="00C4084C" w:rsidRDefault="00BD5EA2" w:rsidP="00CC72ED">
      <w:r w:rsidRPr="00C4084C">
        <w:t xml:space="preserve">The international student </w:t>
      </w:r>
      <w:r w:rsidR="0025042A">
        <w:t>recovery</w:t>
      </w:r>
      <w:r w:rsidR="0025042A" w:rsidRPr="00C4084C">
        <w:t xml:space="preserve"> </w:t>
      </w:r>
      <w:r w:rsidR="0025042A">
        <w:t>has coincided with</w:t>
      </w:r>
      <w:r w:rsidRPr="00C4084C">
        <w:t xml:space="preserve"> increasing housing pressures across Australia, with limited supply, high prices and low vacancy rates. These issues have created challenges for students seeking housing in a wide variety of contexts – including inner city locations, metropolitan universities, large regional centres, and smaller regional towns. </w:t>
      </w:r>
      <w:r w:rsidR="00993481" w:rsidRPr="00C4084C">
        <w:t xml:space="preserve">These effects are most pronounced for </w:t>
      </w:r>
      <w:r w:rsidR="00D7545F" w:rsidRPr="00C4084C">
        <w:rPr>
          <w:rFonts w:ascii="Calibri" w:eastAsia="Calibri" w:hAnsi="Calibri" w:cs="Arial"/>
        </w:rPr>
        <w:t>under-represented</w:t>
      </w:r>
      <w:r w:rsidR="00993481" w:rsidRPr="00C4084C">
        <w:rPr>
          <w:rFonts w:ascii="Calibri" w:eastAsia="Calibri" w:hAnsi="Calibri" w:cs="Arial"/>
        </w:rPr>
        <w:t xml:space="preserve"> </w:t>
      </w:r>
      <w:r w:rsidR="00993481" w:rsidRPr="00C4084C">
        <w:t xml:space="preserve">cohorts, for whom additional housing stress may be an important factor </w:t>
      </w:r>
      <w:r w:rsidR="00740FB3" w:rsidRPr="00C4084C">
        <w:t>disincentivising</w:t>
      </w:r>
      <w:r w:rsidR="00993481" w:rsidRPr="00C4084C">
        <w:t xml:space="preserve"> enrolment, preventing access to the transformational opportunity of higher education.</w:t>
      </w:r>
    </w:p>
    <w:p w14:paraId="59FC4692" w14:textId="1606F3E3" w:rsidR="00BD5EA2" w:rsidRPr="00C4084C" w:rsidRDefault="00BD5EA2" w:rsidP="00CC72ED">
      <w:r w:rsidRPr="00C4084C">
        <w:t xml:space="preserve">Purpose-built student accommodation (PBSA) plays a key role in providing dedicated housing for domestic and international students, reducing pressure on the private rental market. PBSA currently provides over 76,500 beds to students across Australia in over 200 buildings, with 8,000 new PBSA rooms expected to be delivered across Australia </w:t>
      </w:r>
      <w:r w:rsidR="0025042A">
        <w:t>between</w:t>
      </w:r>
      <w:r w:rsidR="0025042A" w:rsidRPr="00C4084C">
        <w:t xml:space="preserve"> </w:t>
      </w:r>
      <w:r w:rsidRPr="00C4084C">
        <w:t xml:space="preserve">2023 </w:t>
      </w:r>
      <w:r w:rsidR="0025042A">
        <w:t>and</w:t>
      </w:r>
      <w:r w:rsidR="0025042A" w:rsidRPr="00C4084C">
        <w:t xml:space="preserve"> </w:t>
      </w:r>
      <w:r w:rsidRPr="00C4084C">
        <w:t>2026.</w:t>
      </w:r>
      <w:r w:rsidRPr="00C4084C">
        <w:rPr>
          <w:rStyle w:val="FootnoteReference"/>
        </w:rPr>
        <w:footnoteReference w:id="304"/>
      </w:r>
      <w:r w:rsidRPr="00C4084C">
        <w:t xml:space="preserve"> The PBSA market is dominated by for-profit student housing providers, </w:t>
      </w:r>
      <w:r w:rsidR="0025042A">
        <w:t>resulting in</w:t>
      </w:r>
      <w:r w:rsidR="0025042A" w:rsidRPr="00C4084C">
        <w:t xml:space="preserve"> </w:t>
      </w:r>
      <w:r w:rsidRPr="00C4084C">
        <w:t xml:space="preserve">high-cost housing which prices-out many students, particularly those from </w:t>
      </w:r>
      <w:r w:rsidR="00D7545F" w:rsidRPr="00C4084C">
        <w:t>under-represented</w:t>
      </w:r>
      <w:r w:rsidRPr="00C4084C">
        <w:t xml:space="preserve"> groups. Some PBSA is owned by universities themselves, though in many cases this housing is also high-cost and managed for profit. PBSA is complemented by a pool of university owned or affiliated colleges, primarily servicing domestic students. </w:t>
      </w:r>
    </w:p>
    <w:p w14:paraId="79538D72" w14:textId="20D910FC" w:rsidR="00687EE9" w:rsidRPr="00C4084C" w:rsidRDefault="004F61D1" w:rsidP="00CC72ED">
      <w:r w:rsidRPr="00C4084C">
        <w:t xml:space="preserve">International students may also choose to live in homestay accommodation, with the hosted accommodation sector providing vital support in regions where other accommodation types are unavailable or limited. The Inquiry into Australia’s tourism and international education sectors has recommended that the Government encourage </w:t>
      </w:r>
      <w:r w:rsidR="0025042A">
        <w:t>s</w:t>
      </w:r>
      <w:r w:rsidR="0025042A" w:rsidRPr="00C4084C">
        <w:t xml:space="preserve">tates </w:t>
      </w:r>
      <w:r w:rsidRPr="00C4084C">
        <w:t xml:space="preserve">and </w:t>
      </w:r>
      <w:r w:rsidR="0025042A">
        <w:t>t</w:t>
      </w:r>
      <w:r w:rsidR="0025042A" w:rsidRPr="00C4084C">
        <w:t xml:space="preserve">erritories </w:t>
      </w:r>
      <w:r w:rsidRPr="00C4084C">
        <w:t xml:space="preserve">to develop homestay in their respective jurisdictions to help alleviate pressing student accommodation issues and deepen connections between international students and Australian society. Following best practice models such as the ‘Host for </w:t>
      </w:r>
      <w:r w:rsidR="009C6132" w:rsidRPr="00C4084C">
        <w:t xml:space="preserve">the </w:t>
      </w:r>
      <w:r w:rsidRPr="00C4084C">
        <w:t>Coast’ program</w:t>
      </w:r>
      <w:r w:rsidR="0025042A">
        <w:t>,</w:t>
      </w:r>
      <w:r w:rsidR="00C27C3D" w:rsidRPr="00C4084C">
        <w:rPr>
          <w:rStyle w:val="FootnoteReference"/>
        </w:rPr>
        <w:footnoteReference w:id="305"/>
      </w:r>
      <w:r w:rsidRPr="00C4084C">
        <w:t xml:space="preserve"> consulting with relevant stakeholders, </w:t>
      </w:r>
      <w:r w:rsidR="0025042A">
        <w:t>and</w:t>
      </w:r>
      <w:r w:rsidRPr="00C4084C">
        <w:t xml:space="preserve"> strengthening risk management measures will allow homestay to offer meaningful and culturally connected accommodation options for international students in regional and urban settings. Such arrangements would benefit </w:t>
      </w:r>
      <w:proofErr w:type="gramStart"/>
      <w:r w:rsidRPr="00C4084C">
        <w:t>on-shore</w:t>
      </w:r>
      <w:proofErr w:type="gramEnd"/>
      <w:r w:rsidRPr="00C4084C">
        <w:t xml:space="preserve"> international students with their studies as well as during placement rounds.</w:t>
      </w:r>
      <w:r w:rsidRPr="00C4084C">
        <w:rPr>
          <w:rStyle w:val="FootnoteReference"/>
        </w:rPr>
        <w:footnoteReference w:id="306"/>
      </w:r>
      <w:r w:rsidRPr="00C4084C">
        <w:t xml:space="preserve"> </w:t>
      </w:r>
    </w:p>
    <w:p w14:paraId="662DF388" w14:textId="18584A7C" w:rsidR="00BD5EA2" w:rsidRPr="00C4084C" w:rsidRDefault="00BD5EA2" w:rsidP="003E5969">
      <w:pPr>
        <w:rPr>
          <w:lang w:eastAsia="en-AU"/>
        </w:rPr>
      </w:pPr>
      <w:r w:rsidRPr="00C4084C">
        <w:t xml:space="preserve">The Review is recommending that providers have appropriate risk management strategies for international education that include consideration of access </w:t>
      </w:r>
      <w:r w:rsidR="0025042A">
        <w:t xml:space="preserve">to </w:t>
      </w:r>
      <w:r w:rsidRPr="00C4084C">
        <w:t>and availability of affordable student housing</w:t>
      </w:r>
      <w:r w:rsidR="00C03F69" w:rsidRPr="00C4084C">
        <w:t xml:space="preserve"> (see Recommendation</w:t>
      </w:r>
      <w:r w:rsidR="00646D27" w:rsidRPr="00C4084C">
        <w:t xml:space="preserve"> 23</w:t>
      </w:r>
      <w:r w:rsidR="00C03F69" w:rsidRPr="00C4084C">
        <w:t>)</w:t>
      </w:r>
      <w:r w:rsidRPr="00C4084C">
        <w:t xml:space="preserve">. </w:t>
      </w:r>
    </w:p>
    <w:tbl>
      <w:tblPr>
        <w:tblW w:w="0" w:type="auto"/>
        <w:shd w:val="clear" w:color="auto" w:fill="FBE4D5"/>
        <w:tblLook w:val="04A0" w:firstRow="1" w:lastRow="0" w:firstColumn="1" w:lastColumn="0" w:noHBand="0" w:noVBand="1"/>
      </w:tblPr>
      <w:tblGrid>
        <w:gridCol w:w="9026"/>
      </w:tblGrid>
      <w:tr w:rsidR="00316E4E" w:rsidRPr="00C4084C" w14:paraId="5E15E607" w14:textId="77777777" w:rsidTr="00D26B82">
        <w:tc>
          <w:tcPr>
            <w:tcW w:w="9026" w:type="dxa"/>
            <w:shd w:val="clear" w:color="auto" w:fill="FEECDF"/>
          </w:tcPr>
          <w:p w14:paraId="72BC541B" w14:textId="7564AD3C" w:rsidR="00295667" w:rsidRDefault="00295667" w:rsidP="003E5969">
            <w:pPr>
              <w:pStyle w:val="Recheadinginbox"/>
              <w:rPr>
                <w:rStyle w:val="normaltextrun"/>
              </w:rPr>
            </w:pPr>
            <w:r w:rsidRPr="00C4084C">
              <w:lastRenderedPageBreak/>
              <w:t>Recommendation</w:t>
            </w:r>
            <w:r>
              <w:t xml:space="preserve">: </w:t>
            </w:r>
            <w:r w:rsidRPr="00C4084C">
              <w:t xml:space="preserve">International </w:t>
            </w:r>
            <w:r w:rsidR="00010707">
              <w:t>e</w:t>
            </w:r>
            <w:r w:rsidRPr="00C4084C">
              <w:t>ducation</w:t>
            </w:r>
          </w:p>
          <w:p w14:paraId="1C401BCE" w14:textId="18864972" w:rsidR="00316E4E" w:rsidRPr="00C4084C" w:rsidRDefault="00316E4E" w:rsidP="003E5969">
            <w:pPr>
              <w:pStyle w:val="Recsin-chapterL1"/>
              <w:framePr w:wrap="notBeside"/>
              <w:spacing w:before="0" w:after="0"/>
              <w:rPr>
                <w:rStyle w:val="normaltextrun"/>
              </w:rPr>
            </w:pPr>
            <w:r w:rsidRPr="00C4084C">
              <w:rPr>
                <w:rStyle w:val="normaltextrun"/>
              </w:rPr>
              <w:t xml:space="preserve">That to plan for a strong future for the international education system and recognise the </w:t>
            </w:r>
            <w:r w:rsidRPr="00C4084C">
              <w:t>contribution</w:t>
            </w:r>
            <w:r w:rsidRPr="00C4084C">
              <w:rPr>
                <w:rStyle w:val="normaltextrun"/>
              </w:rPr>
              <w:t xml:space="preserve"> international students make to Australia, the Australian </w:t>
            </w:r>
            <w:proofErr w:type="gramStart"/>
            <w:r w:rsidRPr="00C4084C">
              <w:rPr>
                <w:rStyle w:val="normaltextrun"/>
              </w:rPr>
              <w:t>Government</w:t>
            </w:r>
            <w:proofErr w:type="gramEnd"/>
            <w:r w:rsidRPr="00C4084C">
              <w:rPr>
                <w:rStyle w:val="normaltextrun"/>
              </w:rPr>
              <w:t xml:space="preserve"> and the Australian Tertiary Education Commission:</w:t>
            </w:r>
          </w:p>
          <w:p w14:paraId="62777876" w14:textId="77777777" w:rsidR="00316E4E" w:rsidRPr="00C4084C" w:rsidRDefault="00316E4E" w:rsidP="003E5969">
            <w:pPr>
              <w:pStyle w:val="Recsin-chapterL2"/>
              <w:spacing w:before="0" w:beforeAutospacing="0"/>
              <w:rPr>
                <w:rStyle w:val="normaltextrun"/>
              </w:rPr>
            </w:pPr>
            <w:r w:rsidRPr="00C4084C">
              <w:rPr>
                <w:rStyle w:val="normaltextrun"/>
              </w:rPr>
              <w:t xml:space="preserve">work with tertiary education providers to ensure greater alignment and coordination between the courses and programs that are marketed to international students and the national skills agenda and relevant migration </w:t>
            </w:r>
            <w:proofErr w:type="gramStart"/>
            <w:r w:rsidRPr="00C4084C">
              <w:rPr>
                <w:rStyle w:val="normaltextrun"/>
              </w:rPr>
              <w:t>initiatives</w:t>
            </w:r>
            <w:proofErr w:type="gramEnd"/>
          </w:p>
          <w:p w14:paraId="1C5543C6" w14:textId="77777777" w:rsidR="00316E4E" w:rsidRPr="00C4084C" w:rsidRDefault="00316E4E" w:rsidP="003E5969">
            <w:pPr>
              <w:pStyle w:val="Recsin-chapterL2"/>
              <w:rPr>
                <w:rStyle w:val="normaltextrun"/>
              </w:rPr>
            </w:pPr>
            <w:r w:rsidRPr="00C4084C">
              <w:rPr>
                <w:rStyle w:val="normaltextrun"/>
              </w:rPr>
              <w:t xml:space="preserve">work across government and tertiary education providers to support the growth of international education in regional and remote areas, encouraging providers to communicate the benefits of studying and living in regional and remote </w:t>
            </w:r>
            <w:proofErr w:type="gramStart"/>
            <w:r w:rsidRPr="00C4084C">
              <w:rPr>
                <w:rStyle w:val="normaltextrun"/>
              </w:rPr>
              <w:t>Australia</w:t>
            </w:r>
            <w:proofErr w:type="gramEnd"/>
          </w:p>
          <w:p w14:paraId="0E15D4E8" w14:textId="77777777" w:rsidR="00316E4E" w:rsidRPr="00C4084C" w:rsidRDefault="00316E4E" w:rsidP="003E5969">
            <w:pPr>
              <w:pStyle w:val="Recsin-chapterL2"/>
              <w:rPr>
                <w:rStyle w:val="normaltextrun"/>
              </w:rPr>
            </w:pPr>
            <w:r w:rsidRPr="00C4084C">
              <w:rPr>
                <w:rStyle w:val="normaltextrun"/>
              </w:rPr>
              <w:t xml:space="preserve">work with tertiary education providers to explore opportunities and review visa requirements to support diversification of international student markets within a national strategic framework, including through using innovative transnational education delivery modes. This engagement should particularly focus on medium term opportunities in South Asia, consistent with </w:t>
            </w:r>
            <w:r w:rsidRPr="00115FD4">
              <w:rPr>
                <w:rStyle w:val="normaltextrun"/>
                <w:i/>
                <w:iCs/>
              </w:rPr>
              <w:t>Australia’s Education Strategy for India</w:t>
            </w:r>
            <w:r w:rsidRPr="00C4084C">
              <w:rPr>
                <w:rStyle w:val="normaltextrun"/>
              </w:rPr>
              <w:t xml:space="preserve">, and Southeast Asia, consistent with the </w:t>
            </w:r>
            <w:r w:rsidRPr="00115FD4">
              <w:rPr>
                <w:rStyle w:val="normaltextrun"/>
                <w:i/>
                <w:iCs/>
              </w:rPr>
              <w:t>Southeast Asia Economic Strategy to 2040</w:t>
            </w:r>
          </w:p>
          <w:p w14:paraId="769570D1" w14:textId="77777777" w:rsidR="00316E4E" w:rsidRPr="00C4084C" w:rsidDel="00882244" w:rsidRDefault="00316E4E" w:rsidP="003E5969">
            <w:pPr>
              <w:pStyle w:val="Recsin-chapterL2"/>
            </w:pPr>
            <w:r w:rsidRPr="00C4084C">
              <w:rPr>
                <w:rStyle w:val="normaltextrun"/>
              </w:rPr>
              <w:t xml:space="preserve">support tertiary education providers, in partnership with relevant government agencies, to enhance Australian alumni engagement in students’ countries/regions of origin. These alumni networks should aim to foster enduring connections to Australia which strengthen Australia’s international research networks and partnerships. </w:t>
            </w:r>
          </w:p>
        </w:tc>
      </w:tr>
    </w:tbl>
    <w:p w14:paraId="198EEFAC" w14:textId="7E2A1844" w:rsidR="00646D27" w:rsidRPr="00C4084C" w:rsidRDefault="00646D27" w:rsidP="00115FD4">
      <w:pPr>
        <w:spacing w:after="0"/>
        <w:rPr>
          <w:lang w:eastAsia="en-AU"/>
        </w:rPr>
      </w:pPr>
    </w:p>
    <w:tbl>
      <w:tblPr>
        <w:tblW w:w="0" w:type="auto"/>
        <w:shd w:val="clear" w:color="auto" w:fill="FBE4D5"/>
        <w:tblLook w:val="04A0" w:firstRow="1" w:lastRow="0" w:firstColumn="1" w:lastColumn="0" w:noHBand="0" w:noVBand="1"/>
      </w:tblPr>
      <w:tblGrid>
        <w:gridCol w:w="9026"/>
      </w:tblGrid>
      <w:tr w:rsidR="00E866DE" w:rsidRPr="00C4084C" w14:paraId="2F239165" w14:textId="77777777" w:rsidTr="00D26B82">
        <w:tc>
          <w:tcPr>
            <w:tcW w:w="9026" w:type="dxa"/>
            <w:shd w:val="clear" w:color="auto" w:fill="FEECDF"/>
          </w:tcPr>
          <w:p w14:paraId="2ADBA3B4" w14:textId="7CAA09BC" w:rsidR="000F1177" w:rsidRPr="000F1177" w:rsidRDefault="000F1177" w:rsidP="003E5969">
            <w:pPr>
              <w:pStyle w:val="Recheadinginbox"/>
              <w:rPr>
                <w:rStyle w:val="normaltextrun"/>
              </w:rPr>
            </w:pPr>
            <w:r w:rsidRPr="000F1177">
              <w:t>Recommendation: International education</w:t>
            </w:r>
          </w:p>
          <w:p w14:paraId="51BE6C21" w14:textId="7F5CEC21" w:rsidR="00E866DE" w:rsidRPr="00C4084C" w:rsidRDefault="00E866DE" w:rsidP="003E5969">
            <w:pPr>
              <w:pStyle w:val="Recsin-chapterL1"/>
              <w:framePr w:wrap="notBeside"/>
              <w:spacing w:before="0" w:after="0"/>
              <w:rPr>
                <w:rStyle w:val="normaltextrun"/>
              </w:rPr>
            </w:pPr>
            <w:r w:rsidRPr="00C4084C">
              <w:rPr>
                <w:rStyle w:val="normaltextrun"/>
              </w:rPr>
              <w:t xml:space="preserve">That to address issues with the integrity and quality of teaching and facilities in international </w:t>
            </w:r>
            <w:r w:rsidRPr="00C4084C">
              <w:t>tertiary</w:t>
            </w:r>
            <w:r w:rsidRPr="00C4084C">
              <w:rPr>
                <w:rStyle w:val="normaltextrun"/>
              </w:rPr>
              <w:t xml:space="preserve"> education and ensure that international education providers maintain their social licence to operate, the Australian Government and the Australian Tertiary Education Commission:</w:t>
            </w:r>
          </w:p>
          <w:p w14:paraId="11471F95" w14:textId="77777777" w:rsidR="00E866DE" w:rsidRPr="00C4084C" w:rsidRDefault="00E866DE" w:rsidP="003E5969">
            <w:pPr>
              <w:pStyle w:val="Recsin-chapterL2"/>
              <w:spacing w:before="0" w:beforeAutospacing="0"/>
              <w:rPr>
                <w:rStyle w:val="normaltextrun"/>
              </w:rPr>
            </w:pPr>
            <w:r w:rsidRPr="00C4084C">
              <w:rPr>
                <w:rStyle w:val="normaltextrun"/>
              </w:rPr>
              <w:t xml:space="preserve">work across government and with tertiary education providers to ensure trust and integrity within the Australian visa system is maintained, in line with agreed recommendations from the Nixon Review and the Migration Strategy to protect international students from recruitment agents and providers that do not meet the high national standards expected by the </w:t>
            </w:r>
            <w:proofErr w:type="gramStart"/>
            <w:r w:rsidRPr="00C4084C">
              <w:rPr>
                <w:rStyle w:val="normaltextrun"/>
              </w:rPr>
              <w:t>industry</w:t>
            </w:r>
            <w:proofErr w:type="gramEnd"/>
          </w:p>
          <w:p w14:paraId="709358B0" w14:textId="77777777" w:rsidR="00E866DE" w:rsidRPr="00C4084C" w:rsidRDefault="00E866DE" w:rsidP="003E5969">
            <w:pPr>
              <w:pStyle w:val="Recsin-chapterL2"/>
              <w:rPr>
                <w:rStyle w:val="normaltextrun"/>
              </w:rPr>
            </w:pPr>
            <w:r w:rsidRPr="00C4084C">
              <w:t>through TEQSA’s existing or expanded regulatory functions and negotiation of mission-based-compacts</w:t>
            </w:r>
            <w:r w:rsidRPr="00C4084C">
              <w:rPr>
                <w:rStyle w:val="normaltextrun"/>
              </w:rPr>
              <w:t xml:space="preserve">, ensure that providers have appropriate risk management strategies for international education consistent with the </w:t>
            </w:r>
            <w:r w:rsidRPr="003E5969">
              <w:rPr>
                <w:rStyle w:val="normaltextrun"/>
                <w:i/>
                <w:iCs/>
              </w:rPr>
              <w:t>Education Services for Overseas Students (ESOS) Act</w:t>
            </w:r>
            <w:r w:rsidRPr="00C4084C">
              <w:rPr>
                <w:rStyle w:val="normaltextrun"/>
              </w:rPr>
              <w:t xml:space="preserve">, other legislative </w:t>
            </w:r>
            <w:proofErr w:type="gramStart"/>
            <w:r w:rsidRPr="00C4084C">
              <w:rPr>
                <w:rStyle w:val="normaltextrun"/>
              </w:rPr>
              <w:t>obligations</w:t>
            </w:r>
            <w:proofErr w:type="gramEnd"/>
            <w:r w:rsidRPr="00C4084C">
              <w:rPr>
                <w:rStyle w:val="normaltextrun"/>
              </w:rPr>
              <w:t xml:space="preserve"> and the higher education standards, taking an evidence-based approach to issues including:</w:t>
            </w:r>
          </w:p>
          <w:p w14:paraId="5FBE55AA" w14:textId="77777777" w:rsidR="00E866DE" w:rsidRPr="00C4084C" w:rsidRDefault="00E866DE" w:rsidP="003E5969">
            <w:pPr>
              <w:pStyle w:val="Recsin-chapterL3"/>
            </w:pPr>
            <w:r w:rsidRPr="00C4084C">
              <w:t>managing demand volatility</w:t>
            </w:r>
          </w:p>
          <w:p w14:paraId="23E9532B" w14:textId="5F263039" w:rsidR="00E866DE" w:rsidRPr="00C4084C" w:rsidRDefault="00E866DE" w:rsidP="003E5969">
            <w:pPr>
              <w:pStyle w:val="Recsin-chapterL3"/>
            </w:pPr>
            <w:r w:rsidRPr="00C4084C">
              <w:t>course concentrations and the quality of the student experience</w:t>
            </w:r>
          </w:p>
          <w:p w14:paraId="49286E7D" w14:textId="77777777" w:rsidR="00E866DE" w:rsidRPr="00C4084C" w:rsidDel="00882244" w:rsidRDefault="00E866DE" w:rsidP="003E5969">
            <w:pPr>
              <w:pStyle w:val="Recsin-chapterL3"/>
            </w:pPr>
            <w:r w:rsidRPr="00C4084C">
              <w:t>access and availability of affordable student housing.</w:t>
            </w:r>
          </w:p>
        </w:tc>
      </w:tr>
    </w:tbl>
    <w:p w14:paraId="30A3FC41" w14:textId="78D8DC61" w:rsidR="00B85CE6" w:rsidRPr="00C4084C" w:rsidRDefault="006075B4" w:rsidP="00B85CE6">
      <w:pPr>
        <w:pStyle w:val="Heading3"/>
      </w:pPr>
      <w:bookmarkStart w:id="908" w:name="_Toc153477888"/>
      <w:bookmarkStart w:id="909" w:name="_Toc153483051"/>
      <w:bookmarkStart w:id="910" w:name="_Toc159500962"/>
      <w:bookmarkEnd w:id="908"/>
      <w:r w:rsidRPr="00C4084C">
        <w:t>Changes that focus on students</w:t>
      </w:r>
      <w:bookmarkEnd w:id="909"/>
      <w:bookmarkEnd w:id="910"/>
    </w:p>
    <w:p w14:paraId="5139D90A" w14:textId="77777777" w:rsidR="00BE7FA4" w:rsidRDefault="0217EB8D" w:rsidP="00115FD4">
      <w:pPr>
        <w:sectPr w:rsidR="00BE7FA4" w:rsidSect="00134415">
          <w:headerReference w:type="even" r:id="rId114"/>
          <w:headerReference w:type="first" r:id="rId115"/>
          <w:pgSz w:w="11906" w:h="16838" w:code="9"/>
          <w:pgMar w:top="1225" w:right="1440" w:bottom="1440" w:left="1440" w:header="709" w:footer="709" w:gutter="0"/>
          <w:cols w:space="708"/>
          <w:titlePg/>
          <w:docGrid w:linePitch="360"/>
        </w:sectPr>
      </w:pPr>
      <w:r w:rsidRPr="00115FD4">
        <w:t xml:space="preserve">Students are at the centre of the higher education system. Delivering for them will continue to be a challenge as the system expands to meet skills needs and includes more students from </w:t>
      </w:r>
      <w:r w:rsidR="00D7545F" w:rsidRPr="00115FD4">
        <w:t>under-represented</w:t>
      </w:r>
      <w:r w:rsidRPr="00115FD4">
        <w:t xml:space="preserve"> cohorts. The Review has proposed a range of measures to ensure that the system delivers for students, including addressing the unfairnesses inherent in the Job-ready Graduates package so that student contributions are fairer and more affordable, and improving student loan </w:t>
      </w:r>
      <w:r w:rsidRPr="00115FD4">
        <w:lastRenderedPageBreak/>
        <w:t>arrangements. Some measures go directly to the student experience, such as quality teaching and learning, student safety and student voice, and admissions processes. Together, the recommendations in this chapter put students first, with the aim of ensuring they get outstanding value from their investment and effort.</w:t>
      </w:r>
    </w:p>
    <w:p w14:paraId="691CD48E" w14:textId="1A94A482" w:rsidR="00C60BA2" w:rsidRPr="00C4084C" w:rsidRDefault="00C60BA2" w:rsidP="00BE7FA4">
      <w:pPr>
        <w:pStyle w:val="Heading2"/>
      </w:pPr>
      <w:bookmarkStart w:id="911" w:name="_Producing_and_using"/>
      <w:bookmarkStart w:id="912" w:name="_Ref151935602"/>
      <w:bookmarkStart w:id="913" w:name="_Toc153483052"/>
      <w:bookmarkStart w:id="914" w:name="_Toc159500963"/>
      <w:bookmarkEnd w:id="911"/>
      <w:r w:rsidRPr="00C4084C">
        <w:lastRenderedPageBreak/>
        <w:t>Producing and using new knowledge</w:t>
      </w:r>
      <w:bookmarkEnd w:id="912"/>
      <w:bookmarkEnd w:id="913"/>
      <w:bookmarkEnd w:id="914"/>
    </w:p>
    <w:p w14:paraId="589E03A9" w14:textId="77777777" w:rsidR="00316074" w:rsidRPr="00C4084C" w:rsidRDefault="00316074" w:rsidP="00E53A4D">
      <w:pPr>
        <w:pStyle w:val="Heading3"/>
      </w:pPr>
      <w:bookmarkStart w:id="915" w:name="_Toc152664457"/>
      <w:bookmarkStart w:id="916" w:name="_Toc1336210361"/>
      <w:bookmarkStart w:id="917" w:name="_Toc153483053"/>
      <w:bookmarkStart w:id="918" w:name="_Toc159500964"/>
      <w:r w:rsidRPr="00C4084C">
        <w:t>Introduction</w:t>
      </w:r>
      <w:bookmarkEnd w:id="915"/>
      <w:bookmarkEnd w:id="916"/>
      <w:bookmarkEnd w:id="917"/>
      <w:bookmarkEnd w:id="918"/>
    </w:p>
    <w:p w14:paraId="5AC146B0" w14:textId="77777777" w:rsidR="00703E85" w:rsidRPr="00C4084C" w:rsidRDefault="00703E85" w:rsidP="00115FD4">
      <w:bookmarkStart w:id="919" w:name="_Toc149044073"/>
      <w:bookmarkStart w:id="920" w:name="_Toc153477896"/>
      <w:bookmarkStart w:id="921" w:name="_Toc152600670"/>
      <w:bookmarkStart w:id="922" w:name="_Toc152600703"/>
      <w:bookmarkStart w:id="923" w:name="_Toc152600963"/>
      <w:bookmarkStart w:id="924" w:name="_Toc152601010"/>
      <w:bookmarkStart w:id="925" w:name="_Toc149044080"/>
      <w:bookmarkStart w:id="926" w:name="_Toc149044081"/>
      <w:bookmarkStart w:id="927" w:name="_Toc149044082"/>
      <w:bookmarkStart w:id="928" w:name="_Toc149044084"/>
      <w:bookmarkStart w:id="929" w:name="_Toc149044085"/>
      <w:bookmarkStart w:id="930" w:name="_Toc149044086"/>
      <w:bookmarkStart w:id="931" w:name="_Toc149044106"/>
      <w:bookmarkStart w:id="932" w:name="_Toc153483076"/>
      <w:bookmarkEnd w:id="919"/>
      <w:bookmarkEnd w:id="920"/>
      <w:bookmarkEnd w:id="921"/>
      <w:bookmarkEnd w:id="922"/>
      <w:bookmarkEnd w:id="923"/>
      <w:bookmarkEnd w:id="924"/>
      <w:bookmarkEnd w:id="925"/>
      <w:bookmarkEnd w:id="926"/>
      <w:bookmarkEnd w:id="927"/>
      <w:bookmarkEnd w:id="928"/>
      <w:bookmarkEnd w:id="929"/>
      <w:bookmarkEnd w:id="930"/>
      <w:bookmarkEnd w:id="931"/>
      <w:r w:rsidRPr="00C4084C">
        <w:t xml:space="preserve">Australia’s higher education research sector is crucial to nation building and to the prosperity of all Australians. </w:t>
      </w:r>
      <w:r w:rsidRPr="00C4084C">
        <w:rPr>
          <w:rFonts w:eastAsia="Arial"/>
        </w:rPr>
        <w:t>The world-class research produced by our universities should be a key driver of our economic competitiveness</w:t>
      </w:r>
      <w:r w:rsidRPr="00C4084C">
        <w:t>.</w:t>
      </w:r>
      <w:r w:rsidRPr="00C4084C">
        <w:rPr>
          <w:rFonts w:eastAsia="Arial"/>
        </w:rPr>
        <w:t xml:space="preserve"> </w:t>
      </w:r>
      <w:r w:rsidRPr="00C4084C">
        <w:t xml:space="preserve">The nation’s future </w:t>
      </w:r>
      <w:r w:rsidRPr="00C4084C">
        <w:rPr>
          <w:rFonts w:eastAsia="Arial"/>
        </w:rPr>
        <w:t xml:space="preserve">depends on its ability to strengthen knowledge, information and technology acquisition and application. </w:t>
      </w:r>
    </w:p>
    <w:p w14:paraId="32C66385" w14:textId="2C180F86" w:rsidR="001F4CED" w:rsidRPr="00C4084C" w:rsidRDefault="001F4CED" w:rsidP="00115FD4">
      <w:r w:rsidRPr="00C4084C">
        <w:t xml:space="preserve">The higher education research sector does much of the underpinning work for the innovation and research and development (R&amp;D) system, training PhD students, carrying out the bulk of our basic and strategic basic research, and producing </w:t>
      </w:r>
      <w:proofErr w:type="gramStart"/>
      <w:r w:rsidRPr="00C4084C">
        <w:t>the majority of</w:t>
      </w:r>
      <w:proofErr w:type="gramEnd"/>
      <w:r w:rsidRPr="00C4084C">
        <w:t xml:space="preserve"> our scientific publications. This is a big achievement as Australia produce</w:t>
      </w:r>
      <w:r w:rsidR="002B1226" w:rsidRPr="00C4084C">
        <w:t>d</w:t>
      </w:r>
      <w:r w:rsidRPr="00C4084C">
        <w:t xml:space="preserve"> 3.4% of the world’s published research in 2022 even though it has only 0.3</w:t>
      </w:r>
      <w:r w:rsidR="009836F8" w:rsidRPr="00C4084C">
        <w:t>3</w:t>
      </w:r>
      <w:r w:rsidRPr="00C4084C">
        <w:t>% of the world’s population.</w:t>
      </w:r>
      <w:r w:rsidRPr="00C4084C">
        <w:rPr>
          <w:rStyle w:val="FootnoteReference"/>
          <w:rFonts w:cs="Arial"/>
        </w:rPr>
        <w:footnoteReference w:id="307"/>
      </w:r>
      <w:r w:rsidRPr="00C4084C">
        <w:t xml:space="preserve"> The university sector produces a</w:t>
      </w:r>
      <w:r w:rsidR="00166F34" w:rsidRPr="00C4084C">
        <w:t xml:space="preserve"> relatively</w:t>
      </w:r>
      <w:r w:rsidRPr="00C4084C">
        <w:t xml:space="preserve"> high percentage of publications jointly with researchers in other countries, boosting Australia’s access to global R&amp;D.</w:t>
      </w:r>
      <w:r w:rsidRPr="00C4084C">
        <w:rPr>
          <w:rStyle w:val="FootnoteReference"/>
          <w:rFonts w:cs="Arial"/>
        </w:rPr>
        <w:footnoteReference w:id="308"/>
      </w:r>
    </w:p>
    <w:p w14:paraId="7FE4AD52" w14:textId="426D44A0" w:rsidR="001F4CED" w:rsidRPr="00C4084C" w:rsidRDefault="001F4CED" w:rsidP="00115FD4">
      <w:r w:rsidRPr="00C4084C">
        <w:t xml:space="preserve">This research comes from a breadth of disciplines, spanning STEM (science, technology, </w:t>
      </w:r>
      <w:proofErr w:type="gramStart"/>
      <w:r w:rsidRPr="00C4084C">
        <w:t>engineering</w:t>
      </w:r>
      <w:proofErr w:type="gramEnd"/>
      <w:r w:rsidRPr="00C4084C">
        <w:t xml:space="preserve"> and mathematics), HASS (humanities and social sciences) and Health</w:t>
      </w:r>
      <w:r w:rsidR="00E0687F" w:rsidRPr="00C4084C">
        <w:t>.</w:t>
      </w:r>
      <w:r w:rsidRPr="00C4084C">
        <w:t xml:space="preserve"> </w:t>
      </w:r>
      <w:r w:rsidR="00E0687F" w:rsidRPr="00C4084C">
        <w:t>A</w:t>
      </w:r>
      <w:r w:rsidRPr="00C4084C">
        <w:t xml:space="preserve">ll need to work together to grow and transform our economy and enhance the wellbeing of society. HASS, for example, is crucial to understanding the contributing factors to a cohesive </w:t>
      </w:r>
      <w:proofErr w:type="gramStart"/>
      <w:r w:rsidRPr="00C4084C">
        <w:t>society, and</w:t>
      </w:r>
      <w:proofErr w:type="gramEnd"/>
      <w:r w:rsidRPr="00C4084C">
        <w:t xml:space="preserve"> enabling Australia not only to understand and take advantage of opportunities offered by global economic, scientific, technological and political trends, but to exert a positive influence in our region of the globe.</w:t>
      </w:r>
    </w:p>
    <w:p w14:paraId="76225CF1" w14:textId="77777777" w:rsidR="00703E85" w:rsidRPr="00C4084C" w:rsidRDefault="00703E85" w:rsidP="00115FD4">
      <w:r w:rsidRPr="00C4084C">
        <w:t>In this chapter, the Review recommends a range of measures to secure the future of Australian research, and Australian higher education research in particular, so that its impact is</w:t>
      </w:r>
      <w:r w:rsidRPr="00C4084C">
        <w:rPr>
          <w:rStyle w:val="normaltextrun"/>
          <w:rFonts w:cs="Arial"/>
        </w:rPr>
        <w:t xml:space="preserve"> as high and transformative as possible</w:t>
      </w:r>
      <w:r w:rsidRPr="00C4084C">
        <w:t xml:space="preserve">. We must ensure that we not only </w:t>
      </w:r>
      <w:r w:rsidRPr="00C4084C">
        <w:rPr>
          <w:i/>
        </w:rPr>
        <w:t>support</w:t>
      </w:r>
      <w:r w:rsidRPr="00C4084C">
        <w:t xml:space="preserve"> quality basic and translational research, but that we </w:t>
      </w:r>
      <w:r w:rsidRPr="00C4084C">
        <w:rPr>
          <w:i/>
        </w:rPr>
        <w:t>use</w:t>
      </w:r>
      <w:r w:rsidRPr="00C4084C">
        <w:t xml:space="preserve"> the resulting research capacity and capability. </w:t>
      </w:r>
    </w:p>
    <w:p w14:paraId="1F547287" w14:textId="11B71E61" w:rsidR="00703E85" w:rsidRPr="00C4084C" w:rsidRDefault="00703E85" w:rsidP="00115FD4">
      <w:pPr>
        <w:rPr>
          <w:rStyle w:val="normaltextrun"/>
          <w:rFonts w:cs="Arial"/>
        </w:rPr>
      </w:pPr>
      <w:r w:rsidRPr="00C4084C">
        <w:t>This</w:t>
      </w:r>
      <w:r w:rsidRPr="00C4084C">
        <w:rPr>
          <w:rStyle w:val="normaltextrun"/>
          <w:rFonts w:cs="Arial"/>
        </w:rPr>
        <w:t xml:space="preserve"> will require Australia to continue to invest in and strengthen the higher education research sector. It will require encouragement of research end-users (industry, </w:t>
      </w:r>
      <w:proofErr w:type="gramStart"/>
      <w:r w:rsidRPr="00C4084C">
        <w:rPr>
          <w:rStyle w:val="normaltextrun"/>
          <w:rFonts w:cs="Arial"/>
        </w:rPr>
        <w:t>governments</w:t>
      </w:r>
      <w:proofErr w:type="gramEnd"/>
      <w:r w:rsidRPr="00C4084C">
        <w:rPr>
          <w:rStyle w:val="normaltextrun"/>
          <w:rFonts w:cs="Arial"/>
        </w:rPr>
        <w:t xml:space="preserve"> and communities) to </w:t>
      </w:r>
      <w:r w:rsidRPr="00C4084C">
        <w:rPr>
          <w:rFonts w:eastAsia="Arial"/>
        </w:rPr>
        <w:t xml:space="preserve">become exemplary users of university </w:t>
      </w:r>
      <w:r w:rsidRPr="00C4084C">
        <w:rPr>
          <w:rStyle w:val="normaltextrun"/>
          <w:rFonts w:cs="Arial"/>
        </w:rPr>
        <w:t xml:space="preserve">research capability to explain conundrums and solve wicked problems and it will require </w:t>
      </w:r>
      <w:r w:rsidRPr="00C4084C">
        <w:rPr>
          <w:rFonts w:eastAsia="Arial"/>
        </w:rPr>
        <w:t>entrepreneurial commercialisation of research results.</w:t>
      </w:r>
    </w:p>
    <w:p w14:paraId="05BA6AF4" w14:textId="77777777" w:rsidR="00703E85" w:rsidRPr="00C4084C" w:rsidRDefault="00703E85" w:rsidP="00115FD4">
      <w:pPr>
        <w:rPr>
          <w:rStyle w:val="eop"/>
          <w:rFonts w:cs="Arial"/>
        </w:rPr>
      </w:pPr>
      <w:r w:rsidRPr="00C4084C">
        <w:rPr>
          <w:rStyle w:val="normaltextrun"/>
          <w:rFonts w:cs="Arial"/>
        </w:rPr>
        <w:t xml:space="preserve">No one mechanism will be sufficient to achieve these goals. Most urgently, action must </w:t>
      </w:r>
      <w:r w:rsidRPr="00C4084C">
        <w:rPr>
          <w:rFonts w:eastAsia="Arial"/>
        </w:rPr>
        <w:t>focus on taking full advantage of the nation’s research potential by</w:t>
      </w:r>
      <w:r w:rsidRPr="00C4084C">
        <w:rPr>
          <w:rStyle w:val="normaltextrun"/>
          <w:rFonts w:cs="Arial"/>
        </w:rPr>
        <w:t xml:space="preserve"> increasing government and industry use of university research capacity and capability and expanding government support for research translation</w:t>
      </w:r>
      <w:r w:rsidRPr="00C4084C">
        <w:rPr>
          <w:rFonts w:eastAsia="Arial"/>
        </w:rPr>
        <w:t>. It must build on and maintain the strong foundation of Australia’s research system, namely the discovery of new knowledge through basic, strategic basic and applied research.</w:t>
      </w:r>
      <w:r w:rsidRPr="00C4084C">
        <w:t xml:space="preserve"> And, recognising the outsized role Australian universities play in generating research outputs compared with countries that have similarly high-performing research sectors, it must focus on providing research funding that enables cutting-edge research outputs and builds the conditions for more world-leading research to emerge.</w:t>
      </w:r>
    </w:p>
    <w:p w14:paraId="5BA5D82C" w14:textId="5714F451" w:rsidR="00703E85" w:rsidRPr="00C4084C" w:rsidRDefault="00703E85" w:rsidP="00115FD4">
      <w:r w:rsidRPr="00C4084C">
        <w:rPr>
          <w:rStyle w:val="normaltextrun"/>
          <w:rFonts w:cs="Arial"/>
        </w:rPr>
        <w:lastRenderedPageBreak/>
        <w:t xml:space="preserve">A range of enablers will support progress toward these goals. One element is support for the research training system, to allow </w:t>
      </w:r>
      <w:r w:rsidRPr="00C4084C">
        <w:rPr>
          <w:rFonts w:eastAsia="Arial"/>
        </w:rPr>
        <w:t>higher degree by research (HDR) students to learn how to generate the new knowledge that the nation needs.</w:t>
      </w:r>
      <w:r w:rsidRPr="00C4084C">
        <w:t xml:space="preserve"> Another is ensuring First Nations participation in research embed</w:t>
      </w:r>
      <w:r w:rsidR="00585213">
        <w:t>s</w:t>
      </w:r>
      <w:r w:rsidRPr="00C4084C">
        <w:t xml:space="preserve"> the wealth of First Nations knowledges in research pursuits.</w:t>
      </w:r>
    </w:p>
    <w:p w14:paraId="0462FF68" w14:textId="77777777" w:rsidR="00703E85" w:rsidRPr="00C4084C" w:rsidRDefault="00703E85" w:rsidP="00115FD4">
      <w:r w:rsidRPr="00C4084C">
        <w:t>The key mechanisms the Review has identified to reinforce and improve Australia’s research sector are:</w:t>
      </w:r>
    </w:p>
    <w:p w14:paraId="64ECF014" w14:textId="77777777" w:rsidR="00703E85" w:rsidRPr="00C4084C" w:rsidRDefault="00703E85" w:rsidP="00703E85">
      <w:pPr>
        <w:pStyle w:val="ListBullet"/>
      </w:pPr>
      <w:r w:rsidRPr="00C4084C">
        <w:t xml:space="preserve">continuing to deliver high-quality foundational </w:t>
      </w:r>
      <w:proofErr w:type="gramStart"/>
      <w:r w:rsidRPr="00C4084C">
        <w:t>research</w:t>
      </w:r>
      <w:proofErr w:type="gramEnd"/>
    </w:p>
    <w:p w14:paraId="70C30B0D" w14:textId="77777777" w:rsidR="00703E85" w:rsidRPr="00C4084C" w:rsidRDefault="00703E85" w:rsidP="00703E85">
      <w:pPr>
        <w:pStyle w:val="ListBullet"/>
      </w:pPr>
      <w:r w:rsidRPr="00C4084C">
        <w:t xml:space="preserve">enabling and promoting a better national understanding (and appreciation) of higher education research – including mechanisms to evaluate research quality and impact through a national </w:t>
      </w:r>
      <w:proofErr w:type="gramStart"/>
      <w:r w:rsidRPr="00C4084C">
        <w:t>framework</w:t>
      </w:r>
      <w:proofErr w:type="gramEnd"/>
    </w:p>
    <w:p w14:paraId="058BDF1F" w14:textId="77777777" w:rsidR="00703E85" w:rsidRPr="00C4084C" w:rsidRDefault="00703E85" w:rsidP="00703E85">
      <w:pPr>
        <w:pStyle w:val="ListBullet"/>
      </w:pPr>
      <w:r w:rsidRPr="00C4084C">
        <w:t xml:space="preserve">making sure the full impact of research is seen, appreciated and used by Australian communities, industry and </w:t>
      </w:r>
      <w:proofErr w:type="gramStart"/>
      <w:r w:rsidRPr="00C4084C">
        <w:t>governments</w:t>
      </w:r>
      <w:proofErr w:type="gramEnd"/>
    </w:p>
    <w:p w14:paraId="61FB633B" w14:textId="50A1E408" w:rsidR="00703E85" w:rsidRPr="00C4084C" w:rsidRDefault="00703E85" w:rsidP="00703E85">
      <w:pPr>
        <w:pStyle w:val="ListBullet"/>
      </w:pPr>
      <w:r w:rsidRPr="00C4084C">
        <w:t>building a platform to secure higher education research and grow research quality</w:t>
      </w:r>
      <w:r w:rsidR="007563E3">
        <w:t>,</w:t>
      </w:r>
      <w:r w:rsidRPr="00C4084C">
        <w:t xml:space="preserve"> capacity and capability in the </w:t>
      </w:r>
      <w:proofErr w:type="gramStart"/>
      <w:r w:rsidRPr="00C4084C">
        <w:t>future</w:t>
      </w:r>
      <w:proofErr w:type="gramEnd"/>
      <w:r w:rsidRPr="00C4084C">
        <w:t xml:space="preserve"> </w:t>
      </w:r>
    </w:p>
    <w:p w14:paraId="041AA667" w14:textId="77777777" w:rsidR="00703E85" w:rsidRPr="00C4084C" w:rsidRDefault="00703E85" w:rsidP="00703E85">
      <w:pPr>
        <w:pStyle w:val="ListBullet"/>
      </w:pPr>
      <w:r w:rsidRPr="00C4084C">
        <w:t xml:space="preserve">empowering universities to deliver on Australia’s strategic research agenda. </w:t>
      </w:r>
    </w:p>
    <w:p w14:paraId="0D6E7A57" w14:textId="77777777" w:rsidR="00703E85" w:rsidRPr="00C4084C" w:rsidRDefault="00703E85" w:rsidP="008C4411">
      <w:pPr>
        <w:pStyle w:val="Heading3"/>
      </w:pPr>
      <w:bookmarkStart w:id="933" w:name="_Toc159500965"/>
      <w:r w:rsidRPr="00C4084C">
        <w:t>Australian higher education research – context and comparisons</w:t>
      </w:r>
      <w:bookmarkEnd w:id="933"/>
    </w:p>
    <w:p w14:paraId="2286E304" w14:textId="40ADABAA" w:rsidR="007D30B7" w:rsidRPr="00C4084C" w:rsidRDefault="007D30B7" w:rsidP="00BA6095">
      <w:pPr>
        <w:pStyle w:val="Heading4"/>
      </w:pPr>
      <w:bookmarkStart w:id="934" w:name="_Toc159500966"/>
      <w:r w:rsidRPr="00C4084C">
        <w:t xml:space="preserve">Higher education research is </w:t>
      </w:r>
      <w:proofErr w:type="gramStart"/>
      <w:r w:rsidRPr="00C4084C">
        <w:t>high-quality</w:t>
      </w:r>
      <w:bookmarkEnd w:id="934"/>
      <w:proofErr w:type="gramEnd"/>
    </w:p>
    <w:p w14:paraId="62580291" w14:textId="2C68ED49" w:rsidR="00703E85" w:rsidRPr="00C4084C" w:rsidRDefault="00703E85" w:rsidP="00115FD4">
      <w:r w:rsidRPr="00C4084C">
        <w:t xml:space="preserve">As noted, Australian universities are strong research performers, with highly cited, </w:t>
      </w:r>
      <w:proofErr w:type="gramStart"/>
      <w:r w:rsidRPr="00C4084C">
        <w:t>high-quality</w:t>
      </w:r>
      <w:proofErr w:type="gramEnd"/>
      <w:r w:rsidRPr="00C4084C">
        <w:t xml:space="preserve"> and high-impact research. </w:t>
      </w:r>
      <w:r w:rsidR="00607022" w:rsidRPr="00C4084C">
        <w:t>The</w:t>
      </w:r>
      <w:r w:rsidR="00607022" w:rsidRPr="00C4084C" w:rsidDel="00D16150">
        <w:t xml:space="preserve"> </w:t>
      </w:r>
      <w:r w:rsidRPr="00C4084C">
        <w:t xml:space="preserve">5 universities with the highest research output are all large metropolitan universities, </w:t>
      </w:r>
      <w:r w:rsidR="00607022" w:rsidRPr="00C4084C">
        <w:t xml:space="preserve">and </w:t>
      </w:r>
      <w:r w:rsidRPr="00C4084C">
        <w:t xml:space="preserve">all but one university that receives research block grant funding in Australia have a citation index greater than one, meaning their research is cited more extensively than the world average (see </w:t>
      </w:r>
      <w:r w:rsidR="001B2352" w:rsidRPr="00C4084C">
        <w:fldChar w:fldCharType="begin"/>
      </w:r>
      <w:r w:rsidR="001B2352" w:rsidRPr="00C4084C">
        <w:instrText xml:space="preserve"> REF _Ref153786992 \h </w:instrText>
      </w:r>
      <w:r w:rsidR="00D75C32">
        <w:instrText xml:space="preserve"> \* MERGEFORMAT </w:instrText>
      </w:r>
      <w:r w:rsidR="001B2352" w:rsidRPr="00C4084C">
        <w:fldChar w:fldCharType="separate"/>
      </w:r>
      <w:r w:rsidR="00467B4F" w:rsidRPr="00C4084C">
        <w:t xml:space="preserve">Figure </w:t>
      </w:r>
      <w:r w:rsidR="00467B4F">
        <w:rPr>
          <w:noProof/>
        </w:rPr>
        <w:t>27</w:t>
      </w:r>
      <w:r w:rsidR="001B2352" w:rsidRPr="00C4084C">
        <w:fldChar w:fldCharType="end"/>
      </w:r>
      <w:r w:rsidRPr="00C4084C">
        <w:t>). Our universities are well-positioned to assist Australia’s transition to a digital, knowledge economy, with IT-related Australian research cited twice as much as the global average, reflecting strong performance in the fields of multimedia, data science and artificial intelligence, including machine learning and computer vision.</w:t>
      </w:r>
      <w:r w:rsidRPr="00C4084C">
        <w:rPr>
          <w:rStyle w:val="FootnoteReference"/>
          <w:rFonts w:eastAsia="Arial" w:cs="Arial"/>
        </w:rPr>
        <w:footnoteReference w:id="309"/>
      </w:r>
    </w:p>
    <w:p w14:paraId="3A82DD17" w14:textId="40AD63CC" w:rsidR="00DE0CC0" w:rsidRPr="00D26B82" w:rsidRDefault="00703E85" w:rsidP="003A5D57">
      <w:pPr>
        <w:pStyle w:val="Caption"/>
        <w:rPr>
          <w:b/>
          <w:bCs/>
          <w:sz w:val="24"/>
          <w:szCs w:val="24"/>
        </w:rPr>
      </w:pPr>
      <w:bookmarkStart w:id="935" w:name="_Ref153786992"/>
      <w:bookmarkStart w:id="936" w:name="_Toc154674789"/>
      <w:bookmarkStart w:id="937" w:name="_Ref153786973"/>
      <w:r w:rsidRPr="00D26B82">
        <w:rPr>
          <w:b/>
          <w:bCs/>
          <w:sz w:val="24"/>
          <w:szCs w:val="24"/>
        </w:rPr>
        <w:lastRenderedPageBreak/>
        <w:t xml:space="preserve">Figure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27</w:t>
      </w:r>
      <w:r w:rsidRPr="00D26B82">
        <w:rPr>
          <w:b/>
          <w:bCs/>
          <w:sz w:val="24"/>
          <w:szCs w:val="24"/>
        </w:rPr>
        <w:fldChar w:fldCharType="end"/>
      </w:r>
      <w:bookmarkEnd w:id="935"/>
      <w:r w:rsidRPr="00D26B82">
        <w:rPr>
          <w:b/>
          <w:bCs/>
          <w:sz w:val="24"/>
          <w:szCs w:val="24"/>
        </w:rPr>
        <w:t xml:space="preserve">: </w:t>
      </w:r>
      <w:r w:rsidR="0075667B" w:rsidRPr="00D26B82">
        <w:rPr>
          <w:b/>
          <w:bCs/>
          <w:sz w:val="24"/>
          <w:szCs w:val="24"/>
        </w:rPr>
        <w:t>Field Weighted Citation Impact relative to number of publications by university (thousands), 2019 to 2022</w:t>
      </w:r>
      <w:r w:rsidRPr="00D26B82">
        <w:rPr>
          <w:b/>
          <w:bCs/>
          <w:sz w:val="24"/>
          <w:szCs w:val="24"/>
        </w:rPr>
        <w:t>.</w:t>
      </w:r>
      <w:bookmarkEnd w:id="936"/>
    </w:p>
    <w:bookmarkEnd w:id="937"/>
    <w:p w14:paraId="47265F8A" w14:textId="619C00ED" w:rsidR="00796DAB" w:rsidRDefault="00796DAB" w:rsidP="005861B4">
      <w:pPr>
        <w:pStyle w:val="Source"/>
        <w:rPr>
          <w:rFonts w:cs="Arial"/>
        </w:rPr>
      </w:pPr>
      <w:r>
        <w:rPr>
          <w:noProof/>
        </w:rPr>
        <w:drawing>
          <wp:inline distT="0" distB="0" distL="0" distR="0" wp14:anchorId="5E745CB4" wp14:editId="6462FAA0">
            <wp:extent cx="5752784" cy="2519916"/>
            <wp:effectExtent l="0" t="0" r="0" b="0"/>
            <wp:docPr id="1820763885" name="Graphic 27" descr="A scatter graph showing field weighted citation impact relative to number of publications by university from 2019 to 2022. Australian universities like Murdoch, UTS, and Bond cluster around the left lower-middle of the graph meaning they have relatively low numbers of scholarly output but a field-weighted citation impact higher than the global average. Other Australian universities - Monash, Sydney, Melbourne, UQ, and UNSW cluster around the lower-middle centre-left and generally sit higher than international universities MIT, Cambridge and Oxford. This means they have a greater field-weighted citation impact with similar numbers of scholarly output. Two outliers are ACU, which has a significantly higher field-weighted impact with low numbers of scholarly output, and Harvard which has high numbers of scholarly output and a relatively low field-weighted citation impa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763885" name="Graphic 27" descr="A scatter graph showing field weighted citation impact relative to number of publications by university from 2019 to 2022. Australian universities like Murdoch, UTS, and Bond cluster around the left lower-middle of the graph meaning they have relatively low numbers of scholarly output but a field-weighted citation impact higher than the global average. Other Australian universities - Monash, Sydney, Melbourne, UQ, and UNSW cluster around the lower-middle centre-left and generally sit higher than international universities MIT, Cambridge and Oxford. This means they have a greater field-weighted citation impact with similar numbers of scholarly output. Two outliers are ACU, which has a significantly higher field-weighted impact with low numbers of scholarly output, and Harvard which has high numbers of scholarly output and a relatively low field-weighted citation impact. "/>
                    <pic:cNvPicPr/>
                  </pic:nvPicPr>
                  <pic:blipFill>
                    <a:blip r:embed="rId116">
                      <a:extLst>
                        <a:ext uri="{28A0092B-C50C-407E-A947-70E740481C1C}">
                          <a14:useLocalDpi xmlns:a14="http://schemas.microsoft.com/office/drawing/2010/main" val="0"/>
                        </a:ext>
                        <a:ext uri="{96DAC541-7B7A-43D3-8B79-37D633B846F1}">
                          <asvg:svgBlip xmlns:asvg="http://schemas.microsoft.com/office/drawing/2016/SVG/main" r:embed="rId117"/>
                        </a:ext>
                      </a:extLst>
                    </a:blip>
                    <a:stretch>
                      <a:fillRect/>
                    </a:stretch>
                  </pic:blipFill>
                  <pic:spPr>
                    <a:xfrm>
                      <a:off x="0" y="0"/>
                      <a:ext cx="5766291" cy="2525833"/>
                    </a:xfrm>
                    <a:prstGeom prst="rect">
                      <a:avLst/>
                    </a:prstGeom>
                  </pic:spPr>
                </pic:pic>
              </a:graphicData>
            </a:graphic>
          </wp:inline>
        </w:drawing>
      </w:r>
    </w:p>
    <w:p w14:paraId="59EDC2A0" w14:textId="468A6A8C" w:rsidR="005861B4" w:rsidRPr="00C4084C" w:rsidRDefault="005861B4" w:rsidP="005861B4">
      <w:pPr>
        <w:pStyle w:val="Source"/>
      </w:pPr>
      <w:r w:rsidRPr="00C4084C">
        <w:rPr>
          <w:rFonts w:cs="Arial"/>
        </w:rPr>
        <w:t xml:space="preserve">Source: </w:t>
      </w:r>
      <w:proofErr w:type="spellStart"/>
      <w:r w:rsidRPr="00C4084C">
        <w:rPr>
          <w:rFonts w:cs="Arial"/>
        </w:rPr>
        <w:t>SciVal</w:t>
      </w:r>
      <w:proofErr w:type="spellEnd"/>
      <w:r w:rsidRPr="00C4084C">
        <w:rPr>
          <w:rFonts w:cs="Arial"/>
        </w:rPr>
        <w:t xml:space="preserve">, </w:t>
      </w:r>
      <w:r w:rsidRPr="00C4084C">
        <w:rPr>
          <w:i/>
        </w:rPr>
        <w:t>Benchmarking – The World University Rankings</w:t>
      </w:r>
      <w:r w:rsidRPr="00C4084C">
        <w:t xml:space="preserve"> [data set], (Elsevier, 2023), https://www.scival.com/benchmarking/‌ranking/the/‌worldUniversityRankings.</w:t>
      </w:r>
    </w:p>
    <w:p w14:paraId="11505563" w14:textId="77777777" w:rsidR="005861B4" w:rsidRPr="00C4084C" w:rsidRDefault="005861B4" w:rsidP="005861B4">
      <w:pPr>
        <w:pStyle w:val="Source"/>
      </w:pPr>
      <w:r w:rsidRPr="00C4084C">
        <w:rPr>
          <w:rFonts w:cs="Arial"/>
        </w:rPr>
        <w:t>Note: A Field Weighted Citation Impact &gt;1 means publications are cited more frequently than the relevant global average.</w:t>
      </w:r>
    </w:p>
    <w:p w14:paraId="1A0D3781" w14:textId="46CB209C" w:rsidR="00703E85" w:rsidRPr="00C4084C" w:rsidRDefault="00703E85" w:rsidP="007B4CF5">
      <w:r w:rsidRPr="00C4084C">
        <w:t>Over 8</w:t>
      </w:r>
      <w:r w:rsidR="00F13049" w:rsidRPr="00C4084C">
        <w:t>4</w:t>
      </w:r>
      <w:r w:rsidRPr="00C4084C">
        <w:t>% of Australian university research is rated at or above world standard, and Australia produces the fifth highest number of highly cited researchers in the world.</w:t>
      </w:r>
      <w:r w:rsidRPr="00C4084C">
        <w:rPr>
          <w:rStyle w:val="FootnoteReference"/>
          <w:rFonts w:eastAsia="Arial" w:cs="Arial"/>
        </w:rPr>
        <w:footnoteReference w:id="310"/>
      </w:r>
      <w:r w:rsidRPr="00C4084C">
        <w:t xml:space="preserve"> </w:t>
      </w:r>
      <w:r w:rsidR="0033168E" w:rsidRPr="00C4084C">
        <w:t xml:space="preserve">In 2022, </w:t>
      </w:r>
      <w:r w:rsidR="009E75A1" w:rsidRPr="00C4084C">
        <w:t>59.8</w:t>
      </w:r>
      <w:r w:rsidR="0033168E" w:rsidRPr="00C4084C">
        <w:t>% of all research publications with an Australian author included an international co-author, higher than the EU (4</w:t>
      </w:r>
      <w:r w:rsidR="009E75A1" w:rsidRPr="00C4084C">
        <w:t>3.5</w:t>
      </w:r>
      <w:r w:rsidR="0033168E" w:rsidRPr="00C4084C">
        <w:t>%) and the US (3</w:t>
      </w:r>
      <w:r w:rsidR="00942E5F" w:rsidRPr="00C4084C">
        <w:t>7.</w:t>
      </w:r>
      <w:r w:rsidR="0033168E" w:rsidRPr="00C4084C">
        <w:t>3%).</w:t>
      </w:r>
      <w:r w:rsidR="0033168E" w:rsidRPr="00C4084C">
        <w:rPr>
          <w:vertAlign w:val="superscript"/>
        </w:rPr>
        <w:footnoteReference w:id="311"/>
      </w:r>
      <w:r w:rsidR="0033168E" w:rsidRPr="00C4084C">
        <w:t xml:space="preserve"> </w:t>
      </w:r>
      <w:r w:rsidRPr="00C4084C">
        <w:t>When countries are ranked by the number of their universities included in the world’s top 500 worldwide, Australia appears 5</w:t>
      </w:r>
      <w:r w:rsidRPr="00C4084C">
        <w:rPr>
          <w:vertAlign w:val="superscript"/>
        </w:rPr>
        <w:t>th</w:t>
      </w:r>
      <w:r w:rsidRPr="00C4084C">
        <w:t>, behind significantly larger economies (USA, UK, Germany and China).</w:t>
      </w:r>
      <w:r w:rsidRPr="00C4084C">
        <w:rPr>
          <w:rStyle w:val="FootnoteReference"/>
          <w:rFonts w:eastAsia="Arial" w:cs="Arial"/>
        </w:rPr>
        <w:footnoteReference w:id="312"/>
      </w:r>
      <w:r w:rsidRPr="00C4084C">
        <w:t xml:space="preserve"> </w:t>
      </w:r>
      <w:r w:rsidR="00261BF9">
        <w:t>This</w:t>
      </w:r>
      <w:r w:rsidR="00261BF9" w:rsidRPr="00C4084C">
        <w:t xml:space="preserve"> </w:t>
      </w:r>
      <w:r w:rsidRPr="00C4084C">
        <w:t xml:space="preserve">performance and reputation </w:t>
      </w:r>
      <w:r w:rsidR="00DE5548" w:rsidRPr="00C4084C">
        <w:t>ha</w:t>
      </w:r>
      <w:r w:rsidR="00DE5548">
        <w:t>ve</w:t>
      </w:r>
      <w:r w:rsidR="00DE5548" w:rsidRPr="00C4084C">
        <w:t xml:space="preserve"> </w:t>
      </w:r>
      <w:r w:rsidRPr="00C4084C">
        <w:t>helped our universities stand out on the global stage and made our universities attractive for international students and our researchers partners of choice</w:t>
      </w:r>
      <w:r w:rsidR="00AC65EC" w:rsidRPr="00C4084C">
        <w:t>,</w:t>
      </w:r>
      <w:r w:rsidRPr="00C4084C">
        <w:t xml:space="preserve"> and is based, in turn, on significant investment of international </w:t>
      </w:r>
      <w:r w:rsidR="00DF2E29" w:rsidRPr="00C4084C">
        <w:t xml:space="preserve">student </w:t>
      </w:r>
      <w:r w:rsidRPr="00C4084C">
        <w:t xml:space="preserve">fee revenue by universities into their research effort. </w:t>
      </w:r>
    </w:p>
    <w:p w14:paraId="08171720" w14:textId="77777777" w:rsidR="00703E85" w:rsidRPr="00C4084C" w:rsidRDefault="00703E85" w:rsidP="007B4CF5">
      <w:r w:rsidRPr="00C4084C">
        <w:t>However, although the quality of university research is high, universities cannot on their own achieve the level of research Australia requires to meet the challenges of the future. The picture of total research expenditure in Australia tells its own story.</w:t>
      </w:r>
    </w:p>
    <w:p w14:paraId="78DED022" w14:textId="77777777" w:rsidR="00703E85" w:rsidRPr="00C4084C" w:rsidRDefault="00703E85" w:rsidP="00BA6095">
      <w:pPr>
        <w:pStyle w:val="Heading4"/>
      </w:pPr>
      <w:bookmarkStart w:id="940" w:name="_Toc159500967"/>
      <w:r w:rsidRPr="00C4084C">
        <w:lastRenderedPageBreak/>
        <w:t xml:space="preserve">National R&amp;D expenditure is low and overly reliant on higher </w:t>
      </w:r>
      <w:proofErr w:type="gramStart"/>
      <w:r w:rsidRPr="00C4084C">
        <w:t>education</w:t>
      </w:r>
      <w:bookmarkEnd w:id="940"/>
      <w:proofErr w:type="gramEnd"/>
    </w:p>
    <w:p w14:paraId="16E39A52" w14:textId="34425AF2" w:rsidR="00703E85" w:rsidRPr="00C4084C" w:rsidRDefault="00F5545D" w:rsidP="007B4CF5">
      <w:r w:rsidRPr="00C4084C">
        <w:rPr>
          <w:bCs/>
        </w:rPr>
        <w:t xml:space="preserve">While </w:t>
      </w:r>
      <w:r w:rsidRPr="00C4084C">
        <w:t>Australian universities research invest significantly in research, national R&amp;D expenditure overall is low for an advanced economy, at 1.68% of GDP in 2021–22</w:t>
      </w:r>
      <w:r w:rsidR="00FF0E0E" w:rsidRPr="00C4084C">
        <w:t xml:space="preserve"> (see Figure 2</w:t>
      </w:r>
      <w:r w:rsidR="00C57FBD">
        <w:t>8</w:t>
      </w:r>
      <w:r w:rsidR="00FF0E0E" w:rsidRPr="00C4084C">
        <w:t>)</w:t>
      </w:r>
      <w:r w:rsidRPr="00C4084C">
        <w:t>.</w:t>
      </w:r>
      <w:r w:rsidRPr="00C4084C">
        <w:rPr>
          <w:vertAlign w:val="superscript"/>
        </w:rPr>
        <w:footnoteReference w:id="313"/>
      </w:r>
      <w:r w:rsidRPr="00C4084C">
        <w:rPr>
          <w:vertAlign w:val="superscript"/>
        </w:rPr>
        <w:t xml:space="preserve"> </w:t>
      </w:r>
    </w:p>
    <w:p w14:paraId="34A3F9E8" w14:textId="6751B7E0" w:rsidR="00703E85" w:rsidRPr="00D26B82" w:rsidRDefault="00703E85" w:rsidP="00703E85">
      <w:pPr>
        <w:pStyle w:val="Caption"/>
        <w:rPr>
          <w:b/>
          <w:bCs/>
          <w:sz w:val="24"/>
          <w:szCs w:val="24"/>
        </w:rPr>
      </w:pPr>
      <w:bookmarkStart w:id="941" w:name="_Ref153807029"/>
      <w:bookmarkStart w:id="942" w:name="_Ref153807023"/>
      <w:bookmarkStart w:id="943" w:name="_Toc154674790"/>
      <w:r w:rsidRPr="00D26B82">
        <w:rPr>
          <w:b/>
          <w:bCs/>
          <w:sz w:val="24"/>
          <w:szCs w:val="24"/>
        </w:rPr>
        <w:t xml:space="preserve">Figure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28</w:t>
      </w:r>
      <w:r w:rsidRPr="00D26B82">
        <w:rPr>
          <w:b/>
          <w:bCs/>
          <w:sz w:val="24"/>
          <w:szCs w:val="24"/>
        </w:rPr>
        <w:fldChar w:fldCharType="end"/>
      </w:r>
      <w:bookmarkEnd w:id="941"/>
      <w:r w:rsidRPr="00D26B82">
        <w:rPr>
          <w:b/>
          <w:bCs/>
          <w:sz w:val="24"/>
          <w:szCs w:val="24"/>
        </w:rPr>
        <w:t>: Gross Expenditure on R&amp;D as a Percentage of GDP</w:t>
      </w:r>
      <w:bookmarkEnd w:id="942"/>
      <w:r w:rsidR="00AC65EC" w:rsidRPr="00D26B82">
        <w:rPr>
          <w:b/>
          <w:bCs/>
          <w:sz w:val="24"/>
          <w:szCs w:val="24"/>
        </w:rPr>
        <w:t>, OECD country comparisons, 1992 to 2021</w:t>
      </w:r>
      <w:r w:rsidRPr="00D26B82">
        <w:rPr>
          <w:b/>
          <w:bCs/>
          <w:sz w:val="24"/>
          <w:szCs w:val="24"/>
        </w:rPr>
        <w:t>.</w:t>
      </w:r>
      <w:bookmarkEnd w:id="943"/>
    </w:p>
    <w:p w14:paraId="0304C41F" w14:textId="6DE00228" w:rsidR="00796DAB" w:rsidRDefault="00796DAB" w:rsidP="00703E85">
      <w:pPr>
        <w:pStyle w:val="Source"/>
      </w:pPr>
      <w:r>
        <w:rPr>
          <w:noProof/>
        </w:rPr>
        <w:drawing>
          <wp:inline distT="0" distB="0" distL="0" distR="0" wp14:anchorId="63F7D5EC" wp14:editId="77F01EC9">
            <wp:extent cx="5667153" cy="3947632"/>
            <wp:effectExtent l="0" t="0" r="0" b="0"/>
            <wp:docPr id="1576727122" name="Graphic 28" descr="A line graph showing gross expenditure on R&amp;D as a percentage of GDP across different OECD countries from 1992 to 2021. It shows Australia sitting below the OECD average which trends positively from 1992 to 2021. Australian gross expenditure on R&amp;D as a percentage of GDP trended positively from 1992 to 2008 and nearly matched the OECD average of 2.28% in 2008  before trending negatively to approximately 1.68% in 2021. Canada has a similar percentage in 2021; the United Kingdom surpasses Australia in 2014 and sits above the OECD average in 2021; Israel has the highest percentage in 2021 at just above 5.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727122" name="Graphic 28" descr="A line graph showing gross expenditure on R&amp;D as a percentage of GDP across different OECD countries from 1992 to 2021. It shows Australia sitting below the OECD average which trends positively from 1992 to 2021. Australian gross expenditure on R&amp;D as a percentage of GDP trended positively from 1992 to 2008 and nearly matched the OECD average of 2.28% in 2008  before trending negatively to approximately 1.68% in 2021. Canada has a similar percentage in 2021; the United Kingdom surpasses Australia in 2014 and sits above the OECD average in 2021; Israel has the highest percentage in 2021 at just above 5.5%. "/>
                    <pic:cNvPicPr/>
                  </pic:nvPicPr>
                  <pic:blipFill>
                    <a:blip r:embed="rId118">
                      <a:extLst>
                        <a:ext uri="{28A0092B-C50C-407E-A947-70E740481C1C}">
                          <a14:useLocalDpi xmlns:a14="http://schemas.microsoft.com/office/drawing/2010/main" val="0"/>
                        </a:ext>
                        <a:ext uri="{96DAC541-7B7A-43D3-8B79-37D633B846F1}">
                          <asvg:svgBlip xmlns:asvg="http://schemas.microsoft.com/office/drawing/2016/SVG/main" r:embed="rId119"/>
                        </a:ext>
                      </a:extLst>
                    </a:blip>
                    <a:stretch>
                      <a:fillRect/>
                    </a:stretch>
                  </pic:blipFill>
                  <pic:spPr>
                    <a:xfrm>
                      <a:off x="0" y="0"/>
                      <a:ext cx="5673931" cy="3952354"/>
                    </a:xfrm>
                    <a:prstGeom prst="rect">
                      <a:avLst/>
                    </a:prstGeom>
                  </pic:spPr>
                </pic:pic>
              </a:graphicData>
            </a:graphic>
          </wp:inline>
        </w:drawing>
      </w:r>
    </w:p>
    <w:p w14:paraId="34FB59BD" w14:textId="1D092608" w:rsidR="00703E85" w:rsidRPr="00C4084C" w:rsidRDefault="00703E85" w:rsidP="00703E85">
      <w:pPr>
        <w:pStyle w:val="Source"/>
        <w:rPr>
          <w:rFonts w:cs="Arial"/>
        </w:rPr>
      </w:pPr>
      <w:r w:rsidRPr="00C4084C">
        <w:t xml:space="preserve">Source: </w:t>
      </w:r>
      <w:r w:rsidR="00CF35BD" w:rsidRPr="00C4084C">
        <w:rPr>
          <w:rStyle w:val="normaltextrun"/>
        </w:rPr>
        <w:t>OECD, OECD Main Science and Technology Indicators [data set], 2023, https://stats.oecd.org/Index.aspx</w:t>
      </w:r>
      <w:r w:rsidR="00030CB5" w:rsidRPr="00C4084C">
        <w:rPr>
          <w:rStyle w:val="normaltextrun"/>
        </w:rPr>
        <w:t>‌</w:t>
      </w:r>
      <w:r w:rsidR="00CF35BD" w:rsidRPr="00C4084C">
        <w:rPr>
          <w:rStyle w:val="normaltextrun"/>
        </w:rPr>
        <w:t>?DataSetCode=MSTI_PUB.</w:t>
      </w:r>
      <w:r w:rsidR="00030CB5" w:rsidRPr="00C4084C">
        <w:rPr>
          <w:rStyle w:val="normaltextrun"/>
        </w:rPr>
        <w:t xml:space="preserve"> </w:t>
      </w:r>
    </w:p>
    <w:p w14:paraId="29AE84B9" w14:textId="771291F7" w:rsidR="00703E85" w:rsidRPr="00C4084C" w:rsidRDefault="00703E85" w:rsidP="007B4CF5">
      <w:r w:rsidRPr="00C4084C">
        <w:t>Australia’s gross domestic expenditure on R&amp;D (GERD) peaked at 2.25% in 2008–09 and has continuously declined to 1.68% of GDP in 2021–22.</w:t>
      </w:r>
      <w:r w:rsidRPr="00C4084C">
        <w:rPr>
          <w:vertAlign w:val="superscript"/>
        </w:rPr>
        <w:footnoteReference w:id="314"/>
      </w:r>
      <w:r w:rsidRPr="00C4084C">
        <w:rPr>
          <w:vertAlign w:val="superscript"/>
        </w:rPr>
        <w:t xml:space="preserve"> </w:t>
      </w:r>
      <w:r w:rsidRPr="00C4084C">
        <w:t xml:space="preserve">  </w:t>
      </w:r>
    </w:p>
    <w:p w14:paraId="2726779D" w14:textId="14DB2F4D" w:rsidR="00703E85" w:rsidRPr="00C4084C" w:rsidRDefault="00703E85" w:rsidP="007B4CF5">
      <w:r w:rsidRPr="00C4084C">
        <w:t>Business expenditure on R&amp;D (BERD) peaked in 2008–09 at 1.</w:t>
      </w:r>
      <w:r w:rsidR="00993C8F" w:rsidRPr="00C4084C">
        <w:t>37</w:t>
      </w:r>
      <w:r w:rsidRPr="00C4084C">
        <w:t>% and declined to 0.89% of GDP in 2021–22</w:t>
      </w:r>
      <w:r w:rsidR="00954BB9" w:rsidRPr="00C4084C">
        <w:t xml:space="preserve"> (see </w:t>
      </w:r>
      <w:r w:rsidR="00954BB9" w:rsidRPr="00C4084C">
        <w:fldChar w:fldCharType="begin"/>
      </w:r>
      <w:r w:rsidR="00954BB9" w:rsidRPr="00C4084C">
        <w:instrText xml:space="preserve"> REF _Ref153792745 \h </w:instrText>
      </w:r>
      <w:r w:rsidR="00D75C32">
        <w:instrText xml:space="preserve"> \* MERGEFORMAT </w:instrText>
      </w:r>
      <w:r w:rsidR="00954BB9" w:rsidRPr="00C4084C">
        <w:fldChar w:fldCharType="separate"/>
      </w:r>
      <w:r w:rsidR="00467B4F" w:rsidRPr="00C4084C">
        <w:t xml:space="preserve">Figure </w:t>
      </w:r>
      <w:r w:rsidR="00467B4F">
        <w:rPr>
          <w:noProof/>
        </w:rPr>
        <w:t>29</w:t>
      </w:r>
      <w:r w:rsidR="00954BB9" w:rsidRPr="00C4084C">
        <w:fldChar w:fldCharType="end"/>
      </w:r>
      <w:r w:rsidR="00954BB9" w:rsidRPr="00C4084C">
        <w:t>)</w:t>
      </w:r>
      <w:r w:rsidRPr="00C4084C">
        <w:t>.</w:t>
      </w:r>
      <w:r w:rsidRPr="00C4084C">
        <w:rPr>
          <w:rStyle w:val="FootnoteReference"/>
          <w:rFonts w:eastAsia="Arial" w:cs="Arial"/>
        </w:rPr>
        <w:footnoteReference w:id="315"/>
      </w:r>
      <w:r w:rsidRPr="00C4084C">
        <w:t xml:space="preserve"> Rising expenditure coincided with the emergence of the mining boom in the early 2000s, showing strong demand for R&amp;D innovations in the early stages then cooling following the end of the resources boom.</w:t>
      </w:r>
      <w:r w:rsidR="00BF194D" w:rsidRPr="00C4084C">
        <w:t xml:space="preserve"> </w:t>
      </w:r>
    </w:p>
    <w:p w14:paraId="09C783AD" w14:textId="4F7FF50B" w:rsidR="00703E85" w:rsidRPr="00C4084C" w:rsidRDefault="00E12386" w:rsidP="007B4CF5">
      <w:r w:rsidRPr="00C4084C">
        <w:lastRenderedPageBreak/>
        <w:t xml:space="preserve">Government expenditure on R&amp;D (GOVERD) also declined from 0.31% of GDP in 2002–03 to 0.16% of GDP in 2021–22 (see </w:t>
      </w:r>
      <w:r w:rsidRPr="00C4084C">
        <w:fldChar w:fldCharType="begin"/>
      </w:r>
      <w:r w:rsidRPr="00C4084C">
        <w:instrText xml:space="preserve"> REF _Ref153792745 \h </w:instrText>
      </w:r>
      <w:r w:rsidR="00D75C32">
        <w:instrText xml:space="preserve"> \* MERGEFORMAT </w:instrText>
      </w:r>
      <w:r w:rsidRPr="00C4084C">
        <w:fldChar w:fldCharType="separate"/>
      </w:r>
      <w:r w:rsidR="00467B4F" w:rsidRPr="00C4084C">
        <w:t xml:space="preserve">Figure </w:t>
      </w:r>
      <w:r w:rsidR="00467B4F">
        <w:rPr>
          <w:noProof/>
        </w:rPr>
        <w:t>29</w:t>
      </w:r>
      <w:r w:rsidRPr="00C4084C">
        <w:fldChar w:fldCharType="end"/>
      </w:r>
      <w:r w:rsidRPr="00C4084C">
        <w:t>)</w:t>
      </w:r>
      <w:r w:rsidR="00703E85" w:rsidRPr="00C4084C">
        <w:t>.</w:t>
      </w:r>
      <w:r w:rsidR="00703E85" w:rsidRPr="00C4084C">
        <w:rPr>
          <w:rStyle w:val="FootnoteReference"/>
          <w:rFonts w:eastAsia="Arial" w:cs="Arial"/>
        </w:rPr>
        <w:footnoteReference w:id="316"/>
      </w:r>
      <w:r w:rsidR="00703E85" w:rsidRPr="00C4084C">
        <w:t xml:space="preserve"> Total Australian Government investment in R&amp;D has been relatively stable over the past decade fluctuating around $10 billion per annum.</w:t>
      </w:r>
      <w:r w:rsidR="00703E85" w:rsidRPr="00C4084C">
        <w:rPr>
          <w:rStyle w:val="FootnoteReference"/>
          <w:rFonts w:eastAsia="Arial" w:cs="Arial"/>
        </w:rPr>
        <w:footnoteReference w:id="317"/>
      </w:r>
    </w:p>
    <w:p w14:paraId="46133BD2" w14:textId="1FB1DBAA" w:rsidR="00703E85" w:rsidRPr="00C4084C" w:rsidRDefault="00703E85" w:rsidP="007B4CF5">
      <w:r w:rsidRPr="00C4084C">
        <w:t>As total R&amp;D expenditure has declined, Australia’s R&amp;D has become increasingly reliant on investments made directly by the higher education sector itself, with higher education expenditure on R&amp;D (HERD) peaking in 2019–20 at 0.64% of GDP before falling to 0.56% in 2021–22.</w:t>
      </w:r>
      <w:r w:rsidR="00700317" w:rsidRPr="00C4084C">
        <w:rPr>
          <w:rStyle w:val="FootnoteReference"/>
          <w:rFonts w:eastAsia="Arial" w:cs="Arial"/>
        </w:rPr>
        <w:footnoteReference w:id="318"/>
      </w:r>
    </w:p>
    <w:p w14:paraId="6AEAB510" w14:textId="297648AB" w:rsidR="00703E85" w:rsidRPr="00D26B82" w:rsidRDefault="00703E85" w:rsidP="00703E85">
      <w:pPr>
        <w:pStyle w:val="Caption"/>
        <w:rPr>
          <w:b/>
          <w:bCs/>
          <w:sz w:val="24"/>
          <w:szCs w:val="24"/>
        </w:rPr>
      </w:pPr>
      <w:bookmarkStart w:id="946" w:name="_Ref153792745"/>
      <w:bookmarkStart w:id="947" w:name="_Toc154674791"/>
      <w:r w:rsidRPr="00D26B82">
        <w:rPr>
          <w:b/>
          <w:bCs/>
          <w:sz w:val="24"/>
          <w:szCs w:val="24"/>
        </w:rPr>
        <w:t xml:space="preserve">Figure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29</w:t>
      </w:r>
      <w:r w:rsidRPr="00D26B82">
        <w:rPr>
          <w:b/>
          <w:bCs/>
          <w:sz w:val="24"/>
          <w:szCs w:val="24"/>
        </w:rPr>
        <w:fldChar w:fldCharType="end"/>
      </w:r>
      <w:bookmarkEnd w:id="946"/>
      <w:r w:rsidRPr="00D26B82">
        <w:rPr>
          <w:b/>
          <w:bCs/>
          <w:sz w:val="24"/>
          <w:szCs w:val="24"/>
        </w:rPr>
        <w:t xml:space="preserve">: R&amp;D </w:t>
      </w:r>
      <w:r w:rsidR="00C96F8D" w:rsidRPr="00D26B82">
        <w:rPr>
          <w:b/>
          <w:bCs/>
          <w:sz w:val="24"/>
          <w:szCs w:val="24"/>
        </w:rPr>
        <w:t>e</w:t>
      </w:r>
      <w:r w:rsidRPr="00D26B82">
        <w:rPr>
          <w:b/>
          <w:bCs/>
          <w:sz w:val="24"/>
          <w:szCs w:val="24"/>
        </w:rPr>
        <w:t xml:space="preserve">xpenditure </w:t>
      </w:r>
      <w:r w:rsidR="00C96F8D" w:rsidRPr="00D26B82">
        <w:rPr>
          <w:b/>
          <w:bCs/>
          <w:sz w:val="24"/>
          <w:szCs w:val="24"/>
        </w:rPr>
        <w:t>s</w:t>
      </w:r>
      <w:r w:rsidRPr="00D26B82">
        <w:rPr>
          <w:b/>
          <w:bCs/>
          <w:sz w:val="24"/>
          <w:szCs w:val="24"/>
        </w:rPr>
        <w:t xml:space="preserve">ources as a </w:t>
      </w:r>
      <w:r w:rsidR="00C96F8D" w:rsidRPr="00D26B82">
        <w:rPr>
          <w:b/>
          <w:bCs/>
          <w:sz w:val="24"/>
          <w:szCs w:val="24"/>
        </w:rPr>
        <w:t>p</w:t>
      </w:r>
      <w:r w:rsidRPr="00D26B82">
        <w:rPr>
          <w:b/>
          <w:bCs/>
          <w:sz w:val="24"/>
          <w:szCs w:val="24"/>
        </w:rPr>
        <w:t>ercentage of GDP</w:t>
      </w:r>
      <w:r w:rsidR="00C96F8D" w:rsidRPr="00D26B82">
        <w:rPr>
          <w:b/>
          <w:bCs/>
          <w:sz w:val="24"/>
          <w:szCs w:val="24"/>
        </w:rPr>
        <w:t xml:space="preserve"> (%), Australia, 2002–03 to 2021–22</w:t>
      </w:r>
      <w:r w:rsidRPr="00D26B82">
        <w:rPr>
          <w:b/>
          <w:bCs/>
          <w:sz w:val="24"/>
          <w:szCs w:val="24"/>
        </w:rPr>
        <w:t>.</w:t>
      </w:r>
      <w:bookmarkEnd w:id="947"/>
    </w:p>
    <w:p w14:paraId="5DC71A5A" w14:textId="45BF9A76" w:rsidR="00796DAB" w:rsidRDefault="00796DAB" w:rsidP="008C4411">
      <w:pPr>
        <w:pStyle w:val="Source"/>
      </w:pPr>
      <w:r>
        <w:rPr>
          <w:noProof/>
        </w:rPr>
        <w:drawing>
          <wp:inline distT="0" distB="0" distL="0" distR="0" wp14:anchorId="7AC75A23" wp14:editId="15D6009E">
            <wp:extent cx="5617281" cy="2328531"/>
            <wp:effectExtent l="0" t="0" r="0" b="0"/>
            <wp:docPr id="1111370071" name="Graphic 29" descr="A line graph showing R&amp;D expenditure sources as a percentage of GDP in Australia from 2002-03 to 2021-22. GERD is the highest in all years peaking in 2008-09 at 2.24% before trending down towards 1.5% in 2021-22. GERD is followed by BERD, HERD, and GOVERD. HERD and GOVERD are initially similar, however, a gap widens with HERD being approximately 0.5 percentage points above GOVERD from 2011-12 onwards. GERD and BERD have similar trends often peaking and falling in the same financial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370071" name="Graphic 29" descr="A line graph showing R&amp;D expenditure sources as a percentage of GDP in Australia from 2002-03 to 2021-22. GERD is the highest in all years peaking in 2008-09 at 2.24% before trending down towards 1.5% in 2021-22. GERD is followed by BERD, HERD, and GOVERD. HERD and GOVERD are initially similar, however, a gap widens with HERD being approximately 0.5 percentage points above GOVERD from 2011-12 onwards. GERD and BERD have similar trends often peaking and falling in the same financial years. "/>
                    <pic:cNvPicPr/>
                  </pic:nvPicPr>
                  <pic:blipFill>
                    <a:blip r:embed="rId120">
                      <a:extLst>
                        <a:ext uri="{28A0092B-C50C-407E-A947-70E740481C1C}">
                          <a14:useLocalDpi xmlns:a14="http://schemas.microsoft.com/office/drawing/2010/main" val="0"/>
                        </a:ext>
                        <a:ext uri="{96DAC541-7B7A-43D3-8B79-37D633B846F1}">
                          <asvg:svgBlip xmlns:asvg="http://schemas.microsoft.com/office/drawing/2016/SVG/main" r:embed="rId121"/>
                        </a:ext>
                      </a:extLst>
                    </a:blip>
                    <a:stretch>
                      <a:fillRect/>
                    </a:stretch>
                  </pic:blipFill>
                  <pic:spPr>
                    <a:xfrm>
                      <a:off x="0" y="0"/>
                      <a:ext cx="5634300" cy="2335586"/>
                    </a:xfrm>
                    <a:prstGeom prst="rect">
                      <a:avLst/>
                    </a:prstGeom>
                  </pic:spPr>
                </pic:pic>
              </a:graphicData>
            </a:graphic>
          </wp:inline>
        </w:drawing>
      </w:r>
    </w:p>
    <w:p w14:paraId="75D44F10" w14:textId="687EA685" w:rsidR="00783EFD" w:rsidRPr="00C4084C" w:rsidRDefault="00783EFD" w:rsidP="008C4411">
      <w:pPr>
        <w:pStyle w:val="Source"/>
      </w:pPr>
      <w:r w:rsidRPr="00C4084C">
        <w:t xml:space="preserve">Source: Australian Bureau of Statistics, </w:t>
      </w:r>
      <w:r w:rsidR="00F05326" w:rsidRPr="008C67CA">
        <w:t>Research and Experimental Development, All Sector Summary, Australia, 2008-09</w:t>
      </w:r>
      <w:r w:rsidRPr="00C4084C">
        <w:t xml:space="preserve"> </w:t>
      </w:r>
      <w:r w:rsidR="008E1CC1">
        <w:t>[data set]</w:t>
      </w:r>
      <w:r w:rsidR="003C68AE">
        <w:t>,</w:t>
      </w:r>
      <w:r w:rsidR="008E1CC1">
        <w:t xml:space="preserve"> </w:t>
      </w:r>
      <w:r w:rsidR="005A5161">
        <w:t>Cat. No. 8112.0</w:t>
      </w:r>
      <w:r w:rsidR="00394A96">
        <w:t>,</w:t>
      </w:r>
      <w:r w:rsidR="005A5161">
        <w:t xml:space="preserve"> (Canberra</w:t>
      </w:r>
      <w:r w:rsidR="00684A36">
        <w:t>)</w:t>
      </w:r>
      <w:r w:rsidR="00705063">
        <w:t>,</w:t>
      </w:r>
      <w:r w:rsidR="00684A36">
        <w:t xml:space="preserve"> published 11 October</w:t>
      </w:r>
      <w:r w:rsidR="00B134E6">
        <w:t xml:space="preserve"> 2010</w:t>
      </w:r>
      <w:r w:rsidR="00684A36">
        <w:t>,</w:t>
      </w:r>
      <w:r w:rsidR="00705063">
        <w:t xml:space="preserve"> </w:t>
      </w:r>
      <w:hyperlink r:id="rId122" w:history="1">
        <w:r w:rsidR="003147F7" w:rsidRPr="003147F7">
          <w:rPr>
            <w:rStyle w:val="Hyperlink"/>
          </w:rPr>
          <w:t>https://www.abs.gov.</w:t>
        </w:r>
        <w:r w:rsidR="003147F7" w:rsidRPr="003147F7">
          <w:rPr>
            <w:rStyle w:val="Hyperlink"/>
          </w:rPr>
          <w:br/>
          <w:t>au/AUSSTATS/abs@.nsf/Lookup/8112.0Main+Features12008-09?OpenDocument</w:t>
        </w:r>
      </w:hyperlink>
      <w:r w:rsidR="0073487F">
        <w:t xml:space="preserve">; </w:t>
      </w:r>
      <w:r w:rsidRPr="00C4084C">
        <w:t xml:space="preserve">Australian Bureau of Statistics, </w:t>
      </w:r>
      <w:r w:rsidR="00A71862" w:rsidRPr="008C67CA">
        <w:rPr>
          <w:i/>
          <w:iCs/>
        </w:rPr>
        <w:t>Research and Experimental Development, Businesses, Australia</w:t>
      </w:r>
      <w:r w:rsidR="00375CB0">
        <w:rPr>
          <w:i/>
          <w:iCs/>
        </w:rPr>
        <w:t>, 2021</w:t>
      </w:r>
      <w:r w:rsidR="00375CB0">
        <w:rPr>
          <w:rFonts w:ascii="Symbol" w:eastAsia="Symbol" w:hAnsi="Symbol" w:cs="Symbol"/>
          <w:i/>
          <w:iCs/>
        </w:rPr>
        <w:t>-</w:t>
      </w:r>
      <w:r w:rsidR="00375CB0">
        <w:rPr>
          <w:i/>
          <w:iCs/>
        </w:rPr>
        <w:t>22</w:t>
      </w:r>
      <w:r w:rsidR="002A1C0C">
        <w:rPr>
          <w:i/>
          <w:iCs/>
        </w:rPr>
        <w:t xml:space="preserve"> </w:t>
      </w:r>
      <w:r w:rsidR="002A1C0C">
        <w:t>[data set],</w:t>
      </w:r>
      <w:r w:rsidR="00524B7E">
        <w:t xml:space="preserve"> (Canberra</w:t>
      </w:r>
      <w:r w:rsidR="00CA4AB2">
        <w:t>)</w:t>
      </w:r>
      <w:r w:rsidR="00F0334E">
        <w:t>,</w:t>
      </w:r>
      <w:r w:rsidR="00524B7E">
        <w:t xml:space="preserve"> </w:t>
      </w:r>
      <w:r w:rsidR="00CA4AB2">
        <w:t>published 25</w:t>
      </w:r>
      <w:r w:rsidR="00836094">
        <w:t> </w:t>
      </w:r>
      <w:r w:rsidR="00CA4AB2">
        <w:t>August</w:t>
      </w:r>
      <w:r w:rsidR="00524B7E">
        <w:t xml:space="preserve"> 2023</w:t>
      </w:r>
      <w:r w:rsidR="00CA4AB2">
        <w:t>,</w:t>
      </w:r>
      <w:r w:rsidR="00524B7E">
        <w:t xml:space="preserve"> </w:t>
      </w:r>
      <w:hyperlink r:id="rId123" w:anchor="cite-window1" w:history="1">
        <w:r w:rsidR="003147F7" w:rsidRPr="003147F7">
          <w:rPr>
            <w:rStyle w:val="Hyperlink"/>
          </w:rPr>
          <w:t>https://www.abs.gov.au/statistics/industry/technology-and-innovation/research-and-experimental-development-businesses-australia/latest-release#cite-window1</w:t>
        </w:r>
      </w:hyperlink>
      <w:r w:rsidR="006C33AC">
        <w:t>;</w:t>
      </w:r>
      <w:r w:rsidR="00A71862">
        <w:t xml:space="preserve"> </w:t>
      </w:r>
      <w:r w:rsidRPr="00C4084C">
        <w:t>Australian Bureau of Statistics</w:t>
      </w:r>
      <w:r w:rsidRPr="004406D4">
        <w:rPr>
          <w:i/>
        </w:rPr>
        <w:t>, Australian National Accounts: National Income, Expenditure and Product</w:t>
      </w:r>
      <w:r w:rsidR="003147F7">
        <w:rPr>
          <w:i/>
        </w:rPr>
        <w:t xml:space="preserve"> (</w:t>
      </w:r>
      <w:r w:rsidR="003147F7" w:rsidRPr="004406D4">
        <w:rPr>
          <w:i/>
        </w:rPr>
        <w:t>June 2023</w:t>
      </w:r>
      <w:r w:rsidR="003147F7">
        <w:rPr>
          <w:i/>
        </w:rPr>
        <w:t>)</w:t>
      </w:r>
      <w:r w:rsidR="004A79E1">
        <w:rPr>
          <w:i/>
        </w:rPr>
        <w:t xml:space="preserve"> </w:t>
      </w:r>
      <w:r w:rsidR="004A79E1">
        <w:t>[data set]</w:t>
      </w:r>
      <w:r w:rsidR="003147F7">
        <w:rPr>
          <w:iCs/>
        </w:rPr>
        <w:t>,</w:t>
      </w:r>
      <w:r w:rsidRPr="008563D5">
        <w:rPr>
          <w:iCs/>
        </w:rPr>
        <w:t xml:space="preserve"> Table 36,</w:t>
      </w:r>
      <w:r w:rsidR="000D0D01">
        <w:t xml:space="preserve"> </w:t>
      </w:r>
      <w:r w:rsidR="009C780B">
        <w:t>(Canberra</w:t>
      </w:r>
      <w:r w:rsidR="00EE0AE3">
        <w:t>)</w:t>
      </w:r>
      <w:r w:rsidR="00375CB0">
        <w:t>,</w:t>
      </w:r>
      <w:r w:rsidR="00EE0AE3">
        <w:t xml:space="preserve"> published 6 September 2023,</w:t>
      </w:r>
      <w:r w:rsidR="009C780B">
        <w:t xml:space="preserve"> </w:t>
      </w:r>
      <w:hyperlink r:id="rId124" w:history="1">
        <w:r w:rsidR="003147F7" w:rsidRPr="003147F7">
          <w:rPr>
            <w:rStyle w:val="Hyperlink"/>
          </w:rPr>
          <w:t>https://www.abs.gov.au/statistics/economy/national-accounts/australian-national-accounts-national-income-expenditure-and-product/jun-2023</w:t>
        </w:r>
      </w:hyperlink>
      <w:r w:rsidR="009C780B">
        <w:t xml:space="preserve">. </w:t>
      </w:r>
    </w:p>
    <w:p w14:paraId="6CEA0515" w14:textId="77777777" w:rsidR="00783EFD" w:rsidRPr="00C4084C" w:rsidRDefault="00783EFD" w:rsidP="008C4411">
      <w:pPr>
        <w:pStyle w:val="Source"/>
      </w:pPr>
      <w:r w:rsidRPr="00C4084C">
        <w:t>Note: GOVERED, HERD and PNPERD figures are taken from the GERD publication which are based on ABS estimated figures for consistent time periods with BERD. ABS started modelling HERD, GOVERD and PNPRD since 2011 to align them with BERD reporting years. Now they use ARIMA (1,1,0) model.</w:t>
      </w:r>
    </w:p>
    <w:p w14:paraId="6D6F391F" w14:textId="7F52356C" w:rsidR="00703E85" w:rsidRPr="00C4084C" w:rsidRDefault="00703E85" w:rsidP="00703E85">
      <w:r w:rsidRPr="00C4084C">
        <w:lastRenderedPageBreak/>
        <w:t>By international benchmarks, the amount universities spend on R&amp;D in Australia as a percentage of GERD remained well above the OECD total from 1992 to 20</w:t>
      </w:r>
      <w:r w:rsidR="005E40A5" w:rsidRPr="00C4084C">
        <w:t>21</w:t>
      </w:r>
      <w:r w:rsidR="00954BB9" w:rsidRPr="00C4084C">
        <w:t xml:space="preserve"> (see </w:t>
      </w:r>
      <w:r w:rsidR="00954BB9" w:rsidRPr="00C4084C">
        <w:fldChar w:fldCharType="begin"/>
      </w:r>
      <w:r w:rsidR="00954BB9" w:rsidRPr="00C4084C">
        <w:instrText xml:space="preserve"> REF _Ref153807130 \h </w:instrText>
      </w:r>
      <w:r w:rsidR="00D75C32">
        <w:instrText xml:space="preserve"> \* MERGEFORMAT </w:instrText>
      </w:r>
      <w:r w:rsidR="00954BB9" w:rsidRPr="00C4084C">
        <w:fldChar w:fldCharType="separate"/>
      </w:r>
      <w:r w:rsidR="00467B4F" w:rsidRPr="00C4084C">
        <w:t xml:space="preserve">Figure </w:t>
      </w:r>
      <w:r w:rsidR="00467B4F">
        <w:rPr>
          <w:noProof/>
        </w:rPr>
        <w:t>30</w:t>
      </w:r>
      <w:r w:rsidR="00954BB9" w:rsidRPr="00C4084C">
        <w:fldChar w:fldCharType="end"/>
      </w:r>
      <w:r w:rsidR="00954BB9" w:rsidRPr="00C4084C">
        <w:t>)</w:t>
      </w:r>
      <w:r w:rsidRPr="00C4084C">
        <w:t>, reflecting the atypical role Australian universities play, and the considerable investment they make, in Australia’s research system. After declining to 24</w:t>
      </w:r>
      <w:r w:rsidR="007771C1" w:rsidRPr="00C4084C">
        <w:t>.2</w:t>
      </w:r>
      <w:r w:rsidRPr="00C4084C">
        <w:t xml:space="preserve">% of GERD in 2008, Australia’s HERD </w:t>
      </w:r>
      <w:r w:rsidR="00A40FA5" w:rsidRPr="00C4084C">
        <w:t>was at</w:t>
      </w:r>
      <w:r w:rsidRPr="00C4084C">
        <w:t xml:space="preserve"> </w:t>
      </w:r>
      <w:r w:rsidR="007771C1" w:rsidRPr="00C4084C">
        <w:t>35.7</w:t>
      </w:r>
      <w:r w:rsidRPr="00C4084C">
        <w:t>% in 20</w:t>
      </w:r>
      <w:r w:rsidR="00A40FA5" w:rsidRPr="00C4084C">
        <w:t>21</w:t>
      </w:r>
      <w:r w:rsidRPr="00C4084C">
        <w:t xml:space="preserve"> which</w:t>
      </w:r>
      <w:r w:rsidR="008F65E8">
        <w:t>,</w:t>
      </w:r>
      <w:r w:rsidRPr="00C4084C">
        <w:t xml:space="preserve"> when compared to similar countries</w:t>
      </w:r>
      <w:r w:rsidR="008F65E8">
        <w:t>,</w:t>
      </w:r>
      <w:r w:rsidRPr="00C4084C">
        <w:t xml:space="preserve"> was second only to Canada at 3</w:t>
      </w:r>
      <w:r w:rsidR="00A40FA5" w:rsidRPr="00C4084C">
        <w:t>8</w:t>
      </w:r>
      <w:r w:rsidR="007771C1" w:rsidRPr="00C4084C">
        <w:t>.9</w:t>
      </w:r>
      <w:r w:rsidRPr="00C4084C">
        <w:t>%.</w:t>
      </w:r>
      <w:r w:rsidRPr="00C4084C">
        <w:rPr>
          <w:rStyle w:val="FootnoteReference"/>
          <w:rFonts w:eastAsia="Arial" w:cs="Arial"/>
        </w:rPr>
        <w:footnoteReference w:id="319"/>
      </w:r>
      <w:r w:rsidRPr="00C4084C">
        <w:t xml:space="preserve">  </w:t>
      </w:r>
    </w:p>
    <w:p w14:paraId="5EEF38E5" w14:textId="4AB852D6" w:rsidR="00703E85" w:rsidRPr="00D26B82" w:rsidRDefault="00703E85" w:rsidP="00703E85">
      <w:pPr>
        <w:pStyle w:val="Caption"/>
        <w:rPr>
          <w:b/>
          <w:bCs/>
          <w:sz w:val="24"/>
          <w:szCs w:val="24"/>
        </w:rPr>
      </w:pPr>
      <w:bookmarkStart w:id="948" w:name="_Ref153807130"/>
      <w:bookmarkStart w:id="949" w:name="_Toc154674792"/>
      <w:r w:rsidRPr="00D26B82">
        <w:rPr>
          <w:b/>
          <w:bCs/>
          <w:sz w:val="24"/>
          <w:szCs w:val="24"/>
        </w:rPr>
        <w:t xml:space="preserve">Figure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30</w:t>
      </w:r>
      <w:r w:rsidRPr="00D26B82">
        <w:rPr>
          <w:b/>
          <w:bCs/>
          <w:sz w:val="24"/>
          <w:szCs w:val="24"/>
        </w:rPr>
        <w:fldChar w:fldCharType="end"/>
      </w:r>
      <w:bookmarkEnd w:id="948"/>
      <w:r w:rsidRPr="00D26B82">
        <w:rPr>
          <w:b/>
          <w:bCs/>
          <w:sz w:val="24"/>
          <w:szCs w:val="24"/>
        </w:rPr>
        <w:t>: HERD as a percentage of GERD</w:t>
      </w:r>
      <w:r w:rsidR="00C45AA9" w:rsidRPr="00D26B82">
        <w:rPr>
          <w:b/>
          <w:bCs/>
          <w:sz w:val="24"/>
          <w:szCs w:val="24"/>
        </w:rPr>
        <w:t xml:space="preserve"> (%), OECD country comparisons, 1992 to 2021</w:t>
      </w:r>
      <w:r w:rsidRPr="00D26B82">
        <w:rPr>
          <w:b/>
          <w:bCs/>
          <w:sz w:val="24"/>
          <w:szCs w:val="24"/>
        </w:rPr>
        <w:t>.</w:t>
      </w:r>
      <w:bookmarkEnd w:id="949"/>
    </w:p>
    <w:p w14:paraId="7055C702" w14:textId="5826334F" w:rsidR="00796DAB" w:rsidRDefault="006A65B4" w:rsidP="004D06A4">
      <w:pPr>
        <w:pStyle w:val="Source"/>
      </w:pPr>
      <w:r>
        <w:rPr>
          <w:noProof/>
          <w:color w:val="000000"/>
        </w:rPr>
        <w:drawing>
          <wp:inline distT="0" distB="0" distL="0" distR="0" wp14:anchorId="5FDA3EA7" wp14:editId="789EE4F7">
            <wp:extent cx="5720316" cy="3972442"/>
            <wp:effectExtent l="0" t="0" r="0" b="0"/>
            <wp:docPr id="1553029696" name="Graphic 30" descr="A line graph showing HERD as a percentage of GERD by OECD countries from 1992 to 2021. Australia sits well above the OECD total, trending down from 1998 to 2008 and then trending up to above 35% in 2019 and falling again in 2021. Canada sits above Australia while Korea, USA, Japan and Israel sit below the OECD total from 200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029696" name="Graphic 30" descr="A line graph showing HERD as a percentage of GERD by OECD countries from 1992 to 2021. Australia sits well above the OECD total, trending down from 1998 to 2008 and then trending up to above 35% in 2019 and falling again in 2021. Canada sits above Australia while Korea, USA, Japan and Israel sit below the OECD total from 2000. "/>
                    <pic:cNvPicPr/>
                  </pic:nvPicPr>
                  <pic:blipFill>
                    <a:blip r:embed="rId125">
                      <a:extLst>
                        <a:ext uri="{28A0092B-C50C-407E-A947-70E740481C1C}">
                          <a14:useLocalDpi xmlns:a14="http://schemas.microsoft.com/office/drawing/2010/main" val="0"/>
                        </a:ext>
                        <a:ext uri="{96DAC541-7B7A-43D3-8B79-37D633B846F1}">
                          <asvg:svgBlip xmlns:asvg="http://schemas.microsoft.com/office/drawing/2016/SVG/main" r:embed="rId126"/>
                        </a:ext>
                      </a:extLst>
                    </a:blip>
                    <a:stretch>
                      <a:fillRect/>
                    </a:stretch>
                  </pic:blipFill>
                  <pic:spPr>
                    <a:xfrm>
                      <a:off x="0" y="0"/>
                      <a:ext cx="5728148" cy="3977881"/>
                    </a:xfrm>
                    <a:prstGeom prst="rect">
                      <a:avLst/>
                    </a:prstGeom>
                  </pic:spPr>
                </pic:pic>
              </a:graphicData>
            </a:graphic>
          </wp:inline>
        </w:drawing>
      </w:r>
    </w:p>
    <w:p w14:paraId="164172AE" w14:textId="27F4AB21" w:rsidR="004D06A4" w:rsidRPr="00C4084C" w:rsidRDefault="004D06A4" w:rsidP="004D06A4">
      <w:pPr>
        <w:pStyle w:val="Source"/>
      </w:pPr>
      <w:r w:rsidRPr="00C4084C">
        <w:t xml:space="preserve">Source: </w:t>
      </w:r>
      <w:r w:rsidRPr="00C4084C">
        <w:rPr>
          <w:rStyle w:val="normaltextrun"/>
        </w:rPr>
        <w:t xml:space="preserve">OECD, </w:t>
      </w:r>
      <w:r w:rsidRPr="00C4084C">
        <w:rPr>
          <w:rStyle w:val="normaltextrun"/>
          <w:i/>
        </w:rPr>
        <w:t>OECD</w:t>
      </w:r>
      <w:r w:rsidRPr="00C4084C">
        <w:rPr>
          <w:rStyle w:val="normaltextrun"/>
        </w:rPr>
        <w:t xml:space="preserve"> </w:t>
      </w:r>
      <w:hyperlink r:id="rId127" w:history="1">
        <w:r w:rsidRPr="00C4084C">
          <w:rPr>
            <w:rStyle w:val="Hyperlink"/>
            <w:i/>
            <w:color w:val="757679"/>
            <w:u w:val="none"/>
          </w:rPr>
          <w:t>Main Science and Technology Indicators</w:t>
        </w:r>
      </w:hyperlink>
      <w:r w:rsidRPr="00C4084C">
        <w:rPr>
          <w:rStyle w:val="Hyperlink"/>
          <w:i/>
          <w:color w:val="757679"/>
          <w:u w:val="none"/>
        </w:rPr>
        <w:t xml:space="preserve"> </w:t>
      </w:r>
      <w:r w:rsidRPr="00C4084C">
        <w:rPr>
          <w:rStyle w:val="Hyperlink"/>
          <w:iCs/>
          <w:color w:val="757679"/>
          <w:u w:val="none"/>
        </w:rPr>
        <w:t>[data set],</w:t>
      </w:r>
      <w:r w:rsidRPr="00C4084C">
        <w:rPr>
          <w:rStyle w:val="Hyperlink"/>
          <w:i/>
          <w:color w:val="757679"/>
          <w:u w:val="none"/>
        </w:rPr>
        <w:t xml:space="preserve"> </w:t>
      </w:r>
      <w:r w:rsidRPr="00C4084C">
        <w:rPr>
          <w:rStyle w:val="Hyperlink"/>
          <w:color w:val="757679"/>
          <w:u w:val="none"/>
        </w:rPr>
        <w:t>2023</w:t>
      </w:r>
      <w:r w:rsidRPr="00C4084C">
        <w:rPr>
          <w:rStyle w:val="Hyperlink"/>
          <w:i/>
          <w:color w:val="757679"/>
          <w:u w:val="none"/>
        </w:rPr>
        <w:t xml:space="preserve">. </w:t>
      </w:r>
      <w:r w:rsidRPr="00C4084C">
        <w:rPr>
          <w:rStyle w:val="normaltextrun"/>
        </w:rPr>
        <w:t>Percentage of GERD performed by the Higher Education sector HERD as a percentage of GDP.</w:t>
      </w:r>
    </w:p>
    <w:p w14:paraId="7C5606F9" w14:textId="7E0222FC" w:rsidR="00703E85" w:rsidRPr="00C4084C" w:rsidRDefault="00703E85" w:rsidP="007B4CF5">
      <w:pPr>
        <w:rPr>
          <w:b/>
        </w:rPr>
      </w:pPr>
      <w:r w:rsidRPr="00C4084C">
        <w:t>When comparing Australia’s HERD relative to GDP to other advanced research systems</w:t>
      </w:r>
      <w:r w:rsidR="00954BB9" w:rsidRPr="00C4084C">
        <w:t xml:space="preserve"> (see </w:t>
      </w:r>
      <w:r w:rsidR="00954BB9" w:rsidRPr="00C4084C">
        <w:fldChar w:fldCharType="begin"/>
      </w:r>
      <w:r w:rsidR="00954BB9" w:rsidRPr="00C4084C">
        <w:instrText xml:space="preserve"> REF _Ref153807150 \h </w:instrText>
      </w:r>
      <w:r w:rsidR="00D75C32">
        <w:instrText xml:space="preserve"> \* MERGEFORMAT </w:instrText>
      </w:r>
      <w:r w:rsidR="00954BB9" w:rsidRPr="00C4084C">
        <w:fldChar w:fldCharType="separate"/>
      </w:r>
      <w:r w:rsidR="00467B4F" w:rsidRPr="00C4084C">
        <w:t xml:space="preserve">Figure </w:t>
      </w:r>
      <w:r w:rsidR="00467B4F">
        <w:rPr>
          <w:noProof/>
        </w:rPr>
        <w:t>31</w:t>
      </w:r>
      <w:r w:rsidR="00954BB9" w:rsidRPr="00C4084C">
        <w:fldChar w:fldCharType="end"/>
      </w:r>
      <w:r w:rsidR="00954BB9" w:rsidRPr="00C4084C">
        <w:t>)</w:t>
      </w:r>
      <w:r w:rsidRPr="00C4084C">
        <w:t>, Australia still performs strongly at 0.61%, which is well above the OECD average in 2020 of 0.45% but behind the UK (0.66%) and Canada (0.72%).</w:t>
      </w:r>
      <w:r w:rsidRPr="00C4084C">
        <w:rPr>
          <w:rStyle w:val="FootnoteReference"/>
          <w:rFonts w:eastAsia="Arial" w:cs="Arial"/>
        </w:rPr>
        <w:footnoteReference w:id="320"/>
      </w:r>
      <w:r w:rsidRPr="00C4084C">
        <w:t xml:space="preserve"> Australian universities have responded to direct and indirect research funding shortfalls by strongly backing the public value of the research they conduct in the national interest, </w:t>
      </w:r>
      <w:r w:rsidR="00585213">
        <w:t xml:space="preserve">seeking out and </w:t>
      </w:r>
      <w:r w:rsidRPr="00C4084C">
        <w:t xml:space="preserve">utilising their discretionary revenues – by and large, international </w:t>
      </w:r>
      <w:r w:rsidR="00A844B3" w:rsidRPr="00C4084C">
        <w:t>student fee revenue – for this</w:t>
      </w:r>
      <w:r w:rsidRPr="00C4084C">
        <w:t xml:space="preserve">. </w:t>
      </w:r>
    </w:p>
    <w:p w14:paraId="7DE40076" w14:textId="096720D3" w:rsidR="00547F8D" w:rsidRPr="00D26B82" w:rsidRDefault="00703E85" w:rsidP="008C4411">
      <w:pPr>
        <w:pStyle w:val="Caption"/>
        <w:rPr>
          <w:b/>
          <w:bCs/>
          <w:sz w:val="24"/>
          <w:szCs w:val="24"/>
          <w:lang w:eastAsia="en-AU"/>
        </w:rPr>
      </w:pPr>
      <w:bookmarkStart w:id="950" w:name="_Ref153807150"/>
      <w:bookmarkStart w:id="951" w:name="_Toc154674793"/>
      <w:r w:rsidRPr="00D26B82">
        <w:rPr>
          <w:b/>
          <w:bCs/>
          <w:sz w:val="24"/>
          <w:szCs w:val="24"/>
        </w:rPr>
        <w:lastRenderedPageBreak/>
        <w:t xml:space="preserve">Figure </w:t>
      </w:r>
      <w:r w:rsidRPr="00D26B82">
        <w:rPr>
          <w:b/>
          <w:bCs/>
          <w:iCs w:val="0"/>
          <w:sz w:val="24"/>
          <w:szCs w:val="24"/>
        </w:rPr>
        <w:fldChar w:fldCharType="begin"/>
      </w:r>
      <w:r w:rsidRPr="00D26B82">
        <w:rPr>
          <w:b/>
          <w:bCs/>
          <w:sz w:val="24"/>
          <w:szCs w:val="24"/>
        </w:rPr>
        <w:instrText>SEQ Figure \* ARABIC</w:instrText>
      </w:r>
      <w:r w:rsidRPr="00D26B82">
        <w:rPr>
          <w:b/>
          <w:bCs/>
          <w:iCs w:val="0"/>
          <w:sz w:val="24"/>
          <w:szCs w:val="24"/>
        </w:rPr>
        <w:fldChar w:fldCharType="separate"/>
      </w:r>
      <w:r w:rsidR="00467B4F" w:rsidRPr="00D26B82">
        <w:rPr>
          <w:b/>
          <w:bCs/>
          <w:noProof/>
          <w:sz w:val="24"/>
          <w:szCs w:val="24"/>
        </w:rPr>
        <w:t>31</w:t>
      </w:r>
      <w:r w:rsidRPr="00D26B82">
        <w:rPr>
          <w:b/>
          <w:bCs/>
          <w:iCs w:val="0"/>
          <w:sz w:val="24"/>
          <w:szCs w:val="24"/>
        </w:rPr>
        <w:fldChar w:fldCharType="end"/>
      </w:r>
      <w:bookmarkEnd w:id="950"/>
      <w:r w:rsidRPr="00D26B82">
        <w:rPr>
          <w:b/>
          <w:bCs/>
          <w:sz w:val="24"/>
          <w:szCs w:val="24"/>
        </w:rPr>
        <w:t>: HERD as a percentage of GDP</w:t>
      </w:r>
      <w:r w:rsidR="00C45AA9" w:rsidRPr="00D26B82">
        <w:rPr>
          <w:b/>
          <w:bCs/>
          <w:sz w:val="24"/>
          <w:szCs w:val="24"/>
        </w:rPr>
        <w:t xml:space="preserve"> (%), OECD country comparisons, 1992 to 2021</w:t>
      </w:r>
      <w:r w:rsidRPr="00D26B82">
        <w:rPr>
          <w:b/>
          <w:bCs/>
          <w:sz w:val="24"/>
          <w:szCs w:val="24"/>
        </w:rPr>
        <w:t>.</w:t>
      </w:r>
      <w:bookmarkEnd w:id="951"/>
    </w:p>
    <w:p w14:paraId="3DEC4E48" w14:textId="4C8B4C38" w:rsidR="006A65B4" w:rsidRDefault="006A65B4" w:rsidP="008C4411">
      <w:pPr>
        <w:pStyle w:val="Source"/>
        <w:rPr>
          <w:rFonts w:cs="Arial"/>
        </w:rPr>
      </w:pPr>
      <w:r>
        <w:rPr>
          <w:noProof/>
        </w:rPr>
        <w:drawing>
          <wp:inline distT="0" distB="0" distL="0" distR="0" wp14:anchorId="04AC1D62" wp14:editId="1C7E82C7">
            <wp:extent cx="5582093" cy="3876453"/>
            <wp:effectExtent l="0" t="0" r="0" b="0"/>
            <wp:docPr id="1522356569" name="Graphic 31" descr="A line graph showing HERD as a percentage of GDP by OECD countries from 1992 to 2021. Australia initially sits less than 0.1 percentage point above the OECD average, then trends upwards overall from 2000 to 2019, dropping in 2021 to approximately 0.2 percentage points above the OECD total.  Canada has similar trends and sits approximately 0.1 percentage point above Australia in 2021 while other OECD countries such as Korea, Israel, Japan, and USA converge within less than 0.1 percentage point of the OECD to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356569" name="Graphic 31" descr="A line graph showing HERD as a percentage of GDP by OECD countries from 1992 to 2021. Australia initially sits less than 0.1 percentage point above the OECD average, then trends upwards overall from 2000 to 2019, dropping in 2021 to approximately 0.2 percentage points above the OECD total.  Canada has similar trends and sits approximately 0.1 percentage point above Australia in 2021 while other OECD countries such as Korea, Israel, Japan, and USA converge within less than 0.1 percentage point of the OECD total."/>
                    <pic:cNvPicPr/>
                  </pic:nvPicPr>
                  <pic:blipFill>
                    <a:blip r:embed="rId128">
                      <a:extLst>
                        <a:ext uri="{28A0092B-C50C-407E-A947-70E740481C1C}">
                          <a14:useLocalDpi xmlns:a14="http://schemas.microsoft.com/office/drawing/2010/main" val="0"/>
                        </a:ext>
                        <a:ext uri="{96DAC541-7B7A-43D3-8B79-37D633B846F1}">
                          <asvg:svgBlip xmlns:asvg="http://schemas.microsoft.com/office/drawing/2016/SVG/main" r:embed="rId129"/>
                        </a:ext>
                      </a:extLst>
                    </a:blip>
                    <a:stretch>
                      <a:fillRect/>
                    </a:stretch>
                  </pic:blipFill>
                  <pic:spPr>
                    <a:xfrm>
                      <a:off x="0" y="0"/>
                      <a:ext cx="5590041" cy="3881973"/>
                    </a:xfrm>
                    <a:prstGeom prst="rect">
                      <a:avLst/>
                    </a:prstGeom>
                  </pic:spPr>
                </pic:pic>
              </a:graphicData>
            </a:graphic>
          </wp:inline>
        </w:drawing>
      </w:r>
    </w:p>
    <w:p w14:paraId="3110C166" w14:textId="2DB61910" w:rsidR="00A54BDE" w:rsidRPr="00C4084C" w:rsidRDefault="00547F8D" w:rsidP="008C4411">
      <w:pPr>
        <w:pStyle w:val="Source"/>
        <w:rPr>
          <w:rStyle w:val="Hyperlink"/>
        </w:rPr>
      </w:pPr>
      <w:r w:rsidRPr="00C4084C">
        <w:rPr>
          <w:rFonts w:cs="Arial"/>
        </w:rPr>
        <w:t xml:space="preserve">Source: </w:t>
      </w:r>
      <w:r w:rsidRPr="7701CFAC">
        <w:t>OECD,</w:t>
      </w:r>
      <w:r w:rsidRPr="7701CFAC">
        <w:rPr>
          <w:i/>
        </w:rPr>
        <w:t xml:space="preserve"> OECD Main Science and Technology Indicators </w:t>
      </w:r>
      <w:r w:rsidRPr="7701CFAC">
        <w:t>[data set], 2023</w:t>
      </w:r>
      <w:r w:rsidRPr="00C4084C">
        <w:rPr>
          <w:rStyle w:val="normaltextrun"/>
          <w:rFonts w:cs="Arial"/>
        </w:rPr>
        <w:t>.</w:t>
      </w:r>
      <w:r w:rsidR="00A54BDE" w:rsidRPr="00C4084C">
        <w:rPr>
          <w:rStyle w:val="normaltextrun"/>
          <w:rFonts w:cs="Arial"/>
        </w:rPr>
        <w:t xml:space="preserve"> </w:t>
      </w:r>
      <w:r w:rsidR="00A54BDE" w:rsidRPr="7701CFAC">
        <w:t xml:space="preserve">The 2021 figure for Australia is sourced from Australian Bureau of Statistics, </w:t>
      </w:r>
      <w:r w:rsidR="00A54BDE" w:rsidRPr="7701CFAC">
        <w:rPr>
          <w:i/>
        </w:rPr>
        <w:t>Research and Experimental Development, Businesses, Australia 2021</w:t>
      </w:r>
      <w:r w:rsidR="003B0495" w:rsidRPr="7701CFAC">
        <w:rPr>
          <w:i/>
        </w:rPr>
        <w:t>–</w:t>
      </w:r>
      <w:r w:rsidR="00A54BDE" w:rsidRPr="7701CFAC">
        <w:rPr>
          <w:i/>
        </w:rPr>
        <w:t>22</w:t>
      </w:r>
      <w:r w:rsidR="00A54BDE" w:rsidRPr="7701CFAC">
        <w:t xml:space="preserve"> [data set], </w:t>
      </w:r>
      <w:hyperlink r:id="rId130" w:history="1">
        <w:r w:rsidR="00A54BDE" w:rsidRPr="7701CFAC">
          <w:rPr>
            <w:rStyle w:val="Hyperlink"/>
          </w:rPr>
          <w:t>https://www.abs.gov.au/statistics/industry/technology-and-innovation/research-and-experimental-development-businesses-australia/2021-22</w:t>
        </w:r>
      </w:hyperlink>
    </w:p>
    <w:p w14:paraId="5C362EDD" w14:textId="77777777" w:rsidR="00703E85" w:rsidRPr="00C4084C" w:rsidRDefault="00703E85" w:rsidP="00BA6095">
      <w:pPr>
        <w:pStyle w:val="Heading4"/>
      </w:pPr>
      <w:bookmarkStart w:id="952" w:name="_Toc159500968"/>
      <w:r w:rsidRPr="00C4084C">
        <w:t xml:space="preserve">Innovation outputs are </w:t>
      </w:r>
      <w:proofErr w:type="gramStart"/>
      <w:r w:rsidRPr="00C4084C">
        <w:t>low</w:t>
      </w:r>
      <w:bookmarkEnd w:id="952"/>
      <w:proofErr w:type="gramEnd"/>
    </w:p>
    <w:p w14:paraId="08CF53E0" w14:textId="27CB91EE" w:rsidR="00703E85" w:rsidRPr="00C4084C" w:rsidRDefault="00703E85" w:rsidP="00285443">
      <w:r w:rsidRPr="00C4084C">
        <w:t xml:space="preserve">Strong performance in </w:t>
      </w:r>
      <w:r w:rsidR="00F648DA" w:rsidRPr="00C4084C">
        <w:t xml:space="preserve">university </w:t>
      </w:r>
      <w:r w:rsidRPr="00C4084C">
        <w:t xml:space="preserve">research quality has not been matched in Australia by industry and </w:t>
      </w:r>
      <w:r w:rsidR="00F648DA" w:rsidRPr="00C4084C">
        <w:t>government R&amp;D</w:t>
      </w:r>
      <w:r w:rsidRPr="00C4084C">
        <w:t xml:space="preserve"> investment to achieve equivalent strong problem-solving and commercialisation outcomes. Indeed, some conspicuous Australian research successes – the photovoltaic solar cell is one widely cited example – have only borne fruit when they have been taken up by overseas investors and manufacturers. When compared to other nations in the OECD, Australia ranks </w:t>
      </w:r>
      <w:r w:rsidR="00B2737A" w:rsidRPr="00C4084C">
        <w:t>20</w:t>
      </w:r>
      <w:r w:rsidR="00B2737A" w:rsidRPr="00C4084C">
        <w:rPr>
          <w:vertAlign w:val="superscript"/>
        </w:rPr>
        <w:t>th</w:t>
      </w:r>
      <w:r w:rsidR="00B2737A" w:rsidRPr="00C4084C">
        <w:t xml:space="preserve"> </w:t>
      </w:r>
      <w:r w:rsidRPr="00C4084C">
        <w:t>when it comes to ‘product innovative’ firms introducing new-to-market innovations</w:t>
      </w:r>
      <w:r w:rsidR="008F65E8">
        <w:t>,</w:t>
      </w:r>
      <w:r w:rsidRPr="00C4084C">
        <w:t xml:space="preserve"> </w:t>
      </w:r>
      <w:r w:rsidR="00B2737A" w:rsidRPr="00C4084C">
        <w:t>based on a 2023 OECD report</w:t>
      </w:r>
      <w:r w:rsidRPr="00C4084C">
        <w:t>.</w:t>
      </w:r>
      <w:r w:rsidR="00B2737A" w:rsidRPr="00C4084C">
        <w:rPr>
          <w:rStyle w:val="FootnoteReference"/>
          <w:rFonts w:eastAsia="Arial" w:cs="Arial"/>
        </w:rPr>
        <w:footnoteReference w:id="321"/>
      </w:r>
      <w:r w:rsidRPr="00C4084C">
        <w:t xml:space="preserve"> This reluctance on the part of Australian business to invest in our home-grown research has led to our nation being ranked 30</w:t>
      </w:r>
      <w:r w:rsidRPr="00C4084C">
        <w:rPr>
          <w:vertAlign w:val="superscript"/>
        </w:rPr>
        <w:t>th</w:t>
      </w:r>
      <w:r w:rsidRPr="00C4084C">
        <w:t xml:space="preserve"> for innovation outputs, even though it ranks 16</w:t>
      </w:r>
      <w:r w:rsidRPr="00C4084C">
        <w:rPr>
          <w:vertAlign w:val="superscript"/>
        </w:rPr>
        <w:t>th</w:t>
      </w:r>
      <w:r w:rsidRPr="00C4084C">
        <w:t xml:space="preserve"> for innovation inputs in the 2023 Global Innovation Index.</w:t>
      </w:r>
      <w:r w:rsidRPr="00C4084C">
        <w:rPr>
          <w:rStyle w:val="FootnoteReference"/>
          <w:rFonts w:eastAsia="Arial" w:cs="Arial"/>
        </w:rPr>
        <w:footnoteReference w:id="322"/>
      </w:r>
      <w:r w:rsidRPr="00C4084C">
        <w:t xml:space="preserve"> </w:t>
      </w:r>
    </w:p>
    <w:tbl>
      <w:tblPr>
        <w:tblW w:w="0" w:type="auto"/>
        <w:shd w:val="clear" w:color="auto" w:fill="FBE4D5"/>
        <w:tblLook w:val="04A0" w:firstRow="1" w:lastRow="0" w:firstColumn="1" w:lastColumn="0" w:noHBand="0" w:noVBand="1"/>
      </w:tblPr>
      <w:tblGrid>
        <w:gridCol w:w="9026"/>
      </w:tblGrid>
      <w:tr w:rsidR="00703E85" w:rsidRPr="00C4084C" w14:paraId="4079C37F" w14:textId="77777777" w:rsidTr="00D26B82">
        <w:tc>
          <w:tcPr>
            <w:tcW w:w="9026" w:type="dxa"/>
            <w:shd w:val="clear" w:color="auto" w:fill="B0C3DB"/>
          </w:tcPr>
          <w:p w14:paraId="7AB792BE" w14:textId="47AA1F51" w:rsidR="00861BDA" w:rsidRPr="00861BDA" w:rsidRDefault="0080264E" w:rsidP="003E5969">
            <w:pPr>
              <w:pStyle w:val="Findinginchapterheading"/>
            </w:pPr>
            <w:r w:rsidRPr="003E5969">
              <w:rPr>
                <w:rFonts w:ascii="Calibri" w:eastAsia="Yu Gothic Light" w:hAnsi="Calibri" w:cs="Calibri"/>
                <w:szCs w:val="24"/>
              </w:rPr>
              <w:lastRenderedPageBreak/>
              <w:t>Finding</w:t>
            </w:r>
            <w:r w:rsidR="00861BDA">
              <w:rPr>
                <w:szCs w:val="24"/>
              </w:rPr>
              <w:t xml:space="preserve">: </w:t>
            </w:r>
            <w:r w:rsidR="00703E85" w:rsidRPr="00C4084C">
              <w:t>Research</w:t>
            </w:r>
          </w:p>
          <w:p w14:paraId="14D1676F" w14:textId="6F430F87" w:rsidR="00703E85" w:rsidRPr="00C4084C" w:rsidRDefault="00703E85" w:rsidP="003E5969">
            <w:pPr>
              <w:pStyle w:val="Boxtext0"/>
              <w:spacing w:before="0"/>
              <w:rPr>
                <w:b/>
              </w:rPr>
            </w:pPr>
            <w:r w:rsidRPr="00C4084C">
              <w:t xml:space="preserve">Australian university research is of high quality and is highly connected globally. Its size reflects the larger role universities play in our research ecosystem compared to most countries, </w:t>
            </w:r>
            <w:r w:rsidRPr="003C30E6">
              <w:t>where</w:t>
            </w:r>
            <w:r w:rsidRPr="00C4084C">
              <w:t xml:space="preserve"> the relative percentage of private sector research investment tends to be higher. Australia’s governments and industries are not making enough use of university research capability and capacity, nor are they using it across as broad a range of disciplines as they should be.</w:t>
            </w:r>
            <w:r w:rsidRPr="00C4084C">
              <w:rPr>
                <w:b/>
              </w:rPr>
              <w:t> </w:t>
            </w:r>
          </w:p>
        </w:tc>
      </w:tr>
    </w:tbl>
    <w:p w14:paraId="1A4DC57E" w14:textId="77777777" w:rsidR="00703E85" w:rsidRPr="00C4084C" w:rsidRDefault="00703E85" w:rsidP="00703E85">
      <w:pPr>
        <w:pStyle w:val="Heading3"/>
      </w:pPr>
      <w:bookmarkStart w:id="955" w:name="_Toc159500969"/>
      <w:r w:rsidRPr="00C4084C">
        <w:t>A call for a considered R&amp;D target strategy</w:t>
      </w:r>
      <w:bookmarkEnd w:id="955"/>
    </w:p>
    <w:p w14:paraId="349E2AE5" w14:textId="77777777" w:rsidR="00703E85" w:rsidRPr="00C4084C" w:rsidRDefault="00703E85" w:rsidP="007B4CF5">
      <w:pPr>
        <w:rPr>
          <w:rStyle w:val="normaltextrun"/>
          <w:rFonts w:cs="Arial"/>
        </w:rPr>
      </w:pPr>
      <w:r w:rsidRPr="00C4084C">
        <w:t xml:space="preserve">Securing Australia’s high-quality research bedrock and increasing the use of Australia’s world-leading research by governments and industry – in a time of increasing global competition – will require </w:t>
      </w:r>
      <w:r w:rsidRPr="00C4084C">
        <w:rPr>
          <w:rStyle w:val="normaltextrun"/>
          <w:rFonts w:cs="Arial"/>
        </w:rPr>
        <w:t xml:space="preserve">significant growth of Australia’s R&amp;D system. This growth cannot be achieved without a steady increase in Australia’s expenditure on R&amp;D as a proportion of GDP. </w:t>
      </w:r>
    </w:p>
    <w:p w14:paraId="32E06EE8" w14:textId="53C9D4ED" w:rsidR="00703E85" w:rsidRPr="00C4084C" w:rsidRDefault="00703E85" w:rsidP="007B4CF5">
      <w:pPr>
        <w:rPr>
          <w:rStyle w:val="normaltextrun"/>
          <w:rFonts w:cs="Arial"/>
          <w:color w:val="0563C1"/>
          <w:sz w:val="13"/>
          <w:szCs w:val="13"/>
          <w:u w:val="single"/>
          <w:vertAlign w:val="superscript"/>
        </w:rPr>
      </w:pPr>
      <w:r w:rsidRPr="00C4084C">
        <w:rPr>
          <w:rStyle w:val="normaltextrun"/>
          <w:rFonts w:cs="Arial"/>
        </w:rPr>
        <w:t>Other advanced economies are swiftly escalating their investments in R&amp;D to avoid being outcompeted for new jobs, industries and income sources, yet Australia’s overall expenditure in R&amp;D has plummeted to a 17</w:t>
      </w:r>
      <w:r w:rsidR="003B0495">
        <w:rPr>
          <w:rStyle w:val="normaltextrun"/>
          <w:rFonts w:cs="Arial"/>
        </w:rPr>
        <w:t>–</w:t>
      </w:r>
      <w:r w:rsidRPr="00C4084C">
        <w:rPr>
          <w:rStyle w:val="normaltextrun"/>
          <w:rFonts w:cs="Arial"/>
        </w:rPr>
        <w:t>year low.</w:t>
      </w:r>
      <w:r w:rsidRPr="00C4084C">
        <w:rPr>
          <w:rStyle w:val="FootnoteReference"/>
          <w:rFonts w:cs="Arial"/>
        </w:rPr>
        <w:footnoteReference w:id="323"/>
      </w:r>
      <w:r w:rsidRPr="00C4084C">
        <w:rPr>
          <w:rStyle w:val="normaltextrun"/>
          <w:rFonts w:cs="Arial"/>
        </w:rPr>
        <w:t xml:space="preserve"> This is especially pronounced in the business sector.</w:t>
      </w:r>
      <w:r w:rsidRPr="00C4084C" w:rsidDel="00DB7C03">
        <w:rPr>
          <w:rStyle w:val="FootnoteReference"/>
          <w:rFonts w:eastAsia="Arial" w:cs="Arial"/>
        </w:rPr>
        <w:t xml:space="preserve"> </w:t>
      </w:r>
      <w:r w:rsidRPr="00C4084C">
        <w:rPr>
          <w:rStyle w:val="normaltextrun"/>
          <w:rFonts w:cs="Arial"/>
        </w:rPr>
        <w:t>This reduction in research expenditure in comparison to GDP means the Australian economy has forgone the benefits of new ideas, practices and technologies that could have powered multifactor productivity and innovation for the domestic economy. In some instances, our hesitancy has been a boon to investors in other jurisdictions, who have plucked the fruits of Australian research and advanced them through development into production overseas.</w:t>
      </w:r>
    </w:p>
    <w:p w14:paraId="670B7A58" w14:textId="665261FA" w:rsidR="00703E85" w:rsidRPr="00C4084C" w:rsidRDefault="00703E85" w:rsidP="007B4CF5">
      <w:pPr>
        <w:rPr>
          <w:rStyle w:val="normaltextrun"/>
          <w:rFonts w:cs="Arial"/>
        </w:rPr>
      </w:pPr>
      <w:r w:rsidRPr="00C4084C">
        <w:rPr>
          <w:rStyle w:val="normaltextrun"/>
          <w:rFonts w:cs="Arial"/>
        </w:rPr>
        <w:t>Australia’s economic complexity ranking, which measures the current state of the country’s productive knowledge, has continued to slide partly as a consequence of our national unwillingness to back our own researchers, from 71 (2004) to 93</w:t>
      </w:r>
      <w:r w:rsidRPr="00C4084C">
        <w:t> </w:t>
      </w:r>
      <w:r w:rsidRPr="00C4084C">
        <w:rPr>
          <w:rStyle w:val="normaltextrun"/>
          <w:rFonts w:cs="Arial"/>
        </w:rPr>
        <w:t>(2021).</w:t>
      </w:r>
      <w:r w:rsidRPr="00C4084C">
        <w:rPr>
          <w:rStyle w:val="FootnoteReference"/>
          <w:rFonts w:cs="Arial"/>
        </w:rPr>
        <w:footnoteReference w:id="324"/>
      </w:r>
      <w:r w:rsidRPr="00C4084C">
        <w:rPr>
          <w:rStyle w:val="normaltextrun"/>
          <w:rFonts w:cs="Arial"/>
        </w:rPr>
        <w:t xml:space="preserve"> Currently, Australia’s GDP growth is powered mostly by its population</w:t>
      </w:r>
      <w:r w:rsidR="00BA1B89" w:rsidRPr="00C4084C">
        <w:rPr>
          <w:rStyle w:val="normaltextrun"/>
          <w:rFonts w:cs="Arial"/>
        </w:rPr>
        <w:t xml:space="preserve"> growth</w:t>
      </w:r>
      <w:r w:rsidR="00C0345E" w:rsidRPr="00C4084C">
        <w:rPr>
          <w:rStyle w:val="normaltextrun"/>
          <w:rFonts w:cs="Arial"/>
        </w:rPr>
        <w:t xml:space="preserve"> </w:t>
      </w:r>
      <w:r w:rsidRPr="00C4084C">
        <w:rPr>
          <w:rStyle w:val="normaltextrun"/>
          <w:rFonts w:cs="Arial"/>
        </w:rPr>
        <w:t>and workforce participation rates, rather than productivity gains</w:t>
      </w:r>
      <w:r w:rsidR="008F65E8">
        <w:rPr>
          <w:rStyle w:val="normaltextrun"/>
          <w:rFonts w:cs="Arial"/>
        </w:rPr>
        <w:t>,</w:t>
      </w:r>
      <w:r w:rsidR="00C0345E" w:rsidRPr="00C4084C">
        <w:rPr>
          <w:rStyle w:val="FootnoteReference"/>
          <w:rFonts w:cs="Arial"/>
        </w:rPr>
        <w:footnoteReference w:id="325"/>
      </w:r>
      <w:r w:rsidR="005B210E">
        <w:rPr>
          <w:rStyle w:val="normaltextrun"/>
          <w:rFonts w:cs="Arial"/>
        </w:rPr>
        <w:t xml:space="preserve"> </w:t>
      </w:r>
      <w:r w:rsidRPr="00C4084C">
        <w:rPr>
          <w:rStyle w:val="normaltextrun"/>
          <w:rFonts w:cs="Arial"/>
        </w:rPr>
        <w:t xml:space="preserve">which has negative implications for our long-term economic growth and ability to absorb new knowledge and innovations. </w:t>
      </w:r>
    </w:p>
    <w:p w14:paraId="3E61676C" w14:textId="5BD52AD3" w:rsidR="00703E85" w:rsidRPr="00C4084C" w:rsidRDefault="00703E85" w:rsidP="007B4CF5">
      <w:pPr>
        <w:rPr>
          <w:rStyle w:val="normaltextrun"/>
          <w:rFonts w:ascii="Arial" w:hAnsi="Arial" w:cs="Arial"/>
        </w:rPr>
      </w:pPr>
      <w:r w:rsidRPr="00C4084C">
        <w:rPr>
          <w:rStyle w:val="normaltextrun"/>
          <w:rFonts w:cs="Arial"/>
        </w:rPr>
        <w:t>Australia’s future economic prosperity hinges on our universities</w:t>
      </w:r>
      <w:r w:rsidR="008E0466">
        <w:rPr>
          <w:rStyle w:val="normaltextrun"/>
          <w:rFonts w:cs="Arial"/>
        </w:rPr>
        <w:t>’</w:t>
      </w:r>
      <w:r w:rsidRPr="00C4084C">
        <w:rPr>
          <w:rStyle w:val="normaltextrun"/>
          <w:rFonts w:cs="Arial"/>
        </w:rPr>
        <w:t xml:space="preserve">, </w:t>
      </w:r>
      <w:proofErr w:type="gramStart"/>
      <w:r w:rsidRPr="00C4084C">
        <w:rPr>
          <w:rStyle w:val="normaltextrun"/>
          <w:rFonts w:cs="Arial"/>
        </w:rPr>
        <w:t>industries</w:t>
      </w:r>
      <w:r w:rsidR="008E0466">
        <w:rPr>
          <w:rStyle w:val="normaltextrun"/>
          <w:rFonts w:cs="Arial"/>
        </w:rPr>
        <w:t>’</w:t>
      </w:r>
      <w:proofErr w:type="gramEnd"/>
      <w:r w:rsidRPr="00C4084C">
        <w:rPr>
          <w:rStyle w:val="normaltextrun"/>
          <w:rFonts w:cs="Arial"/>
        </w:rPr>
        <w:t xml:space="preserve"> and governments’ ability to work in concert to develop, grow and apply productive knowledge in more complex industry settings. Achieving this structural transformation requires significant growth of the R&amp;D system, supported by increasing Australia’s total investment in R&amp;D.</w:t>
      </w:r>
      <w:r w:rsidRPr="00C4084C">
        <w:rPr>
          <w:rStyle w:val="FootnoteReference"/>
          <w:rFonts w:cs="Arial"/>
        </w:rPr>
        <w:footnoteReference w:id="326"/>
      </w:r>
      <w:r w:rsidRPr="00C4084C">
        <w:rPr>
          <w:rStyle w:val="normaltextrun"/>
          <w:rFonts w:cs="Arial"/>
        </w:rPr>
        <w:t> </w:t>
      </w:r>
      <w:r w:rsidRPr="00C4084C">
        <w:rPr>
          <w:rStyle w:val="eop"/>
          <w:rFonts w:cs="Arial"/>
        </w:rPr>
        <w:t> </w:t>
      </w:r>
    </w:p>
    <w:p w14:paraId="39C971D4" w14:textId="6A34484D" w:rsidR="00703E85" w:rsidRPr="00C4084C" w:rsidRDefault="00703E85" w:rsidP="007B4CF5">
      <w:r w:rsidRPr="00C4084C">
        <w:t xml:space="preserve">A stronger R&amp;D system will bring economic, </w:t>
      </w:r>
      <w:proofErr w:type="gramStart"/>
      <w:r w:rsidRPr="00C4084C">
        <w:t>social</w:t>
      </w:r>
      <w:proofErr w:type="gramEnd"/>
      <w:r w:rsidRPr="00C4084C">
        <w:t xml:space="preserve"> and cultural benefits, improving the nation’s ability and capacity to address the many wicked environmental, technology, social and health problems. Any uplift in national research effort should ensure that these outcomes are enabled and rewarded.</w:t>
      </w:r>
    </w:p>
    <w:p w14:paraId="00209275" w14:textId="7AF7266C" w:rsidR="00703E85" w:rsidRPr="00C4084C" w:rsidRDefault="00703E85" w:rsidP="007B4CF5">
      <w:r w:rsidRPr="00C4084C">
        <w:lastRenderedPageBreak/>
        <w:t>Later in this chapter</w:t>
      </w:r>
      <w:r w:rsidR="00FA7BB3" w:rsidRPr="00C4084C">
        <w:t>,</w:t>
      </w:r>
      <w:r w:rsidRPr="00C4084C">
        <w:t xml:space="preserve"> the Review makes specific recommendations – moving toward funding the full economic costs of university research and establishing a new strategic fund to reward universities demonstrating use of their research capability and capacity – that will be crucial step</w:t>
      </w:r>
      <w:r w:rsidR="007F75FB" w:rsidRPr="00C4084C">
        <w:t>s</w:t>
      </w:r>
      <w:r w:rsidRPr="00C4084C">
        <w:t xml:space="preserve"> in securing the R&amp;D expenditure uplift required to move Australia closer to its global competitors. </w:t>
      </w:r>
    </w:p>
    <w:p w14:paraId="7C9F4E12" w14:textId="2F4C8CFC" w:rsidR="00703E85" w:rsidRPr="00C4084C" w:rsidRDefault="00703E85" w:rsidP="007B4CF5">
      <w:r w:rsidRPr="00C4084C">
        <w:t xml:space="preserve">However, </w:t>
      </w:r>
      <w:r w:rsidR="008F65E8">
        <w:t>to increase</w:t>
      </w:r>
      <w:r w:rsidR="008F65E8" w:rsidRPr="00C4084C">
        <w:t xml:space="preserve"> </w:t>
      </w:r>
      <w:r w:rsidRPr="00C4084C">
        <w:t>Australia’s overall spending on R&amp;D as a percentage of GDP to meet, or even exceed, the OECD average</w:t>
      </w:r>
      <w:r w:rsidR="008F65E8">
        <w:t>, action is required</w:t>
      </w:r>
      <w:r w:rsidRPr="00C4084C">
        <w:t>.</w:t>
      </w:r>
    </w:p>
    <w:p w14:paraId="0682F1E5" w14:textId="77777777" w:rsidR="00703E85" w:rsidRPr="00C4084C" w:rsidRDefault="00703E85" w:rsidP="007B4CF5">
      <w:pPr>
        <w:rPr>
          <w:rStyle w:val="normaltextrun"/>
          <w:rFonts w:cs="Arial"/>
        </w:rPr>
      </w:pPr>
      <w:r w:rsidRPr="00C4084C">
        <w:rPr>
          <w:rStyle w:val="normaltextrun"/>
          <w:rFonts w:cs="Arial"/>
        </w:rPr>
        <w:t xml:space="preserve">Targets for national spending on R&amp;D are necessary to ensure all institutions and beneficiaries of R&amp;D – including governments, </w:t>
      </w:r>
      <w:proofErr w:type="gramStart"/>
      <w:r w:rsidRPr="00C4084C">
        <w:rPr>
          <w:rStyle w:val="normaltextrun"/>
          <w:rFonts w:cs="Arial"/>
        </w:rPr>
        <w:t>industry</w:t>
      </w:r>
      <w:proofErr w:type="gramEnd"/>
      <w:r w:rsidRPr="00C4084C">
        <w:rPr>
          <w:rStyle w:val="normaltextrun"/>
          <w:rFonts w:cs="Arial"/>
        </w:rPr>
        <w:t xml:space="preserve"> and universities – are working towards a common, measurable goal. This would bring Australia in line with global competitors, including the United Kingdom, where targets for total R&amp;D investment have been set to increase investment in research.</w:t>
      </w:r>
    </w:p>
    <w:p w14:paraId="68868886" w14:textId="42D2C45F" w:rsidR="00703E85" w:rsidRPr="00C4084C" w:rsidRDefault="00703E85" w:rsidP="007B4CF5">
      <w:pPr>
        <w:rPr>
          <w:rStyle w:val="normaltextrun"/>
          <w:rFonts w:cs="Arial"/>
        </w:rPr>
      </w:pPr>
      <w:r w:rsidRPr="00C4084C">
        <w:rPr>
          <w:rStyle w:val="normaltextrun"/>
          <w:rFonts w:cs="Arial"/>
        </w:rPr>
        <w:t>Universities already spend large sums on, and produce considerable amounts of, R&amp;D. In</w:t>
      </w:r>
      <w:r w:rsidR="00577A0D" w:rsidRPr="00C4084C">
        <w:rPr>
          <w:rStyle w:val="normaltextrun"/>
          <w:rFonts w:cs="Arial"/>
        </w:rPr>
        <w:t xml:space="preserve"> the</w:t>
      </w:r>
      <w:r w:rsidRPr="00C4084C">
        <w:rPr>
          <w:rStyle w:val="normaltextrun"/>
          <w:rFonts w:cs="Arial"/>
        </w:rPr>
        <w:t xml:space="preserve"> light of both the volatility of the primary source of revenue for this investment </w:t>
      </w:r>
      <w:r w:rsidR="00577A0D" w:rsidRPr="00C4084C">
        <w:rPr>
          <w:rStyle w:val="normaltextrun"/>
          <w:rFonts w:cs="Arial"/>
        </w:rPr>
        <w:t>(international student fees)</w:t>
      </w:r>
      <w:r w:rsidR="007F75FB" w:rsidRPr="00C4084C">
        <w:rPr>
          <w:rStyle w:val="normaltextrun"/>
          <w:rFonts w:cs="Arial"/>
        </w:rPr>
        <w:t xml:space="preserve"> </w:t>
      </w:r>
      <w:r w:rsidRPr="00C4084C">
        <w:rPr>
          <w:rStyle w:val="normaltextrun"/>
          <w:rFonts w:cs="Arial"/>
        </w:rPr>
        <w:t xml:space="preserve">and other emergent pressures on university budgets – such as the underfunding of learning and teaching in many courses, and the need for increased targeted support measures for growing cohorts previously under-represented in higher education – the nation’s reliance on this degree of ‘self-funding’ of the university component of GERD is neither strategic nor sustainable. Increasing Australia’s overall </w:t>
      </w:r>
      <w:r w:rsidRPr="00C4084C">
        <w:t>expenditure</w:t>
      </w:r>
      <w:r w:rsidRPr="00C4084C">
        <w:rPr>
          <w:rStyle w:val="normaltextrun"/>
          <w:rFonts w:cs="Arial"/>
        </w:rPr>
        <w:t xml:space="preserve"> on R&amp;D will require </w:t>
      </w:r>
      <w:r w:rsidRPr="00C4084C">
        <w:rPr>
          <w:rStyle w:val="normaltextrun"/>
          <w:rFonts w:cs="Arial"/>
          <w:i/>
          <w:iCs/>
        </w:rPr>
        <w:t>all</w:t>
      </w:r>
      <w:r w:rsidRPr="00C4084C">
        <w:rPr>
          <w:rStyle w:val="normaltextrun"/>
          <w:rFonts w:cs="Arial"/>
        </w:rPr>
        <w:t xml:space="preserve"> beneficiaries and key stakeholders to increase their research expenditure and investment levels, including businesses, large and small, and governments. </w:t>
      </w:r>
    </w:p>
    <w:p w14:paraId="390EB47A" w14:textId="6D72A100" w:rsidR="00703E85" w:rsidRPr="00C4084C" w:rsidRDefault="00703E85" w:rsidP="00285443">
      <w:r w:rsidRPr="00C4084C">
        <w:rPr>
          <w:rStyle w:val="normaltextrun"/>
          <w:rFonts w:cs="Arial"/>
        </w:rPr>
        <w:t>A multi-government-agency</w:t>
      </w:r>
      <w:r w:rsidRPr="00C4084C" w:rsidDel="00904F1E">
        <w:rPr>
          <w:rStyle w:val="normaltextrun"/>
          <w:rFonts w:cs="Arial"/>
        </w:rPr>
        <w:t xml:space="preserve"> </w:t>
      </w:r>
      <w:r w:rsidRPr="00C4084C">
        <w:rPr>
          <w:rStyle w:val="normaltextrun"/>
          <w:rFonts w:cs="Arial"/>
        </w:rPr>
        <w:t>strategy</w:t>
      </w:r>
      <w:r w:rsidR="00CA1000">
        <w:rPr>
          <w:rStyle w:val="normaltextrun"/>
          <w:rFonts w:cs="Arial"/>
        </w:rPr>
        <w:t xml:space="preserve"> (ideally coordinated by </w:t>
      </w:r>
      <w:r w:rsidR="00455EA1">
        <w:rPr>
          <w:rStyle w:val="normaltextrun"/>
          <w:rFonts w:cs="Arial"/>
        </w:rPr>
        <w:t>the Department of Industry, Science and Resources)</w:t>
      </w:r>
      <w:r w:rsidRPr="00C4084C">
        <w:rPr>
          <w:rStyle w:val="normaltextrun"/>
          <w:rFonts w:cs="Arial"/>
        </w:rPr>
        <w:t xml:space="preserve"> outlining a medium-term and a long-term target is necessary to ensure long-term and sustainable growth of Australia’s R&amp;D system. The strategy would </w:t>
      </w:r>
      <w:proofErr w:type="gramStart"/>
      <w:r w:rsidRPr="00C4084C">
        <w:rPr>
          <w:rStyle w:val="normaltextrun"/>
          <w:rFonts w:cs="Arial"/>
        </w:rPr>
        <w:t>take into account</w:t>
      </w:r>
      <w:proofErr w:type="gramEnd"/>
      <w:r w:rsidRPr="00C4084C">
        <w:rPr>
          <w:rStyle w:val="normaltextrun"/>
          <w:rFonts w:cs="Arial"/>
        </w:rPr>
        <w:t xml:space="preserve"> the stakeholders (including industry and state and territory governments), programs, funding and policy required to achieve national R&amp;D targets. The development of these targets would also need to incorporate both current and future economic structure and industry composition and their subsequent impact on R&amp;D intensity and overall investment. The Review supports calls from many in the community for a long-term target of investment in research to be lifted to, and maintained at, 3% of GDP.</w:t>
      </w:r>
    </w:p>
    <w:tbl>
      <w:tblPr>
        <w:tblW w:w="0" w:type="auto"/>
        <w:shd w:val="clear" w:color="auto" w:fill="FBE4D5"/>
        <w:tblLook w:val="04A0" w:firstRow="1" w:lastRow="0" w:firstColumn="1" w:lastColumn="0" w:noHBand="0" w:noVBand="1"/>
      </w:tblPr>
      <w:tblGrid>
        <w:gridCol w:w="9026"/>
      </w:tblGrid>
      <w:tr w:rsidR="00703E85" w:rsidRPr="00C4084C" w14:paraId="0506654A" w14:textId="77777777" w:rsidTr="00D26B82">
        <w:tc>
          <w:tcPr>
            <w:tcW w:w="9026" w:type="dxa"/>
            <w:shd w:val="clear" w:color="auto" w:fill="B0C3DB"/>
          </w:tcPr>
          <w:p w14:paraId="4079AC01" w14:textId="61976BBE" w:rsidR="00C45A1B" w:rsidRPr="00C45A1B" w:rsidRDefault="0080264E" w:rsidP="003E5969">
            <w:pPr>
              <w:pStyle w:val="Findinginchapterheading"/>
            </w:pPr>
            <w:r w:rsidRPr="003E5969">
              <w:rPr>
                <w:rFonts w:ascii="Calibri" w:eastAsia="Yu Gothic Light" w:hAnsi="Calibri" w:cs="Calibri"/>
                <w:szCs w:val="24"/>
              </w:rPr>
              <w:t>Finding</w:t>
            </w:r>
            <w:r w:rsidR="00C45A1B">
              <w:rPr>
                <w:szCs w:val="24"/>
              </w:rPr>
              <w:t xml:space="preserve">: </w:t>
            </w:r>
            <w:r w:rsidR="00703E85" w:rsidRPr="00C4084C">
              <w:t>Research</w:t>
            </w:r>
          </w:p>
          <w:p w14:paraId="042E7335" w14:textId="6D751A2A" w:rsidR="00703E85" w:rsidRPr="00C4084C" w:rsidRDefault="00703E85" w:rsidP="003E5969">
            <w:pPr>
              <w:pStyle w:val="Boxtext0"/>
              <w:spacing w:before="0"/>
              <w:rPr>
                <w:b/>
              </w:rPr>
            </w:pPr>
            <w:r w:rsidRPr="00C4084C">
              <w:rPr>
                <w:bCs/>
              </w:rPr>
              <w:t xml:space="preserve">While </w:t>
            </w:r>
            <w:r w:rsidRPr="00C4084C">
              <w:t xml:space="preserve">Australian universities invest significantly in research, </w:t>
            </w:r>
            <w:r w:rsidRPr="00C4084C">
              <w:rPr>
                <w:rFonts w:eastAsia="Arial"/>
              </w:rPr>
              <w:t xml:space="preserve">national R&amp;D expenditure overall is low for an advanced economy and our rankings on innovation indices are poor. </w:t>
            </w:r>
            <w:r w:rsidRPr="00C4084C">
              <w:t xml:space="preserve">Securing Australia’s high-quality research bedrock will require </w:t>
            </w:r>
            <w:r w:rsidRPr="00C4084C">
              <w:rPr>
                <w:rStyle w:val="normaltextrun"/>
                <w:rFonts w:cs="Arial"/>
              </w:rPr>
              <w:t>significant growth of Australia’s R&amp;D system. This growth cannot be achieved without a significant increase in Australia’s expenditure on R&amp;D as a proportion of GDP.</w:t>
            </w:r>
          </w:p>
        </w:tc>
      </w:tr>
    </w:tbl>
    <w:p w14:paraId="616881BA" w14:textId="090D43D9" w:rsidR="00703E85" w:rsidRPr="007B4CF5" w:rsidRDefault="00703E85" w:rsidP="003E5969">
      <w:pPr>
        <w:spacing w:after="0"/>
        <w:rPr>
          <w:rStyle w:val="PageNumber"/>
        </w:rPr>
      </w:pPr>
    </w:p>
    <w:tbl>
      <w:tblPr>
        <w:tblW w:w="0" w:type="auto"/>
        <w:shd w:val="clear" w:color="auto" w:fill="FBE4D5"/>
        <w:tblLook w:val="04A0" w:firstRow="1" w:lastRow="0" w:firstColumn="1" w:lastColumn="0" w:noHBand="0" w:noVBand="1"/>
      </w:tblPr>
      <w:tblGrid>
        <w:gridCol w:w="9026"/>
      </w:tblGrid>
      <w:tr w:rsidR="00E0451E" w:rsidRPr="00C4084C" w14:paraId="4ABF4E46" w14:textId="77777777" w:rsidTr="00D26B82">
        <w:tc>
          <w:tcPr>
            <w:tcW w:w="9026" w:type="dxa"/>
            <w:shd w:val="clear" w:color="auto" w:fill="FEECDF"/>
          </w:tcPr>
          <w:p w14:paraId="07275C1D" w14:textId="05DF916A" w:rsidR="0089265D" w:rsidRPr="003E5969" w:rsidRDefault="0089265D" w:rsidP="003E5969">
            <w:pPr>
              <w:pStyle w:val="Recheadinginbox"/>
              <w:rPr>
                <w:rFonts w:ascii="Calibri" w:eastAsia="Times New Roman" w:hAnsi="Calibri" w:cs="Calibri"/>
                <w:color w:val="2F5496"/>
                <w:lang w:eastAsia="en-AU"/>
              </w:rPr>
            </w:pPr>
            <w:r w:rsidRPr="007B4CF5">
              <w:rPr>
                <w:rStyle w:val="PageNumber"/>
              </w:rPr>
              <w:lastRenderedPageBreak/>
              <w:t>Recommendation</w:t>
            </w:r>
            <w:r w:rsidR="00752040">
              <w:rPr>
                <w:rStyle w:val="PageNumber"/>
              </w:rPr>
              <w:t>:</w:t>
            </w:r>
            <w:r w:rsidRPr="00C4084C">
              <w:t xml:space="preserve"> </w:t>
            </w:r>
            <w:r w:rsidR="00752040" w:rsidRPr="00C4084C">
              <w:t>Producing new knowledge and using research capability</w:t>
            </w:r>
          </w:p>
          <w:p w14:paraId="1936148E" w14:textId="04352DB6" w:rsidR="00E0451E" w:rsidRPr="00C4084C" w:rsidRDefault="00E0451E" w:rsidP="003E5969">
            <w:pPr>
              <w:pStyle w:val="Recsin-chapterL1"/>
              <w:framePr w:wrap="notBeside"/>
              <w:spacing w:before="0"/>
            </w:pPr>
            <w:r w:rsidRPr="00C4084C">
              <w:t xml:space="preserve">That the </w:t>
            </w:r>
            <w:r w:rsidRPr="00752040">
              <w:t>Australian</w:t>
            </w:r>
            <w:r w:rsidRPr="00C4084C">
              <w:t xml:space="preserve"> Government commission a formal strategic, cross-portfolio examination of national research funding with a view to increasing Australia’s capacity to maximise Australia’s R&amp;D competitiveness for economic gain, and environmental, </w:t>
            </w:r>
            <w:proofErr w:type="gramStart"/>
            <w:r w:rsidRPr="00C4084C">
              <w:t>cultural</w:t>
            </w:r>
            <w:proofErr w:type="gramEnd"/>
            <w:r w:rsidRPr="00C4084C">
              <w:t xml:space="preserve"> and social good. As part of this, the Australian Government develop a multi-agency government strategy that sets medium and long-term targets for Australia’s overall national spending on R&amp;D as a percentage of GDP, requiring </w:t>
            </w:r>
            <w:r w:rsidR="00441BC1">
              <w:t xml:space="preserve">a </w:t>
            </w:r>
            <w:r w:rsidRPr="00C4084C">
              <w:t>significant increase to ensure Australia fully utilises the potential of its research sector and, consequently, competes more effectively in the global knowledge economy. As a starting point, this work needs to note that while university investment in research has been strong over the last 25 years, additional business and government investment in research is essential. The strategy should also undertake a root and branch consideration of the suitability and sustainability of the national research funding and governance architecture.</w:t>
            </w:r>
          </w:p>
        </w:tc>
      </w:tr>
    </w:tbl>
    <w:p w14:paraId="72C225A1" w14:textId="77777777" w:rsidR="00703E85" w:rsidRPr="00C4084C" w:rsidRDefault="00703E85" w:rsidP="00703E85">
      <w:pPr>
        <w:pStyle w:val="Heading3"/>
      </w:pPr>
      <w:bookmarkStart w:id="958" w:name="_Toc159500970"/>
      <w:r w:rsidRPr="00C4084C">
        <w:t xml:space="preserve">Making sure that Australian university research has maximum </w:t>
      </w:r>
      <w:proofErr w:type="gramStart"/>
      <w:r w:rsidRPr="00C4084C">
        <w:t>impact</w:t>
      </w:r>
      <w:bookmarkEnd w:id="958"/>
      <w:proofErr w:type="gramEnd"/>
    </w:p>
    <w:p w14:paraId="1D2A96A3" w14:textId="30133D09" w:rsidR="00703E85" w:rsidRPr="00C4084C" w:rsidRDefault="00703E85" w:rsidP="007B4CF5">
      <w:r w:rsidRPr="00C4084C">
        <w:t>Given the proven strength of Australian university research and its potential under-utilisation by governments and industry, the Review’s primary focus for research is maximising the impact in Australia of our current research capacity. Key to this is ensuring that government</w:t>
      </w:r>
      <w:r w:rsidR="00417DA6" w:rsidRPr="00C4084C">
        <w:t>s</w:t>
      </w:r>
      <w:r w:rsidRPr="00C4084C">
        <w:t xml:space="preserve"> and industry use research capability, </w:t>
      </w:r>
      <w:proofErr w:type="gramStart"/>
      <w:r w:rsidRPr="00C4084C">
        <w:t>capacity</w:t>
      </w:r>
      <w:proofErr w:type="gramEnd"/>
      <w:r w:rsidRPr="00C4084C">
        <w:t xml:space="preserve"> and output both to solve the challenges they face and to grow the innovation sector.</w:t>
      </w:r>
    </w:p>
    <w:p w14:paraId="05E1BC84" w14:textId="6A6605A0" w:rsidR="00703E85" w:rsidRPr="00C4084C" w:rsidRDefault="00703E85" w:rsidP="007B4CF5">
      <w:r w:rsidRPr="00C4084C">
        <w:t xml:space="preserve">Every day, governments and industry are working on complex problems. Ideally, they should turn to the research sector for assistance with solving these. Not only does this bring appropriate expertise to bear and enhance the chances of a quality solution, </w:t>
      </w:r>
      <w:r w:rsidR="00417DA6" w:rsidRPr="00C4084C">
        <w:t>but</w:t>
      </w:r>
      <w:r w:rsidRPr="00C4084C">
        <w:t xml:space="preserve"> it also drives researchers to engage in problem</w:t>
      </w:r>
      <w:r w:rsidR="007D3C52">
        <w:t xml:space="preserve"> </w:t>
      </w:r>
      <w:r w:rsidRPr="00C4084C">
        <w:t>solving in areas of national interest. This has both a push and pull effect: researchers have their research capability appreciated by those who use it and governments and industry get appropriate expert assistance to find answers to their</w:t>
      </w:r>
      <w:r w:rsidRPr="00C4084C" w:rsidDel="006B0935">
        <w:t xml:space="preserve"> </w:t>
      </w:r>
      <w:r w:rsidRPr="00C4084C">
        <w:t>problems.</w:t>
      </w:r>
    </w:p>
    <w:p w14:paraId="4009CA80" w14:textId="0719991C" w:rsidR="00703E85" w:rsidRPr="00C4084C" w:rsidRDefault="00703E85" w:rsidP="007B4CF5">
      <w:r w:rsidRPr="00C4084C">
        <w:t xml:space="preserve">There are some great success stories where this has worked well, including </w:t>
      </w:r>
      <w:r w:rsidR="00806D0F">
        <w:t>use of</w:t>
      </w:r>
      <w:r w:rsidRPr="00C4084C">
        <w:t xml:space="preserve"> quantum </w:t>
      </w:r>
      <w:r w:rsidR="00417DA6" w:rsidRPr="00C4084C">
        <w:t>computing</w:t>
      </w:r>
      <w:r w:rsidRPr="00C4084C">
        <w:t xml:space="preserve"> research and automation of mines and ports using large robotics.</w:t>
      </w:r>
    </w:p>
    <w:p w14:paraId="52AA7354" w14:textId="3B803A61" w:rsidR="00703E85" w:rsidRPr="00C4084C" w:rsidRDefault="00703E85" w:rsidP="007B4CF5">
      <w:r w:rsidRPr="00C4084C">
        <w:t>As well as commissioning research to shine a light on hard problems, some governments use the university sector for consulting needs.</w:t>
      </w:r>
      <w:r w:rsidRPr="00C4084C">
        <w:rPr>
          <w:rStyle w:val="FootnoteReference"/>
          <w:rFonts w:cs="Arial"/>
        </w:rPr>
        <w:footnoteReference w:id="327"/>
      </w:r>
      <w:r w:rsidRPr="00C4084C">
        <w:t xml:space="preserve"> As noted in the Productivity Commission’s 2023 </w:t>
      </w:r>
      <w:r w:rsidRPr="00C4084C">
        <w:rPr>
          <w:i/>
        </w:rPr>
        <w:t>5-year Productivity Inquiry: Advancing Prosperity</w:t>
      </w:r>
      <w:r w:rsidRPr="00C4084C">
        <w:t xml:space="preserve"> report, this should happen more extensively.  </w:t>
      </w:r>
    </w:p>
    <w:p w14:paraId="70174DC1" w14:textId="55A6E778" w:rsidR="00703E85" w:rsidRPr="00C4084C" w:rsidRDefault="00703E85" w:rsidP="007B4CF5">
      <w:r w:rsidRPr="00C4084C">
        <w:t xml:space="preserve">Governments at all levels should lead by example in the use and uptake of Australian </w:t>
      </w:r>
      <w:r w:rsidR="00417DA6" w:rsidRPr="00C4084C">
        <w:t xml:space="preserve">university </w:t>
      </w:r>
      <w:r w:rsidRPr="00C4084C">
        <w:t xml:space="preserve">research capability, </w:t>
      </w:r>
      <w:proofErr w:type="gramStart"/>
      <w:r w:rsidRPr="00C4084C">
        <w:t>capacity</w:t>
      </w:r>
      <w:proofErr w:type="gramEnd"/>
      <w:r w:rsidRPr="00C4084C">
        <w:t xml:space="preserve"> and consulting, as well as </w:t>
      </w:r>
      <w:r w:rsidR="00417DA6" w:rsidRPr="00C4084C">
        <w:t xml:space="preserve">using </w:t>
      </w:r>
      <w:r w:rsidRPr="00C4084C">
        <w:t xml:space="preserve">the direct outputs of research. As part of enabling this, Commonwealth, </w:t>
      </w:r>
      <w:proofErr w:type="gramStart"/>
      <w:r w:rsidRPr="00C4084C">
        <w:t>state</w:t>
      </w:r>
      <w:proofErr w:type="gramEnd"/>
      <w:r w:rsidRPr="00C4084C">
        <w:t xml:space="preserve"> and territory </w:t>
      </w:r>
      <w:r w:rsidR="006E7485" w:rsidRPr="00C4084C">
        <w:t xml:space="preserve">government </w:t>
      </w:r>
      <w:r w:rsidRPr="00C4084C">
        <w:t xml:space="preserve">procurement policies should optimise procurement processes to make drawing on university expertise easier. Government procurement of Australian research will not only drive better recognition of Australian </w:t>
      </w:r>
      <w:r w:rsidR="006E7485" w:rsidRPr="00C4084C">
        <w:t xml:space="preserve">university </w:t>
      </w:r>
      <w:r w:rsidRPr="00C4084C">
        <w:lastRenderedPageBreak/>
        <w:t xml:space="preserve">research but should motivate universities to improve the discoverability, accessibility, </w:t>
      </w:r>
      <w:proofErr w:type="gramStart"/>
      <w:r w:rsidRPr="00C4084C">
        <w:t>quality</w:t>
      </w:r>
      <w:proofErr w:type="gramEnd"/>
      <w:r w:rsidRPr="00C4084C">
        <w:t xml:space="preserve"> and competitiveness of their services. </w:t>
      </w:r>
    </w:p>
    <w:p w14:paraId="490EE910" w14:textId="75A39EEB" w:rsidR="00703E85" w:rsidRPr="00C4084C" w:rsidRDefault="00703E85" w:rsidP="007B4CF5">
      <w:r w:rsidRPr="00C4084C">
        <w:t xml:space="preserve">Drawing on university research and research capability more effectively will require cultural change and enabling practices that could take time to establish. Current best practice examples can be drawn on in fostering greater uptake of university research by governments, including the Tasmanian Government’s longstanding collaborative relationship with the University of Tasmania on agricultural and aquaculture research, and the NSW Innovation and Productivity Council’s commitment to </w:t>
      </w:r>
      <w:r w:rsidR="00241B2F" w:rsidRPr="00C4084C">
        <w:t>working with</w:t>
      </w:r>
      <w:r w:rsidRPr="00C4084C">
        <w:t xml:space="preserve"> NSW universities.</w:t>
      </w:r>
      <w:r w:rsidR="00BF3701" w:rsidRPr="00C4084C">
        <w:rPr>
          <w:rStyle w:val="FootnoteReference"/>
          <w:rFonts w:cs="Arial"/>
        </w:rPr>
        <w:footnoteReference w:id="328"/>
      </w:r>
      <w:r w:rsidRPr="00C4084C">
        <w:t xml:space="preserve"> </w:t>
      </w:r>
    </w:p>
    <w:p w14:paraId="5C0FDFB4" w14:textId="77777777" w:rsidR="00703E85" w:rsidRPr="00C4084C" w:rsidRDefault="00703E85" w:rsidP="00BA6095">
      <w:pPr>
        <w:pStyle w:val="Heading4"/>
      </w:pPr>
      <w:bookmarkStart w:id="961" w:name="_Toc159500971"/>
      <w:r w:rsidRPr="00C4084C">
        <w:t xml:space="preserve">Mechanisms for sharing research problems and </w:t>
      </w:r>
      <w:proofErr w:type="gramStart"/>
      <w:r w:rsidRPr="00C4084C">
        <w:t>capabilities</w:t>
      </w:r>
      <w:bookmarkEnd w:id="961"/>
      <w:proofErr w:type="gramEnd"/>
    </w:p>
    <w:p w14:paraId="6805F4E0" w14:textId="77777777" w:rsidR="00703E85" w:rsidRPr="00C4084C" w:rsidRDefault="00703E85" w:rsidP="00703E85">
      <w:r w:rsidRPr="00C4084C">
        <w:t>Given the need to improve engagement between universities (with their expert subject knowledge and problem-solving capabilities) and research end-users (who are best placed to identify the problems facing them), the Australian Government should identify ways to enable and uplift engagement endeavours as a priority.</w:t>
      </w:r>
    </w:p>
    <w:p w14:paraId="47901236" w14:textId="77777777" w:rsidR="00703E85" w:rsidRPr="00C4084C" w:rsidRDefault="00703E85" w:rsidP="00703E85">
      <w:r w:rsidRPr="00C4084C">
        <w:t xml:space="preserve">Successful research broker bodies, such as AMIRA Global in the mining sector and the Research Development Corporations in agriculture, are models that should be examined for potential replication in other sectors, where the nature of the research allows for benefit across an entire sector of industry (i.e. when its discoveries are in the pre-competitive phase, where collective benefit does not come up against the imperatives of commercial competition). The capacity to harness university research into high-impact outcomes for end-users by creating genuine partnerships and a common understanding between industry and universities is badly needed. </w:t>
      </w:r>
    </w:p>
    <w:p w14:paraId="7D177D7A" w14:textId="2B296B2E" w:rsidR="00703E85" w:rsidRPr="00C4084C" w:rsidRDefault="00703E85" w:rsidP="00703E85">
      <w:r w:rsidRPr="00C4084C">
        <w:t xml:space="preserve">Another enabling measure worthy of exploration is a mechanism to keep universities, </w:t>
      </w:r>
      <w:r w:rsidR="00EA2D88" w:rsidRPr="00C4084C">
        <w:t>business and</w:t>
      </w:r>
      <w:r w:rsidRPr="00C4084C">
        <w:t xml:space="preserve"> industry and government informed of nationally significant research </w:t>
      </w:r>
      <w:r w:rsidRPr="00C4084C">
        <w:rPr>
          <w:i/>
        </w:rPr>
        <w:t>problems</w:t>
      </w:r>
      <w:r w:rsidRPr="00C4084C">
        <w:t xml:space="preserve"> on the one hand, and of nationally significant research </w:t>
      </w:r>
      <w:r w:rsidRPr="00C4084C">
        <w:rPr>
          <w:i/>
        </w:rPr>
        <w:t>capabilities</w:t>
      </w:r>
      <w:r w:rsidRPr="00C4084C">
        <w:t xml:space="preserve"> in the higher education s</w:t>
      </w:r>
      <w:r w:rsidR="00FB2E32" w:rsidRPr="00C4084C">
        <w:t>ector</w:t>
      </w:r>
      <w:r w:rsidRPr="00C4084C">
        <w:t xml:space="preserve"> on the other hand. A mechanism such as Interface Scotland, a regionally based central hub connecting organisations from national and international industries to all of Scotland’s universities, research institutions and colleges,</w:t>
      </w:r>
      <w:r w:rsidRPr="00C4084C">
        <w:rPr>
          <w:rStyle w:val="FootnoteReference"/>
          <w:rFonts w:cs="Arial"/>
        </w:rPr>
        <w:footnoteReference w:id="329"/>
      </w:r>
      <w:r w:rsidRPr="00C4084C">
        <w:t xml:space="preserve"> has the potential to improve connectivity between Australian universities and end-users, creating more opportunities for high impact research.</w:t>
      </w:r>
    </w:p>
    <w:p w14:paraId="0935A5B0" w14:textId="708BB581" w:rsidR="00703E85" w:rsidRPr="00C4084C" w:rsidRDefault="00703E85" w:rsidP="00703E85">
      <w:r w:rsidRPr="00C4084C">
        <w:t>Yet another mechanism might be for Australian governments to work closely with business and industry peak bodies (</w:t>
      </w:r>
      <w:r w:rsidR="00455D81">
        <w:t xml:space="preserve">e.g. </w:t>
      </w:r>
      <w:r w:rsidR="00287285">
        <w:t>Business Council of Australia</w:t>
      </w:r>
      <w:r w:rsidRPr="00C4084C">
        <w:t xml:space="preserve">, </w:t>
      </w:r>
      <w:r w:rsidR="00287285">
        <w:t>the Australian Industry Group</w:t>
      </w:r>
      <w:r w:rsidRPr="00C4084C">
        <w:t xml:space="preserve">, </w:t>
      </w:r>
      <w:r w:rsidR="00287285">
        <w:t xml:space="preserve">Australian Chamber of </w:t>
      </w:r>
      <w:proofErr w:type="gramStart"/>
      <w:r w:rsidR="00287285">
        <w:t>Commerce</w:t>
      </w:r>
      <w:proofErr w:type="gramEnd"/>
      <w:r w:rsidR="00287285">
        <w:t xml:space="preserve"> and Industry</w:t>
      </w:r>
      <w:r w:rsidRPr="00C4084C">
        <w:t xml:space="preserve">) to establish a Research Investor Forum to explore future mechanisms for sharing research problems and capabilities. During the </w:t>
      </w:r>
      <w:r w:rsidR="000A6609">
        <w:t>R</w:t>
      </w:r>
      <w:r w:rsidRPr="00C4084C">
        <w:t>eview</w:t>
      </w:r>
      <w:r w:rsidR="000A6609">
        <w:t xml:space="preserve">, the </w:t>
      </w:r>
      <w:r w:rsidR="000A6609" w:rsidRPr="00C4084C">
        <w:t>Business Council of Australia</w:t>
      </w:r>
      <w:r w:rsidR="000A6609">
        <w:t xml:space="preserve"> suggested</w:t>
      </w:r>
      <w:r w:rsidRPr="00C4084C">
        <w:t xml:space="preserve"> bringing industry, </w:t>
      </w:r>
      <w:proofErr w:type="gramStart"/>
      <w:r w:rsidRPr="00C4084C">
        <w:t>employers</w:t>
      </w:r>
      <w:proofErr w:type="gramEnd"/>
      <w:r w:rsidRPr="00C4084C">
        <w:t xml:space="preserve"> and institutions together through a forum to facilitate stronger collaboration on research. The Review believes strongly in the power of collaboration and the Commission should use its convening power to draw in relevant parties to help establish a way forward on issues like how to maximise use of research capacity to solve problems.</w:t>
      </w:r>
    </w:p>
    <w:p w14:paraId="6A2207DC" w14:textId="14EFE5FA" w:rsidR="00703E85" w:rsidRPr="00C4084C" w:rsidRDefault="00703E85" w:rsidP="00703E85">
      <w:r w:rsidRPr="00C4084C">
        <w:lastRenderedPageBreak/>
        <w:t>Government grants schemes encouraging university collaboration with industry also have an important role in achieving success in this area. Between 1989 and now,</w:t>
      </w:r>
      <w:r w:rsidRPr="00C4084C" w:rsidDel="00352391">
        <w:t xml:space="preserve"> </w:t>
      </w:r>
      <w:r w:rsidRPr="00C4084C">
        <w:t xml:space="preserve">many </w:t>
      </w:r>
      <w:r w:rsidRPr="00C4084C" w:rsidDel="00405E85">
        <w:t xml:space="preserve">government policies </w:t>
      </w:r>
      <w:r w:rsidRPr="00C4084C">
        <w:t>and funding schemes have prioritised</w:t>
      </w:r>
      <w:r w:rsidRPr="00C4084C" w:rsidDel="00405E85">
        <w:t xml:space="preserve"> the translation and commercialisation of research</w:t>
      </w:r>
      <w:r w:rsidRPr="00C4084C">
        <w:t xml:space="preserve">. These include: the very successful ARC </w:t>
      </w:r>
      <w:r w:rsidR="002F3B90" w:rsidRPr="00C4084C">
        <w:t xml:space="preserve">Collaborative Grants Scheme (now the </w:t>
      </w:r>
      <w:r w:rsidRPr="00C4084C">
        <w:t>ARC Linkage Scheme</w:t>
      </w:r>
      <w:r w:rsidR="002F3B90" w:rsidRPr="00C4084C">
        <w:t>)</w:t>
      </w:r>
      <w:r w:rsidRPr="00C4084C">
        <w:t>, introduced in 199</w:t>
      </w:r>
      <w:r w:rsidR="00EB6747">
        <w:t>1</w:t>
      </w:r>
      <w:r w:rsidRPr="00C4084C">
        <w:t xml:space="preserve"> and expanded in 2012 to include </w:t>
      </w:r>
      <w:r w:rsidR="004D356A" w:rsidRPr="00C4084C">
        <w:t xml:space="preserve">the </w:t>
      </w:r>
      <w:r w:rsidRPr="00C4084C">
        <w:rPr>
          <w:rStyle w:val="Emphasis"/>
          <w:i w:val="0"/>
        </w:rPr>
        <w:t>Industrial Transformation Training Centres</w:t>
      </w:r>
      <w:r w:rsidRPr="00C4084C">
        <w:rPr>
          <w:i/>
        </w:rPr>
        <w:t xml:space="preserve"> </w:t>
      </w:r>
      <w:r w:rsidRPr="00C4084C">
        <w:t>(I</w:t>
      </w:r>
      <w:r w:rsidR="004A1A66">
        <w:t>T</w:t>
      </w:r>
      <w:r w:rsidRPr="00C4084C">
        <w:t>TCs) and</w:t>
      </w:r>
      <w:r w:rsidRPr="00C4084C">
        <w:rPr>
          <w:i/>
        </w:rPr>
        <w:t xml:space="preserve"> </w:t>
      </w:r>
      <w:r w:rsidRPr="00C4084C">
        <w:rPr>
          <w:rStyle w:val="Emphasis"/>
          <w:i w:val="0"/>
        </w:rPr>
        <w:t xml:space="preserve">Industrial Transformation Research </w:t>
      </w:r>
      <w:r w:rsidRPr="00C4084C">
        <w:t>Hubs</w:t>
      </w:r>
      <w:r w:rsidR="00EA2D88" w:rsidRPr="00C4084C">
        <w:t>,</w:t>
      </w:r>
      <w:r w:rsidRPr="00C4084C">
        <w:t xml:space="preserve"> the ARC Centres of Excellence </w:t>
      </w:r>
      <w:r w:rsidR="00EA2D88" w:rsidRPr="00C4084C">
        <w:t>S</w:t>
      </w:r>
      <w:r w:rsidRPr="00C4084C">
        <w:t>cheme</w:t>
      </w:r>
      <w:r w:rsidR="00EA2D88" w:rsidRPr="00C4084C">
        <w:t>,</w:t>
      </w:r>
      <w:r w:rsidRPr="00C4084C">
        <w:t xml:space="preserve"> (</w:t>
      </w:r>
      <w:r w:rsidR="00DE6168">
        <w:t>replacing</w:t>
      </w:r>
      <w:r w:rsidRPr="00C4084C">
        <w:t xml:space="preserve"> the Special Research Centre Program in 2000)</w:t>
      </w:r>
      <w:r w:rsidR="000C40EF" w:rsidRPr="00C4084C">
        <w:t>,</w:t>
      </w:r>
      <w:r w:rsidRPr="00C4084C">
        <w:t xml:space="preserve"> the Cooperative Research Centre</w:t>
      </w:r>
      <w:r w:rsidR="00F876FA">
        <w:t>s</w:t>
      </w:r>
      <w:r w:rsidRPr="00C4084C">
        <w:t xml:space="preserve"> (CRC) Program introduced in 1990 and expanded in 2016 to include the more nimble</w:t>
      </w:r>
      <w:r w:rsidR="004D356A" w:rsidRPr="00C4084C">
        <w:t xml:space="preserve"> </w:t>
      </w:r>
      <w:r w:rsidRPr="00C4084C">
        <w:t>CRC Projects scheme</w:t>
      </w:r>
      <w:r w:rsidR="00EA2D88" w:rsidRPr="00C4084C">
        <w:t>,</w:t>
      </w:r>
      <w:r w:rsidRPr="00C4084C">
        <w:t xml:space="preserve"> and the various rural Research and Development Corporations (RDC</w:t>
      </w:r>
      <w:r w:rsidR="00EA2D88" w:rsidRPr="00C4084C">
        <w:t>s</w:t>
      </w:r>
      <w:r w:rsidRPr="00C4084C">
        <w:t>) since 1989, amongst others.</w:t>
      </w:r>
      <w:r w:rsidR="00BD45E9">
        <w:rPr>
          <w:rStyle w:val="FootnoteReference"/>
          <w:rFonts w:cs="Arial"/>
        </w:rPr>
        <w:footnoteReference w:id="330"/>
      </w:r>
      <w:r w:rsidR="00BD45E9" w:rsidRPr="005513E1">
        <w:t xml:space="preserve"> </w:t>
      </w:r>
      <w:r w:rsidRPr="00C4084C">
        <w:t xml:space="preserve"> </w:t>
      </w:r>
    </w:p>
    <w:p w14:paraId="3694623B" w14:textId="5660BFA0" w:rsidR="00703E85" w:rsidRPr="00C4084C" w:rsidRDefault="00703E85" w:rsidP="00703E85">
      <w:r w:rsidRPr="00C4084C" w:rsidDel="00405E85">
        <w:t xml:space="preserve">The University Research Commercialisation Action Plan released in February 2022 has </w:t>
      </w:r>
      <w:r w:rsidRPr="00C4084C">
        <w:t>been an important recent addition</w:t>
      </w:r>
      <w:r w:rsidR="00455D81">
        <w:t xml:space="preserve">, creating the </w:t>
      </w:r>
      <w:r w:rsidRPr="00C4084C" w:rsidDel="00405E85">
        <w:t>Trailblazers</w:t>
      </w:r>
      <w:r w:rsidR="00455D81">
        <w:t xml:space="preserve"> program</w:t>
      </w:r>
      <w:r w:rsidRPr="00C4084C" w:rsidDel="00405E85">
        <w:t xml:space="preserve">, the Australian Economic </w:t>
      </w:r>
      <w:proofErr w:type="gramStart"/>
      <w:r w:rsidRPr="00C4084C" w:rsidDel="00405E85">
        <w:t>Accelerator</w:t>
      </w:r>
      <w:proofErr w:type="gramEnd"/>
      <w:r w:rsidRPr="00C4084C" w:rsidDel="00405E85">
        <w:t xml:space="preserve"> and the National Industry PhD Program</w:t>
      </w:r>
      <w:r w:rsidR="00455D81">
        <w:t>,</w:t>
      </w:r>
      <w:r w:rsidRPr="00C4084C">
        <w:t xml:space="preserve"> and</w:t>
      </w:r>
      <w:r w:rsidRPr="00C4084C" w:rsidDel="00405E85">
        <w:t xml:space="preserve"> </w:t>
      </w:r>
      <w:r w:rsidRPr="00C4084C">
        <w:t>is showing</w:t>
      </w:r>
      <w:r w:rsidRPr="00C4084C" w:rsidDel="00405E85">
        <w:t xml:space="preserve"> signs of early success</w:t>
      </w:r>
      <w:r w:rsidRPr="00C4084C">
        <w:t>.</w:t>
      </w:r>
      <w:r w:rsidRPr="00C4084C">
        <w:rPr>
          <w:rStyle w:val="FootnoteReference"/>
          <w:rFonts w:cs="Arial"/>
        </w:rPr>
        <w:footnoteReference w:id="331"/>
      </w:r>
      <w:r w:rsidRPr="00C4084C">
        <w:t xml:space="preserve"> Like all these schemes, it is oversubscribed. Across the first</w:t>
      </w:r>
      <w:r w:rsidRPr="00C4084C" w:rsidDel="00D16150">
        <w:t xml:space="preserve"> </w:t>
      </w:r>
      <w:r w:rsidRPr="00C4084C">
        <w:t>2 rounds of the National Industry PhD Program, 214 applications for PhD projects were submitted for 72 available scholarships, demonstrating strong interest and the potential to leverage more industry relevant research than is currently possible.</w:t>
      </w:r>
      <w:r w:rsidRPr="00C4084C">
        <w:rPr>
          <w:rStyle w:val="FootnoteReference"/>
          <w:rFonts w:cs="Arial"/>
        </w:rPr>
        <w:footnoteReference w:id="332"/>
      </w:r>
      <w:r w:rsidRPr="00C4084C">
        <w:t xml:space="preserve"> The IITCs are also heavily over-subscribed, with insufficient funds available to the ARC to award more than around </w:t>
      </w:r>
      <w:r w:rsidR="00B456F0">
        <w:t>one-third</w:t>
      </w:r>
      <w:r w:rsidRPr="00C4084C">
        <w:t xml:space="preserve"> of applications for advanced industrial research collaboration.</w:t>
      </w:r>
      <w:r w:rsidR="0039621C" w:rsidRPr="00C4084C">
        <w:rPr>
          <w:rStyle w:val="FootnoteReference"/>
          <w:rFonts w:cs="Arial"/>
        </w:rPr>
        <w:footnoteReference w:id="333"/>
      </w:r>
    </w:p>
    <w:p w14:paraId="75894D11" w14:textId="77777777" w:rsidR="00703E85" w:rsidRPr="00C4084C" w:rsidRDefault="00703E85" w:rsidP="00703E85">
      <w:pPr>
        <w:rPr>
          <w:rStyle w:val="normaltextrun"/>
          <w:rFonts w:cs="Arial"/>
          <w:color w:val="000000"/>
          <w:shd w:val="clear" w:color="auto" w:fill="FFFFFF"/>
        </w:rPr>
      </w:pPr>
      <w:r w:rsidRPr="00C4084C">
        <w:t xml:space="preserve">If industry were to invest more in employing PhDs and encouraging existing staff to undertake PhD training, the connection to industry from universities would arguably be immediately enhanced. </w:t>
      </w:r>
      <w:r w:rsidRPr="00C4084C">
        <w:rPr>
          <w:rStyle w:val="normaltextrun"/>
          <w:rFonts w:cs="Arial"/>
          <w:color w:val="000000"/>
          <w:shd w:val="clear" w:color="auto" w:fill="FFFFFF"/>
        </w:rPr>
        <w:t xml:space="preserve">Setting a </w:t>
      </w:r>
      <w:r w:rsidRPr="00C4084C">
        <w:rPr>
          <w:rStyle w:val="findhit"/>
          <w:rFonts w:cs="Arial"/>
          <w:color w:val="000000"/>
        </w:rPr>
        <w:t>target number</w:t>
      </w:r>
      <w:r w:rsidRPr="00C4084C">
        <w:rPr>
          <w:rStyle w:val="normaltextrun"/>
          <w:rFonts w:cs="Arial"/>
          <w:color w:val="000000"/>
          <w:shd w:val="clear" w:color="auto" w:fill="FFFFFF"/>
        </w:rPr>
        <w:t xml:space="preserve"> for employees in industry undertaking a PhD relevant to their firm could underpin this uplift while enabling the sector to measure and track progress.</w:t>
      </w:r>
    </w:p>
    <w:p w14:paraId="2F5E8B00" w14:textId="77777777" w:rsidR="00703E85" w:rsidRPr="00C4084C" w:rsidRDefault="00703E85" w:rsidP="00BA6095">
      <w:pPr>
        <w:pStyle w:val="Heading4"/>
      </w:pPr>
      <w:bookmarkStart w:id="962" w:name="_Ref153794573"/>
      <w:bookmarkStart w:id="963" w:name="_Toc159500972"/>
      <w:r w:rsidRPr="00C4084C">
        <w:t xml:space="preserve">A strategic fund aimed to reward ‘real-world’ </w:t>
      </w:r>
      <w:proofErr w:type="gramStart"/>
      <w:r w:rsidRPr="00C4084C">
        <w:t>impact</w:t>
      </w:r>
      <w:bookmarkEnd w:id="962"/>
      <w:bookmarkEnd w:id="963"/>
      <w:proofErr w:type="gramEnd"/>
      <w:r w:rsidRPr="00C4084C">
        <w:t xml:space="preserve"> </w:t>
      </w:r>
    </w:p>
    <w:p w14:paraId="5907425C" w14:textId="3A4E0B45" w:rsidR="00703E85" w:rsidRPr="00C4084C" w:rsidRDefault="00703E85" w:rsidP="00703E85">
      <w:pPr>
        <w:spacing w:line="257" w:lineRule="auto"/>
        <w:rPr>
          <w:rFonts w:cs="Arial"/>
          <w:color w:val="000000" w:themeColor="text1"/>
        </w:rPr>
      </w:pPr>
      <w:r w:rsidRPr="00C4084C">
        <w:rPr>
          <w:rFonts w:eastAsia="Arial" w:cs="Arial"/>
        </w:rPr>
        <w:t xml:space="preserve">Encouraging and rewarding universities for working closely with government and industry end-users, with the aim of increasing end-user take up of research capability and capacity, will require changes in how universities, their researchers and their research offices orient their research efforts. To support this, the Review </w:t>
      </w:r>
      <w:r w:rsidR="00EA2D88" w:rsidRPr="00C4084C">
        <w:rPr>
          <w:rFonts w:eastAsia="Arial" w:cs="Arial"/>
        </w:rPr>
        <w:t xml:space="preserve">recommends </w:t>
      </w:r>
      <w:r w:rsidRPr="00C4084C">
        <w:rPr>
          <w:rFonts w:eastAsia="Arial" w:cs="Arial"/>
        </w:rPr>
        <w:t xml:space="preserve">the </w:t>
      </w:r>
      <w:r w:rsidRPr="00C4084C">
        <w:rPr>
          <w:rFonts w:cs="Arial"/>
          <w:color w:val="000000" w:themeColor="text1"/>
        </w:rPr>
        <w:t>establishment of a new strategic research fund, the Solving Australian Challenges Strategic Fund</w:t>
      </w:r>
      <w:r w:rsidR="00E842F5" w:rsidRPr="00C4084C">
        <w:rPr>
          <w:rFonts w:cs="Arial"/>
          <w:color w:val="000000" w:themeColor="text1"/>
        </w:rPr>
        <w:t xml:space="preserve"> (see Recommendation </w:t>
      </w:r>
      <w:r w:rsidR="0043676B" w:rsidRPr="00C4084C">
        <w:rPr>
          <w:rFonts w:cs="Arial"/>
          <w:color w:val="000000" w:themeColor="text1"/>
        </w:rPr>
        <w:t>25)</w:t>
      </w:r>
      <w:r w:rsidRPr="00C4084C">
        <w:rPr>
          <w:rFonts w:cs="Arial"/>
          <w:color w:val="000000" w:themeColor="text1"/>
        </w:rPr>
        <w:t xml:space="preserve">. Its purpose will be to reward universities with a clear track record of using their research capability and capacity to solve major problems for industry, government, </w:t>
      </w:r>
      <w:proofErr w:type="gramStart"/>
      <w:r w:rsidRPr="00C4084C">
        <w:rPr>
          <w:rFonts w:cs="Arial"/>
          <w:color w:val="000000" w:themeColor="text1"/>
        </w:rPr>
        <w:t>business</w:t>
      </w:r>
      <w:proofErr w:type="gramEnd"/>
      <w:r w:rsidRPr="00C4084C">
        <w:rPr>
          <w:rFonts w:cs="Arial"/>
          <w:color w:val="000000" w:themeColor="text1"/>
        </w:rPr>
        <w:t xml:space="preserve"> and the community and/or achieving major success in research deployment and commercialisation of research results. </w:t>
      </w:r>
    </w:p>
    <w:p w14:paraId="0689A894" w14:textId="77777777" w:rsidR="00703E85" w:rsidRPr="00C4084C" w:rsidRDefault="00703E85" w:rsidP="00703E85">
      <w:pPr>
        <w:spacing w:line="257" w:lineRule="auto"/>
        <w:rPr>
          <w:rFonts w:cs="Arial"/>
          <w:color w:val="000000" w:themeColor="text1"/>
        </w:rPr>
      </w:pPr>
      <w:r w:rsidRPr="00C4084C">
        <w:rPr>
          <w:rFonts w:cs="Arial"/>
          <w:color w:val="000000" w:themeColor="text1"/>
        </w:rPr>
        <w:t>The</w:t>
      </w:r>
      <w:r w:rsidRPr="00C4084C">
        <w:rPr>
          <w:rFonts w:cs="Arial"/>
          <w:color w:val="000000" w:themeColor="text1"/>
          <w:sz w:val="24"/>
          <w:szCs w:val="24"/>
        </w:rPr>
        <w:t xml:space="preserve"> </w:t>
      </w:r>
      <w:r w:rsidRPr="00C4084C">
        <w:rPr>
          <w:rFonts w:cs="Arial"/>
          <w:color w:val="000000" w:themeColor="text1"/>
        </w:rPr>
        <w:t xml:space="preserve">allocation of this fund should be determined as the result of a research portfolio assessment carried out annually by the Commission in consultation with the ARC. Universities with exceptional performance should be rewarded at a higher level than others. Administratively, the fund would be ‘light touch’, with only minimal reporting requirements.  </w:t>
      </w:r>
    </w:p>
    <w:p w14:paraId="6A14F17B" w14:textId="348956D4" w:rsidR="00703E85" w:rsidRPr="00C4084C" w:rsidRDefault="00703E85" w:rsidP="00703E85">
      <w:pPr>
        <w:spacing w:line="257" w:lineRule="auto"/>
        <w:rPr>
          <w:rFonts w:cs="Arial"/>
          <w:color w:val="000000"/>
        </w:rPr>
      </w:pPr>
      <w:r w:rsidRPr="00C4084C">
        <w:rPr>
          <w:rFonts w:cs="Arial"/>
        </w:rPr>
        <w:lastRenderedPageBreak/>
        <w:t xml:space="preserve">Because the </w:t>
      </w:r>
      <w:r w:rsidR="00D42442" w:rsidRPr="00C4084C">
        <w:rPr>
          <w:rFonts w:cs="Arial"/>
        </w:rPr>
        <w:t>F</w:t>
      </w:r>
      <w:r w:rsidRPr="00C4084C">
        <w:rPr>
          <w:rFonts w:cs="Arial"/>
        </w:rPr>
        <w:t>und will reward universities with a clear commitment to strengthening research capability use, it should further encourage universities to continue making strategic research investment decisions that not only improve research quality but also help improve the use of research and research expertise. While every university would have access to</w:t>
      </w:r>
      <w:r w:rsidR="00D42442" w:rsidRPr="00C4084C">
        <w:rPr>
          <w:rFonts w:cs="Arial"/>
        </w:rPr>
        <w:t xml:space="preserve"> the Fund</w:t>
      </w:r>
      <w:r w:rsidRPr="00C4084C">
        <w:rPr>
          <w:rFonts w:cs="Arial"/>
        </w:rPr>
        <w:t xml:space="preserve">, having an element of competition in the awarding process will ensure that </w:t>
      </w:r>
      <w:r w:rsidRPr="00C4084C">
        <w:rPr>
          <w:rFonts w:cs="Arial"/>
          <w:color w:val="000000" w:themeColor="text1"/>
        </w:rPr>
        <w:t xml:space="preserve">it does not function simply as an extension of the current research block grant allocations. More importantly, it will be focused on research capability, </w:t>
      </w:r>
      <w:proofErr w:type="gramStart"/>
      <w:r w:rsidRPr="00C4084C">
        <w:rPr>
          <w:rFonts w:cs="Arial"/>
          <w:color w:val="000000" w:themeColor="text1"/>
        </w:rPr>
        <w:t>activity</w:t>
      </w:r>
      <w:proofErr w:type="gramEnd"/>
      <w:r w:rsidRPr="00C4084C">
        <w:rPr>
          <w:rFonts w:cs="Arial"/>
          <w:color w:val="000000" w:themeColor="text1"/>
        </w:rPr>
        <w:t xml:space="preserve"> and the outcomes of that activity, rather than as general support to the research system, as block grants are intended. Awarding a fund based on the end outcomes of research or the advancement of Australia’s capability to be world leading in areas of national interest will focus universities, </w:t>
      </w:r>
      <w:proofErr w:type="gramStart"/>
      <w:r w:rsidRPr="00C4084C">
        <w:rPr>
          <w:rFonts w:cs="Arial"/>
          <w:color w:val="000000" w:themeColor="text1"/>
        </w:rPr>
        <w:t>industry</w:t>
      </w:r>
      <w:proofErr w:type="gramEnd"/>
      <w:r w:rsidRPr="00C4084C">
        <w:rPr>
          <w:rFonts w:cs="Arial"/>
          <w:color w:val="000000" w:themeColor="text1"/>
        </w:rPr>
        <w:t xml:space="preserve"> and government on conducting purposeful research activity. </w:t>
      </w:r>
    </w:p>
    <w:p w14:paraId="4080F2F8" w14:textId="77777777" w:rsidR="00703E85" w:rsidRPr="00C4084C" w:rsidRDefault="00703E85" w:rsidP="00703E85">
      <w:pPr>
        <w:spacing w:line="257" w:lineRule="auto"/>
        <w:rPr>
          <w:rFonts w:cs="Arial"/>
          <w:color w:val="000000"/>
        </w:rPr>
      </w:pPr>
      <w:r w:rsidRPr="00C4084C">
        <w:rPr>
          <w:rFonts w:cs="Arial"/>
          <w:color w:val="000000"/>
        </w:rPr>
        <w:t xml:space="preserve">A commitment to a long-term strategic research fund will have the by-product of improving the overall resilience of the university research sector. The fund will provide some ‘guard rails’ for the university research funding system, as it will be an ongoing funding source that can be drawn on in the event of shocks to other strategic research funding sources. </w:t>
      </w:r>
    </w:p>
    <w:p w14:paraId="7D80C049" w14:textId="6C13D7AE" w:rsidR="00703E85" w:rsidRPr="00C4084C" w:rsidRDefault="00703E85" w:rsidP="003E5969">
      <w:pPr>
        <w:spacing w:line="257" w:lineRule="auto"/>
      </w:pPr>
      <w:r w:rsidRPr="00C4084C">
        <w:rPr>
          <w:rFonts w:cs="Arial"/>
          <w:color w:val="000000"/>
          <w:sz w:val="21"/>
          <w:szCs w:val="21"/>
        </w:rPr>
        <w:t>It will</w:t>
      </w:r>
      <w:r w:rsidRPr="00C4084C">
        <w:rPr>
          <w:rFonts w:eastAsia="Arial" w:cs="Arial"/>
        </w:rPr>
        <w:t xml:space="preserve"> also provide benefits for governments, regions, </w:t>
      </w:r>
      <w:proofErr w:type="gramStart"/>
      <w:r w:rsidRPr="00C4084C">
        <w:rPr>
          <w:rFonts w:eastAsia="Arial" w:cs="Arial"/>
        </w:rPr>
        <w:t>industry</w:t>
      </w:r>
      <w:proofErr w:type="gramEnd"/>
      <w:r w:rsidRPr="00C4084C">
        <w:rPr>
          <w:rFonts w:eastAsia="Arial" w:cs="Arial"/>
        </w:rPr>
        <w:t xml:space="preserve"> and the general community, given that university research that achieves ‘pull through’ will often be oriented towards improving outcomes for these sectors. </w:t>
      </w:r>
    </w:p>
    <w:tbl>
      <w:tblPr>
        <w:tblW w:w="0" w:type="auto"/>
        <w:shd w:val="clear" w:color="auto" w:fill="FBE4D5"/>
        <w:tblLook w:val="04A0" w:firstRow="1" w:lastRow="0" w:firstColumn="1" w:lastColumn="0" w:noHBand="0" w:noVBand="1"/>
      </w:tblPr>
      <w:tblGrid>
        <w:gridCol w:w="9026"/>
      </w:tblGrid>
      <w:tr w:rsidR="00DE09C7" w:rsidRPr="00C4084C" w14:paraId="544E147B" w14:textId="77777777" w:rsidTr="00D26B82">
        <w:tc>
          <w:tcPr>
            <w:tcW w:w="9026" w:type="dxa"/>
            <w:shd w:val="clear" w:color="auto" w:fill="FEECDF"/>
          </w:tcPr>
          <w:p w14:paraId="23032772" w14:textId="2778E99F" w:rsidR="00752040" w:rsidRPr="00752040" w:rsidRDefault="00752040" w:rsidP="003E5969">
            <w:pPr>
              <w:pStyle w:val="Recheadinginbox"/>
            </w:pPr>
            <w:r w:rsidRPr="00752040">
              <w:rPr>
                <w:rStyle w:val="PageNumber"/>
              </w:rPr>
              <w:lastRenderedPageBreak/>
              <w:t>Recommendation:</w:t>
            </w:r>
            <w:r w:rsidRPr="00752040">
              <w:t xml:space="preserve"> Producing new knowledge and using research capability</w:t>
            </w:r>
          </w:p>
          <w:p w14:paraId="0D79D099" w14:textId="6764D9C4" w:rsidR="00DE09C7" w:rsidRPr="00C4084C" w:rsidRDefault="00DE09C7" w:rsidP="003E5969">
            <w:pPr>
              <w:pStyle w:val="Recsin-chapterL1"/>
              <w:framePr w:wrap="notBeside"/>
              <w:spacing w:before="0" w:after="0"/>
            </w:pPr>
            <w:r w:rsidRPr="00C4084C">
              <w:t xml:space="preserve">That to ensure Australia’s research capacity and capability has a high impact and is made use of as effectively as possible: </w:t>
            </w:r>
          </w:p>
          <w:p w14:paraId="15443209" w14:textId="5F131754" w:rsidR="00DE09C7" w:rsidRPr="00C4084C" w:rsidRDefault="00DE09C7" w:rsidP="003E5969">
            <w:pPr>
              <w:pStyle w:val="Recsin-chapterL2"/>
              <w:spacing w:before="0" w:beforeAutospacing="0"/>
            </w:pPr>
            <w:r w:rsidRPr="00C4084C">
              <w:t xml:space="preserve">Australian governments lead by example in the use and uptake of Australian research and innovation, and develop processes to draw heavily on the research and consulting capacity and capability of Australia’s universities and publicly funded research agencies in addressing acute and stubborn economic, social, health, climate and environmental </w:t>
            </w:r>
            <w:proofErr w:type="gramStart"/>
            <w:r w:rsidRPr="00C4084C">
              <w:t>challenges</w:t>
            </w:r>
            <w:proofErr w:type="gramEnd"/>
          </w:p>
          <w:p w14:paraId="74403C70" w14:textId="77777777" w:rsidR="00DE09C7" w:rsidRPr="00C4084C" w:rsidRDefault="00DE09C7" w:rsidP="003E5969">
            <w:pPr>
              <w:pStyle w:val="Recsin-chapterL2"/>
            </w:pPr>
            <w:r w:rsidRPr="00C4084C">
              <w:t xml:space="preserve">Australian governments working closely with business and industry peak bodies (e.g. Business Council of Australia, Australian Industry Group, Australian Chamber of Commerce and Industry) establish a Research Investor Forum to explore mechanisms that keep universities, industry and government informed of significant research problems that need to be addressed, and of significant research capabilities in the higher education </w:t>
            </w:r>
            <w:proofErr w:type="gramStart"/>
            <w:r w:rsidRPr="00C4084C">
              <w:t>system</w:t>
            </w:r>
            <w:proofErr w:type="gramEnd"/>
          </w:p>
          <w:p w14:paraId="5F5B853A" w14:textId="7A72D35E" w:rsidR="00DE09C7" w:rsidRPr="00C4084C" w:rsidRDefault="00DE09C7" w:rsidP="003E5969">
            <w:pPr>
              <w:pStyle w:val="Recsin-chapterL2"/>
            </w:pPr>
            <w:r w:rsidRPr="00C4084C">
              <w:t xml:space="preserve">the Australian Government establish a new Solving Australian Challenges Strategic Fund to reward universities which can demonstrate effective use and development of their research and innovation capacity in working with and for governments, </w:t>
            </w:r>
            <w:proofErr w:type="gramStart"/>
            <w:r w:rsidRPr="00C4084C">
              <w:t>industry</w:t>
            </w:r>
            <w:proofErr w:type="gramEnd"/>
            <w:r w:rsidRPr="00C4084C">
              <w:t xml:space="preserve"> and communities to address major challenges. The allocation of this fund should use a light-touch portfolio assessment and have regard to each university’s mission. Universities with exceptional performance should be rewarded at a higher level than </w:t>
            </w:r>
            <w:proofErr w:type="gramStart"/>
            <w:r w:rsidRPr="00C4084C">
              <w:t>others</w:t>
            </w:r>
            <w:proofErr w:type="gramEnd"/>
          </w:p>
          <w:p w14:paraId="5512FBAE" w14:textId="77777777" w:rsidR="00DE09C7" w:rsidRPr="00C4084C" w:rsidDel="00882244" w:rsidRDefault="00DE09C7" w:rsidP="003E5969">
            <w:pPr>
              <w:pStyle w:val="Recsin-chapterL2"/>
            </w:pPr>
            <w:r w:rsidRPr="00C4084C">
              <w:t>firms invest in upskilling staff to PhD level at scale, collaborating with peak bodies and governments to establish a target for the number of PhD candidates employed in industry undertaking a PhD relevant to their firm.</w:t>
            </w:r>
          </w:p>
        </w:tc>
      </w:tr>
    </w:tbl>
    <w:p w14:paraId="2CF47DA1" w14:textId="77777777" w:rsidR="00703E85" w:rsidRPr="00C4084C" w:rsidRDefault="00703E85" w:rsidP="00703E85">
      <w:pPr>
        <w:pStyle w:val="Heading3"/>
      </w:pPr>
      <w:bookmarkStart w:id="964" w:name="_Toc159500973"/>
      <w:r w:rsidRPr="00C4084C">
        <w:t>Maintaining a strong foundation</w:t>
      </w:r>
      <w:bookmarkEnd w:id="964"/>
      <w:r w:rsidRPr="00C4084C">
        <w:t xml:space="preserve"> </w:t>
      </w:r>
    </w:p>
    <w:p w14:paraId="3A844834" w14:textId="77777777" w:rsidR="00703E85" w:rsidRPr="00C4084C" w:rsidRDefault="00703E85" w:rsidP="00BA6095">
      <w:pPr>
        <w:pStyle w:val="Heading4"/>
      </w:pPr>
      <w:bookmarkStart w:id="965" w:name="_Toc159500974"/>
      <w:r w:rsidRPr="00C4084C">
        <w:t>Investing in basic research</w:t>
      </w:r>
      <w:bookmarkEnd w:id="965"/>
    </w:p>
    <w:p w14:paraId="7FD2CE00" w14:textId="77777777" w:rsidR="00703E85" w:rsidRPr="00C4084C" w:rsidRDefault="00703E85" w:rsidP="007B4CF5">
      <w:r w:rsidRPr="00C4084C">
        <w:t>Australia’s strong research system is based on its investment in basic research. For Australia’s research to be high-impact, Australia must continue to support investigator-led discovery of new knowledge.</w:t>
      </w:r>
    </w:p>
    <w:p w14:paraId="5535D168" w14:textId="33051895" w:rsidR="00703E85" w:rsidRPr="00C4084C" w:rsidRDefault="00703E85" w:rsidP="007B4CF5">
      <w:r w:rsidRPr="00C4084C">
        <w:t>Basic research is the prerequisite for many great discoveries – but its effects are generally not immediately felt.</w:t>
      </w:r>
      <w:r w:rsidRPr="00C4084C">
        <w:rPr>
          <w:rStyle w:val="FootnoteReference"/>
          <w:rFonts w:eastAsia="Arial" w:cs="Arial"/>
        </w:rPr>
        <w:footnoteReference w:id="334"/>
      </w:r>
      <w:r w:rsidRPr="00C4084C">
        <w:t xml:space="preserve"> COVID</w:t>
      </w:r>
      <w:r w:rsidR="00BC7FB3">
        <w:t>-19</w:t>
      </w:r>
      <w:r w:rsidRPr="00C4084C">
        <w:t xml:space="preserve"> mRNA vaccines, for instance, were developed off the back of 30 years of basic research.</w:t>
      </w:r>
      <w:r w:rsidRPr="00C4084C">
        <w:rPr>
          <w:rStyle w:val="FootnoteReference"/>
          <w:rFonts w:eastAsia="Arial" w:cs="Arial"/>
        </w:rPr>
        <w:footnoteReference w:id="335"/>
      </w:r>
      <w:r w:rsidRPr="00C4084C">
        <w:t xml:space="preserve"> Basic research stimulates innovation and productivity, with positive implications for economic growth. The beneficial outcomes of basic research are felt across more sectors in more countries and for longer periods of time than applied research.</w:t>
      </w:r>
      <w:r w:rsidRPr="00C4084C">
        <w:rPr>
          <w:rStyle w:val="FootnoteReference"/>
          <w:rFonts w:eastAsia="Arial" w:cs="Arial"/>
        </w:rPr>
        <w:footnoteReference w:id="336"/>
      </w:r>
      <w:r w:rsidRPr="00C4084C">
        <w:t xml:space="preserve">  </w:t>
      </w:r>
    </w:p>
    <w:p w14:paraId="0CAF62EB" w14:textId="651ADDE8" w:rsidR="00703E85" w:rsidRPr="00C4084C" w:rsidRDefault="00703E85" w:rsidP="007B4CF5">
      <w:r w:rsidRPr="00C4084C">
        <w:lastRenderedPageBreak/>
        <w:t>The Australian research system is heavily dependent on the higher education system to deliver breakthroughs, with universities undertaking 8</w:t>
      </w:r>
      <w:r w:rsidR="00531E92" w:rsidRPr="00C4084C">
        <w:t>4.8</w:t>
      </w:r>
      <w:r w:rsidRPr="00C4084C">
        <w:t xml:space="preserve">% of ‘pure basic research’ (knowledge acquired for knowledge’s sake) and </w:t>
      </w:r>
      <w:r w:rsidR="00531E92" w:rsidRPr="00C4084C">
        <w:t>39.5</w:t>
      </w:r>
      <w:r w:rsidRPr="00C4084C">
        <w:t>% of ‘strategic basic research’ (knowledge acquired about specific phenomenon or in specific fields which might lead to practical discoveries).</w:t>
      </w:r>
      <w:r w:rsidRPr="00C4084C">
        <w:rPr>
          <w:rStyle w:val="FootnoteReference"/>
          <w:rFonts w:eastAsia="Arial" w:cs="Arial"/>
        </w:rPr>
        <w:footnoteReference w:id="337"/>
      </w:r>
      <w:r w:rsidRPr="00C4084C">
        <w:t xml:space="preserve"> Over the past 1</w:t>
      </w:r>
      <w:r w:rsidR="00531E92" w:rsidRPr="00C4084C">
        <w:t>3</w:t>
      </w:r>
      <w:r w:rsidRPr="00C4084C">
        <w:t xml:space="preserve"> years, Australia’s spending on basic research as a percentage of GERD has been static: 20</w:t>
      </w:r>
      <w:r w:rsidR="00531E92" w:rsidRPr="00C4084C">
        <w:t>.1</w:t>
      </w:r>
      <w:r w:rsidRPr="00C4084C">
        <w:t>% in 2008</w:t>
      </w:r>
      <w:r w:rsidR="009A34C7" w:rsidRPr="00C4084C">
        <w:rPr>
          <w:rFonts w:ascii="Symbol" w:eastAsia="Symbol" w:hAnsi="Symbol" w:cs="Symbol"/>
        </w:rPr>
        <w:t>-</w:t>
      </w:r>
      <w:r w:rsidRPr="00C4084C">
        <w:t>09 and 2</w:t>
      </w:r>
      <w:r w:rsidR="00531E92" w:rsidRPr="00C4084C">
        <w:t>2.1</w:t>
      </w:r>
      <w:r w:rsidRPr="00C4084C">
        <w:t>% in 2021</w:t>
      </w:r>
      <w:r w:rsidR="00A36320" w:rsidRPr="00C4084C">
        <w:rPr>
          <w:rFonts w:ascii="Symbol" w:eastAsia="Symbol" w:hAnsi="Symbol" w:cs="Symbol"/>
        </w:rPr>
        <w:t>-</w:t>
      </w:r>
      <w:r w:rsidRPr="00C4084C">
        <w:t>22.</w:t>
      </w:r>
      <w:r w:rsidRPr="00C4084C">
        <w:rPr>
          <w:rStyle w:val="FootnoteReference"/>
          <w:rFonts w:eastAsia="Arial" w:cs="Arial"/>
        </w:rPr>
        <w:footnoteReference w:id="338"/>
      </w:r>
      <w:r w:rsidRPr="00C4084C">
        <w:t xml:space="preserve"> Many submissions to the Review have expressed concern that funding of longer-term basic research is being overlooked for shorter term and applied research.</w:t>
      </w:r>
      <w:r w:rsidRPr="00C4084C">
        <w:rPr>
          <w:rStyle w:val="FootnoteReference"/>
          <w:rFonts w:eastAsia="Arial" w:cs="Arial"/>
        </w:rPr>
        <w:footnoteReference w:id="339"/>
      </w:r>
      <w:r w:rsidRPr="00C4084C">
        <w:t xml:space="preserve">  </w:t>
      </w:r>
    </w:p>
    <w:p w14:paraId="3F728692" w14:textId="77777777" w:rsidR="00703E85" w:rsidRPr="00C4084C" w:rsidRDefault="00703E85" w:rsidP="007B4CF5">
      <w:r w:rsidRPr="00C4084C">
        <w:t xml:space="preserve">Looking ahead, Australia needs to increase investment in basic research to safeguard the entire research system. The Review recognises that Australia’s strong R&amp;D outputs are attributable in large part to Australia’s world-class university research system and that Australia’s wealth and security is contingent on its ability to protect and increase the research strength of its universities, including to do what they do best: basic research. </w:t>
      </w:r>
    </w:p>
    <w:p w14:paraId="27A16788" w14:textId="52C00624" w:rsidR="00703E85" w:rsidRPr="00C4084C" w:rsidRDefault="00703E85" w:rsidP="007B4CF5">
      <w:r w:rsidRPr="00C4084C">
        <w:t xml:space="preserve">The </w:t>
      </w:r>
      <w:r w:rsidR="00B456F0">
        <w:t>ARC</w:t>
      </w:r>
      <w:r w:rsidRPr="00C4084C">
        <w:t xml:space="preserve"> plays a pivotal role in Australia’s research system through financing basic research at universities. In 2022</w:t>
      </w:r>
      <w:r w:rsidR="00A36320" w:rsidRPr="00C4084C">
        <w:rPr>
          <w:rFonts w:ascii="Symbol" w:eastAsia="Symbol" w:hAnsi="Symbol" w:cs="Symbol"/>
        </w:rPr>
        <w:t>-</w:t>
      </w:r>
      <w:r w:rsidRPr="00C4084C">
        <w:t xml:space="preserve">23, $850 million </w:t>
      </w:r>
      <w:r w:rsidR="00D56A79" w:rsidRPr="00C4084C">
        <w:t xml:space="preserve">in </w:t>
      </w:r>
      <w:r w:rsidR="008D488B" w:rsidRPr="00A160D1">
        <w:t>National Competitive Grants Program</w:t>
      </w:r>
      <w:r w:rsidR="008D488B">
        <w:t xml:space="preserve"> (</w:t>
      </w:r>
      <w:r w:rsidR="00D56A79" w:rsidRPr="00C4084C">
        <w:t>NCGP</w:t>
      </w:r>
      <w:r w:rsidR="008D488B">
        <w:t>)</w:t>
      </w:r>
      <w:r w:rsidR="00D56A79" w:rsidRPr="00C4084C">
        <w:t xml:space="preserve"> funding was available to support </w:t>
      </w:r>
      <w:r w:rsidRPr="00C4084C">
        <w:t>Australian universities.</w:t>
      </w:r>
      <w:r w:rsidRPr="00C4084C">
        <w:rPr>
          <w:rStyle w:val="FootnoteReference"/>
          <w:rFonts w:eastAsia="Arial" w:cs="Arial"/>
        </w:rPr>
        <w:footnoteReference w:id="340"/>
      </w:r>
      <w:r w:rsidRPr="00C4084C">
        <w:t xml:space="preserve"> These grants have resulted in high levels of fundamental and discovery research, improving Australia’s sovereign capability to tackle wicked problems.</w:t>
      </w:r>
    </w:p>
    <w:p w14:paraId="760D93BC" w14:textId="5D2325F2" w:rsidR="00703E85" w:rsidRPr="00C4084C" w:rsidRDefault="00703E85" w:rsidP="007B4CF5">
      <w:r w:rsidRPr="00C4084C">
        <w:t>The Review notes that funding for the ARC has not grown significantly for many years (</w:t>
      </w:r>
      <w:r w:rsidR="004325CB" w:rsidRPr="00C4084C">
        <w:t xml:space="preserve">see </w:t>
      </w:r>
      <w:r w:rsidR="004325CB" w:rsidRPr="00C4084C">
        <w:fldChar w:fldCharType="begin"/>
      </w:r>
      <w:r w:rsidR="004325CB" w:rsidRPr="00C4084C">
        <w:instrText xml:space="preserve"> REF _Ref153807249 \h </w:instrText>
      </w:r>
      <w:r w:rsidR="00DD0DA6">
        <w:instrText xml:space="preserve"> \* MERGEFORMAT </w:instrText>
      </w:r>
      <w:r w:rsidR="004325CB" w:rsidRPr="00C4084C">
        <w:fldChar w:fldCharType="separate"/>
      </w:r>
      <w:r w:rsidR="00467B4F" w:rsidRPr="00C4084C">
        <w:t xml:space="preserve">Figure </w:t>
      </w:r>
      <w:r w:rsidR="00467B4F">
        <w:rPr>
          <w:noProof/>
        </w:rPr>
        <w:t>32</w:t>
      </w:r>
      <w:r w:rsidR="004325CB" w:rsidRPr="00C4084C">
        <w:fldChar w:fldCharType="end"/>
      </w:r>
      <w:r w:rsidR="004325CB" w:rsidRPr="00C4084C">
        <w:t>)</w:t>
      </w:r>
      <w:r w:rsidRPr="00C4084C">
        <w:t>, and that increased investment is needed to strengthen the nation’s capacity to undertake breakthrough research and to engage with the best basic research from around the world. This is the only way to ensure the nation is prepared for, ready to engage with</w:t>
      </w:r>
      <w:r w:rsidR="005E4205">
        <w:t>,</w:t>
      </w:r>
      <w:r w:rsidRPr="00C4084C">
        <w:t xml:space="preserve"> and take advantage of new fields of knowledge as they arise. As a precursor to increases in ARC funding, the ARC should ensure that recent reviews of its governance and the management of its competitive grants are fully implemented.</w:t>
      </w:r>
    </w:p>
    <w:p w14:paraId="01E99082" w14:textId="2873AB27" w:rsidR="00703E85" w:rsidRPr="00C4084C" w:rsidRDefault="00703E85" w:rsidP="007B4CF5">
      <w:r w:rsidRPr="00C4084C">
        <w:rPr>
          <w:rFonts w:eastAsia="Arial"/>
        </w:rPr>
        <w:t xml:space="preserve">Substantial additional funding should be provided to the ARC to foster high-impact, collaborative research. </w:t>
      </w:r>
      <w:r w:rsidRPr="00C4084C">
        <w:t xml:space="preserve">Further investment in ARC grants will be of particular benefit to Australia’s high-performing research workforce. The highly selective nature of Australian competitive grants gives </w:t>
      </w:r>
      <w:r w:rsidRPr="00C4084C">
        <w:lastRenderedPageBreak/>
        <w:t xml:space="preserve">Australian researchers an excellent training </w:t>
      </w:r>
      <w:proofErr w:type="gramStart"/>
      <w:r w:rsidRPr="00C4084C">
        <w:t>ground</w:t>
      </w:r>
      <w:r w:rsidR="001154EB" w:rsidRPr="00C4084C">
        <w:t>,</w:t>
      </w:r>
      <w:r w:rsidRPr="00C4084C">
        <w:t xml:space="preserve"> and</w:t>
      </w:r>
      <w:proofErr w:type="gramEnd"/>
      <w:r w:rsidRPr="00C4084C">
        <w:t xml:space="preserve"> pushes emerging researchers to hone their skills in solving problems, ensur</w:t>
      </w:r>
      <w:r w:rsidR="001154EB" w:rsidRPr="00C4084C">
        <w:t>e</w:t>
      </w:r>
      <w:r w:rsidRPr="00C4084C">
        <w:t xml:space="preserve"> their research is innovative and high</w:t>
      </w:r>
      <w:r w:rsidR="001154EB" w:rsidRPr="00C4084C">
        <w:t>-</w:t>
      </w:r>
      <w:r w:rsidRPr="00C4084C">
        <w:t>impact, and develop generalist skills, including research project management. However</w:t>
      </w:r>
      <w:r w:rsidR="00542E82" w:rsidRPr="00C4084C">
        <w:t>,</w:t>
      </w:r>
      <w:r w:rsidRPr="00C4084C">
        <w:t xml:space="preserve"> success rates have for some time been hovering at levels that threaten the viability of the research funding ecosystem, </w:t>
      </w:r>
      <w:r w:rsidR="004A5DCE">
        <w:t>as</w:t>
      </w:r>
      <w:r w:rsidR="004A5DCE" w:rsidRPr="00C4084C">
        <w:t xml:space="preserve"> </w:t>
      </w:r>
      <w:r w:rsidRPr="00C4084C">
        <w:t xml:space="preserve">researchers with high quality but unfunded projects </w:t>
      </w:r>
      <w:r w:rsidR="004A5DCE">
        <w:t xml:space="preserve">become </w:t>
      </w:r>
      <w:r w:rsidRPr="00C4084C">
        <w:t>discouraged from repeatedly re-applying to under-resourced schemes. We risk losing such researchers to other jurisdictions or other industries, and even from research altogether. At the height of its funding in 2013</w:t>
      </w:r>
      <w:r w:rsidR="002D2C7B" w:rsidRPr="00C4084C">
        <w:rPr>
          <w:rFonts w:ascii="Symbol" w:eastAsia="Symbol" w:hAnsi="Symbol" w:cs="Symbol"/>
        </w:rPr>
        <w:t>-</w:t>
      </w:r>
      <w:r w:rsidRPr="00C4084C">
        <w:t xml:space="preserve">14, the ARC still ran </w:t>
      </w:r>
      <w:r w:rsidR="006A7B3B" w:rsidRPr="00C4084C">
        <w:t>highly competitive</w:t>
      </w:r>
      <w:r w:rsidRPr="00C4084C">
        <w:t xml:space="preserve"> </w:t>
      </w:r>
      <w:proofErr w:type="gramStart"/>
      <w:r w:rsidRPr="00C4084C">
        <w:t>rounds</w:t>
      </w:r>
      <w:proofErr w:type="gramEnd"/>
      <w:r w:rsidRPr="00C4084C">
        <w:t xml:space="preserve"> but success rates encouraged </w:t>
      </w:r>
      <w:r w:rsidR="003B35EB" w:rsidRPr="00C4084C">
        <w:t xml:space="preserve">unsuccessful </w:t>
      </w:r>
      <w:r w:rsidRPr="00C4084C">
        <w:t xml:space="preserve">quality applicants to polish their proposals and try again. While funding has increased recently it has not recovered to the level of that peak in real terms, despite the fact the sector has expanded substantially over the intervening decade and is bearing a greater share than ever of the national research investment profile.    </w:t>
      </w:r>
    </w:p>
    <w:p w14:paraId="35FC2FA1" w14:textId="361CB6EB" w:rsidR="00880805" w:rsidRPr="00D26B82" w:rsidRDefault="00703E85" w:rsidP="00880805">
      <w:pPr>
        <w:pStyle w:val="Caption"/>
        <w:rPr>
          <w:b/>
          <w:bCs/>
          <w:sz w:val="24"/>
          <w:szCs w:val="24"/>
        </w:rPr>
      </w:pPr>
      <w:bookmarkStart w:id="966" w:name="_Ref153807249"/>
      <w:bookmarkStart w:id="967" w:name="_Toc154674794"/>
      <w:r w:rsidRPr="00D26B82">
        <w:rPr>
          <w:b/>
          <w:bCs/>
          <w:sz w:val="24"/>
          <w:szCs w:val="24"/>
        </w:rPr>
        <w:t xml:space="preserve">Figure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32</w:t>
      </w:r>
      <w:r w:rsidRPr="00D26B82">
        <w:rPr>
          <w:b/>
          <w:bCs/>
          <w:sz w:val="24"/>
          <w:szCs w:val="24"/>
        </w:rPr>
        <w:fldChar w:fldCharType="end"/>
      </w:r>
      <w:bookmarkEnd w:id="966"/>
      <w:r w:rsidRPr="00D26B82">
        <w:rPr>
          <w:b/>
          <w:bCs/>
          <w:sz w:val="24"/>
          <w:szCs w:val="24"/>
        </w:rPr>
        <w:t xml:space="preserve">: Government funding </w:t>
      </w:r>
      <w:r w:rsidR="00880805" w:rsidRPr="00D26B82">
        <w:rPr>
          <w:b/>
          <w:bCs/>
          <w:sz w:val="24"/>
          <w:szCs w:val="24"/>
        </w:rPr>
        <w:t>for Australian Research Council (ARC), 2000</w:t>
      </w:r>
      <w:r w:rsidR="00880805" w:rsidRPr="00D26B82">
        <w:rPr>
          <w:rFonts w:ascii="Symbol" w:eastAsia="Symbol" w:hAnsi="Symbol" w:cs="Symbol"/>
          <w:b/>
          <w:bCs/>
          <w:sz w:val="24"/>
          <w:szCs w:val="24"/>
        </w:rPr>
        <w:t>-</w:t>
      </w:r>
      <w:r w:rsidR="00880805" w:rsidRPr="00D26B82">
        <w:rPr>
          <w:b/>
          <w:bCs/>
          <w:sz w:val="24"/>
          <w:szCs w:val="24"/>
        </w:rPr>
        <w:t>01 to 2022</w:t>
      </w:r>
      <w:r w:rsidR="00880805" w:rsidRPr="00D26B82">
        <w:rPr>
          <w:rFonts w:ascii="Symbol" w:eastAsia="Symbol" w:hAnsi="Symbol" w:cs="Symbol"/>
          <w:b/>
          <w:bCs/>
          <w:sz w:val="24"/>
          <w:szCs w:val="24"/>
        </w:rPr>
        <w:t>-</w:t>
      </w:r>
      <w:r w:rsidR="00880805" w:rsidRPr="00D26B82">
        <w:rPr>
          <w:b/>
          <w:bCs/>
          <w:sz w:val="24"/>
          <w:szCs w:val="24"/>
        </w:rPr>
        <w:t>23</w:t>
      </w:r>
      <w:r w:rsidR="00B77078" w:rsidRPr="00D26B82">
        <w:rPr>
          <w:b/>
          <w:bCs/>
          <w:sz w:val="24"/>
          <w:szCs w:val="24"/>
        </w:rPr>
        <w:t>,</w:t>
      </w:r>
      <w:r w:rsidR="0035413D" w:rsidRPr="00D26B82">
        <w:rPr>
          <w:b/>
          <w:bCs/>
          <w:sz w:val="24"/>
          <w:szCs w:val="24"/>
        </w:rPr>
        <w:t xml:space="preserve"> $m </w:t>
      </w:r>
      <w:r w:rsidR="00B77078" w:rsidRPr="00D26B82">
        <w:rPr>
          <w:b/>
          <w:bCs/>
          <w:sz w:val="24"/>
          <w:szCs w:val="24"/>
        </w:rPr>
        <w:t>(</w:t>
      </w:r>
      <w:r w:rsidR="0035413D" w:rsidRPr="00D26B82">
        <w:rPr>
          <w:b/>
          <w:bCs/>
          <w:sz w:val="24"/>
          <w:szCs w:val="24"/>
        </w:rPr>
        <w:t>current prices</w:t>
      </w:r>
      <w:r w:rsidR="00B77078" w:rsidRPr="00D26B82">
        <w:rPr>
          <w:b/>
          <w:bCs/>
          <w:sz w:val="24"/>
          <w:szCs w:val="24"/>
        </w:rPr>
        <w:t>)</w:t>
      </w:r>
      <w:r w:rsidR="00880805" w:rsidRPr="00D26B82">
        <w:rPr>
          <w:b/>
          <w:bCs/>
          <w:sz w:val="24"/>
          <w:szCs w:val="24"/>
        </w:rPr>
        <w:t>.</w:t>
      </w:r>
      <w:bookmarkEnd w:id="967"/>
    </w:p>
    <w:p w14:paraId="74FF571A" w14:textId="16F7D71D" w:rsidR="006A65B4" w:rsidRDefault="006A65B4" w:rsidP="00880805">
      <w:pPr>
        <w:pStyle w:val="Source"/>
        <w:rPr>
          <w:rStyle w:val="normaltextrun"/>
        </w:rPr>
      </w:pPr>
      <w:r>
        <w:rPr>
          <w:noProof/>
        </w:rPr>
        <w:drawing>
          <wp:inline distT="0" distB="0" distL="0" distR="0" wp14:anchorId="3B429A47" wp14:editId="2C158C39">
            <wp:extent cx="5667153" cy="2591390"/>
            <wp:effectExtent l="0" t="0" r="0" b="0"/>
            <wp:docPr id="323634240" name="Graphic 32" descr="A bar graph showing government funding for Australian Research Council (ARC) from 2000-01 to 2022-23 (Budget Estimate). Government funding for ARC grows from 2000-01 to 2013-14 from just above $200m to just below $900m. Government funding trends downwards from 2013-14 to 2020-21 then increases in 2021-22 (Estimated Actual) and 2022-23 (Budget Estim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634240" name="Graphic 32" descr="A bar graph showing government funding for Australian Research Council (ARC) from 2000-01 to 2022-23 (Budget Estimate). Government funding for ARC grows from 2000-01 to 2013-14 from just above $200m to just below $900m. Government funding trends downwards from 2013-14 to 2020-21 then increases in 2021-22 (Estimated Actual) and 2022-23 (Budget Estimate).  "/>
                    <pic:cNvPicPr/>
                  </pic:nvPicPr>
                  <pic:blipFill>
                    <a:blip r:embed="rId131">
                      <a:extLst>
                        <a:ext uri="{28A0092B-C50C-407E-A947-70E740481C1C}">
                          <a14:useLocalDpi xmlns:a14="http://schemas.microsoft.com/office/drawing/2010/main" val="0"/>
                        </a:ext>
                        <a:ext uri="{96DAC541-7B7A-43D3-8B79-37D633B846F1}">
                          <asvg:svgBlip xmlns:asvg="http://schemas.microsoft.com/office/drawing/2016/SVG/main" r:embed="rId132"/>
                        </a:ext>
                      </a:extLst>
                    </a:blip>
                    <a:stretch>
                      <a:fillRect/>
                    </a:stretch>
                  </pic:blipFill>
                  <pic:spPr>
                    <a:xfrm>
                      <a:off x="0" y="0"/>
                      <a:ext cx="5681629" cy="2598010"/>
                    </a:xfrm>
                    <a:prstGeom prst="rect">
                      <a:avLst/>
                    </a:prstGeom>
                  </pic:spPr>
                </pic:pic>
              </a:graphicData>
            </a:graphic>
          </wp:inline>
        </w:drawing>
      </w:r>
    </w:p>
    <w:p w14:paraId="18B9B148" w14:textId="7C160D0B" w:rsidR="00880805" w:rsidRPr="00C4084C" w:rsidRDefault="00880805" w:rsidP="00880805">
      <w:pPr>
        <w:pStyle w:val="Source"/>
        <w:rPr>
          <w:rStyle w:val="normaltextrun"/>
        </w:rPr>
      </w:pPr>
      <w:r w:rsidRPr="00C4084C">
        <w:rPr>
          <w:rStyle w:val="normaltextrun"/>
        </w:rPr>
        <w:t xml:space="preserve">Source: Department of Industry, Science and Resources, </w:t>
      </w:r>
      <w:r w:rsidRPr="00C4084C">
        <w:rPr>
          <w:rStyle w:val="normaltextrun"/>
          <w:i/>
          <w:iCs/>
        </w:rPr>
        <w:t>2022–23 SRI tables</w:t>
      </w:r>
      <w:r w:rsidRPr="00C4084C">
        <w:rPr>
          <w:rStyle w:val="normaltextrun"/>
        </w:rPr>
        <w:t xml:space="preserve"> [data set], (Canberra: 2023), accessed 15</w:t>
      </w:r>
      <w:r w:rsidR="00B77078" w:rsidRPr="00C4084C">
        <w:rPr>
          <w:rStyle w:val="normaltextrun"/>
        </w:rPr>
        <w:t> </w:t>
      </w:r>
      <w:r w:rsidRPr="00C4084C">
        <w:rPr>
          <w:rStyle w:val="normaltextrun"/>
        </w:rPr>
        <w:t xml:space="preserve">November 2023, </w:t>
      </w:r>
      <w:hyperlink r:id="rId133" w:history="1">
        <w:r w:rsidR="0035413D" w:rsidRPr="00C4084C">
          <w:rPr>
            <w:rStyle w:val="Hyperlink"/>
          </w:rPr>
          <w:t>https://www.industry.gov.au/‌publications/‌science-research-and-innovation-sri-budget-tables-2022-23</w:t>
        </w:r>
      </w:hyperlink>
      <w:r w:rsidRPr="00C4084C">
        <w:rPr>
          <w:rStyle w:val="normaltextrun"/>
        </w:rPr>
        <w:t>.</w:t>
      </w:r>
    </w:p>
    <w:p w14:paraId="794DBB89" w14:textId="1D1D3AD6" w:rsidR="0035413D" w:rsidRPr="00C4084C" w:rsidRDefault="00AB4D28" w:rsidP="00880805">
      <w:pPr>
        <w:pStyle w:val="Source"/>
        <w:rPr>
          <w:rStyle w:val="normaltextrun"/>
        </w:rPr>
      </w:pPr>
      <w:r w:rsidRPr="00C4084C">
        <w:rPr>
          <w:rStyle w:val="normaltextrun"/>
        </w:rPr>
        <w:t>Note: Figures are in current prices.</w:t>
      </w:r>
      <w:r w:rsidR="00BD45E9" w:rsidRPr="00BD45E9">
        <w:rPr>
          <w:rStyle w:val="FootnoteReference"/>
        </w:rPr>
        <w:t xml:space="preserve"> </w:t>
      </w:r>
      <w:r w:rsidR="00BD45E9">
        <w:rPr>
          <w:rStyle w:val="FootnoteReference"/>
        </w:rPr>
        <w:footnoteReference w:id="341"/>
      </w:r>
    </w:p>
    <w:p w14:paraId="57FE3BCF" w14:textId="77777777" w:rsidR="00703E85" w:rsidRPr="00C4084C" w:rsidRDefault="00703E85" w:rsidP="00BA6095">
      <w:pPr>
        <w:pStyle w:val="Heading4"/>
        <w:rPr>
          <w:rStyle w:val="normaltextrun"/>
        </w:rPr>
      </w:pPr>
      <w:bookmarkStart w:id="970" w:name="_Toc159500975"/>
      <w:r w:rsidRPr="00C4084C">
        <w:rPr>
          <w:rStyle w:val="normaltextrun"/>
        </w:rPr>
        <w:t xml:space="preserve">Longer grant </w:t>
      </w:r>
      <w:proofErr w:type="gramStart"/>
      <w:r w:rsidRPr="00C4084C">
        <w:rPr>
          <w:rStyle w:val="normaltextrun"/>
        </w:rPr>
        <w:t>times</w:t>
      </w:r>
      <w:bookmarkEnd w:id="970"/>
      <w:proofErr w:type="gramEnd"/>
    </w:p>
    <w:p w14:paraId="4F494BF1" w14:textId="3C5C65E4" w:rsidR="00703E85" w:rsidRPr="00C4084C" w:rsidRDefault="00703E85" w:rsidP="0061269B">
      <w:pPr>
        <w:rPr>
          <w:rStyle w:val="normaltextrun"/>
          <w:rFonts w:asciiTheme="majorHAnsi" w:eastAsiaTheme="majorEastAsia" w:hAnsiTheme="majorHAnsi" w:cs="Arial"/>
          <w:b/>
          <w:iCs/>
          <w:color w:val="000000"/>
          <w:sz w:val="28"/>
          <w:shd w:val="clear" w:color="auto" w:fill="FFFFFF"/>
        </w:rPr>
      </w:pPr>
      <w:r w:rsidRPr="00C4084C">
        <w:rPr>
          <w:rStyle w:val="normaltextrun"/>
          <w:rFonts w:cs="Arial"/>
          <w:color w:val="000000"/>
          <w:shd w:val="clear" w:color="auto" w:fill="FFFFFF"/>
        </w:rPr>
        <w:t xml:space="preserve">Under current arrangements, most Australian Government competitive grants provide </w:t>
      </w:r>
      <w:r w:rsidRPr="00C4084C">
        <w:rPr>
          <w:rStyle w:val="normaltextrun"/>
          <w:rFonts w:cs="Arial"/>
          <w:color w:val="000000" w:themeColor="text1"/>
        </w:rPr>
        <w:t>funding on a short to medium basis (5 years</w:t>
      </w:r>
      <w:r w:rsidR="001154EB" w:rsidRPr="00C4084C">
        <w:rPr>
          <w:rStyle w:val="normaltextrun"/>
          <w:rFonts w:cs="Arial"/>
          <w:color w:val="000000" w:themeColor="text1"/>
        </w:rPr>
        <w:t xml:space="preserve"> or less</w:t>
      </w:r>
      <w:r w:rsidRPr="00C4084C">
        <w:rPr>
          <w:rStyle w:val="normaltextrun"/>
          <w:rFonts w:cs="Arial"/>
          <w:color w:val="000000" w:themeColor="text1"/>
        </w:rPr>
        <w:t>), with most Discovery Project grants funded for 3 years.</w:t>
      </w:r>
      <w:r w:rsidRPr="00C4084C">
        <w:rPr>
          <w:rStyle w:val="normaltextrun"/>
          <w:rFonts w:cs="Arial"/>
          <w:color w:val="000000" w:themeColor="text1"/>
          <w:vertAlign w:val="superscript"/>
        </w:rPr>
        <w:footnoteReference w:id="342"/>
      </w:r>
      <w:r w:rsidRPr="00C4084C">
        <w:rPr>
          <w:rStyle w:val="normaltextrun"/>
          <w:rFonts w:cs="Arial"/>
          <w:color w:val="000000"/>
          <w:shd w:val="clear" w:color="auto" w:fill="FFFFFF"/>
        </w:rPr>
        <w:t xml:space="preserve"> This undermines the capacity of universities to build coherent and connected programs of activity that drive longer-term basic or ‘blue</w:t>
      </w:r>
      <w:r w:rsidR="004F0AB1" w:rsidRPr="00C4084C">
        <w:rPr>
          <w:rStyle w:val="normaltextrun"/>
          <w:rFonts w:cs="Arial"/>
          <w:color w:val="000000"/>
          <w:shd w:val="clear" w:color="auto" w:fill="FFFFFF"/>
        </w:rPr>
        <w:t xml:space="preserve"> </w:t>
      </w:r>
      <w:r w:rsidRPr="00C4084C">
        <w:rPr>
          <w:rStyle w:val="normaltextrun"/>
          <w:rFonts w:cs="Arial"/>
          <w:color w:val="000000"/>
          <w:shd w:val="clear" w:color="auto" w:fill="FFFFFF"/>
        </w:rPr>
        <w:t>sky’ research, i.e. the research which will provide the best, most innovative platforms for developing future solutions to wicked problems. It also negatively affects the research workforce, particularly early</w:t>
      </w:r>
      <w:r w:rsidRPr="00C4084C">
        <w:rPr>
          <w:rStyle w:val="normaltextrun"/>
          <w:rFonts w:cs="Arial"/>
          <w:color w:val="000000" w:themeColor="text1"/>
        </w:rPr>
        <w:t xml:space="preserve"> </w:t>
      </w:r>
      <w:r w:rsidRPr="00C4084C">
        <w:rPr>
          <w:rStyle w:val="normaltextrun"/>
          <w:rFonts w:cs="Arial"/>
          <w:color w:val="000000"/>
          <w:shd w:val="clear" w:color="auto" w:fill="FFFFFF"/>
        </w:rPr>
        <w:t xml:space="preserve">career researchers (ECRs), as it deters universities from </w:t>
      </w:r>
      <w:r w:rsidRPr="00C4084C">
        <w:rPr>
          <w:rStyle w:val="normaltextrun"/>
          <w:rFonts w:cs="Arial"/>
          <w:color w:val="000000"/>
          <w:shd w:val="clear" w:color="auto" w:fill="FFFFFF"/>
        </w:rPr>
        <w:lastRenderedPageBreak/>
        <w:t xml:space="preserve">offering long-term employment contracts beyond the life of a grant. The consequent job insecurity is jeopardising Australia’s research workforce, as researchers secure work outside of Australia or leave the sector altogether. </w:t>
      </w:r>
    </w:p>
    <w:p w14:paraId="49F32AED" w14:textId="3FBDA003" w:rsidR="00703E85" w:rsidRPr="00C4084C" w:rsidRDefault="00703E85" w:rsidP="0061269B">
      <w:pPr>
        <w:rPr>
          <w:rStyle w:val="eop"/>
          <w:rFonts w:cs="Arial"/>
          <w:color w:val="000000" w:themeColor="text1"/>
        </w:rPr>
      </w:pPr>
      <w:r w:rsidRPr="00C4084C">
        <w:rPr>
          <w:rStyle w:val="normaltextrun"/>
          <w:rFonts w:cs="Arial"/>
          <w:color w:val="000000"/>
          <w:shd w:val="clear" w:color="auto" w:fill="FFFFFF"/>
        </w:rPr>
        <w:t>Setting a minimum percentage of competitive grants that run for 5 years or longer is the first crucial step to expanding research capacity including for basic research, supporting longer-term financial and resource planning</w:t>
      </w:r>
      <w:r w:rsidRPr="00C4084C" w:rsidDel="00D551B3">
        <w:rPr>
          <w:rStyle w:val="normaltextrun"/>
          <w:rFonts w:cs="Arial"/>
          <w:color w:val="000000"/>
          <w:shd w:val="clear" w:color="auto" w:fill="FFFFFF"/>
        </w:rPr>
        <w:t xml:space="preserve"> </w:t>
      </w:r>
      <w:r w:rsidRPr="00C4084C">
        <w:rPr>
          <w:rStyle w:val="normaltextrun"/>
          <w:rFonts w:cs="Arial"/>
          <w:color w:val="000000"/>
          <w:shd w:val="clear" w:color="auto" w:fill="FFFFFF"/>
        </w:rPr>
        <w:t>for universities, and improving job security for researchers, particularly ECRs. It is imperative however, that this reform be accompanied by additional ARC funding, to avoid a dramatic reduction in already parlous success rates.</w:t>
      </w:r>
    </w:p>
    <w:p w14:paraId="10C29FCA" w14:textId="77777777" w:rsidR="00703E85" w:rsidRPr="00C4084C" w:rsidRDefault="00703E85" w:rsidP="00BA6095">
      <w:pPr>
        <w:pStyle w:val="Heading4"/>
        <w:rPr>
          <w:rStyle w:val="normaltextrun"/>
        </w:rPr>
      </w:pPr>
      <w:bookmarkStart w:id="971" w:name="_Toc159500976"/>
      <w:r w:rsidRPr="00C4084C">
        <w:rPr>
          <w:rStyle w:val="normaltextrun"/>
        </w:rPr>
        <w:t xml:space="preserve">Valuing and supporting First Nations knowledge and </w:t>
      </w:r>
      <w:proofErr w:type="gramStart"/>
      <w:r w:rsidRPr="00C4084C">
        <w:rPr>
          <w:rStyle w:val="normaltextrun"/>
        </w:rPr>
        <w:t>research</w:t>
      </w:r>
      <w:bookmarkEnd w:id="971"/>
      <w:proofErr w:type="gramEnd"/>
    </w:p>
    <w:p w14:paraId="1578CC1F" w14:textId="50462426" w:rsidR="00703E85" w:rsidRPr="00C4084C" w:rsidRDefault="00703E85" w:rsidP="0061269B">
      <w:r w:rsidRPr="00C4084C">
        <w:t xml:space="preserve">At Australian universities, First Nations people make vital and critical contributions as researchers, leaders, creators and custodians of knowledge, </w:t>
      </w:r>
      <w:proofErr w:type="gramStart"/>
      <w:r w:rsidRPr="00C4084C">
        <w:t>teachers</w:t>
      </w:r>
      <w:proofErr w:type="gramEnd"/>
      <w:r w:rsidRPr="00C4084C">
        <w:t xml:space="preserve"> and learners. These contributions are </w:t>
      </w:r>
      <w:r w:rsidR="00F81038">
        <w:t>all the more valuable</w:t>
      </w:r>
      <w:r w:rsidR="00F81038" w:rsidRPr="00C4084C">
        <w:t xml:space="preserve"> </w:t>
      </w:r>
      <w:r w:rsidRPr="00C4084C">
        <w:t xml:space="preserve">given, as the </w:t>
      </w:r>
      <w:r w:rsidR="004F3671" w:rsidRPr="00C4084C">
        <w:t>highly</w:t>
      </w:r>
      <w:r w:rsidR="004F0AB1" w:rsidRPr="00C4084C">
        <w:t>-</w:t>
      </w:r>
      <w:r w:rsidR="004F3671" w:rsidRPr="00C4084C">
        <w:t>respected</w:t>
      </w:r>
      <w:r w:rsidRPr="00C4084C">
        <w:t xml:space="preserve"> Professor Lester-Irabinna Rigney has </w:t>
      </w:r>
      <w:r w:rsidR="004A5DCE">
        <w:t>stated</w:t>
      </w:r>
      <w:r w:rsidRPr="00C4084C">
        <w:t xml:space="preserve">, </w:t>
      </w:r>
      <w:r w:rsidR="00F81038">
        <w:t xml:space="preserve">that </w:t>
      </w:r>
      <w:r w:rsidRPr="00C4084C">
        <w:t>First Nations researchers operate as producers of knowledge and scholars of science investigation in institutions that have historically taken First Nations people and communities to be the subjects of scientific inquiry.</w:t>
      </w:r>
      <w:r w:rsidRPr="00C4084C">
        <w:rPr>
          <w:rStyle w:val="FootnoteReference"/>
          <w:rFonts w:cs="Arial"/>
        </w:rPr>
        <w:footnoteReference w:id="343"/>
      </w:r>
      <w:r w:rsidRPr="00C4084C">
        <w:t xml:space="preserve"> Positive outcomes for local communities and the nation have resulted when research initiatives have been culturally safe, collaborative and, crucially, First Nations-led – from advancements in water management to improving First Nations health and wellbeing in the face of COVID-19.</w:t>
      </w:r>
      <w:r w:rsidRPr="00C4084C">
        <w:rPr>
          <w:rStyle w:val="FootnoteReference"/>
          <w:rFonts w:cs="Arial"/>
        </w:rPr>
        <w:footnoteReference w:id="344"/>
      </w:r>
      <w:r w:rsidRPr="00C4084C">
        <w:t xml:space="preserve"> While immense progress has been made, more needs to be done to support First Nations knowledge and to close the gap on First Nations disadvantage.</w:t>
      </w:r>
    </w:p>
    <w:p w14:paraId="563B7C87" w14:textId="7235E164" w:rsidR="00703E85" w:rsidRPr="00C4084C" w:rsidRDefault="00703E85" w:rsidP="0061269B">
      <w:r w:rsidRPr="00C4084C">
        <w:t xml:space="preserve">The Review notes the opportunity the current development and revitalisation of the National Science and Research Priorities (NSRPs) presents to drive this progress. The NSRPs will shape the long-term vision of Australia’s science system, ensuring research in the national interest is supported to drive social, </w:t>
      </w:r>
      <w:proofErr w:type="gramStart"/>
      <w:r w:rsidRPr="00C4084C">
        <w:t>economic</w:t>
      </w:r>
      <w:proofErr w:type="gramEnd"/>
      <w:r w:rsidRPr="00C4084C">
        <w:t xml:space="preserve"> and environmental benefits. It is for this reason that the Review recommends the Australian Government add Protecting First Nations Knowledges and Closing the Gap to the NSRPs</w:t>
      </w:r>
      <w:r w:rsidR="006565C4" w:rsidRPr="00C4084C">
        <w:t xml:space="preserve"> (see Recommendation </w:t>
      </w:r>
      <w:r w:rsidR="00A1214B" w:rsidRPr="00C4084C">
        <w:t xml:space="preserve">27). </w:t>
      </w:r>
      <w:r w:rsidRPr="00C4084C">
        <w:t xml:space="preserve">Doing so will acknowledge the crucial and valuable </w:t>
      </w:r>
      <w:r w:rsidR="00806D35" w:rsidRPr="00C4084C">
        <w:t>position of</w:t>
      </w:r>
      <w:r w:rsidRPr="00C4084C">
        <w:t xml:space="preserve"> First Nations research and knowledge </w:t>
      </w:r>
      <w:r w:rsidR="00806D35" w:rsidRPr="00C4084C">
        <w:t>and</w:t>
      </w:r>
      <w:r w:rsidRPr="00C4084C">
        <w:t xml:space="preserve"> will also acknowledge that Closing the Gap is a process that requires sustained, national effort from governments, universities, communities, </w:t>
      </w:r>
      <w:proofErr w:type="gramStart"/>
      <w:r w:rsidRPr="00C4084C">
        <w:t>researchers</w:t>
      </w:r>
      <w:proofErr w:type="gramEnd"/>
      <w:r w:rsidRPr="00C4084C">
        <w:t xml:space="preserve"> and research funders. </w:t>
      </w:r>
    </w:p>
    <w:p w14:paraId="43253AE2" w14:textId="77777777" w:rsidR="00703E85" w:rsidRPr="00C4084C" w:rsidRDefault="00703E85" w:rsidP="00BA6095">
      <w:pPr>
        <w:pStyle w:val="Heading4"/>
      </w:pPr>
      <w:bookmarkStart w:id="972" w:name="_Toc159500977"/>
      <w:r w:rsidRPr="00C4084C">
        <w:t>Securing research infrastructure</w:t>
      </w:r>
      <w:bookmarkEnd w:id="972"/>
    </w:p>
    <w:p w14:paraId="0650C2E7" w14:textId="0BCEE940" w:rsidR="00703E85" w:rsidRPr="00C4084C" w:rsidRDefault="00703E85" w:rsidP="0061269B">
      <w:r w:rsidRPr="00C4084C">
        <w:t xml:space="preserve">Research infrastructure facilities are crucial to strong foundations for Australia’s research sector. They are essential to breakthrough fundamental research, cutting-edge applied research, adoption of new technologies, and addressing global challenges. They also provide sovereign capability that can rapidly respond to new opportunities and threats, </w:t>
      </w:r>
      <w:r w:rsidR="004F0AB1" w:rsidRPr="00C4084C">
        <w:t xml:space="preserve">such as </w:t>
      </w:r>
      <w:r w:rsidRPr="00C4084C">
        <w:t xml:space="preserve">artificial intelligence </w:t>
      </w:r>
      <w:r w:rsidR="004F0AB1" w:rsidRPr="00C4084C">
        <w:t>or</w:t>
      </w:r>
      <w:r w:rsidRPr="00C4084C">
        <w:t xml:space="preserve"> the COVID-19 pandemic. </w:t>
      </w:r>
    </w:p>
    <w:p w14:paraId="6351C061" w14:textId="7DD9E96C" w:rsidR="00703E85" w:rsidRPr="00C4084C" w:rsidRDefault="00703E85" w:rsidP="0061269B">
      <w:r w:rsidRPr="00C4084C">
        <w:lastRenderedPageBreak/>
        <w:t xml:space="preserve">Australia’s current research excellence is underpinned by access to excellent national research infrastructure (NRI). Providing infrastructure of the quality and scale required for cutting-edge research has long lead times and requires nationwide, long-term planning. This is done through the National Collaborative Research Infrastructure Strategy (NCRIS), a highly collaborative </w:t>
      </w:r>
      <w:r w:rsidR="00A00285">
        <w:t xml:space="preserve">and distinctively Australian </w:t>
      </w:r>
      <w:r w:rsidRPr="00C4084C">
        <w:t xml:space="preserve">program which maximises Australia’s NRI investments by coordinating open access, targeted specialities and co-funding by government, universities and, sometimes, </w:t>
      </w:r>
      <w:r w:rsidR="004F0AB1" w:rsidRPr="00C4084C">
        <w:t>public</w:t>
      </w:r>
      <w:r w:rsidR="00F81038">
        <w:t xml:space="preserve">ly </w:t>
      </w:r>
      <w:r w:rsidR="004F0AB1" w:rsidRPr="00C4084C">
        <w:t>funded research agencies (</w:t>
      </w:r>
      <w:r w:rsidRPr="00C4084C">
        <w:t>PFRAs</w:t>
      </w:r>
      <w:r w:rsidR="004F0AB1" w:rsidRPr="00C4084C">
        <w:t>)</w:t>
      </w:r>
      <w:r w:rsidRPr="00C4084C">
        <w:t xml:space="preserve"> and industry across the research sector. This enables Australia to adapt to rapid technological shifts, engage in multidisciplinary and international research, and maintain world-leading status in complex and emerging fields that would otherwise be out of Australia’s financial reach. </w:t>
      </w:r>
    </w:p>
    <w:p w14:paraId="524E2660" w14:textId="77777777" w:rsidR="00703E85" w:rsidRPr="00C4084C" w:rsidRDefault="00703E85" w:rsidP="0061269B">
      <w:pPr>
        <w:rPr>
          <w:vertAlign w:val="subscript"/>
        </w:rPr>
      </w:pPr>
      <w:r w:rsidRPr="00C4084C">
        <w:t>The need for dedicated research infrastructure facilities has increased over time. As cutting-edge equipment is developed with higher resolution and innovative features, purchasing costs increase and more specific expertise is required to manage it.</w:t>
      </w:r>
      <w:r w:rsidRPr="00C4084C">
        <w:rPr>
          <w:vertAlign w:val="superscript"/>
        </w:rPr>
        <w:footnoteReference w:id="345"/>
      </w:r>
      <w:r w:rsidRPr="00C4084C">
        <w:t xml:space="preserve"> The current data-driven era of research discovery has also significantly increased the need for digital research infrastructure in a wide range of fields.</w:t>
      </w:r>
      <w:r w:rsidRPr="00C4084C">
        <w:rPr>
          <w:vertAlign w:val="superscript"/>
        </w:rPr>
        <w:footnoteReference w:id="346"/>
      </w:r>
    </w:p>
    <w:p w14:paraId="1B230240" w14:textId="08D6FC08" w:rsidR="00703E85" w:rsidRPr="00C4084C" w:rsidRDefault="00F81038" w:rsidP="0061269B">
      <w:r>
        <w:t>Ongoing</w:t>
      </w:r>
      <w:r w:rsidR="00703E85" w:rsidRPr="00C4084C">
        <w:t xml:space="preserve"> funding of NCRIS at current annual funding levels is necessary to maintain this critical enabler of the research sector and underpin critical research and key outcomes</w:t>
      </w:r>
      <w:r w:rsidR="00F2580D" w:rsidRPr="00C4084C">
        <w:t xml:space="preserve"> (see Recommendation </w:t>
      </w:r>
      <w:r w:rsidR="007B4642" w:rsidRPr="00C4084C">
        <w:t>26)</w:t>
      </w:r>
      <w:r w:rsidR="00703E85" w:rsidRPr="00C4084C">
        <w:t>. For example, increasing the ‘granularity’ of ocean temperature data can allow weather forecasts to be more localised, with clear benefits for transport and agriculture</w:t>
      </w:r>
      <w:r w:rsidR="004F0AB1" w:rsidRPr="00C4084C">
        <w:t xml:space="preserve"> industries</w:t>
      </w:r>
      <w:r w:rsidR="00703E85" w:rsidRPr="00C4084C">
        <w:t>. Supporting world-class quantum computing and sensor research will position Australian researchers as preferred partners</w:t>
      </w:r>
      <w:r w:rsidR="004A3C33" w:rsidRPr="00C4084C">
        <w:t xml:space="preserve"> in major computer modelling projects</w:t>
      </w:r>
      <w:r w:rsidR="00703E85" w:rsidRPr="00C4084C">
        <w:t>. The demands of the developing ‘personalised medicine’ approach require – and have led to – collaborations across NCRIS projects to support these research projects in an integrated way. The complementary developments in genomics also require collaborations to collect and analyse samples, with the ability to manage and analyse the resulting data for insights.</w:t>
      </w:r>
    </w:p>
    <w:p w14:paraId="291A0EC5" w14:textId="77777777" w:rsidR="00703E85" w:rsidRPr="00C4084C" w:rsidRDefault="00703E85" w:rsidP="00BA6095">
      <w:pPr>
        <w:pStyle w:val="Heading4"/>
      </w:pPr>
      <w:bookmarkStart w:id="977" w:name="_Toc159500978"/>
      <w:r w:rsidRPr="00C4084C">
        <w:t>Training the next generation of researchers</w:t>
      </w:r>
      <w:bookmarkEnd w:id="977"/>
    </w:p>
    <w:p w14:paraId="67B553E9" w14:textId="77777777" w:rsidR="00703E85" w:rsidRPr="00C4084C" w:rsidRDefault="00703E85" w:rsidP="0061269B">
      <w:r w:rsidRPr="00C4084C">
        <w:t xml:space="preserve">Universities, as the only institutions empowered to award PhDs, undertake most of the research training in Australia. Most of this training is funded by the Australian Government through the Research Training Program (RTP). Given its central funding role in research training, the Government must address some existing problems to secure Australia’s research pipeline. </w:t>
      </w:r>
    </w:p>
    <w:p w14:paraId="32610243" w14:textId="05D8467A" w:rsidR="00703E85" w:rsidRPr="00C4084C" w:rsidRDefault="00703E85" w:rsidP="0061269B">
      <w:r w:rsidRPr="00C4084C">
        <w:t>A priority is the current stipend for HDR students, provided through the RTP. The stipend is too low and is not attracting enough of the best students to become the next generation of researchers, including students from under</w:t>
      </w:r>
      <w:r w:rsidR="0077189C" w:rsidRPr="00C4084C">
        <w:t>-</w:t>
      </w:r>
      <w:r w:rsidRPr="00C4084C">
        <w:t>represented backgrounds. Potential candidates are currently faced with an economic disincentive to pursue research training. The very individuals best suited to pursue research careers have ample other avenues open to them – they</w:t>
      </w:r>
      <w:r w:rsidR="0077189C" w:rsidRPr="00C4084C">
        <w:t xml:space="preserve"> a</w:t>
      </w:r>
      <w:r w:rsidRPr="00C4084C">
        <w:t>re our smartest and most curious, and industry can easily trump the RTP stipend to entice them away from research. In other cases</w:t>
      </w:r>
      <w:r w:rsidR="004A3C33" w:rsidRPr="00C4084C">
        <w:t>,</w:t>
      </w:r>
      <w:r w:rsidRPr="00C4084C">
        <w:t xml:space="preserve"> it </w:t>
      </w:r>
      <w:r w:rsidRPr="00C4084C">
        <w:lastRenderedPageBreak/>
        <w:t xml:space="preserve">is less a case of incentive or opportunity cost than sheer possibility – their financial circumstances simply render the semi-voluntary labour of HDR life impossible.  </w:t>
      </w:r>
    </w:p>
    <w:p w14:paraId="4EA09E67" w14:textId="2DD6B83B" w:rsidR="00703E85" w:rsidRPr="00C4084C" w:rsidRDefault="00703E85" w:rsidP="0061269B">
      <w:r w:rsidRPr="00C4084C">
        <w:t xml:space="preserve">The Review acknowledges that the stipend is not a wage, but it should be higher than its current rate. An increase to the minimum RTP stipend would bring Australia more in line with global competitors, given that the lower bound of the RTP ($29,863 in 2023) is lower than stipends internationally when adjusted for purchasing power parity. While Australia’s maximum stipend rate ($46,653 in 2023) is more competitive with other countries’ rates, this rate is rarely offered to stipend recipients. An increase to the minimum stipend rate will ensure Australia can continue to attract top research </w:t>
      </w:r>
      <w:proofErr w:type="gramStart"/>
      <w:r w:rsidRPr="00C4084C">
        <w:t>students, and</w:t>
      </w:r>
      <w:proofErr w:type="gramEnd"/>
      <w:r w:rsidRPr="00C4084C">
        <w:t xml:space="preserve"> will favour improved completion rates. An increase to the rate must be funded by an expansion of the RTP pool, to avoid reducing the total number of RTP-funded HDR students.</w:t>
      </w:r>
    </w:p>
    <w:p w14:paraId="02E9BC00" w14:textId="45DA5A30" w:rsidR="00703E85" w:rsidRPr="00C4084C" w:rsidRDefault="00703E85" w:rsidP="0061269B">
      <w:r w:rsidRPr="00C4084C">
        <w:t>In addition, if a student is studying part-time, their stipend is treated as taxable income</w:t>
      </w:r>
      <w:r w:rsidR="00FF4941">
        <w:t>, whereas f</w:t>
      </w:r>
      <w:r w:rsidR="00A00285">
        <w:t>ull-time stipends are not taxable</w:t>
      </w:r>
      <w:r w:rsidR="00FF4941">
        <w:t>.</w:t>
      </w:r>
      <w:r w:rsidR="00A00285">
        <w:t xml:space="preserve"> </w:t>
      </w:r>
      <w:r w:rsidR="00FF4941">
        <w:t>T</w:t>
      </w:r>
      <w:r w:rsidR="00FF4941" w:rsidRPr="00C4084C">
        <w:t>his</w:t>
      </w:r>
      <w:r w:rsidR="00A00285" w:rsidRPr="00C4084C">
        <w:t xml:space="preserve"> </w:t>
      </w:r>
      <w:r w:rsidRPr="00C4084C">
        <w:t>is an anomaly that should be removed. From an equity perspective, HDR students from under</w:t>
      </w:r>
      <w:r w:rsidR="00B14F21" w:rsidRPr="00C4084C">
        <w:t>-</w:t>
      </w:r>
      <w:r w:rsidRPr="00C4084C">
        <w:t>represented backgrounds are relatively over</w:t>
      </w:r>
      <w:r w:rsidR="00B14F21" w:rsidRPr="00C4084C">
        <w:t>-</w:t>
      </w:r>
      <w:r w:rsidRPr="00C4084C">
        <w:t xml:space="preserve">represented in part-time studies (see </w:t>
      </w:r>
      <w:r w:rsidRPr="00C4084C">
        <w:fldChar w:fldCharType="begin"/>
      </w:r>
      <w:r w:rsidRPr="00C4084C">
        <w:instrText xml:space="preserve"> REF _Ref152234200 \h  \* MERGEFORMAT </w:instrText>
      </w:r>
      <w:r w:rsidRPr="00C4084C">
        <w:fldChar w:fldCharType="separate"/>
      </w:r>
      <w:r w:rsidR="00467B4F" w:rsidRPr="00467B4F">
        <w:t>Table 5</w:t>
      </w:r>
      <w:r w:rsidRPr="00C4084C">
        <w:fldChar w:fldCharType="end"/>
      </w:r>
      <w:r w:rsidRPr="00C4084C">
        <w:t xml:space="preserve">), and yet the relative value of their support is reduced by taxation. </w:t>
      </w:r>
      <w:r w:rsidR="00A00285">
        <w:t>This tax treatment affects parents, particularly women</w:t>
      </w:r>
      <w:r w:rsidR="00FF4941">
        <w:t>.</w:t>
      </w:r>
      <w:r w:rsidR="00A00285" w:rsidRPr="00C4084C">
        <w:t xml:space="preserve"> </w:t>
      </w:r>
      <w:r w:rsidR="00A00285">
        <w:t>It</w:t>
      </w:r>
      <w:r w:rsidRPr="00C4084C">
        <w:t xml:space="preserve"> also disincentivises students currently working in industry who are looking to undertake research training without leaving their positions – an arrangement we ought to be encouraging as a nation. As such, it goes against</w:t>
      </w:r>
      <w:r w:rsidRPr="00C4084C" w:rsidDel="00D16150">
        <w:t xml:space="preserve"> </w:t>
      </w:r>
      <w:r w:rsidRPr="00C4084C">
        <w:t>2 key aims of the Review – to increase participation in higher education from under</w:t>
      </w:r>
      <w:r w:rsidR="00B14F21" w:rsidRPr="00C4084C">
        <w:t>-</w:t>
      </w:r>
      <w:r w:rsidRPr="00C4084C">
        <w:t xml:space="preserve">represented groups and to make sure Australian research is as high impact as possible. Students should be given maximum flexibility to complete their higher degrees by </w:t>
      </w:r>
      <w:r w:rsidR="00A00285" w:rsidRPr="00C4084C">
        <w:t>research</w:t>
      </w:r>
      <w:r w:rsidR="00A00285">
        <w:t>,</w:t>
      </w:r>
      <w:r w:rsidR="00A00285" w:rsidRPr="000D7202">
        <w:t xml:space="preserve"> </w:t>
      </w:r>
      <w:r w:rsidR="00A00285" w:rsidRPr="00C4084C">
        <w:t xml:space="preserve">making part-time scholarships tax-free (see Recommendation 26). This </w:t>
      </w:r>
      <w:r w:rsidR="00A00285">
        <w:t xml:space="preserve">would mean </w:t>
      </w:r>
      <w:r w:rsidRPr="00C4084C">
        <w:t>being able to undertake research training full-time or part-time as required</w:t>
      </w:r>
      <w:r w:rsidR="00BE0CAD">
        <w:t>,</w:t>
      </w:r>
      <w:r w:rsidR="00B14F21" w:rsidRPr="00C4084C">
        <w:t xml:space="preserve"> making part-time scholarships tax-free</w:t>
      </w:r>
      <w:r w:rsidR="00F15CF9" w:rsidRPr="00C4084C">
        <w:t xml:space="preserve"> (see Recommendation 26)</w:t>
      </w:r>
      <w:r w:rsidRPr="00C4084C">
        <w:t xml:space="preserve">, and not being financially disadvantaged for doing </w:t>
      </w:r>
      <w:r w:rsidR="00BE0CAD">
        <w:t>whichever works best</w:t>
      </w:r>
      <w:r w:rsidRPr="00C4084C">
        <w:t>. This flexibility will improve connections between research students and industry partners, build on the linkages to industry required to produce high impact research, and ensure the opportunity to undertake a higher degree by research is open to all, including those for whom it may not otherwise be economically feasible. This reform, combined with an improved stipend rate, will also help boost part-time HDR completion rates, which are weaker than</w:t>
      </w:r>
      <w:r w:rsidR="00BE0CAD">
        <w:t xml:space="preserve"> for</w:t>
      </w:r>
      <w:r w:rsidRPr="00C4084C">
        <w:t xml:space="preserve"> their full-time colleagues.</w:t>
      </w:r>
    </w:p>
    <w:p w14:paraId="7E510590" w14:textId="558BAF4E" w:rsidR="0044243C" w:rsidRPr="00C4084C" w:rsidRDefault="0044243C" w:rsidP="0044243C">
      <w:pPr>
        <w:pStyle w:val="Caption"/>
      </w:pPr>
      <w:bookmarkStart w:id="978" w:name="_Ref152234200"/>
      <w:bookmarkStart w:id="979" w:name="_Ref152234192"/>
      <w:bookmarkStart w:id="980" w:name="_Toc153809633"/>
      <w:r w:rsidRPr="00C4084C">
        <w:lastRenderedPageBreak/>
        <w:t xml:space="preserve">Table </w:t>
      </w:r>
      <w:r w:rsidRPr="00C4084C">
        <w:fldChar w:fldCharType="begin"/>
      </w:r>
      <w:r w:rsidRPr="00C4084C">
        <w:instrText>SEQ Table \* ARABIC</w:instrText>
      </w:r>
      <w:r w:rsidRPr="00C4084C">
        <w:fldChar w:fldCharType="separate"/>
      </w:r>
      <w:r w:rsidR="00467B4F">
        <w:rPr>
          <w:noProof/>
        </w:rPr>
        <w:t>5</w:t>
      </w:r>
      <w:r w:rsidRPr="00C4084C">
        <w:fldChar w:fldCharType="end"/>
      </w:r>
      <w:bookmarkEnd w:id="978"/>
      <w:r w:rsidRPr="00C4084C">
        <w:t>: 2022 part-time HDR enrolments.</w:t>
      </w:r>
      <w:bookmarkEnd w:id="979"/>
      <w:bookmarkEnd w:id="980"/>
    </w:p>
    <w:tbl>
      <w:tblPr>
        <w:tblW w:w="7399" w:type="dxa"/>
        <w:tblBorders>
          <w:insideH w:val="single" w:sz="4" w:space="0" w:color="89DAF7"/>
          <w:insideV w:val="single" w:sz="4" w:space="0" w:color="D0F1FC"/>
        </w:tblBorders>
        <w:tblLayout w:type="fixed"/>
        <w:tblLook w:val="04A0" w:firstRow="1" w:lastRow="0" w:firstColumn="1" w:lastColumn="0" w:noHBand="0" w:noVBand="1"/>
      </w:tblPr>
      <w:tblGrid>
        <w:gridCol w:w="2551"/>
        <w:gridCol w:w="1616"/>
        <w:gridCol w:w="1616"/>
        <w:gridCol w:w="1616"/>
      </w:tblGrid>
      <w:tr w:rsidR="0044243C" w:rsidRPr="00C4084C" w14:paraId="2AA5B759" w14:textId="77777777">
        <w:trPr>
          <w:trHeight w:val="296"/>
          <w:tblHeader/>
        </w:trPr>
        <w:tc>
          <w:tcPr>
            <w:tcW w:w="2551" w:type="dxa"/>
            <w:tcBorders>
              <w:top w:val="nil"/>
              <w:bottom w:val="single" w:sz="12" w:space="0" w:color="A1E2F9"/>
              <w:right w:val="single" w:sz="12" w:space="0" w:color="A1E2F9"/>
            </w:tcBorders>
            <w:shd w:val="clear" w:color="auto" w:fill="D0F1FC"/>
            <w:noWrap/>
            <w:hideMark/>
          </w:tcPr>
          <w:p w14:paraId="054F56D5" w14:textId="77777777" w:rsidR="0044243C" w:rsidRPr="00C4084C" w:rsidRDefault="0044243C">
            <w:pPr>
              <w:spacing w:after="0" w:line="276" w:lineRule="auto"/>
              <w:rPr>
                <w:rFonts w:cs="Arial"/>
                <w:b/>
                <w:kern w:val="2"/>
                <w14:ligatures w14:val="standardContextual"/>
              </w:rPr>
            </w:pPr>
            <w:r w:rsidRPr="00C4084C">
              <w:rPr>
                <w:rFonts w:cs="Arial"/>
                <w:b/>
                <w:kern w:val="2"/>
                <w14:ligatures w14:val="standardContextual"/>
              </w:rPr>
              <w:t>Student types</w:t>
            </w:r>
          </w:p>
        </w:tc>
        <w:tc>
          <w:tcPr>
            <w:tcW w:w="1616" w:type="dxa"/>
            <w:tcBorders>
              <w:top w:val="nil"/>
              <w:left w:val="single" w:sz="12" w:space="0" w:color="A1E2F9"/>
              <w:bottom w:val="single" w:sz="12" w:space="0" w:color="A1E2F9"/>
            </w:tcBorders>
            <w:shd w:val="clear" w:color="auto" w:fill="D0F1FC"/>
            <w:noWrap/>
            <w:vAlign w:val="bottom"/>
            <w:hideMark/>
          </w:tcPr>
          <w:p w14:paraId="4FC2E40C" w14:textId="77777777" w:rsidR="0044243C" w:rsidRPr="00C4084C" w:rsidRDefault="0044243C">
            <w:pPr>
              <w:spacing w:after="0" w:line="276" w:lineRule="auto"/>
              <w:jc w:val="right"/>
              <w:rPr>
                <w:rFonts w:cs="Arial"/>
                <w:b/>
                <w:kern w:val="2"/>
                <w14:ligatures w14:val="standardContextual"/>
              </w:rPr>
            </w:pPr>
            <w:r w:rsidRPr="00C4084C">
              <w:rPr>
                <w:rFonts w:cs="Arial"/>
                <w:b/>
                <w:kern w:val="2"/>
                <w14:ligatures w14:val="standardContextual"/>
              </w:rPr>
              <w:t>Part-time HDR students (no.)</w:t>
            </w:r>
          </w:p>
        </w:tc>
        <w:tc>
          <w:tcPr>
            <w:tcW w:w="1616" w:type="dxa"/>
            <w:tcBorders>
              <w:top w:val="nil"/>
              <w:bottom w:val="single" w:sz="12" w:space="0" w:color="A1E2F9"/>
            </w:tcBorders>
            <w:shd w:val="clear" w:color="auto" w:fill="D0F1FC"/>
            <w:noWrap/>
            <w:vAlign w:val="bottom"/>
            <w:hideMark/>
          </w:tcPr>
          <w:p w14:paraId="02B382D2" w14:textId="77777777" w:rsidR="0044243C" w:rsidRPr="00C4084C" w:rsidRDefault="0044243C">
            <w:pPr>
              <w:spacing w:after="0" w:line="276" w:lineRule="auto"/>
              <w:jc w:val="right"/>
              <w:rPr>
                <w:rFonts w:cs="Arial"/>
                <w:b/>
                <w:kern w:val="2"/>
                <w14:ligatures w14:val="standardContextual"/>
              </w:rPr>
            </w:pPr>
            <w:r w:rsidRPr="00C4084C">
              <w:rPr>
                <w:rFonts w:cs="Arial"/>
                <w:b/>
                <w:kern w:val="2"/>
                <w14:ligatures w14:val="standardContextual"/>
              </w:rPr>
              <w:t>Total HDR students (no.)</w:t>
            </w:r>
          </w:p>
        </w:tc>
        <w:tc>
          <w:tcPr>
            <w:tcW w:w="1616" w:type="dxa"/>
            <w:tcBorders>
              <w:top w:val="nil"/>
              <w:bottom w:val="single" w:sz="12" w:space="0" w:color="A1E2F9"/>
            </w:tcBorders>
            <w:shd w:val="clear" w:color="auto" w:fill="D0F1FC"/>
            <w:noWrap/>
            <w:vAlign w:val="bottom"/>
            <w:hideMark/>
          </w:tcPr>
          <w:p w14:paraId="3BAE5954" w14:textId="77777777" w:rsidR="0044243C" w:rsidRPr="00C4084C" w:rsidRDefault="0044243C">
            <w:pPr>
              <w:spacing w:after="0" w:line="276" w:lineRule="auto"/>
              <w:jc w:val="right"/>
              <w:rPr>
                <w:rFonts w:cs="Arial"/>
                <w:b/>
                <w:kern w:val="2"/>
                <w14:ligatures w14:val="standardContextual"/>
              </w:rPr>
            </w:pPr>
            <w:r w:rsidRPr="00C4084C">
              <w:rPr>
                <w:rFonts w:cs="Arial"/>
                <w:b/>
                <w:kern w:val="2"/>
                <w14:ligatures w14:val="standardContextual"/>
              </w:rPr>
              <w:t>Part-time HDR students (%)</w:t>
            </w:r>
          </w:p>
        </w:tc>
      </w:tr>
      <w:tr w:rsidR="0044243C" w:rsidRPr="00C4084C" w14:paraId="64CBE51A" w14:textId="77777777">
        <w:trPr>
          <w:cantSplit/>
          <w:trHeight w:val="296"/>
          <w:tblHeader/>
        </w:trPr>
        <w:tc>
          <w:tcPr>
            <w:tcW w:w="2551" w:type="dxa"/>
            <w:tcBorders>
              <w:top w:val="single" w:sz="12" w:space="0" w:color="A1E2F9"/>
              <w:bottom w:val="single" w:sz="8" w:space="0" w:color="A1E2F9"/>
              <w:right w:val="single" w:sz="12" w:space="0" w:color="A1E2F9"/>
            </w:tcBorders>
            <w:shd w:val="clear" w:color="auto" w:fill="auto"/>
            <w:noWrap/>
            <w:vAlign w:val="bottom"/>
            <w:hideMark/>
          </w:tcPr>
          <w:p w14:paraId="327794EB" w14:textId="77777777" w:rsidR="0044243C" w:rsidRPr="00C4084C" w:rsidRDefault="0044243C">
            <w:pPr>
              <w:spacing w:line="240" w:lineRule="auto"/>
              <w:rPr>
                <w:rFonts w:eastAsia="Times New Roman" w:cs="Arial"/>
                <w:b/>
                <w:color w:val="000000"/>
                <w:lang w:eastAsia="en-AU"/>
              </w:rPr>
            </w:pPr>
            <w:r w:rsidRPr="00C4084C">
              <w:rPr>
                <w:rFonts w:eastAsia="Times New Roman" w:cs="Arial"/>
                <w:b/>
                <w:color w:val="000000"/>
                <w:lang w:eastAsia="en-AU"/>
              </w:rPr>
              <w:t>All Students</w:t>
            </w:r>
          </w:p>
        </w:tc>
        <w:tc>
          <w:tcPr>
            <w:tcW w:w="1616" w:type="dxa"/>
            <w:tcBorders>
              <w:top w:val="single" w:sz="12" w:space="0" w:color="A1E2F9"/>
              <w:left w:val="single" w:sz="12" w:space="0" w:color="A1E2F9"/>
              <w:bottom w:val="single" w:sz="4" w:space="0" w:color="89DAF7"/>
              <w:right w:val="single" w:sz="4" w:space="0" w:color="D0F1FC"/>
            </w:tcBorders>
            <w:shd w:val="clear" w:color="auto" w:fill="auto"/>
            <w:noWrap/>
            <w:vAlign w:val="center"/>
            <w:hideMark/>
          </w:tcPr>
          <w:p w14:paraId="3098CF11" w14:textId="77777777" w:rsidR="0044243C" w:rsidRPr="00C4084C" w:rsidRDefault="0044243C">
            <w:pPr>
              <w:spacing w:line="240" w:lineRule="auto"/>
              <w:jc w:val="right"/>
              <w:rPr>
                <w:rFonts w:eastAsia="Times New Roman" w:cs="Arial"/>
                <w:color w:val="000000"/>
                <w:lang w:eastAsia="en-AU"/>
              </w:rPr>
            </w:pPr>
            <w:r w:rsidRPr="00C4084C">
              <w:rPr>
                <w:rFonts w:cstheme="minorHAnsi"/>
                <w:color w:val="000000"/>
              </w:rPr>
              <w:t>18,008</w:t>
            </w:r>
          </w:p>
        </w:tc>
        <w:tc>
          <w:tcPr>
            <w:tcW w:w="1616" w:type="dxa"/>
            <w:tcBorders>
              <w:top w:val="single" w:sz="12" w:space="0" w:color="A1E2F9"/>
              <w:left w:val="single" w:sz="4" w:space="0" w:color="D0F1FC"/>
              <w:bottom w:val="single" w:sz="4" w:space="0" w:color="89DAF7"/>
              <w:right w:val="single" w:sz="4" w:space="0" w:color="D0F1FC"/>
            </w:tcBorders>
            <w:shd w:val="clear" w:color="auto" w:fill="auto"/>
            <w:noWrap/>
            <w:vAlign w:val="center"/>
            <w:hideMark/>
          </w:tcPr>
          <w:p w14:paraId="714C94E4" w14:textId="77777777" w:rsidR="0044243C" w:rsidRPr="00C4084C" w:rsidRDefault="0044243C">
            <w:pPr>
              <w:spacing w:line="240" w:lineRule="auto"/>
              <w:jc w:val="right"/>
              <w:rPr>
                <w:rFonts w:eastAsia="Times New Roman" w:cs="Arial"/>
                <w:color w:val="000000"/>
                <w:lang w:eastAsia="en-AU"/>
              </w:rPr>
            </w:pPr>
            <w:r w:rsidRPr="00C4084C">
              <w:rPr>
                <w:rFonts w:cstheme="minorHAnsi"/>
                <w:color w:val="000000"/>
              </w:rPr>
              <w:t>67,198</w:t>
            </w:r>
          </w:p>
        </w:tc>
        <w:tc>
          <w:tcPr>
            <w:tcW w:w="1616" w:type="dxa"/>
            <w:tcBorders>
              <w:top w:val="single" w:sz="12" w:space="0" w:color="A1E2F9"/>
              <w:left w:val="single" w:sz="4" w:space="0" w:color="D0F1FC"/>
              <w:bottom w:val="single" w:sz="4" w:space="0" w:color="89DAF7"/>
            </w:tcBorders>
            <w:shd w:val="clear" w:color="auto" w:fill="auto"/>
            <w:noWrap/>
            <w:vAlign w:val="center"/>
            <w:hideMark/>
          </w:tcPr>
          <w:p w14:paraId="21F8E73D" w14:textId="77777777" w:rsidR="0044243C" w:rsidRPr="00C4084C" w:rsidRDefault="0044243C">
            <w:pPr>
              <w:spacing w:line="240" w:lineRule="auto"/>
              <w:jc w:val="right"/>
              <w:rPr>
                <w:rFonts w:eastAsia="Times New Roman" w:cs="Arial"/>
                <w:color w:val="000000"/>
                <w:lang w:eastAsia="en-AU"/>
              </w:rPr>
            </w:pPr>
            <w:r w:rsidRPr="00C4084C">
              <w:rPr>
                <w:rFonts w:cstheme="minorHAnsi"/>
                <w:color w:val="000000"/>
              </w:rPr>
              <w:t>26.8</w:t>
            </w:r>
          </w:p>
        </w:tc>
      </w:tr>
      <w:tr w:rsidR="0044243C" w:rsidRPr="00C4084C" w14:paraId="04C25CB6" w14:textId="77777777">
        <w:trPr>
          <w:cantSplit/>
          <w:trHeight w:val="296"/>
          <w:tblHeader/>
        </w:trPr>
        <w:tc>
          <w:tcPr>
            <w:tcW w:w="2551" w:type="dxa"/>
            <w:tcBorders>
              <w:top w:val="single" w:sz="8" w:space="0" w:color="A1E2F9"/>
              <w:bottom w:val="single" w:sz="8" w:space="0" w:color="A1E2F9"/>
              <w:right w:val="single" w:sz="12" w:space="0" w:color="A1E2F9"/>
            </w:tcBorders>
            <w:shd w:val="clear" w:color="auto" w:fill="auto"/>
            <w:noWrap/>
            <w:vAlign w:val="bottom"/>
          </w:tcPr>
          <w:p w14:paraId="7D20FD65" w14:textId="77777777" w:rsidR="0044243C" w:rsidRPr="00C4084C" w:rsidRDefault="0044243C">
            <w:pPr>
              <w:spacing w:line="240" w:lineRule="auto"/>
              <w:rPr>
                <w:rFonts w:eastAsia="Times New Roman" w:cs="Arial"/>
                <w:b/>
                <w:color w:val="000000"/>
                <w:lang w:eastAsia="en-AU"/>
              </w:rPr>
            </w:pPr>
            <w:r w:rsidRPr="00C4084C">
              <w:rPr>
                <w:rFonts w:eastAsia="Times New Roman" w:cs="Arial"/>
                <w:b/>
                <w:color w:val="000000"/>
                <w:lang w:eastAsia="en-AU"/>
              </w:rPr>
              <w:t>First Nations students*</w:t>
            </w:r>
          </w:p>
        </w:tc>
        <w:tc>
          <w:tcPr>
            <w:tcW w:w="1616" w:type="dxa"/>
            <w:tcBorders>
              <w:top w:val="single" w:sz="4" w:space="0" w:color="89DAF7"/>
              <w:left w:val="single" w:sz="12" w:space="0" w:color="A1E2F9"/>
              <w:bottom w:val="single" w:sz="4" w:space="0" w:color="89DAF7"/>
              <w:right w:val="single" w:sz="4" w:space="0" w:color="D0F1FC"/>
            </w:tcBorders>
            <w:shd w:val="clear" w:color="auto" w:fill="auto"/>
            <w:noWrap/>
            <w:vAlign w:val="center"/>
          </w:tcPr>
          <w:p w14:paraId="75A5FB8E" w14:textId="77777777" w:rsidR="0044243C" w:rsidRPr="00C4084C" w:rsidRDefault="0044243C">
            <w:pPr>
              <w:spacing w:line="240" w:lineRule="auto"/>
              <w:jc w:val="right"/>
              <w:rPr>
                <w:rFonts w:eastAsia="Times New Roman" w:cs="Arial"/>
                <w:color w:val="000000"/>
                <w:lang w:eastAsia="en-AU"/>
              </w:rPr>
            </w:pPr>
            <w:r w:rsidRPr="00C4084C">
              <w:rPr>
                <w:rFonts w:cstheme="minorHAnsi"/>
                <w:color w:val="000000"/>
              </w:rPr>
              <w:t>268</w:t>
            </w:r>
          </w:p>
        </w:tc>
        <w:tc>
          <w:tcPr>
            <w:tcW w:w="1616" w:type="dxa"/>
            <w:tcBorders>
              <w:top w:val="single" w:sz="4" w:space="0" w:color="89DAF7"/>
              <w:left w:val="single" w:sz="4" w:space="0" w:color="D0F1FC"/>
              <w:bottom w:val="single" w:sz="4" w:space="0" w:color="89DAF7"/>
              <w:right w:val="single" w:sz="4" w:space="0" w:color="D0F1FC"/>
            </w:tcBorders>
            <w:shd w:val="clear" w:color="auto" w:fill="auto"/>
            <w:noWrap/>
            <w:vAlign w:val="center"/>
          </w:tcPr>
          <w:p w14:paraId="7BB07E21" w14:textId="77777777" w:rsidR="0044243C" w:rsidRPr="00C4084C" w:rsidRDefault="0044243C">
            <w:pPr>
              <w:spacing w:line="240" w:lineRule="auto"/>
              <w:jc w:val="right"/>
              <w:rPr>
                <w:rFonts w:eastAsia="Times New Roman" w:cs="Arial"/>
                <w:color w:val="000000"/>
                <w:lang w:eastAsia="en-AU"/>
              </w:rPr>
            </w:pPr>
            <w:r w:rsidRPr="00C4084C">
              <w:rPr>
                <w:rFonts w:cstheme="minorHAnsi"/>
                <w:color w:val="000000"/>
              </w:rPr>
              <w:t>806</w:t>
            </w:r>
          </w:p>
        </w:tc>
        <w:tc>
          <w:tcPr>
            <w:tcW w:w="1616" w:type="dxa"/>
            <w:tcBorders>
              <w:top w:val="single" w:sz="4" w:space="0" w:color="89DAF7"/>
              <w:left w:val="single" w:sz="4" w:space="0" w:color="D0F1FC"/>
              <w:bottom w:val="single" w:sz="4" w:space="0" w:color="89DAF7"/>
            </w:tcBorders>
            <w:shd w:val="clear" w:color="auto" w:fill="auto"/>
            <w:noWrap/>
            <w:vAlign w:val="center"/>
          </w:tcPr>
          <w:p w14:paraId="3CE3A875" w14:textId="77777777" w:rsidR="0044243C" w:rsidRPr="00C4084C" w:rsidRDefault="0044243C">
            <w:pPr>
              <w:spacing w:line="240" w:lineRule="auto"/>
              <w:jc w:val="right"/>
              <w:rPr>
                <w:rFonts w:eastAsia="Times New Roman" w:cs="Arial"/>
                <w:color w:val="000000"/>
                <w:lang w:eastAsia="en-AU"/>
              </w:rPr>
            </w:pPr>
            <w:r w:rsidRPr="00C4084C">
              <w:rPr>
                <w:rFonts w:cstheme="minorHAnsi"/>
                <w:color w:val="000000"/>
              </w:rPr>
              <w:t>33.3</w:t>
            </w:r>
          </w:p>
        </w:tc>
      </w:tr>
      <w:tr w:rsidR="0044243C" w:rsidRPr="00C4084C" w14:paraId="328D7781" w14:textId="77777777">
        <w:trPr>
          <w:cantSplit/>
          <w:trHeight w:val="296"/>
          <w:tblHeader/>
        </w:trPr>
        <w:tc>
          <w:tcPr>
            <w:tcW w:w="2551" w:type="dxa"/>
            <w:tcBorders>
              <w:top w:val="single" w:sz="8" w:space="0" w:color="A1E2F9"/>
              <w:bottom w:val="single" w:sz="8" w:space="0" w:color="A1E2F9"/>
              <w:right w:val="single" w:sz="12" w:space="0" w:color="A1E2F9"/>
            </w:tcBorders>
            <w:shd w:val="clear" w:color="auto" w:fill="auto"/>
            <w:noWrap/>
            <w:vAlign w:val="bottom"/>
          </w:tcPr>
          <w:p w14:paraId="2F6B5B2E" w14:textId="77777777" w:rsidR="0044243C" w:rsidRPr="00C4084C" w:rsidRDefault="0044243C">
            <w:pPr>
              <w:spacing w:line="240" w:lineRule="auto"/>
              <w:rPr>
                <w:rFonts w:eastAsia="Times New Roman" w:cs="Arial"/>
                <w:b/>
                <w:color w:val="000000"/>
                <w:lang w:eastAsia="en-AU"/>
              </w:rPr>
            </w:pPr>
            <w:r w:rsidRPr="00C4084C">
              <w:rPr>
                <w:rFonts w:eastAsia="Times New Roman" w:cs="Arial"/>
                <w:b/>
                <w:color w:val="000000"/>
                <w:lang w:eastAsia="en-AU"/>
              </w:rPr>
              <w:t>Students with a disability*</w:t>
            </w:r>
          </w:p>
        </w:tc>
        <w:tc>
          <w:tcPr>
            <w:tcW w:w="1616" w:type="dxa"/>
            <w:tcBorders>
              <w:top w:val="single" w:sz="4" w:space="0" w:color="89DAF7"/>
              <w:left w:val="single" w:sz="12" w:space="0" w:color="A1E2F9"/>
              <w:bottom w:val="single" w:sz="4" w:space="0" w:color="89DAF7"/>
              <w:right w:val="single" w:sz="4" w:space="0" w:color="D0F1FC"/>
            </w:tcBorders>
            <w:shd w:val="clear" w:color="auto" w:fill="auto"/>
            <w:noWrap/>
            <w:vAlign w:val="center"/>
          </w:tcPr>
          <w:p w14:paraId="4495BBDE" w14:textId="77777777" w:rsidR="0044243C" w:rsidRPr="00C4084C" w:rsidRDefault="0044243C">
            <w:pPr>
              <w:spacing w:line="240" w:lineRule="auto"/>
              <w:jc w:val="right"/>
              <w:rPr>
                <w:rFonts w:eastAsia="Times New Roman" w:cs="Arial"/>
                <w:color w:val="000000"/>
                <w:lang w:eastAsia="en-AU"/>
              </w:rPr>
            </w:pPr>
            <w:r w:rsidRPr="00C4084C">
              <w:rPr>
                <w:rFonts w:cstheme="minorHAnsi"/>
                <w:color w:val="000000"/>
              </w:rPr>
              <w:t>1,436</w:t>
            </w:r>
          </w:p>
        </w:tc>
        <w:tc>
          <w:tcPr>
            <w:tcW w:w="1616" w:type="dxa"/>
            <w:tcBorders>
              <w:top w:val="single" w:sz="4" w:space="0" w:color="89DAF7"/>
              <w:left w:val="single" w:sz="4" w:space="0" w:color="D0F1FC"/>
              <w:bottom w:val="single" w:sz="4" w:space="0" w:color="89DAF7"/>
              <w:right w:val="single" w:sz="4" w:space="0" w:color="D0F1FC"/>
            </w:tcBorders>
            <w:shd w:val="clear" w:color="auto" w:fill="auto"/>
            <w:noWrap/>
            <w:vAlign w:val="center"/>
          </w:tcPr>
          <w:p w14:paraId="3F550A6A" w14:textId="77777777" w:rsidR="0044243C" w:rsidRPr="00C4084C" w:rsidRDefault="0044243C">
            <w:pPr>
              <w:spacing w:line="240" w:lineRule="auto"/>
              <w:jc w:val="right"/>
              <w:rPr>
                <w:rFonts w:eastAsia="Times New Roman" w:cs="Arial"/>
                <w:color w:val="000000"/>
                <w:lang w:eastAsia="en-AU"/>
              </w:rPr>
            </w:pPr>
            <w:r w:rsidRPr="00C4084C">
              <w:rPr>
                <w:rFonts w:cstheme="minorHAnsi"/>
                <w:color w:val="000000"/>
              </w:rPr>
              <w:t>3,522</w:t>
            </w:r>
          </w:p>
        </w:tc>
        <w:tc>
          <w:tcPr>
            <w:tcW w:w="1616" w:type="dxa"/>
            <w:tcBorders>
              <w:top w:val="single" w:sz="4" w:space="0" w:color="89DAF7"/>
              <w:left w:val="single" w:sz="4" w:space="0" w:color="D0F1FC"/>
              <w:bottom w:val="single" w:sz="4" w:space="0" w:color="89DAF7"/>
            </w:tcBorders>
            <w:shd w:val="clear" w:color="auto" w:fill="auto"/>
            <w:noWrap/>
            <w:vAlign w:val="center"/>
          </w:tcPr>
          <w:p w14:paraId="3C7D6B63" w14:textId="77777777" w:rsidR="0044243C" w:rsidRPr="00C4084C" w:rsidRDefault="0044243C">
            <w:pPr>
              <w:spacing w:line="240" w:lineRule="auto"/>
              <w:jc w:val="right"/>
              <w:rPr>
                <w:rFonts w:eastAsia="Times New Roman" w:cs="Arial"/>
                <w:color w:val="000000"/>
                <w:lang w:eastAsia="en-AU"/>
              </w:rPr>
            </w:pPr>
            <w:r w:rsidRPr="00C4084C">
              <w:rPr>
                <w:rFonts w:cstheme="minorHAnsi"/>
                <w:color w:val="000000"/>
              </w:rPr>
              <w:t>40.8</w:t>
            </w:r>
          </w:p>
        </w:tc>
      </w:tr>
      <w:tr w:rsidR="0044243C" w:rsidRPr="00C4084C" w14:paraId="659DFD98" w14:textId="77777777">
        <w:trPr>
          <w:cantSplit/>
          <w:trHeight w:val="296"/>
          <w:tblHeader/>
        </w:trPr>
        <w:tc>
          <w:tcPr>
            <w:tcW w:w="2551" w:type="dxa"/>
            <w:tcBorders>
              <w:top w:val="single" w:sz="8" w:space="0" w:color="A1E2F9"/>
              <w:bottom w:val="single" w:sz="8" w:space="0" w:color="A1E2F9"/>
              <w:right w:val="single" w:sz="12" w:space="0" w:color="A1E2F9"/>
            </w:tcBorders>
            <w:shd w:val="clear" w:color="auto" w:fill="auto"/>
            <w:noWrap/>
            <w:vAlign w:val="bottom"/>
            <w:hideMark/>
          </w:tcPr>
          <w:p w14:paraId="782E4EBA" w14:textId="77777777" w:rsidR="0044243C" w:rsidRPr="00C4084C" w:rsidRDefault="0044243C">
            <w:pPr>
              <w:spacing w:line="240" w:lineRule="auto"/>
              <w:rPr>
                <w:rFonts w:eastAsia="Times New Roman" w:cs="Arial"/>
                <w:b/>
                <w:color w:val="000000"/>
                <w:lang w:eastAsia="en-AU"/>
              </w:rPr>
            </w:pPr>
            <w:r w:rsidRPr="00C4084C">
              <w:rPr>
                <w:rFonts w:eastAsia="Times New Roman" w:cs="Arial"/>
                <w:b/>
                <w:color w:val="000000"/>
                <w:lang w:eastAsia="en-AU"/>
              </w:rPr>
              <w:t>Low SES*</w:t>
            </w:r>
          </w:p>
        </w:tc>
        <w:tc>
          <w:tcPr>
            <w:tcW w:w="1616" w:type="dxa"/>
            <w:tcBorders>
              <w:top w:val="single" w:sz="4" w:space="0" w:color="89DAF7"/>
              <w:left w:val="single" w:sz="12" w:space="0" w:color="A1E2F9"/>
              <w:bottom w:val="single" w:sz="4" w:space="0" w:color="89DAF7"/>
              <w:right w:val="single" w:sz="4" w:space="0" w:color="D0F1FC"/>
            </w:tcBorders>
            <w:shd w:val="clear" w:color="auto" w:fill="auto"/>
            <w:noWrap/>
            <w:vAlign w:val="center"/>
            <w:hideMark/>
          </w:tcPr>
          <w:p w14:paraId="238F1E9F" w14:textId="77777777" w:rsidR="0044243C" w:rsidRPr="00C4084C" w:rsidRDefault="0044243C">
            <w:pPr>
              <w:spacing w:line="240" w:lineRule="auto"/>
              <w:jc w:val="right"/>
              <w:rPr>
                <w:rFonts w:eastAsia="Times New Roman" w:cs="Arial"/>
                <w:color w:val="000000"/>
                <w:lang w:eastAsia="en-AU"/>
              </w:rPr>
            </w:pPr>
            <w:r w:rsidRPr="00C4084C">
              <w:rPr>
                <w:rFonts w:cstheme="minorHAnsi"/>
                <w:color w:val="000000"/>
              </w:rPr>
              <w:t>1,506</w:t>
            </w:r>
          </w:p>
        </w:tc>
        <w:tc>
          <w:tcPr>
            <w:tcW w:w="1616" w:type="dxa"/>
            <w:tcBorders>
              <w:top w:val="single" w:sz="4" w:space="0" w:color="89DAF7"/>
              <w:left w:val="single" w:sz="4" w:space="0" w:color="D0F1FC"/>
              <w:bottom w:val="single" w:sz="4" w:space="0" w:color="89DAF7"/>
              <w:right w:val="single" w:sz="4" w:space="0" w:color="D0F1FC"/>
            </w:tcBorders>
            <w:shd w:val="clear" w:color="auto" w:fill="auto"/>
            <w:noWrap/>
            <w:vAlign w:val="center"/>
            <w:hideMark/>
          </w:tcPr>
          <w:p w14:paraId="449686B7" w14:textId="77777777" w:rsidR="0044243C" w:rsidRPr="00C4084C" w:rsidRDefault="0044243C">
            <w:pPr>
              <w:spacing w:line="240" w:lineRule="auto"/>
              <w:jc w:val="right"/>
              <w:rPr>
                <w:rFonts w:eastAsia="Times New Roman" w:cs="Arial"/>
                <w:color w:val="000000"/>
                <w:lang w:eastAsia="en-AU"/>
              </w:rPr>
            </w:pPr>
            <w:r w:rsidRPr="00C4084C">
              <w:rPr>
                <w:rFonts w:cstheme="minorHAnsi"/>
                <w:color w:val="000000"/>
              </w:rPr>
              <w:t>3,939</w:t>
            </w:r>
          </w:p>
        </w:tc>
        <w:tc>
          <w:tcPr>
            <w:tcW w:w="1616" w:type="dxa"/>
            <w:tcBorders>
              <w:top w:val="single" w:sz="4" w:space="0" w:color="89DAF7"/>
              <w:left w:val="single" w:sz="4" w:space="0" w:color="D0F1FC"/>
              <w:bottom w:val="single" w:sz="4" w:space="0" w:color="89DAF7"/>
            </w:tcBorders>
            <w:shd w:val="clear" w:color="auto" w:fill="auto"/>
            <w:noWrap/>
            <w:vAlign w:val="center"/>
            <w:hideMark/>
          </w:tcPr>
          <w:p w14:paraId="5DBAE2DC" w14:textId="77777777" w:rsidR="0044243C" w:rsidRPr="00C4084C" w:rsidRDefault="0044243C">
            <w:pPr>
              <w:spacing w:line="240" w:lineRule="auto"/>
              <w:jc w:val="right"/>
              <w:rPr>
                <w:rFonts w:eastAsia="Times New Roman" w:cs="Arial"/>
                <w:color w:val="000000"/>
                <w:lang w:eastAsia="en-AU"/>
              </w:rPr>
            </w:pPr>
            <w:r w:rsidRPr="00C4084C">
              <w:rPr>
                <w:rFonts w:cstheme="minorHAnsi"/>
                <w:color w:val="000000"/>
              </w:rPr>
              <w:t>38.2</w:t>
            </w:r>
          </w:p>
        </w:tc>
      </w:tr>
      <w:tr w:rsidR="0044243C" w:rsidRPr="00C4084C" w14:paraId="6897EA06" w14:textId="77777777">
        <w:trPr>
          <w:cantSplit/>
          <w:trHeight w:val="296"/>
          <w:tblHeader/>
        </w:trPr>
        <w:tc>
          <w:tcPr>
            <w:tcW w:w="2551" w:type="dxa"/>
            <w:tcBorders>
              <w:top w:val="single" w:sz="8" w:space="0" w:color="A1E2F9"/>
              <w:bottom w:val="single" w:sz="8" w:space="0" w:color="A1E2F9"/>
              <w:right w:val="single" w:sz="12" w:space="0" w:color="A1E2F9"/>
            </w:tcBorders>
            <w:shd w:val="clear" w:color="auto" w:fill="auto"/>
            <w:noWrap/>
            <w:vAlign w:val="bottom"/>
          </w:tcPr>
          <w:p w14:paraId="79168ABB" w14:textId="77777777" w:rsidR="0044243C" w:rsidRPr="00C4084C" w:rsidRDefault="0044243C">
            <w:pPr>
              <w:spacing w:line="240" w:lineRule="auto"/>
              <w:rPr>
                <w:rFonts w:eastAsia="Times New Roman" w:cs="Arial"/>
                <w:b/>
                <w:color w:val="000000"/>
                <w:lang w:eastAsia="en-AU"/>
              </w:rPr>
            </w:pPr>
            <w:r w:rsidRPr="00C4084C">
              <w:rPr>
                <w:rFonts w:eastAsia="Times New Roman" w:cs="Arial"/>
                <w:b/>
                <w:color w:val="000000"/>
                <w:lang w:eastAsia="en-AU"/>
              </w:rPr>
              <w:t>Regional Students (ASGS)*</w:t>
            </w:r>
          </w:p>
        </w:tc>
        <w:tc>
          <w:tcPr>
            <w:tcW w:w="1616" w:type="dxa"/>
            <w:tcBorders>
              <w:top w:val="single" w:sz="4" w:space="0" w:color="89DAF7"/>
              <w:left w:val="single" w:sz="12" w:space="0" w:color="A1E2F9"/>
              <w:bottom w:val="single" w:sz="4" w:space="0" w:color="89DAF7"/>
              <w:right w:val="single" w:sz="4" w:space="0" w:color="D0F1FC"/>
            </w:tcBorders>
            <w:shd w:val="clear" w:color="auto" w:fill="auto"/>
            <w:noWrap/>
            <w:vAlign w:val="center"/>
          </w:tcPr>
          <w:p w14:paraId="70D511F4" w14:textId="77777777" w:rsidR="0044243C" w:rsidRPr="00C4084C" w:rsidRDefault="0044243C">
            <w:pPr>
              <w:spacing w:line="240" w:lineRule="auto"/>
              <w:jc w:val="right"/>
              <w:rPr>
                <w:rFonts w:eastAsia="Times New Roman" w:cs="Arial"/>
                <w:color w:val="000000"/>
                <w:lang w:eastAsia="en-AU"/>
              </w:rPr>
            </w:pPr>
            <w:r w:rsidRPr="00C4084C">
              <w:rPr>
                <w:rFonts w:cstheme="minorHAnsi"/>
                <w:color w:val="000000"/>
              </w:rPr>
              <w:t>2,437</w:t>
            </w:r>
          </w:p>
        </w:tc>
        <w:tc>
          <w:tcPr>
            <w:tcW w:w="1616" w:type="dxa"/>
            <w:tcBorders>
              <w:top w:val="single" w:sz="4" w:space="0" w:color="89DAF7"/>
              <w:left w:val="single" w:sz="4" w:space="0" w:color="D0F1FC"/>
              <w:bottom w:val="single" w:sz="4" w:space="0" w:color="89DAF7"/>
              <w:right w:val="single" w:sz="4" w:space="0" w:color="D0F1FC"/>
            </w:tcBorders>
            <w:shd w:val="clear" w:color="auto" w:fill="auto"/>
            <w:noWrap/>
            <w:vAlign w:val="center"/>
          </w:tcPr>
          <w:p w14:paraId="391EBEBE" w14:textId="77777777" w:rsidR="0044243C" w:rsidRPr="00C4084C" w:rsidRDefault="0044243C">
            <w:pPr>
              <w:spacing w:line="240" w:lineRule="auto"/>
              <w:jc w:val="right"/>
              <w:rPr>
                <w:rFonts w:eastAsia="Times New Roman" w:cs="Arial"/>
                <w:color w:val="000000"/>
                <w:lang w:eastAsia="en-AU"/>
              </w:rPr>
            </w:pPr>
            <w:r w:rsidRPr="00C4084C">
              <w:rPr>
                <w:rFonts w:cstheme="minorHAnsi"/>
                <w:color w:val="000000"/>
              </w:rPr>
              <w:t>5,824</w:t>
            </w:r>
          </w:p>
        </w:tc>
        <w:tc>
          <w:tcPr>
            <w:tcW w:w="1616" w:type="dxa"/>
            <w:tcBorders>
              <w:top w:val="single" w:sz="4" w:space="0" w:color="89DAF7"/>
              <w:left w:val="single" w:sz="4" w:space="0" w:color="D0F1FC"/>
              <w:bottom w:val="single" w:sz="4" w:space="0" w:color="89DAF7"/>
            </w:tcBorders>
            <w:shd w:val="clear" w:color="auto" w:fill="auto"/>
            <w:noWrap/>
            <w:vAlign w:val="center"/>
          </w:tcPr>
          <w:p w14:paraId="6B8857A9" w14:textId="77777777" w:rsidR="0044243C" w:rsidRPr="00C4084C" w:rsidRDefault="0044243C">
            <w:pPr>
              <w:spacing w:line="240" w:lineRule="auto"/>
              <w:jc w:val="right"/>
              <w:rPr>
                <w:rFonts w:eastAsia="Times New Roman" w:cs="Arial"/>
                <w:color w:val="000000"/>
                <w:lang w:eastAsia="en-AU"/>
              </w:rPr>
            </w:pPr>
            <w:r w:rsidRPr="00C4084C">
              <w:rPr>
                <w:rFonts w:cstheme="minorHAnsi"/>
                <w:color w:val="000000"/>
              </w:rPr>
              <w:t>41.8</w:t>
            </w:r>
          </w:p>
        </w:tc>
      </w:tr>
      <w:tr w:rsidR="0044243C" w:rsidRPr="00C4084C" w14:paraId="171DF219" w14:textId="77777777">
        <w:trPr>
          <w:cantSplit/>
          <w:trHeight w:val="296"/>
          <w:tblHeader/>
        </w:trPr>
        <w:tc>
          <w:tcPr>
            <w:tcW w:w="2551" w:type="dxa"/>
            <w:tcBorders>
              <w:top w:val="single" w:sz="8" w:space="0" w:color="A1E2F9"/>
              <w:bottom w:val="single" w:sz="8" w:space="0" w:color="A1E2F9"/>
              <w:right w:val="single" w:sz="12" w:space="0" w:color="A1E2F9"/>
            </w:tcBorders>
            <w:shd w:val="clear" w:color="auto" w:fill="auto"/>
            <w:noWrap/>
            <w:vAlign w:val="bottom"/>
          </w:tcPr>
          <w:p w14:paraId="26F9DD4B" w14:textId="77777777" w:rsidR="0044243C" w:rsidRPr="00C4084C" w:rsidRDefault="0044243C">
            <w:pPr>
              <w:spacing w:line="240" w:lineRule="auto"/>
              <w:rPr>
                <w:rFonts w:eastAsia="Times New Roman" w:cs="Arial"/>
                <w:b/>
                <w:color w:val="000000"/>
                <w:lang w:eastAsia="en-AU"/>
              </w:rPr>
            </w:pPr>
            <w:r w:rsidRPr="00C4084C">
              <w:rPr>
                <w:rFonts w:eastAsia="Times New Roman" w:cs="Arial"/>
                <w:b/>
                <w:color w:val="000000"/>
                <w:lang w:eastAsia="en-AU"/>
              </w:rPr>
              <w:t>Remote students (ASGS)*</w:t>
            </w:r>
          </w:p>
        </w:tc>
        <w:tc>
          <w:tcPr>
            <w:tcW w:w="1616" w:type="dxa"/>
            <w:tcBorders>
              <w:top w:val="single" w:sz="4" w:space="0" w:color="89DAF7"/>
              <w:left w:val="single" w:sz="12" w:space="0" w:color="A1E2F9"/>
              <w:bottom w:val="single" w:sz="4" w:space="0" w:color="89DAF7"/>
              <w:right w:val="single" w:sz="4" w:space="0" w:color="D0F1FC"/>
            </w:tcBorders>
            <w:shd w:val="clear" w:color="auto" w:fill="auto"/>
            <w:noWrap/>
            <w:vAlign w:val="center"/>
          </w:tcPr>
          <w:p w14:paraId="5AAB5C6A" w14:textId="77777777" w:rsidR="0044243C" w:rsidRPr="00C4084C" w:rsidRDefault="0044243C">
            <w:pPr>
              <w:spacing w:line="240" w:lineRule="auto"/>
              <w:jc w:val="right"/>
              <w:rPr>
                <w:rFonts w:eastAsia="Times New Roman" w:cs="Arial"/>
                <w:color w:val="000000"/>
                <w:lang w:eastAsia="en-AU"/>
              </w:rPr>
            </w:pPr>
            <w:r w:rsidRPr="00C4084C">
              <w:rPr>
                <w:rFonts w:cstheme="minorHAnsi"/>
                <w:color w:val="000000"/>
              </w:rPr>
              <w:t>112</w:t>
            </w:r>
          </w:p>
        </w:tc>
        <w:tc>
          <w:tcPr>
            <w:tcW w:w="1616" w:type="dxa"/>
            <w:tcBorders>
              <w:top w:val="single" w:sz="4" w:space="0" w:color="89DAF7"/>
              <w:left w:val="single" w:sz="4" w:space="0" w:color="D0F1FC"/>
              <w:bottom w:val="single" w:sz="4" w:space="0" w:color="89DAF7"/>
              <w:right w:val="single" w:sz="4" w:space="0" w:color="D0F1FC"/>
            </w:tcBorders>
            <w:shd w:val="clear" w:color="auto" w:fill="auto"/>
            <w:noWrap/>
            <w:vAlign w:val="center"/>
          </w:tcPr>
          <w:p w14:paraId="7B0523FF" w14:textId="77777777" w:rsidR="0044243C" w:rsidRPr="00C4084C" w:rsidRDefault="0044243C">
            <w:pPr>
              <w:spacing w:line="240" w:lineRule="auto"/>
              <w:jc w:val="right"/>
              <w:rPr>
                <w:rFonts w:eastAsia="Times New Roman" w:cs="Arial"/>
                <w:color w:val="000000"/>
                <w:lang w:eastAsia="en-AU"/>
              </w:rPr>
            </w:pPr>
            <w:r w:rsidRPr="00C4084C">
              <w:rPr>
                <w:rFonts w:cstheme="minorHAnsi"/>
                <w:color w:val="000000"/>
              </w:rPr>
              <w:t>242</w:t>
            </w:r>
          </w:p>
        </w:tc>
        <w:tc>
          <w:tcPr>
            <w:tcW w:w="1616" w:type="dxa"/>
            <w:tcBorders>
              <w:top w:val="single" w:sz="4" w:space="0" w:color="89DAF7"/>
              <w:left w:val="single" w:sz="4" w:space="0" w:color="D0F1FC"/>
              <w:bottom w:val="single" w:sz="4" w:space="0" w:color="89DAF7"/>
            </w:tcBorders>
            <w:shd w:val="clear" w:color="auto" w:fill="auto"/>
            <w:noWrap/>
            <w:vAlign w:val="center"/>
          </w:tcPr>
          <w:p w14:paraId="0F42F782" w14:textId="77777777" w:rsidR="0044243C" w:rsidRPr="00C4084C" w:rsidRDefault="0044243C">
            <w:pPr>
              <w:spacing w:line="240" w:lineRule="auto"/>
              <w:jc w:val="right"/>
              <w:rPr>
                <w:rFonts w:eastAsia="Times New Roman" w:cs="Arial"/>
                <w:color w:val="000000"/>
                <w:lang w:eastAsia="en-AU"/>
              </w:rPr>
            </w:pPr>
            <w:r w:rsidRPr="00C4084C">
              <w:rPr>
                <w:rFonts w:cstheme="minorHAnsi"/>
                <w:color w:val="000000"/>
              </w:rPr>
              <w:t>46.3</w:t>
            </w:r>
          </w:p>
        </w:tc>
      </w:tr>
      <w:tr w:rsidR="0044243C" w:rsidRPr="00C4084C" w14:paraId="6309300E" w14:textId="77777777">
        <w:trPr>
          <w:cantSplit/>
          <w:trHeight w:val="296"/>
          <w:tblHeader/>
        </w:trPr>
        <w:tc>
          <w:tcPr>
            <w:tcW w:w="2551" w:type="dxa"/>
            <w:tcBorders>
              <w:top w:val="single" w:sz="8" w:space="0" w:color="A1E2F9"/>
              <w:bottom w:val="single" w:sz="8" w:space="0" w:color="A1E2F9"/>
              <w:right w:val="single" w:sz="12" w:space="0" w:color="A1E2F9"/>
            </w:tcBorders>
            <w:shd w:val="clear" w:color="auto" w:fill="auto"/>
            <w:noWrap/>
            <w:vAlign w:val="bottom"/>
            <w:hideMark/>
          </w:tcPr>
          <w:p w14:paraId="72DD6193" w14:textId="77777777" w:rsidR="0044243C" w:rsidRPr="00C4084C" w:rsidRDefault="0044243C">
            <w:pPr>
              <w:spacing w:line="240" w:lineRule="auto"/>
              <w:rPr>
                <w:rFonts w:eastAsia="Times New Roman" w:cs="Arial"/>
                <w:b/>
                <w:color w:val="000000"/>
                <w:lang w:eastAsia="en-AU"/>
              </w:rPr>
            </w:pPr>
            <w:r w:rsidRPr="00C4084C">
              <w:rPr>
                <w:rFonts w:eastAsia="Times New Roman" w:cs="Arial"/>
                <w:b/>
                <w:color w:val="000000"/>
                <w:lang w:eastAsia="en-AU"/>
              </w:rPr>
              <w:t>Women</w:t>
            </w:r>
          </w:p>
        </w:tc>
        <w:tc>
          <w:tcPr>
            <w:tcW w:w="1616" w:type="dxa"/>
            <w:tcBorders>
              <w:top w:val="single" w:sz="4" w:space="0" w:color="89DAF7"/>
              <w:left w:val="single" w:sz="12" w:space="0" w:color="A1E2F9"/>
              <w:bottom w:val="single" w:sz="4" w:space="0" w:color="89DAF7"/>
              <w:right w:val="single" w:sz="4" w:space="0" w:color="D0F1FC"/>
            </w:tcBorders>
            <w:shd w:val="clear" w:color="auto" w:fill="auto"/>
            <w:noWrap/>
            <w:vAlign w:val="center"/>
            <w:hideMark/>
          </w:tcPr>
          <w:p w14:paraId="31F542F5" w14:textId="77777777" w:rsidR="0044243C" w:rsidRPr="00C4084C" w:rsidRDefault="0044243C">
            <w:pPr>
              <w:spacing w:line="240" w:lineRule="auto"/>
              <w:jc w:val="right"/>
              <w:rPr>
                <w:rFonts w:eastAsia="Times New Roman" w:cs="Arial"/>
                <w:color w:val="000000"/>
                <w:lang w:eastAsia="en-AU"/>
              </w:rPr>
            </w:pPr>
            <w:r w:rsidRPr="00C4084C">
              <w:rPr>
                <w:rFonts w:cstheme="minorHAnsi"/>
                <w:color w:val="000000"/>
              </w:rPr>
              <w:t>10,417</w:t>
            </w:r>
          </w:p>
        </w:tc>
        <w:tc>
          <w:tcPr>
            <w:tcW w:w="1616" w:type="dxa"/>
            <w:tcBorders>
              <w:top w:val="single" w:sz="4" w:space="0" w:color="89DAF7"/>
              <w:left w:val="single" w:sz="4" w:space="0" w:color="D0F1FC"/>
              <w:bottom w:val="single" w:sz="4" w:space="0" w:color="89DAF7"/>
              <w:right w:val="single" w:sz="4" w:space="0" w:color="D0F1FC"/>
            </w:tcBorders>
            <w:shd w:val="clear" w:color="auto" w:fill="auto"/>
            <w:noWrap/>
            <w:vAlign w:val="center"/>
            <w:hideMark/>
          </w:tcPr>
          <w:p w14:paraId="291682E7" w14:textId="77777777" w:rsidR="0044243C" w:rsidRPr="00C4084C" w:rsidRDefault="0044243C">
            <w:pPr>
              <w:spacing w:line="240" w:lineRule="auto"/>
              <w:jc w:val="right"/>
              <w:rPr>
                <w:rFonts w:eastAsia="Times New Roman" w:cs="Arial"/>
                <w:color w:val="000000"/>
                <w:lang w:eastAsia="en-AU"/>
              </w:rPr>
            </w:pPr>
            <w:r w:rsidRPr="00C4084C">
              <w:rPr>
                <w:rFonts w:cstheme="minorHAnsi"/>
                <w:color w:val="000000"/>
              </w:rPr>
              <w:t>34,957</w:t>
            </w:r>
          </w:p>
        </w:tc>
        <w:tc>
          <w:tcPr>
            <w:tcW w:w="1616" w:type="dxa"/>
            <w:tcBorders>
              <w:top w:val="single" w:sz="4" w:space="0" w:color="89DAF7"/>
              <w:left w:val="single" w:sz="4" w:space="0" w:color="D0F1FC"/>
              <w:bottom w:val="single" w:sz="4" w:space="0" w:color="89DAF7"/>
            </w:tcBorders>
            <w:shd w:val="clear" w:color="auto" w:fill="auto"/>
            <w:noWrap/>
            <w:vAlign w:val="center"/>
            <w:hideMark/>
          </w:tcPr>
          <w:p w14:paraId="5FA89FD9" w14:textId="77777777" w:rsidR="0044243C" w:rsidRPr="00C4084C" w:rsidRDefault="0044243C">
            <w:pPr>
              <w:spacing w:line="240" w:lineRule="auto"/>
              <w:jc w:val="right"/>
              <w:rPr>
                <w:rFonts w:eastAsia="Times New Roman" w:cs="Arial"/>
                <w:color w:val="000000"/>
                <w:lang w:eastAsia="en-AU"/>
              </w:rPr>
            </w:pPr>
            <w:r w:rsidRPr="00C4084C">
              <w:rPr>
                <w:rFonts w:cstheme="minorHAnsi"/>
                <w:color w:val="000000"/>
              </w:rPr>
              <w:t>29.8</w:t>
            </w:r>
          </w:p>
        </w:tc>
      </w:tr>
      <w:tr w:rsidR="0044243C" w:rsidRPr="00C4084C" w14:paraId="0B6B092B" w14:textId="77777777">
        <w:trPr>
          <w:cantSplit/>
          <w:trHeight w:val="296"/>
          <w:tblHeader/>
        </w:trPr>
        <w:tc>
          <w:tcPr>
            <w:tcW w:w="2551" w:type="dxa"/>
            <w:tcBorders>
              <w:top w:val="single" w:sz="8" w:space="0" w:color="A1E2F9"/>
              <w:bottom w:val="nil"/>
              <w:right w:val="single" w:sz="12" w:space="0" w:color="A1E2F9"/>
            </w:tcBorders>
            <w:shd w:val="clear" w:color="auto" w:fill="auto"/>
            <w:noWrap/>
            <w:vAlign w:val="bottom"/>
            <w:hideMark/>
          </w:tcPr>
          <w:p w14:paraId="72857C53" w14:textId="77777777" w:rsidR="0044243C" w:rsidRPr="00C4084C" w:rsidRDefault="0044243C">
            <w:pPr>
              <w:spacing w:line="240" w:lineRule="auto"/>
              <w:rPr>
                <w:rFonts w:eastAsia="Times New Roman" w:cs="Arial"/>
                <w:b/>
                <w:color w:val="000000"/>
                <w:lang w:eastAsia="en-AU"/>
              </w:rPr>
            </w:pPr>
            <w:r w:rsidRPr="00C4084C">
              <w:rPr>
                <w:rFonts w:eastAsia="Times New Roman" w:cs="Arial"/>
                <w:b/>
                <w:color w:val="000000"/>
                <w:lang w:eastAsia="en-AU"/>
              </w:rPr>
              <w:t>Students from non-English speaking backgrounds</w:t>
            </w:r>
          </w:p>
        </w:tc>
        <w:tc>
          <w:tcPr>
            <w:tcW w:w="1616" w:type="dxa"/>
            <w:tcBorders>
              <w:top w:val="single" w:sz="4" w:space="0" w:color="89DAF7"/>
              <w:left w:val="single" w:sz="12" w:space="0" w:color="A1E2F9"/>
              <w:bottom w:val="nil"/>
              <w:right w:val="single" w:sz="4" w:space="0" w:color="D0F1FC"/>
            </w:tcBorders>
            <w:shd w:val="clear" w:color="auto" w:fill="auto"/>
            <w:noWrap/>
            <w:vAlign w:val="center"/>
            <w:hideMark/>
          </w:tcPr>
          <w:p w14:paraId="05FF63EF" w14:textId="77777777" w:rsidR="0044243C" w:rsidRPr="00C4084C" w:rsidRDefault="0044243C">
            <w:pPr>
              <w:spacing w:line="240" w:lineRule="auto"/>
              <w:jc w:val="right"/>
              <w:rPr>
                <w:rFonts w:eastAsia="Times New Roman" w:cs="Arial"/>
                <w:color w:val="000000"/>
                <w:lang w:eastAsia="en-AU"/>
              </w:rPr>
            </w:pPr>
            <w:r w:rsidRPr="00C4084C">
              <w:rPr>
                <w:rFonts w:cstheme="minorHAnsi"/>
                <w:color w:val="000000"/>
              </w:rPr>
              <w:t>1,071</w:t>
            </w:r>
          </w:p>
        </w:tc>
        <w:tc>
          <w:tcPr>
            <w:tcW w:w="1616" w:type="dxa"/>
            <w:tcBorders>
              <w:top w:val="single" w:sz="4" w:space="0" w:color="89DAF7"/>
              <w:left w:val="single" w:sz="4" w:space="0" w:color="D0F1FC"/>
              <w:bottom w:val="nil"/>
              <w:right w:val="single" w:sz="4" w:space="0" w:color="D0F1FC"/>
            </w:tcBorders>
            <w:shd w:val="clear" w:color="auto" w:fill="auto"/>
            <w:noWrap/>
            <w:vAlign w:val="center"/>
            <w:hideMark/>
          </w:tcPr>
          <w:p w14:paraId="31A96AF7" w14:textId="77777777" w:rsidR="0044243C" w:rsidRPr="00C4084C" w:rsidRDefault="0044243C">
            <w:pPr>
              <w:spacing w:line="240" w:lineRule="auto"/>
              <w:jc w:val="right"/>
              <w:rPr>
                <w:rFonts w:eastAsia="Times New Roman" w:cs="Arial"/>
                <w:color w:val="000000"/>
                <w:lang w:eastAsia="en-AU"/>
              </w:rPr>
            </w:pPr>
            <w:r w:rsidRPr="00C4084C">
              <w:rPr>
                <w:rFonts w:cstheme="minorHAnsi"/>
                <w:color w:val="000000"/>
              </w:rPr>
              <w:t>15,310</w:t>
            </w:r>
          </w:p>
        </w:tc>
        <w:tc>
          <w:tcPr>
            <w:tcW w:w="1616" w:type="dxa"/>
            <w:tcBorders>
              <w:top w:val="single" w:sz="4" w:space="0" w:color="89DAF7"/>
              <w:left w:val="single" w:sz="4" w:space="0" w:color="D0F1FC"/>
              <w:bottom w:val="nil"/>
            </w:tcBorders>
            <w:shd w:val="clear" w:color="auto" w:fill="auto"/>
            <w:noWrap/>
            <w:vAlign w:val="center"/>
            <w:hideMark/>
          </w:tcPr>
          <w:p w14:paraId="4B7966D6" w14:textId="77777777" w:rsidR="0044243C" w:rsidRPr="00C4084C" w:rsidRDefault="0044243C">
            <w:pPr>
              <w:spacing w:line="240" w:lineRule="auto"/>
              <w:jc w:val="right"/>
              <w:rPr>
                <w:rFonts w:eastAsia="Times New Roman" w:cs="Arial"/>
                <w:color w:val="000000"/>
                <w:lang w:eastAsia="en-AU"/>
              </w:rPr>
            </w:pPr>
            <w:r w:rsidRPr="00C4084C">
              <w:rPr>
                <w:rFonts w:cstheme="minorHAnsi"/>
                <w:color w:val="000000"/>
              </w:rPr>
              <w:t>7.0</w:t>
            </w:r>
          </w:p>
        </w:tc>
      </w:tr>
    </w:tbl>
    <w:p w14:paraId="244B7FE7" w14:textId="25A0A91D" w:rsidR="0044243C" w:rsidRPr="00C4084C" w:rsidRDefault="0044243C" w:rsidP="0044243C">
      <w:pPr>
        <w:pStyle w:val="Source"/>
        <w:rPr>
          <w:shd w:val="clear" w:color="auto" w:fill="FFFFFF"/>
        </w:rPr>
      </w:pPr>
      <w:r w:rsidRPr="00C4084C">
        <w:rPr>
          <w:shd w:val="clear" w:color="auto" w:fill="FFFFFF"/>
        </w:rPr>
        <w:t xml:space="preserve">Source: </w:t>
      </w:r>
      <w:r w:rsidRPr="00C4084C">
        <w:t xml:space="preserve">Department of Education, </w:t>
      </w:r>
      <w:r w:rsidRPr="00C4084C">
        <w:rPr>
          <w:i/>
        </w:rPr>
        <w:t xml:space="preserve">Higher Education </w:t>
      </w:r>
      <w:r w:rsidRPr="00C4084C">
        <w:rPr>
          <w:i/>
          <w:iCs/>
        </w:rPr>
        <w:t xml:space="preserve">Statistics </w:t>
      </w:r>
      <w:r w:rsidR="00B14F21" w:rsidRPr="00C4084C">
        <w:rPr>
          <w:i/>
          <w:iCs/>
        </w:rPr>
        <w:t>–</w:t>
      </w:r>
      <w:r w:rsidRPr="00C4084C">
        <w:rPr>
          <w:i/>
          <w:iCs/>
        </w:rPr>
        <w:t xml:space="preserve"> </w:t>
      </w:r>
      <w:r w:rsidRPr="00C4084C">
        <w:rPr>
          <w:i/>
        </w:rPr>
        <w:t xml:space="preserve">Student </w:t>
      </w:r>
      <w:r w:rsidRPr="00C4084C">
        <w:rPr>
          <w:i/>
          <w:iCs/>
        </w:rPr>
        <w:t xml:space="preserve">Data </w:t>
      </w:r>
      <w:r w:rsidRPr="00C4084C">
        <w:t>[unpublished data], (Canberra: 2023).</w:t>
      </w:r>
    </w:p>
    <w:p w14:paraId="7F768D1E" w14:textId="40A4D898" w:rsidR="0044243C" w:rsidRPr="00C4084C" w:rsidRDefault="0044243C" w:rsidP="0044243C">
      <w:pPr>
        <w:pStyle w:val="Source"/>
        <w:rPr>
          <w:shd w:val="clear" w:color="auto" w:fill="FFFFFF"/>
        </w:rPr>
      </w:pPr>
      <w:r w:rsidRPr="00C4084C">
        <w:rPr>
          <w:shd w:val="clear" w:color="auto" w:fill="FFFFFF"/>
        </w:rPr>
        <w:t>Note: Regional and remote students are categorised based on Australian Statistical Geography Standard (ASGS) measure. Students with postcodes classified as over 50% regional or remote have been counted. *Numbers only include domestic students with a permanent home address in Australia</w:t>
      </w:r>
    </w:p>
    <w:p w14:paraId="305B41E5" w14:textId="5255A1CB" w:rsidR="00703E85" w:rsidRPr="00C4084C" w:rsidRDefault="00703E85" w:rsidP="001B0DD7">
      <w:pPr>
        <w:rPr>
          <w:rStyle w:val="normaltextrun"/>
          <w:rFonts w:cs="Arial"/>
          <w:color w:val="757679"/>
          <w:sz w:val="20"/>
        </w:rPr>
      </w:pPr>
      <w:r w:rsidRPr="00C4084C">
        <w:t xml:space="preserve">There is a need to equip the next generation of researchers with skills for the diverse careers a PhD enables. Research training has historically focused on readying students for academic careers. It is paramount that students continue to be trained for careers in teaching, </w:t>
      </w:r>
      <w:proofErr w:type="gramStart"/>
      <w:r w:rsidRPr="00C4084C">
        <w:t>research</w:t>
      </w:r>
      <w:proofErr w:type="gramEnd"/>
      <w:r w:rsidRPr="00C4084C">
        <w:t xml:space="preserve"> and industry, with</w:t>
      </w:r>
      <w:r w:rsidRPr="00C4084C">
        <w:rPr>
          <w:sz w:val="24"/>
          <w:szCs w:val="24"/>
        </w:rPr>
        <w:t xml:space="preserve"> </w:t>
      </w:r>
      <w:r w:rsidRPr="00C4084C">
        <w:t>demand for highly skilled Australian researchers likely to outpace supply over the coming years. University enrolments will increase as the higher education system grows, and half of Australia’s ageing academic workforce will retire over the coming decades.</w:t>
      </w:r>
      <w:r w:rsidRPr="00C4084C">
        <w:rPr>
          <w:rStyle w:val="FootnoteReference"/>
          <w:rFonts w:cs="Arial"/>
        </w:rPr>
        <w:footnoteReference w:id="347"/>
      </w:r>
      <w:r w:rsidRPr="00C4084C">
        <w:t xml:space="preserve"> </w:t>
      </w:r>
      <w:r w:rsidRPr="00C4084C">
        <w:rPr>
          <w:rStyle w:val="normaltextrun"/>
          <w:rFonts w:cs="Arial"/>
        </w:rPr>
        <w:t>At the same time, studies suggests that industry demand for advanced research skills is high and will continue to grow.</w:t>
      </w:r>
      <w:r w:rsidRPr="00C4084C">
        <w:rPr>
          <w:rStyle w:val="FootnoteReference"/>
          <w:rFonts w:cs="Arial"/>
        </w:rPr>
        <w:footnoteReference w:id="348"/>
      </w:r>
      <w:r w:rsidRPr="00C4084C">
        <w:rPr>
          <w:rStyle w:val="normaltextrun"/>
          <w:rFonts w:cs="Arial"/>
        </w:rPr>
        <w:t xml:space="preserve"> Nevertheless, industry uptake of research graduates could be strengthened, through greater awareness on both sides of what university research training and industry experience each have to offer. </w:t>
      </w:r>
      <w:r w:rsidRPr="00C4084C">
        <w:t xml:space="preserve">Australian businesses experience difficulties in meeting their skills requirements and have called for “an ongoing pipeline of quality workers, with the right skills, in volumes that industry </w:t>
      </w:r>
      <w:r w:rsidRPr="00C4084C">
        <w:lastRenderedPageBreak/>
        <w:t>needs”</w:t>
      </w:r>
      <w:r w:rsidR="00F81038">
        <w:t>.</w:t>
      </w:r>
      <w:r w:rsidRPr="00C4084C">
        <w:rPr>
          <w:rStyle w:val="FootnoteReference"/>
          <w:rFonts w:cs="Arial"/>
        </w:rPr>
        <w:footnoteReference w:id="349"/>
      </w:r>
      <w:r w:rsidRPr="00C4084C">
        <w:t xml:space="preserve"> </w:t>
      </w:r>
      <w:r w:rsidRPr="00C4084C">
        <w:rPr>
          <w:rStyle w:val="normaltextrun"/>
          <w:rFonts w:cs="Arial"/>
        </w:rPr>
        <w:t xml:space="preserve">The Review has recommended in </w:t>
      </w:r>
      <w:r w:rsidR="00B8211F" w:rsidRPr="00C4084C">
        <w:rPr>
          <w:rStyle w:val="normaltextrun"/>
          <w:rFonts w:cs="Arial"/>
          <w:i/>
          <w:iCs/>
        </w:rPr>
        <w:fldChar w:fldCharType="begin"/>
      </w:r>
      <w:r w:rsidR="00B8211F" w:rsidRPr="00C4084C">
        <w:rPr>
          <w:rStyle w:val="normaltextrun"/>
          <w:rFonts w:cs="Arial"/>
          <w:i/>
          <w:iCs/>
        </w:rPr>
        <w:instrText xml:space="preserve"> REF _Ref153794263 \r \h  \* MERGEFORMAT</w:instrText>
      </w:r>
      <w:r w:rsidR="00B8211F" w:rsidRPr="00C4084C">
        <w:rPr>
          <w:rStyle w:val="normaltextrun"/>
          <w:rFonts w:cs="Arial"/>
          <w:i/>
        </w:rPr>
        <w:instrText xml:space="preserve"> </w:instrText>
      </w:r>
      <w:r w:rsidR="00B8211F" w:rsidRPr="00C4084C">
        <w:rPr>
          <w:rStyle w:val="normaltextrun"/>
          <w:rFonts w:cs="Arial"/>
          <w:i/>
          <w:iCs/>
        </w:rPr>
      </w:r>
      <w:r w:rsidR="00B8211F" w:rsidRPr="00C4084C">
        <w:rPr>
          <w:rStyle w:val="normaltextrun"/>
          <w:rFonts w:cs="Arial"/>
          <w:i/>
          <w:iCs/>
        </w:rPr>
        <w:fldChar w:fldCharType="separate"/>
      </w:r>
      <w:r w:rsidR="00467B4F">
        <w:rPr>
          <w:rStyle w:val="normaltextrun"/>
          <w:rFonts w:cs="Arial"/>
          <w:i/>
          <w:iCs/>
        </w:rPr>
        <w:t xml:space="preserve">Chapter 2 – </w:t>
      </w:r>
      <w:r w:rsidR="00B8211F" w:rsidRPr="00C4084C">
        <w:rPr>
          <w:rStyle w:val="normaltextrun"/>
          <w:rFonts w:cs="Arial"/>
          <w:i/>
          <w:iCs/>
        </w:rPr>
        <w:fldChar w:fldCharType="end"/>
      </w:r>
      <w:r w:rsidR="00B8211F" w:rsidRPr="00C4084C">
        <w:rPr>
          <w:rStyle w:val="normaltextrun"/>
          <w:rFonts w:cs="Arial"/>
          <w:i/>
          <w:iCs/>
        </w:rPr>
        <w:fldChar w:fldCharType="begin"/>
      </w:r>
      <w:r w:rsidR="00B8211F" w:rsidRPr="00C4084C">
        <w:rPr>
          <w:rStyle w:val="normaltextrun"/>
          <w:rFonts w:cs="Arial"/>
          <w:i/>
          <w:iCs/>
        </w:rPr>
        <w:instrText xml:space="preserve"> REF _Ref153794263 \h  \* MERGEFORMAT</w:instrText>
      </w:r>
      <w:r w:rsidR="00B8211F" w:rsidRPr="00C4084C">
        <w:rPr>
          <w:rStyle w:val="normaltextrun"/>
          <w:rFonts w:cs="Arial"/>
          <w:i/>
        </w:rPr>
        <w:instrText xml:space="preserve"> </w:instrText>
      </w:r>
      <w:r w:rsidR="00B8211F" w:rsidRPr="00C4084C">
        <w:rPr>
          <w:rStyle w:val="normaltextrun"/>
          <w:rFonts w:cs="Arial"/>
          <w:i/>
          <w:iCs/>
        </w:rPr>
      </w:r>
      <w:r w:rsidR="00B8211F" w:rsidRPr="00C4084C">
        <w:rPr>
          <w:rStyle w:val="normaltextrun"/>
          <w:rFonts w:cs="Arial"/>
          <w:i/>
          <w:iCs/>
        </w:rPr>
        <w:fldChar w:fldCharType="separate"/>
      </w:r>
      <w:r w:rsidR="00467B4F" w:rsidRPr="00467B4F">
        <w:rPr>
          <w:i/>
          <w:iCs/>
        </w:rPr>
        <w:t>Meeting our current and future skills needs</w:t>
      </w:r>
      <w:r w:rsidR="00B8211F" w:rsidRPr="00C4084C">
        <w:rPr>
          <w:rStyle w:val="normaltextrun"/>
          <w:rFonts w:cs="Arial"/>
          <w:i/>
          <w:iCs/>
        </w:rPr>
        <w:fldChar w:fldCharType="end"/>
      </w:r>
      <w:r w:rsidRPr="00C4084C">
        <w:rPr>
          <w:rStyle w:val="normaltextrun"/>
          <w:rFonts w:cs="Arial"/>
        </w:rPr>
        <w:t xml:space="preserve"> that universities work to improve responsiveness to meet skills needs. This </w:t>
      </w:r>
      <w:r w:rsidR="00D5786A" w:rsidRPr="00C4084C">
        <w:rPr>
          <w:rStyle w:val="normaltextrun"/>
          <w:rFonts w:cs="Arial"/>
        </w:rPr>
        <w:t>c</w:t>
      </w:r>
      <w:r w:rsidRPr="00C4084C">
        <w:rPr>
          <w:rStyle w:val="normaltextrun"/>
          <w:rFonts w:cs="Arial"/>
        </w:rPr>
        <w:t xml:space="preserve">ould include </w:t>
      </w:r>
      <w:r w:rsidR="00D5786A" w:rsidRPr="00C4084C">
        <w:rPr>
          <w:rStyle w:val="normaltextrun"/>
          <w:rFonts w:cs="Arial"/>
        </w:rPr>
        <w:t>strong encouragement for</w:t>
      </w:r>
      <w:r w:rsidRPr="00C4084C">
        <w:rPr>
          <w:rStyle w:val="normaltextrun"/>
          <w:rFonts w:cs="Arial"/>
        </w:rPr>
        <w:t xml:space="preserve"> research students and postdoctoral researchers</w:t>
      </w:r>
      <w:r w:rsidR="00D50EBD" w:rsidRPr="00C4084C">
        <w:rPr>
          <w:rStyle w:val="normaltextrun"/>
          <w:rFonts w:cs="Arial"/>
        </w:rPr>
        <w:t xml:space="preserve"> to</w:t>
      </w:r>
      <w:r w:rsidRPr="00C4084C">
        <w:rPr>
          <w:rStyle w:val="normaltextrun"/>
          <w:rFonts w:cs="Arial"/>
        </w:rPr>
        <w:t xml:space="preserve"> undertake additional qualifications in cognate areas, such as entrepreneurship, business, </w:t>
      </w:r>
      <w:proofErr w:type="gramStart"/>
      <w:r w:rsidRPr="00C4084C">
        <w:rPr>
          <w:rStyle w:val="normaltextrun"/>
          <w:rFonts w:cs="Arial"/>
        </w:rPr>
        <w:t>leadership</w:t>
      </w:r>
      <w:proofErr w:type="gramEnd"/>
      <w:r w:rsidRPr="00C4084C">
        <w:rPr>
          <w:rStyle w:val="normaltextrun"/>
          <w:rFonts w:cs="Arial"/>
        </w:rPr>
        <w:t xml:space="preserve"> and teaching</w:t>
      </w:r>
      <w:r w:rsidR="00837C3D" w:rsidRPr="00C4084C">
        <w:rPr>
          <w:rStyle w:val="normaltextrun"/>
          <w:rFonts w:cs="Arial"/>
        </w:rPr>
        <w:t>, in parallel with research training</w:t>
      </w:r>
      <w:r w:rsidR="00F81038">
        <w:rPr>
          <w:rStyle w:val="normaltextrun"/>
          <w:rFonts w:cs="Arial"/>
        </w:rPr>
        <w:t>,</w:t>
      </w:r>
      <w:r w:rsidR="00837C3D" w:rsidRPr="00C4084C">
        <w:rPr>
          <w:rStyle w:val="normaltextrun"/>
          <w:rFonts w:cs="Arial"/>
        </w:rPr>
        <w:t xml:space="preserve"> in preparation for careers beyond </w:t>
      </w:r>
      <w:r w:rsidR="00D50EBD" w:rsidRPr="00C4084C">
        <w:rPr>
          <w:rStyle w:val="normaltextrun"/>
          <w:rFonts w:cs="Arial"/>
        </w:rPr>
        <w:t>universities</w:t>
      </w:r>
      <w:r w:rsidRPr="00C4084C">
        <w:rPr>
          <w:rStyle w:val="normaltextrun"/>
          <w:rFonts w:cs="Arial"/>
        </w:rPr>
        <w:t xml:space="preserve">. </w:t>
      </w:r>
    </w:p>
    <w:p w14:paraId="37FBC496" w14:textId="4BCB0E8B" w:rsidR="00703E85" w:rsidRPr="00C4084C" w:rsidRDefault="00703E85" w:rsidP="001B0DD7">
      <w:pPr>
        <w:rPr>
          <w:rStyle w:val="normaltextrun"/>
          <w:rFonts w:cs="Arial"/>
        </w:rPr>
      </w:pPr>
      <w:r w:rsidRPr="00C4084C">
        <w:rPr>
          <w:rStyle w:val="normaltextrun"/>
          <w:rFonts w:cs="Arial"/>
        </w:rPr>
        <w:t xml:space="preserve">As part of reforming the structure and model of PhDs, the Review also encourages universities to innovate in both their PhD and their professional doctorate models. These innovations could include </w:t>
      </w:r>
      <w:r w:rsidRPr="00C4084C">
        <w:t xml:space="preserve">using portfolio, </w:t>
      </w:r>
      <w:proofErr w:type="gramStart"/>
      <w:r w:rsidRPr="00C4084C">
        <w:t>project</w:t>
      </w:r>
      <w:proofErr w:type="gramEnd"/>
      <w:r w:rsidRPr="00C4084C">
        <w:t xml:space="preserve"> and multi-part dissertation formats and revitalising HDR coursework offerings such as those offered in the United States. This would signal a shift away from the perception </w:t>
      </w:r>
      <w:r w:rsidR="009C2AAD">
        <w:t>that</w:t>
      </w:r>
      <w:r w:rsidR="009C2AAD" w:rsidRPr="00C4084C">
        <w:t xml:space="preserve"> </w:t>
      </w:r>
      <w:r w:rsidRPr="00C4084C">
        <w:t>PhD candidates simply provid</w:t>
      </w:r>
      <w:r w:rsidR="009C2AAD">
        <w:t>e</w:t>
      </w:r>
      <w:r w:rsidRPr="00C4084C">
        <w:t xml:space="preserve"> academic firepower </w:t>
      </w:r>
      <w:r w:rsidRPr="00C4084C">
        <w:rPr>
          <w:rStyle w:val="normaltextrun"/>
          <w:rFonts w:cs="Arial"/>
        </w:rPr>
        <w:t xml:space="preserve">to </w:t>
      </w:r>
      <w:r w:rsidR="009C2AAD">
        <w:rPr>
          <w:rStyle w:val="normaltextrun"/>
          <w:rFonts w:cs="Arial"/>
        </w:rPr>
        <w:t>a focus</w:t>
      </w:r>
      <w:r w:rsidR="009C2AAD" w:rsidRPr="00C4084C">
        <w:rPr>
          <w:rStyle w:val="normaltextrun"/>
          <w:rFonts w:cs="Arial"/>
        </w:rPr>
        <w:t xml:space="preserve"> </w:t>
      </w:r>
      <w:r w:rsidRPr="00C4084C">
        <w:rPr>
          <w:rStyle w:val="normaltextrun"/>
          <w:rFonts w:cs="Arial"/>
        </w:rPr>
        <w:t xml:space="preserve">on the underlying education candidates receive from their degree, improving the knowledge and skillset for whatever </w:t>
      </w:r>
      <w:r w:rsidR="00837C3D" w:rsidRPr="00C4084C">
        <w:rPr>
          <w:rStyle w:val="normaltextrun"/>
          <w:rFonts w:cs="Arial"/>
        </w:rPr>
        <w:t xml:space="preserve">career </w:t>
      </w:r>
      <w:r w:rsidRPr="00C4084C">
        <w:rPr>
          <w:rStyle w:val="normaltextrun"/>
          <w:rFonts w:cs="Arial"/>
        </w:rPr>
        <w:t xml:space="preserve">path they wish to pursue. </w:t>
      </w:r>
    </w:p>
    <w:p w14:paraId="321FBE2A" w14:textId="306F7D7B" w:rsidR="00837C3D" w:rsidRPr="00C4084C" w:rsidRDefault="00703E85" w:rsidP="001B0DD7">
      <w:pPr>
        <w:rPr>
          <w:rStyle w:val="normaltextrun"/>
          <w:rFonts w:cs="Arial"/>
          <w:color w:val="000000"/>
          <w:shd w:val="clear" w:color="auto" w:fill="FFFFFF"/>
        </w:rPr>
      </w:pPr>
      <w:r w:rsidRPr="00C4084C">
        <w:t xml:space="preserve">Industry should also be encouraged to upskill their staff to PhD level. To enhance industry and university collaboration, the Review recommends that firms, peak </w:t>
      </w:r>
      <w:proofErr w:type="gramStart"/>
      <w:r w:rsidRPr="00C4084C">
        <w:t>bodies</w:t>
      </w:r>
      <w:proofErr w:type="gramEnd"/>
      <w:r w:rsidRPr="00C4084C">
        <w:t xml:space="preserve"> and government collaborate to establish a target for the number of PhD candidates employed in industry undertaking a PhD relevant to their firm</w:t>
      </w:r>
      <w:r w:rsidR="00856722" w:rsidRPr="00C4084C">
        <w:t xml:space="preserve"> (see Recommendation </w:t>
      </w:r>
      <w:r w:rsidR="00B60E9D" w:rsidRPr="00C4084C">
        <w:t>25</w:t>
      </w:r>
      <w:r w:rsidR="00856722" w:rsidRPr="00C4084C">
        <w:t>)</w:t>
      </w:r>
      <w:r w:rsidRPr="00C4084C">
        <w:t xml:space="preserve">. Such a target would </w:t>
      </w:r>
      <w:r w:rsidRPr="00C4084C">
        <w:rPr>
          <w:rStyle w:val="normaltextrun"/>
          <w:rFonts w:cs="Arial"/>
          <w:color w:val="000000"/>
          <w:shd w:val="clear" w:color="auto" w:fill="FFFFFF"/>
        </w:rPr>
        <w:t xml:space="preserve">underpin greater upskilling and collaboration while enabling the sector to measure and track progress. </w:t>
      </w:r>
    </w:p>
    <w:p w14:paraId="50B17287" w14:textId="04C5B142" w:rsidR="00703E85" w:rsidRPr="00C4084C" w:rsidRDefault="00703E85" w:rsidP="001B0DD7">
      <w:r w:rsidRPr="00C4084C">
        <w:rPr>
          <w:rStyle w:val="normaltextrun"/>
          <w:rFonts w:cs="Arial"/>
          <w:color w:val="000000"/>
          <w:shd w:val="clear" w:color="auto" w:fill="FFFFFF"/>
        </w:rPr>
        <w:t xml:space="preserve">While many PhD graduates go on to work in industry after they graduate, there is a need to facilitate pathways for graduates better, especially those without prior industry experience. </w:t>
      </w:r>
      <w:r w:rsidR="00D0791E" w:rsidRPr="00C4084C">
        <w:t>The Review recommends that a</w:t>
      </w:r>
      <w:r w:rsidRPr="00C4084C">
        <w:t xml:space="preserve"> National Research Workforce Development Strategy should be developed to facilitate, among other things, pathways for HDR students both into</w:t>
      </w:r>
      <w:r w:rsidRPr="00C4084C">
        <w:rPr>
          <w:rFonts w:eastAsia="Calibri"/>
        </w:rPr>
        <w:t xml:space="preserve"> and out of higher education institutions</w:t>
      </w:r>
      <w:r w:rsidR="00406BA3" w:rsidRPr="00C4084C">
        <w:rPr>
          <w:rFonts w:eastAsia="Calibri"/>
        </w:rPr>
        <w:t xml:space="preserve"> (see Recommendation </w:t>
      </w:r>
      <w:r w:rsidR="007C3B47" w:rsidRPr="00C4084C">
        <w:rPr>
          <w:rFonts w:eastAsia="Calibri"/>
        </w:rPr>
        <w:t>26)</w:t>
      </w:r>
      <w:r w:rsidRPr="00C4084C">
        <w:rPr>
          <w:rFonts w:eastAsia="Calibri"/>
        </w:rPr>
        <w:t xml:space="preserve">. </w:t>
      </w:r>
      <w:r w:rsidR="00D0791E" w:rsidRPr="00C4084C">
        <w:rPr>
          <w:rFonts w:eastAsia="Calibri"/>
        </w:rPr>
        <w:t>The</w:t>
      </w:r>
      <w:r w:rsidRPr="00C4084C">
        <w:rPr>
          <w:rFonts w:eastAsia="Calibri"/>
        </w:rPr>
        <w:t xml:space="preserve"> strategy</w:t>
      </w:r>
      <w:r w:rsidRPr="00C4084C">
        <w:t xml:space="preserve"> might consider innovations to current PhD programs to develop such pathways, support greater knowledge flows between sectors, and break down persistent cultural barriers</w:t>
      </w:r>
      <w:r w:rsidR="00D0791E" w:rsidRPr="00C4084C">
        <w:t xml:space="preserve"> between academia and industry</w:t>
      </w:r>
      <w:r w:rsidRPr="00C4084C">
        <w:t xml:space="preserve">. The conceptual model underpinning the strategy needs to move away from the linear and unidirectional vectors of the past and embrace an interwoven trajectory of flow back and forth between university and industry, research and production, bench and factory floor, </w:t>
      </w:r>
      <w:proofErr w:type="gramStart"/>
      <w:r w:rsidRPr="00C4084C">
        <w:t>education</w:t>
      </w:r>
      <w:proofErr w:type="gramEnd"/>
      <w:r w:rsidRPr="00C4084C">
        <w:t xml:space="preserve"> and employment</w:t>
      </w:r>
      <w:r w:rsidR="00D0791E" w:rsidRPr="00C4084C">
        <w:t>,</w:t>
      </w:r>
      <w:r w:rsidRPr="00C4084C">
        <w:t xml:space="preserve"> fully integrated with personal goals and milestones as much as employer needs and educational offerings. </w:t>
      </w:r>
    </w:p>
    <w:p w14:paraId="42837C2F" w14:textId="03A02B63" w:rsidR="00703E85" w:rsidRPr="00C4084C" w:rsidRDefault="00703E85" w:rsidP="001B0DD7">
      <w:r w:rsidRPr="00C4084C">
        <w:t xml:space="preserve">Teaching qualifications at the HDR level will be central to ensuring a high-quality experience for students as the system grows to meet the ambitious attainment targets outlined in </w:t>
      </w:r>
      <w:r w:rsidRPr="00C4084C">
        <w:rPr>
          <w:i/>
        </w:rPr>
        <w:fldChar w:fldCharType="begin"/>
      </w:r>
      <w:r w:rsidRPr="00C4084C">
        <w:instrText xml:space="preserve"> REF _Ref151932669 \r \h  \* MERGEFORMAT </w:instrText>
      </w:r>
      <w:r w:rsidRPr="00C4084C">
        <w:rPr>
          <w:i/>
        </w:rPr>
      </w:r>
      <w:r w:rsidRPr="00C4084C">
        <w:rPr>
          <w:i/>
        </w:rPr>
        <w:fldChar w:fldCharType="separate"/>
      </w:r>
      <w:r w:rsidR="00467B4F" w:rsidRPr="00467B4F">
        <w:rPr>
          <w:i/>
        </w:rPr>
        <w:t>Chapter 2</w:t>
      </w:r>
      <w:r w:rsidR="00467B4F">
        <w:t xml:space="preserve"> – </w:t>
      </w:r>
      <w:r w:rsidRPr="00C4084C">
        <w:rPr>
          <w:i/>
        </w:rPr>
        <w:fldChar w:fldCharType="end"/>
      </w:r>
      <w:r w:rsidR="00211E32" w:rsidRPr="00C4084C">
        <w:rPr>
          <w:i/>
          <w:iCs/>
        </w:rPr>
        <w:fldChar w:fldCharType="begin"/>
      </w:r>
      <w:r w:rsidR="00211E32" w:rsidRPr="00C4084C">
        <w:rPr>
          <w:i/>
          <w:iCs/>
        </w:rPr>
        <w:instrText xml:space="preserve"> REF _Ref153794263 \h  \* MERGEFORMAT </w:instrText>
      </w:r>
      <w:r w:rsidR="00211E32" w:rsidRPr="00C4084C">
        <w:rPr>
          <w:i/>
          <w:iCs/>
        </w:rPr>
      </w:r>
      <w:r w:rsidR="00211E32" w:rsidRPr="00C4084C">
        <w:rPr>
          <w:i/>
          <w:iCs/>
        </w:rPr>
        <w:fldChar w:fldCharType="separate"/>
      </w:r>
      <w:r w:rsidR="00467B4F" w:rsidRPr="00467B4F">
        <w:rPr>
          <w:i/>
          <w:iCs/>
        </w:rPr>
        <w:t>Meeting our current and future skills needs</w:t>
      </w:r>
      <w:r w:rsidR="00211E32" w:rsidRPr="00C4084C">
        <w:rPr>
          <w:i/>
          <w:iCs/>
        </w:rPr>
        <w:fldChar w:fldCharType="end"/>
      </w:r>
      <w:r w:rsidRPr="00C4084C">
        <w:rPr>
          <w:i/>
          <w:iCs/>
        </w:rPr>
        <w:t>.</w:t>
      </w:r>
      <w:r w:rsidRPr="00C4084C">
        <w:t xml:space="preserve"> A significant proportion of tutoring, </w:t>
      </w:r>
      <w:proofErr w:type="gramStart"/>
      <w:r w:rsidRPr="00C4084C">
        <w:t>lecturing</w:t>
      </w:r>
      <w:proofErr w:type="gramEnd"/>
      <w:r w:rsidRPr="00C4084C">
        <w:t xml:space="preserve"> and demonstrating in Australian universities is undertaken by doctoral students employed on a casual basis, yet these students are not always provided with professional development opportunities to develop teaching-specific expertise. Evidence shows that, while students’ ratings of their education experience through the Quality Indicators for Learning and Teaching </w:t>
      </w:r>
      <w:r w:rsidR="007779E7" w:rsidRPr="00C4084C">
        <w:t xml:space="preserve">(QILT) </w:t>
      </w:r>
      <w:r w:rsidRPr="00C4084C">
        <w:t>survey have not declined over the past decade, there has not been any sustained trend towards improvement.</w:t>
      </w:r>
      <w:r w:rsidR="007779E7" w:rsidRPr="00C4084C">
        <w:rPr>
          <w:rStyle w:val="FootnoteReference"/>
          <w:rFonts w:cs="Arial"/>
        </w:rPr>
        <w:footnoteReference w:id="350"/>
      </w:r>
      <w:r w:rsidRPr="00C4084C">
        <w:t xml:space="preserve"> There is a need to uplift the teaching capabilities of HDR candidates who remain in teaching. It is for this reason </w:t>
      </w:r>
      <w:r w:rsidRPr="00C4084C">
        <w:rPr>
          <w:rStyle w:val="normaltextrun"/>
          <w:rFonts w:cs="Arial"/>
        </w:rPr>
        <w:t xml:space="preserve">that the Review recommends universities offer HDR students teaching qualifications, such as a graduate certificate or diploma, in addition to their research training, in line with </w:t>
      </w:r>
      <w:r w:rsidRPr="00C4084C">
        <w:rPr>
          <w:rStyle w:val="normaltextrun"/>
          <w:rFonts w:cs="Arial"/>
        </w:rPr>
        <w:lastRenderedPageBreak/>
        <w:t xml:space="preserve">recommendations made in </w:t>
      </w:r>
      <w:r w:rsidRPr="00C4084C">
        <w:rPr>
          <w:rStyle w:val="normaltextrun"/>
          <w:rFonts w:cs="Arial"/>
          <w:i/>
          <w:iCs/>
        </w:rPr>
        <w:fldChar w:fldCharType="begin"/>
      </w:r>
      <w:r w:rsidRPr="00C4084C">
        <w:rPr>
          <w:rStyle w:val="normaltextrun"/>
          <w:rFonts w:cs="Arial"/>
          <w:i/>
          <w:iCs/>
        </w:rPr>
        <w:instrText xml:space="preserve"> REF _Ref151934666 \r \h  \* MERGEFORMAT </w:instrText>
      </w:r>
      <w:r w:rsidRPr="00C4084C">
        <w:rPr>
          <w:rStyle w:val="normaltextrun"/>
          <w:rFonts w:cs="Arial"/>
          <w:i/>
          <w:iCs/>
        </w:rPr>
      </w:r>
      <w:r w:rsidRPr="00C4084C">
        <w:rPr>
          <w:rStyle w:val="normaltextrun"/>
          <w:rFonts w:cs="Arial"/>
          <w:i/>
          <w:iCs/>
        </w:rPr>
        <w:fldChar w:fldCharType="separate"/>
      </w:r>
      <w:r w:rsidR="00467B4F">
        <w:rPr>
          <w:rStyle w:val="normaltextrun"/>
          <w:rFonts w:cs="Arial"/>
          <w:i/>
          <w:iCs/>
        </w:rPr>
        <w:t xml:space="preserve">Chapter 6 – </w:t>
      </w:r>
      <w:r w:rsidRPr="00C4084C">
        <w:rPr>
          <w:rStyle w:val="normaltextrun"/>
          <w:rFonts w:cs="Arial"/>
          <w:i/>
          <w:iCs/>
        </w:rPr>
        <w:fldChar w:fldCharType="end"/>
      </w:r>
      <w:r w:rsidRPr="00C4084C">
        <w:rPr>
          <w:rStyle w:val="normaltextrun"/>
          <w:rFonts w:cs="Arial"/>
          <w:i/>
          <w:iCs/>
        </w:rPr>
        <w:fldChar w:fldCharType="begin"/>
      </w:r>
      <w:r w:rsidRPr="00C4084C">
        <w:rPr>
          <w:rStyle w:val="normaltextrun"/>
          <w:rFonts w:cs="Arial"/>
          <w:i/>
          <w:iCs/>
        </w:rPr>
        <w:instrText xml:space="preserve"> REF _Ref151934666 \h  \* MERGEFORMAT </w:instrText>
      </w:r>
      <w:r w:rsidRPr="00C4084C">
        <w:rPr>
          <w:rStyle w:val="normaltextrun"/>
          <w:rFonts w:cs="Arial"/>
          <w:i/>
          <w:iCs/>
        </w:rPr>
      </w:r>
      <w:r w:rsidRPr="00C4084C">
        <w:rPr>
          <w:rStyle w:val="normaltextrun"/>
          <w:rFonts w:cs="Arial"/>
          <w:i/>
          <w:iCs/>
        </w:rPr>
        <w:fldChar w:fldCharType="separate"/>
      </w:r>
      <w:r w:rsidR="00467B4F" w:rsidRPr="00467B4F">
        <w:rPr>
          <w:i/>
          <w:iCs/>
        </w:rPr>
        <w:t>A dynamic, collaborative and responsive system that serves the national interest</w:t>
      </w:r>
      <w:r w:rsidRPr="00C4084C">
        <w:rPr>
          <w:rStyle w:val="normaltextrun"/>
          <w:rFonts w:cs="Arial"/>
          <w:i/>
          <w:iCs/>
        </w:rPr>
        <w:fldChar w:fldCharType="end"/>
      </w:r>
      <w:r w:rsidRPr="00C4084C">
        <w:rPr>
          <w:rStyle w:val="normaltextrun"/>
          <w:rFonts w:cs="Arial"/>
        </w:rPr>
        <w:t xml:space="preserve"> on improving the quality of higher education teaching. </w:t>
      </w:r>
    </w:p>
    <w:p w14:paraId="493FFA6E" w14:textId="77777777" w:rsidR="00703E85" w:rsidRPr="00C4084C" w:rsidRDefault="00703E85" w:rsidP="001B0DD7">
      <w:r w:rsidRPr="00C4084C">
        <w:t xml:space="preserve">Attracting students to research careers, and retaining our existing research workforce, requires better conditions. Though many early </w:t>
      </w:r>
      <w:proofErr w:type="gramStart"/>
      <w:r w:rsidRPr="00C4084C">
        <w:t>career</w:t>
      </w:r>
      <w:proofErr w:type="gramEnd"/>
      <w:r w:rsidRPr="00C4084C">
        <w:t xml:space="preserve"> researchers value postdoctoral training, the number of opportunities at this level is limited. Greater funding security for universities and longer grants, which the Review has recommended, will increase opportunities for postdoctoral candidates. </w:t>
      </w:r>
    </w:p>
    <w:p w14:paraId="1369FEB8" w14:textId="53123817" w:rsidR="00703E85" w:rsidRPr="00C4084C" w:rsidRDefault="00703E85" w:rsidP="00285443">
      <w:r w:rsidRPr="00C4084C">
        <w:t xml:space="preserve">The introduction of better standards for higher education teaching, industry-aligned training at the PhD level, longer grants, and changes to the stipend to provide more flexibility for students, will provide </w:t>
      </w:r>
      <w:proofErr w:type="gramStart"/>
      <w:r w:rsidRPr="00C4084C">
        <w:t>a stronger research</w:t>
      </w:r>
      <w:proofErr w:type="gramEnd"/>
      <w:r w:rsidRPr="00C4084C">
        <w:t xml:space="preserve"> training basis, enabling Australia to continue to train our future knowledge workers. </w:t>
      </w:r>
    </w:p>
    <w:tbl>
      <w:tblPr>
        <w:tblW w:w="0" w:type="auto"/>
        <w:shd w:val="clear" w:color="auto" w:fill="FBE4D5"/>
        <w:tblLook w:val="04A0" w:firstRow="1" w:lastRow="0" w:firstColumn="1" w:lastColumn="0" w:noHBand="0" w:noVBand="1"/>
      </w:tblPr>
      <w:tblGrid>
        <w:gridCol w:w="9026"/>
      </w:tblGrid>
      <w:tr w:rsidR="00703E85" w:rsidRPr="00C4084C" w14:paraId="7380FB99" w14:textId="77777777" w:rsidTr="00D26B82">
        <w:tc>
          <w:tcPr>
            <w:tcW w:w="9026" w:type="dxa"/>
            <w:shd w:val="clear" w:color="auto" w:fill="B0C3DB"/>
          </w:tcPr>
          <w:p w14:paraId="61970175" w14:textId="7CFEA5B1" w:rsidR="00C45A1B" w:rsidRPr="00C45A1B" w:rsidRDefault="0080264E" w:rsidP="003E5969">
            <w:pPr>
              <w:pStyle w:val="Findinginchapterheading"/>
            </w:pPr>
            <w:r w:rsidRPr="003E5969">
              <w:rPr>
                <w:rFonts w:ascii="Calibri" w:eastAsia="Yu Gothic Light" w:hAnsi="Calibri" w:cs="Calibri"/>
                <w:szCs w:val="24"/>
              </w:rPr>
              <w:t>Finding</w:t>
            </w:r>
            <w:r w:rsidR="00C45A1B">
              <w:rPr>
                <w:szCs w:val="24"/>
              </w:rPr>
              <w:t xml:space="preserve">: </w:t>
            </w:r>
            <w:r w:rsidR="00703E85" w:rsidRPr="00C4084C">
              <w:t>Research</w:t>
            </w:r>
          </w:p>
          <w:p w14:paraId="645D89EB" w14:textId="70A769E9" w:rsidR="00703E85" w:rsidRPr="00C4084C" w:rsidRDefault="00703E85" w:rsidP="003E5969">
            <w:pPr>
              <w:pStyle w:val="Boxtext0"/>
              <w:spacing w:before="0"/>
              <w:rPr>
                <w:b/>
              </w:rPr>
            </w:pPr>
            <w:r w:rsidRPr="00C4084C">
              <w:t xml:space="preserve">The current stipend for </w:t>
            </w:r>
            <w:r w:rsidR="00D50F21">
              <w:t>H</w:t>
            </w:r>
            <w:r w:rsidRPr="00C4084C">
              <w:t>igher-</w:t>
            </w:r>
            <w:r w:rsidR="00D50F21">
              <w:t>D</w:t>
            </w:r>
            <w:r w:rsidRPr="00C4084C">
              <w:t>egree-by-</w:t>
            </w:r>
            <w:r w:rsidR="00D50F21">
              <w:t>R</w:t>
            </w:r>
            <w:r w:rsidRPr="00C4084C">
              <w:t xml:space="preserve">esearch students is too low and is discouraging many of the best students from becoming the next generation of researchers. This includes students from under-represented backgrounds. Potential candidates are currently faced with an economic disincentive to </w:t>
            </w:r>
            <w:r w:rsidRPr="003C30E6">
              <w:t>pursue</w:t>
            </w:r>
            <w:r w:rsidRPr="00C4084C">
              <w:t xml:space="preserve"> research training. </w:t>
            </w:r>
            <w:r w:rsidRPr="00C4084C">
              <w:rPr>
                <w:bCs/>
              </w:rPr>
              <w:t>The R</w:t>
            </w:r>
            <w:r w:rsidR="005023FC">
              <w:rPr>
                <w:bCs/>
              </w:rPr>
              <w:t xml:space="preserve">esearch </w:t>
            </w:r>
            <w:r w:rsidRPr="00C4084C">
              <w:rPr>
                <w:bCs/>
              </w:rPr>
              <w:t>T</w:t>
            </w:r>
            <w:r w:rsidR="005023FC">
              <w:rPr>
                <w:bCs/>
              </w:rPr>
              <w:t xml:space="preserve">raining </w:t>
            </w:r>
            <w:r w:rsidRPr="00C4084C">
              <w:rPr>
                <w:bCs/>
              </w:rPr>
              <w:t>P</w:t>
            </w:r>
            <w:r w:rsidR="005023FC">
              <w:rPr>
                <w:bCs/>
              </w:rPr>
              <w:t>rogram</w:t>
            </w:r>
            <w:r w:rsidRPr="00C4084C">
              <w:rPr>
                <w:bCs/>
              </w:rPr>
              <w:t xml:space="preserve"> needs to be increased </w:t>
            </w:r>
            <w:proofErr w:type="gramStart"/>
            <w:r w:rsidRPr="00C4084C">
              <w:rPr>
                <w:bCs/>
              </w:rPr>
              <w:t>in order to</w:t>
            </w:r>
            <w:proofErr w:type="gramEnd"/>
            <w:r w:rsidRPr="00C4084C">
              <w:rPr>
                <w:bCs/>
              </w:rPr>
              <w:t xml:space="preserve"> address this.</w:t>
            </w:r>
          </w:p>
        </w:tc>
      </w:tr>
    </w:tbl>
    <w:p w14:paraId="364106C2" w14:textId="13B4941E" w:rsidR="00703E85" w:rsidRPr="00C4084C" w:rsidRDefault="00703E85" w:rsidP="001B0DD7">
      <w:r w:rsidRPr="00C4084C">
        <w:t>Centring the voices, experiences and expertise of First Nations researchers is vital to ensuring a more inclusive research workforce. Australia’s First Nations researchers bring both extensive disciplinary and cultural knowledge and expertise to our universities. Yet the Review has heard that First Nations students and researchers are still working within a system that does not always understand the importance of First Nations knowledge or self-determination.</w:t>
      </w:r>
      <w:r w:rsidRPr="00C4084C">
        <w:rPr>
          <w:rStyle w:val="FootnoteReference"/>
          <w:rFonts w:cs="Arial"/>
        </w:rPr>
        <w:footnoteReference w:id="351"/>
      </w:r>
      <w:r w:rsidRPr="00C4084C">
        <w:t xml:space="preserve"> Growing Australia’s pipeline of First Nations research students will require a larger cohort of First Nations researchers in the research workforce, to ensure this research is First-Nations led and that students have access to culturally appropriate supervision. </w:t>
      </w:r>
    </w:p>
    <w:p w14:paraId="77AD02C9" w14:textId="555F8F43" w:rsidR="00703E85" w:rsidRPr="00C4084C" w:rsidRDefault="00703E85" w:rsidP="001B0DD7">
      <w:r w:rsidRPr="00C4084C">
        <w:t xml:space="preserve">The Review suggests this is an opportunity to set out a plan to secure Australia’s research workforce over time, delivering a more inclusive system as well as the stronger job security needed to deliver more research breakthroughs for Australia, and making Australia globally attractive to researchers pursuing their careers. A national research workforce strategy would provide the opportunity to get this right, </w:t>
      </w:r>
      <w:r w:rsidR="00692568" w:rsidRPr="00C4084C">
        <w:t xml:space="preserve">and </w:t>
      </w:r>
      <w:r w:rsidRPr="00C4084C">
        <w:t>ensure greater consistency across institutions, and that all stakeholders are working towards a common goal. Such a strategy would also acknowledge that research workforce settings are a responsibility shared between government, research funders, universities, researcher managers and researchers.</w:t>
      </w:r>
    </w:p>
    <w:p w14:paraId="4350CFB5" w14:textId="61DB7C20" w:rsidR="00703E85" w:rsidRPr="00C4084C" w:rsidRDefault="00703E85" w:rsidP="00BA6095">
      <w:pPr>
        <w:pStyle w:val="Heading4"/>
      </w:pPr>
      <w:bookmarkStart w:id="981" w:name="_Toc159500979"/>
      <w:r w:rsidRPr="00C4084C">
        <w:t xml:space="preserve">Evolving research training to expand access and increase </w:t>
      </w:r>
      <w:r w:rsidR="00A67102">
        <w:t>diverse</w:t>
      </w:r>
      <w:r w:rsidRPr="00C4084C">
        <w:t xml:space="preserve"> </w:t>
      </w:r>
      <w:proofErr w:type="gramStart"/>
      <w:r w:rsidRPr="00C4084C">
        <w:t>participation</w:t>
      </w:r>
      <w:bookmarkEnd w:id="981"/>
      <w:proofErr w:type="gramEnd"/>
    </w:p>
    <w:p w14:paraId="0E3D21CE" w14:textId="3C35BBF4" w:rsidR="00703E85" w:rsidRPr="00C4084C" w:rsidRDefault="00703E85" w:rsidP="001B0DD7">
      <w:r w:rsidRPr="00C4084C">
        <w:t xml:space="preserve">The Review’s vision is to create a higher education sector that delivers opportunities for all, and one that puts First Nations people at the heart of the higher education system. Reducing barriers to HDR study will enable a more diverse cohort of HDR students. There is a need to build the next </w:t>
      </w:r>
      <w:r w:rsidRPr="00C4084C">
        <w:lastRenderedPageBreak/>
        <w:t xml:space="preserve">generation of research </w:t>
      </w:r>
      <w:proofErr w:type="gramStart"/>
      <w:r w:rsidRPr="00C4084C">
        <w:t>leaders</w:t>
      </w:r>
      <w:r w:rsidR="00692568" w:rsidRPr="00C4084C">
        <w:t>,</w:t>
      </w:r>
      <w:r w:rsidRPr="00C4084C">
        <w:t xml:space="preserve"> and</w:t>
      </w:r>
      <w:proofErr w:type="gramEnd"/>
      <w:r w:rsidRPr="00C4084C">
        <w:t xml:space="preserve"> empower a more diverse cohort of PhD students and early career researchers</w:t>
      </w:r>
      <w:r w:rsidR="00806D35" w:rsidRPr="00C4084C">
        <w:t>, including postdoctoral fellowships</w:t>
      </w:r>
      <w:r w:rsidRPr="00C4084C">
        <w:t xml:space="preserve">. This is important because research is productive and has real-world applications – from developing novel medical treatments to enhancing our understanding of history and culture. </w:t>
      </w:r>
    </w:p>
    <w:p w14:paraId="5A46A783" w14:textId="069DAFA3" w:rsidR="00703E85" w:rsidRPr="00C4084C" w:rsidRDefault="00703E85" w:rsidP="001B0DD7">
      <w:r w:rsidRPr="00C4084C">
        <w:t xml:space="preserve">PhD students benefit from high rates of full-time, </w:t>
      </w:r>
      <w:proofErr w:type="gramStart"/>
      <w:r w:rsidRPr="00C4084C">
        <w:t>professional</w:t>
      </w:r>
      <w:proofErr w:type="gramEnd"/>
      <w:r w:rsidRPr="00C4084C">
        <w:t xml:space="preserve"> and high salary employment post-graduation.</w:t>
      </w:r>
      <w:r w:rsidRPr="00C4084C">
        <w:rPr>
          <w:rStyle w:val="FootnoteReference"/>
          <w:rFonts w:cs="Arial"/>
        </w:rPr>
        <w:footnoteReference w:id="352"/>
      </w:r>
      <w:r w:rsidRPr="00C4084C">
        <w:t xml:space="preserve"> It is important that these benefits are available to all. This will lead to stronger social and economic outcomes for students, as well as Australians as a whole, as students traditionally under</w:t>
      </w:r>
      <w:r w:rsidR="00692568" w:rsidRPr="00C4084C">
        <w:t>-</w:t>
      </w:r>
      <w:r w:rsidRPr="00C4084C">
        <w:t xml:space="preserve">represented at the PhD level leverage their skills to develop new knowledge, driving productivity growth and better outcomes for society, upon their graduation. </w:t>
      </w:r>
    </w:p>
    <w:p w14:paraId="639537F6" w14:textId="3A631E5D" w:rsidR="00703E85" w:rsidRPr="00C4084C" w:rsidRDefault="00703E85" w:rsidP="001B0DD7">
      <w:r w:rsidRPr="00C4084C">
        <w:t xml:space="preserve">In recent years, reforms to research block grants were introduced to incentivise universities to support First Nations students to enrol in and complete HDR degrees. </w:t>
      </w:r>
      <w:r w:rsidR="00375A6F" w:rsidRPr="00C4084C">
        <w:t xml:space="preserve">The average annual growth rate </w:t>
      </w:r>
      <w:r w:rsidR="00123123">
        <w:t xml:space="preserve">of First Nations PhD enrolments </w:t>
      </w:r>
      <w:r w:rsidR="00375A6F" w:rsidRPr="00C4084C">
        <w:t>post implementation is higher than the pre-implementation period. Before the introduction of this policy, the rate was volati</w:t>
      </w:r>
      <w:r w:rsidR="00731969" w:rsidRPr="00C4084C">
        <w:t>le, which could be due to the smaller base number. After its introduction, total enrolments of First Nations PhD students immediately increased by 10.5% from 2016 to 2017 – double the previous annual rate, then started going slowly down (the rate dropped in 2021, likely due to COVID-19)</w:t>
      </w:r>
      <w:r w:rsidRPr="00C4084C">
        <w:t>.</w:t>
      </w:r>
      <w:r w:rsidRPr="00C4084C">
        <w:rPr>
          <w:rStyle w:val="FootnoteReference"/>
          <w:rFonts w:cs="Arial"/>
        </w:rPr>
        <w:footnoteReference w:id="353"/>
      </w:r>
    </w:p>
    <w:p w14:paraId="6E90BD5E" w14:textId="08B9C6B2" w:rsidR="00703E85" w:rsidRPr="00C4084C" w:rsidRDefault="00703E85" w:rsidP="001B0DD7">
      <w:r w:rsidRPr="00C4084C">
        <w:t xml:space="preserve">Despite this, more needs to be done to ensure the future research workforce is truly representative of Australia’s diverse population. As discussed in </w:t>
      </w:r>
      <w:r w:rsidRPr="00C4084C">
        <w:rPr>
          <w:i/>
        </w:rPr>
        <w:fldChar w:fldCharType="begin"/>
      </w:r>
      <w:r w:rsidRPr="00C4084C">
        <w:instrText xml:space="preserve"> REF _Ref151934425 \r \h  \* MERGEFORMAT </w:instrText>
      </w:r>
      <w:r w:rsidRPr="00C4084C">
        <w:rPr>
          <w:i/>
        </w:rPr>
      </w:r>
      <w:r w:rsidRPr="00C4084C">
        <w:rPr>
          <w:i/>
        </w:rPr>
        <w:fldChar w:fldCharType="separate"/>
      </w:r>
      <w:r w:rsidR="00467B4F" w:rsidRPr="00467B4F">
        <w:rPr>
          <w:i/>
          <w:iCs/>
        </w:rPr>
        <w:t xml:space="preserve">Chapter 3 – </w:t>
      </w:r>
      <w:r w:rsidRPr="00C4084C">
        <w:rPr>
          <w:i/>
        </w:rPr>
        <w:fldChar w:fldCharType="end"/>
      </w:r>
      <w:r w:rsidR="008F6F20" w:rsidRPr="00C4084C">
        <w:rPr>
          <w:i/>
          <w:iCs/>
        </w:rPr>
        <w:fldChar w:fldCharType="begin"/>
      </w:r>
      <w:r w:rsidR="008F6F20" w:rsidRPr="00C4084C">
        <w:rPr>
          <w:i/>
          <w:iCs/>
        </w:rPr>
        <w:instrText xml:space="preserve"> REF _Ref151934425 \h  \* MERGEFORMAT </w:instrText>
      </w:r>
      <w:r w:rsidR="008F6F20" w:rsidRPr="00C4084C">
        <w:rPr>
          <w:i/>
          <w:iCs/>
        </w:rPr>
      </w:r>
      <w:r w:rsidR="008F6F20" w:rsidRPr="00C4084C">
        <w:rPr>
          <w:i/>
          <w:iCs/>
        </w:rPr>
        <w:fldChar w:fldCharType="separate"/>
      </w:r>
      <w:r w:rsidR="00467B4F" w:rsidRPr="00467B4F">
        <w:rPr>
          <w:i/>
          <w:iCs/>
        </w:rPr>
        <w:t>Expanding opportunity to all</w:t>
      </w:r>
      <w:r w:rsidR="008F6F20" w:rsidRPr="00C4084C">
        <w:rPr>
          <w:i/>
          <w:iCs/>
        </w:rPr>
        <w:fldChar w:fldCharType="end"/>
      </w:r>
      <w:r w:rsidRPr="00C4084C">
        <w:t>, there is a need to ensure that educationally disadvantaged groups have equal access and opportunity to higher education. This holds true for the PhD cohort, with First Nations students, students with disability, students from low SES backgrounds and regional rural and remote students making up just 1.</w:t>
      </w:r>
      <w:r w:rsidR="00466AA8" w:rsidRPr="00C4084C">
        <w:t>9</w:t>
      </w:r>
      <w:r w:rsidRPr="00C4084C">
        <w:t xml:space="preserve">%, </w:t>
      </w:r>
      <w:r w:rsidR="00466AA8" w:rsidRPr="00C4084C">
        <w:t>8.7</w:t>
      </w:r>
      <w:r w:rsidRPr="00C4084C">
        <w:t xml:space="preserve">%, </w:t>
      </w:r>
      <w:r w:rsidR="00647566" w:rsidRPr="00C4084C">
        <w:t>9.6</w:t>
      </w:r>
      <w:r w:rsidRPr="00C4084C">
        <w:t>% and 1</w:t>
      </w:r>
      <w:r w:rsidR="00647566" w:rsidRPr="00C4084C">
        <w:t>4.9</w:t>
      </w:r>
      <w:r w:rsidRPr="00C4084C">
        <w:t>% of total PhD enrolments respectively.</w:t>
      </w:r>
      <w:r w:rsidRPr="00C4084C">
        <w:rPr>
          <w:vertAlign w:val="superscript"/>
        </w:rPr>
        <w:footnoteReference w:id="354"/>
      </w:r>
      <w:r w:rsidRPr="00C4084C">
        <w:t xml:space="preserve"> Achieving the ambitious targets set out in </w:t>
      </w:r>
      <w:r w:rsidRPr="00C4084C">
        <w:rPr>
          <w:i/>
        </w:rPr>
        <w:fldChar w:fldCharType="begin"/>
      </w:r>
      <w:r w:rsidRPr="00C4084C">
        <w:rPr>
          <w:i/>
        </w:rPr>
        <w:instrText xml:space="preserve"> REF _Ref151934425 \r \h  \* MERGEFORMAT </w:instrText>
      </w:r>
      <w:r w:rsidRPr="00C4084C">
        <w:rPr>
          <w:i/>
        </w:rPr>
      </w:r>
      <w:r w:rsidRPr="00C4084C">
        <w:rPr>
          <w:i/>
        </w:rPr>
        <w:fldChar w:fldCharType="separate"/>
      </w:r>
      <w:r w:rsidR="00467B4F" w:rsidRPr="00467B4F">
        <w:rPr>
          <w:i/>
          <w:iCs/>
        </w:rPr>
        <w:t xml:space="preserve">Chapter 3 – </w:t>
      </w:r>
      <w:r w:rsidRPr="00C4084C">
        <w:rPr>
          <w:i/>
        </w:rPr>
        <w:fldChar w:fldCharType="end"/>
      </w:r>
      <w:r w:rsidRPr="00C4084C">
        <w:rPr>
          <w:i/>
          <w:iCs/>
        </w:rPr>
        <w:t xml:space="preserve"> </w:t>
      </w:r>
      <w:r w:rsidR="008F6F20" w:rsidRPr="00C4084C">
        <w:rPr>
          <w:i/>
          <w:iCs/>
        </w:rPr>
        <w:fldChar w:fldCharType="begin"/>
      </w:r>
      <w:r w:rsidR="008F6F20" w:rsidRPr="00C4084C">
        <w:rPr>
          <w:i/>
          <w:iCs/>
        </w:rPr>
        <w:instrText xml:space="preserve"> REF _Ref151934425 \h  \* MERGEFORMAT </w:instrText>
      </w:r>
      <w:r w:rsidR="008F6F20" w:rsidRPr="00C4084C">
        <w:rPr>
          <w:i/>
          <w:iCs/>
        </w:rPr>
      </w:r>
      <w:r w:rsidR="008F6F20" w:rsidRPr="00C4084C">
        <w:rPr>
          <w:i/>
          <w:iCs/>
        </w:rPr>
        <w:fldChar w:fldCharType="separate"/>
      </w:r>
      <w:r w:rsidR="00467B4F" w:rsidRPr="00467B4F">
        <w:rPr>
          <w:i/>
          <w:iCs/>
        </w:rPr>
        <w:t>Expanding opportunity to all</w:t>
      </w:r>
      <w:r w:rsidR="008F6F20" w:rsidRPr="00C4084C">
        <w:rPr>
          <w:i/>
          <w:iCs/>
        </w:rPr>
        <w:fldChar w:fldCharType="end"/>
      </w:r>
      <w:r w:rsidRPr="00C4084C">
        <w:t xml:space="preserve"> will have a flow on impact to the HDR cohort. This will ensure Australia’s stock of knowledge, in all fields of knowledge production, is representative of all Australians. It will also ensure that the future generation of university teaching staff reflects a growing, and increasingly diverse, student population.</w:t>
      </w:r>
    </w:p>
    <w:p w14:paraId="41BDB9A8" w14:textId="5EE0A224" w:rsidR="00703E85" w:rsidRPr="00C4084C" w:rsidRDefault="00703E85" w:rsidP="001B0DD7">
      <w:r w:rsidRPr="00C4084C">
        <w:t xml:space="preserve">Putting First Nations students at the heart of the higher education </w:t>
      </w:r>
      <w:proofErr w:type="gramStart"/>
      <w:r w:rsidRPr="00C4084C">
        <w:t>system</w:t>
      </w:r>
      <w:r w:rsidR="009C2AAD">
        <w:t>,</w:t>
      </w:r>
      <w:r w:rsidRPr="00C4084C">
        <w:t xml:space="preserve"> and</w:t>
      </w:r>
      <w:proofErr w:type="gramEnd"/>
      <w:r w:rsidRPr="00C4084C">
        <w:t xml:space="preserve"> supporting them to complete HDRs and then go on to become the next generation of researchers, requires more than awareness of the barriers First Nations students face. It requires action. Adequate financial support is one critical element because, when compared to the broader domestic cohort, First Nations students studying at the HDR level are more likely to be from a low </w:t>
      </w:r>
      <w:r w:rsidR="00647566" w:rsidRPr="00C4084C">
        <w:t>SES</w:t>
      </w:r>
      <w:r w:rsidRPr="00C4084C">
        <w:t xml:space="preserve"> background and/or from regional, </w:t>
      </w:r>
      <w:proofErr w:type="gramStart"/>
      <w:r w:rsidRPr="00C4084C">
        <w:t>rural</w:t>
      </w:r>
      <w:proofErr w:type="gramEnd"/>
      <w:r w:rsidRPr="00C4084C">
        <w:t xml:space="preserve"> and remote areas, and many are mature age with caring responsibilities.</w:t>
      </w:r>
      <w:r w:rsidRPr="00C4084C">
        <w:rPr>
          <w:rStyle w:val="FootnoteReference"/>
          <w:rFonts w:cs="Arial"/>
        </w:rPr>
        <w:footnoteReference w:id="355"/>
      </w:r>
      <w:r w:rsidRPr="00C4084C">
        <w:t xml:space="preserve"> </w:t>
      </w:r>
    </w:p>
    <w:p w14:paraId="26883B46" w14:textId="747861CB" w:rsidR="00703E85" w:rsidRPr="00C4084C" w:rsidRDefault="00703E85" w:rsidP="001B0DD7">
      <w:r w:rsidRPr="00C4084C">
        <w:t>It is for this reason that the Review recommends additional scholarships be provided for First Nations students through the RTP</w:t>
      </w:r>
      <w:r w:rsidR="00856722" w:rsidRPr="00C4084C">
        <w:t xml:space="preserve"> (see Recommendation </w:t>
      </w:r>
      <w:r w:rsidR="00B057A0" w:rsidRPr="00C4084C">
        <w:t>26</w:t>
      </w:r>
      <w:r w:rsidR="00856722" w:rsidRPr="00C4084C">
        <w:t>)</w:t>
      </w:r>
      <w:r w:rsidRPr="00C4084C">
        <w:t xml:space="preserve">. This will ensure our First Nations researchers continue to make critical contributions across all disciplines – from astrophysics and </w:t>
      </w:r>
      <w:r w:rsidRPr="00C4084C">
        <w:lastRenderedPageBreak/>
        <w:t>agricultural research to history and law.</w:t>
      </w:r>
      <w:r w:rsidR="0036295C" w:rsidRPr="00C4084C">
        <w:t xml:space="preserve"> The pipeline needs to be further strengthened by increased investment in postdoctoral fellowship opportunities that lead to secure employment.</w:t>
      </w:r>
    </w:p>
    <w:p w14:paraId="3F2CE2D7" w14:textId="50A620AE" w:rsidR="00703E85" w:rsidRPr="00C4084C" w:rsidRDefault="00703E85" w:rsidP="003E5969">
      <w:r w:rsidRPr="00C4084C">
        <w:t>While financial support will be crucial, universities must also ensure that culturally appropriate supervision is provided and that they understand the tensions between university and community commitments that many First Nations students feel.</w:t>
      </w:r>
      <w:r w:rsidRPr="00C4084C">
        <w:rPr>
          <w:rStyle w:val="FootnoteReference"/>
          <w:rFonts w:cs="Arial"/>
        </w:rPr>
        <w:footnoteReference w:id="356"/>
      </w:r>
      <w:r w:rsidRPr="00C4084C">
        <w:t xml:space="preserve"> Growing the pipeline of First Nations researchers </w:t>
      </w:r>
      <w:r w:rsidR="0036295C" w:rsidRPr="00C4084C">
        <w:t>and building the First Nations workforce within the sector</w:t>
      </w:r>
      <w:r w:rsidRPr="00C4084C">
        <w:t xml:space="preserve"> is one way to create a more culturally safe environment for Australia’s First Nations academics, but this will take time and sustained commitment from governments, universities and communities. </w:t>
      </w:r>
    </w:p>
    <w:tbl>
      <w:tblPr>
        <w:tblW w:w="0" w:type="auto"/>
        <w:tblLook w:val="04A0" w:firstRow="1" w:lastRow="0" w:firstColumn="1" w:lastColumn="0" w:noHBand="0" w:noVBand="1"/>
      </w:tblPr>
      <w:tblGrid>
        <w:gridCol w:w="9016"/>
      </w:tblGrid>
      <w:tr w:rsidR="002903BB" w:rsidRPr="00C4084C" w14:paraId="19C6C3F1" w14:textId="77777777" w:rsidTr="00D26B82">
        <w:tc>
          <w:tcPr>
            <w:tcW w:w="9016" w:type="dxa"/>
            <w:tcBorders>
              <w:top w:val="nil"/>
              <w:left w:val="nil"/>
              <w:bottom w:val="nil"/>
              <w:right w:val="nil"/>
            </w:tcBorders>
            <w:shd w:val="clear" w:color="auto" w:fill="FEECDF"/>
          </w:tcPr>
          <w:p w14:paraId="59939045" w14:textId="04116B9F" w:rsidR="00752040" w:rsidRDefault="00752040" w:rsidP="003E5969">
            <w:pPr>
              <w:pStyle w:val="Recheadinginbox"/>
            </w:pPr>
            <w:r w:rsidRPr="00752040">
              <w:t>Recommendation: Producing new knowledge and using research capability</w:t>
            </w:r>
          </w:p>
          <w:p w14:paraId="0CEDB5B7" w14:textId="47566CAA" w:rsidR="002903BB" w:rsidRPr="00C4084C" w:rsidRDefault="002903BB" w:rsidP="003E5969">
            <w:pPr>
              <w:pStyle w:val="Recsin-chapterL1"/>
              <w:framePr w:wrap="notBeside"/>
              <w:spacing w:before="0" w:after="0"/>
            </w:pPr>
            <w:r w:rsidRPr="00C4084C">
              <w:t>That to improve Australia’s research quality, the Australian Government strengthen the fundamentals of the Australian research system by:</w:t>
            </w:r>
          </w:p>
          <w:p w14:paraId="1660F2F1" w14:textId="77777777" w:rsidR="002903BB" w:rsidRPr="00C4084C" w:rsidRDefault="002903BB" w:rsidP="003E5969">
            <w:pPr>
              <w:pStyle w:val="Recsin-chapterL2"/>
              <w:spacing w:before="0" w:beforeAutospacing="0"/>
            </w:pPr>
            <w:r w:rsidRPr="00C4084C">
              <w:t xml:space="preserve">enhancing the ARC’s capacity to support fundamental research by additional investment in its programs with the allocation of the new funding to be advised on by the board of the Australian Research Council  </w:t>
            </w:r>
          </w:p>
          <w:p w14:paraId="2054C9A4" w14:textId="77777777" w:rsidR="002903BB" w:rsidRPr="00C4084C" w:rsidRDefault="002903BB" w:rsidP="003E5969">
            <w:pPr>
              <w:pStyle w:val="Recsin-chapterL2"/>
            </w:pPr>
            <w:r w:rsidRPr="00C4084C">
              <w:t xml:space="preserve">setting a minimum percentage of national competitive grants that run for 5 years or </w:t>
            </w:r>
            <w:proofErr w:type="gramStart"/>
            <w:r w:rsidRPr="00C4084C">
              <w:t>longer</w:t>
            </w:r>
            <w:proofErr w:type="gramEnd"/>
          </w:p>
          <w:p w14:paraId="6FC853FE" w14:textId="77777777" w:rsidR="002903BB" w:rsidRPr="00C4084C" w:rsidRDefault="002903BB" w:rsidP="003E5969">
            <w:pPr>
              <w:pStyle w:val="Recsin-chapterL2"/>
            </w:pPr>
            <w:r w:rsidRPr="00C4084C">
              <w:t>substantially increasing investment in the Research Training Program and improving the attractiveness of the program by raising minimum stipends and making part-time scholarships tax free</w:t>
            </w:r>
          </w:p>
          <w:p w14:paraId="734B390C" w14:textId="77777777" w:rsidR="002903BB" w:rsidRPr="00C4084C" w:rsidRDefault="002903BB" w:rsidP="003E5969">
            <w:pPr>
              <w:pStyle w:val="Recsin-chapterL2"/>
            </w:pPr>
            <w:r w:rsidRPr="00C4084C">
              <w:t xml:space="preserve">providing dedicated PhD scholarships and postdoctoral fellowships for First Nations researchers to support, broaden and grow the pipeline of First Nations researchers at Australian </w:t>
            </w:r>
            <w:proofErr w:type="gramStart"/>
            <w:r w:rsidRPr="00C4084C">
              <w:t>universities</w:t>
            </w:r>
            <w:proofErr w:type="gramEnd"/>
          </w:p>
          <w:p w14:paraId="27D87247" w14:textId="494CA700" w:rsidR="002903BB" w:rsidRPr="00C4084C" w:rsidRDefault="002903BB" w:rsidP="003E5969">
            <w:pPr>
              <w:pStyle w:val="Recsin-chapterL2"/>
            </w:pPr>
            <w:r w:rsidRPr="00C4084C">
              <w:t xml:space="preserve">ensuring that training in entrepreneurial, business, teaching and leadership skills </w:t>
            </w:r>
            <w:r w:rsidR="00573851">
              <w:t>is</w:t>
            </w:r>
            <w:r w:rsidR="00573851" w:rsidRPr="00C4084C">
              <w:t xml:space="preserve"> </w:t>
            </w:r>
            <w:r w:rsidRPr="00C4084C">
              <w:t xml:space="preserve">offered through additional qualifications in parallel with research training in preparation for careers beyond </w:t>
            </w:r>
            <w:proofErr w:type="gramStart"/>
            <w:r w:rsidRPr="00C4084C">
              <w:t>academia</w:t>
            </w:r>
            <w:proofErr w:type="gramEnd"/>
          </w:p>
          <w:p w14:paraId="35A4DD71" w14:textId="0D7DA711" w:rsidR="002903BB" w:rsidRPr="00C4084C" w:rsidRDefault="002903BB" w:rsidP="003E5969">
            <w:pPr>
              <w:pStyle w:val="Recsin-chapterL2"/>
            </w:pPr>
            <w:r w:rsidRPr="00C4084C">
              <w:t>requiring the Australian Tertiary Education Commission, with advice from the ARC and industry peak bodies,</w:t>
            </w:r>
            <w:r w:rsidR="00BE621B">
              <w:t xml:space="preserve"> to</w:t>
            </w:r>
            <w:r w:rsidRPr="00C4084C">
              <w:t xml:space="preserve"> develop a National Research Workforce Development Strategy by the end of 2026. This strategy should capture research career pathways, including higher degree by research (HDR) graduate employment pathways. It also should support national research workforce planning and facilitate pathways for HDR students into and out of </w:t>
            </w:r>
            <w:proofErr w:type="gramStart"/>
            <w:r w:rsidRPr="00C4084C">
              <w:t>universities</w:t>
            </w:r>
            <w:proofErr w:type="gramEnd"/>
          </w:p>
          <w:p w14:paraId="10D0151D" w14:textId="77777777" w:rsidR="002903BB" w:rsidRPr="00C4084C" w:rsidDel="00882244" w:rsidRDefault="002903BB" w:rsidP="003E5969">
            <w:pPr>
              <w:pStyle w:val="Recsin-chapterL2"/>
            </w:pPr>
            <w:r w:rsidRPr="00C4084C">
              <w:t>providing stable and predictable ongoing funding for the National Collaborative Research Infrastructure Strategy (NCRIS).</w:t>
            </w:r>
          </w:p>
        </w:tc>
      </w:tr>
    </w:tbl>
    <w:p w14:paraId="6DA9D3B5" w14:textId="77777777" w:rsidR="002903BB" w:rsidRPr="00C4084C" w:rsidRDefault="002903BB" w:rsidP="001B0DD7">
      <w:pPr>
        <w:spacing w:after="0"/>
        <w:rPr>
          <w:rStyle w:val="normaltextrun"/>
        </w:rPr>
      </w:pPr>
    </w:p>
    <w:tbl>
      <w:tblPr>
        <w:tblW w:w="0" w:type="auto"/>
        <w:tblLook w:val="04A0" w:firstRow="1" w:lastRow="0" w:firstColumn="1" w:lastColumn="0" w:noHBand="0" w:noVBand="1"/>
      </w:tblPr>
      <w:tblGrid>
        <w:gridCol w:w="9016"/>
      </w:tblGrid>
      <w:tr w:rsidR="00DA4232" w:rsidRPr="00C4084C" w14:paraId="1A44F2F3" w14:textId="77777777" w:rsidTr="00D26B82">
        <w:tc>
          <w:tcPr>
            <w:tcW w:w="9016" w:type="dxa"/>
            <w:tcBorders>
              <w:top w:val="nil"/>
              <w:left w:val="nil"/>
              <w:bottom w:val="nil"/>
              <w:right w:val="nil"/>
            </w:tcBorders>
            <w:shd w:val="clear" w:color="auto" w:fill="FEECDF"/>
          </w:tcPr>
          <w:p w14:paraId="34D65B10" w14:textId="3D0FC183" w:rsidR="00954299" w:rsidRPr="00954299" w:rsidRDefault="00954299" w:rsidP="00954299">
            <w:pPr>
              <w:pStyle w:val="Recheadinginbox"/>
              <w:framePr w:wrap="notBeside" w:vAnchor="text" w:hAnchor="text" w:y="1"/>
            </w:pPr>
            <w:r w:rsidRPr="00752040">
              <w:lastRenderedPageBreak/>
              <w:t>Recommendation: Producing new knowledge and using research capability</w:t>
            </w:r>
          </w:p>
          <w:p w14:paraId="080A9D65" w14:textId="06603B7A" w:rsidR="00DA4232" w:rsidRPr="00C4084C" w:rsidDel="00882244" w:rsidRDefault="00DA4232" w:rsidP="003E5969">
            <w:pPr>
              <w:pStyle w:val="Recsin-chapterL1"/>
              <w:framePr w:wrap="notBeside"/>
              <w:spacing w:before="0"/>
              <w:rPr>
                <w:rFonts w:ascii="Calibri" w:eastAsiaTheme="majorEastAsia" w:hAnsi="Calibri" w:cs="Calibri"/>
                <w:b/>
                <w:bCs/>
                <w:color w:val="00254A" w:themeColor="text2"/>
                <w:sz w:val="32"/>
                <w:szCs w:val="32"/>
              </w:rPr>
            </w:pPr>
            <w:r w:rsidRPr="00C4084C">
              <w:t>That to advance the Australian Government’s focus on the importance of research into First Nations knowledges and the need to make sustained progress on closing the gap in outcomes for First Nations people, the Australian Government elevate First Nations knowledge, knowledge systems and Closing the Gap through First Nations Leadership to the National Science and Research Priorities, implementing a framework that ensures First Nations-led research, First Nations leadership and capacity building, self-determination, and impactful, transformative outcomes.</w:t>
            </w:r>
          </w:p>
        </w:tc>
      </w:tr>
    </w:tbl>
    <w:p w14:paraId="1B164898" w14:textId="77777777" w:rsidR="00703E85" w:rsidRPr="00C4084C" w:rsidRDefault="00703E85" w:rsidP="00703E85">
      <w:pPr>
        <w:pStyle w:val="Heading3"/>
      </w:pPr>
      <w:bookmarkStart w:id="982" w:name="_Toc159500980"/>
      <w:r w:rsidRPr="00C4084C">
        <w:t xml:space="preserve">More needs to be done to fund the full economic cost of </w:t>
      </w:r>
      <w:proofErr w:type="gramStart"/>
      <w:r w:rsidRPr="00C4084C">
        <w:t>research</w:t>
      </w:r>
      <w:bookmarkEnd w:id="982"/>
      <w:proofErr w:type="gramEnd"/>
    </w:p>
    <w:p w14:paraId="40EBACE3" w14:textId="1F5F8D65" w:rsidR="00703E85" w:rsidRPr="00C4084C" w:rsidRDefault="00703E85" w:rsidP="004406D4">
      <w:r w:rsidRPr="00C4084C">
        <w:t xml:space="preserve">As mentioned above, university research is funded from a variety of sources (see </w:t>
      </w:r>
      <w:r w:rsidR="00777DC9" w:rsidRPr="00C4084C">
        <w:fldChar w:fldCharType="begin"/>
      </w:r>
      <w:r w:rsidR="00777DC9" w:rsidRPr="00C4084C">
        <w:instrText xml:space="preserve"> REF _Ref153803504 \h </w:instrText>
      </w:r>
      <w:r w:rsidR="006A74FB">
        <w:instrText xml:space="preserve"> \* MERGEFORMAT </w:instrText>
      </w:r>
      <w:r w:rsidR="00777DC9" w:rsidRPr="00C4084C">
        <w:fldChar w:fldCharType="separate"/>
      </w:r>
      <w:r w:rsidR="00467B4F" w:rsidRPr="00C4084C">
        <w:t xml:space="preserve">Figure </w:t>
      </w:r>
      <w:r w:rsidR="00467B4F">
        <w:rPr>
          <w:noProof/>
        </w:rPr>
        <w:t>33</w:t>
      </w:r>
      <w:r w:rsidR="00777DC9" w:rsidRPr="00C4084C">
        <w:fldChar w:fldCharType="end"/>
      </w:r>
      <w:r w:rsidRPr="00C4084C">
        <w:t xml:space="preserve">), with universities providing </w:t>
      </w:r>
      <w:proofErr w:type="gramStart"/>
      <w:r w:rsidRPr="00C4084C">
        <w:t>the majority of</w:t>
      </w:r>
      <w:proofErr w:type="gramEnd"/>
      <w:r w:rsidRPr="00C4084C">
        <w:t xml:space="preserve"> research investment from their General University Funds (53% in 2020). Australian Competitive Funds and research block grants comprise $</w:t>
      </w:r>
      <w:r w:rsidR="009E5527" w:rsidRPr="00C4084C">
        <w:t>2.1 billion (2021)</w:t>
      </w:r>
      <w:r w:rsidRPr="00C4084C">
        <w:t xml:space="preserve"> and $</w:t>
      </w:r>
      <w:r w:rsidR="009E5527" w:rsidRPr="00C4084C">
        <w:t>2.0 billion (2022) respectively,</w:t>
      </w:r>
      <w:r w:rsidRPr="00C4084C">
        <w:t xml:space="preserve"> provided by the Government.</w:t>
      </w:r>
      <w:r w:rsidR="00B506D8" w:rsidRPr="00C4084C">
        <w:rPr>
          <w:rStyle w:val="FootnoteReference"/>
        </w:rPr>
        <w:footnoteReference w:id="357"/>
      </w:r>
      <w:r w:rsidRPr="00C4084C">
        <w:t xml:space="preserve"> Other sources </w:t>
      </w:r>
      <w:r w:rsidR="00B506D8" w:rsidRPr="00C4084C">
        <w:t>include s</w:t>
      </w:r>
      <w:r w:rsidRPr="00C4084C">
        <w:t xml:space="preserve">tate and </w:t>
      </w:r>
      <w:r w:rsidR="00B506D8" w:rsidRPr="00C4084C">
        <w:t>t</w:t>
      </w:r>
      <w:r w:rsidRPr="00C4084C">
        <w:t xml:space="preserve">erritory governments, </w:t>
      </w:r>
      <w:r w:rsidR="00455370">
        <w:t xml:space="preserve">and </w:t>
      </w:r>
      <w:r w:rsidRPr="00C4084C">
        <w:t>industry, overseas and philanthropic sources.</w:t>
      </w:r>
    </w:p>
    <w:p w14:paraId="2C5446C0" w14:textId="6579A4F7" w:rsidR="00703E85" w:rsidRPr="00C4084C" w:rsidRDefault="00703E85" w:rsidP="004406D4">
      <w:r w:rsidRPr="00C4084C">
        <w:t>Government funding is generally given in the form of research block grants or as project funding through Australian Competitive Grant</w:t>
      </w:r>
      <w:r w:rsidR="00B506D8" w:rsidRPr="00C4084C">
        <w:t>s</w:t>
      </w:r>
      <w:r w:rsidRPr="00C4084C">
        <w:t>. Australian competitive grants do not cover the full costs (both direct and indirect) of the projects they fund. This leads to the so-called ‘full-funding’ problem for universities – the more successful they are at winning ‘grants’ from government schemes, the more they must co-invest from their own funds. These co-investments register in the General University Funds. This phenomenon is known in the U</w:t>
      </w:r>
      <w:r w:rsidR="00B506D8" w:rsidRPr="00C4084C">
        <w:t xml:space="preserve">nited </w:t>
      </w:r>
      <w:r w:rsidRPr="00C4084C">
        <w:t>K</w:t>
      </w:r>
      <w:r w:rsidR="00B506D8" w:rsidRPr="00C4084C">
        <w:t>ingdom</w:t>
      </w:r>
      <w:r w:rsidRPr="00C4084C">
        <w:t xml:space="preserve"> as ‘the burden of full funding’</w:t>
      </w:r>
      <w:r w:rsidR="00455370">
        <w:t>.</w:t>
      </w:r>
      <w:r w:rsidRPr="00C4084C">
        <w:rPr>
          <w:rStyle w:val="FootnoteReference"/>
          <w:rFonts w:cs="Arial"/>
        </w:rPr>
        <w:footnoteReference w:id="358"/>
      </w:r>
    </w:p>
    <w:p w14:paraId="382AF5C3" w14:textId="264B093C" w:rsidR="00703E85" w:rsidRPr="00D26B82" w:rsidRDefault="00703E85" w:rsidP="00703E85">
      <w:pPr>
        <w:pStyle w:val="Caption"/>
        <w:rPr>
          <w:b/>
          <w:bCs/>
          <w:sz w:val="24"/>
          <w:szCs w:val="24"/>
        </w:rPr>
      </w:pPr>
      <w:bookmarkStart w:id="985" w:name="_Ref153803504"/>
      <w:bookmarkStart w:id="986" w:name="_Toc154674795"/>
      <w:r w:rsidRPr="00D26B82">
        <w:rPr>
          <w:b/>
          <w:bCs/>
          <w:sz w:val="24"/>
          <w:szCs w:val="24"/>
        </w:rPr>
        <w:lastRenderedPageBreak/>
        <w:t xml:space="preserve">Figure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33</w:t>
      </w:r>
      <w:r w:rsidRPr="00D26B82">
        <w:rPr>
          <w:b/>
          <w:bCs/>
          <w:sz w:val="24"/>
          <w:szCs w:val="24"/>
        </w:rPr>
        <w:fldChar w:fldCharType="end"/>
      </w:r>
      <w:bookmarkEnd w:id="985"/>
      <w:r w:rsidRPr="00D26B82">
        <w:rPr>
          <w:rFonts w:eastAsia="Arial"/>
          <w:b/>
          <w:bCs/>
          <w:sz w:val="24"/>
          <w:szCs w:val="24"/>
        </w:rPr>
        <w:t xml:space="preserve">: </w:t>
      </w:r>
      <w:r w:rsidRPr="00D26B82">
        <w:rPr>
          <w:b/>
          <w:bCs/>
          <w:sz w:val="24"/>
          <w:szCs w:val="24"/>
        </w:rPr>
        <w:t>Higher Education Expenditure on R&amp;D (HERD) by source of funds</w:t>
      </w:r>
      <w:r w:rsidR="0044243C" w:rsidRPr="00D26B82">
        <w:rPr>
          <w:b/>
          <w:bCs/>
          <w:sz w:val="24"/>
          <w:szCs w:val="24"/>
        </w:rPr>
        <w:t xml:space="preserve"> ($ billions), 1994 to 2020</w:t>
      </w:r>
      <w:r w:rsidRPr="00D26B82">
        <w:rPr>
          <w:b/>
          <w:bCs/>
          <w:sz w:val="24"/>
          <w:szCs w:val="24"/>
        </w:rPr>
        <w:t>.</w:t>
      </w:r>
      <w:bookmarkEnd w:id="986"/>
    </w:p>
    <w:p w14:paraId="7429C1FA" w14:textId="3D04340D" w:rsidR="006A65B4" w:rsidRDefault="006A65B4" w:rsidP="008C4411">
      <w:pPr>
        <w:pStyle w:val="Source"/>
      </w:pPr>
      <w:r>
        <w:rPr>
          <w:noProof/>
        </w:rPr>
        <w:drawing>
          <wp:inline distT="0" distB="0" distL="0" distR="0" wp14:anchorId="5F2B383D" wp14:editId="0C03EC6B">
            <wp:extent cx="5694501" cy="2275367"/>
            <wp:effectExtent l="0" t="0" r="0" b="0"/>
            <wp:docPr id="946738359" name="Graphic 33" descr="A line and bar graph showing Higher Education Expenditure on R&amp;D (HERD) by source of funds from 1994 to 2020. General University Funds (GUF) as a percentage of HERD trends downwards from 63.72% in 1994 to 53.17% in 2020. All other sources of funding for HERD (which includes other sources of research funding, state and local government funding and business funding, but does not include GUF) increased their proportion as a to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738359" name="Graphic 33" descr="A line and bar graph showing Higher Education Expenditure on R&amp;D (HERD) by source of funds from 1994 to 2020. General University Funds (GUF) as a percentage of HERD trends downwards from 63.72% in 1994 to 53.17% in 2020. All other sources of funding for HERD (which includes other sources of research funding, state and local government funding and business funding, but does not include GUF) increased their proportion as a total."/>
                    <pic:cNvPicPr/>
                  </pic:nvPicPr>
                  <pic:blipFill>
                    <a:blip r:embed="rId134">
                      <a:extLst>
                        <a:ext uri="{28A0092B-C50C-407E-A947-70E740481C1C}">
                          <a14:useLocalDpi xmlns:a14="http://schemas.microsoft.com/office/drawing/2010/main" val="0"/>
                        </a:ext>
                        <a:ext uri="{96DAC541-7B7A-43D3-8B79-37D633B846F1}">
                          <asvg:svgBlip xmlns:asvg="http://schemas.microsoft.com/office/drawing/2016/SVG/main" r:embed="rId135"/>
                        </a:ext>
                      </a:extLst>
                    </a:blip>
                    <a:stretch>
                      <a:fillRect/>
                    </a:stretch>
                  </pic:blipFill>
                  <pic:spPr>
                    <a:xfrm>
                      <a:off x="0" y="0"/>
                      <a:ext cx="5700162" cy="2277629"/>
                    </a:xfrm>
                    <a:prstGeom prst="rect">
                      <a:avLst/>
                    </a:prstGeom>
                  </pic:spPr>
                </pic:pic>
              </a:graphicData>
            </a:graphic>
          </wp:inline>
        </w:drawing>
      </w:r>
    </w:p>
    <w:p w14:paraId="2D66F0D5" w14:textId="77D9A8B3" w:rsidR="00AA46D5" w:rsidRPr="00C4084C" w:rsidRDefault="00FD772A" w:rsidP="008C4411">
      <w:pPr>
        <w:pStyle w:val="Source"/>
      </w:pPr>
      <w:r w:rsidRPr="00C4084C">
        <w:t>Source: Australian Bureau of Statistics</w:t>
      </w:r>
      <w:r w:rsidRPr="00C4084C">
        <w:rPr>
          <w:i/>
          <w:iCs/>
        </w:rPr>
        <w:t>, Research and Experiment Development</w:t>
      </w:r>
      <w:r w:rsidRPr="00C4084C">
        <w:rPr>
          <w:i/>
        </w:rPr>
        <w:t>, Higher Education Organisations</w:t>
      </w:r>
      <w:r w:rsidRPr="00C4084C">
        <w:t xml:space="preserve"> [data set], various years, (Canberra: 2023).</w:t>
      </w:r>
    </w:p>
    <w:p w14:paraId="404BD712" w14:textId="77777777" w:rsidR="00703E85" w:rsidRPr="00C4084C" w:rsidRDefault="00703E85" w:rsidP="00302041">
      <w:r w:rsidRPr="00C4084C">
        <w:t xml:space="preserve">The research block grant was originally introduced through the Research Quantum in the early 1990s, partly to address this issue. Over time it has morphed into the block grant known as the Research Support Program (RSP). There is considerable flexibility as to how it can be spent, but it is less focused on partial matching to national competitive grants than it was in its original form. Although block grants are an important source of funding for Australian university research, their growth has not kept pace with competitive income growth. Universities have responded by investing from their own general university funds, but this comes at the cost of other strategic agendas within universities.  </w:t>
      </w:r>
    </w:p>
    <w:p w14:paraId="3886A0A3" w14:textId="7AB8C0C0" w:rsidR="00703E85" w:rsidRPr="00C4084C" w:rsidRDefault="00703E85" w:rsidP="00302041">
      <w:r w:rsidRPr="00C4084C">
        <w:t xml:space="preserve">While </w:t>
      </w:r>
      <w:r w:rsidR="00AA46D5" w:rsidRPr="00C4084C">
        <w:t>the</w:t>
      </w:r>
      <w:r w:rsidRPr="00C4084C">
        <w:t xml:space="preserve"> issue </w:t>
      </w:r>
      <w:r w:rsidR="00AA46D5" w:rsidRPr="00C4084C">
        <w:t xml:space="preserve">of research support funding structures </w:t>
      </w:r>
      <w:r w:rsidRPr="00C4084C">
        <w:t>was briefly ameliorated by a COVID-related one-off $1</w:t>
      </w:r>
      <w:r w:rsidR="00AA46D5" w:rsidRPr="00C4084C">
        <w:t>.0</w:t>
      </w:r>
      <w:r w:rsidRPr="00C4084C">
        <w:t xml:space="preserve"> billion payment to the RSP in 2021, </w:t>
      </w:r>
      <w:r w:rsidR="00AA46D5" w:rsidRPr="00C4084C">
        <w:t xml:space="preserve">recent competitive grant </w:t>
      </w:r>
      <w:r w:rsidR="002C7F5C" w:rsidRPr="00C4084C">
        <w:t>developments</w:t>
      </w:r>
      <w:r w:rsidR="00AA46D5" w:rsidRPr="00C4084C">
        <w:t xml:space="preserve"> have underscored </w:t>
      </w:r>
      <w:r w:rsidR="002C7F5C">
        <w:t>the problem</w:t>
      </w:r>
      <w:r w:rsidR="00AA46D5" w:rsidRPr="00C4084C">
        <w:t>. For example, the establishment</w:t>
      </w:r>
      <w:r w:rsidRPr="00C4084C">
        <w:t xml:space="preserve"> of the Medical Research Future Fund (MRFF)</w:t>
      </w:r>
      <w:r w:rsidR="002C7F5C">
        <w:t>,</w:t>
      </w:r>
      <w:r w:rsidRPr="00C4084C">
        <w:t xml:space="preserve"> </w:t>
      </w:r>
      <w:r w:rsidR="00AA46D5" w:rsidRPr="00C4084C">
        <w:t xml:space="preserve">which </w:t>
      </w:r>
      <w:r w:rsidR="002C7F5C">
        <w:t>built up</w:t>
      </w:r>
      <w:r w:rsidRPr="00C4084C">
        <w:t xml:space="preserve"> its funding from $0 in 2017 to $340 million in 2021</w:t>
      </w:r>
      <w:r w:rsidR="00764902" w:rsidRPr="00C4084C">
        <w:t xml:space="preserve"> (see </w:t>
      </w:r>
      <w:r w:rsidR="00764902" w:rsidRPr="00C4084C">
        <w:fldChar w:fldCharType="begin"/>
      </w:r>
      <w:r w:rsidR="00764902" w:rsidRPr="00C4084C">
        <w:instrText xml:space="preserve"> REF _Ref153803794 \h </w:instrText>
      </w:r>
      <w:r w:rsidR="006A74FB">
        <w:instrText xml:space="preserve"> \* MERGEFORMAT </w:instrText>
      </w:r>
      <w:r w:rsidR="00764902" w:rsidRPr="00C4084C">
        <w:fldChar w:fldCharType="separate"/>
      </w:r>
      <w:r w:rsidR="00467B4F" w:rsidRPr="00C4084C">
        <w:t xml:space="preserve">Figure </w:t>
      </w:r>
      <w:r w:rsidR="00467B4F">
        <w:rPr>
          <w:noProof/>
        </w:rPr>
        <w:t>34</w:t>
      </w:r>
      <w:r w:rsidR="00764902" w:rsidRPr="00C4084C">
        <w:fldChar w:fldCharType="end"/>
      </w:r>
      <w:r w:rsidR="00764902" w:rsidRPr="00C4084C">
        <w:t>)</w:t>
      </w:r>
      <w:r w:rsidRPr="00C4084C">
        <w:t>, has weakened the underlying research support structure.</w:t>
      </w:r>
      <w:r w:rsidRPr="00C4084C">
        <w:rPr>
          <w:rStyle w:val="FootnoteReference"/>
          <w:rFonts w:cs="Arial"/>
        </w:rPr>
        <w:footnoteReference w:id="359"/>
      </w:r>
      <w:r w:rsidRPr="00C4084C">
        <w:t xml:space="preserve"> Because the block grant pool is fixed, and is driven by a formula based on research income, the inclusion of each new tranche of MRFF funding dilutes the block grant dividend for all universities, with the result that other universities effectively subsidise the universities in receipt of the grants. While the Review welcomes the addition of MRFF funding, which has been a positive development for the entire research system, it notes that </w:t>
      </w:r>
      <w:r w:rsidR="00B71CA7" w:rsidRPr="00C4084C">
        <w:t>it exacerbates</w:t>
      </w:r>
      <w:r w:rsidRPr="00C4084C">
        <w:t xml:space="preserve"> the </w:t>
      </w:r>
      <w:r w:rsidR="00B71CA7" w:rsidRPr="00C4084C">
        <w:t>indirect cost support problem</w:t>
      </w:r>
      <w:r w:rsidRPr="00C4084C">
        <w:t xml:space="preserve">. </w:t>
      </w:r>
    </w:p>
    <w:p w14:paraId="1FCD518D" w14:textId="6200F551" w:rsidR="00703E85" w:rsidRPr="00D26B82" w:rsidRDefault="00703E85" w:rsidP="00703E85">
      <w:pPr>
        <w:pStyle w:val="Caption"/>
        <w:rPr>
          <w:b/>
          <w:bCs/>
          <w:sz w:val="24"/>
          <w:szCs w:val="24"/>
        </w:rPr>
      </w:pPr>
      <w:bookmarkStart w:id="987" w:name="_Ref153803794"/>
      <w:bookmarkStart w:id="988" w:name="_Toc154674796"/>
      <w:r w:rsidRPr="00D26B82">
        <w:rPr>
          <w:b/>
          <w:bCs/>
          <w:sz w:val="24"/>
          <w:szCs w:val="24"/>
        </w:rPr>
        <w:lastRenderedPageBreak/>
        <w:t xml:space="preserve">Figure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34</w:t>
      </w:r>
      <w:r w:rsidRPr="00D26B82">
        <w:rPr>
          <w:b/>
          <w:bCs/>
          <w:sz w:val="24"/>
          <w:szCs w:val="24"/>
        </w:rPr>
        <w:fldChar w:fldCharType="end"/>
      </w:r>
      <w:bookmarkEnd w:id="987"/>
      <w:r w:rsidRPr="00D26B82">
        <w:rPr>
          <w:b/>
          <w:bCs/>
          <w:sz w:val="24"/>
          <w:szCs w:val="24"/>
        </w:rPr>
        <w:t xml:space="preserve">: Competitive research income </w:t>
      </w:r>
      <w:r w:rsidR="00C7352C" w:rsidRPr="00D26B82">
        <w:rPr>
          <w:b/>
          <w:bCs/>
          <w:sz w:val="24"/>
          <w:szCs w:val="24"/>
        </w:rPr>
        <w:t>($ billions) by</w:t>
      </w:r>
      <w:r w:rsidRPr="00D26B82">
        <w:rPr>
          <w:b/>
          <w:bCs/>
          <w:sz w:val="24"/>
          <w:szCs w:val="24"/>
        </w:rPr>
        <w:t xml:space="preserve"> </w:t>
      </w:r>
      <w:r w:rsidR="00C7352C" w:rsidRPr="00D26B82">
        <w:rPr>
          <w:b/>
          <w:bCs/>
          <w:sz w:val="24"/>
          <w:szCs w:val="24"/>
        </w:rPr>
        <w:t>sub-category, 2017 to 2021.</w:t>
      </w:r>
      <w:bookmarkEnd w:id="988"/>
    </w:p>
    <w:p w14:paraId="3C47A4AC" w14:textId="479CBF81" w:rsidR="006A65B4" w:rsidRDefault="006A65B4" w:rsidP="00703E85">
      <w:pPr>
        <w:pStyle w:val="Source"/>
      </w:pPr>
      <w:r>
        <w:rPr>
          <w:noProof/>
        </w:rPr>
        <w:drawing>
          <wp:inline distT="0" distB="0" distL="0" distR="0" wp14:anchorId="10D30671" wp14:editId="0C71E8C8">
            <wp:extent cx="5614671" cy="2243469"/>
            <wp:effectExtent l="0" t="0" r="0" b="0"/>
            <wp:docPr id="2061461837" name="Graphic 34" descr="A bar graph showing competitive research income by sub-category from 2017 to 2021. Medical Research Future Fund grows significantly from 2017 to 2021, representing a significant majority of the growth in total competitive research income in this period.  Other competitive research income sources have had subdued levels of grow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461837" name="Graphic 34" descr="A bar graph showing competitive research income by sub-category from 2017 to 2021. Medical Research Future Fund grows significantly from 2017 to 2021, representing a significant majority of the growth in total competitive research income in this period.  Other competitive research income sources have had subdued levels of growth. "/>
                    <pic:cNvPicPr/>
                  </pic:nvPicPr>
                  <pic:blipFill>
                    <a:blip r:embed="rId136">
                      <a:extLst>
                        <a:ext uri="{28A0092B-C50C-407E-A947-70E740481C1C}">
                          <a14:useLocalDpi xmlns:a14="http://schemas.microsoft.com/office/drawing/2010/main" val="0"/>
                        </a:ext>
                        <a:ext uri="{96DAC541-7B7A-43D3-8B79-37D633B846F1}">
                          <asvg:svgBlip xmlns:asvg="http://schemas.microsoft.com/office/drawing/2016/SVG/main" r:embed="rId137"/>
                        </a:ext>
                      </a:extLst>
                    </a:blip>
                    <a:stretch>
                      <a:fillRect/>
                    </a:stretch>
                  </pic:blipFill>
                  <pic:spPr>
                    <a:xfrm>
                      <a:off x="0" y="0"/>
                      <a:ext cx="5625360" cy="2247740"/>
                    </a:xfrm>
                    <a:prstGeom prst="rect">
                      <a:avLst/>
                    </a:prstGeom>
                  </pic:spPr>
                </pic:pic>
              </a:graphicData>
            </a:graphic>
          </wp:inline>
        </w:drawing>
      </w:r>
    </w:p>
    <w:p w14:paraId="7BB1163E" w14:textId="4236682F" w:rsidR="00703E85" w:rsidRPr="00C4084C" w:rsidRDefault="00703E85" w:rsidP="00703E85">
      <w:pPr>
        <w:pStyle w:val="Source"/>
      </w:pPr>
      <w:r w:rsidRPr="00C4084C">
        <w:t xml:space="preserve">Source: Department of Education, </w:t>
      </w:r>
      <w:r w:rsidR="00C7352C" w:rsidRPr="00C4084C">
        <w:rPr>
          <w:i/>
          <w:iCs/>
        </w:rPr>
        <w:t>Consolidated Time Series Datasets</w:t>
      </w:r>
      <w:r w:rsidRPr="00C4084C">
        <w:t xml:space="preserve"> </w:t>
      </w:r>
      <w:r w:rsidR="0020625C" w:rsidRPr="00C4084C">
        <w:t xml:space="preserve">– </w:t>
      </w:r>
      <w:r w:rsidR="0020625C" w:rsidRPr="00C4084C">
        <w:rPr>
          <w:i/>
        </w:rPr>
        <w:t>Research Income Time Series and Research Block Grant Allocations</w:t>
      </w:r>
      <w:r w:rsidR="0020625C" w:rsidRPr="00C4084C">
        <w:t xml:space="preserve"> </w:t>
      </w:r>
      <w:r w:rsidRPr="00C4084C">
        <w:t>[data set], (Canberra: 2023), https://www.education.gov.au/research-block-grants/consolidated-time-series-data.</w:t>
      </w:r>
    </w:p>
    <w:p w14:paraId="53AF44AE" w14:textId="3DF9C502" w:rsidR="00703E85" w:rsidRPr="00C4084C" w:rsidRDefault="00703E85" w:rsidP="00302041">
      <w:pPr>
        <w:rPr>
          <w:rStyle w:val="normaltextrun"/>
          <w:rFonts w:cs="Arial"/>
          <w:color w:val="000000"/>
          <w:sz w:val="20"/>
          <w:shd w:val="clear" w:color="auto" w:fill="FFFFFF"/>
        </w:rPr>
      </w:pPr>
      <w:r w:rsidRPr="00C4084C">
        <w:t xml:space="preserve">Another issue is that the full costs of research are not always covered in commissioned contract research, because some universities undertake such research at rates below its full economic cost, and the inclusion of industry funding in block grant calculations creates pressure on universities to do so. While university pricing strategies </w:t>
      </w:r>
      <w:r w:rsidR="0020625C" w:rsidRPr="00C4084C">
        <w:t>are</w:t>
      </w:r>
      <w:r w:rsidRPr="00C4084C">
        <w:t xml:space="preserve"> an operating decision for each university, and </w:t>
      </w:r>
      <w:r w:rsidRPr="00C4084C">
        <w:rPr>
          <w:rStyle w:val="normaltextrun"/>
          <w:rFonts w:cs="Arial"/>
          <w:color w:val="000000"/>
          <w:shd w:val="clear" w:color="auto" w:fill="FFFFFF"/>
        </w:rPr>
        <w:t xml:space="preserve">alternative pricing approaches can be legitimate in areas of strategic interest, undertaking research at below full cost leaves a deficit that must be funded from elsewhere. </w:t>
      </w:r>
      <w:r w:rsidRPr="00C4084C">
        <w:t>In the case of both competitive and contract research, the balance must be met by university funds.</w:t>
      </w:r>
      <w:r w:rsidRPr="00C4084C" w:rsidDel="00C30924">
        <w:t xml:space="preserve"> </w:t>
      </w:r>
    </w:p>
    <w:p w14:paraId="05EAA04E" w14:textId="2AA1D376" w:rsidR="00703E85" w:rsidRPr="00C4084C" w:rsidRDefault="00703E85" w:rsidP="00302041">
      <w:r w:rsidRPr="00C4084C">
        <w:t xml:space="preserve">As </w:t>
      </w:r>
      <w:r w:rsidR="0099081C" w:rsidRPr="00C4084C">
        <w:fldChar w:fldCharType="begin"/>
      </w:r>
      <w:r w:rsidR="0099081C" w:rsidRPr="00C4084C">
        <w:instrText xml:space="preserve"> REF _Ref153803504 \h </w:instrText>
      </w:r>
      <w:r w:rsidR="0062386A">
        <w:instrText xml:space="preserve"> \* MERGEFORMAT </w:instrText>
      </w:r>
      <w:r w:rsidR="0099081C" w:rsidRPr="00C4084C">
        <w:fldChar w:fldCharType="separate"/>
      </w:r>
      <w:r w:rsidR="00467B4F" w:rsidRPr="00C4084C">
        <w:t xml:space="preserve">Figure </w:t>
      </w:r>
      <w:r w:rsidR="00467B4F">
        <w:rPr>
          <w:noProof/>
        </w:rPr>
        <w:t>33</w:t>
      </w:r>
      <w:r w:rsidR="0099081C" w:rsidRPr="00C4084C">
        <w:fldChar w:fldCharType="end"/>
      </w:r>
      <w:r w:rsidR="0099081C" w:rsidRPr="00C4084C">
        <w:t xml:space="preserve"> </w:t>
      </w:r>
      <w:r w:rsidRPr="00C4084C">
        <w:t xml:space="preserve">shows, over the past 30 years, universities have substantially invested their own discretionary funds </w:t>
      </w:r>
      <w:r w:rsidR="00EF4D27">
        <w:t>(</w:t>
      </w:r>
      <w:r w:rsidR="0020625C" w:rsidRPr="00C4084C">
        <w:t>GUF</w:t>
      </w:r>
      <w:r w:rsidR="00EF4D27">
        <w:t>)</w:t>
      </w:r>
      <w:r w:rsidRPr="00C4084C">
        <w:t xml:space="preserve"> into their R&amp;D efforts. GUF has largely matched the expansion of HERD in that period, with only a minor decrease more recently. As HERD has become a bigger proportion of GERD over this same period, </w:t>
      </w:r>
      <w:proofErr w:type="gramStart"/>
      <w:r w:rsidRPr="00C4084C">
        <w:t>it is clear that GUF</w:t>
      </w:r>
      <w:proofErr w:type="gramEnd"/>
      <w:r w:rsidRPr="00C4084C">
        <w:t xml:space="preserve"> is an increasingly vital component of our nation’s research system. </w:t>
      </w:r>
      <w:proofErr w:type="gramStart"/>
      <w:r w:rsidRPr="00C4084C">
        <w:t>That is to say, Australian</w:t>
      </w:r>
      <w:proofErr w:type="gramEnd"/>
      <w:r w:rsidRPr="00C4084C">
        <w:t xml:space="preserve"> university investment in research – funded predominantly by international students – is one of the </w:t>
      </w:r>
      <w:r w:rsidR="0020625C" w:rsidRPr="00C4084C">
        <w:t>largest</w:t>
      </w:r>
      <w:r w:rsidRPr="00C4084C">
        <w:t xml:space="preserve"> contributions to national research funding. </w:t>
      </w:r>
    </w:p>
    <w:p w14:paraId="151482B1" w14:textId="77777777" w:rsidR="00703E85" w:rsidRPr="00C4084C" w:rsidRDefault="00703E85" w:rsidP="00302041">
      <w:r w:rsidRPr="00C4084C">
        <w:t xml:space="preserve">The ongoing investment by universities in R&amp;D reflects the importance Australian universities place on producing new knowledge and innovation, be it new research reflecting institutional strategic priorities or cooperative research with external partners. Current funding arrangements provide universities with autonomy to make strategic decisions aligned with their unique missions and priorities about how they spend their own internal funds. This can have broader benefits, as many universities’ priorities are linked to what is most beneficial to their local, </w:t>
      </w:r>
      <w:proofErr w:type="gramStart"/>
      <w:r w:rsidRPr="00C4084C">
        <w:t>national</w:t>
      </w:r>
      <w:proofErr w:type="gramEnd"/>
      <w:r w:rsidRPr="00C4084C">
        <w:t xml:space="preserve"> and global communities. </w:t>
      </w:r>
    </w:p>
    <w:p w14:paraId="4EE6762C" w14:textId="77777777" w:rsidR="00703E85" w:rsidRPr="00C4084C" w:rsidRDefault="00703E85" w:rsidP="00302041">
      <w:r w:rsidRPr="00C4084C">
        <w:t>While there are advantages in current arrangements, there are also risks. With such a large quantum of Australian universities’ research expenditure coming from universities’ own funding sources (i.e. international fee revenues), Australia’s strategic R&amp;D capacity is at risk in the event of a major global event or other funding shock. Such volatility can jeopardise the long-term strategic research programs of universities, given that a research project expenditure timeframe can be significantly longer than a project’s initial revenue stream. This is a particular concern for the long-term resilience of Australia’s university research system.</w:t>
      </w:r>
    </w:p>
    <w:p w14:paraId="7A5066D3" w14:textId="5F6001D2" w:rsidR="00703E85" w:rsidRPr="00C4084C" w:rsidRDefault="00703E85" w:rsidP="00BA6095">
      <w:pPr>
        <w:pStyle w:val="Heading4"/>
      </w:pPr>
      <w:bookmarkStart w:id="989" w:name="_Toc159500981"/>
      <w:r w:rsidRPr="00C4084C">
        <w:lastRenderedPageBreak/>
        <w:t xml:space="preserve">Pathway towards increased indirect cost support for nationally competitive research </w:t>
      </w:r>
      <w:proofErr w:type="gramStart"/>
      <w:r w:rsidRPr="00C4084C">
        <w:t>grants</w:t>
      </w:r>
      <w:bookmarkEnd w:id="989"/>
      <w:proofErr w:type="gramEnd"/>
    </w:p>
    <w:p w14:paraId="79859B9E" w14:textId="1052D837" w:rsidR="00703E85" w:rsidRPr="00C4084C" w:rsidRDefault="00703E85" w:rsidP="00302041">
      <w:r w:rsidRPr="00C4084C">
        <w:t xml:space="preserve">There is a particular need for a </w:t>
      </w:r>
      <w:r w:rsidR="00863762">
        <w:t xml:space="preserve">transparent </w:t>
      </w:r>
      <w:r w:rsidRPr="00C4084C">
        <w:t xml:space="preserve">pathway towards increased indirect cost support for national competitive research grants to help support the resilience of the university research system. </w:t>
      </w:r>
    </w:p>
    <w:p w14:paraId="15AFFD0E" w14:textId="77777777" w:rsidR="00703E85" w:rsidRPr="00C4084C" w:rsidRDefault="00703E85" w:rsidP="00302041">
      <w:r w:rsidRPr="00C4084C">
        <w:t>In the case of Australian Competitive Research Grants (ACRGs), any pathway for supporting the indirect costs should incorporate the following:</w:t>
      </w:r>
    </w:p>
    <w:p w14:paraId="1B8BB0EB" w14:textId="038B7114" w:rsidR="00703E85" w:rsidRPr="00C4084C" w:rsidRDefault="00703E85" w:rsidP="00703E85">
      <w:pPr>
        <w:pStyle w:val="ListBullet"/>
      </w:pPr>
      <w:r w:rsidRPr="00C4084C">
        <w:t>transparency in what is provided for in ACRGs. A future publicly funded research system should be transparent upfront about the indirect costs that are to be funded as well as the direct costs. This would give universities certainty and assist with their overall budgeting process and their institutional decision-making about the need for and extent of any co-investment. A similar approach to transparency of publicly funded research for fixed indirect cost support applies in the US for federal research grants.</w:t>
      </w:r>
    </w:p>
    <w:p w14:paraId="590EEF00" w14:textId="7A1FEF81" w:rsidR="00703E85" w:rsidRPr="00C4084C" w:rsidRDefault="00703E85" w:rsidP="00703E85">
      <w:pPr>
        <w:pStyle w:val="ListBullet"/>
      </w:pPr>
      <w:r w:rsidRPr="00C4084C">
        <w:t xml:space="preserve">a constant rate for indirect costs to be provided by the Australian Government. The impracticalities and administrative burden of different funding rates, varying between fields of research and universities, is not beneficial for the research </w:t>
      </w:r>
      <w:proofErr w:type="gramStart"/>
      <w:r w:rsidRPr="00C4084C">
        <w:t>system</w:t>
      </w:r>
      <w:r w:rsidR="0020625C" w:rsidRPr="00C4084C">
        <w:t xml:space="preserve"> as a whole</w:t>
      </w:r>
      <w:proofErr w:type="gramEnd"/>
      <w:r w:rsidRPr="00C4084C">
        <w:t xml:space="preserve">. A transparent constant indirect support rate will provide for an equitable competitive environment between universities and allow universities to determine </w:t>
      </w:r>
      <w:proofErr w:type="gramStart"/>
      <w:r w:rsidRPr="00C4084C">
        <w:t>if and when</w:t>
      </w:r>
      <w:proofErr w:type="gramEnd"/>
      <w:r w:rsidRPr="00C4084C">
        <w:t xml:space="preserve"> co-investment may be needed.</w:t>
      </w:r>
    </w:p>
    <w:p w14:paraId="2CF3C5B7" w14:textId="69D0B6BB" w:rsidR="00703E85" w:rsidRPr="00C4084C" w:rsidRDefault="00703E85" w:rsidP="00703E85">
      <w:pPr>
        <w:pStyle w:val="ListBullet"/>
      </w:pPr>
      <w:r w:rsidRPr="00C4084C">
        <w:t xml:space="preserve">an indirect cost mechanism that </w:t>
      </w:r>
      <w:r w:rsidR="0036295C" w:rsidRPr="00C4084C">
        <w:t>can</w:t>
      </w:r>
      <w:r w:rsidRPr="00C4084C">
        <w:t xml:space="preserve"> respond to changes in the quantum of ACRGs. It is important that a mature publicly funded research grant system incorporates a funding principle that indirect costs of research must be factored into the system to accompany any direct research investment expansion.</w:t>
      </w:r>
    </w:p>
    <w:p w14:paraId="1EF4DAD8" w14:textId="1D3A2871" w:rsidR="00703E85" w:rsidRPr="00C4084C" w:rsidRDefault="00703E85" w:rsidP="00302041">
      <w:r w:rsidRPr="00C4084C">
        <w:t xml:space="preserve">With the </w:t>
      </w:r>
      <w:r w:rsidR="0020625C" w:rsidRPr="00C4084C">
        <w:t xml:space="preserve">recommended </w:t>
      </w:r>
      <w:r w:rsidRPr="00C4084C">
        <w:t xml:space="preserve">establishment of the </w:t>
      </w:r>
      <w:r w:rsidR="0020625C" w:rsidRPr="00C4084C">
        <w:t>Solving Australian Challenges Strategic Fund</w:t>
      </w:r>
      <w:r w:rsidRPr="00C4084C">
        <w:t xml:space="preserve"> and its use of engagement metrics as proposed in section </w:t>
      </w:r>
      <w:r w:rsidR="003E742B" w:rsidRPr="00C4084C">
        <w:fldChar w:fldCharType="begin"/>
      </w:r>
      <w:r w:rsidR="003E742B" w:rsidRPr="00C4084C">
        <w:instrText xml:space="preserve"> REF _Ref153794573 \r \h </w:instrText>
      </w:r>
      <w:r w:rsidR="003107AC">
        <w:instrText xml:space="preserve"> \* MERGEFORMAT </w:instrText>
      </w:r>
      <w:r w:rsidR="003E742B" w:rsidRPr="00C4084C">
        <w:fldChar w:fldCharType="separate"/>
      </w:r>
      <w:r w:rsidR="00467B4F">
        <w:t xml:space="preserve">5.4.2 </w:t>
      </w:r>
      <w:r w:rsidR="003E742B" w:rsidRPr="00C4084C">
        <w:fldChar w:fldCharType="end"/>
      </w:r>
      <w:r w:rsidRPr="00C4084C">
        <w:t xml:space="preserve">, the opportunity should be seized for a complete reshaping of research block grants. Instead of the Research Support Program being used for general support for the university research system, </w:t>
      </w:r>
      <w:r w:rsidR="0020625C" w:rsidRPr="00C4084C">
        <w:t xml:space="preserve">the Review recommends </w:t>
      </w:r>
      <w:r w:rsidRPr="00C4084C">
        <w:t>it should explicitly be designated for indirect cost support for ACRGs, working towards the transparent provision of the full economic cost of research</w:t>
      </w:r>
      <w:r w:rsidR="00B16093" w:rsidRPr="00C4084C">
        <w:t xml:space="preserve"> (see Recommendation 28)</w:t>
      </w:r>
      <w:r w:rsidRPr="00C4084C">
        <w:t>.</w:t>
      </w:r>
    </w:p>
    <w:p w14:paraId="327C5062" w14:textId="77777777" w:rsidR="00703E85" w:rsidRPr="00C4084C" w:rsidRDefault="00703E85" w:rsidP="00302041">
      <w:r w:rsidRPr="00C4084C">
        <w:t xml:space="preserve">As an interim measure, the Australian Government should provide an indirect cost support rate for all ACRGs of 50 cents per direct research dollar awarded by 2030. This target rate should then be examined by the Commission to ensure it is still fit for purpose, and subsequently re-examined every 5 years. </w:t>
      </w:r>
    </w:p>
    <w:p w14:paraId="6624971E" w14:textId="553D7419" w:rsidR="00703E85" w:rsidRPr="00C4084C" w:rsidRDefault="00703E85" w:rsidP="00302041">
      <w:r w:rsidRPr="00C4084C">
        <w:t>The initial recommended rate of 50 cents is not as high as the support applying to federal grant research in the US (5</w:t>
      </w:r>
      <w:r w:rsidR="0020625C" w:rsidRPr="00C4084C">
        <w:t>5</w:t>
      </w:r>
      <w:r w:rsidRPr="00C4084C">
        <w:t xml:space="preserve"> cents per direct dollar in 201</w:t>
      </w:r>
      <w:r w:rsidR="0020625C" w:rsidRPr="00C4084C">
        <w:t>7</w:t>
      </w:r>
      <w:r w:rsidRPr="00C4084C">
        <w:t>)</w:t>
      </w:r>
      <w:r w:rsidR="0094516F" w:rsidRPr="00C4084C">
        <w:rPr>
          <w:rStyle w:val="FootnoteReference"/>
        </w:rPr>
        <w:footnoteReference w:id="360"/>
      </w:r>
      <w:r w:rsidRPr="00C4084C">
        <w:t xml:space="preserve"> but it is broadly accepted across all parts of the research sector as a reasonable medium-term target while working towards a full-cost model that sustainably, transparently and fairly prices the cost of </w:t>
      </w:r>
      <w:proofErr w:type="gramStart"/>
      <w:r w:rsidRPr="00C4084C">
        <w:t>high</w:t>
      </w:r>
      <w:r w:rsidR="007F624A">
        <w:t xml:space="preserve"> </w:t>
      </w:r>
      <w:r w:rsidRPr="00C4084C">
        <w:t>quality</w:t>
      </w:r>
      <w:proofErr w:type="gramEnd"/>
      <w:r w:rsidRPr="00C4084C">
        <w:t xml:space="preserve"> research. The combination of transparency and meaningful indirect cost support is intended to bring confidence in public research funding settings, allowing universities to strategically co-invest in ACRGs long-term.</w:t>
      </w:r>
    </w:p>
    <w:p w14:paraId="24C639BC" w14:textId="77777777" w:rsidR="00703E85" w:rsidRPr="00C4084C" w:rsidRDefault="00703E85" w:rsidP="00302041">
      <w:r w:rsidRPr="00C4084C">
        <w:lastRenderedPageBreak/>
        <w:t xml:space="preserve">For contract research, universities should incorporate the expected full economic cost of research into their pricing strategies, and end users such as industry and government should pay this rate.  </w:t>
      </w:r>
    </w:p>
    <w:p w14:paraId="4AA9CC85" w14:textId="6587AC22" w:rsidR="00703E85" w:rsidRPr="00C4084C" w:rsidRDefault="00703E85" w:rsidP="003E5969">
      <w:r w:rsidRPr="00C4084C">
        <w:t xml:space="preserve">Further details about how this may change the research funding landscape can be found in </w:t>
      </w:r>
      <w:r w:rsidRPr="00302041">
        <w:rPr>
          <w:i/>
          <w:iCs/>
        </w:rPr>
        <w:fldChar w:fldCharType="begin"/>
      </w:r>
      <w:r w:rsidRPr="00302041">
        <w:rPr>
          <w:i/>
          <w:iCs/>
        </w:rPr>
        <w:instrText xml:space="preserve"> REF _Ref152704174 \r \h  \* MERGEFORMAT </w:instrText>
      </w:r>
      <w:r w:rsidRPr="00302041">
        <w:rPr>
          <w:i/>
          <w:iCs/>
        </w:rPr>
      </w:r>
      <w:r w:rsidRPr="00302041">
        <w:rPr>
          <w:i/>
          <w:iCs/>
        </w:rPr>
        <w:fldChar w:fldCharType="separate"/>
      </w:r>
      <w:r w:rsidR="00467B4F" w:rsidRPr="00302041">
        <w:rPr>
          <w:i/>
          <w:iCs/>
        </w:rPr>
        <w:t xml:space="preserve">Chapter 8 – </w:t>
      </w:r>
      <w:r w:rsidRPr="00302041">
        <w:rPr>
          <w:i/>
          <w:iCs/>
        </w:rPr>
        <w:fldChar w:fldCharType="end"/>
      </w:r>
      <w:r w:rsidRPr="00302041">
        <w:rPr>
          <w:i/>
          <w:iCs/>
        </w:rPr>
        <w:fldChar w:fldCharType="begin"/>
      </w:r>
      <w:r w:rsidRPr="00302041">
        <w:rPr>
          <w:i/>
          <w:iCs/>
        </w:rPr>
        <w:instrText xml:space="preserve"> REF _Ref152711117 \h  \* MERGEFORMAT </w:instrText>
      </w:r>
      <w:r w:rsidRPr="00302041">
        <w:rPr>
          <w:i/>
          <w:iCs/>
        </w:rPr>
      </w:r>
      <w:r w:rsidRPr="00302041">
        <w:rPr>
          <w:i/>
          <w:iCs/>
        </w:rPr>
        <w:fldChar w:fldCharType="separate"/>
      </w:r>
      <w:r w:rsidR="00467B4F" w:rsidRPr="00302041">
        <w:rPr>
          <w:i/>
          <w:iCs/>
        </w:rPr>
        <w:t>A new funding model to underpin growth and quality</w:t>
      </w:r>
      <w:r w:rsidRPr="00302041">
        <w:rPr>
          <w:i/>
          <w:iCs/>
        </w:rPr>
        <w:fldChar w:fldCharType="end"/>
      </w:r>
      <w:r w:rsidRPr="00302041">
        <w:t xml:space="preserve">. </w:t>
      </w:r>
    </w:p>
    <w:tbl>
      <w:tblPr>
        <w:tblW w:w="0" w:type="auto"/>
        <w:shd w:val="clear" w:color="auto" w:fill="FBE4D5"/>
        <w:tblLook w:val="04A0" w:firstRow="1" w:lastRow="0" w:firstColumn="1" w:lastColumn="0" w:noHBand="0" w:noVBand="1"/>
      </w:tblPr>
      <w:tblGrid>
        <w:gridCol w:w="9026"/>
      </w:tblGrid>
      <w:tr w:rsidR="007A735D" w:rsidRPr="00C4084C" w14:paraId="17016384" w14:textId="77777777" w:rsidTr="00D26B82">
        <w:tc>
          <w:tcPr>
            <w:tcW w:w="9026" w:type="dxa"/>
            <w:shd w:val="clear" w:color="auto" w:fill="FEECDF"/>
          </w:tcPr>
          <w:p w14:paraId="211CCC0A" w14:textId="672063AE" w:rsidR="00752040" w:rsidRPr="00752040" w:rsidRDefault="00752040" w:rsidP="003E5969">
            <w:pPr>
              <w:pStyle w:val="Recheadinginbox"/>
            </w:pPr>
            <w:r w:rsidRPr="00752040">
              <w:t>Recommendation: Producing new knowledge and using research capability</w:t>
            </w:r>
          </w:p>
          <w:p w14:paraId="67EA0424" w14:textId="62D85AB5" w:rsidR="007A735D" w:rsidRPr="00C4084C" w:rsidRDefault="007A735D" w:rsidP="003E5969">
            <w:pPr>
              <w:pStyle w:val="Recsin-chapterL1"/>
              <w:framePr w:wrap="notBeside"/>
              <w:spacing w:before="0" w:after="0"/>
            </w:pPr>
            <w:r w:rsidRPr="00C4084C">
              <w:t>That to develop a pathway to fund the full economic cost of university research:</w:t>
            </w:r>
          </w:p>
          <w:p w14:paraId="17ADCF8B" w14:textId="77777777" w:rsidR="007A735D" w:rsidRPr="00C4084C" w:rsidRDefault="007A735D" w:rsidP="003E5969">
            <w:pPr>
              <w:pStyle w:val="Recsin-chapterL2"/>
              <w:spacing w:before="0" w:beforeAutospacing="0"/>
            </w:pPr>
            <w:r w:rsidRPr="00C4084C">
              <w:t xml:space="preserve">universities charge, and governments and industry pay, full market rates for commissioned and contract research and </w:t>
            </w:r>
            <w:proofErr w:type="gramStart"/>
            <w:r w:rsidRPr="00C4084C">
              <w:t>consulting</w:t>
            </w:r>
            <w:proofErr w:type="gramEnd"/>
          </w:p>
          <w:p w14:paraId="01FFC1A5" w14:textId="77777777" w:rsidR="007A735D" w:rsidRPr="00C4084C" w:rsidRDefault="007A735D" w:rsidP="003E5969">
            <w:pPr>
              <w:pStyle w:val="Recsin-chapterL2"/>
            </w:pPr>
            <w:r w:rsidRPr="00C4084C">
              <w:t>the Australian Government provide transparency and significant material support for national competitive schemes, amending the Research Support Program to provide explicit indirect cost support tied to national competitive grant schemes by:</w:t>
            </w:r>
          </w:p>
          <w:p w14:paraId="4BB4889E" w14:textId="77777777" w:rsidR="007A735D" w:rsidRPr="00C4084C" w:rsidRDefault="007A735D" w:rsidP="003E5969">
            <w:pPr>
              <w:pStyle w:val="Recsin-chapterL3"/>
            </w:pPr>
            <w:r w:rsidRPr="00C4084C">
              <w:t xml:space="preserve">setting a base for indirect costs, increasing over time to a target of </w:t>
            </w:r>
            <w:r w:rsidRPr="00C4084C" w:rsidDel="00743DF2">
              <w:t>50</w:t>
            </w:r>
            <w:r w:rsidRPr="00C4084C">
              <w:t xml:space="preserve">%. This target should be reviewed by the Australian Tertiary Education Commission on a 5-yearly basis for </w:t>
            </w:r>
            <w:proofErr w:type="gramStart"/>
            <w:r w:rsidRPr="00C4084C">
              <w:t>suitability</w:t>
            </w:r>
            <w:proofErr w:type="gramEnd"/>
          </w:p>
          <w:p w14:paraId="67E9FFA6" w14:textId="77777777" w:rsidR="007A735D" w:rsidRPr="00C4084C" w:rsidDel="00882244" w:rsidRDefault="007A735D" w:rsidP="003E5969">
            <w:pPr>
              <w:pStyle w:val="Recsin-chapterL3"/>
            </w:pPr>
            <w:r w:rsidRPr="00C4084C">
              <w:t>changing Australian Research Council (and other national competitive grant) funding rules to ensure grants deemed fundable are funded with the fixed indirect cost support rate amount.</w:t>
            </w:r>
          </w:p>
        </w:tc>
      </w:tr>
    </w:tbl>
    <w:p w14:paraId="28CD8D5D" w14:textId="77777777" w:rsidR="00703E85" w:rsidRPr="00C4084C" w:rsidRDefault="00703E85" w:rsidP="00703E85">
      <w:pPr>
        <w:pStyle w:val="Heading3"/>
      </w:pPr>
      <w:bookmarkStart w:id="990" w:name="_Toc159500982"/>
      <w:r w:rsidRPr="00C4084C">
        <w:t>Keeping Australian research quality high</w:t>
      </w:r>
      <w:bookmarkEnd w:id="990"/>
    </w:p>
    <w:p w14:paraId="70B4FDC0" w14:textId="05089477" w:rsidR="00703E85" w:rsidRPr="00C4084C" w:rsidRDefault="00703E85" w:rsidP="00302041">
      <w:r w:rsidRPr="00C4084C">
        <w:t>The evaluation of publicly funded research is essential to</w:t>
      </w:r>
      <w:r w:rsidRPr="00C4084C" w:rsidDel="00B02959">
        <w:t xml:space="preserve"> </w:t>
      </w:r>
      <w:r w:rsidRPr="00C4084C">
        <w:t>demonstrate value for money. Evaluation results help guide national research priorities and research funding policymaking and drive continuous quality improvement by researchers.</w:t>
      </w:r>
    </w:p>
    <w:p w14:paraId="6A77AE33" w14:textId="77777777" w:rsidR="00703E85" w:rsidRPr="00C4084C" w:rsidRDefault="00703E85" w:rsidP="00302041">
      <w:r w:rsidRPr="00C4084C">
        <w:t>Research evaluation needs robust and transparent measures that go beyond traditional measures of research excellence to include both quality and impact and these can be defined as follows:</w:t>
      </w:r>
    </w:p>
    <w:p w14:paraId="0C62D9AF" w14:textId="77777777" w:rsidR="00703E85" w:rsidRPr="00C4084C" w:rsidRDefault="00703E85" w:rsidP="00703E85">
      <w:pPr>
        <w:pStyle w:val="ListBullet"/>
      </w:pPr>
      <w:r w:rsidRPr="00C4084C">
        <w:t xml:space="preserve">research excellence: The production of high-quality research that contributes to the creation of new knowledge and thinking, complexity of thinking, breakthroughs in understanding of challenging concepts and the transcendence of </w:t>
      </w:r>
      <w:proofErr w:type="gramStart"/>
      <w:r w:rsidRPr="00C4084C">
        <w:t>boundaries</w:t>
      </w:r>
      <w:proofErr w:type="gramEnd"/>
    </w:p>
    <w:p w14:paraId="4745CB6A" w14:textId="77777777" w:rsidR="00703E85" w:rsidRPr="00C4084C" w:rsidRDefault="00703E85" w:rsidP="00703E85">
      <w:pPr>
        <w:pStyle w:val="ListBullet"/>
      </w:pPr>
      <w:r w:rsidRPr="00C4084C">
        <w:t xml:space="preserve">research quality: The rigour that research goes through. High-quality research should be transparent, reproducible, adhere to the necessary reporting and supervision standards, and adopt appropriate methods, measurements, data analysis and research </w:t>
      </w:r>
      <w:proofErr w:type="gramStart"/>
      <w:r w:rsidRPr="00C4084C">
        <w:t>design</w:t>
      </w:r>
      <w:proofErr w:type="gramEnd"/>
    </w:p>
    <w:p w14:paraId="5B998E3A" w14:textId="5B2E30F8" w:rsidR="00703E85" w:rsidRPr="00C4084C" w:rsidRDefault="00703E85" w:rsidP="00703E85">
      <w:pPr>
        <w:pStyle w:val="ListBullet"/>
      </w:pPr>
      <w:r w:rsidRPr="00C4084C">
        <w:t xml:space="preserve">research impact: The benefits of research to society, including economic, social, </w:t>
      </w:r>
      <w:proofErr w:type="gramStart"/>
      <w:r w:rsidRPr="00C4084C">
        <w:t>environmental</w:t>
      </w:r>
      <w:proofErr w:type="gramEnd"/>
      <w:r w:rsidRPr="00C4084C">
        <w:t xml:space="preserve"> and other benefits.</w:t>
      </w:r>
      <w:r w:rsidRPr="00C4084C">
        <w:rPr>
          <w:rStyle w:val="FootnoteReference"/>
          <w:rFonts w:cs="Arial"/>
        </w:rPr>
        <w:footnoteReference w:id="361"/>
      </w:r>
    </w:p>
    <w:p w14:paraId="2CF2366A" w14:textId="7DBB6A90" w:rsidR="00703E85" w:rsidRPr="00C4084C" w:rsidRDefault="004930BD" w:rsidP="00302041">
      <w:r w:rsidRPr="00C4084C">
        <w:t xml:space="preserve">The Review recommends that </w:t>
      </w:r>
      <w:r w:rsidR="00703E85" w:rsidRPr="00C4084C">
        <w:t xml:space="preserve">Australia invest in a new methodology to evaluate research, tailored to meet the needs of key stakeholders, including government, </w:t>
      </w:r>
      <w:proofErr w:type="gramStart"/>
      <w:r w:rsidR="00703E85" w:rsidRPr="00C4084C">
        <w:t>industry</w:t>
      </w:r>
      <w:proofErr w:type="gramEnd"/>
      <w:r w:rsidR="00703E85" w:rsidRPr="00C4084C">
        <w:t xml:space="preserve"> and the university sector. </w:t>
      </w:r>
    </w:p>
    <w:p w14:paraId="631E5733" w14:textId="77777777" w:rsidR="00703E85" w:rsidRPr="00C4084C" w:rsidRDefault="00703E85" w:rsidP="00BA6095">
      <w:pPr>
        <w:pStyle w:val="Heading4"/>
      </w:pPr>
      <w:bookmarkStart w:id="991" w:name="_Toc159500983"/>
      <w:r w:rsidRPr="00C4084C">
        <w:lastRenderedPageBreak/>
        <w:t>Improving research evaluation and data collection</w:t>
      </w:r>
      <w:bookmarkEnd w:id="991"/>
      <w:r w:rsidRPr="00C4084C">
        <w:t xml:space="preserve"> </w:t>
      </w:r>
    </w:p>
    <w:p w14:paraId="1E041F70" w14:textId="77777777" w:rsidR="00703E85" w:rsidRPr="00C4084C" w:rsidRDefault="00703E85" w:rsidP="00703E85">
      <w:pPr>
        <w:pStyle w:val="Heading5"/>
        <w:rPr>
          <w:rFonts w:cs="Arial"/>
        </w:rPr>
      </w:pPr>
      <w:r w:rsidRPr="00C4084C">
        <w:rPr>
          <w:rFonts w:cs="Arial"/>
        </w:rPr>
        <w:t>Research quality</w:t>
      </w:r>
    </w:p>
    <w:p w14:paraId="1F36D259" w14:textId="77777777" w:rsidR="00703E85" w:rsidRPr="00C4084C" w:rsidRDefault="00703E85" w:rsidP="00302041">
      <w:r w:rsidRPr="00C4084C">
        <w:t xml:space="preserve">Australia requires a national research evaluation framework that includes an assessment of research quality. This should be supported by improved data and information collection processes. </w:t>
      </w:r>
    </w:p>
    <w:p w14:paraId="15305ED3" w14:textId="77777777" w:rsidR="00703E85" w:rsidRPr="00C4084C" w:rsidRDefault="00703E85" w:rsidP="00302041">
      <w:r w:rsidRPr="00C4084C">
        <w:t xml:space="preserve">Since 2010, research quality in Australian universities has been assessed through the Excellence in Research for Australia (ERA) framework. </w:t>
      </w:r>
    </w:p>
    <w:tbl>
      <w:tblPr>
        <w:tblW w:w="9072" w:type="dxa"/>
        <w:shd w:val="clear" w:color="auto" w:fill="DAF2EF"/>
        <w:tblLook w:val="04A0" w:firstRow="1" w:lastRow="0" w:firstColumn="1" w:lastColumn="0" w:noHBand="0" w:noVBand="1"/>
      </w:tblPr>
      <w:tblGrid>
        <w:gridCol w:w="9072"/>
      </w:tblGrid>
      <w:tr w:rsidR="00703E85" w:rsidRPr="00C4084C" w14:paraId="2D18BE3E" w14:textId="77777777" w:rsidTr="00D26B82">
        <w:tc>
          <w:tcPr>
            <w:tcW w:w="9072" w:type="dxa"/>
            <w:shd w:val="clear" w:color="auto" w:fill="E3DAEA"/>
          </w:tcPr>
          <w:p w14:paraId="7BB28ADB" w14:textId="19F40030" w:rsidR="00703E85" w:rsidRPr="00C4084C" w:rsidRDefault="00703E85">
            <w:pPr>
              <w:pStyle w:val="Boxtitlessubheadings"/>
            </w:pPr>
            <w:r w:rsidRPr="00C4084C">
              <w:t>E</w:t>
            </w:r>
            <w:r w:rsidR="00EA1E36" w:rsidRPr="00C4084C">
              <w:t>xcellence in Research for Australia</w:t>
            </w:r>
            <w:r w:rsidRPr="00C4084C">
              <w:t xml:space="preserve"> Objectives</w:t>
            </w:r>
          </w:p>
          <w:p w14:paraId="0B85FB55" w14:textId="77777777" w:rsidR="00703E85" w:rsidRPr="00C4084C" w:rsidRDefault="00703E85" w:rsidP="00FB44F8">
            <w:pPr>
              <w:pStyle w:val="List"/>
              <w:numPr>
                <w:ilvl w:val="0"/>
                <w:numId w:val="21"/>
              </w:numPr>
              <w:tabs>
                <w:tab w:val="clear" w:pos="397"/>
                <w:tab w:val="num" w:pos="600"/>
              </w:tabs>
              <w:ind w:left="458" w:right="108" w:hanging="350"/>
            </w:pPr>
            <w:r w:rsidRPr="00C4084C">
              <w:t>Provide a national stocktake of discipline-level areas of research strength and areas where there is opportunity for development in Australia’s higher education institutions.</w:t>
            </w:r>
          </w:p>
          <w:p w14:paraId="2E07A474" w14:textId="77777777" w:rsidR="00703E85" w:rsidRPr="00C4084C" w:rsidRDefault="00703E85">
            <w:pPr>
              <w:pStyle w:val="List"/>
              <w:tabs>
                <w:tab w:val="clear" w:pos="397"/>
                <w:tab w:val="num" w:pos="600"/>
              </w:tabs>
              <w:ind w:left="458" w:right="108" w:hanging="350"/>
            </w:pPr>
            <w:r w:rsidRPr="00C4084C">
              <w:t>Identify excellence across the full spectrum of research performance.</w:t>
            </w:r>
          </w:p>
          <w:p w14:paraId="763CAEEF" w14:textId="77777777" w:rsidR="00703E85" w:rsidRPr="00C4084C" w:rsidRDefault="00703E85">
            <w:pPr>
              <w:pStyle w:val="List"/>
              <w:tabs>
                <w:tab w:val="clear" w:pos="397"/>
                <w:tab w:val="num" w:pos="600"/>
              </w:tabs>
              <w:ind w:left="458" w:right="108" w:hanging="350"/>
            </w:pPr>
            <w:r w:rsidRPr="00C4084C">
              <w:t>Identify emerging research areas and opportunities for further development.</w:t>
            </w:r>
          </w:p>
          <w:p w14:paraId="110FFAE4" w14:textId="77777777" w:rsidR="00703E85" w:rsidRPr="00C4084C" w:rsidRDefault="00703E85">
            <w:pPr>
              <w:pStyle w:val="List"/>
              <w:tabs>
                <w:tab w:val="clear" w:pos="397"/>
                <w:tab w:val="num" w:pos="600"/>
              </w:tabs>
              <w:ind w:left="458" w:right="108" w:hanging="350"/>
            </w:pPr>
            <w:r w:rsidRPr="00C4084C">
              <w:t>Allow for comparisons of Australia’s research nationally and internationally for all discipline areas.</w:t>
            </w:r>
            <w:r w:rsidRPr="00C4084C">
              <w:rPr>
                <w:rStyle w:val="FootnoteReference"/>
              </w:rPr>
              <w:footnoteReference w:id="362"/>
            </w:r>
          </w:p>
        </w:tc>
      </w:tr>
    </w:tbl>
    <w:p w14:paraId="294719F4" w14:textId="520A8781" w:rsidR="00703E85" w:rsidRPr="00C4084C" w:rsidRDefault="00703E85" w:rsidP="00302041">
      <w:r w:rsidRPr="00C4084C">
        <w:t xml:space="preserve">The first round of ERA was conducted in 2010, followed by assessments in 2012, 2015 and 2018. The indicator to measure university research quality steadily increased across the 4 rounds of assessment, from </w:t>
      </w:r>
      <w:r w:rsidR="00EA1E36" w:rsidRPr="00C4084C">
        <w:t xml:space="preserve">approximately </w:t>
      </w:r>
      <w:r w:rsidRPr="00C4084C">
        <w:t>6</w:t>
      </w:r>
      <w:r w:rsidR="00EA1E36" w:rsidRPr="00C4084C">
        <w:t>5</w:t>
      </w:r>
      <w:r w:rsidRPr="00C4084C">
        <w:t>% of Australian university research in ERA 2010 being rated ‘at world standard’ or ‘above world standard’ to 9</w:t>
      </w:r>
      <w:r w:rsidR="00EA1E36" w:rsidRPr="00C4084C">
        <w:t>2</w:t>
      </w:r>
      <w:r w:rsidRPr="00C4084C">
        <w:t>% of university research receiving these ratings in 2018.</w:t>
      </w:r>
      <w:r w:rsidRPr="00C4084C">
        <w:rPr>
          <w:rStyle w:val="FootnoteReference"/>
          <w:rFonts w:eastAsia="Arial" w:cs="Arial"/>
        </w:rPr>
        <w:footnoteReference w:id="363"/>
      </w:r>
      <w:r w:rsidRPr="00C4084C">
        <w:t xml:space="preserve">  </w:t>
      </w:r>
    </w:p>
    <w:p w14:paraId="27BB7FC8" w14:textId="77777777" w:rsidR="00703E85" w:rsidRPr="00C4084C" w:rsidRDefault="00703E85" w:rsidP="00302041">
      <w:r w:rsidRPr="00C4084C">
        <w:t xml:space="preserve">Although quality assessment provides a feedback loop that ensures continuous quality improvement, it relies heavily on peer review, </w:t>
      </w:r>
      <w:proofErr w:type="gramStart"/>
      <w:r w:rsidRPr="00C4084C">
        <w:t>benchmarking</w:t>
      </w:r>
      <w:proofErr w:type="gramEnd"/>
      <w:r w:rsidRPr="00C4084C">
        <w:t xml:space="preserve"> and rating of fields of research, processes that create an administrative burden on universities participating in the assessment.</w:t>
      </w:r>
      <w:r w:rsidRPr="00C4084C">
        <w:rPr>
          <w:rStyle w:val="FootnoteReference"/>
          <w:rFonts w:eastAsia="Arial" w:cs="Arial"/>
        </w:rPr>
        <w:t xml:space="preserve"> </w:t>
      </w:r>
      <w:r w:rsidRPr="00C4084C">
        <w:t xml:space="preserve"> </w:t>
      </w:r>
    </w:p>
    <w:p w14:paraId="5F21E2D6" w14:textId="342B3D8E" w:rsidR="00703E85" w:rsidRPr="00C4084C" w:rsidRDefault="00703E85" w:rsidP="00302041">
      <w:r w:rsidRPr="00C4084C">
        <w:t xml:space="preserve">The recent </w:t>
      </w:r>
      <w:r w:rsidR="00EA1E36" w:rsidRPr="00C4084C">
        <w:t>independent R</w:t>
      </w:r>
      <w:r w:rsidRPr="00C4084C">
        <w:t xml:space="preserve">eview of the </w:t>
      </w:r>
      <w:r w:rsidR="00EA1E36" w:rsidRPr="00C4084C">
        <w:t xml:space="preserve">Australian Research Council </w:t>
      </w:r>
      <w:r w:rsidRPr="00C4084C">
        <w:t xml:space="preserve">Act </w:t>
      </w:r>
      <w:r w:rsidR="00EA1E36" w:rsidRPr="00C4084C">
        <w:t xml:space="preserve">2001 (ARC Review) </w:t>
      </w:r>
      <w:r w:rsidRPr="00C4084C">
        <w:t>canvassed stakeholder views on ERA</w:t>
      </w:r>
      <w:r w:rsidR="00EA1E36" w:rsidRPr="00C4084C">
        <w:t>.</w:t>
      </w:r>
      <w:r w:rsidRPr="00C4084C">
        <w:t xml:space="preserve"> </w:t>
      </w:r>
      <w:r w:rsidR="00EA1E36" w:rsidRPr="00C4084C">
        <w:t xml:space="preserve">The ARC Review found </w:t>
      </w:r>
      <w:r w:rsidRPr="00C4084C">
        <w:t xml:space="preserve">there was a strong view that </w:t>
      </w:r>
      <w:r w:rsidR="00EA1E36" w:rsidRPr="00C4084C">
        <w:t xml:space="preserve">ERA </w:t>
      </w:r>
      <w:r w:rsidRPr="00C4084C">
        <w:t>had served its purpose and should be abolished, with many comments objecting to the administrative burden of preparing for ERA.</w:t>
      </w:r>
      <w:r w:rsidRPr="00C4084C">
        <w:rPr>
          <w:rStyle w:val="FootnoteReference"/>
          <w:rFonts w:eastAsia="Arial" w:cs="Arial"/>
        </w:rPr>
        <w:footnoteReference w:id="364"/>
      </w:r>
      <w:r w:rsidRPr="00C4084C">
        <w:t xml:space="preserve"> The ARC Act Review included this as one of its recommendations. The Minister for Education then referred consideration of ERA and Engagement and Impact Assessment (EI) to this Review.</w:t>
      </w:r>
    </w:p>
    <w:p w14:paraId="32081B03" w14:textId="6564E9C2" w:rsidR="00703E85" w:rsidRPr="00C4084C" w:rsidRDefault="00703E85" w:rsidP="00302041">
      <w:r w:rsidRPr="00C4084C">
        <w:t>Rapid changes to the collection and analysis of bibliometric data means that it is becoming increasingly possible for at least some of the data collection for an ERA-style quality assessment to be automated, thereby providing a significant saving in time and resources. That said, while automating data and information collection offers enormous potential, it should not disadvantage disciplines, such as those in the humanities, some social-</w:t>
      </w:r>
      <w:proofErr w:type="gramStart"/>
      <w:r w:rsidRPr="00C4084C">
        <w:t>sciences</w:t>
      </w:r>
      <w:proofErr w:type="gramEnd"/>
      <w:r w:rsidRPr="00C4084C">
        <w:t xml:space="preserve"> and some First Nations fields of research. Therefore, more work will be required to assess the potential to take advantage of </w:t>
      </w:r>
      <w:r w:rsidRPr="00C4084C">
        <w:lastRenderedPageBreak/>
        <w:t>advances in artificial intelligence, particularly natural language understanding, and data science to develop a ‘light touch’</w:t>
      </w:r>
      <w:r w:rsidR="006F2A63">
        <w:t>,</w:t>
      </w:r>
      <w:r w:rsidRPr="00C4084C">
        <w:t xml:space="preserve"> automated</w:t>
      </w:r>
      <w:r w:rsidR="006F2A63">
        <w:t>,</w:t>
      </w:r>
      <w:r w:rsidRPr="00C4084C">
        <w:t xml:space="preserve"> metrics-based research quality assessment system for both traditional and non-traditional forms of research. That work should also examine how best to match the way an assessment is structured to the uses to which it will be put.</w:t>
      </w:r>
    </w:p>
    <w:p w14:paraId="7C0111CF" w14:textId="7D95301C" w:rsidR="00703E85" w:rsidRPr="00C4084C" w:rsidRDefault="00703E85" w:rsidP="00302041">
      <w:r w:rsidRPr="00C4084C">
        <w:t xml:space="preserve">It is important that a research assessment scheme can demonstrate the </w:t>
      </w:r>
      <w:r w:rsidR="00EA1E36" w:rsidRPr="00C4084C">
        <w:t>high-</w:t>
      </w:r>
      <w:r w:rsidRPr="00C4084C">
        <w:t xml:space="preserve">quality research undertaken in Australia to a range of stakeholders. Taxpayers must be able to see a return on the substantial investment made by the Australian Government each year and </w:t>
      </w:r>
      <w:r w:rsidR="009A7278">
        <w:t>gain</w:t>
      </w:r>
      <w:r w:rsidRPr="00C4084C">
        <w:t xml:space="preserve"> a better understanding of the social benefits of research. Importantly, high-quality research attracts industry collaboration and investment, which is vital for the economy and productivity.</w:t>
      </w:r>
    </w:p>
    <w:p w14:paraId="50153C97" w14:textId="554C4595" w:rsidR="00703E85" w:rsidRPr="00C4084C" w:rsidRDefault="00703E85" w:rsidP="00302041">
      <w:r w:rsidRPr="00C4084C">
        <w:t>For over 10 years, ERA has done the job of lifting the quality of Australian research. However, the time has come for a more streamlined approach to assessing research quality</w:t>
      </w:r>
      <w:r w:rsidR="004479C3" w:rsidRPr="00C4084C">
        <w:t>.</w:t>
      </w:r>
    </w:p>
    <w:p w14:paraId="5172AD4B" w14:textId="5F63970F" w:rsidR="00857151" w:rsidRPr="00C4084C" w:rsidRDefault="00857151" w:rsidP="00302041">
      <w:r w:rsidRPr="00C4084C">
        <w:t xml:space="preserve">The global research evaluation landscape is </w:t>
      </w:r>
      <w:proofErr w:type="gramStart"/>
      <w:r w:rsidRPr="00C4084C">
        <w:t>in the midst of</w:t>
      </w:r>
      <w:proofErr w:type="gramEnd"/>
      <w:r w:rsidRPr="00C4084C">
        <w:t xml:space="preserve"> an important shift as a result of new possibilities associated with cloud computing, machine learning and the growing availability of </w:t>
      </w:r>
      <w:r w:rsidR="00AE07D0" w:rsidRPr="00C4084C">
        <w:t>research data that is openly available</w:t>
      </w:r>
      <w:r w:rsidRPr="00C4084C">
        <w:t>.</w:t>
      </w:r>
      <w:r w:rsidR="004479C3" w:rsidRPr="00C4084C">
        <w:rPr>
          <w:rStyle w:val="FootnoteReference"/>
        </w:rPr>
        <w:footnoteReference w:id="365"/>
      </w:r>
      <w:r w:rsidRPr="00C4084C">
        <w:t xml:space="preserve"> Alongside this are rising expectations of transparency and accountability. Researchers are expected to be accountable to the communities that fund, and depend on, the work they do. Research institutions must operate transparently and support claims about their performance with evidence. Funders and the bodies charged with evaluating research and institutions are required to demonstrate that the evaluation data and methods they use are fair, </w:t>
      </w:r>
      <w:proofErr w:type="gramStart"/>
      <w:r w:rsidRPr="00C4084C">
        <w:t>consistent</w:t>
      </w:r>
      <w:proofErr w:type="gramEnd"/>
      <w:r w:rsidRPr="00C4084C">
        <w:t xml:space="preserve"> and appropriate. </w:t>
      </w:r>
    </w:p>
    <w:p w14:paraId="6CCFCF35" w14:textId="27EA11D6" w:rsidR="00857151" w:rsidRPr="00C4084C" w:rsidRDefault="00857151" w:rsidP="00302041">
      <w:r w:rsidRPr="00C4084C">
        <w:t>There is an opportunity to leverage technological developments and open data to increase transparency and reduce the burden of research evaluation, shifting the focus of assessment from summative audit and accountability towards formative incentives driving positive change in research culture and practice. An improved data environment cannot and should not supplant peer review, but it can reduce the burden of gathering evidence to support evaluation and provide new opportunities to understand, capture and support engagement and impact.</w:t>
      </w:r>
      <w:r w:rsidR="004479C3" w:rsidRPr="00C4084C">
        <w:rPr>
          <w:rStyle w:val="FootnoteReference"/>
        </w:rPr>
        <w:footnoteReference w:id="366"/>
      </w:r>
      <w:r w:rsidR="00631335" w:rsidRPr="00C4084C">
        <w:t xml:space="preserve"> This is why the Review is recommending the Australian Government develop a fit for purpose </w:t>
      </w:r>
      <w:r w:rsidR="00E76DE8" w:rsidRPr="00C4084C">
        <w:t xml:space="preserve">national research evaluation framework </w:t>
      </w:r>
      <w:r w:rsidR="00561AAD" w:rsidRPr="00C4084C">
        <w:t xml:space="preserve">(see Recommendation </w:t>
      </w:r>
      <w:r w:rsidR="00EC783D" w:rsidRPr="00C4084C">
        <w:t>29</w:t>
      </w:r>
      <w:r w:rsidR="00561AAD" w:rsidRPr="00C4084C">
        <w:t>)</w:t>
      </w:r>
      <w:r w:rsidR="00631335" w:rsidRPr="00C4084C">
        <w:t>.</w:t>
      </w:r>
    </w:p>
    <w:p w14:paraId="59C25993" w14:textId="77777777" w:rsidR="00703E85" w:rsidRPr="00C4084C" w:rsidRDefault="00703E85" w:rsidP="00703E85">
      <w:pPr>
        <w:pStyle w:val="Heading5"/>
        <w:rPr>
          <w:rFonts w:cs="Arial"/>
        </w:rPr>
      </w:pPr>
      <w:r w:rsidRPr="00C4084C">
        <w:rPr>
          <w:rFonts w:cs="Arial"/>
        </w:rPr>
        <w:t>Research impact</w:t>
      </w:r>
    </w:p>
    <w:p w14:paraId="0FF34BC0" w14:textId="44E8A7B0" w:rsidR="00703E85" w:rsidRPr="00C4084C" w:rsidRDefault="00703E85" w:rsidP="00302041">
      <w:r w:rsidRPr="00C4084C">
        <w:t xml:space="preserve">The availability of verifiable, auditable, </w:t>
      </w:r>
      <w:proofErr w:type="gramStart"/>
      <w:r w:rsidRPr="00C4084C">
        <w:t>robust</w:t>
      </w:r>
      <w:proofErr w:type="gramEnd"/>
      <w:r w:rsidRPr="00C4084C">
        <w:t xml:space="preserve"> and qualitative </w:t>
      </w:r>
      <w:r w:rsidR="00425D37" w:rsidRPr="00C4084C">
        <w:t xml:space="preserve">and quantitative </w:t>
      </w:r>
      <w:r w:rsidRPr="00C4084C">
        <w:t xml:space="preserve">data on the impact of research from across the discipline spectrum leads to robust and compelling narratives about the successes and outputs of Australia’s research system. This fosters community and industry faith in the system, and leads to engagement and buy-in. </w:t>
      </w:r>
    </w:p>
    <w:p w14:paraId="03ADB515" w14:textId="2BC68981" w:rsidR="00703E85" w:rsidRPr="00C4084C" w:rsidRDefault="00703E85" w:rsidP="00302041">
      <w:r w:rsidRPr="00C4084C">
        <w:t>The E</w:t>
      </w:r>
      <w:r w:rsidR="00425D37" w:rsidRPr="00C4084C">
        <w:t xml:space="preserve">I </w:t>
      </w:r>
      <w:r w:rsidRPr="00C4084C">
        <w:t>was developed to complement the quality assessment of the ERA and to encourage collaboration between universities and industry. The EI was piloted in 2017 and was implemented in 2018 as a companion exercise to the ERA. A second EI assessment was planned for 202</w:t>
      </w:r>
      <w:r w:rsidR="00425D37" w:rsidRPr="00C4084C">
        <w:t>3</w:t>
      </w:r>
      <w:r w:rsidRPr="00C4084C">
        <w:t xml:space="preserve">, but both </w:t>
      </w:r>
      <w:r w:rsidRPr="00C4084C">
        <w:lastRenderedPageBreak/>
        <w:t>assessments were recommended for discontinuation in 2023.</w:t>
      </w:r>
      <w:r w:rsidRPr="00C4084C">
        <w:rPr>
          <w:rStyle w:val="FootnoteReference"/>
          <w:rFonts w:eastAsia="Arial" w:cs="Arial"/>
        </w:rPr>
        <w:footnoteReference w:id="367"/>
      </w:r>
      <w:r w:rsidRPr="00C4084C">
        <w:t xml:space="preserve"> While the 2018 EI assessment may not have been perfect, in part possibly because it was not given enough development time,</w:t>
      </w:r>
      <w:r w:rsidRPr="00C4084C" w:rsidDel="00EE75F8">
        <w:t xml:space="preserve"> </w:t>
      </w:r>
      <w:r w:rsidRPr="00C4084C">
        <w:t>it is vital that there be ongoing development of methods to assess research impact.</w:t>
      </w:r>
    </w:p>
    <w:p w14:paraId="3A08A02D" w14:textId="77777777" w:rsidR="00703E85" w:rsidRPr="00C4084C" w:rsidRDefault="00703E85" w:rsidP="00302041">
      <w:r w:rsidRPr="00C4084C">
        <w:t xml:space="preserve">Improved impact measurement is the ‘holy grail’ of research evaluation. The initial focus on improving the quality of research by evaluating discrete outcomes of research, for example publications, has evolved into more complex attempts to evaluate a full range of research impacts – economic, social, environmental, </w:t>
      </w:r>
      <w:proofErr w:type="gramStart"/>
      <w:r w:rsidRPr="00C4084C">
        <w:t>ecological</w:t>
      </w:r>
      <w:proofErr w:type="gramEnd"/>
      <w:r w:rsidRPr="00C4084C">
        <w:t xml:space="preserve"> and systematic.</w:t>
      </w:r>
    </w:p>
    <w:p w14:paraId="77F5A500" w14:textId="77777777" w:rsidR="00703E85" w:rsidRPr="00C4084C" w:rsidRDefault="00703E85" w:rsidP="00302041">
      <w:r w:rsidRPr="00C4084C">
        <w:t>As the OECD has stated:</w:t>
      </w:r>
    </w:p>
    <w:p w14:paraId="25C7FC38" w14:textId="77777777" w:rsidR="00703E85" w:rsidRPr="00C4084C" w:rsidRDefault="00703E85" w:rsidP="00703E85">
      <w:pPr>
        <w:pStyle w:val="Quote"/>
      </w:pPr>
      <w:r w:rsidRPr="00C4084C">
        <w:t xml:space="preserve">Demand for evaluation is increasing and changing from evaluating the quality of research (via peer review) to assessing the outcomes, </w:t>
      </w:r>
      <w:proofErr w:type="gramStart"/>
      <w:r w:rsidRPr="00C4084C">
        <w:t>output</w:t>
      </w:r>
      <w:proofErr w:type="gramEnd"/>
      <w:r w:rsidRPr="00C4084C">
        <w:t xml:space="preserve"> and impact of public R&amp;D. There is also…interest in evaluating entire research systems and research portfolios, and in enhancing the role of evaluation as a tool for priority setting and decision making.</w:t>
      </w:r>
      <w:r w:rsidRPr="00C4084C">
        <w:rPr>
          <w:rStyle w:val="FootnoteReference"/>
          <w:rFonts w:eastAsia="Arial" w:cs="Arial"/>
        </w:rPr>
        <w:footnoteReference w:id="368"/>
      </w:r>
      <w:r w:rsidRPr="00C4084C">
        <w:t xml:space="preserve"> </w:t>
      </w:r>
    </w:p>
    <w:p w14:paraId="0423B6B5" w14:textId="77777777" w:rsidR="00703E85" w:rsidRPr="00C4084C" w:rsidRDefault="00703E85" w:rsidP="00302041">
      <w:r w:rsidRPr="00C4084C">
        <w:t xml:space="preserve">Greater effort and investment in research by universities and government, as well as the need to tackle entrenched and complex challenges, has led to governments, institutions and the public wanting to understand the impact of research better, and potentially influence or direct those impacts. But assessing impacts remains a challenge for most countries. Globally, there are many and various approaches to assessing research performance, demonstrating that there is no one right way to evaluate the impacts of government-funded research. </w:t>
      </w:r>
    </w:p>
    <w:p w14:paraId="6924E05E" w14:textId="77777777" w:rsidR="00703E85" w:rsidRPr="00C4084C" w:rsidRDefault="00703E85" w:rsidP="00302041">
      <w:r w:rsidRPr="00C4084C">
        <w:t xml:space="preserve">A particular difficulty with impact assessment is trying to establish causal links between the generation of a new outcome from research and subsequent new products, policy changes and interventions, or other social and economic impacts, not least because of the time lag between research output and research impact. The knowledge development process is complex, and it is rarely the case that just one piece of research leads to the final advancement or breakthrough.  </w:t>
      </w:r>
    </w:p>
    <w:p w14:paraId="46C07334" w14:textId="0AA70214" w:rsidR="00703E85" w:rsidRPr="00C4084C" w:rsidRDefault="00703E85" w:rsidP="00302041">
      <w:r w:rsidRPr="00C4084C">
        <w:t>Current evaluation methodologies also struggle to take account of developments in knowledge that are made by multiple individuals at different institutions around the world over many years – highlighting that impact is not a linear or static process. The OECD suggests the process from research to outcome “leads through circuitous routes to dead ends, to positive social outcomes, to negative outcomes”</w:t>
      </w:r>
      <w:r w:rsidR="0051035E">
        <w:t>.</w:t>
      </w:r>
      <w:r w:rsidRPr="00C4084C">
        <w:rPr>
          <w:rStyle w:val="FootnoteReference"/>
          <w:rFonts w:eastAsia="Arial" w:cs="Arial"/>
        </w:rPr>
        <w:footnoteReference w:id="369"/>
      </w:r>
      <w:r w:rsidRPr="00C4084C">
        <w:t xml:space="preserve">  </w:t>
      </w:r>
    </w:p>
    <w:p w14:paraId="601071CC" w14:textId="77777777" w:rsidR="00703E85" w:rsidRPr="00C4084C" w:rsidRDefault="00703E85" w:rsidP="00302041">
      <w:r w:rsidRPr="00C4084C">
        <w:t>Specific challenges that make assessing the impact of research complex include:</w:t>
      </w:r>
    </w:p>
    <w:p w14:paraId="71EA8C21" w14:textId="77777777" w:rsidR="00703E85" w:rsidRPr="00C4084C" w:rsidRDefault="00703E85" w:rsidP="00703E85">
      <w:pPr>
        <w:pStyle w:val="ListBullet"/>
      </w:pPr>
      <w:r w:rsidRPr="00C4084C">
        <w:t xml:space="preserve">the time between undertaking research and the impact of the research can be very long, and timeframes vary between </w:t>
      </w:r>
      <w:proofErr w:type="gramStart"/>
      <w:r w:rsidRPr="00C4084C">
        <w:t>disciplines</w:t>
      </w:r>
      <w:proofErr w:type="gramEnd"/>
    </w:p>
    <w:p w14:paraId="4E0EB2D7" w14:textId="77777777" w:rsidR="00703E85" w:rsidRPr="00C4084C" w:rsidRDefault="00703E85" w:rsidP="00703E85">
      <w:pPr>
        <w:pStyle w:val="ListBullet"/>
      </w:pPr>
      <w:r w:rsidRPr="00C4084C">
        <w:t xml:space="preserve">the impact of research may differ depending on the point in time in which it is </w:t>
      </w:r>
      <w:proofErr w:type="gramStart"/>
      <w:r w:rsidRPr="00C4084C">
        <w:t>assessed</w:t>
      </w:r>
      <w:proofErr w:type="gramEnd"/>
    </w:p>
    <w:p w14:paraId="24EFCED4" w14:textId="77777777" w:rsidR="00703E85" w:rsidRPr="00C4084C" w:rsidRDefault="00703E85" w:rsidP="00703E85">
      <w:pPr>
        <w:pStyle w:val="ListBullet"/>
      </w:pPr>
      <w:r w:rsidRPr="00C4084C">
        <w:t xml:space="preserve">attributing impacts to particular research origins can be difficult given there may be multiple contributions to its </w:t>
      </w:r>
      <w:proofErr w:type="gramStart"/>
      <w:r w:rsidRPr="00C4084C">
        <w:t>development</w:t>
      </w:r>
      <w:proofErr w:type="gramEnd"/>
    </w:p>
    <w:p w14:paraId="1EDE6400" w14:textId="77777777" w:rsidR="00703E85" w:rsidRPr="00C4084C" w:rsidRDefault="00703E85" w:rsidP="00703E85">
      <w:pPr>
        <w:pStyle w:val="ListBullet"/>
      </w:pPr>
      <w:r w:rsidRPr="00C4084C">
        <w:lastRenderedPageBreak/>
        <w:t xml:space="preserve">much new knowledge generated from research may be adapted into multiple new ways of doing things over time without recognition of the original contributing </w:t>
      </w:r>
      <w:proofErr w:type="gramStart"/>
      <w:r w:rsidRPr="00C4084C">
        <w:t>research</w:t>
      </w:r>
      <w:proofErr w:type="gramEnd"/>
    </w:p>
    <w:p w14:paraId="54AF0454" w14:textId="6779B644" w:rsidR="00703E85" w:rsidRPr="00C4084C" w:rsidRDefault="00703E85" w:rsidP="00703E85">
      <w:pPr>
        <w:pStyle w:val="ListBullet"/>
      </w:pPr>
      <w:r w:rsidRPr="00C4084C">
        <w:t>the challenge of identifying the link between research and impact is exacerbated by the limited existence of suitable data.</w:t>
      </w:r>
      <w:r w:rsidRPr="00C4084C">
        <w:rPr>
          <w:rStyle w:val="FootnoteReference"/>
          <w:rFonts w:eastAsia="Arial" w:cs="Arial"/>
        </w:rPr>
        <w:footnoteReference w:id="370"/>
      </w:r>
    </w:p>
    <w:p w14:paraId="5945EA6C" w14:textId="0A432DF8" w:rsidR="00703E85" w:rsidRPr="00C4084C" w:rsidRDefault="00703E85" w:rsidP="00302041">
      <w:pPr>
        <w:rPr>
          <w:b/>
          <w:bCs/>
        </w:rPr>
      </w:pPr>
      <w:r w:rsidRPr="00C4084C">
        <w:t xml:space="preserve">The Review </w:t>
      </w:r>
      <w:r w:rsidR="002171EC" w:rsidRPr="00C4084C">
        <w:t xml:space="preserve">recommends </w:t>
      </w:r>
      <w:r w:rsidRPr="00C4084C">
        <w:t xml:space="preserve">that </w:t>
      </w:r>
      <w:r w:rsidR="002171EC" w:rsidRPr="00C4084C">
        <w:t>the Australian Government should strengthen the capacity of Australian universities and researchers to describe in detail the powerful impact of Australian university research – and deepen community and industry buy-in. A</w:t>
      </w:r>
      <w:r w:rsidR="006F4CFB" w:rsidRPr="00C4084C">
        <w:t xml:space="preserve"> </w:t>
      </w:r>
      <w:r w:rsidRPr="00C4084C">
        <w:t xml:space="preserve">fit for purpose research quality and impact evaluation </w:t>
      </w:r>
      <w:r w:rsidR="002171EC" w:rsidRPr="00C4084C">
        <w:t xml:space="preserve">system </w:t>
      </w:r>
      <w:r w:rsidRPr="00C4084C">
        <w:t xml:space="preserve">will drive better outcomes for Australia, and these challenges will need to be considered as the system is developed. </w:t>
      </w:r>
    </w:p>
    <w:p w14:paraId="6A3F1E41" w14:textId="55BE3DF5" w:rsidR="00703E85" w:rsidRPr="00C4084C" w:rsidRDefault="00703E85" w:rsidP="00BA6095">
      <w:pPr>
        <w:pStyle w:val="Heading4"/>
      </w:pPr>
      <w:bookmarkStart w:id="992" w:name="_Toc159500984"/>
      <w:r w:rsidRPr="00C4084C">
        <w:t xml:space="preserve">National </w:t>
      </w:r>
      <w:r w:rsidR="006C476B">
        <w:t>R</w:t>
      </w:r>
      <w:r w:rsidRPr="00C4084C">
        <w:t xml:space="preserve">esearch </w:t>
      </w:r>
      <w:r w:rsidR="006C476B">
        <w:t>E</w:t>
      </w:r>
      <w:r w:rsidRPr="00C4084C">
        <w:t>valuation</w:t>
      </w:r>
      <w:r w:rsidR="006C476B">
        <w:t xml:space="preserve"> and Impact</w:t>
      </w:r>
      <w:r w:rsidRPr="00C4084C">
        <w:t xml:space="preserve"> </w:t>
      </w:r>
      <w:r w:rsidR="006C476B">
        <w:t>F</w:t>
      </w:r>
      <w:r w:rsidRPr="00C4084C">
        <w:t>ramework</w:t>
      </w:r>
      <w:bookmarkEnd w:id="992"/>
      <w:r w:rsidRPr="00C4084C">
        <w:t xml:space="preserve"> </w:t>
      </w:r>
    </w:p>
    <w:p w14:paraId="12788878" w14:textId="6E4F2DF0" w:rsidR="00703E85" w:rsidRPr="00C4084C" w:rsidRDefault="00703E85" w:rsidP="00302041">
      <w:r w:rsidRPr="00C4084C">
        <w:t xml:space="preserve">The Review </w:t>
      </w:r>
      <w:r w:rsidR="002171EC" w:rsidRPr="00C4084C">
        <w:t xml:space="preserve">recommends </w:t>
      </w:r>
      <w:r w:rsidRPr="00C4084C">
        <w:t xml:space="preserve">a national research evaluation </w:t>
      </w:r>
      <w:r w:rsidR="00DC39ED">
        <w:t xml:space="preserve">and impact </w:t>
      </w:r>
      <w:r w:rsidRPr="00C4084C">
        <w:t>framework as the appropriate mechanism to structure research evaluation in the university research system</w:t>
      </w:r>
      <w:r w:rsidR="006F4CFB" w:rsidRPr="00C4084C">
        <w:t xml:space="preserve"> (see Recommendation 29)</w:t>
      </w:r>
      <w:r w:rsidRPr="00C4084C">
        <w:t xml:space="preserve">. However, a range of issues will need to be factored into such a framework’s development. </w:t>
      </w:r>
    </w:p>
    <w:p w14:paraId="351829CD" w14:textId="36BD133A" w:rsidR="00703E85" w:rsidRPr="00C4084C" w:rsidRDefault="00703E85" w:rsidP="00302041">
      <w:r w:rsidRPr="00C4084C">
        <w:t xml:space="preserve">Ideally, a national research evaluation </w:t>
      </w:r>
      <w:r w:rsidR="00DC39ED">
        <w:t xml:space="preserve">and impact </w:t>
      </w:r>
      <w:r w:rsidRPr="00C4084C">
        <w:t>framework would utilise elements of current research assessments in the short term (research quality assessment and further development of research impact measures) and incorporate them into a holistic framework in the medium to longer term.</w:t>
      </w:r>
    </w:p>
    <w:p w14:paraId="7B087EE0" w14:textId="2B283336" w:rsidR="00703E85" w:rsidRPr="00C4084C" w:rsidRDefault="00703E85" w:rsidP="00302041">
      <w:r w:rsidRPr="00C4084C">
        <w:t xml:space="preserve">The </w:t>
      </w:r>
      <w:r w:rsidRPr="00C4084C">
        <w:rPr>
          <w:rFonts w:eastAsia="Arial"/>
        </w:rPr>
        <w:t xml:space="preserve">ARC Act Review </w:t>
      </w:r>
      <w:r w:rsidRPr="00C4084C">
        <w:t>stated that the administrative effort required of universities to undertake ERA and EI assessments was burdensome and out of proportion to the perceived benefits.</w:t>
      </w:r>
      <w:r w:rsidRPr="00C4084C">
        <w:rPr>
          <w:rStyle w:val="FootnoteReference"/>
          <w:rFonts w:cs="Arial"/>
        </w:rPr>
        <w:footnoteReference w:id="371"/>
      </w:r>
      <w:r w:rsidRPr="00C4084C">
        <w:t xml:space="preserve"> Despite this, the Review believes that some form of research quality assessment </w:t>
      </w:r>
      <w:r w:rsidR="002171EC" w:rsidRPr="00C4084C">
        <w:t>may be</w:t>
      </w:r>
      <w:r w:rsidRPr="00C4084C">
        <w:t xml:space="preserve"> desirable, though the assessment’s audience and purpose should be established before undertaking work. </w:t>
      </w:r>
    </w:p>
    <w:p w14:paraId="0FF85CAD" w14:textId="7FDE1A98" w:rsidR="00703E85" w:rsidRPr="00C4084C" w:rsidRDefault="00703E85" w:rsidP="00302041">
      <w:r w:rsidRPr="00C4084C">
        <w:t xml:space="preserve">Automating the collection of data for research assessment to reduce administrative burden is welcomed by the </w:t>
      </w:r>
      <w:r w:rsidR="002171EC" w:rsidRPr="00C4084C">
        <w:t xml:space="preserve">higher education </w:t>
      </w:r>
      <w:r w:rsidRPr="00C4084C">
        <w:t xml:space="preserve">sector. However, concerns remain that fields of research with non-traditional, non-citation outputs, </w:t>
      </w:r>
      <w:proofErr w:type="gramStart"/>
      <w:r w:rsidR="002171EC" w:rsidRPr="00C4084C">
        <w:t>in particular</w:t>
      </w:r>
      <w:proofErr w:type="gramEnd"/>
      <w:r w:rsidR="002171EC" w:rsidRPr="00C4084C">
        <w:t xml:space="preserve"> </w:t>
      </w:r>
      <w:r w:rsidRPr="00C4084C">
        <w:t xml:space="preserve">some humanities, </w:t>
      </w:r>
      <w:r w:rsidR="00B827AC" w:rsidRPr="00C4084C">
        <w:t>creative industries,</w:t>
      </w:r>
      <w:r w:rsidRPr="00C4084C">
        <w:t xml:space="preserve"> social science and First Nations areas of study</w:t>
      </w:r>
      <w:r w:rsidR="0051035E">
        <w:t>,</w:t>
      </w:r>
      <w:r w:rsidRPr="00C4084C">
        <w:t xml:space="preserve"> could be disadvantaged by this approach. This will need to be considered as a national research evaluation framework is developed. Disciplines must only be subjected to assessment through means that appropriately and reliably capture quality and impact in those domains</w:t>
      </w:r>
      <w:r w:rsidR="002171EC" w:rsidRPr="00C4084C">
        <w:t>. S</w:t>
      </w:r>
      <w:r w:rsidRPr="00C4084C">
        <w:t xml:space="preserve">haky or partial data can result in worse outcomes than the absence </w:t>
      </w:r>
      <w:r w:rsidR="002171EC" w:rsidRPr="00C4084C">
        <w:t xml:space="preserve">of </w:t>
      </w:r>
      <w:r w:rsidRPr="00C4084C">
        <w:t xml:space="preserve">data, because they can create the illusion of knowledge, where no basis for confidence in fact exists. It may be that some of those fields can only be properly assessed with the assistance of peer review methodologies possibly augmented by sophisticated natural language understanding techniques.  </w:t>
      </w:r>
    </w:p>
    <w:p w14:paraId="460811B8" w14:textId="77777777" w:rsidR="00703E85" w:rsidRPr="00C4084C" w:rsidRDefault="00703E85" w:rsidP="00302041">
      <w:r w:rsidRPr="00C4084C">
        <w:t>The collection of data and information will be important too. Ensuring that collections are made in a strategic and sustained manner can be guided by a supporting data and information collection framework and strategy.</w:t>
      </w:r>
    </w:p>
    <w:p w14:paraId="3E9C9483" w14:textId="77777777" w:rsidR="00703E85" w:rsidRPr="00C4084C" w:rsidRDefault="00703E85" w:rsidP="00302041">
      <w:r w:rsidRPr="00C4084C">
        <w:t xml:space="preserve">Because the development of a new assessment system will take time, and a raft of other major reform is already underway at the ARC, a ‘lighter touch’ automated (where appropriate and feasible) </w:t>
      </w:r>
      <w:r w:rsidRPr="00C4084C">
        <w:lastRenderedPageBreak/>
        <w:t xml:space="preserve">approach to quality assessment could be developed in due course with a view to undertaking it in 2025. </w:t>
      </w:r>
    </w:p>
    <w:p w14:paraId="17FA492C" w14:textId="252F5CE5" w:rsidR="00703E85" w:rsidRPr="00C4084C" w:rsidRDefault="00703E85" w:rsidP="00302041">
      <w:r w:rsidRPr="00C4084C">
        <w:t xml:space="preserve">Over time, a national research evaluation </w:t>
      </w:r>
      <w:r w:rsidR="00DC39ED">
        <w:t xml:space="preserve">and impact </w:t>
      </w:r>
      <w:r w:rsidRPr="00C4084C">
        <w:t xml:space="preserve">framework could help identify the benefits of research for various stakeholders, including government, </w:t>
      </w:r>
      <w:proofErr w:type="gramStart"/>
      <w:r w:rsidRPr="00C4084C">
        <w:t>industry</w:t>
      </w:r>
      <w:proofErr w:type="gramEnd"/>
      <w:r w:rsidRPr="00C4084C">
        <w:t xml:space="preserve"> and the community as well as researchers and universities. The framework could incorporate research quality and impact as well as a national research data strategy.</w:t>
      </w:r>
    </w:p>
    <w:p w14:paraId="77D5DFD1" w14:textId="10815736" w:rsidR="00703E85" w:rsidRPr="00C4084C" w:rsidRDefault="00703E85" w:rsidP="00302041">
      <w:r w:rsidRPr="00C4084C">
        <w:t xml:space="preserve">The framework should develop streams of research evaluation that are relevant to the types and stages of research that are non-linear and recursive in nature. The framework should incorporate a national assessment process alongside options to understand longer term outcomes and impacts of research. This approach will support deep dives into research activity and enable an examination of whether research activity is aligned to priorities such as the redeveloped National Science and Research Priorities. </w:t>
      </w:r>
    </w:p>
    <w:p w14:paraId="62F85607" w14:textId="77777777" w:rsidR="00703E85" w:rsidRPr="00C4084C" w:rsidRDefault="00703E85" w:rsidP="00302041">
      <w:r w:rsidRPr="00C4084C">
        <w:t xml:space="preserve">Assessing research quality and understanding the impact of research will rely on strong underlying data and information collection. Developing impact measures at the later stages of research development, such as the innovation or commercialisation stages, will be dependent on data and information collection processes that are established at the start of the research pipeline. This will include robust individual evaluation frameworks for individual programs and initiatives. Collecting this will require adjusting existing administrative processes, such as the Higher Education Research Data Collection (HERDC), and introducing new processes, such as the collection of persistent identifiers for all forms of publicly funded research. </w:t>
      </w:r>
    </w:p>
    <w:p w14:paraId="6C09232E" w14:textId="77777777" w:rsidR="00703E85" w:rsidRPr="00C4084C" w:rsidRDefault="00703E85" w:rsidP="00302041">
      <w:r w:rsidRPr="00C4084C">
        <w:t xml:space="preserve">These processes will enable improved analysis of inputs, outputs, outcomes and impacts at various stages of the research process and for different stakeholders. It will enable evaluations that are appropriate for the different types and stages of research, such as econometric studies on the impacts of basic research, the diffusion of ideas from a single project over time, or the commercial opportunities arising from late-stage research for targeted industry stakeholders. </w:t>
      </w:r>
    </w:p>
    <w:p w14:paraId="35979758" w14:textId="77777777" w:rsidR="00703E85" w:rsidRPr="00C4084C" w:rsidRDefault="00703E85" w:rsidP="00302041">
      <w:r w:rsidRPr="00C4084C">
        <w:t xml:space="preserve">Improved data collection should make both research investment and costs </w:t>
      </w:r>
      <w:proofErr w:type="gramStart"/>
      <w:r w:rsidRPr="00C4084C">
        <w:t>more transparent,</w:t>
      </w:r>
      <w:proofErr w:type="gramEnd"/>
      <w:r w:rsidRPr="00C4084C">
        <w:t xml:space="preserve"> help ensure that the system is sustainable, and inform strategic research allocation decisions. </w:t>
      </w:r>
    </w:p>
    <w:p w14:paraId="1395D9B9" w14:textId="15CDAD23" w:rsidR="00703E85" w:rsidRPr="00C4084C" w:rsidRDefault="00703E85" w:rsidP="00302041">
      <w:r w:rsidRPr="00C4084C">
        <w:t xml:space="preserve">The development of the framework should be the responsibility of the ARC, </w:t>
      </w:r>
      <w:r w:rsidR="00DC39ED">
        <w:t xml:space="preserve">working </w:t>
      </w:r>
      <w:r w:rsidRPr="00C4084C">
        <w:t>in concert with the Commission</w:t>
      </w:r>
      <w:r w:rsidR="00DC39ED">
        <w:t>, TEQSA and the universities</w:t>
      </w:r>
      <w:r w:rsidR="007B6B93" w:rsidRPr="00C4084C">
        <w:t>,</w:t>
      </w:r>
      <w:r w:rsidRPr="00C4084C">
        <w:t xml:space="preserve"> and in consultation with</w:t>
      </w:r>
      <w:r w:rsidR="00E8249B" w:rsidRPr="00C4084C">
        <w:t xml:space="preserve"> </w:t>
      </w:r>
      <w:r w:rsidRPr="00C4084C">
        <w:t xml:space="preserve">the Learned Academies and the sector more broadly. Consideration could be given to including the NHMRC and the PFRAs, depending on the desired scope of concern of the research assessment exercise: the question of remit could be addressed by the whole of government strategic examination of national research funding recommended above </w:t>
      </w:r>
      <w:r w:rsidR="00DC39ED">
        <w:t>(see Recommendation 24)</w:t>
      </w:r>
      <w:r w:rsidRPr="00C4084C">
        <w:t xml:space="preserve">. Since the provisions of the Australian Research Council Amendment (Review Response) Bill 2023 currently before the Parliament will take effect on 1 July 2024 (subject to the Bill’s passage), and they involve a considerable </w:t>
      </w:r>
      <w:r w:rsidR="00A00285">
        <w:t xml:space="preserve">change, </w:t>
      </w:r>
      <w:r w:rsidRPr="00C4084C">
        <w:t>it is not plausible to expect the framework to be ready for testing let alone implementation prior to 2025.</w:t>
      </w:r>
    </w:p>
    <w:p w14:paraId="76CE3E02" w14:textId="77777777" w:rsidR="00703E85" w:rsidRPr="00C4084C" w:rsidRDefault="00703E85" w:rsidP="00BA6095">
      <w:pPr>
        <w:pStyle w:val="Heading4"/>
      </w:pPr>
      <w:bookmarkStart w:id="993" w:name="_Toc159500985"/>
      <w:r w:rsidRPr="00C4084C">
        <w:t>Research integrity</w:t>
      </w:r>
      <w:bookmarkEnd w:id="993"/>
    </w:p>
    <w:p w14:paraId="612DCE95" w14:textId="28CEB95C" w:rsidR="00703E85" w:rsidRPr="00C4084C" w:rsidRDefault="00703E85" w:rsidP="00302041">
      <w:r w:rsidRPr="00C4084C">
        <w:t xml:space="preserve">A system to investigate potential breaches of the </w:t>
      </w:r>
      <w:r w:rsidR="00DC39ED">
        <w:t xml:space="preserve">research </w:t>
      </w:r>
      <w:r w:rsidRPr="00C4084C">
        <w:t xml:space="preserve">code of conduct was jointly established in 2011 by the ARC and NHMRC. In 2022 an independent evaluation of </w:t>
      </w:r>
      <w:r w:rsidR="00344874" w:rsidRPr="00C4084C">
        <w:t>the Australian Research Integrity Committee (</w:t>
      </w:r>
      <w:r w:rsidRPr="00C4084C">
        <w:t>ARIC</w:t>
      </w:r>
      <w:r w:rsidR="00344874" w:rsidRPr="00C4084C">
        <w:t>)</w:t>
      </w:r>
      <w:r w:rsidRPr="00C4084C">
        <w:t xml:space="preserve"> was undertaken and found that opportunities exist to improve ARIC's </w:t>
      </w:r>
      <w:r w:rsidRPr="00C4084C">
        <w:lastRenderedPageBreak/>
        <w:t>operations to better meet stakeholder needs. The NHMRC and ARC have noted the findings of the evaluation and have committed to refine processes to deliver the suggested improvements.</w:t>
      </w:r>
      <w:r w:rsidRPr="00C4084C">
        <w:rPr>
          <w:rStyle w:val="FootnoteReference"/>
        </w:rPr>
        <w:footnoteReference w:id="372"/>
      </w:r>
      <w:r w:rsidRPr="00C4084C">
        <w:t xml:space="preserve"> </w:t>
      </w:r>
    </w:p>
    <w:p w14:paraId="3A028861" w14:textId="1AA0B6C8" w:rsidR="00703E85" w:rsidRPr="00C4084C" w:rsidRDefault="00703E85" w:rsidP="003E5969">
      <w:r w:rsidRPr="00C4084C">
        <w:t>The Review recommends providing funding to the ARC to further strengthen and improve research integrity arrangements, to ensure that Australian research remains highly credible, with quality research outputs that can be relied upon to support evidence-based decisions.</w:t>
      </w:r>
    </w:p>
    <w:tbl>
      <w:tblPr>
        <w:tblW w:w="0" w:type="auto"/>
        <w:shd w:val="clear" w:color="auto" w:fill="FBE4D5"/>
        <w:tblLook w:val="04A0" w:firstRow="1" w:lastRow="0" w:firstColumn="1" w:lastColumn="0" w:noHBand="0" w:noVBand="1"/>
      </w:tblPr>
      <w:tblGrid>
        <w:gridCol w:w="9026"/>
      </w:tblGrid>
      <w:tr w:rsidR="00F64AC6" w:rsidRPr="00C4084C" w14:paraId="0774B235" w14:textId="77777777" w:rsidTr="00D26B82">
        <w:tc>
          <w:tcPr>
            <w:tcW w:w="9026" w:type="dxa"/>
            <w:shd w:val="clear" w:color="auto" w:fill="FEECDF"/>
          </w:tcPr>
          <w:p w14:paraId="5BBBD2E0" w14:textId="2DECEE90" w:rsidR="00752040" w:rsidRDefault="00752040" w:rsidP="003E5969">
            <w:pPr>
              <w:pStyle w:val="Recheadinginbox"/>
            </w:pPr>
            <w:r w:rsidRPr="00752040">
              <w:rPr>
                <w:rStyle w:val="PageNumber"/>
              </w:rPr>
              <w:t>Recommendation:</w:t>
            </w:r>
            <w:r w:rsidRPr="00752040">
              <w:t xml:space="preserve"> Producing new knowledge and using research capability</w:t>
            </w:r>
          </w:p>
          <w:p w14:paraId="06AA16F7" w14:textId="37DAB0C2" w:rsidR="00F64AC6" w:rsidRPr="00C4084C" w:rsidRDefault="00F64AC6" w:rsidP="003E5969">
            <w:pPr>
              <w:pStyle w:val="Recsin-chapterL1"/>
              <w:framePr w:wrap="notBeside"/>
              <w:spacing w:before="0" w:after="0"/>
            </w:pPr>
            <w:r w:rsidRPr="00C4084C">
              <w:t>That to demonstrate the quality of and return on investment in Australian university research, the Australian Government commission the ARC to work with the Australian Tertiary Education Commission, TEQSA and universities to develop a fit for purpose research quality and impact evaluation system through the creation of a National Research Evaluation and Impact Framework that is data driven and uses intelligent technologies and that:</w:t>
            </w:r>
          </w:p>
          <w:p w14:paraId="463FAE8A" w14:textId="77777777" w:rsidR="00F64AC6" w:rsidRPr="00C4084C" w:rsidRDefault="00F64AC6" w:rsidP="003E5969">
            <w:pPr>
              <w:pStyle w:val="Recsin-chapterL2"/>
              <w:spacing w:before="0" w:beforeAutospacing="0"/>
            </w:pPr>
            <w:r w:rsidRPr="00C4084C">
              <w:t xml:space="preserve">is less burdensome for universities to measure and report research quality and impact without affecting </w:t>
            </w:r>
            <w:proofErr w:type="gramStart"/>
            <w:r w:rsidRPr="00C4084C">
              <w:t>robustness</w:t>
            </w:r>
            <w:proofErr w:type="gramEnd"/>
          </w:p>
          <w:p w14:paraId="1417AF70" w14:textId="77777777" w:rsidR="00F64AC6" w:rsidRPr="00C4084C" w:rsidRDefault="00F64AC6" w:rsidP="003E5969">
            <w:pPr>
              <w:pStyle w:val="Recsin-chapterL2"/>
            </w:pPr>
            <w:r w:rsidRPr="00C4084C">
              <w:t xml:space="preserve">delivers a clear evaluation to Government and the community of the quality and impact of Australian university </w:t>
            </w:r>
            <w:proofErr w:type="gramStart"/>
            <w:r w:rsidRPr="00C4084C">
              <w:t>research</w:t>
            </w:r>
            <w:proofErr w:type="gramEnd"/>
          </w:p>
          <w:p w14:paraId="6BB22437" w14:textId="77777777" w:rsidR="00F64AC6" w:rsidRPr="00C4084C" w:rsidRDefault="00F64AC6" w:rsidP="003E5969">
            <w:pPr>
              <w:pStyle w:val="Recsin-chapterL2"/>
            </w:pPr>
            <w:r w:rsidRPr="00C4084C">
              <w:t>strengthens the capacity of Australian universities and researchers to describe in detail the powerful impact of Australian university research – and deepen community and industry buy-in</w:t>
            </w:r>
          </w:p>
          <w:p w14:paraId="2C244B97" w14:textId="77777777" w:rsidR="00F64AC6" w:rsidRPr="00C4084C" w:rsidRDefault="00F64AC6" w:rsidP="003E5969">
            <w:pPr>
              <w:pStyle w:val="Recsin-chapterL2"/>
            </w:pPr>
            <w:r w:rsidRPr="00C4084C">
              <w:t>improves the external scrutiny of research integrity through providing additional funding to the Australian Research Council to strengthen its independent research integrity processes.</w:t>
            </w:r>
          </w:p>
        </w:tc>
      </w:tr>
    </w:tbl>
    <w:p w14:paraId="2CBCC7E1" w14:textId="77777777" w:rsidR="00703E85" w:rsidRPr="00C4084C" w:rsidRDefault="00703E85" w:rsidP="00703E85">
      <w:pPr>
        <w:pStyle w:val="Heading3"/>
      </w:pPr>
      <w:bookmarkStart w:id="994" w:name="_Toc159500986"/>
      <w:r w:rsidRPr="00C4084C">
        <w:t>The case for new knowledge</w:t>
      </w:r>
      <w:bookmarkEnd w:id="994"/>
    </w:p>
    <w:p w14:paraId="25FDA010" w14:textId="77777777" w:rsidR="00BE7FA4" w:rsidRDefault="00703E85" w:rsidP="00302041">
      <w:pPr>
        <w:sectPr w:rsidR="00BE7FA4" w:rsidSect="00134415">
          <w:headerReference w:type="even" r:id="rId138"/>
          <w:headerReference w:type="first" r:id="rId139"/>
          <w:pgSz w:w="11906" w:h="16838" w:code="9"/>
          <w:pgMar w:top="1225" w:right="1440" w:bottom="1440" w:left="1440" w:header="709" w:footer="709" w:gutter="0"/>
          <w:cols w:space="708"/>
          <w:titlePg/>
          <w:docGrid w:linePitch="360"/>
        </w:sectPr>
      </w:pPr>
      <w:r w:rsidRPr="00C4084C">
        <w:t xml:space="preserve">There is a compelling need for Australia to build new knowledge and use its research and research capability. </w:t>
      </w:r>
      <w:r w:rsidR="004D7E46">
        <w:t>A</w:t>
      </w:r>
      <w:r w:rsidRPr="00C4084C">
        <w:t xml:space="preserve">lthough Australia’s research generation is high quality, the national effort to use our research expertise is not strong. To ensure the nation’s research system is well positioned to tackle the challenges facing the nation and harness the talent of its people, this chapter proposes mechanisms to increase research use, investment, impact, </w:t>
      </w:r>
      <w:proofErr w:type="gramStart"/>
      <w:r w:rsidRPr="00C4084C">
        <w:t>integrity</w:t>
      </w:r>
      <w:proofErr w:type="gramEnd"/>
      <w:r w:rsidRPr="00C4084C">
        <w:t xml:space="preserve"> and excellence, and ensure government grants fund research at full cost. </w:t>
      </w:r>
    </w:p>
    <w:p w14:paraId="1C6A4078" w14:textId="5B03A722" w:rsidR="00A37E60" w:rsidRPr="00C4084C" w:rsidRDefault="00A37E60" w:rsidP="00BE7FA4">
      <w:pPr>
        <w:pStyle w:val="Heading2"/>
      </w:pPr>
      <w:bookmarkStart w:id="995" w:name="_Ref151934666"/>
      <w:bookmarkStart w:id="996" w:name="_Toc153483077"/>
      <w:bookmarkStart w:id="997" w:name="_Toc159500987"/>
      <w:bookmarkEnd w:id="932"/>
      <w:r w:rsidRPr="00C4084C">
        <w:lastRenderedPageBreak/>
        <w:t xml:space="preserve">A dynamic, collaborative and responsive system that serves the national </w:t>
      </w:r>
      <w:proofErr w:type="gramStart"/>
      <w:r w:rsidRPr="00C4084C">
        <w:t>interest</w:t>
      </w:r>
      <w:bookmarkEnd w:id="995"/>
      <w:bookmarkEnd w:id="996"/>
      <w:bookmarkEnd w:id="997"/>
      <w:proofErr w:type="gramEnd"/>
    </w:p>
    <w:p w14:paraId="3CE2C4F0" w14:textId="007EADF4" w:rsidR="00A14420" w:rsidRPr="00C4084C" w:rsidRDefault="00AC3F40" w:rsidP="00745009">
      <w:pPr>
        <w:pStyle w:val="Heading3"/>
      </w:pPr>
      <w:bookmarkStart w:id="998" w:name="_Toc153483078"/>
      <w:bookmarkStart w:id="999" w:name="_Toc159500988"/>
      <w:r w:rsidRPr="00C4084C">
        <w:t>The need for stewar</w:t>
      </w:r>
      <w:r w:rsidR="0078672E" w:rsidRPr="00C4084C">
        <w:t>d</w:t>
      </w:r>
      <w:r w:rsidRPr="00C4084C">
        <w:t>ship</w:t>
      </w:r>
      <w:bookmarkEnd w:id="998"/>
      <w:bookmarkEnd w:id="999"/>
    </w:p>
    <w:p w14:paraId="62AA08EC" w14:textId="257B7FCF" w:rsidR="00A14420" w:rsidRPr="00C4084C" w:rsidRDefault="00A14420" w:rsidP="00302041">
      <w:bookmarkStart w:id="1000" w:name="_Toc148277861"/>
      <w:r w:rsidRPr="00C4084C">
        <w:t xml:space="preserve">Chapters </w:t>
      </w:r>
      <w:r w:rsidR="00A07BB5" w:rsidRPr="00C4084C">
        <w:t>2</w:t>
      </w:r>
      <w:r w:rsidRPr="00C4084C">
        <w:t xml:space="preserve">, </w:t>
      </w:r>
      <w:r w:rsidR="00A07BB5" w:rsidRPr="00C4084C">
        <w:t>3</w:t>
      </w:r>
      <w:r w:rsidR="004F6804">
        <w:t>, 4</w:t>
      </w:r>
      <w:r w:rsidRPr="00C4084C">
        <w:t xml:space="preserve"> and </w:t>
      </w:r>
      <w:r w:rsidR="00A07BB5" w:rsidRPr="00C4084C">
        <w:t>5</w:t>
      </w:r>
      <w:r w:rsidRPr="00C4084C">
        <w:t xml:space="preserve"> of this </w:t>
      </w:r>
      <w:r w:rsidR="000775DD">
        <w:t>R</w:t>
      </w:r>
      <w:r w:rsidRPr="00C4084C">
        <w:t xml:space="preserve">eport describe the major shifts required of Australia’s </w:t>
      </w:r>
      <w:r w:rsidR="001E0CA9" w:rsidRPr="00C4084C">
        <w:t xml:space="preserve">tertiary </w:t>
      </w:r>
      <w:r w:rsidRPr="00C4084C">
        <w:t xml:space="preserve">education </w:t>
      </w:r>
      <w:r w:rsidR="008C7222" w:rsidRPr="00C4084C">
        <w:t xml:space="preserve">sector </w:t>
      </w:r>
      <w:r w:rsidRPr="00C4084C">
        <w:t xml:space="preserve">between now and 2050: </w:t>
      </w:r>
      <w:r w:rsidR="00FF5297" w:rsidRPr="00C4084C">
        <w:t>meeting skills needs</w:t>
      </w:r>
      <w:r w:rsidR="003A5E85" w:rsidRPr="00C4084C">
        <w:t>,</w:t>
      </w:r>
      <w:r w:rsidR="00FF5297" w:rsidRPr="00C4084C">
        <w:t xml:space="preserve"> </w:t>
      </w:r>
      <w:r w:rsidRPr="00C4084C">
        <w:t xml:space="preserve">expanding participation in higher education – particularly for groups that have been historically </w:t>
      </w:r>
      <w:r w:rsidR="00D7545F" w:rsidRPr="00C4084C">
        <w:t>under-represented</w:t>
      </w:r>
      <w:r w:rsidRPr="00C4084C">
        <w:t xml:space="preserve"> – and deploying Australia’s significant national research capacity and capability to the greater benefit of the country. </w:t>
      </w:r>
    </w:p>
    <w:p w14:paraId="3025287E" w14:textId="579E7924" w:rsidR="00A14420" w:rsidRPr="00C4084C" w:rsidRDefault="00A14420" w:rsidP="00302041">
      <w:r w:rsidRPr="00C4084C">
        <w:t>This chapter notes that, over the past 30 years, policy and funding changes have been fragmented and made without a cohesive view o</w:t>
      </w:r>
      <w:r w:rsidR="003916AE" w:rsidRPr="00C4084C">
        <w:t>f</w:t>
      </w:r>
      <w:r w:rsidRPr="00C4084C">
        <w:t xml:space="preserve"> their impact on the </w:t>
      </w:r>
      <w:r w:rsidR="009B713C" w:rsidRPr="00C4084C">
        <w:t xml:space="preserve">tertiary </w:t>
      </w:r>
      <w:r w:rsidR="00A3549E" w:rsidRPr="00C4084C">
        <w:t xml:space="preserve">education </w:t>
      </w:r>
      <w:r w:rsidRPr="00C4084C">
        <w:t xml:space="preserve">system. This has led to system architecture and structures that inhibit the major shifts </w:t>
      </w:r>
      <w:r w:rsidR="00357D42" w:rsidRPr="00C4084C">
        <w:t xml:space="preserve">required to deliver </w:t>
      </w:r>
      <w:r w:rsidRPr="00C4084C">
        <w:t xml:space="preserve">the recommendations of the Review. </w:t>
      </w:r>
    </w:p>
    <w:p w14:paraId="331B343F" w14:textId="5DBF73DE" w:rsidR="00097B91" w:rsidRPr="00C4084C" w:rsidRDefault="00A14420" w:rsidP="00302041">
      <w:r w:rsidRPr="00C4084C">
        <w:t xml:space="preserve">For example, some changes to funding policy have led to perverse student outcomes, and have often seemed ad hoc, such as in the case of </w:t>
      </w:r>
      <w:r w:rsidR="00316004" w:rsidRPr="00C4084C">
        <w:t xml:space="preserve">the </w:t>
      </w:r>
      <w:r w:rsidRPr="00C4084C">
        <w:t>J</w:t>
      </w:r>
      <w:r w:rsidR="28CF2BC9" w:rsidRPr="00C4084C">
        <w:t>ob</w:t>
      </w:r>
      <w:r w:rsidR="000F26D6" w:rsidRPr="00C4084C">
        <w:t>-r</w:t>
      </w:r>
      <w:r w:rsidR="22F8E7EB" w:rsidRPr="00C4084C">
        <w:t xml:space="preserve">eady </w:t>
      </w:r>
      <w:r w:rsidRPr="00C4084C">
        <w:t>G</w:t>
      </w:r>
      <w:r w:rsidR="3B2B9582" w:rsidRPr="00C4084C">
        <w:t>rad</w:t>
      </w:r>
      <w:r w:rsidR="000F26D6" w:rsidRPr="00C4084C">
        <w:t>uate</w:t>
      </w:r>
      <w:r w:rsidR="3B2B9582" w:rsidRPr="00C4084C">
        <w:t>s</w:t>
      </w:r>
      <w:r w:rsidR="00316004" w:rsidRPr="00C4084C">
        <w:t xml:space="preserve"> (JRG) package</w:t>
      </w:r>
      <w:r w:rsidRPr="00C4084C">
        <w:t xml:space="preserve">. </w:t>
      </w:r>
    </w:p>
    <w:p w14:paraId="1C8F2CB0" w14:textId="2265B69C" w:rsidR="00A14420" w:rsidRPr="00C4084C" w:rsidRDefault="00A14420" w:rsidP="00302041">
      <w:r w:rsidRPr="00C4084C">
        <w:t xml:space="preserve">Others have resulted in regulatory inconsistencies, insufficient </w:t>
      </w:r>
      <w:proofErr w:type="gramStart"/>
      <w:r w:rsidRPr="00C4084C">
        <w:t>data</w:t>
      </w:r>
      <w:proofErr w:type="gramEnd"/>
      <w:r w:rsidRPr="00C4084C">
        <w:t xml:space="preserve"> and metrics with which to monitor, evaluate and compare sector performance, and concerns about university governance and workforce arrangements, including high rates of casualisation. </w:t>
      </w:r>
    </w:p>
    <w:p w14:paraId="3BB21748" w14:textId="3597FEBE" w:rsidR="00A14420" w:rsidRPr="00C4084C" w:rsidRDefault="00A14420" w:rsidP="00302041">
      <w:r w:rsidRPr="00C4084C">
        <w:t>Overall, fragmented policy changes have eroded both the stability and sustainability of higher education providers, and their flexibility in adapting to changing needs. To grow the system – and to achieve the ambitions outlined in previous chapters – change is needed.</w:t>
      </w:r>
    </w:p>
    <w:p w14:paraId="54B6EAE3" w14:textId="64C61434" w:rsidR="00436794" w:rsidRPr="00C4084C" w:rsidRDefault="00A14420" w:rsidP="00302041">
      <w:r w:rsidRPr="00C4084C">
        <w:t xml:space="preserve">This chapter proposes improvements to current system governance arrangements to enable a dynamic, </w:t>
      </w:r>
      <w:proofErr w:type="gramStart"/>
      <w:r w:rsidRPr="00C4084C">
        <w:t>collaborative</w:t>
      </w:r>
      <w:proofErr w:type="gramEnd"/>
      <w:r w:rsidRPr="00C4084C">
        <w:t xml:space="preserve"> and responsive </w:t>
      </w:r>
      <w:r w:rsidR="000F4E2F" w:rsidRPr="00C4084C">
        <w:t>tertiary education</w:t>
      </w:r>
      <w:r w:rsidRPr="00C4084C">
        <w:t xml:space="preserve"> system with the capacity and capability to drive reform. They include a new National Tertiary Education Objective to underpin a strong, equitable </w:t>
      </w:r>
      <w:r w:rsidR="00EF546A" w:rsidRPr="00C4084C">
        <w:t>democracy</w:t>
      </w:r>
      <w:r w:rsidRPr="00C4084C">
        <w:t xml:space="preserve"> and </w:t>
      </w:r>
      <w:r w:rsidR="00436794" w:rsidRPr="00C4084C">
        <w:t xml:space="preserve">to </w:t>
      </w:r>
      <w:r w:rsidRPr="00C4084C">
        <w:t>drive Australia’s economic</w:t>
      </w:r>
      <w:r w:rsidR="006417A6" w:rsidRPr="00C4084C">
        <w:t xml:space="preserve"> and</w:t>
      </w:r>
      <w:r w:rsidR="00436794" w:rsidRPr="00C4084C">
        <w:t xml:space="preserve"> </w:t>
      </w:r>
      <w:r w:rsidRPr="00C4084C">
        <w:t xml:space="preserve">social development </w:t>
      </w:r>
      <w:r w:rsidR="00436794" w:rsidRPr="00C4084C">
        <w:t xml:space="preserve">and environmental sustainability </w:t>
      </w:r>
      <w:r w:rsidRPr="00C4084C">
        <w:t>as an advanced nation.</w:t>
      </w:r>
    </w:p>
    <w:p w14:paraId="3A33F99A" w14:textId="60C65101" w:rsidR="00A14420" w:rsidRPr="00C4084C" w:rsidRDefault="00207F76" w:rsidP="00302041">
      <w:r w:rsidRPr="00C4084C">
        <w:t>This chapter covers the whole of the tertiary education system</w:t>
      </w:r>
      <w:r w:rsidR="009824EF">
        <w:t>. However,</w:t>
      </w:r>
      <w:r w:rsidRPr="00C4084C">
        <w:t xml:space="preserve"> in some cases the reforms proposed are intended to start first with higher education before being expanded to the whole tertiary </w:t>
      </w:r>
      <w:r w:rsidR="00011A69" w:rsidRPr="00C4084C">
        <w:t xml:space="preserve">education </w:t>
      </w:r>
      <w:r w:rsidRPr="00C4084C">
        <w:t>system.</w:t>
      </w:r>
    </w:p>
    <w:p w14:paraId="76FB579E" w14:textId="759A466C" w:rsidR="00A14420" w:rsidRPr="00C4084C" w:rsidRDefault="00A14420" w:rsidP="00302041">
      <w:r w:rsidRPr="00C4084C">
        <w:t xml:space="preserve">The </w:t>
      </w:r>
      <w:r w:rsidR="003D28B3" w:rsidRPr="00C4084C">
        <w:t>recommendation to establish</w:t>
      </w:r>
      <w:r w:rsidRPr="00C4084C">
        <w:t xml:space="preserve"> a Commission to enable greater coordination and adaptability across a diverse </w:t>
      </w:r>
      <w:r w:rsidR="000F4E2F" w:rsidRPr="00C4084C">
        <w:t>tertiary education</w:t>
      </w:r>
      <w:r w:rsidRPr="00C4084C">
        <w:t xml:space="preserve"> system and promote long-term strategic thinking was </w:t>
      </w:r>
      <w:r w:rsidR="00A00285">
        <w:t>included</w:t>
      </w:r>
      <w:r w:rsidR="00A00285" w:rsidRPr="00C4084C">
        <w:t xml:space="preserve"> </w:t>
      </w:r>
      <w:r w:rsidR="00A26FCB" w:rsidRPr="00C4084C">
        <w:t xml:space="preserve">in </w:t>
      </w:r>
      <w:r w:rsidRPr="00C4084C">
        <w:t xml:space="preserve">the Interim Report. Further consultation and analysis </w:t>
      </w:r>
      <w:r w:rsidR="0021360D" w:rsidRPr="00C4084C">
        <w:t xml:space="preserve">in </w:t>
      </w:r>
      <w:r w:rsidRPr="00C4084C">
        <w:t xml:space="preserve">the Review has reaffirmed the need for such a body to work </w:t>
      </w:r>
      <w:r w:rsidR="00097B91" w:rsidRPr="00C4084C">
        <w:t xml:space="preserve">closely and collaboratively </w:t>
      </w:r>
      <w:r w:rsidRPr="00C4084C">
        <w:t xml:space="preserve">with the </w:t>
      </w:r>
      <w:r w:rsidR="00714363" w:rsidRPr="00C4084C">
        <w:t xml:space="preserve">tertiary education </w:t>
      </w:r>
      <w:r w:rsidRPr="00C4084C">
        <w:t xml:space="preserve">sector and guide the system towards its vision for 2050. </w:t>
      </w:r>
      <w:r w:rsidR="005448C1" w:rsidRPr="00C4084C">
        <w:t>The</w:t>
      </w:r>
      <w:r w:rsidRPr="00C4084C">
        <w:t xml:space="preserve"> </w:t>
      </w:r>
      <w:r w:rsidR="00E339A6" w:rsidRPr="00C4084C">
        <w:t>Commission</w:t>
      </w:r>
      <w:r w:rsidRPr="00C4084C">
        <w:t xml:space="preserve"> is a key recommendation of the Review and, if implemented, will represent a landmark change to </w:t>
      </w:r>
      <w:r w:rsidR="00DC12D8" w:rsidRPr="00C4084C">
        <w:t xml:space="preserve">Australia’s </w:t>
      </w:r>
      <w:r w:rsidRPr="00C4084C">
        <w:t>higher education landscape.</w:t>
      </w:r>
    </w:p>
    <w:bookmarkEnd w:id="1000"/>
    <w:p w14:paraId="235D3DF7" w14:textId="46D83A3F" w:rsidR="00A14420" w:rsidRPr="00C4084C" w:rsidRDefault="00A14420" w:rsidP="00302041">
      <w:r w:rsidRPr="00C4084C">
        <w:t>This chapter also describes the need for a system that is adaptive to the scale and diversity of providers</w:t>
      </w:r>
      <w:r w:rsidR="00714363" w:rsidRPr="00C4084C">
        <w:t xml:space="preserve"> that are needed</w:t>
      </w:r>
      <w:r w:rsidRPr="00C4084C">
        <w:t xml:space="preserve">, and </w:t>
      </w:r>
      <w:r w:rsidR="001A50DF" w:rsidRPr="00C4084C">
        <w:t xml:space="preserve">the type of </w:t>
      </w:r>
      <w:r w:rsidRPr="00C4084C">
        <w:t>workforce arrangements for staff</w:t>
      </w:r>
      <w:r w:rsidR="001A50DF" w:rsidRPr="00C4084C">
        <w:t xml:space="preserve"> that are required to support this adaptability.</w:t>
      </w:r>
    </w:p>
    <w:p w14:paraId="3DCF1CFA" w14:textId="24B4BE02" w:rsidR="00793D8D" w:rsidRPr="00C4084C" w:rsidRDefault="00A14420" w:rsidP="00302041">
      <w:r w:rsidRPr="00C4084C">
        <w:lastRenderedPageBreak/>
        <w:t xml:space="preserve">Importantly, each of </w:t>
      </w:r>
      <w:r w:rsidR="00357D42" w:rsidRPr="00C4084C">
        <w:t xml:space="preserve">these </w:t>
      </w:r>
      <w:r w:rsidR="00A26FCB" w:rsidRPr="00C4084C">
        <w:t>is</w:t>
      </w:r>
      <w:r w:rsidR="00A26FCB" w:rsidRPr="00C4084C" w:rsidDel="00493800">
        <w:t xml:space="preserve"> </w:t>
      </w:r>
      <w:r w:rsidRPr="00C4084C">
        <w:t xml:space="preserve">intended to be implemented in a way that reduces administrative burden on institutions whilst increasing </w:t>
      </w:r>
      <w:r w:rsidR="0030250C" w:rsidRPr="00C4084C">
        <w:t>tertiary education</w:t>
      </w:r>
      <w:r w:rsidRPr="00C4084C">
        <w:t xml:space="preserve"> system intelligence, harnessing system </w:t>
      </w:r>
      <w:proofErr w:type="gramStart"/>
      <w:r w:rsidRPr="00C4084C">
        <w:t>capability</w:t>
      </w:r>
      <w:proofErr w:type="gramEnd"/>
      <w:r w:rsidRPr="00C4084C">
        <w:t xml:space="preserve"> and reinforcing institutional autonomy. This will enable the system to grow and to deliver on areas of national need</w:t>
      </w:r>
      <w:r w:rsidR="00107EA5" w:rsidRPr="00C4084C">
        <w:t xml:space="preserve">, </w:t>
      </w:r>
      <w:r w:rsidR="0030250C" w:rsidRPr="00C4084C">
        <w:t>now and in the future</w:t>
      </w:r>
      <w:r w:rsidRPr="00C4084C">
        <w:t>.</w:t>
      </w:r>
    </w:p>
    <w:p w14:paraId="00E161DC" w14:textId="672F064E" w:rsidR="00A14420" w:rsidRPr="00C4084C" w:rsidRDefault="00A14420" w:rsidP="00745009">
      <w:pPr>
        <w:pStyle w:val="Heading3"/>
      </w:pPr>
      <w:bookmarkStart w:id="1001" w:name="_Toc150600334"/>
      <w:bookmarkStart w:id="1002" w:name="_Toc814731942"/>
      <w:bookmarkStart w:id="1003" w:name="_Toc1936016996"/>
      <w:bookmarkStart w:id="1004" w:name="_Toc1900523850"/>
      <w:bookmarkStart w:id="1005" w:name="_Toc153483079"/>
      <w:bookmarkStart w:id="1006" w:name="_Toc159500989"/>
      <w:r w:rsidRPr="00C4084C">
        <w:t>The need for a deep-thinking system with clear direction</w:t>
      </w:r>
      <w:bookmarkEnd w:id="1001"/>
      <w:bookmarkEnd w:id="1002"/>
      <w:bookmarkEnd w:id="1003"/>
      <w:bookmarkEnd w:id="1004"/>
      <w:bookmarkEnd w:id="1005"/>
      <w:bookmarkEnd w:id="1006"/>
    </w:p>
    <w:p w14:paraId="6173E027" w14:textId="1E01F03A" w:rsidR="00A14420" w:rsidRPr="00C4084C" w:rsidRDefault="00A14420" w:rsidP="00302041">
      <w:r w:rsidRPr="00C4084C">
        <w:t xml:space="preserve">The Review has identified many challenges for the tertiary education </w:t>
      </w:r>
      <w:r w:rsidR="00011A69" w:rsidRPr="00C4084C">
        <w:t xml:space="preserve">system </w:t>
      </w:r>
      <w:r w:rsidRPr="00C4084C">
        <w:t>across the full spectrum of its activities in the coming decades. To meet these</w:t>
      </w:r>
      <w:r w:rsidR="773120A0" w:rsidRPr="00C4084C">
        <w:t xml:space="preserve"> challenges</w:t>
      </w:r>
      <w:r w:rsidRPr="00C4084C">
        <w:t>, the system must be able to think, plan and act more cohesively. However, the current approach to system-wide planning and policymaking is fragmented</w:t>
      </w:r>
      <w:r w:rsidR="004377F5" w:rsidRPr="00C4084C">
        <w:t xml:space="preserve">, lacks </w:t>
      </w:r>
      <w:proofErr w:type="gramStart"/>
      <w:r w:rsidR="004377F5" w:rsidRPr="00C4084C">
        <w:t>collaboration</w:t>
      </w:r>
      <w:proofErr w:type="gramEnd"/>
      <w:r w:rsidRPr="00C4084C">
        <w:t xml:space="preserve"> and </w:t>
      </w:r>
      <w:r w:rsidR="004377F5" w:rsidRPr="00C4084C">
        <w:t>does not focus on the long</w:t>
      </w:r>
      <w:r w:rsidR="012BA4F7" w:rsidRPr="00C4084C">
        <w:t>-</w:t>
      </w:r>
      <w:r w:rsidR="004377F5" w:rsidRPr="00C4084C">
        <w:t>term future</w:t>
      </w:r>
      <w:r w:rsidRPr="00C4084C">
        <w:t xml:space="preserve">. </w:t>
      </w:r>
    </w:p>
    <w:p w14:paraId="356B30F4" w14:textId="35F91FE5" w:rsidR="00A14420" w:rsidRPr="00C4084C" w:rsidRDefault="00A14420" w:rsidP="00302041">
      <w:r w:rsidRPr="00C4084C">
        <w:t xml:space="preserve">This is not a new issue. Since the abolition of the Commonwealth Tertiary Education Commission (CTEC) in 1988, tertiary education policy and implementation in Australia has </w:t>
      </w:r>
      <w:r w:rsidR="00F939C3">
        <w:t>lacked</w:t>
      </w:r>
      <w:r w:rsidRPr="00C4084C">
        <w:t xml:space="preserve"> deep thinking and clarity of direction. This dynamic cuts across the diverse activities of the </w:t>
      </w:r>
      <w:r w:rsidR="004823BB" w:rsidRPr="00C4084C">
        <w:t xml:space="preserve">tertiary </w:t>
      </w:r>
      <w:r w:rsidRPr="00C4084C">
        <w:t>education</w:t>
      </w:r>
      <w:r w:rsidR="00ED48E6" w:rsidRPr="00C4084C">
        <w:t xml:space="preserve"> system</w:t>
      </w:r>
      <w:r w:rsidRPr="00C4084C">
        <w:t xml:space="preserve"> and research sectors. It means that Australia is not making effective use of its education institutions’ expertise or of the resources it commits to the system.</w:t>
      </w:r>
    </w:p>
    <w:p w14:paraId="6C41DE73" w14:textId="3A8C901A" w:rsidR="00A14420" w:rsidRPr="00C4084C" w:rsidRDefault="00A14420" w:rsidP="00302041">
      <w:r w:rsidRPr="00C4084C">
        <w:t xml:space="preserve">At the same time, and across successive governments, there has been a decline in the capability and capacity of the public institutions responsible for overseeing the system. This has been compounded by the shape of the institutional structures governing it, which are centred </w:t>
      </w:r>
      <w:r w:rsidR="1F97B2CD" w:rsidRPr="00C4084C">
        <w:t>i</w:t>
      </w:r>
      <w:r w:rsidRPr="00C4084C">
        <w:t xml:space="preserve">n policy departments which lack a long-term system focus and </w:t>
      </w:r>
      <w:r w:rsidR="00077D0A">
        <w:t xml:space="preserve">have </w:t>
      </w:r>
      <w:r w:rsidRPr="00C4084C">
        <w:t>instead prioritise</w:t>
      </w:r>
      <w:r w:rsidR="00077D0A">
        <w:t>d</w:t>
      </w:r>
      <w:r w:rsidRPr="00C4084C">
        <w:t xml:space="preserve"> responsiveness to ministerial and government priorities. Compared with other large and complex policy systems with a high degree of government involvement, for example the health system, the tertiary education landscape lacks stewardship-focused bodies that </w:t>
      </w:r>
      <w:proofErr w:type="gramStart"/>
      <w:r w:rsidRPr="00C4084C">
        <w:t>are able to</w:t>
      </w:r>
      <w:proofErr w:type="gramEnd"/>
      <w:r w:rsidRPr="00C4084C">
        <w:t xml:space="preserve"> provide continuity and deep</w:t>
      </w:r>
      <w:r w:rsidR="00F45C04" w:rsidRPr="00C4084C">
        <w:t xml:space="preserve"> historical</w:t>
      </w:r>
      <w:r w:rsidRPr="00C4084C">
        <w:t xml:space="preserve"> knowledge of the system. These other systems have </w:t>
      </w:r>
      <w:r w:rsidR="00101240">
        <w:t xml:space="preserve">provided guidance for </w:t>
      </w:r>
      <w:r w:rsidRPr="00C4084C">
        <w:t>the Review in identifying the opportunities that a long-term system steward, coupled with a responsive</w:t>
      </w:r>
      <w:r w:rsidR="00077D0A">
        <w:t>, high capability</w:t>
      </w:r>
      <w:r w:rsidRPr="00C4084C">
        <w:t xml:space="preserve"> department of state, </w:t>
      </w:r>
      <w:r w:rsidR="57554956" w:rsidRPr="00C4084C">
        <w:t xml:space="preserve">can </w:t>
      </w:r>
      <w:r w:rsidRPr="00C4084C">
        <w:t xml:space="preserve">provide for </w:t>
      </w:r>
      <w:r w:rsidR="00456F07" w:rsidRPr="00C4084C">
        <w:t xml:space="preserve">tertiary </w:t>
      </w:r>
      <w:r w:rsidRPr="00C4084C">
        <w:t>education.</w:t>
      </w:r>
    </w:p>
    <w:p w14:paraId="35FFCB81" w14:textId="02724C9D" w:rsidR="00A14420" w:rsidRPr="00C4084C" w:rsidRDefault="00A14420" w:rsidP="00302041">
      <w:r w:rsidRPr="00C4084C">
        <w:t xml:space="preserve">In the absence of a single institution responsible for long-term vision to guide policy development, the system has accrued </w:t>
      </w:r>
      <w:r w:rsidR="004377F5" w:rsidRPr="00C4084C">
        <w:t xml:space="preserve">a </w:t>
      </w:r>
      <w:r w:rsidRPr="00C4084C">
        <w:t>legacy of the shifting priorities of ministers and governments described by one submission as ‘programmatic confetti’.</w:t>
      </w:r>
      <w:r w:rsidRPr="00C4084C">
        <w:rPr>
          <w:rStyle w:val="FootnoteReference"/>
        </w:rPr>
        <w:footnoteReference w:id="373"/>
      </w:r>
      <w:r w:rsidRPr="00C4084C">
        <w:t xml:space="preserve"> This reflects the missed opportunities for cohesive, </w:t>
      </w:r>
      <w:proofErr w:type="gramStart"/>
      <w:r w:rsidRPr="00C4084C">
        <w:t>stable</w:t>
      </w:r>
      <w:proofErr w:type="gramEnd"/>
      <w:r w:rsidRPr="00C4084C">
        <w:t xml:space="preserve"> and future-focused settings that will give institutions the confidence to make the changes required to meet the challenges identified by this Review.</w:t>
      </w:r>
    </w:p>
    <w:p w14:paraId="312ED2BB" w14:textId="4B6992AC" w:rsidR="00A14420" w:rsidRPr="00C4084C" w:rsidRDefault="00A14420" w:rsidP="00302041">
      <w:r w:rsidRPr="00C4084C">
        <w:t>The gap has been particularly stark in areas including policy design, planning for evolution and change, projecting future need and uptake, and accurate pricing of teaching and research activities. Recent examples point to how these shortcomings affect the providers and students in the system:</w:t>
      </w:r>
    </w:p>
    <w:p w14:paraId="6C57129E" w14:textId="49F93387" w:rsidR="00A14420" w:rsidRPr="00C4084C" w:rsidRDefault="00C102E1" w:rsidP="00AA41AC">
      <w:pPr>
        <w:pStyle w:val="ListBullet"/>
      </w:pPr>
      <w:r w:rsidRPr="00C4084C">
        <w:t>t</w:t>
      </w:r>
      <w:r w:rsidR="00A14420" w:rsidRPr="00C4084C">
        <w:t xml:space="preserve">he JRG reforms included policy changes that relied on student behavioural responses not supported by evidence </w:t>
      </w:r>
      <w:r w:rsidR="567C7DEF" w:rsidRPr="00C4084C">
        <w:t>to</w:t>
      </w:r>
      <w:r w:rsidR="00A14420" w:rsidRPr="00C4084C">
        <w:t xml:space="preserve"> increase student enrolments in government-preferred fields of </w:t>
      </w:r>
      <w:proofErr w:type="gramStart"/>
      <w:r w:rsidR="00A14420" w:rsidRPr="00C4084C">
        <w:t>study</w:t>
      </w:r>
      <w:proofErr w:type="gramEnd"/>
    </w:p>
    <w:p w14:paraId="12A9C8AE" w14:textId="7E15E0C4" w:rsidR="00F504F4" w:rsidRPr="00C4084C" w:rsidRDefault="00C102E1" w:rsidP="00AA41AC">
      <w:pPr>
        <w:pStyle w:val="ListBullet"/>
      </w:pPr>
      <w:r w:rsidRPr="00C4084C">
        <w:t>t</w:t>
      </w:r>
      <w:r w:rsidR="00F504F4" w:rsidRPr="00C4084C">
        <w:t>he lack of planning for growth in areas of poor tertiary education provision and strong population growth, for example the outer metropolitan areas of our major cities</w:t>
      </w:r>
    </w:p>
    <w:p w14:paraId="39887718" w14:textId="65A801C3" w:rsidR="00452B14" w:rsidRPr="00C4084C" w:rsidRDefault="00C102E1" w:rsidP="00AA41AC">
      <w:pPr>
        <w:pStyle w:val="ListBullet"/>
      </w:pPr>
      <w:r w:rsidRPr="00C4084C">
        <w:t>t</w:t>
      </w:r>
      <w:r w:rsidR="0091040B" w:rsidRPr="00C4084C">
        <w:t xml:space="preserve">he persistent under-representation </w:t>
      </w:r>
      <w:r w:rsidR="00F939C3">
        <w:t xml:space="preserve">of </w:t>
      </w:r>
      <w:r w:rsidR="009B7AAF" w:rsidRPr="00C4084C">
        <w:t>some</w:t>
      </w:r>
      <w:r w:rsidR="0091040B" w:rsidRPr="00C4084C">
        <w:t xml:space="preserve"> student</w:t>
      </w:r>
      <w:r w:rsidR="009B7AAF" w:rsidRPr="00C4084C">
        <w:t xml:space="preserve"> cohorts</w:t>
      </w:r>
      <w:r w:rsidR="0091040B" w:rsidRPr="00C4084C">
        <w:t xml:space="preserve"> in higher education, meaning </w:t>
      </w:r>
      <w:r w:rsidR="00F939C3">
        <w:t>many</w:t>
      </w:r>
      <w:r w:rsidR="0091040B" w:rsidRPr="00C4084C">
        <w:t xml:space="preserve"> Australians do not have the opportunity to participate in and benefit from post-school </w:t>
      </w:r>
      <w:proofErr w:type="gramStart"/>
      <w:r w:rsidR="0091040B" w:rsidRPr="00C4084C">
        <w:t>education</w:t>
      </w:r>
      <w:proofErr w:type="gramEnd"/>
    </w:p>
    <w:p w14:paraId="71FF492E" w14:textId="1B236733" w:rsidR="0091040B" w:rsidRPr="00C4084C" w:rsidRDefault="00C102E1" w:rsidP="00AA41AC">
      <w:pPr>
        <w:pStyle w:val="ListBullet"/>
      </w:pPr>
      <w:r w:rsidRPr="00C4084C">
        <w:lastRenderedPageBreak/>
        <w:t>o</w:t>
      </w:r>
      <w:r w:rsidR="008B541C" w:rsidRPr="00C4084C">
        <w:t xml:space="preserve">ngoing challenges from </w:t>
      </w:r>
      <w:r w:rsidR="00BB0EAD" w:rsidRPr="00C4084C">
        <w:t xml:space="preserve">the </w:t>
      </w:r>
      <w:r w:rsidR="00495A36" w:rsidRPr="00C4084C">
        <w:t xml:space="preserve">lack of alignment between </w:t>
      </w:r>
      <w:r w:rsidR="00A163E5">
        <w:t xml:space="preserve">the </w:t>
      </w:r>
      <w:r w:rsidR="00495A36" w:rsidRPr="00C4084C">
        <w:t>higher education and vocational education and training s</w:t>
      </w:r>
      <w:r w:rsidR="009B7AAF" w:rsidRPr="00C4084C">
        <w:t>ector</w:t>
      </w:r>
      <w:r w:rsidR="00495A36" w:rsidRPr="00C4084C">
        <w:t>s</w:t>
      </w:r>
      <w:r w:rsidR="00C957B0" w:rsidRPr="00C4084C">
        <w:t>, including barriers to reskilling and recognition of skills</w:t>
      </w:r>
      <w:r w:rsidR="003A4444" w:rsidRPr="00C4084C">
        <w:t xml:space="preserve">, have exacerbated skills </w:t>
      </w:r>
      <w:proofErr w:type="gramStart"/>
      <w:r w:rsidR="003A4444" w:rsidRPr="00C4084C">
        <w:t>shortages</w:t>
      </w:r>
      <w:proofErr w:type="gramEnd"/>
    </w:p>
    <w:p w14:paraId="2700CB3E" w14:textId="099464FE" w:rsidR="00E570B9" w:rsidRPr="00C4084C" w:rsidRDefault="00C102E1" w:rsidP="00AA41AC">
      <w:pPr>
        <w:pStyle w:val="ListBullet"/>
      </w:pPr>
      <w:r w:rsidRPr="00C4084C">
        <w:t>t</w:t>
      </w:r>
      <w:r w:rsidR="00E570B9" w:rsidRPr="00C4084C">
        <w:t>he growth of competitive research funding without planning</w:t>
      </w:r>
      <w:r w:rsidR="00930A54" w:rsidRPr="00C4084C">
        <w:t xml:space="preserve"> for oncosts and indirect costs has led to the burden of matched funding problem, described in the previous </w:t>
      </w:r>
      <w:proofErr w:type="gramStart"/>
      <w:r w:rsidR="00930A54" w:rsidRPr="00C4084C">
        <w:t>chapter</w:t>
      </w:r>
      <w:proofErr w:type="gramEnd"/>
    </w:p>
    <w:p w14:paraId="63722A90" w14:textId="35F6E602" w:rsidR="00A14420" w:rsidRPr="00C4084C" w:rsidRDefault="00160FFB" w:rsidP="00AA41AC">
      <w:pPr>
        <w:pStyle w:val="ListBullet"/>
      </w:pPr>
      <w:r w:rsidRPr="00C4084C">
        <w:t>t</w:t>
      </w:r>
      <w:r w:rsidR="00A14420" w:rsidRPr="00C4084C">
        <w:t xml:space="preserve">he lack of coherent and coordinated risk management planning was starkly evident during the COVID-19 pandemic </w:t>
      </w:r>
      <w:r w:rsidR="00F959BE" w:rsidRPr="00C4084C">
        <w:t xml:space="preserve">when </w:t>
      </w:r>
      <w:r w:rsidR="00361F7A" w:rsidRPr="00C4084C">
        <w:t>short term skills needs were unmet</w:t>
      </w:r>
      <w:r w:rsidR="00F959BE" w:rsidRPr="00C4084C">
        <w:t xml:space="preserve"> </w:t>
      </w:r>
      <w:r w:rsidR="00A14420" w:rsidRPr="00C4084C">
        <w:t xml:space="preserve">and international </w:t>
      </w:r>
      <w:r w:rsidR="004B32EE" w:rsidRPr="00C4084C">
        <w:t xml:space="preserve">student </w:t>
      </w:r>
      <w:r w:rsidR="00A14420" w:rsidRPr="00C4084C">
        <w:t>enrolments</w:t>
      </w:r>
      <w:r w:rsidR="00490C72" w:rsidRPr="00C4084C">
        <w:t xml:space="preserve"> suddenly </w:t>
      </w:r>
      <w:proofErr w:type="gramStart"/>
      <w:r w:rsidR="00490C72" w:rsidRPr="00C4084C">
        <w:t>fell</w:t>
      </w:r>
      <w:proofErr w:type="gramEnd"/>
      <w:r w:rsidR="00A14420" w:rsidRPr="00C4084C">
        <w:t xml:space="preserve"> </w:t>
      </w:r>
    </w:p>
    <w:p w14:paraId="2DD7B732" w14:textId="2158C5D1" w:rsidR="00A14420" w:rsidRPr="00C4084C" w:rsidRDefault="00160FFB" w:rsidP="00AA41AC">
      <w:pPr>
        <w:pStyle w:val="ListBullet"/>
      </w:pPr>
      <w:r w:rsidRPr="00C4084C">
        <w:t>t</w:t>
      </w:r>
      <w:r w:rsidR="004B32EE" w:rsidRPr="00C4084C">
        <w:t>he</w:t>
      </w:r>
      <w:r w:rsidR="00A14420" w:rsidRPr="00C4084C">
        <w:t xml:space="preserve"> system has not been successful at projecting and acting on opportunities for skills development that would help Australia engage better with our region (e.g. Indonesian language skills)</w:t>
      </w:r>
    </w:p>
    <w:p w14:paraId="6BBD7FF3" w14:textId="3AB308C6" w:rsidR="0096197F" w:rsidRPr="00C4084C" w:rsidRDefault="00160FFB" w:rsidP="00AA41AC">
      <w:pPr>
        <w:pStyle w:val="ListBullet"/>
      </w:pPr>
      <w:r w:rsidRPr="00C4084C">
        <w:t>t</w:t>
      </w:r>
      <w:r w:rsidR="00A14420" w:rsidRPr="00C4084C">
        <w:t xml:space="preserve">he current lack of clarity on pricing what government and students pay to reflect the true cost of delivery, both for the teaching of individual courses and for research activities, limits the targeting of funding arrangements to achieve intended policy </w:t>
      </w:r>
      <w:proofErr w:type="gramStart"/>
      <w:r w:rsidR="00A14420" w:rsidRPr="00C4084C">
        <w:t>outcomes</w:t>
      </w:r>
      <w:proofErr w:type="gramEnd"/>
    </w:p>
    <w:p w14:paraId="479BCDAF" w14:textId="0ADDB75C" w:rsidR="00A14420" w:rsidRPr="00C4084C" w:rsidRDefault="00930A54" w:rsidP="00AA41AC">
      <w:pPr>
        <w:pStyle w:val="ListBullet"/>
      </w:pPr>
      <w:r w:rsidRPr="00C4084C">
        <w:t>t</w:t>
      </w:r>
      <w:r w:rsidR="0096197F" w:rsidRPr="00C4084C">
        <w:t>he disconnect</w:t>
      </w:r>
      <w:r w:rsidR="4F3AFF10" w:rsidRPr="00C4084C">
        <w:t xml:space="preserve"> between </w:t>
      </w:r>
      <w:r w:rsidR="00B0655A" w:rsidRPr="00C4084C">
        <w:t xml:space="preserve">the international education policies of </w:t>
      </w:r>
      <w:r w:rsidR="004B4866" w:rsidRPr="00C4084C">
        <w:t>tertiary education provider</w:t>
      </w:r>
      <w:r w:rsidR="00B0655A" w:rsidRPr="00C4084C">
        <w:t xml:space="preserve">s </w:t>
      </w:r>
      <w:r w:rsidR="0096197F" w:rsidRPr="00C4084C">
        <w:t>and broader migration policy means</w:t>
      </w:r>
      <w:r w:rsidR="00A14420" w:rsidRPr="00C4084C">
        <w:t xml:space="preserve"> </w:t>
      </w:r>
      <w:r w:rsidR="004D56C9" w:rsidRPr="00C4084C">
        <w:t>the potential benefits for international students and the nation are not being fully captured.</w:t>
      </w:r>
      <w:r w:rsidR="00A14420" w:rsidRPr="00C4084C">
        <w:t xml:space="preserve"> </w:t>
      </w:r>
    </w:p>
    <w:p w14:paraId="3F2E8838" w14:textId="77030E4D" w:rsidR="00A14420" w:rsidRPr="00C4084C" w:rsidRDefault="00A14420" w:rsidP="00302041">
      <w:r w:rsidRPr="00C4084C">
        <w:t>For the</w:t>
      </w:r>
      <w:r w:rsidR="004B4866" w:rsidRPr="00C4084C">
        <w:t xml:space="preserve"> tertiary education</w:t>
      </w:r>
      <w:r w:rsidRPr="00C4084C">
        <w:t xml:space="preserve"> </w:t>
      </w:r>
      <w:r w:rsidR="000B0C0F" w:rsidRPr="00C4084C">
        <w:t xml:space="preserve">system </w:t>
      </w:r>
      <w:r w:rsidRPr="00C4084C">
        <w:t xml:space="preserve">to flourish and be agile to future needs, the policymaking and operational parts of the system need to </w:t>
      </w:r>
      <w:r w:rsidR="00C044BF" w:rsidRPr="00C4084C">
        <w:t xml:space="preserve">be </w:t>
      </w:r>
      <w:r w:rsidRPr="00C4084C">
        <w:t xml:space="preserve">better at identifying and responding to challenges and opportunities. The Review is of the view that adding deep thinking and clarity of direction through an institutionalised system steward would improve outcomes across the tertiary education system. </w:t>
      </w:r>
      <w:r w:rsidR="000F26D6" w:rsidRPr="00C4084C">
        <w:t>A</w:t>
      </w:r>
      <w:r w:rsidRPr="00C4084C">
        <w:t xml:space="preserve"> system steward would enable improvements in:</w:t>
      </w:r>
    </w:p>
    <w:p w14:paraId="772C976B" w14:textId="2454997F" w:rsidR="00A14420" w:rsidRPr="00C4084C" w:rsidRDefault="00A14420" w:rsidP="001B05F3">
      <w:pPr>
        <w:pStyle w:val="ListBullet"/>
      </w:pPr>
      <w:r w:rsidRPr="00C4084C">
        <w:t>ensuring</w:t>
      </w:r>
      <w:r w:rsidRPr="00C4084C" w:rsidDel="0049073E">
        <w:t xml:space="preserve"> </w:t>
      </w:r>
      <w:r w:rsidRPr="00C4084C">
        <w:t xml:space="preserve">the higher education </w:t>
      </w:r>
      <w:r w:rsidR="00D57B8B" w:rsidRPr="00C4084C">
        <w:t xml:space="preserve">sector </w:t>
      </w:r>
      <w:r w:rsidRPr="00C4084C">
        <w:t xml:space="preserve">is </w:t>
      </w:r>
      <w:r w:rsidR="003B0900" w:rsidRPr="00C4084C">
        <w:t>working in concert with the vocational education and training s</w:t>
      </w:r>
      <w:r w:rsidR="00D57B8B" w:rsidRPr="00C4084C">
        <w:t>ector</w:t>
      </w:r>
      <w:r w:rsidR="003B0900" w:rsidRPr="00C4084C">
        <w:t xml:space="preserve"> and </w:t>
      </w:r>
      <w:r w:rsidRPr="00C4084C">
        <w:t xml:space="preserve">responding to the current and expected future skills needs of the </w:t>
      </w:r>
      <w:proofErr w:type="gramStart"/>
      <w:r w:rsidRPr="00C4084C">
        <w:t>country</w:t>
      </w:r>
      <w:proofErr w:type="gramEnd"/>
    </w:p>
    <w:p w14:paraId="04B9E43A" w14:textId="21C9DA37" w:rsidR="00A14420" w:rsidRPr="00C4084C" w:rsidRDefault="00A14420" w:rsidP="001B05F3">
      <w:pPr>
        <w:pStyle w:val="ListBullet"/>
      </w:pPr>
      <w:r w:rsidRPr="00C4084C">
        <w:t xml:space="preserve">driving the system as a whole to improve access and opportunities for historically </w:t>
      </w:r>
      <w:r w:rsidR="00D7545F" w:rsidRPr="00C4084C">
        <w:t>under-represented</w:t>
      </w:r>
      <w:r w:rsidRPr="00C4084C">
        <w:t xml:space="preserve"> </w:t>
      </w:r>
      <w:proofErr w:type="gramStart"/>
      <w:r w:rsidR="0049073E" w:rsidRPr="00C4084C">
        <w:t>cohorts</w:t>
      </w:r>
      <w:proofErr w:type="gramEnd"/>
    </w:p>
    <w:p w14:paraId="1CBC50B7" w14:textId="05DF3D88" w:rsidR="0036769F" w:rsidRPr="00C4084C" w:rsidRDefault="0036769F" w:rsidP="001B05F3">
      <w:pPr>
        <w:pStyle w:val="ListBullet"/>
      </w:pPr>
      <w:r w:rsidRPr="00C4084C">
        <w:t xml:space="preserve">ensuring </w:t>
      </w:r>
      <w:r w:rsidR="00747613" w:rsidRPr="00C4084C">
        <w:t xml:space="preserve">higher education is affordable for Australians who choose to </w:t>
      </w:r>
      <w:proofErr w:type="gramStart"/>
      <w:r w:rsidR="00747613" w:rsidRPr="00C4084C">
        <w:t>participate</w:t>
      </w:r>
      <w:proofErr w:type="gramEnd"/>
    </w:p>
    <w:p w14:paraId="60EE9246" w14:textId="23C4415D" w:rsidR="00ED095A" w:rsidRPr="00C4084C" w:rsidRDefault="00ED095A" w:rsidP="001B05F3">
      <w:pPr>
        <w:pStyle w:val="ListBullet"/>
      </w:pPr>
      <w:r w:rsidRPr="00C4084C">
        <w:t>improving student experiences in tertiary education, including their safety and wellbeing</w:t>
      </w:r>
    </w:p>
    <w:p w14:paraId="6A753E63" w14:textId="5C915375" w:rsidR="00A14420" w:rsidRPr="00C4084C" w:rsidRDefault="00A14420" w:rsidP="001B05F3">
      <w:pPr>
        <w:pStyle w:val="ListBullet"/>
      </w:pPr>
      <w:r w:rsidRPr="00C4084C">
        <w:t xml:space="preserve">planning for the changing shape and expectations of the </w:t>
      </w:r>
      <w:r w:rsidR="000F5EA1" w:rsidRPr="00C4084C">
        <w:t>tertiary education</w:t>
      </w:r>
      <w:r w:rsidRPr="00C4084C">
        <w:t xml:space="preserve"> system, including for geographic areas of under</w:t>
      </w:r>
      <w:r w:rsidR="002374E9" w:rsidRPr="00C4084C">
        <w:t>-</w:t>
      </w:r>
      <w:r w:rsidRPr="00C4084C">
        <w:t xml:space="preserve">provision and the diversity of </w:t>
      </w:r>
      <w:proofErr w:type="gramStart"/>
      <w:r w:rsidRPr="00C4084C">
        <w:t>providers</w:t>
      </w:r>
      <w:proofErr w:type="gramEnd"/>
    </w:p>
    <w:p w14:paraId="49CB716C" w14:textId="3AB0E7F0" w:rsidR="002D74DD" w:rsidRPr="00C4084C" w:rsidRDefault="002D74DD" w:rsidP="001B05F3">
      <w:pPr>
        <w:pStyle w:val="ListBullet"/>
      </w:pPr>
      <w:r w:rsidRPr="00C4084C">
        <w:t>improving the understanding of the costs of delivery, including the cost of providing additional support for students to succeed</w:t>
      </w:r>
    </w:p>
    <w:p w14:paraId="3A7CDC5C" w14:textId="533B9AC8" w:rsidR="00ED095A" w:rsidRPr="00C4084C" w:rsidRDefault="00A14420" w:rsidP="005355AB">
      <w:pPr>
        <w:pStyle w:val="ListBullet"/>
      </w:pPr>
      <w:r w:rsidRPr="00C4084C">
        <w:t xml:space="preserve">encouraging continuous improvement across the system for the quality of education, </w:t>
      </w:r>
      <w:proofErr w:type="gramStart"/>
      <w:r w:rsidRPr="00C4084C">
        <w:t>research</w:t>
      </w:r>
      <w:proofErr w:type="gramEnd"/>
      <w:r w:rsidRPr="00C4084C">
        <w:t xml:space="preserve"> and research training</w:t>
      </w:r>
    </w:p>
    <w:p w14:paraId="0A2121C2" w14:textId="79588448" w:rsidR="005355AB" w:rsidRPr="00C4084C" w:rsidRDefault="005355AB" w:rsidP="005355AB">
      <w:pPr>
        <w:pStyle w:val="ListBullet"/>
      </w:pPr>
      <w:r w:rsidRPr="00C4084C">
        <w:t xml:space="preserve">improving the </w:t>
      </w:r>
      <w:r w:rsidR="003B0900" w:rsidRPr="00C4084C">
        <w:t xml:space="preserve">training, professional </w:t>
      </w:r>
      <w:proofErr w:type="gramStart"/>
      <w:r w:rsidR="003B0900" w:rsidRPr="00C4084C">
        <w:t>development</w:t>
      </w:r>
      <w:proofErr w:type="gramEnd"/>
      <w:r w:rsidR="003B0900" w:rsidRPr="00C4084C">
        <w:t xml:space="preserve"> and </w:t>
      </w:r>
      <w:r w:rsidR="0052618A" w:rsidRPr="00C4084C">
        <w:t xml:space="preserve">opportunities available for staff in higher education, including </w:t>
      </w:r>
      <w:r w:rsidR="00592BDD" w:rsidRPr="00C4084C">
        <w:t>addressing reliance on casual employment</w:t>
      </w:r>
    </w:p>
    <w:p w14:paraId="7C859244" w14:textId="77777777" w:rsidR="00A14420" w:rsidRPr="00C4084C" w:rsidRDefault="00A14420" w:rsidP="001B05F3">
      <w:pPr>
        <w:pStyle w:val="ListBullet"/>
      </w:pPr>
      <w:r w:rsidRPr="00C4084C">
        <w:t xml:space="preserve">connecting efforts and policy across the country to drive a cohesive tertiary education </w:t>
      </w:r>
      <w:proofErr w:type="gramStart"/>
      <w:r w:rsidRPr="00C4084C">
        <w:t>system</w:t>
      </w:r>
      <w:proofErr w:type="gramEnd"/>
      <w:r w:rsidRPr="00C4084C">
        <w:t xml:space="preserve"> </w:t>
      </w:r>
    </w:p>
    <w:p w14:paraId="2B492627" w14:textId="2FF7D7CB" w:rsidR="00A14420" w:rsidRPr="00C4084C" w:rsidRDefault="00A14420" w:rsidP="001B05F3">
      <w:pPr>
        <w:pStyle w:val="ListBullet"/>
      </w:pPr>
      <w:r w:rsidRPr="00C4084C">
        <w:t>bringing in the users and stakeholders of the system to be part of the problem identification and policy development and implementation process</w:t>
      </w:r>
      <w:r w:rsidR="00A26FCB" w:rsidRPr="00C4084C">
        <w:t>es</w:t>
      </w:r>
      <w:r w:rsidRPr="00C4084C">
        <w:t xml:space="preserve">. </w:t>
      </w:r>
    </w:p>
    <w:p w14:paraId="30496BED" w14:textId="5B11E742" w:rsidR="00A14420" w:rsidRPr="00C4084C" w:rsidRDefault="00A14420" w:rsidP="00302041">
      <w:r w:rsidRPr="00C4084C">
        <w:t xml:space="preserve">This system steward, proposed to be called the </w:t>
      </w:r>
      <w:r w:rsidR="16C57C02" w:rsidRPr="00C4084C">
        <w:t xml:space="preserve">Australian Tertiary Education </w:t>
      </w:r>
      <w:r w:rsidRPr="00C4084C">
        <w:t>Commission</w:t>
      </w:r>
      <w:r w:rsidR="001BF13F" w:rsidRPr="00C4084C">
        <w:t xml:space="preserve"> (</w:t>
      </w:r>
      <w:r w:rsidR="7DEBF8A4" w:rsidRPr="00C4084C">
        <w:t xml:space="preserve">the </w:t>
      </w:r>
      <w:r w:rsidR="001BF13F" w:rsidRPr="00C4084C">
        <w:t>Commission)</w:t>
      </w:r>
      <w:r w:rsidRPr="00C4084C">
        <w:t xml:space="preserve">, would provide new capability to convene government agencies, education and research providers, students and staff, industry and business representatives, </w:t>
      </w:r>
      <w:proofErr w:type="gramStart"/>
      <w:r w:rsidRPr="00C4084C">
        <w:t>unions</w:t>
      </w:r>
      <w:proofErr w:type="gramEnd"/>
      <w:r w:rsidRPr="00C4084C">
        <w:t xml:space="preserve"> and civil society</w:t>
      </w:r>
      <w:r w:rsidR="00C044BF" w:rsidRPr="00C4084C">
        <w:t>. Stakeholders would be convened</w:t>
      </w:r>
      <w:r w:rsidRPr="00C4084C">
        <w:t xml:space="preserve"> to consider current and future </w:t>
      </w:r>
      <w:r w:rsidR="00C044BF" w:rsidRPr="00C4084C">
        <w:t>national</w:t>
      </w:r>
      <w:r w:rsidRPr="00C4084C">
        <w:t xml:space="preserve"> needs, participate in policy design and prioritisation, and provide ballast in the system to ensure that responsive </w:t>
      </w:r>
      <w:r w:rsidR="002B4941" w:rsidRPr="00C4084C">
        <w:t>policymaking</w:t>
      </w:r>
      <w:r w:rsidRPr="00C4084C">
        <w:t xml:space="preserve"> is paired with long-term vision and stability around key parameters</w:t>
      </w:r>
      <w:r w:rsidR="004D5137" w:rsidRPr="00C4084C">
        <w:t xml:space="preserve"> including funding</w:t>
      </w:r>
      <w:r w:rsidRPr="00C4084C">
        <w:t xml:space="preserve">. </w:t>
      </w:r>
    </w:p>
    <w:p w14:paraId="0BBE4110" w14:textId="70673E3D" w:rsidR="00A14420" w:rsidRPr="00C4084C" w:rsidRDefault="00B12903" w:rsidP="00302041">
      <w:r w:rsidRPr="00C4084C">
        <w:lastRenderedPageBreak/>
        <w:t>The</w:t>
      </w:r>
      <w:r w:rsidR="00A14420" w:rsidRPr="00C4084C">
        <w:t xml:space="preserve"> </w:t>
      </w:r>
      <w:r w:rsidR="20E88D6D" w:rsidRPr="00C4084C">
        <w:t>Commission</w:t>
      </w:r>
      <w:r w:rsidR="00A14420" w:rsidRPr="00C4084C">
        <w:t xml:space="preserve"> </w:t>
      </w:r>
      <w:r w:rsidR="00C044BF" w:rsidRPr="00C4084C">
        <w:t>could be explicitly responsible for considering the whole-of-tertiary education system, pulling together both higher education and VET in response to national needs. A body like this has been missing from</w:t>
      </w:r>
      <w:r w:rsidR="00A14420" w:rsidRPr="00C4084C">
        <w:t xml:space="preserve"> the existing system governance architecture </w:t>
      </w:r>
      <w:r w:rsidR="00C044BF" w:rsidRPr="00C4084C">
        <w:t xml:space="preserve">and </w:t>
      </w:r>
      <w:r w:rsidR="001B4EFE" w:rsidRPr="00C4084C">
        <w:t>is</w:t>
      </w:r>
      <w:r w:rsidR="00A14420" w:rsidRPr="00C4084C">
        <w:t xml:space="preserve"> a long-wasted opportunity given the complementary strengths of both sectors.</w:t>
      </w:r>
    </w:p>
    <w:p w14:paraId="4D5EF321" w14:textId="2BDBC8D3" w:rsidR="00607F87" w:rsidRPr="00C4084C" w:rsidRDefault="00607F87" w:rsidP="00302041">
      <w:r w:rsidRPr="00C4084C">
        <w:t xml:space="preserve">This requires </w:t>
      </w:r>
      <w:r w:rsidR="26E77312" w:rsidRPr="00C4084C">
        <w:t>a</w:t>
      </w:r>
      <w:r w:rsidRPr="00C4084C">
        <w:t xml:space="preserve"> </w:t>
      </w:r>
      <w:r w:rsidR="438C82DA" w:rsidRPr="00C4084C">
        <w:t xml:space="preserve">Commission </w:t>
      </w:r>
      <w:r w:rsidRPr="00C4084C">
        <w:t xml:space="preserve">that can work in partnership with the </w:t>
      </w:r>
      <w:r w:rsidR="003E5778" w:rsidRPr="00C4084C">
        <w:t>Australian Government</w:t>
      </w:r>
      <w:r w:rsidRPr="00C4084C">
        <w:t xml:space="preserve"> and states and territories, through existing structures like </w:t>
      </w:r>
      <w:r w:rsidR="009852BF" w:rsidRPr="00C4084C">
        <w:t xml:space="preserve">National Cabinet, the Education Ministers Meeting, </w:t>
      </w:r>
      <w:r w:rsidRPr="00C4084C">
        <w:t>the Skills and Workforce Ministerial Council and the shared stewardship model for VET established by the National Skills Agreement.</w:t>
      </w:r>
    </w:p>
    <w:p w14:paraId="1DB7FD8A" w14:textId="4248F496" w:rsidR="005C5F5D" w:rsidRPr="00C4084C" w:rsidRDefault="00A14420" w:rsidP="00285443">
      <w:r w:rsidRPr="00C4084C">
        <w:t xml:space="preserve">The </w:t>
      </w:r>
      <w:r w:rsidR="00E339A6" w:rsidRPr="00C4084C">
        <w:t>Commission</w:t>
      </w:r>
      <w:r w:rsidRPr="00C4084C">
        <w:t xml:space="preserve"> would address the current lack of capacity and independence for long-term and strategic policy thinking by government policy departments that result</w:t>
      </w:r>
      <w:r w:rsidR="009852BF" w:rsidRPr="00C4084C">
        <w:t>s</w:t>
      </w:r>
      <w:r w:rsidRPr="00C4084C">
        <w:t xml:space="preserve"> from the day-to-day pressures and responsiveness </w:t>
      </w:r>
      <w:r w:rsidR="059D6061" w:rsidRPr="00C4084C">
        <w:t>to</w:t>
      </w:r>
      <w:r w:rsidRPr="00C4084C">
        <w:t xml:space="preserve"> the government of the day. As a stewarding body</w:t>
      </w:r>
      <w:r w:rsidR="001B4EFE" w:rsidRPr="00C4084C">
        <w:t>,</w:t>
      </w:r>
      <w:r w:rsidRPr="00C4084C">
        <w:t xml:space="preserve"> it would be better placed to identify the flow-on </w:t>
      </w:r>
      <w:r w:rsidR="00B12903" w:rsidRPr="00C4084C">
        <w:t xml:space="preserve">effects </w:t>
      </w:r>
      <w:r w:rsidRPr="00C4084C">
        <w:t xml:space="preserve">from change in one part of the </w:t>
      </w:r>
      <w:r w:rsidR="000F5EA1" w:rsidRPr="00C4084C">
        <w:t xml:space="preserve">tertiary education </w:t>
      </w:r>
      <w:r w:rsidRPr="00C4084C">
        <w:t xml:space="preserve">system to the others, facilitating planning for the consequences of change and mitigating system risks. It would provide a cohesive, whole-of-system view that currently no one entity holds. The </w:t>
      </w:r>
      <w:r w:rsidR="00E339A6" w:rsidRPr="00C4084C">
        <w:t>Commission</w:t>
      </w:r>
      <w:r w:rsidRPr="00C4084C">
        <w:t xml:space="preserve"> is a necessary complement to the strengths of existing </w:t>
      </w:r>
      <w:r w:rsidR="002B4941" w:rsidRPr="00C4084C">
        <w:t>policymaking</w:t>
      </w:r>
      <w:r w:rsidRPr="00C4084C">
        <w:t xml:space="preserve"> bodies and would enable the </w:t>
      </w:r>
      <w:r w:rsidR="000F5EA1" w:rsidRPr="00C4084C">
        <w:t xml:space="preserve">tertiary education </w:t>
      </w:r>
      <w:r w:rsidRPr="00C4084C">
        <w:t xml:space="preserve">system to better adapt to changing needs over time. </w:t>
      </w:r>
    </w:p>
    <w:tbl>
      <w:tblPr>
        <w:tblW w:w="0" w:type="auto"/>
        <w:shd w:val="clear" w:color="auto" w:fill="FBE4D5"/>
        <w:tblLook w:val="04A0" w:firstRow="1" w:lastRow="0" w:firstColumn="1" w:lastColumn="0" w:noHBand="0" w:noVBand="1"/>
      </w:tblPr>
      <w:tblGrid>
        <w:gridCol w:w="9026"/>
      </w:tblGrid>
      <w:tr w:rsidR="005C5F5D" w:rsidRPr="00C4084C" w14:paraId="5B10FB83" w14:textId="77777777" w:rsidTr="00D26B82">
        <w:tc>
          <w:tcPr>
            <w:tcW w:w="9026" w:type="dxa"/>
            <w:shd w:val="clear" w:color="auto" w:fill="B0C3DB"/>
          </w:tcPr>
          <w:p w14:paraId="0710DA3A" w14:textId="03DC0333" w:rsidR="00C45A1B" w:rsidRPr="00C45A1B" w:rsidRDefault="0080264E" w:rsidP="003E5969">
            <w:pPr>
              <w:pStyle w:val="Findinginchapterheading"/>
              <w:rPr>
                <w:szCs w:val="24"/>
              </w:rPr>
            </w:pPr>
            <w:r w:rsidRPr="003E5969">
              <w:rPr>
                <w:rFonts w:ascii="Calibri" w:eastAsia="Yu Gothic Light" w:hAnsi="Calibri" w:cs="Calibri"/>
                <w:szCs w:val="24"/>
              </w:rPr>
              <w:t>Finding</w:t>
            </w:r>
            <w:r w:rsidR="00C45A1B">
              <w:rPr>
                <w:szCs w:val="24"/>
              </w:rPr>
              <w:t xml:space="preserve">: </w:t>
            </w:r>
            <w:r w:rsidR="005C5F5D" w:rsidRPr="00C4084C">
              <w:t xml:space="preserve">Leadership </w:t>
            </w:r>
            <w:r w:rsidR="005F50CC">
              <w:t>–</w:t>
            </w:r>
            <w:r w:rsidR="005C5F5D" w:rsidRPr="00C4084C">
              <w:t xml:space="preserve"> </w:t>
            </w:r>
            <w:r w:rsidR="005F50CC" w:rsidRPr="00C4084C">
              <w:t>Australian</w:t>
            </w:r>
            <w:r w:rsidR="005F50CC">
              <w:t xml:space="preserve"> </w:t>
            </w:r>
            <w:r w:rsidR="005C5F5D" w:rsidRPr="00C4084C">
              <w:t>Tertiary Education Commission</w:t>
            </w:r>
          </w:p>
          <w:p w14:paraId="368658FF" w14:textId="52D31671" w:rsidR="005C5F5D" w:rsidRPr="00C4084C" w:rsidRDefault="00127387" w:rsidP="003E5969">
            <w:pPr>
              <w:pStyle w:val="Boxtext0"/>
              <w:spacing w:before="0"/>
            </w:pPr>
            <w:r w:rsidRPr="00C4084C">
              <w:t>Our tertiary education system lacks the coordinated, future-</w:t>
            </w:r>
            <w:proofErr w:type="gramStart"/>
            <w:r w:rsidRPr="00C4084C">
              <w:t>focused</w:t>
            </w:r>
            <w:proofErr w:type="gramEnd"/>
            <w:r w:rsidRPr="00C4084C">
              <w:t xml:space="preserve"> and evidence-based, decision-making capacity necessary for Australia’s future success. This must change. Over the </w:t>
            </w:r>
            <w:r w:rsidRPr="005F50CC">
              <w:t>past</w:t>
            </w:r>
            <w:r w:rsidRPr="00C4084C">
              <w:t xml:space="preserve"> </w:t>
            </w:r>
            <w:r w:rsidR="00422A55">
              <w:t>20</w:t>
            </w:r>
            <w:r w:rsidRPr="00C4084C">
              <w:t xml:space="preserve"> years, there have been significant failures – both of action and inaction – where the absence of a strong sector stewardship function has been </w:t>
            </w:r>
            <w:r w:rsidR="00422A55">
              <w:t>telling</w:t>
            </w:r>
            <w:r w:rsidRPr="00C4084C">
              <w:t xml:space="preserve">. The tertiary education system is too important to Australia’s social, </w:t>
            </w:r>
            <w:proofErr w:type="gramStart"/>
            <w:r w:rsidRPr="00C4084C">
              <w:t>economic</w:t>
            </w:r>
            <w:proofErr w:type="gramEnd"/>
            <w:r w:rsidRPr="00C4084C">
              <w:t xml:space="preserve"> and environmental wellbeing to leave its future to the uncoordinated action of individual institutions.</w:t>
            </w:r>
          </w:p>
        </w:tc>
      </w:tr>
    </w:tbl>
    <w:p w14:paraId="5960554C" w14:textId="0848187A" w:rsidR="00A14420" w:rsidRPr="00C4084C" w:rsidRDefault="00A14420" w:rsidP="00BA6095">
      <w:pPr>
        <w:pStyle w:val="Heading4"/>
      </w:pPr>
      <w:bookmarkStart w:id="1007" w:name="_Toc149557389"/>
      <w:bookmarkStart w:id="1008" w:name="_Toc150065050"/>
      <w:bookmarkStart w:id="1009" w:name="_Toc149557390"/>
      <w:bookmarkStart w:id="1010" w:name="_Toc150065051"/>
      <w:bookmarkStart w:id="1011" w:name="_Toc149557391"/>
      <w:bookmarkStart w:id="1012" w:name="_Toc150065052"/>
      <w:bookmarkStart w:id="1013" w:name="_Toc149557392"/>
      <w:bookmarkStart w:id="1014" w:name="_Toc150065053"/>
      <w:bookmarkStart w:id="1015" w:name="_Toc148275881"/>
      <w:bookmarkStart w:id="1016" w:name="_Toc148277812"/>
      <w:bookmarkStart w:id="1017" w:name="_Toc148277869"/>
      <w:bookmarkStart w:id="1018" w:name="_Toc148339670"/>
      <w:bookmarkStart w:id="1019" w:name="_Toc148339857"/>
      <w:bookmarkStart w:id="1020" w:name="_Toc148341798"/>
      <w:bookmarkStart w:id="1021" w:name="_Toc148342394"/>
      <w:bookmarkStart w:id="1022" w:name="_Toc148275882"/>
      <w:bookmarkStart w:id="1023" w:name="_Toc148277813"/>
      <w:bookmarkStart w:id="1024" w:name="_Toc148277870"/>
      <w:bookmarkStart w:id="1025" w:name="_Toc148339671"/>
      <w:bookmarkStart w:id="1026" w:name="_Toc148339858"/>
      <w:bookmarkStart w:id="1027" w:name="_Toc148341799"/>
      <w:bookmarkStart w:id="1028" w:name="_Toc148342395"/>
      <w:bookmarkStart w:id="1029" w:name="_Toc148277871"/>
      <w:bookmarkStart w:id="1030" w:name="_Toc150600335"/>
      <w:bookmarkStart w:id="1031" w:name="_Toc37004605"/>
      <w:bookmarkStart w:id="1032" w:name="_Toc2036653915"/>
      <w:bookmarkStart w:id="1033" w:name="_Toc187567516"/>
      <w:bookmarkStart w:id="1034" w:name="_Toc153483080"/>
      <w:bookmarkStart w:id="1035" w:name="_Toc159500990"/>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r w:rsidRPr="00C4084C">
        <w:t>Regulatory challenges</w:t>
      </w:r>
      <w:bookmarkEnd w:id="1029"/>
      <w:bookmarkEnd w:id="1030"/>
      <w:bookmarkEnd w:id="1031"/>
      <w:bookmarkEnd w:id="1032"/>
      <w:bookmarkEnd w:id="1033"/>
      <w:bookmarkEnd w:id="1034"/>
      <w:bookmarkEnd w:id="1035"/>
      <w:r w:rsidRPr="00C4084C">
        <w:t xml:space="preserve"> </w:t>
      </w:r>
    </w:p>
    <w:p w14:paraId="6869D4F7" w14:textId="1AA7019C" w:rsidR="00EB7B69" w:rsidRPr="00C4084C" w:rsidRDefault="001B4EFE" w:rsidP="00302041">
      <w:r w:rsidRPr="00C4084C">
        <w:t>The</w:t>
      </w:r>
      <w:r w:rsidR="00A14420" w:rsidRPr="00C4084C">
        <w:t xml:space="preserve"> tertiary education system</w:t>
      </w:r>
      <w:r w:rsidR="00332D32" w:rsidRPr="00C4084C">
        <w:t xml:space="preserve"> often</w:t>
      </w:r>
      <w:r w:rsidR="00A14420" w:rsidRPr="00C4084C">
        <w:t xml:space="preserve"> faces </w:t>
      </w:r>
      <w:r w:rsidR="00332D32" w:rsidRPr="00C4084C">
        <w:t xml:space="preserve">new regulatory </w:t>
      </w:r>
      <w:r w:rsidR="00A14420" w:rsidRPr="00C4084C">
        <w:t>challenges</w:t>
      </w:r>
      <w:r w:rsidR="00332D32" w:rsidRPr="00C4084C">
        <w:t xml:space="preserve"> and a system for dealing with these as they arise is needed. It </w:t>
      </w:r>
      <w:r w:rsidR="00EB7B69" w:rsidRPr="00C4084C">
        <w:t>needs to be complemented by continuous quality improvement</w:t>
      </w:r>
      <w:r w:rsidR="00332D32" w:rsidRPr="00C4084C">
        <w:t xml:space="preserve"> in regulation, </w:t>
      </w:r>
      <w:r w:rsidR="00EB7B69" w:rsidRPr="00C4084C">
        <w:t xml:space="preserve">a critical role for the Commission, including through transparent reporting on </w:t>
      </w:r>
      <w:r w:rsidR="33346CF6" w:rsidRPr="00C4084C">
        <w:t>the</w:t>
      </w:r>
      <w:r w:rsidR="00EB7B69" w:rsidRPr="00C4084C">
        <w:t xml:space="preserve"> state of </w:t>
      </w:r>
      <w:r w:rsidR="26E795F0" w:rsidRPr="00C4084C">
        <w:t>the</w:t>
      </w:r>
      <w:r w:rsidR="00EB7B69" w:rsidRPr="00C4084C">
        <w:t xml:space="preserve"> system and providing data and feedback to the sector.</w:t>
      </w:r>
    </w:p>
    <w:p w14:paraId="4F7EF63E" w14:textId="55C06590" w:rsidR="00A14420" w:rsidRPr="00C4084C" w:rsidRDefault="00A14420" w:rsidP="00302041">
      <w:r w:rsidRPr="00C4084C">
        <w:t xml:space="preserve">The Review considers that there are opportunities to improve </w:t>
      </w:r>
      <w:r w:rsidR="00700662" w:rsidRPr="00C4084C">
        <w:t xml:space="preserve">substantially </w:t>
      </w:r>
      <w:r w:rsidRPr="00C4084C">
        <w:t xml:space="preserve">the effectiveness and clarity of regulatory arrangements for the tertiary </w:t>
      </w:r>
      <w:r w:rsidR="00B12903" w:rsidRPr="00C4084C">
        <w:t xml:space="preserve">education </w:t>
      </w:r>
      <w:r w:rsidRPr="00C4084C">
        <w:t xml:space="preserve">system. </w:t>
      </w:r>
    </w:p>
    <w:p w14:paraId="3B4F4ABA" w14:textId="510516AF" w:rsidR="006D48D9" w:rsidRPr="00C4084C" w:rsidRDefault="00A14420" w:rsidP="00302041">
      <w:r w:rsidRPr="00C4084C">
        <w:t xml:space="preserve">The fragmentation of requirements across multiple pieces of legislation creates unnecessary complexity for providers in identifying obligations and designing their activities for compliance. </w:t>
      </w:r>
    </w:p>
    <w:p w14:paraId="0CAA3C45" w14:textId="360E3B99" w:rsidR="00520025" w:rsidRPr="00C4084C" w:rsidRDefault="005356E3" w:rsidP="00285443">
      <w:r w:rsidRPr="00C4084C">
        <w:t>Over time, a</w:t>
      </w:r>
      <w:r w:rsidR="0087548E" w:rsidRPr="00C4084C">
        <w:t xml:space="preserve"> more forward leaning higher education </w:t>
      </w:r>
      <w:r w:rsidR="5EC1BA95" w:rsidRPr="00C4084C">
        <w:t>A</w:t>
      </w:r>
      <w:r w:rsidR="0087548E" w:rsidRPr="00C4084C">
        <w:t>ct</w:t>
      </w:r>
      <w:r w:rsidR="00740CA5">
        <w:t>,</w:t>
      </w:r>
      <w:r w:rsidR="0087548E" w:rsidRPr="00C4084C">
        <w:t xml:space="preserve"> that addresses issues of fragmentation and recognises the interlinkages between the higher education and VET </w:t>
      </w:r>
      <w:r w:rsidR="00356743" w:rsidRPr="00C4084C">
        <w:t>sectors</w:t>
      </w:r>
      <w:r w:rsidR="005A3042" w:rsidRPr="00C4084C">
        <w:t>, w</w:t>
      </w:r>
      <w:r w:rsidRPr="00C4084C">
        <w:t xml:space="preserve">ould be desirable and should be developed over the next </w:t>
      </w:r>
      <w:r w:rsidR="005A3042" w:rsidRPr="00C4084C">
        <w:t>3 years</w:t>
      </w:r>
      <w:r w:rsidR="0087548E" w:rsidRPr="00C4084C">
        <w:t xml:space="preserve">. </w:t>
      </w:r>
    </w:p>
    <w:tbl>
      <w:tblPr>
        <w:tblW w:w="0" w:type="auto"/>
        <w:shd w:val="clear" w:color="auto" w:fill="FBE4D5"/>
        <w:tblLook w:val="04A0" w:firstRow="1" w:lastRow="0" w:firstColumn="1" w:lastColumn="0" w:noHBand="0" w:noVBand="1"/>
      </w:tblPr>
      <w:tblGrid>
        <w:gridCol w:w="9026"/>
      </w:tblGrid>
      <w:tr w:rsidR="00520025" w:rsidRPr="00C4084C" w14:paraId="4507E09A" w14:textId="77777777" w:rsidTr="00D26B82">
        <w:tc>
          <w:tcPr>
            <w:tcW w:w="9026" w:type="dxa"/>
            <w:shd w:val="clear" w:color="auto" w:fill="B0C3DB"/>
          </w:tcPr>
          <w:p w14:paraId="16489115" w14:textId="5B112D21" w:rsidR="007526B6" w:rsidRPr="007526B6" w:rsidRDefault="0080264E" w:rsidP="003E5969">
            <w:pPr>
              <w:pStyle w:val="Findinginchapterheading"/>
            </w:pPr>
            <w:r w:rsidRPr="003E5969">
              <w:rPr>
                <w:rFonts w:ascii="Calibri" w:eastAsia="Yu Gothic Light" w:hAnsi="Calibri" w:cs="Calibri"/>
                <w:szCs w:val="24"/>
              </w:rPr>
              <w:lastRenderedPageBreak/>
              <w:t>Finding</w:t>
            </w:r>
            <w:r w:rsidR="007526B6">
              <w:rPr>
                <w:szCs w:val="24"/>
              </w:rPr>
              <w:t xml:space="preserve">: </w:t>
            </w:r>
            <w:r w:rsidR="00520025" w:rsidRPr="00C4084C">
              <w:t>Regulation</w:t>
            </w:r>
          </w:p>
          <w:p w14:paraId="79D6EB25" w14:textId="3D26D866" w:rsidR="00520025" w:rsidRPr="00C4084C" w:rsidRDefault="00332D32" w:rsidP="003E5969">
            <w:pPr>
              <w:pStyle w:val="Boxtext0"/>
              <w:spacing w:before="0"/>
              <w:rPr>
                <w:b/>
              </w:rPr>
            </w:pPr>
            <w:r w:rsidRPr="00C4084C">
              <w:t xml:space="preserve">The creation of TEQSA following the Bradley Review has helped strengthen the reputation of Australia’s higher education sector. It has been successful in establishing a set of minimum standards and enforcing a baseline for provider behaviour. However, new </w:t>
            </w:r>
            <w:r w:rsidRPr="005F50CC">
              <w:t>regulatory</w:t>
            </w:r>
            <w:r w:rsidRPr="00C4084C">
              <w:t xml:space="preserve"> challenges will continue to emerge, and a process for responding to these is needed.</w:t>
            </w:r>
          </w:p>
        </w:tc>
      </w:tr>
    </w:tbl>
    <w:p w14:paraId="6C0A389C" w14:textId="0D29E69F" w:rsidR="00A14420" w:rsidRPr="00C4084C" w:rsidRDefault="00A14420" w:rsidP="00302041">
      <w:r w:rsidRPr="00C4084C">
        <w:t>When working well</w:t>
      </w:r>
      <w:r w:rsidR="00D47B5E" w:rsidRPr="00C4084C">
        <w:t>,</w:t>
      </w:r>
      <w:r w:rsidRPr="00C4084C">
        <w:t xml:space="preserve"> the regulatory system should allow for innovation in the </w:t>
      </w:r>
      <w:r w:rsidR="00BA71B7" w:rsidRPr="00C4084C">
        <w:t xml:space="preserve">tertiary education </w:t>
      </w:r>
      <w:r w:rsidR="00A50574" w:rsidRPr="00C4084C">
        <w:t xml:space="preserve">system </w:t>
      </w:r>
      <w:r w:rsidRPr="00C4084C">
        <w:t xml:space="preserve">and intervene to avoid problems occurring. For example, </w:t>
      </w:r>
      <w:r w:rsidR="00FD72B8" w:rsidRPr="00C4084C">
        <w:t>A</w:t>
      </w:r>
      <w:r w:rsidR="00B2286B" w:rsidRPr="00C4084C">
        <w:t xml:space="preserve">rtificial </w:t>
      </w:r>
      <w:r w:rsidR="00FD72B8" w:rsidRPr="00C4084C">
        <w:t>I</w:t>
      </w:r>
      <w:r w:rsidR="00B2286B" w:rsidRPr="00C4084C">
        <w:t>ntelli</w:t>
      </w:r>
      <w:r w:rsidR="00FD72B8" w:rsidRPr="00C4084C">
        <w:t>g</w:t>
      </w:r>
      <w:r w:rsidR="00B2286B" w:rsidRPr="00C4084C">
        <w:t>ence</w:t>
      </w:r>
      <w:r w:rsidR="00FD72B8" w:rsidRPr="00C4084C">
        <w:t xml:space="preserve"> (</w:t>
      </w:r>
      <w:r w:rsidRPr="00C4084C">
        <w:t>AI</w:t>
      </w:r>
      <w:r w:rsidR="00FD72B8" w:rsidRPr="00C4084C">
        <w:t>)</w:t>
      </w:r>
      <w:r w:rsidRPr="00C4084C">
        <w:t xml:space="preserve"> presents opportunities for student learning</w:t>
      </w:r>
      <w:r w:rsidR="5C4EBF07" w:rsidRPr="00C4084C">
        <w:t>,</w:t>
      </w:r>
      <w:r w:rsidRPr="00C4084C">
        <w:t xml:space="preserve"> but also enable</w:t>
      </w:r>
      <w:r w:rsidR="35A50BB8" w:rsidRPr="00C4084C">
        <w:t>s</w:t>
      </w:r>
      <w:r w:rsidRPr="00C4084C">
        <w:t xml:space="preserve"> cheating and deception across both teaching and research. However, TEQSA’s powers </w:t>
      </w:r>
      <w:r w:rsidR="4D778984" w:rsidRPr="00C4084C">
        <w:t>of regulation</w:t>
      </w:r>
      <w:r w:rsidRPr="00C4084C">
        <w:t xml:space="preserve"> are limited by its enabling legislation and the regulatory standards. Its powers need to be reviewed regularly </w:t>
      </w:r>
      <w:r w:rsidR="00BA309F" w:rsidRPr="00C4084C">
        <w:t>–</w:t>
      </w:r>
      <w:r w:rsidR="2B4AF2A3" w:rsidRPr="00C4084C">
        <w:t xml:space="preserve"> </w:t>
      </w:r>
      <w:r w:rsidRPr="00C4084C">
        <w:t xml:space="preserve">and adjusted as necessary </w:t>
      </w:r>
      <w:r w:rsidR="00BA309F" w:rsidRPr="00C4084C">
        <w:t>–</w:t>
      </w:r>
      <w:r w:rsidRPr="00C4084C">
        <w:t xml:space="preserve"> to allow it to become the agile and forward-leaning regulator required to support a dynamic tertiary education system. </w:t>
      </w:r>
    </w:p>
    <w:p w14:paraId="5F2AAA7D" w14:textId="3D80FA74" w:rsidR="00A14420" w:rsidRPr="00C4084C" w:rsidRDefault="00A14420" w:rsidP="00302041">
      <w:r w:rsidRPr="00C4084C">
        <w:t xml:space="preserve">There are other regulatory challenges at the intersection of the higher education and VET </w:t>
      </w:r>
      <w:r w:rsidR="002D0404" w:rsidRPr="00C4084C">
        <w:t>sectors</w:t>
      </w:r>
      <w:r w:rsidRPr="00C4084C">
        <w:t>. The dual regulatory model of divided responsibility for higher education and VET providers between TEQSA and ASQA creates barriers to a more integrated tertiary education system. This</w:t>
      </w:r>
      <w:r w:rsidRPr="00C4084C" w:rsidDel="00A80CA9">
        <w:t xml:space="preserve"> </w:t>
      </w:r>
      <w:r w:rsidR="00A80CA9" w:rsidRPr="00C4084C">
        <w:t xml:space="preserve">division </w:t>
      </w:r>
      <w:r w:rsidRPr="00C4084C">
        <w:t>of responsibilities is reinforced by different accreditation frameworks, distinct (and for dual</w:t>
      </w:r>
      <w:r w:rsidR="007B6566" w:rsidRPr="00C4084C">
        <w:t xml:space="preserve"> </w:t>
      </w:r>
      <w:r w:rsidRPr="00C4084C">
        <w:t xml:space="preserve">sector providers, duplicative) reporting obligations and institutional inertia. Policy proposals </w:t>
      </w:r>
      <w:r w:rsidR="59931E82" w:rsidRPr="00C4084C">
        <w:t>(</w:t>
      </w:r>
      <w:r w:rsidRPr="00C4084C">
        <w:t xml:space="preserve">discussed elsewhere in this </w:t>
      </w:r>
      <w:r w:rsidR="000775DD">
        <w:t>R</w:t>
      </w:r>
      <w:r w:rsidRPr="00C4084C">
        <w:t>eport</w:t>
      </w:r>
      <w:r w:rsidR="6BC1F27A" w:rsidRPr="00C4084C">
        <w:t xml:space="preserve">) </w:t>
      </w:r>
      <w:r w:rsidRPr="00C4084C">
        <w:t xml:space="preserve">that would improve the experience of students and </w:t>
      </w:r>
      <w:r w:rsidR="00D24B65" w:rsidRPr="00C4084C">
        <w:t>providers</w:t>
      </w:r>
      <w:r w:rsidR="000A7264" w:rsidRPr="00C4084C">
        <w:t xml:space="preserve"> have struggled </w:t>
      </w:r>
      <w:r w:rsidR="00E348A6" w:rsidRPr="00C4084C">
        <w:t>to</w:t>
      </w:r>
      <w:r w:rsidR="000A7264" w:rsidRPr="00C4084C">
        <w:t xml:space="preserve"> </w:t>
      </w:r>
      <w:r w:rsidR="00BA71B7" w:rsidRPr="00C4084C">
        <w:t xml:space="preserve">progress in </w:t>
      </w:r>
      <w:r w:rsidR="1B4019E4" w:rsidRPr="00C4084C">
        <w:t xml:space="preserve">the current </w:t>
      </w:r>
      <w:r w:rsidR="000A7264" w:rsidRPr="00C4084C">
        <w:t>regulatory environment</w:t>
      </w:r>
      <w:r w:rsidR="00D47B5E" w:rsidRPr="00C4084C">
        <w:t xml:space="preserve">. Examples include </w:t>
      </w:r>
      <w:r w:rsidR="00815505" w:rsidRPr="00C4084C">
        <w:t>closer</w:t>
      </w:r>
      <w:r w:rsidR="00F34C2E" w:rsidRPr="00C4084C">
        <w:t xml:space="preserve"> integration </w:t>
      </w:r>
      <w:r w:rsidR="00815505" w:rsidRPr="00C4084C">
        <w:t>between</w:t>
      </w:r>
      <w:r w:rsidR="00F34C2E" w:rsidRPr="00C4084C">
        <w:t xml:space="preserve"> the higher education and VET sector</w:t>
      </w:r>
      <w:r w:rsidR="00815505" w:rsidRPr="00C4084C">
        <w:t>s</w:t>
      </w:r>
      <w:r w:rsidR="00F34C2E" w:rsidRPr="00C4084C">
        <w:t xml:space="preserve"> </w:t>
      </w:r>
      <w:r w:rsidRPr="00C4084C">
        <w:t>and the standardisation of recognition of prior learning</w:t>
      </w:r>
      <w:r w:rsidR="00536861" w:rsidRPr="00C4084C">
        <w:t xml:space="preserve"> (RPL)</w:t>
      </w:r>
      <w:r w:rsidRPr="00C4084C">
        <w:t xml:space="preserve">. This is to the detriment of students and will make it harder for the nation to address the rapid upskilling required of its future workforce. </w:t>
      </w:r>
    </w:p>
    <w:p w14:paraId="02DB53F5" w14:textId="34C10890" w:rsidR="00A14420" w:rsidRPr="00C4084C" w:rsidRDefault="00F45BD5" w:rsidP="00BA6095">
      <w:pPr>
        <w:pStyle w:val="Heading4"/>
      </w:pPr>
      <w:bookmarkStart w:id="1036" w:name="_Toc309465339"/>
      <w:bookmarkStart w:id="1037" w:name="_Toc153483081"/>
      <w:bookmarkStart w:id="1038" w:name="_Toc159500991"/>
      <w:r w:rsidRPr="00C4084C">
        <w:t>Addressing some serious issues</w:t>
      </w:r>
      <w:bookmarkEnd w:id="1036"/>
      <w:bookmarkEnd w:id="1037"/>
      <w:bookmarkEnd w:id="1038"/>
      <w:r w:rsidRPr="00C4084C">
        <w:t xml:space="preserve"> </w:t>
      </w:r>
    </w:p>
    <w:p w14:paraId="3330899D" w14:textId="7F9E089B" w:rsidR="00A14420" w:rsidRPr="00C4084C" w:rsidRDefault="00A14420" w:rsidP="00302041">
      <w:r w:rsidRPr="00C4084C">
        <w:t xml:space="preserve">The Review has heard from many people that serious issues facing students, particularly relating to </w:t>
      </w:r>
      <w:r w:rsidR="00151C7B" w:rsidRPr="00C4084C">
        <w:t>gender-based violence</w:t>
      </w:r>
      <w:r w:rsidRPr="00C4084C">
        <w:t xml:space="preserve">, </w:t>
      </w:r>
      <w:r w:rsidR="00CA79F9" w:rsidRPr="00C4084C">
        <w:t>have not been adequately</w:t>
      </w:r>
      <w:r w:rsidRPr="00C4084C">
        <w:t xml:space="preserve"> addressed under current arrangements. There are few pathways for individual complainants to raise issues </w:t>
      </w:r>
      <w:r w:rsidR="00F45BD5" w:rsidRPr="00C4084C">
        <w:t>rapidly</w:t>
      </w:r>
      <w:r w:rsidRPr="00C4084C">
        <w:t xml:space="preserve"> and there is a perceived lack of accountability for broader action across the system to address the causes of </w:t>
      </w:r>
      <w:r w:rsidR="00D24B65" w:rsidRPr="00C4084C">
        <w:t>gender-based violence</w:t>
      </w:r>
      <w:r w:rsidRPr="00C4084C">
        <w:t xml:space="preserve">. </w:t>
      </w:r>
    </w:p>
    <w:p w14:paraId="681C1AEF" w14:textId="3B3BEF0F" w:rsidR="00A14420" w:rsidRPr="00C4084C" w:rsidRDefault="00A14420" w:rsidP="00302041">
      <w:r w:rsidRPr="00C4084C">
        <w:t xml:space="preserve">This situation cannot continue, and the Review notes the commitment of the </w:t>
      </w:r>
      <w:r w:rsidR="00527943" w:rsidRPr="00C4084C">
        <w:t xml:space="preserve">Australian </w:t>
      </w:r>
      <w:r w:rsidR="0037368D" w:rsidRPr="00C4084C">
        <w:t>G</w:t>
      </w:r>
      <w:r w:rsidRPr="00C4084C">
        <w:t>overnment to act on Priority Action 5 of the Interim Report to begin addressing these issues. On 22 November 2023, Education Ministers released a Draft Action Plan Addressing Gender-based Violence in Higher Education for further consultation. The Draft Action Plan recognises the leading role the higher education sector can and should play to prevent gender-based violence and set the example for appropriate, trauma-informed responses to victim survivors.</w:t>
      </w:r>
    </w:p>
    <w:p w14:paraId="5352D52A" w14:textId="7313A353" w:rsidR="00D27702" w:rsidRPr="00C4084C" w:rsidRDefault="00A14420" w:rsidP="00302041">
      <w:r w:rsidRPr="00C4084C">
        <w:t xml:space="preserve">These issues </w:t>
      </w:r>
      <w:r w:rsidR="00536861" w:rsidRPr="00C4084C">
        <w:t>have also been discussed</w:t>
      </w:r>
      <w:r w:rsidRPr="00C4084C">
        <w:t xml:space="preserve"> in</w:t>
      </w:r>
      <w:r w:rsidR="00A07BB5" w:rsidRPr="00C4084C">
        <w:t xml:space="preserve"> </w:t>
      </w:r>
      <w:r w:rsidR="00F45BD5" w:rsidRPr="00302041">
        <w:rPr>
          <w:i/>
          <w:iCs/>
        </w:rPr>
        <w:fldChar w:fldCharType="begin"/>
      </w:r>
      <w:r w:rsidR="00F45BD5" w:rsidRPr="00302041">
        <w:rPr>
          <w:i/>
          <w:iCs/>
        </w:rPr>
        <w:instrText xml:space="preserve"> REF _Ref152700656 \r \h </w:instrText>
      </w:r>
      <w:r w:rsidR="004B596E" w:rsidRPr="00302041">
        <w:rPr>
          <w:i/>
          <w:iCs/>
        </w:rPr>
        <w:instrText xml:space="preserve"> \* MERGEFORMAT </w:instrText>
      </w:r>
      <w:r w:rsidR="00F45BD5" w:rsidRPr="00302041">
        <w:rPr>
          <w:i/>
          <w:iCs/>
        </w:rPr>
      </w:r>
      <w:r w:rsidR="00F45BD5" w:rsidRPr="00302041">
        <w:rPr>
          <w:i/>
          <w:iCs/>
        </w:rPr>
        <w:fldChar w:fldCharType="separate"/>
      </w:r>
      <w:r w:rsidR="00467B4F" w:rsidRPr="00302041">
        <w:rPr>
          <w:i/>
          <w:iCs/>
        </w:rPr>
        <w:t xml:space="preserve">Chapter 4 – </w:t>
      </w:r>
      <w:r w:rsidR="00F45BD5" w:rsidRPr="00302041">
        <w:rPr>
          <w:i/>
          <w:iCs/>
        </w:rPr>
        <w:fldChar w:fldCharType="end"/>
      </w:r>
      <w:r w:rsidR="00F45BD5" w:rsidRPr="00302041">
        <w:rPr>
          <w:i/>
          <w:iCs/>
        </w:rPr>
        <w:fldChar w:fldCharType="begin"/>
      </w:r>
      <w:r w:rsidR="00F45BD5" w:rsidRPr="00302041">
        <w:rPr>
          <w:i/>
          <w:iCs/>
        </w:rPr>
        <w:instrText xml:space="preserve"> REF _Ref152700656 \h </w:instrText>
      </w:r>
      <w:r w:rsidR="004B596E" w:rsidRPr="00302041">
        <w:rPr>
          <w:i/>
          <w:iCs/>
        </w:rPr>
        <w:instrText xml:space="preserve"> \* MERGEFORMAT </w:instrText>
      </w:r>
      <w:r w:rsidR="00F45BD5" w:rsidRPr="00302041">
        <w:rPr>
          <w:i/>
          <w:iCs/>
        </w:rPr>
      </w:r>
      <w:r w:rsidR="00F45BD5" w:rsidRPr="00302041">
        <w:rPr>
          <w:i/>
          <w:iCs/>
        </w:rPr>
        <w:fldChar w:fldCharType="separate"/>
      </w:r>
      <w:r w:rsidR="00467B4F" w:rsidRPr="00302041">
        <w:rPr>
          <w:i/>
          <w:iCs/>
        </w:rPr>
        <w:t>Delivering for students</w:t>
      </w:r>
      <w:r w:rsidR="00F45BD5" w:rsidRPr="00302041">
        <w:rPr>
          <w:i/>
          <w:iCs/>
        </w:rPr>
        <w:fldChar w:fldCharType="end"/>
      </w:r>
      <w:r w:rsidR="00240708" w:rsidRPr="00C4084C">
        <w:t>.</w:t>
      </w:r>
    </w:p>
    <w:p w14:paraId="7AF6BA2C" w14:textId="5AF5DAE3" w:rsidR="000836C9" w:rsidRPr="00C4084C" w:rsidRDefault="000836C9" w:rsidP="00BA6095">
      <w:pPr>
        <w:pStyle w:val="Heading4"/>
      </w:pPr>
      <w:bookmarkStart w:id="1039" w:name="_Toc153483082"/>
      <w:bookmarkStart w:id="1040" w:name="_Toc159500992"/>
      <w:r w:rsidRPr="00C4084C">
        <w:t>Workforce challenges</w:t>
      </w:r>
      <w:bookmarkEnd w:id="1039"/>
      <w:bookmarkEnd w:id="1040"/>
    </w:p>
    <w:p w14:paraId="6651325A" w14:textId="78A4D0F3" w:rsidR="000836C9" w:rsidRPr="00C4084C" w:rsidRDefault="000836C9" w:rsidP="00302041">
      <w:r w:rsidRPr="00C4084C">
        <w:t xml:space="preserve">A secure and professional workforce is central to Australia’s </w:t>
      </w:r>
      <w:r w:rsidR="00F7078A" w:rsidRPr="00C4084C">
        <w:t xml:space="preserve">tertiary </w:t>
      </w:r>
      <w:r w:rsidRPr="00C4084C">
        <w:t>education system</w:t>
      </w:r>
      <w:r w:rsidR="000F26D6" w:rsidRPr="00C4084C">
        <w:t>.</w:t>
      </w:r>
      <w:r w:rsidRPr="00C4084C">
        <w:t xml:space="preserve"> </w:t>
      </w:r>
      <w:r w:rsidR="000F26D6" w:rsidRPr="00C4084C">
        <w:t>H</w:t>
      </w:r>
      <w:r w:rsidRPr="00C4084C">
        <w:t>owever</w:t>
      </w:r>
      <w:r w:rsidR="000F26D6" w:rsidRPr="00C4084C">
        <w:t>,</w:t>
      </w:r>
      <w:r w:rsidRPr="00C4084C">
        <w:t xml:space="preserve"> the Review has heard that issues such as casualisation, underpayment of staff and a growing administrative burden are undermining the workforce.</w:t>
      </w:r>
    </w:p>
    <w:p w14:paraId="54059703" w14:textId="18151926" w:rsidR="000836C9" w:rsidRPr="00C4084C" w:rsidRDefault="00C718E9" w:rsidP="00302041">
      <w:r w:rsidRPr="00C4084C">
        <w:t>S</w:t>
      </w:r>
      <w:r w:rsidR="000836C9" w:rsidRPr="00C4084C">
        <w:t xml:space="preserve">taff are essential to the </w:t>
      </w:r>
      <w:r w:rsidRPr="00C4084C">
        <w:t>tertiary ed</w:t>
      </w:r>
      <w:r w:rsidR="68359C15" w:rsidRPr="00C4084C">
        <w:t>uc</w:t>
      </w:r>
      <w:r w:rsidRPr="00C4084C">
        <w:t xml:space="preserve">ation </w:t>
      </w:r>
      <w:r w:rsidR="000836C9" w:rsidRPr="00C4084C">
        <w:t>system</w:t>
      </w:r>
      <w:r w:rsidRPr="00C4084C">
        <w:t>.</w:t>
      </w:r>
      <w:r w:rsidR="005B4C87" w:rsidRPr="00C4084C">
        <w:t xml:space="preserve"> </w:t>
      </w:r>
      <w:r w:rsidRPr="00C4084C">
        <w:t>T</w:t>
      </w:r>
      <w:r w:rsidR="000836C9" w:rsidRPr="00C4084C">
        <w:t xml:space="preserve">hey are the people teaching </w:t>
      </w:r>
      <w:r w:rsidR="00F45BD5" w:rsidRPr="00C4084C">
        <w:t xml:space="preserve">and supporting </w:t>
      </w:r>
      <w:r w:rsidR="00CC2B17" w:rsidRPr="00C4084C">
        <w:t xml:space="preserve">those </w:t>
      </w:r>
      <w:r w:rsidR="000836C9" w:rsidRPr="00C4084C">
        <w:t xml:space="preserve">who will be the future of Australia’s society including nurses, teachers, </w:t>
      </w:r>
      <w:r w:rsidR="005B4C87" w:rsidRPr="00C4084C">
        <w:t>electricians</w:t>
      </w:r>
      <w:r w:rsidR="00416320" w:rsidRPr="00C4084C">
        <w:t xml:space="preserve">, plumbers, </w:t>
      </w:r>
      <w:r w:rsidR="00F45BD5" w:rsidRPr="00C4084C">
        <w:t>doctors,</w:t>
      </w:r>
      <w:r w:rsidR="000836C9" w:rsidRPr="00C4084C">
        <w:t xml:space="preserve"> </w:t>
      </w:r>
      <w:proofErr w:type="gramStart"/>
      <w:r w:rsidR="000836C9" w:rsidRPr="00C4084C">
        <w:t>lawyers</w:t>
      </w:r>
      <w:proofErr w:type="gramEnd"/>
      <w:r w:rsidR="000836C9" w:rsidRPr="00C4084C">
        <w:t xml:space="preserve"> and engineers. As the </w:t>
      </w:r>
      <w:r w:rsidR="00F7078A" w:rsidRPr="00C4084C">
        <w:t>tertiary education</w:t>
      </w:r>
      <w:r w:rsidR="000836C9" w:rsidRPr="00C4084C">
        <w:t xml:space="preserve"> system grows and expands to include a </w:t>
      </w:r>
      <w:r w:rsidR="000836C9" w:rsidRPr="00C4084C">
        <w:lastRenderedPageBreak/>
        <w:t xml:space="preserve">wider cohort of students, this job will become even more important and at times challenging, as </w:t>
      </w:r>
      <w:r w:rsidR="00F7078A" w:rsidRPr="00C4084C">
        <w:t xml:space="preserve">staff </w:t>
      </w:r>
      <w:r w:rsidR="000836C9" w:rsidRPr="00C4084C">
        <w:t xml:space="preserve">support more students who may need extra help to succeed in their studies. </w:t>
      </w:r>
      <w:r w:rsidR="00F45BD5" w:rsidRPr="00C4084C">
        <w:t>Academics</w:t>
      </w:r>
      <w:r w:rsidR="000836C9" w:rsidRPr="00C4084C">
        <w:t xml:space="preserve">, many of whom </w:t>
      </w:r>
      <w:r w:rsidR="00614AC7" w:rsidRPr="00C4084C">
        <w:t>both teach and carry out research</w:t>
      </w:r>
      <w:r w:rsidR="000836C9" w:rsidRPr="00C4084C">
        <w:t xml:space="preserve">, are the backbone of Australia’s research system. Without their curiosity and creativity there would be no </w:t>
      </w:r>
      <w:r w:rsidR="00614AC7" w:rsidRPr="00C4084C">
        <w:t>high-quality</w:t>
      </w:r>
      <w:r w:rsidR="000836C9" w:rsidRPr="00C4084C">
        <w:t xml:space="preserve"> research system. The </w:t>
      </w:r>
      <w:r w:rsidR="00E43330" w:rsidRPr="00C4084C">
        <w:t>R</w:t>
      </w:r>
      <w:r w:rsidR="000836C9" w:rsidRPr="00C4084C">
        <w:t xml:space="preserve">eview also recognises the important role of professional </w:t>
      </w:r>
      <w:r w:rsidR="00D6777E" w:rsidRPr="00C4084C">
        <w:t>and technical</w:t>
      </w:r>
      <w:r w:rsidR="000836C9" w:rsidRPr="00C4084C">
        <w:t xml:space="preserve"> staff, who keep the system running and connected to </w:t>
      </w:r>
      <w:r w:rsidR="00EC6CD5" w:rsidRPr="00C4084C">
        <w:t>g</w:t>
      </w:r>
      <w:r w:rsidR="000836C9" w:rsidRPr="00C4084C">
        <w:t xml:space="preserve">overnment agencies, </w:t>
      </w:r>
      <w:proofErr w:type="gramStart"/>
      <w:r w:rsidR="000836C9" w:rsidRPr="00C4084C">
        <w:t>business</w:t>
      </w:r>
      <w:proofErr w:type="gramEnd"/>
      <w:r w:rsidR="000836C9" w:rsidRPr="00C4084C">
        <w:t xml:space="preserve"> and the wider community</w:t>
      </w:r>
      <w:r w:rsidR="00077D0A">
        <w:t>, and who provide important supports to students</w:t>
      </w:r>
      <w:r w:rsidR="00077D0A" w:rsidRPr="00C4084C">
        <w:t>.</w:t>
      </w:r>
    </w:p>
    <w:p w14:paraId="757F32A4" w14:textId="4717C9FB" w:rsidR="000836C9" w:rsidRPr="00C4084C" w:rsidRDefault="000836C9" w:rsidP="00302041">
      <w:r w:rsidRPr="00C4084C">
        <w:t>For the</w:t>
      </w:r>
      <w:r w:rsidR="00703D0F" w:rsidRPr="00C4084C">
        <w:t xml:space="preserve"> tertiary ed</w:t>
      </w:r>
      <w:r w:rsidR="4ECFBAC4" w:rsidRPr="00C4084C">
        <w:t>uc</w:t>
      </w:r>
      <w:r w:rsidR="00703D0F" w:rsidRPr="00C4084C">
        <w:t>ation</w:t>
      </w:r>
      <w:r w:rsidRPr="00C4084C">
        <w:t xml:space="preserve"> system to succeed the workforce will need to grow considerably</w:t>
      </w:r>
      <w:r w:rsidR="00D6777E" w:rsidRPr="00C4084C">
        <w:t>,</w:t>
      </w:r>
      <w:r w:rsidRPr="00C4084C">
        <w:t xml:space="preserve"> and staff will need new training to support their work in a new, more </w:t>
      </w:r>
      <w:proofErr w:type="gramStart"/>
      <w:r w:rsidRPr="00C4084C">
        <w:t>diverse</w:t>
      </w:r>
      <w:proofErr w:type="gramEnd"/>
      <w:r w:rsidRPr="00C4084C">
        <w:t xml:space="preserve"> and larger system. </w:t>
      </w:r>
      <w:r w:rsidR="00852064" w:rsidRPr="00C4084C">
        <w:t xml:space="preserve">Investment in staff at </w:t>
      </w:r>
      <w:r w:rsidR="00B33E49" w:rsidRPr="00C4084C">
        <w:t xml:space="preserve">all </w:t>
      </w:r>
      <w:r w:rsidR="00852064" w:rsidRPr="00C4084C">
        <w:t>stage</w:t>
      </w:r>
      <w:r w:rsidR="00B33E49" w:rsidRPr="00C4084C">
        <w:t>s</w:t>
      </w:r>
      <w:r w:rsidR="00852064" w:rsidRPr="00C4084C">
        <w:t xml:space="preserve"> of their careers is essential, both to ensure the day-to-day work of the sector in teaching and research, but also to foster future leaders and thinkers in Australia’s universities</w:t>
      </w:r>
      <w:r w:rsidR="00F7078A" w:rsidRPr="00C4084C">
        <w:t xml:space="preserve">, </w:t>
      </w:r>
      <w:proofErr w:type="gramStart"/>
      <w:r w:rsidR="00F7078A" w:rsidRPr="00C4084C">
        <w:t>TAFEs</w:t>
      </w:r>
      <w:proofErr w:type="gramEnd"/>
      <w:r w:rsidR="00615121" w:rsidRPr="00C4084C">
        <w:t xml:space="preserve"> and VET providers</w:t>
      </w:r>
      <w:r w:rsidR="00852064" w:rsidRPr="00C4084C">
        <w:t xml:space="preserve">. </w:t>
      </w:r>
      <w:r w:rsidR="000C4833" w:rsidRPr="00C4084C">
        <w:t xml:space="preserve">Priorities for supporting the workforce, including professional standards, accreditation, and training and development opportunities, are discussed in </w:t>
      </w:r>
      <w:r w:rsidR="000C4833" w:rsidRPr="00C4084C">
        <w:rPr>
          <w:i/>
          <w:iCs/>
        </w:rPr>
        <w:fldChar w:fldCharType="begin"/>
      </w:r>
      <w:r w:rsidR="000C4833" w:rsidRPr="00C4084C">
        <w:rPr>
          <w:i/>
          <w:iCs/>
        </w:rPr>
        <w:instrText xml:space="preserve"> REF _Ref152700656 \r </w:instrText>
      </w:r>
      <w:r w:rsidR="004B596E" w:rsidRPr="00C4084C">
        <w:rPr>
          <w:i/>
          <w:iCs/>
        </w:rPr>
        <w:instrText xml:space="preserve"> \* MERGEFORMAT </w:instrText>
      </w:r>
      <w:r w:rsidR="000C4833" w:rsidRPr="00C4084C">
        <w:rPr>
          <w:i/>
          <w:iCs/>
        </w:rPr>
        <w:fldChar w:fldCharType="separate"/>
      </w:r>
      <w:r w:rsidR="00467B4F">
        <w:rPr>
          <w:i/>
          <w:iCs/>
        </w:rPr>
        <w:t xml:space="preserve">Chapter 4 – </w:t>
      </w:r>
      <w:r w:rsidR="000C4833" w:rsidRPr="00C4084C">
        <w:rPr>
          <w:i/>
          <w:iCs/>
        </w:rPr>
        <w:fldChar w:fldCharType="end"/>
      </w:r>
      <w:r w:rsidR="000C4833" w:rsidRPr="00C4084C">
        <w:rPr>
          <w:i/>
          <w:iCs/>
        </w:rPr>
        <w:fldChar w:fldCharType="begin"/>
      </w:r>
      <w:r w:rsidR="000C4833" w:rsidRPr="00C4084C">
        <w:rPr>
          <w:i/>
          <w:iCs/>
        </w:rPr>
        <w:instrText xml:space="preserve"> REF _Ref152700656 </w:instrText>
      </w:r>
      <w:r w:rsidR="004B596E" w:rsidRPr="00C4084C">
        <w:rPr>
          <w:i/>
          <w:iCs/>
        </w:rPr>
        <w:instrText xml:space="preserve"> \* MERGEFORMAT </w:instrText>
      </w:r>
      <w:r w:rsidR="000C4833" w:rsidRPr="00C4084C">
        <w:rPr>
          <w:i/>
          <w:iCs/>
        </w:rPr>
        <w:fldChar w:fldCharType="separate"/>
      </w:r>
      <w:r w:rsidR="00467B4F" w:rsidRPr="00467B4F">
        <w:rPr>
          <w:i/>
          <w:iCs/>
        </w:rPr>
        <w:t>Delivering for students</w:t>
      </w:r>
      <w:r w:rsidR="000C4833" w:rsidRPr="00C4084C">
        <w:rPr>
          <w:i/>
          <w:iCs/>
        </w:rPr>
        <w:fldChar w:fldCharType="end"/>
      </w:r>
      <w:r w:rsidR="000C4833" w:rsidRPr="00C4084C">
        <w:t xml:space="preserve">. </w:t>
      </w:r>
      <w:r w:rsidR="000F26D6" w:rsidRPr="00C4084C">
        <w:t>T</w:t>
      </w:r>
      <w:r w:rsidRPr="00C4084C">
        <w:t xml:space="preserve">he </w:t>
      </w:r>
      <w:r w:rsidR="00852064" w:rsidRPr="00C4084C">
        <w:t>R</w:t>
      </w:r>
      <w:r w:rsidRPr="00C4084C">
        <w:t xml:space="preserve">eview </w:t>
      </w:r>
      <w:r w:rsidR="00B33E49" w:rsidRPr="00C4084C">
        <w:t xml:space="preserve">notes </w:t>
      </w:r>
      <w:r w:rsidRPr="00C4084C">
        <w:t>that workforce arrangement</w:t>
      </w:r>
      <w:r w:rsidR="00A33F54" w:rsidRPr="00C4084C">
        <w:t>s</w:t>
      </w:r>
      <w:r w:rsidRPr="00C4084C">
        <w:t xml:space="preserve"> are a matter for institutions and their staff and unions, but there</w:t>
      </w:r>
      <w:r w:rsidR="00693234" w:rsidRPr="00C4084C">
        <w:t xml:space="preserve"> is</w:t>
      </w:r>
      <w:r w:rsidRPr="00C4084C">
        <w:t xml:space="preserve"> also a role for a new Commission in helping bring these parties together to </w:t>
      </w:r>
      <w:proofErr w:type="gramStart"/>
      <w:r w:rsidRPr="00C4084C">
        <w:t>plan for the future</w:t>
      </w:r>
      <w:proofErr w:type="gramEnd"/>
      <w:r w:rsidRPr="00C4084C">
        <w:t>.</w:t>
      </w:r>
    </w:p>
    <w:p w14:paraId="2BC6B4A4" w14:textId="7044421D" w:rsidR="000836C9" w:rsidRPr="00C4084C" w:rsidRDefault="000836C9" w:rsidP="00302041">
      <w:r w:rsidRPr="00C4084C">
        <w:t>In recent decades, the higher education workforce has grown. However, growth in student numbers has outstripped growth</w:t>
      </w:r>
      <w:r w:rsidR="00B33E49" w:rsidRPr="00C4084C">
        <w:t xml:space="preserve"> in staff numbers</w:t>
      </w:r>
      <w:r w:rsidRPr="00C4084C">
        <w:t xml:space="preserve">, resulting in a workforce that </w:t>
      </w:r>
      <w:r w:rsidR="001E3568" w:rsidRPr="00C4084C">
        <w:t xml:space="preserve">often reports </w:t>
      </w:r>
      <w:r w:rsidRPr="00C4084C">
        <w:t xml:space="preserve">being under pressure. </w:t>
      </w:r>
      <w:r w:rsidR="00920D67" w:rsidRPr="00C4084C">
        <w:t xml:space="preserve">Between 2012 and 2021, total higher education </w:t>
      </w:r>
      <w:r w:rsidR="00962212" w:rsidRPr="00C4084C">
        <w:t>academic</w:t>
      </w:r>
      <w:r w:rsidR="00920D67" w:rsidRPr="00C4084C">
        <w:t xml:space="preserve"> staff</w:t>
      </w:r>
      <w:r w:rsidR="00DB49FA" w:rsidRPr="00C4084C">
        <w:t>, including casual staff</w:t>
      </w:r>
      <w:r w:rsidR="00920D67" w:rsidRPr="00C4084C">
        <w:t xml:space="preserve"> </w:t>
      </w:r>
      <w:r w:rsidR="00962212" w:rsidRPr="00C4084C">
        <w:t>(</w:t>
      </w:r>
      <w:r w:rsidR="00E701CD" w:rsidRPr="00C4084C">
        <w:t>full-time equivalent (</w:t>
      </w:r>
      <w:r w:rsidR="00962212" w:rsidRPr="00C4084C">
        <w:t>FTE</w:t>
      </w:r>
      <w:r w:rsidR="00E701CD" w:rsidRPr="00C4084C">
        <w:t>)</w:t>
      </w:r>
      <w:r w:rsidR="00962212" w:rsidRPr="00C4084C">
        <w:t>)</w:t>
      </w:r>
      <w:r w:rsidR="00740CA5">
        <w:t>,</w:t>
      </w:r>
      <w:r w:rsidR="00920D67" w:rsidRPr="00C4084C">
        <w:t xml:space="preserve"> grew by </w:t>
      </w:r>
      <w:r w:rsidR="00962212" w:rsidRPr="00C4084C">
        <w:t>12.0</w:t>
      </w:r>
      <w:r w:rsidR="00920D67" w:rsidRPr="00C4084C">
        <w:t>% (</w:t>
      </w:r>
      <w:r w:rsidR="003F3AB9" w:rsidRPr="00C4084C">
        <w:t xml:space="preserve">to around </w:t>
      </w:r>
      <w:r w:rsidR="00962212" w:rsidRPr="00C4084C">
        <w:t>60</w:t>
      </w:r>
      <w:r w:rsidR="003F3AB9" w:rsidRPr="00C4084C">
        <w:t>,000 people</w:t>
      </w:r>
      <w:r w:rsidR="00920D67" w:rsidRPr="00C4084C">
        <w:t>)</w:t>
      </w:r>
      <w:r w:rsidR="004F018C" w:rsidRPr="00C4084C">
        <w:t>. In the same period,</w:t>
      </w:r>
      <w:r w:rsidR="00920D67" w:rsidRPr="00C4084C">
        <w:t xml:space="preserve"> student</w:t>
      </w:r>
      <w:r w:rsidR="00E93155" w:rsidRPr="00C4084C">
        <w:t>s</w:t>
      </w:r>
      <w:r w:rsidR="00740CA5">
        <w:t xml:space="preserve"> </w:t>
      </w:r>
      <w:r w:rsidR="00920D67" w:rsidRPr="00C4084C">
        <w:t>grew by 2</w:t>
      </w:r>
      <w:r w:rsidR="00962212" w:rsidRPr="00C4084C">
        <w:t>0.7</w:t>
      </w:r>
      <w:r w:rsidR="00920D67" w:rsidRPr="00C4084C">
        <w:t>% (</w:t>
      </w:r>
      <w:r w:rsidR="003F3AB9" w:rsidRPr="00C4084C">
        <w:t xml:space="preserve">to </w:t>
      </w:r>
      <w:r w:rsidR="00920D67" w:rsidRPr="00C4084C">
        <w:t>1</w:t>
      </w:r>
      <w:r w:rsidR="003F3AB9" w:rsidRPr="00C4084C">
        <w:t>.</w:t>
      </w:r>
      <w:r w:rsidR="00962212" w:rsidRPr="00C4084C">
        <w:t xml:space="preserve">0 </w:t>
      </w:r>
      <w:r w:rsidR="003F3AB9" w:rsidRPr="00C4084C">
        <w:t>million people</w:t>
      </w:r>
      <w:r w:rsidR="00920D67" w:rsidRPr="00C4084C">
        <w:t>)</w:t>
      </w:r>
      <w:r w:rsidR="004F018C" w:rsidRPr="00C4084C">
        <w:t>,</w:t>
      </w:r>
      <w:r w:rsidRPr="00C4084C">
        <w:rPr>
          <w:rStyle w:val="FootnoteReference"/>
          <w:rFonts w:eastAsiaTheme="minorEastAsia"/>
        </w:rPr>
        <w:footnoteReference w:id="374"/>
      </w:r>
      <w:r w:rsidRPr="00C4084C">
        <w:t xml:space="preserve"> </w:t>
      </w:r>
      <w:r w:rsidR="00EF7C75" w:rsidRPr="00C4084C">
        <w:t>a</w:t>
      </w:r>
      <w:r w:rsidR="004F018C" w:rsidRPr="00C4084C">
        <w:t>nd the ratio of students to academic staff (including casual staff) grew from 20.4 to 23.2</w:t>
      </w:r>
      <w:r w:rsidR="00D964C4" w:rsidRPr="00C4084C">
        <w:t xml:space="preserve"> (EFTSL and FTE)</w:t>
      </w:r>
      <w:r w:rsidR="004F018C" w:rsidRPr="00C4084C">
        <w:t>.</w:t>
      </w:r>
      <w:r w:rsidR="004F018C" w:rsidRPr="00C4084C">
        <w:rPr>
          <w:rStyle w:val="FootnoteReference"/>
        </w:rPr>
        <w:footnoteReference w:id="375"/>
      </w:r>
    </w:p>
    <w:p w14:paraId="010CC32F" w14:textId="4FCBC2A7" w:rsidR="000836C9" w:rsidRPr="00C4084C" w:rsidRDefault="000836C9" w:rsidP="00302041">
      <w:r w:rsidRPr="00C4084C">
        <w:t xml:space="preserve">Among other things, frequently changing funding arrangements and the cost of doing business present a challenge for workforce planning for </w:t>
      </w:r>
      <w:r w:rsidR="00EF7C75" w:rsidRPr="00C4084C">
        <w:t xml:space="preserve">providers </w:t>
      </w:r>
      <w:r w:rsidRPr="00C4084C">
        <w:t xml:space="preserve">across the sector. These uncertainties have contributed to the increased use of </w:t>
      </w:r>
      <w:r w:rsidR="001E3568" w:rsidRPr="00C4084C">
        <w:t xml:space="preserve">redundancies and of </w:t>
      </w:r>
      <w:r w:rsidRPr="00C4084C">
        <w:t xml:space="preserve">casual and fixed term contracts in both teaching and research. </w:t>
      </w:r>
    </w:p>
    <w:p w14:paraId="61A8A01D" w14:textId="77777777" w:rsidR="000836C9" w:rsidRPr="00C4084C" w:rsidRDefault="000836C9" w:rsidP="003E5969">
      <w:pPr>
        <w:pStyle w:val="Heading5"/>
      </w:pPr>
      <w:r w:rsidRPr="00C4084C">
        <w:t>Casual staff in higher education</w:t>
      </w:r>
    </w:p>
    <w:p w14:paraId="1D1361AA" w14:textId="27562093" w:rsidR="000836C9" w:rsidRPr="00C4084C" w:rsidRDefault="00A33F54" w:rsidP="001D6C6A">
      <w:r w:rsidRPr="00C4084C">
        <w:t xml:space="preserve">As shown in </w:t>
      </w:r>
      <w:r w:rsidR="00A93288" w:rsidRPr="00C4084C">
        <w:fldChar w:fldCharType="begin"/>
      </w:r>
      <w:r w:rsidR="00A93288" w:rsidRPr="00C4084C">
        <w:instrText xml:space="preserve"> REF _Ref153449121 \h </w:instrText>
      </w:r>
      <w:r w:rsidR="00CF7438">
        <w:instrText xml:space="preserve"> \* MERGEFORMAT </w:instrText>
      </w:r>
      <w:r w:rsidR="00A93288" w:rsidRPr="00C4084C">
        <w:fldChar w:fldCharType="separate"/>
      </w:r>
      <w:r w:rsidR="00467B4F" w:rsidRPr="00C4084C">
        <w:t xml:space="preserve">Table </w:t>
      </w:r>
      <w:r w:rsidR="00467B4F">
        <w:rPr>
          <w:noProof/>
        </w:rPr>
        <w:t>6</w:t>
      </w:r>
      <w:r w:rsidR="00A93288" w:rsidRPr="00C4084C">
        <w:fldChar w:fldCharType="end"/>
      </w:r>
      <w:r w:rsidRPr="00C4084C">
        <w:t>, t</w:t>
      </w:r>
      <w:r w:rsidR="003815E9" w:rsidRPr="00C4084C">
        <w:t>he</w:t>
      </w:r>
      <w:r w:rsidR="000836C9" w:rsidRPr="00C4084C">
        <w:t xml:space="preserve"> proportion of casual staff has </w:t>
      </w:r>
      <w:r w:rsidR="000E1D00" w:rsidRPr="00C4084C">
        <w:t>risen considerably since 1995</w:t>
      </w:r>
      <w:r w:rsidR="00077D0A">
        <w:t>, most notably in the period from 1995 to 2010</w:t>
      </w:r>
      <w:r w:rsidR="000836C9" w:rsidRPr="00C4084C">
        <w:t xml:space="preserve">. </w:t>
      </w:r>
      <w:r w:rsidR="00437DAF" w:rsidRPr="00C4084C">
        <w:t>In 202</w:t>
      </w:r>
      <w:r w:rsidR="00361DC0" w:rsidRPr="00C4084C">
        <w:t>1</w:t>
      </w:r>
      <w:r w:rsidR="00437DAF" w:rsidRPr="00C4084C">
        <w:t>, casual staff comprised 2</w:t>
      </w:r>
      <w:r w:rsidR="00361DC0" w:rsidRPr="00C4084C">
        <w:t>2.1</w:t>
      </w:r>
      <w:r w:rsidR="00437DAF" w:rsidRPr="00C4084C">
        <w:t>% of the academic workforce (</w:t>
      </w:r>
      <w:r w:rsidR="00361DC0" w:rsidRPr="00C4084C">
        <w:t>FTE</w:t>
      </w:r>
      <w:r w:rsidR="00437DAF" w:rsidRPr="00C4084C">
        <w:t>).</w:t>
      </w:r>
      <w:r w:rsidR="000836C9" w:rsidRPr="00C4084C">
        <w:rPr>
          <w:rStyle w:val="FootnoteReference"/>
          <w:rFonts w:eastAsiaTheme="minorEastAsia"/>
        </w:rPr>
        <w:footnoteReference w:id="376"/>
      </w:r>
    </w:p>
    <w:p w14:paraId="30BA97F4" w14:textId="2C3579AD" w:rsidR="00FD6788" w:rsidRPr="00C4084C" w:rsidRDefault="000836C9" w:rsidP="00A26A20">
      <w:pPr>
        <w:pStyle w:val="Caption"/>
        <w:rPr>
          <w:rFonts w:eastAsiaTheme="minorEastAsia"/>
        </w:rPr>
      </w:pPr>
      <w:bookmarkStart w:id="1042" w:name="_Ref153449121"/>
      <w:bookmarkStart w:id="1043" w:name="_Ref153449115"/>
      <w:bookmarkStart w:id="1044" w:name="_Toc153809634"/>
      <w:r w:rsidRPr="00C4084C">
        <w:lastRenderedPageBreak/>
        <w:t xml:space="preserve">Table </w:t>
      </w:r>
      <w:r w:rsidRPr="00C4084C">
        <w:fldChar w:fldCharType="begin"/>
      </w:r>
      <w:r w:rsidRPr="00C4084C">
        <w:instrText>SEQ Table \* ARABIC</w:instrText>
      </w:r>
      <w:r w:rsidRPr="00C4084C">
        <w:fldChar w:fldCharType="separate"/>
      </w:r>
      <w:r w:rsidR="00467B4F">
        <w:rPr>
          <w:noProof/>
        </w:rPr>
        <w:t>6</w:t>
      </w:r>
      <w:r w:rsidRPr="00C4084C">
        <w:fldChar w:fldCharType="end"/>
      </w:r>
      <w:bookmarkEnd w:id="1042"/>
      <w:r w:rsidRPr="00C4084C">
        <w:t xml:space="preserve">: Casual staff as a percentage of total university staff, full-time </w:t>
      </w:r>
      <w:r w:rsidR="00FD6788" w:rsidRPr="00C4084C">
        <w:t>equivalent (FTE)</w:t>
      </w:r>
      <w:r w:rsidR="04434B2B" w:rsidRPr="00C4084C">
        <w:t xml:space="preserve"> unless otherwise indicated</w:t>
      </w:r>
      <w:r w:rsidRPr="00C4084C">
        <w:t xml:space="preserve">, </w:t>
      </w:r>
      <w:r w:rsidR="003E532D" w:rsidRPr="00C4084C">
        <w:t xml:space="preserve">1995 </w:t>
      </w:r>
      <w:r w:rsidRPr="00C4084C">
        <w:t>to 202</w:t>
      </w:r>
      <w:r w:rsidR="00C274DA">
        <w:t>1</w:t>
      </w:r>
      <w:r w:rsidRPr="00C4084C">
        <w:t>.</w:t>
      </w:r>
      <w:bookmarkEnd w:id="1043"/>
      <w:bookmarkEnd w:id="1044"/>
      <w:r w:rsidRPr="00C4084C" w:rsidDel="00774731">
        <w:t xml:space="preserve"> </w:t>
      </w:r>
      <w:r w:rsidRPr="00C4084C">
        <w:tab/>
      </w:r>
    </w:p>
    <w:tbl>
      <w:tblPr>
        <w:tblStyle w:val="EDU-Basic"/>
        <w:tblW w:w="0" w:type="auto"/>
        <w:tblBorders>
          <w:top w:val="none" w:sz="0" w:space="0" w:color="auto"/>
          <w:left w:val="none" w:sz="0" w:space="0" w:color="auto"/>
          <w:bottom w:val="none" w:sz="0" w:space="0" w:color="auto"/>
          <w:right w:val="none" w:sz="0" w:space="0" w:color="auto"/>
          <w:insideH w:val="single" w:sz="4" w:space="0" w:color="89DAF7"/>
          <w:insideV w:val="none" w:sz="0" w:space="0" w:color="auto"/>
        </w:tblBorders>
        <w:tblLook w:val="04A0" w:firstRow="1" w:lastRow="0" w:firstColumn="1" w:lastColumn="0" w:noHBand="0" w:noVBand="1"/>
      </w:tblPr>
      <w:tblGrid>
        <w:gridCol w:w="1616"/>
        <w:gridCol w:w="1616"/>
        <w:gridCol w:w="1616"/>
        <w:gridCol w:w="1616"/>
        <w:gridCol w:w="1616"/>
      </w:tblGrid>
      <w:tr w:rsidR="00B51E8F" w:rsidRPr="00C4084C" w14:paraId="08408EBB" w14:textId="77777777" w:rsidTr="00B53FB4">
        <w:trPr>
          <w:cnfStyle w:val="100000000000" w:firstRow="1" w:lastRow="0" w:firstColumn="0" w:lastColumn="0" w:oddVBand="0" w:evenVBand="0" w:oddHBand="0" w:evenHBand="0" w:firstRowFirstColumn="0" w:firstRowLastColumn="0" w:lastRowFirstColumn="0" w:lastRowLastColumn="0"/>
          <w:cantSplit/>
          <w:trHeight w:val="274"/>
          <w:tblHeader/>
        </w:trPr>
        <w:tc>
          <w:tcPr>
            <w:cnfStyle w:val="001000000000" w:firstRow="0" w:lastRow="0" w:firstColumn="1" w:lastColumn="0" w:oddVBand="0" w:evenVBand="0" w:oddHBand="0" w:evenHBand="0" w:firstRowFirstColumn="0" w:firstRowLastColumn="0" w:lastRowFirstColumn="0" w:lastRowLastColumn="0"/>
            <w:tcW w:w="1616" w:type="dxa"/>
            <w:tcBorders>
              <w:top w:val="nil"/>
              <w:left w:val="nil"/>
              <w:bottom w:val="single" w:sz="12" w:space="0" w:color="A1E2F9"/>
              <w:right w:val="single" w:sz="12" w:space="0" w:color="A1E2F9"/>
            </w:tcBorders>
            <w:shd w:val="clear" w:color="auto" w:fill="D0F1FC"/>
            <w:noWrap/>
            <w:vAlign w:val="top"/>
            <w:hideMark/>
          </w:tcPr>
          <w:p w14:paraId="03648083" w14:textId="77777777" w:rsidR="00B51E8F" w:rsidRPr="00C4084C" w:rsidRDefault="00B51E8F">
            <w:pPr>
              <w:keepNext/>
              <w:tabs>
                <w:tab w:val="left" w:pos="1245"/>
              </w:tabs>
              <w:spacing w:beforeAutospacing="0" w:after="0" w:afterAutospacing="0" w:line="257" w:lineRule="auto"/>
              <w:rPr>
                <w:rFonts w:eastAsiaTheme="minorEastAsia"/>
                <w:b/>
                <w:bCs/>
              </w:rPr>
            </w:pPr>
            <w:r w:rsidRPr="00C4084C">
              <w:rPr>
                <w:rFonts w:eastAsiaTheme="minorEastAsia"/>
                <w:b/>
                <w:bCs/>
              </w:rPr>
              <w:t>Year</w:t>
            </w:r>
          </w:p>
        </w:tc>
        <w:tc>
          <w:tcPr>
            <w:tcW w:w="1616" w:type="dxa"/>
            <w:tcBorders>
              <w:top w:val="nil"/>
              <w:left w:val="single" w:sz="12" w:space="0" w:color="A1E2F9"/>
              <w:bottom w:val="single" w:sz="12" w:space="0" w:color="A1E2F9"/>
              <w:right w:val="single" w:sz="4" w:space="0" w:color="D0F1FC"/>
            </w:tcBorders>
            <w:shd w:val="clear" w:color="auto" w:fill="D0F1FC"/>
            <w:noWrap/>
            <w:hideMark/>
          </w:tcPr>
          <w:p w14:paraId="41A2DAFC" w14:textId="0FEA0F64" w:rsidR="00B51E8F" w:rsidRPr="00C4084C" w:rsidRDefault="00B51E8F">
            <w:pPr>
              <w:keepNext/>
              <w:tabs>
                <w:tab w:val="left" w:pos="1245"/>
              </w:tabs>
              <w:spacing w:beforeAutospacing="0" w:after="0" w:afterAutospacing="0" w:line="257" w:lineRule="auto"/>
              <w:jc w:val="right"/>
              <w:cnfStyle w:val="100000000000" w:firstRow="1" w:lastRow="0" w:firstColumn="0" w:lastColumn="0" w:oddVBand="0" w:evenVBand="0" w:oddHBand="0" w:evenHBand="0" w:firstRowFirstColumn="0" w:firstRowLastColumn="0" w:lastRowFirstColumn="0" w:lastRowLastColumn="0"/>
              <w:rPr>
                <w:rFonts w:eastAsiaTheme="minorEastAsia"/>
                <w:b/>
                <w:bCs/>
              </w:rPr>
            </w:pPr>
            <w:r w:rsidRPr="00C4084C">
              <w:rPr>
                <w:rFonts w:eastAsiaTheme="minorEastAsia"/>
                <w:b/>
                <w:bCs/>
              </w:rPr>
              <w:t>All university staff (no.)</w:t>
            </w:r>
          </w:p>
        </w:tc>
        <w:tc>
          <w:tcPr>
            <w:tcW w:w="1616" w:type="dxa"/>
            <w:tcBorders>
              <w:top w:val="nil"/>
              <w:left w:val="single" w:sz="4" w:space="0" w:color="D0F1FC"/>
              <w:bottom w:val="single" w:sz="12" w:space="0" w:color="A1E2F9"/>
              <w:right w:val="single" w:sz="4" w:space="0" w:color="D0F1FC"/>
            </w:tcBorders>
            <w:shd w:val="clear" w:color="auto" w:fill="D0F1FC"/>
            <w:noWrap/>
            <w:hideMark/>
          </w:tcPr>
          <w:p w14:paraId="1FB7D4A2" w14:textId="215D2009" w:rsidR="00B51E8F" w:rsidRPr="00C4084C" w:rsidRDefault="00B51E8F">
            <w:pPr>
              <w:keepNext/>
              <w:tabs>
                <w:tab w:val="left" w:pos="1245"/>
              </w:tabs>
              <w:spacing w:beforeAutospacing="0" w:after="0" w:afterAutospacing="0" w:line="257" w:lineRule="auto"/>
              <w:jc w:val="right"/>
              <w:cnfStyle w:val="100000000000" w:firstRow="1" w:lastRow="0" w:firstColumn="0" w:lastColumn="0" w:oddVBand="0" w:evenVBand="0" w:oddHBand="0" w:evenHBand="0" w:firstRowFirstColumn="0" w:firstRowLastColumn="0" w:lastRowFirstColumn="0" w:lastRowLastColumn="0"/>
              <w:rPr>
                <w:rFonts w:eastAsiaTheme="minorEastAsia"/>
                <w:b/>
                <w:bCs/>
              </w:rPr>
            </w:pPr>
            <w:r w:rsidRPr="00C4084C">
              <w:rPr>
                <w:rFonts w:eastAsiaTheme="minorEastAsia"/>
                <w:b/>
                <w:bCs/>
              </w:rPr>
              <w:t>All academic staff (no.)</w:t>
            </w:r>
          </w:p>
        </w:tc>
        <w:tc>
          <w:tcPr>
            <w:tcW w:w="1616" w:type="dxa"/>
            <w:tcBorders>
              <w:top w:val="nil"/>
              <w:left w:val="single" w:sz="4" w:space="0" w:color="D0F1FC"/>
              <w:bottom w:val="single" w:sz="12" w:space="0" w:color="A1E2F9"/>
              <w:right w:val="single" w:sz="4" w:space="0" w:color="D0F1FC"/>
            </w:tcBorders>
            <w:shd w:val="clear" w:color="auto" w:fill="D0F1FC"/>
            <w:noWrap/>
            <w:hideMark/>
          </w:tcPr>
          <w:p w14:paraId="6A651195" w14:textId="089EE021" w:rsidR="00B51E8F" w:rsidRPr="00C4084C" w:rsidRDefault="00B51E8F">
            <w:pPr>
              <w:keepNext/>
              <w:tabs>
                <w:tab w:val="left" w:pos="1245"/>
              </w:tabs>
              <w:spacing w:beforeAutospacing="0" w:after="0" w:afterAutospacing="0" w:line="257" w:lineRule="auto"/>
              <w:jc w:val="right"/>
              <w:cnfStyle w:val="100000000000" w:firstRow="1" w:lastRow="0" w:firstColumn="0" w:lastColumn="0" w:oddVBand="0" w:evenVBand="0" w:oddHBand="0" w:evenHBand="0" w:firstRowFirstColumn="0" w:firstRowLastColumn="0" w:lastRowFirstColumn="0" w:lastRowLastColumn="0"/>
              <w:rPr>
                <w:rFonts w:eastAsiaTheme="minorEastAsia"/>
                <w:b/>
                <w:bCs/>
              </w:rPr>
            </w:pPr>
            <w:r w:rsidRPr="00C4084C">
              <w:rPr>
                <w:rFonts w:eastAsiaTheme="minorEastAsia"/>
                <w:b/>
                <w:bCs/>
              </w:rPr>
              <w:t>Casual academic staff (no.)</w:t>
            </w:r>
          </w:p>
        </w:tc>
        <w:tc>
          <w:tcPr>
            <w:tcW w:w="1616" w:type="dxa"/>
            <w:tcBorders>
              <w:top w:val="nil"/>
              <w:left w:val="single" w:sz="4" w:space="0" w:color="D0F1FC"/>
              <w:bottom w:val="single" w:sz="12" w:space="0" w:color="A1E2F9"/>
              <w:right w:val="nil"/>
            </w:tcBorders>
            <w:shd w:val="clear" w:color="auto" w:fill="D0F1FC"/>
            <w:noWrap/>
            <w:hideMark/>
          </w:tcPr>
          <w:p w14:paraId="42606CF3" w14:textId="520905FD" w:rsidR="00B51E8F" w:rsidRPr="00C4084C" w:rsidRDefault="00B51E8F">
            <w:pPr>
              <w:keepNext/>
              <w:tabs>
                <w:tab w:val="left" w:pos="1245"/>
              </w:tabs>
              <w:spacing w:before="0" w:beforeAutospacing="0" w:after="0" w:afterAutospacing="0" w:line="257" w:lineRule="auto"/>
              <w:jc w:val="right"/>
              <w:cnfStyle w:val="100000000000" w:firstRow="1" w:lastRow="0" w:firstColumn="0" w:lastColumn="0" w:oddVBand="0" w:evenVBand="0" w:oddHBand="0" w:evenHBand="0" w:firstRowFirstColumn="0" w:firstRowLastColumn="0" w:lastRowFirstColumn="0" w:lastRowLastColumn="0"/>
              <w:rPr>
                <w:rFonts w:eastAsiaTheme="minorEastAsia"/>
                <w:b/>
                <w:bCs/>
              </w:rPr>
            </w:pPr>
            <w:r w:rsidRPr="00C4084C">
              <w:rPr>
                <w:rFonts w:eastAsiaTheme="minorEastAsia"/>
                <w:b/>
                <w:bCs/>
              </w:rPr>
              <w:t>Casual academic staff (% of all staff)</w:t>
            </w:r>
          </w:p>
        </w:tc>
      </w:tr>
      <w:tr w:rsidR="00B51E8F" w:rsidRPr="00C4084C" w14:paraId="7C3D548F" w14:textId="77777777" w:rsidTr="00B53FB4">
        <w:trPr>
          <w:cantSplit/>
          <w:trHeight w:val="274"/>
        </w:trPr>
        <w:tc>
          <w:tcPr>
            <w:cnfStyle w:val="001000000000" w:firstRow="0" w:lastRow="0" w:firstColumn="1" w:lastColumn="0" w:oddVBand="0" w:evenVBand="0" w:oddHBand="0" w:evenHBand="0" w:firstRowFirstColumn="0" w:firstRowLastColumn="0" w:lastRowFirstColumn="0" w:lastRowLastColumn="0"/>
            <w:tcW w:w="1616" w:type="dxa"/>
            <w:tcBorders>
              <w:top w:val="single" w:sz="8" w:space="0" w:color="A1E2F9"/>
              <w:bottom w:val="single" w:sz="8" w:space="0" w:color="A1E2F9"/>
              <w:right w:val="single" w:sz="12" w:space="0" w:color="A1E2F9"/>
            </w:tcBorders>
            <w:noWrap/>
            <w:hideMark/>
          </w:tcPr>
          <w:p w14:paraId="78B4A9DE" w14:textId="77777777" w:rsidR="00B51E8F" w:rsidRPr="00C4084C" w:rsidRDefault="00B51E8F">
            <w:pPr>
              <w:keepNext/>
              <w:tabs>
                <w:tab w:val="left" w:pos="1245"/>
              </w:tabs>
              <w:spacing w:before="0" w:beforeAutospacing="0" w:afterAutospacing="0" w:line="257" w:lineRule="auto"/>
              <w:rPr>
                <w:rFonts w:eastAsiaTheme="minorEastAsia"/>
                <w:b/>
              </w:rPr>
            </w:pPr>
            <w:r w:rsidRPr="00C4084C">
              <w:rPr>
                <w:rFonts w:eastAsiaTheme="minorEastAsia"/>
                <w:b/>
              </w:rPr>
              <w:t>1995</w:t>
            </w:r>
          </w:p>
        </w:tc>
        <w:tc>
          <w:tcPr>
            <w:tcW w:w="1616" w:type="dxa"/>
            <w:tcBorders>
              <w:left w:val="single" w:sz="12" w:space="0" w:color="A1E2F9"/>
              <w:right w:val="single" w:sz="4" w:space="0" w:color="D0F1FC"/>
            </w:tcBorders>
            <w:noWrap/>
            <w:hideMark/>
          </w:tcPr>
          <w:p w14:paraId="45E5B1DE" w14:textId="77777777" w:rsidR="00B51E8F" w:rsidRPr="00C4084C" w:rsidRDefault="00B51E8F">
            <w:pPr>
              <w:keepNext/>
              <w:tabs>
                <w:tab w:val="left" w:pos="1245"/>
              </w:tabs>
              <w:spacing w:before="0" w:beforeAutospacing="0" w:afterAutospacing="0" w:line="257" w:lineRule="auto"/>
              <w:jc w:val="right"/>
              <w:cnfStyle w:val="000000000000" w:firstRow="0" w:lastRow="0" w:firstColumn="0" w:lastColumn="0" w:oddVBand="0" w:evenVBand="0" w:oddHBand="0" w:evenHBand="0" w:firstRowFirstColumn="0" w:firstRowLastColumn="0" w:lastRowFirstColumn="0" w:lastRowLastColumn="0"/>
              <w:rPr>
                <w:rFonts w:eastAsiaTheme="minorEastAsia"/>
              </w:rPr>
            </w:pPr>
            <w:r w:rsidRPr="00C4084C">
              <w:rPr>
                <w:rFonts w:eastAsiaTheme="minorEastAsia"/>
              </w:rPr>
              <w:t>81,296</w:t>
            </w:r>
          </w:p>
        </w:tc>
        <w:tc>
          <w:tcPr>
            <w:tcW w:w="1616" w:type="dxa"/>
            <w:tcBorders>
              <w:left w:val="single" w:sz="4" w:space="0" w:color="D0F1FC"/>
              <w:right w:val="single" w:sz="4" w:space="0" w:color="D0F1FC"/>
            </w:tcBorders>
            <w:noWrap/>
            <w:hideMark/>
          </w:tcPr>
          <w:p w14:paraId="17E5742F" w14:textId="4820355F" w:rsidR="00B51E8F" w:rsidRPr="00C4084C" w:rsidRDefault="00C739EF">
            <w:pPr>
              <w:keepNext/>
              <w:tabs>
                <w:tab w:val="left" w:pos="1245"/>
              </w:tabs>
              <w:spacing w:before="0" w:beforeAutospacing="0" w:afterAutospacing="0" w:line="257" w:lineRule="auto"/>
              <w:jc w:val="right"/>
              <w:cnfStyle w:val="000000000000" w:firstRow="0" w:lastRow="0" w:firstColumn="0" w:lastColumn="0" w:oddVBand="0" w:evenVBand="0" w:oddHBand="0" w:evenHBand="0" w:firstRowFirstColumn="0" w:firstRowLastColumn="0" w:lastRowFirstColumn="0" w:lastRowLastColumn="0"/>
              <w:rPr>
                <w:rFonts w:eastAsiaTheme="minorEastAsia"/>
              </w:rPr>
            </w:pPr>
            <w:r w:rsidRPr="00C4084C">
              <w:rPr>
                <w:color w:val="000000"/>
                <w:lang w:eastAsia="en-AU"/>
              </w:rPr>
              <w:t>36,573</w:t>
            </w:r>
          </w:p>
        </w:tc>
        <w:tc>
          <w:tcPr>
            <w:tcW w:w="1616" w:type="dxa"/>
            <w:tcBorders>
              <w:left w:val="single" w:sz="4" w:space="0" w:color="D0F1FC"/>
              <w:right w:val="single" w:sz="4" w:space="0" w:color="D0F1FC"/>
            </w:tcBorders>
            <w:noWrap/>
            <w:hideMark/>
          </w:tcPr>
          <w:p w14:paraId="58A6DD14" w14:textId="77777777" w:rsidR="00B51E8F" w:rsidRPr="00C4084C" w:rsidRDefault="00B51E8F">
            <w:pPr>
              <w:keepNext/>
              <w:tabs>
                <w:tab w:val="left" w:pos="1245"/>
              </w:tabs>
              <w:spacing w:before="0" w:beforeAutospacing="0" w:afterAutospacing="0" w:line="257" w:lineRule="auto"/>
              <w:jc w:val="right"/>
              <w:cnfStyle w:val="000000000000" w:firstRow="0" w:lastRow="0" w:firstColumn="0" w:lastColumn="0" w:oddVBand="0" w:evenVBand="0" w:oddHBand="0" w:evenHBand="0" w:firstRowFirstColumn="0" w:firstRowLastColumn="0" w:lastRowFirstColumn="0" w:lastRowLastColumn="0"/>
              <w:rPr>
                <w:rFonts w:eastAsiaTheme="minorEastAsia"/>
              </w:rPr>
            </w:pPr>
            <w:r w:rsidRPr="00C4084C">
              <w:rPr>
                <w:rFonts w:eastAsiaTheme="minorEastAsia"/>
              </w:rPr>
              <w:t>5,777</w:t>
            </w:r>
          </w:p>
        </w:tc>
        <w:tc>
          <w:tcPr>
            <w:tcW w:w="1616" w:type="dxa"/>
            <w:tcBorders>
              <w:left w:val="single" w:sz="4" w:space="0" w:color="D0F1FC"/>
            </w:tcBorders>
            <w:noWrap/>
            <w:hideMark/>
          </w:tcPr>
          <w:p w14:paraId="147C3657" w14:textId="16AC5661" w:rsidR="00B51E8F" w:rsidRPr="00C4084C" w:rsidRDefault="00C739EF">
            <w:pPr>
              <w:keepNext/>
              <w:tabs>
                <w:tab w:val="left" w:pos="1245"/>
              </w:tabs>
              <w:spacing w:before="0" w:beforeAutospacing="0" w:afterAutospacing="0" w:line="257" w:lineRule="auto"/>
              <w:jc w:val="right"/>
              <w:cnfStyle w:val="000000000000" w:firstRow="0" w:lastRow="0" w:firstColumn="0" w:lastColumn="0" w:oddVBand="0" w:evenVBand="0" w:oddHBand="0" w:evenHBand="0" w:firstRowFirstColumn="0" w:firstRowLastColumn="0" w:lastRowFirstColumn="0" w:lastRowLastColumn="0"/>
              <w:rPr>
                <w:rFonts w:eastAsiaTheme="minorEastAsia"/>
              </w:rPr>
            </w:pPr>
            <w:r w:rsidRPr="00C4084C">
              <w:rPr>
                <w:rFonts w:eastAsiaTheme="minorEastAsia"/>
              </w:rPr>
              <w:t>15.8</w:t>
            </w:r>
          </w:p>
        </w:tc>
      </w:tr>
      <w:tr w:rsidR="00B51E8F" w:rsidRPr="00C4084C" w14:paraId="684E873A" w14:textId="77777777" w:rsidTr="00B53FB4">
        <w:trPr>
          <w:cantSplit/>
          <w:trHeight w:val="274"/>
        </w:trPr>
        <w:tc>
          <w:tcPr>
            <w:cnfStyle w:val="001000000000" w:firstRow="0" w:lastRow="0" w:firstColumn="1" w:lastColumn="0" w:oddVBand="0" w:evenVBand="0" w:oddHBand="0" w:evenHBand="0" w:firstRowFirstColumn="0" w:firstRowLastColumn="0" w:lastRowFirstColumn="0" w:lastRowLastColumn="0"/>
            <w:tcW w:w="1616" w:type="dxa"/>
            <w:tcBorders>
              <w:top w:val="single" w:sz="8" w:space="0" w:color="A1E2F9"/>
              <w:bottom w:val="single" w:sz="8" w:space="0" w:color="A1E2F9"/>
              <w:right w:val="single" w:sz="12" w:space="0" w:color="A1E2F9"/>
            </w:tcBorders>
            <w:noWrap/>
            <w:hideMark/>
          </w:tcPr>
          <w:p w14:paraId="57E1F18D" w14:textId="77777777" w:rsidR="00B51E8F" w:rsidRPr="00C4084C" w:rsidRDefault="00B51E8F">
            <w:pPr>
              <w:keepNext/>
              <w:tabs>
                <w:tab w:val="left" w:pos="1245"/>
              </w:tabs>
              <w:spacing w:before="0" w:beforeAutospacing="0" w:afterAutospacing="0" w:line="257" w:lineRule="auto"/>
              <w:rPr>
                <w:rFonts w:eastAsiaTheme="minorEastAsia"/>
                <w:b/>
              </w:rPr>
            </w:pPr>
            <w:r w:rsidRPr="00C4084C">
              <w:rPr>
                <w:rFonts w:eastAsiaTheme="minorEastAsia"/>
                <w:b/>
              </w:rPr>
              <w:t>2000</w:t>
            </w:r>
          </w:p>
        </w:tc>
        <w:tc>
          <w:tcPr>
            <w:tcW w:w="1616" w:type="dxa"/>
            <w:tcBorders>
              <w:left w:val="single" w:sz="12" w:space="0" w:color="A1E2F9"/>
              <w:right w:val="single" w:sz="4" w:space="0" w:color="D0F1FC"/>
            </w:tcBorders>
            <w:noWrap/>
            <w:hideMark/>
          </w:tcPr>
          <w:p w14:paraId="11FC94F4" w14:textId="77777777" w:rsidR="00B51E8F" w:rsidRPr="00C4084C" w:rsidRDefault="00B51E8F">
            <w:pPr>
              <w:keepNext/>
              <w:tabs>
                <w:tab w:val="left" w:pos="1245"/>
              </w:tabs>
              <w:spacing w:before="0" w:beforeAutospacing="0" w:afterAutospacing="0" w:line="257" w:lineRule="auto"/>
              <w:jc w:val="right"/>
              <w:cnfStyle w:val="000000000000" w:firstRow="0" w:lastRow="0" w:firstColumn="0" w:lastColumn="0" w:oddVBand="0" w:evenVBand="0" w:oddHBand="0" w:evenHBand="0" w:firstRowFirstColumn="0" w:firstRowLastColumn="0" w:lastRowFirstColumn="0" w:lastRowLastColumn="0"/>
              <w:rPr>
                <w:rFonts w:eastAsiaTheme="minorEastAsia"/>
              </w:rPr>
            </w:pPr>
            <w:r w:rsidRPr="00C4084C">
              <w:rPr>
                <w:rFonts w:eastAsiaTheme="minorEastAsia"/>
              </w:rPr>
              <w:t>81,988</w:t>
            </w:r>
          </w:p>
        </w:tc>
        <w:tc>
          <w:tcPr>
            <w:tcW w:w="1616" w:type="dxa"/>
            <w:tcBorders>
              <w:left w:val="single" w:sz="4" w:space="0" w:color="D0F1FC"/>
              <w:right w:val="single" w:sz="4" w:space="0" w:color="D0F1FC"/>
            </w:tcBorders>
            <w:noWrap/>
            <w:hideMark/>
          </w:tcPr>
          <w:p w14:paraId="21EB093E" w14:textId="6C7A8B0C" w:rsidR="00B51E8F" w:rsidRPr="00C4084C" w:rsidRDefault="00C739EF">
            <w:pPr>
              <w:keepNext/>
              <w:tabs>
                <w:tab w:val="left" w:pos="1245"/>
              </w:tabs>
              <w:spacing w:before="0" w:beforeAutospacing="0" w:afterAutospacing="0" w:line="257" w:lineRule="auto"/>
              <w:jc w:val="right"/>
              <w:cnfStyle w:val="000000000000" w:firstRow="0" w:lastRow="0" w:firstColumn="0" w:lastColumn="0" w:oddVBand="0" w:evenVBand="0" w:oddHBand="0" w:evenHBand="0" w:firstRowFirstColumn="0" w:firstRowLastColumn="0" w:lastRowFirstColumn="0" w:lastRowLastColumn="0"/>
              <w:rPr>
                <w:rFonts w:eastAsiaTheme="minorEastAsia"/>
              </w:rPr>
            </w:pPr>
            <w:r w:rsidRPr="00C4084C">
              <w:rPr>
                <w:color w:val="000000"/>
                <w:lang w:eastAsia="en-AU"/>
              </w:rPr>
              <w:t>36,999</w:t>
            </w:r>
          </w:p>
        </w:tc>
        <w:tc>
          <w:tcPr>
            <w:tcW w:w="1616" w:type="dxa"/>
            <w:tcBorders>
              <w:left w:val="single" w:sz="4" w:space="0" w:color="D0F1FC"/>
              <w:right w:val="single" w:sz="4" w:space="0" w:color="D0F1FC"/>
            </w:tcBorders>
            <w:noWrap/>
            <w:hideMark/>
          </w:tcPr>
          <w:p w14:paraId="50CE56A1" w14:textId="77777777" w:rsidR="00B51E8F" w:rsidRPr="00C4084C" w:rsidRDefault="00B51E8F">
            <w:pPr>
              <w:keepNext/>
              <w:tabs>
                <w:tab w:val="left" w:pos="1245"/>
              </w:tabs>
              <w:spacing w:before="0" w:beforeAutospacing="0" w:afterAutospacing="0" w:line="257" w:lineRule="auto"/>
              <w:jc w:val="right"/>
              <w:cnfStyle w:val="000000000000" w:firstRow="0" w:lastRow="0" w:firstColumn="0" w:lastColumn="0" w:oddVBand="0" w:evenVBand="0" w:oddHBand="0" w:evenHBand="0" w:firstRowFirstColumn="0" w:firstRowLastColumn="0" w:lastRowFirstColumn="0" w:lastRowLastColumn="0"/>
              <w:rPr>
                <w:rFonts w:eastAsiaTheme="minorEastAsia"/>
              </w:rPr>
            </w:pPr>
            <w:r w:rsidRPr="00C4084C">
              <w:rPr>
                <w:rFonts w:eastAsiaTheme="minorEastAsia"/>
              </w:rPr>
              <w:t>7,106</w:t>
            </w:r>
          </w:p>
        </w:tc>
        <w:tc>
          <w:tcPr>
            <w:tcW w:w="1616" w:type="dxa"/>
            <w:tcBorders>
              <w:left w:val="single" w:sz="4" w:space="0" w:color="D0F1FC"/>
            </w:tcBorders>
            <w:noWrap/>
            <w:hideMark/>
          </w:tcPr>
          <w:p w14:paraId="16DE46CB" w14:textId="343533F6" w:rsidR="00B51E8F" w:rsidRPr="00C4084C" w:rsidRDefault="00C739EF">
            <w:pPr>
              <w:keepNext/>
              <w:tabs>
                <w:tab w:val="left" w:pos="1245"/>
              </w:tabs>
              <w:spacing w:before="0" w:beforeAutospacing="0" w:afterAutospacing="0" w:line="257" w:lineRule="auto"/>
              <w:jc w:val="right"/>
              <w:cnfStyle w:val="000000000000" w:firstRow="0" w:lastRow="0" w:firstColumn="0" w:lastColumn="0" w:oddVBand="0" w:evenVBand="0" w:oddHBand="0" w:evenHBand="0" w:firstRowFirstColumn="0" w:firstRowLastColumn="0" w:lastRowFirstColumn="0" w:lastRowLastColumn="0"/>
              <w:rPr>
                <w:rFonts w:eastAsiaTheme="minorEastAsia"/>
              </w:rPr>
            </w:pPr>
            <w:r w:rsidRPr="00C4084C">
              <w:rPr>
                <w:rFonts w:eastAsiaTheme="minorEastAsia"/>
              </w:rPr>
              <w:t>19.2</w:t>
            </w:r>
          </w:p>
        </w:tc>
      </w:tr>
      <w:tr w:rsidR="00B51E8F" w:rsidRPr="00C4084C" w14:paraId="025E169C" w14:textId="77777777" w:rsidTr="00B53FB4">
        <w:trPr>
          <w:cantSplit/>
          <w:trHeight w:val="274"/>
        </w:trPr>
        <w:tc>
          <w:tcPr>
            <w:cnfStyle w:val="001000000000" w:firstRow="0" w:lastRow="0" w:firstColumn="1" w:lastColumn="0" w:oddVBand="0" w:evenVBand="0" w:oddHBand="0" w:evenHBand="0" w:firstRowFirstColumn="0" w:firstRowLastColumn="0" w:lastRowFirstColumn="0" w:lastRowLastColumn="0"/>
            <w:tcW w:w="1616" w:type="dxa"/>
            <w:tcBorders>
              <w:top w:val="single" w:sz="8" w:space="0" w:color="A1E2F9"/>
              <w:bottom w:val="single" w:sz="8" w:space="0" w:color="A1E2F9"/>
              <w:right w:val="single" w:sz="12" w:space="0" w:color="A1E2F9"/>
            </w:tcBorders>
            <w:noWrap/>
            <w:hideMark/>
          </w:tcPr>
          <w:p w14:paraId="27A69FBA" w14:textId="77777777" w:rsidR="00B51E8F" w:rsidRPr="00C4084C" w:rsidRDefault="00B51E8F">
            <w:pPr>
              <w:keepNext/>
              <w:tabs>
                <w:tab w:val="left" w:pos="1245"/>
              </w:tabs>
              <w:spacing w:before="0" w:beforeAutospacing="0" w:afterAutospacing="0" w:line="257" w:lineRule="auto"/>
              <w:rPr>
                <w:rFonts w:eastAsiaTheme="minorEastAsia"/>
                <w:b/>
              </w:rPr>
            </w:pPr>
            <w:r w:rsidRPr="00C4084C">
              <w:rPr>
                <w:rFonts w:eastAsiaTheme="minorEastAsia"/>
                <w:b/>
              </w:rPr>
              <w:t>2005</w:t>
            </w:r>
          </w:p>
        </w:tc>
        <w:tc>
          <w:tcPr>
            <w:tcW w:w="1616" w:type="dxa"/>
            <w:tcBorders>
              <w:left w:val="single" w:sz="12" w:space="0" w:color="A1E2F9"/>
              <w:right w:val="single" w:sz="4" w:space="0" w:color="D0F1FC"/>
            </w:tcBorders>
            <w:noWrap/>
            <w:hideMark/>
          </w:tcPr>
          <w:p w14:paraId="3E4A6C60" w14:textId="77777777" w:rsidR="00B51E8F" w:rsidRPr="00C4084C" w:rsidRDefault="00B51E8F">
            <w:pPr>
              <w:keepNext/>
              <w:tabs>
                <w:tab w:val="left" w:pos="1245"/>
              </w:tabs>
              <w:spacing w:before="0" w:beforeAutospacing="0" w:afterAutospacing="0" w:line="257" w:lineRule="auto"/>
              <w:jc w:val="right"/>
              <w:cnfStyle w:val="000000000000" w:firstRow="0" w:lastRow="0" w:firstColumn="0" w:lastColumn="0" w:oddVBand="0" w:evenVBand="0" w:oddHBand="0" w:evenHBand="0" w:firstRowFirstColumn="0" w:firstRowLastColumn="0" w:lastRowFirstColumn="0" w:lastRowLastColumn="0"/>
              <w:rPr>
                <w:rFonts w:eastAsiaTheme="minorEastAsia"/>
              </w:rPr>
            </w:pPr>
            <w:r w:rsidRPr="00C4084C">
              <w:rPr>
                <w:rFonts w:eastAsiaTheme="minorEastAsia"/>
              </w:rPr>
              <w:t>93,994</w:t>
            </w:r>
          </w:p>
        </w:tc>
        <w:tc>
          <w:tcPr>
            <w:tcW w:w="1616" w:type="dxa"/>
            <w:tcBorders>
              <w:left w:val="single" w:sz="4" w:space="0" w:color="D0F1FC"/>
              <w:right w:val="single" w:sz="4" w:space="0" w:color="D0F1FC"/>
            </w:tcBorders>
            <w:noWrap/>
            <w:hideMark/>
          </w:tcPr>
          <w:p w14:paraId="482C757E" w14:textId="78172DB8" w:rsidR="00B51E8F" w:rsidRPr="00C4084C" w:rsidRDefault="00C739EF">
            <w:pPr>
              <w:keepNext/>
              <w:tabs>
                <w:tab w:val="left" w:pos="1245"/>
              </w:tabs>
              <w:spacing w:before="0" w:beforeAutospacing="0" w:afterAutospacing="0" w:line="257" w:lineRule="auto"/>
              <w:jc w:val="right"/>
              <w:cnfStyle w:val="000000000000" w:firstRow="0" w:lastRow="0" w:firstColumn="0" w:lastColumn="0" w:oddVBand="0" w:evenVBand="0" w:oddHBand="0" w:evenHBand="0" w:firstRowFirstColumn="0" w:firstRowLastColumn="0" w:lastRowFirstColumn="0" w:lastRowLastColumn="0"/>
              <w:rPr>
                <w:rFonts w:eastAsiaTheme="minorEastAsia"/>
              </w:rPr>
            </w:pPr>
            <w:r w:rsidRPr="00C4084C">
              <w:rPr>
                <w:color w:val="000000"/>
                <w:lang w:eastAsia="en-AU"/>
              </w:rPr>
              <w:t>42,255</w:t>
            </w:r>
          </w:p>
        </w:tc>
        <w:tc>
          <w:tcPr>
            <w:tcW w:w="1616" w:type="dxa"/>
            <w:tcBorders>
              <w:left w:val="single" w:sz="4" w:space="0" w:color="D0F1FC"/>
              <w:right w:val="single" w:sz="4" w:space="0" w:color="D0F1FC"/>
            </w:tcBorders>
            <w:noWrap/>
            <w:hideMark/>
          </w:tcPr>
          <w:p w14:paraId="6CA43BB6" w14:textId="77777777" w:rsidR="00B51E8F" w:rsidRPr="00C4084C" w:rsidRDefault="00B51E8F">
            <w:pPr>
              <w:keepNext/>
              <w:tabs>
                <w:tab w:val="left" w:pos="1245"/>
              </w:tabs>
              <w:spacing w:before="0" w:beforeAutospacing="0" w:afterAutospacing="0" w:line="257" w:lineRule="auto"/>
              <w:jc w:val="right"/>
              <w:cnfStyle w:val="000000000000" w:firstRow="0" w:lastRow="0" w:firstColumn="0" w:lastColumn="0" w:oddVBand="0" w:evenVBand="0" w:oddHBand="0" w:evenHBand="0" w:firstRowFirstColumn="0" w:firstRowLastColumn="0" w:lastRowFirstColumn="0" w:lastRowLastColumn="0"/>
              <w:rPr>
                <w:rFonts w:eastAsiaTheme="minorEastAsia"/>
              </w:rPr>
            </w:pPr>
            <w:r w:rsidRPr="00C4084C">
              <w:rPr>
                <w:rFonts w:eastAsiaTheme="minorEastAsia"/>
              </w:rPr>
              <w:t>7,979</w:t>
            </w:r>
          </w:p>
        </w:tc>
        <w:tc>
          <w:tcPr>
            <w:tcW w:w="1616" w:type="dxa"/>
            <w:tcBorders>
              <w:left w:val="single" w:sz="4" w:space="0" w:color="D0F1FC"/>
            </w:tcBorders>
            <w:noWrap/>
            <w:hideMark/>
          </w:tcPr>
          <w:p w14:paraId="7393A642" w14:textId="77777777" w:rsidR="00B51E8F" w:rsidRPr="00C4084C" w:rsidRDefault="00B51E8F">
            <w:pPr>
              <w:keepNext/>
              <w:tabs>
                <w:tab w:val="left" w:pos="1245"/>
              </w:tabs>
              <w:spacing w:before="0" w:beforeAutospacing="0" w:afterAutospacing="0" w:line="257" w:lineRule="auto"/>
              <w:jc w:val="right"/>
              <w:cnfStyle w:val="000000000000" w:firstRow="0" w:lastRow="0" w:firstColumn="0" w:lastColumn="0" w:oddVBand="0" w:evenVBand="0" w:oddHBand="0" w:evenHBand="0" w:firstRowFirstColumn="0" w:firstRowLastColumn="0" w:lastRowFirstColumn="0" w:lastRowLastColumn="0"/>
              <w:rPr>
                <w:rFonts w:eastAsiaTheme="minorEastAsia"/>
              </w:rPr>
            </w:pPr>
            <w:r w:rsidRPr="00C4084C">
              <w:rPr>
                <w:rFonts w:eastAsiaTheme="minorEastAsia"/>
              </w:rPr>
              <w:t>18.9</w:t>
            </w:r>
          </w:p>
        </w:tc>
      </w:tr>
      <w:tr w:rsidR="00B51E8F" w:rsidRPr="00C4084C" w14:paraId="7C13D741" w14:textId="77777777" w:rsidTr="00B53FB4">
        <w:trPr>
          <w:cantSplit/>
          <w:trHeight w:val="274"/>
        </w:trPr>
        <w:tc>
          <w:tcPr>
            <w:cnfStyle w:val="001000000000" w:firstRow="0" w:lastRow="0" w:firstColumn="1" w:lastColumn="0" w:oddVBand="0" w:evenVBand="0" w:oddHBand="0" w:evenHBand="0" w:firstRowFirstColumn="0" w:firstRowLastColumn="0" w:lastRowFirstColumn="0" w:lastRowLastColumn="0"/>
            <w:tcW w:w="1616" w:type="dxa"/>
            <w:tcBorders>
              <w:top w:val="single" w:sz="8" w:space="0" w:color="A1E2F9"/>
              <w:bottom w:val="single" w:sz="8" w:space="0" w:color="A1E2F9"/>
              <w:right w:val="single" w:sz="12" w:space="0" w:color="A1E2F9"/>
            </w:tcBorders>
            <w:noWrap/>
            <w:hideMark/>
          </w:tcPr>
          <w:p w14:paraId="6E96100C" w14:textId="77777777" w:rsidR="00B51E8F" w:rsidRPr="00C4084C" w:rsidRDefault="00B51E8F">
            <w:pPr>
              <w:keepNext/>
              <w:tabs>
                <w:tab w:val="left" w:pos="1245"/>
              </w:tabs>
              <w:spacing w:before="0" w:beforeAutospacing="0" w:afterAutospacing="0" w:line="257" w:lineRule="auto"/>
              <w:rPr>
                <w:rFonts w:eastAsiaTheme="minorEastAsia"/>
                <w:b/>
              </w:rPr>
            </w:pPr>
            <w:r w:rsidRPr="00C4084C">
              <w:rPr>
                <w:rFonts w:eastAsiaTheme="minorEastAsia"/>
                <w:b/>
              </w:rPr>
              <w:t>2010</w:t>
            </w:r>
          </w:p>
        </w:tc>
        <w:tc>
          <w:tcPr>
            <w:tcW w:w="1616" w:type="dxa"/>
            <w:tcBorders>
              <w:left w:val="single" w:sz="12" w:space="0" w:color="A1E2F9"/>
              <w:right w:val="single" w:sz="4" w:space="0" w:color="D0F1FC"/>
            </w:tcBorders>
            <w:noWrap/>
            <w:hideMark/>
          </w:tcPr>
          <w:p w14:paraId="0DF2911A" w14:textId="77777777" w:rsidR="00B51E8F" w:rsidRPr="00C4084C" w:rsidRDefault="00B51E8F">
            <w:pPr>
              <w:keepNext/>
              <w:tabs>
                <w:tab w:val="left" w:pos="1245"/>
              </w:tabs>
              <w:spacing w:before="0" w:beforeAutospacing="0" w:afterAutospacing="0" w:line="257" w:lineRule="auto"/>
              <w:jc w:val="right"/>
              <w:cnfStyle w:val="000000000000" w:firstRow="0" w:lastRow="0" w:firstColumn="0" w:lastColumn="0" w:oddVBand="0" w:evenVBand="0" w:oddHBand="0" w:evenHBand="0" w:firstRowFirstColumn="0" w:firstRowLastColumn="0" w:lastRowFirstColumn="0" w:lastRowLastColumn="0"/>
              <w:rPr>
                <w:rFonts w:eastAsiaTheme="minorEastAsia"/>
              </w:rPr>
            </w:pPr>
            <w:r w:rsidRPr="00C4084C">
              <w:rPr>
                <w:rFonts w:eastAsiaTheme="minorEastAsia"/>
              </w:rPr>
              <w:t>110,929</w:t>
            </w:r>
          </w:p>
        </w:tc>
        <w:tc>
          <w:tcPr>
            <w:tcW w:w="1616" w:type="dxa"/>
            <w:tcBorders>
              <w:left w:val="single" w:sz="4" w:space="0" w:color="D0F1FC"/>
              <w:right w:val="single" w:sz="4" w:space="0" w:color="D0F1FC"/>
            </w:tcBorders>
            <w:noWrap/>
            <w:hideMark/>
          </w:tcPr>
          <w:p w14:paraId="2DB55CDA" w14:textId="2C41E561" w:rsidR="00B51E8F" w:rsidRPr="00C4084C" w:rsidRDefault="00C739EF">
            <w:pPr>
              <w:keepNext/>
              <w:tabs>
                <w:tab w:val="left" w:pos="1245"/>
              </w:tabs>
              <w:spacing w:before="0" w:beforeAutospacing="0" w:afterAutospacing="0" w:line="257" w:lineRule="auto"/>
              <w:jc w:val="right"/>
              <w:cnfStyle w:val="000000000000" w:firstRow="0" w:lastRow="0" w:firstColumn="0" w:lastColumn="0" w:oddVBand="0" w:evenVBand="0" w:oddHBand="0" w:evenHBand="0" w:firstRowFirstColumn="0" w:firstRowLastColumn="0" w:lastRowFirstColumn="0" w:lastRowLastColumn="0"/>
              <w:rPr>
                <w:rFonts w:eastAsiaTheme="minorEastAsia"/>
              </w:rPr>
            </w:pPr>
            <w:r w:rsidRPr="00C4084C">
              <w:rPr>
                <w:color w:val="000000"/>
                <w:lang w:eastAsia="en-AU"/>
              </w:rPr>
              <w:t>50,791</w:t>
            </w:r>
          </w:p>
        </w:tc>
        <w:tc>
          <w:tcPr>
            <w:tcW w:w="1616" w:type="dxa"/>
            <w:tcBorders>
              <w:left w:val="single" w:sz="4" w:space="0" w:color="D0F1FC"/>
              <w:right w:val="single" w:sz="4" w:space="0" w:color="D0F1FC"/>
            </w:tcBorders>
            <w:noWrap/>
            <w:hideMark/>
          </w:tcPr>
          <w:p w14:paraId="21B7D8D6" w14:textId="77777777" w:rsidR="00B51E8F" w:rsidRPr="00C4084C" w:rsidRDefault="00B51E8F">
            <w:pPr>
              <w:keepNext/>
              <w:tabs>
                <w:tab w:val="left" w:pos="1245"/>
              </w:tabs>
              <w:spacing w:before="0" w:beforeAutospacing="0" w:afterAutospacing="0" w:line="257" w:lineRule="auto"/>
              <w:jc w:val="right"/>
              <w:cnfStyle w:val="000000000000" w:firstRow="0" w:lastRow="0" w:firstColumn="0" w:lastColumn="0" w:oddVBand="0" w:evenVBand="0" w:oddHBand="0" w:evenHBand="0" w:firstRowFirstColumn="0" w:firstRowLastColumn="0" w:lastRowFirstColumn="0" w:lastRowLastColumn="0"/>
              <w:rPr>
                <w:rFonts w:eastAsiaTheme="minorEastAsia"/>
              </w:rPr>
            </w:pPr>
            <w:r w:rsidRPr="00C4084C">
              <w:rPr>
                <w:rFonts w:eastAsiaTheme="minorEastAsia"/>
              </w:rPr>
              <w:t>10,691</w:t>
            </w:r>
          </w:p>
        </w:tc>
        <w:tc>
          <w:tcPr>
            <w:tcW w:w="1616" w:type="dxa"/>
            <w:tcBorders>
              <w:left w:val="single" w:sz="4" w:space="0" w:color="D0F1FC"/>
            </w:tcBorders>
            <w:noWrap/>
            <w:hideMark/>
          </w:tcPr>
          <w:p w14:paraId="250641B7" w14:textId="77777777" w:rsidR="00B51E8F" w:rsidRPr="00C4084C" w:rsidRDefault="00B51E8F">
            <w:pPr>
              <w:keepNext/>
              <w:tabs>
                <w:tab w:val="left" w:pos="1245"/>
              </w:tabs>
              <w:spacing w:before="0" w:beforeAutospacing="0" w:afterAutospacing="0" w:line="257" w:lineRule="auto"/>
              <w:jc w:val="right"/>
              <w:cnfStyle w:val="000000000000" w:firstRow="0" w:lastRow="0" w:firstColumn="0" w:lastColumn="0" w:oddVBand="0" w:evenVBand="0" w:oddHBand="0" w:evenHBand="0" w:firstRowFirstColumn="0" w:firstRowLastColumn="0" w:lastRowFirstColumn="0" w:lastRowLastColumn="0"/>
              <w:rPr>
                <w:rFonts w:eastAsiaTheme="minorEastAsia"/>
              </w:rPr>
            </w:pPr>
            <w:r w:rsidRPr="00C4084C">
              <w:rPr>
                <w:rFonts w:eastAsiaTheme="minorEastAsia"/>
              </w:rPr>
              <w:t>21.0</w:t>
            </w:r>
          </w:p>
        </w:tc>
      </w:tr>
      <w:tr w:rsidR="00B51E8F" w:rsidRPr="00C4084C" w14:paraId="02A7B9B4" w14:textId="77777777" w:rsidTr="00B53FB4">
        <w:trPr>
          <w:cantSplit/>
          <w:trHeight w:val="274"/>
        </w:trPr>
        <w:tc>
          <w:tcPr>
            <w:cnfStyle w:val="001000000000" w:firstRow="0" w:lastRow="0" w:firstColumn="1" w:lastColumn="0" w:oddVBand="0" w:evenVBand="0" w:oddHBand="0" w:evenHBand="0" w:firstRowFirstColumn="0" w:firstRowLastColumn="0" w:lastRowFirstColumn="0" w:lastRowLastColumn="0"/>
            <w:tcW w:w="1616" w:type="dxa"/>
            <w:tcBorders>
              <w:top w:val="single" w:sz="8" w:space="0" w:color="A1E2F9"/>
              <w:bottom w:val="single" w:sz="8" w:space="0" w:color="A1E2F9"/>
              <w:right w:val="single" w:sz="12" w:space="0" w:color="A1E2F9"/>
            </w:tcBorders>
            <w:noWrap/>
            <w:hideMark/>
          </w:tcPr>
          <w:p w14:paraId="2035C749" w14:textId="77777777" w:rsidR="00B51E8F" w:rsidRPr="00C4084C" w:rsidRDefault="00B51E8F">
            <w:pPr>
              <w:keepNext/>
              <w:tabs>
                <w:tab w:val="left" w:pos="1245"/>
              </w:tabs>
              <w:spacing w:before="0" w:beforeAutospacing="0" w:afterAutospacing="0" w:line="257" w:lineRule="auto"/>
              <w:rPr>
                <w:rFonts w:eastAsiaTheme="minorEastAsia"/>
                <w:b/>
              </w:rPr>
            </w:pPr>
            <w:r w:rsidRPr="00C4084C">
              <w:rPr>
                <w:rFonts w:eastAsiaTheme="minorEastAsia"/>
                <w:b/>
              </w:rPr>
              <w:t>2015</w:t>
            </w:r>
          </w:p>
        </w:tc>
        <w:tc>
          <w:tcPr>
            <w:tcW w:w="1616" w:type="dxa"/>
            <w:tcBorders>
              <w:left w:val="single" w:sz="12" w:space="0" w:color="A1E2F9"/>
              <w:right w:val="single" w:sz="4" w:space="0" w:color="D0F1FC"/>
            </w:tcBorders>
            <w:noWrap/>
            <w:hideMark/>
          </w:tcPr>
          <w:p w14:paraId="4A2AF9EF" w14:textId="77777777" w:rsidR="00B51E8F" w:rsidRPr="00C4084C" w:rsidRDefault="00B51E8F">
            <w:pPr>
              <w:keepNext/>
              <w:tabs>
                <w:tab w:val="left" w:pos="1245"/>
              </w:tabs>
              <w:spacing w:before="0" w:beforeAutospacing="0" w:afterAutospacing="0" w:line="257" w:lineRule="auto"/>
              <w:jc w:val="right"/>
              <w:cnfStyle w:val="000000000000" w:firstRow="0" w:lastRow="0" w:firstColumn="0" w:lastColumn="0" w:oddVBand="0" w:evenVBand="0" w:oddHBand="0" w:evenHBand="0" w:firstRowFirstColumn="0" w:firstRowLastColumn="0" w:lastRowFirstColumn="0" w:lastRowLastColumn="0"/>
              <w:rPr>
                <w:rFonts w:eastAsiaTheme="minorEastAsia"/>
              </w:rPr>
            </w:pPr>
            <w:r w:rsidRPr="00C4084C">
              <w:rPr>
                <w:rFonts w:eastAsiaTheme="minorEastAsia"/>
              </w:rPr>
              <w:t>124,356</w:t>
            </w:r>
          </w:p>
        </w:tc>
        <w:tc>
          <w:tcPr>
            <w:tcW w:w="1616" w:type="dxa"/>
            <w:tcBorders>
              <w:left w:val="single" w:sz="4" w:space="0" w:color="D0F1FC"/>
              <w:right w:val="single" w:sz="4" w:space="0" w:color="D0F1FC"/>
            </w:tcBorders>
            <w:noWrap/>
            <w:hideMark/>
          </w:tcPr>
          <w:p w14:paraId="6DC32B6D" w14:textId="770985B0" w:rsidR="00B51E8F" w:rsidRPr="00C4084C" w:rsidRDefault="00C739EF">
            <w:pPr>
              <w:keepNext/>
              <w:tabs>
                <w:tab w:val="left" w:pos="1245"/>
              </w:tabs>
              <w:spacing w:before="0" w:beforeAutospacing="0" w:afterAutospacing="0" w:line="257" w:lineRule="auto"/>
              <w:jc w:val="right"/>
              <w:cnfStyle w:val="000000000000" w:firstRow="0" w:lastRow="0" w:firstColumn="0" w:lastColumn="0" w:oddVBand="0" w:evenVBand="0" w:oddHBand="0" w:evenHBand="0" w:firstRowFirstColumn="0" w:firstRowLastColumn="0" w:lastRowFirstColumn="0" w:lastRowLastColumn="0"/>
              <w:rPr>
                <w:rFonts w:eastAsiaTheme="minorEastAsia"/>
              </w:rPr>
            </w:pPr>
            <w:r w:rsidRPr="00C4084C">
              <w:rPr>
                <w:color w:val="000000"/>
                <w:lang w:eastAsia="en-AU"/>
              </w:rPr>
              <w:t>56,846</w:t>
            </w:r>
          </w:p>
        </w:tc>
        <w:tc>
          <w:tcPr>
            <w:tcW w:w="1616" w:type="dxa"/>
            <w:tcBorders>
              <w:left w:val="single" w:sz="4" w:space="0" w:color="D0F1FC"/>
              <w:right w:val="single" w:sz="4" w:space="0" w:color="D0F1FC"/>
            </w:tcBorders>
            <w:noWrap/>
            <w:hideMark/>
          </w:tcPr>
          <w:p w14:paraId="7365DA1F" w14:textId="77777777" w:rsidR="00B51E8F" w:rsidRPr="00C4084C" w:rsidRDefault="00B51E8F">
            <w:pPr>
              <w:keepNext/>
              <w:tabs>
                <w:tab w:val="left" w:pos="1245"/>
              </w:tabs>
              <w:spacing w:before="0" w:beforeAutospacing="0" w:afterAutospacing="0" w:line="257" w:lineRule="auto"/>
              <w:jc w:val="right"/>
              <w:cnfStyle w:val="000000000000" w:firstRow="0" w:lastRow="0" w:firstColumn="0" w:lastColumn="0" w:oddVBand="0" w:evenVBand="0" w:oddHBand="0" w:evenHBand="0" w:firstRowFirstColumn="0" w:firstRowLastColumn="0" w:lastRowFirstColumn="0" w:lastRowLastColumn="0"/>
              <w:rPr>
                <w:rFonts w:eastAsiaTheme="minorEastAsia"/>
              </w:rPr>
            </w:pPr>
            <w:r w:rsidRPr="00C4084C">
              <w:rPr>
                <w:rFonts w:eastAsiaTheme="minorEastAsia"/>
              </w:rPr>
              <w:t>12,943</w:t>
            </w:r>
          </w:p>
        </w:tc>
        <w:tc>
          <w:tcPr>
            <w:tcW w:w="1616" w:type="dxa"/>
            <w:tcBorders>
              <w:left w:val="single" w:sz="4" w:space="0" w:color="D0F1FC"/>
            </w:tcBorders>
            <w:noWrap/>
            <w:hideMark/>
          </w:tcPr>
          <w:p w14:paraId="256DDC43" w14:textId="77777777" w:rsidR="00B51E8F" w:rsidRPr="00C4084C" w:rsidRDefault="00B51E8F">
            <w:pPr>
              <w:keepNext/>
              <w:tabs>
                <w:tab w:val="left" w:pos="1245"/>
              </w:tabs>
              <w:spacing w:before="0" w:beforeAutospacing="0" w:afterAutospacing="0" w:line="257" w:lineRule="auto"/>
              <w:jc w:val="right"/>
              <w:cnfStyle w:val="000000000000" w:firstRow="0" w:lastRow="0" w:firstColumn="0" w:lastColumn="0" w:oddVBand="0" w:evenVBand="0" w:oddHBand="0" w:evenHBand="0" w:firstRowFirstColumn="0" w:firstRowLastColumn="0" w:lastRowFirstColumn="0" w:lastRowLastColumn="0"/>
              <w:rPr>
                <w:rFonts w:eastAsiaTheme="minorEastAsia"/>
              </w:rPr>
            </w:pPr>
            <w:r w:rsidRPr="00C4084C">
              <w:rPr>
                <w:rFonts w:eastAsiaTheme="minorEastAsia"/>
              </w:rPr>
              <w:t>22.8</w:t>
            </w:r>
          </w:p>
        </w:tc>
      </w:tr>
      <w:tr w:rsidR="00B51E8F" w:rsidRPr="00C4084C" w14:paraId="4F74BCB9" w14:textId="77777777" w:rsidTr="008C4411">
        <w:trPr>
          <w:cantSplit/>
          <w:trHeight w:val="274"/>
        </w:trPr>
        <w:tc>
          <w:tcPr>
            <w:cnfStyle w:val="001000000000" w:firstRow="0" w:lastRow="0" w:firstColumn="1" w:lastColumn="0" w:oddVBand="0" w:evenVBand="0" w:oddHBand="0" w:evenHBand="0" w:firstRowFirstColumn="0" w:firstRowLastColumn="0" w:lastRowFirstColumn="0" w:lastRowLastColumn="0"/>
            <w:tcW w:w="0" w:type="dxa"/>
            <w:tcBorders>
              <w:top w:val="single" w:sz="8" w:space="0" w:color="A1E2F9"/>
              <w:bottom w:val="single" w:sz="8" w:space="0" w:color="A1E2F9"/>
              <w:right w:val="single" w:sz="12" w:space="0" w:color="A1E2F9"/>
            </w:tcBorders>
            <w:noWrap/>
            <w:hideMark/>
          </w:tcPr>
          <w:p w14:paraId="778BED2D" w14:textId="77777777" w:rsidR="00B51E8F" w:rsidRPr="00C4084C" w:rsidRDefault="00B51E8F">
            <w:pPr>
              <w:keepNext/>
              <w:tabs>
                <w:tab w:val="left" w:pos="1245"/>
              </w:tabs>
              <w:spacing w:before="0" w:beforeAutospacing="0" w:afterAutospacing="0" w:line="257" w:lineRule="auto"/>
              <w:rPr>
                <w:rFonts w:eastAsiaTheme="minorEastAsia"/>
                <w:b/>
              </w:rPr>
            </w:pPr>
            <w:r w:rsidRPr="00C4084C">
              <w:rPr>
                <w:rFonts w:eastAsiaTheme="minorEastAsia"/>
                <w:b/>
              </w:rPr>
              <w:t>2020</w:t>
            </w:r>
          </w:p>
        </w:tc>
        <w:tc>
          <w:tcPr>
            <w:tcW w:w="0" w:type="dxa"/>
            <w:tcBorders>
              <w:left w:val="single" w:sz="12" w:space="0" w:color="A1E2F9"/>
              <w:right w:val="single" w:sz="4" w:space="0" w:color="D0F1FC"/>
            </w:tcBorders>
            <w:noWrap/>
            <w:hideMark/>
          </w:tcPr>
          <w:p w14:paraId="4E16DFCB" w14:textId="77777777" w:rsidR="00B51E8F" w:rsidRPr="00C4084C" w:rsidRDefault="00B51E8F">
            <w:pPr>
              <w:keepNext/>
              <w:tabs>
                <w:tab w:val="left" w:pos="1245"/>
              </w:tabs>
              <w:spacing w:before="0" w:beforeAutospacing="0" w:afterAutospacing="0" w:line="257" w:lineRule="auto"/>
              <w:jc w:val="right"/>
              <w:cnfStyle w:val="000000000000" w:firstRow="0" w:lastRow="0" w:firstColumn="0" w:lastColumn="0" w:oddVBand="0" w:evenVBand="0" w:oddHBand="0" w:evenHBand="0" w:firstRowFirstColumn="0" w:firstRowLastColumn="0" w:lastRowFirstColumn="0" w:lastRowLastColumn="0"/>
              <w:rPr>
                <w:rFonts w:eastAsiaTheme="minorEastAsia"/>
              </w:rPr>
            </w:pPr>
            <w:r w:rsidRPr="00C4084C">
              <w:rPr>
                <w:rFonts w:eastAsiaTheme="minorEastAsia"/>
              </w:rPr>
              <w:t>136,951</w:t>
            </w:r>
          </w:p>
        </w:tc>
        <w:tc>
          <w:tcPr>
            <w:tcW w:w="0" w:type="dxa"/>
            <w:tcBorders>
              <w:left w:val="single" w:sz="4" w:space="0" w:color="D0F1FC"/>
              <w:right w:val="single" w:sz="4" w:space="0" w:color="D0F1FC"/>
            </w:tcBorders>
            <w:noWrap/>
            <w:hideMark/>
          </w:tcPr>
          <w:p w14:paraId="5E9456AC" w14:textId="435AADC5" w:rsidR="00B51E8F" w:rsidRPr="00C4084C" w:rsidRDefault="00C739EF">
            <w:pPr>
              <w:keepNext/>
              <w:tabs>
                <w:tab w:val="left" w:pos="1245"/>
              </w:tabs>
              <w:spacing w:before="0" w:beforeAutospacing="0" w:afterAutospacing="0" w:line="257" w:lineRule="auto"/>
              <w:jc w:val="right"/>
              <w:cnfStyle w:val="000000000000" w:firstRow="0" w:lastRow="0" w:firstColumn="0" w:lastColumn="0" w:oddVBand="0" w:evenVBand="0" w:oddHBand="0" w:evenHBand="0" w:firstRowFirstColumn="0" w:firstRowLastColumn="0" w:lastRowFirstColumn="0" w:lastRowLastColumn="0"/>
              <w:rPr>
                <w:rFonts w:eastAsiaTheme="minorEastAsia"/>
              </w:rPr>
            </w:pPr>
            <w:r w:rsidRPr="00C4084C">
              <w:rPr>
                <w:color w:val="000000"/>
                <w:lang w:eastAsia="en-AU"/>
              </w:rPr>
              <w:t>62,507</w:t>
            </w:r>
          </w:p>
        </w:tc>
        <w:tc>
          <w:tcPr>
            <w:tcW w:w="0" w:type="dxa"/>
            <w:tcBorders>
              <w:left w:val="single" w:sz="4" w:space="0" w:color="D0F1FC"/>
              <w:right w:val="single" w:sz="4" w:space="0" w:color="D0F1FC"/>
            </w:tcBorders>
            <w:noWrap/>
            <w:hideMark/>
          </w:tcPr>
          <w:p w14:paraId="7BCDDBD9" w14:textId="77777777" w:rsidR="00B51E8F" w:rsidRPr="00C4084C" w:rsidRDefault="00B51E8F">
            <w:pPr>
              <w:keepNext/>
              <w:tabs>
                <w:tab w:val="left" w:pos="1245"/>
              </w:tabs>
              <w:spacing w:before="0" w:beforeAutospacing="0" w:afterAutospacing="0" w:line="257" w:lineRule="auto"/>
              <w:jc w:val="right"/>
              <w:cnfStyle w:val="000000000000" w:firstRow="0" w:lastRow="0" w:firstColumn="0" w:lastColumn="0" w:oddVBand="0" w:evenVBand="0" w:oddHBand="0" w:evenHBand="0" w:firstRowFirstColumn="0" w:firstRowLastColumn="0" w:lastRowFirstColumn="0" w:lastRowLastColumn="0"/>
              <w:rPr>
                <w:rFonts w:eastAsiaTheme="minorEastAsia"/>
              </w:rPr>
            </w:pPr>
            <w:r w:rsidRPr="00C4084C">
              <w:rPr>
                <w:rFonts w:eastAsiaTheme="minorEastAsia"/>
              </w:rPr>
              <w:t>13,358</w:t>
            </w:r>
          </w:p>
        </w:tc>
        <w:tc>
          <w:tcPr>
            <w:tcW w:w="0" w:type="dxa"/>
            <w:tcBorders>
              <w:left w:val="single" w:sz="4" w:space="0" w:color="D0F1FC"/>
            </w:tcBorders>
            <w:noWrap/>
            <w:hideMark/>
          </w:tcPr>
          <w:p w14:paraId="23780C18" w14:textId="77777777" w:rsidR="00B51E8F" w:rsidRPr="00C4084C" w:rsidRDefault="00B51E8F">
            <w:pPr>
              <w:keepNext/>
              <w:tabs>
                <w:tab w:val="left" w:pos="1245"/>
              </w:tabs>
              <w:spacing w:before="0" w:beforeAutospacing="0" w:afterAutospacing="0" w:line="257" w:lineRule="auto"/>
              <w:jc w:val="right"/>
              <w:cnfStyle w:val="000000000000" w:firstRow="0" w:lastRow="0" w:firstColumn="0" w:lastColumn="0" w:oddVBand="0" w:evenVBand="0" w:oddHBand="0" w:evenHBand="0" w:firstRowFirstColumn="0" w:firstRowLastColumn="0" w:lastRowFirstColumn="0" w:lastRowLastColumn="0"/>
              <w:rPr>
                <w:rFonts w:eastAsiaTheme="minorEastAsia"/>
              </w:rPr>
            </w:pPr>
            <w:r w:rsidRPr="00C4084C">
              <w:rPr>
                <w:rFonts w:eastAsiaTheme="minorEastAsia"/>
              </w:rPr>
              <w:t>21.4</w:t>
            </w:r>
          </w:p>
        </w:tc>
      </w:tr>
      <w:tr w:rsidR="00361DC0" w:rsidRPr="00C4084C" w14:paraId="25A2DD1B" w14:textId="77777777" w:rsidTr="00B53FB4">
        <w:trPr>
          <w:cantSplit/>
          <w:trHeight w:val="274"/>
        </w:trPr>
        <w:tc>
          <w:tcPr>
            <w:cnfStyle w:val="001000000000" w:firstRow="0" w:lastRow="0" w:firstColumn="1" w:lastColumn="0" w:oddVBand="0" w:evenVBand="0" w:oddHBand="0" w:evenHBand="0" w:firstRowFirstColumn="0" w:firstRowLastColumn="0" w:lastRowFirstColumn="0" w:lastRowLastColumn="0"/>
            <w:tcW w:w="1616" w:type="dxa"/>
            <w:tcBorders>
              <w:top w:val="single" w:sz="8" w:space="0" w:color="A1E2F9"/>
              <w:bottom w:val="nil"/>
              <w:right w:val="single" w:sz="12" w:space="0" w:color="A1E2F9"/>
            </w:tcBorders>
            <w:noWrap/>
          </w:tcPr>
          <w:p w14:paraId="7FA4CBE7" w14:textId="5B81C110" w:rsidR="00361DC0" w:rsidRPr="00C4084C" w:rsidRDefault="00361DC0" w:rsidP="008C4411">
            <w:pPr>
              <w:keepNext/>
              <w:tabs>
                <w:tab w:val="left" w:pos="1245"/>
              </w:tabs>
              <w:spacing w:afterAutospacing="0" w:line="257" w:lineRule="auto"/>
              <w:rPr>
                <w:rFonts w:eastAsiaTheme="minorEastAsia"/>
                <w:b/>
              </w:rPr>
            </w:pPr>
            <w:r w:rsidRPr="00C4084C">
              <w:rPr>
                <w:rFonts w:eastAsiaTheme="minorEastAsia"/>
                <w:b/>
              </w:rPr>
              <w:t>2021</w:t>
            </w:r>
          </w:p>
        </w:tc>
        <w:tc>
          <w:tcPr>
            <w:tcW w:w="1616" w:type="dxa"/>
            <w:tcBorders>
              <w:left w:val="single" w:sz="12" w:space="0" w:color="A1E2F9"/>
              <w:bottom w:val="nil"/>
              <w:right w:val="single" w:sz="4" w:space="0" w:color="D0F1FC"/>
            </w:tcBorders>
            <w:noWrap/>
          </w:tcPr>
          <w:p w14:paraId="702F56D3" w14:textId="3A2442ED" w:rsidR="00361DC0" w:rsidRPr="00C4084C" w:rsidRDefault="00361DC0" w:rsidP="008C4411">
            <w:pPr>
              <w:keepNext/>
              <w:tabs>
                <w:tab w:val="left" w:pos="1245"/>
              </w:tabs>
              <w:spacing w:afterAutospacing="0" w:line="257" w:lineRule="auto"/>
              <w:jc w:val="right"/>
              <w:cnfStyle w:val="000000000000" w:firstRow="0" w:lastRow="0" w:firstColumn="0" w:lastColumn="0" w:oddVBand="0" w:evenVBand="0" w:oddHBand="0" w:evenHBand="0" w:firstRowFirstColumn="0" w:firstRowLastColumn="0" w:lastRowFirstColumn="0" w:lastRowLastColumn="0"/>
              <w:rPr>
                <w:rFonts w:eastAsiaTheme="minorEastAsia"/>
              </w:rPr>
            </w:pPr>
            <w:r w:rsidRPr="00C4084C">
              <w:rPr>
                <w:rFonts w:eastAsiaTheme="minorEastAsia"/>
              </w:rPr>
              <w:t>128,965</w:t>
            </w:r>
          </w:p>
        </w:tc>
        <w:tc>
          <w:tcPr>
            <w:tcW w:w="1616" w:type="dxa"/>
            <w:tcBorders>
              <w:left w:val="single" w:sz="4" w:space="0" w:color="D0F1FC"/>
              <w:bottom w:val="nil"/>
              <w:right w:val="single" w:sz="4" w:space="0" w:color="D0F1FC"/>
            </w:tcBorders>
            <w:noWrap/>
          </w:tcPr>
          <w:p w14:paraId="6322CADF" w14:textId="071C6CF1" w:rsidR="00361DC0" w:rsidRPr="00C4084C" w:rsidRDefault="00361DC0" w:rsidP="008C4411">
            <w:pPr>
              <w:keepNext/>
              <w:tabs>
                <w:tab w:val="left" w:pos="1245"/>
              </w:tabs>
              <w:spacing w:afterAutospacing="0" w:line="257" w:lineRule="auto"/>
              <w:jc w:val="right"/>
              <w:cnfStyle w:val="000000000000" w:firstRow="0" w:lastRow="0" w:firstColumn="0" w:lastColumn="0" w:oddVBand="0" w:evenVBand="0" w:oddHBand="0" w:evenHBand="0" w:firstRowFirstColumn="0" w:firstRowLastColumn="0" w:lastRowFirstColumn="0" w:lastRowLastColumn="0"/>
              <w:rPr>
                <w:rFonts w:eastAsiaTheme="minorEastAsia"/>
              </w:rPr>
            </w:pPr>
            <w:r w:rsidRPr="00C4084C">
              <w:rPr>
                <w:color w:val="000000"/>
                <w:lang w:eastAsia="en-AU"/>
              </w:rPr>
              <w:t>60,292</w:t>
            </w:r>
          </w:p>
        </w:tc>
        <w:tc>
          <w:tcPr>
            <w:tcW w:w="1616" w:type="dxa"/>
            <w:tcBorders>
              <w:left w:val="single" w:sz="4" w:space="0" w:color="D0F1FC"/>
              <w:bottom w:val="nil"/>
              <w:right w:val="single" w:sz="4" w:space="0" w:color="D0F1FC"/>
            </w:tcBorders>
            <w:noWrap/>
          </w:tcPr>
          <w:p w14:paraId="48CDAE58" w14:textId="4E73F0F2" w:rsidR="00361DC0" w:rsidRPr="00C4084C" w:rsidRDefault="00361DC0" w:rsidP="008C4411">
            <w:pPr>
              <w:keepNext/>
              <w:tabs>
                <w:tab w:val="left" w:pos="1245"/>
              </w:tabs>
              <w:spacing w:afterAutospacing="0" w:line="257" w:lineRule="auto"/>
              <w:jc w:val="right"/>
              <w:cnfStyle w:val="000000000000" w:firstRow="0" w:lastRow="0" w:firstColumn="0" w:lastColumn="0" w:oddVBand="0" w:evenVBand="0" w:oddHBand="0" w:evenHBand="0" w:firstRowFirstColumn="0" w:firstRowLastColumn="0" w:lastRowFirstColumn="0" w:lastRowLastColumn="0"/>
              <w:rPr>
                <w:rFonts w:eastAsiaTheme="minorEastAsia"/>
              </w:rPr>
            </w:pPr>
            <w:r w:rsidRPr="00C4084C">
              <w:rPr>
                <w:color w:val="000000"/>
                <w:lang w:eastAsia="en-AU"/>
              </w:rPr>
              <w:t>13,321</w:t>
            </w:r>
          </w:p>
        </w:tc>
        <w:tc>
          <w:tcPr>
            <w:tcW w:w="1616" w:type="dxa"/>
            <w:tcBorders>
              <w:left w:val="single" w:sz="4" w:space="0" w:color="D0F1FC"/>
              <w:bottom w:val="nil"/>
            </w:tcBorders>
            <w:noWrap/>
          </w:tcPr>
          <w:p w14:paraId="15A63DF0" w14:textId="2B5FC869" w:rsidR="00361DC0" w:rsidRPr="00C4084C" w:rsidRDefault="00361DC0" w:rsidP="008C4411">
            <w:pPr>
              <w:keepNext/>
              <w:tabs>
                <w:tab w:val="left" w:pos="1245"/>
              </w:tabs>
              <w:spacing w:afterAutospacing="0" w:line="257" w:lineRule="auto"/>
              <w:jc w:val="right"/>
              <w:cnfStyle w:val="000000000000" w:firstRow="0" w:lastRow="0" w:firstColumn="0" w:lastColumn="0" w:oddVBand="0" w:evenVBand="0" w:oddHBand="0" w:evenHBand="0" w:firstRowFirstColumn="0" w:firstRowLastColumn="0" w:lastRowFirstColumn="0" w:lastRowLastColumn="0"/>
              <w:rPr>
                <w:rFonts w:eastAsiaTheme="minorEastAsia"/>
              </w:rPr>
            </w:pPr>
            <w:r w:rsidRPr="00C4084C">
              <w:rPr>
                <w:color w:val="000000"/>
                <w:lang w:eastAsia="en-AU"/>
              </w:rPr>
              <w:t>22.1</w:t>
            </w:r>
          </w:p>
        </w:tc>
      </w:tr>
    </w:tbl>
    <w:p w14:paraId="30A37C5E" w14:textId="1A89B1CC" w:rsidR="00FC7729" w:rsidRPr="00C4084C" w:rsidRDefault="000836C9" w:rsidP="00570A6C">
      <w:pPr>
        <w:pStyle w:val="Source"/>
      </w:pPr>
      <w:r w:rsidRPr="00C4084C">
        <w:t xml:space="preserve">Source: </w:t>
      </w:r>
      <w:r w:rsidR="00FC7729" w:rsidRPr="00C4084C">
        <w:t xml:space="preserve">Department of Education, </w:t>
      </w:r>
      <w:r w:rsidR="00FC7729" w:rsidRPr="00C4084C">
        <w:rPr>
          <w:i/>
          <w:iCs/>
        </w:rPr>
        <w:t xml:space="preserve">Higher Education Statistical Collection </w:t>
      </w:r>
      <w:r w:rsidR="00BA309F" w:rsidRPr="00C4084C">
        <w:rPr>
          <w:rFonts w:ascii="Symbol" w:eastAsia="Symbol" w:hAnsi="Symbol" w:cs="Symbol"/>
        </w:rPr>
        <w:t>-</w:t>
      </w:r>
      <w:r w:rsidR="00FC7729" w:rsidRPr="00C4084C">
        <w:rPr>
          <w:i/>
          <w:iCs/>
        </w:rPr>
        <w:t xml:space="preserve"> Staff data multiple years</w:t>
      </w:r>
      <w:r w:rsidR="00FC7729" w:rsidRPr="00C4084C">
        <w:t xml:space="preserve"> [data set], (Canberra) accessed 15 December 2023.</w:t>
      </w:r>
    </w:p>
    <w:p w14:paraId="6DEE0A1C" w14:textId="7772EC20" w:rsidR="000836C9" w:rsidRPr="00C4084C" w:rsidRDefault="00FC7729" w:rsidP="00570A6C">
      <w:pPr>
        <w:pStyle w:val="Source"/>
      </w:pPr>
      <w:r w:rsidRPr="00C4084C">
        <w:t>Note: Staff data is only collected from Table A and B universities.</w:t>
      </w:r>
    </w:p>
    <w:p w14:paraId="5B2B2FD0" w14:textId="4B84923B" w:rsidR="000836C9" w:rsidRPr="00C4084C" w:rsidRDefault="000836C9" w:rsidP="00DB0D5B">
      <w:r w:rsidRPr="00C4084C">
        <w:t xml:space="preserve">The </w:t>
      </w:r>
      <w:r w:rsidR="00BC3249" w:rsidRPr="00C4084C">
        <w:t>R</w:t>
      </w:r>
      <w:r w:rsidRPr="00C4084C">
        <w:t>eview has heard that casual staff are found in many roles</w:t>
      </w:r>
      <w:r w:rsidR="000F26D6" w:rsidRPr="00C4084C">
        <w:t>.</w:t>
      </w:r>
      <w:r w:rsidR="00D72855" w:rsidRPr="00C4084C">
        <w:t xml:space="preserve"> </w:t>
      </w:r>
      <w:r w:rsidR="000F26D6" w:rsidRPr="00C4084C">
        <w:t>F</w:t>
      </w:r>
      <w:r w:rsidRPr="00C4084C">
        <w:t>or example</w:t>
      </w:r>
      <w:r w:rsidR="00182313" w:rsidRPr="00C4084C">
        <w:t>:</w:t>
      </w:r>
      <w:r w:rsidRPr="00C4084C">
        <w:t xml:space="preserve"> </w:t>
      </w:r>
      <w:r w:rsidR="00302F9B" w:rsidRPr="00C4084C">
        <w:t>eminent people giving one-off lectures</w:t>
      </w:r>
      <w:r w:rsidRPr="00C4084C">
        <w:t xml:space="preserve"> </w:t>
      </w:r>
      <w:r w:rsidR="00302F9B" w:rsidRPr="00C4084C">
        <w:t>(e.g. a judge addressing a final-year law course);</w:t>
      </w:r>
      <w:r w:rsidRPr="00C4084C">
        <w:t xml:space="preserve"> those doing a PhD and doing casual </w:t>
      </w:r>
      <w:r w:rsidR="00822A44" w:rsidRPr="00C4084C">
        <w:t xml:space="preserve">teaching </w:t>
      </w:r>
      <w:r w:rsidRPr="00C4084C">
        <w:t>alongside their research studies; casuals employed to enable permanent academics to focus on intensive research; and those employed to do the day</w:t>
      </w:r>
      <w:r w:rsidR="000F26D6" w:rsidRPr="00C4084C">
        <w:t>-</w:t>
      </w:r>
      <w:r w:rsidRPr="00C4084C">
        <w:t>to</w:t>
      </w:r>
      <w:r w:rsidR="000F26D6" w:rsidRPr="00C4084C">
        <w:t>-</w:t>
      </w:r>
      <w:r w:rsidRPr="00C4084C">
        <w:t>day administrative work that underpins academic output. The Review has heard that some academics prefer casual and fixed</w:t>
      </w:r>
      <w:r w:rsidR="00A33F54" w:rsidRPr="00C4084C">
        <w:t>-</w:t>
      </w:r>
      <w:r w:rsidRPr="00C4084C">
        <w:t xml:space="preserve">term </w:t>
      </w:r>
      <w:r w:rsidR="000F26D6" w:rsidRPr="00C4084C">
        <w:t>arrangements or</w:t>
      </w:r>
      <w:r w:rsidRPr="00C4084C">
        <w:t xml:space="preserve"> see them as necessary to gaining a permanent position, and that many </w:t>
      </w:r>
      <w:r w:rsidR="00E47732" w:rsidRPr="00C4084C">
        <w:t xml:space="preserve">higher education providers </w:t>
      </w:r>
      <w:r w:rsidRPr="00C4084C">
        <w:t xml:space="preserve">see casual academic teaching staff as necessary to deliver teaching across Australia’s higher education sector. Casual academics also tend to have a high degree of flexibility which </w:t>
      </w:r>
      <w:r w:rsidR="00055EEC" w:rsidRPr="00C4084C">
        <w:t>can be</w:t>
      </w:r>
      <w:r w:rsidR="00302F9B" w:rsidRPr="00C4084C">
        <w:t xml:space="preserve"> </w:t>
      </w:r>
      <w:r w:rsidRPr="00C4084C">
        <w:t>seen as a desired aspect of academic employment.</w:t>
      </w:r>
      <w:r w:rsidR="30E93274" w:rsidRPr="00C4084C">
        <w:t xml:space="preserve"> </w:t>
      </w:r>
      <w:r w:rsidR="000D7BF6" w:rsidRPr="00C4084C">
        <w:t>Conversely, the Review also heard that some elements of the higher education sector have become reliant on the use of casual staff, particularly for teaching-only roles. In some cases, this can limit professional development and the retention of staff.</w:t>
      </w:r>
      <w:r w:rsidR="00E47732" w:rsidRPr="00C4084C">
        <w:t xml:space="preserve"> </w:t>
      </w:r>
      <w:r w:rsidR="30E93274" w:rsidRPr="00C4084C">
        <w:t xml:space="preserve">Casual </w:t>
      </w:r>
      <w:r w:rsidR="566DB720" w:rsidRPr="00C4084C">
        <w:t xml:space="preserve">employment is </w:t>
      </w:r>
      <w:r w:rsidR="48054A47" w:rsidRPr="00C4084C">
        <w:t xml:space="preserve">more common in teaching focused </w:t>
      </w:r>
      <w:proofErr w:type="gramStart"/>
      <w:r w:rsidR="48054A47" w:rsidRPr="00C4084C">
        <w:t>roles</w:t>
      </w:r>
      <w:proofErr w:type="gramEnd"/>
      <w:r w:rsidR="00A711BD" w:rsidRPr="00C4084C">
        <w:t xml:space="preserve"> but u</w:t>
      </w:r>
      <w:r w:rsidR="00001D89" w:rsidRPr="00C4084C">
        <w:t>niversities use casual</w:t>
      </w:r>
      <w:r w:rsidR="00A711BD" w:rsidRPr="00C4084C">
        <w:t xml:space="preserve"> contract</w:t>
      </w:r>
      <w:r w:rsidR="00001D89" w:rsidRPr="00C4084C">
        <w:t>s for many different roles</w:t>
      </w:r>
      <w:r w:rsidR="00D2304D" w:rsidRPr="00C4084C">
        <w:t xml:space="preserve">, including in response to changing financial structures and revenue streams (including Government funding). A new system, which </w:t>
      </w:r>
      <w:r w:rsidR="008C6C10" w:rsidRPr="00C4084C">
        <w:t xml:space="preserve">provides funding for </w:t>
      </w:r>
      <w:r w:rsidR="00D2304D" w:rsidRPr="00C4084C">
        <w:t xml:space="preserve">the efficient cost of </w:t>
      </w:r>
      <w:r w:rsidR="008C6C10" w:rsidRPr="00C4084C">
        <w:t xml:space="preserve">delivery, </w:t>
      </w:r>
      <w:r w:rsidR="00A711BD" w:rsidRPr="00C4084C">
        <w:t>will provide an opportunity</w:t>
      </w:r>
      <w:r w:rsidR="00740CA5">
        <w:t xml:space="preserve"> for providers</w:t>
      </w:r>
      <w:r w:rsidR="00A711BD" w:rsidRPr="00C4084C">
        <w:t xml:space="preserve"> to reconsider </w:t>
      </w:r>
      <w:r w:rsidR="00740CA5">
        <w:t>the</w:t>
      </w:r>
      <w:r w:rsidR="00740CA5" w:rsidRPr="00C4084C">
        <w:t xml:space="preserve"> </w:t>
      </w:r>
      <w:r w:rsidR="00A711BD" w:rsidRPr="00C4084C">
        <w:t xml:space="preserve">use of </w:t>
      </w:r>
      <w:r w:rsidR="00740CA5">
        <w:t>casual</w:t>
      </w:r>
      <w:r w:rsidR="00740CA5" w:rsidRPr="00C4084C">
        <w:t xml:space="preserve"> </w:t>
      </w:r>
      <w:r w:rsidR="00A711BD" w:rsidRPr="00C4084C">
        <w:t>staff in all roles.</w:t>
      </w:r>
      <w:r w:rsidR="48054A47" w:rsidRPr="00C4084C">
        <w:t xml:space="preserve"> </w:t>
      </w:r>
    </w:p>
    <w:p w14:paraId="22D63361" w14:textId="76CE47DD" w:rsidR="000836C9" w:rsidRPr="00C4084C" w:rsidRDefault="000836C9" w:rsidP="00DB0D5B">
      <w:r w:rsidRPr="00C4084C">
        <w:t xml:space="preserve">The Review has formed the view that </w:t>
      </w:r>
      <w:r w:rsidR="004A2117">
        <w:t xml:space="preserve">the consistently </w:t>
      </w:r>
      <w:r w:rsidRPr="00C4084C">
        <w:t>high rates of casualisation</w:t>
      </w:r>
      <w:r w:rsidR="004A2117" w:rsidRPr="004A2117">
        <w:t xml:space="preserve"> </w:t>
      </w:r>
      <w:r w:rsidR="004A2117">
        <w:t xml:space="preserve">in the system since 2010 </w:t>
      </w:r>
      <w:r w:rsidRPr="00C4084C">
        <w:t xml:space="preserve">hinder the </w:t>
      </w:r>
      <w:r w:rsidR="007D51C2" w:rsidRPr="00C4084C">
        <w:t xml:space="preserve">higher education </w:t>
      </w:r>
      <w:r w:rsidRPr="00C4084C">
        <w:t xml:space="preserve">sector as it strives for improvement in </w:t>
      </w:r>
      <w:r w:rsidR="00322926" w:rsidRPr="00C4084C">
        <w:t>learning and teaching</w:t>
      </w:r>
      <w:r w:rsidRPr="00C4084C">
        <w:t xml:space="preserve"> quality. </w:t>
      </w:r>
      <w:r w:rsidR="00E858F7" w:rsidRPr="00C4084C">
        <w:t>L</w:t>
      </w:r>
      <w:r w:rsidR="00302F9B" w:rsidRPr="00C4084C">
        <w:t>arge numbers of casual</w:t>
      </w:r>
      <w:r w:rsidRPr="00C4084C">
        <w:t xml:space="preserve"> and fixed term working arrangements are unlikely to attract or foster the capability, skills and number of </w:t>
      </w:r>
      <w:r w:rsidR="00322926" w:rsidRPr="00C4084C">
        <w:t xml:space="preserve">academics </w:t>
      </w:r>
      <w:r w:rsidRPr="00C4084C">
        <w:t xml:space="preserve">required to accommodate the needs of an expanded higher education system. In addition, the Review has heard that casual pay rates, including the complexity of piece rates and activity misclassification, are the primary </w:t>
      </w:r>
      <w:r w:rsidR="00322926" w:rsidRPr="00C4084C">
        <w:t xml:space="preserve">causes </w:t>
      </w:r>
      <w:r w:rsidRPr="00C4084C">
        <w:t>of wage theft</w:t>
      </w:r>
      <w:r w:rsidR="00E36DF5" w:rsidRPr="00C4084C">
        <w:t xml:space="preserve"> </w:t>
      </w:r>
      <w:r w:rsidR="00322926" w:rsidRPr="00C4084C">
        <w:t>in the higher education sector</w:t>
      </w:r>
      <w:r w:rsidRPr="00C4084C">
        <w:t xml:space="preserve"> – an untenable situation. </w:t>
      </w:r>
      <w:r w:rsidR="00302F9B" w:rsidRPr="00C4084C">
        <w:t>Over</w:t>
      </w:r>
      <w:r w:rsidR="00740CA5">
        <w:t>-</w:t>
      </w:r>
      <w:r w:rsidRPr="00C4084C">
        <w:t xml:space="preserve">reliance on casual and fixed term working arrangements </w:t>
      </w:r>
      <w:r w:rsidR="00740CA5">
        <w:t>will</w:t>
      </w:r>
      <w:r w:rsidRPr="00C4084C">
        <w:t xml:space="preserve"> limit effectiveness of </w:t>
      </w:r>
      <w:r w:rsidR="00822A44" w:rsidRPr="00C4084C">
        <w:t xml:space="preserve">the Review’s </w:t>
      </w:r>
      <w:r w:rsidRPr="00C4084C">
        <w:t xml:space="preserve">recommendations </w:t>
      </w:r>
      <w:r w:rsidR="00740CA5">
        <w:t>to build</w:t>
      </w:r>
      <w:r w:rsidRPr="00C4084C">
        <w:t xml:space="preserve"> the capacity of </w:t>
      </w:r>
      <w:r w:rsidR="00302F9B" w:rsidRPr="00C4084C">
        <w:t>academics</w:t>
      </w:r>
      <w:r w:rsidRPr="00C4084C">
        <w:t xml:space="preserve"> through continuous professional development.</w:t>
      </w:r>
    </w:p>
    <w:p w14:paraId="0E7DCA89" w14:textId="194F1554" w:rsidR="000836C9" w:rsidRPr="00C4084C" w:rsidRDefault="000836C9" w:rsidP="003E5969">
      <w:pPr>
        <w:pStyle w:val="Heading5"/>
      </w:pPr>
      <w:r w:rsidRPr="00C4084C">
        <w:lastRenderedPageBreak/>
        <w:t xml:space="preserve">Administrative burden and growth in </w:t>
      </w:r>
      <w:r w:rsidR="000F26D6" w:rsidRPr="00C4084C">
        <w:t>non-academic</w:t>
      </w:r>
      <w:r w:rsidRPr="00C4084C">
        <w:t xml:space="preserve"> roles</w:t>
      </w:r>
    </w:p>
    <w:p w14:paraId="0ACFA963" w14:textId="62A7CF56" w:rsidR="000836C9" w:rsidRPr="00C4084C" w:rsidRDefault="000836C9" w:rsidP="00DB0D5B">
      <w:r w:rsidRPr="00C4084C">
        <w:rPr>
          <w:rFonts w:eastAsiaTheme="majorEastAsia"/>
        </w:rPr>
        <w:t xml:space="preserve">Another challenge in growing the teaching and research workforce is the </w:t>
      </w:r>
      <w:r w:rsidR="003D7DC3" w:rsidRPr="00C4084C">
        <w:rPr>
          <w:rFonts w:eastAsiaTheme="majorEastAsia"/>
        </w:rPr>
        <w:t xml:space="preserve">increasing </w:t>
      </w:r>
      <w:r w:rsidR="00704007">
        <w:rPr>
          <w:rFonts w:eastAsiaTheme="majorEastAsia"/>
        </w:rPr>
        <w:t>proportion</w:t>
      </w:r>
      <w:r w:rsidR="00704007" w:rsidRPr="00C4084C">
        <w:rPr>
          <w:rFonts w:eastAsiaTheme="majorEastAsia"/>
        </w:rPr>
        <w:t xml:space="preserve"> </w:t>
      </w:r>
      <w:r w:rsidRPr="00C4084C">
        <w:rPr>
          <w:rFonts w:eastAsiaTheme="majorEastAsia"/>
        </w:rPr>
        <w:t>of non-academic staff.</w:t>
      </w:r>
      <w:r w:rsidRPr="00C4084C">
        <w:rPr>
          <w:rFonts w:asciiTheme="majorHAnsi" w:eastAsiaTheme="majorEastAsia" w:hAnsiTheme="majorHAnsi" w:cstheme="majorBidi"/>
        </w:rPr>
        <w:t xml:space="preserve"> </w:t>
      </w:r>
      <w:r w:rsidR="00302F9B" w:rsidRPr="00C4084C">
        <w:t>Australian u</w:t>
      </w:r>
      <w:r w:rsidRPr="00C4084C">
        <w:t xml:space="preserve">niversities have higher </w:t>
      </w:r>
      <w:r w:rsidR="004F04DC" w:rsidRPr="00C4084C">
        <w:t>numbers</w:t>
      </w:r>
      <w:r w:rsidRPr="00C4084C">
        <w:t xml:space="preserve"> of non-academic staff (</w:t>
      </w:r>
      <w:r w:rsidR="008E4D63" w:rsidRPr="00C4084C">
        <w:t xml:space="preserve">around </w:t>
      </w:r>
      <w:r w:rsidR="00EB5D14" w:rsidRPr="00C4084C">
        <w:t>68,700 FTE</w:t>
      </w:r>
      <w:r w:rsidRPr="00C4084C">
        <w:t>) than academic staff (</w:t>
      </w:r>
      <w:r w:rsidR="008E4D63" w:rsidRPr="00C4084C">
        <w:t xml:space="preserve">around </w:t>
      </w:r>
      <w:r w:rsidR="00EB5D14" w:rsidRPr="00C4084C">
        <w:t>60,300</w:t>
      </w:r>
      <w:r w:rsidR="00916F6F" w:rsidRPr="00C4084C">
        <w:t xml:space="preserve"> FTE</w:t>
      </w:r>
      <w:r w:rsidRPr="00C4084C">
        <w:t xml:space="preserve">), driven in part by the burden of increased regulation and </w:t>
      </w:r>
      <w:r w:rsidR="00302F9B" w:rsidRPr="00C4084C">
        <w:t xml:space="preserve">institutional </w:t>
      </w:r>
      <w:r w:rsidRPr="00C4084C">
        <w:t>administrative performance.</w:t>
      </w:r>
      <w:r w:rsidR="00DA4A06" w:rsidRPr="00C4084C">
        <w:rPr>
          <w:rStyle w:val="FootnoteReference"/>
        </w:rPr>
        <w:footnoteReference w:id="377"/>
      </w:r>
      <w:r w:rsidRPr="00C4084C">
        <w:t xml:space="preserve"> At the same time, academic staff report that their time is increasingly being spent on non-academic activities.</w:t>
      </w:r>
      <w:r w:rsidRPr="00C4084C">
        <w:rPr>
          <w:rStyle w:val="FootnoteReference"/>
          <w:rFonts w:eastAsiaTheme="minorEastAsia"/>
        </w:rPr>
        <w:footnoteReference w:id="378"/>
      </w:r>
      <w:r w:rsidRPr="00C4084C">
        <w:t xml:space="preserve"> Also, the proportions of high-level non-academic staff have doubled, and senior/executive non-academic staff tripled, since 1991.</w:t>
      </w:r>
      <w:r w:rsidRPr="00C4084C">
        <w:rPr>
          <w:rStyle w:val="FootnoteReference"/>
          <w:rFonts w:eastAsiaTheme="minorEastAsia"/>
        </w:rPr>
        <w:footnoteReference w:id="379"/>
      </w:r>
      <w:r w:rsidRPr="00C4084C">
        <w:t xml:space="preserve"> </w:t>
      </w:r>
    </w:p>
    <w:p w14:paraId="70DC37CD" w14:textId="2419750A" w:rsidR="00A14420" w:rsidRPr="00C4084C" w:rsidRDefault="00A14420" w:rsidP="00745009">
      <w:pPr>
        <w:pStyle w:val="Heading3"/>
      </w:pPr>
      <w:bookmarkStart w:id="1045" w:name="_Toc149235134"/>
      <w:bookmarkStart w:id="1046" w:name="_Toc149249883"/>
      <w:bookmarkStart w:id="1047" w:name="_Toc149291803"/>
      <w:bookmarkStart w:id="1048" w:name="_Toc149292442"/>
      <w:bookmarkStart w:id="1049" w:name="_Toc149292544"/>
      <w:bookmarkStart w:id="1050" w:name="_Toc149235135"/>
      <w:bookmarkStart w:id="1051" w:name="_Toc149249884"/>
      <w:bookmarkStart w:id="1052" w:name="_Toc149291804"/>
      <w:bookmarkStart w:id="1053" w:name="_Toc149292443"/>
      <w:bookmarkStart w:id="1054" w:name="_Toc149292545"/>
      <w:bookmarkStart w:id="1055" w:name="_Toc149235136"/>
      <w:bookmarkStart w:id="1056" w:name="_Toc149249885"/>
      <w:bookmarkStart w:id="1057" w:name="_Toc149291805"/>
      <w:bookmarkStart w:id="1058" w:name="_Toc149292444"/>
      <w:bookmarkStart w:id="1059" w:name="_Toc149292546"/>
      <w:bookmarkStart w:id="1060" w:name="_Toc149235137"/>
      <w:bookmarkStart w:id="1061" w:name="_Toc149249886"/>
      <w:bookmarkStart w:id="1062" w:name="_Toc149291806"/>
      <w:bookmarkStart w:id="1063" w:name="_Toc149292445"/>
      <w:bookmarkStart w:id="1064" w:name="_Toc149292547"/>
      <w:bookmarkStart w:id="1065" w:name="_Toc148339863"/>
      <w:bookmarkStart w:id="1066" w:name="_Toc148341804"/>
      <w:bookmarkStart w:id="1067" w:name="_Toc148342400"/>
      <w:bookmarkStart w:id="1068" w:name="_Toc148277875"/>
      <w:bookmarkStart w:id="1069" w:name="_Toc150600338"/>
      <w:bookmarkStart w:id="1070" w:name="_Toc1900798366"/>
      <w:bookmarkStart w:id="1071" w:name="_Toc1034968836"/>
      <w:bookmarkStart w:id="1072" w:name="_Toc165081476"/>
      <w:bookmarkStart w:id="1073" w:name="_Toc153483083"/>
      <w:bookmarkStart w:id="1074" w:name="_Toc159500993"/>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r w:rsidRPr="00C4084C">
        <w:t xml:space="preserve">Mechanisms to drive </w:t>
      </w:r>
      <w:proofErr w:type="gramStart"/>
      <w:r w:rsidRPr="00C4084C">
        <w:t>change</w:t>
      </w:r>
      <w:bookmarkEnd w:id="1068"/>
      <w:bookmarkEnd w:id="1069"/>
      <w:bookmarkEnd w:id="1070"/>
      <w:bookmarkEnd w:id="1071"/>
      <w:bookmarkEnd w:id="1072"/>
      <w:bookmarkEnd w:id="1073"/>
      <w:bookmarkEnd w:id="1074"/>
      <w:proofErr w:type="gramEnd"/>
    </w:p>
    <w:p w14:paraId="4B55B4F3" w14:textId="55A596FF" w:rsidR="00A14420" w:rsidRPr="00C4084C" w:rsidRDefault="00A14420" w:rsidP="00DB0D5B">
      <w:r w:rsidRPr="00C4084C">
        <w:t xml:space="preserve">The operating environment for </w:t>
      </w:r>
      <w:r w:rsidR="007D51C2" w:rsidRPr="00C4084C">
        <w:t>tertiary education</w:t>
      </w:r>
      <w:r w:rsidRPr="00C4084C">
        <w:t xml:space="preserve"> providers in Australia is complex and fragmented. New and refreshed institutional structures must add coherence and focus collective efforts across the whole of the tertiary </w:t>
      </w:r>
      <w:r w:rsidR="0037368D" w:rsidRPr="00C4084C">
        <w:t xml:space="preserve">education </w:t>
      </w:r>
      <w:r w:rsidRPr="00C4084C">
        <w:t>sector.</w:t>
      </w:r>
    </w:p>
    <w:p w14:paraId="320BA352" w14:textId="2568AD43" w:rsidR="00A14420" w:rsidRPr="00C4084C" w:rsidRDefault="00A14420" w:rsidP="00DB0D5B">
      <w:r w:rsidRPr="00C4084C">
        <w:t xml:space="preserve">This section discusses mechanisms to drive collaborative, whole of-sector change that </w:t>
      </w:r>
      <w:r w:rsidR="00302F9B" w:rsidRPr="00C4084C">
        <w:t xml:space="preserve">are </w:t>
      </w:r>
      <w:r w:rsidRPr="00C4084C">
        <w:t xml:space="preserve">lasting and deliberate. Many </w:t>
      </w:r>
      <w:r w:rsidR="00CA79F9" w:rsidRPr="00C4084C">
        <w:t>proposals</w:t>
      </w:r>
      <w:r w:rsidRPr="00C4084C">
        <w:t xml:space="preserve"> are intended to address specific challenges facing the </w:t>
      </w:r>
      <w:r w:rsidR="00475A1E" w:rsidRPr="00C4084C">
        <w:t>tertiary ed</w:t>
      </w:r>
      <w:r w:rsidR="6A170E5B" w:rsidRPr="00C4084C">
        <w:t>uc</w:t>
      </w:r>
      <w:r w:rsidR="00475A1E" w:rsidRPr="00C4084C">
        <w:t>ation</w:t>
      </w:r>
      <w:r w:rsidRPr="00C4084C">
        <w:t xml:space="preserve"> </w:t>
      </w:r>
      <w:r w:rsidR="00270FD1" w:rsidRPr="00C4084C">
        <w:t xml:space="preserve">system </w:t>
      </w:r>
      <w:r w:rsidRPr="00C4084C">
        <w:t>currently</w:t>
      </w:r>
      <w:r w:rsidR="00CA79F9" w:rsidRPr="00C4084C">
        <w:t>. Y</w:t>
      </w:r>
      <w:r w:rsidRPr="00C4084C">
        <w:t xml:space="preserve">et each mechanism working in concert </w:t>
      </w:r>
      <w:r w:rsidR="00302F9B" w:rsidRPr="00C4084C">
        <w:t>with the others</w:t>
      </w:r>
      <w:r w:rsidRPr="00C4084C">
        <w:t xml:space="preserve"> would build foundations for the system to renew and adapt in a changing world.</w:t>
      </w:r>
    </w:p>
    <w:p w14:paraId="038560DA" w14:textId="5AC9FF5E" w:rsidR="00A14420" w:rsidRPr="00C4084C" w:rsidRDefault="00A14420" w:rsidP="00DB0D5B">
      <w:r w:rsidRPr="00C4084C">
        <w:t>The Review notes that some of the mechanisms proposed below are possible to implement quickly, with little administrative burden and to immediate effect. Others may take time to implement and drive change. The Review recommends the establishment of a</w:t>
      </w:r>
      <w:r w:rsidR="0084074C" w:rsidRPr="00C4084C">
        <w:t xml:space="preserve"> temporary</w:t>
      </w:r>
      <w:r w:rsidR="00592141" w:rsidRPr="00C4084C">
        <w:t xml:space="preserve"> </w:t>
      </w:r>
      <w:r w:rsidR="00856722" w:rsidRPr="00C4084C">
        <w:t>I</w:t>
      </w:r>
      <w:r w:rsidR="00592141" w:rsidRPr="00C4084C">
        <w:t xml:space="preserve">mplementation </w:t>
      </w:r>
      <w:r w:rsidR="00856722" w:rsidRPr="00C4084C">
        <w:t>Advisory C</w:t>
      </w:r>
      <w:r w:rsidR="00592141" w:rsidRPr="00C4084C">
        <w:t>ommittee</w:t>
      </w:r>
      <w:r w:rsidRPr="00C4084C">
        <w:t xml:space="preserve"> to guide delivery arrangements and provide advice to the </w:t>
      </w:r>
      <w:r w:rsidR="00534A62" w:rsidRPr="00C4084C">
        <w:t>Education and Skills</w:t>
      </w:r>
      <w:r w:rsidR="00270FD1" w:rsidRPr="00C4084C">
        <w:t xml:space="preserve"> and Training</w:t>
      </w:r>
      <w:r w:rsidR="00534A62" w:rsidRPr="00C4084C">
        <w:t xml:space="preserve"> </w:t>
      </w:r>
      <w:r w:rsidRPr="00C4084C">
        <w:t>Minister</w:t>
      </w:r>
      <w:r w:rsidR="3F4BF682" w:rsidRPr="00C4084C">
        <w:t>s</w:t>
      </w:r>
      <w:r w:rsidRPr="00C4084C">
        <w:t xml:space="preserve"> on</w:t>
      </w:r>
      <w:r w:rsidR="00534A62" w:rsidRPr="00C4084C">
        <w:t xml:space="preserve"> the implementation of the recommendations in this </w:t>
      </w:r>
      <w:r w:rsidR="000775DD">
        <w:t>R</w:t>
      </w:r>
      <w:r w:rsidR="00534A62" w:rsidRPr="00C4084C">
        <w:t>eport, including the transition to the proposed new funding model and governance arrangements</w:t>
      </w:r>
      <w:r w:rsidR="00D21DDB" w:rsidRPr="00C4084C">
        <w:t xml:space="preserve"> </w:t>
      </w:r>
      <w:r w:rsidR="00856722" w:rsidRPr="00C4084C">
        <w:t xml:space="preserve">(see Recommendation </w:t>
      </w:r>
      <w:r w:rsidR="00210D12" w:rsidRPr="00C4084C">
        <w:t>44</w:t>
      </w:r>
      <w:r w:rsidR="00856722" w:rsidRPr="00C4084C">
        <w:t>)</w:t>
      </w:r>
      <w:r w:rsidR="004F068A" w:rsidRPr="00C4084C">
        <w:t xml:space="preserve">. This </w:t>
      </w:r>
      <w:r w:rsidR="009762FC" w:rsidRPr="00C4084C">
        <w:t>committee</w:t>
      </w:r>
      <w:r w:rsidR="004F068A" w:rsidRPr="00C4084C">
        <w:t xml:space="preserve"> should </w:t>
      </w:r>
      <w:r w:rsidR="002A59CE" w:rsidRPr="00C4084C">
        <w:t>quickly bring together</w:t>
      </w:r>
      <w:r w:rsidR="004F068A" w:rsidRPr="00C4084C">
        <w:t xml:space="preserve"> Ministers and stakeholders in </w:t>
      </w:r>
      <w:r w:rsidR="002A59CE" w:rsidRPr="00C4084C">
        <w:t>the</w:t>
      </w:r>
      <w:r w:rsidR="004F068A" w:rsidRPr="00C4084C">
        <w:t xml:space="preserve"> tertiary education </w:t>
      </w:r>
      <w:r w:rsidR="00270FD1" w:rsidRPr="00C4084C">
        <w:t xml:space="preserve">system </w:t>
      </w:r>
      <w:r w:rsidR="004F068A" w:rsidRPr="00C4084C">
        <w:t xml:space="preserve">to build the </w:t>
      </w:r>
      <w:r w:rsidR="002A59CE" w:rsidRPr="00C4084C">
        <w:t xml:space="preserve">early </w:t>
      </w:r>
      <w:r w:rsidR="004F068A" w:rsidRPr="00C4084C">
        <w:t>shared understanding and cooperation that is necessary to make enduring change happen</w:t>
      </w:r>
      <w:r w:rsidR="002A59CE" w:rsidRPr="00C4084C">
        <w:t>.</w:t>
      </w:r>
    </w:p>
    <w:p w14:paraId="2EE1396D" w14:textId="1010FEB9" w:rsidR="00A14420" w:rsidRPr="00C4084C" w:rsidRDefault="00A14420" w:rsidP="00BA6095">
      <w:pPr>
        <w:pStyle w:val="Heading4"/>
      </w:pPr>
      <w:bookmarkStart w:id="1075" w:name="_Toc149385711"/>
      <w:bookmarkStart w:id="1076" w:name="_Toc149385712"/>
      <w:bookmarkStart w:id="1077" w:name="_Toc149385713"/>
      <w:bookmarkStart w:id="1078" w:name="_Toc149385714"/>
      <w:bookmarkStart w:id="1079" w:name="_Toc149385715"/>
      <w:bookmarkStart w:id="1080" w:name="_Toc149385716"/>
      <w:bookmarkStart w:id="1081" w:name="_Toc149385717"/>
      <w:bookmarkStart w:id="1082" w:name="_Toc149385718"/>
      <w:bookmarkStart w:id="1083" w:name="_Toc149385719"/>
      <w:bookmarkStart w:id="1084" w:name="_Toc149385720"/>
      <w:bookmarkStart w:id="1085" w:name="_Toc149385721"/>
      <w:bookmarkStart w:id="1086" w:name="_Toc149385722"/>
      <w:bookmarkStart w:id="1087" w:name="_Toc149385723"/>
      <w:bookmarkStart w:id="1088" w:name="_Toc149385724"/>
      <w:bookmarkStart w:id="1089" w:name="_Toc149385725"/>
      <w:bookmarkStart w:id="1090" w:name="_Toc149385726"/>
      <w:bookmarkStart w:id="1091" w:name="_Toc149385727"/>
      <w:bookmarkStart w:id="1092" w:name="_Toc149385728"/>
      <w:bookmarkStart w:id="1093" w:name="_Toc149385729"/>
      <w:bookmarkStart w:id="1094" w:name="_Toc150600339"/>
      <w:bookmarkStart w:id="1095" w:name="_Toc1588280415"/>
      <w:bookmarkStart w:id="1096" w:name="_Toc561765975"/>
      <w:bookmarkStart w:id="1097" w:name="_Ref151937965"/>
      <w:bookmarkStart w:id="1098" w:name="_Toc153483084"/>
      <w:bookmarkStart w:id="1099" w:name="_Toc159500994"/>
      <w:bookmarkStart w:id="1100" w:name="_Toc148277876"/>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r w:rsidRPr="00C4084C">
        <w:t>An overarching objective</w:t>
      </w:r>
      <w:bookmarkEnd w:id="1094"/>
      <w:bookmarkEnd w:id="1095"/>
      <w:bookmarkEnd w:id="1096"/>
      <w:bookmarkEnd w:id="1097"/>
      <w:bookmarkEnd w:id="1098"/>
      <w:bookmarkEnd w:id="1099"/>
      <w:r w:rsidRPr="00C4084C">
        <w:t xml:space="preserve"> </w:t>
      </w:r>
    </w:p>
    <w:p w14:paraId="1164E736" w14:textId="32BA4FD2" w:rsidR="00A14420" w:rsidRPr="00C4084C" w:rsidRDefault="0037368D" w:rsidP="00DB0D5B">
      <w:r w:rsidRPr="00C4084C">
        <w:t xml:space="preserve">As noted previously, the </w:t>
      </w:r>
      <w:r w:rsidR="00A14420" w:rsidRPr="00C4084C">
        <w:t xml:space="preserve">Review has developed an overarching National Tertiary Education Objective to underpin a system which is fit for purpose and can meet student, </w:t>
      </w:r>
      <w:proofErr w:type="gramStart"/>
      <w:r w:rsidR="00A14420" w:rsidRPr="00C4084C">
        <w:t>community</w:t>
      </w:r>
      <w:proofErr w:type="gramEnd"/>
      <w:r w:rsidR="00A14420" w:rsidRPr="00C4084C">
        <w:t xml:space="preserve"> and national needs effectively and efficiently.</w:t>
      </w:r>
    </w:p>
    <w:p w14:paraId="6706C992" w14:textId="36BB7B27" w:rsidR="00A14420" w:rsidRPr="00C4084C" w:rsidRDefault="00A14420" w:rsidP="00DB0D5B">
      <w:r w:rsidRPr="00C4084C">
        <w:t xml:space="preserve">The </w:t>
      </w:r>
      <w:r w:rsidR="00302F9B" w:rsidRPr="00C4084C">
        <w:t>proposed</w:t>
      </w:r>
      <w:r w:rsidRPr="00C4084C">
        <w:t xml:space="preserve"> objective of the tertiary education system is to:</w:t>
      </w:r>
    </w:p>
    <w:p w14:paraId="37286FCA" w14:textId="77777777" w:rsidR="002426F9" w:rsidRPr="00C4084C" w:rsidRDefault="002426F9" w:rsidP="00FB44F8">
      <w:pPr>
        <w:pStyle w:val="List"/>
        <w:numPr>
          <w:ilvl w:val="0"/>
          <w:numId w:val="24"/>
        </w:numPr>
      </w:pPr>
      <w:r w:rsidRPr="00C4084C">
        <w:t xml:space="preserve">underpin a strong, equitable and resilient </w:t>
      </w:r>
      <w:proofErr w:type="gramStart"/>
      <w:r w:rsidRPr="00C4084C">
        <w:t>democracy</w:t>
      </w:r>
      <w:proofErr w:type="gramEnd"/>
    </w:p>
    <w:p w14:paraId="01F4C94B" w14:textId="4BAD6B9D" w:rsidR="00A14420" w:rsidRPr="00C4084C" w:rsidRDefault="002426F9" w:rsidP="009762FC">
      <w:pPr>
        <w:pStyle w:val="List"/>
      </w:pPr>
      <w:r w:rsidRPr="00C4084C">
        <w:t>drive national economic and social development and environmental sustainability.</w:t>
      </w:r>
    </w:p>
    <w:p w14:paraId="26DAFECA" w14:textId="77777777" w:rsidR="00A14420" w:rsidRPr="00C4084C" w:rsidRDefault="00A14420" w:rsidP="00DB0D5B">
      <w:r w:rsidRPr="00C4084C">
        <w:t>The objective would be achieved through ensuring:</w:t>
      </w:r>
    </w:p>
    <w:p w14:paraId="770D91CC" w14:textId="4C9E94C5" w:rsidR="002D79B6" w:rsidRPr="00C4084C" w:rsidRDefault="002D79B6" w:rsidP="0072052F">
      <w:pPr>
        <w:pStyle w:val="List2"/>
        <w:spacing w:before="0" w:beforeAutospacing="0"/>
      </w:pPr>
      <w:r w:rsidRPr="00C4084C">
        <w:lastRenderedPageBreak/>
        <w:t xml:space="preserve">a strong, dynamic and efficient tertiary education system that has the capacity, capability and infrastructure it </w:t>
      </w:r>
      <w:proofErr w:type="gramStart"/>
      <w:r w:rsidRPr="00C4084C">
        <w:t>needs</w:t>
      </w:r>
      <w:proofErr w:type="gramEnd"/>
    </w:p>
    <w:p w14:paraId="5E9F2C47" w14:textId="7ABE2520" w:rsidR="002D79B6" w:rsidRPr="00C4084C" w:rsidRDefault="002D79B6" w:rsidP="009762FC">
      <w:pPr>
        <w:pStyle w:val="List2"/>
      </w:pPr>
      <w:r w:rsidRPr="00C4084C">
        <w:t xml:space="preserve">affordable and equitable opportunity for all Australians to access and participate in high-quality, engaging and transformative tertiary education </w:t>
      </w:r>
      <w:proofErr w:type="gramStart"/>
      <w:r w:rsidRPr="00C4084C">
        <w:t>programs</w:t>
      </w:r>
      <w:proofErr w:type="gramEnd"/>
    </w:p>
    <w:p w14:paraId="1B7292A9" w14:textId="77777777" w:rsidR="002D79B6" w:rsidRPr="00C4084C" w:rsidRDefault="002D79B6" w:rsidP="009762FC">
      <w:pPr>
        <w:pStyle w:val="List2"/>
      </w:pPr>
      <w:r w:rsidRPr="00C4084C">
        <w:t xml:space="preserve">delivery of graduates with the creativity and technical skills to meet future workforce and societal </w:t>
      </w:r>
      <w:proofErr w:type="gramStart"/>
      <w:r w:rsidRPr="00C4084C">
        <w:t>need</w:t>
      </w:r>
      <w:proofErr w:type="gramEnd"/>
    </w:p>
    <w:p w14:paraId="15712255" w14:textId="5FA81110" w:rsidR="002D79B6" w:rsidRPr="00C4084C" w:rsidRDefault="002D79B6" w:rsidP="009762FC">
      <w:pPr>
        <w:pStyle w:val="List2"/>
      </w:pPr>
      <w:r w:rsidRPr="00C4084C">
        <w:t xml:space="preserve">collaborative and purposeful work between governments, tertiary education providers, industry, </w:t>
      </w:r>
      <w:r w:rsidR="002F69B1" w:rsidRPr="00C4084C">
        <w:t>employers</w:t>
      </w:r>
      <w:r w:rsidR="00FA1E34" w:rsidRPr="00C4084C">
        <w:t>,</w:t>
      </w:r>
      <w:r w:rsidR="002F69B1" w:rsidRPr="00C4084C">
        <w:t xml:space="preserve"> and unions</w:t>
      </w:r>
      <w:r w:rsidRPr="00C4084C">
        <w:t xml:space="preserve"> to flexibly align local skills supply with </w:t>
      </w:r>
      <w:proofErr w:type="gramStart"/>
      <w:r w:rsidRPr="00C4084C">
        <w:t>demand</w:t>
      </w:r>
      <w:proofErr w:type="gramEnd"/>
      <w:r w:rsidRPr="00C4084C">
        <w:t xml:space="preserve"> </w:t>
      </w:r>
    </w:p>
    <w:p w14:paraId="303ECE8D" w14:textId="77777777" w:rsidR="002D79B6" w:rsidRPr="00C4084C" w:rsidRDefault="002D79B6" w:rsidP="009762FC">
      <w:pPr>
        <w:pStyle w:val="List2"/>
      </w:pPr>
      <w:r w:rsidRPr="00C4084C">
        <w:t>the creation and diffusion of new knowledge and its innovative application for the betterment of society.</w:t>
      </w:r>
    </w:p>
    <w:p w14:paraId="71580EA5" w14:textId="57064BC9" w:rsidR="00386734" w:rsidRPr="00C4084C" w:rsidRDefault="00386734" w:rsidP="00DB0D5B">
      <w:r w:rsidRPr="00C4084C">
        <w:t xml:space="preserve">The Review has considered recommendations for the </w:t>
      </w:r>
      <w:r w:rsidR="28526DE0" w:rsidRPr="00C4084C">
        <w:t>tertiary</w:t>
      </w:r>
      <w:r w:rsidRPr="00C4084C">
        <w:t xml:space="preserve"> education system within this framework.</w:t>
      </w:r>
    </w:p>
    <w:p w14:paraId="4C1D1B47" w14:textId="4C15621E" w:rsidR="00A14420" w:rsidRPr="00C4084C" w:rsidRDefault="00A14420" w:rsidP="00BA6095">
      <w:pPr>
        <w:pStyle w:val="Heading4"/>
      </w:pPr>
      <w:bookmarkStart w:id="1101" w:name="_Toc150600340"/>
      <w:bookmarkStart w:id="1102" w:name="_Toc1678541215"/>
      <w:bookmarkStart w:id="1103" w:name="_Toc1238488119"/>
      <w:bookmarkStart w:id="1104" w:name="_Toc153483085"/>
      <w:bookmarkStart w:id="1105" w:name="_Toc159500995"/>
      <w:r w:rsidRPr="00C4084C">
        <w:t xml:space="preserve">Establishing a single system steward: </w:t>
      </w:r>
      <w:r w:rsidR="3E294F44" w:rsidRPr="00C4084C">
        <w:t xml:space="preserve">an </w:t>
      </w:r>
      <w:r w:rsidR="7DF285EA" w:rsidRPr="00C4084C">
        <w:t xml:space="preserve">Australian </w:t>
      </w:r>
      <w:r w:rsidRPr="00C4084C">
        <w:t>Tertiary Education Commission</w:t>
      </w:r>
      <w:bookmarkStart w:id="1106" w:name="_Toc149292552"/>
      <w:bookmarkEnd w:id="1100"/>
      <w:bookmarkEnd w:id="1101"/>
      <w:bookmarkEnd w:id="1102"/>
      <w:bookmarkEnd w:id="1103"/>
      <w:bookmarkEnd w:id="1104"/>
      <w:bookmarkEnd w:id="1105"/>
      <w:bookmarkEnd w:id="1106"/>
    </w:p>
    <w:p w14:paraId="13AC5028" w14:textId="7E5B6A2F" w:rsidR="00A14420" w:rsidRPr="00C4084C" w:rsidRDefault="00A14420" w:rsidP="00DB0D5B">
      <w:r w:rsidRPr="00C4084C">
        <w:t xml:space="preserve">The Review is firmly of the view that a new body is needed to steward the tertiary education and research system </w:t>
      </w:r>
      <w:r w:rsidR="00CC1633" w:rsidRPr="00C4084C">
        <w:t>to deliver</w:t>
      </w:r>
      <w:r w:rsidRPr="00C4084C">
        <w:t xml:space="preserve"> improved policy, </w:t>
      </w:r>
      <w:proofErr w:type="gramStart"/>
      <w:r w:rsidRPr="00C4084C">
        <w:t>administration</w:t>
      </w:r>
      <w:proofErr w:type="gramEnd"/>
      <w:r w:rsidRPr="00C4084C">
        <w:t xml:space="preserve"> and coordination for the sector. It recommends that </w:t>
      </w:r>
      <w:r w:rsidR="576D044A" w:rsidRPr="00C4084C">
        <w:t>the</w:t>
      </w:r>
      <w:r w:rsidRPr="00C4084C">
        <w:t xml:space="preserve"> </w:t>
      </w:r>
      <w:r w:rsidR="7C090BF4" w:rsidRPr="00C4084C">
        <w:t xml:space="preserve">Commission </w:t>
      </w:r>
      <w:r w:rsidRPr="00C4084C">
        <w:t xml:space="preserve">be established under legislation to work collaboratively with tertiary education institutions, supporting the tertiary education system to meet the needs of students, community, research users and employers by:  </w:t>
      </w:r>
    </w:p>
    <w:p w14:paraId="548BCE72" w14:textId="14EDC685" w:rsidR="00A14420" w:rsidRPr="00C4084C" w:rsidRDefault="00A14420" w:rsidP="005D65A3">
      <w:pPr>
        <w:pStyle w:val="ListBullet"/>
      </w:pPr>
      <w:r w:rsidRPr="00C4084C">
        <w:t xml:space="preserve">delivering on the overarching objective of the system </w:t>
      </w:r>
    </w:p>
    <w:p w14:paraId="127BC2EF" w14:textId="77777777" w:rsidR="00A14420" w:rsidRPr="00C4084C" w:rsidRDefault="00A14420" w:rsidP="005D65A3">
      <w:pPr>
        <w:pStyle w:val="ListBullet"/>
      </w:pPr>
      <w:r w:rsidRPr="00C4084C">
        <w:t xml:space="preserve">focusing the system on current and future skills needs  </w:t>
      </w:r>
    </w:p>
    <w:p w14:paraId="30F2044C" w14:textId="77777777" w:rsidR="00A14420" w:rsidRPr="00C4084C" w:rsidRDefault="00A14420" w:rsidP="005D65A3">
      <w:pPr>
        <w:pStyle w:val="ListBullet"/>
      </w:pPr>
      <w:r w:rsidRPr="00C4084C">
        <w:t>promoting access and opportunity</w:t>
      </w:r>
    </w:p>
    <w:p w14:paraId="3EAA680C" w14:textId="334344A7" w:rsidR="000030EC" w:rsidRPr="00C4084C" w:rsidRDefault="00AF699B" w:rsidP="005D65A3">
      <w:pPr>
        <w:pStyle w:val="ListBullet"/>
      </w:pPr>
      <w:r w:rsidRPr="00C4084C">
        <w:t xml:space="preserve">developing an improved understanding of </w:t>
      </w:r>
      <w:r w:rsidR="00060567" w:rsidRPr="00C4084C">
        <w:t>the cost of delivery</w:t>
      </w:r>
      <w:r w:rsidR="00220840" w:rsidRPr="00C4084C">
        <w:t xml:space="preserve"> for providers and appropriate and fair levels of student contributions</w:t>
      </w:r>
      <w:r w:rsidR="000030EC" w:rsidRPr="00C4084C">
        <w:t xml:space="preserve"> </w:t>
      </w:r>
    </w:p>
    <w:p w14:paraId="399DA609" w14:textId="7E3A209B" w:rsidR="009D612F" w:rsidRPr="00C4084C" w:rsidRDefault="009D612F" w:rsidP="005D65A3">
      <w:pPr>
        <w:pStyle w:val="ListBullet"/>
      </w:pPr>
      <w:r w:rsidRPr="00C4084C">
        <w:t>promoting a diverse choice of institutional and study options</w:t>
      </w:r>
    </w:p>
    <w:p w14:paraId="4F9B974C" w14:textId="77777777" w:rsidR="00A14420" w:rsidRPr="00C4084C" w:rsidRDefault="00A14420" w:rsidP="005D65A3">
      <w:pPr>
        <w:pStyle w:val="ListBullet"/>
      </w:pPr>
      <w:r w:rsidRPr="00C4084C">
        <w:t>fostering a cohesive tertiary education system through the development of sound policy</w:t>
      </w:r>
    </w:p>
    <w:p w14:paraId="1F082796" w14:textId="77777777" w:rsidR="00A14420" w:rsidRPr="00C4084C" w:rsidRDefault="00A14420" w:rsidP="005D65A3">
      <w:pPr>
        <w:pStyle w:val="ListBullet"/>
      </w:pPr>
      <w:r w:rsidRPr="00C4084C">
        <w:t>encouraging continuous improvement in tertiary education, research, and research training</w:t>
      </w:r>
    </w:p>
    <w:p w14:paraId="4DC7BAF0" w14:textId="2A50E17E" w:rsidR="005F5677" w:rsidRPr="00C4084C" w:rsidRDefault="005F5677" w:rsidP="005D65A3">
      <w:pPr>
        <w:pStyle w:val="ListBullet"/>
      </w:pPr>
      <w:r w:rsidRPr="00C4084C">
        <w:t>providing support for increasing the quality of the tertiary education workforce</w:t>
      </w:r>
    </w:p>
    <w:p w14:paraId="1D2E81C4" w14:textId="4EEA7797" w:rsidR="00295B7C" w:rsidRPr="00C4084C" w:rsidRDefault="00A14420" w:rsidP="005D65A3">
      <w:pPr>
        <w:pStyle w:val="ListBullet"/>
      </w:pPr>
      <w:r w:rsidRPr="00C4084C">
        <w:t xml:space="preserve">providing expert advice to the government and tertiary education sector. </w:t>
      </w:r>
    </w:p>
    <w:p w14:paraId="1C3510CD" w14:textId="77777777" w:rsidR="00295B7C" w:rsidRPr="00C4084C" w:rsidRDefault="00295B7C" w:rsidP="00BA6095">
      <w:pPr>
        <w:pStyle w:val="Heading4"/>
      </w:pPr>
      <w:bookmarkStart w:id="1107" w:name="_Toc1608103777"/>
      <w:bookmarkStart w:id="1108" w:name="_Toc153483086"/>
      <w:bookmarkStart w:id="1109" w:name="_Toc159500996"/>
      <w:r w:rsidRPr="00C4084C">
        <w:t>Form and composition of the Commission</w:t>
      </w:r>
      <w:bookmarkEnd w:id="1107"/>
      <w:bookmarkEnd w:id="1108"/>
      <w:bookmarkEnd w:id="1109"/>
    </w:p>
    <w:p w14:paraId="1D3952BA" w14:textId="7738E086" w:rsidR="00B41007" w:rsidRPr="00C4084C" w:rsidRDefault="00B41007" w:rsidP="00DB0D5B">
      <w:r w:rsidRPr="00C4084C">
        <w:t xml:space="preserve">The </w:t>
      </w:r>
      <w:r w:rsidR="00E339A6" w:rsidRPr="00C4084C">
        <w:t>Commission</w:t>
      </w:r>
      <w:r w:rsidRPr="00C4084C">
        <w:t xml:space="preserve"> should </w:t>
      </w:r>
      <w:r w:rsidR="0037368D" w:rsidRPr="00C4084C">
        <w:t>be an independent statutory authority</w:t>
      </w:r>
      <w:r w:rsidR="0012545F" w:rsidRPr="00C4084C">
        <w:t xml:space="preserve"> answering to the Education and Skills Ministers</w:t>
      </w:r>
      <w:r w:rsidRPr="00C4084C">
        <w:t>, to enable it to provide robust advice and support evidence-based decision making and planning. It needs to be agile and responsive to immediate issues, whilst remaining future-focused overall</w:t>
      </w:r>
      <w:r w:rsidR="00F449D0" w:rsidRPr="00C4084C">
        <w:t>.</w:t>
      </w:r>
      <w:r w:rsidRPr="00C4084C">
        <w:t xml:space="preserve"> </w:t>
      </w:r>
    </w:p>
    <w:p w14:paraId="2D993415" w14:textId="1690217B" w:rsidR="00A14420" w:rsidRPr="00C4084C" w:rsidRDefault="00A14420" w:rsidP="00DB0D5B">
      <w:r w:rsidRPr="00C4084C">
        <w:t>The Review’s proposed model for this body takes a whole of tertiary education perspective. The Review has heard from many stakeholders that the complexity of the connections between the higher education and VET sectors require</w:t>
      </w:r>
      <w:r w:rsidR="003E7F11" w:rsidRPr="00C4084C">
        <w:t>s</w:t>
      </w:r>
      <w:r w:rsidRPr="00C4084C">
        <w:t xml:space="preserve"> a body with responsibility for improving experiences for students and coherent policy </w:t>
      </w:r>
      <w:r w:rsidR="0012545F" w:rsidRPr="00C4084C">
        <w:t>development</w:t>
      </w:r>
      <w:r w:rsidRPr="00C4084C">
        <w:t xml:space="preserve"> across the tertiary education system. This body needs to be able to work with all stakeholders across the whole of the tertiary </w:t>
      </w:r>
      <w:r w:rsidR="00BF0753" w:rsidRPr="00C4084C">
        <w:t>education</w:t>
      </w:r>
      <w:r w:rsidR="0012545F" w:rsidRPr="00C4084C">
        <w:t xml:space="preserve"> </w:t>
      </w:r>
      <w:r w:rsidRPr="00C4084C">
        <w:t>sector, including states and territories.</w:t>
      </w:r>
    </w:p>
    <w:p w14:paraId="696FD6CE" w14:textId="2F76B1AF" w:rsidR="00A14420" w:rsidRPr="00C4084C" w:rsidRDefault="00A14420" w:rsidP="00DB0D5B">
      <w:r w:rsidRPr="00C4084C">
        <w:t xml:space="preserve">Drawing together the higher education and VET sectors will likely take </w:t>
      </w:r>
      <w:proofErr w:type="gramStart"/>
      <w:r w:rsidRPr="00C4084C">
        <w:t>a number of</w:t>
      </w:r>
      <w:proofErr w:type="gramEnd"/>
      <w:r w:rsidRPr="00C4084C">
        <w:t xml:space="preserve"> years. However, several practical steps could be taken immediately</w:t>
      </w:r>
      <w:r w:rsidR="00947176">
        <w:t xml:space="preserve">. The establishment of the Commission should </w:t>
      </w:r>
      <w:r w:rsidR="00947176">
        <w:lastRenderedPageBreak/>
        <w:t>simplify overall governance arrangements in the sector</w:t>
      </w:r>
      <w:r w:rsidR="00947176" w:rsidRPr="00C4084C">
        <w:t xml:space="preserve">, including </w:t>
      </w:r>
      <w:r w:rsidR="00947176">
        <w:t>through</w:t>
      </w:r>
      <w:r w:rsidR="00947176" w:rsidRPr="00C4084C">
        <w:t xml:space="preserve"> </w:t>
      </w:r>
      <w:r w:rsidRPr="00C4084C">
        <w:t xml:space="preserve">bringing TEQSA and the ARC </w:t>
      </w:r>
      <w:r w:rsidR="00AB529D" w:rsidRPr="00C4084C">
        <w:t>into</w:t>
      </w:r>
      <w:r w:rsidRPr="00C4084C">
        <w:t xml:space="preserve"> the </w:t>
      </w:r>
      <w:r w:rsidR="00E339A6" w:rsidRPr="00C4084C">
        <w:t>Commission</w:t>
      </w:r>
      <w:r w:rsidRPr="00C4084C">
        <w:t>, as independent agencies.</w:t>
      </w:r>
    </w:p>
    <w:p w14:paraId="618D482E" w14:textId="57FEB93A" w:rsidR="00A14420" w:rsidRPr="00C4084C" w:rsidRDefault="00FF0667" w:rsidP="00DB0D5B">
      <w:r w:rsidRPr="00C4084C">
        <w:t>The</w:t>
      </w:r>
      <w:r w:rsidR="000531F7" w:rsidRPr="00C4084C">
        <w:t xml:space="preserve"> Commission</w:t>
      </w:r>
      <w:r w:rsidRPr="00C4084C">
        <w:t>’s leadership structure should reflect its role</w:t>
      </w:r>
      <w:r w:rsidR="000531F7" w:rsidRPr="00C4084C">
        <w:t xml:space="preserve"> </w:t>
      </w:r>
      <w:r w:rsidR="00053FBD" w:rsidRPr="00C4084C">
        <w:t>in</w:t>
      </w:r>
      <w:r w:rsidR="00D22B86" w:rsidRPr="00C4084C">
        <w:t xml:space="preserve"> providing specialist advice </w:t>
      </w:r>
      <w:r w:rsidR="00340436" w:rsidRPr="00C4084C">
        <w:t xml:space="preserve">and stewardship </w:t>
      </w:r>
      <w:r w:rsidR="00D22B86" w:rsidRPr="00C4084C">
        <w:t xml:space="preserve">across </w:t>
      </w:r>
      <w:r w:rsidR="00053FBD" w:rsidRPr="00C4084C">
        <w:t>diverse</w:t>
      </w:r>
      <w:r w:rsidR="00BD4371" w:rsidRPr="00C4084C">
        <w:t xml:space="preserve"> policy areas, including </w:t>
      </w:r>
      <w:r w:rsidR="003E7F11" w:rsidRPr="00C4084C">
        <w:t>tertiary</w:t>
      </w:r>
      <w:r w:rsidR="00C4347A" w:rsidRPr="00C4084C">
        <w:t xml:space="preserve"> education</w:t>
      </w:r>
      <w:r w:rsidR="00BD4371" w:rsidRPr="00C4084C">
        <w:t xml:space="preserve">, First Nations, </w:t>
      </w:r>
      <w:proofErr w:type="gramStart"/>
      <w:r w:rsidR="003E7F11" w:rsidRPr="00C4084C">
        <w:t>equity</w:t>
      </w:r>
      <w:proofErr w:type="gramEnd"/>
      <w:r w:rsidR="003E7F11" w:rsidRPr="00C4084C">
        <w:t xml:space="preserve"> </w:t>
      </w:r>
      <w:r w:rsidR="00BD4371" w:rsidRPr="00C4084C">
        <w:t xml:space="preserve">and </w:t>
      </w:r>
      <w:r w:rsidR="003E7F11" w:rsidRPr="00C4084C">
        <w:t xml:space="preserve">regional </w:t>
      </w:r>
      <w:r w:rsidR="00340436" w:rsidRPr="00C4084C">
        <w:t>experience</w:t>
      </w:r>
      <w:r w:rsidRPr="00C4084C">
        <w:t xml:space="preserve">. </w:t>
      </w:r>
      <w:r w:rsidR="003F5D91" w:rsidRPr="00C4084C">
        <w:t xml:space="preserve">This will require balancing the number of appointed commissioners with the need for each to bring </w:t>
      </w:r>
      <w:proofErr w:type="gramStart"/>
      <w:r w:rsidR="003F5D91" w:rsidRPr="00C4084C">
        <w:t>particular expertise</w:t>
      </w:r>
      <w:proofErr w:type="gramEnd"/>
      <w:r w:rsidR="003F5D91" w:rsidRPr="00C4084C">
        <w:t xml:space="preserve"> and clarity of focus</w:t>
      </w:r>
      <w:r w:rsidRPr="00C4084C">
        <w:t xml:space="preserve"> </w:t>
      </w:r>
      <w:r w:rsidR="003F5D91" w:rsidRPr="00C4084C">
        <w:t xml:space="preserve">to their roles. In this context, the Government should explore </w:t>
      </w:r>
      <w:r w:rsidR="007101A2" w:rsidRPr="00C4084C">
        <w:t>the appointment of part-time or fractional</w:t>
      </w:r>
      <w:r w:rsidR="00340436" w:rsidRPr="00C4084C">
        <w:t xml:space="preserve"> </w:t>
      </w:r>
      <w:r w:rsidR="007101A2" w:rsidRPr="00C4084C">
        <w:t xml:space="preserve">commissioners </w:t>
      </w:r>
      <w:r w:rsidR="00BB5773" w:rsidRPr="00C4084C">
        <w:t>as an option to bring diverse experience to the Board without creating a ‘top-heavy’ organisational structure.</w:t>
      </w:r>
      <w:r w:rsidR="00124C1B" w:rsidRPr="00C4084C">
        <w:t xml:space="preserve"> The Commission should also include an </w:t>
      </w:r>
      <w:r w:rsidR="00DB56D9" w:rsidRPr="00C4084C">
        <w:t>A</w:t>
      </w:r>
      <w:r w:rsidR="00124C1B" w:rsidRPr="00C4084C">
        <w:t xml:space="preserve">dvisory </w:t>
      </w:r>
      <w:r w:rsidR="00DB56D9" w:rsidRPr="00C4084C">
        <w:t>B</w:t>
      </w:r>
      <w:r w:rsidR="00124C1B" w:rsidRPr="00C4084C">
        <w:t xml:space="preserve">oard </w:t>
      </w:r>
      <w:r w:rsidR="00DB78E9" w:rsidRPr="00C4084C">
        <w:t>with representatives from tertiary education providers, governments, students, staff, employers (including business and industry representatives), unions, alumni, and civil society organisations</w:t>
      </w:r>
      <w:r w:rsidR="00124C1B" w:rsidRPr="00C4084C">
        <w:t xml:space="preserve">, to </w:t>
      </w:r>
      <w:r w:rsidR="00D630B4" w:rsidRPr="00C4084C">
        <w:t>facilitate</w:t>
      </w:r>
      <w:r w:rsidR="00124C1B" w:rsidRPr="00C4084C">
        <w:t xml:space="preserve"> ongoing consultation </w:t>
      </w:r>
      <w:r w:rsidR="00D630B4" w:rsidRPr="00C4084C">
        <w:t>and inform the Commission’s advice to Ministers.</w:t>
      </w:r>
      <w:r w:rsidR="00124C1B" w:rsidRPr="00C4084C">
        <w:t xml:space="preserve"> </w:t>
      </w:r>
    </w:p>
    <w:p w14:paraId="3D997AAE" w14:textId="1CE00CE1" w:rsidR="00A14420" w:rsidRPr="00C4084C" w:rsidRDefault="00A14420" w:rsidP="00BA6095">
      <w:pPr>
        <w:pStyle w:val="Heading4"/>
      </w:pPr>
      <w:bookmarkStart w:id="1110" w:name="_Toc148277878"/>
      <w:bookmarkStart w:id="1111" w:name="_Toc15921704"/>
      <w:bookmarkStart w:id="1112" w:name="_Toc253918935"/>
      <w:bookmarkStart w:id="1113" w:name="_Toc159500997"/>
      <w:bookmarkStart w:id="1114" w:name="_Toc141177601"/>
      <w:r w:rsidRPr="00C4084C">
        <w:t xml:space="preserve">Roles of the </w:t>
      </w:r>
      <w:bookmarkEnd w:id="1110"/>
      <w:bookmarkEnd w:id="1111"/>
      <w:bookmarkEnd w:id="1112"/>
      <w:r w:rsidR="00E339A6" w:rsidRPr="00C4084C">
        <w:t>Commission</w:t>
      </w:r>
      <w:bookmarkEnd w:id="1113"/>
    </w:p>
    <w:bookmarkEnd w:id="1114"/>
    <w:p w14:paraId="4404354F" w14:textId="54E254E5" w:rsidR="00A14420" w:rsidRPr="00C4084C" w:rsidRDefault="00A14420" w:rsidP="00DB0D5B">
      <w:r w:rsidRPr="00C4084C">
        <w:t xml:space="preserve">The </w:t>
      </w:r>
      <w:r w:rsidR="00E339A6" w:rsidRPr="00C4084C">
        <w:t>Commission’s</w:t>
      </w:r>
      <w:r w:rsidRPr="00C4084C">
        <w:t xml:space="preserve"> core responsibilities and functions would </w:t>
      </w:r>
      <w:r w:rsidR="00E720C1" w:rsidRPr="00C4084C">
        <w:t>initially</w:t>
      </w:r>
      <w:r w:rsidRPr="00C4084C">
        <w:t xml:space="preserve"> include </w:t>
      </w:r>
      <w:r w:rsidR="00515D61" w:rsidRPr="00C4084C">
        <w:t>higher education</w:t>
      </w:r>
      <w:r w:rsidRPr="00C4084C">
        <w:t xml:space="preserve"> system stewardship, policy advice and development, </w:t>
      </w:r>
      <w:r w:rsidR="00E37F27" w:rsidRPr="00C4084C">
        <w:t xml:space="preserve">planning for growth, </w:t>
      </w:r>
      <w:r w:rsidRPr="00C4084C">
        <w:t>allocating funding for teaching and research</w:t>
      </w:r>
      <w:r w:rsidR="00515D61" w:rsidRPr="00C4084C">
        <w:t xml:space="preserve"> in higher education</w:t>
      </w:r>
      <w:r w:rsidRPr="00C4084C">
        <w:t xml:space="preserve">, acting as a </w:t>
      </w:r>
      <w:r w:rsidR="00515D61" w:rsidRPr="00C4084C">
        <w:t>higher education</w:t>
      </w:r>
      <w:r w:rsidRPr="00C4084C">
        <w:t xml:space="preserve"> pricing authority, working with First Nations people to build solutions to systemic issues, creating accountability mechanisms for progress towards future system objectives</w:t>
      </w:r>
      <w:r w:rsidR="00226F08" w:rsidRPr="00C4084C">
        <w:t xml:space="preserve">, </w:t>
      </w:r>
      <w:r w:rsidR="000501C8" w:rsidRPr="00C4084C">
        <w:t>supporting the development of a quality tertiary education workforce</w:t>
      </w:r>
      <w:r w:rsidR="00226F08" w:rsidRPr="00C4084C">
        <w:t xml:space="preserve"> and promoting a diverse range of institutional and study options for students to choose from</w:t>
      </w:r>
      <w:r w:rsidRPr="00C4084C">
        <w:t>.</w:t>
      </w:r>
    </w:p>
    <w:p w14:paraId="17CDCAFD" w14:textId="6BA33B7A" w:rsidR="001E41FC" w:rsidRPr="00C4084C" w:rsidRDefault="00A14420" w:rsidP="00DB0D5B">
      <w:pPr>
        <w:rPr>
          <w:rFonts w:eastAsia="Arial" w:cstheme="minorHAnsi"/>
        </w:rPr>
      </w:pPr>
      <w:r w:rsidRPr="00C4084C">
        <w:t xml:space="preserve">It is proposed that the </w:t>
      </w:r>
      <w:r w:rsidR="00E339A6" w:rsidRPr="00C4084C">
        <w:t>Commission</w:t>
      </w:r>
      <w:r w:rsidRPr="00C4084C">
        <w:t xml:space="preserve"> would work closely with the </w:t>
      </w:r>
      <w:r w:rsidR="00E720C1" w:rsidRPr="00C4084C">
        <w:t xml:space="preserve">tertiary education </w:t>
      </w:r>
      <w:r w:rsidRPr="00C4084C">
        <w:t xml:space="preserve">sector and other stakeholders in the evolution of the tertiary education system. This would lead to increased certainty and confidence in the funding and governance settings required to make long-term changes as the system responds to the needs of the nation. </w:t>
      </w:r>
      <w:r w:rsidR="00403D57" w:rsidRPr="00C4084C">
        <w:rPr>
          <w:rFonts w:ascii="Calibri" w:eastAsia="Arial" w:hAnsi="Calibri" w:cs="Calibri"/>
        </w:rPr>
        <w:t xml:space="preserve">The </w:t>
      </w:r>
      <w:r w:rsidR="00E339A6" w:rsidRPr="00C4084C">
        <w:t>Commission</w:t>
      </w:r>
      <w:r w:rsidR="00403D57" w:rsidRPr="00C4084C">
        <w:t xml:space="preserve"> </w:t>
      </w:r>
      <w:r w:rsidR="00403D57" w:rsidRPr="00C4084C">
        <w:rPr>
          <w:rFonts w:ascii="Calibri" w:eastAsia="Arial" w:hAnsi="Calibri" w:cs="Calibri"/>
        </w:rPr>
        <w:t xml:space="preserve">would work </w:t>
      </w:r>
      <w:r w:rsidR="00E720C1" w:rsidRPr="00C4084C">
        <w:rPr>
          <w:rFonts w:ascii="Calibri" w:eastAsia="Arial" w:hAnsi="Calibri" w:cs="Calibri"/>
        </w:rPr>
        <w:t xml:space="preserve">as </w:t>
      </w:r>
      <w:proofErr w:type="gramStart"/>
      <w:r w:rsidR="00E720C1" w:rsidRPr="00C4084C">
        <w:rPr>
          <w:rFonts w:ascii="Calibri" w:eastAsia="Arial" w:hAnsi="Calibri" w:cs="Calibri"/>
        </w:rPr>
        <w:t>a first priority</w:t>
      </w:r>
      <w:proofErr w:type="gramEnd"/>
      <w:r w:rsidR="00E720C1" w:rsidRPr="00C4084C">
        <w:rPr>
          <w:rFonts w:ascii="Calibri" w:eastAsia="Arial" w:hAnsi="Calibri" w:cs="Calibri"/>
        </w:rPr>
        <w:t xml:space="preserve"> </w:t>
      </w:r>
      <w:r w:rsidR="00403D57" w:rsidRPr="00C4084C">
        <w:rPr>
          <w:rFonts w:ascii="Calibri" w:eastAsia="Arial" w:hAnsi="Calibri" w:cs="Calibri"/>
        </w:rPr>
        <w:t xml:space="preserve">with universities in the higher education sector to support the long-term national goals of the </w:t>
      </w:r>
      <w:r w:rsidR="00911B26" w:rsidRPr="00C4084C">
        <w:rPr>
          <w:rFonts w:ascii="Calibri" w:eastAsia="Arial" w:hAnsi="Calibri" w:cs="Calibri"/>
        </w:rPr>
        <w:t>Review</w:t>
      </w:r>
      <w:r w:rsidR="00403D57" w:rsidRPr="00C4084C">
        <w:rPr>
          <w:rFonts w:ascii="Calibri" w:eastAsia="Arial" w:hAnsi="Calibri" w:cs="Calibri"/>
        </w:rPr>
        <w:t xml:space="preserve">, while supporting </w:t>
      </w:r>
      <w:r w:rsidR="00593B0C" w:rsidRPr="00C4084C">
        <w:rPr>
          <w:rFonts w:ascii="Calibri" w:eastAsia="Arial" w:hAnsi="Calibri" w:cs="Calibri"/>
        </w:rPr>
        <w:t xml:space="preserve">universities’ </w:t>
      </w:r>
      <w:r w:rsidR="00403D57" w:rsidRPr="00C4084C">
        <w:rPr>
          <w:rFonts w:ascii="Calibri" w:eastAsia="Arial" w:hAnsi="Calibri" w:cs="Calibri"/>
        </w:rPr>
        <w:t>academic freedom and autonomy to guide aspects of course design, delivery and research</w:t>
      </w:r>
      <w:r w:rsidR="002C549E" w:rsidRPr="00C4084C">
        <w:rPr>
          <w:rFonts w:ascii="Calibri" w:eastAsia="Arial" w:hAnsi="Calibri" w:cs="Calibri"/>
        </w:rPr>
        <w:t>.</w:t>
      </w:r>
    </w:p>
    <w:p w14:paraId="334101ED" w14:textId="0CD8B91A" w:rsidR="00CB76EF" w:rsidRPr="00C4084C" w:rsidRDefault="00CB76EF" w:rsidP="00DB0D5B">
      <w:r w:rsidRPr="00C4084C">
        <w:t xml:space="preserve">In the initial years of the </w:t>
      </w:r>
      <w:r w:rsidR="00E339A6" w:rsidRPr="00C4084C">
        <w:t>Commission’s</w:t>
      </w:r>
      <w:r w:rsidRPr="00C4084C">
        <w:t xml:space="preserve"> creation, the Review expects that it would focus primarily on </w:t>
      </w:r>
      <w:r w:rsidR="3FDADD60" w:rsidRPr="00C4084C">
        <w:t>h</w:t>
      </w:r>
      <w:r w:rsidRPr="00C4084C">
        <w:t xml:space="preserve">igher </w:t>
      </w:r>
      <w:r w:rsidR="74DA43CD" w:rsidRPr="00C4084C">
        <w:t>e</w:t>
      </w:r>
      <w:r w:rsidRPr="00C4084C">
        <w:t xml:space="preserve">ducation, </w:t>
      </w:r>
      <w:r w:rsidR="000501C8" w:rsidRPr="00C4084C">
        <w:t>along</w:t>
      </w:r>
      <w:r w:rsidRPr="00C4084C">
        <w:t xml:space="preserve"> with key priorities in tertiary </w:t>
      </w:r>
      <w:r w:rsidR="000501C8" w:rsidRPr="00C4084C">
        <w:t>education</w:t>
      </w:r>
      <w:r w:rsidRPr="00C4084C">
        <w:t xml:space="preserve"> such as stewardship of the Australian Qualifications </w:t>
      </w:r>
      <w:r w:rsidR="57A585D4" w:rsidRPr="00C4084C">
        <w:t>F</w:t>
      </w:r>
      <w:r w:rsidRPr="00C4084C">
        <w:t xml:space="preserve">ramework and helping to streamline pathways between both </w:t>
      </w:r>
      <w:r w:rsidR="00593B0C" w:rsidRPr="00C4084C">
        <w:t xml:space="preserve">higher education and vocational education and training </w:t>
      </w:r>
      <w:r w:rsidRPr="00C4084C">
        <w:t xml:space="preserve">for students through credit recognition and RPL. Over time, and in close consultation with </w:t>
      </w:r>
      <w:r w:rsidR="003E5778" w:rsidRPr="00C4084C">
        <w:t>Australian Government</w:t>
      </w:r>
      <w:r w:rsidRPr="00C4084C">
        <w:t xml:space="preserve"> and </w:t>
      </w:r>
      <w:r w:rsidR="004561F2">
        <w:t>s</w:t>
      </w:r>
      <w:r w:rsidR="004561F2" w:rsidRPr="00C4084C">
        <w:t xml:space="preserve">tate </w:t>
      </w:r>
      <w:r w:rsidRPr="00C4084C">
        <w:t xml:space="preserve">and </w:t>
      </w:r>
      <w:r w:rsidR="004561F2">
        <w:t>t</w:t>
      </w:r>
      <w:r w:rsidR="004561F2" w:rsidRPr="00C4084C">
        <w:t xml:space="preserve">erritory </w:t>
      </w:r>
      <w:r w:rsidR="004561F2">
        <w:t>m</w:t>
      </w:r>
      <w:r w:rsidR="004561F2" w:rsidRPr="00C4084C">
        <w:t>inisters</w:t>
      </w:r>
      <w:r w:rsidRPr="00C4084C">
        <w:t xml:space="preserve">, the </w:t>
      </w:r>
      <w:r w:rsidR="00E339A6" w:rsidRPr="00C4084C">
        <w:t>Commission</w:t>
      </w:r>
      <w:r w:rsidRPr="00C4084C">
        <w:t xml:space="preserve">’s role would expand to focus equally across the entire tertiary </w:t>
      </w:r>
      <w:r w:rsidR="007162DD" w:rsidRPr="00C4084C">
        <w:t xml:space="preserve">education </w:t>
      </w:r>
      <w:r w:rsidRPr="00C4084C">
        <w:t xml:space="preserve">system. </w:t>
      </w:r>
    </w:p>
    <w:p w14:paraId="23059406" w14:textId="390AD4B9" w:rsidR="00861594" w:rsidRPr="00C4084C" w:rsidRDefault="00A14420" w:rsidP="00DB0D5B">
      <w:r w:rsidRPr="00C4084C">
        <w:t xml:space="preserve">The </w:t>
      </w:r>
      <w:r w:rsidR="00E339A6" w:rsidRPr="00C4084C">
        <w:t>Commission</w:t>
      </w:r>
      <w:r w:rsidR="00780163" w:rsidRPr="00C4084C">
        <w:t>’s role regarding research would focus on research and research training carried out in universities and</w:t>
      </w:r>
      <w:r w:rsidRPr="00C4084C">
        <w:t xml:space="preserve"> would not include the entirety of Australia’s research system</w:t>
      </w:r>
      <w:r w:rsidR="00276EFA" w:rsidRPr="00C4084C">
        <w:t>.</w:t>
      </w:r>
      <w:r w:rsidRPr="00C4084C">
        <w:t xml:space="preserve"> </w:t>
      </w:r>
      <w:r w:rsidR="00276EFA" w:rsidRPr="00C4084C">
        <w:t xml:space="preserve">This is due to </w:t>
      </w:r>
      <w:r w:rsidRPr="00C4084C">
        <w:t xml:space="preserve">the significant </w:t>
      </w:r>
      <w:r w:rsidR="00780163" w:rsidRPr="00C4084C">
        <w:t xml:space="preserve">amount </w:t>
      </w:r>
      <w:r w:rsidRPr="00C4084C">
        <w:t xml:space="preserve">of research that is undertaken outside of the higher education sector, in addition </w:t>
      </w:r>
      <w:r w:rsidR="27517DF6" w:rsidRPr="00C4084C">
        <w:t xml:space="preserve">to </w:t>
      </w:r>
      <w:r w:rsidRPr="00C4084C">
        <w:t xml:space="preserve">the specific roles played by </w:t>
      </w:r>
      <w:r w:rsidR="003E5778" w:rsidRPr="00C4084C">
        <w:t>Australian Government</w:t>
      </w:r>
      <w:r w:rsidRPr="00C4084C">
        <w:t xml:space="preserve"> departments and entities that sit beyond the </w:t>
      </w:r>
      <w:r w:rsidR="00E339A6" w:rsidRPr="00C4084C">
        <w:t>Commission</w:t>
      </w:r>
      <w:r w:rsidRPr="00C4084C">
        <w:t>’s remit.</w:t>
      </w:r>
      <w:r w:rsidR="001B3B7E" w:rsidRPr="00C4084C">
        <w:t xml:space="preserve"> However</w:t>
      </w:r>
      <w:r w:rsidR="4CBE9634" w:rsidRPr="00C4084C">
        <w:t>,</w:t>
      </w:r>
      <w:r w:rsidR="001B3B7E" w:rsidRPr="00C4084C">
        <w:t xml:space="preserve"> </w:t>
      </w:r>
      <w:r w:rsidR="00C2439D" w:rsidRPr="00C4084C">
        <w:t>it is proposed that</w:t>
      </w:r>
      <w:r w:rsidR="001B3B7E" w:rsidRPr="00C4084C">
        <w:t xml:space="preserve"> it will work closely with other entities to ensure there is a consistent national approach to research policy. </w:t>
      </w:r>
    </w:p>
    <w:p w14:paraId="10B028BF" w14:textId="61E13C80" w:rsidR="002C2C8F" w:rsidRPr="00C4084C" w:rsidRDefault="00A14420" w:rsidP="003E5969">
      <w:pPr>
        <w:pStyle w:val="Heading5"/>
        <w:rPr>
          <w:color w:val="000000" w:themeColor="text1"/>
          <w14:textFill>
            <w14:solidFill>
              <w14:schemeClr w14:val="tx1">
                <w14:lumMod w14:val="65000"/>
                <w14:lumOff w14:val="50000"/>
                <w14:lumMod w14:val="50000"/>
              </w14:schemeClr>
            </w14:solidFill>
          </w14:textFill>
        </w:rPr>
      </w:pPr>
      <w:bookmarkStart w:id="1115" w:name="_Toc150600342"/>
      <w:bookmarkStart w:id="1116" w:name="_Toc1664365958"/>
      <w:bookmarkStart w:id="1117" w:name="_Toc231481390"/>
      <w:r w:rsidRPr="00C4084C">
        <w:t xml:space="preserve">System steward </w:t>
      </w:r>
      <w:bookmarkEnd w:id="1115"/>
      <w:r w:rsidRPr="00C4084C">
        <w:t>and engagement with the system</w:t>
      </w:r>
      <w:bookmarkEnd w:id="1116"/>
      <w:bookmarkEnd w:id="1117"/>
    </w:p>
    <w:p w14:paraId="4E5C1466" w14:textId="7129E9F8" w:rsidR="006557D1" w:rsidRPr="00C4084C" w:rsidRDefault="006557D1" w:rsidP="00DB0D5B">
      <w:r w:rsidRPr="00C4084C">
        <w:t xml:space="preserve">The </w:t>
      </w:r>
      <w:r w:rsidR="00E339A6" w:rsidRPr="00C4084C">
        <w:t>Commission</w:t>
      </w:r>
      <w:r w:rsidRPr="00C4084C">
        <w:t xml:space="preserve">’s stewardship role </w:t>
      </w:r>
      <w:r w:rsidR="001E41FC" w:rsidRPr="00C4084C">
        <w:t xml:space="preserve">would see it </w:t>
      </w:r>
      <w:r w:rsidR="08BA6F76" w:rsidRPr="00C4084C">
        <w:t>work in</w:t>
      </w:r>
      <w:r w:rsidR="001E41FC" w:rsidRPr="00C4084C">
        <w:t xml:space="preserve"> </w:t>
      </w:r>
      <w:r w:rsidRPr="00C4084C">
        <w:t xml:space="preserve">close collaboration with a broad cross section of </w:t>
      </w:r>
      <w:r w:rsidR="001E41FC" w:rsidRPr="00C4084C">
        <w:t xml:space="preserve">stakeholders in the </w:t>
      </w:r>
      <w:r w:rsidRPr="00C4084C">
        <w:t xml:space="preserve">tertiary education system, including universities </w:t>
      </w:r>
      <w:proofErr w:type="gramStart"/>
      <w:r w:rsidRPr="00C4084C">
        <w:t>and</w:t>
      </w:r>
      <w:r w:rsidR="00B0355C" w:rsidRPr="00C4084C">
        <w:t xml:space="preserve"> also</w:t>
      </w:r>
      <w:proofErr w:type="gramEnd"/>
      <w:r w:rsidRPr="00C4084C">
        <w:t xml:space="preserve"> non-university higher education providers</w:t>
      </w:r>
      <w:r w:rsidR="00276EFA" w:rsidRPr="00C4084C">
        <w:t>,</w:t>
      </w:r>
      <w:r w:rsidRPr="00C4084C">
        <w:t xml:space="preserve"> </w:t>
      </w:r>
      <w:r w:rsidR="00270FD1" w:rsidRPr="00C4084C">
        <w:t xml:space="preserve">private </w:t>
      </w:r>
      <w:r w:rsidR="00871915" w:rsidRPr="00C4084C">
        <w:t>VET providers</w:t>
      </w:r>
      <w:r w:rsidR="00276EFA" w:rsidRPr="00C4084C">
        <w:t>,</w:t>
      </w:r>
      <w:r w:rsidRPr="00C4084C">
        <w:t xml:space="preserve"> </w:t>
      </w:r>
      <w:r w:rsidR="00871915" w:rsidRPr="00C4084C">
        <w:t>TAFEs</w:t>
      </w:r>
      <w:r w:rsidR="00276EFA" w:rsidRPr="00C4084C">
        <w:t>,</w:t>
      </w:r>
      <w:r w:rsidR="00871915" w:rsidRPr="00C4084C">
        <w:t xml:space="preserve"> </w:t>
      </w:r>
      <w:r w:rsidRPr="00C4084C">
        <w:t>students</w:t>
      </w:r>
      <w:r w:rsidR="00276EFA" w:rsidRPr="00C4084C">
        <w:t>,</w:t>
      </w:r>
      <w:r w:rsidRPr="00C4084C">
        <w:t xml:space="preserve"> academic and </w:t>
      </w:r>
      <w:r w:rsidRPr="00C4084C">
        <w:lastRenderedPageBreak/>
        <w:t>professional staff</w:t>
      </w:r>
      <w:r w:rsidR="00276EFA" w:rsidRPr="00C4084C">
        <w:t>,</w:t>
      </w:r>
      <w:r w:rsidRPr="00C4084C">
        <w:t xml:space="preserve"> employers</w:t>
      </w:r>
      <w:r w:rsidR="003F337F" w:rsidRPr="00C4084C">
        <w:t xml:space="preserve">, </w:t>
      </w:r>
      <w:r w:rsidRPr="00C4084C">
        <w:t>industry</w:t>
      </w:r>
      <w:r w:rsidR="003F337F" w:rsidRPr="00C4084C">
        <w:t xml:space="preserve">, </w:t>
      </w:r>
      <w:r w:rsidRPr="00C4084C">
        <w:t>unions</w:t>
      </w:r>
      <w:r w:rsidR="003F337F" w:rsidRPr="00C4084C">
        <w:t xml:space="preserve">, </w:t>
      </w:r>
      <w:r w:rsidRPr="00C4084C">
        <w:t>bodies representing the professions</w:t>
      </w:r>
      <w:r w:rsidR="003F337F" w:rsidRPr="00C4084C">
        <w:t xml:space="preserve">, </w:t>
      </w:r>
      <w:r w:rsidRPr="00C4084C">
        <w:t>research end users</w:t>
      </w:r>
      <w:r w:rsidR="003F337F" w:rsidRPr="00C4084C">
        <w:t xml:space="preserve">, </w:t>
      </w:r>
      <w:r w:rsidR="00D6751C" w:rsidRPr="00C4084C">
        <w:t>alumni</w:t>
      </w:r>
      <w:r w:rsidR="003F337F" w:rsidRPr="00C4084C">
        <w:t xml:space="preserve">, </w:t>
      </w:r>
      <w:r w:rsidRPr="00C4084C">
        <w:t>and all levels of government.</w:t>
      </w:r>
      <w:r w:rsidR="00B978FE" w:rsidRPr="00C4084C">
        <w:t xml:space="preserve"> </w:t>
      </w:r>
    </w:p>
    <w:p w14:paraId="0E38743B" w14:textId="03D70757" w:rsidR="006557D1" w:rsidRPr="00C4084C" w:rsidRDefault="006557D1" w:rsidP="00DB0D5B">
      <w:r w:rsidRPr="00C4084C">
        <w:t xml:space="preserve">As convenor of the </w:t>
      </w:r>
      <w:r w:rsidR="002C1890" w:rsidRPr="00C4084C">
        <w:t>ongoing process of consultation</w:t>
      </w:r>
      <w:r w:rsidRPr="00C4084C">
        <w:t xml:space="preserve">, the </w:t>
      </w:r>
      <w:r w:rsidR="00E339A6" w:rsidRPr="00C4084C">
        <w:t>Commission</w:t>
      </w:r>
      <w:r w:rsidRPr="00C4084C">
        <w:t xml:space="preserve"> would be guided by the National Tertiary Education Objective and charged with responsibility to build and maintain a coalition of stakeholders to drive the </w:t>
      </w:r>
      <w:r w:rsidR="001D4FFE" w:rsidRPr="00C4084C">
        <w:t xml:space="preserve">Review’s </w:t>
      </w:r>
      <w:r w:rsidRPr="00C4084C">
        <w:t xml:space="preserve">reforms, identify effective ways to leverage the collective resources of the </w:t>
      </w:r>
      <w:r w:rsidR="003C49E7" w:rsidRPr="00C4084C">
        <w:t xml:space="preserve">tertiary education system </w:t>
      </w:r>
      <w:r w:rsidRPr="00C4084C">
        <w:t xml:space="preserve">to deliver better outcomes, and ensure the </w:t>
      </w:r>
      <w:r w:rsidR="003C49E7" w:rsidRPr="00C4084C">
        <w:t xml:space="preserve">tertiary education </w:t>
      </w:r>
      <w:r w:rsidRPr="00C4084C">
        <w:t>system is responding to meet the changing needs of society.</w:t>
      </w:r>
      <w:r w:rsidR="001D4FFE" w:rsidRPr="00C4084C">
        <w:t xml:space="preserve"> </w:t>
      </w:r>
      <w:r w:rsidR="00A03044" w:rsidRPr="00C4084C">
        <w:t xml:space="preserve">As discussed further in </w:t>
      </w:r>
      <w:fldSimple w:instr="REF _Ref153468180 \r  \* MERGEFORMAT">
        <w:r w:rsidR="00467B4F" w:rsidRPr="00467B4F">
          <w:rPr>
            <w:i/>
          </w:rPr>
          <w:t xml:space="preserve">Chapter 9 </w:t>
        </w:r>
        <w:r w:rsidR="00467B4F">
          <w:t xml:space="preserve">– </w:t>
        </w:r>
      </w:fldSimple>
      <w:r w:rsidR="00C20048" w:rsidRPr="00C4084C">
        <w:rPr>
          <w:i/>
        </w:rPr>
        <w:fldChar w:fldCharType="begin"/>
      </w:r>
      <w:r w:rsidR="00C20048" w:rsidRPr="00C4084C">
        <w:rPr>
          <w:i/>
        </w:rPr>
        <w:instrText xml:space="preserve"> REF _Ref153468180 \h  \* MERGEFORMAT </w:instrText>
      </w:r>
      <w:r w:rsidR="00C20048" w:rsidRPr="00C4084C">
        <w:rPr>
          <w:i/>
        </w:rPr>
      </w:r>
      <w:r w:rsidR="00C20048" w:rsidRPr="00C4084C">
        <w:rPr>
          <w:i/>
        </w:rPr>
        <w:fldChar w:fldCharType="separate"/>
      </w:r>
      <w:r w:rsidR="00467B4F" w:rsidRPr="00467B4F">
        <w:rPr>
          <w:i/>
        </w:rPr>
        <w:t>In closing</w:t>
      </w:r>
      <w:r w:rsidR="00C20048" w:rsidRPr="00C4084C">
        <w:rPr>
          <w:i/>
        </w:rPr>
        <w:fldChar w:fldCharType="end"/>
      </w:r>
      <w:r w:rsidR="00A03044" w:rsidRPr="00C4084C">
        <w:t>, i</w:t>
      </w:r>
      <w:r w:rsidR="006244FB" w:rsidRPr="00C4084C">
        <w:t>n advance of the establishment of</w:t>
      </w:r>
      <w:r w:rsidR="001D4FFE" w:rsidRPr="00C4084C">
        <w:t xml:space="preserve"> the Commission, </w:t>
      </w:r>
      <w:r w:rsidR="003C49E7" w:rsidRPr="00C4084C">
        <w:t xml:space="preserve">the Review recommends </w:t>
      </w:r>
      <w:r w:rsidR="004561F2">
        <w:t xml:space="preserve">that </w:t>
      </w:r>
      <w:r w:rsidR="001D4FFE" w:rsidRPr="00C4084C">
        <w:t xml:space="preserve">a </w:t>
      </w:r>
      <w:r w:rsidR="00F87F6E" w:rsidRPr="00C4084C">
        <w:t>time-limited I</w:t>
      </w:r>
      <w:r w:rsidR="001D4FFE" w:rsidRPr="00C4084C">
        <w:t xml:space="preserve">mplementation </w:t>
      </w:r>
      <w:r w:rsidR="00F87F6E" w:rsidRPr="00C4084C">
        <w:t>Advisory C</w:t>
      </w:r>
      <w:r w:rsidR="001D4FFE" w:rsidRPr="00C4084C">
        <w:t xml:space="preserve">ommittee </w:t>
      </w:r>
      <w:r w:rsidR="00A03044" w:rsidRPr="00C4084C">
        <w:t xml:space="preserve">maintain the pace of reform, </w:t>
      </w:r>
      <w:r w:rsidR="001D4FFE" w:rsidRPr="00C4084C">
        <w:t>advis</w:t>
      </w:r>
      <w:r w:rsidR="00A03044" w:rsidRPr="00C4084C">
        <w:t>ing</w:t>
      </w:r>
      <w:r w:rsidR="001D4FFE" w:rsidRPr="00C4084C">
        <w:t xml:space="preserve"> the Commonwealth Minister for Education </w:t>
      </w:r>
      <w:r w:rsidR="00881DE5" w:rsidRPr="00C4084C">
        <w:t>on</w:t>
      </w:r>
      <w:r w:rsidR="001D4FFE" w:rsidRPr="00C4084C">
        <w:t xml:space="preserve"> </w:t>
      </w:r>
      <w:r w:rsidR="00A03044" w:rsidRPr="00C4084C">
        <w:t>the</w:t>
      </w:r>
      <w:r w:rsidR="001D4FFE" w:rsidRPr="00C4084C">
        <w:t xml:space="preserve"> implementation of the Review’s recommendations</w:t>
      </w:r>
      <w:r w:rsidR="00D21DDB" w:rsidRPr="00C4084C">
        <w:t xml:space="preserve"> (see Recommendation </w:t>
      </w:r>
      <w:r w:rsidR="00210D12" w:rsidRPr="00C4084C">
        <w:t>44</w:t>
      </w:r>
      <w:r w:rsidR="00D21DDB" w:rsidRPr="00C4084C">
        <w:t>)</w:t>
      </w:r>
      <w:r w:rsidR="001D4FFE" w:rsidRPr="00C4084C">
        <w:t>.</w:t>
      </w:r>
    </w:p>
    <w:p w14:paraId="53EE82D8" w14:textId="77777777" w:rsidR="00D15670" w:rsidRPr="00C4084C" w:rsidRDefault="00D15670" w:rsidP="00246C8D">
      <w:pPr>
        <w:pStyle w:val="Heading5"/>
      </w:pPr>
      <w:r w:rsidRPr="00C4084C">
        <w:t>A continued role for mission-based compacts</w:t>
      </w:r>
    </w:p>
    <w:p w14:paraId="31A7F4CA" w14:textId="55952684" w:rsidR="00A14420" w:rsidRPr="00C4084C" w:rsidRDefault="00A14420" w:rsidP="003D49DB">
      <w:r w:rsidRPr="00C4084C">
        <w:t xml:space="preserve">Higher education institutions </w:t>
      </w:r>
      <w:r w:rsidR="00700BCD" w:rsidRPr="00C4084C">
        <w:t>will</w:t>
      </w:r>
      <w:r w:rsidRPr="00C4084C">
        <w:t xml:space="preserve"> be critical </w:t>
      </w:r>
      <w:r w:rsidR="00780163" w:rsidRPr="00C4084C">
        <w:t>to</w:t>
      </w:r>
      <w:r w:rsidRPr="00C4084C">
        <w:t xml:space="preserve"> achieving the national targets set </w:t>
      </w:r>
      <w:r w:rsidR="001E41FC" w:rsidRPr="00C4084C">
        <w:t xml:space="preserve">by </w:t>
      </w:r>
      <w:r w:rsidRPr="00C4084C">
        <w:t>the</w:t>
      </w:r>
      <w:r w:rsidRPr="00C4084C" w:rsidDel="001E41FC">
        <w:t xml:space="preserve"> </w:t>
      </w:r>
      <w:r w:rsidR="001E41FC" w:rsidRPr="00C4084C">
        <w:t xml:space="preserve">Review </w:t>
      </w:r>
      <w:r w:rsidRPr="00C4084C">
        <w:t xml:space="preserve">and must be treated as active and valued partners. Mission-based compacts are currently agreements between the </w:t>
      </w:r>
      <w:r w:rsidR="003E5778" w:rsidRPr="00C4084C">
        <w:t>Australian Government</w:t>
      </w:r>
      <w:r w:rsidRPr="00C4084C">
        <w:t xml:space="preserve"> and </w:t>
      </w:r>
      <w:r w:rsidR="00731968">
        <w:t>each</w:t>
      </w:r>
      <w:r w:rsidR="00731968" w:rsidRPr="00C4084C">
        <w:t xml:space="preserve"> universit</w:t>
      </w:r>
      <w:r w:rsidR="00731968">
        <w:t>y</w:t>
      </w:r>
      <w:r w:rsidR="00D15670" w:rsidRPr="00C4084C">
        <w:t>. They</w:t>
      </w:r>
      <w:r w:rsidR="002036DE" w:rsidRPr="00C4084C">
        <w:t xml:space="preserve"> </w:t>
      </w:r>
      <w:r w:rsidRPr="00C4084C">
        <w:t>are required under</w:t>
      </w:r>
      <w:r w:rsidR="00A22933" w:rsidRPr="00C4084C">
        <w:t xml:space="preserve"> </w:t>
      </w:r>
      <w:r w:rsidR="00124B57">
        <w:t xml:space="preserve">the </w:t>
      </w:r>
      <w:r w:rsidR="00124B57" w:rsidRPr="00F50407">
        <w:rPr>
          <w:i/>
          <w:iCs/>
        </w:rPr>
        <w:t>Higher Education Support Act</w:t>
      </w:r>
      <w:r w:rsidR="00124B57" w:rsidRPr="00C4084C">
        <w:t xml:space="preserve"> </w:t>
      </w:r>
      <w:r w:rsidR="004E12D1" w:rsidRPr="00F50407">
        <w:rPr>
          <w:i/>
          <w:iCs/>
        </w:rPr>
        <w:t>2023</w:t>
      </w:r>
      <w:r w:rsidR="004E12D1">
        <w:t xml:space="preserve"> </w:t>
      </w:r>
      <w:r w:rsidRPr="00C4084C">
        <w:t xml:space="preserve">to outline a provider’s mission and priorities in key </w:t>
      </w:r>
      <w:r w:rsidR="00700BCD" w:rsidRPr="00C4084C">
        <w:t>areas</w:t>
      </w:r>
      <w:r w:rsidR="00124B57">
        <w:t>,</w:t>
      </w:r>
      <w:r w:rsidR="00700BCD" w:rsidRPr="00C4084C">
        <w:t xml:space="preserve"> yet</w:t>
      </w:r>
      <w:r w:rsidRPr="00C4084C">
        <w:t xml:space="preserve"> </w:t>
      </w:r>
      <w:r w:rsidR="00731968">
        <w:t xml:space="preserve">they </w:t>
      </w:r>
      <w:r w:rsidRPr="00C4084C">
        <w:t xml:space="preserve">lack </w:t>
      </w:r>
      <w:r w:rsidR="00731968">
        <w:t>real clout and strategic impact, including</w:t>
      </w:r>
      <w:r w:rsidR="00731968" w:rsidRPr="00C4084C">
        <w:t xml:space="preserve"> </w:t>
      </w:r>
      <w:r w:rsidRPr="00C4084C">
        <w:t xml:space="preserve">enforcement or incentive mechanisms. Through renewed </w:t>
      </w:r>
      <w:r w:rsidR="00731968">
        <w:t xml:space="preserve">and upgraded </w:t>
      </w:r>
      <w:r w:rsidRPr="00C4084C">
        <w:t xml:space="preserve">compacts, the </w:t>
      </w:r>
      <w:r w:rsidR="00E339A6" w:rsidRPr="00C4084C">
        <w:t>Commission</w:t>
      </w:r>
      <w:r w:rsidRPr="00C4084C">
        <w:t xml:space="preserve"> </w:t>
      </w:r>
      <w:r w:rsidR="00A3188C" w:rsidRPr="00C4084C">
        <w:t xml:space="preserve">could </w:t>
      </w:r>
      <w:r w:rsidRPr="00C4084C">
        <w:t xml:space="preserve">support institutions to deliver on their unique missions, supporting sector diversity and ability to deliver on local and national needs. </w:t>
      </w:r>
      <w:r w:rsidR="00F55930" w:rsidRPr="00C4084C">
        <w:t>The</w:t>
      </w:r>
      <w:r w:rsidRPr="00C4084C">
        <w:t xml:space="preserve"> </w:t>
      </w:r>
      <w:r w:rsidR="00E339A6" w:rsidRPr="00C4084C">
        <w:t>Commission</w:t>
      </w:r>
      <w:r w:rsidRPr="00C4084C">
        <w:t xml:space="preserve"> </w:t>
      </w:r>
      <w:r w:rsidR="00A3188C" w:rsidRPr="00C4084C">
        <w:t>c</w:t>
      </w:r>
      <w:r w:rsidR="1F741773" w:rsidRPr="00C4084C">
        <w:t>ould</w:t>
      </w:r>
      <w:r w:rsidR="00A3188C" w:rsidRPr="00C4084C">
        <w:t xml:space="preserve"> </w:t>
      </w:r>
      <w:r w:rsidRPr="00C4084C">
        <w:t xml:space="preserve">work with </w:t>
      </w:r>
      <w:r w:rsidR="003C49E7" w:rsidRPr="00C4084C">
        <w:t>universities</w:t>
      </w:r>
      <w:r w:rsidRPr="00C4084C">
        <w:t xml:space="preserve"> </w:t>
      </w:r>
      <w:r w:rsidRPr="00C4084C" w:rsidDel="00C452F6">
        <w:t>through</w:t>
      </w:r>
      <w:r w:rsidRPr="00C4084C">
        <w:t xml:space="preserve"> their</w:t>
      </w:r>
      <w:r w:rsidRPr="00C4084C" w:rsidDel="00C452F6">
        <w:t xml:space="preserve"> </w:t>
      </w:r>
      <w:r w:rsidRPr="00C4084C">
        <w:t>mission-based compacts to establish strategic priorities</w:t>
      </w:r>
      <w:r w:rsidR="00731968" w:rsidRPr="00731968">
        <w:t xml:space="preserve"> </w:t>
      </w:r>
      <w:r w:rsidR="00731968">
        <w:t>including by ensuring coordination and strategic alignment across the system, documented through the aggregated mission-based compacts from each university</w:t>
      </w:r>
      <w:r w:rsidRPr="00C4084C">
        <w:t>.</w:t>
      </w:r>
      <w:r w:rsidR="00C11940" w:rsidRPr="00C4084C">
        <w:t xml:space="preserve"> Mission</w:t>
      </w:r>
      <w:r w:rsidR="00125964" w:rsidRPr="00C4084C">
        <w:t>-</w:t>
      </w:r>
      <w:r w:rsidR="00C11940" w:rsidRPr="00C4084C">
        <w:t xml:space="preserve">based compacts will be the primary tool to grow </w:t>
      </w:r>
      <w:r w:rsidR="00A369B5" w:rsidRPr="00C4084C">
        <w:t xml:space="preserve">university </w:t>
      </w:r>
      <w:r w:rsidR="00C11940" w:rsidRPr="00C4084C">
        <w:t xml:space="preserve">aspiration and formalise </w:t>
      </w:r>
      <w:r w:rsidR="000A6737" w:rsidRPr="00C4084C">
        <w:t>institutions</w:t>
      </w:r>
      <w:r w:rsidR="00A16498" w:rsidRPr="00C4084C">
        <w:t>’</w:t>
      </w:r>
      <w:r w:rsidR="00C11940" w:rsidRPr="00C4084C" w:rsidDel="000A6737">
        <w:t xml:space="preserve"> </w:t>
      </w:r>
      <w:r w:rsidR="00C11940" w:rsidRPr="00C4084C">
        <w:t>contribution</w:t>
      </w:r>
      <w:r w:rsidR="000A6737" w:rsidRPr="00C4084C">
        <w:t>s</w:t>
      </w:r>
      <w:r w:rsidR="00C11940" w:rsidRPr="00C4084C">
        <w:t xml:space="preserve"> to meeting the national targets over time.</w:t>
      </w:r>
    </w:p>
    <w:p w14:paraId="1366C061" w14:textId="77777777" w:rsidR="00A14420" w:rsidRPr="00C4084C" w:rsidRDefault="00A14420" w:rsidP="00053747">
      <w:pPr>
        <w:pStyle w:val="Heading5"/>
      </w:pPr>
      <w:bookmarkStart w:id="1118" w:name="_Toc333382815"/>
      <w:bookmarkStart w:id="1119" w:name="_Toc101460281"/>
      <w:r w:rsidRPr="00C4084C">
        <w:t>Policy coordination and development</w:t>
      </w:r>
      <w:bookmarkEnd w:id="1118"/>
      <w:bookmarkEnd w:id="1119"/>
      <w:r w:rsidRPr="00C4084C">
        <w:t xml:space="preserve"> </w:t>
      </w:r>
    </w:p>
    <w:p w14:paraId="67EEF84B" w14:textId="6B7EF705" w:rsidR="00A14420" w:rsidRPr="00C4084C" w:rsidRDefault="00A14420" w:rsidP="003D49DB">
      <w:r w:rsidRPr="00C4084C">
        <w:t>Changing national demographics, global dynamics (geo-political and environmental) and advances in technology are just some of the challenges and opportunities</w:t>
      </w:r>
      <w:r w:rsidR="00A876CD" w:rsidRPr="00C4084C">
        <w:t xml:space="preserve"> for</w:t>
      </w:r>
      <w:r w:rsidRPr="00C4084C">
        <w:t xml:space="preserve"> the tertiary education </w:t>
      </w:r>
      <w:r w:rsidR="00EE6905" w:rsidRPr="00C4084C">
        <w:t>sy</w:t>
      </w:r>
      <w:r w:rsidR="00F87F6E" w:rsidRPr="00C4084C">
        <w:t>s</w:t>
      </w:r>
      <w:r w:rsidR="00EE6905" w:rsidRPr="00C4084C">
        <w:t xml:space="preserve">tem </w:t>
      </w:r>
      <w:r w:rsidRPr="00C4084C">
        <w:t xml:space="preserve">and Australia more broadly. The </w:t>
      </w:r>
      <w:r w:rsidR="00E339A6" w:rsidRPr="00C4084C">
        <w:t>Commission</w:t>
      </w:r>
      <w:r w:rsidRPr="00C4084C">
        <w:t xml:space="preserve"> would be responsible for proactively identifying and analysing </w:t>
      </w:r>
      <w:r w:rsidR="00A876CD" w:rsidRPr="00C4084C">
        <w:t xml:space="preserve">these </w:t>
      </w:r>
      <w:r w:rsidRPr="00C4084C">
        <w:t xml:space="preserve">challenges and opportunities from a </w:t>
      </w:r>
      <w:r w:rsidR="00A369B5" w:rsidRPr="00C4084C">
        <w:t xml:space="preserve">tertiary education </w:t>
      </w:r>
      <w:r w:rsidR="00EE6905" w:rsidRPr="00C4084C">
        <w:t>system</w:t>
      </w:r>
      <w:r w:rsidRPr="00C4084C">
        <w:t xml:space="preserve">-wide vantage point, then guiding the system through policy advice and coordination. </w:t>
      </w:r>
    </w:p>
    <w:p w14:paraId="55B831C8" w14:textId="1273D846" w:rsidR="00A14420" w:rsidRPr="00C4084C" w:rsidRDefault="00A14420" w:rsidP="003D49DB">
      <w:r w:rsidRPr="00C4084C">
        <w:t xml:space="preserve">It is important that the </w:t>
      </w:r>
      <w:r w:rsidR="00E339A6" w:rsidRPr="00C4084C">
        <w:t>Commission</w:t>
      </w:r>
      <w:r w:rsidRPr="00C4084C">
        <w:t xml:space="preserve"> be empowered to provide advice across all areas of </w:t>
      </w:r>
      <w:r w:rsidR="00A369B5" w:rsidRPr="00C4084C">
        <w:t xml:space="preserve">tertiary </w:t>
      </w:r>
      <w:r w:rsidRPr="00C4084C">
        <w:t>education</w:t>
      </w:r>
      <w:r w:rsidR="00A876CD" w:rsidRPr="00C4084C">
        <w:t>. This</w:t>
      </w:r>
      <w:r w:rsidRPr="00C4084C">
        <w:t xml:space="preserve"> advice </w:t>
      </w:r>
      <w:r w:rsidR="00BB074B" w:rsidRPr="00C4084C">
        <w:t xml:space="preserve">should </w:t>
      </w:r>
      <w:r w:rsidRPr="00C4084C">
        <w:t xml:space="preserve">be informed by its work in coordinating implementation of </w:t>
      </w:r>
      <w:r w:rsidR="00BB074B" w:rsidRPr="00C4084C">
        <w:t xml:space="preserve">the wide range of </w:t>
      </w:r>
      <w:r w:rsidR="00A4086B" w:rsidRPr="00C4084C">
        <w:t xml:space="preserve">the Review’s </w:t>
      </w:r>
      <w:r w:rsidRPr="00C4084C">
        <w:t>priorities</w:t>
      </w:r>
      <w:r w:rsidR="00BB074B" w:rsidRPr="00C4084C">
        <w:t>, including</w:t>
      </w:r>
      <w:r w:rsidRPr="00C4084C">
        <w:t>:</w:t>
      </w:r>
    </w:p>
    <w:p w14:paraId="165AAC03" w14:textId="77777777" w:rsidR="00A14420" w:rsidRPr="00C4084C" w:rsidRDefault="00A14420" w:rsidP="00861594">
      <w:pPr>
        <w:pStyle w:val="ListBullet"/>
      </w:pPr>
      <w:r w:rsidRPr="00C4084C">
        <w:t>learning and teaching policy</w:t>
      </w:r>
    </w:p>
    <w:p w14:paraId="2F85A736" w14:textId="77777777" w:rsidR="00A14420" w:rsidRPr="00C4084C" w:rsidRDefault="00A14420" w:rsidP="00861594">
      <w:pPr>
        <w:pStyle w:val="ListBullet"/>
      </w:pPr>
      <w:r w:rsidRPr="00C4084C">
        <w:t>research and research training policy</w:t>
      </w:r>
    </w:p>
    <w:p w14:paraId="356C9E55" w14:textId="77777777" w:rsidR="00A14420" w:rsidRPr="00C4084C" w:rsidRDefault="00A14420" w:rsidP="00861594">
      <w:pPr>
        <w:pStyle w:val="ListBullet"/>
      </w:pPr>
      <w:r w:rsidRPr="00C4084C">
        <w:t>community engagement policy</w:t>
      </w:r>
    </w:p>
    <w:p w14:paraId="2302E2F2" w14:textId="77777777" w:rsidR="00A14420" w:rsidRPr="00C4084C" w:rsidRDefault="00A14420" w:rsidP="00861594">
      <w:pPr>
        <w:pStyle w:val="ListBullet"/>
      </w:pPr>
      <w:r w:rsidRPr="00C4084C">
        <w:t>international education policy.</w:t>
      </w:r>
    </w:p>
    <w:p w14:paraId="40C91D01" w14:textId="504569A0" w:rsidR="00A14420" w:rsidRPr="00C4084C" w:rsidRDefault="00A14420" w:rsidP="003D49DB">
      <w:r w:rsidRPr="00C4084C">
        <w:t xml:space="preserve">The </w:t>
      </w:r>
      <w:r w:rsidR="00E339A6" w:rsidRPr="00C4084C">
        <w:t>Commission</w:t>
      </w:r>
      <w:r w:rsidRPr="00C4084C">
        <w:t xml:space="preserve">’s policy function would draw on expertise </w:t>
      </w:r>
      <w:r w:rsidR="00BB074B" w:rsidRPr="00C4084C">
        <w:t xml:space="preserve">across the tertiary </w:t>
      </w:r>
      <w:r w:rsidR="000A6737" w:rsidRPr="00C4084C">
        <w:t xml:space="preserve">education </w:t>
      </w:r>
      <w:r w:rsidR="00EE6905" w:rsidRPr="00C4084C">
        <w:t xml:space="preserve">system </w:t>
      </w:r>
      <w:r w:rsidRPr="00C4084C">
        <w:t xml:space="preserve">to advise on what is needed across portfolios </w:t>
      </w:r>
      <w:r w:rsidRPr="00C4084C" w:rsidDel="00341B66">
        <w:t xml:space="preserve">and </w:t>
      </w:r>
      <w:r w:rsidRPr="00C4084C">
        <w:t xml:space="preserve">align sector settings </w:t>
      </w:r>
      <w:r w:rsidR="000A6737" w:rsidRPr="00C4084C">
        <w:t>with</w:t>
      </w:r>
      <w:r w:rsidRPr="00C4084C">
        <w:t xml:space="preserve"> input from </w:t>
      </w:r>
      <w:r w:rsidR="00676039" w:rsidRPr="00C4084C">
        <w:t xml:space="preserve">ongoing consultation </w:t>
      </w:r>
      <w:r w:rsidRPr="00C4084C">
        <w:t xml:space="preserve">and national priorities. The </w:t>
      </w:r>
      <w:r w:rsidR="00E339A6" w:rsidRPr="00C4084C">
        <w:t>Commission</w:t>
      </w:r>
      <w:r w:rsidRPr="00C4084C">
        <w:t xml:space="preserve"> would need to work closely with </w:t>
      </w:r>
      <w:r w:rsidR="003E5778" w:rsidRPr="00C4084C">
        <w:t xml:space="preserve">Australian </w:t>
      </w:r>
      <w:r w:rsidRPr="00C4084C">
        <w:t>Government agencies (such as the Departments of Education</w:t>
      </w:r>
      <w:r w:rsidR="00316BDF">
        <w:t>,</w:t>
      </w:r>
      <w:r w:rsidR="00673C5A" w:rsidRPr="00C4084C">
        <w:t xml:space="preserve"> </w:t>
      </w:r>
      <w:r w:rsidR="00316BDF" w:rsidRPr="00C4084C">
        <w:t>Employment and Workplace Relations</w:t>
      </w:r>
      <w:r w:rsidR="00316BDF">
        <w:t>, and</w:t>
      </w:r>
      <w:r w:rsidR="00316BDF" w:rsidRPr="00C4084C">
        <w:t xml:space="preserve"> </w:t>
      </w:r>
      <w:r w:rsidRPr="00C4084C">
        <w:t xml:space="preserve">Industry, Science and Resources) and their related bodies, </w:t>
      </w:r>
      <w:r w:rsidR="009B6F7F" w:rsidRPr="00C4084C">
        <w:t xml:space="preserve">with Jobs and Skills Australia regarding the areas of national skills needs </w:t>
      </w:r>
      <w:r w:rsidR="00BD19A1" w:rsidRPr="00C4084C">
        <w:t xml:space="preserve">to inform target setting and national priorities </w:t>
      </w:r>
      <w:r w:rsidR="00BD19A1" w:rsidRPr="00C4084C">
        <w:lastRenderedPageBreak/>
        <w:t>in education,</w:t>
      </w:r>
      <w:r w:rsidR="009B6F7F" w:rsidRPr="00C4084C">
        <w:t xml:space="preserve"> </w:t>
      </w:r>
      <w:r w:rsidRPr="00C4084C">
        <w:t xml:space="preserve">and with state and territory governments, which </w:t>
      </w:r>
      <w:r w:rsidR="001B3B7E" w:rsidRPr="00C4084C">
        <w:t xml:space="preserve">are </w:t>
      </w:r>
      <w:r w:rsidR="004C735B" w:rsidRPr="00C4084C">
        <w:t xml:space="preserve">jointly </w:t>
      </w:r>
      <w:r w:rsidR="001B3B7E" w:rsidRPr="00C4084C">
        <w:t xml:space="preserve">responsible for </w:t>
      </w:r>
      <w:r w:rsidR="7EEE8B3B" w:rsidRPr="00C4084C">
        <w:t>VET</w:t>
      </w:r>
      <w:r w:rsidR="001B3B7E" w:rsidRPr="00C4084C">
        <w:t xml:space="preserve"> policy, </w:t>
      </w:r>
      <w:proofErr w:type="gramStart"/>
      <w:r w:rsidR="004C735B" w:rsidRPr="00C4084C">
        <w:t>funding</w:t>
      </w:r>
      <w:proofErr w:type="gramEnd"/>
      <w:r w:rsidR="004C735B" w:rsidRPr="00C4084C">
        <w:t xml:space="preserve"> and delivery</w:t>
      </w:r>
      <w:r w:rsidRPr="00C4084C">
        <w:t>.</w:t>
      </w:r>
      <w:r w:rsidR="00F13B00" w:rsidRPr="00C4084C">
        <w:t xml:space="preserve"> </w:t>
      </w:r>
    </w:p>
    <w:p w14:paraId="7E6A86F3" w14:textId="10D20AD1" w:rsidR="00A14420" w:rsidRPr="00C4084C" w:rsidRDefault="00A14420" w:rsidP="00566E68">
      <w:pPr>
        <w:pStyle w:val="Heading5"/>
      </w:pPr>
      <w:bookmarkStart w:id="1120" w:name="_Toc150600344"/>
      <w:bookmarkStart w:id="1121" w:name="_Toc1703254006"/>
      <w:bookmarkStart w:id="1122" w:name="_Toc85618799"/>
      <w:r w:rsidRPr="00C4084C">
        <w:t xml:space="preserve">Planning for the future: fostering </w:t>
      </w:r>
      <w:bookmarkEnd w:id="1120"/>
      <w:bookmarkEnd w:id="1121"/>
      <w:bookmarkEnd w:id="1122"/>
      <w:r w:rsidR="00B82BBF" w:rsidRPr="00C4084C">
        <w:t xml:space="preserve">diverse tertiary education </w:t>
      </w:r>
      <w:proofErr w:type="gramStart"/>
      <w:r w:rsidR="00B82BBF" w:rsidRPr="00C4084C">
        <w:t>provision</w:t>
      </w:r>
      <w:proofErr w:type="gramEnd"/>
    </w:p>
    <w:p w14:paraId="57C82571" w14:textId="11F210DF" w:rsidR="00A14420" w:rsidRPr="00C4084C" w:rsidRDefault="00A14420" w:rsidP="003D49DB">
      <w:r w:rsidRPr="00C4084C">
        <w:t xml:space="preserve">Deliberate, </w:t>
      </w:r>
      <w:proofErr w:type="gramStart"/>
      <w:r w:rsidRPr="00C4084C">
        <w:t>collaborative</w:t>
      </w:r>
      <w:proofErr w:type="gramEnd"/>
      <w:r w:rsidRPr="00C4084C">
        <w:t xml:space="preserve"> and systematic effort is required to deliver on the national priorities identified in this </w:t>
      </w:r>
      <w:r w:rsidR="000775DD">
        <w:t>R</w:t>
      </w:r>
      <w:r w:rsidRPr="00C4084C">
        <w:t xml:space="preserve">eport. This effort will come in the form of planning, with an eye </w:t>
      </w:r>
      <w:r w:rsidR="00780163" w:rsidRPr="00C4084C">
        <w:t xml:space="preserve">to </w:t>
      </w:r>
      <w:r w:rsidRPr="00C4084C">
        <w:t xml:space="preserve">structural change and growth </w:t>
      </w:r>
      <w:r w:rsidR="00F13B00" w:rsidRPr="00C4084C">
        <w:t>responding to</w:t>
      </w:r>
      <w:r w:rsidRPr="00C4084C">
        <w:t xml:space="preserve"> the future </w:t>
      </w:r>
      <w:r w:rsidR="00A369B5" w:rsidRPr="00C4084C">
        <w:t xml:space="preserve">tertiary education </w:t>
      </w:r>
      <w:r w:rsidRPr="00C4084C">
        <w:t xml:space="preserve">needs of </w:t>
      </w:r>
      <w:r w:rsidR="00A369B5" w:rsidRPr="00C4084C">
        <w:t>Australia</w:t>
      </w:r>
      <w:r w:rsidRPr="00C4084C">
        <w:t xml:space="preserve">. </w:t>
      </w:r>
    </w:p>
    <w:p w14:paraId="345141FC" w14:textId="0EA654EF" w:rsidR="00A14420" w:rsidRPr="00C4084C" w:rsidRDefault="00B82BBF" w:rsidP="003D49DB">
      <w:r w:rsidRPr="00C4084C">
        <w:t>It is proposed that the</w:t>
      </w:r>
      <w:r w:rsidR="00A14420" w:rsidRPr="00C4084C">
        <w:t xml:space="preserve"> </w:t>
      </w:r>
      <w:r w:rsidR="00E339A6" w:rsidRPr="00C4084C">
        <w:t>Commission</w:t>
      </w:r>
      <w:r w:rsidR="00A14420" w:rsidRPr="00C4084C">
        <w:t xml:space="preserve"> would coordinate efforts and inputs across the </w:t>
      </w:r>
      <w:r w:rsidR="00911B26" w:rsidRPr="00C4084C">
        <w:t>tertiary</w:t>
      </w:r>
      <w:r w:rsidR="00A369B5" w:rsidRPr="00C4084C">
        <w:t xml:space="preserve"> education</w:t>
      </w:r>
      <w:r w:rsidR="00A14420" w:rsidRPr="00C4084C">
        <w:t xml:space="preserve"> sector</w:t>
      </w:r>
      <w:r w:rsidRPr="00C4084C">
        <w:t xml:space="preserve">, in cooperation with the states and territories </w:t>
      </w:r>
      <w:r w:rsidR="00A14420" w:rsidRPr="00C4084C">
        <w:t>and across jurisdictions</w:t>
      </w:r>
      <w:r w:rsidR="00BB074B" w:rsidRPr="00C4084C">
        <w:t xml:space="preserve"> </w:t>
      </w:r>
      <w:r w:rsidR="005F5A21">
        <w:t>to</w:t>
      </w:r>
      <w:r w:rsidR="005F5A21" w:rsidRPr="00C4084C">
        <w:t xml:space="preserve"> </w:t>
      </w:r>
      <w:r w:rsidR="00BB074B" w:rsidRPr="00C4084C">
        <w:t>meet these national priorities</w:t>
      </w:r>
      <w:r w:rsidR="00A14420" w:rsidRPr="00C4084C">
        <w:t xml:space="preserve">. </w:t>
      </w:r>
      <w:r w:rsidR="00700BCD" w:rsidRPr="00C4084C">
        <w:t>To</w:t>
      </w:r>
      <w:r w:rsidR="009120E0" w:rsidRPr="00C4084C">
        <w:t xml:space="preserve"> </w:t>
      </w:r>
      <w:r w:rsidR="00A14420" w:rsidRPr="00C4084C">
        <w:t>fully achieve this role, its planning functions should include:</w:t>
      </w:r>
    </w:p>
    <w:p w14:paraId="2C5D2389" w14:textId="538434D4" w:rsidR="00A14420" w:rsidRPr="00C4084C" w:rsidRDefault="00A14420" w:rsidP="00861594">
      <w:pPr>
        <w:pStyle w:val="ListBullet"/>
      </w:pPr>
      <w:r w:rsidRPr="00C4084C">
        <w:rPr>
          <w:b/>
          <w:bCs/>
        </w:rPr>
        <w:t xml:space="preserve">Strategic planning: </w:t>
      </w:r>
      <w:r w:rsidRPr="00C4084C">
        <w:t>Monitor the need for system change and actively coordinat</w:t>
      </w:r>
      <w:r w:rsidR="009120E0" w:rsidRPr="00C4084C">
        <w:t>e</w:t>
      </w:r>
      <w:r w:rsidRPr="00C4084C">
        <w:t xml:space="preserve"> structural adjustment to get there</w:t>
      </w:r>
      <w:r w:rsidR="00E0325D" w:rsidRPr="00C4084C">
        <w:t xml:space="preserve">, </w:t>
      </w:r>
      <w:r w:rsidRPr="00C4084C">
        <w:t>including identify</w:t>
      </w:r>
      <w:r w:rsidR="00F13B00" w:rsidRPr="00C4084C">
        <w:t>ing</w:t>
      </w:r>
      <w:r w:rsidRPr="00C4084C">
        <w:t xml:space="preserve"> future needs and advise on managing volume increase across the system</w:t>
      </w:r>
      <w:r w:rsidR="00AC775C" w:rsidRPr="00C4084C">
        <w:t>,</w:t>
      </w:r>
      <w:r w:rsidRPr="00C4084C">
        <w:t xml:space="preserve"> undertake feasibility assessments for new institutions, identify geographic areas of under-provision including outer suburban, rural, regional</w:t>
      </w:r>
      <w:r w:rsidR="00AA274C" w:rsidRPr="00C4084C">
        <w:t xml:space="preserve"> and</w:t>
      </w:r>
      <w:r w:rsidRPr="00C4084C">
        <w:t xml:space="preserve"> remote areas, and negotiate mission-based compacts with </w:t>
      </w:r>
      <w:r w:rsidR="00E0325D" w:rsidRPr="00C4084C">
        <w:t xml:space="preserve">higher education </w:t>
      </w:r>
      <w:r w:rsidRPr="00C4084C">
        <w:t>providers to support sector diversity and ability to deliver on local and national needs</w:t>
      </w:r>
    </w:p>
    <w:p w14:paraId="0C290116" w14:textId="11EB79A4" w:rsidR="00A14420" w:rsidRPr="00C4084C" w:rsidRDefault="00A14420" w:rsidP="00861594">
      <w:pPr>
        <w:pStyle w:val="ListBullet"/>
      </w:pPr>
      <w:r w:rsidRPr="00C4084C">
        <w:rPr>
          <w:b/>
          <w:bCs/>
        </w:rPr>
        <w:t>Awareness and assessment:</w:t>
      </w:r>
      <w:r w:rsidRPr="00C4084C">
        <w:t xml:space="preserve"> </w:t>
      </w:r>
      <w:r w:rsidR="003E0EE3" w:rsidRPr="00C4084C">
        <w:t>Showcase the scalability of</w:t>
      </w:r>
      <w:r w:rsidRPr="00C4084C">
        <w:t xml:space="preserve"> excellence and innovation</w:t>
      </w:r>
      <w:r w:rsidR="00AC775C" w:rsidRPr="00C4084C">
        <w:t xml:space="preserve">, </w:t>
      </w:r>
      <w:r w:rsidRPr="00C4084C">
        <w:t xml:space="preserve">manage insights and sharing of best practice across the whole tertiary </w:t>
      </w:r>
      <w:r w:rsidR="00BC0169" w:rsidRPr="00C4084C">
        <w:t xml:space="preserve">education </w:t>
      </w:r>
      <w:r w:rsidR="00E0325D" w:rsidRPr="00C4084C">
        <w:t>system</w:t>
      </w:r>
      <w:r w:rsidR="00AC775C" w:rsidRPr="00C4084C">
        <w:t xml:space="preserve">, </w:t>
      </w:r>
      <w:r w:rsidRPr="00C4084C">
        <w:t xml:space="preserve">identify and </w:t>
      </w:r>
      <w:r w:rsidR="00E0325D" w:rsidRPr="00C4084C">
        <w:t xml:space="preserve">reduce </w:t>
      </w:r>
      <w:r w:rsidRPr="00C4084C">
        <w:t xml:space="preserve">duplication of effort and </w:t>
      </w:r>
      <w:proofErr w:type="gramStart"/>
      <w:r w:rsidRPr="00C4084C">
        <w:t>activity</w:t>
      </w:r>
      <w:proofErr w:type="gramEnd"/>
    </w:p>
    <w:p w14:paraId="1C1B52F4" w14:textId="33EA1946" w:rsidR="00A14420" w:rsidRPr="00C4084C" w:rsidRDefault="00A14420" w:rsidP="00861594">
      <w:pPr>
        <w:pStyle w:val="ListBullet"/>
      </w:pPr>
      <w:r w:rsidRPr="00C4084C">
        <w:rPr>
          <w:b/>
          <w:bCs/>
        </w:rPr>
        <w:t>Allocation</w:t>
      </w:r>
      <w:r w:rsidRPr="00C4084C">
        <w:t xml:space="preserve">: Translate JSA’s </w:t>
      </w:r>
      <w:r w:rsidR="008B034E" w:rsidRPr="00C4084C">
        <w:t xml:space="preserve">projections </w:t>
      </w:r>
      <w:r w:rsidRPr="00C4084C">
        <w:t xml:space="preserve">on skills needs into a system-level view of </w:t>
      </w:r>
      <w:r w:rsidR="00BC0169" w:rsidRPr="00C4084C">
        <w:t xml:space="preserve">student </w:t>
      </w:r>
      <w:r w:rsidRPr="00C4084C">
        <w:t xml:space="preserve">load and delivery against targets; plan for future growth of the system </w:t>
      </w:r>
      <w:r w:rsidR="00580377">
        <w:t>with</w:t>
      </w:r>
      <w:r w:rsidR="00580377" w:rsidRPr="00C4084C">
        <w:t xml:space="preserve"> </w:t>
      </w:r>
      <w:r w:rsidRPr="00C4084C">
        <w:t>individual providers through negotiation of mission-based compacts</w:t>
      </w:r>
    </w:p>
    <w:p w14:paraId="5F4A29B0" w14:textId="36D858F0" w:rsidR="00A14420" w:rsidRPr="00C4084C" w:rsidRDefault="00A14420" w:rsidP="00861594">
      <w:pPr>
        <w:pStyle w:val="ListBullet"/>
      </w:pPr>
      <w:r w:rsidRPr="00C4084C">
        <w:rPr>
          <w:b/>
          <w:bCs/>
        </w:rPr>
        <w:t xml:space="preserve">Tertiary </w:t>
      </w:r>
      <w:r w:rsidR="00F13B00" w:rsidRPr="00C4084C">
        <w:rPr>
          <w:b/>
          <w:bCs/>
        </w:rPr>
        <w:t xml:space="preserve">education </w:t>
      </w:r>
      <w:r w:rsidRPr="00C4084C">
        <w:rPr>
          <w:b/>
          <w:bCs/>
        </w:rPr>
        <w:t>alignment</w:t>
      </w:r>
      <w:r w:rsidRPr="00C4084C">
        <w:t>: Provide advice on alignment between the higher education and VET sectors</w:t>
      </w:r>
      <w:r w:rsidR="00E17D5C" w:rsidRPr="00C4084C">
        <w:t xml:space="preserve">, </w:t>
      </w:r>
      <w:r w:rsidRPr="00C4084C">
        <w:t xml:space="preserve">convene stakeholders to address shared challenges and deliver on national </w:t>
      </w:r>
      <w:proofErr w:type="gramStart"/>
      <w:r w:rsidRPr="00C4084C">
        <w:t>priorities</w:t>
      </w:r>
      <w:proofErr w:type="gramEnd"/>
    </w:p>
    <w:p w14:paraId="3B2E36FB" w14:textId="24D8C61B" w:rsidR="00A14420" w:rsidRPr="00C4084C" w:rsidRDefault="00A14420" w:rsidP="00861594">
      <w:pPr>
        <w:pStyle w:val="ListBullet"/>
      </w:pPr>
      <w:r w:rsidRPr="00C4084C">
        <w:rPr>
          <w:b/>
          <w:bCs/>
        </w:rPr>
        <w:t>Consultation and representation</w:t>
      </w:r>
      <w:r w:rsidRPr="00C4084C">
        <w:t xml:space="preserve">: Provide avenues for stakeholder representation and contribution to the planning and improvement of the tertiary </w:t>
      </w:r>
      <w:r w:rsidR="00556958" w:rsidRPr="00C4084C">
        <w:t>education</w:t>
      </w:r>
      <w:r w:rsidR="00780163" w:rsidRPr="00C4084C">
        <w:t xml:space="preserve"> </w:t>
      </w:r>
      <w:proofErr w:type="gramStart"/>
      <w:r w:rsidRPr="00C4084C">
        <w:t>sector</w:t>
      </w:r>
      <w:proofErr w:type="gramEnd"/>
    </w:p>
    <w:p w14:paraId="3C05F405" w14:textId="304D4155" w:rsidR="005F5A21" w:rsidRPr="005F5A21" w:rsidRDefault="00CB1B08" w:rsidP="005F5A21">
      <w:pPr>
        <w:pStyle w:val="ListBullet"/>
      </w:pPr>
      <w:r w:rsidRPr="00C4084C">
        <w:rPr>
          <w:b/>
          <w:bCs/>
        </w:rPr>
        <w:t>International education</w:t>
      </w:r>
      <w:r w:rsidRPr="00C4084C">
        <w:t xml:space="preserve">: Monitor patterns in enrolments across the sector, </w:t>
      </w:r>
      <w:proofErr w:type="gramStart"/>
      <w:r w:rsidRPr="00C4084C">
        <w:t>in order to</w:t>
      </w:r>
      <w:proofErr w:type="gramEnd"/>
      <w:r w:rsidRPr="00C4084C">
        <w:t xml:space="preserve"> identify risks to the sustainability of the sector and the quality of all students’ experience</w:t>
      </w:r>
      <w:r w:rsidR="005F5A21">
        <w:t>.</w:t>
      </w:r>
    </w:p>
    <w:p w14:paraId="77000031" w14:textId="61557151" w:rsidR="00A14420" w:rsidRPr="00C4084C" w:rsidRDefault="00A14420" w:rsidP="00B1626C">
      <w:pPr>
        <w:pStyle w:val="Heading6"/>
        <w:rPr>
          <w:rFonts w:eastAsiaTheme="minorEastAsia"/>
        </w:rPr>
      </w:pPr>
      <w:bookmarkStart w:id="1123" w:name="_Toc105228416"/>
      <w:bookmarkStart w:id="1124" w:name="_Toc738473316"/>
      <w:r w:rsidRPr="00C4084C">
        <w:t>Fostering progress and engagement with First Nations</w:t>
      </w:r>
      <w:bookmarkEnd w:id="1123"/>
      <w:bookmarkEnd w:id="1124"/>
      <w:r w:rsidR="00B62A44" w:rsidRPr="00C4084C">
        <w:t xml:space="preserve"> peoples</w:t>
      </w:r>
    </w:p>
    <w:p w14:paraId="56143CCE" w14:textId="4130F612" w:rsidR="00A14420" w:rsidRPr="00C4084C" w:rsidRDefault="00A14420" w:rsidP="003D49DB">
      <w:r w:rsidRPr="00C4084C">
        <w:t xml:space="preserve">The Review’s Interim Report called for First Nations people to be at the heart of Australia’s higher education system. First Nations leadership and </w:t>
      </w:r>
      <w:r w:rsidR="00060567" w:rsidRPr="00C4084C">
        <w:t>self-determination</w:t>
      </w:r>
      <w:r w:rsidRPr="00C4084C">
        <w:t xml:space="preserve">, not just participation in </w:t>
      </w:r>
      <w:r w:rsidR="00060567" w:rsidRPr="00C4084C">
        <w:t>the tertiary education system</w:t>
      </w:r>
      <w:r w:rsidRPr="00C4084C">
        <w:t xml:space="preserve">, are central elements of </w:t>
      </w:r>
      <w:r w:rsidR="00B62A44" w:rsidRPr="00C4084C">
        <w:t>progress</w:t>
      </w:r>
      <w:r w:rsidRPr="00C4084C">
        <w:t>.</w:t>
      </w:r>
    </w:p>
    <w:p w14:paraId="0BF1AF67" w14:textId="77777777" w:rsidR="00BB074B" w:rsidRPr="00C4084C" w:rsidRDefault="00BB074B" w:rsidP="003D49DB">
      <w:r w:rsidRPr="00C4084C">
        <w:t>The Review has heard that First Nations governance will be key to moving towards self-determination and greater equity. Consistent with Closing the Gap priority reforms, self-determination offers the best chance for genuine and effective measures to support the success of First Nations people.</w:t>
      </w:r>
    </w:p>
    <w:p w14:paraId="6F1321F2" w14:textId="5D2A4D56" w:rsidR="00BB074B" w:rsidRPr="00C4084C" w:rsidRDefault="00BB074B" w:rsidP="003D49DB">
      <w:r w:rsidRPr="00C4084C">
        <w:t xml:space="preserve">For this reason, the Review proposes that the </w:t>
      </w:r>
      <w:r w:rsidR="00E339A6" w:rsidRPr="00C4084C">
        <w:t>Commission</w:t>
      </w:r>
      <w:r w:rsidRPr="00C4084C">
        <w:t xml:space="preserve"> have a dedicated First Nations Commissioner, who will lead a First Nations Council that oversees core elements of review and reform, </w:t>
      </w:r>
      <w:proofErr w:type="gramStart"/>
      <w:r w:rsidRPr="00C4084C">
        <w:t>policy</w:t>
      </w:r>
      <w:proofErr w:type="gramEnd"/>
      <w:r w:rsidRPr="00C4084C">
        <w:t xml:space="preserve"> and funding. These and other recommendations relating to First Nations </w:t>
      </w:r>
      <w:r w:rsidR="00B62A44" w:rsidRPr="00C4084C">
        <w:t xml:space="preserve">peoples </w:t>
      </w:r>
      <w:r w:rsidRPr="00C4084C">
        <w:t>are outlined in more detail later in this chapter.</w:t>
      </w:r>
    </w:p>
    <w:p w14:paraId="1968F847" w14:textId="77777777" w:rsidR="00A14420" w:rsidRPr="00C4084C" w:rsidRDefault="00A14420" w:rsidP="00F25BC5">
      <w:pPr>
        <w:pStyle w:val="Heading5"/>
      </w:pPr>
      <w:bookmarkStart w:id="1125" w:name="_Toc150600345"/>
      <w:bookmarkStart w:id="1126" w:name="_Toc755477948"/>
      <w:bookmarkStart w:id="1127" w:name="_Toc184562775"/>
      <w:r w:rsidRPr="00C4084C">
        <w:lastRenderedPageBreak/>
        <w:t>Funding allocation</w:t>
      </w:r>
      <w:bookmarkEnd w:id="1125"/>
      <w:r w:rsidRPr="00C4084C">
        <w:t xml:space="preserve"> and pricing</w:t>
      </w:r>
      <w:bookmarkEnd w:id="1126"/>
      <w:bookmarkEnd w:id="1127"/>
    </w:p>
    <w:p w14:paraId="6B098166" w14:textId="7B92AD62" w:rsidR="00A14420" w:rsidRPr="00C4084C" w:rsidRDefault="00E17D5C" w:rsidP="00F25BC5">
      <w:pPr>
        <w:pStyle w:val="Heading6"/>
      </w:pPr>
      <w:r w:rsidRPr="00C4084C">
        <w:t>F</w:t>
      </w:r>
      <w:r w:rsidR="00A14420" w:rsidRPr="00C4084C">
        <w:t>unding</w:t>
      </w:r>
      <w:r w:rsidRPr="00C4084C">
        <w:t xml:space="preserve"> for teaching</w:t>
      </w:r>
    </w:p>
    <w:p w14:paraId="66B61C70" w14:textId="728AFB2C" w:rsidR="00A14420" w:rsidRPr="00C4084C" w:rsidRDefault="00A14420" w:rsidP="003D49DB">
      <w:r w:rsidRPr="00C4084C">
        <w:t>An important role</w:t>
      </w:r>
      <w:r w:rsidR="00B62A44" w:rsidRPr="00C4084C">
        <w:t xml:space="preserve"> for the </w:t>
      </w:r>
      <w:r w:rsidR="00E339A6" w:rsidRPr="00C4084C">
        <w:t>Commission</w:t>
      </w:r>
      <w:r w:rsidRPr="00C4084C">
        <w:t xml:space="preserve"> will </w:t>
      </w:r>
      <w:r w:rsidR="00E55DFA" w:rsidRPr="00C4084C">
        <w:t xml:space="preserve">be </w:t>
      </w:r>
      <w:r w:rsidRPr="00C4084C">
        <w:t xml:space="preserve">to implement </w:t>
      </w:r>
      <w:r w:rsidR="00B62A44" w:rsidRPr="00C4084C">
        <w:t xml:space="preserve">the </w:t>
      </w:r>
      <w:r w:rsidRPr="00C4084C">
        <w:t xml:space="preserve">revised funding model for learning, </w:t>
      </w:r>
      <w:proofErr w:type="gramStart"/>
      <w:r w:rsidRPr="00C4084C">
        <w:t>teaching</w:t>
      </w:r>
      <w:proofErr w:type="gramEnd"/>
      <w:r w:rsidRPr="00C4084C">
        <w:t xml:space="preserve"> and scholarship</w:t>
      </w:r>
      <w:r w:rsidR="00380ECA" w:rsidRPr="00C4084C">
        <w:t xml:space="preserve">, described in detail in </w:t>
      </w:r>
      <w:r w:rsidR="00380ECA" w:rsidRPr="00C4084C">
        <w:rPr>
          <w:i/>
          <w:iCs/>
        </w:rPr>
        <w:t>Chapter 8 – A new funding model to underpin growth</w:t>
      </w:r>
      <w:r w:rsidRPr="00C4084C">
        <w:t xml:space="preserve">. </w:t>
      </w:r>
    </w:p>
    <w:p w14:paraId="736DF496" w14:textId="56A290E1" w:rsidR="00A14420" w:rsidRPr="00C4084C" w:rsidRDefault="00A14420" w:rsidP="003D49DB">
      <w:r w:rsidRPr="00C4084C">
        <w:t>Funding allocations</w:t>
      </w:r>
      <w:r w:rsidR="00060567" w:rsidRPr="00C4084C">
        <w:t xml:space="preserve"> for teaching</w:t>
      </w:r>
      <w:r w:rsidRPr="00C4084C">
        <w:t xml:space="preserve"> would be one mechanism the </w:t>
      </w:r>
      <w:r w:rsidR="2BA8BE7E" w:rsidRPr="00C4084C">
        <w:t>Commission</w:t>
      </w:r>
      <w:r w:rsidRPr="00C4084C">
        <w:t xml:space="preserve"> use</w:t>
      </w:r>
      <w:r w:rsidR="006F756D" w:rsidRPr="00C4084C">
        <w:t>s</w:t>
      </w:r>
      <w:r w:rsidRPr="00C4084C">
        <w:t xml:space="preserve"> to influence incentives in the system to encourage progress towards</w:t>
      </w:r>
      <w:r w:rsidR="00474BBD" w:rsidRPr="00C4084C">
        <w:t xml:space="preserve"> </w:t>
      </w:r>
      <w:r w:rsidR="00210D12" w:rsidRPr="00C4084C">
        <w:t>i</w:t>
      </w:r>
      <w:r w:rsidR="00474BBD" w:rsidRPr="00C4084C">
        <w:t xml:space="preserve">ncreased growth, equity, </w:t>
      </w:r>
      <w:proofErr w:type="gramStart"/>
      <w:r w:rsidR="00474BBD" w:rsidRPr="00C4084C">
        <w:t>quality</w:t>
      </w:r>
      <w:proofErr w:type="gramEnd"/>
      <w:r w:rsidR="00474BBD" w:rsidRPr="00C4084C">
        <w:t xml:space="preserve"> and responsiveness.</w:t>
      </w:r>
    </w:p>
    <w:p w14:paraId="5C4D2104" w14:textId="1067763F" w:rsidR="00A14420" w:rsidRPr="00C4084C" w:rsidRDefault="00A14420" w:rsidP="00861594">
      <w:pPr>
        <w:pStyle w:val="Heading6"/>
      </w:pPr>
      <w:r w:rsidRPr="00C4084C">
        <w:t xml:space="preserve">Pricing and costs </w:t>
      </w:r>
      <w:r w:rsidR="0005402F" w:rsidRPr="00C4084C">
        <w:t xml:space="preserve">of </w:t>
      </w:r>
      <w:r w:rsidRPr="00C4084C">
        <w:t>deliver</w:t>
      </w:r>
      <w:r w:rsidR="0005402F" w:rsidRPr="00C4084C">
        <w:t>y</w:t>
      </w:r>
    </w:p>
    <w:p w14:paraId="15F8807B" w14:textId="789B4F3B" w:rsidR="00A14420" w:rsidRPr="00C4084C" w:rsidRDefault="00A14420" w:rsidP="003D49DB">
      <w:r w:rsidRPr="00C4084C">
        <w:t xml:space="preserve">Since 2016, the Department of Education has engaged Deloitte </w:t>
      </w:r>
      <w:r w:rsidR="00202C7C" w:rsidRPr="00C4084C">
        <w:t xml:space="preserve">Access Economics </w:t>
      </w:r>
      <w:r w:rsidRPr="00C4084C">
        <w:t>to produce reports on university expenditure focused on the cost of course delivery</w:t>
      </w:r>
      <w:r w:rsidR="1EF3B88A" w:rsidRPr="00C4084C">
        <w:t>. This</w:t>
      </w:r>
      <w:r w:rsidR="0005402F" w:rsidRPr="00C4084C">
        <w:t xml:space="preserve"> w</w:t>
      </w:r>
      <w:r w:rsidRPr="00C4084C">
        <w:t>ork has attracted considerable criticism from universities</w:t>
      </w:r>
      <w:r w:rsidR="0059794F" w:rsidRPr="00C4084C">
        <w:t xml:space="preserve">, </w:t>
      </w:r>
      <w:r w:rsidR="00380ECA" w:rsidRPr="00C4084C">
        <w:t>including</w:t>
      </w:r>
      <w:r w:rsidR="0059794F" w:rsidRPr="00C4084C">
        <w:t xml:space="preserve"> that it does not </w:t>
      </w:r>
      <w:r w:rsidR="005B27CF" w:rsidRPr="00C4084C">
        <w:t>include costs associated with research or with new infrastructure and buildings. Further, it collects information on expenditure, rather than costs</w:t>
      </w:r>
      <w:r w:rsidR="00A649AA">
        <w:t>,</w:t>
      </w:r>
      <w:r w:rsidR="005B27CF" w:rsidRPr="00C4084C">
        <w:t xml:space="preserve"> and does not account for changing student demographics</w:t>
      </w:r>
      <w:r w:rsidRPr="00C4084C">
        <w:t>.</w:t>
      </w:r>
    </w:p>
    <w:p w14:paraId="3489BADB" w14:textId="31AB0A8E" w:rsidR="00C12553" w:rsidRPr="00C4084C" w:rsidRDefault="00A14420" w:rsidP="003D49DB">
      <w:pPr>
        <w:rPr>
          <w:rFonts w:ascii="Calibri" w:eastAsia="Calibri" w:hAnsi="Calibri" w:cs="Arial"/>
        </w:rPr>
      </w:pPr>
      <w:r w:rsidRPr="00C4084C">
        <w:t xml:space="preserve">To deliver the revised new funding model for learning, </w:t>
      </w:r>
      <w:proofErr w:type="gramStart"/>
      <w:r w:rsidRPr="00C4084C">
        <w:t>teaching</w:t>
      </w:r>
      <w:proofErr w:type="gramEnd"/>
      <w:r w:rsidRPr="00C4084C">
        <w:t xml:space="preserve"> and scholarship successfully, the system requires </w:t>
      </w:r>
      <w:r w:rsidR="005F5A21" w:rsidRPr="00C4084C">
        <w:t>a</w:t>
      </w:r>
      <w:r w:rsidR="005F5A21">
        <w:t xml:space="preserve"> significantly</w:t>
      </w:r>
      <w:r w:rsidR="005F5A21" w:rsidRPr="00C4084C">
        <w:t xml:space="preserve"> </w:t>
      </w:r>
      <w:r w:rsidRPr="00C4084C">
        <w:t xml:space="preserve">improved understanding of the efficient cost of delivering specific courses of study at individual </w:t>
      </w:r>
      <w:r w:rsidR="00380ECA" w:rsidRPr="00C4084C">
        <w:t xml:space="preserve">providers </w:t>
      </w:r>
      <w:r w:rsidRPr="00C4084C">
        <w:t xml:space="preserve">and across the </w:t>
      </w:r>
      <w:r w:rsidR="00380ECA" w:rsidRPr="00C4084C">
        <w:t>higher education</w:t>
      </w:r>
      <w:r w:rsidRPr="00C4084C">
        <w:t xml:space="preserve"> sector at large. </w:t>
      </w:r>
      <w:r w:rsidR="005F5A21">
        <w:t xml:space="preserve">This is particularly true for higher cost courses where providers face significant disincentives if costs are not covered. </w:t>
      </w:r>
      <w:r w:rsidR="00C12553" w:rsidRPr="00C4084C">
        <w:rPr>
          <w:rFonts w:ascii="Calibri" w:eastAsia="Calibri" w:hAnsi="Calibri" w:cs="Arial"/>
        </w:rPr>
        <w:t>Delivery costs change over</w:t>
      </w:r>
      <w:r w:rsidR="00C95545">
        <w:rPr>
          <w:rFonts w:ascii="Calibri" w:eastAsia="Calibri" w:hAnsi="Calibri" w:cs="Arial"/>
        </w:rPr>
        <w:t xml:space="preserve"> </w:t>
      </w:r>
      <w:r w:rsidR="00C12553" w:rsidRPr="00C4084C">
        <w:rPr>
          <w:rFonts w:ascii="Calibri" w:eastAsia="Calibri" w:hAnsi="Calibri" w:cs="Arial"/>
        </w:rPr>
        <w:t xml:space="preserve">time so understanding costs and setting prices is not a ‘set and forget’ exercise but </w:t>
      </w:r>
      <w:r w:rsidR="00380ECA" w:rsidRPr="00C4084C">
        <w:rPr>
          <w:rFonts w:ascii="Calibri" w:eastAsia="Calibri" w:hAnsi="Calibri" w:cs="Arial"/>
        </w:rPr>
        <w:t xml:space="preserve">must be </w:t>
      </w:r>
      <w:r w:rsidR="00C12553" w:rsidRPr="00C4084C">
        <w:rPr>
          <w:rFonts w:ascii="Calibri" w:eastAsia="Calibri" w:hAnsi="Calibri" w:cs="Arial"/>
        </w:rPr>
        <w:t>an ongoing process. In the past</w:t>
      </w:r>
      <w:r w:rsidR="58BC3678" w:rsidRPr="00C4084C">
        <w:rPr>
          <w:rFonts w:ascii="Calibri" w:eastAsia="Calibri" w:hAnsi="Calibri" w:cs="Arial"/>
        </w:rPr>
        <w:t>,</w:t>
      </w:r>
      <w:r w:rsidR="00C12553" w:rsidRPr="00C4084C">
        <w:rPr>
          <w:rFonts w:ascii="Calibri" w:eastAsia="Calibri" w:hAnsi="Calibri" w:cs="Arial"/>
        </w:rPr>
        <w:t xml:space="preserve"> the system has experienced set and forget pricing</w:t>
      </w:r>
      <w:r w:rsidR="1688F1F1" w:rsidRPr="00C4084C">
        <w:rPr>
          <w:rFonts w:ascii="Calibri" w:eastAsia="Calibri" w:hAnsi="Calibri" w:cs="Arial"/>
        </w:rPr>
        <w:t xml:space="preserve"> which</w:t>
      </w:r>
      <w:r w:rsidR="00C12553" w:rsidRPr="00C4084C">
        <w:rPr>
          <w:rFonts w:ascii="Calibri" w:eastAsia="Calibri" w:hAnsi="Calibri" w:cs="Arial"/>
        </w:rPr>
        <w:t xml:space="preserve"> ignores changes in the shifting cost between courses and across the system. This</w:t>
      </w:r>
      <w:r w:rsidR="00380ECA" w:rsidRPr="00C4084C">
        <w:rPr>
          <w:rFonts w:ascii="Calibri" w:eastAsia="Calibri" w:hAnsi="Calibri" w:cs="Arial"/>
        </w:rPr>
        <w:t xml:space="preserve"> has</w:t>
      </w:r>
      <w:r w:rsidR="00C12553" w:rsidRPr="00C4084C">
        <w:rPr>
          <w:rFonts w:ascii="Calibri" w:eastAsia="Calibri" w:hAnsi="Calibri" w:cs="Arial"/>
        </w:rPr>
        <w:t xml:space="preserve"> hinder</w:t>
      </w:r>
      <w:r w:rsidR="00380ECA" w:rsidRPr="00C4084C">
        <w:rPr>
          <w:rFonts w:ascii="Calibri" w:eastAsia="Calibri" w:hAnsi="Calibri" w:cs="Arial"/>
        </w:rPr>
        <w:t>ed</w:t>
      </w:r>
      <w:r w:rsidR="00C12553" w:rsidRPr="00C4084C">
        <w:rPr>
          <w:rFonts w:ascii="Calibri" w:eastAsia="Calibri" w:hAnsi="Calibri" w:cs="Arial"/>
        </w:rPr>
        <w:t xml:space="preserve"> innovation and responsiveness of universities to changing environments and </w:t>
      </w:r>
      <w:r w:rsidR="009804CB" w:rsidRPr="00C4084C">
        <w:rPr>
          <w:rFonts w:ascii="Calibri" w:eastAsia="Calibri" w:hAnsi="Calibri" w:cs="Arial"/>
        </w:rPr>
        <w:t xml:space="preserve">technologies </w:t>
      </w:r>
      <w:r w:rsidR="00C12553" w:rsidRPr="00C4084C">
        <w:rPr>
          <w:rFonts w:ascii="Calibri" w:eastAsia="Calibri" w:hAnsi="Calibri" w:cs="Arial"/>
        </w:rPr>
        <w:t>as well as changing approaches to teaching.</w:t>
      </w:r>
    </w:p>
    <w:p w14:paraId="7965A2FB" w14:textId="629E84E1" w:rsidR="00A14420" w:rsidRPr="00C4084C" w:rsidRDefault="00A14420" w:rsidP="003D49DB">
      <w:r w:rsidRPr="00C4084C">
        <w:t xml:space="preserve">The pricing role would also include establishing a shared understanding of the cost of the additional support required by target cohorts as part of the student needs-based funding </w:t>
      </w:r>
      <w:r w:rsidR="00681A69" w:rsidRPr="00C4084C">
        <w:t>model</w:t>
      </w:r>
      <w:r w:rsidRPr="00C4084C">
        <w:t>, discuss</w:t>
      </w:r>
      <w:r w:rsidR="0005402F" w:rsidRPr="00C4084C">
        <w:t>ed</w:t>
      </w:r>
      <w:r w:rsidRPr="00C4084C">
        <w:t xml:space="preserve"> in detail in</w:t>
      </w:r>
      <w:r w:rsidR="00A07BB5" w:rsidRPr="00C4084C">
        <w:t xml:space="preserve"> </w:t>
      </w:r>
      <w:r w:rsidR="009804CB" w:rsidRPr="00C4084C">
        <w:rPr>
          <w:i/>
          <w:iCs/>
        </w:rPr>
        <w:fldChar w:fldCharType="begin"/>
      </w:r>
      <w:r w:rsidR="009804CB" w:rsidRPr="00C4084C">
        <w:rPr>
          <w:i/>
          <w:iCs/>
        </w:rPr>
        <w:instrText xml:space="preserve"> REF _Ref151934425 \r \h </w:instrText>
      </w:r>
      <w:r w:rsidR="00125964" w:rsidRPr="00C4084C">
        <w:rPr>
          <w:i/>
          <w:iCs/>
        </w:rPr>
        <w:instrText xml:space="preserve"> \* MERGEFORMAT </w:instrText>
      </w:r>
      <w:r w:rsidR="009804CB" w:rsidRPr="00C4084C">
        <w:rPr>
          <w:i/>
          <w:iCs/>
        </w:rPr>
      </w:r>
      <w:r w:rsidR="009804CB" w:rsidRPr="00C4084C">
        <w:rPr>
          <w:i/>
        </w:rPr>
        <w:fldChar w:fldCharType="separate"/>
      </w:r>
      <w:r w:rsidR="00467B4F">
        <w:rPr>
          <w:i/>
          <w:iCs/>
        </w:rPr>
        <w:t xml:space="preserve">Chapter 3 – </w:t>
      </w:r>
      <w:r w:rsidR="009804CB" w:rsidRPr="00C4084C">
        <w:rPr>
          <w:i/>
          <w:iCs/>
        </w:rPr>
        <w:fldChar w:fldCharType="end"/>
      </w:r>
      <w:r w:rsidR="005E7F24" w:rsidRPr="00C4084C">
        <w:rPr>
          <w:i/>
        </w:rPr>
        <w:fldChar w:fldCharType="begin"/>
      </w:r>
      <w:r w:rsidR="005E7F24" w:rsidRPr="00C4084C">
        <w:rPr>
          <w:i/>
        </w:rPr>
        <w:instrText xml:space="preserve"> REF _Ref151934425 \h </w:instrText>
      </w:r>
      <w:r w:rsidR="00125964" w:rsidRPr="00C4084C">
        <w:rPr>
          <w:i/>
          <w:iCs/>
        </w:rPr>
        <w:instrText xml:space="preserve"> \* MERGEFORMAT </w:instrText>
      </w:r>
      <w:r w:rsidR="005E7F24" w:rsidRPr="00C4084C">
        <w:rPr>
          <w:i/>
        </w:rPr>
      </w:r>
      <w:r w:rsidR="005E7F24" w:rsidRPr="00C4084C">
        <w:rPr>
          <w:i/>
        </w:rPr>
        <w:fldChar w:fldCharType="separate"/>
      </w:r>
      <w:r w:rsidR="00467B4F" w:rsidRPr="00467B4F">
        <w:rPr>
          <w:i/>
        </w:rPr>
        <w:t>Expanding opportunity to all</w:t>
      </w:r>
      <w:r w:rsidR="005E7F24" w:rsidRPr="00C4084C">
        <w:rPr>
          <w:i/>
        </w:rPr>
        <w:fldChar w:fldCharType="end"/>
      </w:r>
      <w:r w:rsidRPr="00C4084C">
        <w:rPr>
          <w:i/>
        </w:rPr>
        <w:t>.</w:t>
      </w:r>
    </w:p>
    <w:p w14:paraId="4FFC44DC" w14:textId="4AC5B5B3" w:rsidR="00932BFA" w:rsidRPr="00C4084C" w:rsidRDefault="00A14420" w:rsidP="003D49DB">
      <w:pPr>
        <w:rPr>
          <w:rFonts w:ascii="Calibri" w:eastAsia="Calibri" w:hAnsi="Calibri" w:cs="Arial"/>
        </w:rPr>
      </w:pPr>
      <w:r w:rsidRPr="00C4084C">
        <w:t xml:space="preserve">This </w:t>
      </w:r>
      <w:r w:rsidR="00380ECA" w:rsidRPr="00C4084C">
        <w:t>pricing authority</w:t>
      </w:r>
      <w:r w:rsidRPr="00C4084C">
        <w:t xml:space="preserve"> requires close engagement with </w:t>
      </w:r>
      <w:r w:rsidR="00F573B2" w:rsidRPr="00C4084C">
        <w:t xml:space="preserve">universities </w:t>
      </w:r>
      <w:r w:rsidRPr="00C4084C">
        <w:t xml:space="preserve">to understand their cost base. It also requires independence from government to implement well, and for the process to be perceived as apolitical and rigorous. This is particularly so for decisions that affect the relative distribution of funding across the system at large and across </w:t>
      </w:r>
      <w:r w:rsidR="00380ECA" w:rsidRPr="00C4084C">
        <w:t>higher education providers</w:t>
      </w:r>
      <w:r w:rsidRPr="00C4084C">
        <w:t>.</w:t>
      </w:r>
      <w:r w:rsidR="00932BFA" w:rsidRPr="00C4084C">
        <w:t xml:space="preserve"> </w:t>
      </w:r>
      <w:r w:rsidR="00932BFA" w:rsidRPr="00C4084C">
        <w:rPr>
          <w:rFonts w:ascii="Calibri" w:eastAsia="Calibri" w:hAnsi="Calibri" w:cs="Arial"/>
        </w:rPr>
        <w:t xml:space="preserve">Universities would also benefit from feedback on patterns of costs nationally to help facilitate benchmarking and internal management. </w:t>
      </w:r>
      <w:r w:rsidR="00D27127" w:rsidRPr="00C4084C">
        <w:rPr>
          <w:rFonts w:ascii="Calibri" w:eastAsia="Calibri" w:hAnsi="Calibri" w:cs="Arial"/>
        </w:rPr>
        <w:t xml:space="preserve">A transparent approach to best </w:t>
      </w:r>
      <w:r w:rsidR="00D72E5F" w:rsidRPr="00C4084C">
        <w:rPr>
          <w:rFonts w:ascii="Calibri" w:eastAsia="Calibri" w:hAnsi="Calibri" w:cs="Arial"/>
        </w:rPr>
        <w:t xml:space="preserve">practice </w:t>
      </w:r>
      <w:r w:rsidR="00D27127" w:rsidRPr="00C4084C">
        <w:rPr>
          <w:rFonts w:ascii="Calibri" w:eastAsia="Calibri" w:hAnsi="Calibri" w:cs="Arial"/>
        </w:rPr>
        <w:t>management</w:t>
      </w:r>
      <w:r w:rsidR="00D72E5F" w:rsidRPr="00C4084C">
        <w:rPr>
          <w:rFonts w:ascii="Calibri" w:eastAsia="Calibri" w:hAnsi="Calibri" w:cs="Arial"/>
        </w:rPr>
        <w:t xml:space="preserve"> </w:t>
      </w:r>
      <w:r w:rsidR="00070E93" w:rsidRPr="00C4084C">
        <w:rPr>
          <w:rFonts w:ascii="Calibri" w:eastAsia="Calibri" w:hAnsi="Calibri" w:cs="Arial"/>
        </w:rPr>
        <w:t xml:space="preserve">would enable universities </w:t>
      </w:r>
      <w:r w:rsidR="00D72E5F" w:rsidRPr="00C4084C">
        <w:rPr>
          <w:rFonts w:ascii="Calibri" w:eastAsia="Calibri" w:hAnsi="Calibri" w:cs="Arial"/>
        </w:rPr>
        <w:t>to achieve</w:t>
      </w:r>
      <w:r w:rsidR="00070E93" w:rsidRPr="00C4084C">
        <w:rPr>
          <w:rFonts w:ascii="Calibri" w:eastAsia="Calibri" w:hAnsi="Calibri" w:cs="Arial"/>
        </w:rPr>
        <w:t xml:space="preserve"> efficienc</w:t>
      </w:r>
      <w:r w:rsidR="00D72E5F" w:rsidRPr="00C4084C">
        <w:rPr>
          <w:rFonts w:ascii="Calibri" w:eastAsia="Calibri" w:hAnsi="Calibri" w:cs="Arial"/>
        </w:rPr>
        <w:t>ies</w:t>
      </w:r>
      <w:r w:rsidR="00070E93" w:rsidRPr="00C4084C">
        <w:rPr>
          <w:rFonts w:ascii="Calibri" w:eastAsia="Calibri" w:hAnsi="Calibri" w:cs="Arial"/>
        </w:rPr>
        <w:t xml:space="preserve"> in administration a</w:t>
      </w:r>
      <w:r w:rsidR="00D72E5F" w:rsidRPr="00C4084C">
        <w:rPr>
          <w:rFonts w:ascii="Calibri" w:eastAsia="Calibri" w:hAnsi="Calibri" w:cs="Arial"/>
        </w:rPr>
        <w:t>nd operating structures, maximising available resources allocated to core activities of teaching and research.</w:t>
      </w:r>
    </w:p>
    <w:p w14:paraId="1BEA8996" w14:textId="00D77015" w:rsidR="00932BFA" w:rsidRPr="00C4084C" w:rsidRDefault="00932BFA" w:rsidP="003D49DB">
      <w:pPr>
        <w:rPr>
          <w:rFonts w:ascii="Calibri" w:eastAsia="Calibri" w:hAnsi="Calibri" w:cs="Arial"/>
        </w:rPr>
      </w:pPr>
      <w:r w:rsidRPr="00C4084C">
        <w:t xml:space="preserve">To carry out this pricing role, the </w:t>
      </w:r>
      <w:r w:rsidR="00E339A6" w:rsidRPr="00C4084C">
        <w:t>Commission</w:t>
      </w:r>
      <w:r w:rsidRPr="00C4084C">
        <w:t xml:space="preserve"> would need authority to make independent pricing decisions within a </w:t>
      </w:r>
      <w:r w:rsidR="009956EA" w:rsidRPr="00C4084C">
        <w:t xml:space="preserve">policy </w:t>
      </w:r>
      <w:r w:rsidRPr="00C4084C">
        <w:t>framework and funding envelope set by government.</w:t>
      </w:r>
      <w:r w:rsidRPr="00C4084C">
        <w:rPr>
          <w:rFonts w:ascii="Calibri" w:eastAsia="Calibri" w:hAnsi="Calibri" w:cs="Arial"/>
        </w:rPr>
        <w:t xml:space="preserve"> This pricing function needs to be linked closely with the policy oversight function to facilitate informed policy development</w:t>
      </w:r>
      <w:r w:rsidR="12366583" w:rsidRPr="00C4084C">
        <w:rPr>
          <w:rFonts w:ascii="Calibri" w:eastAsia="Calibri" w:hAnsi="Calibri" w:cs="Arial"/>
        </w:rPr>
        <w:t xml:space="preserve"> and</w:t>
      </w:r>
      <w:r w:rsidRPr="00C4084C">
        <w:rPr>
          <w:rFonts w:ascii="Calibri" w:eastAsia="Calibri" w:hAnsi="Calibri" w:cs="Arial"/>
        </w:rPr>
        <w:t xml:space="preserve"> should live within the Commission.</w:t>
      </w:r>
    </w:p>
    <w:p w14:paraId="53EEC080" w14:textId="77777777" w:rsidR="00A14420" w:rsidRPr="00C4084C" w:rsidRDefault="00A14420" w:rsidP="00861594">
      <w:pPr>
        <w:pStyle w:val="Heading6"/>
      </w:pPr>
      <w:r w:rsidRPr="00C4084C">
        <w:t>Research funding</w:t>
      </w:r>
    </w:p>
    <w:p w14:paraId="095BDC20" w14:textId="469D009F" w:rsidR="00A14420" w:rsidRPr="00C4084C" w:rsidRDefault="00A14420" w:rsidP="003D49DB">
      <w:r w:rsidRPr="00C4084C">
        <w:t>Research is an intrinsic part of Australia’s higher education landscape</w:t>
      </w:r>
      <w:r w:rsidR="00412EA4" w:rsidRPr="00C4084C">
        <w:t xml:space="preserve"> and plays an </w:t>
      </w:r>
      <w:r w:rsidR="00F35EBD" w:rsidRPr="00C4084C">
        <w:t xml:space="preserve">emerging </w:t>
      </w:r>
      <w:r w:rsidR="00412EA4" w:rsidRPr="00C4084C">
        <w:t>role in VET</w:t>
      </w:r>
      <w:r w:rsidR="00380ECA" w:rsidRPr="00C4084C">
        <w:t>.</w:t>
      </w:r>
      <w:r w:rsidRPr="00C4084C">
        <w:t xml:space="preserve"> </w:t>
      </w:r>
      <w:r w:rsidR="00380ECA" w:rsidRPr="00C4084C">
        <w:t>The</w:t>
      </w:r>
      <w:r w:rsidRPr="00C4084C">
        <w:t xml:space="preserve"> work that universities contribute is essential to Australia’s national research system. The </w:t>
      </w:r>
      <w:r w:rsidR="00E339A6" w:rsidRPr="00C4084C">
        <w:lastRenderedPageBreak/>
        <w:t>Commission</w:t>
      </w:r>
      <w:r w:rsidRPr="00C4084C">
        <w:t xml:space="preserve"> would be responsible for university research policy and funding and would provide strategic guidance on the operation of university research within the national </w:t>
      </w:r>
      <w:r w:rsidR="00380ECA" w:rsidRPr="00C4084C">
        <w:t>research</w:t>
      </w:r>
      <w:r w:rsidRPr="00C4084C">
        <w:t xml:space="preserve"> system. </w:t>
      </w:r>
    </w:p>
    <w:p w14:paraId="24186123" w14:textId="0B7A7599" w:rsidR="00A14420" w:rsidRPr="00C4084C" w:rsidRDefault="00A14420" w:rsidP="003D49DB">
      <w:r w:rsidRPr="00C4084C">
        <w:t>Accordingly, the ARC should also be within the</w:t>
      </w:r>
      <w:r w:rsidR="0005402F" w:rsidRPr="00C4084C">
        <w:t xml:space="preserve"> organisational </w:t>
      </w:r>
      <w:r w:rsidR="00F35EBD" w:rsidRPr="00C4084C">
        <w:t xml:space="preserve">structure </w:t>
      </w:r>
      <w:r w:rsidR="0005402F" w:rsidRPr="00C4084C">
        <w:t>of the</w:t>
      </w:r>
      <w:r w:rsidRPr="00C4084C">
        <w:t xml:space="preserve"> </w:t>
      </w:r>
      <w:r w:rsidR="00E339A6" w:rsidRPr="00C4084C">
        <w:t>Commission</w:t>
      </w:r>
      <w:r w:rsidRPr="00C4084C">
        <w:t xml:space="preserve">, though </w:t>
      </w:r>
      <w:r w:rsidR="0005402F" w:rsidRPr="00C4084C">
        <w:t xml:space="preserve">retain its role </w:t>
      </w:r>
      <w:r w:rsidRPr="00C4084C">
        <w:t>as an independent statutory body</w:t>
      </w:r>
      <w:r w:rsidR="0005402F" w:rsidRPr="00C4084C">
        <w:t xml:space="preserve">, with </w:t>
      </w:r>
      <w:r w:rsidR="00212092" w:rsidRPr="00C4084C">
        <w:t xml:space="preserve">its chair to </w:t>
      </w:r>
      <w:r w:rsidR="00176ECC" w:rsidRPr="00C4084C">
        <w:t>serve</w:t>
      </w:r>
      <w:r w:rsidR="00212092" w:rsidRPr="00C4084C">
        <w:t xml:space="preserve"> as an ex</w:t>
      </w:r>
      <w:r w:rsidR="00125964" w:rsidRPr="00C4084C">
        <w:t>-</w:t>
      </w:r>
      <w:r w:rsidR="00212092" w:rsidRPr="00C4084C">
        <w:t>officio Commissioner</w:t>
      </w:r>
      <w:r w:rsidRPr="00C4084C">
        <w:t xml:space="preserve">. The Review also </w:t>
      </w:r>
      <w:r w:rsidR="00643578">
        <w:t>supports</w:t>
      </w:r>
      <w:r w:rsidR="00643578" w:rsidRPr="00C4084C">
        <w:t xml:space="preserve"> the ARC reform</w:t>
      </w:r>
      <w:r w:rsidR="00643578">
        <w:t>s now being implemented by government,</w:t>
      </w:r>
      <w:r w:rsidR="00643578" w:rsidRPr="00C4084C">
        <w:t xml:space="preserve"> consistent with the findings of the Review of the Australian Research Council Act 2001 (Sheil Review)</w:t>
      </w:r>
      <w:r w:rsidR="00643578">
        <w:t xml:space="preserve"> – in particular the central role of peer review in funding decisions and the importance of independent decision making by the ARC</w:t>
      </w:r>
      <w:r w:rsidR="00643578" w:rsidRPr="00C4084C">
        <w:t xml:space="preserve">.  </w:t>
      </w:r>
    </w:p>
    <w:p w14:paraId="56534751" w14:textId="77777777" w:rsidR="00A14420" w:rsidRPr="00C4084C" w:rsidRDefault="00A14420" w:rsidP="00E9566D">
      <w:pPr>
        <w:pStyle w:val="Heading5"/>
      </w:pPr>
      <w:bookmarkStart w:id="1128" w:name="_Toc2106184151"/>
      <w:bookmarkStart w:id="1129" w:name="_Toc1117787319"/>
      <w:r w:rsidRPr="00C4084C">
        <w:t>Regulation</w:t>
      </w:r>
      <w:bookmarkEnd w:id="1128"/>
      <w:bookmarkEnd w:id="1129"/>
    </w:p>
    <w:p w14:paraId="53E3D2D4" w14:textId="0199774C" w:rsidR="00A14420" w:rsidRPr="00C4084C" w:rsidRDefault="00DA4DA0" w:rsidP="00581E37">
      <w:pPr>
        <w:rPr>
          <w:lang w:eastAsia="en-AU"/>
        </w:rPr>
      </w:pPr>
      <w:r w:rsidRPr="00C4084C">
        <w:rPr>
          <w:lang w:eastAsia="en-AU"/>
        </w:rPr>
        <w:t>Australia’s</w:t>
      </w:r>
      <w:r w:rsidR="00A14420" w:rsidRPr="00C4084C">
        <w:rPr>
          <w:lang w:eastAsia="en-AU"/>
        </w:rPr>
        <w:t xml:space="preserve"> tertiary education system must be trusted by the national and international community to deliver high</w:t>
      </w:r>
      <w:r w:rsidR="006A5783" w:rsidRPr="00C4084C">
        <w:rPr>
          <w:lang w:eastAsia="en-AU"/>
        </w:rPr>
        <w:t>-</w:t>
      </w:r>
      <w:r w:rsidR="00A14420" w:rsidRPr="00C4084C">
        <w:rPr>
          <w:lang w:eastAsia="en-AU"/>
        </w:rPr>
        <w:t>quality education and research</w:t>
      </w:r>
      <w:r w:rsidR="01557D5C" w:rsidRPr="00C4084C">
        <w:rPr>
          <w:lang w:eastAsia="en-AU"/>
        </w:rPr>
        <w:t xml:space="preserve"> </w:t>
      </w:r>
      <w:r w:rsidR="00A14420" w:rsidRPr="00C4084C">
        <w:rPr>
          <w:lang w:eastAsia="en-AU"/>
        </w:rPr>
        <w:t xml:space="preserve">and meet the needs of students. To guarantee this over time, the system needs a regulatory framework that is attuned to quality not only in the core activities of education and research but also </w:t>
      </w:r>
      <w:r w:rsidR="00643578">
        <w:rPr>
          <w:lang w:eastAsia="en-AU"/>
        </w:rPr>
        <w:t>in</w:t>
      </w:r>
      <w:r w:rsidR="00643578" w:rsidRPr="00C4084C">
        <w:rPr>
          <w:lang w:eastAsia="en-AU"/>
        </w:rPr>
        <w:t xml:space="preserve"> </w:t>
      </w:r>
      <w:r w:rsidR="00A14420" w:rsidRPr="00C4084C">
        <w:rPr>
          <w:lang w:eastAsia="en-AU"/>
        </w:rPr>
        <w:t xml:space="preserve">operational areas of broad community concern. </w:t>
      </w:r>
      <w:r w:rsidR="00CB216C" w:rsidRPr="00C4084C">
        <w:rPr>
          <w:lang w:eastAsia="en-AU"/>
        </w:rPr>
        <w:t xml:space="preserve">In the broadest sense this regulatory </w:t>
      </w:r>
      <w:r w:rsidR="00C32EC1" w:rsidRPr="00C4084C">
        <w:rPr>
          <w:lang w:eastAsia="en-AU"/>
        </w:rPr>
        <w:t xml:space="preserve">environment should provide </w:t>
      </w:r>
      <w:r w:rsidR="00E17D5C" w:rsidRPr="00C4084C">
        <w:rPr>
          <w:lang w:eastAsia="en-AU"/>
        </w:rPr>
        <w:t xml:space="preserve">appropriate </w:t>
      </w:r>
      <w:r w:rsidR="00A14420" w:rsidRPr="00C4084C">
        <w:rPr>
          <w:lang w:eastAsia="en-AU"/>
        </w:rPr>
        <w:t>oversight of student and staff safety, compliance with industrial relations obligations</w:t>
      </w:r>
      <w:r w:rsidR="00B604D1" w:rsidRPr="00C4084C">
        <w:rPr>
          <w:lang w:eastAsia="en-AU"/>
        </w:rPr>
        <w:t xml:space="preserve"> (including through enterprise agreements and the Fair Work Act)</w:t>
      </w:r>
      <w:r w:rsidR="00A14420" w:rsidRPr="00C4084C">
        <w:rPr>
          <w:lang w:eastAsia="en-AU"/>
        </w:rPr>
        <w:t xml:space="preserve">, teaching quality and online delivery, </w:t>
      </w:r>
      <w:r w:rsidR="00176ECC" w:rsidRPr="00C4084C">
        <w:rPr>
          <w:lang w:eastAsia="en-AU"/>
        </w:rPr>
        <w:t xml:space="preserve">research integrity, </w:t>
      </w:r>
      <w:r w:rsidR="00A14420" w:rsidRPr="00C4084C">
        <w:rPr>
          <w:lang w:eastAsia="en-AU"/>
        </w:rPr>
        <w:t xml:space="preserve">and institutional governance arrangements. </w:t>
      </w:r>
    </w:p>
    <w:p w14:paraId="661BF823" w14:textId="37AE10BF" w:rsidR="00A14420" w:rsidRPr="00C4084C" w:rsidRDefault="00A14420" w:rsidP="00581E37">
      <w:pPr>
        <w:rPr>
          <w:lang w:eastAsia="en-AU"/>
        </w:rPr>
      </w:pPr>
      <w:r w:rsidRPr="00C4084C">
        <w:rPr>
          <w:lang w:eastAsia="en-AU"/>
        </w:rPr>
        <w:t>Such a regulatory framework should be clear and comprehensible to providers, their staff and students and the community at large. It should provide practical and reasonable compliance expectations of providers and be responsive to evolving expectations of the sector.</w:t>
      </w:r>
      <w:r w:rsidR="00253E03" w:rsidRPr="00C4084C">
        <w:rPr>
          <w:lang w:eastAsia="en-AU"/>
        </w:rPr>
        <w:t xml:space="preserve"> </w:t>
      </w:r>
      <w:r w:rsidR="00253E03" w:rsidRPr="00C4084C">
        <w:rPr>
          <w:rFonts w:ascii="Calibri" w:hAnsi="Calibri" w:cs="Calibri"/>
          <w:color w:val="242424"/>
          <w:shd w:val="clear" w:color="auto" w:fill="FFFFFF"/>
        </w:rPr>
        <w:t xml:space="preserve">Monitoring, compliance costs and administrative burdens need to </w:t>
      </w:r>
      <w:r w:rsidR="00A649AA">
        <w:rPr>
          <w:rFonts w:ascii="Calibri" w:hAnsi="Calibri" w:cs="Calibri"/>
          <w:color w:val="242424"/>
          <w:shd w:val="clear" w:color="auto" w:fill="FFFFFF"/>
        </w:rPr>
        <w:t xml:space="preserve">be </w:t>
      </w:r>
      <w:r w:rsidR="00253E03" w:rsidRPr="00C4084C">
        <w:rPr>
          <w:rFonts w:ascii="Calibri" w:hAnsi="Calibri" w:cs="Calibri"/>
          <w:color w:val="242424"/>
          <w:shd w:val="clear" w:color="auto" w:fill="FFFFFF"/>
        </w:rPr>
        <w:t>reasonable and not create an unnecessary burden.</w:t>
      </w:r>
    </w:p>
    <w:p w14:paraId="5A0B50D9" w14:textId="3FEDCA2E" w:rsidR="00A14420" w:rsidRPr="00C4084C" w:rsidRDefault="00A14420" w:rsidP="00581E37">
      <w:r w:rsidRPr="00C4084C">
        <w:t xml:space="preserve">The </w:t>
      </w:r>
      <w:r w:rsidR="00362122" w:rsidRPr="00C4084C">
        <w:t>Commission</w:t>
      </w:r>
      <w:r w:rsidRPr="00C4084C">
        <w:t xml:space="preserve"> should be closely involved with regulatory policymaking</w:t>
      </w:r>
      <w:r w:rsidR="19138C62" w:rsidRPr="00C4084C">
        <w:t xml:space="preserve"> and</w:t>
      </w:r>
      <w:r w:rsidRPr="00C4084C">
        <w:t xml:space="preserve"> ensure that the priorities from its work as steward of the system are used to inform sector regulation. To enable this, the </w:t>
      </w:r>
      <w:r w:rsidR="00362122" w:rsidRPr="00C4084C">
        <w:t>Commission</w:t>
      </w:r>
      <w:r w:rsidRPr="00C4084C">
        <w:t xml:space="preserve"> should take on responsibility for supporting the Higher Education Standards Panel</w:t>
      </w:r>
      <w:r w:rsidR="00616538" w:rsidRPr="00C4084C">
        <w:t xml:space="preserve"> (HESP)</w:t>
      </w:r>
      <w:r w:rsidRPr="00C4084C">
        <w:t xml:space="preserve">, currently with the Department of Education. </w:t>
      </w:r>
    </w:p>
    <w:p w14:paraId="7F297184" w14:textId="73517024" w:rsidR="00A14420" w:rsidRPr="00C4084C" w:rsidRDefault="004E46AD" w:rsidP="00581E37">
      <w:r w:rsidRPr="00C4084C">
        <w:t>In addition</w:t>
      </w:r>
      <w:r w:rsidR="6CBCF195" w:rsidRPr="00C4084C">
        <w:t>,</w:t>
      </w:r>
      <w:r w:rsidR="00A14420" w:rsidRPr="00C4084C">
        <w:t xml:space="preserve"> TEQSA should be brought within the </w:t>
      </w:r>
      <w:r w:rsidR="00362122" w:rsidRPr="00C4084C">
        <w:t>Commission</w:t>
      </w:r>
      <w:r w:rsidR="00A14420" w:rsidRPr="00C4084C">
        <w:t xml:space="preserve"> as an independent </w:t>
      </w:r>
      <w:r w:rsidR="00F35EBD" w:rsidRPr="00C4084C">
        <w:t xml:space="preserve">agency </w:t>
      </w:r>
      <w:r w:rsidR="00A14420" w:rsidRPr="00C4084C">
        <w:t xml:space="preserve">with </w:t>
      </w:r>
      <w:r w:rsidR="00C95545">
        <w:t xml:space="preserve">its </w:t>
      </w:r>
      <w:r w:rsidR="00643578">
        <w:t xml:space="preserve">Chief </w:t>
      </w:r>
      <w:r w:rsidR="00A14420" w:rsidRPr="00C4084C">
        <w:t>Commissioner</w:t>
      </w:r>
      <w:r w:rsidR="00616538" w:rsidRPr="00C4084C">
        <w:t xml:space="preserve"> </w:t>
      </w:r>
      <w:r w:rsidR="00643578">
        <w:t>forming part of</w:t>
      </w:r>
      <w:r w:rsidR="00643578" w:rsidRPr="00C4084C">
        <w:t xml:space="preserve"> </w:t>
      </w:r>
      <w:r w:rsidR="00616538" w:rsidRPr="00C4084C">
        <w:t xml:space="preserve">the </w:t>
      </w:r>
      <w:r w:rsidR="00362122" w:rsidRPr="00C4084C">
        <w:t>Commission</w:t>
      </w:r>
      <w:r w:rsidR="00616538" w:rsidRPr="00C4084C">
        <w:t xml:space="preserve"> Board</w:t>
      </w:r>
      <w:r w:rsidR="00A14420" w:rsidRPr="00C4084C">
        <w:t xml:space="preserve">, and with </w:t>
      </w:r>
      <w:r w:rsidR="00C95545">
        <w:t xml:space="preserve">the </w:t>
      </w:r>
      <w:r w:rsidR="00A14420" w:rsidRPr="00C4084C">
        <w:t xml:space="preserve">accountabilities set out in </w:t>
      </w:r>
      <w:r w:rsidR="00404038" w:rsidRPr="00C4084C">
        <w:t xml:space="preserve">its </w:t>
      </w:r>
      <w:r w:rsidR="00A14420" w:rsidRPr="00C4084C">
        <w:t xml:space="preserve">regulatory Act. </w:t>
      </w:r>
    </w:p>
    <w:p w14:paraId="73F4C93D" w14:textId="6F17A70A" w:rsidR="00A14420" w:rsidRPr="00C4084C" w:rsidRDefault="00A14420" w:rsidP="00581E37">
      <w:r w:rsidRPr="00C4084C">
        <w:t xml:space="preserve">Bringing both regulatory arrangements and provider registration activities under the organisational umbrella of the </w:t>
      </w:r>
      <w:r w:rsidR="00362122" w:rsidRPr="00C4084C">
        <w:t>Commission</w:t>
      </w:r>
      <w:r w:rsidRPr="00C4084C">
        <w:t xml:space="preserve"> will enable a more unified approach to the implementation of policy, </w:t>
      </w:r>
      <w:proofErr w:type="gramStart"/>
      <w:r w:rsidRPr="00C4084C">
        <w:t>strategy</w:t>
      </w:r>
      <w:proofErr w:type="gramEnd"/>
      <w:r w:rsidRPr="00C4084C">
        <w:t xml:space="preserve"> and regulation, in addition to reducing administrative burden. </w:t>
      </w:r>
      <w:r w:rsidR="00176ECC" w:rsidRPr="00C4084C">
        <w:t>This</w:t>
      </w:r>
      <w:r w:rsidRPr="00C4084C">
        <w:t xml:space="preserve"> requires a careful </w:t>
      </w:r>
      <w:r w:rsidR="00643578">
        <w:t xml:space="preserve">and </w:t>
      </w:r>
      <w:r w:rsidRPr="00C4084C">
        <w:t>balance</w:t>
      </w:r>
      <w:r w:rsidR="00643578">
        <w:t>d management</w:t>
      </w:r>
      <w:r w:rsidRPr="00C4084C">
        <w:t xml:space="preserve"> of system wide policy advice, regulatory </w:t>
      </w:r>
      <w:r w:rsidR="00F35EBD" w:rsidRPr="00C4084C">
        <w:t>oversight</w:t>
      </w:r>
      <w:r w:rsidR="00EC5F69" w:rsidRPr="00C4084C">
        <w:t xml:space="preserve">, </w:t>
      </w:r>
      <w:r w:rsidRPr="00C4084C">
        <w:t>enforcement roles</w:t>
      </w:r>
      <w:r w:rsidR="00EC5F69" w:rsidRPr="00C4084C">
        <w:t xml:space="preserve"> and respect for institutional autonomy.</w:t>
      </w:r>
    </w:p>
    <w:p w14:paraId="6D204861" w14:textId="7CCDC4AC" w:rsidR="00EC5F69" w:rsidRPr="00C4084C" w:rsidRDefault="00A14420" w:rsidP="00581E37">
      <w:r w:rsidRPr="00C4084C">
        <w:t xml:space="preserve">Giving the </w:t>
      </w:r>
      <w:r w:rsidR="00362122" w:rsidRPr="00C4084C">
        <w:t>Commission</w:t>
      </w:r>
      <w:r w:rsidRPr="00C4084C">
        <w:t xml:space="preserve"> a role in the design of regulatory policy would also help the system achieve a more cohesive</w:t>
      </w:r>
      <w:r w:rsidR="00EC5F69" w:rsidRPr="00C4084C">
        <w:t xml:space="preserve"> whole</w:t>
      </w:r>
      <w:r w:rsidR="00125964" w:rsidRPr="00C4084C">
        <w:t>-</w:t>
      </w:r>
      <w:r w:rsidR="00EC5F69" w:rsidRPr="00C4084C">
        <w:t>of</w:t>
      </w:r>
      <w:r w:rsidR="00125964" w:rsidRPr="00C4084C">
        <w:t>-</w:t>
      </w:r>
      <w:r w:rsidRPr="00C4084C">
        <w:t xml:space="preserve">tertiary </w:t>
      </w:r>
      <w:r w:rsidR="00EC5F69" w:rsidRPr="00C4084C">
        <w:t xml:space="preserve">education </w:t>
      </w:r>
      <w:r w:rsidRPr="00C4084C">
        <w:t xml:space="preserve">perspective. It could begin this by working with </w:t>
      </w:r>
      <w:r w:rsidR="00813F97" w:rsidRPr="00C4084C">
        <w:t>TEQSA, ASQA</w:t>
      </w:r>
      <w:r w:rsidRPr="00C4084C">
        <w:t xml:space="preserve"> and </w:t>
      </w:r>
      <w:r w:rsidR="0009605C" w:rsidRPr="00C4084C">
        <w:t xml:space="preserve">tertiary </w:t>
      </w:r>
      <w:r w:rsidR="008D7BF3" w:rsidRPr="00C4084C">
        <w:t>education</w:t>
      </w:r>
      <w:r w:rsidR="0009605C" w:rsidRPr="00C4084C">
        <w:t xml:space="preserve"> </w:t>
      </w:r>
      <w:r w:rsidRPr="00C4084C">
        <w:t>providers to identify areas of friction in reporting arrangements and administrative burden</w:t>
      </w:r>
      <w:r w:rsidR="7A6E704D" w:rsidRPr="00C4084C">
        <w:t xml:space="preserve"> and</w:t>
      </w:r>
      <w:r w:rsidRPr="00C4084C">
        <w:t xml:space="preserve"> encouraging the regulators to co-ordinate information sharing and develop a more streamlined approach to regulation, particularly for dual</w:t>
      </w:r>
      <w:r w:rsidR="007B6566" w:rsidRPr="00C4084C">
        <w:t xml:space="preserve"> </w:t>
      </w:r>
      <w:r w:rsidRPr="00C4084C">
        <w:t xml:space="preserve">sector providers. </w:t>
      </w:r>
      <w:r w:rsidR="007C31CB" w:rsidRPr="00C4084C">
        <w:t>C</w:t>
      </w:r>
      <w:r w:rsidR="007C31CB" w:rsidRPr="00C4084C">
        <w:rPr>
          <w:rFonts w:eastAsia="Times New Roman"/>
        </w:rPr>
        <w:t xml:space="preserve">loser alignment between ASQA and TEQSA </w:t>
      </w:r>
      <w:r w:rsidR="00380ECA" w:rsidRPr="00C4084C">
        <w:rPr>
          <w:rFonts w:eastAsia="Times New Roman"/>
        </w:rPr>
        <w:t>would</w:t>
      </w:r>
      <w:r w:rsidR="007C31CB" w:rsidRPr="00C4084C">
        <w:rPr>
          <w:rFonts w:eastAsia="Times New Roman"/>
        </w:rPr>
        <w:t xml:space="preserve"> similarly benefit </w:t>
      </w:r>
      <w:r w:rsidR="00580EE5">
        <w:rPr>
          <w:rFonts w:eastAsia="Times New Roman"/>
        </w:rPr>
        <w:t xml:space="preserve">many </w:t>
      </w:r>
      <w:r w:rsidR="007C31CB" w:rsidRPr="00C4084C">
        <w:rPr>
          <w:rFonts w:eastAsia="Times New Roman"/>
        </w:rPr>
        <w:t xml:space="preserve">private providers </w:t>
      </w:r>
      <w:r w:rsidR="00580EE5">
        <w:rPr>
          <w:rFonts w:eastAsia="Times New Roman"/>
        </w:rPr>
        <w:t>who are currently required to engage with both agencies,</w:t>
      </w:r>
      <w:r w:rsidR="00580EE5" w:rsidRPr="00C4084C">
        <w:rPr>
          <w:rFonts w:eastAsia="Times New Roman"/>
        </w:rPr>
        <w:t xml:space="preserve"> </w:t>
      </w:r>
      <w:r w:rsidR="007C31CB" w:rsidRPr="00C4084C">
        <w:rPr>
          <w:rFonts w:eastAsia="Times New Roman"/>
        </w:rPr>
        <w:t xml:space="preserve">through reduced regulatory </w:t>
      </w:r>
      <w:r w:rsidR="00A377C7" w:rsidRPr="00C4084C">
        <w:rPr>
          <w:rFonts w:eastAsia="Times New Roman"/>
        </w:rPr>
        <w:t xml:space="preserve">burden and </w:t>
      </w:r>
      <w:r w:rsidR="00AD669E" w:rsidRPr="00C4084C">
        <w:rPr>
          <w:rFonts w:eastAsia="Times New Roman"/>
        </w:rPr>
        <w:t>related compliance costs.</w:t>
      </w:r>
      <w:r w:rsidR="00A377C7" w:rsidRPr="00C4084C">
        <w:rPr>
          <w:rFonts w:eastAsia="Times New Roman"/>
        </w:rPr>
        <w:t xml:space="preserve"> </w:t>
      </w:r>
    </w:p>
    <w:p w14:paraId="10D925C5" w14:textId="29EDE6F8" w:rsidR="00A14420" w:rsidRPr="00C4084C" w:rsidRDefault="004E46AD" w:rsidP="00581E37">
      <w:r w:rsidRPr="00C4084C">
        <w:lastRenderedPageBreak/>
        <w:t>As a first step</w:t>
      </w:r>
      <w:r w:rsidR="00A14420" w:rsidRPr="00C4084C">
        <w:t xml:space="preserve"> the </w:t>
      </w:r>
      <w:r w:rsidRPr="00C4084C">
        <w:t xml:space="preserve">Review is </w:t>
      </w:r>
      <w:r w:rsidR="00EF39A9" w:rsidRPr="00C4084C">
        <w:t>recommending</w:t>
      </w:r>
      <w:r w:rsidR="00A14420" w:rsidRPr="00C4084C">
        <w:t xml:space="preserve"> the </w:t>
      </w:r>
      <w:r w:rsidR="00362122" w:rsidRPr="00C4084C">
        <w:t>Commission</w:t>
      </w:r>
      <w:r w:rsidR="00A5544F" w:rsidRPr="00C4084C">
        <w:t xml:space="preserve">, working </w:t>
      </w:r>
      <w:r w:rsidR="00A14420" w:rsidRPr="00C4084C">
        <w:t>with TEQSA</w:t>
      </w:r>
      <w:r w:rsidR="00A5544F" w:rsidRPr="00C4084C">
        <w:t>,</w:t>
      </w:r>
      <w:r w:rsidR="00502714" w:rsidRPr="00C4084C">
        <w:t xml:space="preserve"> encourage and assist TAFEs to build the institutional capability to attain self-accrediting status in higher education, for instance through </w:t>
      </w:r>
      <w:r w:rsidR="009C1A29" w:rsidRPr="00C4084C">
        <w:t xml:space="preserve">knowledge </w:t>
      </w:r>
      <w:r w:rsidR="00502714" w:rsidRPr="00C4084C">
        <w:t>sharing partnerships with universities</w:t>
      </w:r>
      <w:r w:rsidR="00C03F69" w:rsidRPr="00C4084C">
        <w:t xml:space="preserve"> (see Recommendation </w:t>
      </w:r>
      <w:r w:rsidR="002A3CD2" w:rsidRPr="00C4084C">
        <w:t>38</w:t>
      </w:r>
      <w:r w:rsidR="00C03F69" w:rsidRPr="00C4084C">
        <w:t>)</w:t>
      </w:r>
      <w:r w:rsidR="00A14420" w:rsidRPr="00C4084C">
        <w:t xml:space="preserve">. </w:t>
      </w:r>
      <w:r w:rsidR="00A36E6E" w:rsidRPr="00C4084C">
        <w:t xml:space="preserve">This could be achieved through partnering universities with TAFE Centres of Excellence. </w:t>
      </w:r>
      <w:r w:rsidR="00A14420" w:rsidRPr="00C4084C">
        <w:t xml:space="preserve">The Review considers that </w:t>
      </w:r>
      <w:r w:rsidR="00502714" w:rsidRPr="00C4084C">
        <w:t xml:space="preserve">assisting </w:t>
      </w:r>
      <w:r w:rsidR="00A14420" w:rsidRPr="00C4084C">
        <w:t xml:space="preserve">TAFEs to obtain self-accrediting status will enable the </w:t>
      </w:r>
      <w:r w:rsidR="005F655B" w:rsidRPr="00C4084C">
        <w:t xml:space="preserve">tertiary education </w:t>
      </w:r>
      <w:r w:rsidR="00A14420" w:rsidRPr="00C4084C">
        <w:t>sector to meet skills needs</w:t>
      </w:r>
      <w:r w:rsidR="00404038" w:rsidRPr="00C4084C">
        <w:t xml:space="preserve"> more rapidly</w:t>
      </w:r>
      <w:r w:rsidR="00A14420" w:rsidRPr="00C4084C">
        <w:t xml:space="preserve">, improve parity of </w:t>
      </w:r>
      <w:proofErr w:type="gramStart"/>
      <w:r w:rsidR="00A14420" w:rsidRPr="00C4084C">
        <w:t>esteem</w:t>
      </w:r>
      <w:proofErr w:type="gramEnd"/>
      <w:r w:rsidR="00A14420" w:rsidRPr="00C4084C">
        <w:t xml:space="preserve"> and allow comparably large and professional institutions to operate on an equal footing.</w:t>
      </w:r>
    </w:p>
    <w:p w14:paraId="6224DEF0" w14:textId="5BDA843A" w:rsidR="00AE2E77" w:rsidRPr="00C4084C" w:rsidRDefault="00AE2E77" w:rsidP="009B5F27">
      <w:pPr>
        <w:pStyle w:val="Heading5"/>
      </w:pPr>
      <w:r w:rsidRPr="00C4084C">
        <w:t>Building workforce capability</w:t>
      </w:r>
    </w:p>
    <w:p w14:paraId="3B898929" w14:textId="0201E710" w:rsidR="00AE2E77" w:rsidRPr="00C4084C" w:rsidRDefault="00AE2E77" w:rsidP="00581E37">
      <w:r w:rsidRPr="00C4084C">
        <w:t xml:space="preserve">The Review </w:t>
      </w:r>
      <w:r w:rsidR="009B5F27" w:rsidRPr="00C4084C">
        <w:t xml:space="preserve">finds </w:t>
      </w:r>
      <w:r w:rsidRPr="00C4084C">
        <w:t xml:space="preserve">that </w:t>
      </w:r>
      <w:r w:rsidR="0009605C" w:rsidRPr="00C4084C">
        <w:t xml:space="preserve">staffing and </w:t>
      </w:r>
      <w:r w:rsidRPr="00C4084C">
        <w:t xml:space="preserve">workforce composition </w:t>
      </w:r>
      <w:r w:rsidR="0009605C" w:rsidRPr="00C4084C">
        <w:t xml:space="preserve">are </w:t>
      </w:r>
      <w:r w:rsidRPr="00C4084C">
        <w:t>matter</w:t>
      </w:r>
      <w:r w:rsidR="0009605C" w:rsidRPr="00C4084C">
        <w:t>s</w:t>
      </w:r>
      <w:r w:rsidRPr="00C4084C">
        <w:t xml:space="preserve"> for higher education institutions</w:t>
      </w:r>
      <w:r w:rsidR="00580EE5">
        <w:t>, acting within applicable legal frameworks</w:t>
      </w:r>
      <w:r w:rsidRPr="00C4084C">
        <w:t xml:space="preserve">. Providers are autonomous entities managing complex and competing objectives and require flexibility to meet those objectives. At the same time, their human resources are their greatest asset. Staff are entitled to secure, flexible, well-rewarded employment. </w:t>
      </w:r>
    </w:p>
    <w:p w14:paraId="265FB9EB" w14:textId="2D88D51A" w:rsidR="00AE2E77" w:rsidRPr="00C4084C" w:rsidRDefault="00AE2E77" w:rsidP="00581E37">
      <w:r w:rsidRPr="00C4084C">
        <w:t xml:space="preserve">Those who have chosen an academic career are </w:t>
      </w:r>
      <w:r w:rsidR="00B0196A" w:rsidRPr="00C4084C">
        <w:t>generally</w:t>
      </w:r>
      <w:r w:rsidRPr="00C4084C">
        <w:t xml:space="preserve"> highly motivated. Australia needs to continue to attract the best possible academic staff with aspirations that align with university workforce gaps. As the system grows and builds capability, there will be greater opportunity for learning, teaching, research and sharing of best practice. </w:t>
      </w:r>
    </w:p>
    <w:p w14:paraId="416C45E9" w14:textId="77777777" w:rsidR="00AE2E77" w:rsidRPr="00C4084C" w:rsidRDefault="00AE2E77" w:rsidP="00581E37">
      <w:r w:rsidRPr="00C4084C">
        <w:t>Enterprise bargaining is designed to promote improvements in wages and conditions in return for efficiency gains or productivity offsets, delivering attractive arrangements for staff to stay in and enter the sector. However, in higher education, conflict and distrust on both sides has made achieving this very challenging.</w:t>
      </w:r>
    </w:p>
    <w:p w14:paraId="792F5F21" w14:textId="3555236C" w:rsidR="00AE2E77" w:rsidRPr="00C4084C" w:rsidRDefault="00580EE5" w:rsidP="00581E37">
      <w:r>
        <w:t>O</w:t>
      </w:r>
      <w:r w:rsidRPr="00C4084C">
        <w:t xml:space="preserve">ngoing </w:t>
      </w:r>
      <w:r>
        <w:t xml:space="preserve">collaboration and </w:t>
      </w:r>
      <w:r w:rsidRPr="00C4084C">
        <w:t>consultation</w:t>
      </w:r>
      <w:r>
        <w:t>, as envisaged by the Review,</w:t>
      </w:r>
      <w:r w:rsidRPr="00C4084C">
        <w:t xml:space="preserve"> </w:t>
      </w:r>
      <w:r w:rsidR="00AE2E77" w:rsidRPr="00C4084C">
        <w:t xml:space="preserve">present a unique opportunity to navigate this challenge. The convening power of the </w:t>
      </w:r>
      <w:r w:rsidR="00362122" w:rsidRPr="00C4084C">
        <w:t>Commission</w:t>
      </w:r>
      <w:r w:rsidR="009B5F27" w:rsidRPr="00C4084C">
        <w:t>’s Advisory Board</w:t>
      </w:r>
      <w:r w:rsidR="00AE2E77" w:rsidRPr="00C4084C">
        <w:t xml:space="preserve"> is essential to bring all stakeholders – staff, unions, </w:t>
      </w:r>
      <w:proofErr w:type="gramStart"/>
      <w:r w:rsidR="00AE2E77" w:rsidRPr="00C4084C">
        <w:t>universities</w:t>
      </w:r>
      <w:proofErr w:type="gramEnd"/>
      <w:r w:rsidR="00AE2E77" w:rsidRPr="00C4084C">
        <w:t xml:space="preserve"> and others – together to build trust in the system. It is also essential to ensure a positive workforce that is equipped to support the sector as it expands. </w:t>
      </w:r>
      <w:r>
        <w:t xml:space="preserve">The National Tertiary Education Objective will not be achieved without a more harmonious and high-trust industrial environment. </w:t>
      </w:r>
      <w:r w:rsidR="00AE2E77" w:rsidRPr="00C4084C">
        <w:t xml:space="preserve">Recommendations made in this Report, including funding certainty and the proposal for a planned system with a </w:t>
      </w:r>
      <w:r w:rsidR="00362122" w:rsidRPr="00C4084C">
        <w:t>Commission</w:t>
      </w:r>
      <w:r w:rsidR="00AE2E77" w:rsidRPr="00C4084C">
        <w:t xml:space="preserve">, are expected to reduce institutional and system volatility, and to provide a more stable university operating and workforce environment. </w:t>
      </w:r>
    </w:p>
    <w:tbl>
      <w:tblPr>
        <w:tblW w:w="0" w:type="auto"/>
        <w:shd w:val="clear" w:color="auto" w:fill="E2EFD9"/>
        <w:tblLook w:val="04A0" w:firstRow="1" w:lastRow="0" w:firstColumn="1" w:lastColumn="0" w:noHBand="0" w:noVBand="1"/>
      </w:tblPr>
      <w:tblGrid>
        <w:gridCol w:w="9026"/>
      </w:tblGrid>
      <w:tr w:rsidR="00573438" w:rsidRPr="00C4084C" w14:paraId="3EB12B0F" w14:textId="77777777" w:rsidTr="00D26B82">
        <w:tc>
          <w:tcPr>
            <w:tcW w:w="9356" w:type="dxa"/>
            <w:shd w:val="clear" w:color="auto" w:fill="C3D7CA"/>
          </w:tcPr>
          <w:p w14:paraId="5EFE200C" w14:textId="126C50A3" w:rsidR="00573438" w:rsidRPr="00C4084C" w:rsidRDefault="00573438" w:rsidP="00AC0562">
            <w:pPr>
              <w:pStyle w:val="Boxtitlessubheadings"/>
            </w:pPr>
            <w:r w:rsidRPr="00C4084C">
              <w:lastRenderedPageBreak/>
              <w:t xml:space="preserve">Government </w:t>
            </w:r>
            <w:r w:rsidR="00A649AA">
              <w:t>r</w:t>
            </w:r>
            <w:r w:rsidR="00A649AA" w:rsidRPr="00C4084C">
              <w:t xml:space="preserve">esponse </w:t>
            </w:r>
            <w:r w:rsidRPr="00C4084C">
              <w:t>to Priority Action 5 from the Interim Report</w:t>
            </w:r>
          </w:p>
          <w:p w14:paraId="58B2571B" w14:textId="36AC2F12" w:rsidR="00573438" w:rsidRPr="00C4084C" w:rsidRDefault="00573438" w:rsidP="00581E37">
            <w:pPr>
              <w:pStyle w:val="Boxtext0"/>
            </w:pPr>
            <w:r w:rsidRPr="00C4084C">
              <w:t>The Review’s Interim Report noted concerns raised around psychosocial stress in higher education workplaces. Priority Action number 5 of the Interim Report addressed the safety and wellbeing of students and staff. It recommended that government:</w:t>
            </w:r>
          </w:p>
          <w:p w14:paraId="4CC47D6D" w14:textId="77777777" w:rsidR="00573438" w:rsidRPr="00C4084C" w:rsidRDefault="00573438" w:rsidP="00581E37">
            <w:pPr>
              <w:pStyle w:val="Boxtext0"/>
            </w:pPr>
            <w:r w:rsidRPr="00C4084C">
              <w:t>Through National Cabinet, immediately engage with state and territory governments and universities to improve university governance, particularly focusing on:</w:t>
            </w:r>
          </w:p>
          <w:p w14:paraId="290C978A" w14:textId="77777777" w:rsidR="00573438" w:rsidRPr="00C4084C" w:rsidRDefault="00573438" w:rsidP="00581E37">
            <w:pPr>
              <w:pStyle w:val="Boxdotpoint"/>
            </w:pPr>
            <w:r w:rsidRPr="00C4084C">
              <w:t xml:space="preserve">universities being good </w:t>
            </w:r>
            <w:proofErr w:type="gramStart"/>
            <w:r w:rsidRPr="00C4084C">
              <w:t>employers</w:t>
            </w:r>
            <w:proofErr w:type="gramEnd"/>
          </w:p>
          <w:p w14:paraId="631E53E9" w14:textId="77777777" w:rsidR="00573438" w:rsidRPr="00C4084C" w:rsidRDefault="00573438" w:rsidP="00581E37">
            <w:pPr>
              <w:pStyle w:val="Boxdotpoint"/>
            </w:pPr>
            <w:r w:rsidRPr="00C4084C">
              <w:t>student and staff safety</w:t>
            </w:r>
          </w:p>
          <w:p w14:paraId="1D85F620" w14:textId="77777777" w:rsidR="00573438" w:rsidRPr="00C4084C" w:rsidRDefault="00573438" w:rsidP="00581E37">
            <w:pPr>
              <w:pStyle w:val="Boxdotpoint"/>
            </w:pPr>
            <w:r w:rsidRPr="00C4084C">
              <w:t>membership of governing bodies, including ensuring additional involvement of people with expertise in the business of universities.</w:t>
            </w:r>
          </w:p>
          <w:p w14:paraId="647A30DB" w14:textId="7782480B" w:rsidR="00573438" w:rsidRPr="00C4084C" w:rsidRDefault="00573438" w:rsidP="00581E37">
            <w:pPr>
              <w:pStyle w:val="Boxtext0"/>
              <w:rPr>
                <w:b/>
                <w:sz w:val="24"/>
              </w:rPr>
            </w:pPr>
            <w:r w:rsidRPr="00C4084C">
              <w:t>Subsequently, the Australian Government established a cross</w:t>
            </w:r>
            <w:r w:rsidRPr="00C4084C">
              <w:rPr>
                <w:rFonts w:ascii="Cambria Math" w:hAnsi="Cambria Math" w:cs="Cambria Math"/>
              </w:rPr>
              <w:t>‑</w:t>
            </w:r>
            <w:r w:rsidRPr="00C4084C">
              <w:t xml:space="preserve">jurisdictional Working Group to provide advice on concrete actions to strengthen university governance, including ensuring student and staff safety, particularly regarding sexual assault and sexual harassment. On </w:t>
            </w:r>
            <w:r w:rsidR="00974B91" w:rsidRPr="00C4084C">
              <w:t>22</w:t>
            </w:r>
            <w:r w:rsidR="00974B91">
              <w:t> </w:t>
            </w:r>
            <w:r w:rsidRPr="00C4084C">
              <w:t>November 2023, Education Ministers released a Draft Action Plan Addressing Gender-based Violence in Higher Education for further consultation. The Draft Action Plan was informed by the views of victim-survivor advocates, student leaders, subject matter experts and representatives from universities and student accommodation providers. Following stakeholder consultations and public feedback on the Draft Action Plan, a final Action Plan will be considered by Education Ministers in early 2024.</w:t>
            </w:r>
          </w:p>
        </w:tc>
      </w:tr>
    </w:tbl>
    <w:p w14:paraId="74ECB539" w14:textId="75641185" w:rsidR="00F729A5" w:rsidRPr="00C4084C" w:rsidRDefault="00F729A5" w:rsidP="008C4411">
      <w:pPr>
        <w:pStyle w:val="Findings"/>
      </w:pPr>
      <w:r w:rsidRPr="00C4084C">
        <w:t xml:space="preserve">Evaluation to support </w:t>
      </w:r>
      <w:proofErr w:type="gramStart"/>
      <w:r w:rsidR="00283C03" w:rsidRPr="00C4084C">
        <w:t>change</w:t>
      </w:r>
      <w:proofErr w:type="gramEnd"/>
    </w:p>
    <w:p w14:paraId="6411B503" w14:textId="5345C2B3" w:rsidR="00A14420" w:rsidRPr="00C4084C" w:rsidRDefault="00A14420" w:rsidP="00581E37">
      <w:r w:rsidRPr="00C4084C">
        <w:t xml:space="preserve">Any mechanism designed to drive sector change should be measured, </w:t>
      </w:r>
      <w:proofErr w:type="gramStart"/>
      <w:r w:rsidRPr="00C4084C">
        <w:t>monitored</w:t>
      </w:r>
      <w:proofErr w:type="gramEnd"/>
      <w:r w:rsidRPr="00C4084C">
        <w:t xml:space="preserve"> and evaluated independent of the main decision</w:t>
      </w:r>
      <w:r w:rsidR="005A03A8">
        <w:t xml:space="preserve"> </w:t>
      </w:r>
      <w:r w:rsidRPr="00C4084C">
        <w:t xml:space="preserve">makers and system participants. </w:t>
      </w:r>
    </w:p>
    <w:p w14:paraId="165A12BA" w14:textId="3E6B7851" w:rsidR="00A14420" w:rsidRPr="00C4084C" w:rsidRDefault="004E46AD" w:rsidP="00581E37">
      <w:r w:rsidRPr="00C4084C">
        <w:t>To</w:t>
      </w:r>
      <w:r w:rsidR="00A14420" w:rsidRPr="00C4084C">
        <w:t xml:space="preserve"> drive accountability and improvement, the </w:t>
      </w:r>
      <w:r w:rsidR="00362122" w:rsidRPr="00C4084C">
        <w:t>Commission</w:t>
      </w:r>
      <w:r w:rsidR="00A14420" w:rsidRPr="00C4084C">
        <w:t xml:space="preserve"> would monitor system performance by tracking student and provider metrics, including demand, outcomes, excellence, </w:t>
      </w:r>
      <w:proofErr w:type="gramStart"/>
      <w:r w:rsidR="00A14420" w:rsidRPr="00C4084C">
        <w:t>finance</w:t>
      </w:r>
      <w:proofErr w:type="gramEnd"/>
      <w:r w:rsidR="00A14420" w:rsidRPr="00C4084C">
        <w:t xml:space="preserve"> and risk, through data provided by institutions and shared </w:t>
      </w:r>
      <w:r w:rsidR="00A14F8D" w:rsidRPr="00C4084C">
        <w:t xml:space="preserve">with </w:t>
      </w:r>
      <w:r w:rsidR="00A14420" w:rsidRPr="00C4084C">
        <w:t>other data-holding agencies.</w:t>
      </w:r>
    </w:p>
    <w:p w14:paraId="188D2CDC" w14:textId="605E4272" w:rsidR="00A14420" w:rsidRPr="00C4084C" w:rsidRDefault="00A14420" w:rsidP="00581E37">
      <w:r w:rsidRPr="00C4084C">
        <w:t xml:space="preserve">The </w:t>
      </w:r>
      <w:r w:rsidR="00362122" w:rsidRPr="00C4084C">
        <w:t>Commission</w:t>
      </w:r>
      <w:r w:rsidRPr="00C4084C">
        <w:t xml:space="preserve"> would also increase sector transparency through preparation of an annual </w:t>
      </w:r>
      <w:r w:rsidR="03247FFD" w:rsidRPr="00C4084C">
        <w:t>‘</w:t>
      </w:r>
      <w:r w:rsidRPr="00C4084C">
        <w:t xml:space="preserve">State of the </w:t>
      </w:r>
      <w:r w:rsidR="00EB187F" w:rsidRPr="00C4084C">
        <w:rPr>
          <w:rStyle w:val="normaltextrun"/>
          <w:rFonts w:cstheme="minorHAnsi"/>
        </w:rPr>
        <w:t xml:space="preserve">Tertiary Education </w:t>
      </w:r>
      <w:r w:rsidRPr="00C4084C">
        <w:t>Sector</w:t>
      </w:r>
      <w:r w:rsidR="0D3C7C8E" w:rsidRPr="00C4084C">
        <w:t>’</w:t>
      </w:r>
      <w:r w:rsidRPr="00C4084C">
        <w:t xml:space="preserve"> report</w:t>
      </w:r>
      <w:r w:rsidR="00383114" w:rsidRPr="00C4084C">
        <w:t xml:space="preserve"> and</w:t>
      </w:r>
      <w:r w:rsidRPr="00C4084C">
        <w:t xml:space="preserve"> </w:t>
      </w:r>
      <w:r w:rsidR="00A14F8D" w:rsidRPr="00C4084C">
        <w:t>rolling triennial</w:t>
      </w:r>
      <w:r w:rsidRPr="00C4084C">
        <w:t xml:space="preserve"> </w:t>
      </w:r>
      <w:r w:rsidR="00D011B0" w:rsidRPr="00C4084C">
        <w:t>‘</w:t>
      </w:r>
      <w:r w:rsidRPr="00C4084C">
        <w:t>Future of the Sector’ report</w:t>
      </w:r>
      <w:r w:rsidR="00F715BE" w:rsidRPr="00C4084C">
        <w:t xml:space="preserve">, both </w:t>
      </w:r>
      <w:r w:rsidR="00383114" w:rsidRPr="00C4084C">
        <w:t>discussed in section 6.3.6 below</w:t>
      </w:r>
      <w:r w:rsidRPr="00C4084C">
        <w:t>.</w:t>
      </w:r>
    </w:p>
    <w:p w14:paraId="7AFEABBD" w14:textId="775E3BA4" w:rsidR="00A14420" w:rsidRPr="00C4084C" w:rsidRDefault="00A14420" w:rsidP="00581E37">
      <w:r w:rsidRPr="00C4084C">
        <w:t xml:space="preserve">The </w:t>
      </w:r>
      <w:r w:rsidR="00362122" w:rsidRPr="00C4084C">
        <w:t>Commission</w:t>
      </w:r>
      <w:r w:rsidRPr="00C4084C">
        <w:t xml:space="preserve"> would work with the Australian Government, data custodians and stakeholders to continually improve higher education data capability</w:t>
      </w:r>
      <w:r w:rsidR="00A14F8D" w:rsidRPr="00C4084C">
        <w:t xml:space="preserve"> in a low-administration manner</w:t>
      </w:r>
      <w:r w:rsidRPr="00C4084C">
        <w:t>, including:</w:t>
      </w:r>
    </w:p>
    <w:p w14:paraId="170F7E3A" w14:textId="1E3CB7D5" w:rsidR="00A14420" w:rsidRPr="00C4084C" w:rsidRDefault="00A14420" w:rsidP="00E137CF">
      <w:pPr>
        <w:pStyle w:val="ListBullet"/>
      </w:pPr>
      <w:r w:rsidRPr="00C4084C">
        <w:rPr>
          <w:b/>
          <w:bCs/>
        </w:rPr>
        <w:t xml:space="preserve">Data collection: </w:t>
      </w:r>
      <w:r w:rsidRPr="00C4084C">
        <w:t xml:space="preserve">Collect new types of data such as more granular equity indicators (e.g. students who are care leavers, carers or refugees) and course delivery costs to inform </w:t>
      </w:r>
      <w:proofErr w:type="gramStart"/>
      <w:r w:rsidRPr="00C4084C">
        <w:t>analysis</w:t>
      </w:r>
      <w:proofErr w:type="gramEnd"/>
    </w:p>
    <w:p w14:paraId="486A479E" w14:textId="1A6538CD" w:rsidR="00A14420" w:rsidRPr="00C4084C" w:rsidRDefault="00A14420" w:rsidP="00E137CF">
      <w:pPr>
        <w:pStyle w:val="ListBullet"/>
      </w:pPr>
      <w:r w:rsidRPr="00C4084C">
        <w:rPr>
          <w:b/>
          <w:bCs/>
        </w:rPr>
        <w:t>Data sharing and integration</w:t>
      </w:r>
      <w:r w:rsidRPr="00C4084C">
        <w:t xml:space="preserve">: Integrate data from existing bodies and collection series through information sharing agreements to avoid duplication and utilise existing expertise. Coordinate data collection efforts to be better targeted and consistent across the </w:t>
      </w:r>
      <w:proofErr w:type="gramStart"/>
      <w:r w:rsidRPr="00C4084C">
        <w:t>system</w:t>
      </w:r>
      <w:proofErr w:type="gramEnd"/>
    </w:p>
    <w:p w14:paraId="304A5C5B" w14:textId="3840E2D2" w:rsidR="00A14420" w:rsidRPr="00C4084C" w:rsidRDefault="00A14420" w:rsidP="00E137CF">
      <w:pPr>
        <w:pStyle w:val="ListBullet"/>
      </w:pPr>
      <w:r w:rsidRPr="00C4084C">
        <w:rPr>
          <w:b/>
          <w:bCs/>
        </w:rPr>
        <w:t>Analysis</w:t>
      </w:r>
      <w:r w:rsidRPr="00C4084C">
        <w:t xml:space="preserve">: Undertake continuous expert analysis on sectoral issues to provide evidence for decision making. Evaluate performance and evolve </w:t>
      </w:r>
      <w:proofErr w:type="gramStart"/>
      <w:r w:rsidRPr="00C4084C">
        <w:t>metrics</w:t>
      </w:r>
      <w:proofErr w:type="gramEnd"/>
    </w:p>
    <w:p w14:paraId="2FC5CE60" w14:textId="2C4A5DAB" w:rsidR="00A14420" w:rsidRPr="00C4084C" w:rsidRDefault="00A14420" w:rsidP="00E137CF">
      <w:pPr>
        <w:pStyle w:val="ListBullet"/>
      </w:pPr>
      <w:r w:rsidRPr="00C4084C">
        <w:rPr>
          <w:b/>
          <w:bCs/>
        </w:rPr>
        <w:t>Dissemination</w:t>
      </w:r>
      <w:r w:rsidRPr="00C4084C">
        <w:t xml:space="preserve">: Provide evidence and expertise to facilitate </w:t>
      </w:r>
      <w:r w:rsidR="00B00876" w:rsidRPr="00C4084C">
        <w:t xml:space="preserve">conversation </w:t>
      </w:r>
      <w:r w:rsidRPr="00C4084C">
        <w:t xml:space="preserve">between all stakeholders. Support annual and </w:t>
      </w:r>
      <w:r w:rsidR="00404038" w:rsidRPr="00C4084C">
        <w:t>triennial</w:t>
      </w:r>
      <w:r w:rsidRPr="00C4084C">
        <w:t xml:space="preserve"> </w:t>
      </w:r>
      <w:proofErr w:type="gramStart"/>
      <w:r w:rsidRPr="00C4084C">
        <w:t>reporting</w:t>
      </w:r>
      <w:proofErr w:type="gramEnd"/>
    </w:p>
    <w:p w14:paraId="528AFF02" w14:textId="27E55DFA" w:rsidR="00A14420" w:rsidRPr="00C4084C" w:rsidRDefault="00A14420" w:rsidP="00E137CF">
      <w:pPr>
        <w:pStyle w:val="ListBullet"/>
      </w:pPr>
      <w:r w:rsidRPr="00C4084C">
        <w:rPr>
          <w:b/>
          <w:bCs/>
        </w:rPr>
        <w:lastRenderedPageBreak/>
        <w:t>International comparisons</w:t>
      </w:r>
      <w:r w:rsidRPr="00C4084C">
        <w:t>: Build up detailed data and knowledge of systems</w:t>
      </w:r>
      <w:r w:rsidR="00710C21" w:rsidRPr="00C4084C">
        <w:t xml:space="preserve"> in comparator countries</w:t>
      </w:r>
      <w:r w:rsidRPr="00C4084C">
        <w:t>.</w:t>
      </w:r>
    </w:p>
    <w:p w14:paraId="3965CA2A" w14:textId="3BF8389F" w:rsidR="00A14420" w:rsidRPr="00C4084C" w:rsidRDefault="00283C03" w:rsidP="00826767">
      <w:pPr>
        <w:pStyle w:val="Heading5"/>
      </w:pPr>
      <w:bookmarkStart w:id="1130" w:name="_Toc148342416"/>
      <w:bookmarkStart w:id="1131" w:name="_Toc735069329"/>
      <w:bookmarkStart w:id="1132" w:name="_Toc806297368"/>
      <w:bookmarkStart w:id="1133" w:name="_Toc150600350"/>
      <w:r w:rsidRPr="00C4084C">
        <w:t>S</w:t>
      </w:r>
      <w:r w:rsidR="00A14420" w:rsidRPr="00C4084C">
        <w:t>ubsidiary bodies</w:t>
      </w:r>
      <w:bookmarkEnd w:id="1130"/>
      <w:bookmarkEnd w:id="1131"/>
      <w:bookmarkEnd w:id="1132"/>
      <w:bookmarkEnd w:id="1133"/>
    </w:p>
    <w:p w14:paraId="11099051" w14:textId="67F57E6C" w:rsidR="00A14420" w:rsidRPr="00C4084C" w:rsidRDefault="00510621" w:rsidP="00581E37">
      <w:r>
        <w:t>It is proposed that the</w:t>
      </w:r>
      <w:r w:rsidRPr="00C4084C">
        <w:t xml:space="preserve"> </w:t>
      </w:r>
      <w:r w:rsidR="00362122" w:rsidRPr="00C4084C">
        <w:t>Commission</w:t>
      </w:r>
      <w:r w:rsidR="00A14420" w:rsidRPr="00C4084C">
        <w:t xml:space="preserve"> have a wide remit of responsibilities and </w:t>
      </w:r>
      <w:r>
        <w:t xml:space="preserve">it </w:t>
      </w:r>
      <w:r w:rsidR="00A14420" w:rsidRPr="00C4084C">
        <w:t xml:space="preserve">will need to draw on expertise from across the </w:t>
      </w:r>
      <w:r w:rsidR="00BB3912" w:rsidRPr="00C4084C">
        <w:t xml:space="preserve">tertiary education </w:t>
      </w:r>
      <w:r w:rsidR="00A14420" w:rsidRPr="00C4084C">
        <w:t xml:space="preserve">system to inform its activities. The </w:t>
      </w:r>
      <w:r w:rsidR="00362122" w:rsidRPr="00C4084C">
        <w:t>Commission</w:t>
      </w:r>
      <w:r w:rsidR="00A14420" w:rsidRPr="00C4084C">
        <w:t xml:space="preserve"> </w:t>
      </w:r>
      <w:r>
        <w:t>should</w:t>
      </w:r>
      <w:r w:rsidRPr="00C4084C">
        <w:t xml:space="preserve"> </w:t>
      </w:r>
      <w:r w:rsidR="00A14420" w:rsidRPr="00C4084C">
        <w:t xml:space="preserve">also have </w:t>
      </w:r>
      <w:r w:rsidR="00157D4C" w:rsidRPr="00C4084C">
        <w:t xml:space="preserve">the </w:t>
      </w:r>
      <w:r w:rsidR="00A14420" w:rsidRPr="00C4084C">
        <w:t xml:space="preserve">independent TEQSA and ARC within its organisational </w:t>
      </w:r>
      <w:r w:rsidR="007630B3" w:rsidRPr="00C4084C">
        <w:t xml:space="preserve">structure </w:t>
      </w:r>
      <w:r w:rsidR="00A14420" w:rsidRPr="00C4084C">
        <w:t>as described earlier in this chapter.</w:t>
      </w:r>
    </w:p>
    <w:p w14:paraId="36F22BD9" w14:textId="5FAB88CA" w:rsidR="00A14420" w:rsidRPr="00C4084C" w:rsidRDefault="00A14420" w:rsidP="00581E37">
      <w:r w:rsidRPr="00C4084C" w:rsidDel="00C47D38">
        <w:t xml:space="preserve">The </w:t>
      </w:r>
      <w:r w:rsidR="00362122" w:rsidRPr="00C4084C">
        <w:t>Commission</w:t>
      </w:r>
      <w:r w:rsidRPr="00C4084C">
        <w:t xml:space="preserve"> should create opportunities for all participants in the </w:t>
      </w:r>
      <w:r w:rsidR="00BB3912" w:rsidRPr="00C4084C">
        <w:t xml:space="preserve">tertiary </w:t>
      </w:r>
      <w:r w:rsidRPr="00C4084C">
        <w:t xml:space="preserve">education sector to be an active part of designing and implementing reforms </w:t>
      </w:r>
      <w:r w:rsidR="1577CA72" w:rsidRPr="00C4084C">
        <w:t>following</w:t>
      </w:r>
      <w:r w:rsidRPr="00C4084C">
        <w:t xml:space="preserve"> this Review. A core principle of the </w:t>
      </w:r>
      <w:r w:rsidR="00362122" w:rsidRPr="00C4084C">
        <w:t>Commission</w:t>
      </w:r>
      <w:r w:rsidRPr="00C4084C">
        <w:t xml:space="preserve"> is that it focuses on working collaboratively. </w:t>
      </w:r>
    </w:p>
    <w:p w14:paraId="0388F50F" w14:textId="1BA4DD72" w:rsidR="00A14420" w:rsidRPr="00C4084C" w:rsidRDefault="00A14420" w:rsidP="00581E37">
      <w:r w:rsidRPr="00C4084C">
        <w:t xml:space="preserve">The Review considers that collaboration can be enhanced by establishing standing councils within the </w:t>
      </w:r>
      <w:r w:rsidR="00362122" w:rsidRPr="00C4084C">
        <w:t>Commission</w:t>
      </w:r>
      <w:r w:rsidRPr="00C4084C">
        <w:t xml:space="preserve">, to bring specialised expertise. The number of councils will likely evolve as the </w:t>
      </w:r>
      <w:r w:rsidR="00362122" w:rsidRPr="00C4084C">
        <w:t>Commission</w:t>
      </w:r>
      <w:r w:rsidRPr="00C4084C">
        <w:t xml:space="preserve"> responds to emerging challenges and community expectations. However, at commencement, the Review considers it crucial to establish </w:t>
      </w:r>
      <w:r w:rsidR="11EFFE00" w:rsidRPr="00C4084C">
        <w:t>2</w:t>
      </w:r>
      <w:r w:rsidRPr="00C4084C">
        <w:t xml:space="preserve"> councils within the </w:t>
      </w:r>
      <w:r w:rsidR="00362122" w:rsidRPr="00C4084C">
        <w:t>Commission</w:t>
      </w:r>
      <w:r w:rsidRPr="00C4084C">
        <w:t xml:space="preserve"> as subsidiary bodies:</w:t>
      </w:r>
    </w:p>
    <w:p w14:paraId="382DF008" w14:textId="257289A9" w:rsidR="00A14420" w:rsidRPr="00C4084C" w:rsidRDefault="00A14420" w:rsidP="005F21B8">
      <w:pPr>
        <w:pStyle w:val="ListBullet"/>
      </w:pPr>
      <w:r w:rsidRPr="00C4084C">
        <w:t>a First Nations Council that supports a focus on First Nations</w:t>
      </w:r>
      <w:r w:rsidR="00283CD5" w:rsidRPr="00C4084C">
        <w:t xml:space="preserve"> self-determination</w:t>
      </w:r>
      <w:r w:rsidRPr="00C4084C">
        <w:t xml:space="preserve"> at the heart of the higher education system – the Review </w:t>
      </w:r>
      <w:r w:rsidR="00556A86">
        <w:t>proposes full</w:t>
      </w:r>
      <w:r w:rsidR="00556A86" w:rsidRPr="00C4084C">
        <w:t xml:space="preserve"> adopt</w:t>
      </w:r>
      <w:r w:rsidR="00556A86">
        <w:t>ion</w:t>
      </w:r>
      <w:r w:rsidR="00556A86" w:rsidRPr="00C4084C">
        <w:t xml:space="preserve"> </w:t>
      </w:r>
      <w:r w:rsidR="00556A86">
        <w:t xml:space="preserve">of </w:t>
      </w:r>
      <w:r w:rsidRPr="00C4084C">
        <w:t xml:space="preserve">the approach outlined in the </w:t>
      </w:r>
      <w:r w:rsidRPr="00C4084C">
        <w:rPr>
          <w:i/>
          <w:iCs/>
        </w:rPr>
        <w:t>National Agreement on Closing the Gap</w:t>
      </w:r>
      <w:r w:rsidRPr="00C4084C">
        <w:t xml:space="preserve">, requiring that </w:t>
      </w:r>
      <w:r w:rsidR="002B4941" w:rsidRPr="00C4084C">
        <w:t>policymaking</w:t>
      </w:r>
      <w:r w:rsidRPr="00C4084C">
        <w:t xml:space="preserve"> that </w:t>
      </w:r>
      <w:r w:rsidR="00A14F8D" w:rsidRPr="00C4084C">
        <w:t>affects</w:t>
      </w:r>
      <w:r w:rsidRPr="00C4084C">
        <w:t xml:space="preserve"> the lives of First Nations people is done in full and genuine partnership.</w:t>
      </w:r>
      <w:r w:rsidRPr="00C4084C">
        <w:rPr>
          <w:rStyle w:val="FootnoteReference"/>
        </w:rPr>
        <w:footnoteReference w:id="380"/>
      </w:r>
      <w:r w:rsidRPr="00C4084C">
        <w:t xml:space="preserve"> A full description is provided in more detail in a sub-section </w:t>
      </w:r>
      <w:proofErr w:type="gramStart"/>
      <w:r w:rsidRPr="00C4084C">
        <w:t>below</w:t>
      </w:r>
      <w:proofErr w:type="gramEnd"/>
    </w:p>
    <w:p w14:paraId="555E237E" w14:textId="6D0E752E" w:rsidR="00A14420" w:rsidRPr="00C4084C" w:rsidRDefault="00A14420" w:rsidP="005F21B8">
      <w:pPr>
        <w:pStyle w:val="ListBullet"/>
      </w:pPr>
      <w:r w:rsidRPr="00C4084C">
        <w:t xml:space="preserve">a </w:t>
      </w:r>
      <w:r w:rsidR="006602F8" w:rsidRPr="00C4084C">
        <w:t>Learning and Teaching Council</w:t>
      </w:r>
      <w:r w:rsidRPr="00C4084C">
        <w:t xml:space="preserve"> focused on advancing the quality of higher education experience and delivery</w:t>
      </w:r>
      <w:r w:rsidR="00A14F8D" w:rsidRPr="00C4084C">
        <w:t xml:space="preserve"> and on the use of technologies such as Artificial Intelligence (AI) tools and techniques</w:t>
      </w:r>
      <w:r w:rsidRPr="00C4084C">
        <w:t xml:space="preserve">. </w:t>
      </w:r>
    </w:p>
    <w:p w14:paraId="7ACA731F" w14:textId="3617DCF4" w:rsidR="00756267" w:rsidRPr="00C4084C" w:rsidRDefault="00756267" w:rsidP="00581E37">
      <w:r w:rsidRPr="00C4084C">
        <w:t xml:space="preserve">The Review believes strongly in the power of collaboration. There are other areas where the </w:t>
      </w:r>
      <w:r w:rsidR="00362122" w:rsidRPr="00C4084C">
        <w:t>Commission</w:t>
      </w:r>
      <w:r w:rsidRPr="00C4084C">
        <w:t xml:space="preserve"> should use its convening power to draw in relevant parties to help establish a way forward, for example on workplace relations as discussed </w:t>
      </w:r>
      <w:r w:rsidR="00CA6C04">
        <w:t>abov</w:t>
      </w:r>
      <w:r w:rsidR="00C125A6">
        <w:t>e</w:t>
      </w:r>
      <w:r w:rsidRPr="00C4084C">
        <w:t xml:space="preserve">. Another example is bringing industry, </w:t>
      </w:r>
      <w:proofErr w:type="gramStart"/>
      <w:r w:rsidRPr="00C4084C">
        <w:t>employers</w:t>
      </w:r>
      <w:proofErr w:type="gramEnd"/>
      <w:r w:rsidRPr="00C4084C">
        <w:t xml:space="preserve"> and </w:t>
      </w:r>
      <w:r w:rsidR="00F42E90" w:rsidRPr="00C4084C">
        <w:t xml:space="preserve">tertiary education </w:t>
      </w:r>
      <w:r w:rsidRPr="00C4084C">
        <w:t xml:space="preserve">institutions together through a forum to facilitate stronger collaboration on research and on skills, as was suggested to the Review by the Business Council of Australia. </w:t>
      </w:r>
      <w:r w:rsidR="00516F73" w:rsidRPr="00C4084C">
        <w:t xml:space="preserve">This approach </w:t>
      </w:r>
      <w:r w:rsidR="00F42E90" w:rsidRPr="00C4084C">
        <w:t xml:space="preserve">could </w:t>
      </w:r>
      <w:r w:rsidR="00516F73" w:rsidRPr="00C4084C">
        <w:t xml:space="preserve">see individual or clusters of businesses partnering with a university </w:t>
      </w:r>
      <w:r w:rsidR="002F4CFD" w:rsidRPr="00C4084C">
        <w:t xml:space="preserve">to </w:t>
      </w:r>
      <w:r w:rsidR="00BC02B6" w:rsidRPr="00C4084C">
        <w:t xml:space="preserve">develop tailored collaborations that benefit the universities, </w:t>
      </w:r>
      <w:proofErr w:type="gramStart"/>
      <w:r w:rsidR="00BC02B6" w:rsidRPr="00C4084C">
        <w:t>students</w:t>
      </w:r>
      <w:proofErr w:type="gramEnd"/>
      <w:r w:rsidR="00BC02B6" w:rsidRPr="00C4084C">
        <w:t xml:space="preserve"> and businesses. These collaborations could take place </w:t>
      </w:r>
      <w:r w:rsidR="008774BF" w:rsidRPr="00C4084C">
        <w:t xml:space="preserve">through </w:t>
      </w:r>
      <w:r w:rsidR="00BC02B6" w:rsidRPr="00C4084C">
        <w:t>research and education</w:t>
      </w:r>
      <w:r w:rsidR="008774BF" w:rsidRPr="00C4084C">
        <w:t xml:space="preserve"> activities</w:t>
      </w:r>
      <w:r w:rsidR="001A6B43" w:rsidRPr="00C4084C">
        <w:t>, for instance by co-designing courses in priority subjects to ensure students are equipped with the most contemporary skills,</w:t>
      </w:r>
      <w:r w:rsidR="008774BF" w:rsidRPr="00C4084C">
        <w:t xml:space="preserve"> or as a ‘clearing house’ to better match students, researchers and businesses with </w:t>
      </w:r>
      <w:r w:rsidR="001A6B43" w:rsidRPr="00C4084C">
        <w:t xml:space="preserve">the </w:t>
      </w:r>
      <w:r w:rsidR="008774BF" w:rsidRPr="00C4084C">
        <w:t xml:space="preserve">opportunities </w:t>
      </w:r>
      <w:r w:rsidR="001A6B43" w:rsidRPr="00C4084C">
        <w:t>and skills they</w:t>
      </w:r>
      <w:r w:rsidR="00F22CE2" w:rsidRPr="00C4084C">
        <w:t xml:space="preserve"> a</w:t>
      </w:r>
      <w:r w:rsidR="001A6B43" w:rsidRPr="00C4084C">
        <w:t>re looking for.</w:t>
      </w:r>
    </w:p>
    <w:p w14:paraId="178488A5" w14:textId="77777777" w:rsidR="00A14420" w:rsidRPr="00C4084C" w:rsidRDefault="00A14420" w:rsidP="00AA7BB3">
      <w:pPr>
        <w:pStyle w:val="Heading5"/>
      </w:pPr>
      <w:bookmarkStart w:id="1136" w:name="_Toc305057302"/>
      <w:bookmarkStart w:id="1137" w:name="_Toc1998027463"/>
      <w:r w:rsidRPr="00C4084C">
        <w:t>Research into the higher education system</w:t>
      </w:r>
      <w:bookmarkEnd w:id="1136"/>
      <w:bookmarkEnd w:id="1137"/>
    </w:p>
    <w:p w14:paraId="2E05175A" w14:textId="40FBA1BC" w:rsidR="00700BCD" w:rsidRPr="00C4084C" w:rsidRDefault="00700BCD" w:rsidP="00AA7BB3">
      <w:pPr>
        <w:pStyle w:val="Heading6"/>
        <w:rPr>
          <w:rStyle w:val="ui-provider"/>
          <w:b w:val="0"/>
        </w:rPr>
      </w:pPr>
      <w:bookmarkStart w:id="1138" w:name="_Hlk153206557"/>
      <w:r w:rsidRPr="00C4084C">
        <w:t>A Centre of Excellence in Higher Education</w:t>
      </w:r>
      <w:r w:rsidR="00967157">
        <w:t xml:space="preserve"> and Research</w:t>
      </w:r>
    </w:p>
    <w:bookmarkEnd w:id="1138"/>
    <w:p w14:paraId="527ADCAF" w14:textId="51A248E9" w:rsidR="00A14420" w:rsidRPr="00C4084C" w:rsidRDefault="00473C70" w:rsidP="00581E37">
      <w:r w:rsidRPr="00C4084C">
        <w:rPr>
          <w:rStyle w:val="ui-provider"/>
        </w:rPr>
        <w:t xml:space="preserve">There </w:t>
      </w:r>
      <w:r>
        <w:rPr>
          <w:rStyle w:val="ui-provider"/>
        </w:rPr>
        <w:t>is relatively limited</w:t>
      </w:r>
      <w:r w:rsidRPr="00C4084C">
        <w:rPr>
          <w:rStyle w:val="ui-provider"/>
        </w:rPr>
        <w:t xml:space="preserve"> expert</w:t>
      </w:r>
      <w:r>
        <w:rPr>
          <w:rStyle w:val="ui-provider"/>
        </w:rPr>
        <w:t>ise</w:t>
      </w:r>
      <w:r w:rsidRPr="00C4084C">
        <w:rPr>
          <w:rStyle w:val="ui-provider"/>
        </w:rPr>
        <w:t xml:space="preserve"> </w:t>
      </w:r>
      <w:r>
        <w:rPr>
          <w:rStyle w:val="ui-provider"/>
        </w:rPr>
        <w:t>regarding</w:t>
      </w:r>
      <w:r w:rsidRPr="00C4084C">
        <w:rPr>
          <w:rStyle w:val="ui-provider"/>
        </w:rPr>
        <w:t xml:space="preserve"> the higher education </w:t>
      </w:r>
      <w:proofErr w:type="gramStart"/>
      <w:r w:rsidRPr="00C4084C">
        <w:rPr>
          <w:rStyle w:val="ui-provider"/>
        </w:rPr>
        <w:t>sector as a whole</w:t>
      </w:r>
      <w:r>
        <w:rPr>
          <w:rStyle w:val="ui-provider"/>
        </w:rPr>
        <w:t>,</w:t>
      </w:r>
      <w:r w:rsidRPr="00C4084C">
        <w:rPr>
          <w:rStyle w:val="ui-provider"/>
        </w:rPr>
        <w:t xml:space="preserve"> and</w:t>
      </w:r>
      <w:proofErr w:type="gramEnd"/>
      <w:r w:rsidRPr="00C4084C">
        <w:rPr>
          <w:rStyle w:val="ui-provider"/>
        </w:rPr>
        <w:t xml:space="preserve"> </w:t>
      </w:r>
      <w:r>
        <w:rPr>
          <w:rStyle w:val="ui-provider"/>
        </w:rPr>
        <w:t xml:space="preserve">similarly limited capability in </w:t>
      </w:r>
      <w:r w:rsidRPr="00C4084C">
        <w:rPr>
          <w:rStyle w:val="ui-provider"/>
        </w:rPr>
        <w:t>understand</w:t>
      </w:r>
      <w:r>
        <w:rPr>
          <w:rStyle w:val="ui-provider"/>
        </w:rPr>
        <w:t>ing</w:t>
      </w:r>
      <w:r w:rsidRPr="00C4084C">
        <w:rPr>
          <w:rStyle w:val="ui-provider"/>
        </w:rPr>
        <w:t xml:space="preserve"> </w:t>
      </w:r>
      <w:r w:rsidR="00F0375D" w:rsidRPr="00C4084C">
        <w:rPr>
          <w:rStyle w:val="ui-provider"/>
        </w:rPr>
        <w:t>complex interactions across the whole tertiary</w:t>
      </w:r>
      <w:r w:rsidR="00A14F8D" w:rsidRPr="00C4084C">
        <w:rPr>
          <w:rStyle w:val="ui-provider"/>
        </w:rPr>
        <w:t xml:space="preserve"> education</w:t>
      </w:r>
      <w:r w:rsidR="00F0375D" w:rsidRPr="00C4084C">
        <w:rPr>
          <w:rStyle w:val="ui-provider"/>
        </w:rPr>
        <w:t xml:space="preserve"> system. </w:t>
      </w:r>
      <w:r w:rsidR="00A14420" w:rsidRPr="00C4084C">
        <w:t xml:space="preserve">While the Review was able to call on advice and assistance from many experts and stakeholders, it was not without difficulty, and demonstrated that there are considerable gaps in </w:t>
      </w:r>
      <w:r w:rsidR="00F0375D" w:rsidRPr="00C4084C">
        <w:t xml:space="preserve">knowledge and </w:t>
      </w:r>
      <w:r w:rsidR="00A14420" w:rsidRPr="00C4084C">
        <w:lastRenderedPageBreak/>
        <w:t xml:space="preserve">understanding of </w:t>
      </w:r>
      <w:r w:rsidR="00F0375D" w:rsidRPr="00C4084C">
        <w:t>this complex system</w:t>
      </w:r>
      <w:r w:rsidR="00A14420" w:rsidRPr="00C4084C">
        <w:t>. A forum is needed for regular and ongoing engagement, learning and best</w:t>
      </w:r>
      <w:r w:rsidR="00703C49">
        <w:t xml:space="preserve"> </w:t>
      </w:r>
      <w:r w:rsidR="00A14420" w:rsidRPr="00C4084C">
        <w:t xml:space="preserve">practice. As part of its policy role, the </w:t>
      </w:r>
      <w:r w:rsidR="00362122" w:rsidRPr="00C4084C">
        <w:t>Commission</w:t>
      </w:r>
      <w:r w:rsidR="00A14420" w:rsidRPr="00C4084C">
        <w:t xml:space="preserve"> should facilitate greater research and analysis on the higher education system itself</w:t>
      </w:r>
      <w:r w:rsidR="00B70C51">
        <w:t>,</w:t>
      </w:r>
      <w:r w:rsidR="00703C49">
        <w:t xml:space="preserve"> including its interaction with the wider national research system</w:t>
      </w:r>
      <w:r w:rsidR="00A14420" w:rsidRPr="00C4084C">
        <w:t xml:space="preserve">. </w:t>
      </w:r>
    </w:p>
    <w:p w14:paraId="4E710EFF" w14:textId="3EE53357" w:rsidR="00A14420" w:rsidRPr="000775DD" w:rsidRDefault="00F0375D" w:rsidP="00581E37">
      <w:r w:rsidRPr="00C4084C">
        <w:t>The Review is recommend</w:t>
      </w:r>
      <w:r w:rsidR="00283CD5" w:rsidRPr="00C4084C">
        <w:t>ing a</w:t>
      </w:r>
      <w:r w:rsidR="00A14420" w:rsidRPr="00C4084C">
        <w:t xml:space="preserve"> Centre of Excellence in </w:t>
      </w:r>
      <w:r w:rsidR="00A14420" w:rsidRPr="000775DD">
        <w:t>Higher Education</w:t>
      </w:r>
      <w:r w:rsidR="00967157" w:rsidRPr="000775DD">
        <w:t xml:space="preserve"> and Research</w:t>
      </w:r>
      <w:r w:rsidR="00A14420" w:rsidRPr="000775DD">
        <w:t xml:space="preserve">, </w:t>
      </w:r>
      <w:r w:rsidR="00283CD5" w:rsidRPr="000775DD">
        <w:t xml:space="preserve">to be </w:t>
      </w:r>
      <w:r w:rsidR="00A14420" w:rsidRPr="000775DD">
        <w:t xml:space="preserve">housed within the </w:t>
      </w:r>
      <w:r w:rsidR="00362122" w:rsidRPr="000775DD">
        <w:t>Commission</w:t>
      </w:r>
      <w:r w:rsidR="00A14420" w:rsidRPr="000775DD">
        <w:t>,</w:t>
      </w:r>
      <w:r w:rsidR="00283CD5" w:rsidRPr="000775DD">
        <w:t xml:space="preserve"> </w:t>
      </w:r>
      <w:r w:rsidR="00A14F8D" w:rsidRPr="000775DD">
        <w:t>which</w:t>
      </w:r>
      <w:r w:rsidR="00A14420" w:rsidRPr="000775DD">
        <w:t xml:space="preserve"> would develop deep, specialised knowledge on the system </w:t>
      </w:r>
      <w:r w:rsidR="00283CD5" w:rsidRPr="000775DD">
        <w:t>to</w:t>
      </w:r>
      <w:r w:rsidR="00A14420" w:rsidRPr="000775DD" w:rsidDel="00283CD5">
        <w:t xml:space="preserve"> be </w:t>
      </w:r>
      <w:r w:rsidR="00A14420" w:rsidRPr="000775DD">
        <w:t xml:space="preserve">fed into the Commission’s planning and coordination, and policy functions. Such a body would require resourcing and capacity for data collection, </w:t>
      </w:r>
      <w:proofErr w:type="gramStart"/>
      <w:r w:rsidR="00A14420" w:rsidRPr="000775DD">
        <w:t>analysis</w:t>
      </w:r>
      <w:proofErr w:type="gramEnd"/>
      <w:r w:rsidR="00A14420" w:rsidRPr="000775DD">
        <w:t xml:space="preserve"> and publication of research on the health of the system</w:t>
      </w:r>
      <w:r w:rsidR="00C03F69" w:rsidRPr="000775DD">
        <w:t xml:space="preserve"> (see Recommendation </w:t>
      </w:r>
      <w:r w:rsidR="00C26822" w:rsidRPr="000775DD">
        <w:t>3</w:t>
      </w:r>
      <w:r w:rsidR="00CB2C39" w:rsidRPr="000775DD">
        <w:t>2</w:t>
      </w:r>
      <w:r w:rsidR="00C03F69" w:rsidRPr="000775DD">
        <w:t>)</w:t>
      </w:r>
      <w:r w:rsidR="00A14420" w:rsidRPr="000775DD">
        <w:t>.</w:t>
      </w:r>
      <w:r w:rsidR="00A14420" w:rsidRPr="000775DD">
        <w:rPr>
          <w:rStyle w:val="FootnoteReference"/>
        </w:rPr>
        <w:footnoteReference w:id="381"/>
      </w:r>
    </w:p>
    <w:p w14:paraId="62593C47" w14:textId="4AF3EB19" w:rsidR="00A14420" w:rsidRPr="00C4084C" w:rsidRDefault="00A14420" w:rsidP="00581E37">
      <w:r w:rsidRPr="000775DD">
        <w:t xml:space="preserve">A </w:t>
      </w:r>
      <w:r w:rsidR="00F0375D" w:rsidRPr="000775DD">
        <w:t>Centre of Excellence in Higher Education</w:t>
      </w:r>
      <w:r w:rsidR="00967157" w:rsidRPr="000775DD">
        <w:t xml:space="preserve"> and Research</w:t>
      </w:r>
      <w:r w:rsidRPr="000775DD">
        <w:t xml:space="preserve"> would</w:t>
      </w:r>
      <w:r w:rsidRPr="00C4084C">
        <w:t xml:space="preserve"> allow the </w:t>
      </w:r>
      <w:r w:rsidR="00362122" w:rsidRPr="00C4084C">
        <w:t>Commission</w:t>
      </w:r>
      <w:r w:rsidRPr="00C4084C">
        <w:t xml:space="preserve"> to fulfill its leadership role in relation to system-wide improvements and innovation, for example, meeting participation targets or enhancing the quality of learning and teaching. It would also allow the </w:t>
      </w:r>
      <w:r w:rsidR="00362122" w:rsidRPr="00C4084C">
        <w:t>Commission</w:t>
      </w:r>
      <w:r w:rsidRPr="00C4084C">
        <w:t xml:space="preserve"> to steer improvements in the national </w:t>
      </w:r>
      <w:r w:rsidR="007C4759" w:rsidRPr="00C4084C">
        <w:t xml:space="preserve">university </w:t>
      </w:r>
      <w:r w:rsidRPr="00C4084C">
        <w:t>research environment.</w:t>
      </w:r>
    </w:p>
    <w:p w14:paraId="299DDFD2" w14:textId="2023C284" w:rsidR="004212F4" w:rsidRPr="00C4084C" w:rsidRDefault="00E23172" w:rsidP="00581E37">
      <w:r w:rsidRPr="00C4084C">
        <w:t>There</w:t>
      </w:r>
      <w:r w:rsidR="004212F4" w:rsidRPr="00C4084C">
        <w:t xml:space="preserve"> is a need in Australia for greater research on education more generally. The Review suggests that the new Centre of Excellence should partner with researchers specialising in early childhood, </w:t>
      </w:r>
      <w:proofErr w:type="gramStart"/>
      <w:r w:rsidR="004212F4" w:rsidRPr="00C4084C">
        <w:t>school</w:t>
      </w:r>
      <w:proofErr w:type="gramEnd"/>
      <w:r w:rsidR="004212F4" w:rsidRPr="00C4084C">
        <w:t xml:space="preserve"> and vocational education.</w:t>
      </w:r>
    </w:p>
    <w:p w14:paraId="3C77C013" w14:textId="3DEC67A4" w:rsidR="00700BCD" w:rsidRPr="00C4084C" w:rsidRDefault="00700BCD" w:rsidP="00AA7BB3">
      <w:pPr>
        <w:pStyle w:val="Heading6"/>
      </w:pPr>
      <w:r w:rsidRPr="00C4084C">
        <w:t xml:space="preserve">A </w:t>
      </w:r>
      <w:r w:rsidR="00E23172" w:rsidRPr="00C4084C">
        <w:t>racism study</w:t>
      </w:r>
      <w:r w:rsidR="00473C70">
        <w:t xml:space="preserve"> to build inclusion and </w:t>
      </w:r>
      <w:proofErr w:type="gramStart"/>
      <w:r w:rsidR="00473C70">
        <w:t>safety</w:t>
      </w:r>
      <w:proofErr w:type="gramEnd"/>
    </w:p>
    <w:p w14:paraId="2C593284" w14:textId="7C10AC39" w:rsidR="00807E45" w:rsidRPr="00C4084C" w:rsidRDefault="00807E45" w:rsidP="00581E37">
      <w:r w:rsidRPr="00C4084C">
        <w:t xml:space="preserve">In consultations, the Review heard of instances of racism at higher education providers, including </w:t>
      </w:r>
      <w:r w:rsidR="00B04AE1">
        <w:t xml:space="preserve">from </w:t>
      </w:r>
      <w:r w:rsidRPr="00C4084C">
        <w:t xml:space="preserve">First Nations students and staff, both at campus and online. Racism takes many forms. It can be deliberately harmful or carelessly casual. In education and employment settings – enrolment, assessment, </w:t>
      </w:r>
      <w:proofErr w:type="gramStart"/>
      <w:r w:rsidRPr="00C4084C">
        <w:t>recruitment</w:t>
      </w:r>
      <w:proofErr w:type="gramEnd"/>
      <w:r w:rsidRPr="00C4084C">
        <w:t xml:space="preserve"> and promotion – racism can take the form of conscious or </w:t>
      </w:r>
      <w:r w:rsidR="006B482E" w:rsidRPr="00C4084C">
        <w:t>unconscious</w:t>
      </w:r>
      <w:r w:rsidRPr="00C4084C">
        <w:t xml:space="preserve"> bias. </w:t>
      </w:r>
    </w:p>
    <w:p w14:paraId="2123E91B" w14:textId="02A3C7B6" w:rsidR="00807E45" w:rsidRPr="00C4084C" w:rsidRDefault="00807E45" w:rsidP="00581E37">
      <w:r w:rsidRPr="00C4084C">
        <w:t>The</w:t>
      </w:r>
      <w:r w:rsidR="006B482E" w:rsidRPr="00C4084C">
        <w:t xml:space="preserve"> Change the Course Report and the</w:t>
      </w:r>
      <w:r w:rsidRPr="00C4084C">
        <w:t xml:space="preserve"> National Student Safety Survey played a powerful role in systematically acknowledging the prevalence of sexual </w:t>
      </w:r>
      <w:r w:rsidR="006B482E" w:rsidRPr="00C4084C">
        <w:t>violence in university communities</w:t>
      </w:r>
      <w:r w:rsidRPr="00C4084C">
        <w:t xml:space="preserve"> and </w:t>
      </w:r>
      <w:r w:rsidR="006B482E" w:rsidRPr="00C4084C">
        <w:t xml:space="preserve">the impact of this violence </w:t>
      </w:r>
      <w:r w:rsidR="00076C3B" w:rsidRPr="00C4084C">
        <w:t>on</w:t>
      </w:r>
      <w:r w:rsidR="006B482E" w:rsidRPr="00C4084C">
        <w:t xml:space="preserve"> students’ wellbeing</w:t>
      </w:r>
      <w:r w:rsidRPr="00C4084C">
        <w:t>.</w:t>
      </w:r>
    </w:p>
    <w:p w14:paraId="4FDCDFF3" w14:textId="020DDBB5" w:rsidR="00756FD1" w:rsidRDefault="00807E45" w:rsidP="00581E37">
      <w:r w:rsidRPr="00C4084C">
        <w:t>In a similar vein, the Review believes there is value in conducting a future National Tertiary Education Racism Study, led by experts across a wide range of stakeholder groups, into the prevalence and impact of racism across the tertiary education sector</w:t>
      </w:r>
      <w:r w:rsidR="00A11778" w:rsidRPr="00C4084C">
        <w:t xml:space="preserve"> (see Recommendation 3</w:t>
      </w:r>
      <w:r w:rsidR="008F6055" w:rsidRPr="00C4084C">
        <w:t>3)</w:t>
      </w:r>
      <w:r w:rsidR="00416959" w:rsidRPr="00C4084C">
        <w:t xml:space="preserve">. </w:t>
      </w:r>
      <w:r w:rsidR="00473C70">
        <w:t>An important element of the</w:t>
      </w:r>
      <w:r w:rsidR="00473C70" w:rsidRPr="00C4084C">
        <w:t xml:space="preserve"> </w:t>
      </w:r>
      <w:r w:rsidR="00416959" w:rsidRPr="00C4084C">
        <w:t>study would specifically focus on</w:t>
      </w:r>
      <w:r w:rsidRPr="00C4084C">
        <w:t xml:space="preserve"> the experiences of First Nations staff and students </w:t>
      </w:r>
      <w:r w:rsidR="00416959" w:rsidRPr="00C4084C">
        <w:t xml:space="preserve">while another </w:t>
      </w:r>
      <w:r w:rsidR="00B04AE1">
        <w:t>c</w:t>
      </w:r>
      <w:r w:rsidR="00B04AE1" w:rsidRPr="00C4084C">
        <w:t xml:space="preserve">ould </w:t>
      </w:r>
      <w:r w:rsidR="006D7D25" w:rsidRPr="00C4084C">
        <w:t xml:space="preserve">extend to </w:t>
      </w:r>
      <w:r w:rsidR="00700BCD" w:rsidRPr="00C4084C">
        <w:t xml:space="preserve">staff and students </w:t>
      </w:r>
      <w:r w:rsidR="006D7D25" w:rsidRPr="00C4084C">
        <w:t>from</w:t>
      </w:r>
      <w:r w:rsidR="00700BCD" w:rsidRPr="00C4084C">
        <w:t xml:space="preserve"> other groups who have experienced racism in the sector.</w:t>
      </w:r>
    </w:p>
    <w:p w14:paraId="21CF7FAF" w14:textId="149C0486" w:rsidR="00611EBF" w:rsidRPr="00C4084C" w:rsidRDefault="00473C70" w:rsidP="003E5969">
      <w:r>
        <w:t xml:space="preserve">Following the study, </w:t>
      </w:r>
      <w:r w:rsidRPr="00C4084C">
        <w:t>the Australian Tertiary Education Commission</w:t>
      </w:r>
      <w:r>
        <w:t xml:space="preserve"> would be</w:t>
      </w:r>
      <w:r w:rsidRPr="00C4084C">
        <w:t xml:space="preserve"> tasked with leading the response and acting on the outcomes</w:t>
      </w:r>
      <w:r>
        <w:t xml:space="preserve"> of the analysis, with the overall objective of increasing staff and student wellbeing, </w:t>
      </w:r>
      <w:proofErr w:type="gramStart"/>
      <w:r>
        <w:t>inclusion</w:t>
      </w:r>
      <w:proofErr w:type="gramEnd"/>
      <w:r>
        <w:t xml:space="preserve"> and safety.</w:t>
      </w:r>
    </w:p>
    <w:tbl>
      <w:tblPr>
        <w:tblW w:w="0" w:type="auto"/>
        <w:shd w:val="clear" w:color="auto" w:fill="FBE4D5"/>
        <w:tblLook w:val="04A0" w:firstRow="1" w:lastRow="0" w:firstColumn="1" w:lastColumn="0" w:noHBand="0" w:noVBand="1"/>
      </w:tblPr>
      <w:tblGrid>
        <w:gridCol w:w="9026"/>
      </w:tblGrid>
      <w:tr w:rsidR="00EB0D7B" w:rsidRPr="00C4084C" w14:paraId="507DC7DE" w14:textId="77777777" w:rsidTr="00D26B82">
        <w:tc>
          <w:tcPr>
            <w:tcW w:w="9214" w:type="dxa"/>
            <w:shd w:val="clear" w:color="auto" w:fill="FEECDF"/>
          </w:tcPr>
          <w:p w14:paraId="4AAA44A9" w14:textId="31180F63" w:rsidR="00752040" w:rsidRDefault="00752040" w:rsidP="003E5969">
            <w:pPr>
              <w:pStyle w:val="Recheadinginbox"/>
            </w:pPr>
            <w:r>
              <w:lastRenderedPageBreak/>
              <w:t xml:space="preserve">Recommendation: </w:t>
            </w:r>
            <w:r w:rsidRPr="00C4084C">
              <w:t>Establish an Australian Tertiary Education Commission</w:t>
            </w:r>
          </w:p>
          <w:p w14:paraId="5F8838B1" w14:textId="55F24768" w:rsidR="00EB0D7B" w:rsidRPr="00C4084C" w:rsidRDefault="00EB0D7B" w:rsidP="003E5969">
            <w:pPr>
              <w:pStyle w:val="Recsin-chapterL1"/>
              <w:framePr w:wrap="notBeside"/>
              <w:spacing w:before="0" w:after="0"/>
            </w:pPr>
            <w:r w:rsidRPr="00C4084C">
              <w:t xml:space="preserve">That to deliver on the National Tertiary Education Objective and establish a public sector steward for the tertiary education system, the Australian Government establish an Australian Tertiary Education Commission as a statutory, national body reporting to the Minister for Education and the Minister for Skills and Training. </w:t>
            </w:r>
          </w:p>
          <w:p w14:paraId="07F3CBED" w14:textId="77777777" w:rsidR="00EB0D7B" w:rsidRPr="00C4084C" w:rsidRDefault="00EB0D7B" w:rsidP="003E5969">
            <w:pPr>
              <w:pStyle w:val="Recsin-chapterL2"/>
              <w:spacing w:before="0" w:beforeAutospacing="0"/>
            </w:pPr>
            <w:r w:rsidRPr="00C4084C">
              <w:t>The Australian Tertiary Education Commission would:</w:t>
            </w:r>
          </w:p>
          <w:p w14:paraId="2EE2EC9C" w14:textId="77777777" w:rsidR="00EB0D7B" w:rsidRPr="00581E37" w:rsidRDefault="00EB0D7B" w:rsidP="003E5969">
            <w:pPr>
              <w:pStyle w:val="Recsin-chapterL3"/>
              <w:rPr>
                <w:rStyle w:val="normaltextrun"/>
              </w:rPr>
            </w:pPr>
            <w:r w:rsidRPr="00C4084C">
              <w:rPr>
                <w:rStyle w:val="normaltextrun"/>
                <w:rFonts w:ascii="Calibri" w:hAnsi="Calibri" w:cs="Calibri"/>
              </w:rPr>
              <w:t xml:space="preserve">convene </w:t>
            </w:r>
            <w:r w:rsidRPr="00581E37">
              <w:rPr>
                <w:rStyle w:val="normaltextrun"/>
              </w:rPr>
              <w:t xml:space="preserve">ongoing collaborative engagement about the future of the tertiary education </w:t>
            </w:r>
            <w:proofErr w:type="gramStart"/>
            <w:r w:rsidRPr="00581E37">
              <w:rPr>
                <w:rStyle w:val="normaltextrun"/>
              </w:rPr>
              <w:t>system</w:t>
            </w:r>
            <w:proofErr w:type="gramEnd"/>
            <w:r w:rsidRPr="00581E37">
              <w:rPr>
                <w:rStyle w:val="normaltextrun"/>
              </w:rPr>
              <w:t xml:space="preserve"> </w:t>
            </w:r>
          </w:p>
          <w:p w14:paraId="529BE846" w14:textId="77777777" w:rsidR="00EB0D7B" w:rsidRPr="00581E37" w:rsidRDefault="00EB0D7B" w:rsidP="003E5969">
            <w:pPr>
              <w:pStyle w:val="Recsin-chapterL3"/>
              <w:rPr>
                <w:rStyle w:val="normaltextrun"/>
              </w:rPr>
            </w:pPr>
            <w:r w:rsidRPr="00581E37">
              <w:rPr>
                <w:rStyle w:val="normaltextrun"/>
              </w:rPr>
              <w:t xml:space="preserve">foster a high quality and cohesive tertiary education system, that encourages diversity and student </w:t>
            </w:r>
            <w:proofErr w:type="gramStart"/>
            <w:r w:rsidRPr="00581E37">
              <w:rPr>
                <w:rStyle w:val="normaltextrun"/>
              </w:rPr>
              <w:t>choice</w:t>
            </w:r>
            <w:proofErr w:type="gramEnd"/>
          </w:p>
          <w:p w14:paraId="422AA9D5" w14:textId="77777777" w:rsidR="00EB0D7B" w:rsidRPr="00581E37" w:rsidRDefault="00EB0D7B" w:rsidP="003E5969">
            <w:pPr>
              <w:pStyle w:val="Recsin-chapterL3"/>
              <w:rPr>
                <w:rStyle w:val="normaltextrun"/>
              </w:rPr>
            </w:pPr>
            <w:r w:rsidRPr="00581E37">
              <w:rPr>
                <w:rStyle w:val="normaltextrun"/>
              </w:rPr>
              <w:t xml:space="preserve">advise on meeting skills and equity </w:t>
            </w:r>
            <w:proofErr w:type="gramStart"/>
            <w:r w:rsidRPr="00581E37">
              <w:rPr>
                <w:rStyle w:val="normaltextrun"/>
              </w:rPr>
              <w:t>targets</w:t>
            </w:r>
            <w:proofErr w:type="gramEnd"/>
          </w:p>
          <w:p w14:paraId="79C23980" w14:textId="77777777" w:rsidR="00EB0D7B" w:rsidRPr="00581E37" w:rsidRDefault="00EB0D7B" w:rsidP="003E5969">
            <w:pPr>
              <w:pStyle w:val="Recsin-chapterL3"/>
              <w:rPr>
                <w:rStyle w:val="normaltextrun"/>
              </w:rPr>
            </w:pPr>
            <w:r w:rsidRPr="00581E37">
              <w:rPr>
                <w:rStyle w:val="normaltextrun"/>
              </w:rPr>
              <w:t xml:space="preserve">ensure that regulatory burden is monitored and minimised in the </w:t>
            </w:r>
            <w:proofErr w:type="gramStart"/>
            <w:r w:rsidRPr="00581E37">
              <w:rPr>
                <w:rStyle w:val="normaltextrun"/>
              </w:rPr>
              <w:t>sector</w:t>
            </w:r>
            <w:proofErr w:type="gramEnd"/>
            <w:r w:rsidRPr="00581E37">
              <w:rPr>
                <w:rStyle w:val="normaltextrun"/>
              </w:rPr>
              <w:t xml:space="preserve"> </w:t>
            </w:r>
          </w:p>
          <w:p w14:paraId="2B24DDA2" w14:textId="77777777" w:rsidR="00EB0D7B" w:rsidRPr="00C4084C" w:rsidRDefault="00EB0D7B" w:rsidP="003E5969">
            <w:pPr>
              <w:pStyle w:val="Recsin-chapterL3"/>
              <w:rPr>
                <w:rStyle w:val="normaltextrun"/>
                <w:rFonts w:ascii="Calibri" w:hAnsi="Calibri" w:cs="Calibri"/>
              </w:rPr>
            </w:pPr>
            <w:r w:rsidRPr="00581E37">
              <w:rPr>
                <w:rStyle w:val="normaltextrun"/>
              </w:rPr>
              <w:t>provide expert</w:t>
            </w:r>
            <w:r w:rsidRPr="00C4084C">
              <w:rPr>
                <w:rStyle w:val="normaltextrun"/>
                <w:rFonts w:ascii="Calibri" w:hAnsi="Calibri" w:cs="Calibri"/>
              </w:rPr>
              <w:t xml:space="preserve"> advice to the Government and tertiary education system.</w:t>
            </w:r>
          </w:p>
          <w:p w14:paraId="40576CB0" w14:textId="77777777" w:rsidR="00EB0D7B" w:rsidRPr="00C4084C" w:rsidRDefault="00EB0D7B" w:rsidP="003E5969">
            <w:pPr>
              <w:pStyle w:val="Recsin-chapterL2"/>
            </w:pPr>
            <w:r w:rsidRPr="00C4084C">
              <w:t>The Australian Tertiary Education Commission would have the following functions:</w:t>
            </w:r>
          </w:p>
          <w:p w14:paraId="74F177CC" w14:textId="77777777" w:rsidR="00EB0D7B" w:rsidRPr="00C4084C" w:rsidRDefault="00EB0D7B" w:rsidP="003E5969">
            <w:pPr>
              <w:pStyle w:val="Recsin-chapterL3"/>
            </w:pPr>
            <w:r w:rsidRPr="00C4084C">
              <w:t>policy coordination and development for higher education and university research, and joint development of policy initiatives on tertiary education with the Skills and Workforce Ministerial Council</w:t>
            </w:r>
          </w:p>
          <w:p w14:paraId="6E8DC178" w14:textId="77777777" w:rsidR="00EB0D7B" w:rsidRPr="00C4084C" w:rsidRDefault="00EB0D7B" w:rsidP="003E5969">
            <w:pPr>
              <w:pStyle w:val="Recsin-chapterL3"/>
            </w:pPr>
            <w:r w:rsidRPr="00C4084C">
              <w:t>system planning</w:t>
            </w:r>
          </w:p>
          <w:p w14:paraId="4F441C3E" w14:textId="77777777" w:rsidR="00EB0D7B" w:rsidRPr="00C4084C" w:rsidRDefault="00EB0D7B" w:rsidP="003E5969">
            <w:pPr>
              <w:pStyle w:val="Recsin-chapterL3"/>
            </w:pPr>
            <w:r w:rsidRPr="00C4084C">
              <w:t>negotiating mission-based compacts for universities</w:t>
            </w:r>
          </w:p>
          <w:p w14:paraId="02FC55E9" w14:textId="77777777" w:rsidR="00EB0D7B" w:rsidRPr="00C4084C" w:rsidRDefault="00EB0D7B" w:rsidP="003E5969">
            <w:pPr>
              <w:pStyle w:val="Recsin-chapterL3"/>
            </w:pPr>
            <w:r w:rsidRPr="00C4084C">
              <w:t>pricing authority for the higher education sector</w:t>
            </w:r>
          </w:p>
          <w:p w14:paraId="257887E4" w14:textId="77777777" w:rsidR="00EB0D7B" w:rsidRPr="00C4084C" w:rsidRDefault="00EB0D7B" w:rsidP="003E5969">
            <w:pPr>
              <w:pStyle w:val="Recsin-chapterL3"/>
            </w:pPr>
            <w:r w:rsidRPr="00C4084C">
              <w:t>funding allocation for the higher education sector</w:t>
            </w:r>
          </w:p>
          <w:p w14:paraId="1C01EACF" w14:textId="77777777" w:rsidR="00EB0D7B" w:rsidRPr="00C4084C" w:rsidRDefault="00EB0D7B" w:rsidP="003E5969">
            <w:pPr>
              <w:pStyle w:val="Recsin-chapterL3"/>
            </w:pPr>
            <w:r w:rsidRPr="00C4084C">
              <w:t>facilitating wide engagement with the tertiary education system</w:t>
            </w:r>
          </w:p>
          <w:p w14:paraId="1099BB6D" w14:textId="77777777" w:rsidR="00EB0D7B" w:rsidRPr="00C4084C" w:rsidRDefault="00EB0D7B" w:rsidP="003E5969">
            <w:pPr>
              <w:pStyle w:val="Recsin-chapterL3"/>
            </w:pPr>
            <w:r w:rsidRPr="00C4084C">
              <w:t>strengthening First Nations representation and self-determination</w:t>
            </w:r>
          </w:p>
          <w:p w14:paraId="74B80F39" w14:textId="77777777" w:rsidR="00EB0D7B" w:rsidRPr="00C4084C" w:rsidRDefault="00EB0D7B" w:rsidP="003E5969">
            <w:pPr>
              <w:pStyle w:val="Recsin-chapterL3"/>
            </w:pPr>
            <w:r w:rsidRPr="00C4084C">
              <w:t>advising the Minister on regulatory frameworks within the higher education sector</w:t>
            </w:r>
          </w:p>
          <w:p w14:paraId="542CFA9D" w14:textId="77777777" w:rsidR="00EB0D7B" w:rsidRPr="00C4084C" w:rsidRDefault="00EB0D7B" w:rsidP="003E5969">
            <w:pPr>
              <w:pStyle w:val="Recsin-chapterL3"/>
            </w:pPr>
            <w:r w:rsidRPr="00C4084C">
              <w:t>overseeing and</w:t>
            </w:r>
            <w:r w:rsidRPr="00C4084C" w:rsidDel="31ACFFB5">
              <w:t xml:space="preserve"> </w:t>
            </w:r>
            <w:r w:rsidRPr="00C4084C">
              <w:t>monitoring of the Australian Qualifications Framework</w:t>
            </w:r>
          </w:p>
          <w:p w14:paraId="5C972B15" w14:textId="77777777" w:rsidR="00EB0D7B" w:rsidRPr="00C4084C" w:rsidRDefault="00EB0D7B" w:rsidP="003E5969">
            <w:pPr>
              <w:pStyle w:val="Recsin-chapterL3"/>
            </w:pPr>
            <w:r w:rsidRPr="00C4084C">
              <w:t xml:space="preserve">accountability, </w:t>
            </w:r>
            <w:proofErr w:type="gramStart"/>
            <w:r w:rsidRPr="00C4084C">
              <w:t>quality</w:t>
            </w:r>
            <w:proofErr w:type="gramEnd"/>
            <w:r w:rsidRPr="00C4084C">
              <w:t xml:space="preserve"> and performance </w:t>
            </w:r>
          </w:p>
          <w:p w14:paraId="2E5C9A80" w14:textId="68B253FE" w:rsidR="00EB0D7B" w:rsidRPr="00C4084C" w:rsidRDefault="00EB0D7B" w:rsidP="003E5969">
            <w:pPr>
              <w:pStyle w:val="Recsin-chapterL3"/>
            </w:pPr>
            <w:r w:rsidRPr="00C4084C">
              <w:t xml:space="preserve">improving data and metrics </w:t>
            </w:r>
          </w:p>
          <w:p w14:paraId="319FDA1F" w14:textId="1C4D1BAF" w:rsidR="00EB0D7B" w:rsidRPr="00C4084C" w:rsidRDefault="00EB0D7B" w:rsidP="003E5969">
            <w:pPr>
              <w:pStyle w:val="Recsin-chapterL2"/>
            </w:pPr>
            <w:proofErr w:type="gramStart"/>
            <w:r w:rsidRPr="00C4084C">
              <w:rPr>
                <w:rStyle w:val="normaltextrun"/>
                <w:rFonts w:ascii="Calibri" w:hAnsi="Calibri" w:cs="Calibri"/>
              </w:rPr>
              <w:t xml:space="preserve">The </w:t>
            </w:r>
            <w:r w:rsidRPr="00C4084C">
              <w:t>majority of</w:t>
            </w:r>
            <w:proofErr w:type="gramEnd"/>
            <w:r w:rsidRPr="00C4084C">
              <w:t xml:space="preserve"> the</w:t>
            </w:r>
            <w:r w:rsidRPr="00C4084C" w:rsidDel="00461566">
              <w:t xml:space="preserve"> </w:t>
            </w:r>
            <w:r w:rsidRPr="00C4084C">
              <w:t xml:space="preserve">Australian Tertiary Education Commission’s functions will start in higher education with additional priorities aimed at achieving higher levels of tertiary education system alignment, focused on student pathways, credit recognition and the Australian Qualifications Framework. The Australian Government should also negotiate with </w:t>
            </w:r>
            <w:r w:rsidR="00AE4AFE">
              <w:t>s</w:t>
            </w:r>
            <w:r w:rsidRPr="00C4084C">
              <w:t xml:space="preserve">tates and </w:t>
            </w:r>
            <w:r w:rsidR="00AE4AFE">
              <w:t>t</w:t>
            </w:r>
            <w:r w:rsidRPr="00C4084C">
              <w:t>erritories to expand the Australian Tertiary Education Commission’s role to focus on the whole tertiary education system, with governance arrangements reflecting the ongoing role of all jurisdictions in its future, and with expansion to take effect in the context of the next National Skills Agreement</w:t>
            </w:r>
          </w:p>
          <w:p w14:paraId="5C7FA4E3" w14:textId="552BBBF9" w:rsidR="00EB0D7B" w:rsidRPr="00C4084C" w:rsidRDefault="00EB0D7B" w:rsidP="003E5969">
            <w:pPr>
              <w:pStyle w:val="Recsin-chapterL2"/>
            </w:pPr>
            <w:r w:rsidRPr="00C4084C">
              <w:t xml:space="preserve">The Australian Tertiary Education Commission should be reviewed every 5 years of </w:t>
            </w:r>
            <w:proofErr w:type="gramStart"/>
            <w:r w:rsidRPr="00C4084C">
              <w:t>operation</w:t>
            </w:r>
            <w:proofErr w:type="gramEnd"/>
          </w:p>
          <w:p w14:paraId="27E57933" w14:textId="09D73087" w:rsidR="00EB0D7B" w:rsidRPr="00C4084C" w:rsidRDefault="00EB0D7B" w:rsidP="003E5969">
            <w:pPr>
              <w:pStyle w:val="Recsin-chapterL2"/>
            </w:pPr>
            <w:r w:rsidRPr="00C4084C">
              <w:t xml:space="preserve">To ensure the Australian Tertiary Education Commission has a comprehensive view of the whole tertiary education system, the Tertiary Education Quality and Standards Agency (TEQSA) and the Australian Research Council should form part of the Commission, as independent statutory bodies under its umbrella, with each Chair becoming a dedicated Commissioner and retaining their legislated </w:t>
            </w:r>
            <w:proofErr w:type="gramStart"/>
            <w:r w:rsidRPr="00C4084C">
              <w:t>roles</w:t>
            </w:r>
            <w:proofErr w:type="gramEnd"/>
          </w:p>
          <w:p w14:paraId="2967601D" w14:textId="1F6D6231" w:rsidR="00EB0D7B" w:rsidRPr="00C4084C" w:rsidRDefault="00EB0D7B" w:rsidP="003E5969">
            <w:pPr>
              <w:pStyle w:val="Recsin-chapterL2"/>
            </w:pPr>
            <w:r w:rsidRPr="00C4084C">
              <w:t xml:space="preserve">Governments should also consider the desirability and timing of bringing the Australian Skills Quality Authority into the Australian Tertiary Education Commission in order to reduce regulatory </w:t>
            </w:r>
            <w:proofErr w:type="gramStart"/>
            <w:r w:rsidRPr="00C4084C">
              <w:t>duplication</w:t>
            </w:r>
            <w:proofErr w:type="gramEnd"/>
          </w:p>
          <w:p w14:paraId="7DDEF00E" w14:textId="425CBFA7" w:rsidR="00EB0D7B" w:rsidRPr="00C4084C" w:rsidRDefault="00EB0D7B" w:rsidP="003E5969">
            <w:pPr>
              <w:pStyle w:val="Recsin-chapterL2"/>
            </w:pPr>
            <w:r w:rsidRPr="00C4084C">
              <w:t xml:space="preserve">The Australian Tertiary Education Commission should be governed by a Board comprising the Chief Commissioner as Chair, 2 Deputy Commissioners, the TEQSA Chief Commissioner, the ARC Board Chair, a First Nations Commissioner, an Equity </w:t>
            </w:r>
            <w:proofErr w:type="gramStart"/>
            <w:r w:rsidRPr="00C4084C">
              <w:t>Commissioner</w:t>
            </w:r>
            <w:proofErr w:type="gramEnd"/>
            <w:r w:rsidRPr="00C4084C">
              <w:t xml:space="preserve"> and the Regional Education Commissioner. Most commissioners would be fractional or part-time. The day-to-day administration of the Australian Tertiary Education Commission would be handled by a full-time </w:t>
            </w:r>
            <w:proofErr w:type="gramStart"/>
            <w:r w:rsidRPr="00C4084C">
              <w:t>CEO</w:t>
            </w:r>
            <w:proofErr w:type="gramEnd"/>
          </w:p>
          <w:p w14:paraId="6CAC39C7" w14:textId="77777777" w:rsidR="00EB0D7B" w:rsidRPr="00C4084C" w:rsidRDefault="00EB0D7B" w:rsidP="003E5969">
            <w:pPr>
              <w:pStyle w:val="Recsin-chapterL2"/>
            </w:pPr>
            <w:r w:rsidRPr="00C4084C">
              <w:lastRenderedPageBreak/>
              <w:t>The Australian Tertiary Education Commission should seek the views of a wide range of stakeholders in the tertiary education system, through:</w:t>
            </w:r>
          </w:p>
          <w:p w14:paraId="26316854" w14:textId="66C07E23" w:rsidR="00EB0D7B" w:rsidRPr="00C4084C" w:rsidRDefault="00EB0D7B" w:rsidP="003E5969">
            <w:pPr>
              <w:pStyle w:val="Recsin-chapterL3"/>
            </w:pPr>
            <w:r w:rsidRPr="00C4084C">
              <w:t xml:space="preserve">an ongoing Advisory Board, with representatives from tertiary education providers, all Australian governments, students, staff, employers (including business and industry representatives), unions, alumni and civil society </w:t>
            </w:r>
            <w:proofErr w:type="gramStart"/>
            <w:r w:rsidRPr="00C4084C">
              <w:t>organisations</w:t>
            </w:r>
            <w:proofErr w:type="gramEnd"/>
            <w:r w:rsidRPr="00C4084C">
              <w:t> </w:t>
            </w:r>
          </w:p>
          <w:p w14:paraId="507C1AAF" w14:textId="77777777" w:rsidR="00EB0D7B" w:rsidRPr="00C4084C" w:rsidRDefault="00EB0D7B" w:rsidP="003E5969">
            <w:pPr>
              <w:pStyle w:val="Recsin-chapterL3"/>
            </w:pPr>
            <w:r w:rsidRPr="00C4084C">
              <w:t>a First Nations Council</w:t>
            </w:r>
          </w:p>
          <w:p w14:paraId="44187FF2" w14:textId="77777777" w:rsidR="00EB0D7B" w:rsidRPr="00C4084C" w:rsidRDefault="00EB0D7B" w:rsidP="003E5969">
            <w:pPr>
              <w:pStyle w:val="Recsin-chapterL3"/>
            </w:pPr>
            <w:r w:rsidRPr="00C4084C">
              <w:t>a Learning and Teaching Council</w:t>
            </w:r>
          </w:p>
          <w:p w14:paraId="7AF12E9E" w14:textId="7B3138F0" w:rsidR="00EB0D7B" w:rsidRPr="00C4084C" w:rsidRDefault="00EB0D7B" w:rsidP="003E5969">
            <w:pPr>
              <w:pStyle w:val="Recsin-chapterL3"/>
            </w:pPr>
            <w:r w:rsidRPr="00C4084C">
              <w:t xml:space="preserve">regular engagement with representatives from key stakeholders covering learning and teaching, research, equity, regional issues, and private tertiary education </w:t>
            </w:r>
            <w:proofErr w:type="gramStart"/>
            <w:r w:rsidRPr="00C4084C">
              <w:t>providers</w:t>
            </w:r>
            <w:proofErr w:type="gramEnd"/>
          </w:p>
          <w:p w14:paraId="11965D16" w14:textId="77777777" w:rsidR="00EB0D7B" w:rsidRPr="00C4084C" w:rsidDel="00882244" w:rsidRDefault="00EB0D7B" w:rsidP="003E5969">
            <w:pPr>
              <w:pStyle w:val="Recsin-chapterL2"/>
            </w:pPr>
            <w:r w:rsidRPr="00C4084C">
              <w:t>Through the pricing authority function, the Australian Tertiary Education Commission should develop a deep understanding of the true costs of delivery of the range of activities across the tertiary education system, with a priority on pricing issues in higher education related to learning and teaching, additional support for under-represented students, regional delivery, and the full economic cost of research.</w:t>
            </w:r>
          </w:p>
        </w:tc>
      </w:tr>
    </w:tbl>
    <w:p w14:paraId="09DAC9A1" w14:textId="4066515C" w:rsidR="00A23577" w:rsidRPr="00C4084C" w:rsidRDefault="00A23577" w:rsidP="003E5969">
      <w:pPr>
        <w:spacing w:after="0"/>
        <w:rPr>
          <w:rStyle w:val="eop"/>
        </w:rPr>
      </w:pPr>
      <w:bookmarkStart w:id="1140" w:name="_Toc1869011927"/>
      <w:bookmarkStart w:id="1141" w:name="_Toc143565621"/>
      <w:bookmarkStart w:id="1142" w:name="_Toc150946735"/>
    </w:p>
    <w:tbl>
      <w:tblPr>
        <w:tblW w:w="0" w:type="auto"/>
        <w:shd w:val="clear" w:color="auto" w:fill="FBE4D5"/>
        <w:tblLook w:val="04A0" w:firstRow="1" w:lastRow="0" w:firstColumn="1" w:lastColumn="0" w:noHBand="0" w:noVBand="1"/>
      </w:tblPr>
      <w:tblGrid>
        <w:gridCol w:w="9026"/>
      </w:tblGrid>
      <w:tr w:rsidR="00A23577" w:rsidRPr="00C4084C" w14:paraId="6E5C9DD6" w14:textId="77777777" w:rsidTr="00D26B82">
        <w:tc>
          <w:tcPr>
            <w:tcW w:w="9356" w:type="dxa"/>
            <w:shd w:val="clear" w:color="auto" w:fill="FEECDF"/>
          </w:tcPr>
          <w:p w14:paraId="2BA9CDAF" w14:textId="22E67871" w:rsidR="00752040" w:rsidRDefault="00752040" w:rsidP="003E5969">
            <w:pPr>
              <w:pStyle w:val="Recheadinginbox"/>
            </w:pPr>
            <w:r>
              <w:t xml:space="preserve">Recommendation: </w:t>
            </w:r>
            <w:r w:rsidRPr="00227C28">
              <w:rPr>
                <w:rStyle w:val="eop"/>
              </w:rPr>
              <w:t>Improving</w:t>
            </w:r>
            <w:r w:rsidRPr="00C4084C">
              <w:rPr>
                <w:rStyle w:val="eop"/>
              </w:rPr>
              <w:t xml:space="preserve"> workforce capability and capacity</w:t>
            </w:r>
          </w:p>
          <w:p w14:paraId="2975E8DA" w14:textId="1D499A1B" w:rsidR="00A23577" w:rsidRPr="00C4084C" w:rsidRDefault="00A23577" w:rsidP="003E5969">
            <w:pPr>
              <w:pStyle w:val="Recsin-chapterL1"/>
              <w:framePr w:wrap="notBeside"/>
              <w:spacing w:before="0" w:after="0"/>
            </w:pPr>
            <w:r w:rsidRPr="00C4084C">
              <w:t xml:space="preserve">That to improve capability and capacity of the workforce, higher education providers with Australian Government </w:t>
            </w:r>
            <w:r w:rsidRPr="00227C28">
              <w:t>support</w:t>
            </w:r>
            <w:r w:rsidRPr="00C4084C">
              <w:t>:</w:t>
            </w:r>
          </w:p>
          <w:p w14:paraId="2B72B1FD" w14:textId="77777777" w:rsidR="00A23577" w:rsidRPr="00C4084C" w:rsidRDefault="00A23577" w:rsidP="003E5969">
            <w:pPr>
              <w:pStyle w:val="Recsin-chapterL2"/>
              <w:spacing w:before="0" w:beforeAutospacing="0"/>
            </w:pPr>
            <w:r w:rsidRPr="00C4084C">
              <w:t xml:space="preserve">develop professional learning and teaching standards for </w:t>
            </w:r>
            <w:proofErr w:type="gramStart"/>
            <w:r w:rsidRPr="00C4084C">
              <w:t>academics</w:t>
            </w:r>
            <w:proofErr w:type="gramEnd"/>
          </w:p>
          <w:p w14:paraId="6A22F2A0" w14:textId="77777777" w:rsidR="00A23577" w:rsidRPr="00C4084C" w:rsidRDefault="00A23577" w:rsidP="003E5969">
            <w:pPr>
              <w:pStyle w:val="Recsin-chapterL2"/>
            </w:pPr>
            <w:r w:rsidRPr="00C4084C">
              <w:t xml:space="preserve">encourage minimum teaching qualifications for higher education teaching </w:t>
            </w:r>
            <w:proofErr w:type="gramStart"/>
            <w:r w:rsidRPr="00C4084C">
              <w:t>roles</w:t>
            </w:r>
            <w:proofErr w:type="gramEnd"/>
          </w:p>
          <w:p w14:paraId="59C2DB69" w14:textId="77777777" w:rsidR="00A23577" w:rsidRPr="00C4084C" w:rsidRDefault="00A23577" w:rsidP="003E5969">
            <w:pPr>
              <w:pStyle w:val="Recsin-chapterL2"/>
            </w:pPr>
            <w:r w:rsidRPr="00C4084C">
              <w:t xml:space="preserve">improve professional development for all </w:t>
            </w:r>
            <w:proofErr w:type="gramStart"/>
            <w:r w:rsidRPr="00C4084C">
              <w:t>staff</w:t>
            </w:r>
            <w:proofErr w:type="gramEnd"/>
          </w:p>
          <w:p w14:paraId="23682B94" w14:textId="77777777" w:rsidR="00A23577" w:rsidRPr="00C4084C" w:rsidDel="00882244" w:rsidRDefault="00A23577" w:rsidP="003E5969">
            <w:pPr>
              <w:pStyle w:val="Recsin-chapterL2"/>
            </w:pPr>
            <w:r w:rsidRPr="00C4084C">
              <w:t>provide opportunities for higher education staff to access training in research and research training, management, and learning and teaching.</w:t>
            </w:r>
          </w:p>
        </w:tc>
      </w:tr>
    </w:tbl>
    <w:p w14:paraId="2EFEB916" w14:textId="304C179B" w:rsidR="00F82103" w:rsidRPr="00C4084C" w:rsidRDefault="00F82103" w:rsidP="003E5969">
      <w:pPr>
        <w:spacing w:after="0"/>
        <w:rPr>
          <w:rStyle w:val="eop"/>
        </w:rPr>
      </w:pPr>
    </w:p>
    <w:tbl>
      <w:tblPr>
        <w:tblW w:w="4854" w:type="pct"/>
        <w:tblLook w:val="04A0" w:firstRow="1" w:lastRow="0" w:firstColumn="1" w:lastColumn="0" w:noHBand="0" w:noVBand="1"/>
      </w:tblPr>
      <w:tblGrid>
        <w:gridCol w:w="8762"/>
      </w:tblGrid>
      <w:tr w:rsidR="00F82103" w:rsidRPr="00C4084C" w14:paraId="1C9577EC" w14:textId="77777777" w:rsidTr="00D26B82">
        <w:tc>
          <w:tcPr>
            <w:tcW w:w="5000" w:type="pct"/>
            <w:tcBorders>
              <w:top w:val="nil"/>
              <w:left w:val="nil"/>
              <w:bottom w:val="nil"/>
              <w:right w:val="nil"/>
            </w:tcBorders>
            <w:shd w:val="clear" w:color="auto" w:fill="FEECDF"/>
          </w:tcPr>
          <w:p w14:paraId="6F52766F" w14:textId="30EA0835" w:rsidR="006D136A" w:rsidRDefault="006D136A" w:rsidP="003E5969">
            <w:pPr>
              <w:pStyle w:val="Recheadinginbox"/>
            </w:pPr>
            <w:r>
              <w:t xml:space="preserve">Recommendation: </w:t>
            </w:r>
            <w:r w:rsidRPr="00C4084C">
              <w:rPr>
                <w:rStyle w:val="eop"/>
              </w:rPr>
              <w:t>Centre of Excellence in Higher Education and Research</w:t>
            </w:r>
          </w:p>
          <w:p w14:paraId="7DA42111" w14:textId="07660174" w:rsidR="00F82103" w:rsidRPr="00C4084C" w:rsidDel="00882244" w:rsidRDefault="00F82103" w:rsidP="003E5969">
            <w:pPr>
              <w:pStyle w:val="Recsin-chapterL1"/>
              <w:framePr w:wrap="notBeside"/>
              <w:spacing w:before="0"/>
            </w:pPr>
            <w:r w:rsidRPr="00C4084C">
              <w:t xml:space="preserve">That to build the evidence and expertise base necessary to support the Australian Tertiary Education Commission’ core functions, the Australian Government establish a Centre of Excellence in Higher Education and Research. </w:t>
            </w:r>
          </w:p>
        </w:tc>
      </w:tr>
    </w:tbl>
    <w:p w14:paraId="708BA6F4" w14:textId="72325F56" w:rsidR="00702605" w:rsidRPr="00C4084C" w:rsidRDefault="00702605" w:rsidP="003E5969">
      <w:pPr>
        <w:spacing w:after="0"/>
        <w:rPr>
          <w:rStyle w:val="eop"/>
        </w:rPr>
      </w:pPr>
    </w:p>
    <w:tbl>
      <w:tblPr>
        <w:tblW w:w="0" w:type="auto"/>
        <w:shd w:val="clear" w:color="auto" w:fill="FBE4D5"/>
        <w:tblLook w:val="04A0" w:firstRow="1" w:lastRow="0" w:firstColumn="1" w:lastColumn="0" w:noHBand="0" w:noVBand="1"/>
      </w:tblPr>
      <w:tblGrid>
        <w:gridCol w:w="9026"/>
      </w:tblGrid>
      <w:tr w:rsidR="006E5B97" w:rsidRPr="00C4084C" w14:paraId="61C5296E" w14:textId="77777777" w:rsidTr="00D26B82">
        <w:tc>
          <w:tcPr>
            <w:tcW w:w="9356" w:type="dxa"/>
            <w:shd w:val="clear" w:color="auto" w:fill="FEECDF"/>
          </w:tcPr>
          <w:p w14:paraId="78DB02FF" w14:textId="39D8EBEC" w:rsidR="006D136A" w:rsidRDefault="006D136A" w:rsidP="003E5969">
            <w:pPr>
              <w:pStyle w:val="Recheadinginbox"/>
            </w:pPr>
            <w:r>
              <w:t xml:space="preserve">Recommendation: </w:t>
            </w:r>
            <w:r w:rsidRPr="00C4084C">
              <w:rPr>
                <w:rStyle w:val="eop"/>
              </w:rPr>
              <w:t>Tertiary Education Racism Study</w:t>
            </w:r>
          </w:p>
          <w:p w14:paraId="5F1C7519" w14:textId="57F54EC0" w:rsidR="006E5B97" w:rsidRPr="00C4084C" w:rsidDel="00882244" w:rsidRDefault="006E5B97" w:rsidP="003E5969">
            <w:pPr>
              <w:pStyle w:val="Recsin-chapterL1"/>
              <w:framePr w:wrap="notBeside"/>
              <w:spacing w:before="0"/>
            </w:pPr>
            <w:r w:rsidRPr="00C4084C">
              <w:t>That to contribute to making the tertiary education system as safe as possible for students and staff, the Australian Government conduct a study into the prevalence and impact of racism across the tertiary education system, on campus and online, guided by an expert committee with representation from a wide range of stakeholder groups, with the Australian Tertiary Education Commission tasked with leading the response and acting on the outcomes.</w:t>
            </w:r>
          </w:p>
        </w:tc>
      </w:tr>
    </w:tbl>
    <w:p w14:paraId="146A625C" w14:textId="7762F771" w:rsidR="00A14420" w:rsidRPr="00C4084C" w:rsidRDefault="00A14420" w:rsidP="00BA6095">
      <w:pPr>
        <w:pStyle w:val="Heading4"/>
      </w:pPr>
      <w:bookmarkStart w:id="1143" w:name="_Toc159500998"/>
      <w:r w:rsidRPr="00C4084C">
        <w:t>First Nations leadership</w:t>
      </w:r>
      <w:bookmarkEnd w:id="1140"/>
      <w:bookmarkEnd w:id="1141"/>
      <w:bookmarkEnd w:id="1143"/>
      <w:r w:rsidRPr="00C4084C">
        <w:t xml:space="preserve"> </w:t>
      </w:r>
      <w:bookmarkEnd w:id="1142"/>
    </w:p>
    <w:p w14:paraId="76D6E80E" w14:textId="2601D06C" w:rsidR="00DC6FEF" w:rsidRPr="00A003C2" w:rsidRDefault="00076324" w:rsidP="00A003C2">
      <w:r w:rsidRPr="00C4084C">
        <w:t xml:space="preserve">In adopting the principle that First Nations should be at the heart of the </w:t>
      </w:r>
      <w:r w:rsidRPr="00A003C2">
        <w:t>tertiary education system</w:t>
      </w:r>
      <w:r w:rsidRPr="00C4084C">
        <w:t xml:space="preserve">, </w:t>
      </w:r>
      <w:r w:rsidRPr="00A003C2">
        <w:t xml:space="preserve">the Review </w:t>
      </w:r>
      <w:r w:rsidR="00C26822" w:rsidRPr="00A003C2">
        <w:t>believes</w:t>
      </w:r>
      <w:r w:rsidRPr="00A003C2">
        <w:t xml:space="preserve"> that the choice First Nations people have, both collectively and as individual students and staff, over their place in the </w:t>
      </w:r>
      <w:r w:rsidRPr="00C4084C">
        <w:t>system</w:t>
      </w:r>
      <w:r w:rsidRPr="00A003C2">
        <w:t xml:space="preserve"> </w:t>
      </w:r>
      <w:r w:rsidR="00C26822" w:rsidRPr="00A003C2">
        <w:t>should be</w:t>
      </w:r>
      <w:r w:rsidRPr="00A003C2">
        <w:t xml:space="preserve"> recognised and </w:t>
      </w:r>
      <w:r w:rsidR="00AB030B" w:rsidRPr="00A003C2">
        <w:t xml:space="preserve">made a reality. The </w:t>
      </w:r>
      <w:r w:rsidR="00AB030B" w:rsidRPr="00A003C2">
        <w:lastRenderedPageBreak/>
        <w:t>Review affirms</w:t>
      </w:r>
      <w:r w:rsidRPr="00A003C2">
        <w:t xml:space="preserve"> </w:t>
      </w:r>
      <w:r w:rsidR="0024306A" w:rsidRPr="00A003C2">
        <w:t>the importance of</w:t>
      </w:r>
      <w:r w:rsidRPr="00A003C2">
        <w:t xml:space="preserve"> a </w:t>
      </w:r>
      <w:r w:rsidR="00473C70" w:rsidRPr="00A003C2">
        <w:t xml:space="preserve">strong </w:t>
      </w:r>
      <w:r w:rsidRPr="00A003C2">
        <w:t>commitment to the fundamental principle of self-determination</w:t>
      </w:r>
      <w:r w:rsidR="00473C70" w:rsidRPr="00A003C2">
        <w:t xml:space="preserve">. </w:t>
      </w:r>
      <w:r w:rsidR="00DC6FEF" w:rsidRPr="00A003C2">
        <w:t xml:space="preserve">This includes recognition that First Nations people:  </w:t>
      </w:r>
    </w:p>
    <w:p w14:paraId="2D916855" w14:textId="0143AC14" w:rsidR="00DC6FEF" w:rsidRPr="00C4084C" w:rsidRDefault="005A26E7" w:rsidP="00A003C2">
      <w:pPr>
        <w:pStyle w:val="ListBullet"/>
      </w:pPr>
      <w:r w:rsidRPr="00C4084C">
        <w:t>need to be t</w:t>
      </w:r>
      <w:r w:rsidR="00DC6FEF" w:rsidRPr="00C4084C">
        <w:t>he custodians of policies, programs and funding that support their participation and </w:t>
      </w:r>
      <w:proofErr w:type="gramStart"/>
      <w:r w:rsidR="00DC6FEF" w:rsidRPr="00C4084C">
        <w:t>progress</w:t>
      </w:r>
      <w:proofErr w:type="gramEnd"/>
      <w:r w:rsidR="00DC6FEF" w:rsidRPr="00C4084C">
        <w:t xml:space="preserve"> </w:t>
      </w:r>
    </w:p>
    <w:p w14:paraId="3E5C5979" w14:textId="765B613D" w:rsidR="00DC6FEF" w:rsidRPr="00C4084C" w:rsidRDefault="00DC6FEF" w:rsidP="00A003C2">
      <w:pPr>
        <w:pStyle w:val="ListBullet"/>
      </w:pPr>
      <w:r w:rsidRPr="00C4084C">
        <w:t>have the freedom to engage in education and to direct what, how, when and where education takes </w:t>
      </w:r>
      <w:proofErr w:type="gramStart"/>
      <w:r w:rsidRPr="00C4084C">
        <w:t>place</w:t>
      </w:r>
      <w:proofErr w:type="gramEnd"/>
      <w:r w:rsidRPr="00C4084C">
        <w:t xml:space="preserve"> </w:t>
      </w:r>
    </w:p>
    <w:p w14:paraId="77E15391" w14:textId="4325D00D" w:rsidR="00DC6FEF" w:rsidRPr="00C4084C" w:rsidRDefault="00DC6FEF" w:rsidP="00A003C2">
      <w:pPr>
        <w:pStyle w:val="ListBullet"/>
      </w:pPr>
      <w:r w:rsidRPr="00C4084C">
        <w:t xml:space="preserve">have a role in decision making at the national level and within individual </w:t>
      </w:r>
      <w:proofErr w:type="gramStart"/>
      <w:r w:rsidRPr="00C4084C">
        <w:t>institutions</w:t>
      </w:r>
      <w:proofErr w:type="gramEnd"/>
      <w:r w:rsidRPr="00C4084C">
        <w:t xml:space="preserve"> </w:t>
      </w:r>
    </w:p>
    <w:p w14:paraId="39044662" w14:textId="1A4FCF00" w:rsidR="00076324" w:rsidRPr="00C4084C" w:rsidRDefault="00DC6FEF" w:rsidP="00A003C2">
      <w:pPr>
        <w:pStyle w:val="ListBullet"/>
      </w:pPr>
      <w:r w:rsidRPr="00C4084C">
        <w:t>are represented by a First Nations Council which would be responsible for advising Ministers and the Australian Tertiary Education Commission on a self-determined approach to matters relating to First Nations people in the tertiary education sector.</w:t>
      </w:r>
    </w:p>
    <w:p w14:paraId="504C32D8" w14:textId="21394189" w:rsidR="00A14420" w:rsidRDefault="007562B6" w:rsidP="00A003C2">
      <w:r w:rsidRPr="00C4084C">
        <w:t>T</w:t>
      </w:r>
      <w:r w:rsidR="00A14420" w:rsidRPr="00C4084C">
        <w:t xml:space="preserve">he Review </w:t>
      </w:r>
      <w:r w:rsidR="00473C70">
        <w:t>also proposes adoption of</w:t>
      </w:r>
      <w:r w:rsidR="00473C70" w:rsidRPr="00C4084C">
        <w:t xml:space="preserve"> </w:t>
      </w:r>
      <w:r w:rsidR="00A14420" w:rsidRPr="00C4084C">
        <w:t xml:space="preserve">the approach outlined in the </w:t>
      </w:r>
      <w:r w:rsidR="00A14420" w:rsidRPr="00C4084C">
        <w:rPr>
          <w:i/>
        </w:rPr>
        <w:t>National Agreement on Closing the Gap</w:t>
      </w:r>
      <w:r w:rsidR="00A14420" w:rsidRPr="00C4084C">
        <w:t xml:space="preserve">, requiring that </w:t>
      </w:r>
      <w:r w:rsidR="002B4941" w:rsidRPr="00C4084C">
        <w:t>policymaking</w:t>
      </w:r>
      <w:r w:rsidR="00A14420" w:rsidRPr="00C4084C">
        <w:t xml:space="preserve"> that </w:t>
      </w:r>
      <w:r w:rsidR="007C4759" w:rsidRPr="00C4084C">
        <w:t>affects</w:t>
      </w:r>
      <w:r w:rsidR="00A14420" w:rsidRPr="00C4084C">
        <w:t xml:space="preserve"> the lives of First Nations people is done in full and genuine partnership.</w:t>
      </w:r>
      <w:r w:rsidR="00A14420" w:rsidRPr="00C4084C">
        <w:rPr>
          <w:rStyle w:val="FootnoteReference"/>
        </w:rPr>
        <w:footnoteReference w:id="382"/>
      </w:r>
    </w:p>
    <w:p w14:paraId="51B21D7E" w14:textId="0B4BD628" w:rsidR="005D54DF" w:rsidRPr="00A003C2" w:rsidRDefault="005D54DF" w:rsidP="00A003C2">
      <w:r w:rsidRPr="00A003C2">
        <w:t>In this context, the interests of First Nations people in the higher education system should be represented by a First Nations Council, responsible for advising Ministers and the Australian Tertiary Education Commission on a self-determined approach to matters relating to First Nations people in the tertiary education sector.</w:t>
      </w:r>
    </w:p>
    <w:p w14:paraId="164776FE" w14:textId="4580B34A" w:rsidR="00A14420" w:rsidRPr="00C4084C" w:rsidRDefault="00A14420" w:rsidP="00A003C2">
      <w:pPr>
        <w:rPr>
          <w:rFonts w:eastAsiaTheme="minorEastAsia"/>
        </w:rPr>
      </w:pPr>
      <w:r w:rsidRPr="00C4084C">
        <w:t xml:space="preserve">First Nations people have said for a long time that they need a greater say in how programs and services are delivered to their people, in their own places and on their own country. </w:t>
      </w:r>
      <w:r w:rsidR="00D70F31" w:rsidRPr="00C4084C">
        <w:rPr>
          <w:rFonts w:eastAsiaTheme="minorEastAsia"/>
        </w:rPr>
        <w:t>The</w:t>
      </w:r>
      <w:r w:rsidRPr="00C4084C">
        <w:rPr>
          <w:rFonts w:eastAsiaTheme="minorEastAsia"/>
        </w:rPr>
        <w:t xml:space="preserve"> Western Sydney University Indigenous Professoriate </w:t>
      </w:r>
      <w:r w:rsidR="00D70F31" w:rsidRPr="00C4084C">
        <w:rPr>
          <w:rFonts w:eastAsiaTheme="minorEastAsia"/>
        </w:rPr>
        <w:t>made this point clearly</w:t>
      </w:r>
      <w:r w:rsidRPr="00C4084C">
        <w:rPr>
          <w:rFonts w:eastAsiaTheme="minorEastAsia"/>
        </w:rPr>
        <w:t xml:space="preserve">: </w:t>
      </w:r>
    </w:p>
    <w:p w14:paraId="4EAC9EAD" w14:textId="77777777" w:rsidR="00A14420" w:rsidRPr="00C4084C" w:rsidRDefault="00A14420" w:rsidP="009A2CA7">
      <w:pPr>
        <w:pStyle w:val="Quote"/>
      </w:pPr>
      <w:r w:rsidRPr="00C4084C">
        <w:t>Genuinely having Indigenous people at the heart of the Australian higher education system will likely require significant shifts in government and institutional thinking. We are not a passive populace waiting to be swept into higher education to fill national workforce needs, but rather sovereign peoples seeking opportunities to develop and succeed commensurate with our community aspirations.</w:t>
      </w:r>
      <w:r w:rsidRPr="00C4084C">
        <w:rPr>
          <w:rStyle w:val="FootnoteReference"/>
          <w:rFonts w:eastAsiaTheme="minorEastAsia"/>
        </w:rPr>
        <w:footnoteReference w:id="383"/>
      </w:r>
    </w:p>
    <w:p w14:paraId="4F5039B9" w14:textId="2B314117" w:rsidR="00A14420" w:rsidRPr="00C4084C" w:rsidRDefault="00A14420" w:rsidP="00A003C2">
      <w:r w:rsidRPr="00C4084C">
        <w:t xml:space="preserve">The </w:t>
      </w:r>
      <w:r w:rsidR="00362122" w:rsidRPr="00C4084C">
        <w:t>Commission</w:t>
      </w:r>
      <w:r w:rsidRPr="00C4084C">
        <w:t xml:space="preserve"> must ensure the perspective of First Nations peoples’ lived experience is sought and listened to, and that First Nations perspectives are embedded in the </w:t>
      </w:r>
      <w:r w:rsidR="002B4941" w:rsidRPr="00C4084C">
        <w:t>policymaking</w:t>
      </w:r>
      <w:r w:rsidRPr="00C4084C">
        <w:t xml:space="preserve"> process of Australia’s higher education system. The Review heard throughout consultation that strong </w:t>
      </w:r>
      <w:r w:rsidR="00E36FBC" w:rsidRPr="00C4084C">
        <w:t xml:space="preserve">First Nations </w:t>
      </w:r>
      <w:r w:rsidR="005D54DF">
        <w:t>leadership</w:t>
      </w:r>
      <w:r w:rsidR="005D54DF" w:rsidRPr="00C4084C">
        <w:t xml:space="preserve"> </w:t>
      </w:r>
      <w:r w:rsidRPr="00C4084C">
        <w:t xml:space="preserve">and governance </w:t>
      </w:r>
      <w:r w:rsidR="005D54DF">
        <w:t xml:space="preserve">are </w:t>
      </w:r>
      <w:r w:rsidRPr="00C4084C">
        <w:t>important step</w:t>
      </w:r>
      <w:r w:rsidR="005D54DF">
        <w:t>s</w:t>
      </w:r>
      <w:r w:rsidRPr="00C4084C">
        <w:t xml:space="preserve"> towards a more self-determined approach to higher education for First Nations people. Importantly, stakeholders emphasised representation must extend beyond tokenism and deliver a truly effective mechanism for First Nations </w:t>
      </w:r>
      <w:r w:rsidR="000B35B4" w:rsidRPr="00C4084C">
        <w:t>people’s</w:t>
      </w:r>
      <w:r w:rsidRPr="00C4084C">
        <w:t xml:space="preserve"> active involvement in decision making</w:t>
      </w:r>
      <w:r w:rsidR="00384E2E" w:rsidRPr="00C4084C">
        <w:t>, including representation on university governing bodies</w:t>
      </w:r>
      <w:r w:rsidRPr="00C4084C">
        <w:t xml:space="preserve">. </w:t>
      </w:r>
    </w:p>
    <w:p w14:paraId="4295C474" w14:textId="28840522" w:rsidR="00B4689E" w:rsidRPr="00C4084C" w:rsidRDefault="00AD1EEE" w:rsidP="00285443">
      <w:r w:rsidRPr="00C4084C">
        <w:rPr>
          <w:rFonts w:ascii="Calibri" w:eastAsia="Calibri" w:hAnsi="Calibri" w:cs="Arial"/>
          <w:szCs w:val="20"/>
        </w:rPr>
        <w:t xml:space="preserve">While stakeholders provided specific recommendations for the Review to consider, the Review is of the firm view that future reform and system level changes must be driven by the expertise and lived experience of First Nations people and reflect a self-determined approach. </w:t>
      </w:r>
    </w:p>
    <w:tbl>
      <w:tblPr>
        <w:tblW w:w="0" w:type="auto"/>
        <w:shd w:val="clear" w:color="auto" w:fill="FBE4D5"/>
        <w:tblLook w:val="04A0" w:firstRow="1" w:lastRow="0" w:firstColumn="1" w:lastColumn="0" w:noHBand="0" w:noVBand="1"/>
      </w:tblPr>
      <w:tblGrid>
        <w:gridCol w:w="9026"/>
      </w:tblGrid>
      <w:tr w:rsidR="00B4689E" w:rsidRPr="00C4084C" w14:paraId="046F0210" w14:textId="77777777" w:rsidTr="00D26B82">
        <w:tc>
          <w:tcPr>
            <w:tcW w:w="9026" w:type="dxa"/>
            <w:shd w:val="clear" w:color="auto" w:fill="B0C3DB"/>
          </w:tcPr>
          <w:p w14:paraId="0405F894" w14:textId="6BC5B208" w:rsidR="007526B6" w:rsidRPr="007526B6" w:rsidRDefault="0080264E" w:rsidP="003E5969">
            <w:pPr>
              <w:pStyle w:val="Findinginchapterheading"/>
            </w:pPr>
            <w:r w:rsidRPr="003E5969">
              <w:rPr>
                <w:rFonts w:ascii="Calibri" w:eastAsia="Yu Gothic Light" w:hAnsi="Calibri" w:cs="Calibri"/>
                <w:szCs w:val="24"/>
              </w:rPr>
              <w:lastRenderedPageBreak/>
              <w:t>Finding</w:t>
            </w:r>
            <w:r w:rsidR="007526B6">
              <w:rPr>
                <w:szCs w:val="24"/>
              </w:rPr>
              <w:t xml:space="preserve">: </w:t>
            </w:r>
            <w:r w:rsidR="00B4689E" w:rsidRPr="00C4084C">
              <w:t>First Nations</w:t>
            </w:r>
            <w:r w:rsidR="001627B2">
              <w:t xml:space="preserve"> participation</w:t>
            </w:r>
          </w:p>
          <w:p w14:paraId="069E5D54" w14:textId="6A8ED172" w:rsidR="00B4689E" w:rsidRPr="00C4084C" w:rsidRDefault="00B4689E" w:rsidP="003E5969">
            <w:pPr>
              <w:pStyle w:val="Boxtext0"/>
              <w:spacing w:before="0"/>
              <w:rPr>
                <w:b/>
              </w:rPr>
            </w:pPr>
            <w:r w:rsidRPr="00C4084C">
              <w:t xml:space="preserve">Participation in tertiary education learning, teaching and research is an essential pathway to success for First Nations families and their </w:t>
            </w:r>
            <w:proofErr w:type="gramStart"/>
            <w:r w:rsidRPr="00C4084C">
              <w:t>communities, and</w:t>
            </w:r>
            <w:proofErr w:type="gramEnd"/>
            <w:r w:rsidRPr="00C4084C">
              <w:t xml:space="preserve"> is necessary for Closing the </w:t>
            </w:r>
            <w:r w:rsidRPr="00974B91">
              <w:t>Gap</w:t>
            </w:r>
            <w:r w:rsidRPr="00C4084C">
              <w:t>. Weaving First Nations cultures and knowledge more strongly into the fabric of our tertiary education system will enrich Australian society. A strong First Nations workforce in tertiary education will help achieve this goal.</w:t>
            </w:r>
            <w:r w:rsidRPr="00C4084C">
              <w:rPr>
                <w:b/>
              </w:rPr>
              <w:t> </w:t>
            </w:r>
          </w:p>
        </w:tc>
      </w:tr>
    </w:tbl>
    <w:p w14:paraId="0AA47990" w14:textId="77777777" w:rsidR="007E4ED7" w:rsidRPr="00C4084C" w:rsidRDefault="007E4ED7" w:rsidP="008C4411">
      <w:pPr>
        <w:spacing w:after="0"/>
      </w:pPr>
    </w:p>
    <w:tbl>
      <w:tblPr>
        <w:tblW w:w="0" w:type="auto"/>
        <w:shd w:val="clear" w:color="auto" w:fill="FBE4D5"/>
        <w:tblLook w:val="04A0" w:firstRow="1" w:lastRow="0" w:firstColumn="1" w:lastColumn="0" w:noHBand="0" w:noVBand="1"/>
      </w:tblPr>
      <w:tblGrid>
        <w:gridCol w:w="9026"/>
      </w:tblGrid>
      <w:tr w:rsidR="007E4ED7" w:rsidRPr="00C4084C" w14:paraId="7061FC3E" w14:textId="77777777" w:rsidTr="00D26B82">
        <w:trPr>
          <w:cantSplit/>
        </w:trPr>
        <w:tc>
          <w:tcPr>
            <w:tcW w:w="9026" w:type="dxa"/>
            <w:shd w:val="clear" w:color="auto" w:fill="B0C3DB"/>
          </w:tcPr>
          <w:p w14:paraId="193F0A49" w14:textId="1A4BBE17" w:rsidR="007526B6" w:rsidRPr="007526B6" w:rsidRDefault="0080264E" w:rsidP="003E5969">
            <w:pPr>
              <w:pStyle w:val="Findinginchapterheading"/>
            </w:pPr>
            <w:r w:rsidRPr="003E5969">
              <w:rPr>
                <w:rFonts w:ascii="Calibri" w:eastAsia="Yu Gothic Light" w:hAnsi="Calibri" w:cs="Calibri"/>
                <w:szCs w:val="24"/>
              </w:rPr>
              <w:t>Finding</w:t>
            </w:r>
            <w:r w:rsidR="007526B6">
              <w:rPr>
                <w:szCs w:val="24"/>
              </w:rPr>
              <w:t xml:space="preserve">: </w:t>
            </w:r>
            <w:r w:rsidR="007E4ED7" w:rsidRPr="00C4084C">
              <w:t xml:space="preserve">Leadership </w:t>
            </w:r>
            <w:r w:rsidR="00974B91">
              <w:t>–</w:t>
            </w:r>
            <w:r w:rsidR="007E4ED7" w:rsidRPr="00C4084C">
              <w:t xml:space="preserve"> </w:t>
            </w:r>
            <w:r w:rsidR="007E4ED7" w:rsidRPr="00C4084C" w:rsidDel="00974B91">
              <w:t xml:space="preserve">First </w:t>
            </w:r>
            <w:r w:rsidR="007E4ED7" w:rsidRPr="00C4084C">
              <w:t>Nations</w:t>
            </w:r>
          </w:p>
          <w:p w14:paraId="0AE0E29B" w14:textId="37F05022" w:rsidR="007E4ED7" w:rsidRPr="00C4084C" w:rsidRDefault="007E4ED7" w:rsidP="003E5969">
            <w:pPr>
              <w:pStyle w:val="Boxtext0"/>
              <w:spacing w:before="0"/>
            </w:pPr>
            <w:r w:rsidRPr="00C4084C">
              <w:t xml:space="preserve">To ensure that First Nations are central to the higher education sector, it is essential that there is First Nations leadership and a self-determination framework. This includes ensuring First Nations leadership in policies, programs, </w:t>
            </w:r>
            <w:proofErr w:type="gramStart"/>
            <w:r w:rsidRPr="00C4084C">
              <w:t>funding</w:t>
            </w:r>
            <w:proofErr w:type="gramEnd"/>
            <w:r w:rsidRPr="00C4084C">
              <w:t xml:space="preserve"> and decision-making that affects First Nations staff and students within individual institutions and nationally through representation by a First Nations Council responsible for advising Ministers and the Australian Tertiary Education Commission on a self-determined approach to matters relating to First Nations people in the tertiary education sector.</w:t>
            </w:r>
          </w:p>
        </w:tc>
      </w:tr>
    </w:tbl>
    <w:p w14:paraId="53C3571B" w14:textId="77777777" w:rsidR="00A14420" w:rsidRPr="00C4084C" w:rsidRDefault="00A14420" w:rsidP="00A26A20">
      <w:pPr>
        <w:pStyle w:val="Heading5"/>
      </w:pPr>
      <w:bookmarkStart w:id="1146" w:name="_Toc150946736"/>
      <w:bookmarkStart w:id="1147" w:name="_Toc1893228945"/>
      <w:bookmarkStart w:id="1148" w:name="_Toc834630288"/>
      <w:r w:rsidRPr="00C4084C">
        <w:t>First Nations Council</w:t>
      </w:r>
      <w:bookmarkEnd w:id="1146"/>
      <w:bookmarkEnd w:id="1147"/>
      <w:bookmarkEnd w:id="1148"/>
    </w:p>
    <w:p w14:paraId="07F18C0A" w14:textId="1B9ADDE2" w:rsidR="00A14420" w:rsidRPr="00C4084C" w:rsidRDefault="00A14420" w:rsidP="00A003C2">
      <w:r w:rsidRPr="00C4084C">
        <w:t xml:space="preserve">A First Nations Council, led by a First Nations Commissioner, would provide a First Nations-led focus in the </w:t>
      </w:r>
      <w:r w:rsidR="00362122" w:rsidRPr="00C4084C">
        <w:t>Commission</w:t>
      </w:r>
      <w:r w:rsidRPr="00C4084C">
        <w:t xml:space="preserve">. The First Nations Commissioner would be a ministerial appointment (in consultation with </w:t>
      </w:r>
      <w:r w:rsidR="00700BCD" w:rsidRPr="00C4084C">
        <w:t xml:space="preserve">key </w:t>
      </w:r>
      <w:r w:rsidRPr="00C4084C">
        <w:t xml:space="preserve">First Nations </w:t>
      </w:r>
      <w:r w:rsidR="00700BCD" w:rsidRPr="00C4084C">
        <w:t>stakeholders</w:t>
      </w:r>
      <w:r w:rsidRPr="00C4084C">
        <w:t xml:space="preserve">) and would occupy a senior </w:t>
      </w:r>
      <w:r w:rsidR="005D54DF">
        <w:t>role</w:t>
      </w:r>
      <w:r w:rsidRPr="00C4084C">
        <w:t xml:space="preserve"> in the </w:t>
      </w:r>
      <w:r w:rsidR="00362122" w:rsidRPr="00C4084C">
        <w:t>Commission</w:t>
      </w:r>
      <w:r w:rsidRPr="00C4084C">
        <w:t>, with a mission to embed First Nations knowledge and improve outcomes for First Nations people across the sector.</w:t>
      </w:r>
    </w:p>
    <w:p w14:paraId="58961E51" w14:textId="5EBD904A" w:rsidR="00A14420" w:rsidRPr="00C4084C" w:rsidRDefault="00A14420" w:rsidP="00A003C2">
      <w:r w:rsidRPr="00C4084C">
        <w:t xml:space="preserve">In submissions to the Accord Interim Report, stakeholders endorsed establishing a First Nations Council. This was also a focus of discussions at the Review’s First Nations roundtable, with the Council seen as an important step towards First Nations people sitting at the heart of the system. The Council </w:t>
      </w:r>
      <w:r w:rsidR="00AD1EEE" w:rsidRPr="00C4084C">
        <w:t>would</w:t>
      </w:r>
      <w:r w:rsidRPr="00C4084C">
        <w:t xml:space="preserve"> be comprised of First Nations representatives including </w:t>
      </w:r>
      <w:r w:rsidR="005D54DF">
        <w:t xml:space="preserve">students, staff, community leaders and </w:t>
      </w:r>
      <w:r w:rsidRPr="00C4084C">
        <w:t xml:space="preserve">higher education experts, and it will provide advice to </w:t>
      </w:r>
      <w:r w:rsidR="00242107" w:rsidRPr="00C4084C">
        <w:t>the</w:t>
      </w:r>
      <w:r w:rsidRPr="00C4084C">
        <w:t xml:space="preserve"> </w:t>
      </w:r>
      <w:r w:rsidR="00362122" w:rsidRPr="00C4084C">
        <w:t>Commission</w:t>
      </w:r>
      <w:r w:rsidRPr="00C4084C">
        <w:t xml:space="preserve"> and the </w:t>
      </w:r>
      <w:r w:rsidR="00F80733" w:rsidRPr="00C4084C">
        <w:t>M</w:t>
      </w:r>
      <w:r w:rsidRPr="00C4084C">
        <w:t>inister.</w:t>
      </w:r>
    </w:p>
    <w:p w14:paraId="307583A3" w14:textId="03AF374D" w:rsidR="009714A1" w:rsidRPr="00C4084C" w:rsidRDefault="009714A1" w:rsidP="009714A1">
      <w:pPr>
        <w:pStyle w:val="Heading5"/>
      </w:pPr>
      <w:bookmarkStart w:id="1149" w:name="_Toc1269380370"/>
      <w:bookmarkStart w:id="1150" w:name="_Toc97406350"/>
      <w:r w:rsidRPr="00C4084C">
        <w:t>First Nations-led review of the system</w:t>
      </w:r>
    </w:p>
    <w:bookmarkEnd w:id="1149"/>
    <w:bookmarkEnd w:id="1150"/>
    <w:p w14:paraId="74D916D3" w14:textId="016A0947" w:rsidR="00780423" w:rsidRPr="00C4084C" w:rsidRDefault="00A14420" w:rsidP="00A003C2">
      <w:r w:rsidRPr="00C4084C">
        <w:t>The Review sees value in the</w:t>
      </w:r>
      <w:r w:rsidR="00EC6CD5" w:rsidRPr="00C4084C">
        <w:t xml:space="preserve"> Australian</w:t>
      </w:r>
      <w:r w:rsidRPr="00C4084C">
        <w:t xml:space="preserve"> Government immediately commissioning a First Nations</w:t>
      </w:r>
      <w:r w:rsidRPr="00C4084C">
        <w:rPr>
          <w:rFonts w:eastAsiaTheme="minorEastAsia"/>
        </w:rPr>
        <w:t>-</w:t>
      </w:r>
      <w:r w:rsidRPr="00C4084C">
        <w:t>led Review of the system</w:t>
      </w:r>
      <w:r w:rsidRPr="00C4084C">
        <w:rPr>
          <w:rFonts w:eastAsiaTheme="minorEastAsia"/>
        </w:rPr>
        <w:t xml:space="preserve">, </w:t>
      </w:r>
      <w:r w:rsidRPr="00C4084C">
        <w:t>reporting to the First Nations Council once established</w:t>
      </w:r>
      <w:r w:rsidRPr="00C4084C">
        <w:rPr>
          <w:rFonts w:eastAsiaTheme="minorEastAsia"/>
        </w:rPr>
        <w:t>.</w:t>
      </w:r>
      <w:r w:rsidRPr="00C4084C">
        <w:t xml:space="preserve"> </w:t>
      </w:r>
      <w:r w:rsidR="00780423" w:rsidRPr="00C4084C">
        <w:t>Following the Bradley Review</w:t>
      </w:r>
      <w:r w:rsidR="00D61465" w:rsidRPr="00C4084C">
        <w:t xml:space="preserve"> </w:t>
      </w:r>
      <w:r w:rsidR="00C95793" w:rsidRPr="00C4084C">
        <w:t>in 2008</w:t>
      </w:r>
      <w:r w:rsidR="00206B2E" w:rsidRPr="00C4084C">
        <w:t>,</w:t>
      </w:r>
      <w:r w:rsidR="00C95793" w:rsidRPr="00C4084C">
        <w:t xml:space="preserve"> </w:t>
      </w:r>
      <w:r w:rsidR="00D61465" w:rsidRPr="00C4084C">
        <w:t xml:space="preserve">the Australian Government </w:t>
      </w:r>
      <w:r w:rsidR="00C95793" w:rsidRPr="00C4084C">
        <w:t>initiated</w:t>
      </w:r>
      <w:r w:rsidR="00780423" w:rsidRPr="00C4084C">
        <w:t xml:space="preserve"> a Review of Higher Education Access and Outcomes for Aboriginal and Torres Strait Islander People</w:t>
      </w:r>
      <w:r w:rsidR="00BB6A3B">
        <w:t xml:space="preserve"> (the Behrendt Review)</w:t>
      </w:r>
      <w:r w:rsidR="00C95793" w:rsidRPr="00C4084C">
        <w:t xml:space="preserve"> in 2011</w:t>
      </w:r>
      <w:r w:rsidR="00D61465" w:rsidRPr="00C4084C">
        <w:t xml:space="preserve">. </w:t>
      </w:r>
      <w:r w:rsidR="00287AA8" w:rsidRPr="00C4084C">
        <w:t>Similarly, the Review recommends that</w:t>
      </w:r>
      <w:r w:rsidR="00D61465" w:rsidRPr="00C4084C">
        <w:t xml:space="preserve"> a </w:t>
      </w:r>
      <w:r w:rsidR="00160432" w:rsidRPr="00C4084C">
        <w:t>r</w:t>
      </w:r>
      <w:r w:rsidR="00A3455B" w:rsidRPr="00C4084C">
        <w:t>eview led by</w:t>
      </w:r>
      <w:r w:rsidR="00287AA8" w:rsidRPr="00C4084C">
        <w:t>,</w:t>
      </w:r>
      <w:r w:rsidR="00A3455B" w:rsidRPr="00C4084C">
        <w:t xml:space="preserve"> and for</w:t>
      </w:r>
      <w:r w:rsidR="00287AA8" w:rsidRPr="00C4084C">
        <w:t>,</w:t>
      </w:r>
      <w:r w:rsidR="00D61465" w:rsidRPr="00C4084C">
        <w:t xml:space="preserve"> First Nations can </w:t>
      </w:r>
      <w:r w:rsidR="00C046AD" w:rsidRPr="00C4084C">
        <w:t>build</w:t>
      </w:r>
      <w:r w:rsidR="00D21DDB" w:rsidRPr="00C4084C">
        <w:t xml:space="preserve"> </w:t>
      </w:r>
      <w:r w:rsidR="00C046AD" w:rsidRPr="00C4084C">
        <w:t xml:space="preserve">on this Report to </w:t>
      </w:r>
      <w:r w:rsidR="00C95793" w:rsidRPr="00C4084C">
        <w:t xml:space="preserve">specifically examine how to improve </w:t>
      </w:r>
      <w:r w:rsidR="00780423" w:rsidRPr="00C4084C">
        <w:t xml:space="preserve">higher education </w:t>
      </w:r>
      <w:r w:rsidR="00C95793" w:rsidRPr="00C4084C">
        <w:t xml:space="preserve">experiences and </w:t>
      </w:r>
      <w:r w:rsidR="00780423" w:rsidRPr="00C4084C">
        <w:t>outcomes</w:t>
      </w:r>
      <w:r w:rsidR="003C2BC2" w:rsidRPr="00C4084C">
        <w:t xml:space="preserve"> (see Recommendation 34)</w:t>
      </w:r>
      <w:r w:rsidR="00D61465" w:rsidRPr="00C4084C">
        <w:t>.</w:t>
      </w:r>
    </w:p>
    <w:p w14:paraId="4F58809F" w14:textId="402F1F2E" w:rsidR="00700BCD" w:rsidRPr="00C4084C" w:rsidRDefault="00700BCD" w:rsidP="00A003C2">
      <w:pPr>
        <w:rPr>
          <w:rFonts w:eastAsiaTheme="minorEastAsia"/>
        </w:rPr>
      </w:pPr>
      <w:r w:rsidRPr="00C4084C">
        <w:t xml:space="preserve">This idea was also supported in submissions to the Review and at its First Nations roundtable. The </w:t>
      </w:r>
      <w:r w:rsidR="000C4F73" w:rsidRPr="00C4084C">
        <w:t>12</w:t>
      </w:r>
      <w:r w:rsidR="00C139F5">
        <w:t>-</w:t>
      </w:r>
      <w:r w:rsidR="000C4F73" w:rsidRPr="00C4084C">
        <w:t>month</w:t>
      </w:r>
      <w:r w:rsidRPr="00C4084C">
        <w:t xml:space="preserve"> timeframe for the Accord did not allow for the </w:t>
      </w:r>
      <w:r w:rsidR="00C139F5">
        <w:t xml:space="preserve">necessary </w:t>
      </w:r>
      <w:r w:rsidRPr="00C4084C">
        <w:t xml:space="preserve">level </w:t>
      </w:r>
      <w:r w:rsidR="005F6F5C" w:rsidRPr="00C4084C">
        <w:t xml:space="preserve">and depth </w:t>
      </w:r>
      <w:r w:rsidRPr="00C4084C">
        <w:t>of consultation</w:t>
      </w:r>
      <w:r w:rsidR="00C139F5">
        <w:t>s</w:t>
      </w:r>
      <w:r w:rsidRPr="00C4084C">
        <w:t xml:space="preserve"> </w:t>
      </w:r>
      <w:r w:rsidR="005F6F5C" w:rsidRPr="00C4084C">
        <w:t xml:space="preserve">with First Nations people </w:t>
      </w:r>
      <w:r w:rsidR="00070166">
        <w:t>about all relevant</w:t>
      </w:r>
      <w:r w:rsidRPr="00C4084C">
        <w:t xml:space="preserve"> issues</w:t>
      </w:r>
      <w:r w:rsidR="00070166">
        <w:t>, and it is these</w:t>
      </w:r>
      <w:r w:rsidRPr="00C4084C">
        <w:t xml:space="preserve"> </w:t>
      </w:r>
      <w:r w:rsidR="00070166">
        <w:t xml:space="preserve">that should be covered by </w:t>
      </w:r>
      <w:r w:rsidRPr="00C4084C">
        <w:t>the</w:t>
      </w:r>
      <w:r w:rsidR="005F6F5C" w:rsidRPr="00C4084C">
        <w:t xml:space="preserve"> </w:t>
      </w:r>
      <w:r w:rsidRPr="00C4084C">
        <w:t>First Nations</w:t>
      </w:r>
      <w:r w:rsidR="00C139F5">
        <w:t>-led</w:t>
      </w:r>
      <w:r w:rsidRPr="00C4084C">
        <w:t xml:space="preserve"> Review. </w:t>
      </w:r>
      <w:r w:rsidR="00070166">
        <w:t>They include</w:t>
      </w:r>
      <w:r w:rsidR="00A14420" w:rsidRPr="00C4084C">
        <w:t xml:space="preserve"> the barriers around access, </w:t>
      </w:r>
      <w:proofErr w:type="gramStart"/>
      <w:r w:rsidR="00A14420" w:rsidRPr="00C4084C">
        <w:t>participation</w:t>
      </w:r>
      <w:proofErr w:type="gramEnd"/>
      <w:r w:rsidR="00A14420" w:rsidRPr="00C4084C">
        <w:t xml:space="preserve"> and attainment as well as broader matters such as First Nations workforce, funding and policy settings, and advancing First </w:t>
      </w:r>
      <w:r w:rsidR="00A14420" w:rsidRPr="00C4084C">
        <w:lastRenderedPageBreak/>
        <w:t>Nations research capability. The review should focus on the broad themes</w:t>
      </w:r>
      <w:r w:rsidR="00A14420" w:rsidRPr="00C4084C">
        <w:rPr>
          <w:rFonts w:eastAsiaTheme="minorEastAsia"/>
        </w:rPr>
        <w:t xml:space="preserve"> of national system level changes and strengthening First Nations knowledges and research</w:t>
      </w:r>
      <w:r w:rsidR="000C4EEF" w:rsidRPr="00C4084C">
        <w:rPr>
          <w:rFonts w:eastAsiaTheme="minorEastAsia"/>
        </w:rPr>
        <w:t>.</w:t>
      </w:r>
      <w:r w:rsidR="00A14420" w:rsidRPr="00C4084C">
        <w:rPr>
          <w:rFonts w:eastAsiaTheme="minorEastAsia"/>
        </w:rPr>
        <w:t xml:space="preserve"> </w:t>
      </w:r>
    </w:p>
    <w:p w14:paraId="70018858" w14:textId="60FD7625" w:rsidR="00F7613E" w:rsidRPr="00C4084C" w:rsidRDefault="00F7613E" w:rsidP="00A003C2">
      <w:r w:rsidRPr="00C4084C">
        <w:t>The First Nations Review should:</w:t>
      </w:r>
    </w:p>
    <w:p w14:paraId="05D8860B" w14:textId="77777777" w:rsidR="00F7613E" w:rsidRPr="00C4084C" w:rsidRDefault="00F7613E" w:rsidP="00FB44F8">
      <w:pPr>
        <w:pStyle w:val="List"/>
        <w:numPr>
          <w:ilvl w:val="0"/>
          <w:numId w:val="25"/>
        </w:numPr>
      </w:pPr>
      <w:r w:rsidRPr="00C4084C">
        <w:t xml:space="preserve">identify how to move towards a self-determined approach to national funding and policy settings, particularly in relation to First Nations students, employment, teaching, research and engagement, and explore the feasibility of new institutional models such as First Nations University Colleges as one possible path towards a more self-determined approach to higher education in </w:t>
      </w:r>
      <w:proofErr w:type="gramStart"/>
      <w:r w:rsidRPr="00C4084C">
        <w:t>Australia</w:t>
      </w:r>
      <w:proofErr w:type="gramEnd"/>
      <w:r w:rsidRPr="00C4084C">
        <w:t xml:space="preserve"> </w:t>
      </w:r>
    </w:p>
    <w:p w14:paraId="0622F79B" w14:textId="4259C2AC" w:rsidR="00F7613E" w:rsidRPr="00C4084C" w:rsidRDefault="00F7613E" w:rsidP="0072052F">
      <w:pPr>
        <w:pStyle w:val="List"/>
        <w:numPr>
          <w:ilvl w:val="0"/>
          <w:numId w:val="25"/>
        </w:numPr>
        <w:spacing w:after="0"/>
      </w:pPr>
      <w:r w:rsidRPr="00C4084C">
        <w:t xml:space="preserve">examine the barriers around access, participation and outcomes for First Nations </w:t>
      </w:r>
      <w:proofErr w:type="gramStart"/>
      <w:r w:rsidRPr="00C4084C">
        <w:t>students</w:t>
      </w:r>
      <w:proofErr w:type="gramEnd"/>
      <w:r w:rsidRPr="00C4084C">
        <w:t xml:space="preserve"> </w:t>
      </w:r>
    </w:p>
    <w:p w14:paraId="06819DB3" w14:textId="09720D39" w:rsidR="00F7613E" w:rsidRPr="00C4084C" w:rsidRDefault="00F7613E" w:rsidP="00F7613E">
      <w:pPr>
        <w:pStyle w:val="List"/>
      </w:pPr>
      <w:r w:rsidRPr="00C4084C">
        <w:t xml:space="preserve">examine the role, governance and funding of institutions such as the Batchelor Institute and </w:t>
      </w:r>
      <w:r w:rsidR="005D54DF">
        <w:t xml:space="preserve">potentially </w:t>
      </w:r>
      <w:r w:rsidRPr="00C4084C">
        <w:t xml:space="preserve">the Australian Institute for Aboriginal and Torres Strait Islander Studies to ensure efforts to improve aspiration, access, participation and outcomes for First Nations students are coordinated across the </w:t>
      </w:r>
      <w:proofErr w:type="gramStart"/>
      <w:r w:rsidRPr="00C4084C">
        <w:t>sector</w:t>
      </w:r>
      <w:proofErr w:type="gramEnd"/>
      <w:r w:rsidRPr="00C4084C">
        <w:t xml:space="preserve"> </w:t>
      </w:r>
    </w:p>
    <w:p w14:paraId="358B8BD5" w14:textId="77777777" w:rsidR="00F7613E" w:rsidRPr="00C4084C" w:rsidRDefault="00F7613E" w:rsidP="00F7613E">
      <w:pPr>
        <w:pStyle w:val="List"/>
      </w:pPr>
      <w:r w:rsidRPr="00C4084C">
        <w:t xml:space="preserve">examine the type and availability of data and examine the need for a national centre for First Nations student research and policy focused on First Nations student aspiration, access, enabling, </w:t>
      </w:r>
      <w:proofErr w:type="gramStart"/>
      <w:r w:rsidRPr="00C4084C">
        <w:t>participation</w:t>
      </w:r>
      <w:proofErr w:type="gramEnd"/>
      <w:r w:rsidRPr="00C4084C">
        <w:t xml:space="preserve"> and experience (as equity has been elevated through the National Centre for Student Equity in Higher Education)</w:t>
      </w:r>
    </w:p>
    <w:p w14:paraId="01D824F0" w14:textId="2798AB76" w:rsidR="00F7613E" w:rsidRPr="00C4084C" w:rsidRDefault="00F7613E" w:rsidP="00702605">
      <w:pPr>
        <w:pStyle w:val="List"/>
        <w:spacing w:after="0"/>
      </w:pPr>
      <w:r w:rsidRPr="00C4084C">
        <w:t xml:space="preserve">consider First Nations workforce </w:t>
      </w:r>
      <w:r w:rsidR="006C7AF6" w:rsidRPr="00C4084C">
        <w:t>including identifying</w:t>
      </w:r>
      <w:r w:rsidRPr="00C4084C">
        <w:t xml:space="preserve"> ways to strengthen the pipeline of early career First Nations </w:t>
      </w:r>
      <w:proofErr w:type="gramStart"/>
      <w:r w:rsidRPr="00C4084C">
        <w:t>researchers</w:t>
      </w:r>
      <w:proofErr w:type="gramEnd"/>
      <w:r w:rsidRPr="00C4084C">
        <w:t xml:space="preserve"> </w:t>
      </w:r>
    </w:p>
    <w:p w14:paraId="5C0DBD03" w14:textId="17F628AE" w:rsidR="00F7613E" w:rsidRPr="00C4084C" w:rsidRDefault="00F7613E" w:rsidP="00F7613E">
      <w:pPr>
        <w:pStyle w:val="List"/>
      </w:pPr>
      <w:r w:rsidRPr="00C4084C">
        <w:t xml:space="preserve">consider </w:t>
      </w:r>
      <w:r w:rsidR="006C7AF6" w:rsidRPr="00C4084C">
        <w:t xml:space="preserve">ways to increase First Nations research leadership, capacity and </w:t>
      </w:r>
      <w:proofErr w:type="gramStart"/>
      <w:r w:rsidR="006C7AF6" w:rsidRPr="00C4084C">
        <w:t>opportunity</w:t>
      </w:r>
      <w:proofErr w:type="gramEnd"/>
    </w:p>
    <w:p w14:paraId="129978FE" w14:textId="2DD4C1DF" w:rsidR="00C26F4C" w:rsidRPr="00C4084C" w:rsidRDefault="00F7613E" w:rsidP="00F7613E">
      <w:pPr>
        <w:pStyle w:val="List"/>
      </w:pPr>
      <w:r w:rsidRPr="00C4084C">
        <w:t xml:space="preserve">examine ways to enhance research capability for First Nations knowledges, including supporting greater collaboration and partnerships between First Nations communities, governments and </w:t>
      </w:r>
      <w:proofErr w:type="gramStart"/>
      <w:r w:rsidRPr="00C4084C">
        <w:t>universities</w:t>
      </w:r>
      <w:proofErr w:type="gramEnd"/>
    </w:p>
    <w:p w14:paraId="16191448" w14:textId="231B8B06" w:rsidR="00F7613E" w:rsidRPr="00C4084C" w:rsidRDefault="0078373A" w:rsidP="00F7613E">
      <w:pPr>
        <w:pStyle w:val="List"/>
      </w:pPr>
      <w:r w:rsidRPr="00C4084C">
        <w:t>consider whether higher education providers should adopt a universal graduate attribute on First Nations cultural awareness that would result in core units of First Nations knowledge and cultural competence included in every degree</w:t>
      </w:r>
      <w:r w:rsidR="00F7613E" w:rsidRPr="00C4084C">
        <w:t xml:space="preserve">. </w:t>
      </w:r>
    </w:p>
    <w:p w14:paraId="40C11B4C" w14:textId="77777777" w:rsidR="00562F35" w:rsidRPr="00C4084C" w:rsidRDefault="00562F35" w:rsidP="00A003C2">
      <w:r w:rsidRPr="00C4084C">
        <w:rPr>
          <w:rFonts w:eastAsiaTheme="minorEastAsia"/>
        </w:rPr>
        <w:t xml:space="preserve">There are other </w:t>
      </w:r>
      <w:r w:rsidRPr="00C4084C">
        <w:t xml:space="preserve">specific </w:t>
      </w:r>
      <w:r w:rsidRPr="00C4084C">
        <w:rPr>
          <w:rFonts w:eastAsiaTheme="minorEastAsia"/>
        </w:rPr>
        <w:t>matters</w:t>
      </w:r>
      <w:r w:rsidRPr="00C4084C">
        <w:t xml:space="preserve"> the Review heard throughout consultation that warrant further inquiry. These include:</w:t>
      </w:r>
    </w:p>
    <w:p w14:paraId="4B410D0C" w14:textId="334F661A" w:rsidR="00562F35" w:rsidRPr="00C4084C" w:rsidRDefault="00562F35" w:rsidP="00562F35">
      <w:pPr>
        <w:pStyle w:val="ListBullet"/>
      </w:pPr>
      <w:r w:rsidRPr="00C4084C">
        <w:t>assessing student contributions for First Nations students’ first degree</w:t>
      </w:r>
    </w:p>
    <w:p w14:paraId="199E686B" w14:textId="77777777" w:rsidR="00562F35" w:rsidRPr="00C4084C" w:rsidRDefault="00562F35" w:rsidP="00562F35">
      <w:pPr>
        <w:pStyle w:val="ListBullet"/>
      </w:pPr>
      <w:r w:rsidRPr="00C4084C">
        <w:rPr>
          <w:rFonts w:eastAsia="Arial"/>
        </w:rPr>
        <w:t>improving</w:t>
      </w:r>
      <w:r w:rsidRPr="00C4084C">
        <w:t xml:space="preserve"> the integration of VET and higher education through flexible pathways</w:t>
      </w:r>
    </w:p>
    <w:p w14:paraId="6D18894A" w14:textId="77777777" w:rsidR="00562F35" w:rsidRPr="00C4084C" w:rsidRDefault="00562F35" w:rsidP="00562F35">
      <w:pPr>
        <w:pStyle w:val="ListBullet"/>
      </w:pPr>
      <w:r w:rsidRPr="00C4084C">
        <w:t xml:space="preserve">addressing the barriers faced by First Nations staff in tertiary education, including to recruitment, retention and career </w:t>
      </w:r>
      <w:proofErr w:type="gramStart"/>
      <w:r w:rsidRPr="00C4084C">
        <w:t>progression</w:t>
      </w:r>
      <w:proofErr w:type="gramEnd"/>
    </w:p>
    <w:p w14:paraId="0158788A" w14:textId="70774764" w:rsidR="00562F35" w:rsidRPr="00C4084C" w:rsidRDefault="00562F35" w:rsidP="00562F35">
      <w:pPr>
        <w:pStyle w:val="ListBullet"/>
      </w:pPr>
      <w:r w:rsidRPr="00C4084C">
        <w:t>consider</w:t>
      </w:r>
      <w:r w:rsidR="00AB2DB2" w:rsidRPr="00C4084C">
        <w:t>ing</w:t>
      </w:r>
      <w:r w:rsidRPr="00C4084C">
        <w:t xml:space="preserve"> whether an allocated percentage of the Australian Research Council’s annual national competitive research grants funding should be committed to First Nations </w:t>
      </w:r>
      <w:proofErr w:type="gramStart"/>
      <w:r w:rsidRPr="00C4084C">
        <w:t>research</w:t>
      </w:r>
      <w:proofErr w:type="gramEnd"/>
    </w:p>
    <w:p w14:paraId="3A1506B9" w14:textId="1F3EE85E" w:rsidR="00562F35" w:rsidRPr="00C4084C" w:rsidRDefault="00562F35" w:rsidP="00562F35">
      <w:pPr>
        <w:pStyle w:val="ListBullet"/>
      </w:pPr>
      <w:r w:rsidRPr="00C4084C">
        <w:t xml:space="preserve">evaluating the need to develop a </w:t>
      </w:r>
      <w:r w:rsidR="00CE1202" w:rsidRPr="00C4084C">
        <w:t>n</w:t>
      </w:r>
      <w:r w:rsidRPr="00C4084C">
        <w:t xml:space="preserve">ational program for First Nations postdoctoral </w:t>
      </w:r>
      <w:proofErr w:type="gramStart"/>
      <w:r w:rsidRPr="00C4084C">
        <w:t>researchers</w:t>
      </w:r>
      <w:proofErr w:type="gramEnd"/>
      <w:r w:rsidRPr="00C4084C">
        <w:rPr>
          <w:rFonts w:eastAsia="Arial" w:cstheme="minorHAnsi"/>
        </w:rPr>
        <w:t xml:space="preserve"> </w:t>
      </w:r>
    </w:p>
    <w:p w14:paraId="53AFB0B6" w14:textId="4B6519A4" w:rsidR="00562F35" w:rsidRPr="00C4084C" w:rsidRDefault="00562F35" w:rsidP="00562F35">
      <w:pPr>
        <w:pStyle w:val="ListBullet"/>
      </w:pPr>
      <w:r w:rsidRPr="00C4084C">
        <w:rPr>
          <w:rFonts w:eastAsia="Arial" w:cstheme="minorHAnsi"/>
        </w:rPr>
        <w:t xml:space="preserve">strategies to increase and support international First Nations networks to build knowledge and undertake world class </w:t>
      </w:r>
      <w:proofErr w:type="gramStart"/>
      <w:r w:rsidRPr="00C4084C">
        <w:rPr>
          <w:rFonts w:eastAsia="Arial" w:cstheme="minorHAnsi"/>
        </w:rPr>
        <w:t>research</w:t>
      </w:r>
      <w:proofErr w:type="gramEnd"/>
      <w:r w:rsidRPr="00C4084C">
        <w:t xml:space="preserve"> </w:t>
      </w:r>
    </w:p>
    <w:p w14:paraId="00BBC369" w14:textId="24847E8D" w:rsidR="00562F35" w:rsidRPr="00C4084C" w:rsidRDefault="00562F35" w:rsidP="00E14BDA">
      <w:pPr>
        <w:pStyle w:val="ListBullet"/>
      </w:pPr>
      <w:r w:rsidRPr="00C4084C">
        <w:t>identifying how to support place-based research positions that allow for connection to community and country.</w:t>
      </w:r>
    </w:p>
    <w:p w14:paraId="701928DE" w14:textId="646F3B57" w:rsidR="00A14420" w:rsidRPr="00C4084C" w:rsidRDefault="00A14420" w:rsidP="00214052">
      <w:pPr>
        <w:pStyle w:val="Heading5"/>
      </w:pPr>
      <w:bookmarkStart w:id="1151" w:name="_Toc1864459185"/>
      <w:bookmarkStart w:id="1152" w:name="_Toc1928303261"/>
      <w:r w:rsidRPr="00C4084C">
        <w:t xml:space="preserve">First Nations </w:t>
      </w:r>
      <w:r w:rsidR="00E16FB2" w:rsidRPr="00C4084C">
        <w:t xml:space="preserve">representation and </w:t>
      </w:r>
      <w:r w:rsidRPr="00C4084C">
        <w:t>institutional leadership</w:t>
      </w:r>
      <w:bookmarkEnd w:id="1151"/>
      <w:bookmarkEnd w:id="1152"/>
    </w:p>
    <w:p w14:paraId="681FD3D7" w14:textId="25F18EA3" w:rsidR="005E2A7E" w:rsidRPr="00C4084C" w:rsidRDefault="005E2A7E" w:rsidP="00A003C2">
      <w:r w:rsidRPr="00C4084C">
        <w:t xml:space="preserve">First Nations </w:t>
      </w:r>
      <w:r w:rsidR="00A90985" w:rsidRPr="00C4084C">
        <w:t>people</w:t>
      </w:r>
      <w:r w:rsidRPr="00C4084C">
        <w:t xml:space="preserve"> should be represented </w:t>
      </w:r>
      <w:r w:rsidR="00467A85" w:rsidRPr="00C4084C">
        <w:t>in</w:t>
      </w:r>
      <w:r w:rsidRPr="00C4084C">
        <w:t xml:space="preserve"> every </w:t>
      </w:r>
      <w:r w:rsidR="00467A85" w:rsidRPr="00C4084C">
        <w:t>part</w:t>
      </w:r>
      <w:r w:rsidRPr="00C4084C">
        <w:t xml:space="preserve"> of the system </w:t>
      </w:r>
      <w:r w:rsidR="000C4EEF" w:rsidRPr="00C4084C">
        <w:t>–</w:t>
      </w:r>
      <w:r w:rsidRPr="00C4084C">
        <w:t xml:space="preserve"> as students, as teachers and researchers, in professional, </w:t>
      </w:r>
      <w:proofErr w:type="gramStart"/>
      <w:r w:rsidRPr="00C4084C">
        <w:t>corporate</w:t>
      </w:r>
      <w:proofErr w:type="gramEnd"/>
      <w:r w:rsidRPr="00C4084C">
        <w:t xml:space="preserve"> and administrative roles. The Australian Government should examine the representation of First Nations people in all these roles and employ strategies that </w:t>
      </w:r>
      <w:r w:rsidR="000C4EEF" w:rsidRPr="00C4084C">
        <w:t>advance</w:t>
      </w:r>
      <w:r w:rsidRPr="00C4084C">
        <w:t xml:space="preserve"> proportional representation. </w:t>
      </w:r>
    </w:p>
    <w:p w14:paraId="280EC263" w14:textId="77777777" w:rsidR="005E2A7E" w:rsidRPr="00C4084C" w:rsidRDefault="005E2A7E" w:rsidP="00A003C2">
      <w:r w:rsidRPr="00C4084C">
        <w:lastRenderedPageBreak/>
        <w:t xml:space="preserve">The Government should also work with state and territory governments and universities to increase the representation of suitably qualified First Nations people in university governance and institutional leadership positions.     </w:t>
      </w:r>
    </w:p>
    <w:p w14:paraId="59441D4A" w14:textId="77777777" w:rsidR="005E2A7E" w:rsidRPr="00C4084C" w:rsidRDefault="005E2A7E" w:rsidP="00A003C2">
      <w:r w:rsidRPr="00C4084C">
        <w:t>But it is not enough to pursue parity of institutional staffing in traditional educational structures.</w:t>
      </w:r>
    </w:p>
    <w:p w14:paraId="25248B1B" w14:textId="3D9B3B8F" w:rsidR="005E2A7E" w:rsidRPr="00C4084C" w:rsidRDefault="005E2A7E" w:rsidP="00A003C2">
      <w:r w:rsidRPr="00C4084C">
        <w:t xml:space="preserve">In addition to </w:t>
      </w:r>
      <w:r w:rsidR="00472BCD" w:rsidRPr="00C4084C">
        <w:t>First Nations representation</w:t>
      </w:r>
      <w:r w:rsidRPr="00C4084C">
        <w:t xml:space="preserve">, stakeholders also raised the need for </w:t>
      </w:r>
      <w:r w:rsidR="00472BCD" w:rsidRPr="00C4084C">
        <w:t>new forms of institutional leadership</w:t>
      </w:r>
      <w:r w:rsidRPr="00C4084C">
        <w:t xml:space="preserve"> to address the systemic challenges created by colonial structures of knowledge and value. </w:t>
      </w:r>
    </w:p>
    <w:p w14:paraId="05F961E1" w14:textId="0A2B07C1" w:rsidR="005E2A7E" w:rsidRPr="00C4084C" w:rsidRDefault="005E2A7E" w:rsidP="00A003C2">
      <w:r w:rsidRPr="00C4084C">
        <w:t xml:space="preserve">One example of a self-determined approach to higher education is the First Nations University of Canada. This institution is a First Nations-controlled university college with a distinct mission of enhancing the quality of life of Canada’s First Nations people, as well as preserving, </w:t>
      </w:r>
      <w:proofErr w:type="gramStart"/>
      <w:r w:rsidRPr="00C4084C">
        <w:t>protecting</w:t>
      </w:r>
      <w:proofErr w:type="gramEnd"/>
      <w:r w:rsidRPr="00C4084C">
        <w:t xml:space="preserve"> and interpreting First Nations history, language and culture. </w:t>
      </w:r>
    </w:p>
    <w:p w14:paraId="79BC5874" w14:textId="21E07FA8" w:rsidR="00611EBF" w:rsidRPr="00C4084C" w:rsidRDefault="00C30069" w:rsidP="003E5969">
      <w:r w:rsidRPr="00C4084C">
        <w:t>E</w:t>
      </w:r>
      <w:r w:rsidR="00685BAE" w:rsidRPr="00C4084C">
        <w:t>xisting</w:t>
      </w:r>
      <w:r w:rsidR="005E2A7E" w:rsidRPr="00C4084C">
        <w:t xml:space="preserve"> </w:t>
      </w:r>
      <w:r w:rsidR="00E16FB2" w:rsidRPr="00C4084C">
        <w:t>First Nations-led</w:t>
      </w:r>
      <w:r w:rsidR="005E2A7E" w:rsidRPr="00C4084C">
        <w:t xml:space="preserve"> institutions such as the Batchelor Institute of Indigenous Tertiary Education and the Australian Institute for Aboriginal and Torres Strait Islander Studies could play a role in devising new models for learning that are led by and for First Nations people. Their role and the adequacy and sources of funding should be reviewed as part of this work.</w:t>
      </w:r>
      <w:r w:rsidR="00526E72" w:rsidRPr="00C4084C">
        <w:t xml:space="preserve"> </w:t>
      </w:r>
    </w:p>
    <w:tbl>
      <w:tblPr>
        <w:tblW w:w="0" w:type="auto"/>
        <w:tblLook w:val="04A0" w:firstRow="1" w:lastRow="0" w:firstColumn="1" w:lastColumn="0" w:noHBand="0" w:noVBand="1"/>
      </w:tblPr>
      <w:tblGrid>
        <w:gridCol w:w="9026"/>
      </w:tblGrid>
      <w:tr w:rsidR="00DB7F31" w:rsidRPr="00C4084C" w14:paraId="3249FDA9" w14:textId="77777777" w:rsidTr="00D26B82">
        <w:tc>
          <w:tcPr>
            <w:tcW w:w="0" w:type="auto"/>
            <w:tcBorders>
              <w:top w:val="nil"/>
              <w:left w:val="nil"/>
              <w:bottom w:val="nil"/>
              <w:right w:val="nil"/>
            </w:tcBorders>
            <w:shd w:val="clear" w:color="auto" w:fill="FEECDF"/>
          </w:tcPr>
          <w:p w14:paraId="001FAAEF" w14:textId="5A9103CB" w:rsidR="00F33520" w:rsidRDefault="00F33520" w:rsidP="003E5969">
            <w:pPr>
              <w:pStyle w:val="Recheadinginbox"/>
            </w:pPr>
            <w:r>
              <w:t>Recommendation: A First Nations-led Review</w:t>
            </w:r>
          </w:p>
          <w:p w14:paraId="6F3BC78F" w14:textId="05148ADB" w:rsidR="00DB7F31" w:rsidRPr="00C4084C" w:rsidRDefault="00DB7F31" w:rsidP="003E5969">
            <w:pPr>
              <w:pStyle w:val="Recsin-chapterL1"/>
              <w:framePr w:wrap="notBeside"/>
              <w:spacing w:before="0" w:after="0"/>
            </w:pPr>
            <w:r w:rsidRPr="00C4084C">
              <w:t>To deliver on the commitment to self-determination for First Nations people, the Australian Government commission a First Nations-led review of higher education in consultation with relevant First Nations stakeholder groups with terms of reference that include:</w:t>
            </w:r>
          </w:p>
          <w:p w14:paraId="6363AC1D" w14:textId="77777777" w:rsidR="00DB7F31" w:rsidRPr="00C4084C" w:rsidRDefault="00DB7F31" w:rsidP="003E5969">
            <w:pPr>
              <w:pStyle w:val="Recsin-chapterL2"/>
              <w:spacing w:before="0" w:beforeAutospacing="0"/>
            </w:pPr>
            <w:r w:rsidRPr="00C4084C">
              <w:t>national system level changes including:</w:t>
            </w:r>
          </w:p>
          <w:p w14:paraId="01CEB56C" w14:textId="77777777" w:rsidR="00DB7F31" w:rsidRPr="00C4084C" w:rsidRDefault="00DB7F31" w:rsidP="003E5969">
            <w:pPr>
              <w:pStyle w:val="Recsin-chapterL3"/>
            </w:pPr>
            <w:r w:rsidRPr="00C4084C">
              <w:t>moving toward a self-determined approach to funding and policy settings</w:t>
            </w:r>
          </w:p>
          <w:p w14:paraId="72129E63" w14:textId="561E5EDA" w:rsidR="00DB7F31" w:rsidRPr="00C4084C" w:rsidRDefault="00DB7F31" w:rsidP="003E5969">
            <w:pPr>
              <w:pStyle w:val="Recsin-chapterL3"/>
            </w:pPr>
            <w:r w:rsidRPr="00C4084C">
              <w:t xml:space="preserve">removing barriers around access, </w:t>
            </w:r>
            <w:proofErr w:type="gramStart"/>
            <w:r w:rsidRPr="00C4084C">
              <w:t>participation</w:t>
            </w:r>
            <w:proofErr w:type="gramEnd"/>
            <w:r w:rsidRPr="00C4084C">
              <w:t xml:space="preserve"> and outcomes</w:t>
            </w:r>
          </w:p>
          <w:p w14:paraId="4F5337F9" w14:textId="77777777" w:rsidR="00DB7F31" w:rsidRPr="00C4084C" w:rsidRDefault="00DB7F31" w:rsidP="003E5969">
            <w:pPr>
              <w:pStyle w:val="Recsin-chapterL3"/>
            </w:pPr>
            <w:r w:rsidRPr="00C4084C">
              <w:t>the role of institutions such as the Batchelor Institute of Indigenous Tertiary Education and the Australian Institute for Aboriginal and Torres Strait Islander Studies</w:t>
            </w:r>
          </w:p>
          <w:p w14:paraId="46972D8A" w14:textId="00958AF7" w:rsidR="00DB7F31" w:rsidRPr="00C4084C" w:rsidRDefault="00DB7F31" w:rsidP="003E5969">
            <w:pPr>
              <w:pStyle w:val="Recsin-chapterL3"/>
            </w:pPr>
            <w:r w:rsidRPr="00C4084C">
              <w:t>the need for a national centre for First Nations student research</w:t>
            </w:r>
          </w:p>
          <w:p w14:paraId="30BAD80E" w14:textId="77777777" w:rsidR="00DB7F31" w:rsidRPr="00C4084C" w:rsidRDefault="00DB7F31" w:rsidP="003E5969">
            <w:pPr>
              <w:pStyle w:val="Recsin-chapterL2"/>
            </w:pPr>
            <w:r w:rsidRPr="00C4084C">
              <w:t>strengthening First Nations knowledges and research including around:</w:t>
            </w:r>
          </w:p>
          <w:p w14:paraId="0AFF7186" w14:textId="77777777" w:rsidR="00DB7F31" w:rsidRPr="00C4084C" w:rsidRDefault="00DB7F31" w:rsidP="003E5969">
            <w:pPr>
              <w:pStyle w:val="Recsin-chapterL3"/>
              <w:rPr>
                <w:rStyle w:val="normaltextrun"/>
              </w:rPr>
            </w:pPr>
            <w:r w:rsidRPr="00C4084C">
              <w:rPr>
                <w:rStyle w:val="normaltextrun"/>
              </w:rPr>
              <w:t>First Nations workforce and the pipeline of early career First Nations researchers</w:t>
            </w:r>
          </w:p>
          <w:p w14:paraId="04B2CC65" w14:textId="77777777" w:rsidR="00DB7F31" w:rsidRPr="00C4084C" w:rsidRDefault="00DB7F31" w:rsidP="003E5969">
            <w:pPr>
              <w:pStyle w:val="Recsin-chapterL3"/>
              <w:rPr>
                <w:rStyle w:val="normaltextrun"/>
              </w:rPr>
            </w:pPr>
            <w:r w:rsidRPr="00C4084C">
              <w:rPr>
                <w:rStyle w:val="normaltextrun"/>
              </w:rPr>
              <w:t>allocation of competitive research grants to First Nations research</w:t>
            </w:r>
          </w:p>
          <w:p w14:paraId="5A57E055" w14:textId="77777777" w:rsidR="00DB7F31" w:rsidRPr="00C4084C" w:rsidRDefault="00DB7F31" w:rsidP="003E5969">
            <w:pPr>
              <w:pStyle w:val="Recsin-chapterL3"/>
              <w:rPr>
                <w:rStyle w:val="normaltextrun"/>
              </w:rPr>
            </w:pPr>
            <w:r w:rsidRPr="00C4084C">
              <w:rPr>
                <w:rStyle w:val="normaltextrun"/>
              </w:rPr>
              <w:t>enhancing research capability for First Nations knowledges</w:t>
            </w:r>
          </w:p>
          <w:p w14:paraId="78460C12" w14:textId="77777777" w:rsidR="00DB7F31" w:rsidRPr="00C4084C" w:rsidDel="00882244" w:rsidRDefault="00DB7F31" w:rsidP="003E5969">
            <w:pPr>
              <w:pStyle w:val="Recsin-chapterL3"/>
            </w:pPr>
            <w:r w:rsidRPr="00C4084C">
              <w:rPr>
                <w:rStyle w:val="normaltextrun"/>
              </w:rPr>
              <w:t>introduction of a</w:t>
            </w:r>
            <w:r w:rsidRPr="00C4084C">
              <w:rPr>
                <w:rStyle w:val="eop"/>
              </w:rPr>
              <w:t xml:space="preserve"> First Nations graduate attribute</w:t>
            </w:r>
            <w:r w:rsidRPr="00C4084C">
              <w:rPr>
                <w:rStyle w:val="normaltextrun"/>
              </w:rPr>
              <w:t>.</w:t>
            </w:r>
          </w:p>
        </w:tc>
      </w:tr>
    </w:tbl>
    <w:p w14:paraId="3CF2A76B" w14:textId="3C8E2453" w:rsidR="00611EBF" w:rsidRPr="00C4084C" w:rsidRDefault="00611EBF" w:rsidP="003E5969">
      <w:pPr>
        <w:spacing w:after="0"/>
      </w:pPr>
    </w:p>
    <w:tbl>
      <w:tblPr>
        <w:tblW w:w="9072" w:type="dxa"/>
        <w:shd w:val="clear" w:color="auto" w:fill="FBE4D5"/>
        <w:tblLook w:val="04A0" w:firstRow="1" w:lastRow="0" w:firstColumn="1" w:lastColumn="0" w:noHBand="0" w:noVBand="1"/>
      </w:tblPr>
      <w:tblGrid>
        <w:gridCol w:w="9072"/>
      </w:tblGrid>
      <w:tr w:rsidR="00805BD6" w:rsidRPr="00C4084C" w14:paraId="79F0E765" w14:textId="77777777" w:rsidTr="00D26B82">
        <w:tc>
          <w:tcPr>
            <w:tcW w:w="9072" w:type="dxa"/>
            <w:shd w:val="clear" w:color="auto" w:fill="FEECDF"/>
          </w:tcPr>
          <w:p w14:paraId="109D277F" w14:textId="6D50F3CF" w:rsidR="00F33520" w:rsidRDefault="00F33520" w:rsidP="003E5969">
            <w:pPr>
              <w:pStyle w:val="Recheadinginbox"/>
            </w:pPr>
            <w:r>
              <w:t xml:space="preserve">Recommendation: </w:t>
            </w:r>
            <w:r w:rsidRPr="00C4084C">
              <w:t>First Nations governance</w:t>
            </w:r>
          </w:p>
          <w:p w14:paraId="0CFA508D" w14:textId="5E8788EF" w:rsidR="00805BD6" w:rsidRPr="00C4084C" w:rsidDel="00882244" w:rsidRDefault="00805BD6" w:rsidP="003E5969">
            <w:pPr>
              <w:pStyle w:val="Recsin-chapterL1"/>
              <w:framePr w:wrap="notBeside"/>
              <w:spacing w:before="0"/>
            </w:pPr>
            <w:r w:rsidRPr="00C4084C">
              <w:t>That as part of the work on strengthening university governance that resulted from the Interim Report, the Australian Government examine the representation of First Nations people in university governance and leadership positions and work with state and territory governments and universities to increase the representation of suitably qualified First Nations people.</w:t>
            </w:r>
          </w:p>
        </w:tc>
      </w:tr>
    </w:tbl>
    <w:p w14:paraId="3CC19BB4" w14:textId="193797C3" w:rsidR="00A14420" w:rsidRPr="00C4084C" w:rsidRDefault="00A14420" w:rsidP="00BA6095">
      <w:pPr>
        <w:pStyle w:val="Heading4"/>
      </w:pPr>
      <w:bookmarkStart w:id="1153" w:name="_Toc1648143907"/>
      <w:bookmarkStart w:id="1154" w:name="_Toc1348537282"/>
      <w:bookmarkStart w:id="1155" w:name="_Toc1238960448"/>
      <w:bookmarkStart w:id="1156" w:name="_Toc159500999"/>
      <w:r w:rsidRPr="00C4084C">
        <w:rPr>
          <w:rStyle w:val="normaltextrun"/>
        </w:rPr>
        <w:t>Knowing what works: the importance of good data and metrics</w:t>
      </w:r>
      <w:bookmarkEnd w:id="1153"/>
      <w:bookmarkEnd w:id="1154"/>
      <w:bookmarkEnd w:id="1155"/>
      <w:bookmarkEnd w:id="1156"/>
      <w:r w:rsidRPr="00C4084C">
        <w:rPr>
          <w:rStyle w:val="eop"/>
        </w:rPr>
        <w:t> </w:t>
      </w:r>
    </w:p>
    <w:p w14:paraId="6A7F11F8" w14:textId="6629BF0A" w:rsidR="00A14420" w:rsidRPr="00C4084C" w:rsidRDefault="00A14420" w:rsidP="00A003C2">
      <w:pPr>
        <w:rPr>
          <w:rStyle w:val="normaltextrun"/>
          <w:rFonts w:asciiTheme="majorHAnsi" w:eastAsiaTheme="majorEastAsia" w:hAnsiTheme="majorHAnsi" w:cstheme="minorHAnsi"/>
          <w:b/>
          <w:iCs/>
          <w:color w:val="000000" w:themeColor="text1"/>
          <w:sz w:val="28"/>
        </w:rPr>
      </w:pPr>
      <w:r w:rsidRPr="00C4084C">
        <w:rPr>
          <w:rStyle w:val="normaltextrun"/>
          <w:rFonts w:cstheme="minorHAnsi"/>
        </w:rPr>
        <w:t xml:space="preserve">The success of </w:t>
      </w:r>
      <w:r w:rsidR="00B43177" w:rsidRPr="00C4084C">
        <w:rPr>
          <w:rStyle w:val="normaltextrun"/>
          <w:rFonts w:cstheme="minorHAnsi"/>
        </w:rPr>
        <w:t>delivering the reforms in this Review</w:t>
      </w:r>
      <w:r w:rsidRPr="00C4084C">
        <w:rPr>
          <w:rStyle w:val="normaltextrun"/>
          <w:rFonts w:cstheme="minorHAnsi"/>
        </w:rPr>
        <w:t xml:space="preserve"> will depend on quality partnerships between all participants, which must be informed by robust evidence and evaluation underpinned by quality </w:t>
      </w:r>
      <w:r w:rsidRPr="00C4084C">
        <w:rPr>
          <w:rStyle w:val="normaltextrun"/>
          <w:rFonts w:cstheme="minorHAnsi"/>
        </w:rPr>
        <w:lastRenderedPageBreak/>
        <w:t xml:space="preserve">data and metrics. Currently, there is a lack of quality data to support robust evaluation, and a lack of linkages between </w:t>
      </w:r>
      <w:r w:rsidR="00640AAB" w:rsidRPr="00C4084C">
        <w:rPr>
          <w:rStyle w:val="normaltextrun"/>
          <w:rFonts w:cstheme="minorHAnsi"/>
        </w:rPr>
        <w:t xml:space="preserve">core </w:t>
      </w:r>
      <w:r w:rsidRPr="00C4084C">
        <w:rPr>
          <w:rStyle w:val="normaltextrun"/>
          <w:rFonts w:cstheme="minorHAnsi"/>
        </w:rPr>
        <w:t xml:space="preserve">tertiary education data sources. This already presents challenges to measuring the impacts of tertiary </w:t>
      </w:r>
      <w:r w:rsidR="00284F7D" w:rsidRPr="00C4084C">
        <w:rPr>
          <w:rStyle w:val="normaltextrun"/>
          <w:rFonts w:cstheme="minorHAnsi"/>
        </w:rPr>
        <w:t>education</w:t>
      </w:r>
      <w:r w:rsidRPr="00C4084C">
        <w:rPr>
          <w:rStyle w:val="normaltextrun"/>
          <w:rFonts w:cstheme="minorHAnsi"/>
        </w:rPr>
        <w:t xml:space="preserve"> policies, and demand for improved data will only increase as the sector faces more change and complexity</w:t>
      </w:r>
      <w:r w:rsidRPr="00C4084C">
        <w:rPr>
          <w:rStyle w:val="normaltextrun"/>
          <w:rFonts w:cstheme="minorHAnsi"/>
          <w:color w:val="000000" w:themeColor="text1"/>
        </w:rPr>
        <w:t>.</w:t>
      </w:r>
    </w:p>
    <w:p w14:paraId="27E1562D" w14:textId="28FE148C" w:rsidR="00A14420" w:rsidRPr="00C4084C" w:rsidRDefault="00A14420" w:rsidP="00A003C2">
      <w:pPr>
        <w:rPr>
          <w:sz w:val="18"/>
          <w:szCs w:val="18"/>
        </w:rPr>
      </w:pPr>
      <w:r w:rsidRPr="00C4084C">
        <w:rPr>
          <w:rStyle w:val="normaltextrun"/>
          <w:rFonts w:cstheme="minorHAnsi"/>
        </w:rPr>
        <w:t xml:space="preserve">Quality data and metrics </w:t>
      </w:r>
      <w:r w:rsidR="006E68E6" w:rsidRPr="00C4084C">
        <w:rPr>
          <w:rStyle w:val="normaltextrun"/>
          <w:rFonts w:cstheme="minorHAnsi"/>
        </w:rPr>
        <w:t xml:space="preserve">are </w:t>
      </w:r>
      <w:r w:rsidRPr="00C4084C">
        <w:rPr>
          <w:rStyle w:val="normaltextrun"/>
          <w:rFonts w:cstheme="minorHAnsi"/>
        </w:rPr>
        <w:t xml:space="preserve">the basis of ongoing </w:t>
      </w:r>
      <w:r w:rsidRPr="00C4084C">
        <w:rPr>
          <w:rStyle w:val="normaltextrun"/>
          <w:color w:val="000000" w:themeColor="text1"/>
        </w:rPr>
        <w:t xml:space="preserve">improvement in the tertiary </w:t>
      </w:r>
      <w:r w:rsidR="007162DD" w:rsidRPr="00C4084C">
        <w:t xml:space="preserve">education </w:t>
      </w:r>
      <w:r w:rsidRPr="00C4084C">
        <w:rPr>
          <w:rStyle w:val="normaltextrun"/>
          <w:color w:val="000000" w:themeColor="text1"/>
        </w:rPr>
        <w:t>system,</w:t>
      </w:r>
      <w:r w:rsidRPr="00C4084C">
        <w:rPr>
          <w:rStyle w:val="normaltextrun"/>
          <w:rFonts w:cstheme="minorHAnsi"/>
        </w:rPr>
        <w:t xml:space="preserve"> allowing identification of what works and what does not, sharing of best practice, and reflection on progress over time. As steward of </w:t>
      </w:r>
      <w:r w:rsidRPr="00C4084C">
        <w:rPr>
          <w:rStyle w:val="normaltextrun"/>
          <w:color w:val="000000" w:themeColor="text1"/>
        </w:rPr>
        <w:t>the</w:t>
      </w:r>
      <w:r w:rsidRPr="00C4084C">
        <w:rPr>
          <w:rStyle w:val="normaltextrun"/>
          <w:rFonts w:cstheme="minorHAnsi"/>
        </w:rPr>
        <w:t xml:space="preserve"> </w:t>
      </w:r>
      <w:r w:rsidR="006E68E6" w:rsidRPr="00C4084C">
        <w:rPr>
          <w:rStyle w:val="normaltextrun"/>
          <w:rFonts w:cstheme="minorHAnsi"/>
        </w:rPr>
        <w:t>tertiary education system</w:t>
      </w:r>
      <w:r w:rsidRPr="00C4084C">
        <w:rPr>
          <w:rStyle w:val="normaltextrun"/>
          <w:rFonts w:cstheme="minorHAnsi"/>
        </w:rPr>
        <w:t xml:space="preserve">, the </w:t>
      </w:r>
      <w:r w:rsidR="00362122" w:rsidRPr="00C4084C">
        <w:t>Commission</w:t>
      </w:r>
      <w:r w:rsidRPr="00C4084C">
        <w:rPr>
          <w:rStyle w:val="normaltextrun"/>
          <w:rFonts w:cstheme="minorHAnsi"/>
        </w:rPr>
        <w:t xml:space="preserve"> will help develop and embed this learning approach by monitoring progress against </w:t>
      </w:r>
      <w:r w:rsidR="006E68E6" w:rsidRPr="00C4084C">
        <w:rPr>
          <w:rStyle w:val="normaltextrun"/>
          <w:rFonts w:cstheme="minorHAnsi"/>
        </w:rPr>
        <w:t xml:space="preserve">the </w:t>
      </w:r>
      <w:r w:rsidRPr="00C4084C">
        <w:rPr>
          <w:rStyle w:val="normaltextrun"/>
          <w:rFonts w:cstheme="minorHAnsi"/>
        </w:rPr>
        <w:t xml:space="preserve">goals </w:t>
      </w:r>
      <w:r w:rsidR="006E68E6" w:rsidRPr="00C4084C">
        <w:rPr>
          <w:rStyle w:val="normaltextrun"/>
          <w:rFonts w:cstheme="minorHAnsi"/>
        </w:rPr>
        <w:t xml:space="preserve">set by </w:t>
      </w:r>
      <w:r w:rsidR="00EC6CD5" w:rsidRPr="00C4084C">
        <w:rPr>
          <w:rStyle w:val="normaltextrun"/>
          <w:rFonts w:cstheme="minorHAnsi"/>
        </w:rPr>
        <w:t xml:space="preserve">the Australian </w:t>
      </w:r>
      <w:r w:rsidR="006E68E6" w:rsidRPr="00C4084C">
        <w:rPr>
          <w:rStyle w:val="normaltextrun"/>
          <w:rFonts w:cstheme="minorHAnsi"/>
        </w:rPr>
        <w:t>Government</w:t>
      </w:r>
      <w:r w:rsidRPr="00C4084C">
        <w:rPr>
          <w:rStyle w:val="normaltextrun"/>
          <w:rFonts w:cstheme="minorHAnsi"/>
        </w:rPr>
        <w:t xml:space="preserve"> and in </w:t>
      </w:r>
      <w:r w:rsidR="006E68E6" w:rsidRPr="00C4084C">
        <w:rPr>
          <w:rStyle w:val="normaltextrun"/>
          <w:rFonts w:cstheme="minorHAnsi"/>
        </w:rPr>
        <w:t>mission-based</w:t>
      </w:r>
      <w:r w:rsidRPr="00C4084C">
        <w:rPr>
          <w:rStyle w:val="normaltextrun"/>
          <w:rFonts w:cstheme="minorHAnsi"/>
        </w:rPr>
        <w:t xml:space="preserve"> compacts </w:t>
      </w:r>
      <w:r w:rsidR="006E68E6" w:rsidRPr="00C4084C">
        <w:rPr>
          <w:rStyle w:val="normaltextrun"/>
          <w:rFonts w:cstheme="minorHAnsi"/>
        </w:rPr>
        <w:t>with individual</w:t>
      </w:r>
      <w:r w:rsidRPr="00C4084C">
        <w:rPr>
          <w:rStyle w:val="normaltextrun"/>
          <w:rFonts w:cstheme="minorHAnsi"/>
        </w:rPr>
        <w:t xml:space="preserve"> universities, as well as facilitating the development of public reporting and transparent data sources.</w:t>
      </w:r>
    </w:p>
    <w:p w14:paraId="7BF29D0A" w14:textId="77777777" w:rsidR="00A14420" w:rsidRPr="00C4084C" w:rsidRDefault="00A14420" w:rsidP="00E139A6">
      <w:pPr>
        <w:pStyle w:val="Heading5"/>
      </w:pPr>
      <w:r w:rsidRPr="00C4084C">
        <w:rPr>
          <w:rStyle w:val="normaltextrun"/>
        </w:rPr>
        <w:t>Improving the quality of tertiary data and metrics</w:t>
      </w:r>
    </w:p>
    <w:p w14:paraId="257F8936" w14:textId="77777777" w:rsidR="00A14420" w:rsidRPr="00C4084C" w:rsidRDefault="00A14420" w:rsidP="00E139A6">
      <w:pPr>
        <w:pStyle w:val="Heading6"/>
      </w:pPr>
      <w:r w:rsidRPr="00C4084C">
        <w:rPr>
          <w:rStyle w:val="normaltextrun"/>
        </w:rPr>
        <w:t xml:space="preserve">Monitoring progress relies on available </w:t>
      </w:r>
      <w:proofErr w:type="gramStart"/>
      <w:r w:rsidRPr="00C4084C">
        <w:rPr>
          <w:rStyle w:val="normaltextrun"/>
        </w:rPr>
        <w:t>data</w:t>
      </w:r>
      <w:proofErr w:type="gramEnd"/>
      <w:r w:rsidRPr="00C4084C">
        <w:rPr>
          <w:rStyle w:val="eop"/>
        </w:rPr>
        <w:t> </w:t>
      </w:r>
    </w:p>
    <w:p w14:paraId="28BFAAC5" w14:textId="0B5E6183" w:rsidR="00A14420" w:rsidRPr="00C4084C" w:rsidRDefault="00A14420" w:rsidP="00A003C2">
      <w:pPr>
        <w:rPr>
          <w:rStyle w:val="normaltextrun"/>
          <w:rFonts w:asciiTheme="majorHAnsi" w:eastAsiaTheme="majorEastAsia" w:hAnsiTheme="majorHAnsi" w:cstheme="minorHAnsi"/>
          <w:b/>
          <w:iCs/>
          <w:color w:val="7F7F7F" w:themeColor="text1" w:themeTint="80"/>
        </w:rPr>
      </w:pPr>
      <w:r w:rsidRPr="00C4084C">
        <w:rPr>
          <w:rStyle w:val="normaltextrun"/>
          <w:rFonts w:cstheme="minorHAnsi"/>
          <w:color w:val="000000" w:themeColor="text1"/>
        </w:rPr>
        <w:t xml:space="preserve">The Review </w:t>
      </w:r>
      <w:r w:rsidRPr="00C4084C">
        <w:rPr>
          <w:rStyle w:val="normaltextrun"/>
          <w:rFonts w:cstheme="minorHAnsi"/>
        </w:rPr>
        <w:t xml:space="preserve">frequently encountered a lack of quality data which could be used to better understand and quantify issues in the sector and understand </w:t>
      </w:r>
      <w:r w:rsidR="00170D9D" w:rsidRPr="00C4084C">
        <w:rPr>
          <w:rStyle w:val="normaltextrun"/>
          <w:rFonts w:cstheme="minorHAnsi"/>
        </w:rPr>
        <w:t xml:space="preserve">their </w:t>
      </w:r>
      <w:r w:rsidRPr="00C4084C">
        <w:rPr>
          <w:rStyle w:val="normaltextrun"/>
          <w:rFonts w:cstheme="minorHAnsi"/>
        </w:rPr>
        <w:t xml:space="preserve">long-term outcomes. </w:t>
      </w:r>
    </w:p>
    <w:p w14:paraId="5C070C59" w14:textId="17E2BD3C" w:rsidR="00A14420" w:rsidRPr="00C4084C" w:rsidRDefault="00A14420" w:rsidP="00A003C2">
      <w:pPr>
        <w:rPr>
          <w:rStyle w:val="normaltextrun"/>
          <w:rFonts w:cstheme="minorHAnsi"/>
          <w:color w:val="000000"/>
          <w:shd w:val="clear" w:color="auto" w:fill="FFFFFF"/>
        </w:rPr>
      </w:pPr>
      <w:r w:rsidRPr="00C4084C">
        <w:rPr>
          <w:rStyle w:val="normaltextrun"/>
          <w:rFonts w:cstheme="minorHAnsi"/>
        </w:rPr>
        <w:t>This included a lack of historical records of change to the system, consistent and timely data series, regularly published</w:t>
      </w:r>
      <w:r w:rsidRPr="00C4084C">
        <w:rPr>
          <w:rStyle w:val="normaltextrun"/>
          <w:rFonts w:cstheme="minorHAnsi"/>
          <w:color w:val="000000"/>
          <w:shd w:val="clear" w:color="auto" w:fill="FFFFFF"/>
        </w:rPr>
        <w:t xml:space="preserve"> reports, and academic research into the Australian higher education and research system</w:t>
      </w:r>
      <w:r w:rsidR="00372EBC" w:rsidRPr="00C4084C">
        <w:rPr>
          <w:rStyle w:val="normaltextrun"/>
          <w:rFonts w:cstheme="minorHAnsi"/>
          <w:color w:val="000000"/>
          <w:shd w:val="clear" w:color="auto" w:fill="FFFFFF"/>
        </w:rPr>
        <w:t>s</w:t>
      </w:r>
      <w:r w:rsidRPr="00C4084C">
        <w:rPr>
          <w:rStyle w:val="normaltextrun"/>
          <w:rFonts w:cstheme="minorHAnsi"/>
          <w:color w:val="000000"/>
          <w:shd w:val="clear" w:color="auto" w:fill="FFFFFF"/>
        </w:rPr>
        <w:t xml:space="preserve"> (including international comparisons). Challenges raised with the Review include:</w:t>
      </w:r>
    </w:p>
    <w:p w14:paraId="1571A8CC" w14:textId="78D4A764" w:rsidR="00A14420" w:rsidRPr="00AB304F" w:rsidRDefault="48BEF19E" w:rsidP="008C488D">
      <w:pPr>
        <w:pStyle w:val="ListBullet"/>
        <w:rPr>
          <w:rStyle w:val="normaltextrun"/>
        </w:rPr>
      </w:pPr>
      <w:r w:rsidRPr="00C4084C">
        <w:rPr>
          <w:rStyle w:val="normaltextrun"/>
        </w:rPr>
        <w:t>a</w:t>
      </w:r>
      <w:r w:rsidR="00A14420" w:rsidRPr="00C4084C">
        <w:rPr>
          <w:rStyle w:val="normaltextrun"/>
        </w:rPr>
        <w:t xml:space="preserve"> two-year delay in the availability of student enrolment data</w:t>
      </w:r>
    </w:p>
    <w:p w14:paraId="44655441" w14:textId="14434F27" w:rsidR="00A14420" w:rsidRPr="00C4084C" w:rsidRDefault="150A17F0" w:rsidP="008C488D">
      <w:pPr>
        <w:pStyle w:val="ListBullet"/>
        <w:rPr>
          <w:rStyle w:val="normaltextrun"/>
        </w:rPr>
      </w:pPr>
      <w:r w:rsidRPr="00C4084C">
        <w:rPr>
          <w:rStyle w:val="normaltextrun"/>
        </w:rPr>
        <w:t>l</w:t>
      </w:r>
      <w:r w:rsidR="00A14420" w:rsidRPr="00C4084C">
        <w:rPr>
          <w:rStyle w:val="normaltextrun"/>
        </w:rPr>
        <w:t xml:space="preserve">ack of visibility and confidence in data covering university expenditure in functional areas (such as teaching, </w:t>
      </w:r>
      <w:proofErr w:type="gramStart"/>
      <w:r w:rsidR="00A14420" w:rsidRPr="00C4084C">
        <w:rPr>
          <w:rStyle w:val="normaltextrun"/>
        </w:rPr>
        <w:t>research</w:t>
      </w:r>
      <w:proofErr w:type="gramEnd"/>
      <w:r w:rsidR="00A14420" w:rsidRPr="00C4084C">
        <w:rPr>
          <w:rStyle w:val="normaltextrun"/>
        </w:rPr>
        <w:t xml:space="preserve"> and engagement)</w:t>
      </w:r>
    </w:p>
    <w:p w14:paraId="7E5E19A7" w14:textId="40C382AB" w:rsidR="00A14420" w:rsidRPr="00C4084C" w:rsidRDefault="03ED7256" w:rsidP="008C488D">
      <w:pPr>
        <w:pStyle w:val="ListBullet"/>
        <w:rPr>
          <w:rStyle w:val="normaltextrun"/>
        </w:rPr>
      </w:pPr>
      <w:r w:rsidRPr="00C4084C">
        <w:rPr>
          <w:rStyle w:val="normaltextrun"/>
        </w:rPr>
        <w:t>i</w:t>
      </w:r>
      <w:r w:rsidR="00A14420" w:rsidRPr="00C4084C">
        <w:rPr>
          <w:rStyle w:val="normaltextrun"/>
        </w:rPr>
        <w:t>nternational comparisons on sector performance such as attainment rates, participation rates and enrolment by field</w:t>
      </w:r>
    </w:p>
    <w:p w14:paraId="7B0B05EA" w14:textId="2778B3D0" w:rsidR="00A14420" w:rsidRPr="00C4084C" w:rsidRDefault="6B5089B7" w:rsidP="008C488D">
      <w:pPr>
        <w:pStyle w:val="ListBullet"/>
        <w:rPr>
          <w:rStyle w:val="normaltextrun"/>
        </w:rPr>
      </w:pPr>
      <w:r w:rsidRPr="00C4084C">
        <w:rPr>
          <w:rStyle w:val="normaltextrun"/>
        </w:rPr>
        <w:t>n</w:t>
      </w:r>
      <w:r w:rsidR="00A14420" w:rsidRPr="00C4084C">
        <w:rPr>
          <w:rStyle w:val="normaltextrun"/>
        </w:rPr>
        <w:t>o consolidated source of government expenditure by higher education provider and program (such as the Commonwealth Grant Scheme).</w:t>
      </w:r>
    </w:p>
    <w:p w14:paraId="14F09FD2" w14:textId="3D4A4F00" w:rsidR="00A14420" w:rsidRPr="00C4084C" w:rsidRDefault="00A14420" w:rsidP="00A003C2">
      <w:pPr>
        <w:rPr>
          <w:rStyle w:val="normaltextrun"/>
        </w:rPr>
      </w:pPr>
      <w:r w:rsidRPr="00C4084C">
        <w:rPr>
          <w:rStyle w:val="normaltextrun"/>
          <w:color w:val="000000" w:themeColor="text1"/>
        </w:rPr>
        <w:t xml:space="preserve">Accurate, </w:t>
      </w:r>
      <w:proofErr w:type="gramStart"/>
      <w:r w:rsidRPr="00C4084C">
        <w:rPr>
          <w:rStyle w:val="normaltextrun"/>
          <w:color w:val="000000" w:themeColor="text1"/>
        </w:rPr>
        <w:t>complete</w:t>
      </w:r>
      <w:proofErr w:type="gramEnd"/>
      <w:r w:rsidRPr="00C4084C">
        <w:rPr>
          <w:rStyle w:val="normaltextrun"/>
          <w:color w:val="000000" w:themeColor="text1"/>
        </w:rPr>
        <w:t xml:space="preserve"> and integrated data sources </w:t>
      </w:r>
      <w:r w:rsidR="00A4519C" w:rsidRPr="00C4084C">
        <w:rPr>
          <w:rStyle w:val="normaltextrun"/>
          <w:color w:val="000000" w:themeColor="text1"/>
        </w:rPr>
        <w:t>are</w:t>
      </w:r>
      <w:r w:rsidRPr="00C4084C">
        <w:rPr>
          <w:rStyle w:val="normaltextrun"/>
          <w:color w:val="000000" w:themeColor="text1"/>
        </w:rPr>
        <w:t xml:space="preserve"> crucial to support</w:t>
      </w:r>
      <w:r w:rsidR="73DEC940" w:rsidRPr="00C4084C">
        <w:rPr>
          <w:rStyle w:val="normaltextrun"/>
          <w:color w:val="000000" w:themeColor="text1"/>
        </w:rPr>
        <w:t>ing the</w:t>
      </w:r>
      <w:r w:rsidRPr="00C4084C">
        <w:rPr>
          <w:rStyle w:val="normaltextrun"/>
          <w:color w:val="000000" w:themeColor="text1"/>
        </w:rPr>
        <w:t xml:space="preserve"> tracking and measuring</w:t>
      </w:r>
      <w:r w:rsidRPr="00C4084C">
        <w:rPr>
          <w:rStyle w:val="normaltextrun"/>
        </w:rPr>
        <w:t xml:space="preserve"> </w:t>
      </w:r>
      <w:r w:rsidR="7A5CB5E5" w:rsidRPr="00C4084C">
        <w:rPr>
          <w:rStyle w:val="normaltextrun"/>
        </w:rPr>
        <w:t xml:space="preserve">of </w:t>
      </w:r>
      <w:r w:rsidRPr="00C4084C">
        <w:rPr>
          <w:rStyle w:val="normaltextrun"/>
        </w:rPr>
        <w:t xml:space="preserve">the sector’s progress on the goals of </w:t>
      </w:r>
      <w:r w:rsidR="006E68E6" w:rsidRPr="00C4084C">
        <w:rPr>
          <w:rStyle w:val="normaltextrun"/>
        </w:rPr>
        <w:t>this Review</w:t>
      </w:r>
      <w:r w:rsidRPr="00C4084C">
        <w:rPr>
          <w:rStyle w:val="normaltextrun"/>
        </w:rPr>
        <w:t xml:space="preserve">, and to ensure that actions are based on quality evidence. Timely data will be particularly essential for activities involving funding, </w:t>
      </w:r>
      <w:proofErr w:type="gramStart"/>
      <w:r w:rsidRPr="00C4084C">
        <w:rPr>
          <w:rStyle w:val="normaltextrun"/>
        </w:rPr>
        <w:t>pricing</w:t>
      </w:r>
      <w:proofErr w:type="gramEnd"/>
      <w:r w:rsidRPr="00C4084C">
        <w:rPr>
          <w:rStyle w:val="normaltextrun"/>
        </w:rPr>
        <w:t xml:space="preserve"> and managing places</w:t>
      </w:r>
      <w:r w:rsidR="00372EBC" w:rsidRPr="00C4084C">
        <w:rPr>
          <w:rStyle w:val="normaltextrun"/>
        </w:rPr>
        <w:t>,</w:t>
      </w:r>
      <w:r w:rsidRPr="00C4084C">
        <w:rPr>
          <w:rStyle w:val="normaltextrun"/>
        </w:rPr>
        <w:t xml:space="preserve"> and to support a quick response to emerging issues. </w:t>
      </w:r>
    </w:p>
    <w:p w14:paraId="6E2FE745" w14:textId="5E198DC7" w:rsidR="00A14420" w:rsidRPr="00C4084C" w:rsidRDefault="00A14420" w:rsidP="00A003C2">
      <w:pPr>
        <w:rPr>
          <w:rStyle w:val="normaltextrun"/>
        </w:rPr>
      </w:pPr>
      <w:r w:rsidRPr="00C4084C">
        <w:rPr>
          <w:rStyle w:val="normaltextrun"/>
        </w:rPr>
        <w:t xml:space="preserve">The Australian Government will need to work with the </w:t>
      </w:r>
      <w:r w:rsidR="00362122" w:rsidRPr="00C4084C">
        <w:t>Commission</w:t>
      </w:r>
      <w:r w:rsidRPr="00C4084C">
        <w:rPr>
          <w:rStyle w:val="normaltextrun"/>
        </w:rPr>
        <w:t xml:space="preserve">, stakeholders and data custodians on identifying </w:t>
      </w:r>
      <w:r w:rsidR="006E68E6" w:rsidRPr="00C4084C">
        <w:rPr>
          <w:rStyle w:val="normaltextrun"/>
        </w:rPr>
        <w:t>gaps</w:t>
      </w:r>
      <w:r w:rsidRPr="00C4084C">
        <w:rPr>
          <w:rStyle w:val="normaltextrun"/>
        </w:rPr>
        <w:t xml:space="preserve"> in the current measurement framework for the higher education </w:t>
      </w:r>
      <w:proofErr w:type="gramStart"/>
      <w:r w:rsidRPr="00C4084C">
        <w:rPr>
          <w:rStyle w:val="normaltextrun"/>
        </w:rPr>
        <w:t>sector, and</w:t>
      </w:r>
      <w:proofErr w:type="gramEnd"/>
      <w:r w:rsidRPr="00C4084C">
        <w:rPr>
          <w:rStyle w:val="normaltextrun"/>
        </w:rPr>
        <w:t xml:space="preserve"> facilitate action to improve the quality of datasets and their reporting or analysis. This could involve collecting new data</w:t>
      </w:r>
      <w:r w:rsidR="00702605" w:rsidRPr="00C4084C">
        <w:rPr>
          <w:rStyle w:val="normaltextrun"/>
        </w:rPr>
        <w:t>,</w:t>
      </w:r>
      <w:r w:rsidRPr="00C4084C">
        <w:rPr>
          <w:rStyle w:val="normaltextrun"/>
        </w:rPr>
        <w:t xml:space="preserve"> moving to real time reporting</w:t>
      </w:r>
      <w:r w:rsidR="00702605" w:rsidRPr="00C4084C">
        <w:rPr>
          <w:rStyle w:val="normaltextrun"/>
        </w:rPr>
        <w:t>,</w:t>
      </w:r>
      <w:r w:rsidRPr="00C4084C">
        <w:rPr>
          <w:rStyle w:val="normaltextrun"/>
        </w:rPr>
        <w:t xml:space="preserve"> developing specifications and common definitions</w:t>
      </w:r>
      <w:r w:rsidR="00702605" w:rsidRPr="00C4084C">
        <w:rPr>
          <w:rStyle w:val="normaltextrun"/>
        </w:rPr>
        <w:t>,</w:t>
      </w:r>
      <w:r w:rsidRPr="00C4084C">
        <w:rPr>
          <w:rStyle w:val="normaltextrun"/>
        </w:rPr>
        <w:t xml:space="preserve"> </w:t>
      </w:r>
      <w:r w:rsidR="00372EBC" w:rsidRPr="00C4084C">
        <w:rPr>
          <w:rStyle w:val="normaltextrun"/>
        </w:rPr>
        <w:t xml:space="preserve">and </w:t>
      </w:r>
      <w:r w:rsidRPr="00C4084C">
        <w:rPr>
          <w:rStyle w:val="normaltextrun"/>
        </w:rPr>
        <w:t>improving linkages between datasets. The aim should be a fit</w:t>
      </w:r>
      <w:r w:rsidR="002E07AE" w:rsidRPr="00C4084C">
        <w:rPr>
          <w:rStyle w:val="normaltextrun"/>
        </w:rPr>
        <w:t xml:space="preserve"> </w:t>
      </w:r>
      <w:r w:rsidRPr="00C4084C">
        <w:rPr>
          <w:rStyle w:val="normaltextrun"/>
        </w:rPr>
        <w:t>for</w:t>
      </w:r>
      <w:r w:rsidR="002E07AE" w:rsidRPr="00C4084C">
        <w:rPr>
          <w:rStyle w:val="normaltextrun"/>
        </w:rPr>
        <w:t xml:space="preserve"> </w:t>
      </w:r>
      <w:r w:rsidRPr="00C4084C">
        <w:rPr>
          <w:rStyle w:val="normaltextrun"/>
        </w:rPr>
        <w:t>purpose data capability which can be used to understand problems, answer difficult policy questions, evaluate initiatives, identify emerging issues</w:t>
      </w:r>
      <w:r w:rsidR="00372EBC" w:rsidRPr="00C4084C">
        <w:rPr>
          <w:rStyle w:val="normaltextrun"/>
        </w:rPr>
        <w:t>,</w:t>
      </w:r>
      <w:r w:rsidRPr="00C4084C">
        <w:rPr>
          <w:rStyle w:val="normaltextrun"/>
        </w:rPr>
        <w:t xml:space="preserve"> and monitor long-term student outcomes through the education system and beyond.</w:t>
      </w:r>
    </w:p>
    <w:p w14:paraId="3EC833CF" w14:textId="77777777" w:rsidR="00A14420" w:rsidRPr="00C4084C" w:rsidRDefault="00A14420" w:rsidP="005501CD">
      <w:pPr>
        <w:pStyle w:val="Heading5"/>
        <w:rPr>
          <w:rStyle w:val="normaltextrun"/>
        </w:rPr>
      </w:pPr>
      <w:r w:rsidRPr="00C4084C">
        <w:rPr>
          <w:rStyle w:val="normaltextrun"/>
        </w:rPr>
        <w:t xml:space="preserve">Data should support reducing the administrative </w:t>
      </w:r>
      <w:proofErr w:type="gramStart"/>
      <w:r w:rsidRPr="00C4084C">
        <w:rPr>
          <w:rStyle w:val="normaltextrun"/>
        </w:rPr>
        <w:t>burden</w:t>
      </w:r>
      <w:proofErr w:type="gramEnd"/>
    </w:p>
    <w:p w14:paraId="21785BDA" w14:textId="0400C5CE" w:rsidR="00A14420" w:rsidRPr="00C4084C" w:rsidRDefault="00A14420" w:rsidP="00A003C2">
      <w:pPr>
        <w:rPr>
          <w:rStyle w:val="normaltextrun"/>
          <w:rFonts w:eastAsiaTheme="majorEastAsia" w:cstheme="minorHAnsi"/>
          <w:b/>
          <w:color w:val="000000" w:themeColor="text1"/>
          <w:sz w:val="24"/>
        </w:rPr>
      </w:pPr>
      <w:r w:rsidRPr="00C4084C">
        <w:rPr>
          <w:rStyle w:val="normaltextrun"/>
          <w:rFonts w:cstheme="minorHAnsi"/>
          <w:color w:val="000000" w:themeColor="text1"/>
        </w:rPr>
        <w:t>In addition to striving to collect data that is fit</w:t>
      </w:r>
      <w:r w:rsidR="002E07AE" w:rsidRPr="00C4084C">
        <w:rPr>
          <w:rStyle w:val="normaltextrun"/>
          <w:rFonts w:cstheme="minorHAnsi"/>
          <w:color w:val="000000" w:themeColor="text1"/>
        </w:rPr>
        <w:t xml:space="preserve"> </w:t>
      </w:r>
      <w:r w:rsidRPr="00C4084C">
        <w:rPr>
          <w:rStyle w:val="normaltextrun"/>
          <w:rFonts w:cstheme="minorHAnsi"/>
          <w:color w:val="000000" w:themeColor="text1"/>
        </w:rPr>
        <w:t>for</w:t>
      </w:r>
      <w:r w:rsidR="002E07AE" w:rsidRPr="00C4084C">
        <w:rPr>
          <w:rStyle w:val="normaltextrun"/>
          <w:rFonts w:cstheme="minorHAnsi"/>
          <w:color w:val="000000" w:themeColor="text1"/>
        </w:rPr>
        <w:t xml:space="preserve"> </w:t>
      </w:r>
      <w:r w:rsidRPr="00C4084C">
        <w:rPr>
          <w:rStyle w:val="normaltextrun"/>
          <w:rFonts w:cstheme="minorHAnsi"/>
          <w:color w:val="000000" w:themeColor="text1"/>
        </w:rPr>
        <w:t xml:space="preserve">purpose, future data assets should also aim to be a mechanism to reduce red tape and administrative burden. A ‘share once, use often’ principle should be adopted, with a focus on streamlining reporting </w:t>
      </w:r>
      <w:r w:rsidRPr="00C4084C">
        <w:rPr>
          <w:rStyle w:val="normaltextrun"/>
          <w:rFonts w:cstheme="minorHAnsi"/>
        </w:rPr>
        <w:t>requirements</w:t>
      </w:r>
      <w:r w:rsidRPr="00C4084C">
        <w:rPr>
          <w:rStyle w:val="normaltextrun"/>
          <w:rFonts w:cstheme="minorHAnsi"/>
          <w:color w:val="000000" w:themeColor="text1"/>
        </w:rPr>
        <w:t xml:space="preserve"> and reducing ad hoc or duplicative requests </w:t>
      </w:r>
      <w:r w:rsidR="004B0FF6">
        <w:rPr>
          <w:rStyle w:val="normaltextrun"/>
          <w:rFonts w:cstheme="minorHAnsi"/>
          <w:color w:val="000000" w:themeColor="text1"/>
        </w:rPr>
        <w:t>of</w:t>
      </w:r>
      <w:r w:rsidR="004B0FF6" w:rsidRPr="00C4084C">
        <w:rPr>
          <w:rStyle w:val="normaltextrun"/>
          <w:rFonts w:cstheme="minorHAnsi"/>
          <w:color w:val="000000" w:themeColor="text1"/>
        </w:rPr>
        <w:t xml:space="preserve"> </w:t>
      </w:r>
      <w:r w:rsidRPr="00C4084C">
        <w:rPr>
          <w:rStyle w:val="normaltextrun"/>
          <w:rFonts w:cstheme="minorHAnsi"/>
          <w:color w:val="000000" w:themeColor="text1"/>
        </w:rPr>
        <w:t xml:space="preserve">providers. Consistent definitions and collection methodologies will assist with this by </w:t>
      </w:r>
      <w:r w:rsidRPr="00C4084C">
        <w:rPr>
          <w:rStyle w:val="normaltextrun"/>
          <w:rFonts w:cstheme="minorHAnsi"/>
          <w:color w:val="000000" w:themeColor="text1"/>
        </w:rPr>
        <w:lastRenderedPageBreak/>
        <w:t>ensuring data can be collected from the right person, at the right time, and reused in an integrated data capability.</w:t>
      </w:r>
    </w:p>
    <w:p w14:paraId="216870E5" w14:textId="77777777" w:rsidR="00A14420" w:rsidRPr="00C4084C" w:rsidRDefault="00A14420" w:rsidP="005501CD">
      <w:pPr>
        <w:pStyle w:val="Heading5"/>
        <w:rPr>
          <w:rStyle w:val="normaltextrun"/>
        </w:rPr>
      </w:pPr>
      <w:r w:rsidRPr="00C4084C">
        <w:rPr>
          <w:rStyle w:val="normaltextrun"/>
        </w:rPr>
        <w:t xml:space="preserve">Data integration is critical to shed a light on the effectiveness of </w:t>
      </w:r>
      <w:proofErr w:type="gramStart"/>
      <w:r w:rsidRPr="00C4084C">
        <w:rPr>
          <w:rStyle w:val="normaltextrun"/>
        </w:rPr>
        <w:t>policies</w:t>
      </w:r>
      <w:proofErr w:type="gramEnd"/>
    </w:p>
    <w:p w14:paraId="3EBFCB98" w14:textId="19668482" w:rsidR="00A14420" w:rsidRPr="00C4084C" w:rsidRDefault="00A14420" w:rsidP="00A003C2">
      <w:pPr>
        <w:rPr>
          <w:rStyle w:val="eop"/>
          <w:rFonts w:eastAsiaTheme="majorEastAsia" w:cstheme="minorHAnsi"/>
          <w:b/>
          <w:sz w:val="24"/>
        </w:rPr>
      </w:pPr>
      <w:r w:rsidRPr="00C4084C">
        <w:rPr>
          <w:rStyle w:val="normaltextrun"/>
        </w:rPr>
        <w:t>There are</w:t>
      </w:r>
      <w:r w:rsidR="00BB39B7" w:rsidRPr="00C4084C">
        <w:rPr>
          <w:rStyle w:val="normaltextrun"/>
        </w:rPr>
        <w:t xml:space="preserve"> </w:t>
      </w:r>
      <w:r w:rsidR="4254DD07" w:rsidRPr="00C4084C">
        <w:rPr>
          <w:rStyle w:val="normaltextrun"/>
        </w:rPr>
        <w:t xml:space="preserve">several core </w:t>
      </w:r>
      <w:r w:rsidRPr="00C4084C">
        <w:rPr>
          <w:rStyle w:val="normaltextrun"/>
        </w:rPr>
        <w:t>data sources that are reasonably comprehensive and centralised but need continued improvement and investment:</w:t>
      </w:r>
      <w:r w:rsidRPr="00C4084C">
        <w:rPr>
          <w:rStyle w:val="eop"/>
        </w:rPr>
        <w:t> </w:t>
      </w:r>
    </w:p>
    <w:p w14:paraId="5EF26E38" w14:textId="716CAA76" w:rsidR="00A14420" w:rsidRPr="00C4084C" w:rsidRDefault="00A14420" w:rsidP="008C488D">
      <w:pPr>
        <w:pStyle w:val="ListBullet"/>
      </w:pPr>
      <w:r w:rsidRPr="00C4084C">
        <w:rPr>
          <w:rStyle w:val="normaltextrun"/>
          <w:b/>
          <w:bCs/>
        </w:rPr>
        <w:t>Higher Education Statistics Collection (HESC):</w:t>
      </w:r>
      <w:r w:rsidRPr="00C4084C">
        <w:rPr>
          <w:rStyle w:val="normaltextrun"/>
        </w:rPr>
        <w:t xml:space="preserve"> Covers students and staff at higher education institutions including courses, staff and </w:t>
      </w:r>
      <w:r w:rsidRPr="00A003C2">
        <w:rPr>
          <w:rStyle w:val="normaltextrun"/>
        </w:rPr>
        <w:t>student</w:t>
      </w:r>
      <w:r w:rsidRPr="00C4084C">
        <w:rPr>
          <w:rStyle w:val="normaltextrun"/>
        </w:rPr>
        <w:t xml:space="preserve"> numbers and their characteristics, student load, completion of units, and income and </w:t>
      </w:r>
      <w:proofErr w:type="gramStart"/>
      <w:r w:rsidRPr="00C4084C">
        <w:rPr>
          <w:rStyle w:val="normaltextrun"/>
        </w:rPr>
        <w:t>expenditure</w:t>
      </w:r>
      <w:proofErr w:type="gramEnd"/>
    </w:p>
    <w:p w14:paraId="157B38AE" w14:textId="1EBDEB69" w:rsidR="00A14420" w:rsidRPr="00C4084C" w:rsidRDefault="00A14420" w:rsidP="008C488D">
      <w:pPr>
        <w:pStyle w:val="ListBullet"/>
        <w:rPr>
          <w:rStyle w:val="eop"/>
        </w:rPr>
      </w:pPr>
      <w:r w:rsidRPr="00C4084C">
        <w:rPr>
          <w:rStyle w:val="normaltextrun"/>
          <w:b/>
          <w:bCs/>
        </w:rPr>
        <w:t>Total VET Activity (TVA):</w:t>
      </w:r>
      <w:r w:rsidRPr="00A003C2">
        <w:rPr>
          <w:rStyle w:val="normaltextrun"/>
        </w:rPr>
        <w:t xml:space="preserve"> </w:t>
      </w:r>
      <w:r w:rsidRPr="00C4084C">
        <w:rPr>
          <w:rStyle w:val="normaltextrun"/>
        </w:rPr>
        <w:t>Covers all registered training organisations (RTOs)</w:t>
      </w:r>
      <w:r w:rsidRPr="00A003C2">
        <w:rPr>
          <w:rStyle w:val="normaltextrun"/>
        </w:rPr>
        <w:t xml:space="preserve"> </w:t>
      </w:r>
      <w:r w:rsidRPr="00C4084C">
        <w:rPr>
          <w:rStyle w:val="normaltextrun"/>
        </w:rPr>
        <w:t xml:space="preserve">including students, participation, courses and </w:t>
      </w:r>
      <w:proofErr w:type="gramStart"/>
      <w:r w:rsidRPr="00A003C2">
        <w:rPr>
          <w:rStyle w:val="normaltextrun"/>
        </w:rPr>
        <w:t>qualifications</w:t>
      </w:r>
      <w:proofErr w:type="gramEnd"/>
    </w:p>
    <w:p w14:paraId="333A38FD" w14:textId="609181C1" w:rsidR="00A14420" w:rsidRPr="00C4084C" w:rsidRDefault="00A14420" w:rsidP="008C488D">
      <w:pPr>
        <w:pStyle w:val="ListBullet"/>
        <w:rPr>
          <w:rStyle w:val="eop"/>
        </w:rPr>
      </w:pPr>
      <w:r w:rsidRPr="00C4084C">
        <w:rPr>
          <w:rStyle w:val="normaltextrun"/>
          <w:b/>
          <w:bCs/>
        </w:rPr>
        <w:t>Quality Indicators for Learning and Teaching (QILT):</w:t>
      </w:r>
      <w:r w:rsidRPr="00C4084C">
        <w:rPr>
          <w:rStyle w:val="normaltextrun"/>
        </w:rPr>
        <w:t xml:space="preserve"> C</w:t>
      </w:r>
      <w:r w:rsidRPr="00A003C2">
        <w:rPr>
          <w:rStyle w:val="normaltextrun"/>
        </w:rPr>
        <w:t>onsists</w:t>
      </w:r>
      <w:r w:rsidRPr="00C4084C">
        <w:rPr>
          <w:rStyle w:val="normaltextrun"/>
        </w:rPr>
        <w:t xml:space="preserve"> of a range of surveys for higher education current students, graduates and their </w:t>
      </w:r>
      <w:proofErr w:type="gramStart"/>
      <w:r w:rsidRPr="00C4084C">
        <w:rPr>
          <w:rStyle w:val="normaltextrun"/>
        </w:rPr>
        <w:t>employers</w:t>
      </w:r>
      <w:proofErr w:type="gramEnd"/>
    </w:p>
    <w:p w14:paraId="5BA90A37" w14:textId="7799E989" w:rsidR="00A14420" w:rsidRPr="00C4084C" w:rsidRDefault="00A14420" w:rsidP="008C488D">
      <w:pPr>
        <w:pStyle w:val="ListBullet"/>
        <w:rPr>
          <w:rStyle w:val="normaltextrun"/>
        </w:rPr>
      </w:pPr>
      <w:r w:rsidRPr="00C4084C">
        <w:rPr>
          <w:rStyle w:val="normaltextrun"/>
          <w:b/>
          <w:bCs/>
        </w:rPr>
        <w:t xml:space="preserve">Financial </w:t>
      </w:r>
      <w:r w:rsidR="20904A7E" w:rsidRPr="00C4084C">
        <w:rPr>
          <w:rStyle w:val="normaltextrun"/>
          <w:b/>
          <w:bCs/>
        </w:rPr>
        <w:t>r</w:t>
      </w:r>
      <w:r w:rsidRPr="00C4084C">
        <w:rPr>
          <w:rStyle w:val="normaltextrun"/>
          <w:b/>
          <w:bCs/>
        </w:rPr>
        <w:t xml:space="preserve">eports of </w:t>
      </w:r>
      <w:r w:rsidR="1ABFBBF2" w:rsidRPr="00C4084C">
        <w:rPr>
          <w:rStyle w:val="normaltextrun"/>
          <w:b/>
          <w:bCs/>
        </w:rPr>
        <w:t>h</w:t>
      </w:r>
      <w:r w:rsidRPr="00C4084C">
        <w:rPr>
          <w:rStyle w:val="normaltextrun"/>
          <w:b/>
          <w:bCs/>
        </w:rPr>
        <w:t xml:space="preserve">igher </w:t>
      </w:r>
      <w:r w:rsidR="6D16B636" w:rsidRPr="00C4084C">
        <w:rPr>
          <w:rStyle w:val="normaltextrun"/>
          <w:b/>
          <w:bCs/>
        </w:rPr>
        <w:t>e</w:t>
      </w:r>
      <w:r w:rsidRPr="00C4084C">
        <w:rPr>
          <w:rStyle w:val="normaltextrun"/>
          <w:b/>
          <w:bCs/>
        </w:rPr>
        <w:t xml:space="preserve">ducation </w:t>
      </w:r>
      <w:r w:rsidR="59813D35" w:rsidRPr="00C4084C">
        <w:rPr>
          <w:rStyle w:val="normaltextrun"/>
          <w:b/>
          <w:bCs/>
        </w:rPr>
        <w:t>p</w:t>
      </w:r>
      <w:r w:rsidRPr="00C4084C">
        <w:rPr>
          <w:rStyle w:val="normaltextrun"/>
          <w:b/>
          <w:bCs/>
        </w:rPr>
        <w:t>roviders:</w:t>
      </w:r>
      <w:r w:rsidRPr="00A003C2">
        <w:rPr>
          <w:rStyle w:val="normaltextrun"/>
        </w:rPr>
        <w:t xml:space="preserve"> Contains financial information compiled from annual financial reports prepared by Australian universities.</w:t>
      </w:r>
    </w:p>
    <w:p w14:paraId="42D5BAFC" w14:textId="2ABC3EA3" w:rsidR="00203A6F" w:rsidRPr="00C4084C" w:rsidRDefault="2EC48026" w:rsidP="00A003C2">
      <w:pPr>
        <w:rPr>
          <w:rStyle w:val="eop"/>
        </w:rPr>
      </w:pPr>
      <w:r w:rsidRPr="00C4084C">
        <w:rPr>
          <w:rStyle w:val="eop"/>
        </w:rPr>
        <w:t>In addition, the key data sets for research include:</w:t>
      </w:r>
    </w:p>
    <w:p w14:paraId="2FE7C613" w14:textId="492BA5F3" w:rsidR="00565BB3" w:rsidRPr="00C4084C" w:rsidRDefault="006F73C2" w:rsidP="008C488D">
      <w:pPr>
        <w:pStyle w:val="ListBullet"/>
        <w:rPr>
          <w:rStyle w:val="eop"/>
        </w:rPr>
      </w:pPr>
      <w:r w:rsidRPr="00C4084C">
        <w:rPr>
          <w:rStyle w:val="eop"/>
          <w:b/>
          <w:bCs/>
        </w:rPr>
        <w:t>T</w:t>
      </w:r>
      <w:r w:rsidR="008136AF" w:rsidRPr="00C4084C">
        <w:rPr>
          <w:rStyle w:val="eop"/>
          <w:b/>
          <w:bCs/>
        </w:rPr>
        <w:t>he</w:t>
      </w:r>
      <w:r w:rsidR="008136AF" w:rsidRPr="00A003C2">
        <w:rPr>
          <w:rStyle w:val="eop"/>
          <w:b/>
        </w:rPr>
        <w:t xml:space="preserve"> </w:t>
      </w:r>
      <w:r w:rsidR="008136AF" w:rsidRPr="00C4084C">
        <w:rPr>
          <w:rStyle w:val="eop"/>
          <w:b/>
        </w:rPr>
        <w:t xml:space="preserve">Higher Education Research Data </w:t>
      </w:r>
      <w:r w:rsidR="008136AF" w:rsidRPr="00C4084C">
        <w:rPr>
          <w:rStyle w:val="eop"/>
          <w:b/>
          <w:bCs/>
        </w:rPr>
        <w:t>Coll</w:t>
      </w:r>
      <w:r w:rsidR="00565BB3" w:rsidRPr="00C4084C">
        <w:rPr>
          <w:rStyle w:val="eop"/>
          <w:b/>
          <w:bCs/>
        </w:rPr>
        <w:t>e</w:t>
      </w:r>
      <w:r w:rsidR="008136AF" w:rsidRPr="00C4084C">
        <w:rPr>
          <w:rStyle w:val="eop"/>
          <w:b/>
          <w:bCs/>
        </w:rPr>
        <w:t>ction</w:t>
      </w:r>
      <w:r w:rsidR="008136AF" w:rsidRPr="00C4084C">
        <w:rPr>
          <w:rStyle w:val="eop"/>
          <w:b/>
        </w:rPr>
        <w:t xml:space="preserve"> (HERDC</w:t>
      </w:r>
      <w:r w:rsidR="008136AF" w:rsidRPr="003F7AA0">
        <w:rPr>
          <w:rStyle w:val="eop"/>
          <w:b/>
          <w:bCs/>
        </w:rPr>
        <w:t>)</w:t>
      </w:r>
      <w:r w:rsidR="00203A6F" w:rsidRPr="003F7AA0">
        <w:rPr>
          <w:rStyle w:val="eop"/>
          <w:b/>
          <w:bCs/>
        </w:rPr>
        <w:t>:</w:t>
      </w:r>
      <w:r w:rsidR="00203A6F" w:rsidRPr="00C4084C">
        <w:rPr>
          <w:rStyle w:val="eop"/>
        </w:rPr>
        <w:t xml:space="preserve"> </w:t>
      </w:r>
      <w:r w:rsidR="00565BB3" w:rsidRPr="00C4084C">
        <w:rPr>
          <w:rStyle w:val="eop"/>
        </w:rPr>
        <w:t xml:space="preserve">Collects data about the quantum and source of research income received by Australian </w:t>
      </w:r>
      <w:proofErr w:type="gramStart"/>
      <w:r w:rsidR="00565BB3" w:rsidRPr="00C4084C">
        <w:rPr>
          <w:rStyle w:val="eop"/>
        </w:rPr>
        <w:t>universities</w:t>
      </w:r>
      <w:proofErr w:type="gramEnd"/>
    </w:p>
    <w:p w14:paraId="222F6D10" w14:textId="1560FBEA" w:rsidR="00372EBC" w:rsidRPr="00C4084C" w:rsidRDefault="000D3C89" w:rsidP="008C488D">
      <w:pPr>
        <w:pStyle w:val="ListBullet"/>
        <w:rPr>
          <w:rStyle w:val="eop"/>
        </w:rPr>
      </w:pPr>
      <w:r w:rsidRPr="00C4084C">
        <w:rPr>
          <w:rStyle w:val="eop"/>
          <w:b/>
          <w:bCs/>
        </w:rPr>
        <w:t xml:space="preserve">Higher </w:t>
      </w:r>
      <w:r w:rsidR="003B3B71" w:rsidRPr="00C4084C">
        <w:rPr>
          <w:rStyle w:val="eop"/>
          <w:b/>
          <w:bCs/>
        </w:rPr>
        <w:t>e</w:t>
      </w:r>
      <w:r w:rsidRPr="00C4084C">
        <w:rPr>
          <w:rStyle w:val="eop"/>
          <w:b/>
          <w:bCs/>
        </w:rPr>
        <w:t xml:space="preserve">ducation </w:t>
      </w:r>
      <w:r w:rsidR="003B3B71" w:rsidRPr="00C4084C">
        <w:rPr>
          <w:rStyle w:val="eop"/>
          <w:b/>
          <w:bCs/>
        </w:rPr>
        <w:t>e</w:t>
      </w:r>
      <w:r w:rsidRPr="00C4084C">
        <w:rPr>
          <w:rStyle w:val="eop"/>
          <w:b/>
          <w:bCs/>
        </w:rPr>
        <w:t>xpenditure</w:t>
      </w:r>
      <w:r w:rsidR="003B3B71" w:rsidRPr="00C4084C">
        <w:rPr>
          <w:rStyle w:val="eop"/>
          <w:b/>
          <w:bCs/>
        </w:rPr>
        <w:t xml:space="preserve"> on R&amp;D</w:t>
      </w:r>
      <w:r w:rsidRPr="00C4084C">
        <w:rPr>
          <w:rStyle w:val="eop"/>
          <w:b/>
          <w:bCs/>
        </w:rPr>
        <w:t xml:space="preserve"> (HERD)</w:t>
      </w:r>
      <w:r w:rsidR="00FC321B" w:rsidRPr="00A003C2">
        <w:rPr>
          <w:rStyle w:val="eop"/>
          <w:b/>
        </w:rPr>
        <w:t>:</w:t>
      </w:r>
      <w:r w:rsidR="00FC321B" w:rsidRPr="00C4084C">
        <w:rPr>
          <w:rStyle w:val="eop"/>
        </w:rPr>
        <w:t xml:space="preserve"> The ABS collects</w:t>
      </w:r>
      <w:r w:rsidR="008136AF" w:rsidRPr="00C4084C">
        <w:rPr>
          <w:rStyle w:val="eop"/>
        </w:rPr>
        <w:t xml:space="preserve"> </w:t>
      </w:r>
      <w:r w:rsidR="00203A6F" w:rsidRPr="00C4084C">
        <w:rPr>
          <w:rStyle w:val="eop"/>
        </w:rPr>
        <w:t xml:space="preserve">data on expenditure and human resources devoted to </w:t>
      </w:r>
      <w:r w:rsidR="152B1C0C" w:rsidRPr="00C4084C">
        <w:rPr>
          <w:rStyle w:val="eop"/>
        </w:rPr>
        <w:t xml:space="preserve">research and development </w:t>
      </w:r>
      <w:r w:rsidR="00203A6F" w:rsidRPr="00C4084C">
        <w:rPr>
          <w:rStyle w:val="eop"/>
        </w:rPr>
        <w:t>carried out by higher education organisations in Australia</w:t>
      </w:r>
      <w:r w:rsidR="008136AF" w:rsidRPr="00C4084C">
        <w:rPr>
          <w:rStyle w:val="eop"/>
        </w:rPr>
        <w:t xml:space="preserve"> </w:t>
      </w:r>
      <w:r w:rsidR="00FC321B" w:rsidRPr="00C4084C">
        <w:rPr>
          <w:rStyle w:val="eop"/>
        </w:rPr>
        <w:t>as part of its broader ‘technology and innovation’</w:t>
      </w:r>
      <w:r w:rsidR="006F73C2" w:rsidRPr="00C4084C">
        <w:rPr>
          <w:rStyle w:val="eop"/>
        </w:rPr>
        <w:t xml:space="preserve"> statistics </w:t>
      </w:r>
      <w:proofErr w:type="gramStart"/>
      <w:r w:rsidR="006F73C2" w:rsidRPr="00C4084C">
        <w:rPr>
          <w:rStyle w:val="eop"/>
        </w:rPr>
        <w:t>collection</w:t>
      </w:r>
      <w:proofErr w:type="gramEnd"/>
    </w:p>
    <w:p w14:paraId="72D8D0DC" w14:textId="2E3C37AA" w:rsidR="00FC321B" w:rsidRPr="00C4084C" w:rsidRDefault="00FC321B" w:rsidP="008C488D">
      <w:pPr>
        <w:pStyle w:val="ListBullet"/>
        <w:rPr>
          <w:rStyle w:val="eop"/>
        </w:rPr>
      </w:pPr>
      <w:r w:rsidRPr="00C4084C">
        <w:rPr>
          <w:rStyle w:val="eop"/>
          <w:b/>
          <w:bCs/>
        </w:rPr>
        <w:t>Science</w:t>
      </w:r>
      <w:r w:rsidR="006F73C2" w:rsidRPr="00C4084C">
        <w:rPr>
          <w:rStyle w:val="eop"/>
          <w:b/>
          <w:bCs/>
        </w:rPr>
        <w:t xml:space="preserve">, </w:t>
      </w:r>
      <w:proofErr w:type="gramStart"/>
      <w:r w:rsidR="006F73C2" w:rsidRPr="00C4084C">
        <w:rPr>
          <w:rStyle w:val="eop"/>
          <w:b/>
          <w:bCs/>
        </w:rPr>
        <w:t>research</w:t>
      </w:r>
      <w:proofErr w:type="gramEnd"/>
      <w:r w:rsidR="006F73C2" w:rsidRPr="00C4084C">
        <w:rPr>
          <w:rStyle w:val="eop"/>
          <w:b/>
          <w:bCs/>
        </w:rPr>
        <w:t xml:space="preserve"> and innovation (SRI) budget tables</w:t>
      </w:r>
      <w:r w:rsidR="006F73C2" w:rsidRPr="003F7AA0">
        <w:rPr>
          <w:rStyle w:val="eop"/>
          <w:b/>
        </w:rPr>
        <w:t>:</w:t>
      </w:r>
      <w:r w:rsidR="006F73C2" w:rsidRPr="00C4084C">
        <w:rPr>
          <w:rStyle w:val="eop"/>
        </w:rPr>
        <w:t xml:space="preserve"> </w:t>
      </w:r>
      <w:r w:rsidR="008E65F7" w:rsidRPr="00C4084C">
        <w:rPr>
          <w:rStyle w:val="eop"/>
        </w:rPr>
        <w:t xml:space="preserve">the SRI tables </w:t>
      </w:r>
      <w:r w:rsidR="00346F64" w:rsidRPr="00C4084C">
        <w:rPr>
          <w:rStyle w:val="eop"/>
        </w:rPr>
        <w:t>outline</w:t>
      </w:r>
      <w:r w:rsidR="008E65F7" w:rsidRPr="00C4084C">
        <w:rPr>
          <w:rStyle w:val="eop"/>
        </w:rPr>
        <w:t xml:space="preserve"> the </w:t>
      </w:r>
      <w:r w:rsidR="00346F64" w:rsidRPr="00C4084C">
        <w:rPr>
          <w:rStyle w:val="eop"/>
        </w:rPr>
        <w:t>Australian G</w:t>
      </w:r>
      <w:r w:rsidR="008E65F7" w:rsidRPr="00C4084C">
        <w:rPr>
          <w:rStyle w:val="eop"/>
        </w:rPr>
        <w:t xml:space="preserve">overnment’s investments in </w:t>
      </w:r>
      <w:r w:rsidR="0F1B3EDD" w:rsidRPr="00C4084C">
        <w:rPr>
          <w:rStyle w:val="eop"/>
        </w:rPr>
        <w:t>research and development</w:t>
      </w:r>
      <w:r w:rsidR="008E65F7" w:rsidRPr="00C4084C">
        <w:rPr>
          <w:rStyle w:val="eop"/>
        </w:rPr>
        <w:t>, science and innovation</w:t>
      </w:r>
      <w:r w:rsidR="005602BC" w:rsidRPr="00C4084C">
        <w:rPr>
          <w:rStyle w:val="eop"/>
        </w:rPr>
        <w:t>.</w:t>
      </w:r>
    </w:p>
    <w:p w14:paraId="7B77FE76" w14:textId="4B43E690" w:rsidR="008B2BB9" w:rsidRPr="00C4084C" w:rsidRDefault="00A14420" w:rsidP="003F7AA0">
      <w:pPr>
        <w:rPr>
          <w:rStyle w:val="normaltextrun"/>
        </w:rPr>
      </w:pPr>
      <w:r w:rsidRPr="00C4084C">
        <w:rPr>
          <w:rStyle w:val="normaltextrun"/>
          <w:color w:val="000000" w:themeColor="text1"/>
        </w:rPr>
        <w:t xml:space="preserve">There is currently no linking between the VET dataset (TVA) and the </w:t>
      </w:r>
      <w:r w:rsidR="00D16150" w:rsidRPr="00C4084C">
        <w:rPr>
          <w:rStyle w:val="normaltextrun"/>
          <w:color w:val="000000" w:themeColor="text1"/>
        </w:rPr>
        <w:t xml:space="preserve">2 </w:t>
      </w:r>
      <w:r w:rsidRPr="00C4084C">
        <w:rPr>
          <w:rStyle w:val="normaltextrun"/>
          <w:color w:val="000000" w:themeColor="text1"/>
        </w:rPr>
        <w:t>higher education datasets (HESC and QILT</w:t>
      </w:r>
      <w:r w:rsidR="008B2BB9" w:rsidRPr="00C4084C">
        <w:rPr>
          <w:rStyle w:val="normaltextrun"/>
          <w:color w:val="000000" w:themeColor="text1"/>
        </w:rPr>
        <w:t>),</w:t>
      </w:r>
      <w:r w:rsidRPr="00C4084C">
        <w:rPr>
          <w:rStyle w:val="normaltextrun"/>
          <w:color w:val="000000" w:themeColor="text1"/>
        </w:rPr>
        <w:t xml:space="preserve"> making it difficult to track student movement between the higher education and VET sectors. </w:t>
      </w:r>
      <w:r w:rsidR="008B2BB9" w:rsidRPr="00C4084C">
        <w:rPr>
          <w:rStyle w:val="normaltextrun"/>
          <w:color w:val="000000" w:themeColor="text1"/>
        </w:rPr>
        <w:t>The data</w:t>
      </w:r>
      <w:r w:rsidR="008B2BB9" w:rsidRPr="00C4084C">
        <w:rPr>
          <w:rStyle w:val="normaltextrun"/>
        </w:rPr>
        <w:t>sets</w:t>
      </w:r>
      <w:r w:rsidR="008B2BB9" w:rsidRPr="00C4084C">
        <w:rPr>
          <w:rStyle w:val="normaltextrun"/>
          <w:color w:val="000000" w:themeColor="text1"/>
        </w:rPr>
        <w:t xml:space="preserve"> also have different definitions and measures for some items.</w:t>
      </w:r>
    </w:p>
    <w:p w14:paraId="19A776FB" w14:textId="40885627" w:rsidR="00A14420" w:rsidRPr="00C4084C" w:rsidRDefault="00A14420" w:rsidP="003F7AA0">
      <w:pPr>
        <w:rPr>
          <w:rStyle w:val="normaltextrun"/>
          <w:rFonts w:cstheme="minorHAnsi"/>
        </w:rPr>
      </w:pPr>
      <w:r w:rsidRPr="00C4084C">
        <w:rPr>
          <w:rStyle w:val="normaltextrun"/>
          <w:rFonts w:cstheme="minorHAnsi"/>
        </w:rPr>
        <w:t xml:space="preserve">More broadly, </w:t>
      </w:r>
      <w:r w:rsidR="0028734F" w:rsidRPr="00C4084C">
        <w:rPr>
          <w:rStyle w:val="normaltextrun"/>
          <w:rFonts w:cstheme="minorHAnsi"/>
        </w:rPr>
        <w:t>future reforms</w:t>
      </w:r>
      <w:r w:rsidRPr="00C4084C">
        <w:rPr>
          <w:rStyle w:val="normaltextrun"/>
          <w:rFonts w:cstheme="minorHAnsi"/>
        </w:rPr>
        <w:t xml:space="preserve"> would be assisted by sharing and integrating datasets to examine individual students’ journeys through the entire education system – from school to </w:t>
      </w:r>
      <w:r w:rsidR="007A180E" w:rsidRPr="00C4084C">
        <w:rPr>
          <w:rStyle w:val="normaltextrun"/>
          <w:rFonts w:cstheme="minorHAnsi"/>
        </w:rPr>
        <w:t>tertiary education</w:t>
      </w:r>
      <w:r w:rsidRPr="00C4084C">
        <w:rPr>
          <w:rStyle w:val="normaltextrun"/>
          <w:rFonts w:cstheme="minorHAnsi"/>
        </w:rPr>
        <w:t xml:space="preserve"> and beyond. This includes linking data across systems such as schooling data (currently held by states and territories and individual school systems) with tertiary education and employment outcomes. The aim should be to deliver a complete picture of lifelong learning from the early years, through school</w:t>
      </w:r>
      <w:r w:rsidR="00025CB6">
        <w:rPr>
          <w:rStyle w:val="normaltextrun"/>
          <w:rFonts w:cstheme="minorHAnsi"/>
        </w:rPr>
        <w:t xml:space="preserve">, </w:t>
      </w:r>
      <w:r w:rsidRPr="00C4084C">
        <w:rPr>
          <w:rStyle w:val="normaltextrun"/>
          <w:rFonts w:cstheme="minorHAnsi"/>
        </w:rPr>
        <w:t>into tertiary education and on</w:t>
      </w:r>
      <w:r w:rsidR="001F12E7">
        <w:rPr>
          <w:rStyle w:val="normaltextrun"/>
          <w:rFonts w:cstheme="minorHAnsi"/>
        </w:rPr>
        <w:t xml:space="preserve"> </w:t>
      </w:r>
      <w:r w:rsidRPr="00C4084C">
        <w:rPr>
          <w:rStyle w:val="normaltextrun"/>
          <w:rFonts w:cstheme="minorHAnsi"/>
        </w:rPr>
        <w:t xml:space="preserve">to employment. </w:t>
      </w:r>
      <w:r w:rsidR="00720EF4" w:rsidRPr="00C4084C">
        <w:rPr>
          <w:rStyle w:val="normaltextrun"/>
          <w:rFonts w:cstheme="minorHAnsi"/>
        </w:rPr>
        <w:t xml:space="preserve">This will be supported by the </w:t>
      </w:r>
      <w:r w:rsidR="00CE06AC" w:rsidRPr="00C4084C">
        <w:rPr>
          <w:rStyle w:val="normaltextrun"/>
          <w:rFonts w:cstheme="minorHAnsi"/>
        </w:rPr>
        <w:t xml:space="preserve">recommendations made by this Review on skills infrastructure including the Unique Student Identifier and the National Skills Passport in </w:t>
      </w:r>
      <w:r w:rsidR="00CE06AC" w:rsidRPr="00C4084C">
        <w:rPr>
          <w:rStyle w:val="normaltextrun"/>
          <w:rFonts w:cstheme="minorHAnsi"/>
          <w:i/>
          <w:iCs/>
        </w:rPr>
        <w:fldChar w:fldCharType="begin"/>
      </w:r>
      <w:r w:rsidR="00CE06AC" w:rsidRPr="00C4084C">
        <w:rPr>
          <w:rStyle w:val="normaltextrun"/>
          <w:rFonts w:cstheme="minorHAnsi"/>
          <w:i/>
          <w:iCs/>
        </w:rPr>
        <w:instrText xml:space="preserve"> REF _Ref151932669 \r \h  \* MERGEFORMAT </w:instrText>
      </w:r>
      <w:r w:rsidR="00CE06AC" w:rsidRPr="00C4084C">
        <w:rPr>
          <w:rStyle w:val="normaltextrun"/>
          <w:rFonts w:cstheme="minorHAnsi"/>
          <w:i/>
          <w:iCs/>
        </w:rPr>
      </w:r>
      <w:r w:rsidR="00CE06AC" w:rsidRPr="00C4084C">
        <w:rPr>
          <w:rStyle w:val="normaltextrun"/>
          <w:rFonts w:cstheme="minorHAnsi"/>
          <w:i/>
          <w:iCs/>
        </w:rPr>
        <w:fldChar w:fldCharType="separate"/>
      </w:r>
      <w:r w:rsidR="00467B4F">
        <w:rPr>
          <w:rStyle w:val="normaltextrun"/>
          <w:rFonts w:cstheme="minorHAnsi"/>
          <w:i/>
          <w:iCs/>
        </w:rPr>
        <w:t xml:space="preserve">Chapter 2 – </w:t>
      </w:r>
      <w:r w:rsidR="00CE06AC" w:rsidRPr="00C4084C">
        <w:rPr>
          <w:rStyle w:val="normaltextrun"/>
          <w:rFonts w:cstheme="minorHAnsi"/>
          <w:i/>
          <w:iCs/>
        </w:rPr>
        <w:fldChar w:fldCharType="end"/>
      </w:r>
      <w:r w:rsidR="00CE06AC" w:rsidRPr="00C4084C">
        <w:rPr>
          <w:rStyle w:val="normaltextrun"/>
          <w:rFonts w:cstheme="minorHAnsi"/>
          <w:i/>
          <w:iCs/>
        </w:rPr>
        <w:fldChar w:fldCharType="begin"/>
      </w:r>
      <w:r w:rsidR="00CE06AC" w:rsidRPr="00C4084C">
        <w:rPr>
          <w:rStyle w:val="normaltextrun"/>
          <w:rFonts w:cstheme="minorHAnsi"/>
          <w:i/>
          <w:iCs/>
        </w:rPr>
        <w:instrText xml:space="preserve"> REF _Ref151932669 \h  \* MERGEFORMAT </w:instrText>
      </w:r>
      <w:r w:rsidR="00CE06AC" w:rsidRPr="00C4084C">
        <w:rPr>
          <w:rStyle w:val="normaltextrun"/>
          <w:rFonts w:cstheme="minorHAnsi"/>
          <w:i/>
          <w:iCs/>
        </w:rPr>
      </w:r>
      <w:r w:rsidR="00CE06AC" w:rsidRPr="00C4084C">
        <w:rPr>
          <w:rStyle w:val="normaltextrun"/>
          <w:rFonts w:cstheme="minorHAnsi"/>
          <w:i/>
          <w:iCs/>
        </w:rPr>
        <w:fldChar w:fldCharType="separate"/>
      </w:r>
      <w:r w:rsidR="00467B4F" w:rsidRPr="00467B4F">
        <w:rPr>
          <w:i/>
          <w:iCs/>
        </w:rPr>
        <w:t>Meeting our current and future skills needs</w:t>
      </w:r>
      <w:r w:rsidR="00CE06AC" w:rsidRPr="00C4084C">
        <w:rPr>
          <w:rStyle w:val="normaltextrun"/>
          <w:rFonts w:cstheme="minorHAnsi"/>
          <w:i/>
          <w:iCs/>
        </w:rPr>
        <w:fldChar w:fldCharType="end"/>
      </w:r>
      <w:r w:rsidR="00CE06AC" w:rsidRPr="00C4084C">
        <w:rPr>
          <w:rStyle w:val="normaltextrun"/>
          <w:rFonts w:cstheme="minorHAnsi"/>
          <w:i/>
          <w:iCs/>
        </w:rPr>
        <w:t>.</w:t>
      </w:r>
      <w:r w:rsidR="00CE06AC" w:rsidRPr="00C4084C">
        <w:rPr>
          <w:rStyle w:val="normaltextrun"/>
          <w:rFonts w:cstheme="minorHAnsi"/>
        </w:rPr>
        <w:t xml:space="preserve"> </w:t>
      </w:r>
    </w:p>
    <w:p w14:paraId="502CC73A" w14:textId="47AF46DA" w:rsidR="00890F32" w:rsidRPr="00C4084C" w:rsidRDefault="00A14420" w:rsidP="003F7AA0">
      <w:pPr>
        <w:rPr>
          <w:rStyle w:val="normaltextrun"/>
          <w:rFonts w:cstheme="minorHAnsi"/>
        </w:rPr>
      </w:pPr>
      <w:r w:rsidRPr="00C4084C">
        <w:rPr>
          <w:rStyle w:val="normaltextrun"/>
          <w:rFonts w:cstheme="minorHAnsi"/>
        </w:rPr>
        <w:t xml:space="preserve">Understanding what helps and what hinders educational achievements and transitions is essential to </w:t>
      </w:r>
      <w:r w:rsidRPr="00C4084C">
        <w:rPr>
          <w:rStyle w:val="normaltextrun"/>
          <w:rFonts w:eastAsiaTheme="minorEastAsia" w:cstheme="minorHAnsi"/>
        </w:rPr>
        <w:t>informing</w:t>
      </w:r>
      <w:r w:rsidRPr="00C4084C">
        <w:rPr>
          <w:rStyle w:val="normaltextrun"/>
          <w:rFonts w:cstheme="minorHAnsi"/>
        </w:rPr>
        <w:t xml:space="preserve"> progress and evaluating the success of the </w:t>
      </w:r>
      <w:r w:rsidR="0028734F" w:rsidRPr="00C4084C">
        <w:rPr>
          <w:rStyle w:val="normaltextrun"/>
          <w:rFonts w:cstheme="minorHAnsi"/>
        </w:rPr>
        <w:t>reforms in this Review</w:t>
      </w:r>
      <w:r w:rsidRPr="00C4084C">
        <w:rPr>
          <w:rStyle w:val="normaltextrun"/>
          <w:rFonts w:cstheme="minorHAnsi"/>
        </w:rPr>
        <w:t>, as well as identifying emerging challenges in the coming years.</w:t>
      </w:r>
    </w:p>
    <w:p w14:paraId="4698E78A" w14:textId="77777777" w:rsidR="00A14420" w:rsidRPr="00C4084C" w:rsidRDefault="00A14420" w:rsidP="005501CD">
      <w:pPr>
        <w:pStyle w:val="Heading5"/>
      </w:pPr>
      <w:r w:rsidRPr="00C4084C">
        <w:rPr>
          <w:rStyle w:val="normaltextrun"/>
        </w:rPr>
        <w:t>Informing progress and evaluating success</w:t>
      </w:r>
      <w:r w:rsidRPr="00C4084C">
        <w:rPr>
          <w:rStyle w:val="eop"/>
        </w:rPr>
        <w:t> </w:t>
      </w:r>
    </w:p>
    <w:p w14:paraId="72F76A0D" w14:textId="77777777" w:rsidR="00A14420" w:rsidRPr="00C4084C" w:rsidRDefault="00A14420" w:rsidP="005501CD">
      <w:pPr>
        <w:pStyle w:val="Heading6"/>
      </w:pPr>
      <w:r w:rsidRPr="00C4084C">
        <w:rPr>
          <w:rStyle w:val="normaltextrun"/>
        </w:rPr>
        <w:t>Establishing a measurement framework</w:t>
      </w:r>
      <w:r w:rsidRPr="00C4084C">
        <w:rPr>
          <w:rStyle w:val="eop"/>
        </w:rPr>
        <w:t> </w:t>
      </w:r>
    </w:p>
    <w:p w14:paraId="18AC7B85" w14:textId="7AA9FDCA" w:rsidR="00A14420" w:rsidRPr="00C4084C" w:rsidRDefault="00A14420" w:rsidP="003F7AA0">
      <w:pPr>
        <w:rPr>
          <w:rStyle w:val="normaltextrun"/>
          <w:rFonts w:asciiTheme="majorHAnsi" w:eastAsiaTheme="majorEastAsia" w:hAnsiTheme="majorHAnsi" w:cstheme="majorBidi"/>
          <w:b/>
          <w:iCs/>
          <w:color w:val="7F7F7F" w:themeColor="text1" w:themeTint="80"/>
        </w:rPr>
      </w:pPr>
      <w:r w:rsidRPr="00C4084C">
        <w:rPr>
          <w:rStyle w:val="normaltextrun"/>
        </w:rPr>
        <w:t xml:space="preserve">The </w:t>
      </w:r>
      <w:r w:rsidR="00362122" w:rsidRPr="00C4084C">
        <w:t>Commission</w:t>
      </w:r>
      <w:r w:rsidRPr="00C4084C">
        <w:rPr>
          <w:rStyle w:val="normaltextrun"/>
        </w:rPr>
        <w:t xml:space="preserve"> </w:t>
      </w:r>
      <w:r w:rsidR="005E23F8" w:rsidRPr="00C4084C">
        <w:rPr>
          <w:rStyle w:val="normaltextrun"/>
        </w:rPr>
        <w:t xml:space="preserve">would </w:t>
      </w:r>
      <w:r w:rsidRPr="00C4084C">
        <w:rPr>
          <w:rStyle w:val="normaltextrun"/>
          <w:color w:val="000000" w:themeColor="text1"/>
        </w:rPr>
        <w:t>be</w:t>
      </w:r>
      <w:r w:rsidRPr="00C4084C">
        <w:rPr>
          <w:rStyle w:val="normaltextrun"/>
        </w:rPr>
        <w:t xml:space="preserve"> responsible for developing a measurement framework to track the </w:t>
      </w:r>
      <w:r w:rsidR="00FE2538" w:rsidRPr="00C4084C">
        <w:rPr>
          <w:rStyle w:val="normaltextrun"/>
        </w:rPr>
        <w:t xml:space="preserve">tertiary education </w:t>
      </w:r>
      <w:r w:rsidRPr="00C4084C">
        <w:rPr>
          <w:rStyle w:val="normaltextrun"/>
        </w:rPr>
        <w:t xml:space="preserve">sector’s progress towards the shared goals of the </w:t>
      </w:r>
      <w:r w:rsidR="0028734F" w:rsidRPr="00C4084C">
        <w:rPr>
          <w:rStyle w:val="normaltextrun"/>
        </w:rPr>
        <w:t>reforms in this Review</w:t>
      </w:r>
      <w:r w:rsidRPr="00C4084C">
        <w:rPr>
          <w:rStyle w:val="normaltextrun"/>
        </w:rPr>
        <w:t xml:space="preserve">. </w:t>
      </w:r>
    </w:p>
    <w:p w14:paraId="2C0B6E77" w14:textId="26685906" w:rsidR="00A14420" w:rsidRPr="00C4084C" w:rsidRDefault="00A14420" w:rsidP="003F7AA0">
      <w:pPr>
        <w:rPr>
          <w:sz w:val="32"/>
          <w:szCs w:val="32"/>
        </w:rPr>
      </w:pPr>
      <w:r w:rsidRPr="00C4084C">
        <w:rPr>
          <w:rStyle w:val="normaltextrun"/>
          <w:rFonts w:cstheme="minorHAnsi"/>
        </w:rPr>
        <w:lastRenderedPageBreak/>
        <w:t xml:space="preserve">The framework would be developed in consultation with governments, </w:t>
      </w:r>
      <w:r w:rsidR="00DA6C04">
        <w:rPr>
          <w:rStyle w:val="normaltextrun"/>
          <w:rFonts w:cstheme="minorHAnsi"/>
        </w:rPr>
        <w:t xml:space="preserve">tertiary education </w:t>
      </w:r>
      <w:r w:rsidRPr="00C4084C">
        <w:rPr>
          <w:rStyle w:val="normaltextrun"/>
          <w:rFonts w:cstheme="minorHAnsi"/>
        </w:rPr>
        <w:t>providers</w:t>
      </w:r>
      <w:r w:rsidR="006F179A">
        <w:rPr>
          <w:rStyle w:val="normaltextrun"/>
          <w:rFonts w:cstheme="minorHAnsi"/>
        </w:rPr>
        <w:t xml:space="preserve"> and</w:t>
      </w:r>
      <w:r w:rsidR="006F179A" w:rsidRPr="00C4084C">
        <w:rPr>
          <w:rStyle w:val="normaltextrun"/>
          <w:rFonts w:cstheme="minorHAnsi"/>
        </w:rPr>
        <w:t xml:space="preserve"> </w:t>
      </w:r>
      <w:r w:rsidRPr="00C4084C">
        <w:rPr>
          <w:rStyle w:val="normaltextrun"/>
          <w:rFonts w:cstheme="minorHAnsi"/>
        </w:rPr>
        <w:t xml:space="preserve">data custodians. It would include specific, </w:t>
      </w:r>
      <w:proofErr w:type="gramStart"/>
      <w:r w:rsidRPr="00C4084C">
        <w:rPr>
          <w:rStyle w:val="normaltextrun"/>
          <w:rFonts w:cstheme="minorHAnsi"/>
        </w:rPr>
        <w:t>well-defined</w:t>
      </w:r>
      <w:proofErr w:type="gramEnd"/>
      <w:r w:rsidRPr="00C4084C">
        <w:rPr>
          <w:rStyle w:val="normaltextrun"/>
          <w:rFonts w:cstheme="minorHAnsi"/>
        </w:rPr>
        <w:t xml:space="preserve"> and measurable metrics, and – where appropriate – targets which define success. As the</w:t>
      </w:r>
      <w:r w:rsidRPr="00C4084C" w:rsidDel="00CF1D7F">
        <w:rPr>
          <w:rStyle w:val="normaltextrun"/>
          <w:rFonts w:cstheme="minorHAnsi"/>
        </w:rPr>
        <w:t xml:space="preserve"> </w:t>
      </w:r>
      <w:r w:rsidR="00CF1D7F" w:rsidRPr="00C4084C">
        <w:rPr>
          <w:rStyle w:val="normaltextrun"/>
          <w:rFonts w:cstheme="minorHAnsi"/>
        </w:rPr>
        <w:t xml:space="preserve">Review’s </w:t>
      </w:r>
      <w:r w:rsidRPr="00C4084C">
        <w:rPr>
          <w:rStyle w:val="normaltextrun"/>
          <w:rFonts w:cstheme="minorHAnsi"/>
        </w:rPr>
        <w:t>reforms are long-term, the framework would require interim,</w:t>
      </w:r>
      <w:r w:rsidRPr="00C4084C" w:rsidDel="00ED351B">
        <w:rPr>
          <w:rStyle w:val="normaltextrun"/>
          <w:rFonts w:cstheme="minorHAnsi"/>
        </w:rPr>
        <w:t xml:space="preserve"> </w:t>
      </w:r>
      <w:r w:rsidRPr="00C4084C">
        <w:rPr>
          <w:rStyle w:val="normaltextrun"/>
          <w:rFonts w:cstheme="minorHAnsi"/>
        </w:rPr>
        <w:t xml:space="preserve">shorter-term targets. It will also need to evolve to reflect the needs and perspectives of the </w:t>
      </w:r>
      <w:r w:rsidR="00FE2538" w:rsidRPr="00C4084C">
        <w:rPr>
          <w:rStyle w:val="normaltextrun"/>
          <w:rFonts w:cstheme="minorHAnsi"/>
        </w:rPr>
        <w:t xml:space="preserve">tertiary education </w:t>
      </w:r>
      <w:r w:rsidRPr="00C4084C">
        <w:rPr>
          <w:rStyle w:val="normaltextrun"/>
          <w:rFonts w:cstheme="minorHAnsi"/>
        </w:rPr>
        <w:t>sector and society.</w:t>
      </w:r>
      <w:r w:rsidRPr="00C4084C">
        <w:rPr>
          <w:rStyle w:val="eop"/>
          <w:rFonts w:cstheme="minorHAnsi"/>
        </w:rPr>
        <w:t> </w:t>
      </w:r>
    </w:p>
    <w:p w14:paraId="665453E3" w14:textId="6C0EF531" w:rsidR="00A14420" w:rsidRPr="00C4084C" w:rsidRDefault="003E4CDF" w:rsidP="003F7AA0">
      <w:pPr>
        <w:rPr>
          <w:sz w:val="18"/>
          <w:szCs w:val="18"/>
        </w:rPr>
      </w:pPr>
      <w:r w:rsidRPr="00C4084C">
        <w:rPr>
          <w:rStyle w:val="normaltextrun"/>
        </w:rPr>
        <w:t xml:space="preserve">The attainment </w:t>
      </w:r>
      <w:r w:rsidRPr="00C4084C">
        <w:rPr>
          <w:color w:val="000000" w:themeColor="text1"/>
        </w:rPr>
        <w:t>targets</w:t>
      </w:r>
      <w:r w:rsidRPr="00C4084C">
        <w:rPr>
          <w:rStyle w:val="normaltextrun"/>
        </w:rPr>
        <w:t xml:space="preserve"> at the heart of the reforms in this Report will need to be included in the evaluation framework, as well as the interim attainment and participation targets. </w:t>
      </w:r>
      <w:r w:rsidRPr="00C4084C">
        <w:rPr>
          <w:rStyle w:val="eop"/>
        </w:rPr>
        <w:t> </w:t>
      </w:r>
    </w:p>
    <w:p w14:paraId="4C23193C" w14:textId="77777777" w:rsidR="00A14420" w:rsidRPr="00C4084C" w:rsidRDefault="00A14420" w:rsidP="005501CD">
      <w:pPr>
        <w:pStyle w:val="Heading6"/>
        <w:rPr>
          <w:rStyle w:val="eop"/>
        </w:rPr>
      </w:pPr>
      <w:r w:rsidRPr="00C4084C">
        <w:rPr>
          <w:rStyle w:val="normaltextrun"/>
        </w:rPr>
        <w:t>Ongoing evaluation and reporting </w:t>
      </w:r>
      <w:r w:rsidRPr="00C4084C">
        <w:rPr>
          <w:rStyle w:val="eop"/>
        </w:rPr>
        <w:t> </w:t>
      </w:r>
    </w:p>
    <w:p w14:paraId="798BF09B" w14:textId="2735CFD2" w:rsidR="00A14420" w:rsidRPr="00C4084C" w:rsidRDefault="00A14420" w:rsidP="003F7AA0">
      <w:r w:rsidRPr="00C4084C">
        <w:rPr>
          <w:rStyle w:val="normaltextrun"/>
          <w:rFonts w:cstheme="minorHAnsi"/>
        </w:rPr>
        <w:t xml:space="preserve">As part of the monitoring of </w:t>
      </w:r>
      <w:r w:rsidR="002B15FB" w:rsidRPr="00C4084C">
        <w:rPr>
          <w:rStyle w:val="normaltextrun"/>
          <w:rFonts w:cstheme="minorHAnsi"/>
        </w:rPr>
        <w:t xml:space="preserve">progress on the ongoing reforms </w:t>
      </w:r>
      <w:r w:rsidR="00CD1F78" w:rsidRPr="00C4084C">
        <w:rPr>
          <w:rStyle w:val="normaltextrun"/>
          <w:rFonts w:cstheme="minorHAnsi"/>
        </w:rPr>
        <w:t>recommended</w:t>
      </w:r>
      <w:r w:rsidR="002B15FB" w:rsidRPr="00C4084C">
        <w:rPr>
          <w:rStyle w:val="normaltextrun"/>
          <w:rFonts w:cstheme="minorHAnsi"/>
        </w:rPr>
        <w:t xml:space="preserve"> in this Review</w:t>
      </w:r>
      <w:r w:rsidRPr="00C4084C">
        <w:rPr>
          <w:rStyle w:val="normaltextrun"/>
          <w:rFonts w:cstheme="minorHAnsi"/>
        </w:rPr>
        <w:t xml:space="preserve">, the </w:t>
      </w:r>
      <w:r w:rsidR="00362122" w:rsidRPr="00C4084C">
        <w:t>Commission</w:t>
      </w:r>
      <w:r w:rsidRPr="00C4084C">
        <w:rPr>
          <w:rStyle w:val="normaltextrun"/>
          <w:rFonts w:cstheme="minorHAnsi"/>
        </w:rPr>
        <w:t xml:space="preserve"> would undertake frequent public reporting on </w:t>
      </w:r>
      <w:r w:rsidRPr="00C4084C">
        <w:rPr>
          <w:color w:val="000000" w:themeColor="text1"/>
        </w:rPr>
        <w:t>progress</w:t>
      </w:r>
      <w:r w:rsidRPr="00C4084C">
        <w:rPr>
          <w:rStyle w:val="normaltextrun"/>
          <w:rFonts w:cstheme="minorHAnsi"/>
        </w:rPr>
        <w:t xml:space="preserve"> against the above measurement framework, alongside a broader picture and commentary of the </w:t>
      </w:r>
      <w:r w:rsidR="00CD1F78" w:rsidRPr="00C4084C">
        <w:rPr>
          <w:rStyle w:val="normaltextrun"/>
          <w:rFonts w:cstheme="minorHAnsi"/>
        </w:rPr>
        <w:t xml:space="preserve">tertiary </w:t>
      </w:r>
      <w:r w:rsidRPr="00C4084C">
        <w:rPr>
          <w:rStyle w:val="normaltextrun"/>
          <w:rFonts w:cstheme="minorHAnsi"/>
        </w:rPr>
        <w:t>education sector’s performance.</w:t>
      </w:r>
      <w:r w:rsidRPr="00C4084C">
        <w:rPr>
          <w:rStyle w:val="eop"/>
          <w:rFonts w:cstheme="minorHAnsi"/>
        </w:rPr>
        <w:t> </w:t>
      </w:r>
    </w:p>
    <w:p w14:paraId="089A5409" w14:textId="4DB2F486" w:rsidR="00A14420" w:rsidRPr="00C4084C" w:rsidRDefault="00C20C91" w:rsidP="003F7AA0">
      <w:pPr>
        <w:rPr>
          <w:sz w:val="32"/>
          <w:szCs w:val="32"/>
        </w:rPr>
      </w:pPr>
      <w:r w:rsidRPr="00C4084C">
        <w:rPr>
          <w:rStyle w:val="normaltextrun"/>
        </w:rPr>
        <w:t>As noted above, this</w:t>
      </w:r>
      <w:r w:rsidR="00A14420" w:rsidRPr="00C4084C">
        <w:rPr>
          <w:rStyle w:val="normaltextrun"/>
        </w:rPr>
        <w:t xml:space="preserve"> would form part of an annual </w:t>
      </w:r>
      <w:r w:rsidR="3DCE29E2" w:rsidRPr="00C4084C">
        <w:rPr>
          <w:rStyle w:val="normaltextrun"/>
        </w:rPr>
        <w:t>‘State of the Tertiary Education Sector</w:t>
      </w:r>
      <w:r w:rsidR="000829B0">
        <w:rPr>
          <w:rStyle w:val="normaltextrun"/>
        </w:rPr>
        <w:t xml:space="preserve"> Report</w:t>
      </w:r>
      <w:r w:rsidR="3DCE29E2" w:rsidRPr="00C4084C">
        <w:rPr>
          <w:rStyle w:val="normaltextrun"/>
        </w:rPr>
        <w:t xml:space="preserve">’ </w:t>
      </w:r>
      <w:r w:rsidR="00A14420" w:rsidRPr="00C4084C">
        <w:rPr>
          <w:rStyle w:val="normaltextrun"/>
        </w:rPr>
        <w:t>which would provide a picture of how the sector is:</w:t>
      </w:r>
      <w:r w:rsidR="00A14420" w:rsidRPr="00C4084C">
        <w:rPr>
          <w:rStyle w:val="eop"/>
        </w:rPr>
        <w:t> </w:t>
      </w:r>
    </w:p>
    <w:p w14:paraId="23969C23" w14:textId="7768F17F" w:rsidR="00A14420" w:rsidRPr="00C4084C" w:rsidRDefault="00A14420" w:rsidP="00383114">
      <w:pPr>
        <w:pStyle w:val="ListBullet"/>
      </w:pPr>
      <w:r w:rsidRPr="00C4084C">
        <w:rPr>
          <w:rStyle w:val="normaltextrun"/>
        </w:rPr>
        <w:t>tracking against its reforms</w:t>
      </w:r>
      <w:r w:rsidRPr="00C4084C">
        <w:rPr>
          <w:rStyle w:val="eop"/>
        </w:rPr>
        <w:t> </w:t>
      </w:r>
    </w:p>
    <w:p w14:paraId="63F0AD66" w14:textId="77777777" w:rsidR="00A14420" w:rsidRPr="00C4084C" w:rsidRDefault="00A14420" w:rsidP="00383114">
      <w:pPr>
        <w:pStyle w:val="ListBullet"/>
      </w:pPr>
      <w:r w:rsidRPr="00C4084C">
        <w:rPr>
          <w:rStyle w:val="normaltextrun"/>
        </w:rPr>
        <w:t>performing on a broader set of measures, including international comparisons</w:t>
      </w:r>
      <w:r w:rsidRPr="00C4084C">
        <w:rPr>
          <w:rStyle w:val="eop"/>
        </w:rPr>
        <w:t> </w:t>
      </w:r>
    </w:p>
    <w:p w14:paraId="23391539" w14:textId="661820A3" w:rsidR="00A14420" w:rsidRPr="00C4084C" w:rsidRDefault="00A14420" w:rsidP="00383114">
      <w:pPr>
        <w:pStyle w:val="ListBullet"/>
      </w:pPr>
      <w:r w:rsidRPr="00C4084C">
        <w:rPr>
          <w:rStyle w:val="normaltextrun"/>
        </w:rPr>
        <w:t>producing examples of good practice which can be shared across providers</w:t>
      </w:r>
      <w:r w:rsidR="00876AC1" w:rsidRPr="00C4084C">
        <w:rPr>
          <w:rStyle w:val="eop"/>
        </w:rPr>
        <w:t>.</w:t>
      </w:r>
    </w:p>
    <w:p w14:paraId="5FEFE626" w14:textId="738A2F91" w:rsidR="00A14420" w:rsidRPr="00C4084C" w:rsidRDefault="00A14420" w:rsidP="003F7AA0">
      <w:pPr>
        <w:rPr>
          <w:sz w:val="32"/>
          <w:szCs w:val="32"/>
        </w:rPr>
      </w:pPr>
      <w:r w:rsidRPr="00C4084C">
        <w:rPr>
          <w:rStyle w:val="normaltextrun"/>
          <w:rFonts w:cstheme="minorHAnsi"/>
        </w:rPr>
        <w:t>The aim of the State</w:t>
      </w:r>
      <w:r w:rsidR="00890F32" w:rsidRPr="00C4084C">
        <w:rPr>
          <w:rStyle w:val="normaltextrun"/>
          <w:rFonts w:cstheme="minorHAnsi"/>
        </w:rPr>
        <w:t xml:space="preserve"> </w:t>
      </w:r>
      <w:r w:rsidRPr="00C4084C">
        <w:rPr>
          <w:rStyle w:val="normaltextrun"/>
          <w:rFonts w:cstheme="minorHAnsi"/>
        </w:rPr>
        <w:t xml:space="preserve">of the </w:t>
      </w:r>
      <w:r w:rsidR="00EB187F" w:rsidRPr="00C4084C">
        <w:rPr>
          <w:rStyle w:val="normaltextrun"/>
          <w:rFonts w:cstheme="minorHAnsi"/>
        </w:rPr>
        <w:t xml:space="preserve">Tertiary Education </w:t>
      </w:r>
      <w:r w:rsidRPr="00C4084C">
        <w:rPr>
          <w:rStyle w:val="normaltextrun"/>
          <w:rFonts w:cstheme="minorHAnsi"/>
        </w:rPr>
        <w:t xml:space="preserve">Sector Report would be to increase understanding of </w:t>
      </w:r>
      <w:r w:rsidR="00EC5FEC" w:rsidRPr="00C4084C">
        <w:rPr>
          <w:rStyle w:val="normaltextrun"/>
          <w:rFonts w:cstheme="minorHAnsi"/>
        </w:rPr>
        <w:t xml:space="preserve">tertiary </w:t>
      </w:r>
      <w:r w:rsidRPr="00C4084C">
        <w:rPr>
          <w:rStyle w:val="normaltextrun"/>
          <w:rFonts w:cstheme="minorHAnsi"/>
        </w:rPr>
        <w:t xml:space="preserve">education sector performance, establish consistent benchmarks across the sector and its providers, and provide a basis for conversations and </w:t>
      </w:r>
      <w:r w:rsidR="003F6CCD" w:rsidRPr="00C4084C">
        <w:rPr>
          <w:rStyle w:val="normaltextrun"/>
          <w:rFonts w:cstheme="minorHAnsi"/>
        </w:rPr>
        <w:t xml:space="preserve">mission-based </w:t>
      </w:r>
      <w:r w:rsidRPr="00C4084C">
        <w:rPr>
          <w:rStyle w:val="normaltextrun"/>
          <w:rFonts w:cstheme="minorHAnsi"/>
        </w:rPr>
        <w:t xml:space="preserve">compacts </w:t>
      </w:r>
      <w:r w:rsidR="003F6CCD" w:rsidRPr="00C4084C">
        <w:rPr>
          <w:rStyle w:val="normaltextrun"/>
          <w:rFonts w:cstheme="minorHAnsi"/>
        </w:rPr>
        <w:t xml:space="preserve">between the </w:t>
      </w:r>
      <w:r w:rsidR="00362122" w:rsidRPr="00C4084C">
        <w:t>Commission</w:t>
      </w:r>
      <w:r w:rsidR="003F6CCD" w:rsidRPr="00C4084C">
        <w:rPr>
          <w:rStyle w:val="normaltextrun"/>
          <w:rFonts w:cstheme="minorHAnsi"/>
        </w:rPr>
        <w:t xml:space="preserve"> and providers</w:t>
      </w:r>
      <w:r w:rsidRPr="00C4084C">
        <w:rPr>
          <w:rStyle w:val="normaltextrun"/>
          <w:rFonts w:cstheme="minorHAnsi"/>
        </w:rPr>
        <w:t>.</w:t>
      </w:r>
      <w:r w:rsidRPr="00C4084C">
        <w:rPr>
          <w:rStyle w:val="eop"/>
          <w:rFonts w:cstheme="minorHAnsi"/>
        </w:rPr>
        <w:t> </w:t>
      </w:r>
    </w:p>
    <w:p w14:paraId="115D33B9" w14:textId="0709A4CC" w:rsidR="00A14420" w:rsidRPr="00C4084C" w:rsidRDefault="00A14420" w:rsidP="003F7AA0">
      <w:pPr>
        <w:rPr>
          <w:rStyle w:val="eop"/>
          <w:rFonts w:cstheme="minorHAnsi"/>
        </w:rPr>
      </w:pPr>
      <w:r w:rsidRPr="00C4084C">
        <w:rPr>
          <w:rStyle w:val="eop"/>
          <w:rFonts w:cstheme="minorHAnsi"/>
        </w:rPr>
        <w:t xml:space="preserve">In addition to the State of the </w:t>
      </w:r>
      <w:r w:rsidR="00EB187F" w:rsidRPr="00C4084C">
        <w:rPr>
          <w:rStyle w:val="normaltextrun"/>
          <w:rFonts w:cstheme="minorHAnsi"/>
        </w:rPr>
        <w:t>Tertiary Education</w:t>
      </w:r>
      <w:r w:rsidRPr="00C4084C">
        <w:rPr>
          <w:rStyle w:val="eop"/>
          <w:rFonts w:cstheme="minorHAnsi"/>
        </w:rPr>
        <w:t xml:space="preserve"> Sector Report, the </w:t>
      </w:r>
      <w:r w:rsidR="00362122" w:rsidRPr="00C4084C">
        <w:t>Commission</w:t>
      </w:r>
      <w:r w:rsidRPr="00C4084C">
        <w:rPr>
          <w:rStyle w:val="eop"/>
          <w:rFonts w:cstheme="minorHAnsi"/>
        </w:rPr>
        <w:t xml:space="preserve"> would produce a </w:t>
      </w:r>
      <w:r w:rsidR="000829B0">
        <w:rPr>
          <w:rStyle w:val="eop"/>
          <w:rFonts w:cstheme="minorHAnsi"/>
        </w:rPr>
        <w:t xml:space="preserve">rolling </w:t>
      </w:r>
      <w:r w:rsidRPr="00C4084C">
        <w:rPr>
          <w:rStyle w:val="eop"/>
          <w:rFonts w:cstheme="minorHAnsi"/>
        </w:rPr>
        <w:t xml:space="preserve">triennial </w:t>
      </w:r>
      <w:r w:rsidR="721DDE58" w:rsidRPr="00C4084C">
        <w:rPr>
          <w:rStyle w:val="eop"/>
        </w:rPr>
        <w:t>‘</w:t>
      </w:r>
      <w:r w:rsidRPr="00C4084C">
        <w:rPr>
          <w:rStyle w:val="eop"/>
          <w:rFonts w:cstheme="minorHAnsi"/>
        </w:rPr>
        <w:t xml:space="preserve">Future of the Tertiary Education Sector </w:t>
      </w:r>
      <w:r w:rsidRPr="00C4084C">
        <w:rPr>
          <w:rStyle w:val="eop"/>
        </w:rPr>
        <w:t>Report</w:t>
      </w:r>
      <w:r w:rsidR="730B232B" w:rsidRPr="00C4084C">
        <w:rPr>
          <w:rStyle w:val="eop"/>
        </w:rPr>
        <w:t>’</w:t>
      </w:r>
      <w:r w:rsidRPr="00C4084C">
        <w:rPr>
          <w:rStyle w:val="eop"/>
          <w:rFonts w:cstheme="minorHAnsi"/>
        </w:rPr>
        <w:t xml:space="preserve"> which would be a comprehensive and strategic planning document which covers:</w:t>
      </w:r>
    </w:p>
    <w:p w14:paraId="3F95F39C" w14:textId="769EC836" w:rsidR="00A14420" w:rsidRPr="00C4084C" w:rsidRDefault="005501CD" w:rsidP="00876AC1">
      <w:pPr>
        <w:pStyle w:val="ListBullet"/>
        <w:rPr>
          <w:rStyle w:val="eop"/>
        </w:rPr>
      </w:pPr>
      <w:r w:rsidRPr="00C4084C">
        <w:rPr>
          <w:rStyle w:val="normaltextrun"/>
        </w:rPr>
        <w:t>h</w:t>
      </w:r>
      <w:r w:rsidR="00A14420" w:rsidRPr="00C4084C">
        <w:rPr>
          <w:rStyle w:val="normaltextrun"/>
        </w:rPr>
        <w:t>ow the sector is changing and its emerging issues</w:t>
      </w:r>
      <w:r w:rsidR="00A14420" w:rsidRPr="00C4084C">
        <w:rPr>
          <w:rStyle w:val="eop"/>
        </w:rPr>
        <w:t> </w:t>
      </w:r>
    </w:p>
    <w:p w14:paraId="70D8804F" w14:textId="72A6750C" w:rsidR="005B0D56" w:rsidRPr="00C4084C" w:rsidRDefault="005501CD" w:rsidP="00876AC1">
      <w:pPr>
        <w:pStyle w:val="ListBullet"/>
        <w:rPr>
          <w:rStyle w:val="normaltextrun"/>
        </w:rPr>
      </w:pPr>
      <w:r w:rsidRPr="00C4084C">
        <w:rPr>
          <w:rStyle w:val="normaltextrun"/>
        </w:rPr>
        <w:t>a</w:t>
      </w:r>
      <w:r w:rsidR="00A14420" w:rsidRPr="00C4084C">
        <w:rPr>
          <w:rStyle w:val="normaltextrun"/>
        </w:rPr>
        <w:t>naly</w:t>
      </w:r>
      <w:r w:rsidR="00890F32" w:rsidRPr="00C4084C">
        <w:rPr>
          <w:rStyle w:val="normaltextrun"/>
        </w:rPr>
        <w:t>s</w:t>
      </w:r>
      <w:r w:rsidR="00A14420" w:rsidRPr="00C4084C">
        <w:rPr>
          <w:rStyle w:val="normaltextrun"/>
        </w:rPr>
        <w:t xml:space="preserve">ing, </w:t>
      </w:r>
      <w:proofErr w:type="gramStart"/>
      <w:r w:rsidR="00A14420" w:rsidRPr="00C4084C">
        <w:rPr>
          <w:rStyle w:val="normaltextrun"/>
        </w:rPr>
        <w:t>forecasting</w:t>
      </w:r>
      <w:proofErr w:type="gramEnd"/>
      <w:r w:rsidR="00A14420" w:rsidRPr="00C4084C">
        <w:rPr>
          <w:rStyle w:val="normaltextrun"/>
        </w:rPr>
        <w:t xml:space="preserve"> and planning </w:t>
      </w:r>
      <w:r w:rsidR="2EE5C069" w:rsidRPr="00C4084C">
        <w:rPr>
          <w:rStyle w:val="normaltextrun"/>
        </w:rPr>
        <w:t xml:space="preserve">the </w:t>
      </w:r>
      <w:r w:rsidR="00A14420" w:rsidRPr="00C4084C">
        <w:rPr>
          <w:rStyle w:val="normaltextrun"/>
        </w:rPr>
        <w:t>supply and demand of places</w:t>
      </w:r>
    </w:p>
    <w:p w14:paraId="1455E395" w14:textId="6BA3374F" w:rsidR="005B0D56" w:rsidRPr="00C4084C" w:rsidRDefault="005501CD" w:rsidP="00876AC1">
      <w:pPr>
        <w:pStyle w:val="ListBullet"/>
        <w:rPr>
          <w:rStyle w:val="normaltextrun"/>
        </w:rPr>
      </w:pPr>
      <w:r w:rsidRPr="00C4084C">
        <w:rPr>
          <w:rStyle w:val="normaltextrun"/>
        </w:rPr>
        <w:t>g</w:t>
      </w:r>
      <w:r w:rsidR="00A14420" w:rsidRPr="00C4084C">
        <w:rPr>
          <w:rStyle w:val="normaltextrun"/>
        </w:rPr>
        <w:t xml:space="preserve">aps between the sector’s current state and where it needs to be to meet future </w:t>
      </w:r>
      <w:proofErr w:type="gramStart"/>
      <w:r w:rsidR="00A14420" w:rsidRPr="00C4084C">
        <w:rPr>
          <w:rStyle w:val="normaltextrun"/>
        </w:rPr>
        <w:t>needs</w:t>
      </w:r>
      <w:proofErr w:type="gramEnd"/>
    </w:p>
    <w:p w14:paraId="65BA3FD1" w14:textId="54BD28F3" w:rsidR="005B0D56" w:rsidRPr="00C4084C" w:rsidRDefault="005501CD" w:rsidP="00876AC1">
      <w:pPr>
        <w:pStyle w:val="ListBullet"/>
        <w:rPr>
          <w:rStyle w:val="normaltextrun"/>
        </w:rPr>
      </w:pPr>
      <w:r w:rsidRPr="00C4084C">
        <w:rPr>
          <w:rStyle w:val="normaltextrun"/>
        </w:rPr>
        <w:t>p</w:t>
      </w:r>
      <w:r w:rsidR="00A14420" w:rsidRPr="00C4084C">
        <w:rPr>
          <w:rStyle w:val="normaltextrun"/>
        </w:rPr>
        <w:t>lans to be taken to close the gap between where the sector is and where it needs to be</w:t>
      </w:r>
      <w:r w:rsidR="00876AC1" w:rsidRPr="00C4084C">
        <w:rPr>
          <w:rStyle w:val="normaltextrun"/>
        </w:rPr>
        <w:t>.</w:t>
      </w:r>
    </w:p>
    <w:p w14:paraId="2E347422" w14:textId="7B76B493" w:rsidR="00C60377" w:rsidRPr="00C4084C" w:rsidRDefault="00A14420" w:rsidP="003E5969">
      <w:r w:rsidRPr="00C4084C">
        <w:rPr>
          <w:rStyle w:val="normaltextrun"/>
          <w:rFonts w:cstheme="minorHAnsi"/>
        </w:rPr>
        <w:t>To produce the</w:t>
      </w:r>
      <w:r w:rsidRPr="00C4084C" w:rsidDel="00D16150">
        <w:rPr>
          <w:rStyle w:val="normaltextrun"/>
          <w:rFonts w:cstheme="minorHAnsi"/>
        </w:rPr>
        <w:t xml:space="preserve"> </w:t>
      </w:r>
      <w:r w:rsidR="00D16150" w:rsidRPr="00C4084C">
        <w:rPr>
          <w:rStyle w:val="normaltextrun"/>
          <w:rFonts w:cstheme="minorHAnsi"/>
        </w:rPr>
        <w:t>2</w:t>
      </w:r>
      <w:r w:rsidRPr="00C4084C">
        <w:rPr>
          <w:rStyle w:val="normaltextrun"/>
          <w:rFonts w:cstheme="minorHAnsi"/>
        </w:rPr>
        <w:t xml:space="preserve"> reports, the </w:t>
      </w:r>
      <w:r w:rsidR="00362122" w:rsidRPr="00C4084C">
        <w:t>Commission</w:t>
      </w:r>
      <w:r w:rsidRPr="00C4084C">
        <w:rPr>
          <w:rStyle w:val="normaltextrun"/>
          <w:rFonts w:cstheme="minorHAnsi"/>
        </w:rPr>
        <w:t xml:space="preserve"> may require higher education and VET providers to collect and report data that is not collected elsewhere, including financial information (for example, information on revenue from international students and investment in research).</w:t>
      </w:r>
      <w:bookmarkStart w:id="1157" w:name="_Toc150600351"/>
      <w:bookmarkStart w:id="1158" w:name="_Toc1945895966"/>
      <w:bookmarkStart w:id="1159" w:name="_Toc810821657"/>
    </w:p>
    <w:tbl>
      <w:tblPr>
        <w:tblW w:w="0" w:type="auto"/>
        <w:shd w:val="clear" w:color="auto" w:fill="FBE4D5"/>
        <w:tblLook w:val="04A0" w:firstRow="1" w:lastRow="0" w:firstColumn="1" w:lastColumn="0" w:noHBand="0" w:noVBand="1"/>
      </w:tblPr>
      <w:tblGrid>
        <w:gridCol w:w="9026"/>
      </w:tblGrid>
      <w:tr w:rsidR="00B062E3" w:rsidRPr="00C4084C" w14:paraId="00A942DA" w14:textId="77777777" w:rsidTr="00D26B82">
        <w:tc>
          <w:tcPr>
            <w:tcW w:w="9026" w:type="dxa"/>
            <w:shd w:val="clear" w:color="auto" w:fill="FEECDF"/>
          </w:tcPr>
          <w:p w14:paraId="3CEF74B0" w14:textId="6166D98C" w:rsidR="00F33520" w:rsidRDefault="00F33520" w:rsidP="003E5969">
            <w:pPr>
              <w:pStyle w:val="Recheadinginbox"/>
              <w:rPr>
                <w:rStyle w:val="normaltextrun"/>
              </w:rPr>
            </w:pPr>
            <w:r>
              <w:rPr>
                <w:rStyle w:val="normaltextrun"/>
              </w:rPr>
              <w:lastRenderedPageBreak/>
              <w:t xml:space="preserve">Recommendation: </w:t>
            </w:r>
            <w:r w:rsidRPr="00C4084C">
              <w:t xml:space="preserve">Data, </w:t>
            </w:r>
            <w:proofErr w:type="gramStart"/>
            <w:r w:rsidRPr="00C4084C">
              <w:t>measurement</w:t>
            </w:r>
            <w:proofErr w:type="gramEnd"/>
            <w:r w:rsidRPr="00C4084C">
              <w:t xml:space="preserve"> and reporting</w:t>
            </w:r>
          </w:p>
          <w:p w14:paraId="51090AA4" w14:textId="25C97738" w:rsidR="00B062E3" w:rsidRPr="00C4084C" w:rsidRDefault="00B062E3" w:rsidP="003E5969">
            <w:pPr>
              <w:pStyle w:val="Recsin-chapterL1"/>
              <w:framePr w:wrap="notBeside"/>
              <w:spacing w:before="0" w:after="0"/>
              <w:rPr>
                <w:rStyle w:val="normaltextrun"/>
              </w:rPr>
            </w:pPr>
            <w:r w:rsidRPr="00C4084C">
              <w:rPr>
                <w:rStyle w:val="normaltextrun"/>
              </w:rPr>
              <w:t xml:space="preserve">That to improve our understanding of the state of Australia’s tertiary education system, and its broad economic, </w:t>
            </w:r>
            <w:proofErr w:type="gramStart"/>
            <w:r w:rsidRPr="00C4084C">
              <w:rPr>
                <w:rStyle w:val="normaltextrun"/>
              </w:rPr>
              <w:t>social</w:t>
            </w:r>
            <w:proofErr w:type="gramEnd"/>
            <w:r w:rsidRPr="00C4084C">
              <w:rPr>
                <w:rStyle w:val="normaltextrun"/>
              </w:rPr>
              <w:t xml:space="preserve"> and environmental importance: </w:t>
            </w:r>
          </w:p>
          <w:p w14:paraId="62EA047A" w14:textId="2CB1196C" w:rsidR="00B062E3" w:rsidRPr="00C4084C" w:rsidRDefault="00B062E3" w:rsidP="003E5969">
            <w:pPr>
              <w:pStyle w:val="Recsin-chapterL2"/>
              <w:spacing w:before="0" w:beforeAutospacing="0"/>
              <w:rPr>
                <w:rStyle w:val="normaltextrun"/>
              </w:rPr>
            </w:pPr>
            <w:r w:rsidRPr="00C4084C">
              <w:rPr>
                <w:rStyle w:val="normaltextrun"/>
              </w:rPr>
              <w:t xml:space="preserve">the Australian Government build on existing data assets to develop a fit-for-purpose, integrated and timely tertiary education data capability which can be used to understand problems, answer difficult policy questions, identify emerging issues, and monitor long term student outcomes through the education system and into post-study </w:t>
            </w:r>
            <w:proofErr w:type="gramStart"/>
            <w:r w:rsidRPr="00C4084C">
              <w:rPr>
                <w:rStyle w:val="normaltextrun"/>
              </w:rPr>
              <w:t>destinations</w:t>
            </w:r>
            <w:proofErr w:type="gramEnd"/>
          </w:p>
          <w:p w14:paraId="46BAA06D" w14:textId="77777777" w:rsidR="00B062E3" w:rsidRPr="00C4084C" w:rsidDel="00882244" w:rsidRDefault="00B062E3" w:rsidP="003E5969">
            <w:pPr>
              <w:pStyle w:val="Recsin-chapterL2"/>
            </w:pPr>
            <w:r w:rsidRPr="00C4084C">
              <w:rPr>
                <w:rStyle w:val="normaltextrun"/>
              </w:rPr>
              <w:t>the Australian Tertiary Education Commission produce an annual State of the Tertiary Education System Report and a rolling triennial planning report which will evaluate the system’s progress towards the shared goals of the Review, report on the broader performance of the system, share good practice, and identify emerging issues.</w:t>
            </w:r>
          </w:p>
        </w:tc>
      </w:tr>
    </w:tbl>
    <w:p w14:paraId="4A4C442E" w14:textId="0D16B21F" w:rsidR="00A14420" w:rsidRPr="00C4084C" w:rsidRDefault="00A14420" w:rsidP="00BA6095">
      <w:pPr>
        <w:pStyle w:val="Heading4"/>
      </w:pPr>
      <w:bookmarkStart w:id="1160" w:name="_Toc181579758"/>
      <w:bookmarkStart w:id="1161" w:name="_Toc159501000"/>
      <w:r w:rsidRPr="00C4084C">
        <w:t>A responsive and locally adapted system</w:t>
      </w:r>
      <w:bookmarkEnd w:id="1157"/>
      <w:bookmarkEnd w:id="1158"/>
      <w:bookmarkEnd w:id="1159"/>
      <w:bookmarkEnd w:id="1160"/>
      <w:bookmarkEnd w:id="1161"/>
    </w:p>
    <w:p w14:paraId="6AE07ED6" w14:textId="77777777" w:rsidR="00A14420" w:rsidRPr="00C4084C" w:rsidRDefault="00A14420" w:rsidP="00214052">
      <w:pPr>
        <w:pStyle w:val="Heading5"/>
      </w:pPr>
      <w:bookmarkStart w:id="1162" w:name="_Toc150600352"/>
      <w:bookmarkStart w:id="1163" w:name="_Toc953330676"/>
      <w:bookmarkStart w:id="1164" w:name="_Toc2118276675"/>
      <w:r w:rsidRPr="00C4084C">
        <w:t>Size and shape of the sector</w:t>
      </w:r>
      <w:bookmarkEnd w:id="1162"/>
      <w:bookmarkEnd w:id="1163"/>
      <w:bookmarkEnd w:id="1164"/>
    </w:p>
    <w:p w14:paraId="416EC7AF" w14:textId="68FFF620" w:rsidR="00A14420" w:rsidRPr="00C4084C" w:rsidRDefault="00A14420" w:rsidP="000978AC">
      <w:r w:rsidRPr="00C4084C">
        <w:t xml:space="preserve">The Review has established targets for sustained growth in the Australian </w:t>
      </w:r>
      <w:r w:rsidR="007D42B2" w:rsidRPr="00C4084C">
        <w:t xml:space="preserve">tertiary </w:t>
      </w:r>
      <w:r w:rsidRPr="00C4084C">
        <w:t xml:space="preserve">education system over coming decades. It is not intended that this growth be evenly spread across existing providers. </w:t>
      </w:r>
      <w:r w:rsidR="00637671" w:rsidRPr="00C4084C">
        <w:t>Tertiary</w:t>
      </w:r>
      <w:r w:rsidRPr="00C4084C">
        <w:t xml:space="preserve"> education needs to be delivered in locations where it maximises the possibility of access for an increasingly diverse cohort of students, </w:t>
      </w:r>
      <w:proofErr w:type="gramStart"/>
      <w:r w:rsidRPr="00C4084C">
        <w:t>taking into account</w:t>
      </w:r>
      <w:proofErr w:type="gramEnd"/>
      <w:r w:rsidRPr="00C4084C">
        <w:t xml:space="preserve"> trends in population growth. In particular, the education needs of outer suburban areas are a pressing problem. </w:t>
      </w:r>
      <w:r w:rsidR="00DE3434" w:rsidRPr="00C4084C">
        <w:t>These</w:t>
      </w:r>
      <w:r w:rsidRPr="00C4084C">
        <w:t xml:space="preserve"> areas are experiencing the fastest rates of population growth in Australia, especially in the urban fringes of Melbourne, </w:t>
      </w:r>
      <w:proofErr w:type="gramStart"/>
      <w:r w:rsidRPr="00C4084C">
        <w:t>Sydney</w:t>
      </w:r>
      <w:proofErr w:type="gramEnd"/>
      <w:r w:rsidRPr="00C4084C">
        <w:t xml:space="preserve"> and Brisbane.</w:t>
      </w:r>
      <w:r w:rsidRPr="00C4084C">
        <w:rPr>
          <w:rStyle w:val="FootnoteReference"/>
          <w:rFonts w:eastAsia="Calibri"/>
        </w:rPr>
        <w:footnoteReference w:id="384"/>
      </w:r>
    </w:p>
    <w:p w14:paraId="51EF6CCC" w14:textId="4215CB43" w:rsidR="00A14420" w:rsidRPr="00C4084C" w:rsidRDefault="00A14420" w:rsidP="000978AC">
      <w:r w:rsidRPr="00C4084C">
        <w:t xml:space="preserve">Public universities are and will remain at the core of Australia’s higher education system. These universities are currently concentrated in metropolitan </w:t>
      </w:r>
      <w:r w:rsidR="00700BCD" w:rsidRPr="00C4084C">
        <w:t>locations and</w:t>
      </w:r>
      <w:r w:rsidRPr="00C4084C">
        <w:t xml:space="preserve"> include </w:t>
      </w:r>
      <w:proofErr w:type="gramStart"/>
      <w:r w:rsidRPr="00C4084C">
        <w:t>a number of</w:t>
      </w:r>
      <w:proofErr w:type="gramEnd"/>
      <w:r w:rsidRPr="00C4084C">
        <w:t xml:space="preserve"> very </w:t>
      </w:r>
      <w:r w:rsidR="007E69F6">
        <w:t>large</w:t>
      </w:r>
      <w:r w:rsidR="007E69F6" w:rsidRPr="00C4084C">
        <w:t xml:space="preserve"> </w:t>
      </w:r>
      <w:r w:rsidRPr="00C4084C">
        <w:t xml:space="preserve">institutions. For example, in Victoria, which has </w:t>
      </w:r>
      <w:r w:rsidR="00F06848" w:rsidRPr="00C4084C">
        <w:t xml:space="preserve">9 </w:t>
      </w:r>
      <w:r w:rsidRPr="00C4084C">
        <w:t>universities</w:t>
      </w:r>
      <w:r w:rsidR="00EA15DC" w:rsidRPr="00C4084C">
        <w:t xml:space="preserve"> (8 public and one </w:t>
      </w:r>
      <w:r w:rsidR="00E953A9">
        <w:t>not for profit</w:t>
      </w:r>
      <w:r w:rsidR="00EA15DC" w:rsidRPr="00C4084C">
        <w:t>)</w:t>
      </w:r>
      <w:r w:rsidRPr="00C4084C">
        <w:t xml:space="preserve">, </w:t>
      </w:r>
      <w:r w:rsidR="0059674D" w:rsidRPr="00C4084C">
        <w:t>50.9%</w:t>
      </w:r>
      <w:r w:rsidRPr="00C4084C">
        <w:t xml:space="preserve"> of domestic undergraduate students are enrolled at </w:t>
      </w:r>
      <w:r w:rsidR="00E953A9">
        <w:t xml:space="preserve">just </w:t>
      </w:r>
      <w:r w:rsidR="00F06848" w:rsidRPr="00C4084C">
        <w:t xml:space="preserve">3 </w:t>
      </w:r>
      <w:r w:rsidRPr="00C4084C">
        <w:t>universities.</w:t>
      </w:r>
      <w:r w:rsidRPr="00C4084C">
        <w:rPr>
          <w:rStyle w:val="FootnoteReference"/>
          <w:rFonts w:eastAsia="Calibri"/>
        </w:rPr>
        <w:footnoteReference w:id="385"/>
      </w:r>
      <w:r w:rsidRPr="00C4084C">
        <w:t xml:space="preserve"> </w:t>
      </w:r>
      <w:r w:rsidR="005602BC" w:rsidRPr="00C4084C">
        <w:t xml:space="preserve">Australia’s </w:t>
      </w:r>
      <w:r w:rsidRPr="00C4084C">
        <w:t xml:space="preserve">regionally located universities </w:t>
      </w:r>
      <w:r w:rsidR="00C0281F" w:rsidRPr="00C4084C">
        <w:t>have a well-established role providing education in smaller population centres across Australia</w:t>
      </w:r>
      <w:r w:rsidR="00D35188" w:rsidRPr="00C4084C">
        <w:t>, along with campuses operated in regional locations by metropolita</w:t>
      </w:r>
      <w:r w:rsidR="005602BC" w:rsidRPr="00C4084C">
        <w:t>n-</w:t>
      </w:r>
      <w:r w:rsidR="00D35188" w:rsidRPr="00C4084C">
        <w:t>based universities</w:t>
      </w:r>
      <w:r w:rsidRPr="00C4084C">
        <w:t xml:space="preserve">. </w:t>
      </w:r>
      <w:r w:rsidR="00D35188" w:rsidRPr="00C4084C">
        <w:t>There is, however, a need to consider models to meet the under-supply of higher education in outer suburban areas.</w:t>
      </w:r>
      <w:r w:rsidRPr="00C4084C">
        <w:t xml:space="preserve"> </w:t>
      </w:r>
    </w:p>
    <w:p w14:paraId="692DC159" w14:textId="2DBC6588" w:rsidR="00A14420" w:rsidRPr="00C4084C" w:rsidRDefault="00A14420" w:rsidP="000978AC">
      <w:r w:rsidRPr="00C4084C">
        <w:t xml:space="preserve">How to meet the future higher education needs of people living in </w:t>
      </w:r>
      <w:r w:rsidR="00DE3434" w:rsidRPr="00C4084C">
        <w:t xml:space="preserve">outer suburban </w:t>
      </w:r>
      <w:r w:rsidRPr="00C4084C">
        <w:t>areas should be the subject of deliberate planning and decision making by government, rather than ad hoc responses or assumptions the system will adjust itself without conscious intervention. Some growth will be accommodated within existing institutions, including through the delivery of digital and hybrid learning modes. A good example is Suburban University Study Hubs, which the Australian Government has committed to establishing to provide facilities and in-person support services to students in outer metropolitan areas who are studying via online modes, in response to priority actions from this Review.</w:t>
      </w:r>
    </w:p>
    <w:p w14:paraId="0AF2E5A9" w14:textId="32E7CA47" w:rsidR="000F5F20" w:rsidRPr="00C4084C" w:rsidRDefault="00A14420" w:rsidP="00285443">
      <w:r w:rsidRPr="00C4084C">
        <w:lastRenderedPageBreak/>
        <w:t>However, the establishment of one or more new public universities</w:t>
      </w:r>
      <w:r w:rsidR="005D4CD1" w:rsidRPr="00C4084C">
        <w:t xml:space="preserve">, including </w:t>
      </w:r>
      <w:r w:rsidR="007D42B2" w:rsidRPr="00C4084C">
        <w:t>discipline-specific or</w:t>
      </w:r>
      <w:r w:rsidR="005D4CD1" w:rsidRPr="00C4084C">
        <w:t xml:space="preserve"> research-intensive universities,</w:t>
      </w:r>
      <w:r w:rsidRPr="00C4084C">
        <w:t xml:space="preserve"> to meet demand in key areas should also be considered. This would be a major undertaking and a departure from the recent history of the sector</w:t>
      </w:r>
      <w:r w:rsidR="00A021D7" w:rsidRPr="00C4084C">
        <w:t xml:space="preserve"> with </w:t>
      </w:r>
      <w:r w:rsidR="00E953A9">
        <w:t>no</w:t>
      </w:r>
      <w:r w:rsidR="00A021D7" w:rsidRPr="00C4084C">
        <w:t xml:space="preserve"> new </w:t>
      </w:r>
      <w:r w:rsidR="00E953A9">
        <w:t xml:space="preserve">public </w:t>
      </w:r>
      <w:r w:rsidR="00A021D7" w:rsidRPr="00C4084C">
        <w:t>universities created over the last 20 years despite considerable student and research growth</w:t>
      </w:r>
      <w:r w:rsidRPr="00C4084C">
        <w:t xml:space="preserve">. The last public entity to be granted the status of university was the University of </w:t>
      </w:r>
      <w:r w:rsidR="00F45B95" w:rsidRPr="00C4084C">
        <w:t xml:space="preserve">the </w:t>
      </w:r>
      <w:r w:rsidRPr="00C4084C">
        <w:t>Sunshine Coast in 1994. Since the year 2000, only</w:t>
      </w:r>
      <w:r w:rsidRPr="00C4084C" w:rsidDel="00D16150">
        <w:t xml:space="preserve"> </w:t>
      </w:r>
      <w:r w:rsidR="00D16150" w:rsidRPr="00C4084C">
        <w:t>3</w:t>
      </w:r>
      <w:r w:rsidRPr="00C4084C">
        <w:t xml:space="preserve"> private institutions have been granted university status. This is despite the substantial increase in total student numbers experienced following the Bradley Review.</w:t>
      </w:r>
    </w:p>
    <w:tbl>
      <w:tblPr>
        <w:tblW w:w="0" w:type="auto"/>
        <w:shd w:val="clear" w:color="auto" w:fill="FBE4D5"/>
        <w:tblLook w:val="04A0" w:firstRow="1" w:lastRow="0" w:firstColumn="1" w:lastColumn="0" w:noHBand="0" w:noVBand="1"/>
      </w:tblPr>
      <w:tblGrid>
        <w:gridCol w:w="9026"/>
      </w:tblGrid>
      <w:tr w:rsidR="000F5F20" w:rsidRPr="00C4084C" w14:paraId="668D6661" w14:textId="77777777" w:rsidTr="00D26B82">
        <w:trPr>
          <w:cantSplit/>
        </w:trPr>
        <w:tc>
          <w:tcPr>
            <w:tcW w:w="9026" w:type="dxa"/>
            <w:shd w:val="clear" w:color="auto" w:fill="B0C3DB"/>
          </w:tcPr>
          <w:p w14:paraId="6C1B434E" w14:textId="0147C76F" w:rsidR="007526B6" w:rsidRPr="007526B6" w:rsidRDefault="0080264E" w:rsidP="003E5969">
            <w:pPr>
              <w:pStyle w:val="Findinginchapterheading"/>
            </w:pPr>
            <w:r w:rsidRPr="003E5969">
              <w:rPr>
                <w:rFonts w:ascii="Calibri" w:eastAsia="Yu Gothic Light" w:hAnsi="Calibri" w:cs="Calibri"/>
                <w:szCs w:val="24"/>
              </w:rPr>
              <w:t>Finding</w:t>
            </w:r>
            <w:r w:rsidR="007526B6">
              <w:rPr>
                <w:szCs w:val="24"/>
              </w:rPr>
              <w:t xml:space="preserve">: </w:t>
            </w:r>
            <w:r w:rsidR="000F5F20" w:rsidRPr="00C4084C">
              <w:t>Size and shape of the tertiary education sector</w:t>
            </w:r>
          </w:p>
          <w:p w14:paraId="23614B2B" w14:textId="0DAE2056" w:rsidR="000F5F20" w:rsidRPr="00C4084C" w:rsidRDefault="000F5F20" w:rsidP="003E5969">
            <w:pPr>
              <w:pStyle w:val="Boxtext0"/>
              <w:spacing w:before="0"/>
            </w:pPr>
            <w:r w:rsidRPr="00C4084C">
              <w:t xml:space="preserve">Institutions need to innovate and evolve in type, diversity, </w:t>
            </w:r>
            <w:proofErr w:type="gramStart"/>
            <w:r w:rsidRPr="00C4084C">
              <w:t>size</w:t>
            </w:r>
            <w:proofErr w:type="gramEnd"/>
            <w:r w:rsidRPr="00C4084C">
              <w:t xml:space="preserve"> and number over the coming decades to respond to the changing needs of our students and economy. Achieving this greater level of institutional innovation and diversity will require long-term planning, system-wide </w:t>
            </w:r>
            <w:proofErr w:type="gramStart"/>
            <w:r w:rsidRPr="00C4084C">
              <w:t>collaboration</w:t>
            </w:r>
            <w:proofErr w:type="gramEnd"/>
            <w:r w:rsidRPr="00C4084C">
              <w:t xml:space="preserve"> and proactive intervention by governments to reduce barriers to evolution and </w:t>
            </w:r>
            <w:r w:rsidRPr="00974B91">
              <w:t>change</w:t>
            </w:r>
            <w:r w:rsidRPr="00C4084C">
              <w:t>, and to unlock the innovation potential within the sector.</w:t>
            </w:r>
            <w:r w:rsidRPr="00C4084C">
              <w:rPr>
                <w:b/>
              </w:rPr>
              <w:t> </w:t>
            </w:r>
          </w:p>
        </w:tc>
      </w:tr>
    </w:tbl>
    <w:p w14:paraId="4FE71C18" w14:textId="6A1A1050" w:rsidR="00126EFA" w:rsidRPr="00C4084C" w:rsidRDefault="00126EFA" w:rsidP="006B482E">
      <w:pPr>
        <w:pStyle w:val="Heading6"/>
      </w:pPr>
      <w:r w:rsidRPr="00C4084C">
        <w:t>Diverse new institutions</w:t>
      </w:r>
    </w:p>
    <w:p w14:paraId="22BA497B" w14:textId="311DCA20" w:rsidR="001750CF" w:rsidRPr="00C4084C" w:rsidRDefault="00CA2EC1" w:rsidP="000978AC">
      <w:r w:rsidRPr="00C4084C">
        <w:t xml:space="preserve">In place of establishing new universities, </w:t>
      </w:r>
      <w:r w:rsidR="00BC7944" w:rsidRPr="00C4084C">
        <w:t xml:space="preserve">Australia’s </w:t>
      </w:r>
      <w:r w:rsidRPr="00C4084C">
        <w:t>existing universities have become large</w:t>
      </w:r>
      <w:r w:rsidR="00BC7944" w:rsidRPr="00C4084C">
        <w:t>r</w:t>
      </w:r>
      <w:r w:rsidR="00F54B16" w:rsidRPr="00C4084C">
        <w:t xml:space="preserve">. </w:t>
      </w:r>
      <w:r w:rsidR="00D11228" w:rsidRPr="00C4084C">
        <w:t>The forthcoming establishment of Adelaide University</w:t>
      </w:r>
      <w:r w:rsidR="004735D0" w:rsidRPr="00C4084C">
        <w:t xml:space="preserve"> </w:t>
      </w:r>
      <w:r w:rsidR="00134AA3" w:rsidRPr="00C4084C">
        <w:t xml:space="preserve">in South Australia </w:t>
      </w:r>
      <w:r w:rsidR="004735D0" w:rsidRPr="00C4084C">
        <w:t>promises a single institution with more than 70,000 students.</w:t>
      </w:r>
      <w:r w:rsidR="00D87FEB" w:rsidRPr="00C4084C">
        <w:t xml:space="preserve"> </w:t>
      </w:r>
      <w:r w:rsidR="00861C12" w:rsidRPr="00C4084C">
        <w:t xml:space="preserve">A review of Western Australia’s </w:t>
      </w:r>
      <w:r w:rsidR="00134AA3" w:rsidRPr="00C4084C">
        <w:t xml:space="preserve">public </w:t>
      </w:r>
      <w:r w:rsidR="00861C12" w:rsidRPr="00C4084C">
        <w:t xml:space="preserve">university </w:t>
      </w:r>
      <w:r w:rsidR="00134AA3" w:rsidRPr="00C4084C">
        <w:t>sector</w:t>
      </w:r>
      <w:r w:rsidR="00861C12" w:rsidRPr="00C4084C">
        <w:t xml:space="preserve"> is </w:t>
      </w:r>
      <w:r w:rsidR="00134AA3" w:rsidRPr="00C4084C">
        <w:t>currently</w:t>
      </w:r>
      <w:r w:rsidR="00861C12" w:rsidRPr="00C4084C">
        <w:t xml:space="preserve"> underway. </w:t>
      </w:r>
      <w:r w:rsidR="00D87FEB" w:rsidRPr="00C4084C">
        <w:t xml:space="preserve">The Review supports institutional restructuring where there are demonstrable benefits for students, </w:t>
      </w:r>
      <w:proofErr w:type="gramStart"/>
      <w:r w:rsidR="00D87FEB" w:rsidRPr="00C4084C">
        <w:t>staff</w:t>
      </w:r>
      <w:proofErr w:type="gramEnd"/>
      <w:r w:rsidR="00D87FEB" w:rsidRPr="00C4084C">
        <w:t xml:space="preserve"> and </w:t>
      </w:r>
      <w:r w:rsidR="00BA7425" w:rsidRPr="00C4084C">
        <w:t>the wider community</w:t>
      </w:r>
      <w:r w:rsidR="00D87FEB" w:rsidRPr="00C4084C">
        <w:t>.</w:t>
      </w:r>
    </w:p>
    <w:p w14:paraId="74EEB0F1" w14:textId="174FB05C" w:rsidR="004B4867" w:rsidRPr="00C4084C" w:rsidRDefault="00CA2EC1" w:rsidP="000978AC">
      <w:r w:rsidRPr="00C4084C">
        <w:t xml:space="preserve">There is not strong evidence </w:t>
      </w:r>
      <w:r w:rsidR="008E7103" w:rsidRPr="00C4084C">
        <w:t xml:space="preserve">about whether </w:t>
      </w:r>
      <w:r w:rsidRPr="00C4084C">
        <w:t>university size directly leads to improved student experience and outcomes</w:t>
      </w:r>
      <w:r w:rsidR="00BC7F45">
        <w:t xml:space="preserve">. However, </w:t>
      </w:r>
      <w:r w:rsidRPr="00C4084C">
        <w:t xml:space="preserve">the Review has heard that some students find large universities hard to navigate and difficult to deal with when trying to resolve problems </w:t>
      </w:r>
      <w:r w:rsidR="008E7103" w:rsidRPr="00C4084C">
        <w:t xml:space="preserve">or </w:t>
      </w:r>
      <w:r w:rsidRPr="00C4084C">
        <w:t xml:space="preserve">seek help when experiencing safety issues. The Review has formed the view that it is time to consider if new </w:t>
      </w:r>
      <w:r w:rsidR="00637671" w:rsidRPr="00C4084C">
        <w:t xml:space="preserve">and more diverse types of </w:t>
      </w:r>
      <w:r w:rsidRPr="00C4084C">
        <w:t xml:space="preserve">universities should be a focus for </w:t>
      </w:r>
      <w:r w:rsidR="00EC6CD5" w:rsidRPr="00C4084C">
        <w:t xml:space="preserve">the Australian </w:t>
      </w:r>
      <w:r w:rsidRPr="00C4084C">
        <w:t>Government.</w:t>
      </w:r>
    </w:p>
    <w:p w14:paraId="040712A1" w14:textId="46986486" w:rsidR="004B4867" w:rsidRPr="00C4084C" w:rsidRDefault="004B4867" w:rsidP="000978AC">
      <w:r w:rsidRPr="00C4084C">
        <w:t>Establishing new universit</w:t>
      </w:r>
      <w:r w:rsidR="007D42B2" w:rsidRPr="00C4084C">
        <w:t>ies</w:t>
      </w:r>
      <w:r w:rsidRPr="00C4084C">
        <w:t xml:space="preserve"> would be an opportunity to explore new provider models and greater differentiation within the sector. One model could see a new university focus on delivering high-quality learning and skills development to previously under</w:t>
      </w:r>
      <w:r w:rsidR="00BE3D7A">
        <w:t>-</w:t>
      </w:r>
      <w:r w:rsidRPr="00C4084C">
        <w:t xml:space="preserve">represented cohorts. This might include traditional physical campuses but could </w:t>
      </w:r>
      <w:r w:rsidR="007E69F6">
        <w:t>operate</w:t>
      </w:r>
      <w:r w:rsidR="007E69F6" w:rsidRPr="00C4084C">
        <w:t xml:space="preserve"> </w:t>
      </w:r>
      <w:r w:rsidRPr="00C4084C">
        <w:t xml:space="preserve">via online delivery modes with localised support hubs. </w:t>
      </w:r>
    </w:p>
    <w:p w14:paraId="65FD824D" w14:textId="668EAB7C" w:rsidR="00CA2EC1" w:rsidRPr="00C4084C" w:rsidRDefault="004B4867" w:rsidP="000978AC">
      <w:r w:rsidRPr="00C4084C">
        <w:t>A teaching focused university could also be established. This could leverage the expertise and capacity of the existing system. For example, an existing university might be provided funding to open a new campus in a population growth area, which over time might separate from its ‘parent’ institution and begin operating as a separate entity. Alternatively, TAFEs could be assisted to gradually broaden the levels and fields of higher education qualifications they offer and become a new model for dual</w:t>
      </w:r>
      <w:r w:rsidR="007B6566" w:rsidRPr="00C4084C">
        <w:t>-</w:t>
      </w:r>
      <w:r w:rsidRPr="00C4084C">
        <w:t>sector</w:t>
      </w:r>
      <w:r w:rsidR="007E69F6">
        <w:t>,</w:t>
      </w:r>
      <w:r w:rsidRPr="00C4084C">
        <w:t xml:space="preserve"> teaching-only delivery. This might be achieved through a partnership arrangement with an existing university.</w:t>
      </w:r>
      <w:r w:rsidR="00C97BB5" w:rsidRPr="00C4084C">
        <w:t xml:space="preserve"> Specific arrangements guarantee</w:t>
      </w:r>
      <w:r w:rsidR="00BC7F45">
        <w:t>ing</w:t>
      </w:r>
      <w:r w:rsidR="00C97BB5" w:rsidRPr="00C4084C">
        <w:t xml:space="preserve"> funding over </w:t>
      </w:r>
      <w:proofErr w:type="gramStart"/>
      <w:r w:rsidR="00C97BB5" w:rsidRPr="00C4084C">
        <w:t>a number of</w:t>
      </w:r>
      <w:proofErr w:type="gramEnd"/>
      <w:r w:rsidR="00C97BB5" w:rsidRPr="00C4084C">
        <w:t xml:space="preserve"> years would be required for a</w:t>
      </w:r>
      <w:r w:rsidR="00BC7F45">
        <w:t>ny</w:t>
      </w:r>
      <w:r w:rsidR="00C97BB5" w:rsidRPr="00C4084C">
        <w:t xml:space="preserve"> </w:t>
      </w:r>
      <w:r w:rsidR="00BC7F45">
        <w:t>new</w:t>
      </w:r>
      <w:r w:rsidR="00C97BB5" w:rsidRPr="00C4084C">
        <w:t xml:space="preserve"> teaching</w:t>
      </w:r>
      <w:r w:rsidR="00BC7F45">
        <w:t>-</w:t>
      </w:r>
      <w:r w:rsidR="00C97BB5" w:rsidRPr="00C4084C">
        <w:t>focused university to establish its viability.</w:t>
      </w:r>
    </w:p>
    <w:p w14:paraId="67B04B0A" w14:textId="34B0743C" w:rsidR="00DA00FD" w:rsidRPr="00C4084C" w:rsidRDefault="00DB664A" w:rsidP="000978AC">
      <w:r w:rsidRPr="00C4084C">
        <w:t>Another</w:t>
      </w:r>
      <w:r w:rsidR="00126EFA" w:rsidRPr="00C4084C">
        <w:t xml:space="preserve"> new university could be created to become a research-intensive university that undertakes world leading knowledge-creation across a broad field of disciplines, adding a new institution </w:t>
      </w:r>
      <w:r w:rsidR="00E874D6" w:rsidRPr="00C4084C">
        <w:t xml:space="preserve">among </w:t>
      </w:r>
      <w:r w:rsidR="00126EFA" w:rsidRPr="00C4084C">
        <w:t>the Group of Eight</w:t>
      </w:r>
      <w:r w:rsidR="007039E0">
        <w:t xml:space="preserve"> (Go8)</w:t>
      </w:r>
      <w:r w:rsidR="00126EFA" w:rsidRPr="00C4084C">
        <w:t xml:space="preserve">. This would require appropriate start-up funding to establish facilities and attract staff. This institution could </w:t>
      </w:r>
      <w:proofErr w:type="gramStart"/>
      <w:r w:rsidR="00126EFA" w:rsidRPr="00C4084C">
        <w:t>be located in</w:t>
      </w:r>
      <w:proofErr w:type="gramEnd"/>
      <w:r w:rsidR="00126EFA" w:rsidRPr="00C4084C">
        <w:t xml:space="preserve"> any state or territory, and the Review has discussed the merits of having more institutions with their main campus in outer metropolitan areas.</w:t>
      </w:r>
    </w:p>
    <w:p w14:paraId="702D96D6" w14:textId="0B401783" w:rsidR="00126EFA" w:rsidRPr="00C4084C" w:rsidRDefault="00DA00FD" w:rsidP="000978AC">
      <w:r w:rsidRPr="00C4084C">
        <w:lastRenderedPageBreak/>
        <w:t>In addition to considering new models of a university, the system would also benefit from fostering the creation of institutions that are highly</w:t>
      </w:r>
      <w:r w:rsidR="00A83429">
        <w:t xml:space="preserve"> </w:t>
      </w:r>
      <w:r w:rsidRPr="00C4084C">
        <w:t xml:space="preserve">specialised and can deliver both teaching and research </w:t>
      </w:r>
      <w:r w:rsidR="006C6C2A" w:rsidRPr="00C4084C">
        <w:t>in</w:t>
      </w:r>
      <w:r w:rsidRPr="00C4084C">
        <w:t xml:space="preserve"> discrete disciplines. International examples of how this model could work include </w:t>
      </w:r>
      <w:r w:rsidR="007D42B2" w:rsidRPr="00C4084C">
        <w:t>the California Institute of Technology</w:t>
      </w:r>
      <w:r w:rsidRPr="00C4084C">
        <w:t xml:space="preserve"> which has a closely integrated research and teaching model that delivers high</w:t>
      </w:r>
      <w:r w:rsidR="006A5783" w:rsidRPr="00C4084C">
        <w:t>-</w:t>
      </w:r>
      <w:r w:rsidRPr="00C4084C">
        <w:t xml:space="preserve">quality outputs in </w:t>
      </w:r>
      <w:r w:rsidR="00A83429">
        <w:t>s</w:t>
      </w:r>
      <w:r w:rsidR="00A83429" w:rsidRPr="00C4084C">
        <w:t xml:space="preserve">cience </w:t>
      </w:r>
      <w:r w:rsidR="007D42B2" w:rsidRPr="00C4084C">
        <w:t xml:space="preserve">and </w:t>
      </w:r>
      <w:r w:rsidR="00A83429">
        <w:t>e</w:t>
      </w:r>
      <w:r w:rsidR="00A83429" w:rsidRPr="00C4084C">
        <w:t>ngineering</w:t>
      </w:r>
      <w:r w:rsidRPr="00C4084C">
        <w:t>.</w:t>
      </w:r>
      <w:r w:rsidRPr="00C4084C">
        <w:rPr>
          <w:rStyle w:val="FootnoteReference"/>
        </w:rPr>
        <w:footnoteReference w:id="386"/>
      </w:r>
    </w:p>
    <w:p w14:paraId="7C69A481" w14:textId="34D2A607" w:rsidR="00292CE4" w:rsidRPr="00C4084C" w:rsidRDefault="00292CE4" w:rsidP="000978AC">
      <w:r w:rsidRPr="00C4084C">
        <w:t xml:space="preserve">The creation of a new university could occur under a model of support or sponsorship provided by already established universities. This nurturing system </w:t>
      </w:r>
      <w:r w:rsidR="005508F8" w:rsidRPr="00C4084C">
        <w:t>could assist with</w:t>
      </w:r>
      <w:r w:rsidRPr="00C4084C">
        <w:t xml:space="preserve"> a smooth transition to meet the intentionally high requirements </w:t>
      </w:r>
      <w:r w:rsidR="00A83429">
        <w:t>for</w:t>
      </w:r>
      <w:r w:rsidR="00A83429" w:rsidRPr="00C4084C">
        <w:t xml:space="preserve"> </w:t>
      </w:r>
      <w:r w:rsidRPr="00C4084C">
        <w:t>becoming a university.</w:t>
      </w:r>
    </w:p>
    <w:p w14:paraId="25264579" w14:textId="338890DA" w:rsidR="0081416E" w:rsidRPr="00C4084C" w:rsidRDefault="00126EFA" w:rsidP="003E5969">
      <w:r w:rsidRPr="00C4084C">
        <w:t xml:space="preserve">Establishing new institutions may take some creative thinking. Investment and seed funding would be required, and regulation and legislation </w:t>
      </w:r>
      <w:r w:rsidR="00386547" w:rsidRPr="00C4084C">
        <w:t xml:space="preserve">that act as roadblocks to specialisation </w:t>
      </w:r>
      <w:r w:rsidRPr="00C4084C">
        <w:t>would need to be adapted (for example the Provider Category Standards</w:t>
      </w:r>
      <w:r w:rsidR="00075238" w:rsidRPr="00C4084C">
        <w:t xml:space="preserve"> (PCS)</w:t>
      </w:r>
      <w:r w:rsidRPr="00C4084C">
        <w:t xml:space="preserve">, which require universities to undertake substantial research activities, would need to be modified to allow for universities which are teaching only). </w:t>
      </w:r>
      <w:r w:rsidR="00E953A9">
        <w:t xml:space="preserve">Managed Growth Targets may need to be adjusted to provide ‘headroom’ for the new institution to grow. </w:t>
      </w:r>
      <w:r w:rsidRPr="00C4084C">
        <w:t xml:space="preserve">The </w:t>
      </w:r>
      <w:r w:rsidR="00362122" w:rsidRPr="00C4084C">
        <w:t>Commission</w:t>
      </w:r>
      <w:r w:rsidRPr="00C4084C">
        <w:t xml:space="preserve"> would </w:t>
      </w:r>
      <w:r w:rsidR="00075238" w:rsidRPr="00C4084C">
        <w:t>need</w:t>
      </w:r>
      <w:r w:rsidRPr="00C4084C">
        <w:t xml:space="preserve"> to work with </w:t>
      </w:r>
      <w:proofErr w:type="gramStart"/>
      <w:r w:rsidRPr="00C4084C">
        <w:t>governments</w:t>
      </w:r>
      <w:proofErr w:type="gramEnd"/>
      <w:r w:rsidRPr="00C4084C">
        <w:t xml:space="preserve"> </w:t>
      </w:r>
      <w:r w:rsidR="009208DF" w:rsidRPr="00C4084C">
        <w:t xml:space="preserve">so </w:t>
      </w:r>
      <w:r w:rsidR="00075238" w:rsidRPr="00C4084C">
        <w:t xml:space="preserve">any changes </w:t>
      </w:r>
      <w:r w:rsidR="00637671" w:rsidRPr="00C4084C">
        <w:t xml:space="preserve">are </w:t>
      </w:r>
      <w:r w:rsidRPr="00C4084C">
        <w:t xml:space="preserve">in the national interest. </w:t>
      </w:r>
      <w:bookmarkStart w:id="1168" w:name="_Toc149235160"/>
      <w:bookmarkStart w:id="1169" w:name="_Toc149249907"/>
      <w:bookmarkStart w:id="1170" w:name="_Toc149291827"/>
      <w:bookmarkStart w:id="1171" w:name="_Toc149292467"/>
      <w:bookmarkStart w:id="1172" w:name="_Toc149292569"/>
      <w:bookmarkStart w:id="1173" w:name="_Toc208735965"/>
      <w:bookmarkStart w:id="1174" w:name="_Toc799805366"/>
      <w:bookmarkEnd w:id="1168"/>
      <w:bookmarkEnd w:id="1169"/>
      <w:bookmarkEnd w:id="1170"/>
      <w:bookmarkEnd w:id="1171"/>
      <w:bookmarkEnd w:id="1172"/>
    </w:p>
    <w:tbl>
      <w:tblPr>
        <w:tblW w:w="0" w:type="auto"/>
        <w:tblLook w:val="04A0" w:firstRow="1" w:lastRow="0" w:firstColumn="1" w:lastColumn="0" w:noHBand="0" w:noVBand="1"/>
      </w:tblPr>
      <w:tblGrid>
        <w:gridCol w:w="9016"/>
      </w:tblGrid>
      <w:tr w:rsidR="00793ED2" w:rsidRPr="00C4084C" w14:paraId="22532D6C" w14:textId="77777777" w:rsidTr="00D26B82">
        <w:tc>
          <w:tcPr>
            <w:tcW w:w="9016" w:type="dxa"/>
            <w:tcBorders>
              <w:top w:val="nil"/>
              <w:left w:val="nil"/>
              <w:bottom w:val="nil"/>
              <w:right w:val="nil"/>
            </w:tcBorders>
            <w:shd w:val="clear" w:color="auto" w:fill="FEECDF"/>
          </w:tcPr>
          <w:p w14:paraId="79C549CE" w14:textId="36CC5646" w:rsidR="009F0DBD" w:rsidRDefault="009F0DBD" w:rsidP="003E5969">
            <w:pPr>
              <w:pStyle w:val="Recheadinginbox"/>
            </w:pPr>
            <w:r>
              <w:t xml:space="preserve">Recommendation: </w:t>
            </w:r>
            <w:r w:rsidRPr="00C4084C">
              <w:rPr>
                <w:rStyle w:val="normaltextrun"/>
              </w:rPr>
              <w:t>Planning the tertiary education system of the future</w:t>
            </w:r>
            <w:r w:rsidRPr="00C4084C">
              <w:rPr>
                <w:rStyle w:val="eop"/>
              </w:rPr>
              <w:t> </w:t>
            </w:r>
          </w:p>
          <w:p w14:paraId="30D5FB3F" w14:textId="66EBA928" w:rsidR="00793ED2" w:rsidRPr="00C4084C" w:rsidRDefault="00793ED2" w:rsidP="003E5969">
            <w:pPr>
              <w:pStyle w:val="Recsin-chapterL1"/>
              <w:framePr w:wrap="notBeside"/>
              <w:spacing w:before="0" w:after="0"/>
            </w:pPr>
            <w:r w:rsidRPr="00C4084C">
              <w:t xml:space="preserve">That in its role as the steward, the Australian Tertiary Education Commission address the appropriate diversity of tertiary education providers of varying size, shape, </w:t>
            </w:r>
            <w:proofErr w:type="gramStart"/>
            <w:r w:rsidRPr="00C4084C">
              <w:t>purpose</w:t>
            </w:r>
            <w:proofErr w:type="gramEnd"/>
            <w:r w:rsidRPr="00C4084C">
              <w:t xml:space="preserve"> and location to meet national and place-based needs, including by:</w:t>
            </w:r>
          </w:p>
          <w:p w14:paraId="1C146306" w14:textId="77777777" w:rsidR="00793ED2" w:rsidRPr="00C4084C" w:rsidRDefault="00793ED2" w:rsidP="003E5969">
            <w:pPr>
              <w:pStyle w:val="Recsin-chapterL2"/>
              <w:spacing w:before="0" w:beforeAutospacing="0"/>
            </w:pPr>
            <w:r w:rsidRPr="00C4084C">
              <w:t xml:space="preserve">exploring the case for the establishment of new public universities in under-serviced areas, including research intensive institutions. All governments should work together closely to ensure alignment of planning priorities and </w:t>
            </w:r>
            <w:proofErr w:type="gramStart"/>
            <w:r w:rsidRPr="00C4084C">
              <w:t>resourcing</w:t>
            </w:r>
            <w:proofErr w:type="gramEnd"/>
          </w:p>
          <w:p w14:paraId="5527AD6D" w14:textId="77777777" w:rsidR="00793ED2" w:rsidRPr="00C4084C" w:rsidRDefault="00793ED2" w:rsidP="003E5969">
            <w:pPr>
              <w:pStyle w:val="Recsin-chapterL2"/>
            </w:pPr>
            <w:r w:rsidRPr="00C4084C">
              <w:t xml:space="preserve">facilitating the emergence of tertiary education providers which specialise to a greater or lesser extent in teaching or </w:t>
            </w:r>
            <w:proofErr w:type="gramStart"/>
            <w:r w:rsidRPr="00C4084C">
              <w:t>research</w:t>
            </w:r>
            <w:proofErr w:type="gramEnd"/>
          </w:p>
          <w:p w14:paraId="6E351D0A" w14:textId="77777777" w:rsidR="00793ED2" w:rsidRPr="00C4084C" w:rsidRDefault="00793ED2" w:rsidP="003E5969">
            <w:pPr>
              <w:pStyle w:val="Recsin-chapterL2"/>
            </w:pPr>
            <w:r w:rsidRPr="00C4084C">
              <w:t xml:space="preserve">facilitating the evolution of tertiary education providers to become nimble in responding to skills needs, diverse in nature and offerings, and aiming for excellence in specialised </w:t>
            </w:r>
            <w:proofErr w:type="gramStart"/>
            <w:r w:rsidRPr="00C4084C">
              <w:t>areas</w:t>
            </w:r>
            <w:proofErr w:type="gramEnd"/>
          </w:p>
          <w:p w14:paraId="06A7FECC" w14:textId="77777777" w:rsidR="00793ED2" w:rsidRPr="00C4084C" w:rsidRDefault="00793ED2" w:rsidP="003E5969">
            <w:pPr>
              <w:pStyle w:val="Recsin-chapterL2"/>
            </w:pPr>
            <w:r w:rsidRPr="00C4084C">
              <w:t xml:space="preserve">encouraging and incentivising new models of delivery and collaboration to increase tertiary education and research provision, particularly in regional and under-serviced areas, and </w:t>
            </w:r>
            <w:proofErr w:type="gramStart"/>
            <w:r w:rsidRPr="00C4084C">
              <w:t>internationally</w:t>
            </w:r>
            <w:proofErr w:type="gramEnd"/>
          </w:p>
          <w:p w14:paraId="75E69CD1" w14:textId="77777777" w:rsidR="00793ED2" w:rsidRPr="00C4084C" w:rsidRDefault="00793ED2" w:rsidP="003E5969">
            <w:pPr>
              <w:pStyle w:val="Recsin-chapterL2"/>
            </w:pPr>
            <w:r w:rsidRPr="00C4084C">
              <w:t xml:space="preserve">encouraging more cross-provision of VET by higher education providers, and vice versa, such that dual sector provision becomes </w:t>
            </w:r>
            <w:proofErr w:type="gramStart"/>
            <w:r w:rsidRPr="00C4084C">
              <w:t>commonplace</w:t>
            </w:r>
            <w:proofErr w:type="gramEnd"/>
          </w:p>
          <w:p w14:paraId="2B1AED6C" w14:textId="77777777" w:rsidR="00793ED2" w:rsidRPr="00C4084C" w:rsidRDefault="00793ED2" w:rsidP="003E5969">
            <w:pPr>
              <w:pStyle w:val="Recsin-chapterL2"/>
            </w:pPr>
            <w:r w:rsidRPr="00C4084C">
              <w:t>considering revisions to the Provider Category Standards to:</w:t>
            </w:r>
          </w:p>
          <w:p w14:paraId="43130680" w14:textId="77777777" w:rsidR="00793ED2" w:rsidRPr="00C4084C" w:rsidRDefault="00793ED2" w:rsidP="003E5969">
            <w:pPr>
              <w:pStyle w:val="Recsin-chapterL3"/>
            </w:pPr>
            <w:r w:rsidRPr="00C4084C">
              <w:t xml:space="preserve">reinforce the importance of scholarship and engagement in all </w:t>
            </w:r>
            <w:proofErr w:type="gramStart"/>
            <w:r w:rsidRPr="00C4084C">
              <w:t>universities</w:t>
            </w:r>
            <w:proofErr w:type="gramEnd"/>
          </w:p>
          <w:p w14:paraId="4BED342A" w14:textId="77777777" w:rsidR="00793ED2" w:rsidRPr="00C4084C" w:rsidRDefault="00793ED2" w:rsidP="003E5969">
            <w:pPr>
              <w:pStyle w:val="Recsin-chapterL3"/>
            </w:pPr>
            <w:r w:rsidRPr="00C4084C">
              <w:t>consider relaxing the current requirement to meet benchmark levels of research in at least 3 broad Fields of Education</w:t>
            </w:r>
          </w:p>
          <w:p w14:paraId="65F71D07" w14:textId="77777777" w:rsidR="00793ED2" w:rsidRPr="00C4084C" w:rsidRDefault="00793ED2" w:rsidP="003E5969">
            <w:pPr>
              <w:pStyle w:val="Recsin-chapterL3"/>
            </w:pPr>
            <w:r w:rsidRPr="00C4084C">
              <w:t xml:space="preserve">facilitate entry for high quality applicants for university status, for example from overseas </w:t>
            </w:r>
            <w:proofErr w:type="gramStart"/>
            <w:r w:rsidRPr="00C4084C">
              <w:t>institutions</w:t>
            </w:r>
            <w:proofErr w:type="gramEnd"/>
          </w:p>
          <w:p w14:paraId="5421735A" w14:textId="10381F2E" w:rsidR="00793ED2" w:rsidRPr="00C4084C" w:rsidDel="00882244" w:rsidRDefault="00793ED2" w:rsidP="003E5969">
            <w:pPr>
              <w:pStyle w:val="Recsin-chapterL2"/>
            </w:pPr>
            <w:r w:rsidRPr="00C4084C">
              <w:t>building alignment such that policy changes in relation to VET, and in relation to higher education, produce outcomes which enable both the higher education and vocational education and training sectors to thrive in the pursuit of growth in skills and avoid any unintended consequences that put those outcomes at risk.</w:t>
            </w:r>
          </w:p>
        </w:tc>
      </w:tr>
      <w:bookmarkEnd w:id="1173"/>
      <w:bookmarkEnd w:id="1174"/>
    </w:tbl>
    <w:p w14:paraId="070FB6E5" w14:textId="77777777" w:rsidR="00A3427D" w:rsidRPr="00C4084C" w:rsidRDefault="00A3427D" w:rsidP="000978AC">
      <w:pPr>
        <w:spacing w:after="0"/>
      </w:pPr>
    </w:p>
    <w:tbl>
      <w:tblPr>
        <w:tblW w:w="0" w:type="auto"/>
        <w:shd w:val="clear" w:color="auto" w:fill="FBE4D5"/>
        <w:tblLook w:val="04A0" w:firstRow="1" w:lastRow="0" w:firstColumn="1" w:lastColumn="0" w:noHBand="0" w:noVBand="1"/>
      </w:tblPr>
      <w:tblGrid>
        <w:gridCol w:w="9026"/>
      </w:tblGrid>
      <w:tr w:rsidR="002225EC" w:rsidRPr="00C4084C" w14:paraId="36E03063" w14:textId="77777777" w:rsidTr="00D26B82">
        <w:tc>
          <w:tcPr>
            <w:tcW w:w="9026" w:type="dxa"/>
            <w:shd w:val="clear" w:color="auto" w:fill="FEECDF"/>
          </w:tcPr>
          <w:p w14:paraId="4CD15A28" w14:textId="77777777" w:rsidR="002225EC" w:rsidRPr="00C4084C" w:rsidRDefault="002225EC" w:rsidP="003E5969">
            <w:pPr>
              <w:pStyle w:val="Recsin-chapterL1"/>
              <w:framePr w:wrap="notBeside"/>
              <w:spacing w:after="0"/>
            </w:pPr>
            <w:r w:rsidRPr="00C4084C">
              <w:lastRenderedPageBreak/>
              <w:t>That to achieve better alignment between higher education and vocational education and training and to allow TAFEs to be more responsive to student and industry needs, the Australian Government:</w:t>
            </w:r>
          </w:p>
          <w:p w14:paraId="167C8BCC" w14:textId="77777777" w:rsidR="002225EC" w:rsidRPr="00C4084C" w:rsidRDefault="002225EC" w:rsidP="003E5969">
            <w:pPr>
              <w:pStyle w:val="Recsin-chapterL2"/>
            </w:pPr>
            <w:r w:rsidRPr="00C4084C">
              <w:t xml:space="preserve">encourage and assist TAFEs to become self-accrediting organisations in higher </w:t>
            </w:r>
            <w:proofErr w:type="gramStart"/>
            <w:r w:rsidRPr="00C4084C">
              <w:t>education</w:t>
            </w:r>
            <w:proofErr w:type="gramEnd"/>
            <w:r w:rsidRPr="00C4084C">
              <w:t xml:space="preserve"> </w:t>
            </w:r>
          </w:p>
          <w:p w14:paraId="430BCDBA" w14:textId="77777777" w:rsidR="002225EC" w:rsidRPr="00C4084C" w:rsidDel="00882244" w:rsidRDefault="002225EC" w:rsidP="003E5969">
            <w:pPr>
              <w:pStyle w:val="Recsin-chapterL2"/>
              <w:spacing w:before="0" w:beforeAutospacing="0"/>
            </w:pPr>
            <w:r w:rsidRPr="00C4084C">
              <w:t xml:space="preserve">explore pathways for selected TAFEs to become self-accrediting in VET at the Australian Qualification Framework (AQF) Level 5 and above in areas of national priority, starting with areas such as net zero emissions, </w:t>
            </w:r>
            <w:proofErr w:type="gramStart"/>
            <w:r w:rsidRPr="00C4084C">
              <w:t>care</w:t>
            </w:r>
            <w:proofErr w:type="gramEnd"/>
            <w:r w:rsidRPr="00C4084C">
              <w:t xml:space="preserve"> and digitisation.</w:t>
            </w:r>
          </w:p>
        </w:tc>
      </w:tr>
    </w:tbl>
    <w:p w14:paraId="4DDFDFBE" w14:textId="2134F109" w:rsidR="00443F49" w:rsidRPr="00C4084C" w:rsidRDefault="00731E5A" w:rsidP="00570A6C">
      <w:pPr>
        <w:pStyle w:val="Heading3"/>
      </w:pPr>
      <w:bookmarkStart w:id="1175" w:name="_Toc159501001"/>
      <w:r w:rsidRPr="00C4084C">
        <w:t xml:space="preserve">A pathway to improving system governance and regulatory </w:t>
      </w:r>
      <w:proofErr w:type="gramStart"/>
      <w:r w:rsidRPr="00C4084C">
        <w:t>arrangements</w:t>
      </w:r>
      <w:bookmarkEnd w:id="1175"/>
      <w:proofErr w:type="gramEnd"/>
    </w:p>
    <w:p w14:paraId="4BDC6FA4" w14:textId="77777777" w:rsidR="00AB0AB2" w:rsidRDefault="07E70531" w:rsidP="00854AC1">
      <w:pPr>
        <w:spacing w:before="120" w:after="120"/>
        <w:rPr>
          <w:rFonts w:ascii="Calibri" w:eastAsia="Calibri" w:hAnsi="Calibri" w:cs="Calibri"/>
        </w:rPr>
        <w:sectPr w:rsidR="00AB0AB2" w:rsidSect="00134415">
          <w:headerReference w:type="even" r:id="rId140"/>
          <w:headerReference w:type="first" r:id="rId141"/>
          <w:pgSz w:w="11906" w:h="16838" w:code="9"/>
          <w:pgMar w:top="1225" w:right="1440" w:bottom="1440" w:left="1440" w:header="709" w:footer="709" w:gutter="0"/>
          <w:cols w:space="708"/>
          <w:titlePg/>
          <w:docGrid w:linePitch="360"/>
        </w:sectPr>
      </w:pPr>
      <w:r w:rsidRPr="00C4084C">
        <w:rPr>
          <w:rFonts w:ascii="Calibri" w:eastAsia="Calibri" w:hAnsi="Calibri" w:cs="Calibri"/>
        </w:rPr>
        <w:t xml:space="preserve">The transformation of the tertiary education system that this Review envisages cannot occur without major improvements to current system governance and regulatory arrangements. The Australian Tertiary Education Commission proposed in this chapter is a centrepiece of this vision. Its purpose is to provide greater coordination across the diverse tertiary education system, to promote long-term strategic thinking, and to guide the system to 2050. Under the </w:t>
      </w:r>
      <w:r w:rsidR="00CD27BC">
        <w:rPr>
          <w:rFonts w:ascii="Calibri" w:eastAsia="Calibri" w:hAnsi="Calibri" w:cs="Calibri"/>
        </w:rPr>
        <w:t>C</w:t>
      </w:r>
      <w:r w:rsidRPr="00C4084C">
        <w:rPr>
          <w:rFonts w:ascii="Calibri" w:eastAsia="Calibri" w:hAnsi="Calibri" w:cs="Calibri"/>
        </w:rPr>
        <w:t>ommission’s stewardship, the system will, in time, accommodate a variety of institutions of different types and with different missions, foster diversity and student choice and access, and build workforce capability to better deliver quality learning.</w:t>
      </w:r>
    </w:p>
    <w:p w14:paraId="54D39B43" w14:textId="66960352" w:rsidR="00E06C8E" w:rsidRPr="00C4084C" w:rsidRDefault="00F74647" w:rsidP="00AB0AB2">
      <w:pPr>
        <w:pStyle w:val="Heading2"/>
      </w:pPr>
      <w:bookmarkStart w:id="1176" w:name="_Toc152274249"/>
      <w:bookmarkStart w:id="1177" w:name="_Toc152274384"/>
      <w:bookmarkStart w:id="1178" w:name="_Ref151935289"/>
      <w:bookmarkStart w:id="1179" w:name="_Toc159501002"/>
      <w:bookmarkEnd w:id="1176"/>
      <w:bookmarkEnd w:id="1177"/>
      <w:r w:rsidRPr="00C4084C">
        <w:lastRenderedPageBreak/>
        <w:t>Serving</w:t>
      </w:r>
      <w:r w:rsidR="00C54686" w:rsidRPr="00C4084C">
        <w:t xml:space="preserve"> </w:t>
      </w:r>
      <w:r w:rsidR="00267E76" w:rsidRPr="00C4084C">
        <w:t>the regions</w:t>
      </w:r>
      <w:r w:rsidRPr="00C4084C">
        <w:t xml:space="preserve"> through tertiary education</w:t>
      </w:r>
      <w:bookmarkEnd w:id="1178"/>
      <w:bookmarkEnd w:id="1179"/>
      <w:r w:rsidR="00860237" w:rsidRPr="00C4084C">
        <w:t xml:space="preserve"> </w:t>
      </w:r>
    </w:p>
    <w:p w14:paraId="26757CD3" w14:textId="6DC01C25" w:rsidR="00830715" w:rsidRPr="00C4084C" w:rsidRDefault="00AC3F40" w:rsidP="00745009">
      <w:pPr>
        <w:pStyle w:val="Heading3"/>
      </w:pPr>
      <w:bookmarkStart w:id="1180" w:name="_Toc159501003"/>
      <w:r w:rsidRPr="00C4084C">
        <w:t>Benefits of regional tertiary education</w:t>
      </w:r>
      <w:bookmarkEnd w:id="1180"/>
    </w:p>
    <w:p w14:paraId="75BA14F9" w14:textId="3AF7C6EB" w:rsidR="002E26DD" w:rsidRPr="00C4084C" w:rsidRDefault="002E26DD" w:rsidP="002E26DD">
      <w:r w:rsidRPr="00C4084C">
        <w:t xml:space="preserve">Delivering a more equitable and responsive system capable of meeting our nation’s skills needs requires a concerted effort to strengthen </w:t>
      </w:r>
      <w:r w:rsidR="008E0F24" w:rsidRPr="00C4084C">
        <w:t>ter</w:t>
      </w:r>
      <w:r w:rsidR="00601940" w:rsidRPr="00C4084C">
        <w:t>tiary</w:t>
      </w:r>
      <w:r w:rsidR="008E0F24" w:rsidRPr="00C4084C">
        <w:t xml:space="preserve"> </w:t>
      </w:r>
      <w:r w:rsidRPr="00C4084C">
        <w:t>education in regional</w:t>
      </w:r>
      <w:r w:rsidR="00E65500" w:rsidRPr="00C4084C">
        <w:t xml:space="preserve">, </w:t>
      </w:r>
      <w:proofErr w:type="gramStart"/>
      <w:r w:rsidR="00E65500" w:rsidRPr="00C4084C">
        <w:t>rural</w:t>
      </w:r>
      <w:proofErr w:type="gramEnd"/>
      <w:r w:rsidRPr="00C4084C">
        <w:t xml:space="preserve"> and remote Australia. This is because the benefits of </w:t>
      </w:r>
      <w:r w:rsidR="00601940" w:rsidRPr="00C4084C">
        <w:t xml:space="preserve">tertiary </w:t>
      </w:r>
      <w:r w:rsidRPr="00C4084C">
        <w:t>education are profoundly and directly relevant to Australia’s regions. There are many reasons for this:</w:t>
      </w:r>
    </w:p>
    <w:p w14:paraId="029A78B9" w14:textId="2DAA0EEA" w:rsidR="00830715" w:rsidRPr="00C4084C" w:rsidRDefault="00F34FDF" w:rsidP="00F92671">
      <w:pPr>
        <w:pStyle w:val="ListBullet"/>
      </w:pPr>
      <w:r w:rsidRPr="00C4084C">
        <w:t>the</w:t>
      </w:r>
      <w:r w:rsidR="00830715" w:rsidRPr="00C4084C">
        <w:t xml:space="preserve"> qualifications offered by regional </w:t>
      </w:r>
      <w:r w:rsidR="00601940" w:rsidRPr="00C4084C">
        <w:t xml:space="preserve">tertiary </w:t>
      </w:r>
      <w:r w:rsidR="00830715" w:rsidRPr="00C4084C">
        <w:t xml:space="preserve">education institutions create much-needed career opportunities and social mobility for many Australians, enabling the retention of necessary services, and boosting the productivity of the local </w:t>
      </w:r>
      <w:proofErr w:type="gramStart"/>
      <w:r w:rsidR="00830715" w:rsidRPr="00C4084C">
        <w:t>workforce</w:t>
      </w:r>
      <w:proofErr w:type="gramEnd"/>
    </w:p>
    <w:p w14:paraId="440405B8" w14:textId="13ECA20E" w:rsidR="55083A04" w:rsidRPr="00C4084C" w:rsidRDefault="55083A04" w:rsidP="00F92671">
      <w:pPr>
        <w:pStyle w:val="ListBullet"/>
      </w:pPr>
      <w:r w:rsidRPr="00C4084C">
        <w:t xml:space="preserve">regional </w:t>
      </w:r>
      <w:r w:rsidR="00601940" w:rsidRPr="00C4084C">
        <w:t>tertiary</w:t>
      </w:r>
      <w:r w:rsidRPr="00C4084C">
        <w:t xml:space="preserve"> education institutions play an important role in improving </w:t>
      </w:r>
      <w:r w:rsidR="00601940" w:rsidRPr="00C4084C">
        <w:t>tertiary</w:t>
      </w:r>
      <w:r w:rsidRPr="00C4084C">
        <w:t xml:space="preserve"> education participation and success for First Nations people. In addition, many regional universities undertake research </w:t>
      </w:r>
      <w:r w:rsidR="00366C3B" w:rsidRPr="00C4084C">
        <w:t>that</w:t>
      </w:r>
      <w:r w:rsidRPr="00C4084C">
        <w:t xml:space="preserve"> responds to community needs and respects community knowledge and cultural practices, consistent with Closing the Gap</w:t>
      </w:r>
    </w:p>
    <w:p w14:paraId="7B160175" w14:textId="0DAE0909" w:rsidR="00830715" w:rsidRPr="00C4084C" w:rsidRDefault="00830715" w:rsidP="00F92671">
      <w:pPr>
        <w:pStyle w:val="ListBullet"/>
      </w:pPr>
      <w:r w:rsidRPr="00C4084C">
        <w:t xml:space="preserve">research by regional </w:t>
      </w:r>
      <w:r w:rsidR="00E65500" w:rsidRPr="00C4084C">
        <w:t>universities</w:t>
      </w:r>
      <w:r w:rsidRPr="00C4084C">
        <w:t xml:space="preserve"> is often targeted and locally relevant, contributing to regional innovation and environmental sustainability, </w:t>
      </w:r>
      <w:r w:rsidR="0EC2337C" w:rsidRPr="00C4084C">
        <w:t>and</w:t>
      </w:r>
      <w:r w:rsidRPr="00C4084C">
        <w:t xml:space="preserve"> it can also have broader national and global </w:t>
      </w:r>
      <w:proofErr w:type="gramStart"/>
      <w:r w:rsidRPr="00C4084C">
        <w:t>impact</w:t>
      </w:r>
      <w:proofErr w:type="gramEnd"/>
    </w:p>
    <w:p w14:paraId="1642E4D0" w14:textId="1B4427AF" w:rsidR="00830715" w:rsidRPr="00C4084C" w:rsidRDefault="00F34FDF" w:rsidP="00F92671">
      <w:pPr>
        <w:pStyle w:val="ListBullet"/>
      </w:pPr>
      <w:r w:rsidRPr="00C4084C">
        <w:t xml:space="preserve">regional </w:t>
      </w:r>
      <w:r w:rsidR="002A68FD" w:rsidRPr="00C4084C">
        <w:t xml:space="preserve">tertiary </w:t>
      </w:r>
      <w:r w:rsidR="00830715" w:rsidRPr="00C4084C">
        <w:t>education institutions are vital to regional development</w:t>
      </w:r>
      <w:r w:rsidR="00267E76" w:rsidRPr="00C4084C">
        <w:t>,</w:t>
      </w:r>
      <w:r w:rsidR="00830715" w:rsidRPr="00C4084C">
        <w:t xml:space="preserve"> </w:t>
      </w:r>
      <w:r w:rsidR="00267E76" w:rsidRPr="00C4084C">
        <w:t>contributing to</w:t>
      </w:r>
      <w:r w:rsidR="00830715" w:rsidRPr="00C4084C">
        <w:t xml:space="preserve"> regional economic growth, services and population </w:t>
      </w:r>
      <w:proofErr w:type="gramStart"/>
      <w:r w:rsidR="00830715" w:rsidRPr="00C4084C">
        <w:t>levels</w:t>
      </w:r>
      <w:proofErr w:type="gramEnd"/>
      <w:r w:rsidR="00830715" w:rsidRPr="00C4084C">
        <w:t xml:space="preserve"> </w:t>
      </w:r>
    </w:p>
    <w:p w14:paraId="7258FF89" w14:textId="736E684B" w:rsidR="00F34FDF" w:rsidRPr="00C4084C" w:rsidRDefault="00F34FDF" w:rsidP="00F92671">
      <w:pPr>
        <w:pStyle w:val="ListBullet"/>
      </w:pPr>
      <w:r w:rsidRPr="00C4084C">
        <w:t>in</w:t>
      </w:r>
      <w:r w:rsidR="00830715" w:rsidRPr="00C4084C">
        <w:t xml:space="preserve"> regional centres, </w:t>
      </w:r>
      <w:r w:rsidR="002A68FD" w:rsidRPr="00C4084C">
        <w:t xml:space="preserve">tertiary </w:t>
      </w:r>
      <w:r w:rsidR="00830715" w:rsidRPr="00C4084C">
        <w:t>education institutions are major direct economic</w:t>
      </w:r>
      <w:r w:rsidR="004C3B6D" w:rsidRPr="00C4084C">
        <w:t xml:space="preserve"> and social</w:t>
      </w:r>
      <w:r w:rsidR="00830715" w:rsidRPr="00C4084C">
        <w:t xml:space="preserve"> contributors and may be the largest </w:t>
      </w:r>
      <w:proofErr w:type="gramStart"/>
      <w:r w:rsidR="00830715" w:rsidRPr="00C4084C">
        <w:t>employers</w:t>
      </w:r>
      <w:proofErr w:type="gramEnd"/>
    </w:p>
    <w:p w14:paraId="1F50BAFC" w14:textId="2FA283F7" w:rsidR="00830715" w:rsidRPr="00C4084C" w:rsidRDefault="00C3651F" w:rsidP="00F92671">
      <w:pPr>
        <w:pStyle w:val="ListBullet"/>
      </w:pPr>
      <w:r w:rsidRPr="00C4084C">
        <w:t>regionally</w:t>
      </w:r>
      <w:r w:rsidR="00C867D2">
        <w:t xml:space="preserve"> </w:t>
      </w:r>
      <w:r w:rsidRPr="00C4084C">
        <w:t>based medical schools work closely with</w:t>
      </w:r>
      <w:r w:rsidR="0064306E" w:rsidRPr="00C4084C">
        <w:t xml:space="preserve"> their</w:t>
      </w:r>
      <w:r w:rsidRPr="00C4084C">
        <w:t xml:space="preserve"> teaching hospitals, helping deliver </w:t>
      </w:r>
      <w:r w:rsidR="006E2BEC" w:rsidRPr="00C4084C">
        <w:t>regionally</w:t>
      </w:r>
      <w:r w:rsidR="00C867D2">
        <w:t xml:space="preserve"> </w:t>
      </w:r>
      <w:r w:rsidR="006E2BEC" w:rsidRPr="00C4084C">
        <w:t xml:space="preserve">based </w:t>
      </w:r>
      <w:r w:rsidR="00472BE4">
        <w:t xml:space="preserve">specialist </w:t>
      </w:r>
      <w:r w:rsidR="006E2BEC" w:rsidRPr="00C4084C">
        <w:t xml:space="preserve">medical care which would otherwise not be locally </w:t>
      </w:r>
      <w:proofErr w:type="gramStart"/>
      <w:r w:rsidR="006E2BEC" w:rsidRPr="00C4084C">
        <w:t>available</w:t>
      </w:r>
      <w:proofErr w:type="gramEnd"/>
    </w:p>
    <w:p w14:paraId="17B8FDF2" w14:textId="5A243740" w:rsidR="004A5588" w:rsidRPr="00C4084C" w:rsidRDefault="00F34FDF" w:rsidP="00F92671">
      <w:pPr>
        <w:pStyle w:val="ListBullet"/>
      </w:pPr>
      <w:r w:rsidRPr="00C4084C">
        <w:t>the</w:t>
      </w:r>
      <w:r w:rsidR="004A5588" w:rsidRPr="00C4084C">
        <w:t xml:space="preserve"> value of </w:t>
      </w:r>
      <w:r w:rsidR="002A68FD" w:rsidRPr="00C4084C">
        <w:t>tertiary</w:t>
      </w:r>
      <w:r w:rsidR="004A5588" w:rsidRPr="00C4084C">
        <w:t xml:space="preserve"> education institutions as civic institutions is most directly demonstrated in the regions, where they act as centres of local leadership and work in partnership with local government, organisations and local businesses and industries to promote educational and economic opportunities, individual creativity, cultural awareness, democratic </w:t>
      </w:r>
      <w:proofErr w:type="gramStart"/>
      <w:r w:rsidR="004A5588" w:rsidRPr="00C4084C">
        <w:t>values</w:t>
      </w:r>
      <w:proofErr w:type="gramEnd"/>
      <w:r w:rsidR="004A5588" w:rsidRPr="00C4084C">
        <w:t xml:space="preserve"> and social cohesion.</w:t>
      </w:r>
    </w:p>
    <w:p w14:paraId="6FFD5A22" w14:textId="53078007" w:rsidR="00830715" w:rsidRPr="00C4084C" w:rsidRDefault="00830715" w:rsidP="000978AC">
      <w:r w:rsidRPr="00C4084C">
        <w:t xml:space="preserve">The Review therefore sees regional </w:t>
      </w:r>
      <w:r w:rsidR="002A68FD" w:rsidRPr="00C4084C">
        <w:t xml:space="preserve">tertiary </w:t>
      </w:r>
      <w:r w:rsidRPr="00C4084C">
        <w:t xml:space="preserve">education institutions as crucial to meeting the nation’s current and future knowledge and skills needs. Without flourishing regional institutions, an accessible, </w:t>
      </w:r>
      <w:proofErr w:type="gramStart"/>
      <w:r w:rsidRPr="00C4084C">
        <w:t>strong</w:t>
      </w:r>
      <w:proofErr w:type="gramEnd"/>
      <w:r w:rsidRPr="00C4084C">
        <w:t xml:space="preserve"> and transformative </w:t>
      </w:r>
      <w:r w:rsidR="002A68FD" w:rsidRPr="00C4084C">
        <w:t xml:space="preserve">tertiary </w:t>
      </w:r>
      <w:r w:rsidRPr="00C4084C">
        <w:t>education sector is simply not possible.</w:t>
      </w:r>
    </w:p>
    <w:p w14:paraId="6577C05D" w14:textId="122FFF94" w:rsidR="00830715" w:rsidRPr="00C4084C" w:rsidRDefault="00830715" w:rsidP="000978AC">
      <w:r w:rsidRPr="00C4084C">
        <w:t xml:space="preserve">Elevating and expanding the role of regional institutions is essential, but not simple. Specific characteristics of regional </w:t>
      </w:r>
      <w:r w:rsidR="00B647B1" w:rsidRPr="00C4084C">
        <w:t xml:space="preserve">tertiary </w:t>
      </w:r>
      <w:r w:rsidRPr="00C4084C">
        <w:t xml:space="preserve">education – its enrolment profile and capital intensity, most notably – mean it is typically more expensive to provide </w:t>
      </w:r>
      <w:r w:rsidR="7B1CBBD7" w:rsidRPr="00C4084C">
        <w:t>tertiary</w:t>
      </w:r>
      <w:r w:rsidRPr="00C4084C">
        <w:t xml:space="preserve"> education in regional areas than in metropolitan areas. The Review is of the opinion, however, that the cost to the economy and society of </w:t>
      </w:r>
      <w:r w:rsidRPr="00C4084C">
        <w:rPr>
          <w:i/>
          <w:iCs/>
        </w:rPr>
        <w:t>not</w:t>
      </w:r>
      <w:r w:rsidRPr="00C4084C">
        <w:t xml:space="preserve"> adequately funding regional </w:t>
      </w:r>
      <w:r w:rsidR="00B647B1" w:rsidRPr="00C4084C">
        <w:t xml:space="preserve">tertiary </w:t>
      </w:r>
      <w:r w:rsidRPr="00C4084C">
        <w:t>education would be far greater than funding it.</w:t>
      </w:r>
    </w:p>
    <w:p w14:paraId="3E1B8CEC" w14:textId="33CB467E" w:rsidR="00830715" w:rsidRPr="00C4084C" w:rsidRDefault="00830715" w:rsidP="000978AC">
      <w:r w:rsidRPr="00C4084C">
        <w:t xml:space="preserve">For this reason, the Review’s central recommendations relating to the stewardship, funding, </w:t>
      </w:r>
      <w:proofErr w:type="gramStart"/>
      <w:r w:rsidRPr="00C4084C">
        <w:t>equity</w:t>
      </w:r>
      <w:proofErr w:type="gramEnd"/>
      <w:r w:rsidRPr="00C4084C">
        <w:t xml:space="preserve"> and cost of </w:t>
      </w:r>
      <w:r w:rsidR="00DB6377" w:rsidRPr="00C4084C">
        <w:t xml:space="preserve">tertiary </w:t>
      </w:r>
      <w:r w:rsidRPr="00C4084C">
        <w:t xml:space="preserve">education have been designed with the specific needs of the regions in mind. These are complemented by further recommendations in this chapter pertaining directly to regional </w:t>
      </w:r>
      <w:r w:rsidR="00DB6377" w:rsidRPr="00C4084C">
        <w:t xml:space="preserve">tertiary </w:t>
      </w:r>
      <w:r w:rsidRPr="00C4084C">
        <w:t>education.</w:t>
      </w:r>
    </w:p>
    <w:p w14:paraId="41FA0B1B" w14:textId="185C245F" w:rsidR="00830715" w:rsidRPr="00C4084C" w:rsidRDefault="00830715" w:rsidP="00745009">
      <w:pPr>
        <w:pStyle w:val="Heading3"/>
      </w:pPr>
      <w:bookmarkStart w:id="1181" w:name="_Toc151468096"/>
      <w:bookmarkStart w:id="1182" w:name="_Toc151468972"/>
      <w:bookmarkStart w:id="1183" w:name="_Toc151469362"/>
      <w:bookmarkStart w:id="1184" w:name="_Toc151470480"/>
      <w:bookmarkStart w:id="1185" w:name="_Toc151470690"/>
      <w:bookmarkStart w:id="1186" w:name="_Toc151471045"/>
      <w:bookmarkStart w:id="1187" w:name="_Toc151548030"/>
      <w:bookmarkStart w:id="1188" w:name="_Toc1649815061"/>
      <w:bookmarkStart w:id="1189" w:name="_Toc159501004"/>
      <w:r w:rsidRPr="00C4084C">
        <w:lastRenderedPageBreak/>
        <w:t xml:space="preserve">The case for additional investment in regional </w:t>
      </w:r>
      <w:r w:rsidR="00DB6377" w:rsidRPr="00C4084C">
        <w:t xml:space="preserve">tertiary </w:t>
      </w:r>
      <w:r w:rsidRPr="00C4084C">
        <w:t>education</w:t>
      </w:r>
      <w:bookmarkEnd w:id="1181"/>
      <w:bookmarkEnd w:id="1182"/>
      <w:bookmarkEnd w:id="1183"/>
      <w:bookmarkEnd w:id="1184"/>
      <w:bookmarkEnd w:id="1185"/>
      <w:bookmarkEnd w:id="1186"/>
      <w:bookmarkEnd w:id="1187"/>
      <w:bookmarkEnd w:id="1188"/>
      <w:bookmarkEnd w:id="1189"/>
    </w:p>
    <w:p w14:paraId="3088EEB0" w14:textId="37C04009" w:rsidR="00830715" w:rsidRPr="00C4084C" w:rsidRDefault="00830715" w:rsidP="000978AC">
      <w:r w:rsidRPr="00C4084C">
        <w:t xml:space="preserve">The case for additional investment in regional </w:t>
      </w:r>
      <w:r w:rsidR="3F375ED3" w:rsidRPr="00C4084C">
        <w:t>tertiary</w:t>
      </w:r>
      <w:r w:rsidRPr="00C4084C">
        <w:t xml:space="preserve"> education is strong. Approximately 28% of Australia’s population lives in regional</w:t>
      </w:r>
      <w:r w:rsidR="00CE3FC3" w:rsidRPr="00C4084C">
        <w:t xml:space="preserve">, </w:t>
      </w:r>
      <w:proofErr w:type="gramStart"/>
      <w:r w:rsidR="00CE3FC3" w:rsidRPr="00C4084C">
        <w:t>rural</w:t>
      </w:r>
      <w:proofErr w:type="gramEnd"/>
      <w:r w:rsidRPr="00C4084C">
        <w:t xml:space="preserve"> and remote Australia. The</w:t>
      </w:r>
      <w:r w:rsidR="00CE3FC3" w:rsidRPr="00C4084C">
        <w:t xml:space="preserve"> efforts of regional people</w:t>
      </w:r>
      <w:r w:rsidRPr="00C4084C">
        <w:t xml:space="preserve"> add strength and diversity to our economic performance and generate an outsized proportion of our national prosperity.</w:t>
      </w:r>
      <w:r w:rsidRPr="00C4084C">
        <w:rPr>
          <w:rStyle w:val="FootnoteReference"/>
        </w:rPr>
        <w:footnoteReference w:id="387"/>
      </w:r>
      <w:r w:rsidRPr="00C4084C">
        <w:t xml:space="preserve"> </w:t>
      </w:r>
      <w:r w:rsidRPr="00C4084C">
        <w:rPr>
          <w:shd w:val="clear" w:color="auto" w:fill="FFFFFF"/>
        </w:rPr>
        <w:t>In 2023</w:t>
      </w:r>
      <w:r w:rsidR="48B0DF1A" w:rsidRPr="00C4084C">
        <w:t>,</w:t>
      </w:r>
      <w:r w:rsidRPr="00C4084C">
        <w:rPr>
          <w:shd w:val="clear" w:color="auto" w:fill="FFFFFF"/>
        </w:rPr>
        <w:t xml:space="preserve"> regionally based sectors like rural products and </w:t>
      </w:r>
      <w:r w:rsidR="4B90485D" w:rsidRPr="00C4084C">
        <w:rPr>
          <w:shd w:val="clear" w:color="auto" w:fill="FFFFFF"/>
        </w:rPr>
        <w:t>resources</w:t>
      </w:r>
      <w:r w:rsidRPr="00C4084C">
        <w:rPr>
          <w:shd w:val="clear" w:color="auto" w:fill="FFFFFF"/>
        </w:rPr>
        <w:t xml:space="preserve"> comprised 1</w:t>
      </w:r>
      <w:r w:rsidR="002F551E" w:rsidRPr="00C4084C">
        <w:t>1.1</w:t>
      </w:r>
      <w:r w:rsidRPr="00C4084C">
        <w:rPr>
          <w:shd w:val="clear" w:color="auto" w:fill="FFFFFF"/>
        </w:rPr>
        <w:t>% and 6</w:t>
      </w:r>
      <w:r w:rsidR="002F551E" w:rsidRPr="00C4084C">
        <w:t>1.5</w:t>
      </w:r>
      <w:r w:rsidRPr="00C4084C">
        <w:t>%</w:t>
      </w:r>
      <w:r w:rsidRPr="00C4084C">
        <w:rPr>
          <w:shd w:val="clear" w:color="auto" w:fill="FFFFFF"/>
        </w:rPr>
        <w:t xml:space="preserve"> of Australian exports respectively.</w:t>
      </w:r>
      <w:r w:rsidRPr="00C4084C">
        <w:rPr>
          <w:rStyle w:val="FootnoteReference"/>
          <w:shd w:val="clear" w:color="auto" w:fill="FFFFFF"/>
        </w:rPr>
        <w:footnoteReference w:id="388"/>
      </w:r>
      <w:r w:rsidRPr="00C4084C">
        <w:rPr>
          <w:shd w:val="clear" w:color="auto" w:fill="FFFFFF"/>
        </w:rPr>
        <w:t xml:space="preserve"> Like all industries, regional and rural </w:t>
      </w:r>
      <w:r w:rsidRPr="00C4084C">
        <w:t xml:space="preserve">industries need an increasingly highly skilled, </w:t>
      </w:r>
      <w:proofErr w:type="gramStart"/>
      <w:r w:rsidRPr="00C4084C">
        <w:t>educated</w:t>
      </w:r>
      <w:proofErr w:type="gramEnd"/>
      <w:r w:rsidRPr="00C4084C">
        <w:t xml:space="preserve"> and productive workforce to continue their operations. Yet our regions face shortages in critical occupations – not just in education</w:t>
      </w:r>
      <w:r w:rsidR="002B220C" w:rsidRPr="00C4084C">
        <w:rPr>
          <w:rStyle w:val="FootnoteReference"/>
        </w:rPr>
        <w:footnoteReference w:id="389"/>
      </w:r>
      <w:r w:rsidRPr="00C4084C">
        <w:t xml:space="preserve"> settings but also in health, engineering, information communication technology (ICT) and science.</w:t>
      </w:r>
      <w:r w:rsidRPr="00C4084C">
        <w:rPr>
          <w:rStyle w:val="FootnoteReference"/>
        </w:rPr>
        <w:footnoteReference w:id="390"/>
      </w:r>
      <w:r w:rsidRPr="00C4084C">
        <w:t xml:space="preserve"> Supplying and retaining that workforce requires us to raise the higher education participation and completion rates of students from regional and remote communities as well as maintain the volume and value of the research our </w:t>
      </w:r>
      <w:r w:rsidR="00F34FDF" w:rsidRPr="00C4084C">
        <w:t>regional</w:t>
      </w:r>
      <w:r w:rsidRPr="00C4084C">
        <w:t xml:space="preserve"> higher education institutions </w:t>
      </w:r>
      <w:r w:rsidR="00A52F45" w:rsidRPr="00C4084C">
        <w:t xml:space="preserve">do </w:t>
      </w:r>
      <w:r w:rsidR="008275C3" w:rsidRPr="00C4084C">
        <w:t>there</w:t>
      </w:r>
      <w:r w:rsidRPr="00C4084C">
        <w:t>.</w:t>
      </w:r>
    </w:p>
    <w:p w14:paraId="1039B4A6" w14:textId="554FDC56" w:rsidR="00830715" w:rsidRPr="00C4084C" w:rsidRDefault="00830715" w:rsidP="000978AC">
      <w:r w:rsidRPr="00C4084C">
        <w:t xml:space="preserve">This immediately presents a problem: </w:t>
      </w:r>
      <w:r w:rsidR="002B02B0" w:rsidRPr="00C4084C">
        <w:t xml:space="preserve">as </w:t>
      </w:r>
      <w:r w:rsidR="004E590C">
        <w:fldChar w:fldCharType="begin"/>
      </w:r>
      <w:r w:rsidR="004E590C">
        <w:instrText xml:space="preserve"> REF _Ref153546473 </w:instrText>
      </w:r>
      <w:r w:rsidR="00F2219A">
        <w:instrText xml:space="preserve"> \* MERGEFORMAT </w:instrText>
      </w:r>
      <w:r w:rsidR="004E590C">
        <w:fldChar w:fldCharType="separate"/>
      </w:r>
      <w:r w:rsidR="00467B4F" w:rsidRPr="00C4084C">
        <w:t xml:space="preserve">Figure </w:t>
      </w:r>
      <w:r w:rsidR="00467B4F">
        <w:rPr>
          <w:noProof/>
        </w:rPr>
        <w:t>35</w:t>
      </w:r>
      <w:r w:rsidR="004E590C">
        <w:rPr>
          <w:noProof/>
        </w:rPr>
        <w:fldChar w:fldCharType="end"/>
      </w:r>
      <w:r w:rsidR="002B02B0" w:rsidRPr="00C4084C">
        <w:t xml:space="preserve"> shows,</w:t>
      </w:r>
      <w:r w:rsidRPr="00C4084C">
        <w:t xml:space="preserve"> </w:t>
      </w:r>
      <w:r w:rsidR="00DB6377" w:rsidRPr="00C4084C">
        <w:t>tertiary</w:t>
      </w:r>
      <w:r w:rsidRPr="00C4084C">
        <w:t xml:space="preserve"> education </w:t>
      </w:r>
      <w:r w:rsidR="00E65500" w:rsidRPr="00C4084C">
        <w:t xml:space="preserve">attainment </w:t>
      </w:r>
      <w:r w:rsidRPr="00C4084C">
        <w:t xml:space="preserve">rates are </w:t>
      </w:r>
      <w:r w:rsidR="006C2D27" w:rsidRPr="00C4084C">
        <w:t xml:space="preserve">progressively </w:t>
      </w:r>
      <w:r w:rsidRPr="00C4084C">
        <w:t>lower in regional</w:t>
      </w:r>
      <w:r w:rsidR="00FD64FF" w:rsidRPr="00C4084C">
        <w:t>,</w:t>
      </w:r>
      <w:r w:rsidRPr="00C4084C">
        <w:t xml:space="preserve"> </w:t>
      </w:r>
      <w:proofErr w:type="gramStart"/>
      <w:r w:rsidRPr="00C4084C">
        <w:t>rural</w:t>
      </w:r>
      <w:proofErr w:type="gramEnd"/>
      <w:r w:rsidRPr="00C4084C">
        <w:t xml:space="preserve"> </w:t>
      </w:r>
      <w:r w:rsidR="00FD64FF" w:rsidRPr="00C4084C">
        <w:t>and remote</w:t>
      </w:r>
      <w:r w:rsidRPr="00C4084C">
        <w:t xml:space="preserve"> areas than in metropolitan areas. The 2018 </w:t>
      </w:r>
      <w:r w:rsidRPr="00C4084C">
        <w:rPr>
          <w:i/>
          <w:iCs/>
        </w:rPr>
        <w:t>Independent Review into Regional, Rural and Remote Education</w:t>
      </w:r>
      <w:r w:rsidRPr="00C4084C">
        <w:t xml:space="preserve"> (Halsey Review) found that the proportion of young Australians with bachelor or higher degrees declines as geographical remoteness increases.</w:t>
      </w:r>
      <w:r w:rsidRPr="00C4084C">
        <w:rPr>
          <w:rStyle w:val="FootnoteReference"/>
        </w:rPr>
        <w:footnoteReference w:id="391"/>
      </w:r>
      <w:r w:rsidRPr="00C4084C">
        <w:t xml:space="preserve"> Similarly, the 2019 </w:t>
      </w:r>
      <w:r w:rsidRPr="00C4084C">
        <w:rPr>
          <w:i/>
          <w:iCs/>
        </w:rPr>
        <w:t>National Regional, Rural and Remote Education Strategy</w:t>
      </w:r>
      <w:r w:rsidRPr="00C4084C">
        <w:t xml:space="preserve"> (Napthine Review) identified that Australians in regional</w:t>
      </w:r>
      <w:r w:rsidR="00E65500" w:rsidRPr="00C4084C">
        <w:t>, rural</w:t>
      </w:r>
      <w:r w:rsidRPr="00C4084C">
        <w:t xml:space="preserve"> and remote areas were 40% less likely than their metropolitan peers to gain a higher-level tertiary education qualification and only half as likely to gain a bachelor level qualification by age 35.</w:t>
      </w:r>
      <w:r w:rsidRPr="00C4084C">
        <w:rPr>
          <w:rStyle w:val="FootnoteReference"/>
        </w:rPr>
        <w:footnoteReference w:id="392"/>
      </w:r>
      <w:r w:rsidRPr="00C4084C">
        <w:t xml:space="preserve"> These disparities are long-term and stubborn. </w:t>
      </w:r>
    </w:p>
    <w:p w14:paraId="10D40E90" w14:textId="25C92432" w:rsidR="00830715" w:rsidRPr="00D26B82" w:rsidRDefault="00A67A2A" w:rsidP="005E5C5F">
      <w:pPr>
        <w:pStyle w:val="Caption"/>
        <w:rPr>
          <w:b/>
          <w:bCs/>
        </w:rPr>
      </w:pPr>
      <w:bookmarkStart w:id="1190" w:name="_Ref153546473"/>
      <w:bookmarkStart w:id="1191" w:name="_Toc154674797"/>
      <w:r w:rsidRPr="00D26B82">
        <w:rPr>
          <w:b/>
          <w:bCs/>
          <w:sz w:val="24"/>
          <w:szCs w:val="24"/>
        </w:rPr>
        <w:lastRenderedPageBreak/>
        <w:t xml:space="preserve">Figure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35</w:t>
      </w:r>
      <w:r w:rsidRPr="00D26B82">
        <w:rPr>
          <w:b/>
          <w:bCs/>
          <w:sz w:val="24"/>
          <w:szCs w:val="24"/>
        </w:rPr>
        <w:fldChar w:fldCharType="end"/>
      </w:r>
      <w:bookmarkEnd w:id="1190"/>
      <w:r w:rsidR="0077189F" w:rsidRPr="00D26B82">
        <w:rPr>
          <w:b/>
          <w:bCs/>
          <w:sz w:val="24"/>
          <w:szCs w:val="24"/>
        </w:rPr>
        <w:t>:</w:t>
      </w:r>
      <w:r w:rsidR="00830715" w:rsidRPr="00D26B82">
        <w:rPr>
          <w:b/>
          <w:bCs/>
          <w:sz w:val="24"/>
          <w:szCs w:val="24"/>
        </w:rPr>
        <w:t xml:space="preserve"> </w:t>
      </w:r>
      <w:r w:rsidR="005608F4" w:rsidRPr="00D26B82">
        <w:rPr>
          <w:b/>
          <w:bCs/>
          <w:sz w:val="24"/>
          <w:szCs w:val="24"/>
        </w:rPr>
        <w:t>Educational attainment by geographical remoteness</w:t>
      </w:r>
      <w:r w:rsidR="00A45B03" w:rsidRPr="00D26B82">
        <w:rPr>
          <w:b/>
          <w:bCs/>
          <w:sz w:val="24"/>
          <w:szCs w:val="24"/>
        </w:rPr>
        <w:t>, 2021</w:t>
      </w:r>
      <w:r w:rsidR="00830715" w:rsidRPr="00D26B82">
        <w:rPr>
          <w:b/>
          <w:bCs/>
          <w:sz w:val="24"/>
          <w:szCs w:val="24"/>
        </w:rPr>
        <w:t>.</w:t>
      </w:r>
      <w:bookmarkEnd w:id="1191"/>
      <w:r w:rsidR="00830715" w:rsidRPr="00D26B82" w:rsidDel="00286063">
        <w:rPr>
          <w:rStyle w:val="FootnoteReference"/>
          <w:b/>
          <w:bCs/>
        </w:rPr>
        <w:t xml:space="preserve"> </w:t>
      </w:r>
    </w:p>
    <w:p w14:paraId="5D18AFBE" w14:textId="73941220" w:rsidR="006A65B4" w:rsidRDefault="006A65B4" w:rsidP="0077189F">
      <w:pPr>
        <w:pStyle w:val="Source"/>
      </w:pPr>
      <w:r>
        <w:rPr>
          <w:noProof/>
        </w:rPr>
        <w:drawing>
          <wp:inline distT="0" distB="0" distL="0" distR="0" wp14:anchorId="33A57B19" wp14:editId="0F2EF268">
            <wp:extent cx="5688419" cy="3195741"/>
            <wp:effectExtent l="0" t="0" r="0" b="0"/>
            <wp:docPr id="953962149" name="Graphic 35" descr="Bar graph showing comparative educational attainment of Year 12 or above, any tertiary, Cert IV or above, bachelor degree or above, and postgraduate by geographical remoteness areas. The graph shows educational attainment progressively declines as remoteness incr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962149" name="Graphic 35" descr="Bar graph showing comparative educational attainment of Year 12 or above, any tertiary, Cert IV or above, bachelor degree or above, and postgraduate by geographical remoteness areas. The graph shows educational attainment progressively declines as remoteness increases."/>
                    <pic:cNvPicPr/>
                  </pic:nvPicPr>
                  <pic:blipFill>
                    <a:blip r:embed="rId142">
                      <a:extLst>
                        <a:ext uri="{28A0092B-C50C-407E-A947-70E740481C1C}">
                          <a14:useLocalDpi xmlns:a14="http://schemas.microsoft.com/office/drawing/2010/main" val="0"/>
                        </a:ext>
                        <a:ext uri="{96DAC541-7B7A-43D3-8B79-37D633B846F1}">
                          <asvg:svgBlip xmlns:asvg="http://schemas.microsoft.com/office/drawing/2016/SVG/main" r:embed="rId143"/>
                        </a:ext>
                      </a:extLst>
                    </a:blip>
                    <a:stretch>
                      <a:fillRect/>
                    </a:stretch>
                  </pic:blipFill>
                  <pic:spPr>
                    <a:xfrm>
                      <a:off x="0" y="0"/>
                      <a:ext cx="5697416" cy="3200796"/>
                    </a:xfrm>
                    <a:prstGeom prst="rect">
                      <a:avLst/>
                    </a:prstGeom>
                  </pic:spPr>
                </pic:pic>
              </a:graphicData>
            </a:graphic>
          </wp:inline>
        </w:drawing>
      </w:r>
    </w:p>
    <w:p w14:paraId="485C9026" w14:textId="3F91F2B4" w:rsidR="00830715" w:rsidRPr="00C4084C" w:rsidRDefault="00830715" w:rsidP="0077189F">
      <w:pPr>
        <w:pStyle w:val="Source"/>
      </w:pPr>
      <w:r w:rsidRPr="00C4084C">
        <w:t xml:space="preserve">Source: Australian Bureau of Statistics, </w:t>
      </w:r>
      <w:r w:rsidRPr="00C4084C">
        <w:rPr>
          <w:i/>
        </w:rPr>
        <w:t>Level of highest educational attainment (HEAP)</w:t>
      </w:r>
      <w:r w:rsidRPr="00C4084C">
        <w:t xml:space="preserve">, (Census of Population and Housing: Census Dictionary, 2021), </w:t>
      </w:r>
      <w:hyperlink r:id="rId144" w:history="1">
        <w:r w:rsidRPr="00C4084C">
          <w:rPr>
            <w:rStyle w:val="Hyperlink"/>
            <w:szCs w:val="20"/>
          </w:rPr>
          <w:t>https://www.abs.gov.au/census/guide-census-data/census-dictionary/2021/variables-topic/education-and-training/level-highest-educational-attainment-heap</w:t>
        </w:r>
      </w:hyperlink>
      <w:r w:rsidRPr="00C4084C">
        <w:t>.</w:t>
      </w:r>
    </w:p>
    <w:p w14:paraId="2212D128" w14:textId="30398EFF" w:rsidR="00830715" w:rsidRPr="00C4084C" w:rsidRDefault="00830715" w:rsidP="000978AC">
      <w:r w:rsidRPr="00C4084C">
        <w:t xml:space="preserve">The Review believes that considerations of equity, social cohesion, </w:t>
      </w:r>
      <w:proofErr w:type="gramStart"/>
      <w:r w:rsidRPr="00C4084C">
        <w:t>productivity</w:t>
      </w:r>
      <w:proofErr w:type="gramEnd"/>
      <w:r w:rsidRPr="00C4084C">
        <w:t xml:space="preserve"> and future economic prosperity compel Australia to take strong action to improve access for regional</w:t>
      </w:r>
      <w:r w:rsidR="00203514" w:rsidRPr="00C4084C">
        <w:t>, rural</w:t>
      </w:r>
      <w:r w:rsidRPr="00C4084C">
        <w:t xml:space="preserve"> and remote students. </w:t>
      </w:r>
    </w:p>
    <w:p w14:paraId="46EEACB8" w14:textId="14BC6B48" w:rsidR="00830715" w:rsidRPr="00C4084C" w:rsidRDefault="00830715" w:rsidP="000978AC">
      <w:r w:rsidRPr="00C4084C">
        <w:t xml:space="preserve">Attracting and retaining students in regional higher education has positive economic and social results. More than </w:t>
      </w:r>
      <w:r w:rsidR="00BF6BB4" w:rsidRPr="00C4084C">
        <w:t>13</w:t>
      </w:r>
      <w:r w:rsidRPr="00C4084C">
        <w:t xml:space="preserve">% of domestic students </w:t>
      </w:r>
      <w:r w:rsidR="00BF6BB4" w:rsidRPr="00C4084C">
        <w:t>are currently enrolled in</w:t>
      </w:r>
      <w:r w:rsidRPr="00C4084C">
        <w:t xml:space="preserve"> a regionally</w:t>
      </w:r>
      <w:r w:rsidR="005F30E1">
        <w:t xml:space="preserve"> </w:t>
      </w:r>
      <w:r w:rsidRPr="00C4084C">
        <w:t>headquartered university</w:t>
      </w:r>
      <w:r w:rsidRPr="00C4084C">
        <w:rPr>
          <w:rStyle w:val="FootnoteReference"/>
        </w:rPr>
        <w:footnoteReference w:id="393"/>
      </w:r>
      <w:r w:rsidRPr="00C4084C">
        <w:t xml:space="preserve"> and they have a strong tendency to stay in the regions once they graduate, to the direct benefit of their local labour markets and communities. According to the Regional Universities Network (RUN), almost 70% of their bachelor-level graduates and 55% of their </w:t>
      </w:r>
      <w:r w:rsidR="00F34FDF" w:rsidRPr="00C4084C">
        <w:t xml:space="preserve">coursework </w:t>
      </w:r>
      <w:r w:rsidRPr="00C4084C">
        <w:t>postgraduates go on to work in regional Australia, demonstrating that regional universities play a crucial role in skilled regional workforce creation.</w:t>
      </w:r>
      <w:r w:rsidRPr="00C4084C">
        <w:rPr>
          <w:rStyle w:val="FootnoteReference"/>
        </w:rPr>
        <w:footnoteReference w:id="394"/>
      </w:r>
      <w:r w:rsidRPr="00C4084C">
        <w:t xml:space="preserve"> For this reason, we should view regional and rural higher education providers as ‘anchor institutions’ that enable highly productive Australians to </w:t>
      </w:r>
      <w:r w:rsidR="00203514" w:rsidRPr="00C4084C">
        <w:t xml:space="preserve">remain </w:t>
      </w:r>
      <w:r w:rsidRPr="00C4084C">
        <w:t xml:space="preserve">in </w:t>
      </w:r>
      <w:r w:rsidR="00203514" w:rsidRPr="00C4084C">
        <w:t xml:space="preserve">the </w:t>
      </w:r>
      <w:r w:rsidRPr="00C4084C">
        <w:t>regions.</w:t>
      </w:r>
    </w:p>
    <w:p w14:paraId="4D64E9BB" w14:textId="04F2CDD5" w:rsidR="00830715" w:rsidRPr="00C4084C" w:rsidRDefault="00830715" w:rsidP="00745009">
      <w:pPr>
        <w:pStyle w:val="Heading3"/>
      </w:pPr>
      <w:bookmarkStart w:id="1194" w:name="_Toc151468097"/>
      <w:bookmarkStart w:id="1195" w:name="_Toc151468973"/>
      <w:bookmarkStart w:id="1196" w:name="_Toc151469363"/>
      <w:bookmarkStart w:id="1197" w:name="_Toc151470481"/>
      <w:bookmarkStart w:id="1198" w:name="_Toc151470691"/>
      <w:bookmarkStart w:id="1199" w:name="_Toc151471046"/>
      <w:bookmarkStart w:id="1200" w:name="_Toc151548031"/>
      <w:bookmarkStart w:id="1201" w:name="_Toc950737888"/>
      <w:bookmarkStart w:id="1202" w:name="_Toc159501005"/>
      <w:r w:rsidRPr="00C4084C">
        <w:t xml:space="preserve">The character of regional, </w:t>
      </w:r>
      <w:proofErr w:type="gramStart"/>
      <w:r w:rsidRPr="00C4084C">
        <w:t>rural</w:t>
      </w:r>
      <w:proofErr w:type="gramEnd"/>
      <w:r w:rsidRPr="00C4084C">
        <w:t xml:space="preserve"> and remote higher education</w:t>
      </w:r>
      <w:bookmarkEnd w:id="1194"/>
      <w:bookmarkEnd w:id="1195"/>
      <w:bookmarkEnd w:id="1196"/>
      <w:bookmarkEnd w:id="1197"/>
      <w:bookmarkEnd w:id="1198"/>
      <w:bookmarkEnd w:id="1199"/>
      <w:bookmarkEnd w:id="1200"/>
      <w:bookmarkEnd w:id="1201"/>
      <w:bookmarkEnd w:id="1202"/>
    </w:p>
    <w:p w14:paraId="33679170" w14:textId="77777777" w:rsidR="00830715" w:rsidRPr="00C4084C" w:rsidRDefault="00830715" w:rsidP="000978AC">
      <w:r w:rsidRPr="00C4084C">
        <w:t xml:space="preserve">The benefits of studying at a regional university were made evident to the Review. </w:t>
      </w:r>
    </w:p>
    <w:p w14:paraId="27433BBF" w14:textId="57EC6D13" w:rsidR="00830715" w:rsidRPr="00C4084C" w:rsidRDefault="00830715" w:rsidP="000978AC">
      <w:r w:rsidRPr="00C4084C">
        <w:lastRenderedPageBreak/>
        <w:t xml:space="preserve">Students told the Review during consultations how regional institutions allow them to remain close to home and retain their sense of community and belonging. They also reflected that these institutions typically offer smaller class sizes and more direct engagement with teaching and research </w:t>
      </w:r>
      <w:r w:rsidR="00076E04" w:rsidRPr="00C4084C">
        <w:t>staff and</w:t>
      </w:r>
      <w:r w:rsidRPr="00C4084C">
        <w:t xml:space="preserve"> provide courses relevant to the needs of their communities. </w:t>
      </w:r>
    </w:p>
    <w:p w14:paraId="5957E1DB" w14:textId="77777777" w:rsidR="00830715" w:rsidRPr="00C4084C" w:rsidRDefault="00830715" w:rsidP="000978AC">
      <w:r w:rsidRPr="00C4084C">
        <w:t>Regional universities are highly diverse, reflecting the differing skill and research needs of their surroundings. For example:</w:t>
      </w:r>
    </w:p>
    <w:p w14:paraId="1B8075BD" w14:textId="2AD95A1B" w:rsidR="00830715" w:rsidRPr="00C4084C" w:rsidRDefault="00830715" w:rsidP="00F92671">
      <w:pPr>
        <w:pStyle w:val="ListBullet"/>
      </w:pPr>
      <w:r w:rsidRPr="00C4084C">
        <w:t xml:space="preserve">Charles Darwin University, the only university headquartered in the Northern Territory, has </w:t>
      </w:r>
      <w:r w:rsidR="00687199" w:rsidRPr="00C4084C">
        <w:t>9</w:t>
      </w:r>
      <w:r w:rsidRPr="00C4084C">
        <w:t xml:space="preserve"> campuses, including its main campus in Darwin. Each campus seeks to serve the needs of its own community, which has led to a strong VET focus</w:t>
      </w:r>
      <w:r w:rsidR="00662249" w:rsidRPr="00C4084C">
        <w:t xml:space="preserve"> through </w:t>
      </w:r>
      <w:r w:rsidR="00426D70" w:rsidRPr="00C4084C">
        <w:t>Charles Darwin University</w:t>
      </w:r>
      <w:r w:rsidR="00662249" w:rsidRPr="00C4084C">
        <w:t xml:space="preserve"> TAFE</w:t>
      </w:r>
      <w:r w:rsidRPr="00C4084C">
        <w:t xml:space="preserve">, offering a range of industry-based courses with flexible entry and study options from engineering and mining to cyber </w:t>
      </w:r>
      <w:proofErr w:type="gramStart"/>
      <w:r w:rsidRPr="00C4084C">
        <w:t>security</w:t>
      </w:r>
      <w:proofErr w:type="gramEnd"/>
    </w:p>
    <w:p w14:paraId="019EDEA3" w14:textId="6F628E34" w:rsidR="00FB2977" w:rsidRPr="00C4084C" w:rsidRDefault="00D67250" w:rsidP="00F92671">
      <w:pPr>
        <w:pStyle w:val="ListBullet"/>
      </w:pPr>
      <w:r w:rsidRPr="00C4084C">
        <w:t>Federation University</w:t>
      </w:r>
      <w:r w:rsidR="0044617B" w:rsidRPr="00C4084C">
        <w:t>’s technology park located on the University’s Ballarat (Mt Helen) campus, jointly led by the University and IBM</w:t>
      </w:r>
      <w:r w:rsidR="0012509F" w:rsidRPr="00C4084C">
        <w:t>,</w:t>
      </w:r>
      <w:r w:rsidR="0044617B" w:rsidRPr="00C4084C">
        <w:t xml:space="preserve"> </w:t>
      </w:r>
      <w:r w:rsidR="00E562B8" w:rsidRPr="00C4084C">
        <w:t>is</w:t>
      </w:r>
      <w:r w:rsidR="0044617B" w:rsidRPr="00C4084C">
        <w:t xml:space="preserve"> a leading model for collaboration between education</w:t>
      </w:r>
      <w:r w:rsidR="0012509F" w:rsidRPr="00C4084C">
        <w:t xml:space="preserve"> providers</w:t>
      </w:r>
      <w:r w:rsidR="0044617B" w:rsidRPr="00C4084C">
        <w:t xml:space="preserve">, local </w:t>
      </w:r>
      <w:proofErr w:type="gramStart"/>
      <w:r w:rsidR="0044617B" w:rsidRPr="00C4084C">
        <w:t>government</w:t>
      </w:r>
      <w:proofErr w:type="gramEnd"/>
      <w:r w:rsidR="0044617B" w:rsidRPr="00C4084C">
        <w:t xml:space="preserve"> and industry.</w:t>
      </w:r>
      <w:r w:rsidR="0012509F" w:rsidRPr="00C4084C">
        <w:t xml:space="preserve"> </w:t>
      </w:r>
      <w:r w:rsidR="00A926B5" w:rsidRPr="00C4084C">
        <w:t xml:space="preserve">Working with IBM mentors, students can access placements and internships to accelerate their transition </w:t>
      </w:r>
      <w:r w:rsidR="004A162F" w:rsidRPr="00C4084C">
        <w:t>in</w:t>
      </w:r>
      <w:r w:rsidR="00A926B5" w:rsidRPr="00C4084C">
        <w:t>to careers in</w:t>
      </w:r>
      <w:r w:rsidR="0012509F" w:rsidRPr="00C4084C">
        <w:t xml:space="preserve"> </w:t>
      </w:r>
      <w:proofErr w:type="gramStart"/>
      <w:r w:rsidR="00E562B8" w:rsidRPr="00C4084C">
        <w:t>IT</w:t>
      </w:r>
      <w:proofErr w:type="gramEnd"/>
    </w:p>
    <w:p w14:paraId="49C9737F" w14:textId="6F38E6C2" w:rsidR="00830715" w:rsidRPr="00C4084C" w:rsidRDefault="00830715" w:rsidP="00F92671">
      <w:pPr>
        <w:pStyle w:val="ListBullet"/>
      </w:pPr>
      <w:r w:rsidRPr="00C4084C">
        <w:t xml:space="preserve">James Cook University </w:t>
      </w:r>
      <w:r w:rsidR="00FD64FF" w:rsidRPr="00C4084C">
        <w:t>is internationally renowned</w:t>
      </w:r>
      <w:r w:rsidRPr="00C4084C">
        <w:t xml:space="preserve"> for its research excellence in tropical health and </w:t>
      </w:r>
      <w:r w:rsidR="00367CC2" w:rsidRPr="00C4084C">
        <w:t xml:space="preserve">marine </w:t>
      </w:r>
      <w:r w:rsidRPr="00C4084C">
        <w:t xml:space="preserve">ecology. </w:t>
      </w:r>
    </w:p>
    <w:p w14:paraId="7DDF0BE6" w14:textId="32F65D46" w:rsidR="009F5EEB" w:rsidRPr="00C4084C" w:rsidRDefault="00960DF6" w:rsidP="000978AC">
      <w:r w:rsidRPr="00C4084C">
        <w:t>In addition to regiona</w:t>
      </w:r>
      <w:r w:rsidR="00F34FDF" w:rsidRPr="00C4084C">
        <w:t>l</w:t>
      </w:r>
      <w:r w:rsidRPr="00C4084C">
        <w:t>l</w:t>
      </w:r>
      <w:r w:rsidR="001C72DF" w:rsidRPr="00C4084C">
        <w:t>y</w:t>
      </w:r>
      <w:r w:rsidR="005F30E1">
        <w:t xml:space="preserve"> </w:t>
      </w:r>
      <w:r w:rsidR="001C72DF" w:rsidRPr="00C4084C">
        <w:t>headquartered</w:t>
      </w:r>
      <w:r w:rsidRPr="00C4084C">
        <w:t xml:space="preserve"> universities, there are </w:t>
      </w:r>
      <w:proofErr w:type="gramStart"/>
      <w:r w:rsidRPr="00C4084C">
        <w:t>a number of</w:t>
      </w:r>
      <w:proofErr w:type="gramEnd"/>
      <w:r w:rsidRPr="00C4084C">
        <w:t xml:space="preserve"> other universities </w:t>
      </w:r>
      <w:r w:rsidR="001C57B5" w:rsidRPr="00C4084C">
        <w:t xml:space="preserve">which, </w:t>
      </w:r>
      <w:r w:rsidR="00F400AD" w:rsidRPr="00C4084C">
        <w:t>while operating in urban areas, also</w:t>
      </w:r>
      <w:r w:rsidRPr="00C4084C">
        <w:t xml:space="preserve"> deliver outside Australia’s big cities and contribute to these communities. Examples of these include</w:t>
      </w:r>
      <w:r w:rsidR="009F5EEB" w:rsidRPr="00C4084C">
        <w:t>:</w:t>
      </w:r>
    </w:p>
    <w:p w14:paraId="5F7F9758" w14:textId="30650DFD" w:rsidR="00960DF6" w:rsidRPr="00C4084C" w:rsidRDefault="00F34FDF" w:rsidP="00F92671">
      <w:pPr>
        <w:pStyle w:val="ListBullet"/>
      </w:pPr>
      <w:r w:rsidRPr="00C4084C">
        <w:t>the</w:t>
      </w:r>
      <w:r w:rsidR="00960DF6" w:rsidRPr="00C4084C">
        <w:t xml:space="preserve"> University of Wollongong, which operates </w:t>
      </w:r>
      <w:r w:rsidR="00D16150" w:rsidRPr="00C4084C">
        <w:t xml:space="preserve">4 </w:t>
      </w:r>
      <w:r w:rsidR="00960DF6" w:rsidRPr="00C4084C">
        <w:t xml:space="preserve">regional campuses in Bega Valley, Eurobodalla, Shoalhaven and Southern Highlands, and offers local students the opportunity to undertake their first year of study while staying in their </w:t>
      </w:r>
      <w:proofErr w:type="gramStart"/>
      <w:r w:rsidR="00960DF6" w:rsidRPr="00C4084C">
        <w:t>community</w:t>
      </w:r>
      <w:proofErr w:type="gramEnd"/>
    </w:p>
    <w:p w14:paraId="7850739C" w14:textId="2FD6684C" w:rsidR="6E5D2222" w:rsidRPr="00C4084C" w:rsidRDefault="6E5D2222" w:rsidP="00F92671">
      <w:pPr>
        <w:pStyle w:val="ListBullet"/>
      </w:pPr>
      <w:r w:rsidRPr="00C4084C">
        <w:t>the University of Tasmania</w:t>
      </w:r>
      <w:r w:rsidR="004A162F" w:rsidRPr="00C4084C">
        <w:t>, which</w:t>
      </w:r>
      <w:r w:rsidRPr="00C4084C">
        <w:t xml:space="preserve"> services a community facing high levels of disadvantage, including low</w:t>
      </w:r>
      <w:r w:rsidR="00F959F0" w:rsidRPr="00C4084C">
        <w:t>er</w:t>
      </w:r>
      <w:r w:rsidRPr="00C4084C">
        <w:t xml:space="preserve"> levels of educational attainment</w:t>
      </w:r>
      <w:r w:rsidR="001C57B5" w:rsidRPr="00C4084C">
        <w:t>,</w:t>
      </w:r>
      <w:r w:rsidRPr="00C4084C">
        <w:rPr>
          <w:vertAlign w:val="superscript"/>
        </w:rPr>
        <w:footnoteReference w:id="395"/>
      </w:r>
      <w:r w:rsidRPr="00C4084C">
        <w:t xml:space="preserve"> and is focused on developing teaching and support pract</w:t>
      </w:r>
      <w:r w:rsidR="3BD643CE" w:rsidRPr="00C4084C">
        <w:t xml:space="preserve">ices for regional, remote and low SES </w:t>
      </w:r>
      <w:proofErr w:type="gramStart"/>
      <w:r w:rsidR="3BD643CE" w:rsidRPr="00C4084C">
        <w:t>cohorts</w:t>
      </w:r>
      <w:proofErr w:type="gramEnd"/>
      <w:r w:rsidR="3BD643CE" w:rsidRPr="00C4084C">
        <w:t xml:space="preserve"> </w:t>
      </w:r>
    </w:p>
    <w:p w14:paraId="495F2725" w14:textId="1500A07B" w:rsidR="00B547DB" w:rsidRPr="00C4084C" w:rsidRDefault="00F34FDF" w:rsidP="00F92671">
      <w:pPr>
        <w:pStyle w:val="ListBullet"/>
      </w:pPr>
      <w:r w:rsidRPr="00C4084C">
        <w:t>metropolitan</w:t>
      </w:r>
      <w:r w:rsidR="00B547DB" w:rsidRPr="00C4084C">
        <w:t xml:space="preserve"> universities in South Australia and Western Australia, wh</w:t>
      </w:r>
      <w:r w:rsidR="43267654" w:rsidRPr="00C4084C">
        <w:t>ich</w:t>
      </w:r>
      <w:r w:rsidR="00B547DB" w:rsidRPr="00C4084C">
        <w:t xml:space="preserve"> service regional communities in their respective states through regional campuses and strong, local partnerships with regional communities. </w:t>
      </w:r>
    </w:p>
    <w:tbl>
      <w:tblPr>
        <w:tblW w:w="8931" w:type="dxa"/>
        <w:shd w:val="clear" w:color="auto" w:fill="D2E8FF"/>
        <w:tblLook w:val="04A0" w:firstRow="1" w:lastRow="0" w:firstColumn="1" w:lastColumn="0" w:noHBand="0" w:noVBand="1"/>
      </w:tblPr>
      <w:tblGrid>
        <w:gridCol w:w="8931"/>
      </w:tblGrid>
      <w:tr w:rsidR="003B36FF" w:rsidRPr="00C4084C" w14:paraId="39D5198A" w14:textId="77777777" w:rsidTr="00D26B82">
        <w:tc>
          <w:tcPr>
            <w:tcW w:w="8931" w:type="dxa"/>
            <w:shd w:val="clear" w:color="auto" w:fill="D3D4D6"/>
          </w:tcPr>
          <w:p w14:paraId="7AA415D4" w14:textId="18C1E5A3" w:rsidR="003B36FF" w:rsidRPr="00C4084C" w:rsidRDefault="003B36FF" w:rsidP="00570A6C">
            <w:pPr>
              <w:pStyle w:val="Boxtitlessubheadings"/>
            </w:pPr>
            <w:r w:rsidRPr="00C4084C">
              <w:t>Case study: The University of New England SMART Farms</w:t>
            </w:r>
          </w:p>
          <w:p w14:paraId="03E66C4B" w14:textId="4F6BE6BA" w:rsidR="00EE26E5" w:rsidRPr="00C4084C" w:rsidRDefault="003B36FF" w:rsidP="000978AC">
            <w:pPr>
              <w:pStyle w:val="Boxtext0"/>
            </w:pPr>
            <w:r w:rsidRPr="00C4084C">
              <w:t xml:space="preserve">The University of New England’s SMART Farms enable researchers, </w:t>
            </w:r>
            <w:proofErr w:type="gramStart"/>
            <w:r w:rsidRPr="00C4084C">
              <w:t>industry</w:t>
            </w:r>
            <w:proofErr w:type="gramEnd"/>
            <w:r w:rsidRPr="00C4084C">
              <w:t xml:space="preserve"> and community partners to work together on activities related to Sustainable, Manageable, Accessible, Rural Technologies (SMART). Spread across 3,655 hectares, SMART Farms offers a living landscape laboratory for researchers to collaborate with industry to solve local and global real-world problems. Its many areas of current research include sheep and cattle genetic and nutrition research, pasture management, and crop variety development.</w:t>
            </w:r>
            <w:r w:rsidRPr="00C4084C">
              <w:rPr>
                <w:rStyle w:val="FootnoteReference"/>
              </w:rPr>
              <w:footnoteReference w:id="396"/>
            </w:r>
            <w:r w:rsidRPr="00C4084C">
              <w:t xml:space="preserve"> </w:t>
            </w:r>
          </w:p>
        </w:tc>
      </w:tr>
    </w:tbl>
    <w:p w14:paraId="525608C8" w14:textId="222504E9" w:rsidR="00830715" w:rsidRPr="00C4084C" w:rsidRDefault="00830715" w:rsidP="00672889">
      <w:r w:rsidRPr="00C4084C">
        <w:t xml:space="preserve">The social and economic value of the place-based education and research undertaken by regional universities can be easily grasped, although </w:t>
      </w:r>
      <w:proofErr w:type="gramStart"/>
      <w:r w:rsidRPr="00C4084C">
        <w:t>as yet</w:t>
      </w:r>
      <w:proofErr w:type="gramEnd"/>
      <w:r w:rsidRPr="00C4084C">
        <w:t xml:space="preserve"> is not officially measured. Attempts have been </w:t>
      </w:r>
      <w:r w:rsidRPr="00C4084C">
        <w:lastRenderedPageBreak/>
        <w:t>made to do so. In 2018, RUN estimated its member universities contributed $2.4 billion to real GDP in regional Australia, increased real wages by 1.3% in campus regions, and created 11,300 regional jobs.</w:t>
      </w:r>
      <w:r w:rsidRPr="00C4084C">
        <w:rPr>
          <w:rStyle w:val="FootnoteReference"/>
        </w:rPr>
        <w:footnoteReference w:id="397"/>
      </w:r>
      <w:r w:rsidRPr="00C4084C">
        <w:t xml:space="preserve"> </w:t>
      </w:r>
    </w:p>
    <w:p w14:paraId="499BB5B3" w14:textId="7DA58254" w:rsidR="00830715" w:rsidRPr="00C4084C" w:rsidRDefault="00830715" w:rsidP="00672889">
      <w:r w:rsidRPr="00C4084C">
        <w:t>Regional universities play a clearly recognisable role in regional and national development, gradually transforming regions into knowledge economies, increasing the capabilities of the local workforce, and developing technologies (in agriculture, mining</w:t>
      </w:r>
      <w:r w:rsidR="00367CC2" w:rsidRPr="00C4084C">
        <w:t>, remote health services,</w:t>
      </w:r>
      <w:r w:rsidRPr="00C4084C">
        <w:t xml:space="preserve"> and energy generation especially) that improve local and national productivity. </w:t>
      </w:r>
    </w:p>
    <w:p w14:paraId="4DEBD1B4" w14:textId="73CC75AF" w:rsidR="00521DA6" w:rsidRPr="00C4084C" w:rsidRDefault="00830715" w:rsidP="00672889">
      <w:r w:rsidRPr="00C4084C">
        <w:t xml:space="preserve">The unique contribution made by regional universities should be recognised by the proposed Commission. The mission-based compacts it makes with institutions </w:t>
      </w:r>
      <w:r w:rsidR="00521DA6" w:rsidRPr="00C4084C">
        <w:t xml:space="preserve">should include encouraging further community engagement and advancing </w:t>
      </w:r>
      <w:r w:rsidR="00836150" w:rsidRPr="00C4084C">
        <w:t>and valuing</w:t>
      </w:r>
      <w:r w:rsidR="00521DA6" w:rsidRPr="00C4084C">
        <w:t xml:space="preserve"> the civic functions of regional institutions. </w:t>
      </w:r>
    </w:p>
    <w:p w14:paraId="27F04497" w14:textId="40BF5143" w:rsidR="00830715" w:rsidRPr="00C4084C" w:rsidRDefault="00830715" w:rsidP="00745009">
      <w:pPr>
        <w:pStyle w:val="Heading3"/>
      </w:pPr>
      <w:bookmarkStart w:id="1207" w:name="_Toc151468098"/>
      <w:bookmarkStart w:id="1208" w:name="_Toc151468974"/>
      <w:bookmarkStart w:id="1209" w:name="_Toc151469364"/>
      <w:bookmarkStart w:id="1210" w:name="_Toc151470482"/>
      <w:bookmarkStart w:id="1211" w:name="_Toc151470692"/>
      <w:bookmarkStart w:id="1212" w:name="_Toc151471047"/>
      <w:bookmarkStart w:id="1213" w:name="_Toc151548032"/>
      <w:bookmarkStart w:id="1214" w:name="_Toc1151540844"/>
      <w:bookmarkStart w:id="1215" w:name="_Toc159501006"/>
      <w:r w:rsidRPr="00C4084C">
        <w:t xml:space="preserve">Delivering a homegrown workforce to address regional skills </w:t>
      </w:r>
      <w:proofErr w:type="gramStart"/>
      <w:r w:rsidRPr="00C4084C">
        <w:t>needs</w:t>
      </w:r>
      <w:bookmarkEnd w:id="1207"/>
      <w:bookmarkEnd w:id="1208"/>
      <w:bookmarkEnd w:id="1209"/>
      <w:bookmarkEnd w:id="1210"/>
      <w:bookmarkEnd w:id="1211"/>
      <w:bookmarkEnd w:id="1212"/>
      <w:bookmarkEnd w:id="1213"/>
      <w:bookmarkEnd w:id="1214"/>
      <w:bookmarkEnd w:id="1215"/>
      <w:proofErr w:type="gramEnd"/>
    </w:p>
    <w:p w14:paraId="47840B2E" w14:textId="77777777" w:rsidR="00830715" w:rsidRPr="00C4084C" w:rsidRDefault="00830715" w:rsidP="00672889">
      <w:r w:rsidRPr="00C4084C">
        <w:t>If Australia is to achieve the necessary attainment of higher education to meet its future economic and social needs, regional higher education attainment rates must increase. Current rates are far too low. The RUN puts it this way:</w:t>
      </w:r>
    </w:p>
    <w:p w14:paraId="59792F00" w14:textId="253406BF" w:rsidR="00830715" w:rsidRPr="00C4084C" w:rsidRDefault="00830715" w:rsidP="009A2CA7">
      <w:pPr>
        <w:pStyle w:val="Quote"/>
      </w:pPr>
      <w:r w:rsidRPr="00C4084C">
        <w:t xml:space="preserve">…if the one-third of Australians who live outside major cities were ranked as their own country, regional Australia would rank 35 out of 38 OECD countries for </w:t>
      </w:r>
      <w:r w:rsidR="00FF2C1B" w:rsidRPr="00C4084C">
        <w:t>bachelor’s</w:t>
      </w:r>
      <w:r w:rsidRPr="00C4084C">
        <w:t xml:space="preserve"> level attainment amongst 25 to 34-year-olds</w:t>
      </w:r>
      <w:r w:rsidR="00FF2C1B" w:rsidRPr="00C4084C">
        <w:t>.</w:t>
      </w:r>
      <w:r w:rsidRPr="00C4084C">
        <w:t xml:space="preserve"> Regional Australia would need to almost double its attainment rates just to meet the OECD average, while if metropolitan Australia were to be ranked against the OECD as its own country, it would shoot up to 8th position with a 49.4%</w:t>
      </w:r>
      <w:r w:rsidR="005E073C" w:rsidRPr="00C4084C">
        <w:t> </w:t>
      </w:r>
      <w:r w:rsidRPr="00C4084C">
        <w:t>attainment rate.</w:t>
      </w:r>
      <w:r w:rsidRPr="00C4084C">
        <w:rPr>
          <w:rStyle w:val="FootnoteReference"/>
        </w:rPr>
        <w:footnoteReference w:id="398"/>
      </w:r>
    </w:p>
    <w:p w14:paraId="35849075" w14:textId="22A18D50" w:rsidR="00830715" w:rsidRPr="00C4084C" w:rsidRDefault="00830715" w:rsidP="00672889">
      <w:r w:rsidRPr="00C4084C">
        <w:t>To address this problem, the Review recommends</w:t>
      </w:r>
      <w:r w:rsidR="00B119B4" w:rsidRPr="00C4084C">
        <w:t xml:space="preserve"> </w:t>
      </w:r>
      <w:r w:rsidRPr="00C4084C">
        <w:t xml:space="preserve">that the Australian Government adopt a regional, </w:t>
      </w:r>
      <w:proofErr w:type="gramStart"/>
      <w:r w:rsidRPr="00C4084C">
        <w:t>rural</w:t>
      </w:r>
      <w:proofErr w:type="gramEnd"/>
      <w:r w:rsidRPr="00C4084C">
        <w:t xml:space="preserve"> and remote higher education student participation target of 24% by 2035, reflecting their proportion of the total Australian population</w:t>
      </w:r>
      <w:r w:rsidR="00D21DDB" w:rsidRPr="00C4084C">
        <w:t xml:space="preserve"> (see Recommendation </w:t>
      </w:r>
      <w:r w:rsidR="00A36DA4" w:rsidRPr="00C4084C">
        <w:t>10)</w:t>
      </w:r>
      <w:r w:rsidRPr="00C4084C">
        <w:t xml:space="preserve">. </w:t>
      </w:r>
    </w:p>
    <w:p w14:paraId="39A6B4F7" w14:textId="77777777" w:rsidR="00830715" w:rsidRPr="00C4084C" w:rsidRDefault="00830715" w:rsidP="00672889">
      <w:r w:rsidRPr="00C4084C">
        <w:t xml:space="preserve">Such an increase in participation and attainment could be achieved through several means, including through localised employment-based pathways that allow students to continue earning an income in their local communities while retraining in areas of regional workforce need, such as teaching and early childhood education. </w:t>
      </w:r>
    </w:p>
    <w:tbl>
      <w:tblPr>
        <w:tblW w:w="0" w:type="auto"/>
        <w:shd w:val="clear" w:color="auto" w:fill="D2E8FF"/>
        <w:tblLook w:val="04A0" w:firstRow="1" w:lastRow="0" w:firstColumn="1" w:lastColumn="0" w:noHBand="0" w:noVBand="1"/>
      </w:tblPr>
      <w:tblGrid>
        <w:gridCol w:w="9026"/>
      </w:tblGrid>
      <w:tr w:rsidR="002201EB" w:rsidRPr="00C4084C" w14:paraId="64B1C9BC" w14:textId="77777777" w:rsidTr="00D26B82">
        <w:tc>
          <w:tcPr>
            <w:tcW w:w="0" w:type="auto"/>
            <w:shd w:val="clear" w:color="auto" w:fill="D3D4D6"/>
          </w:tcPr>
          <w:p w14:paraId="306D2BAC" w14:textId="7DC92CFC" w:rsidR="00AB14AF" w:rsidRPr="00C4084C" w:rsidRDefault="00AB14AF" w:rsidP="00570A6C">
            <w:pPr>
              <w:pStyle w:val="Boxtitlessubheadings"/>
            </w:pPr>
            <w:r w:rsidRPr="00C4084C">
              <w:lastRenderedPageBreak/>
              <w:t>Case study:</w:t>
            </w:r>
            <w:r w:rsidRPr="00C4084C">
              <w:rPr>
                <w:bCs/>
              </w:rPr>
              <w:t xml:space="preserve"> Harnessing the skills and experience of teacher’s aides and school support staff to expand the teaching </w:t>
            </w:r>
            <w:proofErr w:type="gramStart"/>
            <w:r w:rsidRPr="00C4084C">
              <w:rPr>
                <w:bCs/>
              </w:rPr>
              <w:t>workforce</w:t>
            </w:r>
            <w:proofErr w:type="gramEnd"/>
            <w:r w:rsidRPr="00C4084C">
              <w:rPr>
                <w:bCs/>
              </w:rPr>
              <w:t xml:space="preserve"> </w:t>
            </w:r>
          </w:p>
          <w:p w14:paraId="1941C0DA" w14:textId="797F5378" w:rsidR="00EE26E5" w:rsidRPr="00C4084C" w:rsidRDefault="002201EB" w:rsidP="00672889">
            <w:pPr>
              <w:pStyle w:val="Boxtext0"/>
            </w:pPr>
            <w:r w:rsidRPr="00C4084C">
              <w:t xml:space="preserve">Charles Sturt </w:t>
            </w:r>
            <w:r w:rsidR="00AB14AF" w:rsidRPr="00C4084C">
              <w:t>University’s Collaborative Teacher’s Aide Pathway</w:t>
            </w:r>
            <w:r w:rsidRPr="00C4084C">
              <w:t xml:space="preserve"> program </w:t>
            </w:r>
            <w:r w:rsidR="00AB14AF" w:rsidRPr="00C4084C">
              <w:t xml:space="preserve">helps </w:t>
            </w:r>
            <w:r w:rsidRPr="00C4084C">
              <w:t xml:space="preserve">teacher’s aides </w:t>
            </w:r>
            <w:r w:rsidR="00AB14AF" w:rsidRPr="00C4084C">
              <w:t xml:space="preserve">and other support staff </w:t>
            </w:r>
            <w:r w:rsidRPr="00C4084C">
              <w:t xml:space="preserve">to become qualified teachers to address critical shortages of teaching staff in the regions. </w:t>
            </w:r>
            <w:r w:rsidR="00AB14AF" w:rsidRPr="00C4084C">
              <w:t xml:space="preserve">The program was originally developed in consultation with regional schools and now provides opportunities for students right across Australia. </w:t>
            </w:r>
            <w:r w:rsidRPr="00C4084C">
              <w:t>C</w:t>
            </w:r>
            <w:r w:rsidR="00C529B4">
              <w:t xml:space="preserve">harles </w:t>
            </w:r>
            <w:r w:rsidRPr="00C4084C">
              <w:t>S</w:t>
            </w:r>
            <w:r w:rsidR="00C529B4">
              <w:t xml:space="preserve">turt </w:t>
            </w:r>
            <w:r w:rsidRPr="00C4084C">
              <w:t>U</w:t>
            </w:r>
            <w:r w:rsidR="00C529B4">
              <w:t>niversity</w:t>
            </w:r>
            <w:r w:rsidRPr="00C4084C">
              <w:t xml:space="preserve"> partners with schools to allow teachers’ aides to study a Bachelor of Educational Studies/Master of Teaching online, </w:t>
            </w:r>
            <w:proofErr w:type="gramStart"/>
            <w:r w:rsidR="005F30E1" w:rsidRPr="00C4084C">
              <w:t>full</w:t>
            </w:r>
            <w:r w:rsidR="005F30E1">
              <w:t>-</w:t>
            </w:r>
            <w:r w:rsidRPr="00C4084C">
              <w:t>time</w:t>
            </w:r>
            <w:proofErr w:type="gramEnd"/>
            <w:r w:rsidRPr="00C4084C">
              <w:t xml:space="preserve"> or </w:t>
            </w:r>
            <w:r w:rsidR="00176F92" w:rsidRPr="00C4084C">
              <w:t>part-time</w:t>
            </w:r>
            <w:r w:rsidRPr="00C4084C">
              <w:t xml:space="preserve">, while they continue working. The recognition of the teacher aides’ prior learning allows them to retrain as teachers in as little as </w:t>
            </w:r>
            <w:r w:rsidR="00D16150" w:rsidRPr="00C4084C">
              <w:t xml:space="preserve">2 </w:t>
            </w:r>
            <w:r w:rsidRPr="00C4084C">
              <w:t>years full-time.</w:t>
            </w:r>
            <w:r w:rsidR="00A72F4D" w:rsidRPr="00C4084C">
              <w:rPr>
                <w:rStyle w:val="FootnoteReference"/>
              </w:rPr>
              <w:footnoteReference w:id="399"/>
            </w:r>
          </w:p>
          <w:p w14:paraId="4ECB34B4" w14:textId="24B223FF" w:rsidR="00EE26E5" w:rsidRPr="00C4084C" w:rsidRDefault="00463A62" w:rsidP="00672889">
            <w:pPr>
              <w:pStyle w:val="Boxtext0"/>
            </w:pPr>
            <w:r w:rsidRPr="00C4084C">
              <w:t xml:space="preserve">The Batchelor Institute </w:t>
            </w:r>
            <w:r w:rsidR="00AC7925" w:rsidRPr="00C4084C">
              <w:t xml:space="preserve">of Indigenous Tertiary Education </w:t>
            </w:r>
            <w:r w:rsidRPr="00C4084C">
              <w:t xml:space="preserve">offers an Advanced Diploma of Education, which can lead students into a teaching qualification. The program is helping to broaden the skills and experience of many Senior Indigenous </w:t>
            </w:r>
            <w:proofErr w:type="gramStart"/>
            <w:r w:rsidRPr="00C4084C">
              <w:t>Educators</w:t>
            </w:r>
            <w:proofErr w:type="gramEnd"/>
            <w:r w:rsidRPr="00C4084C">
              <w:t xml:space="preserve"> and</w:t>
            </w:r>
            <w:r w:rsidR="005F30E1">
              <w:t>,</w:t>
            </w:r>
            <w:r w:rsidRPr="00C4084C">
              <w:t xml:space="preserve"> for many, the program offers a chance to be recognised and acknowledged for their long-serving contributions in remote schools.</w:t>
            </w:r>
            <w:r w:rsidR="00802015" w:rsidRPr="00C4084C">
              <w:rPr>
                <w:rStyle w:val="FootnoteReference"/>
              </w:rPr>
              <w:footnoteReference w:id="400"/>
            </w:r>
            <w:r w:rsidRPr="00C4084C">
              <w:rPr>
                <w:rFonts w:ascii="Calibri" w:eastAsia="Yu Gothic Light" w:hAnsi="Calibri" w:cs="Calibri"/>
              </w:rPr>
              <w:t xml:space="preserve"> </w:t>
            </w:r>
          </w:p>
        </w:tc>
      </w:tr>
    </w:tbl>
    <w:p w14:paraId="5D20AAF9" w14:textId="67A983FA" w:rsidR="00BF14F9" w:rsidRPr="00672889" w:rsidRDefault="00830715" w:rsidP="00672889">
      <w:r w:rsidRPr="00C4084C">
        <w:t>Regions also face chronic shortages of rural doctors and allied health workers. This is a national</w:t>
      </w:r>
      <w:r w:rsidR="009D4F37" w:rsidRPr="00C4084C">
        <w:rPr>
          <w:rStyle w:val="FootnoteReference"/>
        </w:rPr>
        <w:footnoteReference w:id="401"/>
      </w:r>
      <w:r w:rsidR="009D4F37" w:rsidRPr="00C4084C">
        <w:t xml:space="preserve"> and international</w:t>
      </w:r>
      <w:r w:rsidR="009D4F37" w:rsidRPr="00C4084C">
        <w:rPr>
          <w:rStyle w:val="FootnoteReference"/>
        </w:rPr>
        <w:footnoteReference w:id="402"/>
      </w:r>
      <w:r w:rsidR="009D4F37" w:rsidRPr="00C4084C">
        <w:t xml:space="preserve"> </w:t>
      </w:r>
      <w:r w:rsidRPr="00C4084C">
        <w:t>problem. The Royal Australian College of General Practitioners has found that the more rural a community is, the less access its population has to GPs and health care.</w:t>
      </w:r>
      <w:r w:rsidRPr="00C4084C">
        <w:rPr>
          <w:rStyle w:val="FootnoteReference"/>
        </w:rPr>
        <w:footnoteReference w:id="403"/>
      </w:r>
      <w:r w:rsidRPr="00C4084C" w:rsidDel="00B34B47">
        <w:t xml:space="preserve"> </w:t>
      </w:r>
      <w:r w:rsidR="00BF14F9" w:rsidRPr="00C4084C" w:rsidDel="00B34B47">
        <w:t>This reduced access to care can lead to poorer health outcomes for people living in rural areas.</w:t>
      </w:r>
      <w:r w:rsidR="00BF14F9" w:rsidRPr="00C4084C">
        <w:rPr>
          <w:rStyle w:val="FootnoteReference"/>
        </w:rPr>
        <w:footnoteReference w:id="404"/>
      </w:r>
      <w:r w:rsidR="00BF14F9" w:rsidRPr="00C4084C" w:rsidDel="00B34B47">
        <w:rPr>
          <w:rStyle w:val="FootnoteReference"/>
        </w:rPr>
        <w:t xml:space="preserve"> </w:t>
      </w:r>
      <w:r w:rsidR="00BF14F9" w:rsidRPr="00672889">
        <w:t>Better access to healthcare in the regions requires an overall increase and better distribution of Australia’s health workforce. This will involve getting more graduates from the cities to come to regional areas, as well as supporting regional universities to grow their own health workforce.</w:t>
      </w:r>
    </w:p>
    <w:p w14:paraId="43BA6E6A" w14:textId="4B238B83" w:rsidR="00830715" w:rsidRPr="00C4084C" w:rsidRDefault="00BF14F9" w:rsidP="00672889">
      <w:r w:rsidRPr="00C4084C">
        <w:t>Studies have shown that health students from regional areas and those who undertake extensive training in a rural setting are more likely to practice in the regions.</w:t>
      </w:r>
      <w:r w:rsidRPr="00C4084C">
        <w:rPr>
          <w:rStyle w:val="FootnoteReference"/>
        </w:rPr>
        <w:footnoteReference w:id="405"/>
      </w:r>
      <w:r w:rsidRPr="00C4084C">
        <w:t xml:space="preserve"> Further, students from rural backgrounds are also more likely than metropolitan origin graduates to remain in rural practice.</w:t>
      </w:r>
      <w:r w:rsidRPr="00C4084C">
        <w:rPr>
          <w:vertAlign w:val="superscript"/>
        </w:rPr>
        <w:footnoteReference w:id="406"/>
      </w:r>
    </w:p>
    <w:tbl>
      <w:tblPr>
        <w:tblW w:w="0" w:type="auto"/>
        <w:shd w:val="clear" w:color="auto" w:fill="D2E8FF"/>
        <w:tblLook w:val="04A0" w:firstRow="1" w:lastRow="0" w:firstColumn="1" w:lastColumn="0" w:noHBand="0" w:noVBand="1"/>
      </w:tblPr>
      <w:tblGrid>
        <w:gridCol w:w="9026"/>
      </w:tblGrid>
      <w:tr w:rsidR="00EC7378" w:rsidRPr="00C4084C" w14:paraId="791D101B" w14:textId="77777777" w:rsidTr="00D26B82">
        <w:tc>
          <w:tcPr>
            <w:tcW w:w="9356" w:type="dxa"/>
            <w:shd w:val="clear" w:color="auto" w:fill="D3D4D6"/>
          </w:tcPr>
          <w:p w14:paraId="3A12B0C5" w14:textId="07F53204" w:rsidR="00EC7378" w:rsidRPr="00C4084C" w:rsidRDefault="00EC7378" w:rsidP="00570A6C">
            <w:pPr>
              <w:pStyle w:val="Boxtitlessubheadings"/>
            </w:pPr>
            <w:r w:rsidRPr="00C4084C">
              <w:lastRenderedPageBreak/>
              <w:t>Case study:  J</w:t>
            </w:r>
            <w:r w:rsidR="001B1AF0">
              <w:t xml:space="preserve">ames </w:t>
            </w:r>
            <w:r w:rsidRPr="00C4084C">
              <w:t>C</w:t>
            </w:r>
            <w:r w:rsidR="001B1AF0">
              <w:t xml:space="preserve">ook </w:t>
            </w:r>
            <w:r w:rsidRPr="00C4084C">
              <w:t>U</w:t>
            </w:r>
            <w:r w:rsidR="001B1AF0">
              <w:t>niversity</w:t>
            </w:r>
            <w:r w:rsidRPr="00C4084C">
              <w:t xml:space="preserve"> Medical School</w:t>
            </w:r>
          </w:p>
          <w:p w14:paraId="1689963E" w14:textId="611BBBC9" w:rsidR="00587976" w:rsidRPr="00C4084C" w:rsidRDefault="00587976" w:rsidP="00672889">
            <w:pPr>
              <w:pStyle w:val="Boxtext0"/>
            </w:pPr>
            <w:r w:rsidRPr="00C4084C">
              <w:t xml:space="preserve">Earlier this year, James Cook University welcomed its first cohort of medical students able to complete their entire </w:t>
            </w:r>
            <w:r w:rsidR="121A0667" w:rsidRPr="00C4084C">
              <w:t>6</w:t>
            </w:r>
            <w:r w:rsidRPr="00C4084C">
              <w:t xml:space="preserve">-year medical degree in Cairns. Prior to this, students based in Cairns needed to travel to Townsville to undertake their early medical training, and then complete their training at clinical schools in either Cairns, </w:t>
            </w:r>
            <w:proofErr w:type="gramStart"/>
            <w:r w:rsidRPr="00C4084C">
              <w:t>Townsville</w:t>
            </w:r>
            <w:proofErr w:type="gramEnd"/>
            <w:r w:rsidRPr="00C4084C">
              <w:t xml:space="preserve"> or Mackay. </w:t>
            </w:r>
          </w:p>
          <w:p w14:paraId="375586B7" w14:textId="7FFFF92A" w:rsidR="00587976" w:rsidRPr="00C4084C" w:rsidRDefault="00587976" w:rsidP="00672889">
            <w:pPr>
              <w:pStyle w:val="Boxtext0"/>
            </w:pPr>
            <w:r w:rsidRPr="00C4084C">
              <w:t xml:space="preserve">Keeping students in their local community supports </w:t>
            </w:r>
            <w:r w:rsidR="001B1AF0" w:rsidRPr="00C4084C">
              <w:t>James Cook University</w:t>
            </w:r>
            <w:r w:rsidRPr="00C4084C">
              <w:t xml:space="preserve">’s efforts to build a local workforce which understands the community and its specific health challenges. </w:t>
            </w:r>
          </w:p>
          <w:p w14:paraId="7A145565" w14:textId="0972DD71" w:rsidR="00EE26E5" w:rsidRPr="00C4084C" w:rsidRDefault="00320932" w:rsidP="00672889">
            <w:pPr>
              <w:pStyle w:val="Boxtext0"/>
              <w:rPr>
                <w:vertAlign w:val="superscript"/>
              </w:rPr>
            </w:pPr>
            <w:r w:rsidRPr="00C4084C">
              <w:t xml:space="preserve">The full medical course program is expanding the success of </w:t>
            </w:r>
            <w:r w:rsidR="001B1AF0" w:rsidRPr="00C4084C">
              <w:t>James Cook University</w:t>
            </w:r>
            <w:r w:rsidRPr="00C4084C">
              <w:t xml:space="preserve">’s medical school. In 2022 half (50%) of </w:t>
            </w:r>
            <w:r w:rsidR="001B1AF0" w:rsidRPr="00C4084C">
              <w:t>James Cook University</w:t>
            </w:r>
            <w:r w:rsidRPr="00C4084C">
              <w:t xml:space="preserve">’s 2,153 </w:t>
            </w:r>
            <w:r w:rsidR="57586740" w:rsidRPr="00C4084C">
              <w:t>registered</w:t>
            </w:r>
            <w:r w:rsidRPr="00C4084C">
              <w:t xml:space="preserve"> medical graduates were based in regional Australia. </w:t>
            </w:r>
            <w:r w:rsidR="000F0FED" w:rsidRPr="00C4084C">
              <w:t xml:space="preserve">By comparison, </w:t>
            </w:r>
            <w:r w:rsidRPr="00C4084C">
              <w:t xml:space="preserve">1 in 5 (19%) medical graduates from other Australian universities were practising outside of major cities in 2022. </w:t>
            </w:r>
            <w:r w:rsidR="001B1AF0" w:rsidRPr="00C4084C">
              <w:t>James Cook University</w:t>
            </w:r>
            <w:r w:rsidRPr="00C4084C">
              <w:t xml:space="preserve"> medical graduates </w:t>
            </w:r>
            <w:r w:rsidR="03E53828" w:rsidRPr="00C4084C">
              <w:t>were also</w:t>
            </w:r>
            <w:r w:rsidRPr="00C4084C">
              <w:t xml:space="preserve"> 5 times more likely to become specialist General Practitioners (GPs) and 65% of </w:t>
            </w:r>
            <w:r w:rsidR="001B1AF0" w:rsidRPr="00C4084C">
              <w:t>James Cook University</w:t>
            </w:r>
            <w:r w:rsidRPr="00C4084C">
              <w:t xml:space="preserve"> GPs were working in regional, </w:t>
            </w:r>
            <w:proofErr w:type="gramStart"/>
            <w:r w:rsidRPr="00C4084C">
              <w:t>rural</w:t>
            </w:r>
            <w:proofErr w:type="gramEnd"/>
            <w:r w:rsidRPr="00C4084C">
              <w:t xml:space="preserve"> or remote areas in 2022.</w:t>
            </w:r>
            <w:r w:rsidRPr="00C4084C">
              <w:rPr>
                <w:vertAlign w:val="superscript"/>
              </w:rPr>
              <w:footnoteReference w:id="407"/>
            </w:r>
          </w:p>
        </w:tc>
      </w:tr>
    </w:tbl>
    <w:p w14:paraId="6D59B256" w14:textId="0BEAB0CB" w:rsidR="00944542" w:rsidRPr="00C4084C" w:rsidRDefault="005D0A31" w:rsidP="00672889">
      <w:pPr>
        <w:spacing w:before="120"/>
      </w:pPr>
      <w:r w:rsidRPr="00C4084C">
        <w:t xml:space="preserve">Continued support for regional programs focused on end-to-end regional training is needed </w:t>
      </w:r>
      <w:r w:rsidR="00C511AC" w:rsidRPr="00C4084C">
        <w:t>to</w:t>
      </w:r>
      <w:r w:rsidRPr="00C4084C">
        <w:t xml:space="preserve"> address the healthcare needs of regional communities. Regional medical training that concentrates on rural generalist skills to deliver General Practitioners to the regions should be prioritised. This will help produce the medical workforce who want to work closely with their local communities and are also trained to address the health challenges within their local communities. The Review also addresses the need to increase the number of medical places in areas of greatest need more generally in </w:t>
      </w:r>
      <w:r w:rsidR="00562404" w:rsidRPr="00C4084C">
        <w:rPr>
          <w:i/>
        </w:rPr>
        <w:fldChar w:fldCharType="begin"/>
      </w:r>
      <w:r w:rsidR="00562404" w:rsidRPr="00C4084C">
        <w:instrText xml:space="preserve"> REF _Ref151932669 \r \h </w:instrText>
      </w:r>
      <w:r w:rsidR="005513E1" w:rsidRPr="00C4084C">
        <w:instrText xml:space="preserve"> \* MERGEFORMAT </w:instrText>
      </w:r>
      <w:r w:rsidR="00562404" w:rsidRPr="00C4084C">
        <w:rPr>
          <w:i/>
        </w:rPr>
      </w:r>
      <w:r w:rsidR="00562404" w:rsidRPr="00C4084C">
        <w:rPr>
          <w:i/>
        </w:rPr>
        <w:fldChar w:fldCharType="separate"/>
      </w:r>
      <w:r w:rsidR="00467B4F" w:rsidRPr="00467B4F">
        <w:rPr>
          <w:i/>
          <w:iCs/>
        </w:rPr>
        <w:t>Chapter 2</w:t>
      </w:r>
      <w:r w:rsidR="00467B4F">
        <w:t xml:space="preserve"> – </w:t>
      </w:r>
      <w:r w:rsidR="00562404" w:rsidRPr="00C4084C">
        <w:rPr>
          <w:i/>
        </w:rPr>
        <w:fldChar w:fldCharType="end"/>
      </w:r>
      <w:r w:rsidR="000043C5" w:rsidRPr="00C4084C">
        <w:rPr>
          <w:i/>
          <w:iCs/>
        </w:rPr>
        <w:fldChar w:fldCharType="begin"/>
      </w:r>
      <w:r w:rsidR="000043C5" w:rsidRPr="00C4084C">
        <w:rPr>
          <w:i/>
          <w:iCs/>
        </w:rPr>
        <w:instrText xml:space="preserve"> REF _Ref151932669 </w:instrText>
      </w:r>
      <w:r w:rsidR="003E50C5" w:rsidRPr="00C4084C">
        <w:rPr>
          <w:i/>
          <w:iCs/>
        </w:rPr>
        <w:instrText xml:space="preserve"> \* MERGEFORMAT </w:instrText>
      </w:r>
      <w:r w:rsidR="000043C5" w:rsidRPr="00C4084C">
        <w:rPr>
          <w:i/>
          <w:iCs/>
        </w:rPr>
        <w:fldChar w:fldCharType="separate"/>
      </w:r>
      <w:r w:rsidR="00467B4F" w:rsidRPr="00467B4F">
        <w:rPr>
          <w:i/>
          <w:iCs/>
        </w:rPr>
        <w:t>Meeting our current and future skills needs</w:t>
      </w:r>
      <w:r w:rsidR="000043C5" w:rsidRPr="00C4084C">
        <w:rPr>
          <w:i/>
          <w:iCs/>
        </w:rPr>
        <w:fldChar w:fldCharType="end"/>
      </w:r>
      <w:r w:rsidR="00944542" w:rsidRPr="00C4084C">
        <w:rPr>
          <w:i/>
          <w:iCs/>
        </w:rPr>
        <w:t>.</w:t>
      </w:r>
    </w:p>
    <w:p w14:paraId="65912425" w14:textId="4B5F7861" w:rsidR="00830715" w:rsidRPr="00C4084C" w:rsidRDefault="00830715" w:rsidP="00BA6095">
      <w:pPr>
        <w:pStyle w:val="Heading4"/>
      </w:pPr>
      <w:bookmarkStart w:id="1216" w:name="_Toc151470693"/>
      <w:bookmarkStart w:id="1217" w:name="_Toc151548033"/>
      <w:bookmarkStart w:id="1218" w:name="_Toc2141747900"/>
      <w:bookmarkStart w:id="1219" w:name="_Toc159501007"/>
      <w:r w:rsidRPr="00C4084C">
        <w:t>Barriers to study</w:t>
      </w:r>
      <w:bookmarkEnd w:id="1216"/>
      <w:bookmarkEnd w:id="1217"/>
      <w:bookmarkEnd w:id="1218"/>
      <w:bookmarkEnd w:id="1219"/>
    </w:p>
    <w:p w14:paraId="0C24802D" w14:textId="77777777" w:rsidR="00830715" w:rsidRPr="00C4084C" w:rsidRDefault="00830715" w:rsidP="00672889">
      <w:r w:rsidRPr="00C4084C">
        <w:t xml:space="preserve">Despite the best efforts of regional providers, many communities still have poor access to higher education. This problem was examined by the Halsey and Napthine Reviews, leading to the introduction of the Tertiary Access Payment and an increase in Commonwealth Grant Scheme funding for regional university campuses. The Review heard repeatedly from stakeholders that expanding regional delivery to increase enrolments and completions for regional students requires a collaborative, coordinated and innovative approach. </w:t>
      </w:r>
    </w:p>
    <w:p w14:paraId="6F5604ED" w14:textId="77777777" w:rsidR="00830715" w:rsidRPr="00C4084C" w:rsidRDefault="00830715" w:rsidP="00E032C4">
      <w:pPr>
        <w:pStyle w:val="Heading5"/>
      </w:pPr>
      <w:bookmarkStart w:id="1220" w:name="_Toc151470694"/>
      <w:bookmarkStart w:id="1221" w:name="_Toc151548034"/>
      <w:r w:rsidRPr="00C4084C">
        <w:t>Compounding disadvantage</w:t>
      </w:r>
      <w:bookmarkEnd w:id="1220"/>
      <w:bookmarkEnd w:id="1221"/>
      <w:r w:rsidRPr="00C4084C">
        <w:t xml:space="preserve"> </w:t>
      </w:r>
    </w:p>
    <w:p w14:paraId="5207FC58" w14:textId="17D1DD75" w:rsidR="00830715" w:rsidRPr="00C4084C" w:rsidRDefault="00830715" w:rsidP="00672889">
      <w:r w:rsidRPr="00C4084C">
        <w:t xml:space="preserve">The barriers facing regional, </w:t>
      </w:r>
      <w:proofErr w:type="gramStart"/>
      <w:r w:rsidRPr="00C4084C">
        <w:t>rural</w:t>
      </w:r>
      <w:proofErr w:type="gramEnd"/>
      <w:r w:rsidRPr="00C4084C">
        <w:t xml:space="preserve"> and remote students begin well before they reach </w:t>
      </w:r>
      <w:r w:rsidR="76C33251" w:rsidRPr="00C4084C">
        <w:t>tertiary</w:t>
      </w:r>
      <w:r w:rsidRPr="00C4084C">
        <w:t xml:space="preserve"> education. Unequal access to early childhood education and primary and secondary schooling makes it more difficult to compete for valued higher education places. At the secondary level, education is affected by problems like chronic teacher shortages and narrow subject choices that prevent students obtaining the necessary prerequisites for courses of their choice. This is particularly so for STEM subjects</w:t>
      </w:r>
      <w:r w:rsidR="00367CC2" w:rsidRPr="00C4084C">
        <w:t xml:space="preserve">, </w:t>
      </w:r>
      <w:r w:rsidR="00557894" w:rsidRPr="00C4084C">
        <w:t xml:space="preserve">principally </w:t>
      </w:r>
      <w:r w:rsidR="77349985" w:rsidRPr="00C4084C">
        <w:t>m</w:t>
      </w:r>
      <w:r w:rsidR="00367CC2" w:rsidRPr="00C4084C">
        <w:t>athematics</w:t>
      </w:r>
      <w:r w:rsidRPr="00C4084C">
        <w:t xml:space="preserve">. </w:t>
      </w:r>
      <w:r w:rsidRPr="00C4084C">
        <w:rPr>
          <w:rStyle w:val="normaltextrun"/>
          <w:color w:val="000000" w:themeColor="text1"/>
        </w:rPr>
        <w:t xml:space="preserve">Secondary schools in regional and remote Australia also often </w:t>
      </w:r>
      <w:r w:rsidRPr="00C4084C">
        <w:t xml:space="preserve">lack access to high-quality careers advice, further narrowing opportunities and limiting aspiration.  </w:t>
      </w:r>
    </w:p>
    <w:p w14:paraId="1768ACBD" w14:textId="77777777" w:rsidR="00830715" w:rsidRPr="00C4084C" w:rsidRDefault="00830715" w:rsidP="00E032C4">
      <w:pPr>
        <w:pStyle w:val="Heading5"/>
      </w:pPr>
      <w:bookmarkStart w:id="1222" w:name="_Toc151470695"/>
      <w:bookmarkStart w:id="1223" w:name="_Toc151548035"/>
      <w:r w:rsidRPr="00C4084C">
        <w:lastRenderedPageBreak/>
        <w:t>Relocation and the Tertiary Access Payment</w:t>
      </w:r>
      <w:bookmarkEnd w:id="1222"/>
      <w:bookmarkEnd w:id="1223"/>
    </w:p>
    <w:p w14:paraId="25B7904D" w14:textId="70F7E199" w:rsidR="00830715" w:rsidRPr="00C4084C" w:rsidRDefault="00830715" w:rsidP="00672889">
      <w:r w:rsidRPr="00C4084C">
        <w:t xml:space="preserve">Regional and remote students often </w:t>
      </w:r>
      <w:proofErr w:type="gramStart"/>
      <w:r w:rsidRPr="00C4084C">
        <w:t>have to</w:t>
      </w:r>
      <w:proofErr w:type="gramEnd"/>
      <w:r w:rsidRPr="00C4084C">
        <w:t xml:space="preserve"> move away from home to undertake their courses. Moving, particularly interstate, is expensive. While several student support programs offer help – Tertiary Access Payment</w:t>
      </w:r>
      <w:r w:rsidR="6FFA4EF4" w:rsidRPr="00C4084C">
        <w:t xml:space="preserve"> (TAP)</w:t>
      </w:r>
      <w:r w:rsidRPr="00C4084C">
        <w:t xml:space="preserve">, Fares Allowance, Relocation </w:t>
      </w:r>
      <w:proofErr w:type="gramStart"/>
      <w:r w:rsidRPr="00C4084C">
        <w:t>Payment</w:t>
      </w:r>
      <w:proofErr w:type="gramEnd"/>
      <w:r w:rsidRPr="00C4084C">
        <w:t xml:space="preserve"> and institutional scholarships – </w:t>
      </w:r>
      <w:r w:rsidR="008244F9">
        <w:t>this is</w:t>
      </w:r>
      <w:r w:rsidRPr="00C4084C">
        <w:t xml:space="preserve"> not always adequate. </w:t>
      </w:r>
    </w:p>
    <w:p w14:paraId="0E2791F3" w14:textId="67645C25" w:rsidR="00830715" w:rsidRPr="00C4084C" w:rsidRDefault="00830715" w:rsidP="00672889">
      <w:r w:rsidRPr="00C4084C">
        <w:t xml:space="preserve">The Napthine Review found that the inadequacy of the supports then available (2019) could generate stress and increase drop-out rates. The then government’s response, the TAP, has now been operational for 3 years, but the Review understands that it has had limited effectiveness, potentially due to its eligibility criteria and the timing of its payments. </w:t>
      </w:r>
    </w:p>
    <w:p w14:paraId="1F16BEB1" w14:textId="6FA67BFA" w:rsidR="00830715" w:rsidRPr="00C4084C" w:rsidRDefault="00830715" w:rsidP="00672889">
      <w:r w:rsidRPr="00C4084C">
        <w:t>Students currently do not receive the TAP until after the census date (typically 6 weeks after the commencement of each semester), to make sure it is paid to students genuinely intending to study. Consequently</w:t>
      </w:r>
      <w:r w:rsidR="4FFF6577" w:rsidRPr="00C4084C">
        <w:t>,</w:t>
      </w:r>
      <w:r w:rsidRPr="00C4084C">
        <w:t xml:space="preserve"> students must finance their relocation up front, and then seek reimbursement. This timing makes it difficult to determine the effectiveness of TAP for its intended purposes of providing financial assistance for relocation. The Review believes that the timing of the TAP should be adjusted to enable students to receive funds when the relocation expenses are incurred, rather than seeking repayment after the census date, thereby </w:t>
      </w:r>
      <w:r w:rsidR="00367CC2" w:rsidRPr="00C4084C">
        <w:t>i</w:t>
      </w:r>
      <w:r w:rsidRPr="00C4084C">
        <w:t xml:space="preserve">ncreasing the incentive value of the payment. </w:t>
      </w:r>
    </w:p>
    <w:p w14:paraId="469E549B" w14:textId="16A5DB45" w:rsidR="00830715" w:rsidRPr="00C4084C" w:rsidRDefault="00830715" w:rsidP="00672889">
      <w:bookmarkStart w:id="1224" w:name="_Hlk150959184"/>
      <w:r w:rsidRPr="00C4084C">
        <w:t xml:space="preserve">To be eligible for the TAP, students must undertake a qualifying tertiary education course in the year following completion of </w:t>
      </w:r>
      <w:r w:rsidR="631A850B" w:rsidRPr="00C4084C">
        <w:t>Y</w:t>
      </w:r>
      <w:r w:rsidRPr="00C4084C">
        <w:t>ear 12 or equivalent</w:t>
      </w:r>
      <w:r w:rsidRPr="00C4084C">
        <w:rPr>
          <w:i/>
          <w:iCs/>
        </w:rPr>
        <w:t>.</w:t>
      </w:r>
      <w:bookmarkEnd w:id="1224"/>
      <w:r w:rsidRPr="00C4084C">
        <w:t xml:space="preserve"> This prevents them taking a gap year. </w:t>
      </w:r>
      <w:r w:rsidR="00A13C25" w:rsidRPr="00C4084C">
        <w:t xml:space="preserve">Some </w:t>
      </w:r>
      <w:r w:rsidR="00CE4A4A" w:rsidRPr="00C4084C">
        <w:t xml:space="preserve">regional, </w:t>
      </w:r>
      <w:proofErr w:type="gramStart"/>
      <w:r w:rsidR="00CE4A4A" w:rsidRPr="00C4084C">
        <w:t>rural</w:t>
      </w:r>
      <w:proofErr w:type="gramEnd"/>
      <w:r w:rsidR="00CE4A4A" w:rsidRPr="00C4084C">
        <w:t xml:space="preserve"> and remote</w:t>
      </w:r>
      <w:r w:rsidR="00A13C25" w:rsidRPr="00C4084C">
        <w:t xml:space="preserve"> students </w:t>
      </w:r>
      <w:r w:rsidRPr="00C4084C">
        <w:t xml:space="preserve">take time out of education after </w:t>
      </w:r>
      <w:r w:rsidR="0160DAA5" w:rsidRPr="00C4084C">
        <w:t>Y</w:t>
      </w:r>
      <w:r w:rsidRPr="00C4084C">
        <w:t>ear 12</w:t>
      </w:r>
      <w:r w:rsidR="00A13C25" w:rsidRPr="00C4084C">
        <w:t xml:space="preserve"> in order to demonstrate independence for Youth Allowance (Student)</w:t>
      </w:r>
      <w:r w:rsidRPr="00C4084C">
        <w:t xml:space="preserve"> </w:t>
      </w:r>
      <w:r w:rsidR="00A13C25" w:rsidRPr="00C4084C">
        <w:t>through work</w:t>
      </w:r>
      <w:r w:rsidR="00CE4A4A" w:rsidRPr="00C4084C">
        <w:t>. Concessional criteria allow</w:t>
      </w:r>
      <w:r w:rsidR="00623A96" w:rsidRPr="00C4084C">
        <w:t xml:space="preserve"> regional</w:t>
      </w:r>
      <w:r w:rsidR="00CE4A4A" w:rsidRPr="00C4084C">
        <w:t xml:space="preserve"> </w:t>
      </w:r>
      <w:r w:rsidR="63DF3EC6" w:rsidRPr="00C4084C">
        <w:t>and remote</w:t>
      </w:r>
      <w:r w:rsidR="00CE4A4A" w:rsidRPr="00C4084C">
        <w:t xml:space="preserve"> students </w:t>
      </w:r>
      <w:r w:rsidR="0096198B" w:rsidRPr="00C4084C">
        <w:t>aged 21 or younger</w:t>
      </w:r>
      <w:r w:rsidR="00ED2911">
        <w:t>, who</w:t>
      </w:r>
      <w:r w:rsidR="00CE4A4A" w:rsidRPr="00C4084C">
        <w:t xml:space="preserve"> meet certain parental income and </w:t>
      </w:r>
      <w:r w:rsidR="0096198B" w:rsidRPr="00C4084C">
        <w:t>family</w:t>
      </w:r>
      <w:r w:rsidR="00CE4A4A" w:rsidRPr="00C4084C">
        <w:t xml:space="preserve"> </w:t>
      </w:r>
      <w:r w:rsidR="0096198B" w:rsidRPr="00C4084C">
        <w:t>address</w:t>
      </w:r>
      <w:r w:rsidR="00CE4A4A" w:rsidRPr="00C4084C">
        <w:t xml:space="preserve"> </w:t>
      </w:r>
      <w:r w:rsidR="0096198B" w:rsidRPr="00C4084C">
        <w:t xml:space="preserve">requirements </w:t>
      </w:r>
      <w:r w:rsidR="00ED2911">
        <w:t xml:space="preserve">and </w:t>
      </w:r>
      <w:r w:rsidR="0096198B" w:rsidRPr="00C4084C">
        <w:t>who have</w:t>
      </w:r>
      <w:r w:rsidRPr="00C4084C">
        <w:t xml:space="preserve"> worked at least 15 hours a week for a minimum of 2 years or earned 75% or more of wage Level A of the National Training Wage Schedule over a 14-month period</w:t>
      </w:r>
      <w:r w:rsidR="00ED2911">
        <w:t>,</w:t>
      </w:r>
      <w:r w:rsidR="0096198B" w:rsidRPr="00C4084C">
        <w:t xml:space="preserve"> to access Youth Allowance (Student) as independents. This means that their parent’s income does not </w:t>
      </w:r>
      <w:r w:rsidR="00835A70" w:rsidRPr="00C4084C">
        <w:t>reduce</w:t>
      </w:r>
      <w:r w:rsidR="0096198B" w:rsidRPr="00C4084C">
        <w:t xml:space="preserve"> the rate of payment they receive</w:t>
      </w:r>
      <w:r w:rsidR="009E593C" w:rsidRPr="00C4084C">
        <w:t>.</w:t>
      </w:r>
      <w:r w:rsidR="0096198B" w:rsidRPr="00C4084C">
        <w:t xml:space="preserve"> </w:t>
      </w:r>
    </w:p>
    <w:p w14:paraId="4320A303" w14:textId="5F3FC534" w:rsidR="00830715" w:rsidRPr="00C4084C" w:rsidRDefault="00830715" w:rsidP="00672889">
      <w:r w:rsidRPr="00C4084C">
        <w:t xml:space="preserve">The Napthine Review </w:t>
      </w:r>
      <w:r w:rsidR="00533C08" w:rsidRPr="00C4084C">
        <w:t>suggested</w:t>
      </w:r>
      <w:r w:rsidRPr="00C4084C">
        <w:t xml:space="preserve"> allowing all students </w:t>
      </w:r>
      <w:r w:rsidR="009F7EE5" w:rsidRPr="00C4084C">
        <w:t xml:space="preserve">(for all tertiary qualifications of one year or more) </w:t>
      </w:r>
      <w:r w:rsidRPr="00C4084C">
        <w:t xml:space="preserve">who relocate from a regional, </w:t>
      </w:r>
      <w:proofErr w:type="gramStart"/>
      <w:r w:rsidRPr="00C4084C">
        <w:t>rural</w:t>
      </w:r>
      <w:proofErr w:type="gramEnd"/>
      <w:r w:rsidRPr="00C4084C">
        <w:t xml:space="preserve"> or remote area to automatically qualify as independent for Youth Allowance purposes</w:t>
      </w:r>
      <w:r w:rsidR="00B401E3" w:rsidRPr="00C4084C">
        <w:t>,</w:t>
      </w:r>
      <w:r w:rsidRPr="00C4084C">
        <w:t xml:space="preserve"> in addition to a one-off relocation allowance at the beginning of the student’s study, implemented as the TAP.</w:t>
      </w:r>
    </w:p>
    <w:p w14:paraId="561A88B9" w14:textId="3F54B1D4" w:rsidR="00830715" w:rsidRPr="00C4084C" w:rsidRDefault="00830715" w:rsidP="00672889">
      <w:r w:rsidRPr="00C4084C">
        <w:t xml:space="preserve">The timing of payments and the gap year provision under the TAP were a focus of the Review’s consultations with regional students. Students questioned the effectiveness of the payment as an incentive and supported measures to deliver immediate financial relief for their relocation expenses. </w:t>
      </w:r>
      <w:r w:rsidR="00F930BE" w:rsidRPr="00C4084C">
        <w:t>The Review finds the</w:t>
      </w:r>
      <w:r w:rsidR="69E6A7B5" w:rsidRPr="00C4084C">
        <w:t xml:space="preserve"> current</w:t>
      </w:r>
      <w:r w:rsidR="00F930BE" w:rsidRPr="00C4084C">
        <w:t xml:space="preserve"> requirement to commence study the year following school </w:t>
      </w:r>
      <w:r w:rsidR="00BE6C1C" w:rsidRPr="00C4084C">
        <w:t xml:space="preserve">to be eligible for the TAP </w:t>
      </w:r>
      <w:r w:rsidR="00F930BE" w:rsidRPr="00C4084C">
        <w:t>should be removed</w:t>
      </w:r>
      <w:r w:rsidR="7F569DB0" w:rsidRPr="00C4084C">
        <w:t>, reflecting that some regional students will work for a year to assist</w:t>
      </w:r>
      <w:r w:rsidR="378A5C1A" w:rsidRPr="00C4084C">
        <w:t xml:space="preserve"> with the cost of </w:t>
      </w:r>
      <w:r w:rsidR="12CD945E" w:rsidRPr="00C4084C">
        <w:t>relocating to study</w:t>
      </w:r>
      <w:r w:rsidR="378A5C1A" w:rsidRPr="00C4084C">
        <w:t>.</w:t>
      </w:r>
      <w:r w:rsidR="00CF679D" w:rsidRPr="00C4084C">
        <w:t xml:space="preserve"> </w:t>
      </w:r>
    </w:p>
    <w:p w14:paraId="52FC0ADB" w14:textId="77777777" w:rsidR="00830715" w:rsidRPr="00C4084C" w:rsidRDefault="00830715" w:rsidP="00672889">
      <w:r w:rsidRPr="00C4084C">
        <w:t xml:space="preserve">In addition, the Review heard from regional students that moving away from family, friends and community affects their overall wellbeing and that living independently in a new town or city without an established support network requires adjustments. </w:t>
      </w:r>
    </w:p>
    <w:p w14:paraId="2A3951BF" w14:textId="0CDF6A9E" w:rsidR="00830715" w:rsidRPr="00C4084C" w:rsidRDefault="00830715" w:rsidP="00672889">
      <w:r w:rsidRPr="00C4084C">
        <w:t xml:space="preserve">The costs for regional students to relocate for higher education, as well as the broader impacts on wellbeing, should be considered by the proposed </w:t>
      </w:r>
      <w:r w:rsidR="00362122" w:rsidRPr="00C4084C">
        <w:t>Commission</w:t>
      </w:r>
      <w:r w:rsidRPr="00C4084C">
        <w:t xml:space="preserve">. This will help identify the adequacy of existing supports for regional students and determine appropriate policy settings to reduce barriers. </w:t>
      </w:r>
      <w:r w:rsidR="005C44FF" w:rsidRPr="00C4084C">
        <w:lastRenderedPageBreak/>
        <w:t>T</w:t>
      </w:r>
      <w:r w:rsidR="009C01AC" w:rsidRPr="00C4084C">
        <w:t>he Commission</w:t>
      </w:r>
      <w:r w:rsidRPr="00C4084C">
        <w:t xml:space="preserve"> </w:t>
      </w:r>
      <w:r w:rsidR="005952D0" w:rsidRPr="00C4084C">
        <w:t xml:space="preserve">should </w:t>
      </w:r>
      <w:r w:rsidRPr="00C4084C">
        <w:t xml:space="preserve">also examine the additional costs, often driven by relocation, that regional students face, and assess the effectiveness of student payments in reducing this barrier. </w:t>
      </w:r>
    </w:p>
    <w:p w14:paraId="7401CC39" w14:textId="77777777" w:rsidR="00830715" w:rsidRPr="00C4084C" w:rsidRDefault="00830715" w:rsidP="0045636C">
      <w:pPr>
        <w:pStyle w:val="Heading5"/>
      </w:pPr>
      <w:bookmarkStart w:id="1225" w:name="_Toc151470696"/>
      <w:bookmarkStart w:id="1226" w:name="_Toc151548036"/>
      <w:r w:rsidRPr="00C4084C">
        <w:t xml:space="preserve">The financial hardship caused by mandatory </w:t>
      </w:r>
      <w:proofErr w:type="gramStart"/>
      <w:r w:rsidRPr="00C4084C">
        <w:t>placements</w:t>
      </w:r>
      <w:bookmarkEnd w:id="1225"/>
      <w:bookmarkEnd w:id="1226"/>
      <w:proofErr w:type="gramEnd"/>
    </w:p>
    <w:p w14:paraId="04049D9F" w14:textId="6D8EBF6F" w:rsidR="00830715" w:rsidRPr="00C4084C" w:rsidRDefault="00830715" w:rsidP="00672889">
      <w:r w:rsidRPr="00C4084C">
        <w:t xml:space="preserve">Regional students provided strong feedback about the vexed issue of mandatory placements. As discussed </w:t>
      </w:r>
      <w:r w:rsidRPr="00FA5678">
        <w:t>in</w:t>
      </w:r>
      <w:r w:rsidR="00FA5678" w:rsidRPr="00F50407">
        <w:rPr>
          <w:i/>
          <w:iCs/>
        </w:rPr>
        <w:t xml:space="preserve"> </w:t>
      </w:r>
      <w:r w:rsidR="00B119B4" w:rsidRPr="00C4084C">
        <w:rPr>
          <w:i/>
        </w:rPr>
        <w:fldChar w:fldCharType="begin"/>
      </w:r>
      <w:r w:rsidR="00B119B4" w:rsidRPr="00C4084C">
        <w:rPr>
          <w:i/>
        </w:rPr>
        <w:instrText xml:space="preserve"> REF _Ref151932669 \r \h </w:instrText>
      </w:r>
      <w:r w:rsidR="005513E1" w:rsidRPr="00C4084C">
        <w:rPr>
          <w:i/>
        </w:rPr>
        <w:instrText xml:space="preserve"> \* MERGEFORMAT </w:instrText>
      </w:r>
      <w:r w:rsidR="00B119B4" w:rsidRPr="00C4084C">
        <w:rPr>
          <w:i/>
        </w:rPr>
      </w:r>
      <w:r w:rsidR="00B119B4" w:rsidRPr="00C4084C">
        <w:rPr>
          <w:i/>
        </w:rPr>
        <w:fldChar w:fldCharType="separate"/>
      </w:r>
      <w:r w:rsidR="00467B4F">
        <w:rPr>
          <w:i/>
        </w:rPr>
        <w:t xml:space="preserve">Chapter 2 – </w:t>
      </w:r>
      <w:r w:rsidR="00B119B4" w:rsidRPr="00C4084C">
        <w:rPr>
          <w:i/>
        </w:rPr>
        <w:fldChar w:fldCharType="end"/>
      </w:r>
      <w:r w:rsidR="00076E04" w:rsidRPr="00C4084C">
        <w:rPr>
          <w:i/>
          <w:iCs/>
        </w:rPr>
        <w:fldChar w:fldCharType="begin"/>
      </w:r>
      <w:r w:rsidR="00076E04" w:rsidRPr="00C4084C">
        <w:rPr>
          <w:i/>
          <w:iCs/>
        </w:rPr>
        <w:instrText xml:space="preserve"> REF _Ref151932669 \h </w:instrText>
      </w:r>
      <w:r w:rsidR="00C511AC" w:rsidRPr="00C4084C">
        <w:rPr>
          <w:i/>
          <w:iCs/>
        </w:rPr>
        <w:instrText xml:space="preserve"> \* MERGEFORMAT </w:instrText>
      </w:r>
      <w:r w:rsidR="00076E04" w:rsidRPr="00C4084C">
        <w:rPr>
          <w:i/>
          <w:iCs/>
        </w:rPr>
      </w:r>
      <w:r w:rsidR="00076E04" w:rsidRPr="00C4084C">
        <w:rPr>
          <w:i/>
          <w:iCs/>
        </w:rPr>
        <w:fldChar w:fldCharType="separate"/>
      </w:r>
      <w:r w:rsidR="00467B4F" w:rsidRPr="00EB483F">
        <w:rPr>
          <w:i/>
        </w:rPr>
        <w:t>Meeting our current and future skills needs</w:t>
      </w:r>
      <w:r w:rsidR="00076E04" w:rsidRPr="00C4084C">
        <w:rPr>
          <w:i/>
          <w:iCs/>
        </w:rPr>
        <w:fldChar w:fldCharType="end"/>
      </w:r>
      <w:r w:rsidRPr="00C4084C">
        <w:t xml:space="preserve">, mandatory </w:t>
      </w:r>
      <w:r w:rsidR="00367CC2" w:rsidRPr="00C4084C">
        <w:t>placements</w:t>
      </w:r>
      <w:r w:rsidRPr="00C4084C">
        <w:t xml:space="preserve"> and clinical training requirements often lead students to forgo paid work to undertake placements, creating considerable financial hardship. These placements can also require students to move or travel long distances, incurring additional costs. </w:t>
      </w:r>
    </w:p>
    <w:p w14:paraId="401F9A6E" w14:textId="1B17F562" w:rsidR="00830715" w:rsidRPr="00C4084C" w:rsidRDefault="00830715" w:rsidP="00672889">
      <w:r w:rsidRPr="00C4084C">
        <w:t xml:space="preserve">The Employment White Paper noted these financial barriers to participation, stating </w:t>
      </w:r>
      <w:r w:rsidR="00EF4C65" w:rsidRPr="00C4084C">
        <w:t>“</w:t>
      </w:r>
      <w:r w:rsidRPr="00C4084C">
        <w:t>additional upfront costs such as transport, childcare, and forgoing unpaid work during placements can result in students changing courses or withdrawing from study entirely</w:t>
      </w:r>
      <w:r w:rsidR="00EF4C65" w:rsidRPr="00C4084C">
        <w:t>”</w:t>
      </w:r>
      <w:r w:rsidR="00AC6AC0">
        <w:t>.</w:t>
      </w:r>
      <w:r w:rsidRPr="00C4084C">
        <w:rPr>
          <w:rStyle w:val="FootnoteReference"/>
        </w:rPr>
        <w:footnoteReference w:id="408"/>
      </w:r>
      <w:r w:rsidRPr="00C4084C">
        <w:t xml:space="preserve"> The Review considers this a crucial issue and has made recommendations in</w:t>
      </w:r>
      <w:r w:rsidR="00B119B4" w:rsidRPr="00C4084C">
        <w:t xml:space="preserve"> </w:t>
      </w:r>
      <w:r w:rsidR="00840998" w:rsidRPr="00C4084C">
        <w:rPr>
          <w:i/>
          <w:iCs/>
        </w:rPr>
        <w:fldChar w:fldCharType="begin"/>
      </w:r>
      <w:r w:rsidR="00840998" w:rsidRPr="00C4084C">
        <w:rPr>
          <w:i/>
          <w:iCs/>
        </w:rPr>
        <w:instrText xml:space="preserve"> REF _Ref151932669 \r \h </w:instrText>
      </w:r>
      <w:r w:rsidR="003E50C5" w:rsidRPr="00C4084C">
        <w:rPr>
          <w:i/>
          <w:iCs/>
        </w:rPr>
        <w:instrText xml:space="preserve"> \* MERGEFORMAT </w:instrText>
      </w:r>
      <w:r w:rsidR="00840998" w:rsidRPr="00C4084C">
        <w:rPr>
          <w:i/>
          <w:iCs/>
        </w:rPr>
      </w:r>
      <w:r w:rsidR="00840998" w:rsidRPr="00C4084C">
        <w:rPr>
          <w:i/>
          <w:iCs/>
        </w:rPr>
        <w:fldChar w:fldCharType="separate"/>
      </w:r>
      <w:r w:rsidR="00467B4F">
        <w:rPr>
          <w:i/>
          <w:iCs/>
        </w:rPr>
        <w:t xml:space="preserve">Chapter 2 – </w:t>
      </w:r>
      <w:r w:rsidR="00840998" w:rsidRPr="00C4084C">
        <w:rPr>
          <w:i/>
          <w:iCs/>
        </w:rPr>
        <w:fldChar w:fldCharType="end"/>
      </w:r>
      <w:r w:rsidR="00840998" w:rsidRPr="00C4084C">
        <w:rPr>
          <w:i/>
          <w:iCs/>
        </w:rPr>
        <w:fldChar w:fldCharType="begin"/>
      </w:r>
      <w:r w:rsidR="00840998" w:rsidRPr="00C4084C">
        <w:rPr>
          <w:i/>
          <w:iCs/>
        </w:rPr>
        <w:instrText xml:space="preserve"> REF _Ref151932669 \h </w:instrText>
      </w:r>
      <w:r w:rsidR="003E50C5" w:rsidRPr="00C4084C">
        <w:rPr>
          <w:i/>
          <w:iCs/>
        </w:rPr>
        <w:instrText xml:space="preserve"> \* MERGEFORMAT </w:instrText>
      </w:r>
      <w:r w:rsidR="00840998" w:rsidRPr="00C4084C">
        <w:rPr>
          <w:i/>
          <w:iCs/>
        </w:rPr>
      </w:r>
      <w:r w:rsidR="00840998" w:rsidRPr="00C4084C">
        <w:rPr>
          <w:i/>
          <w:iCs/>
        </w:rPr>
        <w:fldChar w:fldCharType="separate"/>
      </w:r>
      <w:r w:rsidR="00467B4F" w:rsidRPr="00467B4F">
        <w:rPr>
          <w:i/>
          <w:iCs/>
        </w:rPr>
        <w:t>Meeting our current and future skills needs</w:t>
      </w:r>
      <w:r w:rsidR="00840998" w:rsidRPr="00C4084C">
        <w:rPr>
          <w:i/>
          <w:iCs/>
        </w:rPr>
        <w:fldChar w:fldCharType="end"/>
      </w:r>
      <w:r w:rsidRPr="00C4084C">
        <w:t>.</w:t>
      </w:r>
    </w:p>
    <w:p w14:paraId="1774343F" w14:textId="0099E399" w:rsidR="00830715" w:rsidRPr="00C4084C" w:rsidRDefault="00830715" w:rsidP="00745009">
      <w:pPr>
        <w:pStyle w:val="Heading3"/>
      </w:pPr>
      <w:bookmarkStart w:id="1227" w:name="_Toc151468099"/>
      <w:bookmarkStart w:id="1228" w:name="_Toc151468975"/>
      <w:bookmarkStart w:id="1229" w:name="_Toc151469365"/>
      <w:bookmarkStart w:id="1230" w:name="_Toc151470483"/>
      <w:bookmarkStart w:id="1231" w:name="_Toc151470698"/>
      <w:bookmarkStart w:id="1232" w:name="_Toc151471048"/>
      <w:bookmarkStart w:id="1233" w:name="_Toc151548038"/>
      <w:bookmarkStart w:id="1234" w:name="_Toc1300770536"/>
      <w:bookmarkStart w:id="1235" w:name="_Toc159501008"/>
      <w:r w:rsidRPr="00C4084C">
        <w:t>High cost of delivery and diseconomies of scale in the regions</w:t>
      </w:r>
      <w:bookmarkEnd w:id="1227"/>
      <w:bookmarkEnd w:id="1228"/>
      <w:bookmarkEnd w:id="1229"/>
      <w:bookmarkEnd w:id="1230"/>
      <w:bookmarkEnd w:id="1231"/>
      <w:bookmarkEnd w:id="1232"/>
      <w:bookmarkEnd w:id="1233"/>
      <w:bookmarkEnd w:id="1234"/>
      <w:bookmarkEnd w:id="1235"/>
    </w:p>
    <w:p w14:paraId="600516E6" w14:textId="77777777" w:rsidR="00830715" w:rsidRPr="00C4084C" w:rsidRDefault="00830715" w:rsidP="00A9187D">
      <w:r w:rsidRPr="00C4084C">
        <w:t>Regional universities face considerable financial hurdles compared to their metropolitan counterparts. These can be summarised as follows:</w:t>
      </w:r>
    </w:p>
    <w:p w14:paraId="3E4C505E" w14:textId="70968DB6" w:rsidR="00830715" w:rsidRPr="00C4084C" w:rsidRDefault="00830715" w:rsidP="00F50407">
      <w:pPr>
        <w:pStyle w:val="ListBullet"/>
      </w:pPr>
      <w:r w:rsidRPr="00C4084C">
        <w:t xml:space="preserve">In comparison to their metropolitan counterparts, regional universities often lack high-value investments, valuable infrastructure, established and diverse revenue profiles, and philanthropic </w:t>
      </w:r>
      <w:proofErr w:type="gramStart"/>
      <w:r w:rsidR="004870F0" w:rsidRPr="00C4084C">
        <w:t>support</w:t>
      </w:r>
      <w:proofErr w:type="gramEnd"/>
    </w:p>
    <w:p w14:paraId="10B405AF" w14:textId="77777777" w:rsidR="00830715" w:rsidRPr="00C4084C" w:rsidRDefault="00830715" w:rsidP="00F50407">
      <w:pPr>
        <w:pStyle w:val="ListBullet"/>
      </w:pPr>
      <w:r w:rsidRPr="00C4084C">
        <w:t>They receive little or no external funding for much of their community engagement work.</w:t>
      </w:r>
    </w:p>
    <w:p w14:paraId="654AD4C0" w14:textId="5AC764F2" w:rsidR="00830715" w:rsidRPr="00C4084C" w:rsidRDefault="00830715" w:rsidP="00F50407">
      <w:pPr>
        <w:pStyle w:val="ListBullet"/>
      </w:pPr>
      <w:r w:rsidRPr="00C4084C">
        <w:t xml:space="preserve">Because they need to be geographically spread, they often find themselves maintaining expensive campuses and courses with </w:t>
      </w:r>
      <w:r w:rsidR="004870F0" w:rsidRPr="00C4084C">
        <w:t xml:space="preserve">lower student </w:t>
      </w:r>
      <w:proofErr w:type="gramStart"/>
      <w:r w:rsidR="004870F0" w:rsidRPr="00C4084C">
        <w:t>density</w:t>
      </w:r>
      <w:proofErr w:type="gramEnd"/>
      <w:r w:rsidRPr="00C4084C">
        <w:t xml:space="preserve"> </w:t>
      </w:r>
    </w:p>
    <w:p w14:paraId="02D0C336" w14:textId="2E786C0F" w:rsidR="00830715" w:rsidRPr="00C4084C" w:rsidRDefault="00830715" w:rsidP="00F50407">
      <w:pPr>
        <w:pStyle w:val="ListBullet"/>
        <w:rPr>
          <w:rStyle w:val="FootnoteReference"/>
          <w:vertAlign w:val="baseline"/>
        </w:rPr>
      </w:pPr>
      <w:r w:rsidRPr="00C4084C">
        <w:t>Regionally headquartered universities receive a low proportion of Australia’s competitive research funding – 7%, compared to 93% for metropolitan universities, and 69% for Group of Eight universities (based on 2021 research income).</w:t>
      </w:r>
      <w:r w:rsidRPr="00C4084C">
        <w:rPr>
          <w:rStyle w:val="FootnoteReference"/>
        </w:rPr>
        <w:footnoteReference w:id="409"/>
      </w:r>
      <w:r w:rsidR="625CBAE3" w:rsidRPr="00C4084C">
        <w:rPr>
          <w:rStyle w:val="FootnoteReference"/>
        </w:rPr>
        <w:t xml:space="preserve"> </w:t>
      </w:r>
      <w:r w:rsidR="625CBAE3" w:rsidRPr="00C4084C">
        <w:rPr>
          <w:rStyle w:val="FootnoteReference"/>
          <w:vertAlign w:val="baseline"/>
        </w:rPr>
        <w:t xml:space="preserve">These universities </w:t>
      </w:r>
      <w:r w:rsidR="423E3B26" w:rsidRPr="00C4084C">
        <w:rPr>
          <w:rStyle w:val="FootnoteReference"/>
          <w:vertAlign w:val="baseline"/>
        </w:rPr>
        <w:t xml:space="preserve">also receive </w:t>
      </w:r>
      <w:r w:rsidR="6F5545AA" w:rsidRPr="00C4084C">
        <w:rPr>
          <w:rStyle w:val="FootnoteReference"/>
          <w:vertAlign w:val="baseline"/>
        </w:rPr>
        <w:t xml:space="preserve">less than </w:t>
      </w:r>
      <w:r w:rsidR="423E3B26" w:rsidRPr="00C4084C">
        <w:rPr>
          <w:rStyle w:val="FootnoteReference"/>
          <w:vertAlign w:val="baseline"/>
        </w:rPr>
        <w:t xml:space="preserve">a </w:t>
      </w:r>
      <w:r w:rsidR="6F5545AA" w:rsidRPr="00C4084C">
        <w:rPr>
          <w:rStyle w:val="FootnoteReference"/>
          <w:vertAlign w:val="baseline"/>
        </w:rPr>
        <w:t>third</w:t>
      </w:r>
      <w:r w:rsidR="423E3B26" w:rsidRPr="00C4084C">
        <w:rPr>
          <w:rStyle w:val="FootnoteReference"/>
          <w:vertAlign w:val="baseline"/>
        </w:rPr>
        <w:t xml:space="preserve"> of research income from the</w:t>
      </w:r>
      <w:r w:rsidR="5005FC58" w:rsidRPr="00C4084C">
        <w:rPr>
          <w:rStyle w:val="FootnoteReference"/>
          <w:vertAlign w:val="baseline"/>
        </w:rPr>
        <w:t xml:space="preserve"> Rural Research and Development Corporations (RDCs), </w:t>
      </w:r>
      <w:r w:rsidR="72B8B4FE" w:rsidRPr="00C4084C">
        <w:rPr>
          <w:rStyle w:val="FootnoteReference"/>
          <w:vertAlign w:val="baseline"/>
        </w:rPr>
        <w:t xml:space="preserve">a network of organisations </w:t>
      </w:r>
      <w:r w:rsidR="0AC87D06" w:rsidRPr="00C4084C">
        <w:rPr>
          <w:rStyle w:val="FootnoteReference"/>
          <w:vertAlign w:val="baseline"/>
        </w:rPr>
        <w:t>that</w:t>
      </w:r>
      <w:r w:rsidR="72B8B4FE" w:rsidRPr="00C4084C">
        <w:rPr>
          <w:rStyle w:val="FootnoteReference"/>
          <w:vertAlign w:val="baseline"/>
        </w:rPr>
        <w:t xml:space="preserve"> drive innovation and improvement for rural industries, receiving 27% </w:t>
      </w:r>
      <w:r w:rsidR="4AADEB29" w:rsidRPr="00C4084C">
        <w:rPr>
          <w:rStyle w:val="FootnoteReference"/>
          <w:vertAlign w:val="baseline"/>
        </w:rPr>
        <w:t xml:space="preserve">of income from the RDCs </w:t>
      </w:r>
      <w:r w:rsidR="72B8B4FE" w:rsidRPr="00C4084C">
        <w:rPr>
          <w:rStyle w:val="FootnoteReference"/>
          <w:vertAlign w:val="baseline"/>
        </w:rPr>
        <w:t xml:space="preserve">in </w:t>
      </w:r>
      <w:r w:rsidR="058C0117" w:rsidRPr="00C4084C">
        <w:rPr>
          <w:rStyle w:val="FootnoteReference"/>
          <w:vertAlign w:val="baseline"/>
        </w:rPr>
        <w:t>2021</w:t>
      </w:r>
      <w:r w:rsidR="007731CC" w:rsidRPr="00C4084C">
        <w:rPr>
          <w:rStyle w:val="FootnoteReference"/>
        </w:rPr>
        <w:footnoteReference w:id="410"/>
      </w:r>
    </w:p>
    <w:p w14:paraId="1DE5285A" w14:textId="5CD6549D" w:rsidR="7971A1BB" w:rsidRPr="00C4084C" w:rsidRDefault="00E81073" w:rsidP="00F50407">
      <w:pPr>
        <w:pStyle w:val="ListBullet"/>
      </w:pPr>
      <w:r w:rsidRPr="00C4084C">
        <w:t xml:space="preserve">Regional universities </w:t>
      </w:r>
      <w:r w:rsidR="00830715" w:rsidRPr="00C4084C">
        <w:t>operate in thinner student markets and have higher proportions of part-time, First Nations and low SES students, with associated costs of delivery</w:t>
      </w:r>
      <w:r w:rsidR="00807366" w:rsidRPr="00C4084C">
        <w:t xml:space="preserve">, and more than 84% of </w:t>
      </w:r>
      <w:r w:rsidR="00CC1ACB" w:rsidRPr="00C4084C">
        <w:t xml:space="preserve">students enrolled are in </w:t>
      </w:r>
      <w:r w:rsidR="00807366" w:rsidRPr="00C4084C">
        <w:t xml:space="preserve">online and multi-modal </w:t>
      </w:r>
      <w:r w:rsidR="00CC1ACB" w:rsidRPr="00C4084C">
        <w:t xml:space="preserve">(combination of online and face-to-face) </w:t>
      </w:r>
      <w:r w:rsidR="00807366" w:rsidRPr="00C4084C">
        <w:t>enrolments</w:t>
      </w:r>
      <w:r w:rsidR="00A120A2" w:rsidRPr="00C4084C">
        <w:rPr>
          <w:rStyle w:val="FootnoteReference"/>
        </w:rPr>
        <w:footnoteReference w:id="411"/>
      </w:r>
    </w:p>
    <w:p w14:paraId="5D27074B" w14:textId="2578EAB8" w:rsidR="00830715" w:rsidRPr="00C4084C" w:rsidRDefault="00830715" w:rsidP="00F50407">
      <w:pPr>
        <w:pStyle w:val="ListBullet"/>
      </w:pPr>
      <w:r w:rsidRPr="00C4084C">
        <w:t xml:space="preserve">Their remote locations can cause supply chain issues and additional expenses, making the maintenance and building of infrastructure and facilities more costly than in </w:t>
      </w:r>
      <w:proofErr w:type="gramStart"/>
      <w:r w:rsidRPr="00C4084C">
        <w:t>cities</w:t>
      </w:r>
      <w:proofErr w:type="gramEnd"/>
      <w:r w:rsidRPr="00C4084C">
        <w:t xml:space="preserve"> </w:t>
      </w:r>
    </w:p>
    <w:p w14:paraId="3D4FB21F" w14:textId="2AD16CF6" w:rsidR="00830715" w:rsidRPr="00C4084C" w:rsidRDefault="00830715" w:rsidP="00F50407">
      <w:pPr>
        <w:pStyle w:val="ListBullet"/>
      </w:pPr>
      <w:r w:rsidRPr="00C4084C">
        <w:lastRenderedPageBreak/>
        <w:t xml:space="preserve">Difficulties in building new infrastructure reduce their capacity to compete with metropolitan universities to attract students, particularly international students and those wanting a more contemporary learning </w:t>
      </w:r>
      <w:proofErr w:type="gramStart"/>
      <w:r w:rsidRPr="00C4084C">
        <w:t>environment</w:t>
      </w:r>
      <w:proofErr w:type="gramEnd"/>
    </w:p>
    <w:p w14:paraId="35711BFD" w14:textId="3F4DE439" w:rsidR="00830715" w:rsidRPr="00C4084C" w:rsidRDefault="00830715" w:rsidP="00F50407">
      <w:pPr>
        <w:pStyle w:val="ListBullet"/>
      </w:pPr>
      <w:r w:rsidRPr="00C4084C">
        <w:t xml:space="preserve">They often find the cost of regulatory compliance more difficult to absorb than their city counterparts, as they operate in </w:t>
      </w:r>
      <w:r w:rsidR="00EB3A08" w:rsidRPr="00C4084C">
        <w:t>reduced-density</w:t>
      </w:r>
      <w:r w:rsidRPr="00C4084C">
        <w:t xml:space="preserve"> environments and managing compliance activities can involve a diversion of resources away from core </w:t>
      </w:r>
      <w:proofErr w:type="gramStart"/>
      <w:r w:rsidRPr="00C4084C">
        <w:t>businesses</w:t>
      </w:r>
      <w:proofErr w:type="gramEnd"/>
    </w:p>
    <w:p w14:paraId="0697DA8F" w14:textId="08EB7270" w:rsidR="00191EEE" w:rsidRPr="00C4084C" w:rsidRDefault="00191EEE" w:rsidP="00F50407">
      <w:pPr>
        <w:pStyle w:val="ListBullet"/>
      </w:pPr>
      <w:r w:rsidRPr="00C4084C">
        <w:t xml:space="preserve">The challenge of sustaining their regional footprint within the existing funding policy settings means many regional universities also establish campuses in </w:t>
      </w:r>
      <w:r w:rsidR="009F556C" w:rsidRPr="00C4084C">
        <w:t>s</w:t>
      </w:r>
      <w:r w:rsidRPr="00C4084C">
        <w:t xml:space="preserve">tate capitals to attract international students </w:t>
      </w:r>
      <w:r w:rsidR="00B8205B" w:rsidRPr="00C4084C">
        <w:t>to</w:t>
      </w:r>
      <w:r w:rsidRPr="00C4084C">
        <w:t xml:space="preserve"> achieve economies of scale, and </w:t>
      </w:r>
      <w:r w:rsidR="00316EFB" w:rsidRPr="00C4084C">
        <w:t xml:space="preserve">to </w:t>
      </w:r>
      <w:r w:rsidRPr="00C4084C">
        <w:t xml:space="preserve">be financially sustainable in the current system. </w:t>
      </w:r>
    </w:p>
    <w:p w14:paraId="4F4B92C0" w14:textId="77777777" w:rsidR="00830715" w:rsidRPr="00C4084C" w:rsidRDefault="00830715" w:rsidP="00A9187D">
      <w:r w:rsidRPr="00C4084C">
        <w:t>These diseconomies of scale – and indeed the full cost of educational delivery in regional Australia – need to be addressed as a matter of urgency.</w:t>
      </w:r>
    </w:p>
    <w:p w14:paraId="2149A16D" w14:textId="55C4BB15" w:rsidR="00830715" w:rsidRPr="00C4084C" w:rsidRDefault="1E8E9264">
      <w:pPr>
        <w:rPr>
          <w:rFonts w:ascii="Calibri" w:eastAsia="Calibri" w:hAnsi="Calibri" w:cs="Calibri"/>
          <w:color w:val="FF0000"/>
        </w:rPr>
      </w:pPr>
      <w:r w:rsidRPr="00C4084C">
        <w:rPr>
          <w:rFonts w:ascii="Calibri" w:eastAsia="Calibri" w:hAnsi="Calibri" w:cs="Calibri"/>
        </w:rPr>
        <w:t xml:space="preserve">The Review believes action is needed. Without adequate investment in new, maintained and replacement infrastructure, there will likely be an exacerbation of the existing financial pressures felt by regional universities as well as further erosion of student load in regional areas. To support overall system growth and greater participation of regional and remote students, the specific infrastructure needs of regional universities </w:t>
      </w:r>
      <w:proofErr w:type="gramStart"/>
      <w:r w:rsidR="00B052DB">
        <w:rPr>
          <w:rFonts w:ascii="Calibri" w:eastAsia="Calibri" w:hAnsi="Calibri" w:cs="Calibri"/>
        </w:rPr>
        <w:t>have to</w:t>
      </w:r>
      <w:proofErr w:type="gramEnd"/>
      <w:r w:rsidR="00B052DB">
        <w:rPr>
          <w:rFonts w:ascii="Calibri" w:eastAsia="Calibri" w:hAnsi="Calibri" w:cs="Calibri"/>
        </w:rPr>
        <w:t xml:space="preserve"> be addressed</w:t>
      </w:r>
      <w:r w:rsidRPr="00C4084C">
        <w:rPr>
          <w:rFonts w:ascii="Calibri" w:eastAsia="Calibri" w:hAnsi="Calibri" w:cs="Calibri"/>
        </w:rPr>
        <w:t xml:space="preserve">. The Review considers that this could be managed through the proposed Higher Education Future Fund. </w:t>
      </w:r>
      <w:r w:rsidR="45696016" w:rsidRPr="00C4084C">
        <w:rPr>
          <w:rFonts w:ascii="Calibri" w:eastAsia="Calibri" w:hAnsi="Calibri" w:cs="Calibri"/>
        </w:rPr>
        <w:t xml:space="preserve">The Review has also heard of critical infrastructure needs that warrant consideration of direct and more urgent funding, including significant maintenance backlogs </w:t>
      </w:r>
      <w:r w:rsidR="00B052DB">
        <w:rPr>
          <w:rFonts w:ascii="Calibri" w:eastAsia="Calibri" w:hAnsi="Calibri" w:cs="Calibri"/>
        </w:rPr>
        <w:t>affecting</w:t>
      </w:r>
      <w:r w:rsidR="00B052DB" w:rsidRPr="00C4084C">
        <w:rPr>
          <w:rFonts w:ascii="Calibri" w:eastAsia="Calibri" w:hAnsi="Calibri" w:cs="Calibri"/>
        </w:rPr>
        <w:t xml:space="preserve"> </w:t>
      </w:r>
      <w:r w:rsidR="45696016" w:rsidRPr="00C4084C">
        <w:rPr>
          <w:rFonts w:ascii="Calibri" w:eastAsia="Calibri" w:hAnsi="Calibri" w:cs="Calibri"/>
        </w:rPr>
        <w:t xml:space="preserve">regional universities and their ability to deliver and attract students, </w:t>
      </w:r>
      <w:proofErr w:type="gramStart"/>
      <w:r w:rsidR="45696016" w:rsidRPr="00C4084C">
        <w:rPr>
          <w:rFonts w:ascii="Calibri" w:eastAsia="Calibri" w:hAnsi="Calibri" w:cs="Calibri"/>
        </w:rPr>
        <w:t>staff</w:t>
      </w:r>
      <w:proofErr w:type="gramEnd"/>
      <w:r w:rsidR="45696016" w:rsidRPr="00C4084C">
        <w:rPr>
          <w:rFonts w:ascii="Calibri" w:eastAsia="Calibri" w:hAnsi="Calibri" w:cs="Calibri"/>
        </w:rPr>
        <w:t xml:space="preserve"> and research funding.  </w:t>
      </w:r>
    </w:p>
    <w:p w14:paraId="20C285A0" w14:textId="663A74E9" w:rsidR="00830715" w:rsidRPr="00C4084C" w:rsidRDefault="00830715" w:rsidP="00A9187D">
      <w:r w:rsidRPr="00C4084C">
        <w:t xml:space="preserve">The Review also heard from regional Vice-Chancellors about the operational challenges of the current funding model, given that </w:t>
      </w:r>
      <w:r w:rsidR="56DD40E8" w:rsidRPr="00C4084C">
        <w:t>Commonwealth supported place</w:t>
      </w:r>
      <w:r w:rsidRPr="00C4084C">
        <w:t xml:space="preserve"> funding is based on equivalent full time student load (EFTSL). Vice-Chancellors noted that the cost of supporting part-time students is proportionately greater than for full-time students, as infrastructure and services are effectively driven by headcount, rather than EFTSL. </w:t>
      </w:r>
    </w:p>
    <w:p w14:paraId="2B038F07" w14:textId="66DB5D4C" w:rsidR="00335AC4" w:rsidRPr="008726EA" w:rsidRDefault="00335AC4" w:rsidP="00A9187D">
      <w:r w:rsidRPr="008726EA">
        <w:t xml:space="preserve">The University of New England’s </w:t>
      </w:r>
      <w:r w:rsidR="5FBA4F16" w:rsidRPr="008726EA">
        <w:t xml:space="preserve">discussions </w:t>
      </w:r>
      <w:r w:rsidR="27A7FD20" w:rsidRPr="008726EA">
        <w:t>with</w:t>
      </w:r>
      <w:r w:rsidR="001C1061" w:rsidRPr="008726EA">
        <w:t xml:space="preserve">, </w:t>
      </w:r>
      <w:r w:rsidR="5FBA4F16" w:rsidRPr="008726EA">
        <w:t xml:space="preserve">and </w:t>
      </w:r>
      <w:r w:rsidRPr="008726EA">
        <w:t>submission to</w:t>
      </w:r>
      <w:r w:rsidR="001C1061" w:rsidRPr="008726EA">
        <w:t>,</w:t>
      </w:r>
      <w:r w:rsidRPr="008726EA">
        <w:t xml:space="preserve"> the Review noted: </w:t>
      </w:r>
    </w:p>
    <w:p w14:paraId="7D125D72" w14:textId="0897258C" w:rsidR="00830715" w:rsidRPr="00C4084C" w:rsidRDefault="00830715" w:rsidP="009A2CA7">
      <w:pPr>
        <w:pStyle w:val="Quote"/>
        <w:rPr>
          <w:color w:val="000000"/>
        </w:rPr>
      </w:pPr>
      <w:r w:rsidRPr="00C4084C">
        <w:t>…many costs for students’ supports are incurred per-capita, as are costs associated with built facilities, residential accommodation, resources, placements, and digital licensing. Having a higher proportion of part-time students means having a higher proportion of cost per student within one funded EFTSL (i.e. one funded EFTSL will need to be stretched to support 2–3 students).</w:t>
      </w:r>
      <w:r w:rsidR="00EE4FF0" w:rsidRPr="00C4084C">
        <w:rPr>
          <w:rStyle w:val="FootnoteReference"/>
        </w:rPr>
        <w:footnoteReference w:id="412"/>
      </w:r>
    </w:p>
    <w:p w14:paraId="4497D0C1" w14:textId="7AEE6FD0" w:rsidR="00830715" w:rsidRPr="00C4084C" w:rsidRDefault="00830715" w:rsidP="00A9187D">
      <w:r w:rsidRPr="00C4084C">
        <w:rPr>
          <w:color w:val="000000" w:themeColor="text1"/>
        </w:rPr>
        <w:t xml:space="preserve">Currently, </w:t>
      </w:r>
      <w:r w:rsidRPr="00C4084C">
        <w:t xml:space="preserve">the </w:t>
      </w:r>
      <w:r w:rsidR="00EA706C" w:rsidRPr="00C4084C">
        <w:t>Australian</w:t>
      </w:r>
      <w:r w:rsidRPr="00C4084C">
        <w:t xml:space="preserve"> Government provides </w:t>
      </w:r>
      <w:r w:rsidR="1D9456DA" w:rsidRPr="00C4084C">
        <w:t xml:space="preserve">a </w:t>
      </w:r>
      <w:r w:rsidRPr="00C4084C">
        <w:t>regional loading to recognise the additional cost of providing higher education in regional and remote Australia, through the Regional Loading Program. The level of funding provided is determined by the number of enrolments and remoteness of the campus – the more remote a campus, the more funding is provided. Remoteness categories are defined using the ABS Australian Statistical Geography Standard</w:t>
      </w:r>
      <w:r w:rsidR="00A90BA5" w:rsidRPr="00C4084C">
        <w:t xml:space="preserve"> </w:t>
      </w:r>
      <w:r w:rsidRPr="00C4084C">
        <w:t xml:space="preserve">Remoteness Structure. </w:t>
      </w:r>
    </w:p>
    <w:p w14:paraId="70633854" w14:textId="46CEB0E8" w:rsidR="00CF7003" w:rsidRPr="00C4084C" w:rsidRDefault="00830715" w:rsidP="00285443">
      <w:r w:rsidRPr="00C4084C">
        <w:lastRenderedPageBreak/>
        <w:t>Recognising and addressing the costs of educational delivery in regional Australia, including the regional loading, is discussed further below and in</w:t>
      </w:r>
      <w:r w:rsidR="00B119B4" w:rsidRPr="00C4084C">
        <w:t xml:space="preserve"> </w:t>
      </w:r>
      <w:r w:rsidR="00B119B4" w:rsidRPr="00C4084C">
        <w:fldChar w:fldCharType="begin"/>
      </w:r>
      <w:r w:rsidR="00B119B4" w:rsidRPr="00C4084C">
        <w:instrText xml:space="preserve"> REF _Ref151934381 \r \h </w:instrText>
      </w:r>
      <w:r w:rsidR="00E965D1" w:rsidRPr="00C4084C">
        <w:instrText xml:space="preserve"> \* MERGEFORMAT </w:instrText>
      </w:r>
      <w:r w:rsidR="00B119B4" w:rsidRPr="00C4084C">
        <w:fldChar w:fldCharType="separate"/>
      </w:r>
      <w:r w:rsidR="00467B4F" w:rsidRPr="00467B4F">
        <w:rPr>
          <w:i/>
        </w:rPr>
        <w:t xml:space="preserve">Chapter 8 – </w:t>
      </w:r>
      <w:r w:rsidR="00B119B4" w:rsidRPr="00C4084C">
        <w:fldChar w:fldCharType="end"/>
      </w:r>
      <w:r w:rsidR="00562404" w:rsidRPr="00C4084C">
        <w:rPr>
          <w:i/>
          <w:iCs/>
        </w:rPr>
        <w:fldChar w:fldCharType="begin"/>
      </w:r>
      <w:r w:rsidR="00562404" w:rsidRPr="00C4084C">
        <w:rPr>
          <w:i/>
          <w:iCs/>
        </w:rPr>
        <w:instrText xml:space="preserve"> REF _Ref152711319 \h  \* MERGEFORMAT </w:instrText>
      </w:r>
      <w:r w:rsidR="00562404" w:rsidRPr="00C4084C">
        <w:rPr>
          <w:i/>
          <w:iCs/>
        </w:rPr>
      </w:r>
      <w:r w:rsidR="00562404" w:rsidRPr="00C4084C">
        <w:rPr>
          <w:i/>
          <w:iCs/>
        </w:rPr>
        <w:fldChar w:fldCharType="separate"/>
      </w:r>
      <w:r w:rsidR="00467B4F" w:rsidRPr="00467B4F">
        <w:rPr>
          <w:i/>
          <w:iCs/>
        </w:rPr>
        <w:t>A new funding model to underpin</w:t>
      </w:r>
      <w:r w:rsidR="00467B4F" w:rsidRPr="00467B4F">
        <w:rPr>
          <w:i/>
        </w:rPr>
        <w:t xml:space="preserve"> growth and quality</w:t>
      </w:r>
      <w:r w:rsidR="00562404" w:rsidRPr="00C4084C">
        <w:rPr>
          <w:i/>
          <w:iCs/>
        </w:rPr>
        <w:fldChar w:fldCharType="end"/>
      </w:r>
      <w:r w:rsidRPr="00C4084C">
        <w:rPr>
          <w:i/>
          <w:iCs/>
        </w:rPr>
        <w:t>.</w:t>
      </w:r>
    </w:p>
    <w:tbl>
      <w:tblPr>
        <w:tblW w:w="0" w:type="auto"/>
        <w:shd w:val="clear" w:color="auto" w:fill="FBE4D5"/>
        <w:tblLook w:val="04A0" w:firstRow="1" w:lastRow="0" w:firstColumn="1" w:lastColumn="0" w:noHBand="0" w:noVBand="1"/>
      </w:tblPr>
      <w:tblGrid>
        <w:gridCol w:w="9026"/>
      </w:tblGrid>
      <w:tr w:rsidR="00CF7003" w:rsidRPr="00C4084C" w14:paraId="05786049" w14:textId="77777777" w:rsidTr="00D26B82">
        <w:tc>
          <w:tcPr>
            <w:tcW w:w="9026" w:type="dxa"/>
            <w:shd w:val="clear" w:color="auto" w:fill="B0C3DB"/>
          </w:tcPr>
          <w:p w14:paraId="2E35A90E" w14:textId="02658D4D" w:rsidR="00861704" w:rsidRPr="00861704" w:rsidRDefault="0080264E" w:rsidP="003E5969">
            <w:pPr>
              <w:pStyle w:val="Findinginchapterheading"/>
            </w:pPr>
            <w:r w:rsidRPr="003E5969">
              <w:rPr>
                <w:rFonts w:ascii="Calibri" w:eastAsia="Yu Gothic Light" w:hAnsi="Calibri" w:cs="Calibri"/>
                <w:szCs w:val="24"/>
              </w:rPr>
              <w:t>Finding</w:t>
            </w:r>
            <w:r w:rsidR="00861704">
              <w:rPr>
                <w:szCs w:val="24"/>
              </w:rPr>
              <w:t xml:space="preserve">: </w:t>
            </w:r>
            <w:r w:rsidR="00CF7003" w:rsidRPr="00C4084C">
              <w:t>Regional</w:t>
            </w:r>
          </w:p>
          <w:p w14:paraId="2974EB6C" w14:textId="6A85E882" w:rsidR="00CF7003" w:rsidRPr="00C4084C" w:rsidRDefault="00CF7003" w:rsidP="003E5969">
            <w:pPr>
              <w:pStyle w:val="Boxtext0"/>
              <w:spacing w:before="0"/>
            </w:pPr>
            <w:r w:rsidRPr="00C4084C">
              <w:t xml:space="preserve">Regional tertiary education providers play a crucial role in Australian society. They deliver local jobs, make significant social and </w:t>
            </w:r>
            <w:r w:rsidRPr="00C90689">
              <w:t>economic</w:t>
            </w:r>
            <w:r w:rsidRPr="00C4084C">
              <w:t xml:space="preserve"> contributions to their local communities, provide relevant research and many other tangible benefits. </w:t>
            </w:r>
          </w:p>
        </w:tc>
      </w:tr>
    </w:tbl>
    <w:p w14:paraId="4D7236E6" w14:textId="3D7C0B03" w:rsidR="00830715" w:rsidRPr="00C4084C" w:rsidRDefault="00830715" w:rsidP="00745009">
      <w:pPr>
        <w:pStyle w:val="Heading3"/>
      </w:pPr>
      <w:bookmarkStart w:id="1236" w:name="_Toc151468100"/>
      <w:bookmarkStart w:id="1237" w:name="_Toc151468976"/>
      <w:bookmarkStart w:id="1238" w:name="_Toc151469366"/>
      <w:bookmarkStart w:id="1239" w:name="_Toc151470484"/>
      <w:bookmarkStart w:id="1240" w:name="_Toc151470700"/>
      <w:bookmarkStart w:id="1241" w:name="_Toc151471049"/>
      <w:bookmarkStart w:id="1242" w:name="_Toc151548040"/>
      <w:bookmarkStart w:id="1243" w:name="_Toc1021735874"/>
      <w:bookmarkStart w:id="1244" w:name="_Toc159501009"/>
      <w:r w:rsidRPr="00C4084C">
        <w:t>A way forward</w:t>
      </w:r>
      <w:bookmarkEnd w:id="1236"/>
      <w:bookmarkEnd w:id="1237"/>
      <w:bookmarkEnd w:id="1238"/>
      <w:bookmarkEnd w:id="1239"/>
      <w:bookmarkEnd w:id="1240"/>
      <w:bookmarkEnd w:id="1241"/>
      <w:bookmarkEnd w:id="1242"/>
      <w:bookmarkEnd w:id="1243"/>
      <w:bookmarkEnd w:id="1244"/>
    </w:p>
    <w:p w14:paraId="31B0E2F5" w14:textId="652577CE" w:rsidR="00830715" w:rsidRPr="00C4084C" w:rsidRDefault="00830715" w:rsidP="00BA6095">
      <w:pPr>
        <w:pStyle w:val="Heading4"/>
      </w:pPr>
      <w:bookmarkStart w:id="1245" w:name="_Toc151470701"/>
      <w:bookmarkStart w:id="1246" w:name="_Toc151548041"/>
      <w:bookmarkStart w:id="1247" w:name="_Toc1883349840"/>
      <w:bookmarkStart w:id="1248" w:name="_Toc159501010"/>
      <w:r w:rsidRPr="00C4084C">
        <w:t>Needs</w:t>
      </w:r>
      <w:r w:rsidR="005841A5" w:rsidRPr="00C4084C">
        <w:t>-</w:t>
      </w:r>
      <w:r w:rsidRPr="00C4084C">
        <w:t>based funding for students</w:t>
      </w:r>
      <w:bookmarkEnd w:id="1245"/>
      <w:bookmarkEnd w:id="1246"/>
      <w:r w:rsidRPr="00C4084C">
        <w:t xml:space="preserve"> studying at regional </w:t>
      </w:r>
      <w:proofErr w:type="gramStart"/>
      <w:r w:rsidRPr="00C4084C">
        <w:t>universities</w:t>
      </w:r>
      <w:bookmarkEnd w:id="1247"/>
      <w:bookmarkEnd w:id="1248"/>
      <w:proofErr w:type="gramEnd"/>
      <w:r w:rsidRPr="00C4084C">
        <w:t xml:space="preserve"> </w:t>
      </w:r>
    </w:p>
    <w:p w14:paraId="69FF9CD4" w14:textId="1F9D9FC4" w:rsidR="00830715" w:rsidRPr="002F08B7" w:rsidRDefault="00830715" w:rsidP="00A9187D">
      <w:r w:rsidRPr="00C4084C">
        <w:t>As discussed in</w:t>
      </w:r>
      <w:r w:rsidR="00277CDB" w:rsidRPr="00C4084C">
        <w:t xml:space="preserve"> </w:t>
      </w:r>
      <w:r w:rsidR="00277CDB" w:rsidRPr="002F08B7">
        <w:rPr>
          <w:i/>
          <w:iCs/>
        </w:rPr>
        <w:fldChar w:fldCharType="begin"/>
      </w:r>
      <w:r w:rsidR="00277CDB" w:rsidRPr="002F08B7">
        <w:rPr>
          <w:i/>
          <w:iCs/>
        </w:rPr>
        <w:instrText xml:space="preserve"> REF _Ref151934425 \r \h  \* MERGEFORMAT </w:instrText>
      </w:r>
      <w:r w:rsidR="00277CDB" w:rsidRPr="002F08B7">
        <w:rPr>
          <w:i/>
          <w:iCs/>
        </w:rPr>
      </w:r>
      <w:r w:rsidR="00277CDB" w:rsidRPr="002F08B7">
        <w:rPr>
          <w:i/>
          <w:iCs/>
        </w:rPr>
        <w:fldChar w:fldCharType="separate"/>
      </w:r>
      <w:r w:rsidR="00467B4F" w:rsidRPr="002F08B7">
        <w:rPr>
          <w:i/>
          <w:iCs/>
        </w:rPr>
        <w:t xml:space="preserve">Chapter 3 – </w:t>
      </w:r>
      <w:r w:rsidR="00277CDB" w:rsidRPr="002F08B7">
        <w:rPr>
          <w:i/>
          <w:iCs/>
        </w:rPr>
        <w:fldChar w:fldCharType="end"/>
      </w:r>
      <w:r w:rsidR="00DA7838" w:rsidRPr="002F08B7">
        <w:rPr>
          <w:i/>
          <w:iCs/>
        </w:rPr>
        <w:fldChar w:fldCharType="begin"/>
      </w:r>
      <w:r w:rsidR="00DA7838" w:rsidRPr="002F08B7">
        <w:rPr>
          <w:i/>
          <w:iCs/>
        </w:rPr>
        <w:instrText xml:space="preserve"> REF _Ref151934425 \h </w:instrText>
      </w:r>
      <w:r w:rsidR="00BC5895" w:rsidRPr="002F08B7">
        <w:rPr>
          <w:i/>
          <w:iCs/>
        </w:rPr>
        <w:instrText xml:space="preserve"> \* MERGEFORMAT </w:instrText>
      </w:r>
      <w:r w:rsidR="00DA7838" w:rsidRPr="002F08B7">
        <w:rPr>
          <w:i/>
          <w:iCs/>
        </w:rPr>
      </w:r>
      <w:r w:rsidR="00DA7838" w:rsidRPr="002F08B7">
        <w:rPr>
          <w:i/>
          <w:iCs/>
        </w:rPr>
        <w:fldChar w:fldCharType="separate"/>
      </w:r>
      <w:r w:rsidR="00467B4F" w:rsidRPr="002F08B7">
        <w:rPr>
          <w:i/>
          <w:iCs/>
        </w:rPr>
        <w:t>Expanding opportunity to all</w:t>
      </w:r>
      <w:r w:rsidR="00DA7838" w:rsidRPr="002F08B7">
        <w:rPr>
          <w:i/>
          <w:iCs/>
        </w:rPr>
        <w:fldChar w:fldCharType="end"/>
      </w:r>
      <w:r w:rsidR="00277CDB" w:rsidRPr="00C4084C">
        <w:rPr>
          <w:iCs/>
        </w:rPr>
        <w:t xml:space="preserve"> and</w:t>
      </w:r>
      <w:r w:rsidRPr="00C4084C">
        <w:t xml:space="preserve"> </w:t>
      </w:r>
      <w:r w:rsidR="00277CDB" w:rsidRPr="002F08B7">
        <w:rPr>
          <w:i/>
          <w:iCs/>
        </w:rPr>
        <w:fldChar w:fldCharType="begin"/>
      </w:r>
      <w:r w:rsidR="00277CDB" w:rsidRPr="002F08B7">
        <w:rPr>
          <w:i/>
          <w:iCs/>
        </w:rPr>
        <w:instrText xml:space="preserve"> REF _Ref151934381 \r \h  \* MERGEFORMAT </w:instrText>
      </w:r>
      <w:r w:rsidR="00277CDB" w:rsidRPr="002F08B7">
        <w:rPr>
          <w:i/>
          <w:iCs/>
        </w:rPr>
      </w:r>
      <w:r w:rsidR="00277CDB" w:rsidRPr="002F08B7">
        <w:rPr>
          <w:i/>
          <w:iCs/>
        </w:rPr>
        <w:fldChar w:fldCharType="separate"/>
      </w:r>
      <w:r w:rsidR="00467B4F" w:rsidRPr="002F08B7">
        <w:rPr>
          <w:i/>
          <w:iCs/>
        </w:rPr>
        <w:t xml:space="preserve">Chapter 8 – </w:t>
      </w:r>
      <w:r w:rsidR="00277CDB" w:rsidRPr="002F08B7">
        <w:rPr>
          <w:i/>
          <w:iCs/>
        </w:rPr>
        <w:fldChar w:fldCharType="end"/>
      </w:r>
      <w:r w:rsidR="00BC5895" w:rsidRPr="002F08B7">
        <w:rPr>
          <w:i/>
          <w:iCs/>
        </w:rPr>
        <w:fldChar w:fldCharType="begin"/>
      </w:r>
      <w:r w:rsidR="00BC5895" w:rsidRPr="002F08B7">
        <w:rPr>
          <w:i/>
          <w:iCs/>
        </w:rPr>
        <w:instrText xml:space="preserve"> REF _Ref153217716 \h </w:instrText>
      </w:r>
      <w:r w:rsidR="00944542" w:rsidRPr="002F08B7">
        <w:rPr>
          <w:i/>
          <w:iCs/>
        </w:rPr>
        <w:instrText xml:space="preserve"> \* MERGEFORMAT </w:instrText>
      </w:r>
      <w:r w:rsidR="00BC5895" w:rsidRPr="002F08B7">
        <w:rPr>
          <w:i/>
          <w:iCs/>
        </w:rPr>
      </w:r>
      <w:r w:rsidR="00BC5895" w:rsidRPr="002F08B7">
        <w:rPr>
          <w:i/>
          <w:iCs/>
        </w:rPr>
        <w:fldChar w:fldCharType="separate"/>
      </w:r>
      <w:r w:rsidR="00467B4F" w:rsidRPr="002F08B7">
        <w:rPr>
          <w:i/>
          <w:iCs/>
        </w:rPr>
        <w:t>A new funding model to underpin growth and quality</w:t>
      </w:r>
      <w:r w:rsidR="00BC5895" w:rsidRPr="002F08B7">
        <w:rPr>
          <w:i/>
          <w:iCs/>
        </w:rPr>
        <w:fldChar w:fldCharType="end"/>
      </w:r>
      <w:r w:rsidR="004807C4" w:rsidRPr="00C4084C">
        <w:t>,</w:t>
      </w:r>
      <w:r w:rsidRPr="00C4084C">
        <w:t xml:space="preserve"> the Review recommends needs-based funding be incorporated into base funding to support the expansion of participation in higher education. As the Review’s Interim Report suggested, this could be </w:t>
      </w:r>
      <w:proofErr w:type="gramStart"/>
      <w:r w:rsidRPr="00C4084C">
        <w:t>similar to</w:t>
      </w:r>
      <w:proofErr w:type="gramEnd"/>
      <w:r w:rsidRPr="00C4084C">
        <w:t xml:space="preserve"> the equity-based Schooling Resourcing Standard (SRS). </w:t>
      </w:r>
    </w:p>
    <w:p w14:paraId="726BCEE9" w14:textId="0FBF6542" w:rsidR="00830715" w:rsidRPr="00C4084C" w:rsidRDefault="00830715" w:rsidP="00A9187D">
      <w:bookmarkStart w:id="1249" w:name="_Ref152331735"/>
      <w:r w:rsidRPr="00C4084C">
        <w:t>In response to the Interim Report, the Mitchell Institute developed a needs-based higher education funding model, using the SRS as a guide. Under such a scheme, regionally headquartered universities, which tend to have higher proportions of low</w:t>
      </w:r>
      <w:r w:rsidR="7A328E3A" w:rsidRPr="00C4084C">
        <w:t xml:space="preserve"> </w:t>
      </w:r>
      <w:r w:rsidRPr="00C4084C">
        <w:t>SES students (2</w:t>
      </w:r>
      <w:r w:rsidR="2A29ABF2" w:rsidRPr="00C4084C">
        <w:t>3.6</w:t>
      </w:r>
      <w:r w:rsidRPr="00C4084C">
        <w:t xml:space="preserve">% of enrolments on average compared to </w:t>
      </w:r>
      <w:r w:rsidR="0C970F4C" w:rsidRPr="00C4084C">
        <w:t>9.8</w:t>
      </w:r>
      <w:r w:rsidRPr="00C4084C">
        <w:t>% for metropolitan universities) would gain the most.</w:t>
      </w:r>
      <w:r w:rsidRPr="00C4084C">
        <w:rPr>
          <w:rStyle w:val="FootnoteReference"/>
        </w:rPr>
        <w:footnoteReference w:id="413"/>
      </w:r>
      <w:r w:rsidRPr="00C4084C">
        <w:t xml:space="preserve"> In developing the needs-based funding model</w:t>
      </w:r>
      <w:bookmarkStart w:id="1250" w:name="_Ref151931096"/>
      <w:r w:rsidR="005E4874" w:rsidRPr="00C4084C">
        <w:t>,</w:t>
      </w:r>
      <w:r w:rsidR="005E4874" w:rsidRPr="00C4084C">
        <w:rPr>
          <w:rFonts w:ascii="Arial" w:hAnsi="Arial" w:cs="Arial"/>
        </w:rPr>
        <w:t xml:space="preserve"> </w:t>
      </w:r>
      <w:r w:rsidR="005E4874" w:rsidRPr="00C4084C">
        <w:t>the Government should ensure that regional universities are better off compared to the current system, recognising their essential role in achieving the goals of this Review.</w:t>
      </w:r>
      <w:bookmarkEnd w:id="1250"/>
    </w:p>
    <w:p w14:paraId="1978642C" w14:textId="3AE15C63" w:rsidR="004277F6" w:rsidRPr="00D26B82" w:rsidRDefault="006E4538" w:rsidP="005E5C5F">
      <w:pPr>
        <w:pStyle w:val="Caption"/>
        <w:rPr>
          <w:rFonts w:ascii="Calibri" w:eastAsia="Calibri" w:hAnsi="Calibri" w:cs="Calibri"/>
          <w:b/>
          <w:bCs/>
          <w:sz w:val="24"/>
          <w:szCs w:val="24"/>
        </w:rPr>
      </w:pPr>
      <w:bookmarkStart w:id="1251" w:name="_Ref152339314"/>
      <w:bookmarkStart w:id="1252" w:name="_Ref153217783"/>
      <w:bookmarkStart w:id="1253" w:name="_Toc154674798"/>
      <w:r w:rsidRPr="00D26B82">
        <w:rPr>
          <w:b/>
          <w:bCs/>
          <w:sz w:val="24"/>
          <w:szCs w:val="24"/>
        </w:rPr>
        <w:t xml:space="preserve">Figure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36</w:t>
      </w:r>
      <w:r w:rsidRPr="00D26B82">
        <w:rPr>
          <w:b/>
          <w:bCs/>
          <w:sz w:val="24"/>
          <w:szCs w:val="24"/>
        </w:rPr>
        <w:fldChar w:fldCharType="end"/>
      </w:r>
      <w:bookmarkEnd w:id="1249"/>
      <w:bookmarkEnd w:id="1251"/>
      <w:r w:rsidR="0096084F" w:rsidRPr="00D26B82">
        <w:rPr>
          <w:b/>
          <w:bCs/>
          <w:sz w:val="24"/>
          <w:szCs w:val="24"/>
        </w:rPr>
        <w:t xml:space="preserve">: </w:t>
      </w:r>
      <w:r w:rsidR="7301EFFD" w:rsidRPr="00D26B82">
        <w:rPr>
          <w:rFonts w:ascii="Calibri" w:eastAsia="Calibri" w:hAnsi="Calibri" w:cs="Calibri"/>
          <w:b/>
          <w:bCs/>
          <w:i/>
          <w:sz w:val="24"/>
          <w:szCs w:val="24"/>
        </w:rPr>
        <w:t xml:space="preserve"> </w:t>
      </w:r>
      <w:r w:rsidR="7301EFFD" w:rsidRPr="00D26B82">
        <w:rPr>
          <w:rFonts w:ascii="Calibri" w:eastAsia="Calibri" w:hAnsi="Calibri" w:cs="Calibri"/>
          <w:b/>
          <w:bCs/>
          <w:iCs w:val="0"/>
          <w:sz w:val="24"/>
          <w:szCs w:val="24"/>
        </w:rPr>
        <w:t xml:space="preserve">Share of </w:t>
      </w:r>
      <w:r w:rsidR="004D3863" w:rsidRPr="00D26B82">
        <w:rPr>
          <w:rFonts w:ascii="Calibri" w:eastAsia="Calibri" w:hAnsi="Calibri" w:cs="Calibri"/>
          <w:b/>
          <w:bCs/>
          <w:iCs w:val="0"/>
          <w:sz w:val="24"/>
          <w:szCs w:val="24"/>
        </w:rPr>
        <w:t xml:space="preserve">target cohort </w:t>
      </w:r>
      <w:r w:rsidR="7301EFFD" w:rsidRPr="00D26B82">
        <w:rPr>
          <w:rFonts w:ascii="Calibri" w:eastAsia="Calibri" w:hAnsi="Calibri" w:cs="Calibri"/>
          <w:b/>
          <w:bCs/>
          <w:iCs w:val="0"/>
          <w:sz w:val="24"/>
          <w:szCs w:val="24"/>
        </w:rPr>
        <w:t>student participation at metropolitan and regional universities, 2022</w:t>
      </w:r>
      <w:bookmarkEnd w:id="1252"/>
      <w:r w:rsidR="00A307D9" w:rsidRPr="00D26B82">
        <w:rPr>
          <w:rFonts w:ascii="Calibri" w:eastAsia="Calibri" w:hAnsi="Calibri" w:cs="Calibri"/>
          <w:b/>
          <w:bCs/>
          <w:sz w:val="24"/>
          <w:szCs w:val="24"/>
        </w:rPr>
        <w:t>.</w:t>
      </w:r>
      <w:bookmarkEnd w:id="1253"/>
    </w:p>
    <w:p w14:paraId="640759D1" w14:textId="78E0133F" w:rsidR="006A65B4" w:rsidRDefault="006A65B4" w:rsidP="00570A6C">
      <w:pPr>
        <w:pStyle w:val="Source"/>
      </w:pPr>
      <w:r>
        <w:rPr>
          <w:noProof/>
        </w:rPr>
        <w:drawing>
          <wp:inline distT="0" distB="0" distL="0" distR="0" wp14:anchorId="43215AB4" wp14:editId="1876935B">
            <wp:extent cx="5763064" cy="2413591"/>
            <wp:effectExtent l="0" t="0" r="0" b="0"/>
            <wp:docPr id="1175485906" name="Graphic 36" descr="Clustered column graph comparing the percentage of students with disability, First Nations students and students from Low SES backgrounds enrolled at regionally headquartered or metropolitan headquartered universities. The graph shows a higher percentage of each cohort enrolled at regional univers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485906" name="Graphic 36" descr="Clustered column graph comparing the percentage of students with disability, First Nations students and students from Low SES backgrounds enrolled at regionally headquartered or metropolitan headquartered universities. The graph shows a higher percentage of each cohort enrolled at regional universities. "/>
                    <pic:cNvPicPr/>
                  </pic:nvPicPr>
                  <pic:blipFill>
                    <a:blip r:embed="rId145">
                      <a:extLst>
                        <a:ext uri="{28A0092B-C50C-407E-A947-70E740481C1C}">
                          <a14:useLocalDpi xmlns:a14="http://schemas.microsoft.com/office/drawing/2010/main" val="0"/>
                        </a:ext>
                        <a:ext uri="{96DAC541-7B7A-43D3-8B79-37D633B846F1}">
                          <asvg:svgBlip xmlns:asvg="http://schemas.microsoft.com/office/drawing/2016/SVG/main" r:embed="rId146"/>
                        </a:ext>
                      </a:extLst>
                    </a:blip>
                    <a:stretch>
                      <a:fillRect/>
                    </a:stretch>
                  </pic:blipFill>
                  <pic:spPr>
                    <a:xfrm>
                      <a:off x="0" y="0"/>
                      <a:ext cx="5777291" cy="2419549"/>
                    </a:xfrm>
                    <a:prstGeom prst="rect">
                      <a:avLst/>
                    </a:prstGeom>
                  </pic:spPr>
                </pic:pic>
              </a:graphicData>
            </a:graphic>
          </wp:inline>
        </w:drawing>
      </w:r>
    </w:p>
    <w:p w14:paraId="167B1F57" w14:textId="384256C3" w:rsidR="00F27DEC" w:rsidRPr="00C4084C" w:rsidRDefault="00F27DEC" w:rsidP="00570A6C">
      <w:pPr>
        <w:pStyle w:val="Source"/>
      </w:pPr>
      <w:r w:rsidRPr="00C4084C">
        <w:t xml:space="preserve">Source: </w:t>
      </w:r>
      <w:r w:rsidR="00227574" w:rsidRPr="00C4084C">
        <w:t xml:space="preserve">Department of Education, </w:t>
      </w:r>
      <w:r w:rsidRPr="00C4084C">
        <w:t xml:space="preserve">Selected Higher Education Statistics – 2022 Student data, </w:t>
      </w:r>
      <w:r w:rsidR="0085387C" w:rsidRPr="00C4084C">
        <w:t xml:space="preserve">(Canberra: </w:t>
      </w:r>
      <w:r w:rsidRPr="00C4084C">
        <w:t>2023</w:t>
      </w:r>
      <w:r w:rsidR="0085387C" w:rsidRPr="00C4084C">
        <w:t>)</w:t>
      </w:r>
      <w:r w:rsidRPr="00C4084C">
        <w:t>,</w:t>
      </w:r>
      <w:r w:rsidR="0085387C" w:rsidRPr="00C4084C">
        <w:t xml:space="preserve"> published 18 December 2023, </w:t>
      </w:r>
      <w:r w:rsidR="00B14963" w:rsidRPr="00C4084C">
        <w:t>https://www.education.gov.au/higher-education-statistics/student-data/selected-higher-education-statistics-2022-student-data</w:t>
      </w:r>
    </w:p>
    <w:p w14:paraId="317466FE" w14:textId="761E5E2A" w:rsidR="00A307D9" w:rsidRPr="00C4084C" w:rsidRDefault="00A307D9" w:rsidP="00570A6C">
      <w:pPr>
        <w:pStyle w:val="Source"/>
      </w:pPr>
      <w:r w:rsidRPr="00C4084C">
        <w:lastRenderedPageBreak/>
        <w:t>Note: Low SES is defined by first address.</w:t>
      </w:r>
    </w:p>
    <w:p w14:paraId="0C6E0CAC" w14:textId="333EB96E" w:rsidR="00F27DEC" w:rsidRPr="00C4084C" w:rsidRDefault="004622A5" w:rsidP="00F27DEC">
      <w:pPr>
        <w:spacing w:before="120" w:after="120" w:line="280" w:lineRule="atLeast"/>
        <w:rPr>
          <w:rFonts w:ascii="Calibri" w:eastAsia="Calibri" w:hAnsi="Calibri" w:cs="Arial"/>
          <w:szCs w:val="20"/>
        </w:rPr>
      </w:pPr>
      <w:r w:rsidRPr="00C4084C">
        <w:rPr>
          <w:rFonts w:ascii="Calibri" w:eastAsia="Calibri" w:hAnsi="Calibri" w:cs="Arial"/>
        </w:rPr>
        <w:fldChar w:fldCharType="begin"/>
      </w:r>
      <w:r w:rsidRPr="00C4084C">
        <w:rPr>
          <w:rFonts w:ascii="Calibri" w:eastAsia="Calibri" w:hAnsi="Calibri" w:cs="Arial"/>
        </w:rPr>
        <w:instrText xml:space="preserve"> REF _Ref152339314 \h </w:instrText>
      </w:r>
      <w:r w:rsidR="00F802FB" w:rsidRPr="00C4084C">
        <w:rPr>
          <w:rFonts w:ascii="Calibri" w:eastAsia="Calibri" w:hAnsi="Calibri" w:cs="Arial"/>
        </w:rPr>
        <w:instrText xml:space="preserve"> \* MERGEFORMAT </w:instrText>
      </w:r>
      <w:r w:rsidRPr="00C4084C">
        <w:rPr>
          <w:rFonts w:ascii="Calibri" w:eastAsia="Calibri" w:hAnsi="Calibri" w:cs="Arial"/>
        </w:rPr>
      </w:r>
      <w:r w:rsidRPr="00C4084C">
        <w:rPr>
          <w:rFonts w:ascii="Calibri" w:eastAsia="Calibri" w:hAnsi="Calibri" w:cs="Arial"/>
        </w:rPr>
        <w:fldChar w:fldCharType="separate"/>
      </w:r>
      <w:r w:rsidR="00467B4F" w:rsidRPr="00C4084C">
        <w:t xml:space="preserve">Figure </w:t>
      </w:r>
      <w:r w:rsidR="00467B4F">
        <w:rPr>
          <w:noProof/>
        </w:rPr>
        <w:t>36</w:t>
      </w:r>
      <w:r w:rsidRPr="00C4084C">
        <w:rPr>
          <w:rFonts w:ascii="Calibri" w:eastAsia="Calibri" w:hAnsi="Calibri" w:cs="Arial"/>
        </w:rPr>
        <w:fldChar w:fldCharType="end"/>
      </w:r>
      <w:r w:rsidR="00F27DEC" w:rsidRPr="00C4084C">
        <w:rPr>
          <w:rFonts w:ascii="Calibri" w:eastAsia="Calibri" w:hAnsi="Calibri" w:cs="Arial"/>
        </w:rPr>
        <w:t xml:space="preserve"> </w:t>
      </w:r>
      <w:r w:rsidR="00F27DEC" w:rsidRPr="00C4084C">
        <w:rPr>
          <w:rFonts w:ascii="Calibri" w:eastAsia="Calibri" w:hAnsi="Calibri" w:cs="Arial"/>
          <w:szCs w:val="20"/>
        </w:rPr>
        <w:t xml:space="preserve">(above) and </w:t>
      </w:r>
      <w:r w:rsidR="00D92C18" w:rsidRPr="00C4084C">
        <w:rPr>
          <w:rFonts w:ascii="Calibri" w:eastAsia="Calibri" w:hAnsi="Calibri" w:cs="Arial"/>
          <w:szCs w:val="20"/>
        </w:rPr>
        <w:fldChar w:fldCharType="begin"/>
      </w:r>
      <w:r w:rsidR="00D92C18" w:rsidRPr="00C4084C">
        <w:rPr>
          <w:rFonts w:ascii="Calibri" w:eastAsia="Calibri" w:hAnsi="Calibri" w:cs="Arial"/>
          <w:szCs w:val="20"/>
        </w:rPr>
        <w:instrText xml:space="preserve"> REF _Ref152922628 \h </w:instrText>
      </w:r>
      <w:r w:rsidR="00F802FB" w:rsidRPr="00C4084C">
        <w:rPr>
          <w:rFonts w:ascii="Calibri" w:eastAsia="Calibri" w:hAnsi="Calibri" w:cs="Arial"/>
          <w:szCs w:val="20"/>
        </w:rPr>
        <w:instrText xml:space="preserve"> \* MERGEFORMAT </w:instrText>
      </w:r>
      <w:r w:rsidR="00D92C18" w:rsidRPr="00C4084C">
        <w:rPr>
          <w:rFonts w:ascii="Calibri" w:eastAsia="Calibri" w:hAnsi="Calibri" w:cs="Arial"/>
          <w:szCs w:val="20"/>
        </w:rPr>
      </w:r>
      <w:r w:rsidR="00D92C18" w:rsidRPr="00C4084C">
        <w:rPr>
          <w:rFonts w:ascii="Calibri" w:eastAsia="Calibri" w:hAnsi="Calibri" w:cs="Arial"/>
          <w:szCs w:val="20"/>
        </w:rPr>
        <w:fldChar w:fldCharType="separate"/>
      </w:r>
      <w:r w:rsidR="00467B4F" w:rsidRPr="00C4084C">
        <w:t xml:space="preserve">Figure </w:t>
      </w:r>
      <w:r w:rsidR="00467B4F">
        <w:rPr>
          <w:rFonts w:ascii="Calibri" w:eastAsia="Calibri" w:hAnsi="Calibri" w:cs="Arial"/>
          <w:noProof/>
        </w:rPr>
        <w:t>37</w:t>
      </w:r>
      <w:r w:rsidR="00D92C18" w:rsidRPr="00C4084C">
        <w:rPr>
          <w:rFonts w:ascii="Calibri" w:eastAsia="Calibri" w:hAnsi="Calibri" w:cs="Arial"/>
          <w:szCs w:val="20"/>
        </w:rPr>
        <w:fldChar w:fldCharType="end"/>
      </w:r>
      <w:r w:rsidR="00F27DEC" w:rsidRPr="00C4084C">
        <w:rPr>
          <w:rFonts w:ascii="Calibri" w:eastAsia="Calibri" w:hAnsi="Calibri" w:cs="Arial"/>
          <w:szCs w:val="20"/>
        </w:rPr>
        <w:t xml:space="preserve"> (below) show that regionally headquartered universities significantly expand access to higher education. In 2022, regional universities almost reached the Review’s recommended parity target for low SES students of 25%. Regional universities do a </w:t>
      </w:r>
      <w:r w:rsidR="00B8205B" w:rsidRPr="00C4084C">
        <w:rPr>
          <w:rFonts w:ascii="Calibri" w:eastAsia="Calibri" w:hAnsi="Calibri" w:cs="Arial"/>
          <w:szCs w:val="20"/>
        </w:rPr>
        <w:t xml:space="preserve">significant amount </w:t>
      </w:r>
      <w:r w:rsidR="00F27DEC" w:rsidRPr="00C4084C">
        <w:rPr>
          <w:rFonts w:ascii="Calibri" w:eastAsia="Calibri" w:hAnsi="Calibri" w:cs="Arial"/>
          <w:szCs w:val="20"/>
        </w:rPr>
        <w:t xml:space="preserve">of heavy lifting for these students, supporting </w:t>
      </w:r>
      <w:r w:rsidR="00AD3E47" w:rsidRPr="00C4084C">
        <w:rPr>
          <w:rFonts w:ascii="Calibri" w:eastAsia="Calibri" w:hAnsi="Calibri" w:cs="Arial"/>
          <w:szCs w:val="20"/>
        </w:rPr>
        <w:t xml:space="preserve">proportionally </w:t>
      </w:r>
      <w:r w:rsidR="00F27DEC" w:rsidRPr="00C4084C">
        <w:rPr>
          <w:rFonts w:ascii="Calibri" w:eastAsia="Calibri" w:hAnsi="Calibri" w:cs="Arial"/>
          <w:szCs w:val="20"/>
        </w:rPr>
        <w:t xml:space="preserve">more low SES students and therefore a </w:t>
      </w:r>
      <w:r w:rsidR="00AD3E47" w:rsidRPr="00C4084C">
        <w:rPr>
          <w:rFonts w:ascii="Calibri" w:eastAsia="Calibri" w:hAnsi="Calibri" w:cs="Arial"/>
          <w:szCs w:val="20"/>
        </w:rPr>
        <w:t>proportionally</w:t>
      </w:r>
      <w:r w:rsidR="00F27DEC" w:rsidRPr="00C4084C">
        <w:rPr>
          <w:rFonts w:ascii="Calibri" w:eastAsia="Calibri" w:hAnsi="Calibri" w:cs="Arial"/>
          <w:szCs w:val="20"/>
        </w:rPr>
        <w:t xml:space="preserve"> higher share of completions for students from low SES areas</w:t>
      </w:r>
      <w:r w:rsidR="00AB2E19" w:rsidRPr="00C4084C">
        <w:rPr>
          <w:rFonts w:ascii="Calibri" w:eastAsia="Calibri" w:hAnsi="Calibri" w:cs="Arial"/>
          <w:szCs w:val="20"/>
        </w:rPr>
        <w:t xml:space="preserve"> (24.7%)</w:t>
      </w:r>
      <w:r w:rsidR="00F27DEC" w:rsidRPr="00C4084C">
        <w:rPr>
          <w:rFonts w:ascii="Calibri" w:eastAsia="Calibri" w:hAnsi="Calibri" w:cs="Arial"/>
          <w:szCs w:val="20"/>
        </w:rPr>
        <w:t xml:space="preserve"> compared to metropolitan universities</w:t>
      </w:r>
      <w:r w:rsidR="00AB2E19" w:rsidRPr="00C4084C">
        <w:rPr>
          <w:rFonts w:ascii="Calibri" w:eastAsia="Calibri" w:hAnsi="Calibri" w:cs="Arial"/>
          <w:szCs w:val="20"/>
        </w:rPr>
        <w:t xml:space="preserve"> (12.5%). </w:t>
      </w:r>
      <w:r w:rsidR="00F27DEC" w:rsidRPr="00C4084C">
        <w:rPr>
          <w:rFonts w:ascii="Calibri" w:eastAsia="Calibri" w:hAnsi="Calibri" w:cs="Arial"/>
          <w:szCs w:val="20"/>
        </w:rPr>
        <w:t>Because regional universities often enrol students who tend to be less well prepared for university, needs-based funding would allow regional universities to provide their students with the additional support they need to be successful.</w:t>
      </w:r>
    </w:p>
    <w:p w14:paraId="74E8E192" w14:textId="7A5B5541" w:rsidR="00F27DEC" w:rsidRPr="00D26B82" w:rsidRDefault="00F27DEC" w:rsidP="00570A6C">
      <w:pPr>
        <w:pStyle w:val="Caption"/>
        <w:rPr>
          <w:rFonts w:ascii="Calibri" w:eastAsia="Calibri" w:hAnsi="Calibri" w:cs="Arial"/>
          <w:b/>
          <w:bCs/>
          <w:sz w:val="24"/>
          <w:szCs w:val="24"/>
        </w:rPr>
      </w:pPr>
      <w:bookmarkStart w:id="1254" w:name="_Ref152922628"/>
      <w:bookmarkStart w:id="1255" w:name="_Toc154674799"/>
      <w:r w:rsidRPr="00D26B82">
        <w:rPr>
          <w:b/>
          <w:bCs/>
          <w:sz w:val="24"/>
          <w:szCs w:val="24"/>
        </w:rPr>
        <w:t xml:space="preserve">Figure </w:t>
      </w:r>
      <w:r w:rsidRPr="00D26B82">
        <w:rPr>
          <w:rFonts w:ascii="Calibri" w:eastAsia="Calibri" w:hAnsi="Calibri" w:cs="Arial"/>
          <w:b/>
          <w:bCs/>
          <w:iCs w:val="0"/>
          <w:sz w:val="24"/>
          <w:szCs w:val="24"/>
        </w:rPr>
        <w:fldChar w:fldCharType="begin"/>
      </w:r>
      <w:r w:rsidRPr="00D26B82">
        <w:rPr>
          <w:rFonts w:ascii="Calibri" w:eastAsia="Calibri" w:hAnsi="Calibri" w:cs="Arial"/>
          <w:b/>
          <w:bCs/>
          <w:sz w:val="24"/>
          <w:szCs w:val="24"/>
        </w:rPr>
        <w:instrText xml:space="preserve"> SEQ Figure \* ARABIC </w:instrText>
      </w:r>
      <w:r w:rsidRPr="00D26B82">
        <w:rPr>
          <w:rFonts w:ascii="Calibri" w:eastAsia="Calibri" w:hAnsi="Calibri" w:cs="Arial"/>
          <w:b/>
          <w:bCs/>
          <w:iCs w:val="0"/>
          <w:sz w:val="24"/>
          <w:szCs w:val="24"/>
        </w:rPr>
        <w:fldChar w:fldCharType="separate"/>
      </w:r>
      <w:r w:rsidR="00467B4F" w:rsidRPr="00D26B82">
        <w:rPr>
          <w:rFonts w:ascii="Calibri" w:eastAsia="Calibri" w:hAnsi="Calibri" w:cs="Arial"/>
          <w:b/>
          <w:bCs/>
          <w:noProof/>
          <w:sz w:val="24"/>
          <w:szCs w:val="24"/>
        </w:rPr>
        <w:t>37</w:t>
      </w:r>
      <w:r w:rsidRPr="00D26B82">
        <w:rPr>
          <w:rFonts w:ascii="Calibri" w:eastAsia="Calibri" w:hAnsi="Calibri" w:cs="Arial"/>
          <w:b/>
          <w:bCs/>
          <w:iCs w:val="0"/>
          <w:noProof/>
          <w:sz w:val="24"/>
          <w:szCs w:val="24"/>
        </w:rPr>
        <w:fldChar w:fldCharType="end"/>
      </w:r>
      <w:bookmarkEnd w:id="1254"/>
      <w:r w:rsidRPr="00D26B82">
        <w:rPr>
          <w:rFonts w:ascii="Calibri" w:eastAsia="Calibri" w:hAnsi="Calibri" w:cs="Arial"/>
          <w:b/>
          <w:bCs/>
          <w:sz w:val="24"/>
          <w:szCs w:val="24"/>
        </w:rPr>
        <w:t>:</w:t>
      </w:r>
      <w:r w:rsidR="21F95578" w:rsidRPr="00D26B82">
        <w:rPr>
          <w:rFonts w:ascii="Calibri" w:eastAsia="Calibri" w:hAnsi="Calibri" w:cs="Calibri"/>
          <w:b/>
          <w:bCs/>
          <w:i/>
          <w:sz w:val="24"/>
          <w:szCs w:val="24"/>
        </w:rPr>
        <w:t xml:space="preserve"> </w:t>
      </w:r>
      <w:r w:rsidR="21F95578" w:rsidRPr="00D26B82">
        <w:rPr>
          <w:rFonts w:ascii="Calibri" w:eastAsia="Calibri" w:hAnsi="Calibri" w:cs="Calibri"/>
          <w:b/>
          <w:bCs/>
          <w:iCs w:val="0"/>
          <w:sz w:val="24"/>
          <w:szCs w:val="24"/>
        </w:rPr>
        <w:t xml:space="preserve">Share of </w:t>
      </w:r>
      <w:r w:rsidR="00AB2E19" w:rsidRPr="00D26B82">
        <w:rPr>
          <w:rFonts w:ascii="Calibri" w:eastAsia="Calibri" w:hAnsi="Calibri" w:cs="Calibri"/>
          <w:b/>
          <w:bCs/>
          <w:iCs w:val="0"/>
          <w:sz w:val="24"/>
          <w:szCs w:val="24"/>
        </w:rPr>
        <w:t>target cohort</w:t>
      </w:r>
      <w:r w:rsidR="21F95578" w:rsidRPr="00D26B82">
        <w:rPr>
          <w:rFonts w:ascii="Calibri" w:eastAsia="Calibri" w:hAnsi="Calibri" w:cs="Calibri"/>
          <w:b/>
          <w:bCs/>
          <w:iCs w:val="0"/>
          <w:sz w:val="24"/>
          <w:szCs w:val="24"/>
        </w:rPr>
        <w:t xml:space="preserve"> student completions at metropolitan and regional universities, 2022</w:t>
      </w:r>
      <w:r w:rsidR="00A32BEA" w:rsidRPr="00D26B82">
        <w:rPr>
          <w:rFonts w:ascii="Calibri" w:eastAsia="Calibri" w:hAnsi="Calibri" w:cs="Arial"/>
          <w:b/>
          <w:bCs/>
          <w:sz w:val="24"/>
          <w:szCs w:val="24"/>
        </w:rPr>
        <w:t>.</w:t>
      </w:r>
      <w:bookmarkEnd w:id="1255"/>
    </w:p>
    <w:p w14:paraId="03C67DDC" w14:textId="49641109" w:rsidR="006A65B4" w:rsidRDefault="006A65B4" w:rsidP="00570A6C">
      <w:pPr>
        <w:pStyle w:val="Source"/>
      </w:pPr>
      <w:r>
        <w:rPr>
          <w:noProof/>
        </w:rPr>
        <w:drawing>
          <wp:inline distT="0" distB="0" distL="0" distR="0" wp14:anchorId="00131FF8" wp14:editId="69285C76">
            <wp:extent cx="5667153" cy="2373423"/>
            <wp:effectExtent l="0" t="0" r="0" b="0"/>
            <wp:docPr id="1230788657" name="Graphic 37" descr="Clustered column graph comparing the percentage of student completions for students with disability, First Nations students and students from Low SES backgrounds enrolled at regionally headquartered or metropolitan headquartered universities. The graph shows a higher percentage of completions for Low SES students and First Nations students at regional universities, and a higher percentage of completions of students with disability at metropolitan univers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788657" name="Graphic 37" descr="Clustered column graph comparing the percentage of student completions for students with disability, First Nations students and students from Low SES backgrounds enrolled at regionally headquartered or metropolitan headquartered universities. The graph shows a higher percentage of completions for Low SES students and First Nations students at regional universities, and a higher percentage of completions of students with disability at metropolitan universities. "/>
                    <pic:cNvPicPr/>
                  </pic:nvPicPr>
                  <pic:blipFill>
                    <a:blip r:embed="rId147">
                      <a:extLst>
                        <a:ext uri="{28A0092B-C50C-407E-A947-70E740481C1C}">
                          <a14:useLocalDpi xmlns:a14="http://schemas.microsoft.com/office/drawing/2010/main" val="0"/>
                        </a:ext>
                        <a:ext uri="{96DAC541-7B7A-43D3-8B79-37D633B846F1}">
                          <asvg:svgBlip xmlns:asvg="http://schemas.microsoft.com/office/drawing/2016/SVG/main" r:embed="rId148"/>
                        </a:ext>
                      </a:extLst>
                    </a:blip>
                    <a:stretch>
                      <a:fillRect/>
                    </a:stretch>
                  </pic:blipFill>
                  <pic:spPr>
                    <a:xfrm>
                      <a:off x="0" y="0"/>
                      <a:ext cx="5681764" cy="2379542"/>
                    </a:xfrm>
                    <a:prstGeom prst="rect">
                      <a:avLst/>
                    </a:prstGeom>
                  </pic:spPr>
                </pic:pic>
              </a:graphicData>
            </a:graphic>
          </wp:inline>
        </w:drawing>
      </w:r>
    </w:p>
    <w:p w14:paraId="3BC74627" w14:textId="1C83B514" w:rsidR="00F27DEC" w:rsidRPr="00C4084C" w:rsidRDefault="00F27DEC" w:rsidP="00570A6C">
      <w:pPr>
        <w:pStyle w:val="Source"/>
      </w:pPr>
      <w:r w:rsidRPr="00C4084C">
        <w:t xml:space="preserve">Source: </w:t>
      </w:r>
      <w:r w:rsidR="00227574" w:rsidRPr="00C4084C">
        <w:t xml:space="preserve">Department of Education, Selected Higher Education Statistics – 2022 Student data, </w:t>
      </w:r>
      <w:r w:rsidR="00B14963" w:rsidRPr="00C4084C">
        <w:t xml:space="preserve">(Canberra </w:t>
      </w:r>
      <w:r w:rsidR="00227574" w:rsidRPr="00C4084C">
        <w:t>2023</w:t>
      </w:r>
      <w:r w:rsidR="00B14963" w:rsidRPr="00C4084C">
        <w:t>)</w:t>
      </w:r>
      <w:r w:rsidR="00227574" w:rsidRPr="00C4084C">
        <w:t xml:space="preserve">, </w:t>
      </w:r>
      <w:r w:rsidR="00B14963" w:rsidRPr="00C4084C">
        <w:t xml:space="preserve">published 18 December 2023, </w:t>
      </w:r>
      <w:hyperlink r:id="rId149" w:history="1">
        <w:r w:rsidR="008F0F8D" w:rsidRPr="00C4084C">
          <w:rPr>
            <w:rStyle w:val="Hyperlink"/>
          </w:rPr>
          <w:t>https://www.education.gov.au/higher-education-statistics/student-data/selected-higher-education-statistics-2022-student-data</w:t>
        </w:r>
      </w:hyperlink>
      <w:r w:rsidR="00227574" w:rsidRPr="00C4084C">
        <w:t>.</w:t>
      </w:r>
    </w:p>
    <w:p w14:paraId="367E2170" w14:textId="1BF4DC17" w:rsidR="00830715" w:rsidRPr="00C4084C" w:rsidRDefault="00830715" w:rsidP="00BA6095">
      <w:pPr>
        <w:pStyle w:val="Heading4"/>
      </w:pPr>
      <w:bookmarkStart w:id="1256" w:name="_Toc151470702"/>
      <w:bookmarkStart w:id="1257" w:name="_Toc151548042"/>
      <w:bookmarkStart w:id="1258" w:name="_Toc159501011"/>
      <w:r w:rsidRPr="00C4084C">
        <w:t xml:space="preserve">An innovative, </w:t>
      </w:r>
      <w:proofErr w:type="gramStart"/>
      <w:r w:rsidRPr="00C4084C">
        <w:t>flexible</w:t>
      </w:r>
      <w:proofErr w:type="gramEnd"/>
      <w:r w:rsidRPr="00C4084C">
        <w:t xml:space="preserve"> and accessible tertiary </w:t>
      </w:r>
      <w:r w:rsidR="007162DD" w:rsidRPr="00C4084C">
        <w:rPr>
          <w:rFonts w:cstheme="minorBidi"/>
        </w:rPr>
        <w:t xml:space="preserve">education </w:t>
      </w:r>
      <w:r w:rsidRPr="00C4084C">
        <w:t>system</w:t>
      </w:r>
      <w:bookmarkEnd w:id="1256"/>
      <w:bookmarkEnd w:id="1257"/>
      <w:bookmarkEnd w:id="1258"/>
    </w:p>
    <w:p w14:paraId="5F7B850D" w14:textId="7E3644B5" w:rsidR="00830715" w:rsidRPr="00C4084C" w:rsidRDefault="00963F4D" w:rsidP="002F08B7">
      <w:r w:rsidRPr="00C4084C">
        <w:t xml:space="preserve">Lifting </w:t>
      </w:r>
      <w:r w:rsidR="00DF13F0" w:rsidRPr="00C4084C">
        <w:t xml:space="preserve">tertiary </w:t>
      </w:r>
      <w:r w:rsidRPr="00C4084C">
        <w:t xml:space="preserve">education participation rates amongst regional and remote Australians requires a shift towards more flexible delivery </w:t>
      </w:r>
      <w:r w:rsidR="00DF13F0" w:rsidRPr="00C4084C">
        <w:t>in regional communities</w:t>
      </w:r>
      <w:r w:rsidRPr="00C4084C">
        <w:t xml:space="preserve">. </w:t>
      </w:r>
      <w:bookmarkStart w:id="1259" w:name="_Hlk150959428"/>
      <w:r w:rsidRPr="00C4084C">
        <w:t xml:space="preserve">Regional University Study Hubs (formerly Regional University Centres) are a relatively new but </w:t>
      </w:r>
      <w:r w:rsidR="00367CC2" w:rsidRPr="00C4084C">
        <w:t>popular and</w:t>
      </w:r>
      <w:r w:rsidRPr="00C4084C">
        <w:t xml:space="preserve"> steadily expanding addition to the regional tertiary education landscape. Building on models of delivery at the Geraldton Universit</w:t>
      </w:r>
      <w:r w:rsidR="006130EE" w:rsidRPr="00C4084C">
        <w:t>ies</w:t>
      </w:r>
      <w:r w:rsidRPr="00C4084C">
        <w:t xml:space="preserve"> Centre and Country Universit</w:t>
      </w:r>
      <w:r w:rsidR="006130EE" w:rsidRPr="00C4084C">
        <w:t>ies</w:t>
      </w:r>
      <w:r w:rsidRPr="00C4084C">
        <w:t xml:space="preserve"> Centre in Cooma, the 2018 Hubs pilot program of 16 Hubs has grown to 34 Hubs, with 32 currently operating and </w:t>
      </w:r>
      <w:r w:rsidR="002753B1" w:rsidRPr="00C4084C">
        <w:t xml:space="preserve">2 </w:t>
      </w:r>
      <w:r w:rsidRPr="00C4084C">
        <w:t xml:space="preserve">to open soon. </w:t>
      </w:r>
      <w:bookmarkEnd w:id="1259"/>
    </w:p>
    <w:tbl>
      <w:tblPr>
        <w:tblW w:w="8931" w:type="dxa"/>
        <w:shd w:val="clear" w:color="auto" w:fill="E2EFD9"/>
        <w:tblLook w:val="04A0" w:firstRow="1" w:lastRow="0" w:firstColumn="1" w:lastColumn="0" w:noHBand="0" w:noVBand="1"/>
      </w:tblPr>
      <w:tblGrid>
        <w:gridCol w:w="8931"/>
      </w:tblGrid>
      <w:tr w:rsidR="003A567A" w:rsidRPr="00C4084C" w14:paraId="74630FAE" w14:textId="77777777" w:rsidTr="00D26B82">
        <w:tc>
          <w:tcPr>
            <w:tcW w:w="8931" w:type="dxa"/>
            <w:shd w:val="clear" w:color="auto" w:fill="C3D7CA"/>
          </w:tcPr>
          <w:p w14:paraId="4E7825D1" w14:textId="579F4086" w:rsidR="003A567A" w:rsidRPr="00C4084C" w:rsidRDefault="003A567A" w:rsidP="00570A6C">
            <w:pPr>
              <w:pStyle w:val="Boxtitlessubheadings"/>
            </w:pPr>
            <w:r w:rsidRPr="00C4084C">
              <w:lastRenderedPageBreak/>
              <w:t xml:space="preserve">Government </w:t>
            </w:r>
            <w:r w:rsidR="0052215C" w:rsidRPr="00C4084C">
              <w:t>r</w:t>
            </w:r>
            <w:r w:rsidRPr="00C4084C">
              <w:t>esponse to Priority Action 1 from the Interim Report</w:t>
            </w:r>
          </w:p>
          <w:p w14:paraId="7982255B" w14:textId="087C4364" w:rsidR="003A567A" w:rsidRPr="00EC0D33" w:rsidRDefault="003A567A" w:rsidP="00570A6C">
            <w:pPr>
              <w:keepNext/>
              <w:keepLines/>
              <w:framePr w:wrap="around" w:vAnchor="text" w:hAnchor="text" w:y="1"/>
              <w:spacing w:after="60"/>
              <w:ind w:left="108" w:right="108"/>
              <w:outlineLvl w:val="4"/>
              <w:rPr>
                <w:rFonts w:eastAsia="Yu Gothic Light"/>
                <w:b/>
              </w:rPr>
            </w:pPr>
            <w:r w:rsidRPr="00EC0D33">
              <w:rPr>
                <w:rFonts w:eastAsia="Yu Gothic Light"/>
                <w:b/>
              </w:rPr>
              <w:t>University Study Hubs</w:t>
            </w:r>
          </w:p>
          <w:p w14:paraId="10E0031B" w14:textId="09138017" w:rsidR="003A567A" w:rsidRPr="00C4084C" w:rsidRDefault="003A567A" w:rsidP="002F08B7">
            <w:pPr>
              <w:pStyle w:val="Boxtext0"/>
            </w:pPr>
            <w:r w:rsidRPr="00C4084C">
              <w:t xml:space="preserve">In </w:t>
            </w:r>
            <w:r w:rsidR="00045D38" w:rsidRPr="00C4084C">
              <w:t>July </w:t>
            </w:r>
            <w:r w:rsidRPr="00C4084C">
              <w:t>2023, in response to Priority Action 1 of the Interim Report, the Australian Government announced $66.9 million to double the number of University Study Hubs across the country, including expanding the concept to the outer suburbs of major cities for the first time. This will see the establishment of up to 20 additional Regional University Study Hubs (formerly Regional University Centres) and up to 14 new Suburban University Study Hubs.</w:t>
            </w:r>
          </w:p>
          <w:p w14:paraId="7CE3DDC6" w14:textId="77777777" w:rsidR="003A567A" w:rsidRPr="00EC0D33" w:rsidRDefault="003A567A" w:rsidP="00570A6C">
            <w:pPr>
              <w:keepNext/>
              <w:keepLines/>
              <w:framePr w:wrap="around" w:vAnchor="text" w:hAnchor="text" w:y="1"/>
              <w:spacing w:after="60"/>
              <w:ind w:left="108" w:right="108"/>
              <w:outlineLvl w:val="4"/>
              <w:rPr>
                <w:rFonts w:ascii="Calibri" w:eastAsia="Yu Gothic Light" w:hAnsi="Calibri" w:cs="Calibri"/>
                <w:b/>
              </w:rPr>
            </w:pPr>
            <w:r w:rsidRPr="00EC0D33">
              <w:rPr>
                <w:rFonts w:ascii="Calibri" w:eastAsia="Yu Gothic Light" w:hAnsi="Calibri" w:cs="Calibri"/>
                <w:b/>
              </w:rPr>
              <w:t>Regional University Study Hubs</w:t>
            </w:r>
          </w:p>
          <w:p w14:paraId="4CBFF342" w14:textId="4FFCB753" w:rsidR="003A567A" w:rsidRPr="00C4084C" w:rsidRDefault="003A567A" w:rsidP="002F08B7">
            <w:pPr>
              <w:pStyle w:val="Boxtext0"/>
            </w:pPr>
            <w:r w:rsidRPr="00C4084C">
              <w:t xml:space="preserve">An initial application round to select up to 10 of the new Regional University Study Hubs opened on </w:t>
            </w:r>
            <w:r w:rsidR="00045D38" w:rsidRPr="00C4084C">
              <w:t>28 September </w:t>
            </w:r>
            <w:r w:rsidRPr="00C4084C">
              <w:t>2023 and close</w:t>
            </w:r>
            <w:r w:rsidR="00261049" w:rsidRPr="00C4084C">
              <w:t>d</w:t>
            </w:r>
            <w:r w:rsidRPr="00C4084C">
              <w:t xml:space="preserve"> on </w:t>
            </w:r>
            <w:r w:rsidR="00045D38" w:rsidRPr="00C4084C">
              <w:t>15 December </w:t>
            </w:r>
            <w:r w:rsidRPr="00C4084C">
              <w:t xml:space="preserve">2023. An announcement regarding the successful applicants is expected in early 2024, with Hubs expected to be operational from Semester 2, 2024. An application process to establish up to 10 </w:t>
            </w:r>
            <w:r w:rsidR="004B1070">
              <w:t xml:space="preserve">further </w:t>
            </w:r>
            <w:r w:rsidRPr="00C4084C">
              <w:t xml:space="preserve">Regional University Study Hubs will open </w:t>
            </w:r>
            <w:proofErr w:type="gramStart"/>
            <w:r w:rsidRPr="00C4084C">
              <w:t>at a later date</w:t>
            </w:r>
            <w:proofErr w:type="gramEnd"/>
            <w:r w:rsidRPr="00C4084C">
              <w:t>.</w:t>
            </w:r>
          </w:p>
          <w:p w14:paraId="7AE40E67" w14:textId="77777777" w:rsidR="003A567A" w:rsidRPr="00EC0D33" w:rsidRDefault="003A567A" w:rsidP="00570A6C">
            <w:pPr>
              <w:keepNext/>
              <w:keepLines/>
              <w:framePr w:wrap="around" w:vAnchor="text" w:hAnchor="text" w:y="1"/>
              <w:spacing w:after="60"/>
              <w:ind w:left="108" w:right="108"/>
              <w:outlineLvl w:val="4"/>
              <w:rPr>
                <w:rFonts w:ascii="Calibri" w:eastAsia="Yu Gothic Light" w:hAnsi="Calibri" w:cs="Calibri"/>
                <w:b/>
              </w:rPr>
            </w:pPr>
            <w:r w:rsidRPr="00EC0D33">
              <w:rPr>
                <w:rFonts w:ascii="Calibri" w:eastAsia="Yu Gothic Light" w:hAnsi="Calibri" w:cs="Calibri"/>
                <w:b/>
              </w:rPr>
              <w:t>Suburban University Study Hubs</w:t>
            </w:r>
          </w:p>
          <w:p w14:paraId="724FA468" w14:textId="4C25975F" w:rsidR="00EE26E5" w:rsidRPr="00C4084C" w:rsidRDefault="003A567A" w:rsidP="002F08B7">
            <w:pPr>
              <w:pStyle w:val="Boxtext0"/>
            </w:pPr>
            <w:r w:rsidRPr="00C4084C">
              <w:t xml:space="preserve">A Consultation Paper to inform the design and implementation of the new Suburban University Study Hubs Program was released on </w:t>
            </w:r>
            <w:r w:rsidR="00045D38" w:rsidRPr="00C4084C">
              <w:t>3 September </w:t>
            </w:r>
            <w:r w:rsidRPr="00C4084C">
              <w:t xml:space="preserve">2023, with submissions due by </w:t>
            </w:r>
            <w:r w:rsidR="00045D38" w:rsidRPr="00C4084C">
              <w:t>2 October </w:t>
            </w:r>
            <w:r w:rsidRPr="00C4084C">
              <w:t xml:space="preserve">2023. </w:t>
            </w:r>
            <w:r w:rsidR="00093094">
              <w:t>Over 40</w:t>
            </w:r>
            <w:r w:rsidRPr="00C4084C">
              <w:t xml:space="preserve"> submissions were received, with the feedback contributing to program design. Further analysis and research </w:t>
            </w:r>
            <w:r w:rsidR="009069FB" w:rsidRPr="00C4084C">
              <w:t>are</w:t>
            </w:r>
            <w:r w:rsidRPr="00C4084C">
              <w:t xml:space="preserve"> being undertaken to support the establishment of the program, including to inform the location of the new Hubs, with further details to be provided in due course.</w:t>
            </w:r>
          </w:p>
        </w:tc>
      </w:tr>
    </w:tbl>
    <w:p w14:paraId="09FCDB91" w14:textId="2A386374" w:rsidR="00830715" w:rsidRPr="00C4084C" w:rsidRDefault="00830715" w:rsidP="002F08B7">
      <w:r w:rsidRPr="00C4084C">
        <w:t xml:space="preserve">The Review is pleased to see the </w:t>
      </w:r>
      <w:r w:rsidR="00F111E2" w:rsidRPr="00C4084C">
        <w:t>Australian</w:t>
      </w:r>
      <w:r w:rsidRPr="00C4084C">
        <w:t xml:space="preserve"> Government has responded to the recommendation of the Interim Report by committing to establish up to 20 further Regional Hubs and, for the first time, up to 14 new Suburban Hubs in </w:t>
      </w:r>
      <w:r w:rsidR="00AE2104" w:rsidRPr="00C4084C">
        <w:t>outer suburban</w:t>
      </w:r>
      <w:r w:rsidRPr="00C4084C">
        <w:t xml:space="preserve"> areas</w:t>
      </w:r>
      <w:r w:rsidR="00AE2104" w:rsidRPr="00C4084C">
        <w:t xml:space="preserve"> with low levels of university attainment and limited access to a significant physical university campus</w:t>
      </w:r>
      <w:r w:rsidRPr="00C4084C">
        <w:t xml:space="preserve">.  </w:t>
      </w:r>
    </w:p>
    <w:p w14:paraId="7C7E8226" w14:textId="23070D03" w:rsidR="0094609F" w:rsidRPr="002F08B7" w:rsidRDefault="00830715" w:rsidP="002F08B7">
      <w:bookmarkStart w:id="1260" w:name="_Hlk152664886"/>
      <w:r w:rsidRPr="002F08B7">
        <w:t xml:space="preserve">Regional Hubs are helping to expand local learning opportunities by providing regional students with more options to study </w:t>
      </w:r>
      <w:r w:rsidR="0094609F" w:rsidRPr="002F08B7">
        <w:t xml:space="preserve">at any university throughout Australia </w:t>
      </w:r>
      <w:r w:rsidRPr="002F08B7">
        <w:t xml:space="preserve">without needing to leave their </w:t>
      </w:r>
      <w:r w:rsidR="0094609F" w:rsidRPr="002F08B7">
        <w:t>home communities</w:t>
      </w:r>
      <w:r w:rsidRPr="002F08B7">
        <w:t xml:space="preserve">. </w:t>
      </w:r>
      <w:r w:rsidR="005066F0" w:rsidRPr="002F08B7">
        <w:t>The Hubs</w:t>
      </w:r>
      <w:r w:rsidRPr="002F08B7">
        <w:t xml:space="preserve"> do this by providing the digital infrastructure students need for their online learning, the support services students may need during their studies</w:t>
      </w:r>
      <w:r w:rsidR="0094609F" w:rsidRPr="002F08B7">
        <w:t>, and the peer-to-peer interaction important for student motivation and belonging.</w:t>
      </w:r>
      <w:r w:rsidRPr="002F08B7">
        <w:t xml:space="preserve"> The Hubs service many </w:t>
      </w:r>
      <w:r w:rsidR="00D7545F" w:rsidRPr="002F08B7">
        <w:t>under-represented</w:t>
      </w:r>
      <w:r w:rsidRPr="002F08B7">
        <w:t xml:space="preserve"> student groups, as well as non-current school leavers, mid-career changers (particularly women), and those juggling family and carer responsibilities. An evaluation of the program in 202</w:t>
      </w:r>
      <w:r w:rsidR="128FC8D8" w:rsidRPr="002F08B7">
        <w:t>2</w:t>
      </w:r>
      <w:r w:rsidRPr="002F08B7">
        <w:t xml:space="preserve"> found they improved regional access to higher education and improved students’ ability to study.</w:t>
      </w:r>
      <w:r w:rsidRPr="002F08B7">
        <w:rPr>
          <w:vertAlign w:val="superscript"/>
        </w:rPr>
        <w:footnoteReference w:id="414"/>
      </w:r>
      <w:r w:rsidRPr="002F08B7">
        <w:t xml:space="preserve"> </w:t>
      </w:r>
      <w:r w:rsidR="0094609F" w:rsidRPr="002F08B7">
        <w:t xml:space="preserve">Evidence also suggests that Hubs improve student completion and retention rates. </w:t>
      </w:r>
    </w:p>
    <w:bookmarkEnd w:id="1260"/>
    <w:p w14:paraId="7C05DF83" w14:textId="2AA72D37" w:rsidR="00830715" w:rsidRPr="00C4084C" w:rsidRDefault="00830715" w:rsidP="002F08B7">
      <w:r w:rsidRPr="00C4084C">
        <w:t xml:space="preserve">The Review supports the continued growth of the program but notes the Hubs’ role is not always well understood by those in the sector, including the connections </w:t>
      </w:r>
      <w:r w:rsidR="00DD21BF">
        <w:t>the Hubs</w:t>
      </w:r>
      <w:r w:rsidR="00DD21BF" w:rsidRPr="00C4084C">
        <w:t xml:space="preserve"> </w:t>
      </w:r>
      <w:r w:rsidRPr="00C4084C">
        <w:t xml:space="preserve">can support between providers and industries in their communities. The Review suggests further evaluation to help improve coordination and implementation of the program. </w:t>
      </w:r>
      <w:r w:rsidR="00C717EA" w:rsidRPr="00C4084C">
        <w:t>This should include examining the funding and options for universities</w:t>
      </w:r>
      <w:r w:rsidR="00A53EE5" w:rsidRPr="00C4084C">
        <w:t>’</w:t>
      </w:r>
      <w:r w:rsidR="00C717EA" w:rsidRPr="00C4084C">
        <w:t xml:space="preserve"> eligib</w:t>
      </w:r>
      <w:r w:rsidR="00A53EE5" w:rsidRPr="00C4084C">
        <w:t>ility</w:t>
      </w:r>
      <w:r w:rsidR="00C717EA" w:rsidRPr="00C4084C">
        <w:t xml:space="preserve"> to host Regional Study Hubs, such as where a university has an existing </w:t>
      </w:r>
      <w:r w:rsidR="00C717EA" w:rsidRPr="00C90689">
        <w:t>regional</w:t>
      </w:r>
      <w:r w:rsidR="00C717EA" w:rsidRPr="00C4084C">
        <w:t xml:space="preserve"> presence, to further improve access and extend support for </w:t>
      </w:r>
      <w:r w:rsidR="00C717EA" w:rsidRPr="00C4084C">
        <w:lastRenderedPageBreak/>
        <w:t xml:space="preserve">students in the region to study any course online with any provider. </w:t>
      </w:r>
      <w:r w:rsidRPr="00C4084C">
        <w:t xml:space="preserve">Such an evaluation could also consider how senior secondary students could utilise the Hubs, including the opportunity to access a greater range of subjects to assist them </w:t>
      </w:r>
      <w:r w:rsidR="004B1070">
        <w:t xml:space="preserve">to </w:t>
      </w:r>
      <w:r w:rsidRPr="00C4084C">
        <w:t xml:space="preserve">meet the prerequisites for tertiary course entry. </w:t>
      </w:r>
      <w:r w:rsidR="00E66B64" w:rsidRPr="00C4084C">
        <w:t xml:space="preserve">Evaluation will help to ensure the program can further support the broader national priority of increasing regional student access, </w:t>
      </w:r>
      <w:proofErr w:type="gramStart"/>
      <w:r w:rsidR="00E66B64" w:rsidRPr="00C4084C">
        <w:t>participation</w:t>
      </w:r>
      <w:proofErr w:type="gramEnd"/>
      <w:r w:rsidR="00E66B64" w:rsidRPr="00C4084C">
        <w:t xml:space="preserve"> and attainment.</w:t>
      </w:r>
    </w:p>
    <w:p w14:paraId="085C9237" w14:textId="209C55BA" w:rsidR="00830715" w:rsidRPr="00C4084C" w:rsidRDefault="00830715" w:rsidP="002F08B7">
      <w:r w:rsidRPr="00C4084C">
        <w:t xml:space="preserve">The success of the Regional Hubs (which support university and VET students alike, and often have partnerships with VET providers as well as universities) shows there is demand for a tertiary </w:t>
      </w:r>
      <w:r w:rsidR="007162DD" w:rsidRPr="00C4084C">
        <w:rPr>
          <w:rFonts w:cstheme="minorHAnsi"/>
        </w:rPr>
        <w:t xml:space="preserve">education </w:t>
      </w:r>
      <w:r w:rsidRPr="00C4084C">
        <w:t xml:space="preserve">system with many pathways and opportunities to make it easier for regional students to study.  </w:t>
      </w:r>
    </w:p>
    <w:p w14:paraId="6261F190" w14:textId="40A43DF1" w:rsidR="00830715" w:rsidRPr="00C4084C" w:rsidRDefault="00830715" w:rsidP="002F08B7">
      <w:pPr>
        <w:rPr>
          <w:rFonts w:eastAsia="Calibri"/>
          <w:color w:val="000000" w:themeColor="text1"/>
        </w:rPr>
      </w:pPr>
      <w:r w:rsidRPr="00C4084C">
        <w:t xml:space="preserve">Thin markets and low population density mean many regional towns lack their own TAFE. As a result, the overwhelming majority </w:t>
      </w:r>
      <w:r w:rsidR="007B2CE1" w:rsidRPr="00C4084C">
        <w:t>(</w:t>
      </w:r>
      <w:r w:rsidRPr="00C4084C">
        <w:t>85.4%</w:t>
      </w:r>
      <w:r w:rsidR="007B2CE1" w:rsidRPr="00C4084C">
        <w:t xml:space="preserve">) </w:t>
      </w:r>
      <w:r w:rsidRPr="00C4084C">
        <w:t>of regional students gain their skills training from independent training providers.</w:t>
      </w:r>
      <w:r w:rsidRPr="00C4084C">
        <w:rPr>
          <w:rStyle w:val="FootnoteReference"/>
        </w:rPr>
        <w:footnoteReference w:id="415"/>
      </w:r>
      <w:r w:rsidRPr="00C4084C">
        <w:rPr>
          <w:rStyle w:val="FootnoteReference"/>
          <w:vertAlign w:val="baseline"/>
        </w:rPr>
        <w:t xml:space="preserve"> This</w:t>
      </w:r>
      <w:r w:rsidRPr="00C4084C">
        <w:rPr>
          <w:rStyle w:val="FootnoteReference"/>
        </w:rPr>
        <w:t xml:space="preserve"> </w:t>
      </w:r>
      <w:r w:rsidRPr="00C4084C">
        <w:rPr>
          <w:rFonts w:eastAsia="Calibri"/>
          <w:color w:val="000000" w:themeColor="text1"/>
        </w:rPr>
        <w:t>demonstrates the strong role independent RTOs play, and must continue to play, in supporting tertiary education in the regions, alongside provision of online and in-person higher education.</w:t>
      </w:r>
    </w:p>
    <w:p w14:paraId="627D1A3F" w14:textId="437411AF" w:rsidR="0080480C" w:rsidRPr="00C4084C" w:rsidRDefault="0080480C" w:rsidP="002F08B7">
      <w:r w:rsidRPr="00C4084C">
        <w:t xml:space="preserve">As discussed in </w:t>
      </w:r>
      <w:r w:rsidR="000915EA">
        <w:rPr>
          <w:i/>
        </w:rPr>
        <w:fldChar w:fldCharType="begin"/>
      </w:r>
      <w:r w:rsidR="000915EA">
        <w:rPr>
          <w:i/>
        </w:rPr>
        <w:instrText xml:space="preserve"> REF _Ref151932669 \r \h </w:instrText>
      </w:r>
      <w:r w:rsidR="00F2219A">
        <w:rPr>
          <w:i/>
        </w:rPr>
        <w:instrText xml:space="preserve"> \* MERGEFORMAT </w:instrText>
      </w:r>
      <w:r w:rsidR="000915EA">
        <w:rPr>
          <w:i/>
        </w:rPr>
      </w:r>
      <w:r w:rsidR="000915EA">
        <w:rPr>
          <w:i/>
        </w:rPr>
        <w:fldChar w:fldCharType="separate"/>
      </w:r>
      <w:r w:rsidR="000915EA">
        <w:rPr>
          <w:i/>
        </w:rPr>
        <w:t xml:space="preserve">Chapter 2 – </w:t>
      </w:r>
      <w:r w:rsidR="000915EA">
        <w:rPr>
          <w:i/>
        </w:rPr>
        <w:fldChar w:fldCharType="end"/>
      </w:r>
      <w:r w:rsidR="005066F0" w:rsidRPr="00C4084C">
        <w:rPr>
          <w:i/>
          <w:iCs/>
        </w:rPr>
        <w:fldChar w:fldCharType="begin"/>
      </w:r>
      <w:r w:rsidR="005066F0" w:rsidRPr="00C4084C">
        <w:rPr>
          <w:i/>
          <w:iCs/>
        </w:rPr>
        <w:instrText xml:space="preserve"> REF _Ref151932669 \h  \* MERGEFORMAT </w:instrText>
      </w:r>
      <w:r w:rsidR="005066F0" w:rsidRPr="00C4084C">
        <w:rPr>
          <w:i/>
          <w:iCs/>
        </w:rPr>
      </w:r>
      <w:r w:rsidR="005066F0" w:rsidRPr="00C4084C">
        <w:rPr>
          <w:i/>
          <w:iCs/>
        </w:rPr>
        <w:fldChar w:fldCharType="separate"/>
      </w:r>
      <w:r w:rsidR="00467B4F" w:rsidRPr="00EB483F">
        <w:rPr>
          <w:i/>
        </w:rPr>
        <w:t>Meeting our current and future skills needs</w:t>
      </w:r>
      <w:r w:rsidR="005066F0" w:rsidRPr="00C4084C">
        <w:rPr>
          <w:i/>
          <w:iCs/>
        </w:rPr>
        <w:fldChar w:fldCharType="end"/>
      </w:r>
      <w:r w:rsidRPr="00C4084C">
        <w:rPr>
          <w:i/>
        </w:rPr>
        <w:t>,</w:t>
      </w:r>
      <w:r w:rsidRPr="00C4084C">
        <w:t xml:space="preserve"> the Review supports the provision of seamless pathways for students between VET and higher education and vice</w:t>
      </w:r>
      <w:r w:rsidR="005066F0" w:rsidRPr="00C4084C">
        <w:t xml:space="preserve"> </w:t>
      </w:r>
      <w:r w:rsidRPr="00C4084C">
        <w:t xml:space="preserve">versa, noting student pathways are often non-linear and picked up throughout various life stages. </w:t>
      </w:r>
      <w:r w:rsidR="00367CC2" w:rsidRPr="00C4084C">
        <w:t>The</w:t>
      </w:r>
      <w:r w:rsidRPr="00C4084C">
        <w:t xml:space="preserve"> higher proportions of part-time students attending regional universities</w:t>
      </w:r>
      <w:r w:rsidR="00367CC2" w:rsidRPr="00C4084C">
        <w:t xml:space="preserve"> suggest</w:t>
      </w:r>
      <w:r w:rsidRPr="00C4084C">
        <w:t xml:space="preserve"> non-traditional pathways may be even more common for regional people than </w:t>
      </w:r>
      <w:r w:rsidR="00DD21BF">
        <w:t xml:space="preserve">for </w:t>
      </w:r>
      <w:r w:rsidRPr="00C4084C">
        <w:t>those in the big cities.</w:t>
      </w:r>
    </w:p>
    <w:p w14:paraId="7464C32B" w14:textId="376C28AD" w:rsidR="0080480C" w:rsidRPr="00C4084C" w:rsidRDefault="0080480C" w:rsidP="002F08B7">
      <w:r w:rsidRPr="00C4084C">
        <w:t xml:space="preserve">Models which support integrated pathways enable upskilling and reskilling and, in doing so, support a more dynamic and inclusive workforce capable of meeting community need. These models can enable access for students traditionally </w:t>
      </w:r>
      <w:r w:rsidR="00D7545F" w:rsidRPr="00C4084C">
        <w:t>under-represented</w:t>
      </w:r>
      <w:r w:rsidRPr="00C4084C">
        <w:t xml:space="preserve"> in universities as well as offer</w:t>
      </w:r>
      <w:r w:rsidR="00DD21BF">
        <w:t>ing</w:t>
      </w:r>
      <w:r w:rsidRPr="00C4084C">
        <w:t xml:space="preserve"> a more comprehensive suite of options for students to build their knowledge and skills at all career stages. Importantly, an integrated system in the regions will make it easier for students to access the education and training needed to meet local and national skills </w:t>
      </w:r>
      <w:proofErr w:type="gramStart"/>
      <w:r w:rsidRPr="00C4084C">
        <w:t>need</w:t>
      </w:r>
      <w:r w:rsidR="002A6911" w:rsidRPr="00C4084C">
        <w:t>s</w:t>
      </w:r>
      <w:proofErr w:type="gramEnd"/>
      <w:r w:rsidRPr="00C4084C">
        <w:t>, while remaining in their communities. The Review also supports the recently announced National Skills Passport</w:t>
      </w:r>
      <w:r w:rsidR="00DD21BF">
        <w:t xml:space="preserve"> development</w:t>
      </w:r>
      <w:r w:rsidRPr="00C4084C">
        <w:t>, which w</w:t>
      </w:r>
      <w:r w:rsidR="00166246" w:rsidRPr="00C4084C">
        <w:t>ould</w:t>
      </w:r>
      <w:r w:rsidRPr="00C4084C">
        <w:t xml:space="preserve"> help create a more integrated tertiary education system by improving </w:t>
      </w:r>
      <w:r w:rsidR="00166246" w:rsidRPr="00C4084C">
        <w:t>recognition</w:t>
      </w:r>
      <w:r w:rsidRPr="00C4084C">
        <w:t xml:space="preserve"> of </w:t>
      </w:r>
      <w:r w:rsidR="00166246" w:rsidRPr="00C4084C">
        <w:t>previous study or training</w:t>
      </w:r>
      <w:r w:rsidRPr="00C4084C">
        <w:t xml:space="preserve">. </w:t>
      </w:r>
    </w:p>
    <w:tbl>
      <w:tblPr>
        <w:tblW w:w="8931" w:type="dxa"/>
        <w:shd w:val="clear" w:color="auto" w:fill="D2E8FF"/>
        <w:tblLook w:val="04A0" w:firstRow="1" w:lastRow="0" w:firstColumn="1" w:lastColumn="0" w:noHBand="0" w:noVBand="1"/>
      </w:tblPr>
      <w:tblGrid>
        <w:gridCol w:w="8931"/>
      </w:tblGrid>
      <w:tr w:rsidR="00EE26E5" w:rsidRPr="00C4084C" w14:paraId="4BCAB0CB" w14:textId="77777777" w:rsidTr="00D26B82">
        <w:tc>
          <w:tcPr>
            <w:tcW w:w="8931" w:type="dxa"/>
            <w:shd w:val="clear" w:color="auto" w:fill="D3D4D6"/>
          </w:tcPr>
          <w:p w14:paraId="7F278414" w14:textId="2C15D3D0" w:rsidR="00EE26E5" w:rsidRPr="00C4084C" w:rsidRDefault="00EE26E5" w:rsidP="00570A6C">
            <w:pPr>
              <w:pStyle w:val="Boxtitlessubheadings"/>
              <w:rPr>
                <w:b w:val="0"/>
              </w:rPr>
            </w:pPr>
            <w:r w:rsidRPr="00C4084C">
              <w:t>Case study: C</w:t>
            </w:r>
            <w:r w:rsidR="00D13520">
              <w:t xml:space="preserve">entral </w:t>
            </w:r>
            <w:r w:rsidRPr="00C4084C">
              <w:t>Q</w:t>
            </w:r>
            <w:r w:rsidR="00D13520">
              <w:t xml:space="preserve">ueensland </w:t>
            </w:r>
            <w:r w:rsidRPr="00C4084C">
              <w:t>U</w:t>
            </w:r>
            <w:r w:rsidR="00D13520">
              <w:t>niversi</w:t>
            </w:r>
            <w:r w:rsidR="000206AD">
              <w:t>ty</w:t>
            </w:r>
            <w:r w:rsidRPr="00C4084C">
              <w:t>’s School of Mining</w:t>
            </w:r>
          </w:p>
          <w:p w14:paraId="2F84BC6D" w14:textId="2C4221CB" w:rsidR="00EE26E5" w:rsidRPr="00C4084C" w:rsidRDefault="00EE26E5" w:rsidP="00EB483F">
            <w:r w:rsidRPr="00C4084C">
              <w:t xml:space="preserve">The School of Mining at Central Queensland University, backed by a $30 million investment from the Australian Government, is helping deliver locally trained and highly skilled workers to support the region’s mining and resources sector. </w:t>
            </w:r>
          </w:p>
          <w:p w14:paraId="2A02E2FC" w14:textId="6A7E69A0" w:rsidR="00EE26E5" w:rsidRPr="00C4084C" w:rsidRDefault="00EE26E5" w:rsidP="00EB483F">
            <w:r w:rsidRPr="00C4084C">
              <w:t xml:space="preserve">The </w:t>
            </w:r>
            <w:proofErr w:type="gramStart"/>
            <w:r w:rsidR="00DD21BF">
              <w:t>S</w:t>
            </w:r>
            <w:r w:rsidR="00DD21BF" w:rsidRPr="00C4084C">
              <w:t>chool</w:t>
            </w:r>
            <w:proofErr w:type="gramEnd"/>
            <w:r w:rsidR="00DD21BF" w:rsidRPr="00C4084C">
              <w:t xml:space="preserve"> </w:t>
            </w:r>
            <w:r w:rsidRPr="00C4084C">
              <w:t>provides vocational education and training, higher education, and professional short courses to help skill and upskill students for the jobs of the future within the resources sector, including in emerging fields like automation and drone operations.</w:t>
            </w:r>
            <w:r w:rsidR="003E252F" w:rsidRPr="00C4084C">
              <w:rPr>
                <w:rStyle w:val="FootnoteReference"/>
              </w:rPr>
              <w:footnoteReference w:id="416"/>
            </w:r>
            <w:r w:rsidRPr="00C4084C">
              <w:t xml:space="preserve"> </w:t>
            </w:r>
          </w:p>
        </w:tc>
      </w:tr>
    </w:tbl>
    <w:p w14:paraId="4CC99248" w14:textId="495B0E0F" w:rsidR="00830715" w:rsidRPr="00C4084C" w:rsidRDefault="00830715" w:rsidP="00EB483F">
      <w:r w:rsidRPr="00C4084C">
        <w:t xml:space="preserve">An aligned tertiary </w:t>
      </w:r>
      <w:r w:rsidR="007162DD" w:rsidRPr="00C4084C">
        <w:t>education</w:t>
      </w:r>
      <w:r w:rsidRPr="00C4084C">
        <w:t xml:space="preserve"> system will also help the sector to respond more rapidly to skills needs in emerging professions, such as those in the energy sector. The large scale of the clean energy </w:t>
      </w:r>
      <w:r w:rsidRPr="00C4084C">
        <w:lastRenderedPageBreak/>
        <w:t>transition will require the combined and coordinated efforts of VET and higher education providers to train new workers and re-skill existing workers. Strong collaboration between regional universities, regional VET providers, industry and unions will be needed to help Australia achieve its target of 82% renewable energy by 2030 and net zero</w:t>
      </w:r>
      <w:r w:rsidR="000C5C53">
        <w:t xml:space="preserve"> emissions</w:t>
      </w:r>
      <w:r w:rsidRPr="00C4084C">
        <w:t xml:space="preserve"> by 2050.</w:t>
      </w:r>
      <w:r w:rsidRPr="00C4084C">
        <w:rPr>
          <w:rStyle w:val="FootnoteReference"/>
        </w:rPr>
        <w:footnoteReference w:id="417"/>
      </w:r>
      <w:r w:rsidRPr="00C4084C">
        <w:t xml:space="preserve"> Tapping Australia’s reserves of critical minerals will </w:t>
      </w:r>
      <w:r w:rsidR="00367CC2" w:rsidRPr="00C4084C">
        <w:t xml:space="preserve">also </w:t>
      </w:r>
      <w:r w:rsidRPr="00C4084C">
        <w:t xml:space="preserve">require an economic and social transition, particularly in regional Australia – something that cannot succeed without major skills training. </w:t>
      </w:r>
    </w:p>
    <w:p w14:paraId="0B5241A1" w14:textId="77777777" w:rsidR="00485953" w:rsidRPr="00C4084C" w:rsidRDefault="00830715" w:rsidP="00EB483F">
      <w:r w:rsidRPr="00C4084C">
        <w:t xml:space="preserve">An integrated tertiary </w:t>
      </w:r>
      <w:r w:rsidR="00367CC2" w:rsidRPr="00C4084C">
        <w:t xml:space="preserve">education </w:t>
      </w:r>
      <w:r w:rsidRPr="00C4084C">
        <w:t xml:space="preserve">system must be enabled by more innovative modes of delivery, including online and blended learning opportunities. This will require a significant investment in digital infrastructure across the tertiary </w:t>
      </w:r>
      <w:r w:rsidR="00367CC2" w:rsidRPr="00C4084C">
        <w:t xml:space="preserve">education </w:t>
      </w:r>
      <w:r w:rsidRPr="00C4084C">
        <w:t xml:space="preserve">sector. </w:t>
      </w:r>
    </w:p>
    <w:p w14:paraId="1D64C77B" w14:textId="158E3FEA" w:rsidR="00501811" w:rsidRPr="00EB483F" w:rsidRDefault="00501811" w:rsidP="00EB483F">
      <w:r w:rsidRPr="00EB483F">
        <w:t>Regional universities have long been at the forefront of online education, which meant they were well prepared for the learning disruptions caused by the COVID-19 pandemic and can offer examples of good practice online delivery. The University of New England is a leader in this space, supporting approximately 85% of their students to study fully online.</w:t>
      </w:r>
      <w:r w:rsidR="00483709" w:rsidRPr="00C4084C">
        <w:rPr>
          <w:rStyle w:val="FootnoteReference"/>
          <w:rFonts w:eastAsia="Calibri" w:cs="Arial"/>
        </w:rPr>
        <w:footnoteReference w:id="418"/>
      </w:r>
    </w:p>
    <w:p w14:paraId="01F401B3" w14:textId="54E742F2" w:rsidR="00677868" w:rsidRPr="00C4084C" w:rsidRDefault="00830715" w:rsidP="00EB483F">
      <w:r w:rsidRPr="00C4084C">
        <w:t>While regional universities have been early adopters of distance learning, greater investment in well-designed and high-</w:t>
      </w:r>
      <w:r w:rsidRPr="00C90689">
        <w:t>quality</w:t>
      </w:r>
      <w:r w:rsidRPr="00C4084C">
        <w:t xml:space="preserve"> online education will be an important way to expand access and opportunity in our regions and allow learners to make more personalised education pathways. Recommendations to improve the quality of online learning and digital infrastructure are included in</w:t>
      </w:r>
      <w:r w:rsidR="0083217D" w:rsidRPr="00C4084C">
        <w:t xml:space="preserve"> </w:t>
      </w:r>
      <w:r w:rsidR="0083217D" w:rsidRPr="00C4084C">
        <w:rPr>
          <w:i/>
        </w:rPr>
        <w:fldChar w:fldCharType="begin"/>
      </w:r>
      <w:r w:rsidR="0083217D" w:rsidRPr="00C4084C">
        <w:instrText xml:space="preserve"> REF _Ref151934425 \r \h </w:instrText>
      </w:r>
      <w:r w:rsidR="00A4181D" w:rsidRPr="00C4084C">
        <w:instrText xml:space="preserve"> \* MERGEFORMAT </w:instrText>
      </w:r>
      <w:r w:rsidR="0083217D" w:rsidRPr="00C4084C">
        <w:rPr>
          <w:i/>
        </w:rPr>
      </w:r>
      <w:r w:rsidR="0083217D" w:rsidRPr="00C4084C">
        <w:rPr>
          <w:i/>
        </w:rPr>
        <w:fldChar w:fldCharType="separate"/>
      </w:r>
      <w:r w:rsidR="00467B4F" w:rsidRPr="00467B4F">
        <w:rPr>
          <w:i/>
        </w:rPr>
        <w:t xml:space="preserve">Chapter 3 – </w:t>
      </w:r>
      <w:r w:rsidR="0083217D" w:rsidRPr="00C4084C">
        <w:rPr>
          <w:i/>
        </w:rPr>
        <w:fldChar w:fldCharType="end"/>
      </w:r>
      <w:r w:rsidR="00E33F3C" w:rsidRPr="00C4084C">
        <w:rPr>
          <w:i/>
        </w:rPr>
        <w:fldChar w:fldCharType="begin"/>
      </w:r>
      <w:r w:rsidR="00E33F3C" w:rsidRPr="00C4084C">
        <w:rPr>
          <w:i/>
        </w:rPr>
        <w:instrText xml:space="preserve"> REF _Ref151934425 \h  \* MERGEFORMAT </w:instrText>
      </w:r>
      <w:r w:rsidR="00E33F3C" w:rsidRPr="00C4084C">
        <w:rPr>
          <w:i/>
        </w:rPr>
      </w:r>
      <w:r w:rsidR="00E33F3C" w:rsidRPr="00C4084C">
        <w:rPr>
          <w:i/>
        </w:rPr>
        <w:fldChar w:fldCharType="separate"/>
      </w:r>
      <w:r w:rsidR="00467B4F" w:rsidRPr="00467B4F">
        <w:rPr>
          <w:i/>
        </w:rPr>
        <w:t>Expanding opportunity to all</w:t>
      </w:r>
      <w:r w:rsidR="00E33F3C" w:rsidRPr="00C4084C">
        <w:rPr>
          <w:i/>
        </w:rPr>
        <w:fldChar w:fldCharType="end"/>
      </w:r>
      <w:r w:rsidRPr="00C4084C">
        <w:rPr>
          <w:i/>
        </w:rPr>
        <w:t xml:space="preserve">. </w:t>
      </w:r>
    </w:p>
    <w:p w14:paraId="5AB52620" w14:textId="7BFC2B40" w:rsidR="00830715" w:rsidRPr="00C4084C" w:rsidRDefault="00ED65AA" w:rsidP="00BA6095">
      <w:pPr>
        <w:pStyle w:val="Heading4"/>
      </w:pPr>
      <w:bookmarkStart w:id="1261" w:name="_Toc159501012"/>
      <w:r w:rsidRPr="00C4084C">
        <w:t xml:space="preserve">A national regional university and </w:t>
      </w:r>
      <w:r w:rsidR="00E67AE0" w:rsidRPr="00C4084C">
        <w:t>a more integrated tertiary system in regional Australia</w:t>
      </w:r>
      <w:bookmarkEnd w:id="1261"/>
    </w:p>
    <w:p w14:paraId="728477E2" w14:textId="4B416C3C" w:rsidR="00830715" w:rsidRPr="00C4084C" w:rsidRDefault="00830715" w:rsidP="00EB483F">
      <w:r w:rsidRPr="00C4084C">
        <w:t xml:space="preserve">The Accord Interim Report noted the need to consider new approaches to improve delivery of higher education in regional and remote Australia. It also acknowledged the serious sustainability issues </w:t>
      </w:r>
      <w:r w:rsidR="00E80169" w:rsidRPr="00C4084C">
        <w:t>faced</w:t>
      </w:r>
      <w:r w:rsidRPr="00C4084C">
        <w:t xml:space="preserve"> by some regional </w:t>
      </w:r>
      <w:r w:rsidR="00BA7FE0" w:rsidRPr="00C4084C">
        <w:t xml:space="preserve">universities </w:t>
      </w:r>
      <w:r w:rsidRPr="00C4084C">
        <w:t xml:space="preserve">and (like the Bradley Review) recommended exploring the creation of a second national university – a National Regional University. Although </w:t>
      </w:r>
      <w:r w:rsidR="00B537CE" w:rsidRPr="00C4084C">
        <w:t xml:space="preserve">such </w:t>
      </w:r>
      <w:r w:rsidR="00B537CE" w:rsidRPr="00C95AEA">
        <w:t>a</w:t>
      </w:r>
      <w:r w:rsidR="00C95AEA" w:rsidRPr="00C4084C">
        <w:t xml:space="preserve"> National Regional University</w:t>
      </w:r>
      <w:r w:rsidRPr="00C4084C">
        <w:t xml:space="preserve"> might take </w:t>
      </w:r>
      <w:proofErr w:type="gramStart"/>
      <w:r w:rsidRPr="00C4084C">
        <w:t>a number of</w:t>
      </w:r>
      <w:proofErr w:type="gramEnd"/>
      <w:r w:rsidRPr="00C4084C">
        <w:t xml:space="preserve"> forms, each with a variety of possible governance and funding parameters, it could allow a planned national approach to higher education, training and employment in regional and remote areas. </w:t>
      </w:r>
    </w:p>
    <w:p w14:paraId="749F0A2E" w14:textId="1C9D76F3" w:rsidR="006E343D" w:rsidRPr="00C4084C" w:rsidRDefault="00830715" w:rsidP="00EB483F">
      <w:r w:rsidRPr="00C4084C">
        <w:t xml:space="preserve">The Review consulted widely with regional experts and community leaders, regional university Vice-Chancellors and regional students about the </w:t>
      </w:r>
      <w:r w:rsidR="00543816" w:rsidRPr="00C4084C">
        <w:t>National Regional University</w:t>
      </w:r>
      <w:r w:rsidRPr="00C4084C">
        <w:t xml:space="preserve"> proposal, receiving mixed feedback. Some stakeholders noted that, while there was potentially a role for </w:t>
      </w:r>
      <w:r w:rsidR="00CA6616" w:rsidRPr="00C4084C">
        <w:t>a National Regional University</w:t>
      </w:r>
      <w:r w:rsidRPr="00C4084C">
        <w:t xml:space="preserve">, it would need to be well funded to ensure high-quality delivery. Others asked for more detail on how </w:t>
      </w:r>
      <w:r w:rsidR="00543816" w:rsidRPr="00C4084C">
        <w:t>a National Regional University</w:t>
      </w:r>
      <w:r w:rsidR="00543816">
        <w:t xml:space="preserve"> </w:t>
      </w:r>
      <w:r w:rsidRPr="00C4084C">
        <w:t xml:space="preserve">might operate, emphasising the need for highly innovative solutions to the persistent disparity of educational attainment between the cities and the regions. Some questioned how long it might take to establish and wanted to know what positive, negative and unintended consequences there might be for existing institutions and their communities. </w:t>
      </w:r>
      <w:r w:rsidR="00AD0FA0" w:rsidRPr="00C4084C">
        <w:t>T</w:t>
      </w:r>
      <w:r w:rsidRPr="00C4084C">
        <w:t xml:space="preserve">he Review sees value in further examining the potential creation of </w:t>
      </w:r>
      <w:r w:rsidR="00543816" w:rsidRPr="00C4084C">
        <w:t>a National Regional University</w:t>
      </w:r>
      <w:r w:rsidRPr="00C4084C">
        <w:t xml:space="preserve">. </w:t>
      </w:r>
    </w:p>
    <w:p w14:paraId="4C53ED7B" w14:textId="266263FD" w:rsidR="009D0E21" w:rsidRPr="00C4084C" w:rsidRDefault="00F64876" w:rsidP="00570A6C">
      <w:pPr>
        <w:pStyle w:val="Heading3"/>
      </w:pPr>
      <w:bookmarkStart w:id="1262" w:name="_Toc159501013"/>
      <w:r w:rsidRPr="00C4084C">
        <w:lastRenderedPageBreak/>
        <w:t>Delivering strong and vibrant regional education</w:t>
      </w:r>
      <w:bookmarkEnd w:id="1262"/>
    </w:p>
    <w:p w14:paraId="7207B8F4" w14:textId="7F2931EC" w:rsidR="00A128AA" w:rsidRPr="00C4084C" w:rsidRDefault="43C4DF18" w:rsidP="003E5969">
      <w:pPr>
        <w:rPr>
          <w:rStyle w:val="normaltextrun"/>
        </w:rPr>
      </w:pPr>
      <w:r w:rsidRPr="00EB483F">
        <w:t xml:space="preserve">More than a quarter of Australians live and work in regional, </w:t>
      </w:r>
      <w:proofErr w:type="gramStart"/>
      <w:r w:rsidRPr="00EB483F">
        <w:t>rural</w:t>
      </w:r>
      <w:proofErr w:type="gramEnd"/>
      <w:r w:rsidRPr="00EB483F">
        <w:t xml:space="preserve"> and remote Australia. Its industries are vital to both domestic </w:t>
      </w:r>
      <w:r w:rsidR="002305EE" w:rsidRPr="00EB483F">
        <w:t xml:space="preserve">use </w:t>
      </w:r>
      <w:r w:rsidRPr="00EB483F">
        <w:t>and export income. Yet educational attainment falls as distance from major cities rises, presenting a major equity challenge. This chapter makes recommendations specifically addressing the barriers, including cost and accessibility, that inhibit the development of strong and vibrant regional tertiary education opportunities and skilled local workforces.</w:t>
      </w:r>
    </w:p>
    <w:tbl>
      <w:tblPr>
        <w:tblW w:w="0" w:type="auto"/>
        <w:shd w:val="clear" w:color="auto" w:fill="FDEBD4" w:themeFill="accent6" w:themeFillTint="33"/>
        <w:tblLook w:val="04A0" w:firstRow="1" w:lastRow="0" w:firstColumn="1" w:lastColumn="0" w:noHBand="0" w:noVBand="1"/>
      </w:tblPr>
      <w:tblGrid>
        <w:gridCol w:w="9026"/>
      </w:tblGrid>
      <w:tr w:rsidR="00A128AA" w:rsidRPr="00C4084C" w14:paraId="6E9C9F80" w14:textId="77777777" w:rsidTr="00D26B82">
        <w:tc>
          <w:tcPr>
            <w:tcW w:w="9638" w:type="dxa"/>
            <w:shd w:val="clear" w:color="auto" w:fill="FEECDF"/>
          </w:tcPr>
          <w:p w14:paraId="610A7435" w14:textId="68CF6A7D" w:rsidR="006D136A" w:rsidRDefault="006D136A" w:rsidP="003E5969">
            <w:pPr>
              <w:pStyle w:val="Recheadinginbox"/>
              <w:rPr>
                <w:rStyle w:val="normaltextrun"/>
              </w:rPr>
            </w:pPr>
            <w:r w:rsidRPr="00C4084C">
              <w:t>Recommendation</w:t>
            </w:r>
            <w:r>
              <w:t xml:space="preserve">: </w:t>
            </w:r>
            <w:r w:rsidRPr="00C4084C">
              <w:rPr>
                <w:rStyle w:val="normaltextrun"/>
              </w:rPr>
              <w:t>Regional tertiary education and communities</w:t>
            </w:r>
          </w:p>
          <w:p w14:paraId="3051E555" w14:textId="0D99D198" w:rsidR="00A128AA" w:rsidRPr="00C4084C" w:rsidRDefault="00A128AA" w:rsidP="003E5969">
            <w:pPr>
              <w:pStyle w:val="Recsin-chapterL1"/>
              <w:framePr w:wrap="notBeside"/>
              <w:spacing w:before="0" w:after="0"/>
              <w:rPr>
                <w:rStyle w:val="normaltextrun"/>
              </w:rPr>
            </w:pPr>
            <w:r w:rsidRPr="00C4084C">
              <w:rPr>
                <w:rStyle w:val="normaltextrun"/>
              </w:rPr>
              <w:t xml:space="preserve">That to recognise the benefits of access to tertiary education and the challenges to delivery in regional, </w:t>
            </w:r>
            <w:proofErr w:type="gramStart"/>
            <w:r w:rsidRPr="00C4084C">
              <w:rPr>
                <w:rStyle w:val="normaltextrun"/>
              </w:rPr>
              <w:t>rural</w:t>
            </w:r>
            <w:proofErr w:type="gramEnd"/>
            <w:r w:rsidRPr="00C4084C">
              <w:rPr>
                <w:rStyle w:val="normaltextrun"/>
              </w:rPr>
              <w:t xml:space="preserve"> </w:t>
            </w:r>
            <w:r w:rsidRPr="00C4084C">
              <w:t>and</w:t>
            </w:r>
            <w:r w:rsidRPr="00C4084C">
              <w:rPr>
                <w:rStyle w:val="normaltextrun"/>
              </w:rPr>
              <w:t xml:space="preserve"> remote areas, the Australian Government:</w:t>
            </w:r>
          </w:p>
          <w:p w14:paraId="50D7AD61" w14:textId="77777777" w:rsidR="00A128AA" w:rsidRPr="00C4084C" w:rsidRDefault="00A128AA" w:rsidP="003E5969">
            <w:pPr>
              <w:pStyle w:val="Recsin-chapterL2"/>
              <w:spacing w:before="0" w:beforeAutospacing="0"/>
              <w:rPr>
                <w:rStyle w:val="normaltextrun"/>
              </w:rPr>
            </w:pPr>
            <w:r w:rsidRPr="00C4084C">
              <w:rPr>
                <w:rStyle w:val="normaltextrun"/>
              </w:rPr>
              <w:t xml:space="preserve">include in its new needs-based funding model a specific element based on the location of higher education delivery in regional and remote Australia – to better recognise the important equity issues involved in course delivery in regional Australia, and the additional costs of that </w:t>
            </w:r>
            <w:proofErr w:type="gramStart"/>
            <w:r w:rsidRPr="00C4084C">
              <w:rPr>
                <w:rStyle w:val="normaltextrun"/>
              </w:rPr>
              <w:t>delivery</w:t>
            </w:r>
            <w:proofErr w:type="gramEnd"/>
          </w:p>
          <w:p w14:paraId="7D234CF8" w14:textId="5FE9093D" w:rsidR="00A128AA" w:rsidRPr="00C4084C" w:rsidRDefault="00A128AA" w:rsidP="003E5969">
            <w:pPr>
              <w:pStyle w:val="Recsin-chapterL2"/>
              <w:rPr>
                <w:rStyle w:val="normaltextrun"/>
              </w:rPr>
            </w:pPr>
            <w:r w:rsidRPr="00C4084C">
              <w:rPr>
                <w:rStyle w:val="normaltextrun"/>
              </w:rPr>
              <w:t>significantly increase the number of Commonwealth supported places dedicated and allocated to universities delivering regionally</w:t>
            </w:r>
            <w:r w:rsidR="00770E4C">
              <w:rPr>
                <w:rStyle w:val="normaltextrun"/>
              </w:rPr>
              <w:t xml:space="preserve"> </w:t>
            </w:r>
            <w:r w:rsidRPr="00C4084C">
              <w:rPr>
                <w:rStyle w:val="normaltextrun"/>
              </w:rPr>
              <w:t xml:space="preserve">based end-to-end medical schools, to attract and retain medical graduates in regional areas. These places should be additional to currently allocated Commonwealth supported medical </w:t>
            </w:r>
            <w:proofErr w:type="gramStart"/>
            <w:r w:rsidRPr="00C4084C">
              <w:rPr>
                <w:rStyle w:val="normaltextrun"/>
              </w:rPr>
              <w:t>places</w:t>
            </w:r>
            <w:proofErr w:type="gramEnd"/>
          </w:p>
          <w:p w14:paraId="4E4CCFD0" w14:textId="0A145583" w:rsidR="00A128AA" w:rsidRPr="00C4084C" w:rsidRDefault="00A128AA" w:rsidP="003E5969">
            <w:pPr>
              <w:pStyle w:val="Recsin-chapterL2"/>
              <w:rPr>
                <w:rStyle w:val="normaltextrun"/>
              </w:rPr>
            </w:pPr>
            <w:r w:rsidRPr="00C4084C">
              <w:rPr>
                <w:rStyle w:val="normaltextrun"/>
              </w:rPr>
              <w:t xml:space="preserve">consider further expanding the successful Regional University Study Hubs program –following evaluation of its effectiveness in improving regional and remote student participation, </w:t>
            </w:r>
            <w:proofErr w:type="gramStart"/>
            <w:r w:rsidRPr="00C4084C">
              <w:rPr>
                <w:rStyle w:val="normaltextrun"/>
              </w:rPr>
              <w:t>retention</w:t>
            </w:r>
            <w:proofErr w:type="gramEnd"/>
            <w:r w:rsidRPr="00C4084C">
              <w:rPr>
                <w:rStyle w:val="normaltextrun"/>
              </w:rPr>
              <w:t xml:space="preserve"> and completion rates. This expansion could consider:</w:t>
            </w:r>
          </w:p>
          <w:p w14:paraId="73CD3301" w14:textId="77777777" w:rsidR="00A128AA" w:rsidRPr="00C4084C" w:rsidRDefault="00A128AA" w:rsidP="003E5969">
            <w:pPr>
              <w:pStyle w:val="Recsin-chapterL3"/>
              <w:rPr>
                <w:rStyle w:val="normaltextrun"/>
              </w:rPr>
            </w:pPr>
            <w:r w:rsidRPr="00C4084C">
              <w:rPr>
                <w:rStyle w:val="normaltextrun"/>
              </w:rPr>
              <w:t>increased use of existing tertiary education infrastructure like TAFEs</w:t>
            </w:r>
          </w:p>
          <w:p w14:paraId="222AA267" w14:textId="77777777" w:rsidR="00A128AA" w:rsidRPr="00C4084C" w:rsidRDefault="00A128AA" w:rsidP="003E5969">
            <w:pPr>
              <w:pStyle w:val="Recsin-chapterL3"/>
              <w:rPr>
                <w:rStyle w:val="normaltextrun"/>
              </w:rPr>
            </w:pPr>
            <w:r w:rsidRPr="00C4084C">
              <w:rPr>
                <w:rStyle w:val="normaltextrun"/>
              </w:rPr>
              <w:t>allowing eligibility for existing universities to host a Regional University Study Hub</w:t>
            </w:r>
          </w:p>
          <w:p w14:paraId="58A518C4" w14:textId="1770C9F1" w:rsidR="00A128AA" w:rsidRPr="00C4084C" w:rsidRDefault="00A128AA" w:rsidP="003E5969">
            <w:pPr>
              <w:pStyle w:val="Recsin-chapterL3"/>
              <w:rPr>
                <w:rStyle w:val="normaltextrun"/>
              </w:rPr>
            </w:pPr>
            <w:r w:rsidRPr="00C4084C">
              <w:rPr>
                <w:rStyle w:val="normaltextrun"/>
              </w:rPr>
              <w:t xml:space="preserve">changing the name of the program from </w:t>
            </w:r>
            <w:r w:rsidRPr="00C4084C">
              <w:rPr>
                <w:rStyle w:val="normaltextrun"/>
                <w:i/>
                <w:iCs/>
              </w:rPr>
              <w:t xml:space="preserve">Regional </w:t>
            </w:r>
            <w:r w:rsidRPr="00C4084C">
              <w:rPr>
                <w:rStyle w:val="normaltextrun"/>
                <w:i/>
              </w:rPr>
              <w:t>University</w:t>
            </w:r>
            <w:r w:rsidRPr="00C4084C">
              <w:rPr>
                <w:rStyle w:val="normaltextrun"/>
              </w:rPr>
              <w:t xml:space="preserve"> </w:t>
            </w:r>
            <w:r w:rsidRPr="00C4084C">
              <w:rPr>
                <w:rStyle w:val="normaltextrun"/>
                <w:i/>
              </w:rPr>
              <w:t>Study Hub</w:t>
            </w:r>
            <w:r w:rsidR="00816480">
              <w:rPr>
                <w:rStyle w:val="normaltextrun"/>
                <w:i/>
              </w:rPr>
              <w:t>s</w:t>
            </w:r>
            <w:r w:rsidRPr="00C4084C">
              <w:rPr>
                <w:rStyle w:val="normaltextrun"/>
              </w:rPr>
              <w:t xml:space="preserve"> to </w:t>
            </w:r>
            <w:r w:rsidRPr="00C4084C">
              <w:rPr>
                <w:rStyle w:val="normaltextrun"/>
                <w:i/>
              </w:rPr>
              <w:t xml:space="preserve">Regional Study </w:t>
            </w:r>
            <w:r w:rsidRPr="00C4084C">
              <w:rPr>
                <w:rStyle w:val="normaltextrun"/>
                <w:i/>
                <w:iCs/>
              </w:rPr>
              <w:t>Hub</w:t>
            </w:r>
            <w:r w:rsidR="00816480">
              <w:rPr>
                <w:rStyle w:val="normaltextrun"/>
                <w:i/>
                <w:iCs/>
              </w:rPr>
              <w:t>s</w:t>
            </w:r>
            <w:r w:rsidRPr="00C4084C">
              <w:rPr>
                <w:rStyle w:val="normaltextrun"/>
              </w:rPr>
              <w:t xml:space="preserve"> to recognise their role across both VET and higher </w:t>
            </w:r>
            <w:proofErr w:type="gramStart"/>
            <w:r w:rsidRPr="00C4084C">
              <w:rPr>
                <w:rStyle w:val="normaltextrun"/>
              </w:rPr>
              <w:t>education</w:t>
            </w:r>
            <w:proofErr w:type="gramEnd"/>
          </w:p>
          <w:p w14:paraId="50B3FEC1" w14:textId="77777777" w:rsidR="00A128AA" w:rsidRPr="00C4084C" w:rsidRDefault="00A128AA" w:rsidP="003E5969">
            <w:pPr>
              <w:pStyle w:val="Recsin-chapterL2"/>
              <w:rPr>
                <w:rStyle w:val="normaltextrun"/>
              </w:rPr>
            </w:pPr>
            <w:r w:rsidRPr="00C4084C">
              <w:rPr>
                <w:rStyle w:val="normaltextrun"/>
              </w:rPr>
              <w:t xml:space="preserve">adjust the policy settings for the Tertiary Access Payment to remove the requirement to commence an eligible course within the 12 months following completion of Year 12 (or equivalent) and amend the timing of payments to provide timely assistance with the costs of relocation for tertiary study before </w:t>
            </w:r>
            <w:proofErr w:type="gramStart"/>
            <w:r w:rsidRPr="00C4084C">
              <w:rPr>
                <w:rStyle w:val="normaltextrun"/>
              </w:rPr>
              <w:t>moving</w:t>
            </w:r>
            <w:proofErr w:type="gramEnd"/>
          </w:p>
          <w:p w14:paraId="24410D01" w14:textId="77777777" w:rsidR="00A128AA" w:rsidRPr="00C4084C" w:rsidDel="00882244" w:rsidRDefault="00A128AA" w:rsidP="003E5969">
            <w:pPr>
              <w:pStyle w:val="Recsin-chapterL2"/>
              <w:rPr>
                <w:rFonts w:ascii="Calibri" w:hAnsi="Calibri" w:cs="Calibri"/>
                <w:color w:val="000000"/>
                <w:shd w:val="clear" w:color="auto" w:fill="FFFFFF"/>
              </w:rPr>
            </w:pPr>
            <w:r w:rsidRPr="00C4084C">
              <w:rPr>
                <w:rStyle w:val="normaltextrun"/>
              </w:rPr>
              <w:t>task the Regional Education Commissioner with examining further opportunities to strengthen regional tertiary education, including the potential creation of a National Regional University, and a more integrated tertiary education system in regional communities, reporting to the Minister for Education by June 2025.</w:t>
            </w:r>
          </w:p>
        </w:tc>
      </w:tr>
    </w:tbl>
    <w:p w14:paraId="0D362CE5" w14:textId="77777777" w:rsidR="00247674" w:rsidRDefault="00247674" w:rsidP="00EB483F">
      <w:pPr>
        <w:rPr>
          <w:rStyle w:val="normaltextrun"/>
        </w:rPr>
        <w:sectPr w:rsidR="00247674" w:rsidSect="00134415">
          <w:headerReference w:type="even" r:id="rId150"/>
          <w:headerReference w:type="first" r:id="rId151"/>
          <w:pgSz w:w="11906" w:h="16838" w:code="9"/>
          <w:pgMar w:top="1225" w:right="1440" w:bottom="1440" w:left="1440" w:header="709" w:footer="709" w:gutter="0"/>
          <w:cols w:space="708"/>
          <w:titlePg/>
          <w:docGrid w:linePitch="360"/>
        </w:sectPr>
      </w:pPr>
    </w:p>
    <w:p w14:paraId="39190EAB" w14:textId="73BA771D" w:rsidR="00F63E9A" w:rsidRPr="00C4084C" w:rsidRDefault="00F63E9A" w:rsidP="00247674">
      <w:pPr>
        <w:pStyle w:val="Heading2"/>
      </w:pPr>
      <w:bookmarkStart w:id="1263" w:name="_Toc152068625"/>
      <w:bookmarkStart w:id="1264" w:name="_Toc152068626"/>
      <w:bookmarkStart w:id="1265" w:name="_Toc152068627"/>
      <w:bookmarkStart w:id="1266" w:name="_Toc151126622"/>
      <w:bookmarkStart w:id="1267" w:name="_Toc151126759"/>
      <w:bookmarkStart w:id="1268" w:name="_Toc151211837"/>
      <w:bookmarkStart w:id="1269" w:name="_Toc151216668"/>
      <w:bookmarkStart w:id="1270" w:name="_Toc151218555"/>
      <w:bookmarkStart w:id="1271" w:name="_Toc151226311"/>
      <w:bookmarkStart w:id="1272" w:name="_Toc151226380"/>
      <w:bookmarkStart w:id="1273" w:name="_Toc151226667"/>
      <w:bookmarkStart w:id="1274" w:name="_Toc151815650"/>
      <w:bookmarkStart w:id="1275" w:name="_Ref151934381"/>
      <w:bookmarkStart w:id="1276" w:name="_Ref152700427"/>
      <w:bookmarkStart w:id="1277" w:name="_Ref152700509"/>
      <w:bookmarkStart w:id="1278" w:name="_Ref152704174"/>
      <w:bookmarkStart w:id="1279" w:name="_Ref152710684"/>
      <w:bookmarkStart w:id="1280" w:name="_Ref152710699"/>
      <w:bookmarkStart w:id="1281" w:name="_Ref152710704"/>
      <w:bookmarkStart w:id="1282" w:name="_Ref152711117"/>
      <w:bookmarkStart w:id="1283" w:name="_Ref152711319"/>
      <w:bookmarkStart w:id="1284" w:name="_Ref153091052"/>
      <w:bookmarkStart w:id="1285" w:name="_Ref153105761"/>
      <w:bookmarkStart w:id="1286" w:name="_Ref153105766"/>
      <w:bookmarkStart w:id="1287" w:name="_Ref153105771"/>
      <w:bookmarkStart w:id="1288" w:name="_Ref153217716"/>
      <w:bookmarkStart w:id="1289" w:name="_Ref153806415"/>
      <w:bookmarkStart w:id="1290" w:name="_Toc159501014"/>
      <w:bookmarkStart w:id="1291" w:name="_Toc148277860"/>
      <w:bookmarkEnd w:id="0"/>
      <w:bookmarkEnd w:id="1"/>
      <w:bookmarkEnd w:id="5"/>
      <w:bookmarkEnd w:id="1263"/>
      <w:bookmarkEnd w:id="1264"/>
      <w:bookmarkEnd w:id="1265"/>
      <w:r w:rsidRPr="00C4084C">
        <w:lastRenderedPageBreak/>
        <w:t xml:space="preserve">A new funding </w:t>
      </w:r>
      <w:r w:rsidR="00944613" w:rsidRPr="00C4084C">
        <w:t xml:space="preserve">model </w:t>
      </w:r>
      <w:r w:rsidRPr="00C4084C">
        <w:t xml:space="preserve">to underpin growth and </w:t>
      </w:r>
      <w:proofErr w:type="gramStart"/>
      <w:r w:rsidRPr="00C4084C">
        <w:t>quality</w:t>
      </w:r>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proofErr w:type="gramEnd"/>
    </w:p>
    <w:p w14:paraId="16EBD319" w14:textId="53788760" w:rsidR="00B920D4" w:rsidRPr="00C4084C" w:rsidRDefault="00C169D0" w:rsidP="00745009">
      <w:pPr>
        <w:pStyle w:val="Heading3"/>
      </w:pPr>
      <w:bookmarkStart w:id="1292" w:name="_Toc159501015"/>
      <w:bookmarkEnd w:id="1291"/>
      <w:r w:rsidRPr="00C4084C">
        <w:t>University funding</w:t>
      </w:r>
      <w:bookmarkEnd w:id="1292"/>
    </w:p>
    <w:p w14:paraId="700E2A6A" w14:textId="51DC3664" w:rsidR="00B920D4" w:rsidRPr="00C4084C" w:rsidRDefault="00B920D4" w:rsidP="00EB483F">
      <w:bookmarkStart w:id="1293" w:name="_Toc148339901"/>
      <w:bookmarkStart w:id="1294" w:name="_Ref152696711"/>
      <w:bookmarkEnd w:id="1293"/>
      <w:r w:rsidRPr="00C4084C">
        <w:t>Australian Government funding of higher education is concentrated in Australia’s 38 </w:t>
      </w:r>
      <w:r w:rsidR="00A80AFE" w:rsidRPr="00C4084C">
        <w:t>publicly funded</w:t>
      </w:r>
      <w:r w:rsidRPr="00C4084C">
        <w:t xml:space="preserve"> universities which</w:t>
      </w:r>
      <w:r w:rsidR="00211125">
        <w:t>,</w:t>
      </w:r>
      <w:r w:rsidRPr="00C4084C">
        <w:t xml:space="preserve"> </w:t>
      </w:r>
      <w:r w:rsidR="00C53761" w:rsidRPr="00C4084C">
        <w:t>as of 2022</w:t>
      </w:r>
      <w:r w:rsidR="637E24C8" w:rsidRPr="00C4084C">
        <w:t>,</w:t>
      </w:r>
      <w:r w:rsidR="00C53761" w:rsidRPr="00C4084C">
        <w:t xml:space="preserve"> </w:t>
      </w:r>
      <w:r w:rsidRPr="00C4084C">
        <w:t>educate 9</w:t>
      </w:r>
      <w:r w:rsidR="00C53761" w:rsidRPr="00C4084C">
        <w:t>2.5</w:t>
      </w:r>
      <w:r w:rsidRPr="00C4084C">
        <w:t>% of students in the higher education system</w:t>
      </w:r>
      <w:r w:rsidRPr="00C4084C">
        <w:rPr>
          <w:rStyle w:val="FootnoteReference"/>
        </w:rPr>
        <w:footnoteReference w:id="419"/>
      </w:r>
      <w:r w:rsidRPr="00C4084C">
        <w:t xml:space="preserve"> and produce a significant proportion of Australia’s R&amp;D, accounting </w:t>
      </w:r>
      <w:r w:rsidR="00A80AFE" w:rsidRPr="00C4084C">
        <w:t xml:space="preserve">for </w:t>
      </w:r>
      <w:r w:rsidRPr="00C4084C">
        <w:t>33% of gross domestic expenditure on R&amp;D.</w:t>
      </w:r>
      <w:r w:rsidRPr="00C4084C">
        <w:rPr>
          <w:rStyle w:val="FootnoteReference"/>
        </w:rPr>
        <w:footnoteReference w:id="420"/>
      </w:r>
      <w:r w:rsidRPr="00C4084C">
        <w:t xml:space="preserve"> This chapter begins with a snapshot of current sources of university funding, and then narrows its focus to the </w:t>
      </w:r>
      <w:r w:rsidR="00142662" w:rsidRPr="00C4084C">
        <w:t xml:space="preserve">Australian Government’s </w:t>
      </w:r>
      <w:r w:rsidRPr="00C4084C">
        <w:t>contributions to the funding landscape.</w:t>
      </w:r>
      <w:bookmarkEnd w:id="1294"/>
      <w:r w:rsidRPr="00C4084C">
        <w:t xml:space="preserve"> </w:t>
      </w:r>
    </w:p>
    <w:p w14:paraId="6A7E1785" w14:textId="0105E57A" w:rsidR="00B920D4" w:rsidRPr="00C4084C" w:rsidRDefault="00B920D4" w:rsidP="00EB483F">
      <w:r w:rsidRPr="00C4084C">
        <w:t xml:space="preserve">A brief history of the </w:t>
      </w:r>
      <w:r w:rsidR="00142662" w:rsidRPr="00C4084C">
        <w:t>Australian Government</w:t>
      </w:r>
      <w:r w:rsidRPr="00C4084C">
        <w:t xml:space="preserve"> funding system for learning</w:t>
      </w:r>
      <w:r w:rsidR="00DB7F25" w:rsidRPr="00C4084C">
        <w:t xml:space="preserve">, </w:t>
      </w:r>
      <w:r w:rsidRPr="00C4084C">
        <w:t xml:space="preserve">teaching </w:t>
      </w:r>
      <w:r w:rsidR="00DB7F25" w:rsidRPr="00C4084C">
        <w:t>and scholarship</w:t>
      </w:r>
      <w:r w:rsidRPr="00C4084C">
        <w:t xml:space="preserve"> is followed by proposals for changes to the current funding </w:t>
      </w:r>
      <w:r w:rsidR="00506A4E" w:rsidRPr="00C4084C">
        <w:t>system</w:t>
      </w:r>
      <w:r w:rsidRPr="00C4084C">
        <w:t xml:space="preserve">, particularly to the Commonwealth Grant Scheme (CGS) and to student contributions, with underpinning principles and details of how this should work. In particular, the Review calls for a new component of needs-based funding in the CGS </w:t>
      </w:r>
      <w:r w:rsidR="0012007C" w:rsidRPr="00C4084C">
        <w:t>reflecting the additional</w:t>
      </w:r>
      <w:r w:rsidR="000A1770" w:rsidRPr="00C4084C">
        <w:t xml:space="preserve"> costs that can be associated with supporting students through higher education </w:t>
      </w:r>
      <w:r w:rsidRPr="00C4084C">
        <w:t xml:space="preserve">to help increase the proportion of </w:t>
      </w:r>
      <w:r w:rsidR="00D7545F" w:rsidRPr="00C4084C">
        <w:t>under-represented</w:t>
      </w:r>
      <w:r w:rsidRPr="00C4084C">
        <w:t xml:space="preserve"> groups undertaking higher education</w:t>
      </w:r>
      <w:r w:rsidR="00D50BE6" w:rsidRPr="00C4084C">
        <w:t xml:space="preserve">. </w:t>
      </w:r>
      <w:r w:rsidR="009917CD" w:rsidRPr="00C4084C">
        <w:t xml:space="preserve">An overarching </w:t>
      </w:r>
      <w:r w:rsidR="00D50BE6" w:rsidRPr="00C4084C">
        <w:t xml:space="preserve">aim of the new funding </w:t>
      </w:r>
      <w:r w:rsidR="009D6E70" w:rsidRPr="00C4084C">
        <w:t>model</w:t>
      </w:r>
      <w:r w:rsidR="00D50BE6" w:rsidRPr="00C4084C">
        <w:t xml:space="preserve"> is</w:t>
      </w:r>
      <w:r w:rsidRPr="00C4084C" w:rsidDel="00D50BE6">
        <w:t xml:space="preserve"> </w:t>
      </w:r>
      <w:r w:rsidR="00D50BE6" w:rsidRPr="00C4084C">
        <w:t xml:space="preserve">to </w:t>
      </w:r>
      <w:r w:rsidRPr="00C4084C">
        <w:t>increase the total number of students in the system to more than 1.8 million by 2050.</w:t>
      </w:r>
    </w:p>
    <w:p w14:paraId="025942A1" w14:textId="4DE58BD0" w:rsidR="00B920D4" w:rsidRPr="00C4084C" w:rsidRDefault="00A80AFE" w:rsidP="00EB483F">
      <w:r w:rsidRPr="00C4084C">
        <w:t xml:space="preserve">This chapter then covers </w:t>
      </w:r>
      <w:r w:rsidR="00B920D4" w:rsidRPr="00C4084C">
        <w:t>research</w:t>
      </w:r>
      <w:r w:rsidRPr="00C4084C">
        <w:t xml:space="preserve"> funding</w:t>
      </w:r>
      <w:r w:rsidR="00B920D4" w:rsidRPr="00C4084C">
        <w:t xml:space="preserve">, including a brief history of recent </w:t>
      </w:r>
      <w:r w:rsidRPr="00C4084C">
        <w:t>changes</w:t>
      </w:r>
      <w:r w:rsidR="00B920D4" w:rsidRPr="00C4084C">
        <w:t xml:space="preserve">. This is followed by proposals to improve research funding settings, which have been </w:t>
      </w:r>
      <w:r w:rsidR="00DB7F25" w:rsidRPr="00C4084C">
        <w:t>covered</w:t>
      </w:r>
      <w:r w:rsidR="00B920D4" w:rsidRPr="00C4084C">
        <w:t xml:space="preserve"> in greater detail in</w:t>
      </w:r>
      <w:r w:rsidR="0083217D" w:rsidRPr="00C4084C">
        <w:t xml:space="preserve"> </w:t>
      </w:r>
      <w:r w:rsidR="0083217D" w:rsidRPr="00C4084C">
        <w:rPr>
          <w:i/>
        </w:rPr>
        <w:fldChar w:fldCharType="begin"/>
      </w:r>
      <w:r w:rsidR="0083217D" w:rsidRPr="00C4084C">
        <w:instrText xml:space="preserve"> REF _Ref151934666 \r \h </w:instrText>
      </w:r>
      <w:r w:rsidR="00846D83" w:rsidRPr="00C4084C">
        <w:instrText xml:space="preserve"> \* MERGEFORMAT </w:instrText>
      </w:r>
      <w:r w:rsidR="0083217D" w:rsidRPr="00C4084C">
        <w:rPr>
          <w:i/>
        </w:rPr>
      </w:r>
      <w:r w:rsidR="0083217D" w:rsidRPr="00C4084C">
        <w:rPr>
          <w:i/>
        </w:rPr>
        <w:fldChar w:fldCharType="separate"/>
      </w:r>
      <w:r w:rsidR="00467B4F" w:rsidRPr="00467B4F">
        <w:rPr>
          <w:i/>
        </w:rPr>
        <w:t>Chapter 6</w:t>
      </w:r>
      <w:r w:rsidR="00467B4F" w:rsidRPr="00467B4F">
        <w:rPr>
          <w:i/>
          <w:iCs/>
        </w:rPr>
        <w:t xml:space="preserve"> – </w:t>
      </w:r>
      <w:r w:rsidR="0083217D" w:rsidRPr="00C4084C">
        <w:rPr>
          <w:i/>
        </w:rPr>
        <w:fldChar w:fldCharType="end"/>
      </w:r>
      <w:r w:rsidR="009E4349" w:rsidRPr="00C4084C">
        <w:rPr>
          <w:i/>
          <w:iCs/>
        </w:rPr>
        <w:fldChar w:fldCharType="begin"/>
      </w:r>
      <w:r w:rsidR="009E4349" w:rsidRPr="00C4084C">
        <w:rPr>
          <w:i/>
          <w:iCs/>
        </w:rPr>
        <w:instrText xml:space="preserve"> REF _Ref151934666 \h  \* MERGEFORMAT </w:instrText>
      </w:r>
      <w:r w:rsidR="009E4349" w:rsidRPr="00C4084C">
        <w:rPr>
          <w:i/>
          <w:iCs/>
        </w:rPr>
      </w:r>
      <w:r w:rsidR="009E4349" w:rsidRPr="00C4084C">
        <w:rPr>
          <w:i/>
          <w:iCs/>
        </w:rPr>
        <w:fldChar w:fldCharType="separate"/>
      </w:r>
      <w:r w:rsidR="00467B4F" w:rsidRPr="00467B4F">
        <w:rPr>
          <w:i/>
          <w:iCs/>
        </w:rPr>
        <w:t>A dynamic, collaborative and responsive system that serves the national interest</w:t>
      </w:r>
      <w:r w:rsidR="009E4349" w:rsidRPr="00C4084C">
        <w:rPr>
          <w:i/>
          <w:iCs/>
        </w:rPr>
        <w:fldChar w:fldCharType="end"/>
      </w:r>
      <w:r w:rsidR="00B920D4" w:rsidRPr="00C4084C">
        <w:t xml:space="preserve">. To improve research funding settings, the Review </w:t>
      </w:r>
      <w:r w:rsidR="000C652D" w:rsidRPr="00C4084C">
        <w:t xml:space="preserve">recommends </w:t>
      </w:r>
      <w:r w:rsidR="00B920D4" w:rsidRPr="00C4084C">
        <w:t xml:space="preserve">that a formal, strategic examination of the </w:t>
      </w:r>
      <w:r w:rsidR="1BC563AE" w:rsidRPr="00C4084C">
        <w:t>national</w:t>
      </w:r>
      <w:r w:rsidR="00B920D4" w:rsidRPr="00C4084C">
        <w:t xml:space="preserve"> R&amp;D environment be undertaken and that a considered R&amp;D strategy be implemented to support </w:t>
      </w:r>
      <w:r w:rsidR="0013275B" w:rsidRPr="00C4084C">
        <w:t>an increase</w:t>
      </w:r>
      <w:r w:rsidR="00B920D4" w:rsidRPr="00C4084C">
        <w:t xml:space="preserve"> in overall investment in research over time. </w:t>
      </w:r>
      <w:r w:rsidR="00DB7F25" w:rsidRPr="00C4084C">
        <w:t>T</w:t>
      </w:r>
      <w:r w:rsidR="00B920D4" w:rsidRPr="00C4084C">
        <w:t xml:space="preserve">he Review </w:t>
      </w:r>
      <w:r w:rsidR="00DB7F25" w:rsidRPr="00C4084C">
        <w:t xml:space="preserve">also </w:t>
      </w:r>
      <w:r w:rsidR="00B920D4" w:rsidRPr="00C4084C">
        <w:t>proposes</w:t>
      </w:r>
      <w:r w:rsidR="00DB7F25" w:rsidRPr="00C4084C" w:rsidDel="00D16150">
        <w:t xml:space="preserve"> </w:t>
      </w:r>
      <w:r w:rsidR="00D16150" w:rsidRPr="00C4084C">
        <w:t>4</w:t>
      </w:r>
      <w:r w:rsidR="00DB7F25" w:rsidRPr="00C4084C">
        <w:t xml:space="preserve"> </w:t>
      </w:r>
      <w:r w:rsidR="00B920D4" w:rsidRPr="00C4084C">
        <w:t xml:space="preserve">main changes to </w:t>
      </w:r>
      <w:r w:rsidR="00DB7F25" w:rsidRPr="00C4084C">
        <w:t xml:space="preserve">Australian Government </w:t>
      </w:r>
      <w:r w:rsidR="00B920D4" w:rsidRPr="00C4084C">
        <w:t>research funding</w:t>
      </w:r>
      <w:r w:rsidR="00DB7F25" w:rsidRPr="00C4084C">
        <w:t xml:space="preserve"> to universities</w:t>
      </w:r>
      <w:r w:rsidR="00B920D4" w:rsidRPr="00C4084C">
        <w:t>: a strategic research fund to improve research collaboration and impact, additional investment in fundamental research</w:t>
      </w:r>
      <w:r w:rsidR="006579D1" w:rsidRPr="00C4084C">
        <w:t>, a systematic move to full funding of national competitive grants,</w:t>
      </w:r>
      <w:r w:rsidR="00B920D4" w:rsidRPr="00C4084C">
        <w:t xml:space="preserve"> and </w:t>
      </w:r>
      <w:r w:rsidR="009954EC" w:rsidRPr="00C4084C">
        <w:t xml:space="preserve">an </w:t>
      </w:r>
      <w:r w:rsidR="00B920D4" w:rsidRPr="00C4084C">
        <w:t>increas</w:t>
      </w:r>
      <w:r w:rsidR="009954EC" w:rsidRPr="00C4084C">
        <w:t xml:space="preserve">e </w:t>
      </w:r>
      <w:r w:rsidR="004C7256">
        <w:t>in</w:t>
      </w:r>
      <w:r w:rsidR="004C7256" w:rsidRPr="00C4084C">
        <w:t xml:space="preserve"> </w:t>
      </w:r>
      <w:r w:rsidR="006579D1" w:rsidRPr="00C4084C">
        <w:t>the PhD stipend</w:t>
      </w:r>
      <w:r w:rsidR="00B920D4" w:rsidRPr="00C4084C">
        <w:t xml:space="preserve">. </w:t>
      </w:r>
    </w:p>
    <w:p w14:paraId="5D5E0523" w14:textId="6A558CA9" w:rsidR="001E14E1" w:rsidRPr="00C4084C" w:rsidRDefault="001E14E1" w:rsidP="00EB483F">
      <w:bookmarkStart w:id="1295" w:name="_Hlk152414625"/>
      <w:r w:rsidRPr="00C4084C">
        <w:t xml:space="preserve">Finally, the chapter sets out the argument for higher education providers and </w:t>
      </w:r>
      <w:r w:rsidR="00F111E2" w:rsidRPr="00C4084C">
        <w:t>g</w:t>
      </w:r>
      <w:r w:rsidRPr="00C4084C">
        <w:t>overnment to make contributions to a new Higher Education Future Fund, and proposes transitional arrangements associated with implementation of the Review’s recommendations</w:t>
      </w:r>
      <w:r w:rsidR="00D21841" w:rsidRPr="00C4084C">
        <w:t xml:space="preserve"> </w:t>
      </w:r>
      <w:r w:rsidR="004C7256">
        <w:t>about</w:t>
      </w:r>
      <w:r w:rsidR="004C7256" w:rsidRPr="00C4084C">
        <w:t xml:space="preserve"> </w:t>
      </w:r>
      <w:r w:rsidR="00D21841" w:rsidRPr="00C4084C">
        <w:t>the funding system</w:t>
      </w:r>
      <w:r w:rsidRPr="00C4084C">
        <w:t>.</w:t>
      </w:r>
      <w:r w:rsidR="0011187D" w:rsidRPr="00C4084C" w:rsidDel="00C2721D">
        <w:t xml:space="preserve"> </w:t>
      </w:r>
    </w:p>
    <w:p w14:paraId="2CD57EB2" w14:textId="5D088D66" w:rsidR="00D53776" w:rsidRPr="00C4084C" w:rsidRDefault="00D53776" w:rsidP="00EB483F">
      <w:r w:rsidRPr="00C4084C">
        <w:t xml:space="preserve">In its Interim Report, the Review raised </w:t>
      </w:r>
      <w:r w:rsidR="00465BD9" w:rsidRPr="00C4084C">
        <w:t xml:space="preserve">a number of proposals for consideration, including the </w:t>
      </w:r>
      <w:r w:rsidR="009A4159" w:rsidRPr="00C4084C">
        <w:t xml:space="preserve">Universal Learning Entitlement (ULE) and the </w:t>
      </w:r>
      <w:r w:rsidR="00465BD9" w:rsidRPr="00C4084C">
        <w:t>introduction of</w:t>
      </w:r>
      <w:r w:rsidRPr="00C4084C">
        <w:t xml:space="preserve"> a levy on international student fee income to provide insurance against future economic, policy or other shocks, or to fund sector priorities</w:t>
      </w:r>
      <w:r w:rsidR="00056D4A" w:rsidRPr="00C4084C">
        <w:t>.</w:t>
      </w:r>
      <w:r w:rsidRPr="00C4084C">
        <w:rPr>
          <w:rStyle w:val="FootnoteReference"/>
        </w:rPr>
        <w:footnoteReference w:id="421"/>
      </w:r>
      <w:r w:rsidRPr="00C4084C">
        <w:t xml:space="preserve"> Th</w:t>
      </w:r>
      <w:r w:rsidR="009A4159" w:rsidRPr="00C4084C">
        <w:t xml:space="preserve">ese proposals </w:t>
      </w:r>
      <w:r w:rsidRPr="00C4084C">
        <w:t>ha</w:t>
      </w:r>
      <w:r w:rsidR="009A4159" w:rsidRPr="00C4084C">
        <w:t>ve</w:t>
      </w:r>
      <w:r w:rsidRPr="00C4084C">
        <w:t xml:space="preserve"> led to much debate since the release of the Interim Report, </w:t>
      </w:r>
      <w:r w:rsidR="009A4159" w:rsidRPr="00C4084C">
        <w:t xml:space="preserve">and the Review has carefully considered the </w:t>
      </w:r>
      <w:r w:rsidR="00056D4A" w:rsidRPr="00C4084C">
        <w:t>consultations and submissions received</w:t>
      </w:r>
      <w:r w:rsidR="009A4159" w:rsidRPr="00C4084C">
        <w:t xml:space="preserve">, both </w:t>
      </w:r>
      <w:r w:rsidR="004C7256">
        <w:t xml:space="preserve">supporting </w:t>
      </w:r>
      <w:r w:rsidR="004C7256">
        <w:lastRenderedPageBreak/>
        <w:t>and opposing</w:t>
      </w:r>
      <w:r w:rsidR="009A4159" w:rsidRPr="00C4084C">
        <w:t xml:space="preserve"> the proposals. </w:t>
      </w:r>
      <w:r w:rsidR="007B403A" w:rsidRPr="00C4084C">
        <w:t xml:space="preserve">This consideration has led to an evolution in the Review’s thinking which is reflected in </w:t>
      </w:r>
      <w:r w:rsidR="00056D4A" w:rsidRPr="00C4084C">
        <w:t xml:space="preserve">the recommendations in this </w:t>
      </w:r>
      <w:r w:rsidR="007B403A" w:rsidRPr="00C4084C">
        <w:t>chapter.</w:t>
      </w:r>
    </w:p>
    <w:p w14:paraId="6B23695C" w14:textId="204FE2FB" w:rsidR="00B920D4" w:rsidRPr="00C4084C" w:rsidRDefault="00B920D4" w:rsidP="00BA6095">
      <w:pPr>
        <w:pStyle w:val="Heading4"/>
      </w:pPr>
      <w:bookmarkStart w:id="1296" w:name="_Toc151126537"/>
      <w:bookmarkStart w:id="1297" w:name="_Toc151126624"/>
      <w:bookmarkStart w:id="1298" w:name="_Toc151126761"/>
      <w:bookmarkStart w:id="1299" w:name="_Toc151211785"/>
      <w:bookmarkStart w:id="1300" w:name="_Toc151211839"/>
      <w:bookmarkStart w:id="1301" w:name="_Toc151216613"/>
      <w:bookmarkStart w:id="1302" w:name="_Toc151216670"/>
      <w:bookmarkStart w:id="1303" w:name="_Toc151218493"/>
      <w:bookmarkStart w:id="1304" w:name="_Toc151218557"/>
      <w:bookmarkStart w:id="1305" w:name="_Toc151226246"/>
      <w:bookmarkStart w:id="1306" w:name="_Toc151226313"/>
      <w:bookmarkStart w:id="1307" w:name="_Toc151226382"/>
      <w:bookmarkStart w:id="1308" w:name="_Toc151226669"/>
      <w:bookmarkStart w:id="1309" w:name="_Toc151126538"/>
      <w:bookmarkStart w:id="1310" w:name="_Toc151126625"/>
      <w:bookmarkStart w:id="1311" w:name="_Toc151126762"/>
      <w:bookmarkStart w:id="1312" w:name="_Toc151211786"/>
      <w:bookmarkStart w:id="1313" w:name="_Toc151211840"/>
      <w:bookmarkStart w:id="1314" w:name="_Toc151216614"/>
      <w:bookmarkStart w:id="1315" w:name="_Toc151216671"/>
      <w:bookmarkStart w:id="1316" w:name="_Toc151218494"/>
      <w:bookmarkStart w:id="1317" w:name="_Toc151218558"/>
      <w:bookmarkStart w:id="1318" w:name="_Toc151226247"/>
      <w:bookmarkStart w:id="1319" w:name="_Toc151226314"/>
      <w:bookmarkStart w:id="1320" w:name="_Toc151226383"/>
      <w:bookmarkStart w:id="1321" w:name="_Toc151226670"/>
      <w:bookmarkStart w:id="1322" w:name="_Toc151126539"/>
      <w:bookmarkStart w:id="1323" w:name="_Toc151126626"/>
      <w:bookmarkStart w:id="1324" w:name="_Toc151126763"/>
      <w:bookmarkStart w:id="1325" w:name="_Toc151211787"/>
      <w:bookmarkStart w:id="1326" w:name="_Toc151211841"/>
      <w:bookmarkStart w:id="1327" w:name="_Toc151216615"/>
      <w:bookmarkStart w:id="1328" w:name="_Toc151216672"/>
      <w:bookmarkStart w:id="1329" w:name="_Toc151218495"/>
      <w:bookmarkStart w:id="1330" w:name="_Toc151218559"/>
      <w:bookmarkStart w:id="1331" w:name="_Toc151226248"/>
      <w:bookmarkStart w:id="1332" w:name="_Toc151226315"/>
      <w:bookmarkStart w:id="1333" w:name="_Toc151226384"/>
      <w:bookmarkStart w:id="1334" w:name="_Toc151226671"/>
      <w:bookmarkStart w:id="1335" w:name="_Toc151126540"/>
      <w:bookmarkStart w:id="1336" w:name="_Toc151126627"/>
      <w:bookmarkStart w:id="1337" w:name="_Toc151126764"/>
      <w:bookmarkStart w:id="1338" w:name="_Toc151211788"/>
      <w:bookmarkStart w:id="1339" w:name="_Toc151211842"/>
      <w:bookmarkStart w:id="1340" w:name="_Toc151216616"/>
      <w:bookmarkStart w:id="1341" w:name="_Toc151216673"/>
      <w:bookmarkStart w:id="1342" w:name="_Toc151218496"/>
      <w:bookmarkStart w:id="1343" w:name="_Toc151218560"/>
      <w:bookmarkStart w:id="1344" w:name="_Toc151226249"/>
      <w:bookmarkStart w:id="1345" w:name="_Toc151226316"/>
      <w:bookmarkStart w:id="1346" w:name="_Toc151226385"/>
      <w:bookmarkStart w:id="1347" w:name="_Toc151226672"/>
      <w:bookmarkStart w:id="1348" w:name="_Toc151126541"/>
      <w:bookmarkStart w:id="1349" w:name="_Toc151126628"/>
      <w:bookmarkStart w:id="1350" w:name="_Toc151126765"/>
      <w:bookmarkStart w:id="1351" w:name="_Toc151211789"/>
      <w:bookmarkStart w:id="1352" w:name="_Toc151211843"/>
      <w:bookmarkStart w:id="1353" w:name="_Toc151216617"/>
      <w:bookmarkStart w:id="1354" w:name="_Toc151216674"/>
      <w:bookmarkStart w:id="1355" w:name="_Toc151218497"/>
      <w:bookmarkStart w:id="1356" w:name="_Toc151218561"/>
      <w:bookmarkStart w:id="1357" w:name="_Toc151226250"/>
      <w:bookmarkStart w:id="1358" w:name="_Toc151226317"/>
      <w:bookmarkStart w:id="1359" w:name="_Toc151226386"/>
      <w:bookmarkStart w:id="1360" w:name="_Toc151226673"/>
      <w:bookmarkStart w:id="1361" w:name="_Toc151126542"/>
      <w:bookmarkStart w:id="1362" w:name="_Toc151126629"/>
      <w:bookmarkStart w:id="1363" w:name="_Toc151126766"/>
      <w:bookmarkStart w:id="1364" w:name="_Toc151211790"/>
      <w:bookmarkStart w:id="1365" w:name="_Toc151211844"/>
      <w:bookmarkStart w:id="1366" w:name="_Toc151216618"/>
      <w:bookmarkStart w:id="1367" w:name="_Toc151216675"/>
      <w:bookmarkStart w:id="1368" w:name="_Toc151218498"/>
      <w:bookmarkStart w:id="1369" w:name="_Toc151218562"/>
      <w:bookmarkStart w:id="1370" w:name="_Toc151226251"/>
      <w:bookmarkStart w:id="1371" w:name="_Toc151226318"/>
      <w:bookmarkStart w:id="1372" w:name="_Toc151226387"/>
      <w:bookmarkStart w:id="1373" w:name="_Toc151226674"/>
      <w:bookmarkStart w:id="1374" w:name="_Toc151126543"/>
      <w:bookmarkStart w:id="1375" w:name="_Toc151126630"/>
      <w:bookmarkStart w:id="1376" w:name="_Toc151126767"/>
      <w:bookmarkStart w:id="1377" w:name="_Toc151211791"/>
      <w:bookmarkStart w:id="1378" w:name="_Toc151211845"/>
      <w:bookmarkStart w:id="1379" w:name="_Toc151216619"/>
      <w:bookmarkStart w:id="1380" w:name="_Toc151216676"/>
      <w:bookmarkStart w:id="1381" w:name="_Toc151218499"/>
      <w:bookmarkStart w:id="1382" w:name="_Toc151218563"/>
      <w:bookmarkStart w:id="1383" w:name="_Toc151226252"/>
      <w:bookmarkStart w:id="1384" w:name="_Toc151226319"/>
      <w:bookmarkStart w:id="1385" w:name="_Toc151226388"/>
      <w:bookmarkStart w:id="1386" w:name="_Toc151226675"/>
      <w:bookmarkStart w:id="1387" w:name="_Toc151126544"/>
      <w:bookmarkStart w:id="1388" w:name="_Toc151126631"/>
      <w:bookmarkStart w:id="1389" w:name="_Toc151126768"/>
      <w:bookmarkStart w:id="1390" w:name="_Toc151211792"/>
      <w:bookmarkStart w:id="1391" w:name="_Toc151211846"/>
      <w:bookmarkStart w:id="1392" w:name="_Toc151216620"/>
      <w:bookmarkStart w:id="1393" w:name="_Toc151216677"/>
      <w:bookmarkStart w:id="1394" w:name="_Toc151218500"/>
      <w:bookmarkStart w:id="1395" w:name="_Toc151218564"/>
      <w:bookmarkStart w:id="1396" w:name="_Toc151226253"/>
      <w:bookmarkStart w:id="1397" w:name="_Toc151226320"/>
      <w:bookmarkStart w:id="1398" w:name="_Toc151226389"/>
      <w:bookmarkStart w:id="1399" w:name="_Toc151226676"/>
      <w:bookmarkStart w:id="1400" w:name="_Toc151126545"/>
      <w:bookmarkStart w:id="1401" w:name="_Toc151126632"/>
      <w:bookmarkStart w:id="1402" w:name="_Toc151126769"/>
      <w:bookmarkStart w:id="1403" w:name="_Toc151211793"/>
      <w:bookmarkStart w:id="1404" w:name="_Toc151211847"/>
      <w:bookmarkStart w:id="1405" w:name="_Toc151216621"/>
      <w:bookmarkStart w:id="1406" w:name="_Toc151216678"/>
      <w:bookmarkStart w:id="1407" w:name="_Toc151218501"/>
      <w:bookmarkStart w:id="1408" w:name="_Toc151218565"/>
      <w:bookmarkStart w:id="1409" w:name="_Toc151226254"/>
      <w:bookmarkStart w:id="1410" w:name="_Toc151226321"/>
      <w:bookmarkStart w:id="1411" w:name="_Toc151226390"/>
      <w:bookmarkStart w:id="1412" w:name="_Toc151226677"/>
      <w:bookmarkStart w:id="1413" w:name="_Toc151126546"/>
      <w:bookmarkStart w:id="1414" w:name="_Toc151126633"/>
      <w:bookmarkStart w:id="1415" w:name="_Toc151126770"/>
      <w:bookmarkStart w:id="1416" w:name="_Toc151211794"/>
      <w:bookmarkStart w:id="1417" w:name="_Toc151211848"/>
      <w:bookmarkStart w:id="1418" w:name="_Toc151216622"/>
      <w:bookmarkStart w:id="1419" w:name="_Toc151216679"/>
      <w:bookmarkStart w:id="1420" w:name="_Toc151218502"/>
      <w:bookmarkStart w:id="1421" w:name="_Toc151218566"/>
      <w:bookmarkStart w:id="1422" w:name="_Toc151226255"/>
      <w:bookmarkStart w:id="1423" w:name="_Toc151226322"/>
      <w:bookmarkStart w:id="1424" w:name="_Toc151226391"/>
      <w:bookmarkStart w:id="1425" w:name="_Toc151226678"/>
      <w:bookmarkStart w:id="1426" w:name="_Toc151126547"/>
      <w:bookmarkStart w:id="1427" w:name="_Toc151126634"/>
      <w:bookmarkStart w:id="1428" w:name="_Toc151126771"/>
      <w:bookmarkStart w:id="1429" w:name="_Toc151211795"/>
      <w:bookmarkStart w:id="1430" w:name="_Toc151211849"/>
      <w:bookmarkStart w:id="1431" w:name="_Toc151216623"/>
      <w:bookmarkStart w:id="1432" w:name="_Toc151216680"/>
      <w:bookmarkStart w:id="1433" w:name="_Toc151218503"/>
      <w:bookmarkStart w:id="1434" w:name="_Toc151218567"/>
      <w:bookmarkStart w:id="1435" w:name="_Toc151226256"/>
      <w:bookmarkStart w:id="1436" w:name="_Toc151226323"/>
      <w:bookmarkStart w:id="1437" w:name="_Toc151226392"/>
      <w:bookmarkStart w:id="1438" w:name="_Toc151226679"/>
      <w:bookmarkStart w:id="1439" w:name="_Toc151815652"/>
      <w:bookmarkStart w:id="1440" w:name="_Toc159501016"/>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r w:rsidRPr="00C4084C">
        <w:t>University finances</w:t>
      </w:r>
      <w:bookmarkEnd w:id="1439"/>
      <w:bookmarkEnd w:id="1440"/>
    </w:p>
    <w:p w14:paraId="488DD78C" w14:textId="3603CC0B" w:rsidR="00B920D4" w:rsidRPr="00C4084C" w:rsidRDefault="00B920D4" w:rsidP="00EB483F">
      <w:r w:rsidRPr="00C4084C">
        <w:t>In 2021, the overall operating revenue of the university sector was $3</w:t>
      </w:r>
      <w:r w:rsidR="00846463" w:rsidRPr="00C4084C">
        <w:t>8.</w:t>
      </w:r>
      <w:r w:rsidRPr="00C4084C">
        <w:t xml:space="preserve">9 </w:t>
      </w:r>
      <w:r w:rsidRPr="00C4084C" w:rsidDel="00C2721D">
        <w:t>billion</w:t>
      </w:r>
      <w:r w:rsidR="00C2721D" w:rsidRPr="00C4084C">
        <w:t>,</w:t>
      </w:r>
      <w:r w:rsidR="006579D1" w:rsidRPr="00C4084C">
        <w:t xml:space="preserve"> and its expenditure was </w:t>
      </w:r>
      <w:r w:rsidR="00846463" w:rsidRPr="00C4084C">
        <w:t>$33.6 billion</w:t>
      </w:r>
      <w:r w:rsidRPr="00C4084C">
        <w:t xml:space="preserve">. </w:t>
      </w:r>
      <w:r w:rsidR="00B24A45" w:rsidRPr="00C4084C">
        <w:t>Revenue</w:t>
      </w:r>
      <w:r w:rsidRPr="00C4084C">
        <w:t xml:space="preserve"> </w:t>
      </w:r>
      <w:r w:rsidR="004C7256">
        <w:t>grew</w:t>
      </w:r>
      <w:r w:rsidRPr="00C4084C">
        <w:t xml:space="preserve"> by 35</w:t>
      </w:r>
      <w:r w:rsidR="09D333FB" w:rsidRPr="00C4084C">
        <w:t>.3</w:t>
      </w:r>
      <w:r w:rsidRPr="00C4084C">
        <w:t>% in real terms over the previous decade, from $28.8 billion (in 2021 dollars) in 2011</w:t>
      </w:r>
      <w:r w:rsidRPr="00C4084C">
        <w:rPr>
          <w:rStyle w:val="CommentReference"/>
        </w:rPr>
        <w:t>.</w:t>
      </w:r>
      <w:r w:rsidRPr="00C4084C">
        <w:rPr>
          <w:rStyle w:val="FootnoteReference"/>
        </w:rPr>
        <w:footnoteReference w:id="422"/>
      </w:r>
      <w:r w:rsidRPr="00C4084C">
        <w:t xml:space="preserve"> </w:t>
      </w:r>
    </w:p>
    <w:p w14:paraId="79AA7EF1" w14:textId="4AB786B4" w:rsidR="00E7708C" w:rsidRPr="00C4084C" w:rsidRDefault="004C7256" w:rsidP="00EB483F">
      <w:r>
        <w:t>The i</w:t>
      </w:r>
      <w:r w:rsidRPr="00C4084C">
        <w:t xml:space="preserve">ncrease </w:t>
      </w:r>
      <w:r w:rsidR="00B920D4" w:rsidRPr="00C4084C">
        <w:t>in overall university sector revenue mask</w:t>
      </w:r>
      <w:r>
        <w:t>s</w:t>
      </w:r>
      <w:r w:rsidR="00B920D4" w:rsidRPr="00C4084C">
        <w:t xml:space="preserve"> financial difficulties at some institutions. In 2021, the net operating result across the </w:t>
      </w:r>
      <w:r w:rsidR="00F02F3E" w:rsidRPr="00C4084C">
        <w:t xml:space="preserve">university </w:t>
      </w:r>
      <w:r w:rsidR="00B920D4" w:rsidRPr="00C4084C">
        <w:t>sector was a surplus of $5.3 billion – 38 universities reported a net surplus, and 3 reported a net deficit. The average net operating margin (net operating results as a share of total operating revenue) across the university sector was 13.6% in 2021. The highest net operating margin reported across the sector was a surplus of 29.7%, and the lowest was a deficit of 7.6%.</w:t>
      </w:r>
      <w:r w:rsidR="00B920D4" w:rsidRPr="00C4084C">
        <w:rPr>
          <w:rStyle w:val="FootnoteReference"/>
        </w:rPr>
        <w:footnoteReference w:id="423"/>
      </w:r>
    </w:p>
    <w:p w14:paraId="131C820C" w14:textId="15352B29" w:rsidR="00B920D4" w:rsidRPr="00C4084C" w:rsidRDefault="0034084C" w:rsidP="00EB483F">
      <w:r w:rsidRPr="00C4084C">
        <w:t>O</w:t>
      </w:r>
      <w:r w:rsidR="00B920D4" w:rsidRPr="00C4084C">
        <w:t>utcomes for 2022 look significantly worse and the recent challenges to the financial position</w:t>
      </w:r>
      <w:r w:rsidR="00D66D8A">
        <w:t>s</w:t>
      </w:r>
      <w:r w:rsidR="00B920D4" w:rsidRPr="00C4084C">
        <w:t xml:space="preserve"> of universities have been widely reported. Of the 10 </w:t>
      </w:r>
      <w:r w:rsidR="002D5C45" w:rsidRPr="00C4084C">
        <w:t>publicly funded</w:t>
      </w:r>
      <w:r w:rsidR="00B920D4" w:rsidRPr="00C4084C">
        <w:t xml:space="preserve"> universities in New South Wales, only one recorded a surplus in 2022, with the remaining 9 recording a collective $416 million deficit.</w:t>
      </w:r>
      <w:r w:rsidR="00B920D4" w:rsidRPr="00C4084C">
        <w:rPr>
          <w:rStyle w:val="FootnoteReference"/>
        </w:rPr>
        <w:footnoteReference w:id="424"/>
      </w:r>
      <w:r w:rsidR="00B920D4" w:rsidRPr="00C4084C">
        <w:t xml:space="preserve"> Similarly, all 8 of the publicly</w:t>
      </w:r>
      <w:r w:rsidR="002D5C45" w:rsidRPr="00C4084C">
        <w:t xml:space="preserve"> </w:t>
      </w:r>
      <w:r w:rsidR="00B920D4" w:rsidRPr="00C4084C">
        <w:t>funded universities in Victoria recorded deficits in 2022, with a combined deficit of over half a billion dollars.</w:t>
      </w:r>
      <w:r w:rsidR="00B920D4" w:rsidRPr="00C4084C">
        <w:rPr>
          <w:rStyle w:val="FootnoteReference"/>
        </w:rPr>
        <w:footnoteReference w:id="425"/>
      </w:r>
    </w:p>
    <w:p w14:paraId="0F86F8D6" w14:textId="4463E520" w:rsidR="00E7708C" w:rsidRPr="00C4084C" w:rsidRDefault="00E7708C" w:rsidP="00EB483F">
      <w:r w:rsidRPr="00C4084C">
        <w:t>The differences between 2021 and 2022 are partly due to issues associated with the COVID-19 pandemic.</w:t>
      </w:r>
    </w:p>
    <w:p w14:paraId="48B28FE8" w14:textId="74F84B0A" w:rsidR="00B920D4" w:rsidRPr="00C4084C" w:rsidRDefault="00B920D4" w:rsidP="00EB483F">
      <w:r w:rsidRPr="00C4084C">
        <w:t xml:space="preserve">Universities have a diverse range of revenue sources. The proportion of university revenue sourced from Australian Government grants fell from </w:t>
      </w:r>
      <w:r w:rsidR="009B4FEC" w:rsidRPr="00C4084C">
        <w:t>44.0</w:t>
      </w:r>
      <w:r w:rsidRPr="00C4084C">
        <w:t>% (or $</w:t>
      </w:r>
      <w:r w:rsidR="009B4FEC" w:rsidRPr="00C4084C">
        <w:t>7.1</w:t>
      </w:r>
      <w:r w:rsidRPr="00C4084C">
        <w:t xml:space="preserve"> billion) in </w:t>
      </w:r>
      <w:r w:rsidR="009B4FEC" w:rsidRPr="00C4084C">
        <w:t xml:space="preserve">2000 </w:t>
      </w:r>
      <w:r w:rsidRPr="00C4084C">
        <w:t>to 36.1% (or $14.1 billion) in 2021</w:t>
      </w:r>
      <w:r w:rsidR="009B4FEC" w:rsidRPr="00C4084C">
        <w:t>. In addition to these grants,</w:t>
      </w:r>
      <w:r w:rsidRPr="00C4084C">
        <w:t xml:space="preserve"> revenue sourced from HELP loan advances </w:t>
      </w:r>
      <w:r w:rsidR="009B4FEC" w:rsidRPr="00C4084C">
        <w:t>declined</w:t>
      </w:r>
      <w:r w:rsidRPr="00C4084C">
        <w:t xml:space="preserve"> from </w:t>
      </w:r>
      <w:r w:rsidR="009B4FEC" w:rsidRPr="00C4084C">
        <w:t>16.9% (or $2.7</w:t>
      </w:r>
      <w:r w:rsidRPr="00C4084C">
        <w:t xml:space="preserve"> billion) to 15.9% (or $6.2 billion) over the same period.</w:t>
      </w:r>
      <w:r w:rsidRPr="00C4084C">
        <w:rPr>
          <w:rStyle w:val="FootnoteReference"/>
        </w:rPr>
        <w:footnoteReference w:id="426"/>
      </w:r>
      <w:r w:rsidRPr="00C4084C">
        <w:t xml:space="preserve"> At the individual university level, the reliance on Australian Government funding (i.e. Australian Government grants and HELP loan advances on behalf of students) ranged from a high of 86.7% to a low of 31.5% in 2021.</w:t>
      </w:r>
      <w:r w:rsidRPr="00C4084C">
        <w:rPr>
          <w:rStyle w:val="FootnoteReference"/>
        </w:rPr>
        <w:footnoteReference w:id="427"/>
      </w:r>
      <w:r w:rsidRPr="00C4084C">
        <w:t xml:space="preserve"> </w:t>
      </w:r>
    </w:p>
    <w:p w14:paraId="2EBA76A1" w14:textId="072440BC" w:rsidR="00B920D4" w:rsidRPr="00C4084C" w:rsidRDefault="00B920D4" w:rsidP="008C4411">
      <w:r w:rsidRPr="00C4084C">
        <w:t>Universities also receive revenue from other sources such as international student fees, commissioned research, investments, sale of assets</w:t>
      </w:r>
      <w:r w:rsidR="00AD567C" w:rsidRPr="00C4084C">
        <w:t xml:space="preserve">, </w:t>
      </w:r>
      <w:proofErr w:type="gramStart"/>
      <w:r w:rsidR="00AD567C" w:rsidRPr="00C4084C">
        <w:t>licences</w:t>
      </w:r>
      <w:proofErr w:type="gramEnd"/>
      <w:r w:rsidR="00AD567C" w:rsidRPr="00C4084C">
        <w:t xml:space="preserve"> and consultancies. A few universities receive substantial donations and bequests each year. The largest source is international student fees, which rose from $1.6 billion in 2000 to $10.4 billion in 2019 (prior to the COVID-19 pandemic), before declining to $8.7</w:t>
      </w:r>
      <w:r w:rsidR="00221992" w:rsidRPr="00C4084C">
        <w:t> </w:t>
      </w:r>
      <w:r w:rsidR="00AD567C" w:rsidRPr="00C4084C">
        <w:t>billion in 2021. As a share of the sector’s total operating revenue, international student fees increased from 10</w:t>
      </w:r>
      <w:r w:rsidR="559669DB" w:rsidRPr="00C4084C">
        <w:t>.0</w:t>
      </w:r>
      <w:r w:rsidR="00AD567C" w:rsidRPr="00C4084C">
        <w:t>% in 2000</w:t>
      </w:r>
      <w:r w:rsidRPr="00C4084C">
        <w:t xml:space="preserve"> to 27.3% in 2019 before declining to 22.4% </w:t>
      </w:r>
      <w:r w:rsidRPr="00C4084C">
        <w:lastRenderedPageBreak/>
        <w:t>in 2021.</w:t>
      </w:r>
      <w:r w:rsidRPr="00C4084C">
        <w:rPr>
          <w:rStyle w:val="FootnoteReference"/>
        </w:rPr>
        <w:footnoteReference w:id="428"/>
      </w:r>
      <w:r w:rsidRPr="00C4084C">
        <w:t xml:space="preserve"> </w:t>
      </w:r>
      <w:r w:rsidR="0065461D" w:rsidRPr="00C4084C">
        <w:t>Latest data indicates that revenue from international student fees continued to decline in 2022 and is now 14.0% lower than in 2019</w:t>
      </w:r>
      <w:r w:rsidR="00EC34C6" w:rsidRPr="00C4084C">
        <w:t>.</w:t>
      </w:r>
      <w:r w:rsidR="00EC34C6" w:rsidRPr="00C4084C">
        <w:rPr>
          <w:rStyle w:val="FootnoteReference"/>
        </w:rPr>
        <w:footnoteReference w:id="429"/>
      </w:r>
    </w:p>
    <w:p w14:paraId="6C2AC52A" w14:textId="14D41DAD" w:rsidR="00C74A39" w:rsidRPr="00C4084C" w:rsidRDefault="00C74A39" w:rsidP="00EB483F">
      <w:r w:rsidRPr="00C4084C">
        <w:t xml:space="preserve">Just as </w:t>
      </w:r>
      <w:r w:rsidR="00375C85">
        <w:t xml:space="preserve">different </w:t>
      </w:r>
      <w:r w:rsidRPr="00C4084C">
        <w:t xml:space="preserve">universities have </w:t>
      </w:r>
      <w:r w:rsidR="00375C85">
        <w:t>different</w:t>
      </w:r>
      <w:r w:rsidRPr="00C4084C">
        <w:t xml:space="preserve"> revenue sources, </w:t>
      </w:r>
      <w:r w:rsidR="00DE480C" w:rsidRPr="00C4084C">
        <w:t xml:space="preserve">expenditure </w:t>
      </w:r>
      <w:r w:rsidRPr="00C4084C">
        <w:t>differ</w:t>
      </w:r>
      <w:r w:rsidR="0054193B" w:rsidRPr="00C4084C">
        <w:t>s</w:t>
      </w:r>
      <w:r w:rsidRPr="00C4084C">
        <w:t xml:space="preserve"> across each university. While they are expected to undertake teaching and research, universities also contribute to civic</w:t>
      </w:r>
      <w:r w:rsidR="00140098" w:rsidRPr="00C4084C">
        <w:t xml:space="preserve"> engagement</w:t>
      </w:r>
      <w:r w:rsidRPr="00C4084C">
        <w:t xml:space="preserve"> and local communities, with the emphasis differing according to each university’s focus and mission. </w:t>
      </w:r>
    </w:p>
    <w:p w14:paraId="27AA8D32" w14:textId="28834439" w:rsidR="00324B53" w:rsidRPr="00C4084C" w:rsidRDefault="00324B53" w:rsidP="00EB483F">
      <w:r w:rsidRPr="00C4084C">
        <w:t xml:space="preserve">Universities have become increasingly sophisticated in using the funds they generate to make targeted investments in activities they wish to emphasise to address their </w:t>
      </w:r>
      <w:proofErr w:type="gramStart"/>
      <w:r w:rsidRPr="00C4084C">
        <w:t>particular missions</w:t>
      </w:r>
      <w:proofErr w:type="gramEnd"/>
      <w:r w:rsidRPr="00C4084C">
        <w:t>. This is most evident in supporting research activity</w:t>
      </w:r>
      <w:r w:rsidR="00896629" w:rsidRPr="00C4084C">
        <w:t>,</w:t>
      </w:r>
      <w:r w:rsidRPr="00C4084C">
        <w:t xml:space="preserve"> particularly by universities which aim to be research intensive. According to the latest ABS data, Australia’s higher education expenditure on R&amp;D (HERD) was $12.7 billion in 2020.</w:t>
      </w:r>
      <w:r w:rsidRPr="00C4084C">
        <w:rPr>
          <w:rStyle w:val="FootnoteReference"/>
        </w:rPr>
        <w:footnoteReference w:id="430"/>
      </w:r>
      <w:r w:rsidRPr="00C4084C">
        <w:t xml:space="preserve"> Of this total, 30.1% was funded through dedicated research grants from the Australian Government – including research block grants</w:t>
      </w:r>
      <w:r w:rsidRPr="00C4084C">
        <w:rPr>
          <w:rStyle w:val="FootnoteReference"/>
        </w:rPr>
        <w:footnoteReference w:id="431"/>
      </w:r>
      <w:r w:rsidRPr="00C4084C">
        <w:t xml:space="preserve"> – </w:t>
      </w:r>
      <w:r w:rsidR="523C6DCA" w:rsidRPr="00C4084C">
        <w:rPr>
          <w:rFonts w:ascii="Calibri" w:eastAsia="Calibri" w:hAnsi="Calibri" w:cs="Calibri"/>
        </w:rPr>
        <w:t>with the rest of the investment coming from general university funds (mainly derived from sources such as international student fees)</w:t>
      </w:r>
      <w:r w:rsidR="00056D4A" w:rsidRPr="00C4084C">
        <w:rPr>
          <w:rFonts w:ascii="Calibri" w:eastAsia="Calibri" w:hAnsi="Calibri" w:cs="Calibri"/>
        </w:rPr>
        <w:t xml:space="preserve">, </w:t>
      </w:r>
      <w:r w:rsidR="523C6DCA" w:rsidRPr="00C4084C">
        <w:rPr>
          <w:rFonts w:ascii="Calibri" w:eastAsia="Calibri" w:hAnsi="Calibri" w:cs="Calibri"/>
        </w:rPr>
        <w:t>business</w:t>
      </w:r>
      <w:r w:rsidR="00056D4A" w:rsidRPr="00C4084C">
        <w:rPr>
          <w:rFonts w:ascii="Calibri" w:eastAsia="Calibri" w:hAnsi="Calibri" w:cs="Calibri"/>
        </w:rPr>
        <w:t>,</w:t>
      </w:r>
      <w:r w:rsidR="523C6DCA" w:rsidRPr="00C4084C">
        <w:rPr>
          <w:rFonts w:ascii="Calibri" w:eastAsia="Calibri" w:hAnsi="Calibri" w:cs="Calibri"/>
        </w:rPr>
        <w:t xml:space="preserve"> state and territory governments</w:t>
      </w:r>
      <w:r w:rsidR="00056D4A" w:rsidRPr="00C4084C">
        <w:rPr>
          <w:rFonts w:ascii="Calibri" w:eastAsia="Calibri" w:hAnsi="Calibri" w:cs="Calibri"/>
        </w:rPr>
        <w:t>,</w:t>
      </w:r>
      <w:r w:rsidR="523C6DCA" w:rsidRPr="00C4084C">
        <w:rPr>
          <w:rFonts w:ascii="Calibri" w:eastAsia="Calibri" w:hAnsi="Calibri" w:cs="Calibri"/>
        </w:rPr>
        <w:t xml:space="preserve"> overseas sources and philanthropy.</w:t>
      </w:r>
    </w:p>
    <w:p w14:paraId="3670D45F" w14:textId="0853B0C7" w:rsidR="00B920D4" w:rsidRPr="00C4084C" w:rsidRDefault="00B920D4" w:rsidP="00745009">
      <w:pPr>
        <w:pStyle w:val="Heading3"/>
      </w:pPr>
      <w:bookmarkStart w:id="1441" w:name="_Toc151815653"/>
      <w:bookmarkStart w:id="1442" w:name="_Toc159501017"/>
      <w:r w:rsidRPr="00C4084C">
        <w:t xml:space="preserve">A new funding </w:t>
      </w:r>
      <w:r w:rsidR="009D6E70" w:rsidRPr="00C4084C">
        <w:t xml:space="preserve">model </w:t>
      </w:r>
      <w:r w:rsidRPr="00C4084C">
        <w:t xml:space="preserve">for Commonwealth supported teaching </w:t>
      </w:r>
      <w:proofErr w:type="gramStart"/>
      <w:r w:rsidRPr="00C4084C">
        <w:t>places</w:t>
      </w:r>
      <w:bookmarkEnd w:id="1441"/>
      <w:bookmarkEnd w:id="1442"/>
      <w:proofErr w:type="gramEnd"/>
    </w:p>
    <w:p w14:paraId="219018A1" w14:textId="677D9CBC" w:rsidR="00B920D4" w:rsidRPr="00C4084C" w:rsidRDefault="00B920D4" w:rsidP="00BA6095">
      <w:pPr>
        <w:pStyle w:val="Heading4"/>
      </w:pPr>
      <w:bookmarkStart w:id="1443" w:name="_Toc151126555"/>
      <w:bookmarkStart w:id="1444" w:name="_Toc151126642"/>
      <w:bookmarkStart w:id="1445" w:name="_Toc151126779"/>
      <w:bookmarkStart w:id="1446" w:name="_Toc151211803"/>
      <w:bookmarkStart w:id="1447" w:name="_Toc151211857"/>
      <w:bookmarkStart w:id="1448" w:name="_Toc151216631"/>
      <w:bookmarkStart w:id="1449" w:name="_Toc151216688"/>
      <w:bookmarkStart w:id="1450" w:name="_Toc151218511"/>
      <w:bookmarkStart w:id="1451" w:name="_Toc151218575"/>
      <w:bookmarkStart w:id="1452" w:name="_Toc151226264"/>
      <w:bookmarkStart w:id="1453" w:name="_Toc151226331"/>
      <w:bookmarkStart w:id="1454" w:name="_Toc151226400"/>
      <w:bookmarkStart w:id="1455" w:name="_Toc151226687"/>
      <w:bookmarkStart w:id="1456" w:name="_Toc151126556"/>
      <w:bookmarkStart w:id="1457" w:name="_Toc151126643"/>
      <w:bookmarkStart w:id="1458" w:name="_Toc151126780"/>
      <w:bookmarkStart w:id="1459" w:name="_Toc151211804"/>
      <w:bookmarkStart w:id="1460" w:name="_Toc151211858"/>
      <w:bookmarkStart w:id="1461" w:name="_Toc151216632"/>
      <w:bookmarkStart w:id="1462" w:name="_Toc151216689"/>
      <w:bookmarkStart w:id="1463" w:name="_Toc151218512"/>
      <w:bookmarkStart w:id="1464" w:name="_Toc151218576"/>
      <w:bookmarkStart w:id="1465" w:name="_Toc151226265"/>
      <w:bookmarkStart w:id="1466" w:name="_Toc151226332"/>
      <w:bookmarkStart w:id="1467" w:name="_Toc151226401"/>
      <w:bookmarkStart w:id="1468" w:name="_Toc151226688"/>
      <w:bookmarkStart w:id="1469" w:name="_Toc151126557"/>
      <w:bookmarkStart w:id="1470" w:name="_Toc151126644"/>
      <w:bookmarkStart w:id="1471" w:name="_Toc151126781"/>
      <w:bookmarkStart w:id="1472" w:name="_Toc151211805"/>
      <w:bookmarkStart w:id="1473" w:name="_Toc151211859"/>
      <w:bookmarkStart w:id="1474" w:name="_Toc151216633"/>
      <w:bookmarkStart w:id="1475" w:name="_Toc151216690"/>
      <w:bookmarkStart w:id="1476" w:name="_Toc151218513"/>
      <w:bookmarkStart w:id="1477" w:name="_Toc151218577"/>
      <w:bookmarkStart w:id="1478" w:name="_Toc151226266"/>
      <w:bookmarkStart w:id="1479" w:name="_Toc151226333"/>
      <w:bookmarkStart w:id="1480" w:name="_Toc151226402"/>
      <w:bookmarkStart w:id="1481" w:name="_Toc151226689"/>
      <w:bookmarkStart w:id="1482" w:name="_Toc151126558"/>
      <w:bookmarkStart w:id="1483" w:name="_Toc151126645"/>
      <w:bookmarkStart w:id="1484" w:name="_Toc151126782"/>
      <w:bookmarkStart w:id="1485" w:name="_Toc151211806"/>
      <w:bookmarkStart w:id="1486" w:name="_Toc151211860"/>
      <w:bookmarkStart w:id="1487" w:name="_Toc151216634"/>
      <w:bookmarkStart w:id="1488" w:name="_Toc151216691"/>
      <w:bookmarkStart w:id="1489" w:name="_Toc151218514"/>
      <w:bookmarkStart w:id="1490" w:name="_Toc151218578"/>
      <w:bookmarkStart w:id="1491" w:name="_Toc151226267"/>
      <w:bookmarkStart w:id="1492" w:name="_Toc151226334"/>
      <w:bookmarkStart w:id="1493" w:name="_Toc151226403"/>
      <w:bookmarkStart w:id="1494" w:name="_Toc151226690"/>
      <w:bookmarkStart w:id="1495" w:name="_Toc151126559"/>
      <w:bookmarkStart w:id="1496" w:name="_Toc151126646"/>
      <w:bookmarkStart w:id="1497" w:name="_Toc151126783"/>
      <w:bookmarkStart w:id="1498" w:name="_Toc151211807"/>
      <w:bookmarkStart w:id="1499" w:name="_Toc151211861"/>
      <w:bookmarkStart w:id="1500" w:name="_Toc151216635"/>
      <w:bookmarkStart w:id="1501" w:name="_Toc151216692"/>
      <w:bookmarkStart w:id="1502" w:name="_Toc151218515"/>
      <w:bookmarkStart w:id="1503" w:name="_Toc151218579"/>
      <w:bookmarkStart w:id="1504" w:name="_Toc151226268"/>
      <w:bookmarkStart w:id="1505" w:name="_Toc151226335"/>
      <w:bookmarkStart w:id="1506" w:name="_Toc151226404"/>
      <w:bookmarkStart w:id="1507" w:name="_Toc151226691"/>
      <w:bookmarkStart w:id="1508" w:name="_Toc148277867"/>
      <w:bookmarkStart w:id="1509" w:name="_Toc148339855"/>
      <w:bookmarkStart w:id="1510" w:name="_Toc151815654"/>
      <w:bookmarkStart w:id="1511" w:name="_Toc159501018"/>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r w:rsidRPr="00C4084C">
        <w:t xml:space="preserve">Evolution of the current funding </w:t>
      </w:r>
      <w:bookmarkEnd w:id="1510"/>
      <w:r w:rsidR="00506A4E" w:rsidRPr="00C4084C">
        <w:t>system</w:t>
      </w:r>
      <w:bookmarkEnd w:id="1511"/>
    </w:p>
    <w:p w14:paraId="7B6AC2C7" w14:textId="4066585F" w:rsidR="00701D53" w:rsidRPr="00C4084C" w:rsidRDefault="00701D53" w:rsidP="00EB483F">
      <w:pPr>
        <w:rPr>
          <w:rStyle w:val="s2"/>
          <w:rFonts w:asciiTheme="majorHAnsi" w:eastAsiaTheme="majorEastAsia" w:hAnsiTheme="majorHAnsi" w:cstheme="majorBidi"/>
          <w:b/>
          <w:iCs/>
          <w:color w:val="004C6C" w:themeColor="background2"/>
          <w:sz w:val="28"/>
        </w:rPr>
      </w:pPr>
      <w:r w:rsidRPr="00C4084C">
        <w:rPr>
          <w:rStyle w:val="s2"/>
        </w:rPr>
        <w:t xml:space="preserve">As described in </w:t>
      </w:r>
      <w:r w:rsidR="00355A5B" w:rsidRPr="00C4084C">
        <w:rPr>
          <w:rStyle w:val="s2"/>
          <w:i/>
          <w:iCs/>
        </w:rPr>
        <w:fldChar w:fldCharType="begin"/>
      </w:r>
      <w:r w:rsidR="00355A5B" w:rsidRPr="00C4084C">
        <w:rPr>
          <w:rStyle w:val="s2"/>
          <w:i/>
          <w:iCs/>
        </w:rPr>
        <w:instrText xml:space="preserve"> REF _Ref151932669 \r \h  \* MERGEFORMAT </w:instrText>
      </w:r>
      <w:r w:rsidR="00355A5B" w:rsidRPr="00C4084C">
        <w:rPr>
          <w:rStyle w:val="s2"/>
          <w:i/>
          <w:iCs/>
        </w:rPr>
      </w:r>
      <w:r w:rsidR="00355A5B" w:rsidRPr="00C4084C">
        <w:rPr>
          <w:rStyle w:val="s2"/>
          <w:i/>
          <w:iCs/>
        </w:rPr>
        <w:fldChar w:fldCharType="separate"/>
      </w:r>
      <w:r w:rsidR="00467B4F">
        <w:rPr>
          <w:rStyle w:val="s2"/>
          <w:i/>
          <w:iCs/>
        </w:rPr>
        <w:t xml:space="preserve">Chapter 2 – </w:t>
      </w:r>
      <w:r w:rsidR="00355A5B" w:rsidRPr="00C4084C">
        <w:rPr>
          <w:rStyle w:val="s2"/>
          <w:i/>
          <w:iCs/>
        </w:rPr>
        <w:fldChar w:fldCharType="end"/>
      </w:r>
      <w:r w:rsidR="00355A5B" w:rsidRPr="00EB483F">
        <w:rPr>
          <w:rStyle w:val="s2"/>
          <w:i/>
          <w:iCs/>
        </w:rPr>
        <w:fldChar w:fldCharType="begin"/>
      </w:r>
      <w:r w:rsidR="00355A5B" w:rsidRPr="00EB483F">
        <w:rPr>
          <w:rStyle w:val="s2"/>
          <w:i/>
          <w:iCs/>
        </w:rPr>
        <w:instrText xml:space="preserve"> REF _Ref151932669 \h  \* MERGEFORMAT </w:instrText>
      </w:r>
      <w:r w:rsidR="00355A5B" w:rsidRPr="00EB483F">
        <w:rPr>
          <w:rStyle w:val="s2"/>
          <w:i/>
          <w:iCs/>
        </w:rPr>
      </w:r>
      <w:r w:rsidR="00355A5B" w:rsidRPr="00EB483F">
        <w:rPr>
          <w:rStyle w:val="s2"/>
          <w:i/>
          <w:iCs/>
        </w:rPr>
        <w:fldChar w:fldCharType="separate"/>
      </w:r>
      <w:r w:rsidR="00467B4F" w:rsidRPr="00EB483F">
        <w:rPr>
          <w:i/>
          <w:iCs/>
        </w:rPr>
        <w:t>Meeting our current and future skills needs</w:t>
      </w:r>
      <w:r w:rsidR="00355A5B" w:rsidRPr="00EB483F">
        <w:rPr>
          <w:rStyle w:val="s2"/>
          <w:i/>
          <w:iCs/>
        </w:rPr>
        <w:fldChar w:fldCharType="end"/>
      </w:r>
      <w:r w:rsidRPr="00C4084C">
        <w:rPr>
          <w:rStyle w:val="s2"/>
        </w:rPr>
        <w:t>, reforms introduced in 1989 by the then Minister for Education, Employment and Training, the Hon John Dawkins AO</w:t>
      </w:r>
      <w:r w:rsidR="7D5F4339" w:rsidRPr="00C4084C">
        <w:rPr>
          <w:rStyle w:val="s2"/>
        </w:rPr>
        <w:t>,</w:t>
      </w:r>
      <w:r w:rsidRPr="00C4084C">
        <w:rPr>
          <w:rStyle w:val="s2"/>
        </w:rPr>
        <w:t xml:space="preserve"> have largely defined the structure of Australia’s contemporary higher education system. Central to the Dawkins reforms was the introduction of a student contribution scheme (now known as the Higher Education Loan Program – HELP) which </w:t>
      </w:r>
      <w:r w:rsidR="00B97D72" w:rsidRPr="00C4084C">
        <w:rPr>
          <w:rStyle w:val="s2"/>
        </w:rPr>
        <w:t xml:space="preserve">ensures there is no </w:t>
      </w:r>
      <w:r w:rsidRPr="00C4084C">
        <w:rPr>
          <w:rStyle w:val="s2"/>
        </w:rPr>
        <w:t xml:space="preserve">upfront cost </w:t>
      </w:r>
      <w:r w:rsidR="00B97D72" w:rsidRPr="00C4084C">
        <w:rPr>
          <w:rStyle w:val="s2"/>
        </w:rPr>
        <w:t xml:space="preserve">associated with </w:t>
      </w:r>
      <w:r w:rsidRPr="00C4084C">
        <w:rPr>
          <w:rStyle w:val="s2"/>
        </w:rPr>
        <w:t>university fees</w:t>
      </w:r>
      <w:r w:rsidR="00B97D72" w:rsidRPr="00C4084C">
        <w:rPr>
          <w:rStyle w:val="s2"/>
        </w:rPr>
        <w:t>,</w:t>
      </w:r>
      <w:r w:rsidRPr="00C4084C">
        <w:rPr>
          <w:rStyle w:val="s2"/>
        </w:rPr>
        <w:t xml:space="preserve"> by allowing students to defer payment until they earn a minimum specified wage. This has contributed to a major expansion in higher education participation over the last 35 years.</w:t>
      </w:r>
    </w:p>
    <w:p w14:paraId="49BF4959" w14:textId="578520EA" w:rsidR="00701D53" w:rsidRPr="00C4084C" w:rsidRDefault="00701D53" w:rsidP="00EB483F">
      <w:r w:rsidRPr="00C4084C">
        <w:t xml:space="preserve">The Commonwealth Grant Scheme (CGS) legislated </w:t>
      </w:r>
      <w:r w:rsidRPr="00C4084C">
        <w:rPr>
          <w:rStyle w:val="s2"/>
        </w:rPr>
        <w:t xml:space="preserve">under the </w:t>
      </w:r>
      <w:r w:rsidRPr="00C4084C">
        <w:rPr>
          <w:rStyle w:val="s2"/>
          <w:i/>
          <w:iCs/>
        </w:rPr>
        <w:t xml:space="preserve">Higher Education Support Act 2003 </w:t>
      </w:r>
      <w:r w:rsidRPr="00C4084C">
        <w:rPr>
          <w:rStyle w:val="s2"/>
        </w:rPr>
        <w:t>(HESA)</w:t>
      </w:r>
      <w:r w:rsidR="284E3BDE" w:rsidRPr="00C4084C">
        <w:rPr>
          <w:rStyle w:val="s2"/>
        </w:rPr>
        <w:t>,</w:t>
      </w:r>
      <w:r w:rsidRPr="00C4084C">
        <w:rPr>
          <w:rStyle w:val="s2"/>
          <w:i/>
          <w:iCs/>
        </w:rPr>
        <w:t xml:space="preserve"> </w:t>
      </w:r>
      <w:r w:rsidRPr="00C4084C">
        <w:t xml:space="preserve">is the biggest single source of </w:t>
      </w:r>
      <w:r w:rsidR="00F111E2" w:rsidRPr="00C4084C">
        <w:t>g</w:t>
      </w:r>
      <w:r w:rsidRPr="00C4084C">
        <w:t xml:space="preserve">overnment funding for higher education. This scheme, together with student contributions that are usually deferred under HECS-HELP (also governed by HESA), constitutes the ‘base funding’ for teaching, learning and scholarly activities.  </w:t>
      </w:r>
    </w:p>
    <w:p w14:paraId="4A6DBB51" w14:textId="607775ED" w:rsidR="00701D53" w:rsidRPr="00C4084C" w:rsidRDefault="00701D53" w:rsidP="00EB483F">
      <w:r w:rsidRPr="00C4084C">
        <w:t>Most CGS funding is only available to specific providers designated in HESA,</w:t>
      </w:r>
      <w:r w:rsidRPr="00C4084C">
        <w:rPr>
          <w:rStyle w:val="FootnoteReference"/>
        </w:rPr>
        <w:footnoteReference w:id="432"/>
      </w:r>
      <w:r w:rsidRPr="00C4084C">
        <w:t xml:space="preserve"> namely</w:t>
      </w:r>
      <w:r w:rsidR="006D12EF" w:rsidRPr="00C4084C">
        <w:t xml:space="preserve"> </w:t>
      </w:r>
      <w:r w:rsidRPr="00C4084C">
        <w:t>the publicly</w:t>
      </w:r>
      <w:r w:rsidR="00375C85">
        <w:t xml:space="preserve"> </w:t>
      </w:r>
      <w:r w:rsidRPr="00C4084C">
        <w:t xml:space="preserve">funded universities in Australia. To receive CGS funding, a provider must enter into a funding agreement with the Australian Government. Some other providers, mostly private, are eligible for </w:t>
      </w:r>
      <w:r w:rsidRPr="00C4084C">
        <w:lastRenderedPageBreak/>
        <w:t>‘national priorities’ funding, predominantly for education and nursing courses. Australia’s publicly</w:t>
      </w:r>
      <w:r w:rsidR="00375C85">
        <w:t xml:space="preserve"> </w:t>
      </w:r>
      <w:r w:rsidRPr="00C4084C">
        <w:t>funded universities are prohibited from offering domestic full fee-paying undergraduate places.</w:t>
      </w:r>
      <w:r w:rsidR="00CA2141" w:rsidRPr="00C4084C">
        <w:rPr>
          <w:rStyle w:val="FootnoteReference"/>
        </w:rPr>
        <w:footnoteReference w:id="433"/>
      </w:r>
    </w:p>
    <w:p w14:paraId="6EB7E00D" w14:textId="19A6C327" w:rsidR="00B920D4" w:rsidRPr="00C4084C" w:rsidRDefault="00B920D4" w:rsidP="00EB483F">
      <w:pPr>
        <w:rPr>
          <w:rStyle w:val="s2"/>
        </w:rPr>
      </w:pPr>
      <w:r w:rsidRPr="00C4084C">
        <w:t xml:space="preserve">Funding is allocated </w:t>
      </w:r>
      <w:proofErr w:type="gramStart"/>
      <w:r w:rsidRPr="00C4084C">
        <w:t>on the basis of</w:t>
      </w:r>
      <w:proofErr w:type="gramEnd"/>
      <w:r w:rsidRPr="00C4084C">
        <w:t xml:space="preserve"> the number of full-time equivalent domestic students in Commonwealth supported places </w:t>
      </w:r>
      <w:r w:rsidR="00AC1FFD" w:rsidRPr="00C4084C">
        <w:rPr>
          <w:rStyle w:val="s2"/>
        </w:rPr>
        <w:t>–</w:t>
      </w:r>
      <w:r w:rsidR="00744C6A" w:rsidRPr="00C4084C">
        <w:t xml:space="preserve"> </w:t>
      </w:r>
      <w:r w:rsidRPr="00C4084C">
        <w:t xml:space="preserve">so called because, for each </w:t>
      </w:r>
      <w:r w:rsidR="1B8D40EE" w:rsidRPr="00C4084C">
        <w:t>place</w:t>
      </w:r>
      <w:r w:rsidRPr="00C4084C">
        <w:t xml:space="preserve">, the </w:t>
      </w:r>
      <w:r w:rsidR="00F111E2" w:rsidRPr="00C4084C">
        <w:t xml:space="preserve">Australian </w:t>
      </w:r>
      <w:r w:rsidRPr="00C4084C">
        <w:t xml:space="preserve">Government makes a contribution to the cost of teaching and scholarship through the CGS. The amount of the </w:t>
      </w:r>
      <w:r w:rsidR="00432C87" w:rsidRPr="00C4084C">
        <w:t>Australian Government</w:t>
      </w:r>
      <w:r w:rsidR="00CD0670" w:rsidRPr="00C4084C">
        <w:t>’s</w:t>
      </w:r>
      <w:r w:rsidRPr="00C4084C">
        <w:t xml:space="preserve"> contribution depends on the field of education or ‘funding cluster’. Providers</w:t>
      </w:r>
      <w:r w:rsidR="00CD2968" w:rsidRPr="00C4084C">
        <w:t xml:space="preserve"> – including universities and non-university higher education providers (NUHEPS) –</w:t>
      </w:r>
      <w:r w:rsidRPr="00C4084C">
        <w:t xml:space="preserve"> also receive a student contribution, the maximum level of which is legislated under HESA </w:t>
      </w:r>
      <w:proofErr w:type="gramStart"/>
      <w:r w:rsidRPr="00C4084C">
        <w:t>and also</w:t>
      </w:r>
      <w:proofErr w:type="gramEnd"/>
      <w:r w:rsidRPr="00C4084C">
        <w:t xml:space="preserve"> varies by field. Students who do not wish to pay the contribution up</w:t>
      </w:r>
      <w:r w:rsidR="00701D53" w:rsidRPr="00C4084C">
        <w:t xml:space="preserve"> </w:t>
      </w:r>
      <w:r w:rsidRPr="00C4084C">
        <w:t>front can defer it through a government-</w:t>
      </w:r>
      <w:r w:rsidR="00A03E8E">
        <w:t>backed</w:t>
      </w:r>
      <w:r w:rsidR="00A03E8E" w:rsidRPr="00C4084C">
        <w:t xml:space="preserve"> </w:t>
      </w:r>
      <w:r w:rsidRPr="00C4084C">
        <w:t xml:space="preserve">HECS-HELP </w:t>
      </w:r>
      <w:r w:rsidR="00701D53" w:rsidRPr="00C4084C">
        <w:t xml:space="preserve">income-contingent </w:t>
      </w:r>
      <w:r w:rsidRPr="00C4084C">
        <w:t>loan. In 202</w:t>
      </w:r>
      <w:r w:rsidR="004E2F3F" w:rsidRPr="00C4084C">
        <w:t>2</w:t>
      </w:r>
      <w:r w:rsidRPr="00C4084C">
        <w:t xml:space="preserve">, </w:t>
      </w:r>
      <w:r w:rsidR="004E2F3F" w:rsidRPr="00C4084C">
        <w:rPr>
          <w:rStyle w:val="s2"/>
        </w:rPr>
        <w:t>89.4</w:t>
      </w:r>
      <w:r w:rsidRPr="00C4084C">
        <w:rPr>
          <w:rStyle w:val="s2"/>
        </w:rPr>
        <w:t>% of equivalent full-time student load (EFTSL)</w:t>
      </w:r>
      <w:r w:rsidR="00701D53" w:rsidRPr="00C4084C">
        <w:rPr>
          <w:rStyle w:val="s2"/>
        </w:rPr>
        <w:t xml:space="preserve"> </w:t>
      </w:r>
      <w:r w:rsidR="005F4C3B" w:rsidRPr="00C4084C">
        <w:rPr>
          <w:rStyle w:val="s2"/>
        </w:rPr>
        <w:t>utilised</w:t>
      </w:r>
      <w:r w:rsidRPr="00C4084C">
        <w:rPr>
          <w:rStyle w:val="s2"/>
        </w:rPr>
        <w:t xml:space="preserve"> HECS-HELP rather than paying </w:t>
      </w:r>
      <w:r w:rsidR="00701D53" w:rsidRPr="00C4084C">
        <w:rPr>
          <w:rStyle w:val="s2"/>
        </w:rPr>
        <w:t>up front.</w:t>
      </w:r>
      <w:r w:rsidR="00701D53" w:rsidRPr="00C4084C">
        <w:rPr>
          <w:rStyle w:val="FootnoteReference"/>
        </w:rPr>
        <w:footnoteReference w:id="434"/>
      </w:r>
    </w:p>
    <w:p w14:paraId="1F1B3375" w14:textId="457D8AC5" w:rsidR="00B920D4" w:rsidRPr="00C4084C" w:rsidRDefault="00B920D4" w:rsidP="00EB483F">
      <w:r w:rsidRPr="00C4084C">
        <w:t xml:space="preserve">Before 2009, the number of </w:t>
      </w:r>
      <w:r w:rsidR="26A9EEEF" w:rsidRPr="00C4084C">
        <w:t>Commonwealth supported places</w:t>
      </w:r>
      <w:r w:rsidRPr="00C4084C">
        <w:t xml:space="preserve"> in each field of study (i.e. the volume and distribution of </w:t>
      </w:r>
      <w:r w:rsidR="4BD56EC3" w:rsidRPr="00C4084C">
        <w:t>place</w:t>
      </w:r>
      <w:r w:rsidRPr="00C4084C">
        <w:t xml:space="preserve">s) was negotiated at </w:t>
      </w:r>
      <w:r w:rsidR="00197FA9" w:rsidRPr="00C4084C">
        <w:t>provider</w:t>
      </w:r>
      <w:r w:rsidRPr="00C4084C">
        <w:t xml:space="preserve"> level. While there was some flexibility provided for enrolments above the </w:t>
      </w:r>
      <w:r w:rsidR="00E80C37" w:rsidRPr="00C4084C">
        <w:t xml:space="preserve">load negotiated with the </w:t>
      </w:r>
      <w:r w:rsidR="003E5778" w:rsidRPr="00C4084C">
        <w:t>Australian Government</w:t>
      </w:r>
      <w:r w:rsidRPr="00C4084C">
        <w:t xml:space="preserve">, most of these enrolments were not funded, and this limited the total number of students in the system. </w:t>
      </w:r>
    </w:p>
    <w:p w14:paraId="7191D629" w14:textId="7C4AEF6A" w:rsidR="00B920D4" w:rsidRPr="00C4084C" w:rsidRDefault="00B920D4" w:rsidP="00EB483F">
      <w:pPr>
        <w:rPr>
          <w:rStyle w:val="s2"/>
        </w:rPr>
      </w:pPr>
      <w:r w:rsidRPr="00C4084C">
        <w:rPr>
          <w:rStyle w:val="s2"/>
        </w:rPr>
        <w:t>In 2009, following the Bradley Review, the then government implemented a demand</w:t>
      </w:r>
      <w:r w:rsidR="00756EAF">
        <w:rPr>
          <w:rStyle w:val="s2"/>
        </w:rPr>
        <w:t xml:space="preserve"> </w:t>
      </w:r>
      <w:r w:rsidRPr="00C4084C">
        <w:rPr>
          <w:rStyle w:val="s2"/>
        </w:rPr>
        <w:t xml:space="preserve">driven mechanism for Commonwealth supported </w:t>
      </w:r>
      <w:proofErr w:type="gramStart"/>
      <w:r w:rsidRPr="00C4084C">
        <w:rPr>
          <w:rStyle w:val="s2"/>
        </w:rPr>
        <w:t>bachelor</w:t>
      </w:r>
      <w:proofErr w:type="gramEnd"/>
      <w:r w:rsidRPr="00C4084C">
        <w:rPr>
          <w:rStyle w:val="s2"/>
        </w:rPr>
        <w:t xml:space="preserve"> degree places at publicly</w:t>
      </w:r>
      <w:r w:rsidR="00375C85">
        <w:rPr>
          <w:rStyle w:val="s2"/>
        </w:rPr>
        <w:t xml:space="preserve"> </w:t>
      </w:r>
      <w:r w:rsidR="00701D53" w:rsidRPr="00C4084C">
        <w:rPr>
          <w:rStyle w:val="s2"/>
        </w:rPr>
        <w:t xml:space="preserve">funded universities </w:t>
      </w:r>
      <w:r w:rsidR="005F4C3B" w:rsidRPr="00C4084C">
        <w:rPr>
          <w:rStyle w:val="s2"/>
        </w:rPr>
        <w:t>(</w:t>
      </w:r>
      <w:r w:rsidR="00701D53" w:rsidRPr="00C4084C">
        <w:rPr>
          <w:rStyle w:val="s2"/>
        </w:rPr>
        <w:t>except in medicine</w:t>
      </w:r>
      <w:r w:rsidR="005F4C3B" w:rsidRPr="00C4084C">
        <w:rPr>
          <w:rStyle w:val="s2"/>
        </w:rPr>
        <w:t>)</w:t>
      </w:r>
      <w:r w:rsidR="00701D53" w:rsidRPr="00C4084C">
        <w:rPr>
          <w:rStyle w:val="s2"/>
        </w:rPr>
        <w:t xml:space="preserve"> to meet student demand and deliver more graduates. This meant that</w:t>
      </w:r>
      <w:r w:rsidRPr="00C4084C">
        <w:rPr>
          <w:rStyle w:val="s2"/>
        </w:rPr>
        <w:t xml:space="preserve"> universities received the full amount of CGS funding for every student they enrolled. </w:t>
      </w:r>
      <w:r w:rsidR="008962A9" w:rsidRPr="00C4084C">
        <w:rPr>
          <w:rStyle w:val="s2"/>
        </w:rPr>
        <w:t xml:space="preserve">Another significant change to university funding introduced </w:t>
      </w:r>
      <w:r w:rsidR="007954B0" w:rsidRPr="00C4084C">
        <w:rPr>
          <w:rStyle w:val="s2"/>
        </w:rPr>
        <w:t>in response to the Bradley Review was an improvement in indexation arrangements – the Higher Education Grant Index (HEGI)</w:t>
      </w:r>
      <w:r w:rsidR="00016655" w:rsidRPr="00C4084C">
        <w:rPr>
          <w:rStyle w:val="s2"/>
        </w:rPr>
        <w:t xml:space="preserve">, which </w:t>
      </w:r>
      <w:r w:rsidR="001B044E" w:rsidRPr="00C4084C">
        <w:rPr>
          <w:rStyle w:val="s2"/>
        </w:rPr>
        <w:t xml:space="preserve">was a composite index </w:t>
      </w:r>
      <w:proofErr w:type="gramStart"/>
      <w:r w:rsidR="001B044E" w:rsidRPr="00C4084C">
        <w:rPr>
          <w:rStyle w:val="s2"/>
        </w:rPr>
        <w:t>taking into account</w:t>
      </w:r>
      <w:proofErr w:type="gramEnd"/>
      <w:r w:rsidR="001B044E" w:rsidRPr="00C4084C">
        <w:rPr>
          <w:rStyle w:val="s2"/>
        </w:rPr>
        <w:t xml:space="preserve"> </w:t>
      </w:r>
      <w:r w:rsidR="00016655" w:rsidRPr="00C4084C">
        <w:rPr>
          <w:rStyle w:val="s2"/>
        </w:rPr>
        <w:t>changes in</w:t>
      </w:r>
      <w:r w:rsidR="005F4C3B" w:rsidRPr="00C4084C">
        <w:rPr>
          <w:rStyle w:val="s2"/>
        </w:rPr>
        <w:t xml:space="preserve"> the</w:t>
      </w:r>
      <w:r w:rsidR="00016655" w:rsidRPr="00C4084C">
        <w:rPr>
          <w:rStyle w:val="s2"/>
        </w:rPr>
        <w:t xml:space="preserve"> </w:t>
      </w:r>
      <w:r w:rsidR="005F4C3B" w:rsidRPr="00C4084C">
        <w:rPr>
          <w:rStyle w:val="s2"/>
        </w:rPr>
        <w:t xml:space="preserve">Consumer Price Index (CPI) </w:t>
      </w:r>
      <w:r w:rsidR="00D25B14" w:rsidRPr="00C4084C">
        <w:rPr>
          <w:rStyle w:val="s2"/>
        </w:rPr>
        <w:t xml:space="preserve">together </w:t>
      </w:r>
      <w:r w:rsidR="00016655" w:rsidRPr="00C4084C">
        <w:rPr>
          <w:rStyle w:val="s2"/>
        </w:rPr>
        <w:t>with changes in the salaries of professional, scientific and technical service workers.</w:t>
      </w:r>
    </w:p>
    <w:p w14:paraId="583FEBFD" w14:textId="62BA5EC2" w:rsidR="00B920D4" w:rsidRPr="00C4084C" w:rsidRDefault="001B044E" w:rsidP="00EB483F">
      <w:pPr>
        <w:rPr>
          <w:rStyle w:val="s2"/>
        </w:rPr>
      </w:pPr>
      <w:r w:rsidRPr="00C4084C">
        <w:rPr>
          <w:rStyle w:val="s2"/>
        </w:rPr>
        <w:t>As designed, the demand</w:t>
      </w:r>
      <w:r w:rsidR="00756EAF">
        <w:rPr>
          <w:rStyle w:val="s2"/>
        </w:rPr>
        <w:t xml:space="preserve"> </w:t>
      </w:r>
      <w:r w:rsidRPr="00C4084C">
        <w:rPr>
          <w:rStyle w:val="s2"/>
        </w:rPr>
        <w:t xml:space="preserve">driven system </w:t>
      </w:r>
      <w:r w:rsidR="00EC3BC0" w:rsidRPr="00C4084C">
        <w:rPr>
          <w:rStyle w:val="s2"/>
        </w:rPr>
        <w:t>was successful in increasing student numbers, including students from historically under</w:t>
      </w:r>
      <w:r w:rsidR="00375C85">
        <w:rPr>
          <w:rStyle w:val="s2"/>
        </w:rPr>
        <w:t>-</w:t>
      </w:r>
      <w:r w:rsidR="00EC3BC0" w:rsidRPr="00C4084C">
        <w:rPr>
          <w:rStyle w:val="s2"/>
        </w:rPr>
        <w:t>represented backgrounds</w:t>
      </w:r>
      <w:r w:rsidR="00C87A73" w:rsidRPr="00C4084C">
        <w:rPr>
          <w:rStyle w:val="s2"/>
        </w:rPr>
        <w:t>,</w:t>
      </w:r>
      <w:r w:rsidR="00EC3BC0" w:rsidRPr="00C4084C">
        <w:rPr>
          <w:rStyle w:val="s2"/>
        </w:rPr>
        <w:t xml:space="preserve"> </w:t>
      </w:r>
      <w:r w:rsidR="0063753F" w:rsidRPr="00C4084C">
        <w:rPr>
          <w:rStyle w:val="s2"/>
        </w:rPr>
        <w:t>and responded effectively to most skills shortages.</w:t>
      </w:r>
      <w:r w:rsidR="0063753F" w:rsidRPr="00C4084C">
        <w:rPr>
          <w:rStyle w:val="FootnoteReference"/>
        </w:rPr>
        <w:footnoteReference w:id="435"/>
      </w:r>
      <w:r w:rsidR="0063753F" w:rsidRPr="00C4084C">
        <w:rPr>
          <w:rStyle w:val="s2"/>
        </w:rPr>
        <w:t xml:space="preserve"> However, t</w:t>
      </w:r>
      <w:r w:rsidR="00392620" w:rsidRPr="00C4084C">
        <w:rPr>
          <w:rStyle w:val="s2"/>
        </w:rPr>
        <w:t>he</w:t>
      </w:r>
      <w:r w:rsidR="00B920D4" w:rsidRPr="00C4084C">
        <w:rPr>
          <w:rStyle w:val="s2"/>
        </w:rPr>
        <w:t xml:space="preserve"> demand</w:t>
      </w:r>
      <w:r w:rsidR="00756EAF">
        <w:rPr>
          <w:rStyle w:val="s2"/>
        </w:rPr>
        <w:t xml:space="preserve"> </w:t>
      </w:r>
      <w:r w:rsidR="00B920D4" w:rsidRPr="00C4084C">
        <w:rPr>
          <w:rStyle w:val="s2"/>
        </w:rPr>
        <w:t xml:space="preserve">driven funding system was criticised for its cost to taxpayers, encouraging </w:t>
      </w:r>
      <w:r w:rsidR="00392620" w:rsidRPr="00C4084C">
        <w:rPr>
          <w:rStyle w:val="s2"/>
        </w:rPr>
        <w:t>publicly</w:t>
      </w:r>
      <w:r w:rsidR="00375C85">
        <w:rPr>
          <w:rStyle w:val="s2"/>
        </w:rPr>
        <w:t xml:space="preserve"> </w:t>
      </w:r>
      <w:r w:rsidR="00392620" w:rsidRPr="00C4084C">
        <w:rPr>
          <w:rStyle w:val="s2"/>
        </w:rPr>
        <w:t>funded</w:t>
      </w:r>
      <w:r w:rsidR="00B920D4" w:rsidRPr="00C4084C">
        <w:rPr>
          <w:rStyle w:val="s2"/>
        </w:rPr>
        <w:t xml:space="preserve"> universities to admit under-prepared students, and producing too many graduates relative to labour market needs.</w:t>
      </w:r>
      <w:r w:rsidR="00B920D4" w:rsidRPr="00C4084C">
        <w:rPr>
          <w:rStyle w:val="FootnoteReference"/>
        </w:rPr>
        <w:footnoteReference w:id="436"/>
      </w:r>
      <w:r w:rsidR="00B920D4" w:rsidRPr="00C4084C">
        <w:rPr>
          <w:rStyle w:val="s2"/>
        </w:rPr>
        <w:t xml:space="preserve">  </w:t>
      </w:r>
    </w:p>
    <w:p w14:paraId="274D4046" w14:textId="0E703AF6" w:rsidR="00B920D4" w:rsidRPr="00C4084C" w:rsidRDefault="00B920D4" w:rsidP="00EB483F">
      <w:pPr>
        <w:rPr>
          <w:rStyle w:val="s2"/>
        </w:rPr>
      </w:pPr>
      <w:r w:rsidRPr="00C4084C">
        <w:rPr>
          <w:rStyle w:val="s2"/>
        </w:rPr>
        <w:t xml:space="preserve">Between 2013 and 2017, successive governments </w:t>
      </w:r>
      <w:r w:rsidR="00445377" w:rsidRPr="00C4084C">
        <w:rPr>
          <w:rStyle w:val="s2"/>
        </w:rPr>
        <w:t>proposed</w:t>
      </w:r>
      <w:r w:rsidRPr="00C4084C">
        <w:rPr>
          <w:rStyle w:val="s2"/>
        </w:rPr>
        <w:t xml:space="preserve"> restrain</w:t>
      </w:r>
      <w:r w:rsidR="00445377" w:rsidRPr="00C4084C">
        <w:rPr>
          <w:rStyle w:val="s2"/>
        </w:rPr>
        <w:t>ing</w:t>
      </w:r>
      <w:r w:rsidRPr="00C4084C">
        <w:rPr>
          <w:rStyle w:val="s2"/>
        </w:rPr>
        <w:t xml:space="preserve"> outlays on higher education </w:t>
      </w:r>
      <w:r w:rsidR="00445377" w:rsidRPr="00C4084C">
        <w:rPr>
          <w:rStyle w:val="s2"/>
        </w:rPr>
        <w:t>by various means</w:t>
      </w:r>
      <w:r w:rsidRPr="00C4084C">
        <w:rPr>
          <w:rStyle w:val="s2"/>
        </w:rPr>
        <w:t xml:space="preserve"> including:</w:t>
      </w:r>
    </w:p>
    <w:p w14:paraId="59A77E77" w14:textId="77777777" w:rsidR="00B920D4" w:rsidRPr="00C4084C" w:rsidRDefault="00B920D4" w:rsidP="00355A5B">
      <w:pPr>
        <w:pStyle w:val="ListBullet"/>
        <w:rPr>
          <w:rStyle w:val="s2"/>
        </w:rPr>
      </w:pPr>
      <w:r w:rsidRPr="00C4084C">
        <w:rPr>
          <w:rStyle w:val="s2"/>
        </w:rPr>
        <w:t xml:space="preserve">an efficiency dividend announced in </w:t>
      </w:r>
      <w:proofErr w:type="gramStart"/>
      <w:r w:rsidRPr="00C4084C">
        <w:rPr>
          <w:rStyle w:val="s2"/>
        </w:rPr>
        <w:t>2013</w:t>
      </w:r>
      <w:proofErr w:type="gramEnd"/>
    </w:p>
    <w:p w14:paraId="09AB8E8C" w14:textId="77777777" w:rsidR="00B920D4" w:rsidRPr="00C4084C" w:rsidRDefault="00B920D4" w:rsidP="00355A5B">
      <w:pPr>
        <w:pStyle w:val="ListBullet"/>
        <w:rPr>
          <w:rStyle w:val="s2"/>
        </w:rPr>
      </w:pPr>
      <w:r w:rsidRPr="00C4084C">
        <w:rPr>
          <w:rStyle w:val="s2"/>
        </w:rPr>
        <w:lastRenderedPageBreak/>
        <w:t xml:space="preserve">deregulation of student contributions, combined with a 20% reduction in CGS rates and the introduction of real interest on HELP debt in </w:t>
      </w:r>
      <w:proofErr w:type="gramStart"/>
      <w:r w:rsidRPr="00C4084C">
        <w:rPr>
          <w:rStyle w:val="s2"/>
        </w:rPr>
        <w:t>2014</w:t>
      </w:r>
      <w:proofErr w:type="gramEnd"/>
    </w:p>
    <w:p w14:paraId="1588593E" w14:textId="77777777" w:rsidR="00B920D4" w:rsidRPr="00C4084C" w:rsidRDefault="00B920D4" w:rsidP="00355A5B">
      <w:pPr>
        <w:pStyle w:val="ListBullet"/>
        <w:rPr>
          <w:rStyle w:val="s2"/>
        </w:rPr>
      </w:pPr>
      <w:r w:rsidRPr="00C4084C">
        <w:rPr>
          <w:rStyle w:val="s2"/>
        </w:rPr>
        <w:t>a reduction in CGS funding rates, partly compensated through an increase in student contributions in 2017.</w:t>
      </w:r>
      <w:r w:rsidRPr="00C4084C">
        <w:rPr>
          <w:rStyle w:val="FootnoteReference"/>
        </w:rPr>
        <w:footnoteReference w:id="437"/>
      </w:r>
      <w:r w:rsidRPr="00C4084C">
        <w:rPr>
          <w:rStyle w:val="s2"/>
        </w:rPr>
        <w:t xml:space="preserve">  </w:t>
      </w:r>
    </w:p>
    <w:p w14:paraId="2AD464D5" w14:textId="18E7AFDC" w:rsidR="00B920D4" w:rsidRPr="00C4084C" w:rsidRDefault="00B920D4" w:rsidP="00EB483F">
      <w:pPr>
        <w:rPr>
          <w:rStyle w:val="s2"/>
        </w:rPr>
      </w:pPr>
      <w:r w:rsidRPr="00C4084C">
        <w:rPr>
          <w:rStyle w:val="s2"/>
        </w:rPr>
        <w:t>None of these initiatives were supported by the Parliament and therefore none were implemented</w:t>
      </w:r>
      <w:r w:rsidR="00392620" w:rsidRPr="00C4084C">
        <w:rPr>
          <w:rStyle w:val="s2"/>
        </w:rPr>
        <w:t xml:space="preserve">. </w:t>
      </w:r>
      <w:r w:rsidR="000E3E76" w:rsidRPr="00C4084C">
        <w:rPr>
          <w:rStyle w:val="s2"/>
        </w:rPr>
        <w:t xml:space="preserve">While there was emerging evidence </w:t>
      </w:r>
      <w:r w:rsidR="00445377" w:rsidRPr="00C4084C">
        <w:rPr>
          <w:rStyle w:val="s2"/>
        </w:rPr>
        <w:t xml:space="preserve">of </w:t>
      </w:r>
      <w:r w:rsidR="00571197" w:rsidRPr="00C4084C">
        <w:rPr>
          <w:rStyle w:val="s2"/>
        </w:rPr>
        <w:t>slowing</w:t>
      </w:r>
      <w:r w:rsidR="000E3E76" w:rsidRPr="00C4084C">
        <w:rPr>
          <w:rStyle w:val="s2"/>
        </w:rPr>
        <w:t xml:space="preserve"> growth in enrolments</w:t>
      </w:r>
      <w:r w:rsidR="00571197" w:rsidRPr="00C4084C">
        <w:rPr>
          <w:rStyle w:val="s2"/>
        </w:rPr>
        <w:t xml:space="preserve"> </w:t>
      </w:r>
      <w:r w:rsidR="0070411A" w:rsidRPr="00C4084C">
        <w:rPr>
          <w:rStyle w:val="s2"/>
        </w:rPr>
        <w:t xml:space="preserve">(in each year between 2015 and 2017, the increase in commencing bachelor-level </w:t>
      </w:r>
      <w:r w:rsidR="652CAAF5" w:rsidRPr="00C4084C">
        <w:t>Commonwealth supported places</w:t>
      </w:r>
      <w:r w:rsidR="0070411A" w:rsidRPr="00C4084C">
        <w:rPr>
          <w:rStyle w:val="s2"/>
        </w:rPr>
        <w:t xml:space="preserve"> was less than 0.5%)</w:t>
      </w:r>
      <w:r w:rsidR="004D0D9A" w:rsidRPr="00C4084C">
        <w:rPr>
          <w:rStyle w:val="s2"/>
        </w:rPr>
        <w:t>,</w:t>
      </w:r>
      <w:r w:rsidR="0070411A" w:rsidRPr="00C4084C">
        <w:rPr>
          <w:rStyle w:val="FootnoteReference"/>
        </w:rPr>
        <w:footnoteReference w:id="438"/>
      </w:r>
      <w:r w:rsidR="00571197" w:rsidRPr="00C4084C">
        <w:rPr>
          <w:rStyle w:val="s2"/>
        </w:rPr>
        <w:t xml:space="preserve"> </w:t>
      </w:r>
      <w:r w:rsidR="00BD2BE9" w:rsidRPr="00C4084C">
        <w:rPr>
          <w:rStyle w:val="s2"/>
        </w:rPr>
        <w:t xml:space="preserve">at the end of 2017 </w:t>
      </w:r>
      <w:r w:rsidRPr="00C4084C">
        <w:rPr>
          <w:rStyle w:val="s2"/>
        </w:rPr>
        <w:t xml:space="preserve">the </w:t>
      </w:r>
      <w:r w:rsidR="00112A1F" w:rsidRPr="00C4084C">
        <w:rPr>
          <w:rStyle w:val="s2"/>
        </w:rPr>
        <w:t>g</w:t>
      </w:r>
      <w:r w:rsidR="0073324C" w:rsidRPr="00C4084C">
        <w:rPr>
          <w:rStyle w:val="s2"/>
        </w:rPr>
        <w:t xml:space="preserve">overnment </w:t>
      </w:r>
      <w:r w:rsidRPr="00C4084C">
        <w:rPr>
          <w:rStyle w:val="s2"/>
        </w:rPr>
        <w:t>froze the demand</w:t>
      </w:r>
      <w:r w:rsidR="00741DAB">
        <w:rPr>
          <w:rStyle w:val="s2"/>
        </w:rPr>
        <w:t xml:space="preserve"> </w:t>
      </w:r>
      <w:r w:rsidRPr="00C4084C">
        <w:rPr>
          <w:rStyle w:val="s2"/>
        </w:rPr>
        <w:t>driven funding system by introducing a cap on CGS funding for non-medical bachelor-level places</w:t>
      </w:r>
      <w:r w:rsidR="00D23E86" w:rsidRPr="00C4084C">
        <w:rPr>
          <w:rStyle w:val="s2"/>
        </w:rPr>
        <w:t>.</w:t>
      </w:r>
      <w:r w:rsidRPr="00C4084C">
        <w:rPr>
          <w:rStyle w:val="s2"/>
        </w:rPr>
        <w:t xml:space="preserve"> </w:t>
      </w:r>
      <w:r w:rsidR="00016655" w:rsidRPr="00C4084C">
        <w:rPr>
          <w:rStyle w:val="s2"/>
        </w:rPr>
        <w:t>Th</w:t>
      </w:r>
      <w:r w:rsidR="00D91128" w:rsidRPr="00C4084C">
        <w:rPr>
          <w:rStyle w:val="s2"/>
        </w:rPr>
        <w:t>e</w:t>
      </w:r>
      <w:r w:rsidR="00016655" w:rsidRPr="00C4084C">
        <w:rPr>
          <w:rStyle w:val="s2"/>
        </w:rPr>
        <w:t xml:space="preserve"> cap </w:t>
      </w:r>
      <w:r w:rsidR="00A8161C" w:rsidRPr="00C4084C">
        <w:rPr>
          <w:rStyle w:val="s2"/>
        </w:rPr>
        <w:t xml:space="preserve">was set at 2017 funding levels in 2018 and 2019, before growing by </w:t>
      </w:r>
      <w:r w:rsidR="00593953" w:rsidRPr="00C4084C">
        <w:rPr>
          <w:rStyle w:val="s2"/>
        </w:rPr>
        <w:t xml:space="preserve">the rate of </w:t>
      </w:r>
      <w:r w:rsidR="00A8161C" w:rsidRPr="00C4084C">
        <w:rPr>
          <w:rStyle w:val="s2"/>
        </w:rPr>
        <w:t xml:space="preserve">population growth for </w:t>
      </w:r>
      <w:r w:rsidR="00533602" w:rsidRPr="00C4084C">
        <w:rPr>
          <w:rStyle w:val="s2"/>
        </w:rPr>
        <w:t>18 to 64-year-olds</w:t>
      </w:r>
      <w:r w:rsidR="00A8161C" w:rsidRPr="00C4084C">
        <w:rPr>
          <w:rStyle w:val="s2"/>
        </w:rPr>
        <w:t xml:space="preserve"> after this. Due to population growth being lower than CPI</w:t>
      </w:r>
      <w:r w:rsidR="00F875AB" w:rsidRPr="00C4084C">
        <w:rPr>
          <w:rStyle w:val="s2"/>
        </w:rPr>
        <w:t>, t</w:t>
      </w:r>
      <w:r w:rsidRPr="00C4084C">
        <w:rPr>
          <w:rStyle w:val="s2"/>
        </w:rPr>
        <w:t xml:space="preserve">his cap resulted in a real-term decline in CGS funding in 2018 and 2019, and only marginal growth in 2020. </w:t>
      </w:r>
      <w:proofErr w:type="gramStart"/>
      <w:r w:rsidRPr="00C4084C">
        <w:rPr>
          <w:rStyle w:val="s2"/>
        </w:rPr>
        <w:t>As a consequence</w:t>
      </w:r>
      <w:proofErr w:type="gramEnd"/>
      <w:r w:rsidRPr="00C4084C">
        <w:rPr>
          <w:rStyle w:val="s2"/>
        </w:rPr>
        <w:t>, the number of fully</w:t>
      </w:r>
      <w:r w:rsidR="00981E1C" w:rsidRPr="00C4084C">
        <w:rPr>
          <w:rStyle w:val="s2"/>
        </w:rPr>
        <w:t xml:space="preserve"> </w:t>
      </w:r>
      <w:r w:rsidRPr="00C4084C">
        <w:rPr>
          <w:rStyle w:val="s2"/>
        </w:rPr>
        <w:t>funded Commonwealth supported students declined in each of those years.</w:t>
      </w:r>
    </w:p>
    <w:p w14:paraId="312D19E5" w14:textId="51F2D815" w:rsidR="00B920D4" w:rsidRPr="00C4084C" w:rsidRDefault="007E2807" w:rsidP="00EB483F">
      <w:pPr>
        <w:rPr>
          <w:rStyle w:val="s2"/>
        </w:rPr>
      </w:pPr>
      <w:r>
        <w:rPr>
          <w:rStyle w:val="s2"/>
        </w:rPr>
        <w:t>Not all</w:t>
      </w:r>
      <w:r w:rsidR="00B920D4" w:rsidRPr="00C4084C">
        <w:rPr>
          <w:rStyle w:val="s2"/>
        </w:rPr>
        <w:t xml:space="preserve"> students </w:t>
      </w:r>
      <w:r>
        <w:rPr>
          <w:rStyle w:val="s2"/>
        </w:rPr>
        <w:t xml:space="preserve">are </w:t>
      </w:r>
      <w:r w:rsidR="00B920D4" w:rsidRPr="00C4084C">
        <w:rPr>
          <w:rStyle w:val="s2"/>
        </w:rPr>
        <w:t>in</w:t>
      </w:r>
      <w:r w:rsidR="086FD3E3" w:rsidRPr="00C4084C">
        <w:t xml:space="preserve"> Commonwealth supported places</w:t>
      </w:r>
      <w:r>
        <w:rPr>
          <w:rStyle w:val="s2"/>
        </w:rPr>
        <w:t>.</w:t>
      </w:r>
      <w:r w:rsidRPr="00C4084C">
        <w:rPr>
          <w:rStyle w:val="s2"/>
        </w:rPr>
        <w:t xml:space="preserve"> </w:t>
      </w:r>
      <w:r>
        <w:rPr>
          <w:rStyle w:val="s2"/>
        </w:rPr>
        <w:t>S</w:t>
      </w:r>
      <w:r w:rsidRPr="00C4084C">
        <w:rPr>
          <w:rStyle w:val="s2"/>
        </w:rPr>
        <w:t xml:space="preserve">ome </w:t>
      </w:r>
      <w:r w:rsidR="00B920D4" w:rsidRPr="00C4084C">
        <w:rPr>
          <w:rStyle w:val="s2"/>
        </w:rPr>
        <w:t xml:space="preserve">domestic undergraduate </w:t>
      </w:r>
      <w:r>
        <w:rPr>
          <w:rStyle w:val="s2"/>
        </w:rPr>
        <w:t xml:space="preserve">students </w:t>
      </w:r>
      <w:r w:rsidR="008B365F" w:rsidRPr="00C4084C">
        <w:rPr>
          <w:rStyle w:val="s2"/>
        </w:rPr>
        <w:t xml:space="preserve">(largely at non-publicly funded universities) </w:t>
      </w:r>
      <w:r w:rsidR="00B920D4" w:rsidRPr="00C4084C">
        <w:rPr>
          <w:rStyle w:val="s2"/>
        </w:rPr>
        <w:t>and most coursework</w:t>
      </w:r>
      <w:r w:rsidR="004004C3" w:rsidRPr="00C4084C">
        <w:rPr>
          <w:rStyle w:val="s2"/>
        </w:rPr>
        <w:t xml:space="preserve"> </w:t>
      </w:r>
      <w:r w:rsidR="00B920D4" w:rsidRPr="00C4084C">
        <w:rPr>
          <w:rStyle w:val="s2"/>
        </w:rPr>
        <w:t>postgraduate students undertake study on a full</w:t>
      </w:r>
      <w:r w:rsidR="006A5783" w:rsidRPr="00C4084C">
        <w:rPr>
          <w:rStyle w:val="s2"/>
        </w:rPr>
        <w:t xml:space="preserve"> </w:t>
      </w:r>
      <w:r w:rsidR="00B920D4" w:rsidRPr="00C4084C">
        <w:rPr>
          <w:rStyle w:val="s2"/>
        </w:rPr>
        <w:t>fee basis</w:t>
      </w:r>
      <w:r>
        <w:rPr>
          <w:rStyle w:val="s2"/>
        </w:rPr>
        <w:t>. They</w:t>
      </w:r>
      <w:r w:rsidR="00B920D4" w:rsidRPr="00C4084C">
        <w:rPr>
          <w:rStyle w:val="s2"/>
        </w:rPr>
        <w:t xml:space="preserve"> </w:t>
      </w:r>
      <w:r>
        <w:rPr>
          <w:rStyle w:val="s2"/>
        </w:rPr>
        <w:t xml:space="preserve">are </w:t>
      </w:r>
      <w:r w:rsidR="00B920D4" w:rsidRPr="00C4084C">
        <w:rPr>
          <w:rStyle w:val="s2"/>
        </w:rPr>
        <w:t xml:space="preserve">subject to uncapped fees set by their </w:t>
      </w:r>
      <w:r w:rsidR="002947C7" w:rsidRPr="00C4084C">
        <w:rPr>
          <w:rStyle w:val="s2"/>
        </w:rPr>
        <w:t xml:space="preserve">higher education </w:t>
      </w:r>
      <w:r w:rsidR="00B920D4" w:rsidRPr="00C4084C">
        <w:rPr>
          <w:rStyle w:val="s2"/>
        </w:rPr>
        <w:t>provider</w:t>
      </w:r>
      <w:r>
        <w:rPr>
          <w:rStyle w:val="s2"/>
        </w:rPr>
        <w:t>, and their places do not attract CGS funding</w:t>
      </w:r>
      <w:r w:rsidR="00B920D4" w:rsidRPr="00C4084C">
        <w:rPr>
          <w:rStyle w:val="s2"/>
        </w:rPr>
        <w:t xml:space="preserve">. These students </w:t>
      </w:r>
      <w:proofErr w:type="gramStart"/>
      <w:r w:rsidR="00B920D4" w:rsidRPr="00C4084C">
        <w:rPr>
          <w:rStyle w:val="s2"/>
        </w:rPr>
        <w:t>are</w:t>
      </w:r>
      <w:r w:rsidR="00B920D4" w:rsidRPr="00C4084C" w:rsidDel="00F608C2">
        <w:rPr>
          <w:rStyle w:val="s2"/>
        </w:rPr>
        <w:t xml:space="preserve"> </w:t>
      </w:r>
      <w:r w:rsidR="00B920D4" w:rsidRPr="00C4084C">
        <w:rPr>
          <w:rStyle w:val="s2"/>
        </w:rPr>
        <w:t>able to</w:t>
      </w:r>
      <w:proofErr w:type="gramEnd"/>
      <w:r w:rsidR="00B920D4" w:rsidRPr="00C4084C">
        <w:rPr>
          <w:rStyle w:val="s2"/>
        </w:rPr>
        <w:t xml:space="preserve"> defer their fees via FEE-HELP, which operates under similar arrangements to HECS-HELP. </w:t>
      </w:r>
      <w:r w:rsidR="00392620" w:rsidRPr="00C4084C">
        <w:t>In 202</w:t>
      </w:r>
      <w:r w:rsidR="004E2F3F" w:rsidRPr="00C4084C">
        <w:t>2</w:t>
      </w:r>
      <w:r w:rsidR="00392620" w:rsidRPr="00C4084C">
        <w:t xml:space="preserve">, </w:t>
      </w:r>
      <w:r w:rsidR="00392620" w:rsidRPr="00C4084C">
        <w:rPr>
          <w:rStyle w:val="s2"/>
        </w:rPr>
        <w:t>7</w:t>
      </w:r>
      <w:r w:rsidR="004E2F3F" w:rsidRPr="00C4084C">
        <w:rPr>
          <w:rStyle w:val="s2"/>
        </w:rPr>
        <w:t>5.5</w:t>
      </w:r>
      <w:r w:rsidR="00392620" w:rsidRPr="00C4084C">
        <w:rPr>
          <w:rStyle w:val="s2"/>
        </w:rPr>
        <w:t xml:space="preserve">% of </w:t>
      </w:r>
      <w:r w:rsidR="000C6734" w:rsidRPr="00C4084C">
        <w:rPr>
          <w:rStyle w:val="s2"/>
        </w:rPr>
        <w:t>domestic fee-paying</w:t>
      </w:r>
      <w:r w:rsidR="00392620" w:rsidRPr="00C4084C">
        <w:rPr>
          <w:rStyle w:val="s2"/>
        </w:rPr>
        <w:t xml:space="preserve"> EFTSL relied on FEE-HELP rather than paying up front</w:t>
      </w:r>
      <w:r w:rsidR="00B920D4" w:rsidRPr="00C4084C">
        <w:rPr>
          <w:rStyle w:val="s2"/>
        </w:rPr>
        <w:t>.</w:t>
      </w:r>
      <w:r w:rsidR="00B920D4" w:rsidRPr="00C4084C">
        <w:rPr>
          <w:rStyle w:val="FootnoteReference"/>
        </w:rPr>
        <w:footnoteReference w:id="439"/>
      </w:r>
    </w:p>
    <w:p w14:paraId="2A4729DA" w14:textId="226CC46C" w:rsidR="00392620" w:rsidRPr="00C4084C" w:rsidRDefault="00392620" w:rsidP="00EB483F">
      <w:pPr>
        <w:rPr>
          <w:rStyle w:val="s2"/>
        </w:rPr>
      </w:pPr>
      <w:r w:rsidRPr="00C4084C">
        <w:rPr>
          <w:rStyle w:val="s2"/>
        </w:rPr>
        <w:t xml:space="preserve">International students do not attract support through CGS or </w:t>
      </w:r>
      <w:proofErr w:type="gramStart"/>
      <w:r w:rsidRPr="00C4084C">
        <w:rPr>
          <w:rStyle w:val="s2"/>
        </w:rPr>
        <w:t>HELP</w:t>
      </w:r>
      <w:r w:rsidR="009056E1" w:rsidRPr="00C4084C">
        <w:rPr>
          <w:rStyle w:val="s2"/>
        </w:rPr>
        <w:t>,</w:t>
      </w:r>
      <w:r w:rsidRPr="00C4084C">
        <w:rPr>
          <w:rStyle w:val="s2"/>
        </w:rPr>
        <w:t xml:space="preserve"> and</w:t>
      </w:r>
      <w:proofErr w:type="gramEnd"/>
      <w:r w:rsidRPr="00C4084C">
        <w:rPr>
          <w:rStyle w:val="s2"/>
        </w:rPr>
        <w:t xml:space="preserve"> pay fees for their studies </w:t>
      </w:r>
      <w:r w:rsidRPr="00C4084C">
        <w:t xml:space="preserve">set by each </w:t>
      </w:r>
      <w:r w:rsidR="002947C7" w:rsidRPr="00C4084C">
        <w:t xml:space="preserve">higher education </w:t>
      </w:r>
      <w:r w:rsidRPr="00C4084C">
        <w:t xml:space="preserve">provider. </w:t>
      </w:r>
      <w:r w:rsidR="00061135" w:rsidRPr="00C4084C">
        <w:t xml:space="preserve">As noted above, </w:t>
      </w:r>
      <w:r w:rsidR="00061135" w:rsidRPr="00C4084C">
        <w:rPr>
          <w:rStyle w:val="s2"/>
        </w:rPr>
        <w:t>t</w:t>
      </w:r>
      <w:r w:rsidRPr="00C4084C">
        <w:rPr>
          <w:rStyle w:val="s2"/>
        </w:rPr>
        <w:t>he fees paid by international students are</w:t>
      </w:r>
      <w:r w:rsidR="00F608C2" w:rsidRPr="00C4084C">
        <w:rPr>
          <w:rStyle w:val="s2"/>
        </w:rPr>
        <w:t xml:space="preserve"> </w:t>
      </w:r>
      <w:r w:rsidRPr="00C4084C">
        <w:rPr>
          <w:rStyle w:val="s2"/>
        </w:rPr>
        <w:t>a vital source of revenue for the higher education sector</w:t>
      </w:r>
      <w:r w:rsidR="002B61AD" w:rsidRPr="00C4084C">
        <w:rPr>
          <w:rStyle w:val="s2"/>
        </w:rPr>
        <w:t>, representing over 30% of revenue at some universities</w:t>
      </w:r>
      <w:r w:rsidR="00061135" w:rsidRPr="00C4084C">
        <w:rPr>
          <w:rStyle w:val="s2"/>
        </w:rPr>
        <w:t>.</w:t>
      </w:r>
      <w:r w:rsidR="002B61AD" w:rsidRPr="00C4084C">
        <w:rPr>
          <w:rStyle w:val="FootnoteReference"/>
        </w:rPr>
        <w:footnoteReference w:id="440"/>
      </w:r>
      <w:r w:rsidR="00061135" w:rsidRPr="00C4084C">
        <w:rPr>
          <w:rStyle w:val="s2"/>
        </w:rPr>
        <w:t xml:space="preserve"> </w:t>
      </w:r>
      <w:r w:rsidR="002B61AD" w:rsidRPr="00C4084C">
        <w:rPr>
          <w:rStyle w:val="s2"/>
        </w:rPr>
        <w:t xml:space="preserve">Further </w:t>
      </w:r>
      <w:r w:rsidR="009056E1" w:rsidRPr="00C4084C">
        <w:rPr>
          <w:rStyle w:val="s2"/>
        </w:rPr>
        <w:t xml:space="preserve">discussion </w:t>
      </w:r>
      <w:r w:rsidR="002B61AD" w:rsidRPr="00C4084C">
        <w:rPr>
          <w:rStyle w:val="s2"/>
        </w:rPr>
        <w:t xml:space="preserve">about international students </w:t>
      </w:r>
      <w:r w:rsidR="009056E1" w:rsidRPr="00C4084C">
        <w:rPr>
          <w:rStyle w:val="s2"/>
        </w:rPr>
        <w:t xml:space="preserve">and the international education sector </w:t>
      </w:r>
      <w:r w:rsidR="002B61AD" w:rsidRPr="00C4084C">
        <w:rPr>
          <w:rStyle w:val="s2"/>
        </w:rPr>
        <w:t xml:space="preserve">is in </w:t>
      </w:r>
      <w:r w:rsidR="00163164" w:rsidRPr="00C4084C">
        <w:rPr>
          <w:rStyle w:val="s2"/>
          <w:i/>
          <w:iCs/>
        </w:rPr>
        <w:fldChar w:fldCharType="begin"/>
      </w:r>
      <w:r w:rsidR="00163164" w:rsidRPr="00C4084C">
        <w:rPr>
          <w:rStyle w:val="s2"/>
          <w:i/>
          <w:iCs/>
        </w:rPr>
        <w:instrText xml:space="preserve"> REF _Ref152700656 \r \h  \* MERGEFORMAT </w:instrText>
      </w:r>
      <w:r w:rsidR="00163164" w:rsidRPr="00C4084C">
        <w:rPr>
          <w:rStyle w:val="s2"/>
          <w:i/>
          <w:iCs/>
        </w:rPr>
      </w:r>
      <w:r w:rsidR="00163164" w:rsidRPr="00C4084C">
        <w:rPr>
          <w:rStyle w:val="s2"/>
          <w:i/>
          <w:iCs/>
        </w:rPr>
        <w:fldChar w:fldCharType="separate"/>
      </w:r>
      <w:r w:rsidR="00467B4F">
        <w:rPr>
          <w:rStyle w:val="s2"/>
          <w:i/>
          <w:iCs/>
        </w:rPr>
        <w:t xml:space="preserve">Chapter 4 – </w:t>
      </w:r>
      <w:r w:rsidR="00163164" w:rsidRPr="00C4084C">
        <w:rPr>
          <w:rStyle w:val="s2"/>
          <w:i/>
          <w:iCs/>
        </w:rPr>
        <w:fldChar w:fldCharType="end"/>
      </w:r>
      <w:r w:rsidR="00163164" w:rsidRPr="00C4084C">
        <w:rPr>
          <w:rStyle w:val="s2"/>
          <w:i/>
          <w:iCs/>
        </w:rPr>
        <w:fldChar w:fldCharType="begin"/>
      </w:r>
      <w:r w:rsidR="00163164" w:rsidRPr="00C4084C">
        <w:rPr>
          <w:rStyle w:val="s2"/>
          <w:i/>
          <w:iCs/>
        </w:rPr>
        <w:instrText xml:space="preserve"> REF _Ref152700656 \h  \* MERGEFORMAT </w:instrText>
      </w:r>
      <w:r w:rsidR="00163164" w:rsidRPr="00C4084C">
        <w:rPr>
          <w:rStyle w:val="s2"/>
          <w:i/>
          <w:iCs/>
        </w:rPr>
      </w:r>
      <w:r w:rsidR="00163164" w:rsidRPr="00C4084C">
        <w:rPr>
          <w:rStyle w:val="s2"/>
          <w:i/>
          <w:iCs/>
        </w:rPr>
        <w:fldChar w:fldCharType="separate"/>
      </w:r>
      <w:r w:rsidR="00467B4F" w:rsidRPr="00467B4F">
        <w:rPr>
          <w:i/>
          <w:iCs/>
        </w:rPr>
        <w:t>Delivering for students</w:t>
      </w:r>
      <w:r w:rsidR="00163164" w:rsidRPr="00C4084C">
        <w:rPr>
          <w:rStyle w:val="s2"/>
          <w:i/>
          <w:iCs/>
        </w:rPr>
        <w:fldChar w:fldCharType="end"/>
      </w:r>
      <w:r w:rsidR="00163164" w:rsidRPr="00C4084C">
        <w:rPr>
          <w:rStyle w:val="s2"/>
          <w:i/>
          <w:iCs/>
        </w:rPr>
        <w:t>.</w:t>
      </w:r>
      <w:r w:rsidR="00B0742D" w:rsidRPr="00C4084C">
        <w:rPr>
          <w:rStyle w:val="Strong"/>
          <w:rFonts w:ascii="Calibri" w:hAnsi="Calibri" w:cs="Calibri"/>
          <w:color w:val="000000"/>
          <w:bdr w:val="none" w:sz="0" w:space="0" w:color="auto" w:frame="1"/>
        </w:rPr>
        <w:t xml:space="preserve"> </w:t>
      </w:r>
    </w:p>
    <w:p w14:paraId="7CF07DA3" w14:textId="401927D6" w:rsidR="00F27226" w:rsidRPr="00C4084C" w:rsidRDefault="00392620" w:rsidP="00285443">
      <w:r w:rsidRPr="00C4084C">
        <w:rPr>
          <w:rStyle w:val="s2"/>
        </w:rPr>
        <w:t xml:space="preserve">Students undertaking higher degrees by research (such as Masters by Research and PhD) may be supported through the Research Training Program, which is </w:t>
      </w:r>
      <w:r w:rsidRPr="00C4084C">
        <w:t xml:space="preserve">discussed in </w:t>
      </w:r>
      <w:r w:rsidR="00446944" w:rsidRPr="00C4084C">
        <w:rPr>
          <w:i/>
        </w:rPr>
        <w:fldChar w:fldCharType="begin"/>
      </w:r>
      <w:r w:rsidR="00446944" w:rsidRPr="00C4084C">
        <w:rPr>
          <w:i/>
        </w:rPr>
        <w:instrText xml:space="preserve"> REF _Ref151935602 \r \h </w:instrText>
      </w:r>
      <w:r w:rsidR="005513E1" w:rsidRPr="00C4084C">
        <w:rPr>
          <w:i/>
        </w:rPr>
        <w:instrText xml:space="preserve"> \* MERGEFORMAT </w:instrText>
      </w:r>
      <w:r w:rsidR="00446944" w:rsidRPr="00C4084C">
        <w:rPr>
          <w:i/>
        </w:rPr>
      </w:r>
      <w:r w:rsidR="00446944" w:rsidRPr="00C4084C">
        <w:rPr>
          <w:i/>
        </w:rPr>
        <w:fldChar w:fldCharType="separate"/>
      </w:r>
      <w:r w:rsidR="00467B4F">
        <w:rPr>
          <w:i/>
        </w:rPr>
        <w:t xml:space="preserve">Chapter 5 – </w:t>
      </w:r>
      <w:r w:rsidR="00446944" w:rsidRPr="00C4084C">
        <w:rPr>
          <w:i/>
        </w:rPr>
        <w:fldChar w:fldCharType="end"/>
      </w:r>
      <w:r w:rsidR="00076E04" w:rsidRPr="00C4084C">
        <w:rPr>
          <w:i/>
          <w:iCs/>
        </w:rPr>
        <w:fldChar w:fldCharType="begin"/>
      </w:r>
      <w:r w:rsidR="00076E04" w:rsidRPr="00C4084C">
        <w:rPr>
          <w:i/>
          <w:iCs/>
        </w:rPr>
        <w:instrText xml:space="preserve"> REF _Ref151935602 \h </w:instrText>
      </w:r>
      <w:r w:rsidR="00163164" w:rsidRPr="00C4084C">
        <w:rPr>
          <w:i/>
          <w:iCs/>
        </w:rPr>
        <w:instrText xml:space="preserve"> \* MERGEFORMAT </w:instrText>
      </w:r>
      <w:r w:rsidR="00076E04" w:rsidRPr="00C4084C">
        <w:rPr>
          <w:i/>
          <w:iCs/>
        </w:rPr>
      </w:r>
      <w:r w:rsidR="00076E04" w:rsidRPr="00C4084C">
        <w:rPr>
          <w:i/>
          <w:iCs/>
        </w:rPr>
        <w:fldChar w:fldCharType="separate"/>
      </w:r>
      <w:r w:rsidR="00467B4F" w:rsidRPr="00467B4F">
        <w:rPr>
          <w:i/>
          <w:iCs/>
        </w:rPr>
        <w:t>Producing and using new knowledge</w:t>
      </w:r>
      <w:r w:rsidR="00076E04" w:rsidRPr="00C4084C">
        <w:rPr>
          <w:i/>
          <w:iCs/>
        </w:rPr>
        <w:fldChar w:fldCharType="end"/>
      </w:r>
      <w:r w:rsidRPr="00C4084C">
        <w:rPr>
          <w:i/>
        </w:rPr>
        <w:t>.</w:t>
      </w:r>
    </w:p>
    <w:tbl>
      <w:tblPr>
        <w:tblW w:w="0" w:type="auto"/>
        <w:shd w:val="clear" w:color="auto" w:fill="FBE4D5"/>
        <w:tblLook w:val="04A0" w:firstRow="1" w:lastRow="0" w:firstColumn="1" w:lastColumn="0" w:noHBand="0" w:noVBand="1"/>
      </w:tblPr>
      <w:tblGrid>
        <w:gridCol w:w="9026"/>
      </w:tblGrid>
      <w:tr w:rsidR="00F27226" w:rsidRPr="00C4084C" w14:paraId="6AF0BBCB" w14:textId="77777777" w:rsidTr="00D26B82">
        <w:tc>
          <w:tcPr>
            <w:tcW w:w="9026" w:type="dxa"/>
            <w:shd w:val="clear" w:color="auto" w:fill="B0C3DB"/>
          </w:tcPr>
          <w:p w14:paraId="15F562A6" w14:textId="201A0739" w:rsidR="00861704" w:rsidRPr="00861704" w:rsidRDefault="0080264E" w:rsidP="003E5969">
            <w:pPr>
              <w:pStyle w:val="Findinginchapterheading"/>
            </w:pPr>
            <w:r w:rsidRPr="003E5969">
              <w:rPr>
                <w:rFonts w:ascii="Calibri" w:eastAsia="Yu Gothic Light" w:hAnsi="Calibri" w:cs="Calibri"/>
              </w:rPr>
              <w:lastRenderedPageBreak/>
              <w:t>Finding</w:t>
            </w:r>
            <w:r w:rsidR="00861704">
              <w:t xml:space="preserve">: </w:t>
            </w:r>
            <w:r w:rsidR="00F27226" w:rsidRPr="00C4084C">
              <w:t>Growth</w:t>
            </w:r>
          </w:p>
          <w:p w14:paraId="3110C20A" w14:textId="28DBDE8C" w:rsidR="00F27226" w:rsidRPr="00C4084C" w:rsidRDefault="001C7E8E" w:rsidP="003E5969">
            <w:pPr>
              <w:pStyle w:val="Boxtext0"/>
              <w:spacing w:before="0"/>
              <w:rPr>
                <w:b/>
                <w:bCs/>
              </w:rPr>
            </w:pPr>
            <w:r w:rsidRPr="00C4084C">
              <w:t xml:space="preserve">The current funding model does not provide for sufficient fully funded growth in enrolments to meet the nation’s skills needs, </w:t>
            </w:r>
            <w:r w:rsidRPr="00C90689">
              <w:t>with</w:t>
            </w:r>
            <w:r w:rsidRPr="00C4084C">
              <w:t xml:space="preserve"> growth occurring in unplanned and unmanaged ways. The relatively low current demand for places highlights the need for a system that plans for, and delivers, growth in skills with equity.  </w:t>
            </w:r>
          </w:p>
        </w:tc>
      </w:tr>
    </w:tbl>
    <w:p w14:paraId="21B08309" w14:textId="77777777" w:rsidR="00B920D4" w:rsidRPr="00C4084C" w:rsidRDefault="00B920D4" w:rsidP="00CA2133">
      <w:pPr>
        <w:pStyle w:val="Heading5"/>
        <w:rPr>
          <w:rStyle w:val="s2"/>
        </w:rPr>
      </w:pPr>
      <w:bookmarkStart w:id="1513" w:name="_Toc151815655"/>
      <w:r w:rsidRPr="00C4084C">
        <w:rPr>
          <w:rStyle w:val="s2"/>
        </w:rPr>
        <w:t>Job-ready Graduates</w:t>
      </w:r>
      <w:bookmarkEnd w:id="1513"/>
    </w:p>
    <w:p w14:paraId="0B9FC76A" w14:textId="7024D663" w:rsidR="00B920D4" w:rsidRPr="00C4084C" w:rsidRDefault="00B920D4" w:rsidP="00EB483F">
      <w:pPr>
        <w:rPr>
          <w:rStyle w:val="s2"/>
          <w:rFonts w:eastAsiaTheme="majorEastAsia" w:cstheme="minorHAnsi"/>
          <w:b/>
          <w:sz w:val="24"/>
        </w:rPr>
      </w:pPr>
      <w:r w:rsidRPr="00C4084C">
        <w:rPr>
          <w:rStyle w:val="s2"/>
        </w:rPr>
        <w:t>Partly in recognition of the limited growth in fully</w:t>
      </w:r>
      <w:r w:rsidR="00981E1C" w:rsidRPr="00C4084C">
        <w:rPr>
          <w:rStyle w:val="s2"/>
        </w:rPr>
        <w:t xml:space="preserve"> </w:t>
      </w:r>
      <w:r w:rsidRPr="00C4084C">
        <w:rPr>
          <w:rStyle w:val="s2"/>
        </w:rPr>
        <w:t>funded enrolments caused by the funding freeze, in 2020 the then government announced a major reform of the CGS to commence from 2021 – the Job-ready Graduates (JRG) package.</w:t>
      </w:r>
    </w:p>
    <w:p w14:paraId="0BB1EA81" w14:textId="2B75DB89" w:rsidR="00B920D4" w:rsidRPr="00C4084C" w:rsidRDefault="00B920D4" w:rsidP="00EB483F">
      <w:pPr>
        <w:rPr>
          <w:rStyle w:val="s2"/>
        </w:rPr>
      </w:pPr>
      <w:r w:rsidRPr="00C4084C">
        <w:rPr>
          <w:rStyle w:val="s2"/>
        </w:rPr>
        <w:t xml:space="preserve">Significant changes to student contributions and CGS cluster rates were at the core of the JRG package, with the number of </w:t>
      </w:r>
      <w:r w:rsidR="0073324C" w:rsidRPr="00C4084C">
        <w:rPr>
          <w:rStyle w:val="s2"/>
        </w:rPr>
        <w:t xml:space="preserve">funding </w:t>
      </w:r>
      <w:r w:rsidRPr="00C4084C">
        <w:rPr>
          <w:rStyle w:val="s2"/>
        </w:rPr>
        <w:t xml:space="preserve">clusters reduced from 8 to 4. At the aggregate level, this led to an increase in student contributions of around 7% and an aggregate reduction in base funding of 5%. However, this masked a range of larger changes at the discipline level. For example, student contributions for students in humanities, human movement, society and culture, and communications courses were increased by 113%, while base funding </w:t>
      </w:r>
      <w:r w:rsidR="00596EDA" w:rsidRPr="00C4084C">
        <w:rPr>
          <w:rStyle w:val="s2"/>
        </w:rPr>
        <w:t xml:space="preserve">(the combination of </w:t>
      </w:r>
      <w:r w:rsidR="00981E1C" w:rsidRPr="00C4084C">
        <w:rPr>
          <w:rStyle w:val="s2"/>
        </w:rPr>
        <w:t xml:space="preserve">Australian Government </w:t>
      </w:r>
      <w:r w:rsidR="00596EDA" w:rsidRPr="00C4084C">
        <w:rPr>
          <w:rStyle w:val="s2"/>
        </w:rPr>
        <w:t>contributions and student contributions) for science and engineering was reduced by 16%.</w:t>
      </w:r>
    </w:p>
    <w:p w14:paraId="7DBAF713" w14:textId="6C8B0456" w:rsidR="00724478" w:rsidRPr="00C4084C" w:rsidRDefault="00724478" w:rsidP="00EB483F">
      <w:pPr>
        <w:rPr>
          <w:rStyle w:val="s2"/>
        </w:rPr>
      </w:pPr>
      <w:r w:rsidRPr="00C4084C">
        <w:rPr>
          <w:rStyle w:val="s2"/>
        </w:rPr>
        <w:t>As outlined in</w:t>
      </w:r>
      <w:r w:rsidR="00006C02" w:rsidRPr="00C4084C">
        <w:rPr>
          <w:rStyle w:val="s2"/>
        </w:rPr>
        <w:t xml:space="preserve"> </w:t>
      </w:r>
      <w:r w:rsidR="001966FE" w:rsidRPr="00C4084C">
        <w:rPr>
          <w:i/>
          <w:iCs/>
        </w:rPr>
        <w:fldChar w:fldCharType="begin"/>
      </w:r>
      <w:r w:rsidR="001966FE" w:rsidRPr="00C4084C">
        <w:rPr>
          <w:i/>
        </w:rPr>
        <w:instrText xml:space="preserve"> REF _Ref152700656 \r \h </w:instrText>
      </w:r>
      <w:r w:rsidR="0050397C" w:rsidRPr="00C4084C">
        <w:rPr>
          <w:i/>
        </w:rPr>
        <w:instrText xml:space="preserve"> \* MERGEFORMAT </w:instrText>
      </w:r>
      <w:r w:rsidR="001966FE" w:rsidRPr="00C4084C">
        <w:rPr>
          <w:i/>
          <w:iCs/>
        </w:rPr>
      </w:r>
      <w:r w:rsidR="001966FE" w:rsidRPr="00C4084C">
        <w:rPr>
          <w:i/>
          <w:iCs/>
        </w:rPr>
        <w:fldChar w:fldCharType="separate"/>
      </w:r>
      <w:r w:rsidR="00467B4F">
        <w:rPr>
          <w:i/>
        </w:rPr>
        <w:t xml:space="preserve">Chapter 4 – </w:t>
      </w:r>
      <w:r w:rsidR="001966FE" w:rsidRPr="00C4084C">
        <w:rPr>
          <w:i/>
          <w:iCs/>
        </w:rPr>
        <w:fldChar w:fldCharType="end"/>
      </w:r>
      <w:r w:rsidR="00076E04" w:rsidRPr="00C4084C">
        <w:rPr>
          <w:i/>
          <w:iCs/>
        </w:rPr>
        <w:fldChar w:fldCharType="begin"/>
      </w:r>
      <w:r w:rsidR="00076E04" w:rsidRPr="00C4084C">
        <w:rPr>
          <w:i/>
        </w:rPr>
        <w:instrText xml:space="preserve"> REF _Ref152700656 \h </w:instrText>
      </w:r>
      <w:r w:rsidR="00FD206F" w:rsidRPr="00C4084C">
        <w:rPr>
          <w:i/>
          <w:iCs/>
        </w:rPr>
        <w:instrText xml:space="preserve"> \* MERGEFORMAT </w:instrText>
      </w:r>
      <w:r w:rsidR="00076E04" w:rsidRPr="00C4084C">
        <w:rPr>
          <w:i/>
          <w:iCs/>
        </w:rPr>
      </w:r>
      <w:r w:rsidR="00076E04" w:rsidRPr="00C4084C">
        <w:rPr>
          <w:i/>
          <w:iCs/>
        </w:rPr>
        <w:fldChar w:fldCharType="separate"/>
      </w:r>
      <w:r w:rsidR="00467B4F" w:rsidRPr="00467B4F">
        <w:rPr>
          <w:i/>
        </w:rPr>
        <w:t>Delivering for students</w:t>
      </w:r>
      <w:r w:rsidR="00076E04" w:rsidRPr="00C4084C">
        <w:rPr>
          <w:i/>
          <w:iCs/>
        </w:rPr>
        <w:fldChar w:fldCharType="end"/>
      </w:r>
      <w:r w:rsidRPr="00C4084C">
        <w:rPr>
          <w:rStyle w:val="s2"/>
        </w:rPr>
        <w:t xml:space="preserve">, the intention of the changes included in the JRG package was to </w:t>
      </w:r>
      <w:r w:rsidR="00A53EF1" w:rsidRPr="00C4084C">
        <w:rPr>
          <w:rStyle w:val="s2"/>
        </w:rPr>
        <w:t>influence students</w:t>
      </w:r>
      <w:r w:rsidR="00622DBB">
        <w:rPr>
          <w:rStyle w:val="s2"/>
        </w:rPr>
        <w:t>’</w:t>
      </w:r>
      <w:r w:rsidR="00A53EF1" w:rsidRPr="00C4084C">
        <w:rPr>
          <w:rStyle w:val="s2"/>
        </w:rPr>
        <w:t xml:space="preserve"> decision</w:t>
      </w:r>
      <w:r w:rsidR="00622DBB">
        <w:rPr>
          <w:rStyle w:val="s2"/>
        </w:rPr>
        <w:t xml:space="preserve"> </w:t>
      </w:r>
      <w:r w:rsidR="00A53EF1" w:rsidRPr="00C4084C">
        <w:rPr>
          <w:rStyle w:val="s2"/>
        </w:rPr>
        <w:t xml:space="preserve">making and incentivise them to study in particular disciplines. Analysis of student demand and enrolment decisions has shown that this experiment </w:t>
      </w:r>
      <w:proofErr w:type="gramStart"/>
      <w:r w:rsidR="00A53EF1" w:rsidRPr="00C4084C">
        <w:rPr>
          <w:rStyle w:val="s2"/>
        </w:rPr>
        <w:t>failed</w:t>
      </w:r>
      <w:proofErr w:type="gramEnd"/>
      <w:r w:rsidR="00A53EF1" w:rsidRPr="00C4084C">
        <w:rPr>
          <w:rStyle w:val="s2"/>
        </w:rPr>
        <w:t xml:space="preserve"> and student demand was largely unaffected.</w:t>
      </w:r>
      <w:r w:rsidR="00A53EF1" w:rsidRPr="00C4084C">
        <w:rPr>
          <w:rStyle w:val="FootnoteReference"/>
        </w:rPr>
        <w:footnoteReference w:id="441"/>
      </w:r>
    </w:p>
    <w:p w14:paraId="69F936A1" w14:textId="1B0A3AB3" w:rsidR="00844D59" w:rsidRPr="008C67CA" w:rsidRDefault="00596EDA" w:rsidP="00285443">
      <w:pPr>
        <w:rPr>
          <w:rStyle w:val="s2"/>
          <w:b/>
        </w:rPr>
      </w:pPr>
      <w:r w:rsidRPr="00C4084C">
        <w:rPr>
          <w:rStyle w:val="s2"/>
        </w:rPr>
        <w:t xml:space="preserve">The savings achieved through these changes were used to introduce a range of measures, including CPI indexation for total CGS funding, additional </w:t>
      </w:r>
      <w:r w:rsidR="1050F032" w:rsidRPr="00C4084C">
        <w:t>Commonwealth supported place</w:t>
      </w:r>
      <w:r w:rsidRPr="00C4084C">
        <w:rPr>
          <w:rStyle w:val="s2"/>
        </w:rPr>
        <w:t>s, and a new National Priorities and Industry Linkage Fund (NPILF) to facilitate better engagement between publicly</w:t>
      </w:r>
      <w:r w:rsidR="00622DBB">
        <w:rPr>
          <w:rStyle w:val="s2"/>
        </w:rPr>
        <w:t xml:space="preserve"> </w:t>
      </w:r>
      <w:r w:rsidRPr="00C4084C">
        <w:rPr>
          <w:rStyle w:val="s2"/>
        </w:rPr>
        <w:t>funded universities and business.</w:t>
      </w:r>
    </w:p>
    <w:tbl>
      <w:tblPr>
        <w:tblW w:w="0" w:type="auto"/>
        <w:shd w:val="clear" w:color="auto" w:fill="FBE4D5"/>
        <w:tblLook w:val="04A0" w:firstRow="1" w:lastRow="0" w:firstColumn="1" w:lastColumn="0" w:noHBand="0" w:noVBand="1"/>
      </w:tblPr>
      <w:tblGrid>
        <w:gridCol w:w="9026"/>
      </w:tblGrid>
      <w:tr w:rsidR="00844D59" w:rsidRPr="00C4084C" w14:paraId="73583BB7" w14:textId="77777777" w:rsidTr="00D26B82">
        <w:tc>
          <w:tcPr>
            <w:tcW w:w="9026" w:type="dxa"/>
            <w:shd w:val="clear" w:color="auto" w:fill="B0C3DB"/>
          </w:tcPr>
          <w:p w14:paraId="176CC897" w14:textId="727AB51F" w:rsidR="00861704" w:rsidRPr="00861704" w:rsidRDefault="0080264E" w:rsidP="003E5969">
            <w:pPr>
              <w:pStyle w:val="Findinginchapterheading"/>
            </w:pPr>
            <w:r w:rsidRPr="003E5969">
              <w:rPr>
                <w:rFonts w:ascii="Calibri" w:eastAsia="Yu Gothic Light" w:hAnsi="Calibri" w:cs="Calibri"/>
                <w:szCs w:val="24"/>
              </w:rPr>
              <w:t>Finding</w:t>
            </w:r>
            <w:r w:rsidR="00861704">
              <w:rPr>
                <w:szCs w:val="24"/>
              </w:rPr>
              <w:t xml:space="preserve">: </w:t>
            </w:r>
            <w:r w:rsidR="00844D59" w:rsidRPr="00C4084C">
              <w:t>Funding</w:t>
            </w:r>
          </w:p>
          <w:p w14:paraId="18B1AD76" w14:textId="51647F19" w:rsidR="00844D59" w:rsidRPr="00C4084C" w:rsidRDefault="00844D59" w:rsidP="003E5969">
            <w:pPr>
              <w:pStyle w:val="Boxtext0"/>
              <w:spacing w:before="0"/>
            </w:pPr>
            <w:r w:rsidRPr="00C4084C">
              <w:t xml:space="preserve">Changes made to funding through the Job-ready Graduates package unfairly affected some students (particularly those studying humanities, human movement, society and culture, and </w:t>
            </w:r>
            <w:r w:rsidRPr="00C90689">
              <w:t>communications</w:t>
            </w:r>
            <w:r w:rsidRPr="00C4084C">
              <w:t xml:space="preserve">) and reduced the amount of funding available to universities to deliver subjects that are critical to future jobs and innovation like science, </w:t>
            </w:r>
            <w:proofErr w:type="gramStart"/>
            <w:r w:rsidRPr="00C4084C">
              <w:t>engineering</w:t>
            </w:r>
            <w:proofErr w:type="gramEnd"/>
            <w:r w:rsidRPr="00C4084C">
              <w:t xml:space="preserve"> and mathematics.</w:t>
            </w:r>
          </w:p>
        </w:tc>
      </w:tr>
    </w:tbl>
    <w:p w14:paraId="548AC6D9" w14:textId="77777777" w:rsidR="00B920D4" w:rsidRPr="00C4084C" w:rsidRDefault="00B920D4" w:rsidP="00CA2133">
      <w:pPr>
        <w:pStyle w:val="Heading5"/>
        <w:rPr>
          <w:rStyle w:val="s2"/>
        </w:rPr>
      </w:pPr>
      <w:bookmarkStart w:id="1514" w:name="_Toc151815656"/>
      <w:r w:rsidRPr="00C4084C">
        <w:rPr>
          <w:rStyle w:val="s2"/>
        </w:rPr>
        <w:t>Enrolment caps and demand</w:t>
      </w:r>
      <w:bookmarkEnd w:id="1514"/>
    </w:p>
    <w:p w14:paraId="226F96EC" w14:textId="3179E0B0" w:rsidR="00AD2B93" w:rsidRPr="00C4084C" w:rsidRDefault="00411705" w:rsidP="00EB483F">
      <w:pPr>
        <w:rPr>
          <w:rStyle w:val="s2"/>
          <w:rFonts w:eastAsiaTheme="majorEastAsia" w:cstheme="minorHAnsi"/>
          <w:b/>
          <w:sz w:val="24"/>
        </w:rPr>
      </w:pPr>
      <w:r w:rsidRPr="00C4084C">
        <w:rPr>
          <w:rStyle w:val="s2"/>
        </w:rPr>
        <w:t>S</w:t>
      </w:r>
      <w:r w:rsidR="00AD2B93" w:rsidRPr="00C4084C">
        <w:rPr>
          <w:rStyle w:val="s2"/>
        </w:rPr>
        <w:t xml:space="preserve">ince the introduction of the funding freeze at the end of 2017, governments have imposed an upper limit on total CGS </w:t>
      </w:r>
      <w:r w:rsidR="00076E04" w:rsidRPr="00C4084C">
        <w:rPr>
          <w:rStyle w:val="s2"/>
        </w:rPr>
        <w:t>expenditure but</w:t>
      </w:r>
      <w:r w:rsidR="00AD2B93" w:rsidRPr="00C4084C">
        <w:rPr>
          <w:rStyle w:val="s2"/>
        </w:rPr>
        <w:t xml:space="preserve"> have not capped enrolments. Many publicly</w:t>
      </w:r>
      <w:r w:rsidR="00622DBB">
        <w:rPr>
          <w:rStyle w:val="s2"/>
        </w:rPr>
        <w:t xml:space="preserve"> </w:t>
      </w:r>
      <w:r w:rsidR="00AD2B93" w:rsidRPr="00C4084C">
        <w:rPr>
          <w:rStyle w:val="s2"/>
        </w:rPr>
        <w:t xml:space="preserve">funded universities continue to enrol students over their funding cap. For this they receive only the student contributions paid by those additional students. The Department of Education estimates that in </w:t>
      </w:r>
      <w:r w:rsidR="00AD2B93" w:rsidRPr="00C4084C">
        <w:rPr>
          <w:rStyle w:val="s2"/>
        </w:rPr>
        <w:lastRenderedPageBreak/>
        <w:t>2021, 24 universities were over-enrolled by a total of 22,000 EFTSL over their M</w:t>
      </w:r>
      <w:r w:rsidR="009E0D3B" w:rsidRPr="00C4084C">
        <w:rPr>
          <w:rStyle w:val="s2"/>
        </w:rPr>
        <w:t xml:space="preserve">aximum </w:t>
      </w:r>
      <w:r w:rsidR="00AD2B93" w:rsidRPr="00C4084C">
        <w:rPr>
          <w:rStyle w:val="s2"/>
        </w:rPr>
        <w:t>B</w:t>
      </w:r>
      <w:r w:rsidR="009E0D3B" w:rsidRPr="00C4084C">
        <w:rPr>
          <w:rStyle w:val="s2"/>
        </w:rPr>
        <w:t xml:space="preserve">asic Grant </w:t>
      </w:r>
      <w:r w:rsidR="00AD2B93" w:rsidRPr="00C4084C">
        <w:rPr>
          <w:rStyle w:val="s2"/>
        </w:rPr>
        <w:t>A</w:t>
      </w:r>
      <w:r w:rsidR="009E0D3B" w:rsidRPr="00C4084C">
        <w:rPr>
          <w:rStyle w:val="s2"/>
        </w:rPr>
        <w:t>mount (MBGA)</w:t>
      </w:r>
      <w:r w:rsidR="00AD2B93" w:rsidRPr="00C4084C">
        <w:rPr>
          <w:rStyle w:val="s2"/>
        </w:rPr>
        <w:t xml:space="preserve">. </w:t>
      </w:r>
    </w:p>
    <w:p w14:paraId="2DFDA3BE" w14:textId="2BAD89BE" w:rsidR="00B920D4" w:rsidRPr="00C4084C" w:rsidRDefault="00B920D4" w:rsidP="00EB483F">
      <w:pPr>
        <w:rPr>
          <w:rStyle w:val="s2"/>
        </w:rPr>
      </w:pPr>
      <w:r w:rsidRPr="00C4084C">
        <w:rPr>
          <w:rStyle w:val="s2"/>
        </w:rPr>
        <w:t xml:space="preserve">Universities may have made a conscious decision to </w:t>
      </w:r>
      <w:r w:rsidR="009E0D3B" w:rsidRPr="00C4084C">
        <w:rPr>
          <w:rStyle w:val="s2"/>
        </w:rPr>
        <w:t>over-enrol</w:t>
      </w:r>
      <w:r w:rsidRPr="00C4084C">
        <w:rPr>
          <w:rStyle w:val="s2"/>
        </w:rPr>
        <w:t xml:space="preserve">, either to meet student demand or because doing so was seen as </w:t>
      </w:r>
      <w:r w:rsidR="00AD2B93" w:rsidRPr="00C4084C">
        <w:rPr>
          <w:rStyle w:val="s2"/>
        </w:rPr>
        <w:t>beneficial in some way.</w:t>
      </w:r>
      <w:r w:rsidRPr="00C4084C">
        <w:rPr>
          <w:rStyle w:val="s2"/>
        </w:rPr>
        <w:t xml:space="preserve"> Universities report quite different levels of expenditure on teaching and have differing capacities to fund teaching from other sources. </w:t>
      </w:r>
      <w:r w:rsidR="00AD2B93" w:rsidRPr="00C4084C">
        <w:rPr>
          <w:rStyle w:val="s2"/>
        </w:rPr>
        <w:t>The Review has noted</w:t>
      </w:r>
      <w:r w:rsidRPr="00C4084C">
        <w:rPr>
          <w:rStyle w:val="s2"/>
        </w:rPr>
        <w:t xml:space="preserve"> that, based on 2023 estimates from publicly</w:t>
      </w:r>
      <w:r w:rsidR="00BD55A1">
        <w:rPr>
          <w:rStyle w:val="s2"/>
        </w:rPr>
        <w:t xml:space="preserve"> </w:t>
      </w:r>
      <w:r w:rsidRPr="00C4084C">
        <w:rPr>
          <w:rStyle w:val="s2"/>
        </w:rPr>
        <w:t xml:space="preserve">funded universities, 5 of the </w:t>
      </w:r>
      <w:r w:rsidR="00FB06B4" w:rsidRPr="00C4084C">
        <w:rPr>
          <w:rStyle w:val="s2"/>
        </w:rPr>
        <w:t>10</w:t>
      </w:r>
      <w:r w:rsidRPr="00C4084C">
        <w:rPr>
          <w:rStyle w:val="s2"/>
        </w:rPr>
        <w:t xml:space="preserve"> universities under-enrolled by over 1,000 EFTSL are regionally headquartered, while all those over-enrolled by more than 100 EFTSL are metropolitan. Continued operation of this system is likely to cause financial difficulties for some universities and could have a significant effect on the </w:t>
      </w:r>
      <w:r w:rsidR="00D87247" w:rsidRPr="00C4084C">
        <w:rPr>
          <w:rStyle w:val="s2"/>
        </w:rPr>
        <w:t>overall</w:t>
      </w:r>
      <w:r w:rsidRPr="00C4084C">
        <w:rPr>
          <w:rStyle w:val="s2"/>
        </w:rPr>
        <w:t xml:space="preserve"> shape of the </w:t>
      </w:r>
      <w:r w:rsidR="002947C7" w:rsidRPr="00C4084C">
        <w:rPr>
          <w:rStyle w:val="s2"/>
        </w:rPr>
        <w:t xml:space="preserve">higher education </w:t>
      </w:r>
      <w:r w:rsidRPr="00C4084C">
        <w:rPr>
          <w:rStyle w:val="s2"/>
        </w:rPr>
        <w:t>sector.</w:t>
      </w:r>
    </w:p>
    <w:p w14:paraId="767F78DA" w14:textId="516EA108" w:rsidR="00B920D4" w:rsidRPr="00C4084C" w:rsidRDefault="00B920D4" w:rsidP="00EB483F">
      <w:pPr>
        <w:rPr>
          <w:rStyle w:val="s2"/>
        </w:rPr>
      </w:pPr>
      <w:r w:rsidRPr="00C4084C">
        <w:rPr>
          <w:rStyle w:val="s2"/>
        </w:rPr>
        <w:t xml:space="preserve">Since the COVID-19 pandemic there has been a marked softening of demand in higher education, driven by a </w:t>
      </w:r>
      <w:r w:rsidR="00836286" w:rsidRPr="00C4084C">
        <w:rPr>
          <w:rStyle w:val="s2"/>
        </w:rPr>
        <w:t>recovering</w:t>
      </w:r>
      <w:r w:rsidRPr="00C4084C">
        <w:rPr>
          <w:rStyle w:val="s2"/>
        </w:rPr>
        <w:t xml:space="preserve"> economy</w:t>
      </w:r>
      <w:r w:rsidR="00836286" w:rsidRPr="00C4084C">
        <w:rPr>
          <w:rStyle w:val="s2"/>
        </w:rPr>
        <w:t>,</w:t>
      </w:r>
      <w:r w:rsidRPr="00C4084C">
        <w:rPr>
          <w:rStyle w:val="s2"/>
        </w:rPr>
        <w:t xml:space="preserve"> </w:t>
      </w:r>
      <w:r w:rsidR="00836286" w:rsidRPr="00C4084C">
        <w:rPr>
          <w:rStyle w:val="s2"/>
        </w:rPr>
        <w:t>strong</w:t>
      </w:r>
      <w:r w:rsidRPr="00C4084C">
        <w:rPr>
          <w:rStyle w:val="s2"/>
        </w:rPr>
        <w:t xml:space="preserve"> labour market</w:t>
      </w:r>
      <w:r w:rsidR="00836286" w:rsidRPr="00C4084C">
        <w:rPr>
          <w:rStyle w:val="s2"/>
        </w:rPr>
        <w:t xml:space="preserve"> and cost of living pressures</w:t>
      </w:r>
      <w:r w:rsidRPr="00C4084C">
        <w:rPr>
          <w:rStyle w:val="s2"/>
        </w:rPr>
        <w:t xml:space="preserve">. </w:t>
      </w:r>
      <w:r w:rsidR="00AD2B93" w:rsidRPr="00C4084C">
        <w:rPr>
          <w:rStyle w:val="s2"/>
        </w:rPr>
        <w:t xml:space="preserve">This has created financial viability risks for some universities, with many having student enrolment numbers below their funding cap. Enrolment projections suggest that lower </w:t>
      </w:r>
      <w:r w:rsidR="00FA202B" w:rsidRPr="00C4084C">
        <w:rPr>
          <w:rStyle w:val="s2"/>
        </w:rPr>
        <w:t xml:space="preserve">or stagnant </w:t>
      </w:r>
      <w:r w:rsidR="00AD2B93" w:rsidRPr="00C4084C">
        <w:rPr>
          <w:rStyle w:val="s2"/>
        </w:rPr>
        <w:t xml:space="preserve">demand is likely to continue for the next few years, and </w:t>
      </w:r>
      <w:r w:rsidR="008C429B" w:rsidRPr="00C4084C">
        <w:rPr>
          <w:rStyle w:val="s2"/>
        </w:rPr>
        <w:t>many</w:t>
      </w:r>
      <w:r w:rsidR="00AD2B93" w:rsidRPr="00C4084C">
        <w:rPr>
          <w:rStyle w:val="s2"/>
        </w:rPr>
        <w:t xml:space="preserve"> universities will continue to have enrolment numbers below their cap</w:t>
      </w:r>
      <w:r w:rsidR="00AD2B93" w:rsidRPr="00C4084C">
        <w:rPr>
          <w:rStyle w:val="FootnoteReference"/>
        </w:rPr>
        <w:footnoteReference w:id="442"/>
      </w:r>
      <w:r w:rsidR="00AD2B93" w:rsidRPr="00C4084C">
        <w:rPr>
          <w:rStyle w:val="s2"/>
        </w:rPr>
        <w:t xml:space="preserve"> until the recommendations of this Review </w:t>
      </w:r>
      <w:r w:rsidR="00FA202B" w:rsidRPr="00C4084C">
        <w:rPr>
          <w:rStyle w:val="s2"/>
        </w:rPr>
        <w:t>or similar reforms are implemented</w:t>
      </w:r>
      <w:r w:rsidR="00AD2B93" w:rsidRPr="00C4084C">
        <w:rPr>
          <w:rStyle w:val="s2"/>
        </w:rPr>
        <w:t>.</w:t>
      </w:r>
    </w:p>
    <w:p w14:paraId="1946D825" w14:textId="229A17C1" w:rsidR="002470B9" w:rsidRPr="00C4084C" w:rsidRDefault="00AD2B93" w:rsidP="00EB483F">
      <w:r w:rsidRPr="00C4084C">
        <w:t xml:space="preserve">In 2021, the then government introduced the Higher Education Continuity Guarantee (HECG) to assist with recovery from the COVID-19 pandemic, and the current </w:t>
      </w:r>
      <w:r w:rsidR="00C50FEB" w:rsidRPr="00C4084C">
        <w:t xml:space="preserve">Government </w:t>
      </w:r>
      <w:r w:rsidRPr="00C4084C">
        <w:t>has committed to continue it for 2024 and 2025 in response to a recommendation in the Interim Report of this Review. Th</w:t>
      </w:r>
      <w:r w:rsidR="00B03AAF" w:rsidRPr="00C4084C">
        <w:t>e HECG</w:t>
      </w:r>
      <w:r w:rsidRPr="00C4084C">
        <w:t xml:space="preserve"> </w:t>
      </w:r>
      <w:r w:rsidRPr="00C4084C">
        <w:rPr>
          <w:rStyle w:val="s2"/>
        </w:rPr>
        <w:t xml:space="preserve">guarantees that providers receive their full </w:t>
      </w:r>
      <w:r w:rsidR="003E3C26" w:rsidRPr="00C4084C">
        <w:rPr>
          <w:rStyle w:val="s2"/>
        </w:rPr>
        <w:t>CGS</w:t>
      </w:r>
      <w:r w:rsidRPr="00C4084C">
        <w:rPr>
          <w:rStyle w:val="s2"/>
        </w:rPr>
        <w:t xml:space="preserve"> funding allocation, irrespective of enrolment numbers. While this provides certainty and protects providers against a downturn in enrolments, there is a risk that, without further funding changes, some </w:t>
      </w:r>
      <w:r w:rsidR="005C7095" w:rsidRPr="00C4084C">
        <w:rPr>
          <w:rStyle w:val="s2"/>
        </w:rPr>
        <w:t xml:space="preserve">universities </w:t>
      </w:r>
      <w:r w:rsidRPr="00C4084C">
        <w:rPr>
          <w:rStyle w:val="s2"/>
        </w:rPr>
        <w:t>may face a significant funding cliff in 2026 if student demand does not increase.</w:t>
      </w:r>
    </w:p>
    <w:tbl>
      <w:tblPr>
        <w:tblW w:w="8931" w:type="dxa"/>
        <w:shd w:val="clear" w:color="auto" w:fill="E2EFD9"/>
        <w:tblLook w:val="04A0" w:firstRow="1" w:lastRow="0" w:firstColumn="1" w:lastColumn="0" w:noHBand="0" w:noVBand="1"/>
      </w:tblPr>
      <w:tblGrid>
        <w:gridCol w:w="8931"/>
      </w:tblGrid>
      <w:tr w:rsidR="00163164" w:rsidRPr="00C4084C" w14:paraId="45CD07F0" w14:textId="77777777" w:rsidTr="00D26B82">
        <w:tc>
          <w:tcPr>
            <w:tcW w:w="8931" w:type="dxa"/>
            <w:shd w:val="clear" w:color="auto" w:fill="C3D7CA"/>
          </w:tcPr>
          <w:p w14:paraId="386A6B08" w14:textId="6084FA79" w:rsidR="00163164" w:rsidRPr="00C4084C" w:rsidRDefault="00163164">
            <w:pPr>
              <w:pStyle w:val="Boxtitlessubheadings"/>
            </w:pPr>
            <w:r w:rsidRPr="00C4084C">
              <w:t xml:space="preserve">Government response to Priority Action </w:t>
            </w:r>
            <w:r w:rsidR="00782EC1" w:rsidRPr="00C4084C">
              <w:t>4</w:t>
            </w:r>
            <w:r w:rsidRPr="00C4084C">
              <w:t xml:space="preserve"> from the Interim Report</w:t>
            </w:r>
          </w:p>
          <w:p w14:paraId="5026C9AC" w14:textId="4AB986EC" w:rsidR="00782EC1" w:rsidRPr="00C4084C" w:rsidRDefault="00782EC1" w:rsidP="00EB483F">
            <w:pPr>
              <w:pStyle w:val="Boxtext0"/>
            </w:pPr>
            <w:r w:rsidRPr="00C4084C">
              <w:t>The Government has consulted with a range of higher education providers on implementation arrangements for the Higher Education Continuity Guarantee (HECG). The consultation has focussed on the potential uses of funding that may be permitted under the program. The Government has also been incorporating the new HECG requirements within provider’s Commonwealth Grant Scheme funding agreements and mission-based compacts.</w:t>
            </w:r>
          </w:p>
          <w:p w14:paraId="55D775BF" w14:textId="516195E9" w:rsidR="00163164" w:rsidRPr="00C4084C" w:rsidRDefault="00782EC1" w:rsidP="00EB483F">
            <w:pPr>
              <w:pStyle w:val="Boxtext0"/>
            </w:pPr>
            <w:r w:rsidRPr="00C4084C">
              <w:t>Ongoing consultation with providers on HECG implementation will continue into 2024. There will be a particular focus on a new requirement for providers with funding remaining from their Maximum Basic Grant Amounts in 2024 and 2025 to develop Equity Plans detailing how they plan to utilise any HECG funding they receive</w:t>
            </w:r>
            <w:r w:rsidR="00E953A9">
              <w:t xml:space="preserve"> on new or expanded equity initiatives, including those that aim to build future growth</w:t>
            </w:r>
            <w:r w:rsidRPr="00C4084C">
              <w:t>. The Government will develop specific reporting requirements in relation to these plans. The Government will also update legislative guidelines for the extended HECG arrangements.</w:t>
            </w:r>
          </w:p>
        </w:tc>
      </w:tr>
    </w:tbl>
    <w:p w14:paraId="65FF65AA" w14:textId="366815F9" w:rsidR="0072223B" w:rsidRPr="008C67CA" w:rsidRDefault="00AD2B93" w:rsidP="00285443">
      <w:pPr>
        <w:rPr>
          <w:rStyle w:val="s2"/>
          <w:b/>
          <w:color w:val="91C7FF" w:themeColor="text2" w:themeTint="40"/>
        </w:rPr>
      </w:pPr>
      <w:r w:rsidRPr="00C4084C">
        <w:rPr>
          <w:rStyle w:val="s2"/>
        </w:rPr>
        <w:t>Under and over-enrolments have also had an impact on per student funding. Universities that are over-enrolled are effectively teaching students with lower per student funding, while those that are under-enrolled, and which receive funding through the HECG, are operating with higher per student funding</w:t>
      </w:r>
      <w:r w:rsidR="00654786" w:rsidRPr="00C4084C">
        <w:rPr>
          <w:rStyle w:val="s2"/>
        </w:rPr>
        <w:t xml:space="preserve"> (compared to the per place amounts outlined in legislation)</w:t>
      </w:r>
      <w:r w:rsidRPr="00C4084C">
        <w:rPr>
          <w:rStyle w:val="s2"/>
        </w:rPr>
        <w:t xml:space="preserve">. Given the range of under and </w:t>
      </w:r>
      <w:r w:rsidRPr="00C4084C">
        <w:rPr>
          <w:rStyle w:val="s2"/>
        </w:rPr>
        <w:lastRenderedPageBreak/>
        <w:t>over</w:t>
      </w:r>
      <w:r w:rsidR="22E8F400" w:rsidRPr="00C4084C">
        <w:rPr>
          <w:rStyle w:val="s2"/>
        </w:rPr>
        <w:t>-</w:t>
      </w:r>
      <w:r w:rsidRPr="00C4084C">
        <w:rPr>
          <w:rStyle w:val="s2"/>
        </w:rPr>
        <w:t>enrolments across the sector, different universities have different teaching resources per student.</w:t>
      </w:r>
    </w:p>
    <w:tbl>
      <w:tblPr>
        <w:tblW w:w="0" w:type="auto"/>
        <w:shd w:val="clear" w:color="auto" w:fill="FBE4D5"/>
        <w:tblLook w:val="04A0" w:firstRow="1" w:lastRow="0" w:firstColumn="1" w:lastColumn="0" w:noHBand="0" w:noVBand="1"/>
      </w:tblPr>
      <w:tblGrid>
        <w:gridCol w:w="9026"/>
      </w:tblGrid>
      <w:tr w:rsidR="0072223B" w:rsidRPr="00C4084C" w14:paraId="28BDD922" w14:textId="77777777" w:rsidTr="00D26B82">
        <w:tc>
          <w:tcPr>
            <w:tcW w:w="9026" w:type="dxa"/>
            <w:shd w:val="clear" w:color="auto" w:fill="B0C3DB"/>
          </w:tcPr>
          <w:p w14:paraId="3C95776B" w14:textId="521FB6B1" w:rsidR="00861704" w:rsidRPr="00861704" w:rsidRDefault="003B7B0D" w:rsidP="003E5969">
            <w:pPr>
              <w:pStyle w:val="Findinginchapterheading"/>
            </w:pPr>
            <w:r w:rsidRPr="003E5969">
              <w:rPr>
                <w:rFonts w:ascii="Calibri" w:eastAsia="Yu Gothic Light" w:hAnsi="Calibri" w:cs="Calibri"/>
                <w:szCs w:val="24"/>
              </w:rPr>
              <w:t>Finding</w:t>
            </w:r>
            <w:r w:rsidR="00861704">
              <w:rPr>
                <w:szCs w:val="24"/>
              </w:rPr>
              <w:t xml:space="preserve">: </w:t>
            </w:r>
            <w:r w:rsidR="0072223B" w:rsidRPr="00C4084C">
              <w:t>Funding</w:t>
            </w:r>
          </w:p>
          <w:p w14:paraId="11EC13BC" w14:textId="5436277B" w:rsidR="0072223B" w:rsidRPr="00C4084C" w:rsidRDefault="0072223B" w:rsidP="003E5969">
            <w:pPr>
              <w:pStyle w:val="Boxtext0"/>
              <w:spacing w:before="0"/>
            </w:pPr>
            <w:r w:rsidRPr="00C4084C">
              <w:t xml:space="preserve">The current funding system is overly complex, </w:t>
            </w:r>
            <w:proofErr w:type="gramStart"/>
            <w:r w:rsidRPr="00C4084C">
              <w:t>fragmented</w:t>
            </w:r>
            <w:proofErr w:type="gramEnd"/>
            <w:r w:rsidRPr="00C4084C">
              <w:t xml:space="preserve"> and difficult to comprehend. It needs to be simplified.</w:t>
            </w:r>
            <w:r w:rsidRPr="00C4084C">
              <w:rPr>
                <w:b/>
              </w:rPr>
              <w:t> </w:t>
            </w:r>
          </w:p>
        </w:tc>
      </w:tr>
    </w:tbl>
    <w:p w14:paraId="163FABEB" w14:textId="77777777" w:rsidR="0072223B" w:rsidRPr="00C4084C" w:rsidRDefault="0072223B" w:rsidP="00E526D7">
      <w:pPr>
        <w:spacing w:after="0"/>
        <w:rPr>
          <w:rStyle w:val="s2"/>
        </w:rPr>
      </w:pPr>
    </w:p>
    <w:tbl>
      <w:tblPr>
        <w:tblW w:w="0" w:type="auto"/>
        <w:shd w:val="clear" w:color="auto" w:fill="FBE4D5"/>
        <w:tblLook w:val="04A0" w:firstRow="1" w:lastRow="0" w:firstColumn="1" w:lastColumn="0" w:noHBand="0" w:noVBand="1"/>
      </w:tblPr>
      <w:tblGrid>
        <w:gridCol w:w="9026"/>
      </w:tblGrid>
      <w:tr w:rsidR="00910684" w:rsidRPr="00C4084C" w14:paraId="005A1A95" w14:textId="77777777" w:rsidTr="00D26B82">
        <w:tc>
          <w:tcPr>
            <w:tcW w:w="9026" w:type="dxa"/>
            <w:shd w:val="clear" w:color="auto" w:fill="B0C3DB"/>
          </w:tcPr>
          <w:p w14:paraId="7C595911" w14:textId="77777777" w:rsidR="00861704" w:rsidRPr="00861704" w:rsidRDefault="00861704" w:rsidP="00861704">
            <w:pPr>
              <w:pStyle w:val="Findinginchapterheading"/>
            </w:pPr>
            <w:r w:rsidRPr="00B75786">
              <w:rPr>
                <w:rFonts w:ascii="Calibri" w:eastAsia="Yu Gothic Light" w:hAnsi="Calibri" w:cs="Calibri"/>
                <w:szCs w:val="24"/>
              </w:rPr>
              <w:t>Finding</w:t>
            </w:r>
            <w:r>
              <w:rPr>
                <w:szCs w:val="24"/>
              </w:rPr>
              <w:t xml:space="preserve">: </w:t>
            </w:r>
            <w:r w:rsidRPr="00C4084C">
              <w:t>Funding</w:t>
            </w:r>
          </w:p>
          <w:p w14:paraId="1E500EF2" w14:textId="25B077D9" w:rsidR="00910684" w:rsidRPr="00C4084C" w:rsidRDefault="00910684" w:rsidP="003E5969">
            <w:pPr>
              <w:pStyle w:val="Boxtext0"/>
              <w:spacing w:before="0"/>
            </w:pPr>
            <w:r w:rsidRPr="00C4084C">
              <w:t>The current approach to setting core funding through ‘cluster rates’ means that some disciplines are likely substantially under-funded, and some potentially over-funded. The lack of fidelity and accuracy in pricing means that small, expensive courses such as veterinary science and the performing arts require significant and unsatisfactory cross-subsidy within universities and reduces the ability of the system overall and individual providers to increase efficiency and effectiveness of course delivery arrangements.</w:t>
            </w:r>
          </w:p>
        </w:tc>
      </w:tr>
    </w:tbl>
    <w:p w14:paraId="1333106F" w14:textId="77777777" w:rsidR="00910684" w:rsidRPr="00C4084C" w:rsidRDefault="00910684" w:rsidP="00E526D7">
      <w:pPr>
        <w:spacing w:after="0"/>
        <w:rPr>
          <w:rStyle w:val="s2"/>
        </w:rPr>
      </w:pPr>
    </w:p>
    <w:tbl>
      <w:tblPr>
        <w:tblW w:w="0" w:type="auto"/>
        <w:shd w:val="clear" w:color="auto" w:fill="FBE4D5"/>
        <w:tblLook w:val="04A0" w:firstRow="1" w:lastRow="0" w:firstColumn="1" w:lastColumn="0" w:noHBand="0" w:noVBand="1"/>
      </w:tblPr>
      <w:tblGrid>
        <w:gridCol w:w="9026"/>
      </w:tblGrid>
      <w:tr w:rsidR="0072223B" w:rsidRPr="00C4084C" w14:paraId="2A678F26" w14:textId="77777777" w:rsidTr="00D26B82">
        <w:tc>
          <w:tcPr>
            <w:tcW w:w="9026" w:type="dxa"/>
            <w:shd w:val="clear" w:color="auto" w:fill="B0C3DB"/>
          </w:tcPr>
          <w:p w14:paraId="76E90494" w14:textId="77777777" w:rsidR="00861704" w:rsidRPr="00861704" w:rsidRDefault="00861704" w:rsidP="00861704">
            <w:pPr>
              <w:pStyle w:val="Findinginchapterheading"/>
            </w:pPr>
            <w:r w:rsidRPr="00B75786">
              <w:rPr>
                <w:rFonts w:ascii="Calibri" w:eastAsia="Yu Gothic Light" w:hAnsi="Calibri" w:cs="Calibri"/>
                <w:szCs w:val="24"/>
              </w:rPr>
              <w:t>Finding</w:t>
            </w:r>
            <w:r>
              <w:rPr>
                <w:szCs w:val="24"/>
              </w:rPr>
              <w:t xml:space="preserve">: </w:t>
            </w:r>
            <w:r w:rsidRPr="00C4084C">
              <w:t>Funding</w:t>
            </w:r>
          </w:p>
          <w:p w14:paraId="23B3238D" w14:textId="7DF2879C" w:rsidR="0072223B" w:rsidRPr="00C4084C" w:rsidRDefault="0072223B" w:rsidP="003E5969">
            <w:pPr>
              <w:pStyle w:val="Boxtext0"/>
              <w:spacing w:before="0"/>
            </w:pPr>
            <w:r w:rsidRPr="00C4084C">
              <w:t xml:space="preserve">The practice of universities enrolling students over their funding cap and receiving only marginal funding for additional students has had adverse flow-on effects for the whole system. Marginal funding </w:t>
            </w:r>
            <w:r w:rsidRPr="00C90689">
              <w:t>has</w:t>
            </w:r>
            <w:r w:rsidRPr="00C4084C">
              <w:t xml:space="preserve"> distorted the distribution of students between universities, creating potential long-term viability issues for some universities.</w:t>
            </w:r>
            <w:r w:rsidRPr="00C4084C">
              <w:rPr>
                <w:b/>
              </w:rPr>
              <w:t> </w:t>
            </w:r>
          </w:p>
        </w:tc>
      </w:tr>
    </w:tbl>
    <w:p w14:paraId="5CAEEED6" w14:textId="53914D0E" w:rsidR="00B920D4" w:rsidRPr="00C4084C" w:rsidRDefault="00B920D4" w:rsidP="00BA6095">
      <w:pPr>
        <w:pStyle w:val="Heading4"/>
      </w:pPr>
      <w:bookmarkStart w:id="1515" w:name="_Toc151815658"/>
      <w:bookmarkStart w:id="1516" w:name="_Toc159501019"/>
      <w:r w:rsidRPr="00C4084C">
        <w:t>Principles for a new funding model</w:t>
      </w:r>
      <w:bookmarkEnd w:id="1515"/>
      <w:bookmarkEnd w:id="1516"/>
      <w:r w:rsidRPr="00C4084C">
        <w:t xml:space="preserve"> </w:t>
      </w:r>
    </w:p>
    <w:p w14:paraId="4AC59056" w14:textId="77777777" w:rsidR="00B920D4" w:rsidRPr="00C4084C" w:rsidRDefault="00B920D4" w:rsidP="00E526D7">
      <w:r w:rsidRPr="00C4084C">
        <w:t xml:space="preserve">The success of Australia’s higher education system relies on a secure, </w:t>
      </w:r>
      <w:proofErr w:type="gramStart"/>
      <w:r w:rsidRPr="00C4084C">
        <w:t>enduring</w:t>
      </w:r>
      <w:proofErr w:type="gramEnd"/>
      <w:r w:rsidRPr="00C4084C">
        <w:t xml:space="preserve"> and sustainable funding system. </w:t>
      </w:r>
      <w:proofErr w:type="gramStart"/>
      <w:r w:rsidRPr="00C4084C">
        <w:t>In light of</w:t>
      </w:r>
      <w:proofErr w:type="gramEnd"/>
      <w:r w:rsidRPr="00C4084C">
        <w:t xml:space="preserve"> its findings, the Review proposes a new funding model for learning, teaching and scholarship for the purposes of:</w:t>
      </w:r>
    </w:p>
    <w:p w14:paraId="183F13E7" w14:textId="020D4CF2" w:rsidR="00A249E2" w:rsidRPr="00C4084C" w:rsidRDefault="00A249E2" w:rsidP="00782EC1">
      <w:pPr>
        <w:pStyle w:val="ListBullet"/>
      </w:pPr>
      <w:r w:rsidRPr="00C4084C">
        <w:t>remedying negative and unanticipated outcomes from the JRG package</w:t>
      </w:r>
    </w:p>
    <w:p w14:paraId="46EB4488" w14:textId="5EBE05B1" w:rsidR="00B920D4" w:rsidRPr="00C4084C" w:rsidRDefault="00B920D4" w:rsidP="00782EC1">
      <w:pPr>
        <w:pStyle w:val="ListBullet"/>
      </w:pPr>
      <w:r w:rsidRPr="00C4084C">
        <w:t>supporting substantial growth in skills quantity and quality and increased participation and attainment from under</w:t>
      </w:r>
      <w:r w:rsidR="00BD55A1">
        <w:t>-</w:t>
      </w:r>
      <w:r w:rsidRPr="00C4084C">
        <w:t xml:space="preserve">represented groups </w:t>
      </w:r>
    </w:p>
    <w:p w14:paraId="4AB0F76A" w14:textId="550A882A" w:rsidR="00B920D4" w:rsidRPr="00C4084C" w:rsidRDefault="00600059" w:rsidP="00782EC1">
      <w:pPr>
        <w:pStyle w:val="ListBullet"/>
      </w:pPr>
      <w:r w:rsidRPr="00C4084C">
        <w:t xml:space="preserve">evolving </w:t>
      </w:r>
      <w:r w:rsidR="00043CD9" w:rsidRPr="00C4084C">
        <w:t>over time to meet the needs of the nation</w:t>
      </w:r>
      <w:r w:rsidR="00B920D4" w:rsidRPr="00C4084C">
        <w:t>.</w:t>
      </w:r>
    </w:p>
    <w:p w14:paraId="02106777" w14:textId="3B46B085" w:rsidR="00A249E2" w:rsidRPr="00C4084C" w:rsidRDefault="37D09158" w:rsidP="00E526D7">
      <w:pPr>
        <w:rPr>
          <w:rStyle w:val="s2"/>
          <w:rFonts w:asciiTheme="majorHAnsi" w:eastAsiaTheme="majorEastAsia" w:hAnsiTheme="majorHAnsi" w:cstheme="majorBidi"/>
          <w:b/>
          <w:bCs/>
          <w:i/>
          <w:iCs/>
          <w:color w:val="00414C" w:themeColor="accent1" w:themeShade="7F"/>
          <w:sz w:val="28"/>
          <w:szCs w:val="28"/>
        </w:rPr>
      </w:pPr>
      <w:r w:rsidRPr="00C4084C">
        <w:rPr>
          <w:rStyle w:val="s2"/>
        </w:rPr>
        <w:t>T</w:t>
      </w:r>
      <w:r w:rsidR="00A249E2" w:rsidRPr="00C4084C">
        <w:rPr>
          <w:rStyle w:val="s2"/>
        </w:rPr>
        <w:t xml:space="preserve">he Review </w:t>
      </w:r>
      <w:r w:rsidR="603AEC59" w:rsidRPr="00C4084C">
        <w:rPr>
          <w:rStyle w:val="s2"/>
        </w:rPr>
        <w:t xml:space="preserve">also </w:t>
      </w:r>
      <w:r w:rsidR="00A249E2" w:rsidRPr="00C4084C">
        <w:rPr>
          <w:rStyle w:val="s2"/>
        </w:rPr>
        <w:t xml:space="preserve">notes the essential role education plays in </w:t>
      </w:r>
      <w:r w:rsidR="008E3CC6" w:rsidRPr="00C4084C">
        <w:rPr>
          <w:rStyle w:val="s2"/>
        </w:rPr>
        <w:t xml:space="preserve">Closing </w:t>
      </w:r>
      <w:r w:rsidR="00A249E2" w:rsidRPr="00C4084C">
        <w:rPr>
          <w:rStyle w:val="s2"/>
        </w:rPr>
        <w:t xml:space="preserve">the </w:t>
      </w:r>
      <w:r w:rsidR="008E3CC6" w:rsidRPr="00C4084C">
        <w:rPr>
          <w:rStyle w:val="s2"/>
        </w:rPr>
        <w:t>G</w:t>
      </w:r>
      <w:r w:rsidR="00A249E2" w:rsidRPr="00C4084C">
        <w:rPr>
          <w:rStyle w:val="s2"/>
        </w:rPr>
        <w:t xml:space="preserve">ap on </w:t>
      </w:r>
      <w:r w:rsidR="00376CC5" w:rsidRPr="00C4084C">
        <w:rPr>
          <w:rStyle w:val="s2"/>
        </w:rPr>
        <w:t xml:space="preserve">First Nations </w:t>
      </w:r>
      <w:r w:rsidR="00A249E2" w:rsidRPr="00C4084C">
        <w:rPr>
          <w:rStyle w:val="s2"/>
        </w:rPr>
        <w:t xml:space="preserve">disadvantage. </w:t>
      </w:r>
      <w:r w:rsidR="00A12E6B" w:rsidRPr="00C4084C">
        <w:rPr>
          <w:rStyle w:val="s2"/>
        </w:rPr>
        <w:t>An approach to funding the system which reflects the principles of self-determination for First Nations peoples</w:t>
      </w:r>
      <w:r w:rsidR="00A249E2" w:rsidRPr="00C4084C">
        <w:rPr>
          <w:rStyle w:val="s2"/>
        </w:rPr>
        <w:t xml:space="preserve"> should be developed with the First Nations Council recommended in </w:t>
      </w:r>
      <w:r w:rsidR="00A249E2" w:rsidRPr="00C4084C">
        <w:rPr>
          <w:rStyle w:val="s2"/>
          <w:i/>
          <w:iCs/>
        </w:rPr>
        <w:t xml:space="preserve">Chapter </w:t>
      </w:r>
      <w:r w:rsidR="5225939D" w:rsidRPr="00C4084C">
        <w:rPr>
          <w:rStyle w:val="s2"/>
          <w:i/>
          <w:iCs/>
        </w:rPr>
        <w:t>6</w:t>
      </w:r>
      <w:r w:rsidR="00C50FEB" w:rsidRPr="00C4084C">
        <w:rPr>
          <w:rStyle w:val="s2"/>
          <w:i/>
          <w:iCs/>
        </w:rPr>
        <w:t xml:space="preserve"> – A dynamic, </w:t>
      </w:r>
      <w:proofErr w:type="gramStart"/>
      <w:r w:rsidR="00C50FEB" w:rsidRPr="00C4084C">
        <w:rPr>
          <w:rStyle w:val="s2"/>
          <w:i/>
          <w:iCs/>
        </w:rPr>
        <w:t>collaborative</w:t>
      </w:r>
      <w:proofErr w:type="gramEnd"/>
      <w:r w:rsidR="00C50FEB" w:rsidRPr="00C4084C">
        <w:rPr>
          <w:rStyle w:val="s2"/>
          <w:i/>
          <w:iCs/>
        </w:rPr>
        <w:t xml:space="preserve"> and responsive sector to meet national needs</w:t>
      </w:r>
      <w:r w:rsidR="00A249E2" w:rsidRPr="00C4084C">
        <w:rPr>
          <w:rStyle w:val="s2"/>
          <w:i/>
          <w:iCs/>
        </w:rPr>
        <w:t>,</w:t>
      </w:r>
      <w:r w:rsidR="00A249E2" w:rsidRPr="00C4084C">
        <w:rPr>
          <w:rStyle w:val="s2"/>
        </w:rPr>
        <w:t xml:space="preserve"> with a view to ensuring the funding system is better able to support First Nations students to complete their studies.</w:t>
      </w:r>
    </w:p>
    <w:p w14:paraId="4A5DFE6C" w14:textId="77777777" w:rsidR="00B920D4" w:rsidRPr="00C4084C" w:rsidRDefault="00B920D4" w:rsidP="00E526D7">
      <w:r w:rsidRPr="00C4084C">
        <w:t>The proposed funding model has been based on the following guiding principles:</w:t>
      </w:r>
    </w:p>
    <w:p w14:paraId="12F645F0" w14:textId="2D997D9F" w:rsidR="00B920D4" w:rsidRPr="00C4084C" w:rsidRDefault="00B920D4" w:rsidP="00782EC1">
      <w:pPr>
        <w:pStyle w:val="ListBullet"/>
        <w:rPr>
          <w:rStyle w:val="A3"/>
          <w:sz w:val="22"/>
          <w:szCs w:val="22"/>
        </w:rPr>
      </w:pPr>
      <w:r w:rsidRPr="00C4084C">
        <w:rPr>
          <w:b/>
          <w:bCs/>
        </w:rPr>
        <w:t>Growth and skills:</w:t>
      </w:r>
      <w:r w:rsidRPr="00C4084C">
        <w:rPr>
          <w:rStyle w:val="Heading2Char"/>
          <w:sz w:val="22"/>
          <w:szCs w:val="22"/>
        </w:rPr>
        <w:t xml:space="preserve"> </w:t>
      </w:r>
      <w:r w:rsidRPr="00C4084C">
        <w:rPr>
          <w:rStyle w:val="A3"/>
          <w:sz w:val="22"/>
          <w:szCs w:val="22"/>
        </w:rPr>
        <w:t xml:space="preserve">The </w:t>
      </w:r>
      <w:r w:rsidR="00B85810" w:rsidRPr="00C4084C">
        <w:rPr>
          <w:rStyle w:val="A3"/>
          <w:sz w:val="22"/>
          <w:szCs w:val="22"/>
        </w:rPr>
        <w:t>higher education</w:t>
      </w:r>
      <w:r w:rsidRPr="00C4084C">
        <w:rPr>
          <w:rStyle w:val="A3"/>
          <w:sz w:val="22"/>
          <w:szCs w:val="22"/>
        </w:rPr>
        <w:t xml:space="preserve"> funding model must enable the sector to grow. Growth in provision must be high</w:t>
      </w:r>
      <w:r w:rsidR="006A5783" w:rsidRPr="00C4084C">
        <w:rPr>
          <w:rStyle w:val="A3"/>
          <w:sz w:val="22"/>
          <w:szCs w:val="22"/>
        </w:rPr>
        <w:t>-</w:t>
      </w:r>
      <w:r w:rsidRPr="00C4084C">
        <w:rPr>
          <w:rStyle w:val="A3"/>
          <w:sz w:val="22"/>
          <w:szCs w:val="22"/>
        </w:rPr>
        <w:t xml:space="preserve">quality, and responsive to industry and skills needs and student </w:t>
      </w:r>
      <w:proofErr w:type="gramStart"/>
      <w:r w:rsidRPr="00C4084C">
        <w:rPr>
          <w:rStyle w:val="A3"/>
          <w:sz w:val="22"/>
          <w:szCs w:val="22"/>
        </w:rPr>
        <w:t>choices</w:t>
      </w:r>
      <w:proofErr w:type="gramEnd"/>
    </w:p>
    <w:p w14:paraId="0CE5C45C" w14:textId="4636BA10" w:rsidR="00A249E2" w:rsidRPr="00C4084C" w:rsidRDefault="00A249E2" w:rsidP="00782EC1">
      <w:pPr>
        <w:pStyle w:val="ListBullet"/>
        <w:rPr>
          <w:rStyle w:val="A3"/>
          <w:sz w:val="22"/>
          <w:szCs w:val="22"/>
        </w:rPr>
      </w:pPr>
      <w:r w:rsidRPr="00C4084C">
        <w:rPr>
          <w:rStyle w:val="A3"/>
          <w:b/>
          <w:bCs/>
          <w:sz w:val="22"/>
          <w:szCs w:val="22"/>
        </w:rPr>
        <w:lastRenderedPageBreak/>
        <w:t>Equity and access</w:t>
      </w:r>
      <w:r w:rsidRPr="00C4084C">
        <w:rPr>
          <w:rStyle w:val="A3"/>
          <w:sz w:val="22"/>
          <w:szCs w:val="22"/>
        </w:rPr>
        <w:t xml:space="preserve">: The funding system should support all </w:t>
      </w:r>
      <w:r w:rsidR="00311594" w:rsidRPr="00C4084C">
        <w:rPr>
          <w:rStyle w:val="A3"/>
          <w:sz w:val="22"/>
          <w:szCs w:val="22"/>
        </w:rPr>
        <w:t>Australians</w:t>
      </w:r>
      <w:r w:rsidRPr="00C4084C">
        <w:rPr>
          <w:rStyle w:val="A3"/>
          <w:sz w:val="22"/>
          <w:szCs w:val="22"/>
        </w:rPr>
        <w:t xml:space="preserve"> who wish to study and who meet entry requirements to higher education, with no </w:t>
      </w:r>
      <w:r w:rsidR="004013F0" w:rsidRPr="00C4084C">
        <w:rPr>
          <w:rStyle w:val="A3"/>
          <w:sz w:val="22"/>
          <w:szCs w:val="22"/>
        </w:rPr>
        <w:t>upfront</w:t>
      </w:r>
      <w:r w:rsidRPr="00C4084C">
        <w:rPr>
          <w:rStyle w:val="A3"/>
          <w:sz w:val="22"/>
          <w:szCs w:val="22"/>
        </w:rPr>
        <w:t xml:space="preserve"> cost and additional support tailored to student need and location of delivery</w:t>
      </w:r>
      <w:r w:rsidR="002F6A0B" w:rsidRPr="00C4084C">
        <w:rPr>
          <w:rStyle w:val="A3"/>
          <w:sz w:val="22"/>
          <w:szCs w:val="22"/>
        </w:rPr>
        <w:t xml:space="preserve"> </w:t>
      </w:r>
      <w:r w:rsidR="008E4EAB" w:rsidRPr="00C4084C">
        <w:rPr>
          <w:rStyle w:val="A3"/>
          <w:sz w:val="22"/>
          <w:szCs w:val="22"/>
        </w:rPr>
        <w:t>(‘demand driven equity’)</w:t>
      </w:r>
      <w:r w:rsidRPr="00C4084C">
        <w:rPr>
          <w:rStyle w:val="A3"/>
          <w:sz w:val="22"/>
          <w:szCs w:val="22"/>
        </w:rPr>
        <w:t xml:space="preserve">. To drive future participation, collaborative initiatives between </w:t>
      </w:r>
      <w:r w:rsidR="002D391B" w:rsidRPr="00C4084C">
        <w:rPr>
          <w:rStyle w:val="A3"/>
          <w:sz w:val="22"/>
          <w:szCs w:val="22"/>
        </w:rPr>
        <w:t>the Australian</w:t>
      </w:r>
      <w:r w:rsidRPr="00C4084C">
        <w:rPr>
          <w:rStyle w:val="A3"/>
          <w:sz w:val="22"/>
          <w:szCs w:val="22"/>
        </w:rPr>
        <w:t xml:space="preserve"> Government and providers should be </w:t>
      </w:r>
      <w:r w:rsidR="005032B1" w:rsidRPr="00C4084C">
        <w:rPr>
          <w:rStyle w:val="A3"/>
          <w:sz w:val="22"/>
          <w:szCs w:val="22"/>
        </w:rPr>
        <w:t xml:space="preserve">supported </w:t>
      </w:r>
      <w:r w:rsidRPr="00C4084C">
        <w:rPr>
          <w:rStyle w:val="A3"/>
          <w:sz w:val="22"/>
          <w:szCs w:val="22"/>
        </w:rPr>
        <w:t>outside the funding model to raise aspiration</w:t>
      </w:r>
      <w:r w:rsidR="005032B1" w:rsidRPr="00C4084C">
        <w:rPr>
          <w:rStyle w:val="A3"/>
          <w:sz w:val="22"/>
          <w:szCs w:val="22"/>
        </w:rPr>
        <w:t xml:space="preserve">, improve access to higher education </w:t>
      </w:r>
      <w:r w:rsidRPr="00C4084C">
        <w:rPr>
          <w:rStyle w:val="A3"/>
          <w:sz w:val="22"/>
          <w:szCs w:val="22"/>
        </w:rPr>
        <w:t xml:space="preserve">and </w:t>
      </w:r>
      <w:r w:rsidR="005032B1" w:rsidRPr="00C4084C">
        <w:rPr>
          <w:rStyle w:val="A3"/>
          <w:sz w:val="22"/>
          <w:szCs w:val="22"/>
        </w:rPr>
        <w:t xml:space="preserve">ultimately ensure successful outcomes for </w:t>
      </w:r>
      <w:proofErr w:type="gramStart"/>
      <w:r w:rsidR="005032B1" w:rsidRPr="00C4084C">
        <w:rPr>
          <w:rStyle w:val="A3"/>
          <w:sz w:val="22"/>
          <w:szCs w:val="22"/>
        </w:rPr>
        <w:t>students</w:t>
      </w:r>
      <w:proofErr w:type="gramEnd"/>
    </w:p>
    <w:p w14:paraId="231E5AC8" w14:textId="3C8CD9E5" w:rsidR="00B920D4" w:rsidRPr="00C4084C" w:rsidRDefault="00B920D4" w:rsidP="00782EC1">
      <w:pPr>
        <w:pStyle w:val="ListBullet"/>
        <w:rPr>
          <w:rStyle w:val="A3"/>
          <w:rFonts w:cstheme="minorHAnsi"/>
          <w:sz w:val="22"/>
          <w:szCs w:val="22"/>
        </w:rPr>
      </w:pPr>
      <w:r w:rsidRPr="00C4084C">
        <w:rPr>
          <w:rStyle w:val="A3"/>
          <w:rFonts w:cstheme="minorHAnsi"/>
          <w:b/>
          <w:sz w:val="22"/>
          <w:szCs w:val="22"/>
        </w:rPr>
        <w:t>Fairness</w:t>
      </w:r>
      <w:r w:rsidRPr="00C4084C">
        <w:rPr>
          <w:rStyle w:val="A3"/>
          <w:rFonts w:cstheme="minorHAnsi"/>
          <w:sz w:val="22"/>
          <w:szCs w:val="22"/>
        </w:rPr>
        <w:t xml:space="preserve">: There should be a </w:t>
      </w:r>
      <w:r w:rsidR="00F0034B" w:rsidRPr="00C4084C">
        <w:rPr>
          <w:rStyle w:val="A3"/>
          <w:rFonts w:cstheme="minorHAnsi"/>
          <w:sz w:val="22"/>
          <w:szCs w:val="22"/>
        </w:rPr>
        <w:t xml:space="preserve">fair </w:t>
      </w:r>
      <w:r w:rsidRPr="00C4084C">
        <w:rPr>
          <w:rStyle w:val="A3"/>
          <w:rFonts w:cstheme="minorHAnsi"/>
          <w:sz w:val="22"/>
          <w:szCs w:val="22"/>
        </w:rPr>
        <w:t xml:space="preserve">balance of student and Australian Government contributions across the </w:t>
      </w:r>
      <w:r w:rsidR="00076E04" w:rsidRPr="00C4084C">
        <w:rPr>
          <w:rStyle w:val="A3"/>
          <w:rFonts w:cstheme="minorHAnsi"/>
          <w:sz w:val="22"/>
          <w:szCs w:val="22"/>
        </w:rPr>
        <w:t>system, recognising</w:t>
      </w:r>
      <w:r w:rsidRPr="00C4084C">
        <w:rPr>
          <w:rStyle w:val="A3"/>
          <w:rFonts w:cstheme="minorHAnsi"/>
          <w:sz w:val="22"/>
          <w:szCs w:val="22"/>
        </w:rPr>
        <w:t xml:space="preserve"> both the private and public benefits of higher education</w:t>
      </w:r>
    </w:p>
    <w:p w14:paraId="5E8D823F" w14:textId="028FF71E" w:rsidR="00B920D4" w:rsidRPr="00C4084C" w:rsidRDefault="00B920D4" w:rsidP="00782EC1">
      <w:pPr>
        <w:pStyle w:val="ListBullet"/>
        <w:rPr>
          <w:rStyle w:val="A3"/>
          <w:rFonts w:cstheme="minorHAnsi"/>
          <w:sz w:val="22"/>
          <w:szCs w:val="22"/>
        </w:rPr>
      </w:pPr>
      <w:r w:rsidRPr="00C4084C">
        <w:rPr>
          <w:rStyle w:val="A3"/>
          <w:rFonts w:cstheme="minorHAnsi"/>
          <w:b/>
          <w:sz w:val="22"/>
          <w:szCs w:val="22"/>
        </w:rPr>
        <w:t xml:space="preserve">Coherence: </w:t>
      </w:r>
      <w:r w:rsidRPr="00C4084C">
        <w:rPr>
          <w:rStyle w:val="A3"/>
          <w:rFonts w:cstheme="minorHAnsi"/>
          <w:sz w:val="22"/>
          <w:szCs w:val="22"/>
        </w:rPr>
        <w:t>There should be one higher education funding model for Australia</w:t>
      </w:r>
      <w:r w:rsidR="00F96F69" w:rsidRPr="00C4084C">
        <w:rPr>
          <w:rStyle w:val="A3"/>
          <w:rFonts w:cstheme="minorHAnsi"/>
          <w:sz w:val="22"/>
          <w:szCs w:val="22"/>
        </w:rPr>
        <w:t>n public universities</w:t>
      </w:r>
      <w:r w:rsidRPr="00C4084C">
        <w:rPr>
          <w:rStyle w:val="A3"/>
          <w:rFonts w:cstheme="minorHAnsi"/>
          <w:sz w:val="22"/>
          <w:szCs w:val="22"/>
        </w:rPr>
        <w:t xml:space="preserve">. It should be simple to navigate and understand; accountable and transparent; and follow an evidence-based logic, where cost, need and policy priorities drive change and ‘price’ is not used to influence student choices. The balance of public and private investment should be intentional, and public investment across the system should be broadly in line with public value and </w:t>
      </w:r>
      <w:r w:rsidR="002D391B" w:rsidRPr="00C4084C">
        <w:rPr>
          <w:rStyle w:val="A3"/>
          <w:rFonts w:cstheme="minorHAnsi"/>
          <w:sz w:val="22"/>
          <w:szCs w:val="22"/>
        </w:rPr>
        <w:t xml:space="preserve">Australian </w:t>
      </w:r>
      <w:r w:rsidRPr="00C4084C">
        <w:rPr>
          <w:rStyle w:val="A3"/>
          <w:rFonts w:cstheme="minorHAnsi"/>
          <w:sz w:val="22"/>
          <w:szCs w:val="22"/>
        </w:rPr>
        <w:t>Government priorities, such as equity</w:t>
      </w:r>
      <w:r w:rsidR="007A4368" w:rsidRPr="00C4084C">
        <w:rPr>
          <w:rStyle w:val="A3"/>
          <w:rFonts w:cstheme="minorHAnsi"/>
          <w:sz w:val="22"/>
          <w:szCs w:val="22"/>
        </w:rPr>
        <w:t>, skills</w:t>
      </w:r>
      <w:r w:rsidRPr="00C4084C">
        <w:rPr>
          <w:rStyle w:val="A3"/>
          <w:rFonts w:cstheme="minorHAnsi"/>
          <w:sz w:val="22"/>
          <w:szCs w:val="22"/>
        </w:rPr>
        <w:t xml:space="preserve"> and </w:t>
      </w:r>
      <w:proofErr w:type="gramStart"/>
      <w:r w:rsidRPr="00C4084C">
        <w:rPr>
          <w:rStyle w:val="A3"/>
          <w:rFonts w:cstheme="minorHAnsi"/>
          <w:sz w:val="22"/>
          <w:szCs w:val="22"/>
        </w:rPr>
        <w:t>growth</w:t>
      </w:r>
      <w:proofErr w:type="gramEnd"/>
    </w:p>
    <w:p w14:paraId="75CA91AF" w14:textId="6807F3F7" w:rsidR="005E2896" w:rsidRPr="00C4084C" w:rsidRDefault="005E2896" w:rsidP="00782EC1">
      <w:pPr>
        <w:pStyle w:val="ListBullet"/>
        <w:rPr>
          <w:rStyle w:val="A3"/>
          <w:rFonts w:cstheme="minorHAnsi"/>
          <w:sz w:val="22"/>
          <w:szCs w:val="22"/>
        </w:rPr>
      </w:pPr>
      <w:r w:rsidRPr="00C4084C">
        <w:rPr>
          <w:rStyle w:val="A3"/>
          <w:rFonts w:cstheme="minorHAnsi"/>
          <w:b/>
          <w:bCs/>
          <w:sz w:val="22"/>
          <w:szCs w:val="22"/>
        </w:rPr>
        <w:t>Responsible stewardship</w:t>
      </w:r>
      <w:r w:rsidRPr="00C4084C">
        <w:rPr>
          <w:rStyle w:val="A3"/>
          <w:rFonts w:cstheme="minorHAnsi"/>
          <w:sz w:val="22"/>
          <w:szCs w:val="22"/>
        </w:rPr>
        <w:t xml:space="preserve">: There should be a shared responsibility for higher education between universities, as autonomous institutions, and the Commission as the system steward. The </w:t>
      </w:r>
      <w:r w:rsidR="00362122" w:rsidRPr="00C4084C">
        <w:t>Commission</w:t>
      </w:r>
      <w:r w:rsidRPr="00C4084C">
        <w:rPr>
          <w:rStyle w:val="A3"/>
          <w:rFonts w:cstheme="minorHAnsi"/>
          <w:sz w:val="22"/>
          <w:szCs w:val="22"/>
        </w:rPr>
        <w:t xml:space="preserve"> should steward the system towards </w:t>
      </w:r>
      <w:r w:rsidR="001D39BB" w:rsidRPr="00C4084C">
        <w:rPr>
          <w:rStyle w:val="A3"/>
          <w:rFonts w:cstheme="minorHAnsi"/>
          <w:sz w:val="22"/>
          <w:szCs w:val="22"/>
        </w:rPr>
        <w:t>it</w:t>
      </w:r>
      <w:r w:rsidRPr="00C4084C">
        <w:rPr>
          <w:rStyle w:val="A3"/>
          <w:rFonts w:cstheme="minorHAnsi"/>
          <w:sz w:val="22"/>
          <w:szCs w:val="22"/>
        </w:rPr>
        <w:t xml:space="preserve">s objectives through a clear set of funding incentives and </w:t>
      </w:r>
      <w:r w:rsidR="00036ECA" w:rsidRPr="00C4084C">
        <w:rPr>
          <w:rStyle w:val="A3"/>
          <w:rFonts w:cstheme="minorHAnsi"/>
          <w:sz w:val="22"/>
          <w:szCs w:val="22"/>
        </w:rPr>
        <w:t>regulatory powers</w:t>
      </w:r>
      <w:r w:rsidRPr="00C4084C">
        <w:rPr>
          <w:rStyle w:val="A3"/>
          <w:rFonts w:cstheme="minorHAnsi"/>
          <w:sz w:val="22"/>
          <w:szCs w:val="22"/>
        </w:rPr>
        <w:t xml:space="preserve">, ensuring a stable and transparent funding environment with clear accountabilities. The system stewardship role would include monitoring system dynamics such as competition and collaboration, the balance of public and private contributions, as well as driving efficiency, public value and </w:t>
      </w:r>
      <w:proofErr w:type="gramStart"/>
      <w:r w:rsidRPr="00C4084C">
        <w:rPr>
          <w:rStyle w:val="A3"/>
          <w:rFonts w:cstheme="minorHAnsi"/>
          <w:sz w:val="22"/>
          <w:szCs w:val="22"/>
        </w:rPr>
        <w:t>quality</w:t>
      </w:r>
      <w:proofErr w:type="gramEnd"/>
    </w:p>
    <w:p w14:paraId="7743EEDE" w14:textId="1427422C" w:rsidR="005E2896" w:rsidRPr="00C4084C" w:rsidRDefault="005E2896" w:rsidP="00782EC1">
      <w:pPr>
        <w:pStyle w:val="ListBullet"/>
        <w:rPr>
          <w:rStyle w:val="eop"/>
          <w:rFonts w:cstheme="minorHAnsi"/>
          <w:bCs/>
          <w:color w:val="000000" w:themeColor="text1"/>
        </w:rPr>
      </w:pPr>
      <w:r w:rsidRPr="00C4084C">
        <w:rPr>
          <w:rStyle w:val="normaltextrun"/>
          <w:rFonts w:cstheme="minorHAnsi"/>
          <w:b/>
          <w:color w:val="000000" w:themeColor="text1"/>
        </w:rPr>
        <w:t>No marginal funding:</w:t>
      </w:r>
      <w:r w:rsidRPr="00C4084C">
        <w:rPr>
          <w:rStyle w:val="normaltextrun"/>
          <w:rFonts w:cstheme="minorHAnsi"/>
          <w:bCs/>
          <w:color w:val="000000" w:themeColor="text1"/>
        </w:rPr>
        <w:t xml:space="preserve"> </w:t>
      </w:r>
      <w:r w:rsidRPr="00C4084C">
        <w:rPr>
          <w:rStyle w:val="normaltextrun"/>
          <w:rFonts w:cstheme="minorHAnsi"/>
          <w:color w:val="000000" w:themeColor="text1"/>
        </w:rPr>
        <w:t>Students enrolled in Commonwealth supported places should be fully</w:t>
      </w:r>
      <w:r w:rsidR="00981E1C" w:rsidRPr="00C4084C">
        <w:rPr>
          <w:rStyle w:val="normaltextrun"/>
          <w:rFonts w:cstheme="minorHAnsi"/>
          <w:color w:val="000000" w:themeColor="text1"/>
        </w:rPr>
        <w:t xml:space="preserve"> </w:t>
      </w:r>
      <w:r w:rsidRPr="00C4084C">
        <w:rPr>
          <w:rStyle w:val="normaltextrun"/>
          <w:rFonts w:cstheme="minorHAnsi"/>
          <w:color w:val="000000" w:themeColor="text1"/>
        </w:rPr>
        <w:t xml:space="preserve">funded to ensure that the funding available to support students is consistent across </w:t>
      </w:r>
      <w:proofErr w:type="gramStart"/>
      <w:r w:rsidRPr="00C4084C">
        <w:rPr>
          <w:rStyle w:val="normaltextrun"/>
          <w:rFonts w:cstheme="minorHAnsi"/>
          <w:color w:val="000000" w:themeColor="text1"/>
        </w:rPr>
        <w:t>providers</w:t>
      </w:r>
      <w:proofErr w:type="gramEnd"/>
    </w:p>
    <w:p w14:paraId="042FA414" w14:textId="41224AA1" w:rsidR="005E2896" w:rsidRPr="00C4084C" w:rsidRDefault="005E2896" w:rsidP="00782EC1">
      <w:pPr>
        <w:pStyle w:val="ListBullet"/>
        <w:rPr>
          <w:rStyle w:val="A3"/>
          <w:rFonts w:cstheme="minorHAnsi"/>
          <w:sz w:val="22"/>
          <w:szCs w:val="22"/>
        </w:rPr>
      </w:pPr>
      <w:r w:rsidRPr="00C4084C">
        <w:rPr>
          <w:rStyle w:val="A3"/>
          <w:rFonts w:cstheme="minorHAnsi"/>
          <w:b/>
          <w:bCs/>
          <w:sz w:val="22"/>
          <w:szCs w:val="22"/>
        </w:rPr>
        <w:t>Mission</w:t>
      </w:r>
      <w:r w:rsidRPr="00C4084C">
        <w:rPr>
          <w:rStyle w:val="A3"/>
          <w:rFonts w:cstheme="minorHAnsi"/>
          <w:sz w:val="22"/>
          <w:szCs w:val="22"/>
        </w:rPr>
        <w:t xml:space="preserve">: The funding model should support a diverse range of </w:t>
      </w:r>
      <w:r w:rsidR="00F96F69" w:rsidRPr="00C4084C">
        <w:rPr>
          <w:rStyle w:val="A3"/>
          <w:rFonts w:cstheme="minorHAnsi"/>
          <w:sz w:val="22"/>
          <w:szCs w:val="22"/>
        </w:rPr>
        <w:t>public</w:t>
      </w:r>
      <w:r w:rsidRPr="00C4084C">
        <w:rPr>
          <w:rStyle w:val="A3"/>
          <w:rFonts w:cstheme="minorHAnsi"/>
          <w:sz w:val="22"/>
          <w:szCs w:val="22"/>
        </w:rPr>
        <w:t xml:space="preserve"> </w:t>
      </w:r>
      <w:r w:rsidR="00F21FE0" w:rsidRPr="00C4084C">
        <w:rPr>
          <w:rStyle w:val="A3"/>
          <w:rFonts w:cstheme="minorHAnsi"/>
          <w:sz w:val="22"/>
          <w:szCs w:val="22"/>
        </w:rPr>
        <w:t xml:space="preserve">universities </w:t>
      </w:r>
      <w:r w:rsidRPr="00C4084C">
        <w:rPr>
          <w:rStyle w:val="A3"/>
          <w:rFonts w:cstheme="minorHAnsi"/>
          <w:sz w:val="22"/>
          <w:szCs w:val="22"/>
        </w:rPr>
        <w:t xml:space="preserve">to respond to national knowledge and skills needs and student demand in different ways, whilst driving equity, access, </w:t>
      </w:r>
      <w:proofErr w:type="gramStart"/>
      <w:r w:rsidRPr="00C4084C">
        <w:rPr>
          <w:rStyle w:val="A3"/>
          <w:rFonts w:cstheme="minorHAnsi"/>
          <w:sz w:val="22"/>
          <w:szCs w:val="22"/>
        </w:rPr>
        <w:t>quality</w:t>
      </w:r>
      <w:proofErr w:type="gramEnd"/>
      <w:r w:rsidRPr="00C4084C">
        <w:rPr>
          <w:rStyle w:val="A3"/>
          <w:rFonts w:cstheme="minorHAnsi"/>
          <w:sz w:val="22"/>
          <w:szCs w:val="22"/>
        </w:rPr>
        <w:t xml:space="preserve"> and efficiency</w:t>
      </w:r>
    </w:p>
    <w:p w14:paraId="32B63642" w14:textId="5B95E89D" w:rsidR="00B920D4" w:rsidRPr="00C4084C" w:rsidRDefault="00B920D4" w:rsidP="00782EC1">
      <w:pPr>
        <w:pStyle w:val="ListBullet"/>
        <w:rPr>
          <w:rStyle w:val="A3"/>
          <w:rFonts w:cstheme="minorHAnsi"/>
          <w:sz w:val="22"/>
          <w:szCs w:val="22"/>
        </w:rPr>
      </w:pPr>
      <w:r w:rsidRPr="00C4084C">
        <w:rPr>
          <w:rStyle w:val="A3"/>
          <w:rFonts w:cstheme="minorHAnsi"/>
          <w:b/>
          <w:sz w:val="22"/>
          <w:szCs w:val="22"/>
        </w:rPr>
        <w:t>Quality</w:t>
      </w:r>
      <w:r w:rsidRPr="00C4084C">
        <w:rPr>
          <w:rStyle w:val="A3"/>
          <w:rFonts w:cstheme="minorHAnsi"/>
          <w:sz w:val="22"/>
          <w:szCs w:val="22"/>
        </w:rPr>
        <w:t xml:space="preserve">: The funding system should appropriately fund high-quality provision of learning, </w:t>
      </w:r>
      <w:proofErr w:type="gramStart"/>
      <w:r w:rsidRPr="00C4084C">
        <w:rPr>
          <w:rStyle w:val="A3"/>
          <w:rFonts w:cstheme="minorHAnsi"/>
          <w:sz w:val="22"/>
          <w:szCs w:val="22"/>
        </w:rPr>
        <w:t>teaching</w:t>
      </w:r>
      <w:proofErr w:type="gramEnd"/>
      <w:r w:rsidRPr="00C4084C">
        <w:rPr>
          <w:rStyle w:val="A3"/>
          <w:rFonts w:cstheme="minorHAnsi"/>
          <w:sz w:val="22"/>
          <w:szCs w:val="22"/>
        </w:rPr>
        <w:t xml:space="preserve"> and scholarship, supporting autonomous </w:t>
      </w:r>
      <w:r w:rsidR="0093638D" w:rsidRPr="00C4084C">
        <w:rPr>
          <w:rStyle w:val="A3"/>
          <w:rFonts w:cstheme="minorHAnsi"/>
          <w:sz w:val="22"/>
          <w:szCs w:val="22"/>
        </w:rPr>
        <w:t xml:space="preserve">universities and other </w:t>
      </w:r>
      <w:r w:rsidRPr="00C4084C">
        <w:rPr>
          <w:rStyle w:val="A3"/>
          <w:rFonts w:cstheme="minorHAnsi"/>
          <w:sz w:val="22"/>
          <w:szCs w:val="22"/>
        </w:rPr>
        <w:t>higher education providers to deliver strong outcomes for students</w:t>
      </w:r>
    </w:p>
    <w:p w14:paraId="134C5526" w14:textId="0DF064E6" w:rsidR="00B920D4" w:rsidRPr="00C4084C" w:rsidRDefault="00B920D4" w:rsidP="00782EC1">
      <w:pPr>
        <w:pStyle w:val="ListBullet"/>
        <w:rPr>
          <w:rStyle w:val="eop"/>
          <w:rFonts w:cstheme="minorHAnsi"/>
          <w:color w:val="000000" w:themeColor="text1"/>
        </w:rPr>
      </w:pPr>
      <w:r w:rsidRPr="00C4084C">
        <w:rPr>
          <w:rStyle w:val="normaltextrun"/>
          <w:rFonts w:cstheme="minorHAnsi"/>
          <w:b/>
          <w:color w:val="000000" w:themeColor="text1"/>
        </w:rPr>
        <w:t xml:space="preserve">Teaching that is research-informed: </w:t>
      </w:r>
      <w:r w:rsidRPr="00C4084C">
        <w:rPr>
          <w:rStyle w:val="normaltextrun"/>
          <w:rFonts w:cstheme="minorHAnsi"/>
          <w:color w:val="000000" w:themeColor="text1"/>
        </w:rPr>
        <w:t xml:space="preserve">The funding model should support the delivery of teaching that is informed by research – </w:t>
      </w:r>
      <w:r w:rsidR="00EA35EB">
        <w:rPr>
          <w:rStyle w:val="normaltextrun"/>
          <w:rFonts w:cstheme="minorHAnsi"/>
          <w:color w:val="000000" w:themeColor="text1"/>
        </w:rPr>
        <w:t>either</w:t>
      </w:r>
      <w:r w:rsidR="00EA35EB" w:rsidRPr="00C4084C">
        <w:rPr>
          <w:rStyle w:val="normaltextrun"/>
          <w:rFonts w:cstheme="minorHAnsi"/>
          <w:color w:val="000000" w:themeColor="text1"/>
        </w:rPr>
        <w:t xml:space="preserve"> </w:t>
      </w:r>
      <w:r w:rsidRPr="00C4084C">
        <w:rPr>
          <w:rStyle w:val="normaltextrun"/>
          <w:rFonts w:cstheme="minorHAnsi"/>
          <w:color w:val="000000" w:themeColor="text1"/>
        </w:rPr>
        <w:t xml:space="preserve">research conducted by </w:t>
      </w:r>
      <w:r w:rsidR="005E2896" w:rsidRPr="00C4084C">
        <w:rPr>
          <w:rStyle w:val="normaltextrun"/>
          <w:rFonts w:cstheme="minorHAnsi"/>
          <w:color w:val="000000" w:themeColor="text1"/>
        </w:rPr>
        <w:t>academics</w:t>
      </w:r>
      <w:r w:rsidRPr="00C4084C">
        <w:rPr>
          <w:rStyle w:val="normaltextrun"/>
          <w:rFonts w:cstheme="minorHAnsi"/>
          <w:color w:val="000000" w:themeColor="text1"/>
        </w:rPr>
        <w:t xml:space="preserve"> themselves, </w:t>
      </w:r>
      <w:r w:rsidR="00EA35EB">
        <w:rPr>
          <w:rStyle w:val="normaltextrun"/>
          <w:rFonts w:cstheme="minorHAnsi"/>
          <w:color w:val="000000" w:themeColor="text1"/>
        </w:rPr>
        <w:t>or through pursuit</w:t>
      </w:r>
      <w:r w:rsidR="00EA35EB" w:rsidRPr="00C4084C">
        <w:rPr>
          <w:rStyle w:val="normaltextrun"/>
          <w:rFonts w:cstheme="minorHAnsi"/>
          <w:color w:val="000000" w:themeColor="text1"/>
        </w:rPr>
        <w:t xml:space="preserve"> </w:t>
      </w:r>
      <w:r w:rsidRPr="00C4084C">
        <w:rPr>
          <w:rStyle w:val="normaltextrun"/>
          <w:rFonts w:cstheme="minorHAnsi"/>
          <w:color w:val="000000" w:themeColor="text1"/>
        </w:rPr>
        <w:t>the latest scholarship in the field.</w:t>
      </w:r>
      <w:r w:rsidRPr="00C4084C">
        <w:rPr>
          <w:rStyle w:val="eop"/>
          <w:rFonts w:cstheme="minorHAnsi"/>
          <w:color w:val="000000" w:themeColor="text1"/>
        </w:rPr>
        <w:t> </w:t>
      </w:r>
    </w:p>
    <w:p w14:paraId="72C042A7" w14:textId="2CE27176" w:rsidR="00B920D4" w:rsidRPr="00C4084C" w:rsidRDefault="00B920D4" w:rsidP="00BA6095">
      <w:pPr>
        <w:pStyle w:val="Heading4"/>
      </w:pPr>
      <w:bookmarkStart w:id="1517" w:name="_Toc151482130"/>
      <w:bookmarkStart w:id="1518" w:name="_Toc151482131"/>
      <w:bookmarkStart w:id="1519" w:name="_Toc151216642"/>
      <w:bookmarkStart w:id="1520" w:name="_Toc151216699"/>
      <w:bookmarkStart w:id="1521" w:name="_Toc151218521"/>
      <w:bookmarkStart w:id="1522" w:name="_Toc151218585"/>
      <w:bookmarkStart w:id="1523" w:name="_Toc151226274"/>
      <w:bookmarkStart w:id="1524" w:name="_Toc151226341"/>
      <w:bookmarkStart w:id="1525" w:name="_Toc151226410"/>
      <w:bookmarkStart w:id="1526" w:name="_Toc151226697"/>
      <w:bookmarkStart w:id="1527" w:name="_Toc151218524"/>
      <w:bookmarkStart w:id="1528" w:name="_Toc151218588"/>
      <w:bookmarkStart w:id="1529" w:name="_Toc151226277"/>
      <w:bookmarkStart w:id="1530" w:name="_Toc151226344"/>
      <w:bookmarkStart w:id="1531" w:name="_Toc151226413"/>
      <w:bookmarkStart w:id="1532" w:name="_Toc151226700"/>
      <w:bookmarkStart w:id="1533" w:name="_Toc151216643"/>
      <w:bookmarkStart w:id="1534" w:name="_Toc151216700"/>
      <w:bookmarkStart w:id="1535" w:name="_Toc151218525"/>
      <w:bookmarkStart w:id="1536" w:name="_Toc151218589"/>
      <w:bookmarkStart w:id="1537" w:name="_Toc151226278"/>
      <w:bookmarkStart w:id="1538" w:name="_Toc151226345"/>
      <w:bookmarkStart w:id="1539" w:name="_Toc151226414"/>
      <w:bookmarkStart w:id="1540" w:name="_Toc151226701"/>
      <w:bookmarkStart w:id="1541" w:name="_Toc151216644"/>
      <w:bookmarkStart w:id="1542" w:name="_Toc151216701"/>
      <w:bookmarkStart w:id="1543" w:name="_Toc151218526"/>
      <w:bookmarkStart w:id="1544" w:name="_Toc151218590"/>
      <w:bookmarkStart w:id="1545" w:name="_Toc151226279"/>
      <w:bookmarkStart w:id="1546" w:name="_Toc151226346"/>
      <w:bookmarkStart w:id="1547" w:name="_Toc151226415"/>
      <w:bookmarkStart w:id="1548" w:name="_Toc151226702"/>
      <w:bookmarkStart w:id="1549" w:name="_Toc151216645"/>
      <w:bookmarkStart w:id="1550" w:name="_Toc151216702"/>
      <w:bookmarkStart w:id="1551" w:name="_Toc151218527"/>
      <w:bookmarkStart w:id="1552" w:name="_Toc151218591"/>
      <w:bookmarkStart w:id="1553" w:name="_Toc151226280"/>
      <w:bookmarkStart w:id="1554" w:name="_Toc151226347"/>
      <w:bookmarkStart w:id="1555" w:name="_Toc151226416"/>
      <w:bookmarkStart w:id="1556" w:name="_Toc151226703"/>
      <w:bookmarkStart w:id="1557" w:name="_Toc151815659"/>
      <w:bookmarkStart w:id="1558" w:name="_Toc159501020"/>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r w:rsidRPr="00C4084C">
        <w:t xml:space="preserve">A new approach to core funding for </w:t>
      </w:r>
      <w:bookmarkEnd w:id="1557"/>
      <w:r w:rsidR="00EA30F9" w:rsidRPr="00C4084C">
        <w:t xml:space="preserve">Commonwealth supported </w:t>
      </w:r>
      <w:proofErr w:type="gramStart"/>
      <w:r w:rsidR="00EA30F9" w:rsidRPr="00C4084C">
        <w:t>places</w:t>
      </w:r>
      <w:bookmarkEnd w:id="1558"/>
      <w:proofErr w:type="gramEnd"/>
    </w:p>
    <w:p w14:paraId="7D301FA0" w14:textId="0EB009D1" w:rsidR="00270FD5" w:rsidRPr="00C4084C" w:rsidRDefault="00270FD5" w:rsidP="00E526D7">
      <w:r w:rsidRPr="00C4084C">
        <w:t xml:space="preserve">The Review is recommending a new approach to core funding for </w:t>
      </w:r>
      <w:r w:rsidR="5ECFC410" w:rsidRPr="00C4084C">
        <w:t>Commonwealth supported places</w:t>
      </w:r>
      <w:r w:rsidRPr="00C4084C">
        <w:t xml:space="preserve"> that take</w:t>
      </w:r>
      <w:r w:rsidR="00CE6B28" w:rsidRPr="00C4084C">
        <w:t>s</w:t>
      </w:r>
      <w:r w:rsidRPr="00C4084C">
        <w:t xml:space="preserve"> the best elements of the existing system and supplements them with funding mechanisms that drive a focus on equity, deliver national growth, and manage demand at the </w:t>
      </w:r>
      <w:r w:rsidR="00A6110F" w:rsidRPr="00C4084C">
        <w:t>university</w:t>
      </w:r>
      <w:r w:rsidRPr="00C4084C">
        <w:t xml:space="preserve"> level through mission-based compacts</w:t>
      </w:r>
      <w:r w:rsidR="00102704" w:rsidRPr="00C4084C">
        <w:t xml:space="preserve"> (see Recommendations 40 and 41)</w:t>
      </w:r>
      <w:r w:rsidRPr="00C4084C">
        <w:t>. As outlined above, base funding for</w:t>
      </w:r>
      <w:r w:rsidR="48C60626" w:rsidRPr="00C4084C">
        <w:t xml:space="preserve"> Commonwealth supported places</w:t>
      </w:r>
      <w:r w:rsidRPr="00C4084C">
        <w:t xml:space="preserve"> includes a government contribution and a student contribution. The Review proposes that this funding mix continue to be available to support students in undergraduate and </w:t>
      </w:r>
      <w:r w:rsidR="004004C3" w:rsidRPr="00C4084C">
        <w:rPr>
          <w:rStyle w:val="s2"/>
        </w:rPr>
        <w:t xml:space="preserve">coursework </w:t>
      </w:r>
      <w:r w:rsidRPr="00C4084C">
        <w:rPr>
          <w:rStyle w:val="s2"/>
        </w:rPr>
        <w:t xml:space="preserve">postgraduate </w:t>
      </w:r>
      <w:r w:rsidRPr="00C4084C">
        <w:t xml:space="preserve">courses. The level of funding should continue to differ by field of study (or ‘subject’) </w:t>
      </w:r>
      <w:r w:rsidR="00A6110F" w:rsidRPr="00C4084C">
        <w:t xml:space="preserve">and be adjusted to reflect </w:t>
      </w:r>
      <w:r w:rsidRPr="00C4084C">
        <w:t>the cost of delivery</w:t>
      </w:r>
      <w:r w:rsidR="004B54CE">
        <w:t xml:space="preserve"> better</w:t>
      </w:r>
      <w:r w:rsidRPr="00C4084C">
        <w:t xml:space="preserve">. </w:t>
      </w:r>
    </w:p>
    <w:p w14:paraId="3A3A4725" w14:textId="2DFB2E3B" w:rsidR="00B920D4" w:rsidRPr="00C4084C" w:rsidRDefault="561AD14C" w:rsidP="00E526D7">
      <w:r w:rsidRPr="00C4084C">
        <w:t>T</w:t>
      </w:r>
      <w:r w:rsidR="00B920D4" w:rsidRPr="00C4084C">
        <w:t xml:space="preserve">he Review also proposes that this be expanded to include a new ‘needs-based’ funding component that reflects the fact that some students will require additional support to succeed. </w:t>
      </w:r>
      <w:r w:rsidR="00270FD5" w:rsidRPr="00C4084C">
        <w:t>The Review describes this full package</w:t>
      </w:r>
      <w:r w:rsidR="00B920D4" w:rsidRPr="00C4084C">
        <w:t xml:space="preserve"> as ‘core funding’, all of which should increase in line with </w:t>
      </w:r>
      <w:r w:rsidR="00DB5958" w:rsidRPr="00C4084C">
        <w:t xml:space="preserve">CPI </w:t>
      </w:r>
      <w:r w:rsidR="00B920D4" w:rsidRPr="00C4084C">
        <w:t>to ensure that funding continues to be adequate for the delivery of high-quality education.</w:t>
      </w:r>
      <w:r w:rsidR="00D50B75" w:rsidRPr="00C4084C">
        <w:t xml:space="preserve"> The Review’s </w:t>
      </w:r>
      <w:r w:rsidR="00D50B75" w:rsidRPr="00C4084C">
        <w:lastRenderedPageBreak/>
        <w:t xml:space="preserve">recommendation to expand funding for </w:t>
      </w:r>
      <w:r w:rsidR="00211BBC" w:rsidRPr="00C4084C">
        <w:t xml:space="preserve">fee-free places for </w:t>
      </w:r>
      <w:r w:rsidR="00D50B75" w:rsidRPr="00C4084C">
        <w:t xml:space="preserve">preparatory </w:t>
      </w:r>
      <w:r w:rsidR="00211BBC" w:rsidRPr="00C4084C">
        <w:t>courses</w:t>
      </w:r>
      <w:r w:rsidR="00D50B75" w:rsidRPr="00C4084C">
        <w:t xml:space="preserve"> was detailed in </w:t>
      </w:r>
      <w:r w:rsidR="00D50B75" w:rsidRPr="00C4084C">
        <w:rPr>
          <w:i/>
          <w:iCs/>
        </w:rPr>
        <w:t>Chapter 3 – Expanding opportunity to all.</w:t>
      </w:r>
      <w:r w:rsidR="00D50B75" w:rsidRPr="00C4084C">
        <w:t xml:space="preserve"> </w:t>
      </w:r>
    </w:p>
    <w:p w14:paraId="68C82065" w14:textId="0FA018AE" w:rsidR="006336E1" w:rsidRDefault="0044514F" w:rsidP="00E526D7">
      <w:pPr>
        <w:rPr>
          <w:rStyle w:val="s2"/>
        </w:rPr>
      </w:pPr>
      <w:r w:rsidRPr="00C4084C">
        <w:rPr>
          <w:rStyle w:val="s2"/>
        </w:rPr>
        <w:fldChar w:fldCharType="begin"/>
      </w:r>
      <w:r w:rsidRPr="00C4084C">
        <w:rPr>
          <w:rStyle w:val="s2"/>
        </w:rPr>
        <w:instrText xml:space="preserve"> REF _Ref153812353 \h </w:instrText>
      </w:r>
      <w:r w:rsidR="00AA65DC">
        <w:rPr>
          <w:rStyle w:val="s2"/>
        </w:rPr>
        <w:instrText xml:space="preserve"> \* MERGEFORMAT </w:instrText>
      </w:r>
      <w:r w:rsidRPr="00C4084C">
        <w:rPr>
          <w:rStyle w:val="s2"/>
        </w:rPr>
      </w:r>
      <w:r w:rsidRPr="00C4084C">
        <w:rPr>
          <w:rStyle w:val="s2"/>
        </w:rPr>
        <w:fldChar w:fldCharType="separate"/>
      </w:r>
      <w:r w:rsidR="00467B4F" w:rsidRPr="00C4084C">
        <w:t xml:space="preserve">Figure </w:t>
      </w:r>
      <w:r w:rsidR="00467B4F">
        <w:rPr>
          <w:noProof/>
        </w:rPr>
        <w:t>38</w:t>
      </w:r>
      <w:r w:rsidRPr="00C4084C">
        <w:rPr>
          <w:rStyle w:val="s2"/>
        </w:rPr>
        <w:fldChar w:fldCharType="end"/>
      </w:r>
      <w:r w:rsidR="00B920D4" w:rsidRPr="00C4084C">
        <w:rPr>
          <w:rStyle w:val="s2"/>
        </w:rPr>
        <w:t xml:space="preserve"> provides a snapshot of the proposed new funding model for enabling, undergraduate, </w:t>
      </w:r>
      <w:r w:rsidR="004004C3" w:rsidRPr="00C4084C">
        <w:rPr>
          <w:rStyle w:val="s2"/>
        </w:rPr>
        <w:t xml:space="preserve">coursework </w:t>
      </w:r>
      <w:r w:rsidR="00B920D4" w:rsidRPr="00C4084C">
        <w:rPr>
          <w:rStyle w:val="s2"/>
        </w:rPr>
        <w:t>postgraduate and non-</w:t>
      </w:r>
      <w:r w:rsidR="43DA68C5" w:rsidRPr="00C4084C">
        <w:t>Commonwealth supported place</w:t>
      </w:r>
      <w:r w:rsidR="00B920D4" w:rsidRPr="00C4084C">
        <w:rPr>
          <w:rStyle w:val="s2"/>
        </w:rPr>
        <w:t xml:space="preserve"> (undergraduate and postgraduate) courses – the major categories for which the Australian Government provides funding or access to an income-contingent loan.</w:t>
      </w:r>
    </w:p>
    <w:p w14:paraId="555B0AAE" w14:textId="77777777" w:rsidR="006336E1" w:rsidRDefault="006336E1" w:rsidP="00E526D7">
      <w:pPr>
        <w:rPr>
          <w:rStyle w:val="s2"/>
          <w:szCs w:val="20"/>
        </w:rPr>
      </w:pPr>
      <w:r>
        <w:rPr>
          <w:rStyle w:val="s2"/>
        </w:rPr>
        <w:br w:type="page"/>
      </w:r>
    </w:p>
    <w:p w14:paraId="03436379" w14:textId="2197779F" w:rsidR="00B920D4" w:rsidRDefault="00497EC5" w:rsidP="00E526D7">
      <w:pPr>
        <w:pStyle w:val="Caption"/>
        <w:spacing w:after="0"/>
        <w:rPr>
          <w:rStyle w:val="s2"/>
        </w:rPr>
      </w:pPr>
      <w:bookmarkStart w:id="1559" w:name="_Ref153533647"/>
      <w:bookmarkStart w:id="1560" w:name="_Ref153812353"/>
      <w:bookmarkStart w:id="1561" w:name="_Ref153533640"/>
      <w:bookmarkStart w:id="1562" w:name="_Toc154674800"/>
      <w:r w:rsidRPr="00C4084C">
        <w:lastRenderedPageBreak/>
        <w:t>Figure</w:t>
      </w:r>
      <w:bookmarkEnd w:id="1559"/>
      <w:r w:rsidRPr="00C4084C">
        <w:t xml:space="preserve"> </w:t>
      </w:r>
      <w:r w:rsidRPr="00C4084C">
        <w:fldChar w:fldCharType="begin"/>
      </w:r>
      <w:r w:rsidRPr="00C4084C">
        <w:instrText>SEQ Figure \* ARABIC</w:instrText>
      </w:r>
      <w:r w:rsidRPr="00C4084C">
        <w:fldChar w:fldCharType="separate"/>
      </w:r>
      <w:r w:rsidR="00467B4F">
        <w:rPr>
          <w:noProof/>
        </w:rPr>
        <w:t>38</w:t>
      </w:r>
      <w:r w:rsidRPr="00C4084C">
        <w:fldChar w:fldCharType="end"/>
      </w:r>
      <w:bookmarkEnd w:id="1560"/>
      <w:r w:rsidRPr="00C4084C">
        <w:rPr>
          <w:rStyle w:val="s2"/>
        </w:rPr>
        <w:t>: Snapshot of the proposed new</w:t>
      </w:r>
      <w:r w:rsidR="00270FD5" w:rsidRPr="00C4084C">
        <w:rPr>
          <w:rStyle w:val="s2"/>
        </w:rPr>
        <w:t xml:space="preserve"> lea</w:t>
      </w:r>
      <w:r w:rsidR="00E77C16" w:rsidRPr="00C4084C">
        <w:rPr>
          <w:rStyle w:val="s2"/>
        </w:rPr>
        <w:t>r</w:t>
      </w:r>
      <w:r w:rsidR="00270FD5" w:rsidRPr="00C4084C">
        <w:rPr>
          <w:rStyle w:val="s2"/>
        </w:rPr>
        <w:t xml:space="preserve">ning, </w:t>
      </w:r>
      <w:proofErr w:type="gramStart"/>
      <w:r w:rsidR="00270FD5" w:rsidRPr="00C4084C">
        <w:rPr>
          <w:rStyle w:val="s2"/>
        </w:rPr>
        <w:t>teaching</w:t>
      </w:r>
      <w:proofErr w:type="gramEnd"/>
      <w:r w:rsidR="00270FD5" w:rsidRPr="00C4084C">
        <w:rPr>
          <w:rStyle w:val="s2"/>
        </w:rPr>
        <w:t xml:space="preserve"> and scholarship system stewardship model</w:t>
      </w:r>
      <w:r w:rsidRPr="00C4084C">
        <w:rPr>
          <w:rStyle w:val="s2"/>
        </w:rPr>
        <w:t>.</w:t>
      </w:r>
      <w:bookmarkEnd w:id="1561"/>
      <w:bookmarkEnd w:id="1562"/>
    </w:p>
    <w:p w14:paraId="4F6FD976" w14:textId="554A2692" w:rsidR="00803B5E" w:rsidRPr="00D26B82" w:rsidRDefault="00803B5E" w:rsidP="00D26B82">
      <w:r>
        <w:rPr>
          <w:noProof/>
        </w:rPr>
        <w:drawing>
          <wp:inline distT="0" distB="0" distL="0" distR="0" wp14:anchorId="36644A33" wp14:editId="089FAE4F">
            <wp:extent cx="5869172" cy="7459214"/>
            <wp:effectExtent l="0" t="0" r="0" b="8890"/>
            <wp:docPr id="1174669256" name="Picture 38" descr="Figure shows the components of a proposed new funding model for learning, teaching and scholarship. &#10;&#10;Core funding is comprised of subject funding, sub-divided into student contribution and Australian government contribution and needs-based funding. There is no student contribution for preparation courses, there are 3 bands of contribution for undergraduate CSP and postgraduate CSP. Non-CSP students pay a full fee. Australian Government contributions are fixed for preparation courses, with a public benefit contribution to undergraduate CSP and postgraduate CSP. There is no Australian Government contribution for non-CSP. &#10;&#10;Needs-based funding is student-based and delivery-based for preparation courses, undergraduate and postgraduate CSP and is not applicable to non-CSP. &#10;&#10;Loan access and loan subsidies through ICLs are not applicable to preparation courses. Loan Access to ICLs is given in the form of HECS-HELP for undergraduate and postgraduate CSPs, and FEE-HELP is provided for non-CSP. Interest-rate subsidies and non-repayment subsidies also exist for undergraduate and postgraduate CSPs. For non- CSPs, interest-rate subsidies are reduced by loan fees for some students and non-repayment subsidies are reduced by loan fees for some students.&#10;&#10;The volume and distribution of funding is determined a tolerance band and which courses eligible for Australian Government funding. A tolerance band for preparation courses and undergraduate and postgraduate CSP is determined by a moderated growth target and a funding floor. Courses eligible for Australian for Australian Government funding is determined by the Commission. Neither components are applicable for non-CSP.&#10;&#10;System Stewardship is undertaken by the Australian Tertiary Education Commission and Tertiary Education Quality and Standards Agency (TEQSA). The Australian Tertiary Education Commission has the following roles for preparation courses, undergraduate and postgraduate CSP:&#10;&#10;• As the pricing authority, it will advise the Australian Government on the evidence base for core funding levels at the undergraduate and postgraduate level and make independent pricing &#10;decisions, within a policy framework and funding envelope set by Government&#10;• Advises the Australian Government on evidence base for core funding levels at undergraduate and postgraduate level.&#10;• Manages Tolerance Band: determines Moderated Growth Target and Funding Floor for sector (incl. any tailored arrangements). &#10;• Determines eligibility of postgraduate CSP, whilst ensuring maximum flexibility for providers to manage demand.&#10;• Monitors and oversees enabling courses.&#10;• Determines designated places for medicine.&#10;&#10;For non-CSP, the Australian Tertiary Education Commission has the following roles:&#10;&#10;• System oversight role.&#10;• No price or volume controls.&#10;• Determine and manage Scholarship contribution.&#10;• Advise on loan subsidy contribution level.&#10;&#10;TEQSA is responsible for system regulation and quality assurance for preparation courses, undergraduate and postgraduate CSP. It is blank for non-CS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669256" name="Picture 38" descr="Figure shows the components of a proposed new funding model for learning, teaching and scholarship. &#10;&#10;Core funding is comprised of subject funding, sub-divided into student contribution and Australian government contribution and needs-based funding. There is no student contribution for preparation courses, there are 3 bands of contribution for undergraduate CSP and postgraduate CSP. Non-CSP students pay a full fee. Australian Government contributions are fixed for preparation courses, with a public benefit contribution to undergraduate CSP and postgraduate CSP. There is no Australian Government contribution for non-CSP. &#10;&#10;Needs-based funding is student-based and delivery-based for preparation courses, undergraduate and postgraduate CSP and is not applicable to non-CSP. &#10;&#10;Loan access and loan subsidies through ICLs are not applicable to preparation courses. Loan Access to ICLs is given in the form of HECS-HELP for undergraduate and postgraduate CSPs, and FEE-HELP is provided for non-CSP. Interest-rate subsidies and non-repayment subsidies also exist for undergraduate and postgraduate CSPs. For non- CSPs, interest-rate subsidies are reduced by loan fees for some students and non-repayment subsidies are reduced by loan fees for some students.&#10;&#10;The volume and distribution of funding is determined a tolerance band and which courses eligible for Australian Government funding. A tolerance band for preparation courses and undergraduate and postgraduate CSP is determined by a moderated growth target and a funding floor. Courses eligible for Australian for Australian Government funding is determined by the Commission. Neither components are applicable for non-CSP.&#10;&#10;System Stewardship is undertaken by the Australian Tertiary Education Commission and Tertiary Education Quality and Standards Agency (TEQSA). The Australian Tertiary Education Commission has the following roles for preparation courses, undergraduate and postgraduate CSP:&#10;&#10;• As the pricing authority, it will advise the Australian Government on the evidence base for core funding levels at the undergraduate and postgraduate level and make independent pricing &#10;decisions, within a policy framework and funding envelope set by Government&#10;• Advises the Australian Government on evidence base for core funding levels at undergraduate and postgraduate level.&#10;• Manages Tolerance Band: determines Moderated Growth Target and Funding Floor for sector (incl. any tailored arrangements). &#10;• Determines eligibility of postgraduate CSP, whilst ensuring maximum flexibility for providers to manage demand.&#10;• Monitors and oversees enabling courses.&#10;• Determines designated places for medicine.&#10;&#10;For non-CSP, the Australian Tertiary Education Commission has the following roles:&#10;&#10;• System oversight role.&#10;• No price or volume controls.&#10;• Determine and manage Scholarship contribution.&#10;• Advise on loan subsidy contribution level.&#10;&#10;TEQSA is responsible for system regulation and quality assurance for preparation courses, undergraduate and postgraduate CSP. It is blank for non-CSP. &#10;"/>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870716" cy="7461176"/>
                    </a:xfrm>
                    <a:prstGeom prst="rect">
                      <a:avLst/>
                    </a:prstGeom>
                    <a:noFill/>
                    <a:ln>
                      <a:noFill/>
                    </a:ln>
                  </pic:spPr>
                </pic:pic>
              </a:graphicData>
            </a:graphic>
          </wp:inline>
        </w:drawing>
      </w:r>
    </w:p>
    <w:p w14:paraId="24127130" w14:textId="34C6AEC2" w:rsidR="00B920D4" w:rsidRPr="00C4084C" w:rsidRDefault="00B920D4" w:rsidP="00497EC5">
      <w:pPr>
        <w:pStyle w:val="Heading5"/>
        <w:rPr>
          <w:rStyle w:val="s2"/>
        </w:rPr>
      </w:pPr>
      <w:bookmarkStart w:id="1563" w:name="_Toc151815660"/>
      <w:r w:rsidRPr="00C4084C">
        <w:rPr>
          <w:rStyle w:val="s2"/>
        </w:rPr>
        <w:t>Subject-based funding</w:t>
      </w:r>
      <w:bookmarkEnd w:id="1563"/>
    </w:p>
    <w:p w14:paraId="728D113B" w14:textId="77777777" w:rsidR="00B920D4" w:rsidRPr="00C4084C" w:rsidRDefault="00B920D4" w:rsidP="0026123A">
      <w:pPr>
        <w:pStyle w:val="Heading6"/>
        <w:rPr>
          <w:rStyle w:val="s2"/>
        </w:rPr>
      </w:pPr>
      <w:r w:rsidRPr="00C4084C">
        <w:rPr>
          <w:rStyle w:val="s2"/>
        </w:rPr>
        <w:t>Student contributions</w:t>
      </w:r>
    </w:p>
    <w:p w14:paraId="28DAF9A0" w14:textId="77777777" w:rsidR="00B920D4" w:rsidRPr="00C4084C" w:rsidRDefault="00B920D4" w:rsidP="00497EC5">
      <w:pPr>
        <w:pStyle w:val="Heading8"/>
      </w:pPr>
      <w:r w:rsidRPr="00C4084C">
        <w:t>Undergraduate courses</w:t>
      </w:r>
    </w:p>
    <w:p w14:paraId="58ABEFA3" w14:textId="5B24E629" w:rsidR="005C796F" w:rsidRPr="00C4084C" w:rsidRDefault="005C796F" w:rsidP="00E526D7">
      <w:r w:rsidRPr="00C4084C">
        <w:t xml:space="preserve">As outlined in </w:t>
      </w:r>
      <w:r w:rsidR="0050397C" w:rsidRPr="00C4084C">
        <w:rPr>
          <w:i/>
          <w:iCs/>
        </w:rPr>
        <w:t>Chapter 4</w:t>
      </w:r>
      <w:r w:rsidR="008B70FD" w:rsidRPr="00C4084C">
        <w:rPr>
          <w:i/>
          <w:iCs/>
        </w:rPr>
        <w:t xml:space="preserve"> – Delivering for students</w:t>
      </w:r>
      <w:r w:rsidRPr="00C4084C">
        <w:t xml:space="preserve">, the changes to student contributions introduced through the JRG </w:t>
      </w:r>
      <w:r w:rsidR="1C32681C" w:rsidRPr="00C4084C">
        <w:t xml:space="preserve">package </w:t>
      </w:r>
      <w:r w:rsidRPr="00C4084C">
        <w:t xml:space="preserve">were significant and unfair. It has been shown that the experiment to </w:t>
      </w:r>
      <w:r w:rsidRPr="00C4084C">
        <w:lastRenderedPageBreak/>
        <w:t xml:space="preserve">encourage students to study </w:t>
      </w:r>
      <w:proofErr w:type="gramStart"/>
      <w:r w:rsidRPr="00C4084C">
        <w:t>in particular fields</w:t>
      </w:r>
      <w:proofErr w:type="gramEnd"/>
      <w:r w:rsidRPr="00C4084C">
        <w:t xml:space="preserve"> has failed because students do not respond to price changes.</w:t>
      </w:r>
      <w:r w:rsidRPr="00C4084C">
        <w:rPr>
          <w:rStyle w:val="FootnoteReference"/>
        </w:rPr>
        <w:footnoteReference w:id="443"/>
      </w:r>
      <w:r w:rsidRPr="00C4084C">
        <w:t xml:space="preserve"> In particular, the 113% increase in student contributions for Commonwealth supported students studying communications, humanities, other society and culture, and human movement units needs to be corrected as soon as possible.</w:t>
      </w:r>
    </w:p>
    <w:p w14:paraId="57152D29" w14:textId="42DE9109" w:rsidR="005C796F" w:rsidRPr="00C4084C" w:rsidRDefault="005C796F" w:rsidP="00E526D7">
      <w:r w:rsidRPr="00C4084C">
        <w:t xml:space="preserve">Allocation of a field of study to a </w:t>
      </w:r>
      <w:r w:rsidR="00C16AD7" w:rsidRPr="00C4084C">
        <w:t>student contribution</w:t>
      </w:r>
      <w:r w:rsidRPr="00C4084C">
        <w:t xml:space="preserve"> band should be based on the future earnings potential of that field of study: the higher the future earnings potential, the greater the student contribution. However, teaching</w:t>
      </w:r>
      <w:r w:rsidR="00870CEE" w:rsidRPr="00C4084C">
        <w:t>,</w:t>
      </w:r>
      <w:r w:rsidRPr="00C4084C">
        <w:t xml:space="preserve"> nursing </w:t>
      </w:r>
      <w:r w:rsidR="00870CEE" w:rsidRPr="00C4084C">
        <w:t>and the care disciplines</w:t>
      </w:r>
      <w:r w:rsidRPr="00C4084C">
        <w:t xml:space="preserve"> should be in the lowest band, recognising both the lower lifetime earnings of teachers</w:t>
      </w:r>
      <w:r w:rsidR="00403E2D" w:rsidRPr="00C4084C">
        <w:t xml:space="preserve">, </w:t>
      </w:r>
      <w:r w:rsidRPr="00C4084C">
        <w:t xml:space="preserve">nurses </w:t>
      </w:r>
      <w:r w:rsidR="00403E2D" w:rsidRPr="00C4084C">
        <w:t>and carers</w:t>
      </w:r>
      <w:r w:rsidRPr="00C4084C">
        <w:t xml:space="preserve"> compared to other professions and their significant public contributions to society. Income-contingent loans should continue to be available through the HELP system to eligible students to ensure there is no upfront cost.</w:t>
      </w:r>
    </w:p>
    <w:p w14:paraId="4F9A9D20" w14:textId="77777777" w:rsidR="00B920D4" w:rsidRPr="00C4084C" w:rsidRDefault="00B920D4" w:rsidP="00497EC5">
      <w:pPr>
        <w:pStyle w:val="Heading8"/>
      </w:pPr>
      <w:r w:rsidRPr="00C4084C">
        <w:t>Postgraduate courses</w:t>
      </w:r>
    </w:p>
    <w:p w14:paraId="798AC158" w14:textId="0BDBD66F" w:rsidR="00B920D4" w:rsidRPr="00C4084C" w:rsidRDefault="00B920D4" w:rsidP="00B17584">
      <w:proofErr w:type="gramStart"/>
      <w:r w:rsidRPr="00C4084C">
        <w:t>Similar to</w:t>
      </w:r>
      <w:proofErr w:type="gramEnd"/>
      <w:r w:rsidRPr="00C4084C">
        <w:t xml:space="preserve"> the undergraduate </w:t>
      </w:r>
      <w:r w:rsidR="2298FE80" w:rsidRPr="00C4084C">
        <w:t>Commonwealth supported place</w:t>
      </w:r>
      <w:r w:rsidRPr="00C4084C">
        <w:t xml:space="preserve"> approach, the amount </w:t>
      </w:r>
      <w:r w:rsidR="00BD55A1">
        <w:t xml:space="preserve">that </w:t>
      </w:r>
      <w:r w:rsidRPr="00C4084C">
        <w:t xml:space="preserve">postgraduate </w:t>
      </w:r>
      <w:r w:rsidR="0B3E3708" w:rsidRPr="00C4084C">
        <w:t>Commonwealth supported place</w:t>
      </w:r>
      <w:r w:rsidRPr="00C4084C">
        <w:t xml:space="preserve"> students contribute should relate to likely future earnings. Over time, the postgraduate student contribution should increase to be higher than the undergraduate contribution, until it more accurately reflects the higher private rates of return for those who complete postgraduate courses. However, any potential increases would not apply to C</w:t>
      </w:r>
      <w:r w:rsidR="3FF36487" w:rsidRPr="00C4084C">
        <w:t>ommonwealth supported place</w:t>
      </w:r>
      <w:r w:rsidRPr="00C4084C">
        <w:t xml:space="preserve"> postgraduate teaching and nursing programs, which would remain at undergraduate Band 1 levels of student contribution.</w:t>
      </w:r>
    </w:p>
    <w:p w14:paraId="5B283C50" w14:textId="0DBD6B25" w:rsidR="00B920D4" w:rsidRPr="00C4084C" w:rsidRDefault="001A09C2" w:rsidP="00497EC5">
      <w:pPr>
        <w:pStyle w:val="Heading8"/>
      </w:pPr>
      <w:r w:rsidRPr="00C4084C">
        <w:t xml:space="preserve">Fee-free </w:t>
      </w:r>
      <w:r w:rsidR="00C76FFD" w:rsidRPr="00C4084C">
        <w:t>preparatory</w:t>
      </w:r>
      <w:r w:rsidR="00B920D4" w:rsidRPr="00C4084C">
        <w:t xml:space="preserve"> courses</w:t>
      </w:r>
    </w:p>
    <w:p w14:paraId="47B7D017" w14:textId="403D4B78" w:rsidR="00500CC7" w:rsidRPr="00C4084C" w:rsidRDefault="005A24FB" w:rsidP="00B17584">
      <w:r w:rsidRPr="00C4084C">
        <w:t xml:space="preserve">Preparatory </w:t>
      </w:r>
      <w:r w:rsidR="00500CC7" w:rsidRPr="00C4084C">
        <w:t>courses should be ‘fee-free’</w:t>
      </w:r>
      <w:r w:rsidRPr="00C4084C">
        <w:t>, like the current enabling programs,</w:t>
      </w:r>
      <w:r w:rsidR="00500CC7" w:rsidRPr="00C4084C">
        <w:t xml:space="preserve"> for Commonwealth supported students</w:t>
      </w:r>
      <w:r w:rsidR="001F7FB0">
        <w:t xml:space="preserve">. </w:t>
      </w:r>
      <w:r w:rsidR="00500CC7" w:rsidRPr="00C4084C">
        <w:t xml:space="preserve">As recommended in </w:t>
      </w:r>
      <w:r w:rsidR="003D12D5" w:rsidRPr="00C4084C">
        <w:rPr>
          <w:i/>
          <w:iCs/>
        </w:rPr>
        <w:fldChar w:fldCharType="begin"/>
      </w:r>
      <w:r w:rsidR="003D12D5" w:rsidRPr="00C4084C">
        <w:rPr>
          <w:i/>
        </w:rPr>
        <w:instrText xml:space="preserve"> REF _Ref151934425 \r \h </w:instrText>
      </w:r>
      <w:r w:rsidR="005513E1" w:rsidRPr="00C4084C">
        <w:rPr>
          <w:i/>
        </w:rPr>
        <w:instrText xml:space="preserve"> \* MERGEFORMAT </w:instrText>
      </w:r>
      <w:r w:rsidR="003D12D5" w:rsidRPr="00C4084C">
        <w:rPr>
          <w:i/>
          <w:iCs/>
        </w:rPr>
      </w:r>
      <w:r w:rsidR="003D12D5" w:rsidRPr="00C4084C">
        <w:rPr>
          <w:i/>
          <w:iCs/>
        </w:rPr>
        <w:fldChar w:fldCharType="separate"/>
      </w:r>
      <w:r w:rsidR="00467B4F">
        <w:rPr>
          <w:i/>
        </w:rPr>
        <w:t xml:space="preserve">Chapter 3 – </w:t>
      </w:r>
      <w:r w:rsidR="003D12D5" w:rsidRPr="00C4084C">
        <w:rPr>
          <w:i/>
          <w:iCs/>
        </w:rPr>
        <w:fldChar w:fldCharType="end"/>
      </w:r>
      <w:r w:rsidR="00076E04" w:rsidRPr="00C4084C">
        <w:rPr>
          <w:i/>
          <w:iCs/>
        </w:rPr>
        <w:fldChar w:fldCharType="begin"/>
      </w:r>
      <w:r w:rsidR="00076E04" w:rsidRPr="00C4084C">
        <w:rPr>
          <w:i/>
        </w:rPr>
        <w:instrText xml:space="preserve"> REF _Ref151934425 \h </w:instrText>
      </w:r>
      <w:r w:rsidR="003C0C51" w:rsidRPr="00C4084C">
        <w:rPr>
          <w:i/>
          <w:iCs/>
        </w:rPr>
        <w:instrText xml:space="preserve"> \* MERGEFORMAT </w:instrText>
      </w:r>
      <w:r w:rsidR="00076E04" w:rsidRPr="00C4084C">
        <w:rPr>
          <w:i/>
          <w:iCs/>
        </w:rPr>
      </w:r>
      <w:r w:rsidR="00076E04" w:rsidRPr="00C4084C">
        <w:rPr>
          <w:i/>
          <w:iCs/>
        </w:rPr>
        <w:fldChar w:fldCharType="separate"/>
      </w:r>
      <w:r w:rsidR="00467B4F" w:rsidRPr="00467B4F">
        <w:rPr>
          <w:i/>
        </w:rPr>
        <w:t>Expanding opportunity to all</w:t>
      </w:r>
      <w:r w:rsidR="00076E04" w:rsidRPr="00C4084C">
        <w:rPr>
          <w:i/>
          <w:iCs/>
        </w:rPr>
        <w:fldChar w:fldCharType="end"/>
      </w:r>
      <w:r w:rsidR="00076E04" w:rsidRPr="00C4084C">
        <w:t xml:space="preserve"> </w:t>
      </w:r>
      <w:r w:rsidR="00500CC7" w:rsidRPr="00C4084C">
        <w:t xml:space="preserve">and the next subsection of this chapter, </w:t>
      </w:r>
      <w:r w:rsidR="00500CC7" w:rsidRPr="00C4084C">
        <w:rPr>
          <w:rFonts w:cs="Arial"/>
        </w:rPr>
        <w:t xml:space="preserve">those providers offering </w:t>
      </w:r>
      <w:r w:rsidR="00F714D5">
        <w:rPr>
          <w:rFonts w:cs="Arial"/>
        </w:rPr>
        <w:t>preparatory</w:t>
      </w:r>
      <w:r w:rsidR="00F714D5" w:rsidRPr="00C4084C">
        <w:rPr>
          <w:rFonts w:cs="Arial"/>
        </w:rPr>
        <w:t xml:space="preserve"> </w:t>
      </w:r>
      <w:r w:rsidR="00500CC7" w:rsidRPr="00C4084C">
        <w:rPr>
          <w:rFonts w:cs="Arial"/>
        </w:rPr>
        <w:t xml:space="preserve">places should receive sufficient funding to </w:t>
      </w:r>
      <w:r w:rsidR="001B6DE7" w:rsidRPr="00C4084C">
        <w:rPr>
          <w:rFonts w:cs="Arial"/>
        </w:rPr>
        <w:t xml:space="preserve">cover the costs of delivering </w:t>
      </w:r>
      <w:r w:rsidR="00500CC7" w:rsidRPr="00C4084C">
        <w:rPr>
          <w:rFonts w:cs="Arial"/>
        </w:rPr>
        <w:t>these courses.</w:t>
      </w:r>
    </w:p>
    <w:p w14:paraId="2D694EC4" w14:textId="77777777" w:rsidR="00B920D4" w:rsidRPr="00C4084C" w:rsidRDefault="00B920D4" w:rsidP="00497EC5">
      <w:pPr>
        <w:pStyle w:val="Heading8"/>
      </w:pPr>
      <w:r w:rsidRPr="00C4084C">
        <w:t xml:space="preserve">Principles underpinning proposed changes to student </w:t>
      </w:r>
      <w:proofErr w:type="gramStart"/>
      <w:r w:rsidRPr="00C4084C">
        <w:t>contributions</w:t>
      </w:r>
      <w:proofErr w:type="gramEnd"/>
      <w:r w:rsidRPr="00C4084C">
        <w:t xml:space="preserve"> </w:t>
      </w:r>
    </w:p>
    <w:p w14:paraId="0C97D004" w14:textId="2CF472DA" w:rsidR="00FD00C4" w:rsidRPr="00C4084C" w:rsidRDefault="00FD00C4" w:rsidP="00B17584">
      <w:r w:rsidRPr="00C4084C">
        <w:t xml:space="preserve">The above changes would remove anomalies created under JRG reforms and provide a framework for an ongoing, scalable funding system for students, </w:t>
      </w:r>
      <w:proofErr w:type="gramStart"/>
      <w:r w:rsidRPr="00C4084C">
        <w:t>government</w:t>
      </w:r>
      <w:proofErr w:type="gramEnd"/>
      <w:r w:rsidRPr="00C4084C">
        <w:t xml:space="preserve"> and providers. Students would experience greater simplicity, </w:t>
      </w:r>
      <w:proofErr w:type="gramStart"/>
      <w:r w:rsidRPr="00C4084C">
        <w:t>transparency</w:t>
      </w:r>
      <w:proofErr w:type="gramEnd"/>
      <w:r w:rsidRPr="00C4084C">
        <w:t xml:space="preserve"> and fairness by contributing towards the cost of their course on the basis of projected future earnings, with protections in place for low-income earners.</w:t>
      </w:r>
    </w:p>
    <w:p w14:paraId="3713E985" w14:textId="2AAA53D9" w:rsidR="00B920D4" w:rsidRPr="00C4084C" w:rsidRDefault="00B920D4" w:rsidP="00B17584">
      <w:r w:rsidRPr="00C4084C">
        <w:t>In the future</w:t>
      </w:r>
      <w:r w:rsidR="00BD55A1">
        <w:t>,</w:t>
      </w:r>
      <w:r w:rsidRPr="00C4084C">
        <w:t xml:space="preserve"> changes </w:t>
      </w:r>
      <w:r w:rsidR="00C16AD7" w:rsidRPr="00C4084C">
        <w:t xml:space="preserve">that </w:t>
      </w:r>
      <w:r w:rsidRPr="00C4084C">
        <w:t>are made to the funding system</w:t>
      </w:r>
      <w:r w:rsidR="00AB22C8" w:rsidRPr="00C4084C">
        <w:t xml:space="preserve"> should apply the following principles</w:t>
      </w:r>
      <w:r w:rsidRPr="00C4084C">
        <w:t>:</w:t>
      </w:r>
    </w:p>
    <w:p w14:paraId="11F25269" w14:textId="0F5CD9BE" w:rsidR="00B920D4" w:rsidRPr="00C4084C" w:rsidRDefault="1B0B821C" w:rsidP="000E0238">
      <w:pPr>
        <w:pStyle w:val="ListBullet"/>
      </w:pPr>
      <w:r w:rsidRPr="00C4084C">
        <w:t>t</w:t>
      </w:r>
      <w:r w:rsidR="00B920D4" w:rsidRPr="00C4084C">
        <w:t xml:space="preserve">hat the costs to students are based on </w:t>
      </w:r>
      <w:r w:rsidR="00FD00C4" w:rsidRPr="00C4084C">
        <w:t>potential future earnings</w:t>
      </w:r>
    </w:p>
    <w:p w14:paraId="18503760" w14:textId="781A1979" w:rsidR="00FD00C4" w:rsidRPr="00C4084C" w:rsidRDefault="0B68A780" w:rsidP="000E0238">
      <w:pPr>
        <w:pStyle w:val="ListBullet"/>
      </w:pPr>
      <w:r w:rsidRPr="00C4084C">
        <w:t>t</w:t>
      </w:r>
      <w:r w:rsidR="00FD00C4" w:rsidRPr="00C4084C">
        <w:t>hat each discipline is fully funded</w:t>
      </w:r>
    </w:p>
    <w:p w14:paraId="58691E50" w14:textId="50C78842" w:rsidR="00FD00C4" w:rsidRPr="00C4084C" w:rsidRDefault="0CCB0A7C" w:rsidP="000E0238">
      <w:pPr>
        <w:pStyle w:val="ListBullet"/>
      </w:pPr>
      <w:r w:rsidRPr="00C4084C">
        <w:t>t</w:t>
      </w:r>
      <w:r w:rsidR="00FD00C4" w:rsidRPr="00C4084C">
        <w:t xml:space="preserve">hat the system is simple, </w:t>
      </w:r>
      <w:proofErr w:type="gramStart"/>
      <w:r w:rsidR="00FD00C4" w:rsidRPr="00C4084C">
        <w:t>fair</w:t>
      </w:r>
      <w:proofErr w:type="gramEnd"/>
      <w:r w:rsidR="00FD00C4" w:rsidRPr="00C4084C">
        <w:t xml:space="preserve"> and transparent.</w:t>
      </w:r>
    </w:p>
    <w:p w14:paraId="53BCC4FE" w14:textId="77777777" w:rsidR="00B920D4" w:rsidRPr="00C4084C" w:rsidRDefault="00B920D4" w:rsidP="00B17584">
      <w:r w:rsidRPr="00C4084C">
        <w:t xml:space="preserve">As the system evolves and student contributions are more aligned with potential future earnings, there are likely to be occasions where student contributions for some disciplines are increased. If this is to occur, continuing students should not be </w:t>
      </w:r>
      <w:proofErr w:type="gramStart"/>
      <w:r w:rsidRPr="00C4084C">
        <w:t>disadvantaged</w:t>
      </w:r>
      <w:proofErr w:type="gramEnd"/>
      <w:r w:rsidRPr="00C4084C">
        <w:t xml:space="preserve"> and they should continue to be subject to the previous contribution arrangements until they complete their degree.</w:t>
      </w:r>
    </w:p>
    <w:p w14:paraId="490D37CA" w14:textId="77777777" w:rsidR="00B920D4" w:rsidRPr="00C4084C" w:rsidRDefault="00B920D4" w:rsidP="0026123A">
      <w:pPr>
        <w:pStyle w:val="Heading6"/>
        <w:rPr>
          <w:rStyle w:val="s2"/>
        </w:rPr>
      </w:pPr>
      <w:r w:rsidRPr="00C4084C">
        <w:rPr>
          <w:rStyle w:val="s2"/>
        </w:rPr>
        <w:t>Government contributions</w:t>
      </w:r>
    </w:p>
    <w:p w14:paraId="049CED47" w14:textId="6FB76453" w:rsidR="00EA1ED0" w:rsidRPr="00C4084C" w:rsidRDefault="00207196" w:rsidP="00B17584">
      <w:r w:rsidRPr="00C4084C">
        <w:t xml:space="preserve">The Australian </w:t>
      </w:r>
      <w:r w:rsidR="00EA1ED0" w:rsidRPr="00C4084C">
        <w:t xml:space="preserve">Government subsidies through the CGS should continue to differ by discipline. The Government should </w:t>
      </w:r>
      <w:proofErr w:type="gramStart"/>
      <w:r w:rsidR="00EA1ED0" w:rsidRPr="00C4084C">
        <w:t>make a contribution</w:t>
      </w:r>
      <w:proofErr w:type="gramEnd"/>
      <w:r w:rsidR="00EA1ED0" w:rsidRPr="00C4084C">
        <w:t xml:space="preserve"> based on the estimated cost of teaching, designated by the </w:t>
      </w:r>
      <w:r w:rsidR="00EA1ED0" w:rsidRPr="00C4084C">
        <w:lastRenderedPageBreak/>
        <w:t xml:space="preserve">Review as the Public Benefit Contribution (PBC), because it recognises the public value of higher education across the system as a whole. The PBC ensures that subject funding (student contribution plus government contribution) meets the estimated cost of teaching for that field of education. </w:t>
      </w:r>
    </w:p>
    <w:p w14:paraId="05777857" w14:textId="05FD8994" w:rsidR="00B920D4" w:rsidRPr="00C4084C" w:rsidRDefault="00B920D4" w:rsidP="00B17584">
      <w:r w:rsidRPr="00C4084C">
        <w:t xml:space="preserve">The Review heard consistently that changes to funding for </w:t>
      </w:r>
      <w:r w:rsidR="00EA1ED0" w:rsidRPr="00C4084C">
        <w:t xml:space="preserve">providers for </w:t>
      </w:r>
      <w:r w:rsidRPr="00C4084C">
        <w:t xml:space="preserve">the learning, </w:t>
      </w:r>
      <w:proofErr w:type="gramStart"/>
      <w:r w:rsidRPr="00C4084C">
        <w:t>teaching</w:t>
      </w:r>
      <w:proofErr w:type="gramEnd"/>
      <w:r w:rsidRPr="00C4084C">
        <w:t xml:space="preserve"> and scholarship of STEM disciplines under the JRG package have left them with inadequate support</w:t>
      </w:r>
      <w:r w:rsidR="00764433" w:rsidRPr="00C4084C">
        <w:t xml:space="preserve"> and </w:t>
      </w:r>
      <w:r w:rsidR="006063EA" w:rsidRPr="00C4084C">
        <w:t xml:space="preserve">are </w:t>
      </w:r>
      <w:r w:rsidR="00764433" w:rsidRPr="00C4084C">
        <w:t>clearly under</w:t>
      </w:r>
      <w:r w:rsidR="006063EA" w:rsidRPr="00C4084C">
        <w:t>-</w:t>
      </w:r>
      <w:r w:rsidR="00764433" w:rsidRPr="00C4084C">
        <w:t>funded</w:t>
      </w:r>
      <w:r w:rsidRPr="00C4084C">
        <w:t>. Any early</w:t>
      </w:r>
      <w:r w:rsidR="00207196" w:rsidRPr="00C4084C">
        <w:t xml:space="preserve"> Australian</w:t>
      </w:r>
      <w:r w:rsidRPr="00C4084C">
        <w:t xml:space="preserve"> Government investment should prioritise the STEM disciplines.</w:t>
      </w:r>
    </w:p>
    <w:p w14:paraId="53505F0C" w14:textId="6979965A" w:rsidR="00B920D4" w:rsidRPr="00C4084C" w:rsidRDefault="00B920D4" w:rsidP="00B17584">
      <w:r w:rsidRPr="00C4084C">
        <w:t xml:space="preserve">In establishing the </w:t>
      </w:r>
      <w:r w:rsidR="00362122" w:rsidRPr="00C4084C">
        <w:t>Commission</w:t>
      </w:r>
      <w:r w:rsidRPr="00C4084C">
        <w:t xml:space="preserve">, the </w:t>
      </w:r>
      <w:r w:rsidR="00207196" w:rsidRPr="00C4084C">
        <w:t>Australian</w:t>
      </w:r>
      <w:r w:rsidRPr="00C4084C">
        <w:t xml:space="preserve"> Government should place a top priority on establishing its role as a pricing authority. It should task the </w:t>
      </w:r>
      <w:r w:rsidR="00362122" w:rsidRPr="00C4084C">
        <w:t>Commission</w:t>
      </w:r>
      <w:r w:rsidRPr="00C4084C">
        <w:t xml:space="preserve"> with developing a more sophisticated and detailed methodology to determine the full economic cost of learning, teaching and scholarship in disciplines and courses at a granular level. The </w:t>
      </w:r>
      <w:r w:rsidR="00362122" w:rsidRPr="00C4084C">
        <w:t>Commission</w:t>
      </w:r>
      <w:r w:rsidRPr="00C4084C">
        <w:t xml:space="preserve"> should regularly review funding amounts to ensure they are sufficient for the delivery of high-quality education.</w:t>
      </w:r>
    </w:p>
    <w:p w14:paraId="0A1F103B" w14:textId="1C841873" w:rsidR="00EA1ED0" w:rsidRPr="00C4084C" w:rsidRDefault="00EA1ED0" w:rsidP="00B17584">
      <w:pPr>
        <w:rPr>
          <w:rFonts w:cs="Arial"/>
        </w:rPr>
      </w:pPr>
      <w:r w:rsidRPr="00C4084C">
        <w:t xml:space="preserve">As outlined in </w:t>
      </w:r>
      <w:r w:rsidR="003E30DF" w:rsidRPr="00C4084C">
        <w:rPr>
          <w:i/>
        </w:rPr>
        <w:fldChar w:fldCharType="begin"/>
      </w:r>
      <w:r w:rsidR="003E30DF" w:rsidRPr="00C4084C">
        <w:rPr>
          <w:i/>
        </w:rPr>
        <w:instrText xml:space="preserve"> REF _Ref151934425 \r \h  \* MERGEFORMAT </w:instrText>
      </w:r>
      <w:r w:rsidR="003E30DF" w:rsidRPr="00C4084C">
        <w:rPr>
          <w:i/>
        </w:rPr>
      </w:r>
      <w:r w:rsidR="003E30DF" w:rsidRPr="00C4084C">
        <w:rPr>
          <w:i/>
        </w:rPr>
        <w:fldChar w:fldCharType="separate"/>
      </w:r>
      <w:r w:rsidR="00467B4F">
        <w:rPr>
          <w:i/>
        </w:rPr>
        <w:t xml:space="preserve">Chapter 3 – </w:t>
      </w:r>
      <w:r w:rsidR="003E30DF" w:rsidRPr="00C4084C">
        <w:rPr>
          <w:i/>
        </w:rPr>
        <w:fldChar w:fldCharType="end"/>
      </w:r>
      <w:r w:rsidR="00076E04" w:rsidRPr="00C4084C">
        <w:rPr>
          <w:i/>
          <w:iCs/>
        </w:rPr>
        <w:fldChar w:fldCharType="begin"/>
      </w:r>
      <w:r w:rsidR="00076E04" w:rsidRPr="00C4084C">
        <w:rPr>
          <w:i/>
          <w:iCs/>
        </w:rPr>
        <w:instrText xml:space="preserve"> REF _Ref151934425 \h </w:instrText>
      </w:r>
      <w:r w:rsidR="00AB22C8" w:rsidRPr="00C4084C">
        <w:rPr>
          <w:i/>
          <w:iCs/>
        </w:rPr>
        <w:instrText xml:space="preserve"> \* MERGEFORMAT</w:instrText>
      </w:r>
      <w:r w:rsidR="00AB22C8" w:rsidRPr="00C4084C">
        <w:rPr>
          <w:i/>
        </w:rPr>
        <w:instrText xml:space="preserve"> </w:instrText>
      </w:r>
      <w:r w:rsidR="00076E04" w:rsidRPr="00C4084C">
        <w:rPr>
          <w:i/>
          <w:iCs/>
        </w:rPr>
      </w:r>
      <w:r w:rsidR="00076E04" w:rsidRPr="00C4084C">
        <w:rPr>
          <w:i/>
          <w:iCs/>
        </w:rPr>
        <w:fldChar w:fldCharType="separate"/>
      </w:r>
      <w:r w:rsidR="00467B4F" w:rsidRPr="00467B4F">
        <w:rPr>
          <w:i/>
          <w:iCs/>
        </w:rPr>
        <w:t>Expanding opportunity to all</w:t>
      </w:r>
      <w:r w:rsidR="00076E04" w:rsidRPr="00C4084C">
        <w:rPr>
          <w:i/>
          <w:iCs/>
        </w:rPr>
        <w:fldChar w:fldCharType="end"/>
      </w:r>
      <w:r w:rsidRPr="00C4084C">
        <w:t xml:space="preserve">, the JRG changes to CGS cluster rates had a significant negative impact on funding for enabling courses. Most enabling places are in disciplines that had large decreases in CGS cluster rates. For undergraduate and postgraduate courses, these decreases were offset by increasing student contributions. But there was no equivalent offset for enabling students, due to the prohibition on charging contributions for such students. This led to a significant reduction in available funding in enabling courses. To </w:t>
      </w:r>
      <w:r w:rsidR="0077230E" w:rsidRPr="00C4084C">
        <w:t xml:space="preserve">address </w:t>
      </w:r>
      <w:r w:rsidRPr="00C4084C">
        <w:t xml:space="preserve">this, the Review recommends funding all </w:t>
      </w:r>
      <w:r w:rsidR="00A16F49" w:rsidRPr="00C4084C">
        <w:t>preparatory</w:t>
      </w:r>
      <w:r w:rsidRPr="00C4084C">
        <w:t xml:space="preserve"> courses at a standard amount that reflects the cost of delivering a</w:t>
      </w:r>
      <w:r w:rsidR="00A16F49" w:rsidRPr="00C4084C">
        <w:t xml:space="preserve"> preparatory</w:t>
      </w:r>
      <w:r w:rsidRPr="00C4084C">
        <w:t xml:space="preserve"> place, and that the</w:t>
      </w:r>
      <w:r w:rsidRPr="00C4084C">
        <w:rPr>
          <w:rFonts w:cs="Arial"/>
        </w:rPr>
        <w:t xml:space="preserve"> allocation of this funding reflect student demand, not historical allocations</w:t>
      </w:r>
      <w:r w:rsidR="00D50F9B" w:rsidRPr="00C4084C">
        <w:rPr>
          <w:rFonts w:cs="Arial"/>
        </w:rPr>
        <w:t xml:space="preserve"> (see Recommendation 12)</w:t>
      </w:r>
      <w:r w:rsidRPr="00C4084C">
        <w:rPr>
          <w:rFonts w:cs="Arial"/>
        </w:rPr>
        <w:t>.</w:t>
      </w:r>
    </w:p>
    <w:p w14:paraId="3CF7DED2" w14:textId="59FFB08C" w:rsidR="00B920D4" w:rsidRPr="00C4084C" w:rsidRDefault="00B920D4" w:rsidP="00497EC5">
      <w:pPr>
        <w:pStyle w:val="Heading5"/>
      </w:pPr>
      <w:bookmarkStart w:id="1564" w:name="_Toc151815661"/>
      <w:r w:rsidRPr="00C4084C">
        <w:t>Needs-based funding</w:t>
      </w:r>
      <w:bookmarkEnd w:id="1564"/>
    </w:p>
    <w:p w14:paraId="0C2BF7FB" w14:textId="7FECD2B2" w:rsidR="00B920D4" w:rsidRPr="00C4084C" w:rsidRDefault="00B920D4" w:rsidP="00B17584">
      <w:r w:rsidRPr="00C4084C">
        <w:t xml:space="preserve">Historically, the variation in government contributions to </w:t>
      </w:r>
      <w:r w:rsidR="6854FF25" w:rsidRPr="00C4084C">
        <w:t>Commonwealth supported places</w:t>
      </w:r>
      <w:r w:rsidRPr="00C4084C">
        <w:t xml:space="preserve"> has been based only on their field of study, or ‘cluster’. However, the proposed increase in the number of students from the target cohorts described in </w:t>
      </w:r>
      <w:r w:rsidR="00647DCB" w:rsidRPr="00C4084C">
        <w:rPr>
          <w:i/>
        </w:rPr>
        <w:fldChar w:fldCharType="begin"/>
      </w:r>
      <w:r w:rsidR="00647DCB" w:rsidRPr="00C4084C">
        <w:instrText xml:space="preserve"> REF _Ref151934425 \r \h </w:instrText>
      </w:r>
      <w:r w:rsidR="003C125B" w:rsidRPr="00C4084C">
        <w:instrText xml:space="preserve"> \* MERGEFORMAT </w:instrText>
      </w:r>
      <w:r w:rsidR="00647DCB" w:rsidRPr="00C4084C">
        <w:rPr>
          <w:i/>
        </w:rPr>
      </w:r>
      <w:r w:rsidR="00647DCB" w:rsidRPr="00C4084C">
        <w:rPr>
          <w:i/>
        </w:rPr>
        <w:fldChar w:fldCharType="separate"/>
      </w:r>
      <w:r w:rsidR="00467B4F" w:rsidRPr="00467B4F">
        <w:rPr>
          <w:i/>
        </w:rPr>
        <w:t xml:space="preserve">Chapter 3 – </w:t>
      </w:r>
      <w:r w:rsidR="00647DCB" w:rsidRPr="00C4084C">
        <w:rPr>
          <w:i/>
        </w:rPr>
        <w:fldChar w:fldCharType="end"/>
      </w:r>
      <w:r w:rsidR="00AB22C8" w:rsidRPr="00C4084C">
        <w:rPr>
          <w:i/>
          <w:iCs/>
        </w:rPr>
        <w:fldChar w:fldCharType="begin"/>
      </w:r>
      <w:r w:rsidR="00AB22C8" w:rsidRPr="00C4084C">
        <w:rPr>
          <w:i/>
          <w:iCs/>
        </w:rPr>
        <w:instrText xml:space="preserve"> REF _Ref151934425 \h  \* MERGEFORMAT </w:instrText>
      </w:r>
      <w:r w:rsidR="00AB22C8" w:rsidRPr="00C4084C">
        <w:rPr>
          <w:i/>
          <w:iCs/>
        </w:rPr>
      </w:r>
      <w:r w:rsidR="00AB22C8" w:rsidRPr="00C4084C">
        <w:rPr>
          <w:i/>
          <w:iCs/>
        </w:rPr>
        <w:fldChar w:fldCharType="separate"/>
      </w:r>
      <w:r w:rsidR="00467B4F" w:rsidRPr="00467B4F">
        <w:rPr>
          <w:i/>
          <w:iCs/>
        </w:rPr>
        <w:t>Expanding opportunity to all</w:t>
      </w:r>
      <w:r w:rsidR="00AB22C8" w:rsidRPr="00C4084C">
        <w:rPr>
          <w:i/>
          <w:iCs/>
        </w:rPr>
        <w:fldChar w:fldCharType="end"/>
      </w:r>
      <w:r w:rsidR="00AB22C8" w:rsidRPr="00C4084C">
        <w:t xml:space="preserve"> </w:t>
      </w:r>
      <w:r w:rsidRPr="00C4084C">
        <w:t xml:space="preserve">would require the funding system to be more finely tuned. The Review recommends that, for the first time, core funding include needs-based funding for </w:t>
      </w:r>
      <w:r w:rsidR="00762528">
        <w:t>preparatory</w:t>
      </w:r>
      <w:r w:rsidR="00762528" w:rsidRPr="00C4084C">
        <w:t xml:space="preserve"> </w:t>
      </w:r>
      <w:r w:rsidRPr="00C4084C">
        <w:t xml:space="preserve">courses and undergraduate courses to support equity, </w:t>
      </w:r>
      <w:proofErr w:type="gramStart"/>
      <w:r w:rsidRPr="00C4084C">
        <w:t>access</w:t>
      </w:r>
      <w:proofErr w:type="gramEnd"/>
      <w:r w:rsidRPr="00C4084C">
        <w:t xml:space="preserve"> and high-cost delivery models. Providing additional support for students who need it to succeed in higher education would generate considerable public value, as more historically </w:t>
      </w:r>
      <w:r w:rsidR="00D7545F" w:rsidRPr="00C4084C">
        <w:t>under-represented</w:t>
      </w:r>
      <w:r w:rsidRPr="00C4084C">
        <w:t xml:space="preserve"> groups would obtain a qualification and help to meet the growth and skills targets of the future</w:t>
      </w:r>
      <w:r w:rsidR="00EF0418" w:rsidRPr="00C4084C">
        <w:t xml:space="preserve"> (see Recommendation</w:t>
      </w:r>
      <w:r w:rsidR="00620499" w:rsidRPr="00C4084C">
        <w:t xml:space="preserve"> 13)</w:t>
      </w:r>
      <w:r w:rsidRPr="00C4084C">
        <w:t>.</w:t>
      </w:r>
    </w:p>
    <w:p w14:paraId="0DD51BEC" w14:textId="130488F0" w:rsidR="00B920D4" w:rsidRPr="00C4084C" w:rsidRDefault="005001A8" w:rsidP="00B17584">
      <w:r w:rsidRPr="00C4084C">
        <w:t xml:space="preserve">The Review recommends </w:t>
      </w:r>
      <w:r w:rsidR="00BD55A1">
        <w:t xml:space="preserve">that </w:t>
      </w:r>
      <w:r w:rsidRPr="00C4084C">
        <w:t>a</w:t>
      </w:r>
      <w:r w:rsidR="00B920D4" w:rsidRPr="00C4084C">
        <w:t xml:space="preserve">ny decision to redirect current funding to support the introduction of needs-based funding should not be at the expense of existing projects or activities that align with the goals of </w:t>
      </w:r>
      <w:r w:rsidR="003C0C51" w:rsidRPr="00C4084C">
        <w:t xml:space="preserve">this </w:t>
      </w:r>
      <w:proofErr w:type="gramStart"/>
      <w:r w:rsidR="003C0C51" w:rsidRPr="00C4084C">
        <w:t>Review, and</w:t>
      </w:r>
      <w:proofErr w:type="gramEnd"/>
      <w:r w:rsidR="003C0C51" w:rsidRPr="00C4084C">
        <w:t xml:space="preserve"> </w:t>
      </w:r>
      <w:r w:rsidR="00B920D4" w:rsidRPr="00C4084C">
        <w:t>means of continuing support to these should be considered.</w:t>
      </w:r>
    </w:p>
    <w:p w14:paraId="439CE801" w14:textId="77777777" w:rsidR="00B920D4" w:rsidRPr="00C4084C" w:rsidRDefault="00B920D4" w:rsidP="0026123A">
      <w:pPr>
        <w:pStyle w:val="Heading6"/>
      </w:pPr>
      <w:r w:rsidRPr="00C4084C">
        <w:t>Student loadings</w:t>
      </w:r>
    </w:p>
    <w:p w14:paraId="58F6839E" w14:textId="7F2B25FF" w:rsidR="00E76722" w:rsidRPr="008C67CA" w:rsidRDefault="009218BF" w:rsidP="00B17584">
      <w:r w:rsidRPr="008C67CA">
        <w:t xml:space="preserve">As the system expands, the </w:t>
      </w:r>
      <w:r w:rsidR="00207196" w:rsidRPr="008C67CA">
        <w:t>Australian</w:t>
      </w:r>
      <w:r w:rsidRPr="008C67CA">
        <w:t xml:space="preserve"> Government should provide funding to support student success better, including loadings for students in the </w:t>
      </w:r>
      <w:r w:rsidR="004F67BD" w:rsidRPr="008C67CA">
        <w:t>3</w:t>
      </w:r>
      <w:r w:rsidRPr="008C67CA">
        <w:t xml:space="preserve"> cohorts discussed in </w:t>
      </w:r>
      <w:r w:rsidR="000D250A" w:rsidRPr="00C4084C">
        <w:rPr>
          <w:rFonts w:cstheme="minorHAnsi"/>
          <w:i/>
          <w:color w:val="000000"/>
        </w:rPr>
        <w:fldChar w:fldCharType="begin"/>
      </w:r>
      <w:r w:rsidR="000D250A" w:rsidRPr="008C67CA">
        <w:instrText xml:space="preserve"> REF _Ref151934425 \r \h  \* MERGEFORMAT </w:instrText>
      </w:r>
      <w:r w:rsidR="000D250A" w:rsidRPr="00C4084C">
        <w:rPr>
          <w:rFonts w:cstheme="minorHAnsi"/>
          <w:i/>
          <w:color w:val="000000"/>
        </w:rPr>
      </w:r>
      <w:r w:rsidR="000D250A" w:rsidRPr="00C4084C">
        <w:rPr>
          <w:rFonts w:cstheme="minorHAnsi"/>
          <w:i/>
          <w:color w:val="000000"/>
        </w:rPr>
        <w:fldChar w:fldCharType="separate"/>
      </w:r>
      <w:r w:rsidR="00467B4F" w:rsidRPr="008C67CA">
        <w:rPr>
          <w:i/>
          <w:color w:val="000000"/>
        </w:rPr>
        <w:t>Chapter 3 –</w:t>
      </w:r>
      <w:r w:rsidR="00467B4F" w:rsidRPr="008C67CA">
        <w:rPr>
          <w:color w:val="000000"/>
        </w:rPr>
        <w:t xml:space="preserve"> </w:t>
      </w:r>
      <w:r w:rsidR="000D250A" w:rsidRPr="00C4084C">
        <w:rPr>
          <w:rFonts w:cstheme="minorHAnsi"/>
          <w:i/>
          <w:color w:val="000000"/>
        </w:rPr>
        <w:fldChar w:fldCharType="end"/>
      </w:r>
      <w:r w:rsidR="000D250A" w:rsidRPr="008C67CA">
        <w:rPr>
          <w:i/>
          <w:color w:val="000000"/>
        </w:rPr>
        <w:fldChar w:fldCharType="begin"/>
      </w:r>
      <w:r w:rsidR="000D250A" w:rsidRPr="008C67CA">
        <w:rPr>
          <w:i/>
          <w:color w:val="000000"/>
        </w:rPr>
        <w:instrText xml:space="preserve"> REF _Ref151934425 \h  \* MERGEFOR</w:instrText>
      </w:r>
      <w:r w:rsidR="000D250A" w:rsidRPr="008C67CA">
        <w:rPr>
          <w:i/>
        </w:rPr>
        <w:instrText xml:space="preserve">MAT </w:instrText>
      </w:r>
      <w:r w:rsidR="000D250A" w:rsidRPr="008C67CA">
        <w:rPr>
          <w:i/>
          <w:color w:val="000000"/>
        </w:rPr>
      </w:r>
      <w:r w:rsidR="000D250A" w:rsidRPr="008C67CA">
        <w:rPr>
          <w:i/>
          <w:color w:val="000000"/>
        </w:rPr>
        <w:fldChar w:fldCharType="separate"/>
      </w:r>
      <w:r w:rsidR="00467B4F" w:rsidRPr="008C67CA">
        <w:rPr>
          <w:i/>
          <w:color w:val="000000"/>
        </w:rPr>
        <w:t>Expanding opportunity to all</w:t>
      </w:r>
      <w:r w:rsidR="000D250A" w:rsidRPr="008C67CA">
        <w:rPr>
          <w:i/>
          <w:color w:val="000000"/>
        </w:rPr>
        <w:fldChar w:fldCharType="end"/>
      </w:r>
      <w:r w:rsidR="000D250A" w:rsidRPr="008C67CA">
        <w:t>:</w:t>
      </w:r>
    </w:p>
    <w:p w14:paraId="6480C8FD" w14:textId="2AEFF7A3" w:rsidR="009218BF" w:rsidRPr="00C4084C" w:rsidRDefault="009218BF" w:rsidP="000E0238">
      <w:pPr>
        <w:pStyle w:val="ListBullet"/>
      </w:pPr>
      <w:r w:rsidRPr="00C4084C">
        <w:t>students from low</w:t>
      </w:r>
      <w:r w:rsidR="004C4101" w:rsidRPr="00C4084C">
        <w:t xml:space="preserve"> </w:t>
      </w:r>
      <w:r w:rsidRPr="00C4084C">
        <w:t>SES backgrounds</w:t>
      </w:r>
    </w:p>
    <w:p w14:paraId="3CDB1932" w14:textId="77777777" w:rsidR="00B920D4" w:rsidRPr="00C4084C" w:rsidRDefault="00B920D4" w:rsidP="000E0238">
      <w:pPr>
        <w:pStyle w:val="ListBullet"/>
      </w:pPr>
      <w:r w:rsidRPr="00C4084C">
        <w:t>First Nations students</w:t>
      </w:r>
    </w:p>
    <w:p w14:paraId="3C6261EA" w14:textId="77777777" w:rsidR="00B920D4" w:rsidRPr="00C4084C" w:rsidRDefault="00B920D4" w:rsidP="000E0238">
      <w:pPr>
        <w:pStyle w:val="ListBullet"/>
      </w:pPr>
      <w:r w:rsidRPr="00C4084C">
        <w:t>students with disability.</w:t>
      </w:r>
    </w:p>
    <w:p w14:paraId="2553242D" w14:textId="53B90781" w:rsidR="00B920D4" w:rsidRPr="00C4084C" w:rsidRDefault="00B920D4" w:rsidP="00B17584">
      <w:r w:rsidRPr="00C4084C">
        <w:lastRenderedPageBreak/>
        <w:t xml:space="preserve">The additional cost of supporting groups historically </w:t>
      </w:r>
      <w:r w:rsidR="00D7545F" w:rsidRPr="00C4084C">
        <w:t>under-represented</w:t>
      </w:r>
      <w:r w:rsidRPr="00C4084C">
        <w:t xml:space="preserve"> in higher education to succeed is well established. These costs include a range of learning support and broader student support needs.</w:t>
      </w:r>
    </w:p>
    <w:p w14:paraId="019FA7D8" w14:textId="39931093" w:rsidR="00B920D4" w:rsidRPr="00C4084C" w:rsidRDefault="00B920D4" w:rsidP="00B17584">
      <w:r w:rsidRPr="00C4084C">
        <w:t xml:space="preserve">The approach and distribution of student-based loadings should be determined by the </w:t>
      </w:r>
      <w:r w:rsidR="00362122" w:rsidRPr="00C4084C">
        <w:t>Commission</w:t>
      </w:r>
      <w:r w:rsidRPr="00C4084C">
        <w:t xml:space="preserve">, based on the best available evidence on additional cost, and taking account of available funding. </w:t>
      </w:r>
    </w:p>
    <w:p w14:paraId="64F6C69C" w14:textId="4C743C2F" w:rsidR="00B920D4" w:rsidRPr="00C4084C" w:rsidRDefault="00B920D4" w:rsidP="00B17584">
      <w:r w:rsidRPr="00C4084C">
        <w:t xml:space="preserve">Before the new funding model is implemented, further design work should be undertaken to ensure this additional funding is distributed to </w:t>
      </w:r>
      <w:r w:rsidR="00E73815" w:rsidRPr="00C4084C">
        <w:t>universities</w:t>
      </w:r>
      <w:r w:rsidRPr="00C4084C">
        <w:t xml:space="preserve"> in a way that genuinely supports students with additional learning and support needs. A key starting point is to consider scaling the funding based on students’ preparedness to study, and to consider whether this loading should be </w:t>
      </w:r>
      <w:proofErr w:type="gramStart"/>
      <w:r w:rsidRPr="00C4084C">
        <w:t>on the basis of</w:t>
      </w:r>
      <w:proofErr w:type="gramEnd"/>
      <w:r w:rsidRPr="00C4084C">
        <w:t xml:space="preserve"> headcount rather than EFTSL to reflect how broader student support is utilised by these students.</w:t>
      </w:r>
    </w:p>
    <w:p w14:paraId="6A2E30E7" w14:textId="4901D4EA" w:rsidR="00B920D4" w:rsidRPr="00C4084C" w:rsidRDefault="00B920D4" w:rsidP="00B17584">
      <w:r w:rsidRPr="00C4084C">
        <w:t xml:space="preserve">The reasons for the introduction of needs-based student loadings were </w:t>
      </w:r>
      <w:r w:rsidR="00314DDC" w:rsidRPr="00C4084C">
        <w:t>discussed in detail</w:t>
      </w:r>
      <w:r w:rsidRPr="00C4084C">
        <w:t xml:space="preserve"> in </w:t>
      </w:r>
      <w:r w:rsidR="007862AE" w:rsidRPr="00C4084C">
        <w:rPr>
          <w:i/>
          <w:highlight w:val="yellow"/>
        </w:rPr>
        <w:fldChar w:fldCharType="begin"/>
      </w:r>
      <w:r w:rsidR="007862AE" w:rsidRPr="00C4084C">
        <w:rPr>
          <w:i/>
        </w:rPr>
        <w:instrText xml:space="preserve"> REF _Ref151934425 \r \h </w:instrText>
      </w:r>
      <w:r w:rsidR="005513E1" w:rsidRPr="00C4084C">
        <w:rPr>
          <w:i/>
        </w:rPr>
        <w:instrText xml:space="preserve"> \* MERGEFORMAT </w:instrText>
      </w:r>
      <w:r w:rsidR="007862AE" w:rsidRPr="00C4084C">
        <w:rPr>
          <w:i/>
          <w:highlight w:val="yellow"/>
        </w:rPr>
      </w:r>
      <w:r w:rsidR="007862AE" w:rsidRPr="00C4084C">
        <w:rPr>
          <w:i/>
          <w:highlight w:val="yellow"/>
        </w:rPr>
        <w:fldChar w:fldCharType="separate"/>
      </w:r>
      <w:r w:rsidR="00467B4F">
        <w:rPr>
          <w:i/>
        </w:rPr>
        <w:t xml:space="preserve">Chapter 3 – </w:t>
      </w:r>
      <w:r w:rsidR="007862AE" w:rsidRPr="00C4084C">
        <w:rPr>
          <w:i/>
          <w:highlight w:val="yellow"/>
        </w:rPr>
        <w:fldChar w:fldCharType="end"/>
      </w:r>
      <w:r w:rsidR="00076E04" w:rsidRPr="00C4084C">
        <w:rPr>
          <w:i/>
          <w:highlight w:val="yellow"/>
        </w:rPr>
        <w:fldChar w:fldCharType="begin"/>
      </w:r>
      <w:r w:rsidR="00076E04" w:rsidRPr="00C4084C">
        <w:rPr>
          <w:i/>
          <w:highlight w:val="yellow"/>
        </w:rPr>
        <w:instrText xml:space="preserve"> REF _Ref151934425 \h </w:instrText>
      </w:r>
      <w:r w:rsidR="00467A5A" w:rsidRPr="00C4084C">
        <w:rPr>
          <w:i/>
          <w:highlight w:val="yellow"/>
        </w:rPr>
        <w:instrText xml:space="preserve"> \* MERGEFORMAT </w:instrText>
      </w:r>
      <w:r w:rsidR="00076E04" w:rsidRPr="00C4084C">
        <w:rPr>
          <w:i/>
          <w:highlight w:val="yellow"/>
        </w:rPr>
      </w:r>
      <w:r w:rsidR="00076E04" w:rsidRPr="00C4084C">
        <w:rPr>
          <w:i/>
          <w:highlight w:val="yellow"/>
        </w:rPr>
        <w:fldChar w:fldCharType="separate"/>
      </w:r>
      <w:r w:rsidR="00467B4F" w:rsidRPr="00467B4F">
        <w:rPr>
          <w:i/>
          <w:iCs/>
        </w:rPr>
        <w:t>Expanding opportunity to all</w:t>
      </w:r>
      <w:r w:rsidR="00076E04" w:rsidRPr="00C4084C">
        <w:rPr>
          <w:i/>
          <w:highlight w:val="yellow"/>
        </w:rPr>
        <w:fldChar w:fldCharType="end"/>
      </w:r>
      <w:r w:rsidR="009218BF" w:rsidRPr="00C4084C">
        <w:t>.</w:t>
      </w:r>
      <w:r w:rsidRPr="00C4084C">
        <w:t xml:space="preserve"> The Review is strongly of the view that this measure is necessary to increase enrolments from </w:t>
      </w:r>
      <w:r w:rsidR="00D7545F" w:rsidRPr="00C4084C">
        <w:t>under-represented</w:t>
      </w:r>
      <w:r w:rsidRPr="00C4084C">
        <w:t xml:space="preserve"> cohorts and maximise their opportunities for success.</w:t>
      </w:r>
    </w:p>
    <w:p w14:paraId="3409B0A4" w14:textId="77777777" w:rsidR="00B920D4" w:rsidRPr="00C4084C" w:rsidRDefault="00B920D4" w:rsidP="0026123A">
      <w:pPr>
        <w:pStyle w:val="Heading6"/>
      </w:pPr>
      <w:r w:rsidRPr="00C4084C">
        <w:t>Delivery-based loading</w:t>
      </w:r>
    </w:p>
    <w:p w14:paraId="4D5E86B4" w14:textId="0507A631" w:rsidR="00B920D4" w:rsidRPr="00C4084C" w:rsidRDefault="00B920D4" w:rsidP="00B17584">
      <w:r w:rsidRPr="00C4084C">
        <w:t xml:space="preserve">In addition to loadings based on student characteristics, the </w:t>
      </w:r>
      <w:r w:rsidR="00207196" w:rsidRPr="00C4084C">
        <w:t xml:space="preserve">Australian </w:t>
      </w:r>
      <w:r w:rsidRPr="00C4084C">
        <w:t xml:space="preserve">Government should also provide </w:t>
      </w:r>
      <w:r w:rsidR="00BA312E" w:rsidRPr="00C4084C">
        <w:t xml:space="preserve">a </w:t>
      </w:r>
      <w:r w:rsidRPr="00C4084C">
        <w:t xml:space="preserve">regional delivery loading to support the greater cost of delivering </w:t>
      </w:r>
      <w:r w:rsidR="00342187" w:rsidRPr="00C4084C">
        <w:t>courses to students</w:t>
      </w:r>
      <w:r w:rsidRPr="00C4084C">
        <w:t xml:space="preserve"> in the regions. </w:t>
      </w:r>
      <w:proofErr w:type="gramStart"/>
      <w:r w:rsidRPr="00C4084C">
        <w:t>Similar to</w:t>
      </w:r>
      <w:proofErr w:type="gramEnd"/>
      <w:r w:rsidRPr="00C4084C">
        <w:t xml:space="preserve"> the current Regional Loading Program, this loading would be based on the point of delivery. This funding is vital to ensure that all students across Australia have access to high-quality provision, no matter where they choose to study. </w:t>
      </w:r>
    </w:p>
    <w:p w14:paraId="3E628F04" w14:textId="77777777" w:rsidR="00B920D4" w:rsidRPr="00C4084C" w:rsidRDefault="00B920D4" w:rsidP="00B17584">
      <w:r w:rsidRPr="00C4084C">
        <w:t xml:space="preserve">Analysis of regional providers shows that regional campuses operate with significantly lower student numbers compared to metropolitan campuses, with providers often delivering learning, teaching, </w:t>
      </w:r>
      <w:proofErr w:type="gramStart"/>
      <w:r w:rsidRPr="00C4084C">
        <w:t>scholarship</w:t>
      </w:r>
      <w:proofErr w:type="gramEnd"/>
      <w:r w:rsidRPr="00C4084C">
        <w:t xml:space="preserve"> and student support across multiple campuses that are spread over large geographical distances. </w:t>
      </w:r>
      <w:r w:rsidR="00687499" w:rsidRPr="00C4084C">
        <w:t>This results in higher costs of delivery per student as noted in consultations and a commissioned government study.</w:t>
      </w:r>
      <w:r w:rsidR="00687499" w:rsidRPr="00C4084C">
        <w:rPr>
          <w:rStyle w:val="FootnoteReference"/>
        </w:rPr>
        <w:footnoteReference w:id="444"/>
      </w:r>
      <w:r w:rsidR="00687499" w:rsidRPr="00C4084C">
        <w:t xml:space="preserve"> A regional delivery loading should consider campus location, student composition, and enrolments in distributing funding. This should ensure additional funding is distributed based on need and</w:t>
      </w:r>
      <w:r w:rsidRPr="00C4084C">
        <w:t xml:space="preserve"> perverse incentives are avoided.</w:t>
      </w:r>
    </w:p>
    <w:p w14:paraId="66156E4F" w14:textId="61A43044" w:rsidR="00687499" w:rsidRPr="00C4084C" w:rsidRDefault="00687499" w:rsidP="00B17584">
      <w:pPr>
        <w:rPr>
          <w:rFonts w:cstheme="minorHAnsi"/>
        </w:rPr>
      </w:pPr>
      <w:r w:rsidRPr="00C4084C">
        <w:rPr>
          <w:rStyle w:val="A5"/>
          <w:rFonts w:cstheme="minorBidi"/>
          <w:color w:val="auto"/>
          <w:sz w:val="22"/>
        </w:rPr>
        <w:t xml:space="preserve">The approach and distribution of this delivery-based loading, including how to deal with online delivery, would be determined by the </w:t>
      </w:r>
      <w:r w:rsidR="00362122" w:rsidRPr="00C4084C">
        <w:t>Commission</w:t>
      </w:r>
      <w:r w:rsidRPr="00C4084C">
        <w:rPr>
          <w:rStyle w:val="A5"/>
          <w:rFonts w:cstheme="minorBidi"/>
          <w:color w:val="auto"/>
          <w:sz w:val="22"/>
        </w:rPr>
        <w:t xml:space="preserve">, </w:t>
      </w:r>
      <w:r w:rsidR="007B70C6">
        <w:rPr>
          <w:rStyle w:val="A5"/>
          <w:rFonts w:cstheme="minorBidi"/>
          <w:color w:val="auto"/>
          <w:sz w:val="22"/>
        </w:rPr>
        <w:t xml:space="preserve">again factoring in </w:t>
      </w:r>
      <w:r w:rsidRPr="00C4084C">
        <w:rPr>
          <w:rStyle w:val="A5"/>
          <w:rFonts w:cstheme="minorBidi"/>
          <w:color w:val="auto"/>
          <w:sz w:val="22"/>
        </w:rPr>
        <w:t xml:space="preserve">the best evidence available of additional cost and </w:t>
      </w:r>
      <w:r w:rsidR="00CB5997" w:rsidRPr="00C4084C">
        <w:rPr>
          <w:rStyle w:val="A5"/>
          <w:rFonts w:cstheme="minorBidi"/>
          <w:color w:val="auto"/>
          <w:sz w:val="22"/>
        </w:rPr>
        <w:t>considering</w:t>
      </w:r>
      <w:r w:rsidRPr="00C4084C">
        <w:rPr>
          <w:rStyle w:val="A5"/>
          <w:rFonts w:cstheme="minorBidi"/>
          <w:color w:val="auto"/>
          <w:sz w:val="22"/>
        </w:rPr>
        <w:t xml:space="preserve"> available funding.</w:t>
      </w:r>
    </w:p>
    <w:p w14:paraId="5D3F5974" w14:textId="24789D8B" w:rsidR="00B920D4" w:rsidRPr="00C4084C" w:rsidRDefault="00FD0545" w:rsidP="00BA6095">
      <w:pPr>
        <w:pStyle w:val="Heading4"/>
      </w:pPr>
      <w:bookmarkStart w:id="1565" w:name="_Toc151815662"/>
      <w:bookmarkStart w:id="1566" w:name="_Toc159501021"/>
      <w:r w:rsidRPr="00C4084C">
        <w:t>Delivering</w:t>
      </w:r>
      <w:r w:rsidR="00687499" w:rsidRPr="00C4084C">
        <w:t xml:space="preserve"> growth</w:t>
      </w:r>
      <w:bookmarkEnd w:id="1565"/>
      <w:bookmarkEnd w:id="1566"/>
    </w:p>
    <w:p w14:paraId="06872FA3" w14:textId="117F49D8" w:rsidR="004C0FB5" w:rsidRPr="00C4084C" w:rsidRDefault="004C0FB5" w:rsidP="00B17584">
      <w:r w:rsidRPr="00C4084C">
        <w:t>Given the need for skilled graduates, the funding system</w:t>
      </w:r>
      <w:r w:rsidR="002A26BD" w:rsidRPr="00C4084C">
        <w:t xml:space="preserve"> </w:t>
      </w:r>
      <w:r w:rsidR="00402C69" w:rsidRPr="00C4084C">
        <w:t>will need to</w:t>
      </w:r>
      <w:r w:rsidR="002A26BD" w:rsidRPr="00C4084C">
        <w:t xml:space="preserve"> </w:t>
      </w:r>
      <w:r w:rsidRPr="00C4084C">
        <w:t>support a substantial growth in enrolments. Th</w:t>
      </w:r>
      <w:r w:rsidR="2A2F99AB" w:rsidRPr="00C4084C">
        <w:t>e recommendations of this Review</w:t>
      </w:r>
      <w:r w:rsidRPr="00C4084C">
        <w:t xml:space="preserve"> </w:t>
      </w:r>
      <w:r w:rsidR="009B717C" w:rsidRPr="00C4084C">
        <w:t>include</w:t>
      </w:r>
      <w:r w:rsidRPr="00C4084C">
        <w:t xml:space="preserve"> a stimul</w:t>
      </w:r>
      <w:r w:rsidR="00551F6B" w:rsidRPr="00C4084C">
        <w:t>us</w:t>
      </w:r>
      <w:r w:rsidRPr="00C4084C">
        <w:t xml:space="preserve"> for further growth in enrolments </w:t>
      </w:r>
      <w:r w:rsidR="009B717C" w:rsidRPr="00C4084C">
        <w:t xml:space="preserve">to </w:t>
      </w:r>
      <w:r w:rsidRPr="00C4084C">
        <w:t xml:space="preserve">ensure that students who want to pursue higher education and can meet admission requirements have access to a fully funded place. </w:t>
      </w:r>
    </w:p>
    <w:p w14:paraId="0B3B23CF" w14:textId="14693DB7" w:rsidR="004C0FB5" w:rsidRPr="00C4084C" w:rsidRDefault="004C0FB5" w:rsidP="00B17584">
      <w:r w:rsidRPr="00C4084C">
        <w:t>The fully funded place</w:t>
      </w:r>
      <w:r w:rsidR="00326C64" w:rsidRPr="00C4084C">
        <w:t>s</w:t>
      </w:r>
      <w:r w:rsidRPr="00C4084C">
        <w:t xml:space="preserve"> could be in </w:t>
      </w:r>
      <w:r w:rsidR="00CB5997">
        <w:t>a preparatory</w:t>
      </w:r>
      <w:r w:rsidR="00326C64" w:rsidRPr="00C4084C">
        <w:t xml:space="preserve"> </w:t>
      </w:r>
      <w:r w:rsidRPr="00C4084C">
        <w:t>or a higher education course</w:t>
      </w:r>
      <w:r w:rsidR="00B83E32" w:rsidRPr="00C4084C">
        <w:t>,</w:t>
      </w:r>
      <w:r w:rsidRPr="00C4084C">
        <w:t xml:space="preserve"> and students should be able to fully transfer between courses and universities. Building on their hard work and achievement, students </w:t>
      </w:r>
      <w:r w:rsidR="0045543A" w:rsidRPr="00C4084C">
        <w:t xml:space="preserve">must be able to </w:t>
      </w:r>
      <w:r w:rsidRPr="00C4084C">
        <w:t xml:space="preserve">move flexibly through the higher education system to gain the qualifications to which they aspire. In the case of a student who is studying at a provider with </w:t>
      </w:r>
      <w:r w:rsidR="37A14FE3" w:rsidRPr="00C4084C">
        <w:lastRenderedPageBreak/>
        <w:t>Commonwealth supported places</w:t>
      </w:r>
      <w:r w:rsidRPr="00C4084C">
        <w:t xml:space="preserve">, fully funded means the student </w:t>
      </w:r>
      <w:r w:rsidRPr="00C4084C" w:rsidDel="003D4C72">
        <w:rPr>
          <w:rStyle w:val="s2"/>
        </w:rPr>
        <w:t>will</w:t>
      </w:r>
      <w:r w:rsidRPr="00C4084C">
        <w:t xml:space="preserve"> have access to a </w:t>
      </w:r>
      <w:r w:rsidR="5561F61A" w:rsidRPr="00C4084C">
        <w:t>place</w:t>
      </w:r>
      <w:r w:rsidRPr="00C4084C">
        <w:t xml:space="preserve"> and HECS-HELP arrangements.</w:t>
      </w:r>
    </w:p>
    <w:p w14:paraId="76D97A63" w14:textId="69003B0D" w:rsidR="004C0FB5" w:rsidRPr="00C4084C" w:rsidRDefault="004C0FB5" w:rsidP="00B17584">
      <w:r w:rsidRPr="00C4084C">
        <w:t xml:space="preserve">The </w:t>
      </w:r>
      <w:r w:rsidR="518FBD25" w:rsidRPr="00C4084C">
        <w:t xml:space="preserve">Review proposes a </w:t>
      </w:r>
      <w:r w:rsidRPr="00C4084C">
        <w:t xml:space="preserve">Managed Growth funding system </w:t>
      </w:r>
      <w:r w:rsidR="00237156" w:rsidRPr="00C4084C">
        <w:t>which</w:t>
      </w:r>
      <w:r w:rsidRPr="00C4084C">
        <w:t xml:space="preserve"> should have the following features:</w:t>
      </w:r>
    </w:p>
    <w:p w14:paraId="10391F07" w14:textId="2B8C93B5" w:rsidR="004C0FB5" w:rsidRPr="00C4084C" w:rsidRDefault="00CB5997" w:rsidP="00387598">
      <w:pPr>
        <w:pStyle w:val="ListBullet"/>
      </w:pPr>
      <w:r>
        <w:t>t</w:t>
      </w:r>
      <w:r w:rsidR="004C0FB5" w:rsidRPr="00C4084C">
        <w:t>he system provides for freedom within a framework</w:t>
      </w:r>
      <w:r w:rsidR="00FD0545" w:rsidRPr="00C4084C">
        <w:t>;</w:t>
      </w:r>
      <w:r w:rsidR="008816B3" w:rsidRPr="00C4084C">
        <w:t xml:space="preserve"> </w:t>
      </w:r>
      <w:r w:rsidR="00FD0545" w:rsidRPr="00C4084C">
        <w:t>p</w:t>
      </w:r>
      <w:r w:rsidR="00844A95" w:rsidRPr="00C4084C">
        <w:t>roviders</w:t>
      </w:r>
      <w:r w:rsidR="00FD0545" w:rsidRPr="00C4084C">
        <w:t xml:space="preserve"> should</w:t>
      </w:r>
      <w:r w:rsidR="00844A95" w:rsidRPr="00C4084C">
        <w:t xml:space="preserve"> have freedom to make choices regarding their enrolments and finances, within a framework set out by the funding principles and monitored by the </w:t>
      </w:r>
      <w:proofErr w:type="gramStart"/>
      <w:r w:rsidR="00844A95" w:rsidRPr="00C4084C">
        <w:t>Commission</w:t>
      </w:r>
      <w:proofErr w:type="gramEnd"/>
    </w:p>
    <w:p w14:paraId="7A681B24" w14:textId="4B0B5DBF" w:rsidR="004C0FB5" w:rsidRPr="00C4084C" w:rsidRDefault="00CB5997" w:rsidP="00387598">
      <w:pPr>
        <w:pStyle w:val="ListBullet"/>
      </w:pPr>
      <w:r>
        <w:t>t</w:t>
      </w:r>
      <w:r w:rsidRPr="00C4084C">
        <w:t xml:space="preserve">here </w:t>
      </w:r>
      <w:r w:rsidR="004C0FB5" w:rsidRPr="00C4084C">
        <w:t xml:space="preserve">is no ‘over-enrolment’ of students who only attract partial funding – the enrolment cap would be a hard cap that prevents universities from enrolling </w:t>
      </w:r>
      <w:r w:rsidR="002424B6" w:rsidRPr="00C4084C">
        <w:t xml:space="preserve">students in </w:t>
      </w:r>
      <w:r w:rsidR="412E0B32" w:rsidRPr="00C4084C">
        <w:t>Commonwealth supported places</w:t>
      </w:r>
      <w:r w:rsidR="004C0FB5" w:rsidRPr="00C4084C">
        <w:t xml:space="preserve"> above that EFTSL cap.</w:t>
      </w:r>
    </w:p>
    <w:p w14:paraId="06E63ED9" w14:textId="34E0E69E" w:rsidR="004C0FB5" w:rsidRPr="00C4084C" w:rsidRDefault="004C0FB5" w:rsidP="00B17584">
      <w:r w:rsidRPr="00C4084C">
        <w:t xml:space="preserve">There would be growth in the system, with the </w:t>
      </w:r>
      <w:r w:rsidR="00362122" w:rsidRPr="00C4084C">
        <w:t>Commission</w:t>
      </w:r>
      <w:r w:rsidRPr="00C4084C">
        <w:t xml:space="preserve"> taking a central role </w:t>
      </w:r>
      <w:r w:rsidR="00F018B3" w:rsidRPr="00C4084C">
        <w:t>involving</w:t>
      </w:r>
      <w:r w:rsidRPr="00C4084C">
        <w:t>:</w:t>
      </w:r>
    </w:p>
    <w:p w14:paraId="4A05CD98" w14:textId="6A933231" w:rsidR="004C0FB5" w:rsidRPr="00C4084C" w:rsidRDefault="004C0FB5" w:rsidP="00CA51A5">
      <w:pPr>
        <w:pStyle w:val="ListBullet"/>
      </w:pPr>
      <w:r w:rsidRPr="00C4084C">
        <w:rPr>
          <w:b/>
        </w:rPr>
        <w:t xml:space="preserve">managing </w:t>
      </w:r>
      <w:r w:rsidR="00402C69" w:rsidRPr="00C4084C">
        <w:rPr>
          <w:b/>
        </w:rPr>
        <w:t>enrolments</w:t>
      </w:r>
      <w:r w:rsidRPr="00C4084C">
        <w:rPr>
          <w:b/>
        </w:rPr>
        <w:t xml:space="preserve"> at the system level</w:t>
      </w:r>
      <w:r w:rsidR="00F018B3" w:rsidRPr="00C4084C">
        <w:rPr>
          <w:b/>
        </w:rPr>
        <w:t>,</w:t>
      </w:r>
      <w:r w:rsidRPr="00C4084C">
        <w:t xml:space="preserve"> as the system-wide trajectory of forecast enrolments will have growth built in, with a mechanism to manage sustained and system-wide growth above trajectory </w:t>
      </w:r>
      <w:proofErr w:type="gramStart"/>
      <w:r w:rsidRPr="00C4084C">
        <w:t>demand</w:t>
      </w:r>
      <w:proofErr w:type="gramEnd"/>
    </w:p>
    <w:p w14:paraId="5BAD13FD" w14:textId="77777777" w:rsidR="004C0FB5" w:rsidRPr="00C4084C" w:rsidRDefault="004C0FB5" w:rsidP="00CA51A5">
      <w:pPr>
        <w:pStyle w:val="ListBullet"/>
      </w:pPr>
      <w:r w:rsidRPr="00C4084C">
        <w:rPr>
          <w:b/>
        </w:rPr>
        <w:t>planning at the university level</w:t>
      </w:r>
      <w:r w:rsidRPr="0072052F">
        <w:rPr>
          <w:b/>
        </w:rPr>
        <w:t>,</w:t>
      </w:r>
      <w:r w:rsidRPr="00C4084C">
        <w:t xml:space="preserve"> as there will be a university-level safety net and growth trajectory expressed in </w:t>
      </w:r>
      <w:proofErr w:type="gramStart"/>
      <w:r w:rsidRPr="00C4084C">
        <w:t>EFTSL</w:t>
      </w:r>
      <w:proofErr w:type="gramEnd"/>
    </w:p>
    <w:p w14:paraId="19E4AD99" w14:textId="4228895A" w:rsidR="004C0FB5" w:rsidRPr="00C4084C" w:rsidRDefault="004C0FB5" w:rsidP="00CA51A5">
      <w:pPr>
        <w:pStyle w:val="ListBullet"/>
      </w:pPr>
      <w:r w:rsidRPr="00C4084C">
        <w:rPr>
          <w:b/>
        </w:rPr>
        <w:t>monitoring at the regional level</w:t>
      </w:r>
      <w:r w:rsidR="00BF3795">
        <w:rPr>
          <w:b/>
        </w:rPr>
        <w:t>,</w:t>
      </w:r>
      <w:r w:rsidRPr="00C4084C">
        <w:t xml:space="preserve"> to provide flexibility for place-based decisions and manage above-trajectory growth across the region.</w:t>
      </w:r>
    </w:p>
    <w:p w14:paraId="74E49481" w14:textId="64855926" w:rsidR="004C0FB5" w:rsidRPr="00C4084C" w:rsidRDefault="004C0FB5" w:rsidP="00B17584">
      <w:r w:rsidRPr="00C4084C">
        <w:t xml:space="preserve">While there would be expansion in the system to meet student demand and skills needs, this should not come about through a reduction in quality and admissions standards. Universities would remain accountable for admitting students who are suitable to undertake the course of study for which they have applied. Equally, </w:t>
      </w:r>
      <w:r w:rsidR="00402C69" w:rsidRPr="00C4084C">
        <w:t>where</w:t>
      </w:r>
      <w:r w:rsidRPr="00C4084C">
        <w:t xml:space="preserve"> there are hard limits to enrolment, extra effort would be needed to ensure that the system becomes less stratified on equity over time, not more.</w:t>
      </w:r>
    </w:p>
    <w:p w14:paraId="00221579" w14:textId="1BF81ACA" w:rsidR="004C0FB5" w:rsidRPr="00C4084C" w:rsidRDefault="004C0FB5" w:rsidP="00B17584">
      <w:r w:rsidRPr="00C4084C">
        <w:t xml:space="preserve">As part of a Managed Growth system, universities would be required to regularly discuss their plans and ambitions with the </w:t>
      </w:r>
      <w:r w:rsidR="00362122" w:rsidRPr="00C4084C">
        <w:t>Commission</w:t>
      </w:r>
      <w:r w:rsidRPr="00C4084C">
        <w:t xml:space="preserve"> and </w:t>
      </w:r>
      <w:proofErr w:type="gramStart"/>
      <w:r w:rsidRPr="00C4084C">
        <w:t>enter into</w:t>
      </w:r>
      <w:proofErr w:type="gramEnd"/>
      <w:r w:rsidRPr="00C4084C">
        <w:t xml:space="preserve"> </w:t>
      </w:r>
      <w:r w:rsidR="00F7219B" w:rsidRPr="00C4084C">
        <w:t xml:space="preserve">mission-based </w:t>
      </w:r>
      <w:r w:rsidRPr="00C4084C">
        <w:t>compacts that establish their plans over the medium term.</w:t>
      </w:r>
    </w:p>
    <w:p w14:paraId="3F676F7A" w14:textId="0E183DCF" w:rsidR="004C0FB5" w:rsidRPr="00C4084C" w:rsidRDefault="004C0FB5" w:rsidP="00B17584">
      <w:pPr>
        <w:rPr>
          <w:rStyle w:val="s2"/>
        </w:rPr>
      </w:pPr>
      <w:r w:rsidRPr="00C4084C">
        <w:rPr>
          <w:rStyle w:val="s2"/>
        </w:rPr>
        <w:t xml:space="preserve">While growth in enrolments is an important part of this model, recent economic conditions and a strong labour market have led to a significant softening in demand for higher education in recent years. This has affected the delivery of the </w:t>
      </w:r>
      <w:r w:rsidR="00207196" w:rsidRPr="00C4084C">
        <w:rPr>
          <w:rStyle w:val="s2"/>
        </w:rPr>
        <w:t xml:space="preserve">Australian </w:t>
      </w:r>
      <w:r w:rsidRPr="00C4084C">
        <w:rPr>
          <w:rStyle w:val="s2"/>
        </w:rPr>
        <w:t xml:space="preserve">Government’s commitment to provide 20,000 commencing </w:t>
      </w:r>
      <w:r w:rsidR="7C915676" w:rsidRPr="00C4084C">
        <w:t>Commonwealth supported places</w:t>
      </w:r>
      <w:r w:rsidRPr="00C4084C">
        <w:rPr>
          <w:rStyle w:val="s2"/>
        </w:rPr>
        <w:t xml:space="preserve"> in 2023 and 2024, which was aimed at tackling skills shortages and giv</w:t>
      </w:r>
      <w:r w:rsidR="00237156" w:rsidRPr="00C4084C">
        <w:rPr>
          <w:rStyle w:val="s2"/>
        </w:rPr>
        <w:t>ing</w:t>
      </w:r>
      <w:r w:rsidRPr="00C4084C">
        <w:rPr>
          <w:rStyle w:val="s2"/>
        </w:rPr>
        <w:t xml:space="preserve"> more students from under</w:t>
      </w:r>
      <w:r w:rsidR="00152224">
        <w:rPr>
          <w:rStyle w:val="s2"/>
        </w:rPr>
        <w:t>-</w:t>
      </w:r>
      <w:r w:rsidRPr="00C4084C">
        <w:rPr>
          <w:rStyle w:val="s2"/>
        </w:rPr>
        <w:t>represented backgrounds the chance to go to university.</w:t>
      </w:r>
    </w:p>
    <w:p w14:paraId="7E2C724F" w14:textId="3D8E0A5A" w:rsidR="004C0FB5" w:rsidRPr="00C4084C" w:rsidRDefault="004C0FB5" w:rsidP="00B17584">
      <w:pPr>
        <w:rPr>
          <w:rStyle w:val="s2"/>
        </w:rPr>
      </w:pPr>
      <w:r w:rsidRPr="00C4084C">
        <w:rPr>
          <w:rStyle w:val="s2"/>
        </w:rPr>
        <w:t xml:space="preserve">Given there will need to be growth in the number of </w:t>
      </w:r>
      <w:r w:rsidR="75F01EA3" w:rsidRPr="00C4084C">
        <w:t>Commonwealth supported places</w:t>
      </w:r>
      <w:r w:rsidRPr="00C4084C">
        <w:rPr>
          <w:rStyle w:val="s2"/>
        </w:rPr>
        <w:t xml:space="preserve"> needed in the medium-term, the Review recommends the </w:t>
      </w:r>
      <w:r w:rsidR="00207196" w:rsidRPr="00C4084C">
        <w:rPr>
          <w:rStyle w:val="s2"/>
        </w:rPr>
        <w:t>g</w:t>
      </w:r>
      <w:r w:rsidRPr="00C4084C">
        <w:rPr>
          <w:rStyle w:val="s2"/>
        </w:rPr>
        <w:t>overnment use any of the additional 20,000 commencing places not used due to soft demand to fund equity growth in the new model, keeping to the intent of the original measure to expand opportunity for students from under</w:t>
      </w:r>
      <w:r w:rsidR="00152224">
        <w:rPr>
          <w:rStyle w:val="s2"/>
        </w:rPr>
        <w:t>-</w:t>
      </w:r>
      <w:r w:rsidRPr="00C4084C">
        <w:rPr>
          <w:rStyle w:val="s2"/>
        </w:rPr>
        <w:t>represented backgrounds</w:t>
      </w:r>
      <w:r w:rsidR="00111D92" w:rsidRPr="00C4084C">
        <w:rPr>
          <w:rStyle w:val="s2"/>
        </w:rPr>
        <w:t xml:space="preserve"> (see Recommendation 41)</w:t>
      </w:r>
      <w:r w:rsidRPr="00C4084C">
        <w:rPr>
          <w:rStyle w:val="s2"/>
        </w:rPr>
        <w:t>.</w:t>
      </w:r>
    </w:p>
    <w:p w14:paraId="3C225FF4" w14:textId="77777777" w:rsidR="00B920D4" w:rsidRPr="00C4084C" w:rsidRDefault="00B920D4" w:rsidP="007B0775">
      <w:pPr>
        <w:pStyle w:val="Heading5"/>
      </w:pPr>
      <w:r w:rsidRPr="00C4084C">
        <w:t>Moderated growth target</w:t>
      </w:r>
    </w:p>
    <w:p w14:paraId="0DC7F68D" w14:textId="5307E45F" w:rsidR="00B920D4" w:rsidRPr="00C4084C" w:rsidRDefault="00B920D4" w:rsidP="00B17584">
      <w:r w:rsidRPr="00C4084C">
        <w:t xml:space="preserve">Every </w:t>
      </w:r>
      <w:r w:rsidR="00114F95" w:rsidRPr="00C4084C">
        <w:t>university</w:t>
      </w:r>
      <w:r w:rsidR="0013597F" w:rsidRPr="00C4084C">
        <w:t xml:space="preserve"> would</w:t>
      </w:r>
      <w:r w:rsidRPr="00C4084C">
        <w:t xml:space="preserve"> have a </w:t>
      </w:r>
      <w:r w:rsidR="00152224">
        <w:t>moderated growth target (</w:t>
      </w:r>
      <w:r w:rsidR="00237156" w:rsidRPr="00C4084C">
        <w:t>MGT</w:t>
      </w:r>
      <w:r w:rsidR="00152224">
        <w:t>)</w:t>
      </w:r>
      <w:r w:rsidR="00EB672F" w:rsidRPr="00C4084C">
        <w:t>, based on EFTSL from the previous year</w:t>
      </w:r>
      <w:r w:rsidR="00ED7AE8" w:rsidRPr="00C4084C">
        <w:t>, balancing student demand and the ability of the provider to deliver a quality program</w:t>
      </w:r>
      <w:r w:rsidR="00FA6187" w:rsidRPr="00C4084C">
        <w:t>.</w:t>
      </w:r>
      <w:r w:rsidR="00D90F52" w:rsidRPr="00C4084C">
        <w:t xml:space="preserve"> This MGT will cover </w:t>
      </w:r>
      <w:r w:rsidR="00CB5997">
        <w:t>preparatory</w:t>
      </w:r>
      <w:r w:rsidR="00D90F52" w:rsidRPr="00C4084C">
        <w:t xml:space="preserve">, sub-bachelor, </w:t>
      </w:r>
      <w:proofErr w:type="gramStart"/>
      <w:r w:rsidR="00D90F52" w:rsidRPr="00C4084C">
        <w:t>bachelor</w:t>
      </w:r>
      <w:proofErr w:type="gramEnd"/>
      <w:r w:rsidR="00D90F52" w:rsidRPr="00C4084C">
        <w:t xml:space="preserve"> and postgraduate places, giving providers the </w:t>
      </w:r>
      <w:r w:rsidR="00D90F52" w:rsidRPr="00C4084C">
        <w:lastRenderedPageBreak/>
        <w:t xml:space="preserve">flexibility to move </w:t>
      </w:r>
      <w:r w:rsidR="39D3FBD5" w:rsidRPr="00C4084C">
        <w:t>Commonwealth supported places</w:t>
      </w:r>
      <w:r w:rsidR="00D90F52" w:rsidRPr="00C4084C">
        <w:t xml:space="preserve"> between different levels, but within the overall cap, to achieve an optimal outcome.</w:t>
      </w:r>
    </w:p>
    <w:p w14:paraId="4B4A29B5" w14:textId="4CD7FCBF" w:rsidR="00B920D4" w:rsidRPr="00C4084C" w:rsidRDefault="00B920D4" w:rsidP="00B17584">
      <w:r w:rsidRPr="00C4084C">
        <w:t xml:space="preserve">The </w:t>
      </w:r>
      <w:r w:rsidR="00362122" w:rsidRPr="00C4084C">
        <w:t>Commission</w:t>
      </w:r>
      <w:r w:rsidRPr="00C4084C">
        <w:t xml:space="preserve"> would determine the approach to MGTs and how these are distributed, noting </w:t>
      </w:r>
      <w:r w:rsidR="00E60CAA" w:rsidRPr="00C4084C">
        <w:t>that for ma</w:t>
      </w:r>
      <w:r w:rsidR="001318ED" w:rsidRPr="00C4084C">
        <w:t>n</w:t>
      </w:r>
      <w:r w:rsidR="00E60CAA" w:rsidRPr="00C4084C">
        <w:t xml:space="preserve">y providers, </w:t>
      </w:r>
      <w:r w:rsidRPr="00C4084C">
        <w:t xml:space="preserve">these should be ‘stretch targets’ to support overall system growth. For some providers – for example, new </w:t>
      </w:r>
      <w:r w:rsidR="00402C69" w:rsidRPr="00C4084C">
        <w:t>higher education</w:t>
      </w:r>
      <w:r w:rsidRPr="00C4084C">
        <w:t xml:space="preserve"> providers, those working closely with industry, and those in areas of rapid population growth – the MGT would be much higher to allow for rapid growth. </w:t>
      </w:r>
    </w:p>
    <w:p w14:paraId="772EDE37" w14:textId="42430BCB" w:rsidR="00B920D4" w:rsidRPr="00C4084C" w:rsidRDefault="00B920D4" w:rsidP="00B17584">
      <w:r w:rsidRPr="00C4084C">
        <w:t xml:space="preserve">Providers would not be permitted to go above their MGT without agreement from the </w:t>
      </w:r>
      <w:r w:rsidR="00362122" w:rsidRPr="00C4084C">
        <w:t>Commission</w:t>
      </w:r>
      <w:r w:rsidRPr="00C4084C">
        <w:t xml:space="preserve">. There should be a hard ceiling above which no funding (including student contributions) would be paid. MGTs are intended to be genuine growth targets that support the growth of the system to 2050. </w:t>
      </w:r>
    </w:p>
    <w:p w14:paraId="5C0FDF89" w14:textId="6C27ED15" w:rsidR="00B920D4" w:rsidRPr="00C4084C" w:rsidRDefault="00B920D4" w:rsidP="00B17584">
      <w:r w:rsidRPr="00C4084C">
        <w:t xml:space="preserve">The </w:t>
      </w:r>
      <w:r w:rsidR="00362122" w:rsidRPr="00C4084C">
        <w:t>Commission</w:t>
      </w:r>
      <w:r w:rsidRPr="00C4084C">
        <w:t xml:space="preserve"> would be responsible for monitoring the quality and direction of </w:t>
      </w:r>
      <w:r w:rsidR="00402C69" w:rsidRPr="00C4084C">
        <w:t xml:space="preserve">higher education </w:t>
      </w:r>
      <w:r w:rsidRPr="00C4084C">
        <w:t xml:space="preserve">provider growth in broad terms, to ensure that growth is aligned with </w:t>
      </w:r>
      <w:r w:rsidR="00EB672F" w:rsidRPr="00C4084C">
        <w:t xml:space="preserve">and captured in </w:t>
      </w:r>
      <w:r w:rsidRPr="00C4084C">
        <w:t xml:space="preserve">any mission-based compacts. This monitoring would apply particularly </w:t>
      </w:r>
      <w:r w:rsidR="00B65737" w:rsidRPr="00C4084C">
        <w:t>to the</w:t>
      </w:r>
      <w:r w:rsidRPr="00C4084C">
        <w:t xml:space="preserve"> tolerance band and MGT. </w:t>
      </w:r>
    </w:p>
    <w:p w14:paraId="67FF78D6" w14:textId="77777777" w:rsidR="00B920D4" w:rsidRPr="00C4084C" w:rsidRDefault="00B920D4" w:rsidP="007B0775">
      <w:pPr>
        <w:pStyle w:val="Heading5"/>
      </w:pPr>
      <w:r w:rsidRPr="00C4084C">
        <w:t>Funding floor</w:t>
      </w:r>
    </w:p>
    <w:p w14:paraId="284F5BC4" w14:textId="69355A22" w:rsidR="00EB672F" w:rsidRPr="00C4084C" w:rsidRDefault="00EB672F" w:rsidP="00B17584">
      <w:r w:rsidRPr="00C4084C">
        <w:t xml:space="preserve">Every higher education provider would also have a funding floor – the bottom end of their tolerance band (e.g. 5%) – based on EFTSL from the previous year. This would be to support those providers who </w:t>
      </w:r>
      <w:proofErr w:type="gramStart"/>
      <w:r w:rsidR="00114F95" w:rsidRPr="00C4084C">
        <w:t>have to</w:t>
      </w:r>
      <w:proofErr w:type="gramEnd"/>
      <w:r w:rsidRPr="00C4084C">
        <w:t xml:space="preserve"> manage higher levels of fluctuation in demand (for example, regional and new </w:t>
      </w:r>
      <w:r w:rsidR="00402C69" w:rsidRPr="00C4084C">
        <w:t xml:space="preserve">higher education </w:t>
      </w:r>
      <w:r w:rsidRPr="00C4084C">
        <w:t xml:space="preserve">providers), and to ensure a stable planning environment for providers to make progress against their mission and public good objectives. </w:t>
      </w:r>
    </w:p>
    <w:p w14:paraId="07802F52" w14:textId="7FD03A23" w:rsidR="00EB672F" w:rsidRPr="00C4084C" w:rsidRDefault="00EB672F" w:rsidP="00B17584">
      <w:r w:rsidRPr="00C4084C">
        <w:t xml:space="preserve">Stability needs to be balanced with the need for funding to follow demand, which a funding floor would achieve over time. Determining the funding floor for each provider, and any exceptions, would be the responsibility of the </w:t>
      </w:r>
      <w:r w:rsidR="00362122" w:rsidRPr="00C4084C">
        <w:t>Commission</w:t>
      </w:r>
      <w:r w:rsidRPr="00C4084C">
        <w:t>.</w:t>
      </w:r>
    </w:p>
    <w:p w14:paraId="5BA40A58" w14:textId="77777777" w:rsidR="00EB672F" w:rsidRPr="00C4084C" w:rsidRDefault="00EB672F" w:rsidP="009D544E">
      <w:pPr>
        <w:pStyle w:val="Heading5"/>
      </w:pPr>
      <w:r w:rsidRPr="00C4084C">
        <w:t>Tolerance band</w:t>
      </w:r>
    </w:p>
    <w:p w14:paraId="3F2DBC98" w14:textId="5A0ADB24" w:rsidR="00EB672F" w:rsidRPr="00C4084C" w:rsidRDefault="00EB672F" w:rsidP="00B17584">
      <w:pPr>
        <w:rPr>
          <w:rStyle w:val="A5"/>
          <w:rFonts w:eastAsiaTheme="majorEastAsia" w:cstheme="minorBidi"/>
          <w:b/>
          <w:color w:val="auto"/>
          <w:sz w:val="22"/>
        </w:rPr>
      </w:pPr>
      <w:r w:rsidRPr="00C4084C">
        <w:t xml:space="preserve">The tolerance band (the range of enrolments between the MGT and funding floor that the </w:t>
      </w:r>
      <w:r w:rsidR="00207196" w:rsidRPr="00C4084C">
        <w:t xml:space="preserve">Australian </w:t>
      </w:r>
      <w:r w:rsidRPr="00C4084C">
        <w:t>Government will fully</w:t>
      </w:r>
      <w:r w:rsidR="00981E1C" w:rsidRPr="00C4084C">
        <w:t xml:space="preserve"> </w:t>
      </w:r>
      <w:r w:rsidRPr="00C4084C">
        <w:t xml:space="preserve">fund a provider to deliver) should be expressed in terms of EFTSL rather than funding, as is currently the case. </w:t>
      </w:r>
      <w:r w:rsidRPr="00C4084C">
        <w:rPr>
          <w:rStyle w:val="A5"/>
          <w:rFonts w:cstheme="minorBidi"/>
          <w:color w:val="auto"/>
          <w:sz w:val="22"/>
        </w:rPr>
        <w:t xml:space="preserve">All providers should operate within a fully funded tolerance band, normally based on EFTSL from the previous year. Providers would be able to respond to demand within this tolerance band and be assured of full funding. </w:t>
      </w:r>
    </w:p>
    <w:p w14:paraId="58A8D8E7" w14:textId="70D0F6DC" w:rsidR="00EB672F" w:rsidRPr="00C4084C" w:rsidRDefault="00EB672F" w:rsidP="00B17584">
      <w:r w:rsidRPr="00C4084C">
        <w:t xml:space="preserve">This tolerance band would include </w:t>
      </w:r>
      <w:r w:rsidR="0057282E">
        <w:t>preparatory</w:t>
      </w:r>
      <w:r w:rsidR="0057282E" w:rsidRPr="00C4084C">
        <w:t xml:space="preserve"> </w:t>
      </w:r>
      <w:r w:rsidRPr="00C4084C">
        <w:t xml:space="preserve">places, non-medical </w:t>
      </w:r>
      <w:proofErr w:type="gramStart"/>
      <w:r w:rsidRPr="00C4084C">
        <w:t>undergraduate</w:t>
      </w:r>
      <w:proofErr w:type="gramEnd"/>
      <w:r w:rsidRPr="00C4084C">
        <w:t xml:space="preserve"> and non</w:t>
      </w:r>
      <w:r w:rsidR="0013597F" w:rsidRPr="00C4084C">
        <w:t>-</w:t>
      </w:r>
      <w:r w:rsidRPr="00C4084C">
        <w:t xml:space="preserve">medical postgraduate places. Providers, in broad consultation with the </w:t>
      </w:r>
      <w:r w:rsidR="00362122" w:rsidRPr="00C4084C">
        <w:t>Commission</w:t>
      </w:r>
      <w:r w:rsidRPr="00C4084C">
        <w:t>, would be able to use this funding to support students at the levels that best meet the needs of their student cohort, the community</w:t>
      </w:r>
      <w:r w:rsidR="123FC852" w:rsidRPr="00C4084C">
        <w:t>,</w:t>
      </w:r>
      <w:r w:rsidRPr="00C4084C">
        <w:t xml:space="preserve"> and skills needs.</w:t>
      </w:r>
    </w:p>
    <w:p w14:paraId="6095ECE8" w14:textId="1A2A4A10" w:rsidR="00EB672F" w:rsidRPr="00C4084C" w:rsidRDefault="00EB672F" w:rsidP="00B17584">
      <w:pPr>
        <w:rPr>
          <w:rStyle w:val="A5"/>
          <w:rFonts w:cstheme="minorBidi"/>
          <w:color w:val="auto"/>
          <w:sz w:val="22"/>
        </w:rPr>
      </w:pPr>
      <w:r w:rsidRPr="00C4084C">
        <w:rPr>
          <w:rStyle w:val="A5"/>
          <w:rFonts w:cstheme="minorBidi"/>
          <w:color w:val="auto"/>
          <w:sz w:val="22"/>
        </w:rPr>
        <w:t>Introducing a tolerance band for providers would give providers the freedom to grow and to plan in a stable funding environment, whilst still ensuring that funding follows demand over time.</w:t>
      </w:r>
    </w:p>
    <w:p w14:paraId="48735BD6" w14:textId="77777777" w:rsidR="00B920D4" w:rsidRPr="00C4084C" w:rsidRDefault="00B920D4" w:rsidP="007B0775">
      <w:pPr>
        <w:pStyle w:val="Heading5"/>
      </w:pPr>
      <w:r w:rsidRPr="00C4084C">
        <w:t xml:space="preserve">Commonwealth supported postgraduate </w:t>
      </w:r>
      <w:proofErr w:type="gramStart"/>
      <w:r w:rsidRPr="00C4084C">
        <w:t>places</w:t>
      </w:r>
      <w:proofErr w:type="gramEnd"/>
    </w:p>
    <w:p w14:paraId="0C96F9E9" w14:textId="45370FEC" w:rsidR="00B920D4" w:rsidRPr="00C4084C" w:rsidRDefault="00B920D4" w:rsidP="00B17584">
      <w:r w:rsidRPr="00C4084C">
        <w:t xml:space="preserve">There is a strong case for Commonwealth supported postgraduate places in areas of high public value (including teaching and nursing), in national priority skills areas, and for equity reasons. Postgraduate </w:t>
      </w:r>
      <w:r w:rsidR="006742C9" w:rsidRPr="00C4084C">
        <w:t xml:space="preserve">courses </w:t>
      </w:r>
      <w:r w:rsidRPr="00C4084C">
        <w:t xml:space="preserve">will be critical in meeting the future skills needs of the Australian economy. </w:t>
      </w:r>
      <w:r w:rsidRPr="00C4084C">
        <w:lastRenderedPageBreak/>
        <w:t xml:space="preserve">For this reason, Commonwealth supported postgraduate places should continue to be offered and included as part of a provider’s MGT within the tolerance band for funding. </w:t>
      </w:r>
    </w:p>
    <w:p w14:paraId="16FE18F8" w14:textId="06B518C5" w:rsidR="00B920D4" w:rsidRPr="00C4084C" w:rsidRDefault="00B920D4" w:rsidP="00B17584">
      <w:r w:rsidRPr="00C4084C">
        <w:t xml:space="preserve">The </w:t>
      </w:r>
      <w:r w:rsidR="00362122" w:rsidRPr="00C4084C">
        <w:t>Commission</w:t>
      </w:r>
      <w:r w:rsidRPr="00C4084C">
        <w:t xml:space="preserve"> should determine the eligibility of postgraduate courses for </w:t>
      </w:r>
      <w:r w:rsidR="2624011A" w:rsidRPr="00C4084C">
        <w:t xml:space="preserve">Commonwealth supported place </w:t>
      </w:r>
      <w:r w:rsidRPr="00C4084C">
        <w:t xml:space="preserve">funding. Potentially, this could be done </w:t>
      </w:r>
      <w:proofErr w:type="gramStart"/>
      <w:r w:rsidRPr="00C4084C">
        <w:t>on the basis of</w:t>
      </w:r>
      <w:proofErr w:type="gramEnd"/>
      <w:r w:rsidRPr="00C4084C">
        <w:t xml:space="preserve"> Australian Standard Classification of Education (ASCED) ‘Broad and Narrow’ Fields of Education that are in national priority skills areas and required for professional pathways. Providers would have full flexibility to offer postgraduate </w:t>
      </w:r>
      <w:r w:rsidR="5DFF4B66" w:rsidRPr="00C4084C">
        <w:t>Commonwealth supported place</w:t>
      </w:r>
      <w:r w:rsidRPr="00C4084C">
        <w:t xml:space="preserve"> courses within these fields.</w:t>
      </w:r>
    </w:p>
    <w:p w14:paraId="2D1093D9" w14:textId="776F2CCB" w:rsidR="00B920D4" w:rsidRPr="00C4084C" w:rsidRDefault="00B920D4" w:rsidP="00B17584">
      <w:r w:rsidRPr="00C4084C">
        <w:t xml:space="preserve">For non-eligible courses, providers would need approval from the </w:t>
      </w:r>
      <w:r w:rsidR="00362122" w:rsidRPr="00C4084C">
        <w:t>Commission</w:t>
      </w:r>
      <w:r w:rsidRPr="00C4084C">
        <w:t xml:space="preserve"> to offer these courses as</w:t>
      </w:r>
      <w:r w:rsidR="283A65BE" w:rsidRPr="00C4084C">
        <w:t xml:space="preserve"> Commonwealth supported places</w:t>
      </w:r>
      <w:r w:rsidRPr="00C4084C">
        <w:t xml:space="preserve">, through their mission-based compact. </w:t>
      </w:r>
      <w:r w:rsidR="00F25E6A" w:rsidRPr="00C4084C">
        <w:t>This</w:t>
      </w:r>
      <w:r w:rsidR="00EB672F" w:rsidRPr="00C4084C">
        <w:t xml:space="preserve"> would be important for institutions where academic degree structures require postgraduate places across a range of disciplines, such the University of Melbourne and University of Western Australia.</w:t>
      </w:r>
    </w:p>
    <w:p w14:paraId="7004B6AF" w14:textId="5917BF19" w:rsidR="00B920D4" w:rsidRPr="00C4084C" w:rsidRDefault="00B920D4" w:rsidP="00B17584">
      <w:r w:rsidRPr="00C4084C">
        <w:t xml:space="preserve">This approach seeks to balance the need to give maximum flexibility to providers to manage fluctuations in demand and local market conditions, alongside the </w:t>
      </w:r>
      <w:r w:rsidR="00362122" w:rsidRPr="00C4084C">
        <w:t>Commission</w:t>
      </w:r>
      <w:r w:rsidRPr="00C4084C">
        <w:t xml:space="preserve">’s responsibility to ensure that public investment is directed to areas of highest public value across the </w:t>
      </w:r>
      <w:r w:rsidR="00F25E6A" w:rsidRPr="00C4084C">
        <w:t>system</w:t>
      </w:r>
      <w:r w:rsidRPr="00C4084C">
        <w:t>.</w:t>
      </w:r>
    </w:p>
    <w:p w14:paraId="29DE8F39" w14:textId="77777777" w:rsidR="00B920D4" w:rsidRPr="00C4084C" w:rsidRDefault="00B920D4" w:rsidP="007B0775">
      <w:pPr>
        <w:pStyle w:val="Heading5"/>
      </w:pPr>
      <w:r w:rsidRPr="00C4084C">
        <w:t>Extending CGS to TAFEs</w:t>
      </w:r>
    </w:p>
    <w:p w14:paraId="5A29560C" w14:textId="6726D399" w:rsidR="00B920D4" w:rsidRPr="00C4084C" w:rsidRDefault="00EB672F" w:rsidP="00B17584">
      <w:r w:rsidRPr="00C4084C">
        <w:t>Given</w:t>
      </w:r>
      <w:r w:rsidR="00B920D4" w:rsidRPr="00C4084C">
        <w:t xml:space="preserve"> this Report’s recommendations, overall system growth will need to be supported by non-university higher education providers (NUHEPs) – particularly TAFEs. Many TAFEs currently offer higher education degrees in areas of national </w:t>
      </w:r>
      <w:proofErr w:type="gramStart"/>
      <w:r w:rsidR="00B920D4" w:rsidRPr="00C4084C">
        <w:t>need, but</w:t>
      </w:r>
      <w:proofErr w:type="gramEnd"/>
      <w:r w:rsidR="00B920D4" w:rsidRPr="00C4084C">
        <w:t xml:space="preserve"> may </w:t>
      </w:r>
      <w:r w:rsidR="00114F95" w:rsidRPr="00C4084C">
        <w:t>have</w:t>
      </w:r>
      <w:r w:rsidR="00B920D4" w:rsidRPr="00C4084C">
        <w:t xml:space="preserve"> to do so on a full fee basis as they are only allocated a limited number of </w:t>
      </w:r>
      <w:r w:rsidR="09C57EE7" w:rsidRPr="00C4084C">
        <w:t>Commonwealth supported places</w:t>
      </w:r>
      <w:r w:rsidR="00B920D4" w:rsidRPr="00C4084C">
        <w:t>. As publicly owned tertiary education institutions, they should have access to a greater number of places.</w:t>
      </w:r>
    </w:p>
    <w:p w14:paraId="7ED6EA1D" w14:textId="442FB809" w:rsidR="00B920D4" w:rsidRPr="00C4084C" w:rsidRDefault="00B920D4" w:rsidP="00B17584">
      <w:r w:rsidRPr="00C4084C">
        <w:t xml:space="preserve">The Review recommends that </w:t>
      </w:r>
      <w:r w:rsidR="5C32C15D" w:rsidRPr="00C4084C">
        <w:t>Commonwealth supported places</w:t>
      </w:r>
      <w:r w:rsidRPr="00C4084C">
        <w:t xml:space="preserve"> be allocated to high-performing TAFEs and TAFE Centres of Excellence offering higher education</w:t>
      </w:r>
      <w:r w:rsidR="002670DB" w:rsidRPr="00C4084C">
        <w:t xml:space="preserve"> </w:t>
      </w:r>
      <w:r w:rsidR="00597F37" w:rsidRPr="00C4084C">
        <w:t>(see Recommendation 41)</w:t>
      </w:r>
      <w:r w:rsidRPr="00C4084C">
        <w:t xml:space="preserve">. Eligibility for this additional funding should be determined by the </w:t>
      </w:r>
      <w:r w:rsidR="003D6703" w:rsidRPr="00C4084C">
        <w:t>Commission</w:t>
      </w:r>
      <w:r w:rsidRPr="00C4084C">
        <w:t xml:space="preserve">, </w:t>
      </w:r>
      <w:proofErr w:type="gramStart"/>
      <w:r w:rsidRPr="00C4084C">
        <w:t>taking into account</w:t>
      </w:r>
      <w:proofErr w:type="gramEnd"/>
      <w:r w:rsidRPr="00C4084C">
        <w:t xml:space="preserve"> the quality of student outcomes and institutional performance. </w:t>
      </w:r>
      <w:r w:rsidR="6FEF64F0" w:rsidRPr="00C4084C">
        <w:t>Commonwealth supported places</w:t>
      </w:r>
      <w:r w:rsidRPr="00C4084C">
        <w:t xml:space="preserve"> should be offered in areas of national priority and skills needs. Such eligibility could be linked to the proposed ability for TAFEs to self-accredit higher education qualifications, as discussed in</w:t>
      </w:r>
      <w:r w:rsidR="008D166B" w:rsidRPr="00C4084C">
        <w:t xml:space="preserve"> </w:t>
      </w:r>
      <w:r w:rsidR="004E2BFF" w:rsidRPr="00C4084C">
        <w:rPr>
          <w:i/>
          <w:iCs/>
        </w:rPr>
        <w:fldChar w:fldCharType="begin"/>
      </w:r>
      <w:r w:rsidR="004E2BFF" w:rsidRPr="00C4084C">
        <w:rPr>
          <w:i/>
          <w:iCs/>
        </w:rPr>
        <w:instrText xml:space="preserve"> REF _Ref151934666 \r \h </w:instrText>
      </w:r>
      <w:r w:rsidR="005513E1" w:rsidRPr="00C4084C">
        <w:rPr>
          <w:i/>
          <w:iCs/>
        </w:rPr>
        <w:instrText xml:space="preserve"> \* MERGEFORMAT </w:instrText>
      </w:r>
      <w:r w:rsidR="004E2BFF" w:rsidRPr="00C4084C">
        <w:rPr>
          <w:i/>
          <w:iCs/>
        </w:rPr>
      </w:r>
      <w:r w:rsidR="004E2BFF" w:rsidRPr="00C4084C">
        <w:rPr>
          <w:i/>
          <w:iCs/>
        </w:rPr>
        <w:fldChar w:fldCharType="separate"/>
      </w:r>
      <w:r w:rsidR="00467B4F">
        <w:rPr>
          <w:i/>
          <w:iCs/>
        </w:rPr>
        <w:t xml:space="preserve">Chapter 6 – </w:t>
      </w:r>
      <w:r w:rsidR="004E2BFF" w:rsidRPr="00C4084C">
        <w:rPr>
          <w:i/>
          <w:iCs/>
        </w:rPr>
        <w:fldChar w:fldCharType="end"/>
      </w:r>
      <w:r w:rsidR="00F25E6A" w:rsidRPr="00C4084C">
        <w:rPr>
          <w:i/>
          <w:iCs/>
        </w:rPr>
        <w:fldChar w:fldCharType="begin"/>
      </w:r>
      <w:r w:rsidR="00F25E6A" w:rsidRPr="00C4084C">
        <w:rPr>
          <w:i/>
          <w:iCs/>
        </w:rPr>
        <w:instrText xml:space="preserve"> REF _Ref151934666 \h </w:instrText>
      </w:r>
      <w:r w:rsidR="0024228B" w:rsidRPr="00C4084C">
        <w:rPr>
          <w:i/>
          <w:iCs/>
        </w:rPr>
        <w:instrText xml:space="preserve"> \* MERGEFORMAT </w:instrText>
      </w:r>
      <w:r w:rsidR="00F25E6A" w:rsidRPr="00C4084C">
        <w:rPr>
          <w:i/>
          <w:iCs/>
        </w:rPr>
      </w:r>
      <w:r w:rsidR="00F25E6A" w:rsidRPr="00C4084C">
        <w:rPr>
          <w:i/>
          <w:iCs/>
        </w:rPr>
        <w:fldChar w:fldCharType="separate"/>
      </w:r>
      <w:r w:rsidR="00467B4F" w:rsidRPr="00467B4F">
        <w:rPr>
          <w:i/>
          <w:iCs/>
        </w:rPr>
        <w:t>A dynamic, collaborative and responsive system that serves the national interest</w:t>
      </w:r>
      <w:r w:rsidR="00F25E6A" w:rsidRPr="00C4084C">
        <w:rPr>
          <w:i/>
          <w:iCs/>
        </w:rPr>
        <w:fldChar w:fldCharType="end"/>
      </w:r>
      <w:r w:rsidR="00EB672F" w:rsidRPr="00C4084C">
        <w:t>.</w:t>
      </w:r>
      <w:r w:rsidR="0019543D" w:rsidRPr="00C4084C">
        <w:t xml:space="preserve"> </w:t>
      </w:r>
    </w:p>
    <w:p w14:paraId="15E05FFC" w14:textId="7DB4276C" w:rsidR="00B920D4" w:rsidRPr="00C4084C" w:rsidRDefault="00B920D4" w:rsidP="00BA6095">
      <w:pPr>
        <w:pStyle w:val="Heading4"/>
      </w:pPr>
      <w:bookmarkStart w:id="1567" w:name="_Toc151815669"/>
      <w:bookmarkStart w:id="1568" w:name="_Toc159501022"/>
      <w:r w:rsidRPr="00C4084C">
        <w:t>Accountability</w:t>
      </w:r>
      <w:bookmarkEnd w:id="1567"/>
      <w:bookmarkEnd w:id="1568"/>
    </w:p>
    <w:p w14:paraId="5BCF0D5A" w14:textId="74A27E62" w:rsidR="00B920D4" w:rsidRPr="00C4084C" w:rsidRDefault="00B920D4" w:rsidP="00B17584">
      <w:pPr>
        <w:rPr>
          <w:rFonts w:cstheme="minorHAnsi"/>
        </w:rPr>
      </w:pPr>
      <w:r w:rsidRPr="00C4084C">
        <w:t xml:space="preserve">This new funding model would support growth, </w:t>
      </w:r>
      <w:proofErr w:type="gramStart"/>
      <w:r w:rsidRPr="00C4084C">
        <w:t>equity</w:t>
      </w:r>
      <w:proofErr w:type="gramEnd"/>
      <w:r w:rsidRPr="00C4084C">
        <w:t xml:space="preserve"> and increased diversity as a pathway to the vision for 2050. It includes both universal and tailored elements for government, higher education providers and students. Strong governance and accountability mechanisms through the </w:t>
      </w:r>
      <w:r w:rsidR="00362122" w:rsidRPr="00C4084C">
        <w:t>Commission</w:t>
      </w:r>
      <w:r w:rsidRPr="00C4084C">
        <w:t xml:space="preserve"> would ensure that the system develops in line with both t</w:t>
      </w:r>
      <w:r w:rsidR="000C3472" w:rsidRPr="00C4084C">
        <w:t>his Review’s</w:t>
      </w:r>
      <w:r w:rsidRPr="00C4084C">
        <w:t xml:space="preserve"> vision and student interests. </w:t>
      </w:r>
      <w:r w:rsidRPr="00C4084C">
        <w:rPr>
          <w:rFonts w:cstheme="minorHAnsi"/>
        </w:rPr>
        <w:t>Annual reporting requirements would include:</w:t>
      </w:r>
    </w:p>
    <w:p w14:paraId="3140287D" w14:textId="42AF9333" w:rsidR="00B920D4" w:rsidRPr="00C4084C" w:rsidRDefault="00AD789E" w:rsidP="000E0238">
      <w:pPr>
        <w:pStyle w:val="ListBullet"/>
      </w:pPr>
      <w:r w:rsidRPr="00B17584">
        <w:rPr>
          <w:rStyle w:val="A3"/>
          <w:b/>
          <w:color w:val="auto"/>
          <w:sz w:val="22"/>
        </w:rPr>
        <w:t xml:space="preserve">student </w:t>
      </w:r>
      <w:r w:rsidR="00B920D4" w:rsidRPr="00B17584">
        <w:rPr>
          <w:rStyle w:val="A3"/>
          <w:b/>
          <w:color w:val="auto"/>
          <w:sz w:val="22"/>
        </w:rPr>
        <w:t>outcomes:</w:t>
      </w:r>
      <w:r w:rsidR="00B920D4" w:rsidRPr="00B17584">
        <w:rPr>
          <w:rStyle w:val="A3"/>
          <w:color w:val="auto"/>
          <w:sz w:val="22"/>
        </w:rPr>
        <w:t xml:space="preserve"> </w:t>
      </w:r>
      <w:r w:rsidR="000662D0" w:rsidRPr="00B17584">
        <w:rPr>
          <w:rStyle w:val="A3"/>
          <w:color w:val="auto"/>
          <w:sz w:val="22"/>
        </w:rPr>
        <w:t>i</w:t>
      </w:r>
      <w:r w:rsidR="00B920D4" w:rsidRPr="00B17584">
        <w:rPr>
          <w:rStyle w:val="A3"/>
          <w:color w:val="auto"/>
          <w:sz w:val="22"/>
        </w:rPr>
        <w:t xml:space="preserve">ncluding access, attrition, retention, completion, success (benchmarked by </w:t>
      </w:r>
      <w:r w:rsidR="00401487" w:rsidRPr="00B17584">
        <w:rPr>
          <w:rStyle w:val="A3"/>
          <w:color w:val="auto"/>
          <w:sz w:val="22"/>
        </w:rPr>
        <w:t>student profiles)</w:t>
      </w:r>
      <w:r w:rsidR="00B920D4" w:rsidRPr="00B17584">
        <w:rPr>
          <w:rStyle w:val="A3"/>
          <w:color w:val="auto"/>
          <w:sz w:val="22"/>
        </w:rPr>
        <w:t xml:space="preserve"> and employment </w:t>
      </w:r>
      <w:proofErr w:type="gramStart"/>
      <w:r w:rsidR="00B920D4" w:rsidRPr="00B17584">
        <w:rPr>
          <w:rStyle w:val="A3"/>
          <w:color w:val="auto"/>
          <w:sz w:val="22"/>
        </w:rPr>
        <w:t>outcomes</w:t>
      </w:r>
      <w:proofErr w:type="gramEnd"/>
    </w:p>
    <w:p w14:paraId="055E0161" w14:textId="5831DEA1" w:rsidR="00B920D4" w:rsidRPr="00B17584" w:rsidRDefault="00AD789E" w:rsidP="000E0238">
      <w:pPr>
        <w:pStyle w:val="ListBullet"/>
        <w:rPr>
          <w:rStyle w:val="A3"/>
          <w:color w:val="auto"/>
          <w:sz w:val="22"/>
        </w:rPr>
      </w:pPr>
      <w:r w:rsidRPr="00B17584">
        <w:rPr>
          <w:rStyle w:val="A3"/>
          <w:b/>
          <w:color w:val="auto"/>
          <w:sz w:val="22"/>
        </w:rPr>
        <w:t>needs</w:t>
      </w:r>
      <w:r w:rsidR="00B920D4" w:rsidRPr="00B17584">
        <w:rPr>
          <w:rStyle w:val="A3"/>
          <w:b/>
          <w:color w:val="auto"/>
          <w:sz w:val="22"/>
        </w:rPr>
        <w:t>-based funding expenditure:</w:t>
      </w:r>
      <w:r w:rsidR="00B920D4" w:rsidRPr="00B17584">
        <w:rPr>
          <w:rStyle w:val="A3"/>
          <w:color w:val="auto"/>
          <w:sz w:val="22"/>
        </w:rPr>
        <w:t xml:space="preserve"> </w:t>
      </w:r>
      <w:r w:rsidR="000662D0" w:rsidRPr="00B17584">
        <w:rPr>
          <w:rStyle w:val="A3"/>
          <w:color w:val="auto"/>
          <w:sz w:val="22"/>
        </w:rPr>
        <w:t>r</w:t>
      </w:r>
      <w:r w:rsidR="00B920D4" w:rsidRPr="00B17584">
        <w:rPr>
          <w:rStyle w:val="A3"/>
          <w:color w:val="auto"/>
          <w:sz w:val="22"/>
        </w:rPr>
        <w:t xml:space="preserve">eporting (in broad terms) of expenditure of needs-based funding in line with approved areas of spend (e.g. learning support, student support, scholarships and bursaries) with clear attribution of specific benefits to the target </w:t>
      </w:r>
      <w:proofErr w:type="gramStart"/>
      <w:r w:rsidR="00B920D4" w:rsidRPr="00B17584">
        <w:rPr>
          <w:rStyle w:val="A3"/>
          <w:color w:val="auto"/>
          <w:sz w:val="22"/>
        </w:rPr>
        <w:t>cohorts</w:t>
      </w:r>
      <w:proofErr w:type="gramEnd"/>
    </w:p>
    <w:p w14:paraId="0267A209" w14:textId="292FAB7B" w:rsidR="00B920D4" w:rsidRPr="00C4084C" w:rsidRDefault="00AD789E" w:rsidP="000E0238">
      <w:pPr>
        <w:pStyle w:val="ListBullet"/>
      </w:pPr>
      <w:r w:rsidRPr="00B17584">
        <w:rPr>
          <w:rStyle w:val="A3"/>
          <w:b/>
          <w:color w:val="auto"/>
          <w:sz w:val="22"/>
        </w:rPr>
        <w:t>mission</w:t>
      </w:r>
      <w:r w:rsidR="00B920D4" w:rsidRPr="00B17584">
        <w:rPr>
          <w:rStyle w:val="A3"/>
          <w:b/>
          <w:color w:val="auto"/>
          <w:sz w:val="22"/>
        </w:rPr>
        <w:t>-based compacts:</w:t>
      </w:r>
      <w:r w:rsidR="00B920D4" w:rsidRPr="00B17584">
        <w:rPr>
          <w:rStyle w:val="A3"/>
          <w:color w:val="auto"/>
          <w:sz w:val="22"/>
        </w:rPr>
        <w:t xml:space="preserve"> </w:t>
      </w:r>
      <w:r w:rsidR="000662D0" w:rsidRPr="00B17584">
        <w:rPr>
          <w:rStyle w:val="A3"/>
          <w:color w:val="auto"/>
          <w:sz w:val="22"/>
        </w:rPr>
        <w:t>v</w:t>
      </w:r>
      <w:r w:rsidR="00B920D4" w:rsidRPr="00B17584">
        <w:rPr>
          <w:rStyle w:val="A3"/>
          <w:color w:val="auto"/>
          <w:sz w:val="22"/>
        </w:rPr>
        <w:t xml:space="preserve">ariations to the universal system agreed through mission-based compacts with individual higher education providers. </w:t>
      </w:r>
    </w:p>
    <w:p w14:paraId="5CBFE4CC" w14:textId="72490736" w:rsidR="00B920D4" w:rsidRPr="00C4084C" w:rsidRDefault="00B920D4" w:rsidP="00BA6095">
      <w:pPr>
        <w:pStyle w:val="Heading4"/>
      </w:pPr>
      <w:bookmarkStart w:id="1569" w:name="_Toc159501023"/>
      <w:bookmarkStart w:id="1570" w:name="_Toc151815670"/>
      <w:r w:rsidRPr="00C4084C">
        <w:lastRenderedPageBreak/>
        <w:t>Recognising the symbiotic relationship between teaching and research</w:t>
      </w:r>
      <w:bookmarkEnd w:id="1569"/>
      <w:r w:rsidRPr="00C4084C">
        <w:t xml:space="preserve"> </w:t>
      </w:r>
      <w:bookmarkEnd w:id="1570"/>
    </w:p>
    <w:p w14:paraId="48B9426C" w14:textId="517550B9" w:rsidR="00B920D4" w:rsidRPr="00C4084C" w:rsidRDefault="00B920D4" w:rsidP="00B17584">
      <w:r w:rsidRPr="00C4084C">
        <w:t xml:space="preserve">Alongside teaching and scholarly activity, universities undertake world-leading research and actively engage with industry, </w:t>
      </w:r>
      <w:proofErr w:type="gramStart"/>
      <w:r w:rsidRPr="00C4084C">
        <w:t>community</w:t>
      </w:r>
      <w:proofErr w:type="gramEnd"/>
      <w:r w:rsidRPr="00C4084C">
        <w:t xml:space="preserve"> and government partners to deliver economic growth, social impact and environmental goals, both in Australia and internationally.  Research and discovery across our universities contributes greatly to Australian </w:t>
      </w:r>
      <w:r w:rsidR="004D13BD" w:rsidRPr="00C4084C">
        <w:t>R&amp;D</w:t>
      </w:r>
      <w:r w:rsidRPr="00C4084C">
        <w:t xml:space="preserve">, driving economic growth and productivity and contributing to the nation’s wealth, prosperity and public good. </w:t>
      </w:r>
    </w:p>
    <w:p w14:paraId="063611B0" w14:textId="1BCF5D2C" w:rsidR="00B920D4" w:rsidRPr="00C4084C" w:rsidRDefault="00B920D4" w:rsidP="00B17584">
      <w:r w:rsidRPr="00C4084C">
        <w:t>This research informs teaching, not only by way of the scholarly activity itself, but by the interdependent activities undertaken by academics across research, teaching and business</w:t>
      </w:r>
      <w:r w:rsidR="009866D6" w:rsidRPr="00C4084C">
        <w:t xml:space="preserve"> and </w:t>
      </w:r>
      <w:r w:rsidRPr="00C4084C">
        <w:t xml:space="preserve">community engagement. </w:t>
      </w:r>
    </w:p>
    <w:p w14:paraId="6351485B" w14:textId="75269D76" w:rsidR="00B920D4" w:rsidRPr="00C4084C" w:rsidRDefault="00B920D4" w:rsidP="00B17584">
      <w:r w:rsidRPr="00C4084C">
        <w:t xml:space="preserve">The </w:t>
      </w:r>
      <w:r w:rsidR="00902EA5" w:rsidRPr="00C4084C">
        <w:t xml:space="preserve">funding system for </w:t>
      </w:r>
      <w:r w:rsidR="3EB8BC68" w:rsidRPr="00C4084C">
        <w:t>learning and</w:t>
      </w:r>
      <w:r w:rsidR="00902EA5" w:rsidRPr="00C4084C">
        <w:t xml:space="preserve"> </w:t>
      </w:r>
      <w:r w:rsidR="00A95592" w:rsidRPr="00C4084C">
        <w:t>teaching</w:t>
      </w:r>
      <w:r w:rsidRPr="00C4084C">
        <w:t xml:space="preserve"> has historically carried a contribution towards research costs,</w:t>
      </w:r>
      <w:r w:rsidRPr="00C4084C">
        <w:rPr>
          <w:rStyle w:val="FootnoteReference"/>
        </w:rPr>
        <w:footnoteReference w:id="445"/>
      </w:r>
      <w:r w:rsidRPr="00C4084C">
        <w:t xml:space="preserve"> and this should continue. Given the strategic importance of research in Australia – and in achieving the </w:t>
      </w:r>
      <w:r w:rsidR="00776873" w:rsidRPr="00C4084C">
        <w:t>Review’s</w:t>
      </w:r>
      <w:r w:rsidRPr="00C4084C">
        <w:t xml:space="preserve"> vision for 2050 – over time, the </w:t>
      </w:r>
      <w:r w:rsidR="003D6703" w:rsidRPr="00C4084C">
        <w:t>Commission</w:t>
      </w:r>
      <w:r w:rsidRPr="00C4084C">
        <w:t xml:space="preserve"> should develop a framework to provide core funding for research to run in parallel with core funding for teaching. To be clear, this would go beyond the existing block grant funding for research in Australia. Additionally, it would require </w:t>
      </w:r>
      <w:r w:rsidR="1E8CB144" w:rsidRPr="00C4084C">
        <w:t>change</w:t>
      </w:r>
      <w:r w:rsidRPr="00C4084C">
        <w:t xml:space="preserve"> from an industrial relations perspective to enable greater flexibility regarding the balance of research and teaching in specific roles and faculties. This combination of reforms would remove the need for</w:t>
      </w:r>
      <w:r w:rsidRPr="00C4084C" w:rsidDel="00A95592">
        <w:t xml:space="preserve"> </w:t>
      </w:r>
      <w:r w:rsidR="00A95592" w:rsidRPr="00C4084C">
        <w:t>a</w:t>
      </w:r>
      <w:r w:rsidRPr="00C4084C">
        <w:t xml:space="preserve"> contribution to research in the </w:t>
      </w:r>
      <w:r w:rsidR="4DA00E42" w:rsidRPr="00C4084C">
        <w:t xml:space="preserve">learning and </w:t>
      </w:r>
      <w:r w:rsidRPr="00C4084C">
        <w:t>teaching</w:t>
      </w:r>
      <w:r w:rsidR="00A95592" w:rsidRPr="00C4084C">
        <w:t xml:space="preserve"> </w:t>
      </w:r>
      <w:r w:rsidRPr="00C4084C">
        <w:t xml:space="preserve">funding </w:t>
      </w:r>
      <w:r w:rsidR="00A94729" w:rsidRPr="00C4084C">
        <w:t>system</w:t>
      </w:r>
      <w:r w:rsidRPr="00C4084C">
        <w:t xml:space="preserve">. </w:t>
      </w:r>
    </w:p>
    <w:p w14:paraId="4051A679" w14:textId="6E5CA667" w:rsidR="00B920D4" w:rsidRPr="00C4084C" w:rsidRDefault="00B920D4" w:rsidP="00B17584">
      <w:r w:rsidRPr="00C4084C">
        <w:t xml:space="preserve">The wider </w:t>
      </w:r>
      <w:r w:rsidRPr="000C393F">
        <w:t xml:space="preserve">funding system should recognise the cost of research in addition to the cost of teaching, based on different measures such as quality, impact and volume. Delivery of high-quality, </w:t>
      </w:r>
      <w:r w:rsidR="1F0ABE7A" w:rsidRPr="000C393F">
        <w:t xml:space="preserve">high impact </w:t>
      </w:r>
      <w:r w:rsidRPr="000C393F">
        <w:t>research – contributing to the broader R&amp;D and innovation agenda – is essential to Australia’s economic growth and productivity, alongside the equity and skills goals supported through the teaching funding model. One half of the system c</w:t>
      </w:r>
      <w:r w:rsidRPr="00C4084C">
        <w:t>annot deliver on the vision for 2050 without the other half of the system also being adequately funded and supported to do so.</w:t>
      </w:r>
    </w:p>
    <w:p w14:paraId="176C3A83" w14:textId="7FAFF91B" w:rsidR="00B920D4" w:rsidRPr="00C4084C" w:rsidRDefault="00B920D4" w:rsidP="00BA6095">
      <w:pPr>
        <w:pStyle w:val="Heading4"/>
      </w:pPr>
      <w:bookmarkStart w:id="1571" w:name="_Toc151815671"/>
      <w:bookmarkStart w:id="1572" w:name="_Toc159501024"/>
      <w:r w:rsidRPr="00C4084C">
        <w:t>Outcomes</w:t>
      </w:r>
      <w:bookmarkEnd w:id="1571"/>
      <w:bookmarkEnd w:id="1572"/>
    </w:p>
    <w:p w14:paraId="1C229638" w14:textId="77777777" w:rsidR="00B920D4" w:rsidRPr="00C4084C" w:rsidRDefault="00B920D4" w:rsidP="000C393F">
      <w:r w:rsidRPr="00C4084C">
        <w:t>The Review expects that the proposed funding arrangements would produce the following outcomes for the higher education sector and the nation:</w:t>
      </w:r>
    </w:p>
    <w:p w14:paraId="75E9A82D" w14:textId="6D85E837" w:rsidR="00B67F06" w:rsidRPr="00C4084C" w:rsidRDefault="00B67F06" w:rsidP="000E0238">
      <w:pPr>
        <w:pStyle w:val="ListBullet"/>
      </w:pPr>
      <w:r w:rsidRPr="00C4084C">
        <w:t>expansion of the system to meet student demand</w:t>
      </w:r>
      <w:r w:rsidR="00CF4A98" w:rsidRPr="00C4084C">
        <w:t>,</w:t>
      </w:r>
      <w:r w:rsidR="4BB9B146" w:rsidRPr="00C4084C">
        <w:t xml:space="preserve"> </w:t>
      </w:r>
      <w:r w:rsidRPr="00C4084C">
        <w:t xml:space="preserve">skills needs </w:t>
      </w:r>
      <w:r w:rsidR="00CF4A98" w:rsidRPr="00C4084C">
        <w:t xml:space="preserve">and equity </w:t>
      </w:r>
      <w:r w:rsidRPr="00C4084C">
        <w:t xml:space="preserve">without any reduction in quality </w:t>
      </w:r>
      <w:r w:rsidR="00A25C68" w:rsidRPr="00C4084C">
        <w:t>or</w:t>
      </w:r>
      <w:r w:rsidRPr="00C4084C">
        <w:t xml:space="preserve"> admissions standards – universities remain accountable for </w:t>
      </w:r>
      <w:r w:rsidR="00064A82" w:rsidRPr="00C4084C">
        <w:t xml:space="preserve">ensuring students are suitable for </w:t>
      </w:r>
      <w:r w:rsidR="002F3A0B" w:rsidRPr="00C4084C">
        <w:t xml:space="preserve">the courses to which they have been </w:t>
      </w:r>
      <w:proofErr w:type="gramStart"/>
      <w:r w:rsidR="002F3A0B" w:rsidRPr="00C4084C">
        <w:t>admitted</w:t>
      </w:r>
      <w:proofErr w:type="gramEnd"/>
    </w:p>
    <w:p w14:paraId="1FE5AB47" w14:textId="30FA434A" w:rsidR="00B67F06" w:rsidRPr="00C4084C" w:rsidRDefault="00B67F06" w:rsidP="000E0238">
      <w:pPr>
        <w:pStyle w:val="ListBullet"/>
      </w:pPr>
      <w:r w:rsidRPr="00C4084C">
        <w:t>the end of partial funding due to ‘over-enrolment’ of students, with support for managed growth across the higher education system</w:t>
      </w:r>
    </w:p>
    <w:p w14:paraId="48E8900B" w14:textId="58D04217" w:rsidR="00B920D4" w:rsidRPr="00C4084C" w:rsidRDefault="00B920D4" w:rsidP="000E0238">
      <w:pPr>
        <w:pStyle w:val="ListBullet"/>
        <w:rPr>
          <w:rStyle w:val="s2"/>
        </w:rPr>
      </w:pPr>
      <w:r w:rsidRPr="00C4084C">
        <w:rPr>
          <w:rStyle w:val="s2"/>
        </w:rPr>
        <w:t xml:space="preserve">reduction in the number of small funding programs that add to administrative burden for </w:t>
      </w:r>
      <w:proofErr w:type="gramStart"/>
      <w:r w:rsidRPr="00C4084C">
        <w:rPr>
          <w:rStyle w:val="s2"/>
        </w:rPr>
        <w:t>providers</w:t>
      </w:r>
      <w:proofErr w:type="gramEnd"/>
      <w:r w:rsidRPr="00C4084C">
        <w:rPr>
          <w:rStyle w:val="s2"/>
        </w:rPr>
        <w:t xml:space="preserve"> </w:t>
      </w:r>
    </w:p>
    <w:p w14:paraId="1CEADA41" w14:textId="452A74A6" w:rsidR="00B920D4" w:rsidRPr="00C4084C" w:rsidRDefault="00B67F06" w:rsidP="000E0238">
      <w:pPr>
        <w:pStyle w:val="ListBullet"/>
        <w:rPr>
          <w:rStyle w:val="s2"/>
        </w:rPr>
      </w:pPr>
      <w:r w:rsidRPr="00C4084C">
        <w:rPr>
          <w:rStyle w:val="s2"/>
        </w:rPr>
        <w:t>freedom and flexibility for publicly</w:t>
      </w:r>
      <w:r w:rsidR="00307A6D">
        <w:rPr>
          <w:rStyle w:val="s2"/>
        </w:rPr>
        <w:t xml:space="preserve"> </w:t>
      </w:r>
      <w:r w:rsidRPr="00C4084C">
        <w:rPr>
          <w:rStyle w:val="s2"/>
        </w:rPr>
        <w:t>funded</w:t>
      </w:r>
      <w:r w:rsidR="00B920D4" w:rsidRPr="00C4084C">
        <w:rPr>
          <w:rStyle w:val="s2"/>
        </w:rPr>
        <w:t xml:space="preserve"> universities to use their allocated funding as they see fit to meet the </w:t>
      </w:r>
      <w:r w:rsidR="00F25E6A" w:rsidRPr="00C4084C">
        <w:rPr>
          <w:rStyle w:val="s2"/>
        </w:rPr>
        <w:t xml:space="preserve">specific </w:t>
      </w:r>
      <w:r w:rsidR="00B920D4" w:rsidRPr="00C4084C">
        <w:rPr>
          <w:rStyle w:val="s2"/>
        </w:rPr>
        <w:t xml:space="preserve">needs of each institution, its students and community – within a framework agreed with the </w:t>
      </w:r>
      <w:r w:rsidR="003D6703" w:rsidRPr="00C4084C">
        <w:rPr>
          <w:rStyle w:val="s2"/>
        </w:rPr>
        <w:t>Commission</w:t>
      </w:r>
      <w:r w:rsidR="00B920D4" w:rsidRPr="00C4084C">
        <w:rPr>
          <w:rStyle w:val="s2"/>
        </w:rPr>
        <w:t xml:space="preserve"> through a mission-based compact, with accountability mechanisms ensuring the appropriate use of public money by the </w:t>
      </w:r>
      <w:proofErr w:type="gramStart"/>
      <w:r w:rsidR="00B920D4" w:rsidRPr="00C4084C">
        <w:rPr>
          <w:rStyle w:val="s2"/>
        </w:rPr>
        <w:t>university</w:t>
      </w:r>
      <w:proofErr w:type="gramEnd"/>
    </w:p>
    <w:p w14:paraId="76518FE6" w14:textId="68178DE3" w:rsidR="007E5B66" w:rsidRPr="00C4084C" w:rsidRDefault="00B920D4" w:rsidP="000E0238">
      <w:pPr>
        <w:pStyle w:val="ListBullet"/>
        <w:rPr>
          <w:rStyle w:val="s2"/>
        </w:rPr>
      </w:pPr>
      <w:r w:rsidRPr="00C4084C">
        <w:rPr>
          <w:rStyle w:val="s2"/>
        </w:rPr>
        <w:t>facilitation of a more diverse sector, with institutions driven by their mission and community needs</w:t>
      </w:r>
      <w:r w:rsidR="004B26C1" w:rsidRPr="00C4084C">
        <w:rPr>
          <w:rStyle w:val="s2"/>
        </w:rPr>
        <w:t xml:space="preserve"> </w:t>
      </w:r>
      <w:r w:rsidRPr="00C4084C">
        <w:rPr>
          <w:rStyle w:val="s2"/>
        </w:rPr>
        <w:t xml:space="preserve">rather than </w:t>
      </w:r>
      <w:proofErr w:type="gramStart"/>
      <w:r w:rsidRPr="00C4084C">
        <w:rPr>
          <w:rStyle w:val="s2"/>
        </w:rPr>
        <w:t>funding</w:t>
      </w:r>
      <w:proofErr w:type="gramEnd"/>
    </w:p>
    <w:p w14:paraId="78C3A46F" w14:textId="11E0C0CF" w:rsidR="00B920D4" w:rsidRPr="00C4084C" w:rsidRDefault="00B920D4" w:rsidP="000E0238">
      <w:pPr>
        <w:pStyle w:val="ListBullet"/>
        <w:rPr>
          <w:rStyle w:val="s2"/>
        </w:rPr>
      </w:pPr>
      <w:r w:rsidRPr="00C4084C">
        <w:rPr>
          <w:rStyle w:val="s2"/>
        </w:rPr>
        <w:lastRenderedPageBreak/>
        <w:t xml:space="preserve">a planned and managed system, stewarded by the </w:t>
      </w:r>
      <w:r w:rsidR="00362122" w:rsidRPr="00C4084C">
        <w:t>Commission</w:t>
      </w:r>
      <w:r w:rsidRPr="00C4084C">
        <w:rPr>
          <w:rStyle w:val="s2"/>
        </w:rPr>
        <w:t xml:space="preserve">, ensuring the funding levels for different subjects and student cohorts reflect the different costs of teaching different student </w:t>
      </w:r>
      <w:proofErr w:type="gramStart"/>
      <w:r w:rsidRPr="00C4084C">
        <w:rPr>
          <w:rStyle w:val="s2"/>
        </w:rPr>
        <w:t>cohorts</w:t>
      </w:r>
      <w:proofErr w:type="gramEnd"/>
    </w:p>
    <w:p w14:paraId="53A80BCC" w14:textId="1345AE92" w:rsidR="003A5299" w:rsidRPr="00C4084C" w:rsidRDefault="00B67F06" w:rsidP="003E5969">
      <w:pPr>
        <w:pStyle w:val="ListBullet"/>
        <w:rPr>
          <w:rStyle w:val="normaltextrun"/>
        </w:rPr>
      </w:pPr>
      <w:r w:rsidRPr="00C4084C">
        <w:t xml:space="preserve">continued support for higher education research and the skills and capability of Australian university researchers, recognising the major contribution of </w:t>
      </w:r>
      <w:r w:rsidR="00AC644C">
        <w:t xml:space="preserve">university </w:t>
      </w:r>
      <w:r w:rsidRPr="00C4084C">
        <w:t>research to Australia’s productivity and development and translation of new knowledge.</w:t>
      </w:r>
    </w:p>
    <w:tbl>
      <w:tblPr>
        <w:tblW w:w="0" w:type="auto"/>
        <w:shd w:val="clear" w:color="auto" w:fill="FBE4D5"/>
        <w:tblLook w:val="04A0" w:firstRow="1" w:lastRow="0" w:firstColumn="1" w:lastColumn="0" w:noHBand="0" w:noVBand="1"/>
      </w:tblPr>
      <w:tblGrid>
        <w:gridCol w:w="9026"/>
      </w:tblGrid>
      <w:tr w:rsidR="00EF16EB" w:rsidRPr="00C4084C" w14:paraId="59629B41" w14:textId="77777777" w:rsidTr="00D26B82">
        <w:tc>
          <w:tcPr>
            <w:tcW w:w="9026" w:type="dxa"/>
            <w:shd w:val="clear" w:color="auto" w:fill="FEECDF"/>
          </w:tcPr>
          <w:p w14:paraId="1480F2C7" w14:textId="5EE19F12" w:rsidR="006D136A" w:rsidRDefault="006D136A" w:rsidP="003E5969">
            <w:pPr>
              <w:pStyle w:val="Recheadinginbox"/>
            </w:pPr>
            <w:r>
              <w:t>Recommendation: New funding model</w:t>
            </w:r>
          </w:p>
          <w:p w14:paraId="7E388361" w14:textId="0C6B895A" w:rsidR="00EF16EB" w:rsidRPr="00C4084C" w:rsidRDefault="00EF16EB" w:rsidP="003E5969">
            <w:pPr>
              <w:pStyle w:val="Recsin-chapterL1"/>
              <w:framePr w:wrap="notBeside"/>
              <w:spacing w:before="0" w:after="0"/>
            </w:pPr>
            <w:r w:rsidRPr="00C4084C">
              <w:t xml:space="preserve">That to provide a framework for funding higher education </w:t>
            </w:r>
            <w:r w:rsidR="00971C62">
              <w:t xml:space="preserve">that </w:t>
            </w:r>
            <w:r w:rsidR="00666009" w:rsidRPr="00CD3FC7">
              <w:t>supports achievement of the National Tertiary Education Objective</w:t>
            </w:r>
            <w:r w:rsidRPr="00C4084C">
              <w:t xml:space="preserve">, the Australian Government adopt a new funding model for higher education that is planned and managed by the Australian Tertiary Education Commission through mission-based compacts with publicly funded universities to:  </w:t>
            </w:r>
          </w:p>
          <w:p w14:paraId="591513ED" w14:textId="77777777" w:rsidR="00EF16EB" w:rsidRPr="00C4084C" w:rsidRDefault="00EF16EB" w:rsidP="003E5969">
            <w:pPr>
              <w:pStyle w:val="Recsin-chapterL2"/>
              <w:spacing w:before="0" w:beforeAutospacing="0"/>
            </w:pPr>
            <w:r w:rsidRPr="00C4084C">
              <w:t xml:space="preserve">deliver Australia’s future skills </w:t>
            </w:r>
            <w:proofErr w:type="gramStart"/>
            <w:r w:rsidRPr="00C4084C">
              <w:t>needs</w:t>
            </w:r>
            <w:proofErr w:type="gramEnd"/>
          </w:p>
          <w:p w14:paraId="18AA5653" w14:textId="6EFF6BE7" w:rsidR="00EF16EB" w:rsidRPr="00C4084C" w:rsidRDefault="00EF16EB" w:rsidP="003E5969">
            <w:pPr>
              <w:pStyle w:val="Recsin-chapterL2"/>
            </w:pPr>
            <w:r w:rsidRPr="00C4084C">
              <w:t>deliver places to ensure equitable access, participation, and success for equity students in higher education – effectively ‘demand</w:t>
            </w:r>
            <w:r w:rsidR="00741DAB">
              <w:t xml:space="preserve"> </w:t>
            </w:r>
            <w:r w:rsidRPr="00C4084C">
              <w:t xml:space="preserve">driven for equity’ but with planned allocation of places to </w:t>
            </w:r>
            <w:proofErr w:type="gramStart"/>
            <w:r w:rsidRPr="00C4084C">
              <w:t>universities</w:t>
            </w:r>
            <w:proofErr w:type="gramEnd"/>
            <w:r w:rsidRPr="00C4084C">
              <w:t xml:space="preserve">  </w:t>
            </w:r>
          </w:p>
          <w:p w14:paraId="59BE5EDB" w14:textId="77777777" w:rsidR="00EF16EB" w:rsidRPr="00C4084C" w:rsidRDefault="00EF16EB" w:rsidP="003E5969">
            <w:pPr>
              <w:pStyle w:val="Recsin-chapterL2"/>
            </w:pPr>
            <w:r w:rsidRPr="00C4084C">
              <w:t xml:space="preserve">deliver ‘demand driven’ fee-free preparatory </w:t>
            </w:r>
            <w:proofErr w:type="gramStart"/>
            <w:r w:rsidRPr="00C4084C">
              <w:t>courses</w:t>
            </w:r>
            <w:proofErr w:type="gramEnd"/>
          </w:p>
          <w:p w14:paraId="7749D3F1" w14:textId="24D2468E" w:rsidR="00EF16EB" w:rsidRPr="00C4084C" w:rsidRDefault="00EF16EB" w:rsidP="003E5969">
            <w:pPr>
              <w:pStyle w:val="Recsin-chapterL2"/>
            </w:pPr>
            <w:r w:rsidRPr="00C4084C">
              <w:t>provid</w:t>
            </w:r>
            <w:r w:rsidR="00971C62">
              <w:t>e</w:t>
            </w:r>
            <w:r w:rsidRPr="00C4084C">
              <w:t xml:space="preserve"> sufficient funding to cover the cost of teaching and scholarship from combined </w:t>
            </w:r>
            <w:r w:rsidR="006F46AC">
              <w:t>g</w:t>
            </w:r>
            <w:r w:rsidR="005B0D29" w:rsidRPr="00C4084C">
              <w:t xml:space="preserve">overnment </w:t>
            </w:r>
            <w:r w:rsidRPr="00C4084C">
              <w:t xml:space="preserve">and student contributions based on advice from the Australian Tertiary Education Commission through its pricing authority </w:t>
            </w:r>
            <w:proofErr w:type="gramStart"/>
            <w:r w:rsidRPr="00C4084C">
              <w:t>function</w:t>
            </w:r>
            <w:proofErr w:type="gramEnd"/>
          </w:p>
          <w:p w14:paraId="6654C354" w14:textId="77777777" w:rsidR="00EF16EB" w:rsidRPr="00C4084C" w:rsidRDefault="00EF16EB" w:rsidP="003E5969">
            <w:pPr>
              <w:pStyle w:val="Recsin-chapterL2"/>
            </w:pPr>
            <w:r w:rsidRPr="00C4084C">
              <w:t xml:space="preserve">ensure Australia’s academic workforce can support the nation’s teaching and research </w:t>
            </w:r>
            <w:proofErr w:type="gramStart"/>
            <w:r w:rsidRPr="00C4084C">
              <w:t>ambitions</w:t>
            </w:r>
            <w:proofErr w:type="gramEnd"/>
          </w:p>
          <w:p w14:paraId="5CD6543E" w14:textId="77777777" w:rsidR="00EF16EB" w:rsidRPr="00C4084C" w:rsidRDefault="00EF16EB" w:rsidP="003E5969">
            <w:pPr>
              <w:pStyle w:val="Recsin-chapterL2"/>
            </w:pPr>
            <w:r w:rsidRPr="00C4084C">
              <w:t xml:space="preserve">invest in creating and using new knowledge through research and research </w:t>
            </w:r>
            <w:proofErr w:type="gramStart"/>
            <w:r w:rsidRPr="00C4084C">
              <w:t>training</w:t>
            </w:r>
            <w:proofErr w:type="gramEnd"/>
          </w:p>
          <w:p w14:paraId="256AA97D" w14:textId="77777777" w:rsidR="00EF16EB" w:rsidRPr="00C4084C" w:rsidRDefault="00EF16EB" w:rsidP="003E5969">
            <w:pPr>
              <w:pStyle w:val="Recsin-chapterL2"/>
            </w:pPr>
            <w:r w:rsidRPr="00C4084C">
              <w:t xml:space="preserve">provide freedom for universities to make choices about their enrolments and finances, within a framework set out by the funding principles and monitored by the </w:t>
            </w:r>
            <w:proofErr w:type="gramStart"/>
            <w:r w:rsidRPr="00C4084C">
              <w:t>Commission</w:t>
            </w:r>
            <w:proofErr w:type="gramEnd"/>
          </w:p>
          <w:p w14:paraId="07F4E785" w14:textId="77777777" w:rsidR="00EF16EB" w:rsidRPr="00C4084C" w:rsidDel="00882244" w:rsidRDefault="00EF16EB" w:rsidP="003E5969">
            <w:pPr>
              <w:pStyle w:val="Recsin-chapterL2"/>
            </w:pPr>
            <w:r w:rsidRPr="00C4084C">
              <w:t>stop the practice of providing only partial funding for additional students when a university is overenrolled.</w:t>
            </w:r>
          </w:p>
        </w:tc>
      </w:tr>
    </w:tbl>
    <w:p w14:paraId="0B6BEAB5" w14:textId="77777777" w:rsidR="00EF16EB" w:rsidRPr="00C4084C" w:rsidRDefault="00EF16EB" w:rsidP="000C393F">
      <w:pPr>
        <w:spacing w:after="0"/>
        <w:rPr>
          <w:rStyle w:val="normaltextrun"/>
        </w:rPr>
      </w:pPr>
    </w:p>
    <w:tbl>
      <w:tblPr>
        <w:tblW w:w="0" w:type="auto"/>
        <w:shd w:val="clear" w:color="auto" w:fill="FBE4D5"/>
        <w:tblLook w:val="04A0" w:firstRow="1" w:lastRow="0" w:firstColumn="1" w:lastColumn="0" w:noHBand="0" w:noVBand="1"/>
      </w:tblPr>
      <w:tblGrid>
        <w:gridCol w:w="9026"/>
      </w:tblGrid>
      <w:tr w:rsidR="00BA06EE" w:rsidRPr="00C4084C" w14:paraId="69575FBF" w14:textId="77777777">
        <w:tc>
          <w:tcPr>
            <w:tcW w:w="9026" w:type="dxa"/>
            <w:shd w:val="clear" w:color="auto" w:fill="FFF4ED"/>
          </w:tcPr>
          <w:p w14:paraId="780F9107" w14:textId="1C5E61C8" w:rsidR="00BA06EE" w:rsidRPr="00C4084C" w:rsidRDefault="00BA06EE" w:rsidP="003E5969">
            <w:pPr>
              <w:pStyle w:val="Recsin-chapterL1"/>
              <w:framePr w:wrap="notBeside"/>
              <w:spacing w:after="0"/>
            </w:pPr>
            <w:r w:rsidRPr="00C4084C">
              <w:lastRenderedPageBreak/>
              <w:t xml:space="preserve">That the Australian Government ensure the new funding model supports publicly funded universities to deliver quality learning, </w:t>
            </w:r>
            <w:proofErr w:type="gramStart"/>
            <w:r w:rsidRPr="00C4084C">
              <w:t>teaching</w:t>
            </w:r>
            <w:proofErr w:type="gramEnd"/>
            <w:r w:rsidRPr="00C4084C">
              <w:t xml:space="preserve"> and scholarship by: </w:t>
            </w:r>
          </w:p>
          <w:p w14:paraId="083BB5B4" w14:textId="77777777" w:rsidR="00BA06EE" w:rsidRPr="00C4084C" w:rsidRDefault="00BA06EE" w:rsidP="003E5969">
            <w:pPr>
              <w:pStyle w:val="Recsin-chapterL2"/>
              <w:spacing w:before="0" w:beforeAutospacing="0"/>
            </w:pPr>
            <w:r w:rsidRPr="00C4084C">
              <w:t>ensuring places for undergraduate students in publicly funded higher education courses continue to be partially funded by a student contribution (and HELP) and partially funded by the government contribution (the Commonwealth Grants Scheme)</w:t>
            </w:r>
          </w:p>
          <w:p w14:paraId="75B66D1D" w14:textId="77777777" w:rsidR="00BA06EE" w:rsidRPr="00C4084C" w:rsidRDefault="00BA06EE" w:rsidP="003E5969">
            <w:pPr>
              <w:pStyle w:val="Recsin-chapterL2"/>
            </w:pPr>
            <w:r w:rsidRPr="00C4084C">
              <w:t xml:space="preserve">delivering growth for the higher education system through providing a fully funded place for students who want to access higher education and can meet the entry requirements, managed at the system level to ensure that genuine demand is met with supply, and managed at the university level to ensure sustainability of </w:t>
            </w:r>
            <w:proofErr w:type="gramStart"/>
            <w:r w:rsidRPr="00C4084C">
              <w:t>universities</w:t>
            </w:r>
            <w:proofErr w:type="gramEnd"/>
          </w:p>
          <w:p w14:paraId="7284F09C" w14:textId="77777777" w:rsidR="00BA06EE" w:rsidRPr="00C4084C" w:rsidRDefault="00BA06EE" w:rsidP="003E5969">
            <w:pPr>
              <w:pStyle w:val="Recsin-chapterL2"/>
            </w:pPr>
            <w:r w:rsidRPr="00C4084C">
              <w:t xml:space="preserve">ensuring all students from under-represented backgrounds are eligible for a funded place at a public university as soon as possible by redirecting the unused funding from the Australian Government’s commitment to deliver 20,000 commencing </w:t>
            </w:r>
            <w:r w:rsidRPr="00C4084C">
              <w:rPr>
                <w:rStyle w:val="normaltextrun"/>
              </w:rPr>
              <w:t>Commonwealth supported place</w:t>
            </w:r>
            <w:r w:rsidRPr="00C4084C">
              <w:t xml:space="preserve">s in 2023 and </w:t>
            </w:r>
            <w:proofErr w:type="gramStart"/>
            <w:r w:rsidRPr="00C4084C">
              <w:t>2024</w:t>
            </w:r>
            <w:proofErr w:type="gramEnd"/>
            <w:r w:rsidRPr="00C4084C">
              <w:t xml:space="preserve"> </w:t>
            </w:r>
          </w:p>
          <w:p w14:paraId="710F9345" w14:textId="77777777" w:rsidR="00BA06EE" w:rsidRPr="00C4084C" w:rsidRDefault="00BA06EE" w:rsidP="003E5969">
            <w:pPr>
              <w:pStyle w:val="Recsin-chapterL2"/>
            </w:pPr>
            <w:r w:rsidRPr="00C4084C">
              <w:rPr>
                <w:rFonts w:cs="Times New Roman"/>
              </w:rPr>
              <w:t xml:space="preserve">increasing government funding to support science, technology, engineering and mathematics courses to reduce the negative impacts of the JRG </w:t>
            </w:r>
            <w:proofErr w:type="gramStart"/>
            <w:r w:rsidRPr="00C4084C">
              <w:rPr>
                <w:rFonts w:cs="Times New Roman"/>
              </w:rPr>
              <w:t>package</w:t>
            </w:r>
            <w:proofErr w:type="gramEnd"/>
            <w:r w:rsidRPr="00C4084C">
              <w:t xml:space="preserve"> </w:t>
            </w:r>
          </w:p>
          <w:p w14:paraId="7D91AEFB" w14:textId="77777777" w:rsidR="00BA06EE" w:rsidRPr="00C4084C" w:rsidRDefault="00BA06EE" w:rsidP="003E5969">
            <w:pPr>
              <w:pStyle w:val="Recsin-chapterL2"/>
            </w:pPr>
            <w:r w:rsidRPr="00C4084C">
              <w:t xml:space="preserve">providing sufficient funding to cover the costs of learning, teaching and scholarship in each discipline, with increasing fidelity in the pricing system over </w:t>
            </w:r>
            <w:proofErr w:type="gramStart"/>
            <w:r w:rsidRPr="00C4084C">
              <w:t>time</w:t>
            </w:r>
            <w:proofErr w:type="gramEnd"/>
          </w:p>
          <w:p w14:paraId="58F2C932" w14:textId="77777777" w:rsidR="00BA06EE" w:rsidRPr="00C4084C" w:rsidRDefault="00BA06EE" w:rsidP="003E5969">
            <w:pPr>
              <w:pStyle w:val="Recsin-chapterL2"/>
            </w:pPr>
            <w:r w:rsidRPr="00C4084C">
              <w:t xml:space="preserve">ensuring that student contributions reflect future </w:t>
            </w:r>
            <w:proofErr w:type="gramStart"/>
            <w:r w:rsidRPr="00C4084C">
              <w:t>earnings</w:t>
            </w:r>
            <w:proofErr w:type="gramEnd"/>
          </w:p>
          <w:p w14:paraId="751D604C" w14:textId="77777777" w:rsidR="00BA06EE" w:rsidRPr="00C4084C" w:rsidRDefault="00BA06EE" w:rsidP="003E5969">
            <w:pPr>
              <w:pStyle w:val="Recsin-chapterL2"/>
            </w:pPr>
            <w:r w:rsidRPr="00C4084C">
              <w:t>providing needs-based funding to address the cost of teaching students from backgrounds that need additional support and different locations of delivery by:</w:t>
            </w:r>
          </w:p>
          <w:p w14:paraId="03043B59" w14:textId="77777777" w:rsidR="00BA06EE" w:rsidRPr="00C4084C" w:rsidRDefault="00BA06EE" w:rsidP="003E5969">
            <w:pPr>
              <w:pStyle w:val="Recsin-chapterL3"/>
            </w:pPr>
            <w:r w:rsidRPr="00C4084C">
              <w:t xml:space="preserve">recognising the additional costs involved in teaching students who need additional support to complete their studies, specifically First Nations students, students from lower quartile SES backgrounds, and students with </w:t>
            </w:r>
            <w:proofErr w:type="gramStart"/>
            <w:r w:rsidRPr="00C4084C">
              <w:t>disability</w:t>
            </w:r>
            <w:proofErr w:type="gramEnd"/>
          </w:p>
          <w:p w14:paraId="546582FF" w14:textId="77777777" w:rsidR="00BA06EE" w:rsidRPr="00C4084C" w:rsidRDefault="00BA06EE" w:rsidP="003E5969">
            <w:pPr>
              <w:pStyle w:val="Recsin-chapterL3"/>
            </w:pPr>
            <w:r w:rsidRPr="00C4084C">
              <w:t xml:space="preserve">increasing the funding for regional delivery to better recognise the important equity issues involved in delivering courses to students in regional Australia, and additional costs of delivering higher education in regional </w:t>
            </w:r>
            <w:proofErr w:type="gramStart"/>
            <w:r w:rsidRPr="00C4084C">
              <w:t>areas</w:t>
            </w:r>
            <w:proofErr w:type="gramEnd"/>
          </w:p>
          <w:p w14:paraId="555F5D49" w14:textId="31E98A42" w:rsidR="00BA06EE" w:rsidRPr="00C4084C" w:rsidRDefault="00BA06EE" w:rsidP="003E5969">
            <w:pPr>
              <w:pStyle w:val="Recsin-chapterL2"/>
            </w:pPr>
            <w:r w:rsidRPr="00C4084C">
              <w:t>significantly increasing the availability of fee-free preparat</w:t>
            </w:r>
            <w:r w:rsidR="0016193F">
              <w:t>ory</w:t>
            </w:r>
            <w:r w:rsidRPr="00C4084C">
              <w:t xml:space="preserve"> places, meeting the need from interested students in high-quality preparatory courses ensuring:</w:t>
            </w:r>
          </w:p>
          <w:p w14:paraId="468A9289" w14:textId="77777777" w:rsidR="00BA06EE" w:rsidRPr="00C4084C" w:rsidRDefault="00BA06EE" w:rsidP="003E5969">
            <w:pPr>
              <w:pStyle w:val="Recsin-chapterL3"/>
            </w:pPr>
            <w:r w:rsidRPr="00C4084C">
              <w:t xml:space="preserve">preparatory courses are free for any student in a Commonwealth supported place and this continues to be enshrined in </w:t>
            </w:r>
            <w:proofErr w:type="gramStart"/>
            <w:r w:rsidRPr="00C4084C">
              <w:t>legislation</w:t>
            </w:r>
            <w:proofErr w:type="gramEnd"/>
          </w:p>
          <w:p w14:paraId="4D246384" w14:textId="77777777" w:rsidR="00BA06EE" w:rsidRPr="00C4084C" w:rsidRDefault="00BA06EE" w:rsidP="003E5969">
            <w:pPr>
              <w:pStyle w:val="Recsin-chapterL3"/>
            </w:pPr>
            <w:r w:rsidRPr="00C4084C">
              <w:t xml:space="preserve">funding for preparatory places will reflect the cost of </w:t>
            </w:r>
            <w:proofErr w:type="gramStart"/>
            <w:r w:rsidRPr="00C4084C">
              <w:t>delivery</w:t>
            </w:r>
            <w:proofErr w:type="gramEnd"/>
          </w:p>
          <w:p w14:paraId="080A9F51" w14:textId="77777777" w:rsidR="00BA06EE" w:rsidRPr="00C4084C" w:rsidRDefault="00BA06EE" w:rsidP="003E5969">
            <w:pPr>
              <w:pStyle w:val="Recsin-chapterL2"/>
            </w:pPr>
            <w:r w:rsidRPr="00C4084C">
              <w:t xml:space="preserve">expanding the number of publicly funded higher education places, including at TAFEs, ensuring students are funded to undertake the qualification of their choice, whether that be a funded </w:t>
            </w:r>
            <w:proofErr w:type="spellStart"/>
            <w:r w:rsidRPr="00C4084C">
              <w:t>microcredential</w:t>
            </w:r>
            <w:proofErr w:type="spellEnd"/>
            <w:r w:rsidRPr="00C4084C">
              <w:t xml:space="preserve">, diploma, </w:t>
            </w:r>
            <w:proofErr w:type="gramStart"/>
            <w:r w:rsidRPr="00C4084C">
              <w:t>bachelor</w:t>
            </w:r>
            <w:proofErr w:type="gramEnd"/>
            <w:r w:rsidRPr="00C4084C">
              <w:t xml:space="preserve"> degree, postgraduate degree, or other type of accredited qualification. Tertiary education providers should continue to retain the flexibility to allocate places across different types of </w:t>
            </w:r>
            <w:proofErr w:type="gramStart"/>
            <w:r w:rsidRPr="00C4084C">
              <w:t>qualification</w:t>
            </w:r>
            <w:proofErr w:type="gramEnd"/>
          </w:p>
          <w:p w14:paraId="326D39E9" w14:textId="6769C331" w:rsidR="00BA06EE" w:rsidRPr="0016193F" w:rsidRDefault="00BA06EE" w:rsidP="003E5969">
            <w:pPr>
              <w:pStyle w:val="Recsin-chapterL2"/>
              <w:rPr>
                <w:rFonts w:cs="Times New Roman"/>
              </w:rPr>
            </w:pPr>
            <w:r w:rsidRPr="00C4084C">
              <w:t xml:space="preserve">ensuring funding for efforts to build aspiration and boost the pipeline of students is kept outside the new funding </w:t>
            </w:r>
            <w:proofErr w:type="gramStart"/>
            <w:r w:rsidRPr="00C4084C">
              <w:t>model</w:t>
            </w:r>
            <w:proofErr w:type="gramEnd"/>
          </w:p>
          <w:p w14:paraId="1A8E8A2B" w14:textId="5DF9AFF3" w:rsidR="0016193F" w:rsidRPr="00C4084C" w:rsidDel="00882244" w:rsidRDefault="0016193F" w:rsidP="003E5969">
            <w:pPr>
              <w:pStyle w:val="Recsin-chapterL2"/>
              <w:rPr>
                <w:rFonts w:cs="Times New Roman"/>
              </w:rPr>
            </w:pPr>
            <w:r>
              <w:t>continuing to provide the Indigenous Student Support Program, with potential future reforms to be guided by the First Nations-led review, but with accountability for the program to shift to the Minister for Education to ensure effective integration with these overall funding arrangements</w:t>
            </w:r>
            <w:r w:rsidRPr="00C4084C">
              <w:t>.</w:t>
            </w:r>
          </w:p>
        </w:tc>
      </w:tr>
    </w:tbl>
    <w:p w14:paraId="0486D19B" w14:textId="05F7FA42" w:rsidR="00B920D4" w:rsidRPr="00C4084C" w:rsidRDefault="00B920D4" w:rsidP="00745009">
      <w:pPr>
        <w:pStyle w:val="Heading3"/>
      </w:pPr>
      <w:bookmarkStart w:id="1573" w:name="_Toc151482148"/>
      <w:bookmarkStart w:id="1574" w:name="_Toc151482149"/>
      <w:bookmarkStart w:id="1575" w:name="_Toc151482150"/>
      <w:bookmarkStart w:id="1576" w:name="_Toc151482151"/>
      <w:bookmarkStart w:id="1577" w:name="_Toc151482152"/>
      <w:bookmarkStart w:id="1578" w:name="_Toc151482153"/>
      <w:bookmarkStart w:id="1579" w:name="_Toc151482154"/>
      <w:bookmarkStart w:id="1580" w:name="_Toc151482155"/>
      <w:bookmarkStart w:id="1581" w:name="_Toc151482156"/>
      <w:bookmarkStart w:id="1582" w:name="_Toc151126566"/>
      <w:bookmarkStart w:id="1583" w:name="_Toc151126665"/>
      <w:bookmarkStart w:id="1584" w:name="_Toc151126802"/>
      <w:bookmarkStart w:id="1585" w:name="_Toc151211830"/>
      <w:bookmarkStart w:id="1586" w:name="_Toc151211884"/>
      <w:bookmarkStart w:id="1587" w:name="_Toc151216661"/>
      <w:bookmarkStart w:id="1588" w:name="_Toc151216718"/>
      <w:bookmarkStart w:id="1589" w:name="_Toc151218542"/>
      <w:bookmarkStart w:id="1590" w:name="_Toc151218606"/>
      <w:bookmarkStart w:id="1591" w:name="_Toc151226295"/>
      <w:bookmarkStart w:id="1592" w:name="_Toc151226362"/>
      <w:bookmarkStart w:id="1593" w:name="_Toc151226431"/>
      <w:bookmarkStart w:id="1594" w:name="_Toc151226718"/>
      <w:bookmarkStart w:id="1595" w:name="_Toc150954637"/>
      <w:bookmarkStart w:id="1596" w:name="_Toc151815673"/>
      <w:bookmarkStart w:id="1597" w:name="_Toc159501025"/>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r w:rsidRPr="00C4084C">
        <w:t>Research funding</w:t>
      </w:r>
      <w:bookmarkEnd w:id="1595"/>
      <w:bookmarkEnd w:id="1596"/>
      <w:bookmarkEnd w:id="1597"/>
    </w:p>
    <w:p w14:paraId="4323DE88" w14:textId="38F4EFA7" w:rsidR="00B920D4" w:rsidRPr="00C4084C" w:rsidRDefault="00B920D4" w:rsidP="00BA6095">
      <w:pPr>
        <w:pStyle w:val="Heading4"/>
      </w:pPr>
      <w:bookmarkStart w:id="1598" w:name="_Toc150954638"/>
      <w:bookmarkStart w:id="1599" w:name="_Toc151815674"/>
      <w:bookmarkStart w:id="1600" w:name="_Toc159501026"/>
      <w:r w:rsidRPr="00C4084C">
        <w:t>Overview and evolution of the research funding system</w:t>
      </w:r>
      <w:bookmarkEnd w:id="1598"/>
      <w:bookmarkEnd w:id="1599"/>
      <w:bookmarkEnd w:id="1600"/>
    </w:p>
    <w:p w14:paraId="4DB15661" w14:textId="237521AD" w:rsidR="00566D66" w:rsidRPr="00C4084C" w:rsidRDefault="00566D66" w:rsidP="00566D66">
      <w:r w:rsidRPr="00C4084C">
        <w:t xml:space="preserve">As noted in previous chapters, </w:t>
      </w:r>
      <w:r w:rsidR="4E96878D" w:rsidRPr="00C4084C">
        <w:t>u</w:t>
      </w:r>
      <w:r w:rsidRPr="00C4084C">
        <w:t>niversity expenditure on research was estimated to be $12.</w:t>
      </w:r>
      <w:r w:rsidR="00CD22BC">
        <w:t>7</w:t>
      </w:r>
      <w:r w:rsidR="40BBD07F" w:rsidRPr="00C4084C">
        <w:t xml:space="preserve"> billion</w:t>
      </w:r>
      <w:r w:rsidRPr="00C4084C">
        <w:t xml:space="preserve"> in </w:t>
      </w:r>
      <w:r w:rsidR="00CD22BC" w:rsidRPr="00C4084C">
        <w:t>202</w:t>
      </w:r>
      <w:r w:rsidR="00CD22BC">
        <w:t>0</w:t>
      </w:r>
      <w:r w:rsidRPr="00C4084C">
        <w:t xml:space="preserve">. Funding for university research comes from a range of sources. The largest amounts by source are provided in </w:t>
      </w:r>
      <w:r w:rsidR="00D92C18" w:rsidRPr="00C4084C">
        <w:fldChar w:fldCharType="begin"/>
      </w:r>
      <w:r w:rsidR="00D92C18" w:rsidRPr="00C4084C">
        <w:instrText xml:space="preserve"> REF _Ref152922668 \h </w:instrText>
      </w:r>
      <w:r w:rsidR="00D92C18" w:rsidRPr="00C4084C">
        <w:fldChar w:fldCharType="separate"/>
      </w:r>
      <w:r w:rsidR="00467B4F" w:rsidRPr="00C4084C">
        <w:t xml:space="preserve">Figure </w:t>
      </w:r>
      <w:r w:rsidR="00467B4F">
        <w:rPr>
          <w:noProof/>
        </w:rPr>
        <w:t>39</w:t>
      </w:r>
      <w:r w:rsidR="00D92C18" w:rsidRPr="00C4084C">
        <w:fldChar w:fldCharType="end"/>
      </w:r>
      <w:r w:rsidRPr="00C4084C">
        <w:t xml:space="preserve"> below.</w:t>
      </w:r>
    </w:p>
    <w:p w14:paraId="22416361" w14:textId="3D7DCA85" w:rsidR="00B261FC" w:rsidRPr="00D26B82" w:rsidRDefault="00026E95" w:rsidP="00B261FC">
      <w:pPr>
        <w:pStyle w:val="Caption"/>
        <w:rPr>
          <w:b/>
          <w:bCs/>
          <w:sz w:val="24"/>
          <w:szCs w:val="24"/>
        </w:rPr>
      </w:pPr>
      <w:bookmarkStart w:id="1601" w:name="_Ref152922668"/>
      <w:bookmarkStart w:id="1602" w:name="_Toc154674801"/>
      <w:r w:rsidRPr="00D26B82">
        <w:rPr>
          <w:b/>
          <w:bCs/>
          <w:sz w:val="24"/>
          <w:szCs w:val="24"/>
        </w:rPr>
        <w:lastRenderedPageBreak/>
        <w:t>Figure</w:t>
      </w:r>
      <w:r w:rsidR="00B261FC" w:rsidRPr="00D26B82">
        <w:rPr>
          <w:b/>
          <w:bCs/>
          <w:sz w:val="24"/>
          <w:szCs w:val="24"/>
        </w:rPr>
        <w:t xml:space="preserv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39</w:t>
      </w:r>
      <w:r w:rsidRPr="00D26B82">
        <w:rPr>
          <w:b/>
          <w:bCs/>
          <w:sz w:val="24"/>
          <w:szCs w:val="24"/>
        </w:rPr>
        <w:fldChar w:fldCharType="end"/>
      </w:r>
      <w:bookmarkEnd w:id="1601"/>
      <w:r w:rsidR="00291340" w:rsidRPr="00D26B82">
        <w:rPr>
          <w:b/>
          <w:bCs/>
          <w:sz w:val="24"/>
          <w:szCs w:val="24"/>
        </w:rPr>
        <w:t>: Higher education spending on research and development, by source of funds</w:t>
      </w:r>
      <w:r w:rsidR="00F44C46" w:rsidRPr="00D26B82">
        <w:rPr>
          <w:b/>
          <w:bCs/>
          <w:sz w:val="24"/>
          <w:szCs w:val="24"/>
        </w:rPr>
        <w:t xml:space="preserve"> </w:t>
      </w:r>
      <w:r w:rsidR="008719C4" w:rsidRPr="00D26B82">
        <w:rPr>
          <w:b/>
          <w:bCs/>
          <w:sz w:val="24"/>
          <w:szCs w:val="24"/>
        </w:rPr>
        <w:t xml:space="preserve">(a) </w:t>
      </w:r>
      <w:r w:rsidR="00F44C46" w:rsidRPr="00D26B82">
        <w:rPr>
          <w:b/>
          <w:bCs/>
          <w:sz w:val="24"/>
          <w:szCs w:val="24"/>
        </w:rPr>
        <w:t>2018, 2020.</w:t>
      </w:r>
      <w:bookmarkEnd w:id="1602"/>
    </w:p>
    <w:p w14:paraId="0BB9F201" w14:textId="5D647841" w:rsidR="00803B5E" w:rsidRDefault="00803B5E" w:rsidP="0073606F">
      <w:pPr>
        <w:pStyle w:val="Source"/>
      </w:pPr>
      <w:r>
        <w:rPr>
          <w:noProof/>
        </w:rPr>
        <w:drawing>
          <wp:inline distT="0" distB="0" distL="0" distR="0" wp14:anchorId="7915D1CD" wp14:editId="112C40BD">
            <wp:extent cx="5805378" cy="2679405"/>
            <wp:effectExtent l="0" t="0" r="0" b="0"/>
            <wp:docPr id="280969168" name="Graphic 39" descr="Clustered column graph showing higher education spending on research and development by source of funds. The largest category of spending by a significant margin is General University funds, followed by other schemes, competitive grants, business, state and local government, overseas funds and donations, bequests and found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969168" name="Graphic 39" descr="Clustered column graph showing higher education spending on research and development by source of funds. The largest category of spending by a significant margin is General University funds, followed by other schemes, competitive grants, business, state and local government, overseas funds and donations, bequests and foundations. "/>
                    <pic:cNvPicPr/>
                  </pic:nvPicPr>
                  <pic:blipFill>
                    <a:blip r:embed="rId153">
                      <a:extLst>
                        <a:ext uri="{28A0092B-C50C-407E-A947-70E740481C1C}">
                          <a14:useLocalDpi xmlns:a14="http://schemas.microsoft.com/office/drawing/2010/main" val="0"/>
                        </a:ext>
                        <a:ext uri="{96DAC541-7B7A-43D3-8B79-37D633B846F1}">
                          <asvg:svgBlip xmlns:asvg="http://schemas.microsoft.com/office/drawing/2016/SVG/main" r:embed="rId154"/>
                        </a:ext>
                      </a:extLst>
                    </a:blip>
                    <a:stretch>
                      <a:fillRect/>
                    </a:stretch>
                  </pic:blipFill>
                  <pic:spPr>
                    <a:xfrm>
                      <a:off x="0" y="0"/>
                      <a:ext cx="5821572" cy="2686879"/>
                    </a:xfrm>
                    <a:prstGeom prst="rect">
                      <a:avLst/>
                    </a:prstGeom>
                  </pic:spPr>
                </pic:pic>
              </a:graphicData>
            </a:graphic>
          </wp:inline>
        </w:drawing>
      </w:r>
    </w:p>
    <w:p w14:paraId="7C8FC319" w14:textId="4BB8CDBF" w:rsidR="00F44C46" w:rsidRPr="00C4084C" w:rsidRDefault="00F44C46" w:rsidP="0073606F">
      <w:pPr>
        <w:pStyle w:val="Source"/>
      </w:pPr>
      <w:r w:rsidRPr="00C4084C">
        <w:t>Source: Australian Bureau of Statistics</w:t>
      </w:r>
      <w:r w:rsidRPr="00C4084C">
        <w:rPr>
          <w:i/>
        </w:rPr>
        <w:t>, Research and Experimental Development, Higher Education Organisations, Australia 2020</w:t>
      </w:r>
      <w:r w:rsidR="004E0B4B" w:rsidRPr="00C4084C">
        <w:t xml:space="preserve"> [data set]</w:t>
      </w:r>
      <w:r w:rsidRPr="00C4084C">
        <w:t>.</w:t>
      </w:r>
    </w:p>
    <w:p w14:paraId="34D223B1" w14:textId="1B5026CB" w:rsidR="001A42D9" w:rsidRPr="00C4084C" w:rsidRDefault="001A42D9" w:rsidP="001A42D9">
      <w:pPr>
        <w:pStyle w:val="Source"/>
        <w:rPr>
          <w:lang w:eastAsia="en-GB"/>
        </w:rPr>
      </w:pPr>
      <w:r w:rsidRPr="00C4084C">
        <w:t>Note</w:t>
      </w:r>
      <w:r w:rsidR="00B261FC" w:rsidRPr="00C4084C">
        <w:t>s</w:t>
      </w:r>
      <w:r w:rsidRPr="00C4084C">
        <w:t>: a)</w:t>
      </w:r>
      <w:r w:rsidRPr="00C4084C">
        <w:rPr>
          <w:lang w:eastAsia="en-GB"/>
        </w:rPr>
        <w:t xml:space="preserve"> Other Australian source of funds data not included, b) Commonwealth and Non-Commonwealth schemes</w:t>
      </w:r>
      <w:r w:rsidR="00B261FC" w:rsidRPr="00C4084C">
        <w:rPr>
          <w:lang w:eastAsia="en-GB"/>
        </w:rPr>
        <w:t xml:space="preserve">, c) Other </w:t>
      </w:r>
      <w:r w:rsidR="324EA149" w:rsidRPr="00C4084C">
        <w:rPr>
          <w:lang w:eastAsia="en-GB"/>
        </w:rPr>
        <w:t>Australian</w:t>
      </w:r>
      <w:r w:rsidR="00B261FC" w:rsidRPr="00C4084C">
        <w:rPr>
          <w:lang w:eastAsia="en-GB"/>
        </w:rPr>
        <w:t xml:space="preserve"> Government funding</w:t>
      </w:r>
      <w:r w:rsidRPr="00C4084C">
        <w:rPr>
          <w:lang w:eastAsia="en-GB"/>
        </w:rPr>
        <w:t>.</w:t>
      </w:r>
    </w:p>
    <w:p w14:paraId="3932F542" w14:textId="6D6324D0" w:rsidR="00FB2AF6" w:rsidRPr="00C4084C" w:rsidRDefault="00FB2AF6" w:rsidP="000C393F">
      <w:r w:rsidRPr="00C4084C">
        <w:t xml:space="preserve">As evident from </w:t>
      </w:r>
      <w:r w:rsidR="00D92C18" w:rsidRPr="00C4084C">
        <w:fldChar w:fldCharType="begin"/>
      </w:r>
      <w:r w:rsidR="00D92C18" w:rsidRPr="00C4084C">
        <w:instrText xml:space="preserve"> REF _Ref152922668 \h </w:instrText>
      </w:r>
      <w:r w:rsidR="001E5863">
        <w:instrText xml:space="preserve"> \* MERGEFORMAT </w:instrText>
      </w:r>
      <w:r w:rsidR="00D92C18" w:rsidRPr="00C4084C">
        <w:fldChar w:fldCharType="separate"/>
      </w:r>
      <w:r w:rsidR="00467B4F" w:rsidRPr="00C4084C">
        <w:t xml:space="preserve">Figure </w:t>
      </w:r>
      <w:r w:rsidR="00467B4F">
        <w:rPr>
          <w:noProof/>
        </w:rPr>
        <w:t>39</w:t>
      </w:r>
      <w:r w:rsidR="00D92C18" w:rsidRPr="00C4084C">
        <w:fldChar w:fldCharType="end"/>
      </w:r>
      <w:r w:rsidRPr="00C4084C">
        <w:t xml:space="preserve">, universities’ research income comes from a variety of sources, the largest being General University Funds, funds universities invest in research from their own resources. The next largest source is </w:t>
      </w:r>
      <w:r w:rsidR="00060356" w:rsidRPr="00C4084C">
        <w:t>o</w:t>
      </w:r>
      <w:r w:rsidR="003942FD" w:rsidRPr="00C4084C">
        <w:t xml:space="preserve">ther schemes, </w:t>
      </w:r>
      <w:r w:rsidR="00E83A17" w:rsidRPr="00C4084C">
        <w:t>which includes</w:t>
      </w:r>
      <w:r w:rsidR="003942FD" w:rsidRPr="00C4084C">
        <w:t xml:space="preserve"> </w:t>
      </w:r>
      <w:r w:rsidR="00E83A17" w:rsidRPr="00C4084C">
        <w:t xml:space="preserve">targeted research funding from Commonwealth agencies, including research block grants. This is followed by </w:t>
      </w:r>
      <w:r w:rsidRPr="00C4084C">
        <w:t xml:space="preserve">Australian </w:t>
      </w:r>
      <w:r w:rsidR="00E83A17" w:rsidRPr="00C4084C">
        <w:t>c</w:t>
      </w:r>
      <w:r w:rsidRPr="00C4084C">
        <w:t xml:space="preserve">ompetitive </w:t>
      </w:r>
      <w:r w:rsidR="00E83A17" w:rsidRPr="00C4084C">
        <w:t>g</w:t>
      </w:r>
      <w:r w:rsidRPr="00C4084C">
        <w:t>rants</w:t>
      </w:r>
      <w:r w:rsidR="00E83A17" w:rsidRPr="00C4084C">
        <w:t>,</w:t>
      </w:r>
      <w:r w:rsidRPr="00C4084C">
        <w:t xml:space="preserve"> discussed below, followed by business, </w:t>
      </w:r>
      <w:r w:rsidR="00F31397">
        <w:t>s</w:t>
      </w:r>
      <w:r w:rsidR="00F31397" w:rsidRPr="00C4084C">
        <w:t xml:space="preserve">tate </w:t>
      </w:r>
      <w:r w:rsidRPr="00C4084C">
        <w:t xml:space="preserve">and </w:t>
      </w:r>
      <w:r w:rsidR="00E83A17" w:rsidRPr="00C4084C">
        <w:t xml:space="preserve">local </w:t>
      </w:r>
      <w:r w:rsidRPr="00C4084C">
        <w:t>government</w:t>
      </w:r>
      <w:r w:rsidR="00E83A17" w:rsidRPr="00C4084C">
        <w:t xml:space="preserve"> funds</w:t>
      </w:r>
      <w:r w:rsidRPr="00C4084C">
        <w:t xml:space="preserve">, overseas </w:t>
      </w:r>
      <w:r w:rsidR="00060356" w:rsidRPr="00C4084C">
        <w:t xml:space="preserve">funds and then donations, </w:t>
      </w:r>
      <w:proofErr w:type="gramStart"/>
      <w:r w:rsidR="00060356" w:rsidRPr="00C4084C">
        <w:t>bequests</w:t>
      </w:r>
      <w:proofErr w:type="gramEnd"/>
      <w:r w:rsidR="00060356" w:rsidRPr="00C4084C">
        <w:t xml:space="preserve"> and foundations, which includes research specific donations and bequests from non-profit organisations and Australian individuals</w:t>
      </w:r>
      <w:r w:rsidRPr="00C4084C">
        <w:t>.  </w:t>
      </w:r>
    </w:p>
    <w:p w14:paraId="5CC64B68" w14:textId="45D76E42" w:rsidR="00CC1A3C" w:rsidRPr="00C4084C" w:rsidRDefault="00CC1A3C" w:rsidP="00A100BB">
      <w:pPr>
        <w:pStyle w:val="Heading5"/>
      </w:pPr>
      <w:r w:rsidRPr="00C4084C">
        <w:t>Government funding of university research</w:t>
      </w:r>
    </w:p>
    <w:p w14:paraId="521CDC39" w14:textId="77777777" w:rsidR="00B920D4" w:rsidRPr="00C4084C" w:rsidRDefault="00B920D4" w:rsidP="000C393F">
      <w:r w:rsidRPr="00C4084C">
        <w:t xml:space="preserve">The Australian Government operates a dual-funding system for university research: competitive grants and research block grants. </w:t>
      </w:r>
    </w:p>
    <w:p w14:paraId="6D566A69" w14:textId="77777777" w:rsidR="00F5068C" w:rsidRPr="00C4084C" w:rsidRDefault="00B920D4" w:rsidP="000C393F">
      <w:r w:rsidRPr="00C4084C">
        <w:t xml:space="preserve">Competitive grant funding is </w:t>
      </w:r>
      <w:r w:rsidRPr="00C4084C">
        <w:rPr>
          <w:i/>
          <w:iCs/>
        </w:rPr>
        <w:t>awarded</w:t>
      </w:r>
      <w:r w:rsidRPr="00C4084C">
        <w:t xml:space="preserve"> to universities and other research institutes to undertake research. Competitive funding is </w:t>
      </w:r>
      <w:r w:rsidRPr="00C4084C">
        <w:rPr>
          <w:i/>
          <w:iCs/>
        </w:rPr>
        <w:t>granted</w:t>
      </w:r>
      <w:r w:rsidRPr="00C4084C">
        <w:t xml:space="preserve"> to successful applicants through merit-based processes, which often involve expert peer review. </w:t>
      </w:r>
    </w:p>
    <w:p w14:paraId="042BED49" w14:textId="3749CEC5" w:rsidR="00900181" w:rsidRPr="00C4084C" w:rsidRDefault="00900181" w:rsidP="000C393F">
      <w:pPr>
        <w:pStyle w:val="ListBullet"/>
      </w:pPr>
      <w:r w:rsidRPr="00C4084C">
        <w:t>Significant sub-categories with Australian competitive grants include</w:t>
      </w:r>
      <w:r w:rsidR="00F31397">
        <w:t>:</w:t>
      </w:r>
      <w:r w:rsidR="002B188D" w:rsidRPr="00C4084C">
        <w:rPr>
          <w:rStyle w:val="FootnoteReference"/>
        </w:rPr>
        <w:footnoteReference w:id="446"/>
      </w:r>
    </w:p>
    <w:p w14:paraId="243ABB59" w14:textId="2F93750A" w:rsidR="00900181" w:rsidRPr="00C4084C" w:rsidRDefault="00900181" w:rsidP="00CA51A5">
      <w:pPr>
        <w:pStyle w:val="ListBullet"/>
      </w:pPr>
      <w:r w:rsidRPr="00C4084C">
        <w:t>Australian Research Council (ARC) ($74</w:t>
      </w:r>
      <w:r w:rsidR="002B188D" w:rsidRPr="00C4084C">
        <w:t>3</w:t>
      </w:r>
      <w:r w:rsidRPr="00C4084C">
        <w:t xml:space="preserve"> million in 2021)</w:t>
      </w:r>
    </w:p>
    <w:p w14:paraId="7C321726" w14:textId="77777777" w:rsidR="00900181" w:rsidRPr="00C4084C" w:rsidRDefault="00900181" w:rsidP="00CA51A5">
      <w:pPr>
        <w:pStyle w:val="ListBullet"/>
      </w:pPr>
      <w:r w:rsidRPr="00C4084C">
        <w:t xml:space="preserve">National Health and Medical Research Council (NHMRC) ($665 million in 2021) </w:t>
      </w:r>
    </w:p>
    <w:p w14:paraId="28AF1A7F" w14:textId="579C3170" w:rsidR="00900181" w:rsidRPr="00C4084C" w:rsidRDefault="00900181" w:rsidP="00CA51A5">
      <w:pPr>
        <w:pStyle w:val="ListBullet"/>
      </w:pPr>
      <w:r w:rsidRPr="00C4084C">
        <w:t xml:space="preserve">Medical Research Future Fund (MRFF) ($340 million in 2021) </w:t>
      </w:r>
    </w:p>
    <w:p w14:paraId="60984031" w14:textId="3E23674E" w:rsidR="00900181" w:rsidRPr="00C4084C" w:rsidRDefault="00900181" w:rsidP="00CA51A5">
      <w:pPr>
        <w:pStyle w:val="ListBullet"/>
      </w:pPr>
      <w:r w:rsidRPr="00C4084C">
        <w:t xml:space="preserve">Rural R&amp;D which includes competitive grants from Rural Research and Development Corporations (RDCs) ($121 million in 2021).  </w:t>
      </w:r>
    </w:p>
    <w:p w14:paraId="4BE391A2" w14:textId="59B756E8" w:rsidR="00900181" w:rsidRPr="00C4084C" w:rsidRDefault="00900181" w:rsidP="000C393F">
      <w:r w:rsidRPr="00C4084C">
        <w:lastRenderedPageBreak/>
        <w:t>Distinct from Australian Competitive Grants, the Cooperative Research Centres (CRC) Program funds industry-led collaborations between industry, researchers and end users and has a focus towards research application.</w:t>
      </w:r>
    </w:p>
    <w:p w14:paraId="7456DB06" w14:textId="3BD3F1B4" w:rsidR="00900181" w:rsidRPr="00C4084C" w:rsidRDefault="00900181" w:rsidP="000C393F">
      <w:r w:rsidRPr="00C4084C">
        <w:t xml:space="preserve">The CRC Program offers </w:t>
      </w:r>
      <w:r w:rsidR="00D16150" w:rsidRPr="00C4084C">
        <w:t xml:space="preserve">2 </w:t>
      </w:r>
      <w:r w:rsidRPr="00C4084C">
        <w:t>specific grants:</w:t>
      </w:r>
    </w:p>
    <w:p w14:paraId="431D79F4" w14:textId="7667BE59" w:rsidR="00900181" w:rsidRPr="00C4084C" w:rsidRDefault="00900181" w:rsidP="00CA51A5">
      <w:pPr>
        <w:pStyle w:val="ListBullet"/>
      </w:pPr>
      <w:r w:rsidRPr="00C4084C">
        <w:t>Cooperative Research Centre</w:t>
      </w:r>
      <w:r w:rsidR="0059313C">
        <w:t>s</w:t>
      </w:r>
      <w:r w:rsidRPr="00C4084C">
        <w:t xml:space="preserve"> (CRC) grants – supporting medium to long term industry-led collaborations, up to 10 </w:t>
      </w:r>
      <w:proofErr w:type="gramStart"/>
      <w:r w:rsidRPr="00C4084C">
        <w:t>years</w:t>
      </w:r>
      <w:proofErr w:type="gramEnd"/>
    </w:p>
    <w:p w14:paraId="5CDC5A62" w14:textId="77777777" w:rsidR="00900181" w:rsidRPr="00C4084C" w:rsidRDefault="00900181" w:rsidP="00CA51A5">
      <w:pPr>
        <w:pStyle w:val="ListBullet"/>
      </w:pPr>
      <w:r w:rsidRPr="00C4084C">
        <w:t>Cooperative Research Centres Projects (CRC-P) grants – supporting short term, industry-led collaborative research, up to 3 years.</w:t>
      </w:r>
    </w:p>
    <w:p w14:paraId="4A6A32E2" w14:textId="0884A133" w:rsidR="00900181" w:rsidRPr="00C4084C" w:rsidRDefault="00900181" w:rsidP="000C393F">
      <w:r w:rsidRPr="00C4084C">
        <w:t>In 2021, Australian Table A and B universities received a total of $2.</w:t>
      </w:r>
      <w:r w:rsidR="00266860" w:rsidRPr="00C4084C">
        <w:t>1</w:t>
      </w:r>
      <w:r w:rsidRPr="00C4084C">
        <w:t xml:space="preserve"> billion in competitive research funding and $1</w:t>
      </w:r>
      <w:r w:rsidR="00F33E6D" w:rsidRPr="00C4084C">
        <w:t>1</w:t>
      </w:r>
      <w:r w:rsidRPr="00C4084C">
        <w:t>6 million in CRC funding.</w:t>
      </w:r>
      <w:r w:rsidRPr="00C4084C">
        <w:rPr>
          <w:rStyle w:val="FootnoteReference"/>
        </w:rPr>
        <w:footnoteReference w:id="447"/>
      </w:r>
      <w:r w:rsidRPr="00C4084C">
        <w:t xml:space="preserve"> </w:t>
      </w:r>
    </w:p>
    <w:p w14:paraId="0D6033AB" w14:textId="77777777" w:rsidR="00B920D4" w:rsidRPr="00C4084C" w:rsidRDefault="00B920D4" w:rsidP="000C393F">
      <w:r w:rsidRPr="00C4084C">
        <w:t xml:space="preserve">Research block grants are administered by the Australian Government Department of Education and are </w:t>
      </w:r>
      <w:r w:rsidRPr="00C4084C">
        <w:rPr>
          <w:i/>
          <w:iCs/>
        </w:rPr>
        <w:t>allocated</w:t>
      </w:r>
      <w:r w:rsidRPr="00C4084C">
        <w:t xml:space="preserve"> to universities via the Research Support Program (RSP) and the Research Training Program (RTP) to support research and research training. Research block grants are </w:t>
      </w:r>
      <w:r w:rsidRPr="00C4084C">
        <w:rPr>
          <w:i/>
          <w:iCs/>
        </w:rPr>
        <w:t>awarded</w:t>
      </w:r>
      <w:r w:rsidRPr="00C4084C">
        <w:t xml:space="preserve"> based on the relative performance of universities in attracting research income and supporting students to complete higher degrees by research (HDRs). In 2023, the Australian Government provided $2.08 billion in research block grant funding to the 42 Table A and B universities.</w:t>
      </w:r>
      <w:r w:rsidRPr="00C4084C">
        <w:rPr>
          <w:rStyle w:val="FootnoteReference"/>
        </w:rPr>
        <w:footnoteReference w:id="448"/>
      </w:r>
      <w:r w:rsidRPr="00C4084C">
        <w:t xml:space="preserve"> </w:t>
      </w:r>
    </w:p>
    <w:p w14:paraId="3EAADC3F" w14:textId="5076E717" w:rsidR="00B920D4" w:rsidRPr="00C4084C" w:rsidRDefault="00167F28" w:rsidP="000C393F">
      <w:pPr>
        <w:rPr>
          <w:rFonts w:eastAsia="Arial"/>
          <w:color w:val="000000" w:themeColor="text1"/>
        </w:rPr>
      </w:pPr>
      <w:r w:rsidRPr="00C4084C">
        <w:t>General r</w:t>
      </w:r>
      <w:r w:rsidR="006E3B7A" w:rsidRPr="00C4084C">
        <w:t xml:space="preserve">esearch funding </w:t>
      </w:r>
      <w:r w:rsidRPr="00C4084C">
        <w:t>to universit</w:t>
      </w:r>
      <w:r w:rsidR="000D20C7" w:rsidRPr="00C4084C">
        <w:t>ies</w:t>
      </w:r>
      <w:r w:rsidRPr="00C4084C">
        <w:t xml:space="preserve"> </w:t>
      </w:r>
      <w:r w:rsidR="006E3B7A" w:rsidRPr="00C4084C">
        <w:t>has been provided from the research portion of institutional operating grants then specific research block grants</w:t>
      </w:r>
      <w:r w:rsidRPr="00C4084C">
        <w:t xml:space="preserve"> </w:t>
      </w:r>
      <w:r w:rsidR="006E3B7A" w:rsidRPr="00C4084C">
        <w:t>in some form or another since</w:t>
      </w:r>
      <w:r w:rsidRPr="00C4084C">
        <w:t xml:space="preserve"> 1990 following the Dawkins reforms, </w:t>
      </w:r>
      <w:r w:rsidR="006E3B7A" w:rsidRPr="00C4084C">
        <w:t>commencing with the Research Quantum Index portion of the institutional Operating Grant.</w:t>
      </w:r>
      <w:r w:rsidR="003F6B15" w:rsidRPr="00C4084C">
        <w:rPr>
          <w:rStyle w:val="FootnoteReference"/>
        </w:rPr>
        <w:footnoteReference w:id="449"/>
      </w:r>
      <w:r w:rsidR="006E3B7A" w:rsidRPr="00C4084C" w:rsidDel="003F6B15">
        <w:t xml:space="preserve"> </w:t>
      </w:r>
      <w:r w:rsidR="003F6B15" w:rsidRPr="00C4084C">
        <w:t>Immediately p</w:t>
      </w:r>
      <w:r w:rsidR="00B920D4" w:rsidRPr="00C4084C">
        <w:t xml:space="preserve">rior to the implementation of the RSP and RTP in 2017, research block grants consisted of </w:t>
      </w:r>
      <w:r w:rsidR="3F234234" w:rsidRPr="00C4084C">
        <w:t>6</w:t>
      </w:r>
      <w:r w:rsidR="00B920D4" w:rsidRPr="00C4084C">
        <w:t xml:space="preserve"> programs. Recommendations of the 2015 </w:t>
      </w:r>
      <w:r w:rsidR="00B920D4" w:rsidRPr="00C4084C">
        <w:rPr>
          <w:rFonts w:eastAsia="Arial"/>
          <w:i/>
          <w:color w:val="000000" w:themeColor="text1"/>
        </w:rPr>
        <w:t xml:space="preserve">Review of Research Policy and Funding Arrangements – </w:t>
      </w:r>
      <w:r w:rsidR="00B920D4" w:rsidRPr="00C4084C">
        <w:rPr>
          <w:rFonts w:eastAsia="Arial"/>
          <w:color w:val="000000" w:themeColor="text1"/>
        </w:rPr>
        <w:t>to simplify research block grants and encourage greater innovation and engagement in research and research training – were the catalyst for this change.</w:t>
      </w:r>
      <w:r w:rsidR="00252BCF" w:rsidRPr="00C4084C">
        <w:rPr>
          <w:rStyle w:val="FootnoteReference"/>
          <w:rFonts w:eastAsia="Arial"/>
          <w:color w:val="000000" w:themeColor="text1"/>
        </w:rPr>
        <w:footnoteReference w:id="450"/>
      </w:r>
      <w:r w:rsidR="00B920D4" w:rsidRPr="00C4084C">
        <w:rPr>
          <w:rFonts w:eastAsia="Arial"/>
          <w:color w:val="000000" w:themeColor="text1"/>
        </w:rPr>
        <w:t xml:space="preserve"> The RSP replaced the </w:t>
      </w:r>
      <w:r w:rsidR="00B920D4" w:rsidRPr="00C4084C">
        <w:t>Joint Research</w:t>
      </w:r>
      <w:r w:rsidR="00B920D4" w:rsidRPr="00C4084C">
        <w:rPr>
          <w:rFonts w:eastAsia="Arial"/>
          <w:color w:val="000000" w:themeColor="text1"/>
        </w:rPr>
        <w:t xml:space="preserve"> Engagement scheme (for collaborative research activities between universities, industry and end-users), the Research Infrastructure Block Grants (for research infrastructure and excellence), and the Sustainable Research Excellence scheme (for the indirect costs of research not met by competitive grant programs). The R</w:t>
      </w:r>
      <w:r w:rsidR="009553F9">
        <w:rPr>
          <w:rFonts w:eastAsia="Arial"/>
          <w:color w:val="000000" w:themeColor="text1"/>
        </w:rPr>
        <w:t>T</w:t>
      </w:r>
      <w:r w:rsidR="00B920D4" w:rsidRPr="00C4084C">
        <w:rPr>
          <w:rFonts w:eastAsia="Arial"/>
          <w:color w:val="000000" w:themeColor="text1"/>
        </w:rPr>
        <w:t xml:space="preserve">P replaced the former </w:t>
      </w:r>
      <w:r w:rsidR="00B920D4" w:rsidRPr="00C4084C">
        <w:t xml:space="preserve">Australian Postgraduate Awards, International Postgraduate Research </w:t>
      </w:r>
      <w:proofErr w:type="gramStart"/>
      <w:r w:rsidR="00B920D4" w:rsidRPr="00C4084C">
        <w:t>Scholarships</w:t>
      </w:r>
      <w:proofErr w:type="gramEnd"/>
      <w:r w:rsidR="00B920D4" w:rsidRPr="00C4084C">
        <w:t xml:space="preserve"> and the Research Training Scheme.</w:t>
      </w:r>
    </w:p>
    <w:p w14:paraId="3BD02E69" w14:textId="499A5916" w:rsidR="00B920D4" w:rsidRPr="00C4084C" w:rsidRDefault="00B920D4" w:rsidP="000C393F">
      <w:r w:rsidRPr="00C4084C">
        <w:t>The RSP now provides a flexible funding stream to support the systemic costs of research by Australian universities, including the indirect costs of competitive grants, the delivery of world class research</w:t>
      </w:r>
      <w:r w:rsidR="0DB7F1FD" w:rsidRPr="00C4084C">
        <w:t>,</w:t>
      </w:r>
      <w:r w:rsidRPr="00C4084C">
        <w:t xml:space="preserve"> and collaboration between universities, </w:t>
      </w:r>
      <w:proofErr w:type="gramStart"/>
      <w:r w:rsidRPr="00C4084C">
        <w:t>industry</w:t>
      </w:r>
      <w:proofErr w:type="gramEnd"/>
      <w:r w:rsidRPr="00C4084C">
        <w:t xml:space="preserve"> and other research end-users. Indirect and systemic costs are ongoing and necessary expenses that support research but cannot be attributed to a single research project.</w:t>
      </w:r>
    </w:p>
    <w:p w14:paraId="2AF4ED0D" w14:textId="41588EEA" w:rsidR="00B920D4" w:rsidRPr="00C4084C" w:rsidRDefault="00B920D4" w:rsidP="000C393F">
      <w:r w:rsidRPr="00C4084C">
        <w:lastRenderedPageBreak/>
        <w:t>Another funding source is income from university research commercialisation activities which generated $307 million in revenue in 2022 and internal university investment.</w:t>
      </w:r>
      <w:r w:rsidRPr="00C4084C">
        <w:rPr>
          <w:rStyle w:val="FootnoteReference"/>
        </w:rPr>
        <w:footnoteReference w:id="451"/>
      </w:r>
      <w:r w:rsidRPr="00C4084C">
        <w:t xml:space="preserve"> </w:t>
      </w:r>
    </w:p>
    <w:p w14:paraId="1136D6BB" w14:textId="15457714" w:rsidR="00B920D4" w:rsidRPr="00C4084C" w:rsidRDefault="00B920D4" w:rsidP="00BA6095">
      <w:pPr>
        <w:pStyle w:val="Heading4"/>
      </w:pPr>
      <w:bookmarkStart w:id="1603" w:name="_Toc151815675"/>
      <w:bookmarkStart w:id="1604" w:name="_Toc159501027"/>
      <w:bookmarkStart w:id="1605" w:name="_Toc150954639"/>
      <w:r w:rsidRPr="00C4084C">
        <w:t>Funding system changes</w:t>
      </w:r>
      <w:bookmarkEnd w:id="1603"/>
      <w:bookmarkEnd w:id="1604"/>
      <w:r w:rsidRPr="00C4084C">
        <w:t xml:space="preserve"> </w:t>
      </w:r>
      <w:bookmarkEnd w:id="1605"/>
    </w:p>
    <w:p w14:paraId="7FD87096" w14:textId="196B4027" w:rsidR="00B920D4" w:rsidRPr="00C4084C" w:rsidRDefault="00B920D4" w:rsidP="000C393F">
      <w:r w:rsidRPr="00C4084C">
        <w:t xml:space="preserve">Australia’s higher education research institutions, supported by the dual funding system, provide a bedrock of quality </w:t>
      </w:r>
      <w:proofErr w:type="gramStart"/>
      <w:r w:rsidRPr="00C4084C">
        <w:t>research</w:t>
      </w:r>
      <w:proofErr w:type="gramEnd"/>
      <w:r w:rsidRPr="00C4084C">
        <w:t xml:space="preserve"> and </w:t>
      </w:r>
      <w:r w:rsidRPr="00C4084C">
        <w:rPr>
          <w:rStyle w:val="normaltextrun"/>
          <w:color w:val="000000" w:themeColor="text1"/>
        </w:rPr>
        <w:t>play a unique and vital role in the national research system</w:t>
      </w:r>
      <w:r w:rsidRPr="00C4084C">
        <w:t xml:space="preserve">. </w:t>
      </w:r>
      <w:r w:rsidR="006079EA" w:rsidRPr="00C4084C">
        <w:t xml:space="preserve">This </w:t>
      </w:r>
      <w:r w:rsidR="00252BCF" w:rsidRPr="00C4084C">
        <w:t>R</w:t>
      </w:r>
      <w:r w:rsidR="006079EA" w:rsidRPr="00C4084C">
        <w:t xml:space="preserve">eview recommends these structures are kept in place. To support the challenges outlined in </w:t>
      </w:r>
      <w:r w:rsidR="004E0B4B" w:rsidRPr="00C4084C">
        <w:rPr>
          <w:i/>
          <w:iCs/>
        </w:rPr>
        <w:fldChar w:fldCharType="begin"/>
      </w:r>
      <w:r w:rsidR="004E0B4B" w:rsidRPr="00C4084C">
        <w:rPr>
          <w:i/>
          <w:iCs/>
        </w:rPr>
        <w:instrText xml:space="preserve"> REF _Ref151935602 \r \h  \* MERGEFORMAT </w:instrText>
      </w:r>
      <w:r w:rsidR="004E0B4B" w:rsidRPr="00C4084C">
        <w:rPr>
          <w:i/>
          <w:iCs/>
        </w:rPr>
      </w:r>
      <w:r w:rsidR="004E0B4B" w:rsidRPr="00C4084C">
        <w:rPr>
          <w:i/>
          <w:iCs/>
        </w:rPr>
        <w:fldChar w:fldCharType="separate"/>
      </w:r>
      <w:r w:rsidR="00467B4F">
        <w:rPr>
          <w:i/>
          <w:iCs/>
        </w:rPr>
        <w:t xml:space="preserve">Chapter 5 – </w:t>
      </w:r>
      <w:r w:rsidR="004E0B4B" w:rsidRPr="00C4084C">
        <w:rPr>
          <w:i/>
          <w:iCs/>
        </w:rPr>
        <w:fldChar w:fldCharType="end"/>
      </w:r>
      <w:r w:rsidR="004E0B4B" w:rsidRPr="00C4084C">
        <w:rPr>
          <w:i/>
          <w:iCs/>
        </w:rPr>
        <w:fldChar w:fldCharType="begin"/>
      </w:r>
      <w:r w:rsidR="004E0B4B" w:rsidRPr="00C4084C">
        <w:rPr>
          <w:i/>
          <w:iCs/>
        </w:rPr>
        <w:instrText xml:space="preserve"> REF _Ref151935602 \h  \* MERGEFORMAT </w:instrText>
      </w:r>
      <w:r w:rsidR="004E0B4B" w:rsidRPr="00C4084C">
        <w:rPr>
          <w:i/>
          <w:iCs/>
        </w:rPr>
      </w:r>
      <w:r w:rsidR="004E0B4B" w:rsidRPr="00C4084C">
        <w:rPr>
          <w:i/>
          <w:iCs/>
        </w:rPr>
        <w:fldChar w:fldCharType="separate"/>
      </w:r>
      <w:r w:rsidR="00467B4F" w:rsidRPr="00467B4F">
        <w:rPr>
          <w:i/>
          <w:iCs/>
        </w:rPr>
        <w:t>Producing and using new knowledge</w:t>
      </w:r>
      <w:r w:rsidR="004E0B4B" w:rsidRPr="00C4084C">
        <w:rPr>
          <w:i/>
          <w:iCs/>
        </w:rPr>
        <w:fldChar w:fldCharType="end"/>
      </w:r>
      <w:r w:rsidR="004E0B4B" w:rsidRPr="00C4084C">
        <w:rPr>
          <w:i/>
          <w:iCs/>
        </w:rPr>
        <w:t>,</w:t>
      </w:r>
      <w:r w:rsidR="006079EA" w:rsidRPr="00C4084C">
        <w:rPr>
          <w:i/>
        </w:rPr>
        <w:t xml:space="preserve"> </w:t>
      </w:r>
      <w:r w:rsidR="006079EA" w:rsidRPr="00C4084C">
        <w:t xml:space="preserve">the </w:t>
      </w:r>
      <w:r w:rsidR="0EB66E03" w:rsidRPr="00C4084C">
        <w:t>Review’s</w:t>
      </w:r>
      <w:r w:rsidR="006079EA" w:rsidRPr="00C4084C">
        <w:t xml:space="preserve"> recommendations on funding do not significantly alter the dual funding system</w:t>
      </w:r>
      <w:r w:rsidR="009A0922" w:rsidRPr="00C4084C">
        <w:t xml:space="preserve"> structure</w:t>
      </w:r>
      <w:r w:rsidR="000D20C7" w:rsidRPr="00C4084C">
        <w:t>.</w:t>
      </w:r>
      <w:r w:rsidR="006079EA" w:rsidRPr="00C4084C">
        <w:t xml:space="preserve"> However</w:t>
      </w:r>
      <w:r w:rsidR="13D17AED" w:rsidRPr="00C4084C">
        <w:t>,</w:t>
      </w:r>
      <w:r w:rsidR="006079EA" w:rsidRPr="00C4084C">
        <w:t xml:space="preserve"> to strengthen this system, the Review is recommending </w:t>
      </w:r>
      <w:r w:rsidR="048C5274" w:rsidRPr="00C4084C">
        <w:t>4</w:t>
      </w:r>
      <w:r w:rsidR="009A0922" w:rsidRPr="00C4084C">
        <w:t xml:space="preserve"> major </w:t>
      </w:r>
      <w:r w:rsidR="006079EA" w:rsidRPr="00C4084C">
        <w:t xml:space="preserve">changes to the research funding </w:t>
      </w:r>
      <w:r w:rsidR="009A0922" w:rsidRPr="00C4084C">
        <w:t>arrangements</w:t>
      </w:r>
      <w:r w:rsidR="00B81E9F" w:rsidRPr="00C4084C">
        <w:t xml:space="preserve"> (see Recommendation </w:t>
      </w:r>
      <w:r w:rsidR="009A3302" w:rsidRPr="00C4084C">
        <w:t>42)</w:t>
      </w:r>
      <w:r w:rsidR="006079EA" w:rsidRPr="00C4084C">
        <w:t>.</w:t>
      </w:r>
    </w:p>
    <w:p w14:paraId="57A3D60B" w14:textId="32DE6248" w:rsidR="00B920D4" w:rsidRPr="00C4084C" w:rsidRDefault="00B920D4" w:rsidP="003E5969">
      <w:pPr>
        <w:pStyle w:val="Heading5"/>
      </w:pPr>
      <w:r w:rsidRPr="00C4084C">
        <w:t xml:space="preserve">Driving world-leading and </w:t>
      </w:r>
      <w:r w:rsidR="009A0922" w:rsidRPr="00C4084C">
        <w:t xml:space="preserve">high impact </w:t>
      </w:r>
      <w:r w:rsidRPr="00C4084C">
        <w:t>research</w:t>
      </w:r>
    </w:p>
    <w:p w14:paraId="4357481A" w14:textId="750BE858" w:rsidR="00B920D4" w:rsidRPr="00C4084C" w:rsidRDefault="00B920D4" w:rsidP="000C393F">
      <w:r w:rsidRPr="00C4084C">
        <w:t xml:space="preserve">To improve the impact of Australian research, a new </w:t>
      </w:r>
      <w:r w:rsidR="009A0922" w:rsidRPr="00C4084C">
        <w:t>strategic research fund ‘</w:t>
      </w:r>
      <w:r w:rsidR="00932109" w:rsidRPr="00C4084C">
        <w:t xml:space="preserve">Solving </w:t>
      </w:r>
      <w:r w:rsidR="000258F5" w:rsidRPr="00C4084C">
        <w:t>Australian Challenges S</w:t>
      </w:r>
      <w:r w:rsidRPr="00C4084C">
        <w:t xml:space="preserve">trategic </w:t>
      </w:r>
      <w:r w:rsidR="000258F5" w:rsidRPr="00C4084C">
        <w:t>Fund</w:t>
      </w:r>
      <w:r w:rsidR="009A0922" w:rsidRPr="00C4084C">
        <w:t>’</w:t>
      </w:r>
      <w:r w:rsidRPr="00C4084C">
        <w:t xml:space="preserve"> should be implemented. This fund would have a</w:t>
      </w:r>
      <w:r w:rsidR="009A0922" w:rsidRPr="00C4084C">
        <w:t>n</w:t>
      </w:r>
      <w:r w:rsidRPr="00C4084C" w:rsidDel="009A0922">
        <w:t xml:space="preserve"> </w:t>
      </w:r>
      <w:r w:rsidRPr="00C4084C">
        <w:t xml:space="preserve">emphasis on </w:t>
      </w:r>
      <w:r w:rsidR="003C497A" w:rsidRPr="00C4084C">
        <w:t xml:space="preserve">government and </w:t>
      </w:r>
      <w:r w:rsidRPr="00C4084C">
        <w:t xml:space="preserve">industry using university research </w:t>
      </w:r>
      <w:r w:rsidR="003C497A" w:rsidRPr="00C4084C">
        <w:t>capability and expertise</w:t>
      </w:r>
      <w:r w:rsidR="664EB6D5" w:rsidRPr="00C4084C">
        <w:t>,</w:t>
      </w:r>
      <w:r w:rsidR="003C497A" w:rsidRPr="00C4084C">
        <w:t xml:space="preserve"> and universities ensuring their research is deployed and commercialised, with particular emphasis on research in fields covered by national and</w:t>
      </w:r>
      <w:r w:rsidRPr="00C4084C">
        <w:t xml:space="preserve"> institutional </w:t>
      </w:r>
      <w:r w:rsidR="003C497A" w:rsidRPr="00C4084C">
        <w:t xml:space="preserve">research </w:t>
      </w:r>
      <w:r w:rsidRPr="00C4084C">
        <w:t xml:space="preserve">priorities. It would reward universities which demonstrate effective use of their quality research </w:t>
      </w:r>
      <w:r w:rsidR="003C497A" w:rsidRPr="00C4084C">
        <w:t xml:space="preserve">capability </w:t>
      </w:r>
      <w:r w:rsidRPr="00C4084C">
        <w:t xml:space="preserve">by a range of end-users, including governments, </w:t>
      </w:r>
      <w:proofErr w:type="gramStart"/>
      <w:r w:rsidRPr="00C4084C">
        <w:t>industry</w:t>
      </w:r>
      <w:proofErr w:type="gramEnd"/>
      <w:r w:rsidRPr="00C4084C">
        <w:t xml:space="preserve"> and communities.</w:t>
      </w:r>
    </w:p>
    <w:p w14:paraId="7253C2EA" w14:textId="5B9D62B4" w:rsidR="00B920D4" w:rsidRPr="00C4084C" w:rsidRDefault="003C497A" w:rsidP="000C393F">
      <w:r w:rsidRPr="00C4084C">
        <w:t>Allocation to a university from this</w:t>
      </w:r>
      <w:r w:rsidR="00B920D4" w:rsidRPr="00C4084C">
        <w:t xml:space="preserve"> fund would be assessed through light-touch portfolio assessment of research </w:t>
      </w:r>
      <w:r w:rsidR="00C22250">
        <w:t xml:space="preserve">capability </w:t>
      </w:r>
      <w:r w:rsidR="00B920D4" w:rsidRPr="00C4084C">
        <w:t xml:space="preserve">engagement and </w:t>
      </w:r>
      <w:r w:rsidR="00C22250">
        <w:t xml:space="preserve">research </w:t>
      </w:r>
      <w:r w:rsidR="00B920D4" w:rsidRPr="00C4084C">
        <w:t>impact.</w:t>
      </w:r>
    </w:p>
    <w:p w14:paraId="12698C90" w14:textId="6D34D2CD" w:rsidR="00B920D4" w:rsidRPr="00C4084C" w:rsidRDefault="00B920D4" w:rsidP="000C393F">
      <w:r w:rsidRPr="00C4084C">
        <w:t xml:space="preserve">The creation of this fund would represent a fundamental shift in the intent and approach of government funding for the entire university research sector. The fund would be focused on research </w:t>
      </w:r>
      <w:r w:rsidR="00C5435A" w:rsidRPr="00C4084C">
        <w:t>and research capability use</w:t>
      </w:r>
      <w:r w:rsidRPr="00C4084C">
        <w:t>, instead of more general support of the research system</w:t>
      </w:r>
      <w:r w:rsidRPr="00C4084C" w:rsidDel="00EC59BF">
        <w:t xml:space="preserve"> </w:t>
      </w:r>
      <w:r w:rsidRPr="00C4084C">
        <w:t xml:space="preserve">by way of the existing block grant mechanisms. Universities would have the freedom to define their own strategic goals and </w:t>
      </w:r>
      <w:proofErr w:type="gramStart"/>
      <w:r w:rsidRPr="00C4084C">
        <w:t>activities, but</w:t>
      </w:r>
      <w:proofErr w:type="gramEnd"/>
      <w:r w:rsidRPr="00C4084C">
        <w:t xml:space="preserve"> would then have an incentive to ensure the</w:t>
      </w:r>
      <w:r w:rsidR="00C5435A" w:rsidRPr="00C4084C">
        <w:t xml:space="preserve">ir research and research capability is attractive to and used by research end users (mainly government and industry). </w:t>
      </w:r>
      <w:r w:rsidRPr="00C4084C">
        <w:t>This</w:t>
      </w:r>
      <w:r w:rsidRPr="00C4084C" w:rsidDel="00C5435A">
        <w:t xml:space="preserve"> </w:t>
      </w:r>
      <w:r w:rsidRPr="00C4084C">
        <w:t xml:space="preserve">focus on research </w:t>
      </w:r>
      <w:r w:rsidR="00C5435A" w:rsidRPr="00C4084C">
        <w:t>use</w:t>
      </w:r>
      <w:r w:rsidRPr="00C4084C">
        <w:t xml:space="preserve"> and accountability would provide an opportunity for a reset of funding approaches for all universities, </w:t>
      </w:r>
      <w:proofErr w:type="gramStart"/>
      <w:r w:rsidRPr="00C4084C">
        <w:t>with the exception of</w:t>
      </w:r>
      <w:proofErr w:type="gramEnd"/>
      <w:r w:rsidRPr="00C4084C">
        <w:t xml:space="preserve"> </w:t>
      </w:r>
      <w:r w:rsidR="00C94D2D" w:rsidRPr="00C4084C">
        <w:t xml:space="preserve">the Australian National University (ANU) </w:t>
      </w:r>
      <w:r w:rsidRPr="00C4084C">
        <w:t xml:space="preserve">which has been able to benefit from a similar approach via the National Institutes Grant.      </w:t>
      </w:r>
    </w:p>
    <w:p w14:paraId="76422608" w14:textId="6DF2A040" w:rsidR="00B920D4" w:rsidRPr="00C4084C" w:rsidRDefault="00B920D4" w:rsidP="000C393F">
      <w:r w:rsidRPr="00C4084C">
        <w:t xml:space="preserve">Additionally, </w:t>
      </w:r>
      <w:r w:rsidR="00A905FB" w:rsidRPr="00C4084C">
        <w:t>the</w:t>
      </w:r>
      <w:r w:rsidRPr="00C4084C">
        <w:t xml:space="preserve"> </w:t>
      </w:r>
      <w:r w:rsidR="000258F5" w:rsidRPr="00C4084C">
        <w:t xml:space="preserve">Solving Australian Challenges </w:t>
      </w:r>
      <w:r w:rsidRPr="00C4084C">
        <w:t xml:space="preserve">Strategic Fund would reform the university research funding system by </w:t>
      </w:r>
      <w:r w:rsidR="000258F5" w:rsidRPr="00C4084C">
        <w:t>improving resilience and confidence</w:t>
      </w:r>
      <w:r w:rsidRPr="00C4084C">
        <w:t xml:space="preserve"> for universities to undertake significant long-term research agendas reflecting </w:t>
      </w:r>
      <w:r w:rsidR="00A905FB" w:rsidRPr="00C4084C">
        <w:t>fields of national priorities where business and governments need research assistance solving complex and wicked problems</w:t>
      </w:r>
      <w:r w:rsidRPr="00C4084C">
        <w:t>.</w:t>
      </w:r>
    </w:p>
    <w:p w14:paraId="059DB211" w14:textId="10335C36" w:rsidR="00162588" w:rsidRPr="00C4084C" w:rsidRDefault="00162588" w:rsidP="006A4571">
      <w:pPr>
        <w:pStyle w:val="Heading5"/>
        <w:rPr>
          <w:rStyle w:val="ui-provider"/>
          <w:szCs w:val="20"/>
        </w:rPr>
      </w:pPr>
      <w:r w:rsidRPr="00C4084C">
        <w:rPr>
          <w:rStyle w:val="ui-provider"/>
        </w:rPr>
        <w:t xml:space="preserve">Increasing investment in </w:t>
      </w:r>
      <w:r w:rsidRPr="00EA6886">
        <w:rPr>
          <w:rStyle w:val="ui-provider"/>
        </w:rPr>
        <w:t>Australia’s</w:t>
      </w:r>
      <w:r w:rsidRPr="00C4084C">
        <w:rPr>
          <w:rStyle w:val="ui-provider"/>
        </w:rPr>
        <w:t xml:space="preserve"> basic research</w:t>
      </w:r>
    </w:p>
    <w:p w14:paraId="68023119" w14:textId="2486995B" w:rsidR="00A8602E" w:rsidRPr="00C4084C" w:rsidRDefault="00A8602E" w:rsidP="000C393F">
      <w:r w:rsidRPr="00C4084C">
        <w:t>To protect and foster Australia’s university research, the Review recommends additional investment in ARC programs that support fundamental, basic research</w:t>
      </w:r>
      <w:r w:rsidR="0043276F" w:rsidRPr="00C4084C">
        <w:t xml:space="preserve"> (see Recommendation 26)</w:t>
      </w:r>
      <w:r w:rsidRPr="00C4084C">
        <w:t xml:space="preserve">. Such investment recognises the important role fundamental research plays in producing the big ideas that power the research and innovation pipeline. Basic and strategic basic research is the linchpin of innovation. It increases universities' ability to produce new knowledge, stoking the research pipeline to enable breakthrough discoveries, </w:t>
      </w:r>
      <w:proofErr w:type="gramStart"/>
      <w:r w:rsidRPr="00C4084C">
        <w:t>products</w:t>
      </w:r>
      <w:proofErr w:type="gramEnd"/>
      <w:r w:rsidRPr="00C4084C">
        <w:t xml:space="preserve"> and services. Yet, as detailed in </w:t>
      </w:r>
      <w:r w:rsidR="004E0B4B" w:rsidRPr="00C4084C">
        <w:rPr>
          <w:i/>
          <w:iCs/>
        </w:rPr>
        <w:fldChar w:fldCharType="begin"/>
      </w:r>
      <w:r w:rsidR="004E0B4B" w:rsidRPr="00C4084C">
        <w:rPr>
          <w:i/>
          <w:iCs/>
        </w:rPr>
        <w:instrText xml:space="preserve"> REF _Ref151935602 \r \h  \* MERGEFORMAT </w:instrText>
      </w:r>
      <w:r w:rsidR="004E0B4B" w:rsidRPr="00C4084C">
        <w:rPr>
          <w:i/>
          <w:iCs/>
        </w:rPr>
      </w:r>
      <w:r w:rsidR="004E0B4B" w:rsidRPr="00C4084C">
        <w:rPr>
          <w:i/>
          <w:iCs/>
        </w:rPr>
        <w:fldChar w:fldCharType="separate"/>
      </w:r>
      <w:r w:rsidR="00467B4F">
        <w:rPr>
          <w:i/>
          <w:iCs/>
        </w:rPr>
        <w:t xml:space="preserve">Chapter 5 – </w:t>
      </w:r>
      <w:r w:rsidR="004E0B4B" w:rsidRPr="00C4084C">
        <w:rPr>
          <w:i/>
          <w:iCs/>
        </w:rPr>
        <w:fldChar w:fldCharType="end"/>
      </w:r>
      <w:r w:rsidR="004E0B4B" w:rsidRPr="00C4084C">
        <w:rPr>
          <w:i/>
          <w:iCs/>
        </w:rPr>
        <w:fldChar w:fldCharType="begin"/>
      </w:r>
      <w:r w:rsidR="004E0B4B" w:rsidRPr="00C4084C">
        <w:rPr>
          <w:i/>
          <w:iCs/>
        </w:rPr>
        <w:instrText xml:space="preserve"> REF _Ref151935602 \h  \* MERGEFORMAT </w:instrText>
      </w:r>
      <w:r w:rsidR="004E0B4B" w:rsidRPr="00C4084C">
        <w:rPr>
          <w:i/>
          <w:iCs/>
        </w:rPr>
      </w:r>
      <w:r w:rsidR="004E0B4B" w:rsidRPr="00C4084C">
        <w:rPr>
          <w:i/>
          <w:iCs/>
        </w:rPr>
        <w:fldChar w:fldCharType="separate"/>
      </w:r>
      <w:r w:rsidR="00467B4F" w:rsidRPr="00467B4F">
        <w:rPr>
          <w:i/>
          <w:iCs/>
        </w:rPr>
        <w:t xml:space="preserve">Producing </w:t>
      </w:r>
      <w:r w:rsidR="00467B4F" w:rsidRPr="00467B4F">
        <w:rPr>
          <w:i/>
          <w:iCs/>
        </w:rPr>
        <w:lastRenderedPageBreak/>
        <w:t>and using new knowledge</w:t>
      </w:r>
      <w:r w:rsidR="004E0B4B" w:rsidRPr="00C4084C">
        <w:rPr>
          <w:i/>
          <w:iCs/>
        </w:rPr>
        <w:fldChar w:fldCharType="end"/>
      </w:r>
      <w:r w:rsidRPr="00C4084C">
        <w:t>, the ARC, which plays a pivotal role in financing basic research in universities, has not seen funding grow for many years</w:t>
      </w:r>
      <w:r w:rsidR="00F31397">
        <w:t>. This</w:t>
      </w:r>
      <w:r w:rsidRPr="00C4084C">
        <w:t xml:space="preserve"> erodes universities</w:t>
      </w:r>
      <w:r w:rsidR="00F31397">
        <w:t>’</w:t>
      </w:r>
      <w:r w:rsidRPr="00C4084C">
        <w:t xml:space="preserve"> capabilities to do what they do best: basic and strategic basic research.</w:t>
      </w:r>
    </w:p>
    <w:p w14:paraId="30ED3A56" w14:textId="7C8C36D1" w:rsidR="007C371F" w:rsidRPr="00C4084C" w:rsidRDefault="00A8602E" w:rsidP="000C393F">
      <w:r w:rsidRPr="00C4084C">
        <w:t xml:space="preserve">Increasing investment in the ARC </w:t>
      </w:r>
      <w:r w:rsidR="005F484C" w:rsidRPr="00C4084C">
        <w:rPr>
          <w:rStyle w:val="ui-provider"/>
        </w:rPr>
        <w:t xml:space="preserve">would alter the research funding </w:t>
      </w:r>
      <w:r w:rsidR="00B61AAD">
        <w:rPr>
          <w:rStyle w:val="ui-provider"/>
        </w:rPr>
        <w:t>impact</w:t>
      </w:r>
      <w:r w:rsidR="005F484C" w:rsidRPr="00C4084C">
        <w:rPr>
          <w:rStyle w:val="ui-provider"/>
        </w:rPr>
        <w:t>, resul</w:t>
      </w:r>
      <w:r w:rsidRPr="00C4084C">
        <w:t>t</w:t>
      </w:r>
      <w:r w:rsidR="005F484C" w:rsidRPr="00C4084C">
        <w:t>ing</w:t>
      </w:r>
      <w:r w:rsidRPr="00C4084C">
        <w:t xml:space="preserve"> in more competitive grants as part of the research funding mix within the research funding system. It would ensure that more basic and strategic basic research, which leads to new discoveries and supports the research pipeline, would be supported. This investment would grow the R&amp;D system, </w:t>
      </w:r>
      <w:r w:rsidR="00F31397">
        <w:t>an</w:t>
      </w:r>
      <w:r w:rsidRPr="00C4084C">
        <w:t xml:space="preserve"> imperative to address emerging national and global challenges and opportunities</w:t>
      </w:r>
      <w:r w:rsidR="00F31397">
        <w:t>. Basic</w:t>
      </w:r>
      <w:r w:rsidRPr="00C4084C">
        <w:t xml:space="preserve"> research drives productivity and economic growth, safeguarding and improving Australia’s ability to maintain our way of life and reposition ourselves as a knowledge economy that can comfortably keep pace and compete with technical and scientific advances in other economies.</w:t>
      </w:r>
    </w:p>
    <w:p w14:paraId="71BD2B9A" w14:textId="77777777" w:rsidR="00B920D4" w:rsidRPr="00C4084C" w:rsidRDefault="00B920D4" w:rsidP="006A4571">
      <w:pPr>
        <w:pStyle w:val="Heading5"/>
      </w:pPr>
      <w:r w:rsidRPr="00C4084C">
        <w:t>Creating a pathway towards the full economic cost of research</w:t>
      </w:r>
    </w:p>
    <w:p w14:paraId="013EB6AC" w14:textId="2A1FEB7C" w:rsidR="00B920D4" w:rsidRPr="00C4084C" w:rsidRDefault="00B920D4" w:rsidP="000C393F">
      <w:r w:rsidRPr="00C4084C">
        <w:t xml:space="preserve">Creating a pathway to </w:t>
      </w:r>
      <w:r w:rsidR="00B61AAD" w:rsidRPr="00C4084C">
        <w:t>ensur</w:t>
      </w:r>
      <w:r w:rsidR="00B61AAD">
        <w:t>e</w:t>
      </w:r>
      <w:r w:rsidR="00B61AAD" w:rsidRPr="00C4084C">
        <w:t xml:space="preserve"> </w:t>
      </w:r>
      <w:r w:rsidRPr="00C4084C">
        <w:t xml:space="preserve">universities receive the full costs of research for national competitive research grants, contract research and consultancies is needed to build resilience </w:t>
      </w:r>
      <w:r w:rsidR="00BC62FC" w:rsidRPr="00C4084C">
        <w:t>and transparency</w:t>
      </w:r>
      <w:r w:rsidRPr="00C4084C">
        <w:t xml:space="preserve"> into the university research system.</w:t>
      </w:r>
    </w:p>
    <w:p w14:paraId="5DF2A48C" w14:textId="1FA27035" w:rsidR="00B920D4" w:rsidRPr="00C4084C" w:rsidRDefault="00B920D4" w:rsidP="000C393F">
      <w:r w:rsidRPr="00C4084C">
        <w:t xml:space="preserve">Doing so would reduce the need for universities to invest their own resources (often from </w:t>
      </w:r>
      <w:r w:rsidR="00BC62FC" w:rsidRPr="00C4084C">
        <w:t>potentially</w:t>
      </w:r>
      <w:r w:rsidRPr="00C4084C">
        <w:t xml:space="preserve"> volatile</w:t>
      </w:r>
      <w:r w:rsidR="00BC62FC" w:rsidRPr="00C4084C">
        <w:t xml:space="preserve"> revenue</w:t>
      </w:r>
      <w:r w:rsidRPr="00C4084C">
        <w:t xml:space="preserve"> sources) into such research, and free up capability to invest elsewhere, such as their own strategic research endeavours. It may also lead to an increase in income </w:t>
      </w:r>
      <w:r w:rsidR="00966001" w:rsidRPr="00C4084C">
        <w:t xml:space="preserve">from end-user engagement </w:t>
      </w:r>
      <w:r w:rsidRPr="00C4084C">
        <w:t>in the long-term</w:t>
      </w:r>
      <w:r w:rsidR="00BC62FC" w:rsidRPr="00C4084C">
        <w:t xml:space="preserve"> with universities receiving higher fees for their engagement activities </w:t>
      </w:r>
      <w:proofErr w:type="gramStart"/>
      <w:r w:rsidR="00BC62FC" w:rsidRPr="00C4084C">
        <w:t>as a result of</w:t>
      </w:r>
      <w:proofErr w:type="gramEnd"/>
      <w:r w:rsidR="00BC62FC" w:rsidRPr="00C4084C">
        <w:t xml:space="preserve"> the proposed recommend</w:t>
      </w:r>
      <w:r w:rsidR="0066561D" w:rsidRPr="00C4084C">
        <w:t>ation</w:t>
      </w:r>
      <w:r w:rsidR="00BC62FC" w:rsidRPr="00C4084C">
        <w:t xml:space="preserve"> regarding pricing for contract research and university consultancies</w:t>
      </w:r>
      <w:r w:rsidRPr="00C4084C">
        <w:t>.</w:t>
      </w:r>
    </w:p>
    <w:p w14:paraId="20BA5272" w14:textId="7F32ABD8" w:rsidR="00BC62FC" w:rsidRPr="00C4084C" w:rsidRDefault="00BC62FC" w:rsidP="000C393F">
      <w:r w:rsidRPr="00C4084C">
        <w:t xml:space="preserve">Having support for the indirect costs of Australian Competitive Research </w:t>
      </w:r>
      <w:r w:rsidR="00753A3B">
        <w:t>Grant</w:t>
      </w:r>
      <w:r w:rsidR="00DC2B73">
        <w:t>s</w:t>
      </w:r>
      <w:r w:rsidRPr="00C4084C">
        <w:t xml:space="preserve"> </w:t>
      </w:r>
      <w:r w:rsidR="008F7E5D" w:rsidRPr="00C4084C">
        <w:t>(ACR</w:t>
      </w:r>
      <w:r w:rsidR="00DC2B73">
        <w:t>G</w:t>
      </w:r>
      <w:r w:rsidR="008F7E5D" w:rsidRPr="00C4084C">
        <w:t xml:space="preserve">) </w:t>
      </w:r>
      <w:r w:rsidR="009D254E" w:rsidRPr="00C4084C">
        <w:t xml:space="preserve">as </w:t>
      </w:r>
      <w:r w:rsidRPr="00C4084C">
        <w:t xml:space="preserve">the sole purpose of the </w:t>
      </w:r>
      <w:r w:rsidR="0066561D" w:rsidRPr="00C4084C">
        <w:t>RSP</w:t>
      </w:r>
      <w:r w:rsidR="00F31397">
        <w:t>,</w:t>
      </w:r>
      <w:r w:rsidRPr="00C4084C">
        <w:t xml:space="preserve"> with clearly stated indirect support rates</w:t>
      </w:r>
      <w:r w:rsidR="00F31397">
        <w:t>,</w:t>
      </w:r>
      <w:r w:rsidRPr="00C4084C">
        <w:t xml:space="preserve"> </w:t>
      </w:r>
      <w:r w:rsidR="00816C3A" w:rsidRPr="00C4084C">
        <w:t xml:space="preserve">would </w:t>
      </w:r>
      <w:r w:rsidRPr="00C4084C">
        <w:t>create multiple change</w:t>
      </w:r>
      <w:r w:rsidR="0066561D" w:rsidRPr="00C4084C">
        <w:t>s</w:t>
      </w:r>
      <w:r w:rsidRPr="00C4084C">
        <w:t xml:space="preserve"> to the broader university research funding system.</w:t>
      </w:r>
    </w:p>
    <w:p w14:paraId="77EBAE51" w14:textId="4E8D6817" w:rsidR="0017443E" w:rsidRPr="00C4084C" w:rsidRDefault="00BC62FC" w:rsidP="000C393F">
      <w:r w:rsidRPr="00C4084C">
        <w:t>Firstly, universities would have upfront knowledge before</w:t>
      </w:r>
      <w:r w:rsidR="00B920D4" w:rsidRPr="00C4084C">
        <w:t xml:space="preserve"> applying for national competitive research grants </w:t>
      </w:r>
      <w:r w:rsidR="0017443E" w:rsidRPr="00C4084C">
        <w:t xml:space="preserve">of the total support they will receive for the grant if successful. This </w:t>
      </w:r>
      <w:r w:rsidR="00816C3A" w:rsidRPr="00C4084C">
        <w:t>would</w:t>
      </w:r>
      <w:r w:rsidR="0017443E" w:rsidRPr="00C4084C">
        <w:t xml:space="preserve"> assist universities in determining whether</w:t>
      </w:r>
      <w:r w:rsidR="00B920D4" w:rsidRPr="00C4084C">
        <w:t xml:space="preserve"> to </w:t>
      </w:r>
      <w:r w:rsidR="0017443E" w:rsidRPr="00C4084C">
        <w:t xml:space="preserve">apply for grants and in broader financial planning for </w:t>
      </w:r>
      <w:r w:rsidR="00B920D4" w:rsidRPr="00C4084C">
        <w:t>their university</w:t>
      </w:r>
      <w:r w:rsidR="0017443E" w:rsidRPr="00C4084C">
        <w:t xml:space="preserve"> research programs. </w:t>
      </w:r>
    </w:p>
    <w:p w14:paraId="2A8890AD" w14:textId="15C4AE70" w:rsidR="00B920D4" w:rsidRPr="00C4084C" w:rsidRDefault="0017443E" w:rsidP="000C393F">
      <w:r w:rsidRPr="00C4084C">
        <w:t xml:space="preserve">Secondly, with the indirect cost support rate proposed steadily increasing to its target rate of </w:t>
      </w:r>
      <w:r w:rsidR="00B61AAD">
        <w:t>50</w:t>
      </w:r>
      <w:r w:rsidR="00B61AAD" w:rsidRPr="00C4084C">
        <w:t xml:space="preserve"> </w:t>
      </w:r>
      <w:r w:rsidRPr="00C4084C">
        <w:t xml:space="preserve">cents by </w:t>
      </w:r>
      <w:r w:rsidR="00B61AAD" w:rsidRPr="00C4084C">
        <w:t>20</w:t>
      </w:r>
      <w:r w:rsidR="00B61AAD">
        <w:t>3</w:t>
      </w:r>
      <w:r w:rsidR="00B61AAD" w:rsidRPr="00C4084C">
        <w:t>0</w:t>
      </w:r>
      <w:r w:rsidRPr="00C4084C">
        <w:t xml:space="preserve">, the overall support provided for being successful in applying for ACRGs will be materially bolstered. With increased government support for indirect costs there </w:t>
      </w:r>
      <w:r w:rsidR="00816C3A" w:rsidRPr="00C4084C">
        <w:t xml:space="preserve">would </w:t>
      </w:r>
      <w:r w:rsidRPr="00C4084C">
        <w:t>be reduced need for universities to co-invest to undertake these projects.</w:t>
      </w:r>
      <w:r w:rsidR="00B920D4" w:rsidRPr="00C4084C">
        <w:t xml:space="preserve"> This could free up substantial university funds for other purposes, which could be teaching, infrastructure or strategic research endeavours.  </w:t>
      </w:r>
    </w:p>
    <w:p w14:paraId="5423065A" w14:textId="3564B191" w:rsidR="00B920D4" w:rsidRPr="00C4084C" w:rsidRDefault="00B920D4" w:rsidP="000C393F">
      <w:r w:rsidRPr="00C4084C">
        <w:t xml:space="preserve">If the pathway to full economic costs of research for national competitive research grants is funded through additional government investment, it would increase government research investment levels and may increase the funding mix towards block grants. Additionally, if universities repurposed their strategic funds to still undertake research activity, it would lead to an expansion in research activity undertaken by the </w:t>
      </w:r>
      <w:r w:rsidR="00C50FDA" w:rsidRPr="00C4084C">
        <w:t xml:space="preserve">university research </w:t>
      </w:r>
      <w:r w:rsidRPr="00C4084C">
        <w:t>sector. However, if this is not funded through additional government investment</w:t>
      </w:r>
      <w:r w:rsidR="00C50FDA" w:rsidRPr="00C4084C">
        <w:t xml:space="preserve"> but rather a repurposing of existing university research funding</w:t>
      </w:r>
      <w:r w:rsidRPr="00C4084C">
        <w:t xml:space="preserve">, adopting the pathway towards the full economic costs of research could lead to a </w:t>
      </w:r>
      <w:r w:rsidRPr="00C4084C">
        <w:lastRenderedPageBreak/>
        <w:t xml:space="preserve">contraction on the amount of research activity, particularly if universities deploy their now surplus funds </w:t>
      </w:r>
      <w:r w:rsidR="007504BF">
        <w:t>o</w:t>
      </w:r>
      <w:r w:rsidR="007504BF" w:rsidRPr="00C4084C">
        <w:t xml:space="preserve">n </w:t>
      </w:r>
      <w:r w:rsidRPr="00C4084C">
        <w:t>non-research activities.</w:t>
      </w:r>
    </w:p>
    <w:p w14:paraId="56F4AB50" w14:textId="77777777" w:rsidR="00966001" w:rsidRPr="00C4084C" w:rsidRDefault="00966001" w:rsidP="006A4571">
      <w:pPr>
        <w:pStyle w:val="Heading5"/>
      </w:pPr>
      <w:r w:rsidRPr="00C4084C">
        <w:t>Securing Australia’s future research workforce  </w:t>
      </w:r>
    </w:p>
    <w:p w14:paraId="035D0BA2" w14:textId="77777777" w:rsidR="00966001" w:rsidRPr="00C4084C" w:rsidRDefault="00966001" w:rsidP="000C393F">
      <w:r w:rsidRPr="00C4084C">
        <w:t>The Australian university research system’s most powerful asset is</w:t>
      </w:r>
      <w:r w:rsidRPr="00C4084C">
        <w:rPr>
          <w:rStyle w:val="normaltextrun"/>
          <w:rFonts w:cstheme="minorHAnsi"/>
        </w:rPr>
        <w:t xml:space="preserve"> the research capability and capacity of its research workforce. Australia needs a highly skilled pipeline of researchers in universities and in industry if its research is to be economically competitive and support the nation’s transition to a knowledge economy. This requires universities to train enough people with the critical and advanced skills for the university and non-university research sectors.</w:t>
      </w:r>
      <w:r w:rsidRPr="00C4084C">
        <w:rPr>
          <w:rStyle w:val="eop"/>
          <w:rFonts w:cstheme="minorHAnsi"/>
        </w:rPr>
        <w:t> </w:t>
      </w:r>
    </w:p>
    <w:p w14:paraId="23940B16" w14:textId="429104E0" w:rsidR="00966001" w:rsidRPr="00C4084C" w:rsidRDefault="00966001" w:rsidP="000C393F">
      <w:r w:rsidRPr="00C4084C">
        <w:t>The number of domestic students commencing and completing PhDs has been static over the past decade, with completions in decline since 2019.</w:t>
      </w:r>
      <w:r w:rsidR="00146AD3" w:rsidRPr="00C4084C">
        <w:rPr>
          <w:rStyle w:val="FootnoteReference"/>
        </w:rPr>
        <w:footnoteReference w:id="452"/>
      </w:r>
      <w:r w:rsidRPr="00C4084C">
        <w:t xml:space="preserve"> </w:t>
      </w:r>
      <w:r w:rsidR="000E097D" w:rsidRPr="00C4084C">
        <w:t>Th</w:t>
      </w:r>
      <w:r w:rsidR="000E097D">
        <w:t>is decline needs to be reversed and the</w:t>
      </w:r>
      <w:r w:rsidR="000E097D" w:rsidRPr="00C4084C">
        <w:t xml:space="preserve"> </w:t>
      </w:r>
      <w:r w:rsidRPr="00C4084C">
        <w:t xml:space="preserve">domestic HDR cohort needs to </w:t>
      </w:r>
      <w:r w:rsidRPr="00C4084C">
        <w:rPr>
          <w:rStyle w:val="normaltextrun"/>
          <w:color w:val="000000"/>
        </w:rPr>
        <w:t xml:space="preserve">grow if the teaching and research needs of the future are to be met. This will require bolstering the support settings for Australian HDR students. </w:t>
      </w:r>
      <w:r w:rsidR="004F5A8C" w:rsidRPr="00C4084C">
        <w:rPr>
          <w:rStyle w:val="normaltextrun"/>
          <w:color w:val="000000"/>
        </w:rPr>
        <w:t>C</w:t>
      </w:r>
      <w:r w:rsidRPr="00C4084C">
        <w:rPr>
          <w:rStyle w:val="normaltextrun"/>
          <w:color w:val="000000"/>
        </w:rPr>
        <w:t>urrent HDR stipends are a deterrent to HDR study compared to other options available to potential candidates</w:t>
      </w:r>
      <w:r w:rsidR="00666536">
        <w:rPr>
          <w:rStyle w:val="normaltextrun"/>
          <w:color w:val="881798"/>
          <w:u w:val="single"/>
        </w:rPr>
        <w:t>.</w:t>
      </w:r>
    </w:p>
    <w:p w14:paraId="7ACB1302" w14:textId="5CDFD80F" w:rsidR="008C4A73" w:rsidRPr="00C4084C" w:rsidRDefault="00966001" w:rsidP="000C393F">
      <w:r w:rsidRPr="00C4084C">
        <w:t xml:space="preserve">Substantially increasing investment in the RTP and raising minimum stipend rates would reform Australian research funding for the better. Increased funding for the RTP would ensure research training remains an attractive prospect for future researchers. </w:t>
      </w:r>
      <w:r w:rsidR="009852E5" w:rsidRPr="00C4084C">
        <w:t>The effect of such changes</w:t>
      </w:r>
      <w:r w:rsidRPr="00C4084C">
        <w:t xml:space="preserve"> would be amplified if part-time HDR </w:t>
      </w:r>
      <w:r w:rsidR="003D57EC" w:rsidRPr="00C4084C">
        <w:t>stipends</w:t>
      </w:r>
      <w:r w:rsidRPr="00C4084C">
        <w:t xml:space="preserve"> were exempt from tax. </w:t>
      </w:r>
      <w:r w:rsidR="003D57EC" w:rsidRPr="00C4084C">
        <w:t>Such changes</w:t>
      </w:r>
      <w:r w:rsidRPr="00C4084C">
        <w:t xml:space="preserve"> would incentivise students from </w:t>
      </w:r>
      <w:r w:rsidR="00D7545F" w:rsidRPr="00C4084C">
        <w:t>under-represented</w:t>
      </w:r>
      <w:r w:rsidRPr="00C4084C">
        <w:t xml:space="preserve"> backgrounds and those working in </w:t>
      </w:r>
      <w:r w:rsidR="00176F92" w:rsidRPr="00C4084C">
        <w:t>business and</w:t>
      </w:r>
      <w:r w:rsidRPr="00C4084C">
        <w:t xml:space="preserve"> industry to undertake research training.  </w:t>
      </w:r>
    </w:p>
    <w:p w14:paraId="017A1E8B" w14:textId="24FC8015" w:rsidR="00966001" w:rsidRPr="00C4084C" w:rsidRDefault="00966001" w:rsidP="000C393F">
      <w:r w:rsidRPr="00C4084C">
        <w:t xml:space="preserve">The Review recommends additional scholarships </w:t>
      </w:r>
      <w:r w:rsidR="00666536">
        <w:t>for</w:t>
      </w:r>
      <w:r w:rsidRPr="00C4084C">
        <w:t xml:space="preserve"> First Nations students to undertake HDR</w:t>
      </w:r>
      <w:r w:rsidR="7C222F06" w:rsidRPr="00C4084C">
        <w:t xml:space="preserve"> degree</w:t>
      </w:r>
      <w:r w:rsidR="0046268D" w:rsidRPr="00C4084C">
        <w:t>s</w:t>
      </w:r>
      <w:r w:rsidRPr="00C4084C">
        <w:t xml:space="preserve"> in all fields of education and research</w:t>
      </w:r>
      <w:r w:rsidR="002D4EF8" w:rsidRPr="00C4084C">
        <w:t xml:space="preserve">, </w:t>
      </w:r>
      <w:r w:rsidR="00297E16" w:rsidRPr="00C4084C">
        <w:t>and</w:t>
      </w:r>
      <w:r w:rsidR="002D4EF8" w:rsidRPr="00C4084C">
        <w:t xml:space="preserve"> </w:t>
      </w:r>
      <w:r w:rsidR="008C4A73" w:rsidRPr="00C4084C">
        <w:t>fellowships for First Nations researchers to grow the pipe</w:t>
      </w:r>
      <w:r w:rsidR="00297E16" w:rsidRPr="00C4084C">
        <w:t>line</w:t>
      </w:r>
      <w:r w:rsidR="0046268D" w:rsidRPr="00C4084C">
        <w:t xml:space="preserve"> of First Nations researchers at Australian universities</w:t>
      </w:r>
      <w:r w:rsidR="00176373" w:rsidRPr="00C4084C">
        <w:t xml:space="preserve"> (see Recommendation </w:t>
      </w:r>
      <w:r w:rsidR="00602F54" w:rsidRPr="00C4084C">
        <w:t>26)</w:t>
      </w:r>
      <w:r w:rsidRPr="00C4084C">
        <w:t>. Reducing such barriers to research training will enable a more diverse cohort of students and ensure the higher education sector delivers opportunities for all.</w:t>
      </w:r>
    </w:p>
    <w:p w14:paraId="12AFE4BA" w14:textId="2B58ADB0" w:rsidR="008E44F6" w:rsidRPr="00C4084C" w:rsidRDefault="00966001" w:rsidP="003E5969">
      <w:r w:rsidRPr="00C4084C">
        <w:t>These changes would enable universities to offer more RTP supported places to the best and brightest students from all backgrounds, grow the research training pipeline over time</w:t>
      </w:r>
      <w:r w:rsidRPr="00C4084C">
        <w:rPr>
          <w:rStyle w:val="normaltextrun"/>
          <w:rFonts w:cstheme="minorHAnsi"/>
          <w:color w:val="000000"/>
        </w:rPr>
        <w:t xml:space="preserve"> and increase the diversity of the future research cohort. This would secure Australia’s research firepower now and into the future.</w:t>
      </w:r>
    </w:p>
    <w:tbl>
      <w:tblPr>
        <w:tblW w:w="5000" w:type="pct"/>
        <w:tblLook w:val="04A0" w:firstRow="1" w:lastRow="0" w:firstColumn="1" w:lastColumn="0" w:noHBand="0" w:noVBand="1"/>
      </w:tblPr>
      <w:tblGrid>
        <w:gridCol w:w="9026"/>
      </w:tblGrid>
      <w:tr w:rsidR="005212D1" w:rsidRPr="00C4084C" w14:paraId="19388664" w14:textId="77777777" w:rsidTr="00D26B82">
        <w:tc>
          <w:tcPr>
            <w:tcW w:w="5000" w:type="pct"/>
            <w:tcBorders>
              <w:top w:val="nil"/>
              <w:left w:val="nil"/>
              <w:bottom w:val="nil"/>
              <w:right w:val="nil"/>
            </w:tcBorders>
            <w:shd w:val="clear" w:color="auto" w:fill="FEECDF"/>
          </w:tcPr>
          <w:p w14:paraId="7402A033" w14:textId="0B4E1165" w:rsidR="006D136A" w:rsidRDefault="006D136A" w:rsidP="003E5969">
            <w:pPr>
              <w:pStyle w:val="Recheadinginbox"/>
            </w:pPr>
            <w:r>
              <w:lastRenderedPageBreak/>
              <w:t>Recommendation: New funding model</w:t>
            </w:r>
          </w:p>
          <w:p w14:paraId="1CFC8E26" w14:textId="5C4C3E65" w:rsidR="005212D1" w:rsidRPr="00C4084C" w:rsidRDefault="005212D1" w:rsidP="003E5969">
            <w:pPr>
              <w:pStyle w:val="Recsin-chapterL1"/>
              <w:framePr w:wrap="notBeside"/>
              <w:spacing w:before="0" w:after="0"/>
            </w:pPr>
            <w:r w:rsidRPr="00C4084C">
              <w:t xml:space="preserve">That to support and strengthen universities’ capacity to conduct research and research training, the </w:t>
            </w:r>
            <w:r w:rsidRPr="00C4084C">
              <w:rPr>
                <w:rStyle w:val="normaltextrun"/>
                <w:rFonts w:ascii="Calibri" w:eastAsiaTheme="majorEastAsia" w:hAnsi="Calibri" w:cs="Calibri"/>
              </w:rPr>
              <w:t>Australian</w:t>
            </w:r>
            <w:r w:rsidRPr="00C4084C">
              <w:t xml:space="preserve"> Government make changes to the university research funding model through: </w:t>
            </w:r>
          </w:p>
          <w:p w14:paraId="1FE61881" w14:textId="204C761C" w:rsidR="005212D1" w:rsidRPr="00C4084C" w:rsidRDefault="005212D1" w:rsidP="003E5969">
            <w:pPr>
              <w:pStyle w:val="Recsin-chapterL2"/>
              <w:spacing w:before="0" w:beforeAutospacing="0"/>
            </w:pPr>
            <w:r w:rsidRPr="00C4084C">
              <w:t>establishing a Solving Australian Challenges Strategic Fund to drive effective use of universities</w:t>
            </w:r>
            <w:r w:rsidR="004A5B87">
              <w:t>’</w:t>
            </w:r>
            <w:r w:rsidRPr="00C4084C">
              <w:t xml:space="preserve"> research and research </w:t>
            </w:r>
            <w:proofErr w:type="gramStart"/>
            <w:r w:rsidRPr="00C4084C">
              <w:t>capability</w:t>
            </w:r>
            <w:proofErr w:type="gramEnd"/>
            <w:r w:rsidRPr="00C4084C">
              <w:t xml:space="preserve"> </w:t>
            </w:r>
          </w:p>
          <w:p w14:paraId="5946D864" w14:textId="77777777" w:rsidR="005212D1" w:rsidRPr="00C4084C" w:rsidRDefault="005212D1" w:rsidP="003E5969">
            <w:pPr>
              <w:pStyle w:val="Recsin-chapterL2"/>
            </w:pPr>
            <w:r w:rsidRPr="00C4084C">
              <w:t>increasing funding to the Australian Research Council</w:t>
            </w:r>
          </w:p>
          <w:p w14:paraId="0DE851C4" w14:textId="77777777" w:rsidR="005212D1" w:rsidRPr="00C4084C" w:rsidRDefault="005212D1" w:rsidP="003E5969">
            <w:pPr>
              <w:pStyle w:val="Recsin-chapterL2"/>
            </w:pPr>
            <w:r w:rsidRPr="00C4084C">
              <w:t>creating a pathway towards funding more of the full economic cost of research</w:t>
            </w:r>
          </w:p>
          <w:p w14:paraId="24959316" w14:textId="3B0CC7EF" w:rsidR="005212D1" w:rsidRPr="00C4084C" w:rsidDel="00882244" w:rsidRDefault="005212D1" w:rsidP="003E5969">
            <w:pPr>
              <w:pStyle w:val="Recsin-chapterL2"/>
              <w:rPr>
                <w:b/>
                <w:color w:val="00254A" w:themeColor="text2"/>
                <w:sz w:val="32"/>
                <w:szCs w:val="32"/>
              </w:rPr>
            </w:pPr>
            <w:r w:rsidRPr="00C4084C">
              <w:t xml:space="preserve">substantially increasing investment in the Research Training Program and raising </w:t>
            </w:r>
            <w:r w:rsidR="004A5B87">
              <w:t xml:space="preserve">the </w:t>
            </w:r>
            <w:r w:rsidRPr="00C4084C">
              <w:t>minimum stipend rate.</w:t>
            </w:r>
          </w:p>
        </w:tc>
      </w:tr>
    </w:tbl>
    <w:p w14:paraId="6A2442FE" w14:textId="2F64037C" w:rsidR="00B920D4" w:rsidRPr="00C4084C" w:rsidRDefault="00B920D4" w:rsidP="00745009">
      <w:pPr>
        <w:pStyle w:val="Heading3"/>
      </w:pPr>
      <w:bookmarkStart w:id="1606" w:name="_Toc151815680"/>
      <w:bookmarkStart w:id="1607" w:name="_Toc159501028"/>
      <w:r w:rsidRPr="00C4084C">
        <w:t>A Higher Education Future Fund</w:t>
      </w:r>
      <w:bookmarkEnd w:id="1606"/>
      <w:bookmarkEnd w:id="1607"/>
    </w:p>
    <w:p w14:paraId="7C002AED" w14:textId="77777777" w:rsidR="00B920D4" w:rsidRPr="00C4084C" w:rsidRDefault="00B920D4" w:rsidP="000C393F">
      <w:pPr>
        <w:rPr>
          <w:rStyle w:val="s2"/>
          <w:rFonts w:ascii="Calibri" w:eastAsiaTheme="majorEastAsia" w:hAnsi="Calibri" w:cstheme="majorBidi"/>
          <w:b/>
          <w:bCs/>
          <w:color w:val="00254A" w:themeColor="text2"/>
          <w:sz w:val="32"/>
          <w:szCs w:val="32"/>
        </w:rPr>
      </w:pPr>
      <w:r w:rsidRPr="00C4084C">
        <w:rPr>
          <w:rStyle w:val="s2"/>
        </w:rPr>
        <w:t>In 2019, the government closed the Education Investment Fund (EIF), transferring the uncommitted funds to the Emergency Response Fund.</w:t>
      </w:r>
      <w:r w:rsidRPr="00C4084C">
        <w:rPr>
          <w:rStyle w:val="FootnoteReference"/>
        </w:rPr>
        <w:footnoteReference w:id="453"/>
      </w:r>
      <w:r w:rsidRPr="00C4084C">
        <w:rPr>
          <w:rStyle w:val="s2"/>
        </w:rPr>
        <w:t xml:space="preserve"> First established in 2009, the EIF had provided $4.2 billion of dedicated ongoing capital funding for education and research infrastructure. Its closure meant there was no longer dedicated government funding for general teaching and research infrastructure projects. </w:t>
      </w:r>
    </w:p>
    <w:p w14:paraId="7E1A84D2" w14:textId="42D5FCC5" w:rsidR="006320A3" w:rsidRPr="00C4084C" w:rsidRDefault="00D53776" w:rsidP="006320A3">
      <w:r w:rsidRPr="00C4084C">
        <w:t>Th</w:t>
      </w:r>
      <w:r w:rsidR="006320A3" w:rsidRPr="00C4084C">
        <w:t>e Review considers that establishment of a Higher Education Future Fund (HEFF)</w:t>
      </w:r>
      <w:r w:rsidR="00973C36" w:rsidRPr="00C4084C">
        <w:t xml:space="preserve">, initially </w:t>
      </w:r>
      <w:r w:rsidR="004E6D8D" w:rsidRPr="00C4084C">
        <w:t>co-</w:t>
      </w:r>
      <w:r w:rsidR="00973C36" w:rsidRPr="00C4084C">
        <w:t xml:space="preserve">funded by </w:t>
      </w:r>
      <w:r w:rsidR="004E6D8D" w:rsidRPr="00C4084C">
        <w:t>the sector and government,</w:t>
      </w:r>
      <w:r w:rsidR="006320A3" w:rsidRPr="00C4084C">
        <w:t xml:space="preserve"> would provide significant benefits to the </w:t>
      </w:r>
      <w:r w:rsidR="004E6D8D" w:rsidRPr="00C4084C">
        <w:t xml:space="preserve">higher education </w:t>
      </w:r>
      <w:r w:rsidR="006320A3" w:rsidRPr="00C4084C">
        <w:t>sector</w:t>
      </w:r>
      <w:r w:rsidRPr="00C4084C">
        <w:t>, particularly as it would provide an ongoing source of infrastructure funding</w:t>
      </w:r>
      <w:r w:rsidR="006320A3" w:rsidRPr="00C4084C">
        <w:t xml:space="preserve">. </w:t>
      </w:r>
    </w:p>
    <w:p w14:paraId="28E40AE3" w14:textId="4B5130D6" w:rsidR="00862CCA" w:rsidRPr="00C4084C" w:rsidRDefault="008819B4" w:rsidP="00D5142E">
      <w:r w:rsidRPr="00C4084C">
        <w:t xml:space="preserve">The HEFF should initially be established as a joint project between the higher education sector and the Australian Government, with both co-contributing to the fund as it builds. University contributions could be based on </w:t>
      </w:r>
      <w:r w:rsidR="00753E3C" w:rsidRPr="00C4084C">
        <w:t xml:space="preserve">a proportion of </w:t>
      </w:r>
      <w:r w:rsidRPr="00C4084C">
        <w:t xml:space="preserve">their </w:t>
      </w:r>
      <w:r w:rsidR="009628D5">
        <w:t xml:space="preserve">untied </w:t>
      </w:r>
      <w:r w:rsidRPr="00C4084C">
        <w:t>own</w:t>
      </w:r>
      <w:r w:rsidR="009628D5">
        <w:t xml:space="preserve"> </w:t>
      </w:r>
      <w:r w:rsidRPr="00C4084C">
        <w:t>source</w:t>
      </w:r>
      <w:r w:rsidR="009628D5">
        <w:t>,</w:t>
      </w:r>
      <w:r w:rsidRPr="00C4084C">
        <w:t xml:space="preserve"> non-government revenue, with contributions matched by government. Co-contributions should be required until the independent board considers the HEFF’s annual returns are sufficient to fund the intended projects</w:t>
      </w:r>
      <w:r w:rsidR="002E427C" w:rsidRPr="00C4084C">
        <w:t xml:space="preserve">. </w:t>
      </w:r>
      <w:r w:rsidR="00F31336" w:rsidRPr="00C4084C">
        <w:t xml:space="preserve">A </w:t>
      </w:r>
      <w:r w:rsidR="00032C50" w:rsidRPr="00C4084C">
        <w:t xml:space="preserve">Fund with $10 billion in assets </w:t>
      </w:r>
      <w:r w:rsidR="00064873" w:rsidRPr="00C4084C">
        <w:t xml:space="preserve">should be sufficient to </w:t>
      </w:r>
      <w:r w:rsidR="008D2895" w:rsidRPr="00C4084C">
        <w:t xml:space="preserve">provide returns </w:t>
      </w:r>
      <w:r w:rsidR="00652069" w:rsidRPr="00C4084C">
        <w:t xml:space="preserve">of the scale needed </w:t>
      </w:r>
      <w:r w:rsidR="001D086C" w:rsidRPr="00C4084C">
        <w:t>to achieve</w:t>
      </w:r>
      <w:r w:rsidR="00782793" w:rsidRPr="00C4084C">
        <w:t xml:space="preserve"> </w:t>
      </w:r>
      <w:r w:rsidR="00E63DB0" w:rsidRPr="00C4084C">
        <w:t>the HEFF’s objectives.</w:t>
      </w:r>
    </w:p>
    <w:p w14:paraId="75537A45" w14:textId="1B868D6B" w:rsidR="00D5142E" w:rsidRPr="00C4084C" w:rsidRDefault="002E427C" w:rsidP="00D5142E">
      <w:r w:rsidRPr="00C4084C">
        <w:t>I</w:t>
      </w:r>
      <w:r w:rsidR="00D5142E" w:rsidRPr="00C4084C">
        <w:t xml:space="preserve">mportantly, the design of the </w:t>
      </w:r>
      <w:r w:rsidR="00D16B2F" w:rsidRPr="00C4084C">
        <w:t>sector contribution</w:t>
      </w:r>
      <w:r w:rsidR="00D5142E" w:rsidRPr="00C4084C">
        <w:t xml:space="preserve"> should account for universities’ capacity to contribute </w:t>
      </w:r>
      <w:r w:rsidR="00F25E6A" w:rsidRPr="00C4084C">
        <w:t>–</w:t>
      </w:r>
      <w:r w:rsidR="00D5142E" w:rsidRPr="00C4084C">
        <w:t xml:space="preserve"> those universities with the financial means to pay a higher proportion should be expected to do so. As </w:t>
      </w:r>
      <w:proofErr w:type="gramStart"/>
      <w:r w:rsidR="00D5142E" w:rsidRPr="00C4084C">
        <w:t>noted</w:t>
      </w:r>
      <w:proofErr w:type="gramEnd"/>
      <w:r w:rsidR="00D5142E" w:rsidRPr="00C4084C">
        <w:rPr>
          <w:rStyle w:val="FootnoteReference"/>
        </w:rPr>
        <w:t xml:space="preserve"> </w:t>
      </w:r>
      <w:r w:rsidR="00D5142E" w:rsidRPr="00C4084C">
        <w:t>by expert commentators,</w:t>
      </w:r>
      <w:r w:rsidR="00D5142E" w:rsidRPr="00C4084C">
        <w:rPr>
          <w:rStyle w:val="FootnoteReference"/>
        </w:rPr>
        <w:footnoteReference w:id="454"/>
      </w:r>
      <w:r w:rsidR="00D5142E" w:rsidRPr="00C4084C">
        <w:t xml:space="preserve"> Australia’s oldest universities enjoy the benefits of many decades of taxpayer support and the best geographical locations, leading to greater prestige and reputation, and hence more ability to raise revenue from </w:t>
      </w:r>
      <w:r w:rsidR="004202B7" w:rsidRPr="00C4084C">
        <w:t>diverse sources</w:t>
      </w:r>
      <w:r w:rsidR="00D5142E" w:rsidRPr="00C4084C">
        <w:t>. Those institutions have much greater capacity to contribute to such a fund than do smaller and newer institutions.</w:t>
      </w:r>
    </w:p>
    <w:p w14:paraId="5A6664EC" w14:textId="6DB6BE04" w:rsidR="00B920D4" w:rsidRPr="00C4084C" w:rsidRDefault="00B920D4" w:rsidP="006320A3">
      <w:r w:rsidRPr="00C4084C">
        <w:t xml:space="preserve">The HEFF should be managed by the Future Fund Board of Guardians, with the distribution of returns to be invested in projects informed by advice of an independent board with deep knowledge of the sector and its needs. </w:t>
      </w:r>
      <w:r w:rsidR="003178D4" w:rsidRPr="00C4084C">
        <w:t xml:space="preserve">Funds could be invested </w:t>
      </w:r>
      <w:r w:rsidR="004A6365" w:rsidRPr="00C4084C">
        <w:t xml:space="preserve">for </w:t>
      </w:r>
      <w:r w:rsidR="002C0847" w:rsidRPr="00C4084C">
        <w:t xml:space="preserve">the construction and maintenance of </w:t>
      </w:r>
      <w:r w:rsidR="0FE58DFB" w:rsidRPr="00C4084C">
        <w:lastRenderedPageBreak/>
        <w:t xml:space="preserve">learning and </w:t>
      </w:r>
      <w:r w:rsidR="004A6365" w:rsidRPr="00C4084C">
        <w:t xml:space="preserve">teaching </w:t>
      </w:r>
      <w:r w:rsidR="002C0847" w:rsidRPr="00C4084C">
        <w:t xml:space="preserve">infrastructure </w:t>
      </w:r>
      <w:r w:rsidR="004A6365" w:rsidRPr="00C4084C">
        <w:t>such as learning spaces and libraries</w:t>
      </w:r>
      <w:r w:rsidR="0067155D" w:rsidRPr="00C4084C">
        <w:t xml:space="preserve">, </w:t>
      </w:r>
      <w:r w:rsidR="002C0847" w:rsidRPr="00C4084C">
        <w:t>as well as</w:t>
      </w:r>
      <w:r w:rsidR="00274B55" w:rsidRPr="00C4084C">
        <w:t xml:space="preserve"> </w:t>
      </w:r>
      <w:r w:rsidR="00B869BC" w:rsidRPr="00C4084C">
        <w:t>affor</w:t>
      </w:r>
      <w:r w:rsidR="003573A8" w:rsidRPr="00C4084C">
        <w:t xml:space="preserve">dable accommodation </w:t>
      </w:r>
      <w:r w:rsidR="002C0847" w:rsidRPr="00C4084C">
        <w:t>for domestic students</w:t>
      </w:r>
      <w:r w:rsidR="00AB5537" w:rsidRPr="00C4084C">
        <w:t xml:space="preserve"> to alleviate </w:t>
      </w:r>
      <w:r w:rsidR="006354D7" w:rsidRPr="00C4084C">
        <w:t xml:space="preserve">housing shortages. </w:t>
      </w:r>
      <w:r w:rsidRPr="00C4084C">
        <w:t xml:space="preserve">The distribution of the returns should </w:t>
      </w:r>
      <w:proofErr w:type="gramStart"/>
      <w:r w:rsidRPr="00C4084C">
        <w:t>take into account</w:t>
      </w:r>
      <w:proofErr w:type="gramEnd"/>
      <w:r w:rsidRPr="00C4084C">
        <w:t xml:space="preserve"> </w:t>
      </w:r>
      <w:r w:rsidR="00176F92" w:rsidRPr="00C4084C">
        <w:t xml:space="preserve">a </w:t>
      </w:r>
      <w:r w:rsidRPr="00C4084C">
        <w:t>project’</w:t>
      </w:r>
      <w:r w:rsidR="00176F92" w:rsidRPr="00C4084C">
        <w:t>s</w:t>
      </w:r>
      <w:r w:rsidRPr="00C4084C">
        <w:t xml:space="preserve"> alignment with the priorities of the HEFF and whether the project leverages other funding sources. </w:t>
      </w:r>
    </w:p>
    <w:p w14:paraId="5498BA96" w14:textId="719F1CBB" w:rsidR="00B920D4" w:rsidRPr="00C4084C" w:rsidRDefault="00B920D4" w:rsidP="006320A3">
      <w:r w:rsidRPr="00C4084C">
        <w:t xml:space="preserve">Given the ambition of the new funding model, the HEFF should only be established once the new model is fully implemented to ensure that institutional finances are not adversely affected. </w:t>
      </w:r>
    </w:p>
    <w:p w14:paraId="32E92F51" w14:textId="77777777" w:rsidR="00DD73BA" w:rsidRPr="00C4084C" w:rsidRDefault="00DD73BA" w:rsidP="00BA6095">
      <w:pPr>
        <w:pStyle w:val="Heading4"/>
      </w:pPr>
      <w:bookmarkStart w:id="1610" w:name="_Toc159501029"/>
      <w:r w:rsidRPr="00C4084C">
        <w:t>Infrastructure</w:t>
      </w:r>
      <w:bookmarkEnd w:id="1610"/>
    </w:p>
    <w:p w14:paraId="36C90541" w14:textId="77777777" w:rsidR="00DD73BA" w:rsidRPr="00C4084C" w:rsidRDefault="00DD73BA" w:rsidP="000C393F">
      <w:r w:rsidRPr="00C4084C">
        <w:t>The lack of Australian Government funding for higher education infrastructure over the last decade has led to a degrading of institutional infrastructure and a backlog of maintenance. Since the proposed HEFF would take time to mature and achieve sufficient investment returns to fund sector infrastructure needs, the government may need to invest in a temporary infrastructure fund to address the immediate infrastructure maintenance backlog and to support an immediate uplift in the digital capability required to maintain the integrity and cyber-security of university online offerings.</w:t>
      </w:r>
    </w:p>
    <w:p w14:paraId="7CADEC4A" w14:textId="0C6DC949" w:rsidR="00FC4343" w:rsidRPr="00C4084C" w:rsidRDefault="00DD73BA" w:rsidP="003E5969">
      <w:r w:rsidRPr="00C4084C">
        <w:t xml:space="preserve">This could be informed by a Structural Adjustment Fund </w:t>
      </w:r>
      <w:proofErr w:type="gramStart"/>
      <w:r w:rsidRPr="00C4084C">
        <w:t>similar to</w:t>
      </w:r>
      <w:proofErr w:type="gramEnd"/>
      <w:r w:rsidRPr="00C4084C">
        <w:t xml:space="preserve"> that announced in response to the Bradley Review.</w:t>
      </w:r>
      <w:r w:rsidRPr="00C4084C">
        <w:rPr>
          <w:rStyle w:val="FootnoteReference"/>
        </w:rPr>
        <w:footnoteReference w:id="455"/>
      </w:r>
      <w:r w:rsidRPr="00C4084C">
        <w:t xml:space="preserve"> Such a fund would assist universities to adjust to the new higher education environment, prioritising those institutions with the most need, including those operating in regional areas.</w:t>
      </w:r>
    </w:p>
    <w:tbl>
      <w:tblPr>
        <w:tblW w:w="0" w:type="auto"/>
        <w:shd w:val="clear" w:color="auto" w:fill="FBE4D5"/>
        <w:tblLook w:val="04A0" w:firstRow="1" w:lastRow="0" w:firstColumn="1" w:lastColumn="0" w:noHBand="0" w:noVBand="1"/>
      </w:tblPr>
      <w:tblGrid>
        <w:gridCol w:w="9026"/>
      </w:tblGrid>
      <w:tr w:rsidR="002B743A" w:rsidRPr="00C4084C" w14:paraId="1BBE8AFF" w14:textId="77777777" w:rsidTr="00D26B82">
        <w:tc>
          <w:tcPr>
            <w:tcW w:w="9026" w:type="dxa"/>
            <w:shd w:val="clear" w:color="auto" w:fill="FEECDF"/>
          </w:tcPr>
          <w:p w14:paraId="57B671AE" w14:textId="74A999F4" w:rsidR="006D136A" w:rsidRDefault="006D136A" w:rsidP="003E5969">
            <w:pPr>
              <w:pStyle w:val="Recheadinginbox"/>
            </w:pPr>
            <w:r>
              <w:lastRenderedPageBreak/>
              <w:t>Recommendation: New funding model</w:t>
            </w:r>
          </w:p>
          <w:p w14:paraId="7671FB85" w14:textId="683516BE" w:rsidR="002B743A" w:rsidRPr="00C4084C" w:rsidRDefault="002B743A" w:rsidP="003E5969">
            <w:pPr>
              <w:pStyle w:val="Recsin-chapterL1"/>
              <w:framePr w:wrap="notBeside"/>
              <w:spacing w:before="0" w:after="0"/>
            </w:pPr>
            <w:r w:rsidRPr="00C4084C">
              <w:t xml:space="preserve">That to provide support for the built and digital infrastructure, including student housing, that will be </w:t>
            </w:r>
            <w:r w:rsidRPr="00C4084C">
              <w:rPr>
                <w:rStyle w:val="normaltextrun"/>
              </w:rPr>
              <w:t>needed</w:t>
            </w:r>
            <w:r w:rsidRPr="00C4084C">
              <w:t xml:space="preserve"> to cope with projected future enrolment growth, the Australian Government establish a Higher Education Future Fund (HEFF) managed by the Future Fund, with co-contributions from public universities and </w:t>
            </w:r>
            <w:r w:rsidR="00A32D76">
              <w:t>G</w:t>
            </w:r>
            <w:r w:rsidR="00A32D76" w:rsidRPr="00C4084C">
              <w:t xml:space="preserve">overnment </w:t>
            </w:r>
            <w:r w:rsidRPr="00C4084C">
              <w:t>with the aim of reaching $10 billion in assets.</w:t>
            </w:r>
          </w:p>
          <w:p w14:paraId="0DCB24F1" w14:textId="77777777" w:rsidR="002B743A" w:rsidRPr="00C4084C" w:rsidRDefault="002B743A" w:rsidP="003E5969">
            <w:pPr>
              <w:pStyle w:val="Recsin-chapterL2"/>
              <w:spacing w:before="0" w:beforeAutospacing="0"/>
            </w:pPr>
            <w:r w:rsidRPr="00C4084C">
              <w:t xml:space="preserve">Co-contributions should be made according to the following principles: </w:t>
            </w:r>
          </w:p>
          <w:p w14:paraId="4554DC56" w14:textId="05CA6C24" w:rsidR="002B743A" w:rsidRPr="00C4084C" w:rsidRDefault="002B743A" w:rsidP="003E5969">
            <w:pPr>
              <w:pStyle w:val="Recsin-chapterL3"/>
              <w:spacing w:after="100"/>
            </w:pPr>
            <w:r w:rsidRPr="00C4084C">
              <w:t xml:space="preserve">come from </w:t>
            </w:r>
            <w:proofErr w:type="gramStart"/>
            <w:r w:rsidRPr="00C4084C">
              <w:t>universit</w:t>
            </w:r>
            <w:r w:rsidR="004A5B87">
              <w:t>ies’</w:t>
            </w:r>
            <w:proofErr w:type="gramEnd"/>
            <w:r w:rsidR="00345E3A">
              <w:t xml:space="preserve"> untied</w:t>
            </w:r>
            <w:r w:rsidRPr="00C4084C">
              <w:t xml:space="preserve"> own source revenue</w:t>
            </w:r>
          </w:p>
          <w:p w14:paraId="63959E37" w14:textId="77777777" w:rsidR="002B743A" w:rsidRPr="00C4084C" w:rsidRDefault="002B743A" w:rsidP="003E5969">
            <w:pPr>
              <w:pStyle w:val="Recsin-chapterL3"/>
            </w:pPr>
            <w:r w:rsidRPr="00C4084C">
              <w:t xml:space="preserve">be matched by funding from the </w:t>
            </w:r>
            <w:proofErr w:type="gramStart"/>
            <w:r w:rsidRPr="00C4084C">
              <w:t>Commonwealth</w:t>
            </w:r>
            <w:proofErr w:type="gramEnd"/>
          </w:p>
          <w:p w14:paraId="7DE38F0D" w14:textId="77777777" w:rsidR="002B743A" w:rsidRPr="00C4084C" w:rsidRDefault="002B743A" w:rsidP="003E5969">
            <w:pPr>
              <w:pStyle w:val="Recsin-chapterL3"/>
            </w:pPr>
            <w:r w:rsidRPr="00C4084C">
              <w:t xml:space="preserve">control the adverse impact on universities with limited capacity to </w:t>
            </w:r>
            <w:proofErr w:type="gramStart"/>
            <w:r w:rsidRPr="00C4084C">
              <w:t>contribute</w:t>
            </w:r>
            <w:proofErr w:type="gramEnd"/>
          </w:p>
          <w:p w14:paraId="1DF3D538" w14:textId="77777777" w:rsidR="002B743A" w:rsidRPr="00C4084C" w:rsidRDefault="002B743A" w:rsidP="003E5969">
            <w:pPr>
              <w:pStyle w:val="Recsin-chapterL3"/>
            </w:pPr>
            <w:r w:rsidRPr="00C4084C">
              <w:t xml:space="preserve">be time limited based on reaching a stable equity base in the </w:t>
            </w:r>
            <w:proofErr w:type="gramStart"/>
            <w:r w:rsidRPr="00C4084C">
              <w:t>Fund</w:t>
            </w:r>
            <w:proofErr w:type="gramEnd"/>
          </w:p>
          <w:p w14:paraId="2E47839C" w14:textId="07969F8A" w:rsidR="002B743A" w:rsidRPr="00C4084C" w:rsidRDefault="002B743A" w:rsidP="003E5969">
            <w:pPr>
              <w:pStyle w:val="Recsin-chapterL3"/>
            </w:pPr>
            <w:r w:rsidRPr="00C4084C">
              <w:t xml:space="preserve">begin only when the new funding model is in place to ensure stability for universities through transition </w:t>
            </w:r>
            <w:proofErr w:type="gramStart"/>
            <w:r w:rsidRPr="00C4084C">
              <w:t>arrangements</w:t>
            </w:r>
            <w:proofErr w:type="gramEnd"/>
          </w:p>
          <w:p w14:paraId="0890CF57" w14:textId="77777777" w:rsidR="002B743A" w:rsidRPr="00C4084C" w:rsidRDefault="002B743A" w:rsidP="003E5969">
            <w:pPr>
              <w:pStyle w:val="Recsin-chapterL2"/>
            </w:pPr>
            <w:r w:rsidRPr="00C4084C">
              <w:t xml:space="preserve">Returns from the Fund be used by Government and contributing universities working together to make investments in the higher education sector: </w:t>
            </w:r>
          </w:p>
          <w:p w14:paraId="366F0403" w14:textId="77777777" w:rsidR="002B743A" w:rsidRPr="00C4084C" w:rsidRDefault="002B743A" w:rsidP="003E5969">
            <w:pPr>
              <w:pStyle w:val="Recsin-chapterL3"/>
            </w:pPr>
            <w:r w:rsidRPr="00C4084C">
              <w:t xml:space="preserve">on advice from an independent board </w:t>
            </w:r>
          </w:p>
          <w:p w14:paraId="5BF9C4E6" w14:textId="77777777" w:rsidR="002B743A" w:rsidRPr="00C4084C" w:rsidRDefault="002B743A" w:rsidP="003E5969">
            <w:pPr>
              <w:pStyle w:val="Recsin-chapterL3"/>
            </w:pPr>
            <w:r w:rsidRPr="00C4084C">
              <w:t xml:space="preserve">that contribute to solving key issues such as built and digital infrastructure and provision of affordable student </w:t>
            </w:r>
            <w:proofErr w:type="gramStart"/>
            <w:r w:rsidRPr="00C4084C">
              <w:t>housing</w:t>
            </w:r>
            <w:proofErr w:type="gramEnd"/>
            <w:r w:rsidRPr="00C4084C">
              <w:t xml:space="preserve"> </w:t>
            </w:r>
          </w:p>
          <w:p w14:paraId="18039548" w14:textId="77777777" w:rsidR="002B743A" w:rsidRPr="00C4084C" w:rsidRDefault="002B743A" w:rsidP="003E5969">
            <w:pPr>
              <w:pStyle w:val="Recsin-chapterL3"/>
            </w:pPr>
            <w:r w:rsidRPr="00C4084C">
              <w:t xml:space="preserve">that leverage other funding </w:t>
            </w:r>
            <w:proofErr w:type="gramStart"/>
            <w:r w:rsidRPr="00C4084C">
              <w:t>sources</w:t>
            </w:r>
            <w:proofErr w:type="gramEnd"/>
            <w:r w:rsidRPr="00C4084C">
              <w:t xml:space="preserve">  </w:t>
            </w:r>
          </w:p>
          <w:p w14:paraId="5C82A9F2" w14:textId="1244B1F4" w:rsidR="002B743A" w:rsidRPr="00C4084C" w:rsidDel="00882244" w:rsidRDefault="00345E3A" w:rsidP="003E5969">
            <w:pPr>
              <w:pStyle w:val="Recsin-chapterL3"/>
            </w:pPr>
            <w:r>
              <w:t xml:space="preserve">that </w:t>
            </w:r>
            <w:r w:rsidR="002B743A" w:rsidRPr="00C4084C">
              <w:t xml:space="preserve">recognise universities’ capacity to pay. </w:t>
            </w:r>
          </w:p>
        </w:tc>
      </w:tr>
    </w:tbl>
    <w:p w14:paraId="0CCD92B4" w14:textId="323CB05F" w:rsidR="00B920D4" w:rsidRPr="00C4084C" w:rsidRDefault="00B920D4" w:rsidP="00745009">
      <w:pPr>
        <w:pStyle w:val="Heading3"/>
      </w:pPr>
      <w:bookmarkStart w:id="1611" w:name="_Toc151482164"/>
      <w:bookmarkStart w:id="1612" w:name="_Toc151815681"/>
      <w:bookmarkStart w:id="1613" w:name="_Toc159501030"/>
      <w:bookmarkEnd w:id="1611"/>
      <w:r w:rsidRPr="00C4084C">
        <w:t>Transitional arrangements</w:t>
      </w:r>
      <w:bookmarkEnd w:id="1612"/>
      <w:bookmarkEnd w:id="1613"/>
      <w:r w:rsidRPr="00C4084C">
        <w:t xml:space="preserve"> </w:t>
      </w:r>
    </w:p>
    <w:p w14:paraId="4581B525" w14:textId="5C45D231" w:rsidR="00B920D4" w:rsidRPr="00C4084C" w:rsidRDefault="00B920D4" w:rsidP="00BA6095">
      <w:pPr>
        <w:pStyle w:val="Heading4"/>
      </w:pPr>
      <w:bookmarkStart w:id="1614" w:name="_Toc151815682"/>
      <w:bookmarkStart w:id="1615" w:name="_Toc159501031"/>
      <w:r w:rsidRPr="00C4084C">
        <w:t>Funding for teaching and scholarship</w:t>
      </w:r>
      <w:bookmarkEnd w:id="1614"/>
      <w:bookmarkEnd w:id="1615"/>
    </w:p>
    <w:p w14:paraId="1C0F174C" w14:textId="0B37960B" w:rsidR="00B920D4" w:rsidRPr="00C4084C" w:rsidRDefault="00B920D4" w:rsidP="000C393F">
      <w:r w:rsidRPr="00C4084C">
        <w:t>The move to a new funding model must be introduced through a transition phase. The HECG, which funds institutions irrespective of enrolments, will terminate at the end of 2025. From 2026, this change could affect some institutions which were previously supported by the HECG but will then need to adapt to a more direct relationship between enrolments and funding.</w:t>
      </w:r>
    </w:p>
    <w:p w14:paraId="09FD83B2" w14:textId="521F17F1" w:rsidR="00B920D4" w:rsidRPr="00C4084C" w:rsidRDefault="00B920D4" w:rsidP="000C393F">
      <w:r w:rsidRPr="00C4084C">
        <w:t>During the transition phase, institutions should be supported through a ‘glidepath’ to full policy implementation as the sector transitions from the current funding system based on a capped dollar amount (i.e. MBGA) to the new funding model based on EFTSL (i.e. MGT).</w:t>
      </w:r>
    </w:p>
    <w:p w14:paraId="5DB20945" w14:textId="77777777" w:rsidR="00B920D4" w:rsidRPr="00C4084C" w:rsidRDefault="00B920D4" w:rsidP="000C393F">
      <w:r w:rsidRPr="00C4084C">
        <w:t xml:space="preserve">From 2026, any reduction in overall funding for individual institutions (e.g. those that are experiencing soft demand) should be in a moderated and controlled manner. In other words, the funding floor should be progressively reduced through a phased approach so that in time it reflects actual demand for enrolments at a given university. </w:t>
      </w:r>
    </w:p>
    <w:p w14:paraId="121A9275" w14:textId="3542809D" w:rsidR="00B920D4" w:rsidRPr="00C4084C" w:rsidRDefault="00B920D4" w:rsidP="000C393F">
      <w:r w:rsidRPr="00C4084C">
        <w:t xml:space="preserve">Given some universities currently have enrolments well above their funding cap, the </w:t>
      </w:r>
      <w:r w:rsidR="003D6703" w:rsidRPr="00C4084C">
        <w:t>Commission</w:t>
      </w:r>
      <w:r w:rsidRPr="00C4084C">
        <w:t xml:space="preserve"> – working in consultation with institutions – should gradually phase-out ‘over-enrolments’ that attract marginal funding, with all universities eventually operating within their tolerance band.</w:t>
      </w:r>
    </w:p>
    <w:p w14:paraId="207145AF" w14:textId="7C23EAB3" w:rsidR="00B920D4" w:rsidRPr="00C4084C" w:rsidRDefault="00B920D4" w:rsidP="000C393F">
      <w:r w:rsidRPr="00C4084C">
        <w:t xml:space="preserve">The length of the transition phase should differ for institutions. Those institutions that are currently operating relatively close to their MBGA may be able to transition quite quickly to the new system, while those that are either substantially over or under their MBGA may take </w:t>
      </w:r>
      <w:proofErr w:type="gramStart"/>
      <w:r w:rsidRPr="00C4084C">
        <w:t>a number of</w:t>
      </w:r>
      <w:proofErr w:type="gramEnd"/>
      <w:r w:rsidRPr="00C4084C">
        <w:t xml:space="preserve"> years. The </w:t>
      </w:r>
      <w:r w:rsidR="003D6703" w:rsidRPr="00C4084C">
        <w:t>Commission</w:t>
      </w:r>
      <w:r w:rsidRPr="00C4084C">
        <w:t xml:space="preserve"> should ensure the ‘glidepath’ to full implementation for each institution takes account of its individual circumstances.</w:t>
      </w:r>
    </w:p>
    <w:p w14:paraId="6D997DAB" w14:textId="6EC05706" w:rsidR="0045460E" w:rsidRPr="00C4084C" w:rsidRDefault="00F64876" w:rsidP="00570A6C">
      <w:pPr>
        <w:pStyle w:val="Heading3"/>
      </w:pPr>
      <w:bookmarkStart w:id="1616" w:name="_Toc159501032"/>
      <w:r w:rsidRPr="00C4084C">
        <w:lastRenderedPageBreak/>
        <w:t>Funding arrangements now and for the future</w:t>
      </w:r>
      <w:bookmarkEnd w:id="1616"/>
    </w:p>
    <w:p w14:paraId="6A15D96C" w14:textId="77777777" w:rsidR="00247674" w:rsidRDefault="43BB39C9">
      <w:pPr>
        <w:spacing w:after="160"/>
        <w:rPr>
          <w:rFonts w:ascii="Calibri" w:eastAsia="Calibri" w:hAnsi="Calibri" w:cs="Calibri"/>
        </w:rPr>
        <w:sectPr w:rsidR="00247674" w:rsidSect="00134415">
          <w:headerReference w:type="even" r:id="rId155"/>
          <w:headerReference w:type="default" r:id="rId156"/>
          <w:headerReference w:type="first" r:id="rId157"/>
          <w:pgSz w:w="11906" w:h="16838" w:code="9"/>
          <w:pgMar w:top="1225" w:right="1440" w:bottom="1440" w:left="1440" w:header="709" w:footer="709" w:gutter="0"/>
          <w:cols w:space="708"/>
          <w:titlePg/>
          <w:docGrid w:linePitch="360"/>
        </w:sectPr>
      </w:pPr>
      <w:bookmarkStart w:id="1617" w:name="_Ref153468165"/>
      <w:r w:rsidRPr="00C4084C">
        <w:rPr>
          <w:rFonts w:ascii="Calibri" w:eastAsia="Calibri" w:hAnsi="Calibri" w:cs="Calibri"/>
        </w:rPr>
        <w:t>To facilitate expansion in participation and attainment, incentivise equity and restore fairness in the higher education system, this chapter proposes a new core funding model. Its major new elements are a needs-based funding component, full funding of learning and teaching by discipline, a commitment to managing the system for growth, and ending the practice of marginally funding places when universities are over-enrolled. The chapter also recommends changes to the higher education research funding model, and the establishment of a Higher Education Future Fund.</w:t>
      </w:r>
      <w:bookmarkEnd w:id="1617"/>
    </w:p>
    <w:p w14:paraId="4BF70E50" w14:textId="3EEF92CC" w:rsidR="00FE1BF3" w:rsidRPr="00C4084C" w:rsidRDefault="0045460E" w:rsidP="00247674">
      <w:pPr>
        <w:pStyle w:val="Heading2"/>
      </w:pPr>
      <w:bookmarkStart w:id="1618" w:name="_Ref153468180"/>
      <w:bookmarkStart w:id="1619" w:name="_Toc159501033"/>
      <w:r w:rsidRPr="00C4084C">
        <w:lastRenderedPageBreak/>
        <w:t>In closing</w:t>
      </w:r>
      <w:bookmarkEnd w:id="1618"/>
      <w:bookmarkEnd w:id="1619"/>
    </w:p>
    <w:p w14:paraId="56BA5C0F" w14:textId="33C36CAF" w:rsidR="0032436C" w:rsidRPr="00C4084C" w:rsidRDefault="0032436C" w:rsidP="000C393F">
      <w:r w:rsidRPr="00C4084C">
        <w:t xml:space="preserve">The Review is indebted to stakeholders for their </w:t>
      </w:r>
      <w:r w:rsidR="006C4C12" w:rsidRPr="00C4084C">
        <w:t>extensive and insightful</w:t>
      </w:r>
      <w:r w:rsidRPr="00C4084C">
        <w:t xml:space="preserve"> input throughout the </w:t>
      </w:r>
      <w:r w:rsidR="00E25096">
        <w:t>time of the Review</w:t>
      </w:r>
      <w:r w:rsidRPr="00C4084C">
        <w:t xml:space="preserve">. The higher education system has many strengths, but its human capability </w:t>
      </w:r>
      <w:r w:rsidR="00C23DEC" w:rsidRPr="00C4084C">
        <w:t>stands out</w:t>
      </w:r>
      <w:r w:rsidRPr="00C4084C">
        <w:t xml:space="preserve">. In a </w:t>
      </w:r>
      <w:r w:rsidR="006C4C12" w:rsidRPr="00C4084C">
        <w:t xml:space="preserve">system </w:t>
      </w:r>
      <w:r w:rsidRPr="00C4084C">
        <w:t>such as this, stakeholders span a wide range of interest</w:t>
      </w:r>
      <w:r w:rsidR="00213204" w:rsidRPr="00C4084C">
        <w:t>s</w:t>
      </w:r>
      <w:r w:rsidRPr="00C4084C">
        <w:t xml:space="preserve"> and influence</w:t>
      </w:r>
      <w:r w:rsidR="00213204" w:rsidRPr="00C4084C">
        <w:t>s</w:t>
      </w:r>
      <w:r w:rsidRPr="00C4084C">
        <w:t xml:space="preserve">. It is the Review’s hope that this </w:t>
      </w:r>
      <w:r w:rsidR="000775DD">
        <w:t>R</w:t>
      </w:r>
      <w:r w:rsidRPr="00C4084C">
        <w:t>eport honours each contribution, large or small.</w:t>
      </w:r>
    </w:p>
    <w:p w14:paraId="7F8559AE" w14:textId="3C44A9EE" w:rsidR="0032436C" w:rsidRPr="00C4084C" w:rsidRDefault="0032436C" w:rsidP="000C393F">
      <w:r w:rsidRPr="00C4084C">
        <w:t xml:space="preserve">A review of this nature is, </w:t>
      </w:r>
      <w:r w:rsidR="00213204" w:rsidRPr="00C4084C">
        <w:t>by</w:t>
      </w:r>
      <w:r w:rsidRPr="00C4084C">
        <w:t xml:space="preserve"> necessity, tasked with looking long and critically at a subject</w:t>
      </w:r>
      <w:r w:rsidR="00213204" w:rsidRPr="00C4084C">
        <w:t xml:space="preserve"> to</w:t>
      </w:r>
      <w:r w:rsidRPr="00C4084C">
        <w:t xml:space="preserve"> uncover its deficits and identify areas that would benefit from change. The findings contained in previous chapters provide an unblinkered assessment of the fault lines in Australia’s systems of tertiary education and research. They should not be taken as an indictment o</w:t>
      </w:r>
      <w:r w:rsidR="00206486" w:rsidRPr="00C4084C">
        <w:t>f</w:t>
      </w:r>
      <w:r w:rsidRPr="00C4084C">
        <w:t xml:space="preserve"> these systems, which </w:t>
      </w:r>
      <w:r w:rsidR="45937A55" w:rsidRPr="00C4084C">
        <w:t>generally</w:t>
      </w:r>
      <w:r w:rsidRPr="00C4084C">
        <w:t xml:space="preserve"> are in good shape.</w:t>
      </w:r>
    </w:p>
    <w:p w14:paraId="39CE6C16" w14:textId="4A9BEE05" w:rsidR="0032436C" w:rsidRPr="00C4084C" w:rsidRDefault="0032436C" w:rsidP="000C393F">
      <w:r w:rsidRPr="00C4084C">
        <w:t xml:space="preserve">Nevertheless, the Review found that Australia’s current higher education system </w:t>
      </w:r>
      <w:r w:rsidR="00213204" w:rsidRPr="00C4084C">
        <w:t>has neither</w:t>
      </w:r>
      <w:r w:rsidRPr="00C4084C">
        <w:t xml:space="preserve"> the capacity </w:t>
      </w:r>
      <w:r w:rsidR="006373A7" w:rsidRPr="00C4084C">
        <w:t>n</w:t>
      </w:r>
      <w:r w:rsidRPr="00C4084C">
        <w:t xml:space="preserve">or capability to deliver what the nation needs. This Report offers a vision for the future that builds on the system’s existing strengths while </w:t>
      </w:r>
      <w:r w:rsidR="006C4C12" w:rsidRPr="00C4084C">
        <w:t xml:space="preserve">emphasising </w:t>
      </w:r>
      <w:r w:rsidRPr="00C4084C">
        <w:t xml:space="preserve">effort where it has failed before – improving equity by increasing participation and attainment among </w:t>
      </w:r>
      <w:r w:rsidR="00D7545F" w:rsidRPr="00C4084C">
        <w:t>under-represented</w:t>
      </w:r>
      <w:r w:rsidRPr="00C4084C">
        <w:t xml:space="preserve"> groups. </w:t>
      </w:r>
    </w:p>
    <w:p w14:paraId="3F1555D8" w14:textId="3213B8BD" w:rsidR="0032436C" w:rsidRPr="00C4084C" w:rsidRDefault="0032436C" w:rsidP="000C393F">
      <w:r w:rsidRPr="00C4084C">
        <w:t xml:space="preserve">The Review’s recommendations are far reaching </w:t>
      </w:r>
      <w:r w:rsidR="006C4C12" w:rsidRPr="00C4084C">
        <w:t>in line with the</w:t>
      </w:r>
      <w:r w:rsidRPr="00C4084C">
        <w:t xml:space="preserve"> </w:t>
      </w:r>
      <w:r w:rsidR="006935A1" w:rsidRPr="00C4084C">
        <w:t>Terms</w:t>
      </w:r>
      <w:r w:rsidRPr="00C4084C">
        <w:t xml:space="preserve"> of </w:t>
      </w:r>
      <w:r w:rsidR="006935A1" w:rsidRPr="00C4084C">
        <w:t>Reference</w:t>
      </w:r>
      <w:r w:rsidRPr="00C4084C">
        <w:t xml:space="preserve">. What happens next is the </w:t>
      </w:r>
      <w:r w:rsidR="008B19DB" w:rsidRPr="00C4084C">
        <w:t>responsibility</w:t>
      </w:r>
      <w:r w:rsidRPr="00C4084C">
        <w:t xml:space="preserve"> of </w:t>
      </w:r>
      <w:r w:rsidR="00ED3D00" w:rsidRPr="00C4084C">
        <w:t xml:space="preserve">the Australian </w:t>
      </w:r>
      <w:r w:rsidRPr="00C4084C">
        <w:t>Government</w:t>
      </w:r>
      <w:r w:rsidR="00833970" w:rsidRPr="00C4084C">
        <w:t>, with</w:t>
      </w:r>
      <w:r w:rsidRPr="00C4084C">
        <w:t xml:space="preserve"> the challenge of weighing up competing priorities amid future uncertainty. </w:t>
      </w:r>
    </w:p>
    <w:p w14:paraId="228B6FD0" w14:textId="51A48FAC" w:rsidR="00D148AA" w:rsidRPr="00C4084C" w:rsidRDefault="00D148AA" w:rsidP="000C393F">
      <w:r w:rsidRPr="00C4084C">
        <w:t>This is one of</w:t>
      </w:r>
      <w:r w:rsidRPr="00C4084C" w:rsidDel="00D16150">
        <w:t xml:space="preserve"> </w:t>
      </w:r>
      <w:r w:rsidR="00D16150" w:rsidRPr="00C4084C">
        <w:t>3</w:t>
      </w:r>
      <w:r w:rsidRPr="00C4084C">
        <w:t xml:space="preserve"> major reviews </w:t>
      </w:r>
      <w:r w:rsidR="00B76721" w:rsidRPr="00C4084C">
        <w:t>across</w:t>
      </w:r>
      <w:r w:rsidRPr="00C4084C">
        <w:t xml:space="preserve"> the Education portfolio that span the learning life course. A person’s experiences in early childhood and in the school years help determine the learning pathways they take – or do not take – after compulsory education is over. It will be vital to consider the relationships between them.</w:t>
      </w:r>
    </w:p>
    <w:p w14:paraId="034E07CF" w14:textId="1690DD1F" w:rsidR="0032436C" w:rsidRPr="00C4084C" w:rsidRDefault="00202B06" w:rsidP="000C393F">
      <w:r w:rsidRPr="00C4084C">
        <w:t xml:space="preserve">In completing its work, the Review sets out a vision that has immense promise and potential for this nation and its people. </w:t>
      </w:r>
      <w:r w:rsidR="0032436C" w:rsidRPr="00C4084C">
        <w:t xml:space="preserve">The recommendations of this Review aspire to meeting Australia’s current and future skills needs, expanding opportunity for all, delivering a quality and affordable tertiary education </w:t>
      </w:r>
      <w:proofErr w:type="gramStart"/>
      <w:r w:rsidR="0032436C" w:rsidRPr="00C4084C">
        <w:t>system</w:t>
      </w:r>
      <w:proofErr w:type="gramEnd"/>
      <w:r w:rsidR="0032436C" w:rsidRPr="00C4084C">
        <w:t xml:space="preserve"> and excelling at knowledge production and use. Together, they promise a wealth of skills and knowledge and a nation of greater equity</w:t>
      </w:r>
      <w:r w:rsidR="00133102" w:rsidRPr="00C4084C">
        <w:t xml:space="preserve"> and prosperity</w:t>
      </w:r>
      <w:r w:rsidR="0032436C" w:rsidRPr="00C4084C">
        <w:t>.</w:t>
      </w:r>
    </w:p>
    <w:p w14:paraId="542E435C" w14:textId="233A4EC0" w:rsidR="00262D6C" w:rsidRPr="00C4084C" w:rsidRDefault="001D7588" w:rsidP="00262D6C">
      <w:pPr>
        <w:pStyle w:val="Heading3"/>
      </w:pPr>
      <w:bookmarkStart w:id="1620" w:name="_Toc159501034"/>
      <w:r w:rsidRPr="00C4084C">
        <w:t>Ensuring a</w:t>
      </w:r>
      <w:r w:rsidR="00262D6C" w:rsidRPr="00C4084C">
        <w:t xml:space="preserve"> smooth transition</w:t>
      </w:r>
      <w:bookmarkEnd w:id="1620"/>
    </w:p>
    <w:p w14:paraId="24F08BD1" w14:textId="1A802BB2" w:rsidR="00262D6C" w:rsidRPr="00C4084C" w:rsidRDefault="00262D6C" w:rsidP="000C393F">
      <w:r w:rsidRPr="00C4084C">
        <w:t>In announcing this Review</w:t>
      </w:r>
      <w:r w:rsidR="006373A7" w:rsidRPr="00C4084C">
        <w:t>,</w:t>
      </w:r>
      <w:r w:rsidRPr="00C4084C">
        <w:t xml:space="preserve"> the Minister called for a long</w:t>
      </w:r>
      <w:r w:rsidR="5C08BA1B" w:rsidRPr="00C4084C">
        <w:t>-</w:t>
      </w:r>
      <w:r w:rsidRPr="00C4084C">
        <w:t>term plan.</w:t>
      </w:r>
      <w:r w:rsidR="001D7588" w:rsidRPr="00C4084C">
        <w:t xml:space="preserve"> </w:t>
      </w:r>
      <w:r w:rsidR="006C4C12" w:rsidRPr="00C4084C">
        <w:t>The</w:t>
      </w:r>
      <w:r w:rsidR="45FEFC31" w:rsidRPr="00C4084C">
        <w:t xml:space="preserve"> Review</w:t>
      </w:r>
      <w:r w:rsidR="009942D4" w:rsidRPr="00C4084C">
        <w:t xml:space="preserve"> notes that the </w:t>
      </w:r>
      <w:r w:rsidR="004E4573" w:rsidRPr="00C4084C">
        <w:t>tertiary</w:t>
      </w:r>
      <w:r w:rsidR="009942D4" w:rsidRPr="00C4084C">
        <w:t xml:space="preserve"> education s</w:t>
      </w:r>
      <w:r w:rsidR="004E4573" w:rsidRPr="00C4084C">
        <w:t>ystem</w:t>
      </w:r>
      <w:r w:rsidR="009942D4" w:rsidRPr="00C4084C">
        <w:t xml:space="preserve"> has </w:t>
      </w:r>
      <w:r w:rsidRPr="00C4084C">
        <w:t xml:space="preserve">weathered </w:t>
      </w:r>
      <w:r w:rsidR="009942D4" w:rsidRPr="00C4084C">
        <w:t xml:space="preserve">considerable </w:t>
      </w:r>
      <w:r w:rsidRPr="00C4084C">
        <w:t>disruption</w:t>
      </w:r>
      <w:r w:rsidR="009942D4" w:rsidRPr="00C4084C">
        <w:t xml:space="preserve"> in recent years</w:t>
      </w:r>
      <w:r w:rsidRPr="00C4084C">
        <w:t xml:space="preserve">. </w:t>
      </w:r>
    </w:p>
    <w:p w14:paraId="6D755783" w14:textId="46C6BD0D" w:rsidR="00FF69E4" w:rsidRPr="00C4084C" w:rsidRDefault="00433F23" w:rsidP="000C393F">
      <w:r w:rsidRPr="00C4084C">
        <w:t xml:space="preserve">This is why the Review is recommending </w:t>
      </w:r>
      <w:r w:rsidR="00262D6C" w:rsidRPr="00C4084C">
        <w:t xml:space="preserve">the transition period </w:t>
      </w:r>
      <w:r w:rsidRPr="00C4084C">
        <w:t>be staged</w:t>
      </w:r>
      <w:r w:rsidR="00262D6C" w:rsidRPr="00C4084C">
        <w:t xml:space="preserve"> to help stakeholders navigate change</w:t>
      </w:r>
      <w:r w:rsidR="009A3302" w:rsidRPr="00C4084C">
        <w:t xml:space="preserve"> (see Recommendation 47)</w:t>
      </w:r>
      <w:r w:rsidR="00262D6C" w:rsidRPr="00C4084C">
        <w:t xml:space="preserve">. This includes </w:t>
      </w:r>
      <w:r w:rsidR="005940DC" w:rsidRPr="00C4084C">
        <w:t xml:space="preserve">allowing time for </w:t>
      </w:r>
      <w:r w:rsidR="009942D4" w:rsidRPr="00C4084C">
        <w:t>further</w:t>
      </w:r>
      <w:r w:rsidR="005940DC" w:rsidRPr="00C4084C">
        <w:t xml:space="preserve"> deep policy thinking to avoid unintended consequences</w:t>
      </w:r>
      <w:r w:rsidR="00473EE5" w:rsidRPr="00C4084C">
        <w:t>,</w:t>
      </w:r>
      <w:r w:rsidR="005940DC" w:rsidRPr="00C4084C">
        <w:t xml:space="preserve"> like those </w:t>
      </w:r>
      <w:r w:rsidR="00262D6C" w:rsidRPr="00C4084C">
        <w:t xml:space="preserve">arising from </w:t>
      </w:r>
      <w:r w:rsidR="005940DC" w:rsidRPr="00C4084C">
        <w:t xml:space="preserve">the </w:t>
      </w:r>
      <w:r w:rsidR="0010172C" w:rsidRPr="00C4084C">
        <w:t>Job</w:t>
      </w:r>
      <w:r w:rsidR="00B55338" w:rsidRPr="00C4084C">
        <w:t>-r</w:t>
      </w:r>
      <w:r w:rsidR="0010172C" w:rsidRPr="00C4084C">
        <w:t xml:space="preserve">eady Graduates </w:t>
      </w:r>
      <w:r w:rsidR="005940DC" w:rsidRPr="00C4084C">
        <w:t>package</w:t>
      </w:r>
      <w:r w:rsidR="005F45B4" w:rsidRPr="00C4084C">
        <w:t xml:space="preserve"> or </w:t>
      </w:r>
      <w:r w:rsidR="001F7FB0">
        <w:t>those that could arise</w:t>
      </w:r>
      <w:r w:rsidR="001F7FB0" w:rsidRPr="00C4084C">
        <w:t xml:space="preserve"> </w:t>
      </w:r>
      <w:r w:rsidR="001F7FB0">
        <w:t xml:space="preserve">from future changes </w:t>
      </w:r>
      <w:r w:rsidR="005F45B4" w:rsidRPr="00C4084C">
        <w:t>to it</w:t>
      </w:r>
      <w:r w:rsidR="005940DC" w:rsidRPr="00C4084C">
        <w:t xml:space="preserve">. The transition should also </w:t>
      </w:r>
      <w:r w:rsidR="001F7FB0">
        <w:t>provide for</w:t>
      </w:r>
      <w:r w:rsidR="001F7FB0" w:rsidRPr="00C4084C">
        <w:t xml:space="preserve"> </w:t>
      </w:r>
      <w:r w:rsidR="00262D6C" w:rsidRPr="00C4084C">
        <w:t>transitional funding arrangements where necessary</w:t>
      </w:r>
      <w:r w:rsidR="005940DC" w:rsidRPr="00C4084C">
        <w:t xml:space="preserve"> to </w:t>
      </w:r>
      <w:r w:rsidR="009C7436" w:rsidRPr="00C4084C">
        <w:t xml:space="preserve">ensure the sustainability of </w:t>
      </w:r>
      <w:r w:rsidR="00473EE5" w:rsidRPr="00C4084C">
        <w:t xml:space="preserve">higher education </w:t>
      </w:r>
      <w:r w:rsidR="009C7436" w:rsidRPr="00C4084C">
        <w:t>providers</w:t>
      </w:r>
      <w:r w:rsidR="00262D6C" w:rsidRPr="00C4084C">
        <w:t xml:space="preserve">. The transition phase should </w:t>
      </w:r>
      <w:r w:rsidR="00473EE5" w:rsidRPr="00C4084C">
        <w:t>take</w:t>
      </w:r>
      <w:r w:rsidR="00262D6C" w:rsidRPr="00C4084C">
        <w:t xml:space="preserve"> heed</w:t>
      </w:r>
      <w:r w:rsidR="00473EE5" w:rsidRPr="00C4084C">
        <w:t xml:space="preserve"> of</w:t>
      </w:r>
      <w:r w:rsidR="00262D6C" w:rsidRPr="00C4084C">
        <w:t xml:space="preserve"> economic conditions and </w:t>
      </w:r>
      <w:r w:rsidR="00296E56" w:rsidRPr="00C4084C">
        <w:t xml:space="preserve">their effect on </w:t>
      </w:r>
      <w:r w:rsidR="00262D6C" w:rsidRPr="00C4084C">
        <w:t>demand for tertiary education</w:t>
      </w:r>
      <w:r w:rsidR="00F25E6A" w:rsidRPr="00C4084C">
        <w:t xml:space="preserve"> and</w:t>
      </w:r>
      <w:r w:rsidR="00262D6C" w:rsidRPr="00C4084C">
        <w:t xml:space="preserve"> </w:t>
      </w:r>
      <w:r w:rsidR="00A54D8F" w:rsidRPr="00C4084C">
        <w:t>provide a</w:t>
      </w:r>
      <w:r w:rsidR="00657672" w:rsidRPr="00C4084C">
        <w:t xml:space="preserve"> </w:t>
      </w:r>
      <w:r w:rsidR="00FF69E4" w:rsidRPr="00C4084C">
        <w:t>‘glidepath’ to full policy implementation</w:t>
      </w:r>
      <w:r w:rsidR="00A54D8F" w:rsidRPr="00C4084C">
        <w:t>. To provide certainty, c</w:t>
      </w:r>
      <w:r w:rsidR="00FF69E4" w:rsidRPr="00C4084C">
        <w:t xml:space="preserve">urrent grants </w:t>
      </w:r>
      <w:r w:rsidR="00A54D8F" w:rsidRPr="00C4084C">
        <w:t xml:space="preserve">to higher education providers </w:t>
      </w:r>
      <w:r w:rsidR="00FF69E4" w:rsidRPr="00C4084C">
        <w:t xml:space="preserve">should continue until the end of the grant period. </w:t>
      </w:r>
    </w:p>
    <w:p w14:paraId="7BB02046" w14:textId="53B20CA9" w:rsidR="005F1442" w:rsidRPr="00C4084C" w:rsidRDefault="005F1442" w:rsidP="000C393F">
      <w:r w:rsidRPr="00C4084C">
        <w:t xml:space="preserve">Turning to the mechanics of transition, the </w:t>
      </w:r>
      <w:r w:rsidR="00F60F58" w:rsidRPr="00C4084C">
        <w:t xml:space="preserve">Review </w:t>
      </w:r>
      <w:r w:rsidRPr="00C4084C">
        <w:t xml:space="preserve">recommends the Australian Government establish a time-limited </w:t>
      </w:r>
      <w:r w:rsidR="009942D4" w:rsidRPr="00C4084C">
        <w:t>I</w:t>
      </w:r>
      <w:r w:rsidRPr="00C4084C">
        <w:t xml:space="preserve">mplementation </w:t>
      </w:r>
      <w:r w:rsidR="009942D4" w:rsidRPr="00C4084C">
        <w:t>Advisory C</w:t>
      </w:r>
      <w:r w:rsidRPr="00C4084C">
        <w:t xml:space="preserve">ommittee to bridge the gap between this Review </w:t>
      </w:r>
      <w:r w:rsidRPr="00C4084C">
        <w:lastRenderedPageBreak/>
        <w:t>and new permanent arrangements</w:t>
      </w:r>
      <w:r w:rsidR="00602F54" w:rsidRPr="00C4084C">
        <w:t xml:space="preserve"> (see Recommendation </w:t>
      </w:r>
      <w:r w:rsidR="00E53B78" w:rsidRPr="00C4084C">
        <w:t>44)</w:t>
      </w:r>
      <w:r w:rsidRPr="00C4084C">
        <w:t xml:space="preserve">. </w:t>
      </w:r>
      <w:r w:rsidR="009942D4" w:rsidRPr="00C4084C">
        <w:t>Such a</w:t>
      </w:r>
      <w:r w:rsidRPr="00C4084C">
        <w:t xml:space="preserve"> </w:t>
      </w:r>
      <w:r w:rsidR="007F509D" w:rsidRPr="00C4084C">
        <w:t>c</w:t>
      </w:r>
      <w:r w:rsidRPr="00C4084C">
        <w:t>ommittee</w:t>
      </w:r>
      <w:r w:rsidR="00FA29BB" w:rsidRPr="00C4084C">
        <w:t xml:space="preserve"> </w:t>
      </w:r>
      <w:r w:rsidR="009942D4" w:rsidRPr="00C4084C">
        <w:t>will provide</w:t>
      </w:r>
      <w:r w:rsidRPr="00C4084C">
        <w:t xml:space="preserve"> practical </w:t>
      </w:r>
      <w:r w:rsidR="00BC7F60" w:rsidRPr="00C4084C">
        <w:t>advice on</w:t>
      </w:r>
      <w:r w:rsidRPr="00C4084C">
        <w:t xml:space="preserve"> maintain</w:t>
      </w:r>
      <w:r w:rsidR="00BC7F60" w:rsidRPr="00C4084C">
        <w:t>ing</w:t>
      </w:r>
      <w:r w:rsidRPr="00C4084C">
        <w:t xml:space="preserve"> the momentum of reform and provide a sounding board </w:t>
      </w:r>
      <w:r w:rsidR="00BC7F60" w:rsidRPr="00C4084C">
        <w:t>for</w:t>
      </w:r>
      <w:r w:rsidRPr="00C4084C">
        <w:t xml:space="preserve"> Government on the recommendations of this Review. The </w:t>
      </w:r>
      <w:r w:rsidR="00BC7F60" w:rsidRPr="00C4084C">
        <w:t>C</w:t>
      </w:r>
      <w:r w:rsidRPr="00C4084C">
        <w:t xml:space="preserve">ommittee could help devise an implementation roadmap once the scale of reform becomes clear and </w:t>
      </w:r>
      <w:r w:rsidR="00BC7F60" w:rsidRPr="00C4084C">
        <w:t>advise on</w:t>
      </w:r>
      <w:r w:rsidRPr="00C4084C">
        <w:t xml:space="preserve"> immediate actions.</w:t>
      </w:r>
    </w:p>
    <w:p w14:paraId="03077D22" w14:textId="73A6AD4F" w:rsidR="00360327" w:rsidRPr="00C4084C" w:rsidRDefault="008E78FF" w:rsidP="000C393F">
      <w:r w:rsidRPr="00C4084C">
        <w:t xml:space="preserve">As discussed </w:t>
      </w:r>
      <w:r w:rsidR="00F11D4B" w:rsidRPr="00C4084C">
        <w:t>earlier</w:t>
      </w:r>
      <w:r w:rsidRPr="00C4084C">
        <w:t xml:space="preserve"> in </w:t>
      </w:r>
      <w:r w:rsidR="00AC3596" w:rsidRPr="000C393F">
        <w:rPr>
          <w:i/>
          <w:iCs/>
        </w:rPr>
        <w:fldChar w:fldCharType="begin"/>
      </w:r>
      <w:r w:rsidR="00AC3596" w:rsidRPr="000C393F">
        <w:rPr>
          <w:i/>
          <w:iCs/>
        </w:rPr>
        <w:instrText xml:space="preserve"> REF _Ref151934666 \r  \* MERGEFORMAT </w:instrText>
      </w:r>
      <w:r w:rsidR="00AC3596" w:rsidRPr="000C393F">
        <w:rPr>
          <w:i/>
          <w:iCs/>
        </w:rPr>
        <w:fldChar w:fldCharType="separate"/>
      </w:r>
      <w:r w:rsidR="00467B4F" w:rsidRPr="000C393F">
        <w:rPr>
          <w:i/>
          <w:iCs/>
        </w:rPr>
        <w:t xml:space="preserve">Chapter 6 – </w:t>
      </w:r>
      <w:r w:rsidR="00AC3596" w:rsidRPr="000C393F">
        <w:rPr>
          <w:i/>
          <w:iCs/>
        </w:rPr>
        <w:fldChar w:fldCharType="end"/>
      </w:r>
      <w:r w:rsidR="00AC3596" w:rsidRPr="000C393F">
        <w:rPr>
          <w:i/>
          <w:iCs/>
        </w:rPr>
        <w:fldChar w:fldCharType="begin"/>
      </w:r>
      <w:r w:rsidR="00AC3596" w:rsidRPr="000C393F">
        <w:rPr>
          <w:i/>
          <w:iCs/>
        </w:rPr>
        <w:instrText xml:space="preserve"> REF _Ref151934666  \* MERGEFORMAT </w:instrText>
      </w:r>
      <w:r w:rsidR="00AC3596" w:rsidRPr="000C393F">
        <w:rPr>
          <w:i/>
          <w:iCs/>
        </w:rPr>
        <w:fldChar w:fldCharType="separate"/>
      </w:r>
      <w:r w:rsidR="00467B4F" w:rsidRPr="000C393F">
        <w:rPr>
          <w:i/>
          <w:iCs/>
        </w:rPr>
        <w:t>A dynamic, collaborative and responsive system that serves the national interest</w:t>
      </w:r>
      <w:r w:rsidR="00AC3596" w:rsidRPr="000C393F">
        <w:rPr>
          <w:i/>
          <w:iCs/>
        </w:rPr>
        <w:fldChar w:fldCharType="end"/>
      </w:r>
      <w:r w:rsidRPr="00C4084C">
        <w:t>, f</w:t>
      </w:r>
      <w:r w:rsidR="005F1442" w:rsidRPr="00C4084C">
        <w:t xml:space="preserve">ollowing the establishment of the </w:t>
      </w:r>
      <w:r w:rsidR="00C73B30" w:rsidRPr="00C4084C">
        <w:t xml:space="preserve">Australian Tertiary Education </w:t>
      </w:r>
      <w:r w:rsidR="005F1442" w:rsidRPr="00C4084C">
        <w:t xml:space="preserve">Commission, the </w:t>
      </w:r>
      <w:r w:rsidR="00C73B30" w:rsidRPr="00C4084C">
        <w:t>C</w:t>
      </w:r>
      <w:r w:rsidR="002C360B" w:rsidRPr="00C4084C">
        <w:t>ommittee can be replaced by</w:t>
      </w:r>
      <w:r w:rsidR="005F1442" w:rsidRPr="00C4084C">
        <w:t xml:space="preserve"> </w:t>
      </w:r>
      <w:r w:rsidR="00C73B30" w:rsidRPr="00C4084C">
        <w:t>the Advisory Board to</w:t>
      </w:r>
      <w:r w:rsidR="005F1442" w:rsidRPr="00C4084C">
        <w:t xml:space="preserve"> the Commission</w:t>
      </w:r>
      <w:r w:rsidR="00C73B30" w:rsidRPr="00C4084C">
        <w:t>.</w:t>
      </w:r>
      <w:r w:rsidR="005F1442" w:rsidRPr="00C4084C">
        <w:t xml:space="preserve"> </w:t>
      </w:r>
    </w:p>
    <w:p w14:paraId="3476FEDB" w14:textId="78752539" w:rsidR="009073F9" w:rsidRPr="00C4084C" w:rsidRDefault="009073F9" w:rsidP="00BA6095">
      <w:pPr>
        <w:pStyle w:val="Heading4"/>
        <w:rPr>
          <w:rFonts w:asciiTheme="minorHAnsi" w:hAnsiTheme="minorHAnsi" w:cstheme="minorBidi"/>
        </w:rPr>
      </w:pPr>
      <w:bookmarkStart w:id="1621" w:name="_Toc159501035"/>
      <w:r w:rsidRPr="00C4084C">
        <w:t>Delivering reform in stages</w:t>
      </w:r>
      <w:bookmarkEnd w:id="1621"/>
    </w:p>
    <w:p w14:paraId="1DAF9A76" w14:textId="77777777" w:rsidR="009073F9" w:rsidRPr="00C4084C" w:rsidRDefault="009073F9" w:rsidP="000C393F">
      <w:r w:rsidRPr="00C4084C">
        <w:t xml:space="preserve">The scope and implications of the recommendations of this Review call for a staged approach that is transparent to stakeholders. </w:t>
      </w:r>
    </w:p>
    <w:p w14:paraId="2D59E1AC" w14:textId="6EBC87B0" w:rsidR="00262D6C" w:rsidRPr="00C4084C" w:rsidRDefault="009073F9" w:rsidP="000C393F">
      <w:r w:rsidRPr="00C4084C">
        <w:t xml:space="preserve">The first phase of reform commenced with the priority actions recommended in the Review’s Interim Report. </w:t>
      </w:r>
      <w:r w:rsidR="00262D6C" w:rsidRPr="00C4084C">
        <w:t xml:space="preserve">Each of the 5 priority actions was accepted by </w:t>
      </w:r>
      <w:r w:rsidR="00ED3D00" w:rsidRPr="00C4084C">
        <w:t xml:space="preserve">the Australian </w:t>
      </w:r>
      <w:r w:rsidR="00262D6C" w:rsidRPr="00C4084C">
        <w:t xml:space="preserve">Government. The </w:t>
      </w:r>
      <w:r w:rsidR="00211678" w:rsidRPr="00C4084C">
        <w:t>recent</w:t>
      </w:r>
      <w:r w:rsidR="00262D6C" w:rsidRPr="00C4084C">
        <w:t xml:space="preserve"> passage of legislation means that First Nations students throughout Australia will be eligible for guaranteed </w:t>
      </w:r>
      <w:r w:rsidR="00211678" w:rsidRPr="00C4084C">
        <w:t xml:space="preserve">full </w:t>
      </w:r>
      <w:r w:rsidR="00262D6C" w:rsidRPr="00C4084C">
        <w:t>funding when offered a university place</w:t>
      </w:r>
      <w:r w:rsidR="0019156A" w:rsidRPr="00C4084C">
        <w:t>.</w:t>
      </w:r>
      <w:r w:rsidR="00211678" w:rsidRPr="00C4084C">
        <w:rPr>
          <w:rStyle w:val="FootnoteReference"/>
        </w:rPr>
        <w:footnoteReference w:id="456"/>
      </w:r>
      <w:r w:rsidR="00262D6C" w:rsidRPr="00C4084C">
        <w:t xml:space="preserve"> It also </w:t>
      </w:r>
      <w:r w:rsidR="00AB3A5B" w:rsidRPr="00C4084C">
        <w:t xml:space="preserve">requires </w:t>
      </w:r>
      <w:r w:rsidR="00262D6C" w:rsidRPr="00C4084C">
        <w:t>higher education providers to increase support for students</w:t>
      </w:r>
      <w:r w:rsidR="00211678" w:rsidRPr="00C4084C">
        <w:t xml:space="preserve"> to complete their units of study successfully</w:t>
      </w:r>
      <w:r w:rsidR="00262D6C" w:rsidRPr="00C4084C">
        <w:t>. Both measures commence from 2024.</w:t>
      </w:r>
    </w:p>
    <w:p w14:paraId="224B8A61" w14:textId="2212BA67" w:rsidR="009073F9" w:rsidRPr="00C4084C" w:rsidRDefault="00262D6C" w:rsidP="000C393F">
      <w:r w:rsidRPr="00C4084C">
        <w:t xml:space="preserve">There are other actions arising from the Interim Report that are underway. The </w:t>
      </w:r>
      <w:r w:rsidR="00ED3D00" w:rsidRPr="00C4084C">
        <w:t>Australian</w:t>
      </w:r>
      <w:r w:rsidRPr="00C4084C">
        <w:t xml:space="preserve"> Government has commenced planning for new regional and suburban study hubs. It has released a draft Action Plan addressing gender-based violence in higher education that proposes the establishment of a National Student Ombudsman to help eliminate assault and harm on campus. </w:t>
      </w:r>
    </w:p>
    <w:p w14:paraId="6C334A70" w14:textId="13C9082E" w:rsidR="00262D6C" w:rsidRPr="00C4084C" w:rsidRDefault="00262D6C" w:rsidP="000C393F">
      <w:r w:rsidRPr="00C4084C">
        <w:t>These are positive steps in transition.</w:t>
      </w:r>
    </w:p>
    <w:p w14:paraId="5426AD85" w14:textId="514F7AE1" w:rsidR="00B85573" w:rsidRPr="00C4084C" w:rsidRDefault="00B85573" w:rsidP="000C393F">
      <w:r w:rsidRPr="00C4084C">
        <w:t>With the priority actions underway</w:t>
      </w:r>
      <w:r w:rsidR="00211678" w:rsidRPr="00C4084C">
        <w:t>,</w:t>
      </w:r>
      <w:r w:rsidRPr="00C4084C">
        <w:t xml:space="preserve"> attention turns to the recommendations in this </w:t>
      </w:r>
      <w:r w:rsidR="000775DD">
        <w:t>R</w:t>
      </w:r>
      <w:r w:rsidRPr="00C4084C">
        <w:t>eport.</w:t>
      </w:r>
    </w:p>
    <w:p w14:paraId="7E291C45" w14:textId="7129FDCD" w:rsidR="00557741" w:rsidRPr="00C4084C" w:rsidRDefault="00B85573" w:rsidP="000C393F">
      <w:r w:rsidRPr="00C4084C">
        <w:t xml:space="preserve">The Review does not propose a </w:t>
      </w:r>
      <w:r w:rsidR="00223572" w:rsidRPr="00C4084C">
        <w:t xml:space="preserve">detailed </w:t>
      </w:r>
      <w:r w:rsidRPr="00C4084C">
        <w:t xml:space="preserve">timetable for reform. Implementation is the responsibility of </w:t>
      </w:r>
      <w:r w:rsidR="00ED3D00" w:rsidRPr="00C4084C">
        <w:t>the Australian</w:t>
      </w:r>
      <w:r w:rsidRPr="00C4084C">
        <w:t xml:space="preserve"> Government, taking into consideration what is achievable by when, by whom and how. Nevertheless, the recommendations in this </w:t>
      </w:r>
      <w:r w:rsidR="000775DD">
        <w:t>R</w:t>
      </w:r>
      <w:r w:rsidRPr="00C4084C">
        <w:t>eport offer immediate, short-medium term and long</w:t>
      </w:r>
      <w:r w:rsidR="6D8D7EEE" w:rsidRPr="00C4084C">
        <w:t>-</w:t>
      </w:r>
      <w:r w:rsidRPr="00C4084C">
        <w:t xml:space="preserve">term opportunities for </w:t>
      </w:r>
      <w:r w:rsidR="009073F9" w:rsidRPr="00C4084C">
        <w:t>change</w:t>
      </w:r>
      <w:r w:rsidRPr="00C4084C">
        <w:t xml:space="preserve"> that are achievable and can be staged sensibly. </w:t>
      </w:r>
      <w:proofErr w:type="gramStart"/>
      <w:r w:rsidR="00F94925" w:rsidRPr="00C4084C">
        <w:t>Particular recommendations</w:t>
      </w:r>
      <w:proofErr w:type="gramEnd"/>
      <w:r w:rsidR="00F94925" w:rsidRPr="00C4084C">
        <w:t xml:space="preserve"> need to be supported by appr</w:t>
      </w:r>
      <w:r w:rsidR="00244B04" w:rsidRPr="00C4084C">
        <w:t>opr</w:t>
      </w:r>
      <w:r w:rsidR="00F94925" w:rsidRPr="00C4084C">
        <w:t>iate legislative and regulatory changes (see Recommendation</w:t>
      </w:r>
      <w:r w:rsidR="004D4A36" w:rsidRPr="00C4084C">
        <w:t xml:space="preserve"> 45</w:t>
      </w:r>
      <w:r w:rsidR="00F94925" w:rsidRPr="00C4084C">
        <w:t>).</w:t>
      </w:r>
    </w:p>
    <w:p w14:paraId="05D0D812" w14:textId="72FA892C" w:rsidR="00B85573" w:rsidRPr="00C4084C" w:rsidRDefault="00557741" w:rsidP="000C393F">
      <w:r w:rsidRPr="00C4084C">
        <w:t>Finally, t</w:t>
      </w:r>
      <w:r w:rsidR="00B85573" w:rsidRPr="00C4084C">
        <w:t xml:space="preserve">here are </w:t>
      </w:r>
      <w:r w:rsidRPr="00C4084C">
        <w:t>some</w:t>
      </w:r>
      <w:r w:rsidR="00B85573" w:rsidRPr="00C4084C">
        <w:t xml:space="preserve"> issues considered in this </w:t>
      </w:r>
      <w:r w:rsidR="000775DD">
        <w:t>R</w:t>
      </w:r>
      <w:r w:rsidR="00B85573" w:rsidRPr="00C4084C">
        <w:t xml:space="preserve">eport that remain unresolved and require ongoing work. </w:t>
      </w:r>
      <w:r w:rsidRPr="00C4084C">
        <w:t xml:space="preserve">The Review leaves these in the safe hands of </w:t>
      </w:r>
      <w:r w:rsidR="00CD2968" w:rsidRPr="00C4084C">
        <w:t>tertiary education system</w:t>
      </w:r>
      <w:r w:rsidR="00697921" w:rsidRPr="00C4084C">
        <w:t xml:space="preserve"> stakeholders</w:t>
      </w:r>
      <w:r w:rsidRPr="00C4084C">
        <w:t>.</w:t>
      </w:r>
    </w:p>
    <w:p w14:paraId="35D1BF68" w14:textId="1218A44D" w:rsidR="00262D6C" w:rsidRPr="00C4084C" w:rsidRDefault="00262D6C" w:rsidP="00262D6C">
      <w:pPr>
        <w:pStyle w:val="Heading3"/>
      </w:pPr>
      <w:bookmarkStart w:id="1622" w:name="_Toc150689997"/>
      <w:bookmarkStart w:id="1623" w:name="_Toc151209007"/>
      <w:bookmarkStart w:id="1624" w:name="_Toc159501036"/>
      <w:bookmarkStart w:id="1625" w:name="_Toc149903492"/>
      <w:r w:rsidRPr="00C4084C">
        <w:t>Achieving lasting reform</w:t>
      </w:r>
      <w:bookmarkEnd w:id="1622"/>
      <w:bookmarkEnd w:id="1623"/>
      <w:bookmarkEnd w:id="1624"/>
      <w:r w:rsidRPr="00C4084C">
        <w:t xml:space="preserve"> </w:t>
      </w:r>
    </w:p>
    <w:p w14:paraId="4834FFFD" w14:textId="3A6CC03F" w:rsidR="00262D6C" w:rsidRPr="00C4084C" w:rsidRDefault="00262D6C" w:rsidP="000C393F">
      <w:r w:rsidRPr="00C4084C">
        <w:t xml:space="preserve">The Australian Government committed </w:t>
      </w:r>
      <w:r w:rsidR="00F25E6A" w:rsidRPr="00C4084C">
        <w:t>to</w:t>
      </w:r>
      <w:r w:rsidRPr="00C4084C">
        <w:t xml:space="preserve"> an Australian Universities Accord </w:t>
      </w:r>
      <w:r w:rsidR="00793B1F" w:rsidRPr="00C4084C">
        <w:t>Review</w:t>
      </w:r>
      <w:r w:rsidRPr="00C4084C">
        <w:t xml:space="preserve"> </w:t>
      </w:r>
      <w:r w:rsidR="347F4AA2" w:rsidRPr="00C4084C">
        <w:t>“</w:t>
      </w:r>
      <w:r w:rsidRPr="00C4084C">
        <w:t xml:space="preserve">to drive lasting reform in Australia’s higher education </w:t>
      </w:r>
      <w:r w:rsidR="008B19DB" w:rsidRPr="00C4084C">
        <w:t>system”</w:t>
      </w:r>
      <w:r w:rsidR="007E10A9">
        <w:t>.</w:t>
      </w:r>
      <w:r w:rsidRPr="00C4084C">
        <w:t xml:space="preserve"> Submissions and consultations throughout the Review process have reinforced support for </w:t>
      </w:r>
      <w:r w:rsidR="008B19DB" w:rsidRPr="00C4084C">
        <w:t>ongoing</w:t>
      </w:r>
      <w:r w:rsidRPr="00C4084C">
        <w:t xml:space="preserve"> practical mechanism</w:t>
      </w:r>
      <w:r w:rsidR="00E25096">
        <w:t>s</w:t>
      </w:r>
      <w:r w:rsidRPr="00C4084C">
        <w:t xml:space="preserve"> to build trust through genuine engagement and collaboration, and to enable lasting, sector-wide change through greater system intelligence and evidence-based planning and evaluation. </w:t>
      </w:r>
    </w:p>
    <w:bookmarkEnd w:id="1625"/>
    <w:p w14:paraId="1ED46019" w14:textId="22E29B63" w:rsidR="0018081B" w:rsidRPr="00C4084C" w:rsidRDefault="00255802" w:rsidP="00285443">
      <w:r w:rsidRPr="00C4084C">
        <w:lastRenderedPageBreak/>
        <w:t>In closing</w:t>
      </w:r>
      <w:r w:rsidR="00262D6C" w:rsidRPr="00C4084C">
        <w:t xml:space="preserve">, the Review’s Interim Report called for First Nations people to be at the heart of Australia’s higher education system. </w:t>
      </w:r>
      <w:r w:rsidR="00262D6C" w:rsidRPr="00C4084C">
        <w:rPr>
          <w:rFonts w:eastAsiaTheme="minorEastAsia"/>
        </w:rPr>
        <w:t>It is the Review’s hope that First Nations people</w:t>
      </w:r>
      <w:r w:rsidR="00155BAB" w:rsidRPr="00C4084C">
        <w:rPr>
          <w:rFonts w:eastAsiaTheme="minorEastAsia"/>
        </w:rPr>
        <w:t>, their voice</w:t>
      </w:r>
      <w:r w:rsidR="00687E02" w:rsidRPr="00C4084C">
        <w:rPr>
          <w:rFonts w:eastAsiaTheme="minorEastAsia"/>
        </w:rPr>
        <w:t>s</w:t>
      </w:r>
      <w:r w:rsidR="00155BAB" w:rsidRPr="00C4084C">
        <w:rPr>
          <w:rFonts w:eastAsiaTheme="minorEastAsia"/>
        </w:rPr>
        <w:t xml:space="preserve"> and lived experience</w:t>
      </w:r>
      <w:r w:rsidR="00687E02" w:rsidRPr="00C4084C">
        <w:rPr>
          <w:rFonts w:eastAsiaTheme="minorEastAsia"/>
        </w:rPr>
        <w:t>s</w:t>
      </w:r>
      <w:r w:rsidR="00262D6C" w:rsidRPr="00C4084C">
        <w:rPr>
          <w:rFonts w:eastAsiaTheme="minorEastAsia"/>
        </w:rPr>
        <w:t xml:space="preserve"> be </w:t>
      </w:r>
      <w:r w:rsidR="00D01594" w:rsidRPr="00C4084C">
        <w:rPr>
          <w:rFonts w:eastAsiaTheme="minorEastAsia"/>
        </w:rPr>
        <w:t>strongly</w:t>
      </w:r>
      <w:r w:rsidR="00262D6C" w:rsidRPr="00C4084C">
        <w:rPr>
          <w:rFonts w:eastAsiaTheme="minorEastAsia"/>
        </w:rPr>
        <w:t xml:space="preserve"> present </w:t>
      </w:r>
      <w:r w:rsidR="00155BAB" w:rsidRPr="00C4084C">
        <w:rPr>
          <w:rFonts w:eastAsiaTheme="minorEastAsia"/>
        </w:rPr>
        <w:t xml:space="preserve">in the </w:t>
      </w:r>
      <w:r w:rsidR="001D6A52" w:rsidRPr="00C4084C">
        <w:rPr>
          <w:rFonts w:eastAsiaTheme="minorEastAsia"/>
        </w:rPr>
        <w:t xml:space="preserve">higher education sector </w:t>
      </w:r>
      <w:r w:rsidR="004F0F6C" w:rsidRPr="00C4084C">
        <w:rPr>
          <w:rFonts w:eastAsiaTheme="minorEastAsia"/>
        </w:rPr>
        <w:t xml:space="preserve">and enrich Australia’s learning and research </w:t>
      </w:r>
      <w:r w:rsidR="008D7160" w:rsidRPr="00C4084C">
        <w:rPr>
          <w:rFonts w:eastAsiaTheme="minorEastAsia"/>
        </w:rPr>
        <w:t xml:space="preserve">in </w:t>
      </w:r>
      <w:r w:rsidR="00441078" w:rsidRPr="00C4084C">
        <w:rPr>
          <w:rFonts w:eastAsiaTheme="minorEastAsia"/>
        </w:rPr>
        <w:t xml:space="preserve">an </w:t>
      </w:r>
      <w:r w:rsidR="00687E02" w:rsidRPr="00C4084C">
        <w:rPr>
          <w:rFonts w:eastAsiaTheme="minorEastAsia"/>
        </w:rPr>
        <w:t>enduring</w:t>
      </w:r>
      <w:r w:rsidR="008D7160" w:rsidRPr="00C4084C">
        <w:rPr>
          <w:rFonts w:eastAsiaTheme="minorEastAsia"/>
        </w:rPr>
        <w:t xml:space="preserve"> way</w:t>
      </w:r>
      <w:r w:rsidR="00D01594" w:rsidRPr="00C4084C">
        <w:rPr>
          <w:rFonts w:eastAsiaTheme="minorEastAsia"/>
        </w:rPr>
        <w:t>.</w:t>
      </w:r>
    </w:p>
    <w:tbl>
      <w:tblPr>
        <w:tblW w:w="0" w:type="auto"/>
        <w:shd w:val="clear" w:color="auto" w:fill="FBE4D5"/>
        <w:tblLook w:val="04A0" w:firstRow="1" w:lastRow="0" w:firstColumn="1" w:lastColumn="0" w:noHBand="0" w:noVBand="1"/>
      </w:tblPr>
      <w:tblGrid>
        <w:gridCol w:w="9026"/>
      </w:tblGrid>
      <w:tr w:rsidR="0018081B" w:rsidRPr="00C4084C" w14:paraId="018FDF26" w14:textId="77777777" w:rsidTr="00D26B82">
        <w:tc>
          <w:tcPr>
            <w:tcW w:w="9026" w:type="dxa"/>
            <w:shd w:val="clear" w:color="auto" w:fill="B0C3DB"/>
          </w:tcPr>
          <w:p w14:paraId="5CB4B300" w14:textId="6A6FD90A" w:rsidR="00861704" w:rsidRPr="00861704" w:rsidRDefault="003B7B0D" w:rsidP="003E5969">
            <w:pPr>
              <w:pStyle w:val="Findinginchapterheading"/>
            </w:pPr>
            <w:r w:rsidRPr="003F1E78">
              <w:rPr>
                <w:szCs w:val="24"/>
              </w:rPr>
              <w:t>Finding</w:t>
            </w:r>
            <w:r w:rsidR="00861704">
              <w:rPr>
                <w:szCs w:val="24"/>
              </w:rPr>
              <w:t xml:space="preserve">: </w:t>
            </w:r>
            <w:r w:rsidR="0018081B" w:rsidRPr="00C4084C">
              <w:t xml:space="preserve">Leadership </w:t>
            </w:r>
            <w:r w:rsidR="006C6C03">
              <w:t>–</w:t>
            </w:r>
            <w:r w:rsidR="0018081B" w:rsidRPr="00C4084C">
              <w:t xml:space="preserve"> stakeholders</w:t>
            </w:r>
          </w:p>
          <w:p w14:paraId="547758A0" w14:textId="0E43DE52" w:rsidR="0018081B" w:rsidRPr="00C4084C" w:rsidRDefault="0018081B" w:rsidP="003E5969">
            <w:pPr>
              <w:pStyle w:val="Boxtext0"/>
              <w:spacing w:before="0"/>
            </w:pPr>
            <w:r w:rsidRPr="00C4084C">
              <w:t>Stakeholders across the tertiary education system need a seat at the table alongside government to discuss the system’s future needs and share responsibility for solutions. There is currently insufficient shared understanding of the policy and reform priorities needed to build solutions and plan for the years ahead.</w:t>
            </w:r>
            <w:r w:rsidRPr="00C4084C">
              <w:rPr>
                <w:b/>
              </w:rPr>
              <w:t> </w:t>
            </w:r>
          </w:p>
        </w:tc>
      </w:tr>
    </w:tbl>
    <w:p w14:paraId="3BDA8C47" w14:textId="5FE637B0" w:rsidR="00262D6C" w:rsidRPr="00C4084C" w:rsidRDefault="00262D6C" w:rsidP="003E5969">
      <w:pPr>
        <w:spacing w:after="0"/>
      </w:pPr>
    </w:p>
    <w:tbl>
      <w:tblPr>
        <w:tblW w:w="0" w:type="auto"/>
        <w:tblLook w:val="04A0" w:firstRow="1" w:lastRow="0" w:firstColumn="1" w:lastColumn="0" w:noHBand="0" w:noVBand="1"/>
      </w:tblPr>
      <w:tblGrid>
        <w:gridCol w:w="9026"/>
      </w:tblGrid>
      <w:tr w:rsidR="00D72D47" w:rsidRPr="00C4084C" w14:paraId="1CB15487" w14:textId="77777777" w:rsidTr="008C4411">
        <w:tc>
          <w:tcPr>
            <w:tcW w:w="9638" w:type="dxa"/>
            <w:shd w:val="clear" w:color="auto" w:fill="FFF4ED"/>
          </w:tcPr>
          <w:p w14:paraId="701699DA" w14:textId="0AF540FB" w:rsidR="006D136A" w:rsidRDefault="006D136A" w:rsidP="003E5969">
            <w:pPr>
              <w:pStyle w:val="Recheadinginbox"/>
            </w:pPr>
            <w:r>
              <w:t>Recommendation</w:t>
            </w:r>
          </w:p>
          <w:p w14:paraId="2EF589B9" w14:textId="39B8580C" w:rsidR="00D72D47" w:rsidRPr="00C4084C" w:rsidDel="00882244" w:rsidRDefault="00D72D47" w:rsidP="003E5969">
            <w:pPr>
              <w:pStyle w:val="Recsin-chapterL1"/>
              <w:framePr w:wrap="notBeside"/>
              <w:spacing w:before="0"/>
            </w:pPr>
            <w:r w:rsidRPr="00C4084C">
              <w:t xml:space="preserve">That as a priority, the work to build a stewardship role in the tertiary education sector begin </w:t>
            </w:r>
            <w:r w:rsidRPr="00C4084C">
              <w:rPr>
                <w:rStyle w:val="normaltextrun"/>
              </w:rPr>
              <w:t>immediately</w:t>
            </w:r>
            <w:r w:rsidRPr="00C4084C">
              <w:t xml:space="preserve"> with the Minister for Education establishing an Implementation Advisory Committee to provide advice to him on the implementation of the recommendations from this Review.</w:t>
            </w:r>
          </w:p>
        </w:tc>
      </w:tr>
    </w:tbl>
    <w:p w14:paraId="1D50D9CA" w14:textId="77777777" w:rsidR="004A71C3" w:rsidRPr="00C4084C" w:rsidRDefault="004A71C3" w:rsidP="000C393F">
      <w:pPr>
        <w:spacing w:after="0"/>
        <w:rPr>
          <w:rStyle w:val="normaltextrun"/>
        </w:rPr>
      </w:pPr>
    </w:p>
    <w:tbl>
      <w:tblPr>
        <w:tblW w:w="0" w:type="auto"/>
        <w:shd w:val="clear" w:color="auto" w:fill="FBE4D5"/>
        <w:tblLook w:val="04A0" w:firstRow="1" w:lastRow="0" w:firstColumn="1" w:lastColumn="0" w:noHBand="0" w:noVBand="1"/>
      </w:tblPr>
      <w:tblGrid>
        <w:gridCol w:w="9026"/>
      </w:tblGrid>
      <w:tr w:rsidR="008D0F8E" w:rsidRPr="00C4084C" w14:paraId="59CFCACC" w14:textId="77777777">
        <w:tc>
          <w:tcPr>
            <w:tcW w:w="9026" w:type="dxa"/>
            <w:shd w:val="clear" w:color="auto" w:fill="FFF4ED"/>
          </w:tcPr>
          <w:p w14:paraId="5C0AFCDD" w14:textId="77777777" w:rsidR="008D0F8E" w:rsidRPr="00C4084C" w:rsidRDefault="008D0F8E" w:rsidP="003E5969">
            <w:pPr>
              <w:pStyle w:val="Recsin-chapterL1"/>
              <w:framePr w:wrap="notBeside"/>
              <w:spacing w:after="0"/>
            </w:pPr>
            <w:r w:rsidRPr="00C4084C">
              <w:t>That implementation and transition planning should include a staged and managed approach to updating legislation that governs the sector:</w:t>
            </w:r>
          </w:p>
          <w:p w14:paraId="2C938074" w14:textId="77777777" w:rsidR="008D0F8E" w:rsidRPr="00C4084C" w:rsidRDefault="008D0F8E" w:rsidP="003E5969">
            <w:pPr>
              <w:pStyle w:val="Recsin-chapterL2"/>
              <w:spacing w:before="0" w:beforeAutospacing="0"/>
            </w:pPr>
            <w:r w:rsidRPr="00C4084C">
              <w:t xml:space="preserve">starting with those measures with most urgent impact that arise from the Review’s recommendations and most immediate implementation </w:t>
            </w:r>
            <w:proofErr w:type="gramStart"/>
            <w:r w:rsidRPr="00C4084C">
              <w:t>timelines</w:t>
            </w:r>
            <w:proofErr w:type="gramEnd"/>
          </w:p>
          <w:p w14:paraId="31B3B7A3" w14:textId="77777777" w:rsidR="008D0F8E" w:rsidRPr="00C4084C" w:rsidRDefault="008D0F8E" w:rsidP="003E5969">
            <w:pPr>
              <w:pStyle w:val="Recsin-chapterL2"/>
            </w:pPr>
            <w:r w:rsidRPr="00C4084C">
              <w:t>continuing to identify other features in legislation which require update and modernisation. In doing so, priorities should be:</w:t>
            </w:r>
          </w:p>
          <w:p w14:paraId="5698A55B" w14:textId="77777777" w:rsidR="008D0F8E" w:rsidRPr="00C4084C" w:rsidRDefault="008D0F8E" w:rsidP="003E5969">
            <w:pPr>
              <w:pStyle w:val="Recsin-chapterL3"/>
            </w:pPr>
            <w:r w:rsidRPr="00C4084C">
              <w:t xml:space="preserve">ensuring that the higher education sector is supporting students, carrying out research, and delivering the best outcomes for Australia, with legislative and regulatory settings that are modern and fit for </w:t>
            </w:r>
            <w:proofErr w:type="gramStart"/>
            <w:r w:rsidRPr="00C4084C">
              <w:t>purpose</w:t>
            </w:r>
            <w:proofErr w:type="gramEnd"/>
            <w:r w:rsidRPr="00C4084C">
              <w:t xml:space="preserve"> </w:t>
            </w:r>
          </w:p>
          <w:p w14:paraId="390C764A" w14:textId="77777777" w:rsidR="008D0F8E" w:rsidRPr="00C4084C" w:rsidRDefault="008D0F8E" w:rsidP="003E5969">
            <w:pPr>
              <w:pStyle w:val="Recsin-chapterL3"/>
            </w:pPr>
            <w:r w:rsidRPr="00C4084C">
              <w:t xml:space="preserve">identifying areas that are not adequately currently covered by legislation and developing strategies to work with the higher education sector to address these regulatory </w:t>
            </w:r>
            <w:proofErr w:type="gramStart"/>
            <w:r w:rsidRPr="00C4084C">
              <w:t>gaps</w:t>
            </w:r>
            <w:proofErr w:type="gramEnd"/>
            <w:r w:rsidRPr="00C4084C">
              <w:t xml:space="preserve"> </w:t>
            </w:r>
          </w:p>
          <w:p w14:paraId="2E22D3BE" w14:textId="36D6B850" w:rsidR="008D0F8E" w:rsidRPr="00C4084C" w:rsidRDefault="008D0F8E" w:rsidP="003E5969">
            <w:pPr>
              <w:pStyle w:val="Recsin-chapterL3"/>
            </w:pPr>
            <w:r w:rsidRPr="00C4084C">
              <w:t xml:space="preserve">addressing issues of fragmentation, </w:t>
            </w:r>
            <w:proofErr w:type="gramStart"/>
            <w:r w:rsidRPr="00C4084C">
              <w:t>duplication</w:t>
            </w:r>
            <w:proofErr w:type="gramEnd"/>
            <w:r w:rsidRPr="00C4084C">
              <w:t xml:space="preserve"> or unnecessary regulatory burden</w:t>
            </w:r>
          </w:p>
          <w:p w14:paraId="0921F838" w14:textId="77777777" w:rsidR="008D0F8E" w:rsidRPr="00C4084C" w:rsidRDefault="008D0F8E" w:rsidP="003E5969">
            <w:pPr>
              <w:pStyle w:val="Recsin-chapterL3"/>
            </w:pPr>
            <w:r w:rsidRPr="00C4084C">
              <w:t>recognising the interlinkages between the higher education and vocational education and training sectors</w:t>
            </w:r>
          </w:p>
          <w:p w14:paraId="773C27CD" w14:textId="77777777" w:rsidR="008D0F8E" w:rsidRPr="00C4084C" w:rsidDel="00882244" w:rsidRDefault="008D0F8E" w:rsidP="003E5969">
            <w:pPr>
              <w:pStyle w:val="Recsin-chapterL3"/>
            </w:pPr>
            <w:r w:rsidRPr="00C4084C">
              <w:t>encouraging continuous quality improvement in the higher education sector.</w:t>
            </w:r>
          </w:p>
        </w:tc>
      </w:tr>
    </w:tbl>
    <w:p w14:paraId="762F63C1" w14:textId="77777777" w:rsidR="004A71C3" w:rsidRPr="00C4084C" w:rsidRDefault="004A71C3" w:rsidP="000C393F">
      <w:pPr>
        <w:spacing w:after="0"/>
        <w:rPr>
          <w:rStyle w:val="normaltextrun"/>
        </w:rPr>
      </w:pPr>
    </w:p>
    <w:tbl>
      <w:tblPr>
        <w:tblW w:w="0" w:type="auto"/>
        <w:shd w:val="clear" w:color="auto" w:fill="FBE4D5"/>
        <w:tblLook w:val="04A0" w:firstRow="1" w:lastRow="0" w:firstColumn="1" w:lastColumn="0" w:noHBand="0" w:noVBand="1"/>
      </w:tblPr>
      <w:tblGrid>
        <w:gridCol w:w="9026"/>
      </w:tblGrid>
      <w:tr w:rsidR="00A100D1" w:rsidRPr="00C4084C" w14:paraId="674BAE3E" w14:textId="77777777">
        <w:tc>
          <w:tcPr>
            <w:tcW w:w="9026" w:type="dxa"/>
            <w:shd w:val="clear" w:color="auto" w:fill="FFF4ED"/>
          </w:tcPr>
          <w:p w14:paraId="6B552C36" w14:textId="5D2BC2EB" w:rsidR="00A100D1" w:rsidRPr="00C4084C" w:rsidRDefault="00A100D1" w:rsidP="003E5969">
            <w:pPr>
              <w:pStyle w:val="Recsin-chapterL1"/>
              <w:framePr w:wrap="notBeside"/>
              <w:spacing w:after="0"/>
            </w:pPr>
            <w:r w:rsidRPr="00C4084C">
              <w:t xml:space="preserve">That during the transition phase to a new funding model, universities be supported </w:t>
            </w:r>
            <w:r w:rsidRPr="00C4084C">
              <w:rPr>
                <w:rFonts w:eastAsia="Yu Gothic Light" w:cs="Times New Roman"/>
              </w:rPr>
              <w:t>through</w:t>
            </w:r>
            <w:r w:rsidRPr="00C4084C">
              <w:t xml:space="preserve"> a ‘glidepath’ to full policy implementation as they transition from the current funding system based on a fixed dollar amount (i.e. Maximum Basic Grant Amount – MBGA) to the new funding model </w:t>
            </w:r>
            <w:r w:rsidR="001F7FB0">
              <w:t>built</w:t>
            </w:r>
            <w:r w:rsidR="001F7FB0" w:rsidRPr="00C4084C">
              <w:t xml:space="preserve"> </w:t>
            </w:r>
            <w:r w:rsidRPr="00C4084C">
              <w:t>on EFTSL, discipline-based and needs-based funding.</w:t>
            </w:r>
          </w:p>
          <w:p w14:paraId="3D8E03A3" w14:textId="77777777" w:rsidR="00A100D1" w:rsidRPr="00C4084C" w:rsidRDefault="00A100D1">
            <w:pPr>
              <w:pStyle w:val="List"/>
              <w:numPr>
                <w:ilvl w:val="0"/>
                <w:numId w:val="0"/>
              </w:numPr>
              <w:ind w:left="397"/>
              <w:rPr>
                <w:sz w:val="12"/>
                <w:szCs w:val="12"/>
              </w:rPr>
            </w:pPr>
          </w:p>
          <w:p w14:paraId="0C2E4CF9" w14:textId="72E19AF1" w:rsidR="00A100D1" w:rsidRPr="00C4084C" w:rsidRDefault="00A100D1">
            <w:pPr>
              <w:pStyle w:val="List"/>
              <w:numPr>
                <w:ilvl w:val="0"/>
                <w:numId w:val="0"/>
              </w:numPr>
              <w:ind w:left="397"/>
            </w:pPr>
            <w:r w:rsidRPr="00C4084C">
              <w:t xml:space="preserve">Where current funding programs change, care should be taken to avoid </w:t>
            </w:r>
            <w:r w:rsidR="00E174E0">
              <w:t>affecting</w:t>
            </w:r>
            <w:r w:rsidR="00E174E0" w:rsidRPr="00C4084C">
              <w:t xml:space="preserve"> </w:t>
            </w:r>
            <w:r w:rsidRPr="00C4084C">
              <w:t>quality activities that are being delivered under current arrangements.</w:t>
            </w:r>
            <w:r w:rsidRPr="00C4084C" w:rsidDel="003F38E7">
              <w:t xml:space="preserve"> </w:t>
            </w:r>
          </w:p>
        </w:tc>
      </w:tr>
    </w:tbl>
    <w:p w14:paraId="56654F12" w14:textId="77777777" w:rsidR="004A71C3" w:rsidRPr="00C4084C" w:rsidRDefault="004A71C3" w:rsidP="000C393F">
      <w:pPr>
        <w:spacing w:after="0"/>
        <w:rPr>
          <w:rStyle w:val="normaltextrun"/>
        </w:rPr>
      </w:pPr>
    </w:p>
    <w:tbl>
      <w:tblPr>
        <w:tblStyle w:val="EDU-Basic"/>
        <w:tblW w:w="9064" w:type="dxa"/>
        <w:tblInd w:w="-5" w:type="dxa"/>
        <w:tblLook w:val="04A0" w:firstRow="1" w:lastRow="0" w:firstColumn="1" w:lastColumn="0" w:noHBand="0" w:noVBand="1"/>
      </w:tblPr>
      <w:tblGrid>
        <w:gridCol w:w="9064"/>
      </w:tblGrid>
      <w:tr w:rsidR="00CA16A6" w:rsidRPr="00C4084C" w14:paraId="51C85CBB" w14:textId="77777777" w:rsidTr="008C4411">
        <w:trPr>
          <w:cnfStyle w:val="100000000000" w:firstRow="1" w:lastRow="0" w:firstColumn="0" w:lastColumn="0" w:oddVBand="0" w:evenVBand="0" w:oddHBand="0" w:evenHBand="0" w:firstRowFirstColumn="0" w:firstRowLastColumn="0" w:lastRowFirstColumn="0" w:lastRowLastColumn="0"/>
          <w:trHeight w:val="1243"/>
        </w:trPr>
        <w:tc>
          <w:tcPr>
            <w:cnfStyle w:val="001000000000" w:firstRow="0" w:lastRow="0" w:firstColumn="1" w:lastColumn="0" w:oddVBand="0" w:evenVBand="0" w:oddHBand="0" w:evenHBand="0" w:firstRowFirstColumn="0" w:firstRowLastColumn="0" w:lastRowFirstColumn="0" w:lastRowLastColumn="0"/>
            <w:tcW w:w="9064" w:type="dxa"/>
            <w:tcBorders>
              <w:top w:val="nil"/>
              <w:left w:val="nil"/>
              <w:bottom w:val="nil"/>
              <w:right w:val="nil"/>
            </w:tcBorders>
            <w:shd w:val="clear" w:color="auto" w:fill="FFF4ED"/>
          </w:tcPr>
          <w:p w14:paraId="103EBC3E" w14:textId="77777777" w:rsidR="00CA16A6" w:rsidRPr="00C4084C" w:rsidRDefault="00CA16A6" w:rsidP="003E5969">
            <w:pPr>
              <w:pStyle w:val="Recsin-chapterL1"/>
              <w:framePr w:wrap="notBeside"/>
            </w:pPr>
            <w:r w:rsidRPr="00C4084C">
              <w:lastRenderedPageBreak/>
              <w:t xml:space="preserve">That to provide transparency and predictability for the tertiary education sector in recognition of the </w:t>
            </w:r>
            <w:r w:rsidRPr="00C4084C">
              <w:rPr>
                <w:rStyle w:val="normaltextrun"/>
              </w:rPr>
              <w:t>Review’s</w:t>
            </w:r>
            <w:r w:rsidRPr="00C4084C">
              <w:t xml:space="preserve"> ambition for lasting reform, the Australian Government outline a staged approach to implementation of the Review’s recommendations.</w:t>
            </w:r>
          </w:p>
        </w:tc>
      </w:tr>
    </w:tbl>
    <w:p w14:paraId="2671200D" w14:textId="77777777" w:rsidR="00247674" w:rsidRDefault="00247674" w:rsidP="000C393F">
      <w:pPr>
        <w:sectPr w:rsidR="00247674" w:rsidSect="00134415">
          <w:headerReference w:type="even" r:id="rId158"/>
          <w:headerReference w:type="default" r:id="rId159"/>
          <w:headerReference w:type="first" r:id="rId160"/>
          <w:pgSz w:w="11906" w:h="16838" w:code="9"/>
          <w:pgMar w:top="1225" w:right="1440" w:bottom="1440" w:left="1440" w:header="709" w:footer="709" w:gutter="0"/>
          <w:cols w:space="708"/>
          <w:titlePg/>
          <w:docGrid w:linePitch="360"/>
        </w:sectPr>
      </w:pPr>
    </w:p>
    <w:p w14:paraId="7DA89FFD" w14:textId="15C54803" w:rsidR="00CA2AD7" w:rsidRPr="00C4084C" w:rsidRDefault="007B321E" w:rsidP="00CA2AD7">
      <w:pPr>
        <w:pStyle w:val="Non-numberedHeading2"/>
      </w:pPr>
      <w:bookmarkStart w:id="1626" w:name="_Toc150964397"/>
      <w:bookmarkStart w:id="1627" w:name="_Toc159501037"/>
      <w:r w:rsidRPr="00C4084C">
        <w:lastRenderedPageBreak/>
        <w:t>Appendix A</w:t>
      </w:r>
      <w:r w:rsidR="003E1A2E" w:rsidRPr="00C4084C">
        <w:t xml:space="preserve"> – </w:t>
      </w:r>
      <w:r w:rsidRPr="00C4084C">
        <w:t>Terms of Reference</w:t>
      </w:r>
      <w:bookmarkEnd w:id="1626"/>
      <w:bookmarkEnd w:id="1627"/>
    </w:p>
    <w:p w14:paraId="490EA77E" w14:textId="77777777" w:rsidR="00CA2AD7" w:rsidRPr="00C4084C" w:rsidRDefault="00CA2AD7" w:rsidP="00CA2AD7">
      <w:pPr>
        <w:pStyle w:val="Non-numberedHeading3"/>
      </w:pPr>
      <w:r w:rsidRPr="00C4084C">
        <w:t>Purpose of the review</w:t>
      </w:r>
    </w:p>
    <w:p w14:paraId="523C6CE8" w14:textId="77777777" w:rsidR="00CA2AD7" w:rsidRPr="00C4084C" w:rsidRDefault="00CA2AD7" w:rsidP="000C393F">
      <w:r w:rsidRPr="00C4084C">
        <w:t xml:space="preserve">The Australian Government has committed to establish an Australian Universities Accord to drive lasting reform in Australia’s higher education system. The Accord is a review (the Review) of Australia’s higher education system, led by the Minister for Education with advice from a panel of eminent Australians (the Panel). </w:t>
      </w:r>
    </w:p>
    <w:p w14:paraId="732ADBD7" w14:textId="77777777" w:rsidR="00CA2AD7" w:rsidRPr="00C4084C" w:rsidRDefault="00CA2AD7" w:rsidP="000C393F">
      <w:r w:rsidRPr="00C4084C">
        <w:t xml:space="preserve">The Panel will make recommendations for government, the </w:t>
      </w:r>
      <w:proofErr w:type="gramStart"/>
      <w:r w:rsidRPr="00C4084C">
        <w:t>sector</w:t>
      </w:r>
      <w:proofErr w:type="gramEnd"/>
      <w:r w:rsidRPr="00C4084C">
        <w:t xml:space="preserve"> and other relevant stakeholders to deliver a higher education system that meets the current and future needs of the nation, and targets to achieve this. The Panel will report to the Minister for Education, providing an interim report on priority actions by June 2023, with a final report to be delivered by December 2023.</w:t>
      </w:r>
    </w:p>
    <w:p w14:paraId="4E40C5F5" w14:textId="77777777" w:rsidR="00CA2AD7" w:rsidRPr="00C4084C" w:rsidRDefault="00CA2AD7" w:rsidP="00CA2AD7">
      <w:pPr>
        <w:pStyle w:val="Non-numberedHeading3"/>
      </w:pPr>
      <w:r w:rsidRPr="00C4084C">
        <w:t>Key areas for review</w:t>
      </w:r>
    </w:p>
    <w:p w14:paraId="25F735C7" w14:textId="77777777" w:rsidR="00CA2AD7" w:rsidRPr="00C4084C" w:rsidRDefault="00CA2AD7" w:rsidP="00CA2AD7">
      <w:pPr>
        <w:pStyle w:val="CaseStudy-Heading"/>
      </w:pPr>
      <w:r w:rsidRPr="00C4084C">
        <w:t>1. Meeting Australia’s knowledge and skills needs, now and in the future</w:t>
      </w:r>
    </w:p>
    <w:p w14:paraId="17D6CABE" w14:textId="77777777" w:rsidR="00CA2AD7" w:rsidRPr="00C4084C" w:rsidRDefault="00CA2AD7" w:rsidP="000C393F">
      <w:r w:rsidRPr="00C4084C">
        <w:t>Enhance the delivery of quality education that meets the needs of students across all stages of lifelong learning and develops the skills needed now, and in the future. This will include recommendations for new targets and reforms recognising that more than 9 in</w:t>
      </w:r>
      <w:r w:rsidRPr="00C4084C" w:rsidDel="00D16150">
        <w:t xml:space="preserve"> </w:t>
      </w:r>
      <w:r w:rsidRPr="00C4084C">
        <w:t xml:space="preserve">10 new jobs will require post-school qualifications, and fifty per cent of new jobs are expected to require a </w:t>
      </w:r>
      <w:proofErr w:type="gramStart"/>
      <w:r w:rsidRPr="00C4084C">
        <w:t>bachelor</w:t>
      </w:r>
      <w:proofErr w:type="gramEnd"/>
      <w:r w:rsidRPr="00C4084C">
        <w:t xml:space="preserve"> degree or higher.</w:t>
      </w:r>
    </w:p>
    <w:p w14:paraId="262C9E63" w14:textId="77777777" w:rsidR="00CA2AD7" w:rsidRPr="00C4084C" w:rsidRDefault="00CA2AD7" w:rsidP="00CA2AD7">
      <w:pPr>
        <w:pStyle w:val="CaseStudy-Heading"/>
      </w:pPr>
      <w:r w:rsidRPr="00C4084C">
        <w:t xml:space="preserve">2. Access and opportunity </w:t>
      </w:r>
    </w:p>
    <w:p w14:paraId="18C4FAC2" w14:textId="77777777" w:rsidR="00CA2AD7" w:rsidRPr="00C4084C" w:rsidRDefault="00CA2AD7" w:rsidP="000C393F">
      <w:r w:rsidRPr="00C4084C">
        <w:t>Improve access to higher education, across teaching, learning and research. This will include recommendations for new targets and reforms to support greater access and participation for students from under-represented backgrounds (including First Nations Australians, those from low socio-economic backgrounds, people with disability, and regional and rural Australians).</w:t>
      </w:r>
    </w:p>
    <w:p w14:paraId="57D4A031" w14:textId="77777777" w:rsidR="00CA2AD7" w:rsidRPr="00C4084C" w:rsidRDefault="00CA2AD7" w:rsidP="00CA2AD7">
      <w:pPr>
        <w:pStyle w:val="CaseStudy-Heading"/>
      </w:pPr>
      <w:r w:rsidRPr="00C4084C">
        <w:t>3. Investment and affordability</w:t>
      </w:r>
    </w:p>
    <w:p w14:paraId="13126F17" w14:textId="77777777" w:rsidR="00CA2AD7" w:rsidRPr="00C4084C" w:rsidRDefault="00CA2AD7" w:rsidP="000C393F">
      <w:r w:rsidRPr="00C4084C">
        <w:t xml:space="preserve">Explore funding and contribution arrangements that deliver equity, access, </w:t>
      </w:r>
      <w:proofErr w:type="gramStart"/>
      <w:r w:rsidRPr="00C4084C">
        <w:t>quality</w:t>
      </w:r>
      <w:proofErr w:type="gramEnd"/>
      <w:r w:rsidRPr="00C4084C">
        <w:t xml:space="preserve"> and longer-term investments to meet priorities in teaching, research, workforce and infrastructure. This will include a review of the Job-ready Graduates Package.</w:t>
      </w:r>
    </w:p>
    <w:p w14:paraId="453C7F6D" w14:textId="77777777" w:rsidR="00CA2AD7" w:rsidRPr="00C4084C" w:rsidRDefault="00CA2AD7" w:rsidP="00CA2AD7">
      <w:pPr>
        <w:pStyle w:val="CaseStudy-Heading"/>
      </w:pPr>
      <w:r w:rsidRPr="00C4084C">
        <w:t xml:space="preserve">4. Governance, </w:t>
      </w:r>
      <w:proofErr w:type="gramStart"/>
      <w:r w:rsidRPr="00C4084C">
        <w:t>accountability</w:t>
      </w:r>
      <w:proofErr w:type="gramEnd"/>
      <w:r w:rsidRPr="00C4084C">
        <w:t xml:space="preserve"> and community </w:t>
      </w:r>
    </w:p>
    <w:p w14:paraId="3CF149AC" w14:textId="77777777" w:rsidR="00CA2AD7" w:rsidRPr="00C4084C" w:rsidRDefault="00CA2AD7" w:rsidP="000C393F">
      <w:r w:rsidRPr="00C4084C">
        <w:t xml:space="preserve">Enhance regulatory and workplace relations settings to support universities to meet their obligations to both staff and students. </w:t>
      </w:r>
    </w:p>
    <w:p w14:paraId="0FA4137E" w14:textId="77777777" w:rsidR="00CA2AD7" w:rsidRPr="00C4084C" w:rsidRDefault="00CA2AD7" w:rsidP="000C393F">
      <w:r w:rsidRPr="00C4084C">
        <w:t>Explore the contribution that higher education makes to the Australian community, national security, and sovereign capability.</w:t>
      </w:r>
    </w:p>
    <w:p w14:paraId="248C919B" w14:textId="77777777" w:rsidR="00CA2AD7" w:rsidRPr="00C4084C" w:rsidRDefault="00CA2AD7" w:rsidP="00CA2AD7">
      <w:pPr>
        <w:pStyle w:val="CaseStudy-Heading"/>
      </w:pPr>
      <w:r w:rsidRPr="00C4084C">
        <w:t>5. The connection between the vocational education and training and higher education systems</w:t>
      </w:r>
    </w:p>
    <w:p w14:paraId="3FBAB010" w14:textId="77777777" w:rsidR="00CA2AD7" w:rsidRPr="00C4084C" w:rsidRDefault="00CA2AD7" w:rsidP="000C393F">
      <w:r w:rsidRPr="00C4084C">
        <w:t xml:space="preserve">Explore possible opportunities to support greater engagement and alignment between the vocational education and training (VET) and higher education systems. In particular, the panel will </w:t>
      </w:r>
      <w:r w:rsidRPr="00C4084C">
        <w:lastRenderedPageBreak/>
        <w:t>have regard to the experience of students in navigating these systems and ensuring a cohesive and connected tertiary education system.</w:t>
      </w:r>
    </w:p>
    <w:p w14:paraId="78013DF6" w14:textId="77777777" w:rsidR="00CA2AD7" w:rsidRPr="00C4084C" w:rsidRDefault="00CA2AD7" w:rsidP="00CA2AD7">
      <w:pPr>
        <w:pStyle w:val="CaseStudy-Heading"/>
        <w:keepNext/>
      </w:pPr>
      <w:r w:rsidRPr="00C4084C">
        <w:t xml:space="preserve">6. Quality and sustainability </w:t>
      </w:r>
    </w:p>
    <w:p w14:paraId="62B2F2A3" w14:textId="77777777" w:rsidR="00CA2AD7" w:rsidRPr="00C4084C" w:rsidRDefault="00CA2AD7" w:rsidP="000C393F">
      <w:r w:rsidRPr="00C4084C">
        <w:t xml:space="preserve">Examine the challenges faced by domestic and international students and staff due to the </w:t>
      </w:r>
      <w:r w:rsidRPr="00C4084C">
        <w:br/>
        <w:t xml:space="preserve">COVID-19 pandemic and the temporary and permanent impacts on the way the higher education sector works. </w:t>
      </w:r>
    </w:p>
    <w:p w14:paraId="06134331" w14:textId="77777777" w:rsidR="00CA2AD7" w:rsidRPr="00C4084C" w:rsidRDefault="00CA2AD7" w:rsidP="000C393F">
      <w:r w:rsidRPr="00C4084C">
        <w:t>Support a competitive and resilient international education sector, reflecting the important role international students play in our society and economy, and Australia’s interest in deepening partnerships abroad.</w:t>
      </w:r>
    </w:p>
    <w:p w14:paraId="2C055876" w14:textId="77777777" w:rsidR="00CA2AD7" w:rsidRPr="00C4084C" w:rsidRDefault="00CA2AD7" w:rsidP="00CA2AD7">
      <w:pPr>
        <w:pStyle w:val="CaseStudy-Heading"/>
      </w:pPr>
      <w:r w:rsidRPr="00C4084C">
        <w:t xml:space="preserve">7. Delivering new knowledge, </w:t>
      </w:r>
      <w:proofErr w:type="gramStart"/>
      <w:r w:rsidRPr="00C4084C">
        <w:t>innovation</w:t>
      </w:r>
      <w:proofErr w:type="gramEnd"/>
      <w:r w:rsidRPr="00C4084C">
        <w:t xml:space="preserve"> and capability</w:t>
      </w:r>
    </w:p>
    <w:p w14:paraId="641F8068" w14:textId="77777777" w:rsidR="00CA2AD7" w:rsidRPr="00C4084C" w:rsidRDefault="00CA2AD7" w:rsidP="000C393F">
      <w:r w:rsidRPr="00C4084C">
        <w:t>Support a system of university research that delivers for Australia, securing the future of the Australian research pipeline, from basic and translational research to commercialisation. In doing so, the Accord will explore relevant initiatives and other opportunities and to further boost collaboration between universities and industry to drive greater commercial returns.</w:t>
      </w:r>
    </w:p>
    <w:p w14:paraId="278DF1F2" w14:textId="77777777" w:rsidR="00CA2AD7" w:rsidRPr="00C4084C" w:rsidRDefault="00CA2AD7" w:rsidP="000C393F">
      <w:r w:rsidRPr="00C4084C">
        <w:t>The review will synchronise with the ARC review and consider issues raised through that review and other areas of government that impact on the capacity of the higher education system to meet the nation’s current and future needs.</w:t>
      </w:r>
    </w:p>
    <w:p w14:paraId="0B87946E" w14:textId="77777777" w:rsidR="00CA2AD7" w:rsidRPr="00C4084C" w:rsidRDefault="00CA2AD7" w:rsidP="00CA2AD7">
      <w:pPr>
        <w:pStyle w:val="CaseStudy-Heading"/>
      </w:pPr>
      <w:r w:rsidRPr="00C4084C">
        <w:t>Consultation</w:t>
      </w:r>
    </w:p>
    <w:p w14:paraId="67F16425" w14:textId="77777777" w:rsidR="0067026A" w:rsidRDefault="00CA2AD7" w:rsidP="004406D4">
      <w:pPr>
        <w:sectPr w:rsidR="0067026A" w:rsidSect="00134415">
          <w:headerReference w:type="even" r:id="rId161"/>
          <w:headerReference w:type="first" r:id="rId162"/>
          <w:pgSz w:w="11906" w:h="16838" w:code="9"/>
          <w:pgMar w:top="1225" w:right="1440" w:bottom="1440" w:left="1440" w:header="709" w:footer="709" w:gutter="0"/>
          <w:cols w:space="708"/>
          <w:titlePg/>
          <w:docGrid w:linePitch="360"/>
        </w:sectPr>
      </w:pPr>
      <w:r w:rsidRPr="00C4084C">
        <w:t xml:space="preserve">The </w:t>
      </w:r>
      <w:r w:rsidR="006F5E53">
        <w:t>P</w:t>
      </w:r>
      <w:r w:rsidRPr="00C4084C">
        <w:t>anel will engage across all sectors and groups affected by higher education policy. This will include but is not limited to universities, higher education and VET providers, educators and researchers, students, parents, unions, business, state and territory governments and groups who have been under-represented in higher education. A key aim of the consultation process will be to ensure the voices of First Nations Australians and people from under-represented groups are heard and reflected in the interim and final report.</w:t>
      </w:r>
    </w:p>
    <w:p w14:paraId="7F77FD04" w14:textId="77777777" w:rsidR="00CA2AD7" w:rsidRPr="00C4084C" w:rsidRDefault="00CA2AD7" w:rsidP="0067026A">
      <w:pPr>
        <w:pStyle w:val="Non-numberedHeading2"/>
      </w:pPr>
      <w:bookmarkStart w:id="1628" w:name="_Toc159501038"/>
      <w:r w:rsidRPr="00C4084C">
        <w:lastRenderedPageBreak/>
        <w:t>Appendix B – Australian Universities Accord Panel members</w:t>
      </w:r>
      <w:bookmarkEnd w:id="1628"/>
      <w:r w:rsidRPr="00C4084C">
        <w:t xml:space="preserve"> </w:t>
      </w:r>
    </w:p>
    <w:p w14:paraId="3932892D" w14:textId="77777777" w:rsidR="00CA2AD7" w:rsidRPr="00C4084C" w:rsidRDefault="00CA2AD7" w:rsidP="00C854A2">
      <w:pPr>
        <w:pStyle w:val="Non-numberedheading5"/>
      </w:pPr>
      <w:r w:rsidRPr="00C4084C">
        <w:t>Professor Mary O’Kane AC (Chair)</w:t>
      </w:r>
    </w:p>
    <w:p w14:paraId="62C54D9A" w14:textId="77777777" w:rsidR="00CA2AD7" w:rsidRPr="00C4084C" w:rsidRDefault="00CA2AD7" w:rsidP="00CA2AD7">
      <w:pPr>
        <w:rPr>
          <w:rFonts w:cs="Arial"/>
        </w:rPr>
      </w:pPr>
      <w:r w:rsidRPr="00C4084C">
        <w:rPr>
          <w:rFonts w:eastAsia="Calibri" w:cs="Arial"/>
        </w:rPr>
        <w:t>Professor Mary O’Kane AC is a company director and Executive Chairman of O’Kane Associates, a Sydney-based consulting practice specialising in government reviews. She has been Chair of the NSW Independent Planning Commission since 2018. She was NSW Chief Scientist &amp; Engineer from 2008–2018; Vice-Chancellor of the University of Adelaide from 1996–2001; Deputy Vice-Chancellor (Research) at Adelaide from 1994–1996; and Dean of the Faculty of Information Sciences &amp; Engineering at the University of Canberra from 1990–94.</w:t>
      </w:r>
    </w:p>
    <w:p w14:paraId="463EE702" w14:textId="6DBE954F" w:rsidR="00CA2AD7" w:rsidRPr="00C4084C" w:rsidRDefault="0074563B" w:rsidP="00CA2AD7">
      <w:pPr>
        <w:rPr>
          <w:rFonts w:cs="Arial"/>
        </w:rPr>
      </w:pPr>
      <w:r>
        <w:rPr>
          <w:rFonts w:eastAsia="Calibri" w:cs="Arial"/>
        </w:rPr>
        <w:t>Professor O’Kane</w:t>
      </w:r>
      <w:r w:rsidRPr="00C4084C">
        <w:rPr>
          <w:rFonts w:eastAsia="Calibri" w:cs="Arial"/>
        </w:rPr>
        <w:t xml:space="preserve"> </w:t>
      </w:r>
      <w:r w:rsidR="00CA2AD7" w:rsidRPr="00C4084C">
        <w:rPr>
          <w:rFonts w:eastAsia="Calibri" w:cs="Arial"/>
        </w:rPr>
        <w:t xml:space="preserve">has served on several boards and committees in the public and private sectors, especially related to innovation, education, energy, engineering, health, Antarctica, </w:t>
      </w:r>
      <w:proofErr w:type="gramStart"/>
      <w:r w:rsidR="00CA2AD7" w:rsidRPr="00C4084C">
        <w:rPr>
          <w:rFonts w:eastAsia="Calibri" w:cs="Arial"/>
        </w:rPr>
        <w:t>ICT</w:t>
      </w:r>
      <w:proofErr w:type="gramEnd"/>
      <w:r w:rsidR="00CA2AD7" w:rsidRPr="00C4084C">
        <w:rPr>
          <w:rFonts w:eastAsia="Calibri" w:cs="Arial"/>
        </w:rPr>
        <w:t xml:space="preserve"> and research. She is currently Chair of the Boards of Aurora Energy, Museums of History NSW, the Institute of Marine and Antarctic Studies at </w:t>
      </w:r>
      <w:r w:rsidR="0045690C">
        <w:rPr>
          <w:rFonts w:eastAsia="Calibri" w:cs="Arial"/>
        </w:rPr>
        <w:t xml:space="preserve">the </w:t>
      </w:r>
      <w:r w:rsidR="00CA2AD7" w:rsidRPr="00C4084C">
        <w:rPr>
          <w:rFonts w:eastAsia="Calibri" w:cs="Arial"/>
        </w:rPr>
        <w:t>U</w:t>
      </w:r>
      <w:r w:rsidR="0045690C">
        <w:rPr>
          <w:rFonts w:eastAsia="Calibri" w:cs="Arial"/>
        </w:rPr>
        <w:t xml:space="preserve">niversity of </w:t>
      </w:r>
      <w:r w:rsidR="00CA2AD7" w:rsidRPr="00C4084C">
        <w:rPr>
          <w:rFonts w:eastAsia="Calibri" w:cs="Arial"/>
        </w:rPr>
        <w:t>Tas</w:t>
      </w:r>
      <w:r w:rsidR="00134BFE">
        <w:rPr>
          <w:rFonts w:eastAsia="Calibri" w:cs="Arial"/>
        </w:rPr>
        <w:t>mania</w:t>
      </w:r>
      <w:r w:rsidR="00CA2AD7" w:rsidRPr="00C4084C">
        <w:rPr>
          <w:rFonts w:eastAsia="Calibri" w:cs="Arial"/>
        </w:rPr>
        <w:t xml:space="preserve">, the Australian Centre for Excellence in Antarctic Science, and Sydney Health Partners, and is a member of the boards of AEMO Services Ltd and the </w:t>
      </w:r>
      <w:proofErr w:type="spellStart"/>
      <w:r w:rsidR="00CA2AD7" w:rsidRPr="00C4084C">
        <w:rPr>
          <w:rFonts w:eastAsia="Calibri" w:cs="Arial"/>
        </w:rPr>
        <w:t>Silver</w:t>
      </w:r>
      <w:r w:rsidR="003A29D8">
        <w:rPr>
          <w:rFonts w:eastAsia="Calibri" w:cs="Arial"/>
        </w:rPr>
        <w:t>C</w:t>
      </w:r>
      <w:r w:rsidR="00CA2AD7" w:rsidRPr="00C4084C">
        <w:rPr>
          <w:rFonts w:eastAsia="Calibri" w:cs="Arial"/>
        </w:rPr>
        <w:t>hain</w:t>
      </w:r>
      <w:proofErr w:type="spellEnd"/>
      <w:r w:rsidR="00CA2AD7" w:rsidRPr="00C4084C">
        <w:rPr>
          <w:rFonts w:eastAsia="Calibri" w:cs="Arial"/>
        </w:rPr>
        <w:t xml:space="preserve"> Group. </w:t>
      </w:r>
    </w:p>
    <w:p w14:paraId="76311E4D" w14:textId="77777777" w:rsidR="00CA2AD7" w:rsidRPr="00C4084C" w:rsidRDefault="00CA2AD7" w:rsidP="00C854A2">
      <w:pPr>
        <w:pStyle w:val="Non-numberedheading5"/>
      </w:pPr>
      <w:r w:rsidRPr="00C4084C">
        <w:t>Distinguished Professor Larissa Behrendt AO (Member)</w:t>
      </w:r>
    </w:p>
    <w:p w14:paraId="5564635C" w14:textId="77777777" w:rsidR="00CA2AD7" w:rsidRPr="00C4084C" w:rsidRDefault="00CA2AD7" w:rsidP="00CA2AD7">
      <w:r w:rsidRPr="00C4084C">
        <w:t xml:space="preserve">Distinguished Professor Larissa Behrendt AO is a </w:t>
      </w:r>
      <w:proofErr w:type="spellStart"/>
      <w:r w:rsidRPr="00C4084C">
        <w:t>Eualayai</w:t>
      </w:r>
      <w:proofErr w:type="spellEnd"/>
      <w:r w:rsidRPr="00C4084C">
        <w:t>/</w:t>
      </w:r>
      <w:proofErr w:type="spellStart"/>
      <w:r w:rsidRPr="00C4084C">
        <w:t>Gamillaroi</w:t>
      </w:r>
      <w:proofErr w:type="spellEnd"/>
      <w:r w:rsidRPr="00C4084C">
        <w:t xml:space="preserve"> woman and Laureate Fellow at the Jumbunna Institute of Indigenous Education and Research at the University of Technology, Sydney. She is a graduate of the UNSW Law School and has a Masters and Doctor of Juridical Science from Harvard Law School. She is a Fellow of the Academy of Social Sciences in Australia, a Fellow of the Australian Academy of Humanities and a founding member of the Australian Academy of Law and has published numerous textbooks on First Nations legal issues. </w:t>
      </w:r>
    </w:p>
    <w:p w14:paraId="0744B623" w14:textId="77777777" w:rsidR="00CA2AD7" w:rsidRPr="00C4084C" w:rsidRDefault="00CA2AD7" w:rsidP="00CA2AD7">
      <w:r w:rsidRPr="00C4084C">
        <w:t xml:space="preserve">Professor Behrendt won the 2002 David </w:t>
      </w:r>
      <w:proofErr w:type="spellStart"/>
      <w:r w:rsidRPr="00C4084C">
        <w:t>Uniapon</w:t>
      </w:r>
      <w:proofErr w:type="spellEnd"/>
      <w:r w:rsidRPr="00C4084C">
        <w:t xml:space="preserve"> Award and a 2005 Commonwealth Writer’s Prize for her novel </w:t>
      </w:r>
      <w:r w:rsidRPr="00C4084C">
        <w:rPr>
          <w:i/>
        </w:rPr>
        <w:t>Home</w:t>
      </w:r>
      <w:r w:rsidRPr="00C4084C">
        <w:t xml:space="preserve">. Her second novel, </w:t>
      </w:r>
      <w:r w:rsidRPr="00C4084C">
        <w:rPr>
          <w:i/>
        </w:rPr>
        <w:t>Legacy</w:t>
      </w:r>
      <w:r w:rsidRPr="00C4084C">
        <w:t xml:space="preserve">, won a Victorian Premiers Literary Award. Her most recent novel is </w:t>
      </w:r>
      <w:r w:rsidRPr="00C4084C">
        <w:rPr>
          <w:i/>
        </w:rPr>
        <w:t>After Story</w:t>
      </w:r>
      <w:r w:rsidRPr="00C4084C">
        <w:t xml:space="preserve"> (2016, UQP). Professor Behrendt is an award-winning filmmaker. She won the 2018 Australian Directors Guild Award for best Direction of a Documentary Film for </w:t>
      </w:r>
      <w:r w:rsidRPr="00C4084C">
        <w:rPr>
          <w:i/>
        </w:rPr>
        <w:t>After the Apology</w:t>
      </w:r>
      <w:r w:rsidRPr="00C4084C">
        <w:t xml:space="preserve"> and the 2020 AACTA for Best Direction in Factual Television for her documentary, </w:t>
      </w:r>
      <w:r w:rsidRPr="00C4084C">
        <w:rPr>
          <w:i/>
        </w:rPr>
        <w:t xml:space="preserve">Maralinga </w:t>
      </w:r>
      <w:proofErr w:type="spellStart"/>
      <w:r w:rsidRPr="00C4084C">
        <w:rPr>
          <w:i/>
        </w:rPr>
        <w:t>Tjarutja</w:t>
      </w:r>
      <w:proofErr w:type="spellEnd"/>
      <w:r w:rsidRPr="00C4084C">
        <w:t xml:space="preserve">. </w:t>
      </w:r>
    </w:p>
    <w:p w14:paraId="720C1DE6" w14:textId="77777777" w:rsidR="00CA2AD7" w:rsidRPr="00C4084C" w:rsidRDefault="00CA2AD7" w:rsidP="00CA2AD7">
      <w:r w:rsidRPr="00C4084C">
        <w:t xml:space="preserve">Professor Behrendt is a trustee of the Australian Museum, Chair of the Cathy Freeman Foundation, now Community Spirit Foundation, Chair of Creative Australia’s First Nations Arts and Culture Strategy Panel, a board member of the National Justice Project and a Director of Sydney Dance Company. She is a former Chair and Board Member of the </w:t>
      </w:r>
      <w:proofErr w:type="spellStart"/>
      <w:r w:rsidRPr="00C4084C">
        <w:t>Bangarra</w:t>
      </w:r>
      <w:proofErr w:type="spellEnd"/>
      <w:r w:rsidRPr="00C4084C">
        <w:t xml:space="preserve"> Dance Theatre and has previously held board positions on the Museum of Contemporary Art, Sydney Festival, Sydney Writers </w:t>
      </w:r>
      <w:proofErr w:type="gramStart"/>
      <w:r w:rsidRPr="00C4084C">
        <w:t>Festival</w:t>
      </w:r>
      <w:proofErr w:type="gramEnd"/>
      <w:r w:rsidRPr="00C4084C">
        <w:t xml:space="preserve"> and the Sydney Community Fund. With Lindon Coombes, Professor Behrendt co-authored the </w:t>
      </w:r>
      <w:r w:rsidRPr="00C4084C">
        <w:rPr>
          <w:i/>
        </w:rPr>
        <w:t>Do Better</w:t>
      </w:r>
      <w:r w:rsidRPr="00C4084C">
        <w:t xml:space="preserve"> report for the Collingwood Football Club. She chaired the 2011 review of Indigenous Higher Education. Distinguished Professor Behrendt was awarded the 2009 NAIDOC Person of the Year award and 2011 NSW Australian of the Year. She was awarded an Order of Australia for her work in First Nations education, the </w:t>
      </w:r>
      <w:proofErr w:type="gramStart"/>
      <w:r w:rsidRPr="00C4084C">
        <w:t>law</w:t>
      </w:r>
      <w:proofErr w:type="gramEnd"/>
      <w:r w:rsidRPr="00C4084C">
        <w:t xml:space="preserve"> and the arts. Professor Behrendt received the Human Rights Medal 2021 from the Australian Human Rights Commission. She is the host of Speaking Out on ABC Radio.</w:t>
      </w:r>
    </w:p>
    <w:p w14:paraId="3F188A67" w14:textId="77777777" w:rsidR="0074563B" w:rsidRDefault="0074563B" w:rsidP="000C393F"/>
    <w:p w14:paraId="55E401CE" w14:textId="6FA8F053" w:rsidR="00CA2AD7" w:rsidRPr="00C4084C" w:rsidRDefault="00CA2AD7" w:rsidP="00C854A2">
      <w:pPr>
        <w:pStyle w:val="Non-numberedheading5"/>
      </w:pPr>
      <w:r w:rsidRPr="00C4084C">
        <w:t>Mr Tony Cook PSM (Member ex-officio – December 2022 to April 2023)</w:t>
      </w:r>
    </w:p>
    <w:p w14:paraId="2726226A" w14:textId="77777777" w:rsidR="00CA2AD7" w:rsidRPr="00C4084C" w:rsidRDefault="00CA2AD7" w:rsidP="00CA2AD7">
      <w:r w:rsidRPr="00C4084C">
        <w:t xml:space="preserve">Mr Tony Cook PSM was appointed in December 2022 as an ex-officio member as Deputy Secretary, Higher Education, International and Research, Australian Government Department of Education. </w:t>
      </w:r>
    </w:p>
    <w:p w14:paraId="7D030988" w14:textId="4372EE3C" w:rsidR="00CA2AD7" w:rsidRPr="00C4084C" w:rsidRDefault="00CA2AD7" w:rsidP="00CA2AD7">
      <w:r w:rsidRPr="00C4084C">
        <w:t xml:space="preserve">Mr Cook served in this role as member ex-officio until he was appointed as Secretary </w:t>
      </w:r>
      <w:r w:rsidR="00951C33">
        <w:t>of</w:t>
      </w:r>
      <w:r w:rsidRPr="00C4084C">
        <w:t xml:space="preserve"> the Australian Government Department of Education in April 2023.</w:t>
      </w:r>
    </w:p>
    <w:p w14:paraId="78919C1E" w14:textId="77777777" w:rsidR="00CA2AD7" w:rsidRPr="00C4084C" w:rsidRDefault="00CA2AD7" w:rsidP="00C854A2">
      <w:pPr>
        <w:pStyle w:val="Non-numberedheading5"/>
      </w:pPr>
      <w:r w:rsidRPr="00C4084C">
        <w:t>Professor Barney Glover AO (Member)</w:t>
      </w:r>
    </w:p>
    <w:p w14:paraId="051F1287" w14:textId="4D0358AD" w:rsidR="00CA2AD7" w:rsidRPr="00C4084C" w:rsidRDefault="00CA2AD7" w:rsidP="00CA2AD7">
      <w:pPr>
        <w:rPr>
          <w:rFonts w:cs="Arial"/>
        </w:rPr>
      </w:pPr>
      <w:r w:rsidRPr="00C4084C">
        <w:rPr>
          <w:rFonts w:cs="Arial"/>
        </w:rPr>
        <w:t>Professor Barney Glover AO is the fourth Vice-Chancellor and President of Western Sydney University. He assumed this position in January 2014.</w:t>
      </w:r>
    </w:p>
    <w:p w14:paraId="1416809D" w14:textId="77777777" w:rsidR="00CA2AD7" w:rsidRPr="00C4084C" w:rsidRDefault="00CA2AD7" w:rsidP="00CA2AD7">
      <w:pPr>
        <w:rPr>
          <w:rFonts w:cs="Arial"/>
        </w:rPr>
      </w:pPr>
      <w:r w:rsidRPr="00C4084C">
        <w:rPr>
          <w:rFonts w:cs="Arial"/>
        </w:rPr>
        <w:t xml:space="preserve">Professor Glover is currently the Australian Government representative on the University of the South Pacific Grants Committee, Chair of the Quality Indicators for Learning and Teaching Working Group, and the Australia-based Patron of the Association for Tertiary Education Management (ATEM). He is a Board member of </w:t>
      </w:r>
      <w:proofErr w:type="spellStart"/>
      <w:r w:rsidRPr="00C4084C">
        <w:rPr>
          <w:rFonts w:cs="Arial"/>
        </w:rPr>
        <w:t>AARNet</w:t>
      </w:r>
      <w:proofErr w:type="spellEnd"/>
      <w:r w:rsidRPr="00C4084C">
        <w:rPr>
          <w:rFonts w:cs="Arial"/>
        </w:rPr>
        <w:t>, the Association of Commonwealth Universities, Westpac Scholars Ltd, the Study NSW International Education Advisory Board, Bradfield Board of Governors, and the NUW Alliance.</w:t>
      </w:r>
    </w:p>
    <w:p w14:paraId="3E50CA05" w14:textId="77777777" w:rsidR="00CA2AD7" w:rsidRPr="00C4084C" w:rsidRDefault="00CA2AD7" w:rsidP="00CA2AD7">
      <w:pPr>
        <w:rPr>
          <w:rFonts w:cs="Arial"/>
        </w:rPr>
      </w:pPr>
      <w:r w:rsidRPr="00C4084C">
        <w:rPr>
          <w:rFonts w:cs="Arial"/>
        </w:rPr>
        <w:t xml:space="preserve">In addition, he is a member of the Australian Government’s University Foreign Interference Taskforce Steering Group. </w:t>
      </w:r>
    </w:p>
    <w:p w14:paraId="3C630A7E" w14:textId="77777777" w:rsidR="00CA2AD7" w:rsidRPr="00C4084C" w:rsidRDefault="00CA2AD7" w:rsidP="00CA2AD7">
      <w:pPr>
        <w:rPr>
          <w:rFonts w:cs="Arial"/>
        </w:rPr>
      </w:pPr>
      <w:r w:rsidRPr="00C4084C">
        <w:rPr>
          <w:rFonts w:cs="Arial"/>
        </w:rPr>
        <w:t>Professor Glover is an Officer of the Order of Australia (AO), a Fellow of the Academy of Technological Sciences and Engineering (ATSE), a Fellow of the Royal Society of NSW (FRSN), and a Member of the Australian Institute of Company Directors (MAICD).</w:t>
      </w:r>
    </w:p>
    <w:p w14:paraId="3E965419" w14:textId="77777777" w:rsidR="00CA2AD7" w:rsidRPr="00C4084C" w:rsidRDefault="00CA2AD7" w:rsidP="00C854A2">
      <w:pPr>
        <w:pStyle w:val="Non-numberedheading5"/>
      </w:pPr>
      <w:r w:rsidRPr="00C4084C">
        <w:t>The Hon Jenny Macklin AC (Member)</w:t>
      </w:r>
    </w:p>
    <w:p w14:paraId="28251222" w14:textId="77777777" w:rsidR="00CA2AD7" w:rsidRPr="00C4084C" w:rsidRDefault="00CA2AD7" w:rsidP="00CA2AD7">
      <w:r w:rsidRPr="00C4084C">
        <w:t xml:space="preserve">The Hon Jenny Macklin AC is a Vice-Chancellor’s Fellow at the University of Melbourne. Prior to this, she served 23 years as the Federal Member for </w:t>
      </w:r>
      <w:proofErr w:type="spellStart"/>
      <w:r w:rsidRPr="00C4084C">
        <w:t>Jagajaga</w:t>
      </w:r>
      <w:proofErr w:type="spellEnd"/>
      <w:r w:rsidRPr="00C4084C">
        <w:t xml:space="preserve">. </w:t>
      </w:r>
    </w:p>
    <w:p w14:paraId="31356E08" w14:textId="13022018" w:rsidR="00CA2AD7" w:rsidRPr="00C4084C" w:rsidRDefault="00951C33" w:rsidP="00CA2AD7">
      <w:r w:rsidRPr="00C4084C">
        <w:t>Ms Macklin</w:t>
      </w:r>
      <w:r w:rsidR="00CA2AD7" w:rsidRPr="00C4084C">
        <w:t xml:space="preserve"> was the first woman to become the Deputy Leader of a major Australian political party. She was the Deputy Leader of the Federal Parliamentary Labor Party from 2001–2006. </w:t>
      </w:r>
      <w:r>
        <w:t>She</w:t>
      </w:r>
      <w:r w:rsidR="00CA2AD7" w:rsidRPr="00C4084C">
        <w:t xml:space="preserve"> served as the Minister for Families, Housing, Community Services and Indigenous Affairs and the Minister for Disability Reform in the Rudd and Gillard Labor Governments. As Minister, she oversaw the Apology to the Stolen Generations and development of the Closing the Gap framework, the introduction of Australia’s first National Paid Parental Leave Scheme, delivered the largest increase to the Pension in the history of the payment, was responsible for the introduction of the National Disability Insurance Scheme and was an integral part of the establishment of the Royal Commission into Institutional Responses to Child Sexual Abuse. </w:t>
      </w:r>
    </w:p>
    <w:p w14:paraId="69CAEDEA" w14:textId="77777777" w:rsidR="00CA2AD7" w:rsidRPr="00C4084C" w:rsidRDefault="00CA2AD7" w:rsidP="00CA2AD7">
      <w:r w:rsidRPr="00C4084C">
        <w:t xml:space="preserve">Ms Macklin chairs the Economic Inclusion Advisory Committee and was a member of the Women’s Economic Equality Taskforce. Ms Macklin chairs 2 not-for-profit boards, Odyssey House </w:t>
      </w:r>
      <w:proofErr w:type="gramStart"/>
      <w:r w:rsidRPr="00C4084C">
        <w:t>Victoria</w:t>
      </w:r>
      <w:proofErr w:type="gramEnd"/>
      <w:r w:rsidRPr="00C4084C">
        <w:t xml:space="preserve"> and the Machado Joseph Disease Foundation. </w:t>
      </w:r>
    </w:p>
    <w:p w14:paraId="29160F03" w14:textId="5395F4BC" w:rsidR="00CA2AD7" w:rsidRPr="00C4084C" w:rsidRDefault="00CA2AD7" w:rsidP="00CA2AD7">
      <w:r w:rsidRPr="00C4084C">
        <w:t xml:space="preserve">Ms Macklin is a strategic advisor on early childhood development to the Centre for Policy Development. </w:t>
      </w:r>
      <w:r w:rsidR="004D0888">
        <w:t>She</w:t>
      </w:r>
      <w:r w:rsidRPr="00C4084C">
        <w:t xml:space="preserve"> led an inquiry into vocational education and training for the Victorian Government. The report, </w:t>
      </w:r>
      <w:r w:rsidRPr="00C4084C">
        <w:rPr>
          <w:i/>
        </w:rPr>
        <w:t>Skills for Victoria’s Growing Economy</w:t>
      </w:r>
      <w:r w:rsidRPr="00C4084C">
        <w:t>, was released in February 2021.</w:t>
      </w:r>
    </w:p>
    <w:p w14:paraId="3783BFE5" w14:textId="77777777" w:rsidR="004D0888" w:rsidRDefault="004D0888" w:rsidP="000C393F"/>
    <w:p w14:paraId="4E4ABA3C" w14:textId="4A158B09" w:rsidR="00CA2AD7" w:rsidRPr="00C4084C" w:rsidRDefault="00CA2AD7" w:rsidP="00C854A2">
      <w:pPr>
        <w:pStyle w:val="Non-numberedheading5"/>
      </w:pPr>
      <w:r w:rsidRPr="00C4084C">
        <w:t>The Hon Fiona Nash (Member)</w:t>
      </w:r>
    </w:p>
    <w:p w14:paraId="23D768F7" w14:textId="749511AA" w:rsidR="00CA2AD7" w:rsidRPr="00C4084C" w:rsidRDefault="00CA2AD7" w:rsidP="00CA2AD7">
      <w:pPr>
        <w:rPr>
          <w:rFonts w:cs="Arial"/>
        </w:rPr>
      </w:pPr>
      <w:r w:rsidRPr="00C4084C">
        <w:rPr>
          <w:rFonts w:cs="Arial"/>
        </w:rPr>
        <w:t xml:space="preserve">The Hon Fiona Nash grew up in Sydney and has spent the last three decades living and working in regional Australia. For many years she was involved in a family farming enterprise in the central west of NSW, which her sons Will and Henry are now running. She spent 12 years in the federal parliament as a Senator for NSW </w:t>
      </w:r>
      <w:proofErr w:type="gramStart"/>
      <w:r w:rsidRPr="00C4084C">
        <w:rPr>
          <w:rFonts w:cs="Arial"/>
        </w:rPr>
        <w:t>and also</w:t>
      </w:r>
      <w:proofErr w:type="gramEnd"/>
      <w:r w:rsidRPr="00C4084C">
        <w:rPr>
          <w:rFonts w:cs="Arial"/>
        </w:rPr>
        <w:t xml:space="preserve"> held ministerial positions including Rural Health, and in Cabinet the positions of Regional Development, Regional Communications and Local Government and Territories. She also held the position of Deputy Leader of the Nationals. From 2018 to 2021</w:t>
      </w:r>
      <w:r w:rsidR="00CF6EBE">
        <w:rPr>
          <w:rFonts w:cs="Arial"/>
        </w:rPr>
        <w:t>, Ms Nash</w:t>
      </w:r>
      <w:r w:rsidRPr="00C4084C">
        <w:rPr>
          <w:rFonts w:cs="Arial"/>
        </w:rPr>
        <w:t xml:space="preserve"> was the Strategic Adviser, Regional Engagement and Government Relations for Charles Sturt University.</w:t>
      </w:r>
    </w:p>
    <w:p w14:paraId="19E2850E" w14:textId="15D39FB2" w:rsidR="00CA2AD7" w:rsidRPr="00C4084C" w:rsidRDefault="004D0888" w:rsidP="00CA2AD7">
      <w:pPr>
        <w:rPr>
          <w:rFonts w:cs="Arial"/>
        </w:rPr>
      </w:pPr>
      <w:r>
        <w:rPr>
          <w:rFonts w:cs="Arial"/>
        </w:rPr>
        <w:t>Ms Nash</w:t>
      </w:r>
      <w:r w:rsidR="00CA2AD7" w:rsidRPr="00C4084C">
        <w:rPr>
          <w:rFonts w:cs="Arial"/>
        </w:rPr>
        <w:t xml:space="preserve"> was appointed by the Australian Government as the Regional Education Commissioner in December 2021. </w:t>
      </w:r>
    </w:p>
    <w:p w14:paraId="22171BD7" w14:textId="77777777" w:rsidR="00CA2AD7" w:rsidRPr="00C4084C" w:rsidRDefault="00CA2AD7" w:rsidP="00C854A2">
      <w:pPr>
        <w:pStyle w:val="Non-numberedheading5"/>
      </w:pPr>
      <w:r w:rsidRPr="00C4084C">
        <w:t>Mr Ben Rimmer (Member ex-officio – April to December 2023)</w:t>
      </w:r>
    </w:p>
    <w:p w14:paraId="6B93D1F5" w14:textId="77777777" w:rsidR="00CA2AD7" w:rsidRPr="00C4084C" w:rsidRDefault="00CA2AD7" w:rsidP="00CA2AD7">
      <w:r w:rsidRPr="00C4084C">
        <w:t xml:space="preserve">Mr Ben Rimmer was appointed in April 2023 as an ex-officio member upon his commencement as Deputy Secretary, Higher Education, </w:t>
      </w:r>
      <w:proofErr w:type="gramStart"/>
      <w:r w:rsidRPr="00C4084C">
        <w:t>Research</w:t>
      </w:r>
      <w:proofErr w:type="gramEnd"/>
      <w:r w:rsidRPr="00C4084C">
        <w:t xml:space="preserve"> and International at the Australian Government Department of Education.</w:t>
      </w:r>
    </w:p>
    <w:p w14:paraId="20EA8F74" w14:textId="77777777" w:rsidR="00CA2AD7" w:rsidRPr="00C4084C" w:rsidRDefault="00CA2AD7" w:rsidP="00C854A2">
      <w:pPr>
        <w:pStyle w:val="Non-numberedheading5"/>
      </w:pPr>
      <w:r w:rsidRPr="00C4084C">
        <w:t>Ms Shemara Wikramanayake (Member)</w:t>
      </w:r>
    </w:p>
    <w:p w14:paraId="618E1AE6" w14:textId="77777777" w:rsidR="00CA2AD7" w:rsidRPr="00C4084C" w:rsidRDefault="00CA2AD7" w:rsidP="00CA2AD7">
      <w:r w:rsidRPr="00C4084C">
        <w:t>Ms Shemara Wikramanayake has been Macquarie Group’s CEO since 2018. Macquarie’s ~21,000 staff operate in 34 markets with approximately $A892 billion in assets under management.</w:t>
      </w:r>
    </w:p>
    <w:p w14:paraId="23AAC784" w14:textId="77777777" w:rsidR="00CA2AD7" w:rsidRPr="00C4084C" w:rsidRDefault="00CA2AD7" w:rsidP="00CA2AD7">
      <w:r w:rsidRPr="00C4084C">
        <w:t xml:space="preserve">Since joining in 1987, Ms Wikramanayake has worked in 6 countries, establishing corporate advisory offices in New Zealand, Hong Kong and Malaysia, and the infrastructure funds management business in the Americas.  </w:t>
      </w:r>
    </w:p>
    <w:p w14:paraId="69B4E440" w14:textId="77777777" w:rsidR="00CA2AD7" w:rsidRPr="00C4084C" w:rsidRDefault="00CA2AD7" w:rsidP="00CA2AD7">
      <w:r w:rsidRPr="00C4084C">
        <w:t>Ms Wikramanayake previously led Macquarie Asset Management as it became a leading global manager of real assets and she has also served as Chair of the Macquarie Group Foundation.</w:t>
      </w:r>
    </w:p>
    <w:p w14:paraId="5D09AFFE" w14:textId="77777777" w:rsidR="0067026A" w:rsidRDefault="00CA2AD7" w:rsidP="00CA2AD7">
      <w:pPr>
        <w:sectPr w:rsidR="0067026A" w:rsidSect="00134415">
          <w:headerReference w:type="even" r:id="rId163"/>
          <w:headerReference w:type="first" r:id="rId164"/>
          <w:pgSz w:w="11906" w:h="16838" w:code="9"/>
          <w:pgMar w:top="1225" w:right="1440" w:bottom="1440" w:left="1440" w:header="709" w:footer="709" w:gutter="0"/>
          <w:cols w:space="708"/>
          <w:titlePg/>
          <w:docGrid w:linePitch="360"/>
        </w:sectPr>
      </w:pPr>
      <w:r w:rsidRPr="00C4084C">
        <w:t>Ms Wikramanayake sits on the World Bank’s Global Commission on Adaptation and was a founding CEO of the United Nations Climate Finance Leadership Initiative (CFLI). She currently leads emerging markets workstreams for CFLI and the Glasgow Financial Alliance for Net Zero (GFANZ) and is a member of the Global Investors for Sustainable Development (GISD) Alliance.</w:t>
      </w:r>
    </w:p>
    <w:p w14:paraId="6ECE2FB9" w14:textId="77777777" w:rsidR="00CA2AD7" w:rsidRPr="00C4084C" w:rsidRDefault="00CA2AD7" w:rsidP="0067026A">
      <w:pPr>
        <w:pStyle w:val="Non-numberedHeading2"/>
        <w:rPr>
          <w:rFonts w:cs="Arial"/>
        </w:rPr>
      </w:pPr>
      <w:bookmarkStart w:id="1629" w:name="_Toc159501039"/>
      <w:r w:rsidRPr="00C4084C">
        <w:rPr>
          <w:rFonts w:cs="Arial"/>
        </w:rPr>
        <w:lastRenderedPageBreak/>
        <w:t>Appendix C</w:t>
      </w:r>
      <w:r w:rsidRPr="00C4084C">
        <w:t xml:space="preserve"> – Australian Universities Accord</w:t>
      </w:r>
      <w:r w:rsidRPr="00C4084C">
        <w:rPr>
          <w:rFonts w:cs="Arial"/>
        </w:rPr>
        <w:t xml:space="preserve"> Panel meetings</w:t>
      </w:r>
      <w:bookmarkEnd w:id="1629"/>
    </w:p>
    <w:p w14:paraId="7709BC72" w14:textId="77777777" w:rsidR="00CA2AD7" w:rsidRPr="00C4084C" w:rsidRDefault="00CA2AD7" w:rsidP="00A237E3">
      <w:r w:rsidRPr="00C4084C">
        <w:t>The Australian Universities Accord Panel met on the following dates:</w:t>
      </w:r>
    </w:p>
    <w:tbl>
      <w:tblPr>
        <w:tblStyle w:val="GridTable1Light-Accent3"/>
        <w:tblW w:w="8222" w:type="dxa"/>
        <w:tblBorders>
          <w:top w:val="none" w:sz="0" w:space="0" w:color="auto"/>
          <w:left w:val="none" w:sz="0" w:space="0" w:color="auto"/>
          <w:bottom w:val="single" w:sz="4" w:space="0" w:color="003A74" w:themeColor="text2" w:themeTint="E6"/>
          <w:right w:val="none" w:sz="0" w:space="0" w:color="auto"/>
          <w:insideH w:val="single" w:sz="4" w:space="0" w:color="003A74" w:themeColor="text2" w:themeTint="E6"/>
          <w:insideV w:val="none" w:sz="0" w:space="0" w:color="auto"/>
        </w:tblBorders>
        <w:tblLook w:val="04A0" w:firstRow="1" w:lastRow="0" w:firstColumn="1" w:lastColumn="0" w:noHBand="0" w:noVBand="1"/>
      </w:tblPr>
      <w:tblGrid>
        <w:gridCol w:w="3261"/>
        <w:gridCol w:w="1694"/>
        <w:gridCol w:w="3267"/>
      </w:tblGrid>
      <w:tr w:rsidR="00A237E3" w:rsidRPr="00C4084C" w14:paraId="55AC3A1D" w14:textId="77777777" w:rsidTr="001B1DB2">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3261" w:type="dxa"/>
          </w:tcPr>
          <w:p w14:paraId="4B8F6583" w14:textId="72A229BB" w:rsidR="00A237E3" w:rsidRPr="00A237E3" w:rsidRDefault="00A237E3" w:rsidP="00A237E3">
            <w:pPr>
              <w:pStyle w:val="ListParagraph"/>
              <w:numPr>
                <w:ilvl w:val="0"/>
                <w:numId w:val="58"/>
              </w:numPr>
              <w:spacing w:after="0"/>
              <w:ind w:left="322"/>
              <w:rPr>
                <w:b w:val="0"/>
                <w:bCs w:val="0"/>
              </w:rPr>
            </w:pPr>
            <w:r w:rsidRPr="00A237E3">
              <w:rPr>
                <w:b w:val="0"/>
                <w:bCs w:val="0"/>
              </w:rPr>
              <w:t>17 November 2022</w:t>
            </w:r>
          </w:p>
        </w:tc>
        <w:tc>
          <w:tcPr>
            <w:tcW w:w="1694" w:type="dxa"/>
            <w:tcBorders>
              <w:top w:val="nil"/>
              <w:bottom w:val="nil"/>
            </w:tcBorders>
          </w:tcPr>
          <w:p w14:paraId="54F3A445" w14:textId="34E5AB5E" w:rsidR="00A237E3" w:rsidRDefault="00A237E3" w:rsidP="00A237E3">
            <w:pPr>
              <w:pStyle w:val="List"/>
              <w:numPr>
                <w:ilvl w:val="0"/>
                <w:numId w:val="0"/>
              </w:numPr>
              <w:spacing w:after="0"/>
              <w:cnfStyle w:val="100000000000" w:firstRow="1" w:lastRow="0" w:firstColumn="0" w:lastColumn="0" w:oddVBand="0" w:evenVBand="0" w:oddHBand="0" w:evenHBand="0" w:firstRowFirstColumn="0" w:firstRowLastColumn="0" w:lastRowFirstColumn="0" w:lastRowLastColumn="0"/>
            </w:pPr>
          </w:p>
        </w:tc>
        <w:tc>
          <w:tcPr>
            <w:tcW w:w="3267" w:type="dxa"/>
          </w:tcPr>
          <w:p w14:paraId="5736356B" w14:textId="6F7F52C8" w:rsidR="00A237E3" w:rsidRPr="00C4084C" w:rsidRDefault="000E3FA4" w:rsidP="00A237E3">
            <w:pPr>
              <w:pStyle w:val="List"/>
              <w:numPr>
                <w:ilvl w:val="0"/>
                <w:numId w:val="60"/>
              </w:numPr>
              <w:spacing w:after="0"/>
              <w:ind w:left="321"/>
              <w:cnfStyle w:val="100000000000" w:firstRow="1" w:lastRow="0" w:firstColumn="0" w:lastColumn="0" w:oddVBand="0" w:evenVBand="0" w:oddHBand="0" w:evenHBand="0" w:firstRowFirstColumn="0" w:firstRowLastColumn="0" w:lastRowFirstColumn="0" w:lastRowLastColumn="0"/>
            </w:pPr>
            <w:r w:rsidRPr="00C4084C">
              <w:t>25 July 2023</w:t>
            </w:r>
          </w:p>
        </w:tc>
      </w:tr>
      <w:tr w:rsidR="00A237E3" w:rsidRPr="00C4084C" w14:paraId="4F93CAC8" w14:textId="77777777" w:rsidTr="001B1DB2">
        <w:trPr>
          <w:trHeight w:val="390"/>
        </w:trPr>
        <w:tc>
          <w:tcPr>
            <w:cnfStyle w:val="001000000000" w:firstRow="0" w:lastRow="0" w:firstColumn="1" w:lastColumn="0" w:oddVBand="0" w:evenVBand="0" w:oddHBand="0" w:evenHBand="0" w:firstRowFirstColumn="0" w:firstRowLastColumn="0" w:lastRowFirstColumn="0" w:lastRowLastColumn="0"/>
            <w:tcW w:w="3261" w:type="dxa"/>
          </w:tcPr>
          <w:p w14:paraId="4B3E481F" w14:textId="4C3093FF" w:rsidR="00A237E3" w:rsidRPr="000E3FA4" w:rsidRDefault="000E3FA4" w:rsidP="00A237E3">
            <w:pPr>
              <w:pStyle w:val="ListParagraph"/>
              <w:numPr>
                <w:ilvl w:val="0"/>
                <w:numId w:val="58"/>
              </w:numPr>
              <w:spacing w:after="0"/>
              <w:ind w:left="322"/>
              <w:rPr>
                <w:b w:val="0"/>
                <w:bCs w:val="0"/>
              </w:rPr>
            </w:pPr>
            <w:r w:rsidRPr="000E3FA4">
              <w:rPr>
                <w:b w:val="0"/>
                <w:bCs w:val="0"/>
              </w:rPr>
              <w:t>13 December 2022</w:t>
            </w:r>
          </w:p>
        </w:tc>
        <w:tc>
          <w:tcPr>
            <w:tcW w:w="1694" w:type="dxa"/>
            <w:tcBorders>
              <w:top w:val="nil"/>
              <w:bottom w:val="nil"/>
            </w:tcBorders>
          </w:tcPr>
          <w:p w14:paraId="1360BBE0" w14:textId="77777777" w:rsidR="00A237E3" w:rsidRPr="00C4084C" w:rsidRDefault="00A237E3" w:rsidP="00A237E3">
            <w:pPr>
              <w:spacing w:after="0"/>
              <w:cnfStyle w:val="000000000000" w:firstRow="0" w:lastRow="0" w:firstColumn="0" w:lastColumn="0" w:oddVBand="0" w:evenVBand="0" w:oddHBand="0" w:evenHBand="0" w:firstRowFirstColumn="0" w:firstRowLastColumn="0" w:lastRowFirstColumn="0" w:lastRowLastColumn="0"/>
            </w:pPr>
          </w:p>
        </w:tc>
        <w:tc>
          <w:tcPr>
            <w:tcW w:w="3267" w:type="dxa"/>
          </w:tcPr>
          <w:p w14:paraId="2F61A215" w14:textId="51274CD7" w:rsidR="00A237E3" w:rsidRPr="000E3FA4" w:rsidRDefault="000E3FA4" w:rsidP="00A237E3">
            <w:pPr>
              <w:pStyle w:val="ListParagraph"/>
              <w:numPr>
                <w:ilvl w:val="0"/>
                <w:numId w:val="60"/>
              </w:numPr>
              <w:spacing w:after="0" w:line="240" w:lineRule="auto"/>
              <w:ind w:left="321"/>
              <w:cnfStyle w:val="000000000000" w:firstRow="0" w:lastRow="0" w:firstColumn="0" w:lastColumn="0" w:oddVBand="0" w:evenVBand="0" w:oddHBand="0" w:evenHBand="0" w:firstRowFirstColumn="0" w:firstRowLastColumn="0" w:lastRowFirstColumn="0" w:lastRowLastColumn="0"/>
            </w:pPr>
            <w:r w:rsidRPr="000E3FA4">
              <w:t>8 August 2023</w:t>
            </w:r>
          </w:p>
        </w:tc>
      </w:tr>
      <w:tr w:rsidR="00A237E3" w:rsidRPr="00C4084C" w14:paraId="3D70D347" w14:textId="77777777" w:rsidTr="001B1DB2">
        <w:trPr>
          <w:trHeight w:val="420"/>
        </w:trPr>
        <w:tc>
          <w:tcPr>
            <w:cnfStyle w:val="001000000000" w:firstRow="0" w:lastRow="0" w:firstColumn="1" w:lastColumn="0" w:oddVBand="0" w:evenVBand="0" w:oddHBand="0" w:evenHBand="0" w:firstRowFirstColumn="0" w:firstRowLastColumn="0" w:lastRowFirstColumn="0" w:lastRowLastColumn="0"/>
            <w:tcW w:w="3261" w:type="dxa"/>
          </w:tcPr>
          <w:p w14:paraId="73D73B9C" w14:textId="4D8E0065" w:rsidR="00A237E3" w:rsidRPr="00A237E3" w:rsidRDefault="000E3FA4" w:rsidP="00A237E3">
            <w:pPr>
              <w:pStyle w:val="ListParagraph"/>
              <w:numPr>
                <w:ilvl w:val="0"/>
                <w:numId w:val="58"/>
              </w:numPr>
              <w:spacing w:after="0"/>
              <w:ind w:left="322"/>
              <w:rPr>
                <w:b w:val="0"/>
                <w:bCs w:val="0"/>
              </w:rPr>
            </w:pPr>
            <w:r w:rsidRPr="00A237E3">
              <w:rPr>
                <w:b w:val="0"/>
                <w:bCs w:val="0"/>
              </w:rPr>
              <w:t>21 December 2022</w:t>
            </w:r>
          </w:p>
        </w:tc>
        <w:tc>
          <w:tcPr>
            <w:tcW w:w="1694" w:type="dxa"/>
            <w:tcBorders>
              <w:top w:val="nil"/>
              <w:bottom w:val="nil"/>
            </w:tcBorders>
          </w:tcPr>
          <w:p w14:paraId="52895CDD" w14:textId="77777777" w:rsidR="00A237E3" w:rsidRPr="00C4084C" w:rsidRDefault="00A237E3" w:rsidP="00A237E3">
            <w:pPr>
              <w:spacing w:after="0"/>
              <w:cnfStyle w:val="000000000000" w:firstRow="0" w:lastRow="0" w:firstColumn="0" w:lastColumn="0" w:oddVBand="0" w:evenVBand="0" w:oddHBand="0" w:evenHBand="0" w:firstRowFirstColumn="0" w:firstRowLastColumn="0" w:lastRowFirstColumn="0" w:lastRowLastColumn="0"/>
            </w:pPr>
          </w:p>
        </w:tc>
        <w:tc>
          <w:tcPr>
            <w:tcW w:w="3267" w:type="dxa"/>
          </w:tcPr>
          <w:p w14:paraId="2316D186" w14:textId="3D14F6E4" w:rsidR="00A237E3" w:rsidRPr="00C4084C" w:rsidRDefault="000E3FA4" w:rsidP="00A237E3">
            <w:pPr>
              <w:pStyle w:val="ListParagraph"/>
              <w:numPr>
                <w:ilvl w:val="0"/>
                <w:numId w:val="60"/>
              </w:numPr>
              <w:spacing w:after="0" w:line="240" w:lineRule="auto"/>
              <w:ind w:left="321"/>
              <w:cnfStyle w:val="000000000000" w:firstRow="0" w:lastRow="0" w:firstColumn="0" w:lastColumn="0" w:oddVBand="0" w:evenVBand="0" w:oddHBand="0" w:evenHBand="0" w:firstRowFirstColumn="0" w:firstRowLastColumn="0" w:lastRowFirstColumn="0" w:lastRowLastColumn="0"/>
            </w:pPr>
            <w:r w:rsidRPr="00C4084C">
              <w:t>22 August 2023</w:t>
            </w:r>
          </w:p>
        </w:tc>
      </w:tr>
      <w:tr w:rsidR="00A237E3" w:rsidRPr="00C4084C" w14:paraId="74B5F6E4" w14:textId="77777777" w:rsidTr="001B1DB2">
        <w:trPr>
          <w:trHeight w:val="420"/>
        </w:trPr>
        <w:tc>
          <w:tcPr>
            <w:cnfStyle w:val="001000000000" w:firstRow="0" w:lastRow="0" w:firstColumn="1" w:lastColumn="0" w:oddVBand="0" w:evenVBand="0" w:oddHBand="0" w:evenHBand="0" w:firstRowFirstColumn="0" w:firstRowLastColumn="0" w:lastRowFirstColumn="0" w:lastRowLastColumn="0"/>
            <w:tcW w:w="3261" w:type="dxa"/>
          </w:tcPr>
          <w:p w14:paraId="2C661D37" w14:textId="3AEDA64A" w:rsidR="00A237E3" w:rsidRPr="000E3FA4" w:rsidRDefault="000E3FA4" w:rsidP="00A237E3">
            <w:pPr>
              <w:pStyle w:val="ListParagraph"/>
              <w:numPr>
                <w:ilvl w:val="0"/>
                <w:numId w:val="58"/>
              </w:numPr>
              <w:spacing w:after="0"/>
              <w:ind w:left="322"/>
              <w:rPr>
                <w:b w:val="0"/>
                <w:bCs w:val="0"/>
              </w:rPr>
            </w:pPr>
            <w:r w:rsidRPr="000E3FA4">
              <w:rPr>
                <w:b w:val="0"/>
                <w:bCs w:val="0"/>
              </w:rPr>
              <w:t>24 January 2023</w:t>
            </w:r>
          </w:p>
        </w:tc>
        <w:tc>
          <w:tcPr>
            <w:tcW w:w="1694" w:type="dxa"/>
            <w:tcBorders>
              <w:top w:val="nil"/>
              <w:bottom w:val="nil"/>
            </w:tcBorders>
          </w:tcPr>
          <w:p w14:paraId="76443FED" w14:textId="77777777" w:rsidR="00A237E3" w:rsidRPr="00C4084C" w:rsidRDefault="00A237E3" w:rsidP="00A237E3">
            <w:pPr>
              <w:spacing w:after="0"/>
              <w:cnfStyle w:val="000000000000" w:firstRow="0" w:lastRow="0" w:firstColumn="0" w:lastColumn="0" w:oddVBand="0" w:evenVBand="0" w:oddHBand="0" w:evenHBand="0" w:firstRowFirstColumn="0" w:firstRowLastColumn="0" w:lastRowFirstColumn="0" w:lastRowLastColumn="0"/>
            </w:pPr>
          </w:p>
        </w:tc>
        <w:tc>
          <w:tcPr>
            <w:tcW w:w="3267" w:type="dxa"/>
          </w:tcPr>
          <w:p w14:paraId="647B9953" w14:textId="5501FE9F" w:rsidR="00A237E3" w:rsidRPr="000E3FA4" w:rsidRDefault="000E3FA4" w:rsidP="00A237E3">
            <w:pPr>
              <w:pStyle w:val="ListParagraph"/>
              <w:numPr>
                <w:ilvl w:val="0"/>
                <w:numId w:val="60"/>
              </w:numPr>
              <w:spacing w:after="0" w:line="240" w:lineRule="auto"/>
              <w:ind w:left="321"/>
              <w:cnfStyle w:val="000000000000" w:firstRow="0" w:lastRow="0" w:firstColumn="0" w:lastColumn="0" w:oddVBand="0" w:evenVBand="0" w:oddHBand="0" w:evenHBand="0" w:firstRowFirstColumn="0" w:firstRowLastColumn="0" w:lastRowFirstColumn="0" w:lastRowLastColumn="0"/>
            </w:pPr>
            <w:r w:rsidRPr="000E3FA4">
              <w:t>29 August 2023</w:t>
            </w:r>
          </w:p>
        </w:tc>
      </w:tr>
      <w:tr w:rsidR="00A237E3" w:rsidRPr="00C4084C" w14:paraId="0365D71E" w14:textId="77777777" w:rsidTr="001B1DB2">
        <w:trPr>
          <w:trHeight w:val="420"/>
        </w:trPr>
        <w:tc>
          <w:tcPr>
            <w:cnfStyle w:val="001000000000" w:firstRow="0" w:lastRow="0" w:firstColumn="1" w:lastColumn="0" w:oddVBand="0" w:evenVBand="0" w:oddHBand="0" w:evenHBand="0" w:firstRowFirstColumn="0" w:firstRowLastColumn="0" w:lastRowFirstColumn="0" w:lastRowLastColumn="0"/>
            <w:tcW w:w="3261" w:type="dxa"/>
          </w:tcPr>
          <w:p w14:paraId="03CD7EB2" w14:textId="1FA822E0" w:rsidR="00A237E3" w:rsidRPr="00A237E3" w:rsidRDefault="000E3FA4" w:rsidP="00A237E3">
            <w:pPr>
              <w:pStyle w:val="ListParagraph"/>
              <w:numPr>
                <w:ilvl w:val="0"/>
                <w:numId w:val="58"/>
              </w:numPr>
              <w:spacing w:after="0"/>
              <w:ind w:left="322"/>
              <w:rPr>
                <w:b w:val="0"/>
                <w:bCs w:val="0"/>
              </w:rPr>
            </w:pPr>
            <w:r w:rsidRPr="00A237E3">
              <w:rPr>
                <w:b w:val="0"/>
                <w:bCs w:val="0"/>
              </w:rPr>
              <w:t>7 February 2023</w:t>
            </w:r>
          </w:p>
        </w:tc>
        <w:tc>
          <w:tcPr>
            <w:tcW w:w="1694" w:type="dxa"/>
            <w:tcBorders>
              <w:top w:val="nil"/>
              <w:bottom w:val="nil"/>
            </w:tcBorders>
          </w:tcPr>
          <w:p w14:paraId="7D93FDC0" w14:textId="77777777" w:rsidR="00A237E3" w:rsidRPr="00C4084C" w:rsidRDefault="00A237E3" w:rsidP="00A237E3">
            <w:pPr>
              <w:spacing w:after="0"/>
              <w:ind w:left="360"/>
              <w:cnfStyle w:val="000000000000" w:firstRow="0" w:lastRow="0" w:firstColumn="0" w:lastColumn="0" w:oddVBand="0" w:evenVBand="0" w:oddHBand="0" w:evenHBand="0" w:firstRowFirstColumn="0" w:firstRowLastColumn="0" w:lastRowFirstColumn="0" w:lastRowLastColumn="0"/>
            </w:pPr>
          </w:p>
        </w:tc>
        <w:tc>
          <w:tcPr>
            <w:tcW w:w="3267" w:type="dxa"/>
          </w:tcPr>
          <w:p w14:paraId="7D821B7F" w14:textId="7BBC8067" w:rsidR="00A237E3" w:rsidRPr="00C4084C" w:rsidRDefault="00040046" w:rsidP="00A237E3">
            <w:pPr>
              <w:pStyle w:val="ListParagraph"/>
              <w:numPr>
                <w:ilvl w:val="0"/>
                <w:numId w:val="60"/>
              </w:numPr>
              <w:spacing w:after="0"/>
              <w:ind w:left="321"/>
              <w:cnfStyle w:val="000000000000" w:firstRow="0" w:lastRow="0" w:firstColumn="0" w:lastColumn="0" w:oddVBand="0" w:evenVBand="0" w:oddHBand="0" w:evenHBand="0" w:firstRowFirstColumn="0" w:firstRowLastColumn="0" w:lastRowFirstColumn="0" w:lastRowLastColumn="0"/>
            </w:pPr>
            <w:r w:rsidRPr="00C4084C">
              <w:t>5 September 2023</w:t>
            </w:r>
          </w:p>
        </w:tc>
      </w:tr>
      <w:tr w:rsidR="00A237E3" w:rsidRPr="00C4084C" w14:paraId="7E3677D6" w14:textId="77777777" w:rsidTr="001B1DB2">
        <w:trPr>
          <w:trHeight w:val="420"/>
        </w:trPr>
        <w:tc>
          <w:tcPr>
            <w:cnfStyle w:val="001000000000" w:firstRow="0" w:lastRow="0" w:firstColumn="1" w:lastColumn="0" w:oddVBand="0" w:evenVBand="0" w:oddHBand="0" w:evenHBand="0" w:firstRowFirstColumn="0" w:firstRowLastColumn="0" w:lastRowFirstColumn="0" w:lastRowLastColumn="0"/>
            <w:tcW w:w="3261" w:type="dxa"/>
          </w:tcPr>
          <w:p w14:paraId="74FA56AA" w14:textId="22B0C421" w:rsidR="00A237E3" w:rsidRPr="000E3FA4" w:rsidRDefault="000E3FA4" w:rsidP="00A237E3">
            <w:pPr>
              <w:pStyle w:val="ListParagraph"/>
              <w:numPr>
                <w:ilvl w:val="0"/>
                <w:numId w:val="58"/>
              </w:numPr>
              <w:spacing w:after="0"/>
              <w:ind w:left="322"/>
              <w:rPr>
                <w:b w:val="0"/>
                <w:bCs w:val="0"/>
              </w:rPr>
            </w:pPr>
            <w:r w:rsidRPr="000E3FA4">
              <w:rPr>
                <w:b w:val="0"/>
                <w:bCs w:val="0"/>
              </w:rPr>
              <w:t>21 February 2023</w:t>
            </w:r>
          </w:p>
        </w:tc>
        <w:tc>
          <w:tcPr>
            <w:tcW w:w="1694" w:type="dxa"/>
            <w:tcBorders>
              <w:top w:val="nil"/>
              <w:bottom w:val="nil"/>
            </w:tcBorders>
          </w:tcPr>
          <w:p w14:paraId="3F812B33" w14:textId="77777777" w:rsidR="00A237E3" w:rsidRPr="00C4084C" w:rsidRDefault="00A237E3" w:rsidP="00A237E3">
            <w:pPr>
              <w:spacing w:after="0"/>
              <w:cnfStyle w:val="000000000000" w:firstRow="0" w:lastRow="0" w:firstColumn="0" w:lastColumn="0" w:oddVBand="0" w:evenVBand="0" w:oddHBand="0" w:evenHBand="0" w:firstRowFirstColumn="0" w:firstRowLastColumn="0" w:lastRowFirstColumn="0" w:lastRowLastColumn="0"/>
            </w:pPr>
          </w:p>
        </w:tc>
        <w:tc>
          <w:tcPr>
            <w:tcW w:w="3267" w:type="dxa"/>
          </w:tcPr>
          <w:p w14:paraId="42DB9D83" w14:textId="30D47903" w:rsidR="00A237E3" w:rsidRPr="000E3FA4" w:rsidRDefault="000E3FA4" w:rsidP="00A237E3">
            <w:pPr>
              <w:pStyle w:val="ListParagraph"/>
              <w:numPr>
                <w:ilvl w:val="0"/>
                <w:numId w:val="60"/>
              </w:numPr>
              <w:spacing w:after="0"/>
              <w:ind w:left="321"/>
              <w:cnfStyle w:val="000000000000" w:firstRow="0" w:lastRow="0" w:firstColumn="0" w:lastColumn="0" w:oddVBand="0" w:evenVBand="0" w:oddHBand="0" w:evenHBand="0" w:firstRowFirstColumn="0" w:firstRowLastColumn="0" w:lastRowFirstColumn="0" w:lastRowLastColumn="0"/>
            </w:pPr>
            <w:r w:rsidRPr="000E3FA4">
              <w:t>6 September 2023</w:t>
            </w:r>
          </w:p>
        </w:tc>
      </w:tr>
      <w:tr w:rsidR="00A237E3" w:rsidRPr="00C4084C" w14:paraId="094EDF6E" w14:textId="77777777" w:rsidTr="001B1DB2">
        <w:trPr>
          <w:trHeight w:val="420"/>
        </w:trPr>
        <w:tc>
          <w:tcPr>
            <w:cnfStyle w:val="001000000000" w:firstRow="0" w:lastRow="0" w:firstColumn="1" w:lastColumn="0" w:oddVBand="0" w:evenVBand="0" w:oddHBand="0" w:evenHBand="0" w:firstRowFirstColumn="0" w:firstRowLastColumn="0" w:lastRowFirstColumn="0" w:lastRowLastColumn="0"/>
            <w:tcW w:w="3261" w:type="dxa"/>
          </w:tcPr>
          <w:p w14:paraId="0AA0575D" w14:textId="4287432A" w:rsidR="00A237E3" w:rsidRPr="00A237E3" w:rsidRDefault="000E3FA4" w:rsidP="00A237E3">
            <w:pPr>
              <w:pStyle w:val="ListParagraph"/>
              <w:numPr>
                <w:ilvl w:val="0"/>
                <w:numId w:val="58"/>
              </w:numPr>
              <w:spacing w:after="0"/>
              <w:ind w:left="322"/>
              <w:rPr>
                <w:b w:val="0"/>
                <w:bCs w:val="0"/>
              </w:rPr>
            </w:pPr>
            <w:r w:rsidRPr="00A237E3">
              <w:rPr>
                <w:b w:val="0"/>
                <w:bCs w:val="0"/>
              </w:rPr>
              <w:t>28 February 2023</w:t>
            </w:r>
          </w:p>
        </w:tc>
        <w:tc>
          <w:tcPr>
            <w:tcW w:w="1694" w:type="dxa"/>
            <w:tcBorders>
              <w:top w:val="nil"/>
              <w:bottom w:val="nil"/>
            </w:tcBorders>
          </w:tcPr>
          <w:p w14:paraId="14226E33" w14:textId="77777777" w:rsidR="00A237E3" w:rsidRPr="00C4084C" w:rsidRDefault="00A237E3" w:rsidP="00A237E3">
            <w:pPr>
              <w:spacing w:after="0"/>
              <w:cnfStyle w:val="000000000000" w:firstRow="0" w:lastRow="0" w:firstColumn="0" w:lastColumn="0" w:oddVBand="0" w:evenVBand="0" w:oddHBand="0" w:evenHBand="0" w:firstRowFirstColumn="0" w:firstRowLastColumn="0" w:lastRowFirstColumn="0" w:lastRowLastColumn="0"/>
            </w:pPr>
          </w:p>
        </w:tc>
        <w:tc>
          <w:tcPr>
            <w:tcW w:w="3267" w:type="dxa"/>
          </w:tcPr>
          <w:p w14:paraId="44443FC2" w14:textId="417D6FE6" w:rsidR="00A237E3" w:rsidRPr="00C4084C" w:rsidRDefault="000E3FA4" w:rsidP="00A237E3">
            <w:pPr>
              <w:pStyle w:val="ListParagraph"/>
              <w:numPr>
                <w:ilvl w:val="0"/>
                <w:numId w:val="60"/>
              </w:numPr>
              <w:spacing w:after="0"/>
              <w:ind w:left="321"/>
              <w:cnfStyle w:val="000000000000" w:firstRow="0" w:lastRow="0" w:firstColumn="0" w:lastColumn="0" w:oddVBand="0" w:evenVBand="0" w:oddHBand="0" w:evenHBand="0" w:firstRowFirstColumn="0" w:firstRowLastColumn="0" w:lastRowFirstColumn="0" w:lastRowLastColumn="0"/>
            </w:pPr>
            <w:r w:rsidRPr="00C4084C">
              <w:t>12 September 2023</w:t>
            </w:r>
          </w:p>
        </w:tc>
      </w:tr>
      <w:tr w:rsidR="00A237E3" w:rsidRPr="00C4084C" w14:paraId="0788EBC8" w14:textId="77777777" w:rsidTr="001B1DB2">
        <w:trPr>
          <w:trHeight w:val="420"/>
        </w:trPr>
        <w:tc>
          <w:tcPr>
            <w:cnfStyle w:val="001000000000" w:firstRow="0" w:lastRow="0" w:firstColumn="1" w:lastColumn="0" w:oddVBand="0" w:evenVBand="0" w:oddHBand="0" w:evenHBand="0" w:firstRowFirstColumn="0" w:firstRowLastColumn="0" w:lastRowFirstColumn="0" w:lastRowLastColumn="0"/>
            <w:tcW w:w="3261" w:type="dxa"/>
          </w:tcPr>
          <w:p w14:paraId="31DE2C4B" w14:textId="38ABE963" w:rsidR="00A237E3" w:rsidRPr="000E3FA4" w:rsidRDefault="000E3FA4" w:rsidP="00A237E3">
            <w:pPr>
              <w:pStyle w:val="ListParagraph"/>
              <w:numPr>
                <w:ilvl w:val="0"/>
                <w:numId w:val="58"/>
              </w:numPr>
              <w:spacing w:after="0"/>
              <w:ind w:left="322"/>
              <w:rPr>
                <w:b w:val="0"/>
                <w:bCs w:val="0"/>
              </w:rPr>
            </w:pPr>
            <w:r w:rsidRPr="000E3FA4">
              <w:rPr>
                <w:b w:val="0"/>
                <w:bCs w:val="0"/>
              </w:rPr>
              <w:t>7 March 2023</w:t>
            </w:r>
          </w:p>
        </w:tc>
        <w:tc>
          <w:tcPr>
            <w:tcW w:w="1694" w:type="dxa"/>
            <w:tcBorders>
              <w:top w:val="nil"/>
              <w:bottom w:val="nil"/>
            </w:tcBorders>
          </w:tcPr>
          <w:p w14:paraId="66B1818B" w14:textId="77777777" w:rsidR="00A237E3" w:rsidRPr="00C4084C" w:rsidRDefault="00A237E3" w:rsidP="00A237E3">
            <w:pPr>
              <w:spacing w:after="0"/>
              <w:cnfStyle w:val="000000000000" w:firstRow="0" w:lastRow="0" w:firstColumn="0" w:lastColumn="0" w:oddVBand="0" w:evenVBand="0" w:oddHBand="0" w:evenHBand="0" w:firstRowFirstColumn="0" w:firstRowLastColumn="0" w:lastRowFirstColumn="0" w:lastRowLastColumn="0"/>
            </w:pPr>
          </w:p>
        </w:tc>
        <w:tc>
          <w:tcPr>
            <w:tcW w:w="3267" w:type="dxa"/>
          </w:tcPr>
          <w:p w14:paraId="33560EF7" w14:textId="5B95E853" w:rsidR="00A237E3" w:rsidRPr="000E3FA4" w:rsidRDefault="000E3FA4" w:rsidP="00A237E3">
            <w:pPr>
              <w:pStyle w:val="ListParagraph"/>
              <w:numPr>
                <w:ilvl w:val="0"/>
                <w:numId w:val="60"/>
              </w:numPr>
              <w:spacing w:after="0"/>
              <w:ind w:left="321"/>
              <w:cnfStyle w:val="000000000000" w:firstRow="0" w:lastRow="0" w:firstColumn="0" w:lastColumn="0" w:oddVBand="0" w:evenVBand="0" w:oddHBand="0" w:evenHBand="0" w:firstRowFirstColumn="0" w:firstRowLastColumn="0" w:lastRowFirstColumn="0" w:lastRowLastColumn="0"/>
            </w:pPr>
            <w:r w:rsidRPr="000E3FA4">
              <w:t>19 September 2023</w:t>
            </w:r>
          </w:p>
        </w:tc>
      </w:tr>
      <w:tr w:rsidR="00A237E3" w:rsidRPr="00C4084C" w14:paraId="3C79785D" w14:textId="77777777" w:rsidTr="001B1DB2">
        <w:trPr>
          <w:trHeight w:val="420"/>
        </w:trPr>
        <w:tc>
          <w:tcPr>
            <w:cnfStyle w:val="001000000000" w:firstRow="0" w:lastRow="0" w:firstColumn="1" w:lastColumn="0" w:oddVBand="0" w:evenVBand="0" w:oddHBand="0" w:evenHBand="0" w:firstRowFirstColumn="0" w:firstRowLastColumn="0" w:lastRowFirstColumn="0" w:lastRowLastColumn="0"/>
            <w:tcW w:w="3261" w:type="dxa"/>
          </w:tcPr>
          <w:p w14:paraId="2ACA072A" w14:textId="38F4B5A7" w:rsidR="00A237E3" w:rsidRPr="00A237E3" w:rsidRDefault="000E3FA4" w:rsidP="00A237E3">
            <w:pPr>
              <w:pStyle w:val="ListParagraph"/>
              <w:numPr>
                <w:ilvl w:val="0"/>
                <w:numId w:val="58"/>
              </w:numPr>
              <w:spacing w:after="0"/>
              <w:ind w:left="322"/>
              <w:rPr>
                <w:b w:val="0"/>
                <w:bCs w:val="0"/>
              </w:rPr>
            </w:pPr>
            <w:r w:rsidRPr="00A237E3">
              <w:rPr>
                <w:b w:val="0"/>
                <w:bCs w:val="0"/>
              </w:rPr>
              <w:t>14 March 2023</w:t>
            </w:r>
          </w:p>
        </w:tc>
        <w:tc>
          <w:tcPr>
            <w:tcW w:w="1694" w:type="dxa"/>
            <w:tcBorders>
              <w:top w:val="nil"/>
              <w:bottom w:val="nil"/>
            </w:tcBorders>
          </w:tcPr>
          <w:p w14:paraId="10F4976B" w14:textId="77777777" w:rsidR="00A237E3" w:rsidRPr="00C4084C" w:rsidRDefault="00A237E3" w:rsidP="00A237E3">
            <w:pPr>
              <w:spacing w:after="0"/>
              <w:cnfStyle w:val="000000000000" w:firstRow="0" w:lastRow="0" w:firstColumn="0" w:lastColumn="0" w:oddVBand="0" w:evenVBand="0" w:oddHBand="0" w:evenHBand="0" w:firstRowFirstColumn="0" w:firstRowLastColumn="0" w:lastRowFirstColumn="0" w:lastRowLastColumn="0"/>
            </w:pPr>
          </w:p>
        </w:tc>
        <w:tc>
          <w:tcPr>
            <w:tcW w:w="3267" w:type="dxa"/>
          </w:tcPr>
          <w:p w14:paraId="23818FE1" w14:textId="5B16FB29" w:rsidR="00A237E3" w:rsidRPr="00C4084C" w:rsidRDefault="000E3FA4" w:rsidP="00A237E3">
            <w:pPr>
              <w:pStyle w:val="ListParagraph"/>
              <w:numPr>
                <w:ilvl w:val="0"/>
                <w:numId w:val="60"/>
              </w:numPr>
              <w:spacing w:after="0"/>
              <w:ind w:left="321"/>
              <w:cnfStyle w:val="000000000000" w:firstRow="0" w:lastRow="0" w:firstColumn="0" w:lastColumn="0" w:oddVBand="0" w:evenVBand="0" w:oddHBand="0" w:evenHBand="0" w:firstRowFirstColumn="0" w:firstRowLastColumn="0" w:lastRowFirstColumn="0" w:lastRowLastColumn="0"/>
            </w:pPr>
            <w:r w:rsidRPr="00C4084C">
              <w:t>20 September 2023</w:t>
            </w:r>
          </w:p>
        </w:tc>
      </w:tr>
      <w:tr w:rsidR="00A237E3" w:rsidRPr="00C4084C" w14:paraId="10856171" w14:textId="77777777" w:rsidTr="001B1DB2">
        <w:trPr>
          <w:trHeight w:val="420"/>
        </w:trPr>
        <w:tc>
          <w:tcPr>
            <w:cnfStyle w:val="001000000000" w:firstRow="0" w:lastRow="0" w:firstColumn="1" w:lastColumn="0" w:oddVBand="0" w:evenVBand="0" w:oddHBand="0" w:evenHBand="0" w:firstRowFirstColumn="0" w:firstRowLastColumn="0" w:lastRowFirstColumn="0" w:lastRowLastColumn="0"/>
            <w:tcW w:w="3261" w:type="dxa"/>
          </w:tcPr>
          <w:p w14:paraId="1B0B6885" w14:textId="34510E80" w:rsidR="00A237E3" w:rsidRPr="001110A3" w:rsidRDefault="001110A3" w:rsidP="00A237E3">
            <w:pPr>
              <w:pStyle w:val="ListParagraph"/>
              <w:numPr>
                <w:ilvl w:val="0"/>
                <w:numId w:val="58"/>
              </w:numPr>
              <w:spacing w:after="0"/>
              <w:ind w:left="322"/>
              <w:rPr>
                <w:b w:val="0"/>
                <w:bCs w:val="0"/>
              </w:rPr>
            </w:pPr>
            <w:r w:rsidRPr="001110A3">
              <w:rPr>
                <w:b w:val="0"/>
                <w:bCs w:val="0"/>
              </w:rPr>
              <w:t>21 March 2023</w:t>
            </w:r>
          </w:p>
        </w:tc>
        <w:tc>
          <w:tcPr>
            <w:tcW w:w="1694" w:type="dxa"/>
            <w:tcBorders>
              <w:top w:val="nil"/>
              <w:bottom w:val="nil"/>
            </w:tcBorders>
          </w:tcPr>
          <w:p w14:paraId="541517EF" w14:textId="77777777" w:rsidR="00A237E3" w:rsidRPr="00C4084C" w:rsidRDefault="00A237E3" w:rsidP="00A237E3">
            <w:pPr>
              <w:spacing w:after="0"/>
              <w:cnfStyle w:val="000000000000" w:firstRow="0" w:lastRow="0" w:firstColumn="0" w:lastColumn="0" w:oddVBand="0" w:evenVBand="0" w:oddHBand="0" w:evenHBand="0" w:firstRowFirstColumn="0" w:firstRowLastColumn="0" w:lastRowFirstColumn="0" w:lastRowLastColumn="0"/>
            </w:pPr>
          </w:p>
        </w:tc>
        <w:tc>
          <w:tcPr>
            <w:tcW w:w="3267" w:type="dxa"/>
          </w:tcPr>
          <w:p w14:paraId="1FB57CE7" w14:textId="1616B421" w:rsidR="00A237E3" w:rsidRPr="001110A3" w:rsidRDefault="001110A3" w:rsidP="00A237E3">
            <w:pPr>
              <w:pStyle w:val="ListParagraph"/>
              <w:numPr>
                <w:ilvl w:val="0"/>
                <w:numId w:val="60"/>
              </w:numPr>
              <w:spacing w:after="0"/>
              <w:ind w:left="321"/>
              <w:cnfStyle w:val="000000000000" w:firstRow="0" w:lastRow="0" w:firstColumn="0" w:lastColumn="0" w:oddVBand="0" w:evenVBand="0" w:oddHBand="0" w:evenHBand="0" w:firstRowFirstColumn="0" w:firstRowLastColumn="0" w:lastRowFirstColumn="0" w:lastRowLastColumn="0"/>
            </w:pPr>
            <w:r w:rsidRPr="001110A3">
              <w:t>26 September 2023</w:t>
            </w:r>
          </w:p>
        </w:tc>
      </w:tr>
      <w:tr w:rsidR="00A237E3" w:rsidRPr="00C4084C" w14:paraId="4216E186" w14:textId="77777777" w:rsidTr="001B1DB2">
        <w:trPr>
          <w:trHeight w:val="420"/>
        </w:trPr>
        <w:tc>
          <w:tcPr>
            <w:cnfStyle w:val="001000000000" w:firstRow="0" w:lastRow="0" w:firstColumn="1" w:lastColumn="0" w:oddVBand="0" w:evenVBand="0" w:oddHBand="0" w:evenHBand="0" w:firstRowFirstColumn="0" w:firstRowLastColumn="0" w:lastRowFirstColumn="0" w:lastRowLastColumn="0"/>
            <w:tcW w:w="3261" w:type="dxa"/>
          </w:tcPr>
          <w:p w14:paraId="67F7F661" w14:textId="549ED3BA" w:rsidR="00A237E3" w:rsidRPr="00A237E3" w:rsidRDefault="000E3FA4" w:rsidP="00A237E3">
            <w:pPr>
              <w:pStyle w:val="ListParagraph"/>
              <w:numPr>
                <w:ilvl w:val="0"/>
                <w:numId w:val="58"/>
              </w:numPr>
              <w:spacing w:after="0"/>
              <w:ind w:left="322"/>
              <w:rPr>
                <w:b w:val="0"/>
                <w:bCs w:val="0"/>
              </w:rPr>
            </w:pPr>
            <w:r w:rsidRPr="00A237E3">
              <w:rPr>
                <w:b w:val="0"/>
                <w:bCs w:val="0"/>
              </w:rPr>
              <w:t>28 March 2023</w:t>
            </w:r>
          </w:p>
        </w:tc>
        <w:tc>
          <w:tcPr>
            <w:tcW w:w="1694" w:type="dxa"/>
            <w:tcBorders>
              <w:top w:val="nil"/>
              <w:bottom w:val="nil"/>
            </w:tcBorders>
          </w:tcPr>
          <w:p w14:paraId="5106B4EF" w14:textId="77777777" w:rsidR="00A237E3" w:rsidRPr="00C4084C" w:rsidRDefault="00A237E3" w:rsidP="00A237E3">
            <w:pPr>
              <w:spacing w:after="0"/>
              <w:cnfStyle w:val="000000000000" w:firstRow="0" w:lastRow="0" w:firstColumn="0" w:lastColumn="0" w:oddVBand="0" w:evenVBand="0" w:oddHBand="0" w:evenHBand="0" w:firstRowFirstColumn="0" w:firstRowLastColumn="0" w:lastRowFirstColumn="0" w:lastRowLastColumn="0"/>
            </w:pPr>
          </w:p>
        </w:tc>
        <w:tc>
          <w:tcPr>
            <w:tcW w:w="3267" w:type="dxa"/>
          </w:tcPr>
          <w:p w14:paraId="2EB3C846" w14:textId="16F3F943" w:rsidR="00A237E3" w:rsidRPr="00C4084C" w:rsidRDefault="00040046" w:rsidP="00A237E3">
            <w:pPr>
              <w:pStyle w:val="ListParagraph"/>
              <w:numPr>
                <w:ilvl w:val="0"/>
                <w:numId w:val="60"/>
              </w:numPr>
              <w:spacing w:after="0"/>
              <w:ind w:left="321"/>
              <w:cnfStyle w:val="000000000000" w:firstRow="0" w:lastRow="0" w:firstColumn="0" w:lastColumn="0" w:oddVBand="0" w:evenVBand="0" w:oddHBand="0" w:evenHBand="0" w:firstRowFirstColumn="0" w:firstRowLastColumn="0" w:lastRowFirstColumn="0" w:lastRowLastColumn="0"/>
            </w:pPr>
            <w:r w:rsidRPr="00C4084C">
              <w:t>3 October 2023</w:t>
            </w:r>
          </w:p>
        </w:tc>
      </w:tr>
      <w:tr w:rsidR="00A237E3" w:rsidRPr="00C4084C" w14:paraId="1C94BF74" w14:textId="77777777" w:rsidTr="001B1DB2">
        <w:trPr>
          <w:trHeight w:val="420"/>
        </w:trPr>
        <w:tc>
          <w:tcPr>
            <w:cnfStyle w:val="001000000000" w:firstRow="0" w:lastRow="0" w:firstColumn="1" w:lastColumn="0" w:oddVBand="0" w:evenVBand="0" w:oddHBand="0" w:evenHBand="0" w:firstRowFirstColumn="0" w:firstRowLastColumn="0" w:lastRowFirstColumn="0" w:lastRowLastColumn="0"/>
            <w:tcW w:w="3261" w:type="dxa"/>
          </w:tcPr>
          <w:p w14:paraId="02D69F16" w14:textId="333CDCD3" w:rsidR="00A237E3" w:rsidRPr="000E3FA4" w:rsidRDefault="000E3FA4" w:rsidP="00A237E3">
            <w:pPr>
              <w:pStyle w:val="ListParagraph"/>
              <w:numPr>
                <w:ilvl w:val="0"/>
                <w:numId w:val="58"/>
              </w:numPr>
              <w:spacing w:after="0"/>
              <w:ind w:left="322"/>
              <w:rPr>
                <w:b w:val="0"/>
                <w:bCs w:val="0"/>
              </w:rPr>
            </w:pPr>
            <w:r w:rsidRPr="000E3FA4">
              <w:rPr>
                <w:b w:val="0"/>
                <w:bCs w:val="0"/>
              </w:rPr>
              <w:t>4 April 2023</w:t>
            </w:r>
          </w:p>
        </w:tc>
        <w:tc>
          <w:tcPr>
            <w:tcW w:w="1694" w:type="dxa"/>
            <w:tcBorders>
              <w:top w:val="nil"/>
              <w:bottom w:val="nil"/>
            </w:tcBorders>
          </w:tcPr>
          <w:p w14:paraId="4B2372F3" w14:textId="77777777" w:rsidR="00A237E3" w:rsidRPr="00C4084C" w:rsidRDefault="00A237E3" w:rsidP="00A237E3">
            <w:pPr>
              <w:spacing w:after="0"/>
              <w:ind w:left="360"/>
              <w:cnfStyle w:val="000000000000" w:firstRow="0" w:lastRow="0" w:firstColumn="0" w:lastColumn="0" w:oddVBand="0" w:evenVBand="0" w:oddHBand="0" w:evenHBand="0" w:firstRowFirstColumn="0" w:firstRowLastColumn="0" w:lastRowFirstColumn="0" w:lastRowLastColumn="0"/>
            </w:pPr>
          </w:p>
        </w:tc>
        <w:tc>
          <w:tcPr>
            <w:tcW w:w="3267" w:type="dxa"/>
          </w:tcPr>
          <w:p w14:paraId="7EA1B474" w14:textId="2FAE0481" w:rsidR="00A237E3" w:rsidRPr="001110A3" w:rsidRDefault="001110A3" w:rsidP="00A237E3">
            <w:pPr>
              <w:pStyle w:val="ListParagraph"/>
              <w:numPr>
                <w:ilvl w:val="0"/>
                <w:numId w:val="60"/>
              </w:numPr>
              <w:spacing w:after="0"/>
              <w:ind w:left="321"/>
              <w:cnfStyle w:val="000000000000" w:firstRow="0" w:lastRow="0" w:firstColumn="0" w:lastColumn="0" w:oddVBand="0" w:evenVBand="0" w:oddHBand="0" w:evenHBand="0" w:firstRowFirstColumn="0" w:firstRowLastColumn="0" w:lastRowFirstColumn="0" w:lastRowLastColumn="0"/>
            </w:pPr>
            <w:r w:rsidRPr="001110A3">
              <w:t>10 October 2023</w:t>
            </w:r>
          </w:p>
        </w:tc>
      </w:tr>
      <w:tr w:rsidR="00A237E3" w:rsidRPr="00C4084C" w14:paraId="49960519" w14:textId="77777777" w:rsidTr="001B1DB2">
        <w:trPr>
          <w:trHeight w:val="420"/>
        </w:trPr>
        <w:tc>
          <w:tcPr>
            <w:cnfStyle w:val="001000000000" w:firstRow="0" w:lastRow="0" w:firstColumn="1" w:lastColumn="0" w:oddVBand="0" w:evenVBand="0" w:oddHBand="0" w:evenHBand="0" w:firstRowFirstColumn="0" w:firstRowLastColumn="0" w:lastRowFirstColumn="0" w:lastRowLastColumn="0"/>
            <w:tcW w:w="3261" w:type="dxa"/>
          </w:tcPr>
          <w:p w14:paraId="1181928B" w14:textId="00DEA3F0" w:rsidR="00A237E3" w:rsidRPr="00A237E3" w:rsidRDefault="000E3FA4" w:rsidP="00A237E3">
            <w:pPr>
              <w:pStyle w:val="ListParagraph"/>
              <w:numPr>
                <w:ilvl w:val="0"/>
                <w:numId w:val="58"/>
              </w:numPr>
              <w:spacing w:after="0"/>
              <w:ind w:left="322"/>
              <w:rPr>
                <w:b w:val="0"/>
                <w:bCs w:val="0"/>
              </w:rPr>
            </w:pPr>
            <w:r w:rsidRPr="00A237E3">
              <w:rPr>
                <w:b w:val="0"/>
                <w:bCs w:val="0"/>
              </w:rPr>
              <w:t>11 April 2023</w:t>
            </w:r>
          </w:p>
        </w:tc>
        <w:tc>
          <w:tcPr>
            <w:tcW w:w="1694" w:type="dxa"/>
            <w:tcBorders>
              <w:top w:val="nil"/>
              <w:bottom w:val="nil"/>
            </w:tcBorders>
          </w:tcPr>
          <w:p w14:paraId="68962CE5" w14:textId="77777777" w:rsidR="00A237E3" w:rsidRPr="00C4084C" w:rsidRDefault="00A237E3" w:rsidP="00A237E3">
            <w:pPr>
              <w:spacing w:after="0"/>
              <w:ind w:left="360"/>
              <w:cnfStyle w:val="000000000000" w:firstRow="0" w:lastRow="0" w:firstColumn="0" w:lastColumn="0" w:oddVBand="0" w:evenVBand="0" w:oddHBand="0" w:evenHBand="0" w:firstRowFirstColumn="0" w:firstRowLastColumn="0" w:lastRowFirstColumn="0" w:lastRowLastColumn="0"/>
            </w:pPr>
          </w:p>
        </w:tc>
        <w:tc>
          <w:tcPr>
            <w:tcW w:w="3267" w:type="dxa"/>
          </w:tcPr>
          <w:p w14:paraId="32DFAA53" w14:textId="22675CD7" w:rsidR="00A237E3" w:rsidRPr="00C4084C" w:rsidRDefault="000E3FA4" w:rsidP="00A237E3">
            <w:pPr>
              <w:pStyle w:val="ListParagraph"/>
              <w:numPr>
                <w:ilvl w:val="0"/>
                <w:numId w:val="60"/>
              </w:numPr>
              <w:spacing w:after="0"/>
              <w:ind w:left="321"/>
              <w:cnfStyle w:val="000000000000" w:firstRow="0" w:lastRow="0" w:firstColumn="0" w:lastColumn="0" w:oddVBand="0" w:evenVBand="0" w:oddHBand="0" w:evenHBand="0" w:firstRowFirstColumn="0" w:firstRowLastColumn="0" w:lastRowFirstColumn="0" w:lastRowLastColumn="0"/>
            </w:pPr>
            <w:r w:rsidRPr="00C4084C">
              <w:t>17 October 2023</w:t>
            </w:r>
          </w:p>
        </w:tc>
      </w:tr>
      <w:tr w:rsidR="00A237E3" w:rsidRPr="00C4084C" w14:paraId="1A6714E9" w14:textId="77777777" w:rsidTr="001B1DB2">
        <w:trPr>
          <w:trHeight w:val="420"/>
        </w:trPr>
        <w:tc>
          <w:tcPr>
            <w:cnfStyle w:val="001000000000" w:firstRow="0" w:lastRow="0" w:firstColumn="1" w:lastColumn="0" w:oddVBand="0" w:evenVBand="0" w:oddHBand="0" w:evenHBand="0" w:firstRowFirstColumn="0" w:firstRowLastColumn="0" w:lastRowFirstColumn="0" w:lastRowLastColumn="0"/>
            <w:tcW w:w="3261" w:type="dxa"/>
          </w:tcPr>
          <w:p w14:paraId="1B4E6CD9" w14:textId="69E601D2" w:rsidR="00A237E3" w:rsidRPr="00E671A4" w:rsidRDefault="00E671A4" w:rsidP="00A237E3">
            <w:pPr>
              <w:pStyle w:val="ListParagraph"/>
              <w:numPr>
                <w:ilvl w:val="0"/>
                <w:numId w:val="58"/>
              </w:numPr>
              <w:spacing w:after="0"/>
              <w:ind w:left="322"/>
              <w:rPr>
                <w:b w:val="0"/>
                <w:bCs w:val="0"/>
              </w:rPr>
            </w:pPr>
            <w:r w:rsidRPr="00E671A4">
              <w:rPr>
                <w:b w:val="0"/>
                <w:bCs w:val="0"/>
              </w:rPr>
              <w:t>18 April 2023</w:t>
            </w:r>
          </w:p>
        </w:tc>
        <w:tc>
          <w:tcPr>
            <w:tcW w:w="1694" w:type="dxa"/>
            <w:tcBorders>
              <w:top w:val="nil"/>
              <w:bottom w:val="nil"/>
            </w:tcBorders>
          </w:tcPr>
          <w:p w14:paraId="1C90F931" w14:textId="77777777" w:rsidR="00A237E3" w:rsidRPr="00C4084C" w:rsidRDefault="00A237E3" w:rsidP="00A237E3">
            <w:pPr>
              <w:spacing w:after="0"/>
              <w:ind w:left="360"/>
              <w:cnfStyle w:val="000000000000" w:firstRow="0" w:lastRow="0" w:firstColumn="0" w:lastColumn="0" w:oddVBand="0" w:evenVBand="0" w:oddHBand="0" w:evenHBand="0" w:firstRowFirstColumn="0" w:firstRowLastColumn="0" w:lastRowFirstColumn="0" w:lastRowLastColumn="0"/>
            </w:pPr>
          </w:p>
        </w:tc>
        <w:tc>
          <w:tcPr>
            <w:tcW w:w="3267" w:type="dxa"/>
          </w:tcPr>
          <w:p w14:paraId="2AB26F5D" w14:textId="5FA995FB" w:rsidR="00A237E3" w:rsidRPr="000E3FA4" w:rsidRDefault="000E3FA4" w:rsidP="00A237E3">
            <w:pPr>
              <w:pStyle w:val="ListParagraph"/>
              <w:numPr>
                <w:ilvl w:val="0"/>
                <w:numId w:val="60"/>
              </w:numPr>
              <w:spacing w:after="0"/>
              <w:ind w:left="321"/>
              <w:cnfStyle w:val="000000000000" w:firstRow="0" w:lastRow="0" w:firstColumn="0" w:lastColumn="0" w:oddVBand="0" w:evenVBand="0" w:oddHBand="0" w:evenHBand="0" w:firstRowFirstColumn="0" w:firstRowLastColumn="0" w:lastRowFirstColumn="0" w:lastRowLastColumn="0"/>
            </w:pPr>
            <w:r w:rsidRPr="000E3FA4">
              <w:t>20 October 2023</w:t>
            </w:r>
          </w:p>
        </w:tc>
      </w:tr>
      <w:tr w:rsidR="00A237E3" w:rsidRPr="00C4084C" w14:paraId="2CB985FE" w14:textId="77777777" w:rsidTr="001B1DB2">
        <w:trPr>
          <w:trHeight w:val="420"/>
        </w:trPr>
        <w:tc>
          <w:tcPr>
            <w:cnfStyle w:val="001000000000" w:firstRow="0" w:lastRow="0" w:firstColumn="1" w:lastColumn="0" w:oddVBand="0" w:evenVBand="0" w:oddHBand="0" w:evenHBand="0" w:firstRowFirstColumn="0" w:firstRowLastColumn="0" w:lastRowFirstColumn="0" w:lastRowLastColumn="0"/>
            <w:tcW w:w="3261" w:type="dxa"/>
          </w:tcPr>
          <w:p w14:paraId="7F99E51D" w14:textId="34764354" w:rsidR="00A237E3" w:rsidRPr="00A237E3" w:rsidRDefault="000E3FA4" w:rsidP="00A237E3">
            <w:pPr>
              <w:pStyle w:val="ListParagraph"/>
              <w:numPr>
                <w:ilvl w:val="0"/>
                <w:numId w:val="58"/>
              </w:numPr>
              <w:spacing w:after="0"/>
              <w:ind w:left="322"/>
              <w:rPr>
                <w:b w:val="0"/>
                <w:bCs w:val="0"/>
              </w:rPr>
            </w:pPr>
            <w:r w:rsidRPr="00A237E3">
              <w:rPr>
                <w:b w:val="0"/>
                <w:bCs w:val="0"/>
              </w:rPr>
              <w:t>2 May 2023</w:t>
            </w:r>
          </w:p>
        </w:tc>
        <w:tc>
          <w:tcPr>
            <w:tcW w:w="1694" w:type="dxa"/>
            <w:tcBorders>
              <w:top w:val="nil"/>
              <w:bottom w:val="nil"/>
            </w:tcBorders>
          </w:tcPr>
          <w:p w14:paraId="7BF72844" w14:textId="77777777" w:rsidR="00A237E3" w:rsidRPr="00C4084C" w:rsidRDefault="00A237E3" w:rsidP="00A237E3">
            <w:pPr>
              <w:spacing w:after="0"/>
              <w:ind w:left="360"/>
              <w:cnfStyle w:val="000000000000" w:firstRow="0" w:lastRow="0" w:firstColumn="0" w:lastColumn="0" w:oddVBand="0" w:evenVBand="0" w:oddHBand="0" w:evenHBand="0" w:firstRowFirstColumn="0" w:firstRowLastColumn="0" w:lastRowFirstColumn="0" w:lastRowLastColumn="0"/>
            </w:pPr>
          </w:p>
        </w:tc>
        <w:tc>
          <w:tcPr>
            <w:tcW w:w="3267" w:type="dxa"/>
          </w:tcPr>
          <w:p w14:paraId="4DF78BC3" w14:textId="0F84E2A1" w:rsidR="00A237E3" w:rsidRPr="00C4084C" w:rsidRDefault="000E3FA4" w:rsidP="00A237E3">
            <w:pPr>
              <w:pStyle w:val="ListParagraph"/>
              <w:numPr>
                <w:ilvl w:val="0"/>
                <w:numId w:val="60"/>
              </w:numPr>
              <w:spacing w:after="0"/>
              <w:ind w:left="321"/>
              <w:cnfStyle w:val="000000000000" w:firstRow="0" w:lastRow="0" w:firstColumn="0" w:lastColumn="0" w:oddVBand="0" w:evenVBand="0" w:oddHBand="0" w:evenHBand="0" w:firstRowFirstColumn="0" w:firstRowLastColumn="0" w:lastRowFirstColumn="0" w:lastRowLastColumn="0"/>
            </w:pPr>
            <w:r w:rsidRPr="00C4084C">
              <w:t>24 October 2023</w:t>
            </w:r>
          </w:p>
        </w:tc>
      </w:tr>
      <w:tr w:rsidR="00A237E3" w:rsidRPr="00C4084C" w14:paraId="6786245D" w14:textId="77777777" w:rsidTr="001B1DB2">
        <w:trPr>
          <w:trHeight w:val="420"/>
        </w:trPr>
        <w:tc>
          <w:tcPr>
            <w:cnfStyle w:val="001000000000" w:firstRow="0" w:lastRow="0" w:firstColumn="1" w:lastColumn="0" w:oddVBand="0" w:evenVBand="0" w:oddHBand="0" w:evenHBand="0" w:firstRowFirstColumn="0" w:firstRowLastColumn="0" w:lastRowFirstColumn="0" w:lastRowLastColumn="0"/>
            <w:tcW w:w="3261" w:type="dxa"/>
          </w:tcPr>
          <w:p w14:paraId="6456260E" w14:textId="0567F84A" w:rsidR="00A237E3" w:rsidRPr="000E3FA4" w:rsidRDefault="000E3FA4" w:rsidP="00A237E3">
            <w:pPr>
              <w:pStyle w:val="ListParagraph"/>
              <w:numPr>
                <w:ilvl w:val="0"/>
                <w:numId w:val="58"/>
              </w:numPr>
              <w:spacing w:after="0"/>
              <w:ind w:left="322"/>
              <w:rPr>
                <w:b w:val="0"/>
                <w:bCs w:val="0"/>
              </w:rPr>
            </w:pPr>
            <w:r w:rsidRPr="000E3FA4">
              <w:rPr>
                <w:b w:val="0"/>
                <w:bCs w:val="0"/>
              </w:rPr>
              <w:t>9 May 2023</w:t>
            </w:r>
          </w:p>
        </w:tc>
        <w:tc>
          <w:tcPr>
            <w:tcW w:w="1694" w:type="dxa"/>
            <w:tcBorders>
              <w:top w:val="nil"/>
              <w:bottom w:val="nil"/>
            </w:tcBorders>
          </w:tcPr>
          <w:p w14:paraId="224CB60D" w14:textId="77777777" w:rsidR="00A237E3" w:rsidRPr="00C4084C" w:rsidRDefault="00A237E3" w:rsidP="00A237E3">
            <w:pPr>
              <w:spacing w:after="0"/>
              <w:ind w:left="360"/>
              <w:cnfStyle w:val="000000000000" w:firstRow="0" w:lastRow="0" w:firstColumn="0" w:lastColumn="0" w:oddVBand="0" w:evenVBand="0" w:oddHBand="0" w:evenHBand="0" w:firstRowFirstColumn="0" w:firstRowLastColumn="0" w:lastRowFirstColumn="0" w:lastRowLastColumn="0"/>
            </w:pPr>
          </w:p>
        </w:tc>
        <w:tc>
          <w:tcPr>
            <w:tcW w:w="3267" w:type="dxa"/>
          </w:tcPr>
          <w:p w14:paraId="57FEDD8C" w14:textId="0FE2CDC5" w:rsidR="00A237E3" w:rsidRPr="00040046" w:rsidRDefault="00040046" w:rsidP="00A237E3">
            <w:pPr>
              <w:pStyle w:val="ListParagraph"/>
              <w:numPr>
                <w:ilvl w:val="0"/>
                <w:numId w:val="60"/>
              </w:numPr>
              <w:spacing w:after="0"/>
              <w:ind w:left="321"/>
              <w:cnfStyle w:val="000000000000" w:firstRow="0" w:lastRow="0" w:firstColumn="0" w:lastColumn="0" w:oddVBand="0" w:evenVBand="0" w:oddHBand="0" w:evenHBand="0" w:firstRowFirstColumn="0" w:firstRowLastColumn="0" w:lastRowFirstColumn="0" w:lastRowLastColumn="0"/>
            </w:pPr>
            <w:r w:rsidRPr="00040046">
              <w:t>31 October 2023</w:t>
            </w:r>
          </w:p>
        </w:tc>
      </w:tr>
      <w:tr w:rsidR="00A237E3" w:rsidRPr="00C4084C" w14:paraId="27108A25" w14:textId="77777777" w:rsidTr="001B1DB2">
        <w:trPr>
          <w:trHeight w:val="420"/>
        </w:trPr>
        <w:tc>
          <w:tcPr>
            <w:cnfStyle w:val="001000000000" w:firstRow="0" w:lastRow="0" w:firstColumn="1" w:lastColumn="0" w:oddVBand="0" w:evenVBand="0" w:oddHBand="0" w:evenHBand="0" w:firstRowFirstColumn="0" w:firstRowLastColumn="0" w:lastRowFirstColumn="0" w:lastRowLastColumn="0"/>
            <w:tcW w:w="3261" w:type="dxa"/>
          </w:tcPr>
          <w:p w14:paraId="202E0231" w14:textId="1FD44247" w:rsidR="00A237E3" w:rsidRPr="00A237E3" w:rsidRDefault="000E3FA4" w:rsidP="00A237E3">
            <w:pPr>
              <w:pStyle w:val="ListParagraph"/>
              <w:numPr>
                <w:ilvl w:val="0"/>
                <w:numId w:val="58"/>
              </w:numPr>
              <w:spacing w:after="0"/>
              <w:ind w:left="322"/>
              <w:rPr>
                <w:b w:val="0"/>
                <w:bCs w:val="0"/>
              </w:rPr>
            </w:pPr>
            <w:r w:rsidRPr="00A237E3">
              <w:rPr>
                <w:b w:val="0"/>
                <w:bCs w:val="0"/>
              </w:rPr>
              <w:t>16 May 2023</w:t>
            </w:r>
          </w:p>
        </w:tc>
        <w:tc>
          <w:tcPr>
            <w:tcW w:w="1694" w:type="dxa"/>
            <w:tcBorders>
              <w:top w:val="nil"/>
              <w:bottom w:val="nil"/>
            </w:tcBorders>
          </w:tcPr>
          <w:p w14:paraId="5301F860" w14:textId="77777777" w:rsidR="00A237E3" w:rsidRPr="00C4084C" w:rsidRDefault="00A237E3" w:rsidP="00A237E3">
            <w:pPr>
              <w:spacing w:after="0"/>
              <w:ind w:left="360"/>
              <w:cnfStyle w:val="000000000000" w:firstRow="0" w:lastRow="0" w:firstColumn="0" w:lastColumn="0" w:oddVBand="0" w:evenVBand="0" w:oddHBand="0" w:evenHBand="0" w:firstRowFirstColumn="0" w:firstRowLastColumn="0" w:lastRowFirstColumn="0" w:lastRowLastColumn="0"/>
            </w:pPr>
          </w:p>
        </w:tc>
        <w:tc>
          <w:tcPr>
            <w:tcW w:w="3267" w:type="dxa"/>
          </w:tcPr>
          <w:p w14:paraId="2016D5B0" w14:textId="363176C4" w:rsidR="00A237E3" w:rsidRPr="00C4084C" w:rsidRDefault="000E3FA4" w:rsidP="00A237E3">
            <w:pPr>
              <w:pStyle w:val="ListParagraph"/>
              <w:numPr>
                <w:ilvl w:val="0"/>
                <w:numId w:val="60"/>
              </w:numPr>
              <w:spacing w:after="0"/>
              <w:ind w:left="321"/>
              <w:cnfStyle w:val="000000000000" w:firstRow="0" w:lastRow="0" w:firstColumn="0" w:lastColumn="0" w:oddVBand="0" w:evenVBand="0" w:oddHBand="0" w:evenHBand="0" w:firstRowFirstColumn="0" w:firstRowLastColumn="0" w:lastRowFirstColumn="0" w:lastRowLastColumn="0"/>
            </w:pPr>
            <w:r w:rsidRPr="00C4084C">
              <w:t>7 November 2023</w:t>
            </w:r>
          </w:p>
        </w:tc>
      </w:tr>
      <w:tr w:rsidR="00A237E3" w:rsidRPr="00C4084C" w14:paraId="1C432C7A" w14:textId="77777777" w:rsidTr="001B1DB2">
        <w:trPr>
          <w:trHeight w:val="420"/>
        </w:trPr>
        <w:tc>
          <w:tcPr>
            <w:cnfStyle w:val="001000000000" w:firstRow="0" w:lastRow="0" w:firstColumn="1" w:lastColumn="0" w:oddVBand="0" w:evenVBand="0" w:oddHBand="0" w:evenHBand="0" w:firstRowFirstColumn="0" w:firstRowLastColumn="0" w:lastRowFirstColumn="0" w:lastRowLastColumn="0"/>
            <w:tcW w:w="3261" w:type="dxa"/>
          </w:tcPr>
          <w:p w14:paraId="409072AD" w14:textId="480C69AC" w:rsidR="00A237E3" w:rsidRPr="000E3FA4" w:rsidRDefault="000E3FA4" w:rsidP="00A237E3">
            <w:pPr>
              <w:pStyle w:val="ListParagraph"/>
              <w:numPr>
                <w:ilvl w:val="0"/>
                <w:numId w:val="58"/>
              </w:numPr>
              <w:spacing w:after="0"/>
              <w:ind w:left="322"/>
              <w:rPr>
                <w:b w:val="0"/>
                <w:bCs w:val="0"/>
              </w:rPr>
            </w:pPr>
            <w:r w:rsidRPr="000E3FA4">
              <w:rPr>
                <w:b w:val="0"/>
                <w:bCs w:val="0"/>
              </w:rPr>
              <w:t>23 May 2023</w:t>
            </w:r>
          </w:p>
        </w:tc>
        <w:tc>
          <w:tcPr>
            <w:tcW w:w="1694" w:type="dxa"/>
            <w:tcBorders>
              <w:top w:val="nil"/>
              <w:bottom w:val="nil"/>
            </w:tcBorders>
          </w:tcPr>
          <w:p w14:paraId="456029CB" w14:textId="77777777" w:rsidR="00A237E3" w:rsidRPr="00C4084C" w:rsidRDefault="00A237E3" w:rsidP="00A237E3">
            <w:pPr>
              <w:spacing w:after="0"/>
              <w:ind w:left="360"/>
              <w:cnfStyle w:val="000000000000" w:firstRow="0" w:lastRow="0" w:firstColumn="0" w:lastColumn="0" w:oddVBand="0" w:evenVBand="0" w:oddHBand="0" w:evenHBand="0" w:firstRowFirstColumn="0" w:firstRowLastColumn="0" w:lastRowFirstColumn="0" w:lastRowLastColumn="0"/>
            </w:pPr>
          </w:p>
        </w:tc>
        <w:tc>
          <w:tcPr>
            <w:tcW w:w="3267" w:type="dxa"/>
          </w:tcPr>
          <w:p w14:paraId="008C2A66" w14:textId="140486F1" w:rsidR="00A237E3" w:rsidRPr="000E3FA4" w:rsidRDefault="000E3FA4" w:rsidP="00A237E3">
            <w:pPr>
              <w:pStyle w:val="ListParagraph"/>
              <w:numPr>
                <w:ilvl w:val="0"/>
                <w:numId w:val="60"/>
              </w:numPr>
              <w:spacing w:after="0"/>
              <w:ind w:left="321"/>
              <w:cnfStyle w:val="000000000000" w:firstRow="0" w:lastRow="0" w:firstColumn="0" w:lastColumn="0" w:oddVBand="0" w:evenVBand="0" w:oddHBand="0" w:evenHBand="0" w:firstRowFirstColumn="0" w:firstRowLastColumn="0" w:lastRowFirstColumn="0" w:lastRowLastColumn="0"/>
            </w:pPr>
            <w:r w:rsidRPr="000E3FA4">
              <w:t>9 November 2023</w:t>
            </w:r>
          </w:p>
        </w:tc>
      </w:tr>
      <w:tr w:rsidR="00A237E3" w:rsidRPr="00C4084C" w14:paraId="3D516F80" w14:textId="77777777" w:rsidTr="001B1DB2">
        <w:trPr>
          <w:trHeight w:val="420"/>
        </w:trPr>
        <w:tc>
          <w:tcPr>
            <w:cnfStyle w:val="001000000000" w:firstRow="0" w:lastRow="0" w:firstColumn="1" w:lastColumn="0" w:oddVBand="0" w:evenVBand="0" w:oddHBand="0" w:evenHBand="0" w:firstRowFirstColumn="0" w:firstRowLastColumn="0" w:lastRowFirstColumn="0" w:lastRowLastColumn="0"/>
            <w:tcW w:w="3261" w:type="dxa"/>
          </w:tcPr>
          <w:p w14:paraId="580DF83F" w14:textId="4CEBA4A5" w:rsidR="00A237E3" w:rsidRPr="00A237E3" w:rsidRDefault="001110A3" w:rsidP="00A237E3">
            <w:pPr>
              <w:pStyle w:val="ListParagraph"/>
              <w:numPr>
                <w:ilvl w:val="0"/>
                <w:numId w:val="58"/>
              </w:numPr>
              <w:spacing w:after="0"/>
              <w:ind w:left="322"/>
              <w:rPr>
                <w:b w:val="0"/>
                <w:bCs w:val="0"/>
              </w:rPr>
            </w:pPr>
            <w:r w:rsidRPr="00A237E3">
              <w:rPr>
                <w:b w:val="0"/>
                <w:bCs w:val="0"/>
              </w:rPr>
              <w:t>30 May 2023</w:t>
            </w:r>
          </w:p>
        </w:tc>
        <w:tc>
          <w:tcPr>
            <w:tcW w:w="1694" w:type="dxa"/>
            <w:tcBorders>
              <w:top w:val="nil"/>
              <w:bottom w:val="nil"/>
            </w:tcBorders>
          </w:tcPr>
          <w:p w14:paraId="012498CF" w14:textId="77777777" w:rsidR="00A237E3" w:rsidRPr="00C4084C" w:rsidRDefault="00A237E3" w:rsidP="00A237E3">
            <w:pPr>
              <w:spacing w:after="0"/>
              <w:ind w:left="360"/>
              <w:cnfStyle w:val="000000000000" w:firstRow="0" w:lastRow="0" w:firstColumn="0" w:lastColumn="0" w:oddVBand="0" w:evenVBand="0" w:oddHBand="0" w:evenHBand="0" w:firstRowFirstColumn="0" w:firstRowLastColumn="0" w:lastRowFirstColumn="0" w:lastRowLastColumn="0"/>
            </w:pPr>
          </w:p>
        </w:tc>
        <w:tc>
          <w:tcPr>
            <w:tcW w:w="3267" w:type="dxa"/>
          </w:tcPr>
          <w:p w14:paraId="2AF96982" w14:textId="576B99D8" w:rsidR="00A237E3" w:rsidRPr="00C4084C" w:rsidRDefault="00040046" w:rsidP="00A237E3">
            <w:pPr>
              <w:pStyle w:val="ListParagraph"/>
              <w:numPr>
                <w:ilvl w:val="0"/>
                <w:numId w:val="60"/>
              </w:numPr>
              <w:spacing w:after="0"/>
              <w:ind w:left="321"/>
              <w:cnfStyle w:val="000000000000" w:firstRow="0" w:lastRow="0" w:firstColumn="0" w:lastColumn="0" w:oddVBand="0" w:evenVBand="0" w:oddHBand="0" w:evenHBand="0" w:firstRowFirstColumn="0" w:firstRowLastColumn="0" w:lastRowFirstColumn="0" w:lastRowLastColumn="0"/>
            </w:pPr>
            <w:r w:rsidRPr="00C4084C">
              <w:t>21 November 2023</w:t>
            </w:r>
          </w:p>
        </w:tc>
      </w:tr>
      <w:tr w:rsidR="00A237E3" w:rsidRPr="00C4084C" w14:paraId="471CB958" w14:textId="77777777" w:rsidTr="001B1DB2">
        <w:trPr>
          <w:trHeight w:val="420"/>
        </w:trPr>
        <w:tc>
          <w:tcPr>
            <w:cnfStyle w:val="001000000000" w:firstRow="0" w:lastRow="0" w:firstColumn="1" w:lastColumn="0" w:oddVBand="0" w:evenVBand="0" w:oddHBand="0" w:evenHBand="0" w:firstRowFirstColumn="0" w:firstRowLastColumn="0" w:lastRowFirstColumn="0" w:lastRowLastColumn="0"/>
            <w:tcW w:w="3261" w:type="dxa"/>
          </w:tcPr>
          <w:p w14:paraId="782F6214" w14:textId="4C74F0BF" w:rsidR="00A237E3" w:rsidRPr="001110A3" w:rsidRDefault="001110A3" w:rsidP="00A237E3">
            <w:pPr>
              <w:pStyle w:val="ListParagraph"/>
              <w:numPr>
                <w:ilvl w:val="0"/>
                <w:numId w:val="58"/>
              </w:numPr>
              <w:spacing w:after="0"/>
              <w:ind w:left="322"/>
              <w:rPr>
                <w:b w:val="0"/>
                <w:bCs w:val="0"/>
              </w:rPr>
            </w:pPr>
            <w:r w:rsidRPr="001110A3">
              <w:rPr>
                <w:b w:val="0"/>
                <w:bCs w:val="0"/>
              </w:rPr>
              <w:t>6 June 2023</w:t>
            </w:r>
          </w:p>
        </w:tc>
        <w:tc>
          <w:tcPr>
            <w:tcW w:w="1694" w:type="dxa"/>
            <w:tcBorders>
              <w:top w:val="nil"/>
              <w:bottom w:val="nil"/>
            </w:tcBorders>
          </w:tcPr>
          <w:p w14:paraId="789B79A9" w14:textId="77777777" w:rsidR="00A237E3" w:rsidRPr="00C4084C" w:rsidRDefault="00A237E3" w:rsidP="00A237E3">
            <w:pPr>
              <w:spacing w:after="0"/>
              <w:ind w:left="360"/>
              <w:cnfStyle w:val="000000000000" w:firstRow="0" w:lastRow="0" w:firstColumn="0" w:lastColumn="0" w:oddVBand="0" w:evenVBand="0" w:oddHBand="0" w:evenHBand="0" w:firstRowFirstColumn="0" w:firstRowLastColumn="0" w:lastRowFirstColumn="0" w:lastRowLastColumn="0"/>
            </w:pPr>
          </w:p>
        </w:tc>
        <w:tc>
          <w:tcPr>
            <w:tcW w:w="3267" w:type="dxa"/>
          </w:tcPr>
          <w:p w14:paraId="4CD29EA3" w14:textId="1D9FB3A6" w:rsidR="00A237E3" w:rsidRPr="000E3FA4" w:rsidRDefault="000E3FA4" w:rsidP="00A237E3">
            <w:pPr>
              <w:pStyle w:val="ListParagraph"/>
              <w:numPr>
                <w:ilvl w:val="0"/>
                <w:numId w:val="60"/>
              </w:numPr>
              <w:spacing w:after="0"/>
              <w:ind w:left="321"/>
              <w:cnfStyle w:val="000000000000" w:firstRow="0" w:lastRow="0" w:firstColumn="0" w:lastColumn="0" w:oddVBand="0" w:evenVBand="0" w:oddHBand="0" w:evenHBand="0" w:firstRowFirstColumn="0" w:firstRowLastColumn="0" w:lastRowFirstColumn="0" w:lastRowLastColumn="0"/>
            </w:pPr>
            <w:r w:rsidRPr="000E3FA4">
              <w:t>23 November 2023</w:t>
            </w:r>
          </w:p>
        </w:tc>
      </w:tr>
      <w:tr w:rsidR="00A237E3" w:rsidRPr="00C4084C" w14:paraId="085CEE22" w14:textId="77777777" w:rsidTr="001B1DB2">
        <w:trPr>
          <w:trHeight w:val="420"/>
        </w:trPr>
        <w:tc>
          <w:tcPr>
            <w:cnfStyle w:val="001000000000" w:firstRow="0" w:lastRow="0" w:firstColumn="1" w:lastColumn="0" w:oddVBand="0" w:evenVBand="0" w:oddHBand="0" w:evenHBand="0" w:firstRowFirstColumn="0" w:firstRowLastColumn="0" w:lastRowFirstColumn="0" w:lastRowLastColumn="0"/>
            <w:tcW w:w="3261" w:type="dxa"/>
          </w:tcPr>
          <w:p w14:paraId="33FF2E8D" w14:textId="68FA57B8" w:rsidR="00A237E3" w:rsidRPr="00A237E3" w:rsidRDefault="000E3FA4" w:rsidP="00A237E3">
            <w:pPr>
              <w:pStyle w:val="ListParagraph"/>
              <w:numPr>
                <w:ilvl w:val="0"/>
                <w:numId w:val="58"/>
              </w:numPr>
              <w:spacing w:after="0"/>
              <w:ind w:left="322"/>
              <w:rPr>
                <w:b w:val="0"/>
                <w:bCs w:val="0"/>
              </w:rPr>
            </w:pPr>
            <w:r w:rsidRPr="00A237E3">
              <w:rPr>
                <w:b w:val="0"/>
                <w:bCs w:val="0"/>
              </w:rPr>
              <w:t>9 June 2023</w:t>
            </w:r>
          </w:p>
        </w:tc>
        <w:tc>
          <w:tcPr>
            <w:tcW w:w="1694" w:type="dxa"/>
            <w:tcBorders>
              <w:top w:val="nil"/>
              <w:bottom w:val="nil"/>
            </w:tcBorders>
          </w:tcPr>
          <w:p w14:paraId="532D1F2B" w14:textId="77777777" w:rsidR="00A237E3" w:rsidRPr="00C4084C" w:rsidRDefault="00A237E3" w:rsidP="00A237E3">
            <w:pPr>
              <w:spacing w:after="0"/>
              <w:ind w:left="360"/>
              <w:cnfStyle w:val="000000000000" w:firstRow="0" w:lastRow="0" w:firstColumn="0" w:lastColumn="0" w:oddVBand="0" w:evenVBand="0" w:oddHBand="0" w:evenHBand="0" w:firstRowFirstColumn="0" w:firstRowLastColumn="0" w:lastRowFirstColumn="0" w:lastRowLastColumn="0"/>
            </w:pPr>
          </w:p>
        </w:tc>
        <w:tc>
          <w:tcPr>
            <w:tcW w:w="3267" w:type="dxa"/>
          </w:tcPr>
          <w:p w14:paraId="5FA998EF" w14:textId="6C11A876" w:rsidR="00A237E3" w:rsidRPr="00C4084C" w:rsidRDefault="000E3FA4" w:rsidP="00A237E3">
            <w:pPr>
              <w:pStyle w:val="ListParagraph"/>
              <w:numPr>
                <w:ilvl w:val="0"/>
                <w:numId w:val="60"/>
              </w:numPr>
              <w:spacing w:after="0"/>
              <w:ind w:left="321"/>
              <w:cnfStyle w:val="000000000000" w:firstRow="0" w:lastRow="0" w:firstColumn="0" w:lastColumn="0" w:oddVBand="0" w:evenVBand="0" w:oddHBand="0" w:evenHBand="0" w:firstRowFirstColumn="0" w:firstRowLastColumn="0" w:lastRowFirstColumn="0" w:lastRowLastColumn="0"/>
            </w:pPr>
            <w:r w:rsidRPr="00C4084C">
              <w:t>24 November 2023</w:t>
            </w:r>
          </w:p>
        </w:tc>
      </w:tr>
      <w:tr w:rsidR="00A237E3" w:rsidRPr="00C4084C" w14:paraId="53CC6818" w14:textId="77777777" w:rsidTr="001B1DB2">
        <w:trPr>
          <w:trHeight w:val="420"/>
        </w:trPr>
        <w:tc>
          <w:tcPr>
            <w:cnfStyle w:val="001000000000" w:firstRow="0" w:lastRow="0" w:firstColumn="1" w:lastColumn="0" w:oddVBand="0" w:evenVBand="0" w:oddHBand="0" w:evenHBand="0" w:firstRowFirstColumn="0" w:firstRowLastColumn="0" w:lastRowFirstColumn="0" w:lastRowLastColumn="0"/>
            <w:tcW w:w="3261" w:type="dxa"/>
          </w:tcPr>
          <w:p w14:paraId="702831A4" w14:textId="67FB1F48" w:rsidR="00A237E3" w:rsidRPr="00040046" w:rsidRDefault="00040046" w:rsidP="00A237E3">
            <w:pPr>
              <w:pStyle w:val="ListParagraph"/>
              <w:numPr>
                <w:ilvl w:val="0"/>
                <w:numId w:val="58"/>
              </w:numPr>
              <w:spacing w:after="0"/>
              <w:ind w:left="322"/>
              <w:rPr>
                <w:b w:val="0"/>
                <w:bCs w:val="0"/>
              </w:rPr>
            </w:pPr>
            <w:r w:rsidRPr="00040046">
              <w:rPr>
                <w:b w:val="0"/>
                <w:bCs w:val="0"/>
              </w:rPr>
              <w:t>13 June 2023</w:t>
            </w:r>
          </w:p>
        </w:tc>
        <w:tc>
          <w:tcPr>
            <w:tcW w:w="1694" w:type="dxa"/>
            <w:tcBorders>
              <w:top w:val="nil"/>
              <w:bottom w:val="nil"/>
            </w:tcBorders>
          </w:tcPr>
          <w:p w14:paraId="6276DFB3" w14:textId="77777777" w:rsidR="00A237E3" w:rsidRPr="00C4084C" w:rsidRDefault="00A237E3" w:rsidP="00A237E3">
            <w:pPr>
              <w:spacing w:after="0"/>
              <w:ind w:left="360"/>
              <w:cnfStyle w:val="000000000000" w:firstRow="0" w:lastRow="0" w:firstColumn="0" w:lastColumn="0" w:oddVBand="0" w:evenVBand="0" w:oddHBand="0" w:evenHBand="0" w:firstRowFirstColumn="0" w:firstRowLastColumn="0" w:lastRowFirstColumn="0" w:lastRowLastColumn="0"/>
            </w:pPr>
          </w:p>
        </w:tc>
        <w:tc>
          <w:tcPr>
            <w:tcW w:w="3267" w:type="dxa"/>
          </w:tcPr>
          <w:p w14:paraId="51054F9F" w14:textId="3A0E0E57" w:rsidR="00A237E3" w:rsidRPr="000E3FA4" w:rsidRDefault="000E3FA4" w:rsidP="00A237E3">
            <w:pPr>
              <w:pStyle w:val="ListParagraph"/>
              <w:numPr>
                <w:ilvl w:val="0"/>
                <w:numId w:val="60"/>
              </w:numPr>
              <w:spacing w:after="0"/>
              <w:ind w:left="321"/>
              <w:cnfStyle w:val="000000000000" w:firstRow="0" w:lastRow="0" w:firstColumn="0" w:lastColumn="0" w:oddVBand="0" w:evenVBand="0" w:oddHBand="0" w:evenHBand="0" w:firstRowFirstColumn="0" w:firstRowLastColumn="0" w:lastRowFirstColumn="0" w:lastRowLastColumn="0"/>
            </w:pPr>
            <w:r w:rsidRPr="000E3FA4">
              <w:t>28 November 2023</w:t>
            </w:r>
          </w:p>
        </w:tc>
      </w:tr>
      <w:tr w:rsidR="00A237E3" w:rsidRPr="00C4084C" w14:paraId="4560C2E2" w14:textId="77777777" w:rsidTr="001B1DB2">
        <w:trPr>
          <w:trHeight w:val="420"/>
        </w:trPr>
        <w:tc>
          <w:tcPr>
            <w:cnfStyle w:val="001000000000" w:firstRow="0" w:lastRow="0" w:firstColumn="1" w:lastColumn="0" w:oddVBand="0" w:evenVBand="0" w:oddHBand="0" w:evenHBand="0" w:firstRowFirstColumn="0" w:firstRowLastColumn="0" w:lastRowFirstColumn="0" w:lastRowLastColumn="0"/>
            <w:tcW w:w="3261" w:type="dxa"/>
          </w:tcPr>
          <w:p w14:paraId="63C238AF" w14:textId="17355EB2" w:rsidR="00A237E3" w:rsidRPr="000E3FA4" w:rsidRDefault="000E3FA4" w:rsidP="00A237E3">
            <w:pPr>
              <w:pStyle w:val="ListParagraph"/>
              <w:numPr>
                <w:ilvl w:val="0"/>
                <w:numId w:val="58"/>
              </w:numPr>
              <w:spacing w:after="0"/>
              <w:ind w:left="322"/>
              <w:rPr>
                <w:b w:val="0"/>
                <w:bCs w:val="0"/>
              </w:rPr>
            </w:pPr>
            <w:r w:rsidRPr="000E3FA4">
              <w:rPr>
                <w:b w:val="0"/>
                <w:bCs w:val="0"/>
              </w:rPr>
              <w:t>15 June 2023</w:t>
            </w:r>
          </w:p>
        </w:tc>
        <w:tc>
          <w:tcPr>
            <w:tcW w:w="1694" w:type="dxa"/>
            <w:tcBorders>
              <w:top w:val="nil"/>
              <w:bottom w:val="nil"/>
            </w:tcBorders>
          </w:tcPr>
          <w:p w14:paraId="25912E7A" w14:textId="77777777" w:rsidR="00A237E3" w:rsidRPr="00C4084C" w:rsidRDefault="00A237E3" w:rsidP="00A237E3">
            <w:pPr>
              <w:spacing w:after="0"/>
              <w:ind w:left="360"/>
              <w:cnfStyle w:val="000000000000" w:firstRow="0" w:lastRow="0" w:firstColumn="0" w:lastColumn="0" w:oddVBand="0" w:evenVBand="0" w:oddHBand="0" w:evenHBand="0" w:firstRowFirstColumn="0" w:firstRowLastColumn="0" w:lastRowFirstColumn="0" w:lastRowLastColumn="0"/>
            </w:pPr>
          </w:p>
        </w:tc>
        <w:tc>
          <w:tcPr>
            <w:tcW w:w="3267" w:type="dxa"/>
          </w:tcPr>
          <w:p w14:paraId="2D0574DB" w14:textId="0BD742F3" w:rsidR="00A237E3" w:rsidRPr="00C4084C" w:rsidRDefault="00040046" w:rsidP="00A237E3">
            <w:pPr>
              <w:pStyle w:val="ListParagraph"/>
              <w:numPr>
                <w:ilvl w:val="0"/>
                <w:numId w:val="60"/>
              </w:numPr>
              <w:spacing w:after="0"/>
              <w:ind w:left="321"/>
              <w:cnfStyle w:val="000000000000" w:firstRow="0" w:lastRow="0" w:firstColumn="0" w:lastColumn="0" w:oddVBand="0" w:evenVBand="0" w:oddHBand="0" w:evenHBand="0" w:firstRowFirstColumn="0" w:firstRowLastColumn="0" w:lastRowFirstColumn="0" w:lastRowLastColumn="0"/>
            </w:pPr>
            <w:r w:rsidRPr="00C4084C">
              <w:t>5 December 2023</w:t>
            </w:r>
          </w:p>
        </w:tc>
      </w:tr>
      <w:tr w:rsidR="00A237E3" w:rsidRPr="00C4084C" w14:paraId="6562A6BA" w14:textId="77777777" w:rsidTr="001B1DB2">
        <w:trPr>
          <w:trHeight w:val="420"/>
        </w:trPr>
        <w:tc>
          <w:tcPr>
            <w:cnfStyle w:val="001000000000" w:firstRow="0" w:lastRow="0" w:firstColumn="1" w:lastColumn="0" w:oddVBand="0" w:evenVBand="0" w:oddHBand="0" w:evenHBand="0" w:firstRowFirstColumn="0" w:firstRowLastColumn="0" w:lastRowFirstColumn="0" w:lastRowLastColumn="0"/>
            <w:tcW w:w="3261" w:type="dxa"/>
          </w:tcPr>
          <w:p w14:paraId="2C214353" w14:textId="2D8C0F2D" w:rsidR="00A237E3" w:rsidRPr="001110A3" w:rsidRDefault="001110A3" w:rsidP="00A237E3">
            <w:pPr>
              <w:pStyle w:val="ListParagraph"/>
              <w:numPr>
                <w:ilvl w:val="0"/>
                <w:numId w:val="58"/>
              </w:numPr>
              <w:spacing w:after="0"/>
              <w:ind w:left="322"/>
              <w:rPr>
                <w:b w:val="0"/>
                <w:bCs w:val="0"/>
              </w:rPr>
            </w:pPr>
            <w:r w:rsidRPr="001110A3">
              <w:rPr>
                <w:b w:val="0"/>
                <w:bCs w:val="0"/>
              </w:rPr>
              <w:t>20 June 2023</w:t>
            </w:r>
          </w:p>
        </w:tc>
        <w:tc>
          <w:tcPr>
            <w:tcW w:w="1694" w:type="dxa"/>
            <w:tcBorders>
              <w:top w:val="nil"/>
              <w:bottom w:val="nil"/>
            </w:tcBorders>
          </w:tcPr>
          <w:p w14:paraId="5CAE68EF" w14:textId="77777777" w:rsidR="00A237E3" w:rsidRPr="00C4084C" w:rsidRDefault="00A237E3" w:rsidP="00A237E3">
            <w:pPr>
              <w:spacing w:after="0"/>
              <w:ind w:left="360"/>
              <w:cnfStyle w:val="000000000000" w:firstRow="0" w:lastRow="0" w:firstColumn="0" w:lastColumn="0" w:oddVBand="0" w:evenVBand="0" w:oddHBand="0" w:evenHBand="0" w:firstRowFirstColumn="0" w:firstRowLastColumn="0" w:lastRowFirstColumn="0" w:lastRowLastColumn="0"/>
            </w:pPr>
          </w:p>
        </w:tc>
        <w:tc>
          <w:tcPr>
            <w:tcW w:w="3267" w:type="dxa"/>
          </w:tcPr>
          <w:p w14:paraId="13209E39" w14:textId="12B23AF4" w:rsidR="00A237E3" w:rsidRPr="000E3FA4" w:rsidRDefault="000E3FA4" w:rsidP="00A237E3">
            <w:pPr>
              <w:pStyle w:val="ListParagraph"/>
              <w:numPr>
                <w:ilvl w:val="0"/>
                <w:numId w:val="60"/>
              </w:numPr>
              <w:spacing w:after="0"/>
              <w:ind w:left="321"/>
              <w:cnfStyle w:val="000000000000" w:firstRow="0" w:lastRow="0" w:firstColumn="0" w:lastColumn="0" w:oddVBand="0" w:evenVBand="0" w:oddHBand="0" w:evenHBand="0" w:firstRowFirstColumn="0" w:firstRowLastColumn="0" w:lastRowFirstColumn="0" w:lastRowLastColumn="0"/>
            </w:pPr>
            <w:r w:rsidRPr="000E3FA4">
              <w:t xml:space="preserve">12 December </w:t>
            </w:r>
            <w:r w:rsidRPr="000E3FA4" w:rsidDel="00CA51A5">
              <w:t>2023</w:t>
            </w:r>
          </w:p>
        </w:tc>
      </w:tr>
      <w:tr w:rsidR="00A237E3" w:rsidRPr="00C4084C" w14:paraId="583ECF69" w14:textId="77777777" w:rsidTr="001B1DB2">
        <w:trPr>
          <w:trHeight w:val="420"/>
        </w:trPr>
        <w:tc>
          <w:tcPr>
            <w:cnfStyle w:val="001000000000" w:firstRow="0" w:lastRow="0" w:firstColumn="1" w:lastColumn="0" w:oddVBand="0" w:evenVBand="0" w:oddHBand="0" w:evenHBand="0" w:firstRowFirstColumn="0" w:firstRowLastColumn="0" w:lastRowFirstColumn="0" w:lastRowLastColumn="0"/>
            <w:tcW w:w="3261" w:type="dxa"/>
          </w:tcPr>
          <w:p w14:paraId="14A32C5A" w14:textId="2BCA7957" w:rsidR="00A237E3" w:rsidRPr="00C4084C" w:rsidRDefault="000E3FA4" w:rsidP="00A237E3">
            <w:pPr>
              <w:pStyle w:val="ListParagraph"/>
              <w:numPr>
                <w:ilvl w:val="0"/>
                <w:numId w:val="58"/>
              </w:numPr>
              <w:spacing w:after="0"/>
              <w:ind w:left="322"/>
              <w:rPr>
                <w:b w:val="0"/>
              </w:rPr>
            </w:pPr>
            <w:r w:rsidRPr="00A237E3">
              <w:rPr>
                <w:b w:val="0"/>
                <w:bCs w:val="0"/>
              </w:rPr>
              <w:t>27 June 2023</w:t>
            </w:r>
          </w:p>
        </w:tc>
        <w:tc>
          <w:tcPr>
            <w:tcW w:w="1694" w:type="dxa"/>
            <w:tcBorders>
              <w:top w:val="nil"/>
              <w:bottom w:val="nil"/>
            </w:tcBorders>
          </w:tcPr>
          <w:p w14:paraId="4BC5B727" w14:textId="77777777" w:rsidR="00A237E3" w:rsidRPr="00C4084C" w:rsidRDefault="00A237E3" w:rsidP="00A237E3">
            <w:pPr>
              <w:spacing w:after="0"/>
              <w:ind w:left="360"/>
              <w:cnfStyle w:val="000000000000" w:firstRow="0" w:lastRow="0" w:firstColumn="0" w:lastColumn="0" w:oddVBand="0" w:evenVBand="0" w:oddHBand="0" w:evenHBand="0" w:firstRowFirstColumn="0" w:firstRowLastColumn="0" w:lastRowFirstColumn="0" w:lastRowLastColumn="0"/>
            </w:pPr>
          </w:p>
        </w:tc>
        <w:tc>
          <w:tcPr>
            <w:tcW w:w="3267" w:type="dxa"/>
            <w:tcBorders>
              <w:bottom w:val="single" w:sz="4" w:space="0" w:color="003A74" w:themeColor="text2" w:themeTint="E6"/>
            </w:tcBorders>
          </w:tcPr>
          <w:p w14:paraId="52E9390F" w14:textId="0E00FCA4" w:rsidR="00A237E3" w:rsidRPr="00C4084C" w:rsidRDefault="00040046" w:rsidP="00A237E3">
            <w:pPr>
              <w:pStyle w:val="ListParagraph"/>
              <w:numPr>
                <w:ilvl w:val="0"/>
                <w:numId w:val="60"/>
              </w:numPr>
              <w:spacing w:after="0"/>
              <w:ind w:left="321"/>
              <w:cnfStyle w:val="000000000000" w:firstRow="0" w:lastRow="0" w:firstColumn="0" w:lastColumn="0" w:oddVBand="0" w:evenVBand="0" w:oddHBand="0" w:evenHBand="0" w:firstRowFirstColumn="0" w:firstRowLastColumn="0" w:lastRowFirstColumn="0" w:lastRowLastColumn="0"/>
            </w:pPr>
            <w:r w:rsidRPr="00C4084C">
              <w:t xml:space="preserve">19 December </w:t>
            </w:r>
            <w:r w:rsidRPr="00C4084C" w:rsidDel="00CA51A5">
              <w:t>2023</w:t>
            </w:r>
          </w:p>
        </w:tc>
      </w:tr>
      <w:tr w:rsidR="00A237E3" w:rsidRPr="00C4084C" w14:paraId="5107C616" w14:textId="77777777" w:rsidTr="001B1DB2">
        <w:trPr>
          <w:trHeight w:val="420"/>
        </w:trPr>
        <w:tc>
          <w:tcPr>
            <w:cnfStyle w:val="001000000000" w:firstRow="0" w:lastRow="0" w:firstColumn="1" w:lastColumn="0" w:oddVBand="0" w:evenVBand="0" w:oddHBand="0" w:evenHBand="0" w:firstRowFirstColumn="0" w:firstRowLastColumn="0" w:lastRowFirstColumn="0" w:lastRowLastColumn="0"/>
            <w:tcW w:w="3261" w:type="dxa"/>
          </w:tcPr>
          <w:p w14:paraId="7CA7DC9D" w14:textId="37F10DD2" w:rsidR="00A237E3" w:rsidRPr="000E3FA4" w:rsidRDefault="000E3FA4" w:rsidP="00A237E3">
            <w:pPr>
              <w:pStyle w:val="ListParagraph"/>
              <w:numPr>
                <w:ilvl w:val="0"/>
                <w:numId w:val="58"/>
              </w:numPr>
              <w:spacing w:after="0"/>
              <w:ind w:left="322"/>
              <w:rPr>
                <w:b w:val="0"/>
                <w:bCs w:val="0"/>
              </w:rPr>
            </w:pPr>
            <w:r w:rsidRPr="000E3FA4">
              <w:rPr>
                <w:b w:val="0"/>
                <w:bCs w:val="0"/>
              </w:rPr>
              <w:t>11 July 2023</w:t>
            </w:r>
          </w:p>
        </w:tc>
        <w:tc>
          <w:tcPr>
            <w:tcW w:w="1694" w:type="dxa"/>
            <w:tcBorders>
              <w:top w:val="nil"/>
              <w:bottom w:val="nil"/>
            </w:tcBorders>
          </w:tcPr>
          <w:p w14:paraId="1C03CD90" w14:textId="77777777" w:rsidR="00A237E3" w:rsidRPr="00C4084C" w:rsidRDefault="00A237E3" w:rsidP="00A237E3">
            <w:pPr>
              <w:spacing w:after="0"/>
              <w:ind w:left="360"/>
              <w:cnfStyle w:val="000000000000" w:firstRow="0" w:lastRow="0" w:firstColumn="0" w:lastColumn="0" w:oddVBand="0" w:evenVBand="0" w:oddHBand="0" w:evenHBand="0" w:firstRowFirstColumn="0" w:firstRowLastColumn="0" w:lastRowFirstColumn="0" w:lastRowLastColumn="0"/>
            </w:pPr>
          </w:p>
        </w:tc>
        <w:tc>
          <w:tcPr>
            <w:tcW w:w="3267" w:type="dxa"/>
            <w:tcBorders>
              <w:top w:val="single" w:sz="4" w:space="0" w:color="003A74" w:themeColor="text2" w:themeTint="E6"/>
              <w:bottom w:val="single" w:sz="4" w:space="0" w:color="auto"/>
            </w:tcBorders>
          </w:tcPr>
          <w:p w14:paraId="4EC75B56" w14:textId="53C649E9" w:rsidR="00A237E3" w:rsidRPr="00C4084C" w:rsidRDefault="0076673F" w:rsidP="00A237E3">
            <w:pPr>
              <w:pStyle w:val="ListParagraph"/>
              <w:numPr>
                <w:ilvl w:val="0"/>
                <w:numId w:val="60"/>
              </w:numPr>
              <w:spacing w:after="0"/>
              <w:ind w:left="321"/>
              <w:cnfStyle w:val="000000000000" w:firstRow="0" w:lastRow="0" w:firstColumn="0" w:lastColumn="0" w:oddVBand="0" w:evenVBand="0" w:oddHBand="0" w:evenHBand="0" w:firstRowFirstColumn="0" w:firstRowLastColumn="0" w:lastRowFirstColumn="0" w:lastRowLastColumn="0"/>
            </w:pPr>
            <w:r>
              <w:t>22 December</w:t>
            </w:r>
            <w:r w:rsidR="00AE2742">
              <w:t xml:space="preserve"> 2023</w:t>
            </w:r>
          </w:p>
        </w:tc>
      </w:tr>
      <w:tr w:rsidR="00A237E3" w:rsidRPr="00C4084C" w14:paraId="26977563" w14:textId="77777777" w:rsidTr="001B1DB2">
        <w:trPr>
          <w:trHeight w:val="420"/>
        </w:trPr>
        <w:tc>
          <w:tcPr>
            <w:cnfStyle w:val="001000000000" w:firstRow="0" w:lastRow="0" w:firstColumn="1" w:lastColumn="0" w:oddVBand="0" w:evenVBand="0" w:oddHBand="0" w:evenHBand="0" w:firstRowFirstColumn="0" w:firstRowLastColumn="0" w:lastRowFirstColumn="0" w:lastRowLastColumn="0"/>
            <w:tcW w:w="3261" w:type="dxa"/>
          </w:tcPr>
          <w:p w14:paraId="635591B0" w14:textId="5ECB4536" w:rsidR="00A237E3" w:rsidRPr="00A237E3" w:rsidRDefault="00E671A4" w:rsidP="00A237E3">
            <w:pPr>
              <w:pStyle w:val="ListParagraph"/>
              <w:numPr>
                <w:ilvl w:val="0"/>
                <w:numId w:val="58"/>
              </w:numPr>
              <w:spacing w:after="0"/>
              <w:ind w:left="322"/>
              <w:rPr>
                <w:b w:val="0"/>
                <w:bCs w:val="0"/>
              </w:rPr>
            </w:pPr>
            <w:r w:rsidRPr="00A237E3">
              <w:rPr>
                <w:b w:val="0"/>
                <w:bCs w:val="0"/>
              </w:rPr>
              <w:t>19 July 2023</w:t>
            </w:r>
          </w:p>
        </w:tc>
        <w:tc>
          <w:tcPr>
            <w:tcW w:w="1694" w:type="dxa"/>
            <w:tcBorders>
              <w:top w:val="nil"/>
              <w:bottom w:val="nil"/>
            </w:tcBorders>
          </w:tcPr>
          <w:p w14:paraId="42A55612" w14:textId="77777777" w:rsidR="00A237E3" w:rsidRPr="00C4084C" w:rsidRDefault="00A237E3" w:rsidP="00A237E3">
            <w:pPr>
              <w:spacing w:after="0"/>
              <w:ind w:left="360"/>
              <w:cnfStyle w:val="000000000000" w:firstRow="0" w:lastRow="0" w:firstColumn="0" w:lastColumn="0" w:oddVBand="0" w:evenVBand="0" w:oddHBand="0" w:evenHBand="0" w:firstRowFirstColumn="0" w:firstRowLastColumn="0" w:lastRowFirstColumn="0" w:lastRowLastColumn="0"/>
            </w:pPr>
          </w:p>
        </w:tc>
        <w:tc>
          <w:tcPr>
            <w:tcW w:w="3267" w:type="dxa"/>
            <w:tcBorders>
              <w:top w:val="single" w:sz="4" w:space="0" w:color="auto"/>
              <w:bottom w:val="nil"/>
            </w:tcBorders>
          </w:tcPr>
          <w:p w14:paraId="64C2F755" w14:textId="47F2A4B4" w:rsidR="00A237E3" w:rsidRPr="00C4084C" w:rsidRDefault="00A237E3" w:rsidP="00A237E3">
            <w:pPr>
              <w:spacing w:after="0" w:line="259" w:lineRule="auto"/>
              <w:ind w:left="360"/>
              <w:cnfStyle w:val="000000000000" w:firstRow="0" w:lastRow="0" w:firstColumn="0" w:lastColumn="0" w:oddVBand="0" w:evenVBand="0" w:oddHBand="0" w:evenHBand="0" w:firstRowFirstColumn="0" w:firstRowLastColumn="0" w:lastRowFirstColumn="0" w:lastRowLastColumn="0"/>
            </w:pPr>
          </w:p>
        </w:tc>
      </w:tr>
    </w:tbl>
    <w:p w14:paraId="6D49331B" w14:textId="77777777" w:rsidR="00EB3240" w:rsidRPr="00C4084C" w:rsidRDefault="00EB3240" w:rsidP="008C4411">
      <w:pPr>
        <w:rPr>
          <w:bCs/>
        </w:rPr>
        <w:sectPr w:rsidR="00EB3240" w:rsidRPr="00C4084C" w:rsidSect="00134415">
          <w:headerReference w:type="first" r:id="rId165"/>
          <w:pgSz w:w="11906" w:h="16838" w:code="9"/>
          <w:pgMar w:top="1225" w:right="1440" w:bottom="1440" w:left="1440" w:header="709" w:footer="709" w:gutter="0"/>
          <w:cols w:space="708"/>
          <w:titlePg/>
          <w:docGrid w:linePitch="360"/>
        </w:sectPr>
      </w:pPr>
    </w:p>
    <w:p w14:paraId="2C3A8FCA" w14:textId="77777777" w:rsidR="00CA2AD7" w:rsidRPr="00C4084C" w:rsidRDefault="00CA2AD7" w:rsidP="00CA2AD7">
      <w:pPr>
        <w:pStyle w:val="Non-numberedHeading2"/>
      </w:pPr>
      <w:bookmarkStart w:id="1630" w:name="_Toc159501040"/>
      <w:r w:rsidRPr="00C4084C">
        <w:lastRenderedPageBreak/>
        <w:t>Appendix D – Submissions Overview</w:t>
      </w:r>
      <w:bookmarkEnd w:id="1630"/>
    </w:p>
    <w:p w14:paraId="5DAB1152" w14:textId="7BA30299" w:rsidR="00CA2AD7" w:rsidRPr="00C4084C" w:rsidRDefault="00CA2AD7" w:rsidP="000C393F">
      <w:r w:rsidRPr="00C4084C">
        <w:t>The Australian Universities Accord Review undertook consultation and submissions rounds in relation to key phases of the Review. These are documented in</w:t>
      </w:r>
      <w:r w:rsidR="00F5737B">
        <w:t xml:space="preserve"> </w:t>
      </w:r>
      <w:r w:rsidR="005C7DF2">
        <w:fldChar w:fldCharType="begin"/>
      </w:r>
      <w:r w:rsidR="005C7DF2">
        <w:instrText xml:space="preserve"> REF _Ref155706622 \h </w:instrText>
      </w:r>
      <w:r w:rsidR="00395E16">
        <w:instrText xml:space="preserve"> \* MERGEFORMAT </w:instrText>
      </w:r>
      <w:r w:rsidR="005C7DF2">
        <w:fldChar w:fldCharType="separate"/>
      </w:r>
      <w:r w:rsidR="005C7DF2" w:rsidRPr="00C4084C">
        <w:t xml:space="preserve">Table </w:t>
      </w:r>
      <w:r w:rsidR="005C7DF2">
        <w:rPr>
          <w:noProof/>
        </w:rPr>
        <w:t>7</w:t>
      </w:r>
      <w:r w:rsidR="005C7DF2">
        <w:fldChar w:fldCharType="end"/>
      </w:r>
      <w:r w:rsidRPr="00C4084C">
        <w:t xml:space="preserve"> below.</w:t>
      </w:r>
    </w:p>
    <w:p w14:paraId="06C467EF" w14:textId="6DF8A4F6" w:rsidR="00CA2AD7" w:rsidRPr="00C4084C" w:rsidRDefault="00CA2AD7" w:rsidP="00CA2AD7">
      <w:pPr>
        <w:pStyle w:val="Caption"/>
      </w:pPr>
      <w:bookmarkStart w:id="1631" w:name="_Ref155706622"/>
      <w:bookmarkStart w:id="1632" w:name="_Toc153809635"/>
      <w:bookmarkStart w:id="1633" w:name="_Ref155706617"/>
      <w:r w:rsidRPr="00C4084C">
        <w:t xml:space="preserve">Table </w:t>
      </w:r>
      <w:r w:rsidRPr="00C4084C">
        <w:fldChar w:fldCharType="begin"/>
      </w:r>
      <w:r w:rsidRPr="00C4084C">
        <w:instrText>SEQ Table \* ARABIC</w:instrText>
      </w:r>
      <w:r w:rsidRPr="00C4084C">
        <w:fldChar w:fldCharType="separate"/>
      </w:r>
      <w:r w:rsidR="00467B4F">
        <w:rPr>
          <w:noProof/>
        </w:rPr>
        <w:t>7</w:t>
      </w:r>
      <w:r w:rsidRPr="00C4084C">
        <w:fldChar w:fldCharType="end"/>
      </w:r>
      <w:bookmarkEnd w:id="1631"/>
      <w:r w:rsidRPr="00C4084C">
        <w:t>: Australian Universities Accord consultation phase.</w:t>
      </w:r>
      <w:bookmarkEnd w:id="1632"/>
      <w:bookmarkEnd w:id="1633"/>
    </w:p>
    <w:tbl>
      <w:tblPr>
        <w:tblStyle w:val="ListTable2-Accent3"/>
        <w:tblW w:w="8931" w:type="dxa"/>
        <w:tblBorders>
          <w:top w:val="none" w:sz="0" w:space="0" w:color="auto"/>
          <w:bottom w:val="none" w:sz="0" w:space="0" w:color="auto"/>
          <w:insideH w:val="single" w:sz="8" w:space="0" w:color="A1E2F9"/>
        </w:tblBorders>
        <w:tblLook w:val="04A0" w:firstRow="1" w:lastRow="0" w:firstColumn="1" w:lastColumn="0" w:noHBand="0" w:noVBand="1"/>
      </w:tblPr>
      <w:tblGrid>
        <w:gridCol w:w="4962"/>
        <w:gridCol w:w="1985"/>
        <w:gridCol w:w="1984"/>
      </w:tblGrid>
      <w:tr w:rsidR="00CA2AD7" w:rsidRPr="00C4084C" w14:paraId="2D108CE6" w14:textId="77777777">
        <w:trPr>
          <w:cnfStyle w:val="100000000000" w:firstRow="1" w:lastRow="0" w:firstColumn="0" w:lastColumn="0" w:oddVBand="0" w:evenVBand="0" w:oddHBand="0" w:evenHBand="0" w:firstRowFirstColumn="0" w:firstRowLastColumn="0" w:lastRowFirstColumn="0" w:lastRowLastColumn="0"/>
          <w:cantSplit/>
          <w:trHeight w:val="185"/>
        </w:trPr>
        <w:tc>
          <w:tcPr>
            <w:cnfStyle w:val="001000000000" w:firstRow="0" w:lastRow="0" w:firstColumn="1" w:lastColumn="0" w:oddVBand="0" w:evenVBand="0" w:oddHBand="0" w:evenHBand="0" w:firstRowFirstColumn="0" w:firstRowLastColumn="0" w:lastRowFirstColumn="0" w:lastRowLastColumn="0"/>
            <w:tcW w:w="4962" w:type="dxa"/>
            <w:tcBorders>
              <w:top w:val="nil"/>
              <w:bottom w:val="single" w:sz="12" w:space="0" w:color="89DAF7"/>
              <w:right w:val="single" w:sz="12" w:space="0" w:color="89DAF7"/>
            </w:tcBorders>
            <w:shd w:val="clear" w:color="auto" w:fill="D0F1FC"/>
          </w:tcPr>
          <w:p w14:paraId="37D3F9F1" w14:textId="77777777" w:rsidR="00CA2AD7" w:rsidRPr="00C4084C" w:rsidRDefault="00CA2AD7">
            <w:pPr>
              <w:spacing w:after="0" w:line="259" w:lineRule="auto"/>
              <w:rPr>
                <w:rFonts w:cs="Arial"/>
              </w:rPr>
            </w:pPr>
            <w:r w:rsidRPr="00C4084C">
              <w:rPr>
                <w:rFonts w:cs="Arial"/>
              </w:rPr>
              <w:t>Consultation phase</w:t>
            </w:r>
          </w:p>
        </w:tc>
        <w:tc>
          <w:tcPr>
            <w:tcW w:w="1985" w:type="dxa"/>
            <w:tcBorders>
              <w:top w:val="nil"/>
              <w:left w:val="single" w:sz="12" w:space="0" w:color="89DAF7"/>
              <w:bottom w:val="single" w:sz="12" w:space="0" w:color="89DAF7"/>
            </w:tcBorders>
            <w:shd w:val="clear" w:color="auto" w:fill="D0F1FC"/>
          </w:tcPr>
          <w:p w14:paraId="5A285C47" w14:textId="77777777" w:rsidR="00CA2AD7" w:rsidRPr="00C4084C" w:rsidRDefault="00CA2AD7">
            <w:pPr>
              <w:spacing w:after="0"/>
              <w:cnfStyle w:val="100000000000" w:firstRow="1" w:lastRow="0" w:firstColumn="0" w:lastColumn="0" w:oddVBand="0" w:evenVBand="0" w:oddHBand="0" w:evenHBand="0" w:firstRowFirstColumn="0" w:firstRowLastColumn="0" w:lastRowFirstColumn="0" w:lastRowLastColumn="0"/>
              <w:rPr>
                <w:rFonts w:eastAsia="Calibri" w:cs="Arial"/>
              </w:rPr>
            </w:pPr>
            <w:r w:rsidRPr="00C4084C">
              <w:rPr>
                <w:rFonts w:cs="Arial"/>
              </w:rPr>
              <w:t>Date opened</w:t>
            </w:r>
          </w:p>
        </w:tc>
        <w:tc>
          <w:tcPr>
            <w:tcW w:w="1984" w:type="dxa"/>
            <w:tcBorders>
              <w:top w:val="nil"/>
              <w:bottom w:val="single" w:sz="12" w:space="0" w:color="89DAF7"/>
            </w:tcBorders>
            <w:shd w:val="clear" w:color="auto" w:fill="D0F1FC"/>
          </w:tcPr>
          <w:p w14:paraId="596905CE" w14:textId="77777777" w:rsidR="00CA2AD7" w:rsidRPr="00C4084C" w:rsidRDefault="00CA2AD7">
            <w:pPr>
              <w:spacing w:after="0" w:line="259" w:lineRule="auto"/>
              <w:cnfStyle w:val="100000000000" w:firstRow="1" w:lastRow="0" w:firstColumn="0" w:lastColumn="0" w:oddVBand="0" w:evenVBand="0" w:oddHBand="0" w:evenHBand="0" w:firstRowFirstColumn="0" w:firstRowLastColumn="0" w:lastRowFirstColumn="0" w:lastRowLastColumn="0"/>
              <w:rPr>
                <w:rFonts w:cs="Arial"/>
              </w:rPr>
            </w:pPr>
            <w:r w:rsidRPr="00C4084C">
              <w:rPr>
                <w:rFonts w:cs="Arial"/>
              </w:rPr>
              <w:t>Date closed</w:t>
            </w:r>
          </w:p>
        </w:tc>
      </w:tr>
      <w:tr w:rsidR="00CA2AD7" w:rsidRPr="00C4084C" w14:paraId="735D7CCD" w14:textId="77777777">
        <w:trPr>
          <w:cnfStyle w:val="000000100000" w:firstRow="0" w:lastRow="0" w:firstColumn="0" w:lastColumn="0" w:oddVBand="0" w:evenVBand="0" w:oddHBand="1" w:evenHBand="0" w:firstRowFirstColumn="0" w:firstRowLastColumn="0" w:lastRowFirstColumn="0" w:lastRowLastColumn="0"/>
          <w:cantSplit/>
          <w:trHeight w:val="267"/>
        </w:trPr>
        <w:tc>
          <w:tcPr>
            <w:cnfStyle w:val="001000000000" w:firstRow="0" w:lastRow="0" w:firstColumn="1" w:lastColumn="0" w:oddVBand="0" w:evenVBand="0" w:oddHBand="0" w:evenHBand="0" w:firstRowFirstColumn="0" w:firstRowLastColumn="0" w:lastRowFirstColumn="0" w:lastRowLastColumn="0"/>
            <w:tcW w:w="4962" w:type="dxa"/>
            <w:tcBorders>
              <w:top w:val="single" w:sz="12" w:space="0" w:color="89DAF7"/>
              <w:bottom w:val="single" w:sz="8" w:space="0" w:color="A1E2F9"/>
              <w:right w:val="single" w:sz="12" w:space="0" w:color="89DAF7"/>
            </w:tcBorders>
            <w:shd w:val="clear" w:color="auto" w:fill="auto"/>
          </w:tcPr>
          <w:p w14:paraId="6EFA1DF5" w14:textId="77777777" w:rsidR="00CA2AD7" w:rsidRPr="00C4084C" w:rsidRDefault="00CA2AD7">
            <w:pPr>
              <w:rPr>
                <w:rFonts w:cs="Arial"/>
              </w:rPr>
            </w:pPr>
            <w:r w:rsidRPr="00C4084C">
              <w:rPr>
                <w:rFonts w:cs="Arial"/>
              </w:rPr>
              <w:t>Survey on priorities of the Accord Terms of Reference</w:t>
            </w:r>
          </w:p>
        </w:tc>
        <w:tc>
          <w:tcPr>
            <w:tcW w:w="1985" w:type="dxa"/>
            <w:tcBorders>
              <w:top w:val="single" w:sz="12" w:space="0" w:color="89DAF7"/>
              <w:left w:val="single" w:sz="12" w:space="0" w:color="89DAF7"/>
              <w:bottom w:val="single" w:sz="8" w:space="0" w:color="A1E2F9"/>
              <w:right w:val="single" w:sz="8" w:space="0" w:color="D0F1FC"/>
            </w:tcBorders>
            <w:shd w:val="clear" w:color="auto" w:fill="auto"/>
          </w:tcPr>
          <w:p w14:paraId="0C5C2802"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24 November 2022</w:t>
            </w:r>
          </w:p>
        </w:tc>
        <w:tc>
          <w:tcPr>
            <w:tcW w:w="1984" w:type="dxa"/>
            <w:tcBorders>
              <w:top w:val="single" w:sz="12" w:space="0" w:color="89DAF7"/>
              <w:left w:val="single" w:sz="8" w:space="0" w:color="D0F1FC"/>
              <w:bottom w:val="single" w:sz="8" w:space="0" w:color="A1E2F9"/>
            </w:tcBorders>
            <w:shd w:val="clear" w:color="auto" w:fill="auto"/>
          </w:tcPr>
          <w:p w14:paraId="46778CB3"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20 December 2022</w:t>
            </w:r>
          </w:p>
        </w:tc>
      </w:tr>
      <w:tr w:rsidR="00CA2AD7" w:rsidRPr="00C4084C" w14:paraId="0FA1556D" w14:textId="77777777">
        <w:trPr>
          <w:cantSplit/>
          <w:trHeight w:val="267"/>
        </w:trPr>
        <w:tc>
          <w:tcPr>
            <w:cnfStyle w:val="001000000000" w:firstRow="0" w:lastRow="0" w:firstColumn="1" w:lastColumn="0" w:oddVBand="0" w:evenVBand="0" w:oddHBand="0" w:evenHBand="0" w:firstRowFirstColumn="0" w:firstRowLastColumn="0" w:lastRowFirstColumn="0" w:lastRowLastColumn="0"/>
            <w:tcW w:w="4962" w:type="dxa"/>
            <w:tcBorders>
              <w:top w:val="single" w:sz="8" w:space="0" w:color="A1E2F9"/>
              <w:bottom w:val="single" w:sz="8" w:space="0" w:color="A1E2F9"/>
              <w:right w:val="single" w:sz="12" w:space="0" w:color="89DAF7"/>
            </w:tcBorders>
            <w:shd w:val="clear" w:color="auto" w:fill="auto"/>
          </w:tcPr>
          <w:p w14:paraId="6489B324" w14:textId="77777777" w:rsidR="00CA2AD7" w:rsidRPr="00C4084C" w:rsidRDefault="00CA2AD7">
            <w:pPr>
              <w:rPr>
                <w:rFonts w:eastAsia="Calibri" w:cs="Arial"/>
              </w:rPr>
            </w:pPr>
            <w:r w:rsidRPr="00C4084C">
              <w:rPr>
                <w:rFonts w:cs="Arial"/>
              </w:rPr>
              <w:t>Consultation on the Accord Terms of Reference</w:t>
            </w:r>
          </w:p>
        </w:tc>
        <w:tc>
          <w:tcPr>
            <w:tcW w:w="1985" w:type="dxa"/>
            <w:tcBorders>
              <w:top w:val="single" w:sz="8" w:space="0" w:color="A1E2F9"/>
              <w:left w:val="single" w:sz="12" w:space="0" w:color="89DAF7"/>
              <w:bottom w:val="single" w:sz="8" w:space="0" w:color="A1E2F9"/>
              <w:right w:val="single" w:sz="8" w:space="0" w:color="D0F1FC"/>
            </w:tcBorders>
            <w:shd w:val="clear" w:color="auto" w:fill="auto"/>
          </w:tcPr>
          <w:p w14:paraId="11AA50DC"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cs="Arial"/>
              </w:rPr>
              <w:t xml:space="preserve">24 November 2022 </w:t>
            </w:r>
          </w:p>
        </w:tc>
        <w:tc>
          <w:tcPr>
            <w:tcW w:w="1984" w:type="dxa"/>
            <w:tcBorders>
              <w:top w:val="single" w:sz="8" w:space="0" w:color="A1E2F9"/>
              <w:left w:val="single" w:sz="8" w:space="0" w:color="D0F1FC"/>
              <w:bottom w:val="single" w:sz="8" w:space="0" w:color="A1E2F9"/>
            </w:tcBorders>
            <w:shd w:val="clear" w:color="auto" w:fill="auto"/>
          </w:tcPr>
          <w:p w14:paraId="4DECC729"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Calibri" w:cs="Arial"/>
              </w:rPr>
            </w:pPr>
            <w:r w:rsidRPr="00C4084C">
              <w:rPr>
                <w:rFonts w:cs="Arial"/>
              </w:rPr>
              <w:t>19 December 2022</w:t>
            </w:r>
          </w:p>
        </w:tc>
      </w:tr>
      <w:tr w:rsidR="00CA2AD7" w:rsidRPr="00C4084C" w14:paraId="072F62C0" w14:textId="77777777">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4962" w:type="dxa"/>
            <w:tcBorders>
              <w:top w:val="single" w:sz="8" w:space="0" w:color="A1E2F9"/>
              <w:bottom w:val="single" w:sz="8" w:space="0" w:color="A1E2F9"/>
              <w:right w:val="single" w:sz="12" w:space="0" w:color="89DAF7"/>
            </w:tcBorders>
            <w:shd w:val="clear" w:color="auto" w:fill="auto"/>
          </w:tcPr>
          <w:p w14:paraId="3B56EECB" w14:textId="77777777" w:rsidR="00CA2AD7" w:rsidRPr="00C4084C" w:rsidRDefault="00CA2AD7">
            <w:pPr>
              <w:rPr>
                <w:rFonts w:eastAsia="Calibri" w:cs="Arial"/>
              </w:rPr>
            </w:pPr>
            <w:r w:rsidRPr="00C4084C">
              <w:rPr>
                <w:rFonts w:cs="Arial"/>
              </w:rPr>
              <w:t>Consultation on the Accord Discussion Paper</w:t>
            </w:r>
          </w:p>
        </w:tc>
        <w:tc>
          <w:tcPr>
            <w:tcW w:w="1985" w:type="dxa"/>
            <w:tcBorders>
              <w:top w:val="single" w:sz="8" w:space="0" w:color="A1E2F9"/>
              <w:left w:val="single" w:sz="12" w:space="0" w:color="89DAF7"/>
              <w:bottom w:val="single" w:sz="8" w:space="0" w:color="A1E2F9"/>
              <w:right w:val="single" w:sz="8" w:space="0" w:color="D0F1FC"/>
            </w:tcBorders>
            <w:shd w:val="clear" w:color="auto" w:fill="auto"/>
          </w:tcPr>
          <w:p w14:paraId="1113C46E"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Calibri" w:cs="Arial"/>
              </w:rPr>
            </w:pPr>
            <w:r w:rsidRPr="00C4084C">
              <w:rPr>
                <w:rFonts w:cs="Arial"/>
              </w:rPr>
              <w:t>22 February 2023</w:t>
            </w:r>
          </w:p>
        </w:tc>
        <w:tc>
          <w:tcPr>
            <w:tcW w:w="1984" w:type="dxa"/>
            <w:tcBorders>
              <w:top w:val="single" w:sz="8" w:space="0" w:color="A1E2F9"/>
              <w:left w:val="single" w:sz="8" w:space="0" w:color="D0F1FC"/>
              <w:bottom w:val="single" w:sz="8" w:space="0" w:color="A1E2F9"/>
            </w:tcBorders>
            <w:shd w:val="clear" w:color="auto" w:fill="auto"/>
          </w:tcPr>
          <w:p w14:paraId="3E636BE7"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Calibri" w:cs="Arial"/>
              </w:rPr>
            </w:pPr>
            <w:r w:rsidRPr="00C4084C">
              <w:rPr>
                <w:rFonts w:cs="Arial"/>
              </w:rPr>
              <w:t>11 April 2023</w:t>
            </w:r>
          </w:p>
        </w:tc>
      </w:tr>
      <w:tr w:rsidR="00CA2AD7" w:rsidRPr="00C4084C" w14:paraId="17A8CC1F" w14:textId="77777777">
        <w:trPr>
          <w:cantSplit/>
          <w:trHeight w:val="288"/>
        </w:trPr>
        <w:tc>
          <w:tcPr>
            <w:cnfStyle w:val="001000000000" w:firstRow="0" w:lastRow="0" w:firstColumn="1" w:lastColumn="0" w:oddVBand="0" w:evenVBand="0" w:oddHBand="0" w:evenHBand="0" w:firstRowFirstColumn="0" w:firstRowLastColumn="0" w:lastRowFirstColumn="0" w:lastRowLastColumn="0"/>
            <w:tcW w:w="4962" w:type="dxa"/>
            <w:tcBorders>
              <w:top w:val="single" w:sz="8" w:space="0" w:color="A1E2F9"/>
              <w:bottom w:val="nil"/>
              <w:right w:val="single" w:sz="12" w:space="0" w:color="89DAF7"/>
            </w:tcBorders>
            <w:shd w:val="clear" w:color="auto" w:fill="auto"/>
          </w:tcPr>
          <w:p w14:paraId="3FEC0D75" w14:textId="77777777" w:rsidR="00CA2AD7" w:rsidRPr="00C4084C" w:rsidRDefault="00CA2AD7">
            <w:pPr>
              <w:rPr>
                <w:rFonts w:eastAsia="Calibri" w:cs="Arial"/>
              </w:rPr>
            </w:pPr>
            <w:r w:rsidRPr="00C4084C">
              <w:rPr>
                <w:rFonts w:cs="Arial"/>
              </w:rPr>
              <w:t>Consultation on the Accord Interim Report</w:t>
            </w:r>
          </w:p>
        </w:tc>
        <w:tc>
          <w:tcPr>
            <w:tcW w:w="1985" w:type="dxa"/>
            <w:tcBorders>
              <w:top w:val="single" w:sz="8" w:space="0" w:color="A1E2F9"/>
              <w:left w:val="single" w:sz="12" w:space="0" w:color="89DAF7"/>
              <w:bottom w:val="nil"/>
              <w:right w:val="single" w:sz="8" w:space="0" w:color="D0F1FC"/>
            </w:tcBorders>
            <w:shd w:val="clear" w:color="auto" w:fill="auto"/>
          </w:tcPr>
          <w:p w14:paraId="5DCD13B3"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t>19 July 2023</w:t>
            </w:r>
          </w:p>
        </w:tc>
        <w:tc>
          <w:tcPr>
            <w:tcW w:w="1984" w:type="dxa"/>
            <w:tcBorders>
              <w:top w:val="single" w:sz="8" w:space="0" w:color="A1E2F9"/>
              <w:left w:val="single" w:sz="8" w:space="0" w:color="D0F1FC"/>
              <w:bottom w:val="nil"/>
            </w:tcBorders>
            <w:shd w:val="clear" w:color="auto" w:fill="auto"/>
          </w:tcPr>
          <w:p w14:paraId="1F799DD6"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t>1 September 2023</w:t>
            </w:r>
          </w:p>
        </w:tc>
      </w:tr>
    </w:tbl>
    <w:p w14:paraId="41AB8FA3" w14:textId="6669A71B" w:rsidR="00CA2AD7" w:rsidRPr="00C4084C" w:rsidRDefault="00CA2AD7" w:rsidP="000C393F">
      <w:r w:rsidRPr="00C4084C">
        <w:t xml:space="preserve">To support the Review, the online survey and subsequent analysis was undertaken by the Department of Education. Nous Group was commissioned to undertake analysis of submissions received, including the key respondents, </w:t>
      </w:r>
      <w:proofErr w:type="gramStart"/>
      <w:r w:rsidRPr="00C4084C">
        <w:t>themes</w:t>
      </w:r>
      <w:proofErr w:type="gramEnd"/>
      <w:r w:rsidRPr="00C4084C">
        <w:t xml:space="preserve"> and recommendations.</w:t>
      </w:r>
      <w:r w:rsidR="009042BC" w:rsidRPr="00C4084C">
        <w:t xml:space="preserve"> </w:t>
      </w:r>
      <w:r w:rsidR="00E87DBC" w:rsidRPr="00C4084C">
        <w:t xml:space="preserve">Similarly, League of Scholars was commissioned to undertake </w:t>
      </w:r>
      <w:r w:rsidR="00E87DBC" w:rsidRPr="00C4084C">
        <w:rPr>
          <w:rFonts w:eastAsia="Times New Roman"/>
          <w:color w:val="000000"/>
          <w:lang w:eastAsia="en-AU"/>
        </w:rPr>
        <w:t>quantitative analysis of submissions in response to the Discussion Paper.</w:t>
      </w:r>
    </w:p>
    <w:p w14:paraId="6DB239E7" w14:textId="77777777" w:rsidR="00CA2AD7" w:rsidRPr="00C4084C" w:rsidRDefault="00CA2AD7" w:rsidP="00CA2AD7">
      <w:pPr>
        <w:pStyle w:val="Non-numberedHeading3"/>
      </w:pPr>
      <w:r w:rsidRPr="00C4084C">
        <w:t>Survey on priorities of the Accord Terms of Reference</w:t>
      </w:r>
    </w:p>
    <w:p w14:paraId="69643D04" w14:textId="5834F685" w:rsidR="00CA2AD7" w:rsidRPr="00C4084C" w:rsidRDefault="00CA2AD7" w:rsidP="000C393F">
      <w:r w:rsidRPr="00C4084C">
        <w:t xml:space="preserve">In November 2022, stakeholders were invited to participate in an online quantitative survey regarding their priorities for the Accord in the context of the Terms of Reference. Over the 27-day survey period, 1,954 surveys were submitted by a broad range of stakeholders and considered by the Review. </w:t>
      </w:r>
      <w:r w:rsidR="007A7C7D" w:rsidRPr="00C4084C">
        <w:t>Departmental a</w:t>
      </w:r>
      <w:r w:rsidRPr="00C4084C">
        <w:t xml:space="preserve">nalysis of the survey results showed that </w:t>
      </w:r>
      <w:proofErr w:type="gramStart"/>
      <w:r w:rsidRPr="00C4084C">
        <w:t>the majority of</w:t>
      </w:r>
      <w:proofErr w:type="gramEnd"/>
      <w:r w:rsidRPr="00C4084C">
        <w:t xml:space="preserve"> respondents were students (824), and university academic and professional staff (713).</w:t>
      </w:r>
      <w:r w:rsidRPr="00C4084C">
        <w:rPr>
          <w:rStyle w:val="FootnoteReference"/>
        </w:rPr>
        <w:footnoteReference w:id="457"/>
      </w:r>
      <w:r w:rsidRPr="00C4084C">
        <w:t xml:space="preserve"> </w:t>
      </w:r>
    </w:p>
    <w:p w14:paraId="4585A416" w14:textId="77777777" w:rsidR="00CA2AD7" w:rsidRPr="00C4084C" w:rsidRDefault="00CA2AD7" w:rsidP="000C393F">
      <w:r w:rsidRPr="00C4084C">
        <w:t>Analysis of the survey results found that the key themes were:</w:t>
      </w:r>
    </w:p>
    <w:p w14:paraId="32F4AD78" w14:textId="77777777" w:rsidR="00CA2AD7" w:rsidRPr="00C4084C" w:rsidRDefault="00CA2AD7" w:rsidP="00CA2AD7">
      <w:pPr>
        <w:pStyle w:val="ListBullet"/>
      </w:pPr>
      <w:r w:rsidRPr="00C4084C">
        <w:t>skills development, including work-relevant skills and industry engagement (13%)</w:t>
      </w:r>
    </w:p>
    <w:p w14:paraId="6FAFA763" w14:textId="77777777" w:rsidR="00CA2AD7" w:rsidRPr="00C4084C" w:rsidRDefault="00CA2AD7" w:rsidP="00CA2AD7">
      <w:pPr>
        <w:pStyle w:val="ListBullet"/>
      </w:pPr>
      <w:r w:rsidRPr="00C4084C">
        <w:t>funding for learning and teaching (13%)</w:t>
      </w:r>
    </w:p>
    <w:p w14:paraId="40B57627" w14:textId="77777777" w:rsidR="00CA2AD7" w:rsidRPr="00C4084C" w:rsidRDefault="00CA2AD7" w:rsidP="00CA2AD7">
      <w:pPr>
        <w:pStyle w:val="ListBullet"/>
      </w:pPr>
      <w:r w:rsidRPr="00C4084C">
        <w:t>student equity and access (12%)</w:t>
      </w:r>
    </w:p>
    <w:p w14:paraId="0C82934F" w14:textId="77777777" w:rsidR="00CA2AD7" w:rsidRPr="00C4084C" w:rsidRDefault="00CA2AD7" w:rsidP="00CA2AD7">
      <w:pPr>
        <w:pStyle w:val="ListBullet"/>
      </w:pPr>
      <w:r w:rsidRPr="00C4084C">
        <w:t>student fees (10%)</w:t>
      </w:r>
    </w:p>
    <w:p w14:paraId="0859E8B6" w14:textId="452AE752" w:rsidR="00CA2AD7" w:rsidRPr="00C4084C" w:rsidRDefault="00CA2AD7" w:rsidP="00CA2AD7">
      <w:pPr>
        <w:pStyle w:val="ListBullet"/>
      </w:pPr>
      <w:r w:rsidRPr="00C4084C">
        <w:t>funding for research (10%).</w:t>
      </w:r>
    </w:p>
    <w:p w14:paraId="7C414BA1" w14:textId="77777777" w:rsidR="00CA2AD7" w:rsidRPr="00C4084C" w:rsidRDefault="00CA2AD7" w:rsidP="00CA2AD7">
      <w:pPr>
        <w:pStyle w:val="Non-numberedHeading3"/>
      </w:pPr>
      <w:r w:rsidRPr="00C4084C">
        <w:t>Consultation on the Accord Terms of Reference</w:t>
      </w:r>
    </w:p>
    <w:p w14:paraId="6FFF648F" w14:textId="459F1804" w:rsidR="00CA2AD7" w:rsidRPr="00C4084C" w:rsidRDefault="00CA2AD7" w:rsidP="000C393F">
      <w:r w:rsidRPr="00C4084C">
        <w:t xml:space="preserve">In November 2022, stakeholders were also invited to make an initial submission outlining their priorities for the Accord in the context of the Terms of Reference. Over the 25-day submission period, 185 written submissions were received from a broad range of stakeholders and considered by the Review. </w:t>
      </w:r>
      <w:r w:rsidR="0058712E" w:rsidRPr="00C4084C">
        <w:fldChar w:fldCharType="begin"/>
      </w:r>
      <w:r w:rsidR="0058712E" w:rsidRPr="00C4084C">
        <w:instrText xml:space="preserve"> REF _Ref153809498 \h </w:instrText>
      </w:r>
      <w:r w:rsidR="00395E16">
        <w:instrText xml:space="preserve"> \* MERGEFORMAT </w:instrText>
      </w:r>
      <w:r w:rsidR="0058712E" w:rsidRPr="00C4084C">
        <w:fldChar w:fldCharType="separate"/>
      </w:r>
      <w:r w:rsidR="00467B4F" w:rsidRPr="00B53C06">
        <w:t xml:space="preserve">Figure </w:t>
      </w:r>
      <w:r w:rsidR="00467B4F">
        <w:rPr>
          <w:noProof/>
        </w:rPr>
        <w:t>40</w:t>
      </w:r>
      <w:r w:rsidR="0058712E" w:rsidRPr="00C4084C">
        <w:fldChar w:fldCharType="end"/>
      </w:r>
      <w:r w:rsidRPr="00C4084C">
        <w:t xml:space="preserve"> shows the distribution of submissions by respondent category. </w:t>
      </w:r>
    </w:p>
    <w:p w14:paraId="33C1B291" w14:textId="43323D52" w:rsidR="00CA2AD7" w:rsidRPr="00D26B82" w:rsidRDefault="00CA2AD7" w:rsidP="00CA2AD7">
      <w:pPr>
        <w:pStyle w:val="Caption"/>
        <w:rPr>
          <w:b/>
          <w:bCs/>
          <w:sz w:val="24"/>
          <w:szCs w:val="24"/>
        </w:rPr>
      </w:pPr>
      <w:bookmarkStart w:id="1634" w:name="_Ref153804732"/>
      <w:bookmarkStart w:id="1635" w:name="_Ref153809498"/>
      <w:bookmarkStart w:id="1636" w:name="_Toc154674802"/>
      <w:r w:rsidRPr="00D26B82">
        <w:rPr>
          <w:b/>
          <w:bCs/>
          <w:sz w:val="24"/>
          <w:szCs w:val="24"/>
        </w:rPr>
        <w:lastRenderedPageBreak/>
        <w:t xml:space="preserve">Figure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40</w:t>
      </w:r>
      <w:r w:rsidRPr="00D26B82">
        <w:rPr>
          <w:b/>
          <w:bCs/>
          <w:sz w:val="24"/>
          <w:szCs w:val="24"/>
        </w:rPr>
        <w:fldChar w:fldCharType="end"/>
      </w:r>
      <w:bookmarkEnd w:id="1634"/>
      <w:bookmarkEnd w:id="1635"/>
      <w:r w:rsidRPr="00D26B82">
        <w:rPr>
          <w:b/>
          <w:bCs/>
          <w:sz w:val="24"/>
          <w:szCs w:val="24"/>
        </w:rPr>
        <w:t>: Distribution of submissions by respondent category</w:t>
      </w:r>
      <w:bookmarkEnd w:id="1636"/>
      <w:r w:rsidR="00D86AE6" w:rsidRPr="00D26B82">
        <w:rPr>
          <w:b/>
          <w:bCs/>
          <w:sz w:val="24"/>
          <w:szCs w:val="24"/>
        </w:rPr>
        <w:t xml:space="preserve"> – Consultation on the Accord Terms of Reference.</w:t>
      </w:r>
    </w:p>
    <w:p w14:paraId="2FE3E5DE" w14:textId="041971B0" w:rsidR="00803B5E" w:rsidRDefault="00803B5E" w:rsidP="00CA2AD7">
      <w:pPr>
        <w:pStyle w:val="Source"/>
      </w:pPr>
      <w:r>
        <w:rPr>
          <w:noProof/>
        </w:rPr>
        <w:drawing>
          <wp:inline distT="0" distB="0" distL="0" distR="0" wp14:anchorId="5629FF51" wp14:editId="43EFC0EE">
            <wp:extent cx="5613991" cy="3065618"/>
            <wp:effectExtent l="0" t="0" r="0" b="0"/>
            <wp:docPr id="718635778" name="Graphic 40" descr="A bar graph showing the comparative number of submissions in response to the Accord Terms of Reference consultation process by category of responder. The largest number of responses were from univers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635778" name="Graphic 40" descr="A bar graph showing the comparative number of submissions in response to the Accord Terms of Reference consultation process by category of responder. The largest number of responses were from universities. "/>
                    <pic:cNvPicPr/>
                  </pic:nvPicPr>
                  <pic:blipFill>
                    <a:blip r:embed="rId166">
                      <a:extLst>
                        <a:ext uri="{28A0092B-C50C-407E-A947-70E740481C1C}">
                          <a14:useLocalDpi xmlns:a14="http://schemas.microsoft.com/office/drawing/2010/main" val="0"/>
                        </a:ext>
                        <a:ext uri="{96DAC541-7B7A-43D3-8B79-37D633B846F1}">
                          <asvg:svgBlip xmlns:asvg="http://schemas.microsoft.com/office/drawing/2016/SVG/main" r:embed="rId167"/>
                        </a:ext>
                      </a:extLst>
                    </a:blip>
                    <a:stretch>
                      <a:fillRect/>
                    </a:stretch>
                  </pic:blipFill>
                  <pic:spPr>
                    <a:xfrm>
                      <a:off x="0" y="0"/>
                      <a:ext cx="5623634" cy="3070884"/>
                    </a:xfrm>
                    <a:prstGeom prst="rect">
                      <a:avLst/>
                    </a:prstGeom>
                  </pic:spPr>
                </pic:pic>
              </a:graphicData>
            </a:graphic>
          </wp:inline>
        </w:drawing>
      </w:r>
    </w:p>
    <w:p w14:paraId="0A329F1C" w14:textId="444F43AC" w:rsidR="00CA2AD7" w:rsidRPr="00C4084C" w:rsidRDefault="00CA2AD7" w:rsidP="00CA2AD7">
      <w:pPr>
        <w:pStyle w:val="Source"/>
      </w:pPr>
      <w:r w:rsidRPr="00C4084C">
        <w:t xml:space="preserve">Source: Nous Group, Submissions on priorities for the Australian Universities Accord, (2023), </w:t>
      </w:r>
      <w:hyperlink r:id="rId168" w:history="1">
        <w:r w:rsidRPr="00C4084C">
          <w:rPr>
            <w:rStyle w:val="Hyperlink"/>
          </w:rPr>
          <w:t>https://www.education.gov.au/australian-universities-accord/resources/nous-group-consultation-report</w:t>
        </w:r>
      </w:hyperlink>
      <w:r w:rsidRPr="00C4084C">
        <w:t>.</w:t>
      </w:r>
    </w:p>
    <w:p w14:paraId="530EBE14" w14:textId="79AD669D" w:rsidR="00CA2AD7" w:rsidRPr="00C4084C" w:rsidRDefault="00CA2AD7" w:rsidP="006973B0">
      <w:r w:rsidRPr="00C4084C">
        <w:t xml:space="preserve">Analysis of the submissions found </w:t>
      </w:r>
      <w:r w:rsidR="004620D1">
        <w:t xml:space="preserve">the following </w:t>
      </w:r>
      <w:r w:rsidRPr="00C4084C">
        <w:t>key themes:</w:t>
      </w:r>
    </w:p>
    <w:p w14:paraId="779ED4FC" w14:textId="54A3A850" w:rsidR="00CA2AD7" w:rsidRPr="00C4084C" w:rsidRDefault="00CA2AD7" w:rsidP="00CA2AD7">
      <w:pPr>
        <w:pStyle w:val="ListBullet"/>
      </w:pPr>
      <w:r w:rsidRPr="00C4084C">
        <w:t>improving access to the higher education system, particularly for under-represented cohorts</w:t>
      </w:r>
      <w:r w:rsidR="004620D1">
        <w:t>,</w:t>
      </w:r>
      <w:r w:rsidRPr="00C4084C">
        <w:t xml:space="preserve"> and identifying programs to improve student outcomes were referenced in 84 submissions (45%)</w:t>
      </w:r>
    </w:p>
    <w:p w14:paraId="235DD1F1" w14:textId="77777777" w:rsidR="00CA2AD7" w:rsidRPr="00C4084C" w:rsidRDefault="00CA2AD7" w:rsidP="00CA2AD7">
      <w:pPr>
        <w:pStyle w:val="ListBullet"/>
      </w:pPr>
      <w:r w:rsidRPr="00C4084C">
        <w:t>responsiveness to future skills needs was referenced in 67 submissions (37%)</w:t>
      </w:r>
    </w:p>
    <w:p w14:paraId="614BD0E8" w14:textId="77777777" w:rsidR="00CA2AD7" w:rsidRPr="00C4084C" w:rsidRDefault="00CA2AD7" w:rsidP="00CA2AD7">
      <w:pPr>
        <w:pStyle w:val="ListBullet"/>
      </w:pPr>
      <w:r w:rsidRPr="00C4084C">
        <w:t xml:space="preserve">improving outcomes for equity cohorts was referenced in 65 submissions (36%) </w:t>
      </w:r>
    </w:p>
    <w:p w14:paraId="349A43A0" w14:textId="77777777" w:rsidR="00CA2AD7" w:rsidRPr="00C4084C" w:rsidRDefault="00CA2AD7" w:rsidP="00CA2AD7">
      <w:pPr>
        <w:pStyle w:val="ListBullet"/>
      </w:pPr>
      <w:r w:rsidRPr="00C4084C">
        <w:t>funding for research was referenced in 57 submissions (31%)</w:t>
      </w:r>
    </w:p>
    <w:p w14:paraId="1D2127D2" w14:textId="77777777" w:rsidR="00CA2AD7" w:rsidRPr="00C4084C" w:rsidRDefault="00CA2AD7" w:rsidP="00CA2AD7">
      <w:pPr>
        <w:pStyle w:val="ListBullet"/>
      </w:pPr>
      <w:r w:rsidRPr="00C4084C">
        <w:t xml:space="preserve">funding for learning and teaching was referenced in 57 submissions (31%) </w:t>
      </w:r>
    </w:p>
    <w:p w14:paraId="1C015CD6" w14:textId="77777777" w:rsidR="00CA2AD7" w:rsidRPr="00C4084C" w:rsidRDefault="00CA2AD7" w:rsidP="00CA2AD7">
      <w:pPr>
        <w:pStyle w:val="ListBullet"/>
      </w:pPr>
      <w:r w:rsidRPr="00C4084C">
        <w:t xml:space="preserve">regulatory and legislative frameworks were referenced in 57 submissions (31%) </w:t>
      </w:r>
    </w:p>
    <w:p w14:paraId="7B534465" w14:textId="28A09625" w:rsidR="00CA2AD7" w:rsidRPr="00C4084C" w:rsidRDefault="00CA2AD7" w:rsidP="00CA2AD7">
      <w:pPr>
        <w:pStyle w:val="ListBullet"/>
      </w:pPr>
      <w:r w:rsidRPr="00C4084C">
        <w:t xml:space="preserve">regulatory, </w:t>
      </w:r>
      <w:proofErr w:type="gramStart"/>
      <w:r w:rsidRPr="00C4084C">
        <w:t>funding</w:t>
      </w:r>
      <w:proofErr w:type="gramEnd"/>
      <w:r w:rsidRPr="00C4084C">
        <w:t xml:space="preserve"> and legislative arrangements were referenced in 57 submissions (31%).</w:t>
      </w:r>
      <w:r w:rsidRPr="00C4084C">
        <w:rPr>
          <w:rStyle w:val="FootnoteReference"/>
        </w:rPr>
        <w:t xml:space="preserve"> </w:t>
      </w:r>
      <w:r w:rsidRPr="00C4084C">
        <w:rPr>
          <w:rStyle w:val="FootnoteReference"/>
        </w:rPr>
        <w:footnoteReference w:id="458"/>
      </w:r>
    </w:p>
    <w:p w14:paraId="4473E1E9" w14:textId="320DE1E0" w:rsidR="00CA2AD7" w:rsidRPr="00C4084C" w:rsidRDefault="00CA2AD7" w:rsidP="006973B0">
      <w:r w:rsidRPr="00C4084C">
        <w:t xml:space="preserve">Submissions in response to the Accord Terms of Reference that elected to be made public, as well as an analysis and summary of views expressed in the submissions process, are available on the </w:t>
      </w:r>
      <w:r w:rsidR="00F53105" w:rsidRPr="008C67CA">
        <w:t>Department of Education website</w:t>
      </w:r>
      <w:r w:rsidR="00D92F08" w:rsidRPr="00C4084C">
        <w:rPr>
          <w:rStyle w:val="Hyperlink"/>
        </w:rPr>
        <w:t>.</w:t>
      </w:r>
      <w:r w:rsidR="00D92F08" w:rsidRPr="0072052F">
        <w:rPr>
          <w:rStyle w:val="FootnoteReference"/>
        </w:rPr>
        <w:footnoteReference w:id="459"/>
      </w:r>
    </w:p>
    <w:p w14:paraId="2CAE6E01" w14:textId="77777777" w:rsidR="00CA2AD7" w:rsidRPr="00C4084C" w:rsidRDefault="00CA2AD7" w:rsidP="00CA2AD7">
      <w:pPr>
        <w:pStyle w:val="Non-numberedHeading3"/>
      </w:pPr>
      <w:r w:rsidRPr="00C4084C">
        <w:t>Consultation on the Accord Discussion Paper</w:t>
      </w:r>
    </w:p>
    <w:p w14:paraId="3ABEE558" w14:textId="599F2ECE" w:rsidR="00CA2AD7" w:rsidRPr="00C4084C" w:rsidRDefault="00CA2AD7" w:rsidP="006973B0">
      <w:r w:rsidRPr="00C4084C">
        <w:t xml:space="preserve">In February 2023, stakeholders were invited to make a submission in response to the Accord Discussion Paper which outlined the fundamental challenges and opportunities facing the Australian tertiary education sector. Over 300 written submissions were received. More than half of </w:t>
      </w:r>
      <w:r w:rsidRPr="00C4084C">
        <w:lastRenderedPageBreak/>
        <w:t xml:space="preserve">submissions were received from individuals, advocacy groups or universities. </w:t>
      </w:r>
      <w:r w:rsidR="005E1949" w:rsidRPr="00C4084C">
        <w:fldChar w:fldCharType="begin"/>
      </w:r>
      <w:r w:rsidR="005E1949" w:rsidRPr="00C4084C">
        <w:instrText xml:space="preserve"> REF _Ref153804778 \h </w:instrText>
      </w:r>
      <w:r w:rsidR="0058712E" w:rsidRPr="00C4084C">
        <w:instrText xml:space="preserve"> \* MERGEFORMAT </w:instrText>
      </w:r>
      <w:r w:rsidR="005E1949" w:rsidRPr="00C4084C">
        <w:fldChar w:fldCharType="separate"/>
      </w:r>
      <w:r w:rsidR="00467B4F" w:rsidRPr="00C4084C">
        <w:t xml:space="preserve">Figure </w:t>
      </w:r>
      <w:r w:rsidR="00467B4F">
        <w:rPr>
          <w:noProof/>
        </w:rPr>
        <w:t>41</w:t>
      </w:r>
      <w:r w:rsidR="005E1949" w:rsidRPr="00C4084C">
        <w:fldChar w:fldCharType="end"/>
      </w:r>
      <w:r w:rsidR="0058712E" w:rsidRPr="00C4084C">
        <w:t xml:space="preserve"> </w:t>
      </w:r>
      <w:r w:rsidRPr="00C4084C">
        <w:t>shows the distribution of submissions by respondent category.</w:t>
      </w:r>
    </w:p>
    <w:p w14:paraId="487137A9" w14:textId="25E36853" w:rsidR="00CA2AD7" w:rsidRPr="00D26B82" w:rsidRDefault="00CA2AD7" w:rsidP="00CA2AD7">
      <w:pPr>
        <w:pStyle w:val="Caption"/>
        <w:rPr>
          <w:b/>
          <w:bCs/>
          <w:noProof/>
          <w:sz w:val="24"/>
          <w:szCs w:val="24"/>
        </w:rPr>
      </w:pPr>
      <w:bookmarkStart w:id="1639" w:name="_Ref153804778"/>
      <w:bookmarkStart w:id="1640" w:name="_Toc154674803"/>
      <w:r w:rsidRPr="00D26B82">
        <w:rPr>
          <w:b/>
          <w:bCs/>
          <w:sz w:val="24"/>
          <w:szCs w:val="24"/>
        </w:rPr>
        <w:t xml:space="preserve">Figure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41</w:t>
      </w:r>
      <w:r w:rsidRPr="00D26B82">
        <w:rPr>
          <w:b/>
          <w:bCs/>
          <w:sz w:val="24"/>
          <w:szCs w:val="24"/>
        </w:rPr>
        <w:fldChar w:fldCharType="end"/>
      </w:r>
      <w:bookmarkEnd w:id="1639"/>
      <w:r w:rsidRPr="00D26B82">
        <w:rPr>
          <w:b/>
          <w:bCs/>
          <w:sz w:val="24"/>
          <w:szCs w:val="24"/>
        </w:rPr>
        <w:t>: Distribution of submissions by respondent category</w:t>
      </w:r>
      <w:bookmarkEnd w:id="1640"/>
      <w:r w:rsidR="00D86AE6" w:rsidRPr="00D26B82">
        <w:rPr>
          <w:b/>
          <w:bCs/>
          <w:noProof/>
          <w:sz w:val="24"/>
          <w:szCs w:val="24"/>
        </w:rPr>
        <w:t xml:space="preserve"> – Consultation on the Accord Discussion Paper.</w:t>
      </w:r>
    </w:p>
    <w:p w14:paraId="1022DC0C" w14:textId="5811929D" w:rsidR="00803B5E" w:rsidRDefault="00803B5E" w:rsidP="00CA2AD7">
      <w:pPr>
        <w:pStyle w:val="Source"/>
      </w:pPr>
      <w:r>
        <w:rPr>
          <w:noProof/>
        </w:rPr>
        <w:drawing>
          <wp:inline distT="0" distB="0" distL="0" distR="0" wp14:anchorId="60A00880" wp14:editId="4C9422D9">
            <wp:extent cx="5624623" cy="2945027"/>
            <wp:effectExtent l="0" t="0" r="0" b="0"/>
            <wp:docPr id="1716573564" name="Graphic 41" descr="A bar graph showing the comparative number of submissions in response to the Accord Discussion Paper consultation process by category of responder. The largest number of responses were from individu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573564" name="Graphic 41" descr="A bar graph showing the comparative number of submissions in response to the Accord Discussion Paper consultation process by category of responder. The largest number of responses were from individuals."/>
                    <pic:cNvPicPr/>
                  </pic:nvPicPr>
                  <pic:blipFill>
                    <a:blip r:embed="rId169">
                      <a:extLst>
                        <a:ext uri="{28A0092B-C50C-407E-A947-70E740481C1C}">
                          <a14:useLocalDpi xmlns:a14="http://schemas.microsoft.com/office/drawing/2010/main" val="0"/>
                        </a:ext>
                        <a:ext uri="{96DAC541-7B7A-43D3-8B79-37D633B846F1}">
                          <asvg:svgBlip xmlns:asvg="http://schemas.microsoft.com/office/drawing/2016/SVG/main" r:embed="rId170"/>
                        </a:ext>
                      </a:extLst>
                    </a:blip>
                    <a:stretch>
                      <a:fillRect/>
                    </a:stretch>
                  </pic:blipFill>
                  <pic:spPr>
                    <a:xfrm>
                      <a:off x="0" y="0"/>
                      <a:ext cx="5633981" cy="2949927"/>
                    </a:xfrm>
                    <a:prstGeom prst="rect">
                      <a:avLst/>
                    </a:prstGeom>
                  </pic:spPr>
                </pic:pic>
              </a:graphicData>
            </a:graphic>
          </wp:inline>
        </w:drawing>
      </w:r>
    </w:p>
    <w:p w14:paraId="230A2CFF" w14:textId="4E46E097" w:rsidR="00CA2AD7" w:rsidRPr="00C4084C" w:rsidRDefault="00CA2AD7" w:rsidP="00CA2AD7">
      <w:pPr>
        <w:pStyle w:val="Source"/>
      </w:pPr>
      <w:r w:rsidRPr="00C4084C">
        <w:t xml:space="preserve">Source: Australian Universities Accord Discussion Paper submission analysis, Nous Group, (2023), </w:t>
      </w:r>
      <w:hyperlink r:id="rId171" w:history="1">
        <w:r w:rsidRPr="00C4084C">
          <w:rPr>
            <w:rStyle w:val="Hyperlink"/>
          </w:rPr>
          <w:t>https://www.education.gov.au/australian-universities-accord/resources/australian-universities-accord-discussion-paper-submission-analysis</w:t>
        </w:r>
      </w:hyperlink>
      <w:r w:rsidRPr="00C4084C">
        <w:t>.</w:t>
      </w:r>
    </w:p>
    <w:p w14:paraId="586CF120" w14:textId="09066BDD" w:rsidR="00CA2AD7" w:rsidRPr="00C4084C" w:rsidRDefault="00CA2AD7" w:rsidP="006973B0">
      <w:r w:rsidRPr="00C4084C">
        <w:t xml:space="preserve">Submissions provided input, </w:t>
      </w:r>
      <w:proofErr w:type="gramStart"/>
      <w:r w:rsidRPr="00C4084C">
        <w:t>recommendations</w:t>
      </w:r>
      <w:proofErr w:type="gramEnd"/>
      <w:r w:rsidRPr="00C4084C">
        <w:t xml:space="preserve"> and insight into what the future of the tertiary education system should look like in Australia, as well as the enablers to achieve this future. As noted, submissions were received from key stakeholders, including individuals, </w:t>
      </w:r>
      <w:proofErr w:type="gramStart"/>
      <w:r w:rsidRPr="00C4084C">
        <w:t>universities</w:t>
      </w:r>
      <w:proofErr w:type="gramEnd"/>
      <w:r w:rsidRPr="00C4084C">
        <w:t xml:space="preserve"> and advocacy groups.</w:t>
      </w:r>
    </w:p>
    <w:p w14:paraId="666B4532" w14:textId="77777777" w:rsidR="00CA2AD7" w:rsidRPr="00C4084C" w:rsidRDefault="00CA2AD7" w:rsidP="006973B0">
      <w:r w:rsidRPr="00C4084C">
        <w:t>Analysis of the submissions found that key themes included:</w:t>
      </w:r>
    </w:p>
    <w:p w14:paraId="3C4A7092" w14:textId="5664A05A" w:rsidR="00CA2AD7" w:rsidRPr="00C4084C" w:rsidRDefault="00CA2AD7" w:rsidP="00CA2AD7">
      <w:pPr>
        <w:pStyle w:val="ListBullet"/>
      </w:pPr>
      <w:r w:rsidRPr="00C4084C">
        <w:t xml:space="preserve">governance, </w:t>
      </w:r>
      <w:proofErr w:type="gramStart"/>
      <w:r w:rsidRPr="00C4084C">
        <w:t>accountability</w:t>
      </w:r>
      <w:proofErr w:type="gramEnd"/>
      <w:r w:rsidRPr="00C4084C">
        <w:t xml:space="preserve"> and community </w:t>
      </w:r>
      <w:r w:rsidR="004620D1">
        <w:t>–</w:t>
      </w:r>
      <w:r w:rsidR="004620D1" w:rsidRPr="00C4084C">
        <w:t xml:space="preserve"> </w:t>
      </w:r>
      <w:r w:rsidRPr="00C4084C">
        <w:t>referenced in 140 submissions (46%)</w:t>
      </w:r>
    </w:p>
    <w:p w14:paraId="0ECD6FFA" w14:textId="6D6876D5" w:rsidR="00CA2AD7" w:rsidRPr="00C4084C" w:rsidRDefault="00CA2AD7" w:rsidP="00CA2AD7">
      <w:pPr>
        <w:pStyle w:val="ListBullet"/>
      </w:pPr>
      <w:r w:rsidRPr="00C4084C">
        <w:t xml:space="preserve">quality and sustainability </w:t>
      </w:r>
      <w:r w:rsidR="004620D1">
        <w:t>–</w:t>
      </w:r>
      <w:r w:rsidR="004620D1" w:rsidRPr="00C4084C">
        <w:t xml:space="preserve"> </w:t>
      </w:r>
      <w:r w:rsidRPr="00C4084C">
        <w:t>referenced in 137 submissions (45%)</w:t>
      </w:r>
    </w:p>
    <w:p w14:paraId="7A4D829D" w14:textId="5BA3B6EC" w:rsidR="00CA2AD7" w:rsidRPr="00C4084C" w:rsidRDefault="00CA2AD7" w:rsidP="00CA2AD7">
      <w:pPr>
        <w:pStyle w:val="ListBullet"/>
      </w:pPr>
      <w:r w:rsidRPr="00C4084C">
        <w:t xml:space="preserve">connection between the vocational education and training and higher education systems </w:t>
      </w:r>
      <w:r w:rsidR="004620D1">
        <w:t>–</w:t>
      </w:r>
      <w:r w:rsidR="004620D1" w:rsidRPr="00C4084C">
        <w:t xml:space="preserve"> </w:t>
      </w:r>
      <w:r w:rsidRPr="00C4084C">
        <w:t>referenced in 130 submissions (43%)</w:t>
      </w:r>
    </w:p>
    <w:p w14:paraId="0A98B51A" w14:textId="32AD6B27" w:rsidR="00CA2AD7" w:rsidRPr="00C4084C" w:rsidRDefault="00CA2AD7" w:rsidP="00CA2AD7">
      <w:pPr>
        <w:pStyle w:val="ListBullet"/>
      </w:pPr>
      <w:r w:rsidRPr="00C4084C">
        <w:t xml:space="preserve">the role of international education </w:t>
      </w:r>
      <w:r w:rsidR="004620D1">
        <w:t>–</w:t>
      </w:r>
      <w:r w:rsidR="004620D1" w:rsidRPr="00C4084C">
        <w:t xml:space="preserve"> </w:t>
      </w:r>
      <w:r w:rsidRPr="00C4084C">
        <w:t>referenced in 123 submissions (41%)</w:t>
      </w:r>
    </w:p>
    <w:p w14:paraId="1F6867DC" w14:textId="41F494D4" w:rsidR="00CA2AD7" w:rsidRPr="00C4084C" w:rsidRDefault="00CA2AD7" w:rsidP="00CA2AD7">
      <w:pPr>
        <w:pStyle w:val="ListBullet"/>
      </w:pPr>
      <w:r w:rsidRPr="00C4084C">
        <w:t xml:space="preserve">regulation and governance </w:t>
      </w:r>
      <w:r w:rsidR="004620D1">
        <w:t>–</w:t>
      </w:r>
      <w:r w:rsidR="004620D1" w:rsidRPr="00C4084C">
        <w:t xml:space="preserve"> </w:t>
      </w:r>
      <w:r w:rsidRPr="00C4084C">
        <w:t>referenced in 111 submissions (37%).</w:t>
      </w:r>
      <w:r w:rsidRPr="00C4084C">
        <w:rPr>
          <w:rStyle w:val="FootnoteReference"/>
        </w:rPr>
        <w:footnoteReference w:id="460"/>
      </w:r>
    </w:p>
    <w:p w14:paraId="03652C5B" w14:textId="66C593B0" w:rsidR="00CA2AD7" w:rsidRPr="00C4084C" w:rsidRDefault="00CA2AD7" w:rsidP="006973B0">
      <w:r w:rsidRPr="00C4084C">
        <w:t xml:space="preserve">Submissions in response to the Accord Discussion Paper that elected to be made public, as well as an analysis and summary of views expressed in the submissions process, are available on the </w:t>
      </w:r>
      <w:r w:rsidR="00F53105" w:rsidRPr="008C67CA">
        <w:t>Department of Education website</w:t>
      </w:r>
      <w:r w:rsidRPr="00C4084C">
        <w:t>.</w:t>
      </w:r>
      <w:r w:rsidR="00D92F08" w:rsidRPr="00C4084C">
        <w:rPr>
          <w:rStyle w:val="FootnoteReference"/>
        </w:rPr>
        <w:footnoteReference w:id="461"/>
      </w:r>
    </w:p>
    <w:p w14:paraId="5B6352D5" w14:textId="77777777" w:rsidR="00CA2AD7" w:rsidRPr="00C4084C" w:rsidRDefault="00CA2AD7" w:rsidP="00CA2AD7">
      <w:pPr>
        <w:pStyle w:val="Non-numberedHeading3"/>
      </w:pPr>
      <w:r w:rsidRPr="00C4084C">
        <w:lastRenderedPageBreak/>
        <w:t>Consultation on the Accord Interim Report</w:t>
      </w:r>
    </w:p>
    <w:p w14:paraId="0C6DA2ED" w14:textId="77777777" w:rsidR="00CA2AD7" w:rsidRPr="00C4084C" w:rsidRDefault="00CA2AD7" w:rsidP="006973B0">
      <w:r w:rsidRPr="00C4084C">
        <w:t>In July 2023, stakeholders were invited to make a submission in response to the Interim Report. Stakeholders were asked to provide feedback in support of, or to challenge, the ideas put forward in the Interim Report, and to identify additional recommendations and points of view. Over 300 written submissions were received.</w:t>
      </w:r>
    </w:p>
    <w:p w14:paraId="65102700" w14:textId="44BFB335" w:rsidR="00CA2AD7" w:rsidRPr="00C4084C" w:rsidRDefault="00CA2AD7" w:rsidP="006973B0">
      <w:r w:rsidRPr="00C4084C">
        <w:t xml:space="preserve">Key respondents in the Interim Report submission process were individuals, advocacy groups and universities. </w:t>
      </w:r>
      <w:r w:rsidR="008C27DD" w:rsidRPr="00C4084C">
        <w:fldChar w:fldCharType="begin"/>
      </w:r>
      <w:r w:rsidR="008C27DD" w:rsidRPr="00C4084C">
        <w:instrText xml:space="preserve"> REF _Ref153809584 \h  \* MERGEFORMAT </w:instrText>
      </w:r>
      <w:r w:rsidR="008C27DD" w:rsidRPr="00C4084C">
        <w:fldChar w:fldCharType="separate"/>
      </w:r>
      <w:r w:rsidR="00467B4F" w:rsidRPr="00C4084C">
        <w:t xml:space="preserve">Figure </w:t>
      </w:r>
      <w:r w:rsidR="00467B4F">
        <w:rPr>
          <w:noProof/>
        </w:rPr>
        <w:t>42</w:t>
      </w:r>
      <w:r w:rsidR="008C27DD" w:rsidRPr="00C4084C">
        <w:fldChar w:fldCharType="end"/>
      </w:r>
      <w:r w:rsidRPr="00C4084C">
        <w:t xml:space="preserve"> shows the distribution of submissions by respondent category.</w:t>
      </w:r>
    </w:p>
    <w:p w14:paraId="37B52116" w14:textId="1FA54516" w:rsidR="00CA2AD7" w:rsidRPr="00D26B82" w:rsidRDefault="00CA2AD7" w:rsidP="00CA2AD7">
      <w:pPr>
        <w:pStyle w:val="Caption"/>
        <w:rPr>
          <w:b/>
          <w:bCs/>
          <w:sz w:val="24"/>
          <w:szCs w:val="24"/>
        </w:rPr>
      </w:pPr>
      <w:bookmarkStart w:id="1641" w:name="_Ref153809584"/>
      <w:bookmarkStart w:id="1642" w:name="_Toc154674804"/>
      <w:r w:rsidRPr="00D26B82">
        <w:rPr>
          <w:b/>
          <w:bCs/>
          <w:sz w:val="24"/>
          <w:szCs w:val="24"/>
        </w:rPr>
        <w:t xml:space="preserve">Figure </w:t>
      </w:r>
      <w:r w:rsidRPr="00D26B82">
        <w:rPr>
          <w:b/>
          <w:bCs/>
          <w:sz w:val="24"/>
          <w:szCs w:val="24"/>
        </w:rPr>
        <w:fldChar w:fldCharType="begin"/>
      </w:r>
      <w:r w:rsidRPr="00D26B82">
        <w:rPr>
          <w:b/>
          <w:bCs/>
          <w:sz w:val="24"/>
          <w:szCs w:val="24"/>
        </w:rPr>
        <w:instrText>SEQ Figure \* ARABIC</w:instrText>
      </w:r>
      <w:r w:rsidRPr="00D26B82">
        <w:rPr>
          <w:b/>
          <w:bCs/>
          <w:sz w:val="24"/>
          <w:szCs w:val="24"/>
        </w:rPr>
        <w:fldChar w:fldCharType="separate"/>
      </w:r>
      <w:r w:rsidR="00467B4F" w:rsidRPr="00D26B82">
        <w:rPr>
          <w:b/>
          <w:bCs/>
          <w:noProof/>
          <w:sz w:val="24"/>
          <w:szCs w:val="24"/>
        </w:rPr>
        <w:t>42</w:t>
      </w:r>
      <w:r w:rsidRPr="00D26B82">
        <w:rPr>
          <w:b/>
          <w:bCs/>
          <w:sz w:val="24"/>
          <w:szCs w:val="24"/>
        </w:rPr>
        <w:fldChar w:fldCharType="end"/>
      </w:r>
      <w:bookmarkEnd w:id="1641"/>
      <w:r w:rsidRPr="00D26B82">
        <w:rPr>
          <w:b/>
          <w:bCs/>
          <w:sz w:val="24"/>
          <w:szCs w:val="24"/>
        </w:rPr>
        <w:t>: Distribution of submissions by respondent category</w:t>
      </w:r>
      <w:r w:rsidR="00632340" w:rsidRPr="00D26B82">
        <w:rPr>
          <w:b/>
          <w:bCs/>
          <w:sz w:val="24"/>
          <w:szCs w:val="24"/>
        </w:rPr>
        <w:t xml:space="preserve"> – Consultation on the Accord Interim Report</w:t>
      </w:r>
      <w:r w:rsidRPr="00D26B82">
        <w:rPr>
          <w:b/>
          <w:bCs/>
          <w:sz w:val="24"/>
          <w:szCs w:val="24"/>
        </w:rPr>
        <w:t>.</w:t>
      </w:r>
      <w:bookmarkEnd w:id="1642"/>
    </w:p>
    <w:p w14:paraId="6D87A7DF" w14:textId="08787BE7" w:rsidR="00803B5E" w:rsidRDefault="00803B5E" w:rsidP="00CA2AD7">
      <w:pPr>
        <w:pStyle w:val="Source"/>
      </w:pPr>
      <w:r>
        <w:rPr>
          <w:noProof/>
        </w:rPr>
        <w:drawing>
          <wp:inline distT="0" distB="0" distL="0" distR="0" wp14:anchorId="5A6613D1" wp14:editId="27494E47">
            <wp:extent cx="5787443" cy="3030279"/>
            <wp:effectExtent l="0" t="0" r="0" b="0"/>
            <wp:docPr id="85671915" name="Graphic 42" descr="A bar graph showing the comparative number of submissions in response to the Accord Interim Report consultation process by category of responder. The largest number of submissions were from individua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71915" name="Graphic 42" descr="A bar graph showing the comparative number of submissions in response to the Accord Interim Report consultation process by category of responder. The largest number of submissions were from individuals. "/>
                    <pic:cNvPicPr/>
                  </pic:nvPicPr>
                  <pic:blipFill>
                    <a:blip r:embed="rId172">
                      <a:extLst>
                        <a:ext uri="{28A0092B-C50C-407E-A947-70E740481C1C}">
                          <a14:useLocalDpi xmlns:a14="http://schemas.microsoft.com/office/drawing/2010/main" val="0"/>
                        </a:ext>
                        <a:ext uri="{96DAC541-7B7A-43D3-8B79-37D633B846F1}">
                          <asvg:svgBlip xmlns:asvg="http://schemas.microsoft.com/office/drawing/2016/SVG/main" r:embed="rId173"/>
                        </a:ext>
                      </a:extLst>
                    </a:blip>
                    <a:stretch>
                      <a:fillRect/>
                    </a:stretch>
                  </pic:blipFill>
                  <pic:spPr>
                    <a:xfrm>
                      <a:off x="0" y="0"/>
                      <a:ext cx="5802980" cy="3038414"/>
                    </a:xfrm>
                    <a:prstGeom prst="rect">
                      <a:avLst/>
                    </a:prstGeom>
                  </pic:spPr>
                </pic:pic>
              </a:graphicData>
            </a:graphic>
          </wp:inline>
        </w:drawing>
      </w:r>
    </w:p>
    <w:p w14:paraId="6CA30576" w14:textId="03DA6CAC" w:rsidR="00CA2AD7" w:rsidRPr="00C4084C" w:rsidRDefault="00CA2AD7" w:rsidP="00CA2AD7">
      <w:pPr>
        <w:pStyle w:val="Source"/>
      </w:pPr>
      <w:r w:rsidRPr="00C4084C">
        <w:t xml:space="preserve">Source: Australian Universities Accord Interim Report </w:t>
      </w:r>
      <w:r w:rsidR="009D7F52">
        <w:t>–</w:t>
      </w:r>
      <w:r w:rsidRPr="00C4084C">
        <w:t xml:space="preserve"> </w:t>
      </w:r>
      <w:r w:rsidR="009D7F52" w:rsidRPr="00C4084C">
        <w:t>submission</w:t>
      </w:r>
      <w:r w:rsidR="009D7F52">
        <w:t xml:space="preserve"> </w:t>
      </w:r>
      <w:r w:rsidRPr="00C4084C">
        <w:t>analysis draft, Nous Group, October 2023.</w:t>
      </w:r>
    </w:p>
    <w:p w14:paraId="4515683E" w14:textId="77777777" w:rsidR="00CA2AD7" w:rsidRPr="00C4084C" w:rsidRDefault="00CA2AD7" w:rsidP="006973B0">
      <w:r w:rsidRPr="00C4084C">
        <w:t>Analysis of the submissions found that key themes included:</w:t>
      </w:r>
    </w:p>
    <w:p w14:paraId="614CED69" w14:textId="5EFE64CD" w:rsidR="00CA2AD7" w:rsidRPr="00C4084C" w:rsidRDefault="00CA2AD7" w:rsidP="00CA2AD7">
      <w:pPr>
        <w:pStyle w:val="ListBullet"/>
      </w:pPr>
      <w:r w:rsidRPr="00C4084C">
        <w:t xml:space="preserve">equity in participation, </w:t>
      </w:r>
      <w:proofErr w:type="gramStart"/>
      <w:r w:rsidRPr="00C4084C">
        <w:t>access</w:t>
      </w:r>
      <w:proofErr w:type="gramEnd"/>
      <w:r w:rsidRPr="00C4084C">
        <w:t xml:space="preserve"> and opportunity </w:t>
      </w:r>
      <w:r w:rsidR="003635FF">
        <w:t>–</w:t>
      </w:r>
      <w:r w:rsidR="003635FF" w:rsidRPr="00C4084C">
        <w:t xml:space="preserve"> </w:t>
      </w:r>
      <w:r w:rsidRPr="00C4084C">
        <w:t>referenced in 155 submissions (47%)</w:t>
      </w:r>
    </w:p>
    <w:p w14:paraId="5F3CBBA5" w14:textId="606DF9DE" w:rsidR="00CA2AD7" w:rsidRPr="00C4084C" w:rsidRDefault="00CA2AD7" w:rsidP="00CA2AD7">
      <w:pPr>
        <w:pStyle w:val="ListBullet"/>
      </w:pPr>
      <w:r w:rsidRPr="00C4084C">
        <w:t xml:space="preserve">meeting Australia’s future skills needs </w:t>
      </w:r>
      <w:r w:rsidR="003635FF">
        <w:t>–</w:t>
      </w:r>
      <w:r w:rsidR="003635FF" w:rsidRPr="00C4084C">
        <w:t xml:space="preserve"> </w:t>
      </w:r>
      <w:r w:rsidRPr="00C4084C">
        <w:t>referenced in 127 submissions (39%)</w:t>
      </w:r>
    </w:p>
    <w:p w14:paraId="37F7955D" w14:textId="76179AFA" w:rsidR="00CA2AD7" w:rsidRPr="00C4084C" w:rsidRDefault="00CA2AD7" w:rsidP="00CA2AD7">
      <w:pPr>
        <w:pStyle w:val="ListBullet"/>
      </w:pPr>
      <w:r w:rsidRPr="00C4084C">
        <w:t xml:space="preserve">a larger, fairer system </w:t>
      </w:r>
      <w:r w:rsidR="003635FF">
        <w:t>–</w:t>
      </w:r>
      <w:r w:rsidR="003635FF" w:rsidRPr="00C4084C">
        <w:t xml:space="preserve"> </w:t>
      </w:r>
      <w:r w:rsidRPr="00C4084C">
        <w:t>referenced in 107 submissions (33%)</w:t>
      </w:r>
    </w:p>
    <w:p w14:paraId="3029E442" w14:textId="02A16727" w:rsidR="00CA2AD7" w:rsidRPr="00C4084C" w:rsidRDefault="00CA2AD7" w:rsidP="00CA2AD7">
      <w:pPr>
        <w:pStyle w:val="ListBullet"/>
      </w:pPr>
      <w:r w:rsidRPr="00C4084C">
        <w:t xml:space="preserve">national governance towards a coherent tertiary system </w:t>
      </w:r>
      <w:r w:rsidR="003635FF">
        <w:t>–</w:t>
      </w:r>
      <w:r w:rsidR="003635FF" w:rsidRPr="00C4084C">
        <w:t xml:space="preserve"> </w:t>
      </w:r>
      <w:r w:rsidRPr="00C4084C">
        <w:t>referenced in 107 submissions (33%)</w:t>
      </w:r>
    </w:p>
    <w:p w14:paraId="522678CA" w14:textId="04FF003D" w:rsidR="00CA2AD7" w:rsidRPr="00C4084C" w:rsidRDefault="00CA2AD7" w:rsidP="00CA2AD7">
      <w:pPr>
        <w:pStyle w:val="ListBullet"/>
      </w:pPr>
      <w:r w:rsidRPr="00C4084C">
        <w:t xml:space="preserve">sustainable funding and financing </w:t>
      </w:r>
      <w:r w:rsidR="003635FF">
        <w:t>–</w:t>
      </w:r>
      <w:r w:rsidR="003635FF" w:rsidRPr="00C4084C">
        <w:t xml:space="preserve"> </w:t>
      </w:r>
      <w:r w:rsidRPr="00C4084C">
        <w:t>referenced in 106 submissions (32%).</w:t>
      </w:r>
      <w:r w:rsidRPr="00C4084C">
        <w:rPr>
          <w:rStyle w:val="FootnoteReference"/>
        </w:rPr>
        <w:footnoteReference w:id="462"/>
      </w:r>
    </w:p>
    <w:p w14:paraId="28F4BBCB" w14:textId="767F11AC" w:rsidR="00CA2AD7" w:rsidRPr="00C4084C" w:rsidRDefault="00CA2AD7" w:rsidP="006973B0">
      <w:r w:rsidRPr="00C4084C">
        <w:t xml:space="preserve">Submissions in response to the Accord Interim Report that elected to be made public, as well as an analysis and summary of views expressed in the submissions process, are available on the </w:t>
      </w:r>
      <w:r w:rsidR="00FC2600" w:rsidRPr="008C67CA">
        <w:t>Department of Education website</w:t>
      </w:r>
      <w:r w:rsidRPr="00C4084C">
        <w:t>.</w:t>
      </w:r>
      <w:r w:rsidR="001C2068" w:rsidRPr="00C4084C">
        <w:rPr>
          <w:rStyle w:val="FootnoteReference"/>
        </w:rPr>
        <w:footnoteReference w:id="463"/>
      </w:r>
    </w:p>
    <w:p w14:paraId="321A51D0" w14:textId="77777777" w:rsidR="0067026A" w:rsidRDefault="00CA2AD7" w:rsidP="006973B0">
      <w:pPr>
        <w:sectPr w:rsidR="0067026A" w:rsidSect="00134415">
          <w:headerReference w:type="even" r:id="rId174"/>
          <w:headerReference w:type="default" r:id="rId175"/>
          <w:footerReference w:type="even" r:id="rId176"/>
          <w:footerReference w:type="default" r:id="rId177"/>
          <w:headerReference w:type="first" r:id="rId178"/>
          <w:footerReference w:type="first" r:id="rId179"/>
          <w:type w:val="continuous"/>
          <w:pgSz w:w="11906" w:h="16838" w:code="9"/>
          <w:pgMar w:top="1225" w:right="1440" w:bottom="1440" w:left="1440" w:header="709" w:footer="709" w:gutter="0"/>
          <w:cols w:space="708"/>
          <w:titlePg/>
          <w:docGrid w:linePitch="360"/>
        </w:sectPr>
      </w:pPr>
      <w:r w:rsidRPr="00C4084C">
        <w:t>The Review also noted the significant media comment on its Discussion Paper and Interim Report.</w:t>
      </w:r>
    </w:p>
    <w:p w14:paraId="4B437415" w14:textId="77777777" w:rsidR="00CA2AD7" w:rsidRPr="00C4084C" w:rsidRDefault="00CA2AD7" w:rsidP="0067026A">
      <w:pPr>
        <w:pStyle w:val="Non-numberedHeading2"/>
      </w:pPr>
      <w:bookmarkStart w:id="1643" w:name="_Toc159501041"/>
      <w:r w:rsidRPr="00C4084C">
        <w:lastRenderedPageBreak/>
        <w:t>Appendix E – Consultations and Attendance</w:t>
      </w:r>
      <w:bookmarkEnd w:id="1643"/>
    </w:p>
    <w:p w14:paraId="75C924BD" w14:textId="77777777" w:rsidR="00CA2AD7" w:rsidRPr="00C4084C" w:rsidRDefault="00CA2AD7" w:rsidP="006973B0">
      <w:pPr>
        <w:pStyle w:val="Non-numberedHeading3"/>
      </w:pPr>
      <w:r w:rsidRPr="00C4084C">
        <w:t>Ministerial Reference Group</w:t>
      </w:r>
    </w:p>
    <w:p w14:paraId="40936211" w14:textId="77777777" w:rsidR="00CA2AD7" w:rsidRPr="00C4084C" w:rsidRDefault="00CA2AD7" w:rsidP="00CA2AD7">
      <w:pPr>
        <w:spacing w:after="0"/>
      </w:pPr>
      <w:r w:rsidRPr="00C4084C">
        <w:t>The Ministerial Reference Group met on:</w:t>
      </w:r>
    </w:p>
    <w:p w14:paraId="7126064E" w14:textId="77777777" w:rsidR="00CA2AD7" w:rsidRPr="00C4084C" w:rsidRDefault="00CA2AD7" w:rsidP="00FB44F8">
      <w:pPr>
        <w:pStyle w:val="ListParagraph"/>
        <w:numPr>
          <w:ilvl w:val="0"/>
          <w:numId w:val="27"/>
        </w:numPr>
        <w:spacing w:after="0" w:line="240" w:lineRule="auto"/>
        <w:ind w:left="357" w:hanging="357"/>
      </w:pPr>
      <w:r w:rsidRPr="00C4084C">
        <w:t>21 February 2023, at Australian Parliament House, ACT</w:t>
      </w:r>
    </w:p>
    <w:p w14:paraId="5ACCE043" w14:textId="77777777" w:rsidR="00CA2AD7" w:rsidRPr="00C4084C" w:rsidRDefault="00CA2AD7" w:rsidP="00FB44F8">
      <w:pPr>
        <w:pStyle w:val="ListParagraph"/>
        <w:numPr>
          <w:ilvl w:val="0"/>
          <w:numId w:val="27"/>
        </w:numPr>
        <w:spacing w:after="0" w:line="240" w:lineRule="auto"/>
      </w:pPr>
      <w:r w:rsidRPr="00C4084C">
        <w:t>26 May 2023, at Western Sydney University, NSW</w:t>
      </w:r>
    </w:p>
    <w:p w14:paraId="00C442FC" w14:textId="02B367B5" w:rsidR="00CA2AD7" w:rsidRPr="00C4084C" w:rsidRDefault="00CA2AD7" w:rsidP="00FB44F8">
      <w:pPr>
        <w:pStyle w:val="ListParagraph"/>
        <w:numPr>
          <w:ilvl w:val="0"/>
          <w:numId w:val="27"/>
        </w:numPr>
        <w:spacing w:after="160"/>
        <w:ind w:hanging="357"/>
      </w:pPr>
      <w:r w:rsidRPr="00C4084C">
        <w:t>2 November 2023, at C</w:t>
      </w:r>
      <w:r w:rsidR="00112B0F">
        <w:t xml:space="preserve">entral </w:t>
      </w:r>
      <w:r w:rsidRPr="00C4084C">
        <w:t>Q</w:t>
      </w:r>
      <w:r w:rsidR="00112B0F">
        <w:t xml:space="preserve">ueensland </w:t>
      </w:r>
      <w:r w:rsidRPr="00C4084C">
        <w:t>University in Rockhampton, Q</w:t>
      </w:r>
      <w:r w:rsidR="00FC324C" w:rsidRPr="00C4084C">
        <w:t>LD</w:t>
      </w:r>
      <w:r w:rsidRPr="00C4084C">
        <w:t>.</w:t>
      </w:r>
    </w:p>
    <w:tbl>
      <w:tblPr>
        <w:tblStyle w:val="ListTable2-Accent3"/>
        <w:tblW w:w="9072" w:type="dxa"/>
        <w:tblLook w:val="04A0" w:firstRow="1" w:lastRow="0" w:firstColumn="1" w:lastColumn="0" w:noHBand="0" w:noVBand="1"/>
      </w:tblPr>
      <w:tblGrid>
        <w:gridCol w:w="2835"/>
        <w:gridCol w:w="2835"/>
        <w:gridCol w:w="3402"/>
      </w:tblGrid>
      <w:tr w:rsidR="00CA2AD7" w:rsidRPr="00C4084C" w14:paraId="3C6A1287" w14:textId="77777777">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835" w:type="dxa"/>
          </w:tcPr>
          <w:p w14:paraId="044A6C75" w14:textId="77777777" w:rsidR="00CA2AD7" w:rsidRPr="00C4084C" w:rsidRDefault="00CA2AD7">
            <w:pPr>
              <w:rPr>
                <w:rFonts w:cs="Arial"/>
              </w:rPr>
            </w:pPr>
            <w:r w:rsidRPr="00C4084C">
              <w:rPr>
                <w:rFonts w:cs="Arial"/>
              </w:rPr>
              <w:t>Member</w:t>
            </w:r>
          </w:p>
        </w:tc>
        <w:tc>
          <w:tcPr>
            <w:tcW w:w="2835" w:type="dxa"/>
          </w:tcPr>
          <w:p w14:paraId="362F6CBE" w14:textId="77777777" w:rsidR="00CA2AD7" w:rsidRPr="00C4084C" w:rsidRDefault="00CA2AD7">
            <w:pPr>
              <w:cnfStyle w:val="100000000000" w:firstRow="1" w:lastRow="0" w:firstColumn="0" w:lastColumn="0" w:oddVBand="0" w:evenVBand="0" w:oddHBand="0" w:evenHBand="0" w:firstRowFirstColumn="0" w:firstRowLastColumn="0" w:lastRowFirstColumn="0" w:lastRowLastColumn="0"/>
              <w:rPr>
                <w:rFonts w:cs="Arial"/>
              </w:rPr>
            </w:pPr>
            <w:r w:rsidRPr="00C4084C">
              <w:rPr>
                <w:rFonts w:cs="Arial"/>
              </w:rPr>
              <w:t>Title</w:t>
            </w:r>
          </w:p>
        </w:tc>
        <w:tc>
          <w:tcPr>
            <w:tcW w:w="3402" w:type="dxa"/>
          </w:tcPr>
          <w:p w14:paraId="546B88C0" w14:textId="77777777" w:rsidR="00CA2AD7" w:rsidRPr="00C4084C" w:rsidRDefault="00CA2AD7">
            <w:pPr>
              <w:cnfStyle w:val="100000000000" w:firstRow="1" w:lastRow="0" w:firstColumn="0" w:lastColumn="0" w:oddVBand="0" w:evenVBand="0" w:oddHBand="0" w:evenHBand="0" w:firstRowFirstColumn="0" w:firstRowLastColumn="0" w:lastRowFirstColumn="0" w:lastRowLastColumn="0"/>
              <w:rPr>
                <w:rFonts w:cs="Arial"/>
              </w:rPr>
            </w:pPr>
            <w:r w:rsidRPr="00C4084C">
              <w:rPr>
                <w:rFonts w:cs="Arial"/>
              </w:rPr>
              <w:t>Organisation</w:t>
            </w:r>
          </w:p>
        </w:tc>
      </w:tr>
      <w:tr w:rsidR="00CA2AD7" w:rsidRPr="00C4084C" w14:paraId="4A0D15D9"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835" w:type="dxa"/>
          </w:tcPr>
          <w:p w14:paraId="4C55AAA5" w14:textId="77777777" w:rsidR="00CA2AD7" w:rsidRPr="00C4084C" w:rsidRDefault="00CA2AD7">
            <w:pPr>
              <w:rPr>
                <w:rFonts w:eastAsia="Arial" w:cs="Arial"/>
                <w:color w:val="000000" w:themeColor="text1"/>
              </w:rPr>
            </w:pPr>
            <w:r w:rsidRPr="00C4084C">
              <w:rPr>
                <w:rFonts w:eastAsia="Arial" w:cs="Arial"/>
                <w:color w:val="000000" w:themeColor="text1"/>
              </w:rPr>
              <w:t xml:space="preserve">The Hon Jason Clare MP (Chair) </w:t>
            </w:r>
          </w:p>
        </w:tc>
        <w:tc>
          <w:tcPr>
            <w:tcW w:w="2835" w:type="dxa"/>
          </w:tcPr>
          <w:p w14:paraId="0D806179"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Minister for Education </w:t>
            </w:r>
          </w:p>
        </w:tc>
        <w:tc>
          <w:tcPr>
            <w:tcW w:w="3402" w:type="dxa"/>
          </w:tcPr>
          <w:p w14:paraId="11281728"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Australian Government </w:t>
            </w:r>
          </w:p>
        </w:tc>
      </w:tr>
      <w:tr w:rsidR="00CA2AD7" w:rsidRPr="00C4084C" w14:paraId="349DE0BE" w14:textId="77777777">
        <w:trPr>
          <w:trHeight w:val="390"/>
        </w:trPr>
        <w:tc>
          <w:tcPr>
            <w:cnfStyle w:val="001000000000" w:firstRow="0" w:lastRow="0" w:firstColumn="1" w:lastColumn="0" w:oddVBand="0" w:evenVBand="0" w:oddHBand="0" w:evenHBand="0" w:firstRowFirstColumn="0" w:firstRowLastColumn="0" w:lastRowFirstColumn="0" w:lastRowLastColumn="0"/>
            <w:tcW w:w="2835" w:type="dxa"/>
          </w:tcPr>
          <w:p w14:paraId="730C0823" w14:textId="77777777" w:rsidR="00CA2AD7" w:rsidRPr="00C4084C" w:rsidRDefault="00CA2AD7">
            <w:pPr>
              <w:rPr>
                <w:rFonts w:eastAsia="Arial" w:cs="Arial"/>
                <w:color w:val="000000" w:themeColor="text1"/>
              </w:rPr>
            </w:pPr>
            <w:r w:rsidRPr="00C4084C">
              <w:rPr>
                <w:rFonts w:eastAsia="Arial" w:cs="Arial"/>
                <w:color w:val="000000" w:themeColor="text1"/>
              </w:rPr>
              <w:t xml:space="preserve">Senator the Hon Anthony Chisholm </w:t>
            </w:r>
          </w:p>
        </w:tc>
        <w:tc>
          <w:tcPr>
            <w:tcW w:w="2835" w:type="dxa"/>
          </w:tcPr>
          <w:p w14:paraId="2FA10C8B"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Assistant Minister for Education </w:t>
            </w:r>
          </w:p>
        </w:tc>
        <w:tc>
          <w:tcPr>
            <w:tcW w:w="3402" w:type="dxa"/>
          </w:tcPr>
          <w:p w14:paraId="506B04A4"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Australian Government </w:t>
            </w:r>
          </w:p>
        </w:tc>
      </w:tr>
      <w:tr w:rsidR="00CA2AD7" w:rsidRPr="00C4084C" w14:paraId="4A23D1BB"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835" w:type="dxa"/>
          </w:tcPr>
          <w:p w14:paraId="27C3B8B5" w14:textId="77777777" w:rsidR="00CA2AD7" w:rsidRPr="00C4084C" w:rsidRDefault="00CA2AD7">
            <w:pPr>
              <w:rPr>
                <w:rFonts w:eastAsia="Arial" w:cs="Arial"/>
                <w:color w:val="000000" w:themeColor="text1"/>
              </w:rPr>
            </w:pPr>
            <w:r w:rsidRPr="00C4084C">
              <w:rPr>
                <w:rFonts w:eastAsia="Arial" w:cs="Arial"/>
                <w:color w:val="000000" w:themeColor="text1"/>
              </w:rPr>
              <w:t xml:space="preserve">Professor Mary O'Kane AC (Observer) </w:t>
            </w:r>
          </w:p>
        </w:tc>
        <w:tc>
          <w:tcPr>
            <w:tcW w:w="2835" w:type="dxa"/>
          </w:tcPr>
          <w:p w14:paraId="1A91CFDF"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Chair </w:t>
            </w:r>
          </w:p>
        </w:tc>
        <w:tc>
          <w:tcPr>
            <w:tcW w:w="3402" w:type="dxa"/>
          </w:tcPr>
          <w:p w14:paraId="66E068DD"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Australian Universities Accord Panel </w:t>
            </w:r>
          </w:p>
        </w:tc>
      </w:tr>
      <w:tr w:rsidR="00CA2AD7" w:rsidRPr="00C4084C" w14:paraId="3376BC8A" w14:textId="77777777">
        <w:trPr>
          <w:trHeight w:val="390"/>
        </w:trPr>
        <w:tc>
          <w:tcPr>
            <w:cnfStyle w:val="001000000000" w:firstRow="0" w:lastRow="0" w:firstColumn="1" w:lastColumn="0" w:oddVBand="0" w:evenVBand="0" w:oddHBand="0" w:evenHBand="0" w:firstRowFirstColumn="0" w:firstRowLastColumn="0" w:lastRowFirstColumn="0" w:lastRowLastColumn="0"/>
            <w:tcW w:w="2835" w:type="dxa"/>
          </w:tcPr>
          <w:p w14:paraId="5B31DEE7" w14:textId="77777777" w:rsidR="00CA2AD7" w:rsidRPr="00C4084C" w:rsidRDefault="00CA2AD7">
            <w:pPr>
              <w:rPr>
                <w:rFonts w:eastAsia="Arial" w:cs="Arial"/>
                <w:color w:val="000000" w:themeColor="text1"/>
              </w:rPr>
            </w:pPr>
            <w:r w:rsidRPr="00C4084C">
              <w:rPr>
                <w:rFonts w:eastAsia="Arial" w:cs="Arial"/>
                <w:color w:val="000000" w:themeColor="text1"/>
              </w:rPr>
              <w:t xml:space="preserve">Mr Ben Rimmer (Observer) </w:t>
            </w:r>
          </w:p>
        </w:tc>
        <w:tc>
          <w:tcPr>
            <w:tcW w:w="2835" w:type="dxa"/>
          </w:tcPr>
          <w:p w14:paraId="23413A4F" w14:textId="1EE5F37A"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Deputy Secretary</w:t>
            </w:r>
            <w:r w:rsidR="00FC324C" w:rsidRPr="00C4084C">
              <w:rPr>
                <w:rStyle w:val="FootnoteReference"/>
                <w:rFonts w:eastAsia="Arial" w:cs="Arial"/>
                <w:color w:val="000000" w:themeColor="text1"/>
              </w:rPr>
              <w:footnoteReference w:id="464"/>
            </w:r>
            <w:r w:rsidRPr="00C4084C">
              <w:rPr>
                <w:rFonts w:eastAsia="Arial" w:cs="Arial"/>
                <w:color w:val="000000" w:themeColor="text1"/>
              </w:rPr>
              <w:t xml:space="preserve"> </w:t>
            </w:r>
          </w:p>
        </w:tc>
        <w:tc>
          <w:tcPr>
            <w:tcW w:w="3402" w:type="dxa"/>
          </w:tcPr>
          <w:p w14:paraId="18669BE1"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Australian Government Department of Education </w:t>
            </w:r>
          </w:p>
        </w:tc>
      </w:tr>
      <w:tr w:rsidR="00CA2AD7" w:rsidRPr="00C4084C" w14:paraId="41088B0A"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835" w:type="dxa"/>
          </w:tcPr>
          <w:p w14:paraId="6D2BBDA4" w14:textId="77777777" w:rsidR="00CA2AD7" w:rsidRPr="00C4084C" w:rsidRDefault="00CA2AD7">
            <w:pPr>
              <w:rPr>
                <w:rFonts w:eastAsia="Arial" w:cs="Arial"/>
                <w:color w:val="000000" w:themeColor="text1"/>
              </w:rPr>
            </w:pPr>
            <w:r w:rsidRPr="00C4084C">
              <w:rPr>
                <w:rFonts w:eastAsia="Arial" w:cs="Arial"/>
                <w:color w:val="000000" w:themeColor="text1"/>
              </w:rPr>
              <w:t xml:space="preserve">Mr Matthew Addison </w:t>
            </w:r>
          </w:p>
        </w:tc>
        <w:tc>
          <w:tcPr>
            <w:tcW w:w="2835" w:type="dxa"/>
          </w:tcPr>
          <w:p w14:paraId="42172FAB"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Chair </w:t>
            </w:r>
          </w:p>
        </w:tc>
        <w:tc>
          <w:tcPr>
            <w:tcW w:w="3402" w:type="dxa"/>
          </w:tcPr>
          <w:p w14:paraId="0E8C8CF7"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Council of Small Business Organisations Australia </w:t>
            </w:r>
          </w:p>
        </w:tc>
      </w:tr>
      <w:tr w:rsidR="00CA2AD7" w:rsidRPr="00C4084C" w14:paraId="52331CBF" w14:textId="77777777">
        <w:trPr>
          <w:trHeight w:val="390"/>
        </w:trPr>
        <w:tc>
          <w:tcPr>
            <w:cnfStyle w:val="001000000000" w:firstRow="0" w:lastRow="0" w:firstColumn="1" w:lastColumn="0" w:oddVBand="0" w:evenVBand="0" w:oddHBand="0" w:evenHBand="0" w:firstRowFirstColumn="0" w:firstRowLastColumn="0" w:lastRowFirstColumn="0" w:lastRowLastColumn="0"/>
            <w:tcW w:w="2835" w:type="dxa"/>
          </w:tcPr>
          <w:p w14:paraId="7FCAD805" w14:textId="77777777" w:rsidR="00CA2AD7" w:rsidRPr="00C4084C" w:rsidRDefault="00CA2AD7">
            <w:pPr>
              <w:rPr>
                <w:rFonts w:eastAsia="Arial" w:cs="Arial"/>
                <w:color w:val="000000" w:themeColor="text1"/>
              </w:rPr>
            </w:pPr>
            <w:r w:rsidRPr="00C4084C">
              <w:rPr>
                <w:rFonts w:eastAsia="Arial" w:cs="Arial"/>
                <w:color w:val="000000" w:themeColor="text1"/>
              </w:rPr>
              <w:t xml:space="preserve">Mr Kevin Bates </w:t>
            </w:r>
          </w:p>
        </w:tc>
        <w:tc>
          <w:tcPr>
            <w:tcW w:w="2835" w:type="dxa"/>
          </w:tcPr>
          <w:p w14:paraId="23CE2C68"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Federal Secretary </w:t>
            </w:r>
          </w:p>
        </w:tc>
        <w:tc>
          <w:tcPr>
            <w:tcW w:w="3402" w:type="dxa"/>
          </w:tcPr>
          <w:p w14:paraId="378A5D89"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Australian Education Union </w:t>
            </w:r>
          </w:p>
        </w:tc>
      </w:tr>
      <w:tr w:rsidR="00CA2AD7" w:rsidRPr="00C4084C" w14:paraId="498338CB"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835" w:type="dxa"/>
          </w:tcPr>
          <w:p w14:paraId="0DE2AC46" w14:textId="77777777" w:rsidR="00CA2AD7" w:rsidRPr="00C4084C" w:rsidRDefault="00CA2AD7">
            <w:pPr>
              <w:rPr>
                <w:rFonts w:eastAsia="Arial" w:cs="Arial"/>
                <w:color w:val="000000" w:themeColor="text1"/>
              </w:rPr>
            </w:pPr>
            <w:r w:rsidRPr="00C4084C">
              <w:rPr>
                <w:rFonts w:eastAsia="Arial" w:cs="Arial"/>
                <w:color w:val="000000" w:themeColor="text1"/>
              </w:rPr>
              <w:t xml:space="preserve">Dr Alison Barnes </w:t>
            </w:r>
          </w:p>
        </w:tc>
        <w:tc>
          <w:tcPr>
            <w:tcW w:w="2835" w:type="dxa"/>
          </w:tcPr>
          <w:p w14:paraId="4BF7A796"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President </w:t>
            </w:r>
          </w:p>
        </w:tc>
        <w:tc>
          <w:tcPr>
            <w:tcW w:w="3402" w:type="dxa"/>
          </w:tcPr>
          <w:p w14:paraId="76E4FB22"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National Tertiary Education Union </w:t>
            </w:r>
          </w:p>
        </w:tc>
      </w:tr>
      <w:tr w:rsidR="00CA2AD7" w:rsidRPr="00C4084C" w14:paraId="6BDEC057" w14:textId="77777777">
        <w:trPr>
          <w:trHeight w:val="390"/>
        </w:trPr>
        <w:tc>
          <w:tcPr>
            <w:cnfStyle w:val="001000000000" w:firstRow="0" w:lastRow="0" w:firstColumn="1" w:lastColumn="0" w:oddVBand="0" w:evenVBand="0" w:oddHBand="0" w:evenHBand="0" w:firstRowFirstColumn="0" w:firstRowLastColumn="0" w:lastRowFirstColumn="0" w:lastRowLastColumn="0"/>
            <w:tcW w:w="2835" w:type="dxa"/>
          </w:tcPr>
          <w:p w14:paraId="4A269DE2" w14:textId="77777777" w:rsidR="00CA2AD7" w:rsidRPr="00C4084C" w:rsidDel="001A68F3" w:rsidRDefault="00CA2AD7">
            <w:pPr>
              <w:rPr>
                <w:rFonts w:eastAsia="Arial" w:cs="Arial"/>
                <w:color w:val="000000" w:themeColor="text1"/>
              </w:rPr>
            </w:pPr>
            <w:r w:rsidRPr="00C4084C">
              <w:rPr>
                <w:rFonts w:eastAsia="Arial" w:cs="Arial"/>
                <w:color w:val="000000" w:themeColor="text1"/>
              </w:rPr>
              <w:t xml:space="preserve">Mr Bran Black </w:t>
            </w:r>
          </w:p>
        </w:tc>
        <w:tc>
          <w:tcPr>
            <w:tcW w:w="2835" w:type="dxa"/>
          </w:tcPr>
          <w:p w14:paraId="4683D4A6" w14:textId="77777777" w:rsidR="00CA2AD7" w:rsidRPr="00C4084C" w:rsidDel="001A68F3"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Chief Executive</w:t>
            </w:r>
            <w:r w:rsidRPr="00C4084C">
              <w:rPr>
                <w:rStyle w:val="FootnoteReference"/>
                <w:rFonts w:eastAsia="Arial" w:cs="Arial"/>
                <w:color w:val="000000" w:themeColor="text1"/>
              </w:rPr>
              <w:footnoteReference w:id="465"/>
            </w:r>
          </w:p>
        </w:tc>
        <w:tc>
          <w:tcPr>
            <w:tcW w:w="3402" w:type="dxa"/>
          </w:tcPr>
          <w:p w14:paraId="4A81AD36" w14:textId="77777777" w:rsidR="00CA2AD7" w:rsidRPr="00C4084C" w:rsidDel="001A68F3"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Business Council of Australia </w:t>
            </w:r>
          </w:p>
        </w:tc>
      </w:tr>
      <w:tr w:rsidR="00CA2AD7" w:rsidRPr="00C4084C" w14:paraId="4541824B"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835" w:type="dxa"/>
          </w:tcPr>
          <w:p w14:paraId="5B85ADA2" w14:textId="77777777" w:rsidR="00CA2AD7" w:rsidRPr="00C4084C" w:rsidRDefault="00CA2AD7">
            <w:pPr>
              <w:rPr>
                <w:rFonts w:eastAsia="Arial" w:cs="Arial"/>
                <w:color w:val="000000" w:themeColor="text1"/>
              </w:rPr>
            </w:pPr>
            <w:r w:rsidRPr="00C4084C">
              <w:rPr>
                <w:rFonts w:eastAsia="Arial" w:cs="Arial"/>
                <w:color w:val="000000" w:themeColor="text1"/>
              </w:rPr>
              <w:t xml:space="preserve">Emeritus Professor Peter </w:t>
            </w:r>
            <w:proofErr w:type="spellStart"/>
            <w:r w:rsidRPr="00C4084C">
              <w:rPr>
                <w:rFonts w:eastAsia="Arial" w:cs="Arial"/>
                <w:color w:val="000000" w:themeColor="text1"/>
              </w:rPr>
              <w:t>Coaldrake</w:t>
            </w:r>
            <w:proofErr w:type="spellEnd"/>
            <w:r w:rsidRPr="00C4084C">
              <w:rPr>
                <w:rFonts w:eastAsia="Arial" w:cs="Arial"/>
                <w:color w:val="000000" w:themeColor="text1"/>
              </w:rPr>
              <w:t xml:space="preserve"> AO </w:t>
            </w:r>
          </w:p>
        </w:tc>
        <w:tc>
          <w:tcPr>
            <w:tcW w:w="2835" w:type="dxa"/>
          </w:tcPr>
          <w:p w14:paraId="32630C93"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Chief Commissioner </w:t>
            </w:r>
          </w:p>
        </w:tc>
        <w:tc>
          <w:tcPr>
            <w:tcW w:w="3402" w:type="dxa"/>
          </w:tcPr>
          <w:p w14:paraId="1CE62C63"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Tertiary Education Quality and Standards Agency </w:t>
            </w:r>
          </w:p>
        </w:tc>
      </w:tr>
      <w:tr w:rsidR="00CA2AD7" w:rsidRPr="00C4084C" w14:paraId="6FC24152" w14:textId="77777777">
        <w:trPr>
          <w:trHeight w:val="390"/>
        </w:trPr>
        <w:tc>
          <w:tcPr>
            <w:cnfStyle w:val="001000000000" w:firstRow="0" w:lastRow="0" w:firstColumn="1" w:lastColumn="0" w:oddVBand="0" w:evenVBand="0" w:oddHBand="0" w:evenHBand="0" w:firstRowFirstColumn="0" w:firstRowLastColumn="0" w:lastRowFirstColumn="0" w:lastRowLastColumn="0"/>
            <w:tcW w:w="2835" w:type="dxa"/>
          </w:tcPr>
          <w:p w14:paraId="7D305727" w14:textId="77777777" w:rsidR="00CA2AD7" w:rsidRPr="00C4084C" w:rsidRDefault="00CA2AD7">
            <w:pPr>
              <w:rPr>
                <w:rFonts w:eastAsia="Arial" w:cs="Arial"/>
                <w:color w:val="000000" w:themeColor="text1"/>
              </w:rPr>
            </w:pPr>
            <w:r w:rsidRPr="00C4084C">
              <w:rPr>
                <w:rFonts w:eastAsia="Arial" w:cs="Arial"/>
                <w:color w:val="000000" w:themeColor="text1"/>
              </w:rPr>
              <w:t>Professor Peter Dawkins AO</w:t>
            </w:r>
            <w:r w:rsidRPr="00C4084C">
              <w:rPr>
                <w:rStyle w:val="FootnoteReference"/>
                <w:rFonts w:eastAsia="Arial" w:cs="Arial"/>
                <w:color w:val="000000" w:themeColor="text1"/>
              </w:rPr>
              <w:footnoteReference w:id="466"/>
            </w:r>
          </w:p>
        </w:tc>
        <w:tc>
          <w:tcPr>
            <w:tcW w:w="2835" w:type="dxa"/>
          </w:tcPr>
          <w:p w14:paraId="428C6030"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Director  </w:t>
            </w:r>
          </w:p>
        </w:tc>
        <w:tc>
          <w:tcPr>
            <w:tcW w:w="3402" w:type="dxa"/>
          </w:tcPr>
          <w:p w14:paraId="1E52F65E"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Jobs and Skills Australia </w:t>
            </w:r>
          </w:p>
        </w:tc>
      </w:tr>
      <w:tr w:rsidR="00CA2AD7" w:rsidRPr="00C4084C" w14:paraId="0F8F01C8"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835" w:type="dxa"/>
          </w:tcPr>
          <w:p w14:paraId="0A50EA71" w14:textId="77777777" w:rsidR="00CA2AD7" w:rsidRPr="00C4084C" w:rsidRDefault="00CA2AD7">
            <w:pPr>
              <w:rPr>
                <w:rFonts w:eastAsia="Arial" w:cs="Arial"/>
                <w:color w:val="000000" w:themeColor="text1"/>
              </w:rPr>
            </w:pPr>
            <w:r w:rsidRPr="00C4084C">
              <w:rPr>
                <w:rFonts w:eastAsia="Arial" w:cs="Arial"/>
                <w:color w:val="000000" w:themeColor="text1"/>
              </w:rPr>
              <w:t xml:space="preserve">Ms Jenny Dodd </w:t>
            </w:r>
          </w:p>
        </w:tc>
        <w:tc>
          <w:tcPr>
            <w:tcW w:w="2835" w:type="dxa"/>
          </w:tcPr>
          <w:p w14:paraId="5D3EAA12"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Chief Executive Officer </w:t>
            </w:r>
          </w:p>
        </w:tc>
        <w:tc>
          <w:tcPr>
            <w:tcW w:w="3402" w:type="dxa"/>
          </w:tcPr>
          <w:p w14:paraId="480F5725"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TAFE Directors Australia </w:t>
            </w:r>
          </w:p>
        </w:tc>
      </w:tr>
      <w:tr w:rsidR="00CA2AD7" w:rsidRPr="00C4084C" w14:paraId="4EC434BB" w14:textId="77777777">
        <w:trPr>
          <w:trHeight w:val="390"/>
        </w:trPr>
        <w:tc>
          <w:tcPr>
            <w:cnfStyle w:val="001000000000" w:firstRow="0" w:lastRow="0" w:firstColumn="1" w:lastColumn="0" w:oddVBand="0" w:evenVBand="0" w:oddHBand="0" w:evenHBand="0" w:firstRowFirstColumn="0" w:firstRowLastColumn="0" w:lastRowFirstColumn="0" w:lastRowLastColumn="0"/>
            <w:tcW w:w="2835" w:type="dxa"/>
          </w:tcPr>
          <w:p w14:paraId="7C44193D" w14:textId="77777777" w:rsidR="00CA2AD7" w:rsidRPr="00C4084C" w:rsidRDefault="00CA2AD7">
            <w:pPr>
              <w:rPr>
                <w:rFonts w:eastAsia="Arial" w:cs="Arial"/>
                <w:color w:val="000000" w:themeColor="text1"/>
              </w:rPr>
            </w:pPr>
            <w:r w:rsidRPr="00C4084C">
              <w:rPr>
                <w:rFonts w:eastAsia="Arial" w:cs="Arial"/>
                <w:color w:val="000000" w:themeColor="text1"/>
              </w:rPr>
              <w:t xml:space="preserve">The Hon Professor Verity Firth AM </w:t>
            </w:r>
          </w:p>
        </w:tc>
        <w:tc>
          <w:tcPr>
            <w:tcW w:w="2835" w:type="dxa"/>
          </w:tcPr>
          <w:p w14:paraId="5B893338"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Pro Vice-Chancellor, Social </w:t>
            </w:r>
            <w:proofErr w:type="gramStart"/>
            <w:r w:rsidRPr="00C4084C">
              <w:rPr>
                <w:rFonts w:eastAsia="Arial" w:cs="Arial"/>
                <w:color w:val="000000" w:themeColor="text1"/>
              </w:rPr>
              <w:t>Justice</w:t>
            </w:r>
            <w:proofErr w:type="gramEnd"/>
            <w:r w:rsidRPr="00C4084C">
              <w:rPr>
                <w:rFonts w:eastAsia="Arial" w:cs="Arial"/>
                <w:color w:val="000000" w:themeColor="text1"/>
              </w:rPr>
              <w:t xml:space="preserve"> and Inclusion </w:t>
            </w:r>
          </w:p>
        </w:tc>
        <w:tc>
          <w:tcPr>
            <w:tcW w:w="3402" w:type="dxa"/>
          </w:tcPr>
          <w:p w14:paraId="397EC123"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University of Technology Sydney </w:t>
            </w:r>
          </w:p>
        </w:tc>
      </w:tr>
      <w:tr w:rsidR="009E0F46" w:rsidRPr="00C4084C" w14:paraId="56EAB6A0"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835" w:type="dxa"/>
          </w:tcPr>
          <w:p w14:paraId="5827BBAE" w14:textId="77777777" w:rsidR="00CA2AD7" w:rsidRPr="00C4084C" w:rsidDel="001A68F3" w:rsidRDefault="00CA2AD7">
            <w:pPr>
              <w:rPr>
                <w:rFonts w:eastAsia="Arial" w:cs="Arial"/>
                <w:color w:val="000000" w:themeColor="text1"/>
              </w:rPr>
            </w:pPr>
            <w:r w:rsidRPr="00C4084C">
              <w:rPr>
                <w:rFonts w:eastAsia="Arial" w:cs="Arial"/>
                <w:color w:val="000000" w:themeColor="text1"/>
              </w:rPr>
              <w:t xml:space="preserve">Dr Cathy Foley AO PSM </w:t>
            </w:r>
          </w:p>
        </w:tc>
        <w:tc>
          <w:tcPr>
            <w:tcW w:w="2835" w:type="dxa"/>
          </w:tcPr>
          <w:p w14:paraId="0757E293" w14:textId="77777777" w:rsidR="00CA2AD7" w:rsidRPr="00C4084C" w:rsidDel="001A68F3"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Chief Scientist of Australia </w:t>
            </w:r>
          </w:p>
        </w:tc>
        <w:tc>
          <w:tcPr>
            <w:tcW w:w="3402" w:type="dxa"/>
          </w:tcPr>
          <w:p w14:paraId="519BC524" w14:textId="77777777" w:rsidR="00CA2AD7" w:rsidRPr="00C4084C" w:rsidDel="001A68F3"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Chief Scientist of Australia </w:t>
            </w:r>
          </w:p>
        </w:tc>
      </w:tr>
      <w:tr w:rsidR="00CA2AD7" w:rsidRPr="00C4084C" w14:paraId="49006307" w14:textId="77777777">
        <w:trPr>
          <w:trHeight w:val="390"/>
        </w:trPr>
        <w:tc>
          <w:tcPr>
            <w:cnfStyle w:val="001000000000" w:firstRow="0" w:lastRow="0" w:firstColumn="1" w:lastColumn="0" w:oddVBand="0" w:evenVBand="0" w:oddHBand="0" w:evenHBand="0" w:firstRowFirstColumn="0" w:firstRowLastColumn="0" w:lastRowFirstColumn="0" w:lastRowLastColumn="0"/>
            <w:tcW w:w="2835" w:type="dxa"/>
          </w:tcPr>
          <w:p w14:paraId="3874F17F" w14:textId="77777777" w:rsidR="00CA2AD7" w:rsidRPr="00C4084C" w:rsidRDefault="00CA2AD7">
            <w:pPr>
              <w:rPr>
                <w:rFonts w:eastAsia="Arial" w:cs="Arial"/>
                <w:color w:val="000000" w:themeColor="text1"/>
              </w:rPr>
            </w:pPr>
            <w:r w:rsidRPr="00C4084C">
              <w:rPr>
                <w:rFonts w:eastAsia="Arial" w:cs="Arial"/>
                <w:color w:val="000000" w:themeColor="text1"/>
              </w:rPr>
              <w:lastRenderedPageBreak/>
              <w:t xml:space="preserve">Ms Patricia Forward </w:t>
            </w:r>
          </w:p>
        </w:tc>
        <w:tc>
          <w:tcPr>
            <w:tcW w:w="2835" w:type="dxa"/>
          </w:tcPr>
          <w:p w14:paraId="79616169"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(Former) Federal TAFE Secretary </w:t>
            </w:r>
          </w:p>
        </w:tc>
        <w:tc>
          <w:tcPr>
            <w:tcW w:w="3402" w:type="dxa"/>
          </w:tcPr>
          <w:p w14:paraId="27E2F5E7"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(Former) Australian Education Union </w:t>
            </w:r>
          </w:p>
        </w:tc>
      </w:tr>
      <w:tr w:rsidR="00CA2AD7" w:rsidRPr="00C4084C" w14:paraId="1158FA3A"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835" w:type="dxa"/>
          </w:tcPr>
          <w:p w14:paraId="2EE3E1A7" w14:textId="77777777" w:rsidR="00CA2AD7" w:rsidRPr="00C4084C" w:rsidRDefault="00CA2AD7">
            <w:pPr>
              <w:rPr>
                <w:rFonts w:eastAsia="Arial" w:cs="Arial"/>
                <w:color w:val="000000" w:themeColor="text1"/>
              </w:rPr>
            </w:pPr>
            <w:r w:rsidRPr="00C4084C">
              <w:rPr>
                <w:rFonts w:eastAsia="Arial" w:cs="Arial"/>
                <w:color w:val="000000" w:themeColor="text1"/>
              </w:rPr>
              <w:t xml:space="preserve">Associate Professor Paul </w:t>
            </w:r>
            <w:proofErr w:type="spellStart"/>
            <w:r w:rsidRPr="00C4084C">
              <w:rPr>
                <w:rFonts w:eastAsia="Arial" w:cs="Arial"/>
                <w:color w:val="000000" w:themeColor="text1"/>
              </w:rPr>
              <w:t>Harpur</w:t>
            </w:r>
            <w:proofErr w:type="spellEnd"/>
            <w:r w:rsidRPr="00C4084C">
              <w:rPr>
                <w:rFonts w:eastAsia="Arial" w:cs="Arial"/>
                <w:color w:val="000000" w:themeColor="text1"/>
              </w:rPr>
              <w:t xml:space="preserve"> </w:t>
            </w:r>
          </w:p>
        </w:tc>
        <w:tc>
          <w:tcPr>
            <w:tcW w:w="2835" w:type="dxa"/>
          </w:tcPr>
          <w:p w14:paraId="7754A2E6"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Future Fellow  </w:t>
            </w:r>
          </w:p>
        </w:tc>
        <w:tc>
          <w:tcPr>
            <w:tcW w:w="3402" w:type="dxa"/>
          </w:tcPr>
          <w:p w14:paraId="04FA4C97"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University of Queensland </w:t>
            </w:r>
          </w:p>
        </w:tc>
      </w:tr>
      <w:tr w:rsidR="00CA2AD7" w:rsidRPr="00C4084C" w14:paraId="2AB1C3CD" w14:textId="77777777">
        <w:trPr>
          <w:trHeight w:val="390"/>
        </w:trPr>
        <w:tc>
          <w:tcPr>
            <w:cnfStyle w:val="001000000000" w:firstRow="0" w:lastRow="0" w:firstColumn="1" w:lastColumn="0" w:oddVBand="0" w:evenVBand="0" w:oddHBand="0" w:evenHBand="0" w:firstRowFirstColumn="0" w:firstRowLastColumn="0" w:lastRowFirstColumn="0" w:lastRowLastColumn="0"/>
            <w:tcW w:w="2835" w:type="dxa"/>
          </w:tcPr>
          <w:p w14:paraId="1D842D7B" w14:textId="77777777" w:rsidR="00CA2AD7" w:rsidRPr="00C4084C" w:rsidRDefault="00CA2AD7">
            <w:pPr>
              <w:rPr>
                <w:rFonts w:eastAsia="Arial" w:cs="Arial"/>
                <w:color w:val="000000" w:themeColor="text1"/>
              </w:rPr>
            </w:pPr>
            <w:r w:rsidRPr="00C4084C">
              <w:rPr>
                <w:rFonts w:eastAsia="Arial" w:cs="Arial"/>
                <w:color w:val="000000" w:themeColor="text1"/>
              </w:rPr>
              <w:t xml:space="preserve">Mr Paul Harris </w:t>
            </w:r>
          </w:p>
        </w:tc>
        <w:tc>
          <w:tcPr>
            <w:tcW w:w="2835" w:type="dxa"/>
          </w:tcPr>
          <w:p w14:paraId="72D19A2D"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Executive Director </w:t>
            </w:r>
          </w:p>
        </w:tc>
        <w:tc>
          <w:tcPr>
            <w:tcW w:w="3402" w:type="dxa"/>
          </w:tcPr>
          <w:p w14:paraId="6E14B006"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Innovative Research Universities </w:t>
            </w:r>
          </w:p>
        </w:tc>
      </w:tr>
      <w:tr w:rsidR="00CA2AD7" w:rsidRPr="00C4084C" w14:paraId="4D817AE6"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835" w:type="dxa"/>
          </w:tcPr>
          <w:p w14:paraId="00B15F6D" w14:textId="77777777" w:rsidR="00CA2AD7" w:rsidRPr="00C4084C" w:rsidRDefault="00CA2AD7">
            <w:pPr>
              <w:rPr>
                <w:rFonts w:eastAsia="Arial" w:cs="Arial"/>
                <w:color w:val="000000" w:themeColor="text1"/>
              </w:rPr>
            </w:pPr>
            <w:r w:rsidRPr="00C4084C">
              <w:rPr>
                <w:rFonts w:eastAsia="Arial" w:cs="Arial"/>
                <w:color w:val="000000" w:themeColor="text1"/>
              </w:rPr>
              <w:t xml:space="preserve">Associate Professor Sadie Heckenberg </w:t>
            </w:r>
          </w:p>
        </w:tc>
        <w:tc>
          <w:tcPr>
            <w:tcW w:w="2835" w:type="dxa"/>
          </w:tcPr>
          <w:p w14:paraId="2FA684CF"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President </w:t>
            </w:r>
          </w:p>
        </w:tc>
        <w:tc>
          <w:tcPr>
            <w:tcW w:w="3402" w:type="dxa"/>
          </w:tcPr>
          <w:p w14:paraId="2241B31F"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National Aboriginal and Torres Strait Islander Higher Education Consortium </w:t>
            </w:r>
          </w:p>
        </w:tc>
      </w:tr>
      <w:tr w:rsidR="00CA2AD7" w:rsidRPr="00C4084C" w14:paraId="1C7CAF48" w14:textId="77777777">
        <w:trPr>
          <w:trHeight w:val="390"/>
        </w:trPr>
        <w:tc>
          <w:tcPr>
            <w:cnfStyle w:val="001000000000" w:firstRow="0" w:lastRow="0" w:firstColumn="1" w:lastColumn="0" w:oddVBand="0" w:evenVBand="0" w:oddHBand="0" w:evenHBand="0" w:firstRowFirstColumn="0" w:firstRowLastColumn="0" w:lastRowFirstColumn="0" w:lastRowLastColumn="0"/>
            <w:tcW w:w="2835" w:type="dxa"/>
          </w:tcPr>
          <w:p w14:paraId="7B54A873" w14:textId="77777777" w:rsidR="00CA2AD7" w:rsidRPr="00C4084C" w:rsidRDefault="00CA2AD7">
            <w:pPr>
              <w:rPr>
                <w:rFonts w:eastAsia="Arial" w:cs="Arial"/>
                <w:color w:val="000000" w:themeColor="text1"/>
              </w:rPr>
            </w:pPr>
            <w:r w:rsidRPr="00C4084C">
              <w:rPr>
                <w:rFonts w:ascii="Calibri" w:eastAsia="Times New Roman" w:hAnsi="Calibri" w:cs="Calibri"/>
                <w:color w:val="000000"/>
                <w:lang w:eastAsia="en-AU"/>
              </w:rPr>
              <w:t xml:space="preserve">The Hon Dr </w:t>
            </w:r>
            <w:r w:rsidRPr="00C4084C">
              <w:rPr>
                <w:rFonts w:eastAsia="Arial" w:cs="Arial"/>
                <w:color w:val="000000" w:themeColor="text1"/>
              </w:rPr>
              <w:t xml:space="preserve">Peter Hendy </w:t>
            </w:r>
          </w:p>
        </w:tc>
        <w:tc>
          <w:tcPr>
            <w:tcW w:w="2835" w:type="dxa"/>
          </w:tcPr>
          <w:p w14:paraId="79CF32AB"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Chief Executive Officer </w:t>
            </w:r>
          </w:p>
        </w:tc>
        <w:tc>
          <w:tcPr>
            <w:tcW w:w="3402" w:type="dxa"/>
          </w:tcPr>
          <w:p w14:paraId="1CD7C3BB"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Independent Higher Education Australia </w:t>
            </w:r>
          </w:p>
        </w:tc>
      </w:tr>
      <w:tr w:rsidR="00CA2AD7" w:rsidRPr="00C4084C" w14:paraId="449DEF64"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835" w:type="dxa"/>
          </w:tcPr>
          <w:p w14:paraId="765D2888" w14:textId="77777777" w:rsidR="00CA2AD7" w:rsidRPr="00C4084C" w:rsidRDefault="00CA2AD7">
            <w:pPr>
              <w:rPr>
                <w:rFonts w:eastAsia="Arial" w:cs="Arial"/>
                <w:color w:val="000000" w:themeColor="text1"/>
              </w:rPr>
            </w:pPr>
            <w:r w:rsidRPr="00C4084C">
              <w:rPr>
                <w:rFonts w:eastAsia="Arial" w:cs="Arial"/>
                <w:color w:val="000000" w:themeColor="text1"/>
              </w:rPr>
              <w:t xml:space="preserve">The Hon Phil Honeywood </w:t>
            </w:r>
          </w:p>
        </w:tc>
        <w:tc>
          <w:tcPr>
            <w:tcW w:w="2835" w:type="dxa"/>
          </w:tcPr>
          <w:p w14:paraId="6EE8DF44"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Chief Executive Officer </w:t>
            </w:r>
          </w:p>
        </w:tc>
        <w:tc>
          <w:tcPr>
            <w:tcW w:w="3402" w:type="dxa"/>
          </w:tcPr>
          <w:p w14:paraId="76CA2943"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International Education Association of Australia </w:t>
            </w:r>
          </w:p>
        </w:tc>
      </w:tr>
      <w:tr w:rsidR="00CA2AD7" w:rsidRPr="00C4084C" w14:paraId="65906DA4" w14:textId="77777777">
        <w:trPr>
          <w:trHeight w:val="390"/>
        </w:trPr>
        <w:tc>
          <w:tcPr>
            <w:cnfStyle w:val="001000000000" w:firstRow="0" w:lastRow="0" w:firstColumn="1" w:lastColumn="0" w:oddVBand="0" w:evenVBand="0" w:oddHBand="0" w:evenHBand="0" w:firstRowFirstColumn="0" w:firstRowLastColumn="0" w:lastRowFirstColumn="0" w:lastRowLastColumn="0"/>
            <w:tcW w:w="2835" w:type="dxa"/>
          </w:tcPr>
          <w:p w14:paraId="79F5B980" w14:textId="77777777" w:rsidR="00CA2AD7" w:rsidRPr="00C4084C" w:rsidRDefault="00CA2AD7">
            <w:pPr>
              <w:rPr>
                <w:rFonts w:eastAsia="Arial" w:cs="Arial"/>
                <w:color w:val="000000" w:themeColor="text1"/>
              </w:rPr>
            </w:pPr>
            <w:r w:rsidRPr="00C4084C">
              <w:rPr>
                <w:rFonts w:eastAsia="Arial" w:cs="Arial"/>
                <w:color w:val="000000" w:themeColor="text1"/>
              </w:rPr>
              <w:t xml:space="preserve">Ms Catriona Jackson </w:t>
            </w:r>
          </w:p>
        </w:tc>
        <w:tc>
          <w:tcPr>
            <w:tcW w:w="2835" w:type="dxa"/>
          </w:tcPr>
          <w:p w14:paraId="62DA4C19"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Chief Executive </w:t>
            </w:r>
          </w:p>
        </w:tc>
        <w:tc>
          <w:tcPr>
            <w:tcW w:w="3402" w:type="dxa"/>
          </w:tcPr>
          <w:p w14:paraId="6BA64ACC"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Universities Australia </w:t>
            </w:r>
          </w:p>
        </w:tc>
      </w:tr>
      <w:tr w:rsidR="00CA2AD7" w:rsidRPr="00C4084C" w14:paraId="14C2F452"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835" w:type="dxa"/>
          </w:tcPr>
          <w:p w14:paraId="70CB1E64" w14:textId="77777777" w:rsidR="00CA2AD7" w:rsidRPr="00C4084C" w:rsidRDefault="00CA2AD7">
            <w:pPr>
              <w:rPr>
                <w:rFonts w:eastAsia="Arial" w:cs="Arial"/>
                <w:color w:val="000000" w:themeColor="text1"/>
              </w:rPr>
            </w:pPr>
            <w:r w:rsidRPr="00C4084C">
              <w:rPr>
                <w:rFonts w:eastAsia="Arial" w:cs="Arial"/>
                <w:color w:val="000000" w:themeColor="text1"/>
              </w:rPr>
              <w:t xml:space="preserve">Mr Andrew McKellar </w:t>
            </w:r>
          </w:p>
        </w:tc>
        <w:tc>
          <w:tcPr>
            <w:tcW w:w="2835" w:type="dxa"/>
          </w:tcPr>
          <w:p w14:paraId="3B59DF29"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Chief Executive Officer </w:t>
            </w:r>
          </w:p>
        </w:tc>
        <w:tc>
          <w:tcPr>
            <w:tcW w:w="3402" w:type="dxa"/>
          </w:tcPr>
          <w:p w14:paraId="01D2F30D"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Australian Chamber of Commerce and Industry </w:t>
            </w:r>
          </w:p>
        </w:tc>
      </w:tr>
      <w:tr w:rsidR="00CA2AD7" w:rsidRPr="00C4084C" w14:paraId="3CE862F9" w14:textId="77777777">
        <w:trPr>
          <w:trHeight w:val="390"/>
        </w:trPr>
        <w:tc>
          <w:tcPr>
            <w:cnfStyle w:val="001000000000" w:firstRow="0" w:lastRow="0" w:firstColumn="1" w:lastColumn="0" w:oddVBand="0" w:evenVBand="0" w:oddHBand="0" w:evenHBand="0" w:firstRowFirstColumn="0" w:firstRowLastColumn="0" w:lastRowFirstColumn="0" w:lastRowLastColumn="0"/>
            <w:tcW w:w="2835" w:type="dxa"/>
          </w:tcPr>
          <w:p w14:paraId="1623A2EB" w14:textId="77777777" w:rsidR="00CA2AD7" w:rsidRPr="00C4084C" w:rsidRDefault="00CA2AD7">
            <w:pPr>
              <w:rPr>
                <w:rFonts w:eastAsia="Arial" w:cs="Arial"/>
                <w:color w:val="000000" w:themeColor="text1"/>
              </w:rPr>
            </w:pPr>
            <w:r w:rsidRPr="00C4084C">
              <w:rPr>
                <w:rFonts w:eastAsia="Arial" w:cs="Arial"/>
                <w:color w:val="000000" w:themeColor="text1"/>
              </w:rPr>
              <w:t xml:space="preserve">Professor Andrew Norton </w:t>
            </w:r>
          </w:p>
        </w:tc>
        <w:tc>
          <w:tcPr>
            <w:tcW w:w="2835" w:type="dxa"/>
          </w:tcPr>
          <w:p w14:paraId="702DD388"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Professor in the Practice of Higher Education Policy </w:t>
            </w:r>
          </w:p>
        </w:tc>
        <w:tc>
          <w:tcPr>
            <w:tcW w:w="3402" w:type="dxa"/>
          </w:tcPr>
          <w:p w14:paraId="2918F128"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Australian National University </w:t>
            </w:r>
          </w:p>
        </w:tc>
      </w:tr>
      <w:tr w:rsidR="00CA2AD7" w:rsidRPr="00C4084C" w14:paraId="4A1D5E73"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835" w:type="dxa"/>
          </w:tcPr>
          <w:p w14:paraId="3A29C353" w14:textId="77777777" w:rsidR="00CA2AD7" w:rsidRPr="00C4084C" w:rsidRDefault="00CA2AD7">
            <w:pPr>
              <w:rPr>
                <w:rFonts w:eastAsia="Arial" w:cs="Arial"/>
                <w:color w:val="000000" w:themeColor="text1"/>
              </w:rPr>
            </w:pPr>
            <w:r w:rsidRPr="00C4084C">
              <w:rPr>
                <w:rFonts w:eastAsia="Arial" w:cs="Arial"/>
                <w:color w:val="000000" w:themeColor="text1"/>
              </w:rPr>
              <w:t xml:space="preserve">Ms Bailey Riley </w:t>
            </w:r>
          </w:p>
        </w:tc>
        <w:tc>
          <w:tcPr>
            <w:tcW w:w="2835" w:type="dxa"/>
          </w:tcPr>
          <w:p w14:paraId="6F370AF6"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President </w:t>
            </w:r>
          </w:p>
        </w:tc>
        <w:tc>
          <w:tcPr>
            <w:tcW w:w="3402" w:type="dxa"/>
          </w:tcPr>
          <w:p w14:paraId="2DAC67F8"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National Union of Students </w:t>
            </w:r>
          </w:p>
        </w:tc>
      </w:tr>
      <w:tr w:rsidR="00CA2AD7" w:rsidRPr="00C4084C" w14:paraId="0524F3A5" w14:textId="77777777">
        <w:trPr>
          <w:trHeight w:val="390"/>
        </w:trPr>
        <w:tc>
          <w:tcPr>
            <w:cnfStyle w:val="001000000000" w:firstRow="0" w:lastRow="0" w:firstColumn="1" w:lastColumn="0" w:oddVBand="0" w:evenVBand="0" w:oddHBand="0" w:evenHBand="0" w:firstRowFirstColumn="0" w:firstRowLastColumn="0" w:lastRowFirstColumn="0" w:lastRowLastColumn="0"/>
            <w:tcW w:w="2835" w:type="dxa"/>
          </w:tcPr>
          <w:p w14:paraId="63BD34F2" w14:textId="45B8D910" w:rsidR="00CA2AD7" w:rsidRPr="00C4084C" w:rsidRDefault="00CA2AD7">
            <w:pPr>
              <w:rPr>
                <w:rFonts w:eastAsia="Arial" w:cs="Arial"/>
                <w:color w:val="000000" w:themeColor="text1"/>
              </w:rPr>
            </w:pPr>
            <w:r w:rsidRPr="00C4084C">
              <w:rPr>
                <w:rFonts w:eastAsia="Arial" w:cs="Arial"/>
                <w:color w:val="000000" w:themeColor="text1"/>
              </w:rPr>
              <w:t xml:space="preserve">Professor </w:t>
            </w:r>
            <w:r w:rsidR="007657BA" w:rsidRPr="00F50407">
              <w:rPr>
                <w:rFonts w:eastAsia="Arial" w:cs="Arial"/>
                <w:color w:val="000000" w:themeColor="text1"/>
              </w:rPr>
              <w:t>Lester-Irabinna</w:t>
            </w:r>
            <w:r w:rsidRPr="00C4084C">
              <w:rPr>
                <w:rFonts w:eastAsia="Arial" w:cs="Arial"/>
                <w:color w:val="000000" w:themeColor="text1"/>
              </w:rPr>
              <w:t xml:space="preserve"> Rigney AM</w:t>
            </w:r>
          </w:p>
        </w:tc>
        <w:tc>
          <w:tcPr>
            <w:tcW w:w="2835" w:type="dxa"/>
          </w:tcPr>
          <w:p w14:paraId="6CA51994"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Professor of Education </w:t>
            </w:r>
          </w:p>
        </w:tc>
        <w:tc>
          <w:tcPr>
            <w:tcW w:w="3402" w:type="dxa"/>
          </w:tcPr>
          <w:p w14:paraId="14D331AA"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University of South Australia </w:t>
            </w:r>
          </w:p>
        </w:tc>
      </w:tr>
      <w:tr w:rsidR="00CA2AD7" w:rsidRPr="00C4084C" w14:paraId="726B9514"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835" w:type="dxa"/>
          </w:tcPr>
          <w:p w14:paraId="75A3ACD9" w14:textId="77777777" w:rsidR="00CA2AD7" w:rsidRPr="00C4084C" w:rsidRDefault="00CA2AD7">
            <w:pPr>
              <w:rPr>
                <w:rFonts w:eastAsia="Arial" w:cs="Arial"/>
                <w:color w:val="000000" w:themeColor="text1"/>
              </w:rPr>
            </w:pPr>
            <w:r w:rsidRPr="00C4084C">
              <w:rPr>
                <w:rFonts w:eastAsia="Arial" w:cs="Arial"/>
                <w:color w:val="000000" w:themeColor="text1"/>
              </w:rPr>
              <w:t xml:space="preserve">Ms Tayla Roberts </w:t>
            </w:r>
          </w:p>
        </w:tc>
        <w:tc>
          <w:tcPr>
            <w:tcW w:w="2835" w:type="dxa"/>
          </w:tcPr>
          <w:p w14:paraId="232AEB9B"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2020 Rural Youth Ambassador </w:t>
            </w:r>
          </w:p>
        </w:tc>
        <w:tc>
          <w:tcPr>
            <w:tcW w:w="3402" w:type="dxa"/>
          </w:tcPr>
          <w:p w14:paraId="409D6D01"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2020 Rural Youth Ambassador </w:t>
            </w:r>
          </w:p>
        </w:tc>
      </w:tr>
      <w:tr w:rsidR="00CA2AD7" w:rsidRPr="00C4084C" w14:paraId="770872BE" w14:textId="77777777">
        <w:trPr>
          <w:trHeight w:val="390"/>
        </w:trPr>
        <w:tc>
          <w:tcPr>
            <w:cnfStyle w:val="001000000000" w:firstRow="0" w:lastRow="0" w:firstColumn="1" w:lastColumn="0" w:oddVBand="0" w:evenVBand="0" w:oddHBand="0" w:evenHBand="0" w:firstRowFirstColumn="0" w:firstRowLastColumn="0" w:lastRowFirstColumn="0" w:lastRowLastColumn="0"/>
            <w:tcW w:w="2835" w:type="dxa"/>
          </w:tcPr>
          <w:p w14:paraId="244318AD" w14:textId="77777777" w:rsidR="00CA2AD7" w:rsidRPr="00C4084C" w:rsidRDefault="00CA2AD7">
            <w:pPr>
              <w:rPr>
                <w:rFonts w:eastAsia="Arial" w:cs="Arial"/>
                <w:color w:val="000000" w:themeColor="text1"/>
              </w:rPr>
            </w:pPr>
            <w:r w:rsidRPr="00C4084C">
              <w:rPr>
                <w:rFonts w:eastAsia="Arial" w:cs="Arial"/>
                <w:color w:val="000000" w:themeColor="text1"/>
              </w:rPr>
              <w:t>Professor Shamit Saggar CBE</w:t>
            </w:r>
            <w:r w:rsidRPr="00C4084C">
              <w:rPr>
                <w:rStyle w:val="FootnoteReference"/>
                <w:rFonts w:eastAsia="Arial" w:cs="Arial"/>
                <w:color w:val="000000" w:themeColor="text1"/>
              </w:rPr>
              <w:footnoteReference w:id="467"/>
            </w:r>
            <w:r w:rsidRPr="00C4084C">
              <w:rPr>
                <w:rFonts w:eastAsia="Arial" w:cs="Arial"/>
                <w:color w:val="000000" w:themeColor="text1"/>
              </w:rPr>
              <w:t xml:space="preserve"> </w:t>
            </w:r>
          </w:p>
        </w:tc>
        <w:tc>
          <w:tcPr>
            <w:tcW w:w="2835" w:type="dxa"/>
          </w:tcPr>
          <w:p w14:paraId="3D167ACA"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Executive Director </w:t>
            </w:r>
          </w:p>
        </w:tc>
        <w:tc>
          <w:tcPr>
            <w:tcW w:w="3402" w:type="dxa"/>
          </w:tcPr>
          <w:p w14:paraId="22717E56"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National Centre for Student Equity in Higher Education </w:t>
            </w:r>
          </w:p>
        </w:tc>
      </w:tr>
      <w:tr w:rsidR="00CA2AD7" w:rsidRPr="00C4084C" w14:paraId="7B2D5F66"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835" w:type="dxa"/>
          </w:tcPr>
          <w:p w14:paraId="1A26EA7F" w14:textId="77777777" w:rsidR="00CA2AD7" w:rsidRPr="00C4084C" w:rsidRDefault="00CA2AD7">
            <w:pPr>
              <w:rPr>
                <w:rFonts w:eastAsia="Arial" w:cs="Arial"/>
                <w:color w:val="000000" w:themeColor="text1"/>
              </w:rPr>
            </w:pPr>
            <w:r w:rsidRPr="00C4084C">
              <w:rPr>
                <w:rFonts w:eastAsia="Arial" w:cs="Arial"/>
                <w:color w:val="000000" w:themeColor="text1"/>
              </w:rPr>
              <w:t xml:space="preserve">Ms Misha Schubert </w:t>
            </w:r>
          </w:p>
        </w:tc>
        <w:tc>
          <w:tcPr>
            <w:tcW w:w="2835" w:type="dxa"/>
          </w:tcPr>
          <w:p w14:paraId="61FECD32"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Chief Executive Officer </w:t>
            </w:r>
          </w:p>
        </w:tc>
        <w:tc>
          <w:tcPr>
            <w:tcW w:w="3402" w:type="dxa"/>
          </w:tcPr>
          <w:p w14:paraId="0712E6D0"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Science and Technology Australia </w:t>
            </w:r>
          </w:p>
        </w:tc>
      </w:tr>
      <w:tr w:rsidR="00CA2AD7" w:rsidRPr="00C4084C" w14:paraId="57303CB4" w14:textId="77777777">
        <w:trPr>
          <w:trHeight w:val="390"/>
        </w:trPr>
        <w:tc>
          <w:tcPr>
            <w:cnfStyle w:val="001000000000" w:firstRow="0" w:lastRow="0" w:firstColumn="1" w:lastColumn="0" w:oddVBand="0" w:evenVBand="0" w:oddHBand="0" w:evenHBand="0" w:firstRowFirstColumn="0" w:firstRowLastColumn="0" w:lastRowFirstColumn="0" w:lastRowLastColumn="0"/>
            <w:tcW w:w="2835" w:type="dxa"/>
          </w:tcPr>
          <w:p w14:paraId="16B1C1D8" w14:textId="77777777" w:rsidR="00CA2AD7" w:rsidRPr="00C4084C" w:rsidRDefault="00CA2AD7">
            <w:pPr>
              <w:rPr>
                <w:rFonts w:eastAsia="Arial" w:cs="Arial"/>
                <w:color w:val="000000" w:themeColor="text1"/>
              </w:rPr>
            </w:pPr>
            <w:r w:rsidRPr="00C4084C">
              <w:rPr>
                <w:rFonts w:eastAsia="Arial" w:cs="Arial"/>
                <w:color w:val="000000" w:themeColor="text1"/>
              </w:rPr>
              <w:t xml:space="preserve">Mr Luke Sheehy </w:t>
            </w:r>
          </w:p>
        </w:tc>
        <w:tc>
          <w:tcPr>
            <w:tcW w:w="2835" w:type="dxa"/>
          </w:tcPr>
          <w:p w14:paraId="3C6643A0"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Executive Director </w:t>
            </w:r>
          </w:p>
        </w:tc>
        <w:tc>
          <w:tcPr>
            <w:tcW w:w="3402" w:type="dxa"/>
          </w:tcPr>
          <w:p w14:paraId="3A3D27E5"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Australian Technology Network of Universities</w:t>
            </w:r>
          </w:p>
        </w:tc>
      </w:tr>
      <w:tr w:rsidR="00CA2AD7" w:rsidRPr="00C4084C" w14:paraId="060E4862"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835" w:type="dxa"/>
          </w:tcPr>
          <w:p w14:paraId="7095AE4A" w14:textId="77777777" w:rsidR="00CA2AD7" w:rsidRPr="00C4084C" w:rsidRDefault="00CA2AD7">
            <w:pPr>
              <w:rPr>
                <w:rFonts w:eastAsia="Arial" w:cs="Arial"/>
                <w:color w:val="000000" w:themeColor="text1"/>
              </w:rPr>
            </w:pPr>
            <w:r w:rsidRPr="00C4084C">
              <w:rPr>
                <w:rFonts w:eastAsia="Arial" w:cs="Arial"/>
                <w:color w:val="000000" w:themeColor="text1"/>
              </w:rPr>
              <w:t xml:space="preserve">Ms Yeganeh </w:t>
            </w:r>
            <w:proofErr w:type="spellStart"/>
            <w:r w:rsidRPr="00C4084C">
              <w:rPr>
                <w:rFonts w:eastAsia="Arial" w:cs="Arial"/>
                <w:color w:val="000000" w:themeColor="text1"/>
              </w:rPr>
              <w:t>Soltanpour</w:t>
            </w:r>
            <w:proofErr w:type="spellEnd"/>
            <w:r w:rsidRPr="00C4084C">
              <w:rPr>
                <w:rFonts w:eastAsia="Arial" w:cs="Arial"/>
                <w:color w:val="000000" w:themeColor="text1"/>
              </w:rPr>
              <w:t xml:space="preserve"> </w:t>
            </w:r>
          </w:p>
        </w:tc>
        <w:tc>
          <w:tcPr>
            <w:tcW w:w="2835" w:type="dxa"/>
          </w:tcPr>
          <w:p w14:paraId="394C321D" w14:textId="4CFBA41D"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President</w:t>
            </w:r>
            <w:r w:rsidR="00FC324C" w:rsidRPr="00C4084C">
              <w:rPr>
                <w:rStyle w:val="FootnoteReference"/>
                <w:rFonts w:eastAsia="Arial" w:cs="Arial"/>
                <w:color w:val="000000" w:themeColor="text1"/>
              </w:rPr>
              <w:footnoteReference w:id="468"/>
            </w:r>
            <w:r w:rsidRPr="00C4084C">
              <w:rPr>
                <w:rFonts w:eastAsia="Arial" w:cs="Arial"/>
                <w:color w:val="000000" w:themeColor="text1"/>
              </w:rPr>
              <w:t xml:space="preserve"> </w:t>
            </w:r>
          </w:p>
        </w:tc>
        <w:tc>
          <w:tcPr>
            <w:tcW w:w="3402" w:type="dxa"/>
          </w:tcPr>
          <w:p w14:paraId="3B2B454C"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Council of International Students Australia </w:t>
            </w:r>
          </w:p>
        </w:tc>
      </w:tr>
      <w:tr w:rsidR="00CA2AD7" w:rsidRPr="00C4084C" w14:paraId="0A8E7AB3" w14:textId="77777777">
        <w:trPr>
          <w:trHeight w:val="390"/>
        </w:trPr>
        <w:tc>
          <w:tcPr>
            <w:cnfStyle w:val="001000000000" w:firstRow="0" w:lastRow="0" w:firstColumn="1" w:lastColumn="0" w:oddVBand="0" w:evenVBand="0" w:oddHBand="0" w:evenHBand="0" w:firstRowFirstColumn="0" w:firstRowLastColumn="0" w:lastRowFirstColumn="0" w:lastRowLastColumn="0"/>
            <w:tcW w:w="2835" w:type="dxa"/>
          </w:tcPr>
          <w:p w14:paraId="6CFB8DEC" w14:textId="77777777" w:rsidR="00CA2AD7" w:rsidRPr="00C4084C" w:rsidRDefault="00CA2AD7">
            <w:pPr>
              <w:rPr>
                <w:rFonts w:eastAsia="Arial" w:cs="Arial"/>
                <w:color w:val="000000" w:themeColor="text1"/>
              </w:rPr>
            </w:pPr>
            <w:r w:rsidRPr="00C4084C">
              <w:rPr>
                <w:rFonts w:eastAsia="Arial" w:cs="Arial"/>
                <w:color w:val="000000" w:themeColor="text1"/>
              </w:rPr>
              <w:t xml:space="preserve">Mr John Stanhope AM </w:t>
            </w:r>
          </w:p>
        </w:tc>
        <w:tc>
          <w:tcPr>
            <w:tcW w:w="2835" w:type="dxa"/>
          </w:tcPr>
          <w:p w14:paraId="09808B07"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Convenor, Deakin Chancellor </w:t>
            </w:r>
          </w:p>
        </w:tc>
        <w:tc>
          <w:tcPr>
            <w:tcW w:w="3402" w:type="dxa"/>
          </w:tcPr>
          <w:p w14:paraId="23623B6D"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University Chancellors Council </w:t>
            </w:r>
          </w:p>
        </w:tc>
      </w:tr>
      <w:tr w:rsidR="00CA2AD7" w:rsidRPr="00C4084C" w14:paraId="4CD16D20"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835" w:type="dxa"/>
          </w:tcPr>
          <w:p w14:paraId="1705DE0D" w14:textId="77777777" w:rsidR="00CA2AD7" w:rsidRPr="00C4084C" w:rsidRDefault="00CA2AD7">
            <w:pPr>
              <w:rPr>
                <w:rFonts w:eastAsia="Arial" w:cs="Arial"/>
                <w:color w:val="000000" w:themeColor="text1"/>
              </w:rPr>
            </w:pPr>
            <w:r w:rsidRPr="00C4084C">
              <w:rPr>
                <w:rFonts w:eastAsia="Arial" w:cs="Arial"/>
                <w:color w:val="000000" w:themeColor="text1"/>
              </w:rPr>
              <w:t xml:space="preserve">Ms Vicki Thomson </w:t>
            </w:r>
          </w:p>
        </w:tc>
        <w:tc>
          <w:tcPr>
            <w:tcW w:w="2835" w:type="dxa"/>
          </w:tcPr>
          <w:p w14:paraId="572454F7"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Chief Executive and Director </w:t>
            </w:r>
          </w:p>
        </w:tc>
        <w:tc>
          <w:tcPr>
            <w:tcW w:w="3402" w:type="dxa"/>
          </w:tcPr>
          <w:p w14:paraId="27DC6312"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Group of Eight </w:t>
            </w:r>
          </w:p>
        </w:tc>
      </w:tr>
      <w:tr w:rsidR="00CA2AD7" w:rsidRPr="00C4084C" w14:paraId="2742BB4D" w14:textId="77777777">
        <w:trPr>
          <w:trHeight w:val="39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19543853" w14:textId="77777777" w:rsidR="00CA2AD7" w:rsidRPr="00C4084C" w:rsidRDefault="00CA2AD7">
            <w:pPr>
              <w:rPr>
                <w:rFonts w:eastAsia="Arial" w:cs="Arial"/>
                <w:color w:val="000000" w:themeColor="text1"/>
              </w:rPr>
            </w:pPr>
            <w:r w:rsidRPr="00C4084C">
              <w:rPr>
                <w:rFonts w:eastAsia="Arial" w:cs="Arial"/>
                <w:color w:val="000000" w:themeColor="text1"/>
              </w:rPr>
              <w:t xml:space="preserve">Mr Alec Webb </w:t>
            </w:r>
          </w:p>
        </w:tc>
        <w:tc>
          <w:tcPr>
            <w:tcW w:w="2835" w:type="dxa"/>
            <w:shd w:val="clear" w:color="auto" w:fill="auto"/>
          </w:tcPr>
          <w:p w14:paraId="4F017782"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Executive Director </w:t>
            </w:r>
          </w:p>
        </w:tc>
        <w:tc>
          <w:tcPr>
            <w:tcW w:w="3402" w:type="dxa"/>
            <w:shd w:val="clear" w:color="auto" w:fill="auto"/>
          </w:tcPr>
          <w:p w14:paraId="06528847"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Regional Universities Network </w:t>
            </w:r>
          </w:p>
        </w:tc>
      </w:tr>
      <w:tr w:rsidR="00CA2AD7" w:rsidRPr="00C4084C" w14:paraId="2C9AA279"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835" w:type="dxa"/>
          </w:tcPr>
          <w:p w14:paraId="46183298" w14:textId="77777777" w:rsidR="00CA2AD7" w:rsidRPr="00C4084C" w:rsidRDefault="00CA2AD7">
            <w:pPr>
              <w:rPr>
                <w:rFonts w:eastAsia="Arial" w:cs="Arial"/>
                <w:color w:val="000000" w:themeColor="text1"/>
              </w:rPr>
            </w:pPr>
            <w:r w:rsidRPr="00C4084C">
              <w:rPr>
                <w:rFonts w:eastAsia="Arial" w:cs="Arial"/>
                <w:color w:val="000000" w:themeColor="text1"/>
              </w:rPr>
              <w:lastRenderedPageBreak/>
              <w:t xml:space="preserve">Mr Troy Williams </w:t>
            </w:r>
          </w:p>
        </w:tc>
        <w:tc>
          <w:tcPr>
            <w:tcW w:w="2835" w:type="dxa"/>
          </w:tcPr>
          <w:p w14:paraId="2959BED9"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Chief Executive Officer </w:t>
            </w:r>
          </w:p>
        </w:tc>
        <w:tc>
          <w:tcPr>
            <w:tcW w:w="3402" w:type="dxa"/>
          </w:tcPr>
          <w:p w14:paraId="72FB4533"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Independent Tertiary Education Council Australia </w:t>
            </w:r>
          </w:p>
        </w:tc>
      </w:tr>
      <w:tr w:rsidR="00CA2AD7" w:rsidRPr="00C4084C" w14:paraId="45C153F0" w14:textId="77777777">
        <w:trPr>
          <w:trHeight w:val="39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4357D9FE" w14:textId="77777777" w:rsidR="00CA2AD7" w:rsidRPr="00C4084C" w:rsidRDefault="00CA2AD7">
            <w:pPr>
              <w:rPr>
                <w:rFonts w:eastAsia="Arial" w:cs="Arial"/>
                <w:color w:val="000000" w:themeColor="text1"/>
              </w:rPr>
            </w:pPr>
            <w:r w:rsidRPr="00C4084C">
              <w:rPr>
                <w:rFonts w:eastAsia="Arial" w:cs="Arial"/>
                <w:color w:val="000000" w:themeColor="text1"/>
              </w:rPr>
              <w:t xml:space="preserve">Mr Innes Willox AM </w:t>
            </w:r>
          </w:p>
        </w:tc>
        <w:tc>
          <w:tcPr>
            <w:tcW w:w="2835" w:type="dxa"/>
            <w:shd w:val="clear" w:color="auto" w:fill="auto"/>
          </w:tcPr>
          <w:p w14:paraId="1C52BD8B"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Chief Executive </w:t>
            </w:r>
          </w:p>
        </w:tc>
        <w:tc>
          <w:tcPr>
            <w:tcW w:w="3402" w:type="dxa"/>
            <w:shd w:val="clear" w:color="auto" w:fill="auto"/>
          </w:tcPr>
          <w:p w14:paraId="2D3E2FED"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Australian Industry Group </w:t>
            </w:r>
          </w:p>
        </w:tc>
      </w:tr>
      <w:tr w:rsidR="00CA2AD7" w:rsidRPr="00C4084C" w14:paraId="788C7ED5"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24BE0AE9" w14:textId="77777777" w:rsidR="00CA2AD7" w:rsidRPr="00C4084C" w:rsidRDefault="00CA2AD7">
            <w:pPr>
              <w:rPr>
                <w:rFonts w:eastAsia="Arial" w:cs="Arial"/>
                <w:color w:val="000000" w:themeColor="text1"/>
              </w:rPr>
            </w:pPr>
            <w:r w:rsidRPr="00C4084C">
              <w:rPr>
                <w:rFonts w:eastAsia="Arial" w:cs="Arial"/>
                <w:color w:val="000000" w:themeColor="text1"/>
              </w:rPr>
              <w:t xml:space="preserve">Professor Michael Wesley </w:t>
            </w:r>
          </w:p>
        </w:tc>
        <w:tc>
          <w:tcPr>
            <w:tcW w:w="2835" w:type="dxa"/>
            <w:shd w:val="clear" w:color="auto" w:fill="auto"/>
          </w:tcPr>
          <w:p w14:paraId="29B555A0"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Deputy Vice-Chancellor, Global, Culture and Engagement </w:t>
            </w:r>
          </w:p>
        </w:tc>
        <w:tc>
          <w:tcPr>
            <w:tcW w:w="3402" w:type="dxa"/>
            <w:shd w:val="clear" w:color="auto" w:fill="auto"/>
          </w:tcPr>
          <w:p w14:paraId="2CA2B1D2"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C4084C">
              <w:rPr>
                <w:rFonts w:eastAsia="Arial" w:cs="Arial"/>
                <w:color w:val="000000" w:themeColor="text1"/>
              </w:rPr>
              <w:t xml:space="preserve">University of Melbourne </w:t>
            </w:r>
          </w:p>
        </w:tc>
      </w:tr>
    </w:tbl>
    <w:p w14:paraId="40EA9E66" w14:textId="77777777" w:rsidR="00CA2AD7" w:rsidRPr="00C4084C" w:rsidRDefault="00CA2AD7" w:rsidP="00CA2AD7">
      <w:pPr>
        <w:rPr>
          <w:rFonts w:cs="Arial"/>
        </w:rPr>
      </w:pPr>
    </w:p>
    <w:p w14:paraId="03CB93FD" w14:textId="77777777" w:rsidR="00CA2AD7" w:rsidRPr="00C4084C" w:rsidRDefault="00CA2AD7" w:rsidP="00CA2AD7">
      <w:pPr>
        <w:pStyle w:val="Non-numberedHeading3"/>
      </w:pPr>
      <w:r w:rsidRPr="00C4084C">
        <w:t>Roundtables</w:t>
      </w:r>
    </w:p>
    <w:p w14:paraId="33F8F7B9" w14:textId="77777777" w:rsidR="00CA2AD7" w:rsidRPr="00C4084C" w:rsidRDefault="00CA2AD7" w:rsidP="00CA2AD7">
      <w:r w:rsidRPr="00C4084C">
        <w:t>The Panel held and/or attended the following roundtables.</w:t>
      </w:r>
    </w:p>
    <w:tbl>
      <w:tblPr>
        <w:tblStyle w:val="ListTable2-Accent3"/>
        <w:tblW w:w="9072" w:type="dxa"/>
        <w:tblLook w:val="04A0" w:firstRow="1" w:lastRow="0" w:firstColumn="1" w:lastColumn="0" w:noHBand="0" w:noVBand="1"/>
      </w:tblPr>
      <w:tblGrid>
        <w:gridCol w:w="7088"/>
        <w:gridCol w:w="1984"/>
      </w:tblGrid>
      <w:tr w:rsidR="00CA2AD7" w:rsidRPr="00C4084C" w14:paraId="79AFB743" w14:textId="77777777">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7088" w:type="dxa"/>
          </w:tcPr>
          <w:p w14:paraId="7144517D" w14:textId="77777777" w:rsidR="00CA2AD7" w:rsidRPr="00C4084C" w:rsidRDefault="00CA2AD7">
            <w:pPr>
              <w:spacing w:after="0"/>
              <w:rPr>
                <w:rFonts w:cs="Arial"/>
              </w:rPr>
            </w:pPr>
            <w:bookmarkStart w:id="1644" w:name="_Hlk149057600"/>
            <w:r w:rsidRPr="00C4084C">
              <w:rPr>
                <w:rFonts w:cs="Arial"/>
              </w:rPr>
              <w:t>Roundtable</w:t>
            </w:r>
          </w:p>
        </w:tc>
        <w:tc>
          <w:tcPr>
            <w:tcW w:w="1984" w:type="dxa"/>
          </w:tcPr>
          <w:p w14:paraId="64F72E15" w14:textId="77777777" w:rsidR="00CA2AD7" w:rsidRPr="00C4084C" w:rsidRDefault="00CA2AD7">
            <w:pPr>
              <w:spacing w:after="0"/>
              <w:cnfStyle w:val="100000000000" w:firstRow="1" w:lastRow="0" w:firstColumn="0" w:lastColumn="0" w:oddVBand="0" w:evenVBand="0" w:oddHBand="0" w:evenHBand="0" w:firstRowFirstColumn="0" w:firstRowLastColumn="0" w:lastRowFirstColumn="0" w:lastRowLastColumn="0"/>
              <w:rPr>
                <w:rFonts w:cs="Arial"/>
              </w:rPr>
            </w:pPr>
            <w:r w:rsidRPr="00C4084C">
              <w:rPr>
                <w:rFonts w:cs="Arial"/>
              </w:rPr>
              <w:t>Date</w:t>
            </w:r>
          </w:p>
        </w:tc>
      </w:tr>
      <w:tr w:rsidR="00CA2AD7" w:rsidRPr="00C4084C" w14:paraId="178C808E"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65168B29" w14:textId="77777777" w:rsidR="00CA2AD7" w:rsidRPr="00C4084C" w:rsidRDefault="00CA2AD7">
            <w:pPr>
              <w:spacing w:after="0"/>
              <w:rPr>
                <w:rFonts w:cs="Arial"/>
              </w:rPr>
            </w:pPr>
            <w:r w:rsidRPr="00C4084C">
              <w:rPr>
                <w:rFonts w:cs="Arial"/>
              </w:rPr>
              <w:t>University Peak Bodies Roundtable,</w:t>
            </w:r>
            <w:r w:rsidRPr="00C4084C">
              <w:rPr>
                <w:rFonts w:cs="Arial"/>
                <w:b w:val="0"/>
                <w:bCs w:val="0"/>
              </w:rPr>
              <w:t xml:space="preserve"> including representatives from:</w:t>
            </w:r>
          </w:p>
          <w:p w14:paraId="2CE58D9F"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The Group of Eight</w:t>
            </w:r>
          </w:p>
          <w:p w14:paraId="7D76CB8C"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Australian Technology Network</w:t>
            </w:r>
          </w:p>
          <w:p w14:paraId="516BC24E"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Innovative Research Universities</w:t>
            </w:r>
          </w:p>
          <w:p w14:paraId="2E09FB56"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Regional Universities Network</w:t>
            </w:r>
          </w:p>
          <w:p w14:paraId="4FFBD348"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Universities Australia</w:t>
            </w:r>
          </w:p>
        </w:tc>
        <w:tc>
          <w:tcPr>
            <w:tcW w:w="1984" w:type="dxa"/>
          </w:tcPr>
          <w:p w14:paraId="0AE53E1C"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1 December 2022</w:t>
            </w:r>
          </w:p>
        </w:tc>
      </w:tr>
      <w:tr w:rsidR="00CA2AD7" w:rsidRPr="00C4084C" w14:paraId="4C23106B"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042C8CE6" w14:textId="77777777" w:rsidR="00CA2AD7" w:rsidRPr="00C4084C" w:rsidRDefault="00CA2AD7">
            <w:pPr>
              <w:spacing w:after="0"/>
              <w:rPr>
                <w:rFonts w:cs="Arial"/>
                <w:b w:val="0"/>
                <w:bCs w:val="0"/>
              </w:rPr>
            </w:pPr>
            <w:r w:rsidRPr="00C4084C">
              <w:rPr>
                <w:rFonts w:cs="Arial"/>
              </w:rPr>
              <w:t xml:space="preserve">Business and Industry Peak Bodies Roundtable, </w:t>
            </w:r>
            <w:r w:rsidRPr="00C4084C">
              <w:rPr>
                <w:rFonts w:cs="Arial"/>
                <w:b w:val="0"/>
                <w:bCs w:val="0"/>
              </w:rPr>
              <w:t>including representatives from:</w:t>
            </w:r>
          </w:p>
          <w:p w14:paraId="3C2607B5"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Business Council of Australia</w:t>
            </w:r>
          </w:p>
          <w:p w14:paraId="1A026E6B"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Australian Industry Group</w:t>
            </w:r>
          </w:p>
          <w:p w14:paraId="6A52B32B"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Australian Chamber of Commerce and Industry</w:t>
            </w:r>
          </w:p>
          <w:p w14:paraId="01B07096"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Tech Council of Australia</w:t>
            </w:r>
          </w:p>
          <w:p w14:paraId="68DBD68C"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Council of Small Business Organisations Australia</w:t>
            </w:r>
          </w:p>
        </w:tc>
        <w:tc>
          <w:tcPr>
            <w:tcW w:w="1984" w:type="dxa"/>
          </w:tcPr>
          <w:p w14:paraId="54C2B192"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t>1 December 2022</w:t>
            </w:r>
          </w:p>
        </w:tc>
      </w:tr>
      <w:tr w:rsidR="00CA2AD7" w:rsidRPr="00C4084C" w14:paraId="555A1A77"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7839C5AA" w14:textId="77777777" w:rsidR="00CA2AD7" w:rsidRPr="00C4084C" w:rsidRDefault="00CA2AD7">
            <w:pPr>
              <w:spacing w:after="0"/>
              <w:rPr>
                <w:rFonts w:cs="Arial"/>
                <w:b w:val="0"/>
                <w:bCs w:val="0"/>
              </w:rPr>
            </w:pPr>
            <w:r w:rsidRPr="00C4084C">
              <w:rPr>
                <w:rFonts w:cs="Arial"/>
              </w:rPr>
              <w:t>Independent and Tertiary Peak Bodies Roundtable</w:t>
            </w:r>
            <w:r w:rsidRPr="00C4084C">
              <w:rPr>
                <w:rFonts w:cs="Arial"/>
                <w:b w:val="0"/>
                <w:bCs w:val="0"/>
              </w:rPr>
              <w:t>, including representatives from:</w:t>
            </w:r>
          </w:p>
          <w:p w14:paraId="5B610111"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Independent Tertiary Education Council Australia</w:t>
            </w:r>
          </w:p>
          <w:p w14:paraId="3372E230"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Independent Higher Education Australia</w:t>
            </w:r>
          </w:p>
          <w:p w14:paraId="595C0C53"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 xml:space="preserve">TAFE Directors Australia </w:t>
            </w:r>
          </w:p>
          <w:p w14:paraId="3B51B188" w14:textId="77777777" w:rsidR="00CA2AD7" w:rsidRPr="00C4084C" w:rsidRDefault="00CA2AD7" w:rsidP="00FB44F8">
            <w:pPr>
              <w:pStyle w:val="ListParagraph"/>
              <w:numPr>
                <w:ilvl w:val="0"/>
                <w:numId w:val="26"/>
              </w:numPr>
              <w:spacing w:after="0" w:line="240" w:lineRule="auto"/>
              <w:contextualSpacing w:val="0"/>
              <w:rPr>
                <w:rFonts w:cs="Arial"/>
              </w:rPr>
            </w:pPr>
            <w:r w:rsidRPr="00C4084C">
              <w:rPr>
                <w:rFonts w:cs="Arial"/>
                <w:b w:val="0"/>
                <w:bCs w:val="0"/>
              </w:rPr>
              <w:t>International Education Association of Australia</w:t>
            </w:r>
          </w:p>
        </w:tc>
        <w:tc>
          <w:tcPr>
            <w:tcW w:w="1984" w:type="dxa"/>
          </w:tcPr>
          <w:p w14:paraId="48147F07"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2 December 2022</w:t>
            </w:r>
          </w:p>
        </w:tc>
      </w:tr>
      <w:tr w:rsidR="00CA2AD7" w:rsidRPr="00C4084C" w14:paraId="366B1F3D"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7CB628C9" w14:textId="77777777" w:rsidR="00CA2AD7" w:rsidRPr="00C4084C" w:rsidRDefault="00CA2AD7">
            <w:pPr>
              <w:spacing w:after="0"/>
              <w:rPr>
                <w:rFonts w:cs="Arial"/>
                <w:b w:val="0"/>
                <w:bCs w:val="0"/>
              </w:rPr>
            </w:pPr>
            <w:r w:rsidRPr="00C4084C">
              <w:rPr>
                <w:rFonts w:cs="Arial"/>
              </w:rPr>
              <w:t>Student and Staff Representatives Roundtable</w:t>
            </w:r>
            <w:r w:rsidRPr="00C4084C">
              <w:rPr>
                <w:rFonts w:cs="Arial"/>
                <w:b w:val="0"/>
                <w:bCs w:val="0"/>
              </w:rPr>
              <w:t>, including representatives from:</w:t>
            </w:r>
          </w:p>
          <w:p w14:paraId="734793E3"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National Tertiary Education Union</w:t>
            </w:r>
          </w:p>
          <w:p w14:paraId="1C0168D3"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National Union of Students</w:t>
            </w:r>
          </w:p>
          <w:p w14:paraId="7D1F15C7"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 xml:space="preserve">Council of Australian Postgraduate Associations </w:t>
            </w:r>
          </w:p>
          <w:p w14:paraId="2C937D2A"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 xml:space="preserve">National Aboriginal &amp; Torres Strait Islander Postgraduate Association </w:t>
            </w:r>
          </w:p>
          <w:p w14:paraId="31357020" w14:textId="77777777" w:rsidR="00CA2AD7" w:rsidRPr="00C4084C" w:rsidRDefault="00CA2AD7" w:rsidP="00FB44F8">
            <w:pPr>
              <w:pStyle w:val="ListParagraph"/>
              <w:numPr>
                <w:ilvl w:val="0"/>
                <w:numId w:val="26"/>
              </w:numPr>
              <w:spacing w:after="0" w:line="240" w:lineRule="auto"/>
              <w:contextualSpacing w:val="0"/>
              <w:rPr>
                <w:rFonts w:cs="Arial"/>
              </w:rPr>
            </w:pPr>
            <w:r w:rsidRPr="00C4084C">
              <w:rPr>
                <w:rFonts w:cs="Arial"/>
                <w:b w:val="0"/>
                <w:bCs w:val="0"/>
              </w:rPr>
              <w:t>Council of International Students Association</w:t>
            </w:r>
          </w:p>
        </w:tc>
        <w:tc>
          <w:tcPr>
            <w:tcW w:w="1984" w:type="dxa"/>
          </w:tcPr>
          <w:p w14:paraId="6A1B5A7B"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t>2 December 2022</w:t>
            </w:r>
          </w:p>
        </w:tc>
      </w:tr>
      <w:tr w:rsidR="00CA2AD7" w:rsidRPr="00C4084C" w14:paraId="5F193BC8"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469A38FB" w14:textId="77777777" w:rsidR="00CA2AD7" w:rsidRPr="00C4084C" w:rsidRDefault="00CA2AD7">
            <w:pPr>
              <w:spacing w:after="0"/>
              <w:rPr>
                <w:rFonts w:cs="Arial"/>
                <w:b w:val="0"/>
                <w:bCs w:val="0"/>
              </w:rPr>
            </w:pPr>
            <w:r w:rsidRPr="00C4084C">
              <w:rPr>
                <w:rFonts w:cs="Arial"/>
              </w:rPr>
              <w:t>Sector Experts and Think Tank Representatives Roundtable</w:t>
            </w:r>
            <w:r w:rsidRPr="00C4084C">
              <w:rPr>
                <w:rFonts w:cs="Arial"/>
                <w:b w:val="0"/>
                <w:bCs w:val="0"/>
              </w:rPr>
              <w:t>, including representatives from:</w:t>
            </w:r>
          </w:p>
          <w:p w14:paraId="2588DC83"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University of Melbourne Centre for the Study of Higher Education</w:t>
            </w:r>
          </w:p>
          <w:p w14:paraId="0E805394"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Mitchell Institute, Victoria University</w:t>
            </w:r>
          </w:p>
          <w:p w14:paraId="6C12FAE7"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Tertiary Education Analysis</w:t>
            </w:r>
          </w:p>
          <w:p w14:paraId="2F305B37"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James Martin Institute for Public Policy</w:t>
            </w:r>
          </w:p>
          <w:p w14:paraId="6D282B03" w14:textId="77777777" w:rsidR="00CA2AD7" w:rsidRPr="00C4084C" w:rsidRDefault="00CA2AD7" w:rsidP="00FB44F8">
            <w:pPr>
              <w:pStyle w:val="ListParagraph"/>
              <w:numPr>
                <w:ilvl w:val="0"/>
                <w:numId w:val="26"/>
              </w:numPr>
              <w:spacing w:after="0" w:line="240" w:lineRule="auto"/>
              <w:contextualSpacing w:val="0"/>
              <w:rPr>
                <w:rFonts w:cs="Arial"/>
              </w:rPr>
            </w:pPr>
            <w:r w:rsidRPr="00C4084C">
              <w:rPr>
                <w:rFonts w:cs="Arial"/>
                <w:b w:val="0"/>
                <w:bCs w:val="0"/>
              </w:rPr>
              <w:t>Australian National University</w:t>
            </w:r>
          </w:p>
        </w:tc>
        <w:tc>
          <w:tcPr>
            <w:tcW w:w="1984" w:type="dxa"/>
          </w:tcPr>
          <w:p w14:paraId="390710B8"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2 December 2022</w:t>
            </w:r>
          </w:p>
        </w:tc>
      </w:tr>
      <w:tr w:rsidR="00CA2AD7" w:rsidRPr="00C4084C" w14:paraId="0ADD6FFF"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661758CC" w14:textId="77777777" w:rsidR="00CA2AD7" w:rsidRPr="00C4084C" w:rsidRDefault="00CA2AD7">
            <w:pPr>
              <w:spacing w:after="0"/>
              <w:ind w:left="18"/>
              <w:rPr>
                <w:rFonts w:cstheme="minorHAnsi"/>
                <w:b w:val="0"/>
                <w:spacing w:val="-4"/>
                <w:sz w:val="24"/>
                <w:szCs w:val="24"/>
              </w:rPr>
            </w:pPr>
            <w:r w:rsidRPr="00C4084C">
              <w:rPr>
                <w:rFonts w:cs="Arial"/>
              </w:rPr>
              <w:t>University Chancellors Roundtable</w:t>
            </w:r>
            <w:r w:rsidRPr="00C4084C">
              <w:rPr>
                <w:rFonts w:cs="Arial"/>
                <w:b w:val="0"/>
                <w:bCs w:val="0"/>
              </w:rPr>
              <w:t>,</w:t>
            </w:r>
            <w:r w:rsidRPr="00C4084C">
              <w:rPr>
                <w:rFonts w:cstheme="minorHAnsi"/>
                <w:spacing w:val="-4"/>
                <w:sz w:val="24"/>
                <w:szCs w:val="24"/>
              </w:rPr>
              <w:t xml:space="preserve"> </w:t>
            </w:r>
            <w:r w:rsidRPr="00C4084C">
              <w:rPr>
                <w:rFonts w:cs="Arial"/>
                <w:b w:val="0"/>
                <w:bCs w:val="0"/>
              </w:rPr>
              <w:t>including representatives from:</w:t>
            </w:r>
          </w:p>
          <w:p w14:paraId="28B66E97"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 xml:space="preserve">University Chancellors Council </w:t>
            </w:r>
          </w:p>
          <w:p w14:paraId="79BD6095"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lastRenderedPageBreak/>
              <w:t>Deakin University</w:t>
            </w:r>
          </w:p>
          <w:p w14:paraId="712F2A23"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University of Western Australia</w:t>
            </w:r>
          </w:p>
          <w:p w14:paraId="39708437"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University of Melbourne</w:t>
            </w:r>
          </w:p>
          <w:p w14:paraId="2C8D036E"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La Trobe University</w:t>
            </w:r>
          </w:p>
          <w:p w14:paraId="38C95772"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Edith Cowan University</w:t>
            </w:r>
          </w:p>
        </w:tc>
        <w:tc>
          <w:tcPr>
            <w:tcW w:w="1984" w:type="dxa"/>
          </w:tcPr>
          <w:p w14:paraId="1F2C8B01"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lastRenderedPageBreak/>
              <w:t>2 December 2022</w:t>
            </w:r>
          </w:p>
        </w:tc>
      </w:tr>
      <w:tr w:rsidR="00CA2AD7" w:rsidRPr="00C4084C" w14:paraId="49837572"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6C1E39D0" w14:textId="12C28A71" w:rsidR="00CA2AD7" w:rsidRPr="00C4084C" w:rsidRDefault="00CA2AD7">
            <w:pPr>
              <w:spacing w:after="0"/>
              <w:rPr>
                <w:rFonts w:cs="Arial"/>
              </w:rPr>
            </w:pPr>
            <w:r w:rsidRPr="00C4084C">
              <w:rPr>
                <w:rFonts w:cs="Arial"/>
              </w:rPr>
              <w:t xml:space="preserve">Skills Roundtable, </w:t>
            </w:r>
            <w:r w:rsidRPr="00160D79">
              <w:rPr>
                <w:rFonts w:cs="Arial"/>
                <w:b w:val="0"/>
                <w:bCs w:val="0"/>
              </w:rPr>
              <w:t>including</w:t>
            </w:r>
            <w:r w:rsidRPr="00C4084C">
              <w:rPr>
                <w:rFonts w:cs="Arial"/>
                <w:b w:val="0"/>
                <w:bCs w:val="0"/>
              </w:rPr>
              <w:t xml:space="preserve"> representatives from: </w:t>
            </w:r>
          </w:p>
          <w:p w14:paraId="5E9CD8E5"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Business Council of Australia</w:t>
            </w:r>
          </w:p>
          <w:p w14:paraId="4239BE9B"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Ai Group</w:t>
            </w:r>
          </w:p>
          <w:p w14:paraId="3C520BFD"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 xml:space="preserve">Australian Chamber of Commerce and Industry </w:t>
            </w:r>
          </w:p>
          <w:p w14:paraId="32A2ADEC"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Microsoft</w:t>
            </w:r>
          </w:p>
          <w:p w14:paraId="25F6F560"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SEEK</w:t>
            </w:r>
          </w:p>
          <w:p w14:paraId="0E303806"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Accenture</w:t>
            </w:r>
          </w:p>
          <w:p w14:paraId="6AE1F0FB"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Atlassian</w:t>
            </w:r>
          </w:p>
          <w:p w14:paraId="78E6ACDD"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KPMG</w:t>
            </w:r>
          </w:p>
          <w:p w14:paraId="448298D7"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Fujitsu</w:t>
            </w:r>
          </w:p>
          <w:p w14:paraId="612E4200"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BNP Paribas</w:t>
            </w:r>
          </w:p>
          <w:p w14:paraId="46A6E84B"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Telstra</w:t>
            </w:r>
          </w:p>
          <w:p w14:paraId="0C2A6D7A"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Boston Consulting Group</w:t>
            </w:r>
          </w:p>
          <w:p w14:paraId="52B687D5"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University of New South Wales</w:t>
            </w:r>
          </w:p>
          <w:p w14:paraId="3F85DE28"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Western Sydney University</w:t>
            </w:r>
          </w:p>
          <w:p w14:paraId="0DA86DF7"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University of South Australia</w:t>
            </w:r>
          </w:p>
          <w:p w14:paraId="118F5082"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University of Technology Sydney</w:t>
            </w:r>
          </w:p>
          <w:p w14:paraId="42105269"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University of Sydney</w:t>
            </w:r>
          </w:p>
        </w:tc>
        <w:tc>
          <w:tcPr>
            <w:tcW w:w="1984" w:type="dxa"/>
          </w:tcPr>
          <w:p w14:paraId="07364F0E"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27 March 2023</w:t>
            </w:r>
          </w:p>
        </w:tc>
      </w:tr>
      <w:tr w:rsidR="00CA2AD7" w:rsidRPr="00C4084C" w14:paraId="3DBE8CB7"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533D7A71" w14:textId="77777777" w:rsidR="00CA2AD7" w:rsidRPr="00C4084C" w:rsidRDefault="00CA2AD7">
            <w:pPr>
              <w:spacing w:after="0"/>
              <w:rPr>
                <w:rFonts w:cs="Arial"/>
              </w:rPr>
            </w:pPr>
            <w:r w:rsidRPr="00C4084C">
              <w:rPr>
                <w:rFonts w:cs="Arial"/>
              </w:rPr>
              <w:t>TAFE Directors and Institutes Roundtable 1</w:t>
            </w:r>
            <w:r w:rsidRPr="00C4084C">
              <w:rPr>
                <w:rFonts w:cs="Arial"/>
                <w:b w:val="0"/>
                <w:bCs w:val="0"/>
              </w:rPr>
              <w:t>, including representatives from:</w:t>
            </w:r>
          </w:p>
          <w:p w14:paraId="788F2DB2"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 xml:space="preserve">TAFE Directors Australia </w:t>
            </w:r>
          </w:p>
          <w:p w14:paraId="27D8EE0A"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Holmesglen Institute</w:t>
            </w:r>
          </w:p>
          <w:p w14:paraId="4830D085"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Melbourne Polytechnic</w:t>
            </w:r>
          </w:p>
          <w:p w14:paraId="13BC64D2"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Chisholm Institute</w:t>
            </w:r>
          </w:p>
          <w:p w14:paraId="3D749259"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Box Hill Institute</w:t>
            </w:r>
          </w:p>
          <w:p w14:paraId="3C1F33CD"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William Angliss Institute</w:t>
            </w:r>
          </w:p>
        </w:tc>
        <w:tc>
          <w:tcPr>
            <w:tcW w:w="1984" w:type="dxa"/>
          </w:tcPr>
          <w:p w14:paraId="141326A7"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t>4 April 2023</w:t>
            </w:r>
          </w:p>
        </w:tc>
      </w:tr>
      <w:tr w:rsidR="00CA2AD7" w:rsidRPr="00C4084C" w14:paraId="770ABCCA"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52291D39" w14:textId="77777777" w:rsidR="00CA2AD7" w:rsidRPr="00C4084C" w:rsidRDefault="00CA2AD7">
            <w:pPr>
              <w:spacing w:after="0"/>
              <w:rPr>
                <w:rFonts w:cs="Arial"/>
              </w:rPr>
            </w:pPr>
            <w:r w:rsidRPr="00C4084C">
              <w:rPr>
                <w:rFonts w:cs="Arial"/>
              </w:rPr>
              <w:t xml:space="preserve">Research Roundtable </w:t>
            </w:r>
            <w:r w:rsidRPr="00C4084C">
              <w:rPr>
                <w:rFonts w:cs="Arial"/>
                <w:b w:val="0"/>
                <w:bCs w:val="0"/>
              </w:rPr>
              <w:t xml:space="preserve">including representatives from: </w:t>
            </w:r>
          </w:p>
          <w:p w14:paraId="0E52FE42"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Business Council of Australia</w:t>
            </w:r>
          </w:p>
          <w:p w14:paraId="20F0E8B2"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Ai Group</w:t>
            </w:r>
          </w:p>
          <w:p w14:paraId="551BA96A"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 xml:space="preserve">Australian Chamber of Commerce and Industry </w:t>
            </w:r>
          </w:p>
          <w:p w14:paraId="213F1C8E"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Microsoft</w:t>
            </w:r>
          </w:p>
          <w:p w14:paraId="0D372D49"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SEEK</w:t>
            </w:r>
          </w:p>
          <w:p w14:paraId="18D0F7C1"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Accenture</w:t>
            </w:r>
          </w:p>
          <w:p w14:paraId="23BD5D5D"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Atlassian</w:t>
            </w:r>
          </w:p>
          <w:p w14:paraId="32B37FBE"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KPMG</w:t>
            </w:r>
          </w:p>
          <w:p w14:paraId="2B387663"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Fujitsu</w:t>
            </w:r>
          </w:p>
          <w:p w14:paraId="3022900E"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BNP Paribas</w:t>
            </w:r>
          </w:p>
          <w:p w14:paraId="38FD25A1"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Telstra</w:t>
            </w:r>
          </w:p>
          <w:p w14:paraId="62996256"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Boston Consulting Group</w:t>
            </w:r>
          </w:p>
          <w:p w14:paraId="315E56B5"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University of New South Wales</w:t>
            </w:r>
          </w:p>
          <w:p w14:paraId="0B3132F3"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Western Sydney University</w:t>
            </w:r>
          </w:p>
          <w:p w14:paraId="797C5BE8"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University of South Australia</w:t>
            </w:r>
          </w:p>
          <w:p w14:paraId="32DEC5FF"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University of Technology Sydney</w:t>
            </w:r>
          </w:p>
          <w:p w14:paraId="275EA513"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University of Sydney</w:t>
            </w:r>
          </w:p>
          <w:p w14:paraId="74EF90C8"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 xml:space="preserve">Department of Employment and Work Relations </w:t>
            </w:r>
          </w:p>
        </w:tc>
        <w:tc>
          <w:tcPr>
            <w:tcW w:w="1984" w:type="dxa"/>
          </w:tcPr>
          <w:p w14:paraId="2592426B"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14 April 2023</w:t>
            </w:r>
          </w:p>
        </w:tc>
      </w:tr>
      <w:tr w:rsidR="00CA2AD7" w:rsidRPr="00C4084C" w14:paraId="1AD644DB" w14:textId="77777777">
        <w:trPr>
          <w:trHeight w:val="420"/>
        </w:trPr>
        <w:tc>
          <w:tcPr>
            <w:cnfStyle w:val="001000000000" w:firstRow="0" w:lastRow="0" w:firstColumn="1" w:lastColumn="0" w:oddVBand="0" w:evenVBand="0" w:oddHBand="0" w:evenHBand="0" w:firstRowFirstColumn="0" w:firstRowLastColumn="0" w:lastRowFirstColumn="0" w:lastRowLastColumn="0"/>
            <w:tcW w:w="7088" w:type="dxa"/>
          </w:tcPr>
          <w:p w14:paraId="71F97AE1" w14:textId="77777777" w:rsidR="00CA2AD7" w:rsidRPr="00C4084C" w:rsidRDefault="00CA2AD7">
            <w:pPr>
              <w:spacing w:after="0"/>
              <w:rPr>
                <w:rFonts w:cs="Arial"/>
                <w:b w:val="0"/>
                <w:bCs w:val="0"/>
              </w:rPr>
            </w:pPr>
            <w:r w:rsidRPr="00C4084C">
              <w:rPr>
                <w:rFonts w:cs="Arial"/>
              </w:rPr>
              <w:lastRenderedPageBreak/>
              <w:t>University of New England Students Roundtable</w:t>
            </w:r>
          </w:p>
        </w:tc>
        <w:tc>
          <w:tcPr>
            <w:tcW w:w="1984" w:type="dxa"/>
          </w:tcPr>
          <w:p w14:paraId="0AEC005A"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t>20 April 2023</w:t>
            </w:r>
          </w:p>
        </w:tc>
      </w:tr>
      <w:tr w:rsidR="00CA2AD7" w:rsidRPr="00C4084C" w14:paraId="6DC1CD1F" w14:textId="7777777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88" w:type="dxa"/>
          </w:tcPr>
          <w:p w14:paraId="291C35F7" w14:textId="77777777" w:rsidR="00CA2AD7" w:rsidRPr="00C4084C" w:rsidRDefault="00CA2AD7">
            <w:pPr>
              <w:spacing w:after="0"/>
              <w:rPr>
                <w:rFonts w:cs="Arial"/>
              </w:rPr>
            </w:pPr>
            <w:r w:rsidRPr="00C4084C">
              <w:rPr>
                <w:rFonts w:cs="Arial"/>
              </w:rPr>
              <w:t>Regional Industry and Skills Roundtable</w:t>
            </w:r>
            <w:r w:rsidRPr="00C4084C">
              <w:rPr>
                <w:rFonts w:cs="Arial"/>
                <w:b w:val="0"/>
                <w:bCs w:val="0"/>
              </w:rPr>
              <w:t>, including representatives from:</w:t>
            </w:r>
          </w:p>
          <w:p w14:paraId="3A4F053F"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University of New England</w:t>
            </w:r>
          </w:p>
          <w:p w14:paraId="0489046D"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Everingham Solomons Solicitors</w:t>
            </w:r>
          </w:p>
          <w:p w14:paraId="177B8877"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INVETUS</w:t>
            </w:r>
          </w:p>
          <w:p w14:paraId="792EFFEA"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COSTA Tomatoes</w:t>
            </w:r>
          </w:p>
          <w:p w14:paraId="1B1CA72D"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Australian Veterinary Association</w:t>
            </w:r>
          </w:p>
          <w:p w14:paraId="354623DE"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Equine Veterinarians Australia</w:t>
            </w:r>
          </w:p>
          <w:p w14:paraId="5EDAD02A"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New South Wales Department of Education and Communities</w:t>
            </w:r>
          </w:p>
          <w:p w14:paraId="0B70D745"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McGregor Gourlay Agricultural Services</w:t>
            </w:r>
          </w:p>
          <w:p w14:paraId="02FF16C9"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Regional Health Services</w:t>
            </w:r>
          </w:p>
          <w:p w14:paraId="0F19D0A6" w14:textId="77777777" w:rsidR="00CA2AD7" w:rsidRPr="00C4084C" w:rsidRDefault="00CA2AD7" w:rsidP="00FB44F8">
            <w:pPr>
              <w:pStyle w:val="ListParagraph"/>
              <w:numPr>
                <w:ilvl w:val="0"/>
                <w:numId w:val="26"/>
              </w:numPr>
              <w:spacing w:after="0" w:line="240" w:lineRule="auto"/>
              <w:contextualSpacing w:val="0"/>
              <w:rPr>
                <w:rFonts w:cs="Arial"/>
                <w:b w:val="0"/>
                <w:bCs w:val="0"/>
              </w:rPr>
            </w:pPr>
            <w:proofErr w:type="spellStart"/>
            <w:r w:rsidRPr="00C4084C">
              <w:rPr>
                <w:rFonts w:cs="Arial"/>
                <w:b w:val="0"/>
                <w:bCs w:val="0"/>
              </w:rPr>
              <w:t>Hanlons</w:t>
            </w:r>
            <w:proofErr w:type="spellEnd"/>
            <w:r w:rsidRPr="00C4084C">
              <w:rPr>
                <w:rFonts w:cs="Arial"/>
                <w:b w:val="0"/>
                <w:bCs w:val="0"/>
              </w:rPr>
              <w:t xml:space="preserve"> Consulting</w:t>
            </w:r>
          </w:p>
          <w:p w14:paraId="6C66298D"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New England Regional Arts Museum</w:t>
            </w:r>
          </w:p>
          <w:p w14:paraId="2654EE60" w14:textId="77777777" w:rsidR="00CA2AD7" w:rsidRPr="00C4084C" w:rsidRDefault="00CA2AD7" w:rsidP="00FB44F8">
            <w:pPr>
              <w:pStyle w:val="ListParagraph"/>
              <w:numPr>
                <w:ilvl w:val="0"/>
                <w:numId w:val="26"/>
              </w:numPr>
              <w:spacing w:after="0" w:line="240" w:lineRule="auto"/>
              <w:contextualSpacing w:val="0"/>
              <w:rPr>
                <w:rFonts w:cs="Arial"/>
                <w:b w:val="0"/>
                <w:bCs w:val="0"/>
              </w:rPr>
            </w:pPr>
            <w:proofErr w:type="spellStart"/>
            <w:r w:rsidRPr="00C4084C">
              <w:rPr>
                <w:rFonts w:cs="Arial"/>
                <w:b w:val="0"/>
                <w:bCs w:val="0"/>
              </w:rPr>
              <w:t>FarmLab</w:t>
            </w:r>
            <w:proofErr w:type="spellEnd"/>
          </w:p>
          <w:p w14:paraId="23499EEF"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Minerals Council of Australia</w:t>
            </w:r>
          </w:p>
          <w:p w14:paraId="5A630A4B"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Herefords Society</w:t>
            </w:r>
          </w:p>
          <w:p w14:paraId="248EC66D"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Regional Development Australia</w:t>
            </w:r>
          </w:p>
          <w:p w14:paraId="145EFBA6"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Meat and Livestock Australia</w:t>
            </w:r>
          </w:p>
        </w:tc>
        <w:tc>
          <w:tcPr>
            <w:tcW w:w="1984" w:type="dxa"/>
          </w:tcPr>
          <w:p w14:paraId="1AE8BDB0"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20 April 2023</w:t>
            </w:r>
          </w:p>
        </w:tc>
      </w:tr>
      <w:tr w:rsidR="00CA2AD7" w:rsidRPr="00C4084C" w14:paraId="46488948" w14:textId="77777777">
        <w:trPr>
          <w:trHeight w:val="420"/>
        </w:trPr>
        <w:tc>
          <w:tcPr>
            <w:cnfStyle w:val="001000000000" w:firstRow="0" w:lastRow="0" w:firstColumn="1" w:lastColumn="0" w:oddVBand="0" w:evenVBand="0" w:oddHBand="0" w:evenHBand="0" w:firstRowFirstColumn="0" w:firstRowLastColumn="0" w:lastRowFirstColumn="0" w:lastRowLastColumn="0"/>
            <w:tcW w:w="7088" w:type="dxa"/>
          </w:tcPr>
          <w:p w14:paraId="3EE70357" w14:textId="77777777" w:rsidR="00CA2AD7" w:rsidRPr="00C4084C" w:rsidRDefault="00CA2AD7">
            <w:pPr>
              <w:spacing w:after="0"/>
              <w:rPr>
                <w:rFonts w:cs="Arial"/>
              </w:rPr>
            </w:pPr>
            <w:r w:rsidRPr="00C4084C">
              <w:rPr>
                <w:rFonts w:cs="Arial"/>
              </w:rPr>
              <w:t>Regional Vice-Chancellors Roundtable 1</w:t>
            </w:r>
            <w:r w:rsidRPr="00C4084C">
              <w:rPr>
                <w:rFonts w:cs="Arial"/>
                <w:b w:val="0"/>
                <w:bCs w:val="0"/>
              </w:rPr>
              <w:t>, including representatives from:</w:t>
            </w:r>
          </w:p>
          <w:p w14:paraId="3F77FBCB"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University of New England</w:t>
            </w:r>
          </w:p>
          <w:p w14:paraId="790376C1"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Central Queensland University</w:t>
            </w:r>
          </w:p>
          <w:p w14:paraId="14EFCC6B"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Southern Cross University</w:t>
            </w:r>
          </w:p>
          <w:p w14:paraId="4E81D38D"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Charles Sturt University</w:t>
            </w:r>
          </w:p>
          <w:p w14:paraId="659DA847"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University of Southern Queensland</w:t>
            </w:r>
          </w:p>
          <w:p w14:paraId="6C4DA6BF"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University of Tasmania</w:t>
            </w:r>
          </w:p>
          <w:p w14:paraId="7A02F05C"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University of the Sunshine Coast</w:t>
            </w:r>
          </w:p>
          <w:p w14:paraId="5DCBE6BE"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Charles Darwin University</w:t>
            </w:r>
          </w:p>
          <w:p w14:paraId="725FE176"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Federation University</w:t>
            </w:r>
          </w:p>
          <w:p w14:paraId="63594EEC"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Regional Universities Network</w:t>
            </w:r>
          </w:p>
        </w:tc>
        <w:tc>
          <w:tcPr>
            <w:tcW w:w="1984" w:type="dxa"/>
          </w:tcPr>
          <w:p w14:paraId="743592AA"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t>20 April 2023</w:t>
            </w:r>
          </w:p>
        </w:tc>
      </w:tr>
      <w:tr w:rsidR="00CA2AD7" w:rsidRPr="00C4084C" w14:paraId="63A9762E" w14:textId="7777777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88" w:type="dxa"/>
          </w:tcPr>
          <w:p w14:paraId="67C75D01" w14:textId="77777777" w:rsidR="00CA2AD7" w:rsidRPr="00C4084C" w:rsidRDefault="00CA2AD7">
            <w:pPr>
              <w:spacing w:after="0"/>
              <w:rPr>
                <w:rFonts w:cs="Arial"/>
              </w:rPr>
            </w:pPr>
            <w:r w:rsidRPr="00C4084C">
              <w:rPr>
                <w:rFonts w:cs="Arial"/>
              </w:rPr>
              <w:t>TAFE Directors and Institutes Roundtable 2</w:t>
            </w:r>
            <w:r w:rsidRPr="00C4084C">
              <w:rPr>
                <w:rFonts w:cs="Arial"/>
                <w:b w:val="0"/>
                <w:bCs w:val="0"/>
              </w:rPr>
              <w:t>, including representatives from:</w:t>
            </w:r>
          </w:p>
          <w:p w14:paraId="6647E500"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 xml:space="preserve">TAFE Directors Australia </w:t>
            </w:r>
          </w:p>
          <w:p w14:paraId="6F291194"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Holmesglen Institute</w:t>
            </w:r>
          </w:p>
          <w:p w14:paraId="15946024"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 xml:space="preserve">TAFE South Australia </w:t>
            </w:r>
          </w:p>
          <w:p w14:paraId="783904D7"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TAFE New South Wales</w:t>
            </w:r>
          </w:p>
          <w:p w14:paraId="3E7B9C0C"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 xml:space="preserve">TAFE Tasmania </w:t>
            </w:r>
          </w:p>
          <w:p w14:paraId="271E6096"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TAFE Queensland</w:t>
            </w:r>
          </w:p>
          <w:p w14:paraId="536C275E"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Canberra Institute of Technology</w:t>
            </w:r>
          </w:p>
          <w:p w14:paraId="772F28EC"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Central Queensland University</w:t>
            </w:r>
          </w:p>
        </w:tc>
        <w:tc>
          <w:tcPr>
            <w:tcW w:w="1984" w:type="dxa"/>
          </w:tcPr>
          <w:p w14:paraId="6741D586"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5 May 2023</w:t>
            </w:r>
          </w:p>
        </w:tc>
      </w:tr>
      <w:tr w:rsidR="00CA2AD7" w:rsidRPr="00C4084C" w14:paraId="568855D9" w14:textId="77777777">
        <w:trPr>
          <w:trHeight w:val="420"/>
        </w:trPr>
        <w:tc>
          <w:tcPr>
            <w:cnfStyle w:val="001000000000" w:firstRow="0" w:lastRow="0" w:firstColumn="1" w:lastColumn="0" w:oddVBand="0" w:evenVBand="0" w:oddHBand="0" w:evenHBand="0" w:firstRowFirstColumn="0" w:firstRowLastColumn="0" w:lastRowFirstColumn="0" w:lastRowLastColumn="0"/>
            <w:tcW w:w="7088" w:type="dxa"/>
          </w:tcPr>
          <w:p w14:paraId="7727B041" w14:textId="77777777" w:rsidR="00CA2AD7" w:rsidRPr="00C4084C" w:rsidRDefault="00CA2AD7">
            <w:pPr>
              <w:spacing w:after="0"/>
              <w:rPr>
                <w:rFonts w:cs="Arial"/>
              </w:rPr>
            </w:pPr>
            <w:r w:rsidRPr="00C4084C">
              <w:rPr>
                <w:rFonts w:cs="Arial"/>
              </w:rPr>
              <w:t>Students Roundtable</w:t>
            </w:r>
            <w:r w:rsidRPr="00C4084C">
              <w:rPr>
                <w:rFonts w:cs="Arial"/>
                <w:b w:val="0"/>
                <w:bCs w:val="0"/>
              </w:rPr>
              <w:t>, including representatives from:</w:t>
            </w:r>
          </w:p>
          <w:p w14:paraId="48A19CE2"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National Union of Students</w:t>
            </w:r>
          </w:p>
          <w:p w14:paraId="7B0C59E6"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 xml:space="preserve">Council of Australian Postgraduate Associations </w:t>
            </w:r>
          </w:p>
          <w:p w14:paraId="23E1B78E"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National Aboriginal &amp; Torres Strait Islander Postgraduate Association</w:t>
            </w:r>
          </w:p>
          <w:p w14:paraId="254B84C0"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Fair Agenda</w:t>
            </w:r>
          </w:p>
          <w:p w14:paraId="5D307C23"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End Rape on Campus</w:t>
            </w:r>
          </w:p>
          <w:p w14:paraId="28172202"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National Association of Australian University Colleges</w:t>
            </w:r>
          </w:p>
          <w:p w14:paraId="1A8071A8"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Students Against Placement Poverty</w:t>
            </w:r>
          </w:p>
          <w:p w14:paraId="4C950615"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Australia Parents Council</w:t>
            </w:r>
          </w:p>
          <w:p w14:paraId="0C173B7C"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National Association of Graduate Career Advisory Services</w:t>
            </w:r>
          </w:p>
          <w:p w14:paraId="7251AE14"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Australian Youth Steering Committee Members</w:t>
            </w:r>
          </w:p>
          <w:p w14:paraId="429031A6"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Australian Centre for Career Education</w:t>
            </w:r>
          </w:p>
          <w:p w14:paraId="30CD74DD"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lastRenderedPageBreak/>
              <w:t>Shelter NSW</w:t>
            </w:r>
          </w:p>
          <w:p w14:paraId="550907AB" w14:textId="77777777" w:rsidR="00CA2AD7" w:rsidRPr="00C4084C" w:rsidRDefault="00CA2AD7">
            <w:pPr>
              <w:spacing w:after="0"/>
              <w:rPr>
                <w:rFonts w:cs="Arial"/>
              </w:rPr>
            </w:pPr>
            <w:r w:rsidRPr="00C4084C">
              <w:rPr>
                <w:rFonts w:cs="Arial"/>
                <w:b w:val="0"/>
                <w:bCs w:val="0"/>
              </w:rPr>
              <w:t>With Ms Tayla Roberts, 2020 Rural Youth Ambassador and various students</w:t>
            </w:r>
          </w:p>
        </w:tc>
        <w:tc>
          <w:tcPr>
            <w:tcW w:w="1984" w:type="dxa"/>
          </w:tcPr>
          <w:p w14:paraId="56780C9A"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lastRenderedPageBreak/>
              <w:t>4 September 2023</w:t>
            </w:r>
          </w:p>
        </w:tc>
      </w:tr>
      <w:tr w:rsidR="00CA2AD7" w:rsidRPr="00C4084C" w14:paraId="608E2049" w14:textId="7777777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88" w:type="dxa"/>
          </w:tcPr>
          <w:p w14:paraId="475240DF" w14:textId="77777777" w:rsidR="00CA2AD7" w:rsidRPr="00C4084C" w:rsidRDefault="00CA2AD7">
            <w:pPr>
              <w:spacing w:after="0"/>
              <w:rPr>
                <w:rFonts w:cs="Arial"/>
              </w:rPr>
            </w:pPr>
            <w:r w:rsidRPr="00C4084C">
              <w:rPr>
                <w:rFonts w:cs="Arial"/>
              </w:rPr>
              <w:t>Future Disruptions Roundtable</w:t>
            </w:r>
            <w:r w:rsidRPr="00C4084C">
              <w:rPr>
                <w:rFonts w:cs="Arial"/>
                <w:b w:val="0"/>
                <w:bCs w:val="0"/>
              </w:rPr>
              <w:t>, including representatives from:</w:t>
            </w:r>
          </w:p>
          <w:p w14:paraId="398F7916"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Australian National University</w:t>
            </w:r>
          </w:p>
          <w:p w14:paraId="5025252C"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University of South Australia</w:t>
            </w:r>
          </w:p>
          <w:p w14:paraId="3C0FDD34"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The University of Queensland</w:t>
            </w:r>
          </w:p>
          <w:p w14:paraId="47A5F406" w14:textId="77777777" w:rsidR="00CA2AD7" w:rsidRPr="00C4084C" w:rsidRDefault="00CA2AD7" w:rsidP="00FB44F8">
            <w:pPr>
              <w:pStyle w:val="ListParagraph"/>
              <w:numPr>
                <w:ilvl w:val="0"/>
                <w:numId w:val="26"/>
              </w:numPr>
              <w:spacing w:after="0" w:line="240" w:lineRule="auto"/>
              <w:contextualSpacing w:val="0"/>
              <w:rPr>
                <w:rFonts w:cs="Arial"/>
                <w:b w:val="0"/>
                <w:bCs w:val="0"/>
              </w:rPr>
            </w:pPr>
            <w:proofErr w:type="spellStart"/>
            <w:r w:rsidRPr="00C4084C">
              <w:rPr>
                <w:rFonts w:cs="Arial"/>
                <w:b w:val="0"/>
                <w:bCs w:val="0"/>
              </w:rPr>
              <w:t>OpenLearning</w:t>
            </w:r>
            <w:proofErr w:type="spellEnd"/>
          </w:p>
          <w:p w14:paraId="448F65BE"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 xml:space="preserve">Western Sydney University </w:t>
            </w:r>
          </w:p>
          <w:p w14:paraId="4C3F0283"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CSIRO</w:t>
            </w:r>
          </w:p>
          <w:p w14:paraId="28504949"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Australian Chamber of Commerce and Industry</w:t>
            </w:r>
          </w:p>
          <w:p w14:paraId="2B184C5D"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Boston Consulting Group</w:t>
            </w:r>
          </w:p>
          <w:p w14:paraId="5E365344"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KPMG</w:t>
            </w:r>
          </w:p>
        </w:tc>
        <w:tc>
          <w:tcPr>
            <w:tcW w:w="1984" w:type="dxa"/>
          </w:tcPr>
          <w:p w14:paraId="65253C7B"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19 September 2023</w:t>
            </w:r>
          </w:p>
        </w:tc>
      </w:tr>
      <w:tr w:rsidR="00CA2AD7" w:rsidRPr="00C4084C" w14:paraId="7E99966A" w14:textId="77777777">
        <w:trPr>
          <w:trHeight w:val="420"/>
        </w:trPr>
        <w:tc>
          <w:tcPr>
            <w:cnfStyle w:val="001000000000" w:firstRow="0" w:lastRow="0" w:firstColumn="1" w:lastColumn="0" w:oddVBand="0" w:evenVBand="0" w:oddHBand="0" w:evenHBand="0" w:firstRowFirstColumn="0" w:firstRowLastColumn="0" w:lastRowFirstColumn="0" w:lastRowLastColumn="0"/>
            <w:tcW w:w="7088" w:type="dxa"/>
          </w:tcPr>
          <w:p w14:paraId="4779760C" w14:textId="77777777" w:rsidR="00CA2AD7" w:rsidRPr="00C4084C" w:rsidRDefault="00CA2AD7">
            <w:pPr>
              <w:spacing w:after="0"/>
              <w:rPr>
                <w:rFonts w:cs="Arial"/>
              </w:rPr>
            </w:pPr>
            <w:r w:rsidRPr="00C4084C">
              <w:rPr>
                <w:rFonts w:cs="Arial"/>
              </w:rPr>
              <w:t>First Nations Roundtable</w:t>
            </w:r>
            <w:r w:rsidRPr="00C4084C">
              <w:rPr>
                <w:rFonts w:cs="Arial"/>
                <w:b w:val="0"/>
                <w:bCs w:val="0"/>
              </w:rPr>
              <w:t>, including representatives from:</w:t>
            </w:r>
          </w:p>
          <w:p w14:paraId="19B288EC"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 xml:space="preserve">Western Sydney University  </w:t>
            </w:r>
          </w:p>
          <w:p w14:paraId="713B820D"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 xml:space="preserve">University of Adelaide </w:t>
            </w:r>
          </w:p>
          <w:p w14:paraId="12F90F08"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National Aboriginal and Torres Strait Islander Higher Education Consortium</w:t>
            </w:r>
          </w:p>
          <w:p w14:paraId="77C2655E"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 xml:space="preserve">Batchelor Institute of Indigenous Tertiary Education </w:t>
            </w:r>
          </w:p>
          <w:p w14:paraId="77B7C194"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 xml:space="preserve">National Indigenous Australians Agency </w:t>
            </w:r>
          </w:p>
          <w:p w14:paraId="5F8A4379"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National Union of Students</w:t>
            </w:r>
          </w:p>
          <w:p w14:paraId="564B6AC6"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University of New South Wales</w:t>
            </w:r>
          </w:p>
          <w:p w14:paraId="264C0466"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James Cook University</w:t>
            </w:r>
          </w:p>
          <w:p w14:paraId="4D51880F"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Flinders University</w:t>
            </w:r>
          </w:p>
          <w:p w14:paraId="4BDD7A78"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 xml:space="preserve">Pindi </w:t>
            </w:r>
            <w:proofErr w:type="spellStart"/>
            <w:r w:rsidRPr="00C4084C">
              <w:rPr>
                <w:rFonts w:cs="Arial"/>
                <w:b w:val="0"/>
                <w:bCs w:val="0"/>
              </w:rPr>
              <w:t>Pindi</w:t>
            </w:r>
            <w:proofErr w:type="spellEnd"/>
            <w:r w:rsidRPr="00C4084C">
              <w:rPr>
                <w:rFonts w:cs="Arial"/>
                <w:b w:val="0"/>
                <w:bCs w:val="0"/>
              </w:rPr>
              <w:t xml:space="preserve"> Pty Ltd - Centre for Research Excellence in Aboriginal Wellbeing</w:t>
            </w:r>
          </w:p>
          <w:p w14:paraId="0AB03154"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Curtin University</w:t>
            </w:r>
          </w:p>
          <w:p w14:paraId="24610DED"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University of Technology Sydney</w:t>
            </w:r>
          </w:p>
          <w:p w14:paraId="3A600F98"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Curtin University</w:t>
            </w:r>
          </w:p>
          <w:p w14:paraId="12431389"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National Centre for Student Equity in Higher Education</w:t>
            </w:r>
          </w:p>
          <w:p w14:paraId="32513607"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National Tertiary Education Union</w:t>
            </w:r>
          </w:p>
          <w:p w14:paraId="70927A6A"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Congress of Aboriginal and Torres Strait Islander Nurses and Midwives</w:t>
            </w:r>
          </w:p>
          <w:p w14:paraId="3E6F2679"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Tasmanian Institute of Learning and Teaching</w:t>
            </w:r>
          </w:p>
        </w:tc>
        <w:tc>
          <w:tcPr>
            <w:tcW w:w="1984" w:type="dxa"/>
          </w:tcPr>
          <w:p w14:paraId="4923D470"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t>22 September 2023</w:t>
            </w:r>
          </w:p>
        </w:tc>
      </w:tr>
      <w:tr w:rsidR="00CA2AD7" w:rsidRPr="00C4084C" w14:paraId="6A841D41" w14:textId="7777777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88" w:type="dxa"/>
          </w:tcPr>
          <w:p w14:paraId="652C5685" w14:textId="77777777" w:rsidR="00CA2AD7" w:rsidRPr="00C4084C" w:rsidRDefault="00CA2AD7">
            <w:pPr>
              <w:spacing w:after="0"/>
              <w:rPr>
                <w:rFonts w:cs="Arial"/>
              </w:rPr>
            </w:pPr>
            <w:r w:rsidRPr="00C4084C">
              <w:rPr>
                <w:rFonts w:cs="Arial"/>
              </w:rPr>
              <w:t>National Regional University Roundtable</w:t>
            </w:r>
            <w:r w:rsidRPr="00C4084C">
              <w:rPr>
                <w:rFonts w:cs="Arial"/>
                <w:b w:val="0"/>
                <w:bCs w:val="0"/>
              </w:rPr>
              <w:t>, including representatives from:</w:t>
            </w:r>
          </w:p>
          <w:p w14:paraId="71000973"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Australian Local Government Association</w:t>
            </w:r>
          </w:p>
          <w:p w14:paraId="29777884"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New South Wales Country Mayors Association</w:t>
            </w:r>
          </w:p>
          <w:p w14:paraId="67571D9E" w14:textId="1DA51F67" w:rsidR="00CA2AD7" w:rsidRPr="00C4084C" w:rsidRDefault="001407E7" w:rsidP="00FB44F8">
            <w:pPr>
              <w:pStyle w:val="ListParagraph"/>
              <w:numPr>
                <w:ilvl w:val="0"/>
                <w:numId w:val="26"/>
              </w:numPr>
              <w:spacing w:after="0" w:line="240" w:lineRule="auto"/>
              <w:contextualSpacing w:val="0"/>
              <w:rPr>
                <w:rFonts w:cs="Arial"/>
                <w:b w:val="0"/>
                <w:bCs w:val="0"/>
              </w:rPr>
            </w:pPr>
            <w:r>
              <w:rPr>
                <w:rFonts w:cs="Arial"/>
                <w:b w:val="0"/>
                <w:bCs w:val="0"/>
              </w:rPr>
              <w:t>Dr Joe McGir</w:t>
            </w:r>
            <w:r w:rsidR="00241CA2">
              <w:rPr>
                <w:rFonts w:cs="Arial"/>
                <w:b w:val="0"/>
                <w:bCs w:val="0"/>
              </w:rPr>
              <w:t>r</w:t>
            </w:r>
            <w:r w:rsidR="00AC31E7">
              <w:rPr>
                <w:rFonts w:cs="Arial"/>
                <w:b w:val="0"/>
                <w:bCs w:val="0"/>
              </w:rPr>
              <w:t xml:space="preserve"> MP</w:t>
            </w:r>
            <w:r w:rsidR="00241CA2">
              <w:rPr>
                <w:rFonts w:cs="Arial"/>
                <w:b w:val="0"/>
                <w:bCs w:val="0"/>
              </w:rPr>
              <w:t xml:space="preserve">, </w:t>
            </w:r>
            <w:r w:rsidR="00CA2AD7" w:rsidRPr="00C4084C">
              <w:rPr>
                <w:rFonts w:cs="Arial"/>
                <w:b w:val="0"/>
                <w:bCs w:val="0"/>
              </w:rPr>
              <w:t xml:space="preserve">New South Wales </w:t>
            </w:r>
            <w:r w:rsidR="00241CA2">
              <w:rPr>
                <w:rFonts w:cs="Arial"/>
                <w:b w:val="0"/>
                <w:bCs w:val="0"/>
              </w:rPr>
              <w:t>Parliamentarian</w:t>
            </w:r>
          </w:p>
          <w:p w14:paraId="1418230C"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Geraldton University Centre</w:t>
            </w:r>
          </w:p>
          <w:p w14:paraId="7D05455E" w14:textId="35BF9D6A" w:rsidR="00CA2AD7" w:rsidRPr="00C4084C" w:rsidRDefault="00241CA2" w:rsidP="00FB44F8">
            <w:pPr>
              <w:pStyle w:val="ListParagraph"/>
              <w:numPr>
                <w:ilvl w:val="0"/>
                <w:numId w:val="26"/>
              </w:numPr>
              <w:spacing w:after="0" w:line="240" w:lineRule="auto"/>
              <w:contextualSpacing w:val="0"/>
              <w:rPr>
                <w:rFonts w:cs="Arial"/>
                <w:b w:val="0"/>
                <w:bCs w:val="0"/>
              </w:rPr>
            </w:pPr>
            <w:r>
              <w:rPr>
                <w:rFonts w:cs="Arial"/>
                <w:b w:val="0"/>
                <w:bCs w:val="0"/>
              </w:rPr>
              <w:t xml:space="preserve">Duncan Taylor, Founder, </w:t>
            </w:r>
            <w:r w:rsidR="00CA2AD7" w:rsidRPr="00C4084C">
              <w:rPr>
                <w:rFonts w:cs="Arial"/>
                <w:b w:val="0"/>
                <w:bCs w:val="0"/>
              </w:rPr>
              <w:t>Country Universities Centre</w:t>
            </w:r>
          </w:p>
          <w:p w14:paraId="4E432853"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Business Council of Australia</w:t>
            </w:r>
          </w:p>
          <w:p w14:paraId="016ED7B1" w14:textId="4F722B10" w:rsidR="00CA2AD7" w:rsidRPr="00C4084C" w:rsidRDefault="00241CA2" w:rsidP="00FB44F8">
            <w:pPr>
              <w:pStyle w:val="ListParagraph"/>
              <w:numPr>
                <w:ilvl w:val="0"/>
                <w:numId w:val="26"/>
              </w:numPr>
              <w:spacing w:after="0" w:line="240" w:lineRule="auto"/>
              <w:contextualSpacing w:val="0"/>
              <w:rPr>
                <w:rFonts w:cs="Arial"/>
                <w:b w:val="0"/>
                <w:bCs w:val="0"/>
              </w:rPr>
            </w:pPr>
            <w:r>
              <w:rPr>
                <w:rFonts w:cs="Arial"/>
                <w:b w:val="0"/>
                <w:bCs w:val="0"/>
              </w:rPr>
              <w:t>Emeritus Professor Richard Heller</w:t>
            </w:r>
          </w:p>
          <w:p w14:paraId="1455451F"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 xml:space="preserve">Armidale Regional Council </w:t>
            </w:r>
          </w:p>
          <w:p w14:paraId="264962FF" w14:textId="69EAD8E1" w:rsidR="00CA2AD7" w:rsidRPr="00C4084C" w:rsidRDefault="00241CA2" w:rsidP="00FB44F8">
            <w:pPr>
              <w:pStyle w:val="ListParagraph"/>
              <w:numPr>
                <w:ilvl w:val="0"/>
                <w:numId w:val="26"/>
              </w:numPr>
              <w:spacing w:after="0" w:line="240" w:lineRule="auto"/>
              <w:contextualSpacing w:val="0"/>
              <w:rPr>
                <w:rFonts w:cs="Arial"/>
                <w:b w:val="0"/>
                <w:bCs w:val="0"/>
              </w:rPr>
            </w:pPr>
            <w:r>
              <w:rPr>
                <w:rFonts w:cs="Arial"/>
                <w:b w:val="0"/>
                <w:bCs w:val="0"/>
              </w:rPr>
              <w:t>Rick Wilmott</w:t>
            </w:r>
          </w:p>
        </w:tc>
        <w:tc>
          <w:tcPr>
            <w:tcW w:w="1984" w:type="dxa"/>
          </w:tcPr>
          <w:p w14:paraId="6867A078"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26 September 2023</w:t>
            </w:r>
          </w:p>
        </w:tc>
      </w:tr>
      <w:tr w:rsidR="00CA2AD7" w:rsidRPr="00C4084C" w14:paraId="5B133779" w14:textId="77777777">
        <w:trPr>
          <w:trHeight w:val="420"/>
        </w:trPr>
        <w:tc>
          <w:tcPr>
            <w:cnfStyle w:val="001000000000" w:firstRow="0" w:lastRow="0" w:firstColumn="1" w:lastColumn="0" w:oddVBand="0" w:evenVBand="0" w:oddHBand="0" w:evenHBand="0" w:firstRowFirstColumn="0" w:firstRowLastColumn="0" w:lastRowFirstColumn="0" w:lastRowLastColumn="0"/>
            <w:tcW w:w="7088" w:type="dxa"/>
          </w:tcPr>
          <w:p w14:paraId="6963404B" w14:textId="77777777" w:rsidR="00CA2AD7" w:rsidRPr="00C4084C" w:rsidRDefault="00CA2AD7">
            <w:pPr>
              <w:spacing w:after="0"/>
              <w:rPr>
                <w:rFonts w:cs="Arial"/>
                <w:b w:val="0"/>
                <w:bCs w:val="0"/>
              </w:rPr>
            </w:pPr>
            <w:r w:rsidRPr="00C4084C">
              <w:rPr>
                <w:rFonts w:cs="Arial"/>
              </w:rPr>
              <w:t>Regional Vice-Chancellors Roundtable 2,</w:t>
            </w:r>
            <w:r w:rsidRPr="00C4084C">
              <w:rPr>
                <w:rFonts w:cs="Arial"/>
                <w:b w:val="0"/>
                <w:bCs w:val="0"/>
              </w:rPr>
              <w:t xml:space="preserve"> including representatives from:</w:t>
            </w:r>
          </w:p>
          <w:p w14:paraId="1FA67CDA"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University of the Sunshine Coast</w:t>
            </w:r>
          </w:p>
          <w:p w14:paraId="5110777C"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 xml:space="preserve">Federation University </w:t>
            </w:r>
          </w:p>
          <w:p w14:paraId="7FC4A40A"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Charles Darwin University</w:t>
            </w:r>
          </w:p>
          <w:p w14:paraId="35D6053A"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Southern Cross University</w:t>
            </w:r>
          </w:p>
          <w:p w14:paraId="6E9343A1"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Central Queensland University</w:t>
            </w:r>
          </w:p>
          <w:p w14:paraId="22967538"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Charles Sturt University</w:t>
            </w:r>
          </w:p>
          <w:p w14:paraId="011BB765"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University of Southern Queensland</w:t>
            </w:r>
          </w:p>
          <w:p w14:paraId="1F574D33"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lastRenderedPageBreak/>
              <w:t>University of New England</w:t>
            </w:r>
          </w:p>
          <w:p w14:paraId="73395725"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Regional Universities Network</w:t>
            </w:r>
          </w:p>
          <w:p w14:paraId="79D125EE" w14:textId="77777777" w:rsidR="00CA2AD7" w:rsidRPr="00C4084C" w:rsidRDefault="00CA2AD7" w:rsidP="00FB44F8">
            <w:pPr>
              <w:pStyle w:val="ListParagraph"/>
              <w:numPr>
                <w:ilvl w:val="0"/>
                <w:numId w:val="26"/>
              </w:numPr>
              <w:spacing w:after="0" w:line="240" w:lineRule="auto"/>
              <w:contextualSpacing w:val="0"/>
              <w:rPr>
                <w:rFonts w:cs="Arial"/>
              </w:rPr>
            </w:pPr>
            <w:r w:rsidRPr="00C4084C">
              <w:rPr>
                <w:rFonts w:cs="Arial"/>
                <w:b w:val="0"/>
                <w:bCs w:val="0"/>
              </w:rPr>
              <w:t>James Cook University</w:t>
            </w:r>
          </w:p>
        </w:tc>
        <w:tc>
          <w:tcPr>
            <w:tcW w:w="1984" w:type="dxa"/>
          </w:tcPr>
          <w:p w14:paraId="67A90AE1"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lastRenderedPageBreak/>
              <w:t>27 September 2023</w:t>
            </w:r>
          </w:p>
        </w:tc>
      </w:tr>
      <w:tr w:rsidR="00CA2AD7" w:rsidRPr="00C4084C" w14:paraId="53C9E2BB" w14:textId="7777777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88" w:type="dxa"/>
          </w:tcPr>
          <w:p w14:paraId="0B43FFB7" w14:textId="77777777" w:rsidR="00CA2AD7" w:rsidRPr="00C4084C" w:rsidRDefault="00CA2AD7">
            <w:pPr>
              <w:spacing w:after="0"/>
              <w:rPr>
                <w:rFonts w:cs="Arial"/>
              </w:rPr>
            </w:pPr>
            <w:r w:rsidRPr="00C4084C">
              <w:rPr>
                <w:rFonts w:cs="Arial"/>
              </w:rPr>
              <w:t>Regional Students Roundtable</w:t>
            </w:r>
            <w:r w:rsidRPr="00C4084C">
              <w:rPr>
                <w:rFonts w:cs="Arial"/>
                <w:b w:val="0"/>
                <w:bCs w:val="0"/>
              </w:rPr>
              <w:t>, including</w:t>
            </w:r>
            <w:r w:rsidRPr="00C4084C">
              <w:t xml:space="preserve"> </w:t>
            </w:r>
            <w:r w:rsidRPr="00C4084C">
              <w:rPr>
                <w:rFonts w:cs="Arial"/>
                <w:b w:val="0"/>
                <w:bCs w:val="0"/>
              </w:rPr>
              <w:t>representatives from:</w:t>
            </w:r>
          </w:p>
          <w:p w14:paraId="4AB5D264"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National Union of Students</w:t>
            </w:r>
          </w:p>
          <w:p w14:paraId="3C552809"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 xml:space="preserve">Isolated Children’s Parent’s Association of Australia </w:t>
            </w:r>
          </w:p>
          <w:p w14:paraId="29EDB5B7"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Country Education Partnership</w:t>
            </w:r>
          </w:p>
          <w:p w14:paraId="1F60FC28"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Federations of Parents and Citizens Association New South Wales</w:t>
            </w:r>
          </w:p>
          <w:p w14:paraId="66B659BA"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Regional Education Support Network</w:t>
            </w:r>
          </w:p>
          <w:p w14:paraId="7C9D348B"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Remote Indigenous Parents Association</w:t>
            </w:r>
          </w:p>
          <w:p w14:paraId="35F5C1FE" w14:textId="77777777" w:rsidR="00CA2AD7" w:rsidRPr="00C4084C" w:rsidRDefault="00CA2AD7">
            <w:pPr>
              <w:spacing w:after="0"/>
              <w:rPr>
                <w:rFonts w:cs="Arial"/>
              </w:rPr>
            </w:pPr>
            <w:r w:rsidRPr="00C4084C">
              <w:rPr>
                <w:rFonts w:cs="Arial"/>
                <w:b w:val="0"/>
                <w:bCs w:val="0"/>
              </w:rPr>
              <w:t>With Ms Tayla Roberts, 2020 Rural Youth Ambassador and various students</w:t>
            </w:r>
          </w:p>
        </w:tc>
        <w:tc>
          <w:tcPr>
            <w:tcW w:w="1984" w:type="dxa"/>
          </w:tcPr>
          <w:p w14:paraId="301FECBD"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28 September 2023</w:t>
            </w:r>
          </w:p>
        </w:tc>
      </w:tr>
      <w:tr w:rsidR="00CA2AD7" w:rsidRPr="00C4084C" w14:paraId="52C57C01" w14:textId="77777777">
        <w:trPr>
          <w:trHeight w:val="420"/>
        </w:trPr>
        <w:tc>
          <w:tcPr>
            <w:cnfStyle w:val="001000000000" w:firstRow="0" w:lastRow="0" w:firstColumn="1" w:lastColumn="0" w:oddVBand="0" w:evenVBand="0" w:oddHBand="0" w:evenHBand="0" w:firstRowFirstColumn="0" w:firstRowLastColumn="0" w:lastRowFirstColumn="0" w:lastRowLastColumn="0"/>
            <w:tcW w:w="7088" w:type="dxa"/>
          </w:tcPr>
          <w:p w14:paraId="030BF222" w14:textId="77777777" w:rsidR="00CA2AD7" w:rsidRPr="00C4084C" w:rsidRDefault="00CA2AD7">
            <w:pPr>
              <w:spacing w:after="0"/>
              <w:rPr>
                <w:rFonts w:cs="Arial"/>
                <w:b w:val="0"/>
                <w:bCs w:val="0"/>
              </w:rPr>
            </w:pPr>
            <w:r w:rsidRPr="00C4084C">
              <w:rPr>
                <w:rFonts w:cs="Arial"/>
              </w:rPr>
              <w:t>Disability in Higher Education Roundtable</w:t>
            </w:r>
            <w:r w:rsidRPr="00C4084C">
              <w:rPr>
                <w:rFonts w:cs="Arial"/>
                <w:b w:val="0"/>
                <w:bCs w:val="0"/>
              </w:rPr>
              <w:t>, including various students and representatives from:</w:t>
            </w:r>
          </w:p>
          <w:p w14:paraId="7C54BFCA"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Australian Law Students Association</w:t>
            </w:r>
          </w:p>
          <w:p w14:paraId="5A4EA67D"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Western Sydney University</w:t>
            </w:r>
          </w:p>
          <w:p w14:paraId="1655EECA"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Vision Australia</w:t>
            </w:r>
          </w:p>
          <w:p w14:paraId="79B68C01"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Australian Tertiary Education Network on Disability</w:t>
            </w:r>
          </w:p>
          <w:p w14:paraId="6B25ED49"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Australian Disability Clearinghouse for Education and Training</w:t>
            </w:r>
          </w:p>
          <w:p w14:paraId="290CEB27"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National Centre for Student Equity in Higher Education</w:t>
            </w:r>
          </w:p>
          <w:p w14:paraId="6FA604B7"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University of Technology Sydney</w:t>
            </w:r>
          </w:p>
          <w:p w14:paraId="4F0FE09B" w14:textId="718F284C"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Centre for Research in Equity and Advancement of Teaching and Education</w:t>
            </w:r>
          </w:p>
          <w:p w14:paraId="2F288B87"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Autism CRC</w:t>
            </w:r>
          </w:p>
          <w:p w14:paraId="417D7F21"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Centre for Research in Assessment and Digital Learning</w:t>
            </w:r>
          </w:p>
          <w:p w14:paraId="0682DA9A"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National Union of Students</w:t>
            </w:r>
          </w:p>
          <w:p w14:paraId="6508EF9A"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Department of social Services</w:t>
            </w:r>
          </w:p>
          <w:p w14:paraId="22DCE6DA"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 xml:space="preserve">University of Queensland </w:t>
            </w:r>
          </w:p>
          <w:p w14:paraId="0F90EEFF"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 xml:space="preserve">University of Tasmania </w:t>
            </w:r>
          </w:p>
          <w:p w14:paraId="462D7026"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Centre for Disability Studies</w:t>
            </w:r>
          </w:p>
          <w:p w14:paraId="58342E88"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University of Queensland</w:t>
            </w:r>
          </w:p>
          <w:p w14:paraId="64E9F13E"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Autism Centre of Excellence</w:t>
            </w:r>
          </w:p>
          <w:p w14:paraId="7DD8CF8E"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Children and Young People with a Disability</w:t>
            </w:r>
          </w:p>
          <w:p w14:paraId="019F7A58"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Speak My Language</w:t>
            </w:r>
          </w:p>
        </w:tc>
        <w:tc>
          <w:tcPr>
            <w:tcW w:w="1984" w:type="dxa"/>
          </w:tcPr>
          <w:p w14:paraId="5E2529E7"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t>19 October 2023</w:t>
            </w:r>
          </w:p>
        </w:tc>
      </w:tr>
      <w:tr w:rsidR="00CA2AD7" w:rsidRPr="00C4084C" w14:paraId="0849A79D" w14:textId="7777777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88" w:type="dxa"/>
          </w:tcPr>
          <w:p w14:paraId="7D3305AE" w14:textId="3C8FE349" w:rsidR="00CA2AD7" w:rsidRPr="00C4084C" w:rsidRDefault="00CA2AD7">
            <w:pPr>
              <w:spacing w:after="0"/>
              <w:rPr>
                <w:rFonts w:cs="Arial"/>
              </w:rPr>
            </w:pPr>
            <w:r w:rsidRPr="00C4084C">
              <w:rPr>
                <w:rFonts w:cs="Arial"/>
              </w:rPr>
              <w:t xml:space="preserve">Skills and Research Roundtable, </w:t>
            </w:r>
            <w:r w:rsidRPr="00C4084C">
              <w:rPr>
                <w:rFonts w:cs="Arial"/>
                <w:b w:val="0"/>
                <w:bCs w:val="0"/>
              </w:rPr>
              <w:t>including representatives from:</w:t>
            </w:r>
          </w:p>
          <w:p w14:paraId="296DE3D1"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Business Council of Australia</w:t>
            </w:r>
          </w:p>
          <w:p w14:paraId="77C98949"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Infosys Ltd</w:t>
            </w:r>
          </w:p>
          <w:p w14:paraId="09A4B6D9"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Fujitsu</w:t>
            </w:r>
          </w:p>
          <w:p w14:paraId="0F076A18"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Atlassian</w:t>
            </w:r>
          </w:p>
          <w:p w14:paraId="2A7DC43B"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Microsoft</w:t>
            </w:r>
          </w:p>
          <w:p w14:paraId="35DDD70A"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Xero</w:t>
            </w:r>
          </w:p>
        </w:tc>
        <w:tc>
          <w:tcPr>
            <w:tcW w:w="1984" w:type="dxa"/>
          </w:tcPr>
          <w:p w14:paraId="1A8F58AD"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31 October 2023</w:t>
            </w:r>
          </w:p>
        </w:tc>
      </w:tr>
    </w:tbl>
    <w:p w14:paraId="0CAFDF72" w14:textId="77777777" w:rsidR="00CA2AD7" w:rsidRPr="00C4084C" w:rsidRDefault="00CA2AD7" w:rsidP="00CA2AD7">
      <w:pPr>
        <w:pStyle w:val="Heading3"/>
        <w:numPr>
          <w:ilvl w:val="0"/>
          <w:numId w:val="0"/>
        </w:numPr>
      </w:pPr>
      <w:bookmarkStart w:id="1645" w:name="_Toc159501042"/>
      <w:bookmarkEnd w:id="1644"/>
      <w:r w:rsidRPr="00C4084C">
        <w:t>Presentations to the Panel</w:t>
      </w:r>
      <w:bookmarkEnd w:id="1645"/>
      <w:r w:rsidRPr="00C4084C">
        <w:t xml:space="preserve"> </w:t>
      </w:r>
    </w:p>
    <w:p w14:paraId="521BCEBC" w14:textId="77777777" w:rsidR="00CA2AD7" w:rsidRPr="00C4084C" w:rsidRDefault="00CA2AD7" w:rsidP="00CA2AD7">
      <w:r w:rsidRPr="00C4084C">
        <w:t>The following stakeholders were invited to attend Panel meetings for the purpose of addressing the Panel and providing expert advice and information. The below does not include suppliers commissioned by the Department of Education on behalf of the Panel to inform and support work across the Review. These are included at Appendix F.</w:t>
      </w:r>
    </w:p>
    <w:tbl>
      <w:tblPr>
        <w:tblStyle w:val="ListTable2-Accent3"/>
        <w:tblW w:w="9072" w:type="dxa"/>
        <w:tblLook w:val="04A0" w:firstRow="1" w:lastRow="0" w:firstColumn="1" w:lastColumn="0" w:noHBand="0" w:noVBand="1"/>
      </w:tblPr>
      <w:tblGrid>
        <w:gridCol w:w="6946"/>
        <w:gridCol w:w="2126"/>
      </w:tblGrid>
      <w:tr w:rsidR="00CA2AD7" w:rsidRPr="00C4084C" w14:paraId="62423EC2" w14:textId="77777777">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46" w:type="dxa"/>
          </w:tcPr>
          <w:p w14:paraId="0FD6F697" w14:textId="77777777" w:rsidR="00CA2AD7" w:rsidRPr="00C4084C" w:rsidRDefault="00CA2AD7">
            <w:pPr>
              <w:spacing w:after="0"/>
              <w:rPr>
                <w:rFonts w:cs="Arial"/>
              </w:rPr>
            </w:pPr>
            <w:r w:rsidRPr="00C4084C">
              <w:rPr>
                <w:rFonts w:cs="Arial"/>
              </w:rPr>
              <w:t>Stakeholder/s</w:t>
            </w:r>
          </w:p>
        </w:tc>
        <w:tc>
          <w:tcPr>
            <w:tcW w:w="2126" w:type="dxa"/>
          </w:tcPr>
          <w:p w14:paraId="44BEAEBC" w14:textId="77777777" w:rsidR="00CA2AD7" w:rsidRPr="00C4084C" w:rsidRDefault="00CA2AD7">
            <w:pPr>
              <w:spacing w:after="0"/>
              <w:cnfStyle w:val="100000000000" w:firstRow="1" w:lastRow="0" w:firstColumn="0" w:lastColumn="0" w:oddVBand="0" w:evenVBand="0" w:oddHBand="0" w:evenHBand="0" w:firstRowFirstColumn="0" w:firstRowLastColumn="0" w:lastRowFirstColumn="0" w:lastRowLastColumn="0"/>
              <w:rPr>
                <w:rFonts w:cs="Arial"/>
              </w:rPr>
            </w:pPr>
            <w:r w:rsidRPr="00C4084C">
              <w:rPr>
                <w:rFonts w:cs="Arial"/>
              </w:rPr>
              <w:t>Panel meeting date</w:t>
            </w:r>
          </w:p>
        </w:tc>
      </w:tr>
      <w:tr w:rsidR="00CA2AD7" w:rsidRPr="00C4084C" w14:paraId="28BBB762"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946" w:type="dxa"/>
          </w:tcPr>
          <w:p w14:paraId="226E77DD" w14:textId="77777777" w:rsidR="00CA2AD7" w:rsidRPr="00F50407" w:rsidRDefault="00CA2AD7">
            <w:pPr>
              <w:spacing w:after="0"/>
              <w:rPr>
                <w:rFonts w:cs="Arial"/>
              </w:rPr>
            </w:pPr>
            <w:r w:rsidRPr="00A676AC">
              <w:rPr>
                <w:rFonts w:cs="Arial"/>
              </w:rPr>
              <w:t xml:space="preserve">Emeritus Professor Alan Pettigrew, Senate Fellow, University of Sydney </w:t>
            </w:r>
          </w:p>
        </w:tc>
        <w:tc>
          <w:tcPr>
            <w:tcW w:w="2126" w:type="dxa"/>
          </w:tcPr>
          <w:p w14:paraId="02F91588"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21 December 2022</w:t>
            </w:r>
          </w:p>
        </w:tc>
      </w:tr>
      <w:tr w:rsidR="00CA2AD7" w:rsidRPr="00C4084C" w14:paraId="0E9F155F" w14:textId="77777777">
        <w:trPr>
          <w:trHeight w:val="390"/>
        </w:trPr>
        <w:tc>
          <w:tcPr>
            <w:cnfStyle w:val="001000000000" w:firstRow="0" w:lastRow="0" w:firstColumn="1" w:lastColumn="0" w:oddVBand="0" w:evenVBand="0" w:oddHBand="0" w:evenHBand="0" w:firstRowFirstColumn="0" w:firstRowLastColumn="0" w:lastRowFirstColumn="0" w:lastRowLastColumn="0"/>
            <w:tcW w:w="6946" w:type="dxa"/>
          </w:tcPr>
          <w:p w14:paraId="4476EE30" w14:textId="12D6AAED" w:rsidR="00CA2AD7" w:rsidRPr="00F50407" w:rsidRDefault="00CA2AD7">
            <w:pPr>
              <w:spacing w:after="0"/>
              <w:rPr>
                <w:rFonts w:cs="Arial"/>
              </w:rPr>
            </w:pPr>
            <w:r w:rsidRPr="00A676AC">
              <w:rPr>
                <w:rFonts w:cs="Arial"/>
              </w:rPr>
              <w:lastRenderedPageBreak/>
              <w:t>Professor Glyn Davis AC, Secretary, Prime Minister &amp; Cabinet</w:t>
            </w:r>
          </w:p>
        </w:tc>
        <w:tc>
          <w:tcPr>
            <w:tcW w:w="2126" w:type="dxa"/>
          </w:tcPr>
          <w:p w14:paraId="219C9223"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t>7 February 2023</w:t>
            </w:r>
          </w:p>
        </w:tc>
      </w:tr>
      <w:tr w:rsidR="00CA2AD7" w:rsidRPr="00C4084C" w14:paraId="50DAB4B0"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946" w:type="dxa"/>
          </w:tcPr>
          <w:p w14:paraId="08038A06" w14:textId="77777777" w:rsidR="00CA2AD7" w:rsidRPr="00F50407" w:rsidRDefault="00CA2AD7">
            <w:pPr>
              <w:spacing w:after="0"/>
              <w:rPr>
                <w:rFonts w:cs="Arial"/>
              </w:rPr>
            </w:pPr>
            <w:r w:rsidRPr="00A676AC">
              <w:rPr>
                <w:rFonts w:cs="Arial"/>
              </w:rPr>
              <w:t xml:space="preserve">Jobs and Skills Australia </w:t>
            </w:r>
          </w:p>
        </w:tc>
        <w:tc>
          <w:tcPr>
            <w:tcW w:w="2126" w:type="dxa"/>
          </w:tcPr>
          <w:p w14:paraId="0AD2B79D"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7 February 2023</w:t>
            </w:r>
          </w:p>
        </w:tc>
      </w:tr>
      <w:tr w:rsidR="00CA2AD7" w:rsidRPr="00C4084C" w14:paraId="62F2AD14" w14:textId="77777777">
        <w:trPr>
          <w:trHeight w:val="390"/>
        </w:trPr>
        <w:tc>
          <w:tcPr>
            <w:cnfStyle w:val="001000000000" w:firstRow="0" w:lastRow="0" w:firstColumn="1" w:lastColumn="0" w:oddVBand="0" w:evenVBand="0" w:oddHBand="0" w:evenHBand="0" w:firstRowFirstColumn="0" w:firstRowLastColumn="0" w:lastRowFirstColumn="0" w:lastRowLastColumn="0"/>
            <w:tcW w:w="6946" w:type="dxa"/>
          </w:tcPr>
          <w:p w14:paraId="715295AE" w14:textId="77777777" w:rsidR="00CA2AD7" w:rsidRPr="00F50407" w:rsidRDefault="00CA2AD7">
            <w:pPr>
              <w:spacing w:after="0"/>
              <w:rPr>
                <w:rFonts w:cs="Arial"/>
              </w:rPr>
            </w:pPr>
            <w:r w:rsidRPr="00A676AC">
              <w:rPr>
                <w:rFonts w:cs="Arial"/>
              </w:rPr>
              <w:t>Department of Employment and Workplace Relations</w:t>
            </w:r>
          </w:p>
        </w:tc>
        <w:tc>
          <w:tcPr>
            <w:tcW w:w="2126" w:type="dxa"/>
          </w:tcPr>
          <w:p w14:paraId="08453AF0"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t>7 February 2023</w:t>
            </w:r>
          </w:p>
        </w:tc>
      </w:tr>
      <w:tr w:rsidR="00CA2AD7" w:rsidRPr="00C4084C" w14:paraId="326C90BF"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946" w:type="dxa"/>
          </w:tcPr>
          <w:p w14:paraId="12E6B255" w14:textId="5DA2DA7A" w:rsidR="00CA2AD7" w:rsidRPr="00F50407" w:rsidRDefault="00CA2AD7">
            <w:pPr>
              <w:spacing w:after="0"/>
              <w:rPr>
                <w:rFonts w:cs="Arial"/>
              </w:rPr>
            </w:pPr>
            <w:r w:rsidRPr="00A676AC">
              <w:rPr>
                <w:rFonts w:cs="Arial"/>
              </w:rPr>
              <w:t>Mr Mark Warburton, Honorary Senior Fellow, Centre for the Study of Higher Education</w:t>
            </w:r>
            <w:r w:rsidR="004D3B8D" w:rsidRPr="00A676AC">
              <w:rPr>
                <w:rFonts w:cs="Arial"/>
              </w:rPr>
              <w:t>,</w:t>
            </w:r>
            <w:r w:rsidRPr="00A676AC">
              <w:rPr>
                <w:rFonts w:cs="Arial"/>
              </w:rPr>
              <w:t xml:space="preserve"> University of Melbourne</w:t>
            </w:r>
          </w:p>
        </w:tc>
        <w:tc>
          <w:tcPr>
            <w:tcW w:w="2126" w:type="dxa"/>
          </w:tcPr>
          <w:p w14:paraId="37542718"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7 March 2023</w:t>
            </w:r>
          </w:p>
        </w:tc>
      </w:tr>
      <w:tr w:rsidR="00CA2AD7" w:rsidRPr="00C4084C" w14:paraId="0A4774B9" w14:textId="77777777">
        <w:trPr>
          <w:trHeight w:val="390"/>
        </w:trPr>
        <w:tc>
          <w:tcPr>
            <w:cnfStyle w:val="001000000000" w:firstRow="0" w:lastRow="0" w:firstColumn="1" w:lastColumn="0" w:oddVBand="0" w:evenVBand="0" w:oddHBand="0" w:evenHBand="0" w:firstRowFirstColumn="0" w:firstRowLastColumn="0" w:lastRowFirstColumn="0" w:lastRowLastColumn="0"/>
            <w:tcW w:w="6946" w:type="dxa"/>
          </w:tcPr>
          <w:p w14:paraId="09F9BEBD" w14:textId="77777777" w:rsidR="00CA2AD7" w:rsidRPr="00F50407" w:rsidRDefault="00CA2AD7">
            <w:pPr>
              <w:spacing w:after="0"/>
              <w:rPr>
                <w:rFonts w:cs="Arial"/>
              </w:rPr>
            </w:pPr>
            <w:r w:rsidRPr="00A676AC">
              <w:rPr>
                <w:rFonts w:cs="Arial"/>
              </w:rPr>
              <w:t>Emeritus Professor Bruce Chapman AO, Australian National University College of Business and Economics</w:t>
            </w:r>
          </w:p>
        </w:tc>
        <w:tc>
          <w:tcPr>
            <w:tcW w:w="2126" w:type="dxa"/>
          </w:tcPr>
          <w:p w14:paraId="4D1719D9"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t>7 March 2023</w:t>
            </w:r>
          </w:p>
        </w:tc>
      </w:tr>
      <w:tr w:rsidR="00CA2AD7" w:rsidRPr="00C4084C" w14:paraId="70E140DF"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946" w:type="dxa"/>
          </w:tcPr>
          <w:p w14:paraId="72559D58" w14:textId="77777777" w:rsidR="00CA2AD7" w:rsidRPr="00F50407" w:rsidRDefault="00CA2AD7">
            <w:pPr>
              <w:spacing w:after="0"/>
              <w:rPr>
                <w:rFonts w:cs="Arial"/>
              </w:rPr>
            </w:pPr>
            <w:r w:rsidRPr="00A676AC">
              <w:rPr>
                <w:rFonts w:cs="Arial"/>
              </w:rPr>
              <w:t xml:space="preserve">Professor Simon </w:t>
            </w:r>
            <w:proofErr w:type="spellStart"/>
            <w:r w:rsidRPr="00A676AC">
              <w:rPr>
                <w:rFonts w:cs="Arial"/>
              </w:rPr>
              <w:t>Marginson</w:t>
            </w:r>
            <w:proofErr w:type="spellEnd"/>
            <w:r w:rsidRPr="00A676AC">
              <w:rPr>
                <w:rFonts w:cs="Arial"/>
              </w:rPr>
              <w:t>, Professor of Higher Education, University of Oxford; Associate Professor Gwilym Croucher, Centre for the Study of Higher Education, University of Melbourne; and Mr Tom Bentley,</w:t>
            </w:r>
            <w:r w:rsidRPr="00A676AC">
              <w:t xml:space="preserve"> </w:t>
            </w:r>
            <w:r w:rsidRPr="00A676AC">
              <w:rPr>
                <w:rFonts w:cs="Arial"/>
              </w:rPr>
              <w:t xml:space="preserve">Executive Director for Policy, </w:t>
            </w:r>
            <w:proofErr w:type="gramStart"/>
            <w:r w:rsidRPr="00A676AC">
              <w:rPr>
                <w:rFonts w:cs="Arial"/>
              </w:rPr>
              <w:t>Strategy</w:t>
            </w:r>
            <w:proofErr w:type="gramEnd"/>
            <w:r w:rsidRPr="00A676AC">
              <w:rPr>
                <w:rFonts w:cs="Arial"/>
              </w:rPr>
              <w:t xml:space="preserve"> and Impact, RMIT University</w:t>
            </w:r>
          </w:p>
        </w:tc>
        <w:tc>
          <w:tcPr>
            <w:tcW w:w="2126" w:type="dxa"/>
          </w:tcPr>
          <w:p w14:paraId="59822564"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14 March 2023</w:t>
            </w:r>
          </w:p>
        </w:tc>
      </w:tr>
      <w:tr w:rsidR="00CA2AD7" w:rsidRPr="00C4084C" w14:paraId="2199A627" w14:textId="77777777">
        <w:trPr>
          <w:trHeight w:val="390"/>
        </w:trPr>
        <w:tc>
          <w:tcPr>
            <w:cnfStyle w:val="001000000000" w:firstRow="0" w:lastRow="0" w:firstColumn="1" w:lastColumn="0" w:oddVBand="0" w:evenVBand="0" w:oddHBand="0" w:evenHBand="0" w:firstRowFirstColumn="0" w:firstRowLastColumn="0" w:lastRowFirstColumn="0" w:lastRowLastColumn="0"/>
            <w:tcW w:w="6946" w:type="dxa"/>
            <w:shd w:val="clear" w:color="auto" w:fill="auto"/>
          </w:tcPr>
          <w:p w14:paraId="0C829929" w14:textId="77777777" w:rsidR="00CA2AD7" w:rsidRPr="00F50407" w:rsidRDefault="00CA2AD7">
            <w:pPr>
              <w:spacing w:after="0"/>
              <w:rPr>
                <w:rFonts w:cs="Arial"/>
              </w:rPr>
            </w:pPr>
            <w:r w:rsidRPr="00A676AC">
              <w:rPr>
                <w:rFonts w:cs="Arial"/>
              </w:rPr>
              <w:t>Australian Council of Learned Academies</w:t>
            </w:r>
          </w:p>
        </w:tc>
        <w:tc>
          <w:tcPr>
            <w:tcW w:w="2126" w:type="dxa"/>
            <w:shd w:val="clear" w:color="auto" w:fill="auto"/>
          </w:tcPr>
          <w:p w14:paraId="093A6DF9"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t>21 March 2023</w:t>
            </w:r>
          </w:p>
        </w:tc>
      </w:tr>
      <w:tr w:rsidR="00CA2AD7" w:rsidRPr="00C4084C" w14:paraId="236F8D36"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946" w:type="dxa"/>
          </w:tcPr>
          <w:p w14:paraId="1E87DE97" w14:textId="77777777" w:rsidR="00CA2AD7" w:rsidRPr="00F50407" w:rsidRDefault="00CA2AD7">
            <w:pPr>
              <w:spacing w:after="0"/>
              <w:rPr>
                <w:rFonts w:cs="Arial"/>
              </w:rPr>
            </w:pPr>
            <w:r w:rsidRPr="00A676AC">
              <w:rPr>
                <w:rFonts w:cstheme="minorHAnsi"/>
                <w:spacing w:val="-4"/>
              </w:rPr>
              <w:t>The Hon Professor Verity Firth AM, Pro Vice-Chancellor (Social Justice &amp; Inclusion), University of Technology Sydney</w:t>
            </w:r>
          </w:p>
        </w:tc>
        <w:tc>
          <w:tcPr>
            <w:tcW w:w="2126" w:type="dxa"/>
          </w:tcPr>
          <w:p w14:paraId="5D731814"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28 March 2023</w:t>
            </w:r>
          </w:p>
        </w:tc>
      </w:tr>
      <w:tr w:rsidR="00CA2AD7" w:rsidRPr="00C4084C" w14:paraId="6278DE95" w14:textId="77777777">
        <w:trPr>
          <w:trHeight w:val="390"/>
        </w:trPr>
        <w:tc>
          <w:tcPr>
            <w:cnfStyle w:val="001000000000" w:firstRow="0" w:lastRow="0" w:firstColumn="1" w:lastColumn="0" w:oddVBand="0" w:evenVBand="0" w:oddHBand="0" w:evenHBand="0" w:firstRowFirstColumn="0" w:firstRowLastColumn="0" w:lastRowFirstColumn="0" w:lastRowLastColumn="0"/>
            <w:tcW w:w="6946" w:type="dxa"/>
          </w:tcPr>
          <w:p w14:paraId="09891136" w14:textId="77777777" w:rsidR="00CA2AD7" w:rsidRPr="00F50407" w:rsidRDefault="00CA2AD7">
            <w:pPr>
              <w:spacing w:after="0"/>
              <w:rPr>
                <w:rFonts w:cs="Arial"/>
              </w:rPr>
            </w:pPr>
            <w:r w:rsidRPr="00A676AC">
              <w:rPr>
                <w:rFonts w:cs="Arial"/>
              </w:rPr>
              <w:t>Mr Mark Warburton, Honorary Senior Fellow, Centre for the Study of Higher Education. University of Melbourne</w:t>
            </w:r>
          </w:p>
        </w:tc>
        <w:tc>
          <w:tcPr>
            <w:tcW w:w="2126" w:type="dxa"/>
          </w:tcPr>
          <w:p w14:paraId="6A65E7C2"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t>28 March 2023</w:t>
            </w:r>
          </w:p>
        </w:tc>
      </w:tr>
      <w:tr w:rsidR="00CA2AD7" w:rsidRPr="00C4084C" w14:paraId="2E6E1BDA"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946" w:type="dxa"/>
          </w:tcPr>
          <w:p w14:paraId="51FFE38D" w14:textId="77777777" w:rsidR="00CA2AD7" w:rsidRPr="00F50407" w:rsidRDefault="00CA2AD7">
            <w:pPr>
              <w:spacing w:after="0"/>
              <w:rPr>
                <w:rFonts w:cs="Arial"/>
              </w:rPr>
            </w:pPr>
            <w:r w:rsidRPr="00A676AC">
              <w:rPr>
                <w:rFonts w:cs="Arial"/>
              </w:rPr>
              <w:t>Department of Employment and Workplace Relations</w:t>
            </w:r>
          </w:p>
        </w:tc>
        <w:tc>
          <w:tcPr>
            <w:tcW w:w="2126" w:type="dxa"/>
          </w:tcPr>
          <w:p w14:paraId="60C987DD"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4 April 2023</w:t>
            </w:r>
          </w:p>
        </w:tc>
      </w:tr>
      <w:tr w:rsidR="00CA2AD7" w:rsidRPr="00C4084C" w14:paraId="0483AE24" w14:textId="77777777">
        <w:trPr>
          <w:trHeight w:val="390"/>
        </w:trPr>
        <w:tc>
          <w:tcPr>
            <w:cnfStyle w:val="001000000000" w:firstRow="0" w:lastRow="0" w:firstColumn="1" w:lastColumn="0" w:oddVBand="0" w:evenVBand="0" w:oddHBand="0" w:evenHBand="0" w:firstRowFirstColumn="0" w:firstRowLastColumn="0" w:lastRowFirstColumn="0" w:lastRowLastColumn="0"/>
            <w:tcW w:w="6946" w:type="dxa"/>
          </w:tcPr>
          <w:p w14:paraId="512F499E" w14:textId="3F9C310D" w:rsidR="00CA2AD7" w:rsidRPr="00F50407" w:rsidRDefault="00CA2AD7">
            <w:pPr>
              <w:spacing w:after="0"/>
              <w:rPr>
                <w:rFonts w:cs="Arial"/>
              </w:rPr>
            </w:pPr>
            <w:r w:rsidRPr="00A676AC">
              <w:rPr>
                <w:rFonts w:cs="Arial"/>
              </w:rPr>
              <w:t>Professor Mats Benner, Dean</w:t>
            </w:r>
            <w:r w:rsidR="00FA3B9A">
              <w:rPr>
                <w:rFonts w:cs="Arial"/>
              </w:rPr>
              <w:t>,</w:t>
            </w:r>
            <w:r w:rsidRPr="00A676AC">
              <w:rPr>
                <w:rFonts w:cs="Arial"/>
              </w:rPr>
              <w:t xml:space="preserve"> School of Economics and Professor in Science Policy Studies</w:t>
            </w:r>
            <w:r w:rsidR="00FA3B9A">
              <w:rPr>
                <w:rFonts w:cs="Arial"/>
              </w:rPr>
              <w:t xml:space="preserve">, </w:t>
            </w:r>
            <w:r w:rsidR="00FA3B9A" w:rsidRPr="00A676AC">
              <w:rPr>
                <w:rFonts w:cs="Arial"/>
              </w:rPr>
              <w:t>Lund University</w:t>
            </w:r>
          </w:p>
        </w:tc>
        <w:tc>
          <w:tcPr>
            <w:tcW w:w="2126" w:type="dxa"/>
          </w:tcPr>
          <w:p w14:paraId="1E2820EC"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t>11 April 2023</w:t>
            </w:r>
          </w:p>
        </w:tc>
      </w:tr>
      <w:tr w:rsidR="00CA2AD7" w:rsidRPr="00C4084C" w14:paraId="5F7B0957"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946" w:type="dxa"/>
          </w:tcPr>
          <w:p w14:paraId="4ABC5B97" w14:textId="77777777" w:rsidR="00CA2AD7" w:rsidRPr="00F50407" w:rsidRDefault="00CA2AD7">
            <w:pPr>
              <w:spacing w:after="0"/>
              <w:rPr>
                <w:rFonts w:cs="Arial"/>
              </w:rPr>
            </w:pPr>
            <w:r w:rsidRPr="00A676AC">
              <w:rPr>
                <w:rFonts w:cs="Arial"/>
              </w:rPr>
              <w:t>Emeritus Professor Bruce Chapman AO, Australian National University College of Business and Economics</w:t>
            </w:r>
          </w:p>
        </w:tc>
        <w:tc>
          <w:tcPr>
            <w:tcW w:w="2126" w:type="dxa"/>
          </w:tcPr>
          <w:p w14:paraId="371298C2"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18 April 2023</w:t>
            </w:r>
          </w:p>
        </w:tc>
      </w:tr>
      <w:tr w:rsidR="00CA2AD7" w:rsidRPr="00C4084C" w14:paraId="7F66702F" w14:textId="77777777">
        <w:trPr>
          <w:trHeight w:val="390"/>
        </w:trPr>
        <w:tc>
          <w:tcPr>
            <w:cnfStyle w:val="001000000000" w:firstRow="0" w:lastRow="0" w:firstColumn="1" w:lastColumn="0" w:oddVBand="0" w:evenVBand="0" w:oddHBand="0" w:evenHBand="0" w:firstRowFirstColumn="0" w:firstRowLastColumn="0" w:lastRowFirstColumn="0" w:lastRowLastColumn="0"/>
            <w:tcW w:w="6946" w:type="dxa"/>
          </w:tcPr>
          <w:p w14:paraId="0E2237A9" w14:textId="77777777" w:rsidR="00CA2AD7" w:rsidRPr="00F50407" w:rsidRDefault="00CA2AD7">
            <w:pPr>
              <w:pStyle w:val="paragraph"/>
              <w:spacing w:before="0" w:beforeAutospacing="0" w:after="0" w:afterAutospacing="0"/>
              <w:textAlignment w:val="baseline"/>
              <w:rPr>
                <w:rFonts w:cstheme="minorHAnsi"/>
              </w:rPr>
            </w:pPr>
            <w:r w:rsidRPr="00A676AC">
              <w:rPr>
                <w:rStyle w:val="normaltextrun"/>
                <w:rFonts w:asciiTheme="minorHAnsi" w:hAnsiTheme="minorHAnsi" w:cstheme="minorHAnsi"/>
                <w:sz w:val="22"/>
                <w:szCs w:val="22"/>
              </w:rPr>
              <w:t>Department of Social Services</w:t>
            </w:r>
            <w:r w:rsidRPr="00A676AC">
              <w:rPr>
                <w:rStyle w:val="eop"/>
                <w:rFonts w:asciiTheme="minorHAnsi" w:hAnsiTheme="minorHAnsi" w:cstheme="minorHAnsi"/>
                <w:sz w:val="22"/>
                <w:szCs w:val="22"/>
              </w:rPr>
              <w:t> </w:t>
            </w:r>
          </w:p>
        </w:tc>
        <w:tc>
          <w:tcPr>
            <w:tcW w:w="2126" w:type="dxa"/>
          </w:tcPr>
          <w:p w14:paraId="51BDF4D5"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t>18 April 2023</w:t>
            </w:r>
          </w:p>
        </w:tc>
      </w:tr>
      <w:tr w:rsidR="00CA2AD7" w:rsidRPr="00C4084C" w14:paraId="61450C6C"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946" w:type="dxa"/>
          </w:tcPr>
          <w:p w14:paraId="17EAAEFE" w14:textId="77777777" w:rsidR="00CA2AD7" w:rsidRPr="00F50407" w:rsidRDefault="00CA2AD7">
            <w:pPr>
              <w:spacing w:after="0"/>
              <w:rPr>
                <w:rFonts w:cs="Arial"/>
              </w:rPr>
            </w:pPr>
            <w:r w:rsidRPr="00A676AC">
              <w:rPr>
                <w:rFonts w:cs="Arial"/>
              </w:rPr>
              <w:t>Department of Employment and Workplace Relations</w:t>
            </w:r>
          </w:p>
        </w:tc>
        <w:tc>
          <w:tcPr>
            <w:tcW w:w="2126" w:type="dxa"/>
          </w:tcPr>
          <w:p w14:paraId="2147F9C0"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9 May 2023</w:t>
            </w:r>
          </w:p>
        </w:tc>
      </w:tr>
      <w:tr w:rsidR="00CA2AD7" w:rsidRPr="00C4084C" w14:paraId="59937472" w14:textId="77777777">
        <w:trPr>
          <w:trHeight w:val="390"/>
        </w:trPr>
        <w:tc>
          <w:tcPr>
            <w:cnfStyle w:val="001000000000" w:firstRow="0" w:lastRow="0" w:firstColumn="1" w:lastColumn="0" w:oddVBand="0" w:evenVBand="0" w:oddHBand="0" w:evenHBand="0" w:firstRowFirstColumn="0" w:firstRowLastColumn="0" w:lastRowFirstColumn="0" w:lastRowLastColumn="0"/>
            <w:tcW w:w="6946" w:type="dxa"/>
          </w:tcPr>
          <w:p w14:paraId="30FA64A0" w14:textId="77777777" w:rsidR="00CA2AD7" w:rsidRPr="00F50407" w:rsidRDefault="00CA2AD7">
            <w:pPr>
              <w:spacing w:after="0"/>
              <w:rPr>
                <w:rFonts w:cs="Arial"/>
              </w:rPr>
            </w:pPr>
            <w:r w:rsidRPr="00A676AC">
              <w:rPr>
                <w:rFonts w:cs="Arial"/>
              </w:rPr>
              <w:t>Department of Employment and Workplace Relations</w:t>
            </w:r>
          </w:p>
        </w:tc>
        <w:tc>
          <w:tcPr>
            <w:tcW w:w="2126" w:type="dxa"/>
          </w:tcPr>
          <w:p w14:paraId="10F31C5A"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t>16 May 2023</w:t>
            </w:r>
          </w:p>
        </w:tc>
      </w:tr>
      <w:tr w:rsidR="00CA2AD7" w:rsidRPr="00FB63EF" w14:paraId="6AE9EA27"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946" w:type="dxa"/>
          </w:tcPr>
          <w:p w14:paraId="08E72BC2" w14:textId="77777777" w:rsidR="00CA2AD7" w:rsidRPr="00F50407" w:rsidRDefault="00CA2AD7">
            <w:pPr>
              <w:pStyle w:val="paragraph"/>
              <w:spacing w:before="0" w:beforeAutospacing="0" w:after="0" w:afterAutospacing="0"/>
              <w:textAlignment w:val="baseline"/>
              <w:rPr>
                <w:rFonts w:asciiTheme="minorHAnsi" w:hAnsiTheme="minorHAnsi" w:cstheme="minorHAnsi"/>
                <w:sz w:val="22"/>
                <w:szCs w:val="22"/>
              </w:rPr>
            </w:pPr>
            <w:r w:rsidRPr="00F50407">
              <w:rPr>
                <w:rStyle w:val="normaltextrun"/>
                <w:rFonts w:asciiTheme="minorHAnsi" w:hAnsiTheme="minorHAnsi" w:cstheme="minorHAnsi"/>
                <w:sz w:val="22"/>
                <w:szCs w:val="22"/>
              </w:rPr>
              <w:t>Jobs and Skills Australia</w:t>
            </w:r>
          </w:p>
        </w:tc>
        <w:tc>
          <w:tcPr>
            <w:tcW w:w="2126" w:type="dxa"/>
          </w:tcPr>
          <w:p w14:paraId="27866BFF" w14:textId="77777777" w:rsidR="00CA2AD7" w:rsidRPr="00FB63EF"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FB63EF">
              <w:rPr>
                <w:rFonts w:cstheme="minorHAnsi"/>
              </w:rPr>
              <w:t>16 May 2023</w:t>
            </w:r>
          </w:p>
        </w:tc>
      </w:tr>
      <w:tr w:rsidR="00CA2AD7" w:rsidRPr="00C4084C" w14:paraId="5F3CDA75" w14:textId="77777777">
        <w:trPr>
          <w:trHeight w:val="390"/>
        </w:trPr>
        <w:tc>
          <w:tcPr>
            <w:cnfStyle w:val="001000000000" w:firstRow="0" w:lastRow="0" w:firstColumn="1" w:lastColumn="0" w:oddVBand="0" w:evenVBand="0" w:oddHBand="0" w:evenHBand="0" w:firstRowFirstColumn="0" w:firstRowLastColumn="0" w:lastRowFirstColumn="0" w:lastRowLastColumn="0"/>
            <w:tcW w:w="6946" w:type="dxa"/>
          </w:tcPr>
          <w:p w14:paraId="2AC8D62D" w14:textId="77777777" w:rsidR="00CA2AD7" w:rsidRPr="00F50407" w:rsidRDefault="00CA2AD7">
            <w:pPr>
              <w:spacing w:after="0"/>
              <w:rPr>
                <w:rFonts w:cs="Arial"/>
              </w:rPr>
            </w:pPr>
            <w:r w:rsidRPr="00A676AC">
              <w:rPr>
                <w:rFonts w:cs="Arial"/>
              </w:rPr>
              <w:t>Professor Julia Horne, Professor of History and University Historian, and Professor Stephen Garton, Principal Advisor to the Vice-Chancellor and Professor of History, University of Sydney</w:t>
            </w:r>
          </w:p>
        </w:tc>
        <w:tc>
          <w:tcPr>
            <w:tcW w:w="2126" w:type="dxa"/>
          </w:tcPr>
          <w:p w14:paraId="75CD477F"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t>16 May 2023</w:t>
            </w:r>
          </w:p>
        </w:tc>
      </w:tr>
      <w:tr w:rsidR="00CA2AD7" w:rsidRPr="00C4084C" w14:paraId="120CEB59"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946" w:type="dxa"/>
          </w:tcPr>
          <w:p w14:paraId="3C959624" w14:textId="77777777" w:rsidR="00CA2AD7" w:rsidRPr="00F50407" w:rsidRDefault="00CA2AD7">
            <w:pPr>
              <w:spacing w:after="0"/>
              <w:rPr>
                <w:rFonts w:cs="Arial"/>
              </w:rPr>
            </w:pPr>
            <w:r w:rsidRPr="00A676AC">
              <w:rPr>
                <w:rFonts w:cs="Arial"/>
              </w:rPr>
              <w:t>Tertiary Education Quality and Standards Agency</w:t>
            </w:r>
          </w:p>
        </w:tc>
        <w:tc>
          <w:tcPr>
            <w:tcW w:w="2126" w:type="dxa"/>
          </w:tcPr>
          <w:p w14:paraId="51ADC289"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23 May 2023</w:t>
            </w:r>
          </w:p>
        </w:tc>
      </w:tr>
      <w:tr w:rsidR="00CA2AD7" w:rsidRPr="00C4084C" w14:paraId="422D303A" w14:textId="77777777">
        <w:trPr>
          <w:trHeight w:val="390"/>
        </w:trPr>
        <w:tc>
          <w:tcPr>
            <w:cnfStyle w:val="001000000000" w:firstRow="0" w:lastRow="0" w:firstColumn="1" w:lastColumn="0" w:oddVBand="0" w:evenVBand="0" w:oddHBand="0" w:evenHBand="0" w:firstRowFirstColumn="0" w:firstRowLastColumn="0" w:lastRowFirstColumn="0" w:lastRowLastColumn="0"/>
            <w:tcW w:w="6946" w:type="dxa"/>
          </w:tcPr>
          <w:p w14:paraId="14AD6630" w14:textId="7C2B81B5" w:rsidR="00CA2AD7" w:rsidRPr="00F50407" w:rsidRDefault="00CA2AD7">
            <w:pPr>
              <w:spacing w:after="0"/>
              <w:rPr>
                <w:rFonts w:cs="Arial"/>
              </w:rPr>
            </w:pPr>
            <w:r w:rsidRPr="00A676AC">
              <w:rPr>
                <w:rFonts w:cs="Arial"/>
              </w:rPr>
              <w:t>ORIMA Research; Professor John Phil</w:t>
            </w:r>
            <w:r w:rsidR="00D7645C">
              <w:rPr>
                <w:rFonts w:cs="Arial"/>
              </w:rPr>
              <w:t>l</w:t>
            </w:r>
            <w:r w:rsidRPr="00A676AC">
              <w:rPr>
                <w:rFonts w:cs="Arial"/>
              </w:rPr>
              <w:t>imore, National Centre for Student Equity in Higher Education; Associate Professor Ryan Naylor, University of Sydney; and Dr Cathy Stone, University of Newcastle</w:t>
            </w:r>
          </w:p>
        </w:tc>
        <w:tc>
          <w:tcPr>
            <w:tcW w:w="2126" w:type="dxa"/>
          </w:tcPr>
          <w:p w14:paraId="5B360365"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t>30 May 2023</w:t>
            </w:r>
          </w:p>
        </w:tc>
      </w:tr>
      <w:tr w:rsidR="00CA2AD7" w:rsidRPr="00C4084C" w14:paraId="4094DAEB"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946" w:type="dxa"/>
          </w:tcPr>
          <w:p w14:paraId="5AA0088C" w14:textId="77777777" w:rsidR="00CA2AD7" w:rsidRPr="00F50407" w:rsidRDefault="00CA2AD7">
            <w:pPr>
              <w:spacing w:after="0"/>
              <w:rPr>
                <w:rFonts w:cs="Arial"/>
              </w:rPr>
            </w:pPr>
            <w:r w:rsidRPr="00A676AC">
              <w:rPr>
                <w:rFonts w:cs="Arial"/>
              </w:rPr>
              <w:t>Science and Technology Australia</w:t>
            </w:r>
          </w:p>
        </w:tc>
        <w:tc>
          <w:tcPr>
            <w:tcW w:w="2126" w:type="dxa"/>
          </w:tcPr>
          <w:p w14:paraId="4874B6C7"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25 July 2023</w:t>
            </w:r>
          </w:p>
        </w:tc>
      </w:tr>
      <w:tr w:rsidR="00CA2AD7" w:rsidRPr="00C4084C" w14:paraId="6BCBEBAE" w14:textId="77777777">
        <w:trPr>
          <w:trHeight w:val="390"/>
        </w:trPr>
        <w:tc>
          <w:tcPr>
            <w:cnfStyle w:val="001000000000" w:firstRow="0" w:lastRow="0" w:firstColumn="1" w:lastColumn="0" w:oddVBand="0" w:evenVBand="0" w:oddHBand="0" w:evenHBand="0" w:firstRowFirstColumn="0" w:firstRowLastColumn="0" w:lastRowFirstColumn="0" w:lastRowLastColumn="0"/>
            <w:tcW w:w="6946" w:type="dxa"/>
          </w:tcPr>
          <w:p w14:paraId="299F2F0E" w14:textId="77777777" w:rsidR="00CA2AD7" w:rsidRPr="00F50407" w:rsidRDefault="00CA2AD7">
            <w:pPr>
              <w:spacing w:after="0"/>
              <w:rPr>
                <w:rFonts w:cs="Arial"/>
              </w:rPr>
            </w:pPr>
            <w:r w:rsidRPr="00A676AC">
              <w:rPr>
                <w:rFonts w:cs="Arial"/>
              </w:rPr>
              <w:t>Emeritus Professor Bruce Chapman AO, Australian National University College of Business and Economics</w:t>
            </w:r>
          </w:p>
        </w:tc>
        <w:tc>
          <w:tcPr>
            <w:tcW w:w="2126" w:type="dxa"/>
          </w:tcPr>
          <w:p w14:paraId="5ADD0314"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t>8 August 2023</w:t>
            </w:r>
          </w:p>
        </w:tc>
      </w:tr>
      <w:tr w:rsidR="00CA2AD7" w:rsidRPr="00C4084C" w14:paraId="2C6B6809"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946" w:type="dxa"/>
          </w:tcPr>
          <w:p w14:paraId="091D751D" w14:textId="77777777" w:rsidR="00CA2AD7" w:rsidRPr="00F50407" w:rsidRDefault="00CA2AD7">
            <w:pPr>
              <w:spacing w:after="0"/>
              <w:rPr>
                <w:rFonts w:cs="Arial"/>
              </w:rPr>
            </w:pPr>
            <w:r w:rsidRPr="00A676AC">
              <w:rPr>
                <w:rFonts w:cs="Arial"/>
              </w:rPr>
              <w:t>Department of Social Services</w:t>
            </w:r>
          </w:p>
        </w:tc>
        <w:tc>
          <w:tcPr>
            <w:tcW w:w="2126" w:type="dxa"/>
          </w:tcPr>
          <w:p w14:paraId="4A229999"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22 August 2023</w:t>
            </w:r>
          </w:p>
        </w:tc>
      </w:tr>
      <w:tr w:rsidR="00CA2AD7" w:rsidRPr="00C4084C" w14:paraId="50B2F923" w14:textId="77777777">
        <w:trPr>
          <w:trHeight w:val="390"/>
        </w:trPr>
        <w:tc>
          <w:tcPr>
            <w:cnfStyle w:val="001000000000" w:firstRow="0" w:lastRow="0" w:firstColumn="1" w:lastColumn="0" w:oddVBand="0" w:evenVBand="0" w:oddHBand="0" w:evenHBand="0" w:firstRowFirstColumn="0" w:firstRowLastColumn="0" w:lastRowFirstColumn="0" w:lastRowLastColumn="0"/>
            <w:tcW w:w="6946" w:type="dxa"/>
          </w:tcPr>
          <w:p w14:paraId="2F82F8DD" w14:textId="77777777" w:rsidR="00CA2AD7" w:rsidRPr="00F50407" w:rsidRDefault="00CA2AD7">
            <w:pPr>
              <w:spacing w:after="0"/>
              <w:rPr>
                <w:rFonts w:cs="Arial"/>
              </w:rPr>
            </w:pPr>
            <w:r w:rsidRPr="00A676AC">
              <w:rPr>
                <w:rFonts w:cs="Arial"/>
              </w:rPr>
              <w:t>Emeritus Professor Bruce Chapman AO, Australian National University College of Business and Economics</w:t>
            </w:r>
          </w:p>
        </w:tc>
        <w:tc>
          <w:tcPr>
            <w:tcW w:w="2126" w:type="dxa"/>
          </w:tcPr>
          <w:p w14:paraId="4E91F6B9"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t>29 August 2023</w:t>
            </w:r>
          </w:p>
        </w:tc>
      </w:tr>
      <w:tr w:rsidR="00CA2AD7" w:rsidRPr="00C4084C" w14:paraId="571326CF"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946" w:type="dxa"/>
          </w:tcPr>
          <w:p w14:paraId="7D0C9D10" w14:textId="77777777" w:rsidR="00CA2AD7" w:rsidRPr="00F50407" w:rsidRDefault="00CA2AD7">
            <w:pPr>
              <w:spacing w:after="0"/>
              <w:rPr>
                <w:rFonts w:cs="Arial"/>
              </w:rPr>
            </w:pPr>
            <w:r w:rsidRPr="00A676AC">
              <w:rPr>
                <w:rFonts w:cs="Arial"/>
              </w:rPr>
              <w:t>Dr Stephen Duckett, Honorary Enterprise Professor, RMIT University</w:t>
            </w:r>
          </w:p>
        </w:tc>
        <w:tc>
          <w:tcPr>
            <w:tcW w:w="2126" w:type="dxa"/>
          </w:tcPr>
          <w:p w14:paraId="67F2577C"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5-6 September 2023</w:t>
            </w:r>
          </w:p>
        </w:tc>
      </w:tr>
      <w:tr w:rsidR="00CA2AD7" w:rsidRPr="00C4084C" w14:paraId="2C6FB34E" w14:textId="77777777">
        <w:trPr>
          <w:trHeight w:val="390"/>
        </w:trPr>
        <w:tc>
          <w:tcPr>
            <w:cnfStyle w:val="001000000000" w:firstRow="0" w:lastRow="0" w:firstColumn="1" w:lastColumn="0" w:oddVBand="0" w:evenVBand="0" w:oddHBand="0" w:evenHBand="0" w:firstRowFirstColumn="0" w:firstRowLastColumn="0" w:lastRowFirstColumn="0" w:lastRowLastColumn="0"/>
            <w:tcW w:w="6946" w:type="dxa"/>
          </w:tcPr>
          <w:p w14:paraId="14C4A938" w14:textId="77777777" w:rsidR="00CA2AD7" w:rsidRPr="00F50407" w:rsidRDefault="00CA2AD7">
            <w:pPr>
              <w:spacing w:after="0"/>
              <w:rPr>
                <w:rFonts w:cs="Arial"/>
              </w:rPr>
            </w:pPr>
            <w:r w:rsidRPr="00A676AC">
              <w:rPr>
                <w:rFonts w:cs="Arial"/>
              </w:rPr>
              <w:t>Department of Social Services</w:t>
            </w:r>
          </w:p>
        </w:tc>
        <w:tc>
          <w:tcPr>
            <w:tcW w:w="2126" w:type="dxa"/>
          </w:tcPr>
          <w:p w14:paraId="579C90E6"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t>19-20 September 2023</w:t>
            </w:r>
          </w:p>
        </w:tc>
      </w:tr>
      <w:tr w:rsidR="00CA2AD7" w:rsidRPr="00C4084C" w14:paraId="40F02B09"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946" w:type="dxa"/>
          </w:tcPr>
          <w:p w14:paraId="543E7274" w14:textId="77777777" w:rsidR="00CA2AD7" w:rsidRPr="00F50407" w:rsidRDefault="00CA2AD7">
            <w:pPr>
              <w:spacing w:after="0"/>
              <w:rPr>
                <w:rFonts w:cs="Arial"/>
              </w:rPr>
            </w:pPr>
            <w:r w:rsidRPr="00A676AC">
              <w:rPr>
                <w:rFonts w:cs="Arial"/>
              </w:rPr>
              <w:t>Tertiary Education Quality and Standards Agency</w:t>
            </w:r>
          </w:p>
        </w:tc>
        <w:tc>
          <w:tcPr>
            <w:tcW w:w="2126" w:type="dxa"/>
          </w:tcPr>
          <w:p w14:paraId="7AB9B20A"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19-20 September 2023</w:t>
            </w:r>
          </w:p>
        </w:tc>
      </w:tr>
      <w:tr w:rsidR="00CA2AD7" w:rsidRPr="00C4084C" w14:paraId="61FAA9EA" w14:textId="77777777">
        <w:trPr>
          <w:trHeight w:val="390"/>
        </w:trPr>
        <w:tc>
          <w:tcPr>
            <w:cnfStyle w:val="001000000000" w:firstRow="0" w:lastRow="0" w:firstColumn="1" w:lastColumn="0" w:oddVBand="0" w:evenVBand="0" w:oddHBand="0" w:evenHBand="0" w:firstRowFirstColumn="0" w:firstRowLastColumn="0" w:lastRowFirstColumn="0" w:lastRowLastColumn="0"/>
            <w:tcW w:w="6946" w:type="dxa"/>
          </w:tcPr>
          <w:p w14:paraId="58AFC66B" w14:textId="77777777" w:rsidR="00CA2AD7" w:rsidRPr="00F50407" w:rsidRDefault="00CA2AD7">
            <w:pPr>
              <w:spacing w:after="0"/>
              <w:rPr>
                <w:rFonts w:cs="Arial"/>
              </w:rPr>
            </w:pPr>
            <w:r w:rsidRPr="00A676AC">
              <w:rPr>
                <w:rFonts w:cs="Arial"/>
              </w:rPr>
              <w:t xml:space="preserve">Professor Peter Whiteford, Professor in the Crawford School of Public Policy, Australian National University </w:t>
            </w:r>
          </w:p>
        </w:tc>
        <w:tc>
          <w:tcPr>
            <w:tcW w:w="2126" w:type="dxa"/>
          </w:tcPr>
          <w:p w14:paraId="6A5BE204"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t>19 September 2023</w:t>
            </w:r>
          </w:p>
        </w:tc>
      </w:tr>
      <w:tr w:rsidR="00CA2AD7" w:rsidRPr="00C4084C" w14:paraId="63254385"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946" w:type="dxa"/>
          </w:tcPr>
          <w:p w14:paraId="68555683" w14:textId="77777777" w:rsidR="00CA2AD7" w:rsidRPr="00F50407" w:rsidRDefault="00CA2AD7">
            <w:pPr>
              <w:spacing w:after="0"/>
              <w:rPr>
                <w:rFonts w:cs="Arial"/>
              </w:rPr>
            </w:pPr>
            <w:r w:rsidRPr="00A676AC">
              <w:rPr>
                <w:rFonts w:cs="Arial"/>
              </w:rPr>
              <w:lastRenderedPageBreak/>
              <w:t>Professor Anthony Dooley, Australian Committee of Chairs of Academic Boards and Senates and Chair of the Academic Board, University of Technology Sydney</w:t>
            </w:r>
          </w:p>
        </w:tc>
        <w:tc>
          <w:tcPr>
            <w:tcW w:w="2126" w:type="dxa"/>
          </w:tcPr>
          <w:p w14:paraId="2CE4DDFF" w14:textId="616359FB"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19 September 2023</w:t>
            </w:r>
          </w:p>
        </w:tc>
      </w:tr>
      <w:tr w:rsidR="00CA2AD7" w:rsidRPr="00C4084C" w14:paraId="25057F93" w14:textId="77777777">
        <w:trPr>
          <w:trHeight w:val="390"/>
        </w:trPr>
        <w:tc>
          <w:tcPr>
            <w:cnfStyle w:val="001000000000" w:firstRow="0" w:lastRow="0" w:firstColumn="1" w:lastColumn="0" w:oddVBand="0" w:evenVBand="0" w:oddHBand="0" w:evenHBand="0" w:firstRowFirstColumn="0" w:firstRowLastColumn="0" w:lastRowFirstColumn="0" w:lastRowLastColumn="0"/>
            <w:tcW w:w="6946" w:type="dxa"/>
          </w:tcPr>
          <w:p w14:paraId="279C34E3" w14:textId="77777777" w:rsidR="00CA2AD7" w:rsidRPr="00F50407" w:rsidRDefault="00CA2AD7">
            <w:pPr>
              <w:rPr>
                <w:rFonts w:cstheme="minorHAnsi"/>
                <w:color w:val="000000"/>
                <w:shd w:val="clear" w:color="auto" w:fill="FFFFFF"/>
              </w:rPr>
            </w:pPr>
            <w:r w:rsidRPr="00A676AC">
              <w:rPr>
                <w:rStyle w:val="normaltextrun"/>
                <w:rFonts w:cstheme="minorHAnsi"/>
                <w:color w:val="000000"/>
                <w:shd w:val="clear" w:color="auto" w:fill="FFFFFF"/>
              </w:rPr>
              <w:t>Skills Senior Officials’ Network</w:t>
            </w:r>
            <w:r w:rsidRPr="00A676AC">
              <w:rPr>
                <w:rStyle w:val="eop"/>
                <w:rFonts w:cstheme="minorHAnsi"/>
                <w:color w:val="000000"/>
                <w:shd w:val="clear" w:color="auto" w:fill="FFFFFF"/>
              </w:rPr>
              <w:t> </w:t>
            </w:r>
          </w:p>
        </w:tc>
        <w:tc>
          <w:tcPr>
            <w:tcW w:w="2126" w:type="dxa"/>
          </w:tcPr>
          <w:p w14:paraId="2EA5ADB3" w14:textId="13DBA295"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t>20 September 2023</w:t>
            </w:r>
          </w:p>
        </w:tc>
      </w:tr>
      <w:tr w:rsidR="00CA2AD7" w:rsidRPr="00C4084C" w14:paraId="08CDF7E8"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946" w:type="dxa"/>
          </w:tcPr>
          <w:p w14:paraId="5EFBF22F" w14:textId="77777777" w:rsidR="00CA2AD7" w:rsidRPr="00F50407" w:rsidRDefault="00CA2AD7">
            <w:pPr>
              <w:spacing w:after="0"/>
              <w:rPr>
                <w:rFonts w:cs="Arial"/>
              </w:rPr>
            </w:pPr>
            <w:r w:rsidRPr="00A676AC">
              <w:rPr>
                <w:rFonts w:cs="Arial"/>
              </w:rPr>
              <w:t>Department of Social Services</w:t>
            </w:r>
          </w:p>
        </w:tc>
        <w:tc>
          <w:tcPr>
            <w:tcW w:w="2126" w:type="dxa"/>
          </w:tcPr>
          <w:p w14:paraId="0286CF5E"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17 October 2023</w:t>
            </w:r>
          </w:p>
        </w:tc>
      </w:tr>
      <w:tr w:rsidR="00CA2AD7" w:rsidRPr="00C4084C" w14:paraId="5B1A8A3C" w14:textId="77777777">
        <w:trPr>
          <w:trHeight w:val="390"/>
        </w:trPr>
        <w:tc>
          <w:tcPr>
            <w:cnfStyle w:val="001000000000" w:firstRow="0" w:lastRow="0" w:firstColumn="1" w:lastColumn="0" w:oddVBand="0" w:evenVBand="0" w:oddHBand="0" w:evenHBand="0" w:firstRowFirstColumn="0" w:firstRowLastColumn="0" w:lastRowFirstColumn="0" w:lastRowLastColumn="0"/>
            <w:tcW w:w="6946" w:type="dxa"/>
          </w:tcPr>
          <w:p w14:paraId="60AC3FF2" w14:textId="77777777" w:rsidR="00CA2AD7" w:rsidRPr="00F50407" w:rsidRDefault="00CA2AD7">
            <w:pPr>
              <w:spacing w:after="0"/>
              <w:rPr>
                <w:rFonts w:cs="Arial"/>
              </w:rPr>
            </w:pPr>
            <w:r w:rsidRPr="00A676AC">
              <w:rPr>
                <w:rFonts w:cs="Arial"/>
              </w:rPr>
              <w:t>Professor Kerri-Lee Krause, Vice-Chancellor, Avondale University</w:t>
            </w:r>
          </w:p>
        </w:tc>
        <w:tc>
          <w:tcPr>
            <w:tcW w:w="2126" w:type="dxa"/>
          </w:tcPr>
          <w:p w14:paraId="4B1E0E61"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t>7 November 2023</w:t>
            </w:r>
          </w:p>
        </w:tc>
      </w:tr>
      <w:tr w:rsidR="00CA2AD7" w:rsidRPr="00C4084C" w14:paraId="7B08F76C"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946" w:type="dxa"/>
          </w:tcPr>
          <w:p w14:paraId="24360853" w14:textId="77777777" w:rsidR="00CA2AD7" w:rsidRPr="00F50407" w:rsidRDefault="00CA2AD7">
            <w:pPr>
              <w:spacing w:after="0"/>
              <w:rPr>
                <w:rFonts w:cs="Arial"/>
              </w:rPr>
            </w:pPr>
            <w:r w:rsidRPr="00A676AC">
              <w:rPr>
                <w:rFonts w:cs="Arial"/>
              </w:rPr>
              <w:t>Department of Social Services</w:t>
            </w:r>
          </w:p>
        </w:tc>
        <w:tc>
          <w:tcPr>
            <w:tcW w:w="2126" w:type="dxa"/>
          </w:tcPr>
          <w:p w14:paraId="47EA1A8A"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7 November 2023</w:t>
            </w:r>
          </w:p>
        </w:tc>
      </w:tr>
    </w:tbl>
    <w:p w14:paraId="2208DB87" w14:textId="77777777" w:rsidR="00CA2AD7" w:rsidRPr="00C4084C" w:rsidRDefault="00CA2AD7" w:rsidP="006973B0">
      <w:pPr>
        <w:pStyle w:val="Non-numberedHeading3"/>
      </w:pPr>
      <w:r w:rsidRPr="00C4084C">
        <w:t>Meetings with universities, university groups and other providers</w:t>
      </w:r>
    </w:p>
    <w:p w14:paraId="48DA9618" w14:textId="4BA450B6" w:rsidR="00CA2AD7" w:rsidRPr="00C4084C" w:rsidRDefault="00CA2AD7" w:rsidP="00CA2AD7">
      <w:pPr>
        <w:rPr>
          <w:rFonts w:cs="Arial"/>
        </w:rPr>
      </w:pPr>
      <w:r w:rsidRPr="00C4084C">
        <w:rPr>
          <w:rFonts w:cs="Arial"/>
        </w:rPr>
        <w:t xml:space="preserve">The Panel held and/or attended the following meetings with higher education providers and groups, including meetings of university </w:t>
      </w:r>
      <w:r w:rsidRPr="00C4084C">
        <w:t xml:space="preserve">Vice-Chancellors, Deputy </w:t>
      </w:r>
      <w:proofErr w:type="gramStart"/>
      <w:r w:rsidRPr="00C4084C">
        <w:t>Vice-Chancellors</w:t>
      </w:r>
      <w:proofErr w:type="gramEnd"/>
      <w:r w:rsidRPr="00C4084C">
        <w:t xml:space="preserve"> and Pro Vice-Chancellors</w:t>
      </w:r>
      <w:r w:rsidRPr="00C4084C">
        <w:rPr>
          <w:rFonts w:cs="Arial"/>
        </w:rPr>
        <w:t>.</w:t>
      </w:r>
    </w:p>
    <w:tbl>
      <w:tblPr>
        <w:tblStyle w:val="ListTable2-Accent3"/>
        <w:tblW w:w="9072" w:type="dxa"/>
        <w:tblLook w:val="04A0" w:firstRow="1" w:lastRow="0" w:firstColumn="1" w:lastColumn="0" w:noHBand="0" w:noVBand="1"/>
      </w:tblPr>
      <w:tblGrid>
        <w:gridCol w:w="7088"/>
        <w:gridCol w:w="1984"/>
      </w:tblGrid>
      <w:tr w:rsidR="00CA2AD7" w:rsidRPr="00C4084C" w14:paraId="5EE759B4" w14:textId="77777777">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7088" w:type="dxa"/>
          </w:tcPr>
          <w:p w14:paraId="04BCFE93" w14:textId="77777777" w:rsidR="00CA2AD7" w:rsidRPr="00C4084C" w:rsidRDefault="00CA2AD7">
            <w:pPr>
              <w:spacing w:after="0"/>
              <w:rPr>
                <w:rFonts w:cs="Arial"/>
              </w:rPr>
            </w:pPr>
            <w:r w:rsidRPr="00C4084C">
              <w:rPr>
                <w:rFonts w:cs="Arial"/>
              </w:rPr>
              <w:t>Consultation</w:t>
            </w:r>
          </w:p>
        </w:tc>
        <w:tc>
          <w:tcPr>
            <w:tcW w:w="1984" w:type="dxa"/>
          </w:tcPr>
          <w:p w14:paraId="617EF76F" w14:textId="77777777" w:rsidR="00CA2AD7" w:rsidRPr="00C4084C" w:rsidRDefault="00CA2AD7">
            <w:pPr>
              <w:spacing w:after="0"/>
              <w:cnfStyle w:val="100000000000" w:firstRow="1" w:lastRow="0" w:firstColumn="0" w:lastColumn="0" w:oddVBand="0" w:evenVBand="0" w:oddHBand="0" w:evenHBand="0" w:firstRowFirstColumn="0" w:firstRowLastColumn="0" w:lastRowFirstColumn="0" w:lastRowLastColumn="0"/>
              <w:rPr>
                <w:rFonts w:cs="Arial"/>
              </w:rPr>
            </w:pPr>
            <w:r w:rsidRPr="00C4084C">
              <w:rPr>
                <w:rFonts w:cs="Arial"/>
              </w:rPr>
              <w:t>Date</w:t>
            </w:r>
          </w:p>
        </w:tc>
      </w:tr>
      <w:tr w:rsidR="00CA2AD7" w:rsidRPr="00C4084C" w14:paraId="33D48D0C"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6C693C4F" w14:textId="12799A2A" w:rsidR="00CA2AD7" w:rsidRPr="00C4084C" w:rsidRDefault="00CA2AD7">
            <w:pPr>
              <w:spacing w:after="0"/>
              <w:rPr>
                <w:rFonts w:cs="Arial"/>
              </w:rPr>
            </w:pPr>
            <w:r w:rsidRPr="00C4084C">
              <w:rPr>
                <w:rFonts w:cstheme="minorHAnsi"/>
                <w:spacing w:val="-4"/>
              </w:rPr>
              <w:t>Professor Rufus Black, Vice-Chancellor, University of Tasmania, and</w:t>
            </w:r>
            <w:r w:rsidRPr="00C4084C">
              <w:rPr>
                <w:rFonts w:cstheme="minorHAnsi"/>
                <w:b w:val="0"/>
                <w:bCs w:val="0"/>
                <w:spacing w:val="-4"/>
              </w:rPr>
              <w:t xml:space="preserve"> </w:t>
            </w:r>
            <w:r w:rsidRPr="00C4084C">
              <w:rPr>
                <w:rFonts w:cstheme="minorHAnsi"/>
                <w:spacing w:val="-4"/>
              </w:rPr>
              <w:t>Mr Terry Bailey, Executive Dean, College of Sciences and Engineering, University of Tasmania</w:t>
            </w:r>
          </w:p>
        </w:tc>
        <w:tc>
          <w:tcPr>
            <w:tcW w:w="1984" w:type="dxa"/>
          </w:tcPr>
          <w:p w14:paraId="1C3B8E73"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theme="minorHAnsi"/>
                <w:spacing w:val="-4"/>
              </w:rPr>
              <w:t>25 November 2022</w:t>
            </w:r>
          </w:p>
        </w:tc>
      </w:tr>
      <w:tr w:rsidR="00CA2AD7" w:rsidRPr="00C4084C" w14:paraId="19023309"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shd w:val="clear" w:color="auto" w:fill="auto"/>
          </w:tcPr>
          <w:p w14:paraId="7C33D2D5" w14:textId="7C2F0E91" w:rsidR="00CA2AD7" w:rsidRPr="00C4084C" w:rsidRDefault="00CA2AD7">
            <w:pPr>
              <w:spacing w:after="0"/>
              <w:rPr>
                <w:rFonts w:cs="Arial"/>
              </w:rPr>
            </w:pPr>
            <w:r w:rsidRPr="00C4084C">
              <w:rPr>
                <w:rFonts w:cstheme="minorHAnsi"/>
                <w:spacing w:val="-4"/>
              </w:rPr>
              <w:t>Professor Brian Schmidt</w:t>
            </w:r>
            <w:r w:rsidR="00FA3B9A">
              <w:rPr>
                <w:rFonts w:cstheme="minorHAnsi"/>
                <w:spacing w:val="-4"/>
              </w:rPr>
              <w:t xml:space="preserve"> AC</w:t>
            </w:r>
            <w:r w:rsidRPr="00C4084C">
              <w:rPr>
                <w:rFonts w:cstheme="minorHAnsi"/>
                <w:spacing w:val="-4"/>
              </w:rPr>
              <w:t>, Vice-Chancellor, Australian National University</w:t>
            </w:r>
          </w:p>
        </w:tc>
        <w:tc>
          <w:tcPr>
            <w:tcW w:w="1984" w:type="dxa"/>
            <w:shd w:val="clear" w:color="auto" w:fill="auto"/>
          </w:tcPr>
          <w:p w14:paraId="6B2C2E89"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theme="minorHAnsi"/>
                <w:spacing w:val="-4"/>
              </w:rPr>
              <w:t>1 December 2022</w:t>
            </w:r>
          </w:p>
        </w:tc>
      </w:tr>
      <w:tr w:rsidR="00CA2AD7" w:rsidRPr="00C4084C" w14:paraId="609EA5C0"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046C9E17" w14:textId="77777777" w:rsidR="00CA2AD7" w:rsidRPr="00C4084C" w:rsidRDefault="00CA2AD7">
            <w:pPr>
              <w:spacing w:after="0"/>
              <w:rPr>
                <w:rFonts w:cs="Arial"/>
              </w:rPr>
            </w:pPr>
            <w:r w:rsidRPr="00C4084C">
              <w:rPr>
                <w:rFonts w:cstheme="minorHAnsi"/>
                <w:spacing w:val="-4"/>
              </w:rPr>
              <w:t>Professor Alec Cameron, Vice-Chancellor, RMIT University</w:t>
            </w:r>
          </w:p>
        </w:tc>
        <w:tc>
          <w:tcPr>
            <w:tcW w:w="1984" w:type="dxa"/>
          </w:tcPr>
          <w:p w14:paraId="55F98636"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theme="minorHAnsi"/>
                <w:spacing w:val="-4"/>
              </w:rPr>
              <w:t>2 December 2022</w:t>
            </w:r>
          </w:p>
        </w:tc>
      </w:tr>
      <w:tr w:rsidR="00CA2AD7" w:rsidRPr="00C4084C" w14:paraId="245311EB"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41499250" w14:textId="77777777" w:rsidR="00CA2AD7" w:rsidRPr="00C4084C" w:rsidRDefault="00CA2AD7">
            <w:pPr>
              <w:spacing w:after="0"/>
              <w:rPr>
                <w:rFonts w:cs="Arial"/>
                <w:b w:val="0"/>
                <w:bCs w:val="0"/>
              </w:rPr>
            </w:pPr>
            <w:r w:rsidRPr="00C4084C">
              <w:rPr>
                <w:rFonts w:cstheme="minorHAnsi"/>
                <w:spacing w:val="-4"/>
              </w:rPr>
              <w:t>Western Australian Vice-Chancellors and university senior executives</w:t>
            </w:r>
          </w:p>
        </w:tc>
        <w:tc>
          <w:tcPr>
            <w:tcW w:w="1984" w:type="dxa"/>
          </w:tcPr>
          <w:p w14:paraId="3E7EDF8E"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theme="minorHAnsi"/>
                <w:spacing w:val="-4"/>
              </w:rPr>
              <w:t>9 December 2022</w:t>
            </w:r>
          </w:p>
        </w:tc>
      </w:tr>
      <w:tr w:rsidR="00CA2AD7" w:rsidRPr="00C4084C" w14:paraId="7377B7A5"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21E33B37" w14:textId="77777777" w:rsidR="00CA2AD7" w:rsidRPr="00C4084C" w:rsidRDefault="00CA2AD7">
            <w:pPr>
              <w:spacing w:after="0"/>
              <w:rPr>
                <w:rFonts w:cstheme="minorHAnsi"/>
                <w:spacing w:val="-4"/>
              </w:rPr>
            </w:pPr>
            <w:r w:rsidRPr="00C4084C">
              <w:rPr>
                <w:rFonts w:cstheme="minorHAnsi"/>
                <w:spacing w:val="-4"/>
              </w:rPr>
              <w:t>The Hon Professor Verity Firth AM, Pro Vice-Chancellor (Social Justice &amp; Inclusion), University of Technology Sydney</w:t>
            </w:r>
          </w:p>
        </w:tc>
        <w:tc>
          <w:tcPr>
            <w:tcW w:w="1984" w:type="dxa"/>
          </w:tcPr>
          <w:p w14:paraId="25637477"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theme="minorHAnsi"/>
                <w:spacing w:val="-4"/>
              </w:rPr>
              <w:t>6 January 2023</w:t>
            </w:r>
          </w:p>
        </w:tc>
      </w:tr>
      <w:tr w:rsidR="00CA2AD7" w:rsidRPr="00C4084C" w14:paraId="4D25C0BD"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52CD1A8B" w14:textId="661284CE" w:rsidR="00CA2AD7" w:rsidRPr="00C4084C" w:rsidRDefault="00CA2AD7">
            <w:pPr>
              <w:spacing w:after="0"/>
              <w:rPr>
                <w:rFonts w:cs="Arial"/>
              </w:rPr>
            </w:pPr>
            <w:r w:rsidRPr="00C4084C">
              <w:rPr>
                <w:rFonts w:cs="Arial"/>
              </w:rPr>
              <w:t>The South Australia Vice-Chancellors’ Committee (SAVCC)</w:t>
            </w:r>
          </w:p>
        </w:tc>
        <w:tc>
          <w:tcPr>
            <w:tcW w:w="1984" w:type="dxa"/>
          </w:tcPr>
          <w:p w14:paraId="21802C07"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t>17 January 2023</w:t>
            </w:r>
          </w:p>
        </w:tc>
      </w:tr>
      <w:tr w:rsidR="00CA2AD7" w:rsidRPr="00C4084C" w14:paraId="56B48C79"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3C5FF557" w14:textId="460DDB39" w:rsidR="00CA2AD7" w:rsidRPr="00C4084C" w:rsidRDefault="00CA2AD7">
            <w:pPr>
              <w:tabs>
                <w:tab w:val="left" w:pos="1540"/>
              </w:tabs>
              <w:spacing w:after="0"/>
              <w:rPr>
                <w:rFonts w:cs="Arial"/>
              </w:rPr>
            </w:pPr>
            <w:r w:rsidRPr="00C4084C">
              <w:rPr>
                <w:rFonts w:cs="Arial"/>
              </w:rPr>
              <w:t>The Victorian Vice-Chancellors Committee (VVCC)</w:t>
            </w:r>
            <w:r w:rsidRPr="00C4084C">
              <w:rPr>
                <w:rFonts w:cs="Arial"/>
              </w:rPr>
              <w:tab/>
            </w:r>
          </w:p>
        </w:tc>
        <w:tc>
          <w:tcPr>
            <w:tcW w:w="1984" w:type="dxa"/>
          </w:tcPr>
          <w:p w14:paraId="4853ECE9"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20 January 2023</w:t>
            </w:r>
          </w:p>
        </w:tc>
      </w:tr>
      <w:tr w:rsidR="00CA2AD7" w:rsidRPr="00C4084C" w14:paraId="51FABE77"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677DD206" w14:textId="77777777" w:rsidR="00CA2AD7" w:rsidRPr="00C4084C" w:rsidRDefault="00CA2AD7">
            <w:pPr>
              <w:spacing w:after="0"/>
              <w:rPr>
                <w:rFonts w:cs="Arial"/>
              </w:rPr>
            </w:pPr>
            <w:r w:rsidRPr="00C4084C">
              <w:rPr>
                <w:rFonts w:cstheme="minorHAnsi"/>
                <w:spacing w:val="-4"/>
              </w:rPr>
              <w:t>Professor Margaret Gardner AC, Vice-Chancellor,</w:t>
            </w:r>
            <w:r w:rsidRPr="00C4084C">
              <w:rPr>
                <w:rFonts w:cstheme="minorHAnsi"/>
              </w:rPr>
              <w:t xml:space="preserve"> Monash University</w:t>
            </w:r>
          </w:p>
        </w:tc>
        <w:tc>
          <w:tcPr>
            <w:tcW w:w="1984" w:type="dxa"/>
          </w:tcPr>
          <w:p w14:paraId="60EF28BD"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theme="minorHAnsi"/>
                <w:spacing w:val="-4"/>
              </w:rPr>
              <w:t>20 January 2023</w:t>
            </w:r>
          </w:p>
        </w:tc>
      </w:tr>
      <w:tr w:rsidR="00CA2AD7" w:rsidRPr="00C4084C" w14:paraId="493C6D11"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1B69B2F9" w14:textId="4185B24D" w:rsidR="00CA2AD7" w:rsidRPr="00C4084C" w:rsidRDefault="00655397">
            <w:pPr>
              <w:spacing w:after="0"/>
              <w:rPr>
                <w:rFonts w:cstheme="minorHAnsi"/>
                <w:spacing w:val="-4"/>
              </w:rPr>
            </w:pPr>
            <w:r w:rsidRPr="00C4084C">
              <w:rPr>
                <w:rFonts w:cstheme="minorHAnsi"/>
                <w:spacing w:val="-4"/>
              </w:rPr>
              <w:t>Professor Scott Bowman AO, Vice Chancellor and President, and Deputy Vice-Chancellors of Charles Darwin University</w:t>
            </w:r>
          </w:p>
        </w:tc>
        <w:tc>
          <w:tcPr>
            <w:tcW w:w="1984" w:type="dxa"/>
          </w:tcPr>
          <w:p w14:paraId="4103C8D5"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spacing w:val="-4"/>
              </w:rPr>
            </w:pPr>
            <w:r w:rsidRPr="00C4084C">
              <w:rPr>
                <w:rFonts w:cstheme="minorHAnsi"/>
                <w:spacing w:val="-4"/>
              </w:rPr>
              <w:t>3 February 2023</w:t>
            </w:r>
          </w:p>
        </w:tc>
      </w:tr>
      <w:tr w:rsidR="00CA2AD7" w:rsidRPr="00C4084C" w14:paraId="183E7D4B"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2E310F47" w14:textId="77777777" w:rsidR="00CA2AD7" w:rsidRPr="00C4084C" w:rsidRDefault="00CA2AD7">
            <w:pPr>
              <w:spacing w:after="0"/>
              <w:rPr>
                <w:rFonts w:cs="Arial"/>
              </w:rPr>
            </w:pPr>
            <w:r w:rsidRPr="00C4084C">
              <w:rPr>
                <w:rFonts w:cstheme="minorHAnsi"/>
                <w:spacing w:val="-4"/>
              </w:rPr>
              <w:t>Universities Australia Board</w:t>
            </w:r>
          </w:p>
        </w:tc>
        <w:tc>
          <w:tcPr>
            <w:tcW w:w="1984" w:type="dxa"/>
          </w:tcPr>
          <w:p w14:paraId="2B23D210"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theme="minorHAnsi"/>
                <w:spacing w:val="-4"/>
              </w:rPr>
              <w:t>6 February 2023</w:t>
            </w:r>
          </w:p>
        </w:tc>
      </w:tr>
      <w:tr w:rsidR="00CA2AD7" w:rsidRPr="00C4084C" w14:paraId="5365B268"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305952AE" w14:textId="77777777" w:rsidR="00CA2AD7" w:rsidRPr="00C4084C" w:rsidRDefault="00CA2AD7">
            <w:pPr>
              <w:spacing w:after="0"/>
              <w:rPr>
                <w:rFonts w:cs="Arial"/>
              </w:rPr>
            </w:pPr>
            <w:r w:rsidRPr="00C4084C">
              <w:rPr>
                <w:rFonts w:cstheme="minorHAnsi"/>
                <w:spacing w:val="-4"/>
              </w:rPr>
              <w:t>Batchelor Institute of Indigenous Tertiary Education</w:t>
            </w:r>
          </w:p>
        </w:tc>
        <w:tc>
          <w:tcPr>
            <w:tcW w:w="1984" w:type="dxa"/>
          </w:tcPr>
          <w:p w14:paraId="6DC5AC08"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theme="minorHAnsi"/>
                <w:spacing w:val="-4"/>
              </w:rPr>
              <w:t>8 February 2023</w:t>
            </w:r>
          </w:p>
        </w:tc>
      </w:tr>
      <w:tr w:rsidR="00CA2AD7" w:rsidRPr="00C4084C" w14:paraId="0B6FBA1D"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7F7A113A" w14:textId="77777777" w:rsidR="00CA2AD7" w:rsidRPr="00C4084C" w:rsidRDefault="00CA2AD7">
            <w:pPr>
              <w:spacing w:after="0"/>
              <w:rPr>
                <w:rFonts w:cs="Arial"/>
              </w:rPr>
            </w:pPr>
            <w:r w:rsidRPr="00C4084C">
              <w:rPr>
                <w:rFonts w:cstheme="minorHAnsi"/>
                <w:spacing w:val="-4"/>
              </w:rPr>
              <w:t>Professor Attila Brungs, Vice-Chancellor and President, University of New South Wales</w:t>
            </w:r>
          </w:p>
        </w:tc>
        <w:tc>
          <w:tcPr>
            <w:tcW w:w="1984" w:type="dxa"/>
          </w:tcPr>
          <w:p w14:paraId="08F3C8EC"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theme="minorHAnsi"/>
                <w:spacing w:val="-4"/>
              </w:rPr>
              <w:t>9 February 2023</w:t>
            </w:r>
          </w:p>
        </w:tc>
      </w:tr>
      <w:tr w:rsidR="00CA2AD7" w:rsidRPr="00C4084C" w14:paraId="2F23CC17"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58439CBC" w14:textId="3F43940D" w:rsidR="00CA2AD7" w:rsidRPr="00C4084C" w:rsidRDefault="00CA2AD7">
            <w:pPr>
              <w:spacing w:after="0"/>
              <w:rPr>
                <w:rFonts w:cs="Arial"/>
              </w:rPr>
            </w:pPr>
            <w:r w:rsidRPr="00C4084C">
              <w:rPr>
                <w:rFonts w:cs="Arial"/>
              </w:rPr>
              <w:t>New South Wales Vice-Chancellors Committee (NSWVCC)</w:t>
            </w:r>
          </w:p>
        </w:tc>
        <w:tc>
          <w:tcPr>
            <w:tcW w:w="1984" w:type="dxa"/>
          </w:tcPr>
          <w:p w14:paraId="34E0CCF6"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9 February 2023</w:t>
            </w:r>
          </w:p>
        </w:tc>
      </w:tr>
      <w:tr w:rsidR="00CA2AD7" w:rsidRPr="00C4084C" w14:paraId="163F0060"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0B595637" w14:textId="77777777" w:rsidR="00CA2AD7" w:rsidRPr="00C4084C" w:rsidRDefault="00CA2AD7">
            <w:pPr>
              <w:spacing w:after="0"/>
              <w:rPr>
                <w:rFonts w:cs="Arial"/>
              </w:rPr>
            </w:pPr>
            <w:r w:rsidRPr="00C4084C">
              <w:rPr>
                <w:rFonts w:cstheme="minorHAnsi"/>
                <w:spacing w:val="-4"/>
              </w:rPr>
              <w:t>Professor Robyn Ward, Executive Dean and Pro Vice-Chancellor Medicine and Health, University of Sydney</w:t>
            </w:r>
          </w:p>
        </w:tc>
        <w:tc>
          <w:tcPr>
            <w:tcW w:w="1984" w:type="dxa"/>
          </w:tcPr>
          <w:p w14:paraId="7D4D36DF"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theme="minorHAnsi"/>
                <w:spacing w:val="-4"/>
              </w:rPr>
              <w:t>14 February 2023</w:t>
            </w:r>
          </w:p>
        </w:tc>
      </w:tr>
      <w:tr w:rsidR="00CA2AD7" w:rsidRPr="00C4084C" w14:paraId="1A09D3A4"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09FE23FE" w14:textId="77777777" w:rsidR="00CA2AD7" w:rsidRPr="00C4084C" w:rsidRDefault="00CA2AD7">
            <w:pPr>
              <w:spacing w:after="0"/>
              <w:rPr>
                <w:rFonts w:cs="Arial"/>
              </w:rPr>
            </w:pPr>
            <w:r w:rsidRPr="00C4084C">
              <w:rPr>
                <w:rFonts w:cs="Arial"/>
              </w:rPr>
              <w:t>Universities Australia Deputy Vice-Chancellors (Academic) Group Executive</w:t>
            </w:r>
          </w:p>
        </w:tc>
        <w:tc>
          <w:tcPr>
            <w:tcW w:w="1984" w:type="dxa"/>
          </w:tcPr>
          <w:p w14:paraId="75B774D4"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20 February 2023</w:t>
            </w:r>
          </w:p>
        </w:tc>
      </w:tr>
      <w:tr w:rsidR="00CA2AD7" w:rsidRPr="00C4084C" w14:paraId="2826B931"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06090057" w14:textId="77777777" w:rsidR="00CA2AD7" w:rsidRPr="00C4084C" w:rsidRDefault="00CA2AD7">
            <w:pPr>
              <w:spacing w:after="0"/>
              <w:rPr>
                <w:rFonts w:cs="Arial"/>
              </w:rPr>
            </w:pPr>
            <w:r w:rsidRPr="00C4084C">
              <w:rPr>
                <w:rFonts w:cstheme="minorHAnsi"/>
                <w:spacing w:val="-4"/>
              </w:rPr>
              <w:t>Professor Margaret Sheil AO, Vice-Chancellor, Queensland University of Technology</w:t>
            </w:r>
          </w:p>
        </w:tc>
        <w:tc>
          <w:tcPr>
            <w:tcW w:w="1984" w:type="dxa"/>
          </w:tcPr>
          <w:p w14:paraId="225EC134"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theme="minorHAnsi"/>
                <w:spacing w:val="-4"/>
              </w:rPr>
              <w:t>28 February 2023</w:t>
            </w:r>
          </w:p>
        </w:tc>
      </w:tr>
      <w:tr w:rsidR="00CA2AD7" w:rsidRPr="00C4084C" w14:paraId="5F6E6536"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709B4359" w14:textId="1E937A3C" w:rsidR="00CA2AD7" w:rsidRPr="00C4084C" w:rsidRDefault="00CA2AD7">
            <w:pPr>
              <w:spacing w:after="0"/>
              <w:rPr>
                <w:rFonts w:cs="Arial"/>
              </w:rPr>
            </w:pPr>
            <w:r w:rsidRPr="00C4084C">
              <w:rPr>
                <w:rFonts w:cs="Arial"/>
              </w:rPr>
              <w:t>Queensland Vice-Chancellor</w:t>
            </w:r>
            <w:r w:rsidR="005959E0">
              <w:rPr>
                <w:rFonts w:cs="Arial"/>
              </w:rPr>
              <w:t>s</w:t>
            </w:r>
            <w:r w:rsidRPr="00C4084C">
              <w:rPr>
                <w:rFonts w:cs="Arial"/>
              </w:rPr>
              <w:t xml:space="preserve"> Committee (QVCC)</w:t>
            </w:r>
          </w:p>
        </w:tc>
        <w:tc>
          <w:tcPr>
            <w:tcW w:w="1984" w:type="dxa"/>
          </w:tcPr>
          <w:p w14:paraId="0F73902A"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28 February 2023</w:t>
            </w:r>
          </w:p>
        </w:tc>
      </w:tr>
      <w:tr w:rsidR="00CA2AD7" w:rsidRPr="00C4084C" w14:paraId="7339A219" w14:textId="77777777">
        <w:trPr>
          <w:trHeight w:val="420"/>
        </w:trPr>
        <w:tc>
          <w:tcPr>
            <w:cnfStyle w:val="001000000000" w:firstRow="0" w:lastRow="0" w:firstColumn="1" w:lastColumn="0" w:oddVBand="0" w:evenVBand="0" w:oddHBand="0" w:evenHBand="0" w:firstRowFirstColumn="0" w:firstRowLastColumn="0" w:lastRowFirstColumn="0" w:lastRowLastColumn="0"/>
            <w:tcW w:w="7088" w:type="dxa"/>
          </w:tcPr>
          <w:p w14:paraId="292DAD2C" w14:textId="18BC904D" w:rsidR="00CA2AD7" w:rsidRPr="00C4084C" w:rsidRDefault="00CA2AD7">
            <w:pPr>
              <w:spacing w:after="0"/>
              <w:rPr>
                <w:rFonts w:cs="Arial"/>
              </w:rPr>
            </w:pPr>
            <w:r w:rsidRPr="00C4084C">
              <w:rPr>
                <w:rFonts w:cstheme="minorHAnsi"/>
                <w:spacing w:val="-4"/>
              </w:rPr>
              <w:t xml:space="preserve">Universities Australia </w:t>
            </w:r>
            <w:r w:rsidR="00884957" w:rsidRPr="00C4084C">
              <w:rPr>
                <w:rFonts w:cs="Arial"/>
              </w:rPr>
              <w:t xml:space="preserve">Deputy Vice-Chancellors </w:t>
            </w:r>
            <w:r w:rsidR="00884957">
              <w:rPr>
                <w:rFonts w:cs="Arial"/>
              </w:rPr>
              <w:t>(Research)</w:t>
            </w:r>
            <w:r w:rsidRPr="00C4084C">
              <w:rPr>
                <w:rFonts w:cstheme="minorHAnsi"/>
                <w:spacing w:val="-4"/>
              </w:rPr>
              <w:t xml:space="preserve"> Executive Team </w:t>
            </w:r>
          </w:p>
        </w:tc>
        <w:tc>
          <w:tcPr>
            <w:tcW w:w="1984" w:type="dxa"/>
          </w:tcPr>
          <w:p w14:paraId="585941AE"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theme="minorHAnsi"/>
                <w:spacing w:val="-4"/>
              </w:rPr>
              <w:t>14 March 2023</w:t>
            </w:r>
          </w:p>
        </w:tc>
      </w:tr>
      <w:tr w:rsidR="00CA2AD7" w:rsidRPr="00C4084C" w14:paraId="119186D1" w14:textId="7777777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88" w:type="dxa"/>
          </w:tcPr>
          <w:p w14:paraId="050C9CE3" w14:textId="40EA36E4" w:rsidR="00CA2AD7" w:rsidRPr="00C4084C" w:rsidRDefault="00CA2AD7">
            <w:pPr>
              <w:spacing w:after="0"/>
              <w:rPr>
                <w:rFonts w:cs="Arial"/>
              </w:rPr>
            </w:pPr>
            <w:r w:rsidRPr="00C4084C">
              <w:rPr>
                <w:rFonts w:cstheme="minorHAnsi"/>
                <w:spacing w:val="-4"/>
              </w:rPr>
              <w:t>University of Melbourne V</w:t>
            </w:r>
            <w:r w:rsidR="00884957">
              <w:rPr>
                <w:rFonts w:cstheme="minorHAnsi"/>
                <w:spacing w:val="-4"/>
              </w:rPr>
              <w:t>ice-</w:t>
            </w:r>
            <w:r w:rsidRPr="00C4084C">
              <w:rPr>
                <w:rFonts w:cstheme="minorHAnsi"/>
                <w:spacing w:val="-4"/>
              </w:rPr>
              <w:t>C</w:t>
            </w:r>
            <w:r w:rsidR="00884957">
              <w:rPr>
                <w:rFonts w:cstheme="minorHAnsi"/>
                <w:spacing w:val="-4"/>
              </w:rPr>
              <w:t>hancellor</w:t>
            </w:r>
            <w:r w:rsidR="00B12709">
              <w:rPr>
                <w:rFonts w:cstheme="minorHAnsi"/>
                <w:spacing w:val="-4"/>
              </w:rPr>
              <w:t>’</w:t>
            </w:r>
            <w:r w:rsidR="00884957">
              <w:rPr>
                <w:rFonts w:cstheme="minorHAnsi"/>
                <w:spacing w:val="-4"/>
              </w:rPr>
              <w:t>s</w:t>
            </w:r>
            <w:r w:rsidRPr="00C4084C">
              <w:rPr>
                <w:rFonts w:cstheme="minorHAnsi"/>
                <w:spacing w:val="-4"/>
              </w:rPr>
              <w:t xml:space="preserve"> Executive Team</w:t>
            </w:r>
          </w:p>
        </w:tc>
        <w:tc>
          <w:tcPr>
            <w:tcW w:w="1984" w:type="dxa"/>
          </w:tcPr>
          <w:p w14:paraId="4FEB510F"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theme="minorHAnsi"/>
                <w:spacing w:val="-4"/>
              </w:rPr>
              <w:t>14 March 2023</w:t>
            </w:r>
          </w:p>
        </w:tc>
      </w:tr>
      <w:tr w:rsidR="00CA2AD7" w:rsidRPr="00C4084C" w14:paraId="1D02DC78" w14:textId="77777777">
        <w:trPr>
          <w:trHeight w:val="420"/>
        </w:trPr>
        <w:tc>
          <w:tcPr>
            <w:cnfStyle w:val="001000000000" w:firstRow="0" w:lastRow="0" w:firstColumn="1" w:lastColumn="0" w:oddVBand="0" w:evenVBand="0" w:oddHBand="0" w:evenHBand="0" w:firstRowFirstColumn="0" w:firstRowLastColumn="0" w:lastRowFirstColumn="0" w:lastRowLastColumn="0"/>
            <w:tcW w:w="7088" w:type="dxa"/>
          </w:tcPr>
          <w:p w14:paraId="16EDB5A7" w14:textId="5C73D5B9" w:rsidR="00CA2AD7" w:rsidRPr="00C4084C" w:rsidRDefault="00CA2AD7">
            <w:pPr>
              <w:spacing w:after="0"/>
              <w:rPr>
                <w:rFonts w:cstheme="minorHAnsi"/>
                <w:spacing w:val="-4"/>
              </w:rPr>
            </w:pPr>
            <w:r w:rsidRPr="00C4084C">
              <w:rPr>
                <w:rFonts w:cs="Arial"/>
              </w:rPr>
              <w:t>Professor Pascale Quester,</w:t>
            </w:r>
            <w:r w:rsidRPr="00C4084C">
              <w:t xml:space="preserve"> </w:t>
            </w:r>
            <w:r w:rsidRPr="00C4084C">
              <w:rPr>
                <w:rFonts w:cs="Arial"/>
              </w:rPr>
              <w:t>Vice-</w:t>
            </w:r>
            <w:r w:rsidR="00655397" w:rsidRPr="00C4084C">
              <w:rPr>
                <w:rFonts w:cs="Arial"/>
              </w:rPr>
              <w:t>C</w:t>
            </w:r>
            <w:r w:rsidRPr="00C4084C">
              <w:rPr>
                <w:rFonts w:cs="Arial"/>
              </w:rPr>
              <w:t>hancellor, Swinburne University of Technology</w:t>
            </w:r>
          </w:p>
        </w:tc>
        <w:tc>
          <w:tcPr>
            <w:tcW w:w="1984" w:type="dxa"/>
          </w:tcPr>
          <w:p w14:paraId="385E8436" w14:textId="52ECDF18"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spacing w:val="-4"/>
              </w:rPr>
            </w:pPr>
            <w:r w:rsidRPr="00C4084C">
              <w:rPr>
                <w:rFonts w:cs="Arial"/>
              </w:rPr>
              <w:t xml:space="preserve">31 </w:t>
            </w:r>
            <w:r w:rsidR="0077283A">
              <w:rPr>
                <w:rFonts w:cs="Arial"/>
              </w:rPr>
              <w:t>March</w:t>
            </w:r>
            <w:r w:rsidR="0077283A" w:rsidRPr="00C4084C">
              <w:rPr>
                <w:rFonts w:cs="Arial"/>
              </w:rPr>
              <w:t xml:space="preserve"> </w:t>
            </w:r>
            <w:r w:rsidRPr="00C4084C">
              <w:rPr>
                <w:rFonts w:cs="Arial"/>
              </w:rPr>
              <w:t>2023</w:t>
            </w:r>
          </w:p>
        </w:tc>
      </w:tr>
      <w:tr w:rsidR="00CA2AD7" w:rsidRPr="00C4084C" w14:paraId="3A28868E" w14:textId="7777777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88" w:type="dxa"/>
          </w:tcPr>
          <w:p w14:paraId="11D09AB3" w14:textId="14F8A833" w:rsidR="00CA2AD7" w:rsidRPr="00C4084C" w:rsidRDefault="00CA2AD7">
            <w:pPr>
              <w:spacing w:after="0"/>
              <w:rPr>
                <w:rFonts w:cs="Arial"/>
              </w:rPr>
            </w:pPr>
            <w:r w:rsidRPr="00C4084C">
              <w:rPr>
                <w:rFonts w:cstheme="minorHAnsi"/>
                <w:spacing w:val="-4"/>
              </w:rPr>
              <w:t>Professor Deborah Terry AO, Vice</w:t>
            </w:r>
            <w:r w:rsidR="001709AA">
              <w:rPr>
                <w:rFonts w:cstheme="minorHAnsi"/>
                <w:spacing w:val="-4"/>
              </w:rPr>
              <w:t>-</w:t>
            </w:r>
            <w:r w:rsidRPr="00C4084C">
              <w:rPr>
                <w:rFonts w:cstheme="minorHAnsi"/>
                <w:spacing w:val="-4"/>
              </w:rPr>
              <w:t>Chancellor, University of Queensland</w:t>
            </w:r>
          </w:p>
        </w:tc>
        <w:tc>
          <w:tcPr>
            <w:tcW w:w="1984" w:type="dxa"/>
          </w:tcPr>
          <w:p w14:paraId="0ACB73DC"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theme="minorHAnsi"/>
                <w:spacing w:val="-4"/>
              </w:rPr>
              <w:t>14 April 2023</w:t>
            </w:r>
          </w:p>
        </w:tc>
      </w:tr>
      <w:tr w:rsidR="00CA2AD7" w:rsidRPr="00C4084C" w14:paraId="1B996E24" w14:textId="77777777">
        <w:trPr>
          <w:trHeight w:val="420"/>
        </w:trPr>
        <w:tc>
          <w:tcPr>
            <w:cnfStyle w:val="001000000000" w:firstRow="0" w:lastRow="0" w:firstColumn="1" w:lastColumn="0" w:oddVBand="0" w:evenVBand="0" w:oddHBand="0" w:evenHBand="0" w:firstRowFirstColumn="0" w:firstRowLastColumn="0" w:lastRowFirstColumn="0" w:lastRowLastColumn="0"/>
            <w:tcW w:w="7088" w:type="dxa"/>
          </w:tcPr>
          <w:p w14:paraId="3FBEC1F0" w14:textId="22597848" w:rsidR="00CA2AD7" w:rsidRPr="00C4084C" w:rsidRDefault="00CA2AD7">
            <w:pPr>
              <w:spacing w:after="0"/>
              <w:rPr>
                <w:rFonts w:cs="Arial"/>
              </w:rPr>
            </w:pPr>
            <w:r w:rsidRPr="00C4084C">
              <w:rPr>
                <w:rFonts w:cs="Arial"/>
              </w:rPr>
              <w:lastRenderedPageBreak/>
              <w:t>Davd Gonski AC,</w:t>
            </w:r>
            <w:r w:rsidRPr="00C4084C">
              <w:t xml:space="preserve"> </w:t>
            </w:r>
            <w:r w:rsidRPr="00C4084C">
              <w:rPr>
                <w:rFonts w:cs="Arial"/>
              </w:rPr>
              <w:t>Chancellor, University of New South Wales and Catherine Livingstone AO, Chancellor, University of Technology Sydney,</w:t>
            </w:r>
            <w:r w:rsidRPr="00C4084C">
              <w:t xml:space="preserve"> Professor Andrew Parfitt, Vice-</w:t>
            </w:r>
            <w:r w:rsidRPr="00C4084C">
              <w:rPr>
                <w:rFonts w:cs="Arial"/>
              </w:rPr>
              <w:t>Chancellor, University of Technology Sydney</w:t>
            </w:r>
          </w:p>
        </w:tc>
        <w:tc>
          <w:tcPr>
            <w:tcW w:w="1984" w:type="dxa"/>
          </w:tcPr>
          <w:p w14:paraId="1422F18D"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t>17 April 2023</w:t>
            </w:r>
          </w:p>
        </w:tc>
      </w:tr>
      <w:tr w:rsidR="00CA2AD7" w:rsidRPr="00C4084C" w14:paraId="4284FDC1" w14:textId="7777777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88" w:type="dxa"/>
          </w:tcPr>
          <w:p w14:paraId="68230C3B" w14:textId="77777777" w:rsidR="00CA2AD7" w:rsidRPr="00C4084C" w:rsidRDefault="00CA2AD7">
            <w:pPr>
              <w:spacing w:after="0"/>
              <w:rPr>
                <w:rFonts w:cs="Arial"/>
              </w:rPr>
            </w:pPr>
            <w:r w:rsidRPr="00C4084C">
              <w:rPr>
                <w:rFonts w:cs="Arial"/>
              </w:rPr>
              <w:t>Regional Vice-Chancellors Roundtable dinner, hosted by James Harris, Chancellor, University of New England</w:t>
            </w:r>
          </w:p>
        </w:tc>
        <w:tc>
          <w:tcPr>
            <w:tcW w:w="1984" w:type="dxa"/>
          </w:tcPr>
          <w:p w14:paraId="23991345"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19 April 2023</w:t>
            </w:r>
          </w:p>
        </w:tc>
      </w:tr>
      <w:tr w:rsidR="00CA2AD7" w:rsidRPr="00C4084C" w14:paraId="3C413B51" w14:textId="77777777">
        <w:trPr>
          <w:trHeight w:val="420"/>
        </w:trPr>
        <w:tc>
          <w:tcPr>
            <w:cnfStyle w:val="001000000000" w:firstRow="0" w:lastRow="0" w:firstColumn="1" w:lastColumn="0" w:oddVBand="0" w:evenVBand="0" w:oddHBand="0" w:evenHBand="0" w:firstRowFirstColumn="0" w:firstRowLastColumn="0" w:lastRowFirstColumn="0" w:lastRowLastColumn="0"/>
            <w:tcW w:w="7088" w:type="dxa"/>
          </w:tcPr>
          <w:p w14:paraId="0307BE18" w14:textId="77777777" w:rsidR="00CA2AD7" w:rsidRPr="00C4084C" w:rsidRDefault="00CA2AD7">
            <w:pPr>
              <w:tabs>
                <w:tab w:val="left" w:pos="1775"/>
              </w:tabs>
              <w:spacing w:after="0"/>
              <w:rPr>
                <w:rFonts w:cstheme="minorHAnsi"/>
                <w:b w:val="0"/>
                <w:bCs w:val="0"/>
                <w:spacing w:val="-4"/>
              </w:rPr>
            </w:pPr>
            <w:r w:rsidRPr="00C4084C">
              <w:rPr>
                <w:rFonts w:cstheme="minorHAnsi"/>
              </w:rPr>
              <w:t>Independent Higher Education Australia,</w:t>
            </w:r>
            <w:r w:rsidRPr="00C4084C">
              <w:rPr>
                <w:rFonts w:cstheme="minorHAnsi"/>
                <w:b w:val="0"/>
                <w:bCs w:val="0"/>
              </w:rPr>
              <w:t xml:space="preserve"> i</w:t>
            </w:r>
            <w:r w:rsidRPr="00C4084C">
              <w:rPr>
                <w:rFonts w:cstheme="minorHAnsi"/>
                <w:b w:val="0"/>
                <w:bCs w:val="0"/>
                <w:spacing w:val="-4"/>
              </w:rPr>
              <w:t>ncluding representatives of:</w:t>
            </w:r>
          </w:p>
          <w:p w14:paraId="5B143E30"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 xml:space="preserve">Academic </w:t>
            </w:r>
            <w:proofErr w:type="spellStart"/>
            <w:r w:rsidRPr="00C4084C">
              <w:rPr>
                <w:rFonts w:cs="Arial"/>
                <w:b w:val="0"/>
                <w:bCs w:val="0"/>
              </w:rPr>
              <w:t>Alphacrucis</w:t>
            </w:r>
            <w:proofErr w:type="spellEnd"/>
            <w:r w:rsidRPr="00C4084C">
              <w:rPr>
                <w:rFonts w:cs="Arial"/>
                <w:b w:val="0"/>
                <w:bCs w:val="0"/>
              </w:rPr>
              <w:t xml:space="preserve"> College</w:t>
            </w:r>
          </w:p>
          <w:p w14:paraId="32A29C5F"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International College of Management Sydney</w:t>
            </w:r>
          </w:p>
          <w:p w14:paraId="2355A654"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Bond University</w:t>
            </w:r>
          </w:p>
          <w:p w14:paraId="27DAB8BD"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Torrens University</w:t>
            </w:r>
          </w:p>
          <w:p w14:paraId="0CEDE46F" w14:textId="77777777" w:rsidR="00CA2AD7" w:rsidRPr="00C4084C" w:rsidRDefault="00CA2AD7" w:rsidP="00FB44F8">
            <w:pPr>
              <w:pStyle w:val="ListParagraph"/>
              <w:numPr>
                <w:ilvl w:val="0"/>
                <w:numId w:val="26"/>
              </w:numPr>
              <w:spacing w:after="0" w:line="240" w:lineRule="auto"/>
              <w:contextualSpacing w:val="0"/>
              <w:rPr>
                <w:rFonts w:cs="Arial"/>
                <w:b w:val="0"/>
                <w:bCs w:val="0"/>
              </w:rPr>
            </w:pPr>
            <w:proofErr w:type="spellStart"/>
            <w:r w:rsidRPr="00C4084C">
              <w:rPr>
                <w:rFonts w:cs="Arial"/>
                <w:b w:val="0"/>
                <w:bCs w:val="0"/>
              </w:rPr>
              <w:t>Navitas</w:t>
            </w:r>
            <w:proofErr w:type="spellEnd"/>
            <w:r w:rsidRPr="00C4084C">
              <w:rPr>
                <w:rFonts w:cs="Arial"/>
                <w:b w:val="0"/>
                <w:bCs w:val="0"/>
              </w:rPr>
              <w:t xml:space="preserve"> </w:t>
            </w:r>
          </w:p>
          <w:p w14:paraId="1D612B87"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Kaplan Business</w:t>
            </w:r>
            <w:r w:rsidRPr="00C4084C">
              <w:rPr>
                <w:rFonts w:cstheme="minorHAnsi"/>
                <w:b w:val="0"/>
                <w:bCs w:val="0"/>
              </w:rPr>
              <w:t xml:space="preserve"> School</w:t>
            </w:r>
          </w:p>
        </w:tc>
        <w:tc>
          <w:tcPr>
            <w:tcW w:w="1984" w:type="dxa"/>
          </w:tcPr>
          <w:p w14:paraId="33CF8C2C"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theme="minorHAnsi"/>
              </w:rPr>
              <w:t>27 April 2023</w:t>
            </w:r>
          </w:p>
        </w:tc>
      </w:tr>
      <w:tr w:rsidR="00CA2AD7" w:rsidRPr="00C4084C" w14:paraId="628836A3" w14:textId="7777777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88" w:type="dxa"/>
          </w:tcPr>
          <w:p w14:paraId="2D8D6945" w14:textId="77777777" w:rsidR="00CA2AD7" w:rsidRPr="00C4084C" w:rsidRDefault="00CA2AD7">
            <w:pPr>
              <w:spacing w:after="0"/>
              <w:rPr>
                <w:rFonts w:cstheme="minorHAnsi"/>
                <w:highlight w:val="yellow"/>
              </w:rPr>
            </w:pPr>
            <w:r w:rsidRPr="00C4084C">
              <w:rPr>
                <w:rFonts w:cstheme="minorHAnsi"/>
              </w:rPr>
              <w:t>Medical Deans Australia and New Zealand</w:t>
            </w:r>
          </w:p>
        </w:tc>
        <w:tc>
          <w:tcPr>
            <w:tcW w:w="1984" w:type="dxa"/>
          </w:tcPr>
          <w:p w14:paraId="250C438D"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highlight w:val="yellow"/>
              </w:rPr>
            </w:pPr>
            <w:r w:rsidRPr="00C4084C">
              <w:rPr>
                <w:rFonts w:cstheme="minorHAnsi"/>
              </w:rPr>
              <w:t>28 April 2023</w:t>
            </w:r>
          </w:p>
        </w:tc>
      </w:tr>
      <w:tr w:rsidR="00CA2AD7" w:rsidRPr="00C4084C" w14:paraId="6F08ABB3" w14:textId="77777777">
        <w:trPr>
          <w:trHeight w:val="420"/>
        </w:trPr>
        <w:tc>
          <w:tcPr>
            <w:cnfStyle w:val="001000000000" w:firstRow="0" w:lastRow="0" w:firstColumn="1" w:lastColumn="0" w:oddVBand="0" w:evenVBand="0" w:oddHBand="0" w:evenHBand="0" w:firstRowFirstColumn="0" w:firstRowLastColumn="0" w:lastRowFirstColumn="0" w:lastRowLastColumn="0"/>
            <w:tcW w:w="7088" w:type="dxa"/>
          </w:tcPr>
          <w:p w14:paraId="1EA4F0D2" w14:textId="5D682E22" w:rsidR="00CA2AD7" w:rsidRPr="00C4084C" w:rsidRDefault="00CA2AD7">
            <w:pPr>
              <w:spacing w:after="0"/>
              <w:rPr>
                <w:rFonts w:cs="Arial"/>
              </w:rPr>
            </w:pPr>
            <w:r w:rsidRPr="00C4084C">
              <w:rPr>
                <w:rFonts w:cstheme="minorHAnsi"/>
              </w:rPr>
              <w:t>Professor Scott Bowman</w:t>
            </w:r>
            <w:r w:rsidR="00655397" w:rsidRPr="00C4084C">
              <w:rPr>
                <w:rFonts w:cstheme="minorHAnsi"/>
              </w:rPr>
              <w:t xml:space="preserve"> AO</w:t>
            </w:r>
            <w:r w:rsidRPr="00C4084C">
              <w:rPr>
                <w:rFonts w:cstheme="minorHAnsi"/>
              </w:rPr>
              <w:t>, Vice</w:t>
            </w:r>
            <w:r w:rsidR="00D55650">
              <w:rPr>
                <w:rFonts w:cstheme="minorHAnsi"/>
              </w:rPr>
              <w:t>-</w:t>
            </w:r>
            <w:r w:rsidRPr="00C4084C">
              <w:rPr>
                <w:rFonts w:cstheme="minorHAnsi"/>
              </w:rPr>
              <w:t>Chancellor and President, and other senior representatives of Charles Darwin University</w:t>
            </w:r>
          </w:p>
        </w:tc>
        <w:tc>
          <w:tcPr>
            <w:tcW w:w="1984" w:type="dxa"/>
          </w:tcPr>
          <w:p w14:paraId="38B76774"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theme="minorHAnsi"/>
              </w:rPr>
              <w:t>28 April 2023</w:t>
            </w:r>
          </w:p>
        </w:tc>
      </w:tr>
      <w:tr w:rsidR="00CA2AD7" w:rsidRPr="00C4084C" w14:paraId="78783325" w14:textId="7777777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88" w:type="dxa"/>
          </w:tcPr>
          <w:p w14:paraId="3AAFD4B5" w14:textId="77777777" w:rsidR="00CA2AD7" w:rsidRPr="00C4084C" w:rsidRDefault="00CA2AD7">
            <w:pPr>
              <w:spacing w:after="0"/>
              <w:rPr>
                <w:rFonts w:cs="Arial"/>
              </w:rPr>
            </w:pPr>
            <w:r w:rsidRPr="00C4084C">
              <w:rPr>
                <w:rFonts w:cstheme="minorHAnsi"/>
              </w:rPr>
              <w:t>Country Universities Centre Study Tour</w:t>
            </w:r>
          </w:p>
        </w:tc>
        <w:tc>
          <w:tcPr>
            <w:tcW w:w="1984" w:type="dxa"/>
          </w:tcPr>
          <w:p w14:paraId="06800623"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theme="minorHAnsi"/>
              </w:rPr>
              <w:t>3 May 2023</w:t>
            </w:r>
          </w:p>
        </w:tc>
      </w:tr>
      <w:tr w:rsidR="00CA2AD7" w:rsidRPr="00C4084C" w14:paraId="207D47BB" w14:textId="77777777">
        <w:trPr>
          <w:trHeight w:val="420"/>
        </w:trPr>
        <w:tc>
          <w:tcPr>
            <w:cnfStyle w:val="001000000000" w:firstRow="0" w:lastRow="0" w:firstColumn="1" w:lastColumn="0" w:oddVBand="0" w:evenVBand="0" w:oddHBand="0" w:evenHBand="0" w:firstRowFirstColumn="0" w:firstRowLastColumn="0" w:lastRowFirstColumn="0" w:lastRowLastColumn="0"/>
            <w:tcW w:w="7088" w:type="dxa"/>
          </w:tcPr>
          <w:p w14:paraId="364F08C1" w14:textId="6A0CB5EB" w:rsidR="00CA2AD7" w:rsidRPr="00C4084C" w:rsidRDefault="00CA2AD7">
            <w:pPr>
              <w:spacing w:after="0"/>
              <w:rPr>
                <w:rFonts w:cs="Arial"/>
              </w:rPr>
            </w:pPr>
            <w:r w:rsidRPr="00C4084C">
              <w:rPr>
                <w:rFonts w:cs="Arial"/>
              </w:rPr>
              <w:t xml:space="preserve">Universities Australia Deputy Vice-Chancellors </w:t>
            </w:r>
            <w:r w:rsidR="005959E0">
              <w:rPr>
                <w:rFonts w:cs="Arial"/>
              </w:rPr>
              <w:t>(</w:t>
            </w:r>
            <w:r w:rsidR="00516D9C">
              <w:rPr>
                <w:rFonts w:cs="Arial"/>
              </w:rPr>
              <w:t>Research</w:t>
            </w:r>
            <w:r w:rsidR="005959E0">
              <w:rPr>
                <w:rFonts w:cs="Arial"/>
              </w:rPr>
              <w:t>)</w:t>
            </w:r>
            <w:r w:rsidR="00516D9C">
              <w:rPr>
                <w:rFonts w:cs="Arial"/>
              </w:rPr>
              <w:t xml:space="preserve"> </w:t>
            </w:r>
          </w:p>
        </w:tc>
        <w:tc>
          <w:tcPr>
            <w:tcW w:w="1984" w:type="dxa"/>
          </w:tcPr>
          <w:p w14:paraId="110FA6C3"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t>9 May 2023</w:t>
            </w:r>
          </w:p>
        </w:tc>
      </w:tr>
      <w:tr w:rsidR="00CA2AD7" w:rsidRPr="00C4084C" w14:paraId="794DBB7A" w14:textId="7777777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88" w:type="dxa"/>
          </w:tcPr>
          <w:p w14:paraId="01358FF4" w14:textId="00BEAF3D" w:rsidR="00CA2AD7" w:rsidRPr="00C4084C" w:rsidRDefault="00CA2AD7">
            <w:pPr>
              <w:spacing w:after="0"/>
              <w:rPr>
                <w:rFonts w:cs="Arial"/>
              </w:rPr>
            </w:pPr>
            <w:r w:rsidRPr="00C4084C">
              <w:rPr>
                <w:rFonts w:cstheme="minorHAnsi"/>
                <w:spacing w:val="-4"/>
              </w:rPr>
              <w:t>Professor Scott Bowman</w:t>
            </w:r>
            <w:r w:rsidR="00655397" w:rsidRPr="00C4084C">
              <w:rPr>
                <w:rFonts w:cstheme="minorHAnsi"/>
                <w:spacing w:val="-4"/>
              </w:rPr>
              <w:t xml:space="preserve"> AO</w:t>
            </w:r>
            <w:r w:rsidRPr="00C4084C">
              <w:rPr>
                <w:rFonts w:cstheme="minorHAnsi"/>
                <w:spacing w:val="-4"/>
              </w:rPr>
              <w:t>, Vice</w:t>
            </w:r>
            <w:r w:rsidR="00D55650">
              <w:rPr>
                <w:rFonts w:cstheme="minorHAnsi"/>
                <w:spacing w:val="-4"/>
              </w:rPr>
              <w:t>-</w:t>
            </w:r>
            <w:r w:rsidRPr="00C4084C">
              <w:rPr>
                <w:rFonts w:cstheme="minorHAnsi"/>
                <w:spacing w:val="-4"/>
              </w:rPr>
              <w:t>Chancellor and President, Charles Darwin University</w:t>
            </w:r>
          </w:p>
        </w:tc>
        <w:tc>
          <w:tcPr>
            <w:tcW w:w="1984" w:type="dxa"/>
          </w:tcPr>
          <w:p w14:paraId="7EE02DE6"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theme="minorHAnsi"/>
                <w:spacing w:val="-4"/>
              </w:rPr>
              <w:t>19 May 2023</w:t>
            </w:r>
          </w:p>
        </w:tc>
      </w:tr>
      <w:tr w:rsidR="00CA2AD7" w:rsidRPr="00C4084C" w14:paraId="43ABE2BA" w14:textId="77777777">
        <w:trPr>
          <w:trHeight w:val="420"/>
        </w:trPr>
        <w:tc>
          <w:tcPr>
            <w:cnfStyle w:val="001000000000" w:firstRow="0" w:lastRow="0" w:firstColumn="1" w:lastColumn="0" w:oddVBand="0" w:evenVBand="0" w:oddHBand="0" w:evenHBand="0" w:firstRowFirstColumn="0" w:firstRowLastColumn="0" w:lastRowFirstColumn="0" w:lastRowLastColumn="0"/>
            <w:tcW w:w="7088" w:type="dxa"/>
          </w:tcPr>
          <w:p w14:paraId="361E247E" w14:textId="77EFE2D0" w:rsidR="00CA2AD7" w:rsidRPr="00C4084C" w:rsidRDefault="00CA2AD7">
            <w:pPr>
              <w:spacing w:after="0"/>
              <w:rPr>
                <w:rFonts w:cs="Arial"/>
              </w:rPr>
            </w:pPr>
            <w:r w:rsidRPr="00C4084C">
              <w:rPr>
                <w:rFonts w:cs="Arial"/>
              </w:rPr>
              <w:t xml:space="preserve">Universities Australia Deputy Vice-Chancellors </w:t>
            </w:r>
            <w:r w:rsidR="005959E0">
              <w:rPr>
                <w:rFonts w:cs="Arial"/>
              </w:rPr>
              <w:t>(</w:t>
            </w:r>
            <w:r w:rsidRPr="00C4084C">
              <w:rPr>
                <w:rFonts w:cs="Arial"/>
              </w:rPr>
              <w:t>International</w:t>
            </w:r>
            <w:r w:rsidR="005959E0">
              <w:rPr>
                <w:rFonts w:cs="Arial"/>
              </w:rPr>
              <w:t>)</w:t>
            </w:r>
            <w:r w:rsidRPr="00C4084C">
              <w:rPr>
                <w:rFonts w:cs="Arial"/>
              </w:rPr>
              <w:t xml:space="preserve"> </w:t>
            </w:r>
          </w:p>
        </w:tc>
        <w:tc>
          <w:tcPr>
            <w:tcW w:w="1984" w:type="dxa"/>
          </w:tcPr>
          <w:p w14:paraId="3D6AC247"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t>23 May 2023</w:t>
            </w:r>
          </w:p>
        </w:tc>
      </w:tr>
      <w:tr w:rsidR="00CA2AD7" w:rsidRPr="00C4084C" w14:paraId="1C5A3932" w14:textId="7777777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88" w:type="dxa"/>
          </w:tcPr>
          <w:p w14:paraId="3425D79B" w14:textId="77777777" w:rsidR="00CA2AD7" w:rsidRPr="00C4084C" w:rsidRDefault="00CA2AD7">
            <w:pPr>
              <w:spacing w:after="0"/>
              <w:rPr>
                <w:rFonts w:cs="Arial"/>
              </w:rPr>
            </w:pPr>
            <w:r w:rsidRPr="00C4084C">
              <w:rPr>
                <w:rFonts w:cstheme="minorHAnsi"/>
                <w:spacing w:val="-4"/>
              </w:rPr>
              <w:t>Group of Eight</w:t>
            </w:r>
          </w:p>
        </w:tc>
        <w:tc>
          <w:tcPr>
            <w:tcW w:w="1984" w:type="dxa"/>
          </w:tcPr>
          <w:p w14:paraId="2ACD2D93"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theme="minorHAnsi"/>
                <w:spacing w:val="-4"/>
              </w:rPr>
              <w:t>1 June 2023</w:t>
            </w:r>
          </w:p>
        </w:tc>
      </w:tr>
      <w:tr w:rsidR="00CA2AD7" w:rsidRPr="00C4084C" w14:paraId="1C5E6BFA" w14:textId="77777777">
        <w:trPr>
          <w:trHeight w:val="420"/>
        </w:trPr>
        <w:tc>
          <w:tcPr>
            <w:cnfStyle w:val="001000000000" w:firstRow="0" w:lastRow="0" w:firstColumn="1" w:lastColumn="0" w:oddVBand="0" w:evenVBand="0" w:oddHBand="0" w:evenHBand="0" w:firstRowFirstColumn="0" w:firstRowLastColumn="0" w:lastRowFirstColumn="0" w:lastRowLastColumn="0"/>
            <w:tcW w:w="7088" w:type="dxa"/>
          </w:tcPr>
          <w:p w14:paraId="4C50F001" w14:textId="77777777" w:rsidR="00CA2AD7" w:rsidRPr="00C4084C" w:rsidRDefault="00CA2AD7">
            <w:pPr>
              <w:spacing w:after="0"/>
              <w:rPr>
                <w:rFonts w:cs="Arial"/>
              </w:rPr>
            </w:pPr>
            <w:r w:rsidRPr="00C4084C">
              <w:rPr>
                <w:rFonts w:cstheme="minorHAnsi"/>
                <w:spacing w:val="-4"/>
              </w:rPr>
              <w:t>Australian Technology Network of Universities</w:t>
            </w:r>
          </w:p>
        </w:tc>
        <w:tc>
          <w:tcPr>
            <w:tcW w:w="1984" w:type="dxa"/>
          </w:tcPr>
          <w:p w14:paraId="58144315"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theme="minorHAnsi"/>
                <w:spacing w:val="-4"/>
              </w:rPr>
              <w:t>2 June 2023</w:t>
            </w:r>
          </w:p>
        </w:tc>
      </w:tr>
      <w:tr w:rsidR="00CA2AD7" w:rsidRPr="00C4084C" w14:paraId="2F089624" w14:textId="7777777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88" w:type="dxa"/>
          </w:tcPr>
          <w:p w14:paraId="6D610626" w14:textId="77777777" w:rsidR="00CA2AD7" w:rsidRPr="00C4084C" w:rsidRDefault="00CA2AD7">
            <w:pPr>
              <w:spacing w:after="0"/>
              <w:rPr>
                <w:rFonts w:cs="Arial"/>
              </w:rPr>
            </w:pPr>
            <w:r w:rsidRPr="00C4084C">
              <w:rPr>
                <w:rFonts w:cstheme="minorHAnsi"/>
                <w:spacing w:val="-4"/>
              </w:rPr>
              <w:t>Innovative Research Universities</w:t>
            </w:r>
          </w:p>
        </w:tc>
        <w:tc>
          <w:tcPr>
            <w:tcW w:w="1984" w:type="dxa"/>
          </w:tcPr>
          <w:p w14:paraId="3E35BFB7"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theme="minorHAnsi"/>
                <w:spacing w:val="-4"/>
              </w:rPr>
              <w:t>2 June 2023</w:t>
            </w:r>
          </w:p>
        </w:tc>
      </w:tr>
      <w:tr w:rsidR="00CA2AD7" w:rsidRPr="00C4084C" w14:paraId="1FE6665F" w14:textId="77777777">
        <w:trPr>
          <w:trHeight w:val="420"/>
        </w:trPr>
        <w:tc>
          <w:tcPr>
            <w:cnfStyle w:val="001000000000" w:firstRow="0" w:lastRow="0" w:firstColumn="1" w:lastColumn="0" w:oddVBand="0" w:evenVBand="0" w:oddHBand="0" w:evenHBand="0" w:firstRowFirstColumn="0" w:firstRowLastColumn="0" w:lastRowFirstColumn="0" w:lastRowLastColumn="0"/>
            <w:tcW w:w="7088" w:type="dxa"/>
          </w:tcPr>
          <w:p w14:paraId="7774A191" w14:textId="77777777" w:rsidR="00CA2AD7" w:rsidRPr="00C4084C" w:rsidRDefault="00CA2AD7">
            <w:pPr>
              <w:spacing w:after="0"/>
              <w:rPr>
                <w:rFonts w:cs="Arial"/>
              </w:rPr>
            </w:pPr>
            <w:r w:rsidRPr="00C4084C">
              <w:rPr>
                <w:rFonts w:cstheme="minorHAnsi"/>
                <w:spacing w:val="-4"/>
              </w:rPr>
              <w:t>Regional Universities Network</w:t>
            </w:r>
          </w:p>
        </w:tc>
        <w:tc>
          <w:tcPr>
            <w:tcW w:w="1984" w:type="dxa"/>
          </w:tcPr>
          <w:p w14:paraId="5067243F"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theme="minorHAnsi"/>
                <w:spacing w:val="-4"/>
              </w:rPr>
              <w:t>2 June 2023</w:t>
            </w:r>
          </w:p>
        </w:tc>
      </w:tr>
      <w:tr w:rsidR="00CA2AD7" w:rsidRPr="00C4084C" w14:paraId="4D7CFD88" w14:textId="7777777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88" w:type="dxa"/>
          </w:tcPr>
          <w:p w14:paraId="64F20A0D" w14:textId="77777777" w:rsidR="00CA2AD7" w:rsidRPr="00C4084C" w:rsidRDefault="00CA2AD7">
            <w:pPr>
              <w:spacing w:after="0"/>
              <w:ind w:left="-45"/>
              <w:rPr>
                <w:rFonts w:cstheme="minorHAnsi"/>
                <w:b w:val="0"/>
                <w:bCs w:val="0"/>
                <w:spacing w:val="-4"/>
              </w:rPr>
            </w:pPr>
            <w:r w:rsidRPr="00C4084C">
              <w:rPr>
                <w:rFonts w:cstheme="minorHAnsi"/>
                <w:spacing w:val="-4"/>
              </w:rPr>
              <w:t>Australian Universities Accord Interim Report briefing</w:t>
            </w:r>
            <w:r w:rsidRPr="00C4084C">
              <w:rPr>
                <w:rFonts w:cstheme="minorHAnsi"/>
                <w:b w:val="0"/>
                <w:bCs w:val="0"/>
                <w:spacing w:val="-4"/>
              </w:rPr>
              <w:t xml:space="preserve">, including representatives from: </w:t>
            </w:r>
          </w:p>
          <w:p w14:paraId="34786FC3"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Independent Higher Education Australia</w:t>
            </w:r>
          </w:p>
          <w:p w14:paraId="0B6459EB"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Regional Universities Network</w:t>
            </w:r>
          </w:p>
          <w:p w14:paraId="23DA4A30"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Group of Eight</w:t>
            </w:r>
          </w:p>
          <w:p w14:paraId="085CE7A9"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Universities Australia</w:t>
            </w:r>
          </w:p>
          <w:p w14:paraId="6F2FF829"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Innovative Research Universities</w:t>
            </w:r>
          </w:p>
          <w:p w14:paraId="1E503ED3"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Australian Technology Network</w:t>
            </w:r>
          </w:p>
          <w:p w14:paraId="0786D6EF"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Independent Tertiary Education Council Australia</w:t>
            </w:r>
          </w:p>
        </w:tc>
        <w:tc>
          <w:tcPr>
            <w:tcW w:w="1984" w:type="dxa"/>
          </w:tcPr>
          <w:p w14:paraId="5AF03DBA"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theme="minorHAnsi"/>
                <w:spacing w:val="-4"/>
              </w:rPr>
              <w:t>18 July 2023</w:t>
            </w:r>
          </w:p>
        </w:tc>
      </w:tr>
      <w:tr w:rsidR="00CA2AD7" w:rsidRPr="00C4084C" w14:paraId="1CF4190E" w14:textId="77777777">
        <w:trPr>
          <w:trHeight w:val="420"/>
        </w:trPr>
        <w:tc>
          <w:tcPr>
            <w:cnfStyle w:val="001000000000" w:firstRow="0" w:lastRow="0" w:firstColumn="1" w:lastColumn="0" w:oddVBand="0" w:evenVBand="0" w:oddHBand="0" w:evenHBand="0" w:firstRowFirstColumn="0" w:firstRowLastColumn="0" w:lastRowFirstColumn="0" w:lastRowLastColumn="0"/>
            <w:tcW w:w="7088" w:type="dxa"/>
          </w:tcPr>
          <w:p w14:paraId="4F173900" w14:textId="2E556551" w:rsidR="00CA2AD7" w:rsidRPr="00C4084C" w:rsidRDefault="00CA2AD7">
            <w:pPr>
              <w:spacing w:after="0"/>
              <w:rPr>
                <w:rFonts w:cs="Arial"/>
              </w:rPr>
            </w:pPr>
            <w:r w:rsidRPr="00C4084C">
              <w:rPr>
                <w:rFonts w:cs="Arial"/>
              </w:rPr>
              <w:t xml:space="preserve">Deputy Vice-Chancellor and Pro Vice-Chancellor </w:t>
            </w:r>
            <w:r w:rsidR="005959E0">
              <w:rPr>
                <w:rFonts w:cs="Arial"/>
              </w:rPr>
              <w:t>(</w:t>
            </w:r>
            <w:r w:rsidRPr="00C4084C">
              <w:rPr>
                <w:rFonts w:cs="Arial"/>
              </w:rPr>
              <w:t>Indigenous</w:t>
            </w:r>
            <w:r w:rsidR="005959E0">
              <w:rPr>
                <w:rFonts w:cs="Arial"/>
              </w:rPr>
              <w:t>)</w:t>
            </w:r>
            <w:r w:rsidRPr="00C4084C">
              <w:rPr>
                <w:rFonts w:cs="Arial"/>
              </w:rPr>
              <w:t xml:space="preserve"> Committee </w:t>
            </w:r>
          </w:p>
        </w:tc>
        <w:tc>
          <w:tcPr>
            <w:tcW w:w="1984" w:type="dxa"/>
          </w:tcPr>
          <w:p w14:paraId="48F292BC"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t>1 August 2023</w:t>
            </w:r>
          </w:p>
        </w:tc>
      </w:tr>
      <w:tr w:rsidR="00CA2AD7" w:rsidRPr="00C4084C" w14:paraId="697BB345" w14:textId="7777777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88" w:type="dxa"/>
          </w:tcPr>
          <w:p w14:paraId="5B71F0FF" w14:textId="1D1CAA13" w:rsidR="00CA2AD7" w:rsidRPr="00C4084C" w:rsidRDefault="00CA2AD7">
            <w:pPr>
              <w:spacing w:after="0"/>
              <w:rPr>
                <w:rFonts w:cs="Arial"/>
              </w:rPr>
            </w:pPr>
            <w:r w:rsidRPr="00C4084C">
              <w:rPr>
                <w:rFonts w:cs="Arial"/>
              </w:rPr>
              <w:t>NSWVCC dinner</w:t>
            </w:r>
            <w:r w:rsidRPr="00C4084C">
              <w:rPr>
                <w:rFonts w:cs="Arial"/>
                <w:b w:val="0"/>
                <w:bCs w:val="0"/>
              </w:rPr>
              <w:t>, including:</w:t>
            </w:r>
          </w:p>
          <w:p w14:paraId="3D374858"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 xml:space="preserve">the Hon Prue Car </w:t>
            </w:r>
            <w:r w:rsidRPr="00F50407">
              <w:rPr>
                <w:b w:val="0"/>
                <w:bCs w:val="0"/>
              </w:rPr>
              <w:t>MP</w:t>
            </w:r>
            <w:r w:rsidRPr="00C4084C">
              <w:rPr>
                <w:rFonts w:cs="Arial"/>
                <w:b w:val="0"/>
                <w:bCs w:val="0"/>
              </w:rPr>
              <w:t xml:space="preserve">, Deputy Premier, Minister for Education and Early Learning, Minister for Western Sydney, and Minister for Skills, </w:t>
            </w:r>
            <w:proofErr w:type="gramStart"/>
            <w:r w:rsidRPr="00C4084C">
              <w:rPr>
                <w:rFonts w:cs="Arial"/>
                <w:b w:val="0"/>
                <w:bCs w:val="0"/>
              </w:rPr>
              <w:t>TAFE</w:t>
            </w:r>
            <w:proofErr w:type="gramEnd"/>
            <w:r w:rsidRPr="00C4084C">
              <w:rPr>
                <w:rFonts w:cs="Arial"/>
                <w:b w:val="0"/>
                <w:bCs w:val="0"/>
              </w:rPr>
              <w:t xml:space="preserve"> and Tertiary Education</w:t>
            </w:r>
          </w:p>
          <w:p w14:paraId="0CDF2C6B"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 xml:space="preserve">the Hon </w:t>
            </w:r>
            <w:proofErr w:type="spellStart"/>
            <w:r w:rsidRPr="00C4084C">
              <w:rPr>
                <w:rFonts w:cs="Arial"/>
                <w:b w:val="0"/>
                <w:bCs w:val="0"/>
              </w:rPr>
              <w:t>Anoulack</w:t>
            </w:r>
            <w:proofErr w:type="spellEnd"/>
            <w:r w:rsidRPr="00C4084C">
              <w:rPr>
                <w:rFonts w:cs="Arial"/>
                <w:b w:val="0"/>
                <w:bCs w:val="0"/>
              </w:rPr>
              <w:t xml:space="preserve"> </w:t>
            </w:r>
            <w:proofErr w:type="spellStart"/>
            <w:r w:rsidRPr="00C4084C">
              <w:rPr>
                <w:rFonts w:cs="Arial"/>
                <w:b w:val="0"/>
                <w:bCs w:val="0"/>
              </w:rPr>
              <w:t>Chanthivong</w:t>
            </w:r>
            <w:proofErr w:type="spellEnd"/>
            <w:r w:rsidRPr="00C4084C">
              <w:rPr>
                <w:rFonts w:cs="Arial"/>
                <w:b w:val="0"/>
                <w:bCs w:val="0"/>
              </w:rPr>
              <w:t xml:space="preserve"> </w:t>
            </w:r>
            <w:r w:rsidRPr="00F50407">
              <w:rPr>
                <w:b w:val="0"/>
                <w:bCs w:val="0"/>
              </w:rPr>
              <w:t>MP</w:t>
            </w:r>
            <w:r w:rsidRPr="00C4084C">
              <w:rPr>
                <w:rFonts w:cs="Arial"/>
                <w:b w:val="0"/>
                <w:bCs w:val="0"/>
              </w:rPr>
              <w:t>, Minister for Better Regulation and Fair Trading, Minister for Industry and Trade, Minister for Innovation, Science and Technology, Minister for Building, and Minister for Corrections</w:t>
            </w:r>
          </w:p>
        </w:tc>
        <w:tc>
          <w:tcPr>
            <w:tcW w:w="1984" w:type="dxa"/>
          </w:tcPr>
          <w:p w14:paraId="68B7AD2E"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22 August 2023</w:t>
            </w:r>
          </w:p>
        </w:tc>
      </w:tr>
    </w:tbl>
    <w:p w14:paraId="49995E0B" w14:textId="77777777" w:rsidR="00CA2AD7" w:rsidRPr="00C4084C" w:rsidRDefault="00CA2AD7" w:rsidP="00CA2AD7">
      <w:pPr>
        <w:pStyle w:val="Non-numberedHeading3"/>
      </w:pPr>
      <w:r w:rsidRPr="00C4084C">
        <w:lastRenderedPageBreak/>
        <w:t>Other consultations</w:t>
      </w:r>
    </w:p>
    <w:p w14:paraId="1BB9AF21" w14:textId="5E1F5958" w:rsidR="00CA2AD7" w:rsidRPr="00C4084C" w:rsidRDefault="00CA2AD7" w:rsidP="006973B0">
      <w:r w:rsidRPr="00C4084C">
        <w:t xml:space="preserve">Throughout the </w:t>
      </w:r>
      <w:r w:rsidR="00DA4DCD">
        <w:t>R</w:t>
      </w:r>
      <w:r w:rsidR="00DA4DCD" w:rsidRPr="00C4084C">
        <w:t xml:space="preserve">eview </w:t>
      </w:r>
      <w:r w:rsidRPr="00C4084C">
        <w:t xml:space="preserve">process, the Review met with many stakeholders including federal, state and territory ministers, students, </w:t>
      </w:r>
      <w:proofErr w:type="gramStart"/>
      <w:r w:rsidRPr="00C4084C">
        <w:t>business</w:t>
      </w:r>
      <w:proofErr w:type="gramEnd"/>
      <w:r w:rsidRPr="00C4084C">
        <w:t xml:space="preserve"> and industry. In some cases, the Review met stakeholders more than once.</w:t>
      </w:r>
    </w:p>
    <w:p w14:paraId="3D804461" w14:textId="77777777" w:rsidR="00CA2AD7" w:rsidRPr="00C4084C" w:rsidRDefault="00CA2AD7" w:rsidP="006973B0">
      <w:r w:rsidRPr="00C4084C">
        <w:t xml:space="preserve">The below list of consultations reflects Department of Education records. Meetings organised directly by the Chair and/or other Panel members, and events run by third parties where there was open registration, are not included below. </w:t>
      </w:r>
    </w:p>
    <w:tbl>
      <w:tblPr>
        <w:tblStyle w:val="ListTable2-Accent3"/>
        <w:tblW w:w="9072" w:type="dxa"/>
        <w:tblLook w:val="04A0" w:firstRow="1" w:lastRow="0" w:firstColumn="1" w:lastColumn="0" w:noHBand="0" w:noVBand="1"/>
      </w:tblPr>
      <w:tblGrid>
        <w:gridCol w:w="7088"/>
        <w:gridCol w:w="1984"/>
      </w:tblGrid>
      <w:tr w:rsidR="00CA2AD7" w:rsidRPr="00C4084C" w14:paraId="60461E2A" w14:textId="77777777">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7088" w:type="dxa"/>
          </w:tcPr>
          <w:p w14:paraId="7CCC0A56" w14:textId="77777777" w:rsidR="00CA2AD7" w:rsidRPr="00C4084C" w:rsidRDefault="00CA2AD7">
            <w:pPr>
              <w:spacing w:after="0"/>
              <w:rPr>
                <w:rFonts w:cstheme="minorHAnsi"/>
              </w:rPr>
            </w:pPr>
            <w:r w:rsidRPr="00C4084C">
              <w:rPr>
                <w:rFonts w:cstheme="minorHAnsi"/>
              </w:rPr>
              <w:t xml:space="preserve">Consultation </w:t>
            </w:r>
          </w:p>
        </w:tc>
        <w:tc>
          <w:tcPr>
            <w:tcW w:w="1984" w:type="dxa"/>
          </w:tcPr>
          <w:p w14:paraId="3AB581EC" w14:textId="77777777" w:rsidR="00CA2AD7" w:rsidRPr="00C4084C" w:rsidRDefault="00CA2AD7">
            <w:pPr>
              <w:spacing w:after="0"/>
              <w:cnfStyle w:val="100000000000" w:firstRow="1" w:lastRow="0" w:firstColumn="0" w:lastColumn="0" w:oddVBand="0" w:evenVBand="0" w:oddHBand="0" w:evenHBand="0" w:firstRowFirstColumn="0" w:firstRowLastColumn="0" w:lastRowFirstColumn="0" w:lastRowLastColumn="0"/>
              <w:rPr>
                <w:rFonts w:cstheme="minorHAnsi"/>
              </w:rPr>
            </w:pPr>
            <w:r w:rsidRPr="00C4084C">
              <w:rPr>
                <w:rFonts w:cstheme="minorHAnsi"/>
              </w:rPr>
              <w:t>Date</w:t>
            </w:r>
          </w:p>
        </w:tc>
      </w:tr>
      <w:tr w:rsidR="00CA2AD7" w:rsidRPr="00C4084C" w14:paraId="76EF947F"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7D000C84" w14:textId="77777777" w:rsidR="00CA2AD7" w:rsidRPr="00C4084C" w:rsidRDefault="00CA2AD7">
            <w:pPr>
              <w:spacing w:after="0"/>
              <w:rPr>
                <w:rFonts w:cstheme="minorHAnsi"/>
              </w:rPr>
            </w:pPr>
            <w:r w:rsidRPr="00C4084C">
              <w:rPr>
                <w:rFonts w:cstheme="minorHAnsi"/>
                <w:spacing w:val="-4"/>
              </w:rPr>
              <w:t xml:space="preserve">Tertiary Education Quality and Standards Agency </w:t>
            </w:r>
          </w:p>
        </w:tc>
        <w:tc>
          <w:tcPr>
            <w:tcW w:w="1984" w:type="dxa"/>
          </w:tcPr>
          <w:p w14:paraId="05ED2D4D"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1 December 2022</w:t>
            </w:r>
          </w:p>
        </w:tc>
      </w:tr>
      <w:tr w:rsidR="00CA2AD7" w:rsidRPr="00C4084C" w14:paraId="656DDE93"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6020CECF" w14:textId="77777777" w:rsidR="00CA2AD7" w:rsidRPr="00C4084C" w:rsidRDefault="00CA2AD7">
            <w:pPr>
              <w:spacing w:after="0"/>
              <w:rPr>
                <w:rFonts w:cstheme="minorHAnsi"/>
              </w:rPr>
            </w:pPr>
            <w:r w:rsidRPr="00C4084C">
              <w:rPr>
                <w:rFonts w:cstheme="minorHAnsi"/>
                <w:spacing w:val="-4"/>
              </w:rPr>
              <w:t>Australian Research Council</w:t>
            </w:r>
          </w:p>
        </w:tc>
        <w:tc>
          <w:tcPr>
            <w:tcW w:w="1984" w:type="dxa"/>
          </w:tcPr>
          <w:p w14:paraId="65AAD302"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2 December 2022</w:t>
            </w:r>
          </w:p>
        </w:tc>
      </w:tr>
      <w:tr w:rsidR="00CA2AD7" w:rsidRPr="00C4084C" w14:paraId="4119A576"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430087FE" w14:textId="77777777" w:rsidR="00CA2AD7" w:rsidRPr="00C4084C" w:rsidRDefault="00CA2AD7">
            <w:pPr>
              <w:tabs>
                <w:tab w:val="left" w:pos="1540"/>
              </w:tabs>
              <w:spacing w:after="0"/>
              <w:rPr>
                <w:rFonts w:cstheme="minorHAnsi"/>
              </w:rPr>
            </w:pPr>
            <w:r w:rsidRPr="00C4084C">
              <w:rPr>
                <w:rFonts w:cstheme="minorHAnsi"/>
                <w:spacing w:val="-4"/>
              </w:rPr>
              <w:t>National Centre for Student Equity in Higher Education, Curtin University</w:t>
            </w:r>
          </w:p>
        </w:tc>
        <w:tc>
          <w:tcPr>
            <w:tcW w:w="1984" w:type="dxa"/>
          </w:tcPr>
          <w:p w14:paraId="066DE5E8"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9 December 2022</w:t>
            </w:r>
          </w:p>
        </w:tc>
      </w:tr>
      <w:tr w:rsidR="00CA2AD7" w:rsidRPr="00C4084C" w14:paraId="464D4E78"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0FED71D8" w14:textId="77777777" w:rsidR="00CA2AD7" w:rsidRPr="00C4084C" w:rsidRDefault="00CA2AD7">
            <w:pPr>
              <w:tabs>
                <w:tab w:val="left" w:pos="1540"/>
              </w:tabs>
              <w:spacing w:after="0"/>
              <w:rPr>
                <w:rFonts w:cstheme="minorHAnsi"/>
                <w:spacing w:val="-4"/>
              </w:rPr>
            </w:pPr>
            <w:r w:rsidRPr="00C4084C">
              <w:rPr>
                <w:rFonts w:cstheme="minorHAnsi"/>
                <w:spacing w:val="-4"/>
              </w:rPr>
              <w:t>The Hon Jason Clare MP, Minister for Education</w:t>
            </w:r>
          </w:p>
        </w:tc>
        <w:tc>
          <w:tcPr>
            <w:tcW w:w="1984" w:type="dxa"/>
          </w:tcPr>
          <w:p w14:paraId="23351402"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spacing w:val="-4"/>
              </w:rPr>
            </w:pPr>
            <w:r w:rsidRPr="00C4084C">
              <w:rPr>
                <w:rFonts w:cstheme="minorHAnsi"/>
                <w:spacing w:val="-4"/>
              </w:rPr>
              <w:t>12 December 2022</w:t>
            </w:r>
          </w:p>
        </w:tc>
      </w:tr>
      <w:tr w:rsidR="00CA2AD7" w:rsidRPr="00C4084C" w14:paraId="7DAB1C64"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1EC81ED9" w14:textId="77777777" w:rsidR="00CA2AD7" w:rsidRPr="00C4084C" w:rsidRDefault="00CA2AD7">
            <w:pPr>
              <w:spacing w:after="0"/>
              <w:rPr>
                <w:rFonts w:cstheme="minorHAnsi"/>
              </w:rPr>
            </w:pPr>
            <w:r w:rsidRPr="00C4084C">
              <w:rPr>
                <w:rFonts w:cstheme="minorHAnsi"/>
                <w:spacing w:val="-4"/>
              </w:rPr>
              <w:t>Higher Education Standards Panel</w:t>
            </w:r>
          </w:p>
        </w:tc>
        <w:tc>
          <w:tcPr>
            <w:tcW w:w="1984" w:type="dxa"/>
          </w:tcPr>
          <w:p w14:paraId="7E5428B8"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9 January 2023</w:t>
            </w:r>
          </w:p>
        </w:tc>
      </w:tr>
      <w:tr w:rsidR="00CA2AD7" w:rsidRPr="00C4084C" w14:paraId="7C31103E"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286D2AC8" w14:textId="77777777" w:rsidR="00CA2AD7" w:rsidRPr="00C4084C" w:rsidRDefault="00CA2AD7">
            <w:pPr>
              <w:spacing w:after="0"/>
              <w:rPr>
                <w:rFonts w:cstheme="minorHAnsi"/>
              </w:rPr>
            </w:pPr>
            <w:r w:rsidRPr="00C4084C">
              <w:rPr>
                <w:rFonts w:cstheme="minorHAnsi"/>
                <w:spacing w:val="-4"/>
              </w:rPr>
              <w:t>Fair Work Ombudsman</w:t>
            </w:r>
          </w:p>
        </w:tc>
        <w:tc>
          <w:tcPr>
            <w:tcW w:w="1984" w:type="dxa"/>
          </w:tcPr>
          <w:p w14:paraId="7F0EF745"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12 January 2023</w:t>
            </w:r>
          </w:p>
        </w:tc>
      </w:tr>
      <w:tr w:rsidR="00CA2AD7" w:rsidRPr="00C4084C" w14:paraId="0B3DE959"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0149163C" w14:textId="77777777" w:rsidR="00CA2AD7" w:rsidRPr="00C4084C" w:rsidRDefault="00CA2AD7">
            <w:pPr>
              <w:spacing w:after="0"/>
              <w:rPr>
                <w:rFonts w:cstheme="minorHAnsi"/>
              </w:rPr>
            </w:pPr>
            <w:r w:rsidRPr="00C4084C">
              <w:rPr>
                <w:rFonts w:cstheme="minorHAnsi"/>
                <w:spacing w:val="-4"/>
              </w:rPr>
              <w:t xml:space="preserve">The Hon Alister </w:t>
            </w:r>
            <w:proofErr w:type="spellStart"/>
            <w:r w:rsidRPr="00C4084C">
              <w:rPr>
                <w:rFonts w:cstheme="minorHAnsi"/>
                <w:spacing w:val="-4"/>
              </w:rPr>
              <w:t>Henskens</w:t>
            </w:r>
            <w:proofErr w:type="spellEnd"/>
            <w:r w:rsidRPr="00C4084C">
              <w:rPr>
                <w:rFonts w:cstheme="minorHAnsi"/>
                <w:spacing w:val="-4"/>
              </w:rPr>
              <w:t xml:space="preserve"> SC MP, New South Wales Minister for Skills and Training </w:t>
            </w:r>
          </w:p>
        </w:tc>
        <w:tc>
          <w:tcPr>
            <w:tcW w:w="1984" w:type="dxa"/>
          </w:tcPr>
          <w:p w14:paraId="6BE6AB13"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13 January 2023</w:t>
            </w:r>
          </w:p>
        </w:tc>
      </w:tr>
      <w:tr w:rsidR="00CA2AD7" w:rsidRPr="00C4084C" w14:paraId="071B2759"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612DBA7F" w14:textId="77777777" w:rsidR="00CA2AD7" w:rsidRPr="00C4084C" w:rsidRDefault="00CA2AD7">
            <w:pPr>
              <w:tabs>
                <w:tab w:val="left" w:pos="1540"/>
              </w:tabs>
              <w:spacing w:after="0"/>
              <w:rPr>
                <w:rFonts w:cstheme="minorHAnsi"/>
              </w:rPr>
            </w:pPr>
            <w:r w:rsidRPr="00C4084C">
              <w:rPr>
                <w:rFonts w:cstheme="minorHAnsi"/>
                <w:spacing w:val="-4"/>
              </w:rPr>
              <w:t>T</w:t>
            </w:r>
            <w:r w:rsidRPr="00C4084C">
              <w:rPr>
                <w:rFonts w:cstheme="minorHAnsi"/>
              </w:rPr>
              <w:t>he Hon John Dawkins AO, former Treasurer and former Minister for Employment, Education and Training</w:t>
            </w:r>
          </w:p>
        </w:tc>
        <w:tc>
          <w:tcPr>
            <w:tcW w:w="1984" w:type="dxa"/>
          </w:tcPr>
          <w:p w14:paraId="325878B3"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17 January 2023</w:t>
            </w:r>
          </w:p>
        </w:tc>
      </w:tr>
      <w:tr w:rsidR="00CA2AD7" w:rsidRPr="00C4084C" w14:paraId="5F09940B"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37C13D47" w14:textId="77777777" w:rsidR="00CA2AD7" w:rsidRPr="00C4084C" w:rsidRDefault="00CA2AD7">
            <w:pPr>
              <w:spacing w:after="0"/>
              <w:rPr>
                <w:rFonts w:cstheme="minorHAnsi"/>
              </w:rPr>
            </w:pPr>
            <w:r w:rsidRPr="00C4084C">
              <w:rPr>
                <w:rFonts w:cstheme="minorHAnsi"/>
              </w:rPr>
              <w:t>Professor Caroline McMillen AO, Chief Scientist for South Australia</w:t>
            </w:r>
          </w:p>
        </w:tc>
        <w:tc>
          <w:tcPr>
            <w:tcW w:w="1984" w:type="dxa"/>
          </w:tcPr>
          <w:p w14:paraId="0B588C43"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17 January 2023</w:t>
            </w:r>
          </w:p>
        </w:tc>
      </w:tr>
      <w:tr w:rsidR="00CA2AD7" w:rsidRPr="00C4084C" w14:paraId="46D76512"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0D81628F" w14:textId="77777777" w:rsidR="00CA2AD7" w:rsidRPr="00C4084C" w:rsidRDefault="00CA2AD7">
            <w:pPr>
              <w:spacing w:after="0"/>
              <w:ind w:left="-45"/>
              <w:rPr>
                <w:rFonts w:cstheme="minorHAnsi"/>
                <w:spacing w:val="-4"/>
              </w:rPr>
            </w:pPr>
            <w:r w:rsidRPr="00C4084C">
              <w:rPr>
                <w:rFonts w:cstheme="minorHAnsi"/>
                <w:spacing w:val="-4"/>
              </w:rPr>
              <w:t>T</w:t>
            </w:r>
            <w:r w:rsidRPr="00C4084C">
              <w:rPr>
                <w:rFonts w:cstheme="minorHAnsi"/>
              </w:rPr>
              <w:t>he Hon Dr Susan Close MP, Deputy Premier and Minister for Industry, Innovation and Science (South Australia)</w:t>
            </w:r>
          </w:p>
        </w:tc>
        <w:tc>
          <w:tcPr>
            <w:tcW w:w="1984" w:type="dxa"/>
          </w:tcPr>
          <w:p w14:paraId="37AEC564"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17 January 2023</w:t>
            </w:r>
          </w:p>
        </w:tc>
      </w:tr>
      <w:tr w:rsidR="00CA2AD7" w:rsidRPr="00C4084C" w14:paraId="311411C4"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504D31EA" w14:textId="77777777" w:rsidR="00CA2AD7" w:rsidRPr="00C4084C" w:rsidRDefault="00CA2AD7">
            <w:pPr>
              <w:spacing w:after="0"/>
              <w:rPr>
                <w:rFonts w:cstheme="minorHAnsi"/>
              </w:rPr>
            </w:pPr>
            <w:r w:rsidRPr="00C4084C">
              <w:rPr>
                <w:rFonts w:cs="Arial"/>
              </w:rPr>
              <w:t>Dr Alison Barnes, National President of the National Tertiary Education Union</w:t>
            </w:r>
          </w:p>
        </w:tc>
        <w:tc>
          <w:tcPr>
            <w:tcW w:w="1984" w:type="dxa"/>
          </w:tcPr>
          <w:p w14:paraId="3C80B7B3"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25 January 2023</w:t>
            </w:r>
          </w:p>
        </w:tc>
      </w:tr>
      <w:tr w:rsidR="00CA2AD7" w:rsidRPr="00C4084C" w14:paraId="209BF65E"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69FA4778" w14:textId="77777777" w:rsidR="00CA2AD7" w:rsidRPr="00C4084C" w:rsidRDefault="00CA2AD7">
            <w:pPr>
              <w:spacing w:after="0"/>
              <w:ind w:left="-45"/>
              <w:rPr>
                <w:rFonts w:cstheme="minorHAnsi"/>
                <w:b w:val="0"/>
                <w:bCs w:val="0"/>
              </w:rPr>
            </w:pPr>
            <w:r w:rsidRPr="00C4084C">
              <w:rPr>
                <w:rFonts w:cstheme="minorHAnsi"/>
              </w:rPr>
              <w:t>Heads of related reviews</w:t>
            </w:r>
            <w:r w:rsidRPr="00C4084C">
              <w:rPr>
                <w:rFonts w:cstheme="minorHAnsi"/>
                <w:b w:val="0"/>
                <w:bCs w:val="0"/>
              </w:rPr>
              <w:t>, including:</w:t>
            </w:r>
          </w:p>
          <w:p w14:paraId="4194BA6F"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Dr Cathy Foley AO PSM, Chair, National Science and Research Priorities</w:t>
            </w:r>
          </w:p>
          <w:p w14:paraId="01C10720"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Ms Sally-Ann Williams, Chair, Pathway to Diversity in STEM Review</w:t>
            </w:r>
          </w:p>
          <w:p w14:paraId="653AFF16" w14:textId="77777777" w:rsidR="00CA2AD7" w:rsidRPr="00C4084C" w:rsidRDefault="00CA2AD7" w:rsidP="00FB44F8">
            <w:pPr>
              <w:pStyle w:val="ListParagraph"/>
              <w:numPr>
                <w:ilvl w:val="0"/>
                <w:numId w:val="26"/>
              </w:numPr>
              <w:spacing w:after="0" w:line="240" w:lineRule="auto"/>
              <w:contextualSpacing w:val="0"/>
              <w:rPr>
                <w:rFonts w:cstheme="minorHAnsi"/>
                <w:b w:val="0"/>
                <w:bCs w:val="0"/>
              </w:rPr>
            </w:pPr>
            <w:r w:rsidRPr="00C4084C">
              <w:rPr>
                <w:rFonts w:cs="Arial"/>
                <w:b w:val="0"/>
                <w:bCs w:val="0"/>
              </w:rPr>
              <w:t>Professor Margaret</w:t>
            </w:r>
            <w:r w:rsidRPr="00C4084C">
              <w:rPr>
                <w:rFonts w:cstheme="minorHAnsi"/>
                <w:b w:val="0"/>
                <w:bCs w:val="0"/>
                <w:spacing w:val="-4"/>
              </w:rPr>
              <w:t xml:space="preserve"> Sheil AO, Chair, Australian Research Council Act Review</w:t>
            </w:r>
          </w:p>
        </w:tc>
        <w:tc>
          <w:tcPr>
            <w:tcW w:w="1984" w:type="dxa"/>
          </w:tcPr>
          <w:p w14:paraId="2358CC22"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8 February 2023</w:t>
            </w:r>
          </w:p>
        </w:tc>
      </w:tr>
      <w:tr w:rsidR="00CA2AD7" w:rsidRPr="00C4084C" w14:paraId="49E72A14"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1A47289A" w14:textId="77777777" w:rsidR="00CA2AD7" w:rsidRPr="00C4084C" w:rsidRDefault="00CA2AD7">
            <w:pPr>
              <w:tabs>
                <w:tab w:val="left" w:pos="1540"/>
              </w:tabs>
              <w:spacing w:after="0"/>
              <w:rPr>
                <w:rFonts w:cstheme="minorHAnsi"/>
              </w:rPr>
            </w:pPr>
            <w:r w:rsidRPr="00C4084C">
              <w:rPr>
                <w:rFonts w:cstheme="minorHAnsi"/>
                <w:spacing w:val="-4"/>
              </w:rPr>
              <w:t>Business Council of Australia</w:t>
            </w:r>
          </w:p>
        </w:tc>
        <w:tc>
          <w:tcPr>
            <w:tcW w:w="1984" w:type="dxa"/>
          </w:tcPr>
          <w:p w14:paraId="36ED551E"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9 February 2023</w:t>
            </w:r>
          </w:p>
        </w:tc>
      </w:tr>
      <w:tr w:rsidR="00CA2AD7" w:rsidRPr="00C4084C" w14:paraId="2E4689EA"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4446145C" w14:textId="77777777" w:rsidR="00CA2AD7" w:rsidRPr="00C4084C" w:rsidRDefault="00CA2AD7">
            <w:pPr>
              <w:spacing w:after="0"/>
              <w:rPr>
                <w:rFonts w:cstheme="minorHAnsi"/>
              </w:rPr>
            </w:pPr>
            <w:r w:rsidRPr="00C4084C">
              <w:rPr>
                <w:rFonts w:cstheme="minorHAnsi"/>
                <w:spacing w:val="-4"/>
              </w:rPr>
              <w:t>Ms Bailey Riley, President, National Union of Students</w:t>
            </w:r>
          </w:p>
        </w:tc>
        <w:tc>
          <w:tcPr>
            <w:tcW w:w="1984" w:type="dxa"/>
          </w:tcPr>
          <w:p w14:paraId="4F87F81E"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9 February 2023</w:t>
            </w:r>
          </w:p>
        </w:tc>
      </w:tr>
      <w:tr w:rsidR="00CA2AD7" w:rsidRPr="00C4084C" w14:paraId="0A94B613"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6325A8E0" w14:textId="77777777" w:rsidR="00CA2AD7" w:rsidRPr="00C4084C" w:rsidRDefault="00CA2AD7">
            <w:pPr>
              <w:tabs>
                <w:tab w:val="left" w:pos="1775"/>
              </w:tabs>
              <w:spacing w:after="0"/>
              <w:rPr>
                <w:rFonts w:cstheme="minorHAnsi"/>
                <w:b w:val="0"/>
                <w:bCs w:val="0"/>
                <w:spacing w:val="-4"/>
              </w:rPr>
            </w:pPr>
            <w:r w:rsidRPr="00C4084C">
              <w:rPr>
                <w:rFonts w:cstheme="minorHAnsi"/>
                <w:spacing w:val="-4"/>
              </w:rPr>
              <w:t>Research and development innovation meeting,</w:t>
            </w:r>
            <w:r w:rsidRPr="00C4084C">
              <w:rPr>
                <w:rFonts w:cstheme="minorHAnsi"/>
                <w:b w:val="0"/>
                <w:bCs w:val="0"/>
                <w:spacing w:val="-4"/>
              </w:rPr>
              <w:t xml:space="preserve"> including representatives from:</w:t>
            </w:r>
          </w:p>
          <w:p w14:paraId="36CC9588" w14:textId="0DC62E68" w:rsidR="00CA2AD7" w:rsidRPr="00C4084C" w:rsidRDefault="00BB44CD" w:rsidP="00FB44F8">
            <w:pPr>
              <w:pStyle w:val="ListParagraph"/>
              <w:numPr>
                <w:ilvl w:val="0"/>
                <w:numId w:val="26"/>
              </w:numPr>
              <w:spacing w:after="0" w:line="240" w:lineRule="auto"/>
              <w:contextualSpacing w:val="0"/>
              <w:rPr>
                <w:rFonts w:cs="Arial"/>
                <w:b w:val="0"/>
                <w:bCs w:val="0"/>
              </w:rPr>
            </w:pPr>
            <w:r w:rsidRPr="00C4084C">
              <w:rPr>
                <w:rFonts w:cs="Arial"/>
                <w:b w:val="0"/>
                <w:bCs w:val="0"/>
              </w:rPr>
              <w:t xml:space="preserve">Professor Bruce Chapman and Professor Glen Withers from the </w:t>
            </w:r>
            <w:r w:rsidR="00CA2AD7" w:rsidRPr="00C4084C">
              <w:rPr>
                <w:rFonts w:cs="Arial"/>
                <w:b w:val="0"/>
                <w:bCs w:val="0"/>
              </w:rPr>
              <w:t>Australian National University</w:t>
            </w:r>
          </w:p>
          <w:p w14:paraId="61915B6B"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Australian Research Council</w:t>
            </w:r>
          </w:p>
          <w:p w14:paraId="206D0FFC"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Department of Industry, Science and Resources</w:t>
            </w:r>
          </w:p>
          <w:p w14:paraId="130AF08B" w14:textId="77777777" w:rsidR="00CA2AD7" w:rsidRPr="00C4084C" w:rsidRDefault="00CA2AD7" w:rsidP="00FB44F8">
            <w:pPr>
              <w:pStyle w:val="ListParagraph"/>
              <w:numPr>
                <w:ilvl w:val="0"/>
                <w:numId w:val="26"/>
              </w:numPr>
              <w:spacing w:after="0" w:line="240" w:lineRule="auto"/>
              <w:contextualSpacing w:val="0"/>
              <w:rPr>
                <w:rFonts w:cstheme="minorHAnsi"/>
                <w:b w:val="0"/>
                <w:bCs w:val="0"/>
              </w:rPr>
            </w:pPr>
            <w:r w:rsidRPr="00C4084C">
              <w:rPr>
                <w:rFonts w:cs="Arial"/>
                <w:b w:val="0"/>
                <w:bCs w:val="0"/>
              </w:rPr>
              <w:t>Business Council</w:t>
            </w:r>
            <w:r w:rsidRPr="00C4084C">
              <w:rPr>
                <w:rFonts w:cstheme="minorHAnsi"/>
                <w:b w:val="0"/>
                <w:bCs w:val="0"/>
                <w:spacing w:val="-4"/>
              </w:rPr>
              <w:t xml:space="preserve"> of Australia</w:t>
            </w:r>
          </w:p>
        </w:tc>
        <w:tc>
          <w:tcPr>
            <w:tcW w:w="1984" w:type="dxa"/>
          </w:tcPr>
          <w:p w14:paraId="25BACE9A"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16 February 2023</w:t>
            </w:r>
          </w:p>
        </w:tc>
      </w:tr>
      <w:tr w:rsidR="00CA2AD7" w:rsidRPr="00C4084C" w14:paraId="3327C16C"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0619BF5D" w14:textId="77777777" w:rsidR="00CA2AD7" w:rsidRPr="00C4084C" w:rsidRDefault="00CA2AD7">
            <w:pPr>
              <w:tabs>
                <w:tab w:val="left" w:pos="1540"/>
              </w:tabs>
              <w:spacing w:after="0"/>
              <w:rPr>
                <w:rFonts w:cstheme="minorHAnsi"/>
              </w:rPr>
            </w:pPr>
            <w:r w:rsidRPr="00C4084C">
              <w:rPr>
                <w:rFonts w:cstheme="minorHAnsi"/>
                <w:spacing w:val="-4"/>
              </w:rPr>
              <w:t>The Hon Jason Clare MP, Minister for Education</w:t>
            </w:r>
          </w:p>
        </w:tc>
        <w:tc>
          <w:tcPr>
            <w:tcW w:w="1984" w:type="dxa"/>
          </w:tcPr>
          <w:p w14:paraId="24CEF8B3"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16 February 2023</w:t>
            </w:r>
          </w:p>
        </w:tc>
      </w:tr>
      <w:tr w:rsidR="00CA2AD7" w:rsidRPr="00C4084C" w14:paraId="7B051A9B"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17341046" w14:textId="77777777" w:rsidR="00CA2AD7" w:rsidRPr="00C4084C" w:rsidRDefault="00CA2AD7">
            <w:pPr>
              <w:spacing w:after="0"/>
              <w:rPr>
                <w:rFonts w:cstheme="minorHAnsi"/>
              </w:rPr>
            </w:pPr>
            <w:r w:rsidRPr="00C4084C">
              <w:rPr>
                <w:rFonts w:cstheme="minorHAnsi"/>
                <w:spacing w:val="-4"/>
              </w:rPr>
              <w:t xml:space="preserve">Professor Ian Chubb AC, former Chief Scientist for Australia </w:t>
            </w:r>
          </w:p>
        </w:tc>
        <w:tc>
          <w:tcPr>
            <w:tcW w:w="1984" w:type="dxa"/>
          </w:tcPr>
          <w:p w14:paraId="4360FE35"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16 February 2023</w:t>
            </w:r>
          </w:p>
        </w:tc>
      </w:tr>
      <w:tr w:rsidR="00CA2AD7" w:rsidRPr="00C4084C" w14:paraId="0C47FAB2"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0DDAA6F8" w14:textId="77777777" w:rsidR="00CA2AD7" w:rsidRPr="00C4084C" w:rsidRDefault="00CA2AD7">
            <w:pPr>
              <w:spacing w:after="0"/>
              <w:rPr>
                <w:rFonts w:cstheme="minorHAnsi"/>
                <w:spacing w:val="-4"/>
              </w:rPr>
            </w:pPr>
            <w:r w:rsidRPr="00C4084C">
              <w:rPr>
                <w:rFonts w:cs="Arial"/>
              </w:rPr>
              <w:t>Dr Alison Barnes, National President of the National Tertiary Education Union</w:t>
            </w:r>
          </w:p>
        </w:tc>
        <w:tc>
          <w:tcPr>
            <w:tcW w:w="1984" w:type="dxa"/>
          </w:tcPr>
          <w:p w14:paraId="184438E9"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spacing w:val="-4"/>
              </w:rPr>
            </w:pPr>
            <w:r w:rsidRPr="00C4084C">
              <w:rPr>
                <w:rFonts w:cstheme="minorHAnsi"/>
                <w:spacing w:val="-4"/>
              </w:rPr>
              <w:t>25 February 2023</w:t>
            </w:r>
          </w:p>
        </w:tc>
      </w:tr>
      <w:tr w:rsidR="00CA2AD7" w:rsidRPr="00C4084C" w14:paraId="64995E93"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40692D0C" w14:textId="77777777" w:rsidR="00CA2AD7" w:rsidRPr="00C4084C" w:rsidRDefault="00CA2AD7">
            <w:pPr>
              <w:spacing w:after="0"/>
              <w:rPr>
                <w:rFonts w:cstheme="minorHAnsi"/>
              </w:rPr>
            </w:pPr>
            <w:r w:rsidRPr="00C4084C">
              <w:rPr>
                <w:rFonts w:cstheme="minorHAnsi"/>
                <w:spacing w:val="-4"/>
              </w:rPr>
              <w:t>Queensland Department of Education</w:t>
            </w:r>
          </w:p>
        </w:tc>
        <w:tc>
          <w:tcPr>
            <w:tcW w:w="1984" w:type="dxa"/>
          </w:tcPr>
          <w:p w14:paraId="1DF1E98C"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28 February 2023</w:t>
            </w:r>
          </w:p>
        </w:tc>
      </w:tr>
      <w:tr w:rsidR="00CA2AD7" w:rsidRPr="00C4084C" w14:paraId="3CE00AC5"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6ACE0883" w14:textId="77777777" w:rsidR="00CA2AD7" w:rsidRPr="00C4084C" w:rsidRDefault="00CA2AD7">
            <w:pPr>
              <w:spacing w:after="0"/>
              <w:rPr>
                <w:rFonts w:cstheme="minorHAnsi"/>
              </w:rPr>
            </w:pPr>
            <w:r w:rsidRPr="00C4084C">
              <w:rPr>
                <w:rFonts w:cstheme="minorHAnsi"/>
                <w:spacing w:val="-4"/>
              </w:rPr>
              <w:t>Professor Tanya Monro AC, Chief Defence Scientist, Department of Defence</w:t>
            </w:r>
          </w:p>
        </w:tc>
        <w:tc>
          <w:tcPr>
            <w:tcW w:w="1984" w:type="dxa"/>
          </w:tcPr>
          <w:p w14:paraId="7D2984FE"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1 March 2023</w:t>
            </w:r>
          </w:p>
        </w:tc>
      </w:tr>
      <w:tr w:rsidR="00CA2AD7" w:rsidRPr="00C4084C" w14:paraId="75EB5D0E"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7A0A0333" w14:textId="77777777" w:rsidR="00CA2AD7" w:rsidRPr="00C4084C" w:rsidRDefault="00CA2AD7">
            <w:pPr>
              <w:tabs>
                <w:tab w:val="left" w:pos="1540"/>
              </w:tabs>
              <w:spacing w:after="0"/>
              <w:rPr>
                <w:rFonts w:cstheme="minorHAnsi"/>
                <w:spacing w:val="-4"/>
              </w:rPr>
            </w:pPr>
            <w:r w:rsidRPr="00C4084C">
              <w:rPr>
                <w:rFonts w:cstheme="minorHAnsi"/>
              </w:rPr>
              <w:lastRenderedPageBreak/>
              <w:t>Professor Peter Klinken AC, Western Australia Chief Scientist</w:t>
            </w:r>
          </w:p>
        </w:tc>
        <w:tc>
          <w:tcPr>
            <w:tcW w:w="1984" w:type="dxa"/>
          </w:tcPr>
          <w:p w14:paraId="6D29C159"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spacing w:val="-4"/>
              </w:rPr>
            </w:pPr>
            <w:r w:rsidRPr="00C4084C">
              <w:rPr>
                <w:rFonts w:cstheme="minorHAnsi"/>
                <w:spacing w:val="-4"/>
              </w:rPr>
              <w:t>7 March 2023</w:t>
            </w:r>
          </w:p>
        </w:tc>
      </w:tr>
      <w:tr w:rsidR="00CA2AD7" w:rsidRPr="00C4084C" w14:paraId="4CCFD235"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615DC750" w14:textId="77777777" w:rsidR="00CA2AD7" w:rsidRPr="00C4084C" w:rsidRDefault="00CA2AD7">
            <w:pPr>
              <w:tabs>
                <w:tab w:val="left" w:pos="1540"/>
              </w:tabs>
              <w:spacing w:after="0"/>
              <w:rPr>
                <w:rFonts w:cstheme="minorHAnsi"/>
              </w:rPr>
            </w:pPr>
            <w:r w:rsidRPr="00C4084C">
              <w:rPr>
                <w:rFonts w:cstheme="minorHAnsi"/>
                <w:spacing w:val="-4"/>
              </w:rPr>
              <w:t>Senator Mehreen Faruqi, Greens Senator for NSW</w:t>
            </w:r>
          </w:p>
        </w:tc>
        <w:tc>
          <w:tcPr>
            <w:tcW w:w="1984" w:type="dxa"/>
          </w:tcPr>
          <w:p w14:paraId="65B4312F"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7 March 2023</w:t>
            </w:r>
          </w:p>
        </w:tc>
      </w:tr>
      <w:tr w:rsidR="00CA2AD7" w:rsidRPr="00C4084C" w14:paraId="42938C90"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5BC017F0" w14:textId="77777777" w:rsidR="00CA2AD7" w:rsidRPr="00C4084C" w:rsidRDefault="00CA2AD7">
            <w:pPr>
              <w:spacing w:after="0"/>
              <w:rPr>
                <w:rFonts w:cstheme="minorHAnsi"/>
              </w:rPr>
            </w:pPr>
            <w:r w:rsidRPr="00C4084C">
              <w:rPr>
                <w:rFonts w:cstheme="minorHAnsi"/>
                <w:spacing w:val="-4"/>
              </w:rPr>
              <w:t>Senator David Pocock, Independent Senator for the ACT</w:t>
            </w:r>
          </w:p>
        </w:tc>
        <w:tc>
          <w:tcPr>
            <w:tcW w:w="1984" w:type="dxa"/>
          </w:tcPr>
          <w:p w14:paraId="73634679"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7 March 2023</w:t>
            </w:r>
          </w:p>
        </w:tc>
      </w:tr>
      <w:tr w:rsidR="00CA2AD7" w:rsidRPr="00C4084C" w14:paraId="7971748E"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31844CDA" w14:textId="77777777" w:rsidR="00CA2AD7" w:rsidRPr="00C4084C" w:rsidRDefault="00CA2AD7">
            <w:pPr>
              <w:spacing w:after="0"/>
              <w:rPr>
                <w:rFonts w:cstheme="minorHAnsi"/>
              </w:rPr>
            </w:pPr>
            <w:r w:rsidRPr="00C4084C">
              <w:rPr>
                <w:rFonts w:cstheme="minorHAnsi"/>
                <w:spacing w:val="-4"/>
              </w:rPr>
              <w:t xml:space="preserve">The Hon Brendan O’Connor MP, Minister for </w:t>
            </w:r>
            <w:proofErr w:type="gramStart"/>
            <w:r w:rsidRPr="00C4084C">
              <w:rPr>
                <w:rFonts w:cstheme="minorHAnsi"/>
                <w:spacing w:val="-4"/>
              </w:rPr>
              <w:t>Skills</w:t>
            </w:r>
            <w:proofErr w:type="gramEnd"/>
            <w:r w:rsidRPr="00C4084C">
              <w:rPr>
                <w:rFonts w:cstheme="minorHAnsi"/>
                <w:spacing w:val="-4"/>
              </w:rPr>
              <w:t xml:space="preserve"> and Training</w:t>
            </w:r>
          </w:p>
        </w:tc>
        <w:tc>
          <w:tcPr>
            <w:tcW w:w="1984" w:type="dxa"/>
          </w:tcPr>
          <w:p w14:paraId="3B85072F"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8 March 2023</w:t>
            </w:r>
          </w:p>
        </w:tc>
      </w:tr>
      <w:tr w:rsidR="00CA2AD7" w:rsidRPr="00C4084C" w14:paraId="572CA7BE"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10916DAA" w14:textId="77777777" w:rsidR="00CA2AD7" w:rsidRPr="00C4084C" w:rsidRDefault="00CA2AD7">
            <w:pPr>
              <w:spacing w:after="0"/>
              <w:rPr>
                <w:rFonts w:cstheme="minorHAnsi"/>
                <w:spacing w:val="-4"/>
                <w:highlight w:val="yellow"/>
              </w:rPr>
            </w:pPr>
            <w:r w:rsidRPr="00C4084C">
              <w:rPr>
                <w:rFonts w:cstheme="minorHAnsi"/>
                <w:spacing w:val="-4"/>
              </w:rPr>
              <w:t>Dr Cathy Foley AO PSM, Chief Scientist of Australia</w:t>
            </w:r>
          </w:p>
        </w:tc>
        <w:tc>
          <w:tcPr>
            <w:tcW w:w="1984" w:type="dxa"/>
          </w:tcPr>
          <w:p w14:paraId="3628D2D3"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spacing w:val="-4"/>
                <w:highlight w:val="yellow"/>
              </w:rPr>
            </w:pPr>
            <w:r w:rsidRPr="00C4084C">
              <w:rPr>
                <w:rFonts w:cstheme="minorHAnsi"/>
                <w:spacing w:val="-4"/>
              </w:rPr>
              <w:t>8 March 2023</w:t>
            </w:r>
          </w:p>
        </w:tc>
      </w:tr>
      <w:tr w:rsidR="00CA2AD7" w:rsidRPr="00C4084C" w14:paraId="1E6D9FAD"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672BFB9D" w14:textId="77777777" w:rsidR="00CA2AD7" w:rsidRPr="00C4084C" w:rsidRDefault="00CA2AD7">
            <w:pPr>
              <w:spacing w:after="0"/>
              <w:rPr>
                <w:rFonts w:cstheme="minorHAnsi"/>
              </w:rPr>
            </w:pPr>
            <w:r w:rsidRPr="00C4084C">
              <w:rPr>
                <w:rFonts w:cstheme="minorHAnsi"/>
                <w:spacing w:val="-4"/>
              </w:rPr>
              <w:t>The Hon Gayle Tierney MP, Minister for Training and Skills, Minister for Higher Education (Victoria),</w:t>
            </w:r>
            <w:r w:rsidRPr="00F42505">
              <w:rPr>
                <w:rFonts w:cstheme="minorHAnsi"/>
                <w:spacing w:val="-4"/>
              </w:rPr>
              <w:t xml:space="preserve"> </w:t>
            </w:r>
            <w:r w:rsidRPr="000775DD">
              <w:rPr>
                <w:rFonts w:cstheme="minorHAnsi"/>
                <w:b w:val="0"/>
                <w:bCs w:val="0"/>
                <w:spacing w:val="-4"/>
              </w:rPr>
              <w:t>a</w:t>
            </w:r>
            <w:r w:rsidRPr="00F42505">
              <w:rPr>
                <w:rFonts w:cstheme="minorHAnsi"/>
                <w:spacing w:val="-4"/>
              </w:rPr>
              <w:t>nd</w:t>
            </w:r>
            <w:r w:rsidRPr="004B118A">
              <w:rPr>
                <w:rFonts w:cstheme="minorHAnsi"/>
                <w:spacing w:val="-4"/>
              </w:rPr>
              <w:t xml:space="preserve"> </w:t>
            </w:r>
            <w:r w:rsidRPr="004B118A">
              <w:rPr>
                <w:rFonts w:cstheme="minorHAnsi"/>
                <w:b w:val="0"/>
                <w:bCs w:val="0"/>
                <w:spacing w:val="-4"/>
              </w:rPr>
              <w:t>r</w:t>
            </w:r>
            <w:r w:rsidRPr="00C4084C">
              <w:rPr>
                <w:rFonts w:cstheme="minorHAnsi"/>
                <w:b w:val="0"/>
                <w:bCs w:val="0"/>
                <w:spacing w:val="-4"/>
              </w:rPr>
              <w:t>epresentatives from the Victorian Government Department of Jobs, Skills, Industry and Regions</w:t>
            </w:r>
          </w:p>
        </w:tc>
        <w:tc>
          <w:tcPr>
            <w:tcW w:w="1984" w:type="dxa"/>
          </w:tcPr>
          <w:p w14:paraId="1D609CD7"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14 March 2023</w:t>
            </w:r>
          </w:p>
        </w:tc>
      </w:tr>
      <w:tr w:rsidR="00CA2AD7" w:rsidRPr="00C4084C" w14:paraId="5CBE6F7C"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6E9372D5" w14:textId="0CEF128B" w:rsidR="00CA2AD7" w:rsidRPr="00C4084C" w:rsidRDefault="00CA2AD7">
            <w:pPr>
              <w:pStyle w:val="paragraph"/>
              <w:spacing w:after="0"/>
              <w:textAlignment w:val="baseline"/>
              <w:rPr>
                <w:rFonts w:cstheme="minorHAnsi"/>
                <w:spacing w:val="-4"/>
                <w:highlight w:val="yellow"/>
              </w:rPr>
            </w:pPr>
            <w:bookmarkStart w:id="1646" w:name="_Hlk153881152"/>
            <w:r w:rsidRPr="00C4084C">
              <w:rPr>
                <w:rStyle w:val="normaltextrun"/>
                <w:rFonts w:asciiTheme="minorHAnsi" w:hAnsiTheme="minorHAnsi" w:cstheme="minorHAnsi"/>
                <w:sz w:val="22"/>
                <w:szCs w:val="22"/>
              </w:rPr>
              <w:t xml:space="preserve">Meeting with sector experts including Professor Simon </w:t>
            </w:r>
            <w:proofErr w:type="spellStart"/>
            <w:r w:rsidRPr="00C4084C">
              <w:rPr>
                <w:rStyle w:val="normaltextrun"/>
                <w:rFonts w:asciiTheme="minorHAnsi" w:hAnsiTheme="minorHAnsi" w:cstheme="minorHAnsi"/>
                <w:sz w:val="22"/>
                <w:szCs w:val="22"/>
              </w:rPr>
              <w:t>Marginson</w:t>
            </w:r>
            <w:proofErr w:type="spellEnd"/>
            <w:r w:rsidRPr="00C4084C">
              <w:rPr>
                <w:rStyle w:val="normaltextrun"/>
                <w:rFonts w:asciiTheme="minorHAnsi" w:hAnsiTheme="minorHAnsi" w:cstheme="minorHAnsi"/>
                <w:sz w:val="22"/>
                <w:szCs w:val="22"/>
              </w:rPr>
              <w:t>, Professor of Higher Education, University of Oxford; Associate Professor Gwilym Croucher, Centre for the Study of Higher Education, University of Melbourne; and Professor Andrew Norton, Professor in the Practice of Higher Education Policy, Australian National University</w:t>
            </w:r>
            <w:r w:rsidRPr="00C4084C">
              <w:rPr>
                <w:rFonts w:cstheme="minorHAnsi"/>
                <w:spacing w:val="-4"/>
                <w:highlight w:val="yellow"/>
              </w:rPr>
              <w:t xml:space="preserve"> </w:t>
            </w:r>
            <w:bookmarkEnd w:id="1646"/>
          </w:p>
        </w:tc>
        <w:tc>
          <w:tcPr>
            <w:tcW w:w="1984" w:type="dxa"/>
          </w:tcPr>
          <w:p w14:paraId="29A93E0E"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spacing w:val="-4"/>
                <w:highlight w:val="yellow"/>
              </w:rPr>
            </w:pPr>
            <w:r w:rsidRPr="00C4084C">
              <w:rPr>
                <w:rFonts w:cstheme="minorHAnsi"/>
                <w:spacing w:val="-4"/>
              </w:rPr>
              <w:t>14 March 2023</w:t>
            </w:r>
          </w:p>
        </w:tc>
      </w:tr>
      <w:tr w:rsidR="00CA2AD7" w:rsidRPr="00C4084C" w14:paraId="11AC7480"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10C7BE11" w14:textId="77777777" w:rsidR="00CA2AD7" w:rsidRPr="00C4084C" w:rsidRDefault="00CA2AD7">
            <w:pPr>
              <w:tabs>
                <w:tab w:val="left" w:pos="1775"/>
              </w:tabs>
              <w:spacing w:after="0"/>
              <w:rPr>
                <w:rFonts w:cstheme="minorHAnsi"/>
                <w:b w:val="0"/>
                <w:bCs w:val="0"/>
                <w:spacing w:val="-4"/>
              </w:rPr>
            </w:pPr>
            <w:r w:rsidRPr="00C4084C">
              <w:rPr>
                <w:rFonts w:cstheme="minorHAnsi"/>
                <w:spacing w:val="-4"/>
              </w:rPr>
              <w:t>Australian Council of Learned Academies,</w:t>
            </w:r>
            <w:r w:rsidRPr="00C4084C">
              <w:rPr>
                <w:rFonts w:cstheme="minorHAnsi"/>
                <w:b w:val="0"/>
                <w:bCs w:val="0"/>
                <w:spacing w:val="-4"/>
              </w:rPr>
              <w:t xml:space="preserve"> including:</w:t>
            </w:r>
          </w:p>
          <w:p w14:paraId="59D359BB"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Australian Academy of Health and Medical Sciences</w:t>
            </w:r>
          </w:p>
          <w:p w14:paraId="1C2646AF"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Australian Academy of the Humanities</w:t>
            </w:r>
          </w:p>
          <w:p w14:paraId="037262B2"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Australian Academy of Science</w:t>
            </w:r>
          </w:p>
          <w:p w14:paraId="56410634"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Academy of the Social Sciences in Australia</w:t>
            </w:r>
          </w:p>
          <w:p w14:paraId="1797D3EE"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Australian Academy of Science</w:t>
            </w:r>
          </w:p>
          <w:p w14:paraId="36AA1F8A" w14:textId="77777777" w:rsidR="00CA2AD7" w:rsidRPr="00C4084C" w:rsidRDefault="00CA2AD7" w:rsidP="00FB44F8">
            <w:pPr>
              <w:pStyle w:val="ListParagraph"/>
              <w:numPr>
                <w:ilvl w:val="0"/>
                <w:numId w:val="26"/>
              </w:numPr>
              <w:spacing w:after="0" w:line="240" w:lineRule="auto"/>
              <w:contextualSpacing w:val="0"/>
              <w:rPr>
                <w:rFonts w:cstheme="minorHAnsi"/>
                <w:b w:val="0"/>
                <w:bCs w:val="0"/>
              </w:rPr>
            </w:pPr>
            <w:r w:rsidRPr="00C4084C">
              <w:rPr>
                <w:rFonts w:cs="Arial"/>
                <w:b w:val="0"/>
                <w:bCs w:val="0"/>
              </w:rPr>
              <w:t>Australian Academy of Technological Sciences and Engineering</w:t>
            </w:r>
          </w:p>
        </w:tc>
        <w:tc>
          <w:tcPr>
            <w:tcW w:w="1984" w:type="dxa"/>
          </w:tcPr>
          <w:p w14:paraId="3788AEF3"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21 March 2023</w:t>
            </w:r>
          </w:p>
        </w:tc>
      </w:tr>
      <w:tr w:rsidR="00CA2AD7" w:rsidRPr="00C4084C" w14:paraId="05518EFC"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1FFE0C46" w14:textId="77777777" w:rsidR="00CA2AD7" w:rsidRPr="00C4084C" w:rsidRDefault="00CA2AD7">
            <w:pPr>
              <w:tabs>
                <w:tab w:val="left" w:pos="1775"/>
              </w:tabs>
              <w:spacing w:after="0"/>
              <w:rPr>
                <w:rFonts w:cstheme="minorHAnsi"/>
              </w:rPr>
            </w:pPr>
            <w:r w:rsidRPr="00C4084C">
              <w:rPr>
                <w:rFonts w:cstheme="minorHAnsi"/>
                <w:spacing w:val="-4"/>
              </w:rPr>
              <w:t>Australian Council of Engineering Deans</w:t>
            </w:r>
          </w:p>
        </w:tc>
        <w:tc>
          <w:tcPr>
            <w:tcW w:w="1984" w:type="dxa"/>
          </w:tcPr>
          <w:p w14:paraId="70298EA0"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24 March 2023</w:t>
            </w:r>
          </w:p>
        </w:tc>
      </w:tr>
      <w:tr w:rsidR="00CA2AD7" w:rsidRPr="00C4084C" w14:paraId="41AB737B"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24E6FA98" w14:textId="77777777" w:rsidR="00CA2AD7" w:rsidRPr="00C4084C" w:rsidRDefault="00CA2AD7">
            <w:pPr>
              <w:spacing w:after="0"/>
              <w:rPr>
                <w:rFonts w:cstheme="minorHAnsi"/>
              </w:rPr>
            </w:pPr>
            <w:r w:rsidRPr="00C4084C">
              <w:rPr>
                <w:rFonts w:cstheme="minorHAnsi"/>
              </w:rPr>
              <w:t>Senator the Hon Sarah Henderson</w:t>
            </w:r>
          </w:p>
        </w:tc>
        <w:tc>
          <w:tcPr>
            <w:tcW w:w="1984" w:type="dxa"/>
          </w:tcPr>
          <w:p w14:paraId="4C2850AA"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rPr>
              <w:t>28 March 2023</w:t>
            </w:r>
          </w:p>
        </w:tc>
      </w:tr>
      <w:tr w:rsidR="00CA2AD7" w:rsidRPr="00C4084C" w14:paraId="02A32094"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697A1AD6" w14:textId="77777777" w:rsidR="00CA2AD7" w:rsidRPr="00C4084C" w:rsidRDefault="00CA2AD7">
            <w:pPr>
              <w:spacing w:after="0"/>
              <w:rPr>
                <w:rFonts w:cstheme="minorHAnsi"/>
              </w:rPr>
            </w:pPr>
            <w:r w:rsidRPr="00C4084C">
              <w:rPr>
                <w:rFonts w:cstheme="minorHAnsi"/>
              </w:rPr>
              <w:t>Equity in Higher Education Panel</w:t>
            </w:r>
          </w:p>
        </w:tc>
        <w:tc>
          <w:tcPr>
            <w:tcW w:w="1984" w:type="dxa"/>
          </w:tcPr>
          <w:p w14:paraId="0C6465D4"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rPr>
              <w:t>30 March 2023</w:t>
            </w:r>
          </w:p>
        </w:tc>
      </w:tr>
      <w:tr w:rsidR="00CA2AD7" w:rsidRPr="00C4084C" w14:paraId="6E2849EF"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472587D6" w14:textId="77777777" w:rsidR="00CA2AD7" w:rsidRPr="00C4084C" w:rsidRDefault="00CA2AD7">
            <w:pPr>
              <w:tabs>
                <w:tab w:val="left" w:pos="1540"/>
              </w:tabs>
              <w:spacing w:after="0"/>
              <w:rPr>
                <w:rFonts w:cstheme="minorHAnsi"/>
              </w:rPr>
            </w:pPr>
            <w:r w:rsidRPr="00C4084C">
              <w:rPr>
                <w:rFonts w:cstheme="minorHAnsi"/>
                <w:spacing w:val="-4"/>
              </w:rPr>
              <w:t>TAFE Directors Australia</w:t>
            </w:r>
          </w:p>
        </w:tc>
        <w:tc>
          <w:tcPr>
            <w:tcW w:w="1984" w:type="dxa"/>
          </w:tcPr>
          <w:p w14:paraId="05D8EDD2"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4 April 2023</w:t>
            </w:r>
          </w:p>
        </w:tc>
      </w:tr>
      <w:tr w:rsidR="00CA2AD7" w:rsidRPr="00C4084C" w14:paraId="33D0314A"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1AA93BF4" w14:textId="77777777" w:rsidR="00CA2AD7" w:rsidRPr="00C4084C" w:rsidRDefault="00CA2AD7">
            <w:pPr>
              <w:spacing w:after="0"/>
              <w:rPr>
                <w:rFonts w:cstheme="minorHAnsi"/>
              </w:rPr>
            </w:pPr>
            <w:r w:rsidRPr="00C4084C">
              <w:rPr>
                <w:rFonts w:cstheme="minorHAnsi"/>
                <w:spacing w:val="-4"/>
              </w:rPr>
              <w:t>Dr Cathy Foley AO PSM, Chief Scientist of Australia and Mr Andrew Stevens,</w:t>
            </w:r>
            <w:r w:rsidRPr="00C4084C">
              <w:rPr>
                <w:spacing w:val="-4"/>
              </w:rPr>
              <w:t xml:space="preserve"> Chair, Industry Innovation and Science Australia </w:t>
            </w:r>
          </w:p>
        </w:tc>
        <w:tc>
          <w:tcPr>
            <w:tcW w:w="1984" w:type="dxa"/>
          </w:tcPr>
          <w:p w14:paraId="696DC94B"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6 April 2023</w:t>
            </w:r>
          </w:p>
        </w:tc>
      </w:tr>
      <w:tr w:rsidR="00CA2AD7" w:rsidRPr="00C4084C" w14:paraId="42ADA16A"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54FFC510" w14:textId="77777777" w:rsidR="00CA2AD7" w:rsidRPr="00C4084C" w:rsidRDefault="00CA2AD7">
            <w:pPr>
              <w:spacing w:after="0"/>
              <w:rPr>
                <w:rFonts w:cstheme="minorHAnsi"/>
              </w:rPr>
            </w:pPr>
            <w:r w:rsidRPr="00C4084C">
              <w:rPr>
                <w:rFonts w:cstheme="minorHAnsi"/>
                <w:spacing w:val="-4"/>
              </w:rPr>
              <w:t>The Hon Dr Jim Chalmers MP, Treasurer</w:t>
            </w:r>
          </w:p>
        </w:tc>
        <w:tc>
          <w:tcPr>
            <w:tcW w:w="1984" w:type="dxa"/>
          </w:tcPr>
          <w:p w14:paraId="7337E734"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6 April 2023</w:t>
            </w:r>
          </w:p>
        </w:tc>
      </w:tr>
      <w:tr w:rsidR="00CA2AD7" w:rsidRPr="00C4084C" w14:paraId="6F9C7BFE"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1A162C29" w14:textId="77777777" w:rsidR="00CA2AD7" w:rsidRPr="00C4084C" w:rsidRDefault="00CA2AD7">
            <w:pPr>
              <w:spacing w:after="0"/>
              <w:rPr>
                <w:rFonts w:cstheme="minorHAnsi"/>
              </w:rPr>
            </w:pPr>
            <w:r w:rsidRPr="00C4084C">
              <w:rPr>
                <w:rFonts w:cstheme="minorHAnsi"/>
                <w:spacing w:val="-4"/>
              </w:rPr>
              <w:t>The Hon Amanda Rishworth MP, Minister for Social Services</w:t>
            </w:r>
          </w:p>
        </w:tc>
        <w:tc>
          <w:tcPr>
            <w:tcW w:w="1984" w:type="dxa"/>
          </w:tcPr>
          <w:p w14:paraId="5FA8F3C3"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6 April 2023</w:t>
            </w:r>
          </w:p>
        </w:tc>
      </w:tr>
      <w:tr w:rsidR="00CA2AD7" w:rsidRPr="00C4084C" w14:paraId="233C68DE"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614DBEA6" w14:textId="77777777" w:rsidR="00CA2AD7" w:rsidRPr="00C4084C" w:rsidRDefault="00CA2AD7">
            <w:pPr>
              <w:spacing w:after="0"/>
              <w:rPr>
                <w:rFonts w:cstheme="minorHAnsi"/>
              </w:rPr>
            </w:pPr>
            <w:r w:rsidRPr="00C4084C">
              <w:rPr>
                <w:rFonts w:cstheme="minorHAnsi"/>
                <w:spacing w:val="-4"/>
              </w:rPr>
              <w:t>Australia Skills and Qualifications Authority</w:t>
            </w:r>
          </w:p>
        </w:tc>
        <w:tc>
          <w:tcPr>
            <w:tcW w:w="1984" w:type="dxa"/>
          </w:tcPr>
          <w:p w14:paraId="7E97DE69"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11 April 2023</w:t>
            </w:r>
          </w:p>
        </w:tc>
      </w:tr>
      <w:tr w:rsidR="00CA2AD7" w:rsidRPr="00C4084C" w14:paraId="6A07C4C2"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5F8FD6E7" w14:textId="77777777" w:rsidR="00CA2AD7" w:rsidRPr="00C4084C" w:rsidRDefault="00CA2AD7">
            <w:pPr>
              <w:tabs>
                <w:tab w:val="left" w:pos="1540"/>
              </w:tabs>
              <w:spacing w:after="0"/>
              <w:rPr>
                <w:rFonts w:cstheme="minorHAnsi"/>
              </w:rPr>
            </w:pPr>
            <w:r w:rsidRPr="00C4084C">
              <w:rPr>
                <w:rFonts w:cstheme="minorHAnsi"/>
                <w:spacing w:val="-4"/>
              </w:rPr>
              <w:t>Australian Council of Deans of Nursing and Midwifery</w:t>
            </w:r>
          </w:p>
        </w:tc>
        <w:tc>
          <w:tcPr>
            <w:tcW w:w="1984" w:type="dxa"/>
          </w:tcPr>
          <w:p w14:paraId="2C3435FC"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11 April 2023</w:t>
            </w:r>
          </w:p>
        </w:tc>
      </w:tr>
      <w:tr w:rsidR="00CA2AD7" w:rsidRPr="00C4084C" w14:paraId="15B7C631"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471439DE" w14:textId="77777777" w:rsidR="00CA2AD7" w:rsidRPr="00C4084C" w:rsidRDefault="00CA2AD7">
            <w:pPr>
              <w:spacing w:after="0"/>
              <w:rPr>
                <w:rFonts w:cstheme="minorHAnsi"/>
              </w:rPr>
            </w:pPr>
            <w:r w:rsidRPr="00C4084C">
              <w:rPr>
                <w:rFonts w:cstheme="minorHAnsi"/>
                <w:spacing w:val="-4"/>
              </w:rPr>
              <w:t>The Hon Jason Clare MP, Minister for Education</w:t>
            </w:r>
          </w:p>
        </w:tc>
        <w:tc>
          <w:tcPr>
            <w:tcW w:w="1984" w:type="dxa"/>
          </w:tcPr>
          <w:p w14:paraId="6DFCC8FF"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12 April 2023</w:t>
            </w:r>
          </w:p>
        </w:tc>
      </w:tr>
      <w:tr w:rsidR="00CA2AD7" w:rsidRPr="00C4084C" w14:paraId="478B4EDF"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463AFA7A" w14:textId="77777777" w:rsidR="00CA2AD7" w:rsidRPr="00C4084C" w:rsidRDefault="00CA2AD7">
            <w:pPr>
              <w:spacing w:after="0"/>
              <w:rPr>
                <w:rFonts w:cstheme="minorHAnsi"/>
              </w:rPr>
            </w:pPr>
            <w:r w:rsidRPr="00C4084C">
              <w:rPr>
                <w:rFonts w:cstheme="minorHAnsi"/>
                <w:spacing w:val="-4"/>
              </w:rPr>
              <w:t>Organisation for Economic Cooperation and Development</w:t>
            </w:r>
          </w:p>
        </w:tc>
        <w:tc>
          <w:tcPr>
            <w:tcW w:w="1984" w:type="dxa"/>
          </w:tcPr>
          <w:p w14:paraId="5FA7E865"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14 April 2023</w:t>
            </w:r>
          </w:p>
        </w:tc>
      </w:tr>
      <w:tr w:rsidR="00CA2AD7" w:rsidRPr="00C4084C" w14:paraId="2CAB0E3D"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465D953B" w14:textId="77777777" w:rsidR="00CA2AD7" w:rsidRPr="00C4084C" w:rsidRDefault="00CA2AD7">
            <w:pPr>
              <w:tabs>
                <w:tab w:val="left" w:pos="1775"/>
              </w:tabs>
              <w:spacing w:after="0"/>
              <w:rPr>
                <w:rFonts w:cstheme="minorHAnsi"/>
                <w:spacing w:val="-4"/>
              </w:rPr>
            </w:pPr>
            <w:r w:rsidRPr="00C4084C">
              <w:rPr>
                <w:rFonts w:cstheme="minorHAnsi"/>
                <w:spacing w:val="-4"/>
              </w:rPr>
              <w:t>Engineers Australia</w:t>
            </w:r>
          </w:p>
        </w:tc>
        <w:tc>
          <w:tcPr>
            <w:tcW w:w="1984" w:type="dxa"/>
          </w:tcPr>
          <w:p w14:paraId="0F32D892"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14 April 2023</w:t>
            </w:r>
          </w:p>
        </w:tc>
      </w:tr>
      <w:tr w:rsidR="00CA2AD7" w:rsidRPr="00C4084C" w14:paraId="23F2CED8"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394E12A7" w14:textId="77777777" w:rsidR="00CA2AD7" w:rsidRPr="00C4084C" w:rsidRDefault="00CA2AD7">
            <w:pPr>
              <w:tabs>
                <w:tab w:val="left" w:pos="1775"/>
              </w:tabs>
              <w:spacing w:after="0"/>
              <w:rPr>
                <w:rFonts w:cstheme="minorHAnsi"/>
              </w:rPr>
            </w:pPr>
            <w:r w:rsidRPr="00C4084C">
              <w:rPr>
                <w:rFonts w:cstheme="minorHAnsi"/>
                <w:spacing w:val="-4"/>
              </w:rPr>
              <w:t>Australian Academy of Technological Sciences and Engineering Assembly</w:t>
            </w:r>
          </w:p>
        </w:tc>
        <w:tc>
          <w:tcPr>
            <w:tcW w:w="1984" w:type="dxa"/>
          </w:tcPr>
          <w:p w14:paraId="032E5801"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18 April 2023</w:t>
            </w:r>
          </w:p>
        </w:tc>
      </w:tr>
      <w:tr w:rsidR="00CA2AD7" w:rsidRPr="00C4084C" w14:paraId="45963CFC"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34F5FBF4" w14:textId="77777777" w:rsidR="00CA2AD7" w:rsidRPr="00C4084C" w:rsidRDefault="00CA2AD7">
            <w:pPr>
              <w:spacing w:after="0"/>
              <w:rPr>
                <w:rFonts w:cstheme="minorHAnsi"/>
              </w:rPr>
            </w:pPr>
            <w:r w:rsidRPr="00C4084C">
              <w:rPr>
                <w:rFonts w:cstheme="minorHAnsi"/>
                <w:spacing w:val="-4"/>
              </w:rPr>
              <w:t xml:space="preserve">Health Professions Education Standing Group </w:t>
            </w:r>
          </w:p>
        </w:tc>
        <w:tc>
          <w:tcPr>
            <w:tcW w:w="1984" w:type="dxa"/>
          </w:tcPr>
          <w:p w14:paraId="5BCF950F"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19 April 2023</w:t>
            </w:r>
          </w:p>
        </w:tc>
      </w:tr>
      <w:tr w:rsidR="00CA2AD7" w:rsidRPr="00C4084C" w14:paraId="095F7659"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2FAE75E6" w14:textId="77777777" w:rsidR="00CA2AD7" w:rsidRPr="00C4084C" w:rsidRDefault="00CA2AD7">
            <w:pPr>
              <w:tabs>
                <w:tab w:val="left" w:pos="1540"/>
              </w:tabs>
              <w:spacing w:after="0"/>
              <w:rPr>
                <w:rFonts w:cstheme="minorHAnsi"/>
              </w:rPr>
            </w:pPr>
            <w:r w:rsidRPr="00C4084C">
              <w:rPr>
                <w:rFonts w:cstheme="minorHAnsi"/>
              </w:rPr>
              <w:t>Productivity Commission</w:t>
            </w:r>
          </w:p>
        </w:tc>
        <w:tc>
          <w:tcPr>
            <w:tcW w:w="1984" w:type="dxa"/>
          </w:tcPr>
          <w:p w14:paraId="52EDD70A"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rPr>
              <w:t>28 April 2023</w:t>
            </w:r>
          </w:p>
        </w:tc>
      </w:tr>
      <w:tr w:rsidR="00CA2AD7" w:rsidRPr="00C4084C" w14:paraId="1637DF09"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shd w:val="clear" w:color="auto" w:fill="auto"/>
          </w:tcPr>
          <w:p w14:paraId="2E4BF466" w14:textId="77777777" w:rsidR="00CA2AD7" w:rsidRPr="00C4084C" w:rsidRDefault="00CA2AD7">
            <w:pPr>
              <w:spacing w:after="0"/>
              <w:rPr>
                <w:rFonts w:cstheme="minorHAnsi"/>
              </w:rPr>
            </w:pPr>
            <w:r w:rsidRPr="00C4084C">
              <w:rPr>
                <w:rFonts w:cstheme="minorHAnsi"/>
              </w:rPr>
              <w:t>The Hon Jason Clare MP, Minister for Education</w:t>
            </w:r>
          </w:p>
        </w:tc>
        <w:tc>
          <w:tcPr>
            <w:tcW w:w="1984" w:type="dxa"/>
            <w:shd w:val="clear" w:color="auto" w:fill="auto"/>
          </w:tcPr>
          <w:p w14:paraId="32EBAC25"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rPr>
              <w:t>1 May 2023</w:t>
            </w:r>
          </w:p>
        </w:tc>
      </w:tr>
      <w:tr w:rsidR="00CA2AD7" w:rsidRPr="00C4084C" w14:paraId="2894DEBA"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78741CB4" w14:textId="77777777" w:rsidR="00CA2AD7" w:rsidRPr="00C4084C" w:rsidRDefault="00CA2AD7">
            <w:pPr>
              <w:tabs>
                <w:tab w:val="left" w:pos="1775"/>
              </w:tabs>
              <w:spacing w:after="0"/>
              <w:rPr>
                <w:rFonts w:cstheme="minorHAnsi"/>
                <w:b w:val="0"/>
                <w:bCs w:val="0"/>
              </w:rPr>
            </w:pPr>
            <w:r w:rsidRPr="00C4084C">
              <w:rPr>
                <w:rFonts w:cstheme="minorHAnsi"/>
              </w:rPr>
              <w:t>Forum of Australia’s Chief Scientists,</w:t>
            </w:r>
            <w:r w:rsidRPr="00C4084C">
              <w:rPr>
                <w:rFonts w:cstheme="minorHAnsi"/>
                <w:b w:val="0"/>
                <w:bCs w:val="0"/>
              </w:rPr>
              <w:t xml:space="preserve"> including:</w:t>
            </w:r>
          </w:p>
          <w:p w14:paraId="197E2DB0"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Dr Cathy Foley AO PSM, Chair, Australia’s Chief Scientist</w:t>
            </w:r>
          </w:p>
          <w:p w14:paraId="18AB7C00"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Professor Bronwyn Harch, Interim Queensland Chief Scientist</w:t>
            </w:r>
          </w:p>
          <w:p w14:paraId="05C0D549"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Dr Amanda Caples, Victoria’s Lead Scientist</w:t>
            </w:r>
          </w:p>
          <w:p w14:paraId="51C2F75C"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Professor Caroline McMillen AO, Chief Scientist for South Australia</w:t>
            </w:r>
          </w:p>
          <w:p w14:paraId="3F9853D9"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lastRenderedPageBreak/>
              <w:t xml:space="preserve">Ms Hala </w:t>
            </w:r>
            <w:proofErr w:type="spellStart"/>
            <w:r w:rsidRPr="00C4084C">
              <w:rPr>
                <w:rFonts w:cs="Arial"/>
                <w:b w:val="0"/>
                <w:bCs w:val="0"/>
              </w:rPr>
              <w:t>Batainah</w:t>
            </w:r>
            <w:proofErr w:type="spellEnd"/>
            <w:r w:rsidRPr="00C4084C">
              <w:rPr>
                <w:rFonts w:cs="Arial"/>
                <w:b w:val="0"/>
                <w:bCs w:val="0"/>
              </w:rPr>
              <w:t xml:space="preserve">, Chair, Canberra Innovation Network </w:t>
            </w:r>
          </w:p>
          <w:p w14:paraId="51D573FD" w14:textId="77777777" w:rsidR="00CA2AD7" w:rsidRPr="00C4084C" w:rsidRDefault="00CA2AD7" w:rsidP="00FB44F8">
            <w:pPr>
              <w:pStyle w:val="ListParagraph"/>
              <w:numPr>
                <w:ilvl w:val="0"/>
                <w:numId w:val="26"/>
              </w:numPr>
              <w:spacing w:after="0" w:line="240" w:lineRule="auto"/>
              <w:contextualSpacing w:val="0"/>
              <w:rPr>
                <w:rFonts w:cstheme="minorHAnsi"/>
                <w:b w:val="0"/>
                <w:bCs w:val="0"/>
              </w:rPr>
            </w:pPr>
            <w:r w:rsidRPr="00C4084C">
              <w:rPr>
                <w:rFonts w:cs="Arial"/>
                <w:b w:val="0"/>
                <w:bCs w:val="0"/>
              </w:rPr>
              <w:t>Dr Darren Saunders, NSW Deputy Chief</w:t>
            </w:r>
            <w:r w:rsidRPr="00C4084C">
              <w:rPr>
                <w:rFonts w:cstheme="minorHAnsi"/>
                <w:b w:val="0"/>
                <w:bCs w:val="0"/>
              </w:rPr>
              <w:t xml:space="preserve"> Scientist &amp; Engineer</w:t>
            </w:r>
          </w:p>
        </w:tc>
        <w:tc>
          <w:tcPr>
            <w:tcW w:w="1984" w:type="dxa"/>
          </w:tcPr>
          <w:p w14:paraId="04CF87AE"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rPr>
              <w:lastRenderedPageBreak/>
              <w:t>3 May 2023</w:t>
            </w:r>
          </w:p>
        </w:tc>
      </w:tr>
      <w:tr w:rsidR="00CA2AD7" w:rsidRPr="00C4084C" w14:paraId="36D55765"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7231481B" w14:textId="77777777" w:rsidR="00CA2AD7" w:rsidRPr="00C4084C" w:rsidRDefault="00CA2AD7">
            <w:pPr>
              <w:spacing w:after="0"/>
              <w:rPr>
                <w:rFonts w:cstheme="minorHAnsi"/>
              </w:rPr>
            </w:pPr>
            <w:r w:rsidRPr="00C4084C">
              <w:rPr>
                <w:rFonts w:cstheme="minorHAnsi"/>
              </w:rPr>
              <w:t xml:space="preserve">The Hon Ed Husic MP, Minister for Industry and Science </w:t>
            </w:r>
          </w:p>
        </w:tc>
        <w:tc>
          <w:tcPr>
            <w:tcW w:w="1984" w:type="dxa"/>
          </w:tcPr>
          <w:p w14:paraId="67A81909"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rPr>
              <w:t>4 May 2023</w:t>
            </w:r>
          </w:p>
        </w:tc>
      </w:tr>
      <w:tr w:rsidR="00CA2AD7" w:rsidRPr="00C4084C" w14:paraId="68916D82"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31869176" w14:textId="77777777" w:rsidR="00CA2AD7" w:rsidRPr="00C4084C" w:rsidRDefault="00CA2AD7">
            <w:pPr>
              <w:tabs>
                <w:tab w:val="left" w:pos="1540"/>
              </w:tabs>
              <w:spacing w:after="0"/>
              <w:rPr>
                <w:rFonts w:cstheme="minorHAnsi"/>
              </w:rPr>
            </w:pPr>
            <w:r w:rsidRPr="00C4084C">
              <w:rPr>
                <w:rFonts w:cstheme="minorHAnsi"/>
              </w:rPr>
              <w:t xml:space="preserve">TAFE Directors Australia </w:t>
            </w:r>
          </w:p>
        </w:tc>
        <w:tc>
          <w:tcPr>
            <w:tcW w:w="1984" w:type="dxa"/>
          </w:tcPr>
          <w:p w14:paraId="1287388E"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rPr>
              <w:t>5 May 2023</w:t>
            </w:r>
          </w:p>
        </w:tc>
      </w:tr>
      <w:tr w:rsidR="00CA2AD7" w:rsidRPr="00C4084C" w14:paraId="2C52F27E"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2E2310D5" w14:textId="77777777" w:rsidR="00CA2AD7" w:rsidRPr="00C4084C" w:rsidRDefault="00CA2AD7">
            <w:pPr>
              <w:spacing w:after="0"/>
              <w:rPr>
                <w:rFonts w:cstheme="minorHAnsi"/>
              </w:rPr>
            </w:pPr>
            <w:r w:rsidRPr="00C4084C">
              <w:rPr>
                <w:rFonts w:cstheme="minorHAnsi"/>
                <w:spacing w:val="-4"/>
              </w:rPr>
              <w:t xml:space="preserve">Professor Anne Kelso AO, Chief Executive Officer, National </w:t>
            </w:r>
            <w:proofErr w:type="gramStart"/>
            <w:r w:rsidRPr="00C4084C">
              <w:rPr>
                <w:rFonts w:cstheme="minorHAnsi"/>
                <w:spacing w:val="-4"/>
              </w:rPr>
              <w:t>Health</w:t>
            </w:r>
            <w:proofErr w:type="gramEnd"/>
            <w:r w:rsidRPr="00C4084C">
              <w:rPr>
                <w:rFonts w:cstheme="minorHAnsi"/>
                <w:spacing w:val="-4"/>
              </w:rPr>
              <w:t xml:space="preserve"> and Medical Research Council </w:t>
            </w:r>
          </w:p>
        </w:tc>
        <w:tc>
          <w:tcPr>
            <w:tcW w:w="1984" w:type="dxa"/>
          </w:tcPr>
          <w:p w14:paraId="124997D8"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9 May 2023</w:t>
            </w:r>
          </w:p>
        </w:tc>
      </w:tr>
      <w:tr w:rsidR="00CA2AD7" w:rsidRPr="00C4084C" w14:paraId="146E1B56"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052D8805" w14:textId="77777777" w:rsidR="00CA2AD7" w:rsidRPr="00C4084C" w:rsidRDefault="00CA2AD7">
            <w:pPr>
              <w:spacing w:after="0"/>
              <w:rPr>
                <w:rFonts w:cstheme="minorHAnsi"/>
              </w:rPr>
            </w:pPr>
            <w:r w:rsidRPr="00C4084C">
              <w:rPr>
                <w:rFonts w:cstheme="minorHAnsi"/>
                <w:spacing w:val="-4"/>
              </w:rPr>
              <w:t xml:space="preserve">Senator the Hon Anthony Chisholm, Assistant Minister for Education, Assistant Minister for Regional Development </w:t>
            </w:r>
          </w:p>
        </w:tc>
        <w:tc>
          <w:tcPr>
            <w:tcW w:w="1984" w:type="dxa"/>
          </w:tcPr>
          <w:p w14:paraId="3EC7DCCB"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 xml:space="preserve">10 May 2023 </w:t>
            </w:r>
          </w:p>
        </w:tc>
      </w:tr>
      <w:tr w:rsidR="00CA2AD7" w:rsidRPr="00C4084C" w14:paraId="662A574E"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5F1B5F92" w14:textId="77777777" w:rsidR="00CA2AD7" w:rsidRPr="00C4084C" w:rsidRDefault="00CA2AD7">
            <w:pPr>
              <w:spacing w:after="0"/>
              <w:rPr>
                <w:rFonts w:cstheme="minorHAnsi"/>
              </w:rPr>
            </w:pPr>
            <w:r w:rsidRPr="00C4084C">
              <w:rPr>
                <w:rFonts w:cstheme="minorHAnsi"/>
                <w:spacing w:val="-4"/>
              </w:rPr>
              <w:t xml:space="preserve">Australian Research Council </w:t>
            </w:r>
          </w:p>
        </w:tc>
        <w:tc>
          <w:tcPr>
            <w:tcW w:w="1984" w:type="dxa"/>
          </w:tcPr>
          <w:p w14:paraId="382E601F"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10 May 2023</w:t>
            </w:r>
          </w:p>
        </w:tc>
      </w:tr>
      <w:tr w:rsidR="00CA2AD7" w:rsidRPr="00C4084C" w14:paraId="4417F616"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01644792" w14:textId="77777777" w:rsidR="00CA2AD7" w:rsidRPr="00C4084C" w:rsidRDefault="00CA2AD7">
            <w:pPr>
              <w:tabs>
                <w:tab w:val="left" w:pos="1775"/>
              </w:tabs>
              <w:spacing w:after="0"/>
              <w:rPr>
                <w:rFonts w:cstheme="minorHAnsi"/>
              </w:rPr>
            </w:pPr>
            <w:r w:rsidRPr="00C4084C">
              <w:rPr>
                <w:rFonts w:cstheme="minorHAnsi"/>
                <w:spacing w:val="-4"/>
              </w:rPr>
              <w:t xml:space="preserve">The </w:t>
            </w:r>
            <w:r w:rsidRPr="00C4084C">
              <w:rPr>
                <w:rFonts w:cstheme="minorHAnsi"/>
              </w:rPr>
              <w:t>Hon Jason Clare MP, Minister for Education</w:t>
            </w:r>
          </w:p>
          <w:p w14:paraId="7F1A65A8" w14:textId="77777777" w:rsidR="00CA2AD7" w:rsidRPr="00C4084C" w:rsidRDefault="00CA2AD7">
            <w:pPr>
              <w:tabs>
                <w:tab w:val="left" w:pos="1540"/>
              </w:tabs>
              <w:spacing w:after="0"/>
              <w:rPr>
                <w:rFonts w:cstheme="minorHAnsi"/>
              </w:rPr>
            </w:pPr>
          </w:p>
        </w:tc>
        <w:tc>
          <w:tcPr>
            <w:tcW w:w="1984" w:type="dxa"/>
          </w:tcPr>
          <w:p w14:paraId="32BAD206"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10 May 2023</w:t>
            </w:r>
          </w:p>
        </w:tc>
      </w:tr>
      <w:tr w:rsidR="00CA2AD7" w:rsidRPr="00C4084C" w14:paraId="034CFFC4"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664895E3" w14:textId="77777777" w:rsidR="00CA2AD7" w:rsidRPr="00C4084C" w:rsidRDefault="00CA2AD7">
            <w:pPr>
              <w:spacing w:after="0"/>
              <w:rPr>
                <w:rFonts w:cstheme="minorHAnsi"/>
              </w:rPr>
            </w:pPr>
            <w:r w:rsidRPr="00C4084C">
              <w:rPr>
                <w:rFonts w:cstheme="minorHAnsi"/>
                <w:spacing w:val="-4"/>
              </w:rPr>
              <w:t>Jobs and Skills Australia, including representatives from the Australian Government Department of Employment and Workplace Relations</w:t>
            </w:r>
          </w:p>
        </w:tc>
        <w:tc>
          <w:tcPr>
            <w:tcW w:w="1984" w:type="dxa"/>
          </w:tcPr>
          <w:p w14:paraId="09AB14E3"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16 May 2023</w:t>
            </w:r>
          </w:p>
        </w:tc>
      </w:tr>
      <w:tr w:rsidR="00CA2AD7" w:rsidRPr="00C4084C" w14:paraId="275980A7"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3BFCB7A1" w14:textId="77777777" w:rsidR="00CA2AD7" w:rsidRPr="00C4084C" w:rsidRDefault="00CA2AD7">
            <w:pPr>
              <w:spacing w:after="0"/>
              <w:rPr>
                <w:rFonts w:cstheme="minorHAnsi"/>
              </w:rPr>
            </w:pPr>
            <w:r w:rsidRPr="00C4084C">
              <w:rPr>
                <w:rFonts w:cstheme="minorHAnsi"/>
                <w:spacing w:val="-4"/>
              </w:rPr>
              <w:t>Fair Agenda and End Rape on Campus</w:t>
            </w:r>
          </w:p>
        </w:tc>
        <w:tc>
          <w:tcPr>
            <w:tcW w:w="1984" w:type="dxa"/>
          </w:tcPr>
          <w:p w14:paraId="691D6285"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16 May 2023</w:t>
            </w:r>
          </w:p>
        </w:tc>
      </w:tr>
      <w:tr w:rsidR="00CA2AD7" w:rsidRPr="00C4084C" w14:paraId="0DD4EB7E"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2FA95592" w14:textId="73B380AC" w:rsidR="00CA2AD7" w:rsidRPr="00C4084C" w:rsidRDefault="00C974D4">
            <w:pPr>
              <w:spacing w:after="0"/>
              <w:rPr>
                <w:rFonts w:cs="Arial"/>
                <w:b w:val="0"/>
                <w:bCs w:val="0"/>
                <w14:ligatures w14:val="standardContextual"/>
              </w:rPr>
            </w:pPr>
            <w:r>
              <w:rPr>
                <w:rFonts w:cs="Arial"/>
                <w14:ligatures w14:val="standardContextual"/>
              </w:rPr>
              <w:t>Skills and Workforce Ministerial Council</w:t>
            </w:r>
            <w:r w:rsidRPr="00C21910">
              <w:rPr>
                <w:rFonts w:cs="Arial"/>
                <w14:ligatures w14:val="standardContextual"/>
              </w:rPr>
              <w:t xml:space="preserve"> </w:t>
            </w:r>
            <w:r w:rsidR="00CA2AD7" w:rsidRPr="00C4084C">
              <w:rPr>
                <w:rFonts w:cs="Arial"/>
                <w14:ligatures w14:val="standardContextual"/>
              </w:rPr>
              <w:t xml:space="preserve">Meeting, </w:t>
            </w:r>
            <w:r w:rsidR="00CA2AD7" w:rsidRPr="00C4084C">
              <w:rPr>
                <w:rFonts w:cs="Arial"/>
                <w:b w:val="0"/>
                <w:bCs w:val="0"/>
                <w14:ligatures w14:val="standardContextual"/>
              </w:rPr>
              <w:t>including:</w:t>
            </w:r>
          </w:p>
          <w:p w14:paraId="0E447FC9" w14:textId="77777777" w:rsidR="00CA2AD7" w:rsidRPr="00C4084C" w:rsidRDefault="00CA2AD7" w:rsidP="00FB44F8">
            <w:pPr>
              <w:pStyle w:val="ListParagraph"/>
              <w:numPr>
                <w:ilvl w:val="0"/>
                <w:numId w:val="26"/>
              </w:numPr>
              <w:spacing w:after="0" w:line="240" w:lineRule="auto"/>
              <w:rPr>
                <w:rFonts w:cs="Arial"/>
                <w:b w:val="0"/>
                <w:bCs w:val="0"/>
              </w:rPr>
            </w:pPr>
            <w:r w:rsidRPr="00C4084C">
              <w:rPr>
                <w:rFonts w:cs="Arial"/>
                <w:b w:val="0"/>
                <w:bCs w:val="0"/>
              </w:rPr>
              <w:t xml:space="preserve">The Hon Brendan O’Connor MP, Federal Minister for </w:t>
            </w:r>
            <w:proofErr w:type="gramStart"/>
            <w:r w:rsidRPr="00C4084C">
              <w:rPr>
                <w:rFonts w:cs="Arial"/>
                <w:b w:val="0"/>
                <w:bCs w:val="0"/>
              </w:rPr>
              <w:t>Skills</w:t>
            </w:r>
            <w:proofErr w:type="gramEnd"/>
            <w:r w:rsidRPr="00C4084C">
              <w:rPr>
                <w:rFonts w:cs="Arial"/>
                <w:b w:val="0"/>
                <w:bCs w:val="0"/>
              </w:rPr>
              <w:t xml:space="preserve"> and Training </w:t>
            </w:r>
          </w:p>
          <w:p w14:paraId="74E6E8E8" w14:textId="77777777" w:rsidR="00CA2AD7" w:rsidRPr="00C4084C" w:rsidRDefault="00CA2AD7" w:rsidP="00FB44F8">
            <w:pPr>
              <w:pStyle w:val="ListParagraph"/>
              <w:numPr>
                <w:ilvl w:val="0"/>
                <w:numId w:val="26"/>
              </w:numPr>
              <w:spacing w:after="0" w:line="240" w:lineRule="auto"/>
              <w:rPr>
                <w:rFonts w:cs="Arial"/>
                <w:b w:val="0"/>
                <w:bCs w:val="0"/>
              </w:rPr>
            </w:pPr>
            <w:r w:rsidRPr="00C4084C">
              <w:rPr>
                <w:rFonts w:cs="Arial"/>
                <w:b w:val="0"/>
                <w:bCs w:val="0"/>
              </w:rPr>
              <w:t xml:space="preserve">The Hon Tim </w:t>
            </w:r>
            <w:proofErr w:type="spellStart"/>
            <w:r w:rsidRPr="00C4084C">
              <w:rPr>
                <w:rFonts w:cs="Arial"/>
                <w:b w:val="0"/>
                <w:bCs w:val="0"/>
              </w:rPr>
              <w:t>Crakanthorp</w:t>
            </w:r>
            <w:proofErr w:type="spellEnd"/>
            <w:r w:rsidRPr="00C4084C">
              <w:rPr>
                <w:rFonts w:cs="Arial"/>
                <w:b w:val="0"/>
                <w:bCs w:val="0"/>
              </w:rPr>
              <w:t xml:space="preserve"> MP, NSW Minister for Skills, </w:t>
            </w:r>
            <w:proofErr w:type="gramStart"/>
            <w:r w:rsidRPr="00C4084C">
              <w:rPr>
                <w:rFonts w:cs="Arial"/>
                <w:b w:val="0"/>
                <w:bCs w:val="0"/>
              </w:rPr>
              <w:t>TAFE</w:t>
            </w:r>
            <w:proofErr w:type="gramEnd"/>
            <w:r w:rsidRPr="00C4084C">
              <w:rPr>
                <w:rFonts w:cs="Arial"/>
                <w:b w:val="0"/>
                <w:bCs w:val="0"/>
              </w:rPr>
              <w:t xml:space="preserve"> and Tertiary Education </w:t>
            </w:r>
          </w:p>
          <w:p w14:paraId="5981F089" w14:textId="77777777" w:rsidR="00CA2AD7" w:rsidRPr="00C4084C" w:rsidRDefault="00CA2AD7" w:rsidP="00FB44F8">
            <w:pPr>
              <w:pStyle w:val="ListParagraph"/>
              <w:numPr>
                <w:ilvl w:val="0"/>
                <w:numId w:val="26"/>
              </w:numPr>
              <w:spacing w:after="0" w:line="240" w:lineRule="auto"/>
              <w:rPr>
                <w:rFonts w:cs="Arial"/>
                <w:b w:val="0"/>
                <w:bCs w:val="0"/>
                <w14:ligatures w14:val="standardContextual"/>
              </w:rPr>
            </w:pPr>
            <w:r w:rsidRPr="00C4084C">
              <w:rPr>
                <w:rFonts w:cs="Arial"/>
                <w:b w:val="0"/>
                <w:bCs w:val="0"/>
              </w:rPr>
              <w:t>The Hon Gayle Tierney MLC, Victorian Minister for Training and Skills and Minister for Higher Education</w:t>
            </w:r>
          </w:p>
          <w:p w14:paraId="68F5931B" w14:textId="77777777" w:rsidR="00CA2AD7" w:rsidRPr="00C4084C" w:rsidRDefault="00CA2AD7" w:rsidP="00FB44F8">
            <w:pPr>
              <w:pStyle w:val="ListParagraph"/>
              <w:numPr>
                <w:ilvl w:val="0"/>
                <w:numId w:val="26"/>
              </w:numPr>
              <w:spacing w:after="0" w:line="240" w:lineRule="auto"/>
              <w:rPr>
                <w:rFonts w:cs="Arial"/>
                <w:b w:val="0"/>
                <w:bCs w:val="0"/>
              </w:rPr>
            </w:pPr>
            <w:r w:rsidRPr="00C4084C">
              <w:rPr>
                <w:rFonts w:cs="Arial"/>
                <w:b w:val="0"/>
                <w:bCs w:val="0"/>
              </w:rPr>
              <w:t>The Hon Dianne Farmer MP, Queensland Minister for Training and Skills Development</w:t>
            </w:r>
          </w:p>
          <w:p w14:paraId="30195CC2" w14:textId="77777777" w:rsidR="00CA2AD7" w:rsidRPr="00C4084C" w:rsidRDefault="00CA2AD7" w:rsidP="00FB44F8">
            <w:pPr>
              <w:pStyle w:val="ListParagraph"/>
              <w:numPr>
                <w:ilvl w:val="0"/>
                <w:numId w:val="26"/>
              </w:numPr>
              <w:spacing w:after="0" w:line="240" w:lineRule="auto"/>
              <w:rPr>
                <w:rFonts w:cs="Arial"/>
                <w:b w:val="0"/>
                <w:bCs w:val="0"/>
              </w:rPr>
            </w:pPr>
            <w:r w:rsidRPr="00C4084C">
              <w:rPr>
                <w:rFonts w:cs="Arial"/>
                <w:b w:val="0"/>
                <w:bCs w:val="0"/>
              </w:rPr>
              <w:t>The Hon Blair Boyer MP, South Australian Minister for Education, Training and Skills</w:t>
            </w:r>
          </w:p>
          <w:p w14:paraId="5808522C" w14:textId="77777777" w:rsidR="00CA2AD7" w:rsidRPr="00C4084C" w:rsidRDefault="00CA2AD7" w:rsidP="00FB44F8">
            <w:pPr>
              <w:pStyle w:val="ListParagraph"/>
              <w:numPr>
                <w:ilvl w:val="0"/>
                <w:numId w:val="26"/>
              </w:numPr>
              <w:spacing w:after="0" w:line="240" w:lineRule="auto"/>
              <w:rPr>
                <w:rFonts w:cs="Arial"/>
                <w:b w:val="0"/>
                <w:bCs w:val="0"/>
              </w:rPr>
            </w:pPr>
            <w:r w:rsidRPr="00C4084C">
              <w:rPr>
                <w:rFonts w:cs="Arial"/>
                <w:b w:val="0"/>
                <w:bCs w:val="0"/>
              </w:rPr>
              <w:t>The Hon Simone McGurk MLA, Western Australian Minister for Training and Youth</w:t>
            </w:r>
          </w:p>
          <w:p w14:paraId="524537B4" w14:textId="77777777" w:rsidR="00CA2AD7" w:rsidRPr="00C4084C" w:rsidRDefault="00CA2AD7" w:rsidP="00FB44F8">
            <w:pPr>
              <w:pStyle w:val="ListParagraph"/>
              <w:numPr>
                <w:ilvl w:val="0"/>
                <w:numId w:val="26"/>
              </w:numPr>
              <w:spacing w:after="0" w:line="240" w:lineRule="auto"/>
              <w:rPr>
                <w:rFonts w:cs="Arial"/>
                <w:b w:val="0"/>
                <w:bCs w:val="0"/>
              </w:rPr>
            </w:pPr>
            <w:r w:rsidRPr="00C4084C">
              <w:rPr>
                <w:rFonts w:cs="Arial"/>
                <w:b w:val="0"/>
                <w:bCs w:val="0"/>
              </w:rPr>
              <w:t>The Hon Felix Ellis MP, Tasmanian Minister for Skills, Training and Workforce Growth</w:t>
            </w:r>
          </w:p>
          <w:p w14:paraId="4476C670" w14:textId="77777777" w:rsidR="00CA2AD7" w:rsidRPr="00C4084C" w:rsidRDefault="00CA2AD7" w:rsidP="00FB44F8">
            <w:pPr>
              <w:pStyle w:val="ListParagraph"/>
              <w:numPr>
                <w:ilvl w:val="0"/>
                <w:numId w:val="26"/>
              </w:numPr>
              <w:spacing w:after="0" w:line="240" w:lineRule="auto"/>
              <w:rPr>
                <w:rFonts w:cs="Arial"/>
                <w:b w:val="0"/>
                <w:bCs w:val="0"/>
              </w:rPr>
            </w:pPr>
            <w:r w:rsidRPr="00C4084C">
              <w:rPr>
                <w:rFonts w:cs="Arial"/>
                <w:b w:val="0"/>
                <w:bCs w:val="0"/>
              </w:rPr>
              <w:t>Mr Chris Steel MLA, ACT Minister for Tertiary Education</w:t>
            </w:r>
          </w:p>
          <w:p w14:paraId="1BA78C8F" w14:textId="77777777" w:rsidR="00CA2AD7" w:rsidRPr="00C4084C" w:rsidRDefault="00CA2AD7" w:rsidP="00FB44F8">
            <w:pPr>
              <w:pStyle w:val="ListParagraph"/>
              <w:numPr>
                <w:ilvl w:val="0"/>
                <w:numId w:val="26"/>
              </w:numPr>
              <w:spacing w:after="0" w:line="240" w:lineRule="auto"/>
              <w:ind w:left="357" w:hanging="357"/>
              <w:rPr>
                <w:rFonts w:cs="Arial"/>
                <w:b w:val="0"/>
                <w:bCs w:val="0"/>
              </w:rPr>
            </w:pPr>
            <w:r w:rsidRPr="00C4084C">
              <w:rPr>
                <w:rFonts w:cs="Arial"/>
                <w:b w:val="0"/>
                <w:bCs w:val="0"/>
              </w:rPr>
              <w:t xml:space="preserve">The Hon Paul Kirby MLA, Northern Territory Minister for Business, </w:t>
            </w:r>
            <w:proofErr w:type="gramStart"/>
            <w:r w:rsidRPr="00C4084C">
              <w:rPr>
                <w:rFonts w:cs="Arial"/>
                <w:b w:val="0"/>
                <w:bCs w:val="0"/>
              </w:rPr>
              <w:t>Jobs</w:t>
            </w:r>
            <w:proofErr w:type="gramEnd"/>
            <w:r w:rsidRPr="00C4084C">
              <w:rPr>
                <w:rFonts w:cs="Arial"/>
                <w:b w:val="0"/>
                <w:bCs w:val="0"/>
              </w:rPr>
              <w:t xml:space="preserve"> and Training</w:t>
            </w:r>
          </w:p>
          <w:p w14:paraId="05C80393" w14:textId="77777777" w:rsidR="00CA2AD7" w:rsidRPr="00C4084C" w:rsidDel="00995DEA" w:rsidRDefault="00CA2AD7">
            <w:pPr>
              <w:spacing w:after="0"/>
              <w:rPr>
                <w:rFonts w:cstheme="minorHAnsi"/>
                <w:spacing w:val="-4"/>
              </w:rPr>
            </w:pPr>
            <w:r w:rsidRPr="00C4084C">
              <w:rPr>
                <w:rFonts w:cs="Arial"/>
                <w:b w:val="0"/>
                <w:bCs w:val="0"/>
              </w:rPr>
              <w:t xml:space="preserve">And representatives from their </w:t>
            </w:r>
            <w:proofErr w:type="gramStart"/>
            <w:r w:rsidRPr="00C4084C">
              <w:rPr>
                <w:rFonts w:cs="Arial"/>
                <w:b w:val="0"/>
                <w:bCs w:val="0"/>
              </w:rPr>
              <w:t>Departments</w:t>
            </w:r>
            <w:proofErr w:type="gramEnd"/>
            <w:r w:rsidRPr="00C4084C">
              <w:rPr>
                <w:rFonts w:cs="Arial"/>
                <w:b w:val="0"/>
                <w:bCs w:val="0"/>
              </w:rPr>
              <w:t>.</w:t>
            </w:r>
          </w:p>
        </w:tc>
        <w:tc>
          <w:tcPr>
            <w:tcW w:w="1984" w:type="dxa"/>
          </w:tcPr>
          <w:p w14:paraId="653DC5AA"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spacing w:val="-4"/>
              </w:rPr>
            </w:pPr>
            <w:r w:rsidRPr="00C4084C">
              <w:rPr>
                <w:rFonts w:cstheme="minorHAnsi"/>
                <w:spacing w:val="-4"/>
              </w:rPr>
              <w:t>19 May 2023</w:t>
            </w:r>
          </w:p>
        </w:tc>
      </w:tr>
      <w:tr w:rsidR="00CA2AD7" w:rsidRPr="00C4084C" w14:paraId="33750D3E"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3C5B075B" w14:textId="77777777" w:rsidR="00CA2AD7" w:rsidRPr="00C4084C" w:rsidRDefault="00CA2AD7">
            <w:pPr>
              <w:spacing w:after="0"/>
              <w:rPr>
                <w:rFonts w:cstheme="minorHAnsi"/>
                <w:spacing w:val="-4"/>
              </w:rPr>
            </w:pPr>
            <w:r w:rsidRPr="00C4084C">
              <w:rPr>
                <w:rFonts w:cstheme="minorHAnsi"/>
                <w:spacing w:val="-4"/>
              </w:rPr>
              <w:t>The Hon Eva Lawler, Minister for Education (Northern Territory)</w:t>
            </w:r>
          </w:p>
        </w:tc>
        <w:tc>
          <w:tcPr>
            <w:tcW w:w="1984" w:type="dxa"/>
          </w:tcPr>
          <w:p w14:paraId="0B360BF3"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19 May 2023</w:t>
            </w:r>
          </w:p>
        </w:tc>
      </w:tr>
      <w:tr w:rsidR="00CA2AD7" w:rsidRPr="00C4084C" w14:paraId="6A4BB965"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2C89E48F" w14:textId="77777777" w:rsidR="00CA2AD7" w:rsidRPr="00C4084C" w:rsidRDefault="00CA2AD7">
            <w:pPr>
              <w:spacing w:after="0"/>
              <w:rPr>
                <w:rFonts w:cstheme="minorHAnsi"/>
                <w:spacing w:val="-4"/>
              </w:rPr>
            </w:pPr>
            <w:r w:rsidRPr="00C4084C">
              <w:rPr>
                <w:rFonts w:cstheme="minorHAnsi"/>
                <w:spacing w:val="-4"/>
              </w:rPr>
              <w:t xml:space="preserve">The Hon Tim </w:t>
            </w:r>
            <w:proofErr w:type="spellStart"/>
            <w:r w:rsidRPr="00C4084C">
              <w:rPr>
                <w:rFonts w:cstheme="minorHAnsi"/>
                <w:spacing w:val="-4"/>
              </w:rPr>
              <w:t>Crakanthorp</w:t>
            </w:r>
            <w:proofErr w:type="spellEnd"/>
            <w:r w:rsidRPr="00C4084C">
              <w:rPr>
                <w:rFonts w:cstheme="minorHAnsi"/>
                <w:spacing w:val="-4"/>
              </w:rPr>
              <w:t xml:space="preserve"> MP, Minister for Skills, </w:t>
            </w:r>
            <w:proofErr w:type="gramStart"/>
            <w:r w:rsidRPr="00C4084C">
              <w:rPr>
                <w:rFonts w:cstheme="minorHAnsi"/>
                <w:spacing w:val="-4"/>
              </w:rPr>
              <w:t>TAFE</w:t>
            </w:r>
            <w:proofErr w:type="gramEnd"/>
            <w:r w:rsidRPr="00C4084C">
              <w:rPr>
                <w:rFonts w:cstheme="minorHAnsi"/>
                <w:spacing w:val="-4"/>
              </w:rPr>
              <w:t xml:space="preserve"> and Tertiary Education (NSW)</w:t>
            </w:r>
          </w:p>
        </w:tc>
        <w:tc>
          <w:tcPr>
            <w:tcW w:w="1984" w:type="dxa"/>
          </w:tcPr>
          <w:p w14:paraId="4111FE0B"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19 May 2023</w:t>
            </w:r>
          </w:p>
        </w:tc>
      </w:tr>
      <w:tr w:rsidR="00CA2AD7" w:rsidRPr="00C4084C" w14:paraId="101D4733"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761449E1" w14:textId="77777777" w:rsidR="00CA2AD7" w:rsidRPr="00C4084C" w:rsidRDefault="00CA2AD7">
            <w:pPr>
              <w:spacing w:after="0"/>
              <w:rPr>
                <w:rFonts w:cstheme="minorHAnsi"/>
                <w:spacing w:val="-4"/>
              </w:rPr>
            </w:pPr>
            <w:r w:rsidRPr="00C4084C">
              <w:rPr>
                <w:rFonts w:cstheme="minorHAnsi"/>
                <w:spacing w:val="-4"/>
              </w:rPr>
              <w:t>The Hon Jason Clare MP, Minister for Education</w:t>
            </w:r>
          </w:p>
        </w:tc>
        <w:tc>
          <w:tcPr>
            <w:tcW w:w="1984" w:type="dxa"/>
          </w:tcPr>
          <w:p w14:paraId="0363360D"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13 June 2023</w:t>
            </w:r>
          </w:p>
        </w:tc>
      </w:tr>
      <w:tr w:rsidR="00CA2AD7" w:rsidRPr="00C4084C" w14:paraId="21FCF0B6"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4E412507" w14:textId="77777777" w:rsidR="00CA2AD7" w:rsidRPr="00C4084C" w:rsidRDefault="00CA2AD7">
            <w:pPr>
              <w:spacing w:after="0"/>
              <w:rPr>
                <w:rFonts w:cstheme="minorHAnsi"/>
                <w:spacing w:val="-4"/>
              </w:rPr>
            </w:pPr>
            <w:r w:rsidRPr="00C4084C">
              <w:rPr>
                <w:rFonts w:cstheme="minorHAnsi"/>
                <w:spacing w:val="-4"/>
              </w:rPr>
              <w:t>Indigenous Education Consultative Meeting</w:t>
            </w:r>
          </w:p>
        </w:tc>
        <w:tc>
          <w:tcPr>
            <w:tcW w:w="1984" w:type="dxa"/>
          </w:tcPr>
          <w:p w14:paraId="34364B8B"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14 June 2023</w:t>
            </w:r>
          </w:p>
        </w:tc>
      </w:tr>
      <w:tr w:rsidR="00CA2AD7" w:rsidRPr="00C4084C" w14:paraId="53D5278E"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7FAB2817" w14:textId="77777777" w:rsidR="00CA2AD7" w:rsidRPr="00C4084C" w:rsidRDefault="00CA2AD7">
            <w:pPr>
              <w:spacing w:after="0"/>
              <w:rPr>
                <w:rFonts w:cstheme="minorHAnsi"/>
              </w:rPr>
            </w:pPr>
            <w:r w:rsidRPr="00C4084C">
              <w:rPr>
                <w:rFonts w:cstheme="minorHAnsi"/>
                <w:spacing w:val="-4"/>
              </w:rPr>
              <w:t xml:space="preserve">The Hon Brendan O’Connor MP, Minister for </w:t>
            </w:r>
            <w:proofErr w:type="gramStart"/>
            <w:r w:rsidRPr="00C4084C">
              <w:rPr>
                <w:rFonts w:cstheme="minorHAnsi"/>
                <w:spacing w:val="-4"/>
              </w:rPr>
              <w:t>Skills</w:t>
            </w:r>
            <w:proofErr w:type="gramEnd"/>
            <w:r w:rsidRPr="00C4084C">
              <w:rPr>
                <w:rFonts w:cstheme="minorHAnsi"/>
                <w:spacing w:val="-4"/>
              </w:rPr>
              <w:t xml:space="preserve"> and Training</w:t>
            </w:r>
          </w:p>
        </w:tc>
        <w:tc>
          <w:tcPr>
            <w:tcW w:w="1984" w:type="dxa"/>
          </w:tcPr>
          <w:p w14:paraId="642E007A"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 xml:space="preserve">22 June 2023 </w:t>
            </w:r>
          </w:p>
        </w:tc>
      </w:tr>
      <w:tr w:rsidR="00CA2AD7" w:rsidRPr="00C4084C" w14:paraId="7D487CFF"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335B4742" w14:textId="77777777" w:rsidR="00CA2AD7" w:rsidRPr="00C4084C" w:rsidRDefault="00CA2AD7">
            <w:pPr>
              <w:spacing w:after="0"/>
              <w:rPr>
                <w:rFonts w:cstheme="minorHAnsi"/>
              </w:rPr>
            </w:pPr>
            <w:r w:rsidRPr="00C4084C">
              <w:rPr>
                <w:rFonts w:cstheme="minorHAnsi"/>
                <w:spacing w:val="-4"/>
              </w:rPr>
              <w:t xml:space="preserve">MPs and Senators from the Government </w:t>
            </w:r>
          </w:p>
        </w:tc>
        <w:tc>
          <w:tcPr>
            <w:tcW w:w="1984" w:type="dxa"/>
          </w:tcPr>
          <w:p w14:paraId="4FC96C31"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 xml:space="preserve">22 June 2023 </w:t>
            </w:r>
          </w:p>
        </w:tc>
      </w:tr>
      <w:tr w:rsidR="00CA2AD7" w:rsidRPr="00C4084C" w14:paraId="108A993F"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60F043BD" w14:textId="77777777" w:rsidR="00CA2AD7" w:rsidRPr="00C4084C" w:rsidRDefault="00CA2AD7">
            <w:pPr>
              <w:spacing w:after="0"/>
              <w:rPr>
                <w:rFonts w:cstheme="minorHAnsi"/>
              </w:rPr>
            </w:pPr>
            <w:r w:rsidRPr="00C4084C">
              <w:rPr>
                <w:rFonts w:cstheme="minorHAnsi"/>
                <w:spacing w:val="-4"/>
              </w:rPr>
              <w:t>MPs and Senators from the Australian Greens</w:t>
            </w:r>
          </w:p>
        </w:tc>
        <w:tc>
          <w:tcPr>
            <w:tcW w:w="1984" w:type="dxa"/>
          </w:tcPr>
          <w:p w14:paraId="7C63824C"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 xml:space="preserve">22 June 2023 </w:t>
            </w:r>
          </w:p>
        </w:tc>
      </w:tr>
      <w:tr w:rsidR="00CA2AD7" w:rsidRPr="00C4084C" w14:paraId="59FA8813"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3025AE46" w14:textId="77777777" w:rsidR="00CA2AD7" w:rsidRPr="00C4084C" w:rsidRDefault="00CA2AD7">
            <w:pPr>
              <w:spacing w:after="0"/>
              <w:rPr>
                <w:rFonts w:cstheme="minorHAnsi"/>
              </w:rPr>
            </w:pPr>
            <w:r w:rsidRPr="00C4084C">
              <w:rPr>
                <w:rFonts w:cstheme="minorHAnsi"/>
                <w:spacing w:val="-4"/>
              </w:rPr>
              <w:t>MPs and Senators from the Coalition</w:t>
            </w:r>
          </w:p>
        </w:tc>
        <w:tc>
          <w:tcPr>
            <w:tcW w:w="1984" w:type="dxa"/>
          </w:tcPr>
          <w:p w14:paraId="309B8999"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 xml:space="preserve">22 June 2023 </w:t>
            </w:r>
          </w:p>
        </w:tc>
      </w:tr>
      <w:tr w:rsidR="00CA2AD7" w:rsidRPr="00C4084C" w14:paraId="63802E06"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7B432467" w14:textId="77777777" w:rsidR="00CA2AD7" w:rsidRPr="00C4084C" w:rsidRDefault="00CA2AD7">
            <w:pPr>
              <w:spacing w:after="0"/>
              <w:rPr>
                <w:rFonts w:cstheme="minorHAnsi"/>
              </w:rPr>
            </w:pPr>
            <w:r w:rsidRPr="00C4084C">
              <w:rPr>
                <w:rFonts w:cstheme="minorHAnsi"/>
                <w:spacing w:val="-4"/>
              </w:rPr>
              <w:t>MPs and Senators from the Crossbench</w:t>
            </w:r>
          </w:p>
        </w:tc>
        <w:tc>
          <w:tcPr>
            <w:tcW w:w="1984" w:type="dxa"/>
          </w:tcPr>
          <w:p w14:paraId="59D88C03"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 xml:space="preserve">22 June 2023 </w:t>
            </w:r>
          </w:p>
        </w:tc>
      </w:tr>
      <w:tr w:rsidR="00CA2AD7" w:rsidRPr="00C4084C" w14:paraId="2C17460A"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47727B57" w14:textId="77777777" w:rsidR="00CA2AD7" w:rsidRPr="00C4084C" w:rsidRDefault="00CA2AD7">
            <w:pPr>
              <w:spacing w:after="0"/>
              <w:rPr>
                <w:rFonts w:cstheme="minorHAnsi"/>
              </w:rPr>
            </w:pPr>
            <w:r w:rsidRPr="00C4084C">
              <w:rPr>
                <w:rFonts w:cstheme="minorHAnsi"/>
                <w:spacing w:val="-4"/>
              </w:rPr>
              <w:t>The Hon Dr Anne Aly MP, Minister for Early Childhood Education, Minister for Youth</w:t>
            </w:r>
          </w:p>
        </w:tc>
        <w:tc>
          <w:tcPr>
            <w:tcW w:w="1984" w:type="dxa"/>
          </w:tcPr>
          <w:p w14:paraId="0DF2864F"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 xml:space="preserve">22 June 2023 </w:t>
            </w:r>
          </w:p>
        </w:tc>
      </w:tr>
      <w:tr w:rsidR="00CA2AD7" w:rsidRPr="00C4084C" w14:paraId="21C171FE"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13E6B019" w14:textId="77777777" w:rsidR="00CA2AD7" w:rsidRPr="00C4084C" w:rsidRDefault="00CA2AD7">
            <w:pPr>
              <w:spacing w:after="0"/>
              <w:rPr>
                <w:rFonts w:cstheme="minorHAnsi"/>
              </w:rPr>
            </w:pPr>
            <w:r w:rsidRPr="00C4084C">
              <w:rPr>
                <w:rFonts w:cstheme="minorHAnsi"/>
                <w:spacing w:val="-4"/>
              </w:rPr>
              <w:t>The Department of Health and Aged Care</w:t>
            </w:r>
          </w:p>
        </w:tc>
        <w:tc>
          <w:tcPr>
            <w:tcW w:w="1984" w:type="dxa"/>
          </w:tcPr>
          <w:p w14:paraId="13FE66FB"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 xml:space="preserve">22 June 2023 </w:t>
            </w:r>
          </w:p>
        </w:tc>
      </w:tr>
      <w:tr w:rsidR="00CA2AD7" w:rsidRPr="00C4084C" w14:paraId="79553E99"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153EE9B4" w14:textId="77777777" w:rsidR="00CA2AD7" w:rsidRPr="00C4084C" w:rsidRDefault="00CA2AD7">
            <w:pPr>
              <w:spacing w:after="0"/>
              <w:ind w:left="-45"/>
              <w:rPr>
                <w:rFonts w:cstheme="minorHAnsi"/>
                <w:b w:val="0"/>
                <w:bCs w:val="0"/>
                <w:spacing w:val="-4"/>
              </w:rPr>
            </w:pPr>
            <w:r w:rsidRPr="00C4084C">
              <w:rPr>
                <w:rFonts w:cstheme="minorHAnsi"/>
                <w:spacing w:val="-4"/>
              </w:rPr>
              <w:lastRenderedPageBreak/>
              <w:t>Australia and New Zealand Chief Scientists,</w:t>
            </w:r>
            <w:r w:rsidRPr="00C4084C">
              <w:rPr>
                <w:rFonts w:cstheme="minorHAnsi"/>
                <w:b w:val="0"/>
                <w:bCs w:val="0"/>
                <w:spacing w:val="-4"/>
              </w:rPr>
              <w:t xml:space="preserve"> including: </w:t>
            </w:r>
          </w:p>
          <w:p w14:paraId="29985C5C"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 xml:space="preserve">Dr Cathy Foley AO PSM, Chief Scientist of Australia </w:t>
            </w:r>
          </w:p>
          <w:p w14:paraId="551BF137"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Professor Dame Juliet Gerrard DNZM, New Zealand Chief Scientific Advisor</w:t>
            </w:r>
          </w:p>
          <w:p w14:paraId="2C01A2DF" w14:textId="77777777" w:rsidR="00CA2AD7" w:rsidRPr="00C4084C" w:rsidRDefault="00CA2AD7" w:rsidP="00FB44F8">
            <w:pPr>
              <w:pStyle w:val="ListParagraph"/>
              <w:numPr>
                <w:ilvl w:val="0"/>
                <w:numId w:val="26"/>
              </w:numPr>
              <w:spacing w:after="0" w:line="240" w:lineRule="auto"/>
              <w:contextualSpacing w:val="0"/>
              <w:rPr>
                <w:rFonts w:cstheme="minorHAnsi"/>
                <w:b w:val="0"/>
                <w:bCs w:val="0"/>
              </w:rPr>
            </w:pPr>
            <w:r w:rsidRPr="00C4084C">
              <w:rPr>
                <w:rFonts w:cs="Arial"/>
                <w:b w:val="0"/>
                <w:bCs w:val="0"/>
              </w:rPr>
              <w:t>representatives from the Office of the New Zealand Prime Minister’s Chief Science Advisor</w:t>
            </w:r>
          </w:p>
        </w:tc>
        <w:tc>
          <w:tcPr>
            <w:tcW w:w="1984" w:type="dxa"/>
          </w:tcPr>
          <w:p w14:paraId="55D22153"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27 June 2023</w:t>
            </w:r>
          </w:p>
        </w:tc>
      </w:tr>
      <w:tr w:rsidR="00CA2AD7" w:rsidRPr="00C4084C" w14:paraId="05C840AC"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564F5E6E" w14:textId="77777777" w:rsidR="00CA2AD7" w:rsidRPr="00C4084C" w:rsidRDefault="00CA2AD7">
            <w:pPr>
              <w:spacing w:after="0"/>
              <w:ind w:left="-45"/>
              <w:rPr>
                <w:rFonts w:cstheme="minorHAnsi"/>
                <w:b w:val="0"/>
                <w:bCs w:val="0"/>
                <w:spacing w:val="-4"/>
              </w:rPr>
            </w:pPr>
            <w:r w:rsidRPr="00C4084C">
              <w:rPr>
                <w:rFonts w:cstheme="minorHAnsi"/>
                <w:spacing w:val="-4"/>
              </w:rPr>
              <w:t>WA University Sector Review,</w:t>
            </w:r>
            <w:r w:rsidRPr="00C4084C">
              <w:rPr>
                <w:rFonts w:cstheme="minorHAnsi"/>
                <w:b w:val="0"/>
                <w:bCs w:val="0"/>
                <w:spacing w:val="-4"/>
              </w:rPr>
              <w:t xml:space="preserve"> including:</w:t>
            </w:r>
          </w:p>
          <w:p w14:paraId="3DE67CB3"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Professor Sandra Harding AO, Panel Chair</w:t>
            </w:r>
          </w:p>
          <w:p w14:paraId="4E4AB798" w14:textId="77777777" w:rsidR="00CA2AD7" w:rsidRPr="00C4084C" w:rsidRDefault="00CA2AD7" w:rsidP="00FB44F8">
            <w:pPr>
              <w:pStyle w:val="ListParagraph"/>
              <w:numPr>
                <w:ilvl w:val="0"/>
                <w:numId w:val="26"/>
              </w:numPr>
              <w:spacing w:after="0" w:line="240" w:lineRule="auto"/>
              <w:contextualSpacing w:val="0"/>
              <w:rPr>
                <w:rFonts w:cstheme="minorHAnsi"/>
                <w:b w:val="0"/>
                <w:bCs w:val="0"/>
              </w:rPr>
            </w:pPr>
            <w:r w:rsidRPr="00C4084C">
              <w:rPr>
                <w:rFonts w:cs="Arial"/>
                <w:b w:val="0"/>
                <w:bCs w:val="0"/>
              </w:rPr>
              <w:t>Professor Peter</w:t>
            </w:r>
            <w:r w:rsidRPr="00C4084C">
              <w:rPr>
                <w:rFonts w:cstheme="minorHAnsi"/>
                <w:b w:val="0"/>
                <w:bCs w:val="0"/>
                <w:spacing w:val="-4"/>
              </w:rPr>
              <w:t xml:space="preserve"> </w:t>
            </w:r>
            <w:proofErr w:type="spellStart"/>
            <w:r w:rsidRPr="00C4084C">
              <w:rPr>
                <w:rFonts w:cstheme="minorHAnsi"/>
                <w:b w:val="0"/>
                <w:bCs w:val="0"/>
                <w:spacing w:val="-4"/>
              </w:rPr>
              <w:t>Shergold</w:t>
            </w:r>
            <w:proofErr w:type="spellEnd"/>
            <w:r w:rsidRPr="00C4084C">
              <w:rPr>
                <w:rFonts w:cstheme="minorHAnsi"/>
                <w:b w:val="0"/>
                <w:bCs w:val="0"/>
                <w:spacing w:val="-4"/>
              </w:rPr>
              <w:t xml:space="preserve"> AC, Panel member</w:t>
            </w:r>
          </w:p>
          <w:p w14:paraId="23721085"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Mr Ian Watt AC, Panel member</w:t>
            </w:r>
          </w:p>
          <w:p w14:paraId="69F09109" w14:textId="77777777" w:rsidR="00CA2AD7" w:rsidRPr="00C4084C" w:rsidRDefault="00CA2AD7" w:rsidP="00FB44F8">
            <w:pPr>
              <w:pStyle w:val="ListParagraph"/>
              <w:numPr>
                <w:ilvl w:val="0"/>
                <w:numId w:val="26"/>
              </w:numPr>
              <w:spacing w:after="0" w:line="240" w:lineRule="auto"/>
              <w:contextualSpacing w:val="0"/>
              <w:rPr>
                <w:rFonts w:cstheme="minorHAnsi"/>
                <w:b w:val="0"/>
                <w:bCs w:val="0"/>
              </w:rPr>
            </w:pPr>
            <w:r w:rsidRPr="00C4084C">
              <w:rPr>
                <w:rFonts w:cstheme="minorHAnsi"/>
                <w:b w:val="0"/>
                <w:bCs w:val="0"/>
                <w:spacing w:val="-4"/>
              </w:rPr>
              <w:t>Professor John Williams AM, Panel member</w:t>
            </w:r>
          </w:p>
        </w:tc>
        <w:tc>
          <w:tcPr>
            <w:tcW w:w="1984" w:type="dxa"/>
          </w:tcPr>
          <w:p w14:paraId="4CF8F47D"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27 June 2023</w:t>
            </w:r>
          </w:p>
        </w:tc>
      </w:tr>
      <w:tr w:rsidR="00CA2AD7" w:rsidRPr="00C4084C" w14:paraId="032F011E"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6E65B11E" w14:textId="77777777" w:rsidR="00CA2AD7" w:rsidRPr="00C4084C" w:rsidRDefault="00CA2AD7">
            <w:pPr>
              <w:spacing w:after="0"/>
              <w:ind w:left="-45"/>
              <w:rPr>
                <w:rFonts w:cstheme="minorHAnsi"/>
                <w:b w:val="0"/>
                <w:bCs w:val="0"/>
                <w:spacing w:val="-4"/>
              </w:rPr>
            </w:pPr>
            <w:r w:rsidRPr="00C4084C">
              <w:rPr>
                <w:rFonts w:cstheme="minorHAnsi"/>
                <w:spacing w:val="-4"/>
              </w:rPr>
              <w:t>Australasian Council of Auditors-General,</w:t>
            </w:r>
            <w:r w:rsidRPr="00C4084C">
              <w:rPr>
                <w:rFonts w:cstheme="minorHAnsi"/>
                <w:b w:val="0"/>
                <w:bCs w:val="0"/>
                <w:spacing w:val="-4"/>
              </w:rPr>
              <w:t xml:space="preserve"> including:</w:t>
            </w:r>
          </w:p>
          <w:p w14:paraId="4E48B34D"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theme="minorHAnsi"/>
                <w:b w:val="0"/>
                <w:bCs w:val="0"/>
                <w:spacing w:val="-4"/>
              </w:rPr>
              <w:t xml:space="preserve">Mr </w:t>
            </w:r>
            <w:r w:rsidRPr="00C4084C">
              <w:rPr>
                <w:rFonts w:cs="Arial"/>
                <w:b w:val="0"/>
                <w:bCs w:val="0"/>
              </w:rPr>
              <w:t>Andrew Greaves, Convenor &amp; Auditor-General, Victoria</w:t>
            </w:r>
          </w:p>
          <w:p w14:paraId="56135DEC" w14:textId="77777777" w:rsidR="00CA2AD7" w:rsidRPr="00C4084C" w:rsidRDefault="00CA2AD7" w:rsidP="00FB44F8">
            <w:pPr>
              <w:pStyle w:val="ListParagraph"/>
              <w:numPr>
                <w:ilvl w:val="0"/>
                <w:numId w:val="26"/>
              </w:numPr>
              <w:spacing w:after="0" w:line="240" w:lineRule="auto"/>
              <w:contextualSpacing w:val="0"/>
              <w:rPr>
                <w:rFonts w:cs="Arial"/>
              </w:rPr>
            </w:pPr>
            <w:r w:rsidRPr="00C4084C">
              <w:rPr>
                <w:rFonts w:cs="Arial"/>
                <w:b w:val="0"/>
                <w:bCs w:val="0"/>
              </w:rPr>
              <w:t>Mr Grant Hehir, Auditor-General, Australia</w:t>
            </w:r>
          </w:p>
          <w:p w14:paraId="4007157B"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 xml:space="preserve">Ms Margaret Crawford, Auditor-General, New South Wales </w:t>
            </w:r>
          </w:p>
          <w:p w14:paraId="6ACFD4FD"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Ms Julie Crisp, Auditor-General, Northern Territory</w:t>
            </w:r>
          </w:p>
          <w:p w14:paraId="422AEEC9"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 xml:space="preserve">Mr Michael Harris, Auditor-General, Australian Capital Territory </w:t>
            </w:r>
          </w:p>
          <w:p w14:paraId="04177F0C"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Ms Caroline Spencer, Auditor-General, Western Australia</w:t>
            </w:r>
          </w:p>
          <w:p w14:paraId="1471A3AA"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Mr Rod Whitehead, Auditor-General, Tasmania</w:t>
            </w:r>
          </w:p>
          <w:p w14:paraId="66A05BFD"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Mr Brendan Worrall, Auditor-General, Queensland</w:t>
            </w:r>
          </w:p>
          <w:p w14:paraId="30F5F1B2"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Mr Andrew Richardson, Auditor-General, South Australia</w:t>
            </w:r>
          </w:p>
          <w:p w14:paraId="66460C02" w14:textId="77777777" w:rsidR="00CA2AD7" w:rsidRPr="00C4084C" w:rsidRDefault="00CA2AD7" w:rsidP="00FB44F8">
            <w:pPr>
              <w:pStyle w:val="ListParagraph"/>
              <w:numPr>
                <w:ilvl w:val="0"/>
                <w:numId w:val="26"/>
              </w:numPr>
              <w:spacing w:after="0" w:line="240" w:lineRule="auto"/>
              <w:contextualSpacing w:val="0"/>
              <w:rPr>
                <w:rFonts w:cstheme="minorHAnsi"/>
                <w:b w:val="0"/>
                <w:bCs w:val="0"/>
                <w:spacing w:val="-4"/>
              </w:rPr>
            </w:pPr>
            <w:r w:rsidRPr="00C4084C">
              <w:rPr>
                <w:rFonts w:cs="Arial"/>
                <w:b w:val="0"/>
                <w:bCs w:val="0"/>
              </w:rPr>
              <w:t>Mr Gordon Kega, Auditor-General</w:t>
            </w:r>
            <w:r w:rsidRPr="00C4084C">
              <w:rPr>
                <w:rFonts w:cstheme="minorHAnsi"/>
                <w:b w:val="0"/>
                <w:bCs w:val="0"/>
                <w:spacing w:val="-4"/>
              </w:rPr>
              <w:t xml:space="preserve">, Papua New Guinea </w:t>
            </w:r>
          </w:p>
          <w:p w14:paraId="28479A78" w14:textId="77777777" w:rsidR="00CA2AD7" w:rsidRPr="00C4084C" w:rsidRDefault="00CA2AD7" w:rsidP="00FB44F8">
            <w:pPr>
              <w:pStyle w:val="ListParagraph"/>
              <w:numPr>
                <w:ilvl w:val="0"/>
                <w:numId w:val="26"/>
              </w:numPr>
              <w:spacing w:after="0" w:line="240" w:lineRule="auto"/>
              <w:contextualSpacing w:val="0"/>
              <w:rPr>
                <w:rFonts w:cstheme="minorHAnsi"/>
                <w:b w:val="0"/>
                <w:bCs w:val="0"/>
                <w:spacing w:val="-4"/>
              </w:rPr>
            </w:pPr>
            <w:r w:rsidRPr="00C4084C">
              <w:rPr>
                <w:rFonts w:cstheme="minorHAnsi"/>
                <w:b w:val="0"/>
                <w:bCs w:val="0"/>
                <w:spacing w:val="-4"/>
              </w:rPr>
              <w:t xml:space="preserve">Mr </w:t>
            </w:r>
            <w:proofErr w:type="spellStart"/>
            <w:r w:rsidRPr="00C4084C">
              <w:rPr>
                <w:rFonts w:cstheme="minorHAnsi"/>
                <w:b w:val="0"/>
                <w:bCs w:val="0"/>
                <w:spacing w:val="-4"/>
              </w:rPr>
              <w:t>Sairusi</w:t>
            </w:r>
            <w:proofErr w:type="spellEnd"/>
            <w:r w:rsidRPr="00C4084C">
              <w:rPr>
                <w:rFonts w:cstheme="minorHAnsi"/>
                <w:b w:val="0"/>
                <w:bCs w:val="0"/>
                <w:spacing w:val="-4"/>
              </w:rPr>
              <w:t xml:space="preserve"> </w:t>
            </w:r>
            <w:proofErr w:type="spellStart"/>
            <w:r w:rsidRPr="00C4084C">
              <w:rPr>
                <w:rFonts w:cstheme="minorHAnsi"/>
                <w:b w:val="0"/>
                <w:bCs w:val="0"/>
                <w:spacing w:val="-4"/>
              </w:rPr>
              <w:t>Dukuno</w:t>
            </w:r>
            <w:proofErr w:type="spellEnd"/>
            <w:r w:rsidRPr="00C4084C">
              <w:rPr>
                <w:rFonts w:cstheme="minorHAnsi"/>
                <w:b w:val="0"/>
                <w:bCs w:val="0"/>
                <w:spacing w:val="-4"/>
              </w:rPr>
              <w:t xml:space="preserve">, Acting Auditor-General, Fiji </w:t>
            </w:r>
          </w:p>
          <w:p w14:paraId="5DFDBD17" w14:textId="77777777" w:rsidR="00CA2AD7" w:rsidRPr="00C4084C" w:rsidRDefault="00CA2AD7" w:rsidP="00FB44F8">
            <w:pPr>
              <w:pStyle w:val="ListParagraph"/>
              <w:numPr>
                <w:ilvl w:val="0"/>
                <w:numId w:val="26"/>
              </w:numPr>
              <w:spacing w:after="0" w:line="240" w:lineRule="auto"/>
              <w:contextualSpacing w:val="0"/>
              <w:rPr>
                <w:rFonts w:cstheme="minorHAnsi"/>
                <w:b w:val="0"/>
                <w:bCs w:val="0"/>
              </w:rPr>
            </w:pPr>
            <w:r w:rsidRPr="00C4084C">
              <w:rPr>
                <w:rFonts w:cstheme="minorHAnsi"/>
                <w:b w:val="0"/>
                <w:bCs w:val="0"/>
                <w:spacing w:val="-4"/>
              </w:rPr>
              <w:t xml:space="preserve">Mr John Ryan, Auditor-General and Secretary-General of Pacific Association of Supreme Audit Institutions, </w:t>
            </w:r>
            <w:r w:rsidRPr="00C4084C">
              <w:rPr>
                <w:rFonts w:cs="Arial"/>
                <w:b w:val="0"/>
                <w:bCs w:val="0"/>
              </w:rPr>
              <w:t>New</w:t>
            </w:r>
            <w:r w:rsidRPr="00C4084C">
              <w:rPr>
                <w:rFonts w:cstheme="minorHAnsi"/>
                <w:b w:val="0"/>
                <w:bCs w:val="0"/>
                <w:spacing w:val="-4"/>
              </w:rPr>
              <w:t xml:space="preserve"> Zealand</w:t>
            </w:r>
          </w:p>
        </w:tc>
        <w:tc>
          <w:tcPr>
            <w:tcW w:w="1984" w:type="dxa"/>
          </w:tcPr>
          <w:p w14:paraId="6A4C10D7"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30 June 2023</w:t>
            </w:r>
          </w:p>
        </w:tc>
      </w:tr>
      <w:tr w:rsidR="00CA2AD7" w:rsidRPr="00C4084C" w14:paraId="751520AD"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3D4A9CC9" w14:textId="77777777" w:rsidR="00CA2AD7" w:rsidRPr="00C4084C" w:rsidRDefault="00CA2AD7">
            <w:pPr>
              <w:spacing w:after="0"/>
              <w:rPr>
                <w:rFonts w:cstheme="minorHAnsi"/>
              </w:rPr>
            </w:pPr>
            <w:bookmarkStart w:id="1647" w:name="_Hlk153712597"/>
            <w:r w:rsidRPr="00C4084C">
              <w:rPr>
                <w:rFonts w:cstheme="minorHAnsi"/>
                <w:spacing w:val="-4"/>
              </w:rPr>
              <w:t xml:space="preserve">The Hon Paul Scully MP, Minister for Planning and Public Spaces (NSW), and Paul Levins, Chief of </w:t>
            </w:r>
            <w:proofErr w:type="gramStart"/>
            <w:r w:rsidRPr="00C4084C">
              <w:rPr>
                <w:rFonts w:cstheme="minorHAnsi"/>
                <w:spacing w:val="-4"/>
              </w:rPr>
              <w:t>Staff</w:t>
            </w:r>
            <w:proofErr w:type="gramEnd"/>
            <w:r w:rsidRPr="00C4084C">
              <w:rPr>
                <w:rFonts w:cstheme="minorHAnsi"/>
                <w:spacing w:val="-4"/>
              </w:rPr>
              <w:t xml:space="preserve"> and </w:t>
            </w:r>
            <w:bookmarkEnd w:id="1647"/>
            <w:r w:rsidRPr="00C4084C">
              <w:rPr>
                <w:rFonts w:cstheme="minorHAnsi"/>
                <w:spacing w:val="-4"/>
              </w:rPr>
              <w:t>start-up venture expert</w:t>
            </w:r>
          </w:p>
        </w:tc>
        <w:tc>
          <w:tcPr>
            <w:tcW w:w="1984" w:type="dxa"/>
          </w:tcPr>
          <w:p w14:paraId="726DB066"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spacing w:val="-4"/>
              </w:rPr>
            </w:pPr>
            <w:r w:rsidRPr="00C4084C">
              <w:rPr>
                <w:rFonts w:cstheme="minorHAnsi"/>
                <w:spacing w:val="-4"/>
              </w:rPr>
              <w:t>3 July 2023</w:t>
            </w:r>
          </w:p>
        </w:tc>
      </w:tr>
      <w:tr w:rsidR="00CA2AD7" w:rsidRPr="00C4084C" w14:paraId="323B7125"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46939524" w14:textId="77777777" w:rsidR="00CA2AD7" w:rsidRPr="00C4084C" w:rsidRDefault="00CA2AD7">
            <w:pPr>
              <w:spacing w:after="0"/>
              <w:rPr>
                <w:rFonts w:cstheme="minorHAnsi"/>
              </w:rPr>
            </w:pPr>
            <w:r w:rsidRPr="00C4084C">
              <w:rPr>
                <w:rFonts w:cstheme="minorHAnsi"/>
              </w:rPr>
              <w:t xml:space="preserve">The </w:t>
            </w:r>
            <w:r w:rsidRPr="00C4084C">
              <w:rPr>
                <w:rFonts w:cstheme="minorHAnsi"/>
                <w:spacing w:val="-4"/>
              </w:rPr>
              <w:t>Hon Dr Tony Buti MLA, Minister for Education, Aboriginal Affairs, Citizenship and Multicultural Interests (Western Australia)</w:t>
            </w:r>
          </w:p>
        </w:tc>
        <w:tc>
          <w:tcPr>
            <w:tcW w:w="1984" w:type="dxa"/>
          </w:tcPr>
          <w:p w14:paraId="26CD6F81"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3 July 2023</w:t>
            </w:r>
          </w:p>
        </w:tc>
      </w:tr>
      <w:tr w:rsidR="00CA2AD7" w:rsidRPr="00C4084C" w14:paraId="4D26274E"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2D7064A5" w14:textId="77777777" w:rsidR="00CA2AD7" w:rsidRPr="00C4084C" w:rsidRDefault="00CA2AD7">
            <w:pPr>
              <w:spacing w:after="0"/>
              <w:rPr>
                <w:rFonts w:cstheme="minorHAnsi"/>
              </w:rPr>
            </w:pPr>
            <w:r w:rsidRPr="00C4084C">
              <w:rPr>
                <w:rFonts w:cstheme="minorHAnsi"/>
              </w:rPr>
              <w:t xml:space="preserve">The </w:t>
            </w:r>
            <w:r w:rsidRPr="00C4084C">
              <w:rPr>
                <w:rFonts w:cstheme="minorHAnsi"/>
                <w:spacing w:val="-4"/>
              </w:rPr>
              <w:t xml:space="preserve">Hon Grace </w:t>
            </w:r>
            <w:proofErr w:type="spellStart"/>
            <w:r w:rsidRPr="00C4084C">
              <w:rPr>
                <w:rFonts w:cstheme="minorHAnsi"/>
                <w:spacing w:val="-4"/>
              </w:rPr>
              <w:t>Grace</w:t>
            </w:r>
            <w:proofErr w:type="spellEnd"/>
            <w:r w:rsidRPr="00C4084C">
              <w:rPr>
                <w:rFonts w:cstheme="minorHAnsi"/>
                <w:spacing w:val="-4"/>
              </w:rPr>
              <w:t xml:space="preserve"> MP, Minister for Education, Minister for Industrial </w:t>
            </w:r>
            <w:proofErr w:type="gramStart"/>
            <w:r w:rsidRPr="00C4084C">
              <w:rPr>
                <w:rFonts w:cstheme="minorHAnsi"/>
                <w:spacing w:val="-4"/>
              </w:rPr>
              <w:t>Relations</w:t>
            </w:r>
            <w:proofErr w:type="gramEnd"/>
            <w:r w:rsidRPr="00C4084C">
              <w:rPr>
                <w:rFonts w:cstheme="minorHAnsi"/>
                <w:spacing w:val="-4"/>
              </w:rPr>
              <w:t xml:space="preserve"> and Minister for Racing (Queensland)</w:t>
            </w:r>
          </w:p>
        </w:tc>
        <w:tc>
          <w:tcPr>
            <w:tcW w:w="1984" w:type="dxa"/>
          </w:tcPr>
          <w:p w14:paraId="4BD1DD5D"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4 July 2023</w:t>
            </w:r>
          </w:p>
        </w:tc>
      </w:tr>
      <w:tr w:rsidR="00CA2AD7" w:rsidRPr="00C4084C" w14:paraId="7E9F10AF"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4BBEB21A" w14:textId="77777777" w:rsidR="00CA2AD7" w:rsidRPr="00C4084C" w:rsidRDefault="00CA2AD7">
            <w:pPr>
              <w:spacing w:after="0"/>
              <w:rPr>
                <w:rFonts w:cstheme="minorHAnsi"/>
              </w:rPr>
            </w:pPr>
            <w:r w:rsidRPr="00C4084C">
              <w:rPr>
                <w:rFonts w:cstheme="minorHAnsi"/>
              </w:rPr>
              <w:t xml:space="preserve">The </w:t>
            </w:r>
            <w:r w:rsidRPr="00C4084C">
              <w:rPr>
                <w:rFonts w:cstheme="minorHAnsi"/>
                <w:spacing w:val="-4"/>
              </w:rPr>
              <w:t>Hon Clare O’Neil MP, Minister for Home Affairs, Minister for Cyber Security</w:t>
            </w:r>
          </w:p>
        </w:tc>
        <w:tc>
          <w:tcPr>
            <w:tcW w:w="1984" w:type="dxa"/>
          </w:tcPr>
          <w:p w14:paraId="6DC37652"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4 July 2023</w:t>
            </w:r>
          </w:p>
        </w:tc>
      </w:tr>
      <w:tr w:rsidR="00CA2AD7" w:rsidRPr="00C4084C" w14:paraId="032EE460"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3750152B" w14:textId="77777777" w:rsidR="00CA2AD7" w:rsidRPr="00C4084C" w:rsidRDefault="00CA2AD7">
            <w:pPr>
              <w:spacing w:after="0"/>
              <w:rPr>
                <w:rFonts w:cstheme="minorHAnsi"/>
              </w:rPr>
            </w:pPr>
            <w:r w:rsidRPr="00C4084C">
              <w:rPr>
                <w:rFonts w:cstheme="minorHAnsi"/>
                <w:spacing w:val="-4"/>
              </w:rPr>
              <w:t>Higher Education Standards Panel</w:t>
            </w:r>
          </w:p>
        </w:tc>
        <w:tc>
          <w:tcPr>
            <w:tcW w:w="1984" w:type="dxa"/>
          </w:tcPr>
          <w:p w14:paraId="1648D563"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5 July 2023</w:t>
            </w:r>
          </w:p>
        </w:tc>
      </w:tr>
      <w:tr w:rsidR="00CA2AD7" w:rsidRPr="00C4084C" w14:paraId="093DCE64"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38FBED33" w14:textId="77777777" w:rsidR="00CA2AD7" w:rsidRPr="00C4084C" w:rsidRDefault="00CA2AD7">
            <w:pPr>
              <w:spacing w:after="0"/>
              <w:rPr>
                <w:rFonts w:cstheme="minorHAnsi"/>
              </w:rPr>
            </w:pPr>
            <w:r w:rsidRPr="00C4084C">
              <w:rPr>
                <w:rFonts w:cstheme="minorHAnsi"/>
              </w:rPr>
              <w:t>The Hon Jason Clare MP, Minister for Education</w:t>
            </w:r>
          </w:p>
        </w:tc>
        <w:tc>
          <w:tcPr>
            <w:tcW w:w="1984" w:type="dxa"/>
          </w:tcPr>
          <w:p w14:paraId="33C78B75"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17 July 2023</w:t>
            </w:r>
          </w:p>
        </w:tc>
      </w:tr>
      <w:tr w:rsidR="00CA2AD7" w:rsidRPr="00C4084C" w14:paraId="51E2144B"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23237F5D" w14:textId="77777777" w:rsidR="00CA2AD7" w:rsidRPr="00C4084C" w:rsidRDefault="00CA2AD7">
            <w:pPr>
              <w:spacing w:after="0"/>
              <w:ind w:left="-45"/>
              <w:rPr>
                <w:rFonts w:cstheme="minorHAnsi"/>
                <w:spacing w:val="-4"/>
              </w:rPr>
            </w:pPr>
            <w:r w:rsidRPr="00C4084C">
              <w:rPr>
                <w:rFonts w:cstheme="minorHAnsi"/>
                <w:spacing w:val="-4"/>
              </w:rPr>
              <w:t>Review Chairs,</w:t>
            </w:r>
            <w:r w:rsidRPr="00C4084C">
              <w:rPr>
                <w:rFonts w:cstheme="minorHAnsi"/>
                <w:b w:val="0"/>
                <w:bCs w:val="0"/>
                <w:spacing w:val="-4"/>
              </w:rPr>
              <w:t xml:space="preserve"> including:</w:t>
            </w:r>
            <w:r w:rsidRPr="00C4084C">
              <w:rPr>
                <w:rFonts w:cstheme="minorHAnsi"/>
                <w:spacing w:val="-4"/>
              </w:rPr>
              <w:t xml:space="preserve"> </w:t>
            </w:r>
          </w:p>
          <w:p w14:paraId="23D9CCA2" w14:textId="77777777" w:rsidR="00CA2AD7" w:rsidRPr="00C4084C" w:rsidRDefault="00CA2AD7" w:rsidP="00FB44F8">
            <w:pPr>
              <w:pStyle w:val="ListParagraph"/>
              <w:numPr>
                <w:ilvl w:val="0"/>
                <w:numId w:val="26"/>
              </w:numPr>
              <w:spacing w:after="0" w:line="240" w:lineRule="auto"/>
              <w:contextualSpacing w:val="0"/>
              <w:rPr>
                <w:rFonts w:cs="Arial"/>
                <w:b w:val="0"/>
                <w:bCs w:val="0"/>
              </w:rPr>
            </w:pPr>
            <w:r w:rsidRPr="00C4084C">
              <w:rPr>
                <w:rFonts w:cs="Arial"/>
                <w:b w:val="0"/>
                <w:bCs w:val="0"/>
              </w:rPr>
              <w:t>Professor Deborah Brennan AM, Chair, Productivity Commission Early Childhood Education and Care Inquiry</w:t>
            </w:r>
          </w:p>
          <w:p w14:paraId="758C1F04" w14:textId="4DB7AC2D" w:rsidR="00CA2AD7" w:rsidRPr="00C4084C" w:rsidRDefault="00CA2AD7" w:rsidP="00FB44F8">
            <w:pPr>
              <w:pStyle w:val="ListParagraph"/>
              <w:numPr>
                <w:ilvl w:val="0"/>
                <w:numId w:val="26"/>
              </w:numPr>
              <w:spacing w:after="0" w:line="240" w:lineRule="auto"/>
              <w:contextualSpacing w:val="0"/>
              <w:rPr>
                <w:rFonts w:cstheme="minorHAnsi"/>
                <w:b w:val="0"/>
                <w:bCs w:val="0"/>
              </w:rPr>
            </w:pPr>
            <w:r w:rsidRPr="00C4084C">
              <w:rPr>
                <w:rFonts w:cs="Arial"/>
                <w:b w:val="0"/>
                <w:bCs w:val="0"/>
              </w:rPr>
              <w:t>Dr Lisa O’Brien</w:t>
            </w:r>
            <w:r w:rsidRPr="00C4084C">
              <w:rPr>
                <w:rFonts w:cstheme="minorHAnsi"/>
                <w:b w:val="0"/>
                <w:bCs w:val="0"/>
                <w:spacing w:val="-4"/>
              </w:rPr>
              <w:t xml:space="preserve"> AM, Chair, Expert Panel to </w:t>
            </w:r>
            <w:r w:rsidR="00BB44CD" w:rsidRPr="00C4084C">
              <w:rPr>
                <w:rFonts w:cstheme="minorHAnsi"/>
                <w:b w:val="0"/>
                <w:bCs w:val="0"/>
                <w:spacing w:val="-4"/>
              </w:rPr>
              <w:t>I</w:t>
            </w:r>
            <w:r w:rsidRPr="00C4084C">
              <w:rPr>
                <w:rFonts w:cstheme="minorHAnsi"/>
                <w:b w:val="0"/>
                <w:bCs w:val="0"/>
                <w:spacing w:val="-4"/>
              </w:rPr>
              <w:t xml:space="preserve">nform a </w:t>
            </w:r>
            <w:r w:rsidR="00BB44CD" w:rsidRPr="00C4084C">
              <w:rPr>
                <w:rFonts w:cstheme="minorHAnsi"/>
                <w:b w:val="0"/>
                <w:bCs w:val="0"/>
                <w:spacing w:val="-4"/>
              </w:rPr>
              <w:t>B</w:t>
            </w:r>
            <w:r w:rsidRPr="00C4084C">
              <w:rPr>
                <w:rFonts w:cstheme="minorHAnsi"/>
                <w:b w:val="0"/>
                <w:bCs w:val="0"/>
                <w:spacing w:val="-4"/>
              </w:rPr>
              <w:t xml:space="preserve">etter and </w:t>
            </w:r>
            <w:r w:rsidR="00BB44CD" w:rsidRPr="00C4084C">
              <w:rPr>
                <w:rFonts w:cstheme="minorHAnsi"/>
                <w:b w:val="0"/>
                <w:bCs w:val="0"/>
                <w:spacing w:val="-4"/>
              </w:rPr>
              <w:t>F</w:t>
            </w:r>
            <w:r w:rsidRPr="00C4084C">
              <w:rPr>
                <w:rFonts w:cstheme="minorHAnsi"/>
                <w:b w:val="0"/>
                <w:bCs w:val="0"/>
                <w:spacing w:val="-4"/>
              </w:rPr>
              <w:t xml:space="preserve">airer </w:t>
            </w:r>
            <w:r w:rsidR="00BB44CD" w:rsidRPr="00C4084C">
              <w:rPr>
                <w:rFonts w:cstheme="minorHAnsi"/>
                <w:b w:val="0"/>
                <w:bCs w:val="0"/>
                <w:spacing w:val="-4"/>
              </w:rPr>
              <w:t>E</w:t>
            </w:r>
            <w:r w:rsidRPr="00C4084C">
              <w:rPr>
                <w:rFonts w:cstheme="minorHAnsi"/>
                <w:b w:val="0"/>
                <w:bCs w:val="0"/>
                <w:spacing w:val="-4"/>
              </w:rPr>
              <w:t xml:space="preserve">ducation </w:t>
            </w:r>
            <w:r w:rsidR="00BB44CD" w:rsidRPr="00C4084C">
              <w:rPr>
                <w:rFonts w:cstheme="minorHAnsi"/>
                <w:b w:val="0"/>
                <w:bCs w:val="0"/>
                <w:spacing w:val="-4"/>
              </w:rPr>
              <w:t>S</w:t>
            </w:r>
            <w:r w:rsidRPr="00C4084C">
              <w:rPr>
                <w:rFonts w:cstheme="minorHAnsi"/>
                <w:b w:val="0"/>
                <w:bCs w:val="0"/>
                <w:spacing w:val="-4"/>
              </w:rPr>
              <w:t>ystem</w:t>
            </w:r>
          </w:p>
        </w:tc>
        <w:tc>
          <w:tcPr>
            <w:tcW w:w="1984" w:type="dxa"/>
          </w:tcPr>
          <w:p w14:paraId="1B8ED730"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20 July 2023</w:t>
            </w:r>
          </w:p>
        </w:tc>
      </w:tr>
      <w:tr w:rsidR="00CA2AD7" w:rsidRPr="00C4084C" w14:paraId="66794252"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69316280" w14:textId="77777777" w:rsidR="00CA2AD7" w:rsidRPr="00C4084C" w:rsidRDefault="00CA2AD7">
            <w:pPr>
              <w:spacing w:after="0"/>
              <w:rPr>
                <w:rFonts w:cstheme="minorHAnsi"/>
              </w:rPr>
            </w:pPr>
            <w:r w:rsidRPr="00C4084C">
              <w:rPr>
                <w:rFonts w:cstheme="minorHAnsi"/>
                <w:spacing w:val="-4"/>
              </w:rPr>
              <w:t>Science and Technology Australia</w:t>
            </w:r>
          </w:p>
        </w:tc>
        <w:tc>
          <w:tcPr>
            <w:tcW w:w="1984" w:type="dxa"/>
          </w:tcPr>
          <w:p w14:paraId="269CBFDD"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25 July 2023</w:t>
            </w:r>
          </w:p>
        </w:tc>
      </w:tr>
      <w:tr w:rsidR="00CA2AD7" w:rsidRPr="00C4084C" w14:paraId="7D71501B"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54F2371A" w14:textId="77777777" w:rsidR="00CA2AD7" w:rsidRPr="00C4084C" w:rsidRDefault="00CA2AD7">
            <w:pPr>
              <w:spacing w:after="0"/>
              <w:rPr>
                <w:rFonts w:cstheme="minorHAnsi"/>
              </w:rPr>
            </w:pPr>
            <w:r w:rsidRPr="00C4084C">
              <w:rPr>
                <w:rFonts w:cstheme="minorHAnsi"/>
                <w:spacing w:val="-4"/>
              </w:rPr>
              <w:t>Equity in Higher Education Panel</w:t>
            </w:r>
          </w:p>
        </w:tc>
        <w:tc>
          <w:tcPr>
            <w:tcW w:w="1984" w:type="dxa"/>
          </w:tcPr>
          <w:p w14:paraId="6B38CF30"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3 August 2023</w:t>
            </w:r>
          </w:p>
        </w:tc>
      </w:tr>
      <w:tr w:rsidR="00CA2AD7" w:rsidRPr="00C4084C" w14:paraId="69CBC514"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7F1B1CC2" w14:textId="166CC722" w:rsidR="00CA2AD7" w:rsidRPr="00C4084C" w:rsidRDefault="00CA2AD7">
            <w:pPr>
              <w:spacing w:after="0"/>
              <w:rPr>
                <w:rFonts w:cstheme="minorHAnsi"/>
              </w:rPr>
            </w:pPr>
            <w:r w:rsidRPr="00C4084C">
              <w:rPr>
                <w:rFonts w:cstheme="minorHAnsi"/>
              </w:rPr>
              <w:t>Labor Caucus</w:t>
            </w:r>
          </w:p>
        </w:tc>
        <w:tc>
          <w:tcPr>
            <w:tcW w:w="1984" w:type="dxa"/>
          </w:tcPr>
          <w:p w14:paraId="4E2B2F8B"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8 August 2023</w:t>
            </w:r>
          </w:p>
        </w:tc>
      </w:tr>
      <w:tr w:rsidR="00CA2AD7" w:rsidRPr="00C4084C" w14:paraId="1CFCDC6C"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49548B73" w14:textId="77777777" w:rsidR="00CA2AD7" w:rsidRPr="00C4084C" w:rsidRDefault="00CA2AD7">
            <w:pPr>
              <w:spacing w:after="0"/>
              <w:rPr>
                <w:rFonts w:cstheme="minorHAnsi"/>
              </w:rPr>
            </w:pPr>
            <w:r w:rsidRPr="00C4084C">
              <w:rPr>
                <w:rFonts w:cstheme="minorHAnsi"/>
              </w:rPr>
              <w:t>The Hon Jason Clare MP, Minister for Education</w:t>
            </w:r>
          </w:p>
        </w:tc>
        <w:tc>
          <w:tcPr>
            <w:tcW w:w="1984" w:type="dxa"/>
          </w:tcPr>
          <w:p w14:paraId="4B7685EE"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8 August 2023</w:t>
            </w:r>
          </w:p>
        </w:tc>
      </w:tr>
      <w:tr w:rsidR="00CA2AD7" w:rsidRPr="00C4084C" w14:paraId="118A515F"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2BA0D05C" w14:textId="77777777" w:rsidR="00CA2AD7" w:rsidRPr="00C4084C" w:rsidRDefault="00CA2AD7">
            <w:pPr>
              <w:spacing w:after="0"/>
              <w:rPr>
                <w:rFonts w:cstheme="minorHAnsi"/>
                <w:spacing w:val="-4"/>
              </w:rPr>
            </w:pPr>
            <w:r w:rsidRPr="00C4084C">
              <w:rPr>
                <w:rFonts w:cstheme="minorHAnsi"/>
                <w:spacing w:val="-4"/>
              </w:rPr>
              <w:t xml:space="preserve">Central Agency Deputy Secretaries </w:t>
            </w:r>
          </w:p>
        </w:tc>
        <w:tc>
          <w:tcPr>
            <w:tcW w:w="1984" w:type="dxa"/>
          </w:tcPr>
          <w:p w14:paraId="53662AF1"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spacing w:val="-4"/>
              </w:rPr>
            </w:pPr>
            <w:r w:rsidRPr="00C4084C">
              <w:rPr>
                <w:rFonts w:cstheme="minorHAnsi"/>
                <w:spacing w:val="-4"/>
              </w:rPr>
              <w:t>8 August 2</w:t>
            </w:r>
            <w:r w:rsidRPr="00C4084C">
              <w:rPr>
                <w:spacing w:val="-4"/>
              </w:rPr>
              <w:t>023</w:t>
            </w:r>
          </w:p>
        </w:tc>
      </w:tr>
      <w:tr w:rsidR="00CA2AD7" w:rsidRPr="00C4084C" w14:paraId="4786BB71"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0260599F" w14:textId="77777777" w:rsidR="00CA2AD7" w:rsidRPr="00C4084C" w:rsidRDefault="00CA2AD7">
            <w:pPr>
              <w:spacing w:after="0"/>
              <w:rPr>
                <w:rFonts w:cstheme="minorHAnsi"/>
              </w:rPr>
            </w:pPr>
            <w:r w:rsidRPr="00C4084C">
              <w:rPr>
                <w:rFonts w:cstheme="minorHAnsi"/>
                <w:spacing w:val="-4"/>
              </w:rPr>
              <w:t>Australian Disability Clearinghouse for Education and Training and STEPS Group Australia</w:t>
            </w:r>
          </w:p>
        </w:tc>
        <w:tc>
          <w:tcPr>
            <w:tcW w:w="1984" w:type="dxa"/>
          </w:tcPr>
          <w:p w14:paraId="455ACD67"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8 August 2023</w:t>
            </w:r>
          </w:p>
        </w:tc>
      </w:tr>
      <w:tr w:rsidR="00CA2AD7" w:rsidRPr="00C4084C" w14:paraId="4A4910DF"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16D1B26C" w14:textId="77777777" w:rsidR="00CA2AD7" w:rsidRPr="00C4084C" w:rsidRDefault="00CA2AD7">
            <w:pPr>
              <w:spacing w:after="0"/>
              <w:rPr>
                <w:rFonts w:cstheme="minorHAnsi"/>
              </w:rPr>
            </w:pPr>
            <w:r w:rsidRPr="00C4084C">
              <w:rPr>
                <w:rFonts w:cstheme="minorHAnsi"/>
                <w:spacing w:val="-4"/>
              </w:rPr>
              <w:lastRenderedPageBreak/>
              <w:t>Students Against Placement Poverty</w:t>
            </w:r>
          </w:p>
        </w:tc>
        <w:tc>
          <w:tcPr>
            <w:tcW w:w="1984" w:type="dxa"/>
          </w:tcPr>
          <w:p w14:paraId="05B6A0F2"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8 August 2023</w:t>
            </w:r>
          </w:p>
        </w:tc>
      </w:tr>
      <w:tr w:rsidR="00CA2AD7" w:rsidRPr="00C4084C" w14:paraId="3C5D8F10"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70191440" w14:textId="77777777" w:rsidR="00CA2AD7" w:rsidRPr="00C4084C" w:rsidRDefault="00CA2AD7">
            <w:pPr>
              <w:spacing w:after="0"/>
              <w:rPr>
                <w:rFonts w:cstheme="minorHAnsi"/>
              </w:rPr>
            </w:pPr>
            <w:r w:rsidRPr="00C4084C">
              <w:rPr>
                <w:rFonts w:cstheme="minorHAnsi"/>
              </w:rPr>
              <w:t>MPs and Senators from the Cross Bench</w:t>
            </w:r>
          </w:p>
        </w:tc>
        <w:tc>
          <w:tcPr>
            <w:tcW w:w="1984" w:type="dxa"/>
          </w:tcPr>
          <w:p w14:paraId="0D2AC1E8"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9 August 2023</w:t>
            </w:r>
          </w:p>
        </w:tc>
      </w:tr>
      <w:tr w:rsidR="00CA2AD7" w:rsidRPr="00C4084C" w14:paraId="5976E40D"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6C4631FA" w14:textId="77777777" w:rsidR="00CA2AD7" w:rsidRPr="00C4084C" w:rsidRDefault="00CA2AD7">
            <w:pPr>
              <w:spacing w:after="0"/>
              <w:rPr>
                <w:rFonts w:cstheme="minorHAnsi"/>
              </w:rPr>
            </w:pPr>
            <w:r w:rsidRPr="00C4084C">
              <w:rPr>
                <w:rFonts w:cstheme="minorHAnsi"/>
              </w:rPr>
              <w:t>Australian Research Council</w:t>
            </w:r>
          </w:p>
        </w:tc>
        <w:tc>
          <w:tcPr>
            <w:tcW w:w="1984" w:type="dxa"/>
          </w:tcPr>
          <w:p w14:paraId="5BF82381"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15 August 2023</w:t>
            </w:r>
          </w:p>
        </w:tc>
      </w:tr>
      <w:tr w:rsidR="00CA2AD7" w:rsidRPr="00C4084C" w14:paraId="73C173A7"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4117BEE8" w14:textId="77777777" w:rsidR="00CA2AD7" w:rsidRPr="00C4084C" w:rsidRDefault="00CA2AD7">
            <w:pPr>
              <w:spacing w:after="0"/>
              <w:rPr>
                <w:rFonts w:cstheme="minorHAnsi"/>
              </w:rPr>
            </w:pPr>
            <w:r w:rsidRPr="00C4084C">
              <w:rPr>
                <w:rFonts w:cstheme="minorHAnsi"/>
                <w:spacing w:val="-4"/>
              </w:rPr>
              <w:t>Ms Bailey Riley, President, National Union of Students</w:t>
            </w:r>
          </w:p>
        </w:tc>
        <w:tc>
          <w:tcPr>
            <w:tcW w:w="1984" w:type="dxa"/>
          </w:tcPr>
          <w:p w14:paraId="4703B19B"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25 August 2023</w:t>
            </w:r>
          </w:p>
        </w:tc>
      </w:tr>
      <w:tr w:rsidR="00CA2AD7" w:rsidRPr="00C4084C" w14:paraId="35D0134C"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5F7EC088" w14:textId="77777777" w:rsidR="00CA2AD7" w:rsidRPr="00C4084C" w:rsidRDefault="00CA2AD7">
            <w:pPr>
              <w:spacing w:after="0"/>
              <w:rPr>
                <w:rFonts w:cstheme="minorHAnsi"/>
              </w:rPr>
            </w:pPr>
            <w:r w:rsidRPr="00C4084C">
              <w:rPr>
                <w:rFonts w:cstheme="minorHAnsi"/>
                <w:spacing w:val="-4"/>
              </w:rPr>
              <w:t xml:space="preserve">Fair Agenda and End Rape on Campus </w:t>
            </w:r>
          </w:p>
        </w:tc>
        <w:tc>
          <w:tcPr>
            <w:tcW w:w="1984" w:type="dxa"/>
          </w:tcPr>
          <w:p w14:paraId="1CAD0CC8"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29 August 2023</w:t>
            </w:r>
          </w:p>
        </w:tc>
      </w:tr>
      <w:tr w:rsidR="00CA2AD7" w:rsidRPr="00C4084C" w14:paraId="2108A27B"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0A811EC2" w14:textId="77777777" w:rsidR="00CA2AD7" w:rsidRPr="00C4084C" w:rsidRDefault="00CA2AD7">
            <w:pPr>
              <w:spacing w:after="0"/>
              <w:rPr>
                <w:rFonts w:cstheme="minorHAnsi"/>
                <w:spacing w:val="-4"/>
              </w:rPr>
            </w:pPr>
            <w:r w:rsidRPr="00C4084C">
              <w:rPr>
                <w:rFonts w:cstheme="minorHAnsi"/>
                <w:spacing w:val="-4"/>
              </w:rPr>
              <w:t>Professor Mary O’Kane appearance at Senate Education and Employment Committee</w:t>
            </w:r>
          </w:p>
        </w:tc>
        <w:tc>
          <w:tcPr>
            <w:tcW w:w="1984" w:type="dxa"/>
          </w:tcPr>
          <w:p w14:paraId="1685AB48"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spacing w:val="-4"/>
              </w:rPr>
            </w:pPr>
            <w:r w:rsidRPr="00C4084C">
              <w:rPr>
                <w:rFonts w:cstheme="minorHAnsi"/>
                <w:spacing w:val="-4"/>
              </w:rPr>
              <w:t>1 September 2023</w:t>
            </w:r>
          </w:p>
        </w:tc>
      </w:tr>
      <w:tr w:rsidR="00CA2AD7" w:rsidRPr="00C4084C" w14:paraId="687D4A94"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634DFA6F" w14:textId="77777777" w:rsidR="00CA2AD7" w:rsidRPr="00C4084C" w:rsidRDefault="00CA2AD7">
            <w:pPr>
              <w:spacing w:after="0"/>
              <w:rPr>
                <w:rFonts w:cstheme="minorHAnsi"/>
                <w:spacing w:val="-4"/>
              </w:rPr>
            </w:pPr>
            <w:r w:rsidRPr="00C4084C">
              <w:rPr>
                <w:rFonts w:cstheme="minorHAnsi"/>
                <w:spacing w:val="-4"/>
              </w:rPr>
              <w:t>Learned Academies workshop</w:t>
            </w:r>
          </w:p>
        </w:tc>
        <w:tc>
          <w:tcPr>
            <w:tcW w:w="1984" w:type="dxa"/>
          </w:tcPr>
          <w:p w14:paraId="418D658B"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spacing w:val="-4"/>
              </w:rPr>
            </w:pPr>
            <w:r w:rsidRPr="00C4084C">
              <w:rPr>
                <w:rFonts w:cstheme="minorHAnsi"/>
                <w:spacing w:val="-4"/>
              </w:rPr>
              <w:t>1 September 2023</w:t>
            </w:r>
          </w:p>
        </w:tc>
      </w:tr>
      <w:tr w:rsidR="00CA2AD7" w:rsidRPr="00C4084C" w14:paraId="5D6A801D"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29A2FBBD" w14:textId="77777777" w:rsidR="00CA2AD7" w:rsidRPr="00C4084C" w:rsidRDefault="00CA2AD7">
            <w:pPr>
              <w:spacing w:after="0"/>
              <w:rPr>
                <w:rFonts w:cstheme="minorHAnsi"/>
                <w:spacing w:val="-4"/>
              </w:rPr>
            </w:pPr>
            <w:r w:rsidRPr="00C4084C">
              <w:rPr>
                <w:rFonts w:cstheme="minorHAnsi"/>
                <w:spacing w:val="-4"/>
              </w:rPr>
              <w:t>Professor Mary O’Kane appearance at South Australian Joint Committees on the Establishment of Adelaide University</w:t>
            </w:r>
          </w:p>
        </w:tc>
        <w:tc>
          <w:tcPr>
            <w:tcW w:w="1984" w:type="dxa"/>
          </w:tcPr>
          <w:p w14:paraId="6CA051AE"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spacing w:val="-4"/>
              </w:rPr>
            </w:pPr>
            <w:r w:rsidRPr="00C4084C">
              <w:rPr>
                <w:rFonts w:cstheme="minorHAnsi"/>
                <w:spacing w:val="-4"/>
              </w:rPr>
              <w:t>4 September 2023</w:t>
            </w:r>
          </w:p>
        </w:tc>
      </w:tr>
      <w:tr w:rsidR="00CA2AD7" w:rsidRPr="00C4084C" w14:paraId="0E07B6C1"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59C1B4C5" w14:textId="77777777" w:rsidR="00CA2AD7" w:rsidRPr="00C4084C" w:rsidRDefault="00CA2AD7">
            <w:pPr>
              <w:spacing w:after="0"/>
              <w:rPr>
                <w:rFonts w:cstheme="minorHAnsi"/>
                <w:spacing w:val="-4"/>
              </w:rPr>
            </w:pPr>
            <w:r w:rsidRPr="00C4084C">
              <w:rPr>
                <w:rFonts w:cstheme="minorHAnsi"/>
                <w:spacing w:val="-4"/>
              </w:rPr>
              <w:t>Dr Frances Foster-Thorpe, Executive Director, Shaping Futures and Data Insights</w:t>
            </w:r>
            <w:r w:rsidRPr="00C4084C">
              <w:rPr>
                <w:rFonts w:cstheme="minorHAnsi"/>
                <w:b w:val="0"/>
                <w:bCs w:val="0"/>
                <w:spacing w:val="-4"/>
              </w:rPr>
              <w:t xml:space="preserve">, </w:t>
            </w:r>
            <w:r w:rsidRPr="00C4084C">
              <w:rPr>
                <w:rFonts w:cstheme="minorHAnsi"/>
                <w:spacing w:val="-4"/>
              </w:rPr>
              <w:t>the NSW Cabinet Office</w:t>
            </w:r>
          </w:p>
        </w:tc>
        <w:tc>
          <w:tcPr>
            <w:tcW w:w="1984" w:type="dxa"/>
          </w:tcPr>
          <w:p w14:paraId="7740DA68"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spacing w:val="-4"/>
              </w:rPr>
            </w:pPr>
            <w:r w:rsidRPr="00C4084C">
              <w:rPr>
                <w:rFonts w:cstheme="minorHAnsi"/>
                <w:spacing w:val="-4"/>
              </w:rPr>
              <w:t>8 September 2023</w:t>
            </w:r>
          </w:p>
        </w:tc>
      </w:tr>
      <w:tr w:rsidR="00CA2AD7" w:rsidRPr="00C4084C" w14:paraId="4CFB5EC7"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58FABE0A" w14:textId="4C19BCBB" w:rsidR="00CA2AD7" w:rsidRPr="00C4084C" w:rsidRDefault="00CA2AD7">
            <w:pPr>
              <w:spacing w:after="0"/>
              <w:rPr>
                <w:rFonts w:cstheme="minorHAnsi"/>
              </w:rPr>
            </w:pPr>
            <w:r w:rsidRPr="00C4084C">
              <w:rPr>
                <w:rFonts w:cstheme="minorHAnsi"/>
                <w:spacing w:val="-4"/>
              </w:rPr>
              <w:t xml:space="preserve">Her Excellency Professor </w:t>
            </w:r>
            <w:r w:rsidR="007226ED">
              <w:rPr>
                <w:rFonts w:cstheme="minorHAnsi"/>
                <w:spacing w:val="-4"/>
              </w:rPr>
              <w:t xml:space="preserve">the Hon </w:t>
            </w:r>
            <w:r w:rsidRPr="00C4084C">
              <w:rPr>
                <w:rFonts w:cstheme="minorHAnsi"/>
                <w:spacing w:val="-4"/>
              </w:rPr>
              <w:t xml:space="preserve">Margret Gardner AC, Governor of Victoria </w:t>
            </w:r>
          </w:p>
        </w:tc>
        <w:tc>
          <w:tcPr>
            <w:tcW w:w="1984" w:type="dxa"/>
          </w:tcPr>
          <w:p w14:paraId="26595AC1"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8 September 2023</w:t>
            </w:r>
          </w:p>
        </w:tc>
      </w:tr>
      <w:tr w:rsidR="00CA2AD7" w:rsidRPr="00C4084C" w14:paraId="46BFEF3C"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626FC8C4" w14:textId="77777777" w:rsidR="00CA2AD7" w:rsidRPr="00C4084C" w:rsidRDefault="00CA2AD7">
            <w:pPr>
              <w:spacing w:after="0"/>
              <w:rPr>
                <w:rFonts w:cstheme="minorHAnsi"/>
              </w:rPr>
            </w:pPr>
            <w:r w:rsidRPr="00C4084C">
              <w:rPr>
                <w:rFonts w:cstheme="minorHAnsi"/>
                <w:spacing w:val="-4"/>
              </w:rPr>
              <w:t>Australian Services Union and Student Against Placement Poverty</w:t>
            </w:r>
          </w:p>
        </w:tc>
        <w:tc>
          <w:tcPr>
            <w:tcW w:w="1984" w:type="dxa"/>
          </w:tcPr>
          <w:p w14:paraId="7575E430"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28 September 2023</w:t>
            </w:r>
          </w:p>
        </w:tc>
      </w:tr>
      <w:tr w:rsidR="00CA2AD7" w:rsidRPr="00C4084C" w14:paraId="385FCB2D"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4C49BCEB" w14:textId="77777777" w:rsidR="00CA2AD7" w:rsidRPr="00C4084C" w:rsidRDefault="00CA2AD7">
            <w:pPr>
              <w:spacing w:after="0"/>
              <w:rPr>
                <w:rFonts w:cstheme="minorHAnsi"/>
              </w:rPr>
            </w:pPr>
            <w:r w:rsidRPr="00C4084C">
              <w:rPr>
                <w:rFonts w:cstheme="minorHAnsi"/>
                <w:spacing w:val="-4"/>
              </w:rPr>
              <w:t xml:space="preserve">The </w:t>
            </w:r>
            <w:r w:rsidRPr="00C4084C">
              <w:rPr>
                <w:rFonts w:cstheme="minorHAnsi"/>
              </w:rPr>
              <w:t>Hon Jason Clare MP, Minister for Education</w:t>
            </w:r>
          </w:p>
        </w:tc>
        <w:tc>
          <w:tcPr>
            <w:tcW w:w="1984" w:type="dxa"/>
          </w:tcPr>
          <w:p w14:paraId="43E16155"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9 October 2023</w:t>
            </w:r>
          </w:p>
        </w:tc>
      </w:tr>
      <w:tr w:rsidR="00CA2AD7" w:rsidRPr="00C4084C" w14:paraId="76206713"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4E025A42" w14:textId="77777777" w:rsidR="00CA2AD7" w:rsidRPr="00C4084C" w:rsidRDefault="00CA2AD7">
            <w:pPr>
              <w:spacing w:after="0"/>
              <w:rPr>
                <w:rFonts w:cstheme="minorHAnsi"/>
                <w:spacing w:val="-4"/>
              </w:rPr>
            </w:pPr>
            <w:r w:rsidRPr="00C4084C">
              <w:rPr>
                <w:rFonts w:cstheme="minorHAnsi"/>
                <w:spacing w:val="-4"/>
              </w:rPr>
              <w:t xml:space="preserve">Ms Camille </w:t>
            </w:r>
            <w:proofErr w:type="spellStart"/>
            <w:r w:rsidRPr="00C4084C">
              <w:rPr>
                <w:rFonts w:cstheme="minorHAnsi"/>
                <w:spacing w:val="-4"/>
              </w:rPr>
              <w:t>Schloeffel</w:t>
            </w:r>
            <w:proofErr w:type="spellEnd"/>
            <w:r w:rsidRPr="00C4084C">
              <w:rPr>
                <w:rFonts w:cstheme="minorHAnsi"/>
                <w:spacing w:val="-4"/>
              </w:rPr>
              <w:t>, Founder and Director, The STOP Campaign</w:t>
            </w:r>
          </w:p>
        </w:tc>
        <w:tc>
          <w:tcPr>
            <w:tcW w:w="1984" w:type="dxa"/>
          </w:tcPr>
          <w:p w14:paraId="4B4D78CE"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spacing w:val="-4"/>
              </w:rPr>
            </w:pPr>
            <w:r w:rsidRPr="00C4084C">
              <w:rPr>
                <w:rFonts w:cstheme="minorHAnsi"/>
                <w:spacing w:val="-4"/>
              </w:rPr>
              <w:t>13 October 2023</w:t>
            </w:r>
          </w:p>
        </w:tc>
      </w:tr>
      <w:tr w:rsidR="00CA2AD7" w:rsidRPr="00C4084C" w14:paraId="5891837A"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541F47DA" w14:textId="77777777" w:rsidR="00CA2AD7" w:rsidRPr="00C4084C" w:rsidRDefault="00CA2AD7">
            <w:pPr>
              <w:spacing w:after="0"/>
              <w:rPr>
                <w:rFonts w:cstheme="minorHAnsi"/>
                <w:spacing w:val="-4"/>
              </w:rPr>
            </w:pPr>
            <w:r w:rsidRPr="00C4084C">
              <w:rPr>
                <w:rFonts w:cstheme="minorHAnsi"/>
                <w:spacing w:val="-4"/>
              </w:rPr>
              <w:t>Professor Vin Massaro, Professorial Fellow, Melbourne Centre for the Study of Higher Education at the University of Melbourne</w:t>
            </w:r>
          </w:p>
        </w:tc>
        <w:tc>
          <w:tcPr>
            <w:tcW w:w="1984" w:type="dxa"/>
          </w:tcPr>
          <w:p w14:paraId="4F144B17"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spacing w:val="-4"/>
              </w:rPr>
            </w:pPr>
            <w:r w:rsidRPr="00C4084C">
              <w:rPr>
                <w:rFonts w:cstheme="minorHAnsi"/>
                <w:spacing w:val="-4"/>
              </w:rPr>
              <w:t>16 October 2023</w:t>
            </w:r>
          </w:p>
        </w:tc>
      </w:tr>
      <w:tr w:rsidR="00CA2AD7" w:rsidRPr="00C4084C" w14:paraId="0445BEB2"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616DBC28" w14:textId="77777777" w:rsidR="00CA2AD7" w:rsidRPr="00C4084C" w:rsidRDefault="00CA2AD7">
            <w:pPr>
              <w:spacing w:after="0"/>
              <w:rPr>
                <w:rFonts w:cstheme="minorHAnsi"/>
              </w:rPr>
            </w:pPr>
            <w:r w:rsidRPr="00C4084C">
              <w:rPr>
                <w:rFonts w:cstheme="minorHAnsi"/>
                <w:spacing w:val="-4"/>
              </w:rPr>
              <w:t xml:space="preserve">National Party Room Briefing </w:t>
            </w:r>
          </w:p>
        </w:tc>
        <w:tc>
          <w:tcPr>
            <w:tcW w:w="1984" w:type="dxa"/>
          </w:tcPr>
          <w:p w14:paraId="49D82665"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17 October 2023</w:t>
            </w:r>
          </w:p>
        </w:tc>
      </w:tr>
      <w:tr w:rsidR="00CA2AD7" w:rsidRPr="00C4084C" w14:paraId="36C2F039"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02B16984" w14:textId="77777777" w:rsidR="00CA2AD7" w:rsidRPr="00C4084C" w:rsidRDefault="00CA2AD7">
            <w:pPr>
              <w:spacing w:after="0"/>
              <w:rPr>
                <w:rFonts w:cstheme="minorHAnsi"/>
              </w:rPr>
            </w:pPr>
            <w:r w:rsidRPr="00C4084C">
              <w:rPr>
                <w:rFonts w:cstheme="minorHAnsi"/>
                <w:spacing w:val="-4"/>
              </w:rPr>
              <w:t xml:space="preserve">The Hon Jason Clare, Minister for Education </w:t>
            </w:r>
          </w:p>
        </w:tc>
        <w:tc>
          <w:tcPr>
            <w:tcW w:w="1984" w:type="dxa"/>
          </w:tcPr>
          <w:p w14:paraId="6B299EEE"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C4084C">
              <w:rPr>
                <w:rFonts w:cstheme="minorHAnsi"/>
                <w:spacing w:val="-4"/>
              </w:rPr>
              <w:t>24 November 2023</w:t>
            </w:r>
          </w:p>
        </w:tc>
      </w:tr>
      <w:tr w:rsidR="00CA2AD7" w:rsidRPr="00C4084C" w14:paraId="19C31D73" w14:textId="77777777">
        <w:trPr>
          <w:trHeight w:val="390"/>
        </w:trPr>
        <w:tc>
          <w:tcPr>
            <w:cnfStyle w:val="001000000000" w:firstRow="0" w:lastRow="0" w:firstColumn="1" w:lastColumn="0" w:oddVBand="0" w:evenVBand="0" w:oddHBand="0" w:evenHBand="0" w:firstRowFirstColumn="0" w:firstRowLastColumn="0" w:lastRowFirstColumn="0" w:lastRowLastColumn="0"/>
            <w:tcW w:w="7088" w:type="dxa"/>
          </w:tcPr>
          <w:p w14:paraId="6F868A81" w14:textId="77777777" w:rsidR="00CA2AD7" w:rsidRPr="00C4084C" w:rsidRDefault="00CA2AD7">
            <w:pPr>
              <w:spacing w:after="0"/>
              <w:rPr>
                <w:rFonts w:cstheme="minorHAnsi"/>
              </w:rPr>
            </w:pPr>
            <w:r w:rsidRPr="00C4084C">
              <w:rPr>
                <w:rFonts w:cstheme="minorHAnsi"/>
                <w:spacing w:val="-4"/>
              </w:rPr>
              <w:t xml:space="preserve">The Hon Jason Clare, Minister for Education </w:t>
            </w:r>
          </w:p>
        </w:tc>
        <w:tc>
          <w:tcPr>
            <w:tcW w:w="1984" w:type="dxa"/>
          </w:tcPr>
          <w:p w14:paraId="177C61DD"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4084C">
              <w:rPr>
                <w:rFonts w:cstheme="minorHAnsi"/>
                <w:spacing w:val="-4"/>
              </w:rPr>
              <w:t>5 December 2023</w:t>
            </w:r>
          </w:p>
        </w:tc>
      </w:tr>
      <w:tr w:rsidR="00CA2AD7" w:rsidRPr="00C4084C" w14:paraId="0FAB453B"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088" w:type="dxa"/>
          </w:tcPr>
          <w:p w14:paraId="6D4D8729" w14:textId="77777777" w:rsidR="00CA2AD7" w:rsidRPr="00C4084C" w:rsidRDefault="00CA2AD7">
            <w:pPr>
              <w:spacing w:after="0"/>
              <w:rPr>
                <w:rFonts w:cstheme="minorHAnsi"/>
                <w:spacing w:val="-4"/>
              </w:rPr>
            </w:pPr>
            <w:r w:rsidRPr="00C4084C">
              <w:rPr>
                <w:rFonts w:cstheme="minorHAnsi"/>
                <w:spacing w:val="-4"/>
              </w:rPr>
              <w:t xml:space="preserve">The Hon Jason Clare, Minister for Education </w:t>
            </w:r>
          </w:p>
        </w:tc>
        <w:tc>
          <w:tcPr>
            <w:tcW w:w="1984" w:type="dxa"/>
          </w:tcPr>
          <w:p w14:paraId="52472D8C"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theme="minorHAnsi"/>
                <w:spacing w:val="-4"/>
              </w:rPr>
            </w:pPr>
            <w:r w:rsidRPr="00C4084C">
              <w:rPr>
                <w:rFonts w:cstheme="minorHAnsi"/>
                <w:spacing w:val="-4"/>
              </w:rPr>
              <w:t>13 December 2023</w:t>
            </w:r>
          </w:p>
        </w:tc>
      </w:tr>
    </w:tbl>
    <w:p w14:paraId="388B9517" w14:textId="77777777" w:rsidR="00CA2AD7" w:rsidRPr="00C4084C" w:rsidRDefault="00CA2AD7" w:rsidP="00CA2AD7">
      <w:pPr>
        <w:pStyle w:val="Non-numberedHeading3"/>
      </w:pPr>
      <w:r w:rsidRPr="00C4084C">
        <w:t xml:space="preserve">Conferences, summits and speaking </w:t>
      </w:r>
      <w:proofErr w:type="gramStart"/>
      <w:r w:rsidRPr="00C4084C">
        <w:t>events</w:t>
      </w:r>
      <w:proofErr w:type="gramEnd"/>
    </w:p>
    <w:p w14:paraId="5DE37715" w14:textId="77777777" w:rsidR="00CA2AD7" w:rsidRPr="00C4084C" w:rsidRDefault="00CA2AD7" w:rsidP="006973B0">
      <w:r w:rsidRPr="00C4084C">
        <w:t>Panel members spoke at the following events.</w:t>
      </w:r>
    </w:p>
    <w:tbl>
      <w:tblPr>
        <w:tblStyle w:val="ListTable2-Accent3"/>
        <w:tblW w:w="4997" w:type="pct"/>
        <w:tblInd w:w="5" w:type="dxa"/>
        <w:tblLook w:val="04A0" w:firstRow="1" w:lastRow="0" w:firstColumn="1" w:lastColumn="0" w:noHBand="0" w:noVBand="1"/>
      </w:tblPr>
      <w:tblGrid>
        <w:gridCol w:w="6252"/>
        <w:gridCol w:w="1566"/>
        <w:gridCol w:w="1203"/>
      </w:tblGrid>
      <w:tr w:rsidR="00CA2AD7" w:rsidRPr="00C4084C" w14:paraId="22217F19" w14:textId="77777777" w:rsidTr="0072052F">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983" w:type="pct"/>
          </w:tcPr>
          <w:p w14:paraId="7A5C57C3" w14:textId="77777777" w:rsidR="00CA2AD7" w:rsidRPr="00C4084C" w:rsidRDefault="00CA2AD7">
            <w:pPr>
              <w:spacing w:after="0"/>
              <w:rPr>
                <w:rFonts w:cs="Arial"/>
              </w:rPr>
            </w:pPr>
            <w:r w:rsidRPr="00C4084C">
              <w:rPr>
                <w:rFonts w:cs="Arial"/>
              </w:rPr>
              <w:t>Event</w:t>
            </w:r>
          </w:p>
        </w:tc>
        <w:tc>
          <w:tcPr>
            <w:tcW w:w="943" w:type="pct"/>
          </w:tcPr>
          <w:p w14:paraId="439FCCB3" w14:textId="77777777" w:rsidR="00CA2AD7" w:rsidRPr="00C4084C" w:rsidRDefault="00CA2AD7">
            <w:pPr>
              <w:spacing w:after="0"/>
              <w:cnfStyle w:val="100000000000" w:firstRow="1" w:lastRow="0" w:firstColumn="0" w:lastColumn="0" w:oddVBand="0" w:evenVBand="0" w:oddHBand="0" w:evenHBand="0" w:firstRowFirstColumn="0" w:firstRowLastColumn="0" w:lastRowFirstColumn="0" w:lastRowLastColumn="0"/>
              <w:rPr>
                <w:rFonts w:cs="Arial"/>
              </w:rPr>
            </w:pPr>
            <w:r w:rsidRPr="00C4084C">
              <w:rPr>
                <w:rFonts w:cs="Arial"/>
              </w:rPr>
              <w:t>Panel member(s)</w:t>
            </w:r>
          </w:p>
        </w:tc>
        <w:tc>
          <w:tcPr>
            <w:tcW w:w="0" w:type="pct"/>
          </w:tcPr>
          <w:p w14:paraId="647CC86A" w14:textId="77777777" w:rsidR="00CA2AD7" w:rsidRPr="00C4084C" w:rsidRDefault="00CA2AD7">
            <w:pPr>
              <w:spacing w:after="0"/>
              <w:cnfStyle w:val="100000000000" w:firstRow="1" w:lastRow="0" w:firstColumn="0" w:lastColumn="0" w:oddVBand="0" w:evenVBand="0" w:oddHBand="0" w:evenHBand="0" w:firstRowFirstColumn="0" w:firstRowLastColumn="0" w:lastRowFirstColumn="0" w:lastRowLastColumn="0"/>
              <w:rPr>
                <w:rFonts w:eastAsia="Calibri" w:cs="Arial"/>
              </w:rPr>
            </w:pPr>
            <w:r w:rsidRPr="00C4084C">
              <w:rPr>
                <w:rFonts w:cs="Arial"/>
              </w:rPr>
              <w:t>Date</w:t>
            </w:r>
          </w:p>
        </w:tc>
      </w:tr>
      <w:tr w:rsidR="00CA2AD7" w:rsidRPr="00C4084C" w14:paraId="3AE920D5" w14:textId="77777777" w:rsidTr="0072052F">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983" w:type="pct"/>
          </w:tcPr>
          <w:p w14:paraId="7A15ADD5" w14:textId="77777777" w:rsidR="00CA2AD7" w:rsidRPr="00C4084C" w:rsidRDefault="00CA2AD7">
            <w:pPr>
              <w:spacing w:after="0"/>
              <w:rPr>
                <w:rFonts w:cs="Arial"/>
              </w:rPr>
            </w:pPr>
            <w:r w:rsidRPr="00C4084C">
              <w:rPr>
                <w:rFonts w:cs="Arial"/>
                <w14:ligatures w14:val="standardContextual"/>
              </w:rPr>
              <w:t>TEQSA Conference 2022</w:t>
            </w:r>
          </w:p>
        </w:tc>
        <w:tc>
          <w:tcPr>
            <w:tcW w:w="943" w:type="pct"/>
          </w:tcPr>
          <w:p w14:paraId="2CBAB6B9"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14:ligatures w14:val="standardContextual"/>
              </w:rPr>
              <w:t>Jenny Macklin</w:t>
            </w:r>
          </w:p>
        </w:tc>
        <w:tc>
          <w:tcPr>
            <w:tcW w:w="0" w:type="pct"/>
          </w:tcPr>
          <w:p w14:paraId="120091E1"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14:ligatures w14:val="standardContextual"/>
              </w:rPr>
              <w:t>24 November 2022</w:t>
            </w:r>
          </w:p>
        </w:tc>
      </w:tr>
      <w:tr w:rsidR="00CA2AD7" w:rsidRPr="00C4084C" w14:paraId="0741D22B" w14:textId="77777777" w:rsidTr="0072052F">
        <w:trPr>
          <w:trHeight w:val="420"/>
        </w:trPr>
        <w:tc>
          <w:tcPr>
            <w:cnfStyle w:val="001000000000" w:firstRow="0" w:lastRow="0" w:firstColumn="1" w:lastColumn="0" w:oddVBand="0" w:evenVBand="0" w:oddHBand="0" w:evenHBand="0" w:firstRowFirstColumn="0" w:firstRowLastColumn="0" w:lastRowFirstColumn="0" w:lastRowLastColumn="0"/>
            <w:tcW w:w="2983" w:type="pct"/>
          </w:tcPr>
          <w:p w14:paraId="1C9D58C8" w14:textId="77777777" w:rsidR="00CA2AD7" w:rsidRPr="00C4084C" w:rsidRDefault="00CA2AD7">
            <w:pPr>
              <w:spacing w:after="0"/>
              <w:rPr>
                <w:rFonts w:cs="Arial"/>
                <w:b w:val="0"/>
                <w:bCs w:val="0"/>
                <w14:ligatures w14:val="standardContextual"/>
              </w:rPr>
            </w:pPr>
            <w:r w:rsidRPr="00C4084C">
              <w:rPr>
                <w:rFonts w:cs="Arial"/>
                <w14:ligatures w14:val="standardContextual"/>
              </w:rPr>
              <w:t>Universities Australia Conference</w:t>
            </w:r>
          </w:p>
          <w:p w14:paraId="5B63BC7B" w14:textId="77777777" w:rsidR="00CA2AD7" w:rsidRPr="00C4084C" w:rsidRDefault="00CA2AD7">
            <w:pPr>
              <w:spacing w:after="0"/>
              <w:rPr>
                <w:rFonts w:cs="Arial"/>
                <w14:ligatures w14:val="standardContextual"/>
              </w:rPr>
            </w:pPr>
          </w:p>
        </w:tc>
        <w:tc>
          <w:tcPr>
            <w:tcW w:w="943" w:type="pct"/>
          </w:tcPr>
          <w:p w14:paraId="1C42B3FF"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spacing w:val="-4"/>
                <w14:ligatures w14:val="standardContextual"/>
              </w:rPr>
            </w:pPr>
            <w:r w:rsidRPr="00C4084C">
              <w:rPr>
                <w:rFonts w:cs="Arial"/>
                <w:spacing w:val="-4"/>
                <w14:ligatures w14:val="standardContextual"/>
              </w:rPr>
              <w:t>Mary O’Kane</w:t>
            </w:r>
          </w:p>
        </w:tc>
        <w:tc>
          <w:tcPr>
            <w:tcW w:w="0" w:type="pct"/>
          </w:tcPr>
          <w:p w14:paraId="45FFF409"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14:ligatures w14:val="standardContextual"/>
              </w:rPr>
            </w:pPr>
            <w:r w:rsidRPr="00C4084C">
              <w:rPr>
                <w:rFonts w:cs="Arial"/>
                <w14:ligatures w14:val="standardContextual"/>
              </w:rPr>
              <w:t>22 February 2023</w:t>
            </w:r>
          </w:p>
        </w:tc>
      </w:tr>
      <w:tr w:rsidR="00CA2AD7" w:rsidRPr="00C4084C" w14:paraId="66A9C134" w14:textId="77777777" w:rsidTr="0072052F">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983" w:type="pct"/>
          </w:tcPr>
          <w:p w14:paraId="03286762" w14:textId="77777777" w:rsidR="00CA2AD7" w:rsidRPr="00C4084C" w:rsidRDefault="00CA2AD7">
            <w:pPr>
              <w:spacing w:after="0"/>
              <w:rPr>
                <w:rFonts w:cs="Arial"/>
                <w14:ligatures w14:val="standardContextual"/>
              </w:rPr>
            </w:pPr>
            <w:r w:rsidRPr="00C4084C">
              <w:rPr>
                <w:rFonts w:cs="Arial"/>
                <w14:ligatures w14:val="standardContextual"/>
              </w:rPr>
              <w:t xml:space="preserve">Innovative Research Universities and Engagement Australia Event </w:t>
            </w:r>
          </w:p>
        </w:tc>
        <w:tc>
          <w:tcPr>
            <w:tcW w:w="943" w:type="pct"/>
          </w:tcPr>
          <w:p w14:paraId="4012D113"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spacing w:val="-4"/>
                <w14:ligatures w14:val="standardContextual"/>
              </w:rPr>
            </w:pPr>
            <w:r w:rsidRPr="00C4084C">
              <w:rPr>
                <w:rFonts w:cs="Arial"/>
                <w:spacing w:val="-4"/>
                <w14:ligatures w14:val="standardContextual"/>
              </w:rPr>
              <w:t>Mary O’Kane</w:t>
            </w:r>
          </w:p>
        </w:tc>
        <w:tc>
          <w:tcPr>
            <w:tcW w:w="0" w:type="pct"/>
          </w:tcPr>
          <w:p w14:paraId="2CEBA1C5"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14:ligatures w14:val="standardContextual"/>
              </w:rPr>
            </w:pPr>
            <w:r w:rsidRPr="00C4084C">
              <w:rPr>
                <w:rFonts w:cs="Arial"/>
                <w14:ligatures w14:val="standardContextual"/>
              </w:rPr>
              <w:t>24 February 2023</w:t>
            </w:r>
          </w:p>
        </w:tc>
      </w:tr>
      <w:tr w:rsidR="00CA2AD7" w:rsidRPr="00C4084C" w14:paraId="639DB4BB" w14:textId="77777777" w:rsidTr="0072052F">
        <w:trPr>
          <w:trHeight w:val="420"/>
        </w:trPr>
        <w:tc>
          <w:tcPr>
            <w:cnfStyle w:val="001000000000" w:firstRow="0" w:lastRow="0" w:firstColumn="1" w:lastColumn="0" w:oddVBand="0" w:evenVBand="0" w:oddHBand="0" w:evenHBand="0" w:firstRowFirstColumn="0" w:firstRowLastColumn="0" w:lastRowFirstColumn="0" w:lastRowLastColumn="0"/>
            <w:tcW w:w="2983" w:type="pct"/>
          </w:tcPr>
          <w:p w14:paraId="1965E267" w14:textId="77777777" w:rsidR="00CA2AD7" w:rsidRPr="00C4084C" w:rsidRDefault="00CA2AD7">
            <w:pPr>
              <w:spacing w:after="0"/>
              <w:rPr>
                <w:rFonts w:cs="Arial"/>
                <w14:ligatures w14:val="standardContextual"/>
              </w:rPr>
            </w:pPr>
            <w:proofErr w:type="spellStart"/>
            <w:r w:rsidRPr="00C4084C">
              <w:rPr>
                <w:rFonts w:cs="Arial"/>
                <w14:ligatures w14:val="standardContextual"/>
              </w:rPr>
              <w:t>HEDx</w:t>
            </w:r>
            <w:proofErr w:type="spellEnd"/>
            <w:r w:rsidRPr="00C4084C">
              <w:rPr>
                <w:rFonts w:cs="Arial"/>
                <w14:ligatures w14:val="standardContextual"/>
              </w:rPr>
              <w:t xml:space="preserve"> Podcast, Ep 66, Bringing bold big ideas into the University Accord</w:t>
            </w:r>
          </w:p>
        </w:tc>
        <w:tc>
          <w:tcPr>
            <w:tcW w:w="943" w:type="pct"/>
          </w:tcPr>
          <w:p w14:paraId="74AB3C37"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spacing w:val="-4"/>
                <w14:ligatures w14:val="standardContextual"/>
              </w:rPr>
            </w:pPr>
            <w:r w:rsidRPr="00C4084C">
              <w:rPr>
                <w:rFonts w:cs="Arial"/>
                <w:spacing w:val="-4"/>
                <w14:ligatures w14:val="standardContextual"/>
              </w:rPr>
              <w:t>Mary O’Kane</w:t>
            </w:r>
          </w:p>
        </w:tc>
        <w:tc>
          <w:tcPr>
            <w:tcW w:w="0" w:type="pct"/>
          </w:tcPr>
          <w:p w14:paraId="68321006"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14:ligatures w14:val="standardContextual"/>
              </w:rPr>
            </w:pPr>
            <w:r w:rsidRPr="00C4084C">
              <w:rPr>
                <w:rFonts w:cs="Arial"/>
                <w14:ligatures w14:val="standardContextual"/>
              </w:rPr>
              <w:t>1 March 2023</w:t>
            </w:r>
          </w:p>
        </w:tc>
      </w:tr>
      <w:tr w:rsidR="00CA2AD7" w:rsidRPr="00C4084C" w14:paraId="6175173E" w14:textId="77777777" w:rsidTr="0072052F">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983" w:type="pct"/>
          </w:tcPr>
          <w:p w14:paraId="342B621F" w14:textId="77777777" w:rsidR="00CA2AD7" w:rsidRPr="00C4084C" w:rsidRDefault="00CA2AD7">
            <w:pPr>
              <w:spacing w:after="0"/>
              <w:rPr>
                <w:rFonts w:cs="Arial"/>
                <w14:ligatures w14:val="standardContextual"/>
              </w:rPr>
            </w:pPr>
            <w:r w:rsidRPr="00C4084C">
              <w:rPr>
                <w:rFonts w:cs="Arial"/>
                <w14:ligatures w14:val="standardContextual"/>
              </w:rPr>
              <w:t>Equity in Higher Education Forum</w:t>
            </w:r>
          </w:p>
        </w:tc>
        <w:tc>
          <w:tcPr>
            <w:tcW w:w="943" w:type="pct"/>
          </w:tcPr>
          <w:p w14:paraId="7F600039"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spacing w:val="-4"/>
                <w14:ligatures w14:val="standardContextual"/>
              </w:rPr>
            </w:pPr>
            <w:r w:rsidRPr="00C4084C">
              <w:rPr>
                <w:rFonts w:cs="Arial"/>
                <w:spacing w:val="-4"/>
                <w14:ligatures w14:val="standardContextual"/>
              </w:rPr>
              <w:t>Mary O’Kane</w:t>
            </w:r>
          </w:p>
          <w:p w14:paraId="20F5770E"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spacing w:val="-4"/>
                <w14:ligatures w14:val="standardContextual"/>
              </w:rPr>
            </w:pPr>
            <w:r w:rsidRPr="00C4084C">
              <w:rPr>
                <w:rFonts w:cs="Arial"/>
                <w:spacing w:val="-4"/>
                <w14:ligatures w14:val="standardContextual"/>
              </w:rPr>
              <w:t>Larissa Behrendt</w:t>
            </w:r>
          </w:p>
          <w:p w14:paraId="03E520BE"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spacing w:val="-4"/>
                <w14:ligatures w14:val="standardContextual"/>
              </w:rPr>
            </w:pPr>
            <w:r w:rsidRPr="00C4084C">
              <w:rPr>
                <w:rFonts w:cs="Arial"/>
                <w:spacing w:val="-4"/>
                <w14:ligatures w14:val="standardContextual"/>
              </w:rPr>
              <w:t>Barney Glover</w:t>
            </w:r>
          </w:p>
          <w:p w14:paraId="2C17C833" w14:textId="00733A7C" w:rsidR="00CA2AD7" w:rsidRPr="00C4084C" w:rsidRDefault="002F514C">
            <w:pPr>
              <w:spacing w:after="0"/>
              <w:cnfStyle w:val="000000100000" w:firstRow="0" w:lastRow="0" w:firstColumn="0" w:lastColumn="0" w:oddVBand="0" w:evenVBand="0" w:oddHBand="1" w:evenHBand="0" w:firstRowFirstColumn="0" w:firstRowLastColumn="0" w:lastRowFirstColumn="0" w:lastRowLastColumn="0"/>
              <w:rPr>
                <w:rFonts w:cs="Arial"/>
                <w14:ligatures w14:val="standardContextual"/>
              </w:rPr>
            </w:pPr>
            <w:r w:rsidRPr="00C4084C">
              <w:rPr>
                <w:rFonts w:cs="Arial"/>
                <w:spacing w:val="-4"/>
                <w14:ligatures w14:val="standardContextual"/>
              </w:rPr>
              <w:lastRenderedPageBreak/>
              <w:t xml:space="preserve">Jenny Macklin </w:t>
            </w:r>
            <w:r w:rsidR="00CA2AD7" w:rsidRPr="00C4084C">
              <w:rPr>
                <w:rFonts w:cs="Arial"/>
                <w:spacing w:val="-4"/>
                <w14:ligatures w14:val="standardContextual"/>
              </w:rPr>
              <w:t>Fiona Nash</w:t>
            </w:r>
          </w:p>
        </w:tc>
        <w:tc>
          <w:tcPr>
            <w:tcW w:w="0" w:type="pct"/>
          </w:tcPr>
          <w:p w14:paraId="2768258B"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14:ligatures w14:val="standardContextual"/>
              </w:rPr>
            </w:pPr>
            <w:r w:rsidRPr="00C4084C">
              <w:rPr>
                <w:rFonts w:cs="Arial"/>
                <w14:ligatures w14:val="standardContextual"/>
              </w:rPr>
              <w:lastRenderedPageBreak/>
              <w:t>27 March 2023</w:t>
            </w:r>
          </w:p>
        </w:tc>
      </w:tr>
      <w:tr w:rsidR="00CA2AD7" w:rsidRPr="00C4084C" w14:paraId="2A73A20F" w14:textId="77777777" w:rsidTr="0072052F">
        <w:trPr>
          <w:trHeight w:val="420"/>
        </w:trPr>
        <w:tc>
          <w:tcPr>
            <w:cnfStyle w:val="001000000000" w:firstRow="0" w:lastRow="0" w:firstColumn="1" w:lastColumn="0" w:oddVBand="0" w:evenVBand="0" w:oddHBand="0" w:evenHBand="0" w:firstRowFirstColumn="0" w:firstRowLastColumn="0" w:lastRowFirstColumn="0" w:lastRowLastColumn="0"/>
            <w:tcW w:w="2983" w:type="pct"/>
          </w:tcPr>
          <w:p w14:paraId="640985E1" w14:textId="4C44DAAE" w:rsidR="00CA2AD7" w:rsidRPr="00C4084C" w:rsidRDefault="00CA2AD7">
            <w:pPr>
              <w:spacing w:after="0"/>
              <w:rPr>
                <w:rFonts w:cs="Arial"/>
                <w14:ligatures w14:val="standardContextual"/>
              </w:rPr>
            </w:pPr>
            <w:r w:rsidRPr="00C4084C">
              <w:rPr>
                <w:rFonts w:cs="Arial"/>
                <w14:ligatures w14:val="standardContextual"/>
              </w:rPr>
              <w:t xml:space="preserve">‘Australian Universities: A Conversation About Public Good’, Professor Julia Horne and Dr Matthew AM Thomas - University of Sydney, </w:t>
            </w:r>
            <w:r w:rsidR="002F514C">
              <w:rPr>
                <w:rFonts w:cs="Arial"/>
                <w14:ligatures w14:val="standardContextual"/>
              </w:rPr>
              <w:t>b</w:t>
            </w:r>
            <w:r w:rsidRPr="00C4084C">
              <w:rPr>
                <w:rFonts w:cs="Arial"/>
                <w14:ligatures w14:val="standardContextual"/>
              </w:rPr>
              <w:t xml:space="preserve">ook </w:t>
            </w:r>
            <w:r w:rsidR="002F514C">
              <w:rPr>
                <w:rFonts w:cs="Arial"/>
                <w14:ligatures w14:val="standardContextual"/>
              </w:rPr>
              <w:t>l</w:t>
            </w:r>
            <w:r w:rsidRPr="00C4084C">
              <w:rPr>
                <w:rFonts w:cs="Arial"/>
                <w14:ligatures w14:val="standardContextual"/>
              </w:rPr>
              <w:t>aunch</w:t>
            </w:r>
          </w:p>
        </w:tc>
        <w:tc>
          <w:tcPr>
            <w:tcW w:w="943" w:type="pct"/>
          </w:tcPr>
          <w:p w14:paraId="5C61F934" w14:textId="77777777" w:rsidR="00CA2AD7" w:rsidRPr="00C4084C" w:rsidDel="00264B62" w:rsidRDefault="00CA2AD7">
            <w:pPr>
              <w:spacing w:after="0"/>
              <w:cnfStyle w:val="000000000000" w:firstRow="0" w:lastRow="0" w:firstColumn="0" w:lastColumn="0" w:oddVBand="0" w:evenVBand="0" w:oddHBand="0" w:evenHBand="0" w:firstRowFirstColumn="0" w:firstRowLastColumn="0" w:lastRowFirstColumn="0" w:lastRowLastColumn="0"/>
              <w:rPr>
                <w:rFonts w:cs="Arial"/>
                <w14:ligatures w14:val="standardContextual"/>
              </w:rPr>
            </w:pPr>
            <w:r w:rsidRPr="00C4084C">
              <w:rPr>
                <w:rFonts w:cs="Arial"/>
                <w14:ligatures w14:val="standardContextual"/>
              </w:rPr>
              <w:t>Mary O’Kane</w:t>
            </w:r>
          </w:p>
        </w:tc>
        <w:tc>
          <w:tcPr>
            <w:tcW w:w="0" w:type="pct"/>
          </w:tcPr>
          <w:p w14:paraId="35A23262"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14:ligatures w14:val="standardContextual"/>
              </w:rPr>
            </w:pPr>
            <w:r w:rsidRPr="00C4084C">
              <w:rPr>
                <w:rFonts w:cs="Arial"/>
                <w14:ligatures w14:val="standardContextual"/>
              </w:rPr>
              <w:t>3 April 2023</w:t>
            </w:r>
          </w:p>
        </w:tc>
      </w:tr>
      <w:tr w:rsidR="00CA2AD7" w:rsidRPr="00C4084C" w14:paraId="0DD23A73" w14:textId="77777777" w:rsidTr="0072052F">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983" w:type="pct"/>
          </w:tcPr>
          <w:p w14:paraId="311CE5BA" w14:textId="77777777" w:rsidR="00CA2AD7" w:rsidRPr="00C4084C" w:rsidRDefault="00CA2AD7">
            <w:pPr>
              <w:spacing w:after="0"/>
              <w:rPr>
                <w:rFonts w:cs="Arial"/>
                <w14:ligatures w14:val="standardContextual"/>
              </w:rPr>
            </w:pPr>
            <w:r w:rsidRPr="00C4084C">
              <w:rPr>
                <w:rFonts w:cs="Arial"/>
                <w14:ligatures w14:val="standardContextual"/>
              </w:rPr>
              <w:t>University Chancellors Council Plenary</w:t>
            </w:r>
          </w:p>
        </w:tc>
        <w:tc>
          <w:tcPr>
            <w:tcW w:w="943" w:type="pct"/>
          </w:tcPr>
          <w:p w14:paraId="3CA5E6F7"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14:ligatures w14:val="standardContextual"/>
              </w:rPr>
            </w:pPr>
            <w:r w:rsidRPr="00C4084C">
              <w:rPr>
                <w:rFonts w:cs="Arial"/>
                <w14:ligatures w14:val="standardContextual"/>
              </w:rPr>
              <w:t>Mary O’Kane</w:t>
            </w:r>
          </w:p>
          <w:p w14:paraId="439A55C4"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14:ligatures w14:val="standardContextual"/>
              </w:rPr>
            </w:pPr>
            <w:r w:rsidRPr="00C4084C">
              <w:rPr>
                <w:rFonts w:cs="Arial"/>
                <w14:ligatures w14:val="standardContextual"/>
              </w:rPr>
              <w:t>Barney Glover</w:t>
            </w:r>
          </w:p>
          <w:p w14:paraId="12D91759"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spacing w:val="-4"/>
                <w14:ligatures w14:val="standardContextual"/>
              </w:rPr>
            </w:pPr>
            <w:r w:rsidRPr="00C4084C">
              <w:rPr>
                <w:rFonts w:cs="Arial"/>
                <w14:ligatures w14:val="standardContextual"/>
              </w:rPr>
              <w:t>Fiona Nash</w:t>
            </w:r>
          </w:p>
        </w:tc>
        <w:tc>
          <w:tcPr>
            <w:tcW w:w="0" w:type="pct"/>
          </w:tcPr>
          <w:p w14:paraId="2D616E53"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14:ligatures w14:val="standardContextual"/>
              </w:rPr>
            </w:pPr>
            <w:r w:rsidRPr="00C4084C">
              <w:rPr>
                <w:rFonts w:cs="Arial"/>
                <w14:ligatures w14:val="standardContextual"/>
              </w:rPr>
              <w:t>20 April 2023</w:t>
            </w:r>
          </w:p>
        </w:tc>
      </w:tr>
      <w:tr w:rsidR="00CA2AD7" w:rsidRPr="00C4084C" w14:paraId="64FB7DC2" w14:textId="77777777" w:rsidTr="0072052F">
        <w:trPr>
          <w:trHeight w:val="420"/>
        </w:trPr>
        <w:tc>
          <w:tcPr>
            <w:cnfStyle w:val="001000000000" w:firstRow="0" w:lastRow="0" w:firstColumn="1" w:lastColumn="0" w:oddVBand="0" w:evenVBand="0" w:oddHBand="0" w:evenHBand="0" w:firstRowFirstColumn="0" w:firstRowLastColumn="0" w:lastRowFirstColumn="0" w:lastRowLastColumn="0"/>
            <w:tcW w:w="2983" w:type="pct"/>
          </w:tcPr>
          <w:p w14:paraId="55190E84" w14:textId="77777777" w:rsidR="00CA2AD7" w:rsidRPr="00C4084C" w:rsidRDefault="00CA2AD7">
            <w:pPr>
              <w:spacing w:after="0"/>
              <w:rPr>
                <w:rFonts w:cs="Arial"/>
                <w14:ligatures w14:val="standardContextual"/>
              </w:rPr>
            </w:pPr>
            <w:r w:rsidRPr="00C4084C">
              <w:rPr>
                <w:rFonts w:cs="Arial"/>
                <w14:ligatures w14:val="standardContextual"/>
              </w:rPr>
              <w:t>Equity Practitioners in Higher Education Australasia Annual General Meeting</w:t>
            </w:r>
          </w:p>
        </w:tc>
        <w:tc>
          <w:tcPr>
            <w:tcW w:w="943" w:type="pct"/>
          </w:tcPr>
          <w:p w14:paraId="3D4EB565"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14:ligatures w14:val="standardContextual"/>
              </w:rPr>
            </w:pPr>
            <w:r w:rsidRPr="00C4084C">
              <w:rPr>
                <w:rFonts w:cs="Arial"/>
                <w14:ligatures w14:val="standardContextual"/>
              </w:rPr>
              <w:t>Mary O’Kane</w:t>
            </w:r>
          </w:p>
        </w:tc>
        <w:tc>
          <w:tcPr>
            <w:tcW w:w="0" w:type="pct"/>
          </w:tcPr>
          <w:p w14:paraId="0F91BC8F"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14:ligatures w14:val="standardContextual"/>
              </w:rPr>
            </w:pPr>
            <w:r w:rsidRPr="00C4084C">
              <w:rPr>
                <w:rFonts w:cs="Arial"/>
                <w14:ligatures w14:val="standardContextual"/>
              </w:rPr>
              <w:t>27 April 2023</w:t>
            </w:r>
          </w:p>
        </w:tc>
      </w:tr>
      <w:tr w:rsidR="00CA2AD7" w:rsidRPr="00C4084C" w14:paraId="32AD0843" w14:textId="77777777" w:rsidTr="0072052F">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983" w:type="pct"/>
          </w:tcPr>
          <w:p w14:paraId="1F146414" w14:textId="77777777" w:rsidR="00CA2AD7" w:rsidRPr="00C4084C" w:rsidRDefault="00CA2AD7">
            <w:pPr>
              <w:spacing w:after="0"/>
              <w:rPr>
                <w:rFonts w:cs="Arial"/>
                <w14:ligatures w14:val="standardContextual"/>
              </w:rPr>
            </w:pPr>
            <w:r w:rsidRPr="00C4084C">
              <w:rPr>
                <w:rFonts w:cs="Arial"/>
                <w14:ligatures w14:val="standardContextual"/>
              </w:rPr>
              <w:t>Australian Council of Graduate Research Conference</w:t>
            </w:r>
          </w:p>
        </w:tc>
        <w:tc>
          <w:tcPr>
            <w:tcW w:w="943" w:type="pct"/>
          </w:tcPr>
          <w:p w14:paraId="6C501C9E"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14:ligatures w14:val="standardContextual"/>
              </w:rPr>
            </w:pPr>
            <w:r w:rsidRPr="00C4084C">
              <w:rPr>
                <w:rFonts w:cs="Arial"/>
                <w14:ligatures w14:val="standardContextual"/>
              </w:rPr>
              <w:t>Mary O’Kane</w:t>
            </w:r>
          </w:p>
          <w:p w14:paraId="5866D2EE"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14:ligatures w14:val="standardContextual"/>
              </w:rPr>
            </w:pPr>
            <w:r w:rsidRPr="00C4084C">
              <w:rPr>
                <w:rFonts w:cs="Arial"/>
                <w14:ligatures w14:val="standardContextual"/>
              </w:rPr>
              <w:t>Barney Glover</w:t>
            </w:r>
          </w:p>
        </w:tc>
        <w:tc>
          <w:tcPr>
            <w:tcW w:w="0" w:type="pct"/>
          </w:tcPr>
          <w:p w14:paraId="7BB6E646"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14:ligatures w14:val="standardContextual"/>
              </w:rPr>
            </w:pPr>
            <w:r w:rsidRPr="00C4084C">
              <w:rPr>
                <w:rFonts w:cs="Arial"/>
                <w14:ligatures w14:val="standardContextual"/>
              </w:rPr>
              <w:t>27 April 2023</w:t>
            </w:r>
          </w:p>
        </w:tc>
      </w:tr>
      <w:tr w:rsidR="00CA2AD7" w:rsidRPr="00C4084C" w14:paraId="70DBC0C1" w14:textId="77777777" w:rsidTr="0072052F">
        <w:trPr>
          <w:trHeight w:val="420"/>
        </w:trPr>
        <w:tc>
          <w:tcPr>
            <w:cnfStyle w:val="001000000000" w:firstRow="0" w:lastRow="0" w:firstColumn="1" w:lastColumn="0" w:oddVBand="0" w:evenVBand="0" w:oddHBand="0" w:evenHBand="0" w:firstRowFirstColumn="0" w:firstRowLastColumn="0" w:lastRowFirstColumn="0" w:lastRowLastColumn="0"/>
            <w:tcW w:w="2983" w:type="pct"/>
          </w:tcPr>
          <w:p w14:paraId="3322BD7E" w14:textId="77777777" w:rsidR="00CA2AD7" w:rsidRPr="00C4084C" w:rsidRDefault="00CA2AD7">
            <w:pPr>
              <w:spacing w:after="0"/>
              <w:rPr>
                <w:rFonts w:cs="Arial"/>
                <w14:ligatures w14:val="standardContextual"/>
              </w:rPr>
            </w:pPr>
            <w:r w:rsidRPr="00C4084C">
              <w:rPr>
                <w:rFonts w:cstheme="minorHAnsi"/>
              </w:rPr>
              <w:t>Planning Institute of Australia (NSW Branch) Leaders Lunch</w:t>
            </w:r>
          </w:p>
        </w:tc>
        <w:tc>
          <w:tcPr>
            <w:tcW w:w="943" w:type="pct"/>
          </w:tcPr>
          <w:p w14:paraId="56CC6BBB"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14:ligatures w14:val="standardContextual"/>
              </w:rPr>
            </w:pPr>
            <w:r w:rsidRPr="00C4084C">
              <w:rPr>
                <w:rFonts w:cs="Arial"/>
                <w14:ligatures w14:val="standardContextual"/>
              </w:rPr>
              <w:t>Mary O’Kane</w:t>
            </w:r>
          </w:p>
        </w:tc>
        <w:tc>
          <w:tcPr>
            <w:tcW w:w="0" w:type="pct"/>
          </w:tcPr>
          <w:p w14:paraId="7B4DC06B"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14:ligatures w14:val="standardContextual"/>
              </w:rPr>
            </w:pPr>
            <w:r w:rsidRPr="00C4084C">
              <w:rPr>
                <w:rFonts w:cstheme="minorHAnsi"/>
              </w:rPr>
              <w:t>5 May 2023</w:t>
            </w:r>
          </w:p>
        </w:tc>
      </w:tr>
      <w:tr w:rsidR="00CA2AD7" w:rsidRPr="00C4084C" w14:paraId="34132425" w14:textId="77777777" w:rsidTr="0072052F">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983" w:type="pct"/>
          </w:tcPr>
          <w:p w14:paraId="397E9DEE" w14:textId="77777777" w:rsidR="00CA2AD7" w:rsidRPr="00C4084C" w:rsidRDefault="00CA2AD7">
            <w:pPr>
              <w:spacing w:after="0"/>
              <w:rPr>
                <w:rFonts w:cs="Arial"/>
                <w14:ligatures w14:val="standardContextual"/>
              </w:rPr>
            </w:pPr>
            <w:r w:rsidRPr="00C4084C">
              <w:rPr>
                <w:rFonts w:cs="Arial"/>
                <w14:ligatures w14:val="standardContextual"/>
              </w:rPr>
              <w:t>National Union of Students Conference</w:t>
            </w:r>
          </w:p>
        </w:tc>
        <w:tc>
          <w:tcPr>
            <w:tcW w:w="943" w:type="pct"/>
          </w:tcPr>
          <w:p w14:paraId="497D8A01"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14:ligatures w14:val="standardContextual"/>
              </w:rPr>
            </w:pPr>
            <w:r w:rsidRPr="00C4084C">
              <w:rPr>
                <w:rFonts w:cs="Arial"/>
                <w14:ligatures w14:val="standardContextual"/>
              </w:rPr>
              <w:t>Mary O’Kane</w:t>
            </w:r>
          </w:p>
        </w:tc>
        <w:tc>
          <w:tcPr>
            <w:tcW w:w="0" w:type="pct"/>
          </w:tcPr>
          <w:p w14:paraId="70241A55"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14:ligatures w14:val="standardContextual"/>
              </w:rPr>
            </w:pPr>
            <w:r w:rsidRPr="00C4084C">
              <w:rPr>
                <w:rFonts w:cs="Arial"/>
                <w14:ligatures w14:val="standardContextual"/>
              </w:rPr>
              <w:t>26 June 2023</w:t>
            </w:r>
          </w:p>
        </w:tc>
      </w:tr>
      <w:tr w:rsidR="00CA2AD7" w:rsidRPr="00C4084C" w14:paraId="7CA0AE2B" w14:textId="77777777" w:rsidTr="0072052F">
        <w:trPr>
          <w:trHeight w:val="420"/>
        </w:trPr>
        <w:tc>
          <w:tcPr>
            <w:cnfStyle w:val="001000000000" w:firstRow="0" w:lastRow="0" w:firstColumn="1" w:lastColumn="0" w:oddVBand="0" w:evenVBand="0" w:oddHBand="0" w:evenHBand="0" w:firstRowFirstColumn="0" w:firstRowLastColumn="0" w:lastRowFirstColumn="0" w:lastRowLastColumn="0"/>
            <w:tcW w:w="2983" w:type="pct"/>
          </w:tcPr>
          <w:p w14:paraId="5D5E5D41" w14:textId="77777777" w:rsidR="00CA2AD7" w:rsidRPr="00C4084C" w:rsidRDefault="00CA2AD7">
            <w:pPr>
              <w:spacing w:after="0"/>
              <w:rPr>
                <w:rFonts w:cs="Arial"/>
                <w14:ligatures w14:val="standardContextual"/>
              </w:rPr>
            </w:pPr>
            <w:r w:rsidRPr="00C4084C">
              <w:rPr>
                <w:rFonts w:cs="Arial"/>
                <w14:ligatures w14:val="standardContextual"/>
              </w:rPr>
              <w:t>Higher Education Research &amp; Development Society of Australasia (HERDSA) Conference</w:t>
            </w:r>
          </w:p>
        </w:tc>
        <w:tc>
          <w:tcPr>
            <w:tcW w:w="943" w:type="pct"/>
          </w:tcPr>
          <w:p w14:paraId="082C8133"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14:ligatures w14:val="standardContextual"/>
              </w:rPr>
            </w:pPr>
            <w:r w:rsidRPr="00C4084C">
              <w:rPr>
                <w:rFonts w:cs="Arial"/>
                <w14:ligatures w14:val="standardContextual"/>
              </w:rPr>
              <w:t>Mary O’Kane</w:t>
            </w:r>
          </w:p>
        </w:tc>
        <w:tc>
          <w:tcPr>
            <w:tcW w:w="0" w:type="pct"/>
          </w:tcPr>
          <w:p w14:paraId="2E653B4C"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14:ligatures w14:val="standardContextual"/>
              </w:rPr>
            </w:pPr>
            <w:r w:rsidRPr="00C4084C">
              <w:rPr>
                <w:rFonts w:cs="Arial"/>
                <w14:ligatures w14:val="standardContextual"/>
              </w:rPr>
              <w:t>7 July 2023</w:t>
            </w:r>
          </w:p>
        </w:tc>
      </w:tr>
      <w:tr w:rsidR="00CA2AD7" w:rsidRPr="00C4084C" w14:paraId="1B7D20F7" w14:textId="77777777" w:rsidTr="0072052F">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983" w:type="pct"/>
          </w:tcPr>
          <w:p w14:paraId="3B46A67A" w14:textId="77777777" w:rsidR="00CA2AD7" w:rsidRPr="00C4084C" w:rsidRDefault="00CA2AD7">
            <w:pPr>
              <w:spacing w:after="0"/>
              <w:rPr>
                <w:rFonts w:cs="Arial"/>
                <w14:ligatures w14:val="standardContextual"/>
              </w:rPr>
            </w:pPr>
            <w:proofErr w:type="spellStart"/>
            <w:r w:rsidRPr="00C4084C">
              <w:rPr>
                <w:rFonts w:cs="Arial"/>
                <w14:ligatures w14:val="standardContextual"/>
              </w:rPr>
              <w:t>UniSTARS</w:t>
            </w:r>
            <w:proofErr w:type="spellEnd"/>
            <w:r w:rsidRPr="00C4084C">
              <w:rPr>
                <w:rFonts w:cs="Arial"/>
                <w14:ligatures w14:val="standardContextual"/>
              </w:rPr>
              <w:t xml:space="preserve"> and Equity Practitioners in Higher Education Australasia Webinar</w:t>
            </w:r>
          </w:p>
        </w:tc>
        <w:tc>
          <w:tcPr>
            <w:tcW w:w="943" w:type="pct"/>
          </w:tcPr>
          <w:p w14:paraId="206D5DBB"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spacing w:val="-4"/>
                <w14:ligatures w14:val="standardContextual"/>
              </w:rPr>
            </w:pPr>
            <w:r w:rsidRPr="00C4084C">
              <w:rPr>
                <w:rFonts w:cs="Arial"/>
                <w14:ligatures w14:val="standardContextual"/>
              </w:rPr>
              <w:t>Mary O’Kane</w:t>
            </w:r>
          </w:p>
        </w:tc>
        <w:tc>
          <w:tcPr>
            <w:tcW w:w="0" w:type="pct"/>
          </w:tcPr>
          <w:p w14:paraId="1EB18662"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14:ligatures w14:val="standardContextual"/>
              </w:rPr>
            </w:pPr>
            <w:r w:rsidRPr="00C4084C">
              <w:rPr>
                <w:rFonts w:cs="Arial"/>
                <w14:ligatures w14:val="standardContextual"/>
              </w:rPr>
              <w:t>20 July 2023</w:t>
            </w:r>
          </w:p>
        </w:tc>
      </w:tr>
      <w:tr w:rsidR="00CA2AD7" w:rsidRPr="00C4084C" w14:paraId="6D00A640" w14:textId="77777777" w:rsidTr="0072052F">
        <w:trPr>
          <w:trHeight w:val="420"/>
        </w:trPr>
        <w:tc>
          <w:tcPr>
            <w:cnfStyle w:val="001000000000" w:firstRow="0" w:lastRow="0" w:firstColumn="1" w:lastColumn="0" w:oddVBand="0" w:evenVBand="0" w:oddHBand="0" w:evenHBand="0" w:firstRowFirstColumn="0" w:firstRowLastColumn="0" w:lastRowFirstColumn="0" w:lastRowLastColumn="0"/>
            <w:tcW w:w="2983" w:type="pct"/>
          </w:tcPr>
          <w:p w14:paraId="2A666286" w14:textId="77777777" w:rsidR="00CA2AD7" w:rsidRPr="00C4084C" w:rsidRDefault="00CA2AD7">
            <w:pPr>
              <w:spacing w:after="0"/>
              <w:rPr>
                <w:rFonts w:cs="Arial"/>
                <w14:ligatures w14:val="standardContextual"/>
              </w:rPr>
            </w:pPr>
            <w:r w:rsidRPr="00C4084C">
              <w:rPr>
                <w:rFonts w:cs="Arial"/>
                <w14:ligatures w14:val="standardContextual"/>
              </w:rPr>
              <w:t>Interview with Patricia Karvelas – ABC Radio National</w:t>
            </w:r>
          </w:p>
        </w:tc>
        <w:tc>
          <w:tcPr>
            <w:tcW w:w="943" w:type="pct"/>
          </w:tcPr>
          <w:p w14:paraId="34DE6A66" w14:textId="77777777" w:rsidR="00CA2AD7" w:rsidRPr="00C4084C" w:rsidDel="00264B62" w:rsidRDefault="00CA2AD7">
            <w:pPr>
              <w:spacing w:after="0"/>
              <w:cnfStyle w:val="000000000000" w:firstRow="0" w:lastRow="0" w:firstColumn="0" w:lastColumn="0" w:oddVBand="0" w:evenVBand="0" w:oddHBand="0" w:evenHBand="0" w:firstRowFirstColumn="0" w:firstRowLastColumn="0" w:lastRowFirstColumn="0" w:lastRowLastColumn="0"/>
              <w:rPr>
                <w:rFonts w:cs="Arial"/>
                <w:spacing w:val="-4"/>
                <w14:ligatures w14:val="standardContextual"/>
              </w:rPr>
            </w:pPr>
            <w:r w:rsidRPr="00C4084C">
              <w:rPr>
                <w:rFonts w:cs="Arial"/>
                <w14:ligatures w14:val="standardContextual"/>
              </w:rPr>
              <w:t>Mary O’Kane</w:t>
            </w:r>
          </w:p>
        </w:tc>
        <w:tc>
          <w:tcPr>
            <w:tcW w:w="0" w:type="pct"/>
          </w:tcPr>
          <w:p w14:paraId="53A49BFA"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14:ligatures w14:val="standardContextual"/>
              </w:rPr>
            </w:pPr>
            <w:r w:rsidRPr="00C4084C">
              <w:rPr>
                <w:rFonts w:cs="Arial"/>
                <w14:ligatures w14:val="standardContextual"/>
              </w:rPr>
              <w:t>20 July 2023</w:t>
            </w:r>
          </w:p>
        </w:tc>
      </w:tr>
      <w:tr w:rsidR="00CA2AD7" w:rsidRPr="00C4084C" w14:paraId="238A82ED" w14:textId="77777777" w:rsidTr="0072052F">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983" w:type="pct"/>
          </w:tcPr>
          <w:p w14:paraId="4CF6DCAF" w14:textId="77777777" w:rsidR="00CA2AD7" w:rsidRPr="00C4084C" w:rsidRDefault="00CA2AD7">
            <w:pPr>
              <w:spacing w:after="0"/>
              <w:rPr>
                <w:rFonts w:cs="Arial"/>
                <w14:ligatures w14:val="standardContextual"/>
              </w:rPr>
            </w:pPr>
            <w:r w:rsidRPr="00C4084C">
              <w:rPr>
                <w:rFonts w:cs="Arial"/>
                <w14:ligatures w14:val="standardContextual"/>
              </w:rPr>
              <w:t>Interview with Disrupt Radio</w:t>
            </w:r>
          </w:p>
        </w:tc>
        <w:tc>
          <w:tcPr>
            <w:tcW w:w="943" w:type="pct"/>
          </w:tcPr>
          <w:p w14:paraId="357D1418" w14:textId="77777777" w:rsidR="00CA2AD7" w:rsidRPr="00C4084C" w:rsidDel="00264B62" w:rsidRDefault="00CA2AD7">
            <w:pPr>
              <w:spacing w:after="0"/>
              <w:cnfStyle w:val="000000100000" w:firstRow="0" w:lastRow="0" w:firstColumn="0" w:lastColumn="0" w:oddVBand="0" w:evenVBand="0" w:oddHBand="1" w:evenHBand="0" w:firstRowFirstColumn="0" w:firstRowLastColumn="0" w:lastRowFirstColumn="0" w:lastRowLastColumn="0"/>
              <w:rPr>
                <w:rFonts w:cs="Arial"/>
                <w:spacing w:val="-4"/>
                <w14:ligatures w14:val="standardContextual"/>
              </w:rPr>
            </w:pPr>
            <w:r w:rsidRPr="00C4084C">
              <w:rPr>
                <w:rFonts w:cs="Arial"/>
                <w14:ligatures w14:val="standardContextual"/>
              </w:rPr>
              <w:t>Mary O’Kane</w:t>
            </w:r>
          </w:p>
        </w:tc>
        <w:tc>
          <w:tcPr>
            <w:tcW w:w="0" w:type="pct"/>
          </w:tcPr>
          <w:p w14:paraId="1A78B37D"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14:ligatures w14:val="standardContextual"/>
              </w:rPr>
            </w:pPr>
            <w:r w:rsidRPr="00C4084C">
              <w:rPr>
                <w:rFonts w:cs="Arial"/>
                <w14:ligatures w14:val="standardContextual"/>
              </w:rPr>
              <w:t>20 July 2023</w:t>
            </w:r>
          </w:p>
        </w:tc>
      </w:tr>
      <w:tr w:rsidR="00CA2AD7" w:rsidRPr="00C4084C" w14:paraId="50FF443A" w14:textId="77777777" w:rsidTr="0072052F">
        <w:trPr>
          <w:trHeight w:val="420"/>
        </w:trPr>
        <w:tc>
          <w:tcPr>
            <w:cnfStyle w:val="001000000000" w:firstRow="0" w:lastRow="0" w:firstColumn="1" w:lastColumn="0" w:oddVBand="0" w:evenVBand="0" w:oddHBand="0" w:evenHBand="0" w:firstRowFirstColumn="0" w:firstRowLastColumn="0" w:lastRowFirstColumn="0" w:lastRowLastColumn="0"/>
            <w:tcW w:w="2983" w:type="pct"/>
          </w:tcPr>
          <w:p w14:paraId="13CD80A3" w14:textId="66202908" w:rsidR="00CA2AD7" w:rsidRPr="00C4084C" w:rsidRDefault="00CA2AD7">
            <w:pPr>
              <w:spacing w:after="0"/>
              <w:rPr>
                <w:rFonts w:cs="Arial"/>
                <w14:ligatures w14:val="standardContextual"/>
              </w:rPr>
            </w:pPr>
            <w:r w:rsidRPr="00C4084C">
              <w:rPr>
                <w:rFonts w:cs="Arial"/>
                <w14:ligatures w14:val="standardContextual"/>
              </w:rPr>
              <w:t>Group of Eight Podcast</w:t>
            </w:r>
          </w:p>
        </w:tc>
        <w:tc>
          <w:tcPr>
            <w:tcW w:w="943" w:type="pct"/>
          </w:tcPr>
          <w:p w14:paraId="4DCCAC14"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spacing w:val="-4"/>
                <w14:ligatures w14:val="standardContextual"/>
              </w:rPr>
            </w:pPr>
            <w:r w:rsidRPr="00C4084C">
              <w:rPr>
                <w:rFonts w:cs="Arial"/>
                <w:spacing w:val="-4"/>
                <w14:ligatures w14:val="standardContextual"/>
              </w:rPr>
              <w:t>Mary O’Kane</w:t>
            </w:r>
          </w:p>
        </w:tc>
        <w:tc>
          <w:tcPr>
            <w:tcW w:w="0" w:type="pct"/>
          </w:tcPr>
          <w:p w14:paraId="3FF26451"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14:ligatures w14:val="standardContextual"/>
              </w:rPr>
            </w:pPr>
            <w:r w:rsidRPr="00C4084C">
              <w:rPr>
                <w:rFonts w:cs="Arial"/>
                <w14:ligatures w14:val="standardContextual"/>
              </w:rPr>
              <w:t>1 August 2023</w:t>
            </w:r>
          </w:p>
        </w:tc>
      </w:tr>
      <w:tr w:rsidR="00CA2AD7" w:rsidRPr="00C4084C" w14:paraId="3895571B" w14:textId="77777777" w:rsidTr="0072052F">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983" w:type="pct"/>
          </w:tcPr>
          <w:p w14:paraId="6BE945E0" w14:textId="77777777" w:rsidR="00CA2AD7" w:rsidRPr="00C4084C" w:rsidRDefault="00CA2AD7">
            <w:pPr>
              <w:spacing w:after="0"/>
              <w:rPr>
                <w:rFonts w:cs="Arial"/>
                <w14:ligatures w14:val="standardContextual"/>
              </w:rPr>
            </w:pPr>
            <w:r w:rsidRPr="00C4084C">
              <w:rPr>
                <w:rFonts w:cs="Arial"/>
                <w14:ligatures w14:val="standardContextual"/>
              </w:rPr>
              <w:t>Universities Australia Summit</w:t>
            </w:r>
          </w:p>
        </w:tc>
        <w:tc>
          <w:tcPr>
            <w:tcW w:w="943" w:type="pct"/>
          </w:tcPr>
          <w:p w14:paraId="6F2A9649"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spacing w:val="-4"/>
                <w14:ligatures w14:val="standardContextual"/>
              </w:rPr>
            </w:pPr>
            <w:r w:rsidRPr="00C4084C">
              <w:rPr>
                <w:rFonts w:cs="Arial"/>
                <w:spacing w:val="-4"/>
                <w14:ligatures w14:val="standardContextual"/>
              </w:rPr>
              <w:t>Mary O’Kane</w:t>
            </w:r>
          </w:p>
          <w:p w14:paraId="4FD46EB9"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spacing w:val="-4"/>
                <w14:ligatures w14:val="standardContextual"/>
              </w:rPr>
            </w:pPr>
            <w:r w:rsidRPr="00C4084C">
              <w:rPr>
                <w:rFonts w:cs="Arial"/>
                <w:spacing w:val="-4"/>
                <w14:ligatures w14:val="standardContextual"/>
              </w:rPr>
              <w:t>Barney Glover</w:t>
            </w:r>
          </w:p>
          <w:p w14:paraId="23A880F5"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14:ligatures w14:val="standardContextual"/>
              </w:rPr>
            </w:pPr>
            <w:r w:rsidRPr="00C4084C">
              <w:rPr>
                <w:rFonts w:cs="Arial"/>
                <w:spacing w:val="-4"/>
                <w14:ligatures w14:val="standardContextual"/>
              </w:rPr>
              <w:t>Ben Rimmer</w:t>
            </w:r>
          </w:p>
        </w:tc>
        <w:tc>
          <w:tcPr>
            <w:tcW w:w="0" w:type="pct"/>
          </w:tcPr>
          <w:p w14:paraId="1267F100"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14:ligatures w14:val="standardContextual"/>
              </w:rPr>
            </w:pPr>
            <w:r w:rsidRPr="00C4084C">
              <w:rPr>
                <w:rFonts w:cs="Arial"/>
                <w14:ligatures w14:val="standardContextual"/>
              </w:rPr>
              <w:t>10 August 2023</w:t>
            </w:r>
          </w:p>
        </w:tc>
      </w:tr>
      <w:tr w:rsidR="00CA2AD7" w:rsidRPr="00C4084C" w14:paraId="6D1D19BC" w14:textId="77777777" w:rsidTr="0072052F">
        <w:trPr>
          <w:trHeight w:val="420"/>
        </w:trPr>
        <w:tc>
          <w:tcPr>
            <w:cnfStyle w:val="001000000000" w:firstRow="0" w:lastRow="0" w:firstColumn="1" w:lastColumn="0" w:oddVBand="0" w:evenVBand="0" w:oddHBand="0" w:evenHBand="0" w:firstRowFirstColumn="0" w:firstRowLastColumn="0" w:lastRowFirstColumn="0" w:lastRowLastColumn="0"/>
            <w:tcW w:w="2983" w:type="pct"/>
          </w:tcPr>
          <w:p w14:paraId="543B72EF" w14:textId="77777777" w:rsidR="00CA2AD7" w:rsidRPr="00C4084C" w:rsidRDefault="00CA2AD7">
            <w:pPr>
              <w:spacing w:after="0"/>
              <w:rPr>
                <w:rFonts w:cs="Arial"/>
                <w14:ligatures w14:val="standardContextual"/>
              </w:rPr>
            </w:pPr>
            <w:r w:rsidRPr="00C4084C">
              <w:rPr>
                <w:rFonts w:cs="Arial"/>
                <w14:ligatures w14:val="standardContextual"/>
              </w:rPr>
              <w:t>Australian Industry Group Webinar</w:t>
            </w:r>
          </w:p>
        </w:tc>
        <w:tc>
          <w:tcPr>
            <w:tcW w:w="943" w:type="pct"/>
          </w:tcPr>
          <w:p w14:paraId="07B529A6"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14:ligatures w14:val="standardContextual"/>
              </w:rPr>
            </w:pPr>
            <w:r w:rsidRPr="00C4084C">
              <w:rPr>
                <w:rFonts w:cs="Arial"/>
                <w14:ligatures w14:val="standardContextual"/>
              </w:rPr>
              <w:t>Mary O’Kane</w:t>
            </w:r>
          </w:p>
        </w:tc>
        <w:tc>
          <w:tcPr>
            <w:tcW w:w="0" w:type="pct"/>
          </w:tcPr>
          <w:p w14:paraId="4C0B6B38"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14:ligatures w14:val="standardContextual"/>
              </w:rPr>
            </w:pPr>
            <w:r w:rsidRPr="00C4084C">
              <w:rPr>
                <w:rFonts w:cs="Arial"/>
                <w14:ligatures w14:val="standardContextual"/>
              </w:rPr>
              <w:t>21 August 2023</w:t>
            </w:r>
          </w:p>
        </w:tc>
      </w:tr>
      <w:tr w:rsidR="00CA2AD7" w:rsidRPr="00C4084C" w14:paraId="60505818" w14:textId="77777777" w:rsidTr="0072052F">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983" w:type="pct"/>
          </w:tcPr>
          <w:p w14:paraId="10712BB3" w14:textId="77777777" w:rsidR="00CA2AD7" w:rsidRPr="00C4084C" w:rsidRDefault="00CA2AD7">
            <w:pPr>
              <w:spacing w:after="0"/>
              <w:rPr>
                <w:rFonts w:cs="Arial"/>
                <w14:ligatures w14:val="standardContextual"/>
              </w:rPr>
            </w:pPr>
            <w:r w:rsidRPr="00C4084C">
              <w:rPr>
                <w:rFonts w:cs="Arial"/>
                <w14:ligatures w14:val="standardContextual"/>
              </w:rPr>
              <w:t>Australian Financial Review (AFR) Higher Education Summit</w:t>
            </w:r>
          </w:p>
        </w:tc>
        <w:tc>
          <w:tcPr>
            <w:tcW w:w="943" w:type="pct"/>
          </w:tcPr>
          <w:p w14:paraId="60A622CE"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14:ligatures w14:val="standardContextual"/>
              </w:rPr>
            </w:pPr>
            <w:r w:rsidRPr="00C4084C">
              <w:rPr>
                <w:rFonts w:cs="Arial"/>
                <w14:ligatures w14:val="standardContextual"/>
              </w:rPr>
              <w:t>Mary O’Kane</w:t>
            </w:r>
          </w:p>
        </w:tc>
        <w:tc>
          <w:tcPr>
            <w:tcW w:w="0" w:type="pct"/>
          </w:tcPr>
          <w:p w14:paraId="60921C30"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14:ligatures w14:val="standardContextual"/>
              </w:rPr>
            </w:pPr>
            <w:r w:rsidRPr="00C4084C">
              <w:rPr>
                <w:rFonts w:cs="Arial"/>
                <w14:ligatures w14:val="standardContextual"/>
              </w:rPr>
              <w:t>22 August 2023</w:t>
            </w:r>
          </w:p>
        </w:tc>
      </w:tr>
      <w:tr w:rsidR="00CA2AD7" w:rsidRPr="00C4084C" w14:paraId="139F7C70" w14:textId="77777777" w:rsidTr="0072052F">
        <w:trPr>
          <w:trHeight w:val="420"/>
        </w:trPr>
        <w:tc>
          <w:tcPr>
            <w:cnfStyle w:val="001000000000" w:firstRow="0" w:lastRow="0" w:firstColumn="1" w:lastColumn="0" w:oddVBand="0" w:evenVBand="0" w:oddHBand="0" w:evenHBand="0" w:firstRowFirstColumn="0" w:firstRowLastColumn="0" w:lastRowFirstColumn="0" w:lastRowLastColumn="0"/>
            <w:tcW w:w="2983" w:type="pct"/>
          </w:tcPr>
          <w:p w14:paraId="055077D3" w14:textId="7AD31542" w:rsidR="00CA2AD7" w:rsidRPr="00C4084C" w:rsidRDefault="00CA2AD7">
            <w:pPr>
              <w:spacing w:after="0"/>
              <w:rPr>
                <w:rFonts w:cs="Arial"/>
                <w14:ligatures w14:val="standardContextual"/>
              </w:rPr>
            </w:pPr>
            <w:r w:rsidRPr="00C4084C">
              <w:rPr>
                <w:rFonts w:cs="Arial"/>
                <w14:ligatures w14:val="standardContextual"/>
              </w:rPr>
              <w:t>Academy of Technological Sciences and Engineering - Engineering Education Symposium</w:t>
            </w:r>
          </w:p>
        </w:tc>
        <w:tc>
          <w:tcPr>
            <w:tcW w:w="943" w:type="pct"/>
          </w:tcPr>
          <w:p w14:paraId="7B118ABA"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14:ligatures w14:val="standardContextual"/>
              </w:rPr>
            </w:pPr>
            <w:r w:rsidRPr="00C4084C">
              <w:rPr>
                <w:rFonts w:cs="Arial"/>
                <w14:ligatures w14:val="standardContextual"/>
              </w:rPr>
              <w:t>Mary O’Kane</w:t>
            </w:r>
          </w:p>
        </w:tc>
        <w:tc>
          <w:tcPr>
            <w:tcW w:w="0" w:type="pct"/>
          </w:tcPr>
          <w:p w14:paraId="6B0400CC"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14:ligatures w14:val="standardContextual"/>
              </w:rPr>
            </w:pPr>
            <w:r w:rsidRPr="00C4084C">
              <w:rPr>
                <w:rFonts w:cs="Arial"/>
                <w14:ligatures w14:val="standardContextual"/>
              </w:rPr>
              <w:t>29-30 August 2023</w:t>
            </w:r>
          </w:p>
        </w:tc>
      </w:tr>
      <w:tr w:rsidR="009E0F46" w:rsidRPr="00C4084C" w14:paraId="2E7B12A2" w14:textId="77777777" w:rsidTr="0072052F">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983" w:type="pct"/>
          </w:tcPr>
          <w:p w14:paraId="68757E92" w14:textId="77777777" w:rsidR="00CA2AD7" w:rsidRPr="00C4084C" w:rsidRDefault="00CA2AD7">
            <w:pPr>
              <w:spacing w:after="0"/>
              <w:rPr>
                <w:rFonts w:cs="Arial"/>
                <w14:ligatures w14:val="standardContextual"/>
              </w:rPr>
            </w:pPr>
            <w:r w:rsidRPr="00C4084C">
              <w:rPr>
                <w:rFonts w:cs="Arial"/>
                <w14:ligatures w14:val="standardContextual"/>
              </w:rPr>
              <w:t>Association for Tertiary Education Management, Association Programs</w:t>
            </w:r>
            <w:r w:rsidRPr="00C4084C">
              <w:rPr>
                <w:rFonts w:cs="Arial"/>
                <w:b w:val="0"/>
                <w:bCs w:val="0"/>
                <w14:ligatures w14:val="standardContextual"/>
              </w:rPr>
              <w:t xml:space="preserve">, </w:t>
            </w:r>
            <w:r w:rsidRPr="00C4084C">
              <w:rPr>
                <w:rFonts w:cs="Arial"/>
                <w14:ligatures w14:val="standardContextual"/>
              </w:rPr>
              <w:t>Bold Conversations: Universities Accord</w:t>
            </w:r>
          </w:p>
        </w:tc>
        <w:tc>
          <w:tcPr>
            <w:tcW w:w="943" w:type="pct"/>
          </w:tcPr>
          <w:p w14:paraId="7E85957B"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14:ligatures w14:val="standardContextual"/>
              </w:rPr>
            </w:pPr>
            <w:r w:rsidRPr="00C4084C">
              <w:rPr>
                <w:rFonts w:cs="Arial"/>
                <w:spacing w:val="-4"/>
                <w14:ligatures w14:val="standardContextual"/>
              </w:rPr>
              <w:t>Barney Glover</w:t>
            </w:r>
          </w:p>
          <w:p w14:paraId="65C485D8" w14:textId="77777777" w:rsidR="00CA2AD7" w:rsidRPr="00C4084C" w:rsidDel="00264B62" w:rsidRDefault="00CA2AD7">
            <w:pPr>
              <w:spacing w:after="0"/>
              <w:cnfStyle w:val="000000100000" w:firstRow="0" w:lastRow="0" w:firstColumn="0" w:lastColumn="0" w:oddVBand="0" w:evenVBand="0" w:oddHBand="1" w:evenHBand="0" w:firstRowFirstColumn="0" w:firstRowLastColumn="0" w:lastRowFirstColumn="0" w:lastRowLastColumn="0"/>
              <w:rPr>
                <w:rFonts w:cs="Arial"/>
                <w14:ligatures w14:val="standardContextual"/>
              </w:rPr>
            </w:pPr>
          </w:p>
        </w:tc>
        <w:tc>
          <w:tcPr>
            <w:tcW w:w="0" w:type="pct"/>
          </w:tcPr>
          <w:p w14:paraId="3F4F9A8B"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14:ligatures w14:val="standardContextual"/>
              </w:rPr>
            </w:pPr>
            <w:r w:rsidRPr="00C4084C">
              <w:rPr>
                <w:rFonts w:cs="Arial"/>
                <w14:ligatures w14:val="standardContextual"/>
              </w:rPr>
              <w:t>7 September 2023</w:t>
            </w:r>
          </w:p>
        </w:tc>
      </w:tr>
      <w:tr w:rsidR="00CA2AD7" w:rsidRPr="00C4084C" w14:paraId="3FAC9D84" w14:textId="77777777" w:rsidTr="0072052F">
        <w:trPr>
          <w:trHeight w:val="420"/>
        </w:trPr>
        <w:tc>
          <w:tcPr>
            <w:cnfStyle w:val="001000000000" w:firstRow="0" w:lastRow="0" w:firstColumn="1" w:lastColumn="0" w:oddVBand="0" w:evenVBand="0" w:oddHBand="0" w:evenHBand="0" w:firstRowFirstColumn="0" w:firstRowLastColumn="0" w:lastRowFirstColumn="0" w:lastRowLastColumn="0"/>
            <w:tcW w:w="2983" w:type="pct"/>
          </w:tcPr>
          <w:p w14:paraId="53DAD1C1" w14:textId="77777777" w:rsidR="00CA2AD7" w:rsidRPr="00C4084C" w:rsidRDefault="00CA2AD7">
            <w:pPr>
              <w:spacing w:after="0"/>
              <w:rPr>
                <w:rFonts w:cs="Arial"/>
                <w14:ligatures w14:val="standardContextual"/>
              </w:rPr>
            </w:pPr>
            <w:r w:rsidRPr="00C4084C">
              <w:rPr>
                <w:rFonts w:cs="Arial"/>
                <w14:ligatures w14:val="standardContextual"/>
              </w:rPr>
              <w:t>The World Academic Summit – Presidents Forum</w:t>
            </w:r>
          </w:p>
        </w:tc>
        <w:tc>
          <w:tcPr>
            <w:tcW w:w="943" w:type="pct"/>
          </w:tcPr>
          <w:p w14:paraId="0CADB0DC"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14:ligatures w14:val="standardContextual"/>
              </w:rPr>
            </w:pPr>
            <w:r w:rsidRPr="00C4084C">
              <w:rPr>
                <w:rFonts w:cs="Arial"/>
                <w14:ligatures w14:val="standardContextual"/>
              </w:rPr>
              <w:t>Mary O’Kane</w:t>
            </w:r>
          </w:p>
        </w:tc>
        <w:tc>
          <w:tcPr>
            <w:tcW w:w="0" w:type="pct"/>
          </w:tcPr>
          <w:p w14:paraId="7E668FEE"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14:ligatures w14:val="standardContextual"/>
              </w:rPr>
            </w:pPr>
            <w:r w:rsidRPr="00C4084C">
              <w:rPr>
                <w:rFonts w:cs="Arial"/>
                <w14:ligatures w14:val="standardContextual"/>
              </w:rPr>
              <w:t>25 September 2023</w:t>
            </w:r>
          </w:p>
        </w:tc>
      </w:tr>
      <w:tr w:rsidR="00CA2AD7" w:rsidRPr="00C4084C" w14:paraId="5D5314F1" w14:textId="77777777" w:rsidTr="0072052F">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983" w:type="pct"/>
          </w:tcPr>
          <w:p w14:paraId="5C2394C3" w14:textId="77777777" w:rsidR="00CA2AD7" w:rsidRPr="00C4084C" w:rsidRDefault="00CA2AD7">
            <w:pPr>
              <w:spacing w:after="0"/>
              <w:rPr>
                <w:rFonts w:cs="Arial"/>
                <w14:ligatures w14:val="standardContextual"/>
              </w:rPr>
            </w:pPr>
            <w:r w:rsidRPr="00C4084C">
              <w:rPr>
                <w:rFonts w:cs="Arial"/>
                <w14:ligatures w14:val="standardContextual"/>
              </w:rPr>
              <w:t>Jobs and Skills Australia Symposium</w:t>
            </w:r>
          </w:p>
        </w:tc>
        <w:tc>
          <w:tcPr>
            <w:tcW w:w="943" w:type="pct"/>
          </w:tcPr>
          <w:p w14:paraId="5C0EE570"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14:ligatures w14:val="standardContextual"/>
              </w:rPr>
            </w:pPr>
            <w:r w:rsidRPr="00C4084C">
              <w:rPr>
                <w:rFonts w:cs="Arial"/>
                <w14:ligatures w14:val="standardContextual"/>
              </w:rPr>
              <w:t>Mary O’Kane</w:t>
            </w:r>
          </w:p>
          <w:p w14:paraId="4284E968"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14:ligatures w14:val="standardContextual"/>
              </w:rPr>
            </w:pPr>
            <w:r w:rsidRPr="00C4084C">
              <w:rPr>
                <w:rFonts w:cs="Arial"/>
                <w14:ligatures w14:val="standardContextual"/>
              </w:rPr>
              <w:t>Jenny Macklin</w:t>
            </w:r>
          </w:p>
        </w:tc>
        <w:tc>
          <w:tcPr>
            <w:tcW w:w="0" w:type="pct"/>
          </w:tcPr>
          <w:p w14:paraId="7FFB0DF3"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14:ligatures w14:val="standardContextual"/>
              </w:rPr>
            </w:pPr>
            <w:r w:rsidRPr="00C4084C">
              <w:rPr>
                <w:rFonts w:cs="Arial"/>
                <w14:ligatures w14:val="standardContextual"/>
              </w:rPr>
              <w:t>3-4 October 2023</w:t>
            </w:r>
          </w:p>
        </w:tc>
      </w:tr>
      <w:tr w:rsidR="00CA2AD7" w:rsidRPr="00C4084C" w14:paraId="336BA071" w14:textId="77777777" w:rsidTr="0072052F">
        <w:trPr>
          <w:trHeight w:val="420"/>
        </w:trPr>
        <w:tc>
          <w:tcPr>
            <w:cnfStyle w:val="001000000000" w:firstRow="0" w:lastRow="0" w:firstColumn="1" w:lastColumn="0" w:oddVBand="0" w:evenVBand="0" w:oddHBand="0" w:evenHBand="0" w:firstRowFirstColumn="0" w:firstRowLastColumn="0" w:lastRowFirstColumn="0" w:lastRowLastColumn="0"/>
            <w:tcW w:w="2983" w:type="pct"/>
          </w:tcPr>
          <w:p w14:paraId="57575085" w14:textId="77777777" w:rsidR="00CA2AD7" w:rsidRPr="00C4084C" w:rsidRDefault="00CA2AD7">
            <w:pPr>
              <w:spacing w:after="0"/>
              <w:rPr>
                <w:rFonts w:cs="Arial"/>
                <w:b w:val="0"/>
                <w:bCs w:val="0"/>
                <w14:ligatures w14:val="standardContextual"/>
              </w:rPr>
            </w:pPr>
            <w:r w:rsidRPr="00C4084C">
              <w:rPr>
                <w:rFonts w:cs="Arial"/>
                <w14:ligatures w14:val="standardContextual"/>
              </w:rPr>
              <w:t>University Chancellors Council Plenary</w:t>
            </w:r>
          </w:p>
          <w:p w14:paraId="4BB8D888" w14:textId="77777777" w:rsidR="00CA2AD7" w:rsidRPr="00C4084C" w:rsidRDefault="00CA2AD7">
            <w:pPr>
              <w:spacing w:after="0"/>
              <w:rPr>
                <w:rFonts w:cs="Arial"/>
                <w14:ligatures w14:val="standardContextual"/>
              </w:rPr>
            </w:pPr>
          </w:p>
        </w:tc>
        <w:tc>
          <w:tcPr>
            <w:tcW w:w="943" w:type="pct"/>
          </w:tcPr>
          <w:p w14:paraId="0D57A78F"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spacing w:val="-4"/>
                <w14:ligatures w14:val="standardContextual"/>
              </w:rPr>
            </w:pPr>
            <w:r w:rsidRPr="00C4084C">
              <w:rPr>
                <w:rFonts w:cs="Arial"/>
                <w:spacing w:val="-4"/>
                <w14:ligatures w14:val="standardContextual"/>
              </w:rPr>
              <w:t>Mary O’Kane</w:t>
            </w:r>
          </w:p>
          <w:p w14:paraId="76C3DDBB"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spacing w:val="-4"/>
                <w14:ligatures w14:val="standardContextual"/>
              </w:rPr>
            </w:pPr>
            <w:r w:rsidRPr="00C4084C">
              <w:rPr>
                <w:rFonts w:cs="Arial"/>
                <w:spacing w:val="-4"/>
                <w14:ligatures w14:val="standardContextual"/>
              </w:rPr>
              <w:t>Fiona Nash</w:t>
            </w:r>
          </w:p>
          <w:p w14:paraId="531E4565"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14:ligatures w14:val="standardContextual"/>
              </w:rPr>
            </w:pPr>
            <w:r w:rsidRPr="00C4084C">
              <w:rPr>
                <w:rFonts w:cs="Arial"/>
                <w:spacing w:val="-4"/>
                <w14:ligatures w14:val="standardContextual"/>
              </w:rPr>
              <w:t>Ben Rimmer</w:t>
            </w:r>
          </w:p>
        </w:tc>
        <w:tc>
          <w:tcPr>
            <w:tcW w:w="0" w:type="pct"/>
          </w:tcPr>
          <w:p w14:paraId="4B591446"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14:ligatures w14:val="standardContextual"/>
              </w:rPr>
            </w:pPr>
            <w:r w:rsidRPr="00C4084C">
              <w:rPr>
                <w:rFonts w:cs="Arial"/>
                <w14:ligatures w14:val="standardContextual"/>
              </w:rPr>
              <w:t>18 October 2023</w:t>
            </w:r>
          </w:p>
        </w:tc>
      </w:tr>
      <w:tr w:rsidR="00CA2AD7" w:rsidRPr="00C4084C" w14:paraId="3320E17E" w14:textId="77777777" w:rsidTr="0072052F">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983" w:type="pct"/>
          </w:tcPr>
          <w:p w14:paraId="42F6CED1" w14:textId="77777777" w:rsidR="00CA2AD7" w:rsidRPr="00C4084C" w:rsidRDefault="00CA2AD7">
            <w:pPr>
              <w:spacing w:after="0"/>
              <w:rPr>
                <w:rFonts w:cs="Arial"/>
                <w14:ligatures w14:val="standardContextual"/>
              </w:rPr>
            </w:pPr>
            <w:r w:rsidRPr="00C4084C">
              <w:rPr>
                <w:rFonts w:cs="Arial"/>
                <w14:ligatures w14:val="standardContextual"/>
              </w:rPr>
              <w:t>European Australian Business Council and Group of Eight Annual Joint Board Event</w:t>
            </w:r>
          </w:p>
        </w:tc>
        <w:tc>
          <w:tcPr>
            <w:tcW w:w="943" w:type="pct"/>
          </w:tcPr>
          <w:p w14:paraId="1168F182"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spacing w:val="-4"/>
                <w14:ligatures w14:val="standardContextual"/>
              </w:rPr>
            </w:pPr>
            <w:r w:rsidRPr="00C4084C">
              <w:rPr>
                <w:rFonts w:cs="Arial"/>
                <w14:ligatures w14:val="standardContextual"/>
              </w:rPr>
              <w:t>Mary O’Kane</w:t>
            </w:r>
          </w:p>
        </w:tc>
        <w:tc>
          <w:tcPr>
            <w:tcW w:w="0" w:type="pct"/>
          </w:tcPr>
          <w:p w14:paraId="0205C9F1"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14:ligatures w14:val="standardContextual"/>
              </w:rPr>
            </w:pPr>
            <w:r w:rsidRPr="00C4084C">
              <w:rPr>
                <w:rFonts w:cs="Arial"/>
                <w14:ligatures w14:val="standardContextual"/>
              </w:rPr>
              <w:t>18 October 2023</w:t>
            </w:r>
          </w:p>
        </w:tc>
      </w:tr>
      <w:tr w:rsidR="00CA2AD7" w:rsidRPr="00C4084C" w14:paraId="35318F4E" w14:textId="77777777" w:rsidTr="0072052F">
        <w:trPr>
          <w:trHeight w:val="420"/>
        </w:trPr>
        <w:tc>
          <w:tcPr>
            <w:cnfStyle w:val="001000000000" w:firstRow="0" w:lastRow="0" w:firstColumn="1" w:lastColumn="0" w:oddVBand="0" w:evenVBand="0" w:oddHBand="0" w:evenHBand="0" w:firstRowFirstColumn="0" w:firstRowLastColumn="0" w:lastRowFirstColumn="0" w:lastRowLastColumn="0"/>
            <w:tcW w:w="2983" w:type="pct"/>
          </w:tcPr>
          <w:p w14:paraId="0F77686F" w14:textId="77777777" w:rsidR="00CA2AD7" w:rsidRPr="00C4084C" w:rsidRDefault="00CA2AD7">
            <w:pPr>
              <w:spacing w:after="0"/>
              <w:rPr>
                <w:rFonts w:cs="Arial"/>
              </w:rPr>
            </w:pPr>
            <w:r w:rsidRPr="00C4084C">
              <w:rPr>
                <w:rFonts w:cs="Arial"/>
              </w:rPr>
              <w:lastRenderedPageBreak/>
              <w:t>TAFE Directors Australia National Conference</w:t>
            </w:r>
          </w:p>
        </w:tc>
        <w:tc>
          <w:tcPr>
            <w:tcW w:w="943" w:type="pct"/>
          </w:tcPr>
          <w:p w14:paraId="72EE23A4"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spacing w:val="-4"/>
                <w14:ligatures w14:val="standardContextual"/>
              </w:rPr>
            </w:pPr>
            <w:r w:rsidRPr="00C4084C">
              <w:rPr>
                <w:rFonts w:cs="Arial"/>
                <w14:ligatures w14:val="standardContextual"/>
              </w:rPr>
              <w:t>Jenny Macklin</w:t>
            </w:r>
          </w:p>
        </w:tc>
        <w:tc>
          <w:tcPr>
            <w:tcW w:w="0" w:type="pct"/>
          </w:tcPr>
          <w:p w14:paraId="34DA490F"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14:ligatures w14:val="standardContextual"/>
              </w:rPr>
              <w:t>18 October 2023</w:t>
            </w:r>
          </w:p>
        </w:tc>
      </w:tr>
      <w:tr w:rsidR="00CA2AD7" w:rsidRPr="00C4084C" w14:paraId="351E0D50" w14:textId="77777777" w:rsidTr="0072052F">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983" w:type="pct"/>
          </w:tcPr>
          <w:p w14:paraId="4953686B" w14:textId="24D744BA" w:rsidR="00CA2AD7" w:rsidRPr="00C4084C" w:rsidRDefault="00CA2AD7">
            <w:pPr>
              <w:spacing w:after="0"/>
              <w:rPr>
                <w:rFonts w:cs="Arial"/>
              </w:rPr>
            </w:pPr>
            <w:r w:rsidRPr="00C4084C">
              <w:rPr>
                <w:rFonts w:cs="Arial"/>
              </w:rPr>
              <w:t xml:space="preserve">The Best Australian Science Writing – </w:t>
            </w:r>
            <w:r w:rsidR="00482AA2">
              <w:rPr>
                <w:rFonts w:cs="Arial"/>
              </w:rPr>
              <w:t xml:space="preserve">hosted by </w:t>
            </w:r>
            <w:r w:rsidRPr="00C4084C">
              <w:rPr>
                <w:rFonts w:cs="Arial"/>
              </w:rPr>
              <w:t>UNSW</w:t>
            </w:r>
            <w:r w:rsidR="00191790">
              <w:rPr>
                <w:rFonts w:cs="Arial"/>
              </w:rPr>
              <w:t xml:space="preserve"> Press</w:t>
            </w:r>
            <w:r w:rsidRPr="00C4084C">
              <w:rPr>
                <w:rFonts w:cs="Arial"/>
              </w:rPr>
              <w:t xml:space="preserve">, </w:t>
            </w:r>
            <w:r w:rsidR="002F514C">
              <w:rPr>
                <w:rFonts w:cs="Arial"/>
              </w:rPr>
              <w:t>b</w:t>
            </w:r>
            <w:r w:rsidRPr="00C4084C">
              <w:rPr>
                <w:rFonts w:cs="Arial"/>
              </w:rPr>
              <w:t xml:space="preserve">ook </w:t>
            </w:r>
            <w:r w:rsidR="002F514C">
              <w:rPr>
                <w:rFonts w:cs="Arial"/>
              </w:rPr>
              <w:t>l</w:t>
            </w:r>
            <w:r w:rsidRPr="00C4084C">
              <w:rPr>
                <w:rFonts w:cs="Arial"/>
              </w:rPr>
              <w:t>aunch</w:t>
            </w:r>
          </w:p>
        </w:tc>
        <w:tc>
          <w:tcPr>
            <w:tcW w:w="943" w:type="pct"/>
          </w:tcPr>
          <w:p w14:paraId="1FD9BCD8"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spacing w:val="-4"/>
                <w14:ligatures w14:val="standardContextual"/>
              </w:rPr>
            </w:pPr>
            <w:r w:rsidRPr="00C4084C">
              <w:rPr>
                <w:rFonts w:cs="Arial"/>
                <w:spacing w:val="-4"/>
                <w14:ligatures w14:val="standardContextual"/>
              </w:rPr>
              <w:t>Mary O’Kane</w:t>
            </w:r>
          </w:p>
        </w:tc>
        <w:tc>
          <w:tcPr>
            <w:tcW w:w="0" w:type="pct"/>
          </w:tcPr>
          <w:p w14:paraId="7F2E7A7D"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9 November 2023</w:t>
            </w:r>
          </w:p>
        </w:tc>
      </w:tr>
      <w:tr w:rsidR="00CA2AD7" w:rsidRPr="00C4084C" w14:paraId="1EEBA719" w14:textId="77777777" w:rsidTr="0072052F">
        <w:trPr>
          <w:trHeight w:val="420"/>
        </w:trPr>
        <w:tc>
          <w:tcPr>
            <w:cnfStyle w:val="001000000000" w:firstRow="0" w:lastRow="0" w:firstColumn="1" w:lastColumn="0" w:oddVBand="0" w:evenVBand="0" w:oddHBand="0" w:evenHBand="0" w:firstRowFirstColumn="0" w:firstRowLastColumn="0" w:lastRowFirstColumn="0" w:lastRowLastColumn="0"/>
            <w:tcW w:w="2983" w:type="pct"/>
          </w:tcPr>
          <w:p w14:paraId="5CF1924C" w14:textId="77777777" w:rsidR="00CA2AD7" w:rsidRPr="00C4084C" w:rsidRDefault="00CA2AD7">
            <w:pPr>
              <w:spacing w:after="0"/>
              <w:rPr>
                <w:rFonts w:cs="Arial"/>
              </w:rPr>
            </w:pPr>
            <w:r w:rsidRPr="00C4084C">
              <w:rPr>
                <w:rFonts w:cs="Arial"/>
              </w:rPr>
              <w:t>Engagement Australia Conference 2023</w:t>
            </w:r>
          </w:p>
        </w:tc>
        <w:tc>
          <w:tcPr>
            <w:tcW w:w="943" w:type="pct"/>
          </w:tcPr>
          <w:p w14:paraId="3A865E74"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spacing w:val="-4"/>
                <w14:ligatures w14:val="standardContextual"/>
              </w:rPr>
            </w:pPr>
            <w:r w:rsidRPr="00C4084C">
              <w:rPr>
                <w:rFonts w:cs="Arial"/>
                <w:spacing w:val="-4"/>
                <w14:ligatures w14:val="standardContextual"/>
              </w:rPr>
              <w:t>Barney Glover</w:t>
            </w:r>
          </w:p>
          <w:p w14:paraId="4FE250BF"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spacing w:val="-4"/>
                <w14:ligatures w14:val="standardContextual"/>
              </w:rPr>
            </w:pPr>
            <w:r w:rsidRPr="00C4084C">
              <w:rPr>
                <w:rFonts w:cs="Arial"/>
                <w:spacing w:val="-4"/>
                <w14:ligatures w14:val="standardContextual"/>
              </w:rPr>
              <w:t>Fiona Nash</w:t>
            </w:r>
          </w:p>
        </w:tc>
        <w:tc>
          <w:tcPr>
            <w:tcW w:w="0" w:type="pct"/>
          </w:tcPr>
          <w:p w14:paraId="3840899A" w14:textId="77777777" w:rsidR="00CA2AD7" w:rsidRPr="00C4084C" w:rsidRDefault="00CA2AD7">
            <w:pPr>
              <w:spacing w:after="0"/>
              <w:cnfStyle w:val="000000000000" w:firstRow="0" w:lastRow="0" w:firstColumn="0" w:lastColumn="0" w:oddVBand="0" w:evenVBand="0" w:oddHBand="0" w:evenHBand="0" w:firstRowFirstColumn="0" w:firstRowLastColumn="0" w:lastRowFirstColumn="0" w:lastRowLastColumn="0"/>
              <w:rPr>
                <w:rFonts w:cs="Arial"/>
              </w:rPr>
            </w:pPr>
            <w:r w:rsidRPr="00C4084C">
              <w:rPr>
                <w:rFonts w:cs="Arial"/>
              </w:rPr>
              <w:t>21 November 2023</w:t>
            </w:r>
          </w:p>
        </w:tc>
      </w:tr>
      <w:tr w:rsidR="00CA2AD7" w:rsidRPr="00C4084C" w14:paraId="3F4CE63C" w14:textId="77777777" w:rsidTr="0072052F">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983" w:type="pct"/>
          </w:tcPr>
          <w:p w14:paraId="51762EDE" w14:textId="77777777" w:rsidR="00CA2AD7" w:rsidRPr="00C4084C" w:rsidRDefault="00CA2AD7">
            <w:pPr>
              <w:spacing w:after="0"/>
              <w:rPr>
                <w:rFonts w:cs="Arial"/>
              </w:rPr>
            </w:pPr>
            <w:r w:rsidRPr="00C4084C">
              <w:rPr>
                <w:rFonts w:cs="Arial"/>
              </w:rPr>
              <w:t>TEQSA Conference 2023</w:t>
            </w:r>
          </w:p>
        </w:tc>
        <w:tc>
          <w:tcPr>
            <w:tcW w:w="943" w:type="pct"/>
          </w:tcPr>
          <w:p w14:paraId="3DF0CABF"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Mary O’Kane</w:t>
            </w:r>
          </w:p>
        </w:tc>
        <w:tc>
          <w:tcPr>
            <w:tcW w:w="0" w:type="pct"/>
          </w:tcPr>
          <w:p w14:paraId="599EE1E5" w14:textId="77777777" w:rsidR="00CA2AD7" w:rsidRPr="00C4084C" w:rsidRDefault="00CA2AD7">
            <w:pPr>
              <w:spacing w:after="0"/>
              <w:cnfStyle w:val="000000100000" w:firstRow="0" w:lastRow="0" w:firstColumn="0" w:lastColumn="0" w:oddVBand="0" w:evenVBand="0" w:oddHBand="1" w:evenHBand="0" w:firstRowFirstColumn="0" w:firstRowLastColumn="0" w:lastRowFirstColumn="0" w:lastRowLastColumn="0"/>
              <w:rPr>
                <w:rFonts w:cs="Arial"/>
              </w:rPr>
            </w:pPr>
            <w:r w:rsidRPr="00C4084C">
              <w:rPr>
                <w:rFonts w:cs="Arial"/>
              </w:rPr>
              <w:t>23 November 2023</w:t>
            </w:r>
          </w:p>
        </w:tc>
      </w:tr>
    </w:tbl>
    <w:p w14:paraId="17743593" w14:textId="77777777" w:rsidR="0067026A" w:rsidRDefault="0067026A" w:rsidP="00CA2AD7">
      <w:pPr>
        <w:rPr>
          <w:rFonts w:cs="Arial"/>
        </w:rPr>
        <w:sectPr w:rsidR="0067026A" w:rsidSect="00134415">
          <w:headerReference w:type="even" r:id="rId180"/>
          <w:headerReference w:type="default" r:id="rId181"/>
          <w:headerReference w:type="first" r:id="rId182"/>
          <w:pgSz w:w="11906" w:h="16838" w:code="9"/>
          <w:pgMar w:top="1225" w:right="1440" w:bottom="1440" w:left="1440" w:header="709" w:footer="709" w:gutter="0"/>
          <w:cols w:space="708"/>
          <w:titlePg/>
          <w:docGrid w:linePitch="360"/>
        </w:sectPr>
      </w:pPr>
    </w:p>
    <w:p w14:paraId="3FE2B5C8" w14:textId="77777777" w:rsidR="00CA2AD7" w:rsidRPr="00C4084C" w:rsidRDefault="00CA2AD7" w:rsidP="0067026A">
      <w:pPr>
        <w:pStyle w:val="Non-numberedHeading2"/>
      </w:pPr>
      <w:bookmarkStart w:id="1648" w:name="_Toc159501043"/>
      <w:r w:rsidRPr="00C4084C">
        <w:lastRenderedPageBreak/>
        <w:t>Appendix F – Commissioned works</w:t>
      </w:r>
      <w:bookmarkEnd w:id="1648"/>
    </w:p>
    <w:p w14:paraId="77647EE3" w14:textId="717465C4" w:rsidR="00CA2AD7" w:rsidRPr="00C4084C" w:rsidRDefault="00CA2AD7" w:rsidP="006973B0">
      <w:r w:rsidRPr="00C4084C">
        <w:t xml:space="preserve">To support the </w:t>
      </w:r>
      <w:r w:rsidR="00DA4DCD">
        <w:t>R</w:t>
      </w:r>
      <w:r w:rsidR="00DA4DCD" w:rsidRPr="00C4084C">
        <w:t>eview</w:t>
      </w:r>
      <w:r w:rsidRPr="00C4084C">
        <w:t xml:space="preserve">, the Department of Education on behalf of the Accord Panel commissioned a range of reports to inform, and services to support, the Accord Panel’s </w:t>
      </w:r>
      <w:proofErr w:type="gramStart"/>
      <w:r w:rsidRPr="00C4084C">
        <w:t>deliberations</w:t>
      </w:r>
      <w:proofErr w:type="gramEnd"/>
      <w:r w:rsidRPr="00C4084C">
        <w:t xml:space="preserve"> and work across the </w:t>
      </w:r>
      <w:r w:rsidR="00DA4DCD">
        <w:t>R</w:t>
      </w:r>
      <w:r w:rsidR="00DA4DCD" w:rsidRPr="00C4084C">
        <w:t>eview</w:t>
      </w:r>
      <w:r w:rsidRPr="00C4084C">
        <w:t xml:space="preserve">. </w:t>
      </w:r>
    </w:p>
    <w:tbl>
      <w:tblPr>
        <w:tblStyle w:val="ListTable2-Accent3"/>
        <w:tblW w:w="9659" w:type="dxa"/>
        <w:tblLayout w:type="fixed"/>
        <w:tblLook w:val="04A0" w:firstRow="1" w:lastRow="0" w:firstColumn="1" w:lastColumn="0" w:noHBand="0" w:noVBand="1"/>
      </w:tblPr>
      <w:tblGrid>
        <w:gridCol w:w="2288"/>
        <w:gridCol w:w="5103"/>
        <w:gridCol w:w="2268"/>
      </w:tblGrid>
      <w:tr w:rsidR="00CA2AD7" w:rsidRPr="00C4084C" w14:paraId="77A7E1CC" w14:textId="77777777">
        <w:trPr>
          <w:cnfStyle w:val="100000000000" w:firstRow="1" w:lastRow="0" w:firstColumn="0" w:lastColumn="0" w:oddVBand="0" w:evenVBand="0" w:oddHBand="0"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2288" w:type="dxa"/>
          </w:tcPr>
          <w:p w14:paraId="6564C45F" w14:textId="77777777" w:rsidR="00CA2AD7" w:rsidRPr="00C4084C" w:rsidRDefault="00CA2AD7">
            <w:pPr>
              <w:rPr>
                <w:rFonts w:eastAsia="Calibri"/>
                <w:b w:val="0"/>
              </w:rPr>
            </w:pPr>
            <w:r w:rsidRPr="00C4084C">
              <w:t>Name</w:t>
            </w:r>
          </w:p>
        </w:tc>
        <w:tc>
          <w:tcPr>
            <w:tcW w:w="5103" w:type="dxa"/>
          </w:tcPr>
          <w:p w14:paraId="65CE5EBB" w14:textId="77777777" w:rsidR="00CA2AD7" w:rsidRPr="00C4084C" w:rsidRDefault="00CA2AD7">
            <w:pPr>
              <w:cnfStyle w:val="100000000000" w:firstRow="1" w:lastRow="0" w:firstColumn="0" w:lastColumn="0" w:oddVBand="0" w:evenVBand="0" w:oddHBand="0" w:evenHBand="0" w:firstRowFirstColumn="0" w:firstRowLastColumn="0" w:lastRowFirstColumn="0" w:lastRowLastColumn="0"/>
            </w:pPr>
            <w:r w:rsidRPr="00C4084C">
              <w:t>Description of services/deliverables</w:t>
            </w:r>
          </w:p>
        </w:tc>
        <w:tc>
          <w:tcPr>
            <w:tcW w:w="2268" w:type="dxa"/>
          </w:tcPr>
          <w:p w14:paraId="39150D31" w14:textId="77777777" w:rsidR="00CA2AD7" w:rsidRPr="00C4084C" w:rsidRDefault="00CA2AD7">
            <w:pPr>
              <w:cnfStyle w:val="100000000000" w:firstRow="1" w:lastRow="0" w:firstColumn="0" w:lastColumn="0" w:oddVBand="0" w:evenVBand="0" w:oddHBand="0" w:evenHBand="0" w:firstRowFirstColumn="0" w:firstRowLastColumn="0" w:lastRowFirstColumn="0" w:lastRowLastColumn="0"/>
            </w:pPr>
            <w:r w:rsidRPr="00C4084C">
              <w:t>Supplier</w:t>
            </w:r>
          </w:p>
        </w:tc>
      </w:tr>
      <w:tr w:rsidR="00CA2AD7" w:rsidRPr="00C4084C" w14:paraId="22BC31EA" w14:textId="77777777">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288" w:type="dxa"/>
          </w:tcPr>
          <w:p w14:paraId="7E8E3682" w14:textId="77777777" w:rsidR="00CA2AD7" w:rsidRPr="00C4084C" w:rsidRDefault="00CA2AD7">
            <w:pPr>
              <w:rPr>
                <w:rFonts w:eastAsia="Calibri"/>
              </w:rPr>
            </w:pPr>
            <w:r w:rsidRPr="00C4084C">
              <w:rPr>
                <w:rFonts w:eastAsia="Times New Roman"/>
                <w:color w:val="000000"/>
                <w:lang w:eastAsia="en-AU"/>
              </w:rPr>
              <w:t xml:space="preserve">Tertiary targets </w:t>
            </w:r>
          </w:p>
        </w:tc>
        <w:tc>
          <w:tcPr>
            <w:tcW w:w="5103" w:type="dxa"/>
          </w:tcPr>
          <w:p w14:paraId="30CE0C8B"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Style w:val="ui-provider"/>
              </w:rPr>
            </w:pPr>
            <w:r w:rsidRPr="00C4084C">
              <w:rPr>
                <w:rStyle w:val="ui-provider"/>
              </w:rPr>
              <w:t xml:space="preserve">A further extension of previous work to extend modelling to the future demand for tertiary education qualifications in Australia over a </w:t>
            </w:r>
            <w:r w:rsidRPr="00C4084C">
              <w:rPr>
                <w:rStyle w:val="ui-provider"/>
              </w:rPr>
              <w:br/>
              <w:t>30-year period.</w:t>
            </w:r>
          </w:p>
          <w:p w14:paraId="6BC3F8F3"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i/>
              </w:rPr>
            </w:pPr>
            <w:r w:rsidRPr="00C4084C">
              <w:rPr>
                <w:rStyle w:val="ui-provider"/>
                <w:i/>
                <w:iCs/>
              </w:rPr>
              <w:t>Supporting</w:t>
            </w:r>
            <w:r w:rsidRPr="00C4084C">
              <w:rPr>
                <w:rStyle w:val="ui-provider"/>
                <w:i/>
              </w:rPr>
              <w:t xml:space="preserve"> Chapter 2 – Meeting our current and future skills needs</w:t>
            </w:r>
          </w:p>
        </w:tc>
        <w:tc>
          <w:tcPr>
            <w:tcW w:w="2268" w:type="dxa"/>
          </w:tcPr>
          <w:p w14:paraId="583274EB"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pPr>
            <w:r w:rsidRPr="00C4084C">
              <w:rPr>
                <w:rStyle w:val="ui-provider"/>
              </w:rPr>
              <w:t>Oxford Economics Australia</w:t>
            </w:r>
          </w:p>
        </w:tc>
      </w:tr>
      <w:tr w:rsidR="00CA2AD7" w:rsidRPr="00C4084C" w14:paraId="2BCD601D" w14:textId="77777777">
        <w:trPr>
          <w:trHeight w:val="348"/>
        </w:trPr>
        <w:tc>
          <w:tcPr>
            <w:cnfStyle w:val="001000000000" w:firstRow="0" w:lastRow="0" w:firstColumn="1" w:lastColumn="0" w:oddVBand="0" w:evenVBand="0" w:oddHBand="0" w:evenHBand="0" w:firstRowFirstColumn="0" w:firstRowLastColumn="0" w:lastRowFirstColumn="0" w:lastRowLastColumn="0"/>
            <w:tcW w:w="2288" w:type="dxa"/>
          </w:tcPr>
          <w:p w14:paraId="28D3AFFB" w14:textId="77777777" w:rsidR="00CA2AD7" w:rsidRPr="00C4084C" w:rsidRDefault="00CA2AD7">
            <w:r w:rsidRPr="00C4084C">
              <w:rPr>
                <w:rFonts w:eastAsia="Times New Roman"/>
                <w:color w:val="000000"/>
                <w:lang w:eastAsia="en-AU"/>
              </w:rPr>
              <w:t>Disruption in the higher education system</w:t>
            </w:r>
          </w:p>
        </w:tc>
        <w:tc>
          <w:tcPr>
            <w:tcW w:w="5103" w:type="dxa"/>
          </w:tcPr>
          <w:p w14:paraId="5C12FF15"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pPr>
            <w:r w:rsidRPr="00C4084C">
              <w:t>Advise the Accord Panel on disruptive influences on Australia's higher education system over the next 10−20 years and what those disruptions mean for the Accord and the future of higher education.</w:t>
            </w:r>
          </w:p>
          <w:p w14:paraId="5FD0ACBB"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i/>
              </w:rPr>
            </w:pPr>
            <w:r w:rsidRPr="00C4084C">
              <w:rPr>
                <w:rStyle w:val="ui-provider"/>
                <w:i/>
                <w:iCs/>
              </w:rPr>
              <w:t>Supporting</w:t>
            </w:r>
            <w:r w:rsidRPr="00C4084C">
              <w:rPr>
                <w:rStyle w:val="ui-provider"/>
                <w:i/>
              </w:rPr>
              <w:t xml:space="preserve"> </w:t>
            </w:r>
            <w:r w:rsidRPr="00C4084C">
              <w:rPr>
                <w:rFonts w:eastAsia="Times New Roman"/>
                <w:i/>
                <w:color w:val="000000"/>
                <w:lang w:eastAsia="en-AU"/>
              </w:rPr>
              <w:t>Introduction and context</w:t>
            </w:r>
          </w:p>
        </w:tc>
        <w:tc>
          <w:tcPr>
            <w:tcW w:w="2268" w:type="dxa"/>
          </w:tcPr>
          <w:p w14:paraId="637F758C"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pPr>
            <w:r w:rsidRPr="00C4084C">
              <w:rPr>
                <w:rFonts w:eastAsia="Times New Roman"/>
                <w:color w:val="000000"/>
                <w:lang w:eastAsia="en-AU"/>
              </w:rPr>
              <w:t>Australian National University</w:t>
            </w:r>
          </w:p>
        </w:tc>
      </w:tr>
      <w:tr w:rsidR="00CA2AD7" w:rsidRPr="00C4084C" w14:paraId="394D4FE7" w14:textId="77777777">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288" w:type="dxa"/>
          </w:tcPr>
          <w:p w14:paraId="00ED13BA" w14:textId="77777777" w:rsidR="00CA2AD7" w:rsidRPr="00C4084C" w:rsidRDefault="00CA2AD7">
            <w:r w:rsidRPr="00C4084C">
              <w:rPr>
                <w:rFonts w:eastAsia="Times New Roman"/>
                <w:color w:val="000000"/>
                <w:lang w:eastAsia="en-AU"/>
              </w:rPr>
              <w:t>System governance and stewardship</w:t>
            </w:r>
          </w:p>
        </w:tc>
        <w:tc>
          <w:tcPr>
            <w:tcW w:w="5103" w:type="dxa"/>
          </w:tcPr>
          <w:p w14:paraId="221A7C39"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Times New Roman"/>
                <w:color w:val="000000"/>
                <w:lang w:eastAsia="en-AU"/>
              </w:rPr>
            </w:pPr>
            <w:r w:rsidRPr="00C4084C">
              <w:rPr>
                <w:rFonts w:eastAsia="Times New Roman"/>
                <w:color w:val="000000"/>
                <w:lang w:eastAsia="en-AU"/>
              </w:rPr>
              <w:t>Co-design services with the Department of Education to inform the Accord Panel’s consideration of issues relating to system governance and stewardship of Australia’s higher education system.</w:t>
            </w:r>
          </w:p>
          <w:p w14:paraId="6D1C4C48"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i/>
              </w:rPr>
            </w:pPr>
            <w:r w:rsidRPr="00C4084C">
              <w:rPr>
                <w:rStyle w:val="ui-provider"/>
                <w:i/>
                <w:iCs/>
              </w:rPr>
              <w:t>Supporting</w:t>
            </w:r>
            <w:r w:rsidRPr="00C4084C">
              <w:rPr>
                <w:rStyle w:val="ui-provider"/>
                <w:i/>
              </w:rPr>
              <w:t xml:space="preserve"> </w:t>
            </w:r>
            <w:r w:rsidRPr="00C4084C">
              <w:rPr>
                <w:rFonts w:eastAsia="Times New Roman"/>
                <w:i/>
                <w:color w:val="000000"/>
                <w:lang w:eastAsia="en-AU"/>
              </w:rPr>
              <w:t xml:space="preserve">Chapter 6 – A dynamic, </w:t>
            </w:r>
            <w:proofErr w:type="gramStart"/>
            <w:r w:rsidRPr="00C4084C">
              <w:rPr>
                <w:rFonts w:eastAsia="Times New Roman"/>
                <w:i/>
                <w:color w:val="000000"/>
                <w:lang w:eastAsia="en-AU"/>
              </w:rPr>
              <w:t>collaborative</w:t>
            </w:r>
            <w:proofErr w:type="gramEnd"/>
            <w:r w:rsidRPr="00C4084C">
              <w:rPr>
                <w:rFonts w:eastAsia="Times New Roman"/>
                <w:i/>
                <w:color w:val="000000"/>
                <w:lang w:eastAsia="en-AU"/>
              </w:rPr>
              <w:t xml:space="preserve"> and responsive system that serves the national interest</w:t>
            </w:r>
          </w:p>
        </w:tc>
        <w:tc>
          <w:tcPr>
            <w:tcW w:w="2268" w:type="dxa"/>
          </w:tcPr>
          <w:p w14:paraId="71A746A0"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pPr>
            <w:r w:rsidRPr="00C4084C">
              <w:rPr>
                <w:rFonts w:eastAsia="Times New Roman"/>
                <w:color w:val="000000"/>
                <w:lang w:eastAsia="en-AU"/>
              </w:rPr>
              <w:t>Nous Group</w:t>
            </w:r>
          </w:p>
        </w:tc>
      </w:tr>
      <w:tr w:rsidR="00CA2AD7" w:rsidRPr="00C4084C" w14:paraId="5422DEA3" w14:textId="77777777">
        <w:trPr>
          <w:trHeight w:val="348"/>
        </w:trPr>
        <w:tc>
          <w:tcPr>
            <w:cnfStyle w:val="001000000000" w:firstRow="0" w:lastRow="0" w:firstColumn="1" w:lastColumn="0" w:oddVBand="0" w:evenVBand="0" w:oddHBand="0" w:evenHBand="0" w:firstRowFirstColumn="0" w:firstRowLastColumn="0" w:lastRowFirstColumn="0" w:lastRowLastColumn="0"/>
            <w:tcW w:w="2288" w:type="dxa"/>
          </w:tcPr>
          <w:p w14:paraId="65FF1A6C" w14:textId="77777777" w:rsidR="00CA2AD7" w:rsidRPr="00C4084C" w:rsidRDefault="00CA2AD7">
            <w:pPr>
              <w:rPr>
                <w:color w:val="000000"/>
              </w:rPr>
            </w:pPr>
            <w:r w:rsidRPr="00C4084C">
              <w:t>A more responsive tertiary education sector to better meet skills needs</w:t>
            </w:r>
          </w:p>
        </w:tc>
        <w:tc>
          <w:tcPr>
            <w:tcW w:w="5103" w:type="dxa"/>
          </w:tcPr>
          <w:p w14:paraId="06A58258"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Times New Roman"/>
                <w:color w:val="000000"/>
                <w:lang w:eastAsia="en-AU"/>
              </w:rPr>
            </w:pPr>
            <w:r w:rsidRPr="00C4084C">
              <w:rPr>
                <w:rFonts w:eastAsia="Times New Roman"/>
                <w:color w:val="000000"/>
                <w:lang w:eastAsia="en-AU"/>
              </w:rPr>
              <w:t>Co-design services with the Department of Education to inform the Accord Panel’s consideration of tertiary integration, a responsive tertiary sector skills and needs of Australia’s future workforce.</w:t>
            </w:r>
          </w:p>
          <w:p w14:paraId="16862D08"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i/>
                <w:color w:val="000000"/>
              </w:rPr>
            </w:pPr>
            <w:r w:rsidRPr="00C4084C">
              <w:rPr>
                <w:rStyle w:val="ui-provider"/>
                <w:i/>
                <w:iCs/>
              </w:rPr>
              <w:t>Supporting</w:t>
            </w:r>
            <w:r w:rsidRPr="00C4084C">
              <w:rPr>
                <w:rStyle w:val="ui-provider"/>
                <w:i/>
              </w:rPr>
              <w:t xml:space="preserve"> Chapter 2 – Meeting our current and future skills needs</w:t>
            </w:r>
          </w:p>
        </w:tc>
        <w:tc>
          <w:tcPr>
            <w:tcW w:w="2268" w:type="dxa"/>
          </w:tcPr>
          <w:p w14:paraId="347A5530"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color w:val="000000"/>
              </w:rPr>
            </w:pPr>
            <w:r w:rsidRPr="00C4084C">
              <w:rPr>
                <w:rFonts w:eastAsia="Times New Roman"/>
                <w:color w:val="000000"/>
                <w:lang w:eastAsia="en-AU"/>
              </w:rPr>
              <w:t>RMIT University</w:t>
            </w:r>
          </w:p>
        </w:tc>
      </w:tr>
      <w:tr w:rsidR="00CA2AD7" w:rsidRPr="00C4084C" w14:paraId="0DC90595" w14:textId="77777777">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288" w:type="dxa"/>
          </w:tcPr>
          <w:p w14:paraId="58C40900" w14:textId="77777777" w:rsidR="00CA2AD7" w:rsidRPr="00C4084C" w:rsidRDefault="00CA2AD7">
            <w:pPr>
              <w:rPr>
                <w:color w:val="000000"/>
              </w:rPr>
            </w:pPr>
            <w:r w:rsidRPr="00C4084C">
              <w:t>Teaching quality</w:t>
            </w:r>
          </w:p>
        </w:tc>
        <w:tc>
          <w:tcPr>
            <w:tcW w:w="5103" w:type="dxa"/>
          </w:tcPr>
          <w:p w14:paraId="739A3384"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Times New Roman"/>
                <w:color w:val="000000"/>
                <w:lang w:eastAsia="en-AU"/>
              </w:rPr>
            </w:pPr>
            <w:r w:rsidRPr="00C4084C">
              <w:rPr>
                <w:rFonts w:eastAsia="Times New Roman"/>
                <w:color w:val="000000" w:themeColor="text1"/>
                <w:lang w:eastAsia="en-AU"/>
              </w:rPr>
              <w:t>Co-design services with the Department of Education to inform the Accord Panel’s consideration of enhancing learning and teaching outcomes in Australian higher education.</w:t>
            </w:r>
          </w:p>
          <w:p w14:paraId="7DB74C14"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i/>
                <w:color w:val="000000"/>
              </w:rPr>
            </w:pPr>
            <w:r w:rsidRPr="00C4084C">
              <w:rPr>
                <w:rStyle w:val="ui-provider"/>
                <w:i/>
                <w:iCs/>
              </w:rPr>
              <w:t>Supporting</w:t>
            </w:r>
            <w:r w:rsidRPr="00C4084C">
              <w:rPr>
                <w:rStyle w:val="ui-provider"/>
                <w:i/>
              </w:rPr>
              <w:t xml:space="preserve"> </w:t>
            </w:r>
            <w:r w:rsidRPr="00C4084C">
              <w:rPr>
                <w:rFonts w:eastAsia="Times New Roman"/>
                <w:i/>
                <w:color w:val="000000"/>
                <w:lang w:eastAsia="en-AU"/>
              </w:rPr>
              <w:t xml:space="preserve">Chapter 4 – Delivering for students; Chapter 6 – A dynamic, </w:t>
            </w:r>
            <w:proofErr w:type="gramStart"/>
            <w:r w:rsidRPr="00C4084C">
              <w:rPr>
                <w:rFonts w:eastAsia="Times New Roman"/>
                <w:i/>
                <w:color w:val="000000"/>
                <w:lang w:eastAsia="en-AU"/>
              </w:rPr>
              <w:t>collaborative</w:t>
            </w:r>
            <w:proofErr w:type="gramEnd"/>
            <w:r w:rsidRPr="00C4084C">
              <w:rPr>
                <w:rFonts w:eastAsia="Times New Roman"/>
                <w:i/>
                <w:color w:val="000000"/>
                <w:lang w:eastAsia="en-AU"/>
              </w:rPr>
              <w:t xml:space="preserve"> and responsive system that serves the national interest</w:t>
            </w:r>
          </w:p>
        </w:tc>
        <w:tc>
          <w:tcPr>
            <w:tcW w:w="2268" w:type="dxa"/>
          </w:tcPr>
          <w:p w14:paraId="7BEEA8A7"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color w:val="000000"/>
              </w:rPr>
            </w:pPr>
            <w:r w:rsidRPr="00C4084C">
              <w:rPr>
                <w:rFonts w:eastAsia="Times New Roman"/>
                <w:color w:val="000000"/>
                <w:lang w:eastAsia="en-AU"/>
              </w:rPr>
              <w:t>University of Melbourne</w:t>
            </w:r>
          </w:p>
        </w:tc>
      </w:tr>
      <w:tr w:rsidR="00CA2AD7" w:rsidRPr="00C4084C" w14:paraId="5A43E320" w14:textId="77777777">
        <w:trPr>
          <w:trHeight w:val="281"/>
        </w:trPr>
        <w:tc>
          <w:tcPr>
            <w:cnfStyle w:val="001000000000" w:firstRow="0" w:lastRow="0" w:firstColumn="1" w:lastColumn="0" w:oddVBand="0" w:evenVBand="0" w:oddHBand="0" w:evenHBand="0" w:firstRowFirstColumn="0" w:firstRowLastColumn="0" w:lastRowFirstColumn="0" w:lastRowLastColumn="0"/>
            <w:tcW w:w="2288" w:type="dxa"/>
          </w:tcPr>
          <w:p w14:paraId="73E7E2CB" w14:textId="77777777" w:rsidR="00CA2AD7" w:rsidRPr="00C4084C" w:rsidRDefault="00CA2AD7">
            <w:r w:rsidRPr="00C4084C">
              <w:t>Funding system design for higher education learning and teaching</w:t>
            </w:r>
          </w:p>
          <w:p w14:paraId="21F47265" w14:textId="77777777" w:rsidR="00CA2AD7" w:rsidRPr="00C4084C" w:rsidRDefault="00CA2AD7">
            <w:pPr>
              <w:rPr>
                <w:color w:val="000000"/>
              </w:rPr>
            </w:pPr>
          </w:p>
        </w:tc>
        <w:tc>
          <w:tcPr>
            <w:tcW w:w="5103" w:type="dxa"/>
          </w:tcPr>
          <w:p w14:paraId="39D54EDB"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Times New Roman"/>
                <w:color w:val="000000"/>
                <w:lang w:eastAsia="en-AU"/>
              </w:rPr>
            </w:pPr>
            <w:r w:rsidRPr="00C4084C">
              <w:rPr>
                <w:rFonts w:eastAsia="Times New Roman"/>
                <w:color w:val="000000"/>
                <w:lang w:eastAsia="en-AU"/>
              </w:rPr>
              <w:lastRenderedPageBreak/>
              <w:t xml:space="preserve">Co-design services with the Department of Education to inform the Accord Panel’s consideration of the </w:t>
            </w:r>
            <w:r w:rsidRPr="00C4084C">
              <w:rPr>
                <w:rFonts w:eastAsia="Times New Roman"/>
                <w:color w:val="000000"/>
                <w:lang w:eastAsia="en-AU"/>
              </w:rPr>
              <w:lastRenderedPageBreak/>
              <w:t>need for a coherent, secure, equitable and enduring funding system.</w:t>
            </w:r>
          </w:p>
          <w:p w14:paraId="473EE9F2"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i/>
                <w:color w:val="000000"/>
              </w:rPr>
            </w:pPr>
            <w:r w:rsidRPr="00C4084C">
              <w:rPr>
                <w:rStyle w:val="ui-provider"/>
                <w:i/>
                <w:iCs/>
              </w:rPr>
              <w:t>Supporting</w:t>
            </w:r>
            <w:r w:rsidRPr="00C4084C">
              <w:rPr>
                <w:rStyle w:val="ui-provider"/>
                <w:i/>
              </w:rPr>
              <w:t xml:space="preserve"> </w:t>
            </w:r>
            <w:r w:rsidRPr="00C4084C">
              <w:rPr>
                <w:rFonts w:eastAsia="Times New Roman"/>
                <w:i/>
                <w:color w:val="000000"/>
                <w:lang w:eastAsia="en-AU"/>
              </w:rPr>
              <w:t>Chapter 8 – A new funding model to underpin growth and quality</w:t>
            </w:r>
          </w:p>
        </w:tc>
        <w:tc>
          <w:tcPr>
            <w:tcW w:w="2268" w:type="dxa"/>
          </w:tcPr>
          <w:p w14:paraId="53A1C034"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Times New Roman"/>
                <w:color w:val="000000"/>
                <w:lang w:eastAsia="en-AU"/>
              </w:rPr>
            </w:pPr>
            <w:r w:rsidRPr="00C4084C">
              <w:rPr>
                <w:rFonts w:eastAsia="Times New Roman"/>
                <w:color w:val="000000"/>
                <w:lang w:eastAsia="en-AU"/>
              </w:rPr>
              <w:lastRenderedPageBreak/>
              <w:t>James Martin Institute</w:t>
            </w:r>
          </w:p>
          <w:p w14:paraId="7F577C2E"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color w:val="000000"/>
              </w:rPr>
            </w:pPr>
            <w:r w:rsidRPr="00C4084C">
              <w:rPr>
                <w:rFonts w:eastAsia="Times New Roman"/>
                <w:color w:val="000000"/>
                <w:lang w:eastAsia="en-AU"/>
              </w:rPr>
              <w:lastRenderedPageBreak/>
              <w:t>(through the University of Technology, Sydney)</w:t>
            </w:r>
          </w:p>
        </w:tc>
      </w:tr>
      <w:tr w:rsidR="00CA2AD7" w:rsidRPr="00C4084C" w14:paraId="55EA49DF" w14:textId="77777777">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288" w:type="dxa"/>
          </w:tcPr>
          <w:p w14:paraId="796D2A8C" w14:textId="77777777" w:rsidR="00CA2AD7" w:rsidRPr="00C4084C" w:rsidRDefault="00CA2AD7">
            <w:pPr>
              <w:rPr>
                <w:color w:val="000000"/>
              </w:rPr>
            </w:pPr>
            <w:r w:rsidRPr="00C4084C">
              <w:lastRenderedPageBreak/>
              <w:t>Policy design process for higher education research settings</w:t>
            </w:r>
          </w:p>
        </w:tc>
        <w:tc>
          <w:tcPr>
            <w:tcW w:w="5103" w:type="dxa"/>
          </w:tcPr>
          <w:p w14:paraId="6C063A96"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Times New Roman"/>
                <w:color w:val="000000"/>
                <w:lang w:eastAsia="en-AU"/>
              </w:rPr>
            </w:pPr>
            <w:r w:rsidRPr="00C4084C">
              <w:rPr>
                <w:rFonts w:eastAsia="Times New Roman"/>
                <w:color w:val="000000"/>
                <w:lang w:eastAsia="en-AU"/>
              </w:rPr>
              <w:t>Co-design services with the Department of Education to inform the Accord Panel’s consideration of Australia’s higher education research system. Supported by a Research Working Group.</w:t>
            </w:r>
          </w:p>
          <w:p w14:paraId="460284E7"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i/>
                <w:color w:val="000000"/>
              </w:rPr>
            </w:pPr>
            <w:r w:rsidRPr="00C4084C">
              <w:rPr>
                <w:rStyle w:val="ui-provider"/>
                <w:i/>
                <w:iCs/>
              </w:rPr>
              <w:t>Supporting</w:t>
            </w:r>
            <w:r w:rsidRPr="00C4084C">
              <w:rPr>
                <w:rStyle w:val="ui-provider"/>
                <w:i/>
              </w:rPr>
              <w:t xml:space="preserve"> </w:t>
            </w:r>
            <w:r w:rsidRPr="00C4084C">
              <w:rPr>
                <w:rFonts w:eastAsia="Times New Roman"/>
                <w:i/>
                <w:color w:val="000000"/>
                <w:lang w:eastAsia="en-AU"/>
              </w:rPr>
              <w:t>Chapter 5 – Producing and using new knowledge</w:t>
            </w:r>
          </w:p>
        </w:tc>
        <w:tc>
          <w:tcPr>
            <w:tcW w:w="2268" w:type="dxa"/>
          </w:tcPr>
          <w:p w14:paraId="69B167DC"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color w:val="000000"/>
              </w:rPr>
            </w:pPr>
            <w:r w:rsidRPr="00C4084C">
              <w:rPr>
                <w:rFonts w:eastAsia="Times New Roman"/>
                <w:color w:val="000000"/>
                <w:lang w:eastAsia="en-AU"/>
              </w:rPr>
              <w:t>University of Canberra</w:t>
            </w:r>
          </w:p>
        </w:tc>
      </w:tr>
      <w:tr w:rsidR="00CA2AD7" w:rsidRPr="00C4084C" w14:paraId="4CD59879" w14:textId="77777777">
        <w:trPr>
          <w:trHeight w:val="348"/>
        </w:trPr>
        <w:tc>
          <w:tcPr>
            <w:cnfStyle w:val="001000000000" w:firstRow="0" w:lastRow="0" w:firstColumn="1" w:lastColumn="0" w:oddVBand="0" w:evenVBand="0" w:oddHBand="0" w:evenHBand="0" w:firstRowFirstColumn="0" w:firstRowLastColumn="0" w:lastRowFirstColumn="0" w:lastRowLastColumn="0"/>
            <w:tcW w:w="2288" w:type="dxa"/>
          </w:tcPr>
          <w:p w14:paraId="1820DFE2" w14:textId="77777777" w:rsidR="00CA2AD7" w:rsidRPr="00C4084C" w:rsidRDefault="00CA2AD7">
            <w:pPr>
              <w:rPr>
                <w:color w:val="000000"/>
              </w:rPr>
            </w:pPr>
            <w:r w:rsidRPr="00C4084C">
              <w:rPr>
                <w:rFonts w:eastAsia="Times New Roman"/>
                <w:color w:val="000000"/>
                <w:lang w:eastAsia="en-AU"/>
              </w:rPr>
              <w:t>Interim Report Submissions Analysis</w:t>
            </w:r>
          </w:p>
        </w:tc>
        <w:tc>
          <w:tcPr>
            <w:tcW w:w="5103" w:type="dxa"/>
          </w:tcPr>
          <w:p w14:paraId="40399BD8"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color w:val="000000"/>
              </w:rPr>
            </w:pPr>
            <w:r w:rsidRPr="00C4084C">
              <w:rPr>
                <w:rFonts w:eastAsia="Times New Roman"/>
                <w:color w:val="000000"/>
                <w:lang w:eastAsia="en-AU"/>
              </w:rPr>
              <w:t xml:space="preserve">Collate stakeholders’ feedback on the Australian Universities Accord Interim Report. This will include summarising sentiment towards specific recommendations or ideas, as well as thematic analysis on broad themes. The analysis delivered in this project will be used to inform the Accord Panel’s Final Report to Government. </w:t>
            </w:r>
          </w:p>
        </w:tc>
        <w:tc>
          <w:tcPr>
            <w:tcW w:w="2268" w:type="dxa"/>
          </w:tcPr>
          <w:p w14:paraId="7D1C96E4"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color w:val="000000"/>
              </w:rPr>
            </w:pPr>
            <w:r w:rsidRPr="00C4084C">
              <w:rPr>
                <w:rFonts w:eastAsia="Times New Roman"/>
                <w:color w:val="000000"/>
                <w:lang w:eastAsia="en-AU"/>
              </w:rPr>
              <w:t>Nous Group</w:t>
            </w:r>
          </w:p>
        </w:tc>
      </w:tr>
      <w:tr w:rsidR="00CA2AD7" w:rsidRPr="00C4084C" w14:paraId="04843A2A" w14:textId="77777777">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288" w:type="dxa"/>
          </w:tcPr>
          <w:p w14:paraId="3947264F" w14:textId="77777777" w:rsidR="00CA2AD7" w:rsidRPr="00C4084C" w:rsidRDefault="00CA2AD7">
            <w:pPr>
              <w:rPr>
                <w:color w:val="000000"/>
              </w:rPr>
            </w:pPr>
            <w:r w:rsidRPr="00C4084C">
              <w:rPr>
                <w:rFonts w:eastAsia="Times New Roman"/>
                <w:color w:val="000000"/>
                <w:lang w:eastAsia="en-AU"/>
              </w:rPr>
              <w:t>Strategic research and advice services</w:t>
            </w:r>
          </w:p>
        </w:tc>
        <w:tc>
          <w:tcPr>
            <w:tcW w:w="5103" w:type="dxa"/>
          </w:tcPr>
          <w:p w14:paraId="7995820F"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color w:val="000000"/>
              </w:rPr>
            </w:pPr>
            <w:r w:rsidRPr="00C4084C">
              <w:rPr>
                <w:rFonts w:eastAsia="Times New Roman"/>
                <w:color w:val="000000"/>
                <w:lang w:eastAsia="en-AU"/>
              </w:rPr>
              <w:t xml:space="preserve">Strategic research, </w:t>
            </w:r>
            <w:proofErr w:type="gramStart"/>
            <w:r w:rsidRPr="00C4084C">
              <w:rPr>
                <w:rFonts w:eastAsia="Times New Roman"/>
                <w:color w:val="000000"/>
                <w:lang w:eastAsia="en-AU"/>
              </w:rPr>
              <w:t>advice</w:t>
            </w:r>
            <w:proofErr w:type="gramEnd"/>
            <w:r w:rsidRPr="00C4084C">
              <w:rPr>
                <w:rFonts w:eastAsia="Times New Roman"/>
                <w:color w:val="000000"/>
                <w:lang w:eastAsia="en-AU"/>
              </w:rPr>
              <w:t xml:space="preserve"> and narrative services to support the Australian Universities Accord and the Department of Education’s broader education reform narrative.</w:t>
            </w:r>
          </w:p>
        </w:tc>
        <w:tc>
          <w:tcPr>
            <w:tcW w:w="2268" w:type="dxa"/>
          </w:tcPr>
          <w:p w14:paraId="77AB5FB9"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color w:val="000000"/>
              </w:rPr>
            </w:pPr>
            <w:r w:rsidRPr="00C4084C">
              <w:rPr>
                <w:rFonts w:eastAsia="Times New Roman"/>
                <w:color w:val="000000"/>
                <w:lang w:eastAsia="en-AU"/>
              </w:rPr>
              <w:t>RMIT University</w:t>
            </w:r>
          </w:p>
        </w:tc>
      </w:tr>
      <w:tr w:rsidR="00CA2AD7" w:rsidRPr="00C4084C" w14:paraId="5AAAF28D" w14:textId="77777777">
        <w:trPr>
          <w:trHeight w:val="348"/>
        </w:trPr>
        <w:tc>
          <w:tcPr>
            <w:cnfStyle w:val="001000000000" w:firstRow="0" w:lastRow="0" w:firstColumn="1" w:lastColumn="0" w:oddVBand="0" w:evenVBand="0" w:oddHBand="0" w:evenHBand="0" w:firstRowFirstColumn="0" w:firstRowLastColumn="0" w:lastRowFirstColumn="0" w:lastRowLastColumn="0"/>
            <w:tcW w:w="2288" w:type="dxa"/>
          </w:tcPr>
          <w:p w14:paraId="5FB81DC5" w14:textId="77777777" w:rsidR="00CA2AD7" w:rsidRPr="00C4084C" w:rsidRDefault="00CA2AD7">
            <w:pPr>
              <w:rPr>
                <w:color w:val="000000"/>
              </w:rPr>
            </w:pPr>
            <w:r w:rsidRPr="00C4084C">
              <w:rPr>
                <w:rFonts w:eastAsia="Times New Roman"/>
                <w:color w:val="000000"/>
                <w:lang w:eastAsia="en-AU"/>
              </w:rPr>
              <w:t>Discussion Paper submissions analysis</w:t>
            </w:r>
          </w:p>
        </w:tc>
        <w:tc>
          <w:tcPr>
            <w:tcW w:w="5103" w:type="dxa"/>
          </w:tcPr>
          <w:p w14:paraId="355AF778"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color w:val="000000"/>
              </w:rPr>
            </w:pPr>
            <w:r w:rsidRPr="00C4084C">
              <w:rPr>
                <w:rFonts w:eastAsia="Times New Roman"/>
                <w:color w:val="000000"/>
                <w:lang w:eastAsia="en-AU"/>
              </w:rPr>
              <w:t>Qualitative and quantitative analysis of the spread of responses and key themes contained within submissions to the Discussion Paper including a report.</w:t>
            </w:r>
          </w:p>
        </w:tc>
        <w:tc>
          <w:tcPr>
            <w:tcW w:w="2268" w:type="dxa"/>
          </w:tcPr>
          <w:p w14:paraId="7DD47575"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color w:val="000000"/>
              </w:rPr>
            </w:pPr>
            <w:r w:rsidRPr="00C4084C">
              <w:rPr>
                <w:rFonts w:eastAsia="Times New Roman"/>
                <w:color w:val="000000"/>
                <w:lang w:eastAsia="en-AU"/>
              </w:rPr>
              <w:t>Nous Group</w:t>
            </w:r>
          </w:p>
        </w:tc>
      </w:tr>
      <w:tr w:rsidR="00CA2AD7" w:rsidRPr="00C4084C" w14:paraId="067979AC" w14:textId="77777777">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288" w:type="dxa"/>
          </w:tcPr>
          <w:p w14:paraId="6B27FE89" w14:textId="77777777" w:rsidR="00CA2AD7" w:rsidRPr="00C4084C" w:rsidRDefault="00CA2AD7">
            <w:pPr>
              <w:rPr>
                <w:color w:val="000000"/>
              </w:rPr>
            </w:pPr>
            <w:r w:rsidRPr="00C4084C">
              <w:rPr>
                <w:rFonts w:eastAsia="Times New Roman"/>
                <w:color w:val="000000"/>
                <w:lang w:eastAsia="en-AU"/>
              </w:rPr>
              <w:t>Terms of Reference submissions analysis</w:t>
            </w:r>
          </w:p>
        </w:tc>
        <w:tc>
          <w:tcPr>
            <w:tcW w:w="5103" w:type="dxa"/>
          </w:tcPr>
          <w:p w14:paraId="785CBC83"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color w:val="000000"/>
              </w:rPr>
            </w:pPr>
            <w:r w:rsidRPr="00C4084C">
              <w:rPr>
                <w:rFonts w:eastAsia="Times New Roman"/>
                <w:color w:val="000000"/>
                <w:lang w:eastAsia="en-AU"/>
              </w:rPr>
              <w:t>Analysis of key themes of first round of submissions on priorities for the review including report.</w:t>
            </w:r>
          </w:p>
        </w:tc>
        <w:tc>
          <w:tcPr>
            <w:tcW w:w="2268" w:type="dxa"/>
          </w:tcPr>
          <w:p w14:paraId="18B8D96A"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color w:val="000000"/>
              </w:rPr>
            </w:pPr>
            <w:r w:rsidRPr="00C4084C">
              <w:rPr>
                <w:rFonts w:eastAsia="Times New Roman"/>
                <w:color w:val="000000"/>
                <w:lang w:eastAsia="en-AU"/>
              </w:rPr>
              <w:t>Nous Group</w:t>
            </w:r>
          </w:p>
        </w:tc>
      </w:tr>
      <w:tr w:rsidR="00CA2AD7" w:rsidRPr="00C4084C" w14:paraId="5427CEA0" w14:textId="77777777">
        <w:trPr>
          <w:trHeight w:val="348"/>
        </w:trPr>
        <w:tc>
          <w:tcPr>
            <w:cnfStyle w:val="001000000000" w:firstRow="0" w:lastRow="0" w:firstColumn="1" w:lastColumn="0" w:oddVBand="0" w:evenVBand="0" w:oddHBand="0" w:evenHBand="0" w:firstRowFirstColumn="0" w:firstRowLastColumn="0" w:lastRowFirstColumn="0" w:lastRowLastColumn="0"/>
            <w:tcW w:w="2288" w:type="dxa"/>
          </w:tcPr>
          <w:p w14:paraId="7D3D7DDE" w14:textId="77777777" w:rsidR="00CA2AD7" w:rsidRPr="00C4084C" w:rsidRDefault="00CA2AD7">
            <w:pPr>
              <w:rPr>
                <w:color w:val="000000"/>
              </w:rPr>
            </w:pPr>
            <w:r w:rsidRPr="00C4084C">
              <w:rPr>
                <w:rFonts w:eastAsia="Times New Roman"/>
                <w:color w:val="000000"/>
                <w:lang w:eastAsia="en-AU"/>
              </w:rPr>
              <w:t>Rapid quantitative analysis of Accord Discussion Paper submissions</w:t>
            </w:r>
          </w:p>
        </w:tc>
        <w:tc>
          <w:tcPr>
            <w:tcW w:w="5103" w:type="dxa"/>
          </w:tcPr>
          <w:p w14:paraId="3B12AB4E"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color w:val="000000"/>
              </w:rPr>
            </w:pPr>
            <w:r w:rsidRPr="00C4084C">
              <w:rPr>
                <w:rFonts w:eastAsia="Times New Roman"/>
                <w:color w:val="000000"/>
                <w:lang w:eastAsia="en-AU"/>
              </w:rPr>
              <w:t>Quantitative analysis of submissions to the Discussion Paper including a report.</w:t>
            </w:r>
          </w:p>
        </w:tc>
        <w:tc>
          <w:tcPr>
            <w:tcW w:w="2268" w:type="dxa"/>
          </w:tcPr>
          <w:p w14:paraId="56429A57"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color w:val="000000"/>
              </w:rPr>
            </w:pPr>
            <w:r w:rsidRPr="00C4084C">
              <w:rPr>
                <w:rFonts w:eastAsia="Times New Roman"/>
                <w:color w:val="000000"/>
                <w:lang w:eastAsia="en-AU"/>
              </w:rPr>
              <w:t>League of Scholars</w:t>
            </w:r>
          </w:p>
        </w:tc>
      </w:tr>
      <w:tr w:rsidR="00CA2AD7" w:rsidRPr="00C4084C" w14:paraId="17CDE031" w14:textId="77777777">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288" w:type="dxa"/>
          </w:tcPr>
          <w:p w14:paraId="162EB3DC" w14:textId="77777777" w:rsidR="00CA2AD7" w:rsidRPr="00C4084C" w:rsidRDefault="00CA2AD7">
            <w:pPr>
              <w:rPr>
                <w:color w:val="000000"/>
              </w:rPr>
            </w:pPr>
            <w:r w:rsidRPr="00C4084C">
              <w:rPr>
                <w:rFonts w:eastAsia="Times New Roman"/>
                <w:color w:val="000000"/>
                <w:lang w:eastAsia="en-AU"/>
              </w:rPr>
              <w:t>Case studies of innovative tertiary education models</w:t>
            </w:r>
          </w:p>
        </w:tc>
        <w:tc>
          <w:tcPr>
            <w:tcW w:w="5103" w:type="dxa"/>
          </w:tcPr>
          <w:p w14:paraId="18B6A956"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color w:val="000000"/>
              </w:rPr>
            </w:pPr>
            <w:r w:rsidRPr="00C4084C">
              <w:rPr>
                <w:rFonts w:eastAsia="Times New Roman"/>
                <w:color w:val="000000"/>
                <w:lang w:eastAsia="en-AU"/>
              </w:rPr>
              <w:t>A report documenting case studies of innovative tertiary education models, summarising key research on regulatory, policy and legislative settings that support Australian higher education.</w:t>
            </w:r>
          </w:p>
        </w:tc>
        <w:tc>
          <w:tcPr>
            <w:tcW w:w="2268" w:type="dxa"/>
          </w:tcPr>
          <w:p w14:paraId="328AF460" w14:textId="7E197DBD" w:rsidR="00CA2AD7" w:rsidRPr="00C4084C" w:rsidRDefault="009042BC">
            <w:pPr>
              <w:cnfStyle w:val="000000100000" w:firstRow="0" w:lastRow="0" w:firstColumn="0" w:lastColumn="0" w:oddVBand="0" w:evenVBand="0" w:oddHBand="1" w:evenHBand="0" w:firstRowFirstColumn="0" w:firstRowLastColumn="0" w:lastRowFirstColumn="0" w:lastRowLastColumn="0"/>
              <w:rPr>
                <w:color w:val="000000"/>
              </w:rPr>
            </w:pPr>
            <w:r w:rsidRPr="00C4084C">
              <w:rPr>
                <w:rFonts w:eastAsia="Times New Roman"/>
                <w:color w:val="000000"/>
                <w:lang w:eastAsia="en-AU"/>
              </w:rPr>
              <w:t xml:space="preserve">Mr </w:t>
            </w:r>
            <w:r w:rsidR="00CA2AD7" w:rsidRPr="00C4084C">
              <w:rPr>
                <w:rFonts w:eastAsia="Times New Roman"/>
                <w:color w:val="000000"/>
                <w:lang w:eastAsia="en-AU"/>
              </w:rPr>
              <w:t xml:space="preserve">Robert </w:t>
            </w:r>
            <w:proofErr w:type="spellStart"/>
            <w:r w:rsidR="00CA2AD7" w:rsidRPr="00C4084C">
              <w:rPr>
                <w:rFonts w:eastAsia="Times New Roman"/>
                <w:color w:val="000000"/>
                <w:lang w:eastAsia="en-AU"/>
              </w:rPr>
              <w:t>Griew</w:t>
            </w:r>
            <w:proofErr w:type="spellEnd"/>
          </w:p>
        </w:tc>
      </w:tr>
      <w:tr w:rsidR="00CA2AD7" w:rsidRPr="00C4084C" w14:paraId="50CC8184" w14:textId="77777777">
        <w:trPr>
          <w:trHeight w:val="348"/>
        </w:trPr>
        <w:tc>
          <w:tcPr>
            <w:cnfStyle w:val="001000000000" w:firstRow="0" w:lastRow="0" w:firstColumn="1" w:lastColumn="0" w:oddVBand="0" w:evenVBand="0" w:oddHBand="0" w:evenHBand="0" w:firstRowFirstColumn="0" w:firstRowLastColumn="0" w:lastRowFirstColumn="0" w:lastRowLastColumn="0"/>
            <w:tcW w:w="2288" w:type="dxa"/>
          </w:tcPr>
          <w:p w14:paraId="501E7F0F" w14:textId="77777777" w:rsidR="00CA2AD7" w:rsidRPr="00C4084C" w:rsidRDefault="00CA2AD7">
            <w:pPr>
              <w:rPr>
                <w:color w:val="000000"/>
              </w:rPr>
            </w:pPr>
            <w:r w:rsidRPr="00C4084C">
              <w:rPr>
                <w:rFonts w:eastAsia="Times New Roman"/>
                <w:color w:val="000000"/>
                <w:lang w:eastAsia="en-AU"/>
              </w:rPr>
              <w:t>Workshops with students with disabilities</w:t>
            </w:r>
          </w:p>
        </w:tc>
        <w:tc>
          <w:tcPr>
            <w:tcW w:w="5103" w:type="dxa"/>
          </w:tcPr>
          <w:p w14:paraId="3CFD3253"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color w:val="000000"/>
              </w:rPr>
            </w:pPr>
            <w:r w:rsidRPr="00C4084C">
              <w:rPr>
                <w:rFonts w:eastAsia="Times New Roman"/>
                <w:color w:val="000000"/>
                <w:lang w:eastAsia="en-AU"/>
              </w:rPr>
              <w:t>Workshops and a survey exploring the perspectives of staff and students with disability in higher education, and summary report.</w:t>
            </w:r>
          </w:p>
        </w:tc>
        <w:tc>
          <w:tcPr>
            <w:tcW w:w="2268" w:type="dxa"/>
          </w:tcPr>
          <w:p w14:paraId="588065C1"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color w:val="000000"/>
              </w:rPr>
            </w:pPr>
            <w:r w:rsidRPr="00C4084C">
              <w:rPr>
                <w:rFonts w:eastAsia="Times New Roman"/>
                <w:color w:val="000000"/>
                <w:lang w:eastAsia="en-AU"/>
              </w:rPr>
              <w:t>University of Queensland</w:t>
            </w:r>
          </w:p>
        </w:tc>
      </w:tr>
      <w:tr w:rsidR="00CA2AD7" w:rsidRPr="00C4084C" w14:paraId="3A343701" w14:textId="77777777">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288" w:type="dxa"/>
          </w:tcPr>
          <w:p w14:paraId="50918E14" w14:textId="77777777" w:rsidR="00CA2AD7" w:rsidRPr="00C4084C" w:rsidRDefault="00CA2AD7">
            <w:pPr>
              <w:rPr>
                <w:color w:val="000000"/>
              </w:rPr>
            </w:pPr>
            <w:r w:rsidRPr="00C4084C">
              <w:rPr>
                <w:rFonts w:eastAsia="Times New Roman"/>
                <w:color w:val="000000"/>
                <w:lang w:eastAsia="en-AU"/>
              </w:rPr>
              <w:t>University cost efficiency research</w:t>
            </w:r>
          </w:p>
        </w:tc>
        <w:tc>
          <w:tcPr>
            <w:tcW w:w="5103" w:type="dxa"/>
          </w:tcPr>
          <w:p w14:paraId="7B046908"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color w:val="000000"/>
              </w:rPr>
            </w:pPr>
            <w:r w:rsidRPr="00C4084C">
              <w:rPr>
                <w:rFonts w:eastAsia="Times New Roman"/>
                <w:color w:val="000000"/>
                <w:lang w:eastAsia="en-AU"/>
              </w:rPr>
              <w:t>A research report detailing the efficient cost of teaching and research and the cost differences, if any, between institutions based on their characteristics.</w:t>
            </w:r>
          </w:p>
        </w:tc>
        <w:tc>
          <w:tcPr>
            <w:tcW w:w="2268" w:type="dxa"/>
          </w:tcPr>
          <w:p w14:paraId="733E5AF4" w14:textId="5B04D188" w:rsidR="00CA2AD7" w:rsidRPr="00C4084C" w:rsidRDefault="009042BC">
            <w:pPr>
              <w:cnfStyle w:val="000000100000" w:firstRow="0" w:lastRow="0" w:firstColumn="0" w:lastColumn="0" w:oddVBand="0" w:evenVBand="0" w:oddHBand="1" w:evenHBand="0" w:firstRowFirstColumn="0" w:firstRowLastColumn="0" w:lastRowFirstColumn="0" w:lastRowLastColumn="0"/>
              <w:rPr>
                <w:color w:val="000000"/>
              </w:rPr>
            </w:pPr>
            <w:r w:rsidRPr="00C4084C">
              <w:t xml:space="preserve">Emeritus Professor </w:t>
            </w:r>
            <w:r w:rsidR="00CA2AD7" w:rsidRPr="00C4084C">
              <w:t xml:space="preserve">Bruce Chapman </w:t>
            </w:r>
            <w:r w:rsidRPr="00C4084C">
              <w:t>AO</w:t>
            </w:r>
            <w:r w:rsidRPr="00C4084C">
              <w:rPr>
                <w:rFonts w:eastAsia="Times New Roman"/>
                <w:color w:val="000000"/>
                <w:lang w:eastAsia="en-AU"/>
              </w:rPr>
              <w:t xml:space="preserve"> </w:t>
            </w:r>
            <w:r w:rsidR="00CA2AD7" w:rsidRPr="00C4084C">
              <w:rPr>
                <w:rFonts w:eastAsia="Times New Roman"/>
                <w:color w:val="000000"/>
                <w:lang w:eastAsia="en-AU"/>
              </w:rPr>
              <w:lastRenderedPageBreak/>
              <w:t xml:space="preserve">and </w:t>
            </w:r>
            <w:r w:rsidRPr="00C4084C">
              <w:rPr>
                <w:rFonts w:eastAsia="Times New Roman"/>
                <w:color w:val="000000"/>
                <w:lang w:eastAsia="en-AU"/>
              </w:rPr>
              <w:t xml:space="preserve">Professor </w:t>
            </w:r>
            <w:r w:rsidR="00CA2AD7" w:rsidRPr="00C4084C">
              <w:rPr>
                <w:rFonts w:eastAsia="Times New Roman"/>
                <w:color w:val="000000"/>
                <w:lang w:eastAsia="en-AU"/>
              </w:rPr>
              <w:t>Keith Houghton</w:t>
            </w:r>
          </w:p>
        </w:tc>
      </w:tr>
      <w:tr w:rsidR="00CA2AD7" w:rsidRPr="00C4084C" w14:paraId="1EEB3B55" w14:textId="77777777">
        <w:trPr>
          <w:trHeight w:val="348"/>
        </w:trPr>
        <w:tc>
          <w:tcPr>
            <w:cnfStyle w:val="001000000000" w:firstRow="0" w:lastRow="0" w:firstColumn="1" w:lastColumn="0" w:oddVBand="0" w:evenVBand="0" w:oddHBand="0" w:evenHBand="0" w:firstRowFirstColumn="0" w:firstRowLastColumn="0" w:lastRowFirstColumn="0" w:lastRowLastColumn="0"/>
            <w:tcW w:w="2288" w:type="dxa"/>
          </w:tcPr>
          <w:p w14:paraId="002EFEA7" w14:textId="77777777" w:rsidR="00CA2AD7" w:rsidRPr="00C4084C" w:rsidRDefault="00CA2AD7">
            <w:pPr>
              <w:rPr>
                <w:color w:val="000000"/>
              </w:rPr>
            </w:pPr>
            <w:r w:rsidRPr="00C4084C">
              <w:rPr>
                <w:rFonts w:eastAsia="Times New Roman"/>
                <w:color w:val="000000"/>
                <w:lang w:eastAsia="en-AU"/>
              </w:rPr>
              <w:lastRenderedPageBreak/>
              <w:t>Establishing Future Demand for Higher Education</w:t>
            </w:r>
          </w:p>
        </w:tc>
        <w:tc>
          <w:tcPr>
            <w:tcW w:w="5103" w:type="dxa"/>
          </w:tcPr>
          <w:p w14:paraId="25EC059E"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color w:val="000000"/>
              </w:rPr>
            </w:pPr>
            <w:r w:rsidRPr="00C4084C">
              <w:rPr>
                <w:rFonts w:eastAsia="Times New Roman"/>
                <w:color w:val="000000"/>
                <w:lang w:eastAsia="en-AU"/>
              </w:rPr>
              <w:t>A report modelling the future demand for tertiary qualifications in Australia over a 30-year period.</w:t>
            </w:r>
          </w:p>
        </w:tc>
        <w:tc>
          <w:tcPr>
            <w:tcW w:w="2268" w:type="dxa"/>
          </w:tcPr>
          <w:p w14:paraId="6AA033AC" w14:textId="73C9FDE0" w:rsidR="00CA2AD7" w:rsidRPr="00C4084C" w:rsidRDefault="00076FB4">
            <w:pPr>
              <w:cnfStyle w:val="000000000000" w:firstRow="0" w:lastRow="0" w:firstColumn="0" w:lastColumn="0" w:oddVBand="0" w:evenVBand="0" w:oddHBand="0" w:evenHBand="0" w:firstRowFirstColumn="0" w:firstRowLastColumn="0" w:lastRowFirstColumn="0" w:lastRowLastColumn="0"/>
              <w:rPr>
                <w:color w:val="000000"/>
              </w:rPr>
            </w:pPr>
            <w:r>
              <w:rPr>
                <w:rFonts w:eastAsia="Times New Roman"/>
                <w:color w:val="000000"/>
                <w:lang w:eastAsia="en-AU"/>
              </w:rPr>
              <w:t xml:space="preserve">Oxford Economics Australia (formerly </w:t>
            </w:r>
            <w:r w:rsidR="00CA2AD7" w:rsidRPr="00C4084C">
              <w:rPr>
                <w:rFonts w:eastAsia="Times New Roman"/>
                <w:color w:val="000000"/>
                <w:lang w:eastAsia="en-AU"/>
              </w:rPr>
              <w:t>BIS Oxford Economics</w:t>
            </w:r>
            <w:r>
              <w:rPr>
                <w:rFonts w:eastAsia="Times New Roman"/>
                <w:color w:val="000000"/>
                <w:lang w:eastAsia="en-AU"/>
              </w:rPr>
              <w:t>)</w:t>
            </w:r>
          </w:p>
        </w:tc>
      </w:tr>
      <w:tr w:rsidR="00CA2AD7" w:rsidRPr="00C4084C" w14:paraId="40C26DFB" w14:textId="77777777">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288" w:type="dxa"/>
          </w:tcPr>
          <w:p w14:paraId="414FEA4B" w14:textId="77777777" w:rsidR="00CA2AD7" w:rsidRPr="00C4084C" w:rsidRDefault="00CA2AD7">
            <w:pPr>
              <w:rPr>
                <w:color w:val="000000"/>
              </w:rPr>
            </w:pPr>
            <w:r w:rsidRPr="00C4084C">
              <w:rPr>
                <w:rFonts w:eastAsia="Times New Roman"/>
                <w:color w:val="000000"/>
                <w:lang w:eastAsia="en-AU"/>
              </w:rPr>
              <w:t>International Education Research</w:t>
            </w:r>
          </w:p>
        </w:tc>
        <w:tc>
          <w:tcPr>
            <w:tcW w:w="5103" w:type="dxa"/>
          </w:tcPr>
          <w:p w14:paraId="31DC24DA"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color w:val="000000"/>
              </w:rPr>
            </w:pPr>
            <w:r w:rsidRPr="00C4084C">
              <w:rPr>
                <w:rFonts w:eastAsia="Times New Roman"/>
                <w:color w:val="000000"/>
                <w:lang w:eastAsia="en-AU"/>
              </w:rPr>
              <w:t>An analysis of international tertiary education systems and how they compare to Australia.</w:t>
            </w:r>
          </w:p>
        </w:tc>
        <w:tc>
          <w:tcPr>
            <w:tcW w:w="2268" w:type="dxa"/>
          </w:tcPr>
          <w:p w14:paraId="657E7E5C"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color w:val="000000"/>
              </w:rPr>
            </w:pPr>
            <w:r w:rsidRPr="00C4084C">
              <w:rPr>
                <w:rFonts w:eastAsia="Times New Roman"/>
                <w:color w:val="000000"/>
                <w:lang w:eastAsia="en-AU"/>
              </w:rPr>
              <w:t>Australian Council for Educational Research (ACER)</w:t>
            </w:r>
          </w:p>
        </w:tc>
      </w:tr>
      <w:tr w:rsidR="00CA2AD7" w:rsidRPr="00C4084C" w14:paraId="6ADB33A4" w14:textId="77777777">
        <w:trPr>
          <w:trHeight w:val="348"/>
        </w:trPr>
        <w:tc>
          <w:tcPr>
            <w:cnfStyle w:val="001000000000" w:firstRow="0" w:lastRow="0" w:firstColumn="1" w:lastColumn="0" w:oddVBand="0" w:evenVBand="0" w:oddHBand="0" w:evenHBand="0" w:firstRowFirstColumn="0" w:firstRowLastColumn="0" w:lastRowFirstColumn="0" w:lastRowLastColumn="0"/>
            <w:tcW w:w="2288" w:type="dxa"/>
          </w:tcPr>
          <w:p w14:paraId="7E0218DC" w14:textId="77777777" w:rsidR="00CA2AD7" w:rsidRPr="00C4084C" w:rsidRDefault="00CA2AD7">
            <w:pPr>
              <w:rPr>
                <w:rFonts w:eastAsia="Times New Roman"/>
                <w:color w:val="000000"/>
                <w:lang w:eastAsia="en-AU"/>
              </w:rPr>
            </w:pPr>
            <w:r w:rsidRPr="00C4084C">
              <w:rPr>
                <w:rFonts w:eastAsia="Times New Roman"/>
                <w:color w:val="000000"/>
                <w:lang w:eastAsia="en-AU"/>
              </w:rPr>
              <w:t>Literature review of belonging</w:t>
            </w:r>
            <w:r w:rsidRPr="00C4084C">
              <w:rPr>
                <w:rFonts w:eastAsia="Times New Roman"/>
                <w:color w:val="000000"/>
                <w:lang w:eastAsia="en-AU"/>
              </w:rPr>
              <w:br/>
            </w:r>
          </w:p>
        </w:tc>
        <w:tc>
          <w:tcPr>
            <w:tcW w:w="5103" w:type="dxa"/>
          </w:tcPr>
          <w:p w14:paraId="3180B898"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Times New Roman"/>
                <w:color w:val="000000"/>
                <w:lang w:eastAsia="en-AU"/>
              </w:rPr>
            </w:pPr>
            <w:r w:rsidRPr="00C4084C">
              <w:t xml:space="preserve">A literature review of what is belonging, the impact belonging has on student wellbeing and academic outcomes, factors </w:t>
            </w:r>
            <w:r w:rsidRPr="00C4084C">
              <w:rPr>
                <w:rFonts w:eastAsia="Times New Roman"/>
              </w:rPr>
              <w:t xml:space="preserve">that can impact students’ sense of belonging, including whether there is any specific evidence on equity students and what might foster or improve belonging for higher education students. Additionally, literature regarding </w:t>
            </w:r>
            <w:r w:rsidRPr="00C4084C">
              <w:t>students belonging to universities as it applies to different groups of students (e.g. part-time, mature age, and online).</w:t>
            </w:r>
          </w:p>
        </w:tc>
        <w:tc>
          <w:tcPr>
            <w:tcW w:w="2268" w:type="dxa"/>
          </w:tcPr>
          <w:p w14:paraId="32365EAF" w14:textId="77777777" w:rsidR="00CA2AD7" w:rsidRPr="00C4084C" w:rsidRDefault="00CA2AD7">
            <w:pPr>
              <w:cnfStyle w:val="000000000000" w:firstRow="0" w:lastRow="0" w:firstColumn="0" w:lastColumn="0" w:oddVBand="0" w:evenVBand="0" w:oddHBand="0" w:evenHBand="0" w:firstRowFirstColumn="0" w:firstRowLastColumn="0" w:lastRowFirstColumn="0" w:lastRowLastColumn="0"/>
              <w:rPr>
                <w:rFonts w:eastAsia="Times New Roman"/>
                <w:color w:val="000000"/>
                <w:lang w:eastAsia="en-AU"/>
              </w:rPr>
            </w:pPr>
            <w:r w:rsidRPr="00C4084C">
              <w:rPr>
                <w:rFonts w:eastAsia="Times New Roman"/>
                <w:color w:val="000000" w:themeColor="text1"/>
                <w:lang w:eastAsia="en-AU"/>
              </w:rPr>
              <w:t>University of Tasmania</w:t>
            </w:r>
          </w:p>
        </w:tc>
      </w:tr>
      <w:tr w:rsidR="00CA2AD7" w:rsidRPr="00C4084C" w14:paraId="63568E6F" w14:textId="77777777">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288" w:type="dxa"/>
          </w:tcPr>
          <w:p w14:paraId="76591322" w14:textId="77777777" w:rsidR="00CA2AD7" w:rsidRPr="00C4084C" w:rsidRDefault="00CA2AD7">
            <w:pPr>
              <w:rPr>
                <w:rFonts w:eastAsia="Times New Roman"/>
                <w:b w:val="0"/>
                <w:bCs w:val="0"/>
                <w:color w:val="000000"/>
                <w:lang w:eastAsia="en-AU"/>
              </w:rPr>
            </w:pPr>
            <w:r w:rsidRPr="00C4084C">
              <w:rPr>
                <w:rFonts w:eastAsia="Times New Roman"/>
                <w:color w:val="000000"/>
                <w:lang w:eastAsia="en-AU"/>
              </w:rPr>
              <w:t>Student contributions analysis</w:t>
            </w:r>
          </w:p>
          <w:p w14:paraId="52400998" w14:textId="77777777" w:rsidR="00CA2AD7" w:rsidRPr="00C4084C" w:rsidRDefault="00CA2AD7">
            <w:pPr>
              <w:rPr>
                <w:rFonts w:eastAsia="Times New Roman"/>
                <w:color w:val="000000"/>
                <w:lang w:eastAsia="en-AU"/>
              </w:rPr>
            </w:pPr>
          </w:p>
        </w:tc>
        <w:tc>
          <w:tcPr>
            <w:tcW w:w="5103" w:type="dxa"/>
          </w:tcPr>
          <w:p w14:paraId="7DBCEB00" w14:textId="77777777"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Times New Roman"/>
                <w:color w:val="000000"/>
                <w:lang w:eastAsia="en-AU"/>
              </w:rPr>
            </w:pPr>
            <w:r w:rsidRPr="00C4084C">
              <w:rPr>
                <w:rFonts w:eastAsia="Times New Roman"/>
              </w:rPr>
              <w:t>A report outlining policy options regarding the setting of student contributions for Commonwealth supported students and whether this pricing system should vary by level of study. It also outlines principles for reforms to the Higher Education Loan Program, principally around the use of marginal versus total income collection for repayments.</w:t>
            </w:r>
          </w:p>
        </w:tc>
        <w:tc>
          <w:tcPr>
            <w:tcW w:w="2268" w:type="dxa"/>
          </w:tcPr>
          <w:p w14:paraId="53905696" w14:textId="67CCA408" w:rsidR="00CA2AD7" w:rsidRPr="00C4084C" w:rsidRDefault="00CA2AD7">
            <w:pPr>
              <w:cnfStyle w:val="000000100000" w:firstRow="0" w:lastRow="0" w:firstColumn="0" w:lastColumn="0" w:oddVBand="0" w:evenVBand="0" w:oddHBand="1" w:evenHBand="0" w:firstRowFirstColumn="0" w:firstRowLastColumn="0" w:lastRowFirstColumn="0" w:lastRowLastColumn="0"/>
              <w:rPr>
                <w:rFonts w:eastAsia="Times New Roman"/>
                <w:color w:val="000000"/>
                <w:lang w:eastAsia="en-AU"/>
              </w:rPr>
            </w:pPr>
            <w:r w:rsidRPr="00C4084C">
              <w:t>Emeritus Professor Bruce Chapman AO</w:t>
            </w:r>
          </w:p>
        </w:tc>
      </w:tr>
    </w:tbl>
    <w:p w14:paraId="53850234" w14:textId="77777777" w:rsidR="0067026A" w:rsidRDefault="0067026A" w:rsidP="006973B0">
      <w:pPr>
        <w:sectPr w:rsidR="0067026A" w:rsidSect="00134415">
          <w:headerReference w:type="even" r:id="rId183"/>
          <w:headerReference w:type="default" r:id="rId184"/>
          <w:headerReference w:type="first" r:id="rId185"/>
          <w:pgSz w:w="11906" w:h="16838" w:code="9"/>
          <w:pgMar w:top="1225" w:right="1440" w:bottom="1440" w:left="1440" w:header="709" w:footer="709" w:gutter="0"/>
          <w:cols w:space="708"/>
          <w:titlePg/>
          <w:docGrid w:linePitch="360"/>
        </w:sectPr>
      </w:pPr>
    </w:p>
    <w:p w14:paraId="0B5D14FD" w14:textId="0462D200" w:rsidR="007B321E" w:rsidRPr="00C4084C" w:rsidRDefault="007B321E" w:rsidP="00A37C41">
      <w:pPr>
        <w:pStyle w:val="Non-numberedHeading2"/>
      </w:pPr>
      <w:bookmarkStart w:id="1649" w:name="_Toc775199401"/>
      <w:bookmarkStart w:id="1650" w:name="_Toc159501044"/>
      <w:r w:rsidRPr="00C4084C">
        <w:lastRenderedPageBreak/>
        <w:t>Acronyms</w:t>
      </w:r>
      <w:bookmarkEnd w:id="1649"/>
      <w:bookmarkEnd w:id="1650"/>
    </w:p>
    <w:p w14:paraId="0CFAEA28" w14:textId="58E2AC71" w:rsidR="007B321E" w:rsidRPr="00C4084C" w:rsidRDefault="007B321E" w:rsidP="007B321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22"/>
      </w:tblGrid>
      <w:tr w:rsidR="00C6243E" w:rsidRPr="00C4084C" w14:paraId="6A7F466D" w14:textId="77777777" w:rsidTr="003E5969">
        <w:trPr>
          <w:trHeight w:val="65"/>
        </w:trPr>
        <w:tc>
          <w:tcPr>
            <w:tcW w:w="2694" w:type="dxa"/>
          </w:tcPr>
          <w:p w14:paraId="3BAD54E3" w14:textId="2A0043BA" w:rsidR="00C6243E" w:rsidRPr="003E5969" w:rsidRDefault="00C6243E" w:rsidP="0095265D">
            <w:pPr>
              <w:rPr>
                <w:rFonts w:cs="Arial"/>
                <w:b/>
                <w:color w:val="FFFFFF" w:themeColor="background1"/>
                <w:sz w:val="2"/>
                <w:szCs w:val="2"/>
              </w:rPr>
            </w:pPr>
            <w:r w:rsidRPr="003E5969">
              <w:rPr>
                <w:rFonts w:cs="Arial"/>
                <w:b/>
                <w:color w:val="FFFFFF" w:themeColor="background1"/>
                <w:sz w:val="2"/>
                <w:szCs w:val="2"/>
              </w:rPr>
              <w:t>Acronym</w:t>
            </w:r>
          </w:p>
        </w:tc>
        <w:tc>
          <w:tcPr>
            <w:tcW w:w="6322" w:type="dxa"/>
          </w:tcPr>
          <w:p w14:paraId="039E49BB" w14:textId="6B049614" w:rsidR="00C6243E" w:rsidRPr="003E5969" w:rsidRDefault="00C6243E" w:rsidP="0095265D">
            <w:pPr>
              <w:rPr>
                <w:rFonts w:cs="Arial"/>
                <w:color w:val="FFFFFF" w:themeColor="background1"/>
                <w:sz w:val="2"/>
                <w:szCs w:val="2"/>
              </w:rPr>
            </w:pPr>
            <w:r w:rsidRPr="003E5969">
              <w:rPr>
                <w:rFonts w:cs="Arial"/>
                <w:color w:val="FFFFFF" w:themeColor="background1"/>
                <w:sz w:val="2"/>
                <w:szCs w:val="2"/>
              </w:rPr>
              <w:t>Description</w:t>
            </w:r>
          </w:p>
        </w:tc>
      </w:tr>
      <w:tr w:rsidR="007B321E" w:rsidRPr="00C4084C" w14:paraId="01A2A243" w14:textId="77777777" w:rsidTr="003E5969">
        <w:trPr>
          <w:trHeight w:val="454"/>
        </w:trPr>
        <w:tc>
          <w:tcPr>
            <w:tcW w:w="2694" w:type="dxa"/>
          </w:tcPr>
          <w:p w14:paraId="10F5B582" w14:textId="77777777" w:rsidR="007B321E" w:rsidRPr="00C4084C" w:rsidRDefault="007B321E" w:rsidP="0095265D">
            <w:pPr>
              <w:rPr>
                <w:rFonts w:cs="Arial"/>
                <w:b/>
              </w:rPr>
            </w:pPr>
            <w:r w:rsidRPr="00C4084C">
              <w:rPr>
                <w:rFonts w:cs="Arial"/>
                <w:b/>
              </w:rPr>
              <w:t>ABS</w:t>
            </w:r>
          </w:p>
        </w:tc>
        <w:tc>
          <w:tcPr>
            <w:tcW w:w="6322" w:type="dxa"/>
          </w:tcPr>
          <w:p w14:paraId="3D40FFD0" w14:textId="77777777" w:rsidR="007B321E" w:rsidRPr="00C4084C" w:rsidRDefault="007B321E" w:rsidP="0095265D">
            <w:pPr>
              <w:rPr>
                <w:rFonts w:cs="Arial"/>
              </w:rPr>
            </w:pPr>
            <w:r w:rsidRPr="00C4084C">
              <w:rPr>
                <w:rFonts w:cs="Arial"/>
              </w:rPr>
              <w:t>Australian Bureau of Statistics</w:t>
            </w:r>
          </w:p>
        </w:tc>
      </w:tr>
      <w:tr w:rsidR="007B321E" w:rsidRPr="00C4084C" w14:paraId="045E5874" w14:textId="77777777" w:rsidTr="003E5969">
        <w:trPr>
          <w:trHeight w:val="454"/>
        </w:trPr>
        <w:tc>
          <w:tcPr>
            <w:tcW w:w="2694" w:type="dxa"/>
          </w:tcPr>
          <w:p w14:paraId="573793B2" w14:textId="77777777" w:rsidR="007B321E" w:rsidRPr="00C4084C" w:rsidRDefault="007B321E" w:rsidP="0095265D">
            <w:pPr>
              <w:spacing w:after="160" w:line="259" w:lineRule="auto"/>
              <w:rPr>
                <w:rFonts w:cs="Arial"/>
                <w:b/>
              </w:rPr>
            </w:pPr>
            <w:r w:rsidRPr="00C4084C">
              <w:rPr>
                <w:rFonts w:cs="Arial"/>
                <w:b/>
              </w:rPr>
              <w:t>ABSTUDY</w:t>
            </w:r>
          </w:p>
        </w:tc>
        <w:tc>
          <w:tcPr>
            <w:tcW w:w="6322" w:type="dxa"/>
          </w:tcPr>
          <w:p w14:paraId="0A29E5B7" w14:textId="77777777" w:rsidR="007B321E" w:rsidRPr="00C4084C" w:rsidRDefault="007B321E" w:rsidP="0095265D">
            <w:pPr>
              <w:spacing w:after="160" w:line="259" w:lineRule="auto"/>
              <w:rPr>
                <w:rFonts w:cs="Arial"/>
              </w:rPr>
            </w:pPr>
            <w:r w:rsidRPr="00C4084C">
              <w:rPr>
                <w:rFonts w:cs="Arial"/>
              </w:rPr>
              <w:t>Aboriginal and Torres Strait Islander Study Assistance Scheme</w:t>
            </w:r>
          </w:p>
        </w:tc>
      </w:tr>
      <w:tr w:rsidR="00823E25" w:rsidRPr="00C4084C" w14:paraId="0853708A" w14:textId="77777777" w:rsidTr="003E5969">
        <w:trPr>
          <w:trHeight w:val="454"/>
        </w:trPr>
        <w:tc>
          <w:tcPr>
            <w:tcW w:w="2694" w:type="dxa"/>
          </w:tcPr>
          <w:p w14:paraId="52499FF9" w14:textId="1DCA6470" w:rsidR="00823E25" w:rsidRPr="00C4084C" w:rsidRDefault="00823E25" w:rsidP="0095265D">
            <w:pPr>
              <w:spacing w:after="160"/>
              <w:rPr>
                <w:rFonts w:cs="Arial"/>
                <w:b/>
              </w:rPr>
            </w:pPr>
            <w:r w:rsidRPr="00C4084C">
              <w:rPr>
                <w:rFonts w:cs="Arial"/>
                <w:b/>
              </w:rPr>
              <w:t>ACEN</w:t>
            </w:r>
          </w:p>
        </w:tc>
        <w:tc>
          <w:tcPr>
            <w:tcW w:w="6322" w:type="dxa"/>
          </w:tcPr>
          <w:p w14:paraId="6D8AFE87" w14:textId="451E54EB" w:rsidR="00823E25" w:rsidRPr="00C4084C" w:rsidRDefault="00823E25" w:rsidP="0095265D">
            <w:pPr>
              <w:spacing w:after="160"/>
              <w:rPr>
                <w:rFonts w:cs="Arial"/>
              </w:rPr>
            </w:pPr>
            <w:r w:rsidRPr="00C4084C">
              <w:rPr>
                <w:rFonts w:cs="Arial"/>
              </w:rPr>
              <w:t>Australian Collaborative Education Network</w:t>
            </w:r>
          </w:p>
        </w:tc>
      </w:tr>
      <w:tr w:rsidR="00B069DD" w:rsidRPr="00C4084C" w14:paraId="1C596C46" w14:textId="77777777" w:rsidTr="003E5969">
        <w:trPr>
          <w:trHeight w:val="454"/>
        </w:trPr>
        <w:tc>
          <w:tcPr>
            <w:tcW w:w="2694" w:type="dxa"/>
          </w:tcPr>
          <w:p w14:paraId="161BACE6" w14:textId="6C017E76" w:rsidR="00B069DD" w:rsidRPr="00C4084C" w:rsidRDefault="00B069DD" w:rsidP="0095265D">
            <w:pPr>
              <w:rPr>
                <w:rFonts w:cs="Arial"/>
                <w:b/>
              </w:rPr>
            </w:pPr>
            <w:r w:rsidRPr="00C4084C">
              <w:rPr>
                <w:rFonts w:cs="Arial"/>
                <w:b/>
              </w:rPr>
              <w:t>ACRG</w:t>
            </w:r>
          </w:p>
        </w:tc>
        <w:tc>
          <w:tcPr>
            <w:tcW w:w="6322" w:type="dxa"/>
          </w:tcPr>
          <w:p w14:paraId="3EC4BB7C" w14:textId="6B271133" w:rsidR="00B069DD" w:rsidRPr="00C4084C" w:rsidRDefault="00B069DD" w:rsidP="0095265D">
            <w:pPr>
              <w:rPr>
                <w:rFonts w:cs="Arial"/>
              </w:rPr>
            </w:pPr>
            <w:r w:rsidRPr="00C4084C">
              <w:rPr>
                <w:rFonts w:cs="Arial"/>
              </w:rPr>
              <w:t>Australian Competitive Research Grants</w:t>
            </w:r>
          </w:p>
        </w:tc>
      </w:tr>
      <w:tr w:rsidR="007B321E" w:rsidRPr="00C4084C" w14:paraId="1A340F9F" w14:textId="77777777" w:rsidTr="003E5969">
        <w:trPr>
          <w:trHeight w:val="454"/>
        </w:trPr>
        <w:tc>
          <w:tcPr>
            <w:tcW w:w="2694" w:type="dxa"/>
          </w:tcPr>
          <w:p w14:paraId="4BDB1A9E" w14:textId="77777777" w:rsidR="007B321E" w:rsidRPr="00C4084C" w:rsidRDefault="007B321E" w:rsidP="0095265D">
            <w:pPr>
              <w:rPr>
                <w:rFonts w:cs="Arial"/>
                <w:b/>
              </w:rPr>
            </w:pPr>
            <w:r w:rsidRPr="00C4084C">
              <w:rPr>
                <w:rFonts w:cs="Arial"/>
                <w:b/>
              </w:rPr>
              <w:t>AEA</w:t>
            </w:r>
          </w:p>
        </w:tc>
        <w:tc>
          <w:tcPr>
            <w:tcW w:w="6322" w:type="dxa"/>
          </w:tcPr>
          <w:p w14:paraId="2F98F677" w14:textId="77777777" w:rsidR="007B321E" w:rsidRPr="00C4084C" w:rsidRDefault="007B321E" w:rsidP="0095265D">
            <w:pPr>
              <w:rPr>
                <w:rFonts w:cs="Arial"/>
              </w:rPr>
            </w:pPr>
            <w:r w:rsidRPr="00C4084C">
              <w:rPr>
                <w:rFonts w:cs="Arial"/>
              </w:rPr>
              <w:t>Australia’s Economic Accelerator</w:t>
            </w:r>
          </w:p>
        </w:tc>
      </w:tr>
      <w:tr w:rsidR="00B558B1" w:rsidRPr="00C4084C" w14:paraId="340D8470" w14:textId="77777777" w:rsidTr="003E5969">
        <w:trPr>
          <w:trHeight w:val="454"/>
        </w:trPr>
        <w:tc>
          <w:tcPr>
            <w:tcW w:w="2694" w:type="dxa"/>
          </w:tcPr>
          <w:p w14:paraId="134193A4" w14:textId="2BDCDA70" w:rsidR="00B558B1" w:rsidRPr="00C4084C" w:rsidRDefault="00B558B1" w:rsidP="0095265D">
            <w:pPr>
              <w:rPr>
                <w:rFonts w:cs="Arial"/>
                <w:b/>
              </w:rPr>
            </w:pPr>
            <w:r w:rsidRPr="00C4084C">
              <w:rPr>
                <w:rFonts w:cs="Arial"/>
                <w:b/>
              </w:rPr>
              <w:t>AI</w:t>
            </w:r>
          </w:p>
        </w:tc>
        <w:tc>
          <w:tcPr>
            <w:tcW w:w="6322" w:type="dxa"/>
          </w:tcPr>
          <w:p w14:paraId="55C9A6B6" w14:textId="753F8815" w:rsidR="00B558B1" w:rsidRPr="00C4084C" w:rsidRDefault="00B558B1" w:rsidP="0095265D">
            <w:pPr>
              <w:rPr>
                <w:rFonts w:cs="Arial"/>
              </w:rPr>
            </w:pPr>
            <w:r w:rsidRPr="00C4084C">
              <w:rPr>
                <w:rFonts w:cs="Arial"/>
              </w:rPr>
              <w:t>Artificial intelligence</w:t>
            </w:r>
          </w:p>
        </w:tc>
      </w:tr>
      <w:tr w:rsidR="007B321E" w:rsidRPr="00C4084C" w14:paraId="7209040E" w14:textId="77777777" w:rsidTr="003E5969">
        <w:trPr>
          <w:trHeight w:val="454"/>
        </w:trPr>
        <w:tc>
          <w:tcPr>
            <w:tcW w:w="2694" w:type="dxa"/>
          </w:tcPr>
          <w:p w14:paraId="7352C557" w14:textId="77777777" w:rsidR="007B321E" w:rsidRPr="00C4084C" w:rsidRDefault="007B321E" w:rsidP="0095265D">
            <w:pPr>
              <w:rPr>
                <w:rFonts w:cs="Arial"/>
                <w:b/>
              </w:rPr>
            </w:pPr>
            <w:r w:rsidRPr="00C4084C">
              <w:rPr>
                <w:rFonts w:cs="Arial"/>
                <w:b/>
              </w:rPr>
              <w:t>APRA</w:t>
            </w:r>
          </w:p>
        </w:tc>
        <w:tc>
          <w:tcPr>
            <w:tcW w:w="6322" w:type="dxa"/>
          </w:tcPr>
          <w:p w14:paraId="496991BE" w14:textId="77777777" w:rsidR="007B321E" w:rsidRPr="00C4084C" w:rsidRDefault="007B321E" w:rsidP="0095265D">
            <w:pPr>
              <w:rPr>
                <w:rFonts w:cs="Arial"/>
              </w:rPr>
            </w:pPr>
            <w:r w:rsidRPr="00C4084C">
              <w:rPr>
                <w:rFonts w:cs="Arial"/>
              </w:rPr>
              <w:t>Australian Prudential Regulation Authority</w:t>
            </w:r>
          </w:p>
        </w:tc>
      </w:tr>
      <w:tr w:rsidR="00823E25" w:rsidRPr="00C4084C" w14:paraId="22A48E2A" w14:textId="77777777" w:rsidTr="003E5969">
        <w:trPr>
          <w:trHeight w:val="454"/>
        </w:trPr>
        <w:tc>
          <w:tcPr>
            <w:tcW w:w="2694" w:type="dxa"/>
          </w:tcPr>
          <w:p w14:paraId="424C47DD" w14:textId="2FAF021C" w:rsidR="00823E25" w:rsidRPr="00C4084C" w:rsidRDefault="00823E25" w:rsidP="00823E25">
            <w:pPr>
              <w:rPr>
                <w:rFonts w:cs="Arial"/>
                <w:b/>
              </w:rPr>
            </w:pPr>
            <w:r w:rsidRPr="00C4084C">
              <w:rPr>
                <w:rFonts w:cs="Arial"/>
                <w:b/>
              </w:rPr>
              <w:t>AQF</w:t>
            </w:r>
          </w:p>
        </w:tc>
        <w:tc>
          <w:tcPr>
            <w:tcW w:w="6322" w:type="dxa"/>
          </w:tcPr>
          <w:p w14:paraId="036DB424" w14:textId="67F0A677" w:rsidR="00823E25" w:rsidRPr="00C4084C" w:rsidRDefault="00823E25" w:rsidP="00823E25">
            <w:pPr>
              <w:rPr>
                <w:rFonts w:cs="Arial"/>
              </w:rPr>
            </w:pPr>
            <w:r w:rsidRPr="00C4084C">
              <w:rPr>
                <w:rFonts w:cs="Arial"/>
              </w:rPr>
              <w:t>Australian Qualifications Framework</w:t>
            </w:r>
          </w:p>
        </w:tc>
      </w:tr>
      <w:tr w:rsidR="007B321E" w:rsidRPr="00C4084C" w14:paraId="101D2E04" w14:textId="77777777" w:rsidTr="003E5969">
        <w:trPr>
          <w:trHeight w:val="454"/>
        </w:trPr>
        <w:tc>
          <w:tcPr>
            <w:tcW w:w="2694" w:type="dxa"/>
          </w:tcPr>
          <w:p w14:paraId="5EED8BB7" w14:textId="77777777" w:rsidR="007B321E" w:rsidRPr="00C4084C" w:rsidRDefault="007B321E" w:rsidP="0095265D">
            <w:pPr>
              <w:spacing w:after="160" w:line="259" w:lineRule="auto"/>
              <w:rPr>
                <w:rFonts w:cs="Arial"/>
                <w:b/>
              </w:rPr>
            </w:pPr>
            <w:r w:rsidRPr="00C4084C">
              <w:rPr>
                <w:rFonts w:cs="Arial"/>
                <w:b/>
              </w:rPr>
              <w:t>ARC</w:t>
            </w:r>
          </w:p>
        </w:tc>
        <w:tc>
          <w:tcPr>
            <w:tcW w:w="6322" w:type="dxa"/>
          </w:tcPr>
          <w:p w14:paraId="5A15C46B" w14:textId="77777777" w:rsidR="007B321E" w:rsidRPr="00C4084C" w:rsidRDefault="007B321E" w:rsidP="0095265D">
            <w:pPr>
              <w:spacing w:after="160" w:line="259" w:lineRule="auto"/>
              <w:rPr>
                <w:rFonts w:cs="Arial"/>
              </w:rPr>
            </w:pPr>
            <w:r w:rsidRPr="00C4084C">
              <w:rPr>
                <w:rFonts w:cs="Arial"/>
              </w:rPr>
              <w:t>Australian Research Council</w:t>
            </w:r>
          </w:p>
        </w:tc>
      </w:tr>
      <w:tr w:rsidR="007B321E" w:rsidRPr="00C4084C" w14:paraId="22344C38" w14:textId="77777777" w:rsidTr="003E5969">
        <w:trPr>
          <w:trHeight w:val="454"/>
        </w:trPr>
        <w:tc>
          <w:tcPr>
            <w:tcW w:w="2694" w:type="dxa"/>
          </w:tcPr>
          <w:p w14:paraId="4A7B0D92" w14:textId="77777777" w:rsidR="007B321E" w:rsidRPr="00C4084C" w:rsidRDefault="007B321E" w:rsidP="0095265D">
            <w:pPr>
              <w:spacing w:line="259" w:lineRule="auto"/>
              <w:rPr>
                <w:rFonts w:cs="Arial"/>
                <w:b/>
                <w:bCs/>
              </w:rPr>
            </w:pPr>
            <w:r w:rsidRPr="00C4084C">
              <w:rPr>
                <w:rFonts w:cs="Arial"/>
                <w:b/>
                <w:bCs/>
              </w:rPr>
              <w:t>ARIC</w:t>
            </w:r>
          </w:p>
        </w:tc>
        <w:tc>
          <w:tcPr>
            <w:tcW w:w="6322" w:type="dxa"/>
          </w:tcPr>
          <w:p w14:paraId="6DC463C4" w14:textId="18D525E4" w:rsidR="007B321E" w:rsidRPr="00C4084C" w:rsidRDefault="007B321E" w:rsidP="0095265D">
            <w:pPr>
              <w:spacing w:line="259" w:lineRule="auto"/>
              <w:rPr>
                <w:rFonts w:cs="Arial"/>
              </w:rPr>
            </w:pPr>
            <w:r w:rsidRPr="00C4084C">
              <w:rPr>
                <w:rFonts w:cs="Arial"/>
              </w:rPr>
              <w:t xml:space="preserve">Australian Research Integrity </w:t>
            </w:r>
            <w:r w:rsidR="00823E25" w:rsidRPr="00C4084C">
              <w:rPr>
                <w:rFonts w:cs="Arial"/>
              </w:rPr>
              <w:t>Committee</w:t>
            </w:r>
          </w:p>
        </w:tc>
      </w:tr>
      <w:tr w:rsidR="007B321E" w:rsidRPr="00C4084C" w14:paraId="2A27F9F3" w14:textId="77777777" w:rsidTr="003E5969">
        <w:trPr>
          <w:trHeight w:val="454"/>
        </w:trPr>
        <w:tc>
          <w:tcPr>
            <w:tcW w:w="2694" w:type="dxa"/>
          </w:tcPr>
          <w:p w14:paraId="4B5CB71E" w14:textId="77777777" w:rsidR="007B321E" w:rsidRPr="00C4084C" w:rsidRDefault="007B321E" w:rsidP="0095265D">
            <w:pPr>
              <w:spacing w:after="160" w:line="259" w:lineRule="auto"/>
              <w:rPr>
                <w:rFonts w:cs="Arial"/>
                <w:b/>
              </w:rPr>
            </w:pPr>
            <w:r w:rsidRPr="00C4084C">
              <w:rPr>
                <w:rFonts w:cs="Arial"/>
                <w:b/>
              </w:rPr>
              <w:t>ASC</w:t>
            </w:r>
          </w:p>
        </w:tc>
        <w:tc>
          <w:tcPr>
            <w:tcW w:w="6322" w:type="dxa"/>
          </w:tcPr>
          <w:p w14:paraId="3EE9CB45" w14:textId="77777777" w:rsidR="007B321E" w:rsidRPr="00C4084C" w:rsidRDefault="007B321E" w:rsidP="0095265D">
            <w:pPr>
              <w:spacing w:after="160" w:line="259" w:lineRule="auto"/>
              <w:rPr>
                <w:rFonts w:cs="Arial"/>
              </w:rPr>
            </w:pPr>
            <w:r w:rsidRPr="00C4084C">
              <w:rPr>
                <w:rFonts w:cs="Arial"/>
              </w:rPr>
              <w:t>Australian Skills Classification</w:t>
            </w:r>
          </w:p>
        </w:tc>
      </w:tr>
      <w:tr w:rsidR="005B56B5" w:rsidRPr="00C4084C" w14:paraId="2D23F93C" w14:textId="77777777" w:rsidTr="003E5969">
        <w:trPr>
          <w:trHeight w:val="454"/>
        </w:trPr>
        <w:tc>
          <w:tcPr>
            <w:tcW w:w="2694" w:type="dxa"/>
          </w:tcPr>
          <w:p w14:paraId="36F2541C" w14:textId="65472EF0" w:rsidR="005B56B5" w:rsidRPr="00C4084C" w:rsidRDefault="005B56B5" w:rsidP="0095265D">
            <w:pPr>
              <w:spacing w:after="160"/>
              <w:rPr>
                <w:rFonts w:cs="Arial"/>
                <w:b/>
              </w:rPr>
            </w:pPr>
            <w:r w:rsidRPr="00C4084C">
              <w:rPr>
                <w:rFonts w:cs="Arial"/>
                <w:b/>
              </w:rPr>
              <w:t>ASCED</w:t>
            </w:r>
          </w:p>
        </w:tc>
        <w:tc>
          <w:tcPr>
            <w:tcW w:w="6322" w:type="dxa"/>
          </w:tcPr>
          <w:p w14:paraId="09917AE3" w14:textId="00112885" w:rsidR="005B56B5" w:rsidRPr="00C4084C" w:rsidRDefault="005B56B5" w:rsidP="0095265D">
            <w:pPr>
              <w:spacing w:after="160"/>
              <w:rPr>
                <w:rFonts w:cs="Arial"/>
              </w:rPr>
            </w:pPr>
            <w:r w:rsidRPr="00C4084C">
              <w:rPr>
                <w:rFonts w:cs="Arial"/>
              </w:rPr>
              <w:t>Australian Standard Classification of Education</w:t>
            </w:r>
          </w:p>
        </w:tc>
      </w:tr>
      <w:tr w:rsidR="007B321E" w:rsidRPr="00C4084C" w14:paraId="241540AA" w14:textId="77777777" w:rsidTr="003E5969">
        <w:trPr>
          <w:trHeight w:val="454"/>
        </w:trPr>
        <w:tc>
          <w:tcPr>
            <w:tcW w:w="2694" w:type="dxa"/>
          </w:tcPr>
          <w:p w14:paraId="0873F723" w14:textId="77777777" w:rsidR="007B321E" w:rsidRPr="00C4084C" w:rsidRDefault="007B321E" w:rsidP="0095265D">
            <w:pPr>
              <w:spacing w:after="160" w:line="259" w:lineRule="auto"/>
              <w:rPr>
                <w:rFonts w:cs="Arial"/>
                <w:b/>
              </w:rPr>
            </w:pPr>
            <w:r w:rsidRPr="00C4084C">
              <w:rPr>
                <w:rFonts w:cs="Arial"/>
                <w:b/>
              </w:rPr>
              <w:t>ASQA</w:t>
            </w:r>
          </w:p>
        </w:tc>
        <w:tc>
          <w:tcPr>
            <w:tcW w:w="6322" w:type="dxa"/>
          </w:tcPr>
          <w:p w14:paraId="63DCAE3D" w14:textId="77777777" w:rsidR="007B321E" w:rsidRPr="00C4084C" w:rsidRDefault="007B321E" w:rsidP="0095265D">
            <w:pPr>
              <w:spacing w:after="160" w:line="259" w:lineRule="auto"/>
              <w:rPr>
                <w:rFonts w:cs="Arial"/>
              </w:rPr>
            </w:pPr>
            <w:r w:rsidRPr="00C4084C">
              <w:rPr>
                <w:rFonts w:cs="Arial"/>
              </w:rPr>
              <w:t>Australian Skills Quality Authority</w:t>
            </w:r>
          </w:p>
        </w:tc>
      </w:tr>
      <w:tr w:rsidR="007B321E" w:rsidRPr="00C4084C" w14:paraId="249831DF" w14:textId="77777777" w:rsidTr="003E5969">
        <w:trPr>
          <w:trHeight w:val="465"/>
        </w:trPr>
        <w:tc>
          <w:tcPr>
            <w:tcW w:w="2694" w:type="dxa"/>
          </w:tcPr>
          <w:p w14:paraId="5E5E7FD0" w14:textId="77777777" w:rsidR="007B321E" w:rsidRPr="00C4084C" w:rsidRDefault="007B321E" w:rsidP="0095265D">
            <w:pPr>
              <w:rPr>
                <w:rFonts w:cs="Arial"/>
                <w:b/>
              </w:rPr>
            </w:pPr>
            <w:r w:rsidRPr="00C4084C">
              <w:rPr>
                <w:rFonts w:cs="Arial"/>
                <w:b/>
              </w:rPr>
              <w:t>ATAR</w:t>
            </w:r>
          </w:p>
        </w:tc>
        <w:tc>
          <w:tcPr>
            <w:tcW w:w="6322" w:type="dxa"/>
          </w:tcPr>
          <w:p w14:paraId="6A5A4865" w14:textId="77777777" w:rsidR="007B321E" w:rsidRPr="00C4084C" w:rsidRDefault="007B321E" w:rsidP="0095265D">
            <w:pPr>
              <w:rPr>
                <w:rFonts w:cs="Arial"/>
              </w:rPr>
            </w:pPr>
            <w:r w:rsidRPr="00C4084C">
              <w:rPr>
                <w:rFonts w:cs="Arial"/>
              </w:rPr>
              <w:t>Australian Tertiary Admission Rank</w:t>
            </w:r>
          </w:p>
        </w:tc>
      </w:tr>
      <w:tr w:rsidR="00AF0174" w:rsidRPr="00C4084C" w14:paraId="45214551" w14:textId="77777777" w:rsidTr="003E5969">
        <w:trPr>
          <w:trHeight w:val="465"/>
        </w:trPr>
        <w:tc>
          <w:tcPr>
            <w:tcW w:w="2694" w:type="dxa"/>
          </w:tcPr>
          <w:p w14:paraId="6ED4769C" w14:textId="0D99884C" w:rsidR="00AF0174" w:rsidRPr="00C4084C" w:rsidRDefault="00AF0174" w:rsidP="0095265D">
            <w:pPr>
              <w:rPr>
                <w:rFonts w:cs="Arial"/>
                <w:b/>
              </w:rPr>
            </w:pPr>
            <w:r>
              <w:rPr>
                <w:rFonts w:cs="Arial"/>
                <w:b/>
              </w:rPr>
              <w:t>ATN</w:t>
            </w:r>
          </w:p>
        </w:tc>
        <w:tc>
          <w:tcPr>
            <w:tcW w:w="6322" w:type="dxa"/>
          </w:tcPr>
          <w:p w14:paraId="67D72E8A" w14:textId="311D55F5" w:rsidR="00AF0174" w:rsidRPr="00C4084C" w:rsidRDefault="00A00194" w:rsidP="0095265D">
            <w:pPr>
              <w:rPr>
                <w:rFonts w:cs="Arial"/>
              </w:rPr>
            </w:pPr>
            <w:r w:rsidRPr="00A00194">
              <w:rPr>
                <w:rFonts w:cs="Arial"/>
              </w:rPr>
              <w:t>Australian Technology Network of Universities</w:t>
            </w:r>
          </w:p>
        </w:tc>
      </w:tr>
      <w:tr w:rsidR="00A46AD7" w:rsidRPr="00C4084C" w14:paraId="6C7E624F" w14:textId="77777777" w:rsidTr="003E5969">
        <w:trPr>
          <w:trHeight w:val="465"/>
        </w:trPr>
        <w:tc>
          <w:tcPr>
            <w:tcW w:w="2694" w:type="dxa"/>
          </w:tcPr>
          <w:p w14:paraId="65CCBD15" w14:textId="56ACE49B" w:rsidR="00A46AD7" w:rsidRPr="00C4084C" w:rsidRDefault="00A46AD7" w:rsidP="00823E25">
            <w:pPr>
              <w:rPr>
                <w:rFonts w:cs="Arial"/>
                <w:b/>
              </w:rPr>
            </w:pPr>
            <w:r w:rsidRPr="00C4084C">
              <w:rPr>
                <w:rFonts w:cs="Arial"/>
                <w:b/>
              </w:rPr>
              <w:t>ATO</w:t>
            </w:r>
          </w:p>
        </w:tc>
        <w:tc>
          <w:tcPr>
            <w:tcW w:w="6322" w:type="dxa"/>
          </w:tcPr>
          <w:p w14:paraId="7A7EC5FD" w14:textId="5E0CCC43" w:rsidR="00A46AD7" w:rsidRPr="00C4084C" w:rsidRDefault="00A46AD7" w:rsidP="00823E25">
            <w:pPr>
              <w:rPr>
                <w:rFonts w:cs="Arial"/>
              </w:rPr>
            </w:pPr>
            <w:r w:rsidRPr="00C4084C">
              <w:rPr>
                <w:rFonts w:cs="Arial"/>
              </w:rPr>
              <w:t>Australian Taxation Office</w:t>
            </w:r>
          </w:p>
        </w:tc>
      </w:tr>
      <w:tr w:rsidR="000326A5" w:rsidRPr="00C4084C" w14:paraId="3474F0DA" w14:textId="77777777" w:rsidTr="003E5969">
        <w:trPr>
          <w:trHeight w:val="465"/>
        </w:trPr>
        <w:tc>
          <w:tcPr>
            <w:tcW w:w="2694" w:type="dxa"/>
          </w:tcPr>
          <w:p w14:paraId="1996908E" w14:textId="6DD4BD9E" w:rsidR="000326A5" w:rsidRPr="00C4084C" w:rsidRDefault="000326A5" w:rsidP="0095265D">
            <w:pPr>
              <w:rPr>
                <w:rFonts w:cs="Arial"/>
                <w:b/>
              </w:rPr>
            </w:pPr>
            <w:r w:rsidRPr="00C4084C">
              <w:rPr>
                <w:rFonts w:cs="Arial"/>
                <w:b/>
              </w:rPr>
              <w:t>BERD</w:t>
            </w:r>
          </w:p>
        </w:tc>
        <w:tc>
          <w:tcPr>
            <w:tcW w:w="6322" w:type="dxa"/>
          </w:tcPr>
          <w:p w14:paraId="403460DE" w14:textId="4C33CE56" w:rsidR="000326A5" w:rsidRPr="00C4084C" w:rsidRDefault="000326A5" w:rsidP="0095265D">
            <w:pPr>
              <w:rPr>
                <w:rFonts w:cs="Arial"/>
              </w:rPr>
            </w:pPr>
            <w:r w:rsidRPr="00C4084C">
              <w:rPr>
                <w:rFonts w:cs="Arial"/>
              </w:rPr>
              <w:t>Business expenditure on research and development</w:t>
            </w:r>
          </w:p>
        </w:tc>
      </w:tr>
      <w:tr w:rsidR="003D13FA" w:rsidRPr="00C4084C" w14:paraId="22BC8EC5" w14:textId="77777777" w:rsidTr="003E5969">
        <w:trPr>
          <w:trHeight w:val="454"/>
        </w:trPr>
        <w:tc>
          <w:tcPr>
            <w:tcW w:w="2694" w:type="dxa"/>
          </w:tcPr>
          <w:p w14:paraId="76B91E70" w14:textId="55D52A14" w:rsidR="003D13FA" w:rsidRPr="00C4084C" w:rsidRDefault="003D13FA" w:rsidP="003D13FA">
            <w:pPr>
              <w:spacing w:after="160"/>
              <w:rPr>
                <w:rFonts w:cs="Arial"/>
                <w:b/>
              </w:rPr>
            </w:pPr>
            <w:r w:rsidRPr="00C4084C">
              <w:rPr>
                <w:rFonts w:cs="Arial"/>
                <w:b/>
              </w:rPr>
              <w:t>CAE</w:t>
            </w:r>
          </w:p>
        </w:tc>
        <w:tc>
          <w:tcPr>
            <w:tcW w:w="6322" w:type="dxa"/>
          </w:tcPr>
          <w:p w14:paraId="36D19E8E" w14:textId="13D76108" w:rsidR="003D13FA" w:rsidRPr="00C4084C" w:rsidRDefault="003D13FA" w:rsidP="003D13FA">
            <w:pPr>
              <w:spacing w:after="160"/>
              <w:rPr>
                <w:rFonts w:cs="Arial"/>
              </w:rPr>
            </w:pPr>
            <w:r w:rsidRPr="00C4084C">
              <w:rPr>
                <w:rFonts w:cs="Arial"/>
              </w:rPr>
              <w:t>Colleges of Advanced Education</w:t>
            </w:r>
          </w:p>
        </w:tc>
      </w:tr>
      <w:tr w:rsidR="002B3885" w:rsidRPr="00C4084C" w14:paraId="1769A769" w14:textId="77777777" w:rsidTr="003E5969">
        <w:trPr>
          <w:trHeight w:val="454"/>
        </w:trPr>
        <w:tc>
          <w:tcPr>
            <w:tcW w:w="2694" w:type="dxa"/>
          </w:tcPr>
          <w:p w14:paraId="16938249" w14:textId="77F32E99" w:rsidR="002B3885" w:rsidRPr="00C4084C" w:rsidRDefault="002B3885" w:rsidP="003D13FA">
            <w:pPr>
              <w:spacing w:after="160"/>
              <w:rPr>
                <w:rFonts w:cs="Arial"/>
                <w:b/>
              </w:rPr>
            </w:pPr>
            <w:r w:rsidRPr="00C4084C">
              <w:rPr>
                <w:rFonts w:cs="Arial"/>
                <w:b/>
              </w:rPr>
              <w:t>CEO</w:t>
            </w:r>
          </w:p>
        </w:tc>
        <w:tc>
          <w:tcPr>
            <w:tcW w:w="6322" w:type="dxa"/>
          </w:tcPr>
          <w:p w14:paraId="33F9F646" w14:textId="1FEAC77E" w:rsidR="002B3885" w:rsidRPr="00C4084C" w:rsidRDefault="002B3885" w:rsidP="003D13FA">
            <w:pPr>
              <w:spacing w:after="160"/>
              <w:rPr>
                <w:rFonts w:cs="Arial"/>
              </w:rPr>
            </w:pPr>
            <w:r w:rsidRPr="00C4084C">
              <w:rPr>
                <w:rFonts w:cs="Arial"/>
              </w:rPr>
              <w:t>Chief Executive Officer</w:t>
            </w:r>
          </w:p>
        </w:tc>
      </w:tr>
      <w:tr w:rsidR="003D13FA" w:rsidRPr="00C4084C" w14:paraId="30D7F66D" w14:textId="77777777" w:rsidTr="003E5969">
        <w:trPr>
          <w:trHeight w:val="454"/>
        </w:trPr>
        <w:tc>
          <w:tcPr>
            <w:tcW w:w="2694" w:type="dxa"/>
          </w:tcPr>
          <w:p w14:paraId="7DBDF00E" w14:textId="77777777" w:rsidR="003D13FA" w:rsidRPr="00C4084C" w:rsidRDefault="003D13FA" w:rsidP="003D13FA">
            <w:pPr>
              <w:spacing w:after="160" w:line="259" w:lineRule="auto"/>
              <w:rPr>
                <w:rFonts w:cs="Arial"/>
                <w:b/>
              </w:rPr>
            </w:pPr>
            <w:r w:rsidRPr="00C4084C">
              <w:rPr>
                <w:rFonts w:cs="Arial"/>
                <w:b/>
              </w:rPr>
              <w:t>CGS</w:t>
            </w:r>
          </w:p>
        </w:tc>
        <w:tc>
          <w:tcPr>
            <w:tcW w:w="6322" w:type="dxa"/>
          </w:tcPr>
          <w:p w14:paraId="7AAF4431" w14:textId="77777777" w:rsidR="003D13FA" w:rsidRPr="00C4084C" w:rsidRDefault="003D13FA" w:rsidP="003D13FA">
            <w:pPr>
              <w:spacing w:after="160" w:line="259" w:lineRule="auto"/>
              <w:rPr>
                <w:rFonts w:cs="Arial"/>
              </w:rPr>
            </w:pPr>
            <w:r w:rsidRPr="00C4084C">
              <w:rPr>
                <w:rFonts w:cs="Arial"/>
              </w:rPr>
              <w:t>Commonwealth Grant Scheme</w:t>
            </w:r>
          </w:p>
        </w:tc>
      </w:tr>
      <w:tr w:rsidR="003D13FA" w:rsidRPr="00C4084C" w14:paraId="3D056F1D" w14:textId="77777777" w:rsidTr="003E5969">
        <w:trPr>
          <w:trHeight w:val="454"/>
        </w:trPr>
        <w:tc>
          <w:tcPr>
            <w:tcW w:w="2694" w:type="dxa"/>
          </w:tcPr>
          <w:p w14:paraId="6815795B" w14:textId="77777777" w:rsidR="003D13FA" w:rsidRPr="00C4084C" w:rsidRDefault="003D13FA" w:rsidP="003D13FA">
            <w:pPr>
              <w:rPr>
                <w:rFonts w:cs="Arial"/>
                <w:b/>
              </w:rPr>
            </w:pPr>
            <w:r w:rsidRPr="00C4084C">
              <w:rPr>
                <w:rFonts w:cs="Arial"/>
                <w:b/>
              </w:rPr>
              <w:t>CICA</w:t>
            </w:r>
          </w:p>
        </w:tc>
        <w:tc>
          <w:tcPr>
            <w:tcW w:w="6322" w:type="dxa"/>
          </w:tcPr>
          <w:p w14:paraId="1ADD7605" w14:textId="0C02CF36" w:rsidR="003D13FA" w:rsidRPr="00C4084C" w:rsidRDefault="003D13FA" w:rsidP="003D13FA">
            <w:pPr>
              <w:rPr>
                <w:rFonts w:cs="Arial"/>
              </w:rPr>
            </w:pPr>
            <w:r w:rsidRPr="00C4084C">
              <w:rPr>
                <w:rFonts w:cs="Arial"/>
              </w:rPr>
              <w:t xml:space="preserve">Career </w:t>
            </w:r>
            <w:r w:rsidR="00986963" w:rsidRPr="00C4084C">
              <w:rPr>
                <w:rFonts w:cs="Arial"/>
              </w:rPr>
              <w:t>I</w:t>
            </w:r>
            <w:r w:rsidRPr="00C4084C">
              <w:rPr>
                <w:rFonts w:cs="Arial"/>
              </w:rPr>
              <w:t>ndustry Council of Australia</w:t>
            </w:r>
          </w:p>
        </w:tc>
      </w:tr>
      <w:tr w:rsidR="003D13FA" w:rsidRPr="00C4084C" w14:paraId="54401AC4" w14:textId="77777777" w:rsidTr="003E5969">
        <w:trPr>
          <w:trHeight w:val="454"/>
        </w:trPr>
        <w:tc>
          <w:tcPr>
            <w:tcW w:w="2694" w:type="dxa"/>
          </w:tcPr>
          <w:p w14:paraId="14848873" w14:textId="77777777" w:rsidR="003D13FA" w:rsidRPr="00C4084C" w:rsidRDefault="003D13FA" w:rsidP="003D13FA">
            <w:pPr>
              <w:spacing w:after="160" w:line="259" w:lineRule="auto"/>
              <w:rPr>
                <w:rFonts w:cs="Arial"/>
                <w:b/>
              </w:rPr>
            </w:pPr>
            <w:r w:rsidRPr="00C4084C">
              <w:rPr>
                <w:rFonts w:cs="Arial"/>
                <w:b/>
              </w:rPr>
              <w:t>CPI</w:t>
            </w:r>
          </w:p>
        </w:tc>
        <w:tc>
          <w:tcPr>
            <w:tcW w:w="6322" w:type="dxa"/>
          </w:tcPr>
          <w:p w14:paraId="3B73603F" w14:textId="77777777" w:rsidR="003D13FA" w:rsidRPr="00C4084C" w:rsidRDefault="003D13FA" w:rsidP="003D13FA">
            <w:pPr>
              <w:spacing w:after="160" w:line="259" w:lineRule="auto"/>
              <w:rPr>
                <w:rFonts w:cs="Arial"/>
              </w:rPr>
            </w:pPr>
            <w:r w:rsidRPr="00C4084C">
              <w:rPr>
                <w:rFonts w:cs="Arial"/>
              </w:rPr>
              <w:t>Consumer Price Index</w:t>
            </w:r>
          </w:p>
        </w:tc>
      </w:tr>
      <w:tr w:rsidR="003D13FA" w:rsidRPr="00C4084C" w14:paraId="4D9EA60B" w14:textId="77777777" w:rsidTr="003E5969">
        <w:trPr>
          <w:trHeight w:val="454"/>
        </w:trPr>
        <w:tc>
          <w:tcPr>
            <w:tcW w:w="2694" w:type="dxa"/>
          </w:tcPr>
          <w:p w14:paraId="3A4FAECA" w14:textId="77777777" w:rsidR="003D13FA" w:rsidRPr="00C4084C" w:rsidRDefault="003D13FA" w:rsidP="003D13FA">
            <w:pPr>
              <w:spacing w:after="160" w:line="259" w:lineRule="auto"/>
              <w:rPr>
                <w:rFonts w:cs="Arial"/>
                <w:b/>
              </w:rPr>
            </w:pPr>
            <w:r w:rsidRPr="00C4084C">
              <w:rPr>
                <w:rFonts w:cs="Arial"/>
                <w:b/>
              </w:rPr>
              <w:t>CRC</w:t>
            </w:r>
          </w:p>
        </w:tc>
        <w:tc>
          <w:tcPr>
            <w:tcW w:w="6322" w:type="dxa"/>
          </w:tcPr>
          <w:p w14:paraId="1DF15034" w14:textId="77777777" w:rsidR="003D13FA" w:rsidRPr="00C4084C" w:rsidRDefault="003D13FA" w:rsidP="003D13FA">
            <w:pPr>
              <w:spacing w:after="160" w:line="259" w:lineRule="auto"/>
              <w:rPr>
                <w:rFonts w:cs="Arial"/>
              </w:rPr>
            </w:pPr>
            <w:r w:rsidRPr="00C4084C">
              <w:rPr>
                <w:rFonts w:cs="Arial"/>
              </w:rPr>
              <w:t>Cooperative Research Centres</w:t>
            </w:r>
          </w:p>
        </w:tc>
      </w:tr>
      <w:tr w:rsidR="00742B61" w:rsidRPr="00C4084C" w14:paraId="108178E1" w14:textId="77777777" w:rsidTr="003E5969">
        <w:trPr>
          <w:trHeight w:val="454"/>
        </w:trPr>
        <w:tc>
          <w:tcPr>
            <w:tcW w:w="2694" w:type="dxa"/>
          </w:tcPr>
          <w:p w14:paraId="0158D256" w14:textId="49E97F63" w:rsidR="00742B61" w:rsidRPr="00C4084C" w:rsidRDefault="00742B61" w:rsidP="00742B61">
            <w:pPr>
              <w:rPr>
                <w:rFonts w:cs="Arial"/>
                <w:b/>
              </w:rPr>
            </w:pPr>
            <w:r w:rsidRPr="00C4084C">
              <w:rPr>
                <w:rFonts w:cs="Arial"/>
                <w:b/>
              </w:rPr>
              <w:t>CRTS</w:t>
            </w:r>
          </w:p>
        </w:tc>
        <w:tc>
          <w:tcPr>
            <w:tcW w:w="6322" w:type="dxa"/>
          </w:tcPr>
          <w:p w14:paraId="4789E776" w14:textId="1DC8DFEB" w:rsidR="00742B61" w:rsidRPr="00C4084C" w:rsidRDefault="00742B61" w:rsidP="00742B61">
            <w:pPr>
              <w:rPr>
                <w:rFonts w:cs="Arial"/>
              </w:rPr>
            </w:pPr>
            <w:r w:rsidRPr="00C4084C">
              <w:rPr>
                <w:rFonts w:cs="Arial"/>
              </w:rPr>
              <w:t>Commonwealth Reconstruction Training Scheme</w:t>
            </w:r>
          </w:p>
        </w:tc>
      </w:tr>
      <w:tr w:rsidR="00742B61" w:rsidRPr="00C4084C" w14:paraId="0B2C7384" w14:textId="77777777" w:rsidTr="003E5969">
        <w:trPr>
          <w:trHeight w:val="454"/>
        </w:trPr>
        <w:tc>
          <w:tcPr>
            <w:tcW w:w="2694" w:type="dxa"/>
          </w:tcPr>
          <w:p w14:paraId="5A54D4F4" w14:textId="77777777" w:rsidR="00742B61" w:rsidRPr="00C4084C" w:rsidRDefault="00742B61" w:rsidP="00742B61">
            <w:pPr>
              <w:rPr>
                <w:rFonts w:cs="Arial"/>
                <w:b/>
              </w:rPr>
            </w:pPr>
            <w:r w:rsidRPr="00C4084C">
              <w:rPr>
                <w:rFonts w:cs="Arial"/>
                <w:b/>
              </w:rPr>
              <w:t>CSCs</w:t>
            </w:r>
          </w:p>
        </w:tc>
        <w:tc>
          <w:tcPr>
            <w:tcW w:w="6322" w:type="dxa"/>
          </w:tcPr>
          <w:p w14:paraId="037A7022" w14:textId="6336AE34" w:rsidR="00742B61" w:rsidRPr="00C4084C" w:rsidRDefault="00742B61" w:rsidP="00742B61">
            <w:pPr>
              <w:rPr>
                <w:rFonts w:cs="Arial"/>
              </w:rPr>
            </w:pPr>
            <w:r w:rsidRPr="00C4084C">
              <w:rPr>
                <w:rFonts w:cs="Arial"/>
              </w:rPr>
              <w:t xml:space="preserve">Cooperative Skills Centres </w:t>
            </w:r>
          </w:p>
        </w:tc>
      </w:tr>
      <w:tr w:rsidR="00742B61" w:rsidRPr="00C4084C" w14:paraId="606E803B" w14:textId="77777777" w:rsidTr="003E5969">
        <w:trPr>
          <w:trHeight w:val="454"/>
        </w:trPr>
        <w:tc>
          <w:tcPr>
            <w:tcW w:w="2694" w:type="dxa"/>
          </w:tcPr>
          <w:p w14:paraId="4358340B" w14:textId="6558D7D3" w:rsidR="00742B61" w:rsidRPr="00C4084C" w:rsidRDefault="003E1B1E" w:rsidP="00742B61">
            <w:pPr>
              <w:spacing w:after="160" w:line="259" w:lineRule="auto"/>
              <w:rPr>
                <w:rFonts w:cs="Arial"/>
                <w:b/>
              </w:rPr>
            </w:pPr>
            <w:r w:rsidRPr="00C4084C">
              <w:rPr>
                <w:rFonts w:cs="Arial"/>
                <w:b/>
              </w:rPr>
              <w:lastRenderedPageBreak/>
              <w:t>CSP</w:t>
            </w:r>
          </w:p>
        </w:tc>
        <w:tc>
          <w:tcPr>
            <w:tcW w:w="6322" w:type="dxa"/>
          </w:tcPr>
          <w:p w14:paraId="29D16077" w14:textId="1C5C9D4F" w:rsidR="00742B61" w:rsidRPr="00C4084C" w:rsidRDefault="003E1B1E" w:rsidP="00742B61">
            <w:pPr>
              <w:spacing w:after="160" w:line="259" w:lineRule="auto"/>
              <w:rPr>
                <w:rFonts w:cs="Arial"/>
              </w:rPr>
            </w:pPr>
            <w:r w:rsidRPr="00C4084C">
              <w:rPr>
                <w:rFonts w:cs="Arial"/>
              </w:rPr>
              <w:t>Commonwealth supported place (see Glossary)</w:t>
            </w:r>
          </w:p>
        </w:tc>
      </w:tr>
      <w:tr w:rsidR="00742B61" w:rsidRPr="00C4084C" w14:paraId="41B7D634" w14:textId="77777777" w:rsidTr="003E5969">
        <w:trPr>
          <w:trHeight w:val="454"/>
        </w:trPr>
        <w:tc>
          <w:tcPr>
            <w:tcW w:w="2694" w:type="dxa"/>
          </w:tcPr>
          <w:p w14:paraId="5100C77B" w14:textId="77777777" w:rsidR="00742B61" w:rsidRPr="00C4084C" w:rsidRDefault="00742B61" w:rsidP="00742B61">
            <w:pPr>
              <w:rPr>
                <w:rFonts w:cs="Arial"/>
                <w:b/>
              </w:rPr>
            </w:pPr>
            <w:r w:rsidRPr="00C4084C">
              <w:rPr>
                <w:rFonts w:cs="Arial"/>
                <w:b/>
              </w:rPr>
              <w:t>DFAT</w:t>
            </w:r>
          </w:p>
        </w:tc>
        <w:tc>
          <w:tcPr>
            <w:tcW w:w="6322" w:type="dxa"/>
          </w:tcPr>
          <w:p w14:paraId="25F1A0F0" w14:textId="43C5E106" w:rsidR="00742B61" w:rsidRPr="00C4084C" w:rsidRDefault="00742B61" w:rsidP="00742B61">
            <w:pPr>
              <w:rPr>
                <w:rFonts w:cs="Arial"/>
              </w:rPr>
            </w:pPr>
            <w:r w:rsidRPr="00C4084C">
              <w:rPr>
                <w:rFonts w:cs="Arial"/>
              </w:rPr>
              <w:t xml:space="preserve">Department of Foreign Affairs and Trade </w:t>
            </w:r>
          </w:p>
        </w:tc>
      </w:tr>
      <w:tr w:rsidR="00742B61" w:rsidRPr="00C4084C" w14:paraId="331F4026" w14:textId="77777777" w:rsidTr="003E5969">
        <w:trPr>
          <w:trHeight w:val="454"/>
        </w:trPr>
        <w:tc>
          <w:tcPr>
            <w:tcW w:w="2694" w:type="dxa"/>
          </w:tcPr>
          <w:p w14:paraId="44A15983" w14:textId="77777777" w:rsidR="00742B61" w:rsidRPr="00C4084C" w:rsidRDefault="00742B61" w:rsidP="00742B61">
            <w:pPr>
              <w:spacing w:after="160" w:line="259" w:lineRule="auto"/>
              <w:rPr>
                <w:rFonts w:cs="Arial"/>
                <w:b/>
              </w:rPr>
            </w:pPr>
            <w:r w:rsidRPr="00C4084C">
              <w:rPr>
                <w:rFonts w:cs="Arial"/>
                <w:b/>
              </w:rPr>
              <w:t>DNER</w:t>
            </w:r>
          </w:p>
        </w:tc>
        <w:tc>
          <w:tcPr>
            <w:tcW w:w="6322" w:type="dxa"/>
          </w:tcPr>
          <w:p w14:paraId="7CF3E182" w14:textId="77777777" w:rsidR="00742B61" w:rsidRPr="00C4084C" w:rsidRDefault="00742B61" w:rsidP="00742B61">
            <w:pPr>
              <w:spacing w:after="160" w:line="259" w:lineRule="auto"/>
              <w:rPr>
                <w:rFonts w:cs="Arial"/>
              </w:rPr>
            </w:pPr>
            <w:r w:rsidRPr="00C4084C">
              <w:rPr>
                <w:rFonts w:cs="Arial"/>
              </w:rPr>
              <w:t>Debt not expected to be repaid</w:t>
            </w:r>
          </w:p>
        </w:tc>
      </w:tr>
      <w:tr w:rsidR="00742B61" w:rsidRPr="00C4084C" w14:paraId="14CA5E6B" w14:textId="77777777" w:rsidTr="003E5969">
        <w:trPr>
          <w:trHeight w:val="454"/>
        </w:trPr>
        <w:tc>
          <w:tcPr>
            <w:tcW w:w="2694" w:type="dxa"/>
          </w:tcPr>
          <w:p w14:paraId="50ECB876" w14:textId="77777777" w:rsidR="00742B61" w:rsidRPr="00C4084C" w:rsidRDefault="00742B61" w:rsidP="00742B61">
            <w:pPr>
              <w:rPr>
                <w:rFonts w:cs="Arial"/>
                <w:b/>
              </w:rPr>
            </w:pPr>
            <w:r w:rsidRPr="00C4084C">
              <w:rPr>
                <w:rFonts w:cs="Arial"/>
                <w:b/>
              </w:rPr>
              <w:t>DSP</w:t>
            </w:r>
          </w:p>
        </w:tc>
        <w:tc>
          <w:tcPr>
            <w:tcW w:w="6322" w:type="dxa"/>
          </w:tcPr>
          <w:p w14:paraId="246D6BB9" w14:textId="77777777" w:rsidR="00742B61" w:rsidRPr="00C4084C" w:rsidRDefault="00742B61" w:rsidP="00742B61">
            <w:pPr>
              <w:rPr>
                <w:rFonts w:cs="Arial"/>
              </w:rPr>
            </w:pPr>
            <w:r w:rsidRPr="00C4084C">
              <w:rPr>
                <w:rFonts w:cs="Arial"/>
              </w:rPr>
              <w:t>Higher Education Disability Support Program</w:t>
            </w:r>
          </w:p>
        </w:tc>
      </w:tr>
      <w:tr w:rsidR="00742B61" w:rsidRPr="00C4084C" w14:paraId="094142F4" w14:textId="77777777" w:rsidTr="003E5969">
        <w:trPr>
          <w:trHeight w:val="454"/>
        </w:trPr>
        <w:tc>
          <w:tcPr>
            <w:tcW w:w="2694" w:type="dxa"/>
          </w:tcPr>
          <w:p w14:paraId="2C61D3D2" w14:textId="77777777" w:rsidR="00742B61" w:rsidRPr="00C4084C" w:rsidRDefault="00742B61" w:rsidP="00742B61">
            <w:pPr>
              <w:rPr>
                <w:rFonts w:cs="Arial"/>
                <w:b/>
              </w:rPr>
            </w:pPr>
            <w:r w:rsidRPr="00C4084C">
              <w:rPr>
                <w:rFonts w:cs="Arial"/>
                <w:b/>
              </w:rPr>
              <w:t>ECEC</w:t>
            </w:r>
          </w:p>
        </w:tc>
        <w:tc>
          <w:tcPr>
            <w:tcW w:w="6322" w:type="dxa"/>
          </w:tcPr>
          <w:p w14:paraId="4007E0A0" w14:textId="77777777" w:rsidR="00742B61" w:rsidRPr="00C4084C" w:rsidRDefault="00742B61" w:rsidP="00742B61">
            <w:pPr>
              <w:rPr>
                <w:rFonts w:cs="Arial"/>
              </w:rPr>
            </w:pPr>
            <w:r w:rsidRPr="00C4084C">
              <w:rPr>
                <w:rFonts w:cs="Arial"/>
              </w:rPr>
              <w:t>Early childhood education and care</w:t>
            </w:r>
          </w:p>
        </w:tc>
      </w:tr>
      <w:tr w:rsidR="00742B61" w:rsidRPr="00C4084C" w14:paraId="713FDFFA" w14:textId="77777777" w:rsidTr="003E5969">
        <w:trPr>
          <w:trHeight w:val="454"/>
        </w:trPr>
        <w:tc>
          <w:tcPr>
            <w:tcW w:w="2694" w:type="dxa"/>
          </w:tcPr>
          <w:p w14:paraId="27B2428A" w14:textId="77777777" w:rsidR="00742B61" w:rsidRPr="00C4084C" w:rsidRDefault="00742B61" w:rsidP="00742B61">
            <w:pPr>
              <w:rPr>
                <w:rFonts w:cs="Arial"/>
                <w:b/>
              </w:rPr>
            </w:pPr>
            <w:r w:rsidRPr="00C4084C">
              <w:rPr>
                <w:rFonts w:cs="Arial"/>
                <w:b/>
              </w:rPr>
              <w:t>ECR</w:t>
            </w:r>
          </w:p>
        </w:tc>
        <w:tc>
          <w:tcPr>
            <w:tcW w:w="6322" w:type="dxa"/>
          </w:tcPr>
          <w:p w14:paraId="7CAF6EF0" w14:textId="77777777" w:rsidR="00742B61" w:rsidRPr="00C4084C" w:rsidRDefault="00742B61" w:rsidP="00742B61">
            <w:pPr>
              <w:rPr>
                <w:rFonts w:cs="Arial"/>
              </w:rPr>
            </w:pPr>
            <w:r w:rsidRPr="00C4084C">
              <w:rPr>
                <w:rFonts w:cs="Arial"/>
              </w:rPr>
              <w:t>Early Career Researcher</w:t>
            </w:r>
          </w:p>
        </w:tc>
      </w:tr>
      <w:tr w:rsidR="00742B61" w:rsidRPr="00C4084C" w14:paraId="2804F2BC" w14:textId="77777777" w:rsidTr="003E5969">
        <w:trPr>
          <w:trHeight w:val="454"/>
        </w:trPr>
        <w:tc>
          <w:tcPr>
            <w:tcW w:w="2694" w:type="dxa"/>
          </w:tcPr>
          <w:p w14:paraId="58582C2D" w14:textId="77777777" w:rsidR="00742B61" w:rsidRPr="00C4084C" w:rsidRDefault="00742B61" w:rsidP="00742B61">
            <w:pPr>
              <w:rPr>
                <w:rFonts w:cs="Arial"/>
                <w:b/>
              </w:rPr>
            </w:pPr>
            <w:r w:rsidRPr="00C4084C">
              <w:rPr>
                <w:rFonts w:cs="Arial"/>
                <w:b/>
              </w:rPr>
              <w:t>EFTSL</w:t>
            </w:r>
          </w:p>
        </w:tc>
        <w:tc>
          <w:tcPr>
            <w:tcW w:w="6322" w:type="dxa"/>
          </w:tcPr>
          <w:p w14:paraId="49A3B288" w14:textId="77777777" w:rsidR="00742B61" w:rsidRPr="00C4084C" w:rsidRDefault="00742B61" w:rsidP="00742B61">
            <w:pPr>
              <w:rPr>
                <w:rFonts w:cs="Arial"/>
              </w:rPr>
            </w:pPr>
            <w:r w:rsidRPr="00C4084C">
              <w:rPr>
                <w:rFonts w:cs="Arial"/>
              </w:rPr>
              <w:t>Equivalent Full-time Student Load</w:t>
            </w:r>
          </w:p>
        </w:tc>
      </w:tr>
      <w:tr w:rsidR="00373B86" w:rsidRPr="00C4084C" w14:paraId="7A2B906D" w14:textId="77777777" w:rsidTr="003E5969">
        <w:trPr>
          <w:trHeight w:val="454"/>
        </w:trPr>
        <w:tc>
          <w:tcPr>
            <w:tcW w:w="2694" w:type="dxa"/>
          </w:tcPr>
          <w:p w14:paraId="5F61F506" w14:textId="6C54EF20" w:rsidR="00373B86" w:rsidRPr="00C4084C" w:rsidRDefault="00373B86" w:rsidP="00742B61">
            <w:pPr>
              <w:spacing w:after="160"/>
              <w:rPr>
                <w:rFonts w:cs="Arial"/>
                <w:b/>
              </w:rPr>
            </w:pPr>
            <w:r w:rsidRPr="00C4084C">
              <w:rPr>
                <w:rFonts w:cs="Arial"/>
                <w:b/>
              </w:rPr>
              <w:t>EI</w:t>
            </w:r>
          </w:p>
        </w:tc>
        <w:tc>
          <w:tcPr>
            <w:tcW w:w="6322" w:type="dxa"/>
          </w:tcPr>
          <w:p w14:paraId="4C01BFE5" w14:textId="3971F777" w:rsidR="00373B86" w:rsidRPr="00C4084C" w:rsidRDefault="00373B86" w:rsidP="00742B61">
            <w:pPr>
              <w:spacing w:after="160"/>
              <w:rPr>
                <w:rFonts w:cs="Arial"/>
              </w:rPr>
            </w:pPr>
            <w:r w:rsidRPr="00C4084C">
              <w:rPr>
                <w:rFonts w:cs="Arial"/>
              </w:rPr>
              <w:t xml:space="preserve">Engagement and Impact Assessment </w:t>
            </w:r>
          </w:p>
        </w:tc>
      </w:tr>
      <w:tr w:rsidR="00742B61" w:rsidRPr="00C4084C" w14:paraId="29F45255" w14:textId="77777777" w:rsidTr="003E5969">
        <w:trPr>
          <w:trHeight w:val="454"/>
        </w:trPr>
        <w:tc>
          <w:tcPr>
            <w:tcW w:w="2694" w:type="dxa"/>
          </w:tcPr>
          <w:p w14:paraId="60E0DC47" w14:textId="77777777" w:rsidR="00742B61" w:rsidRPr="00C4084C" w:rsidRDefault="00742B61" w:rsidP="00742B61">
            <w:pPr>
              <w:spacing w:after="160" w:line="259" w:lineRule="auto"/>
              <w:rPr>
                <w:rFonts w:cs="Arial"/>
                <w:b/>
              </w:rPr>
            </w:pPr>
            <w:r w:rsidRPr="00C4084C">
              <w:rPr>
                <w:rFonts w:cs="Arial"/>
                <w:b/>
              </w:rPr>
              <w:t>EIF</w:t>
            </w:r>
          </w:p>
        </w:tc>
        <w:tc>
          <w:tcPr>
            <w:tcW w:w="6322" w:type="dxa"/>
          </w:tcPr>
          <w:p w14:paraId="2D6F82A9" w14:textId="77777777" w:rsidR="00742B61" w:rsidRPr="00C4084C" w:rsidRDefault="00742B61" w:rsidP="00742B61">
            <w:pPr>
              <w:spacing w:after="160" w:line="259" w:lineRule="auto"/>
              <w:rPr>
                <w:rFonts w:cs="Arial"/>
              </w:rPr>
            </w:pPr>
            <w:r w:rsidRPr="00C4084C">
              <w:rPr>
                <w:rFonts w:cs="Arial"/>
              </w:rPr>
              <w:t>Education Investment Fund</w:t>
            </w:r>
          </w:p>
        </w:tc>
      </w:tr>
      <w:tr w:rsidR="00742B61" w:rsidRPr="00C4084C" w14:paraId="66E2B733" w14:textId="77777777" w:rsidTr="003E5969">
        <w:trPr>
          <w:trHeight w:val="454"/>
        </w:trPr>
        <w:tc>
          <w:tcPr>
            <w:tcW w:w="2694" w:type="dxa"/>
          </w:tcPr>
          <w:p w14:paraId="1D073E8E" w14:textId="77777777" w:rsidR="00742B61" w:rsidRPr="00C4084C" w:rsidRDefault="00742B61" w:rsidP="00742B61">
            <w:pPr>
              <w:spacing w:after="160" w:line="259" w:lineRule="auto"/>
              <w:rPr>
                <w:rFonts w:cs="Arial"/>
                <w:b/>
              </w:rPr>
            </w:pPr>
            <w:r w:rsidRPr="00C4084C">
              <w:rPr>
                <w:rFonts w:cs="Arial"/>
                <w:b/>
              </w:rPr>
              <w:t>ELP</w:t>
            </w:r>
          </w:p>
        </w:tc>
        <w:tc>
          <w:tcPr>
            <w:tcW w:w="6322" w:type="dxa"/>
          </w:tcPr>
          <w:p w14:paraId="39F77F7D" w14:textId="77777777" w:rsidR="00742B61" w:rsidRPr="00C4084C" w:rsidRDefault="00742B61" w:rsidP="00742B61">
            <w:pPr>
              <w:spacing w:after="160" w:line="259" w:lineRule="auto"/>
              <w:rPr>
                <w:rFonts w:cs="Arial"/>
              </w:rPr>
            </w:pPr>
            <w:r w:rsidRPr="00C4084C">
              <w:rPr>
                <w:rFonts w:cs="Arial"/>
              </w:rPr>
              <w:t>English language proficiency</w:t>
            </w:r>
          </w:p>
        </w:tc>
      </w:tr>
      <w:tr w:rsidR="00742B61" w:rsidRPr="00C4084C" w14:paraId="27207203" w14:textId="77777777" w:rsidTr="003E5969">
        <w:trPr>
          <w:trHeight w:val="454"/>
        </w:trPr>
        <w:tc>
          <w:tcPr>
            <w:tcW w:w="2694" w:type="dxa"/>
          </w:tcPr>
          <w:p w14:paraId="229B02BC" w14:textId="77777777" w:rsidR="00742B61" w:rsidRPr="00C4084C" w:rsidRDefault="00742B61" w:rsidP="00742B61">
            <w:pPr>
              <w:rPr>
                <w:rFonts w:cs="Arial"/>
                <w:b/>
              </w:rPr>
            </w:pPr>
            <w:r w:rsidRPr="00C4084C">
              <w:rPr>
                <w:rFonts w:cs="Arial"/>
                <w:b/>
              </w:rPr>
              <w:t>EMTR</w:t>
            </w:r>
          </w:p>
        </w:tc>
        <w:tc>
          <w:tcPr>
            <w:tcW w:w="6322" w:type="dxa"/>
          </w:tcPr>
          <w:p w14:paraId="2FC4ACA8" w14:textId="77777777" w:rsidR="00742B61" w:rsidRPr="00C4084C" w:rsidRDefault="00742B61" w:rsidP="00742B61">
            <w:pPr>
              <w:rPr>
                <w:rFonts w:cs="Arial"/>
              </w:rPr>
            </w:pPr>
            <w:r w:rsidRPr="00C4084C">
              <w:rPr>
                <w:rFonts w:cs="Arial"/>
              </w:rPr>
              <w:t>Effective marginal tax rate</w:t>
            </w:r>
          </w:p>
        </w:tc>
      </w:tr>
      <w:tr w:rsidR="00742B61" w:rsidRPr="00C4084C" w14:paraId="6CF8DD02" w14:textId="77777777" w:rsidTr="003E5969">
        <w:trPr>
          <w:trHeight w:val="454"/>
        </w:trPr>
        <w:tc>
          <w:tcPr>
            <w:tcW w:w="2694" w:type="dxa"/>
          </w:tcPr>
          <w:p w14:paraId="068995BC" w14:textId="77777777" w:rsidR="00742B61" w:rsidRPr="00C4084C" w:rsidRDefault="00742B61" w:rsidP="00742B61">
            <w:pPr>
              <w:spacing w:after="160" w:line="259" w:lineRule="auto"/>
              <w:rPr>
                <w:rFonts w:cs="Arial"/>
                <w:b/>
              </w:rPr>
            </w:pPr>
            <w:r w:rsidRPr="00C4084C">
              <w:rPr>
                <w:rFonts w:cs="Arial"/>
                <w:b/>
              </w:rPr>
              <w:t>ERA</w:t>
            </w:r>
          </w:p>
        </w:tc>
        <w:tc>
          <w:tcPr>
            <w:tcW w:w="6322" w:type="dxa"/>
          </w:tcPr>
          <w:p w14:paraId="674213A7" w14:textId="77777777" w:rsidR="00742B61" w:rsidRPr="00C4084C" w:rsidRDefault="00742B61" w:rsidP="00742B61">
            <w:pPr>
              <w:spacing w:after="160" w:line="259" w:lineRule="auto"/>
              <w:rPr>
                <w:rFonts w:cs="Arial"/>
              </w:rPr>
            </w:pPr>
            <w:r w:rsidRPr="00C4084C">
              <w:rPr>
                <w:rFonts w:cs="Arial"/>
              </w:rPr>
              <w:t>Excellence in Research for Australia</w:t>
            </w:r>
          </w:p>
        </w:tc>
      </w:tr>
      <w:tr w:rsidR="00742B61" w:rsidRPr="00C4084C" w14:paraId="0D9D7B35" w14:textId="77777777" w:rsidTr="003E5969">
        <w:trPr>
          <w:trHeight w:val="454"/>
        </w:trPr>
        <w:tc>
          <w:tcPr>
            <w:tcW w:w="2694" w:type="dxa"/>
          </w:tcPr>
          <w:p w14:paraId="224392C9" w14:textId="77777777" w:rsidR="00742B61" w:rsidRPr="00C4084C" w:rsidRDefault="00742B61" w:rsidP="00742B61">
            <w:pPr>
              <w:rPr>
                <w:rFonts w:cs="Arial"/>
                <w:b/>
              </w:rPr>
            </w:pPr>
            <w:r w:rsidRPr="00C4084C">
              <w:rPr>
                <w:rFonts w:cs="Arial"/>
                <w:b/>
              </w:rPr>
              <w:t>ESENDA</w:t>
            </w:r>
          </w:p>
        </w:tc>
        <w:tc>
          <w:tcPr>
            <w:tcW w:w="6322" w:type="dxa"/>
          </w:tcPr>
          <w:p w14:paraId="1562E2A4" w14:textId="77777777" w:rsidR="00742B61" w:rsidRPr="00C4084C" w:rsidRDefault="00742B61" w:rsidP="00742B61">
            <w:pPr>
              <w:rPr>
                <w:rFonts w:cs="Arial"/>
              </w:rPr>
            </w:pPr>
            <w:r w:rsidRPr="00C4084C">
              <w:rPr>
                <w:rFonts w:cs="Arial"/>
              </w:rPr>
              <w:t xml:space="preserve">Education, </w:t>
            </w:r>
            <w:proofErr w:type="gramStart"/>
            <w:r w:rsidRPr="00C4084C">
              <w:rPr>
                <w:rFonts w:cs="Arial"/>
              </w:rPr>
              <w:t>Skills</w:t>
            </w:r>
            <w:proofErr w:type="gramEnd"/>
            <w:r w:rsidRPr="00C4084C">
              <w:rPr>
                <w:rFonts w:cs="Arial"/>
              </w:rPr>
              <w:t xml:space="preserve"> and Employment National Data Asset</w:t>
            </w:r>
          </w:p>
        </w:tc>
      </w:tr>
      <w:tr w:rsidR="00CC7686" w:rsidRPr="00C4084C" w14:paraId="1F46CD24" w14:textId="77777777" w:rsidTr="003E5969">
        <w:trPr>
          <w:trHeight w:val="454"/>
        </w:trPr>
        <w:tc>
          <w:tcPr>
            <w:tcW w:w="2694" w:type="dxa"/>
          </w:tcPr>
          <w:p w14:paraId="1D192592" w14:textId="154F8AF4" w:rsidR="00CC7686" w:rsidRPr="00C4084C" w:rsidRDefault="00CC7686" w:rsidP="00742B61">
            <w:pPr>
              <w:rPr>
                <w:rFonts w:cs="Arial"/>
                <w:b/>
              </w:rPr>
            </w:pPr>
            <w:r w:rsidRPr="00C4084C">
              <w:rPr>
                <w:rFonts w:cs="Arial"/>
                <w:b/>
              </w:rPr>
              <w:t>ESOS Act</w:t>
            </w:r>
          </w:p>
        </w:tc>
        <w:tc>
          <w:tcPr>
            <w:tcW w:w="6322" w:type="dxa"/>
          </w:tcPr>
          <w:p w14:paraId="68C31699" w14:textId="74D2B799" w:rsidR="00CC7686" w:rsidRPr="00C4084C" w:rsidRDefault="00CC7686" w:rsidP="00742B61">
            <w:pPr>
              <w:rPr>
                <w:rFonts w:cs="Arial"/>
                <w:i/>
                <w:iCs/>
              </w:rPr>
            </w:pPr>
            <w:r w:rsidRPr="00C4084C">
              <w:rPr>
                <w:rFonts w:cs="Arial"/>
                <w:i/>
                <w:iCs/>
              </w:rPr>
              <w:t>Education Services for Overseas Students Act 2000</w:t>
            </w:r>
            <w:r w:rsidR="00C83951" w:rsidRPr="00C4084C">
              <w:rPr>
                <w:rFonts w:cs="Arial"/>
                <w:i/>
                <w:iCs/>
              </w:rPr>
              <w:t xml:space="preserve"> (</w:t>
            </w:r>
            <w:proofErr w:type="spellStart"/>
            <w:r w:rsidR="00C83951" w:rsidRPr="00C4084C">
              <w:rPr>
                <w:rFonts w:cs="Arial"/>
                <w:i/>
                <w:iCs/>
              </w:rPr>
              <w:t>Cth</w:t>
            </w:r>
            <w:proofErr w:type="spellEnd"/>
            <w:r w:rsidR="00C83951" w:rsidRPr="00C4084C">
              <w:rPr>
                <w:rFonts w:cs="Arial"/>
                <w:i/>
                <w:iCs/>
              </w:rPr>
              <w:t>)</w:t>
            </w:r>
          </w:p>
        </w:tc>
      </w:tr>
      <w:tr w:rsidR="00742B61" w:rsidRPr="00C4084C" w14:paraId="33A667CA" w14:textId="77777777" w:rsidTr="003E5969">
        <w:trPr>
          <w:trHeight w:val="454"/>
        </w:trPr>
        <w:tc>
          <w:tcPr>
            <w:tcW w:w="2694" w:type="dxa"/>
          </w:tcPr>
          <w:p w14:paraId="6D8C5A9F" w14:textId="77777777" w:rsidR="00742B61" w:rsidRPr="00C4084C" w:rsidRDefault="00742B61" w:rsidP="00742B61">
            <w:pPr>
              <w:spacing w:after="160" w:line="259" w:lineRule="auto"/>
              <w:rPr>
                <w:rFonts w:cs="Arial"/>
                <w:b/>
              </w:rPr>
            </w:pPr>
            <w:r w:rsidRPr="00C4084C">
              <w:rPr>
                <w:rFonts w:cs="Arial"/>
                <w:b/>
              </w:rPr>
              <w:t>FTE</w:t>
            </w:r>
          </w:p>
        </w:tc>
        <w:tc>
          <w:tcPr>
            <w:tcW w:w="6322" w:type="dxa"/>
          </w:tcPr>
          <w:p w14:paraId="3C7D72B5" w14:textId="77777777" w:rsidR="00742B61" w:rsidRPr="00C4084C" w:rsidRDefault="00742B61" w:rsidP="00742B61">
            <w:pPr>
              <w:spacing w:after="160" w:line="259" w:lineRule="auto"/>
              <w:rPr>
                <w:rFonts w:cs="Arial"/>
              </w:rPr>
            </w:pPr>
            <w:r w:rsidRPr="00C4084C">
              <w:rPr>
                <w:rFonts w:cs="Arial"/>
              </w:rPr>
              <w:t>Full-time equivalent</w:t>
            </w:r>
          </w:p>
        </w:tc>
      </w:tr>
      <w:tr w:rsidR="00742B61" w:rsidRPr="00C4084C" w14:paraId="453578EC" w14:textId="77777777" w:rsidTr="003E5969">
        <w:trPr>
          <w:trHeight w:val="454"/>
        </w:trPr>
        <w:tc>
          <w:tcPr>
            <w:tcW w:w="2694" w:type="dxa"/>
          </w:tcPr>
          <w:p w14:paraId="11E888A7" w14:textId="77777777" w:rsidR="00742B61" w:rsidRPr="00C4084C" w:rsidRDefault="00742B61" w:rsidP="00742B61">
            <w:pPr>
              <w:spacing w:after="160" w:line="259" w:lineRule="auto"/>
              <w:rPr>
                <w:rFonts w:cs="Arial"/>
                <w:b/>
              </w:rPr>
            </w:pPr>
            <w:r w:rsidRPr="00C4084C">
              <w:rPr>
                <w:rFonts w:cs="Arial"/>
                <w:b/>
              </w:rPr>
              <w:t>FWO</w:t>
            </w:r>
          </w:p>
        </w:tc>
        <w:tc>
          <w:tcPr>
            <w:tcW w:w="6322" w:type="dxa"/>
          </w:tcPr>
          <w:p w14:paraId="20CF2119" w14:textId="77777777" w:rsidR="00742B61" w:rsidRPr="00C4084C" w:rsidRDefault="00742B61" w:rsidP="00742B61">
            <w:pPr>
              <w:spacing w:after="160" w:line="259" w:lineRule="auto"/>
              <w:rPr>
                <w:rFonts w:cs="Arial"/>
              </w:rPr>
            </w:pPr>
            <w:r w:rsidRPr="00C4084C">
              <w:rPr>
                <w:rFonts w:cs="Arial"/>
              </w:rPr>
              <w:t>Fair Work Ombudsman</w:t>
            </w:r>
          </w:p>
        </w:tc>
      </w:tr>
      <w:tr w:rsidR="00FF1E31" w:rsidRPr="00C4084C" w14:paraId="7E3E8517" w14:textId="77777777" w:rsidTr="003E5969">
        <w:trPr>
          <w:trHeight w:val="454"/>
        </w:trPr>
        <w:tc>
          <w:tcPr>
            <w:tcW w:w="2694" w:type="dxa"/>
          </w:tcPr>
          <w:p w14:paraId="08EF27DF" w14:textId="3F14AD3F" w:rsidR="00FF1E31" w:rsidRPr="00C4084C" w:rsidRDefault="00FF1E31" w:rsidP="00742B61">
            <w:pPr>
              <w:rPr>
                <w:rFonts w:cs="Arial"/>
                <w:b/>
              </w:rPr>
            </w:pPr>
            <w:r w:rsidRPr="00C4084C">
              <w:rPr>
                <w:rFonts w:cs="Arial"/>
                <w:b/>
              </w:rPr>
              <w:t>G20</w:t>
            </w:r>
          </w:p>
        </w:tc>
        <w:tc>
          <w:tcPr>
            <w:tcW w:w="6322" w:type="dxa"/>
          </w:tcPr>
          <w:p w14:paraId="59D93E79" w14:textId="2C72FFDD" w:rsidR="00FF1E31" w:rsidRPr="00C4084C" w:rsidRDefault="00FF1E31" w:rsidP="00742B61">
            <w:pPr>
              <w:rPr>
                <w:rFonts w:cs="Arial"/>
              </w:rPr>
            </w:pPr>
            <w:r w:rsidRPr="00C4084C">
              <w:rPr>
                <w:rFonts w:cs="Arial"/>
              </w:rPr>
              <w:t>Group of Twenty</w:t>
            </w:r>
          </w:p>
        </w:tc>
      </w:tr>
      <w:tr w:rsidR="00742B61" w:rsidRPr="00C4084C" w14:paraId="32804ABD" w14:textId="77777777" w:rsidTr="003E5969">
        <w:trPr>
          <w:trHeight w:val="454"/>
        </w:trPr>
        <w:tc>
          <w:tcPr>
            <w:tcW w:w="2694" w:type="dxa"/>
          </w:tcPr>
          <w:p w14:paraId="2F6CE275" w14:textId="77777777" w:rsidR="00742B61" w:rsidRPr="00C4084C" w:rsidRDefault="00742B61" w:rsidP="00742B61">
            <w:pPr>
              <w:rPr>
                <w:rFonts w:cs="Arial"/>
                <w:b/>
              </w:rPr>
            </w:pPr>
            <w:r w:rsidRPr="00C4084C">
              <w:rPr>
                <w:rFonts w:cs="Arial"/>
                <w:b/>
              </w:rPr>
              <w:t>GDP</w:t>
            </w:r>
          </w:p>
        </w:tc>
        <w:tc>
          <w:tcPr>
            <w:tcW w:w="6322" w:type="dxa"/>
          </w:tcPr>
          <w:p w14:paraId="7F386B7B" w14:textId="77777777" w:rsidR="00742B61" w:rsidRPr="00C4084C" w:rsidRDefault="00742B61" w:rsidP="00742B61">
            <w:pPr>
              <w:rPr>
                <w:rFonts w:cs="Arial"/>
              </w:rPr>
            </w:pPr>
            <w:r w:rsidRPr="00C4084C">
              <w:rPr>
                <w:rFonts w:cs="Arial"/>
              </w:rPr>
              <w:t>Gross Domestic Product</w:t>
            </w:r>
          </w:p>
        </w:tc>
      </w:tr>
      <w:tr w:rsidR="00742B61" w:rsidRPr="00C4084C" w14:paraId="49625A68" w14:textId="77777777" w:rsidTr="003E5969">
        <w:trPr>
          <w:trHeight w:val="454"/>
        </w:trPr>
        <w:tc>
          <w:tcPr>
            <w:tcW w:w="2694" w:type="dxa"/>
          </w:tcPr>
          <w:p w14:paraId="7EC014A4" w14:textId="77777777" w:rsidR="00742B61" w:rsidRPr="00C4084C" w:rsidRDefault="00742B61" w:rsidP="00742B61">
            <w:pPr>
              <w:rPr>
                <w:rFonts w:cs="Arial"/>
                <w:b/>
              </w:rPr>
            </w:pPr>
            <w:r w:rsidRPr="00C4084C">
              <w:rPr>
                <w:rFonts w:cs="Arial"/>
                <w:b/>
              </w:rPr>
              <w:t>GERD</w:t>
            </w:r>
          </w:p>
        </w:tc>
        <w:tc>
          <w:tcPr>
            <w:tcW w:w="6322" w:type="dxa"/>
          </w:tcPr>
          <w:p w14:paraId="29E4CB92" w14:textId="77777777" w:rsidR="00742B61" w:rsidRPr="00C4084C" w:rsidRDefault="00742B61" w:rsidP="00742B61">
            <w:pPr>
              <w:rPr>
                <w:rFonts w:cs="Arial"/>
              </w:rPr>
            </w:pPr>
            <w:r w:rsidRPr="00C4084C">
              <w:rPr>
                <w:rFonts w:cs="Arial"/>
              </w:rPr>
              <w:t>Gross expenditure on research and development</w:t>
            </w:r>
          </w:p>
        </w:tc>
      </w:tr>
      <w:tr w:rsidR="00A00194" w:rsidRPr="00C4084C" w14:paraId="1D3404D1" w14:textId="77777777" w:rsidTr="003E5969">
        <w:trPr>
          <w:trHeight w:val="454"/>
        </w:trPr>
        <w:tc>
          <w:tcPr>
            <w:tcW w:w="2694" w:type="dxa"/>
          </w:tcPr>
          <w:p w14:paraId="2B9DB4C0" w14:textId="05837B32" w:rsidR="00A00194" w:rsidRPr="00C4084C" w:rsidRDefault="00A00194" w:rsidP="00742B61">
            <w:pPr>
              <w:rPr>
                <w:rFonts w:cs="Arial"/>
                <w:b/>
              </w:rPr>
            </w:pPr>
            <w:r>
              <w:rPr>
                <w:rFonts w:cs="Arial"/>
                <w:b/>
              </w:rPr>
              <w:t>Go8</w:t>
            </w:r>
          </w:p>
        </w:tc>
        <w:tc>
          <w:tcPr>
            <w:tcW w:w="6322" w:type="dxa"/>
          </w:tcPr>
          <w:p w14:paraId="5C2BF3C7" w14:textId="2B0F7AFB" w:rsidR="00A00194" w:rsidRPr="00C4084C" w:rsidRDefault="00A00194" w:rsidP="00742B61">
            <w:pPr>
              <w:rPr>
                <w:rFonts w:cs="Arial"/>
              </w:rPr>
            </w:pPr>
            <w:r>
              <w:rPr>
                <w:rFonts w:cs="Arial"/>
              </w:rPr>
              <w:t>Group of Eight</w:t>
            </w:r>
          </w:p>
        </w:tc>
      </w:tr>
      <w:tr w:rsidR="00742B61" w:rsidRPr="00C4084C" w14:paraId="4B90CFD5" w14:textId="77777777" w:rsidTr="003E5969">
        <w:trPr>
          <w:trHeight w:val="454"/>
        </w:trPr>
        <w:tc>
          <w:tcPr>
            <w:tcW w:w="2694" w:type="dxa"/>
          </w:tcPr>
          <w:p w14:paraId="5D3334BA" w14:textId="77777777" w:rsidR="00742B61" w:rsidRPr="00C4084C" w:rsidRDefault="00742B61" w:rsidP="00742B61">
            <w:pPr>
              <w:rPr>
                <w:rFonts w:cs="Arial"/>
                <w:b/>
              </w:rPr>
            </w:pPr>
            <w:r w:rsidRPr="00C4084C">
              <w:rPr>
                <w:rFonts w:cs="Arial"/>
                <w:b/>
              </w:rPr>
              <w:t>GOS</w:t>
            </w:r>
          </w:p>
        </w:tc>
        <w:tc>
          <w:tcPr>
            <w:tcW w:w="6322" w:type="dxa"/>
          </w:tcPr>
          <w:p w14:paraId="107AA175" w14:textId="77777777" w:rsidR="00742B61" w:rsidRPr="00C4084C" w:rsidRDefault="00742B61" w:rsidP="00742B61">
            <w:pPr>
              <w:rPr>
                <w:rFonts w:cs="Arial"/>
              </w:rPr>
            </w:pPr>
            <w:r w:rsidRPr="00C4084C">
              <w:rPr>
                <w:rFonts w:cs="Arial"/>
              </w:rPr>
              <w:t>Graduate Outcomes Survey</w:t>
            </w:r>
          </w:p>
        </w:tc>
      </w:tr>
      <w:tr w:rsidR="00742B61" w:rsidRPr="00C4084C" w14:paraId="09517E5A" w14:textId="77777777" w:rsidTr="003E5969">
        <w:trPr>
          <w:trHeight w:val="454"/>
        </w:trPr>
        <w:tc>
          <w:tcPr>
            <w:tcW w:w="2694" w:type="dxa"/>
          </w:tcPr>
          <w:p w14:paraId="0D81FF6A" w14:textId="77777777" w:rsidR="00742B61" w:rsidRPr="00C4084C" w:rsidRDefault="00742B61" w:rsidP="00742B61">
            <w:pPr>
              <w:rPr>
                <w:rFonts w:cs="Arial"/>
                <w:b/>
              </w:rPr>
            </w:pPr>
            <w:r w:rsidRPr="00C4084C">
              <w:rPr>
                <w:rFonts w:cs="Arial"/>
                <w:b/>
              </w:rPr>
              <w:t>GUF</w:t>
            </w:r>
          </w:p>
        </w:tc>
        <w:tc>
          <w:tcPr>
            <w:tcW w:w="6322" w:type="dxa"/>
          </w:tcPr>
          <w:p w14:paraId="4F30419A" w14:textId="77777777" w:rsidR="00742B61" w:rsidRPr="00C4084C" w:rsidRDefault="00742B61" w:rsidP="00742B61">
            <w:pPr>
              <w:rPr>
                <w:rFonts w:cs="Arial"/>
              </w:rPr>
            </w:pPr>
            <w:r w:rsidRPr="00C4084C">
              <w:rPr>
                <w:rFonts w:cs="Arial"/>
              </w:rPr>
              <w:t>General university funds</w:t>
            </w:r>
          </w:p>
        </w:tc>
      </w:tr>
      <w:tr w:rsidR="00D30EC1" w:rsidRPr="00C4084C" w14:paraId="77CDB924" w14:textId="77777777" w:rsidTr="003E5969">
        <w:trPr>
          <w:trHeight w:val="454"/>
        </w:trPr>
        <w:tc>
          <w:tcPr>
            <w:tcW w:w="2694" w:type="dxa"/>
          </w:tcPr>
          <w:p w14:paraId="5217FCF2" w14:textId="72FA2DD4" w:rsidR="00D30EC1" w:rsidRPr="00C4084C" w:rsidRDefault="00D30EC1" w:rsidP="00742B61">
            <w:pPr>
              <w:spacing w:after="160"/>
              <w:rPr>
                <w:rFonts w:cs="Arial"/>
                <w:b/>
              </w:rPr>
            </w:pPr>
            <w:r w:rsidRPr="00C4084C">
              <w:rPr>
                <w:rFonts w:cs="Arial"/>
                <w:b/>
              </w:rPr>
              <w:t>HASS</w:t>
            </w:r>
          </w:p>
        </w:tc>
        <w:tc>
          <w:tcPr>
            <w:tcW w:w="6322" w:type="dxa"/>
          </w:tcPr>
          <w:p w14:paraId="7D4FC1E0" w14:textId="201767DB" w:rsidR="00D30EC1" w:rsidRPr="00C4084C" w:rsidRDefault="00D30EC1" w:rsidP="00742B61">
            <w:pPr>
              <w:spacing w:after="160"/>
              <w:rPr>
                <w:rFonts w:cs="Arial"/>
              </w:rPr>
            </w:pPr>
            <w:r w:rsidRPr="00C4084C">
              <w:rPr>
                <w:rFonts w:cs="Arial"/>
              </w:rPr>
              <w:t xml:space="preserve">Humanities and </w:t>
            </w:r>
            <w:r w:rsidR="002416CB">
              <w:rPr>
                <w:rFonts w:cs="Arial"/>
              </w:rPr>
              <w:t>S</w:t>
            </w:r>
            <w:r w:rsidRPr="00C4084C">
              <w:rPr>
                <w:rFonts w:cs="Arial"/>
              </w:rPr>
              <w:t xml:space="preserve">ocial </w:t>
            </w:r>
            <w:r w:rsidR="002416CB">
              <w:rPr>
                <w:rFonts w:cs="Arial"/>
              </w:rPr>
              <w:t>S</w:t>
            </w:r>
            <w:r w:rsidRPr="00C4084C">
              <w:rPr>
                <w:rFonts w:cs="Arial"/>
              </w:rPr>
              <w:t>ciences</w:t>
            </w:r>
          </w:p>
        </w:tc>
      </w:tr>
      <w:tr w:rsidR="00742B61" w:rsidRPr="00C4084C" w14:paraId="4C854C3C" w14:textId="77777777" w:rsidTr="003E5969">
        <w:trPr>
          <w:trHeight w:val="454"/>
        </w:trPr>
        <w:tc>
          <w:tcPr>
            <w:tcW w:w="2694" w:type="dxa"/>
          </w:tcPr>
          <w:p w14:paraId="5411D48B" w14:textId="77777777" w:rsidR="00742B61" w:rsidRPr="00C4084C" w:rsidRDefault="00742B61" w:rsidP="00742B61">
            <w:pPr>
              <w:spacing w:after="160" w:line="259" w:lineRule="auto"/>
              <w:rPr>
                <w:rFonts w:cs="Arial"/>
                <w:b/>
              </w:rPr>
            </w:pPr>
            <w:r w:rsidRPr="00C4084C">
              <w:rPr>
                <w:rFonts w:cs="Arial"/>
                <w:b/>
              </w:rPr>
              <w:t>HDR</w:t>
            </w:r>
          </w:p>
        </w:tc>
        <w:tc>
          <w:tcPr>
            <w:tcW w:w="6322" w:type="dxa"/>
          </w:tcPr>
          <w:p w14:paraId="4B13AA9E" w14:textId="77777777" w:rsidR="00742B61" w:rsidRPr="00C4084C" w:rsidRDefault="00742B61" w:rsidP="00742B61">
            <w:pPr>
              <w:spacing w:after="160" w:line="259" w:lineRule="auto"/>
              <w:rPr>
                <w:rFonts w:cs="Arial"/>
              </w:rPr>
            </w:pPr>
            <w:r w:rsidRPr="00C4084C">
              <w:rPr>
                <w:rFonts w:cs="Arial"/>
              </w:rPr>
              <w:t>Higher degree by research</w:t>
            </w:r>
          </w:p>
        </w:tc>
      </w:tr>
      <w:tr w:rsidR="00742B61" w:rsidRPr="00C4084C" w14:paraId="3332D9E7" w14:textId="77777777" w:rsidTr="003E5969">
        <w:trPr>
          <w:trHeight w:val="454"/>
        </w:trPr>
        <w:tc>
          <w:tcPr>
            <w:tcW w:w="2694" w:type="dxa"/>
          </w:tcPr>
          <w:p w14:paraId="30CA75A9" w14:textId="77777777" w:rsidR="00742B61" w:rsidRPr="00C4084C" w:rsidRDefault="00742B61" w:rsidP="00742B61">
            <w:pPr>
              <w:spacing w:after="160" w:line="259" w:lineRule="auto"/>
              <w:rPr>
                <w:rFonts w:cs="Arial"/>
                <w:b/>
              </w:rPr>
            </w:pPr>
            <w:r w:rsidRPr="00C4084C">
              <w:rPr>
                <w:rFonts w:cs="Arial"/>
                <w:b/>
              </w:rPr>
              <w:t>HECG</w:t>
            </w:r>
          </w:p>
        </w:tc>
        <w:tc>
          <w:tcPr>
            <w:tcW w:w="6322" w:type="dxa"/>
          </w:tcPr>
          <w:p w14:paraId="6210A265" w14:textId="77777777" w:rsidR="00742B61" w:rsidRPr="00C4084C" w:rsidRDefault="00742B61" w:rsidP="00742B61">
            <w:pPr>
              <w:spacing w:after="160" w:line="259" w:lineRule="auto"/>
              <w:rPr>
                <w:rFonts w:cs="Arial"/>
              </w:rPr>
            </w:pPr>
            <w:r w:rsidRPr="00C4084C">
              <w:rPr>
                <w:rFonts w:cs="Arial"/>
              </w:rPr>
              <w:t>Higher Education Continuity Guarantee</w:t>
            </w:r>
          </w:p>
        </w:tc>
      </w:tr>
      <w:tr w:rsidR="00742B61" w:rsidRPr="00C4084C" w14:paraId="5447C561" w14:textId="77777777" w:rsidTr="003E5969">
        <w:trPr>
          <w:trHeight w:val="454"/>
        </w:trPr>
        <w:tc>
          <w:tcPr>
            <w:tcW w:w="2694" w:type="dxa"/>
          </w:tcPr>
          <w:p w14:paraId="40DE4B42" w14:textId="77777777" w:rsidR="00742B61" w:rsidRPr="00C4084C" w:rsidRDefault="00742B61" w:rsidP="00742B61">
            <w:pPr>
              <w:spacing w:after="160" w:line="259" w:lineRule="auto"/>
              <w:rPr>
                <w:rFonts w:cs="Arial"/>
                <w:b/>
              </w:rPr>
            </w:pPr>
            <w:r w:rsidRPr="00C4084C">
              <w:rPr>
                <w:rFonts w:cs="Arial"/>
                <w:b/>
              </w:rPr>
              <w:t>HECS</w:t>
            </w:r>
          </w:p>
        </w:tc>
        <w:tc>
          <w:tcPr>
            <w:tcW w:w="6322" w:type="dxa"/>
          </w:tcPr>
          <w:p w14:paraId="2AFA02BD" w14:textId="77777777" w:rsidR="00742B61" w:rsidRPr="00C4084C" w:rsidRDefault="00742B61" w:rsidP="00742B61">
            <w:pPr>
              <w:spacing w:after="160" w:line="259" w:lineRule="auto"/>
              <w:rPr>
                <w:rFonts w:cs="Arial"/>
              </w:rPr>
            </w:pPr>
            <w:r w:rsidRPr="00C4084C">
              <w:rPr>
                <w:rFonts w:cs="Arial"/>
              </w:rPr>
              <w:t>Higher Education Contribution Scheme</w:t>
            </w:r>
          </w:p>
        </w:tc>
      </w:tr>
      <w:tr w:rsidR="007E691D" w:rsidRPr="00C4084C" w14:paraId="5E54FA70" w14:textId="77777777" w:rsidTr="003E5969">
        <w:trPr>
          <w:trHeight w:val="454"/>
        </w:trPr>
        <w:tc>
          <w:tcPr>
            <w:tcW w:w="2694" w:type="dxa"/>
          </w:tcPr>
          <w:p w14:paraId="50F0806C" w14:textId="1D843A1E" w:rsidR="007E691D" w:rsidRPr="00C4084C" w:rsidRDefault="007E691D" w:rsidP="00742B61">
            <w:pPr>
              <w:spacing w:after="160"/>
              <w:rPr>
                <w:rFonts w:cs="Arial"/>
                <w:b/>
              </w:rPr>
            </w:pPr>
            <w:r w:rsidRPr="00C4084C">
              <w:rPr>
                <w:rFonts w:cs="Arial"/>
                <w:b/>
              </w:rPr>
              <w:t>HEFF</w:t>
            </w:r>
          </w:p>
        </w:tc>
        <w:tc>
          <w:tcPr>
            <w:tcW w:w="6322" w:type="dxa"/>
          </w:tcPr>
          <w:p w14:paraId="357B82C8" w14:textId="3ED483B1" w:rsidR="007E691D" w:rsidRPr="00C4084C" w:rsidRDefault="007E691D" w:rsidP="00742B61">
            <w:pPr>
              <w:spacing w:after="160"/>
              <w:rPr>
                <w:rFonts w:cs="Arial"/>
              </w:rPr>
            </w:pPr>
            <w:r w:rsidRPr="00C4084C">
              <w:rPr>
                <w:rFonts w:cs="Arial"/>
              </w:rPr>
              <w:t>Higher Education Future Fund</w:t>
            </w:r>
          </w:p>
        </w:tc>
      </w:tr>
      <w:tr w:rsidR="00742B61" w:rsidRPr="00C4084C" w14:paraId="7166427A" w14:textId="77777777" w:rsidTr="003E5969">
        <w:trPr>
          <w:trHeight w:val="454"/>
        </w:trPr>
        <w:tc>
          <w:tcPr>
            <w:tcW w:w="2694" w:type="dxa"/>
          </w:tcPr>
          <w:p w14:paraId="606C0755" w14:textId="77777777" w:rsidR="00742B61" w:rsidRPr="00C4084C" w:rsidRDefault="00742B61" w:rsidP="00742B61">
            <w:pPr>
              <w:spacing w:after="160" w:line="259" w:lineRule="auto"/>
              <w:rPr>
                <w:rFonts w:cs="Arial"/>
                <w:b/>
              </w:rPr>
            </w:pPr>
            <w:r w:rsidRPr="00C4084C">
              <w:rPr>
                <w:rFonts w:cs="Arial"/>
                <w:b/>
              </w:rPr>
              <w:t>HELP</w:t>
            </w:r>
          </w:p>
        </w:tc>
        <w:tc>
          <w:tcPr>
            <w:tcW w:w="6322" w:type="dxa"/>
          </w:tcPr>
          <w:p w14:paraId="2B6233B4" w14:textId="77777777" w:rsidR="00742B61" w:rsidRPr="00C4084C" w:rsidRDefault="00742B61" w:rsidP="00742B61">
            <w:pPr>
              <w:spacing w:after="160" w:line="259" w:lineRule="auto"/>
              <w:rPr>
                <w:rFonts w:cs="Arial"/>
              </w:rPr>
            </w:pPr>
            <w:r w:rsidRPr="00C4084C">
              <w:rPr>
                <w:rFonts w:cs="Arial"/>
              </w:rPr>
              <w:t>Higher Education Loan Program</w:t>
            </w:r>
            <w:r w:rsidRPr="00C4084C">
              <w:tab/>
            </w:r>
          </w:p>
        </w:tc>
      </w:tr>
      <w:tr w:rsidR="00742B61" w:rsidRPr="00C4084C" w14:paraId="10CFA66D" w14:textId="77777777" w:rsidTr="003E5969">
        <w:trPr>
          <w:trHeight w:val="454"/>
        </w:trPr>
        <w:tc>
          <w:tcPr>
            <w:tcW w:w="2694" w:type="dxa"/>
          </w:tcPr>
          <w:p w14:paraId="7B112419" w14:textId="77777777" w:rsidR="00742B61" w:rsidRPr="00C4084C" w:rsidRDefault="00742B61" w:rsidP="00742B61">
            <w:pPr>
              <w:rPr>
                <w:rFonts w:cs="Arial"/>
                <w:b/>
              </w:rPr>
            </w:pPr>
            <w:r w:rsidRPr="00C4084C">
              <w:rPr>
                <w:rFonts w:cs="Arial"/>
                <w:b/>
              </w:rPr>
              <w:t>HEP</w:t>
            </w:r>
          </w:p>
        </w:tc>
        <w:tc>
          <w:tcPr>
            <w:tcW w:w="6322" w:type="dxa"/>
          </w:tcPr>
          <w:p w14:paraId="5BA2D4EE" w14:textId="77777777" w:rsidR="00742B61" w:rsidRPr="00C4084C" w:rsidRDefault="00742B61" w:rsidP="00742B61">
            <w:pPr>
              <w:rPr>
                <w:rFonts w:cs="Arial"/>
              </w:rPr>
            </w:pPr>
            <w:r w:rsidRPr="00C4084C">
              <w:rPr>
                <w:rFonts w:cs="Arial"/>
              </w:rPr>
              <w:t>Higher education provider</w:t>
            </w:r>
          </w:p>
        </w:tc>
      </w:tr>
      <w:tr w:rsidR="00742B61" w:rsidRPr="00C4084C" w14:paraId="616F85BA" w14:textId="77777777" w:rsidTr="003E5969">
        <w:trPr>
          <w:trHeight w:val="454"/>
        </w:trPr>
        <w:tc>
          <w:tcPr>
            <w:tcW w:w="2694" w:type="dxa"/>
          </w:tcPr>
          <w:p w14:paraId="2A4BC2E6" w14:textId="77777777" w:rsidR="00742B61" w:rsidRPr="00C4084C" w:rsidRDefault="00742B61" w:rsidP="00742B61">
            <w:pPr>
              <w:rPr>
                <w:rFonts w:cs="Arial"/>
                <w:b/>
              </w:rPr>
            </w:pPr>
            <w:r w:rsidRPr="00C4084C">
              <w:rPr>
                <w:rFonts w:cs="Arial"/>
                <w:b/>
              </w:rPr>
              <w:lastRenderedPageBreak/>
              <w:t>HERD</w:t>
            </w:r>
          </w:p>
        </w:tc>
        <w:tc>
          <w:tcPr>
            <w:tcW w:w="6322" w:type="dxa"/>
          </w:tcPr>
          <w:p w14:paraId="3780C0C1" w14:textId="77777777" w:rsidR="00742B61" w:rsidRPr="00C4084C" w:rsidRDefault="00742B61" w:rsidP="00742B61">
            <w:pPr>
              <w:rPr>
                <w:rFonts w:cs="Arial"/>
              </w:rPr>
            </w:pPr>
            <w:r w:rsidRPr="00C4084C">
              <w:rPr>
                <w:rFonts w:cs="Arial"/>
              </w:rPr>
              <w:t>Higher education expenditure on research and development</w:t>
            </w:r>
          </w:p>
        </w:tc>
      </w:tr>
      <w:tr w:rsidR="00742B61" w:rsidRPr="00C4084C" w14:paraId="2C3888C2" w14:textId="77777777" w:rsidTr="003E5969">
        <w:trPr>
          <w:trHeight w:val="454"/>
        </w:trPr>
        <w:tc>
          <w:tcPr>
            <w:tcW w:w="2694" w:type="dxa"/>
          </w:tcPr>
          <w:p w14:paraId="0E6A13B4" w14:textId="77777777" w:rsidR="00742B61" w:rsidRPr="00C4084C" w:rsidRDefault="00742B61" w:rsidP="00742B61">
            <w:pPr>
              <w:spacing w:after="160" w:line="259" w:lineRule="auto"/>
              <w:rPr>
                <w:rFonts w:cs="Arial"/>
                <w:b/>
              </w:rPr>
            </w:pPr>
            <w:r w:rsidRPr="00C4084C">
              <w:rPr>
                <w:rFonts w:cs="Arial"/>
                <w:b/>
              </w:rPr>
              <w:t>HERDC</w:t>
            </w:r>
          </w:p>
        </w:tc>
        <w:tc>
          <w:tcPr>
            <w:tcW w:w="6322" w:type="dxa"/>
          </w:tcPr>
          <w:p w14:paraId="16829FC8" w14:textId="77777777" w:rsidR="00742B61" w:rsidRPr="00C4084C" w:rsidRDefault="00742B61" w:rsidP="00742B61">
            <w:pPr>
              <w:spacing w:after="160" w:line="259" w:lineRule="auto"/>
              <w:rPr>
                <w:rFonts w:cs="Arial"/>
              </w:rPr>
            </w:pPr>
            <w:r w:rsidRPr="00C4084C">
              <w:rPr>
                <w:rFonts w:cs="Arial"/>
              </w:rPr>
              <w:t>Higher Education Research Data Collection</w:t>
            </w:r>
          </w:p>
        </w:tc>
      </w:tr>
      <w:tr w:rsidR="004F4083" w:rsidRPr="00C4084C" w14:paraId="4DBBB7E7" w14:textId="77777777" w:rsidTr="003E5969">
        <w:trPr>
          <w:trHeight w:val="454"/>
        </w:trPr>
        <w:tc>
          <w:tcPr>
            <w:tcW w:w="2694" w:type="dxa"/>
          </w:tcPr>
          <w:p w14:paraId="6BDD50FD" w14:textId="3C74A9FE" w:rsidR="004F4083" w:rsidRPr="00C4084C" w:rsidRDefault="004F4083" w:rsidP="004F4083">
            <w:pPr>
              <w:rPr>
                <w:rFonts w:cs="Arial"/>
                <w:b/>
              </w:rPr>
            </w:pPr>
            <w:r w:rsidRPr="00C4084C">
              <w:rPr>
                <w:rFonts w:cs="Arial"/>
                <w:b/>
              </w:rPr>
              <w:t>HESA</w:t>
            </w:r>
          </w:p>
        </w:tc>
        <w:tc>
          <w:tcPr>
            <w:tcW w:w="6322" w:type="dxa"/>
          </w:tcPr>
          <w:p w14:paraId="2478EA28" w14:textId="2945AAB6" w:rsidR="004F4083" w:rsidRPr="00C4084C" w:rsidRDefault="004F4083" w:rsidP="004F4083">
            <w:pPr>
              <w:rPr>
                <w:rFonts w:cs="Arial"/>
              </w:rPr>
            </w:pPr>
            <w:r w:rsidRPr="00C4084C">
              <w:rPr>
                <w:rFonts w:cs="Arial"/>
                <w:i/>
                <w:iCs/>
              </w:rPr>
              <w:t>Higher Education Support Act 2003</w:t>
            </w:r>
            <w:r w:rsidR="003C4574" w:rsidRPr="00C4084C">
              <w:rPr>
                <w:rFonts w:cs="Arial"/>
                <w:i/>
                <w:iCs/>
              </w:rPr>
              <w:t xml:space="preserve"> (</w:t>
            </w:r>
            <w:proofErr w:type="spellStart"/>
            <w:r w:rsidR="003C4574" w:rsidRPr="00C4084C">
              <w:rPr>
                <w:rFonts w:cs="Arial"/>
                <w:i/>
                <w:iCs/>
              </w:rPr>
              <w:t>Cth</w:t>
            </w:r>
            <w:proofErr w:type="spellEnd"/>
            <w:r w:rsidR="003C4574" w:rsidRPr="00C4084C">
              <w:rPr>
                <w:rFonts w:cs="Arial"/>
                <w:i/>
                <w:iCs/>
              </w:rPr>
              <w:t>)</w:t>
            </w:r>
          </w:p>
        </w:tc>
      </w:tr>
      <w:tr w:rsidR="004F4083" w:rsidRPr="00C4084C" w14:paraId="63131C9C" w14:textId="77777777" w:rsidTr="003E5969">
        <w:trPr>
          <w:trHeight w:val="454"/>
        </w:trPr>
        <w:tc>
          <w:tcPr>
            <w:tcW w:w="2694" w:type="dxa"/>
          </w:tcPr>
          <w:p w14:paraId="0FE350CC" w14:textId="77777777" w:rsidR="004F4083" w:rsidRPr="00C4084C" w:rsidRDefault="004F4083" w:rsidP="004F4083">
            <w:pPr>
              <w:rPr>
                <w:rFonts w:cs="Arial"/>
                <w:b/>
              </w:rPr>
            </w:pPr>
            <w:r w:rsidRPr="00C4084C">
              <w:rPr>
                <w:rFonts w:cs="Arial"/>
                <w:b/>
              </w:rPr>
              <w:t>HESC</w:t>
            </w:r>
          </w:p>
        </w:tc>
        <w:tc>
          <w:tcPr>
            <w:tcW w:w="6322" w:type="dxa"/>
          </w:tcPr>
          <w:p w14:paraId="1E9F5F2E" w14:textId="101756DA" w:rsidR="004F4083" w:rsidRPr="00C4084C" w:rsidRDefault="004F4083" w:rsidP="004F4083">
            <w:pPr>
              <w:rPr>
                <w:rFonts w:cs="Arial"/>
              </w:rPr>
            </w:pPr>
            <w:r w:rsidRPr="00C4084C">
              <w:rPr>
                <w:rFonts w:cs="Arial"/>
              </w:rPr>
              <w:t xml:space="preserve">Higher Education Statistics Collection </w:t>
            </w:r>
          </w:p>
        </w:tc>
      </w:tr>
      <w:tr w:rsidR="00760B66" w:rsidRPr="00C4084C" w14:paraId="78DFDA80" w14:textId="77777777" w:rsidTr="003E5969">
        <w:trPr>
          <w:trHeight w:val="454"/>
        </w:trPr>
        <w:tc>
          <w:tcPr>
            <w:tcW w:w="2694" w:type="dxa"/>
          </w:tcPr>
          <w:p w14:paraId="0C4FF9FC" w14:textId="5FA47270" w:rsidR="00760B66" w:rsidRPr="00C4084C" w:rsidRDefault="00760B66" w:rsidP="004F4083">
            <w:pPr>
              <w:rPr>
                <w:rFonts w:cs="Arial"/>
                <w:b/>
              </w:rPr>
            </w:pPr>
            <w:r w:rsidRPr="00C4084C">
              <w:rPr>
                <w:rFonts w:cs="Arial"/>
                <w:b/>
              </w:rPr>
              <w:t>HESP</w:t>
            </w:r>
          </w:p>
        </w:tc>
        <w:tc>
          <w:tcPr>
            <w:tcW w:w="6322" w:type="dxa"/>
          </w:tcPr>
          <w:p w14:paraId="7335FAB5" w14:textId="7400AE4F" w:rsidR="00760B66" w:rsidRPr="00C4084C" w:rsidRDefault="00760B66" w:rsidP="004F4083">
            <w:pPr>
              <w:rPr>
                <w:rFonts w:cs="Arial"/>
              </w:rPr>
            </w:pPr>
            <w:r w:rsidRPr="00C4084C">
              <w:rPr>
                <w:rFonts w:cs="Arial"/>
              </w:rPr>
              <w:t>Higher Education Standards Panel</w:t>
            </w:r>
          </w:p>
        </w:tc>
      </w:tr>
      <w:tr w:rsidR="004F4083" w:rsidRPr="00C4084C" w14:paraId="1A043765" w14:textId="77777777" w:rsidTr="003E5969">
        <w:trPr>
          <w:trHeight w:val="454"/>
        </w:trPr>
        <w:tc>
          <w:tcPr>
            <w:tcW w:w="2694" w:type="dxa"/>
          </w:tcPr>
          <w:p w14:paraId="6F3D6FA6" w14:textId="77777777" w:rsidR="004F4083" w:rsidRPr="00C4084C" w:rsidRDefault="004F4083" w:rsidP="004F4083">
            <w:pPr>
              <w:rPr>
                <w:rFonts w:cs="Arial"/>
                <w:b/>
              </w:rPr>
            </w:pPr>
            <w:r w:rsidRPr="00C4084C">
              <w:rPr>
                <w:rFonts w:cs="Arial"/>
                <w:b/>
              </w:rPr>
              <w:t>High SES</w:t>
            </w:r>
          </w:p>
        </w:tc>
        <w:tc>
          <w:tcPr>
            <w:tcW w:w="6322" w:type="dxa"/>
          </w:tcPr>
          <w:p w14:paraId="22F1317C" w14:textId="77777777" w:rsidR="004F4083" w:rsidRPr="00C4084C" w:rsidRDefault="004F4083" w:rsidP="004F4083">
            <w:pPr>
              <w:rPr>
                <w:rFonts w:cs="Arial"/>
              </w:rPr>
            </w:pPr>
            <w:r w:rsidRPr="00C4084C">
              <w:rPr>
                <w:rFonts w:cs="Arial"/>
              </w:rPr>
              <w:t>High socio-economic status</w:t>
            </w:r>
          </w:p>
        </w:tc>
      </w:tr>
      <w:tr w:rsidR="004F4083" w:rsidRPr="00C4084C" w14:paraId="6141F2DE" w14:textId="77777777" w:rsidTr="003E5969">
        <w:trPr>
          <w:trHeight w:val="454"/>
        </w:trPr>
        <w:tc>
          <w:tcPr>
            <w:tcW w:w="2694" w:type="dxa"/>
          </w:tcPr>
          <w:p w14:paraId="2ECDCCE6" w14:textId="77777777" w:rsidR="004F4083" w:rsidRPr="00C4084C" w:rsidRDefault="004F4083" w:rsidP="004F4083">
            <w:pPr>
              <w:spacing w:after="160" w:line="259" w:lineRule="auto"/>
              <w:rPr>
                <w:rFonts w:cs="Arial"/>
                <w:b/>
              </w:rPr>
            </w:pPr>
            <w:r w:rsidRPr="00C4084C">
              <w:rPr>
                <w:rFonts w:cs="Arial"/>
                <w:b/>
              </w:rPr>
              <w:t>IAT</w:t>
            </w:r>
          </w:p>
        </w:tc>
        <w:tc>
          <w:tcPr>
            <w:tcW w:w="6322" w:type="dxa"/>
          </w:tcPr>
          <w:p w14:paraId="283A57AB" w14:textId="77777777" w:rsidR="004F4083" w:rsidRPr="00C4084C" w:rsidRDefault="004F4083" w:rsidP="004F4083">
            <w:pPr>
              <w:spacing w:after="160" w:line="259" w:lineRule="auto"/>
              <w:rPr>
                <w:rFonts w:cs="Arial"/>
              </w:rPr>
            </w:pPr>
            <w:r w:rsidRPr="00C4084C">
              <w:rPr>
                <w:rFonts w:cs="Arial"/>
              </w:rPr>
              <w:t>Institute of Applied Technology</w:t>
            </w:r>
          </w:p>
        </w:tc>
      </w:tr>
      <w:tr w:rsidR="004F4083" w:rsidRPr="00C4084C" w14:paraId="4EF74825" w14:textId="77777777" w:rsidTr="003E5969">
        <w:trPr>
          <w:trHeight w:val="454"/>
        </w:trPr>
        <w:tc>
          <w:tcPr>
            <w:tcW w:w="2694" w:type="dxa"/>
          </w:tcPr>
          <w:p w14:paraId="3A0F0DE2" w14:textId="77777777" w:rsidR="004F4083" w:rsidRPr="00C4084C" w:rsidRDefault="004F4083" w:rsidP="004F4083">
            <w:pPr>
              <w:spacing w:after="160" w:line="259" w:lineRule="auto"/>
              <w:rPr>
                <w:rFonts w:cs="Arial"/>
                <w:b/>
              </w:rPr>
            </w:pPr>
            <w:r w:rsidRPr="00C4084C">
              <w:rPr>
                <w:rFonts w:cs="Arial"/>
                <w:b/>
              </w:rPr>
              <w:t>ICL</w:t>
            </w:r>
          </w:p>
        </w:tc>
        <w:tc>
          <w:tcPr>
            <w:tcW w:w="6322" w:type="dxa"/>
          </w:tcPr>
          <w:p w14:paraId="6E946BC5" w14:textId="77777777" w:rsidR="004F4083" w:rsidRPr="00C4084C" w:rsidRDefault="004F4083" w:rsidP="004F4083">
            <w:pPr>
              <w:spacing w:after="160" w:line="259" w:lineRule="auto"/>
              <w:rPr>
                <w:rFonts w:cs="Arial"/>
              </w:rPr>
            </w:pPr>
            <w:r w:rsidRPr="00C4084C">
              <w:rPr>
                <w:rFonts w:cs="Arial"/>
              </w:rPr>
              <w:t>Income contingent loan</w:t>
            </w:r>
          </w:p>
        </w:tc>
      </w:tr>
      <w:tr w:rsidR="003C4574" w:rsidRPr="00C4084C" w14:paraId="75FF5DEC" w14:textId="77777777" w:rsidTr="003E5969">
        <w:trPr>
          <w:trHeight w:val="454"/>
        </w:trPr>
        <w:tc>
          <w:tcPr>
            <w:tcW w:w="2694" w:type="dxa"/>
          </w:tcPr>
          <w:p w14:paraId="051B70D6" w14:textId="5CC79EDF" w:rsidR="003C4574" w:rsidRPr="00C4084C" w:rsidRDefault="003C4574" w:rsidP="00823E25">
            <w:pPr>
              <w:rPr>
                <w:rFonts w:cs="Arial"/>
                <w:b/>
              </w:rPr>
            </w:pPr>
            <w:r w:rsidRPr="00C4084C">
              <w:rPr>
                <w:rFonts w:cs="Arial"/>
                <w:b/>
              </w:rPr>
              <w:t>ICT</w:t>
            </w:r>
          </w:p>
        </w:tc>
        <w:tc>
          <w:tcPr>
            <w:tcW w:w="6322" w:type="dxa"/>
          </w:tcPr>
          <w:p w14:paraId="08C483C2" w14:textId="7882CB37" w:rsidR="003C4574" w:rsidRPr="00C4084C" w:rsidRDefault="003C4574" w:rsidP="00823E25">
            <w:pPr>
              <w:rPr>
                <w:rFonts w:cs="Arial"/>
              </w:rPr>
            </w:pPr>
            <w:r w:rsidRPr="00C4084C">
              <w:rPr>
                <w:rFonts w:cs="Arial"/>
              </w:rPr>
              <w:t>Information and Communications Technology</w:t>
            </w:r>
          </w:p>
        </w:tc>
      </w:tr>
      <w:tr w:rsidR="004F4083" w:rsidRPr="00C4084C" w14:paraId="47EDC126" w14:textId="77777777" w:rsidTr="003E5969">
        <w:trPr>
          <w:trHeight w:val="454"/>
        </w:trPr>
        <w:tc>
          <w:tcPr>
            <w:tcW w:w="2694" w:type="dxa"/>
          </w:tcPr>
          <w:p w14:paraId="3443C7DA" w14:textId="77777777" w:rsidR="004F4083" w:rsidRPr="00C4084C" w:rsidRDefault="004F4083" w:rsidP="004F4083">
            <w:pPr>
              <w:spacing w:after="160" w:line="259" w:lineRule="auto"/>
              <w:rPr>
                <w:rFonts w:cs="Arial"/>
                <w:b/>
              </w:rPr>
            </w:pPr>
            <w:r w:rsidRPr="00C4084C">
              <w:rPr>
                <w:rFonts w:cs="Arial"/>
                <w:b/>
              </w:rPr>
              <w:t>IRLSAF</w:t>
            </w:r>
          </w:p>
        </w:tc>
        <w:tc>
          <w:tcPr>
            <w:tcW w:w="6322" w:type="dxa"/>
          </w:tcPr>
          <w:p w14:paraId="2756CC71" w14:textId="77777777" w:rsidR="004F4083" w:rsidRPr="00C4084C" w:rsidRDefault="004F4083" w:rsidP="004F4083">
            <w:pPr>
              <w:spacing w:after="160" w:line="259" w:lineRule="auto"/>
              <w:rPr>
                <w:rFonts w:cs="Arial"/>
              </w:rPr>
            </w:pPr>
            <w:r w:rsidRPr="00C4084C">
              <w:rPr>
                <w:rFonts w:cs="Arial"/>
              </w:rPr>
              <w:t>Indigenous, Regional and Low SES Attainment Fund</w:t>
            </w:r>
          </w:p>
        </w:tc>
      </w:tr>
      <w:tr w:rsidR="004F4083" w:rsidRPr="00C4084C" w14:paraId="4B5F6355" w14:textId="77777777" w:rsidTr="003E5969">
        <w:trPr>
          <w:trHeight w:val="454"/>
        </w:trPr>
        <w:tc>
          <w:tcPr>
            <w:tcW w:w="2694" w:type="dxa"/>
          </w:tcPr>
          <w:p w14:paraId="0717AE31" w14:textId="77777777" w:rsidR="004F4083" w:rsidRPr="00C4084C" w:rsidRDefault="004F4083" w:rsidP="004F4083">
            <w:pPr>
              <w:rPr>
                <w:rFonts w:cs="Arial"/>
                <w:b/>
              </w:rPr>
            </w:pPr>
            <w:r w:rsidRPr="00C4084C">
              <w:rPr>
                <w:rFonts w:cs="Arial"/>
                <w:b/>
              </w:rPr>
              <w:t>IRU</w:t>
            </w:r>
          </w:p>
        </w:tc>
        <w:tc>
          <w:tcPr>
            <w:tcW w:w="6322" w:type="dxa"/>
          </w:tcPr>
          <w:p w14:paraId="32824A0B" w14:textId="20F03472" w:rsidR="004F4083" w:rsidRPr="00C4084C" w:rsidRDefault="004F4083" w:rsidP="004F4083">
            <w:pPr>
              <w:rPr>
                <w:rFonts w:cs="Arial"/>
              </w:rPr>
            </w:pPr>
            <w:r w:rsidRPr="00C4084C">
              <w:rPr>
                <w:rFonts w:cs="Arial"/>
              </w:rPr>
              <w:t>Innovative Research Universit</w:t>
            </w:r>
            <w:r w:rsidR="0001545C">
              <w:rPr>
                <w:rFonts w:cs="Arial"/>
              </w:rPr>
              <w:t>ies</w:t>
            </w:r>
            <w:r w:rsidRPr="00C4084C">
              <w:rPr>
                <w:rFonts w:cs="Arial"/>
              </w:rPr>
              <w:t xml:space="preserve"> </w:t>
            </w:r>
          </w:p>
        </w:tc>
      </w:tr>
      <w:tr w:rsidR="00332224" w:rsidRPr="00C4084C" w14:paraId="1E409382" w14:textId="77777777" w:rsidTr="003E5969">
        <w:trPr>
          <w:trHeight w:val="454"/>
        </w:trPr>
        <w:tc>
          <w:tcPr>
            <w:tcW w:w="2694" w:type="dxa"/>
          </w:tcPr>
          <w:p w14:paraId="5D84C0CC" w14:textId="76844260" w:rsidR="00332224" w:rsidRPr="00C4084C" w:rsidRDefault="00332224" w:rsidP="004F4083">
            <w:pPr>
              <w:rPr>
                <w:rFonts w:cs="Arial"/>
                <w:b/>
              </w:rPr>
            </w:pPr>
            <w:r w:rsidRPr="00C4084C">
              <w:rPr>
                <w:rFonts w:cs="Arial"/>
                <w:b/>
              </w:rPr>
              <w:t>ISSP</w:t>
            </w:r>
          </w:p>
        </w:tc>
        <w:tc>
          <w:tcPr>
            <w:tcW w:w="6322" w:type="dxa"/>
          </w:tcPr>
          <w:p w14:paraId="48E542CD" w14:textId="14574EFA" w:rsidR="00332224" w:rsidRPr="00C4084C" w:rsidRDefault="00332224" w:rsidP="004F4083">
            <w:pPr>
              <w:rPr>
                <w:rFonts w:cs="Arial"/>
              </w:rPr>
            </w:pPr>
            <w:r w:rsidRPr="00C4084C">
              <w:rPr>
                <w:rFonts w:cs="Arial"/>
              </w:rPr>
              <w:t>Indigenous Student Success Program</w:t>
            </w:r>
          </w:p>
        </w:tc>
      </w:tr>
      <w:tr w:rsidR="0004341B" w:rsidRPr="00C4084C" w14:paraId="2311FA8A" w14:textId="77777777" w:rsidTr="003E5969">
        <w:trPr>
          <w:trHeight w:val="454"/>
        </w:trPr>
        <w:tc>
          <w:tcPr>
            <w:tcW w:w="2694" w:type="dxa"/>
          </w:tcPr>
          <w:p w14:paraId="79031725" w14:textId="6F4D26A3" w:rsidR="0004341B" w:rsidRPr="00C4084C" w:rsidRDefault="0004341B" w:rsidP="004F4083">
            <w:pPr>
              <w:rPr>
                <w:rFonts w:cs="Arial"/>
                <w:b/>
              </w:rPr>
            </w:pPr>
            <w:r w:rsidRPr="00C4084C">
              <w:rPr>
                <w:rFonts w:cs="Arial"/>
                <w:b/>
              </w:rPr>
              <w:t>ISSR</w:t>
            </w:r>
          </w:p>
        </w:tc>
        <w:tc>
          <w:tcPr>
            <w:tcW w:w="6322" w:type="dxa"/>
          </w:tcPr>
          <w:p w14:paraId="069BD39E" w14:textId="1EBF8DC3" w:rsidR="0004341B" w:rsidRPr="00C4084C" w:rsidRDefault="0004341B" w:rsidP="004F4083">
            <w:pPr>
              <w:rPr>
                <w:rFonts w:cs="Arial"/>
              </w:rPr>
            </w:pPr>
            <w:r w:rsidRPr="00C4084C">
              <w:rPr>
                <w:rFonts w:cs="Arial"/>
              </w:rPr>
              <w:t>Institute for Social Science Research</w:t>
            </w:r>
          </w:p>
        </w:tc>
      </w:tr>
      <w:tr w:rsidR="00BE0B8E" w:rsidRPr="00C4084C" w14:paraId="0AD7FFEB" w14:textId="77777777" w:rsidTr="003E5969">
        <w:trPr>
          <w:trHeight w:val="454"/>
        </w:trPr>
        <w:tc>
          <w:tcPr>
            <w:tcW w:w="2694" w:type="dxa"/>
          </w:tcPr>
          <w:p w14:paraId="0E87667A" w14:textId="224F4A6B" w:rsidR="00BE0B8E" w:rsidRPr="00C4084C" w:rsidRDefault="00A75107" w:rsidP="004F4083">
            <w:pPr>
              <w:rPr>
                <w:rFonts w:cs="Arial"/>
                <w:b/>
              </w:rPr>
            </w:pPr>
            <w:r w:rsidRPr="00C4084C">
              <w:rPr>
                <w:rFonts w:cs="Arial"/>
                <w:b/>
              </w:rPr>
              <w:t>IT</w:t>
            </w:r>
          </w:p>
        </w:tc>
        <w:tc>
          <w:tcPr>
            <w:tcW w:w="6322" w:type="dxa"/>
          </w:tcPr>
          <w:p w14:paraId="7B732178" w14:textId="637FA784" w:rsidR="00BE0B8E" w:rsidRPr="00C4084C" w:rsidRDefault="00A75107" w:rsidP="004F4083">
            <w:pPr>
              <w:rPr>
                <w:rFonts w:cs="Arial"/>
              </w:rPr>
            </w:pPr>
            <w:r w:rsidRPr="00C4084C">
              <w:rPr>
                <w:rFonts w:cs="Arial"/>
              </w:rPr>
              <w:t>Information technology</w:t>
            </w:r>
          </w:p>
        </w:tc>
      </w:tr>
      <w:tr w:rsidR="00CF5A2A" w:rsidRPr="00C4084C" w14:paraId="515200C5" w14:textId="77777777" w:rsidTr="003E5969">
        <w:trPr>
          <w:trHeight w:val="454"/>
        </w:trPr>
        <w:tc>
          <w:tcPr>
            <w:tcW w:w="2694" w:type="dxa"/>
          </w:tcPr>
          <w:p w14:paraId="23013A68" w14:textId="1A98E162" w:rsidR="00CF5A2A" w:rsidRPr="00C4084C" w:rsidRDefault="00CF5A2A" w:rsidP="004F4083">
            <w:pPr>
              <w:rPr>
                <w:rFonts w:cs="Arial"/>
                <w:b/>
              </w:rPr>
            </w:pPr>
            <w:r>
              <w:rPr>
                <w:rFonts w:cs="Arial"/>
                <w:b/>
              </w:rPr>
              <w:t>ITTC</w:t>
            </w:r>
          </w:p>
        </w:tc>
        <w:tc>
          <w:tcPr>
            <w:tcW w:w="6322" w:type="dxa"/>
          </w:tcPr>
          <w:p w14:paraId="012A5D82" w14:textId="77E4609A" w:rsidR="00CF5A2A" w:rsidRPr="00C4084C" w:rsidRDefault="00366387" w:rsidP="004F4083">
            <w:pPr>
              <w:rPr>
                <w:rFonts w:cs="Arial"/>
              </w:rPr>
            </w:pPr>
            <w:r w:rsidRPr="00A160D1">
              <w:rPr>
                <w:rFonts w:cs="Arial"/>
              </w:rPr>
              <w:t>Industrial Transformation Training Centres</w:t>
            </w:r>
          </w:p>
        </w:tc>
      </w:tr>
      <w:tr w:rsidR="004F4083" w:rsidRPr="00C4084C" w14:paraId="40D198D6" w14:textId="77777777" w:rsidTr="003E5969">
        <w:trPr>
          <w:trHeight w:val="454"/>
        </w:trPr>
        <w:tc>
          <w:tcPr>
            <w:tcW w:w="2694" w:type="dxa"/>
          </w:tcPr>
          <w:p w14:paraId="25729DD4" w14:textId="77777777" w:rsidR="004F4083" w:rsidRPr="00C4084C" w:rsidRDefault="004F4083" w:rsidP="004F4083">
            <w:pPr>
              <w:rPr>
                <w:rFonts w:cs="Arial"/>
                <w:b/>
              </w:rPr>
            </w:pPr>
            <w:r w:rsidRPr="00C4084C">
              <w:rPr>
                <w:rFonts w:cs="Arial"/>
                <w:b/>
              </w:rPr>
              <w:t>JD</w:t>
            </w:r>
          </w:p>
        </w:tc>
        <w:tc>
          <w:tcPr>
            <w:tcW w:w="6322" w:type="dxa"/>
          </w:tcPr>
          <w:p w14:paraId="391DA1B6" w14:textId="77777777" w:rsidR="004F4083" w:rsidRPr="00C4084C" w:rsidRDefault="004F4083" w:rsidP="004F4083">
            <w:pPr>
              <w:rPr>
                <w:rFonts w:cs="Arial"/>
              </w:rPr>
            </w:pPr>
            <w:r w:rsidRPr="00C4084C">
              <w:rPr>
                <w:rFonts w:cs="Arial"/>
              </w:rPr>
              <w:t>Juris doctor</w:t>
            </w:r>
          </w:p>
        </w:tc>
      </w:tr>
      <w:tr w:rsidR="004F4083" w:rsidRPr="00C4084C" w14:paraId="016E793D" w14:textId="77777777" w:rsidTr="003E5969">
        <w:trPr>
          <w:trHeight w:val="454"/>
        </w:trPr>
        <w:tc>
          <w:tcPr>
            <w:tcW w:w="2694" w:type="dxa"/>
          </w:tcPr>
          <w:p w14:paraId="43E11BCA" w14:textId="77777777" w:rsidR="004F4083" w:rsidRPr="00C4084C" w:rsidRDefault="004F4083" w:rsidP="004F4083">
            <w:pPr>
              <w:spacing w:after="160" w:line="259" w:lineRule="auto"/>
              <w:rPr>
                <w:rFonts w:cs="Arial"/>
                <w:b/>
              </w:rPr>
            </w:pPr>
            <w:r w:rsidRPr="00C4084C">
              <w:rPr>
                <w:rFonts w:cs="Arial"/>
                <w:b/>
              </w:rPr>
              <w:t>JRG</w:t>
            </w:r>
          </w:p>
        </w:tc>
        <w:tc>
          <w:tcPr>
            <w:tcW w:w="6322" w:type="dxa"/>
          </w:tcPr>
          <w:p w14:paraId="2DF3EA41" w14:textId="77777777" w:rsidR="004F4083" w:rsidRPr="00C4084C" w:rsidRDefault="004F4083" w:rsidP="004F4083">
            <w:pPr>
              <w:spacing w:after="160" w:line="259" w:lineRule="auto"/>
              <w:rPr>
                <w:rFonts w:cs="Arial"/>
              </w:rPr>
            </w:pPr>
            <w:r w:rsidRPr="00C4084C">
              <w:rPr>
                <w:rFonts w:cs="Arial"/>
              </w:rPr>
              <w:t>Job-ready Graduates</w:t>
            </w:r>
          </w:p>
        </w:tc>
      </w:tr>
      <w:tr w:rsidR="004F4083" w:rsidRPr="00C4084C" w14:paraId="25A62F2D" w14:textId="77777777" w:rsidTr="003E5969">
        <w:trPr>
          <w:trHeight w:val="454"/>
        </w:trPr>
        <w:tc>
          <w:tcPr>
            <w:tcW w:w="2694" w:type="dxa"/>
          </w:tcPr>
          <w:p w14:paraId="062DC06D" w14:textId="77777777" w:rsidR="004F4083" w:rsidRPr="00C4084C" w:rsidRDefault="004F4083" w:rsidP="004F4083">
            <w:pPr>
              <w:spacing w:after="160" w:line="259" w:lineRule="auto"/>
              <w:rPr>
                <w:rFonts w:cs="Arial"/>
                <w:b/>
              </w:rPr>
            </w:pPr>
            <w:r w:rsidRPr="00C4084C">
              <w:rPr>
                <w:rFonts w:cs="Arial"/>
                <w:b/>
              </w:rPr>
              <w:t>JSA</w:t>
            </w:r>
          </w:p>
        </w:tc>
        <w:tc>
          <w:tcPr>
            <w:tcW w:w="6322" w:type="dxa"/>
          </w:tcPr>
          <w:p w14:paraId="243BCFF8" w14:textId="77777777" w:rsidR="004F4083" w:rsidRPr="00C4084C" w:rsidRDefault="004F4083" w:rsidP="004F4083">
            <w:pPr>
              <w:spacing w:after="160" w:line="259" w:lineRule="auto"/>
              <w:rPr>
                <w:rFonts w:cs="Arial"/>
              </w:rPr>
            </w:pPr>
            <w:r w:rsidRPr="00C4084C">
              <w:rPr>
                <w:rFonts w:cs="Arial"/>
              </w:rPr>
              <w:t>Jobs and Skills Australia</w:t>
            </w:r>
          </w:p>
        </w:tc>
      </w:tr>
      <w:tr w:rsidR="004F4083" w:rsidRPr="00C4084C" w14:paraId="3D599525" w14:textId="77777777" w:rsidTr="003E5969">
        <w:trPr>
          <w:trHeight w:val="454"/>
        </w:trPr>
        <w:tc>
          <w:tcPr>
            <w:tcW w:w="2694" w:type="dxa"/>
          </w:tcPr>
          <w:p w14:paraId="63735190" w14:textId="77777777" w:rsidR="004F4083" w:rsidRPr="00C4084C" w:rsidRDefault="004F4083" w:rsidP="004F4083">
            <w:pPr>
              <w:spacing w:after="160" w:line="259" w:lineRule="auto"/>
              <w:rPr>
                <w:rFonts w:cs="Arial"/>
                <w:b/>
              </w:rPr>
            </w:pPr>
            <w:r w:rsidRPr="00C4084C">
              <w:rPr>
                <w:rFonts w:cs="Arial"/>
                <w:b/>
              </w:rPr>
              <w:t>Low SES</w:t>
            </w:r>
          </w:p>
        </w:tc>
        <w:tc>
          <w:tcPr>
            <w:tcW w:w="6322" w:type="dxa"/>
          </w:tcPr>
          <w:p w14:paraId="5A0CEFD5" w14:textId="1F778FE1" w:rsidR="004F4083" w:rsidRPr="00C4084C" w:rsidRDefault="004F4083" w:rsidP="004F4083">
            <w:pPr>
              <w:spacing w:after="160" w:line="259" w:lineRule="auto"/>
              <w:rPr>
                <w:rFonts w:cs="Arial"/>
              </w:rPr>
            </w:pPr>
            <w:r w:rsidRPr="00C4084C">
              <w:rPr>
                <w:rFonts w:eastAsia="Arial" w:cs="Arial"/>
              </w:rPr>
              <w:t xml:space="preserve">Low socio-economic status  </w:t>
            </w:r>
          </w:p>
        </w:tc>
      </w:tr>
      <w:tr w:rsidR="004F4083" w:rsidRPr="00C4084C" w14:paraId="16C81C62" w14:textId="77777777" w:rsidTr="003E5969">
        <w:trPr>
          <w:trHeight w:val="454"/>
        </w:trPr>
        <w:tc>
          <w:tcPr>
            <w:tcW w:w="2694" w:type="dxa"/>
          </w:tcPr>
          <w:p w14:paraId="30BB9352" w14:textId="77777777" w:rsidR="004F4083" w:rsidRPr="00C4084C" w:rsidRDefault="004F4083" w:rsidP="004F4083">
            <w:pPr>
              <w:rPr>
                <w:rFonts w:cs="Arial"/>
                <w:b/>
              </w:rPr>
            </w:pPr>
            <w:r w:rsidRPr="00C4084C">
              <w:rPr>
                <w:rFonts w:cs="Arial"/>
                <w:b/>
              </w:rPr>
              <w:t>LSAY</w:t>
            </w:r>
          </w:p>
        </w:tc>
        <w:tc>
          <w:tcPr>
            <w:tcW w:w="6322" w:type="dxa"/>
          </w:tcPr>
          <w:p w14:paraId="270F7354" w14:textId="77777777" w:rsidR="004F4083" w:rsidRPr="00C4084C" w:rsidRDefault="004F4083" w:rsidP="004F4083">
            <w:pPr>
              <w:rPr>
                <w:rFonts w:cs="Arial"/>
              </w:rPr>
            </w:pPr>
            <w:r w:rsidRPr="00C4084C">
              <w:rPr>
                <w:rFonts w:cs="Arial"/>
              </w:rPr>
              <w:t>Longitudinal Survey of Australian Youth</w:t>
            </w:r>
          </w:p>
        </w:tc>
      </w:tr>
      <w:tr w:rsidR="004F4083" w:rsidRPr="00C4084C" w14:paraId="7071B054" w14:textId="77777777" w:rsidTr="003E5969">
        <w:trPr>
          <w:trHeight w:val="454"/>
        </w:trPr>
        <w:tc>
          <w:tcPr>
            <w:tcW w:w="2694" w:type="dxa"/>
          </w:tcPr>
          <w:p w14:paraId="222D0A72" w14:textId="77777777" w:rsidR="004F4083" w:rsidRPr="00C4084C" w:rsidRDefault="004F4083" w:rsidP="004F4083">
            <w:pPr>
              <w:rPr>
                <w:rFonts w:cs="Arial"/>
                <w:b/>
                <w:bCs/>
              </w:rPr>
            </w:pPr>
            <w:r w:rsidRPr="00C4084C">
              <w:rPr>
                <w:rFonts w:cs="Arial"/>
                <w:b/>
                <w:bCs/>
              </w:rPr>
              <w:t>MADIP</w:t>
            </w:r>
          </w:p>
        </w:tc>
        <w:tc>
          <w:tcPr>
            <w:tcW w:w="6322" w:type="dxa"/>
          </w:tcPr>
          <w:p w14:paraId="34F685A4" w14:textId="77777777" w:rsidR="004F4083" w:rsidRPr="00C4084C" w:rsidRDefault="004F4083" w:rsidP="004F4083">
            <w:pPr>
              <w:rPr>
                <w:rFonts w:cs="Arial"/>
              </w:rPr>
            </w:pPr>
            <w:r w:rsidRPr="00C4084C">
              <w:rPr>
                <w:rFonts w:cs="Arial"/>
              </w:rPr>
              <w:t>Multi-Agency Data Integration Project</w:t>
            </w:r>
          </w:p>
        </w:tc>
      </w:tr>
      <w:tr w:rsidR="004F4083" w:rsidRPr="00C4084C" w14:paraId="6F55654F" w14:textId="77777777" w:rsidTr="003E5969">
        <w:trPr>
          <w:trHeight w:val="454"/>
        </w:trPr>
        <w:tc>
          <w:tcPr>
            <w:tcW w:w="2694" w:type="dxa"/>
          </w:tcPr>
          <w:p w14:paraId="548678DB" w14:textId="77777777" w:rsidR="004F4083" w:rsidRPr="00C4084C" w:rsidRDefault="004F4083" w:rsidP="004F4083">
            <w:pPr>
              <w:rPr>
                <w:rFonts w:cs="Arial"/>
                <w:b/>
                <w:bCs/>
              </w:rPr>
            </w:pPr>
            <w:r w:rsidRPr="00C4084C">
              <w:rPr>
                <w:rFonts w:cs="Arial"/>
                <w:b/>
                <w:bCs/>
              </w:rPr>
              <w:t>MBA</w:t>
            </w:r>
          </w:p>
        </w:tc>
        <w:tc>
          <w:tcPr>
            <w:tcW w:w="6322" w:type="dxa"/>
          </w:tcPr>
          <w:p w14:paraId="45D74A97" w14:textId="77777777" w:rsidR="004F4083" w:rsidRPr="00C4084C" w:rsidRDefault="004F4083" w:rsidP="004F4083">
            <w:pPr>
              <w:rPr>
                <w:rFonts w:cs="Arial"/>
              </w:rPr>
            </w:pPr>
            <w:r w:rsidRPr="00C4084C">
              <w:rPr>
                <w:rFonts w:cs="Arial"/>
              </w:rPr>
              <w:t>Master of Business Administration</w:t>
            </w:r>
          </w:p>
        </w:tc>
      </w:tr>
      <w:tr w:rsidR="00127B93" w:rsidRPr="00C4084C" w14:paraId="2D08939D" w14:textId="77777777" w:rsidTr="003E5969">
        <w:trPr>
          <w:trHeight w:val="454"/>
        </w:trPr>
        <w:tc>
          <w:tcPr>
            <w:tcW w:w="2694" w:type="dxa"/>
          </w:tcPr>
          <w:p w14:paraId="6DD58815" w14:textId="19D16C2E" w:rsidR="00127B93" w:rsidRPr="00C4084C" w:rsidRDefault="00634EC0" w:rsidP="004F4083">
            <w:pPr>
              <w:rPr>
                <w:rFonts w:cs="Arial"/>
                <w:b/>
                <w:bCs/>
              </w:rPr>
            </w:pPr>
            <w:r w:rsidRPr="00C4084C">
              <w:rPr>
                <w:rFonts w:cs="Arial"/>
                <w:b/>
                <w:bCs/>
              </w:rPr>
              <w:t>MBGA</w:t>
            </w:r>
          </w:p>
        </w:tc>
        <w:tc>
          <w:tcPr>
            <w:tcW w:w="6322" w:type="dxa"/>
          </w:tcPr>
          <w:p w14:paraId="33D27CC0" w14:textId="63B5DFDF" w:rsidR="00127B93" w:rsidRPr="00C4084C" w:rsidRDefault="00634EC0" w:rsidP="004F4083">
            <w:pPr>
              <w:rPr>
                <w:rFonts w:cs="Arial"/>
              </w:rPr>
            </w:pPr>
            <w:r w:rsidRPr="00C4084C">
              <w:rPr>
                <w:rFonts w:cs="Arial"/>
              </w:rPr>
              <w:t>Maximum Basic Grant Amount</w:t>
            </w:r>
          </w:p>
        </w:tc>
      </w:tr>
      <w:tr w:rsidR="004F4083" w:rsidRPr="00C4084C" w14:paraId="4A69A68E" w14:textId="77777777" w:rsidTr="003E5969">
        <w:trPr>
          <w:trHeight w:val="454"/>
        </w:trPr>
        <w:tc>
          <w:tcPr>
            <w:tcW w:w="2694" w:type="dxa"/>
          </w:tcPr>
          <w:p w14:paraId="1D4310F7" w14:textId="493C6469" w:rsidR="004F4083" w:rsidRPr="00C4084C" w:rsidRDefault="004F4083" w:rsidP="004F4083">
            <w:pPr>
              <w:spacing w:after="160" w:line="259" w:lineRule="auto"/>
              <w:rPr>
                <w:rFonts w:cs="Arial"/>
                <w:b/>
              </w:rPr>
            </w:pPr>
            <w:r w:rsidRPr="00C4084C">
              <w:rPr>
                <w:rFonts w:cs="Arial"/>
                <w:b/>
              </w:rPr>
              <w:t>MGT</w:t>
            </w:r>
          </w:p>
        </w:tc>
        <w:tc>
          <w:tcPr>
            <w:tcW w:w="6322" w:type="dxa"/>
          </w:tcPr>
          <w:p w14:paraId="30EE8B7A" w14:textId="6173D2D8" w:rsidR="004F4083" w:rsidRPr="00C4084C" w:rsidRDefault="004F4083" w:rsidP="004F4083">
            <w:pPr>
              <w:spacing w:after="160" w:line="259" w:lineRule="auto"/>
              <w:rPr>
                <w:rFonts w:cs="Arial"/>
              </w:rPr>
            </w:pPr>
            <w:r w:rsidRPr="00C4084C">
              <w:rPr>
                <w:rFonts w:cs="Arial"/>
              </w:rPr>
              <w:t>Moderated Growth Target</w:t>
            </w:r>
          </w:p>
        </w:tc>
      </w:tr>
      <w:tr w:rsidR="00261520" w:rsidRPr="00C4084C" w14:paraId="507B60F1" w14:textId="77777777" w:rsidTr="003E5969">
        <w:trPr>
          <w:trHeight w:val="454"/>
        </w:trPr>
        <w:tc>
          <w:tcPr>
            <w:tcW w:w="2694" w:type="dxa"/>
          </w:tcPr>
          <w:p w14:paraId="3E131ABD" w14:textId="62F0FA24" w:rsidR="00261520" w:rsidRPr="00C4084C" w:rsidRDefault="00261520" w:rsidP="00261520">
            <w:pPr>
              <w:spacing w:after="160"/>
              <w:rPr>
                <w:rFonts w:cs="Arial"/>
                <w:b/>
              </w:rPr>
            </w:pPr>
            <w:r w:rsidRPr="00C4084C">
              <w:rPr>
                <w:rFonts w:cs="Arial"/>
                <w:b/>
              </w:rPr>
              <w:t>MOOCs</w:t>
            </w:r>
          </w:p>
        </w:tc>
        <w:tc>
          <w:tcPr>
            <w:tcW w:w="6322" w:type="dxa"/>
          </w:tcPr>
          <w:p w14:paraId="7DF58EFC" w14:textId="6ADA9B0F" w:rsidR="00261520" w:rsidRPr="00C4084C" w:rsidRDefault="00261520" w:rsidP="00261520">
            <w:pPr>
              <w:spacing w:after="160"/>
              <w:rPr>
                <w:rFonts w:cs="Arial"/>
              </w:rPr>
            </w:pPr>
            <w:r w:rsidRPr="00C4084C">
              <w:rPr>
                <w:rFonts w:cs="Arial"/>
              </w:rPr>
              <w:t>Massive Open Online Courses</w:t>
            </w:r>
          </w:p>
        </w:tc>
      </w:tr>
      <w:tr w:rsidR="00B069DD" w:rsidRPr="00C4084C" w14:paraId="2BA6E443" w14:textId="77777777" w:rsidTr="003E5969">
        <w:trPr>
          <w:trHeight w:val="454"/>
        </w:trPr>
        <w:tc>
          <w:tcPr>
            <w:tcW w:w="2694" w:type="dxa"/>
          </w:tcPr>
          <w:p w14:paraId="0FA58D33" w14:textId="1E64084C" w:rsidR="00B069DD" w:rsidRPr="00C4084C" w:rsidRDefault="00B069DD" w:rsidP="00261520">
            <w:pPr>
              <w:spacing w:after="160"/>
              <w:rPr>
                <w:rFonts w:cs="Arial"/>
                <w:b/>
              </w:rPr>
            </w:pPr>
            <w:r w:rsidRPr="00C4084C">
              <w:rPr>
                <w:rFonts w:cs="Arial"/>
                <w:b/>
              </w:rPr>
              <w:t>MRFF</w:t>
            </w:r>
          </w:p>
        </w:tc>
        <w:tc>
          <w:tcPr>
            <w:tcW w:w="6322" w:type="dxa"/>
          </w:tcPr>
          <w:p w14:paraId="5D269174" w14:textId="278ED5B1" w:rsidR="00B069DD" w:rsidRPr="00C4084C" w:rsidRDefault="00B069DD" w:rsidP="00261520">
            <w:pPr>
              <w:spacing w:after="160"/>
              <w:rPr>
                <w:rFonts w:cs="Arial"/>
              </w:rPr>
            </w:pPr>
            <w:r w:rsidRPr="00C4084C">
              <w:rPr>
                <w:rFonts w:cs="Arial"/>
              </w:rPr>
              <w:t>Medical Research Future Fund</w:t>
            </w:r>
          </w:p>
        </w:tc>
      </w:tr>
      <w:tr w:rsidR="000501DA" w:rsidRPr="00C4084C" w14:paraId="1DE955BB" w14:textId="77777777" w:rsidTr="003E5969">
        <w:trPr>
          <w:trHeight w:val="454"/>
        </w:trPr>
        <w:tc>
          <w:tcPr>
            <w:tcW w:w="2694" w:type="dxa"/>
          </w:tcPr>
          <w:p w14:paraId="1310EABD" w14:textId="6F5760D2" w:rsidR="000501DA" w:rsidRPr="00C4084C" w:rsidRDefault="000501DA" w:rsidP="00261520">
            <w:pPr>
              <w:spacing w:after="160"/>
              <w:rPr>
                <w:rFonts w:cs="Arial"/>
                <w:b/>
              </w:rPr>
            </w:pPr>
            <w:r w:rsidRPr="00C4084C">
              <w:rPr>
                <w:rFonts w:cs="Arial"/>
                <w:b/>
              </w:rPr>
              <w:t>mRNA</w:t>
            </w:r>
          </w:p>
        </w:tc>
        <w:tc>
          <w:tcPr>
            <w:tcW w:w="6322" w:type="dxa"/>
          </w:tcPr>
          <w:p w14:paraId="0B0A1C38" w14:textId="4A7CB643" w:rsidR="000501DA" w:rsidRPr="00C4084C" w:rsidRDefault="000501DA" w:rsidP="00261520">
            <w:pPr>
              <w:spacing w:after="160"/>
              <w:rPr>
                <w:rFonts w:cs="Arial"/>
              </w:rPr>
            </w:pPr>
            <w:r w:rsidRPr="00C4084C">
              <w:rPr>
                <w:rFonts w:cs="Arial"/>
              </w:rPr>
              <w:t xml:space="preserve">Messenger </w:t>
            </w:r>
            <w:r w:rsidR="00D67426" w:rsidRPr="00C4084C">
              <w:rPr>
                <w:rFonts w:cs="Arial"/>
              </w:rPr>
              <w:t xml:space="preserve">ribonucleic acid </w:t>
            </w:r>
          </w:p>
        </w:tc>
      </w:tr>
      <w:tr w:rsidR="00896B5C" w:rsidRPr="00C4084C" w14:paraId="14CBB1F1" w14:textId="77777777" w:rsidTr="003E5969">
        <w:trPr>
          <w:trHeight w:val="454"/>
        </w:trPr>
        <w:tc>
          <w:tcPr>
            <w:tcW w:w="2694" w:type="dxa"/>
          </w:tcPr>
          <w:p w14:paraId="130BC63E" w14:textId="7204B73D" w:rsidR="00896B5C" w:rsidRPr="00C4084C" w:rsidRDefault="00896B5C" w:rsidP="00261520">
            <w:pPr>
              <w:spacing w:after="160"/>
              <w:rPr>
                <w:rFonts w:cs="Arial"/>
                <w:b/>
              </w:rPr>
            </w:pPr>
            <w:r w:rsidRPr="00C4084C">
              <w:rPr>
                <w:rFonts w:cs="Arial"/>
                <w:b/>
              </w:rPr>
              <w:t>NAPLAN</w:t>
            </w:r>
          </w:p>
        </w:tc>
        <w:tc>
          <w:tcPr>
            <w:tcW w:w="6322" w:type="dxa"/>
          </w:tcPr>
          <w:p w14:paraId="45C0E987" w14:textId="66EBFE69" w:rsidR="00896B5C" w:rsidRPr="00C4084C" w:rsidRDefault="002D53C1" w:rsidP="00261520">
            <w:pPr>
              <w:spacing w:after="160"/>
              <w:rPr>
                <w:rFonts w:cs="Arial"/>
              </w:rPr>
            </w:pPr>
            <w:r w:rsidRPr="00C4084C">
              <w:rPr>
                <w:rFonts w:cs="Arial"/>
              </w:rPr>
              <w:t>National Assessment Program – Literacy and Numeracy</w:t>
            </w:r>
          </w:p>
        </w:tc>
      </w:tr>
      <w:tr w:rsidR="00366387" w:rsidRPr="00C4084C" w14:paraId="4ABD1B0E" w14:textId="77777777" w:rsidTr="003E5969">
        <w:trPr>
          <w:trHeight w:val="454"/>
        </w:trPr>
        <w:tc>
          <w:tcPr>
            <w:tcW w:w="2694" w:type="dxa"/>
          </w:tcPr>
          <w:p w14:paraId="14B7CAC0" w14:textId="7DE36B7B" w:rsidR="00366387" w:rsidRPr="00C4084C" w:rsidRDefault="00366387" w:rsidP="00261520">
            <w:pPr>
              <w:spacing w:after="160"/>
              <w:rPr>
                <w:rFonts w:cs="Arial"/>
                <w:b/>
              </w:rPr>
            </w:pPr>
            <w:r>
              <w:rPr>
                <w:rFonts w:cs="Arial"/>
                <w:b/>
              </w:rPr>
              <w:t>NCGP</w:t>
            </w:r>
          </w:p>
        </w:tc>
        <w:tc>
          <w:tcPr>
            <w:tcW w:w="6322" w:type="dxa"/>
          </w:tcPr>
          <w:p w14:paraId="69E9D5D4" w14:textId="6ECD28A2" w:rsidR="00366387" w:rsidRPr="00C4084C" w:rsidRDefault="004A1A66" w:rsidP="00261520">
            <w:pPr>
              <w:spacing w:after="160"/>
              <w:rPr>
                <w:rFonts w:cs="Arial"/>
              </w:rPr>
            </w:pPr>
            <w:r w:rsidRPr="00A160D1">
              <w:rPr>
                <w:rFonts w:cs="Arial"/>
              </w:rPr>
              <w:t>National Competitive Grants Program</w:t>
            </w:r>
          </w:p>
        </w:tc>
      </w:tr>
      <w:tr w:rsidR="0073452D" w:rsidRPr="00C4084C" w14:paraId="255E1CCC" w14:textId="77777777" w:rsidTr="003E5969">
        <w:trPr>
          <w:trHeight w:val="454"/>
        </w:trPr>
        <w:tc>
          <w:tcPr>
            <w:tcW w:w="2694" w:type="dxa"/>
          </w:tcPr>
          <w:p w14:paraId="59648682" w14:textId="4119254A" w:rsidR="0073452D" w:rsidRPr="00C4084C" w:rsidRDefault="0073452D" w:rsidP="00823E25">
            <w:pPr>
              <w:spacing w:after="160"/>
              <w:rPr>
                <w:rFonts w:cs="Arial"/>
                <w:b/>
              </w:rPr>
            </w:pPr>
            <w:r w:rsidRPr="00C4084C">
              <w:rPr>
                <w:rFonts w:cs="Arial"/>
                <w:b/>
              </w:rPr>
              <w:lastRenderedPageBreak/>
              <w:t>NCI</w:t>
            </w:r>
          </w:p>
        </w:tc>
        <w:tc>
          <w:tcPr>
            <w:tcW w:w="6322" w:type="dxa"/>
          </w:tcPr>
          <w:p w14:paraId="00891102" w14:textId="0EF60302" w:rsidR="0073452D" w:rsidRPr="00C4084C" w:rsidRDefault="0073452D" w:rsidP="00823E25">
            <w:pPr>
              <w:spacing w:after="160"/>
              <w:rPr>
                <w:rFonts w:cs="Arial"/>
              </w:rPr>
            </w:pPr>
            <w:r w:rsidRPr="00C4084C">
              <w:rPr>
                <w:rFonts w:cs="Arial"/>
              </w:rPr>
              <w:t>National Careers Institute</w:t>
            </w:r>
          </w:p>
        </w:tc>
      </w:tr>
      <w:tr w:rsidR="00261520" w:rsidRPr="00C4084C" w14:paraId="7E66F7FF" w14:textId="77777777" w:rsidTr="003E5969">
        <w:trPr>
          <w:trHeight w:val="454"/>
        </w:trPr>
        <w:tc>
          <w:tcPr>
            <w:tcW w:w="2694" w:type="dxa"/>
          </w:tcPr>
          <w:p w14:paraId="52276A41" w14:textId="7CF44288" w:rsidR="00261520" w:rsidRPr="00C4084C" w:rsidRDefault="00261520" w:rsidP="00261520">
            <w:pPr>
              <w:spacing w:after="160" w:line="259" w:lineRule="auto"/>
              <w:rPr>
                <w:rFonts w:cs="Arial"/>
                <w:b/>
              </w:rPr>
            </w:pPr>
            <w:r w:rsidRPr="00C4084C">
              <w:rPr>
                <w:rFonts w:cs="Arial"/>
                <w:b/>
              </w:rPr>
              <w:t>NCP</w:t>
            </w:r>
          </w:p>
        </w:tc>
        <w:tc>
          <w:tcPr>
            <w:tcW w:w="6322" w:type="dxa"/>
          </w:tcPr>
          <w:p w14:paraId="4D242331" w14:textId="19B63B37" w:rsidR="00261520" w:rsidRPr="00C4084C" w:rsidRDefault="00261520" w:rsidP="00261520">
            <w:pPr>
              <w:spacing w:after="160" w:line="259" w:lineRule="auto"/>
              <w:rPr>
                <w:rFonts w:cs="Arial"/>
              </w:rPr>
            </w:pPr>
            <w:r w:rsidRPr="00C4084C">
              <w:rPr>
                <w:rFonts w:cs="Arial"/>
              </w:rPr>
              <w:t>National Credentials Platform</w:t>
            </w:r>
          </w:p>
        </w:tc>
      </w:tr>
      <w:tr w:rsidR="00261520" w:rsidRPr="00C4084C" w14:paraId="473B003E" w14:textId="77777777" w:rsidTr="003E5969">
        <w:trPr>
          <w:trHeight w:val="454"/>
        </w:trPr>
        <w:tc>
          <w:tcPr>
            <w:tcW w:w="2694" w:type="dxa"/>
          </w:tcPr>
          <w:p w14:paraId="4F44F2BD" w14:textId="4C375945" w:rsidR="00261520" w:rsidRPr="00C4084C" w:rsidRDefault="00261520" w:rsidP="00261520">
            <w:pPr>
              <w:rPr>
                <w:rFonts w:cs="Arial"/>
                <w:b/>
              </w:rPr>
            </w:pPr>
            <w:r w:rsidRPr="00C4084C">
              <w:rPr>
                <w:rFonts w:cs="Arial"/>
                <w:b/>
              </w:rPr>
              <w:t>NCRIS</w:t>
            </w:r>
          </w:p>
        </w:tc>
        <w:tc>
          <w:tcPr>
            <w:tcW w:w="6322" w:type="dxa"/>
          </w:tcPr>
          <w:p w14:paraId="2321154D" w14:textId="0044972E" w:rsidR="00261520" w:rsidRPr="00C4084C" w:rsidRDefault="00261520" w:rsidP="00261520">
            <w:pPr>
              <w:rPr>
                <w:rFonts w:cs="Arial"/>
              </w:rPr>
            </w:pPr>
            <w:r w:rsidRPr="00C4084C">
              <w:rPr>
                <w:rFonts w:cs="Arial"/>
              </w:rPr>
              <w:t>National Collaborative Research Infrastructure Strategy</w:t>
            </w:r>
          </w:p>
        </w:tc>
      </w:tr>
      <w:tr w:rsidR="00261520" w:rsidRPr="00C4084C" w14:paraId="4457B74B" w14:textId="77777777" w:rsidTr="003E5969">
        <w:trPr>
          <w:trHeight w:val="454"/>
        </w:trPr>
        <w:tc>
          <w:tcPr>
            <w:tcW w:w="2694" w:type="dxa"/>
          </w:tcPr>
          <w:p w14:paraId="3D851920" w14:textId="5B6B68DD" w:rsidR="00261520" w:rsidRPr="00C4084C" w:rsidRDefault="00261520" w:rsidP="00261520">
            <w:pPr>
              <w:spacing w:after="160" w:line="259" w:lineRule="auto"/>
              <w:rPr>
                <w:rFonts w:cs="Arial"/>
                <w:b/>
              </w:rPr>
            </w:pPr>
            <w:r w:rsidRPr="00C4084C">
              <w:rPr>
                <w:rFonts w:cs="Arial"/>
                <w:b/>
              </w:rPr>
              <w:t>NCSEHE</w:t>
            </w:r>
          </w:p>
        </w:tc>
        <w:tc>
          <w:tcPr>
            <w:tcW w:w="6322" w:type="dxa"/>
          </w:tcPr>
          <w:p w14:paraId="3621A8DB" w14:textId="7D23AA15" w:rsidR="00261520" w:rsidRPr="00C4084C" w:rsidRDefault="00261520" w:rsidP="00261520">
            <w:pPr>
              <w:spacing w:after="160" w:line="259" w:lineRule="auto"/>
              <w:rPr>
                <w:rFonts w:cs="Arial"/>
              </w:rPr>
            </w:pPr>
            <w:r w:rsidRPr="00C4084C">
              <w:rPr>
                <w:rFonts w:cs="Arial"/>
              </w:rPr>
              <w:t>National Centre for Student Equity in Higher Education</w:t>
            </w:r>
          </w:p>
        </w:tc>
      </w:tr>
      <w:tr w:rsidR="00261520" w:rsidRPr="00C4084C" w14:paraId="009DB737" w14:textId="77777777" w:rsidTr="003E5969">
        <w:trPr>
          <w:trHeight w:val="454"/>
        </w:trPr>
        <w:tc>
          <w:tcPr>
            <w:tcW w:w="2694" w:type="dxa"/>
          </w:tcPr>
          <w:p w14:paraId="741F9B00" w14:textId="3DE00C99" w:rsidR="00261520" w:rsidRPr="00C4084C" w:rsidRDefault="00261520" w:rsidP="00261520">
            <w:pPr>
              <w:spacing w:after="160" w:line="259" w:lineRule="auto"/>
              <w:rPr>
                <w:rFonts w:cs="Arial"/>
                <w:b/>
              </w:rPr>
            </w:pPr>
            <w:r w:rsidRPr="00C4084C">
              <w:rPr>
                <w:rFonts w:cs="Arial"/>
                <w:b/>
              </w:rPr>
              <w:t>NETM</w:t>
            </w:r>
          </w:p>
        </w:tc>
        <w:tc>
          <w:tcPr>
            <w:tcW w:w="6322" w:type="dxa"/>
          </w:tcPr>
          <w:p w14:paraId="7B8A3845" w14:textId="35553B79" w:rsidR="00261520" w:rsidRPr="00C4084C" w:rsidRDefault="00261520" w:rsidP="00261520">
            <w:pPr>
              <w:spacing w:after="160" w:line="259" w:lineRule="auto"/>
              <w:rPr>
                <w:rFonts w:cs="Arial"/>
              </w:rPr>
            </w:pPr>
            <w:r w:rsidRPr="00C4084C">
              <w:rPr>
                <w:rFonts w:cs="Arial"/>
              </w:rPr>
              <w:t>New Education and Training Model</w:t>
            </w:r>
          </w:p>
        </w:tc>
      </w:tr>
      <w:tr w:rsidR="00261520" w:rsidRPr="00C4084C" w14:paraId="07EE3ACD" w14:textId="77777777" w:rsidTr="003E5969">
        <w:trPr>
          <w:trHeight w:val="454"/>
        </w:trPr>
        <w:tc>
          <w:tcPr>
            <w:tcW w:w="2694" w:type="dxa"/>
          </w:tcPr>
          <w:p w14:paraId="3D8A6E1B" w14:textId="5D7424F3" w:rsidR="00261520" w:rsidRPr="00C4084C" w:rsidRDefault="00261520" w:rsidP="00261520">
            <w:pPr>
              <w:spacing w:after="160" w:line="259" w:lineRule="auto"/>
              <w:rPr>
                <w:rFonts w:cs="Arial"/>
                <w:b/>
              </w:rPr>
            </w:pPr>
            <w:r w:rsidRPr="00C4084C">
              <w:rPr>
                <w:rFonts w:cs="Arial"/>
                <w:b/>
              </w:rPr>
              <w:t>NHMRC</w:t>
            </w:r>
          </w:p>
        </w:tc>
        <w:tc>
          <w:tcPr>
            <w:tcW w:w="6322" w:type="dxa"/>
          </w:tcPr>
          <w:p w14:paraId="02AED356" w14:textId="461E30B8" w:rsidR="00261520" w:rsidRPr="00C4084C" w:rsidRDefault="00261520" w:rsidP="00261520">
            <w:pPr>
              <w:spacing w:after="160" w:line="259" w:lineRule="auto"/>
              <w:rPr>
                <w:rFonts w:cs="Arial"/>
              </w:rPr>
            </w:pPr>
            <w:r w:rsidRPr="00C4084C">
              <w:rPr>
                <w:rFonts w:cs="Arial"/>
              </w:rPr>
              <w:t>National Health and Medical Research Council</w:t>
            </w:r>
          </w:p>
        </w:tc>
      </w:tr>
      <w:tr w:rsidR="002B2C59" w:rsidRPr="00C4084C" w14:paraId="6B3D28D5" w14:textId="77777777" w:rsidTr="003E5969">
        <w:trPr>
          <w:trHeight w:val="454"/>
        </w:trPr>
        <w:tc>
          <w:tcPr>
            <w:tcW w:w="2694" w:type="dxa"/>
          </w:tcPr>
          <w:p w14:paraId="051D4A38" w14:textId="09E2E988" w:rsidR="002B2C59" w:rsidRPr="00C4084C" w:rsidRDefault="002B2C59" w:rsidP="00261520">
            <w:pPr>
              <w:spacing w:after="160"/>
              <w:rPr>
                <w:rFonts w:cs="Arial"/>
                <w:b/>
              </w:rPr>
            </w:pPr>
            <w:r w:rsidRPr="00C4084C">
              <w:rPr>
                <w:rFonts w:cs="Arial"/>
                <w:b/>
              </w:rPr>
              <w:t>NMF</w:t>
            </w:r>
          </w:p>
        </w:tc>
        <w:tc>
          <w:tcPr>
            <w:tcW w:w="6322" w:type="dxa"/>
          </w:tcPr>
          <w:p w14:paraId="4FB4EEE2" w14:textId="355098A9" w:rsidR="002B2C59" w:rsidRPr="00C4084C" w:rsidRDefault="002B2C59" w:rsidP="00261520">
            <w:pPr>
              <w:spacing w:after="160"/>
              <w:rPr>
                <w:rFonts w:cs="Arial"/>
              </w:rPr>
            </w:pPr>
            <w:r w:rsidRPr="00C4084C">
              <w:rPr>
                <w:rFonts w:cs="Arial"/>
              </w:rPr>
              <w:t xml:space="preserve">National </w:t>
            </w:r>
            <w:proofErr w:type="spellStart"/>
            <w:r w:rsidRPr="00C4084C">
              <w:rPr>
                <w:rFonts w:cs="Arial"/>
              </w:rPr>
              <w:t>Microcredentials</w:t>
            </w:r>
            <w:proofErr w:type="spellEnd"/>
            <w:r w:rsidRPr="00C4084C">
              <w:rPr>
                <w:rFonts w:cs="Arial"/>
              </w:rPr>
              <w:t xml:space="preserve"> Framework</w:t>
            </w:r>
          </w:p>
        </w:tc>
      </w:tr>
      <w:tr w:rsidR="00261520" w:rsidRPr="00C4084C" w14:paraId="1F861493" w14:textId="77777777" w:rsidTr="003E5969">
        <w:trPr>
          <w:trHeight w:val="454"/>
        </w:trPr>
        <w:tc>
          <w:tcPr>
            <w:tcW w:w="2694" w:type="dxa"/>
          </w:tcPr>
          <w:p w14:paraId="5952728F" w14:textId="1E9AA76A" w:rsidR="00261520" w:rsidRPr="00C4084C" w:rsidRDefault="00261520" w:rsidP="00261520">
            <w:pPr>
              <w:spacing w:after="160" w:line="259" w:lineRule="auto"/>
              <w:rPr>
                <w:rFonts w:cs="Arial"/>
                <w:b/>
              </w:rPr>
            </w:pPr>
            <w:r w:rsidRPr="00C4084C">
              <w:rPr>
                <w:rFonts w:cs="Arial"/>
                <w:b/>
              </w:rPr>
              <w:t>NPILF</w:t>
            </w:r>
          </w:p>
        </w:tc>
        <w:tc>
          <w:tcPr>
            <w:tcW w:w="6322" w:type="dxa"/>
          </w:tcPr>
          <w:p w14:paraId="4B01CF9A" w14:textId="02CF19AD" w:rsidR="00261520" w:rsidRPr="00C4084C" w:rsidRDefault="00261520" w:rsidP="00261520">
            <w:pPr>
              <w:spacing w:after="160" w:line="259" w:lineRule="auto"/>
              <w:rPr>
                <w:rFonts w:cs="Arial"/>
              </w:rPr>
            </w:pPr>
            <w:r w:rsidRPr="00C4084C">
              <w:rPr>
                <w:rFonts w:cs="Arial"/>
              </w:rPr>
              <w:t>National Priorities and Industry Linkage Fund</w:t>
            </w:r>
          </w:p>
        </w:tc>
      </w:tr>
      <w:tr w:rsidR="001C7573" w:rsidRPr="00C4084C" w14:paraId="1C0D9074" w14:textId="77777777" w:rsidTr="003E5969">
        <w:trPr>
          <w:trHeight w:val="454"/>
        </w:trPr>
        <w:tc>
          <w:tcPr>
            <w:tcW w:w="2694" w:type="dxa"/>
          </w:tcPr>
          <w:p w14:paraId="6B3A9212" w14:textId="69D97ADD" w:rsidR="001C7573" w:rsidRPr="00C4084C" w:rsidRDefault="001C7573" w:rsidP="00261520">
            <w:pPr>
              <w:rPr>
                <w:rFonts w:cs="Arial"/>
                <w:b/>
              </w:rPr>
            </w:pPr>
            <w:r w:rsidRPr="00C4084C">
              <w:rPr>
                <w:rFonts w:cs="Arial"/>
                <w:b/>
              </w:rPr>
              <w:t>NRI</w:t>
            </w:r>
          </w:p>
        </w:tc>
        <w:tc>
          <w:tcPr>
            <w:tcW w:w="6322" w:type="dxa"/>
          </w:tcPr>
          <w:p w14:paraId="41029B53" w14:textId="726A5EED" w:rsidR="001C7573" w:rsidRPr="00C4084C" w:rsidRDefault="001C7573" w:rsidP="00261520">
            <w:pPr>
              <w:rPr>
                <w:rFonts w:cs="Arial"/>
              </w:rPr>
            </w:pPr>
            <w:r w:rsidRPr="00C4084C">
              <w:rPr>
                <w:rFonts w:cs="Arial"/>
              </w:rPr>
              <w:t xml:space="preserve">National research infrastructure </w:t>
            </w:r>
          </w:p>
        </w:tc>
      </w:tr>
      <w:tr w:rsidR="003723A6" w:rsidRPr="00C4084C" w14:paraId="41B26193" w14:textId="77777777" w:rsidTr="003E5969">
        <w:trPr>
          <w:trHeight w:val="454"/>
        </w:trPr>
        <w:tc>
          <w:tcPr>
            <w:tcW w:w="2694" w:type="dxa"/>
          </w:tcPr>
          <w:p w14:paraId="366122FB" w14:textId="4B4B35C2" w:rsidR="003723A6" w:rsidRPr="00C4084C" w:rsidRDefault="003723A6" w:rsidP="00823E25">
            <w:pPr>
              <w:rPr>
                <w:rFonts w:cs="Arial"/>
                <w:b/>
              </w:rPr>
            </w:pPr>
            <w:r w:rsidRPr="00C4084C">
              <w:rPr>
                <w:rFonts w:cs="Arial"/>
                <w:b/>
              </w:rPr>
              <w:t>NSA</w:t>
            </w:r>
          </w:p>
        </w:tc>
        <w:tc>
          <w:tcPr>
            <w:tcW w:w="6322" w:type="dxa"/>
          </w:tcPr>
          <w:p w14:paraId="4787D991" w14:textId="77F34EFF" w:rsidR="003723A6" w:rsidRPr="00C4084C" w:rsidRDefault="003723A6" w:rsidP="00823E25">
            <w:pPr>
              <w:rPr>
                <w:rFonts w:cs="Arial"/>
              </w:rPr>
            </w:pPr>
            <w:r w:rsidRPr="00C4084C">
              <w:rPr>
                <w:rFonts w:cs="Arial"/>
              </w:rPr>
              <w:t>National Skills Agreement</w:t>
            </w:r>
          </w:p>
        </w:tc>
      </w:tr>
      <w:tr w:rsidR="00261520" w:rsidRPr="00C4084C" w14:paraId="1AF94DD8" w14:textId="77777777" w:rsidTr="003E5969">
        <w:trPr>
          <w:trHeight w:val="454"/>
        </w:trPr>
        <w:tc>
          <w:tcPr>
            <w:tcW w:w="2694" w:type="dxa"/>
          </w:tcPr>
          <w:p w14:paraId="2BD8590A" w14:textId="42C333E6" w:rsidR="00261520" w:rsidRPr="00C4084C" w:rsidRDefault="00261520" w:rsidP="00261520">
            <w:pPr>
              <w:spacing w:after="160" w:line="259" w:lineRule="auto"/>
              <w:rPr>
                <w:rFonts w:cs="Arial"/>
                <w:b/>
              </w:rPr>
            </w:pPr>
            <w:r w:rsidRPr="00C4084C">
              <w:rPr>
                <w:rFonts w:cs="Arial"/>
                <w:b/>
              </w:rPr>
              <w:t>NSRA</w:t>
            </w:r>
          </w:p>
        </w:tc>
        <w:tc>
          <w:tcPr>
            <w:tcW w:w="6322" w:type="dxa"/>
          </w:tcPr>
          <w:p w14:paraId="25DC997E" w14:textId="1570558C" w:rsidR="00261520" w:rsidRPr="00C4084C" w:rsidRDefault="00261520" w:rsidP="00261520">
            <w:pPr>
              <w:spacing w:after="160" w:line="259" w:lineRule="auto"/>
              <w:rPr>
                <w:rFonts w:cs="Arial"/>
              </w:rPr>
            </w:pPr>
            <w:r w:rsidRPr="00C4084C">
              <w:rPr>
                <w:rFonts w:cs="Arial"/>
              </w:rPr>
              <w:t>National School Reform Agreement</w:t>
            </w:r>
          </w:p>
        </w:tc>
      </w:tr>
      <w:tr w:rsidR="006D78FE" w:rsidRPr="00C4084C" w14:paraId="1854148F" w14:textId="77777777" w:rsidTr="003E5969">
        <w:trPr>
          <w:trHeight w:val="454"/>
        </w:trPr>
        <w:tc>
          <w:tcPr>
            <w:tcW w:w="2694" w:type="dxa"/>
          </w:tcPr>
          <w:p w14:paraId="7F162B43" w14:textId="7E82F7DF" w:rsidR="006D78FE" w:rsidRPr="00C4084C" w:rsidRDefault="006D78FE" w:rsidP="00261520">
            <w:pPr>
              <w:spacing w:after="160"/>
              <w:rPr>
                <w:rFonts w:cs="Arial"/>
                <w:b/>
              </w:rPr>
            </w:pPr>
            <w:r w:rsidRPr="00C4084C">
              <w:rPr>
                <w:rFonts w:cs="Arial"/>
                <w:b/>
              </w:rPr>
              <w:t>NSRP</w:t>
            </w:r>
          </w:p>
        </w:tc>
        <w:tc>
          <w:tcPr>
            <w:tcW w:w="6322" w:type="dxa"/>
          </w:tcPr>
          <w:p w14:paraId="1086A427" w14:textId="62FF11E5" w:rsidR="006D78FE" w:rsidRPr="00C4084C" w:rsidRDefault="006D78FE" w:rsidP="00261520">
            <w:pPr>
              <w:spacing w:after="160"/>
              <w:rPr>
                <w:rFonts w:cs="Arial"/>
              </w:rPr>
            </w:pPr>
            <w:r w:rsidRPr="00C4084C">
              <w:rPr>
                <w:rFonts w:cs="Arial"/>
              </w:rPr>
              <w:t>National Science and Research Priorities</w:t>
            </w:r>
          </w:p>
        </w:tc>
      </w:tr>
      <w:tr w:rsidR="00261520" w:rsidRPr="00C4084C" w14:paraId="7765DF29" w14:textId="77777777" w:rsidTr="003E5969">
        <w:trPr>
          <w:trHeight w:val="454"/>
        </w:trPr>
        <w:tc>
          <w:tcPr>
            <w:tcW w:w="2694" w:type="dxa"/>
          </w:tcPr>
          <w:p w14:paraId="692C0D7D" w14:textId="28A71F2E" w:rsidR="00261520" w:rsidRPr="00C4084C" w:rsidRDefault="00261520" w:rsidP="00261520">
            <w:pPr>
              <w:spacing w:after="160" w:line="259" w:lineRule="auto"/>
              <w:rPr>
                <w:rFonts w:cs="Arial"/>
                <w:b/>
                <w:bCs/>
              </w:rPr>
            </w:pPr>
            <w:r w:rsidRPr="00C4084C">
              <w:rPr>
                <w:rFonts w:cs="Arial"/>
                <w:b/>
              </w:rPr>
              <w:t>NUHEPs</w:t>
            </w:r>
          </w:p>
        </w:tc>
        <w:tc>
          <w:tcPr>
            <w:tcW w:w="6322" w:type="dxa"/>
          </w:tcPr>
          <w:p w14:paraId="5A0E7330" w14:textId="48B9E827" w:rsidR="00261520" w:rsidRPr="00C4084C" w:rsidRDefault="00261520" w:rsidP="00261520">
            <w:pPr>
              <w:spacing w:after="160" w:line="259" w:lineRule="auto"/>
              <w:rPr>
                <w:rFonts w:cs="Arial"/>
              </w:rPr>
            </w:pPr>
            <w:r w:rsidRPr="00C4084C">
              <w:rPr>
                <w:rFonts w:cs="Arial"/>
              </w:rPr>
              <w:t>Non-university higher education providers</w:t>
            </w:r>
          </w:p>
        </w:tc>
      </w:tr>
      <w:tr w:rsidR="00261520" w:rsidRPr="00C4084C" w14:paraId="1342719B" w14:textId="77777777" w:rsidTr="003E5969">
        <w:trPr>
          <w:trHeight w:val="454"/>
        </w:trPr>
        <w:tc>
          <w:tcPr>
            <w:tcW w:w="2694" w:type="dxa"/>
          </w:tcPr>
          <w:p w14:paraId="1A2F2939" w14:textId="27E22327" w:rsidR="00261520" w:rsidRPr="00C4084C" w:rsidRDefault="00261520" w:rsidP="00261520">
            <w:pPr>
              <w:spacing w:after="160" w:line="259" w:lineRule="auto"/>
              <w:rPr>
                <w:rFonts w:cs="Arial"/>
                <w:b/>
              </w:rPr>
            </w:pPr>
            <w:r w:rsidRPr="00C4084C">
              <w:rPr>
                <w:rFonts w:cs="Arial"/>
                <w:b/>
                <w:bCs/>
              </w:rPr>
              <w:t>OE</w:t>
            </w:r>
          </w:p>
        </w:tc>
        <w:tc>
          <w:tcPr>
            <w:tcW w:w="6322" w:type="dxa"/>
          </w:tcPr>
          <w:p w14:paraId="1E4D36F7" w14:textId="2331EF8D" w:rsidR="00261520" w:rsidRPr="00C4084C" w:rsidRDefault="00261520" w:rsidP="00261520">
            <w:pPr>
              <w:spacing w:after="160" w:line="259" w:lineRule="auto"/>
              <w:rPr>
                <w:rFonts w:cs="Arial"/>
              </w:rPr>
            </w:pPr>
            <w:r w:rsidRPr="00C4084C">
              <w:rPr>
                <w:rFonts w:cs="Arial"/>
              </w:rPr>
              <w:t>Oxford Economics</w:t>
            </w:r>
            <w:r w:rsidR="003723A6" w:rsidRPr="00C4084C">
              <w:rPr>
                <w:rFonts w:cs="Arial"/>
              </w:rPr>
              <w:t xml:space="preserve"> Australia</w:t>
            </w:r>
          </w:p>
        </w:tc>
      </w:tr>
      <w:tr w:rsidR="00261520" w:rsidRPr="00C4084C" w14:paraId="21B40A7C" w14:textId="77777777" w:rsidTr="003E5969">
        <w:trPr>
          <w:trHeight w:val="379"/>
        </w:trPr>
        <w:tc>
          <w:tcPr>
            <w:tcW w:w="2694" w:type="dxa"/>
          </w:tcPr>
          <w:p w14:paraId="770D12E9" w14:textId="547BFB6C" w:rsidR="00261520" w:rsidRPr="00C4084C" w:rsidRDefault="00261520" w:rsidP="00261520">
            <w:pPr>
              <w:spacing w:after="160" w:line="259" w:lineRule="auto"/>
              <w:rPr>
                <w:rFonts w:cs="Arial"/>
                <w:b/>
              </w:rPr>
            </w:pPr>
            <w:r w:rsidRPr="00C4084C">
              <w:rPr>
                <w:rFonts w:cs="Arial"/>
                <w:b/>
              </w:rPr>
              <w:t>OECD</w:t>
            </w:r>
          </w:p>
        </w:tc>
        <w:tc>
          <w:tcPr>
            <w:tcW w:w="6322" w:type="dxa"/>
          </w:tcPr>
          <w:p w14:paraId="4B9B590C" w14:textId="67343B97" w:rsidR="00261520" w:rsidRPr="00C4084C" w:rsidRDefault="00261520" w:rsidP="00261520">
            <w:pPr>
              <w:spacing w:after="160" w:line="259" w:lineRule="auto"/>
              <w:rPr>
                <w:rFonts w:cs="Arial"/>
              </w:rPr>
            </w:pPr>
            <w:r w:rsidRPr="00C4084C">
              <w:rPr>
                <w:rFonts w:cs="Arial"/>
              </w:rPr>
              <w:t>Organisation for Economic Co-operation and Development</w:t>
            </w:r>
          </w:p>
        </w:tc>
      </w:tr>
      <w:tr w:rsidR="00261520" w:rsidRPr="00C4084C" w14:paraId="2AC9E4F6" w14:textId="77777777" w:rsidTr="003E5969">
        <w:trPr>
          <w:trHeight w:val="454"/>
        </w:trPr>
        <w:tc>
          <w:tcPr>
            <w:tcW w:w="2694" w:type="dxa"/>
          </w:tcPr>
          <w:p w14:paraId="13030AD2" w14:textId="58CC16EB" w:rsidR="00261520" w:rsidRPr="00C4084C" w:rsidRDefault="00261520" w:rsidP="00261520">
            <w:pPr>
              <w:spacing w:after="160" w:line="259" w:lineRule="auto"/>
              <w:rPr>
                <w:rFonts w:cs="Arial"/>
                <w:b/>
              </w:rPr>
            </w:pPr>
            <w:r w:rsidRPr="00C4084C">
              <w:rPr>
                <w:rFonts w:cs="Arial"/>
                <w:b/>
              </w:rPr>
              <w:t>OLT</w:t>
            </w:r>
          </w:p>
        </w:tc>
        <w:tc>
          <w:tcPr>
            <w:tcW w:w="6322" w:type="dxa"/>
          </w:tcPr>
          <w:p w14:paraId="76C2D09C" w14:textId="44824441" w:rsidR="00261520" w:rsidRPr="00C4084C" w:rsidRDefault="00261520" w:rsidP="00261520">
            <w:pPr>
              <w:spacing w:after="160" w:line="259" w:lineRule="auto"/>
              <w:rPr>
                <w:rFonts w:cs="Arial"/>
              </w:rPr>
            </w:pPr>
            <w:r w:rsidRPr="00C4084C">
              <w:rPr>
                <w:rFonts w:cs="Arial"/>
              </w:rPr>
              <w:t>Office for Learning and Teaching</w:t>
            </w:r>
          </w:p>
        </w:tc>
      </w:tr>
      <w:tr w:rsidR="00676610" w:rsidRPr="00C4084C" w14:paraId="75CD3824" w14:textId="77777777" w:rsidTr="003E5969">
        <w:trPr>
          <w:trHeight w:val="454"/>
        </w:trPr>
        <w:tc>
          <w:tcPr>
            <w:tcW w:w="2694" w:type="dxa"/>
          </w:tcPr>
          <w:p w14:paraId="3D198346" w14:textId="6E72EDA8" w:rsidR="00676610" w:rsidRPr="00C4084C" w:rsidRDefault="00BF71AE" w:rsidP="00261520">
            <w:pPr>
              <w:rPr>
                <w:rFonts w:cs="Arial"/>
                <w:b/>
              </w:rPr>
            </w:pPr>
            <w:r w:rsidRPr="00C4084C">
              <w:rPr>
                <w:rFonts w:cs="Arial"/>
                <w:b/>
              </w:rPr>
              <w:t>PBC</w:t>
            </w:r>
          </w:p>
        </w:tc>
        <w:tc>
          <w:tcPr>
            <w:tcW w:w="6322" w:type="dxa"/>
          </w:tcPr>
          <w:p w14:paraId="16CDF218" w14:textId="5CA21C9F" w:rsidR="00676610" w:rsidRPr="00C4084C" w:rsidRDefault="00BF71AE" w:rsidP="00261520">
            <w:pPr>
              <w:rPr>
                <w:rFonts w:cs="Arial"/>
              </w:rPr>
            </w:pPr>
            <w:r w:rsidRPr="00C4084C">
              <w:rPr>
                <w:rFonts w:cs="Arial"/>
              </w:rPr>
              <w:t xml:space="preserve">Public Benefit Contribution </w:t>
            </w:r>
          </w:p>
        </w:tc>
      </w:tr>
      <w:tr w:rsidR="003723A6" w:rsidRPr="00C4084C" w14:paraId="1C84BC05" w14:textId="77777777" w:rsidTr="003E5969">
        <w:trPr>
          <w:trHeight w:val="454"/>
        </w:trPr>
        <w:tc>
          <w:tcPr>
            <w:tcW w:w="2694" w:type="dxa"/>
          </w:tcPr>
          <w:p w14:paraId="479B66BC" w14:textId="411DE1ED" w:rsidR="003723A6" w:rsidRPr="00C4084C" w:rsidRDefault="003723A6" w:rsidP="00823E25">
            <w:pPr>
              <w:rPr>
                <w:rFonts w:cs="Arial"/>
                <w:b/>
              </w:rPr>
            </w:pPr>
            <w:r w:rsidRPr="00C4084C">
              <w:rPr>
                <w:rFonts w:cs="Arial"/>
                <w:b/>
              </w:rPr>
              <w:t>PBSA</w:t>
            </w:r>
          </w:p>
        </w:tc>
        <w:tc>
          <w:tcPr>
            <w:tcW w:w="6322" w:type="dxa"/>
          </w:tcPr>
          <w:p w14:paraId="2FC10FB7" w14:textId="63E52089" w:rsidR="003723A6" w:rsidRPr="00C4084C" w:rsidRDefault="003723A6" w:rsidP="00823E25">
            <w:pPr>
              <w:rPr>
                <w:rFonts w:cs="Arial"/>
              </w:rPr>
            </w:pPr>
            <w:r w:rsidRPr="00C4084C">
              <w:rPr>
                <w:rFonts w:cs="Arial"/>
              </w:rPr>
              <w:t>Purpose Built Student Accommodation</w:t>
            </w:r>
          </w:p>
        </w:tc>
      </w:tr>
      <w:tr w:rsidR="00261520" w:rsidRPr="00C4084C" w14:paraId="6C881FBC" w14:textId="77777777" w:rsidTr="003E5969">
        <w:trPr>
          <w:trHeight w:val="454"/>
        </w:trPr>
        <w:tc>
          <w:tcPr>
            <w:tcW w:w="2694" w:type="dxa"/>
          </w:tcPr>
          <w:p w14:paraId="1E61879D" w14:textId="73AE1DE2" w:rsidR="00261520" w:rsidRPr="00C4084C" w:rsidRDefault="00261520" w:rsidP="00261520">
            <w:pPr>
              <w:spacing w:line="259" w:lineRule="auto"/>
              <w:rPr>
                <w:rFonts w:cs="Arial"/>
                <w:b/>
                <w:bCs/>
              </w:rPr>
            </w:pPr>
            <w:r w:rsidRPr="00C4084C">
              <w:rPr>
                <w:rFonts w:cs="Arial"/>
                <w:b/>
              </w:rPr>
              <w:t>PCS</w:t>
            </w:r>
          </w:p>
        </w:tc>
        <w:tc>
          <w:tcPr>
            <w:tcW w:w="6322" w:type="dxa"/>
          </w:tcPr>
          <w:p w14:paraId="1E9C4823" w14:textId="72816975" w:rsidR="00261520" w:rsidRPr="00C4084C" w:rsidRDefault="00261520" w:rsidP="00261520">
            <w:pPr>
              <w:spacing w:line="259" w:lineRule="auto"/>
              <w:rPr>
                <w:rFonts w:cs="Arial"/>
              </w:rPr>
            </w:pPr>
            <w:r w:rsidRPr="00C4084C">
              <w:rPr>
                <w:rFonts w:cs="Arial"/>
              </w:rPr>
              <w:t>Provider Category Standards</w:t>
            </w:r>
          </w:p>
        </w:tc>
      </w:tr>
      <w:tr w:rsidR="00261520" w:rsidRPr="00C4084C" w14:paraId="1FBE3590" w14:textId="77777777" w:rsidTr="003E5969">
        <w:trPr>
          <w:trHeight w:val="454"/>
        </w:trPr>
        <w:tc>
          <w:tcPr>
            <w:tcW w:w="2694" w:type="dxa"/>
          </w:tcPr>
          <w:p w14:paraId="3D3651E7" w14:textId="47813FA3" w:rsidR="00261520" w:rsidRPr="00C4084C" w:rsidRDefault="00261520" w:rsidP="00261520">
            <w:pPr>
              <w:rPr>
                <w:rFonts w:cs="Arial"/>
                <w:b/>
              </w:rPr>
            </w:pPr>
            <w:r w:rsidRPr="00C4084C">
              <w:rPr>
                <w:rFonts w:cs="Arial"/>
                <w:b/>
                <w:bCs/>
              </w:rPr>
              <w:t>PFRA</w:t>
            </w:r>
          </w:p>
        </w:tc>
        <w:tc>
          <w:tcPr>
            <w:tcW w:w="6322" w:type="dxa"/>
          </w:tcPr>
          <w:p w14:paraId="67F0E641" w14:textId="11F8C310" w:rsidR="00261520" w:rsidRPr="00C4084C" w:rsidRDefault="00261520" w:rsidP="00261520">
            <w:pPr>
              <w:rPr>
                <w:rFonts w:cs="Arial"/>
              </w:rPr>
            </w:pPr>
            <w:r w:rsidRPr="00C4084C">
              <w:rPr>
                <w:rFonts w:cs="Arial"/>
              </w:rPr>
              <w:t>Public Funded Research Agency</w:t>
            </w:r>
          </w:p>
        </w:tc>
      </w:tr>
      <w:tr w:rsidR="00261520" w:rsidRPr="00C4084C" w14:paraId="15D9F277" w14:textId="77777777" w:rsidTr="003E5969">
        <w:trPr>
          <w:trHeight w:val="454"/>
        </w:trPr>
        <w:tc>
          <w:tcPr>
            <w:tcW w:w="2694" w:type="dxa"/>
          </w:tcPr>
          <w:p w14:paraId="5F19A901" w14:textId="6E2D7D14" w:rsidR="00261520" w:rsidRPr="00C4084C" w:rsidRDefault="00261520" w:rsidP="00261520">
            <w:pPr>
              <w:spacing w:after="160" w:line="259" w:lineRule="auto"/>
              <w:rPr>
                <w:rFonts w:cs="Arial"/>
                <w:b/>
              </w:rPr>
            </w:pPr>
            <w:r w:rsidRPr="00C4084C">
              <w:rPr>
                <w:rFonts w:cs="Arial"/>
                <w:b/>
              </w:rPr>
              <w:t>PhD</w:t>
            </w:r>
          </w:p>
        </w:tc>
        <w:tc>
          <w:tcPr>
            <w:tcW w:w="6322" w:type="dxa"/>
          </w:tcPr>
          <w:p w14:paraId="76758771" w14:textId="2855C61A" w:rsidR="00261520" w:rsidRPr="00C4084C" w:rsidRDefault="00261520" w:rsidP="00261520">
            <w:pPr>
              <w:spacing w:after="160" w:line="259" w:lineRule="auto"/>
              <w:rPr>
                <w:rFonts w:cs="Arial"/>
              </w:rPr>
            </w:pPr>
            <w:r w:rsidRPr="00C4084C">
              <w:rPr>
                <w:rFonts w:cs="Arial"/>
              </w:rPr>
              <w:t>Doctor of Philosophy</w:t>
            </w:r>
          </w:p>
        </w:tc>
      </w:tr>
      <w:tr w:rsidR="00435604" w:rsidRPr="00C4084C" w14:paraId="485AE538" w14:textId="77777777" w:rsidTr="003E5969">
        <w:trPr>
          <w:trHeight w:val="454"/>
        </w:trPr>
        <w:tc>
          <w:tcPr>
            <w:tcW w:w="2694" w:type="dxa"/>
          </w:tcPr>
          <w:p w14:paraId="49B62B85" w14:textId="61854321" w:rsidR="00435604" w:rsidRPr="00C4084C" w:rsidRDefault="00435604" w:rsidP="00261520">
            <w:pPr>
              <w:spacing w:after="160"/>
              <w:rPr>
                <w:rFonts w:cs="Arial"/>
                <w:b/>
              </w:rPr>
            </w:pPr>
            <w:r w:rsidRPr="00C4084C">
              <w:rPr>
                <w:rFonts w:cs="Arial"/>
                <w:b/>
              </w:rPr>
              <w:t>PISA</w:t>
            </w:r>
          </w:p>
        </w:tc>
        <w:tc>
          <w:tcPr>
            <w:tcW w:w="6322" w:type="dxa"/>
          </w:tcPr>
          <w:p w14:paraId="6CB073E4" w14:textId="7CA5D57C" w:rsidR="00435604" w:rsidRPr="00C4084C" w:rsidRDefault="00435604" w:rsidP="00261520">
            <w:pPr>
              <w:spacing w:after="160"/>
              <w:rPr>
                <w:rFonts w:cs="Arial"/>
              </w:rPr>
            </w:pPr>
            <w:r w:rsidRPr="00C4084C">
              <w:rPr>
                <w:rFonts w:cs="Arial"/>
              </w:rPr>
              <w:t xml:space="preserve">Programme for International Student Assessment </w:t>
            </w:r>
          </w:p>
        </w:tc>
      </w:tr>
      <w:tr w:rsidR="00261520" w:rsidRPr="00C4084C" w14:paraId="75CABBAB" w14:textId="77777777" w:rsidTr="003E5969">
        <w:trPr>
          <w:trHeight w:val="454"/>
        </w:trPr>
        <w:tc>
          <w:tcPr>
            <w:tcW w:w="2694" w:type="dxa"/>
          </w:tcPr>
          <w:p w14:paraId="65376ECF" w14:textId="20816F92" w:rsidR="00261520" w:rsidRPr="00C4084C" w:rsidRDefault="00261520" w:rsidP="00261520">
            <w:pPr>
              <w:spacing w:after="160" w:line="259" w:lineRule="auto"/>
              <w:rPr>
                <w:rFonts w:cs="Arial"/>
                <w:b/>
              </w:rPr>
            </w:pPr>
            <w:r w:rsidRPr="00C4084C">
              <w:rPr>
                <w:rFonts w:cs="Arial"/>
                <w:b/>
              </w:rPr>
              <w:t>PSWR</w:t>
            </w:r>
          </w:p>
        </w:tc>
        <w:tc>
          <w:tcPr>
            <w:tcW w:w="6322" w:type="dxa"/>
          </w:tcPr>
          <w:p w14:paraId="1AA2E227" w14:textId="0115A3C8" w:rsidR="00261520" w:rsidRPr="00C4084C" w:rsidRDefault="00261520" w:rsidP="00261520">
            <w:pPr>
              <w:spacing w:after="160" w:line="259" w:lineRule="auto"/>
              <w:rPr>
                <w:rFonts w:cs="Arial"/>
              </w:rPr>
            </w:pPr>
            <w:r w:rsidRPr="00C4084C">
              <w:rPr>
                <w:rFonts w:cs="Arial"/>
              </w:rPr>
              <w:t>Post-study work rights</w:t>
            </w:r>
          </w:p>
        </w:tc>
      </w:tr>
      <w:tr w:rsidR="00261520" w:rsidRPr="00C4084C" w14:paraId="012E7B84" w14:textId="77777777" w:rsidTr="003E5969">
        <w:trPr>
          <w:trHeight w:val="454"/>
        </w:trPr>
        <w:tc>
          <w:tcPr>
            <w:tcW w:w="2694" w:type="dxa"/>
          </w:tcPr>
          <w:p w14:paraId="7D8E9697" w14:textId="3DB974AF" w:rsidR="00261520" w:rsidRPr="00C4084C" w:rsidRDefault="00261520" w:rsidP="00261520">
            <w:pPr>
              <w:spacing w:after="160" w:line="259" w:lineRule="auto"/>
              <w:rPr>
                <w:rFonts w:cs="Arial"/>
                <w:b/>
              </w:rPr>
            </w:pPr>
            <w:r w:rsidRPr="00C4084C">
              <w:rPr>
                <w:rFonts w:cs="Arial"/>
                <w:b/>
              </w:rPr>
              <w:t>QILT</w:t>
            </w:r>
          </w:p>
        </w:tc>
        <w:tc>
          <w:tcPr>
            <w:tcW w:w="6322" w:type="dxa"/>
          </w:tcPr>
          <w:p w14:paraId="62340847" w14:textId="302A68A8" w:rsidR="00261520" w:rsidRPr="00C4084C" w:rsidRDefault="00261520" w:rsidP="00261520">
            <w:pPr>
              <w:spacing w:after="160" w:line="259" w:lineRule="auto"/>
              <w:rPr>
                <w:rFonts w:cs="Arial"/>
              </w:rPr>
            </w:pPr>
            <w:r w:rsidRPr="00C4084C">
              <w:rPr>
                <w:rFonts w:cs="Arial"/>
              </w:rPr>
              <w:t>Quality Indicators for Learning and Teaching</w:t>
            </w:r>
          </w:p>
        </w:tc>
      </w:tr>
      <w:tr w:rsidR="00261520" w:rsidRPr="00C4084C" w14:paraId="3B0D4E96" w14:textId="77777777" w:rsidTr="003E5969">
        <w:trPr>
          <w:trHeight w:val="454"/>
        </w:trPr>
        <w:tc>
          <w:tcPr>
            <w:tcW w:w="2694" w:type="dxa"/>
          </w:tcPr>
          <w:p w14:paraId="6F4523C2" w14:textId="55D368B9" w:rsidR="00261520" w:rsidRPr="00C4084C" w:rsidRDefault="00261520" w:rsidP="00261520">
            <w:pPr>
              <w:rPr>
                <w:rFonts w:cs="Arial"/>
                <w:b/>
              </w:rPr>
            </w:pPr>
            <w:r w:rsidRPr="00C4084C">
              <w:rPr>
                <w:rFonts w:cs="Arial"/>
                <w:b/>
              </w:rPr>
              <w:t>R&amp;D</w:t>
            </w:r>
          </w:p>
        </w:tc>
        <w:tc>
          <w:tcPr>
            <w:tcW w:w="6322" w:type="dxa"/>
          </w:tcPr>
          <w:p w14:paraId="4A79BB25" w14:textId="11819D92" w:rsidR="00261520" w:rsidRPr="00C4084C" w:rsidRDefault="00261520" w:rsidP="00261520">
            <w:pPr>
              <w:rPr>
                <w:rFonts w:cs="Arial"/>
              </w:rPr>
            </w:pPr>
            <w:r w:rsidRPr="00C4084C">
              <w:rPr>
                <w:rFonts w:cs="Arial"/>
              </w:rPr>
              <w:t>Research and development</w:t>
            </w:r>
          </w:p>
        </w:tc>
      </w:tr>
      <w:tr w:rsidR="00261520" w:rsidRPr="00C4084C" w14:paraId="43F85199" w14:textId="77777777" w:rsidTr="003E5969">
        <w:trPr>
          <w:trHeight w:val="454"/>
        </w:trPr>
        <w:tc>
          <w:tcPr>
            <w:tcW w:w="2694" w:type="dxa"/>
          </w:tcPr>
          <w:p w14:paraId="088CA9A9" w14:textId="2E945D40" w:rsidR="00261520" w:rsidRPr="00C4084C" w:rsidRDefault="00261520" w:rsidP="00261520">
            <w:pPr>
              <w:rPr>
                <w:rFonts w:cs="Arial"/>
                <w:b/>
              </w:rPr>
            </w:pPr>
            <w:r w:rsidRPr="00C4084C">
              <w:rPr>
                <w:rFonts w:cs="Arial"/>
                <w:b/>
              </w:rPr>
              <w:t>RDCs</w:t>
            </w:r>
          </w:p>
        </w:tc>
        <w:tc>
          <w:tcPr>
            <w:tcW w:w="6322" w:type="dxa"/>
          </w:tcPr>
          <w:p w14:paraId="175571B8" w14:textId="44CFF9C7" w:rsidR="00261520" w:rsidRPr="00C4084C" w:rsidRDefault="00261520" w:rsidP="00261520">
            <w:pPr>
              <w:rPr>
                <w:rFonts w:cs="Arial"/>
              </w:rPr>
            </w:pPr>
            <w:r w:rsidRPr="00C4084C">
              <w:rPr>
                <w:rFonts w:cs="Arial"/>
              </w:rPr>
              <w:t>Research and Development Corporations</w:t>
            </w:r>
          </w:p>
        </w:tc>
      </w:tr>
      <w:tr w:rsidR="00261520" w:rsidRPr="00C4084C" w14:paraId="63D9B789" w14:textId="77777777" w:rsidTr="003E5969">
        <w:trPr>
          <w:trHeight w:val="454"/>
        </w:trPr>
        <w:tc>
          <w:tcPr>
            <w:tcW w:w="2694" w:type="dxa"/>
          </w:tcPr>
          <w:p w14:paraId="285F2570" w14:textId="28D2402C" w:rsidR="00261520" w:rsidRPr="00C4084C" w:rsidRDefault="00261520" w:rsidP="00261520">
            <w:pPr>
              <w:rPr>
                <w:rFonts w:cs="Arial"/>
                <w:b/>
              </w:rPr>
            </w:pPr>
            <w:r w:rsidRPr="00C4084C">
              <w:rPr>
                <w:rFonts w:cs="Arial"/>
                <w:b/>
              </w:rPr>
              <w:t>RDTI</w:t>
            </w:r>
          </w:p>
        </w:tc>
        <w:tc>
          <w:tcPr>
            <w:tcW w:w="6322" w:type="dxa"/>
          </w:tcPr>
          <w:p w14:paraId="652BFEC5" w14:textId="564BEBE1" w:rsidR="00261520" w:rsidRPr="00C4084C" w:rsidRDefault="00261520" w:rsidP="00261520">
            <w:pPr>
              <w:rPr>
                <w:rFonts w:cs="Arial"/>
              </w:rPr>
            </w:pPr>
            <w:r w:rsidRPr="00C4084C">
              <w:rPr>
                <w:rFonts w:cs="Arial"/>
              </w:rPr>
              <w:t>Research and Development Tax Incentive</w:t>
            </w:r>
          </w:p>
        </w:tc>
      </w:tr>
      <w:tr w:rsidR="00C64636" w:rsidRPr="00C4084C" w14:paraId="46A4D360" w14:textId="77777777" w:rsidTr="003E5969">
        <w:trPr>
          <w:trHeight w:val="454"/>
        </w:trPr>
        <w:tc>
          <w:tcPr>
            <w:tcW w:w="2694" w:type="dxa"/>
          </w:tcPr>
          <w:p w14:paraId="2752CB6F" w14:textId="3ED2F662" w:rsidR="00C64636" w:rsidRPr="00C4084C" w:rsidRDefault="00C64636" w:rsidP="00261520">
            <w:pPr>
              <w:rPr>
                <w:rFonts w:cs="Arial"/>
                <w:b/>
              </w:rPr>
            </w:pPr>
            <w:r w:rsidRPr="00C4084C">
              <w:rPr>
                <w:rFonts w:cs="Arial"/>
                <w:b/>
              </w:rPr>
              <w:t>RFM</w:t>
            </w:r>
          </w:p>
        </w:tc>
        <w:tc>
          <w:tcPr>
            <w:tcW w:w="6322" w:type="dxa"/>
          </w:tcPr>
          <w:p w14:paraId="2E532450" w14:textId="5CEB2728" w:rsidR="00C64636" w:rsidRPr="00C4084C" w:rsidRDefault="004B51CE" w:rsidP="00261520">
            <w:pPr>
              <w:rPr>
                <w:rFonts w:cs="Arial"/>
              </w:rPr>
            </w:pPr>
            <w:r w:rsidRPr="00C4084C">
              <w:rPr>
                <w:rFonts w:cs="Arial"/>
              </w:rPr>
              <w:t>Relative Funding Model</w:t>
            </w:r>
          </w:p>
        </w:tc>
      </w:tr>
      <w:tr w:rsidR="00261520" w:rsidRPr="00C4084C" w14:paraId="05A74E55" w14:textId="77777777" w:rsidTr="003E5969">
        <w:trPr>
          <w:trHeight w:val="454"/>
        </w:trPr>
        <w:tc>
          <w:tcPr>
            <w:tcW w:w="2694" w:type="dxa"/>
          </w:tcPr>
          <w:p w14:paraId="68ADB5A4" w14:textId="0B79C3BB" w:rsidR="00261520" w:rsidRPr="00C4084C" w:rsidRDefault="00261520" w:rsidP="00261520">
            <w:pPr>
              <w:rPr>
                <w:rFonts w:cs="Arial"/>
                <w:b/>
              </w:rPr>
            </w:pPr>
            <w:r w:rsidRPr="00C4084C">
              <w:rPr>
                <w:rFonts w:cs="Arial"/>
                <w:b/>
              </w:rPr>
              <w:t>RMIT</w:t>
            </w:r>
          </w:p>
        </w:tc>
        <w:tc>
          <w:tcPr>
            <w:tcW w:w="6322" w:type="dxa"/>
          </w:tcPr>
          <w:p w14:paraId="6B1E54C7" w14:textId="64FC0996" w:rsidR="00261520" w:rsidRPr="00C4084C" w:rsidRDefault="00261520" w:rsidP="00261520">
            <w:pPr>
              <w:rPr>
                <w:rFonts w:cs="Arial"/>
              </w:rPr>
            </w:pPr>
            <w:r w:rsidRPr="00C4084C">
              <w:rPr>
                <w:rFonts w:cs="Arial"/>
              </w:rPr>
              <w:t xml:space="preserve">Royal Melbourne Institute of Technology </w:t>
            </w:r>
          </w:p>
        </w:tc>
      </w:tr>
      <w:tr w:rsidR="00BF71AE" w:rsidRPr="00C4084C" w14:paraId="7D709F13" w14:textId="77777777" w:rsidTr="003E5969">
        <w:trPr>
          <w:trHeight w:val="454"/>
        </w:trPr>
        <w:tc>
          <w:tcPr>
            <w:tcW w:w="2694" w:type="dxa"/>
          </w:tcPr>
          <w:p w14:paraId="0C371400" w14:textId="343567D7" w:rsidR="00BF71AE" w:rsidRPr="00C4084C" w:rsidRDefault="00BF71AE" w:rsidP="00BF71AE">
            <w:pPr>
              <w:rPr>
                <w:rFonts w:cs="Arial"/>
                <w:b/>
              </w:rPr>
            </w:pPr>
            <w:r w:rsidRPr="00C4084C">
              <w:rPr>
                <w:rFonts w:cs="Arial"/>
                <w:b/>
              </w:rPr>
              <w:lastRenderedPageBreak/>
              <w:t>RPL</w:t>
            </w:r>
          </w:p>
        </w:tc>
        <w:tc>
          <w:tcPr>
            <w:tcW w:w="6322" w:type="dxa"/>
          </w:tcPr>
          <w:p w14:paraId="3806F1A2" w14:textId="40B68B05" w:rsidR="00BF71AE" w:rsidRPr="00C4084C" w:rsidRDefault="00BF71AE" w:rsidP="00BF71AE">
            <w:pPr>
              <w:rPr>
                <w:rFonts w:cs="Arial"/>
              </w:rPr>
            </w:pPr>
            <w:r w:rsidRPr="00C4084C">
              <w:rPr>
                <w:rFonts w:cs="Arial"/>
              </w:rPr>
              <w:t>Recognition of prior learning</w:t>
            </w:r>
          </w:p>
        </w:tc>
      </w:tr>
      <w:tr w:rsidR="00BF71AE" w:rsidRPr="00C4084C" w14:paraId="65C39FD4" w14:textId="77777777" w:rsidTr="003E5969">
        <w:trPr>
          <w:trHeight w:val="454"/>
        </w:trPr>
        <w:tc>
          <w:tcPr>
            <w:tcW w:w="2694" w:type="dxa"/>
          </w:tcPr>
          <w:p w14:paraId="64EA59C4" w14:textId="08803E69" w:rsidR="00BF71AE" w:rsidRPr="00C4084C" w:rsidRDefault="00BF71AE" w:rsidP="00BF71AE">
            <w:pPr>
              <w:rPr>
                <w:rFonts w:cs="Arial"/>
                <w:b/>
                <w:bCs/>
              </w:rPr>
            </w:pPr>
            <w:r w:rsidRPr="00C4084C">
              <w:rPr>
                <w:rFonts w:cs="Arial"/>
                <w:b/>
                <w:bCs/>
              </w:rPr>
              <w:t>RSP</w:t>
            </w:r>
          </w:p>
        </w:tc>
        <w:tc>
          <w:tcPr>
            <w:tcW w:w="6322" w:type="dxa"/>
          </w:tcPr>
          <w:p w14:paraId="0D829610" w14:textId="6E9DA25B" w:rsidR="00BF71AE" w:rsidRPr="00C4084C" w:rsidRDefault="00BF71AE" w:rsidP="00BF71AE">
            <w:pPr>
              <w:rPr>
                <w:rFonts w:cs="Arial"/>
              </w:rPr>
            </w:pPr>
            <w:r w:rsidRPr="00C4084C">
              <w:rPr>
                <w:rFonts w:cs="Arial"/>
              </w:rPr>
              <w:t>Research Support Program</w:t>
            </w:r>
          </w:p>
        </w:tc>
      </w:tr>
      <w:tr w:rsidR="00261520" w:rsidRPr="00C4084C" w14:paraId="02FC0009" w14:textId="77777777" w:rsidTr="003E5969">
        <w:trPr>
          <w:trHeight w:val="454"/>
        </w:trPr>
        <w:tc>
          <w:tcPr>
            <w:tcW w:w="2694" w:type="dxa"/>
          </w:tcPr>
          <w:p w14:paraId="3D41B24F" w14:textId="5CEC3BA1" w:rsidR="00261520" w:rsidRPr="00C4084C" w:rsidRDefault="00261520" w:rsidP="00261520">
            <w:pPr>
              <w:rPr>
                <w:rFonts w:cs="Arial"/>
                <w:b/>
              </w:rPr>
            </w:pPr>
            <w:r w:rsidRPr="00C4084C">
              <w:rPr>
                <w:rFonts w:cs="Arial"/>
                <w:b/>
                <w:bCs/>
              </w:rPr>
              <w:t>RTG</w:t>
            </w:r>
          </w:p>
        </w:tc>
        <w:tc>
          <w:tcPr>
            <w:tcW w:w="6322" w:type="dxa"/>
          </w:tcPr>
          <w:p w14:paraId="1C62524C" w14:textId="6DB88606" w:rsidR="00261520" w:rsidRPr="00C4084C" w:rsidRDefault="00261520" w:rsidP="00261520">
            <w:pPr>
              <w:rPr>
                <w:rFonts w:cs="Arial"/>
              </w:rPr>
            </w:pPr>
            <w:r w:rsidRPr="00C4084C">
              <w:rPr>
                <w:rFonts w:cs="Arial"/>
              </w:rPr>
              <w:t>Research Training Group</w:t>
            </w:r>
          </w:p>
        </w:tc>
      </w:tr>
      <w:tr w:rsidR="00261520" w:rsidRPr="00C4084C" w14:paraId="0C314BC7" w14:textId="77777777" w:rsidTr="003E5969">
        <w:trPr>
          <w:trHeight w:val="454"/>
        </w:trPr>
        <w:tc>
          <w:tcPr>
            <w:tcW w:w="2694" w:type="dxa"/>
          </w:tcPr>
          <w:p w14:paraId="189A0541" w14:textId="5AFA7BA8" w:rsidR="00261520" w:rsidRPr="00C4084C" w:rsidRDefault="00261520" w:rsidP="00261520">
            <w:pPr>
              <w:rPr>
                <w:rFonts w:cs="Arial"/>
                <w:b/>
              </w:rPr>
            </w:pPr>
            <w:r w:rsidRPr="00C4084C">
              <w:rPr>
                <w:rFonts w:cs="Arial"/>
                <w:b/>
              </w:rPr>
              <w:t>RTO</w:t>
            </w:r>
          </w:p>
        </w:tc>
        <w:tc>
          <w:tcPr>
            <w:tcW w:w="6322" w:type="dxa"/>
          </w:tcPr>
          <w:p w14:paraId="67C859FE" w14:textId="5666B006" w:rsidR="00261520" w:rsidRPr="00C4084C" w:rsidRDefault="00261520" w:rsidP="00261520">
            <w:pPr>
              <w:rPr>
                <w:rFonts w:cs="Arial"/>
              </w:rPr>
            </w:pPr>
            <w:r w:rsidRPr="00C4084C">
              <w:rPr>
                <w:rFonts w:cs="Arial"/>
              </w:rPr>
              <w:t xml:space="preserve">Registered Training Organisation </w:t>
            </w:r>
          </w:p>
        </w:tc>
      </w:tr>
      <w:tr w:rsidR="00261520" w:rsidRPr="00C4084C" w14:paraId="1ABA1170" w14:textId="77777777" w:rsidTr="003E5969">
        <w:trPr>
          <w:trHeight w:val="454"/>
        </w:trPr>
        <w:tc>
          <w:tcPr>
            <w:tcW w:w="2694" w:type="dxa"/>
          </w:tcPr>
          <w:p w14:paraId="5A34D75A" w14:textId="301EB480" w:rsidR="00261520" w:rsidRPr="00C4084C" w:rsidRDefault="00261520" w:rsidP="00261520">
            <w:pPr>
              <w:spacing w:after="160" w:line="259" w:lineRule="auto"/>
              <w:rPr>
                <w:rFonts w:cs="Arial"/>
                <w:b/>
              </w:rPr>
            </w:pPr>
            <w:r w:rsidRPr="00C4084C">
              <w:rPr>
                <w:rFonts w:cs="Arial"/>
                <w:b/>
              </w:rPr>
              <w:t>RTP</w:t>
            </w:r>
          </w:p>
        </w:tc>
        <w:tc>
          <w:tcPr>
            <w:tcW w:w="6322" w:type="dxa"/>
          </w:tcPr>
          <w:p w14:paraId="38366B2B" w14:textId="7368343E" w:rsidR="00261520" w:rsidRPr="00C4084C" w:rsidRDefault="00261520" w:rsidP="00261520">
            <w:pPr>
              <w:spacing w:after="160" w:line="259" w:lineRule="auto"/>
              <w:rPr>
                <w:rFonts w:cs="Arial"/>
              </w:rPr>
            </w:pPr>
            <w:r w:rsidRPr="00C4084C">
              <w:rPr>
                <w:rFonts w:cs="Arial"/>
              </w:rPr>
              <w:t>Research Training Program</w:t>
            </w:r>
          </w:p>
        </w:tc>
      </w:tr>
      <w:tr w:rsidR="00261520" w:rsidRPr="00C4084C" w14:paraId="06AD9C42" w14:textId="77777777" w:rsidTr="003E5969">
        <w:trPr>
          <w:trHeight w:val="454"/>
        </w:trPr>
        <w:tc>
          <w:tcPr>
            <w:tcW w:w="2694" w:type="dxa"/>
          </w:tcPr>
          <w:p w14:paraId="6F3BADBB" w14:textId="18BD23F5" w:rsidR="00261520" w:rsidRPr="00C4084C" w:rsidRDefault="00261520" w:rsidP="00261520">
            <w:pPr>
              <w:rPr>
                <w:rFonts w:cs="Arial"/>
                <w:b/>
              </w:rPr>
            </w:pPr>
            <w:r w:rsidRPr="00C4084C">
              <w:rPr>
                <w:rFonts w:cs="Arial"/>
                <w:b/>
              </w:rPr>
              <w:t>RUCs</w:t>
            </w:r>
          </w:p>
        </w:tc>
        <w:tc>
          <w:tcPr>
            <w:tcW w:w="6322" w:type="dxa"/>
          </w:tcPr>
          <w:p w14:paraId="5F84DA0A" w14:textId="7496011E" w:rsidR="00261520" w:rsidRPr="00C4084C" w:rsidRDefault="00823E25" w:rsidP="00261520">
            <w:pPr>
              <w:rPr>
                <w:rFonts w:cs="Arial"/>
              </w:rPr>
            </w:pPr>
            <w:r w:rsidRPr="00C4084C">
              <w:rPr>
                <w:rFonts w:cs="Arial"/>
              </w:rPr>
              <w:t>Regional University Centres</w:t>
            </w:r>
            <w:r w:rsidR="00531F20" w:rsidRPr="00C4084C">
              <w:rPr>
                <w:rFonts w:cs="Arial"/>
              </w:rPr>
              <w:t xml:space="preserve"> (now called Regional University Study Hubs)</w:t>
            </w:r>
          </w:p>
        </w:tc>
      </w:tr>
      <w:tr w:rsidR="00BA3B60" w:rsidRPr="00C4084C" w14:paraId="0FDCF146" w14:textId="77777777" w:rsidTr="003E5969">
        <w:trPr>
          <w:trHeight w:val="454"/>
        </w:trPr>
        <w:tc>
          <w:tcPr>
            <w:tcW w:w="2694" w:type="dxa"/>
          </w:tcPr>
          <w:p w14:paraId="69D14AAE" w14:textId="47C3EC85" w:rsidR="00BA3B60" w:rsidRPr="00C4084C" w:rsidRDefault="00BA3B60" w:rsidP="00261520">
            <w:pPr>
              <w:rPr>
                <w:rFonts w:cs="Arial"/>
                <w:b/>
              </w:rPr>
            </w:pPr>
            <w:r>
              <w:rPr>
                <w:rFonts w:cs="Arial"/>
                <w:b/>
              </w:rPr>
              <w:t>RUN</w:t>
            </w:r>
          </w:p>
        </w:tc>
        <w:tc>
          <w:tcPr>
            <w:tcW w:w="6322" w:type="dxa"/>
          </w:tcPr>
          <w:p w14:paraId="1D2AD93E" w14:textId="1296FB5B" w:rsidR="00BA3B60" w:rsidRPr="00C4084C" w:rsidRDefault="006A2237" w:rsidP="00261520">
            <w:pPr>
              <w:rPr>
                <w:rFonts w:cs="Arial"/>
              </w:rPr>
            </w:pPr>
            <w:r>
              <w:rPr>
                <w:rFonts w:cs="Arial"/>
              </w:rPr>
              <w:t>Regional Universit</w:t>
            </w:r>
            <w:r w:rsidR="001D7A6B">
              <w:rPr>
                <w:rFonts w:cs="Arial"/>
              </w:rPr>
              <w:t>ies</w:t>
            </w:r>
            <w:r>
              <w:rPr>
                <w:rFonts w:cs="Arial"/>
              </w:rPr>
              <w:t xml:space="preserve"> Network</w:t>
            </w:r>
          </w:p>
        </w:tc>
      </w:tr>
      <w:tr w:rsidR="00261520" w:rsidRPr="00C4084C" w14:paraId="1008AA63" w14:textId="77777777" w:rsidTr="003E5969">
        <w:trPr>
          <w:trHeight w:val="454"/>
        </w:trPr>
        <w:tc>
          <w:tcPr>
            <w:tcW w:w="2694" w:type="dxa"/>
          </w:tcPr>
          <w:p w14:paraId="4D5055A9" w14:textId="2C08C258" w:rsidR="00261520" w:rsidRPr="00C4084C" w:rsidRDefault="00261520" w:rsidP="00261520">
            <w:pPr>
              <w:rPr>
                <w:rFonts w:cs="Arial"/>
                <w:b/>
              </w:rPr>
            </w:pPr>
            <w:r w:rsidRPr="00C4084C">
              <w:rPr>
                <w:rFonts w:cs="Arial"/>
                <w:b/>
              </w:rPr>
              <w:t>SEHEEF</w:t>
            </w:r>
          </w:p>
        </w:tc>
        <w:tc>
          <w:tcPr>
            <w:tcW w:w="6322" w:type="dxa"/>
          </w:tcPr>
          <w:p w14:paraId="1DF30B64" w14:textId="1476E2E6" w:rsidR="00261520" w:rsidRPr="00C4084C" w:rsidRDefault="00261520" w:rsidP="00261520">
            <w:pPr>
              <w:rPr>
                <w:rFonts w:cs="Arial"/>
              </w:rPr>
            </w:pPr>
            <w:r w:rsidRPr="00C4084C">
              <w:rPr>
                <w:rFonts w:cs="Arial"/>
              </w:rPr>
              <w:t>Student Equity in Higher Education Evaluation Framework</w:t>
            </w:r>
          </w:p>
        </w:tc>
      </w:tr>
      <w:tr w:rsidR="00261520" w:rsidRPr="00C4084C" w14:paraId="681D19A9" w14:textId="77777777" w:rsidTr="003E5969">
        <w:trPr>
          <w:trHeight w:val="454"/>
        </w:trPr>
        <w:tc>
          <w:tcPr>
            <w:tcW w:w="2694" w:type="dxa"/>
          </w:tcPr>
          <w:p w14:paraId="377D4E24" w14:textId="77777777" w:rsidR="00261520" w:rsidRPr="00C4084C" w:rsidRDefault="00261520" w:rsidP="00261520">
            <w:pPr>
              <w:spacing w:after="160" w:line="259" w:lineRule="auto"/>
              <w:rPr>
                <w:rFonts w:cs="Arial"/>
                <w:b/>
              </w:rPr>
            </w:pPr>
            <w:r w:rsidRPr="00C4084C">
              <w:rPr>
                <w:rFonts w:cs="Arial"/>
                <w:b/>
              </w:rPr>
              <w:t>SES</w:t>
            </w:r>
          </w:p>
        </w:tc>
        <w:tc>
          <w:tcPr>
            <w:tcW w:w="6322" w:type="dxa"/>
          </w:tcPr>
          <w:p w14:paraId="5D2B7B11" w14:textId="0E10D814" w:rsidR="00261520" w:rsidRPr="00C4084C" w:rsidRDefault="00261520" w:rsidP="00261520">
            <w:pPr>
              <w:spacing w:after="160" w:line="259" w:lineRule="auto"/>
              <w:rPr>
                <w:rFonts w:cs="Arial"/>
              </w:rPr>
            </w:pPr>
            <w:r w:rsidRPr="00C4084C">
              <w:rPr>
                <w:rFonts w:cs="Arial"/>
              </w:rPr>
              <w:t>Socio-economic status</w:t>
            </w:r>
          </w:p>
        </w:tc>
      </w:tr>
      <w:tr w:rsidR="00261520" w:rsidRPr="00C4084C" w14:paraId="65F1313F" w14:textId="77777777" w:rsidTr="003E5969">
        <w:trPr>
          <w:trHeight w:val="454"/>
        </w:trPr>
        <w:tc>
          <w:tcPr>
            <w:tcW w:w="2694" w:type="dxa"/>
          </w:tcPr>
          <w:p w14:paraId="3F6E441B" w14:textId="68F755CD" w:rsidR="00261520" w:rsidRPr="00C4084C" w:rsidRDefault="00261520" w:rsidP="00261520">
            <w:pPr>
              <w:spacing w:after="160" w:line="259" w:lineRule="auto"/>
              <w:rPr>
                <w:rFonts w:cs="Arial"/>
                <w:b/>
              </w:rPr>
            </w:pPr>
            <w:r w:rsidRPr="00C4084C">
              <w:rPr>
                <w:rFonts w:cs="Arial"/>
                <w:b/>
              </w:rPr>
              <w:t>SES</w:t>
            </w:r>
          </w:p>
        </w:tc>
        <w:tc>
          <w:tcPr>
            <w:tcW w:w="6322" w:type="dxa"/>
          </w:tcPr>
          <w:p w14:paraId="0437A63D" w14:textId="6625F533" w:rsidR="00261520" w:rsidRPr="00C4084C" w:rsidRDefault="00261520" w:rsidP="00261520">
            <w:pPr>
              <w:spacing w:after="160" w:line="259" w:lineRule="auto"/>
              <w:rPr>
                <w:rFonts w:cs="Arial"/>
              </w:rPr>
            </w:pPr>
            <w:r w:rsidRPr="00C4084C">
              <w:rPr>
                <w:rFonts w:cs="Arial"/>
              </w:rPr>
              <w:t>Student Experience Survey</w:t>
            </w:r>
          </w:p>
        </w:tc>
      </w:tr>
      <w:tr w:rsidR="00261520" w:rsidRPr="00C4084C" w14:paraId="61D7DF36" w14:textId="77777777" w:rsidTr="003E5969">
        <w:trPr>
          <w:trHeight w:val="454"/>
        </w:trPr>
        <w:tc>
          <w:tcPr>
            <w:tcW w:w="2694" w:type="dxa"/>
          </w:tcPr>
          <w:p w14:paraId="70FB3BD7" w14:textId="03283138" w:rsidR="00261520" w:rsidRPr="00C4084C" w:rsidRDefault="00261520" w:rsidP="00261520">
            <w:pPr>
              <w:rPr>
                <w:rFonts w:cs="Arial"/>
                <w:b/>
              </w:rPr>
            </w:pPr>
            <w:r w:rsidRPr="00C4084C">
              <w:rPr>
                <w:rFonts w:cs="Arial"/>
                <w:b/>
              </w:rPr>
              <w:t>SME</w:t>
            </w:r>
          </w:p>
        </w:tc>
        <w:tc>
          <w:tcPr>
            <w:tcW w:w="6322" w:type="dxa"/>
          </w:tcPr>
          <w:p w14:paraId="71338DE8" w14:textId="475D3096" w:rsidR="00261520" w:rsidRPr="00C4084C" w:rsidRDefault="00261520" w:rsidP="00261520">
            <w:pPr>
              <w:rPr>
                <w:rFonts w:cs="Arial"/>
              </w:rPr>
            </w:pPr>
            <w:r w:rsidRPr="00C4084C">
              <w:rPr>
                <w:rFonts w:cs="Arial"/>
              </w:rPr>
              <w:t>Small and medium-sized enterprises</w:t>
            </w:r>
          </w:p>
        </w:tc>
      </w:tr>
      <w:tr w:rsidR="00261520" w:rsidRPr="00C4084C" w14:paraId="7479E6FE" w14:textId="77777777" w:rsidTr="003E5969">
        <w:trPr>
          <w:trHeight w:val="454"/>
        </w:trPr>
        <w:tc>
          <w:tcPr>
            <w:tcW w:w="2694" w:type="dxa"/>
          </w:tcPr>
          <w:p w14:paraId="319B040B" w14:textId="5A551ECD" w:rsidR="00261520" w:rsidRPr="00C4084C" w:rsidRDefault="00261520" w:rsidP="00261520">
            <w:pPr>
              <w:spacing w:after="160" w:line="259" w:lineRule="auto"/>
              <w:rPr>
                <w:rFonts w:cs="Arial"/>
                <w:b/>
              </w:rPr>
            </w:pPr>
            <w:r w:rsidRPr="00C4084C">
              <w:rPr>
                <w:rFonts w:cs="Arial"/>
                <w:b/>
              </w:rPr>
              <w:t>SRI</w:t>
            </w:r>
          </w:p>
        </w:tc>
        <w:tc>
          <w:tcPr>
            <w:tcW w:w="6322" w:type="dxa"/>
          </w:tcPr>
          <w:p w14:paraId="22F6E347" w14:textId="16D88F25" w:rsidR="00261520" w:rsidRPr="00C4084C" w:rsidRDefault="00261520" w:rsidP="00261520">
            <w:pPr>
              <w:spacing w:after="160" w:line="259" w:lineRule="auto"/>
              <w:rPr>
                <w:rFonts w:cs="Arial"/>
              </w:rPr>
            </w:pPr>
            <w:r w:rsidRPr="00C4084C">
              <w:rPr>
                <w:rFonts w:cs="Arial"/>
              </w:rPr>
              <w:t xml:space="preserve">Science, </w:t>
            </w:r>
            <w:proofErr w:type="gramStart"/>
            <w:r w:rsidRPr="00C4084C">
              <w:rPr>
                <w:rFonts w:cs="Arial"/>
              </w:rPr>
              <w:t>research</w:t>
            </w:r>
            <w:proofErr w:type="gramEnd"/>
            <w:r w:rsidRPr="00C4084C">
              <w:rPr>
                <w:rFonts w:cs="Arial"/>
              </w:rPr>
              <w:t xml:space="preserve"> and innovation</w:t>
            </w:r>
          </w:p>
        </w:tc>
      </w:tr>
      <w:tr w:rsidR="00261520" w:rsidRPr="00C4084C" w14:paraId="44F28DDC" w14:textId="77777777" w:rsidTr="003E5969">
        <w:trPr>
          <w:trHeight w:val="454"/>
        </w:trPr>
        <w:tc>
          <w:tcPr>
            <w:tcW w:w="2694" w:type="dxa"/>
          </w:tcPr>
          <w:p w14:paraId="039F9411" w14:textId="2874B7FC" w:rsidR="00261520" w:rsidRPr="00C4084C" w:rsidRDefault="00261520" w:rsidP="00261520">
            <w:pPr>
              <w:spacing w:after="160" w:line="259" w:lineRule="auto"/>
              <w:rPr>
                <w:rFonts w:cs="Arial"/>
                <w:b/>
              </w:rPr>
            </w:pPr>
            <w:r w:rsidRPr="00C4084C">
              <w:rPr>
                <w:rFonts w:cs="Arial"/>
                <w:b/>
              </w:rPr>
              <w:t>SRS</w:t>
            </w:r>
          </w:p>
        </w:tc>
        <w:tc>
          <w:tcPr>
            <w:tcW w:w="6322" w:type="dxa"/>
          </w:tcPr>
          <w:p w14:paraId="1BFFF1F9" w14:textId="753E1A25" w:rsidR="00261520" w:rsidRPr="00C4084C" w:rsidRDefault="00261520" w:rsidP="00261520">
            <w:pPr>
              <w:spacing w:after="160" w:line="259" w:lineRule="auto"/>
              <w:rPr>
                <w:rFonts w:cs="Arial"/>
              </w:rPr>
            </w:pPr>
            <w:r w:rsidRPr="00C4084C">
              <w:rPr>
                <w:rFonts w:cs="Arial"/>
              </w:rPr>
              <w:t>Schooling Resource Standard</w:t>
            </w:r>
          </w:p>
        </w:tc>
      </w:tr>
      <w:tr w:rsidR="00261520" w:rsidRPr="00C4084C" w14:paraId="51E8EFF4" w14:textId="77777777" w:rsidTr="003E5969">
        <w:trPr>
          <w:trHeight w:val="454"/>
        </w:trPr>
        <w:tc>
          <w:tcPr>
            <w:tcW w:w="2694" w:type="dxa"/>
          </w:tcPr>
          <w:p w14:paraId="283917CD" w14:textId="7E86D3F7" w:rsidR="00261520" w:rsidRPr="00C4084C" w:rsidRDefault="00261520" w:rsidP="00261520">
            <w:pPr>
              <w:spacing w:after="160" w:line="259" w:lineRule="auto"/>
              <w:rPr>
                <w:rFonts w:cs="Arial"/>
                <w:b/>
              </w:rPr>
            </w:pPr>
            <w:r w:rsidRPr="00C4084C">
              <w:rPr>
                <w:rFonts w:cs="Arial"/>
                <w:b/>
              </w:rPr>
              <w:t>SSAF</w:t>
            </w:r>
          </w:p>
        </w:tc>
        <w:tc>
          <w:tcPr>
            <w:tcW w:w="6322" w:type="dxa"/>
          </w:tcPr>
          <w:p w14:paraId="3152D603" w14:textId="3448A8FD" w:rsidR="00261520" w:rsidRPr="00C4084C" w:rsidRDefault="00261520" w:rsidP="00261520">
            <w:pPr>
              <w:spacing w:after="160" w:line="259" w:lineRule="auto"/>
              <w:rPr>
                <w:rFonts w:cs="Arial"/>
              </w:rPr>
            </w:pPr>
            <w:r w:rsidRPr="00C4084C">
              <w:rPr>
                <w:rFonts w:cs="Arial"/>
              </w:rPr>
              <w:t>Student Services and Amenities Fee</w:t>
            </w:r>
          </w:p>
        </w:tc>
      </w:tr>
      <w:tr w:rsidR="00531F20" w:rsidRPr="00C4084C" w14:paraId="088A97CF" w14:textId="77777777" w:rsidTr="003E5969">
        <w:trPr>
          <w:trHeight w:val="454"/>
        </w:trPr>
        <w:tc>
          <w:tcPr>
            <w:tcW w:w="2694" w:type="dxa"/>
          </w:tcPr>
          <w:p w14:paraId="523B7AD1" w14:textId="3BEF81F6" w:rsidR="00531F20" w:rsidRPr="00C4084C" w:rsidRDefault="00531F20" w:rsidP="00823E25">
            <w:pPr>
              <w:spacing w:after="160"/>
              <w:rPr>
                <w:rFonts w:cs="Arial"/>
                <w:b/>
              </w:rPr>
            </w:pPr>
            <w:r w:rsidRPr="00C4084C">
              <w:rPr>
                <w:rFonts w:cs="Arial"/>
                <w:b/>
              </w:rPr>
              <w:t>SSCE</w:t>
            </w:r>
          </w:p>
        </w:tc>
        <w:tc>
          <w:tcPr>
            <w:tcW w:w="6322" w:type="dxa"/>
          </w:tcPr>
          <w:p w14:paraId="4EE37EF7" w14:textId="120B2A89" w:rsidR="00531F20" w:rsidRPr="00C4084C" w:rsidRDefault="00531F20" w:rsidP="00823E25">
            <w:pPr>
              <w:spacing w:after="160"/>
              <w:rPr>
                <w:rFonts w:cs="Arial"/>
              </w:rPr>
            </w:pPr>
            <w:r w:rsidRPr="00C4084C">
              <w:rPr>
                <w:rFonts w:cs="Arial"/>
              </w:rPr>
              <w:t>Senior Secondary Certificate of Education</w:t>
            </w:r>
          </w:p>
        </w:tc>
      </w:tr>
      <w:tr w:rsidR="00261520" w:rsidRPr="00C4084C" w14:paraId="071D9955" w14:textId="77777777" w:rsidTr="003E5969">
        <w:trPr>
          <w:trHeight w:val="454"/>
        </w:trPr>
        <w:tc>
          <w:tcPr>
            <w:tcW w:w="2694" w:type="dxa"/>
          </w:tcPr>
          <w:p w14:paraId="704A4CB0" w14:textId="0BF71513" w:rsidR="00261520" w:rsidRPr="00C4084C" w:rsidRDefault="00261520" w:rsidP="00261520">
            <w:pPr>
              <w:spacing w:after="160" w:line="259" w:lineRule="auto"/>
              <w:rPr>
                <w:rFonts w:cs="Arial"/>
                <w:b/>
              </w:rPr>
            </w:pPr>
            <w:r w:rsidRPr="00C4084C">
              <w:rPr>
                <w:rFonts w:cs="Arial"/>
                <w:b/>
              </w:rPr>
              <w:t>STEM</w:t>
            </w:r>
          </w:p>
        </w:tc>
        <w:tc>
          <w:tcPr>
            <w:tcW w:w="6322" w:type="dxa"/>
          </w:tcPr>
          <w:p w14:paraId="6D6CEF1A" w14:textId="3B9BF64C" w:rsidR="00261520" w:rsidRPr="00C4084C" w:rsidRDefault="00261520" w:rsidP="00261520">
            <w:pPr>
              <w:spacing w:after="160" w:line="259" w:lineRule="auto"/>
              <w:rPr>
                <w:rFonts w:cs="Arial"/>
              </w:rPr>
            </w:pPr>
            <w:r w:rsidRPr="00C4084C">
              <w:rPr>
                <w:rFonts w:cs="Arial"/>
              </w:rPr>
              <w:t xml:space="preserve">Science, technology, </w:t>
            </w:r>
            <w:proofErr w:type="gramStart"/>
            <w:r w:rsidRPr="00C4084C">
              <w:rPr>
                <w:rFonts w:cs="Arial"/>
              </w:rPr>
              <w:t>engineering</w:t>
            </w:r>
            <w:proofErr w:type="gramEnd"/>
            <w:r w:rsidRPr="00C4084C">
              <w:rPr>
                <w:rFonts w:cs="Arial"/>
              </w:rPr>
              <w:t xml:space="preserve"> and mathematics</w:t>
            </w:r>
          </w:p>
        </w:tc>
      </w:tr>
      <w:tr w:rsidR="00531F20" w:rsidRPr="00C4084C" w14:paraId="40430948" w14:textId="77777777" w:rsidTr="003E5969">
        <w:trPr>
          <w:trHeight w:val="454"/>
        </w:trPr>
        <w:tc>
          <w:tcPr>
            <w:tcW w:w="2694" w:type="dxa"/>
          </w:tcPr>
          <w:p w14:paraId="0287D285" w14:textId="77E33056" w:rsidR="00531F20" w:rsidRPr="00C4084C" w:rsidRDefault="00531F20" w:rsidP="00823E25">
            <w:pPr>
              <w:spacing w:after="160"/>
              <w:rPr>
                <w:rFonts w:cs="Arial"/>
                <w:b/>
              </w:rPr>
            </w:pPr>
            <w:r w:rsidRPr="00C4084C">
              <w:rPr>
                <w:rFonts w:cs="Arial"/>
                <w:b/>
              </w:rPr>
              <w:t>SWMC</w:t>
            </w:r>
          </w:p>
        </w:tc>
        <w:tc>
          <w:tcPr>
            <w:tcW w:w="6322" w:type="dxa"/>
          </w:tcPr>
          <w:p w14:paraId="2FA3F6E2" w14:textId="5164FEC8" w:rsidR="00531F20" w:rsidRPr="00C4084C" w:rsidRDefault="00531F20" w:rsidP="00823E25">
            <w:pPr>
              <w:spacing w:after="160"/>
              <w:rPr>
                <w:rFonts w:cs="Arial"/>
              </w:rPr>
            </w:pPr>
            <w:r w:rsidRPr="00C4084C">
              <w:rPr>
                <w:rFonts w:cs="Arial"/>
              </w:rPr>
              <w:t xml:space="preserve">Skills and Workforce </w:t>
            </w:r>
            <w:r w:rsidR="00210DCA">
              <w:rPr>
                <w:rFonts w:cs="Arial"/>
              </w:rPr>
              <w:t>Ministerial Council</w:t>
            </w:r>
          </w:p>
        </w:tc>
      </w:tr>
      <w:tr w:rsidR="00261520" w:rsidRPr="00C4084C" w14:paraId="3680FBFA" w14:textId="77777777" w:rsidTr="003E5969">
        <w:trPr>
          <w:trHeight w:val="454"/>
        </w:trPr>
        <w:tc>
          <w:tcPr>
            <w:tcW w:w="2694" w:type="dxa"/>
          </w:tcPr>
          <w:p w14:paraId="1590001D" w14:textId="0488A4EF" w:rsidR="00261520" w:rsidRPr="00C4084C" w:rsidRDefault="00261520" w:rsidP="00261520">
            <w:pPr>
              <w:rPr>
                <w:rFonts w:cs="Arial"/>
                <w:b/>
              </w:rPr>
            </w:pPr>
            <w:r w:rsidRPr="00C4084C">
              <w:rPr>
                <w:rFonts w:cs="Arial"/>
                <w:b/>
              </w:rPr>
              <w:t>TAFE</w:t>
            </w:r>
          </w:p>
        </w:tc>
        <w:tc>
          <w:tcPr>
            <w:tcW w:w="6322" w:type="dxa"/>
          </w:tcPr>
          <w:p w14:paraId="50610EC8" w14:textId="79710D61" w:rsidR="00261520" w:rsidRPr="00C4084C" w:rsidRDefault="00261520" w:rsidP="00261520">
            <w:pPr>
              <w:rPr>
                <w:rFonts w:cs="Arial"/>
              </w:rPr>
            </w:pPr>
            <w:r w:rsidRPr="00C4084C">
              <w:rPr>
                <w:rFonts w:cs="Arial"/>
              </w:rPr>
              <w:t>Technical and Further Education</w:t>
            </w:r>
          </w:p>
        </w:tc>
      </w:tr>
      <w:tr w:rsidR="00BF71AE" w:rsidRPr="00C4084C" w14:paraId="219FB162" w14:textId="77777777" w:rsidTr="003E5969">
        <w:trPr>
          <w:trHeight w:val="454"/>
        </w:trPr>
        <w:tc>
          <w:tcPr>
            <w:tcW w:w="2694" w:type="dxa"/>
          </w:tcPr>
          <w:p w14:paraId="4CEF5A2E" w14:textId="24E22584" w:rsidR="00BF71AE" w:rsidRPr="00C4084C" w:rsidRDefault="00BF71AE" w:rsidP="00BF71AE">
            <w:pPr>
              <w:rPr>
                <w:rFonts w:cs="Arial"/>
                <w:b/>
              </w:rPr>
            </w:pPr>
            <w:r w:rsidRPr="00C4084C">
              <w:rPr>
                <w:rFonts w:cs="Arial"/>
                <w:b/>
              </w:rPr>
              <w:t>TAP</w:t>
            </w:r>
          </w:p>
        </w:tc>
        <w:tc>
          <w:tcPr>
            <w:tcW w:w="6322" w:type="dxa"/>
          </w:tcPr>
          <w:p w14:paraId="15636829" w14:textId="1392863F" w:rsidR="00BF71AE" w:rsidRPr="00C4084C" w:rsidRDefault="00BF71AE" w:rsidP="00BF71AE">
            <w:pPr>
              <w:rPr>
                <w:rFonts w:cs="Arial"/>
              </w:rPr>
            </w:pPr>
            <w:r w:rsidRPr="00C4084C">
              <w:rPr>
                <w:rFonts w:cs="Arial"/>
              </w:rPr>
              <w:t xml:space="preserve">Tertiary Access Payment </w:t>
            </w:r>
          </w:p>
        </w:tc>
      </w:tr>
      <w:tr w:rsidR="00261520" w:rsidRPr="00C4084C" w14:paraId="6AA48EC6" w14:textId="77777777" w:rsidTr="003E5969">
        <w:trPr>
          <w:trHeight w:val="454"/>
        </w:trPr>
        <w:tc>
          <w:tcPr>
            <w:tcW w:w="2694" w:type="dxa"/>
          </w:tcPr>
          <w:p w14:paraId="6CB3D092" w14:textId="34CBDEF7" w:rsidR="00261520" w:rsidRPr="00C4084C" w:rsidRDefault="00261520" w:rsidP="00261520">
            <w:pPr>
              <w:rPr>
                <w:rFonts w:cs="Arial"/>
                <w:b/>
              </w:rPr>
            </w:pPr>
            <w:r w:rsidRPr="00C4084C">
              <w:rPr>
                <w:rFonts w:cs="Arial"/>
                <w:b/>
              </w:rPr>
              <w:t>TEQSA</w:t>
            </w:r>
          </w:p>
        </w:tc>
        <w:tc>
          <w:tcPr>
            <w:tcW w:w="6322" w:type="dxa"/>
          </w:tcPr>
          <w:p w14:paraId="49555B83" w14:textId="7A0B6078" w:rsidR="00261520" w:rsidRPr="00C4084C" w:rsidRDefault="00261520" w:rsidP="00261520">
            <w:pPr>
              <w:rPr>
                <w:rFonts w:cs="Arial"/>
              </w:rPr>
            </w:pPr>
            <w:r w:rsidRPr="00C4084C">
              <w:rPr>
                <w:rFonts w:cs="Arial"/>
              </w:rPr>
              <w:t>Tertiary Education Quality and Standards Agency</w:t>
            </w:r>
          </w:p>
        </w:tc>
      </w:tr>
      <w:tr w:rsidR="00BF71AE" w:rsidRPr="00C4084C" w14:paraId="09629D42" w14:textId="77777777" w:rsidTr="003E5969">
        <w:trPr>
          <w:trHeight w:val="454"/>
        </w:trPr>
        <w:tc>
          <w:tcPr>
            <w:tcW w:w="2694" w:type="dxa"/>
          </w:tcPr>
          <w:p w14:paraId="1D98EC43" w14:textId="3461547A" w:rsidR="00BF71AE" w:rsidRPr="00C4084C" w:rsidRDefault="00BF71AE" w:rsidP="00BF71AE">
            <w:pPr>
              <w:rPr>
                <w:rFonts w:cs="Arial"/>
                <w:b/>
              </w:rPr>
            </w:pPr>
            <w:r w:rsidRPr="00C4084C">
              <w:rPr>
                <w:rFonts w:cs="Arial"/>
                <w:b/>
              </w:rPr>
              <w:t>THE</w:t>
            </w:r>
          </w:p>
        </w:tc>
        <w:tc>
          <w:tcPr>
            <w:tcW w:w="6322" w:type="dxa"/>
          </w:tcPr>
          <w:p w14:paraId="0EAC771F" w14:textId="4DD4F96D" w:rsidR="00BF71AE" w:rsidRPr="00C4084C" w:rsidRDefault="00BF71AE" w:rsidP="00BF71AE">
            <w:pPr>
              <w:rPr>
                <w:rFonts w:cs="Arial"/>
              </w:rPr>
            </w:pPr>
            <w:r w:rsidRPr="00C4084C">
              <w:rPr>
                <w:rFonts w:cs="Arial"/>
              </w:rPr>
              <w:t>Times Higher Education</w:t>
            </w:r>
          </w:p>
        </w:tc>
      </w:tr>
      <w:tr w:rsidR="00261520" w:rsidRPr="00C4084C" w14:paraId="777E0B82" w14:textId="77777777" w:rsidTr="003E5969">
        <w:trPr>
          <w:trHeight w:val="454"/>
        </w:trPr>
        <w:tc>
          <w:tcPr>
            <w:tcW w:w="2694" w:type="dxa"/>
          </w:tcPr>
          <w:p w14:paraId="46062822" w14:textId="66E1B9D6" w:rsidR="00261520" w:rsidRPr="00C4084C" w:rsidRDefault="00261520" w:rsidP="00261520">
            <w:pPr>
              <w:spacing w:after="160" w:line="259" w:lineRule="auto"/>
              <w:rPr>
                <w:rFonts w:cs="Arial"/>
                <w:b/>
              </w:rPr>
            </w:pPr>
            <w:r w:rsidRPr="00C4084C">
              <w:rPr>
                <w:rFonts w:cs="Arial"/>
                <w:b/>
              </w:rPr>
              <w:t>TVA</w:t>
            </w:r>
          </w:p>
        </w:tc>
        <w:tc>
          <w:tcPr>
            <w:tcW w:w="6322" w:type="dxa"/>
          </w:tcPr>
          <w:p w14:paraId="753E70E6" w14:textId="6CA10A72" w:rsidR="00261520" w:rsidRPr="00C4084C" w:rsidRDefault="00261520" w:rsidP="00261520">
            <w:pPr>
              <w:spacing w:after="160" w:line="259" w:lineRule="auto"/>
              <w:rPr>
                <w:rFonts w:cs="Arial"/>
              </w:rPr>
            </w:pPr>
            <w:r w:rsidRPr="00C4084C">
              <w:rPr>
                <w:rFonts w:cs="Arial"/>
              </w:rPr>
              <w:t xml:space="preserve">Total VET Activity </w:t>
            </w:r>
          </w:p>
        </w:tc>
      </w:tr>
      <w:tr w:rsidR="00261520" w:rsidRPr="00C4084C" w14:paraId="18C7299A" w14:textId="77777777" w:rsidTr="003E5969">
        <w:trPr>
          <w:trHeight w:val="454"/>
        </w:trPr>
        <w:tc>
          <w:tcPr>
            <w:tcW w:w="2694" w:type="dxa"/>
          </w:tcPr>
          <w:p w14:paraId="398C600E" w14:textId="74CADB27" w:rsidR="00261520" w:rsidRPr="00C4084C" w:rsidRDefault="00261520" w:rsidP="00261520">
            <w:pPr>
              <w:rPr>
                <w:rFonts w:cs="Arial"/>
                <w:b/>
                <w:bCs/>
              </w:rPr>
            </w:pPr>
            <w:r w:rsidRPr="00C4084C">
              <w:rPr>
                <w:rFonts w:cs="Arial"/>
                <w:b/>
              </w:rPr>
              <w:t>UNESCO</w:t>
            </w:r>
          </w:p>
        </w:tc>
        <w:tc>
          <w:tcPr>
            <w:tcW w:w="6322" w:type="dxa"/>
          </w:tcPr>
          <w:p w14:paraId="594DCD3B" w14:textId="186E7F78" w:rsidR="00261520" w:rsidRPr="00C4084C" w:rsidRDefault="00261520" w:rsidP="00261520">
            <w:pPr>
              <w:rPr>
                <w:rFonts w:cs="Arial"/>
              </w:rPr>
            </w:pPr>
            <w:r w:rsidRPr="00C4084C">
              <w:rPr>
                <w:rFonts w:cs="Arial"/>
              </w:rPr>
              <w:t>United Nations Educational, Scientific and Cultural Organization</w:t>
            </w:r>
          </w:p>
        </w:tc>
      </w:tr>
      <w:tr w:rsidR="00261520" w:rsidRPr="00C4084C" w14:paraId="5448076F" w14:textId="77777777" w:rsidTr="003E5969">
        <w:trPr>
          <w:trHeight w:val="454"/>
        </w:trPr>
        <w:tc>
          <w:tcPr>
            <w:tcW w:w="2694" w:type="dxa"/>
          </w:tcPr>
          <w:p w14:paraId="3D086987" w14:textId="71414D0B" w:rsidR="00261520" w:rsidRPr="00C4084C" w:rsidRDefault="00261520" w:rsidP="00261520">
            <w:pPr>
              <w:spacing w:after="160" w:line="259" w:lineRule="auto"/>
              <w:rPr>
                <w:rFonts w:cs="Arial"/>
                <w:b/>
              </w:rPr>
            </w:pPr>
            <w:r w:rsidRPr="00C4084C">
              <w:rPr>
                <w:rFonts w:cs="Arial"/>
                <w:b/>
              </w:rPr>
              <w:t>USI</w:t>
            </w:r>
          </w:p>
        </w:tc>
        <w:tc>
          <w:tcPr>
            <w:tcW w:w="6322" w:type="dxa"/>
          </w:tcPr>
          <w:p w14:paraId="06C525CE" w14:textId="3C7BC7C6" w:rsidR="00261520" w:rsidRPr="00C4084C" w:rsidRDefault="006C7813" w:rsidP="00261520">
            <w:pPr>
              <w:spacing w:after="160" w:line="259" w:lineRule="auto"/>
              <w:rPr>
                <w:rFonts w:cs="Arial"/>
              </w:rPr>
            </w:pPr>
            <w:r w:rsidRPr="00C4084C">
              <w:rPr>
                <w:rFonts w:cs="Arial"/>
              </w:rPr>
              <w:t xml:space="preserve">Unique </w:t>
            </w:r>
            <w:r w:rsidR="00261520" w:rsidRPr="00C4084C">
              <w:rPr>
                <w:rFonts w:cs="Arial"/>
              </w:rPr>
              <w:t>Student Identifier</w:t>
            </w:r>
          </w:p>
        </w:tc>
      </w:tr>
      <w:tr w:rsidR="00261520" w:rsidRPr="00C4084C" w14:paraId="6E810750" w14:textId="77777777" w:rsidTr="003E5969">
        <w:trPr>
          <w:trHeight w:val="454"/>
        </w:trPr>
        <w:tc>
          <w:tcPr>
            <w:tcW w:w="2694" w:type="dxa"/>
          </w:tcPr>
          <w:p w14:paraId="6A51FE9F" w14:textId="2D96DABB" w:rsidR="00261520" w:rsidRPr="00C4084C" w:rsidRDefault="00261520" w:rsidP="00261520">
            <w:pPr>
              <w:rPr>
                <w:rFonts w:cs="Arial"/>
                <w:b/>
              </w:rPr>
            </w:pPr>
            <w:r w:rsidRPr="00C4084C">
              <w:rPr>
                <w:rFonts w:cs="Arial"/>
                <w:b/>
              </w:rPr>
              <w:t>VET</w:t>
            </w:r>
          </w:p>
        </w:tc>
        <w:tc>
          <w:tcPr>
            <w:tcW w:w="6322" w:type="dxa"/>
          </w:tcPr>
          <w:p w14:paraId="66A1F6AC" w14:textId="58758223" w:rsidR="00261520" w:rsidRPr="00C4084C" w:rsidRDefault="00261520" w:rsidP="00261520">
            <w:pPr>
              <w:rPr>
                <w:rFonts w:cs="Arial"/>
              </w:rPr>
            </w:pPr>
            <w:r w:rsidRPr="00C4084C">
              <w:rPr>
                <w:rFonts w:cs="Arial"/>
              </w:rPr>
              <w:t>Vocational education and training</w:t>
            </w:r>
          </w:p>
        </w:tc>
      </w:tr>
      <w:tr w:rsidR="00261520" w:rsidRPr="00C4084C" w14:paraId="492A0FA0" w14:textId="77777777" w:rsidTr="003E5969">
        <w:trPr>
          <w:trHeight w:val="454"/>
        </w:trPr>
        <w:tc>
          <w:tcPr>
            <w:tcW w:w="2694" w:type="dxa"/>
          </w:tcPr>
          <w:p w14:paraId="71C91D85" w14:textId="2B02CCA5" w:rsidR="00261520" w:rsidRPr="00C4084C" w:rsidRDefault="00261520" w:rsidP="00261520">
            <w:pPr>
              <w:spacing w:after="160" w:line="259" w:lineRule="auto"/>
              <w:rPr>
                <w:rFonts w:cs="Arial"/>
                <w:b/>
              </w:rPr>
            </w:pPr>
            <w:r w:rsidRPr="00C4084C">
              <w:rPr>
                <w:rFonts w:cs="Arial"/>
                <w:b/>
              </w:rPr>
              <w:t>WIL</w:t>
            </w:r>
          </w:p>
        </w:tc>
        <w:tc>
          <w:tcPr>
            <w:tcW w:w="6322" w:type="dxa"/>
          </w:tcPr>
          <w:p w14:paraId="4B7E5906" w14:textId="137D33D5" w:rsidR="00261520" w:rsidRPr="00C4084C" w:rsidRDefault="00261520" w:rsidP="00261520">
            <w:pPr>
              <w:spacing w:after="160" w:line="259" w:lineRule="auto"/>
              <w:rPr>
                <w:rFonts w:cs="Arial"/>
              </w:rPr>
            </w:pPr>
            <w:r w:rsidRPr="00C4084C">
              <w:rPr>
                <w:rFonts w:cs="Arial"/>
              </w:rPr>
              <w:t>Work-Integrated Learning</w:t>
            </w:r>
          </w:p>
        </w:tc>
      </w:tr>
      <w:tr w:rsidR="00261520" w:rsidRPr="00C4084C" w14:paraId="4613FE2C" w14:textId="77777777" w:rsidTr="003E5969">
        <w:trPr>
          <w:trHeight w:val="454"/>
        </w:trPr>
        <w:tc>
          <w:tcPr>
            <w:tcW w:w="2694" w:type="dxa"/>
          </w:tcPr>
          <w:p w14:paraId="6DA63BCC" w14:textId="453A3FEE" w:rsidR="00261520" w:rsidRPr="00C4084C" w:rsidRDefault="00261520" w:rsidP="00261520">
            <w:pPr>
              <w:rPr>
                <w:rFonts w:cs="Arial"/>
                <w:b/>
              </w:rPr>
            </w:pPr>
            <w:r w:rsidRPr="00C4084C">
              <w:rPr>
                <w:rFonts w:cs="Arial"/>
                <w:b/>
              </w:rPr>
              <w:t>WPI</w:t>
            </w:r>
          </w:p>
        </w:tc>
        <w:tc>
          <w:tcPr>
            <w:tcW w:w="6322" w:type="dxa"/>
          </w:tcPr>
          <w:p w14:paraId="1D50F6AD" w14:textId="66B36739" w:rsidR="00261520" w:rsidRPr="00C4084C" w:rsidRDefault="00261520" w:rsidP="00261520">
            <w:pPr>
              <w:rPr>
                <w:rFonts w:cs="Arial"/>
              </w:rPr>
            </w:pPr>
            <w:r w:rsidRPr="00C4084C">
              <w:rPr>
                <w:rFonts w:cs="Arial"/>
              </w:rPr>
              <w:t>Wage Price Index</w:t>
            </w:r>
          </w:p>
        </w:tc>
      </w:tr>
    </w:tbl>
    <w:p w14:paraId="126BF736" w14:textId="77777777" w:rsidR="0067026A" w:rsidRDefault="0067026A">
      <w:pPr>
        <w:spacing w:after="160"/>
        <w:sectPr w:rsidR="0067026A" w:rsidSect="00134415">
          <w:headerReference w:type="even" r:id="rId186"/>
          <w:headerReference w:type="default" r:id="rId187"/>
          <w:headerReference w:type="first" r:id="rId188"/>
          <w:pgSz w:w="11906" w:h="16838" w:code="9"/>
          <w:pgMar w:top="1225" w:right="1440" w:bottom="1440" w:left="1440" w:header="709" w:footer="709" w:gutter="0"/>
          <w:cols w:space="708"/>
          <w:titlePg/>
          <w:docGrid w:linePitch="360"/>
        </w:sectPr>
      </w:pPr>
    </w:p>
    <w:p w14:paraId="4B40D608" w14:textId="77D75F3E" w:rsidR="007B321E" w:rsidRPr="00C4084C" w:rsidRDefault="007B321E" w:rsidP="0067026A">
      <w:pPr>
        <w:pStyle w:val="Non-numberedHeading2"/>
      </w:pPr>
      <w:bookmarkStart w:id="1651" w:name="_Toc380845369"/>
      <w:bookmarkStart w:id="1652" w:name="_Toc159501045"/>
      <w:r w:rsidRPr="00C4084C">
        <w:lastRenderedPageBreak/>
        <w:t>Glossary</w:t>
      </w:r>
      <w:bookmarkEnd w:id="1651"/>
      <w:bookmarkEnd w:id="165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8"/>
        <w:gridCol w:w="6148"/>
      </w:tblGrid>
      <w:tr w:rsidR="00C6243E" w:rsidRPr="00C4084C" w14:paraId="6089DDCC" w14:textId="77777777" w:rsidTr="003E5969">
        <w:trPr>
          <w:trHeight w:val="158"/>
        </w:trPr>
        <w:tc>
          <w:tcPr>
            <w:tcW w:w="2878" w:type="dxa"/>
          </w:tcPr>
          <w:p w14:paraId="5E606DF1" w14:textId="70167E08" w:rsidR="00C6243E" w:rsidRPr="003E5969" w:rsidRDefault="00C6243E" w:rsidP="0095265D">
            <w:pPr>
              <w:rPr>
                <w:rFonts w:cs="Arial"/>
                <w:b/>
                <w:color w:val="FFFFFF" w:themeColor="background1"/>
                <w:sz w:val="2"/>
                <w:szCs w:val="2"/>
              </w:rPr>
            </w:pPr>
            <w:r w:rsidRPr="003E5969">
              <w:rPr>
                <w:rFonts w:cs="Arial"/>
                <w:b/>
                <w:color w:val="FFFFFF" w:themeColor="background1"/>
                <w:sz w:val="2"/>
                <w:szCs w:val="2"/>
              </w:rPr>
              <w:t>Term</w:t>
            </w:r>
          </w:p>
        </w:tc>
        <w:tc>
          <w:tcPr>
            <w:tcW w:w="6148" w:type="dxa"/>
          </w:tcPr>
          <w:p w14:paraId="3466A30C" w14:textId="1B2702B1" w:rsidR="00C6243E" w:rsidRPr="003E5969" w:rsidRDefault="00C6243E" w:rsidP="0095265D">
            <w:pPr>
              <w:rPr>
                <w:rFonts w:cs="Arial"/>
                <w:color w:val="FFFFFF" w:themeColor="background1"/>
                <w:sz w:val="2"/>
                <w:szCs w:val="2"/>
              </w:rPr>
            </w:pPr>
            <w:r w:rsidRPr="003E5969">
              <w:rPr>
                <w:rFonts w:cs="Arial"/>
                <w:color w:val="FFFFFF" w:themeColor="background1"/>
                <w:sz w:val="2"/>
                <w:szCs w:val="2"/>
              </w:rPr>
              <w:t>Description</w:t>
            </w:r>
          </w:p>
        </w:tc>
      </w:tr>
      <w:tr w:rsidR="008B31BD" w:rsidRPr="00C4084C" w14:paraId="20E97669" w14:textId="77777777" w:rsidTr="00C64B96">
        <w:trPr>
          <w:trHeight w:val="454"/>
        </w:trPr>
        <w:tc>
          <w:tcPr>
            <w:tcW w:w="2878" w:type="dxa"/>
          </w:tcPr>
          <w:p w14:paraId="49B7BE07" w14:textId="369CC392" w:rsidR="002E1C2E" w:rsidRPr="00C4084C" w:rsidRDefault="002E1C2E" w:rsidP="0095265D">
            <w:pPr>
              <w:rPr>
                <w:rFonts w:cs="Arial"/>
                <w:b/>
              </w:rPr>
            </w:pPr>
            <w:r w:rsidRPr="00C4084C">
              <w:rPr>
                <w:rFonts w:cs="Arial"/>
                <w:b/>
              </w:rPr>
              <w:t xml:space="preserve">Accreditation </w:t>
            </w:r>
          </w:p>
        </w:tc>
        <w:tc>
          <w:tcPr>
            <w:tcW w:w="6148" w:type="dxa"/>
          </w:tcPr>
          <w:p w14:paraId="2901FAFF" w14:textId="1E4DC2A7" w:rsidR="002E1C2E" w:rsidRPr="00C4084C" w:rsidRDefault="002E1C2E" w:rsidP="0095265D">
            <w:pPr>
              <w:rPr>
                <w:rFonts w:cs="Arial"/>
              </w:rPr>
            </w:pPr>
            <w:r w:rsidRPr="00C4084C">
              <w:rPr>
                <w:rFonts w:cs="Arial"/>
              </w:rPr>
              <w:t>Accreditation by an accreditation body means that an Australian university meets the government's high standards for academic excellence and student experience.</w:t>
            </w:r>
          </w:p>
        </w:tc>
      </w:tr>
      <w:tr w:rsidR="0076663C" w:rsidRPr="00C4084C" w14:paraId="697D1928" w14:textId="77777777" w:rsidTr="00C64B96">
        <w:trPr>
          <w:trHeight w:val="454"/>
        </w:trPr>
        <w:tc>
          <w:tcPr>
            <w:tcW w:w="2878" w:type="dxa"/>
          </w:tcPr>
          <w:p w14:paraId="46AF8991" w14:textId="7D99BB4F" w:rsidR="0076663C" w:rsidRPr="00C4084C" w:rsidRDefault="0076663C" w:rsidP="0095265D">
            <w:pPr>
              <w:rPr>
                <w:rFonts w:cs="Arial"/>
                <w:b/>
              </w:rPr>
            </w:pPr>
            <w:r w:rsidRPr="00C4084C">
              <w:rPr>
                <w:rFonts w:cs="Arial"/>
                <w:b/>
              </w:rPr>
              <w:t>Attainment</w:t>
            </w:r>
          </w:p>
        </w:tc>
        <w:tc>
          <w:tcPr>
            <w:tcW w:w="6148" w:type="dxa"/>
          </w:tcPr>
          <w:p w14:paraId="573D65F4" w14:textId="677641A1" w:rsidR="0076663C" w:rsidRPr="00C4084C" w:rsidRDefault="0076663C" w:rsidP="0095265D">
            <w:pPr>
              <w:rPr>
                <w:rFonts w:cs="Arial"/>
              </w:rPr>
            </w:pPr>
            <w:r w:rsidRPr="00C4084C">
              <w:rPr>
                <w:rFonts w:cs="Arial"/>
              </w:rPr>
              <w:t>Attainment of completion of a higher education qualification</w:t>
            </w:r>
            <w:r w:rsidR="004A59B4" w:rsidRPr="00C4084C">
              <w:rPr>
                <w:rFonts w:cs="Arial"/>
              </w:rPr>
              <w:t>.</w:t>
            </w:r>
          </w:p>
        </w:tc>
      </w:tr>
      <w:tr w:rsidR="008D2DBD" w:rsidRPr="00C4084C" w14:paraId="2666582D" w14:textId="77777777" w:rsidTr="00C64B96">
        <w:trPr>
          <w:trHeight w:val="454"/>
        </w:trPr>
        <w:tc>
          <w:tcPr>
            <w:tcW w:w="2878" w:type="dxa"/>
          </w:tcPr>
          <w:p w14:paraId="198A3D41" w14:textId="175155DF" w:rsidR="00156395" w:rsidRPr="00C4084C" w:rsidRDefault="00F82E8F" w:rsidP="0095265D">
            <w:pPr>
              <w:rPr>
                <w:rFonts w:cs="Arial"/>
                <w:b/>
              </w:rPr>
            </w:pPr>
            <w:r w:rsidRPr="00C4084C">
              <w:rPr>
                <w:rFonts w:cs="Arial"/>
                <w:b/>
              </w:rPr>
              <w:t>Attrition</w:t>
            </w:r>
          </w:p>
        </w:tc>
        <w:tc>
          <w:tcPr>
            <w:tcW w:w="6148" w:type="dxa"/>
          </w:tcPr>
          <w:p w14:paraId="675CABC5" w14:textId="5A0E8CBB" w:rsidR="00156395" w:rsidRPr="00C4084C" w:rsidRDefault="00B730F2" w:rsidP="0095265D">
            <w:pPr>
              <w:rPr>
                <w:rFonts w:cs="Arial"/>
              </w:rPr>
            </w:pPr>
            <w:r w:rsidRPr="00C4084C">
              <w:rPr>
                <w:rFonts w:cs="Arial"/>
              </w:rPr>
              <w:t>Attrition rate is a measure of the proportion of students leaving the higher education system after their first year.</w:t>
            </w:r>
          </w:p>
        </w:tc>
      </w:tr>
      <w:tr w:rsidR="007B321E" w:rsidRPr="00C4084C" w14:paraId="0A546BB7" w14:textId="77777777" w:rsidTr="00C64B96">
        <w:trPr>
          <w:trHeight w:val="454"/>
        </w:trPr>
        <w:tc>
          <w:tcPr>
            <w:tcW w:w="2878" w:type="dxa"/>
          </w:tcPr>
          <w:p w14:paraId="23FC3241" w14:textId="77777777" w:rsidR="007B321E" w:rsidRPr="00C4084C" w:rsidRDefault="007B321E" w:rsidP="0095265D">
            <w:pPr>
              <w:rPr>
                <w:rFonts w:cs="Arial"/>
                <w:b/>
                <w:bCs/>
              </w:rPr>
            </w:pPr>
            <w:r w:rsidRPr="00C4084C">
              <w:rPr>
                <w:rFonts w:cs="Arial"/>
                <w:b/>
              </w:rPr>
              <w:t>AUKUS</w:t>
            </w:r>
          </w:p>
        </w:tc>
        <w:tc>
          <w:tcPr>
            <w:tcW w:w="6148" w:type="dxa"/>
          </w:tcPr>
          <w:p w14:paraId="1D20B1DF" w14:textId="1BC30247" w:rsidR="007B321E" w:rsidRPr="00C4084C" w:rsidRDefault="007B321E" w:rsidP="0095265D">
            <w:pPr>
              <w:rPr>
                <w:rFonts w:eastAsia="Arial" w:cs="Arial"/>
                <w:color w:val="000000" w:themeColor="text1"/>
              </w:rPr>
            </w:pPr>
            <w:r w:rsidRPr="00C4084C">
              <w:rPr>
                <w:rFonts w:cs="Arial"/>
              </w:rPr>
              <w:t xml:space="preserve">The trilateral security partnership between Australia, the United </w:t>
            </w:r>
            <w:proofErr w:type="gramStart"/>
            <w:r w:rsidRPr="00C4084C">
              <w:rPr>
                <w:rFonts w:cs="Arial"/>
              </w:rPr>
              <w:t>Kingdom</w:t>
            </w:r>
            <w:proofErr w:type="gramEnd"/>
            <w:r w:rsidRPr="00C4084C">
              <w:rPr>
                <w:rFonts w:cs="Arial"/>
              </w:rPr>
              <w:t xml:space="preserve"> and the United States</w:t>
            </w:r>
            <w:r w:rsidR="004A59B4" w:rsidRPr="00C4084C">
              <w:rPr>
                <w:rFonts w:cs="Arial"/>
              </w:rPr>
              <w:t>.</w:t>
            </w:r>
          </w:p>
        </w:tc>
      </w:tr>
      <w:tr w:rsidR="008D2DBD" w:rsidRPr="00C4084C" w14:paraId="38671D25" w14:textId="77777777" w:rsidTr="00C64B96">
        <w:trPr>
          <w:trHeight w:val="454"/>
        </w:trPr>
        <w:tc>
          <w:tcPr>
            <w:tcW w:w="2878" w:type="dxa"/>
          </w:tcPr>
          <w:p w14:paraId="32C0F2D9" w14:textId="0488EF58" w:rsidR="004D22FC" w:rsidRPr="00C4084C" w:rsidRDefault="004D22FC" w:rsidP="0095265D">
            <w:pPr>
              <w:rPr>
                <w:rFonts w:cs="Arial"/>
                <w:b/>
              </w:rPr>
            </w:pPr>
            <w:r w:rsidRPr="00C4084C">
              <w:rPr>
                <w:rFonts w:cs="Arial"/>
                <w:b/>
              </w:rPr>
              <w:t>Australian Qualification</w:t>
            </w:r>
            <w:r w:rsidR="00C12283" w:rsidRPr="00C4084C">
              <w:rPr>
                <w:rFonts w:cs="Arial"/>
                <w:b/>
              </w:rPr>
              <w:t>s Framework (AQF)</w:t>
            </w:r>
          </w:p>
        </w:tc>
        <w:tc>
          <w:tcPr>
            <w:tcW w:w="6148" w:type="dxa"/>
          </w:tcPr>
          <w:p w14:paraId="2F314261" w14:textId="73CB1B4D" w:rsidR="004D22FC" w:rsidRPr="00C4084C" w:rsidRDefault="002C7250" w:rsidP="0095265D">
            <w:pPr>
              <w:rPr>
                <w:rFonts w:cs="Arial"/>
              </w:rPr>
            </w:pPr>
            <w:r w:rsidRPr="00C4084C">
              <w:rPr>
                <w:rFonts w:cs="Arial"/>
              </w:rPr>
              <w:t>AQF d</w:t>
            </w:r>
            <w:r w:rsidR="00C12283" w:rsidRPr="00C4084C">
              <w:rPr>
                <w:rFonts w:cs="Arial"/>
              </w:rPr>
              <w:t xml:space="preserve">efines the essential characteristics, including the required learning outcomes, of the different types of qualifications issued across the senior secondary education, vocational </w:t>
            </w:r>
            <w:proofErr w:type="gramStart"/>
            <w:r w:rsidR="00C12283" w:rsidRPr="00C4084C">
              <w:rPr>
                <w:rFonts w:cs="Arial"/>
              </w:rPr>
              <w:t>education</w:t>
            </w:r>
            <w:proofErr w:type="gramEnd"/>
            <w:r w:rsidR="00C12283" w:rsidRPr="00C4084C">
              <w:rPr>
                <w:rFonts w:cs="Arial"/>
              </w:rPr>
              <w:t xml:space="preserve"> and training (VET) and higher education systems in Australia.</w:t>
            </w:r>
          </w:p>
        </w:tc>
      </w:tr>
      <w:tr w:rsidR="007B321E" w:rsidRPr="00C4084C" w14:paraId="7BB8EDA6" w14:textId="77777777" w:rsidTr="00C64B96">
        <w:trPr>
          <w:trHeight w:val="454"/>
        </w:trPr>
        <w:tc>
          <w:tcPr>
            <w:tcW w:w="2878" w:type="dxa"/>
          </w:tcPr>
          <w:p w14:paraId="63B50BB1" w14:textId="4A94D80C" w:rsidR="007B321E" w:rsidRPr="00C4084C" w:rsidRDefault="00753A70" w:rsidP="0095265D">
            <w:pPr>
              <w:rPr>
                <w:rFonts w:cs="Arial"/>
                <w:b/>
                <w:bCs/>
              </w:rPr>
            </w:pPr>
            <w:proofErr w:type="spellStart"/>
            <w:r w:rsidRPr="00C4084C">
              <w:rPr>
                <w:rFonts w:cs="Arial"/>
                <w:b/>
              </w:rPr>
              <w:t>Austudy</w:t>
            </w:r>
            <w:proofErr w:type="spellEnd"/>
          </w:p>
        </w:tc>
        <w:tc>
          <w:tcPr>
            <w:tcW w:w="6148" w:type="dxa"/>
          </w:tcPr>
          <w:p w14:paraId="338E78B1" w14:textId="1D84C744" w:rsidR="007B321E" w:rsidRPr="00C4084C" w:rsidRDefault="007B321E" w:rsidP="0095265D">
            <w:pPr>
              <w:rPr>
                <w:rFonts w:eastAsia="Arial" w:cs="Arial"/>
                <w:color w:val="000000" w:themeColor="text1"/>
              </w:rPr>
            </w:pPr>
            <w:r w:rsidRPr="00C4084C">
              <w:rPr>
                <w:rFonts w:cs="Arial"/>
              </w:rPr>
              <w:t>Income support payment for students above the age of 25</w:t>
            </w:r>
            <w:r w:rsidR="004A59B4" w:rsidRPr="00C4084C">
              <w:rPr>
                <w:rFonts w:cs="Arial"/>
              </w:rPr>
              <w:t>.</w:t>
            </w:r>
          </w:p>
        </w:tc>
      </w:tr>
      <w:tr w:rsidR="007B321E" w:rsidRPr="00C4084C" w14:paraId="2A9C17A9" w14:textId="77777777" w:rsidTr="00C64B96">
        <w:trPr>
          <w:trHeight w:val="454"/>
        </w:trPr>
        <w:tc>
          <w:tcPr>
            <w:tcW w:w="2878" w:type="dxa"/>
          </w:tcPr>
          <w:p w14:paraId="0081E0DC" w14:textId="310B04C6" w:rsidR="007B321E" w:rsidRPr="00C4084C" w:rsidRDefault="007B321E" w:rsidP="0095265D">
            <w:pPr>
              <w:rPr>
                <w:rFonts w:cs="Arial"/>
                <w:b/>
                <w:bCs/>
              </w:rPr>
            </w:pPr>
            <w:r w:rsidRPr="00C4084C">
              <w:rPr>
                <w:rFonts w:cs="Arial"/>
                <w:b/>
                <w:bCs/>
              </w:rPr>
              <w:t>Basic research</w:t>
            </w:r>
          </w:p>
        </w:tc>
        <w:tc>
          <w:tcPr>
            <w:tcW w:w="6148" w:type="dxa"/>
          </w:tcPr>
          <w:p w14:paraId="119C0C9A" w14:textId="77777777" w:rsidR="007B321E" w:rsidRPr="00C4084C" w:rsidRDefault="007B321E" w:rsidP="0095265D">
            <w:pPr>
              <w:rPr>
                <w:rFonts w:eastAsia="Arial" w:cs="Arial"/>
                <w:color w:val="000000" w:themeColor="text1"/>
              </w:rPr>
            </w:pPr>
            <w:r w:rsidRPr="00C4084C">
              <w:rPr>
                <w:rFonts w:cs="Arial"/>
              </w:rPr>
              <w:t>Basic or pure basic research is experimental and theoretical work undertaken to acquire new knowledge without looking for long term benefits other than the advancement of knowledge.</w:t>
            </w:r>
          </w:p>
        </w:tc>
      </w:tr>
      <w:tr w:rsidR="008D2DBD" w:rsidRPr="00C4084C" w14:paraId="6504EF7B" w14:textId="77777777" w:rsidTr="00C64B96">
        <w:trPr>
          <w:trHeight w:val="454"/>
        </w:trPr>
        <w:tc>
          <w:tcPr>
            <w:tcW w:w="2878" w:type="dxa"/>
          </w:tcPr>
          <w:p w14:paraId="1C838BC8" w14:textId="3767244D" w:rsidR="003E1B1E" w:rsidRPr="00C4084C" w:rsidRDefault="003E1B1E" w:rsidP="0095265D">
            <w:pPr>
              <w:rPr>
                <w:rFonts w:cs="Arial"/>
                <w:b/>
                <w:bCs/>
              </w:rPr>
            </w:pPr>
            <w:r w:rsidRPr="00C4084C">
              <w:rPr>
                <w:rFonts w:cs="Arial"/>
                <w:b/>
                <w:bCs/>
              </w:rPr>
              <w:t>Commonwealth supported place</w:t>
            </w:r>
          </w:p>
        </w:tc>
        <w:tc>
          <w:tcPr>
            <w:tcW w:w="6148" w:type="dxa"/>
          </w:tcPr>
          <w:p w14:paraId="7D963744" w14:textId="4F45E738" w:rsidR="003E1B1E" w:rsidRPr="00C4084C" w:rsidRDefault="00E100A2" w:rsidP="0095265D">
            <w:pPr>
              <w:rPr>
                <w:rFonts w:cs="Arial"/>
              </w:rPr>
            </w:pPr>
            <w:r w:rsidRPr="00C4084C">
              <w:rPr>
                <w:rFonts w:cs="Arial"/>
              </w:rPr>
              <w:t xml:space="preserve">A Commonwealth supported place </w:t>
            </w:r>
            <w:r w:rsidR="0092134A" w:rsidRPr="00C4084C">
              <w:rPr>
                <w:rFonts w:cs="Arial"/>
              </w:rPr>
              <w:t>(CSP)</w:t>
            </w:r>
            <w:r w:rsidRPr="00C4084C">
              <w:rPr>
                <w:rFonts w:cs="Arial"/>
              </w:rPr>
              <w:t xml:space="preserve"> is a </w:t>
            </w:r>
            <w:r w:rsidR="008B1004" w:rsidRPr="00C4084C">
              <w:rPr>
                <w:rFonts w:cs="Arial"/>
              </w:rPr>
              <w:t xml:space="preserve">higher education </w:t>
            </w:r>
            <w:r w:rsidR="0092134A" w:rsidRPr="00C4084C">
              <w:rPr>
                <w:rFonts w:cs="Arial"/>
              </w:rPr>
              <w:t>place subsidised by the Australian Government</w:t>
            </w:r>
            <w:r w:rsidR="242BED74" w:rsidRPr="00C4084C">
              <w:rPr>
                <w:rFonts w:cs="Arial"/>
              </w:rPr>
              <w:t xml:space="preserve"> and </w:t>
            </w:r>
            <w:r w:rsidR="00B061D1">
              <w:rPr>
                <w:rFonts w:cs="Arial"/>
              </w:rPr>
              <w:t>for</w:t>
            </w:r>
            <w:r w:rsidR="00B061D1" w:rsidRPr="00C4084C">
              <w:rPr>
                <w:rFonts w:cs="Arial"/>
              </w:rPr>
              <w:t xml:space="preserve"> </w:t>
            </w:r>
            <w:r w:rsidR="242BED74" w:rsidRPr="00C4084C">
              <w:rPr>
                <w:rFonts w:cs="Arial"/>
              </w:rPr>
              <w:t>which the student contribution is regulated by the Government.</w:t>
            </w:r>
            <w:r w:rsidR="008B1004" w:rsidRPr="00C4084C">
              <w:rPr>
                <w:rFonts w:cs="Arial"/>
              </w:rPr>
              <w:t xml:space="preserve"> </w:t>
            </w:r>
          </w:p>
        </w:tc>
      </w:tr>
      <w:tr w:rsidR="006339D2" w:rsidRPr="00C4084C" w14:paraId="4D41D851" w14:textId="77777777" w:rsidTr="00C64B96">
        <w:trPr>
          <w:trHeight w:val="454"/>
        </w:trPr>
        <w:tc>
          <w:tcPr>
            <w:tcW w:w="2878" w:type="dxa"/>
          </w:tcPr>
          <w:p w14:paraId="46AD75BA" w14:textId="5ECF3791" w:rsidR="00F82E8F" w:rsidRPr="00C4084C" w:rsidRDefault="00F82E8F" w:rsidP="0095265D">
            <w:pPr>
              <w:rPr>
                <w:rFonts w:cs="Arial"/>
                <w:b/>
                <w:bCs/>
              </w:rPr>
            </w:pPr>
            <w:r w:rsidRPr="00C4084C">
              <w:rPr>
                <w:rFonts w:cs="Arial"/>
                <w:b/>
                <w:bCs/>
              </w:rPr>
              <w:t>Enabling course</w:t>
            </w:r>
          </w:p>
        </w:tc>
        <w:tc>
          <w:tcPr>
            <w:tcW w:w="6148" w:type="dxa"/>
          </w:tcPr>
          <w:p w14:paraId="078A4AF9" w14:textId="73C54B88" w:rsidR="00F82E8F" w:rsidRPr="00C4084C" w:rsidRDefault="00B730F2" w:rsidP="0095265D">
            <w:pPr>
              <w:rPr>
                <w:rFonts w:cs="Arial"/>
              </w:rPr>
            </w:pPr>
            <w:r w:rsidRPr="00C4084C">
              <w:rPr>
                <w:rFonts w:cs="Arial"/>
              </w:rPr>
              <w:t>A course of instruction that enables a person to undertake a course leading to a higher education award.</w:t>
            </w:r>
          </w:p>
        </w:tc>
      </w:tr>
      <w:tr w:rsidR="006339D2" w:rsidRPr="00C4084C" w14:paraId="2CB4A4DB" w14:textId="77777777" w:rsidTr="00C64B96">
        <w:trPr>
          <w:trHeight w:val="454"/>
        </w:trPr>
        <w:tc>
          <w:tcPr>
            <w:tcW w:w="2878" w:type="dxa"/>
          </w:tcPr>
          <w:p w14:paraId="057F4150" w14:textId="41777054" w:rsidR="007331D3" w:rsidRPr="00C4084C" w:rsidRDefault="007331D3" w:rsidP="0095265D">
            <w:pPr>
              <w:rPr>
                <w:rFonts w:cs="Arial"/>
                <w:b/>
                <w:bCs/>
              </w:rPr>
            </w:pPr>
            <w:r w:rsidRPr="00C4084C">
              <w:rPr>
                <w:rFonts w:cs="Arial"/>
                <w:b/>
                <w:bCs/>
              </w:rPr>
              <w:t>Equivalent Full Time Student Load</w:t>
            </w:r>
          </w:p>
        </w:tc>
        <w:tc>
          <w:tcPr>
            <w:tcW w:w="6148" w:type="dxa"/>
          </w:tcPr>
          <w:p w14:paraId="7DF93BC7" w14:textId="1FF24797" w:rsidR="007331D3" w:rsidRPr="00C4084C" w:rsidRDefault="006A724F" w:rsidP="0095265D">
            <w:pPr>
              <w:rPr>
                <w:rFonts w:cs="Arial"/>
              </w:rPr>
            </w:pPr>
            <w:r w:rsidRPr="00C4084C">
              <w:rPr>
                <w:rFonts w:cs="Arial"/>
              </w:rPr>
              <w:t>Equivalent Full-Time Student Load (EFTSL) is a measure of a full-time student’s annual study load.</w:t>
            </w:r>
          </w:p>
        </w:tc>
      </w:tr>
      <w:tr w:rsidR="00F76B22" w:rsidRPr="00C4084C" w14:paraId="0B7C3215" w14:textId="77777777" w:rsidTr="00C64B96">
        <w:trPr>
          <w:trHeight w:val="454"/>
        </w:trPr>
        <w:tc>
          <w:tcPr>
            <w:tcW w:w="2878" w:type="dxa"/>
          </w:tcPr>
          <w:p w14:paraId="2A6C8F72" w14:textId="1A630771" w:rsidR="00F76B22" w:rsidRPr="00C4084C" w:rsidRDefault="00F76B22" w:rsidP="0095265D">
            <w:pPr>
              <w:rPr>
                <w:rFonts w:cs="Arial"/>
                <w:b/>
                <w:bCs/>
              </w:rPr>
            </w:pPr>
            <w:r w:rsidRPr="00C4084C">
              <w:rPr>
                <w:rFonts w:cs="Arial"/>
                <w:b/>
                <w:bCs/>
              </w:rPr>
              <w:t>Future Fund</w:t>
            </w:r>
          </w:p>
        </w:tc>
        <w:tc>
          <w:tcPr>
            <w:tcW w:w="6148" w:type="dxa"/>
          </w:tcPr>
          <w:p w14:paraId="21C7DD29" w14:textId="7250C483" w:rsidR="00F76B22" w:rsidRPr="00C4084C" w:rsidRDefault="008B31BD" w:rsidP="0095265D">
            <w:pPr>
              <w:rPr>
                <w:rFonts w:cs="Arial"/>
              </w:rPr>
            </w:pPr>
            <w:r w:rsidRPr="00C4084C">
              <w:rPr>
                <w:rFonts w:cs="Arial"/>
              </w:rPr>
              <w:t>The Future Fund is Australia’s sovereign wealth fund. A sovereign wealth fund manages money on behalf of the Federal Government.</w:t>
            </w:r>
          </w:p>
        </w:tc>
      </w:tr>
      <w:tr w:rsidR="000E24AA" w:rsidRPr="00C4084C" w14:paraId="40E0F5D9" w14:textId="77777777" w:rsidTr="00C64B96">
        <w:trPr>
          <w:trHeight w:val="454"/>
        </w:trPr>
        <w:tc>
          <w:tcPr>
            <w:tcW w:w="2878" w:type="dxa"/>
          </w:tcPr>
          <w:p w14:paraId="075E0B2D" w14:textId="09625327" w:rsidR="000E24AA" w:rsidRPr="00C4084C" w:rsidRDefault="009C4FA4" w:rsidP="000E24AA">
            <w:pPr>
              <w:rPr>
                <w:rFonts w:cs="Arial"/>
                <w:b/>
                <w:bCs/>
              </w:rPr>
            </w:pPr>
            <w:r w:rsidRPr="00C4084C">
              <w:rPr>
                <w:rFonts w:cs="Arial"/>
                <w:b/>
                <w:bCs/>
              </w:rPr>
              <w:t>Generic skills</w:t>
            </w:r>
          </w:p>
        </w:tc>
        <w:tc>
          <w:tcPr>
            <w:tcW w:w="6148" w:type="dxa"/>
          </w:tcPr>
          <w:p w14:paraId="3DDF76E5" w14:textId="47C42D27" w:rsidR="000E24AA" w:rsidRPr="00C4084C" w:rsidRDefault="009C4FA4" w:rsidP="000E24AA">
            <w:pPr>
              <w:rPr>
                <w:rFonts w:cs="Arial"/>
              </w:rPr>
            </w:pPr>
            <w:r w:rsidRPr="00C4084C">
              <w:rPr>
                <w:rFonts w:eastAsia="Arial" w:cs="Arial"/>
                <w:color w:val="000000" w:themeColor="text1"/>
              </w:rPr>
              <w:t xml:space="preserve">Such as analytical, social, </w:t>
            </w:r>
            <w:proofErr w:type="gramStart"/>
            <w:r w:rsidRPr="00C4084C">
              <w:rPr>
                <w:rFonts w:eastAsia="Arial" w:cs="Arial"/>
                <w:color w:val="000000" w:themeColor="text1"/>
              </w:rPr>
              <w:t>written</w:t>
            </w:r>
            <w:proofErr w:type="gramEnd"/>
            <w:r w:rsidRPr="00C4084C">
              <w:rPr>
                <w:rFonts w:eastAsia="Arial" w:cs="Arial"/>
                <w:color w:val="000000" w:themeColor="text1"/>
              </w:rPr>
              <w:t xml:space="preserve"> and verbal communication, creativity and learning skills.</w:t>
            </w:r>
          </w:p>
        </w:tc>
      </w:tr>
      <w:tr w:rsidR="007B321E" w:rsidRPr="00C4084C" w14:paraId="292A4021" w14:textId="77777777" w:rsidTr="00C64B96">
        <w:trPr>
          <w:trHeight w:val="454"/>
        </w:trPr>
        <w:tc>
          <w:tcPr>
            <w:tcW w:w="2878" w:type="dxa"/>
          </w:tcPr>
          <w:p w14:paraId="414477B6" w14:textId="046C0D03" w:rsidR="007B321E" w:rsidRPr="00C4084C" w:rsidRDefault="009C4FA4" w:rsidP="0095265D">
            <w:pPr>
              <w:rPr>
                <w:rFonts w:cs="Arial"/>
                <w:b/>
              </w:rPr>
            </w:pPr>
            <w:r w:rsidRPr="00C4084C">
              <w:rPr>
                <w:rFonts w:cs="Arial"/>
                <w:b/>
              </w:rPr>
              <w:t>Low SES</w:t>
            </w:r>
          </w:p>
        </w:tc>
        <w:tc>
          <w:tcPr>
            <w:tcW w:w="6148" w:type="dxa"/>
          </w:tcPr>
          <w:p w14:paraId="02559B0F" w14:textId="3408ABEA" w:rsidR="007B321E" w:rsidRPr="00C4084C" w:rsidRDefault="009C4FA4" w:rsidP="0095265D">
            <w:pPr>
              <w:rPr>
                <w:rFonts w:cs="Arial"/>
              </w:rPr>
            </w:pPr>
            <w:r w:rsidRPr="00C4084C">
              <w:rPr>
                <w:rFonts w:cs="Arial"/>
              </w:rPr>
              <w:t xml:space="preserve">Low socio-economic status. </w:t>
            </w:r>
            <w:r w:rsidRPr="00C4084C">
              <w:rPr>
                <w:rFonts w:eastAsia="Arial" w:cs="Arial"/>
              </w:rPr>
              <w:t xml:space="preserve">In the Higher Education Data Collection, students from low SES backgrounds refers to students whose address is in an area in the bottom 25% of the SEIFA Education and Occupation Index for 15 to 64-year-olds, by postcode or SA1. Unless otherwise specified, students from low SES backgrounds in this </w:t>
            </w:r>
            <w:r w:rsidR="00366128">
              <w:rPr>
                <w:rFonts w:eastAsia="Arial" w:cs="Arial"/>
              </w:rPr>
              <w:t>R</w:t>
            </w:r>
            <w:r w:rsidRPr="00C4084C">
              <w:rPr>
                <w:rFonts w:eastAsia="Arial" w:cs="Arial"/>
              </w:rPr>
              <w:t>eport refers to First Address Low SES SA1 measures (based on a student's permanent home address at the commencement of study)</w:t>
            </w:r>
            <w:r w:rsidR="004A59B4" w:rsidRPr="00C4084C">
              <w:rPr>
                <w:rFonts w:eastAsia="Arial" w:cs="Arial"/>
              </w:rPr>
              <w:t>.</w:t>
            </w:r>
          </w:p>
        </w:tc>
      </w:tr>
      <w:tr w:rsidR="00C64B96" w:rsidRPr="00C4084C" w14:paraId="0BEF6F8A" w14:textId="77777777" w:rsidTr="00C64B96">
        <w:trPr>
          <w:trHeight w:val="454"/>
        </w:trPr>
        <w:tc>
          <w:tcPr>
            <w:tcW w:w="2878" w:type="dxa"/>
          </w:tcPr>
          <w:p w14:paraId="04C3FF44" w14:textId="7316E1DB" w:rsidR="00C64B96" w:rsidRPr="00C4084C" w:rsidRDefault="00C64B96" w:rsidP="00C64B96">
            <w:pPr>
              <w:rPr>
                <w:rFonts w:cs="Arial"/>
                <w:b/>
              </w:rPr>
            </w:pPr>
            <w:r w:rsidRPr="00C4084C">
              <w:rPr>
                <w:rFonts w:cs="Arial"/>
                <w:b/>
                <w:bCs/>
              </w:rPr>
              <w:lastRenderedPageBreak/>
              <w:t>Mature-aged students</w:t>
            </w:r>
          </w:p>
        </w:tc>
        <w:tc>
          <w:tcPr>
            <w:tcW w:w="6148" w:type="dxa"/>
          </w:tcPr>
          <w:p w14:paraId="6E249184" w14:textId="4FEF19BB" w:rsidR="00C64B96" w:rsidRPr="00C4084C" w:rsidRDefault="00C64B96" w:rsidP="00C64B96">
            <w:pPr>
              <w:rPr>
                <w:rFonts w:cs="Arial"/>
              </w:rPr>
            </w:pPr>
            <w:r w:rsidRPr="00C4084C">
              <w:rPr>
                <w:rFonts w:cs="Arial"/>
              </w:rPr>
              <w:t>Students over the age of 25</w:t>
            </w:r>
            <w:r w:rsidR="004D5695">
              <w:rPr>
                <w:rFonts w:cs="Arial"/>
              </w:rPr>
              <w:t>.</w:t>
            </w:r>
          </w:p>
        </w:tc>
      </w:tr>
      <w:tr w:rsidR="008D2DBD" w:rsidRPr="00C4084C" w14:paraId="65833404" w14:textId="77777777" w:rsidTr="00C64B96">
        <w:trPr>
          <w:trHeight w:val="454"/>
        </w:trPr>
        <w:tc>
          <w:tcPr>
            <w:tcW w:w="2878" w:type="dxa"/>
          </w:tcPr>
          <w:p w14:paraId="42678E7B" w14:textId="1C1CBD23" w:rsidR="00A75818" w:rsidRPr="00C4084C" w:rsidRDefault="00A75818" w:rsidP="0095265D">
            <w:pPr>
              <w:rPr>
                <w:rFonts w:cs="Arial"/>
                <w:b/>
              </w:rPr>
            </w:pPr>
            <w:proofErr w:type="spellStart"/>
            <w:r w:rsidRPr="00C4084C">
              <w:rPr>
                <w:rFonts w:cs="Arial"/>
                <w:b/>
              </w:rPr>
              <w:t>Microcredential</w:t>
            </w:r>
            <w:proofErr w:type="spellEnd"/>
          </w:p>
        </w:tc>
        <w:tc>
          <w:tcPr>
            <w:tcW w:w="6148" w:type="dxa"/>
          </w:tcPr>
          <w:p w14:paraId="19D1DEC0" w14:textId="1590A383" w:rsidR="00A75818" w:rsidRPr="00C4084C" w:rsidRDefault="005B7F38" w:rsidP="0095265D">
            <w:pPr>
              <w:rPr>
                <w:rFonts w:cs="Arial"/>
              </w:rPr>
            </w:pPr>
            <w:proofErr w:type="spellStart"/>
            <w:r w:rsidRPr="00C4084C">
              <w:rPr>
                <w:rFonts w:cs="Arial"/>
              </w:rPr>
              <w:t>Microcredentials</w:t>
            </w:r>
            <w:proofErr w:type="spellEnd"/>
            <w:r w:rsidRPr="00C4084C">
              <w:rPr>
                <w:rFonts w:cs="Arial"/>
              </w:rPr>
              <w:t xml:space="preserve"> are small courses in a specific area of study, with a focus on upskilling and reskilling in short timeframes.</w:t>
            </w:r>
          </w:p>
        </w:tc>
      </w:tr>
      <w:tr w:rsidR="008D2DBD" w:rsidRPr="00C4084C" w14:paraId="2D8CB5BE" w14:textId="77777777" w:rsidTr="00C64B96">
        <w:trPr>
          <w:trHeight w:val="454"/>
        </w:trPr>
        <w:tc>
          <w:tcPr>
            <w:tcW w:w="2878" w:type="dxa"/>
          </w:tcPr>
          <w:p w14:paraId="66A6022F" w14:textId="66EC28BC" w:rsidR="00C11C46" w:rsidRPr="00C4084C" w:rsidRDefault="00C11C46" w:rsidP="0095265D">
            <w:pPr>
              <w:rPr>
                <w:rFonts w:cs="Arial"/>
                <w:b/>
              </w:rPr>
            </w:pPr>
            <w:r w:rsidRPr="00C4084C">
              <w:rPr>
                <w:rFonts w:cs="Arial"/>
                <w:b/>
              </w:rPr>
              <w:t>Mission-based compacts</w:t>
            </w:r>
          </w:p>
        </w:tc>
        <w:tc>
          <w:tcPr>
            <w:tcW w:w="6148" w:type="dxa"/>
          </w:tcPr>
          <w:p w14:paraId="09AEA177" w14:textId="7E8C086F" w:rsidR="00C11C46" w:rsidRPr="00C4084C" w:rsidRDefault="002C7F9C" w:rsidP="0095265D">
            <w:pPr>
              <w:rPr>
                <w:rFonts w:cs="Arial"/>
              </w:rPr>
            </w:pPr>
            <w:r w:rsidRPr="00C4084C">
              <w:rPr>
                <w:rFonts w:cs="Arial"/>
              </w:rPr>
              <w:t>Mission-based compacts</w:t>
            </w:r>
            <w:r w:rsidR="00C11C46" w:rsidRPr="00C4084C">
              <w:rPr>
                <w:rFonts w:cs="Arial"/>
              </w:rPr>
              <w:t xml:space="preserve"> provide a strategic framework for the relationship between the Commonwealth and each higher education provider. It sets out how each provider’s mission aligns with the Commonwealth’s goals for higher education, innovation, teaching and learning, research and research training</w:t>
            </w:r>
            <w:r w:rsidR="00B061D1">
              <w:rPr>
                <w:rFonts w:cs="Arial"/>
              </w:rPr>
              <w:t>,</w:t>
            </w:r>
            <w:r w:rsidR="00C11C46" w:rsidRPr="00C4084C">
              <w:rPr>
                <w:rFonts w:cs="Arial"/>
              </w:rPr>
              <w:t xml:space="preserve"> and equity.</w:t>
            </w:r>
          </w:p>
        </w:tc>
      </w:tr>
      <w:tr w:rsidR="00972B28" w:rsidRPr="00C4084C" w14:paraId="6C72D76F" w14:textId="77777777" w:rsidTr="00C64B96">
        <w:trPr>
          <w:trHeight w:val="454"/>
        </w:trPr>
        <w:tc>
          <w:tcPr>
            <w:tcW w:w="2878" w:type="dxa"/>
          </w:tcPr>
          <w:p w14:paraId="614B295E" w14:textId="0CE4E90B" w:rsidR="007F26DB" w:rsidRPr="00C4084C" w:rsidRDefault="007F26DB" w:rsidP="0095265D">
            <w:pPr>
              <w:rPr>
                <w:rFonts w:cs="Arial"/>
                <w:b/>
              </w:rPr>
            </w:pPr>
            <w:r w:rsidRPr="00C4084C">
              <w:rPr>
                <w:rFonts w:cs="Arial"/>
                <w:b/>
              </w:rPr>
              <w:t>Needs-based funding</w:t>
            </w:r>
          </w:p>
        </w:tc>
        <w:tc>
          <w:tcPr>
            <w:tcW w:w="6148" w:type="dxa"/>
          </w:tcPr>
          <w:p w14:paraId="1B7ED9B6" w14:textId="31F36982" w:rsidR="007F26DB" w:rsidRPr="00C4084C" w:rsidRDefault="0026071A" w:rsidP="0095265D">
            <w:pPr>
              <w:rPr>
                <w:rFonts w:cs="Arial"/>
              </w:rPr>
            </w:pPr>
            <w:r w:rsidRPr="00C4084C">
              <w:rPr>
                <w:rFonts w:cs="Arial"/>
              </w:rPr>
              <w:t>Component of the proposed new funding model for higher education</w:t>
            </w:r>
            <w:r w:rsidR="00C14D7A" w:rsidRPr="00C4084C">
              <w:rPr>
                <w:rFonts w:cs="Arial"/>
              </w:rPr>
              <w:t xml:space="preserve"> </w:t>
            </w:r>
            <w:r w:rsidR="00AA2994" w:rsidRPr="00C4084C">
              <w:rPr>
                <w:rFonts w:cs="Arial"/>
              </w:rPr>
              <w:t xml:space="preserve">that recognises the additional support </w:t>
            </w:r>
            <w:r w:rsidR="003F53E0" w:rsidRPr="00C4084C">
              <w:rPr>
                <w:rFonts w:cs="Arial"/>
              </w:rPr>
              <w:t>for students in target cohorts and</w:t>
            </w:r>
            <w:r w:rsidRPr="00C4084C">
              <w:rPr>
                <w:rFonts w:cs="Arial"/>
              </w:rPr>
              <w:t xml:space="preserve"> </w:t>
            </w:r>
            <w:r w:rsidR="00BA5A62" w:rsidRPr="00C4084C">
              <w:rPr>
                <w:rFonts w:cs="Arial"/>
              </w:rPr>
              <w:t xml:space="preserve">for courses delivered in regional areas. </w:t>
            </w:r>
          </w:p>
        </w:tc>
      </w:tr>
      <w:tr w:rsidR="0076663C" w:rsidRPr="00C4084C" w14:paraId="2A46159F" w14:textId="77777777" w:rsidTr="00C64B96">
        <w:trPr>
          <w:trHeight w:val="454"/>
        </w:trPr>
        <w:tc>
          <w:tcPr>
            <w:tcW w:w="2878" w:type="dxa"/>
          </w:tcPr>
          <w:p w14:paraId="5EF4A066" w14:textId="06359290" w:rsidR="0076663C" w:rsidRPr="00C4084C" w:rsidRDefault="0076663C" w:rsidP="0095265D">
            <w:pPr>
              <w:rPr>
                <w:rFonts w:cs="Arial"/>
                <w:b/>
              </w:rPr>
            </w:pPr>
            <w:r w:rsidRPr="00C4084C">
              <w:rPr>
                <w:rFonts w:cs="Arial"/>
                <w:b/>
              </w:rPr>
              <w:t>Participation</w:t>
            </w:r>
          </w:p>
        </w:tc>
        <w:tc>
          <w:tcPr>
            <w:tcW w:w="6148" w:type="dxa"/>
          </w:tcPr>
          <w:p w14:paraId="69BA4716" w14:textId="1CD2F2DD" w:rsidR="0076663C" w:rsidRPr="00C4084C" w:rsidRDefault="0069586E" w:rsidP="0095265D">
            <w:pPr>
              <w:rPr>
                <w:rFonts w:cs="Arial"/>
              </w:rPr>
            </w:pPr>
            <w:r w:rsidRPr="00C4084C">
              <w:rPr>
                <w:rFonts w:ascii="Calibri" w:eastAsia="Calibri" w:hAnsi="Calibri" w:cs="Calibri"/>
              </w:rPr>
              <w:t>T</w:t>
            </w:r>
            <w:r w:rsidR="6B0C3A2E" w:rsidRPr="00C4084C">
              <w:rPr>
                <w:rFonts w:ascii="Calibri" w:eastAsia="Calibri" w:hAnsi="Calibri" w:cs="Calibri"/>
              </w:rPr>
              <w:t xml:space="preserve">he stage of the student life course where people are enrolled in a higher education institution and engaged in study in any given year. Participation is often used to describe the level of representation of students from identified equity cohorts in undergraduate, postgraduate or all student enrolments at a higher education institution or nationally. Participation is usually measured through a participation rate (students in identified equity group/domestic onshore students). </w:t>
            </w:r>
          </w:p>
        </w:tc>
      </w:tr>
      <w:tr w:rsidR="0026071A" w:rsidRPr="00C4084C" w14:paraId="3F01BCFC" w14:textId="77777777" w:rsidTr="00C64B96">
        <w:trPr>
          <w:trHeight w:val="454"/>
        </w:trPr>
        <w:tc>
          <w:tcPr>
            <w:tcW w:w="2878" w:type="dxa"/>
          </w:tcPr>
          <w:p w14:paraId="30F0D644" w14:textId="1F94D0B8" w:rsidR="0026071A" w:rsidRPr="00C4084C" w:rsidRDefault="0026071A" w:rsidP="0095265D">
            <w:pPr>
              <w:rPr>
                <w:rFonts w:cs="Arial"/>
                <w:b/>
              </w:rPr>
            </w:pPr>
            <w:r w:rsidRPr="00C4084C">
              <w:rPr>
                <w:rFonts w:cs="Arial"/>
                <w:b/>
              </w:rPr>
              <w:t>Preparatory course</w:t>
            </w:r>
          </w:p>
        </w:tc>
        <w:tc>
          <w:tcPr>
            <w:tcW w:w="6148" w:type="dxa"/>
          </w:tcPr>
          <w:p w14:paraId="2258AD6C" w14:textId="28B86DB4" w:rsidR="0026071A" w:rsidRPr="00C4084C" w:rsidRDefault="00134594" w:rsidP="00CA27DB">
            <w:pPr>
              <w:rPr>
                <w:rFonts w:ascii="Calibri" w:eastAsia="Calibri" w:hAnsi="Calibri" w:cs="Calibri"/>
              </w:rPr>
            </w:pPr>
            <w:r>
              <w:t xml:space="preserve">Currently called enabling courses, a preparatory course is a university course that enables a person to </w:t>
            </w:r>
            <w:r w:rsidRPr="00F50407">
              <w:t>meet the entry requirements</w:t>
            </w:r>
            <w:r>
              <w:t xml:space="preserve"> for a higher education course. The </w:t>
            </w:r>
            <w:r w:rsidRPr="00F50407">
              <w:t>preparatory</w:t>
            </w:r>
            <w:r>
              <w:t xml:space="preserve"> course requirements may vary depending on the type of preparation required to meet the entry standards of a university.</w:t>
            </w:r>
          </w:p>
        </w:tc>
      </w:tr>
      <w:tr w:rsidR="007B321E" w:rsidRPr="00C4084C" w14:paraId="0B954AF8" w14:textId="77777777" w:rsidTr="00C64B96">
        <w:trPr>
          <w:trHeight w:val="454"/>
        </w:trPr>
        <w:tc>
          <w:tcPr>
            <w:tcW w:w="2878" w:type="dxa"/>
          </w:tcPr>
          <w:p w14:paraId="47D747C3" w14:textId="2506D345" w:rsidR="007B321E" w:rsidRPr="00C4084C" w:rsidRDefault="009C4FA4" w:rsidP="0095265D">
            <w:pPr>
              <w:rPr>
                <w:rFonts w:cs="Arial"/>
                <w:b/>
              </w:rPr>
            </w:pPr>
            <w:r w:rsidRPr="00C4084C">
              <w:rPr>
                <w:rFonts w:cs="Arial"/>
                <w:b/>
              </w:rPr>
              <w:t>Population parity</w:t>
            </w:r>
          </w:p>
        </w:tc>
        <w:tc>
          <w:tcPr>
            <w:tcW w:w="6148" w:type="dxa"/>
          </w:tcPr>
          <w:p w14:paraId="28E8F1E9" w14:textId="4BB8037A" w:rsidR="007B321E" w:rsidRPr="00C4084C" w:rsidRDefault="0069586E" w:rsidP="0095265D">
            <w:pPr>
              <w:rPr>
                <w:rFonts w:ascii="ArialMT" w:hAnsi="ArialMT" w:cs="ArialMT"/>
                <w14:ligatures w14:val="standardContextual"/>
              </w:rPr>
            </w:pPr>
            <w:r w:rsidRPr="00C4084C">
              <w:rPr>
                <w:rFonts w:cs="Arial"/>
              </w:rPr>
              <w:t xml:space="preserve">Achieved where representation of the target cohort in the student population is equal to that of their share of the Australian population aged 15 to 64 years. In this </w:t>
            </w:r>
            <w:r w:rsidR="00366128">
              <w:rPr>
                <w:rFonts w:cs="Arial"/>
              </w:rPr>
              <w:t>R</w:t>
            </w:r>
            <w:r w:rsidRPr="00C4084C">
              <w:rPr>
                <w:rFonts w:cs="Arial"/>
              </w:rPr>
              <w:t>eport, the chosen student population is domestic onshore undergraduate enrolments at Table A institutions.</w:t>
            </w:r>
            <w:r w:rsidRPr="00C4084C">
              <w:rPr>
                <w:rFonts w:ascii="ArialMT" w:hAnsi="ArialMT" w:cs="ArialMT"/>
                <w14:ligatures w14:val="standardContextual"/>
              </w:rPr>
              <w:t xml:space="preserve"> </w:t>
            </w:r>
          </w:p>
        </w:tc>
      </w:tr>
      <w:tr w:rsidR="00037FAC" w:rsidRPr="00C4084C" w14:paraId="69211BFC" w14:textId="77777777" w:rsidTr="00C64B96">
        <w:trPr>
          <w:trHeight w:val="454"/>
        </w:trPr>
        <w:tc>
          <w:tcPr>
            <w:tcW w:w="2878" w:type="dxa"/>
          </w:tcPr>
          <w:p w14:paraId="2D2D62F4" w14:textId="51514727" w:rsidR="00037FAC" w:rsidRPr="00C4084C" w:rsidRDefault="00037FAC" w:rsidP="0095265D">
            <w:pPr>
              <w:rPr>
                <w:rFonts w:cs="Arial"/>
                <w:b/>
              </w:rPr>
            </w:pPr>
            <w:r w:rsidRPr="00C4084C">
              <w:rPr>
                <w:rFonts w:cs="Arial"/>
                <w:b/>
              </w:rPr>
              <w:t>Pricing authority</w:t>
            </w:r>
          </w:p>
        </w:tc>
        <w:tc>
          <w:tcPr>
            <w:tcW w:w="6148" w:type="dxa"/>
          </w:tcPr>
          <w:p w14:paraId="413A000F" w14:textId="05842350" w:rsidR="00037FAC" w:rsidRPr="00C4084C" w:rsidRDefault="00E63366" w:rsidP="0095265D">
            <w:pPr>
              <w:rPr>
                <w:rFonts w:cs="Arial"/>
              </w:rPr>
            </w:pPr>
            <w:r w:rsidRPr="00C4084C">
              <w:rPr>
                <w:rFonts w:cs="Arial"/>
              </w:rPr>
              <w:t xml:space="preserve">A pricing authority </w:t>
            </w:r>
            <w:r w:rsidR="008A6E01" w:rsidRPr="00C4084C">
              <w:rPr>
                <w:rFonts w:cs="Arial"/>
              </w:rPr>
              <w:t xml:space="preserve">sets </w:t>
            </w:r>
            <w:r w:rsidRPr="00C4084C">
              <w:rPr>
                <w:rFonts w:cs="Arial"/>
              </w:rPr>
              <w:t>pricing within a broad framework and funding envelope set by government.</w:t>
            </w:r>
          </w:p>
        </w:tc>
      </w:tr>
      <w:tr w:rsidR="00D33D34" w:rsidRPr="00C4084C" w14:paraId="1B5472C7" w14:textId="77777777" w:rsidTr="00C64B96">
        <w:trPr>
          <w:trHeight w:val="454"/>
        </w:trPr>
        <w:tc>
          <w:tcPr>
            <w:tcW w:w="2878" w:type="dxa"/>
          </w:tcPr>
          <w:p w14:paraId="69406B27" w14:textId="04B51B8F" w:rsidR="00D20A34" w:rsidRPr="00C4084C" w:rsidRDefault="00D20A34" w:rsidP="00D20A34">
            <w:pPr>
              <w:rPr>
                <w:rFonts w:cs="Arial"/>
                <w:b/>
              </w:rPr>
            </w:pPr>
            <w:r w:rsidRPr="00C4084C">
              <w:rPr>
                <w:rFonts w:cs="Arial"/>
                <w:b/>
              </w:rPr>
              <w:t>Recognition of prior learning</w:t>
            </w:r>
          </w:p>
        </w:tc>
        <w:tc>
          <w:tcPr>
            <w:tcW w:w="6148" w:type="dxa"/>
          </w:tcPr>
          <w:p w14:paraId="675BA04B" w14:textId="16825330" w:rsidR="00D20A34" w:rsidRPr="00C4084C" w:rsidRDefault="000828E3" w:rsidP="00D20A34">
            <w:pPr>
              <w:rPr>
                <w:rFonts w:cs="Arial"/>
              </w:rPr>
            </w:pPr>
            <w:r>
              <w:rPr>
                <w:rFonts w:cs="Arial"/>
              </w:rPr>
              <w:t xml:space="preserve">The process that assesses competency acquired through formal and informal </w:t>
            </w:r>
            <w:r w:rsidRPr="000828E3">
              <w:rPr>
                <w:rFonts w:cs="Arial"/>
              </w:rPr>
              <w:t>learning</w:t>
            </w:r>
            <w:r>
              <w:rPr>
                <w:rFonts w:cs="Arial"/>
              </w:rPr>
              <w:t xml:space="preserve"> </w:t>
            </w:r>
            <w:r w:rsidRPr="000828E3">
              <w:rPr>
                <w:rFonts w:cs="Arial"/>
              </w:rPr>
              <w:t>to determine if the requirements for a unit of study</w:t>
            </w:r>
            <w:r>
              <w:rPr>
                <w:rFonts w:cs="Arial"/>
              </w:rPr>
              <w:t xml:space="preserve"> have been met.</w:t>
            </w:r>
            <w:r w:rsidRPr="000828E3">
              <w:rPr>
                <w:rFonts w:cs="Arial"/>
              </w:rPr>
              <w:t xml:space="preserve"> </w:t>
            </w:r>
            <w:r w:rsidR="00D20A34" w:rsidRPr="00C4084C">
              <w:rPr>
                <w:rFonts w:cs="Arial"/>
              </w:rPr>
              <w:t>This includes Credit Transfer for credentialled learning (AQF level) and granting credit for uncredentialled learning (from work experience, life experience, or non-AQF recognised study).</w:t>
            </w:r>
          </w:p>
        </w:tc>
      </w:tr>
      <w:tr w:rsidR="00D20A34" w:rsidRPr="00C4084C" w14:paraId="12057189" w14:textId="77777777" w:rsidTr="00C64B96">
        <w:trPr>
          <w:trHeight w:val="454"/>
        </w:trPr>
        <w:tc>
          <w:tcPr>
            <w:tcW w:w="2878" w:type="dxa"/>
          </w:tcPr>
          <w:p w14:paraId="7969BEF8" w14:textId="5117F490" w:rsidR="00D20A34" w:rsidRPr="00C4084C" w:rsidRDefault="00D20A34" w:rsidP="00D20A34">
            <w:pPr>
              <w:rPr>
                <w:rFonts w:cs="Arial"/>
                <w:b/>
              </w:rPr>
            </w:pPr>
            <w:r w:rsidRPr="00C4084C">
              <w:rPr>
                <w:rFonts w:cs="Arial"/>
                <w:b/>
              </w:rPr>
              <w:t xml:space="preserve">Regional, </w:t>
            </w:r>
            <w:proofErr w:type="gramStart"/>
            <w:r w:rsidRPr="00C4084C">
              <w:rPr>
                <w:rFonts w:cs="Arial"/>
                <w:b/>
              </w:rPr>
              <w:t>rural</w:t>
            </w:r>
            <w:proofErr w:type="gramEnd"/>
            <w:r w:rsidRPr="00C4084C">
              <w:rPr>
                <w:rFonts w:cs="Arial"/>
                <w:b/>
              </w:rPr>
              <w:t xml:space="preserve"> and remote students</w:t>
            </w:r>
          </w:p>
        </w:tc>
        <w:tc>
          <w:tcPr>
            <w:tcW w:w="6148" w:type="dxa"/>
          </w:tcPr>
          <w:p w14:paraId="045CBE18" w14:textId="6D6A467E" w:rsidR="00D20A34" w:rsidRPr="00C4084C" w:rsidRDefault="00963259" w:rsidP="00D20A34">
            <w:pPr>
              <w:rPr>
                <w:rFonts w:cs="Arial"/>
              </w:rPr>
            </w:pPr>
            <w:r>
              <w:rPr>
                <w:rFonts w:cs="Arial"/>
              </w:rPr>
              <w:t>In this R</w:t>
            </w:r>
            <w:r w:rsidR="00D20A34" w:rsidRPr="00C4084C">
              <w:rPr>
                <w:rFonts w:cs="Arial"/>
              </w:rPr>
              <w:t xml:space="preserve">eport, the description ‘regional, rural and remote’ is used as an umbrella term to refer to students from non-metropolitan areas across Australia. </w:t>
            </w:r>
          </w:p>
          <w:p w14:paraId="68D016BE" w14:textId="63BBBD1C" w:rsidR="00D20A34" w:rsidRPr="00C4084C" w:rsidRDefault="00D20A34" w:rsidP="00D20A34">
            <w:pPr>
              <w:rPr>
                <w:rFonts w:cs="Arial"/>
              </w:rPr>
            </w:pPr>
            <w:r w:rsidRPr="00C4084C">
              <w:rPr>
                <w:rFonts w:cs="Arial"/>
              </w:rPr>
              <w:t xml:space="preserve">When used in relation to data, references can be taken to mean ‘regional and remote’ for the purposes of the Australian Statistical Geography Standard system of classification, which attaches </w:t>
            </w:r>
            <w:r w:rsidRPr="00C4084C">
              <w:rPr>
                <w:rFonts w:cs="Arial"/>
              </w:rPr>
              <w:lastRenderedPageBreak/>
              <w:t>specific meanings to these terms. Under this classification system, regional and remote students are identified by the postcode of their permanent home residence.</w:t>
            </w:r>
          </w:p>
        </w:tc>
      </w:tr>
      <w:tr w:rsidR="00BC02E2" w:rsidRPr="00C4084C" w14:paraId="157F2B64" w14:textId="77777777" w:rsidTr="00C64B96">
        <w:trPr>
          <w:trHeight w:val="454"/>
        </w:trPr>
        <w:tc>
          <w:tcPr>
            <w:tcW w:w="2878" w:type="dxa"/>
          </w:tcPr>
          <w:p w14:paraId="7993180C" w14:textId="7E442B8A" w:rsidR="00BC02E2" w:rsidRPr="00C4084C" w:rsidRDefault="00BC02E2" w:rsidP="00D20A34">
            <w:pPr>
              <w:rPr>
                <w:rFonts w:cs="Arial"/>
                <w:b/>
              </w:rPr>
            </w:pPr>
            <w:r w:rsidRPr="00C4084C">
              <w:rPr>
                <w:rFonts w:cs="Arial"/>
                <w:b/>
              </w:rPr>
              <w:lastRenderedPageBreak/>
              <w:t xml:space="preserve">Regional </w:t>
            </w:r>
            <w:r w:rsidR="001F47C7" w:rsidRPr="00C4084C">
              <w:rPr>
                <w:rFonts w:cs="Arial"/>
                <w:b/>
              </w:rPr>
              <w:t>University Study Hubs</w:t>
            </w:r>
          </w:p>
        </w:tc>
        <w:tc>
          <w:tcPr>
            <w:tcW w:w="6148" w:type="dxa"/>
          </w:tcPr>
          <w:p w14:paraId="1B0E7A86" w14:textId="11B6EF09" w:rsidR="00BC02E2" w:rsidRPr="00C4084C" w:rsidRDefault="001F47C7" w:rsidP="00D20A34">
            <w:pPr>
              <w:rPr>
                <w:rFonts w:cs="Arial"/>
              </w:rPr>
            </w:pPr>
            <w:r w:rsidRPr="00C4084C">
              <w:rPr>
                <w:rFonts w:cs="Arial"/>
              </w:rPr>
              <w:t>Regional University Study Hubs help students in regional and remote areas access higher education without having to leave their community. They provide student support and campus-style facilities for students who study online.</w:t>
            </w:r>
          </w:p>
        </w:tc>
      </w:tr>
      <w:tr w:rsidR="00D20A34" w:rsidRPr="00C4084C" w14:paraId="79F993F5" w14:textId="77777777" w:rsidTr="00C64B96">
        <w:trPr>
          <w:trHeight w:val="454"/>
        </w:trPr>
        <w:tc>
          <w:tcPr>
            <w:tcW w:w="2878" w:type="dxa"/>
          </w:tcPr>
          <w:p w14:paraId="3CB5C750" w14:textId="43E53BE3" w:rsidR="00D20A34" w:rsidRPr="00C4084C" w:rsidRDefault="00D20A34" w:rsidP="00D20A34">
            <w:pPr>
              <w:rPr>
                <w:rFonts w:cs="Arial"/>
                <w:b/>
              </w:rPr>
            </w:pPr>
            <w:r w:rsidRPr="00C4084C">
              <w:rPr>
                <w:rFonts w:cs="Arial"/>
                <w:b/>
              </w:rPr>
              <w:t>Research Support Program</w:t>
            </w:r>
          </w:p>
        </w:tc>
        <w:tc>
          <w:tcPr>
            <w:tcW w:w="6148" w:type="dxa"/>
          </w:tcPr>
          <w:p w14:paraId="24AC1DA2" w14:textId="644A6202" w:rsidR="00D20A34" w:rsidRPr="00C4084C" w:rsidRDefault="002C7250" w:rsidP="00D20A34">
            <w:pPr>
              <w:rPr>
                <w:rFonts w:cs="Arial"/>
              </w:rPr>
            </w:pPr>
            <w:r w:rsidRPr="00C4084C">
              <w:rPr>
                <w:rFonts w:cs="Arial"/>
              </w:rPr>
              <w:t>The Research Support Program p</w:t>
            </w:r>
            <w:r w:rsidR="00D0191E" w:rsidRPr="00C4084C">
              <w:rPr>
                <w:rFonts w:cs="Arial"/>
              </w:rPr>
              <w:t xml:space="preserve">rovides </w:t>
            </w:r>
            <w:r w:rsidR="00A96A18" w:rsidRPr="00C4084C">
              <w:rPr>
                <w:rFonts w:cs="Arial"/>
              </w:rPr>
              <w:t>block grants, on a calendar year basis, to higher education providers (HEPs) to support the systemic costs of research not supported directly through competitive and other grants, such as libraries, laboratories, consumables, computing centres and the salaries of support and technical staff.</w:t>
            </w:r>
          </w:p>
        </w:tc>
      </w:tr>
      <w:tr w:rsidR="00613A66" w:rsidRPr="00C4084C" w14:paraId="7D92F2A3" w14:textId="77777777" w:rsidTr="00C64B96">
        <w:trPr>
          <w:trHeight w:val="454"/>
        </w:trPr>
        <w:tc>
          <w:tcPr>
            <w:tcW w:w="2878" w:type="dxa"/>
          </w:tcPr>
          <w:p w14:paraId="4A8BDCD2" w14:textId="09A6A318" w:rsidR="00D20A34" w:rsidRPr="00C4084C" w:rsidRDefault="00D20A34" w:rsidP="00D20A34">
            <w:pPr>
              <w:rPr>
                <w:rFonts w:cs="Arial"/>
                <w:b/>
                <w:bCs/>
              </w:rPr>
            </w:pPr>
            <w:r w:rsidRPr="00C4084C">
              <w:rPr>
                <w:rFonts w:cs="Arial"/>
                <w:b/>
                <w:bCs/>
              </w:rPr>
              <w:t>Retention rate</w:t>
            </w:r>
          </w:p>
        </w:tc>
        <w:tc>
          <w:tcPr>
            <w:tcW w:w="6148" w:type="dxa"/>
          </w:tcPr>
          <w:p w14:paraId="72A34B76" w14:textId="58CB819F" w:rsidR="00D20A34" w:rsidRPr="00C4084C" w:rsidRDefault="00D20A34" w:rsidP="00D20A34">
            <w:pPr>
              <w:rPr>
                <w:rFonts w:cs="Arial"/>
              </w:rPr>
            </w:pPr>
            <w:r w:rsidRPr="00C4084C">
              <w:rPr>
                <w:rFonts w:cs="Arial"/>
              </w:rPr>
              <w:t>The proportion of students who continue their studies from the previous year.</w:t>
            </w:r>
          </w:p>
        </w:tc>
      </w:tr>
      <w:tr w:rsidR="00D20A34" w:rsidRPr="00C4084C" w14:paraId="5B07BC44" w14:textId="77777777" w:rsidTr="00C64B96">
        <w:trPr>
          <w:trHeight w:val="454"/>
        </w:trPr>
        <w:tc>
          <w:tcPr>
            <w:tcW w:w="2878" w:type="dxa"/>
          </w:tcPr>
          <w:p w14:paraId="29275C61" w14:textId="4F3C2C35" w:rsidR="00D20A34" w:rsidRPr="00C4084C" w:rsidRDefault="00D20A34" w:rsidP="00D20A34">
            <w:pPr>
              <w:rPr>
                <w:rFonts w:cs="Arial"/>
                <w:b/>
                <w:bCs/>
              </w:rPr>
            </w:pPr>
            <w:r w:rsidRPr="00C4084C">
              <w:rPr>
                <w:rFonts w:cs="Arial"/>
                <w:b/>
                <w:bCs/>
              </w:rPr>
              <w:t>Strategic basic research</w:t>
            </w:r>
          </w:p>
        </w:tc>
        <w:tc>
          <w:tcPr>
            <w:tcW w:w="6148" w:type="dxa"/>
          </w:tcPr>
          <w:p w14:paraId="04661386" w14:textId="5278CA77" w:rsidR="00D20A34" w:rsidRPr="00C4084C" w:rsidRDefault="00D20A34" w:rsidP="00D20A34">
            <w:pPr>
              <w:rPr>
                <w:rFonts w:cs="Arial"/>
              </w:rPr>
            </w:pPr>
            <w:r w:rsidRPr="00C4084C">
              <w:rPr>
                <w:rFonts w:cs="Arial"/>
              </w:rPr>
              <w:t>Strategic basic research is experimental and theoretical work undertaken to acquire new knowledge directed into specified broad areas in the expectation of useful discoveries. It provides the broad base of knowledge necessary for the solution of recognised practical problems.</w:t>
            </w:r>
          </w:p>
        </w:tc>
      </w:tr>
      <w:tr w:rsidR="00613A66" w:rsidRPr="00C4084C" w14:paraId="6083291A" w14:textId="77777777" w:rsidTr="00C64B96">
        <w:trPr>
          <w:trHeight w:val="454"/>
        </w:trPr>
        <w:tc>
          <w:tcPr>
            <w:tcW w:w="2878" w:type="dxa"/>
          </w:tcPr>
          <w:p w14:paraId="3F37067D" w14:textId="1227461A" w:rsidR="00D20A34" w:rsidRPr="00C4084C" w:rsidRDefault="00D20A34" w:rsidP="00D20A34">
            <w:pPr>
              <w:rPr>
                <w:rFonts w:cs="Arial"/>
                <w:b/>
                <w:bCs/>
              </w:rPr>
            </w:pPr>
            <w:r w:rsidRPr="00C4084C">
              <w:rPr>
                <w:rFonts w:cs="Arial"/>
                <w:b/>
                <w:bCs/>
              </w:rPr>
              <w:t>Student Services and Amenities Fee</w:t>
            </w:r>
          </w:p>
        </w:tc>
        <w:tc>
          <w:tcPr>
            <w:tcW w:w="6148" w:type="dxa"/>
          </w:tcPr>
          <w:p w14:paraId="3D00BDEE" w14:textId="66B873A6" w:rsidR="00D20A34" w:rsidRPr="00C4084C" w:rsidRDefault="00D20A34" w:rsidP="00D20A34">
            <w:pPr>
              <w:rPr>
                <w:rFonts w:cs="Arial"/>
              </w:rPr>
            </w:pPr>
            <w:r w:rsidRPr="00C4084C">
              <w:rPr>
                <w:rFonts w:cs="Arial"/>
              </w:rPr>
              <w:t xml:space="preserve">Higher education providers </w:t>
            </w:r>
            <w:proofErr w:type="gramStart"/>
            <w:r w:rsidRPr="00C4084C">
              <w:rPr>
                <w:rFonts w:cs="Arial"/>
              </w:rPr>
              <w:t>are able to</w:t>
            </w:r>
            <w:proofErr w:type="gramEnd"/>
            <w:r w:rsidRPr="00C4084C">
              <w:rPr>
                <w:rFonts w:cs="Arial"/>
              </w:rPr>
              <w:t xml:space="preserve"> charge a Student Services and Amenities Fee (SSAF). The fee may be spent by providers on items such as sporting and recreational activities, employment and career advice, </w:t>
            </w:r>
            <w:proofErr w:type="gramStart"/>
            <w:r w:rsidRPr="00C4084C">
              <w:rPr>
                <w:rFonts w:cs="Arial"/>
              </w:rPr>
              <w:t>child care</w:t>
            </w:r>
            <w:proofErr w:type="gramEnd"/>
            <w:r w:rsidRPr="00C4084C">
              <w:rPr>
                <w:rFonts w:cs="Arial"/>
              </w:rPr>
              <w:t>, financial advice and food services.</w:t>
            </w:r>
          </w:p>
        </w:tc>
      </w:tr>
      <w:tr w:rsidR="00D20A34" w:rsidRPr="00C4084C" w14:paraId="1D4DBADE" w14:textId="77777777" w:rsidTr="00C64B96">
        <w:trPr>
          <w:trHeight w:val="454"/>
        </w:trPr>
        <w:tc>
          <w:tcPr>
            <w:tcW w:w="2878" w:type="dxa"/>
          </w:tcPr>
          <w:p w14:paraId="52CE6C92" w14:textId="26EE33CD" w:rsidR="00D20A34" w:rsidRPr="00C4084C" w:rsidRDefault="00D20A34" w:rsidP="00D20A34">
            <w:pPr>
              <w:rPr>
                <w:rFonts w:cs="Arial"/>
                <w:b/>
              </w:rPr>
            </w:pPr>
            <w:r w:rsidRPr="00C4084C">
              <w:rPr>
                <w:rFonts w:cs="Arial"/>
                <w:b/>
              </w:rPr>
              <w:t>Students with disability</w:t>
            </w:r>
          </w:p>
        </w:tc>
        <w:tc>
          <w:tcPr>
            <w:tcW w:w="6148" w:type="dxa"/>
          </w:tcPr>
          <w:p w14:paraId="5427FE25" w14:textId="66551CA3" w:rsidR="00D20A34" w:rsidRPr="00C4084C" w:rsidRDefault="00D20A34" w:rsidP="00D20A34">
            <w:pPr>
              <w:rPr>
                <w:rFonts w:cs="Arial"/>
              </w:rPr>
            </w:pPr>
            <w:r w:rsidRPr="00C4084C">
              <w:rPr>
                <w:rFonts w:cs="Arial"/>
              </w:rPr>
              <w:t>Those who self-identify upon enrolment via a positive response when asked if they have disability, impairment or (a) long term medical condition/s.</w:t>
            </w:r>
          </w:p>
        </w:tc>
      </w:tr>
      <w:tr w:rsidR="00D20A34" w:rsidRPr="00C4084C" w14:paraId="50DAFE2E" w14:textId="77777777" w:rsidTr="00C64B96">
        <w:trPr>
          <w:trHeight w:val="454"/>
        </w:trPr>
        <w:tc>
          <w:tcPr>
            <w:tcW w:w="2878" w:type="dxa"/>
          </w:tcPr>
          <w:p w14:paraId="4A069FEE" w14:textId="141860F3" w:rsidR="00D20A34" w:rsidRPr="00C4084C" w:rsidRDefault="00D20A34" w:rsidP="00D20A34">
            <w:pPr>
              <w:rPr>
                <w:rFonts w:cs="Arial"/>
                <w:b/>
              </w:rPr>
            </w:pPr>
            <w:r w:rsidRPr="00C4084C">
              <w:rPr>
                <w:rFonts w:cs="Arial"/>
                <w:b/>
                <w:bCs/>
              </w:rPr>
              <w:t>Success</w:t>
            </w:r>
          </w:p>
        </w:tc>
        <w:tc>
          <w:tcPr>
            <w:tcW w:w="6148" w:type="dxa"/>
          </w:tcPr>
          <w:p w14:paraId="7B3239A9" w14:textId="7C0CE7DF" w:rsidR="00D20A34" w:rsidRPr="00C4084C" w:rsidRDefault="00D20A34" w:rsidP="00D20A34">
            <w:pPr>
              <w:rPr>
                <w:rFonts w:cs="Arial"/>
              </w:rPr>
            </w:pPr>
            <w:r w:rsidRPr="00C4084C">
              <w:rPr>
                <w:rFonts w:cs="Arial"/>
              </w:rPr>
              <w:t>Academic performance by comparing the effective full-time student load (EF</w:t>
            </w:r>
            <w:r w:rsidR="000C6B09" w:rsidRPr="00C4084C">
              <w:rPr>
                <w:rFonts w:cs="Arial"/>
              </w:rPr>
              <w:t>T</w:t>
            </w:r>
            <w:r w:rsidRPr="00C4084C">
              <w:rPr>
                <w:rFonts w:cs="Arial"/>
              </w:rPr>
              <w:t>SL) of units passed to the EFTSL of units attempted.</w:t>
            </w:r>
          </w:p>
        </w:tc>
      </w:tr>
      <w:tr w:rsidR="008D2DBD" w:rsidRPr="00C4084C" w14:paraId="2C8FACA0" w14:textId="77777777" w:rsidTr="00C64B96">
        <w:trPr>
          <w:trHeight w:val="454"/>
        </w:trPr>
        <w:tc>
          <w:tcPr>
            <w:tcW w:w="2878" w:type="dxa"/>
          </w:tcPr>
          <w:p w14:paraId="7A36A1F1" w14:textId="6A10F032" w:rsidR="008D2DBD" w:rsidRPr="00C4084C" w:rsidRDefault="008D2DBD" w:rsidP="00D20A34">
            <w:pPr>
              <w:rPr>
                <w:rFonts w:cs="Arial"/>
                <w:b/>
                <w:bCs/>
              </w:rPr>
            </w:pPr>
            <w:r w:rsidRPr="00C4084C">
              <w:rPr>
                <w:rFonts w:cs="Arial"/>
                <w:b/>
                <w:bCs/>
              </w:rPr>
              <w:t>Tertiary Access Payment</w:t>
            </w:r>
          </w:p>
        </w:tc>
        <w:tc>
          <w:tcPr>
            <w:tcW w:w="6148" w:type="dxa"/>
          </w:tcPr>
          <w:p w14:paraId="1CEF8A0C" w14:textId="7526B77F" w:rsidR="008D2DBD" w:rsidRPr="00C4084C" w:rsidRDefault="008D2DBD" w:rsidP="00D20A34">
            <w:pPr>
              <w:rPr>
                <w:rFonts w:cs="Arial"/>
              </w:rPr>
            </w:pPr>
            <w:r w:rsidRPr="00C4084C">
              <w:rPr>
                <w:rFonts w:cs="Arial"/>
              </w:rPr>
              <w:t>The Tertiary Access Payment is a non-indexed, means-tested payment to school-leavers from regional or remote areas who need to relocate for full-time, higher-level tertiary education (Certificate IV and above) at an education provider located at least 90 minutes by public transport from their family hom</w:t>
            </w:r>
            <w:r w:rsidR="000C6B09" w:rsidRPr="00C4084C">
              <w:rPr>
                <w:rFonts w:cs="Arial"/>
              </w:rPr>
              <w:t>e</w:t>
            </w:r>
            <w:r w:rsidRPr="00C4084C">
              <w:rPr>
                <w:rFonts w:cs="Arial"/>
              </w:rPr>
              <w:t>.</w:t>
            </w:r>
          </w:p>
        </w:tc>
      </w:tr>
      <w:tr w:rsidR="00D20A34" w:rsidRPr="00C4084C" w14:paraId="00D7628F" w14:textId="77777777" w:rsidTr="00C64B96">
        <w:trPr>
          <w:trHeight w:val="454"/>
        </w:trPr>
        <w:tc>
          <w:tcPr>
            <w:tcW w:w="2878" w:type="dxa"/>
          </w:tcPr>
          <w:p w14:paraId="7C56193A" w14:textId="2D8EBACE" w:rsidR="00D20A34" w:rsidRPr="00C4084C" w:rsidRDefault="00D20A34" w:rsidP="00D20A34">
            <w:pPr>
              <w:rPr>
                <w:rFonts w:cs="Arial"/>
                <w:b/>
              </w:rPr>
            </w:pPr>
            <w:r w:rsidRPr="00C4084C">
              <w:rPr>
                <w:rFonts w:cs="Arial"/>
                <w:b/>
              </w:rPr>
              <w:t>Youth Allowance</w:t>
            </w:r>
          </w:p>
        </w:tc>
        <w:tc>
          <w:tcPr>
            <w:tcW w:w="6148" w:type="dxa"/>
          </w:tcPr>
          <w:p w14:paraId="0E12C334" w14:textId="5F08BF8E" w:rsidR="00D20A34" w:rsidRPr="00C4084C" w:rsidRDefault="00D20A34" w:rsidP="00D20A34">
            <w:pPr>
              <w:rPr>
                <w:rFonts w:cs="Arial"/>
              </w:rPr>
            </w:pPr>
            <w:r w:rsidRPr="00C4084C">
              <w:rPr>
                <w:rFonts w:cs="Arial"/>
              </w:rPr>
              <w:t xml:space="preserve">Financial help for students and apprentices 24 or </w:t>
            </w:r>
            <w:proofErr w:type="gramStart"/>
            <w:r w:rsidRPr="00C4084C">
              <w:rPr>
                <w:rFonts w:cs="Arial"/>
              </w:rPr>
              <w:t>younger, or</w:t>
            </w:r>
            <w:proofErr w:type="gramEnd"/>
            <w:r w:rsidRPr="00C4084C">
              <w:rPr>
                <w:rFonts w:cs="Arial"/>
              </w:rPr>
              <w:t xml:space="preserve"> looking for work and 21 or younger.</w:t>
            </w:r>
          </w:p>
        </w:tc>
      </w:tr>
    </w:tbl>
    <w:p w14:paraId="59AE4DD5" w14:textId="77777777" w:rsidR="007B321E" w:rsidRPr="00C4084C" w:rsidRDefault="007B321E" w:rsidP="007B321E">
      <w:pPr>
        <w:pBdr>
          <w:bottom w:val="single" w:sz="12" w:space="1" w:color="auto"/>
        </w:pBdr>
        <w:rPr>
          <w:rFonts w:cs="Arial"/>
          <w:b/>
          <w:bCs/>
          <w:sz w:val="2"/>
          <w:szCs w:val="2"/>
        </w:rPr>
      </w:pPr>
    </w:p>
    <w:p w14:paraId="3A28BDA5" w14:textId="77777777" w:rsidR="007B321E" w:rsidRPr="00C4084C" w:rsidRDefault="007B321E" w:rsidP="007B321E">
      <w:pPr>
        <w:pBdr>
          <w:bottom w:val="single" w:sz="12" w:space="1" w:color="auto"/>
        </w:pBdr>
        <w:rPr>
          <w:rFonts w:cs="Arial"/>
          <w:b/>
          <w:sz w:val="2"/>
          <w:szCs w:val="2"/>
        </w:rPr>
      </w:pPr>
    </w:p>
    <w:p w14:paraId="5788272A" w14:textId="77777777" w:rsidR="000306BE" w:rsidRDefault="000306BE">
      <w:pPr>
        <w:spacing w:after="160"/>
        <w:sectPr w:rsidR="000306BE" w:rsidSect="00134415">
          <w:headerReference w:type="even" r:id="rId189"/>
          <w:headerReference w:type="default" r:id="rId190"/>
          <w:headerReference w:type="first" r:id="rId191"/>
          <w:pgSz w:w="11906" w:h="16838" w:code="9"/>
          <w:pgMar w:top="1225" w:right="1440" w:bottom="1440" w:left="1440" w:header="709" w:footer="709" w:gutter="0"/>
          <w:cols w:space="708"/>
          <w:titlePg/>
          <w:docGrid w:linePitch="360"/>
        </w:sectPr>
      </w:pPr>
      <w:bookmarkStart w:id="1653" w:name="_Toc148368190"/>
      <w:bookmarkStart w:id="1654" w:name="_Toc150964411"/>
      <w:bookmarkStart w:id="1655" w:name="_Toc1318833485"/>
    </w:p>
    <w:p w14:paraId="48003EE1" w14:textId="2CE7C7AF" w:rsidR="007B321E" w:rsidRPr="00C4084C" w:rsidRDefault="007B321E" w:rsidP="000306BE">
      <w:pPr>
        <w:pStyle w:val="Non-numberedHeading2"/>
      </w:pPr>
      <w:bookmarkStart w:id="1656" w:name="_Toc159501046"/>
      <w:r w:rsidRPr="00C4084C">
        <w:lastRenderedPageBreak/>
        <w:t>List of Tables and Figures</w:t>
      </w:r>
      <w:bookmarkEnd w:id="1653"/>
      <w:bookmarkEnd w:id="1654"/>
      <w:bookmarkEnd w:id="1655"/>
      <w:bookmarkEnd w:id="1656"/>
    </w:p>
    <w:p w14:paraId="7D695EB7" w14:textId="143B8EA6" w:rsidR="00DE0CC0" w:rsidRPr="00C4084C" w:rsidRDefault="00C377FC">
      <w:pPr>
        <w:pStyle w:val="TableofFigures"/>
        <w:tabs>
          <w:tab w:val="right" w:leader="dot" w:pos="9016"/>
        </w:tabs>
        <w:rPr>
          <w:rFonts w:eastAsiaTheme="minorEastAsia"/>
          <w:noProof/>
          <w:kern w:val="2"/>
          <w:lang w:eastAsia="en-AU"/>
          <w14:ligatures w14:val="standardContextual"/>
        </w:rPr>
      </w:pPr>
      <w:r w:rsidRPr="00C4084C">
        <w:fldChar w:fldCharType="begin"/>
      </w:r>
      <w:r w:rsidRPr="00C4084C">
        <w:instrText xml:space="preserve"> TOC \h \z \c "Table" </w:instrText>
      </w:r>
      <w:r w:rsidRPr="00C4084C">
        <w:fldChar w:fldCharType="separate"/>
      </w:r>
      <w:hyperlink w:anchor="_Toc153809629" w:history="1">
        <w:r w:rsidR="00DE0CC0" w:rsidRPr="00C4084C">
          <w:rPr>
            <w:rStyle w:val="Hyperlink"/>
            <w:noProof/>
          </w:rPr>
          <w:t>Table 1: Target cohort share of the population aged 15 to 64 years (%), by state and territory and nationally, 2021.</w:t>
        </w:r>
        <w:r w:rsidR="00DE0CC0" w:rsidRPr="00C4084C">
          <w:rPr>
            <w:noProof/>
            <w:webHidden/>
          </w:rPr>
          <w:tab/>
        </w:r>
        <w:r w:rsidR="00DE0CC0" w:rsidRPr="00C4084C">
          <w:rPr>
            <w:noProof/>
            <w:webHidden/>
          </w:rPr>
          <w:fldChar w:fldCharType="begin"/>
        </w:r>
        <w:r w:rsidR="00DE0CC0" w:rsidRPr="00C4084C">
          <w:rPr>
            <w:noProof/>
            <w:webHidden/>
          </w:rPr>
          <w:instrText xml:space="preserve"> PAGEREF _Toc153809629 \h </w:instrText>
        </w:r>
        <w:r w:rsidR="00DE0CC0" w:rsidRPr="00C4084C">
          <w:rPr>
            <w:noProof/>
            <w:webHidden/>
          </w:rPr>
        </w:r>
        <w:r w:rsidR="00DE0CC0" w:rsidRPr="00C4084C">
          <w:rPr>
            <w:noProof/>
            <w:webHidden/>
          </w:rPr>
          <w:fldChar w:fldCharType="separate"/>
        </w:r>
        <w:r w:rsidR="00467B4F">
          <w:rPr>
            <w:noProof/>
            <w:webHidden/>
          </w:rPr>
          <w:t>108</w:t>
        </w:r>
        <w:r w:rsidR="00DE0CC0" w:rsidRPr="00C4084C">
          <w:rPr>
            <w:noProof/>
            <w:webHidden/>
          </w:rPr>
          <w:fldChar w:fldCharType="end"/>
        </w:r>
      </w:hyperlink>
    </w:p>
    <w:p w14:paraId="4E6387D1" w14:textId="57727861" w:rsidR="00DE0CC0" w:rsidRPr="00C4084C" w:rsidRDefault="00000000">
      <w:pPr>
        <w:pStyle w:val="TableofFigures"/>
        <w:tabs>
          <w:tab w:val="right" w:leader="dot" w:pos="9016"/>
        </w:tabs>
        <w:rPr>
          <w:rFonts w:eastAsiaTheme="minorEastAsia"/>
          <w:noProof/>
          <w:kern w:val="2"/>
          <w:lang w:eastAsia="en-AU"/>
          <w14:ligatures w14:val="standardContextual"/>
        </w:rPr>
      </w:pPr>
      <w:hyperlink w:anchor="_Toc153809630" w:history="1">
        <w:r w:rsidR="00DE0CC0" w:rsidRPr="00C4084C">
          <w:rPr>
            <w:rStyle w:val="Hyperlink"/>
            <w:noProof/>
          </w:rPr>
          <w:t>Table 2: Target cohorts’ share of growth in enrolments as a proportion of total enrolment growth (%), actual and projected to achieve parity.</w:t>
        </w:r>
        <w:r w:rsidR="00DE0CC0" w:rsidRPr="00C4084C">
          <w:rPr>
            <w:noProof/>
            <w:webHidden/>
          </w:rPr>
          <w:tab/>
        </w:r>
        <w:r w:rsidR="00DE0CC0" w:rsidRPr="00C4084C">
          <w:rPr>
            <w:noProof/>
            <w:webHidden/>
          </w:rPr>
          <w:fldChar w:fldCharType="begin"/>
        </w:r>
        <w:r w:rsidR="00DE0CC0" w:rsidRPr="00C4084C">
          <w:rPr>
            <w:noProof/>
            <w:webHidden/>
          </w:rPr>
          <w:instrText xml:space="preserve"> PAGEREF _Toc153809630 \h </w:instrText>
        </w:r>
        <w:r w:rsidR="00DE0CC0" w:rsidRPr="00C4084C">
          <w:rPr>
            <w:noProof/>
            <w:webHidden/>
          </w:rPr>
        </w:r>
        <w:r w:rsidR="00DE0CC0" w:rsidRPr="00C4084C">
          <w:rPr>
            <w:noProof/>
            <w:webHidden/>
          </w:rPr>
          <w:fldChar w:fldCharType="separate"/>
        </w:r>
        <w:r w:rsidR="00467B4F">
          <w:rPr>
            <w:noProof/>
            <w:webHidden/>
          </w:rPr>
          <w:t>110</w:t>
        </w:r>
        <w:r w:rsidR="00DE0CC0" w:rsidRPr="00C4084C">
          <w:rPr>
            <w:noProof/>
            <w:webHidden/>
          </w:rPr>
          <w:fldChar w:fldCharType="end"/>
        </w:r>
      </w:hyperlink>
    </w:p>
    <w:p w14:paraId="5B5E4826" w14:textId="3B185E50" w:rsidR="00DE0CC0" w:rsidRPr="00C4084C" w:rsidRDefault="00000000">
      <w:pPr>
        <w:pStyle w:val="TableofFigures"/>
        <w:tabs>
          <w:tab w:val="right" w:leader="dot" w:pos="9016"/>
        </w:tabs>
        <w:rPr>
          <w:rFonts w:eastAsiaTheme="minorEastAsia"/>
          <w:noProof/>
          <w:kern w:val="2"/>
          <w:lang w:eastAsia="en-AU"/>
          <w14:ligatures w14:val="standardContextual"/>
        </w:rPr>
      </w:pPr>
      <w:hyperlink w:anchor="_Toc153809631" w:history="1">
        <w:r w:rsidR="00DE0CC0" w:rsidRPr="00C4084C">
          <w:rPr>
            <w:rStyle w:val="Hyperlink"/>
            <w:noProof/>
          </w:rPr>
          <w:t>Table 3: Post-school plans of 16-year-olds, by SES quartile as a proportion of all students in that SES quartile, 2015.</w:t>
        </w:r>
        <w:r w:rsidR="00DE0CC0" w:rsidRPr="00C4084C">
          <w:rPr>
            <w:noProof/>
            <w:webHidden/>
          </w:rPr>
          <w:tab/>
        </w:r>
        <w:r w:rsidR="00DE0CC0" w:rsidRPr="00C4084C">
          <w:rPr>
            <w:noProof/>
            <w:webHidden/>
          </w:rPr>
          <w:fldChar w:fldCharType="begin"/>
        </w:r>
        <w:r w:rsidR="00DE0CC0" w:rsidRPr="00C4084C">
          <w:rPr>
            <w:noProof/>
            <w:webHidden/>
          </w:rPr>
          <w:instrText xml:space="preserve"> PAGEREF _Toc153809631 \h </w:instrText>
        </w:r>
        <w:r w:rsidR="00DE0CC0" w:rsidRPr="00C4084C">
          <w:rPr>
            <w:noProof/>
            <w:webHidden/>
          </w:rPr>
        </w:r>
        <w:r w:rsidR="00DE0CC0" w:rsidRPr="00C4084C">
          <w:rPr>
            <w:noProof/>
            <w:webHidden/>
          </w:rPr>
          <w:fldChar w:fldCharType="separate"/>
        </w:r>
        <w:r w:rsidR="00467B4F">
          <w:rPr>
            <w:noProof/>
            <w:webHidden/>
          </w:rPr>
          <w:t>117</w:t>
        </w:r>
        <w:r w:rsidR="00DE0CC0" w:rsidRPr="00C4084C">
          <w:rPr>
            <w:noProof/>
            <w:webHidden/>
          </w:rPr>
          <w:fldChar w:fldCharType="end"/>
        </w:r>
      </w:hyperlink>
    </w:p>
    <w:p w14:paraId="4B02B0DF" w14:textId="28D737B6" w:rsidR="00DE0CC0" w:rsidRPr="00C4084C" w:rsidRDefault="00000000">
      <w:pPr>
        <w:pStyle w:val="TableofFigures"/>
        <w:tabs>
          <w:tab w:val="right" w:leader="dot" w:pos="9016"/>
        </w:tabs>
        <w:rPr>
          <w:rFonts w:eastAsiaTheme="minorEastAsia"/>
          <w:noProof/>
          <w:kern w:val="2"/>
          <w:lang w:eastAsia="en-AU"/>
          <w14:ligatures w14:val="standardContextual"/>
        </w:rPr>
      </w:pPr>
      <w:hyperlink w:anchor="_Toc153809632" w:history="1">
        <w:r w:rsidR="00DE0CC0" w:rsidRPr="00C4084C">
          <w:rPr>
            <w:rStyle w:val="Hyperlink"/>
            <w:noProof/>
          </w:rPr>
          <w:t>Table 4: Barriers to further study identified by 16-year-olds, by share of students in each SES quartile (%), 2015.</w:t>
        </w:r>
        <w:r w:rsidR="00DE0CC0" w:rsidRPr="00C4084C">
          <w:rPr>
            <w:noProof/>
            <w:webHidden/>
          </w:rPr>
          <w:tab/>
        </w:r>
        <w:r w:rsidR="00DE0CC0" w:rsidRPr="00C4084C">
          <w:rPr>
            <w:noProof/>
            <w:webHidden/>
          </w:rPr>
          <w:fldChar w:fldCharType="begin"/>
        </w:r>
        <w:r w:rsidR="00DE0CC0" w:rsidRPr="00C4084C">
          <w:rPr>
            <w:noProof/>
            <w:webHidden/>
          </w:rPr>
          <w:instrText xml:space="preserve"> PAGEREF _Toc153809632 \h </w:instrText>
        </w:r>
        <w:r w:rsidR="00DE0CC0" w:rsidRPr="00C4084C">
          <w:rPr>
            <w:noProof/>
            <w:webHidden/>
          </w:rPr>
        </w:r>
        <w:r w:rsidR="00DE0CC0" w:rsidRPr="00C4084C">
          <w:rPr>
            <w:noProof/>
            <w:webHidden/>
          </w:rPr>
          <w:fldChar w:fldCharType="separate"/>
        </w:r>
        <w:r w:rsidR="00467B4F">
          <w:rPr>
            <w:noProof/>
            <w:webHidden/>
          </w:rPr>
          <w:t>127</w:t>
        </w:r>
        <w:r w:rsidR="00DE0CC0" w:rsidRPr="00C4084C">
          <w:rPr>
            <w:noProof/>
            <w:webHidden/>
          </w:rPr>
          <w:fldChar w:fldCharType="end"/>
        </w:r>
      </w:hyperlink>
    </w:p>
    <w:p w14:paraId="41483766" w14:textId="699B0A31" w:rsidR="00DE0CC0" w:rsidRPr="00C4084C" w:rsidRDefault="00000000">
      <w:pPr>
        <w:pStyle w:val="TableofFigures"/>
        <w:tabs>
          <w:tab w:val="right" w:leader="dot" w:pos="9016"/>
        </w:tabs>
        <w:rPr>
          <w:rFonts w:eastAsiaTheme="minorEastAsia"/>
          <w:noProof/>
          <w:kern w:val="2"/>
          <w:lang w:eastAsia="en-AU"/>
          <w14:ligatures w14:val="standardContextual"/>
        </w:rPr>
      </w:pPr>
      <w:hyperlink w:anchor="_Toc153809633" w:history="1">
        <w:r w:rsidR="00DE0CC0" w:rsidRPr="00C4084C">
          <w:rPr>
            <w:rStyle w:val="Hyperlink"/>
            <w:noProof/>
          </w:rPr>
          <w:t>Table 5: 2022 part-time HDR enrolments.</w:t>
        </w:r>
        <w:r w:rsidR="00DE0CC0" w:rsidRPr="00C4084C">
          <w:rPr>
            <w:noProof/>
            <w:webHidden/>
          </w:rPr>
          <w:tab/>
        </w:r>
        <w:r w:rsidR="00DE0CC0" w:rsidRPr="00C4084C">
          <w:rPr>
            <w:noProof/>
            <w:webHidden/>
          </w:rPr>
          <w:fldChar w:fldCharType="begin"/>
        </w:r>
        <w:r w:rsidR="00DE0CC0" w:rsidRPr="00C4084C">
          <w:rPr>
            <w:noProof/>
            <w:webHidden/>
          </w:rPr>
          <w:instrText xml:space="preserve"> PAGEREF _Toc153809633 \h </w:instrText>
        </w:r>
        <w:r w:rsidR="00DE0CC0" w:rsidRPr="00C4084C">
          <w:rPr>
            <w:noProof/>
            <w:webHidden/>
          </w:rPr>
        </w:r>
        <w:r w:rsidR="00DE0CC0" w:rsidRPr="00C4084C">
          <w:rPr>
            <w:noProof/>
            <w:webHidden/>
          </w:rPr>
          <w:fldChar w:fldCharType="separate"/>
        </w:r>
        <w:r w:rsidR="00467B4F">
          <w:rPr>
            <w:noProof/>
            <w:webHidden/>
          </w:rPr>
          <w:t>192</w:t>
        </w:r>
        <w:r w:rsidR="00DE0CC0" w:rsidRPr="00C4084C">
          <w:rPr>
            <w:noProof/>
            <w:webHidden/>
          </w:rPr>
          <w:fldChar w:fldCharType="end"/>
        </w:r>
      </w:hyperlink>
    </w:p>
    <w:p w14:paraId="0A821C79" w14:textId="4CEB920E" w:rsidR="00DE0CC0" w:rsidRPr="00C4084C" w:rsidRDefault="00000000">
      <w:pPr>
        <w:pStyle w:val="TableofFigures"/>
        <w:tabs>
          <w:tab w:val="right" w:leader="dot" w:pos="9016"/>
        </w:tabs>
        <w:rPr>
          <w:rFonts w:eastAsiaTheme="minorEastAsia"/>
          <w:noProof/>
          <w:kern w:val="2"/>
          <w:lang w:eastAsia="en-AU"/>
          <w14:ligatures w14:val="standardContextual"/>
        </w:rPr>
      </w:pPr>
      <w:hyperlink w:anchor="_Toc153809634" w:history="1">
        <w:r w:rsidR="00DE0CC0" w:rsidRPr="00C4084C">
          <w:rPr>
            <w:rStyle w:val="Hyperlink"/>
            <w:noProof/>
          </w:rPr>
          <w:t>Table 6: Casual staff as a percentage of total university staff, full-time equivalent (FTE) unless otherwise indicated, 1995 to 2020.</w:t>
        </w:r>
        <w:r w:rsidR="00DE0CC0" w:rsidRPr="00C4084C">
          <w:rPr>
            <w:noProof/>
            <w:webHidden/>
          </w:rPr>
          <w:tab/>
        </w:r>
        <w:r w:rsidR="00DE0CC0" w:rsidRPr="00C4084C">
          <w:rPr>
            <w:noProof/>
            <w:webHidden/>
          </w:rPr>
          <w:fldChar w:fldCharType="begin"/>
        </w:r>
        <w:r w:rsidR="00DE0CC0" w:rsidRPr="00C4084C">
          <w:rPr>
            <w:noProof/>
            <w:webHidden/>
          </w:rPr>
          <w:instrText xml:space="preserve"> PAGEREF _Toc153809634 \h </w:instrText>
        </w:r>
        <w:r w:rsidR="00DE0CC0" w:rsidRPr="00C4084C">
          <w:rPr>
            <w:noProof/>
            <w:webHidden/>
          </w:rPr>
        </w:r>
        <w:r w:rsidR="00DE0CC0" w:rsidRPr="00C4084C">
          <w:rPr>
            <w:noProof/>
            <w:webHidden/>
          </w:rPr>
          <w:fldChar w:fldCharType="separate"/>
        </w:r>
        <w:r w:rsidR="00467B4F">
          <w:rPr>
            <w:noProof/>
            <w:webHidden/>
          </w:rPr>
          <w:t>212</w:t>
        </w:r>
        <w:r w:rsidR="00DE0CC0" w:rsidRPr="00C4084C">
          <w:rPr>
            <w:noProof/>
            <w:webHidden/>
          </w:rPr>
          <w:fldChar w:fldCharType="end"/>
        </w:r>
      </w:hyperlink>
    </w:p>
    <w:p w14:paraId="3C8B0E52" w14:textId="6344790C" w:rsidR="00DE0CC0" w:rsidRPr="00C4084C" w:rsidRDefault="00000000">
      <w:pPr>
        <w:pStyle w:val="TableofFigures"/>
        <w:tabs>
          <w:tab w:val="right" w:leader="dot" w:pos="9016"/>
        </w:tabs>
        <w:rPr>
          <w:rFonts w:eastAsiaTheme="minorEastAsia"/>
          <w:noProof/>
          <w:kern w:val="2"/>
          <w:lang w:eastAsia="en-AU"/>
          <w14:ligatures w14:val="standardContextual"/>
        </w:rPr>
      </w:pPr>
      <w:hyperlink w:anchor="_Toc153809635" w:history="1">
        <w:r w:rsidR="00DE0CC0" w:rsidRPr="00C4084C">
          <w:rPr>
            <w:rStyle w:val="Hyperlink"/>
            <w:noProof/>
          </w:rPr>
          <w:t>Table 7: Australian Universities Accord consultation phase.</w:t>
        </w:r>
        <w:r w:rsidR="00DE0CC0" w:rsidRPr="00C4084C">
          <w:rPr>
            <w:noProof/>
            <w:webHidden/>
          </w:rPr>
          <w:tab/>
        </w:r>
        <w:r w:rsidR="00DE0CC0" w:rsidRPr="00C4084C">
          <w:rPr>
            <w:noProof/>
            <w:webHidden/>
          </w:rPr>
          <w:fldChar w:fldCharType="begin"/>
        </w:r>
        <w:r w:rsidR="00DE0CC0" w:rsidRPr="00C4084C">
          <w:rPr>
            <w:noProof/>
            <w:webHidden/>
          </w:rPr>
          <w:instrText xml:space="preserve"> PAGEREF _Toc153809635 \h </w:instrText>
        </w:r>
        <w:r w:rsidR="00DE0CC0" w:rsidRPr="00C4084C">
          <w:rPr>
            <w:noProof/>
            <w:webHidden/>
          </w:rPr>
        </w:r>
        <w:r w:rsidR="00DE0CC0" w:rsidRPr="00C4084C">
          <w:rPr>
            <w:noProof/>
            <w:webHidden/>
          </w:rPr>
          <w:fldChar w:fldCharType="separate"/>
        </w:r>
        <w:r w:rsidR="00467B4F">
          <w:rPr>
            <w:noProof/>
            <w:webHidden/>
          </w:rPr>
          <w:t>287</w:t>
        </w:r>
        <w:r w:rsidR="00DE0CC0" w:rsidRPr="00C4084C">
          <w:rPr>
            <w:noProof/>
            <w:webHidden/>
          </w:rPr>
          <w:fldChar w:fldCharType="end"/>
        </w:r>
      </w:hyperlink>
    </w:p>
    <w:p w14:paraId="1B98B533" w14:textId="44D52023" w:rsidR="004C2984" w:rsidRPr="00C4084C" w:rsidRDefault="00C377FC" w:rsidP="007E1DAF">
      <w:r w:rsidRPr="00C4084C">
        <w:fldChar w:fldCharType="end"/>
      </w:r>
    </w:p>
    <w:p w14:paraId="3364650C" w14:textId="62FFEFBB" w:rsidR="00DE412B" w:rsidRDefault="00102C2D">
      <w:pPr>
        <w:pStyle w:val="TableofFigures"/>
        <w:tabs>
          <w:tab w:val="right" w:leader="dot" w:pos="9016"/>
        </w:tabs>
        <w:rPr>
          <w:rFonts w:eastAsiaTheme="minorEastAsia"/>
          <w:noProof/>
          <w:kern w:val="2"/>
          <w:lang w:eastAsia="en-AU"/>
          <w14:ligatures w14:val="standardContextual"/>
        </w:rPr>
      </w:pPr>
      <w:r w:rsidRPr="00C4084C">
        <w:rPr>
          <w:rFonts w:cs="Arial"/>
        </w:rPr>
        <w:fldChar w:fldCharType="begin"/>
      </w:r>
      <w:r w:rsidRPr="00C4084C">
        <w:rPr>
          <w:rFonts w:cs="Arial"/>
        </w:rPr>
        <w:instrText xml:space="preserve"> TOC \h \z \c "Figure" </w:instrText>
      </w:r>
      <w:r w:rsidRPr="00C4084C">
        <w:rPr>
          <w:rFonts w:cs="Arial"/>
        </w:rPr>
        <w:fldChar w:fldCharType="separate"/>
      </w:r>
      <w:hyperlink w:anchor="_Toc154674763" w:history="1">
        <w:r w:rsidR="00DE412B" w:rsidRPr="00C92C92">
          <w:rPr>
            <w:rStyle w:val="Hyperlink"/>
            <w:noProof/>
          </w:rPr>
          <w:t>Figure 1: Higher education enrolments, share of population (%), 1906 to 2022.</w:t>
        </w:r>
        <w:r w:rsidR="00DE412B">
          <w:rPr>
            <w:noProof/>
            <w:webHidden/>
          </w:rPr>
          <w:tab/>
        </w:r>
        <w:r w:rsidR="00DE412B">
          <w:rPr>
            <w:noProof/>
            <w:webHidden/>
          </w:rPr>
          <w:fldChar w:fldCharType="begin"/>
        </w:r>
        <w:r w:rsidR="00DE412B">
          <w:rPr>
            <w:noProof/>
            <w:webHidden/>
          </w:rPr>
          <w:instrText xml:space="preserve"> PAGEREF _Toc154674763 \h </w:instrText>
        </w:r>
        <w:r w:rsidR="00DE412B">
          <w:rPr>
            <w:noProof/>
            <w:webHidden/>
          </w:rPr>
        </w:r>
        <w:r w:rsidR="00DE412B">
          <w:rPr>
            <w:noProof/>
            <w:webHidden/>
          </w:rPr>
          <w:fldChar w:fldCharType="separate"/>
        </w:r>
        <w:r w:rsidR="00467B4F">
          <w:rPr>
            <w:noProof/>
            <w:webHidden/>
          </w:rPr>
          <w:t>50</w:t>
        </w:r>
        <w:r w:rsidR="00DE412B">
          <w:rPr>
            <w:noProof/>
            <w:webHidden/>
          </w:rPr>
          <w:fldChar w:fldCharType="end"/>
        </w:r>
      </w:hyperlink>
    </w:p>
    <w:p w14:paraId="2D85466A" w14:textId="0A691D42" w:rsidR="00DE412B" w:rsidRDefault="00000000">
      <w:pPr>
        <w:pStyle w:val="TableofFigures"/>
        <w:tabs>
          <w:tab w:val="right" w:leader="dot" w:pos="9016"/>
        </w:tabs>
        <w:rPr>
          <w:rFonts w:eastAsiaTheme="minorEastAsia"/>
          <w:noProof/>
          <w:kern w:val="2"/>
          <w:lang w:eastAsia="en-AU"/>
          <w14:ligatures w14:val="standardContextual"/>
        </w:rPr>
      </w:pPr>
      <w:hyperlink w:anchor="_Toc154674764" w:history="1">
        <w:r w:rsidR="00DE412B" w:rsidRPr="00C92C92">
          <w:rPr>
            <w:rStyle w:val="Hyperlink"/>
            <w:noProof/>
          </w:rPr>
          <w:t>Figure 2: VET and higher education graduates share of total employment (%), current figures and projected future demand, 2010 to 2050.</w:t>
        </w:r>
        <w:r w:rsidR="00DE412B">
          <w:rPr>
            <w:noProof/>
            <w:webHidden/>
          </w:rPr>
          <w:tab/>
        </w:r>
        <w:r w:rsidR="00DE412B">
          <w:rPr>
            <w:noProof/>
            <w:webHidden/>
          </w:rPr>
          <w:fldChar w:fldCharType="begin"/>
        </w:r>
        <w:r w:rsidR="00DE412B">
          <w:rPr>
            <w:noProof/>
            <w:webHidden/>
          </w:rPr>
          <w:instrText xml:space="preserve"> PAGEREF _Toc154674764 \h </w:instrText>
        </w:r>
        <w:r w:rsidR="00DE412B">
          <w:rPr>
            <w:noProof/>
            <w:webHidden/>
          </w:rPr>
        </w:r>
        <w:r w:rsidR="00DE412B">
          <w:rPr>
            <w:noProof/>
            <w:webHidden/>
          </w:rPr>
          <w:fldChar w:fldCharType="separate"/>
        </w:r>
        <w:r w:rsidR="00467B4F">
          <w:rPr>
            <w:noProof/>
            <w:webHidden/>
          </w:rPr>
          <w:t>64</w:t>
        </w:r>
        <w:r w:rsidR="00DE412B">
          <w:rPr>
            <w:noProof/>
            <w:webHidden/>
          </w:rPr>
          <w:fldChar w:fldCharType="end"/>
        </w:r>
      </w:hyperlink>
    </w:p>
    <w:p w14:paraId="6CEB2E2A" w14:textId="38F279B0" w:rsidR="00DE412B" w:rsidRDefault="00000000">
      <w:pPr>
        <w:pStyle w:val="TableofFigures"/>
        <w:tabs>
          <w:tab w:val="right" w:leader="dot" w:pos="9016"/>
        </w:tabs>
        <w:rPr>
          <w:rFonts w:eastAsiaTheme="minorEastAsia"/>
          <w:noProof/>
          <w:kern w:val="2"/>
          <w:lang w:eastAsia="en-AU"/>
          <w14:ligatures w14:val="standardContextual"/>
        </w:rPr>
      </w:pPr>
      <w:hyperlink w:anchor="_Toc154674765" w:history="1">
        <w:r w:rsidR="00DE412B" w:rsidRPr="00C92C92">
          <w:rPr>
            <w:rStyle w:val="Hyperlink"/>
            <w:noProof/>
          </w:rPr>
          <w:t>Figure 3: Tertiary attainment by OECD country, proportion of 25 to 34-year-olds (%), 2022.</w:t>
        </w:r>
        <w:r w:rsidR="00DE412B">
          <w:rPr>
            <w:noProof/>
            <w:webHidden/>
          </w:rPr>
          <w:tab/>
        </w:r>
        <w:r w:rsidR="00DE412B">
          <w:rPr>
            <w:noProof/>
            <w:webHidden/>
          </w:rPr>
          <w:fldChar w:fldCharType="begin"/>
        </w:r>
        <w:r w:rsidR="00DE412B">
          <w:rPr>
            <w:noProof/>
            <w:webHidden/>
          </w:rPr>
          <w:instrText xml:space="preserve"> PAGEREF _Toc154674765 \h </w:instrText>
        </w:r>
        <w:r w:rsidR="00DE412B">
          <w:rPr>
            <w:noProof/>
            <w:webHidden/>
          </w:rPr>
        </w:r>
        <w:r w:rsidR="00DE412B">
          <w:rPr>
            <w:noProof/>
            <w:webHidden/>
          </w:rPr>
          <w:fldChar w:fldCharType="separate"/>
        </w:r>
        <w:r w:rsidR="00467B4F">
          <w:rPr>
            <w:noProof/>
            <w:webHidden/>
          </w:rPr>
          <w:t>66</w:t>
        </w:r>
        <w:r w:rsidR="00DE412B">
          <w:rPr>
            <w:noProof/>
            <w:webHidden/>
          </w:rPr>
          <w:fldChar w:fldCharType="end"/>
        </w:r>
      </w:hyperlink>
    </w:p>
    <w:p w14:paraId="15570369" w14:textId="4D3FC6D3" w:rsidR="00DE412B" w:rsidRDefault="00000000">
      <w:pPr>
        <w:pStyle w:val="TableofFigures"/>
        <w:tabs>
          <w:tab w:val="right" w:leader="dot" w:pos="9016"/>
        </w:tabs>
        <w:rPr>
          <w:rFonts w:eastAsiaTheme="minorEastAsia"/>
          <w:noProof/>
          <w:kern w:val="2"/>
          <w:lang w:eastAsia="en-AU"/>
          <w14:ligatures w14:val="standardContextual"/>
        </w:rPr>
      </w:pPr>
      <w:hyperlink w:anchor="_Toc154674766" w:history="1">
        <w:r w:rsidR="00DE412B" w:rsidRPr="00C92C92">
          <w:rPr>
            <w:rStyle w:val="Hyperlink"/>
            <w:noProof/>
          </w:rPr>
          <w:t xml:space="preserve">Figure 4: </w:t>
        </w:r>
        <w:r w:rsidR="00DE412B" w:rsidRPr="00C92C92">
          <w:rPr>
            <w:rStyle w:val="Hyperlink"/>
            <w:rFonts w:ascii="Calibri" w:hAnsi="Calibri" w:cs="Calibri"/>
            <w:noProof/>
          </w:rPr>
          <w:t>Total Commonwealth supported student projection (headcount, thousands of students) under current policy settings and to achieve 55% attainment by 2050.</w:t>
        </w:r>
        <w:r w:rsidR="00DE412B">
          <w:rPr>
            <w:noProof/>
            <w:webHidden/>
          </w:rPr>
          <w:tab/>
        </w:r>
        <w:r w:rsidR="00DE412B">
          <w:rPr>
            <w:noProof/>
            <w:webHidden/>
          </w:rPr>
          <w:fldChar w:fldCharType="begin"/>
        </w:r>
        <w:r w:rsidR="00DE412B">
          <w:rPr>
            <w:noProof/>
            <w:webHidden/>
          </w:rPr>
          <w:instrText xml:space="preserve"> PAGEREF _Toc154674766 \h </w:instrText>
        </w:r>
        <w:r w:rsidR="00DE412B">
          <w:rPr>
            <w:noProof/>
            <w:webHidden/>
          </w:rPr>
        </w:r>
        <w:r w:rsidR="00DE412B">
          <w:rPr>
            <w:noProof/>
            <w:webHidden/>
          </w:rPr>
          <w:fldChar w:fldCharType="separate"/>
        </w:r>
        <w:r w:rsidR="00467B4F">
          <w:rPr>
            <w:noProof/>
            <w:webHidden/>
          </w:rPr>
          <w:t>68</w:t>
        </w:r>
        <w:r w:rsidR="00DE412B">
          <w:rPr>
            <w:noProof/>
            <w:webHidden/>
          </w:rPr>
          <w:fldChar w:fldCharType="end"/>
        </w:r>
      </w:hyperlink>
    </w:p>
    <w:p w14:paraId="462A9A40" w14:textId="0ADBFB80" w:rsidR="00DE412B" w:rsidRDefault="00000000">
      <w:pPr>
        <w:pStyle w:val="TableofFigures"/>
        <w:tabs>
          <w:tab w:val="right" w:leader="dot" w:pos="9016"/>
        </w:tabs>
        <w:rPr>
          <w:rFonts w:eastAsiaTheme="minorEastAsia"/>
          <w:noProof/>
          <w:kern w:val="2"/>
          <w:lang w:eastAsia="en-AU"/>
          <w14:ligatures w14:val="standardContextual"/>
        </w:rPr>
      </w:pPr>
      <w:hyperlink w:anchor="_Toc154674767" w:history="1">
        <w:r w:rsidR="00DE412B" w:rsidRPr="00C92C92">
          <w:rPr>
            <w:rStyle w:val="Hyperlink"/>
            <w:noProof/>
          </w:rPr>
          <w:t>Figure 5: Projected higher education participation rate as a share of Australia’s population (%), 1995 to 2050.</w:t>
        </w:r>
        <w:r w:rsidR="00DE412B">
          <w:rPr>
            <w:noProof/>
            <w:webHidden/>
          </w:rPr>
          <w:tab/>
        </w:r>
        <w:r w:rsidR="00DE412B">
          <w:rPr>
            <w:noProof/>
            <w:webHidden/>
          </w:rPr>
          <w:fldChar w:fldCharType="begin"/>
        </w:r>
        <w:r w:rsidR="00DE412B">
          <w:rPr>
            <w:noProof/>
            <w:webHidden/>
          </w:rPr>
          <w:instrText xml:space="preserve"> PAGEREF _Toc154674767 \h </w:instrText>
        </w:r>
        <w:r w:rsidR="00DE412B">
          <w:rPr>
            <w:noProof/>
            <w:webHidden/>
          </w:rPr>
        </w:r>
        <w:r w:rsidR="00DE412B">
          <w:rPr>
            <w:noProof/>
            <w:webHidden/>
          </w:rPr>
          <w:fldChar w:fldCharType="separate"/>
        </w:r>
        <w:r w:rsidR="00467B4F">
          <w:rPr>
            <w:noProof/>
            <w:webHidden/>
          </w:rPr>
          <w:t>69</w:t>
        </w:r>
        <w:r w:rsidR="00DE412B">
          <w:rPr>
            <w:noProof/>
            <w:webHidden/>
          </w:rPr>
          <w:fldChar w:fldCharType="end"/>
        </w:r>
      </w:hyperlink>
    </w:p>
    <w:p w14:paraId="6B6C718C" w14:textId="65791563" w:rsidR="00DE412B" w:rsidRDefault="00000000">
      <w:pPr>
        <w:pStyle w:val="TableofFigures"/>
        <w:tabs>
          <w:tab w:val="right" w:leader="dot" w:pos="9016"/>
        </w:tabs>
        <w:rPr>
          <w:rFonts w:eastAsiaTheme="minorEastAsia"/>
          <w:noProof/>
          <w:kern w:val="2"/>
          <w:lang w:eastAsia="en-AU"/>
          <w14:ligatures w14:val="standardContextual"/>
        </w:rPr>
      </w:pPr>
      <w:hyperlink w:anchor="_Toc154674768" w:history="1">
        <w:r w:rsidR="00DE412B" w:rsidRPr="00C92C92">
          <w:rPr>
            <w:rStyle w:val="Hyperlink"/>
            <w:noProof/>
          </w:rPr>
          <w:t>Figure 6: Highest educational attainment for 25 to 34-year-olds by SES derived from SEIFA Index of Education and Occupation (IEO), quintiles 1 (most disadvantaged) to 5 (most advantaged), 2021.</w:t>
        </w:r>
        <w:r w:rsidR="00DE412B">
          <w:rPr>
            <w:noProof/>
            <w:webHidden/>
          </w:rPr>
          <w:tab/>
        </w:r>
        <w:r w:rsidR="00DE412B">
          <w:rPr>
            <w:noProof/>
            <w:webHidden/>
          </w:rPr>
          <w:fldChar w:fldCharType="begin"/>
        </w:r>
        <w:r w:rsidR="00DE412B">
          <w:rPr>
            <w:noProof/>
            <w:webHidden/>
          </w:rPr>
          <w:instrText xml:space="preserve"> PAGEREF _Toc154674768 \h </w:instrText>
        </w:r>
        <w:r w:rsidR="00DE412B">
          <w:rPr>
            <w:noProof/>
            <w:webHidden/>
          </w:rPr>
        </w:r>
        <w:r w:rsidR="00DE412B">
          <w:rPr>
            <w:noProof/>
            <w:webHidden/>
          </w:rPr>
          <w:fldChar w:fldCharType="separate"/>
        </w:r>
        <w:r w:rsidR="00467B4F">
          <w:rPr>
            <w:noProof/>
            <w:webHidden/>
          </w:rPr>
          <w:t>71</w:t>
        </w:r>
        <w:r w:rsidR="00DE412B">
          <w:rPr>
            <w:noProof/>
            <w:webHidden/>
          </w:rPr>
          <w:fldChar w:fldCharType="end"/>
        </w:r>
      </w:hyperlink>
    </w:p>
    <w:p w14:paraId="3A4D0211" w14:textId="4E226559" w:rsidR="00DE412B" w:rsidRDefault="00000000">
      <w:pPr>
        <w:pStyle w:val="TableofFigures"/>
        <w:tabs>
          <w:tab w:val="right" w:leader="dot" w:pos="9016"/>
        </w:tabs>
        <w:rPr>
          <w:rFonts w:eastAsiaTheme="minorEastAsia"/>
          <w:noProof/>
          <w:kern w:val="2"/>
          <w:lang w:eastAsia="en-AU"/>
          <w14:ligatures w14:val="standardContextual"/>
        </w:rPr>
      </w:pPr>
      <w:hyperlink w:anchor="_Toc154674769" w:history="1">
        <w:r w:rsidR="00DE412B" w:rsidRPr="00C92C92">
          <w:rPr>
            <w:rStyle w:val="Hyperlink"/>
            <w:noProof/>
          </w:rPr>
          <w:t>Figure 7: Higher education and VET attainment share among 25 to 34-year-old population (%), by state and territory and nationally, 2023.</w:t>
        </w:r>
        <w:r w:rsidR="00DE412B">
          <w:rPr>
            <w:noProof/>
            <w:webHidden/>
          </w:rPr>
          <w:tab/>
        </w:r>
        <w:r w:rsidR="00DE412B">
          <w:rPr>
            <w:noProof/>
            <w:webHidden/>
          </w:rPr>
          <w:fldChar w:fldCharType="begin"/>
        </w:r>
        <w:r w:rsidR="00DE412B">
          <w:rPr>
            <w:noProof/>
            <w:webHidden/>
          </w:rPr>
          <w:instrText xml:space="preserve"> PAGEREF _Toc154674769 \h </w:instrText>
        </w:r>
        <w:r w:rsidR="00DE412B">
          <w:rPr>
            <w:noProof/>
            <w:webHidden/>
          </w:rPr>
        </w:r>
        <w:r w:rsidR="00DE412B">
          <w:rPr>
            <w:noProof/>
            <w:webHidden/>
          </w:rPr>
          <w:fldChar w:fldCharType="separate"/>
        </w:r>
        <w:r w:rsidR="00467B4F">
          <w:rPr>
            <w:noProof/>
            <w:webHidden/>
          </w:rPr>
          <w:t>72</w:t>
        </w:r>
        <w:r w:rsidR="00DE412B">
          <w:rPr>
            <w:noProof/>
            <w:webHidden/>
          </w:rPr>
          <w:fldChar w:fldCharType="end"/>
        </w:r>
      </w:hyperlink>
    </w:p>
    <w:p w14:paraId="375529E8" w14:textId="71C18A34" w:rsidR="00DE412B" w:rsidRDefault="00000000">
      <w:pPr>
        <w:pStyle w:val="TableofFigures"/>
        <w:tabs>
          <w:tab w:val="right" w:leader="dot" w:pos="9016"/>
        </w:tabs>
        <w:rPr>
          <w:rFonts w:eastAsiaTheme="minorEastAsia"/>
          <w:noProof/>
          <w:kern w:val="2"/>
          <w:lang w:eastAsia="en-AU"/>
          <w14:ligatures w14:val="standardContextual"/>
        </w:rPr>
      </w:pPr>
      <w:hyperlink w:anchor="_Toc154674770" w:history="1">
        <w:r w:rsidR="00DE412B" w:rsidRPr="00C92C92">
          <w:rPr>
            <w:rStyle w:val="Hyperlink"/>
            <w:noProof/>
          </w:rPr>
          <w:t>Figure 8:</w:t>
        </w:r>
        <w:r w:rsidR="00DE412B" w:rsidRPr="00C92C92">
          <w:rPr>
            <w:rStyle w:val="Hyperlink"/>
            <w:b/>
            <w:bCs/>
            <w:noProof/>
          </w:rPr>
          <w:t xml:space="preserve"> </w:t>
        </w:r>
        <w:r w:rsidR="00DE412B" w:rsidRPr="00C92C92">
          <w:rPr>
            <w:rStyle w:val="Hyperlink"/>
            <w:noProof/>
          </w:rPr>
          <w:t>Number of commencing domestic students (thousands of students, headcount), target cohorts relative to all domestic, 2006 to 2022.</w:t>
        </w:r>
        <w:r w:rsidR="00DE412B">
          <w:rPr>
            <w:noProof/>
            <w:webHidden/>
          </w:rPr>
          <w:tab/>
        </w:r>
        <w:r w:rsidR="00DE412B">
          <w:rPr>
            <w:noProof/>
            <w:webHidden/>
          </w:rPr>
          <w:fldChar w:fldCharType="begin"/>
        </w:r>
        <w:r w:rsidR="00DE412B">
          <w:rPr>
            <w:noProof/>
            <w:webHidden/>
          </w:rPr>
          <w:instrText xml:space="preserve"> PAGEREF _Toc154674770 \h </w:instrText>
        </w:r>
        <w:r w:rsidR="00DE412B">
          <w:rPr>
            <w:noProof/>
            <w:webHidden/>
          </w:rPr>
        </w:r>
        <w:r w:rsidR="00DE412B">
          <w:rPr>
            <w:noProof/>
            <w:webHidden/>
          </w:rPr>
          <w:fldChar w:fldCharType="separate"/>
        </w:r>
        <w:r w:rsidR="00467B4F">
          <w:rPr>
            <w:noProof/>
            <w:webHidden/>
          </w:rPr>
          <w:t>73</w:t>
        </w:r>
        <w:r w:rsidR="00DE412B">
          <w:rPr>
            <w:noProof/>
            <w:webHidden/>
          </w:rPr>
          <w:fldChar w:fldCharType="end"/>
        </w:r>
      </w:hyperlink>
    </w:p>
    <w:p w14:paraId="59357A0E" w14:textId="2DE2EE25" w:rsidR="00DE412B" w:rsidRDefault="00000000">
      <w:pPr>
        <w:pStyle w:val="TableofFigures"/>
        <w:tabs>
          <w:tab w:val="right" w:leader="dot" w:pos="9016"/>
        </w:tabs>
        <w:rPr>
          <w:rFonts w:eastAsiaTheme="minorEastAsia"/>
          <w:noProof/>
          <w:kern w:val="2"/>
          <w:lang w:eastAsia="en-AU"/>
          <w14:ligatures w14:val="standardContextual"/>
        </w:rPr>
      </w:pPr>
      <w:hyperlink w:anchor="_Toc154674771" w:history="1">
        <w:r w:rsidR="00DE412B" w:rsidRPr="00C92C92">
          <w:rPr>
            <w:rStyle w:val="Hyperlink"/>
            <w:noProof/>
          </w:rPr>
          <w:t>Figure 9:</w:t>
        </w:r>
        <w:r w:rsidR="00DE412B" w:rsidRPr="00C92C92">
          <w:rPr>
            <w:rStyle w:val="Hyperlink"/>
            <w:b/>
            <w:bCs/>
            <w:noProof/>
          </w:rPr>
          <w:t xml:space="preserve"> </w:t>
        </w:r>
        <w:r w:rsidR="00DE412B" w:rsidRPr="00C92C92">
          <w:rPr>
            <w:rStyle w:val="Hyperlink"/>
            <w:noProof/>
          </w:rPr>
          <w:t>Proportion of occupations in shortage by skill level, 2022 and 2023.</w:t>
        </w:r>
        <w:r w:rsidR="00DE412B">
          <w:rPr>
            <w:noProof/>
            <w:webHidden/>
          </w:rPr>
          <w:tab/>
        </w:r>
        <w:r w:rsidR="00DE412B">
          <w:rPr>
            <w:noProof/>
            <w:webHidden/>
          </w:rPr>
          <w:fldChar w:fldCharType="begin"/>
        </w:r>
        <w:r w:rsidR="00DE412B">
          <w:rPr>
            <w:noProof/>
            <w:webHidden/>
          </w:rPr>
          <w:instrText xml:space="preserve"> PAGEREF _Toc154674771 \h </w:instrText>
        </w:r>
        <w:r w:rsidR="00DE412B">
          <w:rPr>
            <w:noProof/>
            <w:webHidden/>
          </w:rPr>
        </w:r>
        <w:r w:rsidR="00DE412B">
          <w:rPr>
            <w:noProof/>
            <w:webHidden/>
          </w:rPr>
          <w:fldChar w:fldCharType="separate"/>
        </w:r>
        <w:r w:rsidR="00467B4F">
          <w:rPr>
            <w:noProof/>
            <w:webHidden/>
          </w:rPr>
          <w:t>76</w:t>
        </w:r>
        <w:r w:rsidR="00DE412B">
          <w:rPr>
            <w:noProof/>
            <w:webHidden/>
          </w:rPr>
          <w:fldChar w:fldCharType="end"/>
        </w:r>
      </w:hyperlink>
    </w:p>
    <w:p w14:paraId="73983D94" w14:textId="4C76A40C" w:rsidR="00DE412B" w:rsidRDefault="00000000">
      <w:pPr>
        <w:pStyle w:val="TableofFigures"/>
        <w:tabs>
          <w:tab w:val="right" w:leader="dot" w:pos="9016"/>
        </w:tabs>
        <w:rPr>
          <w:rFonts w:eastAsiaTheme="minorEastAsia"/>
          <w:noProof/>
          <w:kern w:val="2"/>
          <w:lang w:eastAsia="en-AU"/>
          <w14:ligatures w14:val="standardContextual"/>
        </w:rPr>
      </w:pPr>
      <w:hyperlink w:anchor="_Toc154674772" w:history="1">
        <w:r w:rsidR="00DE412B" w:rsidRPr="00C92C92">
          <w:rPr>
            <w:rStyle w:val="Hyperlink"/>
            <w:noProof/>
          </w:rPr>
          <w:t>Figure 10: Occupations in shortage, proportion of selected professional occupation sub-groups (%), 2023.</w:t>
        </w:r>
        <w:r w:rsidR="00DE412B">
          <w:rPr>
            <w:noProof/>
            <w:webHidden/>
          </w:rPr>
          <w:tab/>
        </w:r>
        <w:r w:rsidR="00DE412B">
          <w:rPr>
            <w:noProof/>
            <w:webHidden/>
          </w:rPr>
          <w:fldChar w:fldCharType="begin"/>
        </w:r>
        <w:r w:rsidR="00DE412B">
          <w:rPr>
            <w:noProof/>
            <w:webHidden/>
          </w:rPr>
          <w:instrText xml:space="preserve"> PAGEREF _Toc154674772 \h </w:instrText>
        </w:r>
        <w:r w:rsidR="00DE412B">
          <w:rPr>
            <w:noProof/>
            <w:webHidden/>
          </w:rPr>
        </w:r>
        <w:r w:rsidR="00DE412B">
          <w:rPr>
            <w:noProof/>
            <w:webHidden/>
          </w:rPr>
          <w:fldChar w:fldCharType="separate"/>
        </w:r>
        <w:r w:rsidR="00467B4F">
          <w:rPr>
            <w:noProof/>
            <w:webHidden/>
          </w:rPr>
          <w:t>77</w:t>
        </w:r>
        <w:r w:rsidR="00DE412B">
          <w:rPr>
            <w:noProof/>
            <w:webHidden/>
          </w:rPr>
          <w:fldChar w:fldCharType="end"/>
        </w:r>
      </w:hyperlink>
    </w:p>
    <w:p w14:paraId="327F5672" w14:textId="17E98C57" w:rsidR="00DE412B" w:rsidRDefault="00000000">
      <w:pPr>
        <w:pStyle w:val="TableofFigures"/>
        <w:tabs>
          <w:tab w:val="right" w:leader="dot" w:pos="9016"/>
        </w:tabs>
        <w:rPr>
          <w:rFonts w:eastAsiaTheme="minorEastAsia"/>
          <w:noProof/>
          <w:kern w:val="2"/>
          <w:lang w:eastAsia="en-AU"/>
          <w14:ligatures w14:val="standardContextual"/>
        </w:rPr>
      </w:pPr>
      <w:hyperlink w:anchor="_Toc154674773" w:history="1">
        <w:r w:rsidR="00DE412B" w:rsidRPr="00C92C92">
          <w:rPr>
            <w:rStyle w:val="Hyperlink"/>
            <w:noProof/>
          </w:rPr>
          <w:t>Figure 11:</w:t>
        </w:r>
        <w:r w:rsidR="00DE412B" w:rsidRPr="00C92C92">
          <w:rPr>
            <w:rStyle w:val="Hyperlink"/>
            <w:b/>
            <w:noProof/>
          </w:rPr>
          <w:t xml:space="preserve"> </w:t>
        </w:r>
        <w:r w:rsidR="00DE412B" w:rsidRPr="00C92C92">
          <w:rPr>
            <w:rStyle w:val="Hyperlink"/>
            <w:bCs/>
            <w:noProof/>
          </w:rPr>
          <w:t>Projected growth in employment by industry (thousands of positions), May 2023 to May 2033.</w:t>
        </w:r>
        <w:r w:rsidR="00DE412B">
          <w:rPr>
            <w:noProof/>
            <w:webHidden/>
          </w:rPr>
          <w:tab/>
        </w:r>
        <w:r w:rsidR="00DE412B">
          <w:rPr>
            <w:noProof/>
            <w:webHidden/>
          </w:rPr>
          <w:fldChar w:fldCharType="begin"/>
        </w:r>
        <w:r w:rsidR="00DE412B">
          <w:rPr>
            <w:noProof/>
            <w:webHidden/>
          </w:rPr>
          <w:instrText xml:space="preserve"> PAGEREF _Toc154674773 \h </w:instrText>
        </w:r>
        <w:r w:rsidR="00DE412B">
          <w:rPr>
            <w:noProof/>
            <w:webHidden/>
          </w:rPr>
        </w:r>
        <w:r w:rsidR="00DE412B">
          <w:rPr>
            <w:noProof/>
            <w:webHidden/>
          </w:rPr>
          <w:fldChar w:fldCharType="separate"/>
        </w:r>
        <w:r w:rsidR="00467B4F">
          <w:rPr>
            <w:noProof/>
            <w:webHidden/>
          </w:rPr>
          <w:t>78</w:t>
        </w:r>
        <w:r w:rsidR="00DE412B">
          <w:rPr>
            <w:noProof/>
            <w:webHidden/>
          </w:rPr>
          <w:fldChar w:fldCharType="end"/>
        </w:r>
      </w:hyperlink>
    </w:p>
    <w:p w14:paraId="5A241AAB" w14:textId="6EAAEFD9" w:rsidR="00DE412B" w:rsidRDefault="00000000">
      <w:pPr>
        <w:pStyle w:val="TableofFigures"/>
        <w:tabs>
          <w:tab w:val="right" w:leader="dot" w:pos="9016"/>
        </w:tabs>
        <w:rPr>
          <w:rFonts w:eastAsiaTheme="minorEastAsia"/>
          <w:noProof/>
          <w:kern w:val="2"/>
          <w:lang w:eastAsia="en-AU"/>
          <w14:ligatures w14:val="standardContextual"/>
        </w:rPr>
      </w:pPr>
      <w:hyperlink w:anchor="_Toc154674774" w:history="1">
        <w:r w:rsidR="00DE412B" w:rsidRPr="00C92C92">
          <w:rPr>
            <w:rStyle w:val="Hyperlink"/>
            <w:noProof/>
          </w:rPr>
          <w:t>Figure 12:</w:t>
        </w:r>
        <w:r w:rsidR="00DE412B" w:rsidRPr="00C92C92">
          <w:rPr>
            <w:rStyle w:val="Hyperlink"/>
            <w:i/>
            <w:noProof/>
          </w:rPr>
          <w:t xml:space="preserve"> </w:t>
        </w:r>
        <w:r w:rsidR="00DE412B" w:rsidRPr="00C92C92">
          <w:rPr>
            <w:rStyle w:val="Hyperlink"/>
            <w:noProof/>
          </w:rPr>
          <w:t>Participation rates of domestic under-represented student cohorts, share of total domestic undergraduate and postgraduate cohort (%), 2001 to 2022.</w:t>
        </w:r>
        <w:r w:rsidR="00DE412B">
          <w:rPr>
            <w:noProof/>
            <w:webHidden/>
          </w:rPr>
          <w:tab/>
        </w:r>
        <w:r w:rsidR="00DE412B">
          <w:rPr>
            <w:noProof/>
            <w:webHidden/>
          </w:rPr>
          <w:fldChar w:fldCharType="begin"/>
        </w:r>
        <w:r w:rsidR="00DE412B">
          <w:rPr>
            <w:noProof/>
            <w:webHidden/>
          </w:rPr>
          <w:instrText xml:space="preserve"> PAGEREF _Toc154674774 \h </w:instrText>
        </w:r>
        <w:r w:rsidR="00DE412B">
          <w:rPr>
            <w:noProof/>
            <w:webHidden/>
          </w:rPr>
        </w:r>
        <w:r w:rsidR="00DE412B">
          <w:rPr>
            <w:noProof/>
            <w:webHidden/>
          </w:rPr>
          <w:fldChar w:fldCharType="separate"/>
        </w:r>
        <w:r w:rsidR="00467B4F">
          <w:rPr>
            <w:noProof/>
            <w:webHidden/>
          </w:rPr>
          <w:t>104</w:t>
        </w:r>
        <w:r w:rsidR="00DE412B">
          <w:rPr>
            <w:noProof/>
            <w:webHidden/>
          </w:rPr>
          <w:fldChar w:fldCharType="end"/>
        </w:r>
      </w:hyperlink>
    </w:p>
    <w:p w14:paraId="3620085C" w14:textId="204F4D70" w:rsidR="00DE412B" w:rsidRDefault="00000000">
      <w:pPr>
        <w:pStyle w:val="TableofFigures"/>
        <w:tabs>
          <w:tab w:val="right" w:leader="dot" w:pos="9016"/>
        </w:tabs>
        <w:rPr>
          <w:rFonts w:eastAsiaTheme="minorEastAsia"/>
          <w:noProof/>
          <w:kern w:val="2"/>
          <w:lang w:eastAsia="en-AU"/>
          <w14:ligatures w14:val="standardContextual"/>
        </w:rPr>
      </w:pPr>
      <w:hyperlink w:anchor="_Toc154674775" w:history="1">
        <w:r w:rsidR="00DE412B" w:rsidRPr="00C92C92">
          <w:rPr>
            <w:rStyle w:val="Hyperlink"/>
            <w:noProof/>
          </w:rPr>
          <w:t>Figure 13: Target cohorts share of Australian population, higher education participation (domestic undergraduate Table A) and higher education completions (domestic undergraduate Table A) (%), 2022.</w:t>
        </w:r>
        <w:r w:rsidR="00DE412B">
          <w:rPr>
            <w:noProof/>
            <w:webHidden/>
          </w:rPr>
          <w:tab/>
        </w:r>
        <w:r w:rsidR="00DE412B">
          <w:rPr>
            <w:noProof/>
            <w:webHidden/>
          </w:rPr>
          <w:fldChar w:fldCharType="begin"/>
        </w:r>
        <w:r w:rsidR="00DE412B">
          <w:rPr>
            <w:noProof/>
            <w:webHidden/>
          </w:rPr>
          <w:instrText xml:space="preserve"> PAGEREF _Toc154674775 \h </w:instrText>
        </w:r>
        <w:r w:rsidR="00DE412B">
          <w:rPr>
            <w:noProof/>
            <w:webHidden/>
          </w:rPr>
        </w:r>
        <w:r w:rsidR="00DE412B">
          <w:rPr>
            <w:noProof/>
            <w:webHidden/>
          </w:rPr>
          <w:fldChar w:fldCharType="separate"/>
        </w:r>
        <w:r w:rsidR="00467B4F">
          <w:rPr>
            <w:noProof/>
            <w:webHidden/>
          </w:rPr>
          <w:t>106</w:t>
        </w:r>
        <w:r w:rsidR="00DE412B">
          <w:rPr>
            <w:noProof/>
            <w:webHidden/>
          </w:rPr>
          <w:fldChar w:fldCharType="end"/>
        </w:r>
      </w:hyperlink>
    </w:p>
    <w:p w14:paraId="05ED7D07" w14:textId="34A0A329" w:rsidR="00DE412B" w:rsidRDefault="00000000">
      <w:pPr>
        <w:pStyle w:val="TableofFigures"/>
        <w:tabs>
          <w:tab w:val="right" w:leader="dot" w:pos="9016"/>
        </w:tabs>
        <w:rPr>
          <w:rFonts w:eastAsiaTheme="minorEastAsia"/>
          <w:noProof/>
          <w:kern w:val="2"/>
          <w:lang w:eastAsia="en-AU"/>
          <w14:ligatures w14:val="standardContextual"/>
        </w:rPr>
      </w:pPr>
      <w:hyperlink w:anchor="_Toc154674776" w:history="1">
        <w:r w:rsidR="00DE412B" w:rsidRPr="00C92C92">
          <w:rPr>
            <w:rStyle w:val="Hyperlink"/>
            <w:noProof/>
          </w:rPr>
          <w:t>Figure 14: Age on commencement, share of high SES, low SES and First Nations domestic (onshore) bachelor student cohorts (%), 2022.</w:t>
        </w:r>
        <w:r w:rsidR="00DE412B">
          <w:rPr>
            <w:noProof/>
            <w:webHidden/>
          </w:rPr>
          <w:tab/>
        </w:r>
        <w:r w:rsidR="00DE412B">
          <w:rPr>
            <w:noProof/>
            <w:webHidden/>
          </w:rPr>
          <w:fldChar w:fldCharType="begin"/>
        </w:r>
        <w:r w:rsidR="00DE412B">
          <w:rPr>
            <w:noProof/>
            <w:webHidden/>
          </w:rPr>
          <w:instrText xml:space="preserve"> PAGEREF _Toc154674776 \h </w:instrText>
        </w:r>
        <w:r w:rsidR="00DE412B">
          <w:rPr>
            <w:noProof/>
            <w:webHidden/>
          </w:rPr>
        </w:r>
        <w:r w:rsidR="00DE412B">
          <w:rPr>
            <w:noProof/>
            <w:webHidden/>
          </w:rPr>
          <w:fldChar w:fldCharType="separate"/>
        </w:r>
        <w:r w:rsidR="00467B4F">
          <w:rPr>
            <w:noProof/>
            <w:webHidden/>
          </w:rPr>
          <w:t>120</w:t>
        </w:r>
        <w:r w:rsidR="00DE412B">
          <w:rPr>
            <w:noProof/>
            <w:webHidden/>
          </w:rPr>
          <w:fldChar w:fldCharType="end"/>
        </w:r>
      </w:hyperlink>
    </w:p>
    <w:p w14:paraId="02E23396" w14:textId="48CD2F65" w:rsidR="00DE412B" w:rsidRDefault="00000000">
      <w:pPr>
        <w:pStyle w:val="TableofFigures"/>
        <w:tabs>
          <w:tab w:val="right" w:leader="dot" w:pos="9016"/>
        </w:tabs>
        <w:rPr>
          <w:rFonts w:eastAsiaTheme="minorEastAsia"/>
          <w:noProof/>
          <w:kern w:val="2"/>
          <w:lang w:eastAsia="en-AU"/>
          <w14:ligatures w14:val="standardContextual"/>
        </w:rPr>
      </w:pPr>
      <w:hyperlink w:anchor="_Toc154674777" w:history="1">
        <w:r w:rsidR="00DE412B" w:rsidRPr="00C92C92">
          <w:rPr>
            <w:rStyle w:val="Hyperlink"/>
            <w:noProof/>
          </w:rPr>
          <w:t>Figure 15: Basis of entry for commencing domestic (onshore) bachelor students aged 24 and older, share of high SES, low SES and First Nations student cohorts (%), 2022.</w:t>
        </w:r>
        <w:r w:rsidR="00DE412B">
          <w:rPr>
            <w:noProof/>
            <w:webHidden/>
          </w:rPr>
          <w:tab/>
        </w:r>
        <w:r w:rsidR="00DE412B">
          <w:rPr>
            <w:noProof/>
            <w:webHidden/>
          </w:rPr>
          <w:fldChar w:fldCharType="begin"/>
        </w:r>
        <w:r w:rsidR="00DE412B">
          <w:rPr>
            <w:noProof/>
            <w:webHidden/>
          </w:rPr>
          <w:instrText xml:space="preserve"> PAGEREF _Toc154674777 \h </w:instrText>
        </w:r>
        <w:r w:rsidR="00DE412B">
          <w:rPr>
            <w:noProof/>
            <w:webHidden/>
          </w:rPr>
        </w:r>
        <w:r w:rsidR="00DE412B">
          <w:rPr>
            <w:noProof/>
            <w:webHidden/>
          </w:rPr>
          <w:fldChar w:fldCharType="separate"/>
        </w:r>
        <w:r w:rsidR="00467B4F">
          <w:rPr>
            <w:noProof/>
            <w:webHidden/>
          </w:rPr>
          <w:t>121</w:t>
        </w:r>
        <w:r w:rsidR="00DE412B">
          <w:rPr>
            <w:noProof/>
            <w:webHidden/>
          </w:rPr>
          <w:fldChar w:fldCharType="end"/>
        </w:r>
      </w:hyperlink>
    </w:p>
    <w:p w14:paraId="3AE1C441" w14:textId="4F615E85" w:rsidR="00DE412B" w:rsidRDefault="00000000">
      <w:pPr>
        <w:pStyle w:val="TableofFigures"/>
        <w:tabs>
          <w:tab w:val="right" w:leader="dot" w:pos="9016"/>
        </w:tabs>
        <w:rPr>
          <w:rFonts w:eastAsiaTheme="minorEastAsia"/>
          <w:noProof/>
          <w:kern w:val="2"/>
          <w:lang w:eastAsia="en-AU"/>
          <w14:ligatures w14:val="standardContextual"/>
        </w:rPr>
      </w:pPr>
      <w:hyperlink w:anchor="_Toc154674778" w:history="1">
        <w:r w:rsidR="00DE412B" w:rsidRPr="00C92C92">
          <w:rPr>
            <w:rStyle w:val="Hyperlink"/>
            <w:noProof/>
          </w:rPr>
          <w:t>Figure 16: Cumulative disadvantage – attrition rates for commencing bachelor students, share of student demographic (%), 2021 commencers.</w:t>
        </w:r>
        <w:r w:rsidR="00DE412B">
          <w:rPr>
            <w:noProof/>
            <w:webHidden/>
          </w:rPr>
          <w:tab/>
        </w:r>
        <w:r w:rsidR="00DE412B">
          <w:rPr>
            <w:noProof/>
            <w:webHidden/>
          </w:rPr>
          <w:fldChar w:fldCharType="begin"/>
        </w:r>
        <w:r w:rsidR="00DE412B">
          <w:rPr>
            <w:noProof/>
            <w:webHidden/>
          </w:rPr>
          <w:instrText xml:space="preserve"> PAGEREF _Toc154674778 \h </w:instrText>
        </w:r>
        <w:r w:rsidR="00DE412B">
          <w:rPr>
            <w:noProof/>
            <w:webHidden/>
          </w:rPr>
        </w:r>
        <w:r w:rsidR="00DE412B">
          <w:rPr>
            <w:noProof/>
            <w:webHidden/>
          </w:rPr>
          <w:fldChar w:fldCharType="separate"/>
        </w:r>
        <w:r w:rsidR="00467B4F">
          <w:rPr>
            <w:noProof/>
            <w:webHidden/>
          </w:rPr>
          <w:t>126</w:t>
        </w:r>
        <w:r w:rsidR="00DE412B">
          <w:rPr>
            <w:noProof/>
            <w:webHidden/>
          </w:rPr>
          <w:fldChar w:fldCharType="end"/>
        </w:r>
      </w:hyperlink>
    </w:p>
    <w:p w14:paraId="0232C564" w14:textId="2D30A9F0" w:rsidR="00DE412B" w:rsidRDefault="00000000">
      <w:pPr>
        <w:pStyle w:val="TableofFigures"/>
        <w:tabs>
          <w:tab w:val="right" w:leader="dot" w:pos="9016"/>
        </w:tabs>
        <w:rPr>
          <w:rFonts w:eastAsiaTheme="minorEastAsia"/>
          <w:noProof/>
          <w:kern w:val="2"/>
          <w:lang w:eastAsia="en-AU"/>
          <w14:ligatures w14:val="standardContextual"/>
        </w:rPr>
      </w:pPr>
      <w:hyperlink w:anchor="_Toc154674779" w:history="1">
        <w:r w:rsidR="00DE412B" w:rsidRPr="00C92C92">
          <w:rPr>
            <w:rStyle w:val="Hyperlink"/>
            <w:noProof/>
          </w:rPr>
          <w:t>Figure 17: Among undergraduate students who have seriously considered leaving their university studies early, proportion that cited financial difficulties as a reason (%), by demographic, 2022.</w:t>
        </w:r>
        <w:r w:rsidR="00DE412B">
          <w:rPr>
            <w:noProof/>
            <w:webHidden/>
          </w:rPr>
          <w:tab/>
        </w:r>
        <w:r w:rsidR="00DE412B">
          <w:rPr>
            <w:noProof/>
            <w:webHidden/>
          </w:rPr>
          <w:fldChar w:fldCharType="begin"/>
        </w:r>
        <w:r w:rsidR="00DE412B">
          <w:rPr>
            <w:noProof/>
            <w:webHidden/>
          </w:rPr>
          <w:instrText xml:space="preserve"> PAGEREF _Toc154674779 \h </w:instrText>
        </w:r>
        <w:r w:rsidR="00DE412B">
          <w:rPr>
            <w:noProof/>
            <w:webHidden/>
          </w:rPr>
        </w:r>
        <w:r w:rsidR="00DE412B">
          <w:rPr>
            <w:noProof/>
            <w:webHidden/>
          </w:rPr>
          <w:fldChar w:fldCharType="separate"/>
        </w:r>
        <w:r w:rsidR="00467B4F">
          <w:rPr>
            <w:noProof/>
            <w:webHidden/>
          </w:rPr>
          <w:t>128</w:t>
        </w:r>
        <w:r w:rsidR="00DE412B">
          <w:rPr>
            <w:noProof/>
            <w:webHidden/>
          </w:rPr>
          <w:fldChar w:fldCharType="end"/>
        </w:r>
      </w:hyperlink>
    </w:p>
    <w:p w14:paraId="70CB344A" w14:textId="3853CD07" w:rsidR="00DE412B" w:rsidRDefault="00000000">
      <w:pPr>
        <w:pStyle w:val="TableofFigures"/>
        <w:tabs>
          <w:tab w:val="right" w:leader="dot" w:pos="9016"/>
        </w:tabs>
        <w:rPr>
          <w:rFonts w:eastAsiaTheme="minorEastAsia"/>
          <w:noProof/>
          <w:kern w:val="2"/>
          <w:lang w:eastAsia="en-AU"/>
          <w14:ligatures w14:val="standardContextual"/>
        </w:rPr>
      </w:pPr>
      <w:hyperlink w:anchor="_Toc154674780" w:history="1">
        <w:r w:rsidR="00DE412B" w:rsidRPr="00C92C92">
          <w:rPr>
            <w:rStyle w:val="Hyperlink"/>
            <w:noProof/>
          </w:rPr>
          <w:t>Figure 18: Number of students accessing ABSTUDY (Living Allowance), Austudy and Youth Allowance (Student) by payment type (thousands of people), 2015 to 2022.</w:t>
        </w:r>
        <w:r w:rsidR="00DE412B">
          <w:rPr>
            <w:noProof/>
            <w:webHidden/>
          </w:rPr>
          <w:tab/>
        </w:r>
        <w:r w:rsidR="00DE412B">
          <w:rPr>
            <w:noProof/>
            <w:webHidden/>
          </w:rPr>
          <w:fldChar w:fldCharType="begin"/>
        </w:r>
        <w:r w:rsidR="00DE412B">
          <w:rPr>
            <w:noProof/>
            <w:webHidden/>
          </w:rPr>
          <w:instrText xml:space="preserve"> PAGEREF _Toc154674780 \h </w:instrText>
        </w:r>
        <w:r w:rsidR="00DE412B">
          <w:rPr>
            <w:noProof/>
            <w:webHidden/>
          </w:rPr>
        </w:r>
        <w:r w:rsidR="00DE412B">
          <w:rPr>
            <w:noProof/>
            <w:webHidden/>
          </w:rPr>
          <w:fldChar w:fldCharType="separate"/>
        </w:r>
        <w:r w:rsidR="00467B4F">
          <w:rPr>
            <w:noProof/>
            <w:webHidden/>
          </w:rPr>
          <w:t>130</w:t>
        </w:r>
        <w:r w:rsidR="00DE412B">
          <w:rPr>
            <w:noProof/>
            <w:webHidden/>
          </w:rPr>
          <w:fldChar w:fldCharType="end"/>
        </w:r>
      </w:hyperlink>
    </w:p>
    <w:p w14:paraId="3EA1E61C" w14:textId="0A2C0761" w:rsidR="00DE412B" w:rsidRDefault="00000000">
      <w:pPr>
        <w:pStyle w:val="TableofFigures"/>
        <w:tabs>
          <w:tab w:val="right" w:leader="dot" w:pos="9016"/>
        </w:tabs>
        <w:rPr>
          <w:rFonts w:eastAsiaTheme="minorEastAsia"/>
          <w:noProof/>
          <w:kern w:val="2"/>
          <w:lang w:eastAsia="en-AU"/>
          <w14:ligatures w14:val="standardContextual"/>
        </w:rPr>
      </w:pPr>
      <w:hyperlink w:anchor="_Toc154674781" w:history="1">
        <w:r w:rsidR="00DE412B" w:rsidRPr="00C92C92">
          <w:rPr>
            <w:rStyle w:val="Hyperlink"/>
            <w:noProof/>
          </w:rPr>
          <w:t>Figure 19: Student income support payments as a proportion of common benchmarks (%), as at December 2023.</w:t>
        </w:r>
        <w:r w:rsidR="00DE412B">
          <w:rPr>
            <w:noProof/>
            <w:webHidden/>
          </w:rPr>
          <w:tab/>
        </w:r>
        <w:r w:rsidR="00DE412B">
          <w:rPr>
            <w:noProof/>
            <w:webHidden/>
          </w:rPr>
          <w:fldChar w:fldCharType="begin"/>
        </w:r>
        <w:r w:rsidR="00DE412B">
          <w:rPr>
            <w:noProof/>
            <w:webHidden/>
          </w:rPr>
          <w:instrText xml:space="preserve"> PAGEREF _Toc154674781 \h </w:instrText>
        </w:r>
        <w:r w:rsidR="00DE412B">
          <w:rPr>
            <w:noProof/>
            <w:webHidden/>
          </w:rPr>
        </w:r>
        <w:r w:rsidR="00DE412B">
          <w:rPr>
            <w:noProof/>
            <w:webHidden/>
          </w:rPr>
          <w:fldChar w:fldCharType="separate"/>
        </w:r>
        <w:r w:rsidR="00467B4F">
          <w:rPr>
            <w:noProof/>
            <w:webHidden/>
          </w:rPr>
          <w:t>133</w:t>
        </w:r>
        <w:r w:rsidR="00DE412B">
          <w:rPr>
            <w:noProof/>
            <w:webHidden/>
          </w:rPr>
          <w:fldChar w:fldCharType="end"/>
        </w:r>
      </w:hyperlink>
    </w:p>
    <w:p w14:paraId="640587E0" w14:textId="38F33AA4" w:rsidR="00DE412B" w:rsidRDefault="00000000">
      <w:pPr>
        <w:pStyle w:val="TableofFigures"/>
        <w:tabs>
          <w:tab w:val="right" w:leader="dot" w:pos="9016"/>
        </w:tabs>
        <w:rPr>
          <w:rFonts w:eastAsiaTheme="minorEastAsia"/>
          <w:noProof/>
          <w:kern w:val="2"/>
          <w:lang w:eastAsia="en-AU"/>
          <w14:ligatures w14:val="standardContextual"/>
        </w:rPr>
      </w:pPr>
      <w:hyperlink w:anchor="_Toc154674782" w:history="1">
        <w:r w:rsidR="00DE412B" w:rsidRPr="00C92C92">
          <w:rPr>
            <w:rStyle w:val="Hyperlink"/>
            <w:noProof/>
          </w:rPr>
          <w:t>Figure 20: Proportion of commencing university students from a low SES background as a share of all commencing students (%), 1989 to 2022.</w:t>
        </w:r>
        <w:r w:rsidR="00DE412B">
          <w:rPr>
            <w:noProof/>
            <w:webHidden/>
          </w:rPr>
          <w:tab/>
        </w:r>
        <w:r w:rsidR="00DE412B">
          <w:rPr>
            <w:noProof/>
            <w:webHidden/>
          </w:rPr>
          <w:fldChar w:fldCharType="begin"/>
        </w:r>
        <w:r w:rsidR="00DE412B">
          <w:rPr>
            <w:noProof/>
            <w:webHidden/>
          </w:rPr>
          <w:instrText xml:space="preserve"> PAGEREF _Toc154674782 \h </w:instrText>
        </w:r>
        <w:r w:rsidR="00DE412B">
          <w:rPr>
            <w:noProof/>
            <w:webHidden/>
          </w:rPr>
        </w:r>
        <w:r w:rsidR="00DE412B">
          <w:rPr>
            <w:noProof/>
            <w:webHidden/>
          </w:rPr>
          <w:fldChar w:fldCharType="separate"/>
        </w:r>
        <w:r w:rsidR="00467B4F">
          <w:rPr>
            <w:noProof/>
            <w:webHidden/>
          </w:rPr>
          <w:t>143</w:t>
        </w:r>
        <w:r w:rsidR="00DE412B">
          <w:rPr>
            <w:noProof/>
            <w:webHidden/>
          </w:rPr>
          <w:fldChar w:fldCharType="end"/>
        </w:r>
      </w:hyperlink>
    </w:p>
    <w:p w14:paraId="433A960F" w14:textId="15D6103A" w:rsidR="00DE412B" w:rsidRDefault="00000000">
      <w:pPr>
        <w:pStyle w:val="TableofFigures"/>
        <w:tabs>
          <w:tab w:val="right" w:leader="dot" w:pos="9016"/>
        </w:tabs>
        <w:rPr>
          <w:rFonts w:eastAsiaTheme="minorEastAsia"/>
          <w:noProof/>
          <w:kern w:val="2"/>
          <w:lang w:eastAsia="en-AU"/>
          <w14:ligatures w14:val="standardContextual"/>
        </w:rPr>
      </w:pPr>
      <w:hyperlink w:anchor="_Toc154674783" w:history="1">
        <w:r w:rsidR="00DE412B" w:rsidRPr="00C92C92">
          <w:rPr>
            <w:rStyle w:val="Hyperlink"/>
            <w:noProof/>
          </w:rPr>
          <w:t>Figure 21: Proportion of 19-year-olds who have ever enrolled in higher education by socio-economic status (%), 1980 to 1994.</w:t>
        </w:r>
        <w:r w:rsidR="00DE412B">
          <w:rPr>
            <w:noProof/>
            <w:webHidden/>
          </w:rPr>
          <w:tab/>
        </w:r>
        <w:r w:rsidR="00DE412B">
          <w:rPr>
            <w:noProof/>
            <w:webHidden/>
          </w:rPr>
          <w:fldChar w:fldCharType="begin"/>
        </w:r>
        <w:r w:rsidR="00DE412B">
          <w:rPr>
            <w:noProof/>
            <w:webHidden/>
          </w:rPr>
          <w:instrText xml:space="preserve"> PAGEREF _Toc154674783 \h </w:instrText>
        </w:r>
        <w:r w:rsidR="00DE412B">
          <w:rPr>
            <w:noProof/>
            <w:webHidden/>
          </w:rPr>
        </w:r>
        <w:r w:rsidR="00DE412B">
          <w:rPr>
            <w:noProof/>
            <w:webHidden/>
          </w:rPr>
          <w:fldChar w:fldCharType="separate"/>
        </w:r>
        <w:r w:rsidR="00467B4F">
          <w:rPr>
            <w:noProof/>
            <w:webHidden/>
          </w:rPr>
          <w:t>144</w:t>
        </w:r>
        <w:r w:rsidR="00DE412B">
          <w:rPr>
            <w:noProof/>
            <w:webHidden/>
          </w:rPr>
          <w:fldChar w:fldCharType="end"/>
        </w:r>
      </w:hyperlink>
    </w:p>
    <w:p w14:paraId="399B96B1" w14:textId="3D319593" w:rsidR="00DE412B" w:rsidRDefault="00000000">
      <w:pPr>
        <w:pStyle w:val="TableofFigures"/>
        <w:tabs>
          <w:tab w:val="right" w:leader="dot" w:pos="9016"/>
        </w:tabs>
        <w:rPr>
          <w:rFonts w:eastAsiaTheme="minorEastAsia"/>
          <w:noProof/>
          <w:kern w:val="2"/>
          <w:lang w:eastAsia="en-AU"/>
          <w14:ligatures w14:val="standardContextual"/>
        </w:rPr>
      </w:pPr>
      <w:hyperlink w:anchor="_Toc154674784" w:history="1">
        <w:r w:rsidR="00DE412B" w:rsidRPr="00C92C92">
          <w:rPr>
            <w:rStyle w:val="Hyperlink"/>
            <w:noProof/>
          </w:rPr>
          <w:t>Figure 22: Frequency of repayment incomes for HELP debtors ($) by number of debtors, financial year 2019</w:t>
        </w:r>
        <w:r w:rsidR="00DE412B" w:rsidRPr="00C92C92">
          <w:rPr>
            <w:rStyle w:val="Hyperlink"/>
            <w:rFonts w:ascii="Symbol" w:eastAsia="Symbol" w:hAnsi="Symbol" w:cs="Symbol"/>
            <w:noProof/>
          </w:rPr>
          <w:t></w:t>
        </w:r>
        <w:r w:rsidR="00DE412B" w:rsidRPr="00C92C92">
          <w:rPr>
            <w:rStyle w:val="Hyperlink"/>
            <w:noProof/>
          </w:rPr>
          <w:t>20.</w:t>
        </w:r>
        <w:r w:rsidR="00DE412B">
          <w:rPr>
            <w:noProof/>
            <w:webHidden/>
          </w:rPr>
          <w:tab/>
        </w:r>
        <w:r w:rsidR="00DE412B">
          <w:rPr>
            <w:noProof/>
            <w:webHidden/>
          </w:rPr>
          <w:fldChar w:fldCharType="begin"/>
        </w:r>
        <w:r w:rsidR="00DE412B">
          <w:rPr>
            <w:noProof/>
            <w:webHidden/>
          </w:rPr>
          <w:instrText xml:space="preserve"> PAGEREF _Toc154674784 \h </w:instrText>
        </w:r>
        <w:r w:rsidR="00DE412B">
          <w:rPr>
            <w:noProof/>
            <w:webHidden/>
          </w:rPr>
        </w:r>
        <w:r w:rsidR="00DE412B">
          <w:rPr>
            <w:noProof/>
            <w:webHidden/>
          </w:rPr>
          <w:fldChar w:fldCharType="separate"/>
        </w:r>
        <w:r w:rsidR="00467B4F">
          <w:rPr>
            <w:noProof/>
            <w:webHidden/>
          </w:rPr>
          <w:t>146</w:t>
        </w:r>
        <w:r w:rsidR="00DE412B">
          <w:rPr>
            <w:noProof/>
            <w:webHidden/>
          </w:rPr>
          <w:fldChar w:fldCharType="end"/>
        </w:r>
      </w:hyperlink>
    </w:p>
    <w:p w14:paraId="20F0C497" w14:textId="771C6A6C" w:rsidR="00DE412B" w:rsidRDefault="00000000">
      <w:pPr>
        <w:pStyle w:val="TableofFigures"/>
        <w:tabs>
          <w:tab w:val="right" w:leader="dot" w:pos="9016"/>
        </w:tabs>
        <w:rPr>
          <w:rFonts w:eastAsiaTheme="minorEastAsia"/>
          <w:noProof/>
          <w:kern w:val="2"/>
          <w:lang w:eastAsia="en-AU"/>
          <w14:ligatures w14:val="standardContextual"/>
        </w:rPr>
      </w:pPr>
      <w:hyperlink w:anchor="_Toc154674785" w:history="1">
        <w:r w:rsidR="00DE412B" w:rsidRPr="00C92C92">
          <w:rPr>
            <w:rStyle w:val="Hyperlink"/>
            <w:noProof/>
          </w:rPr>
          <w:t>Figure 23: Impact of HELP repayment on effective income (before tax) from $48,000 to $49,000, 2022–23 repayment rates.</w:t>
        </w:r>
        <w:r w:rsidR="00DE412B">
          <w:rPr>
            <w:noProof/>
            <w:webHidden/>
          </w:rPr>
          <w:tab/>
        </w:r>
        <w:r w:rsidR="00DE412B">
          <w:rPr>
            <w:noProof/>
            <w:webHidden/>
          </w:rPr>
          <w:fldChar w:fldCharType="begin"/>
        </w:r>
        <w:r w:rsidR="00DE412B">
          <w:rPr>
            <w:noProof/>
            <w:webHidden/>
          </w:rPr>
          <w:instrText xml:space="preserve"> PAGEREF _Toc154674785 \h </w:instrText>
        </w:r>
        <w:r w:rsidR="00DE412B">
          <w:rPr>
            <w:noProof/>
            <w:webHidden/>
          </w:rPr>
        </w:r>
        <w:r w:rsidR="00DE412B">
          <w:rPr>
            <w:noProof/>
            <w:webHidden/>
          </w:rPr>
          <w:fldChar w:fldCharType="separate"/>
        </w:r>
        <w:r w:rsidR="00467B4F">
          <w:rPr>
            <w:noProof/>
            <w:webHidden/>
          </w:rPr>
          <w:t>147</w:t>
        </w:r>
        <w:r w:rsidR="00DE412B">
          <w:rPr>
            <w:noProof/>
            <w:webHidden/>
          </w:rPr>
          <w:fldChar w:fldCharType="end"/>
        </w:r>
      </w:hyperlink>
    </w:p>
    <w:p w14:paraId="4FB2A8D9" w14:textId="607C3943" w:rsidR="00DE412B" w:rsidRDefault="00000000">
      <w:pPr>
        <w:pStyle w:val="TableofFigures"/>
        <w:tabs>
          <w:tab w:val="right" w:leader="dot" w:pos="9016"/>
        </w:tabs>
        <w:rPr>
          <w:rFonts w:eastAsiaTheme="minorEastAsia"/>
          <w:noProof/>
          <w:kern w:val="2"/>
          <w:lang w:eastAsia="en-AU"/>
          <w14:ligatures w14:val="standardContextual"/>
        </w:rPr>
      </w:pPr>
      <w:hyperlink w:anchor="_Toc154674786" w:history="1">
        <w:r w:rsidR="00DE412B" w:rsidRPr="00C92C92">
          <w:rPr>
            <w:rStyle w:val="Hyperlink"/>
            <w:noProof/>
          </w:rPr>
          <w:t>Figure 24: Quality of entire educational experience (% positive rating), by study level, 2012 to 2022.</w:t>
        </w:r>
        <w:r w:rsidR="00DE412B">
          <w:rPr>
            <w:noProof/>
            <w:webHidden/>
          </w:rPr>
          <w:tab/>
        </w:r>
        <w:r w:rsidR="00DE412B">
          <w:rPr>
            <w:noProof/>
            <w:webHidden/>
          </w:rPr>
          <w:fldChar w:fldCharType="begin"/>
        </w:r>
        <w:r w:rsidR="00DE412B">
          <w:rPr>
            <w:noProof/>
            <w:webHidden/>
          </w:rPr>
          <w:instrText xml:space="preserve"> PAGEREF _Toc154674786 \h </w:instrText>
        </w:r>
        <w:r w:rsidR="00DE412B">
          <w:rPr>
            <w:noProof/>
            <w:webHidden/>
          </w:rPr>
        </w:r>
        <w:r w:rsidR="00DE412B">
          <w:rPr>
            <w:noProof/>
            <w:webHidden/>
          </w:rPr>
          <w:fldChar w:fldCharType="separate"/>
        </w:r>
        <w:r w:rsidR="00467B4F">
          <w:rPr>
            <w:noProof/>
            <w:webHidden/>
          </w:rPr>
          <w:t>159</w:t>
        </w:r>
        <w:r w:rsidR="00DE412B">
          <w:rPr>
            <w:noProof/>
            <w:webHidden/>
          </w:rPr>
          <w:fldChar w:fldCharType="end"/>
        </w:r>
      </w:hyperlink>
    </w:p>
    <w:p w14:paraId="14047E6D" w14:textId="587558E3" w:rsidR="00DE412B" w:rsidRDefault="00000000">
      <w:pPr>
        <w:pStyle w:val="TableofFigures"/>
        <w:tabs>
          <w:tab w:val="right" w:leader="dot" w:pos="9016"/>
        </w:tabs>
        <w:rPr>
          <w:rFonts w:eastAsiaTheme="minorEastAsia"/>
          <w:noProof/>
          <w:kern w:val="2"/>
          <w:lang w:eastAsia="en-AU"/>
          <w14:ligatures w14:val="standardContextual"/>
        </w:rPr>
      </w:pPr>
      <w:hyperlink w:anchor="_Toc154674787" w:history="1">
        <w:r w:rsidR="00DE412B" w:rsidRPr="00C92C92">
          <w:rPr>
            <w:rStyle w:val="Hyperlink"/>
            <w:noProof/>
          </w:rPr>
          <w:t>Figure 25: Quality of entire educational experience (% positive rating), undergraduate, by citizenship, 2017 to 2022.</w:t>
        </w:r>
        <w:r w:rsidR="00DE412B">
          <w:rPr>
            <w:noProof/>
            <w:webHidden/>
          </w:rPr>
          <w:tab/>
        </w:r>
        <w:r w:rsidR="00DE412B">
          <w:rPr>
            <w:noProof/>
            <w:webHidden/>
          </w:rPr>
          <w:fldChar w:fldCharType="begin"/>
        </w:r>
        <w:r w:rsidR="00DE412B">
          <w:rPr>
            <w:noProof/>
            <w:webHidden/>
          </w:rPr>
          <w:instrText xml:space="preserve"> PAGEREF _Toc154674787 \h </w:instrText>
        </w:r>
        <w:r w:rsidR="00DE412B">
          <w:rPr>
            <w:noProof/>
            <w:webHidden/>
          </w:rPr>
        </w:r>
        <w:r w:rsidR="00DE412B">
          <w:rPr>
            <w:noProof/>
            <w:webHidden/>
          </w:rPr>
          <w:fldChar w:fldCharType="separate"/>
        </w:r>
        <w:r w:rsidR="00467B4F">
          <w:rPr>
            <w:noProof/>
            <w:webHidden/>
          </w:rPr>
          <w:t>160</w:t>
        </w:r>
        <w:r w:rsidR="00DE412B">
          <w:rPr>
            <w:noProof/>
            <w:webHidden/>
          </w:rPr>
          <w:fldChar w:fldCharType="end"/>
        </w:r>
      </w:hyperlink>
    </w:p>
    <w:p w14:paraId="0B72DD2A" w14:textId="31C7F67F" w:rsidR="00DE412B" w:rsidRDefault="00000000">
      <w:pPr>
        <w:pStyle w:val="TableofFigures"/>
        <w:tabs>
          <w:tab w:val="right" w:leader="dot" w:pos="9016"/>
        </w:tabs>
        <w:rPr>
          <w:rFonts w:eastAsiaTheme="minorEastAsia"/>
          <w:noProof/>
          <w:kern w:val="2"/>
          <w:lang w:eastAsia="en-AU"/>
          <w14:ligatures w14:val="standardContextual"/>
        </w:rPr>
      </w:pPr>
      <w:hyperlink w:anchor="_Toc154674788" w:history="1">
        <w:r w:rsidR="00DE412B" w:rsidRPr="00C92C92">
          <w:rPr>
            <w:rStyle w:val="Hyperlink"/>
            <w:noProof/>
          </w:rPr>
          <w:t>Figure 26: Learner engagement (% positive rating), undergraduate, by citizenship, 2017 to 2022.</w:t>
        </w:r>
        <w:r w:rsidR="00DE412B">
          <w:rPr>
            <w:noProof/>
            <w:webHidden/>
          </w:rPr>
          <w:tab/>
        </w:r>
        <w:r w:rsidR="00DE412B">
          <w:rPr>
            <w:noProof/>
            <w:webHidden/>
          </w:rPr>
          <w:fldChar w:fldCharType="begin"/>
        </w:r>
        <w:r w:rsidR="00DE412B">
          <w:rPr>
            <w:noProof/>
            <w:webHidden/>
          </w:rPr>
          <w:instrText xml:space="preserve"> PAGEREF _Toc154674788 \h </w:instrText>
        </w:r>
        <w:r w:rsidR="00DE412B">
          <w:rPr>
            <w:noProof/>
            <w:webHidden/>
          </w:rPr>
        </w:r>
        <w:r w:rsidR="00DE412B">
          <w:rPr>
            <w:noProof/>
            <w:webHidden/>
          </w:rPr>
          <w:fldChar w:fldCharType="separate"/>
        </w:r>
        <w:r w:rsidR="00467B4F">
          <w:rPr>
            <w:noProof/>
            <w:webHidden/>
          </w:rPr>
          <w:t>163</w:t>
        </w:r>
        <w:r w:rsidR="00DE412B">
          <w:rPr>
            <w:noProof/>
            <w:webHidden/>
          </w:rPr>
          <w:fldChar w:fldCharType="end"/>
        </w:r>
      </w:hyperlink>
    </w:p>
    <w:p w14:paraId="509B4543" w14:textId="6EF3EC36" w:rsidR="00DE412B" w:rsidRDefault="00000000">
      <w:pPr>
        <w:pStyle w:val="TableofFigures"/>
        <w:tabs>
          <w:tab w:val="right" w:leader="dot" w:pos="9016"/>
        </w:tabs>
        <w:rPr>
          <w:rFonts w:eastAsiaTheme="minorEastAsia"/>
          <w:noProof/>
          <w:kern w:val="2"/>
          <w:lang w:eastAsia="en-AU"/>
          <w14:ligatures w14:val="standardContextual"/>
        </w:rPr>
      </w:pPr>
      <w:hyperlink w:anchor="_Toc154674789" w:history="1">
        <w:r w:rsidR="00DE412B" w:rsidRPr="00C92C92">
          <w:rPr>
            <w:rStyle w:val="Hyperlink"/>
            <w:noProof/>
          </w:rPr>
          <w:t>Figure 27: Field Weighted Citation Impact relative to number of publications by university (thousands), 2019 to 2022.</w:t>
        </w:r>
        <w:r w:rsidR="00DE412B">
          <w:rPr>
            <w:noProof/>
            <w:webHidden/>
          </w:rPr>
          <w:tab/>
        </w:r>
        <w:r w:rsidR="00DE412B">
          <w:rPr>
            <w:noProof/>
            <w:webHidden/>
          </w:rPr>
          <w:fldChar w:fldCharType="begin"/>
        </w:r>
        <w:r w:rsidR="00DE412B">
          <w:rPr>
            <w:noProof/>
            <w:webHidden/>
          </w:rPr>
          <w:instrText xml:space="preserve"> PAGEREF _Toc154674789 \h </w:instrText>
        </w:r>
        <w:r w:rsidR="00DE412B">
          <w:rPr>
            <w:noProof/>
            <w:webHidden/>
          </w:rPr>
        </w:r>
        <w:r w:rsidR="00DE412B">
          <w:rPr>
            <w:noProof/>
            <w:webHidden/>
          </w:rPr>
          <w:fldChar w:fldCharType="separate"/>
        </w:r>
        <w:r w:rsidR="00467B4F">
          <w:rPr>
            <w:noProof/>
            <w:webHidden/>
          </w:rPr>
          <w:t>176</w:t>
        </w:r>
        <w:r w:rsidR="00DE412B">
          <w:rPr>
            <w:noProof/>
            <w:webHidden/>
          </w:rPr>
          <w:fldChar w:fldCharType="end"/>
        </w:r>
      </w:hyperlink>
    </w:p>
    <w:p w14:paraId="6FBCED3C" w14:textId="5534882F" w:rsidR="00DE412B" w:rsidRDefault="00000000">
      <w:pPr>
        <w:pStyle w:val="TableofFigures"/>
        <w:tabs>
          <w:tab w:val="right" w:leader="dot" w:pos="9016"/>
        </w:tabs>
        <w:rPr>
          <w:rFonts w:eastAsiaTheme="minorEastAsia"/>
          <w:noProof/>
          <w:kern w:val="2"/>
          <w:lang w:eastAsia="en-AU"/>
          <w14:ligatures w14:val="standardContextual"/>
        </w:rPr>
      </w:pPr>
      <w:hyperlink w:anchor="_Toc154674790" w:history="1">
        <w:r w:rsidR="00DE412B" w:rsidRPr="00C92C92">
          <w:rPr>
            <w:rStyle w:val="Hyperlink"/>
            <w:noProof/>
          </w:rPr>
          <w:t>Figure 28: Gross Expenditure on R&amp;D as a Percentage of GDP, OECD country comparisons, 1992 to 2021.</w:t>
        </w:r>
        <w:r w:rsidR="00DE412B">
          <w:rPr>
            <w:noProof/>
            <w:webHidden/>
          </w:rPr>
          <w:tab/>
        </w:r>
        <w:r w:rsidR="00DE412B">
          <w:rPr>
            <w:noProof/>
            <w:webHidden/>
          </w:rPr>
          <w:fldChar w:fldCharType="begin"/>
        </w:r>
        <w:r w:rsidR="00DE412B">
          <w:rPr>
            <w:noProof/>
            <w:webHidden/>
          </w:rPr>
          <w:instrText xml:space="preserve"> PAGEREF _Toc154674790 \h </w:instrText>
        </w:r>
        <w:r w:rsidR="00DE412B">
          <w:rPr>
            <w:noProof/>
            <w:webHidden/>
          </w:rPr>
        </w:r>
        <w:r w:rsidR="00DE412B">
          <w:rPr>
            <w:noProof/>
            <w:webHidden/>
          </w:rPr>
          <w:fldChar w:fldCharType="separate"/>
        </w:r>
        <w:r w:rsidR="00467B4F">
          <w:rPr>
            <w:noProof/>
            <w:webHidden/>
          </w:rPr>
          <w:t>177</w:t>
        </w:r>
        <w:r w:rsidR="00DE412B">
          <w:rPr>
            <w:noProof/>
            <w:webHidden/>
          </w:rPr>
          <w:fldChar w:fldCharType="end"/>
        </w:r>
      </w:hyperlink>
    </w:p>
    <w:p w14:paraId="3DE60517" w14:textId="0B16A820" w:rsidR="00DE412B" w:rsidRDefault="00000000">
      <w:pPr>
        <w:pStyle w:val="TableofFigures"/>
        <w:tabs>
          <w:tab w:val="right" w:leader="dot" w:pos="9016"/>
        </w:tabs>
        <w:rPr>
          <w:rFonts w:eastAsiaTheme="minorEastAsia"/>
          <w:noProof/>
          <w:kern w:val="2"/>
          <w:lang w:eastAsia="en-AU"/>
          <w14:ligatures w14:val="standardContextual"/>
        </w:rPr>
      </w:pPr>
      <w:hyperlink w:anchor="_Toc154674791" w:history="1">
        <w:r w:rsidR="00DE412B" w:rsidRPr="00C92C92">
          <w:rPr>
            <w:rStyle w:val="Hyperlink"/>
            <w:noProof/>
          </w:rPr>
          <w:t>Figure 29: R&amp;D expenditure sources as a percentage of GDP (%), Australia, 2002–03 to 2021–22.</w:t>
        </w:r>
        <w:r w:rsidR="00DE412B">
          <w:rPr>
            <w:noProof/>
            <w:webHidden/>
          </w:rPr>
          <w:tab/>
        </w:r>
        <w:r w:rsidR="00DE412B">
          <w:rPr>
            <w:noProof/>
            <w:webHidden/>
          </w:rPr>
          <w:fldChar w:fldCharType="begin"/>
        </w:r>
        <w:r w:rsidR="00DE412B">
          <w:rPr>
            <w:noProof/>
            <w:webHidden/>
          </w:rPr>
          <w:instrText xml:space="preserve"> PAGEREF _Toc154674791 \h </w:instrText>
        </w:r>
        <w:r w:rsidR="00DE412B">
          <w:rPr>
            <w:noProof/>
            <w:webHidden/>
          </w:rPr>
        </w:r>
        <w:r w:rsidR="00DE412B">
          <w:rPr>
            <w:noProof/>
            <w:webHidden/>
          </w:rPr>
          <w:fldChar w:fldCharType="separate"/>
        </w:r>
        <w:r w:rsidR="00467B4F">
          <w:rPr>
            <w:noProof/>
            <w:webHidden/>
          </w:rPr>
          <w:t>178</w:t>
        </w:r>
        <w:r w:rsidR="00DE412B">
          <w:rPr>
            <w:noProof/>
            <w:webHidden/>
          </w:rPr>
          <w:fldChar w:fldCharType="end"/>
        </w:r>
      </w:hyperlink>
    </w:p>
    <w:p w14:paraId="3C5E2B95" w14:textId="4F1DAD5E" w:rsidR="00DE412B" w:rsidRDefault="00000000">
      <w:pPr>
        <w:pStyle w:val="TableofFigures"/>
        <w:tabs>
          <w:tab w:val="right" w:leader="dot" w:pos="9016"/>
        </w:tabs>
        <w:rPr>
          <w:rFonts w:eastAsiaTheme="minorEastAsia"/>
          <w:noProof/>
          <w:kern w:val="2"/>
          <w:lang w:eastAsia="en-AU"/>
          <w14:ligatures w14:val="standardContextual"/>
        </w:rPr>
      </w:pPr>
      <w:hyperlink w:anchor="_Toc154674792" w:history="1">
        <w:r w:rsidR="00DE412B" w:rsidRPr="00C92C92">
          <w:rPr>
            <w:rStyle w:val="Hyperlink"/>
            <w:noProof/>
          </w:rPr>
          <w:t>Figure 30</w:t>
        </w:r>
        <w:r w:rsidR="00DE412B" w:rsidRPr="00C92C92">
          <w:rPr>
            <w:rStyle w:val="Hyperlink"/>
            <w:b/>
            <w:bCs/>
            <w:noProof/>
          </w:rPr>
          <w:t xml:space="preserve">: </w:t>
        </w:r>
        <w:r w:rsidR="00DE412B" w:rsidRPr="00C92C92">
          <w:rPr>
            <w:rStyle w:val="Hyperlink"/>
            <w:noProof/>
          </w:rPr>
          <w:t>HERD as a percentage of GERD (%), OECD country comparisons, 1992 to 2021.</w:t>
        </w:r>
        <w:r w:rsidR="00DE412B">
          <w:rPr>
            <w:noProof/>
            <w:webHidden/>
          </w:rPr>
          <w:tab/>
        </w:r>
        <w:r w:rsidR="00DE412B">
          <w:rPr>
            <w:noProof/>
            <w:webHidden/>
          </w:rPr>
          <w:fldChar w:fldCharType="begin"/>
        </w:r>
        <w:r w:rsidR="00DE412B">
          <w:rPr>
            <w:noProof/>
            <w:webHidden/>
          </w:rPr>
          <w:instrText xml:space="preserve"> PAGEREF _Toc154674792 \h </w:instrText>
        </w:r>
        <w:r w:rsidR="00DE412B">
          <w:rPr>
            <w:noProof/>
            <w:webHidden/>
          </w:rPr>
        </w:r>
        <w:r w:rsidR="00DE412B">
          <w:rPr>
            <w:noProof/>
            <w:webHidden/>
          </w:rPr>
          <w:fldChar w:fldCharType="separate"/>
        </w:r>
        <w:r w:rsidR="00467B4F">
          <w:rPr>
            <w:noProof/>
            <w:webHidden/>
          </w:rPr>
          <w:t>179</w:t>
        </w:r>
        <w:r w:rsidR="00DE412B">
          <w:rPr>
            <w:noProof/>
            <w:webHidden/>
          </w:rPr>
          <w:fldChar w:fldCharType="end"/>
        </w:r>
      </w:hyperlink>
    </w:p>
    <w:p w14:paraId="03BAC002" w14:textId="0F69CD57" w:rsidR="00DE412B" w:rsidRDefault="00000000">
      <w:pPr>
        <w:pStyle w:val="TableofFigures"/>
        <w:tabs>
          <w:tab w:val="right" w:leader="dot" w:pos="9016"/>
        </w:tabs>
        <w:rPr>
          <w:rFonts w:eastAsiaTheme="minorEastAsia"/>
          <w:noProof/>
          <w:kern w:val="2"/>
          <w:lang w:eastAsia="en-AU"/>
          <w14:ligatures w14:val="standardContextual"/>
        </w:rPr>
      </w:pPr>
      <w:hyperlink w:anchor="_Toc154674793" w:history="1">
        <w:r w:rsidR="00DE412B" w:rsidRPr="00C92C92">
          <w:rPr>
            <w:rStyle w:val="Hyperlink"/>
            <w:noProof/>
          </w:rPr>
          <w:t>Figure 31: HERD as a percentage of GDP (%), OECD country comparisons, 1992 to 2021.</w:t>
        </w:r>
        <w:r w:rsidR="00DE412B">
          <w:rPr>
            <w:noProof/>
            <w:webHidden/>
          </w:rPr>
          <w:tab/>
        </w:r>
        <w:r w:rsidR="00DE412B">
          <w:rPr>
            <w:noProof/>
            <w:webHidden/>
          </w:rPr>
          <w:fldChar w:fldCharType="begin"/>
        </w:r>
        <w:r w:rsidR="00DE412B">
          <w:rPr>
            <w:noProof/>
            <w:webHidden/>
          </w:rPr>
          <w:instrText xml:space="preserve"> PAGEREF _Toc154674793 \h </w:instrText>
        </w:r>
        <w:r w:rsidR="00DE412B">
          <w:rPr>
            <w:noProof/>
            <w:webHidden/>
          </w:rPr>
        </w:r>
        <w:r w:rsidR="00DE412B">
          <w:rPr>
            <w:noProof/>
            <w:webHidden/>
          </w:rPr>
          <w:fldChar w:fldCharType="separate"/>
        </w:r>
        <w:r w:rsidR="00467B4F">
          <w:rPr>
            <w:noProof/>
            <w:webHidden/>
          </w:rPr>
          <w:t>180</w:t>
        </w:r>
        <w:r w:rsidR="00DE412B">
          <w:rPr>
            <w:noProof/>
            <w:webHidden/>
          </w:rPr>
          <w:fldChar w:fldCharType="end"/>
        </w:r>
      </w:hyperlink>
    </w:p>
    <w:p w14:paraId="2E64CE24" w14:textId="71D3B36A" w:rsidR="00DE412B" w:rsidRDefault="00000000">
      <w:pPr>
        <w:pStyle w:val="TableofFigures"/>
        <w:tabs>
          <w:tab w:val="right" w:leader="dot" w:pos="9016"/>
        </w:tabs>
        <w:rPr>
          <w:rFonts w:eastAsiaTheme="minorEastAsia"/>
          <w:noProof/>
          <w:kern w:val="2"/>
          <w:lang w:eastAsia="en-AU"/>
          <w14:ligatures w14:val="standardContextual"/>
        </w:rPr>
      </w:pPr>
      <w:hyperlink w:anchor="_Toc154674794" w:history="1">
        <w:r w:rsidR="00DE412B" w:rsidRPr="00C92C92">
          <w:rPr>
            <w:rStyle w:val="Hyperlink"/>
            <w:noProof/>
          </w:rPr>
          <w:t>Figure 32: Government funding for Australian Research Council (ARC), 2000</w:t>
        </w:r>
        <w:r w:rsidR="00DE412B" w:rsidRPr="00C92C92">
          <w:rPr>
            <w:rStyle w:val="Hyperlink"/>
            <w:rFonts w:ascii="Symbol" w:eastAsia="Symbol" w:hAnsi="Symbol" w:cs="Symbol"/>
            <w:noProof/>
          </w:rPr>
          <w:t></w:t>
        </w:r>
        <w:r w:rsidR="00DE412B" w:rsidRPr="00C92C92">
          <w:rPr>
            <w:rStyle w:val="Hyperlink"/>
            <w:noProof/>
          </w:rPr>
          <w:t>01 to 2022</w:t>
        </w:r>
        <w:r w:rsidR="00DE412B" w:rsidRPr="00C92C92">
          <w:rPr>
            <w:rStyle w:val="Hyperlink"/>
            <w:rFonts w:ascii="Symbol" w:eastAsia="Symbol" w:hAnsi="Symbol" w:cs="Symbol"/>
            <w:noProof/>
          </w:rPr>
          <w:t></w:t>
        </w:r>
        <w:r w:rsidR="00DE412B" w:rsidRPr="00C92C92">
          <w:rPr>
            <w:rStyle w:val="Hyperlink"/>
            <w:noProof/>
          </w:rPr>
          <w:t>23, $m (current prices).</w:t>
        </w:r>
        <w:r w:rsidR="00DE412B">
          <w:rPr>
            <w:noProof/>
            <w:webHidden/>
          </w:rPr>
          <w:tab/>
        </w:r>
        <w:r w:rsidR="00DE412B">
          <w:rPr>
            <w:noProof/>
            <w:webHidden/>
          </w:rPr>
          <w:fldChar w:fldCharType="begin"/>
        </w:r>
        <w:r w:rsidR="00DE412B">
          <w:rPr>
            <w:noProof/>
            <w:webHidden/>
          </w:rPr>
          <w:instrText xml:space="preserve"> PAGEREF _Toc154674794 \h </w:instrText>
        </w:r>
        <w:r w:rsidR="00DE412B">
          <w:rPr>
            <w:noProof/>
            <w:webHidden/>
          </w:rPr>
        </w:r>
        <w:r w:rsidR="00DE412B">
          <w:rPr>
            <w:noProof/>
            <w:webHidden/>
          </w:rPr>
          <w:fldChar w:fldCharType="separate"/>
        </w:r>
        <w:r w:rsidR="00467B4F">
          <w:rPr>
            <w:noProof/>
            <w:webHidden/>
          </w:rPr>
          <w:t>188</w:t>
        </w:r>
        <w:r w:rsidR="00DE412B">
          <w:rPr>
            <w:noProof/>
            <w:webHidden/>
          </w:rPr>
          <w:fldChar w:fldCharType="end"/>
        </w:r>
      </w:hyperlink>
    </w:p>
    <w:p w14:paraId="6C450481" w14:textId="74AAC735" w:rsidR="00DE412B" w:rsidRDefault="00000000">
      <w:pPr>
        <w:pStyle w:val="TableofFigures"/>
        <w:tabs>
          <w:tab w:val="right" w:leader="dot" w:pos="9016"/>
        </w:tabs>
        <w:rPr>
          <w:rFonts w:eastAsiaTheme="minorEastAsia"/>
          <w:noProof/>
          <w:kern w:val="2"/>
          <w:lang w:eastAsia="en-AU"/>
          <w14:ligatures w14:val="standardContextual"/>
        </w:rPr>
      </w:pPr>
      <w:hyperlink w:anchor="_Toc154674795" w:history="1">
        <w:r w:rsidR="00DE412B" w:rsidRPr="00C92C92">
          <w:rPr>
            <w:rStyle w:val="Hyperlink"/>
            <w:noProof/>
          </w:rPr>
          <w:t>Figure 33</w:t>
        </w:r>
        <w:r w:rsidR="00DE412B" w:rsidRPr="00C92C92">
          <w:rPr>
            <w:rStyle w:val="Hyperlink"/>
            <w:rFonts w:eastAsia="Arial"/>
            <w:noProof/>
          </w:rPr>
          <w:t xml:space="preserve">: </w:t>
        </w:r>
        <w:r w:rsidR="00DE412B" w:rsidRPr="00C92C92">
          <w:rPr>
            <w:rStyle w:val="Hyperlink"/>
            <w:noProof/>
          </w:rPr>
          <w:t>Higher Education Expenditure on R&amp;D (HERD) by source of funds ($ billions), 1994 to 2020.</w:t>
        </w:r>
        <w:r w:rsidR="00DE412B">
          <w:rPr>
            <w:noProof/>
            <w:webHidden/>
          </w:rPr>
          <w:tab/>
        </w:r>
        <w:r w:rsidR="00DE412B">
          <w:rPr>
            <w:noProof/>
            <w:webHidden/>
          </w:rPr>
          <w:fldChar w:fldCharType="begin"/>
        </w:r>
        <w:r w:rsidR="00DE412B">
          <w:rPr>
            <w:noProof/>
            <w:webHidden/>
          </w:rPr>
          <w:instrText xml:space="preserve"> PAGEREF _Toc154674795 \h </w:instrText>
        </w:r>
        <w:r w:rsidR="00DE412B">
          <w:rPr>
            <w:noProof/>
            <w:webHidden/>
          </w:rPr>
        </w:r>
        <w:r w:rsidR="00DE412B">
          <w:rPr>
            <w:noProof/>
            <w:webHidden/>
          </w:rPr>
          <w:fldChar w:fldCharType="separate"/>
        </w:r>
        <w:r w:rsidR="00467B4F">
          <w:rPr>
            <w:noProof/>
            <w:webHidden/>
          </w:rPr>
          <w:t>197</w:t>
        </w:r>
        <w:r w:rsidR="00DE412B">
          <w:rPr>
            <w:noProof/>
            <w:webHidden/>
          </w:rPr>
          <w:fldChar w:fldCharType="end"/>
        </w:r>
      </w:hyperlink>
    </w:p>
    <w:p w14:paraId="2ECAC95E" w14:textId="342555FA" w:rsidR="00DE412B" w:rsidRDefault="00000000">
      <w:pPr>
        <w:pStyle w:val="TableofFigures"/>
        <w:tabs>
          <w:tab w:val="right" w:leader="dot" w:pos="9016"/>
        </w:tabs>
        <w:rPr>
          <w:rFonts w:eastAsiaTheme="minorEastAsia"/>
          <w:noProof/>
          <w:kern w:val="2"/>
          <w:lang w:eastAsia="en-AU"/>
          <w14:ligatures w14:val="standardContextual"/>
        </w:rPr>
      </w:pPr>
      <w:hyperlink w:anchor="_Toc154674796" w:history="1">
        <w:r w:rsidR="00DE412B" w:rsidRPr="00C92C92">
          <w:rPr>
            <w:rStyle w:val="Hyperlink"/>
            <w:noProof/>
          </w:rPr>
          <w:t>Figure 34:</w:t>
        </w:r>
        <w:r w:rsidR="00DE412B" w:rsidRPr="00C92C92">
          <w:rPr>
            <w:rStyle w:val="Hyperlink"/>
            <w:b/>
            <w:bCs/>
            <w:noProof/>
          </w:rPr>
          <w:t xml:space="preserve"> </w:t>
        </w:r>
        <w:r w:rsidR="00DE412B" w:rsidRPr="00C92C92">
          <w:rPr>
            <w:rStyle w:val="Hyperlink"/>
            <w:noProof/>
          </w:rPr>
          <w:t>Competitive research income ($ billions) by sub-category, 2017 to 2021.</w:t>
        </w:r>
        <w:r w:rsidR="00DE412B">
          <w:rPr>
            <w:noProof/>
            <w:webHidden/>
          </w:rPr>
          <w:tab/>
        </w:r>
        <w:r w:rsidR="00DE412B">
          <w:rPr>
            <w:noProof/>
            <w:webHidden/>
          </w:rPr>
          <w:fldChar w:fldCharType="begin"/>
        </w:r>
        <w:r w:rsidR="00DE412B">
          <w:rPr>
            <w:noProof/>
            <w:webHidden/>
          </w:rPr>
          <w:instrText xml:space="preserve"> PAGEREF _Toc154674796 \h </w:instrText>
        </w:r>
        <w:r w:rsidR="00DE412B">
          <w:rPr>
            <w:noProof/>
            <w:webHidden/>
          </w:rPr>
        </w:r>
        <w:r w:rsidR="00DE412B">
          <w:rPr>
            <w:noProof/>
            <w:webHidden/>
          </w:rPr>
          <w:fldChar w:fldCharType="separate"/>
        </w:r>
        <w:r w:rsidR="00467B4F">
          <w:rPr>
            <w:noProof/>
            <w:webHidden/>
          </w:rPr>
          <w:t>198</w:t>
        </w:r>
        <w:r w:rsidR="00DE412B">
          <w:rPr>
            <w:noProof/>
            <w:webHidden/>
          </w:rPr>
          <w:fldChar w:fldCharType="end"/>
        </w:r>
      </w:hyperlink>
    </w:p>
    <w:p w14:paraId="349BE268" w14:textId="5CA0BD21" w:rsidR="00DE412B" w:rsidRDefault="00000000">
      <w:pPr>
        <w:pStyle w:val="TableofFigures"/>
        <w:tabs>
          <w:tab w:val="right" w:leader="dot" w:pos="9016"/>
        </w:tabs>
        <w:rPr>
          <w:rFonts w:eastAsiaTheme="minorEastAsia"/>
          <w:noProof/>
          <w:kern w:val="2"/>
          <w:lang w:eastAsia="en-AU"/>
          <w14:ligatures w14:val="standardContextual"/>
        </w:rPr>
      </w:pPr>
      <w:hyperlink w:anchor="_Toc154674797" w:history="1">
        <w:r w:rsidR="00DE412B" w:rsidRPr="00C92C92">
          <w:rPr>
            <w:rStyle w:val="Hyperlink"/>
            <w:noProof/>
          </w:rPr>
          <w:t>Figure 35: Educational attainment by geographical remoteness, 2021.</w:t>
        </w:r>
        <w:r w:rsidR="00DE412B">
          <w:rPr>
            <w:noProof/>
            <w:webHidden/>
          </w:rPr>
          <w:tab/>
        </w:r>
        <w:r w:rsidR="00DE412B">
          <w:rPr>
            <w:noProof/>
            <w:webHidden/>
          </w:rPr>
          <w:fldChar w:fldCharType="begin"/>
        </w:r>
        <w:r w:rsidR="00DE412B">
          <w:rPr>
            <w:noProof/>
            <w:webHidden/>
          </w:rPr>
          <w:instrText xml:space="preserve"> PAGEREF _Toc154674797 \h </w:instrText>
        </w:r>
        <w:r w:rsidR="00DE412B">
          <w:rPr>
            <w:noProof/>
            <w:webHidden/>
          </w:rPr>
        </w:r>
        <w:r w:rsidR="00DE412B">
          <w:rPr>
            <w:noProof/>
            <w:webHidden/>
          </w:rPr>
          <w:fldChar w:fldCharType="separate"/>
        </w:r>
        <w:r w:rsidR="00467B4F">
          <w:rPr>
            <w:noProof/>
            <w:webHidden/>
          </w:rPr>
          <w:t>238</w:t>
        </w:r>
        <w:r w:rsidR="00DE412B">
          <w:rPr>
            <w:noProof/>
            <w:webHidden/>
          </w:rPr>
          <w:fldChar w:fldCharType="end"/>
        </w:r>
      </w:hyperlink>
    </w:p>
    <w:p w14:paraId="5B497FA7" w14:textId="01E0E862" w:rsidR="00DE412B" w:rsidRDefault="00000000">
      <w:pPr>
        <w:pStyle w:val="TableofFigures"/>
        <w:tabs>
          <w:tab w:val="right" w:leader="dot" w:pos="9016"/>
        </w:tabs>
        <w:rPr>
          <w:rFonts w:eastAsiaTheme="minorEastAsia"/>
          <w:noProof/>
          <w:kern w:val="2"/>
          <w:lang w:eastAsia="en-AU"/>
          <w14:ligatures w14:val="standardContextual"/>
        </w:rPr>
      </w:pPr>
      <w:hyperlink w:anchor="_Toc154674798" w:history="1">
        <w:r w:rsidR="00DE412B" w:rsidRPr="00C92C92">
          <w:rPr>
            <w:rStyle w:val="Hyperlink"/>
            <w:noProof/>
          </w:rPr>
          <w:t xml:space="preserve">Figure 36: </w:t>
        </w:r>
        <w:r w:rsidR="00DE412B" w:rsidRPr="00C92C92">
          <w:rPr>
            <w:rStyle w:val="Hyperlink"/>
            <w:rFonts w:ascii="Calibri" w:eastAsia="Calibri" w:hAnsi="Calibri" w:cs="Calibri"/>
            <w:i/>
            <w:noProof/>
          </w:rPr>
          <w:t xml:space="preserve"> </w:t>
        </w:r>
        <w:r w:rsidR="00DE412B" w:rsidRPr="00C92C92">
          <w:rPr>
            <w:rStyle w:val="Hyperlink"/>
            <w:rFonts w:ascii="Calibri" w:eastAsia="Calibri" w:hAnsi="Calibri" w:cs="Calibri"/>
            <w:noProof/>
          </w:rPr>
          <w:t>Share of target cohort student participation at metropolitan and regional universities, 2022.</w:t>
        </w:r>
        <w:r w:rsidR="00DE412B">
          <w:rPr>
            <w:noProof/>
            <w:webHidden/>
          </w:rPr>
          <w:tab/>
        </w:r>
        <w:r w:rsidR="00DE412B">
          <w:rPr>
            <w:noProof/>
            <w:webHidden/>
          </w:rPr>
          <w:fldChar w:fldCharType="begin"/>
        </w:r>
        <w:r w:rsidR="00DE412B">
          <w:rPr>
            <w:noProof/>
            <w:webHidden/>
          </w:rPr>
          <w:instrText xml:space="preserve"> PAGEREF _Toc154674798 \h </w:instrText>
        </w:r>
        <w:r w:rsidR="00DE412B">
          <w:rPr>
            <w:noProof/>
            <w:webHidden/>
          </w:rPr>
        </w:r>
        <w:r w:rsidR="00DE412B">
          <w:rPr>
            <w:noProof/>
            <w:webHidden/>
          </w:rPr>
          <w:fldChar w:fldCharType="separate"/>
        </w:r>
        <w:r w:rsidR="00467B4F">
          <w:rPr>
            <w:noProof/>
            <w:webHidden/>
          </w:rPr>
          <w:t>246</w:t>
        </w:r>
        <w:r w:rsidR="00DE412B">
          <w:rPr>
            <w:noProof/>
            <w:webHidden/>
          </w:rPr>
          <w:fldChar w:fldCharType="end"/>
        </w:r>
      </w:hyperlink>
    </w:p>
    <w:p w14:paraId="2DB31BA3" w14:textId="22BB029F" w:rsidR="00DE412B" w:rsidRDefault="00000000">
      <w:pPr>
        <w:pStyle w:val="TableofFigures"/>
        <w:tabs>
          <w:tab w:val="right" w:leader="dot" w:pos="9016"/>
        </w:tabs>
        <w:rPr>
          <w:rFonts w:eastAsiaTheme="minorEastAsia"/>
          <w:noProof/>
          <w:kern w:val="2"/>
          <w:lang w:eastAsia="en-AU"/>
          <w14:ligatures w14:val="standardContextual"/>
        </w:rPr>
      </w:pPr>
      <w:hyperlink w:anchor="_Toc154674799" w:history="1">
        <w:r w:rsidR="00DE412B" w:rsidRPr="00C92C92">
          <w:rPr>
            <w:rStyle w:val="Hyperlink"/>
            <w:noProof/>
          </w:rPr>
          <w:t xml:space="preserve">Figure </w:t>
        </w:r>
        <w:r w:rsidR="00DE412B" w:rsidRPr="00C92C92">
          <w:rPr>
            <w:rStyle w:val="Hyperlink"/>
            <w:rFonts w:ascii="Calibri" w:eastAsia="Calibri" w:hAnsi="Calibri" w:cs="Arial"/>
            <w:noProof/>
          </w:rPr>
          <w:t>37:</w:t>
        </w:r>
        <w:r w:rsidR="00DE412B" w:rsidRPr="00C92C92">
          <w:rPr>
            <w:rStyle w:val="Hyperlink"/>
            <w:rFonts w:ascii="Calibri" w:eastAsia="Calibri" w:hAnsi="Calibri" w:cs="Calibri"/>
            <w:i/>
            <w:noProof/>
          </w:rPr>
          <w:t xml:space="preserve"> </w:t>
        </w:r>
        <w:r w:rsidR="00DE412B" w:rsidRPr="00C92C92">
          <w:rPr>
            <w:rStyle w:val="Hyperlink"/>
            <w:rFonts w:ascii="Calibri" w:eastAsia="Calibri" w:hAnsi="Calibri" w:cs="Calibri"/>
            <w:noProof/>
          </w:rPr>
          <w:t>Share of target cohort student completions at metropolitan and regional universities, 2022</w:t>
        </w:r>
        <w:r w:rsidR="00DE412B" w:rsidRPr="00C92C92">
          <w:rPr>
            <w:rStyle w:val="Hyperlink"/>
            <w:rFonts w:ascii="Calibri" w:eastAsia="Calibri" w:hAnsi="Calibri" w:cs="Arial"/>
            <w:noProof/>
          </w:rPr>
          <w:t>.</w:t>
        </w:r>
        <w:r w:rsidR="00DE412B">
          <w:rPr>
            <w:noProof/>
            <w:webHidden/>
          </w:rPr>
          <w:tab/>
        </w:r>
        <w:r w:rsidR="00DE412B">
          <w:rPr>
            <w:noProof/>
            <w:webHidden/>
          </w:rPr>
          <w:fldChar w:fldCharType="begin"/>
        </w:r>
        <w:r w:rsidR="00DE412B">
          <w:rPr>
            <w:noProof/>
            <w:webHidden/>
          </w:rPr>
          <w:instrText xml:space="preserve"> PAGEREF _Toc154674799 \h </w:instrText>
        </w:r>
        <w:r w:rsidR="00DE412B">
          <w:rPr>
            <w:noProof/>
            <w:webHidden/>
          </w:rPr>
        </w:r>
        <w:r w:rsidR="00DE412B">
          <w:rPr>
            <w:noProof/>
            <w:webHidden/>
          </w:rPr>
          <w:fldChar w:fldCharType="separate"/>
        </w:r>
        <w:r w:rsidR="00467B4F">
          <w:rPr>
            <w:noProof/>
            <w:webHidden/>
          </w:rPr>
          <w:t>247</w:t>
        </w:r>
        <w:r w:rsidR="00DE412B">
          <w:rPr>
            <w:noProof/>
            <w:webHidden/>
          </w:rPr>
          <w:fldChar w:fldCharType="end"/>
        </w:r>
      </w:hyperlink>
    </w:p>
    <w:p w14:paraId="4B37FA41" w14:textId="39B5F02C" w:rsidR="00DE412B" w:rsidRDefault="00000000">
      <w:pPr>
        <w:pStyle w:val="TableofFigures"/>
        <w:tabs>
          <w:tab w:val="right" w:leader="dot" w:pos="9016"/>
        </w:tabs>
        <w:rPr>
          <w:rFonts w:eastAsiaTheme="minorEastAsia"/>
          <w:noProof/>
          <w:kern w:val="2"/>
          <w:lang w:eastAsia="en-AU"/>
          <w14:ligatures w14:val="standardContextual"/>
        </w:rPr>
      </w:pPr>
      <w:hyperlink w:anchor="_Toc154674800" w:history="1">
        <w:r w:rsidR="00DE412B" w:rsidRPr="00C92C92">
          <w:rPr>
            <w:rStyle w:val="Hyperlink"/>
            <w:noProof/>
          </w:rPr>
          <w:t>Figure 38: Snapshot of the proposed new learning, teaching and scholarship system stewardship model.</w:t>
        </w:r>
        <w:r w:rsidR="00DE412B">
          <w:rPr>
            <w:noProof/>
            <w:webHidden/>
          </w:rPr>
          <w:tab/>
        </w:r>
        <w:r w:rsidR="00DE412B">
          <w:rPr>
            <w:noProof/>
            <w:webHidden/>
          </w:rPr>
          <w:fldChar w:fldCharType="begin"/>
        </w:r>
        <w:r w:rsidR="00DE412B">
          <w:rPr>
            <w:noProof/>
            <w:webHidden/>
          </w:rPr>
          <w:instrText xml:space="preserve"> PAGEREF _Toc154674800 \h </w:instrText>
        </w:r>
        <w:r w:rsidR="00DE412B">
          <w:rPr>
            <w:noProof/>
            <w:webHidden/>
          </w:rPr>
        </w:r>
        <w:r w:rsidR="00DE412B">
          <w:rPr>
            <w:noProof/>
            <w:webHidden/>
          </w:rPr>
          <w:fldChar w:fldCharType="separate"/>
        </w:r>
        <w:r w:rsidR="00467B4F">
          <w:rPr>
            <w:noProof/>
            <w:webHidden/>
          </w:rPr>
          <w:t>261</w:t>
        </w:r>
        <w:r w:rsidR="00DE412B">
          <w:rPr>
            <w:noProof/>
            <w:webHidden/>
          </w:rPr>
          <w:fldChar w:fldCharType="end"/>
        </w:r>
      </w:hyperlink>
    </w:p>
    <w:p w14:paraId="3D8878BD" w14:textId="0736DFE1" w:rsidR="00DE412B" w:rsidRDefault="00000000">
      <w:pPr>
        <w:pStyle w:val="TableofFigures"/>
        <w:tabs>
          <w:tab w:val="right" w:leader="dot" w:pos="9016"/>
        </w:tabs>
        <w:rPr>
          <w:rFonts w:eastAsiaTheme="minorEastAsia"/>
          <w:noProof/>
          <w:kern w:val="2"/>
          <w:lang w:eastAsia="en-AU"/>
          <w14:ligatures w14:val="standardContextual"/>
        </w:rPr>
      </w:pPr>
      <w:hyperlink w:anchor="_Toc154674801" w:history="1">
        <w:r w:rsidR="00DE412B" w:rsidRPr="00C92C92">
          <w:rPr>
            <w:rStyle w:val="Hyperlink"/>
            <w:noProof/>
          </w:rPr>
          <w:t>Figure 39: Higher education spending on research and development, by source of funds (a) 2018, 2020.</w:t>
        </w:r>
        <w:r w:rsidR="00DE412B">
          <w:rPr>
            <w:noProof/>
            <w:webHidden/>
          </w:rPr>
          <w:tab/>
        </w:r>
        <w:r w:rsidR="00DE412B">
          <w:rPr>
            <w:noProof/>
            <w:webHidden/>
          </w:rPr>
          <w:fldChar w:fldCharType="begin"/>
        </w:r>
        <w:r w:rsidR="00DE412B">
          <w:rPr>
            <w:noProof/>
            <w:webHidden/>
          </w:rPr>
          <w:instrText xml:space="preserve"> PAGEREF _Toc154674801 \h </w:instrText>
        </w:r>
        <w:r w:rsidR="00DE412B">
          <w:rPr>
            <w:noProof/>
            <w:webHidden/>
          </w:rPr>
        </w:r>
        <w:r w:rsidR="00DE412B">
          <w:rPr>
            <w:noProof/>
            <w:webHidden/>
          </w:rPr>
          <w:fldChar w:fldCharType="separate"/>
        </w:r>
        <w:r w:rsidR="00467B4F">
          <w:rPr>
            <w:noProof/>
            <w:webHidden/>
          </w:rPr>
          <w:t>270</w:t>
        </w:r>
        <w:r w:rsidR="00DE412B">
          <w:rPr>
            <w:noProof/>
            <w:webHidden/>
          </w:rPr>
          <w:fldChar w:fldCharType="end"/>
        </w:r>
      </w:hyperlink>
    </w:p>
    <w:p w14:paraId="378CBE6E" w14:textId="6B7DD1CE" w:rsidR="00DE412B" w:rsidRDefault="00000000">
      <w:pPr>
        <w:pStyle w:val="TableofFigures"/>
        <w:tabs>
          <w:tab w:val="right" w:leader="dot" w:pos="9016"/>
        </w:tabs>
        <w:rPr>
          <w:rFonts w:eastAsiaTheme="minorEastAsia"/>
          <w:noProof/>
          <w:kern w:val="2"/>
          <w:lang w:eastAsia="en-AU"/>
          <w14:ligatures w14:val="standardContextual"/>
        </w:rPr>
      </w:pPr>
      <w:hyperlink w:anchor="_Toc154674802" w:history="1">
        <w:r w:rsidR="00DE412B" w:rsidRPr="00C92C92">
          <w:rPr>
            <w:rStyle w:val="Hyperlink"/>
            <w:noProof/>
          </w:rPr>
          <w:t>Figure 40: Distribution of submissions by respondent category.</w:t>
        </w:r>
        <w:r w:rsidR="00DE412B">
          <w:rPr>
            <w:noProof/>
            <w:webHidden/>
          </w:rPr>
          <w:tab/>
        </w:r>
        <w:r w:rsidR="00DE412B">
          <w:rPr>
            <w:noProof/>
            <w:webHidden/>
          </w:rPr>
          <w:fldChar w:fldCharType="begin"/>
        </w:r>
        <w:r w:rsidR="00DE412B">
          <w:rPr>
            <w:noProof/>
            <w:webHidden/>
          </w:rPr>
          <w:instrText xml:space="preserve"> PAGEREF _Toc154674802 \h </w:instrText>
        </w:r>
        <w:r w:rsidR="00DE412B">
          <w:rPr>
            <w:noProof/>
            <w:webHidden/>
          </w:rPr>
        </w:r>
        <w:r w:rsidR="00DE412B">
          <w:rPr>
            <w:noProof/>
            <w:webHidden/>
          </w:rPr>
          <w:fldChar w:fldCharType="separate"/>
        </w:r>
        <w:r w:rsidR="00467B4F">
          <w:rPr>
            <w:noProof/>
            <w:webHidden/>
          </w:rPr>
          <w:t>288</w:t>
        </w:r>
        <w:r w:rsidR="00DE412B">
          <w:rPr>
            <w:noProof/>
            <w:webHidden/>
          </w:rPr>
          <w:fldChar w:fldCharType="end"/>
        </w:r>
      </w:hyperlink>
    </w:p>
    <w:p w14:paraId="2D725EA6" w14:textId="35ACE7B1" w:rsidR="00DE412B" w:rsidRDefault="00000000">
      <w:pPr>
        <w:pStyle w:val="TableofFigures"/>
        <w:tabs>
          <w:tab w:val="right" w:leader="dot" w:pos="9016"/>
        </w:tabs>
        <w:rPr>
          <w:rFonts w:eastAsiaTheme="minorEastAsia"/>
          <w:noProof/>
          <w:kern w:val="2"/>
          <w:lang w:eastAsia="en-AU"/>
          <w14:ligatures w14:val="standardContextual"/>
        </w:rPr>
      </w:pPr>
      <w:hyperlink w:anchor="_Toc154674803" w:history="1">
        <w:r w:rsidR="00DE412B" w:rsidRPr="00C92C92">
          <w:rPr>
            <w:rStyle w:val="Hyperlink"/>
            <w:noProof/>
          </w:rPr>
          <w:t>Figure 41: Distribution of submissions by respondent category.</w:t>
        </w:r>
        <w:r w:rsidR="00DE412B">
          <w:rPr>
            <w:noProof/>
            <w:webHidden/>
          </w:rPr>
          <w:tab/>
        </w:r>
        <w:r w:rsidR="00DE412B">
          <w:rPr>
            <w:noProof/>
            <w:webHidden/>
          </w:rPr>
          <w:fldChar w:fldCharType="begin"/>
        </w:r>
        <w:r w:rsidR="00DE412B">
          <w:rPr>
            <w:noProof/>
            <w:webHidden/>
          </w:rPr>
          <w:instrText xml:space="preserve"> PAGEREF _Toc154674803 \h </w:instrText>
        </w:r>
        <w:r w:rsidR="00DE412B">
          <w:rPr>
            <w:noProof/>
            <w:webHidden/>
          </w:rPr>
        </w:r>
        <w:r w:rsidR="00DE412B">
          <w:rPr>
            <w:noProof/>
            <w:webHidden/>
          </w:rPr>
          <w:fldChar w:fldCharType="separate"/>
        </w:r>
        <w:r w:rsidR="00467B4F">
          <w:rPr>
            <w:noProof/>
            <w:webHidden/>
          </w:rPr>
          <w:t>289</w:t>
        </w:r>
        <w:r w:rsidR="00DE412B">
          <w:rPr>
            <w:noProof/>
            <w:webHidden/>
          </w:rPr>
          <w:fldChar w:fldCharType="end"/>
        </w:r>
      </w:hyperlink>
    </w:p>
    <w:p w14:paraId="17A5D43C" w14:textId="71B93A9B" w:rsidR="00DE412B" w:rsidRDefault="00000000">
      <w:pPr>
        <w:pStyle w:val="TableofFigures"/>
        <w:tabs>
          <w:tab w:val="right" w:leader="dot" w:pos="9016"/>
        </w:tabs>
        <w:rPr>
          <w:rFonts w:eastAsiaTheme="minorEastAsia"/>
          <w:noProof/>
          <w:kern w:val="2"/>
          <w:lang w:eastAsia="en-AU"/>
          <w14:ligatures w14:val="standardContextual"/>
        </w:rPr>
      </w:pPr>
      <w:hyperlink w:anchor="_Toc154674804" w:history="1">
        <w:r w:rsidR="00DE412B" w:rsidRPr="00C92C92">
          <w:rPr>
            <w:rStyle w:val="Hyperlink"/>
            <w:noProof/>
          </w:rPr>
          <w:t>Figure 42: Distribution of submissions by respondent category.</w:t>
        </w:r>
        <w:r w:rsidR="00DE412B">
          <w:rPr>
            <w:noProof/>
            <w:webHidden/>
          </w:rPr>
          <w:tab/>
        </w:r>
        <w:r w:rsidR="00DE412B">
          <w:rPr>
            <w:noProof/>
            <w:webHidden/>
          </w:rPr>
          <w:fldChar w:fldCharType="begin"/>
        </w:r>
        <w:r w:rsidR="00DE412B">
          <w:rPr>
            <w:noProof/>
            <w:webHidden/>
          </w:rPr>
          <w:instrText xml:space="preserve"> PAGEREF _Toc154674804 \h </w:instrText>
        </w:r>
        <w:r w:rsidR="00DE412B">
          <w:rPr>
            <w:noProof/>
            <w:webHidden/>
          </w:rPr>
        </w:r>
        <w:r w:rsidR="00DE412B">
          <w:rPr>
            <w:noProof/>
            <w:webHidden/>
          </w:rPr>
          <w:fldChar w:fldCharType="separate"/>
        </w:r>
        <w:r w:rsidR="00467B4F">
          <w:rPr>
            <w:noProof/>
            <w:webHidden/>
          </w:rPr>
          <w:t>290</w:t>
        </w:r>
        <w:r w:rsidR="00DE412B">
          <w:rPr>
            <w:noProof/>
            <w:webHidden/>
          </w:rPr>
          <w:fldChar w:fldCharType="end"/>
        </w:r>
      </w:hyperlink>
    </w:p>
    <w:p w14:paraId="5BCF82D8" w14:textId="4FCBB1AD" w:rsidR="007B321E" w:rsidRPr="00C4084C" w:rsidRDefault="00102C2D" w:rsidP="007B321E">
      <w:pPr>
        <w:pBdr>
          <w:bottom w:val="single" w:sz="12" w:space="1" w:color="auto"/>
        </w:pBdr>
        <w:rPr>
          <w:rFonts w:cs="Arial"/>
          <w:b/>
          <w:sz w:val="2"/>
          <w:szCs w:val="2"/>
        </w:rPr>
      </w:pPr>
      <w:r w:rsidRPr="00C4084C">
        <w:rPr>
          <w:rFonts w:cs="Arial"/>
        </w:rPr>
        <w:fldChar w:fldCharType="end"/>
      </w:r>
    </w:p>
    <w:p w14:paraId="083DCE54" w14:textId="77777777" w:rsidR="00375467" w:rsidRDefault="00375467">
      <w:pPr>
        <w:spacing w:after="160"/>
        <w:sectPr w:rsidR="00375467" w:rsidSect="00134415">
          <w:headerReference w:type="even" r:id="rId192"/>
          <w:headerReference w:type="default" r:id="rId193"/>
          <w:headerReference w:type="first" r:id="rId194"/>
          <w:pgSz w:w="11906" w:h="16838" w:code="9"/>
          <w:pgMar w:top="1225" w:right="1440" w:bottom="1440" w:left="1440" w:header="709" w:footer="709" w:gutter="0"/>
          <w:cols w:space="708"/>
          <w:titlePg/>
          <w:docGrid w:linePitch="360"/>
        </w:sectPr>
      </w:pPr>
      <w:bookmarkStart w:id="1657" w:name="_Toc148368191"/>
      <w:bookmarkStart w:id="1658" w:name="_Toc150964412"/>
      <w:bookmarkStart w:id="1659" w:name="_Toc238185293"/>
    </w:p>
    <w:p w14:paraId="2CEDCCEF" w14:textId="556E9045" w:rsidR="002D6F5F" w:rsidRPr="00C4084C" w:rsidRDefault="00F200C2" w:rsidP="00375467">
      <w:pPr>
        <w:pStyle w:val="Non-numberedHeading2"/>
      </w:pPr>
      <w:bookmarkStart w:id="1660" w:name="_Toc159501047"/>
      <w:r>
        <w:lastRenderedPageBreak/>
        <w:t>Reference List</w:t>
      </w:r>
      <w:bookmarkEnd w:id="1657"/>
      <w:bookmarkEnd w:id="1658"/>
      <w:bookmarkEnd w:id="1659"/>
      <w:bookmarkEnd w:id="1660"/>
    </w:p>
    <w:tbl>
      <w:tblPr>
        <w:tblStyle w:val="PlainTable3"/>
        <w:tblW w:w="0" w:type="auto"/>
        <w:tblLook w:val="0620" w:firstRow="1" w:lastRow="0" w:firstColumn="0" w:lastColumn="0" w:noHBand="1" w:noVBand="1"/>
      </w:tblPr>
      <w:tblGrid>
        <w:gridCol w:w="9026"/>
      </w:tblGrid>
      <w:tr w:rsidR="0077616C" w:rsidRPr="002D6F5F" w14:paraId="4AD1942C" w14:textId="77777777" w:rsidTr="001B1DB2">
        <w:trPr>
          <w:cnfStyle w:val="100000000000" w:firstRow="1" w:lastRow="0" w:firstColumn="0" w:lastColumn="0" w:oddVBand="0" w:evenVBand="0" w:oddHBand="0" w:evenHBand="0" w:firstRowFirstColumn="0" w:firstRowLastColumn="0" w:lastRowFirstColumn="0" w:lastRowLastColumn="0"/>
        </w:trPr>
        <w:tc>
          <w:tcPr>
            <w:tcW w:w="9026" w:type="dxa"/>
            <w:vAlign w:val="bottom"/>
            <w:hideMark/>
          </w:tcPr>
          <w:p w14:paraId="39DBB102" w14:textId="06890180" w:rsidR="002D6F5F" w:rsidRPr="001B1DB2" w:rsidRDefault="002D6F5F" w:rsidP="0077616C">
            <w:pPr>
              <w:rPr>
                <w:rFonts w:cs="Arial"/>
                <w:b w:val="0"/>
                <w:bCs w:val="0"/>
              </w:rPr>
            </w:pPr>
            <w:r w:rsidRPr="001B1DB2">
              <w:rPr>
                <w:rFonts w:ascii="Calibri" w:hAnsi="Calibri" w:cs="Calibri"/>
                <w:b w:val="0"/>
                <w:bCs w:val="0"/>
              </w:rPr>
              <w:t>ACIL Allen Consulting,</w:t>
            </w:r>
            <w:r w:rsidRPr="001B1DB2">
              <w:rPr>
                <w:rFonts w:ascii="Calibri" w:hAnsi="Calibri" w:cs="Calibri"/>
                <w:b w:val="0"/>
                <w:bCs w:val="0"/>
                <w:i/>
              </w:rPr>
              <w:t xml:space="preserve"> Evaluation of the HEPPP: Higher Education Participation and Partnerships Program </w:t>
            </w:r>
            <w:r w:rsidRPr="001B1DB2">
              <w:rPr>
                <w:rFonts w:ascii="Calibri" w:hAnsi="Calibri" w:cs="Calibri"/>
                <w:b w:val="0"/>
                <w:bCs w:val="0"/>
              </w:rPr>
              <w:t xml:space="preserve">(Melbourne: ACIL Allen Consulting, 2017) </w:t>
            </w:r>
            <w:hyperlink r:id="rId195" w:history="1">
              <w:r w:rsidR="00841281" w:rsidRPr="001B1DB2">
                <w:rPr>
                  <w:rStyle w:val="Hyperlink"/>
                  <w:rFonts w:ascii="Calibri" w:hAnsi="Calibri" w:cs="Calibri"/>
                  <w:b w:val="0"/>
                  <w:bCs w:val="0"/>
                </w:rPr>
                <w:t>www.education.gov.au/heppp/heppp-evaluation</w:t>
              </w:r>
            </w:hyperlink>
            <w:r w:rsidR="00B13F7F" w:rsidRPr="001B1DB2">
              <w:rPr>
                <w:rFonts w:ascii="Calibri" w:hAnsi="Calibri" w:cs="Calibri"/>
                <w:b w:val="0"/>
                <w:bCs w:val="0"/>
              </w:rPr>
              <w:t xml:space="preserve">. </w:t>
            </w:r>
          </w:p>
        </w:tc>
      </w:tr>
      <w:tr w:rsidR="002D6F5F" w:rsidRPr="002D6F5F" w14:paraId="27A46253" w14:textId="77777777" w:rsidTr="001B1DB2">
        <w:tc>
          <w:tcPr>
            <w:tcW w:w="9026" w:type="dxa"/>
            <w:vAlign w:val="bottom"/>
            <w:hideMark/>
          </w:tcPr>
          <w:p w14:paraId="12677FF4" w14:textId="63B8F8C8" w:rsidR="002D6F5F" w:rsidRPr="002D6F5F" w:rsidRDefault="00D56C32" w:rsidP="0077616C">
            <w:pPr>
              <w:rPr>
                <w:rFonts w:cs="Arial"/>
              </w:rPr>
            </w:pPr>
            <w:r>
              <w:rPr>
                <w:rFonts w:ascii="Calibri" w:hAnsi="Calibri" w:cs="Calibri"/>
              </w:rPr>
              <w:t xml:space="preserve">Advance HE, “Professional Standards Framework for teaching and supporting learning in higher education 2023,” Advance HE, published 31 January 2023, </w:t>
            </w:r>
            <w:hyperlink r:id="rId196" w:history="1">
              <w:r w:rsidR="00B13F7F" w:rsidRPr="00A8752B">
                <w:rPr>
                  <w:rStyle w:val="Hyperlink"/>
                  <w:rFonts w:ascii="Calibri" w:hAnsi="Calibri" w:cs="Calibri"/>
                </w:rPr>
                <w:t>advance-he.ac.uk/knowledge-hub/professional-standards-framework-teaching-and-supporting-learning-higher-education-0</w:t>
              </w:r>
            </w:hyperlink>
            <w:r w:rsidR="00B13F7F">
              <w:rPr>
                <w:rFonts w:ascii="Calibri" w:hAnsi="Calibri" w:cs="Calibri"/>
              </w:rPr>
              <w:t xml:space="preserve">. </w:t>
            </w:r>
          </w:p>
        </w:tc>
      </w:tr>
      <w:tr w:rsidR="002D6F5F" w:rsidRPr="002D6F5F" w14:paraId="49D2306D" w14:textId="77777777" w:rsidTr="001B1DB2">
        <w:tc>
          <w:tcPr>
            <w:tcW w:w="9026" w:type="dxa"/>
            <w:vAlign w:val="bottom"/>
            <w:hideMark/>
          </w:tcPr>
          <w:p w14:paraId="685CC3D8" w14:textId="378B79AA" w:rsidR="002D6F5F" w:rsidRPr="002D6F5F" w:rsidRDefault="00D56C32" w:rsidP="0077616C">
            <w:pPr>
              <w:rPr>
                <w:rFonts w:cs="Arial"/>
              </w:rPr>
            </w:pPr>
            <w:r>
              <w:rPr>
                <w:rFonts w:ascii="Calibri" w:hAnsi="Calibri" w:cs="Calibri"/>
              </w:rPr>
              <w:t xml:space="preserve">AlphaBeta, </w:t>
            </w:r>
            <w:r>
              <w:rPr>
                <w:rFonts w:ascii="Calibri" w:hAnsi="Calibri" w:cs="Calibri"/>
                <w:i/>
                <w:iCs/>
              </w:rPr>
              <w:t>Australian Business Investment in Innovation: Levels, Trends, and Drivers,</w:t>
            </w:r>
            <w:r>
              <w:rPr>
                <w:rFonts w:ascii="Calibri" w:hAnsi="Calibri" w:cs="Calibri"/>
              </w:rPr>
              <w:t xml:space="preserve"> (Department of Industry, Science and Resources, January 2020) </w:t>
            </w:r>
            <w:hyperlink r:id="rId197" w:history="1">
              <w:r w:rsidR="00B13F7F" w:rsidRPr="00A8752B">
                <w:rPr>
                  <w:rStyle w:val="Hyperlink"/>
                  <w:rFonts w:ascii="Calibri" w:hAnsi="Calibri" w:cs="Calibri"/>
                </w:rPr>
                <w:t>www.industry.gov.au/sites/default/files/2020-02/australian-business-investment-in-innovation-levels-trends-and-drivers.pdf</w:t>
              </w:r>
            </w:hyperlink>
            <w:r w:rsidR="00B13F7F">
              <w:rPr>
                <w:rFonts w:ascii="Calibri" w:hAnsi="Calibri" w:cs="Calibri"/>
              </w:rPr>
              <w:t xml:space="preserve">. </w:t>
            </w:r>
          </w:p>
        </w:tc>
      </w:tr>
      <w:tr w:rsidR="002D6F5F" w:rsidRPr="002D6F5F" w14:paraId="3D93B893" w14:textId="77777777" w:rsidTr="001B1DB2">
        <w:tc>
          <w:tcPr>
            <w:tcW w:w="9026" w:type="dxa"/>
            <w:vAlign w:val="bottom"/>
            <w:hideMark/>
          </w:tcPr>
          <w:p w14:paraId="1F98A236" w14:textId="6A2D537E" w:rsidR="002D6F5F" w:rsidRPr="002D6F5F" w:rsidRDefault="00D56C32" w:rsidP="0077616C">
            <w:pPr>
              <w:rPr>
                <w:rFonts w:cs="Arial"/>
              </w:rPr>
            </w:pPr>
            <w:r>
              <w:rPr>
                <w:rFonts w:ascii="Calibri" w:hAnsi="Calibri" w:cs="Calibri"/>
              </w:rPr>
              <w:t xml:space="preserve">Austin, </w:t>
            </w:r>
            <w:r w:rsidRPr="00111A1B">
              <w:rPr>
                <w:rFonts w:ascii="Calibri" w:hAnsi="Calibri" w:cs="Calibri"/>
              </w:rPr>
              <w:t>Kylie</w:t>
            </w:r>
            <w:r w:rsidR="00111A1B" w:rsidRPr="0072052F">
              <w:rPr>
                <w:rFonts w:ascii="Calibri" w:hAnsi="Calibri" w:cs="Calibri"/>
              </w:rPr>
              <w:t xml:space="preserve">; O’Shea, Sarah; Groves, Olivia and </w:t>
            </w:r>
            <w:proofErr w:type="spellStart"/>
            <w:r w:rsidR="00111A1B" w:rsidRPr="0072052F">
              <w:rPr>
                <w:rFonts w:ascii="Calibri" w:hAnsi="Calibri" w:cs="Calibri"/>
              </w:rPr>
              <w:t>Lamanna</w:t>
            </w:r>
            <w:proofErr w:type="spellEnd"/>
            <w:r w:rsidR="00111A1B" w:rsidRPr="0072052F">
              <w:rPr>
                <w:rFonts w:ascii="Calibri" w:hAnsi="Calibri" w:cs="Calibri"/>
              </w:rPr>
              <w:t>, Jodi.</w:t>
            </w:r>
            <w:r>
              <w:rPr>
                <w:rFonts w:ascii="Calibri" w:hAnsi="Calibri" w:cs="Calibri"/>
              </w:rPr>
              <w:t xml:space="preserve"> </w:t>
            </w:r>
            <w:r>
              <w:rPr>
                <w:rFonts w:ascii="Calibri" w:hAnsi="Calibri" w:cs="Calibri"/>
                <w:i/>
                <w:iCs/>
              </w:rPr>
              <w:t>Best-practice career education for students from low socioeconomic status backgrounds</w:t>
            </w:r>
            <w:r>
              <w:rPr>
                <w:rFonts w:ascii="Calibri" w:hAnsi="Calibri" w:cs="Calibri"/>
              </w:rPr>
              <w:t xml:space="preserve">, (Perth, Curtin University: National Centre for Student Equity in Higher Education, 2022), </w:t>
            </w:r>
            <w:hyperlink r:id="rId198" w:history="1">
              <w:r w:rsidR="00841281" w:rsidRPr="00A8752B">
                <w:rPr>
                  <w:rStyle w:val="Hyperlink"/>
                  <w:rFonts w:ascii="Calibri" w:hAnsi="Calibri" w:cs="Calibri"/>
                </w:rPr>
                <w:t>www.ncsehe.edu.au/wp-content/uploads/2022/11/2022-NCSEHE-Austin-Final.pdf</w:t>
              </w:r>
            </w:hyperlink>
            <w:r w:rsidR="00B13F7F">
              <w:rPr>
                <w:rFonts w:ascii="Calibri" w:hAnsi="Calibri" w:cs="Calibri"/>
              </w:rPr>
              <w:t xml:space="preserve">. </w:t>
            </w:r>
          </w:p>
        </w:tc>
      </w:tr>
      <w:tr w:rsidR="002D6F5F" w:rsidRPr="002D6F5F" w14:paraId="540F704A" w14:textId="77777777" w:rsidTr="001B1DB2">
        <w:tc>
          <w:tcPr>
            <w:tcW w:w="9026" w:type="dxa"/>
            <w:vAlign w:val="bottom"/>
            <w:hideMark/>
          </w:tcPr>
          <w:p w14:paraId="671CB9C4" w14:textId="2BD941EB" w:rsidR="002D6F5F" w:rsidRPr="002D6F5F" w:rsidRDefault="00D56C32" w:rsidP="0077616C">
            <w:pPr>
              <w:rPr>
                <w:rFonts w:cs="Arial"/>
              </w:rPr>
            </w:pPr>
            <w:r>
              <w:rPr>
                <w:rFonts w:ascii="Calibri" w:hAnsi="Calibri" w:cs="Calibri"/>
              </w:rPr>
              <w:t>Austin, Kylie</w:t>
            </w:r>
            <w:r w:rsidR="00D92D7B" w:rsidRPr="00D92D7B">
              <w:rPr>
                <w:rFonts w:ascii="Calibri" w:hAnsi="Calibri" w:cs="Calibri"/>
              </w:rPr>
              <w:t xml:space="preserve">; O’Shea, Sarah; Groves, Olivia and </w:t>
            </w:r>
            <w:proofErr w:type="spellStart"/>
            <w:r w:rsidR="00D92D7B" w:rsidRPr="00D92D7B">
              <w:rPr>
                <w:rFonts w:ascii="Calibri" w:hAnsi="Calibri" w:cs="Calibri"/>
              </w:rPr>
              <w:t>Lamanna</w:t>
            </w:r>
            <w:proofErr w:type="spellEnd"/>
            <w:r w:rsidR="00D92D7B" w:rsidRPr="00D92D7B">
              <w:rPr>
                <w:rFonts w:ascii="Calibri" w:hAnsi="Calibri" w:cs="Calibri"/>
              </w:rPr>
              <w:t>, Jodi</w:t>
            </w:r>
            <w:r>
              <w:rPr>
                <w:rFonts w:ascii="Calibri" w:hAnsi="Calibri" w:cs="Calibri"/>
              </w:rPr>
              <w:t xml:space="preserve">. </w:t>
            </w:r>
            <w:r>
              <w:rPr>
                <w:rFonts w:ascii="Calibri" w:hAnsi="Calibri" w:cs="Calibri"/>
                <w:i/>
                <w:iCs/>
              </w:rPr>
              <w:t>Career development learning for students from low socioeconomic status (LSES) backgrounds: Literature review</w:t>
            </w:r>
            <w:r>
              <w:rPr>
                <w:rFonts w:ascii="Calibri" w:hAnsi="Calibri" w:cs="Calibri"/>
              </w:rPr>
              <w:t xml:space="preserve">, (University of Wollongong and National Centre for Student Equity in Higher Education, May 2020), </w:t>
            </w:r>
            <w:hyperlink r:id="rId199" w:history="1">
              <w:r w:rsidR="00B13F7F" w:rsidRPr="00B13F7F">
                <w:rPr>
                  <w:rStyle w:val="Hyperlink"/>
                  <w:rFonts w:ascii="Calibri" w:hAnsi="Calibri" w:cs="Calibri"/>
                </w:rPr>
                <w:t>https://documents.uow.edu.au/content/groups/public‌/‌@web/@dvce/@in2uni/documents/</w:t>
              </w:r>
              <w:r w:rsidR="00B13F7F" w:rsidRPr="00B13F7F">
                <w:rPr>
                  <w:rStyle w:val="Hyperlink"/>
                  <w:rFonts w:ascii="Calibri" w:hAnsi="Calibri" w:cs="Calibri"/>
                </w:rPr>
                <w:br/>
                <w:t>doc/uow264921.pdf</w:t>
              </w:r>
            </w:hyperlink>
            <w:r w:rsidR="00B13F7F">
              <w:rPr>
                <w:rFonts w:ascii="Calibri" w:hAnsi="Calibri" w:cs="Calibri"/>
              </w:rPr>
              <w:t xml:space="preserve">. </w:t>
            </w:r>
          </w:p>
        </w:tc>
      </w:tr>
      <w:tr w:rsidR="002D6F5F" w:rsidRPr="002D6F5F" w14:paraId="77A57B3A" w14:textId="77777777" w:rsidTr="001B1DB2">
        <w:tc>
          <w:tcPr>
            <w:tcW w:w="9026" w:type="dxa"/>
            <w:vAlign w:val="center"/>
            <w:hideMark/>
          </w:tcPr>
          <w:p w14:paraId="6F53A9C9" w14:textId="07CB1A37" w:rsidR="002D6F5F" w:rsidRPr="002D6F5F" w:rsidRDefault="00D56C32" w:rsidP="0077616C">
            <w:pPr>
              <w:rPr>
                <w:rFonts w:cs="Arial"/>
              </w:rPr>
            </w:pPr>
            <w:r>
              <w:rPr>
                <w:rFonts w:ascii="Calibri" w:hAnsi="Calibri" w:cs="Calibri"/>
              </w:rPr>
              <w:t xml:space="preserve">Australian Bureau of Statistics. </w:t>
            </w:r>
            <w:r>
              <w:rPr>
                <w:rFonts w:ascii="Calibri" w:hAnsi="Calibri" w:cs="Calibri"/>
                <w:i/>
                <w:iCs/>
              </w:rPr>
              <w:t>Australia’s Population by Country of Birth 2022</w:t>
            </w:r>
            <w:r>
              <w:rPr>
                <w:rFonts w:ascii="Calibri" w:hAnsi="Calibri" w:cs="Calibri"/>
              </w:rPr>
              <w:t xml:space="preserve"> [data set], (Canberra: 2023), accessed 3 December 2023, </w:t>
            </w:r>
            <w:hyperlink r:id="rId200" w:history="1">
              <w:r w:rsidR="00841281" w:rsidRPr="00A8752B">
                <w:rPr>
                  <w:rStyle w:val="Hyperlink"/>
                  <w:rFonts w:ascii="Calibri" w:hAnsi="Calibri" w:cs="Calibri"/>
                </w:rPr>
                <w:t>www.abs.gov.au/statistics/people/population/australias-population-country-birth/latest-release</w:t>
              </w:r>
            </w:hyperlink>
            <w:r w:rsidR="00B13F7F">
              <w:rPr>
                <w:rFonts w:ascii="Calibri" w:hAnsi="Calibri" w:cs="Calibri"/>
              </w:rPr>
              <w:t xml:space="preserve">. </w:t>
            </w:r>
          </w:p>
        </w:tc>
      </w:tr>
      <w:tr w:rsidR="002D6F5F" w:rsidRPr="002D6F5F" w14:paraId="0BEFAFB2" w14:textId="77777777" w:rsidTr="001B1DB2">
        <w:tc>
          <w:tcPr>
            <w:tcW w:w="9026" w:type="dxa"/>
            <w:vAlign w:val="bottom"/>
            <w:hideMark/>
          </w:tcPr>
          <w:p w14:paraId="6F9FEB5F" w14:textId="7F0F710B" w:rsidR="003B667C" w:rsidRDefault="00D56C32" w:rsidP="0077616C">
            <w:r w:rsidRPr="00F26EBE">
              <w:t>Australian Bureau of Statistics</w:t>
            </w:r>
            <w:r w:rsidR="002773A5" w:rsidRPr="00DC27C6">
              <w:rPr>
                <w:i/>
                <w:iCs/>
              </w:rPr>
              <w:t>,</w:t>
            </w:r>
            <w:r w:rsidR="002773A5" w:rsidRPr="00F26EBE">
              <w:rPr>
                <w:i/>
              </w:rPr>
              <w:t xml:space="preserve"> Australian National Accounts: National Income, Expenditure and Product</w:t>
            </w:r>
            <w:r w:rsidR="002773A5">
              <w:rPr>
                <w:i/>
              </w:rPr>
              <w:t xml:space="preserve"> (</w:t>
            </w:r>
            <w:r w:rsidR="002773A5" w:rsidRPr="00DC27C6">
              <w:rPr>
                <w:i/>
                <w:iCs/>
              </w:rPr>
              <w:t>June 2023</w:t>
            </w:r>
            <w:r w:rsidR="002773A5">
              <w:rPr>
                <w:i/>
              </w:rPr>
              <w:t>)</w:t>
            </w:r>
            <w:r w:rsidR="002773A5" w:rsidRPr="00C4084C">
              <w:t xml:space="preserve"> </w:t>
            </w:r>
            <w:r w:rsidR="002773A5">
              <w:t>[data set], (Canberra)</w:t>
            </w:r>
            <w:r w:rsidR="00CC3245">
              <w:t>,</w:t>
            </w:r>
            <w:r w:rsidR="002773A5">
              <w:t xml:space="preserve"> published 6 September 2023, </w:t>
            </w:r>
            <w:hyperlink r:id="rId201" w:history="1">
              <w:r w:rsidR="00B13F7F" w:rsidRPr="00A8752B">
                <w:rPr>
                  <w:rStyle w:val="Hyperlink"/>
                </w:rPr>
                <w:t>www.abs.gov.au/statistics/economy/national-accounts/australian-national-accounts-national-income-expenditure-and-product/jun-2023</w:t>
              </w:r>
            </w:hyperlink>
            <w:r w:rsidR="00B13F7F">
              <w:t xml:space="preserve">. </w:t>
            </w:r>
          </w:p>
          <w:p w14:paraId="22755FFA" w14:textId="3477E45A" w:rsidR="002D6F5F" w:rsidRPr="002D6F5F" w:rsidRDefault="00D56C32" w:rsidP="0077616C">
            <w:pPr>
              <w:rPr>
                <w:rFonts w:cs="Arial"/>
              </w:rPr>
            </w:pPr>
            <w:r w:rsidDel="002773A5">
              <w:rPr>
                <w:rFonts w:ascii="Calibri" w:hAnsi="Calibri" w:cs="Calibri"/>
              </w:rPr>
              <w:t>Australian Bureau of Statistics.</w:t>
            </w:r>
            <w:r>
              <w:rPr>
                <w:rFonts w:ascii="Calibri" w:hAnsi="Calibri" w:cs="Calibri"/>
              </w:rPr>
              <w:t xml:space="preserve"> </w:t>
            </w:r>
            <w:r>
              <w:rPr>
                <w:rFonts w:ascii="Calibri" w:hAnsi="Calibri" w:cs="Calibri"/>
                <w:i/>
                <w:iCs/>
              </w:rPr>
              <w:t xml:space="preserve">Australian National Accounts: National Income, Expenditure and Product </w:t>
            </w:r>
            <w:r w:rsidR="00F92F69">
              <w:rPr>
                <w:rFonts w:ascii="Calibri" w:hAnsi="Calibri" w:cs="Calibri"/>
                <w:i/>
                <w:iCs/>
              </w:rPr>
              <w:t>(September 2023)</w:t>
            </w:r>
            <w:r>
              <w:rPr>
                <w:rFonts w:ascii="Calibri" w:hAnsi="Calibri" w:cs="Calibri"/>
                <w:i/>
                <w:iCs/>
              </w:rPr>
              <w:t xml:space="preserve"> </w:t>
            </w:r>
            <w:r>
              <w:rPr>
                <w:rFonts w:ascii="Calibri" w:hAnsi="Calibri" w:cs="Calibri"/>
              </w:rPr>
              <w:t xml:space="preserve">[data set], Table 36 (Canberra), published 6 December 2023, </w:t>
            </w:r>
            <w:hyperlink r:id="rId202" w:history="1">
              <w:r w:rsidR="00841281" w:rsidRPr="00A8752B">
                <w:rPr>
                  <w:rStyle w:val="Hyperlink"/>
                  <w:rFonts w:ascii="Calibri" w:hAnsi="Calibri" w:cs="Calibri"/>
                </w:rPr>
                <w:t>www.abs.gov.au/statistics/economy/national-accounts/australian-national-accounts-national-income-expenditure-and-product/latest-release</w:t>
              </w:r>
            </w:hyperlink>
            <w:r w:rsidR="00B13F7F">
              <w:rPr>
                <w:rFonts w:ascii="Calibri" w:hAnsi="Calibri" w:cs="Calibri"/>
              </w:rPr>
              <w:t xml:space="preserve">. </w:t>
            </w:r>
          </w:p>
        </w:tc>
      </w:tr>
      <w:tr w:rsidR="002D6F5F" w:rsidRPr="002D6F5F" w14:paraId="3875F60C" w14:textId="77777777" w:rsidTr="001B1DB2">
        <w:tc>
          <w:tcPr>
            <w:tcW w:w="9026" w:type="dxa"/>
            <w:vAlign w:val="bottom"/>
            <w:hideMark/>
          </w:tcPr>
          <w:p w14:paraId="05340A26" w14:textId="6790E204" w:rsidR="002D6F5F" w:rsidRPr="002D6F5F" w:rsidRDefault="00D56C32" w:rsidP="0077616C">
            <w:pPr>
              <w:rPr>
                <w:rFonts w:cs="Arial"/>
              </w:rPr>
            </w:pPr>
            <w:r>
              <w:rPr>
                <w:rFonts w:ascii="Calibri" w:hAnsi="Calibri" w:cs="Calibri"/>
              </w:rPr>
              <w:t xml:space="preserve">Australian Bureau of Statistics. </w:t>
            </w:r>
            <w:r>
              <w:rPr>
                <w:rFonts w:ascii="Calibri" w:hAnsi="Calibri" w:cs="Calibri"/>
                <w:i/>
                <w:iCs/>
              </w:rPr>
              <w:t>Balance of Payments and International Investment Position</w:t>
            </w:r>
            <w:r>
              <w:rPr>
                <w:rFonts w:ascii="Calibri" w:hAnsi="Calibri" w:cs="Calibri"/>
              </w:rPr>
              <w:t xml:space="preserve"> [data set], (Canberra: September 2023), accessed 12 December 2023, </w:t>
            </w:r>
            <w:hyperlink r:id="rId203" w:history="1">
              <w:r w:rsidR="00841281" w:rsidRPr="00A8752B">
                <w:rPr>
                  <w:rStyle w:val="Hyperlink"/>
                  <w:rFonts w:ascii="Calibri" w:hAnsi="Calibri" w:cs="Calibri"/>
                </w:rPr>
                <w:t>www.abs.gov.au/statistics/economy/international-trade/balance-payments-and-international-investment-position-australia/latest-release</w:t>
              </w:r>
            </w:hyperlink>
            <w:r w:rsidR="00B13F7F">
              <w:rPr>
                <w:rFonts w:ascii="Calibri" w:hAnsi="Calibri" w:cs="Calibri"/>
              </w:rPr>
              <w:t xml:space="preserve">. </w:t>
            </w:r>
          </w:p>
        </w:tc>
      </w:tr>
      <w:tr w:rsidR="002D6F5F" w:rsidRPr="002D6F5F" w14:paraId="1155498E" w14:textId="77777777" w:rsidTr="001B1DB2">
        <w:tc>
          <w:tcPr>
            <w:tcW w:w="9026" w:type="dxa"/>
            <w:vAlign w:val="bottom"/>
            <w:hideMark/>
          </w:tcPr>
          <w:p w14:paraId="206D0493" w14:textId="52F8223E" w:rsidR="002D6F5F" w:rsidRPr="002D6F5F" w:rsidRDefault="00D56C32" w:rsidP="0077616C">
            <w:pPr>
              <w:rPr>
                <w:rFonts w:cs="Arial"/>
              </w:rPr>
            </w:pPr>
            <w:r>
              <w:rPr>
                <w:rFonts w:ascii="Calibri" w:hAnsi="Calibri" w:cs="Calibri"/>
              </w:rPr>
              <w:t xml:space="preserve">Australian Bureau of Statistics. </w:t>
            </w:r>
            <w:r>
              <w:rPr>
                <w:rFonts w:ascii="Calibri" w:hAnsi="Calibri" w:cs="Calibri"/>
                <w:i/>
                <w:iCs/>
              </w:rPr>
              <w:t>Barriers and Incentives to Workforce Participation, Australia 2022–23</w:t>
            </w:r>
            <w:r>
              <w:rPr>
                <w:rFonts w:ascii="Calibri" w:hAnsi="Calibri" w:cs="Calibri"/>
              </w:rPr>
              <w:t xml:space="preserve"> [data set], (Canberra: 2023), published 27 November 2023, </w:t>
            </w:r>
            <w:hyperlink r:id="rId204" w:history="1">
              <w:r w:rsidR="00B13F7F" w:rsidRPr="00A8752B">
                <w:rPr>
                  <w:rStyle w:val="Hyperlink"/>
                  <w:rFonts w:ascii="Calibri" w:hAnsi="Calibri" w:cs="Calibri"/>
                </w:rPr>
                <w:t>www.abs.gov.au/statistics/labour/employment-and-unemployment/barriers-and-incentives-labour-force-participation-australia/latest-release</w:t>
              </w:r>
            </w:hyperlink>
            <w:r w:rsidR="00B13F7F">
              <w:rPr>
                <w:rFonts w:ascii="Calibri" w:hAnsi="Calibri" w:cs="Calibri"/>
              </w:rPr>
              <w:t xml:space="preserve">. </w:t>
            </w:r>
          </w:p>
        </w:tc>
      </w:tr>
      <w:tr w:rsidR="002D6F5F" w:rsidRPr="002D6F5F" w14:paraId="0E1CB99D" w14:textId="77777777" w:rsidTr="001B1DB2">
        <w:tc>
          <w:tcPr>
            <w:tcW w:w="9026" w:type="dxa"/>
            <w:vAlign w:val="bottom"/>
            <w:hideMark/>
          </w:tcPr>
          <w:p w14:paraId="0FF39160" w14:textId="50084690" w:rsidR="002D6F5F" w:rsidRPr="002D6F5F" w:rsidRDefault="00D56C32" w:rsidP="0077616C">
            <w:pPr>
              <w:rPr>
                <w:rFonts w:cs="Arial"/>
              </w:rPr>
            </w:pPr>
            <w:r>
              <w:rPr>
                <w:rFonts w:ascii="Calibri" w:hAnsi="Calibri" w:cstheme="minorHAnsi"/>
              </w:rPr>
              <w:t>Australian Bureau of Statistics.</w:t>
            </w:r>
            <w:r>
              <w:rPr>
                <w:rFonts w:ascii="Calibri" w:hAnsi="Calibri" w:cs="Calibri"/>
                <w:i/>
                <w:iCs/>
              </w:rPr>
              <w:t xml:space="preserve"> Census All Persons, 2021 Tasmania</w:t>
            </w:r>
            <w:r>
              <w:rPr>
                <w:rFonts w:ascii="Calibri" w:hAnsi="Calibri" w:cs="Calibri"/>
              </w:rPr>
              <w:t xml:space="preserve"> [data set], (Canberra), accessed 14 December 2023, </w:t>
            </w:r>
            <w:hyperlink r:id="rId205" w:history="1">
              <w:r w:rsidR="00B13F7F" w:rsidRPr="00A8752B">
                <w:rPr>
                  <w:rStyle w:val="Hyperlink"/>
                  <w:rFonts w:ascii="Calibri" w:hAnsi="Calibri" w:cs="Calibri"/>
                </w:rPr>
                <w:t>www.abs.gov.au/census/find-census-data/quickstats/2021/6</w:t>
              </w:r>
            </w:hyperlink>
            <w:r w:rsidR="00B13F7F">
              <w:rPr>
                <w:rFonts w:ascii="Calibri" w:hAnsi="Calibri" w:cs="Calibri"/>
              </w:rPr>
              <w:t xml:space="preserve">. </w:t>
            </w:r>
            <w:r>
              <w:rPr>
                <w:rFonts w:ascii="Calibri" w:hAnsi="Calibri" w:cs="Calibri"/>
              </w:rPr>
              <w:t xml:space="preserve"> </w:t>
            </w:r>
          </w:p>
        </w:tc>
      </w:tr>
      <w:tr w:rsidR="002D6F5F" w:rsidRPr="002D6F5F" w14:paraId="29079AC1" w14:textId="77777777" w:rsidTr="001B1DB2">
        <w:tc>
          <w:tcPr>
            <w:tcW w:w="9026" w:type="dxa"/>
            <w:vAlign w:val="bottom"/>
            <w:hideMark/>
          </w:tcPr>
          <w:p w14:paraId="7F09762D" w14:textId="5AC7F1FA" w:rsidR="002D6F5F" w:rsidRPr="002D6F5F" w:rsidRDefault="00D56C32" w:rsidP="0077616C">
            <w:pPr>
              <w:rPr>
                <w:rFonts w:cs="Arial"/>
              </w:rPr>
            </w:pPr>
            <w:r>
              <w:rPr>
                <w:rFonts w:ascii="Calibri" w:hAnsi="Calibri" w:cs="Calibri"/>
              </w:rPr>
              <w:lastRenderedPageBreak/>
              <w:t xml:space="preserve">Australian Bureau of Statistics. </w:t>
            </w:r>
            <w:r>
              <w:rPr>
                <w:rFonts w:ascii="Calibri" w:hAnsi="Calibri" w:cs="Calibri"/>
                <w:i/>
                <w:iCs/>
              </w:rPr>
              <w:t>Census of Population and Housing, 2021</w:t>
            </w:r>
            <w:r>
              <w:rPr>
                <w:rFonts w:ascii="Calibri" w:hAnsi="Calibri" w:cs="Calibri"/>
              </w:rPr>
              <w:t xml:space="preserve"> [data set], (Canberra: 2023). </w:t>
            </w:r>
          </w:p>
        </w:tc>
      </w:tr>
      <w:tr w:rsidR="002D6F5F" w:rsidRPr="002D6F5F" w14:paraId="62FE8313" w14:textId="77777777" w:rsidTr="001B1DB2">
        <w:tc>
          <w:tcPr>
            <w:tcW w:w="9026" w:type="dxa"/>
            <w:vAlign w:val="center"/>
            <w:hideMark/>
          </w:tcPr>
          <w:p w14:paraId="23C8A213" w14:textId="0173F831" w:rsidR="002D6F5F" w:rsidRPr="002D6F5F" w:rsidRDefault="00D56C32" w:rsidP="0077616C">
            <w:pPr>
              <w:rPr>
                <w:rFonts w:cs="Arial"/>
              </w:rPr>
            </w:pPr>
            <w:r>
              <w:rPr>
                <w:rFonts w:ascii="Calibri" w:hAnsi="Calibri" w:cs="Calibri"/>
              </w:rPr>
              <w:t xml:space="preserve">Australian Bureau of Statistics. </w:t>
            </w:r>
            <w:r>
              <w:rPr>
                <w:rFonts w:ascii="Calibri" w:hAnsi="Calibri" w:cs="Calibri"/>
                <w:i/>
                <w:iCs/>
              </w:rPr>
              <w:t xml:space="preserve">Census </w:t>
            </w:r>
            <w:proofErr w:type="spellStart"/>
            <w:r>
              <w:rPr>
                <w:rFonts w:ascii="Calibri" w:hAnsi="Calibri" w:cs="Calibri"/>
                <w:i/>
                <w:iCs/>
              </w:rPr>
              <w:t>TableBuilder</w:t>
            </w:r>
            <w:proofErr w:type="spellEnd"/>
            <w:r>
              <w:rPr>
                <w:rFonts w:ascii="Calibri" w:hAnsi="Calibri" w:cs="Calibri"/>
              </w:rPr>
              <w:t>, National Remoteness Areas and level of highest qualification, (Canberra, 2023), accessed 19 December 2023.</w:t>
            </w:r>
          </w:p>
        </w:tc>
      </w:tr>
      <w:tr w:rsidR="002D6F5F" w:rsidRPr="002D6F5F" w14:paraId="23DFF829" w14:textId="77777777" w:rsidTr="001B1DB2">
        <w:tc>
          <w:tcPr>
            <w:tcW w:w="9026" w:type="dxa"/>
            <w:vAlign w:val="center"/>
            <w:hideMark/>
          </w:tcPr>
          <w:p w14:paraId="58F75761" w14:textId="5C435CF9" w:rsidR="002D6F5F" w:rsidRPr="002D6F5F" w:rsidRDefault="002D6F5F" w:rsidP="0077616C">
            <w:pPr>
              <w:rPr>
                <w:rFonts w:cs="Arial"/>
              </w:rPr>
            </w:pPr>
            <w:r>
              <w:rPr>
                <w:rFonts w:ascii="Calibri" w:hAnsi="Calibri" w:cs="Calibri"/>
              </w:rPr>
              <w:t>Australian Bureau of Statistics</w:t>
            </w:r>
            <w:r w:rsidR="00D56C32">
              <w:rPr>
                <w:rFonts w:ascii="Calibri" w:hAnsi="Calibri" w:cs="Calibri"/>
              </w:rPr>
              <w:t xml:space="preserve">. </w:t>
            </w:r>
            <w:r w:rsidR="00D56C32">
              <w:rPr>
                <w:rFonts w:ascii="Calibri" w:hAnsi="Calibri" w:cs="Calibri"/>
                <w:i/>
                <w:iCs/>
              </w:rPr>
              <w:t>Consumer Price Index, Australia</w:t>
            </w:r>
            <w:r>
              <w:rPr>
                <w:rFonts w:ascii="Calibri" w:hAnsi="Calibri" w:cs="Calibri"/>
              </w:rPr>
              <w:t xml:space="preserve"> [data set], </w:t>
            </w:r>
            <w:r w:rsidR="00D56C32">
              <w:rPr>
                <w:rFonts w:ascii="Calibri" w:hAnsi="Calibri" w:cs="Calibri"/>
              </w:rPr>
              <w:t xml:space="preserve">September Quarter 2023 </w:t>
            </w:r>
            <w:r>
              <w:rPr>
                <w:rFonts w:ascii="Calibri" w:hAnsi="Calibri" w:cs="Calibri"/>
              </w:rPr>
              <w:t xml:space="preserve">(Canberra: </w:t>
            </w:r>
            <w:r w:rsidR="00D56C32">
              <w:rPr>
                <w:rFonts w:ascii="Calibri" w:hAnsi="Calibri" w:cs="Calibri"/>
              </w:rPr>
              <w:t xml:space="preserve">October </w:t>
            </w:r>
            <w:r>
              <w:rPr>
                <w:rFonts w:ascii="Calibri" w:hAnsi="Calibri" w:cs="Calibri"/>
              </w:rPr>
              <w:t xml:space="preserve">2023), accessed </w:t>
            </w:r>
            <w:r w:rsidR="00D56C32">
              <w:rPr>
                <w:rFonts w:ascii="Calibri" w:hAnsi="Calibri" w:cs="Calibri"/>
              </w:rPr>
              <w:t>11</w:t>
            </w:r>
            <w:r>
              <w:rPr>
                <w:rFonts w:ascii="Calibri" w:hAnsi="Calibri" w:cs="Calibri"/>
              </w:rPr>
              <w:t xml:space="preserve"> December 2023 </w:t>
            </w:r>
            <w:hyperlink r:id="rId206" w:history="1">
              <w:r w:rsidR="00841281" w:rsidRPr="00A8752B">
                <w:rPr>
                  <w:rStyle w:val="Hyperlink"/>
                  <w:rFonts w:ascii="Calibri" w:hAnsi="Calibri" w:cs="Calibri"/>
                </w:rPr>
                <w:t>www.abs.gov.au/statistics/economy/price-indexes-and-inflation/consumer-price-index-australia/latest-release</w:t>
              </w:r>
            </w:hyperlink>
            <w:r w:rsidR="00B13F7F">
              <w:rPr>
                <w:rFonts w:ascii="Calibri" w:hAnsi="Calibri" w:cs="Calibri"/>
              </w:rPr>
              <w:t xml:space="preserve">. </w:t>
            </w:r>
          </w:p>
        </w:tc>
      </w:tr>
      <w:tr w:rsidR="002D6F5F" w:rsidRPr="002D6F5F" w14:paraId="4C792137" w14:textId="77777777" w:rsidTr="001B1DB2">
        <w:tc>
          <w:tcPr>
            <w:tcW w:w="9026" w:type="dxa"/>
            <w:vAlign w:val="bottom"/>
            <w:hideMark/>
          </w:tcPr>
          <w:p w14:paraId="62400127" w14:textId="46CEB8C2" w:rsidR="002D6F5F" w:rsidRPr="002D6F5F" w:rsidRDefault="00D56C32" w:rsidP="0077616C">
            <w:pPr>
              <w:rPr>
                <w:rFonts w:cs="Arial"/>
              </w:rPr>
            </w:pPr>
            <w:r>
              <w:rPr>
                <w:rFonts w:ascii="Calibri" w:hAnsi="Calibri" w:cs="Calibri"/>
              </w:rPr>
              <w:t xml:space="preserve">Australian Bureau of Statistics. </w:t>
            </w:r>
            <w:r>
              <w:rPr>
                <w:rFonts w:ascii="Calibri" w:hAnsi="Calibri" w:cs="Calibri"/>
                <w:i/>
                <w:iCs/>
              </w:rPr>
              <w:t>Education and Work, Australia May 2023</w:t>
            </w:r>
            <w:r>
              <w:rPr>
                <w:rFonts w:ascii="Calibri" w:hAnsi="Calibri" w:cs="Calibri"/>
              </w:rPr>
              <w:t xml:space="preserve"> [data set], (Canberra) accessed 8 December 2023, </w:t>
            </w:r>
            <w:hyperlink r:id="rId207" w:history="1">
              <w:r w:rsidR="00B13F7F" w:rsidRPr="00A8752B">
                <w:rPr>
                  <w:rStyle w:val="Hyperlink"/>
                  <w:rFonts w:ascii="Calibri" w:hAnsi="Calibri" w:cs="Calibri"/>
                </w:rPr>
                <w:t>www.abs.gov.au/statistics/people/education/education-and-work-australia/may-2023/</w:t>
              </w:r>
            </w:hyperlink>
            <w:r w:rsidR="00B13F7F">
              <w:rPr>
                <w:rFonts w:ascii="Calibri" w:hAnsi="Calibri" w:cs="Calibri"/>
              </w:rPr>
              <w:t xml:space="preserve">. </w:t>
            </w:r>
          </w:p>
        </w:tc>
      </w:tr>
      <w:tr w:rsidR="002D6F5F" w:rsidRPr="002D6F5F" w14:paraId="2A4A52E0" w14:textId="77777777" w:rsidTr="001B1DB2">
        <w:tc>
          <w:tcPr>
            <w:tcW w:w="9026" w:type="dxa"/>
            <w:vAlign w:val="bottom"/>
            <w:hideMark/>
          </w:tcPr>
          <w:p w14:paraId="5DFC11F9" w14:textId="76AFDBEE" w:rsidR="002D6F5F" w:rsidRPr="002D6F5F" w:rsidRDefault="00D56C32" w:rsidP="0077616C">
            <w:pPr>
              <w:rPr>
                <w:rFonts w:cs="Arial"/>
              </w:rPr>
            </w:pPr>
            <w:r>
              <w:rPr>
                <w:rFonts w:ascii="Calibri" w:hAnsi="Calibri" w:cstheme="minorHAnsi"/>
              </w:rPr>
              <w:t xml:space="preserve">Australian Bureau of Statistics. </w:t>
            </w:r>
            <w:r>
              <w:rPr>
                <w:rFonts w:ascii="Calibri" w:hAnsi="Calibri" w:cs="Calibri"/>
                <w:i/>
                <w:iCs/>
              </w:rPr>
              <w:t xml:space="preserve">Regional Population </w:t>
            </w:r>
            <w:r>
              <w:rPr>
                <w:rFonts w:ascii="Calibri" w:hAnsi="Calibri" w:cs="Calibri"/>
              </w:rPr>
              <w:t xml:space="preserve">[data set], (Canberra: 2023), </w:t>
            </w:r>
            <w:hyperlink r:id="rId208" w:history="1">
              <w:r w:rsidR="00B13F7F" w:rsidRPr="00A8752B">
                <w:rPr>
                  <w:rStyle w:val="Hyperlink"/>
                  <w:rFonts w:ascii="Calibri" w:hAnsi="Calibri" w:cs="Calibri"/>
                </w:rPr>
                <w:t>www.abs.gov.au/statistics/people/population/regional-population/2021-22</w:t>
              </w:r>
            </w:hyperlink>
            <w:r w:rsidR="00B13F7F">
              <w:rPr>
                <w:rFonts w:ascii="Calibri" w:hAnsi="Calibri" w:cs="Calibri"/>
              </w:rPr>
              <w:t xml:space="preserve">. </w:t>
            </w:r>
          </w:p>
        </w:tc>
      </w:tr>
      <w:tr w:rsidR="002C0B58" w:rsidRPr="002D6F5F" w14:paraId="4539C23E" w14:textId="77777777" w:rsidTr="001B1DB2">
        <w:tc>
          <w:tcPr>
            <w:tcW w:w="9026" w:type="dxa"/>
            <w:vAlign w:val="bottom"/>
          </w:tcPr>
          <w:p w14:paraId="40BA46C5" w14:textId="5A2720F1" w:rsidR="002C0B58" w:rsidRDefault="002C0B58" w:rsidP="0077616C">
            <w:pPr>
              <w:rPr>
                <w:rFonts w:ascii="Calibri" w:hAnsi="Calibri" w:cs="Calibri"/>
              </w:rPr>
            </w:pPr>
            <w:r w:rsidRPr="00C4084C">
              <w:t>Australian Bureau of Statistics</w:t>
            </w:r>
            <w:r w:rsidR="006F1E75">
              <w:t>.</w:t>
            </w:r>
            <w:r w:rsidRPr="00C4084C">
              <w:t xml:space="preserve"> </w:t>
            </w:r>
            <w:r w:rsidRPr="00DC27C6">
              <w:rPr>
                <w:rFonts w:cs="Arial"/>
                <w:i/>
                <w:szCs w:val="20"/>
              </w:rPr>
              <w:t>Research and Experimental Development, All Sector Summary, Australia, 2008</w:t>
            </w:r>
            <w:r w:rsidRPr="00DC27C6">
              <w:rPr>
                <w:rFonts w:ascii="Symbol" w:eastAsia="Symbol" w:hAnsi="Symbol" w:cs="Symbol"/>
                <w:i/>
                <w:szCs w:val="20"/>
              </w:rPr>
              <w:t>-</w:t>
            </w:r>
            <w:r w:rsidRPr="00DC27C6">
              <w:rPr>
                <w:rFonts w:cs="Arial"/>
                <w:i/>
                <w:szCs w:val="20"/>
              </w:rPr>
              <w:t>09</w:t>
            </w:r>
            <w:r w:rsidRPr="00C4084C">
              <w:t xml:space="preserve"> </w:t>
            </w:r>
            <w:r>
              <w:t>[data set], Cat. No. 8112.0, (Canberra)</w:t>
            </w:r>
            <w:r w:rsidR="006F1E75">
              <w:t>,</w:t>
            </w:r>
            <w:r>
              <w:t xml:space="preserve"> </w:t>
            </w:r>
            <w:hyperlink r:id="rId209" w:history="1">
              <w:r w:rsidR="00841281" w:rsidRPr="00A8752B">
                <w:rPr>
                  <w:rStyle w:val="Hyperlink"/>
                </w:rPr>
                <w:t>www.abs.gov.au/AUSSTATS/abs@.nsf/Lookup/8112.0Main+Features12008-09?OpenDocument</w:t>
              </w:r>
            </w:hyperlink>
            <w:r w:rsidR="00B13F7F">
              <w:t xml:space="preserve">.   </w:t>
            </w:r>
          </w:p>
        </w:tc>
      </w:tr>
      <w:tr w:rsidR="002D6F5F" w:rsidRPr="002D6F5F" w14:paraId="201FCC00" w14:textId="77777777" w:rsidTr="001B1DB2">
        <w:tc>
          <w:tcPr>
            <w:tcW w:w="9026" w:type="dxa"/>
            <w:vAlign w:val="bottom"/>
            <w:hideMark/>
          </w:tcPr>
          <w:p w14:paraId="005A37EA" w14:textId="32252279" w:rsidR="002D6F5F" w:rsidRPr="002D6F5F" w:rsidRDefault="002D6F5F" w:rsidP="0077616C">
            <w:pPr>
              <w:rPr>
                <w:rFonts w:cs="Arial"/>
              </w:rPr>
            </w:pPr>
            <w:r>
              <w:rPr>
                <w:rFonts w:ascii="Calibri" w:hAnsi="Calibri" w:cs="Calibri"/>
              </w:rPr>
              <w:t>Australian Bureau of Statistics</w:t>
            </w:r>
            <w:r w:rsidR="00D56C32">
              <w:rPr>
                <w:rFonts w:ascii="Calibri" w:hAnsi="Calibri" w:cs="Calibri"/>
              </w:rPr>
              <w:t xml:space="preserve">. </w:t>
            </w:r>
            <w:r w:rsidR="00D56C32">
              <w:rPr>
                <w:rFonts w:ascii="Calibri" w:hAnsi="Calibri" w:cs="Calibri"/>
                <w:i/>
                <w:iCs/>
              </w:rPr>
              <w:t>Research and Experimental Development, Businesses, Australia</w:t>
            </w:r>
            <w:r w:rsidR="00375CB0">
              <w:rPr>
                <w:rFonts w:ascii="Calibri" w:hAnsi="Calibri" w:cs="Calibri"/>
                <w:i/>
                <w:iCs/>
              </w:rPr>
              <w:t>, 2021</w:t>
            </w:r>
            <w:r w:rsidR="00375CB0">
              <w:rPr>
                <w:rFonts w:ascii="Symbol" w:eastAsia="Symbol" w:hAnsi="Symbol" w:cs="Symbol"/>
                <w:i/>
                <w:iCs/>
              </w:rPr>
              <w:t>-</w:t>
            </w:r>
            <w:r w:rsidR="00375CB0">
              <w:rPr>
                <w:rFonts w:ascii="Calibri" w:hAnsi="Calibri" w:cs="Calibri"/>
                <w:i/>
                <w:iCs/>
              </w:rPr>
              <w:t>22</w:t>
            </w:r>
            <w:r>
              <w:rPr>
                <w:rFonts w:ascii="Calibri" w:hAnsi="Calibri" w:cs="Calibri"/>
                <w:i/>
              </w:rPr>
              <w:t xml:space="preserve"> </w:t>
            </w:r>
            <w:r>
              <w:rPr>
                <w:rFonts w:ascii="Calibri" w:hAnsi="Calibri" w:cs="Calibri"/>
              </w:rPr>
              <w:t>[data set], (Canberra</w:t>
            </w:r>
            <w:r w:rsidR="00D56C32">
              <w:rPr>
                <w:rFonts w:ascii="Calibri" w:hAnsi="Calibri" w:cs="Calibri"/>
              </w:rPr>
              <w:t>)</w:t>
            </w:r>
            <w:r w:rsidR="00CC3245">
              <w:rPr>
                <w:rFonts w:ascii="Calibri" w:hAnsi="Calibri" w:cs="Calibri"/>
              </w:rPr>
              <w:t>,</w:t>
            </w:r>
            <w:r w:rsidR="00D56C32">
              <w:rPr>
                <w:rFonts w:ascii="Calibri" w:hAnsi="Calibri" w:cs="Calibri"/>
              </w:rPr>
              <w:t xml:space="preserve"> published 25 August</w:t>
            </w:r>
            <w:r>
              <w:rPr>
                <w:rFonts w:ascii="Calibri" w:hAnsi="Calibri" w:cs="Calibri"/>
              </w:rPr>
              <w:t xml:space="preserve"> 2023, </w:t>
            </w:r>
            <w:hyperlink r:id="rId210" w:history="1">
              <w:r w:rsidRPr="00B13F7F">
                <w:rPr>
                  <w:rStyle w:val="Hyperlink"/>
                  <w:rFonts w:ascii="Calibri" w:hAnsi="Calibri" w:cs="Calibri"/>
                </w:rPr>
                <w:t>www.abs.gov.au/</w:t>
              </w:r>
              <w:r w:rsidR="00D56C32" w:rsidRPr="00B13F7F">
                <w:rPr>
                  <w:rStyle w:val="Hyperlink"/>
                  <w:rFonts w:ascii="Calibri" w:hAnsi="Calibri" w:cs="Calibri"/>
                </w:rPr>
                <w:t>statistics/</w:t>
              </w:r>
              <w:r w:rsidR="00375CB0" w:rsidRPr="00B13F7F">
                <w:rPr>
                  <w:rStyle w:val="Hyperlink"/>
                  <w:rFonts w:ascii="Calibri" w:hAnsi="Calibri" w:cs="Calibri"/>
                </w:rPr>
                <w:br/>
              </w:r>
              <w:r w:rsidR="00D56C32" w:rsidRPr="00B13F7F">
                <w:rPr>
                  <w:rStyle w:val="Hyperlink"/>
                  <w:rFonts w:ascii="Calibri" w:hAnsi="Calibri" w:cs="Calibri"/>
                </w:rPr>
                <w:t>industry</w:t>
              </w:r>
              <w:r w:rsidR="00910DE9" w:rsidRPr="00B13F7F">
                <w:rPr>
                  <w:rStyle w:val="Hyperlink"/>
                  <w:rFonts w:ascii="Calibri" w:hAnsi="Calibri" w:cs="Calibri"/>
                </w:rPr>
                <w:t>‌</w:t>
              </w:r>
              <w:r w:rsidR="00D56C32" w:rsidRPr="00B13F7F">
                <w:rPr>
                  <w:rStyle w:val="Hyperlink"/>
                  <w:rFonts w:ascii="Calibri" w:hAnsi="Calibri" w:cs="Calibri"/>
                </w:rPr>
                <w:t>/</w:t>
              </w:r>
              <w:r w:rsidR="00910DE9" w:rsidRPr="00B13F7F">
                <w:rPr>
                  <w:rStyle w:val="Hyperlink"/>
                  <w:rFonts w:ascii="Calibri" w:hAnsi="Calibri" w:cs="Calibri"/>
                </w:rPr>
                <w:t>‌</w:t>
              </w:r>
              <w:r w:rsidR="00D56C32" w:rsidRPr="00B13F7F">
                <w:rPr>
                  <w:rStyle w:val="Hyperlink"/>
                  <w:rFonts w:ascii="Calibri" w:hAnsi="Calibri" w:cs="Calibri"/>
                </w:rPr>
                <w:t>technology-and-innovation/research-and-experimental-development-businesses-australia/latest-release</w:t>
              </w:r>
            </w:hyperlink>
            <w:r w:rsidR="00B13F7F">
              <w:rPr>
                <w:rFonts w:ascii="Calibri" w:hAnsi="Calibri" w:cs="Calibri"/>
              </w:rPr>
              <w:t xml:space="preserve">. </w:t>
            </w:r>
          </w:p>
        </w:tc>
      </w:tr>
      <w:tr w:rsidR="002D6F5F" w:rsidRPr="002D6F5F" w14:paraId="3893935C" w14:textId="77777777" w:rsidTr="001B1DB2">
        <w:tc>
          <w:tcPr>
            <w:tcW w:w="9026" w:type="dxa"/>
            <w:vAlign w:val="bottom"/>
            <w:hideMark/>
          </w:tcPr>
          <w:p w14:paraId="7EE1D41F" w14:textId="0C0A7107" w:rsidR="002D6F5F" w:rsidRPr="002D6F5F" w:rsidRDefault="002D6F5F" w:rsidP="0077616C">
            <w:pPr>
              <w:rPr>
                <w:rFonts w:cs="Arial"/>
              </w:rPr>
            </w:pPr>
            <w:r>
              <w:rPr>
                <w:rFonts w:ascii="Calibri" w:hAnsi="Calibri" w:cs="Calibri"/>
              </w:rPr>
              <w:t>Australian Bureau of Statistics</w:t>
            </w:r>
            <w:r w:rsidR="00D56C32">
              <w:rPr>
                <w:rFonts w:ascii="Calibri" w:hAnsi="Calibri" w:cs="Calibri"/>
              </w:rPr>
              <w:t xml:space="preserve">. </w:t>
            </w:r>
            <w:r w:rsidR="00D56C32">
              <w:rPr>
                <w:rFonts w:ascii="Calibri" w:hAnsi="Calibri" w:cs="Calibri"/>
                <w:i/>
                <w:iCs/>
              </w:rPr>
              <w:t>Research</w:t>
            </w:r>
            <w:r>
              <w:rPr>
                <w:rFonts w:ascii="Calibri" w:hAnsi="Calibri" w:cs="Calibri"/>
                <w:i/>
              </w:rPr>
              <w:t xml:space="preserve"> and </w:t>
            </w:r>
            <w:r w:rsidR="00D56C32">
              <w:rPr>
                <w:rFonts w:ascii="Calibri" w:hAnsi="Calibri" w:cs="Calibri"/>
                <w:i/>
                <w:iCs/>
              </w:rPr>
              <w:t>Experimental Development, Government and Private Non-Profit Organisations, Australia</w:t>
            </w:r>
            <w:r w:rsidR="00CB27C1">
              <w:rPr>
                <w:rFonts w:ascii="Calibri" w:hAnsi="Calibri" w:cs="Calibri"/>
                <w:i/>
                <w:iCs/>
              </w:rPr>
              <w:t>, 2020</w:t>
            </w:r>
            <w:r w:rsidR="00CB27C1">
              <w:rPr>
                <w:rFonts w:ascii="Symbol" w:eastAsia="Symbol" w:hAnsi="Symbol" w:cs="Symbol"/>
                <w:i/>
                <w:iCs/>
              </w:rPr>
              <w:t>-</w:t>
            </w:r>
            <w:r w:rsidR="00CB27C1">
              <w:rPr>
                <w:rFonts w:ascii="Calibri" w:hAnsi="Calibri" w:cs="Calibri"/>
                <w:i/>
                <w:iCs/>
              </w:rPr>
              <w:t>21</w:t>
            </w:r>
            <w:r w:rsidR="00D56C32">
              <w:rPr>
                <w:rFonts w:ascii="Calibri" w:hAnsi="Calibri" w:cs="Calibri"/>
                <w:i/>
                <w:iCs/>
              </w:rPr>
              <w:t xml:space="preserve"> </w:t>
            </w:r>
            <w:r>
              <w:rPr>
                <w:rFonts w:ascii="Calibri" w:hAnsi="Calibri" w:cs="Calibri"/>
              </w:rPr>
              <w:t>[data set], (Canberra:</w:t>
            </w:r>
            <w:r w:rsidR="00CB27C1">
              <w:rPr>
                <w:rFonts w:ascii="Calibri" w:hAnsi="Calibri" w:cs="Calibri"/>
              </w:rPr>
              <w:t xml:space="preserve"> </w:t>
            </w:r>
            <w:r w:rsidR="00D56C32">
              <w:rPr>
                <w:rFonts w:ascii="Calibri" w:hAnsi="Calibri" w:cs="Calibri"/>
              </w:rPr>
              <w:t>2022), accessed 8 December</w:t>
            </w:r>
            <w:r>
              <w:rPr>
                <w:rFonts w:ascii="Calibri" w:hAnsi="Calibri" w:cs="Calibri"/>
              </w:rPr>
              <w:t xml:space="preserve"> 2023</w:t>
            </w:r>
            <w:r w:rsidR="00D56C32">
              <w:rPr>
                <w:rFonts w:ascii="Calibri" w:hAnsi="Calibri" w:cs="Calibri"/>
              </w:rPr>
              <w:t xml:space="preserve">, </w:t>
            </w:r>
            <w:hyperlink r:id="rId211" w:history="1">
              <w:r w:rsidR="00841281" w:rsidRPr="00A8752B">
                <w:rPr>
                  <w:rStyle w:val="Hyperlink"/>
                  <w:rFonts w:ascii="Calibri" w:hAnsi="Calibri" w:cs="Calibri"/>
                </w:rPr>
                <w:t>www.abs.gov.au/statistics/industry/technology-and-innovation/research-and-experimental-development-government-and-private-non-profit-organisations-australia/2020-21</w:t>
              </w:r>
            </w:hyperlink>
            <w:r w:rsidR="00B13F7F">
              <w:rPr>
                <w:rFonts w:ascii="Calibri" w:hAnsi="Calibri" w:cs="Calibri"/>
              </w:rPr>
              <w:t xml:space="preserve">. </w:t>
            </w:r>
          </w:p>
        </w:tc>
      </w:tr>
      <w:tr w:rsidR="002D6F5F" w:rsidRPr="002D6F5F" w14:paraId="7586708F" w14:textId="77777777" w:rsidTr="001B1DB2">
        <w:tc>
          <w:tcPr>
            <w:tcW w:w="9026" w:type="dxa"/>
            <w:vAlign w:val="bottom"/>
            <w:hideMark/>
          </w:tcPr>
          <w:p w14:paraId="1089120F" w14:textId="0F962D55" w:rsidR="002D6F5F" w:rsidRPr="002D6F5F" w:rsidRDefault="00D56C32" w:rsidP="0077616C">
            <w:pPr>
              <w:rPr>
                <w:rFonts w:cs="Arial"/>
              </w:rPr>
            </w:pPr>
            <w:r>
              <w:rPr>
                <w:rFonts w:ascii="Calibri" w:hAnsi="Calibri" w:cs="Calibri"/>
              </w:rPr>
              <w:t xml:space="preserve">Australian Bureau of Statistics. </w:t>
            </w:r>
            <w:r>
              <w:rPr>
                <w:rFonts w:ascii="Calibri" w:hAnsi="Calibri" w:cs="Calibri"/>
                <w:i/>
                <w:iCs/>
              </w:rPr>
              <w:t>Research and Experimental Development, Higher Education Organisations, Australia</w:t>
            </w:r>
            <w:r>
              <w:rPr>
                <w:rFonts w:ascii="Calibri" w:hAnsi="Calibri" w:cs="Calibri"/>
              </w:rPr>
              <w:t xml:space="preserve"> [data set], (Canberra: 2022), published 25 August 2023 </w:t>
            </w:r>
            <w:hyperlink r:id="rId212" w:history="1">
              <w:r w:rsidR="00841281" w:rsidRPr="00A8752B">
                <w:rPr>
                  <w:rStyle w:val="Hyperlink"/>
                  <w:rFonts w:ascii="Calibri" w:hAnsi="Calibri" w:cs="Calibri"/>
                </w:rPr>
                <w:t>www.abs.gov.au/statistics/industry/technology-and-innovation/research-and-experimental-development-higher-education-organisations-australia/latest-release</w:t>
              </w:r>
            </w:hyperlink>
            <w:r w:rsidR="00B13F7F">
              <w:rPr>
                <w:rFonts w:ascii="Calibri" w:hAnsi="Calibri" w:cs="Calibri"/>
              </w:rPr>
              <w:t xml:space="preserve">. </w:t>
            </w:r>
          </w:p>
        </w:tc>
      </w:tr>
      <w:tr w:rsidR="002D6F5F" w:rsidRPr="002D6F5F" w14:paraId="29185C13" w14:textId="77777777" w:rsidTr="001B1DB2">
        <w:tc>
          <w:tcPr>
            <w:tcW w:w="9026" w:type="dxa"/>
            <w:vAlign w:val="center"/>
            <w:hideMark/>
          </w:tcPr>
          <w:p w14:paraId="4199171C" w14:textId="773F6D81" w:rsidR="002D6F5F" w:rsidRPr="002D6F5F" w:rsidRDefault="00D56C32" w:rsidP="0077616C">
            <w:pPr>
              <w:rPr>
                <w:rFonts w:cs="Arial"/>
              </w:rPr>
            </w:pPr>
            <w:r>
              <w:rPr>
                <w:rFonts w:ascii="Calibri" w:hAnsi="Calibri" w:cs="Calibri"/>
              </w:rPr>
              <w:t xml:space="preserve">Australian Chamber of Commerce and Industry. </w:t>
            </w:r>
            <w:r>
              <w:rPr>
                <w:rFonts w:ascii="Calibri" w:hAnsi="Calibri" w:cs="Calibri"/>
                <w:i/>
                <w:iCs/>
              </w:rPr>
              <w:t>Submission to the Accord Interim Report</w:t>
            </w:r>
            <w:r>
              <w:rPr>
                <w:rFonts w:ascii="Calibri" w:hAnsi="Calibri" w:cs="Calibri"/>
              </w:rPr>
              <w:t xml:space="preserve">, 2023, </w:t>
            </w:r>
            <w:hyperlink r:id="rId213" w:history="1">
              <w:r w:rsidR="00841281" w:rsidRPr="00A8752B">
                <w:rPr>
                  <w:rStyle w:val="Hyperlink"/>
                  <w:rFonts w:ascii="Calibri" w:hAnsi="Calibri" w:cs="Calibri"/>
                </w:rPr>
                <w:t>www.education.gov.au/system/files/2023-09/AUA_inter_tranche9a_192%20Australian%20Chamber%20of%20Commerce%20and%20Industry.pdf</w:t>
              </w:r>
            </w:hyperlink>
            <w:r w:rsidR="00B13F7F">
              <w:rPr>
                <w:rFonts w:ascii="Calibri" w:hAnsi="Calibri" w:cs="Calibri"/>
              </w:rPr>
              <w:t xml:space="preserve">. </w:t>
            </w:r>
          </w:p>
        </w:tc>
      </w:tr>
      <w:tr w:rsidR="002D6F5F" w:rsidRPr="002D6F5F" w14:paraId="241F4132" w14:textId="77777777" w:rsidTr="001B1DB2">
        <w:tc>
          <w:tcPr>
            <w:tcW w:w="9026" w:type="dxa"/>
            <w:vAlign w:val="bottom"/>
            <w:hideMark/>
          </w:tcPr>
          <w:p w14:paraId="269102A5" w14:textId="59438072" w:rsidR="002D6F5F" w:rsidRPr="002D6F5F" w:rsidRDefault="00D56C32" w:rsidP="0077616C">
            <w:pPr>
              <w:rPr>
                <w:rFonts w:cs="Arial"/>
              </w:rPr>
            </w:pPr>
            <w:r>
              <w:rPr>
                <w:rFonts w:ascii="Calibri" w:hAnsi="Calibri" w:cs="Calibri"/>
              </w:rPr>
              <w:t xml:space="preserve">Australian Children’s Education &amp; Care Quality Authority (ACECQA). “National Quality Framework,” ACECQA, accessed 12 December 2023, </w:t>
            </w:r>
            <w:hyperlink r:id="rId214" w:history="1">
              <w:r w:rsidR="00841281" w:rsidRPr="00A8752B">
                <w:rPr>
                  <w:rStyle w:val="Hyperlink"/>
                  <w:rFonts w:ascii="Calibri" w:hAnsi="Calibri" w:cs="Calibri"/>
                </w:rPr>
                <w:t>www.acecqa.gov.au/national-quality-framework</w:t>
              </w:r>
            </w:hyperlink>
            <w:r w:rsidR="00B13F7F">
              <w:rPr>
                <w:rFonts w:ascii="Calibri" w:hAnsi="Calibri" w:cs="Calibri"/>
              </w:rPr>
              <w:t xml:space="preserve">. </w:t>
            </w:r>
          </w:p>
        </w:tc>
      </w:tr>
      <w:tr w:rsidR="002D6F5F" w:rsidRPr="002D6F5F" w14:paraId="60D7C946" w14:textId="77777777" w:rsidTr="001B1DB2">
        <w:tc>
          <w:tcPr>
            <w:tcW w:w="9026" w:type="dxa"/>
            <w:vAlign w:val="bottom"/>
            <w:hideMark/>
          </w:tcPr>
          <w:p w14:paraId="5E14D90E" w14:textId="27B43B5D" w:rsidR="002D6F5F" w:rsidRPr="002D6F5F" w:rsidRDefault="00D56C32" w:rsidP="0077616C">
            <w:pPr>
              <w:rPr>
                <w:rFonts w:cs="Arial"/>
              </w:rPr>
            </w:pPr>
            <w:r>
              <w:rPr>
                <w:rFonts w:ascii="Calibri" w:hAnsi="Calibri" w:cs="Calibri"/>
              </w:rPr>
              <w:t xml:space="preserve">Australian Computer Society. “ACS </w:t>
            </w:r>
            <w:proofErr w:type="spellStart"/>
            <w:r>
              <w:rPr>
                <w:rFonts w:ascii="Calibri" w:hAnsi="Calibri" w:cs="Calibri"/>
              </w:rPr>
              <w:t>microCredentials</w:t>
            </w:r>
            <w:proofErr w:type="spellEnd"/>
            <w:r>
              <w:rPr>
                <w:rFonts w:ascii="Calibri" w:hAnsi="Calibri" w:cs="Calibri"/>
              </w:rPr>
              <w:t xml:space="preserve">, accessed 10 December 2023, </w:t>
            </w:r>
            <w:hyperlink r:id="rId215" w:history="1">
              <w:r w:rsidR="00841281" w:rsidRPr="00A8752B">
                <w:rPr>
                  <w:rStyle w:val="Hyperlink"/>
                  <w:rFonts w:ascii="Calibri" w:hAnsi="Calibri" w:cs="Calibri"/>
                </w:rPr>
                <w:t>www.acs.org.au/professionalrecognition/microcredentials-home.html</w:t>
              </w:r>
            </w:hyperlink>
            <w:r w:rsidR="00B13F7F">
              <w:rPr>
                <w:rFonts w:ascii="Calibri" w:hAnsi="Calibri" w:cs="Calibri"/>
              </w:rPr>
              <w:t xml:space="preserve">. </w:t>
            </w:r>
          </w:p>
        </w:tc>
      </w:tr>
      <w:tr w:rsidR="002D6F5F" w:rsidRPr="002D6F5F" w14:paraId="39A0F0FD" w14:textId="77777777" w:rsidTr="001B1DB2">
        <w:tc>
          <w:tcPr>
            <w:tcW w:w="9026" w:type="dxa"/>
            <w:vAlign w:val="bottom"/>
            <w:hideMark/>
          </w:tcPr>
          <w:p w14:paraId="51515E71" w14:textId="26D4C280" w:rsidR="002D6F5F" w:rsidRPr="002D6F5F" w:rsidRDefault="00D56C32" w:rsidP="0077616C">
            <w:pPr>
              <w:rPr>
                <w:rFonts w:cs="Arial"/>
              </w:rPr>
            </w:pPr>
            <w:r>
              <w:rPr>
                <w:rFonts w:ascii="Calibri" w:hAnsi="Calibri" w:cs="Calibri"/>
              </w:rPr>
              <w:t xml:space="preserve">Australian Council of Engineering Deans. </w:t>
            </w:r>
            <w:r>
              <w:rPr>
                <w:rFonts w:ascii="Calibri" w:hAnsi="Calibri" w:cs="Calibri"/>
                <w:i/>
                <w:iCs/>
              </w:rPr>
              <w:t>Position Statement: Mathematics Requirements for Engineering Education,</w:t>
            </w:r>
            <w:r>
              <w:rPr>
                <w:rFonts w:ascii="Calibri" w:hAnsi="Calibri" w:cs="Calibri"/>
              </w:rPr>
              <w:t xml:space="preserve"> (February 2019) 1, </w:t>
            </w:r>
            <w:hyperlink r:id="rId216" w:history="1">
              <w:r w:rsidR="00841281" w:rsidRPr="00A8752B">
                <w:rPr>
                  <w:rStyle w:val="Hyperlink"/>
                  <w:rFonts w:ascii="Calibri" w:hAnsi="Calibri" w:cs="Calibri"/>
                </w:rPr>
                <w:t>www.aced.edu.au/downloads/POSITION%20STATEMENT%20No%205%20Mathematics%20Requirements%20for%20Engineering%20Degrees.pdf</w:t>
              </w:r>
            </w:hyperlink>
            <w:r w:rsidR="00B13F7F">
              <w:rPr>
                <w:rFonts w:ascii="Calibri" w:hAnsi="Calibri" w:cs="Calibri"/>
              </w:rPr>
              <w:t xml:space="preserve">. </w:t>
            </w:r>
          </w:p>
        </w:tc>
      </w:tr>
      <w:tr w:rsidR="002D6F5F" w:rsidRPr="002D6F5F" w14:paraId="255E06D4" w14:textId="77777777" w:rsidTr="001B1DB2">
        <w:tc>
          <w:tcPr>
            <w:tcW w:w="9026" w:type="dxa"/>
            <w:vAlign w:val="center"/>
            <w:hideMark/>
          </w:tcPr>
          <w:p w14:paraId="6E49EEE0" w14:textId="6CF2C26E" w:rsidR="002D6F5F" w:rsidRPr="002D6F5F" w:rsidRDefault="00D56C32" w:rsidP="0077616C">
            <w:pPr>
              <w:rPr>
                <w:rFonts w:cs="Arial"/>
              </w:rPr>
            </w:pPr>
            <w:r>
              <w:rPr>
                <w:rFonts w:ascii="Calibri" w:hAnsi="Calibri" w:cs="Calibri"/>
              </w:rPr>
              <w:lastRenderedPageBreak/>
              <w:t xml:space="preserve">Australian Industry Group. </w:t>
            </w:r>
            <w:r>
              <w:rPr>
                <w:rFonts w:ascii="Calibri" w:hAnsi="Calibri" w:cs="Calibri"/>
                <w:i/>
                <w:iCs/>
              </w:rPr>
              <w:t>Submission to the Accord Interim Report</w:t>
            </w:r>
            <w:r>
              <w:rPr>
                <w:rFonts w:ascii="Calibri" w:hAnsi="Calibri" w:cs="Calibri"/>
              </w:rPr>
              <w:t xml:space="preserve">, 2023, </w:t>
            </w:r>
            <w:hyperlink r:id="rId217" w:history="1">
              <w:r w:rsidR="00841281" w:rsidRPr="00A8752B">
                <w:rPr>
                  <w:rStyle w:val="Hyperlink"/>
                  <w:rFonts w:ascii="Calibri" w:hAnsi="Calibri" w:cs="Calibri"/>
                </w:rPr>
                <w:t>www.education.gov.au/system/files/2023-09/AUA_inter_tranche7_157%20Australian%20Industry%20Group.pdf</w:t>
              </w:r>
            </w:hyperlink>
            <w:r w:rsidR="00841281">
              <w:rPr>
                <w:rFonts w:ascii="Calibri" w:hAnsi="Calibri" w:cs="Calibri"/>
              </w:rPr>
              <w:t xml:space="preserve">. </w:t>
            </w:r>
          </w:p>
        </w:tc>
      </w:tr>
      <w:tr w:rsidR="002D6F5F" w:rsidRPr="002D6F5F" w14:paraId="54EF810A" w14:textId="77777777" w:rsidTr="001B1DB2">
        <w:tc>
          <w:tcPr>
            <w:tcW w:w="9026" w:type="dxa"/>
            <w:vAlign w:val="bottom"/>
            <w:hideMark/>
          </w:tcPr>
          <w:p w14:paraId="2338CBCF" w14:textId="4754F113" w:rsidR="002D6F5F" w:rsidRPr="002D6F5F" w:rsidRDefault="00D56C32" w:rsidP="0077616C">
            <w:pPr>
              <w:rPr>
                <w:rFonts w:cs="Arial"/>
              </w:rPr>
            </w:pPr>
            <w:r>
              <w:rPr>
                <w:rFonts w:ascii="Calibri" w:hAnsi="Calibri" w:cs="Calibri"/>
              </w:rPr>
              <w:t xml:space="preserve">Australian Industry Group. </w:t>
            </w:r>
            <w:r>
              <w:rPr>
                <w:rFonts w:ascii="Calibri" w:hAnsi="Calibri" w:cs="Calibri"/>
                <w:i/>
                <w:iCs/>
              </w:rPr>
              <w:t>Submission to the Australian Universities Accord Interim Report</w:t>
            </w:r>
            <w:r>
              <w:rPr>
                <w:rFonts w:ascii="Calibri" w:hAnsi="Calibri" w:cs="Calibri"/>
              </w:rPr>
              <w:t xml:space="preserve">, 2023, 14, </w:t>
            </w:r>
            <w:hyperlink r:id="rId218" w:history="1">
              <w:r w:rsidR="00841281" w:rsidRPr="00A8752B">
                <w:rPr>
                  <w:rStyle w:val="Hyperlink"/>
                  <w:rFonts w:ascii="Calibri" w:hAnsi="Calibri" w:cs="Calibri"/>
                </w:rPr>
                <w:t>www.education.gov.au/australian-universities-accord/consultations/consultation-accord-interim-report/submission/16952</w:t>
              </w:r>
            </w:hyperlink>
            <w:r w:rsidR="00841281">
              <w:rPr>
                <w:rFonts w:ascii="Calibri" w:hAnsi="Calibri" w:cs="Calibri"/>
              </w:rPr>
              <w:t xml:space="preserve">. </w:t>
            </w:r>
          </w:p>
        </w:tc>
      </w:tr>
      <w:tr w:rsidR="002D6F5F" w:rsidRPr="002D6F5F" w14:paraId="54A8F10A" w14:textId="77777777" w:rsidTr="001B1DB2">
        <w:tc>
          <w:tcPr>
            <w:tcW w:w="9026" w:type="dxa"/>
            <w:vAlign w:val="bottom"/>
            <w:hideMark/>
          </w:tcPr>
          <w:p w14:paraId="0336495C" w14:textId="63B086B2" w:rsidR="002D6F5F" w:rsidRPr="002D6F5F" w:rsidRDefault="00D56C32" w:rsidP="0077616C">
            <w:pPr>
              <w:rPr>
                <w:rFonts w:cs="Arial"/>
              </w:rPr>
            </w:pPr>
            <w:r>
              <w:rPr>
                <w:rFonts w:ascii="Calibri" w:hAnsi="Calibri" w:cstheme="minorHAnsi"/>
              </w:rPr>
              <w:t xml:space="preserve">Australian Institute for Teaching and School Leadership. </w:t>
            </w:r>
            <w:r>
              <w:rPr>
                <w:rFonts w:ascii="Calibri" w:hAnsi="Calibri" w:cs="Calibri"/>
                <w:i/>
                <w:iCs/>
              </w:rPr>
              <w:t>Australian Teacher Workforce Data National Trends: Teacher Workforce</w:t>
            </w:r>
            <w:r>
              <w:rPr>
                <w:rFonts w:ascii="Calibri" w:hAnsi="Calibri" w:cs="Calibri"/>
              </w:rPr>
              <w:t xml:space="preserve">, (Melbourne: June 2023), </w:t>
            </w:r>
            <w:hyperlink r:id="rId219" w:history="1">
              <w:r w:rsidR="00841281" w:rsidRPr="00A8752B">
                <w:rPr>
                  <w:rStyle w:val="Hyperlink"/>
                  <w:rFonts w:ascii="Calibri" w:hAnsi="Calibri" w:cs="Calibri"/>
                </w:rPr>
                <w:t>www.aitsl.edu.au/research/australian-teacher-workforce-data/atwdreports/national-trends-teacher-workforce</w:t>
              </w:r>
            </w:hyperlink>
            <w:r w:rsidR="00841281">
              <w:rPr>
                <w:rFonts w:ascii="Calibri" w:hAnsi="Calibri" w:cs="Calibri"/>
              </w:rPr>
              <w:t xml:space="preserve">. </w:t>
            </w:r>
          </w:p>
        </w:tc>
      </w:tr>
      <w:tr w:rsidR="002D6F5F" w:rsidRPr="002D6F5F" w14:paraId="11A4DE11" w14:textId="77777777" w:rsidTr="001B1DB2">
        <w:tc>
          <w:tcPr>
            <w:tcW w:w="9026" w:type="dxa"/>
            <w:vAlign w:val="bottom"/>
            <w:hideMark/>
          </w:tcPr>
          <w:p w14:paraId="7033E353" w14:textId="743E5F2F" w:rsidR="002D6F5F" w:rsidRPr="002D6F5F" w:rsidRDefault="00D56C32" w:rsidP="0077616C">
            <w:pPr>
              <w:rPr>
                <w:rFonts w:cs="Arial"/>
              </w:rPr>
            </w:pPr>
            <w:r>
              <w:rPr>
                <w:rFonts w:ascii="Calibri" w:hAnsi="Calibri" w:cs="Calibri"/>
              </w:rPr>
              <w:t>Australian Partnership for Preparedness Research on Infectious Disease Emergencies (APPRISE). “First Nations-led projects funded for COVID-19 research,” APPRISE website, accessed 11 November 2023,</w:t>
            </w:r>
            <w:r w:rsidR="00841281">
              <w:rPr>
                <w:rFonts w:ascii="Calibri" w:hAnsi="Calibri" w:cs="Calibri"/>
              </w:rPr>
              <w:t xml:space="preserve"> </w:t>
            </w:r>
            <w:hyperlink r:id="rId220" w:history="1">
              <w:r w:rsidR="00841281" w:rsidRPr="00A8752B">
                <w:rPr>
                  <w:rStyle w:val="Hyperlink"/>
                  <w:rFonts w:ascii="Calibri" w:hAnsi="Calibri" w:cs="Calibri"/>
                </w:rPr>
                <w:t>www.apprise.org.au/project/first-nations-led-projects-funded-for-covid-19-research/</w:t>
              </w:r>
            </w:hyperlink>
            <w:r w:rsidR="00841281">
              <w:rPr>
                <w:rFonts w:ascii="Calibri" w:hAnsi="Calibri" w:cs="Calibri"/>
              </w:rPr>
              <w:t xml:space="preserve">. </w:t>
            </w:r>
          </w:p>
        </w:tc>
      </w:tr>
      <w:tr w:rsidR="002D6F5F" w:rsidRPr="002D6F5F" w14:paraId="68E8F7C0" w14:textId="77777777" w:rsidTr="001B1DB2">
        <w:tc>
          <w:tcPr>
            <w:tcW w:w="9026" w:type="dxa"/>
            <w:vAlign w:val="bottom"/>
            <w:hideMark/>
          </w:tcPr>
          <w:p w14:paraId="7CE7EFD7" w14:textId="7D4ECE54" w:rsidR="002D6F5F" w:rsidRPr="002D6F5F" w:rsidRDefault="00D56C32" w:rsidP="0077616C">
            <w:pPr>
              <w:rPr>
                <w:rFonts w:cs="Arial"/>
              </w:rPr>
            </w:pPr>
            <w:r>
              <w:rPr>
                <w:rFonts w:ascii="Calibri" w:hAnsi="Calibri" w:cs="Calibri"/>
              </w:rPr>
              <w:t xml:space="preserve">Australian Qualifications Framework. “What is the AQF,” accessed 10 November 2023, </w:t>
            </w:r>
            <w:hyperlink r:id="rId221" w:history="1">
              <w:r w:rsidR="00841281" w:rsidRPr="00A8752B">
                <w:rPr>
                  <w:rStyle w:val="Hyperlink"/>
                  <w:rFonts w:ascii="Calibri" w:hAnsi="Calibri" w:cs="Calibri"/>
                </w:rPr>
                <w:t>https://www.aqf.edu.au/about/what-aqf</w:t>
              </w:r>
            </w:hyperlink>
            <w:r w:rsidR="00841281">
              <w:rPr>
                <w:rFonts w:ascii="Calibri" w:hAnsi="Calibri" w:cs="Calibri"/>
              </w:rPr>
              <w:t xml:space="preserve">. </w:t>
            </w:r>
          </w:p>
        </w:tc>
      </w:tr>
      <w:tr w:rsidR="002D6F5F" w:rsidRPr="002D6F5F" w14:paraId="4F548B2E" w14:textId="77777777" w:rsidTr="001B1DB2">
        <w:tc>
          <w:tcPr>
            <w:tcW w:w="9026" w:type="dxa"/>
            <w:vAlign w:val="bottom"/>
            <w:hideMark/>
          </w:tcPr>
          <w:p w14:paraId="4C756946" w14:textId="52B821AF" w:rsidR="002D6F5F" w:rsidRPr="002D6F5F" w:rsidRDefault="00D56C32" w:rsidP="0077616C">
            <w:pPr>
              <w:rPr>
                <w:rFonts w:cs="Arial"/>
              </w:rPr>
            </w:pPr>
            <w:r>
              <w:rPr>
                <w:rFonts w:ascii="Calibri" w:hAnsi="Calibri" w:cs="Calibri"/>
                <w:szCs w:val="16"/>
              </w:rPr>
              <w:t xml:space="preserve">Australian Research Council. </w:t>
            </w:r>
            <w:r>
              <w:rPr>
                <w:rFonts w:ascii="Calibri" w:hAnsi="Calibri" w:cs="Calibri"/>
                <w:i/>
                <w:iCs/>
              </w:rPr>
              <w:t>ARC at a Glance,</w:t>
            </w:r>
            <w:r>
              <w:rPr>
                <w:rFonts w:ascii="Calibri" w:hAnsi="Calibri" w:cs="Calibri"/>
              </w:rPr>
              <w:t xml:space="preserve"> (Canberra: Australian Research Council, June 2023), 2, </w:t>
            </w:r>
            <w:hyperlink r:id="rId222" w:history="1">
              <w:r w:rsidR="00841281" w:rsidRPr="00A8752B">
                <w:rPr>
                  <w:rStyle w:val="Hyperlink"/>
                  <w:rFonts w:ascii="Calibri" w:hAnsi="Calibri" w:cs="Calibri"/>
                </w:rPr>
                <w:t>www.arc.gov.au/sites/default/files/2023-06/ARC%20at%20a%20Glance%20-%20June%202023%20v4_double-page.pdf</w:t>
              </w:r>
            </w:hyperlink>
            <w:r w:rsidR="00841281">
              <w:rPr>
                <w:rFonts w:ascii="Calibri" w:hAnsi="Calibri" w:cs="Calibri"/>
              </w:rPr>
              <w:t xml:space="preserve">. </w:t>
            </w:r>
          </w:p>
        </w:tc>
      </w:tr>
      <w:tr w:rsidR="002D6F5F" w:rsidRPr="002D6F5F" w14:paraId="4820604B" w14:textId="77777777" w:rsidTr="001B1DB2">
        <w:tc>
          <w:tcPr>
            <w:tcW w:w="9026" w:type="dxa"/>
            <w:vAlign w:val="bottom"/>
            <w:hideMark/>
          </w:tcPr>
          <w:p w14:paraId="796C3B00" w14:textId="0610C1CB" w:rsidR="002D6F5F" w:rsidRPr="002D6F5F" w:rsidRDefault="00D56C32" w:rsidP="0077616C">
            <w:pPr>
              <w:rPr>
                <w:rFonts w:cs="Arial"/>
              </w:rPr>
            </w:pPr>
            <w:r>
              <w:rPr>
                <w:rFonts w:ascii="Calibri" w:hAnsi="Calibri" w:cs="Calibri"/>
              </w:rPr>
              <w:t xml:space="preserve">Australian Research Council. </w:t>
            </w:r>
            <w:r>
              <w:rPr>
                <w:rFonts w:ascii="Calibri" w:hAnsi="Calibri" w:cs="Calibri"/>
                <w:i/>
                <w:iCs/>
              </w:rPr>
              <w:t>ERA EI Review: Final Report 2020–2021</w:t>
            </w:r>
            <w:r>
              <w:rPr>
                <w:rFonts w:ascii="Calibri" w:hAnsi="Calibri" w:cs="Calibri"/>
              </w:rPr>
              <w:t xml:space="preserve"> (Canberra: Australian Research Council, 2021)</w:t>
            </w:r>
            <w:r w:rsidR="00110241">
              <w:rPr>
                <w:rFonts w:ascii="Calibri" w:hAnsi="Calibri" w:cs="Calibri"/>
              </w:rPr>
              <w:t>,</w:t>
            </w:r>
            <w:r>
              <w:rPr>
                <w:rFonts w:ascii="Calibri" w:hAnsi="Calibri" w:cs="Calibri"/>
              </w:rPr>
              <w:t xml:space="preserve"> </w:t>
            </w:r>
            <w:hyperlink r:id="rId223" w:history="1">
              <w:r w:rsidR="00841281" w:rsidRPr="00A8752B">
                <w:rPr>
                  <w:rStyle w:val="Hyperlink"/>
                  <w:rFonts w:ascii="Calibri" w:hAnsi="Calibri" w:cs="Calibri"/>
                </w:rPr>
                <w:t>www.arc.gov.au/sites/default/files/era_ei_ac_report.pdf</w:t>
              </w:r>
            </w:hyperlink>
            <w:r w:rsidR="00841281">
              <w:rPr>
                <w:rFonts w:ascii="Calibri" w:hAnsi="Calibri" w:cs="Calibri"/>
              </w:rPr>
              <w:t xml:space="preserve">. </w:t>
            </w:r>
          </w:p>
        </w:tc>
      </w:tr>
      <w:tr w:rsidR="002D6F5F" w:rsidRPr="002D6F5F" w14:paraId="2C74F076" w14:textId="77777777" w:rsidTr="001B1DB2">
        <w:tc>
          <w:tcPr>
            <w:tcW w:w="9026" w:type="dxa"/>
            <w:vAlign w:val="bottom"/>
            <w:hideMark/>
          </w:tcPr>
          <w:p w14:paraId="1D1AE94D" w14:textId="3300A2FF" w:rsidR="002D6F5F" w:rsidRPr="002D6F5F" w:rsidRDefault="00D56C32" w:rsidP="0077616C">
            <w:pPr>
              <w:rPr>
                <w:rFonts w:cs="Arial"/>
              </w:rPr>
            </w:pPr>
            <w:r>
              <w:rPr>
                <w:rFonts w:ascii="Calibri" w:hAnsi="Calibri" w:cs="Calibri"/>
              </w:rPr>
              <w:t xml:space="preserve">Australian Research Council. </w:t>
            </w:r>
            <w:r>
              <w:rPr>
                <w:rFonts w:ascii="Calibri" w:hAnsi="Calibri" w:cs="Calibri"/>
                <w:i/>
                <w:iCs/>
              </w:rPr>
              <w:t>Evaluation of the Discovery Projects Scheme: Final Report</w:t>
            </w:r>
            <w:r>
              <w:rPr>
                <w:rFonts w:ascii="Calibri" w:hAnsi="Calibri" w:cs="Calibri"/>
              </w:rPr>
              <w:t xml:space="preserve"> (Canberra: Australian Research Council, 2020) </w:t>
            </w:r>
            <w:hyperlink r:id="rId224" w:history="1">
              <w:r w:rsidR="00841281" w:rsidRPr="00A8752B">
                <w:rPr>
                  <w:rStyle w:val="Hyperlink"/>
                  <w:rFonts w:ascii="Calibri" w:hAnsi="Calibri" w:cs="Calibri"/>
                </w:rPr>
                <w:t>www.arc.gov‌.‌au/sites/default/files/2022-06/Evaluation%20of%20the%20‌Discovery%‌20Projects%20‌scheme‌%‌20‌%28PDF%29.pdf</w:t>
              </w:r>
            </w:hyperlink>
            <w:r w:rsidR="00841281">
              <w:rPr>
                <w:rFonts w:ascii="Calibri" w:hAnsi="Calibri" w:cs="Calibri"/>
              </w:rPr>
              <w:t xml:space="preserve">. </w:t>
            </w:r>
          </w:p>
        </w:tc>
      </w:tr>
      <w:tr w:rsidR="002D6F5F" w:rsidRPr="002D6F5F" w14:paraId="490599B8" w14:textId="77777777" w:rsidTr="001B1DB2">
        <w:tc>
          <w:tcPr>
            <w:tcW w:w="9026" w:type="dxa"/>
            <w:vAlign w:val="bottom"/>
            <w:hideMark/>
          </w:tcPr>
          <w:p w14:paraId="1D39AF45" w14:textId="37C51932" w:rsidR="002D6F5F" w:rsidRPr="002D6F5F" w:rsidRDefault="00D56C32" w:rsidP="0077616C">
            <w:pPr>
              <w:rPr>
                <w:rFonts w:cs="Arial"/>
              </w:rPr>
            </w:pPr>
            <w:r>
              <w:rPr>
                <w:rFonts w:ascii="Calibri" w:hAnsi="Calibri" w:cs="Calibri"/>
              </w:rPr>
              <w:t xml:space="preserve">Australian Research Council. </w:t>
            </w:r>
            <w:r>
              <w:rPr>
                <w:rFonts w:ascii="Calibri" w:hAnsi="Calibri" w:cs="Calibri"/>
                <w:i/>
                <w:iCs/>
              </w:rPr>
              <w:t>Industrial Transformation Training Centres Selection Report for Funding Commencing in 2023</w:t>
            </w:r>
            <w:r>
              <w:rPr>
                <w:rFonts w:ascii="Calibri" w:hAnsi="Calibri" w:cs="Calibri"/>
              </w:rPr>
              <w:t xml:space="preserve"> (Table 2), (Canberra: 2023), accessed December 15, 2023, </w:t>
            </w:r>
            <w:hyperlink r:id="rId225" w:history="1">
              <w:r w:rsidR="00841281" w:rsidRPr="00A8752B">
                <w:rPr>
                  <w:rStyle w:val="Hyperlink"/>
                  <w:rFonts w:ascii="Calibri" w:hAnsi="Calibri" w:cs="Calibri"/>
                </w:rPr>
                <w:t>www.arc.gov.au/sites/default/files/2022-06/Evaluation%20of%20the%20Discovery%20Projects%20scheme%20%28PDF%29.pdf</w:t>
              </w:r>
            </w:hyperlink>
            <w:r w:rsidR="00841281">
              <w:rPr>
                <w:rFonts w:ascii="Calibri" w:hAnsi="Calibri" w:cs="Calibri"/>
              </w:rPr>
              <w:t xml:space="preserve">. </w:t>
            </w:r>
          </w:p>
        </w:tc>
      </w:tr>
      <w:tr w:rsidR="002D6F5F" w:rsidRPr="002D6F5F" w14:paraId="1A3AC597" w14:textId="77777777" w:rsidTr="001B1DB2">
        <w:tc>
          <w:tcPr>
            <w:tcW w:w="9026" w:type="dxa"/>
            <w:vAlign w:val="bottom"/>
            <w:hideMark/>
          </w:tcPr>
          <w:p w14:paraId="76E715C3" w14:textId="73B7CAF4" w:rsidR="002D6F5F" w:rsidRPr="002D6F5F" w:rsidRDefault="00D56C32" w:rsidP="0077616C">
            <w:pPr>
              <w:rPr>
                <w:rFonts w:cs="Arial"/>
              </w:rPr>
            </w:pPr>
            <w:r>
              <w:rPr>
                <w:rFonts w:ascii="Calibri" w:hAnsi="Calibri" w:cs="Calibri"/>
              </w:rPr>
              <w:t xml:space="preserve">Australian Research Council. </w:t>
            </w:r>
            <w:r>
              <w:rPr>
                <w:rFonts w:ascii="Calibri" w:hAnsi="Calibri" w:cs="Calibri"/>
                <w:i/>
                <w:iCs/>
              </w:rPr>
              <w:t>Standard: Excellence in Research for Australia (ERA) and Engagement and Impact (EI) 2018 Outcomes</w:t>
            </w:r>
            <w:r>
              <w:rPr>
                <w:rFonts w:ascii="Calibri" w:hAnsi="Calibri" w:cs="Calibri"/>
              </w:rPr>
              <w:t xml:space="preserve">, Australian Research Council, accessed 15 December 2023, </w:t>
            </w:r>
            <w:hyperlink r:id="rId226" w:history="1">
              <w:r w:rsidR="00841281" w:rsidRPr="00A8752B">
                <w:rPr>
                  <w:rStyle w:val="Hyperlink"/>
                  <w:rFonts w:ascii="Calibri" w:hAnsi="Calibri" w:cs="Calibri"/>
                </w:rPr>
                <w:t>www.arc.gov.au/standard-excellence-research-australia-era-and-engagement-and-impact-ei-2018-outcomes</w:t>
              </w:r>
            </w:hyperlink>
            <w:r w:rsidR="00841281">
              <w:rPr>
                <w:rFonts w:ascii="Calibri" w:hAnsi="Calibri" w:cs="Calibri"/>
              </w:rPr>
              <w:t xml:space="preserve">. </w:t>
            </w:r>
            <w:r>
              <w:rPr>
                <w:rFonts w:ascii="Calibri" w:hAnsi="Calibri" w:cs="Calibri"/>
              </w:rPr>
              <w:t xml:space="preserve"> </w:t>
            </w:r>
          </w:p>
        </w:tc>
      </w:tr>
      <w:tr w:rsidR="002D6F5F" w:rsidRPr="002D6F5F" w14:paraId="2D27B21A" w14:textId="77777777" w:rsidTr="001B1DB2">
        <w:tc>
          <w:tcPr>
            <w:tcW w:w="9026" w:type="dxa"/>
            <w:vAlign w:val="bottom"/>
            <w:hideMark/>
          </w:tcPr>
          <w:p w14:paraId="5BBAED1F" w14:textId="298ED40D" w:rsidR="002D6F5F" w:rsidRPr="002D6F5F" w:rsidRDefault="00D56C32" w:rsidP="0077616C">
            <w:pPr>
              <w:rPr>
                <w:rFonts w:cs="Arial"/>
              </w:rPr>
            </w:pPr>
            <w:r>
              <w:rPr>
                <w:rFonts w:ascii="Calibri" w:hAnsi="Calibri" w:cs="Calibri"/>
              </w:rPr>
              <w:t xml:space="preserve">Australian Research Council. </w:t>
            </w:r>
            <w:r>
              <w:rPr>
                <w:rFonts w:ascii="Calibri" w:hAnsi="Calibri" w:cs="Calibri"/>
                <w:i/>
                <w:iCs/>
              </w:rPr>
              <w:t>State of Australian University Research 2018–19: ERA National Report</w:t>
            </w:r>
            <w:r>
              <w:rPr>
                <w:rFonts w:ascii="Calibri" w:hAnsi="Calibri" w:cs="Calibri"/>
              </w:rPr>
              <w:t xml:space="preserve">, (Canberra: 2019), </w:t>
            </w:r>
            <w:hyperlink r:id="rId227" w:history="1">
              <w:r w:rsidRPr="00841281">
                <w:rPr>
                  <w:rStyle w:val="Hyperlink"/>
                  <w:rFonts w:ascii="Calibri" w:hAnsi="Calibri" w:cs="Calibri"/>
                </w:rPr>
                <w:t>dataportal.arc.gov.au/ERA/</w:t>
              </w:r>
              <w:proofErr w:type="spellStart"/>
              <w:r w:rsidRPr="00841281">
                <w:rPr>
                  <w:rStyle w:val="Hyperlink"/>
                  <w:rFonts w:ascii="Calibri" w:hAnsi="Calibri" w:cs="Calibri"/>
                </w:rPr>
                <w:t>NationalReport</w:t>
              </w:r>
              <w:proofErr w:type="spellEnd"/>
              <w:r w:rsidRPr="00841281">
                <w:rPr>
                  <w:rStyle w:val="Hyperlink"/>
                  <w:rFonts w:ascii="Calibri" w:hAnsi="Calibri" w:cs="Calibri"/>
                </w:rPr>
                <w:t>/2018/</w:t>
              </w:r>
            </w:hyperlink>
            <w:r w:rsidR="00841281">
              <w:rPr>
                <w:rFonts w:ascii="Calibri" w:hAnsi="Calibri" w:cs="Calibri"/>
              </w:rPr>
              <w:t xml:space="preserve">. </w:t>
            </w:r>
          </w:p>
        </w:tc>
      </w:tr>
      <w:tr w:rsidR="002D6F5F" w:rsidRPr="002D6F5F" w14:paraId="7C0DB358" w14:textId="77777777" w:rsidTr="001B1DB2">
        <w:tc>
          <w:tcPr>
            <w:tcW w:w="9026" w:type="dxa"/>
            <w:vAlign w:val="center"/>
            <w:hideMark/>
          </w:tcPr>
          <w:p w14:paraId="66E8623D" w14:textId="0B791E4E" w:rsidR="002D6F5F" w:rsidRPr="002D6F5F" w:rsidRDefault="00D56C32" w:rsidP="0077616C">
            <w:pPr>
              <w:rPr>
                <w:rFonts w:cs="Arial"/>
              </w:rPr>
            </w:pPr>
            <w:r>
              <w:rPr>
                <w:rFonts w:ascii="Calibri" w:hAnsi="Calibri" w:cs="Calibri"/>
              </w:rPr>
              <w:t xml:space="preserve">Australian Research Council. </w:t>
            </w:r>
            <w:r>
              <w:rPr>
                <w:rFonts w:ascii="Calibri" w:hAnsi="Calibri" w:cs="Calibri"/>
                <w:i/>
                <w:iCs/>
              </w:rPr>
              <w:t>State of University Research 2018–19</w:t>
            </w:r>
            <w:r>
              <w:rPr>
                <w:rFonts w:ascii="Calibri" w:hAnsi="Calibri" w:cs="Calibri"/>
              </w:rPr>
              <w:t xml:space="preserve"> [data set], (Canberra, 2019), accessed 10 November 2023,</w:t>
            </w:r>
            <w:r w:rsidR="00841281">
              <w:rPr>
                <w:rFonts w:ascii="Calibri" w:hAnsi="Calibri" w:cs="Calibri"/>
              </w:rPr>
              <w:t xml:space="preserve"> </w:t>
            </w:r>
            <w:hyperlink r:id="rId228" w:history="1">
              <w:r w:rsidRPr="00841281">
                <w:rPr>
                  <w:rStyle w:val="Hyperlink"/>
                  <w:rFonts w:ascii="Calibri" w:hAnsi="Calibri" w:cs="Calibri"/>
                </w:rPr>
                <w:t>dataportal.arc.gov.au/ERA/</w:t>
              </w:r>
              <w:proofErr w:type="spellStart"/>
              <w:r w:rsidRPr="00841281">
                <w:rPr>
                  <w:rStyle w:val="Hyperlink"/>
                  <w:rFonts w:ascii="Calibri" w:hAnsi="Calibri" w:cs="Calibri"/>
                </w:rPr>
                <w:t>NationalReport</w:t>
              </w:r>
              <w:proofErr w:type="spellEnd"/>
              <w:r w:rsidRPr="00841281">
                <w:rPr>
                  <w:rStyle w:val="Hyperlink"/>
                  <w:rFonts w:ascii="Calibri" w:hAnsi="Calibri" w:cs="Calibri"/>
                </w:rPr>
                <w:t>/2018/</w:t>
              </w:r>
            </w:hyperlink>
            <w:r w:rsidR="00841281">
              <w:rPr>
                <w:rFonts w:ascii="Calibri" w:hAnsi="Calibri" w:cs="Calibri"/>
              </w:rPr>
              <w:t xml:space="preserve">. </w:t>
            </w:r>
          </w:p>
        </w:tc>
      </w:tr>
      <w:tr w:rsidR="002D6F5F" w:rsidRPr="002D6F5F" w14:paraId="681DDF0A" w14:textId="77777777" w:rsidTr="001B1DB2">
        <w:tc>
          <w:tcPr>
            <w:tcW w:w="9026" w:type="dxa"/>
            <w:vAlign w:val="center"/>
            <w:hideMark/>
          </w:tcPr>
          <w:p w14:paraId="34A63A78" w14:textId="05C57B9C" w:rsidR="002D6F5F" w:rsidRPr="002D6F5F" w:rsidRDefault="00D56C32" w:rsidP="0077616C">
            <w:pPr>
              <w:rPr>
                <w:rFonts w:cs="Arial"/>
              </w:rPr>
            </w:pPr>
            <w:r>
              <w:rPr>
                <w:rFonts w:ascii="Calibri" w:hAnsi="Calibri" w:cs="Calibri"/>
              </w:rPr>
              <w:t xml:space="preserve">Australian Technology Network of Universities (ATN) and Nous Group. </w:t>
            </w:r>
            <w:r>
              <w:rPr>
                <w:rFonts w:ascii="Calibri" w:hAnsi="Calibri" w:cs="Calibri"/>
                <w:i/>
                <w:iCs/>
              </w:rPr>
              <w:t>Enhancing the Value of PhDs to Australian Industry</w:t>
            </w:r>
            <w:r>
              <w:rPr>
                <w:rFonts w:ascii="Calibri" w:hAnsi="Calibri" w:cs="Calibri"/>
              </w:rPr>
              <w:t xml:space="preserve">, (Melbourne: ATN, 2017), accessed 16 May 2023, </w:t>
            </w:r>
            <w:hyperlink r:id="rId229" w:history="1">
              <w:r w:rsidRPr="00841281">
                <w:rPr>
                  <w:rStyle w:val="Hyperlink"/>
                  <w:rFonts w:ascii="Calibri" w:hAnsi="Calibri" w:cs="Calibri"/>
                </w:rPr>
                <w:t>atn.edu.au/wp-content/uploads/2021/12/atn01-phd-report-web-single.pdf</w:t>
              </w:r>
            </w:hyperlink>
            <w:r w:rsidR="00841281">
              <w:rPr>
                <w:rFonts w:ascii="Calibri" w:hAnsi="Calibri" w:cs="Calibri"/>
              </w:rPr>
              <w:t xml:space="preserve">. </w:t>
            </w:r>
          </w:p>
        </w:tc>
      </w:tr>
      <w:tr w:rsidR="002D6F5F" w:rsidRPr="002D6F5F" w14:paraId="412EE246" w14:textId="77777777" w:rsidTr="001B1DB2">
        <w:tc>
          <w:tcPr>
            <w:tcW w:w="9026" w:type="dxa"/>
            <w:vAlign w:val="bottom"/>
            <w:hideMark/>
          </w:tcPr>
          <w:p w14:paraId="5D026D7B" w14:textId="3BFB81E8" w:rsidR="002D6F5F" w:rsidRPr="002D6F5F" w:rsidRDefault="00D56C32" w:rsidP="0077616C">
            <w:pPr>
              <w:rPr>
                <w:rFonts w:cs="Arial"/>
              </w:rPr>
            </w:pPr>
            <w:r>
              <w:rPr>
                <w:rFonts w:ascii="Calibri" w:hAnsi="Calibri" w:cs="Calibri"/>
              </w:rPr>
              <w:lastRenderedPageBreak/>
              <w:t xml:space="preserve">Australian Veterinary Association. </w:t>
            </w:r>
            <w:r>
              <w:rPr>
                <w:rFonts w:ascii="Calibri" w:hAnsi="Calibri" w:cs="Calibri"/>
                <w:i/>
                <w:iCs/>
              </w:rPr>
              <w:t>AVA Federal Government Pre-Budget Submission (May 2023 Budget)</w:t>
            </w:r>
            <w:r>
              <w:rPr>
                <w:rFonts w:ascii="Calibri" w:hAnsi="Calibri" w:cs="Calibri"/>
              </w:rPr>
              <w:t xml:space="preserve">, (Canberra: 8 February 2023), </w:t>
            </w:r>
            <w:hyperlink r:id="rId230" w:history="1">
              <w:r w:rsidR="00841281" w:rsidRPr="00A8752B">
                <w:rPr>
                  <w:rStyle w:val="Hyperlink"/>
                  <w:rFonts w:ascii="Calibri" w:hAnsi="Calibri" w:cs="Calibri"/>
                </w:rPr>
                <w:t>www.ava.com.au/news/ava-federal-government-pre-budget--submission-may-2023-budget/</w:t>
              </w:r>
            </w:hyperlink>
            <w:r w:rsidR="00841281">
              <w:rPr>
                <w:rFonts w:ascii="Calibri" w:hAnsi="Calibri" w:cs="Calibri"/>
              </w:rPr>
              <w:t xml:space="preserve">. </w:t>
            </w:r>
          </w:p>
        </w:tc>
      </w:tr>
      <w:tr w:rsidR="002D6F5F" w:rsidRPr="002D6F5F" w14:paraId="4FDDAFFE" w14:textId="77777777" w:rsidTr="001B1DB2">
        <w:tc>
          <w:tcPr>
            <w:tcW w:w="9026" w:type="dxa"/>
            <w:vAlign w:val="bottom"/>
            <w:hideMark/>
          </w:tcPr>
          <w:p w14:paraId="3EAB620F" w14:textId="0FE5E071" w:rsidR="002D6F5F" w:rsidRPr="002D6F5F" w:rsidRDefault="00D56C32" w:rsidP="0077616C">
            <w:pPr>
              <w:rPr>
                <w:rFonts w:cs="Arial"/>
              </w:rPr>
            </w:pPr>
            <w:r>
              <w:rPr>
                <w:rFonts w:ascii="Calibri" w:hAnsi="Calibri" w:cs="Calibri"/>
              </w:rPr>
              <w:t xml:space="preserve">Australia's Chief Scientist. </w:t>
            </w:r>
            <w:r>
              <w:rPr>
                <w:rFonts w:ascii="Calibri" w:hAnsi="Calibri" w:cs="Calibri"/>
                <w:i/>
                <w:iCs/>
              </w:rPr>
              <w:t>Trust in Science: Clarifying the Distinctions between Research Integrity, Research Quality, Excellence, and Impact</w:t>
            </w:r>
            <w:r>
              <w:rPr>
                <w:rFonts w:ascii="Calibri" w:hAnsi="Calibri" w:cs="Calibri"/>
              </w:rPr>
              <w:t xml:space="preserve"> (Canberra: Office of the Chief Scientist, 2023), 3, </w:t>
            </w:r>
            <w:hyperlink r:id="rId231" w:history="1">
              <w:r w:rsidR="00AB6C43" w:rsidRPr="00A8752B">
                <w:rPr>
                  <w:rStyle w:val="Hyperlink"/>
                  <w:rFonts w:ascii="Calibri" w:hAnsi="Calibri" w:cs="Calibri"/>
                </w:rPr>
                <w:t>www.chiefscientist.gov.au/sites/default/files/2023-08/Clarifying%20the%20distinctions%20between%20research%20integrity%2C%20research%20quality%2C%20excellence%2C%20and%20impact.pdf</w:t>
              </w:r>
            </w:hyperlink>
            <w:r w:rsidR="00AB6C43">
              <w:rPr>
                <w:rFonts w:ascii="Calibri" w:hAnsi="Calibri" w:cs="Calibri"/>
              </w:rPr>
              <w:t xml:space="preserve">. </w:t>
            </w:r>
          </w:p>
        </w:tc>
      </w:tr>
      <w:tr w:rsidR="002D6F5F" w:rsidRPr="002D6F5F" w14:paraId="7A5FC0C8" w14:textId="77777777" w:rsidTr="001B1DB2">
        <w:tc>
          <w:tcPr>
            <w:tcW w:w="9026" w:type="dxa"/>
            <w:vAlign w:val="bottom"/>
            <w:hideMark/>
          </w:tcPr>
          <w:p w14:paraId="06B57540" w14:textId="64551448" w:rsidR="002D6F5F" w:rsidRPr="002D6F5F" w:rsidRDefault="00D56C32" w:rsidP="0077616C">
            <w:pPr>
              <w:rPr>
                <w:rFonts w:cs="Arial"/>
              </w:rPr>
            </w:pPr>
            <w:r>
              <w:rPr>
                <w:rFonts w:ascii="Calibri" w:hAnsi="Calibri" w:cs="Calibri"/>
              </w:rPr>
              <w:t xml:space="preserve">Baldwin, Peter. </w:t>
            </w:r>
            <w:r>
              <w:rPr>
                <w:rFonts w:ascii="Calibri" w:hAnsi="Calibri" w:cs="Calibri"/>
                <w:i/>
                <w:iCs/>
              </w:rPr>
              <w:t>Assessment of the Relative Funding Position of Australia’s Higher Education Institutions,</w:t>
            </w:r>
            <w:r>
              <w:rPr>
                <w:rFonts w:ascii="Calibri" w:hAnsi="Calibri" w:cs="Calibri"/>
              </w:rPr>
              <w:t xml:space="preserve"> (Canberra: Australian Government Publishing Service, 1990),</w:t>
            </w:r>
            <w:r w:rsidR="00AB6C43">
              <w:rPr>
                <w:rFonts w:ascii="Calibri" w:hAnsi="Calibri" w:cs="Calibri"/>
              </w:rPr>
              <w:t xml:space="preserve"> </w:t>
            </w:r>
            <w:hyperlink r:id="rId232" w:history="1">
              <w:r w:rsidRPr="00AB6C43">
                <w:rPr>
                  <w:rStyle w:val="Hyperlink"/>
                  <w:rFonts w:ascii="Calibri" w:hAnsi="Calibri" w:cs="Calibri"/>
                </w:rPr>
                <w:t>hdl.voced.edu.au/10707/644479</w:t>
              </w:r>
            </w:hyperlink>
            <w:r w:rsidR="00AB6C43">
              <w:rPr>
                <w:rFonts w:ascii="Calibri" w:hAnsi="Calibri" w:cs="Calibri"/>
              </w:rPr>
              <w:t xml:space="preserve">. </w:t>
            </w:r>
          </w:p>
        </w:tc>
      </w:tr>
      <w:tr w:rsidR="002D6F5F" w:rsidRPr="002D6F5F" w14:paraId="62116FE0" w14:textId="77777777" w:rsidTr="001B1DB2">
        <w:tc>
          <w:tcPr>
            <w:tcW w:w="9026" w:type="dxa"/>
            <w:vAlign w:val="bottom"/>
            <w:hideMark/>
          </w:tcPr>
          <w:p w14:paraId="4673C320" w14:textId="44CDE4A0" w:rsidR="002D6F5F" w:rsidRPr="002D6F5F" w:rsidRDefault="00D56C32" w:rsidP="0077616C">
            <w:pPr>
              <w:rPr>
                <w:rFonts w:cs="Arial"/>
              </w:rPr>
            </w:pPr>
            <w:r>
              <w:rPr>
                <w:rFonts w:ascii="Calibri" w:hAnsi="Calibri" w:cs="Calibri"/>
                <w:szCs w:val="16"/>
              </w:rPr>
              <w:t>Barret</w:t>
            </w:r>
            <w:r w:rsidR="00A13C84">
              <w:rPr>
                <w:rFonts w:ascii="Calibri" w:hAnsi="Calibri" w:cs="Calibri"/>
                <w:szCs w:val="16"/>
              </w:rPr>
              <w:t>t</w:t>
            </w:r>
            <w:r>
              <w:rPr>
                <w:rFonts w:ascii="Calibri" w:hAnsi="Calibri" w:cs="Calibri"/>
                <w:szCs w:val="16"/>
              </w:rPr>
              <w:t>, Philip</w:t>
            </w:r>
            <w:r w:rsidR="00BD1183" w:rsidRPr="00BD1183">
              <w:rPr>
                <w:rFonts w:ascii="Calibri" w:hAnsi="Calibri" w:cs="Calibri"/>
                <w:szCs w:val="16"/>
              </w:rPr>
              <w:t xml:space="preserve">; Hansen, Niels-Jakob; Natal, Jean-Marc and Noureldin, </w:t>
            </w:r>
            <w:proofErr w:type="spellStart"/>
            <w:r w:rsidR="00BD1183" w:rsidRPr="00BD1183">
              <w:rPr>
                <w:rFonts w:ascii="Calibri" w:hAnsi="Calibri" w:cs="Calibri"/>
                <w:szCs w:val="16"/>
              </w:rPr>
              <w:t>Diaa</w:t>
            </w:r>
            <w:proofErr w:type="spellEnd"/>
            <w:r>
              <w:rPr>
                <w:rFonts w:ascii="Calibri" w:hAnsi="Calibri" w:cs="Calibri"/>
                <w:szCs w:val="16"/>
              </w:rPr>
              <w:t xml:space="preserve">.  “Why Basic Science Matters for Economic Growth: Public Investment in Basic Research will Pay for Itself,” IMF Blog, 6 October 2021, </w:t>
            </w:r>
            <w:hyperlink r:id="rId233" w:history="1">
              <w:r w:rsidR="00AB6C43" w:rsidRPr="00A8752B">
                <w:rPr>
                  <w:rStyle w:val="Hyperlink"/>
                  <w:rFonts w:ascii="Calibri" w:hAnsi="Calibri" w:cs="Calibri"/>
                  <w:szCs w:val="16"/>
                </w:rPr>
                <w:t>www.imf.org/en‌/Blogs/‌Articles‌/‌2021/10/06/blog-ch3-weo-why-basic-science-matters-for-economic-growth</w:t>
              </w:r>
            </w:hyperlink>
            <w:r w:rsidR="00AB6C43">
              <w:rPr>
                <w:rFonts w:ascii="Calibri" w:hAnsi="Calibri" w:cs="Calibri"/>
                <w:szCs w:val="16"/>
              </w:rPr>
              <w:t xml:space="preserve">. </w:t>
            </w:r>
          </w:p>
        </w:tc>
      </w:tr>
      <w:tr w:rsidR="002D6F5F" w:rsidRPr="002D6F5F" w14:paraId="1006A3AE" w14:textId="77777777" w:rsidTr="001B1DB2">
        <w:tc>
          <w:tcPr>
            <w:tcW w:w="9026" w:type="dxa"/>
            <w:vAlign w:val="bottom"/>
            <w:hideMark/>
          </w:tcPr>
          <w:p w14:paraId="51FDC8A1" w14:textId="7BF3162C" w:rsidR="002D6F5F" w:rsidRPr="002D6F5F" w:rsidRDefault="00D56C32" w:rsidP="0077616C">
            <w:pPr>
              <w:rPr>
                <w:rFonts w:cs="Arial"/>
              </w:rPr>
            </w:pPr>
            <w:r>
              <w:rPr>
                <w:rFonts w:ascii="Calibri" w:hAnsi="Calibri" w:cs="Calibri"/>
              </w:rPr>
              <w:t xml:space="preserve">Batchelor Institute of Indigenous Tertiary Education. "Advanced Diploma of Education Success," accessed 15 December 2023, </w:t>
            </w:r>
            <w:hyperlink r:id="rId234" w:history="1">
              <w:r w:rsidR="00AB6C43" w:rsidRPr="00A8752B">
                <w:rPr>
                  <w:rStyle w:val="Hyperlink"/>
                  <w:rFonts w:ascii="Calibri" w:hAnsi="Calibri" w:cs="Calibri"/>
                </w:rPr>
                <w:t>www.batchelor.edu.au/portfolio/advanced-diploma-of-education-success/</w:t>
              </w:r>
            </w:hyperlink>
            <w:r w:rsidR="00AB6C43">
              <w:rPr>
                <w:rFonts w:ascii="Calibri" w:hAnsi="Calibri" w:cs="Calibri"/>
              </w:rPr>
              <w:t xml:space="preserve">. </w:t>
            </w:r>
          </w:p>
        </w:tc>
      </w:tr>
      <w:tr w:rsidR="002D6F5F" w:rsidRPr="002D6F5F" w14:paraId="528176DC" w14:textId="77777777" w:rsidTr="001B1DB2">
        <w:tc>
          <w:tcPr>
            <w:tcW w:w="9026" w:type="dxa"/>
            <w:vAlign w:val="center"/>
            <w:hideMark/>
          </w:tcPr>
          <w:p w14:paraId="69C1FFDB" w14:textId="683BB93B" w:rsidR="002D6F5F" w:rsidRPr="002D6F5F" w:rsidRDefault="00D56C32" w:rsidP="0077616C">
            <w:pPr>
              <w:rPr>
                <w:rFonts w:cs="Arial"/>
              </w:rPr>
            </w:pPr>
            <w:r>
              <w:rPr>
                <w:rFonts w:ascii="Calibri" w:hAnsi="Calibri" w:cs="Calibri"/>
              </w:rPr>
              <w:t xml:space="preserve">Bean, Martin and Dawkins, Peter. </w:t>
            </w:r>
            <w:r>
              <w:rPr>
                <w:rFonts w:ascii="Calibri" w:hAnsi="Calibri" w:cs="Calibri"/>
                <w:i/>
                <w:iCs/>
              </w:rPr>
              <w:t xml:space="preserve">Review of university-industry collaboration in teaching and learning, </w:t>
            </w:r>
            <w:r>
              <w:rPr>
                <w:rFonts w:ascii="Calibri" w:hAnsi="Calibri" w:cs="Calibri"/>
              </w:rPr>
              <w:t xml:space="preserve">(Canberra: Department of Education, </w:t>
            </w:r>
            <w:proofErr w:type="gramStart"/>
            <w:r>
              <w:rPr>
                <w:rFonts w:ascii="Calibri" w:hAnsi="Calibri" w:cs="Calibri"/>
              </w:rPr>
              <w:t>Skills</w:t>
            </w:r>
            <w:proofErr w:type="gramEnd"/>
            <w:r>
              <w:rPr>
                <w:rFonts w:ascii="Calibri" w:hAnsi="Calibri" w:cs="Calibri"/>
              </w:rPr>
              <w:t xml:space="preserve"> and Employment, 2021).</w:t>
            </w:r>
          </w:p>
        </w:tc>
      </w:tr>
      <w:tr w:rsidR="002D6F5F" w:rsidRPr="002D6F5F" w14:paraId="2CDDC5EB" w14:textId="77777777" w:rsidTr="001B1DB2">
        <w:tc>
          <w:tcPr>
            <w:tcW w:w="9026" w:type="dxa"/>
            <w:vAlign w:val="center"/>
            <w:hideMark/>
          </w:tcPr>
          <w:p w14:paraId="4BB9AAE4" w14:textId="5F9F2566" w:rsidR="002D6F5F" w:rsidRPr="002D6F5F" w:rsidRDefault="00D56C32" w:rsidP="0077616C">
            <w:pPr>
              <w:rPr>
                <w:rFonts w:cs="Arial"/>
              </w:rPr>
            </w:pPr>
            <w:r>
              <w:rPr>
                <w:rFonts w:ascii="Calibri" w:hAnsi="Calibri" w:cs="Calibri"/>
              </w:rPr>
              <w:t xml:space="preserve">Benner, Mats. </w:t>
            </w:r>
            <w:r>
              <w:rPr>
                <w:rFonts w:ascii="Calibri" w:hAnsi="Calibri" w:cs="Calibri"/>
                <w:i/>
                <w:iCs/>
              </w:rPr>
              <w:t>Asia’s Rising Research Dominance: Universities and State Building</w:t>
            </w:r>
            <w:r>
              <w:rPr>
                <w:rFonts w:ascii="Calibri" w:hAnsi="Calibri" w:cs="Calibri"/>
              </w:rPr>
              <w:t xml:space="preserve"> (Cheltenham: Edward Elgar Publishing, 2017).</w:t>
            </w:r>
          </w:p>
        </w:tc>
      </w:tr>
      <w:tr w:rsidR="002D6F5F" w:rsidRPr="002D6F5F" w14:paraId="0D76A53B" w14:textId="77777777" w:rsidTr="001B1DB2">
        <w:tc>
          <w:tcPr>
            <w:tcW w:w="9026" w:type="dxa"/>
            <w:vAlign w:val="center"/>
            <w:hideMark/>
          </w:tcPr>
          <w:p w14:paraId="52FEA116" w14:textId="3DF10CF0" w:rsidR="002D6F5F" w:rsidRPr="002D6F5F" w:rsidRDefault="00D56C32" w:rsidP="0077616C">
            <w:pPr>
              <w:rPr>
                <w:rFonts w:cs="Arial"/>
              </w:rPr>
            </w:pPr>
            <w:r>
              <w:rPr>
                <w:rFonts w:ascii="Calibri" w:hAnsi="Calibri" w:cs="Calibri"/>
              </w:rPr>
              <w:t xml:space="preserve">Benner, Mats; Grant, Jonathan and O’Kane, Mary. </w:t>
            </w:r>
            <w:r>
              <w:rPr>
                <w:rFonts w:ascii="Calibri" w:hAnsi="Calibri" w:cs="Calibri"/>
                <w:i/>
                <w:iCs/>
              </w:rPr>
              <w:t>Crisis Response in Higher Education: How the Pandemic Challenged University Operations and Organisation</w:t>
            </w:r>
            <w:r>
              <w:rPr>
                <w:rFonts w:ascii="Calibri" w:hAnsi="Calibri" w:cs="Calibri"/>
              </w:rPr>
              <w:t xml:space="preserve"> (2022), </w:t>
            </w:r>
            <w:hyperlink r:id="rId235" w:history="1">
              <w:r w:rsidRPr="00AB6C43">
                <w:rPr>
                  <w:rStyle w:val="Hyperlink"/>
                  <w:rFonts w:ascii="Calibri" w:hAnsi="Calibri" w:cs="Calibri"/>
                </w:rPr>
                <w:t>doi.org/10.1007/978-3-030-97837-2</w:t>
              </w:r>
            </w:hyperlink>
            <w:r w:rsidR="00AB6C43">
              <w:rPr>
                <w:rFonts w:ascii="Calibri" w:hAnsi="Calibri" w:cs="Calibri"/>
              </w:rPr>
              <w:t xml:space="preserve">. </w:t>
            </w:r>
          </w:p>
        </w:tc>
      </w:tr>
      <w:tr w:rsidR="002D6F5F" w:rsidRPr="002D6F5F" w14:paraId="6CE9E39C" w14:textId="77777777" w:rsidTr="001B1DB2">
        <w:tc>
          <w:tcPr>
            <w:tcW w:w="9026" w:type="dxa"/>
            <w:vAlign w:val="center"/>
            <w:hideMark/>
          </w:tcPr>
          <w:p w14:paraId="1BAD92EA" w14:textId="2F5DF262" w:rsidR="002D6F5F" w:rsidRPr="002D6F5F" w:rsidRDefault="00D56C32" w:rsidP="0077616C">
            <w:pPr>
              <w:rPr>
                <w:rFonts w:cs="Arial"/>
              </w:rPr>
            </w:pPr>
            <w:r>
              <w:rPr>
                <w:rFonts w:ascii="Calibri" w:hAnsi="Calibri" w:cs="Calibri"/>
              </w:rPr>
              <w:t>Bennett, Anna</w:t>
            </w:r>
            <w:r w:rsidR="00DF3B8B" w:rsidRPr="00DF3B8B">
              <w:rPr>
                <w:rFonts w:ascii="Calibri" w:hAnsi="Calibri" w:cs="Calibri"/>
              </w:rPr>
              <w:t>; Naylor, Ryan; Mellor, Kate; Brett, Matt; Gore, Jenny; Harvey, Andrew; James, Richard; Munn, Belinda; Smith, Max and Whitty, Geoff</w:t>
            </w:r>
            <w:r>
              <w:rPr>
                <w:rFonts w:ascii="Calibri" w:hAnsi="Calibri" w:cs="Calibri"/>
              </w:rPr>
              <w:t xml:space="preserve">. </w:t>
            </w:r>
            <w:r>
              <w:rPr>
                <w:rFonts w:ascii="Calibri" w:hAnsi="Calibri" w:cs="Calibri"/>
                <w:i/>
                <w:iCs/>
              </w:rPr>
              <w:t xml:space="preserve">The critical interventions framework part 2: Equity initiatives in Australian higher education: a review of evidence and impact </w:t>
            </w:r>
            <w:r>
              <w:rPr>
                <w:rFonts w:ascii="Calibri" w:hAnsi="Calibri" w:cs="Calibri"/>
              </w:rPr>
              <w:t>(University of Newcastle, 2015),</w:t>
            </w:r>
            <w:r w:rsidR="00AB6C43">
              <w:rPr>
                <w:rFonts w:ascii="Calibri" w:hAnsi="Calibri" w:cs="Calibri"/>
              </w:rPr>
              <w:t xml:space="preserve"> </w:t>
            </w:r>
            <w:hyperlink r:id="rId236" w:history="1">
              <w:r w:rsidRPr="00AB6C43">
                <w:rPr>
                  <w:rStyle w:val="Hyperlink"/>
                  <w:rFonts w:ascii="Calibri" w:hAnsi="Calibri" w:cs="Calibri"/>
                </w:rPr>
                <w:t>hdl.handle.net/1959.13/1389888</w:t>
              </w:r>
            </w:hyperlink>
            <w:r>
              <w:rPr>
                <w:rFonts w:ascii="Calibri" w:hAnsi="Calibri" w:cs="Calibri"/>
              </w:rPr>
              <w:t>.</w:t>
            </w:r>
          </w:p>
        </w:tc>
      </w:tr>
      <w:tr w:rsidR="002D6F5F" w:rsidRPr="002D6F5F" w14:paraId="6AEDDD66" w14:textId="77777777" w:rsidTr="001B1DB2">
        <w:tc>
          <w:tcPr>
            <w:tcW w:w="9026" w:type="dxa"/>
            <w:vAlign w:val="bottom"/>
            <w:hideMark/>
          </w:tcPr>
          <w:p w14:paraId="63CDD83F" w14:textId="79D61E2A" w:rsidR="002D6F5F" w:rsidRPr="002D6F5F" w:rsidRDefault="00D56C32" w:rsidP="0077616C">
            <w:pPr>
              <w:rPr>
                <w:rFonts w:cs="Arial"/>
              </w:rPr>
            </w:pPr>
            <w:r>
              <w:rPr>
                <w:rFonts w:ascii="Calibri" w:hAnsi="Calibri" w:cs="Calibri"/>
              </w:rPr>
              <w:t>Bennett, Dawn</w:t>
            </w:r>
            <w:r w:rsidR="00387E68" w:rsidRPr="00387E68">
              <w:rPr>
                <w:rFonts w:ascii="Calibri" w:hAnsi="Calibri" w:cs="Calibri"/>
              </w:rPr>
              <w:t xml:space="preserve">; Coffey, Jane; Bawa, Sherry; Carney, David; Dockery; Alfred; Franklyn, Kathleen; Koshy, Paul; Li, Ian W.; Parida, </w:t>
            </w:r>
            <w:proofErr w:type="spellStart"/>
            <w:r w:rsidR="00387E68" w:rsidRPr="00387E68">
              <w:rPr>
                <w:rFonts w:ascii="Calibri" w:hAnsi="Calibri" w:cs="Calibri"/>
              </w:rPr>
              <w:t>Subhadarsini</w:t>
            </w:r>
            <w:proofErr w:type="spellEnd"/>
            <w:r w:rsidR="00387E68" w:rsidRPr="00387E68">
              <w:rPr>
                <w:rFonts w:ascii="Calibri" w:hAnsi="Calibri" w:cs="Calibri"/>
              </w:rPr>
              <w:t xml:space="preserve"> and Unwin, Siobhan</w:t>
            </w:r>
            <w:r>
              <w:rPr>
                <w:rFonts w:ascii="Calibri" w:hAnsi="Calibri" w:cs="Calibri"/>
              </w:rPr>
              <w:t xml:space="preserve">. </w:t>
            </w:r>
            <w:r>
              <w:rPr>
                <w:rFonts w:ascii="Calibri" w:hAnsi="Calibri" w:cs="Calibri"/>
                <w:i/>
                <w:iCs/>
              </w:rPr>
              <w:t>Ameliorating Disadvantage: creating accessible, effective and equitable careers and study information for low SES students</w:t>
            </w:r>
            <w:r>
              <w:rPr>
                <w:rFonts w:ascii="Calibri" w:hAnsi="Calibri" w:cs="Calibri"/>
              </w:rPr>
              <w:t>,</w:t>
            </w:r>
            <w:r w:rsidR="004326A8">
              <w:rPr>
                <w:rFonts w:ascii="Calibri" w:hAnsi="Calibri" w:cs="Calibri"/>
              </w:rPr>
              <w:t xml:space="preserve"> </w:t>
            </w:r>
            <w:r>
              <w:rPr>
                <w:rFonts w:ascii="Calibri" w:hAnsi="Calibri" w:cs="Calibri"/>
              </w:rPr>
              <w:t xml:space="preserve">(Perth: National Centre for Student Equity in Higher Education, 2022), </w:t>
            </w:r>
            <w:hyperlink r:id="rId237" w:history="1">
              <w:r w:rsidR="00AB6C43" w:rsidRPr="00A8752B">
                <w:rPr>
                  <w:rStyle w:val="Hyperlink"/>
                  <w:rFonts w:ascii="Calibri" w:hAnsi="Calibri" w:cs="Calibri"/>
                </w:rPr>
                <w:t>www.ncsehe.edu.au/publications/careers-study-information-low-ses-students/</w:t>
              </w:r>
            </w:hyperlink>
            <w:r w:rsidR="00AB6C43">
              <w:rPr>
                <w:rFonts w:ascii="Calibri" w:hAnsi="Calibri" w:cs="Calibri"/>
              </w:rPr>
              <w:t xml:space="preserve">. </w:t>
            </w:r>
          </w:p>
        </w:tc>
      </w:tr>
      <w:tr w:rsidR="002D6F5F" w:rsidRPr="002D6F5F" w14:paraId="17F70424" w14:textId="77777777" w:rsidTr="001B1DB2">
        <w:tc>
          <w:tcPr>
            <w:tcW w:w="9026" w:type="dxa"/>
            <w:vAlign w:val="bottom"/>
            <w:hideMark/>
          </w:tcPr>
          <w:p w14:paraId="42537D34" w14:textId="619241C3" w:rsidR="002D6F5F" w:rsidRPr="002D6F5F" w:rsidRDefault="00D56C32" w:rsidP="0077616C">
            <w:pPr>
              <w:rPr>
                <w:rFonts w:cs="Arial"/>
              </w:rPr>
            </w:pPr>
            <w:r>
              <w:rPr>
                <w:rFonts w:ascii="Calibri" w:hAnsi="Calibri" w:cs="Calibri"/>
              </w:rPr>
              <w:t xml:space="preserve">Bexley, Emmaline; James, Richard and </w:t>
            </w:r>
            <w:proofErr w:type="spellStart"/>
            <w:r>
              <w:rPr>
                <w:rFonts w:ascii="Calibri" w:hAnsi="Calibri" w:cs="Calibri"/>
              </w:rPr>
              <w:t>Arkoudis</w:t>
            </w:r>
            <w:proofErr w:type="spellEnd"/>
            <w:r>
              <w:rPr>
                <w:rFonts w:ascii="Calibri" w:hAnsi="Calibri" w:cs="Calibri"/>
              </w:rPr>
              <w:t xml:space="preserve">, Sophie. </w:t>
            </w:r>
            <w:r>
              <w:rPr>
                <w:rFonts w:ascii="Calibri" w:hAnsi="Calibri" w:cs="Calibri"/>
                <w:i/>
                <w:iCs/>
              </w:rPr>
              <w:t>The Australian Academic Profession in Transition: Addressing the Challenge of Reconceptualising Academic Work and Regenerating the Academic Workforce</w:t>
            </w:r>
            <w:r>
              <w:rPr>
                <w:rFonts w:ascii="Calibri" w:hAnsi="Calibri" w:cs="Calibri"/>
              </w:rPr>
              <w:t xml:space="preserve"> (Department of Education, Employment and Workplace Relations and University of Melbourne Centre for the Study of Higher Education, University of Melbourne, September 2011), 4, </w:t>
            </w:r>
            <w:hyperlink r:id="rId238" w:history="1">
              <w:r w:rsidRPr="00AB6C43">
                <w:rPr>
                  <w:rStyle w:val="Hyperlink"/>
                  <w:rFonts w:ascii="Calibri" w:hAnsi="Calibri" w:cs="Calibri"/>
                </w:rPr>
                <w:t>melbourne-cshe.unimelb.edu.au/_</w:t>
              </w:r>
              <w:r w:rsidR="0065083F" w:rsidRPr="00AB6C43">
                <w:rPr>
                  <w:rStyle w:val="Hyperlink"/>
                  <w:rFonts w:ascii="Calibri" w:hAnsi="Calibri" w:cs="Calibri"/>
                </w:rPr>
                <w:t>‌</w:t>
              </w:r>
              <w:r w:rsidRPr="00AB6C43">
                <w:rPr>
                  <w:rStyle w:val="Hyperlink"/>
                  <w:rFonts w:ascii="Calibri" w:hAnsi="Calibri" w:cs="Calibri"/>
                </w:rPr>
                <w:t>_data</w:t>
              </w:r>
              <w:r w:rsidR="0065083F" w:rsidRPr="00AB6C43">
                <w:rPr>
                  <w:rStyle w:val="Hyperlink"/>
                  <w:rFonts w:ascii="Calibri" w:hAnsi="Calibri" w:cs="Calibri"/>
                </w:rPr>
                <w:t>‌</w:t>
              </w:r>
              <w:r w:rsidRPr="00AB6C43">
                <w:rPr>
                  <w:rStyle w:val="Hyperlink"/>
                  <w:rFonts w:ascii="Calibri" w:hAnsi="Calibri" w:cs="Calibri"/>
                </w:rPr>
                <w:t>/assets/pdf_f</w:t>
              </w:r>
              <w:r w:rsidR="0065083F" w:rsidRPr="00AB6C43">
                <w:rPr>
                  <w:rStyle w:val="Hyperlink"/>
                  <w:rFonts w:ascii="Calibri" w:hAnsi="Calibri" w:cs="Calibri"/>
                </w:rPr>
                <w:t>‌</w:t>
              </w:r>
              <w:r w:rsidRPr="00AB6C43">
                <w:rPr>
                  <w:rStyle w:val="Hyperlink"/>
                  <w:rFonts w:ascii="Calibri" w:hAnsi="Calibri" w:cs="Calibri"/>
                </w:rPr>
                <w:t>ile/0010/</w:t>
              </w:r>
              <w:r w:rsidR="0065083F" w:rsidRPr="00AB6C43">
                <w:rPr>
                  <w:rStyle w:val="Hyperlink"/>
                  <w:rFonts w:ascii="Calibri" w:hAnsi="Calibri" w:cs="Calibri"/>
                </w:rPr>
                <w:t>‌</w:t>
              </w:r>
              <w:r w:rsidRPr="00AB6C43">
                <w:rPr>
                  <w:rStyle w:val="Hyperlink"/>
                  <w:rFonts w:ascii="Calibri" w:hAnsi="Calibri" w:cs="Calibri"/>
                </w:rPr>
                <w:t>1490923/The_Academic_Profession_in_Transition_Sept2011.pdf</w:t>
              </w:r>
            </w:hyperlink>
            <w:r w:rsidR="00AB6C43">
              <w:rPr>
                <w:rFonts w:ascii="Calibri" w:hAnsi="Calibri" w:cs="Calibri"/>
              </w:rPr>
              <w:t xml:space="preserve">. </w:t>
            </w:r>
          </w:p>
        </w:tc>
      </w:tr>
      <w:tr w:rsidR="002D6F5F" w:rsidRPr="002D6F5F" w14:paraId="4E4171B1" w14:textId="77777777" w:rsidTr="001B1DB2">
        <w:tc>
          <w:tcPr>
            <w:tcW w:w="9026" w:type="dxa"/>
            <w:vAlign w:val="bottom"/>
            <w:hideMark/>
          </w:tcPr>
          <w:p w14:paraId="7A66A128" w14:textId="3A85FE32" w:rsidR="002D6F5F" w:rsidRPr="002D6F5F" w:rsidRDefault="00D56C32" w:rsidP="0077616C">
            <w:pPr>
              <w:rPr>
                <w:rFonts w:cs="Arial"/>
              </w:rPr>
            </w:pPr>
            <w:r>
              <w:rPr>
                <w:rFonts w:ascii="Calibri" w:hAnsi="Calibri" w:cs="Calibri"/>
              </w:rPr>
              <w:lastRenderedPageBreak/>
              <w:t xml:space="preserve">Biddle, Nicholas. </w:t>
            </w:r>
            <w:r>
              <w:rPr>
                <w:rFonts w:ascii="Calibri" w:hAnsi="Calibri" w:cs="Calibri"/>
                <w:i/>
                <w:iCs/>
              </w:rPr>
              <w:t>Attitudes towards education in Australia,</w:t>
            </w:r>
            <w:r>
              <w:rPr>
                <w:rFonts w:ascii="Calibri" w:hAnsi="Calibri" w:cs="Calibri"/>
              </w:rPr>
              <w:t xml:space="preserve"> (Canberra: ANU Centre for Social Research and Methods, 2023), 13, </w:t>
            </w:r>
            <w:hyperlink r:id="rId239" w:history="1">
              <w:r w:rsidRPr="00AB6C43">
                <w:rPr>
                  <w:rStyle w:val="Hyperlink"/>
                  <w:rFonts w:ascii="Calibri" w:hAnsi="Calibri" w:cs="Calibri"/>
                </w:rPr>
                <w:t>csrm.cass.anu.edu.au/sites/</w:t>
              </w:r>
              <w:r w:rsidR="0065083F" w:rsidRPr="00AB6C43">
                <w:rPr>
                  <w:rStyle w:val="Hyperlink"/>
                  <w:rFonts w:ascii="Calibri" w:hAnsi="Calibri" w:cs="Calibri"/>
                </w:rPr>
                <w:t>‌</w:t>
              </w:r>
              <w:r w:rsidRPr="00AB6C43">
                <w:rPr>
                  <w:rStyle w:val="Hyperlink"/>
                  <w:rFonts w:ascii="Calibri" w:hAnsi="Calibri" w:cs="Calibri"/>
                </w:rPr>
                <w:t>default/files/docs</w:t>
              </w:r>
              <w:r w:rsidR="0065083F" w:rsidRPr="00AB6C43">
                <w:rPr>
                  <w:rStyle w:val="Hyperlink"/>
                  <w:rFonts w:ascii="Calibri" w:hAnsi="Calibri" w:cs="Calibri"/>
                </w:rPr>
                <w:t>‌</w:t>
              </w:r>
              <w:r w:rsidRPr="00AB6C43">
                <w:rPr>
                  <w:rStyle w:val="Hyperlink"/>
                  <w:rFonts w:ascii="Calibri" w:hAnsi="Calibri" w:cs="Calibri"/>
                </w:rPr>
                <w:t>/2023/</w:t>
              </w:r>
              <w:r w:rsidR="0065083F" w:rsidRPr="00AB6C43">
                <w:rPr>
                  <w:rStyle w:val="Hyperlink"/>
                  <w:rFonts w:ascii="Calibri" w:hAnsi="Calibri" w:cs="Calibri"/>
                </w:rPr>
                <w:t>‌</w:t>
              </w:r>
              <w:r w:rsidRPr="00AB6C43">
                <w:rPr>
                  <w:rStyle w:val="Hyperlink"/>
                  <w:rFonts w:ascii="Calibri" w:hAnsi="Calibri" w:cs="Calibri"/>
                </w:rPr>
                <w:t>8/Attitudes_towards_education_in_Australia_-_For_web.pdf</w:t>
              </w:r>
            </w:hyperlink>
            <w:r w:rsidR="00AB6C43">
              <w:rPr>
                <w:rFonts w:ascii="Calibri" w:hAnsi="Calibri" w:cs="Calibri"/>
              </w:rPr>
              <w:t xml:space="preserve">. </w:t>
            </w:r>
          </w:p>
        </w:tc>
      </w:tr>
      <w:tr w:rsidR="002D6F5F" w:rsidRPr="002D6F5F" w14:paraId="6403F201" w14:textId="77777777" w:rsidTr="001B1DB2">
        <w:tc>
          <w:tcPr>
            <w:tcW w:w="9026" w:type="dxa"/>
            <w:vAlign w:val="bottom"/>
            <w:hideMark/>
          </w:tcPr>
          <w:p w14:paraId="3FB37E60" w14:textId="541AD580" w:rsidR="002D6F5F" w:rsidRPr="002D6F5F" w:rsidRDefault="00D56C32" w:rsidP="0077616C">
            <w:pPr>
              <w:rPr>
                <w:rFonts w:cs="Arial"/>
              </w:rPr>
            </w:pPr>
            <w:r>
              <w:rPr>
                <w:rFonts w:ascii="Calibri" w:hAnsi="Calibri" w:cs="Calibri"/>
              </w:rPr>
              <w:t xml:space="preserve">Brooks, James. “Leiden rankings to add open-source version in 2024,” Research Professional News, published 15 September 2023, </w:t>
            </w:r>
            <w:hyperlink r:id="rId240" w:history="1">
              <w:r w:rsidR="00AB6C43" w:rsidRPr="00A8752B">
                <w:rPr>
                  <w:rStyle w:val="Hyperlink"/>
                  <w:rFonts w:ascii="Calibri" w:hAnsi="Calibri" w:cs="Calibri"/>
                </w:rPr>
                <w:t>www.researchprofessionalnews.com/rr-news-europe-universities-2023-9-leiden-rankings-to-add-open-source-version-in-2024/</w:t>
              </w:r>
            </w:hyperlink>
            <w:r w:rsidR="00AB6C43">
              <w:rPr>
                <w:rFonts w:ascii="Calibri" w:hAnsi="Calibri" w:cs="Calibri"/>
              </w:rPr>
              <w:t xml:space="preserve">. </w:t>
            </w:r>
          </w:p>
        </w:tc>
      </w:tr>
      <w:tr w:rsidR="002D6F5F" w:rsidRPr="002D6F5F" w14:paraId="5D2E8BF0" w14:textId="77777777" w:rsidTr="001B1DB2">
        <w:tc>
          <w:tcPr>
            <w:tcW w:w="9026" w:type="dxa"/>
            <w:vAlign w:val="center"/>
            <w:hideMark/>
          </w:tcPr>
          <w:p w14:paraId="0667F4FF" w14:textId="474C8EFF" w:rsidR="002D6F5F" w:rsidRPr="002D6F5F" w:rsidRDefault="00D56C32" w:rsidP="0077616C">
            <w:pPr>
              <w:rPr>
                <w:rFonts w:cs="Arial"/>
              </w:rPr>
            </w:pPr>
            <w:r>
              <w:rPr>
                <w:rFonts w:ascii="Calibri" w:hAnsi="Calibri" w:cs="Calibri"/>
              </w:rPr>
              <w:t xml:space="preserve">Business Council of Australia. </w:t>
            </w:r>
            <w:r>
              <w:rPr>
                <w:rFonts w:ascii="Calibri" w:hAnsi="Calibri" w:cs="Calibri"/>
                <w:i/>
                <w:iCs/>
              </w:rPr>
              <w:t>Submission to the Accord Interim Report</w:t>
            </w:r>
            <w:r>
              <w:rPr>
                <w:rFonts w:ascii="Calibri" w:hAnsi="Calibri" w:cs="Calibri"/>
              </w:rPr>
              <w:t xml:space="preserve">, 2023, </w:t>
            </w:r>
            <w:hyperlink r:id="rId241" w:history="1">
              <w:r w:rsidR="00AB6C43" w:rsidRPr="00A8752B">
                <w:rPr>
                  <w:rStyle w:val="Hyperlink"/>
                  <w:rFonts w:ascii="Calibri" w:hAnsi="Calibri" w:cs="Calibri"/>
                </w:rPr>
                <w:t>www.education.gov.au/system/files/2023-09/AUA_inter_tranche8_168%20Business%‌20Council%20of%20Australia.pdf</w:t>
              </w:r>
            </w:hyperlink>
            <w:r w:rsidR="00AB6C43">
              <w:rPr>
                <w:rFonts w:ascii="Calibri" w:hAnsi="Calibri" w:cs="Calibri"/>
              </w:rPr>
              <w:t xml:space="preserve">. </w:t>
            </w:r>
          </w:p>
        </w:tc>
      </w:tr>
      <w:tr w:rsidR="002D6F5F" w:rsidRPr="002D6F5F" w14:paraId="78F68BD0" w14:textId="77777777" w:rsidTr="001B1DB2">
        <w:tc>
          <w:tcPr>
            <w:tcW w:w="9026" w:type="dxa"/>
            <w:vAlign w:val="bottom"/>
            <w:hideMark/>
          </w:tcPr>
          <w:p w14:paraId="5DBB63F5" w14:textId="47A65F72" w:rsidR="002D6F5F" w:rsidRPr="002D6F5F" w:rsidRDefault="00D56C32" w:rsidP="0077616C">
            <w:pPr>
              <w:rPr>
                <w:rFonts w:cs="Arial"/>
              </w:rPr>
            </w:pPr>
            <w:r>
              <w:rPr>
                <w:rFonts w:ascii="Calibri" w:hAnsi="Calibri" w:cs="Calibri"/>
              </w:rPr>
              <w:t xml:space="preserve">Cahill, Mildred and Furey, Edith. </w:t>
            </w:r>
            <w:r>
              <w:rPr>
                <w:rFonts w:ascii="Calibri" w:hAnsi="Calibri" w:cs="Calibri"/>
                <w:i/>
                <w:iCs/>
              </w:rPr>
              <w:t>The Early Years: Career Development for Young Children</w:t>
            </w:r>
            <w:r>
              <w:rPr>
                <w:rFonts w:ascii="Calibri" w:hAnsi="Calibri" w:cs="Calibri"/>
              </w:rPr>
              <w:t xml:space="preserve">, (Toronto: CERIC and Memorial University, 2017) accessed 10 December 2023, Toronto </w:t>
            </w:r>
            <w:hyperlink r:id="rId242" w:history="1">
              <w:r w:rsidR="00AB6C43" w:rsidRPr="00A8752B">
                <w:rPr>
                  <w:rStyle w:val="Hyperlink"/>
                  <w:rFonts w:ascii="Calibri" w:hAnsi="Calibri" w:cs="Calibri"/>
                </w:rPr>
                <w:t>cica.org.au/wp-content/uploads/The-Early-Years-Career-Development-for-Young-Children-Educators-Guide-October-2017.pdf</w:t>
              </w:r>
            </w:hyperlink>
            <w:r w:rsidR="00AB6C43">
              <w:rPr>
                <w:rFonts w:ascii="Calibri" w:hAnsi="Calibri" w:cs="Calibri"/>
              </w:rPr>
              <w:t xml:space="preserve">. </w:t>
            </w:r>
          </w:p>
        </w:tc>
      </w:tr>
      <w:tr w:rsidR="002D6F5F" w:rsidRPr="002D6F5F" w14:paraId="386B99C0" w14:textId="77777777" w:rsidTr="001B1DB2">
        <w:tc>
          <w:tcPr>
            <w:tcW w:w="9026" w:type="dxa"/>
            <w:vAlign w:val="bottom"/>
            <w:hideMark/>
          </w:tcPr>
          <w:p w14:paraId="255E944A" w14:textId="672ABA42" w:rsidR="002D6F5F" w:rsidRPr="002D6F5F" w:rsidRDefault="00D56C32" w:rsidP="0077616C">
            <w:pPr>
              <w:rPr>
                <w:rFonts w:cs="Arial"/>
              </w:rPr>
            </w:pPr>
            <w:r>
              <w:rPr>
                <w:rFonts w:ascii="Calibri" w:hAnsi="Calibri" w:cs="Calibri"/>
              </w:rPr>
              <w:t>Caltech. “</w:t>
            </w:r>
            <w:proofErr w:type="spellStart"/>
            <w:r>
              <w:rPr>
                <w:rFonts w:ascii="Calibri" w:hAnsi="Calibri" w:cs="Calibri"/>
              </w:rPr>
              <w:t>ENVision</w:t>
            </w:r>
            <w:proofErr w:type="spellEnd"/>
            <w:r>
              <w:rPr>
                <w:rFonts w:ascii="Calibri" w:hAnsi="Calibri" w:cs="Calibri"/>
              </w:rPr>
              <w:t xml:space="preserve"> 2030,” California Institute of Technology, 2023, accessed 4 December 2023, </w:t>
            </w:r>
            <w:hyperlink r:id="rId243" w:history="1">
              <w:r w:rsidR="00AB6C43" w:rsidRPr="00A8752B">
                <w:rPr>
                  <w:rStyle w:val="Hyperlink"/>
                  <w:rFonts w:ascii="Calibri" w:hAnsi="Calibri" w:cs="Calibri"/>
                </w:rPr>
                <w:t>www.eas.caltech.edu/about/strategic-plan</w:t>
              </w:r>
            </w:hyperlink>
            <w:r w:rsidR="00AB6C43">
              <w:rPr>
                <w:rFonts w:ascii="Calibri" w:hAnsi="Calibri" w:cs="Calibri"/>
              </w:rPr>
              <w:t xml:space="preserve">. </w:t>
            </w:r>
          </w:p>
        </w:tc>
      </w:tr>
      <w:tr w:rsidR="002D6F5F" w:rsidRPr="002D6F5F" w14:paraId="06D41E7E" w14:textId="77777777" w:rsidTr="001B1DB2">
        <w:tc>
          <w:tcPr>
            <w:tcW w:w="9026" w:type="dxa"/>
            <w:vAlign w:val="center"/>
            <w:hideMark/>
          </w:tcPr>
          <w:p w14:paraId="12F61D70" w14:textId="71B356F7" w:rsidR="002D6F5F" w:rsidRPr="002D6F5F" w:rsidRDefault="00D56C32" w:rsidP="0077616C">
            <w:pPr>
              <w:rPr>
                <w:rFonts w:cs="Arial"/>
              </w:rPr>
            </w:pPr>
            <w:proofErr w:type="spellStart"/>
            <w:r>
              <w:rPr>
                <w:rFonts w:ascii="Calibri" w:hAnsi="Calibri" w:cs="Calibri"/>
              </w:rPr>
              <w:t>Cardak</w:t>
            </w:r>
            <w:proofErr w:type="spellEnd"/>
            <w:r>
              <w:rPr>
                <w:rFonts w:ascii="Calibri" w:hAnsi="Calibri" w:cs="Calibri"/>
              </w:rPr>
              <w:t xml:space="preserve">, </w:t>
            </w:r>
            <w:proofErr w:type="spellStart"/>
            <w:r>
              <w:rPr>
                <w:rFonts w:ascii="Calibri" w:hAnsi="Calibri" w:cs="Calibri"/>
              </w:rPr>
              <w:t>Buly</w:t>
            </w:r>
            <w:proofErr w:type="spellEnd"/>
            <w:r>
              <w:rPr>
                <w:rFonts w:ascii="Calibri" w:hAnsi="Calibri" w:cs="Calibri"/>
              </w:rPr>
              <w:t xml:space="preserve">; Bowden, Mark and </w:t>
            </w:r>
            <w:proofErr w:type="spellStart"/>
            <w:r>
              <w:rPr>
                <w:rFonts w:ascii="Calibri" w:hAnsi="Calibri" w:cs="Calibri"/>
              </w:rPr>
              <w:t>Bahtsevanoglou</w:t>
            </w:r>
            <w:proofErr w:type="spellEnd"/>
            <w:r>
              <w:rPr>
                <w:rFonts w:ascii="Calibri" w:hAnsi="Calibri" w:cs="Calibri"/>
              </w:rPr>
              <w:t xml:space="preserve">, John. </w:t>
            </w:r>
            <w:r>
              <w:rPr>
                <w:rFonts w:ascii="Calibri" w:hAnsi="Calibri" w:cs="Calibri"/>
                <w:i/>
                <w:iCs/>
              </w:rPr>
              <w:t xml:space="preserve">Are Low SES students disadvantaged in the university application process? </w:t>
            </w:r>
            <w:r>
              <w:rPr>
                <w:rFonts w:ascii="Calibri" w:hAnsi="Calibri" w:cs="Calibri"/>
              </w:rPr>
              <w:t xml:space="preserve">(Perth, Curtin University: National Centre for Student Equity in Higher Education, 2015), </w:t>
            </w:r>
            <w:hyperlink r:id="rId244" w:history="1">
              <w:r w:rsidR="00AB6C43" w:rsidRPr="00A8752B">
                <w:rPr>
                  <w:rStyle w:val="Hyperlink"/>
                  <w:rFonts w:ascii="Calibri" w:hAnsi="Calibri" w:cs="Calibri"/>
                </w:rPr>
                <w:t>www.ncsehe.edu.au/wp-content/uploads/2015/11/Are-Low-SES-Students-Disadvantaged-in-the-University-Application-Process-November-2015.pdf</w:t>
              </w:r>
            </w:hyperlink>
            <w:r w:rsidR="00AB6C43">
              <w:rPr>
                <w:rFonts w:ascii="Calibri" w:hAnsi="Calibri" w:cs="Calibri"/>
                <w:u w:val="single"/>
              </w:rPr>
              <w:t xml:space="preserve">. </w:t>
            </w:r>
          </w:p>
        </w:tc>
      </w:tr>
      <w:tr w:rsidR="002D6F5F" w:rsidRPr="002D6F5F" w14:paraId="7F6A6BE4" w14:textId="77777777" w:rsidTr="001B1DB2">
        <w:tc>
          <w:tcPr>
            <w:tcW w:w="9026" w:type="dxa"/>
            <w:vAlign w:val="bottom"/>
            <w:hideMark/>
          </w:tcPr>
          <w:p w14:paraId="12A28238" w14:textId="6D16EE93" w:rsidR="002D6F5F" w:rsidRPr="002D6F5F" w:rsidRDefault="00D56C32" w:rsidP="0077616C">
            <w:pPr>
              <w:rPr>
                <w:rFonts w:cs="Arial"/>
              </w:rPr>
            </w:pPr>
            <w:r>
              <w:rPr>
                <w:rFonts w:ascii="Calibri" w:hAnsi="Calibri" w:cstheme="minorHAnsi"/>
              </w:rPr>
              <w:t xml:space="preserve">Carey, Adam and Heffernan, Madeleine. “Victorian universities deep in the red as overseas student numbers stay low,” The Age, (2 May 2023), </w:t>
            </w:r>
            <w:hyperlink r:id="rId245" w:history="1">
              <w:r w:rsidR="00AE434D" w:rsidRPr="00A8752B">
                <w:rPr>
                  <w:rStyle w:val="Hyperlink"/>
                  <w:rFonts w:ascii="Calibri" w:hAnsi="Calibri" w:cstheme="minorHAnsi"/>
                </w:rPr>
                <w:t>www.theage.com.au/national/victoria/victorian-universities-deep-in-the-red-as-overseas-student-numbers-stay-low-20230502-p5d50b.html</w:t>
              </w:r>
            </w:hyperlink>
            <w:r w:rsidR="00EF031B">
              <w:rPr>
                <w:rFonts w:ascii="Calibri" w:hAnsi="Calibri" w:cstheme="minorHAnsi"/>
              </w:rPr>
              <w:t xml:space="preserve">. </w:t>
            </w:r>
          </w:p>
        </w:tc>
      </w:tr>
      <w:tr w:rsidR="002D6F5F" w:rsidRPr="002D6F5F" w14:paraId="6C1CC6DB" w14:textId="77777777" w:rsidTr="001B1DB2">
        <w:tc>
          <w:tcPr>
            <w:tcW w:w="9026" w:type="dxa"/>
            <w:vAlign w:val="bottom"/>
            <w:hideMark/>
          </w:tcPr>
          <w:p w14:paraId="30BA09F5" w14:textId="054AC8FF" w:rsidR="002D6F5F" w:rsidRPr="002D6F5F" w:rsidRDefault="00D56C32" w:rsidP="0077616C">
            <w:pPr>
              <w:rPr>
                <w:rFonts w:cs="Arial"/>
              </w:rPr>
            </w:pPr>
            <w:r>
              <w:rPr>
                <w:rFonts w:ascii="Calibri" w:hAnsi="Calibri" w:cstheme="minorHAnsi"/>
              </w:rPr>
              <w:t>Carroll, Lucy and Harris, Christopher. “All but one of the state’s universities are losing money as student numbers shrink,” Sydney Morning Herald, (31 May 2023</w:t>
            </w:r>
            <w:hyperlink r:id="rId246" w:history="1">
              <w:r w:rsidRPr="00AE434D">
                <w:rPr>
                  <w:rStyle w:val="Hyperlink"/>
                  <w:rFonts w:ascii="Calibri" w:hAnsi="Calibri" w:cstheme="minorHAnsi"/>
                </w:rPr>
                <w:t xml:space="preserve">), </w:t>
              </w:r>
              <w:r w:rsidR="00AE434D" w:rsidRPr="00AE434D">
                <w:rPr>
                  <w:rStyle w:val="Hyperlink"/>
                  <w:rFonts w:ascii="Calibri" w:hAnsi="Calibri" w:cstheme="minorHAnsi"/>
                </w:rPr>
                <w:t>www.smh.com.au/‌national/nsw/all-but-one-of-the-state-s-universities-are-losing-money-as-student-numbers-shrink-20230531-p5dcto.html</w:t>
              </w:r>
            </w:hyperlink>
            <w:r w:rsidR="00AE434D">
              <w:rPr>
                <w:rFonts w:ascii="Calibri" w:hAnsi="Calibri" w:cstheme="minorHAnsi"/>
              </w:rPr>
              <w:t xml:space="preserve">. </w:t>
            </w:r>
          </w:p>
        </w:tc>
      </w:tr>
      <w:tr w:rsidR="002D6F5F" w:rsidRPr="002D6F5F" w14:paraId="1F7E317D" w14:textId="77777777" w:rsidTr="001B1DB2">
        <w:tc>
          <w:tcPr>
            <w:tcW w:w="9026" w:type="dxa"/>
            <w:vAlign w:val="bottom"/>
            <w:hideMark/>
          </w:tcPr>
          <w:p w14:paraId="2705AB02" w14:textId="4D55B3A6" w:rsidR="002D6F5F" w:rsidRPr="002D6F5F" w:rsidRDefault="002D6F5F" w:rsidP="0077616C">
            <w:pPr>
              <w:rPr>
                <w:rFonts w:cs="Arial"/>
              </w:rPr>
            </w:pPr>
            <w:r>
              <w:rPr>
                <w:rFonts w:ascii="Calibri" w:hAnsi="Calibri" w:cs="Calibri"/>
              </w:rPr>
              <w:t>CBRE</w:t>
            </w:r>
            <w:r w:rsidR="00D56C32">
              <w:rPr>
                <w:rFonts w:ascii="Calibri" w:hAnsi="Calibri" w:cs="Calibri"/>
              </w:rPr>
              <w:t>.</w:t>
            </w:r>
            <w:r>
              <w:rPr>
                <w:rFonts w:ascii="Calibri" w:hAnsi="Calibri" w:cs="Calibri"/>
              </w:rPr>
              <w:t xml:space="preserve"> </w:t>
            </w:r>
            <w:r>
              <w:rPr>
                <w:rFonts w:ascii="Calibri" w:hAnsi="Calibri" w:cs="Calibri"/>
                <w:i/>
              </w:rPr>
              <w:t xml:space="preserve">Accommodating the growth in students: Demand, supply and pricing for Australian PBSA market, </w:t>
            </w:r>
            <w:r>
              <w:rPr>
                <w:rFonts w:ascii="Calibri" w:hAnsi="Calibri" w:cs="Calibri"/>
              </w:rPr>
              <w:t xml:space="preserve">(CBRE Research, August 2023), </w:t>
            </w:r>
            <w:hyperlink r:id="rId247" w:history="1">
              <w:r w:rsidRPr="00AE434D">
                <w:rPr>
                  <w:rStyle w:val="Hyperlink"/>
                  <w:rFonts w:ascii="Calibri" w:hAnsi="Calibri" w:cs="Calibri"/>
                </w:rPr>
                <w:t>mktgdocs.cbre.com/2299/c5166330-37d3-4674-8cda-dce518da0b37-1392467054.pdf</w:t>
              </w:r>
            </w:hyperlink>
            <w:r w:rsidR="00AE434D">
              <w:rPr>
                <w:rFonts w:ascii="Calibri" w:hAnsi="Calibri" w:cs="Calibri"/>
              </w:rPr>
              <w:t xml:space="preserve">. </w:t>
            </w:r>
          </w:p>
        </w:tc>
      </w:tr>
      <w:tr w:rsidR="002D6F5F" w:rsidRPr="002D6F5F" w14:paraId="13CD5E07" w14:textId="77777777" w:rsidTr="001B1DB2">
        <w:tc>
          <w:tcPr>
            <w:tcW w:w="9026" w:type="dxa"/>
            <w:vAlign w:val="center"/>
            <w:hideMark/>
          </w:tcPr>
          <w:p w14:paraId="473D4002" w14:textId="20DB54FF" w:rsidR="002D6F5F" w:rsidRPr="002D6F5F" w:rsidRDefault="002D6F5F" w:rsidP="0077616C">
            <w:pPr>
              <w:rPr>
                <w:rFonts w:cs="Arial"/>
              </w:rPr>
            </w:pPr>
            <w:r>
              <w:rPr>
                <w:rFonts w:ascii="Calibri" w:hAnsi="Calibri" w:cs="Calibri"/>
              </w:rPr>
              <w:t>Centre for Population</w:t>
            </w:r>
            <w:r w:rsidR="00D56C32">
              <w:rPr>
                <w:rFonts w:ascii="Calibri" w:hAnsi="Calibri" w:cs="Calibri"/>
              </w:rPr>
              <w:t>.</w:t>
            </w:r>
            <w:r>
              <w:rPr>
                <w:rFonts w:ascii="Calibri" w:hAnsi="Calibri" w:cs="Calibri"/>
                <w:i/>
              </w:rPr>
              <w:t xml:space="preserve"> Budget 2023-24: population projections, Australia, 2022-23 to 2033-34</w:t>
            </w:r>
            <w:r>
              <w:rPr>
                <w:rFonts w:ascii="Calibri" w:hAnsi="Calibri" w:cs="Calibri"/>
              </w:rPr>
              <w:t xml:space="preserve"> [data set], (Canberra), published 17 May 2023, </w:t>
            </w:r>
            <w:hyperlink r:id="rId248" w:history="1">
              <w:r w:rsidR="00AE434D" w:rsidRPr="00A8752B">
                <w:rPr>
                  <w:rStyle w:val="Hyperlink"/>
                  <w:rFonts w:ascii="Calibri" w:hAnsi="Calibri" w:cs="Calibri"/>
                </w:rPr>
                <w:t>population.gov.au/data-and-forecasts/projections/budget-2023-24-population-projections-australia-2022-23-2033-34</w:t>
              </w:r>
            </w:hyperlink>
            <w:r w:rsidR="00AE434D">
              <w:rPr>
                <w:rFonts w:ascii="Calibri" w:hAnsi="Calibri" w:cs="Calibri"/>
              </w:rPr>
              <w:t xml:space="preserve">. </w:t>
            </w:r>
          </w:p>
        </w:tc>
      </w:tr>
      <w:tr w:rsidR="002D6F5F" w:rsidRPr="002D6F5F" w14:paraId="46A6FA30" w14:textId="77777777" w:rsidTr="001B1DB2">
        <w:tc>
          <w:tcPr>
            <w:tcW w:w="9026" w:type="dxa"/>
            <w:vAlign w:val="bottom"/>
            <w:hideMark/>
          </w:tcPr>
          <w:p w14:paraId="489CE917" w14:textId="269F4130" w:rsidR="002D6F5F" w:rsidRPr="002D6F5F" w:rsidRDefault="00D56C32" w:rsidP="0077616C">
            <w:pPr>
              <w:rPr>
                <w:rFonts w:cs="Arial"/>
              </w:rPr>
            </w:pPr>
            <w:r>
              <w:rPr>
                <w:rFonts w:ascii="Calibri" w:hAnsi="Calibri" w:cs="Calibri"/>
              </w:rPr>
              <w:t xml:space="preserve">Chapman, Bruce and Leigh, Andrew. “Do Very High Tax Rates Induce Bunching? Implications for the Design of Income Contingent Loan Schemes,” </w:t>
            </w:r>
            <w:r>
              <w:rPr>
                <w:rFonts w:ascii="Calibri" w:hAnsi="Calibri" w:cs="Calibri"/>
                <w:i/>
                <w:iCs/>
              </w:rPr>
              <w:t xml:space="preserve">The Economic Record </w:t>
            </w:r>
            <w:r>
              <w:rPr>
                <w:rFonts w:ascii="Calibri" w:hAnsi="Calibri" w:cs="Calibri"/>
              </w:rPr>
              <w:t>85, 270 (The Economic Society of Australia, 2009), 276–289,</w:t>
            </w:r>
            <w:r w:rsidR="00AE434D">
              <w:rPr>
                <w:rFonts w:ascii="Calibri" w:hAnsi="Calibri" w:cs="Calibri"/>
              </w:rPr>
              <w:t xml:space="preserve"> </w:t>
            </w:r>
            <w:hyperlink r:id="rId249" w:history="1">
              <w:r w:rsidR="00AE434D" w:rsidRPr="00A8752B">
                <w:rPr>
                  <w:rStyle w:val="Hyperlink"/>
                  <w:rFonts w:ascii="Calibri" w:hAnsi="Calibri" w:cs="Calibri"/>
                </w:rPr>
                <w:t>doi.org/10.1111/j.1475-4932.2009.00554.x</w:t>
              </w:r>
            </w:hyperlink>
            <w:r w:rsidR="00AE434D">
              <w:rPr>
                <w:rFonts w:ascii="Calibri" w:hAnsi="Calibri" w:cs="Calibri"/>
              </w:rPr>
              <w:t xml:space="preserve">.  </w:t>
            </w:r>
          </w:p>
        </w:tc>
      </w:tr>
      <w:tr w:rsidR="002D6F5F" w:rsidRPr="002D6F5F" w14:paraId="2E497A03" w14:textId="77777777" w:rsidTr="001B1DB2">
        <w:tc>
          <w:tcPr>
            <w:tcW w:w="9026" w:type="dxa"/>
            <w:vAlign w:val="bottom"/>
            <w:hideMark/>
          </w:tcPr>
          <w:p w14:paraId="0ED8CD52" w14:textId="325438A2" w:rsidR="002D6F5F" w:rsidRPr="002D6F5F" w:rsidRDefault="00D56C32" w:rsidP="0077616C">
            <w:pPr>
              <w:rPr>
                <w:rFonts w:cs="Arial"/>
              </w:rPr>
            </w:pPr>
            <w:r>
              <w:rPr>
                <w:rFonts w:ascii="Calibri" w:hAnsi="Calibri" w:cs="Calibri"/>
              </w:rPr>
              <w:t xml:space="preserve">Chapman, Bruce and </w:t>
            </w:r>
            <w:proofErr w:type="spellStart"/>
            <w:r>
              <w:rPr>
                <w:rFonts w:ascii="Calibri" w:hAnsi="Calibri" w:cs="Calibri"/>
              </w:rPr>
              <w:t>Tourky</w:t>
            </w:r>
            <w:proofErr w:type="spellEnd"/>
            <w:r>
              <w:rPr>
                <w:rFonts w:ascii="Calibri" w:hAnsi="Calibri" w:cs="Calibri"/>
              </w:rPr>
              <w:t xml:space="preserve">, Rabee. “Universities should pay levy on ‘foreign student industry,’” The Australian, (15 Nov 2023), </w:t>
            </w:r>
            <w:hyperlink r:id="rId250" w:history="1">
              <w:r w:rsidR="00AE434D" w:rsidRPr="00A8752B">
                <w:rPr>
                  <w:rStyle w:val="Hyperlink"/>
                  <w:rFonts w:ascii="Calibri" w:hAnsi="Calibri" w:cs="Calibri"/>
                </w:rPr>
                <w:t>www.theaustralian.com.au/commentary/universities-should-pay-levy-on-foreign-student-industry‌/‌news-story/57c14ca00cd248774e24b51f1c8ad80d</w:t>
              </w:r>
            </w:hyperlink>
            <w:r w:rsidR="00AE434D">
              <w:rPr>
                <w:rFonts w:ascii="Calibri" w:hAnsi="Calibri" w:cs="Calibri"/>
              </w:rPr>
              <w:t xml:space="preserve">. </w:t>
            </w:r>
          </w:p>
        </w:tc>
      </w:tr>
      <w:tr w:rsidR="002D6F5F" w:rsidRPr="002D6F5F" w14:paraId="044F4ACD" w14:textId="77777777" w:rsidTr="001B1DB2">
        <w:tc>
          <w:tcPr>
            <w:tcW w:w="9026" w:type="dxa"/>
            <w:vAlign w:val="bottom"/>
            <w:hideMark/>
          </w:tcPr>
          <w:p w14:paraId="53DA99E8" w14:textId="66887B62" w:rsidR="002D6F5F" w:rsidRPr="002D6F5F" w:rsidRDefault="00D56C32" w:rsidP="0077616C">
            <w:pPr>
              <w:rPr>
                <w:rFonts w:cs="Arial"/>
              </w:rPr>
            </w:pPr>
            <w:r>
              <w:rPr>
                <w:rFonts w:ascii="Calibri" w:hAnsi="Calibri" w:cs="Calibri"/>
              </w:rPr>
              <w:lastRenderedPageBreak/>
              <w:t xml:space="preserve">Chapman, Bruce. “The rationale for the Higher Education Contribution Scheme”, Australian Universities Review, (1996):  </w:t>
            </w:r>
            <w:hyperlink r:id="rId251" w:history="1">
              <w:r w:rsidR="00AE434D" w:rsidRPr="00A8752B">
                <w:rPr>
                  <w:rStyle w:val="Hyperlink"/>
                  <w:rFonts w:ascii="Calibri" w:hAnsi="Calibri" w:cs="Calibri"/>
                </w:rPr>
                <w:t>brucejchapman.com/wp-content/uploads/2018/12/The-rationale-for-the-HECS.pdf</w:t>
              </w:r>
            </w:hyperlink>
            <w:r w:rsidR="00AE434D">
              <w:rPr>
                <w:rFonts w:ascii="Calibri" w:hAnsi="Calibri" w:cs="Calibri"/>
              </w:rPr>
              <w:t xml:space="preserve">. </w:t>
            </w:r>
          </w:p>
        </w:tc>
      </w:tr>
      <w:tr w:rsidR="002D6F5F" w:rsidRPr="002D6F5F" w14:paraId="0ECD48AB" w14:textId="77777777" w:rsidTr="001B1DB2">
        <w:tc>
          <w:tcPr>
            <w:tcW w:w="9026" w:type="dxa"/>
            <w:vAlign w:val="bottom"/>
            <w:hideMark/>
          </w:tcPr>
          <w:p w14:paraId="70F55510" w14:textId="01926561" w:rsidR="002D6F5F" w:rsidRPr="002D6F5F" w:rsidRDefault="00D56C32" w:rsidP="0077616C">
            <w:pPr>
              <w:rPr>
                <w:rFonts w:cs="Arial"/>
              </w:rPr>
            </w:pPr>
            <w:r>
              <w:rPr>
                <w:rFonts w:ascii="Calibri" w:hAnsi="Calibri" w:cs="Calibri"/>
              </w:rPr>
              <w:t xml:space="preserve">Charles Sturt University. "Teacher's aide: Become the teacher you've always wanted to be," accessed 15 December 2023 </w:t>
            </w:r>
            <w:hyperlink r:id="rId252" w:history="1">
              <w:r w:rsidR="00AE434D" w:rsidRPr="00A8752B">
                <w:rPr>
                  <w:rStyle w:val="Hyperlink"/>
                  <w:rFonts w:ascii="Calibri" w:hAnsi="Calibri" w:cs="Calibri"/>
                </w:rPr>
                <w:t>study.csu.edu.au/career-area/education-teaching/teachers-aide</w:t>
              </w:r>
            </w:hyperlink>
            <w:r w:rsidR="00AE434D">
              <w:rPr>
                <w:rFonts w:ascii="Calibri" w:hAnsi="Calibri" w:cs="Calibri"/>
              </w:rPr>
              <w:t xml:space="preserve">. </w:t>
            </w:r>
          </w:p>
        </w:tc>
      </w:tr>
      <w:tr w:rsidR="002D6F5F" w:rsidRPr="002D6F5F" w14:paraId="0C7B3C7C" w14:textId="77777777" w:rsidTr="001B1DB2">
        <w:tc>
          <w:tcPr>
            <w:tcW w:w="9026" w:type="dxa"/>
            <w:vAlign w:val="center"/>
            <w:hideMark/>
          </w:tcPr>
          <w:p w14:paraId="7469735A" w14:textId="5034E7F0" w:rsidR="002D6F5F" w:rsidRPr="002D6F5F" w:rsidRDefault="00D56C32" w:rsidP="0077616C">
            <w:pPr>
              <w:rPr>
                <w:rFonts w:cs="Arial"/>
              </w:rPr>
            </w:pPr>
            <w:proofErr w:type="spellStart"/>
            <w:r>
              <w:rPr>
                <w:rFonts w:ascii="Calibri" w:hAnsi="Calibri" w:cs="Calibri"/>
              </w:rPr>
              <w:t>Chingos</w:t>
            </w:r>
            <w:proofErr w:type="spellEnd"/>
            <w:r>
              <w:rPr>
                <w:rFonts w:ascii="Calibri" w:hAnsi="Calibri" w:cs="Calibri"/>
              </w:rPr>
              <w:t xml:space="preserve">, Matthew and Dynarski, Susan. “The International Final Four: Which Country Handles Student Debt Best?” </w:t>
            </w:r>
            <w:r>
              <w:rPr>
                <w:rFonts w:ascii="Calibri" w:hAnsi="Calibri" w:cs="Calibri"/>
                <w:i/>
                <w:iCs/>
              </w:rPr>
              <w:t>The New York Times</w:t>
            </w:r>
            <w:r>
              <w:rPr>
                <w:rFonts w:ascii="Calibri" w:hAnsi="Calibri" w:cs="Calibri"/>
              </w:rPr>
              <w:t xml:space="preserve">, (2 April 2018), </w:t>
            </w:r>
            <w:hyperlink r:id="rId253" w:history="1">
              <w:r w:rsidR="00AE434D" w:rsidRPr="00A8752B">
                <w:rPr>
                  <w:rStyle w:val="Hyperlink"/>
                  <w:rFonts w:ascii="Calibri" w:hAnsi="Calibri" w:cs="Calibri"/>
                </w:rPr>
                <w:t>www.nytimes.com/2018/04/02/upshot/an-international-final-four-which-country-handles-student-debt-best.html</w:t>
              </w:r>
            </w:hyperlink>
            <w:r w:rsidR="00AE434D">
              <w:rPr>
                <w:rFonts w:ascii="Calibri" w:hAnsi="Calibri" w:cs="Calibri"/>
              </w:rPr>
              <w:t xml:space="preserve">. </w:t>
            </w:r>
          </w:p>
        </w:tc>
      </w:tr>
      <w:tr w:rsidR="002D6F5F" w:rsidRPr="002D6F5F" w14:paraId="251CB749" w14:textId="77777777" w:rsidTr="001B1DB2">
        <w:tc>
          <w:tcPr>
            <w:tcW w:w="9026" w:type="dxa"/>
            <w:vAlign w:val="bottom"/>
            <w:hideMark/>
          </w:tcPr>
          <w:p w14:paraId="6ECC0D07" w14:textId="2E8FB188" w:rsidR="002D6F5F" w:rsidRPr="002D6F5F" w:rsidRDefault="00D56C32" w:rsidP="0077616C">
            <w:pPr>
              <w:rPr>
                <w:rFonts w:cs="Arial"/>
              </w:rPr>
            </w:pPr>
            <w:r>
              <w:rPr>
                <w:rFonts w:ascii="Calibri" w:hAnsi="Calibri" w:cs="Calibri"/>
              </w:rPr>
              <w:t>Chun-Kai, Karl</w:t>
            </w:r>
            <w:r w:rsidR="008F6DFA" w:rsidRPr="008F6DFA">
              <w:rPr>
                <w:rFonts w:ascii="Calibri" w:hAnsi="Calibri" w:cs="Calibri"/>
              </w:rPr>
              <w:t xml:space="preserve">; Neylon, Cameron; Montgomery, Lucy; Hosking, Richard; </w:t>
            </w:r>
            <w:proofErr w:type="spellStart"/>
            <w:r w:rsidR="008F6DFA" w:rsidRPr="008F6DFA">
              <w:rPr>
                <w:rFonts w:ascii="Calibri" w:hAnsi="Calibri" w:cs="Calibri"/>
              </w:rPr>
              <w:t>Diprose</w:t>
            </w:r>
            <w:proofErr w:type="spellEnd"/>
            <w:r w:rsidR="008F6DFA" w:rsidRPr="008F6DFA">
              <w:rPr>
                <w:rFonts w:ascii="Calibri" w:hAnsi="Calibri" w:cs="Calibri"/>
              </w:rPr>
              <w:t>, James P.; Handcock, Rebecca N. and Wilson, Katie</w:t>
            </w:r>
            <w:r>
              <w:rPr>
                <w:rFonts w:ascii="Calibri" w:hAnsi="Calibri" w:cs="Calibri"/>
              </w:rPr>
              <w:t xml:space="preserve">. </w:t>
            </w:r>
            <w:r>
              <w:rPr>
                <w:rFonts w:ascii="Calibri" w:hAnsi="Calibri" w:cs="Calibri"/>
                <w:i/>
                <w:iCs/>
              </w:rPr>
              <w:t>Open Access Research Outputs Receive More Diverse Citations</w:t>
            </w:r>
            <w:r>
              <w:rPr>
                <w:rFonts w:ascii="Calibri" w:hAnsi="Calibri" w:cs="Calibri"/>
              </w:rPr>
              <w:t>, version 3 (</w:t>
            </w:r>
            <w:proofErr w:type="spellStart"/>
            <w:r>
              <w:rPr>
                <w:rFonts w:ascii="Calibri" w:hAnsi="Calibri" w:cs="Calibri"/>
              </w:rPr>
              <w:t>Zenodo</w:t>
            </w:r>
            <w:proofErr w:type="spellEnd"/>
            <w:r>
              <w:rPr>
                <w:rFonts w:ascii="Calibri" w:hAnsi="Calibri" w:cs="Calibri"/>
              </w:rPr>
              <w:t>, September 2023), </w:t>
            </w:r>
            <w:hyperlink r:id="rId254" w:history="1">
              <w:r w:rsidR="00AE434D" w:rsidRPr="00A8752B">
                <w:rPr>
                  <w:rStyle w:val="Hyperlink"/>
                  <w:rFonts w:ascii="Calibri" w:hAnsi="Calibri" w:cs="Calibri"/>
                </w:rPr>
                <w:t>doi.org/10.5281/zenodo.8362576</w:t>
              </w:r>
            </w:hyperlink>
            <w:r w:rsidR="00AE434D">
              <w:rPr>
                <w:rFonts w:ascii="Calibri" w:hAnsi="Calibri" w:cs="Calibri"/>
              </w:rPr>
              <w:t xml:space="preserve">. </w:t>
            </w:r>
          </w:p>
        </w:tc>
      </w:tr>
      <w:tr w:rsidR="002D6F5F" w:rsidRPr="002D6F5F" w14:paraId="58DABDAE" w14:textId="77777777" w:rsidTr="001B1DB2">
        <w:tc>
          <w:tcPr>
            <w:tcW w:w="9026" w:type="dxa"/>
            <w:vAlign w:val="bottom"/>
            <w:hideMark/>
          </w:tcPr>
          <w:p w14:paraId="59B03B2B" w14:textId="154C2980" w:rsidR="002D6F5F" w:rsidRPr="002D6F5F" w:rsidRDefault="00D56C32" w:rsidP="0077616C">
            <w:pPr>
              <w:rPr>
                <w:rFonts w:cs="Arial"/>
                <w:u w:val="single"/>
              </w:rPr>
            </w:pPr>
            <w:r>
              <w:rPr>
                <w:rFonts w:ascii="Calibri" w:hAnsi="Calibri" w:cs="Calibri"/>
              </w:rPr>
              <w:t xml:space="preserve">Clarivate Plc. “Clarivate Reveals World’s Influential Researchers in Highly Cited Researchers 2023 List,” Australian Associate Press (APA), 15 November 2023, </w:t>
            </w:r>
            <w:hyperlink r:id="rId255" w:history="1">
              <w:r w:rsidR="00AE434D" w:rsidRPr="00A8752B">
                <w:rPr>
                  <w:rStyle w:val="Hyperlink"/>
                  <w:rFonts w:ascii="Calibri" w:hAnsi="Calibri" w:cs="Calibri"/>
                </w:rPr>
                <w:t>www.aap.com.au/aapreleases/cision20231115ae68209/</w:t>
              </w:r>
            </w:hyperlink>
            <w:r w:rsidR="00AE434D">
              <w:rPr>
                <w:rFonts w:ascii="Calibri" w:hAnsi="Calibri" w:cs="Calibri"/>
              </w:rPr>
              <w:t xml:space="preserve">.  </w:t>
            </w:r>
          </w:p>
        </w:tc>
      </w:tr>
      <w:tr w:rsidR="002D6F5F" w:rsidRPr="002D6F5F" w14:paraId="0717DAD3" w14:textId="77777777" w:rsidTr="001B1DB2">
        <w:tc>
          <w:tcPr>
            <w:tcW w:w="9026" w:type="dxa"/>
            <w:vAlign w:val="center"/>
            <w:hideMark/>
          </w:tcPr>
          <w:p w14:paraId="5AABACFA" w14:textId="3F778920" w:rsidR="002D6F5F" w:rsidRPr="002D6F5F" w:rsidRDefault="00D56C32" w:rsidP="0077616C">
            <w:pPr>
              <w:rPr>
                <w:rFonts w:cs="Arial"/>
              </w:rPr>
            </w:pPr>
            <w:r>
              <w:rPr>
                <w:rFonts w:ascii="Calibri" w:hAnsi="Calibri" w:cs="Calibri"/>
              </w:rPr>
              <w:t xml:space="preserve">Clarivate Plc. </w:t>
            </w:r>
            <w:r>
              <w:rPr>
                <w:rFonts w:ascii="Calibri" w:hAnsi="Calibri" w:cs="Calibri"/>
                <w:i/>
                <w:iCs/>
              </w:rPr>
              <w:t>Web of Science Documents</w:t>
            </w:r>
            <w:r>
              <w:rPr>
                <w:rFonts w:ascii="Calibri" w:hAnsi="Calibri" w:cs="Calibri"/>
              </w:rPr>
              <w:t xml:space="preserve"> [data set], (2022), accessed 24 November 2023, </w:t>
            </w:r>
            <w:hyperlink r:id="rId256" w:anchor="/analysis/0/organization" w:history="1">
              <w:r w:rsidR="00AE434D" w:rsidRPr="00A8752B">
                <w:rPr>
                  <w:rStyle w:val="Hyperlink"/>
                  <w:rFonts w:ascii="Calibri" w:hAnsi="Calibri" w:cs="Calibri"/>
                </w:rPr>
                <w:t>incites.clarivate.com/#/analysis/0/organization</w:t>
              </w:r>
            </w:hyperlink>
            <w:r w:rsidR="00AE434D">
              <w:rPr>
                <w:rFonts w:ascii="Calibri" w:hAnsi="Calibri" w:cs="Calibri"/>
              </w:rPr>
              <w:t xml:space="preserve">. </w:t>
            </w:r>
          </w:p>
        </w:tc>
      </w:tr>
      <w:tr w:rsidR="002D6F5F" w:rsidRPr="002D6F5F" w14:paraId="62B02FE6" w14:textId="77777777" w:rsidTr="001B1DB2">
        <w:tc>
          <w:tcPr>
            <w:tcW w:w="9026" w:type="dxa"/>
            <w:vAlign w:val="bottom"/>
            <w:hideMark/>
          </w:tcPr>
          <w:p w14:paraId="393288A0" w14:textId="1F35E162" w:rsidR="002D6F5F" w:rsidRPr="002D6F5F" w:rsidRDefault="00D56C32" w:rsidP="0077616C">
            <w:pPr>
              <w:rPr>
                <w:rFonts w:cs="Arial"/>
              </w:rPr>
            </w:pPr>
            <w:r>
              <w:rPr>
                <w:rFonts w:ascii="Calibri" w:hAnsi="Calibri" w:cs="Calibri"/>
              </w:rPr>
              <w:t xml:space="preserve">Clark, Greg; Moonen, Tim and Nunley, Jake. (Sydney: Innovation and Productivity Council, NSW Government, August, 2018), 53, </w:t>
            </w:r>
            <w:hyperlink r:id="rId257" w:history="1">
              <w:r w:rsidR="00AE434D" w:rsidRPr="00A8752B">
                <w:rPr>
                  <w:rStyle w:val="Hyperlink"/>
                  <w:rFonts w:ascii="Calibri" w:hAnsi="Calibri" w:cs="Calibri"/>
                </w:rPr>
                <w:t>www.investment.nsw.gov.au/innovation/nsw-innovation-and-productivity-council/our-publications/the-innovation-economy-implications-and-imperatives-for-states-and-regions/</w:t>
              </w:r>
            </w:hyperlink>
            <w:r w:rsidR="00AE434D">
              <w:rPr>
                <w:rFonts w:ascii="Calibri" w:hAnsi="Calibri" w:cs="Calibri"/>
              </w:rPr>
              <w:t xml:space="preserve">. </w:t>
            </w:r>
          </w:p>
        </w:tc>
      </w:tr>
      <w:tr w:rsidR="002D6F5F" w:rsidRPr="002D6F5F" w14:paraId="2479646A" w14:textId="77777777" w:rsidTr="001B1DB2">
        <w:tc>
          <w:tcPr>
            <w:tcW w:w="9026" w:type="dxa"/>
            <w:vAlign w:val="bottom"/>
            <w:hideMark/>
          </w:tcPr>
          <w:p w14:paraId="1C2A793A" w14:textId="6075107F" w:rsidR="002D6F5F" w:rsidRPr="002D6F5F" w:rsidRDefault="00D56C32" w:rsidP="0077616C">
            <w:pPr>
              <w:rPr>
                <w:rFonts w:cs="Arial"/>
              </w:rPr>
            </w:pPr>
            <w:r>
              <w:rPr>
                <w:rFonts w:ascii="Calibri" w:hAnsi="Calibri" w:cstheme="minorHAnsi"/>
              </w:rPr>
              <w:t xml:space="preserve">Closing the Gap. “National Agreement on Closing the Gap,” July 2020, accessed 13 December 2023, </w:t>
            </w:r>
            <w:hyperlink r:id="rId258" w:history="1">
              <w:r w:rsidR="00AE434D" w:rsidRPr="00A8752B">
                <w:rPr>
                  <w:rStyle w:val="Hyperlink"/>
                  <w:rFonts w:ascii="Calibri" w:hAnsi="Calibri" w:cstheme="minorHAnsi"/>
                </w:rPr>
                <w:t>www.closingthegap.gov.au/national-agreement/national-agreement-closing-the-gap</w:t>
              </w:r>
            </w:hyperlink>
            <w:r w:rsidR="00AE434D">
              <w:rPr>
                <w:rFonts w:ascii="Calibri" w:hAnsi="Calibri" w:cstheme="minorHAnsi"/>
              </w:rPr>
              <w:t xml:space="preserve">. </w:t>
            </w:r>
          </w:p>
        </w:tc>
      </w:tr>
      <w:tr w:rsidR="002D6F5F" w:rsidRPr="002D6F5F" w14:paraId="118E31F2" w14:textId="77777777" w:rsidTr="001B1DB2">
        <w:tc>
          <w:tcPr>
            <w:tcW w:w="9026" w:type="dxa"/>
            <w:vAlign w:val="bottom"/>
            <w:hideMark/>
          </w:tcPr>
          <w:p w14:paraId="600DEEC7" w14:textId="397FDCBF" w:rsidR="002D6F5F" w:rsidRPr="002D6F5F" w:rsidRDefault="00D56C32" w:rsidP="0077616C">
            <w:pPr>
              <w:rPr>
                <w:rFonts w:cs="Arial"/>
              </w:rPr>
            </w:pPr>
            <w:r>
              <w:rPr>
                <w:rFonts w:ascii="Calibri" w:hAnsi="Calibri" w:cs="Calibri"/>
              </w:rPr>
              <w:t xml:space="preserve">Coates, Brendan; Wiltshire, Trent and </w:t>
            </w:r>
            <w:proofErr w:type="spellStart"/>
            <w:r>
              <w:rPr>
                <w:rFonts w:ascii="Calibri" w:hAnsi="Calibri" w:cs="Calibri"/>
              </w:rPr>
              <w:t>Reysenbach</w:t>
            </w:r>
            <w:proofErr w:type="spellEnd"/>
            <w:r>
              <w:rPr>
                <w:rFonts w:ascii="Calibri" w:hAnsi="Calibri" w:cs="Calibri"/>
              </w:rPr>
              <w:t xml:space="preserve">, Tyler. </w:t>
            </w:r>
            <w:r>
              <w:rPr>
                <w:rFonts w:ascii="Calibri" w:hAnsi="Calibri" w:cs="Calibri"/>
                <w:i/>
                <w:iCs/>
              </w:rPr>
              <w:t>Australia’s Migration Opportunity: How Rethinking Skilled Migration Can Solve Some of Our Biggest Problems,</w:t>
            </w:r>
            <w:r>
              <w:rPr>
                <w:rFonts w:ascii="Calibri" w:hAnsi="Calibri" w:cs="Calibri"/>
              </w:rPr>
              <w:t xml:space="preserve"> (Melbourne: Grattan Institute, December 2022), </w:t>
            </w:r>
            <w:hyperlink r:id="rId259" w:history="1">
              <w:r w:rsidR="00AE434D" w:rsidRPr="00A8752B">
                <w:rPr>
                  <w:rStyle w:val="Hyperlink"/>
                  <w:rFonts w:ascii="Calibri" w:hAnsi="Calibri" w:cs="Calibri"/>
                </w:rPr>
                <w:t>grattan.edu.au/wp-content/uploads/2022/12/Australias-migration-opportunity-how-rethinking-skilled-migration-can-solve-some-of-our-biggest-problems.pdf</w:t>
              </w:r>
            </w:hyperlink>
            <w:r w:rsidR="00AE434D">
              <w:rPr>
                <w:rFonts w:ascii="Calibri" w:hAnsi="Calibri" w:cs="Calibri"/>
              </w:rPr>
              <w:t xml:space="preserve">. </w:t>
            </w:r>
          </w:p>
        </w:tc>
      </w:tr>
      <w:tr w:rsidR="002D6F5F" w:rsidRPr="002D6F5F" w14:paraId="1307BA81" w14:textId="77777777" w:rsidTr="001B1DB2">
        <w:tc>
          <w:tcPr>
            <w:tcW w:w="9026" w:type="dxa"/>
            <w:vAlign w:val="center"/>
            <w:hideMark/>
          </w:tcPr>
          <w:p w14:paraId="171EC8BD" w14:textId="39BDBB3F" w:rsidR="002D6F5F" w:rsidRPr="002D6F5F" w:rsidRDefault="00D56C32" w:rsidP="0077616C">
            <w:pPr>
              <w:rPr>
                <w:rFonts w:cs="Arial"/>
              </w:rPr>
            </w:pPr>
            <w:r>
              <w:rPr>
                <w:rFonts w:ascii="Calibri" w:hAnsi="Calibri" w:cs="Calibri"/>
              </w:rPr>
              <w:t xml:space="preserve">Committee on Australian Universities. </w:t>
            </w:r>
            <w:r>
              <w:rPr>
                <w:rFonts w:ascii="Calibri" w:hAnsi="Calibri" w:cs="Calibri"/>
                <w:i/>
                <w:iCs/>
              </w:rPr>
              <w:t>Report of the Committee on Australian Universities (Murray report)</w:t>
            </w:r>
            <w:r>
              <w:rPr>
                <w:rFonts w:ascii="Calibri" w:hAnsi="Calibri" w:cs="Calibri"/>
              </w:rPr>
              <w:t xml:space="preserve"> (Canberra: Government Printer, 1957), </w:t>
            </w:r>
            <w:hyperlink r:id="rId260" w:history="1">
              <w:r w:rsidR="00AE434D" w:rsidRPr="00A8752B">
                <w:rPr>
                  <w:rStyle w:val="Hyperlink"/>
                  <w:rFonts w:ascii="Calibri" w:hAnsi="Calibri" w:cs="Calibri"/>
                </w:rPr>
                <w:t>hdl.voced.edu.au/10707/228224</w:t>
              </w:r>
            </w:hyperlink>
            <w:r w:rsidR="00AE434D">
              <w:rPr>
                <w:rFonts w:ascii="Calibri" w:hAnsi="Calibri" w:cs="Calibri"/>
              </w:rPr>
              <w:t xml:space="preserve">. </w:t>
            </w:r>
          </w:p>
        </w:tc>
      </w:tr>
      <w:tr w:rsidR="002D6F5F" w:rsidRPr="002D6F5F" w14:paraId="20EB5D51" w14:textId="77777777" w:rsidTr="001B1DB2">
        <w:tc>
          <w:tcPr>
            <w:tcW w:w="9026" w:type="dxa"/>
            <w:vAlign w:val="bottom"/>
            <w:hideMark/>
          </w:tcPr>
          <w:p w14:paraId="586EABA7" w14:textId="15A29CF9" w:rsidR="00BB3D26" w:rsidRDefault="00BB3D26" w:rsidP="0077616C">
            <w:pPr>
              <w:rPr>
                <w:rFonts w:cstheme="minorHAnsi"/>
              </w:rPr>
            </w:pPr>
            <w:r>
              <w:rPr>
                <w:rFonts w:cstheme="minorHAnsi"/>
              </w:rPr>
              <w:t>C</w:t>
            </w:r>
            <w:r w:rsidRPr="00B737FA">
              <w:rPr>
                <w:rFonts w:cstheme="minorHAnsi"/>
              </w:rPr>
              <w:t xml:space="preserve">ommittee on </w:t>
            </w:r>
            <w:r>
              <w:rPr>
                <w:rFonts w:cstheme="minorHAnsi"/>
              </w:rPr>
              <w:t>F</w:t>
            </w:r>
            <w:r w:rsidRPr="00B737FA">
              <w:rPr>
                <w:rFonts w:cstheme="minorHAnsi"/>
              </w:rPr>
              <w:t xml:space="preserve">inancing of </w:t>
            </w:r>
            <w:r>
              <w:rPr>
                <w:rFonts w:cstheme="minorHAnsi"/>
              </w:rPr>
              <w:t>U</w:t>
            </w:r>
            <w:r w:rsidRPr="00B737FA">
              <w:rPr>
                <w:rFonts w:cstheme="minorHAnsi"/>
              </w:rPr>
              <w:t>niversities</w:t>
            </w:r>
            <w:r>
              <w:rPr>
                <w:rFonts w:cstheme="minorHAnsi"/>
              </w:rPr>
              <w:t xml:space="preserve">, </w:t>
            </w:r>
            <w:r w:rsidR="00496EDA">
              <w:rPr>
                <w:rFonts w:ascii="Calibri" w:hAnsi="Calibri" w:cs="Calibri"/>
                <w:i/>
                <w:iCs/>
              </w:rPr>
              <w:t xml:space="preserve">Report of the Committee on Financing of Universities </w:t>
            </w:r>
            <w:r>
              <w:rPr>
                <w:rFonts w:cstheme="minorHAnsi"/>
              </w:rPr>
              <w:t xml:space="preserve">(1950), </w:t>
            </w:r>
            <w:r w:rsidR="004F7FC6" w:rsidRPr="004F7FC6">
              <w:rPr>
                <w:rFonts w:cstheme="minorHAnsi"/>
              </w:rPr>
              <w:t>Australian Dictionary of Biography, Volume 10, 1986</w:t>
            </w:r>
            <w:r w:rsidR="000775DD">
              <w:rPr>
                <w:rFonts w:cstheme="minorHAnsi"/>
              </w:rPr>
              <w:t xml:space="preserve">, </w:t>
            </w:r>
            <w:hyperlink r:id="rId261" w:history="1">
              <w:r w:rsidR="00AE434D" w:rsidRPr="00A8752B">
                <w:rPr>
                  <w:rStyle w:val="Hyperlink"/>
                  <w:rFonts w:cstheme="minorHAnsi"/>
                </w:rPr>
                <w:t>adb.anu.edu.au/biography/mills-richard-charles-7593</w:t>
              </w:r>
            </w:hyperlink>
            <w:r w:rsidR="00AE434D">
              <w:rPr>
                <w:rFonts w:cstheme="minorHAnsi"/>
              </w:rPr>
              <w:t xml:space="preserve">. </w:t>
            </w:r>
            <w:r>
              <w:rPr>
                <w:rFonts w:cstheme="minorHAnsi"/>
              </w:rPr>
              <w:t xml:space="preserve"> </w:t>
            </w:r>
          </w:p>
          <w:p w14:paraId="2A8A910D" w14:textId="2DC8B7F0" w:rsidR="00BB3D26" w:rsidRPr="0072052F" w:rsidRDefault="00D56C32" w:rsidP="000775DD">
            <w:pPr>
              <w:rPr>
                <w:rFonts w:ascii="Calibri" w:hAnsi="Calibri" w:cs="Calibri"/>
              </w:rPr>
            </w:pPr>
            <w:r>
              <w:rPr>
                <w:rFonts w:ascii="Calibri" w:hAnsi="Calibri" w:cs="Calibri"/>
              </w:rPr>
              <w:t xml:space="preserve">Committee on the Future of Tertiary Education in Australia. </w:t>
            </w:r>
            <w:r>
              <w:rPr>
                <w:rFonts w:ascii="Calibri" w:hAnsi="Calibri" w:cs="Calibri"/>
                <w:i/>
                <w:iCs/>
              </w:rPr>
              <w:t xml:space="preserve">Tertiary Education in Australia (Martin report) </w:t>
            </w:r>
            <w:r>
              <w:rPr>
                <w:rFonts w:ascii="Calibri" w:hAnsi="Calibri" w:cs="Calibri"/>
              </w:rPr>
              <w:t xml:space="preserve">(Canberra: Government Printer, 1964), </w:t>
            </w:r>
            <w:hyperlink r:id="rId262" w:history="1">
              <w:r w:rsidR="00AE434D" w:rsidRPr="00A8752B">
                <w:rPr>
                  <w:rStyle w:val="Hyperlink"/>
                </w:rPr>
                <w:t>hdl.voced.edu.au/10707/228215</w:t>
              </w:r>
            </w:hyperlink>
            <w:r w:rsidR="00AE434D">
              <w:rPr>
                <w:rFonts w:ascii="Calibri" w:hAnsi="Calibri" w:cs="Calibri"/>
              </w:rPr>
              <w:t xml:space="preserve">. </w:t>
            </w:r>
          </w:p>
        </w:tc>
      </w:tr>
      <w:tr w:rsidR="002D6F5F" w:rsidRPr="002D6F5F" w14:paraId="24345E29" w14:textId="77777777" w:rsidTr="001B1DB2">
        <w:tc>
          <w:tcPr>
            <w:tcW w:w="9026" w:type="dxa"/>
            <w:vAlign w:val="bottom"/>
            <w:hideMark/>
          </w:tcPr>
          <w:p w14:paraId="0067ABBF" w14:textId="42A951AF" w:rsidR="002D6F5F" w:rsidRPr="002D6F5F" w:rsidRDefault="00D56C32" w:rsidP="0077616C">
            <w:pPr>
              <w:rPr>
                <w:rFonts w:cs="Arial"/>
              </w:rPr>
            </w:pPr>
            <w:r>
              <w:rPr>
                <w:rFonts w:ascii="Calibri" w:hAnsi="Calibri" w:cs="Calibri"/>
              </w:rPr>
              <w:t xml:space="preserve">Commonwealth Bureau of Census and Statistics. </w:t>
            </w:r>
            <w:r>
              <w:rPr>
                <w:rFonts w:ascii="Calibri" w:hAnsi="Calibri" w:cs="Calibri"/>
                <w:i/>
                <w:iCs/>
              </w:rPr>
              <w:t>Official Year Book of the Commonwealth of Australia: No. 37 – 1946 and 1947</w:t>
            </w:r>
            <w:r>
              <w:rPr>
                <w:rFonts w:ascii="Calibri" w:hAnsi="Calibri" w:cs="Calibri"/>
              </w:rPr>
              <w:t xml:space="preserve"> (Canberra), </w:t>
            </w:r>
            <w:hyperlink r:id="rId263" w:history="1">
              <w:r w:rsidR="00AE434D" w:rsidRPr="00A8752B">
                <w:rPr>
                  <w:rStyle w:val="Hyperlink"/>
                  <w:rFonts w:ascii="Calibri" w:hAnsi="Calibri" w:cs="Calibri"/>
                </w:rPr>
                <w:t>www.abs.gov.au/AUSSTATS/abs@.nsf/DetailsPage/1301.01946-47?OpenDocument</w:t>
              </w:r>
            </w:hyperlink>
            <w:r w:rsidR="00AE434D">
              <w:rPr>
                <w:rFonts w:ascii="Calibri" w:hAnsi="Calibri" w:cs="Calibri"/>
              </w:rPr>
              <w:t xml:space="preserve">. </w:t>
            </w:r>
          </w:p>
        </w:tc>
      </w:tr>
      <w:tr w:rsidR="002D6F5F" w:rsidRPr="002D6F5F" w14:paraId="10A7582A" w14:textId="77777777" w:rsidTr="001B1DB2">
        <w:tc>
          <w:tcPr>
            <w:tcW w:w="9026" w:type="dxa"/>
            <w:vAlign w:val="bottom"/>
            <w:hideMark/>
          </w:tcPr>
          <w:p w14:paraId="58109EC2" w14:textId="76D87002" w:rsidR="002D6F5F" w:rsidRPr="002D6F5F" w:rsidRDefault="00D56C32" w:rsidP="0077616C">
            <w:pPr>
              <w:rPr>
                <w:rFonts w:cs="Arial"/>
              </w:rPr>
            </w:pPr>
            <w:r>
              <w:rPr>
                <w:rFonts w:ascii="Calibri" w:hAnsi="Calibri" w:cs="Calibri"/>
              </w:rPr>
              <w:t xml:space="preserve">Croucher, Gwilym and Massaro, Vin. </w:t>
            </w:r>
            <w:r>
              <w:rPr>
                <w:rFonts w:ascii="Calibri" w:hAnsi="Calibri" w:cs="Calibri"/>
                <w:i/>
                <w:iCs/>
              </w:rPr>
              <w:t>Submission in response to the Australian Universities Accord Discussion Paper</w:t>
            </w:r>
            <w:r>
              <w:rPr>
                <w:rFonts w:ascii="Calibri" w:hAnsi="Calibri" w:cs="Calibri"/>
              </w:rPr>
              <w:t xml:space="preserve">, 2023, </w:t>
            </w:r>
            <w:hyperlink r:id="rId264" w:history="1">
              <w:r w:rsidR="00AE434D" w:rsidRPr="00A8752B">
                <w:rPr>
                  <w:rStyle w:val="Hyperlink"/>
                  <w:rFonts w:ascii="Calibri" w:hAnsi="Calibri" w:cs="Calibri"/>
                </w:rPr>
                <w:t>www.education.gov.au/system/files/documents/submission-file/2023-04/AUA_tranche3_Gwilym%20Croucher%20%26amp%3B%20%20Vin%20Massaro.pdf</w:t>
              </w:r>
            </w:hyperlink>
            <w:r w:rsidR="00AE434D">
              <w:rPr>
                <w:rFonts w:ascii="Calibri" w:hAnsi="Calibri" w:cs="Calibri"/>
              </w:rPr>
              <w:t xml:space="preserve">. </w:t>
            </w:r>
            <w:r>
              <w:rPr>
                <w:rFonts w:ascii="Calibri" w:hAnsi="Calibri" w:cs="Calibri"/>
              </w:rPr>
              <w:t xml:space="preserve"> </w:t>
            </w:r>
          </w:p>
        </w:tc>
      </w:tr>
      <w:tr w:rsidR="002D6F5F" w:rsidRPr="002D6F5F" w14:paraId="09DD3EF2" w14:textId="77777777" w:rsidTr="001B1DB2">
        <w:tc>
          <w:tcPr>
            <w:tcW w:w="9026" w:type="dxa"/>
            <w:vAlign w:val="bottom"/>
            <w:hideMark/>
          </w:tcPr>
          <w:p w14:paraId="7EEDF502" w14:textId="1EC75108" w:rsidR="002D6F5F" w:rsidRPr="002D6F5F" w:rsidRDefault="00D56C32" w:rsidP="0077616C">
            <w:pPr>
              <w:rPr>
                <w:rFonts w:cs="Arial"/>
              </w:rPr>
            </w:pPr>
            <w:r>
              <w:rPr>
                <w:rFonts w:ascii="Calibri" w:hAnsi="Calibri" w:cstheme="minorHAnsi"/>
              </w:rPr>
              <w:lastRenderedPageBreak/>
              <w:t xml:space="preserve">Croucher, Gwilym and </w:t>
            </w:r>
            <w:proofErr w:type="spellStart"/>
            <w:r>
              <w:rPr>
                <w:rFonts w:ascii="Calibri" w:hAnsi="Calibri" w:cstheme="minorHAnsi"/>
              </w:rPr>
              <w:t>Woelert</w:t>
            </w:r>
            <w:proofErr w:type="spellEnd"/>
            <w:r>
              <w:rPr>
                <w:rFonts w:ascii="Calibri" w:hAnsi="Calibri" w:cstheme="minorHAnsi"/>
              </w:rPr>
              <w:t xml:space="preserve">, Peter. “Administrative transformation and managerial growth: a longitudinal analysis of changes in the non-academic workforce at Australian universities,” </w:t>
            </w:r>
            <w:r>
              <w:rPr>
                <w:rFonts w:ascii="Calibri" w:hAnsi="Calibri" w:cs="Calibri"/>
                <w:i/>
                <w:iCs/>
              </w:rPr>
              <w:t>Higher Education</w:t>
            </w:r>
            <w:r>
              <w:rPr>
                <w:rFonts w:ascii="Calibri" w:hAnsi="Calibri" w:cs="Calibri"/>
              </w:rPr>
              <w:t xml:space="preserve"> (August 2021): </w:t>
            </w:r>
            <w:hyperlink r:id="rId265" w:history="1">
              <w:r w:rsidR="00AE434D" w:rsidRPr="00A8752B">
                <w:rPr>
                  <w:rStyle w:val="Hyperlink"/>
                  <w:rFonts w:ascii="Calibri" w:hAnsi="Calibri" w:cs="Calibri"/>
                </w:rPr>
                <w:t>doi.org/10.1007/s10734-021-00759-8</w:t>
              </w:r>
            </w:hyperlink>
            <w:r w:rsidR="00AE434D">
              <w:rPr>
                <w:rFonts w:ascii="Calibri" w:hAnsi="Calibri" w:cs="Calibri"/>
              </w:rPr>
              <w:t xml:space="preserve">. </w:t>
            </w:r>
          </w:p>
        </w:tc>
      </w:tr>
      <w:tr w:rsidR="002D6F5F" w:rsidRPr="002D6F5F" w14:paraId="1AB1987B" w14:textId="77777777" w:rsidTr="001B1DB2">
        <w:tc>
          <w:tcPr>
            <w:tcW w:w="9026" w:type="dxa"/>
            <w:vAlign w:val="bottom"/>
            <w:hideMark/>
          </w:tcPr>
          <w:p w14:paraId="07C48F14" w14:textId="31FEDCC9" w:rsidR="002D6F5F" w:rsidRPr="002D6F5F" w:rsidRDefault="00D56C32" w:rsidP="0077616C">
            <w:pPr>
              <w:rPr>
                <w:rFonts w:cs="Arial"/>
              </w:rPr>
            </w:pPr>
            <w:r>
              <w:rPr>
                <w:rFonts w:ascii="Calibri" w:hAnsi="Calibri" w:cstheme="minorHAnsi"/>
              </w:rPr>
              <w:t xml:space="preserve">Croucher, Gwilym. “Three Decades of Change in Australia’s University Workforce,” (Melbourne Centre for the Study of Higher Education, September 2023): </w:t>
            </w:r>
            <w:hyperlink r:id="rId266" w:history="1">
              <w:r w:rsidR="00AE434D" w:rsidRPr="00A8752B">
                <w:rPr>
                  <w:rStyle w:val="Hyperlink"/>
                  <w:rFonts w:ascii="Calibri" w:hAnsi="Calibri" w:cstheme="minorHAnsi"/>
                </w:rPr>
                <w:t>www.doi.org/10.26188/23995704</w:t>
              </w:r>
            </w:hyperlink>
            <w:r w:rsidR="00AE434D">
              <w:rPr>
                <w:rFonts w:ascii="Calibri" w:hAnsi="Calibri" w:cstheme="minorHAnsi"/>
              </w:rPr>
              <w:t xml:space="preserve">. </w:t>
            </w:r>
            <w:r>
              <w:rPr>
                <w:rFonts w:ascii="Calibri" w:hAnsi="Calibri" w:cstheme="minorHAnsi"/>
              </w:rPr>
              <w:t xml:space="preserve">  </w:t>
            </w:r>
          </w:p>
        </w:tc>
      </w:tr>
      <w:tr w:rsidR="002D6F5F" w:rsidRPr="002D6F5F" w14:paraId="12BFBE69" w14:textId="77777777" w:rsidTr="001B1DB2">
        <w:tc>
          <w:tcPr>
            <w:tcW w:w="9026" w:type="dxa"/>
            <w:vAlign w:val="center"/>
            <w:hideMark/>
          </w:tcPr>
          <w:p w14:paraId="2A337296" w14:textId="2491570A" w:rsidR="002D6F5F" w:rsidRPr="002D6F5F" w:rsidRDefault="00D56C32" w:rsidP="0077616C">
            <w:pPr>
              <w:rPr>
                <w:rFonts w:cs="Arial"/>
              </w:rPr>
            </w:pPr>
            <w:r>
              <w:rPr>
                <w:rFonts w:ascii="Calibri" w:hAnsi="Calibri" w:cs="Calibri"/>
              </w:rPr>
              <w:t xml:space="preserve">Curtin Student Guild. </w:t>
            </w:r>
            <w:r>
              <w:rPr>
                <w:rFonts w:ascii="Calibri" w:hAnsi="Calibri" w:cs="Calibri"/>
                <w:i/>
                <w:iCs/>
              </w:rPr>
              <w:t>Submission to the Australian Universities Accord Priorities,</w:t>
            </w:r>
            <w:r>
              <w:rPr>
                <w:rFonts w:ascii="Calibri" w:hAnsi="Calibri" w:cs="Calibri"/>
              </w:rPr>
              <w:t xml:space="preserve"> 2023, </w:t>
            </w:r>
            <w:hyperlink r:id="rId267" w:history="1">
              <w:r w:rsidR="00E32F0A" w:rsidRPr="00A8752B">
                <w:rPr>
                  <w:rStyle w:val="Hyperlink"/>
                  <w:rFonts w:ascii="Calibri" w:hAnsi="Calibri" w:cs="Calibri"/>
                </w:rPr>
                <w:t>www.education.gov.au/system/files/documents/submission-file/2023-02/AUA_priorities_Curtin%20Student%20Guild_0.pdf</w:t>
              </w:r>
            </w:hyperlink>
            <w:r w:rsidR="00E32F0A">
              <w:rPr>
                <w:rFonts w:ascii="Calibri" w:hAnsi="Calibri" w:cs="Calibri"/>
              </w:rPr>
              <w:t xml:space="preserve">. </w:t>
            </w:r>
          </w:p>
        </w:tc>
      </w:tr>
      <w:tr w:rsidR="002D6F5F" w:rsidRPr="002D6F5F" w14:paraId="36972881" w14:textId="77777777" w:rsidTr="001B1DB2">
        <w:tc>
          <w:tcPr>
            <w:tcW w:w="9026" w:type="dxa"/>
            <w:vAlign w:val="bottom"/>
            <w:hideMark/>
          </w:tcPr>
          <w:p w14:paraId="60F8746B" w14:textId="7668A560" w:rsidR="002D6F5F" w:rsidRPr="002D6F5F" w:rsidRDefault="00D56C32" w:rsidP="0077616C">
            <w:pPr>
              <w:rPr>
                <w:rFonts w:cs="Arial"/>
              </w:rPr>
            </w:pPr>
            <w:r>
              <w:rPr>
                <w:rFonts w:ascii="Calibri" w:hAnsi="Calibri" w:cs="Calibri"/>
              </w:rPr>
              <w:t xml:space="preserve">Cutler, Terry. </w:t>
            </w:r>
            <w:r>
              <w:rPr>
                <w:rFonts w:ascii="Calibri" w:hAnsi="Calibri" w:cs="Calibri"/>
                <w:i/>
                <w:iCs/>
              </w:rPr>
              <w:t xml:space="preserve">Alliances for Innovation and Economic Development: </w:t>
            </w:r>
            <w:proofErr w:type="gramStart"/>
            <w:r>
              <w:rPr>
                <w:rFonts w:ascii="Calibri" w:hAnsi="Calibri" w:cs="Calibri"/>
                <w:i/>
                <w:iCs/>
              </w:rPr>
              <w:t>the</w:t>
            </w:r>
            <w:proofErr w:type="gramEnd"/>
            <w:r>
              <w:rPr>
                <w:rFonts w:ascii="Calibri" w:hAnsi="Calibri" w:cs="Calibri"/>
                <w:i/>
                <w:iCs/>
              </w:rPr>
              <w:t xml:space="preserve"> Australian Experience</w:t>
            </w:r>
            <w:r>
              <w:rPr>
                <w:rFonts w:ascii="Calibri" w:hAnsi="Calibri" w:cs="Calibri"/>
              </w:rPr>
              <w:t xml:space="preserve"> (Melbourne: United Nations Economic Commission for Latin America and the Caribbean [ECLAC], and Culter and Company, 2008).</w:t>
            </w:r>
          </w:p>
        </w:tc>
      </w:tr>
      <w:tr w:rsidR="002D6F5F" w:rsidRPr="002D6F5F" w14:paraId="0833BC77" w14:textId="77777777" w:rsidTr="001B1DB2">
        <w:tc>
          <w:tcPr>
            <w:tcW w:w="9026" w:type="dxa"/>
            <w:vAlign w:val="center"/>
            <w:hideMark/>
          </w:tcPr>
          <w:p w14:paraId="5FF9AB76" w14:textId="4D27D009" w:rsidR="002D6F5F" w:rsidRPr="002D6F5F" w:rsidRDefault="00D56C32" w:rsidP="0077616C">
            <w:pPr>
              <w:rPr>
                <w:rFonts w:cs="Arial"/>
              </w:rPr>
            </w:pPr>
            <w:r>
              <w:rPr>
                <w:rFonts w:ascii="Calibri" w:hAnsi="Calibri" w:cs="Calibri"/>
              </w:rPr>
              <w:t xml:space="preserve">Davis, Glyn. “Why are Australian Universities so large?” </w:t>
            </w:r>
            <w:r>
              <w:rPr>
                <w:rFonts w:ascii="Calibri" w:hAnsi="Calibri" w:cs="Calibri"/>
                <w:i/>
                <w:iCs/>
              </w:rPr>
              <w:t>Australian Universities: A Conversation About Public Good</w:t>
            </w:r>
            <w:r>
              <w:rPr>
                <w:rFonts w:ascii="Calibri" w:hAnsi="Calibri" w:cs="Calibri"/>
              </w:rPr>
              <w:t>, edited by Julia Horne and Matthew A.M. Thomas, (Sydney: Sydney University Press, 2022).</w:t>
            </w:r>
          </w:p>
        </w:tc>
      </w:tr>
      <w:tr w:rsidR="002D6F5F" w:rsidRPr="002D6F5F" w14:paraId="646F6EB3" w14:textId="77777777" w:rsidTr="001B1DB2">
        <w:tc>
          <w:tcPr>
            <w:tcW w:w="9026" w:type="dxa"/>
            <w:vAlign w:val="center"/>
            <w:hideMark/>
          </w:tcPr>
          <w:p w14:paraId="43D1D89A" w14:textId="0B64CF66" w:rsidR="002D6F5F" w:rsidRPr="002D6F5F" w:rsidRDefault="00D56C32" w:rsidP="0077616C">
            <w:pPr>
              <w:rPr>
                <w:rFonts w:cs="Arial"/>
              </w:rPr>
            </w:pPr>
            <w:r>
              <w:rPr>
                <w:rFonts w:ascii="Calibri" w:hAnsi="Calibri" w:cs="Calibri"/>
              </w:rPr>
              <w:t xml:space="preserve">Davis, Glyn. </w:t>
            </w:r>
            <w:r>
              <w:rPr>
                <w:rFonts w:ascii="Calibri" w:hAnsi="Calibri" w:cs="Calibri"/>
                <w:i/>
                <w:iCs/>
              </w:rPr>
              <w:t>The Australian Idea of a University</w:t>
            </w:r>
            <w:r>
              <w:rPr>
                <w:rFonts w:ascii="Calibri" w:hAnsi="Calibri" w:cs="Calibri"/>
              </w:rPr>
              <w:t xml:space="preserve"> (Melbourne: Melbourne University Press, 2017).</w:t>
            </w:r>
          </w:p>
        </w:tc>
      </w:tr>
      <w:tr w:rsidR="002D6F5F" w:rsidRPr="002D6F5F" w14:paraId="102315AF" w14:textId="77777777" w:rsidTr="001B1DB2">
        <w:tc>
          <w:tcPr>
            <w:tcW w:w="9026" w:type="dxa"/>
            <w:vAlign w:val="bottom"/>
            <w:hideMark/>
          </w:tcPr>
          <w:p w14:paraId="21F6B24E" w14:textId="4C6E79CA" w:rsidR="002D6F5F" w:rsidRPr="002D6F5F" w:rsidRDefault="00D56C32" w:rsidP="0077616C">
            <w:pPr>
              <w:rPr>
                <w:rFonts w:cs="Arial"/>
              </w:rPr>
            </w:pPr>
            <w:r>
              <w:rPr>
                <w:rFonts w:ascii="Calibri" w:hAnsi="Calibri" w:cs="Calibri"/>
              </w:rPr>
              <w:t xml:space="preserve">Dawkins, John S. </w:t>
            </w:r>
            <w:r>
              <w:rPr>
                <w:rFonts w:ascii="Calibri" w:hAnsi="Calibri" w:cs="Calibri"/>
                <w:i/>
                <w:iCs/>
              </w:rPr>
              <w:t>Higher Education: a policy statement</w:t>
            </w:r>
            <w:r>
              <w:rPr>
                <w:rFonts w:ascii="Calibri" w:hAnsi="Calibri" w:cs="Calibri"/>
              </w:rPr>
              <w:t xml:space="preserve">, (Canberra: Department of Employment, Education and Training, 1988), accessed 20 November 2023, </w:t>
            </w:r>
            <w:hyperlink r:id="rId268" w:history="1">
              <w:r w:rsidR="00E32F0A" w:rsidRPr="00A8752B">
                <w:rPr>
                  <w:rStyle w:val="Hyperlink"/>
                  <w:rFonts w:ascii="Calibri" w:hAnsi="Calibri" w:cs="Calibri"/>
                </w:rPr>
                <w:t>hdl.voced.edu.au/10707/162333</w:t>
              </w:r>
            </w:hyperlink>
            <w:r w:rsidR="00E32F0A">
              <w:rPr>
                <w:rFonts w:ascii="Calibri" w:hAnsi="Calibri" w:cs="Calibri"/>
              </w:rPr>
              <w:t xml:space="preserve">. </w:t>
            </w:r>
          </w:p>
        </w:tc>
      </w:tr>
      <w:tr w:rsidR="002D6F5F" w:rsidRPr="002D6F5F" w14:paraId="7B9E63B4" w14:textId="77777777" w:rsidTr="001B1DB2">
        <w:tc>
          <w:tcPr>
            <w:tcW w:w="9026" w:type="dxa"/>
            <w:vAlign w:val="center"/>
            <w:hideMark/>
          </w:tcPr>
          <w:p w14:paraId="2D0388A8" w14:textId="60638129" w:rsidR="002D6F5F" w:rsidRPr="002D6F5F" w:rsidRDefault="00D56C32" w:rsidP="0077616C">
            <w:pPr>
              <w:rPr>
                <w:rFonts w:cs="Arial"/>
              </w:rPr>
            </w:pPr>
            <w:r>
              <w:rPr>
                <w:rFonts w:ascii="Calibri" w:hAnsi="Calibri" w:cs="Calibri"/>
              </w:rPr>
              <w:t xml:space="preserve">De Bortoli, Lisa; Underwood, Catherine and Thomson, Sue. </w:t>
            </w:r>
            <w:r>
              <w:rPr>
                <w:rFonts w:ascii="Calibri" w:hAnsi="Calibri" w:cs="Calibri"/>
                <w:i/>
                <w:iCs/>
              </w:rPr>
              <w:t>PISA 2022: Reporting Australia’s results: Volume I Student performance and equity in education</w:t>
            </w:r>
            <w:r>
              <w:rPr>
                <w:rFonts w:ascii="Calibri" w:hAnsi="Calibri" w:cs="Calibri"/>
              </w:rPr>
              <w:t xml:space="preserve">, (Australian Council for Educational Research, 2023), accessed 5 December 2023, </w:t>
            </w:r>
            <w:hyperlink r:id="rId269" w:history="1">
              <w:r w:rsidR="00E32F0A" w:rsidRPr="00A8752B">
                <w:rPr>
                  <w:rStyle w:val="Hyperlink"/>
                  <w:rFonts w:ascii="Calibri" w:hAnsi="Calibri" w:cs="Calibri"/>
                </w:rPr>
                <w:t>research.acer.edu.au/cgi/viewcontent.cgi?article=1056&amp;context=ozpisa</w:t>
              </w:r>
            </w:hyperlink>
            <w:r w:rsidR="00E32F0A">
              <w:rPr>
                <w:rFonts w:ascii="Calibri" w:hAnsi="Calibri" w:cs="Calibri"/>
              </w:rPr>
              <w:t xml:space="preserve">. </w:t>
            </w:r>
          </w:p>
        </w:tc>
      </w:tr>
      <w:tr w:rsidR="002D6F5F" w:rsidRPr="002D6F5F" w14:paraId="41799B54" w14:textId="77777777" w:rsidTr="001B1DB2">
        <w:tc>
          <w:tcPr>
            <w:tcW w:w="9026" w:type="dxa"/>
            <w:vAlign w:val="bottom"/>
            <w:hideMark/>
          </w:tcPr>
          <w:p w14:paraId="0663E5F5" w14:textId="2B013C9B" w:rsidR="002D6F5F" w:rsidRPr="002D6F5F" w:rsidRDefault="00D56C32" w:rsidP="0077616C">
            <w:pPr>
              <w:rPr>
                <w:rFonts w:cs="Arial"/>
              </w:rPr>
            </w:pPr>
            <w:proofErr w:type="spellStart"/>
            <w:r>
              <w:rPr>
                <w:rFonts w:ascii="Calibri" w:hAnsi="Calibri" w:cs="Calibri"/>
              </w:rPr>
              <w:t>DeakinCo</w:t>
            </w:r>
            <w:proofErr w:type="spellEnd"/>
            <w:r>
              <w:rPr>
                <w:rFonts w:ascii="Calibri" w:hAnsi="Calibri" w:cs="Calibri"/>
              </w:rPr>
              <w:t xml:space="preserve"> and Deloitte Access Economics. </w:t>
            </w:r>
            <w:r>
              <w:rPr>
                <w:rFonts w:ascii="Calibri" w:hAnsi="Calibri" w:cs="Calibri"/>
                <w:i/>
                <w:iCs/>
              </w:rPr>
              <w:t>Soft skills for business success</w:t>
            </w:r>
            <w:r>
              <w:rPr>
                <w:rFonts w:ascii="Calibri" w:hAnsi="Calibri" w:cs="Calibri"/>
              </w:rPr>
              <w:t xml:space="preserve">, (May 2017), accessed 5 October 2023, </w:t>
            </w:r>
            <w:hyperlink r:id="rId270" w:history="1">
              <w:r w:rsidR="00E32F0A" w:rsidRPr="00A8752B">
                <w:rPr>
                  <w:rStyle w:val="Hyperlink"/>
                  <w:rFonts w:ascii="Calibri" w:hAnsi="Calibri" w:cs="Calibri"/>
                </w:rPr>
                <w:t>www.deloitte.com/au/en/services/economics/perspectives/soft-skills-business-success.html</w:t>
              </w:r>
            </w:hyperlink>
            <w:r w:rsidR="00E32F0A">
              <w:rPr>
                <w:rFonts w:ascii="Calibri" w:hAnsi="Calibri" w:cs="Calibri"/>
              </w:rPr>
              <w:t xml:space="preserve">. </w:t>
            </w:r>
          </w:p>
        </w:tc>
      </w:tr>
      <w:tr w:rsidR="002D6F5F" w:rsidRPr="002D6F5F" w14:paraId="11519BAB" w14:textId="77777777" w:rsidTr="001B1DB2">
        <w:tc>
          <w:tcPr>
            <w:tcW w:w="9026" w:type="dxa"/>
            <w:vAlign w:val="center"/>
            <w:hideMark/>
          </w:tcPr>
          <w:p w14:paraId="7148CF9D" w14:textId="3A6B5EC8" w:rsidR="002D6F5F" w:rsidRPr="002D6F5F" w:rsidRDefault="00D56C32" w:rsidP="0077616C">
            <w:pPr>
              <w:rPr>
                <w:rFonts w:cs="Arial"/>
              </w:rPr>
            </w:pPr>
            <w:r>
              <w:rPr>
                <w:rFonts w:ascii="Calibri" w:hAnsi="Calibri" w:cs="Calibri"/>
              </w:rPr>
              <w:t xml:space="preserve">Dean, Jenny; Downes, Natalie and Roberts, Philip. “Access to and equity in the curriculum in the Australian government secondary school system,” </w:t>
            </w:r>
            <w:r>
              <w:rPr>
                <w:rFonts w:ascii="Calibri" w:hAnsi="Calibri" w:cs="Calibri"/>
                <w:i/>
                <w:iCs/>
              </w:rPr>
              <w:t>SN Social Sciences,</w:t>
            </w:r>
            <w:r>
              <w:rPr>
                <w:rFonts w:ascii="Calibri" w:hAnsi="Calibri" w:cs="Calibri"/>
              </w:rPr>
              <w:t xml:space="preserve"> 3, 64 (2023), </w:t>
            </w:r>
            <w:hyperlink r:id="rId271" w:history="1">
              <w:r w:rsidR="00E32F0A" w:rsidRPr="00A8752B">
                <w:rPr>
                  <w:rStyle w:val="Hyperlink"/>
                  <w:rFonts w:ascii="Calibri" w:hAnsi="Calibri" w:cs="Calibri"/>
                </w:rPr>
                <w:t>doi.org/10.1007/s43545-023-00641-7</w:t>
              </w:r>
            </w:hyperlink>
            <w:r w:rsidR="00E32F0A">
              <w:rPr>
                <w:rFonts w:ascii="Calibri" w:hAnsi="Calibri" w:cs="Calibri"/>
              </w:rPr>
              <w:t xml:space="preserve">. </w:t>
            </w:r>
          </w:p>
        </w:tc>
      </w:tr>
      <w:tr w:rsidR="002D6F5F" w:rsidRPr="002D6F5F" w14:paraId="29CBEC40" w14:textId="77777777" w:rsidTr="001B1DB2">
        <w:tc>
          <w:tcPr>
            <w:tcW w:w="9026" w:type="dxa"/>
            <w:vAlign w:val="center"/>
            <w:hideMark/>
          </w:tcPr>
          <w:p w14:paraId="02CDBCAD" w14:textId="4F1ECCED" w:rsidR="002D6F5F" w:rsidRPr="002D6F5F" w:rsidRDefault="00D56C32" w:rsidP="0077616C">
            <w:pPr>
              <w:rPr>
                <w:rFonts w:cs="Arial"/>
              </w:rPr>
            </w:pPr>
            <w:proofErr w:type="spellStart"/>
            <w:r>
              <w:rPr>
                <w:rFonts w:ascii="Calibri" w:hAnsi="Calibri" w:cs="Calibri"/>
              </w:rPr>
              <w:t>Dell'Acqua</w:t>
            </w:r>
            <w:proofErr w:type="spellEnd"/>
            <w:r>
              <w:rPr>
                <w:rFonts w:ascii="Calibri" w:hAnsi="Calibri" w:cs="Calibri"/>
              </w:rPr>
              <w:t>, Fabrizio</w:t>
            </w:r>
            <w:r w:rsidR="00344E37">
              <w:rPr>
                <w:rFonts w:ascii="Calibri" w:hAnsi="Calibri" w:cs="Calibri"/>
              </w:rPr>
              <w:t xml:space="preserve">; </w:t>
            </w:r>
            <w:proofErr w:type="spellStart"/>
            <w:r w:rsidR="00344E37" w:rsidRPr="00344E37">
              <w:rPr>
                <w:rFonts w:ascii="Calibri" w:hAnsi="Calibri" w:cs="Calibri"/>
              </w:rPr>
              <w:t>McFowland</w:t>
            </w:r>
            <w:proofErr w:type="spellEnd"/>
            <w:r w:rsidR="00344E37" w:rsidRPr="00344E37">
              <w:rPr>
                <w:rFonts w:ascii="Calibri" w:hAnsi="Calibri" w:cs="Calibri"/>
              </w:rPr>
              <w:t xml:space="preserve">, Edward; Mollick, Ethan R.; Lifshitz-Assaf, Hila; Kellogg, Katherine; Rajendran, Saran; Krayer, Lisa; </w:t>
            </w:r>
            <w:proofErr w:type="spellStart"/>
            <w:r w:rsidR="00344E37" w:rsidRPr="00344E37">
              <w:rPr>
                <w:rFonts w:ascii="Calibri" w:hAnsi="Calibri" w:cs="Calibri"/>
              </w:rPr>
              <w:t>Candelon</w:t>
            </w:r>
            <w:proofErr w:type="spellEnd"/>
            <w:r w:rsidR="00344E37" w:rsidRPr="00344E37">
              <w:rPr>
                <w:rFonts w:ascii="Calibri" w:hAnsi="Calibri" w:cs="Calibri"/>
              </w:rPr>
              <w:t>, Francois and Lakhani, Karim R</w:t>
            </w:r>
            <w:r>
              <w:rPr>
                <w:rFonts w:ascii="Calibri" w:hAnsi="Calibri" w:cs="Calibri"/>
              </w:rPr>
              <w:t xml:space="preserve">. </w:t>
            </w:r>
            <w:r>
              <w:rPr>
                <w:rFonts w:ascii="Calibri" w:hAnsi="Calibri" w:cs="Calibri"/>
                <w:i/>
                <w:iCs/>
              </w:rPr>
              <w:t>Navigating the Jagged Technological Frontier: Field Experimental Evidence of the Effects of AI on Knowledge Worker Productivity and Quality,</w:t>
            </w:r>
            <w:r>
              <w:rPr>
                <w:rFonts w:ascii="Calibri" w:hAnsi="Calibri" w:cs="Calibri"/>
              </w:rPr>
              <w:t xml:space="preserve"> Harvard Business School Technology &amp; Operations Mgt. Unit Working Paper No. 24-013 (September 15, 2023), </w:t>
            </w:r>
            <w:hyperlink r:id="rId272" w:history="1">
              <w:r w:rsidR="00E32F0A" w:rsidRPr="00A8752B">
                <w:rPr>
                  <w:rStyle w:val="Hyperlink"/>
                  <w:rFonts w:ascii="Calibri" w:hAnsi="Calibri" w:cs="Calibri"/>
                </w:rPr>
                <w:t>dx.doi.org/10.2139/ssrn.4573321</w:t>
              </w:r>
            </w:hyperlink>
            <w:r w:rsidR="00E32F0A">
              <w:rPr>
                <w:rFonts w:ascii="Calibri" w:hAnsi="Calibri" w:cs="Calibri"/>
              </w:rPr>
              <w:t xml:space="preserve">. </w:t>
            </w:r>
          </w:p>
        </w:tc>
      </w:tr>
      <w:tr w:rsidR="002D6F5F" w:rsidRPr="002D6F5F" w14:paraId="37110E28" w14:textId="77777777" w:rsidTr="001B1DB2">
        <w:tc>
          <w:tcPr>
            <w:tcW w:w="9026" w:type="dxa"/>
            <w:vAlign w:val="bottom"/>
            <w:hideMark/>
          </w:tcPr>
          <w:p w14:paraId="0F331DF6" w14:textId="660FED22" w:rsidR="002D6F5F" w:rsidRPr="002D6F5F" w:rsidRDefault="00D56C32" w:rsidP="0077616C">
            <w:pPr>
              <w:rPr>
                <w:rFonts w:cs="Arial"/>
              </w:rPr>
            </w:pPr>
            <w:r>
              <w:rPr>
                <w:rFonts w:ascii="Calibri" w:hAnsi="Calibri" w:cs="Calibri"/>
              </w:rPr>
              <w:t xml:space="preserve">Deloitte Economics Australia. Transparency in Higher Education Expenditure, (Canberra: Department of Education, Skills and Employment, June 2022), 74, </w:t>
            </w:r>
            <w:hyperlink r:id="rId273" w:history="1">
              <w:r w:rsidR="00E32F0A" w:rsidRPr="00A8752B">
                <w:rPr>
                  <w:rStyle w:val="Hyperlink"/>
                </w:rPr>
                <w:t>www.education.gov.au/system/files/documents/submission-file/2023-02/AUA_priorities_Curtin%20Student%20Guild_0.pdf</w:t>
              </w:r>
            </w:hyperlink>
            <w:r w:rsidR="00E32F0A">
              <w:t xml:space="preserve">. </w:t>
            </w:r>
            <w:r w:rsidR="00E32F0A">
              <w:rPr>
                <w:rFonts w:ascii="Calibri" w:hAnsi="Calibri" w:cs="Calibri"/>
              </w:rPr>
              <w:t xml:space="preserve"> </w:t>
            </w:r>
          </w:p>
        </w:tc>
      </w:tr>
      <w:tr w:rsidR="002D6F5F" w:rsidRPr="002D6F5F" w14:paraId="7F95C885" w14:textId="77777777" w:rsidTr="001B1DB2">
        <w:tc>
          <w:tcPr>
            <w:tcW w:w="9026" w:type="dxa"/>
            <w:vAlign w:val="bottom"/>
            <w:hideMark/>
          </w:tcPr>
          <w:p w14:paraId="2458D951" w14:textId="2163D52E" w:rsidR="002D6F5F" w:rsidRPr="002D6F5F" w:rsidRDefault="00D56C32" w:rsidP="0077616C">
            <w:pPr>
              <w:rPr>
                <w:rFonts w:cs="Arial"/>
              </w:rPr>
            </w:pPr>
            <w:r>
              <w:rPr>
                <w:rFonts w:ascii="Calibri" w:hAnsi="Calibri" w:cstheme="minorHAnsi"/>
              </w:rPr>
              <w:t xml:space="preserve">Department of Climate Change, Energy, the Environment and Water. “Powering Australia,” revised 3 December 2023, </w:t>
            </w:r>
            <w:hyperlink r:id="rId274" w:history="1">
              <w:r w:rsidR="00E32F0A" w:rsidRPr="00A8752B">
                <w:rPr>
                  <w:rStyle w:val="Hyperlink"/>
                  <w:rFonts w:ascii="Calibri" w:hAnsi="Calibri" w:cstheme="minorHAnsi"/>
                </w:rPr>
                <w:t>www.energy.gov.au/government-priorities/australias-energy-strategies-and-frameworks/powering-australia</w:t>
              </w:r>
            </w:hyperlink>
            <w:r w:rsidR="00E32F0A">
              <w:rPr>
                <w:rFonts w:ascii="Calibri" w:hAnsi="Calibri" w:cstheme="minorHAnsi"/>
              </w:rPr>
              <w:t xml:space="preserve">. </w:t>
            </w:r>
          </w:p>
        </w:tc>
      </w:tr>
      <w:tr w:rsidR="002D6F5F" w:rsidRPr="002D6F5F" w14:paraId="53AD127A" w14:textId="77777777" w:rsidTr="001B1DB2">
        <w:tc>
          <w:tcPr>
            <w:tcW w:w="9026" w:type="dxa"/>
            <w:vAlign w:val="bottom"/>
            <w:hideMark/>
          </w:tcPr>
          <w:p w14:paraId="303A9D30" w14:textId="102247B5" w:rsidR="002D6F5F" w:rsidRPr="002D6F5F" w:rsidRDefault="00D56C32" w:rsidP="0077616C">
            <w:pPr>
              <w:rPr>
                <w:rFonts w:cs="Arial"/>
              </w:rPr>
            </w:pPr>
            <w:r>
              <w:rPr>
                <w:rFonts w:ascii="Calibri" w:hAnsi="Calibri" w:cs="Calibri"/>
              </w:rPr>
              <w:lastRenderedPageBreak/>
              <w:t>Department of Education and the Tertiary Admissions Centres. “</w:t>
            </w:r>
            <w:proofErr w:type="spellStart"/>
            <w:r>
              <w:rPr>
                <w:rFonts w:ascii="Calibri" w:hAnsi="Calibri" w:cs="Calibri"/>
              </w:rPr>
              <w:t>CourseSeeker</w:t>
            </w:r>
            <w:proofErr w:type="spellEnd"/>
            <w:r>
              <w:rPr>
                <w:rFonts w:ascii="Calibri" w:hAnsi="Calibri" w:cs="Calibri"/>
              </w:rPr>
              <w:t xml:space="preserve">,” accessed 10 December 2023, </w:t>
            </w:r>
            <w:hyperlink r:id="rId275" w:history="1">
              <w:r w:rsidR="00E32F0A" w:rsidRPr="00A8752B">
                <w:rPr>
                  <w:rStyle w:val="Hyperlink"/>
                  <w:rFonts w:ascii="Calibri" w:hAnsi="Calibri" w:cs="Calibri"/>
                </w:rPr>
                <w:t>www.courseseeker.edu.au/</w:t>
              </w:r>
            </w:hyperlink>
            <w:r w:rsidR="00E32F0A">
              <w:rPr>
                <w:rFonts w:ascii="Calibri" w:hAnsi="Calibri" w:cs="Calibri"/>
              </w:rPr>
              <w:t xml:space="preserve">. </w:t>
            </w:r>
          </w:p>
        </w:tc>
      </w:tr>
      <w:tr w:rsidR="002D6F5F" w:rsidRPr="002D6F5F" w14:paraId="7E10F63E" w14:textId="77777777" w:rsidTr="001B1DB2">
        <w:tc>
          <w:tcPr>
            <w:tcW w:w="9026" w:type="dxa"/>
            <w:vAlign w:val="bottom"/>
            <w:hideMark/>
          </w:tcPr>
          <w:p w14:paraId="31AABC92" w14:textId="2E397E05" w:rsidR="002D6F5F" w:rsidRPr="002D6F5F" w:rsidRDefault="00D56C32" w:rsidP="0077616C">
            <w:pPr>
              <w:rPr>
                <w:rFonts w:cs="Arial"/>
              </w:rPr>
            </w:pPr>
            <w:r>
              <w:rPr>
                <w:rFonts w:ascii="Calibri" w:hAnsi="Calibri" w:cs="Calibri"/>
              </w:rPr>
              <w:t xml:space="preserve">Department of Education and the Universities Admissions Centre. “What is a </w:t>
            </w:r>
            <w:proofErr w:type="spellStart"/>
            <w:r>
              <w:rPr>
                <w:rFonts w:ascii="Calibri" w:hAnsi="Calibri" w:cs="Calibri"/>
              </w:rPr>
              <w:t>Microcredential</w:t>
            </w:r>
            <w:proofErr w:type="spellEnd"/>
            <w:r>
              <w:rPr>
                <w:rFonts w:ascii="Calibri" w:hAnsi="Calibri" w:cs="Calibri"/>
              </w:rPr>
              <w:t xml:space="preserve">,” accessed 10 December 2023, </w:t>
            </w:r>
            <w:hyperlink r:id="rId276" w:history="1">
              <w:r w:rsidR="00E32F0A" w:rsidRPr="00A8752B">
                <w:rPr>
                  <w:rStyle w:val="Hyperlink"/>
                  <w:rFonts w:ascii="Calibri" w:hAnsi="Calibri" w:cs="Calibri"/>
                </w:rPr>
                <w:t>www.microcredseeker.edu.au/about</w:t>
              </w:r>
            </w:hyperlink>
            <w:r w:rsidR="00E32F0A">
              <w:rPr>
                <w:rFonts w:ascii="Calibri" w:hAnsi="Calibri" w:cs="Calibri"/>
              </w:rPr>
              <w:t xml:space="preserve">. </w:t>
            </w:r>
          </w:p>
        </w:tc>
      </w:tr>
      <w:tr w:rsidR="002D6F5F" w:rsidRPr="002D6F5F" w14:paraId="49163CCE" w14:textId="77777777" w:rsidTr="001B1DB2">
        <w:tc>
          <w:tcPr>
            <w:tcW w:w="9026" w:type="dxa"/>
            <w:vAlign w:val="center"/>
            <w:hideMark/>
          </w:tcPr>
          <w:p w14:paraId="6BC3941E" w14:textId="056FE3B2" w:rsidR="002D6F5F" w:rsidRPr="002D6F5F" w:rsidRDefault="00D56C32" w:rsidP="0077616C">
            <w:pPr>
              <w:rPr>
                <w:rFonts w:cs="Arial"/>
              </w:rPr>
            </w:pPr>
            <w:r>
              <w:rPr>
                <w:rFonts w:ascii="Calibri" w:hAnsi="Calibri" w:cs="Calibri"/>
              </w:rPr>
              <w:t xml:space="preserve">Department of Education and Training. </w:t>
            </w:r>
            <w:r>
              <w:rPr>
                <w:rFonts w:ascii="Calibri" w:hAnsi="Calibri" w:cs="Calibri"/>
                <w:i/>
                <w:iCs/>
              </w:rPr>
              <w:t xml:space="preserve">Review of the Australian Qualifications Framework: Final Report 2019, </w:t>
            </w:r>
            <w:r>
              <w:rPr>
                <w:rFonts w:ascii="Calibri" w:hAnsi="Calibri" w:cs="Calibri"/>
              </w:rPr>
              <w:t xml:space="preserve">(Canberra: 2019), </w:t>
            </w:r>
            <w:hyperlink r:id="rId277" w:history="1">
              <w:r w:rsidR="00E32F0A" w:rsidRPr="00A8752B">
                <w:rPr>
                  <w:rStyle w:val="Hyperlink"/>
                  <w:rFonts w:ascii="Calibri" w:hAnsi="Calibri" w:cs="Calibri"/>
                </w:rPr>
                <w:t>www.education.gov.au/higher-education-reviews-and-consultations/resources/review-australian-qualifications-framework-final-report-2019</w:t>
              </w:r>
            </w:hyperlink>
            <w:r w:rsidR="00E32F0A">
              <w:rPr>
                <w:rFonts w:ascii="Calibri" w:hAnsi="Calibri" w:cs="Calibri"/>
                <w:i/>
                <w:iCs/>
              </w:rPr>
              <w:t xml:space="preserve">. </w:t>
            </w:r>
          </w:p>
        </w:tc>
      </w:tr>
      <w:tr w:rsidR="002D6F5F" w:rsidRPr="002D6F5F" w14:paraId="0B278F59" w14:textId="77777777" w:rsidTr="001B1DB2">
        <w:tc>
          <w:tcPr>
            <w:tcW w:w="9026" w:type="dxa"/>
            <w:vAlign w:val="bottom"/>
            <w:hideMark/>
          </w:tcPr>
          <w:p w14:paraId="7527990D" w14:textId="5FF0EB83" w:rsidR="002D6F5F" w:rsidRPr="002D6F5F" w:rsidRDefault="002D6F5F" w:rsidP="0077616C">
            <w:pPr>
              <w:rPr>
                <w:rFonts w:cs="Arial"/>
              </w:rPr>
            </w:pPr>
            <w:r>
              <w:rPr>
                <w:rFonts w:ascii="Calibri" w:hAnsi="Calibri" w:cs="Calibri"/>
              </w:rPr>
              <w:t>Department of Education, Employment and Workplace Relations</w:t>
            </w:r>
            <w:r w:rsidR="00D56C32">
              <w:rPr>
                <w:rFonts w:ascii="Calibri" w:hAnsi="Calibri" w:cs="Calibri"/>
              </w:rPr>
              <w:t>.</w:t>
            </w:r>
            <w:r>
              <w:rPr>
                <w:rFonts w:ascii="Calibri" w:hAnsi="Calibri" w:cs="Calibri"/>
              </w:rPr>
              <w:t xml:space="preserve"> </w:t>
            </w:r>
            <w:r>
              <w:rPr>
                <w:rFonts w:ascii="Calibri" w:hAnsi="Calibri" w:cs="Calibri"/>
                <w:i/>
              </w:rPr>
              <w:t xml:space="preserve">Review of Australian Higher Education: Final Report </w:t>
            </w:r>
            <w:r>
              <w:rPr>
                <w:rFonts w:ascii="Calibri" w:hAnsi="Calibri" w:cs="Calibri"/>
              </w:rPr>
              <w:t xml:space="preserve">(Bradley Review) (Canberra: December 2008), </w:t>
            </w:r>
            <w:hyperlink r:id="rId278" w:history="1">
              <w:r w:rsidR="00E32F0A" w:rsidRPr="00A8752B">
                <w:rPr>
                  <w:rStyle w:val="Hyperlink"/>
                  <w:rFonts w:ascii="Calibri" w:hAnsi="Calibri" w:cs="Calibri"/>
                </w:rPr>
                <w:t>hdl.voced.edu.au/10707/44384</w:t>
              </w:r>
            </w:hyperlink>
            <w:r w:rsidR="00E32F0A">
              <w:rPr>
                <w:rFonts w:ascii="Calibri" w:hAnsi="Calibri" w:cs="Calibri"/>
              </w:rPr>
              <w:t xml:space="preserve">. </w:t>
            </w:r>
          </w:p>
        </w:tc>
      </w:tr>
      <w:tr w:rsidR="002D6F5F" w:rsidRPr="002D6F5F" w14:paraId="774BF1DF" w14:textId="77777777" w:rsidTr="001B1DB2">
        <w:tc>
          <w:tcPr>
            <w:tcW w:w="9026" w:type="dxa"/>
            <w:vAlign w:val="bottom"/>
            <w:hideMark/>
          </w:tcPr>
          <w:p w14:paraId="07B2F41F" w14:textId="183FC34D" w:rsidR="002D6F5F" w:rsidRPr="002D6F5F" w:rsidRDefault="002D6F5F" w:rsidP="0077616C">
            <w:pPr>
              <w:rPr>
                <w:rFonts w:cs="Arial"/>
              </w:rPr>
            </w:pPr>
            <w:r>
              <w:rPr>
                <w:rFonts w:ascii="Calibri" w:hAnsi="Calibri" w:cs="Calibri"/>
              </w:rPr>
              <w:t xml:space="preserve">Department of Education, </w:t>
            </w:r>
            <w:r>
              <w:rPr>
                <w:rFonts w:ascii="Calibri" w:hAnsi="Calibri" w:cs="Calibri"/>
                <w:i/>
              </w:rPr>
              <w:t xml:space="preserve">Higher Education </w:t>
            </w:r>
            <w:r w:rsidR="00D56C32">
              <w:rPr>
                <w:rFonts w:ascii="Calibri" w:hAnsi="Calibri" w:cs="Calibri"/>
                <w:i/>
                <w:iCs/>
              </w:rPr>
              <w:t>Statistics Collection – Staff Data</w:t>
            </w:r>
            <w:r>
              <w:rPr>
                <w:rFonts w:ascii="Calibri" w:hAnsi="Calibri" w:cs="Calibri"/>
              </w:rPr>
              <w:t xml:space="preserve"> [data set], </w:t>
            </w:r>
            <w:r w:rsidR="00D56C32">
              <w:rPr>
                <w:rFonts w:ascii="Calibri" w:hAnsi="Calibri" w:cs="Calibri"/>
              </w:rPr>
              <w:t xml:space="preserve">Table 2, </w:t>
            </w:r>
            <w:r>
              <w:rPr>
                <w:rFonts w:ascii="Calibri" w:hAnsi="Calibri" w:cs="Calibri"/>
              </w:rPr>
              <w:t>(Canberra</w:t>
            </w:r>
            <w:r w:rsidR="00D56C32">
              <w:rPr>
                <w:rFonts w:ascii="Calibri" w:hAnsi="Calibri" w:cs="Calibri"/>
              </w:rPr>
              <w:t>: 2022),</w:t>
            </w:r>
            <w:r>
              <w:rPr>
                <w:rFonts w:ascii="Calibri" w:hAnsi="Calibri" w:cs="Calibri"/>
              </w:rPr>
              <w:t xml:space="preserve"> accessed </w:t>
            </w:r>
            <w:r w:rsidR="00D56C32">
              <w:rPr>
                <w:rFonts w:ascii="Calibri" w:hAnsi="Calibri" w:cs="Calibri"/>
              </w:rPr>
              <w:t xml:space="preserve">20 November 2023, </w:t>
            </w:r>
            <w:hyperlink r:id="rId279" w:history="1">
              <w:r w:rsidR="00E32F0A" w:rsidRPr="00A8752B">
                <w:rPr>
                  <w:rStyle w:val="Hyperlink"/>
                  <w:rFonts w:ascii="Calibri" w:hAnsi="Calibri" w:cs="Calibri"/>
                </w:rPr>
                <w:t>www.education.gov.au/higher-education-statistics/staff-data/selected-higher-education-statistics-2022-staff-data</w:t>
              </w:r>
            </w:hyperlink>
            <w:r w:rsidR="00E32F0A">
              <w:rPr>
                <w:rFonts w:ascii="Calibri" w:hAnsi="Calibri" w:cs="Calibri"/>
              </w:rPr>
              <w:t xml:space="preserve">. </w:t>
            </w:r>
          </w:p>
        </w:tc>
      </w:tr>
      <w:tr w:rsidR="002D6F5F" w:rsidRPr="002D6F5F" w14:paraId="66368C32" w14:textId="77777777" w:rsidTr="001B1DB2">
        <w:tc>
          <w:tcPr>
            <w:tcW w:w="9026" w:type="dxa"/>
            <w:vAlign w:val="center"/>
            <w:hideMark/>
          </w:tcPr>
          <w:p w14:paraId="378AE316" w14:textId="79E3F231" w:rsidR="002D6F5F" w:rsidRPr="002D6F5F" w:rsidRDefault="00D56C32" w:rsidP="0077616C">
            <w:pPr>
              <w:rPr>
                <w:rFonts w:cs="Arial"/>
              </w:rPr>
            </w:pPr>
            <w:r>
              <w:rPr>
                <w:rFonts w:ascii="Calibri" w:hAnsi="Calibri" w:cs="Calibri"/>
              </w:rPr>
              <w:t xml:space="preserve">Department of Education, </w:t>
            </w:r>
            <w:proofErr w:type="gramStart"/>
            <w:r>
              <w:rPr>
                <w:rFonts w:ascii="Calibri" w:hAnsi="Calibri" w:cs="Calibri"/>
              </w:rPr>
              <w:t>Skills</w:t>
            </w:r>
            <w:proofErr w:type="gramEnd"/>
            <w:r>
              <w:rPr>
                <w:rFonts w:ascii="Calibri" w:hAnsi="Calibri" w:cs="Calibri"/>
              </w:rPr>
              <w:t xml:space="preserve"> and Employment. </w:t>
            </w:r>
            <w:r>
              <w:rPr>
                <w:rFonts w:ascii="Calibri" w:hAnsi="Calibri" w:cs="Calibri"/>
                <w:i/>
                <w:iCs/>
              </w:rPr>
              <w:t xml:space="preserve">Factors affecting higher education completions, </w:t>
            </w:r>
            <w:r>
              <w:rPr>
                <w:rFonts w:ascii="Calibri" w:hAnsi="Calibri" w:cs="Calibri"/>
              </w:rPr>
              <w:t xml:space="preserve">(Canberra: Department of Education, </w:t>
            </w:r>
            <w:proofErr w:type="gramStart"/>
            <w:r>
              <w:rPr>
                <w:rFonts w:ascii="Calibri" w:hAnsi="Calibri" w:cs="Calibri"/>
              </w:rPr>
              <w:t>Skills</w:t>
            </w:r>
            <w:proofErr w:type="gramEnd"/>
            <w:r>
              <w:rPr>
                <w:rFonts w:ascii="Calibri" w:hAnsi="Calibri" w:cs="Calibri"/>
              </w:rPr>
              <w:t xml:space="preserve"> and Employment, 2020)</w:t>
            </w:r>
          </w:p>
        </w:tc>
      </w:tr>
      <w:tr w:rsidR="002D6F5F" w:rsidRPr="002D6F5F" w14:paraId="735A1D62" w14:textId="77777777" w:rsidTr="001B1DB2">
        <w:tc>
          <w:tcPr>
            <w:tcW w:w="9026" w:type="dxa"/>
            <w:vAlign w:val="bottom"/>
            <w:hideMark/>
          </w:tcPr>
          <w:p w14:paraId="55AD45C3" w14:textId="3F2AD468" w:rsidR="002D6F5F" w:rsidRPr="002D6F5F" w:rsidRDefault="00D56C32" w:rsidP="0077616C">
            <w:pPr>
              <w:rPr>
                <w:rFonts w:cs="Arial"/>
              </w:rPr>
            </w:pPr>
            <w:r>
              <w:rPr>
                <w:rFonts w:ascii="Calibri" w:hAnsi="Calibri" w:cs="Calibri"/>
              </w:rPr>
              <w:t xml:space="preserve">Department of Education, </w:t>
            </w:r>
            <w:proofErr w:type="gramStart"/>
            <w:r>
              <w:rPr>
                <w:rFonts w:ascii="Calibri" w:hAnsi="Calibri" w:cs="Calibri"/>
              </w:rPr>
              <w:t>Skills</w:t>
            </w:r>
            <w:proofErr w:type="gramEnd"/>
            <w:r>
              <w:rPr>
                <w:rFonts w:ascii="Calibri" w:hAnsi="Calibri" w:cs="Calibri"/>
              </w:rPr>
              <w:t xml:space="preserve"> and Employment. </w:t>
            </w:r>
            <w:r>
              <w:rPr>
                <w:rFonts w:ascii="Calibri" w:hAnsi="Calibri" w:cs="Calibri"/>
                <w:i/>
                <w:iCs/>
              </w:rPr>
              <w:t xml:space="preserve">Research Commercialisation Action Plan </w:t>
            </w:r>
            <w:r>
              <w:rPr>
                <w:rFonts w:ascii="Calibri" w:hAnsi="Calibri" w:cs="Calibri"/>
              </w:rPr>
              <w:t xml:space="preserve">(Canberra: February, 2022), </w:t>
            </w:r>
            <w:hyperlink r:id="rId280" w:history="1">
              <w:r w:rsidR="00E32F0A" w:rsidRPr="00A8752B">
                <w:rPr>
                  <w:rStyle w:val="Hyperlink"/>
                </w:rPr>
                <w:t>www.education.gov.au/research-translation-and-commercialisation-agenda</w:t>
              </w:r>
            </w:hyperlink>
            <w:r w:rsidR="00E32F0A">
              <w:rPr>
                <w:rFonts w:ascii="Calibri" w:hAnsi="Calibri" w:cs="Calibri"/>
              </w:rPr>
              <w:t xml:space="preserve">. </w:t>
            </w:r>
          </w:p>
        </w:tc>
      </w:tr>
      <w:tr w:rsidR="002D6F5F" w:rsidRPr="002D6F5F" w14:paraId="49A947D3" w14:textId="77777777" w:rsidTr="001B1DB2">
        <w:tc>
          <w:tcPr>
            <w:tcW w:w="9026" w:type="dxa"/>
            <w:vAlign w:val="bottom"/>
            <w:hideMark/>
          </w:tcPr>
          <w:p w14:paraId="632626BF" w14:textId="69D158C6" w:rsidR="002D6F5F" w:rsidRPr="002D6F5F" w:rsidRDefault="00D56C32" w:rsidP="0077616C">
            <w:pPr>
              <w:rPr>
                <w:rFonts w:cs="Arial"/>
              </w:rPr>
            </w:pPr>
            <w:r>
              <w:rPr>
                <w:rFonts w:ascii="Calibri" w:hAnsi="Calibri" w:cs="Calibri"/>
              </w:rPr>
              <w:t xml:space="preserve">Department of Education. “Funding Outcomes,” Department of Education, revised 30 November 2023, </w:t>
            </w:r>
            <w:hyperlink r:id="rId281" w:history="1">
              <w:r w:rsidR="00E32F0A" w:rsidRPr="00A8752B">
                <w:rPr>
                  <w:rStyle w:val="Hyperlink"/>
                  <w:rFonts w:ascii="Calibri" w:hAnsi="Calibri" w:cs="Calibri"/>
                </w:rPr>
                <w:t>https://www.education.gov.au/national-industry-phd-program/funding-outcomes</w:t>
              </w:r>
            </w:hyperlink>
            <w:r w:rsidR="00E32F0A">
              <w:rPr>
                <w:rFonts w:ascii="Calibri" w:hAnsi="Calibri" w:cs="Calibri"/>
              </w:rPr>
              <w:t xml:space="preserve">. </w:t>
            </w:r>
          </w:p>
        </w:tc>
      </w:tr>
      <w:tr w:rsidR="002D6F5F" w:rsidRPr="002D6F5F" w14:paraId="5DCC9A89" w14:textId="77777777" w:rsidTr="001B1DB2">
        <w:tc>
          <w:tcPr>
            <w:tcW w:w="9026" w:type="dxa"/>
            <w:vAlign w:val="center"/>
            <w:hideMark/>
          </w:tcPr>
          <w:p w14:paraId="7E354CB4" w14:textId="7CCB7D2B" w:rsidR="002D6F5F" w:rsidRPr="002D6F5F" w:rsidRDefault="00D56C32" w:rsidP="0077616C">
            <w:pPr>
              <w:rPr>
                <w:rFonts w:cs="Arial"/>
              </w:rPr>
            </w:pPr>
            <w:r>
              <w:rPr>
                <w:rFonts w:ascii="Calibri" w:hAnsi="Calibri" w:cs="Calibri"/>
              </w:rPr>
              <w:t xml:space="preserve">Department of Education. “Research Translation and Commercialisation Agenda,” Department of Education, published 23 November 2023, </w:t>
            </w:r>
            <w:hyperlink r:id="rId282" w:history="1">
              <w:r w:rsidR="00E32F0A" w:rsidRPr="00A8752B">
                <w:rPr>
                  <w:rStyle w:val="Hyperlink"/>
                  <w:rFonts w:ascii="Calibri" w:hAnsi="Calibri" w:cs="Calibri"/>
                </w:rPr>
                <w:t>www.education.gov.au/research-translation-and-commercialisation-agenda</w:t>
              </w:r>
            </w:hyperlink>
            <w:r w:rsidR="00E32F0A">
              <w:rPr>
                <w:rFonts w:ascii="Calibri" w:hAnsi="Calibri" w:cs="Calibri"/>
              </w:rPr>
              <w:t xml:space="preserve">. </w:t>
            </w:r>
          </w:p>
        </w:tc>
      </w:tr>
      <w:tr w:rsidR="002D6F5F" w:rsidRPr="002D6F5F" w14:paraId="087965E0" w14:textId="77777777" w:rsidTr="001B1DB2">
        <w:tc>
          <w:tcPr>
            <w:tcW w:w="9026" w:type="dxa"/>
            <w:vAlign w:val="bottom"/>
            <w:hideMark/>
          </w:tcPr>
          <w:p w14:paraId="0D51716F" w14:textId="6F219BA8" w:rsidR="002D6F5F" w:rsidRPr="002D6F5F" w:rsidRDefault="00D56C32" w:rsidP="0077616C">
            <w:pPr>
              <w:rPr>
                <w:rFonts w:cs="Arial"/>
              </w:rPr>
            </w:pPr>
            <w:r>
              <w:rPr>
                <w:rFonts w:ascii="Calibri" w:hAnsi="Calibri" w:cs="Calibri"/>
              </w:rPr>
              <w:t xml:space="preserve">Department of Education. “Student Testimonials,” Regional University Study Hubs, published 20 October 2023, </w:t>
            </w:r>
            <w:hyperlink r:id="rId283" w:history="1">
              <w:r w:rsidR="00E32F0A" w:rsidRPr="00A8752B">
                <w:rPr>
                  <w:rStyle w:val="Hyperlink"/>
                  <w:rFonts w:ascii="Calibri" w:hAnsi="Calibri" w:cs="Calibri"/>
                </w:rPr>
                <w:t>www.education.gov.au/regional-university-study-hubs/student-testimonials</w:t>
              </w:r>
            </w:hyperlink>
            <w:r w:rsidR="00E32F0A">
              <w:rPr>
                <w:rFonts w:ascii="Calibri" w:hAnsi="Calibri" w:cs="Calibri"/>
              </w:rPr>
              <w:t xml:space="preserve">. </w:t>
            </w:r>
          </w:p>
        </w:tc>
      </w:tr>
      <w:tr w:rsidR="002D6F5F" w:rsidRPr="002D6F5F" w14:paraId="7C4E6E58" w14:textId="77777777" w:rsidTr="001B1DB2">
        <w:tc>
          <w:tcPr>
            <w:tcW w:w="9026" w:type="dxa"/>
            <w:vAlign w:val="center"/>
            <w:hideMark/>
          </w:tcPr>
          <w:p w14:paraId="3445FED8" w14:textId="6C0A4B36" w:rsidR="002D6F5F" w:rsidRPr="002D6F5F" w:rsidRDefault="00D56C32" w:rsidP="0077616C">
            <w:pPr>
              <w:rPr>
                <w:rFonts w:cs="Arial"/>
              </w:rPr>
            </w:pPr>
            <w:r>
              <w:rPr>
                <w:rFonts w:ascii="Calibri" w:hAnsi="Calibri" w:cs="Calibri"/>
              </w:rPr>
              <w:t xml:space="preserve">Department of Education. </w:t>
            </w:r>
            <w:r>
              <w:rPr>
                <w:rFonts w:ascii="Calibri" w:hAnsi="Calibri" w:cs="Calibri"/>
                <w:i/>
                <w:iCs/>
              </w:rPr>
              <w:t>Administrative data</w:t>
            </w:r>
            <w:r>
              <w:rPr>
                <w:rFonts w:ascii="Calibri" w:hAnsi="Calibri" w:cs="Calibri"/>
              </w:rPr>
              <w:t xml:space="preserve"> [unpublished], (Canberra: Department of Education, 2023).</w:t>
            </w:r>
          </w:p>
        </w:tc>
      </w:tr>
      <w:tr w:rsidR="002D6F5F" w:rsidRPr="002D6F5F" w14:paraId="6A10F143" w14:textId="77777777" w:rsidTr="001B1DB2">
        <w:tc>
          <w:tcPr>
            <w:tcW w:w="9026" w:type="dxa"/>
            <w:vAlign w:val="bottom"/>
            <w:hideMark/>
          </w:tcPr>
          <w:p w14:paraId="67EC29EA" w14:textId="3DF5677A" w:rsidR="002D6F5F" w:rsidRPr="002D6F5F" w:rsidRDefault="002D6F5F" w:rsidP="0077616C">
            <w:pPr>
              <w:rPr>
                <w:rFonts w:cs="Arial"/>
              </w:rPr>
            </w:pPr>
            <w:r>
              <w:rPr>
                <w:rFonts w:ascii="Calibri" w:hAnsi="Calibri" w:cs="Calibri"/>
              </w:rPr>
              <w:t>Department of Education</w:t>
            </w:r>
            <w:r w:rsidR="00D56C32">
              <w:rPr>
                <w:rFonts w:ascii="Calibri" w:hAnsi="Calibri" w:cs="Calibri"/>
              </w:rPr>
              <w:t xml:space="preserve">. </w:t>
            </w:r>
            <w:r w:rsidR="00D56C32">
              <w:rPr>
                <w:rFonts w:ascii="Calibri" w:hAnsi="Calibri" w:cs="Calibri"/>
                <w:i/>
                <w:iCs/>
              </w:rPr>
              <w:t>Analysis of Person Level Integrated Data Asset (using higher education data, Data Over Multiple Individual Occurrences (DOMINO) and taxation data from</w:t>
            </w:r>
            <w:r>
              <w:rPr>
                <w:rFonts w:ascii="Calibri" w:hAnsi="Calibri" w:cs="Calibri"/>
                <w:i/>
              </w:rPr>
              <w:t xml:space="preserve"> Education</w:t>
            </w:r>
            <w:r w:rsidR="00D56C32">
              <w:rPr>
                <w:rFonts w:ascii="Calibri" w:hAnsi="Calibri" w:cs="Calibri"/>
                <w:i/>
                <w:iCs/>
              </w:rPr>
              <w:t xml:space="preserve">, </w:t>
            </w:r>
            <w:proofErr w:type="gramStart"/>
            <w:r w:rsidR="00D56C32">
              <w:rPr>
                <w:rFonts w:ascii="Calibri" w:hAnsi="Calibri" w:cs="Calibri"/>
                <w:i/>
                <w:iCs/>
              </w:rPr>
              <w:t>Skills</w:t>
            </w:r>
            <w:proofErr w:type="gramEnd"/>
            <w:r w:rsidR="00D56C32">
              <w:rPr>
                <w:rFonts w:ascii="Calibri" w:hAnsi="Calibri" w:cs="Calibri"/>
                <w:i/>
                <w:iCs/>
              </w:rPr>
              <w:t xml:space="preserve"> and Employment National Data Asset (ESENDA)</w:t>
            </w:r>
            <w:r w:rsidR="00D56C32">
              <w:rPr>
                <w:rFonts w:ascii="Calibri" w:hAnsi="Calibri" w:cs="Calibri"/>
              </w:rPr>
              <w:t xml:space="preserve"> </w:t>
            </w:r>
            <w:r>
              <w:rPr>
                <w:rFonts w:ascii="Calibri" w:hAnsi="Calibri" w:cs="Calibri"/>
              </w:rPr>
              <w:t xml:space="preserve">[unpublished data], (Canberra: </w:t>
            </w:r>
            <w:r w:rsidR="00D56C32">
              <w:rPr>
                <w:rFonts w:ascii="Calibri" w:hAnsi="Calibri" w:cs="Calibri"/>
              </w:rPr>
              <w:t>2023</w:t>
            </w:r>
            <w:r>
              <w:rPr>
                <w:rFonts w:ascii="Calibri" w:hAnsi="Calibri" w:cs="Calibri"/>
              </w:rPr>
              <w:t>).</w:t>
            </w:r>
          </w:p>
        </w:tc>
      </w:tr>
      <w:tr w:rsidR="002D6F5F" w:rsidRPr="002D6F5F" w14:paraId="750E6E7C" w14:textId="77777777" w:rsidTr="001B1DB2">
        <w:tc>
          <w:tcPr>
            <w:tcW w:w="9026" w:type="dxa"/>
            <w:vAlign w:val="bottom"/>
            <w:hideMark/>
          </w:tcPr>
          <w:p w14:paraId="27048FD4" w14:textId="5C1FE9AC" w:rsidR="002D6F5F" w:rsidRPr="002D6F5F" w:rsidRDefault="00D56C32" w:rsidP="0077616C">
            <w:pPr>
              <w:rPr>
                <w:rFonts w:cs="Arial"/>
              </w:rPr>
            </w:pPr>
            <w:r>
              <w:rPr>
                <w:rFonts w:ascii="Calibri" w:hAnsi="Calibri" w:cs="Calibri"/>
              </w:rPr>
              <w:t xml:space="preserve">Department of Education. </w:t>
            </w:r>
            <w:r>
              <w:rPr>
                <w:rFonts w:ascii="Calibri" w:hAnsi="Calibri" w:cs="Calibri"/>
                <w:i/>
                <w:iCs/>
              </w:rPr>
              <w:t>Consolidated Time Series Datasets – Research Income Time Series and Research Block Grant Allocations</w:t>
            </w:r>
            <w:r>
              <w:rPr>
                <w:rFonts w:ascii="Calibri" w:hAnsi="Calibri" w:cs="Calibri"/>
              </w:rPr>
              <w:t xml:space="preserve"> [data set], </w:t>
            </w:r>
            <w:hyperlink r:id="rId284" w:history="1">
              <w:r w:rsidR="00E32F0A" w:rsidRPr="00A8752B">
                <w:rPr>
                  <w:rStyle w:val="Hyperlink"/>
                </w:rPr>
                <w:t>www.education.gov.au/research-block-grants/resources/research-block-grant-allocations-time-series</w:t>
              </w:r>
            </w:hyperlink>
            <w:r w:rsidR="00E32F0A">
              <w:rPr>
                <w:rFonts w:ascii="Calibri" w:hAnsi="Calibri" w:cs="Calibri"/>
              </w:rPr>
              <w:t xml:space="preserve">. </w:t>
            </w:r>
          </w:p>
        </w:tc>
      </w:tr>
      <w:tr w:rsidR="002D6F5F" w:rsidRPr="002D6F5F" w14:paraId="47858494" w14:textId="77777777" w:rsidTr="001B1DB2">
        <w:tc>
          <w:tcPr>
            <w:tcW w:w="9026" w:type="dxa"/>
            <w:vAlign w:val="bottom"/>
            <w:hideMark/>
          </w:tcPr>
          <w:p w14:paraId="45B18D46" w14:textId="6948DAA3" w:rsidR="002D6F5F" w:rsidRPr="002D6F5F" w:rsidRDefault="00D56C32" w:rsidP="0077616C">
            <w:pPr>
              <w:rPr>
                <w:rFonts w:cs="Arial"/>
              </w:rPr>
            </w:pPr>
            <w:r>
              <w:rPr>
                <w:rFonts w:ascii="Calibri" w:hAnsi="Calibri" w:cs="Calibri"/>
                <w:szCs w:val="16"/>
              </w:rPr>
              <w:t>Department of Education. Domestic PhD Student Enrolments (by Equity Group) 2022 [unpublished data], (Canberra: 2023).</w:t>
            </w:r>
          </w:p>
        </w:tc>
      </w:tr>
      <w:tr w:rsidR="002D6F5F" w:rsidRPr="002D6F5F" w14:paraId="62C83D1B" w14:textId="77777777" w:rsidTr="001B1DB2">
        <w:tc>
          <w:tcPr>
            <w:tcW w:w="9026" w:type="dxa"/>
            <w:vAlign w:val="center"/>
            <w:hideMark/>
          </w:tcPr>
          <w:p w14:paraId="683C0CE9" w14:textId="6927A96A" w:rsidR="002D6F5F" w:rsidRPr="002D6F5F" w:rsidRDefault="00D56C32" w:rsidP="0077616C">
            <w:pPr>
              <w:rPr>
                <w:rFonts w:cs="Arial"/>
              </w:rPr>
            </w:pPr>
            <w:r>
              <w:rPr>
                <w:rFonts w:ascii="Calibri" w:hAnsi="Calibri" w:cs="Calibri"/>
              </w:rPr>
              <w:t xml:space="preserve">Department of Education. </w:t>
            </w:r>
            <w:r>
              <w:rPr>
                <w:rFonts w:ascii="Calibri" w:hAnsi="Calibri" w:cs="Calibri"/>
                <w:i/>
                <w:iCs/>
              </w:rPr>
              <w:t>Draft Proposal: Addressing gender-based violence in higher education</w:t>
            </w:r>
            <w:r>
              <w:rPr>
                <w:rFonts w:ascii="Calibri" w:hAnsi="Calibri" w:cs="Calibri"/>
              </w:rPr>
              <w:t xml:space="preserve">, (Canberra: 2023), </w:t>
            </w:r>
            <w:hyperlink r:id="rId285" w:history="1">
              <w:r w:rsidR="00E32F0A" w:rsidRPr="00A8752B">
                <w:rPr>
                  <w:rStyle w:val="Hyperlink"/>
                  <w:rFonts w:ascii="Calibri" w:hAnsi="Calibri" w:cs="Calibri"/>
                </w:rPr>
                <w:t>www.education.gov.au/australian-universities-accord/resources/draft-action-plan-addressing-genderbased-violence-higher-education</w:t>
              </w:r>
            </w:hyperlink>
            <w:r w:rsidR="00E32F0A">
              <w:rPr>
                <w:rFonts w:ascii="Calibri" w:hAnsi="Calibri" w:cs="Calibri"/>
              </w:rPr>
              <w:t xml:space="preserve">. </w:t>
            </w:r>
          </w:p>
        </w:tc>
      </w:tr>
      <w:tr w:rsidR="002D6F5F" w:rsidRPr="002D6F5F" w14:paraId="5A879C77" w14:textId="77777777" w:rsidTr="001B1DB2">
        <w:tc>
          <w:tcPr>
            <w:tcW w:w="9026" w:type="dxa"/>
            <w:vAlign w:val="bottom"/>
            <w:hideMark/>
          </w:tcPr>
          <w:p w14:paraId="36DD1551" w14:textId="7A096868" w:rsidR="002D6F5F" w:rsidRPr="002D6F5F" w:rsidRDefault="00D56C32" w:rsidP="0077616C">
            <w:pPr>
              <w:rPr>
                <w:rFonts w:cs="Arial"/>
              </w:rPr>
            </w:pPr>
            <w:r>
              <w:rPr>
                <w:rFonts w:ascii="Calibri" w:hAnsi="Calibri" w:cs="Calibri"/>
              </w:rPr>
              <w:lastRenderedPageBreak/>
              <w:t xml:space="preserve">Department of Education. </w:t>
            </w:r>
            <w:r>
              <w:rPr>
                <w:rFonts w:ascii="Calibri" w:hAnsi="Calibri" w:cs="Calibri"/>
                <w:i/>
                <w:iCs/>
              </w:rPr>
              <w:t>Higher Education Loan Program Data</w:t>
            </w:r>
            <w:r>
              <w:rPr>
                <w:rFonts w:ascii="Calibri" w:hAnsi="Calibri" w:cs="Calibri"/>
              </w:rPr>
              <w:t xml:space="preserve"> [unpublished data], (Canberra: 2023).</w:t>
            </w:r>
          </w:p>
        </w:tc>
      </w:tr>
      <w:tr w:rsidR="002D6F5F" w:rsidRPr="002D6F5F" w14:paraId="1C4A16E4" w14:textId="77777777" w:rsidTr="001B1DB2">
        <w:tc>
          <w:tcPr>
            <w:tcW w:w="9026" w:type="dxa"/>
            <w:vAlign w:val="bottom"/>
            <w:hideMark/>
          </w:tcPr>
          <w:p w14:paraId="1F8A6B7B" w14:textId="2B1B3F06" w:rsidR="002D6F5F" w:rsidRPr="002D6F5F" w:rsidRDefault="002D6F5F" w:rsidP="0077616C">
            <w:pPr>
              <w:rPr>
                <w:rFonts w:cs="Arial"/>
              </w:rPr>
            </w:pPr>
            <w:r>
              <w:rPr>
                <w:rFonts w:ascii="Calibri" w:hAnsi="Calibri" w:cs="Calibri"/>
              </w:rPr>
              <w:t>Department of Education</w:t>
            </w:r>
            <w:r w:rsidR="00D56C32">
              <w:rPr>
                <w:rFonts w:ascii="Calibri" w:hAnsi="Calibri" w:cs="Calibri"/>
              </w:rPr>
              <w:t>. Higher Education Providers Finance Tables 2004–2021 [data set],</w:t>
            </w:r>
            <w:r>
              <w:rPr>
                <w:rFonts w:ascii="Calibri" w:hAnsi="Calibri" w:cs="Calibri"/>
              </w:rPr>
              <w:t xml:space="preserve"> (Canberra</w:t>
            </w:r>
            <w:r w:rsidR="00D56C32">
              <w:rPr>
                <w:rFonts w:ascii="Calibri" w:hAnsi="Calibri" w:cs="Calibri"/>
              </w:rPr>
              <w:t>, March 2023) accessed 8 June 2023</w:t>
            </w:r>
            <w:r>
              <w:rPr>
                <w:rFonts w:ascii="Calibri" w:hAnsi="Calibri" w:cs="Calibri"/>
              </w:rPr>
              <w:t xml:space="preserve">, </w:t>
            </w:r>
            <w:hyperlink r:id="rId286" w:history="1">
              <w:r w:rsidR="00E32F0A" w:rsidRPr="00A8752B">
                <w:rPr>
                  <w:rStyle w:val="Hyperlink"/>
                  <w:rFonts w:ascii="Calibri" w:hAnsi="Calibri" w:cs="Calibri"/>
                </w:rPr>
                <w:t>www.education.gov.au/higher-education-publications/resources/2021-higher-education-providers-finance-tables</w:t>
              </w:r>
            </w:hyperlink>
            <w:r w:rsidR="00E32F0A">
              <w:rPr>
                <w:rFonts w:ascii="Calibri" w:hAnsi="Calibri" w:cs="Calibri"/>
              </w:rPr>
              <w:t xml:space="preserve">. </w:t>
            </w:r>
          </w:p>
        </w:tc>
      </w:tr>
      <w:tr w:rsidR="002D6F5F" w:rsidRPr="002D6F5F" w14:paraId="4525AF5C" w14:textId="77777777" w:rsidTr="001B1DB2">
        <w:tc>
          <w:tcPr>
            <w:tcW w:w="9026" w:type="dxa"/>
            <w:vAlign w:val="center"/>
            <w:hideMark/>
          </w:tcPr>
          <w:p w14:paraId="615CEE0F" w14:textId="17C812D1" w:rsidR="002D6F5F" w:rsidRPr="002D6F5F" w:rsidRDefault="00D56C32" w:rsidP="0077616C">
            <w:pPr>
              <w:rPr>
                <w:rFonts w:cs="Arial"/>
              </w:rPr>
            </w:pPr>
            <w:r>
              <w:rPr>
                <w:rFonts w:ascii="Calibri" w:hAnsi="Calibri" w:cs="Calibri"/>
              </w:rPr>
              <w:t xml:space="preserve">Department of Education. </w:t>
            </w:r>
            <w:r>
              <w:rPr>
                <w:rFonts w:ascii="Calibri" w:hAnsi="Calibri" w:cs="Calibri"/>
                <w:i/>
                <w:iCs/>
              </w:rPr>
              <w:t xml:space="preserve">Higher Education Statistics – Student Data – 2022 Section 16 Equity Performance Data </w:t>
            </w:r>
            <w:r>
              <w:rPr>
                <w:rFonts w:ascii="Calibri" w:hAnsi="Calibri" w:cs="Calibri"/>
              </w:rPr>
              <w:t xml:space="preserve">[data set], (Canberra: 2023), </w:t>
            </w:r>
            <w:r w:rsidR="0065083F">
              <w:rPr>
                <w:rFonts w:ascii="Calibri" w:hAnsi="Calibri" w:cs="Calibri"/>
              </w:rPr>
              <w:t>published 18 December 2023</w:t>
            </w:r>
            <w:r>
              <w:rPr>
                <w:rFonts w:ascii="Calibri" w:hAnsi="Calibri" w:cs="Calibri"/>
              </w:rPr>
              <w:t xml:space="preserve">, </w:t>
            </w:r>
            <w:hyperlink r:id="rId287" w:history="1">
              <w:r w:rsidR="00E32F0A" w:rsidRPr="00A8752B">
                <w:rPr>
                  <w:rStyle w:val="Hyperlink"/>
                  <w:rFonts w:ascii="Calibri" w:hAnsi="Calibri" w:cs="Calibri"/>
                </w:rPr>
                <w:t>www.education.gov.au/higher-education-statistics/resources/2022-section-16-equity-performance-data</w:t>
              </w:r>
            </w:hyperlink>
            <w:r w:rsidR="00E32F0A">
              <w:rPr>
                <w:rFonts w:ascii="Calibri" w:hAnsi="Calibri" w:cs="Calibri"/>
              </w:rPr>
              <w:t xml:space="preserve">. </w:t>
            </w:r>
          </w:p>
        </w:tc>
      </w:tr>
      <w:tr w:rsidR="002D6F5F" w:rsidRPr="002D6F5F" w14:paraId="130AB92F" w14:textId="77777777" w:rsidTr="001B1DB2">
        <w:tc>
          <w:tcPr>
            <w:tcW w:w="9026" w:type="dxa"/>
            <w:vAlign w:val="bottom"/>
            <w:hideMark/>
          </w:tcPr>
          <w:p w14:paraId="51C52434" w14:textId="102BE5AD" w:rsidR="002D6F5F" w:rsidRPr="002D6F5F" w:rsidRDefault="00D56C32" w:rsidP="0077616C">
            <w:pPr>
              <w:rPr>
                <w:rFonts w:cs="Arial"/>
              </w:rPr>
            </w:pPr>
            <w:r>
              <w:rPr>
                <w:rFonts w:ascii="Calibri" w:hAnsi="Calibri" w:cs="Calibri"/>
              </w:rPr>
              <w:t xml:space="preserve">Department of Education. </w:t>
            </w:r>
            <w:r>
              <w:rPr>
                <w:rFonts w:ascii="Calibri" w:hAnsi="Calibri" w:cs="Calibri"/>
                <w:i/>
                <w:iCs/>
              </w:rPr>
              <w:t xml:space="preserve">Higher Education Statistics – Student data – 2022 Section 2 All students </w:t>
            </w:r>
            <w:r>
              <w:rPr>
                <w:rFonts w:ascii="Calibri" w:hAnsi="Calibri" w:cs="Calibri"/>
              </w:rPr>
              <w:t xml:space="preserve">[data set], (Canberra: 2023), accessed 18 December 2023, </w:t>
            </w:r>
            <w:hyperlink r:id="rId288" w:history="1">
              <w:r w:rsidR="00E32F0A" w:rsidRPr="00A8752B">
                <w:rPr>
                  <w:rStyle w:val="Hyperlink"/>
                  <w:rFonts w:ascii="Calibri" w:hAnsi="Calibri" w:cs="Calibri"/>
                </w:rPr>
                <w:t>www.education.gov.au/higher-education-statistics/resources/2022-section-2-all-students</w:t>
              </w:r>
            </w:hyperlink>
            <w:r w:rsidR="00E32F0A">
              <w:rPr>
                <w:rFonts w:ascii="Calibri" w:hAnsi="Calibri" w:cs="Calibri"/>
              </w:rPr>
              <w:t xml:space="preserve">. </w:t>
            </w:r>
            <w:r>
              <w:rPr>
                <w:rFonts w:ascii="Calibri" w:hAnsi="Calibri" w:cs="Calibri"/>
              </w:rPr>
              <w:t> </w:t>
            </w:r>
          </w:p>
        </w:tc>
      </w:tr>
      <w:tr w:rsidR="002D6F5F" w:rsidRPr="002D6F5F" w14:paraId="43CD220B" w14:textId="77777777" w:rsidTr="001B1DB2">
        <w:tc>
          <w:tcPr>
            <w:tcW w:w="9026" w:type="dxa"/>
            <w:vAlign w:val="bottom"/>
            <w:hideMark/>
          </w:tcPr>
          <w:p w14:paraId="1D6EEED5" w14:textId="42C1E1ED" w:rsidR="002D6F5F" w:rsidRPr="002D6F5F" w:rsidRDefault="00D56C32" w:rsidP="0077616C">
            <w:pPr>
              <w:rPr>
                <w:rFonts w:cs="Arial"/>
              </w:rPr>
            </w:pPr>
            <w:r>
              <w:rPr>
                <w:rFonts w:ascii="Calibri" w:hAnsi="Calibri" w:cs="Calibri"/>
              </w:rPr>
              <w:t>Department of Education.</w:t>
            </w:r>
            <w:r>
              <w:rPr>
                <w:rFonts w:ascii="Calibri" w:hAnsi="Calibri" w:cs="Calibri"/>
                <w:i/>
                <w:iCs/>
              </w:rPr>
              <w:t xml:space="preserve"> Higher Education Statistics – Student Data – 2022 Section 5 Liability Status </w:t>
            </w:r>
            <w:r>
              <w:rPr>
                <w:rFonts w:ascii="Calibri" w:hAnsi="Calibri" w:cs="Calibri"/>
              </w:rPr>
              <w:t>[data set], (Canberra: 2023), accessed 18 December 2023,</w:t>
            </w:r>
            <w:r>
              <w:rPr>
                <w:rFonts w:ascii="Calibri" w:hAnsi="Calibri" w:cs="Calibri"/>
                <w:i/>
                <w:iCs/>
              </w:rPr>
              <w:t> </w:t>
            </w:r>
            <w:hyperlink r:id="rId289" w:history="1">
              <w:r w:rsidR="00E32F0A" w:rsidRPr="00A8752B">
                <w:rPr>
                  <w:rStyle w:val="Hyperlink"/>
                  <w:rFonts w:ascii="Calibri" w:hAnsi="Calibri" w:cs="Calibri"/>
                </w:rPr>
                <w:t>www.education.gov.au/higher-education-statistics/resources/2022-section-5-liability-status-categories</w:t>
              </w:r>
            </w:hyperlink>
            <w:r w:rsidR="00E32F0A">
              <w:rPr>
                <w:rFonts w:ascii="Calibri" w:hAnsi="Calibri" w:cs="Calibri"/>
              </w:rPr>
              <w:t xml:space="preserve">. </w:t>
            </w:r>
          </w:p>
        </w:tc>
      </w:tr>
      <w:tr w:rsidR="002D6F5F" w:rsidRPr="002D6F5F" w14:paraId="210D6895" w14:textId="77777777" w:rsidTr="001B1DB2">
        <w:tc>
          <w:tcPr>
            <w:tcW w:w="9026" w:type="dxa"/>
            <w:vAlign w:val="bottom"/>
            <w:hideMark/>
          </w:tcPr>
          <w:p w14:paraId="2F9FD078" w14:textId="1F0FF79F" w:rsidR="002D6F5F" w:rsidRPr="002D6F5F" w:rsidRDefault="00D56C32" w:rsidP="0077616C">
            <w:pPr>
              <w:rPr>
                <w:rFonts w:cs="Arial"/>
              </w:rPr>
            </w:pPr>
            <w:r>
              <w:rPr>
                <w:rFonts w:ascii="Calibri" w:hAnsi="Calibri" w:cs="Calibri"/>
              </w:rPr>
              <w:t xml:space="preserve">Department of Education. </w:t>
            </w:r>
            <w:r>
              <w:rPr>
                <w:rFonts w:ascii="Calibri" w:hAnsi="Calibri" w:cs="Calibri"/>
                <w:i/>
                <w:iCs/>
              </w:rPr>
              <w:t xml:space="preserve">Higher Education Statistics – Student Data – </w:t>
            </w:r>
            <w:proofErr w:type="gramStart"/>
            <w:r>
              <w:rPr>
                <w:rFonts w:ascii="Calibri" w:hAnsi="Calibri" w:cs="Calibri"/>
                <w:i/>
                <w:iCs/>
              </w:rPr>
              <w:t>4 year</w:t>
            </w:r>
            <w:proofErr w:type="gramEnd"/>
            <w:r>
              <w:rPr>
                <w:rFonts w:ascii="Calibri" w:hAnsi="Calibri" w:cs="Calibri"/>
                <w:i/>
                <w:iCs/>
              </w:rPr>
              <w:t xml:space="preserve"> cohort completion rates 2019</w:t>
            </w:r>
            <w:r>
              <w:rPr>
                <w:rFonts w:ascii="Calibri" w:hAnsi="Calibri" w:cs="Calibri"/>
              </w:rPr>
              <w:t>-</w:t>
            </w:r>
            <w:r>
              <w:rPr>
                <w:rFonts w:ascii="Calibri" w:hAnsi="Calibri" w:cs="Calibri"/>
                <w:i/>
                <w:iCs/>
              </w:rPr>
              <w:t xml:space="preserve">2022 </w:t>
            </w:r>
            <w:r>
              <w:rPr>
                <w:rFonts w:ascii="Calibri" w:hAnsi="Calibri" w:cs="Calibri"/>
              </w:rPr>
              <w:t>[unpublished data], (Canberra: 2023).</w:t>
            </w:r>
          </w:p>
        </w:tc>
      </w:tr>
      <w:tr w:rsidR="002D6F5F" w:rsidRPr="002D6F5F" w14:paraId="1D9A8370" w14:textId="77777777" w:rsidTr="001B1DB2">
        <w:tc>
          <w:tcPr>
            <w:tcW w:w="9026" w:type="dxa"/>
            <w:vAlign w:val="bottom"/>
            <w:hideMark/>
          </w:tcPr>
          <w:p w14:paraId="1A71DF91" w14:textId="11A90D0F" w:rsidR="002D6F5F" w:rsidRPr="002D6F5F" w:rsidRDefault="002D6F5F" w:rsidP="0077616C">
            <w:pPr>
              <w:rPr>
                <w:rFonts w:cs="Arial"/>
              </w:rPr>
            </w:pPr>
            <w:r>
              <w:rPr>
                <w:rFonts w:ascii="Calibri" w:hAnsi="Calibri" w:cs="Calibri"/>
              </w:rPr>
              <w:t>Department of Education</w:t>
            </w:r>
            <w:r w:rsidR="00D56C32">
              <w:rPr>
                <w:rFonts w:ascii="Calibri" w:hAnsi="Calibri" w:cs="Calibri"/>
              </w:rPr>
              <w:t xml:space="preserve">. </w:t>
            </w:r>
            <w:r w:rsidR="00D56C32">
              <w:rPr>
                <w:rFonts w:ascii="Calibri" w:hAnsi="Calibri" w:cs="Calibri"/>
                <w:i/>
                <w:iCs/>
              </w:rPr>
              <w:t>Higher Education Statistics – Student Data – Age group of full-time</w:t>
            </w:r>
            <w:r>
              <w:rPr>
                <w:rFonts w:ascii="Calibri" w:hAnsi="Calibri" w:cs="Calibri"/>
                <w:i/>
              </w:rPr>
              <w:t xml:space="preserve"> and </w:t>
            </w:r>
            <w:r w:rsidR="00D56C32">
              <w:rPr>
                <w:rFonts w:ascii="Calibri" w:hAnsi="Calibri" w:cs="Calibri"/>
                <w:i/>
                <w:iCs/>
              </w:rPr>
              <w:t xml:space="preserve">part-time domestic </w:t>
            </w:r>
            <w:proofErr w:type="gramStart"/>
            <w:r w:rsidR="00D56C32">
              <w:rPr>
                <w:rFonts w:ascii="Calibri" w:hAnsi="Calibri" w:cs="Calibri"/>
                <w:i/>
                <w:iCs/>
              </w:rPr>
              <w:t>Bachelor’s</w:t>
            </w:r>
            <w:proofErr w:type="gramEnd"/>
            <w:r w:rsidR="00D56C32">
              <w:rPr>
                <w:rFonts w:ascii="Calibri" w:hAnsi="Calibri" w:cs="Calibri"/>
                <w:i/>
                <w:iCs/>
              </w:rPr>
              <w:t xml:space="preserve"> students in 2022</w:t>
            </w:r>
            <w:r>
              <w:rPr>
                <w:rFonts w:ascii="Calibri" w:hAnsi="Calibri" w:cs="Calibri"/>
                <w:i/>
              </w:rPr>
              <w:t xml:space="preserve"> </w:t>
            </w:r>
            <w:r>
              <w:rPr>
                <w:rFonts w:ascii="Calibri" w:hAnsi="Calibri" w:cs="Calibri"/>
              </w:rPr>
              <w:t>[unpublished data], (Canberra: 2023).</w:t>
            </w:r>
            <w:r w:rsidR="00D56C32">
              <w:rPr>
                <w:rFonts w:ascii="Calibri" w:hAnsi="Calibri" w:cs="Calibri"/>
              </w:rPr>
              <w:t xml:space="preserve">  </w:t>
            </w:r>
          </w:p>
        </w:tc>
      </w:tr>
      <w:tr w:rsidR="002D6F5F" w:rsidRPr="002D6F5F" w14:paraId="63D71CD1" w14:textId="77777777" w:rsidTr="001B1DB2">
        <w:tc>
          <w:tcPr>
            <w:tcW w:w="9026" w:type="dxa"/>
            <w:vAlign w:val="bottom"/>
            <w:hideMark/>
          </w:tcPr>
          <w:p w14:paraId="4BB11749" w14:textId="180AB993" w:rsidR="002D6F5F" w:rsidRPr="002D6F5F" w:rsidRDefault="00D56C32" w:rsidP="0077616C">
            <w:pPr>
              <w:rPr>
                <w:rFonts w:cs="Arial"/>
              </w:rPr>
            </w:pPr>
            <w:r>
              <w:rPr>
                <w:rFonts w:ascii="Calibri" w:hAnsi="Calibri" w:cs="Calibri"/>
              </w:rPr>
              <w:t xml:space="preserve">Department of Education. </w:t>
            </w:r>
            <w:r>
              <w:rPr>
                <w:rFonts w:ascii="Calibri" w:hAnsi="Calibri" w:cs="Calibri"/>
                <w:i/>
                <w:iCs/>
              </w:rPr>
              <w:t xml:space="preserve">Higher Education Statistics - Student Data </w:t>
            </w:r>
            <w:r>
              <w:rPr>
                <w:rFonts w:ascii="Calibri" w:hAnsi="Calibri" w:cs="Calibri"/>
              </w:rPr>
              <w:t>[unpublished data], (Canberra: 2022).</w:t>
            </w:r>
          </w:p>
        </w:tc>
      </w:tr>
      <w:tr w:rsidR="002D6F5F" w:rsidRPr="002D6F5F" w14:paraId="209EA693" w14:textId="77777777" w:rsidTr="001B1DB2">
        <w:tc>
          <w:tcPr>
            <w:tcW w:w="9026" w:type="dxa"/>
            <w:vAlign w:val="bottom"/>
            <w:hideMark/>
          </w:tcPr>
          <w:p w14:paraId="4E795AD6" w14:textId="5CC7B72A" w:rsidR="002D6F5F" w:rsidRPr="002D6F5F" w:rsidRDefault="00D56C32" w:rsidP="0077616C">
            <w:pPr>
              <w:rPr>
                <w:rFonts w:cs="Arial"/>
              </w:rPr>
            </w:pPr>
            <w:r>
              <w:rPr>
                <w:rFonts w:ascii="Calibri" w:hAnsi="Calibri" w:cstheme="minorHAnsi"/>
              </w:rPr>
              <w:t xml:space="preserve">Department of Education. </w:t>
            </w:r>
            <w:r>
              <w:rPr>
                <w:rFonts w:ascii="Calibri" w:hAnsi="Calibri" w:cs="Calibri"/>
                <w:i/>
                <w:iCs/>
              </w:rPr>
              <w:t xml:space="preserve">Higher Education Statistics –Staff data – </w:t>
            </w:r>
            <w:r>
              <w:rPr>
                <w:rFonts w:ascii="Calibri" w:hAnsi="Calibri" w:cs="Calibri"/>
              </w:rPr>
              <w:t xml:space="preserve">[data set], (Canberra: 2022), accessed 8 December 2023, </w:t>
            </w:r>
            <w:hyperlink r:id="rId290" w:history="1">
              <w:r w:rsidR="00E32F0A" w:rsidRPr="00A8752B">
                <w:rPr>
                  <w:rStyle w:val="Hyperlink"/>
                  <w:rFonts w:ascii="Calibri" w:hAnsi="Calibri" w:cs="Calibri"/>
                </w:rPr>
                <w:t>www.education.gov.au/higher-education-statistics/staff-data/selected-higher-education-statistics-2022-staff-data</w:t>
              </w:r>
            </w:hyperlink>
            <w:r w:rsidR="00E32F0A">
              <w:rPr>
                <w:rFonts w:ascii="Calibri" w:hAnsi="Calibri" w:cs="Calibri"/>
              </w:rPr>
              <w:t xml:space="preserve">. </w:t>
            </w:r>
          </w:p>
        </w:tc>
      </w:tr>
      <w:tr w:rsidR="002D6F5F" w:rsidRPr="002D6F5F" w14:paraId="38E1EABE" w14:textId="77777777" w:rsidTr="001B1DB2">
        <w:tc>
          <w:tcPr>
            <w:tcW w:w="9026" w:type="dxa"/>
            <w:vAlign w:val="bottom"/>
            <w:hideMark/>
          </w:tcPr>
          <w:p w14:paraId="01691F49" w14:textId="1902FFEE" w:rsidR="002D6F5F" w:rsidRPr="002D6F5F" w:rsidRDefault="00D56C32" w:rsidP="0077616C">
            <w:pPr>
              <w:rPr>
                <w:rFonts w:cs="Arial"/>
              </w:rPr>
            </w:pPr>
            <w:r>
              <w:rPr>
                <w:rFonts w:ascii="Calibri" w:hAnsi="Calibri" w:cs="Calibri"/>
              </w:rPr>
              <w:t>Department of Education.</w:t>
            </w:r>
            <w:r>
              <w:rPr>
                <w:rFonts w:ascii="Calibri" w:hAnsi="Calibri" w:cs="Calibri"/>
                <w:i/>
                <w:iCs/>
              </w:rPr>
              <w:t xml:space="preserve"> Indigenous Students in Higher Degrees by Research: Statistical Report, August 2019</w:t>
            </w:r>
            <w:r>
              <w:rPr>
                <w:rFonts w:ascii="Calibri" w:hAnsi="Calibri" w:cs="Calibri"/>
              </w:rPr>
              <w:t xml:space="preserve">, (Canberra:   2020), 13, </w:t>
            </w:r>
            <w:hyperlink r:id="rId291" w:history="1">
              <w:r w:rsidR="00E32F0A" w:rsidRPr="00A8752B">
                <w:rPr>
                  <w:rStyle w:val="Hyperlink"/>
                  <w:rFonts w:ascii="Calibri" w:hAnsi="Calibri" w:cs="Calibri"/>
                </w:rPr>
                <w:t>www.education.gov.au/higher-education-statistics/resources/indigenous-students-higher-degrees-research</w:t>
              </w:r>
            </w:hyperlink>
            <w:r w:rsidR="00E32F0A">
              <w:rPr>
                <w:rFonts w:ascii="Calibri" w:hAnsi="Calibri" w:cs="Calibri"/>
              </w:rPr>
              <w:t xml:space="preserve">. </w:t>
            </w:r>
          </w:p>
        </w:tc>
      </w:tr>
      <w:tr w:rsidR="002D6F5F" w:rsidRPr="002D6F5F" w14:paraId="23BEE817" w14:textId="77777777" w:rsidTr="001B1DB2">
        <w:tc>
          <w:tcPr>
            <w:tcW w:w="9026" w:type="dxa"/>
            <w:vAlign w:val="bottom"/>
            <w:hideMark/>
          </w:tcPr>
          <w:p w14:paraId="4DF74FD8" w14:textId="22F29A9F" w:rsidR="002D6F5F" w:rsidRPr="002D6F5F" w:rsidRDefault="00D56C32" w:rsidP="0077616C">
            <w:pPr>
              <w:rPr>
                <w:rFonts w:cs="Arial"/>
              </w:rPr>
            </w:pPr>
            <w:r>
              <w:rPr>
                <w:rFonts w:ascii="Calibri" w:hAnsi="Calibri" w:cs="Calibri"/>
              </w:rPr>
              <w:t xml:space="preserve">Department of Education. </w:t>
            </w:r>
            <w:r>
              <w:rPr>
                <w:rFonts w:ascii="Calibri" w:hAnsi="Calibri" w:cs="Calibri"/>
                <w:i/>
                <w:iCs/>
              </w:rPr>
              <w:t>International Student Data for the year-to-date (YTD) September 2023</w:t>
            </w:r>
            <w:r>
              <w:rPr>
                <w:rFonts w:ascii="Calibri" w:hAnsi="Calibri" w:cs="Calibri"/>
              </w:rPr>
              <w:t xml:space="preserve"> [data set], (Canberra), accessed 8 December 2023, </w:t>
            </w:r>
            <w:hyperlink r:id="rId292" w:anchor=":~:text=In%20the%20year%2Dto%2Ddate,the%20COVID%2D19%20pandemic" w:history="1">
              <w:r w:rsidR="00E32F0A" w:rsidRPr="00A8752B">
                <w:rPr>
                  <w:rStyle w:val="Hyperlink"/>
                  <w:rFonts w:ascii="Calibri" w:hAnsi="Calibri" w:cs="Calibri"/>
                </w:rPr>
                <w:t>www.education.gov.au/international-education-data-and-research/international-student-monthly-summary-and-data-tables#:~:text=In%20the%20year%2Dto%2Ddate,the%20COVID%2D19%20pandemic</w:t>
              </w:r>
            </w:hyperlink>
            <w:r>
              <w:rPr>
                <w:rFonts w:ascii="Calibri" w:hAnsi="Calibri" w:cs="Calibri"/>
              </w:rPr>
              <w:t>)</w:t>
            </w:r>
            <w:r w:rsidR="00E32F0A">
              <w:rPr>
                <w:rFonts w:ascii="Calibri" w:hAnsi="Calibri" w:cs="Calibri"/>
              </w:rPr>
              <w:t xml:space="preserve">. </w:t>
            </w:r>
          </w:p>
        </w:tc>
      </w:tr>
      <w:tr w:rsidR="002D6F5F" w:rsidRPr="002D6F5F" w14:paraId="6F91D79A" w14:textId="77777777" w:rsidTr="001B1DB2">
        <w:tc>
          <w:tcPr>
            <w:tcW w:w="9026" w:type="dxa"/>
            <w:vAlign w:val="bottom"/>
            <w:hideMark/>
          </w:tcPr>
          <w:p w14:paraId="6DDA6CEE" w14:textId="25D99E6D" w:rsidR="002D6F5F" w:rsidRPr="002D6F5F" w:rsidRDefault="00D56C32" w:rsidP="0077616C">
            <w:pPr>
              <w:rPr>
                <w:rFonts w:cs="Arial"/>
              </w:rPr>
            </w:pPr>
            <w:r>
              <w:rPr>
                <w:rFonts w:ascii="Calibri" w:hAnsi="Calibri" w:cs="Calibri"/>
              </w:rPr>
              <w:t xml:space="preserve">Department of Education. </w:t>
            </w:r>
            <w:r>
              <w:rPr>
                <w:rFonts w:ascii="Calibri" w:hAnsi="Calibri" w:cs="Calibri"/>
                <w:i/>
                <w:iCs/>
              </w:rPr>
              <w:t xml:space="preserve">International Student Monthly Summary and Data Tables December 2022 </w:t>
            </w:r>
            <w:r>
              <w:rPr>
                <w:rFonts w:ascii="Calibri" w:hAnsi="Calibri" w:cs="Calibri"/>
              </w:rPr>
              <w:t xml:space="preserve">[data set], (Canberra: 2022), accessed 29 November 2023, </w:t>
            </w:r>
            <w:hyperlink r:id="rId293" w:history="1">
              <w:r w:rsidR="00E32F0A" w:rsidRPr="00A8752B">
                <w:rPr>
                  <w:rStyle w:val="Hyperlink"/>
                  <w:rFonts w:ascii="Calibri" w:hAnsi="Calibri" w:cs="Calibri"/>
                </w:rPr>
                <w:t>www.education.gov.au/international-education-data-and-research/international-student-monthly-summary-and-data-tables</w:t>
              </w:r>
            </w:hyperlink>
            <w:r w:rsidR="00E32F0A">
              <w:rPr>
                <w:rFonts w:ascii="Calibri" w:hAnsi="Calibri" w:cs="Calibri"/>
              </w:rPr>
              <w:t xml:space="preserve">. </w:t>
            </w:r>
          </w:p>
        </w:tc>
      </w:tr>
      <w:tr w:rsidR="002D6F5F" w:rsidRPr="002D6F5F" w14:paraId="7C40C624" w14:textId="77777777" w:rsidTr="001B1DB2">
        <w:tc>
          <w:tcPr>
            <w:tcW w:w="9026" w:type="dxa"/>
            <w:vAlign w:val="bottom"/>
            <w:hideMark/>
          </w:tcPr>
          <w:p w14:paraId="49091393" w14:textId="7A48AFD1" w:rsidR="002D6F5F" w:rsidRPr="002D6F5F" w:rsidRDefault="00D56C32" w:rsidP="0077616C">
            <w:pPr>
              <w:rPr>
                <w:rFonts w:cs="Arial"/>
              </w:rPr>
            </w:pPr>
            <w:r>
              <w:rPr>
                <w:rFonts w:ascii="Calibri" w:hAnsi="Calibri" w:cs="Calibri"/>
              </w:rPr>
              <w:t xml:space="preserve">Department of Education. </w:t>
            </w:r>
            <w:r>
              <w:rPr>
                <w:rFonts w:ascii="Calibri" w:hAnsi="Calibri" w:cs="Calibri"/>
                <w:i/>
                <w:iCs/>
              </w:rPr>
              <w:t xml:space="preserve">National </w:t>
            </w:r>
            <w:proofErr w:type="spellStart"/>
            <w:r>
              <w:rPr>
                <w:rFonts w:ascii="Calibri" w:hAnsi="Calibri" w:cs="Calibri"/>
                <w:i/>
                <w:iCs/>
              </w:rPr>
              <w:t>Microcredentials</w:t>
            </w:r>
            <w:proofErr w:type="spellEnd"/>
            <w:r>
              <w:rPr>
                <w:rFonts w:ascii="Calibri" w:hAnsi="Calibri" w:cs="Calibri"/>
                <w:i/>
                <w:iCs/>
              </w:rPr>
              <w:t xml:space="preserve"> Framework</w:t>
            </w:r>
            <w:r>
              <w:rPr>
                <w:rFonts w:ascii="Calibri" w:hAnsi="Calibri" w:cs="Calibri"/>
              </w:rPr>
              <w:t xml:space="preserve">, (Canberra: 2022), 3, </w:t>
            </w:r>
            <w:hyperlink r:id="rId294" w:history="1">
              <w:r w:rsidR="00E32F0A" w:rsidRPr="00A8752B">
                <w:rPr>
                  <w:rStyle w:val="Hyperlink"/>
                  <w:rFonts w:ascii="Calibri" w:hAnsi="Calibri" w:cs="Calibri"/>
                </w:rPr>
                <w:t>www.education.gov.au/higher-education-publications/resources/national-microcredentials-framework</w:t>
              </w:r>
            </w:hyperlink>
            <w:r w:rsidR="00E32F0A">
              <w:rPr>
                <w:rFonts w:ascii="Calibri" w:hAnsi="Calibri" w:cs="Calibri"/>
              </w:rPr>
              <w:t xml:space="preserve">. </w:t>
            </w:r>
          </w:p>
        </w:tc>
      </w:tr>
      <w:tr w:rsidR="002D6F5F" w:rsidRPr="002D6F5F" w14:paraId="4515F6C4" w14:textId="77777777" w:rsidTr="001B1DB2">
        <w:tc>
          <w:tcPr>
            <w:tcW w:w="9026" w:type="dxa"/>
            <w:vAlign w:val="bottom"/>
            <w:hideMark/>
          </w:tcPr>
          <w:p w14:paraId="5BFE47D1" w14:textId="39D9D816" w:rsidR="002D6F5F" w:rsidRPr="002D6F5F" w:rsidRDefault="00D56C32" w:rsidP="0077616C">
            <w:pPr>
              <w:rPr>
                <w:rFonts w:cs="Arial"/>
              </w:rPr>
            </w:pPr>
            <w:r>
              <w:rPr>
                <w:rFonts w:ascii="Calibri" w:hAnsi="Calibri" w:cs="Calibri"/>
              </w:rPr>
              <w:t xml:space="preserve">Department of Education. </w:t>
            </w:r>
            <w:r>
              <w:rPr>
                <w:rFonts w:ascii="Calibri" w:hAnsi="Calibri" w:cs="Calibri"/>
                <w:i/>
                <w:iCs/>
              </w:rPr>
              <w:t>Provider Registration and International Student Management System (PRISMS)</w:t>
            </w:r>
            <w:r>
              <w:rPr>
                <w:rFonts w:ascii="Calibri" w:hAnsi="Calibri" w:cs="Calibri"/>
              </w:rPr>
              <w:t xml:space="preserve"> [unpublished data], (Canberra: 2023). </w:t>
            </w:r>
          </w:p>
        </w:tc>
      </w:tr>
      <w:tr w:rsidR="002D6F5F" w:rsidRPr="002D6F5F" w14:paraId="3B7E00C4" w14:textId="77777777" w:rsidTr="001B1DB2">
        <w:tc>
          <w:tcPr>
            <w:tcW w:w="9026" w:type="dxa"/>
            <w:vAlign w:val="bottom"/>
            <w:hideMark/>
          </w:tcPr>
          <w:p w14:paraId="76A88EDF" w14:textId="09FC427E" w:rsidR="002D6F5F" w:rsidRPr="002D6F5F" w:rsidRDefault="00D56C32" w:rsidP="0077616C">
            <w:pPr>
              <w:rPr>
                <w:rFonts w:cs="Arial"/>
              </w:rPr>
            </w:pPr>
            <w:r>
              <w:rPr>
                <w:rFonts w:ascii="Calibri" w:hAnsi="Calibri" w:cstheme="minorHAnsi"/>
              </w:rPr>
              <w:lastRenderedPageBreak/>
              <w:t xml:space="preserve">Department of Education. </w:t>
            </w:r>
            <w:r>
              <w:rPr>
                <w:rFonts w:ascii="Calibri" w:hAnsi="Calibri" w:cs="Calibri"/>
                <w:i/>
                <w:iCs/>
              </w:rPr>
              <w:t>Student Enrolments Pivot Table 2022</w:t>
            </w:r>
            <w:r>
              <w:rPr>
                <w:rFonts w:ascii="Calibri" w:hAnsi="Calibri" w:cs="Calibri"/>
              </w:rPr>
              <w:t xml:space="preserve"> [data set] (Canberra: 2023), published 18 December 2023, </w:t>
            </w:r>
            <w:hyperlink r:id="rId295" w:history="1">
              <w:r w:rsidR="00E32F0A" w:rsidRPr="00A8752B">
                <w:rPr>
                  <w:rStyle w:val="Hyperlink"/>
                  <w:rFonts w:ascii="Calibri" w:hAnsi="Calibri" w:cs="Calibri"/>
                </w:rPr>
                <w:t>www.education.gov.au/higher-education-statistics/resources/student-enrolments-pivot-table-2022</w:t>
              </w:r>
            </w:hyperlink>
            <w:r w:rsidR="00E32F0A">
              <w:rPr>
                <w:rFonts w:ascii="Calibri" w:hAnsi="Calibri" w:cs="Calibri"/>
              </w:rPr>
              <w:t xml:space="preserve">. </w:t>
            </w:r>
          </w:p>
        </w:tc>
      </w:tr>
      <w:tr w:rsidR="002D6F5F" w:rsidRPr="002D6F5F" w14:paraId="780E8095" w14:textId="77777777" w:rsidTr="001B1DB2">
        <w:tc>
          <w:tcPr>
            <w:tcW w:w="9026" w:type="dxa"/>
            <w:vAlign w:val="center"/>
            <w:hideMark/>
          </w:tcPr>
          <w:p w14:paraId="6BF02D80" w14:textId="59EB3462" w:rsidR="002D6F5F" w:rsidRPr="002D6F5F" w:rsidRDefault="00D56C32" w:rsidP="0077616C">
            <w:pPr>
              <w:rPr>
                <w:rFonts w:cs="Arial"/>
              </w:rPr>
            </w:pPr>
            <w:r>
              <w:rPr>
                <w:rFonts w:ascii="Calibri" w:hAnsi="Calibri" w:cs="Calibri"/>
              </w:rPr>
              <w:t xml:space="preserve">Department of Education. </w:t>
            </w:r>
            <w:r>
              <w:rPr>
                <w:rFonts w:ascii="Calibri" w:hAnsi="Calibri" w:cs="Calibri"/>
                <w:i/>
                <w:iCs/>
              </w:rPr>
              <w:t>University Revenue and Expenses</w:t>
            </w:r>
            <w:r>
              <w:rPr>
                <w:rFonts w:ascii="Calibri" w:hAnsi="Calibri" w:cs="Calibri"/>
              </w:rPr>
              <w:t xml:space="preserve"> [unpublished data], (Canberra: 2023).</w:t>
            </w:r>
          </w:p>
        </w:tc>
      </w:tr>
      <w:tr w:rsidR="002D6F5F" w:rsidRPr="002D6F5F" w14:paraId="2A97B1AA" w14:textId="77777777" w:rsidTr="001B1DB2">
        <w:tc>
          <w:tcPr>
            <w:tcW w:w="9026" w:type="dxa"/>
            <w:vAlign w:val="center"/>
            <w:hideMark/>
          </w:tcPr>
          <w:p w14:paraId="5F67C259" w14:textId="550B21E7" w:rsidR="002D6F5F" w:rsidRPr="002D6F5F" w:rsidRDefault="00D56C32" w:rsidP="0077616C">
            <w:pPr>
              <w:rPr>
                <w:rFonts w:cs="Arial"/>
              </w:rPr>
            </w:pPr>
            <w:r>
              <w:rPr>
                <w:rFonts w:ascii="Calibri" w:hAnsi="Calibri" w:cs="Calibri"/>
              </w:rPr>
              <w:t>Department of Education. </w:t>
            </w:r>
            <w:r>
              <w:rPr>
                <w:rFonts w:ascii="Calibri" w:hAnsi="Calibri" w:cs="Calibri"/>
                <w:i/>
                <w:iCs/>
              </w:rPr>
              <w:t>Higher Education Statistics – Student Data – 2022 Section 11 Equity groups</w:t>
            </w:r>
            <w:r>
              <w:rPr>
                <w:rFonts w:ascii="Calibri" w:hAnsi="Calibri" w:cs="Calibri"/>
              </w:rPr>
              <w:t xml:space="preserve"> [data set], (Canberra: 2023), published 18 December 2023, </w:t>
            </w:r>
            <w:hyperlink r:id="rId296" w:history="1">
              <w:r w:rsidR="00E32F0A" w:rsidRPr="00A8752B">
                <w:rPr>
                  <w:rStyle w:val="Hyperlink"/>
                  <w:rFonts w:ascii="Calibri" w:hAnsi="Calibri" w:cs="Calibri"/>
                </w:rPr>
                <w:t>www.education.gov.au/higher-education-statistics/resources/2022-section-11-equity-groups</w:t>
              </w:r>
            </w:hyperlink>
            <w:r w:rsidR="00E32F0A">
              <w:rPr>
                <w:rFonts w:ascii="Calibri" w:hAnsi="Calibri" w:cs="Calibri"/>
              </w:rPr>
              <w:t xml:space="preserve">. </w:t>
            </w:r>
          </w:p>
        </w:tc>
      </w:tr>
      <w:tr w:rsidR="002D6F5F" w:rsidRPr="002D6F5F" w14:paraId="25E1027D" w14:textId="77777777" w:rsidTr="001B1DB2">
        <w:tc>
          <w:tcPr>
            <w:tcW w:w="9026" w:type="dxa"/>
            <w:vAlign w:val="bottom"/>
            <w:hideMark/>
          </w:tcPr>
          <w:p w14:paraId="18879EBA" w14:textId="21DD9999" w:rsidR="002D6F5F" w:rsidRPr="002D6F5F" w:rsidRDefault="00D56C32" w:rsidP="0077616C">
            <w:pPr>
              <w:rPr>
                <w:rFonts w:cs="Arial"/>
              </w:rPr>
            </w:pPr>
            <w:r>
              <w:rPr>
                <w:rFonts w:ascii="Calibri" w:hAnsi="Calibri" w:cs="Calibri"/>
              </w:rPr>
              <w:t xml:space="preserve">Department of Employment and Workplace Relations. “My Skills is now part of Your Career,” 2023, accessed 10 December 2023, </w:t>
            </w:r>
            <w:hyperlink r:id="rId297" w:history="1">
              <w:r w:rsidR="00E32F0A" w:rsidRPr="00A8752B">
                <w:rPr>
                  <w:rStyle w:val="Hyperlink"/>
                  <w:rFonts w:ascii="Calibri" w:hAnsi="Calibri" w:cs="Calibri"/>
                </w:rPr>
                <w:t>www.yourcareer.gov.au/learn-and-train/myskills</w:t>
              </w:r>
            </w:hyperlink>
            <w:r w:rsidR="00E32F0A">
              <w:rPr>
                <w:rFonts w:ascii="Calibri" w:hAnsi="Calibri" w:cs="Calibri"/>
              </w:rPr>
              <w:t xml:space="preserve">. </w:t>
            </w:r>
          </w:p>
        </w:tc>
      </w:tr>
      <w:tr w:rsidR="002D6F5F" w:rsidRPr="002D6F5F" w14:paraId="7DF21184" w14:textId="77777777" w:rsidTr="001B1DB2">
        <w:tc>
          <w:tcPr>
            <w:tcW w:w="9026" w:type="dxa"/>
            <w:vAlign w:val="bottom"/>
            <w:hideMark/>
          </w:tcPr>
          <w:p w14:paraId="442942BC" w14:textId="4C64F2E1" w:rsidR="002D6F5F" w:rsidRPr="002D6F5F" w:rsidRDefault="00D56C32" w:rsidP="0077616C">
            <w:pPr>
              <w:rPr>
                <w:rFonts w:cs="Arial"/>
              </w:rPr>
            </w:pPr>
            <w:r>
              <w:rPr>
                <w:rFonts w:ascii="Calibri" w:hAnsi="Calibri" w:cs="Calibri"/>
              </w:rPr>
              <w:t xml:space="preserve">Department of Employment and Workplace Relations. “Partnership Grants program,” revised 7 July 2023, </w:t>
            </w:r>
            <w:hyperlink r:id="rId298" w:history="1">
              <w:r w:rsidR="00E32F0A" w:rsidRPr="00A8752B">
                <w:rPr>
                  <w:rStyle w:val="Hyperlink"/>
                  <w:rFonts w:ascii="Calibri" w:hAnsi="Calibri" w:cs="Calibri"/>
                </w:rPr>
                <w:t>www.dewr.gov.au/nci/partnership-grants-program</w:t>
              </w:r>
            </w:hyperlink>
            <w:r w:rsidR="00E32F0A">
              <w:rPr>
                <w:rFonts w:ascii="Calibri" w:hAnsi="Calibri" w:cs="Calibri"/>
              </w:rPr>
              <w:t xml:space="preserve">. </w:t>
            </w:r>
            <w:r>
              <w:rPr>
                <w:rFonts w:ascii="Calibri" w:hAnsi="Calibri" w:cs="Calibri"/>
              </w:rPr>
              <w:t xml:space="preserve"> </w:t>
            </w:r>
          </w:p>
        </w:tc>
      </w:tr>
      <w:tr w:rsidR="002D6F5F" w:rsidRPr="002D6F5F" w14:paraId="1BDD7624" w14:textId="77777777" w:rsidTr="001B1DB2">
        <w:tc>
          <w:tcPr>
            <w:tcW w:w="9026" w:type="dxa"/>
            <w:vAlign w:val="bottom"/>
            <w:hideMark/>
          </w:tcPr>
          <w:p w14:paraId="4A96F262" w14:textId="0CFF0DFF" w:rsidR="002D6F5F" w:rsidRPr="002D6F5F" w:rsidRDefault="00D56C32" w:rsidP="0077616C">
            <w:pPr>
              <w:rPr>
                <w:rFonts w:cs="Arial"/>
              </w:rPr>
            </w:pPr>
            <w:r>
              <w:rPr>
                <w:rFonts w:ascii="Calibri" w:hAnsi="Calibri" w:cs="Calibri"/>
              </w:rPr>
              <w:t xml:space="preserve">Department of Foreign Affairs and Trade. </w:t>
            </w:r>
            <w:r>
              <w:rPr>
                <w:rFonts w:ascii="Calibri" w:hAnsi="Calibri" w:cs="Calibri"/>
                <w:i/>
                <w:iCs/>
              </w:rPr>
              <w:t xml:space="preserve">Trade and Investment at a Glance 2021, </w:t>
            </w:r>
            <w:r>
              <w:rPr>
                <w:rFonts w:ascii="Calibri" w:hAnsi="Calibri" w:cs="Calibri"/>
              </w:rPr>
              <w:t xml:space="preserve">(Canberra: 2021), </w:t>
            </w:r>
            <w:hyperlink r:id="rId299" w:history="1">
              <w:r w:rsidR="00E32F0A" w:rsidRPr="00A8752B">
                <w:rPr>
                  <w:rStyle w:val="Hyperlink"/>
                  <w:rFonts w:ascii="Calibri" w:hAnsi="Calibri" w:cs="Calibri"/>
                </w:rPr>
                <w:t>www.dfat.gov.au/sites/default/files/trade-and-investment-glance-2021.pdf</w:t>
              </w:r>
            </w:hyperlink>
            <w:r w:rsidR="00E32F0A">
              <w:rPr>
                <w:rFonts w:ascii="Calibri" w:hAnsi="Calibri" w:cs="Calibri"/>
              </w:rPr>
              <w:t xml:space="preserve">. </w:t>
            </w:r>
          </w:p>
        </w:tc>
      </w:tr>
      <w:tr w:rsidR="002D6F5F" w:rsidRPr="002D6F5F" w14:paraId="0D2481AA" w14:textId="77777777" w:rsidTr="001B1DB2">
        <w:tc>
          <w:tcPr>
            <w:tcW w:w="9026" w:type="dxa"/>
            <w:vAlign w:val="bottom"/>
            <w:hideMark/>
          </w:tcPr>
          <w:p w14:paraId="1A0A0312" w14:textId="7E0248F5" w:rsidR="002D6F5F" w:rsidRPr="002D6F5F" w:rsidRDefault="00D56C32" w:rsidP="0077616C">
            <w:pPr>
              <w:rPr>
                <w:rFonts w:cs="Arial"/>
              </w:rPr>
            </w:pPr>
            <w:r>
              <w:rPr>
                <w:rFonts w:ascii="Calibri" w:hAnsi="Calibri" w:cs="Calibri"/>
              </w:rPr>
              <w:t xml:space="preserve">Department of Health and Aged Care. </w:t>
            </w:r>
            <w:r>
              <w:rPr>
                <w:rFonts w:ascii="Calibri" w:hAnsi="Calibri" w:cs="Calibri"/>
                <w:i/>
                <w:iCs/>
              </w:rPr>
              <w:t>National Medical Workforce Strategy 2021–2031,</w:t>
            </w:r>
            <w:r>
              <w:rPr>
                <w:rFonts w:ascii="Calibri" w:hAnsi="Calibri" w:cs="Calibri"/>
              </w:rPr>
              <w:t xml:space="preserve"> (Canberra: 2023) revised 12 December 2023, </w:t>
            </w:r>
            <w:hyperlink r:id="rId300" w:history="1">
              <w:r w:rsidR="00E32F0A" w:rsidRPr="00A8752B">
                <w:rPr>
                  <w:rStyle w:val="Hyperlink"/>
                  <w:rFonts w:ascii="Calibri" w:hAnsi="Calibri" w:cs="Calibri"/>
                </w:rPr>
                <w:t>www.health.gov.au/our-work/national-medical-workforce-strategy-2021-2031</w:t>
              </w:r>
            </w:hyperlink>
            <w:r w:rsidR="00E32F0A">
              <w:rPr>
                <w:rFonts w:ascii="Calibri" w:hAnsi="Calibri" w:cs="Calibri"/>
              </w:rPr>
              <w:t xml:space="preserve">. </w:t>
            </w:r>
          </w:p>
        </w:tc>
      </w:tr>
      <w:tr w:rsidR="002D6F5F" w:rsidRPr="002D6F5F" w14:paraId="26D04E3D" w14:textId="77777777" w:rsidTr="001B1DB2">
        <w:tc>
          <w:tcPr>
            <w:tcW w:w="9026" w:type="dxa"/>
            <w:vAlign w:val="bottom"/>
            <w:hideMark/>
          </w:tcPr>
          <w:p w14:paraId="4C8F0C1B" w14:textId="33A88FA8" w:rsidR="002D6F5F" w:rsidRPr="002D6F5F" w:rsidRDefault="00D56C32" w:rsidP="0077616C">
            <w:pPr>
              <w:rPr>
                <w:rFonts w:cs="Arial"/>
              </w:rPr>
            </w:pPr>
            <w:r>
              <w:rPr>
                <w:rFonts w:ascii="Calibri" w:hAnsi="Calibri" w:cs="Calibri"/>
              </w:rPr>
              <w:t xml:space="preserve">Department of Home Affairs. </w:t>
            </w:r>
            <w:r>
              <w:rPr>
                <w:rFonts w:ascii="Calibri" w:hAnsi="Calibri" w:cs="Calibri"/>
                <w:i/>
                <w:iCs/>
              </w:rPr>
              <w:t>Migration Strategy: Getting Migration Working for the Nation</w:t>
            </w:r>
            <w:r>
              <w:rPr>
                <w:rFonts w:ascii="Calibri" w:hAnsi="Calibri" w:cs="Calibri"/>
              </w:rPr>
              <w:t xml:space="preserve">, (Canberra: 2023), accessed 13 December 2023, </w:t>
            </w:r>
            <w:hyperlink r:id="rId301" w:history="1">
              <w:r w:rsidR="00E32F0A" w:rsidRPr="00A8752B">
                <w:rPr>
                  <w:rStyle w:val="Hyperlink"/>
                  <w:rFonts w:ascii="Calibri" w:hAnsi="Calibri" w:cs="Calibri"/>
                </w:rPr>
                <w:t>immi.homeaffairs.gov.au/programs-subsite/migration-strategy/Documents/migration-strategy.pdf</w:t>
              </w:r>
            </w:hyperlink>
            <w:r w:rsidR="00E32F0A">
              <w:rPr>
                <w:rFonts w:ascii="Calibri" w:hAnsi="Calibri" w:cs="Calibri"/>
              </w:rPr>
              <w:t xml:space="preserve">. </w:t>
            </w:r>
          </w:p>
        </w:tc>
      </w:tr>
      <w:tr w:rsidR="002D6F5F" w:rsidRPr="002D6F5F" w14:paraId="26DF23D8" w14:textId="77777777" w:rsidTr="001B1DB2">
        <w:tc>
          <w:tcPr>
            <w:tcW w:w="9026" w:type="dxa"/>
            <w:vAlign w:val="bottom"/>
            <w:hideMark/>
          </w:tcPr>
          <w:p w14:paraId="20563941" w14:textId="482669E4" w:rsidR="002D6F5F" w:rsidRPr="002D6F5F" w:rsidRDefault="00D56C32" w:rsidP="0077616C">
            <w:pPr>
              <w:rPr>
                <w:rFonts w:cs="Arial"/>
              </w:rPr>
            </w:pPr>
            <w:r>
              <w:rPr>
                <w:rFonts w:ascii="Calibri" w:hAnsi="Calibri" w:cs="Calibri"/>
              </w:rPr>
              <w:t>Department of Home Affairs.</w:t>
            </w:r>
            <w:r>
              <w:rPr>
                <w:rFonts w:ascii="Calibri" w:hAnsi="Calibri" w:cs="Calibri"/>
                <w:i/>
                <w:iCs/>
              </w:rPr>
              <w:t xml:space="preserve"> Review of the Migration System</w:t>
            </w:r>
            <w:r>
              <w:rPr>
                <w:rFonts w:ascii="Calibri" w:hAnsi="Calibri" w:cs="Calibri"/>
              </w:rPr>
              <w:t xml:space="preserve">, (Canberra: 2023), </w:t>
            </w:r>
            <w:hyperlink r:id="rId302" w:history="1">
              <w:r w:rsidR="00E32F0A" w:rsidRPr="00A8752B">
                <w:rPr>
                  <w:rStyle w:val="Hyperlink"/>
                  <w:rFonts w:ascii="Calibri" w:hAnsi="Calibri" w:cs="Calibri"/>
                </w:rPr>
                <w:t>www.homeaffairs.gov.au/reports-and-publications/reviews-and-inquiries/departmental-reviews/migration-system-for-australias-future</w:t>
              </w:r>
            </w:hyperlink>
            <w:r w:rsidR="00E32F0A">
              <w:rPr>
                <w:rFonts w:ascii="Calibri" w:hAnsi="Calibri" w:cs="Calibri"/>
              </w:rPr>
              <w:t xml:space="preserve">. </w:t>
            </w:r>
          </w:p>
        </w:tc>
      </w:tr>
      <w:tr w:rsidR="002D6F5F" w:rsidRPr="002D6F5F" w14:paraId="0C110737" w14:textId="77777777" w:rsidTr="001B1DB2">
        <w:tc>
          <w:tcPr>
            <w:tcW w:w="9026" w:type="dxa"/>
            <w:vAlign w:val="bottom"/>
            <w:hideMark/>
          </w:tcPr>
          <w:p w14:paraId="596ED5E8" w14:textId="4CFCAB3D" w:rsidR="002D6F5F" w:rsidRPr="002D6F5F" w:rsidRDefault="00D56C32" w:rsidP="0077616C">
            <w:pPr>
              <w:rPr>
                <w:rFonts w:cs="Arial"/>
              </w:rPr>
            </w:pPr>
            <w:r>
              <w:rPr>
                <w:rFonts w:ascii="Calibri" w:hAnsi="Calibri" w:cs="Calibri"/>
              </w:rPr>
              <w:t xml:space="preserve">Department of Home Affairs. </w:t>
            </w:r>
            <w:r>
              <w:rPr>
                <w:rFonts w:ascii="Calibri" w:hAnsi="Calibri" w:cs="Calibri"/>
                <w:i/>
                <w:iCs/>
              </w:rPr>
              <w:t>The Migration Strategy</w:t>
            </w:r>
            <w:r>
              <w:rPr>
                <w:rFonts w:ascii="Calibri" w:hAnsi="Calibri" w:cs="Calibri"/>
              </w:rPr>
              <w:t xml:space="preserve">, (Canberra: 2023), accessed 11 November 2023, </w:t>
            </w:r>
            <w:hyperlink r:id="rId303" w:history="1">
              <w:r w:rsidR="00E32F0A" w:rsidRPr="00A8752B">
                <w:rPr>
                  <w:rStyle w:val="Hyperlink"/>
                  <w:rFonts w:ascii="Calibri" w:hAnsi="Calibri" w:cs="Calibri"/>
                </w:rPr>
                <w:t>immi.homeaffairs.gov.au/programs-subsite/migration-strategy/Documents/migration-strategy.pdf</w:t>
              </w:r>
            </w:hyperlink>
            <w:r w:rsidR="00E32F0A">
              <w:rPr>
                <w:rFonts w:ascii="Calibri" w:hAnsi="Calibri" w:cs="Calibri"/>
              </w:rPr>
              <w:t xml:space="preserve">. </w:t>
            </w:r>
          </w:p>
        </w:tc>
      </w:tr>
      <w:tr w:rsidR="002D6F5F" w:rsidRPr="002D6F5F" w14:paraId="545C6B68" w14:textId="77777777" w:rsidTr="001B1DB2">
        <w:tc>
          <w:tcPr>
            <w:tcW w:w="9026" w:type="dxa"/>
            <w:vAlign w:val="bottom"/>
            <w:hideMark/>
          </w:tcPr>
          <w:p w14:paraId="044E8BF8" w14:textId="20A11D02" w:rsidR="002D6F5F" w:rsidRPr="002D6F5F" w:rsidRDefault="00D56C32" w:rsidP="0077616C">
            <w:pPr>
              <w:rPr>
                <w:rFonts w:cs="Arial"/>
              </w:rPr>
            </w:pPr>
            <w:r>
              <w:rPr>
                <w:rFonts w:ascii="Calibri" w:hAnsi="Calibri" w:cs="Calibri"/>
              </w:rPr>
              <w:t>Department of Industry, Science and Resources.</w:t>
            </w:r>
            <w:r>
              <w:rPr>
                <w:rFonts w:ascii="Calibri" w:hAnsi="Calibri" w:cs="Calibri"/>
                <w:i/>
                <w:iCs/>
              </w:rPr>
              <w:t xml:space="preserve"> Science, Research and Innovation Budget Tables 2022-23</w:t>
            </w:r>
            <w:r>
              <w:rPr>
                <w:rFonts w:ascii="Calibri" w:hAnsi="Calibri" w:cs="Calibri"/>
              </w:rPr>
              <w:t xml:space="preserve"> [data set], published 28 April 2023, </w:t>
            </w:r>
            <w:hyperlink r:id="rId304" w:history="1">
              <w:r w:rsidR="006654DA" w:rsidRPr="00A8752B">
                <w:rPr>
                  <w:rStyle w:val="Hyperlink"/>
                  <w:rFonts w:ascii="Calibri" w:hAnsi="Calibri" w:cs="Calibri"/>
                </w:rPr>
                <w:t>www.industry.gov.au/publications/science-research-and-innovation-sri-budget-tables-2022-23</w:t>
              </w:r>
            </w:hyperlink>
            <w:r w:rsidR="006654DA">
              <w:rPr>
                <w:rFonts w:ascii="Calibri" w:hAnsi="Calibri" w:cs="Calibri"/>
              </w:rPr>
              <w:t xml:space="preserve">. </w:t>
            </w:r>
          </w:p>
        </w:tc>
      </w:tr>
      <w:tr w:rsidR="002D6F5F" w:rsidRPr="002D6F5F" w14:paraId="7814EBDB" w14:textId="77777777" w:rsidTr="001B1DB2">
        <w:tc>
          <w:tcPr>
            <w:tcW w:w="9026" w:type="dxa"/>
            <w:vAlign w:val="bottom"/>
            <w:hideMark/>
          </w:tcPr>
          <w:p w14:paraId="7891451A" w14:textId="36EC9573" w:rsidR="002D6F5F" w:rsidRPr="002D6F5F" w:rsidRDefault="00D56C32" w:rsidP="0077616C">
            <w:pPr>
              <w:rPr>
                <w:rFonts w:cs="Arial"/>
              </w:rPr>
            </w:pPr>
            <w:r>
              <w:rPr>
                <w:rFonts w:ascii="Calibri" w:hAnsi="Calibri" w:cs="Calibri"/>
              </w:rPr>
              <w:t xml:space="preserve">Department of Industry, Science, Energy and Resources. “About Skill Finder,” Skills Finder, accessed 10 December 2023, </w:t>
            </w:r>
            <w:hyperlink r:id="rId305" w:history="1">
              <w:r w:rsidR="006654DA" w:rsidRPr="00A8752B">
                <w:rPr>
                  <w:rStyle w:val="Hyperlink"/>
                  <w:rFonts w:ascii="Calibri" w:hAnsi="Calibri" w:cs="Calibri"/>
                </w:rPr>
                <w:t>www.skillfinder.com.au/page/about</w:t>
              </w:r>
            </w:hyperlink>
            <w:r w:rsidR="006654DA">
              <w:rPr>
                <w:rFonts w:ascii="Calibri" w:hAnsi="Calibri" w:cs="Calibri"/>
              </w:rPr>
              <w:t xml:space="preserve">. </w:t>
            </w:r>
          </w:p>
        </w:tc>
      </w:tr>
      <w:tr w:rsidR="002D6F5F" w:rsidRPr="002D6F5F" w14:paraId="54A412E6" w14:textId="77777777" w:rsidTr="001B1DB2">
        <w:tc>
          <w:tcPr>
            <w:tcW w:w="9026" w:type="dxa"/>
            <w:vAlign w:val="bottom"/>
            <w:hideMark/>
          </w:tcPr>
          <w:p w14:paraId="55A922AC" w14:textId="533000BF" w:rsidR="002D6F5F" w:rsidRPr="002D6F5F" w:rsidRDefault="00D56C32" w:rsidP="0077616C">
            <w:pPr>
              <w:rPr>
                <w:rFonts w:cs="Arial"/>
              </w:rPr>
            </w:pPr>
            <w:r>
              <w:rPr>
                <w:rFonts w:ascii="Calibri" w:hAnsi="Calibri" w:cs="Calibri"/>
              </w:rPr>
              <w:t>Department of Premier and Cabinet. S</w:t>
            </w:r>
            <w:r>
              <w:rPr>
                <w:rFonts w:ascii="Calibri" w:hAnsi="Calibri" w:cs="Calibri"/>
                <w:i/>
                <w:iCs/>
              </w:rPr>
              <w:t xml:space="preserve">tate of Tasmania and University of Tasmania - Making the Future Partnership </w:t>
            </w:r>
            <w:r>
              <w:rPr>
                <w:rFonts w:ascii="Calibri" w:hAnsi="Calibri" w:cs="Calibri"/>
              </w:rPr>
              <w:t xml:space="preserve">(Hobart: Department of Premier and Cabinet, Tasmanian Government, 2015), </w:t>
            </w:r>
            <w:hyperlink r:id="rId306" w:history="1">
              <w:r w:rsidR="006654DA" w:rsidRPr="00A8752B">
                <w:rPr>
                  <w:rStyle w:val="Hyperlink"/>
                  <w:rFonts w:ascii="Calibri" w:hAnsi="Calibri" w:cs="Calibri"/>
                </w:rPr>
                <w:t>www.dpac.tas.gov.au/divisions/policy/partnership_with_the_university_of_tasmania</w:t>
              </w:r>
            </w:hyperlink>
            <w:r w:rsidR="006654DA">
              <w:rPr>
                <w:rFonts w:ascii="Calibri" w:hAnsi="Calibri" w:cs="Calibri"/>
              </w:rPr>
              <w:t xml:space="preserve">. </w:t>
            </w:r>
          </w:p>
        </w:tc>
      </w:tr>
      <w:tr w:rsidR="002D6F5F" w:rsidRPr="002D6F5F" w14:paraId="07880B2F" w14:textId="77777777" w:rsidTr="001B1DB2">
        <w:tc>
          <w:tcPr>
            <w:tcW w:w="9026" w:type="dxa"/>
            <w:vAlign w:val="bottom"/>
            <w:hideMark/>
          </w:tcPr>
          <w:p w14:paraId="3575E968" w14:textId="531C244F" w:rsidR="002D6F5F" w:rsidRPr="002D6F5F" w:rsidRDefault="00D56C32" w:rsidP="0077616C">
            <w:pPr>
              <w:rPr>
                <w:rFonts w:cs="Arial"/>
              </w:rPr>
            </w:pPr>
            <w:r>
              <w:rPr>
                <w:rFonts w:ascii="Calibri" w:hAnsi="Calibri" w:cs="Calibri"/>
              </w:rPr>
              <w:t>Department of Prime Minister and Cabinet.</w:t>
            </w:r>
            <w:r>
              <w:rPr>
                <w:rFonts w:ascii="Calibri" w:hAnsi="Calibri" w:cs="Calibri"/>
                <w:i/>
                <w:iCs/>
              </w:rPr>
              <w:t xml:space="preserve"> Strengthening Skills: Expert Review of Australia’s Vocational Education and Training System</w:t>
            </w:r>
            <w:r>
              <w:rPr>
                <w:rFonts w:ascii="Calibri" w:hAnsi="Calibri" w:cs="Calibri"/>
              </w:rPr>
              <w:t xml:space="preserve">, (Canberra: 2019), </w:t>
            </w:r>
            <w:hyperlink r:id="rId307" w:history="1">
              <w:r w:rsidR="006654DA" w:rsidRPr="00A8752B">
                <w:rPr>
                  <w:rStyle w:val="Hyperlink"/>
                  <w:rFonts w:ascii="Calibri" w:hAnsi="Calibri" w:cs="Calibri"/>
                </w:rPr>
                <w:t>www.pmc.gov.au/publications/strengthening-skills-expert-review-australias-vocational-education-and-training-system</w:t>
              </w:r>
            </w:hyperlink>
            <w:r w:rsidR="006654DA">
              <w:rPr>
                <w:rFonts w:ascii="Calibri" w:hAnsi="Calibri" w:cs="Calibri"/>
              </w:rPr>
              <w:t xml:space="preserve">. </w:t>
            </w:r>
          </w:p>
        </w:tc>
      </w:tr>
      <w:tr w:rsidR="002D6F5F" w:rsidRPr="002D6F5F" w14:paraId="6DDF027D" w14:textId="77777777" w:rsidTr="001B1DB2">
        <w:tc>
          <w:tcPr>
            <w:tcW w:w="9026" w:type="dxa"/>
            <w:vAlign w:val="center"/>
            <w:hideMark/>
          </w:tcPr>
          <w:p w14:paraId="0921B9BB" w14:textId="59E45076" w:rsidR="002D6F5F" w:rsidRPr="002D6F5F" w:rsidRDefault="00D56C32" w:rsidP="0077616C">
            <w:pPr>
              <w:rPr>
                <w:rFonts w:cs="Arial"/>
              </w:rPr>
            </w:pPr>
            <w:r>
              <w:rPr>
                <w:rFonts w:ascii="Calibri" w:hAnsi="Calibri" w:cs="Calibri"/>
              </w:rPr>
              <w:lastRenderedPageBreak/>
              <w:t xml:space="preserve">Department of Social Services. </w:t>
            </w:r>
            <w:r>
              <w:rPr>
                <w:rFonts w:ascii="Calibri" w:hAnsi="Calibri" w:cs="Calibri"/>
                <w:i/>
                <w:iCs/>
              </w:rPr>
              <w:t xml:space="preserve">Interim Economic Inclusion Advisory Committee 2023-24 Report </w:t>
            </w:r>
            <w:r>
              <w:rPr>
                <w:rFonts w:ascii="Calibri" w:hAnsi="Calibri" w:cs="Calibri"/>
              </w:rPr>
              <w:t xml:space="preserve">(Canberra, 2023), </w:t>
            </w:r>
            <w:hyperlink r:id="rId308" w:history="1">
              <w:r w:rsidR="006654DA" w:rsidRPr="00A8752B">
                <w:rPr>
                  <w:rStyle w:val="Hyperlink"/>
                  <w:rFonts w:ascii="Calibri" w:hAnsi="Calibri" w:cs="Calibri"/>
                </w:rPr>
                <w:t>www.dss.gov.au/groups-councils-and-committees-economic-inclusion-advisory-committee/interim-economic-inclusion-advisory-committee-2023-24-report</w:t>
              </w:r>
            </w:hyperlink>
            <w:r w:rsidR="006654DA">
              <w:rPr>
                <w:rFonts w:ascii="Calibri" w:hAnsi="Calibri" w:cs="Calibri"/>
              </w:rPr>
              <w:t xml:space="preserve">. </w:t>
            </w:r>
          </w:p>
        </w:tc>
      </w:tr>
      <w:tr w:rsidR="002D6F5F" w:rsidRPr="002D6F5F" w14:paraId="0EEF1D2B" w14:textId="77777777" w:rsidTr="001B1DB2">
        <w:tc>
          <w:tcPr>
            <w:tcW w:w="9026" w:type="dxa"/>
            <w:vAlign w:val="center"/>
            <w:hideMark/>
          </w:tcPr>
          <w:p w14:paraId="1F6F6129" w14:textId="4B54BBD3" w:rsidR="002D6F5F" w:rsidRPr="002D6F5F" w:rsidRDefault="00D56C32" w:rsidP="0077616C">
            <w:pPr>
              <w:rPr>
                <w:rFonts w:cs="Arial"/>
              </w:rPr>
            </w:pPr>
            <w:r>
              <w:rPr>
                <w:rFonts w:ascii="Calibri" w:hAnsi="Calibri" w:cs="Calibri"/>
              </w:rPr>
              <w:t xml:space="preserve">Department of Social Services. </w:t>
            </w:r>
            <w:r>
              <w:rPr>
                <w:rFonts w:ascii="Calibri" w:hAnsi="Calibri" w:cs="Calibri"/>
                <w:i/>
                <w:iCs/>
              </w:rPr>
              <w:t>Student Income Bank Usage</w:t>
            </w:r>
            <w:r>
              <w:rPr>
                <w:rFonts w:ascii="Calibri" w:hAnsi="Calibri" w:cs="Calibri"/>
              </w:rPr>
              <w:t xml:space="preserve"> [unpublished data], (Canberra: 2023).</w:t>
            </w:r>
          </w:p>
        </w:tc>
      </w:tr>
      <w:tr w:rsidR="002D6F5F" w:rsidRPr="002D6F5F" w14:paraId="2BCF7C18" w14:textId="77777777" w:rsidTr="001B1DB2">
        <w:tc>
          <w:tcPr>
            <w:tcW w:w="9026" w:type="dxa"/>
            <w:vAlign w:val="bottom"/>
            <w:hideMark/>
          </w:tcPr>
          <w:p w14:paraId="063EA1BD" w14:textId="2DF709AD" w:rsidR="002D6F5F" w:rsidRPr="002D6F5F" w:rsidRDefault="00D56C32" w:rsidP="0077616C">
            <w:pPr>
              <w:rPr>
                <w:rFonts w:cs="Arial"/>
              </w:rPr>
            </w:pPr>
            <w:r>
              <w:rPr>
                <w:rFonts w:ascii="Calibri" w:hAnsi="Calibri" w:cs="Calibri"/>
              </w:rPr>
              <w:t>Department of the Treasury.</w:t>
            </w:r>
            <w:r>
              <w:rPr>
                <w:rFonts w:ascii="Calibri" w:hAnsi="Calibri" w:cs="Calibri"/>
                <w:i/>
                <w:iCs/>
              </w:rPr>
              <w:t xml:space="preserve"> Intergenerational Report 2023: Australia’s future to 2063,</w:t>
            </w:r>
            <w:r>
              <w:rPr>
                <w:rFonts w:ascii="Calibri" w:hAnsi="Calibri" w:cs="Calibri"/>
              </w:rPr>
              <w:t xml:space="preserve"> (Canberra: Department of the Treasury, 2023), </w:t>
            </w:r>
            <w:hyperlink r:id="rId309" w:history="1">
              <w:r w:rsidR="006654DA" w:rsidRPr="00A8752B">
                <w:rPr>
                  <w:rStyle w:val="Hyperlink"/>
                  <w:rFonts w:ascii="Calibri" w:hAnsi="Calibri" w:cs="Calibri"/>
                </w:rPr>
                <w:t>treasury.gov.au/sites/default/files/2023-08/p2023-435150.pdf</w:t>
              </w:r>
            </w:hyperlink>
            <w:r w:rsidR="006654DA">
              <w:rPr>
                <w:rFonts w:ascii="Calibri" w:hAnsi="Calibri" w:cs="Calibri"/>
              </w:rPr>
              <w:t xml:space="preserve">. </w:t>
            </w:r>
          </w:p>
        </w:tc>
      </w:tr>
      <w:tr w:rsidR="002D6F5F" w:rsidRPr="002D6F5F" w14:paraId="77D578A1" w14:textId="77777777" w:rsidTr="001B1DB2">
        <w:tc>
          <w:tcPr>
            <w:tcW w:w="9026" w:type="dxa"/>
            <w:vAlign w:val="bottom"/>
            <w:hideMark/>
          </w:tcPr>
          <w:p w14:paraId="51D8738B" w14:textId="0D9ADECB" w:rsidR="002D6F5F" w:rsidRPr="002D6F5F" w:rsidRDefault="00D56C32" w:rsidP="0077616C">
            <w:pPr>
              <w:rPr>
                <w:rFonts w:cs="Arial"/>
              </w:rPr>
            </w:pPr>
            <w:r>
              <w:rPr>
                <w:rFonts w:ascii="Calibri" w:hAnsi="Calibri" w:cstheme="minorHAnsi"/>
              </w:rPr>
              <w:t>Department of the Treasury.</w:t>
            </w:r>
            <w:r>
              <w:rPr>
                <w:rFonts w:ascii="Calibri" w:hAnsi="Calibri" w:cs="Calibri"/>
                <w:i/>
                <w:iCs/>
              </w:rPr>
              <w:t xml:space="preserve"> Profile of Australia’s population</w:t>
            </w:r>
            <w:r>
              <w:rPr>
                <w:rFonts w:ascii="Calibri" w:hAnsi="Calibri" w:cs="Calibri"/>
              </w:rPr>
              <w:t xml:space="preserve">, (Canberra: Australian Institute for Health and Welfare (AIHW), 2023), </w:t>
            </w:r>
            <w:hyperlink r:id="rId310" w:history="1">
              <w:r w:rsidR="006654DA" w:rsidRPr="00A8752B">
                <w:rPr>
                  <w:rStyle w:val="Hyperlink"/>
                  <w:rFonts w:ascii="Calibri" w:hAnsi="Calibri" w:cs="Calibri"/>
                </w:rPr>
                <w:t>www.aihw.gov.au/reports/australias-health/profile-of-australias-population</w:t>
              </w:r>
            </w:hyperlink>
            <w:r w:rsidR="006654DA">
              <w:rPr>
                <w:rFonts w:ascii="Calibri" w:hAnsi="Calibri" w:cs="Calibri"/>
              </w:rPr>
              <w:t xml:space="preserve">. </w:t>
            </w:r>
            <w:r>
              <w:rPr>
                <w:rFonts w:ascii="Calibri" w:hAnsi="Calibri" w:cs="Calibri"/>
              </w:rPr>
              <w:t xml:space="preserve">  </w:t>
            </w:r>
          </w:p>
        </w:tc>
      </w:tr>
      <w:tr w:rsidR="002D6F5F" w:rsidRPr="002D6F5F" w14:paraId="31525EBD" w14:textId="77777777" w:rsidTr="001B1DB2">
        <w:tc>
          <w:tcPr>
            <w:tcW w:w="9026" w:type="dxa"/>
            <w:vAlign w:val="bottom"/>
            <w:hideMark/>
          </w:tcPr>
          <w:p w14:paraId="5381B039" w14:textId="4DFAC41D" w:rsidR="002D6F5F" w:rsidRPr="002D6F5F" w:rsidRDefault="00D56C32" w:rsidP="0077616C">
            <w:pPr>
              <w:rPr>
                <w:rFonts w:cs="Arial"/>
              </w:rPr>
            </w:pPr>
            <w:r>
              <w:rPr>
                <w:rFonts w:ascii="Calibri" w:hAnsi="Calibri" w:cs="Calibri"/>
              </w:rPr>
              <w:t xml:space="preserve">Department of the Treasury. </w:t>
            </w:r>
            <w:r>
              <w:rPr>
                <w:rFonts w:ascii="Calibri" w:hAnsi="Calibri" w:cs="Calibri"/>
                <w:i/>
                <w:iCs/>
              </w:rPr>
              <w:t>Working Future: The Australian Government’s White Paper on Jobs and Opportunities,</w:t>
            </w:r>
            <w:r>
              <w:rPr>
                <w:rFonts w:ascii="Calibri" w:hAnsi="Calibri" w:cs="Calibri"/>
              </w:rPr>
              <w:t xml:space="preserve"> (Canberra: 2023), </w:t>
            </w:r>
            <w:hyperlink r:id="rId311" w:history="1">
              <w:r w:rsidR="006654DA" w:rsidRPr="00A8752B">
                <w:rPr>
                  <w:rStyle w:val="Hyperlink"/>
                  <w:rFonts w:ascii="Calibri" w:hAnsi="Calibri" w:cs="Calibri"/>
                </w:rPr>
                <w:t>treasury.gov.au/employment-whitepaper/final-report</w:t>
              </w:r>
            </w:hyperlink>
            <w:r w:rsidR="006654DA">
              <w:rPr>
                <w:rFonts w:ascii="Calibri" w:hAnsi="Calibri" w:cs="Calibri"/>
              </w:rPr>
              <w:t xml:space="preserve">. </w:t>
            </w:r>
          </w:p>
        </w:tc>
      </w:tr>
      <w:tr w:rsidR="002D6F5F" w:rsidRPr="002D6F5F" w14:paraId="3DC08BED" w14:textId="77777777" w:rsidTr="001B1DB2">
        <w:tc>
          <w:tcPr>
            <w:tcW w:w="9026" w:type="dxa"/>
            <w:vAlign w:val="bottom"/>
            <w:hideMark/>
          </w:tcPr>
          <w:p w14:paraId="40093EF1" w14:textId="28F13124" w:rsidR="002D6F5F" w:rsidRPr="002D6F5F" w:rsidRDefault="00D56C32" w:rsidP="0077616C">
            <w:pPr>
              <w:rPr>
                <w:rFonts w:cs="Arial"/>
              </w:rPr>
            </w:pPr>
            <w:r>
              <w:rPr>
                <w:rFonts w:ascii="Calibri" w:hAnsi="Calibri" w:cs="Calibri"/>
              </w:rPr>
              <w:t>Dollinger, Mollie</w:t>
            </w:r>
            <w:r w:rsidR="00056C80">
              <w:rPr>
                <w:rFonts w:ascii="Calibri" w:hAnsi="Calibri" w:cs="Calibri"/>
              </w:rPr>
              <w:t>;</w:t>
            </w:r>
            <w:r w:rsidR="00056C80">
              <w:t xml:space="preserve"> </w:t>
            </w:r>
            <w:r w:rsidR="00056C80" w:rsidRPr="00056C80">
              <w:rPr>
                <w:rFonts w:ascii="Calibri" w:hAnsi="Calibri" w:cs="Calibri"/>
              </w:rPr>
              <w:t>Harvey, Andrew; Naylor, Ryan; Mahat, Marian and D’Angelo, Belinda</w:t>
            </w:r>
            <w:r>
              <w:rPr>
                <w:rFonts w:ascii="Calibri" w:hAnsi="Calibri" w:cs="Calibri"/>
              </w:rPr>
              <w:t xml:space="preserve">. </w:t>
            </w:r>
            <w:r>
              <w:rPr>
                <w:rFonts w:ascii="Calibri" w:hAnsi="Calibri" w:cs="Calibri"/>
                <w:i/>
                <w:iCs/>
              </w:rPr>
              <w:t xml:space="preserve">A student-centred approach: Understanding higher education pathways through co-design </w:t>
            </w:r>
            <w:r>
              <w:rPr>
                <w:rFonts w:ascii="Calibri" w:hAnsi="Calibri" w:cs="Calibri"/>
              </w:rPr>
              <w:t xml:space="preserve">(Perth: National Centre for Student Equity in Higher Education, 2022), </w:t>
            </w:r>
            <w:hyperlink r:id="rId312" w:history="1">
              <w:r w:rsidR="006654DA" w:rsidRPr="00A8752B">
                <w:rPr>
                  <w:rStyle w:val="Hyperlink"/>
                  <w:rFonts w:ascii="Calibri" w:hAnsi="Calibri" w:cs="Calibri"/>
                </w:rPr>
                <w:t>www.ncsehe.edu.au/wp-content/uploads/2022/11/2022-Dollinger-Final.pdf</w:t>
              </w:r>
            </w:hyperlink>
            <w:r w:rsidR="006654DA">
              <w:rPr>
                <w:rFonts w:ascii="Calibri" w:hAnsi="Calibri" w:cs="Calibri"/>
              </w:rPr>
              <w:t xml:space="preserve">. </w:t>
            </w:r>
          </w:p>
        </w:tc>
      </w:tr>
      <w:tr w:rsidR="002D6F5F" w:rsidRPr="002D6F5F" w14:paraId="0182132F" w14:textId="77777777" w:rsidTr="001B1DB2">
        <w:tc>
          <w:tcPr>
            <w:tcW w:w="9026" w:type="dxa"/>
            <w:vAlign w:val="bottom"/>
            <w:hideMark/>
          </w:tcPr>
          <w:p w14:paraId="1EC4DDEA" w14:textId="5F0B3C3C" w:rsidR="002D6F5F" w:rsidRPr="002D6F5F" w:rsidRDefault="00D56C32" w:rsidP="0077616C">
            <w:pPr>
              <w:rPr>
                <w:rFonts w:cs="Arial"/>
              </w:rPr>
            </w:pPr>
            <w:r>
              <w:rPr>
                <w:rFonts w:ascii="Calibri" w:hAnsi="Calibri" w:cs="Calibri"/>
              </w:rPr>
              <w:t>Droegemeier, Kelvin K. “Written testimony submitted to the Appropriations Sub-Committee on Labor, Health and Human Services, Education and Related Agencies, United States House of Representatives” for the hearing titled The Role of Facilities and Administrative Costs in Supporting NIH-Funded Research, (October 2017).</w:t>
            </w:r>
          </w:p>
        </w:tc>
      </w:tr>
      <w:tr w:rsidR="002D6F5F" w:rsidRPr="002D6F5F" w14:paraId="41511EED" w14:textId="77777777" w:rsidTr="001B1DB2">
        <w:tc>
          <w:tcPr>
            <w:tcW w:w="9026" w:type="dxa"/>
            <w:vAlign w:val="bottom"/>
            <w:hideMark/>
          </w:tcPr>
          <w:p w14:paraId="762695E3" w14:textId="40AFA388" w:rsidR="002D6F5F" w:rsidRPr="002D6F5F" w:rsidRDefault="00D56C32" w:rsidP="0077616C">
            <w:pPr>
              <w:rPr>
                <w:rFonts w:cs="Arial"/>
              </w:rPr>
            </w:pPr>
            <w:r>
              <w:rPr>
                <w:rFonts w:ascii="Calibri" w:hAnsi="Calibri" w:cstheme="minorHAnsi"/>
              </w:rPr>
              <w:t xml:space="preserve">Duckett, Stephen. </w:t>
            </w:r>
            <w:r>
              <w:rPr>
                <w:rFonts w:ascii="Calibri" w:hAnsi="Calibri" w:cs="Calibri"/>
                <w:i/>
                <w:iCs/>
              </w:rPr>
              <w:t>Submission to the Australian Universities Accord Interim Report,</w:t>
            </w:r>
            <w:r>
              <w:rPr>
                <w:rFonts w:ascii="Calibri" w:hAnsi="Calibri" w:cs="Calibri"/>
              </w:rPr>
              <w:t xml:space="preserve"> 2023.</w:t>
            </w:r>
          </w:p>
        </w:tc>
      </w:tr>
      <w:tr w:rsidR="002D6F5F" w:rsidRPr="002D6F5F" w14:paraId="35EBB0EE" w14:textId="77777777" w:rsidTr="001B1DB2">
        <w:tc>
          <w:tcPr>
            <w:tcW w:w="9026" w:type="dxa"/>
            <w:vAlign w:val="center"/>
            <w:hideMark/>
          </w:tcPr>
          <w:p w14:paraId="601C3A0B" w14:textId="623B5FF8" w:rsidR="002D6F5F" w:rsidRPr="002D6F5F" w:rsidRDefault="00D56C32" w:rsidP="0077616C">
            <w:pPr>
              <w:rPr>
                <w:rFonts w:cs="Arial"/>
              </w:rPr>
            </w:pPr>
            <w:r>
              <w:rPr>
                <w:rFonts w:ascii="Calibri" w:hAnsi="Calibri" w:cs="Calibri"/>
              </w:rPr>
              <w:t xml:space="preserve">Dymock, Daryll and Billett, Stephen. “Skilling Australians: Lessons from World War II National Workforce Development Programs,” </w:t>
            </w:r>
            <w:r>
              <w:rPr>
                <w:rFonts w:ascii="Calibri" w:hAnsi="Calibri" w:cs="Calibri"/>
                <w:i/>
                <w:iCs/>
              </w:rPr>
              <w:t>Australian Journal of Adult Learning</w:t>
            </w:r>
            <w:r>
              <w:rPr>
                <w:rFonts w:ascii="Calibri" w:hAnsi="Calibri" w:cs="Calibri"/>
              </w:rPr>
              <w:t xml:space="preserve"> 50, no. 3 (November 2010), </w:t>
            </w:r>
            <w:hyperlink r:id="rId313" w:history="1">
              <w:r w:rsidR="006654DA" w:rsidRPr="00A8752B">
                <w:rPr>
                  <w:rStyle w:val="Hyperlink"/>
                  <w:rFonts w:ascii="Calibri" w:hAnsi="Calibri" w:cs="Calibri"/>
                </w:rPr>
                <w:t>research-repository.griffith.edu.au/bitstream/handle/10072/38922/65824_‌1.‌pdf?sequence=1</w:t>
              </w:r>
            </w:hyperlink>
            <w:r w:rsidR="006654DA">
              <w:rPr>
                <w:rFonts w:ascii="Calibri" w:hAnsi="Calibri" w:cs="Calibri"/>
              </w:rPr>
              <w:t xml:space="preserve">. </w:t>
            </w:r>
          </w:p>
        </w:tc>
      </w:tr>
      <w:tr w:rsidR="002D6F5F" w:rsidRPr="002D6F5F" w14:paraId="5744B485" w14:textId="77777777" w:rsidTr="001B1DB2">
        <w:tc>
          <w:tcPr>
            <w:tcW w:w="9026" w:type="dxa"/>
            <w:vAlign w:val="bottom"/>
            <w:hideMark/>
          </w:tcPr>
          <w:p w14:paraId="2DEF7ABF" w14:textId="45DD6219" w:rsidR="002D6F5F" w:rsidRPr="002D6F5F" w:rsidRDefault="00D56C32" w:rsidP="0077616C">
            <w:pPr>
              <w:rPr>
                <w:rFonts w:cs="Arial"/>
              </w:rPr>
            </w:pPr>
            <w:r>
              <w:rPr>
                <w:rFonts w:ascii="Calibri" w:hAnsi="Calibri" w:cs="Calibri"/>
              </w:rPr>
              <w:t xml:space="preserve">Education Ministers Meeting. </w:t>
            </w:r>
            <w:r>
              <w:rPr>
                <w:rFonts w:ascii="Calibri" w:hAnsi="Calibri" w:cs="Calibri"/>
                <w:i/>
                <w:iCs/>
              </w:rPr>
              <w:t>Education Ministers Meeting Communique: October 2023</w:t>
            </w:r>
            <w:r>
              <w:rPr>
                <w:rFonts w:ascii="Calibri" w:hAnsi="Calibri" w:cs="Calibri"/>
              </w:rPr>
              <w:t xml:space="preserve">, (Canberra: Department of Education, 2023), </w:t>
            </w:r>
            <w:hyperlink r:id="rId314" w:history="1">
              <w:r w:rsidR="006654DA" w:rsidRPr="00A8752B">
                <w:rPr>
                  <w:rStyle w:val="Hyperlink"/>
                  <w:rFonts w:ascii="Calibri" w:hAnsi="Calibri" w:cs="Calibri"/>
                </w:rPr>
                <w:t>www.education.gov.au/collections/communiques-education-ministers-meeting-2023</w:t>
              </w:r>
            </w:hyperlink>
            <w:r w:rsidR="006654DA">
              <w:rPr>
                <w:rFonts w:ascii="Calibri" w:hAnsi="Calibri" w:cs="Calibri"/>
              </w:rPr>
              <w:t xml:space="preserve">. </w:t>
            </w:r>
          </w:p>
        </w:tc>
      </w:tr>
      <w:tr w:rsidR="002D6F5F" w:rsidRPr="002D6F5F" w14:paraId="61D09A8A" w14:textId="77777777" w:rsidTr="001B1DB2">
        <w:tc>
          <w:tcPr>
            <w:tcW w:w="9026" w:type="dxa"/>
            <w:vAlign w:val="bottom"/>
            <w:hideMark/>
          </w:tcPr>
          <w:p w14:paraId="01CE48EF" w14:textId="264E9536" w:rsidR="002D6F5F" w:rsidRPr="002D6F5F" w:rsidRDefault="00D56C32" w:rsidP="0077616C">
            <w:pPr>
              <w:rPr>
                <w:rFonts w:cs="Arial"/>
              </w:rPr>
            </w:pPr>
            <w:r>
              <w:rPr>
                <w:rFonts w:ascii="Calibri" w:hAnsi="Calibri" w:cs="Calibri"/>
              </w:rPr>
              <w:t xml:space="preserve">Emergency Response Fund Bill 2019, Explanatory Memorandum, </w:t>
            </w:r>
            <w:hyperlink r:id="rId315" w:history="1">
              <w:r w:rsidR="006654DA" w:rsidRPr="00A8752B">
                <w:rPr>
                  <w:rStyle w:val="Hyperlink"/>
                  <w:rFonts w:ascii="Calibri" w:hAnsi="Calibri" w:cs="Calibri"/>
                </w:rPr>
                <w:t>parlinfo.aph.gov.au/parlInfo/download/legislation/ems/r6390_ems_53e96fa8-8d78-471d-b6b5-266e4e93871a/upload_pdf/716910.pdf;fileType=application%2Fpdf</w:t>
              </w:r>
            </w:hyperlink>
            <w:r w:rsidR="006654DA">
              <w:rPr>
                <w:rFonts w:ascii="Calibri" w:hAnsi="Calibri" w:cs="Calibri"/>
              </w:rPr>
              <w:t xml:space="preserve">. </w:t>
            </w:r>
          </w:p>
        </w:tc>
      </w:tr>
      <w:tr w:rsidR="002D6F5F" w:rsidRPr="002D6F5F" w14:paraId="2923BD40" w14:textId="77777777" w:rsidTr="001B1DB2">
        <w:tc>
          <w:tcPr>
            <w:tcW w:w="9026" w:type="dxa"/>
            <w:vAlign w:val="bottom"/>
            <w:hideMark/>
          </w:tcPr>
          <w:p w14:paraId="1AC5964D" w14:textId="2C366AF0" w:rsidR="002D6F5F" w:rsidRPr="002D6F5F" w:rsidRDefault="00D56C32" w:rsidP="0077616C">
            <w:pPr>
              <w:rPr>
                <w:rFonts w:cs="Arial"/>
              </w:rPr>
            </w:pPr>
            <w:r>
              <w:rPr>
                <w:rFonts w:ascii="Calibri" w:hAnsi="Calibri" w:cs="Calibri"/>
              </w:rPr>
              <w:t>Eurostat. C</w:t>
            </w:r>
            <w:r>
              <w:rPr>
                <w:rFonts w:ascii="Calibri" w:hAnsi="Calibri" w:cs="Calibri"/>
                <w:i/>
                <w:iCs/>
              </w:rPr>
              <w:t>ommunity innovation survey 2020 (CIS2020)</w:t>
            </w:r>
            <w:r>
              <w:rPr>
                <w:rFonts w:ascii="Calibri" w:hAnsi="Calibri" w:cs="Calibri"/>
              </w:rPr>
              <w:t>, European Union: 2020), accessed 14 December 2023</w:t>
            </w:r>
            <w:r w:rsidR="006654DA">
              <w:rPr>
                <w:rFonts w:ascii="Calibri" w:hAnsi="Calibri" w:cs="Calibri"/>
              </w:rPr>
              <w:t xml:space="preserve">, </w:t>
            </w:r>
            <w:hyperlink r:id="rId316" w:anchor="annex1678715583437" w:history="1">
              <w:r w:rsidR="006654DA" w:rsidRPr="00A8752B">
                <w:rPr>
                  <w:rStyle w:val="Hyperlink"/>
                  <w:rFonts w:ascii="Calibri" w:hAnsi="Calibri" w:cs="Calibri"/>
                </w:rPr>
                <w:t>ec.europa.eu/eurostat/cache/metadata/en/inn_cis12_esms.htm#annex1678715583437</w:t>
              </w:r>
            </w:hyperlink>
            <w:r w:rsidR="006654DA">
              <w:rPr>
                <w:rFonts w:ascii="Calibri" w:hAnsi="Calibri" w:cs="Calibri"/>
              </w:rPr>
              <w:t xml:space="preserve">. </w:t>
            </w:r>
          </w:p>
        </w:tc>
      </w:tr>
      <w:tr w:rsidR="002D6F5F" w:rsidRPr="002D6F5F" w14:paraId="74AD8E8A" w14:textId="77777777" w:rsidTr="001B1DB2">
        <w:tc>
          <w:tcPr>
            <w:tcW w:w="9026" w:type="dxa"/>
            <w:vAlign w:val="bottom"/>
            <w:hideMark/>
          </w:tcPr>
          <w:p w14:paraId="5B1FF958" w14:textId="68D918F8" w:rsidR="002D6F5F" w:rsidRPr="002D6F5F" w:rsidRDefault="00D56C32" w:rsidP="0077616C">
            <w:pPr>
              <w:rPr>
                <w:rFonts w:cs="Arial"/>
              </w:rPr>
            </w:pPr>
            <w:r>
              <w:rPr>
                <w:rFonts w:ascii="Calibri" w:hAnsi="Calibri" w:cs="Calibri"/>
              </w:rPr>
              <w:t>Explanatory Memorandum, Higher Education Support Amendment (Job-Ready Graduates and Supporting Regional and Remote Students) Bill 2020, (</w:t>
            </w:r>
            <w:proofErr w:type="spellStart"/>
            <w:r>
              <w:rPr>
                <w:rFonts w:ascii="Calibri" w:hAnsi="Calibri" w:cs="Calibri"/>
              </w:rPr>
              <w:t>Cth</w:t>
            </w:r>
            <w:proofErr w:type="spellEnd"/>
            <w:r>
              <w:rPr>
                <w:rFonts w:ascii="Calibri" w:hAnsi="Calibri" w:cs="Calibri"/>
              </w:rPr>
              <w:t xml:space="preserve">), </w:t>
            </w:r>
            <w:hyperlink r:id="rId317" w:history="1">
              <w:r w:rsidR="006654DA" w:rsidRPr="00A8752B">
                <w:rPr>
                  <w:rStyle w:val="Hyperlink"/>
                  <w:rFonts w:ascii="Calibri" w:hAnsi="Calibri" w:cs="Calibri"/>
                </w:rPr>
                <w:t>parlinfo.aph.gov.au/parlInfo/download/legislation/ems/r6584_ems_79c2b067-a1b7-4c5d-949a-73e246023baa/upload_pdf/746432.pdf;fileType=application%2Fpdf</w:t>
              </w:r>
            </w:hyperlink>
            <w:r w:rsidR="006654DA">
              <w:rPr>
                <w:rFonts w:ascii="Calibri" w:hAnsi="Calibri" w:cs="Calibri"/>
              </w:rPr>
              <w:t xml:space="preserve">. </w:t>
            </w:r>
          </w:p>
        </w:tc>
      </w:tr>
      <w:tr w:rsidR="002D6F5F" w:rsidRPr="002D6F5F" w14:paraId="25DFCD71" w14:textId="77777777" w:rsidTr="001B1DB2">
        <w:tc>
          <w:tcPr>
            <w:tcW w:w="9026" w:type="dxa"/>
            <w:vAlign w:val="center"/>
            <w:hideMark/>
          </w:tcPr>
          <w:p w14:paraId="414241B6" w14:textId="58AC3D6E" w:rsidR="002D6F5F" w:rsidRPr="002D6F5F" w:rsidRDefault="00D56C32" w:rsidP="0077616C">
            <w:pPr>
              <w:rPr>
                <w:rFonts w:cs="Arial"/>
              </w:rPr>
            </w:pPr>
            <w:r>
              <w:rPr>
                <w:rFonts w:ascii="Calibri" w:hAnsi="Calibri" w:cs="Calibri"/>
              </w:rPr>
              <w:lastRenderedPageBreak/>
              <w:t xml:space="preserve">Flodin, Charles and Vidovich, Nicole. “Innovations and insights for higher education aspiration and outreach programs,” </w:t>
            </w:r>
            <w:r>
              <w:rPr>
                <w:rFonts w:ascii="Calibri" w:hAnsi="Calibri" w:cs="Calibri"/>
                <w:i/>
                <w:iCs/>
              </w:rPr>
              <w:t xml:space="preserve">Innovations in Higher Education Teaching and Learning, </w:t>
            </w:r>
            <w:r>
              <w:rPr>
                <w:rFonts w:ascii="Calibri" w:hAnsi="Calibri" w:cs="Calibri"/>
              </w:rPr>
              <w:t xml:space="preserve">17 (2019),  </w:t>
            </w:r>
            <w:hyperlink r:id="rId318" w:history="1">
              <w:r w:rsidRPr="003841FB">
                <w:rPr>
                  <w:rStyle w:val="Hyperlink"/>
                  <w:rFonts w:ascii="Calibri" w:hAnsi="Calibri" w:cs="Calibri"/>
                </w:rPr>
                <w:t>doi:10.1108/S2055-364120190000017012</w:t>
              </w:r>
            </w:hyperlink>
            <w:r w:rsidR="006654DA">
              <w:rPr>
                <w:rFonts w:ascii="Calibri" w:hAnsi="Calibri" w:cs="Calibri"/>
              </w:rPr>
              <w:t xml:space="preserve">. </w:t>
            </w:r>
          </w:p>
        </w:tc>
      </w:tr>
      <w:tr w:rsidR="002D6F5F" w:rsidRPr="002D6F5F" w14:paraId="494ECA2F" w14:textId="77777777" w:rsidTr="001B1DB2">
        <w:tc>
          <w:tcPr>
            <w:tcW w:w="9026" w:type="dxa"/>
            <w:vAlign w:val="bottom"/>
            <w:hideMark/>
          </w:tcPr>
          <w:p w14:paraId="15D9383A" w14:textId="661365BB" w:rsidR="002D6F5F" w:rsidRPr="002D6F5F" w:rsidRDefault="00D56C32" w:rsidP="0077616C">
            <w:pPr>
              <w:rPr>
                <w:rFonts w:cs="Arial"/>
              </w:rPr>
            </w:pPr>
            <w:r>
              <w:rPr>
                <w:rFonts w:ascii="Calibri" w:hAnsi="Calibri" w:cs="Calibri"/>
                <w:szCs w:val="16"/>
              </w:rPr>
              <w:t xml:space="preserve">Group of Eight Australia. </w:t>
            </w:r>
            <w:r>
              <w:rPr>
                <w:rFonts w:ascii="Calibri" w:hAnsi="Calibri" w:cs="Calibri"/>
                <w:i/>
                <w:iCs/>
              </w:rPr>
              <w:t>Basic Research: The Foundation of Progress, Productivity, and a More Sovereign Nation</w:t>
            </w:r>
            <w:r>
              <w:rPr>
                <w:rFonts w:ascii="Calibri" w:hAnsi="Calibri" w:cs="Calibri"/>
              </w:rPr>
              <w:t xml:space="preserve"> (Canberra, ACT: Group of Eight Australia, September, 2023), </w:t>
            </w:r>
            <w:hyperlink r:id="rId319" w:history="1">
              <w:r w:rsidR="003841FB" w:rsidRPr="00A8752B">
                <w:rPr>
                  <w:rStyle w:val="Hyperlink"/>
                  <w:rFonts w:ascii="Calibri" w:hAnsi="Calibri" w:cs="Calibri"/>
                </w:rPr>
                <w:t>go8.edu.au/wp-content/uploads/2023/09/Go8-Policy-Brief-Basic-Research.pdf</w:t>
              </w:r>
            </w:hyperlink>
            <w:r w:rsidR="003841FB">
              <w:rPr>
                <w:rFonts w:ascii="Calibri" w:hAnsi="Calibri" w:cs="Calibri"/>
              </w:rPr>
              <w:t xml:space="preserve">. </w:t>
            </w:r>
          </w:p>
        </w:tc>
      </w:tr>
      <w:tr w:rsidR="002D6F5F" w:rsidRPr="002D6F5F" w14:paraId="545D3AE5" w14:textId="77777777" w:rsidTr="001B1DB2">
        <w:tc>
          <w:tcPr>
            <w:tcW w:w="9026" w:type="dxa"/>
            <w:vAlign w:val="bottom"/>
            <w:hideMark/>
          </w:tcPr>
          <w:p w14:paraId="6EAF40FE" w14:textId="10E89B95" w:rsidR="002D6F5F" w:rsidRPr="002D6F5F" w:rsidRDefault="00D56C32" w:rsidP="0077616C">
            <w:pPr>
              <w:rPr>
                <w:rFonts w:cs="Arial"/>
              </w:rPr>
            </w:pPr>
            <w:r>
              <w:rPr>
                <w:rFonts w:ascii="Calibri" w:hAnsi="Calibri" w:cs="Calibri"/>
              </w:rPr>
              <w:t xml:space="preserve">Halsey, John. </w:t>
            </w:r>
            <w:r>
              <w:rPr>
                <w:rFonts w:ascii="Calibri" w:hAnsi="Calibri" w:cs="Calibri"/>
                <w:i/>
                <w:iCs/>
              </w:rPr>
              <w:t>Independent Review into Regional, Rural and Remote Education</w:t>
            </w:r>
            <w:r>
              <w:rPr>
                <w:rFonts w:ascii="Calibri" w:hAnsi="Calibri" w:cs="Calibri"/>
              </w:rPr>
              <w:t xml:space="preserve">, (Canberra: Department of Education, 2018), </w:t>
            </w:r>
            <w:hyperlink r:id="rId320" w:history="1">
              <w:r w:rsidR="003841FB" w:rsidRPr="00A8752B">
                <w:rPr>
                  <w:rStyle w:val="Hyperlink"/>
                  <w:rFonts w:ascii="Calibri" w:hAnsi="Calibri" w:cs="Calibri"/>
                </w:rPr>
                <w:t>www.education.gov.au/quality-schools-package/resources/independent-review-regional-rural-and-remote-education-final-report</w:t>
              </w:r>
            </w:hyperlink>
            <w:r w:rsidR="003841FB">
              <w:rPr>
                <w:rFonts w:ascii="Calibri" w:hAnsi="Calibri" w:cs="Calibri"/>
              </w:rPr>
              <w:t xml:space="preserve">. </w:t>
            </w:r>
          </w:p>
        </w:tc>
      </w:tr>
      <w:tr w:rsidR="002D6F5F" w:rsidRPr="002D6F5F" w14:paraId="55548E06" w14:textId="77777777" w:rsidTr="001B1DB2">
        <w:tc>
          <w:tcPr>
            <w:tcW w:w="9026" w:type="dxa"/>
            <w:vAlign w:val="bottom"/>
            <w:hideMark/>
          </w:tcPr>
          <w:p w14:paraId="17A94F51" w14:textId="36B71429" w:rsidR="002D6F5F" w:rsidRPr="002D6F5F" w:rsidRDefault="00D56C32" w:rsidP="0077616C">
            <w:pPr>
              <w:rPr>
                <w:rFonts w:cs="Arial"/>
              </w:rPr>
            </w:pPr>
            <w:r>
              <w:rPr>
                <w:rFonts w:ascii="Calibri" w:hAnsi="Calibri" w:cs="Calibri"/>
              </w:rPr>
              <w:t xml:space="preserve">Harvard Growth Lab. Country and Product Complexity Rankings [data set], (Massachusetts: 2022), accessed 31 October 2023, </w:t>
            </w:r>
            <w:hyperlink r:id="rId321" w:history="1">
              <w:r w:rsidR="003841FB" w:rsidRPr="00A8752B">
                <w:rPr>
                  <w:rStyle w:val="Hyperlink"/>
                  <w:rFonts w:ascii="Calibri" w:hAnsi="Calibri" w:cs="Calibri"/>
                </w:rPr>
                <w:t>atlas.cid.harvard.edu/rankings</w:t>
              </w:r>
            </w:hyperlink>
            <w:r w:rsidR="003841FB">
              <w:rPr>
                <w:rFonts w:ascii="Calibri" w:hAnsi="Calibri" w:cs="Calibri"/>
              </w:rPr>
              <w:t xml:space="preserve">. </w:t>
            </w:r>
          </w:p>
        </w:tc>
      </w:tr>
      <w:tr w:rsidR="002D6F5F" w:rsidRPr="002D6F5F" w14:paraId="567E1E3B" w14:textId="77777777" w:rsidTr="001B1DB2">
        <w:tc>
          <w:tcPr>
            <w:tcW w:w="9026" w:type="dxa"/>
            <w:vAlign w:val="center"/>
            <w:hideMark/>
          </w:tcPr>
          <w:p w14:paraId="27D94D7B" w14:textId="78725A45" w:rsidR="002D6F5F" w:rsidRPr="002D6F5F" w:rsidRDefault="00D56C32" w:rsidP="0077616C">
            <w:pPr>
              <w:rPr>
                <w:rFonts w:cs="Arial"/>
              </w:rPr>
            </w:pPr>
            <w:r>
              <w:rPr>
                <w:rFonts w:ascii="Calibri" w:hAnsi="Calibri" w:cs="Calibri"/>
              </w:rPr>
              <w:t>Harvey, Andrew</w:t>
            </w:r>
            <w:r w:rsidR="005B0494">
              <w:rPr>
                <w:rFonts w:ascii="Calibri" w:hAnsi="Calibri" w:cs="Calibri"/>
              </w:rPr>
              <w:t>;</w:t>
            </w:r>
            <w:r w:rsidR="005B0494">
              <w:t xml:space="preserve"> </w:t>
            </w:r>
            <w:r w:rsidR="005B0494" w:rsidRPr="005B0494">
              <w:rPr>
                <w:rFonts w:ascii="Calibri" w:hAnsi="Calibri" w:cs="Calibri"/>
              </w:rPr>
              <w:t>McNamara, Patricia; Andrewartha, Lisa and Luckman, Michael</w:t>
            </w:r>
            <w:r>
              <w:rPr>
                <w:rFonts w:ascii="Calibri" w:hAnsi="Calibri" w:cs="Calibri"/>
              </w:rPr>
              <w:t xml:space="preserve">. </w:t>
            </w:r>
            <w:r>
              <w:rPr>
                <w:rFonts w:ascii="Calibri" w:hAnsi="Calibri" w:cs="Calibri"/>
                <w:i/>
                <w:iCs/>
              </w:rPr>
              <w:t xml:space="preserve">Out of care, into university: Raising higher education access and achievement of care leavers </w:t>
            </w:r>
            <w:r>
              <w:rPr>
                <w:rFonts w:ascii="Calibri" w:hAnsi="Calibri" w:cs="Calibri"/>
              </w:rPr>
              <w:t xml:space="preserve">(Melbourne: La Trobe University, March 2015), </w:t>
            </w:r>
            <w:hyperlink r:id="rId322" w:history="1">
              <w:r w:rsidR="003841FB" w:rsidRPr="00A8752B">
                <w:rPr>
                  <w:rStyle w:val="Hyperlink"/>
                  <w:rFonts w:ascii="Calibri" w:hAnsi="Calibri" w:cs="Calibri"/>
                </w:rPr>
                <w:t>www.ncsehe.edu.au/wp-content/uploads/2015/03/Out-of-Care-Into-University.pdf</w:t>
              </w:r>
            </w:hyperlink>
            <w:r w:rsidR="003841FB">
              <w:rPr>
                <w:rFonts w:ascii="Calibri" w:hAnsi="Calibri" w:cs="Calibri"/>
              </w:rPr>
              <w:t xml:space="preserve">. </w:t>
            </w:r>
          </w:p>
        </w:tc>
      </w:tr>
      <w:tr w:rsidR="002D6F5F" w:rsidRPr="002D6F5F" w14:paraId="12C31A96" w14:textId="77777777" w:rsidTr="001B1DB2">
        <w:tc>
          <w:tcPr>
            <w:tcW w:w="9026" w:type="dxa"/>
            <w:vAlign w:val="center"/>
            <w:hideMark/>
          </w:tcPr>
          <w:p w14:paraId="3F5AA044" w14:textId="5FA8C820" w:rsidR="002D6F5F" w:rsidRPr="002D6F5F" w:rsidRDefault="00D56C32" w:rsidP="0077616C">
            <w:pPr>
              <w:rPr>
                <w:rFonts w:cs="Arial"/>
              </w:rPr>
            </w:pPr>
            <w:r>
              <w:rPr>
                <w:rFonts w:ascii="Calibri" w:hAnsi="Calibri" w:cs="Calibri"/>
              </w:rPr>
              <w:t xml:space="preserve">Harvey, Andrew; McDermid, Lucy and Wren, Rebecca. </w:t>
            </w:r>
            <w:r>
              <w:rPr>
                <w:rFonts w:ascii="Calibri" w:hAnsi="Calibri" w:cs="Calibri"/>
                <w:i/>
                <w:iCs/>
              </w:rPr>
              <w:t xml:space="preserve">Policy Paper #1: The impact of school streaming on growth and equity in Australian higher education: evidence from Queensland, </w:t>
            </w:r>
            <w:r>
              <w:rPr>
                <w:rFonts w:ascii="Calibri" w:hAnsi="Calibri" w:cs="Calibri"/>
              </w:rPr>
              <w:t xml:space="preserve">(Logan, Griffith University: Pathways in Place, 2023), </w:t>
            </w:r>
            <w:hyperlink r:id="rId323" w:history="1">
              <w:r w:rsidR="003841FB" w:rsidRPr="00A8752B">
                <w:rPr>
                  <w:rStyle w:val="Hyperlink"/>
                  <w:rFonts w:ascii="Calibri" w:hAnsi="Calibri" w:cs="Calibri"/>
                </w:rPr>
                <w:t>doi.org/10.25904/1912/4989</w:t>
              </w:r>
            </w:hyperlink>
            <w:r w:rsidR="003841FB">
              <w:rPr>
                <w:rFonts w:ascii="Calibri" w:hAnsi="Calibri" w:cs="Calibri"/>
                <w:u w:val="single"/>
              </w:rPr>
              <w:t xml:space="preserve">. </w:t>
            </w:r>
          </w:p>
        </w:tc>
      </w:tr>
      <w:tr w:rsidR="002D6F5F" w:rsidRPr="002D6F5F" w14:paraId="5B98784C" w14:textId="77777777" w:rsidTr="001B1DB2">
        <w:tc>
          <w:tcPr>
            <w:tcW w:w="9026" w:type="dxa"/>
            <w:vAlign w:val="bottom"/>
            <w:hideMark/>
          </w:tcPr>
          <w:p w14:paraId="61DFA3B6" w14:textId="37C09CF1" w:rsidR="002D6F5F" w:rsidRPr="002D6F5F" w:rsidRDefault="00D56C32" w:rsidP="0077616C">
            <w:pPr>
              <w:rPr>
                <w:rFonts w:cs="Arial"/>
              </w:rPr>
            </w:pPr>
            <w:r>
              <w:rPr>
                <w:rFonts w:ascii="Calibri" w:hAnsi="Calibri" w:cs="Calibri"/>
              </w:rPr>
              <w:t>Higher Education and Research Reform Amendment Bill 2014.</w:t>
            </w:r>
          </w:p>
        </w:tc>
      </w:tr>
      <w:tr w:rsidR="002D6F5F" w:rsidRPr="002D6F5F" w14:paraId="12D4C596" w14:textId="77777777" w:rsidTr="001B1DB2">
        <w:tc>
          <w:tcPr>
            <w:tcW w:w="9026" w:type="dxa"/>
            <w:vAlign w:val="center"/>
            <w:hideMark/>
          </w:tcPr>
          <w:p w14:paraId="034BED21" w14:textId="6CECA8FC" w:rsidR="002D6F5F" w:rsidRPr="002D6F5F" w:rsidRDefault="00D56C32" w:rsidP="0077616C">
            <w:pPr>
              <w:rPr>
                <w:rFonts w:cs="Arial"/>
                <w:i/>
                <w:iCs/>
              </w:rPr>
            </w:pPr>
            <w:r>
              <w:rPr>
                <w:rFonts w:ascii="Calibri" w:hAnsi="Calibri" w:cs="Calibri"/>
                <w:i/>
                <w:iCs/>
              </w:rPr>
              <w:t>Higher Education Standards Framework (Threshold Standards) 2021</w:t>
            </w:r>
            <w:r>
              <w:rPr>
                <w:rFonts w:ascii="Calibri" w:hAnsi="Calibri" w:cs="Calibri"/>
              </w:rPr>
              <w:t xml:space="preserve"> (</w:t>
            </w:r>
            <w:proofErr w:type="spellStart"/>
            <w:r>
              <w:rPr>
                <w:rFonts w:ascii="Calibri" w:hAnsi="Calibri" w:cs="Calibri"/>
              </w:rPr>
              <w:t>Cth</w:t>
            </w:r>
            <w:proofErr w:type="spellEnd"/>
            <w:r>
              <w:rPr>
                <w:rFonts w:ascii="Calibri" w:hAnsi="Calibri" w:cs="Calibri"/>
              </w:rPr>
              <w:t xml:space="preserve">), B1.2–B1.3, </w:t>
            </w:r>
            <w:hyperlink r:id="rId324" w:history="1">
              <w:r w:rsidR="003841FB" w:rsidRPr="00A8752B">
                <w:rPr>
                  <w:rStyle w:val="Hyperlink"/>
                  <w:rFonts w:ascii="Calibri" w:hAnsi="Calibri" w:cs="Calibri"/>
                </w:rPr>
                <w:t>www.legislation.gov.au/Details/F2022C00105</w:t>
              </w:r>
            </w:hyperlink>
            <w:r w:rsidR="003841FB">
              <w:rPr>
                <w:rFonts w:ascii="Calibri" w:hAnsi="Calibri" w:cs="Calibri"/>
              </w:rPr>
              <w:t xml:space="preserve">. </w:t>
            </w:r>
            <w:r>
              <w:rPr>
                <w:rFonts w:ascii="Calibri" w:hAnsi="Calibri" w:cs="Calibri"/>
              </w:rPr>
              <w:t xml:space="preserve"> </w:t>
            </w:r>
          </w:p>
        </w:tc>
      </w:tr>
      <w:tr w:rsidR="002D6F5F" w:rsidRPr="002D6F5F" w14:paraId="096655ED" w14:textId="77777777" w:rsidTr="001B1DB2">
        <w:tc>
          <w:tcPr>
            <w:tcW w:w="9026" w:type="dxa"/>
            <w:vAlign w:val="bottom"/>
            <w:hideMark/>
          </w:tcPr>
          <w:p w14:paraId="07ACC09F" w14:textId="0FDB861C" w:rsidR="002D6F5F" w:rsidRPr="002D6F5F" w:rsidRDefault="00D56C32" w:rsidP="0077616C">
            <w:pPr>
              <w:rPr>
                <w:rFonts w:cs="Arial"/>
              </w:rPr>
            </w:pPr>
            <w:r>
              <w:rPr>
                <w:rFonts w:ascii="Calibri" w:hAnsi="Calibri" w:cs="Calibri"/>
              </w:rPr>
              <w:t xml:space="preserve">Higher Education Standards Panel. </w:t>
            </w:r>
            <w:r>
              <w:rPr>
                <w:rFonts w:ascii="Calibri" w:hAnsi="Calibri" w:cs="Calibri"/>
                <w:i/>
                <w:iCs/>
              </w:rPr>
              <w:t>Submission to the Australian Universities Accord Discussion Paper</w:t>
            </w:r>
            <w:r>
              <w:rPr>
                <w:rFonts w:ascii="Calibri" w:hAnsi="Calibri" w:cs="Calibri"/>
              </w:rPr>
              <w:t xml:space="preserve">, 2023, </w:t>
            </w:r>
            <w:hyperlink r:id="rId325" w:history="1">
              <w:r w:rsidR="005716F9" w:rsidRPr="00A8752B">
                <w:rPr>
                  <w:rStyle w:val="Hyperlink"/>
                  <w:rFonts w:ascii="Calibri" w:hAnsi="Calibri" w:cs="Calibri"/>
                </w:rPr>
                <w:t>www.education.gov.au/system/files/documents/submission-file/2023-07/Higher%20Education%20Standards%20Panel%20%28HESP%29.pdf</w:t>
              </w:r>
            </w:hyperlink>
            <w:r w:rsidR="003841FB">
              <w:rPr>
                <w:rFonts w:ascii="Calibri" w:hAnsi="Calibri" w:cs="Calibri"/>
              </w:rPr>
              <w:t xml:space="preserve">. </w:t>
            </w:r>
          </w:p>
        </w:tc>
      </w:tr>
      <w:tr w:rsidR="002D6F5F" w:rsidRPr="002D6F5F" w14:paraId="7F269756" w14:textId="77777777" w:rsidTr="001B1DB2">
        <w:tc>
          <w:tcPr>
            <w:tcW w:w="9026" w:type="dxa"/>
            <w:vAlign w:val="bottom"/>
            <w:hideMark/>
          </w:tcPr>
          <w:p w14:paraId="35FB277C" w14:textId="74359867" w:rsidR="002D6F5F" w:rsidRPr="002D6F5F" w:rsidRDefault="00D56C32" w:rsidP="0077616C">
            <w:pPr>
              <w:rPr>
                <w:rFonts w:cs="Arial"/>
              </w:rPr>
            </w:pPr>
            <w:r>
              <w:rPr>
                <w:rFonts w:ascii="Calibri" w:hAnsi="Calibri" w:cs="Calibri"/>
                <w:i/>
                <w:iCs/>
              </w:rPr>
              <w:t>Higher Education Support Act 2003</w:t>
            </w:r>
            <w:r>
              <w:rPr>
                <w:rFonts w:ascii="Calibri" w:hAnsi="Calibri" w:cs="Calibri"/>
              </w:rPr>
              <w:t xml:space="preserve"> (</w:t>
            </w:r>
            <w:proofErr w:type="spellStart"/>
            <w:r>
              <w:rPr>
                <w:rFonts w:ascii="Calibri" w:hAnsi="Calibri" w:cs="Calibri"/>
              </w:rPr>
              <w:t>Cth</w:t>
            </w:r>
            <w:proofErr w:type="spellEnd"/>
            <w:r>
              <w:rPr>
                <w:rFonts w:ascii="Calibri" w:hAnsi="Calibri" w:cs="Calibri"/>
              </w:rPr>
              <w:t xml:space="preserve">), Division 2, </w:t>
            </w:r>
            <w:hyperlink r:id="rId326" w:history="1">
              <w:r w:rsidR="005716F9" w:rsidRPr="00A8752B">
                <w:rPr>
                  <w:rStyle w:val="Hyperlink"/>
                  <w:rFonts w:ascii="Calibri" w:hAnsi="Calibri" w:cs="Calibri"/>
                </w:rPr>
                <w:t>www.legislation.gov.au/Details/C2022C00005</w:t>
              </w:r>
            </w:hyperlink>
            <w:r w:rsidR="005716F9">
              <w:rPr>
                <w:rFonts w:ascii="Calibri" w:hAnsi="Calibri" w:cs="Calibri"/>
              </w:rPr>
              <w:t xml:space="preserve">. </w:t>
            </w:r>
          </w:p>
        </w:tc>
      </w:tr>
      <w:tr w:rsidR="002D6F5F" w:rsidRPr="002D6F5F" w14:paraId="44C2E6D2" w14:textId="77777777" w:rsidTr="001B1DB2">
        <w:tc>
          <w:tcPr>
            <w:tcW w:w="9026" w:type="dxa"/>
            <w:vAlign w:val="center"/>
            <w:hideMark/>
          </w:tcPr>
          <w:p w14:paraId="0688AF8A" w14:textId="38E59A3C" w:rsidR="002D6F5F" w:rsidRPr="002D6F5F" w:rsidRDefault="00D56C32" w:rsidP="0077616C">
            <w:pPr>
              <w:rPr>
                <w:rFonts w:cs="Arial"/>
              </w:rPr>
            </w:pPr>
            <w:r>
              <w:rPr>
                <w:rFonts w:ascii="Calibri" w:hAnsi="Calibri" w:cs="Calibri"/>
                <w:i/>
                <w:iCs/>
              </w:rPr>
              <w:t>Higher Education Support Amendment (Response to the Australian Universities Accord Interim Report) Act 2023</w:t>
            </w:r>
            <w:r>
              <w:rPr>
                <w:rFonts w:ascii="Calibri" w:hAnsi="Calibri" w:cs="Calibri"/>
              </w:rPr>
              <w:t xml:space="preserve"> (</w:t>
            </w:r>
            <w:proofErr w:type="spellStart"/>
            <w:r>
              <w:rPr>
                <w:rFonts w:ascii="Calibri" w:hAnsi="Calibri" w:cs="Calibri"/>
              </w:rPr>
              <w:t>Cth</w:t>
            </w:r>
            <w:proofErr w:type="spellEnd"/>
            <w:r>
              <w:rPr>
                <w:rFonts w:ascii="Calibri" w:hAnsi="Calibri" w:cs="Calibri"/>
              </w:rPr>
              <w:t xml:space="preserve">), </w:t>
            </w:r>
            <w:hyperlink r:id="rId327" w:history="1">
              <w:r w:rsidR="005716F9" w:rsidRPr="00A8752B">
                <w:rPr>
                  <w:rStyle w:val="Hyperlink"/>
                  <w:rFonts w:ascii="Calibri" w:hAnsi="Calibri" w:cs="Calibri"/>
                </w:rPr>
                <w:t>www.aph.gov.au/Parliamentary_Business/Bills_Legislation/Bills_‌Search_Results/Result?bId=r7060</w:t>
              </w:r>
            </w:hyperlink>
            <w:r w:rsidR="005716F9">
              <w:rPr>
                <w:rFonts w:ascii="Calibri" w:hAnsi="Calibri" w:cs="Calibri"/>
              </w:rPr>
              <w:t xml:space="preserve">. </w:t>
            </w:r>
          </w:p>
        </w:tc>
      </w:tr>
      <w:tr w:rsidR="002D6F5F" w:rsidRPr="002D6F5F" w14:paraId="0B45AB7B" w14:textId="77777777" w:rsidTr="001B1DB2">
        <w:tc>
          <w:tcPr>
            <w:tcW w:w="9026" w:type="dxa"/>
            <w:vAlign w:val="bottom"/>
            <w:hideMark/>
          </w:tcPr>
          <w:p w14:paraId="041DEE25" w14:textId="3CD4AC93" w:rsidR="002D6F5F" w:rsidRPr="002D6F5F" w:rsidRDefault="00D56C32" w:rsidP="0077616C">
            <w:pPr>
              <w:rPr>
                <w:rFonts w:cs="Arial"/>
              </w:rPr>
            </w:pPr>
            <w:r>
              <w:rPr>
                <w:rFonts w:ascii="Calibri" w:hAnsi="Calibri" w:cs="Calibri"/>
              </w:rPr>
              <w:t>Higher Education Support Amendment (Savings and Other Measures) Bill 2013.</w:t>
            </w:r>
          </w:p>
        </w:tc>
      </w:tr>
      <w:tr w:rsidR="002D6F5F" w:rsidRPr="002D6F5F" w14:paraId="71CDFA29" w14:textId="77777777" w:rsidTr="001B1DB2">
        <w:tc>
          <w:tcPr>
            <w:tcW w:w="9026" w:type="dxa"/>
            <w:vAlign w:val="bottom"/>
            <w:hideMark/>
          </w:tcPr>
          <w:p w14:paraId="0AD03D57" w14:textId="6B3A84D0" w:rsidR="002D6F5F" w:rsidRPr="002D6F5F" w:rsidRDefault="00D56C32" w:rsidP="0077616C">
            <w:pPr>
              <w:rPr>
                <w:rFonts w:cs="Arial"/>
              </w:rPr>
            </w:pPr>
            <w:r>
              <w:rPr>
                <w:rFonts w:ascii="Calibri" w:hAnsi="Calibri" w:cs="Calibri"/>
              </w:rPr>
              <w:t>Higher Education Support Legislation Amendment (A More Sustainable, Responsive and Transparent Higher Education System) Bill 2017.</w:t>
            </w:r>
          </w:p>
        </w:tc>
      </w:tr>
      <w:tr w:rsidR="002D6F5F" w:rsidRPr="002D6F5F" w14:paraId="37BD8F36" w14:textId="77777777" w:rsidTr="001B1DB2">
        <w:tc>
          <w:tcPr>
            <w:tcW w:w="9026" w:type="dxa"/>
            <w:vAlign w:val="bottom"/>
            <w:hideMark/>
          </w:tcPr>
          <w:p w14:paraId="0602E2A5" w14:textId="4D3D5C4B" w:rsidR="002D6F5F" w:rsidRPr="002D6F5F" w:rsidRDefault="00D56C32" w:rsidP="0077616C">
            <w:pPr>
              <w:rPr>
                <w:rFonts w:cs="Arial"/>
              </w:rPr>
            </w:pPr>
            <w:r>
              <w:rPr>
                <w:rFonts w:ascii="Calibri" w:hAnsi="Calibri" w:cstheme="minorHAnsi"/>
              </w:rPr>
              <w:t>Hurley, Peter</w:t>
            </w:r>
            <w:r w:rsidR="00540B7A">
              <w:rPr>
                <w:rFonts w:ascii="Calibri" w:hAnsi="Calibri" w:cstheme="minorHAnsi"/>
              </w:rPr>
              <w:t xml:space="preserve">; </w:t>
            </w:r>
            <w:r w:rsidR="00540B7A" w:rsidRPr="00540B7A">
              <w:rPr>
                <w:rFonts w:ascii="Calibri" w:hAnsi="Calibri" w:cstheme="minorHAnsi"/>
              </w:rPr>
              <w:t xml:space="preserve">Nguyen, Ha; Tham, Melissa; </w:t>
            </w:r>
            <w:proofErr w:type="spellStart"/>
            <w:r w:rsidR="00540B7A" w:rsidRPr="00540B7A">
              <w:rPr>
                <w:rFonts w:ascii="Calibri" w:hAnsi="Calibri" w:cstheme="minorHAnsi"/>
              </w:rPr>
              <w:t>Prokofieva</w:t>
            </w:r>
            <w:proofErr w:type="spellEnd"/>
            <w:r w:rsidR="00540B7A" w:rsidRPr="00540B7A">
              <w:rPr>
                <w:rFonts w:ascii="Calibri" w:hAnsi="Calibri" w:cstheme="minorHAnsi"/>
              </w:rPr>
              <w:t>, Maria and Knight, Lizzie</w:t>
            </w:r>
            <w:r>
              <w:rPr>
                <w:rFonts w:ascii="Calibri" w:hAnsi="Calibri" w:cstheme="minorHAnsi"/>
              </w:rPr>
              <w:t xml:space="preserve">. </w:t>
            </w:r>
            <w:r>
              <w:rPr>
                <w:rFonts w:ascii="Calibri" w:hAnsi="Calibri" w:cs="Calibri"/>
                <w:i/>
                <w:iCs/>
              </w:rPr>
              <w:t>Needs-based funding: Lessons from the school sector</w:t>
            </w:r>
            <w:r>
              <w:rPr>
                <w:rFonts w:ascii="Calibri" w:hAnsi="Calibri" w:cs="Calibri"/>
              </w:rPr>
              <w:t xml:space="preserve">, (Melbourne: Mitchell Institute, 2023), </w:t>
            </w:r>
            <w:hyperlink r:id="rId328" w:history="1">
              <w:r w:rsidR="005716F9" w:rsidRPr="00A8752B">
                <w:rPr>
                  <w:rStyle w:val="Hyperlink"/>
                  <w:rFonts w:ascii="Calibri" w:hAnsi="Calibri" w:cs="Calibri"/>
                </w:rPr>
                <w:t>www.vu.edu.au/mitchell-institute/education/tertiary-education/needs-based-funding-lessons-from-the-school-sector</w:t>
              </w:r>
            </w:hyperlink>
            <w:r w:rsidR="005716F9">
              <w:rPr>
                <w:rFonts w:ascii="Calibri" w:hAnsi="Calibri" w:cs="Calibri"/>
              </w:rPr>
              <w:t xml:space="preserve">. </w:t>
            </w:r>
            <w:r>
              <w:rPr>
                <w:rFonts w:ascii="Calibri" w:hAnsi="Calibri" w:cs="Calibri"/>
              </w:rPr>
              <w:t xml:space="preserve"> </w:t>
            </w:r>
          </w:p>
        </w:tc>
      </w:tr>
      <w:tr w:rsidR="002D6F5F" w:rsidRPr="002D6F5F" w14:paraId="730DE383" w14:textId="77777777" w:rsidTr="001B1DB2">
        <w:tc>
          <w:tcPr>
            <w:tcW w:w="9026" w:type="dxa"/>
            <w:vAlign w:val="bottom"/>
            <w:hideMark/>
          </w:tcPr>
          <w:p w14:paraId="7E2BD817" w14:textId="22D0F10A" w:rsidR="002D6F5F" w:rsidRPr="002D6F5F" w:rsidRDefault="00D56C32" w:rsidP="0077616C">
            <w:pPr>
              <w:rPr>
                <w:rFonts w:cs="Arial"/>
              </w:rPr>
            </w:pPr>
            <w:r>
              <w:rPr>
                <w:rFonts w:ascii="Calibri" w:hAnsi="Calibri" w:cs="Calibri"/>
              </w:rPr>
              <w:t xml:space="preserve">IMF. </w:t>
            </w:r>
            <w:r>
              <w:rPr>
                <w:rFonts w:ascii="Calibri" w:hAnsi="Calibri" w:cs="Calibri"/>
                <w:i/>
                <w:iCs/>
              </w:rPr>
              <w:t>Australia: Selected Issues,</w:t>
            </w:r>
            <w:r>
              <w:rPr>
                <w:rFonts w:ascii="Calibri" w:hAnsi="Calibri" w:cs="Calibri"/>
              </w:rPr>
              <w:t xml:space="preserve"> Report No. 21/256, (December 2021), </w:t>
            </w:r>
            <w:hyperlink r:id="rId329" w:history="1">
              <w:r w:rsidR="005716F9" w:rsidRPr="00A8752B">
                <w:rPr>
                  <w:rStyle w:val="Hyperlink"/>
                  <w:rFonts w:ascii="Calibri" w:hAnsi="Calibri" w:cs="Calibri"/>
                </w:rPr>
                <w:t>www.imf.org/en/Publications/CR/Issues/2021/12/02/Australia-Selected-Issues-510757</w:t>
              </w:r>
            </w:hyperlink>
            <w:r w:rsidR="005716F9">
              <w:rPr>
                <w:rFonts w:ascii="Calibri" w:hAnsi="Calibri" w:cs="Calibri"/>
              </w:rPr>
              <w:t xml:space="preserve">. </w:t>
            </w:r>
          </w:p>
        </w:tc>
      </w:tr>
      <w:tr w:rsidR="002D6F5F" w:rsidRPr="002D6F5F" w14:paraId="3FC64860" w14:textId="77777777" w:rsidTr="001B1DB2">
        <w:tc>
          <w:tcPr>
            <w:tcW w:w="9026" w:type="dxa"/>
            <w:vAlign w:val="bottom"/>
            <w:hideMark/>
          </w:tcPr>
          <w:p w14:paraId="76DE0DD9" w14:textId="6DF9C2A6" w:rsidR="002D6F5F" w:rsidRPr="002D6F5F" w:rsidRDefault="00D56C32" w:rsidP="0077616C">
            <w:pPr>
              <w:rPr>
                <w:rFonts w:cs="Arial"/>
              </w:rPr>
            </w:pPr>
            <w:r>
              <w:rPr>
                <w:rFonts w:ascii="Calibri" w:hAnsi="Calibri" w:cstheme="minorHAnsi"/>
              </w:rPr>
              <w:lastRenderedPageBreak/>
              <w:t xml:space="preserve">Independent Tertiary Education Council Australia. </w:t>
            </w:r>
            <w:r>
              <w:rPr>
                <w:rFonts w:ascii="Calibri" w:hAnsi="Calibri" w:cs="Calibri"/>
                <w:i/>
                <w:iCs/>
              </w:rPr>
              <w:t>2022 ITECA State of the Sector Report,</w:t>
            </w:r>
            <w:r>
              <w:rPr>
                <w:rFonts w:ascii="Calibri" w:hAnsi="Calibri" w:cs="Calibri"/>
              </w:rPr>
              <w:t xml:space="preserve"> (Canberra: October 2022), </w:t>
            </w:r>
            <w:hyperlink r:id="rId330" w:history="1">
              <w:r w:rsidR="005716F9" w:rsidRPr="00A8752B">
                <w:rPr>
                  <w:rStyle w:val="Hyperlink"/>
                  <w:rFonts w:ascii="Calibri" w:hAnsi="Calibri" w:cs="Calibri"/>
                </w:rPr>
                <w:t>www.iteca.edu.au/state-of-sector</w:t>
              </w:r>
            </w:hyperlink>
            <w:r w:rsidR="005716F9">
              <w:rPr>
                <w:rFonts w:ascii="Calibri" w:hAnsi="Calibri" w:cs="Calibri"/>
              </w:rPr>
              <w:t xml:space="preserve">. </w:t>
            </w:r>
          </w:p>
        </w:tc>
      </w:tr>
      <w:tr w:rsidR="002D6F5F" w:rsidRPr="002D6F5F" w14:paraId="2BF6DBB9" w14:textId="77777777" w:rsidTr="001B1DB2">
        <w:tc>
          <w:tcPr>
            <w:tcW w:w="9026" w:type="dxa"/>
            <w:vAlign w:val="bottom"/>
            <w:hideMark/>
          </w:tcPr>
          <w:p w14:paraId="34D35F2C" w14:textId="2DCE3986" w:rsidR="002D6F5F" w:rsidRPr="002D6F5F" w:rsidRDefault="00D56C32" w:rsidP="0077616C">
            <w:pPr>
              <w:rPr>
                <w:rFonts w:cs="Arial"/>
              </w:rPr>
            </w:pPr>
            <w:r>
              <w:rPr>
                <w:rFonts w:ascii="Calibri" w:hAnsi="Calibri" w:cs="Calibri"/>
              </w:rPr>
              <w:t xml:space="preserve">Independent Tertiary Education Council Australia. </w:t>
            </w:r>
            <w:r>
              <w:rPr>
                <w:rFonts w:ascii="Calibri" w:hAnsi="Calibri" w:cs="Calibri"/>
                <w:i/>
                <w:iCs/>
              </w:rPr>
              <w:t>Submission to the Australian Universities Accord Discussion Paper</w:t>
            </w:r>
            <w:r>
              <w:rPr>
                <w:rFonts w:ascii="Calibri" w:hAnsi="Calibri" w:cs="Calibri"/>
              </w:rPr>
              <w:t xml:space="preserve">, 2023, </w:t>
            </w:r>
            <w:hyperlink r:id="rId331" w:history="1">
              <w:r w:rsidR="005716F9" w:rsidRPr="00A8752B">
                <w:rPr>
                  <w:rStyle w:val="Hyperlink"/>
                  <w:rFonts w:ascii="Calibri" w:hAnsi="Calibri" w:cs="Calibri"/>
                </w:rPr>
                <w:t>www.education.gov.au/australian-universities-accord/consultations/consultation-discussion-paper</w:t>
              </w:r>
            </w:hyperlink>
            <w:r w:rsidR="005716F9">
              <w:rPr>
                <w:rFonts w:ascii="Calibri" w:hAnsi="Calibri" w:cs="Calibri"/>
              </w:rPr>
              <w:t xml:space="preserve">. </w:t>
            </w:r>
          </w:p>
        </w:tc>
      </w:tr>
      <w:tr w:rsidR="002D6F5F" w:rsidRPr="002D6F5F" w14:paraId="27C2FC2C" w14:textId="77777777" w:rsidTr="001B1DB2">
        <w:tc>
          <w:tcPr>
            <w:tcW w:w="9026" w:type="dxa"/>
            <w:vAlign w:val="center"/>
            <w:hideMark/>
          </w:tcPr>
          <w:p w14:paraId="38581FA6" w14:textId="0909E3CE" w:rsidR="002D6F5F" w:rsidRPr="002D6F5F" w:rsidRDefault="00D56C32" w:rsidP="0077616C">
            <w:pPr>
              <w:rPr>
                <w:rFonts w:cs="Arial"/>
              </w:rPr>
            </w:pPr>
            <w:r>
              <w:rPr>
                <w:rFonts w:ascii="Calibri" w:hAnsi="Calibri" w:cs="Calibri"/>
              </w:rPr>
              <w:t xml:space="preserve">Institute for Social Science Research. </w:t>
            </w:r>
            <w:r>
              <w:rPr>
                <w:rFonts w:ascii="Calibri" w:hAnsi="Calibri" w:cs="Calibri"/>
                <w:i/>
                <w:iCs/>
              </w:rPr>
              <w:t>Final Report: Targeted Review of Student Equity in Higher Education Programs and System Level Policy Levers</w:t>
            </w:r>
            <w:r>
              <w:rPr>
                <w:rFonts w:ascii="Calibri" w:hAnsi="Calibri" w:cs="Calibri"/>
              </w:rPr>
              <w:t xml:space="preserve"> [unpublished report], (Brisbane: University of Queensland).</w:t>
            </w:r>
          </w:p>
        </w:tc>
      </w:tr>
      <w:tr w:rsidR="002D6F5F" w:rsidRPr="002D6F5F" w14:paraId="00D93F5A" w14:textId="77777777" w:rsidTr="001B1DB2">
        <w:tc>
          <w:tcPr>
            <w:tcW w:w="9026" w:type="dxa"/>
            <w:vAlign w:val="center"/>
            <w:hideMark/>
          </w:tcPr>
          <w:p w14:paraId="7E50E7CA" w14:textId="34536F6D" w:rsidR="002D6F5F" w:rsidRPr="002D6F5F" w:rsidRDefault="00D56C32" w:rsidP="0077616C">
            <w:pPr>
              <w:rPr>
                <w:rFonts w:cs="Arial"/>
              </w:rPr>
            </w:pPr>
            <w:r>
              <w:rPr>
                <w:rFonts w:ascii="Calibri" w:hAnsi="Calibri" w:cs="Calibri"/>
              </w:rPr>
              <w:t xml:space="preserve">Institute for Social Science Research. </w:t>
            </w:r>
            <w:r>
              <w:rPr>
                <w:rFonts w:ascii="Calibri" w:hAnsi="Calibri" w:cs="Calibri"/>
                <w:i/>
                <w:iCs/>
              </w:rPr>
              <w:t>Review of identified equity groups</w:t>
            </w:r>
            <w:r>
              <w:rPr>
                <w:rFonts w:ascii="Calibri" w:hAnsi="Calibri" w:cs="Calibri"/>
              </w:rPr>
              <w:t xml:space="preserve">, (Brisbane: The University of Queensland, November 2018), </w:t>
            </w:r>
            <w:hyperlink r:id="rId332" w:history="1">
              <w:r w:rsidR="005716F9" w:rsidRPr="00A8752B">
                <w:rPr>
                  <w:rStyle w:val="Hyperlink"/>
                  <w:rFonts w:ascii="Calibri" w:hAnsi="Calibri" w:cs="Calibri"/>
                </w:rPr>
                <w:t>espace.library.uq.edu.au/view/UQ:bd8a044/‌Review‌_‌of‌_‌Equity_Groups_Final_Report.pdf?dsi_version=b288c45b247e4dbcd7bf879e09724b9c</w:t>
              </w:r>
            </w:hyperlink>
            <w:r w:rsidR="005716F9">
              <w:rPr>
                <w:rFonts w:ascii="Calibri" w:hAnsi="Calibri" w:cs="Calibri"/>
              </w:rPr>
              <w:t xml:space="preserve">. </w:t>
            </w:r>
          </w:p>
        </w:tc>
      </w:tr>
      <w:tr w:rsidR="002D6F5F" w:rsidRPr="002D6F5F" w14:paraId="6353ED1B" w14:textId="77777777" w:rsidTr="001B1DB2">
        <w:tc>
          <w:tcPr>
            <w:tcW w:w="9026" w:type="dxa"/>
            <w:vAlign w:val="bottom"/>
            <w:hideMark/>
          </w:tcPr>
          <w:p w14:paraId="296002B0" w14:textId="7F053428" w:rsidR="002D6F5F" w:rsidRPr="002D6F5F" w:rsidRDefault="00D56C32" w:rsidP="0077616C">
            <w:pPr>
              <w:rPr>
                <w:rFonts w:cs="Arial"/>
              </w:rPr>
            </w:pPr>
            <w:r>
              <w:rPr>
                <w:rFonts w:ascii="Calibri" w:hAnsi="Calibri" w:cs="Calibri"/>
              </w:rPr>
              <w:t xml:space="preserve">Interface. </w:t>
            </w:r>
            <w:r>
              <w:rPr>
                <w:rFonts w:ascii="Calibri" w:hAnsi="Calibri" w:cs="Calibri"/>
                <w:i/>
                <w:iCs/>
              </w:rPr>
              <w:t>Interface Annual Review 22–23,</w:t>
            </w:r>
            <w:r>
              <w:rPr>
                <w:rFonts w:ascii="Calibri" w:hAnsi="Calibri" w:cs="Calibri"/>
              </w:rPr>
              <w:t xml:space="preserve"> (Interface, 2023), accessed 10 Nov 2023, https://interface-online.org.uk/.</w:t>
            </w:r>
          </w:p>
        </w:tc>
      </w:tr>
      <w:tr w:rsidR="002D6F5F" w:rsidRPr="002D6F5F" w14:paraId="3D704B0A" w14:textId="77777777" w:rsidTr="001B1DB2">
        <w:tc>
          <w:tcPr>
            <w:tcW w:w="9026" w:type="dxa"/>
            <w:vAlign w:val="bottom"/>
            <w:hideMark/>
          </w:tcPr>
          <w:p w14:paraId="25BC21FA" w14:textId="0EA1FADF" w:rsidR="002D6F5F" w:rsidRPr="002D6F5F" w:rsidRDefault="00D56C32" w:rsidP="0077616C">
            <w:pPr>
              <w:rPr>
                <w:rFonts w:cs="Arial"/>
              </w:rPr>
            </w:pPr>
            <w:r>
              <w:rPr>
                <w:rFonts w:ascii="Calibri" w:hAnsi="Calibri" w:cs="Calibri"/>
              </w:rPr>
              <w:t xml:space="preserve">JCU, citing Medical Deans Australian and New Zealand. </w:t>
            </w:r>
            <w:r>
              <w:rPr>
                <w:rFonts w:ascii="Calibri" w:hAnsi="Calibri" w:cs="Calibri"/>
                <w:i/>
                <w:iCs/>
              </w:rPr>
              <w:t>Data Dashboard: Doctors Registered in Australia in 2020-2022</w:t>
            </w:r>
            <w:r>
              <w:rPr>
                <w:rFonts w:ascii="Calibri" w:hAnsi="Calibri" w:cs="Calibri"/>
              </w:rPr>
              <w:t xml:space="preserve"> [data set], (2023), accessed 13 December 2023, </w:t>
            </w:r>
            <w:hyperlink r:id="rId333" w:history="1">
              <w:r w:rsidR="005716F9" w:rsidRPr="00A8752B">
                <w:rPr>
                  <w:rStyle w:val="Hyperlink"/>
                  <w:rFonts w:ascii="Calibri" w:hAnsi="Calibri" w:cs="Calibri"/>
                </w:rPr>
                <w:t>medicaldeans.org.au/</w:t>
              </w:r>
            </w:hyperlink>
            <w:r w:rsidR="005716F9">
              <w:rPr>
                <w:rFonts w:ascii="Calibri" w:hAnsi="Calibri" w:cs="Calibri"/>
              </w:rPr>
              <w:t xml:space="preserve">. </w:t>
            </w:r>
          </w:p>
        </w:tc>
      </w:tr>
      <w:tr w:rsidR="002D6F5F" w:rsidRPr="002D6F5F" w14:paraId="26CDD165" w14:textId="77777777" w:rsidTr="001B1DB2">
        <w:tc>
          <w:tcPr>
            <w:tcW w:w="9026" w:type="dxa"/>
            <w:vAlign w:val="center"/>
            <w:hideMark/>
          </w:tcPr>
          <w:p w14:paraId="17FB8298" w14:textId="463C84CA" w:rsidR="002D6F5F" w:rsidRPr="002D6F5F" w:rsidRDefault="00D56C32" w:rsidP="0077616C">
            <w:pPr>
              <w:rPr>
                <w:rFonts w:cs="Arial"/>
              </w:rPr>
            </w:pPr>
            <w:r>
              <w:rPr>
                <w:rFonts w:ascii="Calibri" w:hAnsi="Calibri" w:cs="Calibri"/>
              </w:rPr>
              <w:t xml:space="preserve">Jobs and Skills Australia (JSA), </w:t>
            </w:r>
            <w:r>
              <w:rPr>
                <w:rFonts w:ascii="Calibri" w:hAnsi="Calibri" w:cs="Calibri"/>
                <w:i/>
                <w:iCs/>
              </w:rPr>
              <w:t>2023 Skills Priority List: Key Findings Report,</w:t>
            </w:r>
            <w:r>
              <w:rPr>
                <w:rFonts w:ascii="Calibri" w:hAnsi="Calibri" w:cs="Calibri"/>
              </w:rPr>
              <w:t xml:space="preserve"> (September 2023), </w:t>
            </w:r>
            <w:hyperlink r:id="rId334" w:history="1">
              <w:r w:rsidR="005716F9" w:rsidRPr="00A8752B">
                <w:rPr>
                  <w:rStyle w:val="Hyperlink"/>
                  <w:rFonts w:ascii="Calibri" w:hAnsi="Calibri" w:cs="Calibri"/>
                </w:rPr>
                <w:t>www.jobsandskills.gov.au/data/skills-shortages-analysis</w:t>
              </w:r>
            </w:hyperlink>
            <w:r w:rsidR="005716F9">
              <w:rPr>
                <w:rFonts w:ascii="Calibri" w:hAnsi="Calibri" w:cs="Calibri"/>
              </w:rPr>
              <w:t xml:space="preserve">. </w:t>
            </w:r>
          </w:p>
        </w:tc>
      </w:tr>
      <w:tr w:rsidR="002D6F5F" w:rsidRPr="002D6F5F" w14:paraId="71E542C1" w14:textId="77777777" w:rsidTr="001B1DB2">
        <w:tc>
          <w:tcPr>
            <w:tcW w:w="9026" w:type="dxa"/>
            <w:vAlign w:val="bottom"/>
            <w:hideMark/>
          </w:tcPr>
          <w:p w14:paraId="40E6D0CE" w14:textId="1E81B3A9" w:rsidR="002D6F5F" w:rsidRPr="002D6F5F" w:rsidRDefault="00D56C32" w:rsidP="0077616C">
            <w:pPr>
              <w:rPr>
                <w:rFonts w:cs="Arial"/>
              </w:rPr>
            </w:pPr>
            <w:r>
              <w:rPr>
                <w:rFonts w:ascii="Calibri" w:hAnsi="Calibri" w:cs="Calibri"/>
              </w:rPr>
              <w:t xml:space="preserve">Jobs and Skills Australia. “Skills Priority List,” </w:t>
            </w:r>
            <w:r>
              <w:rPr>
                <w:rFonts w:ascii="Calibri" w:hAnsi="Calibri" w:cs="Calibri"/>
                <w:i/>
                <w:iCs/>
              </w:rPr>
              <w:t>Jobs and Skills Australia</w:t>
            </w:r>
            <w:r>
              <w:rPr>
                <w:rFonts w:ascii="Calibri" w:hAnsi="Calibri" w:cs="Calibri"/>
              </w:rPr>
              <w:t xml:space="preserve">, accessed 5 December 2023, </w:t>
            </w:r>
            <w:hyperlink r:id="rId335" w:history="1">
              <w:r w:rsidR="005716F9" w:rsidRPr="00A8752B">
                <w:rPr>
                  <w:rStyle w:val="Hyperlink"/>
                  <w:rFonts w:ascii="Calibri" w:hAnsi="Calibri" w:cs="Calibri"/>
                </w:rPr>
                <w:t>www.jobsandskills.gov.au/data/skills-priority-list</w:t>
              </w:r>
            </w:hyperlink>
            <w:r w:rsidR="005716F9">
              <w:rPr>
                <w:rFonts w:ascii="Calibri" w:hAnsi="Calibri" w:cs="Calibri"/>
              </w:rPr>
              <w:t xml:space="preserve">. </w:t>
            </w:r>
          </w:p>
        </w:tc>
      </w:tr>
      <w:tr w:rsidR="002D6F5F" w:rsidRPr="002D6F5F" w14:paraId="1BDAA86C" w14:textId="77777777" w:rsidTr="001B1DB2">
        <w:tc>
          <w:tcPr>
            <w:tcW w:w="9026" w:type="dxa"/>
            <w:vAlign w:val="center"/>
            <w:hideMark/>
          </w:tcPr>
          <w:p w14:paraId="033ED0BE" w14:textId="21A918D7" w:rsidR="002D6F5F" w:rsidRPr="002D6F5F" w:rsidRDefault="00D56C32" w:rsidP="0077616C">
            <w:pPr>
              <w:rPr>
                <w:rFonts w:cs="Arial"/>
              </w:rPr>
            </w:pPr>
            <w:r>
              <w:rPr>
                <w:rFonts w:ascii="Calibri" w:hAnsi="Calibri" w:cs="Calibri"/>
              </w:rPr>
              <w:t xml:space="preserve">Jobs and Skills Australia. </w:t>
            </w:r>
            <w:r>
              <w:rPr>
                <w:rFonts w:ascii="Calibri" w:hAnsi="Calibri" w:cs="Calibri"/>
                <w:i/>
                <w:iCs/>
              </w:rPr>
              <w:t xml:space="preserve">Employment outlook: industry and occupation trends over the five years to November 2026 </w:t>
            </w:r>
            <w:r>
              <w:rPr>
                <w:rFonts w:ascii="Calibri" w:hAnsi="Calibri" w:cs="Calibri"/>
              </w:rPr>
              <w:t xml:space="preserve">(Canberra, 2022), accessed 26 November 2023, </w:t>
            </w:r>
            <w:hyperlink r:id="rId336" w:history="1">
              <w:r w:rsidR="00FD1884" w:rsidRPr="00A8752B">
                <w:rPr>
                  <w:rStyle w:val="Hyperlink"/>
                  <w:rFonts w:ascii="Calibri" w:hAnsi="Calibri" w:cs="Calibri"/>
                </w:rPr>
                <w:t>labourmarketinsights.gov.au/media/l2ueqd0e/employment-outlook-industry-and-occupation-trends.pdf</w:t>
              </w:r>
            </w:hyperlink>
            <w:r w:rsidR="00FD1884">
              <w:rPr>
                <w:rFonts w:ascii="Calibri" w:hAnsi="Calibri" w:cs="Calibri"/>
              </w:rPr>
              <w:t xml:space="preserve">. </w:t>
            </w:r>
          </w:p>
        </w:tc>
      </w:tr>
      <w:tr w:rsidR="002D6F5F" w:rsidRPr="002D6F5F" w14:paraId="638649AD" w14:textId="77777777" w:rsidTr="001B1DB2">
        <w:tc>
          <w:tcPr>
            <w:tcW w:w="9026" w:type="dxa"/>
            <w:vAlign w:val="center"/>
            <w:hideMark/>
          </w:tcPr>
          <w:p w14:paraId="2E7BEED6" w14:textId="3DF13A32" w:rsidR="002D6F5F" w:rsidRPr="002D6F5F" w:rsidRDefault="00D56C32" w:rsidP="0077616C">
            <w:pPr>
              <w:rPr>
                <w:rFonts w:cs="Arial"/>
              </w:rPr>
            </w:pPr>
            <w:r>
              <w:rPr>
                <w:rFonts w:ascii="Calibri" w:hAnsi="Calibri" w:cs="Calibri"/>
              </w:rPr>
              <w:t xml:space="preserve">Jobs and Skills Australia. </w:t>
            </w:r>
            <w:r>
              <w:rPr>
                <w:rFonts w:ascii="Calibri" w:hAnsi="Calibri" w:cs="Calibri"/>
                <w:i/>
                <w:iCs/>
              </w:rPr>
              <w:t xml:space="preserve">Employment Projections – May 2023 to May 2033 </w:t>
            </w:r>
            <w:r>
              <w:rPr>
                <w:rFonts w:ascii="Calibri" w:hAnsi="Calibri" w:cs="Calibri"/>
              </w:rPr>
              <w:t xml:space="preserve">[data set], (Canberra: 2023), accessed 20 November 2023, </w:t>
            </w:r>
            <w:hyperlink r:id="rId337" w:history="1">
              <w:r w:rsidR="005716F9" w:rsidRPr="00A8752B">
                <w:rPr>
                  <w:rStyle w:val="Hyperlink"/>
                  <w:rFonts w:ascii="Calibri" w:hAnsi="Calibri" w:cs="Calibri"/>
                </w:rPr>
                <w:t>www.jobsandskills.gov.au/data/employment-projections</w:t>
              </w:r>
            </w:hyperlink>
            <w:r w:rsidR="005716F9">
              <w:rPr>
                <w:rFonts w:ascii="Calibri" w:hAnsi="Calibri" w:cs="Calibri"/>
              </w:rPr>
              <w:t xml:space="preserve">. </w:t>
            </w:r>
          </w:p>
        </w:tc>
      </w:tr>
      <w:tr w:rsidR="002D6F5F" w:rsidRPr="002D6F5F" w14:paraId="7DCF38BD" w14:textId="77777777" w:rsidTr="001B1DB2">
        <w:tc>
          <w:tcPr>
            <w:tcW w:w="9026" w:type="dxa"/>
            <w:vAlign w:val="bottom"/>
            <w:hideMark/>
          </w:tcPr>
          <w:p w14:paraId="31C56C0F" w14:textId="23BD9E82" w:rsidR="002D6F5F" w:rsidRPr="002D6F5F" w:rsidRDefault="00D56C32" w:rsidP="0077616C">
            <w:pPr>
              <w:rPr>
                <w:rFonts w:cs="Arial"/>
              </w:rPr>
            </w:pPr>
            <w:r>
              <w:rPr>
                <w:rFonts w:ascii="Calibri" w:hAnsi="Calibri" w:cs="Calibri"/>
              </w:rPr>
              <w:t xml:space="preserve">Jobs and Skills Australia. </w:t>
            </w:r>
            <w:r>
              <w:rPr>
                <w:rFonts w:ascii="Calibri" w:hAnsi="Calibri" w:cs="Calibri"/>
                <w:i/>
                <w:iCs/>
              </w:rPr>
              <w:t>The Clean Energy Generation: Workforce needs for a net zero economy,</w:t>
            </w:r>
            <w:r>
              <w:rPr>
                <w:rFonts w:ascii="Calibri" w:hAnsi="Calibri" w:cs="Calibri"/>
              </w:rPr>
              <w:t xml:space="preserve"> (Canberra: 2023), </w:t>
            </w:r>
            <w:hyperlink r:id="rId338" w:anchor="finalreport" w:history="1">
              <w:r w:rsidR="00FD1884" w:rsidRPr="00A8752B">
                <w:rPr>
                  <w:rStyle w:val="Hyperlink"/>
                  <w:rFonts w:ascii="Calibri" w:hAnsi="Calibri" w:cs="Calibri"/>
                </w:rPr>
                <w:t>www.jobsandskills.gov.au/studies/clean-energy-capacity-study#finalreport</w:t>
              </w:r>
            </w:hyperlink>
            <w:r w:rsidR="00FD1884">
              <w:rPr>
                <w:rFonts w:ascii="Calibri" w:hAnsi="Calibri" w:cs="Calibri"/>
              </w:rPr>
              <w:t xml:space="preserve">. </w:t>
            </w:r>
          </w:p>
        </w:tc>
      </w:tr>
      <w:tr w:rsidR="002D6F5F" w:rsidRPr="002D6F5F" w14:paraId="25008DB6" w14:textId="77777777" w:rsidTr="001B1DB2">
        <w:tc>
          <w:tcPr>
            <w:tcW w:w="9026" w:type="dxa"/>
            <w:vAlign w:val="bottom"/>
            <w:hideMark/>
          </w:tcPr>
          <w:p w14:paraId="11C09AD5" w14:textId="07C8B545" w:rsidR="002D6F5F" w:rsidRPr="002D6F5F" w:rsidRDefault="00D56C32" w:rsidP="0077616C">
            <w:pPr>
              <w:rPr>
                <w:rFonts w:cs="Arial"/>
              </w:rPr>
            </w:pPr>
            <w:r>
              <w:rPr>
                <w:rFonts w:ascii="Calibri" w:hAnsi="Calibri" w:cs="Calibri"/>
              </w:rPr>
              <w:t xml:space="preserve">Jobs and Skills Australia. </w:t>
            </w:r>
            <w:r>
              <w:rPr>
                <w:rFonts w:ascii="Calibri" w:hAnsi="Calibri" w:cs="Calibri"/>
                <w:i/>
                <w:iCs/>
              </w:rPr>
              <w:t>Towards a National Jobs and Skills Roadmap: Annual Jobs and Skills Report 2023</w:t>
            </w:r>
            <w:r>
              <w:rPr>
                <w:rFonts w:ascii="Calibri" w:hAnsi="Calibri" w:cs="Calibri"/>
              </w:rPr>
              <w:t xml:space="preserve"> (October 2023), </w:t>
            </w:r>
            <w:hyperlink r:id="rId339" w:history="1">
              <w:r w:rsidR="00FD1884" w:rsidRPr="00A8752B">
                <w:rPr>
                  <w:rStyle w:val="Hyperlink"/>
                  <w:rFonts w:ascii="Calibri" w:hAnsi="Calibri" w:cs="Calibri"/>
                </w:rPr>
                <w:t>www.jobsandskills.gov.au/publications/towards-national-jobs-and-skills-roadmap</w:t>
              </w:r>
            </w:hyperlink>
            <w:r w:rsidR="00FD1884">
              <w:rPr>
                <w:rFonts w:ascii="Calibri" w:hAnsi="Calibri" w:cs="Calibri"/>
              </w:rPr>
              <w:t xml:space="preserve">. </w:t>
            </w:r>
          </w:p>
        </w:tc>
      </w:tr>
      <w:tr w:rsidR="002D6F5F" w:rsidRPr="002D6F5F" w14:paraId="110F986B" w14:textId="77777777" w:rsidTr="001B1DB2">
        <w:tc>
          <w:tcPr>
            <w:tcW w:w="9026" w:type="dxa"/>
            <w:vAlign w:val="bottom"/>
            <w:hideMark/>
          </w:tcPr>
          <w:p w14:paraId="214938AA" w14:textId="1452399C" w:rsidR="002D6F5F" w:rsidRPr="002D6F5F" w:rsidRDefault="00D56C32" w:rsidP="0077616C">
            <w:pPr>
              <w:rPr>
                <w:rFonts w:cs="Arial"/>
              </w:rPr>
            </w:pPr>
            <w:r>
              <w:rPr>
                <w:rFonts w:ascii="Calibri" w:hAnsi="Calibri" w:cs="Calibri"/>
              </w:rPr>
              <w:t xml:space="preserve">Joint Standing Committee on Foreign Affairs, Defence and Trade. </w:t>
            </w:r>
            <w:r>
              <w:rPr>
                <w:rFonts w:ascii="Calibri" w:hAnsi="Calibri" w:cs="Calibri"/>
                <w:i/>
                <w:iCs/>
              </w:rPr>
              <w:t>Quality and Integrity - the Quest for Sustainable Growth: Interim Report into International Education</w:t>
            </w:r>
            <w:r>
              <w:rPr>
                <w:rFonts w:ascii="Calibri" w:hAnsi="Calibri" w:cs="Calibri"/>
              </w:rPr>
              <w:t>, Inquiry into Australia’s tourism and international education sectors, (Canberra: Parliament of Australia, October 2023), 1, accessed 15 November 2023.</w:t>
            </w:r>
          </w:p>
        </w:tc>
      </w:tr>
      <w:tr w:rsidR="002D6F5F" w:rsidRPr="002D6F5F" w14:paraId="0A8F58FF" w14:textId="77777777" w:rsidTr="001B1DB2">
        <w:tc>
          <w:tcPr>
            <w:tcW w:w="9026" w:type="dxa"/>
            <w:vAlign w:val="bottom"/>
            <w:hideMark/>
          </w:tcPr>
          <w:p w14:paraId="1E56FF5D" w14:textId="1C2F25D0" w:rsidR="002D6F5F" w:rsidRPr="002D6F5F" w:rsidRDefault="00D56C32" w:rsidP="0077616C">
            <w:pPr>
              <w:rPr>
                <w:rFonts w:cs="Arial"/>
              </w:rPr>
            </w:pPr>
            <w:r>
              <w:rPr>
                <w:rFonts w:ascii="Calibri" w:hAnsi="Calibri" w:cs="Calibri"/>
              </w:rPr>
              <w:t xml:space="preserve">Joint Standing Committee on Migration. </w:t>
            </w:r>
            <w:r>
              <w:rPr>
                <w:rFonts w:ascii="Calibri" w:hAnsi="Calibri" w:cs="Calibri"/>
                <w:i/>
                <w:iCs/>
              </w:rPr>
              <w:t>Final Report of the Inquiry into Australia's Skilled Migration Program</w:t>
            </w:r>
            <w:r>
              <w:rPr>
                <w:rFonts w:ascii="Calibri" w:hAnsi="Calibri" w:cs="Calibri"/>
              </w:rPr>
              <w:t xml:space="preserve">, (Canberra: Parliament of Australia, 2021), accessed 13 December 2023, </w:t>
            </w:r>
            <w:hyperlink r:id="rId340" w:history="1">
              <w:r w:rsidR="00FD1884" w:rsidRPr="00A8752B">
                <w:rPr>
                  <w:rStyle w:val="Hyperlink"/>
                  <w:rFonts w:ascii="Calibri" w:hAnsi="Calibri" w:cs="Calibri"/>
                </w:rPr>
                <w:t>parlinfo.aph.gov.au/parlInfo/download/committees/reportjnt/024680/toc_pdf/FinalReportoftheInquiryintoAustralia’sSkilledMigrationProgram.pdf;fileType=application%2Fpdf</w:t>
              </w:r>
            </w:hyperlink>
            <w:r w:rsidR="00FD1884">
              <w:rPr>
                <w:rFonts w:ascii="Calibri" w:hAnsi="Calibri" w:cs="Calibri"/>
              </w:rPr>
              <w:t xml:space="preserve">. </w:t>
            </w:r>
            <w:r>
              <w:rPr>
                <w:rFonts w:ascii="Calibri" w:hAnsi="Calibri" w:cs="Calibri"/>
              </w:rPr>
              <w:t xml:space="preserve"> </w:t>
            </w:r>
          </w:p>
        </w:tc>
      </w:tr>
      <w:tr w:rsidR="002D6F5F" w:rsidRPr="002D6F5F" w14:paraId="52F29725" w14:textId="77777777" w:rsidTr="001B1DB2">
        <w:tc>
          <w:tcPr>
            <w:tcW w:w="9026" w:type="dxa"/>
            <w:vAlign w:val="bottom"/>
            <w:hideMark/>
          </w:tcPr>
          <w:p w14:paraId="3855E9AE" w14:textId="50B0DC4D" w:rsidR="002D6F5F" w:rsidRPr="002D6F5F" w:rsidRDefault="00D56C32" w:rsidP="0077616C">
            <w:pPr>
              <w:rPr>
                <w:rFonts w:cs="Arial"/>
              </w:rPr>
            </w:pPr>
            <w:r>
              <w:rPr>
                <w:rFonts w:ascii="Calibri" w:hAnsi="Calibri" w:cs="Calibri"/>
              </w:rPr>
              <w:lastRenderedPageBreak/>
              <w:t xml:space="preserve">Kemp, David and Norton, Andrew. </w:t>
            </w:r>
            <w:r>
              <w:rPr>
                <w:rFonts w:ascii="Calibri" w:hAnsi="Calibri" w:cs="Calibri"/>
                <w:i/>
                <w:iCs/>
              </w:rPr>
              <w:t>Review of the Demand Driven Funding System: Final Report</w:t>
            </w:r>
            <w:r>
              <w:rPr>
                <w:rFonts w:ascii="Calibri" w:hAnsi="Calibri" w:cs="Calibri"/>
              </w:rPr>
              <w:t xml:space="preserve">, (Canberra: Department of Education, April 2014), </w:t>
            </w:r>
            <w:hyperlink r:id="rId341" w:history="1">
              <w:r w:rsidR="00FD1884" w:rsidRPr="00A8752B">
                <w:rPr>
                  <w:rStyle w:val="Hyperlink"/>
                  <w:rFonts w:ascii="Calibri" w:hAnsi="Calibri" w:cs="Calibri"/>
                </w:rPr>
                <w:t>www.education.gov.au/higher-education-reviews-and-consultations/resources/review-demand-driven-funding-system-report</w:t>
              </w:r>
            </w:hyperlink>
            <w:r w:rsidR="00FD1884">
              <w:rPr>
                <w:rFonts w:ascii="Calibri" w:hAnsi="Calibri" w:cs="Calibri"/>
              </w:rPr>
              <w:t xml:space="preserve">. </w:t>
            </w:r>
          </w:p>
        </w:tc>
      </w:tr>
      <w:tr w:rsidR="002D6F5F" w:rsidRPr="002D6F5F" w14:paraId="0F83F2A6" w14:textId="77777777" w:rsidTr="001B1DB2">
        <w:tc>
          <w:tcPr>
            <w:tcW w:w="9026" w:type="dxa"/>
            <w:vAlign w:val="center"/>
            <w:hideMark/>
          </w:tcPr>
          <w:p w14:paraId="3F9D459A" w14:textId="252743B5" w:rsidR="002D6F5F" w:rsidRPr="002D6F5F" w:rsidRDefault="00D56C32" w:rsidP="0077616C">
            <w:pPr>
              <w:rPr>
                <w:rFonts w:cs="Arial"/>
              </w:rPr>
            </w:pPr>
            <w:proofErr w:type="spellStart"/>
            <w:r>
              <w:rPr>
                <w:rFonts w:ascii="Calibri" w:hAnsi="Calibri" w:cs="Calibri"/>
              </w:rPr>
              <w:t>Kift</w:t>
            </w:r>
            <w:proofErr w:type="spellEnd"/>
            <w:r>
              <w:rPr>
                <w:rFonts w:ascii="Calibri" w:hAnsi="Calibri" w:cs="Calibri"/>
              </w:rPr>
              <w:t xml:space="preserve">, Sally. </w:t>
            </w:r>
            <w:r>
              <w:rPr>
                <w:rFonts w:ascii="Calibri" w:hAnsi="Calibri" w:cs="Calibri"/>
                <w:i/>
                <w:iCs/>
              </w:rPr>
              <w:t>Submission to the Universities Accord Discussion Paper,</w:t>
            </w:r>
            <w:r>
              <w:rPr>
                <w:rFonts w:ascii="Calibri" w:hAnsi="Calibri" w:cs="Calibri"/>
              </w:rPr>
              <w:t xml:space="preserve"> 2023, </w:t>
            </w:r>
            <w:hyperlink r:id="rId342" w:history="1">
              <w:r w:rsidR="00FD1884" w:rsidRPr="00A8752B">
                <w:rPr>
                  <w:rStyle w:val="Hyperlink"/>
                  <w:rFonts w:ascii="Calibri" w:hAnsi="Calibri" w:cs="Calibri"/>
                </w:rPr>
                <w:t>www.education.gov.au/australian-universities-accord/consultations/australian-universities-accord-panel-discussion-paper-consultation/submission/16326</w:t>
              </w:r>
            </w:hyperlink>
            <w:r w:rsidR="00FD1884">
              <w:rPr>
                <w:rFonts w:ascii="Calibri" w:hAnsi="Calibri" w:cs="Calibri"/>
              </w:rPr>
              <w:t xml:space="preserve">. </w:t>
            </w:r>
          </w:p>
        </w:tc>
      </w:tr>
      <w:tr w:rsidR="002D6F5F" w:rsidRPr="002D6F5F" w14:paraId="33F9FB67" w14:textId="77777777" w:rsidTr="001B1DB2">
        <w:tc>
          <w:tcPr>
            <w:tcW w:w="9026" w:type="dxa"/>
            <w:vAlign w:val="bottom"/>
            <w:hideMark/>
          </w:tcPr>
          <w:p w14:paraId="54008BA4" w14:textId="13CA5DDD" w:rsidR="002D6F5F" w:rsidRPr="002D6F5F" w:rsidRDefault="00D56C32" w:rsidP="0077616C">
            <w:pPr>
              <w:rPr>
                <w:rFonts w:cs="Arial"/>
              </w:rPr>
            </w:pPr>
            <w:r>
              <w:rPr>
                <w:rFonts w:ascii="Calibri" w:hAnsi="Calibri" w:cstheme="minorHAnsi"/>
              </w:rPr>
              <w:t>Knowledge Commercialisation Austral</w:t>
            </w:r>
            <w:r w:rsidR="00227C47">
              <w:rPr>
                <w:rFonts w:ascii="Calibri" w:hAnsi="Calibri" w:cstheme="minorHAnsi"/>
              </w:rPr>
              <w:t>as</w:t>
            </w:r>
            <w:r>
              <w:rPr>
                <w:rFonts w:ascii="Calibri" w:hAnsi="Calibri" w:cstheme="minorHAnsi"/>
              </w:rPr>
              <w:t>ia. S</w:t>
            </w:r>
            <w:r>
              <w:rPr>
                <w:rFonts w:ascii="Calibri" w:hAnsi="Calibri" w:cs="Calibri"/>
                <w:i/>
                <w:iCs/>
              </w:rPr>
              <w:t>urvey of Commercialisation Outcomes from Publish Research: Summary report,</w:t>
            </w:r>
            <w:r>
              <w:rPr>
                <w:rFonts w:ascii="Calibri" w:hAnsi="Calibri" w:cs="Calibri"/>
              </w:rPr>
              <w:t xml:space="preserve"> (Adelaide: Knowledge Commercialisation Australasia, 11 October 2023), </w:t>
            </w:r>
            <w:hyperlink r:id="rId343" w:history="1">
              <w:r w:rsidR="00FD1884" w:rsidRPr="00A8752B">
                <w:rPr>
                  <w:rStyle w:val="Hyperlink"/>
                  <w:rFonts w:ascii="Calibri" w:hAnsi="Calibri" w:cs="Calibri"/>
                </w:rPr>
                <w:t>techtransfer.org.au/scopr-2022-public-research-powers-ahead-on-commercialisation/</w:t>
              </w:r>
            </w:hyperlink>
            <w:r w:rsidR="00FD1884">
              <w:rPr>
                <w:rFonts w:ascii="Calibri" w:hAnsi="Calibri" w:cs="Calibri"/>
              </w:rPr>
              <w:t xml:space="preserve">. </w:t>
            </w:r>
          </w:p>
        </w:tc>
      </w:tr>
      <w:tr w:rsidR="002D6F5F" w:rsidRPr="002D6F5F" w14:paraId="4A71E605" w14:textId="77777777" w:rsidTr="001B1DB2">
        <w:tc>
          <w:tcPr>
            <w:tcW w:w="9026" w:type="dxa"/>
            <w:vAlign w:val="bottom"/>
            <w:hideMark/>
          </w:tcPr>
          <w:p w14:paraId="182E7CAE" w14:textId="1A043E96" w:rsidR="002D6F5F" w:rsidRPr="002D6F5F" w:rsidRDefault="00D56C32" w:rsidP="0077616C">
            <w:pPr>
              <w:rPr>
                <w:rFonts w:cs="Arial"/>
              </w:rPr>
            </w:pPr>
            <w:r>
              <w:rPr>
                <w:rFonts w:ascii="Calibri" w:hAnsi="Calibri" w:cs="Calibri"/>
              </w:rPr>
              <w:t xml:space="preserve">La Trobe University. “Take time out in The Lounge,” My La Trobe, published 17 February 2023, </w:t>
            </w:r>
            <w:hyperlink r:id="rId344" w:history="1">
              <w:r w:rsidR="00FD1884" w:rsidRPr="00A8752B">
                <w:rPr>
                  <w:rStyle w:val="Hyperlink"/>
                  <w:rFonts w:ascii="Calibri" w:hAnsi="Calibri" w:cs="Calibri"/>
                </w:rPr>
                <w:t>www.latrobe.edu.au/mylatrobe/take-time-out-in-the-lounge/</w:t>
              </w:r>
            </w:hyperlink>
            <w:r w:rsidR="00FD1884">
              <w:rPr>
                <w:rFonts w:ascii="Calibri" w:hAnsi="Calibri" w:cs="Calibri"/>
              </w:rPr>
              <w:t xml:space="preserve">. </w:t>
            </w:r>
          </w:p>
        </w:tc>
      </w:tr>
      <w:tr w:rsidR="002D6F5F" w:rsidRPr="002D6F5F" w14:paraId="1605A0DB" w14:textId="77777777" w:rsidTr="001B1DB2">
        <w:tc>
          <w:tcPr>
            <w:tcW w:w="9026" w:type="dxa"/>
            <w:vAlign w:val="bottom"/>
            <w:hideMark/>
          </w:tcPr>
          <w:p w14:paraId="0E921A3F" w14:textId="2DC17EA9" w:rsidR="002D6F5F" w:rsidRPr="002D6F5F" w:rsidRDefault="00D56C32" w:rsidP="0077616C">
            <w:pPr>
              <w:rPr>
                <w:rFonts w:cs="Arial"/>
              </w:rPr>
            </w:pPr>
            <w:proofErr w:type="spellStart"/>
            <w:r>
              <w:rPr>
                <w:rFonts w:ascii="Calibri" w:hAnsi="Calibri" w:cs="Calibri"/>
              </w:rPr>
              <w:t>Loble</w:t>
            </w:r>
            <w:proofErr w:type="spellEnd"/>
            <w:r>
              <w:rPr>
                <w:rFonts w:ascii="Calibri" w:hAnsi="Calibri" w:cs="Calibri"/>
              </w:rPr>
              <w:t xml:space="preserve">, Leslie and </w:t>
            </w:r>
            <w:proofErr w:type="spellStart"/>
            <w:r>
              <w:rPr>
                <w:rFonts w:ascii="Calibri" w:hAnsi="Calibri" w:cs="Calibri"/>
              </w:rPr>
              <w:t>Hawcroft</w:t>
            </w:r>
            <w:proofErr w:type="spellEnd"/>
            <w:r>
              <w:rPr>
                <w:rFonts w:ascii="Calibri" w:hAnsi="Calibri" w:cs="Calibri"/>
              </w:rPr>
              <w:t xml:space="preserve">, Auroura. </w:t>
            </w:r>
            <w:r>
              <w:rPr>
                <w:rFonts w:ascii="Calibri" w:hAnsi="Calibri" w:cs="Calibri"/>
                <w:i/>
                <w:iCs/>
              </w:rPr>
              <w:t>Shaping AI and edtech to tackle Australia’s learning divide</w:t>
            </w:r>
            <w:r>
              <w:rPr>
                <w:rFonts w:ascii="Calibri" w:hAnsi="Calibri" w:cs="Calibri"/>
              </w:rPr>
              <w:t xml:space="preserve">, (Sydney: University of Technology Sydney, 2022), </w:t>
            </w:r>
            <w:hyperlink r:id="rId345" w:history="1">
              <w:r w:rsidR="00FD1884" w:rsidRPr="00A8752B">
                <w:rPr>
                  <w:rStyle w:val="Hyperlink"/>
                  <w:rFonts w:ascii="Calibri" w:hAnsi="Calibri" w:cs="Calibri"/>
                </w:rPr>
                <w:t>doi.org/10.57956/kxye-qd93</w:t>
              </w:r>
            </w:hyperlink>
            <w:r w:rsidR="00FD1884">
              <w:rPr>
                <w:rFonts w:ascii="Calibri" w:hAnsi="Calibri" w:cs="Calibri"/>
              </w:rPr>
              <w:t xml:space="preserve">. </w:t>
            </w:r>
          </w:p>
        </w:tc>
      </w:tr>
      <w:tr w:rsidR="002D6F5F" w:rsidRPr="002D6F5F" w14:paraId="0F1F2D97" w14:textId="77777777" w:rsidTr="001B1DB2">
        <w:tc>
          <w:tcPr>
            <w:tcW w:w="9026" w:type="dxa"/>
            <w:vAlign w:val="bottom"/>
            <w:hideMark/>
          </w:tcPr>
          <w:p w14:paraId="70F8AD59" w14:textId="2D3F9DEB" w:rsidR="002D6F5F" w:rsidRPr="002D6F5F" w:rsidRDefault="00D56C32" w:rsidP="0077616C">
            <w:pPr>
              <w:rPr>
                <w:rFonts w:cs="Arial"/>
              </w:rPr>
            </w:pPr>
            <w:r>
              <w:rPr>
                <w:rFonts w:ascii="Calibri" w:hAnsi="Calibri" w:cs="Calibri"/>
              </w:rPr>
              <w:t xml:space="preserve">McKay, Jade and Devlin, Marcia. “‘Low income doesn't mean stupid and destined for failure': challenging the deficit discourse around students from low SES backgrounds in higher education,” </w:t>
            </w:r>
            <w:r>
              <w:rPr>
                <w:rFonts w:ascii="Calibri" w:hAnsi="Calibri" w:cs="Calibri"/>
                <w:i/>
                <w:iCs/>
              </w:rPr>
              <w:t xml:space="preserve">International Journal of Inclusive Education </w:t>
            </w:r>
            <w:r>
              <w:rPr>
                <w:rFonts w:ascii="Calibri" w:hAnsi="Calibri" w:cs="Calibri"/>
                <w:i/>
              </w:rPr>
              <w:t xml:space="preserve">20, 4 </w:t>
            </w:r>
            <w:r>
              <w:rPr>
                <w:rFonts w:ascii="Calibri" w:hAnsi="Calibri" w:cs="Calibri"/>
              </w:rPr>
              <w:t xml:space="preserve">(Routledge: Taylor &amp; Francis Group, September 2015), </w:t>
            </w:r>
            <w:hyperlink r:id="rId346" w:history="1">
              <w:r w:rsidR="00AA72F8" w:rsidRPr="00A8752B">
                <w:rPr>
                  <w:rStyle w:val="Hyperlink"/>
                  <w:rFonts w:ascii="Calibri" w:hAnsi="Calibri" w:cs="Calibri"/>
                </w:rPr>
                <w:t>dx.doi.org/10.1080/13603116.2015.1079273</w:t>
              </w:r>
            </w:hyperlink>
            <w:r w:rsidR="00AA72F8">
              <w:rPr>
                <w:rFonts w:ascii="Calibri" w:hAnsi="Calibri" w:cs="Calibri"/>
              </w:rPr>
              <w:t xml:space="preserve">. </w:t>
            </w:r>
          </w:p>
        </w:tc>
      </w:tr>
      <w:tr w:rsidR="002D6F5F" w:rsidRPr="002D6F5F" w14:paraId="2C7C2328" w14:textId="77777777" w:rsidTr="001B1DB2">
        <w:tc>
          <w:tcPr>
            <w:tcW w:w="9026" w:type="dxa"/>
            <w:vAlign w:val="center"/>
            <w:hideMark/>
          </w:tcPr>
          <w:p w14:paraId="3A24AFE1" w14:textId="17FE155D" w:rsidR="002D6F5F" w:rsidRPr="002D6F5F" w:rsidRDefault="00D56C32" w:rsidP="0077616C">
            <w:pPr>
              <w:rPr>
                <w:rFonts w:cs="Arial"/>
              </w:rPr>
            </w:pPr>
            <w:r>
              <w:rPr>
                <w:rFonts w:ascii="Calibri" w:hAnsi="Calibri" w:cs="Calibri"/>
              </w:rPr>
              <w:t xml:space="preserve">Meek, Vincent L. “The Transformation of Australian Higher Education from Binary to Unitary System,” </w:t>
            </w:r>
            <w:r>
              <w:rPr>
                <w:rFonts w:ascii="Calibri" w:hAnsi="Calibri" w:cs="Calibri"/>
                <w:i/>
                <w:iCs/>
              </w:rPr>
              <w:t>Higher Education</w:t>
            </w:r>
            <w:r>
              <w:rPr>
                <w:rFonts w:ascii="Calibri" w:hAnsi="Calibri" w:cs="Calibri"/>
              </w:rPr>
              <w:t xml:space="preserve"> 21, no. 4 (1991). </w:t>
            </w:r>
            <w:hyperlink r:id="rId347" w:history="1">
              <w:r w:rsidR="00830CC7" w:rsidRPr="00A8752B">
                <w:rPr>
                  <w:rStyle w:val="Hyperlink"/>
                  <w:rFonts w:ascii="Calibri" w:hAnsi="Calibri" w:cs="Calibri"/>
                </w:rPr>
                <w:t>www.jstor.org/stable/3447236</w:t>
              </w:r>
            </w:hyperlink>
            <w:r w:rsidR="00830CC7">
              <w:rPr>
                <w:rFonts w:ascii="Calibri" w:hAnsi="Calibri" w:cs="Calibri"/>
              </w:rPr>
              <w:t xml:space="preserve">. </w:t>
            </w:r>
            <w:r>
              <w:rPr>
                <w:rFonts w:ascii="Calibri" w:hAnsi="Calibri" w:cs="Calibri"/>
              </w:rPr>
              <w:t xml:space="preserve"> </w:t>
            </w:r>
          </w:p>
        </w:tc>
      </w:tr>
      <w:tr w:rsidR="002D6F5F" w:rsidRPr="002D6F5F" w14:paraId="6980AD27" w14:textId="77777777" w:rsidTr="001B1DB2">
        <w:tc>
          <w:tcPr>
            <w:tcW w:w="9026" w:type="dxa"/>
            <w:vAlign w:val="bottom"/>
            <w:hideMark/>
          </w:tcPr>
          <w:p w14:paraId="315D75E5" w14:textId="2CE8CF33" w:rsidR="002D6F5F" w:rsidRPr="002D6F5F" w:rsidRDefault="00D56C32" w:rsidP="0077616C">
            <w:pPr>
              <w:rPr>
                <w:rFonts w:cs="Arial"/>
              </w:rPr>
            </w:pPr>
            <w:proofErr w:type="spellStart"/>
            <w:r>
              <w:rPr>
                <w:rFonts w:ascii="Calibri" w:hAnsi="Calibri" w:cs="Calibri"/>
              </w:rPr>
              <w:t>Mewburn</w:t>
            </w:r>
            <w:proofErr w:type="spellEnd"/>
            <w:r>
              <w:rPr>
                <w:rFonts w:ascii="Calibri" w:hAnsi="Calibri" w:cs="Calibri"/>
              </w:rPr>
              <w:t xml:space="preserve">, Inger; Suominen, Hanna and Grant, Will. </w:t>
            </w:r>
            <w:r>
              <w:rPr>
                <w:rFonts w:ascii="Calibri" w:hAnsi="Calibri" w:cs="Calibri"/>
                <w:i/>
                <w:iCs/>
              </w:rPr>
              <w:t>Tracking Trends in Industry Demand for Australia’s Advanced Research Workforce</w:t>
            </w:r>
            <w:r>
              <w:rPr>
                <w:rFonts w:ascii="Calibri" w:hAnsi="Calibri" w:cs="Calibri"/>
              </w:rPr>
              <w:t xml:space="preserve"> (Canberra: Australian National University and CSIRO, August 2017), </w:t>
            </w:r>
            <w:hyperlink r:id="rId348" w:history="1">
              <w:r w:rsidR="00830CC7" w:rsidRPr="00A8752B">
                <w:rPr>
                  <w:rStyle w:val="Hyperlink"/>
                </w:rPr>
                <w:t>openresearch-repository.anu.edu.au/handle/1885/209175</w:t>
              </w:r>
            </w:hyperlink>
            <w:r w:rsidR="00830CC7">
              <w:rPr>
                <w:rFonts w:ascii="Calibri" w:hAnsi="Calibri" w:cs="Calibri"/>
              </w:rPr>
              <w:t xml:space="preserve">. </w:t>
            </w:r>
          </w:p>
        </w:tc>
      </w:tr>
      <w:tr w:rsidR="002D6F5F" w:rsidRPr="002D6F5F" w14:paraId="22F5BB84" w14:textId="77777777" w:rsidTr="001B1DB2">
        <w:tc>
          <w:tcPr>
            <w:tcW w:w="9026" w:type="dxa"/>
            <w:vAlign w:val="bottom"/>
            <w:hideMark/>
          </w:tcPr>
          <w:p w14:paraId="087F9EA4" w14:textId="78779F30" w:rsidR="002D6F5F" w:rsidRPr="002D6F5F" w:rsidRDefault="00D56C32" w:rsidP="0077616C">
            <w:pPr>
              <w:rPr>
                <w:rFonts w:cs="Arial"/>
              </w:rPr>
            </w:pPr>
            <w:proofErr w:type="spellStart"/>
            <w:r>
              <w:rPr>
                <w:rFonts w:ascii="Calibri" w:hAnsi="Calibri" w:cs="Calibri"/>
              </w:rPr>
              <w:t>Moggridge</w:t>
            </w:r>
            <w:proofErr w:type="spellEnd"/>
            <w:r>
              <w:rPr>
                <w:rFonts w:ascii="Calibri" w:hAnsi="Calibri" w:cs="Calibri"/>
              </w:rPr>
              <w:t xml:space="preserve">, Bradley; Thompson, Ross and </w:t>
            </w:r>
            <w:proofErr w:type="spellStart"/>
            <w:r>
              <w:rPr>
                <w:rFonts w:ascii="Calibri" w:hAnsi="Calibri" w:cs="Calibri"/>
              </w:rPr>
              <w:t>Radoll</w:t>
            </w:r>
            <w:proofErr w:type="spellEnd"/>
            <w:r>
              <w:rPr>
                <w:rFonts w:ascii="Calibri" w:hAnsi="Calibri" w:cs="Calibri"/>
              </w:rPr>
              <w:t xml:space="preserve">, Peter. “Indigenous research methodologies in water management: learning from Australia and New Zealand for application on Kamilaroi country,” </w:t>
            </w:r>
            <w:r>
              <w:rPr>
                <w:rFonts w:ascii="Calibri" w:hAnsi="Calibri" w:cs="Calibri"/>
                <w:i/>
                <w:iCs/>
              </w:rPr>
              <w:t>Wetlands Ecology and Management</w:t>
            </w:r>
            <w:r>
              <w:rPr>
                <w:rFonts w:ascii="Calibri" w:hAnsi="Calibri" w:cs="Calibri"/>
              </w:rPr>
              <w:t xml:space="preserve">, 30, (2022), </w:t>
            </w:r>
            <w:hyperlink r:id="rId349" w:history="1">
              <w:r w:rsidR="00830CC7" w:rsidRPr="00A8752B">
                <w:rPr>
                  <w:rStyle w:val="Hyperlink"/>
                  <w:rFonts w:ascii="Calibri" w:hAnsi="Calibri" w:cs="Calibri"/>
                </w:rPr>
                <w:t>link.springer.com/article/10.1007/s11273-022-09866-4</w:t>
              </w:r>
            </w:hyperlink>
            <w:r w:rsidR="00830CC7">
              <w:rPr>
                <w:rFonts w:ascii="Calibri" w:hAnsi="Calibri" w:cs="Calibri"/>
              </w:rPr>
              <w:t xml:space="preserve">. </w:t>
            </w:r>
          </w:p>
        </w:tc>
      </w:tr>
      <w:tr w:rsidR="002D6F5F" w:rsidRPr="002D6F5F" w14:paraId="300497C4" w14:textId="77777777" w:rsidTr="001B1DB2">
        <w:tc>
          <w:tcPr>
            <w:tcW w:w="9026" w:type="dxa"/>
            <w:vAlign w:val="bottom"/>
            <w:hideMark/>
          </w:tcPr>
          <w:p w14:paraId="48278ACC" w14:textId="2C59D3C9" w:rsidR="002D6F5F" w:rsidRPr="002D6F5F" w:rsidRDefault="00D56C32" w:rsidP="0077616C">
            <w:pPr>
              <w:rPr>
                <w:rFonts w:cs="Arial"/>
              </w:rPr>
            </w:pPr>
            <w:r>
              <w:rPr>
                <w:rFonts w:ascii="Calibri" w:hAnsi="Calibri" w:cs="Calibri"/>
              </w:rPr>
              <w:t xml:space="preserve">Monash University. “Support,” Monash Online, accessed 12 December 2023, </w:t>
            </w:r>
            <w:hyperlink r:id="rId350" w:history="1">
              <w:r w:rsidR="00830CC7" w:rsidRPr="00A8752B">
                <w:rPr>
                  <w:rStyle w:val="Hyperlink"/>
                  <w:rFonts w:ascii="Calibri" w:hAnsi="Calibri" w:cs="Calibri"/>
                </w:rPr>
                <w:t>online.monash.edu/support/</w:t>
              </w:r>
            </w:hyperlink>
            <w:r w:rsidR="00830CC7">
              <w:rPr>
                <w:rFonts w:ascii="Calibri" w:hAnsi="Calibri" w:cs="Calibri"/>
              </w:rPr>
              <w:t xml:space="preserve">. </w:t>
            </w:r>
          </w:p>
        </w:tc>
      </w:tr>
      <w:tr w:rsidR="002D6F5F" w:rsidRPr="002D6F5F" w14:paraId="7B899757" w14:textId="77777777" w:rsidTr="001B1DB2">
        <w:tc>
          <w:tcPr>
            <w:tcW w:w="9026" w:type="dxa"/>
            <w:vAlign w:val="bottom"/>
            <w:hideMark/>
          </w:tcPr>
          <w:p w14:paraId="3B3F0402" w14:textId="4D1CE52C" w:rsidR="002D6F5F" w:rsidRPr="002D6F5F" w:rsidRDefault="00D56C32" w:rsidP="0077616C">
            <w:pPr>
              <w:rPr>
                <w:rFonts w:cs="Arial"/>
              </w:rPr>
            </w:pPr>
            <w:r>
              <w:rPr>
                <w:rFonts w:ascii="Calibri" w:hAnsi="Calibri" w:cs="Calibri"/>
              </w:rPr>
              <w:t>Moodie, Nikki</w:t>
            </w:r>
            <w:r w:rsidR="00AE4D9B">
              <w:rPr>
                <w:rFonts w:ascii="Calibri" w:hAnsi="Calibri" w:cs="Calibri"/>
              </w:rPr>
              <w:t xml:space="preserve">; </w:t>
            </w:r>
            <w:r w:rsidR="00AE4D9B" w:rsidRPr="00AE4D9B">
              <w:rPr>
                <w:rFonts w:ascii="Calibri" w:hAnsi="Calibri" w:cs="Calibri"/>
              </w:rPr>
              <w:t>Ewen, Shaun; McLeod, Julie and Platania-Phung, Chris</w:t>
            </w:r>
            <w:r>
              <w:rPr>
                <w:rFonts w:ascii="Calibri" w:hAnsi="Calibri" w:cs="Calibri"/>
              </w:rPr>
              <w:t xml:space="preserve">. “Indigenous graduate research students in Australia: a critical review of the research,” </w:t>
            </w:r>
            <w:r>
              <w:rPr>
                <w:rFonts w:ascii="Calibri" w:hAnsi="Calibri" w:cs="Calibri"/>
                <w:i/>
                <w:iCs/>
              </w:rPr>
              <w:t xml:space="preserve">Higher Education Research &amp; Development </w:t>
            </w:r>
            <w:r>
              <w:rPr>
                <w:rFonts w:ascii="Calibri" w:hAnsi="Calibri" w:cs="Calibri"/>
              </w:rPr>
              <w:t>37, 4, (February 2018),</w:t>
            </w:r>
            <w:r w:rsidR="007077C4">
              <w:rPr>
                <w:rFonts w:ascii="Calibri" w:hAnsi="Calibri" w:cs="Calibri"/>
              </w:rPr>
              <w:t xml:space="preserve"> </w:t>
            </w:r>
            <w:hyperlink r:id="rId351" w:history="1">
              <w:r w:rsidR="00AF29A3" w:rsidRPr="00A8752B">
                <w:rPr>
                  <w:rStyle w:val="Hyperlink"/>
                </w:rPr>
                <w:t>doi.org/10.1080/07294360.2018.1440536</w:t>
              </w:r>
            </w:hyperlink>
            <w:r w:rsidR="00AF29A3">
              <w:rPr>
                <w:rFonts w:ascii="Calibri" w:hAnsi="Calibri" w:cs="Calibri"/>
              </w:rPr>
              <w:t xml:space="preserve">. </w:t>
            </w:r>
          </w:p>
        </w:tc>
      </w:tr>
      <w:tr w:rsidR="002D6F5F" w:rsidRPr="002D6F5F" w14:paraId="0D572C80" w14:textId="77777777" w:rsidTr="001B1DB2">
        <w:tc>
          <w:tcPr>
            <w:tcW w:w="9026" w:type="dxa"/>
            <w:vAlign w:val="bottom"/>
            <w:hideMark/>
          </w:tcPr>
          <w:p w14:paraId="687FE3E8" w14:textId="2125C57C" w:rsidR="002D6F5F" w:rsidRPr="002D6F5F" w:rsidRDefault="00D56C32" w:rsidP="0077616C">
            <w:pPr>
              <w:rPr>
                <w:rFonts w:cs="Arial"/>
              </w:rPr>
            </w:pPr>
            <w:r>
              <w:rPr>
                <w:rFonts w:ascii="Calibri" w:hAnsi="Calibri" w:cs="Calibri"/>
              </w:rPr>
              <w:t>Napthine, Denis</w:t>
            </w:r>
            <w:r w:rsidR="007077C4">
              <w:rPr>
                <w:rFonts w:ascii="Calibri" w:hAnsi="Calibri" w:cs="Calibri"/>
              </w:rPr>
              <w:t>;</w:t>
            </w:r>
            <w:r w:rsidR="007077C4">
              <w:t xml:space="preserve"> </w:t>
            </w:r>
            <w:r w:rsidR="007077C4" w:rsidRPr="007077C4">
              <w:rPr>
                <w:rFonts w:ascii="Calibri" w:hAnsi="Calibri" w:cs="Calibri"/>
              </w:rPr>
              <w:t>Graham, Caroline; Lee, Peter and Wills, Meredith</w:t>
            </w:r>
            <w:r>
              <w:rPr>
                <w:rFonts w:ascii="Calibri" w:hAnsi="Calibri" w:cs="Calibri"/>
              </w:rPr>
              <w:t xml:space="preserve">. </w:t>
            </w:r>
            <w:r>
              <w:rPr>
                <w:rFonts w:ascii="Calibri" w:hAnsi="Calibri" w:cs="Calibri"/>
                <w:i/>
                <w:iCs/>
              </w:rPr>
              <w:t>National Regional, Rural and Remote Education Strategy: Napthine Review</w:t>
            </w:r>
            <w:r>
              <w:rPr>
                <w:rFonts w:ascii="Calibri" w:hAnsi="Calibri" w:cs="Calibri"/>
              </w:rPr>
              <w:t>, (Department of Education, 2019),</w:t>
            </w:r>
            <w:r w:rsidR="00CA3939">
              <w:rPr>
                <w:rFonts w:ascii="Calibri" w:hAnsi="Calibri" w:cs="Calibri"/>
              </w:rPr>
              <w:t xml:space="preserve"> </w:t>
            </w:r>
            <w:hyperlink r:id="rId352" w:history="1">
              <w:r w:rsidR="00F92EB8" w:rsidRPr="00A8752B">
                <w:rPr>
                  <w:rStyle w:val="Hyperlink"/>
                  <w:rFonts w:ascii="Calibri" w:hAnsi="Calibri" w:cs="Calibri"/>
                </w:rPr>
                <w:t>www.education.gov.au/access-and-participation/resources/national-regional-rural-and-remote-tertiary-education-strategy-final-report</w:t>
              </w:r>
            </w:hyperlink>
            <w:r w:rsidR="00F92EB8">
              <w:rPr>
                <w:rFonts w:ascii="Calibri" w:hAnsi="Calibri" w:cs="Calibri"/>
              </w:rPr>
              <w:t xml:space="preserve">. </w:t>
            </w:r>
          </w:p>
        </w:tc>
      </w:tr>
      <w:tr w:rsidR="002D6F5F" w:rsidRPr="002D6F5F" w14:paraId="5CBE1319" w14:textId="77777777" w:rsidTr="001B1DB2">
        <w:tc>
          <w:tcPr>
            <w:tcW w:w="9026" w:type="dxa"/>
            <w:vAlign w:val="bottom"/>
            <w:hideMark/>
          </w:tcPr>
          <w:p w14:paraId="6452EF95" w14:textId="65A2BCE1" w:rsidR="002D6F5F" w:rsidRPr="002D6F5F" w:rsidRDefault="00D56C32" w:rsidP="0077616C">
            <w:pPr>
              <w:rPr>
                <w:rFonts w:cs="Arial"/>
              </w:rPr>
            </w:pPr>
            <w:r>
              <w:rPr>
                <w:rFonts w:ascii="Calibri" w:hAnsi="Calibri" w:cs="Calibri"/>
              </w:rPr>
              <w:t xml:space="preserve">National Association of Enabling Educators of Australia. </w:t>
            </w:r>
            <w:r>
              <w:rPr>
                <w:rFonts w:ascii="Calibri" w:hAnsi="Calibri" w:cs="Calibri"/>
                <w:i/>
                <w:iCs/>
              </w:rPr>
              <w:t>Submission to the Universities Accord Discussion Paper</w:t>
            </w:r>
            <w:r>
              <w:rPr>
                <w:rFonts w:ascii="Calibri" w:hAnsi="Calibri" w:cs="Calibri"/>
              </w:rPr>
              <w:t xml:space="preserve">, 2023, </w:t>
            </w:r>
            <w:hyperlink r:id="rId353" w:history="1">
              <w:r w:rsidR="00F92EB8" w:rsidRPr="00A8752B">
                <w:rPr>
                  <w:rStyle w:val="Hyperlink"/>
                  <w:rFonts w:ascii="Calibri" w:hAnsi="Calibri" w:cs="Calibri"/>
                </w:rPr>
                <w:t>https://www.education.gov.au/australian-universities-accord‌/‌consultations‌/australian-universities-accord-panel-discussion-paper-consultation‌/‌submission‌/‌15916</w:t>
              </w:r>
            </w:hyperlink>
            <w:r w:rsidR="00F92EB8">
              <w:rPr>
                <w:rFonts w:ascii="Calibri" w:hAnsi="Calibri" w:cs="Calibri"/>
              </w:rPr>
              <w:t xml:space="preserve">. </w:t>
            </w:r>
          </w:p>
        </w:tc>
      </w:tr>
      <w:tr w:rsidR="002D6F5F" w:rsidRPr="002D6F5F" w14:paraId="3D528122" w14:textId="77777777" w:rsidTr="001B1DB2">
        <w:tc>
          <w:tcPr>
            <w:tcW w:w="9026" w:type="dxa"/>
            <w:vAlign w:val="bottom"/>
            <w:hideMark/>
          </w:tcPr>
          <w:p w14:paraId="02EF9C79" w14:textId="45FBD3F0" w:rsidR="002D6F5F" w:rsidRPr="002D6F5F" w:rsidRDefault="00D56C32" w:rsidP="0077616C">
            <w:pPr>
              <w:rPr>
                <w:rFonts w:cs="Arial"/>
              </w:rPr>
            </w:pPr>
            <w:r>
              <w:rPr>
                <w:rFonts w:ascii="Calibri" w:hAnsi="Calibri" w:cs="Calibri"/>
              </w:rPr>
              <w:t xml:space="preserve">National Association of Graduate Career Advisory Services. </w:t>
            </w:r>
            <w:r>
              <w:rPr>
                <w:rFonts w:ascii="Calibri" w:hAnsi="Calibri" w:cs="Calibri"/>
                <w:i/>
                <w:iCs/>
              </w:rPr>
              <w:t>Submission to the Australian Universities Accord Interim Report,</w:t>
            </w:r>
            <w:r>
              <w:rPr>
                <w:rFonts w:ascii="Calibri" w:hAnsi="Calibri" w:cs="Calibri"/>
              </w:rPr>
              <w:t xml:space="preserve"> 2023, </w:t>
            </w:r>
            <w:hyperlink r:id="rId354" w:history="1">
              <w:r w:rsidR="00A50053" w:rsidRPr="00A8752B">
                <w:rPr>
                  <w:rStyle w:val="Hyperlink"/>
                  <w:rFonts w:ascii="Calibri" w:hAnsi="Calibri" w:cs="Calibri"/>
                </w:rPr>
                <w:t>www.education.gov.au/system/files/2023-</w:t>
              </w:r>
              <w:r w:rsidR="00A50053" w:rsidRPr="00A8752B">
                <w:rPr>
                  <w:rStyle w:val="Hyperlink"/>
                  <w:rFonts w:ascii="Calibri" w:hAnsi="Calibri" w:cs="Calibri"/>
                </w:rPr>
                <w:lastRenderedPageBreak/>
                <w:t>09/AUA_inter_tranche6a_139%20National%20Association%20of%20Graduate%20Careers%20Advisory%20Services%20%28NAGCAS%29.pdf</w:t>
              </w:r>
            </w:hyperlink>
            <w:r w:rsidR="001754B2">
              <w:rPr>
                <w:rFonts w:ascii="Calibri" w:hAnsi="Calibri" w:cs="Calibri"/>
              </w:rPr>
              <w:t xml:space="preserve">. </w:t>
            </w:r>
          </w:p>
        </w:tc>
      </w:tr>
      <w:tr w:rsidR="002D6F5F" w:rsidRPr="002D6F5F" w14:paraId="68E28F77" w14:textId="77777777" w:rsidTr="001B1DB2">
        <w:tc>
          <w:tcPr>
            <w:tcW w:w="9026" w:type="dxa"/>
            <w:vAlign w:val="bottom"/>
            <w:hideMark/>
          </w:tcPr>
          <w:p w14:paraId="2130D185" w14:textId="338CE209" w:rsidR="002D6F5F" w:rsidRPr="002D6F5F" w:rsidRDefault="00D56C32" w:rsidP="0077616C">
            <w:pPr>
              <w:rPr>
                <w:rFonts w:cs="Arial"/>
              </w:rPr>
            </w:pPr>
            <w:r>
              <w:rPr>
                <w:rFonts w:ascii="Calibri" w:hAnsi="Calibri" w:cs="Calibri"/>
              </w:rPr>
              <w:lastRenderedPageBreak/>
              <w:t xml:space="preserve">National Careers Institute and Jobs and Skills Australia. </w:t>
            </w:r>
            <w:r>
              <w:rPr>
                <w:rFonts w:ascii="Calibri" w:hAnsi="Calibri" w:cs="Calibri"/>
                <w:i/>
                <w:iCs/>
              </w:rPr>
              <w:t>Australian Jobs 2023</w:t>
            </w:r>
            <w:r>
              <w:rPr>
                <w:rFonts w:ascii="Calibri" w:hAnsi="Calibri" w:cs="Calibri"/>
              </w:rPr>
              <w:t xml:space="preserve">, (Canberra: 2023), </w:t>
            </w:r>
            <w:hyperlink r:id="rId355" w:anchor="download-the-full-publication-2" w:history="1">
              <w:r w:rsidR="00A50053" w:rsidRPr="00A8752B">
                <w:rPr>
                  <w:rStyle w:val="Hyperlink"/>
                  <w:rFonts w:ascii="Calibri" w:hAnsi="Calibri" w:cs="Calibri"/>
                </w:rPr>
                <w:t>www.yourcareer.gov.au/resources/australian-jobs-report#download-the-full-publication-2</w:t>
              </w:r>
            </w:hyperlink>
            <w:r w:rsidR="00A50053">
              <w:rPr>
                <w:rFonts w:ascii="Calibri" w:hAnsi="Calibri" w:cs="Calibri"/>
              </w:rPr>
              <w:t xml:space="preserve">. </w:t>
            </w:r>
          </w:p>
        </w:tc>
      </w:tr>
      <w:tr w:rsidR="002D6F5F" w:rsidRPr="002D6F5F" w14:paraId="54114247" w14:textId="77777777" w:rsidTr="001B1DB2">
        <w:tc>
          <w:tcPr>
            <w:tcW w:w="9026" w:type="dxa"/>
            <w:vAlign w:val="bottom"/>
            <w:hideMark/>
          </w:tcPr>
          <w:p w14:paraId="56A6B241" w14:textId="7207B886" w:rsidR="002D6F5F" w:rsidRPr="002D6F5F" w:rsidRDefault="00D56C32" w:rsidP="0077616C">
            <w:pPr>
              <w:rPr>
                <w:rFonts w:cs="Arial"/>
              </w:rPr>
            </w:pPr>
            <w:r>
              <w:rPr>
                <w:rFonts w:ascii="Calibri" w:hAnsi="Calibri" w:cs="Calibri"/>
              </w:rPr>
              <w:t xml:space="preserve">National Centre for Vocational Education Research (NCVER). </w:t>
            </w:r>
            <w:r>
              <w:rPr>
                <w:rFonts w:ascii="Calibri" w:hAnsi="Calibri" w:cs="Calibri"/>
                <w:i/>
                <w:iCs/>
              </w:rPr>
              <w:t>Total VET students and courses 2022</w:t>
            </w:r>
            <w:r>
              <w:rPr>
                <w:rFonts w:ascii="Calibri" w:hAnsi="Calibri" w:cs="Calibri"/>
              </w:rPr>
              <w:t xml:space="preserve">, (Adelaide: 2023), </w:t>
            </w:r>
            <w:hyperlink r:id="rId356" w:history="1">
              <w:r w:rsidR="00A50053" w:rsidRPr="00A8752B">
                <w:rPr>
                  <w:rStyle w:val="Hyperlink"/>
                  <w:rFonts w:ascii="Calibri" w:hAnsi="Calibri" w:cs="Calibri"/>
                </w:rPr>
                <w:t>hdl.voced.edu.au/10707/659556</w:t>
              </w:r>
            </w:hyperlink>
            <w:r w:rsidR="00A50053">
              <w:rPr>
                <w:rFonts w:ascii="Calibri" w:hAnsi="Calibri" w:cs="Calibri"/>
              </w:rPr>
              <w:t xml:space="preserve">. </w:t>
            </w:r>
            <w:r>
              <w:rPr>
                <w:rFonts w:ascii="Calibri" w:hAnsi="Calibri" w:cs="Calibri"/>
              </w:rPr>
              <w:t xml:space="preserve"> </w:t>
            </w:r>
          </w:p>
        </w:tc>
      </w:tr>
      <w:tr w:rsidR="002D6F5F" w:rsidRPr="002D6F5F" w14:paraId="6B4621BF" w14:textId="77777777" w:rsidTr="001B1DB2">
        <w:tc>
          <w:tcPr>
            <w:tcW w:w="9026" w:type="dxa"/>
            <w:vAlign w:val="center"/>
            <w:hideMark/>
          </w:tcPr>
          <w:p w14:paraId="35286F64" w14:textId="652F2BCE" w:rsidR="002D6F5F" w:rsidRPr="002D6F5F" w:rsidRDefault="00D56C32" w:rsidP="0077616C">
            <w:pPr>
              <w:rPr>
                <w:rFonts w:cs="Arial"/>
              </w:rPr>
            </w:pPr>
            <w:r>
              <w:rPr>
                <w:rFonts w:ascii="Calibri" w:hAnsi="Calibri" w:cs="Calibri"/>
              </w:rPr>
              <w:t xml:space="preserve">National Union of Students. </w:t>
            </w:r>
            <w:r>
              <w:rPr>
                <w:rFonts w:ascii="Calibri" w:hAnsi="Calibri" w:cs="Calibri"/>
                <w:i/>
                <w:iCs/>
              </w:rPr>
              <w:t>Submission to the Australian Universities Accord Priorities,</w:t>
            </w:r>
            <w:r>
              <w:rPr>
                <w:rFonts w:ascii="Calibri" w:hAnsi="Calibri" w:cs="Calibri"/>
              </w:rPr>
              <w:t xml:space="preserve"> 2023, </w:t>
            </w:r>
            <w:hyperlink r:id="rId357" w:history="1">
              <w:r w:rsidR="00C84CE0" w:rsidRPr="00A8752B">
                <w:rPr>
                  <w:rStyle w:val="Hyperlink"/>
                  <w:rFonts w:ascii="Calibri" w:hAnsi="Calibri" w:cs="Calibri"/>
                </w:rPr>
                <w:t>www.education.gov.au/system/files/documents/submission-file/2023-02/AUA_priorities_National%20Union%20of%20Students.pdf</w:t>
              </w:r>
            </w:hyperlink>
            <w:r w:rsidR="00C84CE0">
              <w:rPr>
                <w:rFonts w:ascii="Calibri" w:hAnsi="Calibri" w:cs="Calibri"/>
              </w:rPr>
              <w:t xml:space="preserve">. </w:t>
            </w:r>
          </w:p>
        </w:tc>
      </w:tr>
      <w:tr w:rsidR="002D6F5F" w:rsidRPr="002D6F5F" w14:paraId="4529AB89" w14:textId="77777777" w:rsidTr="001B1DB2">
        <w:tc>
          <w:tcPr>
            <w:tcW w:w="9026" w:type="dxa"/>
            <w:vAlign w:val="bottom"/>
            <w:hideMark/>
          </w:tcPr>
          <w:p w14:paraId="7C899518" w14:textId="1D2D1C92" w:rsidR="002D6F5F" w:rsidRPr="002D6F5F" w:rsidRDefault="00D56C32" w:rsidP="0077616C">
            <w:pPr>
              <w:rPr>
                <w:rFonts w:cs="Arial"/>
              </w:rPr>
            </w:pPr>
            <w:proofErr w:type="spellStart"/>
            <w:r>
              <w:rPr>
                <w:rFonts w:ascii="Calibri" w:hAnsi="Calibri" w:cs="Calibri"/>
              </w:rPr>
              <w:t>Navitas</w:t>
            </w:r>
            <w:proofErr w:type="spellEnd"/>
            <w:r>
              <w:rPr>
                <w:rFonts w:ascii="Calibri" w:hAnsi="Calibri" w:cs="Calibri"/>
              </w:rPr>
              <w:t xml:space="preserve">. </w:t>
            </w:r>
            <w:r>
              <w:rPr>
                <w:rFonts w:ascii="Calibri" w:hAnsi="Calibri" w:cs="Calibri"/>
                <w:i/>
                <w:iCs/>
              </w:rPr>
              <w:t>International global student flows: scenarios for the next 10 years,</w:t>
            </w:r>
            <w:r>
              <w:rPr>
                <w:rFonts w:ascii="Calibri" w:hAnsi="Calibri" w:cs="Calibri"/>
              </w:rPr>
              <w:t xml:space="preserve"> Presentation, Australian International Education Conference 2023.</w:t>
            </w:r>
          </w:p>
        </w:tc>
      </w:tr>
      <w:tr w:rsidR="002D6F5F" w:rsidRPr="002D6F5F" w14:paraId="1022380A" w14:textId="77777777" w:rsidTr="001B1DB2">
        <w:tc>
          <w:tcPr>
            <w:tcW w:w="9026" w:type="dxa"/>
            <w:vAlign w:val="center"/>
            <w:hideMark/>
          </w:tcPr>
          <w:p w14:paraId="6AA67D4F" w14:textId="369856D0" w:rsidR="002D6F5F" w:rsidRPr="002D6F5F" w:rsidRDefault="00D56C32" w:rsidP="0077616C">
            <w:pPr>
              <w:rPr>
                <w:rFonts w:cs="Arial"/>
              </w:rPr>
            </w:pPr>
            <w:r>
              <w:rPr>
                <w:rFonts w:ascii="Calibri" w:hAnsi="Calibri" w:cs="Calibri"/>
              </w:rPr>
              <w:t xml:space="preserve">NCSEHE. </w:t>
            </w:r>
            <w:r>
              <w:rPr>
                <w:rFonts w:ascii="Calibri" w:hAnsi="Calibri" w:cs="Calibri"/>
                <w:i/>
                <w:iCs/>
              </w:rPr>
              <w:t xml:space="preserve">Centring the voices of harder to reach under-represented and disadvantaged cohorts </w:t>
            </w:r>
            <w:r>
              <w:rPr>
                <w:rFonts w:ascii="Calibri" w:hAnsi="Calibri" w:cs="Calibri"/>
              </w:rPr>
              <w:t>[unpublished report], (Perth: Curtin University NSCEHE, 2023).</w:t>
            </w:r>
          </w:p>
        </w:tc>
      </w:tr>
      <w:tr w:rsidR="002D6F5F" w:rsidRPr="002D6F5F" w14:paraId="3F5DD5BA" w14:textId="77777777" w:rsidTr="001B1DB2">
        <w:tc>
          <w:tcPr>
            <w:tcW w:w="9026" w:type="dxa"/>
            <w:vAlign w:val="bottom"/>
            <w:hideMark/>
          </w:tcPr>
          <w:p w14:paraId="0BCC802C" w14:textId="440DEB19" w:rsidR="002D6F5F" w:rsidRPr="002D6F5F" w:rsidRDefault="00D56C32" w:rsidP="0077616C">
            <w:pPr>
              <w:rPr>
                <w:rFonts w:cs="Arial"/>
              </w:rPr>
            </w:pPr>
            <w:r>
              <w:rPr>
                <w:rFonts w:ascii="Calibri" w:hAnsi="Calibri" w:cs="Calibri"/>
              </w:rPr>
              <w:t xml:space="preserve">NCSEHE. </w:t>
            </w:r>
            <w:r>
              <w:rPr>
                <w:rFonts w:ascii="Calibri" w:hAnsi="Calibri" w:cs="Calibri"/>
                <w:i/>
                <w:iCs/>
              </w:rPr>
              <w:t>Equity Policy Options</w:t>
            </w:r>
            <w:r>
              <w:rPr>
                <w:rFonts w:ascii="Calibri" w:hAnsi="Calibri" w:cs="Calibri"/>
              </w:rPr>
              <w:t xml:space="preserve"> [unpublished report], (Canberra: Department of Education, 2023).</w:t>
            </w:r>
          </w:p>
        </w:tc>
      </w:tr>
      <w:tr w:rsidR="002D6F5F" w:rsidRPr="002D6F5F" w14:paraId="7468158A" w14:textId="77777777" w:rsidTr="001B1DB2">
        <w:tc>
          <w:tcPr>
            <w:tcW w:w="9026" w:type="dxa"/>
            <w:vAlign w:val="bottom"/>
            <w:hideMark/>
          </w:tcPr>
          <w:p w14:paraId="0DDD0DD3" w14:textId="5188A3B4" w:rsidR="002D6F5F" w:rsidRPr="002D6F5F" w:rsidRDefault="00D56C32" w:rsidP="0077616C">
            <w:pPr>
              <w:rPr>
                <w:rFonts w:cs="Arial"/>
              </w:rPr>
            </w:pPr>
            <w:r>
              <w:rPr>
                <w:rFonts w:ascii="Calibri" w:hAnsi="Calibri" w:cs="Calibri"/>
              </w:rPr>
              <w:t xml:space="preserve">NCVER. </w:t>
            </w:r>
            <w:r>
              <w:rPr>
                <w:rFonts w:ascii="Calibri" w:hAnsi="Calibri" w:cs="Calibri"/>
                <w:i/>
                <w:iCs/>
              </w:rPr>
              <w:t>Generation Z: Life at 22</w:t>
            </w:r>
            <w:r>
              <w:rPr>
                <w:rFonts w:ascii="Calibri" w:hAnsi="Calibri" w:cs="Calibri"/>
              </w:rPr>
              <w:t xml:space="preserve"> (Adelaide: September 2023), accessed 5 December 2023, </w:t>
            </w:r>
            <w:hyperlink r:id="rId358" w:history="1">
              <w:r w:rsidR="00C84CE0" w:rsidRPr="00A8752B">
                <w:rPr>
                  <w:rStyle w:val="Hyperlink"/>
                  <w:rFonts w:ascii="Calibri" w:hAnsi="Calibri" w:cs="Calibri"/>
                </w:rPr>
                <w:t>www.lsay.edu.au/publications/search-for-lsay-publications/generation-z-life-at-22</w:t>
              </w:r>
            </w:hyperlink>
            <w:r w:rsidR="00C84CE0">
              <w:rPr>
                <w:rFonts w:ascii="Calibri" w:hAnsi="Calibri" w:cs="Calibri"/>
              </w:rPr>
              <w:t xml:space="preserve">. </w:t>
            </w:r>
          </w:p>
        </w:tc>
      </w:tr>
      <w:tr w:rsidR="002D6F5F" w:rsidRPr="002D6F5F" w14:paraId="5E9725A9" w14:textId="77777777" w:rsidTr="001B1DB2">
        <w:tc>
          <w:tcPr>
            <w:tcW w:w="9026" w:type="dxa"/>
            <w:vAlign w:val="bottom"/>
            <w:hideMark/>
          </w:tcPr>
          <w:p w14:paraId="580F50AF" w14:textId="590052CD" w:rsidR="002D6F5F" w:rsidRPr="002D6F5F" w:rsidRDefault="00D56C32" w:rsidP="0077616C">
            <w:pPr>
              <w:rPr>
                <w:rFonts w:cs="Arial"/>
              </w:rPr>
            </w:pPr>
            <w:r>
              <w:rPr>
                <w:rFonts w:ascii="Calibri" w:hAnsi="Calibri" w:cs="Calibri"/>
              </w:rPr>
              <w:t xml:space="preserve">New Zealand Qualifications Authority (NZQA). "Micro-credential approval, accreditation and listing," 2023, accessed 10 December 2023, </w:t>
            </w:r>
            <w:hyperlink r:id="rId359" w:history="1">
              <w:r w:rsidR="00C84CE0" w:rsidRPr="00A8752B">
                <w:rPr>
                  <w:rStyle w:val="Hyperlink"/>
                  <w:rFonts w:ascii="Calibri" w:hAnsi="Calibri" w:cs="Calibri"/>
                </w:rPr>
                <w:t>www2.nzqa.govt.nz/tertiary/approval-accreditation-and-registration/micro-credentials/</w:t>
              </w:r>
            </w:hyperlink>
            <w:r w:rsidR="00C84CE0">
              <w:rPr>
                <w:rFonts w:ascii="Calibri" w:hAnsi="Calibri" w:cs="Calibri"/>
              </w:rPr>
              <w:t xml:space="preserve">. </w:t>
            </w:r>
          </w:p>
        </w:tc>
      </w:tr>
      <w:tr w:rsidR="002D6F5F" w:rsidRPr="002D6F5F" w14:paraId="19FB05D3" w14:textId="77777777" w:rsidTr="001B1DB2">
        <w:tc>
          <w:tcPr>
            <w:tcW w:w="9026" w:type="dxa"/>
            <w:vAlign w:val="bottom"/>
            <w:hideMark/>
          </w:tcPr>
          <w:p w14:paraId="678CA74C" w14:textId="0BD2A39C" w:rsidR="002D6F5F" w:rsidRPr="002D6F5F" w:rsidRDefault="00D56C32" w:rsidP="0077616C">
            <w:pPr>
              <w:rPr>
                <w:rFonts w:cs="Arial"/>
              </w:rPr>
            </w:pPr>
            <w:r>
              <w:rPr>
                <w:rFonts w:ascii="Calibri" w:hAnsi="Calibri" w:cs="Calibri"/>
              </w:rPr>
              <w:t>North Metropolitan TAFE. “Joining forces to tackle the ongoing cyber security challenge,”</w:t>
            </w:r>
            <w:r>
              <w:rPr>
                <w:rFonts w:ascii="Calibri" w:hAnsi="Calibri" w:cs="Calibri"/>
                <w:i/>
                <w:iCs/>
              </w:rPr>
              <w:t xml:space="preserve"> TAFE WA</w:t>
            </w:r>
            <w:r>
              <w:rPr>
                <w:rFonts w:ascii="Calibri" w:hAnsi="Calibri" w:cs="Calibri"/>
              </w:rPr>
              <w:t>, 15 February 2023, accessed 12 December 2023, https://www.northmetrotafe.wa.</w:t>
            </w:r>
            <w:r w:rsidR="00E56FDF">
              <w:rPr>
                <w:rFonts w:ascii="Calibri" w:hAnsi="Calibri" w:cs="Calibri"/>
              </w:rPr>
              <w:t>‌</w:t>
            </w:r>
            <w:r>
              <w:rPr>
                <w:rFonts w:ascii="Calibri" w:hAnsi="Calibri" w:cs="Calibri"/>
              </w:rPr>
              <w:t>edu.au</w:t>
            </w:r>
            <w:r w:rsidR="00E56FDF">
              <w:rPr>
                <w:rFonts w:ascii="Calibri" w:hAnsi="Calibri" w:cs="Calibri"/>
              </w:rPr>
              <w:t>‌</w:t>
            </w:r>
            <w:r>
              <w:rPr>
                <w:rFonts w:ascii="Calibri" w:hAnsi="Calibri" w:cs="Calibri"/>
              </w:rPr>
              <w:t>/</w:t>
            </w:r>
            <w:r w:rsidR="00E56FDF">
              <w:rPr>
                <w:rFonts w:ascii="Calibri" w:hAnsi="Calibri" w:cs="Calibri"/>
              </w:rPr>
              <w:t>‌</w:t>
            </w:r>
            <w:r>
              <w:rPr>
                <w:rFonts w:ascii="Calibri" w:hAnsi="Calibri" w:cs="Calibri"/>
              </w:rPr>
              <w:t xml:space="preserve">news-and-events/joining-forces-tackle-ongoing-cyber-security-challenge. </w:t>
            </w:r>
          </w:p>
        </w:tc>
      </w:tr>
      <w:tr w:rsidR="002D6F5F" w:rsidRPr="002D6F5F" w14:paraId="02111B50" w14:textId="77777777" w:rsidTr="001B1DB2">
        <w:tc>
          <w:tcPr>
            <w:tcW w:w="9026" w:type="dxa"/>
            <w:vAlign w:val="center"/>
            <w:hideMark/>
          </w:tcPr>
          <w:p w14:paraId="4E1B22C1" w14:textId="350B1ABE" w:rsidR="002D6F5F" w:rsidRPr="002D6F5F" w:rsidRDefault="00D56C32" w:rsidP="0077616C">
            <w:pPr>
              <w:rPr>
                <w:rFonts w:cs="Arial"/>
              </w:rPr>
            </w:pPr>
            <w:r>
              <w:rPr>
                <w:rFonts w:ascii="Calibri" w:hAnsi="Calibri" w:cs="Calibri"/>
              </w:rPr>
              <w:t xml:space="preserve">Norton, Andrew and </w:t>
            </w:r>
            <w:proofErr w:type="spellStart"/>
            <w:r>
              <w:rPr>
                <w:rFonts w:ascii="Calibri" w:hAnsi="Calibri" w:cs="Calibri"/>
              </w:rPr>
              <w:t>Cherastidtham</w:t>
            </w:r>
            <w:proofErr w:type="spellEnd"/>
            <w:r>
              <w:rPr>
                <w:rFonts w:ascii="Calibri" w:hAnsi="Calibri" w:cs="Calibri"/>
              </w:rPr>
              <w:t xml:space="preserve">, </w:t>
            </w:r>
            <w:proofErr w:type="spellStart"/>
            <w:r>
              <w:rPr>
                <w:rFonts w:ascii="Calibri" w:hAnsi="Calibri" w:cs="Calibri"/>
              </w:rPr>
              <w:t>Ittima</w:t>
            </w:r>
            <w:proofErr w:type="spellEnd"/>
            <w:r>
              <w:rPr>
                <w:rFonts w:ascii="Calibri" w:hAnsi="Calibri" w:cs="Calibri"/>
              </w:rPr>
              <w:t xml:space="preserve">. </w:t>
            </w:r>
            <w:r>
              <w:rPr>
                <w:rFonts w:ascii="Calibri" w:hAnsi="Calibri" w:cs="Calibri"/>
                <w:i/>
                <w:iCs/>
              </w:rPr>
              <w:t>Shared Interest: A Universal Loan Fee for HELP</w:t>
            </w:r>
            <w:r>
              <w:rPr>
                <w:rFonts w:ascii="Calibri" w:hAnsi="Calibri" w:cs="Calibri"/>
              </w:rPr>
              <w:t xml:space="preserve">, (Grattan Institute, 2016), </w:t>
            </w:r>
            <w:hyperlink r:id="rId360" w:history="1">
              <w:r w:rsidR="0054367A" w:rsidRPr="00A8752B">
                <w:rPr>
                  <w:rStyle w:val="Hyperlink"/>
                  <w:rFonts w:ascii="Calibri" w:hAnsi="Calibri" w:cs="Calibri"/>
                </w:rPr>
                <w:t>grattan.edu.au/wp-content/uploads/2016/12/883-Shared-interest-A-universal-loan-fee-for-HELP.pdf</w:t>
              </w:r>
            </w:hyperlink>
            <w:r w:rsidR="0054367A">
              <w:rPr>
                <w:rFonts w:ascii="Calibri" w:hAnsi="Calibri" w:cs="Calibri"/>
              </w:rPr>
              <w:t xml:space="preserve">. </w:t>
            </w:r>
          </w:p>
        </w:tc>
      </w:tr>
      <w:tr w:rsidR="002D6F5F" w:rsidRPr="002D6F5F" w14:paraId="7FDC223B" w14:textId="77777777" w:rsidTr="001B1DB2">
        <w:tc>
          <w:tcPr>
            <w:tcW w:w="9026" w:type="dxa"/>
            <w:vAlign w:val="center"/>
            <w:hideMark/>
          </w:tcPr>
          <w:p w14:paraId="65516D54" w14:textId="656C7DCB" w:rsidR="002D6F5F" w:rsidRPr="002D6F5F" w:rsidRDefault="00D56C32" w:rsidP="0077616C">
            <w:pPr>
              <w:rPr>
                <w:rFonts w:cs="Arial"/>
              </w:rPr>
            </w:pPr>
            <w:r>
              <w:rPr>
                <w:rFonts w:ascii="Calibri" w:hAnsi="Calibri" w:cs="Calibri"/>
              </w:rPr>
              <w:t xml:space="preserve">Norton, Andrew. </w:t>
            </w:r>
            <w:r>
              <w:rPr>
                <w:rFonts w:ascii="Calibri" w:hAnsi="Calibri" w:cs="Calibri"/>
                <w:i/>
                <w:iCs/>
              </w:rPr>
              <w:t>Mapping Australian Higher Education 2023</w:t>
            </w:r>
            <w:r>
              <w:rPr>
                <w:rFonts w:ascii="Calibri" w:hAnsi="Calibri" w:cs="Calibri"/>
              </w:rPr>
              <w:t xml:space="preserve"> (Canberra: ANU Centre for Social Research and Methods, 2023), </w:t>
            </w:r>
            <w:hyperlink r:id="rId361" w:history="1">
              <w:r w:rsidR="0054367A" w:rsidRPr="00A8752B">
                <w:rPr>
                  <w:rStyle w:val="Hyperlink"/>
                  <w:rFonts w:ascii="Calibri" w:hAnsi="Calibri" w:cs="Calibri"/>
                </w:rPr>
                <w:t>https://csrm.cass.anu.edu.au/research/publications/mapping-australian-higher-education-2023</w:t>
              </w:r>
            </w:hyperlink>
            <w:r w:rsidR="0054367A">
              <w:rPr>
                <w:rFonts w:ascii="Calibri" w:hAnsi="Calibri" w:cs="Calibri"/>
              </w:rPr>
              <w:t xml:space="preserve">. </w:t>
            </w:r>
          </w:p>
        </w:tc>
      </w:tr>
      <w:tr w:rsidR="002D6F5F" w:rsidRPr="002D6F5F" w14:paraId="7528E064" w14:textId="77777777" w:rsidTr="001B1DB2">
        <w:tc>
          <w:tcPr>
            <w:tcW w:w="9026" w:type="dxa"/>
            <w:vAlign w:val="bottom"/>
            <w:hideMark/>
          </w:tcPr>
          <w:p w14:paraId="3B1A25CC" w14:textId="24D1ABBC" w:rsidR="002D6F5F" w:rsidRPr="002D6F5F" w:rsidRDefault="00D56C32" w:rsidP="0077616C">
            <w:pPr>
              <w:rPr>
                <w:rFonts w:cs="Arial"/>
              </w:rPr>
            </w:pPr>
            <w:r>
              <w:rPr>
                <w:rFonts w:ascii="Calibri" w:hAnsi="Calibri" w:cstheme="minorHAnsi"/>
              </w:rPr>
              <w:t xml:space="preserve">Norton, Andrew. </w:t>
            </w:r>
            <w:r>
              <w:rPr>
                <w:rFonts w:ascii="Calibri" w:hAnsi="Calibri" w:cs="Calibri"/>
                <w:i/>
                <w:iCs/>
              </w:rPr>
              <w:t>The cash nexus: how teaching funds research in Australian universities</w:t>
            </w:r>
            <w:r>
              <w:rPr>
                <w:rFonts w:ascii="Calibri" w:hAnsi="Calibri" w:cs="Calibri"/>
              </w:rPr>
              <w:t xml:space="preserve">, (Melbourne: Grattan Institute, November 2015), </w:t>
            </w:r>
            <w:hyperlink r:id="rId362" w:history="1">
              <w:r w:rsidR="0054367A" w:rsidRPr="00A8752B">
                <w:rPr>
                  <w:rStyle w:val="Hyperlink"/>
                  <w:rFonts w:ascii="Calibri" w:hAnsi="Calibri" w:cs="Calibri"/>
                </w:rPr>
                <w:t>grattan.edu.au/wp-content/uploads/2015/10/831-Cash-nexus-report.pdf</w:t>
              </w:r>
            </w:hyperlink>
            <w:r w:rsidR="0054367A">
              <w:rPr>
                <w:rFonts w:ascii="Calibri" w:hAnsi="Calibri" w:cs="Calibri"/>
              </w:rPr>
              <w:t xml:space="preserve">. </w:t>
            </w:r>
          </w:p>
        </w:tc>
      </w:tr>
      <w:tr w:rsidR="002D6F5F" w:rsidRPr="002D6F5F" w14:paraId="66FD75A3" w14:textId="77777777" w:rsidTr="001B1DB2">
        <w:tc>
          <w:tcPr>
            <w:tcW w:w="9026" w:type="dxa"/>
            <w:vAlign w:val="bottom"/>
            <w:hideMark/>
          </w:tcPr>
          <w:p w14:paraId="3C356200" w14:textId="2482C2A6" w:rsidR="002D6F5F" w:rsidRPr="002D6F5F" w:rsidRDefault="00D56C32" w:rsidP="0077616C">
            <w:pPr>
              <w:rPr>
                <w:rFonts w:cs="Arial"/>
              </w:rPr>
            </w:pPr>
            <w:r>
              <w:rPr>
                <w:rFonts w:ascii="Calibri" w:hAnsi="Calibri" w:cs="Calibri"/>
              </w:rPr>
              <w:t xml:space="preserve">Nous Group. </w:t>
            </w:r>
            <w:r>
              <w:rPr>
                <w:rFonts w:ascii="Calibri" w:hAnsi="Calibri" w:cs="Calibri"/>
                <w:i/>
                <w:iCs/>
              </w:rPr>
              <w:t>Australian Universities Accord Discussion Paper submission analysis</w:t>
            </w:r>
            <w:r>
              <w:rPr>
                <w:rFonts w:ascii="Calibri" w:hAnsi="Calibri" w:cs="Calibri"/>
              </w:rPr>
              <w:t xml:space="preserve">, 2023, , </w:t>
            </w:r>
            <w:hyperlink r:id="rId363" w:history="1">
              <w:r w:rsidR="00390107" w:rsidRPr="00A8752B">
                <w:rPr>
                  <w:rStyle w:val="Hyperlink"/>
                  <w:rFonts w:ascii="Calibri" w:hAnsi="Calibri" w:cs="Calibri"/>
                </w:rPr>
                <w:t>www.education.gov.au/australian-universities-accord/resources/australian-universities-accord-discussion-paper-submission-analysis</w:t>
              </w:r>
            </w:hyperlink>
            <w:r w:rsidR="00390107">
              <w:rPr>
                <w:rFonts w:ascii="Calibri" w:hAnsi="Calibri" w:cs="Calibri"/>
              </w:rPr>
              <w:t xml:space="preserve">. </w:t>
            </w:r>
          </w:p>
        </w:tc>
      </w:tr>
      <w:tr w:rsidR="002D6F5F" w:rsidRPr="002D6F5F" w14:paraId="485D290F" w14:textId="77777777" w:rsidTr="001B1DB2">
        <w:tc>
          <w:tcPr>
            <w:tcW w:w="9026" w:type="dxa"/>
            <w:vAlign w:val="bottom"/>
            <w:hideMark/>
          </w:tcPr>
          <w:p w14:paraId="2496CDAD" w14:textId="51B274C7" w:rsidR="002D6F5F" w:rsidRPr="002D6F5F" w:rsidRDefault="00D56C32" w:rsidP="0077616C">
            <w:pPr>
              <w:rPr>
                <w:rFonts w:cs="Arial"/>
              </w:rPr>
            </w:pPr>
            <w:r>
              <w:rPr>
                <w:rFonts w:ascii="Calibri" w:hAnsi="Calibri" w:cstheme="minorHAnsi"/>
              </w:rPr>
              <w:t xml:space="preserve">Nous Group. </w:t>
            </w:r>
            <w:r>
              <w:rPr>
                <w:rFonts w:ascii="Calibri" w:hAnsi="Calibri" w:cs="Calibri"/>
                <w:i/>
                <w:iCs/>
              </w:rPr>
              <w:t>Economic Impact of the Regional Universities Network,</w:t>
            </w:r>
            <w:r>
              <w:rPr>
                <w:rFonts w:ascii="Calibri" w:hAnsi="Calibri" w:cs="Calibri"/>
              </w:rPr>
              <w:t xml:space="preserve"> (September 2020), </w:t>
            </w:r>
            <w:hyperlink r:id="rId364" w:history="1">
              <w:r w:rsidR="00390107" w:rsidRPr="00A8752B">
                <w:rPr>
                  <w:rStyle w:val="Hyperlink"/>
                  <w:rFonts w:ascii="Calibri" w:hAnsi="Calibri" w:cs="Calibri"/>
                </w:rPr>
                <w:t>nousgroup.com/wp-content/uploads/2020/09/RUN-Summary-Report-final-compressed.pdf</w:t>
              </w:r>
            </w:hyperlink>
            <w:r w:rsidR="00390107">
              <w:rPr>
                <w:rFonts w:ascii="Calibri" w:hAnsi="Calibri" w:cs="Calibri"/>
              </w:rPr>
              <w:t xml:space="preserve">. </w:t>
            </w:r>
          </w:p>
        </w:tc>
      </w:tr>
      <w:tr w:rsidR="002D6F5F" w:rsidRPr="002D6F5F" w14:paraId="5C4F9314" w14:textId="77777777" w:rsidTr="001B1DB2">
        <w:tc>
          <w:tcPr>
            <w:tcW w:w="9026" w:type="dxa"/>
            <w:vAlign w:val="bottom"/>
            <w:hideMark/>
          </w:tcPr>
          <w:p w14:paraId="38FCFBAB" w14:textId="06043BF8" w:rsidR="002D6F5F" w:rsidRPr="002D6F5F" w:rsidRDefault="00D56C32" w:rsidP="0077616C">
            <w:pPr>
              <w:rPr>
                <w:rFonts w:cs="Arial"/>
              </w:rPr>
            </w:pPr>
            <w:r>
              <w:rPr>
                <w:rFonts w:ascii="Calibri" w:hAnsi="Calibri" w:cs="Calibri"/>
              </w:rPr>
              <w:t xml:space="preserve">Nous Group. </w:t>
            </w:r>
            <w:r>
              <w:rPr>
                <w:rFonts w:ascii="Calibri" w:hAnsi="Calibri" w:cs="Calibri"/>
                <w:i/>
                <w:iCs/>
              </w:rPr>
              <w:t>Submissions on priorities for the Australian Universities Accord</w:t>
            </w:r>
            <w:r>
              <w:rPr>
                <w:rFonts w:ascii="Calibri" w:hAnsi="Calibri" w:cs="Calibri"/>
              </w:rPr>
              <w:t xml:space="preserve">, 2023, </w:t>
            </w:r>
            <w:hyperlink r:id="rId365" w:history="1">
              <w:r w:rsidR="00390107" w:rsidRPr="00A8752B">
                <w:rPr>
                  <w:rStyle w:val="Hyperlink"/>
                  <w:rFonts w:ascii="Calibri" w:hAnsi="Calibri" w:cs="Calibri"/>
                </w:rPr>
                <w:t>www.education.gov.au/australian-universities-accord/resources/nous-group-consultation-report</w:t>
              </w:r>
            </w:hyperlink>
            <w:r w:rsidR="00390107">
              <w:rPr>
                <w:rFonts w:ascii="Calibri" w:hAnsi="Calibri" w:cs="Calibri"/>
              </w:rPr>
              <w:t xml:space="preserve">. </w:t>
            </w:r>
          </w:p>
        </w:tc>
      </w:tr>
      <w:tr w:rsidR="002D6F5F" w:rsidRPr="002D6F5F" w14:paraId="35570BF3" w14:textId="77777777" w:rsidTr="001B1DB2">
        <w:tc>
          <w:tcPr>
            <w:tcW w:w="9026" w:type="dxa"/>
            <w:vAlign w:val="center"/>
            <w:hideMark/>
          </w:tcPr>
          <w:p w14:paraId="73CA5CCD" w14:textId="23C4488D" w:rsidR="002D6F5F" w:rsidRPr="002D6F5F" w:rsidRDefault="00D56C32" w:rsidP="0077616C">
            <w:pPr>
              <w:rPr>
                <w:rFonts w:cs="Arial"/>
              </w:rPr>
            </w:pPr>
            <w:r>
              <w:rPr>
                <w:rFonts w:ascii="Calibri" w:hAnsi="Calibri" w:cs="Calibri"/>
              </w:rPr>
              <w:lastRenderedPageBreak/>
              <w:t xml:space="preserve">NZQA. “The Code for learners,” NZQA, accessed 19 October 2023, </w:t>
            </w:r>
            <w:hyperlink r:id="rId366" w:history="1">
              <w:r w:rsidR="00390107" w:rsidRPr="00A8752B">
                <w:rPr>
                  <w:rStyle w:val="Hyperlink"/>
                  <w:rFonts w:ascii="Calibri" w:hAnsi="Calibri" w:cs="Calibri"/>
                </w:rPr>
                <w:t>www2.nzqa.govt.nz/tertiary/the-code/the-code-for-learners/</w:t>
              </w:r>
            </w:hyperlink>
            <w:r w:rsidR="00390107">
              <w:rPr>
                <w:rFonts w:ascii="Calibri" w:hAnsi="Calibri" w:cs="Calibri"/>
              </w:rPr>
              <w:t xml:space="preserve">. </w:t>
            </w:r>
          </w:p>
        </w:tc>
      </w:tr>
      <w:tr w:rsidR="002D6F5F" w:rsidRPr="002D6F5F" w14:paraId="24A571A9" w14:textId="77777777" w:rsidTr="001B1DB2">
        <w:tc>
          <w:tcPr>
            <w:tcW w:w="9026" w:type="dxa"/>
            <w:vAlign w:val="bottom"/>
            <w:hideMark/>
          </w:tcPr>
          <w:p w14:paraId="67723D45" w14:textId="418028C1" w:rsidR="002D6F5F" w:rsidRPr="002D6F5F" w:rsidRDefault="00D56C32" w:rsidP="0077616C">
            <w:pPr>
              <w:rPr>
                <w:rFonts w:cs="Arial"/>
              </w:rPr>
            </w:pPr>
            <w:r>
              <w:rPr>
                <w:rFonts w:ascii="Calibri" w:hAnsi="Calibri" w:cs="Calibri"/>
              </w:rPr>
              <w:t>O’Brien, Lisa</w:t>
            </w:r>
            <w:r w:rsidR="00EF1932">
              <w:rPr>
                <w:rFonts w:ascii="Calibri" w:hAnsi="Calibri" w:cs="Calibri"/>
              </w:rPr>
              <w:t xml:space="preserve">; </w:t>
            </w:r>
            <w:r w:rsidR="00EF1932" w:rsidRPr="00EF1932">
              <w:rPr>
                <w:rFonts w:ascii="Calibri" w:hAnsi="Calibri" w:cs="Calibri"/>
              </w:rPr>
              <w:t>Paul, Lisa; Anderson, Dyonne; Hunter, Jordana; Lamb, Stephen and Sahlberg, Pasi</w:t>
            </w:r>
            <w:r>
              <w:rPr>
                <w:rFonts w:ascii="Calibri" w:hAnsi="Calibri" w:cs="Calibri"/>
              </w:rPr>
              <w:t xml:space="preserve">. </w:t>
            </w:r>
            <w:r>
              <w:rPr>
                <w:rFonts w:ascii="Calibri" w:hAnsi="Calibri" w:cs="Calibri"/>
                <w:i/>
                <w:iCs/>
              </w:rPr>
              <w:t>Improving Outcomes for All, The Report of the Independent Expert Panel’s Review to Inform a Better and Fairer Education System</w:t>
            </w:r>
            <w:r>
              <w:rPr>
                <w:rFonts w:ascii="Calibri" w:hAnsi="Calibri" w:cs="Calibri"/>
              </w:rPr>
              <w:t xml:space="preserve">, (2023), </w:t>
            </w:r>
            <w:hyperlink r:id="rId367" w:history="1">
              <w:r w:rsidR="00CC3831" w:rsidRPr="00A8752B">
                <w:rPr>
                  <w:rStyle w:val="Hyperlink"/>
                </w:rPr>
                <w:t>www.education.gov.au/review-inform-better-and-fairer-education-system/resources/expert-panels-report</w:t>
              </w:r>
            </w:hyperlink>
            <w:r w:rsidR="00CC3831">
              <w:t xml:space="preserve">. </w:t>
            </w:r>
          </w:p>
        </w:tc>
      </w:tr>
      <w:tr w:rsidR="002D6F5F" w:rsidRPr="002D6F5F" w14:paraId="58518B5F" w14:textId="77777777" w:rsidTr="001B1DB2">
        <w:tc>
          <w:tcPr>
            <w:tcW w:w="9026" w:type="dxa"/>
            <w:vAlign w:val="bottom"/>
            <w:hideMark/>
          </w:tcPr>
          <w:p w14:paraId="7A0621F4" w14:textId="6812C856" w:rsidR="002D6F5F" w:rsidRPr="002D6F5F" w:rsidRDefault="00D56C32" w:rsidP="0077616C">
            <w:pPr>
              <w:rPr>
                <w:rFonts w:cs="Arial"/>
              </w:rPr>
            </w:pPr>
            <w:r>
              <w:rPr>
                <w:rFonts w:ascii="Calibri" w:hAnsi="Calibri" w:cs="Calibri"/>
              </w:rPr>
              <w:t xml:space="preserve">O’Kane, Mary. </w:t>
            </w:r>
            <w:r>
              <w:rPr>
                <w:rFonts w:ascii="Calibri" w:hAnsi="Calibri" w:cs="Calibri"/>
                <w:i/>
                <w:iCs/>
              </w:rPr>
              <w:t>Collaborating to a purpose: Review of the Cooperative Research Centres Program</w:t>
            </w:r>
            <w:r w:rsidR="00CE119F">
              <w:rPr>
                <w:rFonts w:ascii="Calibri" w:hAnsi="Calibri" w:cs="Calibri"/>
              </w:rPr>
              <w:t xml:space="preserve">, </w:t>
            </w:r>
            <w:r>
              <w:rPr>
                <w:rFonts w:ascii="Calibri" w:hAnsi="Calibri" w:cs="Calibri"/>
              </w:rPr>
              <w:t xml:space="preserve"> </w:t>
            </w:r>
            <w:hyperlink r:id="rId368" w:history="1">
              <w:r w:rsidR="00CC3831" w:rsidRPr="00A8752B">
                <w:rPr>
                  <w:rStyle w:val="Hyperlink"/>
                </w:rPr>
                <w:t>apo.org.au/sites/default/files/resource-files/2008-08/apo-nid3465.pdf</w:t>
              </w:r>
            </w:hyperlink>
            <w:r w:rsidR="00CC3831">
              <w:rPr>
                <w:rFonts w:ascii="Calibri" w:hAnsi="Calibri" w:cs="Calibri"/>
              </w:rPr>
              <w:t xml:space="preserve">, </w:t>
            </w:r>
            <w:r>
              <w:rPr>
                <w:rFonts w:ascii="Calibri" w:hAnsi="Calibri" w:cs="Calibri"/>
              </w:rPr>
              <w:t>(Canberra: 2008).</w:t>
            </w:r>
          </w:p>
        </w:tc>
      </w:tr>
      <w:tr w:rsidR="002D6F5F" w:rsidRPr="002D6F5F" w14:paraId="38AF7CD1" w14:textId="77777777" w:rsidTr="001B1DB2">
        <w:tc>
          <w:tcPr>
            <w:tcW w:w="9026" w:type="dxa"/>
            <w:vAlign w:val="bottom"/>
            <w:hideMark/>
          </w:tcPr>
          <w:p w14:paraId="4B5C8D8F" w14:textId="52D81046" w:rsidR="002D6F5F" w:rsidRPr="002D6F5F" w:rsidRDefault="00D56C32" w:rsidP="0077616C">
            <w:pPr>
              <w:rPr>
                <w:rFonts w:cs="Arial"/>
              </w:rPr>
            </w:pPr>
            <w:r>
              <w:rPr>
                <w:rFonts w:ascii="Calibri" w:hAnsi="Calibri" w:cs="Calibri"/>
              </w:rPr>
              <w:t xml:space="preserve">OECD. </w:t>
            </w:r>
            <w:r>
              <w:rPr>
                <w:rFonts w:ascii="Calibri" w:hAnsi="Calibri" w:cs="Calibri"/>
                <w:i/>
                <w:iCs/>
              </w:rPr>
              <w:t>Education at a Glance 2023: OECD Indicators</w:t>
            </w:r>
            <w:r>
              <w:rPr>
                <w:rFonts w:ascii="Calibri" w:hAnsi="Calibri" w:cs="Calibri"/>
              </w:rPr>
              <w:t xml:space="preserve">, (Paris: OECD Publishing, 2023), </w:t>
            </w:r>
            <w:hyperlink r:id="rId369" w:history="1">
              <w:r w:rsidR="005F70C0" w:rsidRPr="00A8752B">
                <w:rPr>
                  <w:rStyle w:val="Hyperlink"/>
                  <w:rFonts w:ascii="Calibri" w:hAnsi="Calibri" w:cs="Calibri"/>
                </w:rPr>
                <w:t>www.oecd-il‌i‌brary.org/docserver/e13bef63-en.pdf?expires=1702424845&amp;id=id&amp;‌accname=‌guest‌&amp;check‌sum=911‌13B459B04‌9A3E‌3‌9F8C1D230A37A21</w:t>
              </w:r>
            </w:hyperlink>
            <w:r w:rsidR="00CC3831">
              <w:rPr>
                <w:rFonts w:ascii="Calibri" w:hAnsi="Calibri" w:cs="Calibri"/>
              </w:rPr>
              <w:t xml:space="preserve">. </w:t>
            </w:r>
          </w:p>
        </w:tc>
      </w:tr>
      <w:tr w:rsidR="002D6F5F" w:rsidRPr="002D6F5F" w14:paraId="1DD7E146" w14:textId="77777777" w:rsidTr="001B1DB2">
        <w:tc>
          <w:tcPr>
            <w:tcW w:w="9026" w:type="dxa"/>
            <w:vAlign w:val="center"/>
            <w:hideMark/>
          </w:tcPr>
          <w:p w14:paraId="3F543DE9" w14:textId="733AB5D4" w:rsidR="002D6F5F" w:rsidRPr="002D6F5F" w:rsidRDefault="00D56C32" w:rsidP="0077616C">
            <w:pPr>
              <w:rPr>
                <w:rFonts w:cs="Arial"/>
              </w:rPr>
            </w:pPr>
            <w:r>
              <w:rPr>
                <w:rFonts w:ascii="Calibri" w:hAnsi="Calibri" w:cs="Calibri"/>
              </w:rPr>
              <w:t xml:space="preserve">OECD. </w:t>
            </w:r>
            <w:r>
              <w:rPr>
                <w:rFonts w:ascii="Calibri" w:hAnsi="Calibri" w:cs="Calibri"/>
                <w:i/>
                <w:iCs/>
              </w:rPr>
              <w:t>Education at glance: Educational attainment and labour-force status</w:t>
            </w:r>
            <w:r>
              <w:rPr>
                <w:rFonts w:ascii="Calibri" w:hAnsi="Calibri" w:cs="Calibri"/>
              </w:rPr>
              <w:t xml:space="preserve"> [data set], (2023), accessed 1 December 2023, </w:t>
            </w:r>
            <w:hyperlink r:id="rId370" w:history="1">
              <w:r w:rsidR="005F70C0" w:rsidRPr="00A8752B">
                <w:rPr>
                  <w:rStyle w:val="Hyperlink"/>
                  <w:rFonts w:ascii="Calibri" w:hAnsi="Calibri" w:cs="Calibri"/>
                </w:rPr>
                <w:t>www.oecd-ilibrary.org/education/data/education-at-a-glance/educational-attainment-and-labour-force-status_889e8641-en</w:t>
              </w:r>
            </w:hyperlink>
            <w:r w:rsidR="005F70C0">
              <w:rPr>
                <w:rFonts w:ascii="Calibri" w:hAnsi="Calibri" w:cs="Calibri"/>
              </w:rPr>
              <w:t xml:space="preserve">. </w:t>
            </w:r>
          </w:p>
        </w:tc>
      </w:tr>
      <w:tr w:rsidR="002D6F5F" w:rsidRPr="002D6F5F" w14:paraId="1361230F" w14:textId="77777777" w:rsidTr="001B1DB2">
        <w:tc>
          <w:tcPr>
            <w:tcW w:w="9026" w:type="dxa"/>
            <w:vAlign w:val="bottom"/>
            <w:hideMark/>
          </w:tcPr>
          <w:p w14:paraId="7DE9F4CC" w14:textId="1C033A61" w:rsidR="002D6F5F" w:rsidRPr="002D6F5F" w:rsidRDefault="00D56C32" w:rsidP="0077616C">
            <w:pPr>
              <w:rPr>
                <w:rFonts w:cs="Arial"/>
              </w:rPr>
            </w:pPr>
            <w:r>
              <w:rPr>
                <w:rFonts w:ascii="Calibri" w:hAnsi="Calibri" w:cs="Calibri"/>
              </w:rPr>
              <w:t xml:space="preserve">OECD. </w:t>
            </w:r>
            <w:r>
              <w:rPr>
                <w:rFonts w:ascii="Calibri" w:hAnsi="Calibri" w:cs="Calibri"/>
                <w:i/>
                <w:iCs/>
              </w:rPr>
              <w:t>Enhancing Research Performance through Evaluation, Impact Assessment and Priority Setting</w:t>
            </w:r>
            <w:r>
              <w:rPr>
                <w:rFonts w:ascii="Calibri" w:hAnsi="Calibri" w:cs="Calibri"/>
              </w:rPr>
              <w:t xml:space="preserve">, (OECD, 2015) accessed 21 November 2023, </w:t>
            </w:r>
            <w:hyperlink r:id="rId371" w:history="1">
              <w:r w:rsidR="00A404D3" w:rsidRPr="00A8752B">
                <w:rPr>
                  <w:rStyle w:val="Hyperlink"/>
                  <w:rFonts w:ascii="Calibri" w:hAnsi="Calibri" w:cs="Calibri"/>
                </w:rPr>
                <w:t>www.oecd.org/sti/inno/Enhancing-Public-Research-Performance.pdf</w:t>
              </w:r>
            </w:hyperlink>
            <w:r w:rsidR="005F70C0">
              <w:rPr>
                <w:rFonts w:ascii="Calibri" w:hAnsi="Calibri" w:cs="Calibri"/>
              </w:rPr>
              <w:t xml:space="preserve">. </w:t>
            </w:r>
          </w:p>
        </w:tc>
      </w:tr>
      <w:tr w:rsidR="002D6F5F" w:rsidRPr="002D6F5F" w14:paraId="3346B387" w14:textId="77777777" w:rsidTr="001B1DB2">
        <w:tc>
          <w:tcPr>
            <w:tcW w:w="9026" w:type="dxa"/>
            <w:vAlign w:val="bottom"/>
            <w:hideMark/>
          </w:tcPr>
          <w:p w14:paraId="108AAE20" w14:textId="4BAA2DE4" w:rsidR="002D6F5F" w:rsidRPr="002D6F5F" w:rsidRDefault="00D56C32" w:rsidP="0077616C">
            <w:pPr>
              <w:rPr>
                <w:rFonts w:cs="Arial"/>
              </w:rPr>
            </w:pPr>
            <w:r>
              <w:rPr>
                <w:rFonts w:ascii="Calibri" w:hAnsi="Calibri" w:cs="Calibri"/>
              </w:rPr>
              <w:t xml:space="preserve">OECD. </w:t>
            </w:r>
            <w:r>
              <w:rPr>
                <w:rFonts w:ascii="Calibri" w:hAnsi="Calibri" w:cs="Calibri"/>
                <w:i/>
                <w:iCs/>
              </w:rPr>
              <w:t>Gross Domestic Spending on R&amp;D 2023</w:t>
            </w:r>
            <w:r>
              <w:rPr>
                <w:rFonts w:ascii="Calibri" w:hAnsi="Calibri" w:cs="Calibri"/>
              </w:rPr>
              <w:t xml:space="preserve"> [data set], accessed 29 November 2023, </w:t>
            </w:r>
            <w:hyperlink r:id="rId372" w:history="1">
              <w:r w:rsidR="00A404D3" w:rsidRPr="00A8752B">
                <w:rPr>
                  <w:rStyle w:val="Hyperlink"/>
                  <w:rFonts w:ascii="Calibri" w:hAnsi="Calibri" w:cs="Calibri"/>
                </w:rPr>
                <w:t>data.oecd.org/</w:t>
              </w:r>
              <w:proofErr w:type="spellStart"/>
              <w:r w:rsidR="00A404D3" w:rsidRPr="00A8752B">
                <w:rPr>
                  <w:rStyle w:val="Hyperlink"/>
                  <w:rFonts w:ascii="Calibri" w:hAnsi="Calibri" w:cs="Calibri"/>
                </w:rPr>
                <w:t>rd</w:t>
              </w:r>
              <w:proofErr w:type="spellEnd"/>
              <w:r w:rsidR="00A404D3" w:rsidRPr="00A8752B">
                <w:rPr>
                  <w:rStyle w:val="Hyperlink"/>
                  <w:rFonts w:ascii="Calibri" w:hAnsi="Calibri" w:cs="Calibri"/>
                </w:rPr>
                <w:t>/gross-domestic-spending-on-r-d.htm</w:t>
              </w:r>
            </w:hyperlink>
            <w:r w:rsidR="00A404D3">
              <w:rPr>
                <w:rFonts w:ascii="Calibri" w:hAnsi="Calibri" w:cs="Calibri"/>
              </w:rPr>
              <w:t xml:space="preserve">. </w:t>
            </w:r>
          </w:p>
        </w:tc>
      </w:tr>
      <w:tr w:rsidR="002D6F5F" w:rsidRPr="002D6F5F" w14:paraId="60AC4095" w14:textId="77777777" w:rsidTr="001B1DB2">
        <w:tc>
          <w:tcPr>
            <w:tcW w:w="9026" w:type="dxa"/>
            <w:vAlign w:val="bottom"/>
            <w:hideMark/>
          </w:tcPr>
          <w:p w14:paraId="3A621AD5" w14:textId="75296EAB" w:rsidR="002D6F5F" w:rsidRPr="002D6F5F" w:rsidRDefault="00D56C32" w:rsidP="0077616C">
            <w:pPr>
              <w:rPr>
                <w:rFonts w:cs="Arial"/>
              </w:rPr>
            </w:pPr>
            <w:r>
              <w:rPr>
                <w:rFonts w:ascii="Calibri" w:hAnsi="Calibri" w:cs="Calibri"/>
              </w:rPr>
              <w:t xml:space="preserve">OECD. </w:t>
            </w:r>
            <w:r>
              <w:rPr>
                <w:rFonts w:ascii="Calibri" w:hAnsi="Calibri" w:cs="Calibri"/>
                <w:i/>
                <w:iCs/>
              </w:rPr>
              <w:t>OECD Business Innovation Indicators 2023 edition</w:t>
            </w:r>
            <w:r>
              <w:rPr>
                <w:rFonts w:ascii="Calibri" w:hAnsi="Calibri" w:cs="Calibri"/>
              </w:rPr>
              <w:t xml:space="preserve">, (Paris: 2023), accessed 14 December 2023, </w:t>
            </w:r>
            <w:hyperlink r:id="rId373" w:history="1">
              <w:r w:rsidR="00A404D3" w:rsidRPr="00A8752B">
                <w:rPr>
                  <w:rStyle w:val="Hyperlink"/>
                  <w:rFonts w:ascii="Calibri" w:hAnsi="Calibri" w:cs="Calibri"/>
                </w:rPr>
                <w:t>www.oecd.org/sti/inno/innovation-indicators-2023-highlights.pdf</w:t>
              </w:r>
            </w:hyperlink>
            <w:r w:rsidR="00A404D3">
              <w:rPr>
                <w:rFonts w:ascii="Calibri" w:hAnsi="Calibri" w:cs="Calibri"/>
              </w:rPr>
              <w:t xml:space="preserve">. </w:t>
            </w:r>
          </w:p>
        </w:tc>
      </w:tr>
      <w:tr w:rsidR="002D6F5F" w:rsidRPr="002D6F5F" w14:paraId="04F9F42E" w14:textId="77777777" w:rsidTr="001B1DB2">
        <w:tc>
          <w:tcPr>
            <w:tcW w:w="9026" w:type="dxa"/>
            <w:vAlign w:val="center"/>
            <w:hideMark/>
          </w:tcPr>
          <w:p w14:paraId="4B3680D9" w14:textId="4147882D" w:rsidR="002D6F5F" w:rsidRPr="002D6F5F" w:rsidRDefault="00D56C32" w:rsidP="0077616C">
            <w:pPr>
              <w:rPr>
                <w:rFonts w:cs="Arial"/>
              </w:rPr>
            </w:pPr>
            <w:r>
              <w:rPr>
                <w:rFonts w:ascii="Calibri" w:hAnsi="Calibri" w:cs="Calibri"/>
              </w:rPr>
              <w:t xml:space="preserve">OECD. </w:t>
            </w:r>
            <w:r>
              <w:rPr>
                <w:rFonts w:ascii="Calibri" w:hAnsi="Calibri" w:cs="Calibri"/>
                <w:i/>
                <w:iCs/>
              </w:rPr>
              <w:t>Strengthening Career Guidance for Mid-Career Adults in Australia: Getting Skills Right</w:t>
            </w:r>
            <w:r>
              <w:rPr>
                <w:rFonts w:ascii="Calibri" w:hAnsi="Calibri" w:cs="Calibri"/>
              </w:rPr>
              <w:t xml:space="preserve">, (Paris: OECD Publishing, 2022, </w:t>
            </w:r>
            <w:hyperlink r:id="rId374" w:history="1">
              <w:r w:rsidR="00A404D3" w:rsidRPr="00A8752B">
                <w:rPr>
                  <w:rStyle w:val="Hyperlink"/>
                  <w:rFonts w:ascii="Calibri" w:hAnsi="Calibri" w:cs="Calibri"/>
                </w:rPr>
                <w:t>doi.org/10.1787/e08803ce-en</w:t>
              </w:r>
            </w:hyperlink>
            <w:r w:rsidR="00A404D3">
              <w:rPr>
                <w:rFonts w:ascii="Calibri" w:hAnsi="Calibri" w:cs="Calibri"/>
              </w:rPr>
              <w:t xml:space="preserve">. </w:t>
            </w:r>
          </w:p>
        </w:tc>
      </w:tr>
      <w:tr w:rsidR="002D6F5F" w:rsidRPr="002D6F5F" w14:paraId="56AE148A" w14:textId="77777777" w:rsidTr="001B1DB2">
        <w:tc>
          <w:tcPr>
            <w:tcW w:w="9026" w:type="dxa"/>
            <w:vAlign w:val="center"/>
            <w:hideMark/>
          </w:tcPr>
          <w:p w14:paraId="0419390B" w14:textId="7A337E83" w:rsidR="002D6F5F" w:rsidRPr="002D6F5F" w:rsidRDefault="00D56C32" w:rsidP="0077616C">
            <w:pPr>
              <w:rPr>
                <w:rFonts w:cs="Arial"/>
              </w:rPr>
            </w:pPr>
            <w:r>
              <w:rPr>
                <w:rFonts w:ascii="Calibri" w:hAnsi="Calibri" w:cs="Calibri"/>
              </w:rPr>
              <w:t>Office for Students.</w:t>
            </w:r>
            <w:r w:rsidRPr="00D56C32">
              <w:rPr>
                <w:rFonts w:ascii="Calibri" w:hAnsi="Calibri" w:cs="Calibri"/>
              </w:rPr>
              <w:t xml:space="preserve"> </w:t>
            </w:r>
            <w:r w:rsidRPr="00F50407">
              <w:rPr>
                <w:rFonts w:ascii="Calibri" w:hAnsi="Calibri" w:cs="Calibri"/>
              </w:rPr>
              <w:t>“</w:t>
            </w:r>
            <w:r>
              <w:rPr>
                <w:rFonts w:ascii="Calibri" w:hAnsi="Calibri" w:cs="Calibri"/>
              </w:rPr>
              <w:t xml:space="preserve">Higher education short course trial,” 2023, accessed 7 June 2023, </w:t>
            </w:r>
            <w:hyperlink r:id="rId375" w:history="1">
              <w:r w:rsidR="00A521BB" w:rsidRPr="00A8752B">
                <w:rPr>
                  <w:rStyle w:val="Hyperlink"/>
                  <w:rFonts w:ascii="Calibri" w:hAnsi="Calibri" w:cs="Calibri"/>
                </w:rPr>
                <w:t>www.officeforstudents.org.uk/advice-and-guidance/skills-and-employment/higher-education-short-course-trial/</w:t>
              </w:r>
            </w:hyperlink>
            <w:r w:rsidR="00A404D3">
              <w:rPr>
                <w:rFonts w:ascii="Calibri" w:hAnsi="Calibri" w:cs="Calibri"/>
              </w:rPr>
              <w:t xml:space="preserve">. </w:t>
            </w:r>
          </w:p>
        </w:tc>
      </w:tr>
      <w:tr w:rsidR="002D6F5F" w:rsidRPr="002D6F5F" w14:paraId="72BBC005" w14:textId="77777777" w:rsidTr="001B1DB2">
        <w:tc>
          <w:tcPr>
            <w:tcW w:w="9026" w:type="dxa"/>
            <w:vAlign w:val="bottom"/>
            <w:hideMark/>
          </w:tcPr>
          <w:p w14:paraId="6F56DF27" w14:textId="71B726D8" w:rsidR="002D6F5F" w:rsidRPr="002D6F5F" w:rsidRDefault="00D56C32" w:rsidP="0077616C">
            <w:pPr>
              <w:rPr>
                <w:rFonts w:cs="Arial"/>
              </w:rPr>
            </w:pPr>
            <w:r>
              <w:rPr>
                <w:rFonts w:ascii="Calibri" w:hAnsi="Calibri" w:cs="Calibri"/>
              </w:rPr>
              <w:t xml:space="preserve">Office for Students. “The TEF,” Office for Students, accessed 12 December 2023, </w:t>
            </w:r>
            <w:hyperlink r:id="rId376" w:history="1">
              <w:r w:rsidR="00A521BB" w:rsidRPr="00A8752B">
                <w:rPr>
                  <w:rStyle w:val="Hyperlink"/>
                  <w:rFonts w:ascii="Calibri" w:hAnsi="Calibri" w:cs="Calibri"/>
                </w:rPr>
                <w:t>www.officeforstudents.org.uk/advice-and-guidance/the-tef/</w:t>
              </w:r>
            </w:hyperlink>
            <w:r w:rsidR="00A521BB">
              <w:rPr>
                <w:rFonts w:ascii="Calibri" w:hAnsi="Calibri" w:cs="Calibri"/>
              </w:rPr>
              <w:t xml:space="preserve">. </w:t>
            </w:r>
          </w:p>
        </w:tc>
      </w:tr>
      <w:tr w:rsidR="002D6F5F" w:rsidRPr="002D6F5F" w14:paraId="68CAB330" w14:textId="77777777" w:rsidTr="001B1DB2">
        <w:tc>
          <w:tcPr>
            <w:tcW w:w="9026" w:type="dxa"/>
            <w:vAlign w:val="center"/>
            <w:hideMark/>
          </w:tcPr>
          <w:p w14:paraId="27C26C8A" w14:textId="5F6ACAB6" w:rsidR="002D6F5F" w:rsidRPr="002D6F5F" w:rsidRDefault="00D56C32" w:rsidP="0077616C">
            <w:pPr>
              <w:rPr>
                <w:rFonts w:cs="Arial"/>
              </w:rPr>
            </w:pPr>
            <w:r>
              <w:rPr>
                <w:rFonts w:ascii="Calibri" w:hAnsi="Calibri" w:cs="Calibri"/>
              </w:rPr>
              <w:t xml:space="preserve">Office of the Chief Scientist and Australian Mathematical Sciences Institute (AMSI). </w:t>
            </w:r>
            <w:r>
              <w:rPr>
                <w:rFonts w:ascii="Calibri" w:hAnsi="Calibri" w:cs="Calibri"/>
                <w:i/>
                <w:iCs/>
              </w:rPr>
              <w:t>Mapping University Prerequisites in Australia</w:t>
            </w:r>
            <w:r>
              <w:rPr>
                <w:rFonts w:ascii="Calibri" w:hAnsi="Calibri" w:cs="Calibri"/>
              </w:rPr>
              <w:t xml:space="preserve"> (Office of the Chief Scientist, September 2020), https://www.chiefscientist.gov.au/sites/default/files/2020-09/mapping_university_prerequisites‌_in_australia.pdf.</w:t>
            </w:r>
            <w:r>
              <w:rPr>
                <w:rFonts w:ascii="Calibri" w:hAnsi="Calibri" w:cs="Calibri"/>
                <w:i/>
                <w:iCs/>
              </w:rPr>
              <w:t>Mapping University Prerequisites in Australia</w:t>
            </w:r>
            <w:r>
              <w:rPr>
                <w:rFonts w:ascii="Calibri" w:hAnsi="Calibri" w:cs="Calibri"/>
              </w:rPr>
              <w:t xml:space="preserve"> (Office of the Chief Scientist, September 2020), </w:t>
            </w:r>
            <w:hyperlink r:id="rId377" w:history="1">
              <w:r w:rsidR="00C647F1" w:rsidRPr="00A8752B">
                <w:rPr>
                  <w:rStyle w:val="Hyperlink"/>
                  <w:rFonts w:ascii="Calibri" w:hAnsi="Calibri" w:cs="Calibri"/>
                </w:rPr>
                <w:t>www.chiefscientist.gov.au/sites/default/files/2020-09/mapping_university_prerequisites_in_australia.pdf</w:t>
              </w:r>
            </w:hyperlink>
            <w:r w:rsidR="00C647F1">
              <w:rPr>
                <w:rFonts w:ascii="Calibri" w:hAnsi="Calibri" w:cs="Calibri"/>
              </w:rPr>
              <w:t xml:space="preserve">. </w:t>
            </w:r>
          </w:p>
        </w:tc>
      </w:tr>
      <w:tr w:rsidR="002D6F5F" w:rsidRPr="002D6F5F" w14:paraId="65E198DE" w14:textId="77777777" w:rsidTr="001B1DB2">
        <w:tc>
          <w:tcPr>
            <w:tcW w:w="9026" w:type="dxa"/>
            <w:vAlign w:val="bottom"/>
            <w:hideMark/>
          </w:tcPr>
          <w:p w14:paraId="43491619" w14:textId="362C93D0" w:rsidR="002D6F5F" w:rsidRPr="002D6F5F" w:rsidRDefault="00D56C32" w:rsidP="0077616C">
            <w:pPr>
              <w:rPr>
                <w:rFonts w:cs="Arial"/>
              </w:rPr>
            </w:pPr>
            <w:r>
              <w:rPr>
                <w:rFonts w:ascii="Calibri" w:hAnsi="Calibri" w:cs="Calibri"/>
              </w:rPr>
              <w:t xml:space="preserve">Olsen, Alan. </w:t>
            </w:r>
            <w:r>
              <w:rPr>
                <w:rFonts w:ascii="Calibri" w:hAnsi="Calibri" w:cs="Calibri"/>
                <w:i/>
                <w:iCs/>
              </w:rPr>
              <w:t>Education as an Export for Australia: Education as an Export 2022</w:t>
            </w:r>
            <w:r>
              <w:rPr>
                <w:rFonts w:ascii="Calibri" w:hAnsi="Calibri" w:cs="Calibri"/>
              </w:rPr>
              <w:t xml:space="preserve"> (Bowral: Strategy Policy and Research in Education, 2023), </w:t>
            </w:r>
            <w:hyperlink r:id="rId378" w:history="1">
              <w:r w:rsidR="00795C83" w:rsidRPr="00A8752B">
                <w:rPr>
                  <w:rStyle w:val="Hyperlink"/>
                  <w:rFonts w:ascii="Calibri" w:hAnsi="Calibri" w:cs="Calibri"/>
                </w:rPr>
                <w:t>www.spre.com.au/download/ExportsAustraliaStates2022.pdf</w:t>
              </w:r>
            </w:hyperlink>
            <w:r w:rsidR="00795C83">
              <w:rPr>
                <w:rFonts w:ascii="Calibri" w:hAnsi="Calibri" w:cs="Calibri"/>
              </w:rPr>
              <w:t xml:space="preserve">. </w:t>
            </w:r>
          </w:p>
        </w:tc>
      </w:tr>
      <w:tr w:rsidR="002D6F5F" w:rsidRPr="002D6F5F" w14:paraId="499B0954" w14:textId="77777777" w:rsidTr="001B1DB2">
        <w:tc>
          <w:tcPr>
            <w:tcW w:w="9026" w:type="dxa"/>
            <w:vAlign w:val="center"/>
            <w:hideMark/>
          </w:tcPr>
          <w:p w14:paraId="1AB26A0C" w14:textId="5ECD4D79" w:rsidR="002D6F5F" w:rsidRPr="002D6F5F" w:rsidRDefault="00D56C32" w:rsidP="0077616C">
            <w:pPr>
              <w:rPr>
                <w:rFonts w:cs="Arial"/>
              </w:rPr>
            </w:pPr>
            <w:r>
              <w:rPr>
                <w:rFonts w:ascii="Calibri" w:hAnsi="Calibri" w:cs="Calibri"/>
              </w:rPr>
              <w:t xml:space="preserve">Oxford Economics Australia. </w:t>
            </w:r>
            <w:r>
              <w:rPr>
                <w:rFonts w:ascii="Calibri" w:hAnsi="Calibri" w:cs="Calibri"/>
                <w:i/>
                <w:iCs/>
              </w:rPr>
              <w:t xml:space="preserve">Tertiary Education Qualification Demand: Preliminary Report </w:t>
            </w:r>
            <w:r>
              <w:rPr>
                <w:rFonts w:ascii="Calibri" w:hAnsi="Calibri" w:cs="Calibri"/>
              </w:rPr>
              <w:t>[unpublished report], (Sydney: Department of Education, November 2023.</w:t>
            </w:r>
          </w:p>
        </w:tc>
      </w:tr>
      <w:tr w:rsidR="002D6F5F" w:rsidRPr="002D6F5F" w14:paraId="310F58F7" w14:textId="77777777" w:rsidTr="001B1DB2">
        <w:tc>
          <w:tcPr>
            <w:tcW w:w="9026" w:type="dxa"/>
            <w:vAlign w:val="bottom"/>
            <w:hideMark/>
          </w:tcPr>
          <w:p w14:paraId="5BC1B37B" w14:textId="2E37C355" w:rsidR="002D6F5F" w:rsidRPr="002D6F5F" w:rsidRDefault="00D56C32" w:rsidP="0077616C">
            <w:pPr>
              <w:rPr>
                <w:rFonts w:cs="Arial"/>
              </w:rPr>
            </w:pPr>
            <w:r>
              <w:rPr>
                <w:rFonts w:ascii="Calibri" w:hAnsi="Calibri" w:cs="Calibri"/>
              </w:rPr>
              <w:lastRenderedPageBreak/>
              <w:t xml:space="preserve">Parkinson, Martin; Howe, Joanna and Azarias, John. </w:t>
            </w:r>
            <w:r>
              <w:rPr>
                <w:rFonts w:ascii="Calibri" w:hAnsi="Calibri" w:cs="Calibri"/>
                <w:i/>
                <w:iCs/>
              </w:rPr>
              <w:t>Review of the Migration System</w:t>
            </w:r>
            <w:r>
              <w:rPr>
                <w:rFonts w:ascii="Calibri" w:hAnsi="Calibri" w:cs="Calibri"/>
              </w:rPr>
              <w:t xml:space="preserve">, (Canberra: Department of Home Affairs, March 2023), </w:t>
            </w:r>
            <w:hyperlink r:id="rId379" w:history="1">
              <w:r w:rsidR="00795C83" w:rsidRPr="00A8752B">
                <w:rPr>
                  <w:rStyle w:val="Hyperlink"/>
                </w:rPr>
                <w:t>www.homeaffairs.gov.au/reports-and-pubs/files/review-migration-system-final-report.pdf</w:t>
              </w:r>
            </w:hyperlink>
            <w:r w:rsidR="00795C83">
              <w:rPr>
                <w:rFonts w:ascii="Calibri" w:hAnsi="Calibri" w:cs="Calibri"/>
              </w:rPr>
              <w:t xml:space="preserve">. </w:t>
            </w:r>
          </w:p>
        </w:tc>
      </w:tr>
      <w:tr w:rsidR="002D6F5F" w:rsidRPr="002D6F5F" w14:paraId="6232094E" w14:textId="77777777" w:rsidTr="001B1DB2">
        <w:tc>
          <w:tcPr>
            <w:tcW w:w="9026" w:type="dxa"/>
            <w:vAlign w:val="bottom"/>
            <w:hideMark/>
          </w:tcPr>
          <w:p w14:paraId="34D4C90F" w14:textId="491402BF" w:rsidR="002D6F5F" w:rsidRPr="002D6F5F" w:rsidRDefault="00D56C32" w:rsidP="0077616C">
            <w:pPr>
              <w:rPr>
                <w:rFonts w:cs="Arial"/>
              </w:rPr>
            </w:pPr>
            <w:r>
              <w:rPr>
                <w:rFonts w:ascii="Calibri" w:hAnsi="Calibri" w:cs="Calibri"/>
              </w:rPr>
              <w:t xml:space="preserve">Parliament of Australia. </w:t>
            </w:r>
            <w:r>
              <w:rPr>
                <w:rFonts w:ascii="Calibri" w:hAnsi="Calibri" w:cs="Calibri"/>
                <w:i/>
                <w:iCs/>
              </w:rPr>
              <w:t>Budget Review 2020-21</w:t>
            </w:r>
            <w:r>
              <w:rPr>
                <w:rFonts w:ascii="Calibri" w:hAnsi="Calibri" w:cs="Calibri"/>
              </w:rPr>
              <w:t xml:space="preserve">, (Canberra: Parliament of Australia, October 2020), 41, </w:t>
            </w:r>
            <w:hyperlink r:id="rId380" w:history="1">
              <w:r w:rsidR="00564700" w:rsidRPr="00A8752B">
                <w:rPr>
                  <w:rStyle w:val="Hyperlink"/>
                  <w:rFonts w:ascii="Calibri" w:hAnsi="Calibri" w:cs="Calibri"/>
                </w:rPr>
                <w:t>parlinfo.aph.gov.au/parlInfo/download/library/prspub/7622081/upload_binary/7622081.pdf</w:t>
              </w:r>
            </w:hyperlink>
            <w:r w:rsidR="00564700">
              <w:rPr>
                <w:rFonts w:ascii="Calibri" w:hAnsi="Calibri" w:cs="Calibri"/>
              </w:rPr>
              <w:t xml:space="preserve">. </w:t>
            </w:r>
          </w:p>
        </w:tc>
      </w:tr>
      <w:tr w:rsidR="002D6F5F" w:rsidRPr="002D6F5F" w14:paraId="5DBD2597" w14:textId="77777777" w:rsidTr="001B1DB2">
        <w:tc>
          <w:tcPr>
            <w:tcW w:w="9026" w:type="dxa"/>
            <w:vAlign w:val="bottom"/>
            <w:hideMark/>
          </w:tcPr>
          <w:p w14:paraId="349BF2C4" w14:textId="22257A1B" w:rsidR="002D6F5F" w:rsidRPr="002D6F5F" w:rsidRDefault="00D56C32" w:rsidP="0077616C">
            <w:pPr>
              <w:rPr>
                <w:rFonts w:cs="Arial"/>
              </w:rPr>
            </w:pPr>
            <w:r>
              <w:rPr>
                <w:rFonts w:ascii="Calibri" w:hAnsi="Calibri" w:cs="Calibri"/>
              </w:rPr>
              <w:t>Penfield, Teresa</w:t>
            </w:r>
            <w:r w:rsidR="009E7AEF">
              <w:rPr>
                <w:rFonts w:ascii="Calibri" w:hAnsi="Calibri" w:cs="Calibri"/>
              </w:rPr>
              <w:t>;</w:t>
            </w:r>
            <w:r w:rsidR="009E7AEF" w:rsidRPr="009E7AEF">
              <w:rPr>
                <w:rFonts w:ascii="Calibri" w:hAnsi="Calibri" w:cs="Calibri"/>
              </w:rPr>
              <w:t xml:space="preserve"> Baker, Matthew J.; Scoble, Rosa and Wykes, Michael C</w:t>
            </w:r>
            <w:r>
              <w:rPr>
                <w:rFonts w:ascii="Calibri" w:hAnsi="Calibri" w:cs="Calibri"/>
              </w:rPr>
              <w:t xml:space="preserve">. “Assessment, Evaluations, and Definitions of Research Impact: A Review,” </w:t>
            </w:r>
            <w:r>
              <w:rPr>
                <w:rFonts w:ascii="Calibri" w:hAnsi="Calibri" w:cs="Calibri"/>
                <w:i/>
                <w:iCs/>
              </w:rPr>
              <w:t>Research Evaluation</w:t>
            </w:r>
            <w:r>
              <w:rPr>
                <w:rFonts w:ascii="Calibri" w:hAnsi="Calibri" w:cs="Calibri"/>
              </w:rPr>
              <w:t xml:space="preserve"> (8 October 2013), </w:t>
            </w:r>
            <w:hyperlink r:id="rId381" w:history="1">
              <w:r w:rsidR="00564700" w:rsidRPr="00A8752B">
                <w:rPr>
                  <w:rStyle w:val="Hyperlink"/>
                  <w:rFonts w:ascii="Calibri" w:hAnsi="Calibri" w:cs="Calibri"/>
                </w:rPr>
                <w:t>doi.org/10.1093/</w:t>
              </w:r>
              <w:proofErr w:type="spellStart"/>
              <w:r w:rsidR="00564700" w:rsidRPr="00A8752B">
                <w:rPr>
                  <w:rStyle w:val="Hyperlink"/>
                  <w:rFonts w:ascii="Calibri" w:hAnsi="Calibri" w:cs="Calibri"/>
                </w:rPr>
                <w:t>reseval</w:t>
              </w:r>
              <w:proofErr w:type="spellEnd"/>
              <w:r w:rsidR="00564700" w:rsidRPr="00A8752B">
                <w:rPr>
                  <w:rStyle w:val="Hyperlink"/>
                  <w:rFonts w:ascii="Calibri" w:hAnsi="Calibri" w:cs="Calibri"/>
                </w:rPr>
                <w:t>/rvt021</w:t>
              </w:r>
            </w:hyperlink>
            <w:r w:rsidR="00564700">
              <w:rPr>
                <w:rFonts w:ascii="Calibri" w:hAnsi="Calibri" w:cs="Calibri"/>
              </w:rPr>
              <w:t xml:space="preserve">. </w:t>
            </w:r>
          </w:p>
        </w:tc>
      </w:tr>
      <w:tr w:rsidR="002D6F5F" w:rsidRPr="002D6F5F" w14:paraId="13C33FCC" w14:textId="77777777" w:rsidTr="001B1DB2">
        <w:tc>
          <w:tcPr>
            <w:tcW w:w="9026" w:type="dxa"/>
            <w:vAlign w:val="bottom"/>
            <w:hideMark/>
          </w:tcPr>
          <w:p w14:paraId="3C57EA45" w14:textId="78A45C70" w:rsidR="002D6F5F" w:rsidRPr="002D6F5F" w:rsidRDefault="00D56C32" w:rsidP="0077616C">
            <w:pPr>
              <w:rPr>
                <w:rFonts w:cs="Arial"/>
              </w:rPr>
            </w:pPr>
            <w:r>
              <w:rPr>
                <w:rFonts w:ascii="Calibri" w:hAnsi="Calibri" w:cs="Calibri"/>
              </w:rPr>
              <w:t>Pitman, Tim</w:t>
            </w:r>
            <w:r w:rsidR="00BD5D48">
              <w:rPr>
                <w:rFonts w:ascii="Calibri" w:hAnsi="Calibri" w:cs="Calibri"/>
              </w:rPr>
              <w:t xml:space="preserve">; </w:t>
            </w:r>
            <w:r w:rsidR="00BD5D48" w:rsidRPr="00BD5D48">
              <w:rPr>
                <w:rFonts w:ascii="Calibri" w:hAnsi="Calibri" w:cs="Calibri"/>
              </w:rPr>
              <w:t>Trinidad, S</w:t>
            </w:r>
            <w:r w:rsidR="00BD5D48">
              <w:rPr>
                <w:rFonts w:ascii="Calibri" w:hAnsi="Calibri" w:cs="Calibri"/>
              </w:rPr>
              <w:t>ue</w:t>
            </w:r>
            <w:r w:rsidR="00BD5D48" w:rsidRPr="00BD5D48">
              <w:rPr>
                <w:rFonts w:ascii="Calibri" w:hAnsi="Calibri" w:cs="Calibri"/>
              </w:rPr>
              <w:t>; Devlin, Marcia; Harvey, Andrew; Brett, Matt and McKay, Jade.</w:t>
            </w:r>
            <w:r>
              <w:rPr>
                <w:rFonts w:ascii="Calibri" w:hAnsi="Calibri" w:cs="Calibri"/>
              </w:rPr>
              <w:t xml:space="preserve"> “Pathways to Higher Education: The Efficacy of Enabling and Sub-Bachelor Pathways for Disadvantaged Students” (Perth: Curtin University NCSEHE, 2016), </w:t>
            </w:r>
            <w:hyperlink r:id="rId382" w:history="1">
              <w:r w:rsidR="00564700" w:rsidRPr="00A8752B">
                <w:rPr>
                  <w:rStyle w:val="Hyperlink"/>
                </w:rPr>
                <w:t>www</w:t>
              </w:r>
              <w:r w:rsidR="00564700" w:rsidRPr="00A8752B">
                <w:rPr>
                  <w:rStyle w:val="Hyperlink"/>
                  <w:rFonts w:ascii="Calibri" w:hAnsi="Calibri" w:cs="Calibri"/>
                </w:rPr>
                <w:t>.ncsehe.edu.au/wp-content/uploads/2016/07/Final-Pathways-to-Higher-Education-The-Efficacy-of-Enabling-and-Sub-Bachelor-Pathways-for-Disadvantaged-Students.pdf</w:t>
              </w:r>
            </w:hyperlink>
            <w:r w:rsidR="00564700">
              <w:rPr>
                <w:rFonts w:ascii="Calibri" w:hAnsi="Calibri" w:cs="Calibri"/>
              </w:rPr>
              <w:t xml:space="preserve">. </w:t>
            </w:r>
          </w:p>
        </w:tc>
      </w:tr>
      <w:tr w:rsidR="002D6F5F" w:rsidRPr="002D6F5F" w14:paraId="1113F23A" w14:textId="77777777" w:rsidTr="001B1DB2">
        <w:tc>
          <w:tcPr>
            <w:tcW w:w="9026" w:type="dxa"/>
            <w:vAlign w:val="center"/>
            <w:hideMark/>
          </w:tcPr>
          <w:p w14:paraId="447329B6" w14:textId="4E9935B4" w:rsidR="002D6F5F" w:rsidRPr="002D6F5F" w:rsidRDefault="00D56C32" w:rsidP="0077616C">
            <w:pPr>
              <w:rPr>
                <w:rFonts w:cs="Arial"/>
              </w:rPr>
            </w:pPr>
            <w:r>
              <w:rPr>
                <w:rFonts w:ascii="Calibri" w:hAnsi="Calibri" w:cs="Calibri"/>
              </w:rPr>
              <w:t xml:space="preserve">Productivity Commission, </w:t>
            </w:r>
            <w:r>
              <w:rPr>
                <w:rFonts w:ascii="Calibri" w:hAnsi="Calibri" w:cs="Calibri"/>
                <w:i/>
                <w:iCs/>
              </w:rPr>
              <w:t>Shifting the Dial: 5 Year Productivity Review</w:t>
            </w:r>
            <w:r>
              <w:rPr>
                <w:rFonts w:ascii="Calibri" w:hAnsi="Calibri" w:cs="Calibri"/>
              </w:rPr>
              <w:t xml:space="preserve">, Supporting Paper No. 7, (2017) </w:t>
            </w:r>
            <w:hyperlink r:id="rId383" w:history="1">
              <w:r w:rsidR="00564700" w:rsidRPr="00A8752B">
                <w:rPr>
                  <w:rStyle w:val="Hyperlink"/>
                </w:rPr>
                <w:t>www</w:t>
              </w:r>
              <w:r w:rsidR="00564700" w:rsidRPr="00A8752B">
                <w:rPr>
                  <w:rStyle w:val="Hyperlink"/>
                  <w:rFonts w:ascii="Calibri" w:hAnsi="Calibri" w:cs="Calibri"/>
                </w:rPr>
                <w:t>.pc.gov.au/inquiries/completed/productivity-review/report/productivity-review.pdf</w:t>
              </w:r>
            </w:hyperlink>
            <w:r w:rsidR="00564700">
              <w:rPr>
                <w:rFonts w:ascii="Calibri" w:hAnsi="Calibri" w:cs="Calibri"/>
              </w:rPr>
              <w:t xml:space="preserve">. </w:t>
            </w:r>
          </w:p>
        </w:tc>
      </w:tr>
      <w:tr w:rsidR="002D6F5F" w:rsidRPr="002D6F5F" w14:paraId="513CE992" w14:textId="77777777" w:rsidTr="001B1DB2">
        <w:tc>
          <w:tcPr>
            <w:tcW w:w="9026" w:type="dxa"/>
            <w:vAlign w:val="bottom"/>
            <w:hideMark/>
          </w:tcPr>
          <w:p w14:paraId="45405D02" w14:textId="58CA5741" w:rsidR="002D6F5F" w:rsidRPr="002D6F5F" w:rsidRDefault="00D56C32" w:rsidP="0077616C">
            <w:pPr>
              <w:rPr>
                <w:rFonts w:cs="Arial"/>
              </w:rPr>
            </w:pPr>
            <w:r>
              <w:rPr>
                <w:rFonts w:ascii="Calibri" w:hAnsi="Calibri" w:cs="Calibri"/>
              </w:rPr>
              <w:t xml:space="preserve">Productivity Commission. </w:t>
            </w:r>
            <w:r>
              <w:rPr>
                <w:rFonts w:ascii="Calibri" w:hAnsi="Calibri" w:cs="Calibri"/>
                <w:i/>
                <w:iCs/>
              </w:rPr>
              <w:t>5-year Productivity Inquiry: Advancing Prosperity</w:t>
            </w:r>
            <w:r>
              <w:rPr>
                <w:rFonts w:ascii="Calibri" w:hAnsi="Calibri" w:cs="Calibri"/>
              </w:rPr>
              <w:t>, (Canberra: March 2023)</w:t>
            </w:r>
            <w:r w:rsidR="00BD5D48">
              <w:rPr>
                <w:rFonts w:ascii="Calibri" w:hAnsi="Calibri" w:cs="Calibri"/>
              </w:rPr>
              <w:t xml:space="preserve">, </w:t>
            </w:r>
            <w:hyperlink r:id="rId384" w:history="1">
              <w:r w:rsidR="00564700" w:rsidRPr="00A8752B">
                <w:rPr>
                  <w:rStyle w:val="Hyperlink"/>
                  <w:rFonts w:ascii="Calibri" w:hAnsi="Calibri" w:cs="Calibri"/>
                </w:rPr>
                <w:t>www.pc.gov.au/inquiries/completed/productivity/report/productivity-advancing-prosperity-all-volumes.pdf</w:t>
              </w:r>
            </w:hyperlink>
            <w:r w:rsidR="00564700">
              <w:rPr>
                <w:rFonts w:ascii="Calibri" w:hAnsi="Calibri" w:cs="Calibri"/>
              </w:rPr>
              <w:t xml:space="preserve">. </w:t>
            </w:r>
            <w:r>
              <w:rPr>
                <w:rFonts w:ascii="Calibri" w:hAnsi="Calibri" w:cs="Calibri"/>
              </w:rPr>
              <w:t xml:space="preserve"> </w:t>
            </w:r>
          </w:p>
        </w:tc>
      </w:tr>
      <w:tr w:rsidR="002D6F5F" w:rsidRPr="002D6F5F" w14:paraId="37B89B78" w14:textId="77777777" w:rsidTr="001B1DB2">
        <w:tc>
          <w:tcPr>
            <w:tcW w:w="9026" w:type="dxa"/>
            <w:vAlign w:val="bottom"/>
            <w:hideMark/>
          </w:tcPr>
          <w:p w14:paraId="28D969B2" w14:textId="1DB793E0" w:rsidR="002D6F5F" w:rsidRPr="002D6F5F" w:rsidRDefault="00D56C32" w:rsidP="0077616C">
            <w:pPr>
              <w:rPr>
                <w:rFonts w:cs="Arial"/>
              </w:rPr>
            </w:pPr>
            <w:r>
              <w:rPr>
                <w:rFonts w:ascii="Calibri" w:hAnsi="Calibri" w:cs="Calibri"/>
              </w:rPr>
              <w:t xml:space="preserve">Productivity Commission. </w:t>
            </w:r>
            <w:r>
              <w:rPr>
                <w:rFonts w:ascii="Calibri" w:hAnsi="Calibri" w:cs="Calibri"/>
                <w:i/>
                <w:iCs/>
              </w:rPr>
              <w:t>5-year Productivity Inquiry: From learning to growth</w:t>
            </w:r>
            <w:r>
              <w:rPr>
                <w:rFonts w:ascii="Calibri" w:hAnsi="Calibri" w:cs="Calibri"/>
              </w:rPr>
              <w:t>, (Canberra: 7 February 2023)</w:t>
            </w:r>
            <w:r w:rsidR="007D6622">
              <w:rPr>
                <w:rFonts w:ascii="Calibri" w:hAnsi="Calibri" w:cs="Calibri"/>
              </w:rPr>
              <w:t>,</w:t>
            </w:r>
            <w:r>
              <w:rPr>
                <w:rFonts w:ascii="Calibri" w:hAnsi="Calibri" w:cs="Calibri"/>
              </w:rPr>
              <w:t xml:space="preserve"> </w:t>
            </w:r>
            <w:hyperlink r:id="rId385" w:history="1">
              <w:r w:rsidR="000E3018" w:rsidRPr="00A8752B">
                <w:rPr>
                  <w:rStyle w:val="Hyperlink"/>
                  <w:rFonts w:ascii="Calibri" w:hAnsi="Calibri" w:cs="Calibri"/>
                </w:rPr>
                <w:t>www.pc.gov.au/inquiries/completed/productivity/report/productivity-volume8-education-skills.pdf</w:t>
              </w:r>
            </w:hyperlink>
            <w:r w:rsidR="00564700">
              <w:rPr>
                <w:rFonts w:ascii="Calibri" w:hAnsi="Calibri" w:cs="Calibri"/>
              </w:rPr>
              <w:t xml:space="preserve">. </w:t>
            </w:r>
          </w:p>
        </w:tc>
      </w:tr>
      <w:tr w:rsidR="002D6F5F" w:rsidRPr="002D6F5F" w14:paraId="37D3ED8F" w14:textId="77777777" w:rsidTr="001B1DB2">
        <w:tc>
          <w:tcPr>
            <w:tcW w:w="9026" w:type="dxa"/>
            <w:vAlign w:val="bottom"/>
            <w:hideMark/>
          </w:tcPr>
          <w:p w14:paraId="40312136" w14:textId="3539532D" w:rsidR="002D6F5F" w:rsidRPr="002D6F5F" w:rsidRDefault="00D56C32" w:rsidP="0077616C">
            <w:pPr>
              <w:rPr>
                <w:rFonts w:cs="Arial"/>
              </w:rPr>
            </w:pPr>
            <w:r>
              <w:rPr>
                <w:rFonts w:ascii="Calibri" w:hAnsi="Calibri" w:cs="Calibri"/>
              </w:rPr>
              <w:t xml:space="preserve">Productivity Commission. </w:t>
            </w:r>
            <w:r>
              <w:rPr>
                <w:rFonts w:ascii="Calibri" w:hAnsi="Calibri" w:cs="Calibri"/>
                <w:i/>
                <w:iCs/>
              </w:rPr>
              <w:t>5-year Productivity Inquiry: Innovation for the 98%</w:t>
            </w:r>
            <w:r>
              <w:rPr>
                <w:rFonts w:ascii="Calibri" w:hAnsi="Calibri" w:cs="Calibri"/>
              </w:rPr>
              <w:t xml:space="preserve">, 5, 100 (Canberra: 7 February 2023), </w:t>
            </w:r>
            <w:hyperlink r:id="rId386" w:history="1">
              <w:r w:rsidR="000E3018" w:rsidRPr="00A8752B">
                <w:rPr>
                  <w:rStyle w:val="Hyperlink"/>
                  <w:rFonts w:ascii="Calibri" w:hAnsi="Calibri" w:cs="Calibri"/>
                </w:rPr>
                <w:t>www.pc.gov.au/inquiries/completed/productivity/report/productivity-volume5-innovation-diffusion.pdf</w:t>
              </w:r>
            </w:hyperlink>
            <w:r w:rsidR="000E3018">
              <w:rPr>
                <w:rFonts w:ascii="Calibri" w:hAnsi="Calibri" w:cs="Calibri"/>
              </w:rPr>
              <w:t xml:space="preserve">. </w:t>
            </w:r>
          </w:p>
        </w:tc>
      </w:tr>
      <w:tr w:rsidR="002D6F5F" w:rsidRPr="002D6F5F" w14:paraId="2945310D" w14:textId="77777777" w:rsidTr="001B1DB2">
        <w:tc>
          <w:tcPr>
            <w:tcW w:w="9026" w:type="dxa"/>
            <w:vAlign w:val="bottom"/>
            <w:hideMark/>
          </w:tcPr>
          <w:p w14:paraId="584D51BA" w14:textId="7178B5F3" w:rsidR="002D6F5F" w:rsidRPr="002D6F5F" w:rsidRDefault="00D56C32" w:rsidP="0077616C">
            <w:pPr>
              <w:rPr>
                <w:rFonts w:cs="Arial"/>
              </w:rPr>
            </w:pPr>
            <w:r>
              <w:rPr>
                <w:rFonts w:ascii="Calibri" w:hAnsi="Calibri" w:cs="Calibri"/>
              </w:rPr>
              <w:t xml:space="preserve">Productivity Commission. </w:t>
            </w:r>
            <w:r>
              <w:rPr>
                <w:rFonts w:ascii="Calibri" w:hAnsi="Calibri" w:cs="Calibri"/>
                <w:i/>
                <w:iCs/>
              </w:rPr>
              <w:t>A path to universal early childhood education and care: Draft report (ECEC Draft Report)</w:t>
            </w:r>
            <w:r>
              <w:rPr>
                <w:rFonts w:ascii="Calibri" w:hAnsi="Calibri" w:cs="Calibri"/>
              </w:rPr>
              <w:t xml:space="preserve">, (Canberra: November 2023), </w:t>
            </w:r>
            <w:hyperlink r:id="rId387" w:history="1">
              <w:r w:rsidR="008948EB" w:rsidRPr="00A8752B">
                <w:rPr>
                  <w:rStyle w:val="Hyperlink"/>
                  <w:rFonts w:ascii="Calibri" w:hAnsi="Calibri" w:cs="Calibri"/>
                </w:rPr>
                <w:t>www.pc.gov.au/inquiries/current/childhood/draft/childhood-draft.pdf</w:t>
              </w:r>
            </w:hyperlink>
            <w:r w:rsidR="008948EB">
              <w:rPr>
                <w:rFonts w:ascii="Calibri" w:hAnsi="Calibri" w:cs="Calibri"/>
              </w:rPr>
              <w:t xml:space="preserve">. </w:t>
            </w:r>
          </w:p>
        </w:tc>
      </w:tr>
      <w:tr w:rsidR="002D6F5F" w:rsidRPr="002D6F5F" w14:paraId="2AE0F6CA" w14:textId="77777777" w:rsidTr="001B1DB2">
        <w:tc>
          <w:tcPr>
            <w:tcW w:w="9026" w:type="dxa"/>
            <w:vAlign w:val="bottom"/>
            <w:hideMark/>
          </w:tcPr>
          <w:p w14:paraId="5E778973" w14:textId="07A23C7D" w:rsidR="002D6F5F" w:rsidRPr="002D6F5F" w:rsidRDefault="00D56C32" w:rsidP="0077616C">
            <w:pPr>
              <w:rPr>
                <w:rFonts w:cs="Arial"/>
              </w:rPr>
            </w:pPr>
            <w:r>
              <w:rPr>
                <w:rFonts w:ascii="Calibri" w:hAnsi="Calibri" w:cs="Calibri"/>
              </w:rPr>
              <w:t xml:space="preserve">Productivity Commission. </w:t>
            </w:r>
            <w:r>
              <w:rPr>
                <w:rFonts w:ascii="Calibri" w:hAnsi="Calibri" w:cs="Calibri"/>
                <w:i/>
                <w:iCs/>
              </w:rPr>
              <w:t>Review of the National School Reform Agreement: Study report,</w:t>
            </w:r>
            <w:r>
              <w:rPr>
                <w:rFonts w:ascii="Calibri" w:hAnsi="Calibri" w:cs="Calibri"/>
              </w:rPr>
              <w:t xml:space="preserve"> (Canberra: December 2022), </w:t>
            </w:r>
            <w:hyperlink r:id="rId388" w:history="1">
              <w:r w:rsidR="008948EB" w:rsidRPr="00A8752B">
                <w:rPr>
                  <w:rStyle w:val="Hyperlink"/>
                  <w:rFonts w:ascii="Calibri" w:hAnsi="Calibri" w:cs="Calibri"/>
                </w:rPr>
                <w:t>www.pc.gov.au/inquiries/completed/school-agreement/report</w:t>
              </w:r>
            </w:hyperlink>
            <w:r w:rsidR="008948EB">
              <w:rPr>
                <w:rFonts w:ascii="Calibri" w:hAnsi="Calibri" w:cs="Calibri"/>
              </w:rPr>
              <w:t xml:space="preserve">. </w:t>
            </w:r>
          </w:p>
        </w:tc>
      </w:tr>
      <w:tr w:rsidR="002D6F5F" w:rsidRPr="002D6F5F" w14:paraId="2B145FD2" w14:textId="77777777" w:rsidTr="001B1DB2">
        <w:tc>
          <w:tcPr>
            <w:tcW w:w="9026" w:type="dxa"/>
            <w:vAlign w:val="bottom"/>
            <w:hideMark/>
          </w:tcPr>
          <w:p w14:paraId="13688072" w14:textId="5860DA54" w:rsidR="002D6F5F" w:rsidRPr="002D6F5F" w:rsidRDefault="00D56C32" w:rsidP="0077616C">
            <w:pPr>
              <w:rPr>
                <w:rFonts w:cs="Arial"/>
              </w:rPr>
            </w:pPr>
            <w:r>
              <w:rPr>
                <w:rFonts w:ascii="Calibri" w:hAnsi="Calibri" w:cs="Calibri"/>
              </w:rPr>
              <w:t xml:space="preserve">Productivity Commission. </w:t>
            </w:r>
            <w:r>
              <w:rPr>
                <w:rFonts w:ascii="Calibri" w:hAnsi="Calibri" w:cs="Calibri"/>
                <w:i/>
                <w:iCs/>
              </w:rPr>
              <w:t>The Demand Driven University System: A Mixed Report Card</w:t>
            </w:r>
            <w:r>
              <w:rPr>
                <w:rFonts w:ascii="Calibri" w:hAnsi="Calibri" w:cs="Calibri"/>
              </w:rPr>
              <w:t xml:space="preserve"> (Canberra: Productivity Commission, 2019),</w:t>
            </w:r>
            <w:r w:rsidR="00BD5D48">
              <w:rPr>
                <w:rFonts w:ascii="Calibri" w:hAnsi="Calibri" w:cs="Calibri"/>
              </w:rPr>
              <w:t xml:space="preserve"> </w:t>
            </w:r>
            <w:hyperlink r:id="rId389" w:history="1">
              <w:r w:rsidR="008948EB" w:rsidRPr="00A8752B">
                <w:rPr>
                  <w:rStyle w:val="Hyperlink"/>
                  <w:rFonts w:ascii="Calibri" w:hAnsi="Calibri" w:cs="Calibri"/>
                </w:rPr>
                <w:t>www.pc.gov.au/research/completed/university-report-card/university-report-card.pdf</w:t>
              </w:r>
            </w:hyperlink>
            <w:r w:rsidR="008948EB">
              <w:rPr>
                <w:rFonts w:ascii="Calibri" w:hAnsi="Calibri" w:cs="Calibri"/>
              </w:rPr>
              <w:t xml:space="preserve">. </w:t>
            </w:r>
          </w:p>
        </w:tc>
      </w:tr>
      <w:tr w:rsidR="002D6F5F" w:rsidRPr="002D6F5F" w14:paraId="48D8AE6F" w14:textId="77777777" w:rsidTr="001B1DB2">
        <w:tc>
          <w:tcPr>
            <w:tcW w:w="9026" w:type="dxa"/>
            <w:vAlign w:val="bottom"/>
            <w:hideMark/>
          </w:tcPr>
          <w:p w14:paraId="47ACBCED" w14:textId="7374D771" w:rsidR="002D6F5F" w:rsidRPr="002D6F5F" w:rsidRDefault="00D56C32" w:rsidP="0077616C">
            <w:pPr>
              <w:rPr>
                <w:rFonts w:cs="Arial"/>
              </w:rPr>
            </w:pPr>
            <w:r>
              <w:rPr>
                <w:rFonts w:ascii="Calibri" w:hAnsi="Calibri" w:cs="Calibri"/>
              </w:rPr>
              <w:t xml:space="preserve">Quality Indicators for Learning and Teaching (QILT). </w:t>
            </w:r>
            <w:r>
              <w:rPr>
                <w:rFonts w:ascii="Calibri" w:hAnsi="Calibri" w:cs="Calibri"/>
                <w:i/>
                <w:iCs/>
              </w:rPr>
              <w:t>2022 Student Experience Survey</w:t>
            </w:r>
            <w:r>
              <w:rPr>
                <w:rFonts w:ascii="Calibri" w:hAnsi="Calibri" w:cs="Calibri"/>
              </w:rPr>
              <w:t xml:space="preserve"> [data set], (Canberra: 2022), accessed 5 December 2023, </w:t>
            </w:r>
            <w:hyperlink r:id="rId390" w:history="1">
              <w:r w:rsidR="004E430D" w:rsidRPr="00A8752B">
                <w:rPr>
                  <w:rStyle w:val="Hyperlink"/>
                  <w:rFonts w:ascii="Calibri" w:hAnsi="Calibri" w:cs="Calibri"/>
                </w:rPr>
                <w:t>www.qilt.edu.au/surveys/student-experience-survey-(ses)</w:t>
              </w:r>
            </w:hyperlink>
            <w:r w:rsidR="004E430D">
              <w:rPr>
                <w:rFonts w:ascii="Calibri" w:hAnsi="Calibri" w:cs="Calibri"/>
              </w:rPr>
              <w:t xml:space="preserve">. </w:t>
            </w:r>
          </w:p>
        </w:tc>
      </w:tr>
      <w:tr w:rsidR="002D6F5F" w:rsidRPr="002D6F5F" w14:paraId="4FF8FBC0" w14:textId="77777777" w:rsidTr="001B1DB2">
        <w:tc>
          <w:tcPr>
            <w:tcW w:w="9026" w:type="dxa"/>
            <w:vAlign w:val="bottom"/>
            <w:hideMark/>
          </w:tcPr>
          <w:p w14:paraId="3BA8A61A" w14:textId="16D127DF" w:rsidR="002D6F5F" w:rsidRPr="002D6F5F" w:rsidRDefault="00D56C32" w:rsidP="0077616C">
            <w:pPr>
              <w:rPr>
                <w:rFonts w:cs="Arial"/>
              </w:rPr>
            </w:pPr>
            <w:r>
              <w:rPr>
                <w:rFonts w:ascii="Calibri" w:hAnsi="Calibri" w:cs="Calibri"/>
              </w:rPr>
              <w:t xml:space="preserve">Quality Indicators for Learning and Teaching (QILT). </w:t>
            </w:r>
            <w:r>
              <w:rPr>
                <w:rFonts w:ascii="Calibri" w:hAnsi="Calibri" w:cs="Calibri"/>
                <w:i/>
                <w:iCs/>
              </w:rPr>
              <w:t xml:space="preserve">2022 Student Experience Survey National Report </w:t>
            </w:r>
            <w:r>
              <w:rPr>
                <w:rFonts w:ascii="Calibri" w:hAnsi="Calibri" w:cs="Calibri"/>
              </w:rPr>
              <w:t>[unpublished data], (Canberra: QILT, 2023).</w:t>
            </w:r>
          </w:p>
        </w:tc>
      </w:tr>
      <w:tr w:rsidR="002D6F5F" w:rsidRPr="002D6F5F" w14:paraId="094915C7" w14:textId="77777777" w:rsidTr="001B1DB2">
        <w:tc>
          <w:tcPr>
            <w:tcW w:w="9026" w:type="dxa"/>
            <w:vAlign w:val="bottom"/>
            <w:hideMark/>
          </w:tcPr>
          <w:p w14:paraId="1DDED975" w14:textId="2A735FC8" w:rsidR="002D6F5F" w:rsidRPr="002D6F5F" w:rsidRDefault="00D56C32" w:rsidP="0077616C">
            <w:pPr>
              <w:rPr>
                <w:rFonts w:cs="Arial"/>
              </w:rPr>
            </w:pPr>
            <w:r>
              <w:rPr>
                <w:rFonts w:ascii="Calibri" w:hAnsi="Calibri" w:cs="Calibri"/>
              </w:rPr>
              <w:t xml:space="preserve">Quality Indicators for Learning and Teaching (QILT). </w:t>
            </w:r>
            <w:r>
              <w:rPr>
                <w:rFonts w:ascii="Calibri" w:hAnsi="Calibri" w:cs="Calibri"/>
                <w:i/>
                <w:iCs/>
              </w:rPr>
              <w:t>2022 Student Experience Survey National Report</w:t>
            </w:r>
            <w:r>
              <w:rPr>
                <w:rFonts w:ascii="Calibri" w:hAnsi="Calibri" w:cs="Calibri"/>
              </w:rPr>
              <w:t xml:space="preserve">, (Canberra: QILT, 2023), </w:t>
            </w:r>
            <w:hyperlink r:id="rId391" w:history="1">
              <w:r w:rsidR="004E430D" w:rsidRPr="00A8752B">
                <w:rPr>
                  <w:rStyle w:val="Hyperlink"/>
                  <w:rFonts w:ascii="Calibri" w:hAnsi="Calibri" w:cs="Calibri"/>
                </w:rPr>
                <w:t>www.qilt.edu.au/surveys/student-experience-survey-(ses)</w:t>
              </w:r>
            </w:hyperlink>
            <w:r w:rsidR="004E430D">
              <w:rPr>
                <w:rFonts w:ascii="Calibri" w:hAnsi="Calibri" w:cs="Calibri"/>
              </w:rPr>
              <w:t xml:space="preserve">. </w:t>
            </w:r>
          </w:p>
        </w:tc>
      </w:tr>
      <w:tr w:rsidR="002D6F5F" w:rsidRPr="002D6F5F" w14:paraId="359BA9F4" w14:textId="77777777" w:rsidTr="001B1DB2">
        <w:tc>
          <w:tcPr>
            <w:tcW w:w="9026" w:type="dxa"/>
            <w:vAlign w:val="bottom"/>
            <w:hideMark/>
          </w:tcPr>
          <w:p w14:paraId="53D53694" w14:textId="3BA56370" w:rsidR="002D6F5F" w:rsidRPr="002D6F5F" w:rsidRDefault="00D56C32" w:rsidP="0077616C">
            <w:pPr>
              <w:rPr>
                <w:rFonts w:cs="Arial"/>
              </w:rPr>
            </w:pPr>
            <w:r>
              <w:rPr>
                <w:rFonts w:ascii="Calibri" w:hAnsi="Calibri" w:cs="Calibri"/>
              </w:rPr>
              <w:lastRenderedPageBreak/>
              <w:t xml:space="preserve">Quality Indicators for Learning and Teaching (QILT). </w:t>
            </w:r>
            <w:r>
              <w:rPr>
                <w:rFonts w:ascii="Calibri" w:hAnsi="Calibri" w:cs="Calibri"/>
                <w:i/>
                <w:iCs/>
              </w:rPr>
              <w:t>2022 Student Experience Survey: The International Student Experience,</w:t>
            </w:r>
            <w:r>
              <w:rPr>
                <w:rFonts w:ascii="Calibri" w:hAnsi="Calibri" w:cs="Calibri"/>
              </w:rPr>
              <w:t xml:space="preserve"> (Canberra: June 2023), accessed 4 December 2023, </w:t>
            </w:r>
            <w:hyperlink r:id="rId392" w:history="1">
              <w:r w:rsidR="004E430D" w:rsidRPr="00A8752B">
                <w:rPr>
                  <w:rStyle w:val="Hyperlink"/>
                  <w:rFonts w:ascii="Calibri" w:hAnsi="Calibri" w:cs="Calibri"/>
                </w:rPr>
                <w:t>www.qilt.edu.au/</w:t>
              </w:r>
            </w:hyperlink>
            <w:r w:rsidR="004E430D">
              <w:rPr>
                <w:rFonts w:ascii="Calibri" w:hAnsi="Calibri" w:cs="Calibri"/>
              </w:rPr>
              <w:t xml:space="preserve">. </w:t>
            </w:r>
          </w:p>
        </w:tc>
      </w:tr>
      <w:tr w:rsidR="002D6F5F" w:rsidRPr="002D6F5F" w14:paraId="67E6003B" w14:textId="77777777" w:rsidTr="001B1DB2">
        <w:tc>
          <w:tcPr>
            <w:tcW w:w="9026" w:type="dxa"/>
            <w:vAlign w:val="bottom"/>
            <w:hideMark/>
          </w:tcPr>
          <w:p w14:paraId="2FD3B57B" w14:textId="6DF7F6F9" w:rsidR="002D6F5F" w:rsidRPr="002D6F5F" w:rsidRDefault="00D56C32" w:rsidP="0077616C">
            <w:pPr>
              <w:rPr>
                <w:rFonts w:cs="Arial"/>
              </w:rPr>
            </w:pPr>
            <w:r>
              <w:rPr>
                <w:rFonts w:ascii="Calibri" w:hAnsi="Calibri" w:cs="Calibri"/>
              </w:rPr>
              <w:t xml:space="preserve">Quality Indicators for Learning and Teaching (QILT). </w:t>
            </w:r>
            <w:r>
              <w:rPr>
                <w:rFonts w:ascii="Calibri" w:hAnsi="Calibri" w:cs="Calibri"/>
                <w:i/>
                <w:iCs/>
              </w:rPr>
              <w:t>Graduate Outcomes Survey – Longitudinal 2022</w:t>
            </w:r>
            <w:r>
              <w:rPr>
                <w:rFonts w:ascii="Calibri" w:hAnsi="Calibri" w:cs="Calibri"/>
              </w:rPr>
              <w:t xml:space="preserve"> [data set], (Canberra: 2023), </w:t>
            </w:r>
            <w:hyperlink r:id="rId393" w:history="1">
              <w:r w:rsidR="008C1971" w:rsidRPr="00A8752B">
                <w:rPr>
                  <w:rStyle w:val="Hyperlink"/>
                  <w:rFonts w:ascii="Calibri" w:hAnsi="Calibri" w:cs="Calibri"/>
                </w:rPr>
                <w:t>www.qilt.edu.au/surveys/graduate-outcomes-survey---longitudinal-(</w:t>
              </w:r>
              <w:proofErr w:type="spellStart"/>
              <w:r w:rsidR="008C1971" w:rsidRPr="00A8752B">
                <w:rPr>
                  <w:rStyle w:val="Hyperlink"/>
                  <w:rFonts w:ascii="Calibri" w:hAnsi="Calibri" w:cs="Calibri"/>
                </w:rPr>
                <w:t>gos</w:t>
              </w:r>
              <w:proofErr w:type="spellEnd"/>
              <w:r w:rsidR="008C1971" w:rsidRPr="00A8752B">
                <w:rPr>
                  <w:rStyle w:val="Hyperlink"/>
                  <w:rFonts w:ascii="Calibri" w:hAnsi="Calibri" w:cs="Calibri"/>
                </w:rPr>
                <w:t>-l)</w:t>
              </w:r>
            </w:hyperlink>
            <w:r w:rsidR="004E430D">
              <w:rPr>
                <w:rFonts w:ascii="Calibri" w:hAnsi="Calibri" w:cs="Calibri"/>
              </w:rPr>
              <w:t xml:space="preserve">. </w:t>
            </w:r>
          </w:p>
        </w:tc>
      </w:tr>
      <w:tr w:rsidR="002D6F5F" w:rsidRPr="002D6F5F" w14:paraId="0D58AAA5" w14:textId="77777777" w:rsidTr="001B1DB2">
        <w:tc>
          <w:tcPr>
            <w:tcW w:w="9026" w:type="dxa"/>
            <w:vAlign w:val="bottom"/>
            <w:hideMark/>
          </w:tcPr>
          <w:p w14:paraId="7DA3BB62" w14:textId="4DF6FEED" w:rsidR="002D6F5F" w:rsidRPr="002D6F5F" w:rsidRDefault="00D56C32" w:rsidP="0077616C">
            <w:pPr>
              <w:rPr>
                <w:rFonts w:cs="Arial"/>
              </w:rPr>
            </w:pPr>
            <w:r>
              <w:rPr>
                <w:rFonts w:ascii="Calibri" w:hAnsi="Calibri" w:cs="Calibri"/>
              </w:rPr>
              <w:t xml:space="preserve">Quality Indicators for Learning and Teaching (QILT). </w:t>
            </w:r>
            <w:r>
              <w:rPr>
                <w:rFonts w:ascii="Calibri" w:hAnsi="Calibri" w:cs="Calibri"/>
                <w:i/>
                <w:iCs/>
              </w:rPr>
              <w:t xml:space="preserve">Graduate Outcomes Survey 2022 </w:t>
            </w:r>
            <w:r>
              <w:rPr>
                <w:rFonts w:ascii="Calibri" w:hAnsi="Calibri" w:cs="Calibri"/>
              </w:rPr>
              <w:t xml:space="preserve">[data set], (Canberra: 2023), </w:t>
            </w:r>
            <w:hyperlink r:id="rId394" w:history="1">
              <w:r w:rsidR="008C1971" w:rsidRPr="00A8752B">
                <w:rPr>
                  <w:rStyle w:val="Hyperlink"/>
                  <w:rFonts w:ascii="Calibri" w:hAnsi="Calibri" w:cs="Calibri"/>
                </w:rPr>
                <w:t>www.qilt.edu.au/surveys/graduate-outcomes-survey-(gos)</w:t>
              </w:r>
            </w:hyperlink>
            <w:r w:rsidR="008C1971">
              <w:rPr>
                <w:rFonts w:ascii="Calibri" w:hAnsi="Calibri" w:cs="Calibri"/>
              </w:rPr>
              <w:t xml:space="preserve">. </w:t>
            </w:r>
          </w:p>
        </w:tc>
      </w:tr>
      <w:tr w:rsidR="002D6F5F" w:rsidRPr="002D6F5F" w14:paraId="4ED18D36" w14:textId="77777777" w:rsidTr="001B1DB2">
        <w:tc>
          <w:tcPr>
            <w:tcW w:w="9026" w:type="dxa"/>
            <w:vAlign w:val="center"/>
            <w:hideMark/>
          </w:tcPr>
          <w:p w14:paraId="1D974227" w14:textId="0E2E8220" w:rsidR="002D6F5F" w:rsidRPr="002D6F5F" w:rsidRDefault="00D56C32" w:rsidP="0077616C">
            <w:pPr>
              <w:rPr>
                <w:rFonts w:cs="Arial"/>
              </w:rPr>
            </w:pPr>
            <w:r>
              <w:rPr>
                <w:rFonts w:ascii="Calibri" w:hAnsi="Calibri" w:cs="Calibri"/>
              </w:rPr>
              <w:t xml:space="preserve">Raciti, Maria and Dale, Joshua. “Are university widening participation activities just-in-time or just-out-of-time? Exploring the (mis)alignment between the timing of widening participation activities and university decision-making among students from low socioeconomic backgrounds,” </w:t>
            </w:r>
            <w:r>
              <w:rPr>
                <w:rFonts w:ascii="Calibri" w:hAnsi="Calibri" w:cs="Calibri"/>
                <w:i/>
                <w:iCs/>
              </w:rPr>
              <w:t>Student Success</w:t>
            </w:r>
            <w:r>
              <w:rPr>
                <w:rFonts w:ascii="Calibri" w:hAnsi="Calibri" w:cs="Calibri"/>
              </w:rPr>
              <w:t xml:space="preserve">, 10, 1, (2019) 56, </w:t>
            </w:r>
            <w:hyperlink r:id="rId395" w:history="1">
              <w:r w:rsidR="004D0D07" w:rsidRPr="00A8752B">
                <w:rPr>
                  <w:rStyle w:val="Hyperlink"/>
                  <w:rFonts w:ascii="Calibri" w:hAnsi="Calibri" w:cs="Calibri"/>
                </w:rPr>
                <w:t>doi.org/10.5204/</w:t>
              </w:r>
              <w:proofErr w:type="gramStart"/>
              <w:r w:rsidR="004D0D07" w:rsidRPr="00A8752B">
                <w:rPr>
                  <w:rStyle w:val="Hyperlink"/>
                  <w:rFonts w:ascii="Calibri" w:hAnsi="Calibri" w:cs="Calibri"/>
                </w:rPr>
                <w:t>ssj.v</w:t>
              </w:r>
              <w:proofErr w:type="gramEnd"/>
              <w:r w:rsidR="004D0D07" w:rsidRPr="00A8752B">
                <w:rPr>
                  <w:rStyle w:val="Hyperlink"/>
                  <w:rFonts w:ascii="Calibri" w:hAnsi="Calibri" w:cs="Calibri"/>
                </w:rPr>
                <w:t>10i1.923</w:t>
              </w:r>
            </w:hyperlink>
            <w:r w:rsidR="004D0D07">
              <w:rPr>
                <w:rFonts w:ascii="Calibri" w:hAnsi="Calibri" w:cs="Calibri"/>
              </w:rPr>
              <w:t xml:space="preserve">. </w:t>
            </w:r>
          </w:p>
        </w:tc>
      </w:tr>
      <w:tr w:rsidR="002D6F5F" w:rsidRPr="002D6F5F" w14:paraId="58E41361" w14:textId="77777777" w:rsidTr="001B1DB2">
        <w:tc>
          <w:tcPr>
            <w:tcW w:w="9026" w:type="dxa"/>
            <w:vAlign w:val="bottom"/>
            <w:hideMark/>
          </w:tcPr>
          <w:p w14:paraId="58232F8D" w14:textId="71440024" w:rsidR="002D6F5F" w:rsidRPr="002D6F5F" w:rsidRDefault="00D56C32" w:rsidP="0077616C">
            <w:pPr>
              <w:rPr>
                <w:rFonts w:cs="Arial"/>
              </w:rPr>
            </w:pPr>
            <w:r>
              <w:rPr>
                <w:rFonts w:ascii="Calibri" w:hAnsi="Calibri" w:cstheme="minorHAnsi"/>
              </w:rPr>
              <w:t xml:space="preserve">Regional Universities Network. “Statistics,” Regional Universities Network, 2020, accessed 12 December 2023, </w:t>
            </w:r>
            <w:hyperlink r:id="rId396" w:history="1">
              <w:r w:rsidR="004725FA" w:rsidRPr="00A8752B">
                <w:rPr>
                  <w:rStyle w:val="Hyperlink"/>
                  <w:rFonts w:ascii="Calibri" w:hAnsi="Calibri" w:cstheme="minorHAnsi"/>
                </w:rPr>
                <w:t>www.run.edu.au/about-us/statistics/</w:t>
              </w:r>
            </w:hyperlink>
            <w:r w:rsidR="004725FA">
              <w:rPr>
                <w:rFonts w:ascii="Calibri" w:hAnsi="Calibri" w:cstheme="minorHAnsi"/>
              </w:rPr>
              <w:t>.</w:t>
            </w:r>
            <w:r>
              <w:rPr>
                <w:rFonts w:ascii="Calibri" w:hAnsi="Calibri" w:cstheme="minorHAnsi"/>
              </w:rPr>
              <w:t xml:space="preserve"> </w:t>
            </w:r>
          </w:p>
        </w:tc>
      </w:tr>
      <w:tr w:rsidR="002D6F5F" w:rsidRPr="002D6F5F" w14:paraId="62BCC5AC" w14:textId="77777777" w:rsidTr="001B1DB2">
        <w:tc>
          <w:tcPr>
            <w:tcW w:w="9026" w:type="dxa"/>
            <w:vAlign w:val="bottom"/>
            <w:hideMark/>
          </w:tcPr>
          <w:p w14:paraId="40C8644D" w14:textId="5D51608E" w:rsidR="002D6F5F" w:rsidRPr="002D6F5F" w:rsidRDefault="00D56C32" w:rsidP="0077616C">
            <w:pPr>
              <w:rPr>
                <w:rFonts w:cs="Arial"/>
              </w:rPr>
            </w:pPr>
            <w:r>
              <w:rPr>
                <w:rFonts w:ascii="Calibri" w:hAnsi="Calibri" w:cstheme="minorHAnsi"/>
              </w:rPr>
              <w:t xml:space="preserve">Regional Universities Network. </w:t>
            </w:r>
            <w:r>
              <w:rPr>
                <w:rFonts w:ascii="Calibri" w:hAnsi="Calibri" w:cs="Calibri"/>
                <w:i/>
                <w:iCs/>
              </w:rPr>
              <w:t>Submission to the Australian Universities Accord Discussion Paper</w:t>
            </w:r>
            <w:r>
              <w:rPr>
                <w:rFonts w:ascii="Calibri" w:hAnsi="Calibri" w:cs="Calibri"/>
              </w:rPr>
              <w:t xml:space="preserve">, 2023, 20, </w:t>
            </w:r>
            <w:hyperlink r:id="rId397" w:history="1">
              <w:r w:rsidR="000F5D7E" w:rsidRPr="00A8752B">
                <w:rPr>
                  <w:rStyle w:val="Hyperlink"/>
                  <w:rFonts w:ascii="Calibri" w:hAnsi="Calibri" w:cs="Calibri"/>
                </w:rPr>
                <w:t>www.education.gov.au/system/files/documents/submission-file/2023-04/AUA_tranche1_Regional%20Universities%20Network.pdf</w:t>
              </w:r>
            </w:hyperlink>
            <w:r w:rsidR="000F5D7E">
              <w:rPr>
                <w:rFonts w:ascii="Calibri" w:hAnsi="Calibri" w:cs="Calibri"/>
              </w:rPr>
              <w:t xml:space="preserve">. </w:t>
            </w:r>
          </w:p>
        </w:tc>
      </w:tr>
      <w:tr w:rsidR="002D6F5F" w:rsidRPr="002D6F5F" w14:paraId="14C7F4F6" w14:textId="77777777" w:rsidTr="001B1DB2">
        <w:tc>
          <w:tcPr>
            <w:tcW w:w="9026" w:type="dxa"/>
            <w:vAlign w:val="bottom"/>
            <w:hideMark/>
          </w:tcPr>
          <w:p w14:paraId="7EF8404E" w14:textId="26908513" w:rsidR="002D6F5F" w:rsidRPr="002D6F5F" w:rsidRDefault="00D56C32" w:rsidP="0077616C">
            <w:pPr>
              <w:rPr>
                <w:rFonts w:cs="Arial"/>
              </w:rPr>
            </w:pPr>
            <w:r>
              <w:rPr>
                <w:rFonts w:ascii="Calibri" w:hAnsi="Calibri" w:cs="Calibri"/>
              </w:rPr>
              <w:t xml:space="preserve">Reserve Bank of Australia. “Measures of Consumer Price Inflation”, Reserve Bank of Australia, revised 29 November 2023, </w:t>
            </w:r>
            <w:hyperlink r:id="rId398" w:history="1">
              <w:r w:rsidR="000F5D7E" w:rsidRPr="00A8752B">
                <w:rPr>
                  <w:rStyle w:val="Hyperlink"/>
                  <w:rFonts w:ascii="Calibri" w:hAnsi="Calibri" w:cs="Calibri"/>
                </w:rPr>
                <w:t>www.rba.gov.au/inflation/measures-cpi.html</w:t>
              </w:r>
            </w:hyperlink>
            <w:r w:rsidR="000F5D7E">
              <w:rPr>
                <w:rFonts w:ascii="Calibri" w:hAnsi="Calibri" w:cs="Calibri"/>
              </w:rPr>
              <w:t xml:space="preserve">. </w:t>
            </w:r>
          </w:p>
        </w:tc>
      </w:tr>
      <w:tr w:rsidR="002D6F5F" w:rsidRPr="002D6F5F" w14:paraId="569C7284" w14:textId="77777777" w:rsidTr="001B1DB2">
        <w:tc>
          <w:tcPr>
            <w:tcW w:w="9026" w:type="dxa"/>
            <w:vAlign w:val="bottom"/>
            <w:hideMark/>
          </w:tcPr>
          <w:p w14:paraId="560D4853" w14:textId="4FF2AADE" w:rsidR="002D6F5F" w:rsidRPr="002D6F5F" w:rsidRDefault="00D56C32" w:rsidP="0077616C">
            <w:pPr>
              <w:rPr>
                <w:rFonts w:cs="Arial"/>
              </w:rPr>
            </w:pPr>
            <w:r>
              <w:rPr>
                <w:rFonts w:ascii="Calibri" w:hAnsi="Calibri" w:cstheme="minorHAnsi"/>
              </w:rPr>
              <w:t xml:space="preserve">Reserve Bank of Australia. </w:t>
            </w:r>
            <w:r>
              <w:rPr>
                <w:rFonts w:ascii="Calibri" w:hAnsi="Calibri" w:cs="Calibri"/>
                <w:i/>
                <w:iCs/>
              </w:rPr>
              <w:t>Composition of the Australian Economy Snapshot</w:t>
            </w:r>
            <w:r>
              <w:rPr>
                <w:rFonts w:ascii="Calibri" w:hAnsi="Calibri" w:cs="Calibri"/>
              </w:rPr>
              <w:t xml:space="preserve">, (December 2023), </w:t>
            </w:r>
            <w:hyperlink r:id="rId399" w:history="1">
              <w:r w:rsidR="007130AC" w:rsidRPr="00A8752B">
                <w:rPr>
                  <w:rStyle w:val="Hyperlink"/>
                  <w:rFonts w:ascii="Calibri" w:hAnsi="Calibri" w:cs="Calibri"/>
                </w:rPr>
                <w:t>www.rba.gov.au/education/resources/snapshots/economy-composition-snapshot/</w:t>
              </w:r>
            </w:hyperlink>
            <w:r w:rsidR="000F5D7E">
              <w:rPr>
                <w:rFonts w:ascii="Calibri" w:hAnsi="Calibri" w:cs="Calibri"/>
              </w:rPr>
              <w:t xml:space="preserve">. </w:t>
            </w:r>
            <w:r>
              <w:rPr>
                <w:rFonts w:ascii="Calibri" w:hAnsi="Calibri" w:cs="Calibri"/>
              </w:rPr>
              <w:t xml:space="preserve"> </w:t>
            </w:r>
          </w:p>
        </w:tc>
      </w:tr>
      <w:tr w:rsidR="002D6F5F" w:rsidRPr="002D6F5F" w14:paraId="5D417889" w14:textId="77777777" w:rsidTr="001B1DB2">
        <w:tc>
          <w:tcPr>
            <w:tcW w:w="9026" w:type="dxa"/>
            <w:vAlign w:val="bottom"/>
            <w:hideMark/>
          </w:tcPr>
          <w:p w14:paraId="4AE20E0A" w14:textId="3AA56E15" w:rsidR="002D6F5F" w:rsidRPr="002D6F5F" w:rsidRDefault="00D56C32" w:rsidP="0077616C">
            <w:pPr>
              <w:rPr>
                <w:rFonts w:cs="Arial"/>
              </w:rPr>
            </w:pPr>
            <w:r>
              <w:rPr>
                <w:rFonts w:ascii="Calibri" w:hAnsi="Calibri" w:cs="Calibri"/>
              </w:rPr>
              <w:t>Rigney, Lester-Irabinna. “A First Perspective of Indigenous Australian Participation in Science: Framing Indigenous Research Towards Indigenous Australian Intellectual Sovereignty,” Kaurna Higher Education Journal, 7 (2001).</w:t>
            </w:r>
          </w:p>
        </w:tc>
      </w:tr>
      <w:tr w:rsidR="002D6F5F" w:rsidRPr="002D6F5F" w14:paraId="051074A7" w14:textId="77777777" w:rsidTr="001B1DB2">
        <w:tc>
          <w:tcPr>
            <w:tcW w:w="9026" w:type="dxa"/>
            <w:vAlign w:val="bottom"/>
            <w:hideMark/>
          </w:tcPr>
          <w:p w14:paraId="33BA16FB" w14:textId="777D00C7" w:rsidR="002D6F5F" w:rsidRPr="002D6F5F" w:rsidRDefault="00D56C32" w:rsidP="0077616C">
            <w:pPr>
              <w:rPr>
                <w:rFonts w:cs="Arial"/>
              </w:rPr>
            </w:pPr>
            <w:r>
              <w:rPr>
                <w:rFonts w:ascii="Calibri" w:hAnsi="Calibri" w:cs="Calibri"/>
              </w:rPr>
              <w:t xml:space="preserve">RMIT University. </w:t>
            </w:r>
            <w:r>
              <w:rPr>
                <w:rFonts w:ascii="Calibri" w:hAnsi="Calibri" w:cs="Calibri"/>
                <w:i/>
                <w:iCs/>
              </w:rPr>
              <w:t>A more responsive tertiary education sector to better meet skills needs</w:t>
            </w:r>
            <w:r>
              <w:rPr>
                <w:rFonts w:ascii="Calibri" w:hAnsi="Calibri" w:cs="Calibri"/>
              </w:rPr>
              <w:t xml:space="preserve"> [unpublished report], (Melbourne: Department of Education, 2023).</w:t>
            </w:r>
          </w:p>
        </w:tc>
      </w:tr>
      <w:tr w:rsidR="002D6F5F" w:rsidRPr="002D6F5F" w14:paraId="3C3FCB22" w14:textId="77777777" w:rsidTr="001B1DB2">
        <w:trPr>
          <w:trHeight w:val="252"/>
        </w:trPr>
        <w:tc>
          <w:tcPr>
            <w:tcW w:w="9026" w:type="dxa"/>
            <w:vAlign w:val="bottom"/>
            <w:hideMark/>
          </w:tcPr>
          <w:p w14:paraId="6357D97F" w14:textId="6958DE83" w:rsidR="002D6F5F" w:rsidRPr="002D6F5F" w:rsidRDefault="00D56C32" w:rsidP="0077616C">
            <w:pPr>
              <w:rPr>
                <w:rFonts w:cs="Arial"/>
              </w:rPr>
            </w:pPr>
            <w:r>
              <w:rPr>
                <w:rFonts w:ascii="Calibri" w:hAnsi="Calibri" w:cs="Calibri"/>
              </w:rPr>
              <w:t xml:space="preserve">Rosetta, Federica. “The Growing Importance of Research Infrastructures,” Connect, 9 March 2023, </w:t>
            </w:r>
            <w:hyperlink r:id="rId400" w:history="1">
              <w:r w:rsidR="007130AC" w:rsidRPr="00A8752B">
                <w:rPr>
                  <w:rStyle w:val="Hyperlink"/>
                  <w:rFonts w:ascii="Calibri" w:hAnsi="Calibri" w:cs="Calibri"/>
                </w:rPr>
                <w:t>www.elsevier.com/connect/the-growing-importance-of-research-infrastructures</w:t>
              </w:r>
            </w:hyperlink>
            <w:r w:rsidR="007130AC">
              <w:rPr>
                <w:rFonts w:ascii="Calibri" w:hAnsi="Calibri" w:cs="Calibri"/>
              </w:rPr>
              <w:t xml:space="preserve">. </w:t>
            </w:r>
          </w:p>
        </w:tc>
      </w:tr>
      <w:tr w:rsidR="002D6F5F" w:rsidRPr="002D6F5F" w14:paraId="74750DC0" w14:textId="77777777" w:rsidTr="001B1DB2">
        <w:tc>
          <w:tcPr>
            <w:tcW w:w="9026" w:type="dxa"/>
            <w:vAlign w:val="bottom"/>
            <w:hideMark/>
          </w:tcPr>
          <w:p w14:paraId="7660A3B3" w14:textId="0E1A400A" w:rsidR="002D6F5F" w:rsidRPr="002D6F5F" w:rsidRDefault="00D56C32" w:rsidP="0077616C">
            <w:pPr>
              <w:rPr>
                <w:rFonts w:cs="Arial"/>
              </w:rPr>
            </w:pPr>
            <w:r>
              <w:rPr>
                <w:rFonts w:ascii="Calibri" w:hAnsi="Calibri" w:cs="Calibri"/>
              </w:rPr>
              <w:t xml:space="preserve">Ross, John. “Australian R&amp;D Investment hits 17-year low,” </w:t>
            </w:r>
            <w:r>
              <w:rPr>
                <w:rFonts w:ascii="Calibri" w:hAnsi="Calibri" w:cs="Calibri"/>
                <w:i/>
                <w:iCs/>
              </w:rPr>
              <w:t>Times Higher Education,</w:t>
            </w:r>
            <w:r>
              <w:rPr>
                <w:rFonts w:ascii="Calibri" w:hAnsi="Calibri" w:cs="Calibri"/>
              </w:rPr>
              <w:t xml:space="preserve"> 26 August 2023, </w:t>
            </w:r>
            <w:hyperlink r:id="rId401" w:history="1">
              <w:r w:rsidR="007130AC" w:rsidRPr="00A8752B">
                <w:rPr>
                  <w:rStyle w:val="Hyperlink"/>
                  <w:rFonts w:ascii="Calibri" w:hAnsi="Calibri" w:cs="Calibri"/>
                </w:rPr>
                <w:t>www.timeshighereducation.com/news/australian-rd-investment-hits-17-year-low</w:t>
              </w:r>
            </w:hyperlink>
            <w:r w:rsidR="007130AC">
              <w:rPr>
                <w:rFonts w:ascii="Calibri" w:hAnsi="Calibri" w:cs="Calibri"/>
              </w:rPr>
              <w:t xml:space="preserve">. </w:t>
            </w:r>
          </w:p>
        </w:tc>
      </w:tr>
      <w:tr w:rsidR="002D6F5F" w:rsidRPr="002D6F5F" w14:paraId="363F54E0" w14:textId="77777777" w:rsidTr="001B1DB2">
        <w:tc>
          <w:tcPr>
            <w:tcW w:w="9026" w:type="dxa"/>
            <w:vAlign w:val="bottom"/>
            <w:hideMark/>
          </w:tcPr>
          <w:p w14:paraId="499D652D" w14:textId="1F6B1A03" w:rsidR="002D6F5F" w:rsidRPr="002D6F5F" w:rsidRDefault="00D56C32" w:rsidP="0077616C">
            <w:pPr>
              <w:rPr>
                <w:rFonts w:cs="Arial"/>
              </w:rPr>
            </w:pPr>
            <w:r>
              <w:rPr>
                <w:rFonts w:ascii="Calibri" w:hAnsi="Calibri" w:cs="Calibri"/>
              </w:rPr>
              <w:t xml:space="preserve">Ross, John. “Australian Universities cap international student numbers,” </w:t>
            </w:r>
            <w:r>
              <w:rPr>
                <w:rFonts w:ascii="Calibri" w:hAnsi="Calibri" w:cs="Calibri"/>
                <w:i/>
                <w:iCs/>
              </w:rPr>
              <w:t>Times Higher Education,</w:t>
            </w:r>
            <w:r>
              <w:rPr>
                <w:rFonts w:ascii="Calibri" w:hAnsi="Calibri" w:cs="Calibri"/>
              </w:rPr>
              <w:t xml:space="preserve"> 6 June 2019, </w:t>
            </w:r>
            <w:hyperlink r:id="rId402" w:history="1">
              <w:r w:rsidR="007130AC" w:rsidRPr="00A8752B">
                <w:rPr>
                  <w:rStyle w:val="Hyperlink"/>
                  <w:rFonts w:ascii="Calibri" w:hAnsi="Calibri" w:cs="Calibri"/>
                </w:rPr>
                <w:t>www.timeshighereducation.com/news/australian-universities-cap-international-student-numbers</w:t>
              </w:r>
            </w:hyperlink>
            <w:r w:rsidR="007130AC">
              <w:rPr>
                <w:rFonts w:ascii="Calibri" w:hAnsi="Calibri" w:cs="Calibri"/>
              </w:rPr>
              <w:t xml:space="preserve">. </w:t>
            </w:r>
          </w:p>
        </w:tc>
      </w:tr>
      <w:tr w:rsidR="002D6F5F" w:rsidRPr="002D6F5F" w14:paraId="6445FA81" w14:textId="77777777" w:rsidTr="001B1DB2">
        <w:tc>
          <w:tcPr>
            <w:tcW w:w="9026" w:type="dxa"/>
            <w:vAlign w:val="bottom"/>
            <w:hideMark/>
          </w:tcPr>
          <w:p w14:paraId="36A7F3EF" w14:textId="1553EEF0" w:rsidR="002D6F5F" w:rsidRPr="002D6F5F" w:rsidRDefault="00D56C32" w:rsidP="0077616C">
            <w:pPr>
              <w:rPr>
                <w:rFonts w:cs="Arial"/>
              </w:rPr>
            </w:pPr>
            <w:r>
              <w:rPr>
                <w:rFonts w:ascii="Calibri" w:hAnsi="Calibri" w:cs="Calibri"/>
              </w:rPr>
              <w:t xml:space="preserve">Ross, John. “Back to black: Australian universities brace for bushfire season,” </w:t>
            </w:r>
            <w:r>
              <w:rPr>
                <w:rFonts w:ascii="Calibri" w:hAnsi="Calibri" w:cs="Calibri"/>
                <w:i/>
                <w:iCs/>
              </w:rPr>
              <w:t>Times Higher Education</w:t>
            </w:r>
            <w:r>
              <w:rPr>
                <w:rFonts w:ascii="Calibri" w:hAnsi="Calibri" w:cs="Calibri"/>
              </w:rPr>
              <w:t xml:space="preserve">, (28 November 2023), accessed 6 December 2023, </w:t>
            </w:r>
            <w:hyperlink r:id="rId403" w:history="1">
              <w:r w:rsidR="007130AC" w:rsidRPr="00A8752B">
                <w:rPr>
                  <w:rStyle w:val="Hyperlink"/>
                  <w:rFonts w:ascii="Calibri" w:hAnsi="Calibri" w:cs="Calibri"/>
                </w:rPr>
                <w:t>www.timeshighereducation‌.‌com‌/news/back-black-australian-universities-brace-bushfire-season</w:t>
              </w:r>
            </w:hyperlink>
            <w:r w:rsidR="007130AC">
              <w:rPr>
                <w:rFonts w:ascii="Calibri" w:hAnsi="Calibri" w:cs="Calibri"/>
              </w:rPr>
              <w:t xml:space="preserve">. </w:t>
            </w:r>
          </w:p>
        </w:tc>
      </w:tr>
      <w:tr w:rsidR="002D6F5F" w:rsidRPr="002D6F5F" w14:paraId="28749C73" w14:textId="77777777" w:rsidTr="001B1DB2">
        <w:tc>
          <w:tcPr>
            <w:tcW w:w="9026" w:type="dxa"/>
            <w:vAlign w:val="bottom"/>
            <w:hideMark/>
          </w:tcPr>
          <w:p w14:paraId="6BA8092B" w14:textId="7E825869" w:rsidR="002D6F5F" w:rsidRPr="002D6F5F" w:rsidRDefault="00D56C32" w:rsidP="0077616C">
            <w:pPr>
              <w:rPr>
                <w:rFonts w:cs="Arial"/>
              </w:rPr>
            </w:pPr>
            <w:r>
              <w:rPr>
                <w:rFonts w:ascii="Calibri" w:hAnsi="Calibri" w:cstheme="minorHAnsi"/>
              </w:rPr>
              <w:t xml:space="preserve">Royal Australian College of General Practitioners. </w:t>
            </w:r>
            <w:r>
              <w:rPr>
                <w:rFonts w:ascii="Calibri" w:hAnsi="Calibri" w:cs="Calibri"/>
                <w:i/>
                <w:iCs/>
              </w:rPr>
              <w:t>General Practice: Health of the Nation 2022</w:t>
            </w:r>
            <w:r>
              <w:rPr>
                <w:rFonts w:ascii="Calibri" w:hAnsi="Calibri" w:cs="Calibri"/>
              </w:rPr>
              <w:t xml:space="preserve">, (Melbourne: 2022), </w:t>
            </w:r>
            <w:hyperlink r:id="rId404" w:history="1">
              <w:r w:rsidR="0032596C" w:rsidRPr="00A8752B">
                <w:rPr>
                  <w:rStyle w:val="Hyperlink"/>
                  <w:rFonts w:ascii="Calibri" w:hAnsi="Calibri" w:cs="Calibri"/>
                </w:rPr>
                <w:t>www.racgp.org.au/getmedia/80c8bdc9-8886-4055-8a8d-ea793b088e5a/Health-of-the-Nation.pdf.aspx</w:t>
              </w:r>
            </w:hyperlink>
            <w:r w:rsidR="007130AC">
              <w:rPr>
                <w:rFonts w:ascii="Calibri" w:hAnsi="Calibri" w:cs="Calibri"/>
              </w:rPr>
              <w:t xml:space="preserve">. </w:t>
            </w:r>
          </w:p>
        </w:tc>
      </w:tr>
      <w:tr w:rsidR="002D6F5F" w:rsidRPr="002D6F5F" w14:paraId="2A1025E7" w14:textId="77777777" w:rsidTr="001B1DB2">
        <w:tc>
          <w:tcPr>
            <w:tcW w:w="9026" w:type="dxa"/>
            <w:vAlign w:val="bottom"/>
            <w:hideMark/>
          </w:tcPr>
          <w:p w14:paraId="1CA2BBED" w14:textId="19F9B708" w:rsidR="002D6F5F" w:rsidRPr="002D6F5F" w:rsidRDefault="00D56C32" w:rsidP="0077616C">
            <w:pPr>
              <w:rPr>
                <w:rFonts w:cs="Arial"/>
              </w:rPr>
            </w:pPr>
            <w:r>
              <w:rPr>
                <w:rFonts w:ascii="Calibri" w:hAnsi="Calibri" w:cs="Calibri"/>
              </w:rPr>
              <w:lastRenderedPageBreak/>
              <w:t>Stewart,</w:t>
            </w:r>
            <w:r w:rsidR="00E006A4">
              <w:rPr>
                <w:rFonts w:ascii="Calibri" w:hAnsi="Calibri" w:cs="Calibri"/>
              </w:rPr>
              <w:t xml:space="preserve"> </w:t>
            </w:r>
            <w:r>
              <w:rPr>
                <w:rFonts w:ascii="Calibri" w:hAnsi="Calibri" w:cs="Calibri"/>
              </w:rPr>
              <w:t>Ruth</w:t>
            </w:r>
            <w:r w:rsidR="00E006A4">
              <w:rPr>
                <w:rFonts w:ascii="Calibri" w:hAnsi="Calibri" w:cs="Calibri"/>
              </w:rPr>
              <w:t>.</w:t>
            </w:r>
            <w:r>
              <w:rPr>
                <w:rFonts w:ascii="Calibri" w:hAnsi="Calibri" w:cs="Calibri"/>
              </w:rPr>
              <w:t xml:space="preserve"> “Building a rural and remote health workforce with place-based education,” </w:t>
            </w:r>
            <w:r>
              <w:rPr>
                <w:rFonts w:ascii="Calibri" w:hAnsi="Calibri" w:cs="Calibri"/>
                <w:i/>
                <w:iCs/>
              </w:rPr>
              <w:t>The Medical Journal of Australia</w:t>
            </w:r>
            <w:r>
              <w:rPr>
                <w:rFonts w:ascii="Calibri" w:hAnsi="Calibri" w:cs="Calibri"/>
              </w:rPr>
              <w:t xml:space="preserve"> 219, 3 (7 August 2023) </w:t>
            </w:r>
            <w:hyperlink r:id="rId405" w:history="1">
              <w:r w:rsidR="00735283" w:rsidRPr="00A8752B">
                <w:rPr>
                  <w:rStyle w:val="Hyperlink"/>
                  <w:rFonts w:ascii="Calibri" w:hAnsi="Calibri" w:cs="Calibri"/>
                </w:rPr>
                <w:t>doi.org/10.5694/mja2.52033</w:t>
              </w:r>
            </w:hyperlink>
            <w:r w:rsidR="00735283">
              <w:rPr>
                <w:rFonts w:ascii="Calibri" w:hAnsi="Calibri" w:cs="Calibri"/>
              </w:rPr>
              <w:t xml:space="preserve">. </w:t>
            </w:r>
            <w:r w:rsidR="0032596C">
              <w:rPr>
                <w:rFonts w:ascii="Calibri" w:hAnsi="Calibri" w:cs="Calibri"/>
              </w:rPr>
              <w:t xml:space="preserve"> </w:t>
            </w:r>
          </w:p>
        </w:tc>
      </w:tr>
      <w:tr w:rsidR="002D6F5F" w:rsidRPr="002D6F5F" w14:paraId="0F30A447" w14:textId="77777777" w:rsidTr="001B1DB2">
        <w:tc>
          <w:tcPr>
            <w:tcW w:w="9026" w:type="dxa"/>
            <w:vAlign w:val="bottom"/>
            <w:hideMark/>
          </w:tcPr>
          <w:p w14:paraId="488AC83D" w14:textId="08A3E58C" w:rsidR="002D6F5F" w:rsidRPr="002D6F5F" w:rsidRDefault="00D56C32" w:rsidP="0077616C">
            <w:pPr>
              <w:rPr>
                <w:rFonts w:cs="Arial"/>
              </w:rPr>
            </w:pPr>
            <w:r>
              <w:rPr>
                <w:rFonts w:ascii="Calibri" w:hAnsi="Calibri" w:cs="Calibri"/>
              </w:rPr>
              <w:t xml:space="preserve">Salt, Bernard. “The great skills shift: everyone's an expert now,” </w:t>
            </w:r>
            <w:r>
              <w:rPr>
                <w:rFonts w:ascii="Calibri" w:hAnsi="Calibri" w:cs="Calibri"/>
                <w:i/>
                <w:iCs/>
              </w:rPr>
              <w:t>The Australian</w:t>
            </w:r>
            <w:r>
              <w:rPr>
                <w:rFonts w:ascii="Calibri" w:hAnsi="Calibri" w:cs="Calibri"/>
              </w:rPr>
              <w:t xml:space="preserve">, 24 December 2022, </w:t>
            </w:r>
            <w:hyperlink r:id="rId406" w:history="1">
              <w:r w:rsidR="00735283" w:rsidRPr="00A8752B">
                <w:rPr>
                  <w:rStyle w:val="Hyperlink"/>
                  <w:rFonts w:ascii="Calibri" w:hAnsi="Calibri" w:cs="Calibri"/>
                </w:rPr>
                <w:t>www.theaustralian.com.au/inquirer/the-great-skills-shift-everyones-an-expert-now/news-story/8ffef73878c4f308dde2457837e6c5de</w:t>
              </w:r>
            </w:hyperlink>
            <w:r w:rsidR="00735283">
              <w:rPr>
                <w:rFonts w:ascii="Calibri" w:hAnsi="Calibri" w:cs="Calibri"/>
              </w:rPr>
              <w:t xml:space="preserve">. </w:t>
            </w:r>
          </w:p>
        </w:tc>
      </w:tr>
      <w:tr w:rsidR="002D6F5F" w:rsidRPr="002D6F5F" w14:paraId="1F415F64" w14:textId="77777777" w:rsidTr="001B1DB2">
        <w:tc>
          <w:tcPr>
            <w:tcW w:w="9026" w:type="dxa"/>
            <w:vAlign w:val="bottom"/>
            <w:hideMark/>
          </w:tcPr>
          <w:p w14:paraId="581B02A5" w14:textId="67B093D9" w:rsidR="002D6F5F" w:rsidRPr="002D6F5F" w:rsidRDefault="00D56C32" w:rsidP="0077616C">
            <w:pPr>
              <w:rPr>
                <w:rFonts w:cs="Arial"/>
              </w:rPr>
            </w:pPr>
            <w:proofErr w:type="spellStart"/>
            <w:r>
              <w:rPr>
                <w:rFonts w:ascii="Calibri" w:hAnsi="Calibri" w:cs="Calibri"/>
              </w:rPr>
              <w:t>SciVal</w:t>
            </w:r>
            <w:proofErr w:type="spellEnd"/>
            <w:r>
              <w:rPr>
                <w:rFonts w:ascii="Calibri" w:hAnsi="Calibri" w:cs="Calibri"/>
              </w:rPr>
              <w:t xml:space="preserve">. </w:t>
            </w:r>
            <w:r>
              <w:rPr>
                <w:rFonts w:ascii="Calibri" w:hAnsi="Calibri" w:cs="Calibri"/>
                <w:i/>
                <w:iCs/>
              </w:rPr>
              <w:t>Benchmarking – The World University Rankings</w:t>
            </w:r>
            <w:r>
              <w:rPr>
                <w:rFonts w:ascii="Calibri" w:hAnsi="Calibri" w:cs="Calibri"/>
              </w:rPr>
              <w:t xml:space="preserve"> [data set], (Elsevier, 2023), </w:t>
            </w:r>
            <w:hyperlink r:id="rId407" w:history="1">
              <w:r w:rsidR="00BE7A0E" w:rsidRPr="00A8752B">
                <w:rPr>
                  <w:rStyle w:val="Hyperlink"/>
                  <w:rFonts w:ascii="Calibri" w:hAnsi="Calibri" w:cs="Calibri"/>
                </w:rPr>
                <w:t>www.scival.com/benchmarking/ranking/the/worldUniversityRankings</w:t>
              </w:r>
            </w:hyperlink>
            <w:r w:rsidR="00BE7A0E">
              <w:rPr>
                <w:rFonts w:ascii="Calibri" w:hAnsi="Calibri" w:cs="Calibri"/>
              </w:rPr>
              <w:t xml:space="preserve">. </w:t>
            </w:r>
          </w:p>
        </w:tc>
      </w:tr>
      <w:tr w:rsidR="002D6F5F" w:rsidRPr="002D6F5F" w14:paraId="41627B36" w14:textId="77777777" w:rsidTr="001B1DB2">
        <w:tc>
          <w:tcPr>
            <w:tcW w:w="9026" w:type="dxa"/>
            <w:vAlign w:val="center"/>
            <w:hideMark/>
          </w:tcPr>
          <w:p w14:paraId="29F544F0" w14:textId="27DBC2B7" w:rsidR="002D6F5F" w:rsidRPr="002D6F5F" w:rsidRDefault="00D56C32" w:rsidP="0077616C">
            <w:pPr>
              <w:rPr>
                <w:rFonts w:cs="Arial"/>
              </w:rPr>
            </w:pPr>
            <w:proofErr w:type="spellStart"/>
            <w:r>
              <w:rPr>
                <w:rFonts w:ascii="Calibri" w:hAnsi="Calibri" w:cs="Calibri"/>
              </w:rPr>
              <w:t>SciVal</w:t>
            </w:r>
            <w:proofErr w:type="spellEnd"/>
            <w:r>
              <w:rPr>
                <w:rFonts w:ascii="Calibri" w:hAnsi="Calibri" w:cs="Calibri"/>
              </w:rPr>
              <w:t xml:space="preserve">. </w:t>
            </w:r>
            <w:r>
              <w:rPr>
                <w:rFonts w:ascii="Calibri" w:hAnsi="Calibri" w:cs="Calibri"/>
                <w:i/>
                <w:iCs/>
              </w:rPr>
              <w:t>Collaboration by Australia</w:t>
            </w:r>
            <w:r>
              <w:rPr>
                <w:rFonts w:ascii="Calibri" w:hAnsi="Calibri" w:cs="Calibri"/>
              </w:rPr>
              <w:t xml:space="preserve"> [data set], (2023) accessed 19 December 2023, </w:t>
            </w:r>
            <w:hyperlink r:id="rId408" w:history="1">
              <w:r w:rsidR="00BE7A0E" w:rsidRPr="00A8752B">
                <w:rPr>
                  <w:rStyle w:val="Hyperlink"/>
                  <w:rFonts w:ascii="Calibri" w:hAnsi="Calibri" w:cs="Calibri"/>
                </w:rPr>
                <w:t>www.scival.com/collaboration/collabMetrics?uri=Country/36</w:t>
              </w:r>
            </w:hyperlink>
            <w:r w:rsidR="00BE7A0E">
              <w:rPr>
                <w:rFonts w:ascii="Calibri" w:hAnsi="Calibri" w:cs="Calibri"/>
              </w:rPr>
              <w:t xml:space="preserve">. </w:t>
            </w:r>
          </w:p>
        </w:tc>
      </w:tr>
      <w:tr w:rsidR="002D6F5F" w:rsidRPr="002D6F5F" w14:paraId="5D95FAB1" w14:textId="77777777" w:rsidTr="001B1DB2">
        <w:tc>
          <w:tcPr>
            <w:tcW w:w="9026" w:type="dxa"/>
            <w:vAlign w:val="center"/>
            <w:hideMark/>
          </w:tcPr>
          <w:p w14:paraId="7A1DA027" w14:textId="6095B327" w:rsidR="002D6F5F" w:rsidRPr="002D6F5F" w:rsidRDefault="00D56C32" w:rsidP="0077616C">
            <w:pPr>
              <w:rPr>
                <w:rFonts w:cs="Arial"/>
              </w:rPr>
            </w:pPr>
            <w:r>
              <w:rPr>
                <w:rFonts w:ascii="Calibri" w:hAnsi="Calibri" w:cs="Calibri"/>
              </w:rPr>
              <w:t>Seal, Alexa N</w:t>
            </w:r>
            <w:r w:rsidR="0040381D" w:rsidRPr="0040381D">
              <w:rPr>
                <w:rFonts w:ascii="Calibri" w:hAnsi="Calibri" w:cs="Calibri"/>
              </w:rPr>
              <w:t>.; Playford, Denese; McGrail, Matthew R.; Fuller, Lara; Allen, Penny L.; Burrows, Julie M.; Wright, Julian R.; Bain-Donohue, Suzanne; Garne, David; Major, Laura G. and Luscombe, Georgina M</w:t>
            </w:r>
            <w:r>
              <w:rPr>
                <w:rFonts w:ascii="Calibri" w:hAnsi="Calibri" w:cs="Calibri"/>
              </w:rPr>
              <w:t xml:space="preserve">. “Influence of rural clinical school experience and rural origin on practising in rural communities five and eight years after graduation,” </w:t>
            </w:r>
            <w:r>
              <w:rPr>
                <w:rFonts w:ascii="Calibri" w:hAnsi="Calibri" w:cs="Calibri"/>
                <w:i/>
                <w:iCs/>
              </w:rPr>
              <w:t>Medical Journal of Australia</w:t>
            </w:r>
            <w:r>
              <w:rPr>
                <w:rFonts w:ascii="Calibri" w:hAnsi="Calibri" w:cs="Calibri"/>
              </w:rPr>
              <w:t xml:space="preserve"> 206, 11, (11 April 2022), </w:t>
            </w:r>
            <w:hyperlink r:id="rId409" w:history="1">
              <w:r w:rsidR="00446E9C" w:rsidRPr="00A8752B">
                <w:rPr>
                  <w:rStyle w:val="Hyperlink"/>
                  <w:rFonts w:ascii="Calibri" w:hAnsi="Calibri" w:cs="Calibri"/>
                </w:rPr>
                <w:t>doi.org/10.5694/mja2.51476</w:t>
              </w:r>
            </w:hyperlink>
            <w:r w:rsidR="00446E9C">
              <w:rPr>
                <w:rFonts w:ascii="Calibri" w:hAnsi="Calibri" w:cs="Calibri"/>
              </w:rPr>
              <w:t xml:space="preserve">. </w:t>
            </w:r>
          </w:p>
        </w:tc>
      </w:tr>
      <w:tr w:rsidR="002D6F5F" w:rsidRPr="002D6F5F" w14:paraId="0D6044D2" w14:textId="77777777" w:rsidTr="001B1DB2">
        <w:tc>
          <w:tcPr>
            <w:tcW w:w="9026" w:type="dxa"/>
            <w:vAlign w:val="bottom"/>
            <w:hideMark/>
          </w:tcPr>
          <w:p w14:paraId="5DBF4253" w14:textId="61789192" w:rsidR="002D6F5F" w:rsidRPr="002D6F5F" w:rsidRDefault="00D56C32" w:rsidP="0077616C">
            <w:pPr>
              <w:rPr>
                <w:rFonts w:cs="Arial"/>
              </w:rPr>
            </w:pPr>
            <w:r>
              <w:rPr>
                <w:rFonts w:ascii="Calibri" w:hAnsi="Calibri" w:cs="Calibri"/>
              </w:rPr>
              <w:t xml:space="preserve">Services Australia. “Income Bank,” revised 10 December 2021, </w:t>
            </w:r>
            <w:hyperlink r:id="rId410" w:history="1">
              <w:r w:rsidR="00F07A14" w:rsidRPr="00A8752B">
                <w:rPr>
                  <w:rStyle w:val="Hyperlink"/>
                  <w:rFonts w:ascii="Calibri" w:hAnsi="Calibri" w:cs="Calibri"/>
                </w:rPr>
                <w:t>www.servicesaustralia.gov.au‌/income-bank</w:t>
              </w:r>
            </w:hyperlink>
            <w:r w:rsidR="00446E9C">
              <w:rPr>
                <w:rFonts w:ascii="Calibri" w:hAnsi="Calibri" w:cs="Calibri"/>
              </w:rPr>
              <w:t xml:space="preserve">. </w:t>
            </w:r>
          </w:p>
        </w:tc>
      </w:tr>
      <w:tr w:rsidR="002D6F5F" w:rsidRPr="002D6F5F" w14:paraId="5625021A" w14:textId="77777777" w:rsidTr="001B1DB2">
        <w:tc>
          <w:tcPr>
            <w:tcW w:w="9026" w:type="dxa"/>
            <w:vAlign w:val="center"/>
            <w:hideMark/>
          </w:tcPr>
          <w:p w14:paraId="413CD786" w14:textId="2DC61A2D" w:rsidR="002D6F5F" w:rsidRPr="002D6F5F" w:rsidRDefault="00D56C32" w:rsidP="0077616C">
            <w:pPr>
              <w:rPr>
                <w:rFonts w:cs="Arial"/>
              </w:rPr>
            </w:pPr>
            <w:r>
              <w:rPr>
                <w:rFonts w:ascii="Calibri" w:hAnsi="Calibri" w:cs="Calibri"/>
              </w:rPr>
              <w:t xml:space="preserve">Services Australia. “Income test for </w:t>
            </w:r>
            <w:proofErr w:type="spellStart"/>
            <w:r>
              <w:rPr>
                <w:rFonts w:ascii="Calibri" w:hAnsi="Calibri" w:cs="Calibri"/>
              </w:rPr>
              <w:t>JobSeeker</w:t>
            </w:r>
            <w:proofErr w:type="spellEnd"/>
            <w:r>
              <w:rPr>
                <w:rFonts w:ascii="Calibri" w:hAnsi="Calibri" w:cs="Calibri"/>
              </w:rPr>
              <w:t xml:space="preserve"> Payment,” revised 28 September 2023, </w:t>
            </w:r>
            <w:hyperlink r:id="rId411" w:history="1">
              <w:r w:rsidR="001D4951" w:rsidRPr="00A8752B">
                <w:rPr>
                  <w:rStyle w:val="Hyperlink"/>
                  <w:rFonts w:ascii="Calibri" w:hAnsi="Calibri" w:cs="Calibri"/>
                </w:rPr>
                <w:t>www.servicesaustralia.gov.au/income-test-for-jobseeker-payment</w:t>
              </w:r>
            </w:hyperlink>
            <w:r w:rsidR="00F07A14">
              <w:rPr>
                <w:rFonts w:ascii="Calibri" w:hAnsi="Calibri" w:cs="Calibri"/>
              </w:rPr>
              <w:t xml:space="preserve">. </w:t>
            </w:r>
          </w:p>
        </w:tc>
      </w:tr>
      <w:tr w:rsidR="002D6F5F" w:rsidRPr="002D6F5F" w14:paraId="5EF0441F" w14:textId="77777777" w:rsidTr="001B1DB2">
        <w:tc>
          <w:tcPr>
            <w:tcW w:w="9026" w:type="dxa"/>
            <w:vAlign w:val="bottom"/>
            <w:hideMark/>
          </w:tcPr>
          <w:p w14:paraId="64CE71CA" w14:textId="05CB329E" w:rsidR="002D6F5F" w:rsidRPr="002D6F5F" w:rsidRDefault="00D56C32" w:rsidP="0077616C">
            <w:pPr>
              <w:rPr>
                <w:rFonts w:cs="Arial"/>
              </w:rPr>
            </w:pPr>
            <w:r>
              <w:rPr>
                <w:rFonts w:ascii="Calibri" w:hAnsi="Calibri" w:cs="Calibri"/>
              </w:rPr>
              <w:t xml:space="preserve">Sheil, Margaret; Dodds, Susan and Hutchinson, Mark. </w:t>
            </w:r>
            <w:r>
              <w:rPr>
                <w:rFonts w:ascii="Calibri" w:hAnsi="Calibri" w:cs="Calibri"/>
                <w:i/>
                <w:iCs/>
              </w:rPr>
              <w:t>Trusting Australia's Ability: Review of the Australian Research Council Act 2001 Final Report</w:t>
            </w:r>
            <w:r>
              <w:rPr>
                <w:rFonts w:ascii="Calibri" w:hAnsi="Calibri" w:cs="Calibri"/>
              </w:rPr>
              <w:t xml:space="preserve"> (Canberra: Department of Education, March 2023), </w:t>
            </w:r>
            <w:hyperlink r:id="rId412" w:history="1">
              <w:r w:rsidR="006908BB" w:rsidRPr="00A8752B">
                <w:rPr>
                  <w:rStyle w:val="Hyperlink"/>
                  <w:rFonts w:ascii="Calibri" w:hAnsi="Calibri" w:cs="Calibri"/>
                </w:rPr>
                <w:t>www.education.gov.au/higher-education-reviews-and-consultations/resources/trusting-australias-ability-review-australian-research-council-act-2001</w:t>
              </w:r>
            </w:hyperlink>
            <w:r w:rsidR="006908BB">
              <w:rPr>
                <w:rFonts w:ascii="Calibri" w:hAnsi="Calibri" w:cs="Calibri"/>
              </w:rPr>
              <w:t xml:space="preserve">. </w:t>
            </w:r>
          </w:p>
        </w:tc>
      </w:tr>
      <w:tr w:rsidR="002D6F5F" w:rsidRPr="002D6F5F" w14:paraId="36524DC0" w14:textId="77777777" w:rsidTr="001B1DB2">
        <w:tc>
          <w:tcPr>
            <w:tcW w:w="9026" w:type="dxa"/>
            <w:vAlign w:val="bottom"/>
            <w:hideMark/>
          </w:tcPr>
          <w:p w14:paraId="42724F20" w14:textId="6E92331D" w:rsidR="002D6F5F" w:rsidRPr="002D6F5F" w:rsidRDefault="00D56C32" w:rsidP="0077616C">
            <w:pPr>
              <w:rPr>
                <w:rFonts w:cs="Arial"/>
              </w:rPr>
            </w:pPr>
            <w:proofErr w:type="spellStart"/>
            <w:r>
              <w:rPr>
                <w:rFonts w:ascii="Calibri" w:hAnsi="Calibri" w:cs="Calibri"/>
              </w:rPr>
              <w:t>Shergold</w:t>
            </w:r>
            <w:proofErr w:type="spellEnd"/>
            <w:r>
              <w:rPr>
                <w:rFonts w:ascii="Calibri" w:hAnsi="Calibri" w:cs="Calibri"/>
              </w:rPr>
              <w:t>, Peter and Gonski, David. I</w:t>
            </w:r>
            <w:r>
              <w:rPr>
                <w:rFonts w:ascii="Calibri" w:hAnsi="Calibri" w:cs="Calibri"/>
                <w:i/>
                <w:iCs/>
              </w:rPr>
              <w:t>n the same sentence: Bringing higher and vocational education together</w:t>
            </w:r>
            <w:r>
              <w:rPr>
                <w:rFonts w:ascii="Calibri" w:hAnsi="Calibri" w:cs="Calibri"/>
              </w:rPr>
              <w:t xml:space="preserve">, (NSW: NSW Government, 2021), </w:t>
            </w:r>
            <w:hyperlink r:id="rId413" w:history="1">
              <w:r w:rsidR="001D4951" w:rsidRPr="00A8752B">
                <w:rPr>
                  <w:rStyle w:val="Hyperlink"/>
                  <w:rFonts w:ascii="Calibri" w:hAnsi="Calibri" w:cs="Calibri"/>
                </w:rPr>
                <w:t>education.nsw.gov.au/about-us/strategies-and-reports/our-reports-and-reviews/review-on-the-nsw-vocational-education-and-training-sector</w:t>
              </w:r>
            </w:hyperlink>
            <w:r w:rsidR="001D4951">
              <w:rPr>
                <w:rFonts w:ascii="Calibri" w:hAnsi="Calibri" w:cs="Calibri"/>
              </w:rPr>
              <w:t xml:space="preserve">. </w:t>
            </w:r>
          </w:p>
        </w:tc>
      </w:tr>
      <w:tr w:rsidR="002D6F5F" w:rsidRPr="002D6F5F" w14:paraId="023FB6F2" w14:textId="77777777" w:rsidTr="001B1DB2">
        <w:tc>
          <w:tcPr>
            <w:tcW w:w="9026" w:type="dxa"/>
            <w:vAlign w:val="center"/>
            <w:hideMark/>
          </w:tcPr>
          <w:p w14:paraId="0E7D9166" w14:textId="1993A231" w:rsidR="002D6F5F" w:rsidRPr="002D6F5F" w:rsidRDefault="00D56C32" w:rsidP="0077616C">
            <w:pPr>
              <w:rPr>
                <w:rFonts w:cs="Arial"/>
              </w:rPr>
            </w:pPr>
            <w:proofErr w:type="spellStart"/>
            <w:r>
              <w:rPr>
                <w:rFonts w:ascii="Calibri" w:hAnsi="Calibri" w:cs="Calibri"/>
              </w:rPr>
              <w:t>Shergold</w:t>
            </w:r>
            <w:proofErr w:type="spellEnd"/>
            <w:r>
              <w:rPr>
                <w:rFonts w:ascii="Calibri" w:hAnsi="Calibri" w:cs="Calibri"/>
              </w:rPr>
              <w:t>, Peter</w:t>
            </w:r>
            <w:r w:rsidR="00B97502" w:rsidRPr="00B97502">
              <w:rPr>
                <w:rFonts w:ascii="Calibri" w:hAnsi="Calibri" w:cs="Calibri"/>
              </w:rPr>
              <w:t xml:space="preserve">; Calma, Tom; Russo, Sarina; Walton, Patrea; </w:t>
            </w:r>
            <w:proofErr w:type="spellStart"/>
            <w:r w:rsidR="00B97502" w:rsidRPr="00B97502">
              <w:rPr>
                <w:rFonts w:ascii="Calibri" w:hAnsi="Calibri" w:cs="Calibri"/>
              </w:rPr>
              <w:t>Westacott</w:t>
            </w:r>
            <w:proofErr w:type="spellEnd"/>
            <w:r w:rsidR="00B97502" w:rsidRPr="00B97502">
              <w:rPr>
                <w:rFonts w:ascii="Calibri" w:hAnsi="Calibri" w:cs="Calibri"/>
              </w:rPr>
              <w:t>, Jennifer; Zoellner, Don and O’Reilly, Patrick</w:t>
            </w:r>
            <w:r>
              <w:rPr>
                <w:rFonts w:ascii="Calibri" w:hAnsi="Calibri" w:cs="Calibri"/>
              </w:rPr>
              <w:t xml:space="preserve">. </w:t>
            </w:r>
            <w:r>
              <w:rPr>
                <w:rFonts w:ascii="Calibri" w:hAnsi="Calibri" w:cs="Calibri"/>
                <w:i/>
                <w:iCs/>
              </w:rPr>
              <w:t>Looking to the future: Report of the Review of senior secondary pathways into work, further education and training</w:t>
            </w:r>
            <w:r>
              <w:rPr>
                <w:rFonts w:ascii="Calibri" w:hAnsi="Calibri" w:cs="Calibri"/>
              </w:rPr>
              <w:t xml:space="preserve">, (Canberra: Education Council Australia, June 2020), </w:t>
            </w:r>
            <w:hyperlink r:id="rId414" w:history="1">
              <w:r w:rsidR="00EC00AE" w:rsidRPr="00A8752B">
                <w:rPr>
                  <w:rStyle w:val="Hyperlink"/>
                  <w:rFonts w:ascii="Calibri" w:hAnsi="Calibri" w:cs="Calibri"/>
                </w:rPr>
                <w:t>www.education.gov.au/quality-schools-package/resources/looking-future-report-review-senior-secondary-pathways-work-further-education-and-training</w:t>
              </w:r>
            </w:hyperlink>
            <w:r w:rsidR="00EC00AE">
              <w:rPr>
                <w:rFonts w:ascii="Calibri" w:hAnsi="Calibri" w:cs="Calibri"/>
              </w:rPr>
              <w:t xml:space="preserve">. </w:t>
            </w:r>
          </w:p>
        </w:tc>
      </w:tr>
      <w:tr w:rsidR="002D6F5F" w:rsidRPr="002D6F5F" w14:paraId="59AE1B16" w14:textId="77777777" w:rsidTr="001B1DB2">
        <w:tc>
          <w:tcPr>
            <w:tcW w:w="9026" w:type="dxa"/>
            <w:vAlign w:val="center"/>
            <w:hideMark/>
          </w:tcPr>
          <w:p w14:paraId="615A20ED" w14:textId="25AEAFCF" w:rsidR="002D6F5F" w:rsidRPr="002D6F5F" w:rsidRDefault="00D56C32" w:rsidP="0077616C">
            <w:pPr>
              <w:rPr>
                <w:rFonts w:cs="Arial"/>
              </w:rPr>
            </w:pPr>
            <w:r>
              <w:rPr>
                <w:rFonts w:ascii="Calibri" w:hAnsi="Calibri" w:cs="Calibri"/>
              </w:rPr>
              <w:t>Southgate, Erica. “Submission to The House Standing Committee on Employment, Education and Training Inquiry into the use of generative artificial intelligence in the Australian education system,” (2023).</w:t>
            </w:r>
          </w:p>
        </w:tc>
      </w:tr>
      <w:tr w:rsidR="002D6F5F" w:rsidRPr="002D6F5F" w14:paraId="6E6C7E13" w14:textId="77777777" w:rsidTr="001B1DB2">
        <w:tc>
          <w:tcPr>
            <w:tcW w:w="9026" w:type="dxa"/>
            <w:vAlign w:val="bottom"/>
            <w:hideMark/>
          </w:tcPr>
          <w:p w14:paraId="0751F68F" w14:textId="70A65F60" w:rsidR="002D6F5F" w:rsidRPr="002D6F5F" w:rsidRDefault="00D56C32" w:rsidP="0077616C">
            <w:pPr>
              <w:rPr>
                <w:rFonts w:cs="Arial"/>
              </w:rPr>
            </w:pPr>
            <w:r>
              <w:rPr>
                <w:rFonts w:ascii="Calibri" w:hAnsi="Calibri" w:cs="Calibri"/>
              </w:rPr>
              <w:t>Stone, Cathy</w:t>
            </w:r>
            <w:r w:rsidR="007D11C6">
              <w:rPr>
                <w:rFonts w:ascii="Calibri" w:hAnsi="Calibri" w:cs="Calibri"/>
              </w:rPr>
              <w:t>;</w:t>
            </w:r>
            <w:r w:rsidR="007D11C6">
              <w:t xml:space="preserve"> </w:t>
            </w:r>
            <w:r w:rsidR="007D11C6" w:rsidRPr="007D11C6">
              <w:rPr>
                <w:rFonts w:ascii="Calibri" w:hAnsi="Calibri" w:cs="Calibri"/>
              </w:rPr>
              <w:t>Crawford, Nicole; Ronan, Chris and Davis, Monica</w:t>
            </w:r>
            <w:r>
              <w:rPr>
                <w:rFonts w:ascii="Calibri" w:hAnsi="Calibri" w:cs="Calibri"/>
              </w:rPr>
              <w:t xml:space="preserve">. “Improving the Online Regional Student Experience: Findings from the Country University Centre (CUC) Student Evaluation, A Practice Report,” </w:t>
            </w:r>
            <w:r>
              <w:rPr>
                <w:rFonts w:ascii="Calibri" w:hAnsi="Calibri" w:cs="Calibri"/>
                <w:i/>
                <w:iCs/>
              </w:rPr>
              <w:t>Student Success</w:t>
            </w:r>
            <w:r>
              <w:rPr>
                <w:rFonts w:ascii="Calibri" w:hAnsi="Calibri" w:cs="Calibri"/>
              </w:rPr>
              <w:t xml:space="preserve">, 13, 2 (2022) </w:t>
            </w:r>
            <w:hyperlink r:id="rId415" w:history="1">
              <w:r w:rsidR="00EC00AE" w:rsidRPr="00A8752B">
                <w:rPr>
                  <w:rStyle w:val="Hyperlink"/>
                  <w:rFonts w:ascii="Calibri" w:hAnsi="Calibri" w:cs="Calibri"/>
                </w:rPr>
                <w:t>doi.org/10.5204/ssj.2313</w:t>
              </w:r>
            </w:hyperlink>
            <w:r w:rsidR="00EC00AE">
              <w:rPr>
                <w:rFonts w:ascii="Calibri" w:hAnsi="Calibri" w:cs="Calibri"/>
              </w:rPr>
              <w:t xml:space="preserve">. </w:t>
            </w:r>
          </w:p>
        </w:tc>
      </w:tr>
      <w:tr w:rsidR="002D6F5F" w:rsidRPr="002D6F5F" w14:paraId="1577A06D" w14:textId="77777777" w:rsidTr="001B1DB2">
        <w:tc>
          <w:tcPr>
            <w:tcW w:w="9026" w:type="dxa"/>
            <w:vAlign w:val="bottom"/>
            <w:hideMark/>
          </w:tcPr>
          <w:p w14:paraId="532D8C99" w14:textId="02B3BBCD" w:rsidR="002D6F5F" w:rsidRPr="002D6F5F" w:rsidRDefault="00D56C32" w:rsidP="0077616C">
            <w:pPr>
              <w:rPr>
                <w:rFonts w:cs="Arial"/>
              </w:rPr>
            </w:pPr>
            <w:r>
              <w:rPr>
                <w:rFonts w:ascii="Calibri" w:hAnsi="Calibri" w:cs="Calibri"/>
              </w:rPr>
              <w:t xml:space="preserve">Study Gold Coast. “Host for the Coast,” 2023, accessed 13 December 2023, </w:t>
            </w:r>
            <w:hyperlink r:id="rId416" w:history="1">
              <w:r w:rsidR="00EC00AE" w:rsidRPr="00A8752B">
                <w:rPr>
                  <w:rStyle w:val="Hyperlink"/>
                  <w:rFonts w:ascii="Calibri" w:hAnsi="Calibri" w:cs="Calibri"/>
                </w:rPr>
                <w:t>www.studygoldcoast.org.au/host-for-the-coast/</w:t>
              </w:r>
            </w:hyperlink>
            <w:r w:rsidR="00EC00AE">
              <w:rPr>
                <w:rFonts w:ascii="Calibri" w:hAnsi="Calibri" w:cs="Calibri"/>
              </w:rPr>
              <w:t xml:space="preserve">. </w:t>
            </w:r>
            <w:r>
              <w:rPr>
                <w:rFonts w:ascii="Calibri" w:hAnsi="Calibri" w:cs="Calibri"/>
              </w:rPr>
              <w:t xml:space="preserve"> </w:t>
            </w:r>
          </w:p>
        </w:tc>
      </w:tr>
      <w:tr w:rsidR="002D6F5F" w:rsidRPr="002D6F5F" w14:paraId="52FE0D0B" w14:textId="77777777" w:rsidTr="001B1DB2">
        <w:tc>
          <w:tcPr>
            <w:tcW w:w="9026" w:type="dxa"/>
            <w:vAlign w:val="bottom"/>
            <w:hideMark/>
          </w:tcPr>
          <w:p w14:paraId="29523D15" w14:textId="595F2D41" w:rsidR="002D6F5F" w:rsidRPr="002D6F5F" w:rsidRDefault="00D56C32" w:rsidP="0077616C">
            <w:pPr>
              <w:rPr>
                <w:rFonts w:cs="Arial"/>
              </w:rPr>
            </w:pPr>
            <w:r>
              <w:rPr>
                <w:rFonts w:ascii="Calibri" w:hAnsi="Calibri" w:cs="Calibri"/>
              </w:rPr>
              <w:lastRenderedPageBreak/>
              <w:t>Syme, Suzi</w:t>
            </w:r>
            <w:r w:rsidR="002F6AB2">
              <w:rPr>
                <w:rFonts w:ascii="Calibri" w:hAnsi="Calibri" w:cs="Calibri"/>
              </w:rPr>
              <w:t>;</w:t>
            </w:r>
            <w:r w:rsidR="002F6AB2">
              <w:t xml:space="preserve"> </w:t>
            </w:r>
            <w:r w:rsidR="002F6AB2" w:rsidRPr="002F6AB2">
              <w:rPr>
                <w:rFonts w:ascii="Calibri" w:hAnsi="Calibri" w:cs="Calibri"/>
              </w:rPr>
              <w:t>Roche, Thomas; Goode, Elizabeth and Crandon, Erin</w:t>
            </w:r>
            <w:r>
              <w:rPr>
                <w:rFonts w:ascii="Calibri" w:hAnsi="Calibri" w:cs="Calibri"/>
              </w:rPr>
              <w:t xml:space="preserve">. “Transforming lives: the power of an Australian enabling education,” </w:t>
            </w:r>
            <w:r>
              <w:rPr>
                <w:rFonts w:ascii="Calibri" w:hAnsi="Calibri" w:cs="Calibri"/>
                <w:i/>
                <w:iCs/>
              </w:rPr>
              <w:t>Higher Education Research &amp; Development</w:t>
            </w:r>
            <w:r>
              <w:rPr>
                <w:rFonts w:ascii="Calibri" w:hAnsi="Calibri" w:cs="Calibri"/>
              </w:rPr>
              <w:t xml:space="preserve">, 41, 7 (2022), 2426-2440, </w:t>
            </w:r>
            <w:hyperlink r:id="rId417" w:history="1">
              <w:r w:rsidR="005430E3" w:rsidRPr="00A8752B">
                <w:rPr>
                  <w:rStyle w:val="Hyperlink"/>
                  <w:rFonts w:ascii="Calibri" w:hAnsi="Calibri" w:cs="Calibri"/>
                </w:rPr>
                <w:t>doi.org/10.1080/07294360.2021.1990222</w:t>
              </w:r>
            </w:hyperlink>
            <w:r w:rsidR="005430E3">
              <w:rPr>
                <w:rFonts w:ascii="Calibri" w:hAnsi="Calibri" w:cs="Calibri"/>
              </w:rPr>
              <w:t xml:space="preserve">. </w:t>
            </w:r>
          </w:p>
        </w:tc>
      </w:tr>
      <w:tr w:rsidR="002D6F5F" w:rsidRPr="002D6F5F" w14:paraId="041F871D" w14:textId="77777777" w:rsidTr="001B1DB2">
        <w:tc>
          <w:tcPr>
            <w:tcW w:w="9026" w:type="dxa"/>
            <w:vAlign w:val="bottom"/>
            <w:hideMark/>
          </w:tcPr>
          <w:p w14:paraId="77474499" w14:textId="1EB8758A" w:rsidR="002D6F5F" w:rsidRPr="002D6F5F" w:rsidRDefault="00D56C32" w:rsidP="0077616C">
            <w:pPr>
              <w:rPr>
                <w:rFonts w:cs="Arial"/>
              </w:rPr>
            </w:pPr>
            <w:r>
              <w:rPr>
                <w:rFonts w:ascii="Calibri" w:hAnsi="Calibri" w:cs="Calibri"/>
              </w:rPr>
              <w:t xml:space="preserve">TAFE Queensland. “The Queensland Future Skills Partnership,” accessed 20 November 2023, </w:t>
            </w:r>
            <w:hyperlink r:id="rId418" w:history="1">
              <w:r w:rsidR="005430E3" w:rsidRPr="00A8752B">
                <w:rPr>
                  <w:rStyle w:val="Hyperlink"/>
                  <w:rFonts w:ascii="Calibri" w:hAnsi="Calibri" w:cs="Calibri"/>
                </w:rPr>
                <w:t>tafeqld.edu.au/campaigns/</w:t>
              </w:r>
              <w:proofErr w:type="spellStart"/>
              <w:r w:rsidR="005430E3" w:rsidRPr="00A8752B">
                <w:rPr>
                  <w:rStyle w:val="Hyperlink"/>
                  <w:rFonts w:ascii="Calibri" w:hAnsi="Calibri" w:cs="Calibri"/>
                </w:rPr>
                <w:t>queensland</w:t>
              </w:r>
              <w:proofErr w:type="spellEnd"/>
              <w:r w:rsidR="005430E3" w:rsidRPr="00A8752B">
                <w:rPr>
                  <w:rStyle w:val="Hyperlink"/>
                  <w:rFonts w:ascii="Calibri" w:hAnsi="Calibri" w:cs="Calibri"/>
                </w:rPr>
                <w:t>-future-skills-partnership</w:t>
              </w:r>
            </w:hyperlink>
            <w:r w:rsidR="005430E3">
              <w:rPr>
                <w:rFonts w:ascii="Calibri" w:hAnsi="Calibri" w:cs="Calibri"/>
              </w:rPr>
              <w:t xml:space="preserve">. </w:t>
            </w:r>
          </w:p>
        </w:tc>
      </w:tr>
      <w:tr w:rsidR="002D6F5F" w:rsidRPr="002D6F5F" w14:paraId="352A977C" w14:textId="77777777" w:rsidTr="001B1DB2">
        <w:tc>
          <w:tcPr>
            <w:tcW w:w="9026" w:type="dxa"/>
            <w:vAlign w:val="bottom"/>
            <w:hideMark/>
          </w:tcPr>
          <w:p w14:paraId="488F1BCE" w14:textId="5EDB5F1D" w:rsidR="002D6F5F" w:rsidRPr="002D6F5F" w:rsidRDefault="00D56C32" w:rsidP="0077616C">
            <w:pPr>
              <w:rPr>
                <w:rFonts w:cs="Arial"/>
              </w:rPr>
            </w:pPr>
            <w:r>
              <w:rPr>
                <w:rFonts w:ascii="Calibri" w:hAnsi="Calibri" w:cs="Calibri"/>
              </w:rPr>
              <w:t xml:space="preserve">TEQSA. “Guidance note: Nested courses of study,” accessed 10 December 2023, </w:t>
            </w:r>
            <w:hyperlink r:id="rId419" w:history="1">
              <w:r w:rsidR="005430E3" w:rsidRPr="00A8752B">
                <w:rPr>
                  <w:rStyle w:val="Hyperlink"/>
                  <w:rFonts w:ascii="Calibri" w:hAnsi="Calibri" w:cs="Calibri"/>
                </w:rPr>
                <w:t>www.teqsa.gov.au/guides-resources/resources/guidance-notes/guidance-note-nested-courses-study</w:t>
              </w:r>
            </w:hyperlink>
            <w:r w:rsidR="005430E3">
              <w:rPr>
                <w:rFonts w:ascii="Calibri" w:hAnsi="Calibri" w:cs="Calibri"/>
              </w:rPr>
              <w:t xml:space="preserve">. </w:t>
            </w:r>
          </w:p>
        </w:tc>
      </w:tr>
      <w:tr w:rsidR="002D6F5F" w:rsidRPr="002D6F5F" w14:paraId="798013A2" w14:textId="77777777" w:rsidTr="001B1DB2">
        <w:tc>
          <w:tcPr>
            <w:tcW w:w="9026" w:type="dxa"/>
            <w:vAlign w:val="center"/>
            <w:hideMark/>
          </w:tcPr>
          <w:p w14:paraId="3E024E3B" w14:textId="4C6C4CC6" w:rsidR="002D6F5F" w:rsidRPr="002D6F5F" w:rsidRDefault="00D56C32" w:rsidP="0077616C">
            <w:pPr>
              <w:rPr>
                <w:rFonts w:cs="Arial"/>
              </w:rPr>
            </w:pPr>
            <w:r>
              <w:rPr>
                <w:rFonts w:ascii="Calibri" w:hAnsi="Calibri" w:cs="Calibri"/>
              </w:rPr>
              <w:t xml:space="preserve">TEQSA. “National Register,” Tertiary Education Quality and Standards Agency, accessed 7 November 2023, </w:t>
            </w:r>
            <w:hyperlink r:id="rId420" w:history="1">
              <w:r w:rsidR="005430E3" w:rsidRPr="00A8752B">
                <w:rPr>
                  <w:rStyle w:val="Hyperlink"/>
                  <w:rFonts w:ascii="Calibri" w:hAnsi="Calibri" w:cs="Calibri"/>
                </w:rPr>
                <w:t>www.teqsa.gov.au/national-register</w:t>
              </w:r>
            </w:hyperlink>
            <w:r w:rsidR="005430E3">
              <w:rPr>
                <w:rFonts w:ascii="Calibri" w:hAnsi="Calibri" w:cs="Calibri"/>
              </w:rPr>
              <w:t xml:space="preserve">. </w:t>
            </w:r>
          </w:p>
        </w:tc>
      </w:tr>
      <w:tr w:rsidR="002D6F5F" w:rsidRPr="002D6F5F" w14:paraId="1F5530DF" w14:textId="77777777" w:rsidTr="001B1DB2">
        <w:tc>
          <w:tcPr>
            <w:tcW w:w="9026" w:type="dxa"/>
            <w:vAlign w:val="bottom"/>
            <w:hideMark/>
          </w:tcPr>
          <w:p w14:paraId="417E24C3" w14:textId="474A56EB" w:rsidR="002D6F5F" w:rsidRPr="002D6F5F" w:rsidRDefault="00D56C32" w:rsidP="0077616C">
            <w:pPr>
              <w:rPr>
                <w:rFonts w:cs="Arial"/>
              </w:rPr>
            </w:pPr>
            <w:r>
              <w:rPr>
                <w:rFonts w:ascii="Calibri" w:hAnsi="Calibri" w:cs="Calibri"/>
              </w:rPr>
              <w:t xml:space="preserve">The Lismore App. “Lismore’s SCU Temporary </w:t>
            </w:r>
            <w:proofErr w:type="spellStart"/>
            <w:r>
              <w:rPr>
                <w:rFonts w:ascii="Calibri" w:hAnsi="Calibri" w:cs="Calibri"/>
              </w:rPr>
              <w:t>HoMe</w:t>
            </w:r>
            <w:proofErr w:type="spellEnd"/>
            <w:r>
              <w:rPr>
                <w:rFonts w:ascii="Calibri" w:hAnsi="Calibri" w:cs="Calibri"/>
              </w:rPr>
              <w:t xml:space="preserve"> site now open for flood-impacted residents,” </w:t>
            </w:r>
            <w:r>
              <w:rPr>
                <w:rFonts w:ascii="Calibri" w:hAnsi="Calibri" w:cs="Calibri"/>
                <w:i/>
                <w:iCs/>
              </w:rPr>
              <w:t>The Lismore App</w:t>
            </w:r>
            <w:r>
              <w:rPr>
                <w:rFonts w:ascii="Calibri" w:hAnsi="Calibri" w:cs="Calibri"/>
              </w:rPr>
              <w:t xml:space="preserve">, (Lismore: 30 November 2023), accessed 6 December 2023, </w:t>
            </w:r>
            <w:hyperlink r:id="rId421" w:history="1">
              <w:r w:rsidR="005430E3" w:rsidRPr="00A8752B">
                <w:rPr>
                  <w:rStyle w:val="Hyperlink"/>
                  <w:rFonts w:ascii="Calibri" w:hAnsi="Calibri" w:cs="Calibri"/>
                </w:rPr>
                <w:t>lismoreapp.com.au/news-sport/news/lismores-scu-temporary-home-site-now-open-for-flood-impacted-residents?id=63866b690ea5fe0150859a85</w:t>
              </w:r>
            </w:hyperlink>
            <w:r w:rsidR="005430E3">
              <w:rPr>
                <w:rFonts w:ascii="Calibri" w:hAnsi="Calibri" w:cs="Calibri"/>
              </w:rPr>
              <w:t xml:space="preserve">. </w:t>
            </w:r>
          </w:p>
        </w:tc>
      </w:tr>
      <w:tr w:rsidR="002D6F5F" w:rsidRPr="002D6F5F" w14:paraId="2478A2A0" w14:textId="77777777" w:rsidTr="001B1DB2">
        <w:tc>
          <w:tcPr>
            <w:tcW w:w="9026" w:type="dxa"/>
            <w:vAlign w:val="bottom"/>
            <w:hideMark/>
          </w:tcPr>
          <w:p w14:paraId="2240A14C" w14:textId="41263628" w:rsidR="002D6F5F" w:rsidRPr="002D6F5F" w:rsidRDefault="00D56C32" w:rsidP="0077616C">
            <w:pPr>
              <w:rPr>
                <w:rFonts w:cs="Arial"/>
              </w:rPr>
            </w:pPr>
            <w:r>
              <w:rPr>
                <w:rFonts w:ascii="Calibri" w:hAnsi="Calibri" w:cs="Calibri"/>
              </w:rPr>
              <w:t xml:space="preserve">The Senate Legal and Constitutional Affairs References Committee. </w:t>
            </w:r>
            <w:r>
              <w:rPr>
                <w:rFonts w:ascii="Calibri" w:hAnsi="Calibri" w:cs="Calibri"/>
                <w:i/>
                <w:iCs/>
              </w:rPr>
              <w:t>Current and proposed sexual consent laws in Australia</w:t>
            </w:r>
            <w:r>
              <w:rPr>
                <w:rFonts w:ascii="Calibri" w:hAnsi="Calibri" w:cs="Calibri"/>
              </w:rPr>
              <w:t xml:space="preserve">, (Canberra: Senate Printing Unit, September 2023), </w:t>
            </w:r>
            <w:hyperlink r:id="rId422" w:history="1">
              <w:r w:rsidR="005430E3" w:rsidRPr="00A8752B">
                <w:rPr>
                  <w:rStyle w:val="Hyperlink"/>
                  <w:rFonts w:ascii="Calibri" w:hAnsi="Calibri" w:cs="Calibri"/>
                </w:rPr>
                <w:t>www.aph.‌gov‌.‌au/‌‌Parliamentar‌‌y‌_Business/Committees/Senate/Legal_and_Constitutional‌_Affairs/‌sexualcontentlaws‌/‌Report</w:t>
              </w:r>
            </w:hyperlink>
            <w:r w:rsidR="00995BDC">
              <w:rPr>
                <w:rFonts w:ascii="Calibri" w:hAnsi="Calibri" w:cs="Calibri"/>
              </w:rPr>
              <w:t>‌</w:t>
            </w:r>
            <w:r w:rsidR="005430E3">
              <w:rPr>
                <w:rFonts w:ascii="Calibri" w:hAnsi="Calibri" w:cs="Calibri"/>
              </w:rPr>
              <w:t xml:space="preserve">. </w:t>
            </w:r>
          </w:p>
        </w:tc>
      </w:tr>
      <w:tr w:rsidR="002D6F5F" w:rsidRPr="002D6F5F" w14:paraId="799B4EEF" w14:textId="77777777" w:rsidTr="001B1DB2">
        <w:tc>
          <w:tcPr>
            <w:tcW w:w="9026" w:type="dxa"/>
            <w:vAlign w:val="center"/>
            <w:hideMark/>
          </w:tcPr>
          <w:p w14:paraId="43038893" w14:textId="21C374D3" w:rsidR="002D6F5F" w:rsidRPr="002D6F5F" w:rsidRDefault="00D56C32" w:rsidP="0077616C">
            <w:pPr>
              <w:rPr>
                <w:rFonts w:cs="Arial"/>
              </w:rPr>
            </w:pPr>
            <w:r>
              <w:rPr>
                <w:rFonts w:ascii="Calibri" w:hAnsi="Calibri" w:cs="Calibri"/>
              </w:rPr>
              <w:t xml:space="preserve">The World Bank. </w:t>
            </w:r>
            <w:r>
              <w:rPr>
                <w:rFonts w:ascii="Calibri" w:hAnsi="Calibri" w:cs="Calibri"/>
                <w:i/>
                <w:iCs/>
              </w:rPr>
              <w:t xml:space="preserve">Population, total </w:t>
            </w:r>
            <w:r>
              <w:rPr>
                <w:rFonts w:ascii="Calibri" w:hAnsi="Calibri" w:cs="Calibri"/>
              </w:rPr>
              <w:t xml:space="preserve">[data set], accessed 24 November 2023, </w:t>
            </w:r>
            <w:hyperlink r:id="rId423" w:history="1">
              <w:r w:rsidR="005430E3" w:rsidRPr="00A8752B">
                <w:rPr>
                  <w:rStyle w:val="Hyperlink"/>
                  <w:rFonts w:ascii="Calibri" w:hAnsi="Calibri" w:cs="Calibri"/>
                </w:rPr>
                <w:t>data.worldbank.org/indicator/SP.POP.TOTL</w:t>
              </w:r>
            </w:hyperlink>
            <w:r w:rsidR="005430E3">
              <w:rPr>
                <w:rFonts w:ascii="Calibri" w:hAnsi="Calibri" w:cs="Calibri"/>
              </w:rPr>
              <w:t xml:space="preserve">. </w:t>
            </w:r>
          </w:p>
        </w:tc>
      </w:tr>
      <w:tr w:rsidR="002D6F5F" w:rsidRPr="002D6F5F" w14:paraId="0DFD4466" w14:textId="77777777" w:rsidTr="001B1DB2">
        <w:tc>
          <w:tcPr>
            <w:tcW w:w="9026" w:type="dxa"/>
            <w:vAlign w:val="center"/>
            <w:hideMark/>
          </w:tcPr>
          <w:p w14:paraId="5630175E" w14:textId="63F19653" w:rsidR="002D6F5F" w:rsidRPr="002D6F5F" w:rsidRDefault="00D56C32" w:rsidP="0077616C">
            <w:pPr>
              <w:rPr>
                <w:rFonts w:cs="Arial"/>
              </w:rPr>
            </w:pPr>
            <w:r>
              <w:rPr>
                <w:rFonts w:ascii="Calibri" w:hAnsi="Calibri" w:cs="Calibri"/>
              </w:rPr>
              <w:t xml:space="preserve">Think, Change, Resolve. </w:t>
            </w:r>
            <w:r>
              <w:rPr>
                <w:rFonts w:ascii="Calibri" w:hAnsi="Calibri" w:cs="Calibri"/>
                <w:i/>
                <w:iCs/>
              </w:rPr>
              <w:t>Tertiary Education Innovation – two case studies offer possible ways forward: Final Report,</w:t>
            </w:r>
            <w:r>
              <w:rPr>
                <w:rFonts w:ascii="Calibri" w:hAnsi="Calibri" w:cs="Calibri"/>
              </w:rPr>
              <w:t xml:space="preserve"> (Canberra: June 2023), </w:t>
            </w:r>
            <w:hyperlink r:id="rId424" w:history="1">
              <w:r w:rsidR="005430E3" w:rsidRPr="00A8752B">
                <w:rPr>
                  <w:rStyle w:val="Hyperlink"/>
                  <w:rFonts w:ascii="Calibri" w:hAnsi="Calibri" w:cs="Calibri"/>
                </w:rPr>
                <w:t>www.education.gov.au/australian-universities-accord/resources/think-change-resolve-tertiary-education-innovation-report</w:t>
              </w:r>
            </w:hyperlink>
            <w:r w:rsidR="005430E3">
              <w:rPr>
                <w:rFonts w:ascii="Calibri" w:hAnsi="Calibri" w:cs="Calibri"/>
              </w:rPr>
              <w:t xml:space="preserve">. </w:t>
            </w:r>
          </w:p>
        </w:tc>
      </w:tr>
      <w:tr w:rsidR="002D6F5F" w:rsidRPr="002D6F5F" w14:paraId="4D9FD024" w14:textId="77777777" w:rsidTr="001B1DB2">
        <w:tc>
          <w:tcPr>
            <w:tcW w:w="9026" w:type="dxa"/>
            <w:vAlign w:val="bottom"/>
            <w:hideMark/>
          </w:tcPr>
          <w:p w14:paraId="4835A8F6" w14:textId="5DC6F39E" w:rsidR="002D6F5F" w:rsidRPr="002D6F5F" w:rsidRDefault="00D56C32" w:rsidP="0077616C">
            <w:pPr>
              <w:rPr>
                <w:rFonts w:cs="Arial"/>
              </w:rPr>
            </w:pPr>
            <w:r>
              <w:rPr>
                <w:rFonts w:ascii="Calibri" w:hAnsi="Calibri" w:cs="Calibri"/>
              </w:rPr>
              <w:t xml:space="preserve">Times Higher Education. </w:t>
            </w:r>
            <w:r>
              <w:rPr>
                <w:rFonts w:ascii="Calibri" w:hAnsi="Calibri" w:cs="Calibri"/>
                <w:i/>
                <w:iCs/>
              </w:rPr>
              <w:t>World University Rankings 2023</w:t>
            </w:r>
            <w:r>
              <w:rPr>
                <w:rFonts w:ascii="Calibri" w:hAnsi="Calibri" w:cs="Calibri"/>
              </w:rPr>
              <w:t xml:space="preserve"> [data set], accessed 29 November 2023, </w:t>
            </w:r>
            <w:hyperlink r:id="rId425" w:anchor="!/length/25/locations/CHN/sort_by/rank/sort_order/asc/cols/stats" w:history="1">
              <w:r w:rsidR="005430E3" w:rsidRPr="00A8752B">
                <w:rPr>
                  <w:rStyle w:val="Hyperlink"/>
                  <w:rFonts w:ascii="Calibri" w:hAnsi="Calibri" w:cs="Calibri"/>
                </w:rPr>
                <w:t>www.timeshighereducation.com/world-university-rankings/2023/world-ranking#!/length/25/locations/CHN/sort_by/rank/sort_order/asc/cols/stats</w:t>
              </w:r>
            </w:hyperlink>
            <w:r w:rsidR="005430E3">
              <w:rPr>
                <w:rFonts w:ascii="Calibri" w:hAnsi="Calibri" w:cs="Calibri"/>
              </w:rPr>
              <w:t xml:space="preserve">. </w:t>
            </w:r>
          </w:p>
        </w:tc>
      </w:tr>
      <w:tr w:rsidR="002D6F5F" w:rsidRPr="002D6F5F" w14:paraId="442049C7" w14:textId="77777777" w:rsidTr="001B1DB2">
        <w:tc>
          <w:tcPr>
            <w:tcW w:w="9026" w:type="dxa"/>
            <w:vAlign w:val="bottom"/>
            <w:hideMark/>
          </w:tcPr>
          <w:p w14:paraId="0700C8B4" w14:textId="6B6BDB62" w:rsidR="002D6F5F" w:rsidRPr="002D6F5F" w:rsidRDefault="00D56C32" w:rsidP="0077616C">
            <w:pPr>
              <w:rPr>
                <w:rFonts w:cs="Arial"/>
              </w:rPr>
            </w:pPr>
            <w:r>
              <w:rPr>
                <w:rFonts w:ascii="Calibri" w:hAnsi="Calibri" w:cs="Calibri"/>
              </w:rPr>
              <w:t xml:space="preserve">Universities Australia. </w:t>
            </w:r>
            <w:r>
              <w:rPr>
                <w:rFonts w:ascii="Calibri" w:hAnsi="Calibri" w:cs="Calibri"/>
                <w:i/>
                <w:iCs/>
              </w:rPr>
              <w:t>2022 Higher Education Facts and Figures,</w:t>
            </w:r>
            <w:r>
              <w:rPr>
                <w:rFonts w:ascii="Calibri" w:hAnsi="Calibri" w:cs="Calibri"/>
              </w:rPr>
              <w:t xml:space="preserve"> (June 2022), </w:t>
            </w:r>
            <w:hyperlink r:id="rId426" w:history="1">
              <w:r w:rsidR="005430E3" w:rsidRPr="00A8752B">
                <w:rPr>
                  <w:rStyle w:val="Hyperlink"/>
                  <w:rFonts w:ascii="Calibri" w:hAnsi="Calibri" w:cs="Calibri"/>
                </w:rPr>
                <w:t>universities‌australia.edu.au/wp-content/uploads/2022/09/220207-HE-Facts-and-Figures-2022_2.0.pdf</w:t>
              </w:r>
            </w:hyperlink>
            <w:r w:rsidR="005430E3">
              <w:rPr>
                <w:rFonts w:ascii="Calibri" w:hAnsi="Calibri" w:cs="Calibri"/>
              </w:rPr>
              <w:t xml:space="preserve">. </w:t>
            </w:r>
          </w:p>
        </w:tc>
      </w:tr>
      <w:tr w:rsidR="002D6F5F" w:rsidRPr="002D6F5F" w14:paraId="18CBDD5D" w14:textId="77777777" w:rsidTr="001B1DB2">
        <w:tc>
          <w:tcPr>
            <w:tcW w:w="9026" w:type="dxa"/>
            <w:vAlign w:val="bottom"/>
            <w:hideMark/>
          </w:tcPr>
          <w:p w14:paraId="25BB2D76" w14:textId="049DEC7B" w:rsidR="002D6F5F" w:rsidRPr="002D6F5F" w:rsidRDefault="00D56C32" w:rsidP="0077616C">
            <w:pPr>
              <w:rPr>
                <w:rFonts w:cs="Arial"/>
              </w:rPr>
            </w:pPr>
            <w:r>
              <w:rPr>
                <w:rFonts w:ascii="Calibri" w:hAnsi="Calibri" w:cs="Calibri"/>
              </w:rPr>
              <w:t xml:space="preserve">Universities Australia. </w:t>
            </w:r>
            <w:r>
              <w:rPr>
                <w:rFonts w:ascii="Calibri" w:hAnsi="Calibri" w:cs="Calibri"/>
                <w:i/>
                <w:iCs/>
              </w:rPr>
              <w:t>Submission to the 5 Year Productivity Inquiry Interim Reports 2022</w:t>
            </w:r>
            <w:r>
              <w:rPr>
                <w:rFonts w:ascii="Calibri" w:hAnsi="Calibri" w:cs="Calibri"/>
              </w:rPr>
              <w:t xml:space="preserve"> (Deakin, ACT: Universities Australia, November, 2022), </w:t>
            </w:r>
            <w:hyperlink r:id="rId427" w:history="1">
              <w:r w:rsidR="00580615" w:rsidRPr="00A8752B">
                <w:rPr>
                  <w:rStyle w:val="Hyperlink"/>
                  <w:rFonts w:ascii="Calibri" w:hAnsi="Calibri" w:cs="Calibri"/>
                </w:rPr>
                <w:t>universitiesaustralia.edu.au/wp-content/uploads/2022/11/UA-submission-to-the-Prodcutivity-Commission-5-Year-Inquiry-Interim-Report-1.pdf</w:t>
              </w:r>
            </w:hyperlink>
            <w:r w:rsidR="00580615">
              <w:rPr>
                <w:rFonts w:ascii="Calibri" w:hAnsi="Calibri" w:cs="Calibri"/>
              </w:rPr>
              <w:t xml:space="preserve">. </w:t>
            </w:r>
          </w:p>
        </w:tc>
      </w:tr>
      <w:tr w:rsidR="002D6F5F" w:rsidRPr="002D6F5F" w14:paraId="46A26754" w14:textId="77777777" w:rsidTr="001B1DB2">
        <w:tc>
          <w:tcPr>
            <w:tcW w:w="9026" w:type="dxa"/>
            <w:vAlign w:val="center"/>
            <w:hideMark/>
          </w:tcPr>
          <w:p w14:paraId="5FF7F5ED" w14:textId="76ACBBBA" w:rsidR="002D6F5F" w:rsidRPr="002D6F5F" w:rsidRDefault="00D56C32" w:rsidP="0077616C">
            <w:pPr>
              <w:rPr>
                <w:rFonts w:cs="Arial"/>
              </w:rPr>
            </w:pPr>
            <w:r>
              <w:rPr>
                <w:rFonts w:ascii="Calibri" w:hAnsi="Calibri" w:cs="Calibri"/>
              </w:rPr>
              <w:t xml:space="preserve">Universities Australia. </w:t>
            </w:r>
            <w:r>
              <w:rPr>
                <w:rFonts w:ascii="Calibri" w:hAnsi="Calibri" w:cs="Calibri"/>
                <w:i/>
                <w:iCs/>
              </w:rPr>
              <w:t>Submission to the Australian Universities Accord Priorities</w:t>
            </w:r>
            <w:r>
              <w:rPr>
                <w:rFonts w:ascii="Calibri" w:hAnsi="Calibri" w:cs="Calibri"/>
              </w:rPr>
              <w:t xml:space="preserve">, 2022, </w:t>
            </w:r>
            <w:hyperlink r:id="rId428" w:history="1">
              <w:r w:rsidR="00580615" w:rsidRPr="00A8752B">
                <w:rPr>
                  <w:rStyle w:val="Hyperlink"/>
                  <w:rFonts w:ascii="Calibri" w:hAnsi="Calibri" w:cs="Calibri"/>
                </w:rPr>
                <w:t>universitiesaustralia.edu.au/wp-content/uploads/2022/12/UA22005-Accord-Submission-FA.pdf</w:t>
              </w:r>
            </w:hyperlink>
            <w:r w:rsidR="00580615">
              <w:rPr>
                <w:rFonts w:ascii="Calibri" w:hAnsi="Calibri" w:cs="Calibri"/>
              </w:rPr>
              <w:t xml:space="preserve">. </w:t>
            </w:r>
          </w:p>
        </w:tc>
      </w:tr>
      <w:tr w:rsidR="002D6F5F" w:rsidRPr="002D6F5F" w14:paraId="6F469B10" w14:textId="77777777" w:rsidTr="001B1DB2">
        <w:tc>
          <w:tcPr>
            <w:tcW w:w="9026" w:type="dxa"/>
            <w:vAlign w:val="bottom"/>
            <w:hideMark/>
          </w:tcPr>
          <w:p w14:paraId="5F62E060" w14:textId="68F791DD" w:rsidR="002D6F5F" w:rsidRPr="002D6F5F" w:rsidRDefault="00D56C32" w:rsidP="0077616C">
            <w:pPr>
              <w:rPr>
                <w:rFonts w:cs="Arial"/>
              </w:rPr>
            </w:pPr>
            <w:r>
              <w:rPr>
                <w:rFonts w:ascii="Calibri" w:hAnsi="Calibri" w:cs="Calibri"/>
              </w:rPr>
              <w:t xml:space="preserve">Universities Australia. </w:t>
            </w:r>
            <w:r>
              <w:rPr>
                <w:rFonts w:ascii="Calibri" w:hAnsi="Calibri" w:cs="Calibri"/>
                <w:i/>
                <w:iCs/>
              </w:rPr>
              <w:t>Work Integrated Learning in Universities: Final Report</w:t>
            </w:r>
            <w:r>
              <w:rPr>
                <w:rFonts w:ascii="Calibri" w:hAnsi="Calibri" w:cs="Calibri"/>
              </w:rPr>
              <w:t xml:space="preserve">, (Canberra: 2019), </w:t>
            </w:r>
            <w:hyperlink r:id="rId429" w:history="1">
              <w:r w:rsidR="00580615" w:rsidRPr="00A8752B">
                <w:rPr>
                  <w:rStyle w:val="Hyperlink"/>
                  <w:rFonts w:ascii="Calibri" w:hAnsi="Calibri" w:cs="Calibri"/>
                </w:rPr>
                <w:t>universitiesaustralia.edu.au/wp-content/uploads/2022/03/WIL-in-universities-final-report-April-2019.pdf</w:t>
              </w:r>
            </w:hyperlink>
            <w:r w:rsidR="00580615">
              <w:rPr>
                <w:rFonts w:ascii="Calibri" w:hAnsi="Calibri" w:cs="Calibri"/>
              </w:rPr>
              <w:t xml:space="preserve">. </w:t>
            </w:r>
          </w:p>
        </w:tc>
      </w:tr>
      <w:tr w:rsidR="002D6F5F" w:rsidRPr="002D6F5F" w14:paraId="5B7499F6" w14:textId="77777777" w:rsidTr="001B1DB2">
        <w:tc>
          <w:tcPr>
            <w:tcW w:w="9026" w:type="dxa"/>
            <w:vAlign w:val="bottom"/>
            <w:hideMark/>
          </w:tcPr>
          <w:p w14:paraId="02B7AD00" w14:textId="540CFDAD" w:rsidR="002D6F5F" w:rsidRPr="002D6F5F" w:rsidRDefault="00D56C32" w:rsidP="0077616C">
            <w:pPr>
              <w:rPr>
                <w:rFonts w:cs="Arial"/>
              </w:rPr>
            </w:pPr>
            <w:r>
              <w:rPr>
                <w:rFonts w:ascii="Calibri" w:hAnsi="Calibri" w:cs="Calibri"/>
              </w:rPr>
              <w:t xml:space="preserve">University of Canberra. “Food Pantry”, UCX, accessed 12 December 2023, </w:t>
            </w:r>
            <w:hyperlink r:id="rId430" w:history="1">
              <w:r w:rsidR="00580615" w:rsidRPr="00A8752B">
                <w:rPr>
                  <w:rStyle w:val="Hyperlink"/>
                  <w:rFonts w:ascii="Calibri" w:hAnsi="Calibri" w:cs="Calibri"/>
                </w:rPr>
                <w:t>ucx.canberra.edu.au/initiatives/ucx-food-pantry.html</w:t>
              </w:r>
            </w:hyperlink>
            <w:r w:rsidR="00580615">
              <w:rPr>
                <w:rFonts w:ascii="Calibri" w:hAnsi="Calibri" w:cs="Calibri"/>
              </w:rPr>
              <w:t xml:space="preserve">. </w:t>
            </w:r>
          </w:p>
        </w:tc>
      </w:tr>
      <w:tr w:rsidR="002D6F5F" w:rsidRPr="002D6F5F" w14:paraId="6A9575FC" w14:textId="77777777" w:rsidTr="001B1DB2">
        <w:tc>
          <w:tcPr>
            <w:tcW w:w="9026" w:type="dxa"/>
            <w:vAlign w:val="bottom"/>
            <w:hideMark/>
          </w:tcPr>
          <w:p w14:paraId="23435EB8" w14:textId="3F5D7C7A" w:rsidR="002D6F5F" w:rsidRPr="002D6F5F" w:rsidRDefault="00D56C32" w:rsidP="0077616C">
            <w:pPr>
              <w:rPr>
                <w:rFonts w:cs="Arial"/>
              </w:rPr>
            </w:pPr>
            <w:r>
              <w:rPr>
                <w:rFonts w:ascii="Calibri" w:hAnsi="Calibri" w:cstheme="minorHAnsi"/>
              </w:rPr>
              <w:lastRenderedPageBreak/>
              <w:t xml:space="preserve">University of New England. “Smart Farms,” University of New England, accessed 12 December 2023, </w:t>
            </w:r>
            <w:hyperlink r:id="rId431" w:history="1">
              <w:r w:rsidR="006028F0" w:rsidRPr="00A8752B">
                <w:rPr>
                  <w:rStyle w:val="Hyperlink"/>
                  <w:rFonts w:ascii="Calibri" w:hAnsi="Calibri" w:cstheme="minorHAnsi"/>
                </w:rPr>
                <w:t>www.une.edu.au/research/research-centres-institutes/smart-farm</w:t>
              </w:r>
            </w:hyperlink>
            <w:r w:rsidR="006028F0">
              <w:rPr>
                <w:rFonts w:ascii="Calibri" w:hAnsi="Calibri" w:cstheme="minorHAnsi"/>
              </w:rPr>
              <w:t xml:space="preserve">. </w:t>
            </w:r>
          </w:p>
        </w:tc>
      </w:tr>
      <w:tr w:rsidR="002D6F5F" w:rsidRPr="002D6F5F" w14:paraId="52C87F27" w14:textId="77777777" w:rsidTr="001B1DB2">
        <w:tc>
          <w:tcPr>
            <w:tcW w:w="9026" w:type="dxa"/>
            <w:vAlign w:val="bottom"/>
            <w:hideMark/>
          </w:tcPr>
          <w:p w14:paraId="02DC26C8" w14:textId="2FFC1BE9" w:rsidR="002D6F5F" w:rsidRPr="002D6F5F" w:rsidRDefault="00D56C32" w:rsidP="0077616C">
            <w:pPr>
              <w:rPr>
                <w:rFonts w:cs="Arial"/>
              </w:rPr>
            </w:pPr>
            <w:r>
              <w:rPr>
                <w:rFonts w:ascii="Calibri" w:hAnsi="Calibri" w:cs="Calibri"/>
              </w:rPr>
              <w:t xml:space="preserve">University of New England. </w:t>
            </w:r>
            <w:r>
              <w:rPr>
                <w:rFonts w:ascii="Calibri" w:hAnsi="Calibri" w:cs="Calibri"/>
                <w:i/>
                <w:iCs/>
              </w:rPr>
              <w:t>Annual Report 2022</w:t>
            </w:r>
            <w:r>
              <w:rPr>
                <w:rFonts w:ascii="Calibri" w:hAnsi="Calibri" w:cs="Calibri"/>
              </w:rPr>
              <w:t xml:space="preserve">, (Sydney: April 2023), </w:t>
            </w:r>
            <w:hyperlink r:id="rId432" w:history="1">
              <w:r w:rsidR="006028F0" w:rsidRPr="00A8752B">
                <w:rPr>
                  <w:rStyle w:val="Hyperlink"/>
                  <w:rFonts w:ascii="Calibri" w:hAnsi="Calibri" w:cs="Calibri"/>
                </w:rPr>
                <w:t>www.une.edu.au/about-une/annual-reports</w:t>
              </w:r>
            </w:hyperlink>
            <w:r w:rsidR="006028F0">
              <w:rPr>
                <w:rFonts w:ascii="Calibri" w:hAnsi="Calibri" w:cs="Calibri"/>
              </w:rPr>
              <w:t xml:space="preserve">. </w:t>
            </w:r>
          </w:p>
        </w:tc>
      </w:tr>
      <w:tr w:rsidR="002D6F5F" w:rsidRPr="002D6F5F" w14:paraId="7D33593E" w14:textId="77777777" w:rsidTr="001B1DB2">
        <w:tc>
          <w:tcPr>
            <w:tcW w:w="9026" w:type="dxa"/>
            <w:vAlign w:val="bottom"/>
            <w:hideMark/>
          </w:tcPr>
          <w:p w14:paraId="70C2D35C" w14:textId="59DF320F" w:rsidR="002D6F5F" w:rsidRPr="002D6F5F" w:rsidRDefault="00D56C32" w:rsidP="0077616C">
            <w:pPr>
              <w:rPr>
                <w:rFonts w:cs="Arial"/>
              </w:rPr>
            </w:pPr>
            <w:r>
              <w:rPr>
                <w:rFonts w:ascii="Calibri" w:hAnsi="Calibri" w:cs="Calibri"/>
              </w:rPr>
              <w:t xml:space="preserve">University of New England. </w:t>
            </w:r>
            <w:r>
              <w:rPr>
                <w:rFonts w:ascii="Calibri" w:hAnsi="Calibri" w:cs="Calibri"/>
                <w:i/>
                <w:iCs/>
              </w:rPr>
              <w:t>Submission to the Australian Universities Accord Interim Report</w:t>
            </w:r>
            <w:r>
              <w:rPr>
                <w:rFonts w:ascii="Calibri" w:hAnsi="Calibri" w:cs="Calibri"/>
              </w:rPr>
              <w:t xml:space="preserve">, 2023, </w:t>
            </w:r>
            <w:hyperlink r:id="rId433" w:history="1">
              <w:r w:rsidR="006028F0" w:rsidRPr="00A8752B">
                <w:rPr>
                  <w:rStyle w:val="Hyperlink"/>
                  <w:rFonts w:ascii="Calibri" w:hAnsi="Calibri" w:cs="Calibri"/>
                </w:rPr>
                <w:t>www.education.gov.au/system/files/2023-09/AUA_inter_‌tranche11_246%20‌University%‌20of%20New%20England.pdf</w:t>
              </w:r>
            </w:hyperlink>
            <w:r w:rsidR="006028F0">
              <w:rPr>
                <w:rFonts w:ascii="Calibri" w:hAnsi="Calibri" w:cs="Calibri"/>
              </w:rPr>
              <w:t xml:space="preserve">. </w:t>
            </w:r>
          </w:p>
        </w:tc>
      </w:tr>
      <w:tr w:rsidR="002D6F5F" w:rsidRPr="002D6F5F" w14:paraId="5EEFEC8E" w14:textId="77777777" w:rsidTr="001B1DB2">
        <w:tc>
          <w:tcPr>
            <w:tcW w:w="9026" w:type="dxa"/>
            <w:vAlign w:val="bottom"/>
            <w:hideMark/>
          </w:tcPr>
          <w:p w14:paraId="35F3A439" w14:textId="4463AF40" w:rsidR="002D6F5F" w:rsidRPr="002D6F5F" w:rsidRDefault="00D56C32" w:rsidP="0077616C">
            <w:pPr>
              <w:rPr>
                <w:rFonts w:cs="Arial"/>
              </w:rPr>
            </w:pPr>
            <w:r>
              <w:rPr>
                <w:rFonts w:ascii="Calibri" w:hAnsi="Calibri" w:cs="Calibri"/>
              </w:rPr>
              <w:t xml:space="preserve">University of Newcastle. </w:t>
            </w:r>
            <w:r>
              <w:rPr>
                <w:rFonts w:ascii="Calibri" w:hAnsi="Calibri" w:cs="Calibri"/>
                <w:i/>
                <w:iCs/>
              </w:rPr>
              <w:t>Submission to the Australian Universities Accord Discussion Paper,</w:t>
            </w:r>
            <w:r>
              <w:rPr>
                <w:rFonts w:ascii="Calibri" w:hAnsi="Calibri" w:cs="Calibri"/>
              </w:rPr>
              <w:t xml:space="preserve"> 2023,  </w:t>
            </w:r>
            <w:hyperlink r:id="rId434" w:history="1">
              <w:r w:rsidR="000D475D" w:rsidRPr="00A8752B">
                <w:rPr>
                  <w:rStyle w:val="Hyperlink"/>
                  <w:rFonts w:ascii="Calibri" w:hAnsi="Calibri" w:cs="Calibri"/>
                </w:rPr>
                <w:t>www.education.gov.au/australian-universities-accord/consultations/consultation-accord-interim-report/submission/17093</w:t>
              </w:r>
            </w:hyperlink>
            <w:r w:rsidR="000D475D">
              <w:rPr>
                <w:rFonts w:ascii="Calibri" w:hAnsi="Calibri" w:cs="Calibri"/>
              </w:rPr>
              <w:t xml:space="preserve">. </w:t>
            </w:r>
          </w:p>
        </w:tc>
      </w:tr>
      <w:tr w:rsidR="002D6F5F" w:rsidRPr="002D6F5F" w14:paraId="4B2FE04A" w14:textId="77777777" w:rsidTr="001B1DB2">
        <w:tc>
          <w:tcPr>
            <w:tcW w:w="9026" w:type="dxa"/>
            <w:vAlign w:val="bottom"/>
            <w:hideMark/>
          </w:tcPr>
          <w:p w14:paraId="3552F939" w14:textId="11B0C03E" w:rsidR="002D6F5F" w:rsidRPr="002D6F5F" w:rsidRDefault="00D56C32" w:rsidP="0077616C">
            <w:pPr>
              <w:rPr>
                <w:rFonts w:cs="Arial"/>
              </w:rPr>
            </w:pPr>
            <w:r>
              <w:rPr>
                <w:rFonts w:ascii="Calibri" w:hAnsi="Calibri" w:cs="Calibri"/>
              </w:rPr>
              <w:t xml:space="preserve">Vernon, Lynette; Watson, Stuart and Taggart, Andrew. “University Aspirational Pathways for Metropolitan and Regional Students,” </w:t>
            </w:r>
            <w:r>
              <w:rPr>
                <w:rFonts w:ascii="Calibri" w:hAnsi="Calibri" w:cs="Calibri"/>
                <w:i/>
                <w:iCs/>
              </w:rPr>
              <w:t>Australian and International Journal of Rural Education</w:t>
            </w:r>
            <w:r>
              <w:rPr>
                <w:rFonts w:ascii="Calibri" w:hAnsi="Calibri" w:cs="Calibri"/>
              </w:rPr>
              <w:t xml:space="preserve"> 28, 1 (2018):  </w:t>
            </w:r>
            <w:hyperlink r:id="rId435" w:history="1">
              <w:r w:rsidR="000D475D" w:rsidRPr="00A8752B">
                <w:rPr>
                  <w:rStyle w:val="Hyperlink"/>
                  <w:rFonts w:ascii="Calibri" w:hAnsi="Calibri" w:cs="Calibri"/>
                </w:rPr>
                <w:t>doi.org/10.47381/</w:t>
              </w:r>
              <w:proofErr w:type="gramStart"/>
              <w:r w:rsidR="000D475D" w:rsidRPr="00A8752B">
                <w:rPr>
                  <w:rStyle w:val="Hyperlink"/>
                  <w:rFonts w:ascii="Calibri" w:hAnsi="Calibri" w:cs="Calibri"/>
                </w:rPr>
                <w:t>aijre.v</w:t>
              </w:r>
              <w:proofErr w:type="gramEnd"/>
              <w:r w:rsidR="000D475D" w:rsidRPr="00A8752B">
                <w:rPr>
                  <w:rStyle w:val="Hyperlink"/>
                  <w:rFonts w:ascii="Calibri" w:hAnsi="Calibri" w:cs="Calibri"/>
                </w:rPr>
                <w:t>28i1.167</w:t>
              </w:r>
            </w:hyperlink>
            <w:r w:rsidR="000D475D">
              <w:rPr>
                <w:rFonts w:ascii="Calibri" w:hAnsi="Calibri" w:cs="Calibri"/>
              </w:rPr>
              <w:t xml:space="preserve">. </w:t>
            </w:r>
          </w:p>
        </w:tc>
      </w:tr>
      <w:tr w:rsidR="002D6F5F" w:rsidRPr="002D6F5F" w14:paraId="0237F1F6" w14:textId="77777777" w:rsidTr="001B1DB2">
        <w:tc>
          <w:tcPr>
            <w:tcW w:w="9026" w:type="dxa"/>
            <w:vAlign w:val="center"/>
            <w:hideMark/>
          </w:tcPr>
          <w:p w14:paraId="06BC55E5" w14:textId="27B32A31" w:rsidR="002D6F5F" w:rsidRPr="002D6F5F" w:rsidRDefault="00D56C32" w:rsidP="0077616C">
            <w:pPr>
              <w:rPr>
                <w:rFonts w:cs="Arial"/>
              </w:rPr>
            </w:pPr>
            <w:r>
              <w:rPr>
                <w:rFonts w:ascii="Calibri" w:hAnsi="Calibri" w:cs="Calibri"/>
              </w:rPr>
              <w:t xml:space="preserve">Victorian Government. </w:t>
            </w:r>
            <w:r>
              <w:rPr>
                <w:rFonts w:ascii="Calibri" w:hAnsi="Calibri" w:cs="Calibri"/>
                <w:i/>
                <w:iCs/>
              </w:rPr>
              <w:t>A framework for place-based approaches: the start of a conversation about working differently for better outcomes</w:t>
            </w:r>
            <w:r>
              <w:rPr>
                <w:rFonts w:ascii="Calibri" w:hAnsi="Calibri" w:cs="Calibri"/>
              </w:rPr>
              <w:t xml:space="preserve"> (Melbourne: Victorian Government, 2020), </w:t>
            </w:r>
            <w:hyperlink r:id="rId436" w:history="1">
              <w:r w:rsidR="000D475D" w:rsidRPr="00A8752B">
                <w:rPr>
                  <w:rStyle w:val="Hyperlink"/>
                  <w:rFonts w:ascii="Calibri" w:hAnsi="Calibri" w:cs="Calibri"/>
                </w:rPr>
                <w:t>content.vic.gov.au/sites/default/files/2020-03/Working-%20together-in%20place-Policy%20Framework.pdf</w:t>
              </w:r>
            </w:hyperlink>
            <w:r w:rsidR="000D475D">
              <w:rPr>
                <w:rFonts w:ascii="Calibri" w:hAnsi="Calibri" w:cs="Calibri"/>
              </w:rPr>
              <w:t xml:space="preserve">. </w:t>
            </w:r>
          </w:p>
        </w:tc>
      </w:tr>
      <w:tr w:rsidR="002D6F5F" w:rsidRPr="002D6F5F" w14:paraId="2EF7F535" w14:textId="77777777" w:rsidTr="001B1DB2">
        <w:tc>
          <w:tcPr>
            <w:tcW w:w="9026" w:type="dxa"/>
            <w:vAlign w:val="bottom"/>
            <w:hideMark/>
          </w:tcPr>
          <w:p w14:paraId="374A0D96" w14:textId="56CB8143" w:rsidR="002D6F5F" w:rsidRPr="002D6F5F" w:rsidRDefault="00D56C32" w:rsidP="0077616C">
            <w:pPr>
              <w:rPr>
                <w:rFonts w:cs="Arial"/>
              </w:rPr>
            </w:pPr>
            <w:r>
              <w:rPr>
                <w:rFonts w:ascii="Calibri" w:hAnsi="Calibri" w:cs="Calibri"/>
              </w:rPr>
              <w:t>Walker, Judi</w:t>
            </w:r>
            <w:r w:rsidR="007600C5">
              <w:rPr>
                <w:rFonts w:ascii="Calibri" w:hAnsi="Calibri" w:cs="Calibri"/>
              </w:rPr>
              <w:t>;</w:t>
            </w:r>
            <w:r w:rsidR="007600C5">
              <w:t xml:space="preserve"> </w:t>
            </w:r>
            <w:r w:rsidR="007600C5" w:rsidRPr="007600C5">
              <w:rPr>
                <w:rFonts w:ascii="Calibri" w:hAnsi="Calibri" w:cs="Calibri"/>
              </w:rPr>
              <w:t>Dewitt, Dawn; Pallant, Julie and Cunningham, Chris</w:t>
            </w:r>
            <w:r>
              <w:rPr>
                <w:rFonts w:ascii="Calibri" w:hAnsi="Calibri" w:cs="Calibri"/>
              </w:rPr>
              <w:t xml:space="preserve">. “Rural origin plus a rural clinical school placement is a significant predictor of medical students’ intentions to practice rurally: a multi- university study,” Rural Remote Health 12, 1 (2012): 1908, </w:t>
            </w:r>
            <w:hyperlink r:id="rId437" w:history="1">
              <w:r w:rsidR="000D475D" w:rsidRPr="00A8752B">
                <w:rPr>
                  <w:rStyle w:val="Hyperlink"/>
                  <w:rFonts w:ascii="Calibri" w:hAnsi="Calibri" w:cs="Calibri"/>
                </w:rPr>
                <w:t>doi.org/10.22605/RRH1908</w:t>
              </w:r>
            </w:hyperlink>
            <w:r w:rsidR="000D475D">
              <w:rPr>
                <w:rFonts w:ascii="Calibri" w:hAnsi="Calibri" w:cs="Calibri"/>
              </w:rPr>
              <w:t xml:space="preserve">. </w:t>
            </w:r>
          </w:p>
        </w:tc>
      </w:tr>
      <w:tr w:rsidR="002D6F5F" w:rsidRPr="002D6F5F" w14:paraId="42BB0D1E" w14:textId="77777777" w:rsidTr="001B1DB2">
        <w:tc>
          <w:tcPr>
            <w:tcW w:w="9026" w:type="dxa"/>
            <w:vAlign w:val="center"/>
            <w:hideMark/>
          </w:tcPr>
          <w:p w14:paraId="7986C832" w14:textId="268257FF" w:rsidR="002D6F5F" w:rsidRPr="002D6F5F" w:rsidRDefault="00D56C32" w:rsidP="0077616C">
            <w:pPr>
              <w:rPr>
                <w:rFonts w:cs="Arial"/>
              </w:rPr>
            </w:pPr>
            <w:r>
              <w:rPr>
                <w:rFonts w:ascii="Calibri" w:hAnsi="Calibri" w:cs="Calibri"/>
              </w:rPr>
              <w:t xml:space="preserve">Warren, Diana and </w:t>
            </w:r>
            <w:proofErr w:type="spellStart"/>
            <w:r>
              <w:rPr>
                <w:rFonts w:ascii="Calibri" w:hAnsi="Calibri" w:cs="Calibri"/>
              </w:rPr>
              <w:t>Haisken-DeNew</w:t>
            </w:r>
            <w:proofErr w:type="spellEnd"/>
            <w:r>
              <w:rPr>
                <w:rFonts w:ascii="Calibri" w:hAnsi="Calibri" w:cs="Calibri"/>
              </w:rPr>
              <w:t xml:space="preserve">, John P. </w:t>
            </w:r>
            <w:r>
              <w:rPr>
                <w:rFonts w:ascii="Calibri" w:hAnsi="Calibri" w:cs="Calibri"/>
                <w:i/>
                <w:iCs/>
              </w:rPr>
              <w:t>Early Bird Catches the Worm: The Causal Impact of Pre-school Participation and Teacher Qualifications on Year 3 National NAPLAN Cognitive Tests,</w:t>
            </w:r>
            <w:r>
              <w:rPr>
                <w:rFonts w:ascii="Calibri" w:hAnsi="Calibri" w:cs="Calibri"/>
              </w:rPr>
              <w:t xml:space="preserve"> Working Paper No. 34/13 (Melbourne: Melbourne Institute of Applied Economic and Social Research, October 2013), </w:t>
            </w:r>
            <w:hyperlink r:id="rId438" w:history="1">
              <w:r w:rsidR="00F5619C" w:rsidRPr="00A8752B">
                <w:rPr>
                  <w:rStyle w:val="Hyperlink"/>
                  <w:rFonts w:ascii="Calibri" w:hAnsi="Calibri" w:cs="Calibri"/>
                </w:rPr>
                <w:t>melbourneinstitute.unimelb.edu.au/downloads/working-paper-series/wp2013n34.pdf</w:t>
              </w:r>
            </w:hyperlink>
            <w:r w:rsidR="00F5619C">
              <w:rPr>
                <w:rFonts w:ascii="Calibri" w:hAnsi="Calibri" w:cs="Calibri"/>
              </w:rPr>
              <w:t xml:space="preserve">. </w:t>
            </w:r>
          </w:p>
        </w:tc>
      </w:tr>
      <w:tr w:rsidR="002D6F5F" w:rsidRPr="002D6F5F" w14:paraId="318F6D45" w14:textId="77777777" w:rsidTr="001B1DB2">
        <w:tc>
          <w:tcPr>
            <w:tcW w:w="9026" w:type="dxa"/>
            <w:vAlign w:val="bottom"/>
            <w:hideMark/>
          </w:tcPr>
          <w:p w14:paraId="1CF3018E" w14:textId="709AD1FB" w:rsidR="002D6F5F" w:rsidRPr="002D6F5F" w:rsidRDefault="00D56C32" w:rsidP="0077616C">
            <w:pPr>
              <w:rPr>
                <w:rFonts w:cs="Arial"/>
              </w:rPr>
            </w:pPr>
            <w:bookmarkStart w:id="1661" w:name="RANGE!F278"/>
            <w:r>
              <w:rPr>
                <w:rFonts w:ascii="Calibri" w:hAnsi="Calibri" w:cs="Calibri"/>
              </w:rPr>
              <w:t xml:space="preserve">Watt, Ian. </w:t>
            </w:r>
            <w:r>
              <w:rPr>
                <w:rFonts w:ascii="Calibri" w:hAnsi="Calibri" w:cs="Calibri"/>
                <w:i/>
                <w:iCs/>
              </w:rPr>
              <w:t>Report of the Review of Research Policy and Funding Arrangements</w:t>
            </w:r>
            <w:r>
              <w:rPr>
                <w:rFonts w:ascii="Calibri" w:hAnsi="Calibri" w:cs="Calibri"/>
              </w:rPr>
              <w:t xml:space="preserve">, (Canberra: Department of Education and Training, 2015), </w:t>
            </w:r>
            <w:bookmarkEnd w:id="1661"/>
            <w:r w:rsidR="005753D5">
              <w:fldChar w:fldCharType="begin"/>
            </w:r>
            <w:r w:rsidR="005753D5">
              <w:instrText>HYPERLINK "http://www.education.gov.au/review-research-policy-and-funding-arrangements"</w:instrText>
            </w:r>
            <w:r w:rsidR="005753D5">
              <w:fldChar w:fldCharType="separate"/>
            </w:r>
            <w:r w:rsidR="00F5619C" w:rsidRPr="00A8752B">
              <w:rPr>
                <w:rStyle w:val="Hyperlink"/>
                <w:rFonts w:ascii="Calibri" w:hAnsi="Calibri" w:cs="Calibri"/>
              </w:rPr>
              <w:t>www.education.gov.au/review-research-policy-and-funding-arrangements</w:t>
            </w:r>
            <w:r w:rsidR="005753D5">
              <w:rPr>
                <w:rStyle w:val="Hyperlink"/>
                <w:rFonts w:ascii="Calibri" w:hAnsi="Calibri" w:cs="Calibri"/>
              </w:rPr>
              <w:fldChar w:fldCharType="end"/>
            </w:r>
            <w:r w:rsidR="00F5619C">
              <w:rPr>
                <w:rFonts w:ascii="Calibri" w:hAnsi="Calibri" w:cs="Calibri"/>
              </w:rPr>
              <w:t xml:space="preserve">. </w:t>
            </w:r>
          </w:p>
        </w:tc>
      </w:tr>
      <w:tr w:rsidR="002D6F5F" w:rsidRPr="002D6F5F" w14:paraId="7F2B907E" w14:textId="77777777" w:rsidTr="001B1DB2">
        <w:tc>
          <w:tcPr>
            <w:tcW w:w="9026" w:type="dxa"/>
            <w:vAlign w:val="bottom"/>
            <w:hideMark/>
          </w:tcPr>
          <w:p w14:paraId="665FAAE2" w14:textId="69566152" w:rsidR="002D6F5F" w:rsidRPr="002D6F5F" w:rsidRDefault="00D56C32" w:rsidP="0077616C">
            <w:pPr>
              <w:rPr>
                <w:rFonts w:cs="Arial"/>
              </w:rPr>
            </w:pPr>
            <w:r>
              <w:rPr>
                <w:rFonts w:ascii="Calibri" w:hAnsi="Calibri" w:cstheme="minorHAnsi"/>
              </w:rPr>
              <w:t xml:space="preserve">Western Sydney University Indigenous Professoriate. </w:t>
            </w:r>
            <w:r>
              <w:rPr>
                <w:rFonts w:ascii="Calibri" w:hAnsi="Calibri" w:cs="Calibri"/>
                <w:i/>
                <w:iCs/>
              </w:rPr>
              <w:t>Submission to the Australian Universities Accord Discussion Paper,</w:t>
            </w:r>
            <w:r>
              <w:rPr>
                <w:rFonts w:ascii="Calibri" w:hAnsi="Calibri" w:cs="Calibri"/>
              </w:rPr>
              <w:t xml:space="preserve"> 2023, </w:t>
            </w:r>
            <w:hyperlink r:id="rId439" w:history="1">
              <w:r w:rsidR="00F5619C" w:rsidRPr="00A8752B">
                <w:rPr>
                  <w:rStyle w:val="Hyperlink"/>
                  <w:rFonts w:ascii="Calibri" w:hAnsi="Calibri" w:cs="Calibri"/>
                </w:rPr>
                <w:t>www.education.gov.au/australian-universities-accord/consultations/australian-universities-accord-panel-discussion-paper-consultation/submission/16041</w:t>
              </w:r>
            </w:hyperlink>
            <w:r w:rsidR="00F5619C">
              <w:rPr>
                <w:rFonts w:ascii="Calibri" w:hAnsi="Calibri" w:cs="Calibri"/>
              </w:rPr>
              <w:t xml:space="preserve">. </w:t>
            </w:r>
            <w:r>
              <w:rPr>
                <w:rFonts w:ascii="Calibri" w:hAnsi="Calibri" w:cs="Calibri"/>
              </w:rPr>
              <w:t xml:space="preserve"> </w:t>
            </w:r>
          </w:p>
        </w:tc>
      </w:tr>
      <w:tr w:rsidR="002D6F5F" w:rsidRPr="002D6F5F" w14:paraId="2097B943" w14:textId="77777777" w:rsidTr="001B1DB2">
        <w:tc>
          <w:tcPr>
            <w:tcW w:w="9026" w:type="dxa"/>
            <w:vAlign w:val="center"/>
            <w:hideMark/>
          </w:tcPr>
          <w:p w14:paraId="45531D4C" w14:textId="529163DE" w:rsidR="002D6F5F" w:rsidRPr="002D6F5F" w:rsidRDefault="00D56C32" w:rsidP="0077616C">
            <w:pPr>
              <w:rPr>
                <w:rFonts w:cs="Arial"/>
              </w:rPr>
            </w:pPr>
            <w:r>
              <w:rPr>
                <w:rFonts w:ascii="Calibri" w:hAnsi="Calibri" w:cs="Calibri"/>
              </w:rPr>
              <w:t xml:space="preserve">White, Frederick. “Robert Gordon Menzies. 20 December 1894–15 May 1978,” </w:t>
            </w:r>
            <w:r>
              <w:rPr>
                <w:rFonts w:ascii="Calibri" w:hAnsi="Calibri" w:cs="Calibri"/>
                <w:i/>
                <w:iCs/>
              </w:rPr>
              <w:t>Biographical Memoirs of Fellows of the Royal Society</w:t>
            </w:r>
            <w:r>
              <w:rPr>
                <w:rFonts w:ascii="Calibri" w:hAnsi="Calibri" w:cs="Calibri"/>
              </w:rPr>
              <w:t xml:space="preserve"> 25 (November 1979).</w:t>
            </w:r>
          </w:p>
        </w:tc>
      </w:tr>
      <w:tr w:rsidR="002D6F5F" w:rsidRPr="002D6F5F" w14:paraId="78E67768" w14:textId="77777777" w:rsidTr="001B1DB2">
        <w:tc>
          <w:tcPr>
            <w:tcW w:w="9026" w:type="dxa"/>
            <w:vAlign w:val="center"/>
            <w:hideMark/>
          </w:tcPr>
          <w:p w14:paraId="77AB1235" w14:textId="5003D46F" w:rsidR="002D6F5F" w:rsidRPr="002D6F5F" w:rsidRDefault="00D56C32" w:rsidP="0077616C">
            <w:pPr>
              <w:rPr>
                <w:rFonts w:cs="Arial"/>
              </w:rPr>
            </w:pPr>
            <w:r>
              <w:rPr>
                <w:rFonts w:ascii="Calibri" w:hAnsi="Calibri" w:cs="Calibri"/>
              </w:rPr>
              <w:t xml:space="preserve">Williams, Bruce. “The rise and fall of binary systems in two countries and the consequence for universities,” </w:t>
            </w:r>
            <w:r>
              <w:rPr>
                <w:rFonts w:ascii="Calibri" w:hAnsi="Calibri" w:cs="Calibri"/>
                <w:i/>
                <w:iCs/>
              </w:rPr>
              <w:t>Studies in Higher Education</w:t>
            </w:r>
            <w:r>
              <w:rPr>
                <w:rFonts w:ascii="Calibri" w:hAnsi="Calibri" w:cs="Calibri"/>
              </w:rPr>
              <w:t xml:space="preserve"> 17, 3 (1992): 281–293, </w:t>
            </w:r>
            <w:hyperlink r:id="rId440" w:history="1">
              <w:r w:rsidR="00B61E30" w:rsidRPr="00A8752B">
                <w:rPr>
                  <w:rStyle w:val="Hyperlink"/>
                  <w:rFonts w:ascii="Calibri" w:hAnsi="Calibri" w:cs="Calibri"/>
                </w:rPr>
                <w:t>doi.org/10.1080/03075079212331382547</w:t>
              </w:r>
            </w:hyperlink>
            <w:r w:rsidR="00B61E30">
              <w:rPr>
                <w:rFonts w:ascii="Calibri" w:hAnsi="Calibri" w:cs="Calibri"/>
              </w:rPr>
              <w:t xml:space="preserve">. </w:t>
            </w:r>
          </w:p>
        </w:tc>
      </w:tr>
      <w:tr w:rsidR="002D6F5F" w:rsidRPr="002D6F5F" w14:paraId="0E646697" w14:textId="77777777" w:rsidTr="001B1DB2">
        <w:tc>
          <w:tcPr>
            <w:tcW w:w="9026" w:type="dxa"/>
            <w:vAlign w:val="bottom"/>
            <w:hideMark/>
          </w:tcPr>
          <w:p w14:paraId="3C7FD03C" w14:textId="32BBC260" w:rsidR="002D6F5F" w:rsidRPr="002D6F5F" w:rsidRDefault="00D56C32" w:rsidP="0077616C">
            <w:pPr>
              <w:rPr>
                <w:rFonts w:cs="Arial"/>
              </w:rPr>
            </w:pPr>
            <w:bookmarkStart w:id="1662" w:name="RANGE!F282"/>
            <w:r>
              <w:rPr>
                <w:rFonts w:ascii="Calibri" w:hAnsi="Calibri" w:cs="Calibri"/>
              </w:rPr>
              <w:t xml:space="preserve">Wilson, Rachel and </w:t>
            </w:r>
            <w:proofErr w:type="spellStart"/>
            <w:r>
              <w:rPr>
                <w:rFonts w:ascii="Calibri" w:hAnsi="Calibri" w:cs="Calibri"/>
              </w:rPr>
              <w:t>Morieson</w:t>
            </w:r>
            <w:proofErr w:type="spellEnd"/>
            <w:r>
              <w:rPr>
                <w:rFonts w:ascii="Calibri" w:hAnsi="Calibri" w:cs="Calibri"/>
              </w:rPr>
              <w:t xml:space="preserve">, Lucy. “Belonging as a responsive strategy in times of </w:t>
            </w:r>
            <w:proofErr w:type="spellStart"/>
            <w:r>
              <w:rPr>
                <w:rFonts w:ascii="Calibri" w:hAnsi="Calibri" w:cs="Calibri"/>
              </w:rPr>
              <w:t>supercomplexity</w:t>
            </w:r>
            <w:proofErr w:type="spellEnd"/>
            <w:r>
              <w:rPr>
                <w:rFonts w:ascii="Calibri" w:hAnsi="Calibri" w:cs="Calibri"/>
              </w:rPr>
              <w:t xml:space="preserve"> and change,” </w:t>
            </w:r>
            <w:r>
              <w:rPr>
                <w:rFonts w:ascii="Calibri" w:hAnsi="Calibri" w:cs="Calibri"/>
                <w:i/>
                <w:iCs/>
              </w:rPr>
              <w:t>Journal of University Teaching &amp; Learning Practice</w:t>
            </w:r>
            <w:r>
              <w:rPr>
                <w:rFonts w:ascii="Calibri" w:hAnsi="Calibri" w:cs="Calibri"/>
              </w:rPr>
              <w:t xml:space="preserve"> 19, 4 (2022), </w:t>
            </w:r>
            <w:bookmarkEnd w:id="1662"/>
            <w:r w:rsidR="005753D5">
              <w:fldChar w:fldCharType="begin"/>
            </w:r>
            <w:r w:rsidR="005753D5">
              <w:instrText>HYPERLINK "https://ro.uow.edu.au/jutlp/vol19/iss4/03"</w:instrText>
            </w:r>
            <w:r w:rsidR="005753D5">
              <w:fldChar w:fldCharType="separate"/>
            </w:r>
            <w:r w:rsidR="00B61E30" w:rsidRPr="00A8752B">
              <w:rPr>
                <w:rStyle w:val="Hyperlink"/>
                <w:rFonts w:ascii="Calibri" w:hAnsi="Calibri" w:cs="Calibri"/>
              </w:rPr>
              <w:t>ro.uow.edu.au/</w:t>
            </w:r>
            <w:proofErr w:type="spellStart"/>
            <w:r w:rsidR="00B61E30" w:rsidRPr="00A8752B">
              <w:rPr>
                <w:rStyle w:val="Hyperlink"/>
                <w:rFonts w:ascii="Calibri" w:hAnsi="Calibri" w:cs="Calibri"/>
              </w:rPr>
              <w:t>jutlp</w:t>
            </w:r>
            <w:proofErr w:type="spellEnd"/>
            <w:r w:rsidR="00B61E30" w:rsidRPr="00A8752B">
              <w:rPr>
                <w:rStyle w:val="Hyperlink"/>
                <w:rFonts w:ascii="Calibri" w:hAnsi="Calibri" w:cs="Calibri"/>
              </w:rPr>
              <w:t>/vol19/iss4/03</w:t>
            </w:r>
            <w:r w:rsidR="005753D5">
              <w:rPr>
                <w:rStyle w:val="Hyperlink"/>
                <w:rFonts w:ascii="Calibri" w:hAnsi="Calibri" w:cs="Calibri"/>
              </w:rPr>
              <w:fldChar w:fldCharType="end"/>
            </w:r>
            <w:r w:rsidR="00B61E30">
              <w:rPr>
                <w:rFonts w:ascii="Calibri" w:hAnsi="Calibri" w:cs="Calibri"/>
              </w:rPr>
              <w:t xml:space="preserve">. </w:t>
            </w:r>
          </w:p>
        </w:tc>
      </w:tr>
      <w:tr w:rsidR="002D6F5F" w:rsidRPr="002D6F5F" w14:paraId="3CF07863" w14:textId="77777777" w:rsidTr="001B1DB2">
        <w:tc>
          <w:tcPr>
            <w:tcW w:w="9026" w:type="dxa"/>
            <w:vAlign w:val="bottom"/>
            <w:hideMark/>
          </w:tcPr>
          <w:p w14:paraId="3CC06BB3" w14:textId="32545141" w:rsidR="002D6F5F" w:rsidRPr="002D6F5F" w:rsidRDefault="00D56C32" w:rsidP="0077616C">
            <w:pPr>
              <w:rPr>
                <w:rFonts w:cs="Arial"/>
              </w:rPr>
            </w:pPr>
            <w:bookmarkStart w:id="1663" w:name="RANGE!F283"/>
            <w:r>
              <w:rPr>
                <w:rFonts w:ascii="Calibri" w:hAnsi="Calibri" w:cs="Calibri"/>
              </w:rPr>
              <w:lastRenderedPageBreak/>
              <w:t xml:space="preserve">World Health Organization (WHO). </w:t>
            </w:r>
            <w:r>
              <w:rPr>
                <w:rFonts w:ascii="Calibri" w:hAnsi="Calibri" w:cs="Calibri"/>
                <w:i/>
                <w:iCs/>
              </w:rPr>
              <w:t xml:space="preserve">WHO guideline on health workforce development, attraction, </w:t>
            </w:r>
            <w:proofErr w:type="gramStart"/>
            <w:r>
              <w:rPr>
                <w:rFonts w:ascii="Calibri" w:hAnsi="Calibri" w:cs="Calibri"/>
                <w:i/>
                <w:iCs/>
              </w:rPr>
              <w:t>recruitment</w:t>
            </w:r>
            <w:proofErr w:type="gramEnd"/>
            <w:r>
              <w:rPr>
                <w:rFonts w:ascii="Calibri" w:hAnsi="Calibri" w:cs="Calibri"/>
                <w:i/>
                <w:iCs/>
              </w:rPr>
              <w:t xml:space="preserve"> and retention in rural and remote areas</w:t>
            </w:r>
            <w:r>
              <w:rPr>
                <w:rFonts w:ascii="Calibri" w:hAnsi="Calibri" w:cs="Calibri"/>
              </w:rPr>
              <w:t xml:space="preserve">, (Geneva: WHO, 2021), </w:t>
            </w:r>
            <w:bookmarkEnd w:id="1663"/>
            <w:r w:rsidR="005753D5">
              <w:fldChar w:fldCharType="begin"/>
            </w:r>
            <w:r w:rsidR="005753D5">
              <w:instrText>HYPERLINK "http://www.who.int/publications/i/item/9789240024229"</w:instrText>
            </w:r>
            <w:r w:rsidR="005753D5">
              <w:fldChar w:fldCharType="separate"/>
            </w:r>
            <w:r w:rsidR="00B61E30" w:rsidRPr="00A8752B">
              <w:rPr>
                <w:rStyle w:val="Hyperlink"/>
                <w:rFonts w:ascii="Calibri" w:hAnsi="Calibri" w:cs="Calibri"/>
              </w:rPr>
              <w:t>www.who.int/publications/i/item/9789240024229</w:t>
            </w:r>
            <w:r w:rsidR="005753D5">
              <w:rPr>
                <w:rStyle w:val="Hyperlink"/>
                <w:rFonts w:ascii="Calibri" w:hAnsi="Calibri" w:cs="Calibri"/>
              </w:rPr>
              <w:fldChar w:fldCharType="end"/>
            </w:r>
            <w:r w:rsidR="00B61E30">
              <w:rPr>
                <w:rFonts w:ascii="Calibri" w:hAnsi="Calibri" w:cs="Calibri"/>
              </w:rPr>
              <w:t xml:space="preserve">. </w:t>
            </w:r>
          </w:p>
        </w:tc>
      </w:tr>
      <w:tr w:rsidR="002D6F5F" w:rsidRPr="002D6F5F" w14:paraId="7713B89A" w14:textId="77777777" w:rsidTr="001B1DB2">
        <w:tc>
          <w:tcPr>
            <w:tcW w:w="9026" w:type="dxa"/>
            <w:vAlign w:val="bottom"/>
            <w:hideMark/>
          </w:tcPr>
          <w:p w14:paraId="704736F1" w14:textId="11183EF7" w:rsidR="002D6F5F" w:rsidRPr="002D6F5F" w:rsidRDefault="00D56C32" w:rsidP="0077616C">
            <w:pPr>
              <w:rPr>
                <w:rFonts w:cs="Arial"/>
              </w:rPr>
            </w:pPr>
            <w:r>
              <w:rPr>
                <w:rFonts w:ascii="Calibri" w:hAnsi="Calibri" w:cs="Calibri"/>
              </w:rPr>
              <w:t xml:space="preserve">World Intellectual Property Organisation. “Global Innovation Index,” </w:t>
            </w:r>
            <w:r>
              <w:rPr>
                <w:rFonts w:ascii="Calibri" w:hAnsi="Calibri" w:cs="Calibri"/>
                <w:i/>
                <w:iCs/>
              </w:rPr>
              <w:t>WIPO</w:t>
            </w:r>
            <w:r>
              <w:rPr>
                <w:rFonts w:ascii="Calibri" w:hAnsi="Calibri" w:cs="Calibri"/>
              </w:rPr>
              <w:t xml:space="preserve">, September 2023, accessed 10 November 2023, </w:t>
            </w:r>
            <w:hyperlink r:id="rId441" w:history="1">
              <w:r w:rsidR="00BE7232" w:rsidRPr="00A8752B">
                <w:rPr>
                  <w:rStyle w:val="Hyperlink"/>
                  <w:rFonts w:ascii="Calibri" w:hAnsi="Calibri" w:cs="Calibri"/>
                </w:rPr>
                <w:t>www.wipo.int/global_innovation_index/en/</w:t>
              </w:r>
            </w:hyperlink>
            <w:r w:rsidR="00B61E30">
              <w:rPr>
                <w:rFonts w:ascii="Calibri" w:hAnsi="Calibri" w:cs="Calibri"/>
              </w:rPr>
              <w:t xml:space="preserve">. </w:t>
            </w:r>
          </w:p>
        </w:tc>
      </w:tr>
      <w:tr w:rsidR="002D6F5F" w:rsidRPr="002D6F5F" w14:paraId="2864F4F3" w14:textId="77777777" w:rsidTr="001B1DB2">
        <w:tc>
          <w:tcPr>
            <w:tcW w:w="9026" w:type="dxa"/>
            <w:vAlign w:val="bottom"/>
            <w:hideMark/>
          </w:tcPr>
          <w:p w14:paraId="4A9DF24B" w14:textId="5A32A126" w:rsidR="002D6F5F" w:rsidRPr="002D6F5F" w:rsidRDefault="00D56C32" w:rsidP="0077616C">
            <w:pPr>
              <w:rPr>
                <w:rFonts w:cs="Arial"/>
              </w:rPr>
            </w:pPr>
            <w:r>
              <w:rPr>
                <w:rFonts w:ascii="Calibri" w:hAnsi="Calibri" w:cs="Calibri"/>
              </w:rPr>
              <w:t xml:space="preserve">Yong, Maxwell; </w:t>
            </w:r>
            <w:proofErr w:type="spellStart"/>
            <w:r>
              <w:rPr>
                <w:rFonts w:ascii="Calibri" w:hAnsi="Calibri" w:cs="Calibri"/>
              </w:rPr>
              <w:t>Coelli</w:t>
            </w:r>
            <w:proofErr w:type="spellEnd"/>
            <w:r>
              <w:rPr>
                <w:rFonts w:ascii="Calibri" w:hAnsi="Calibri" w:cs="Calibri"/>
              </w:rPr>
              <w:t xml:space="preserve">, Michael and </w:t>
            </w:r>
            <w:proofErr w:type="spellStart"/>
            <w:r>
              <w:rPr>
                <w:rFonts w:ascii="Calibri" w:hAnsi="Calibri" w:cs="Calibri"/>
              </w:rPr>
              <w:t>Kabatek</w:t>
            </w:r>
            <w:proofErr w:type="spellEnd"/>
            <w:r>
              <w:rPr>
                <w:rFonts w:ascii="Calibri" w:hAnsi="Calibri" w:cs="Calibri"/>
              </w:rPr>
              <w:t xml:space="preserve">, Jan. </w:t>
            </w:r>
            <w:r>
              <w:rPr>
                <w:rFonts w:ascii="Calibri" w:hAnsi="Calibri" w:cs="Calibri"/>
                <w:i/>
                <w:iCs/>
              </w:rPr>
              <w:t>University fees, subsidies and field of study,</w:t>
            </w:r>
            <w:r>
              <w:rPr>
                <w:rFonts w:ascii="Calibri" w:hAnsi="Calibri" w:cs="Calibri"/>
              </w:rPr>
              <w:t xml:space="preserve"> Working Paper No. 11, 23, (Melbourne: Melbourne Institute of Applied Economic and Social Research, September 2023), </w:t>
            </w:r>
            <w:hyperlink r:id="rId442" w:history="1">
              <w:r w:rsidR="00BE7232" w:rsidRPr="00A8752B">
                <w:rPr>
                  <w:rStyle w:val="Hyperlink"/>
                  <w:rFonts w:ascii="Calibri" w:hAnsi="Calibri" w:cs="Calibri"/>
                </w:rPr>
                <w:t>melbourneinstitute.unimelb.edu.au/__data/assets/pdf_file/0011/4751741/wp2023n11.pdf</w:t>
              </w:r>
            </w:hyperlink>
            <w:r w:rsidR="00BE7232">
              <w:rPr>
                <w:rFonts w:ascii="Calibri" w:hAnsi="Calibri" w:cs="Calibri"/>
              </w:rPr>
              <w:t xml:space="preserve">. </w:t>
            </w:r>
          </w:p>
        </w:tc>
      </w:tr>
      <w:tr w:rsidR="002D6F5F" w:rsidRPr="002D6F5F" w14:paraId="13CAA2DD" w14:textId="77777777" w:rsidTr="001B1DB2">
        <w:tc>
          <w:tcPr>
            <w:tcW w:w="9026" w:type="dxa"/>
            <w:vAlign w:val="center"/>
            <w:hideMark/>
          </w:tcPr>
          <w:p w14:paraId="4415CF9D" w14:textId="372B6CEE" w:rsidR="002D6F5F" w:rsidRPr="002D6F5F" w:rsidRDefault="00D56C32" w:rsidP="0077616C">
            <w:pPr>
              <w:rPr>
                <w:rFonts w:cs="Arial"/>
              </w:rPr>
            </w:pPr>
            <w:r>
              <w:rPr>
                <w:rFonts w:ascii="Calibri" w:hAnsi="Calibri" w:cs="Calibri"/>
              </w:rPr>
              <w:t xml:space="preserve">Young, Ryan. </w:t>
            </w:r>
            <w:r>
              <w:rPr>
                <w:rFonts w:ascii="Calibri" w:hAnsi="Calibri" w:cs="Calibri"/>
                <w:i/>
                <w:iCs/>
              </w:rPr>
              <w:t>Future Disruptions for Australian Universities</w:t>
            </w:r>
            <w:r>
              <w:rPr>
                <w:rFonts w:ascii="Calibri" w:hAnsi="Calibri" w:cs="Calibri"/>
              </w:rPr>
              <w:t xml:space="preserve"> [unpublished report], (Canberra: The Australian National University National Security College, November 2023).</w:t>
            </w:r>
          </w:p>
        </w:tc>
      </w:tr>
      <w:tr w:rsidR="002D6F5F" w:rsidRPr="002D6F5F" w14:paraId="4A31C1E2" w14:textId="77777777" w:rsidTr="001B1DB2">
        <w:tc>
          <w:tcPr>
            <w:tcW w:w="9026" w:type="dxa"/>
            <w:vAlign w:val="bottom"/>
            <w:hideMark/>
          </w:tcPr>
          <w:p w14:paraId="5FD6B02E" w14:textId="0A6954CF" w:rsidR="002D6F5F" w:rsidRPr="002D6F5F" w:rsidRDefault="00D56C32" w:rsidP="0077616C">
            <w:pPr>
              <w:rPr>
                <w:rFonts w:cs="Arial"/>
              </w:rPr>
            </w:pPr>
            <w:bookmarkStart w:id="1664" w:name="RANGE!F287"/>
            <w:r>
              <w:rPr>
                <w:rFonts w:ascii="Calibri" w:hAnsi="Calibri" w:cs="Calibri"/>
              </w:rPr>
              <w:t xml:space="preserve">Your Career. “School Leavers Information Kit,” accessed 24 November 2023, </w:t>
            </w:r>
            <w:bookmarkEnd w:id="1664"/>
            <w:r w:rsidR="005753D5">
              <w:fldChar w:fldCharType="begin"/>
            </w:r>
            <w:r w:rsidR="005753D5">
              <w:instrText>HYPERLINK "http://www.yourcareer.gov.au/school-leavers-support/school-leavers-information-kit"</w:instrText>
            </w:r>
            <w:r w:rsidR="005753D5">
              <w:fldChar w:fldCharType="separate"/>
            </w:r>
            <w:r w:rsidR="0057507A" w:rsidRPr="00A8752B">
              <w:rPr>
                <w:rStyle w:val="Hyperlink"/>
                <w:rFonts w:ascii="Calibri" w:hAnsi="Calibri" w:cs="Calibri"/>
              </w:rPr>
              <w:t>www.yourcareer.gov.au/school-leavers-support/school-leavers-information-kit</w:t>
            </w:r>
            <w:r w:rsidR="005753D5">
              <w:rPr>
                <w:rStyle w:val="Hyperlink"/>
                <w:rFonts w:ascii="Calibri" w:hAnsi="Calibri" w:cs="Calibri"/>
              </w:rPr>
              <w:fldChar w:fldCharType="end"/>
            </w:r>
            <w:r w:rsidR="0057507A">
              <w:rPr>
                <w:rFonts w:ascii="Calibri" w:hAnsi="Calibri" w:cs="Calibri"/>
              </w:rPr>
              <w:t xml:space="preserve">. </w:t>
            </w:r>
          </w:p>
        </w:tc>
      </w:tr>
      <w:tr w:rsidR="002D6F5F" w:rsidRPr="002D6F5F" w14:paraId="63DE6A5F" w14:textId="77777777" w:rsidTr="001B1DB2">
        <w:tc>
          <w:tcPr>
            <w:tcW w:w="9026" w:type="dxa"/>
            <w:vAlign w:val="center"/>
            <w:hideMark/>
          </w:tcPr>
          <w:p w14:paraId="71E7C787" w14:textId="6988755E" w:rsidR="002D6F5F" w:rsidRPr="002D6F5F" w:rsidRDefault="00D56C32" w:rsidP="0077616C">
            <w:pPr>
              <w:rPr>
                <w:rFonts w:cs="Arial"/>
              </w:rPr>
            </w:pPr>
            <w:r>
              <w:rPr>
                <w:rFonts w:ascii="Calibri" w:hAnsi="Calibri" w:cs="Calibri"/>
              </w:rPr>
              <w:t xml:space="preserve">Zacharias, Nadine and Mitchell, Geoffrey. “The Importance of Highly Engaged School-University Partnerships in Widening Participation Outreach,” </w:t>
            </w:r>
            <w:r>
              <w:rPr>
                <w:rFonts w:ascii="Calibri" w:hAnsi="Calibri" w:cs="Calibri"/>
                <w:i/>
                <w:iCs/>
              </w:rPr>
              <w:t>Student Success</w:t>
            </w:r>
            <w:r>
              <w:rPr>
                <w:rFonts w:ascii="Calibri" w:hAnsi="Calibri" w:cs="Calibri"/>
              </w:rPr>
              <w:t xml:space="preserve"> 11, 1 (2020), </w:t>
            </w:r>
            <w:hyperlink r:id="rId443" w:history="1">
              <w:r w:rsidR="0057507A" w:rsidRPr="00A8752B">
                <w:rPr>
                  <w:rStyle w:val="Hyperlink"/>
                  <w:rFonts w:ascii="Calibri" w:hAnsi="Calibri" w:cs="Calibri"/>
                </w:rPr>
                <w:t>doi.org/10.5204/</w:t>
              </w:r>
              <w:proofErr w:type="gramStart"/>
              <w:r w:rsidR="0057507A" w:rsidRPr="00A8752B">
                <w:rPr>
                  <w:rStyle w:val="Hyperlink"/>
                  <w:rFonts w:ascii="Calibri" w:hAnsi="Calibri" w:cs="Calibri"/>
                </w:rPr>
                <w:t>ssj.v</w:t>
              </w:r>
              <w:proofErr w:type="gramEnd"/>
              <w:r w:rsidR="0057507A" w:rsidRPr="00A8752B">
                <w:rPr>
                  <w:rStyle w:val="Hyperlink"/>
                  <w:rFonts w:ascii="Calibri" w:hAnsi="Calibri" w:cs="Calibri"/>
                </w:rPr>
                <w:t>11i1.1458</w:t>
              </w:r>
            </w:hyperlink>
            <w:r w:rsidR="0057507A">
              <w:rPr>
                <w:rFonts w:ascii="Calibri" w:hAnsi="Calibri" w:cs="Calibri"/>
              </w:rPr>
              <w:t xml:space="preserve">. </w:t>
            </w:r>
          </w:p>
        </w:tc>
      </w:tr>
    </w:tbl>
    <w:p w14:paraId="4B3D9F0C" w14:textId="7B286EA8" w:rsidR="007B321E" w:rsidRPr="00C4084C" w:rsidRDefault="001F2C05" w:rsidP="007B321E">
      <w:bookmarkStart w:id="1665" w:name="RANGE!F332"/>
      <w:bookmarkEnd w:id="1665"/>
      <w:r>
        <w:t xml:space="preserve"> </w:t>
      </w:r>
    </w:p>
    <w:sectPr w:rsidR="007B321E" w:rsidRPr="00C4084C" w:rsidSect="00134415">
      <w:headerReference w:type="even" r:id="rId444"/>
      <w:headerReference w:type="default" r:id="rId445"/>
      <w:headerReference w:type="first" r:id="rId446"/>
      <w:pgSz w:w="11906" w:h="16838" w:code="9"/>
      <w:pgMar w:top="122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158B6" w14:textId="77777777" w:rsidR="00134415" w:rsidRDefault="00134415" w:rsidP="000A6228">
      <w:pPr>
        <w:spacing w:after="0" w:line="240" w:lineRule="auto"/>
      </w:pPr>
      <w:r>
        <w:separator/>
      </w:r>
    </w:p>
  </w:endnote>
  <w:endnote w:type="continuationSeparator" w:id="0">
    <w:p w14:paraId="29E38FA6" w14:textId="77777777" w:rsidR="00134415" w:rsidRDefault="00134415" w:rsidP="000A6228">
      <w:pPr>
        <w:spacing w:after="0" w:line="240" w:lineRule="auto"/>
      </w:pPr>
      <w:r>
        <w:continuationSeparator/>
      </w:r>
    </w:p>
  </w:endnote>
  <w:endnote w:type="continuationNotice" w:id="1">
    <w:p w14:paraId="23D29672" w14:textId="77777777" w:rsidR="00134415" w:rsidRDefault="001344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Poppins">
    <w:panose1 w:val="00000500000000000000"/>
    <w:charset w:val="00"/>
    <w:family w:val="auto"/>
    <w:pitch w:val="variable"/>
    <w:sig w:usb0="00008007" w:usb1="00000000" w:usb2="00000000" w:usb3="00000000" w:csb0="00000093" w:csb1="00000000"/>
  </w:font>
  <w:font w:name="Poppins SemiBold">
    <w:panose1 w:val="00000700000000000000"/>
    <w:charset w:val="00"/>
    <w:family w:val="auto"/>
    <w:pitch w:val="variable"/>
    <w:sig w:usb0="00008007"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58051377"/>
      <w:docPartObj>
        <w:docPartGallery w:val="Page Numbers (Bottom of Page)"/>
        <w:docPartUnique/>
      </w:docPartObj>
    </w:sdtPr>
    <w:sdtContent>
      <w:p w14:paraId="5DB4305F" w14:textId="2358B045" w:rsidR="00787037" w:rsidRDefault="00787037" w:rsidP="003E4E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C0341">
          <w:rPr>
            <w:rStyle w:val="PageNumber"/>
            <w:noProof/>
          </w:rPr>
          <w:t>2</w:t>
        </w:r>
        <w:r>
          <w:rPr>
            <w:rStyle w:val="PageNumber"/>
          </w:rPr>
          <w:fldChar w:fldCharType="end"/>
        </w:r>
      </w:p>
    </w:sdtContent>
  </w:sdt>
  <w:p w14:paraId="1BE28FD2" w14:textId="77777777" w:rsidR="00787037" w:rsidRDefault="00787037" w:rsidP="0072052F">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1FCD9" w14:textId="77777777" w:rsidR="00CA2AD7" w:rsidRDefault="00CA2AD7">
    <w:pPr>
      <w:pStyle w:val="Footer"/>
    </w:pPr>
    <w:r>
      <w:fldChar w:fldCharType="begin"/>
    </w:r>
    <w:r>
      <w:instrText xml:space="preserve"> PAGE   \* MERGEFORMAT </w:instrText>
    </w:r>
    <w:r>
      <w:fldChar w:fldCharType="separate"/>
    </w:r>
    <w:r>
      <w:rPr>
        <w:noProof/>
      </w:rPr>
      <w:t>2</w:t>
    </w:r>
    <w:r>
      <w:rPr>
        <w:noProof/>
      </w:rPr>
      <w:fldChar w:fldCharType="end"/>
    </w:r>
  </w:p>
  <w:p w14:paraId="7BBDD577" w14:textId="77777777" w:rsidR="00CA2AD7" w:rsidRDefault="00CA2AD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E0B24" w14:textId="77777777" w:rsidR="00A607C8" w:rsidRDefault="00A607C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6739830"/>
      <w:docPartObj>
        <w:docPartGallery w:val="Page Numbers (Bottom of Page)"/>
        <w:docPartUnique/>
      </w:docPartObj>
    </w:sdtPr>
    <w:sdtEndPr>
      <w:rPr>
        <w:noProof/>
      </w:rPr>
    </w:sdtEndPr>
    <w:sdtContent>
      <w:p w14:paraId="1E68F84F" w14:textId="6BB264FA" w:rsidR="00794DDF" w:rsidRDefault="00794DDF">
        <w:pPr>
          <w:pStyle w:val="Footer"/>
        </w:pPr>
        <w:r>
          <w:fldChar w:fldCharType="begin"/>
        </w:r>
        <w:r>
          <w:instrText xml:space="preserve"> PAGE   \* MERGEFORMAT </w:instrText>
        </w:r>
        <w:r>
          <w:fldChar w:fldCharType="separate"/>
        </w:r>
        <w:r>
          <w:rPr>
            <w:noProof/>
          </w:rPr>
          <w:t>2</w:t>
        </w:r>
        <w:r>
          <w:rPr>
            <w:noProof/>
          </w:rPr>
          <w:fldChar w:fldCharType="end"/>
        </w:r>
      </w:p>
    </w:sdtContent>
  </w:sdt>
  <w:p w14:paraId="3C304C76" w14:textId="3684C43C" w:rsidR="00D86284" w:rsidRDefault="00D8628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4DEA6" w14:textId="6DCDDA9C" w:rsidR="00E618C1" w:rsidRDefault="00E618C1">
    <w:pPr>
      <w:pStyle w:val="Footer"/>
    </w:pPr>
    <w:r>
      <w:fldChar w:fldCharType="begin"/>
    </w:r>
    <w:r>
      <w:instrText xml:space="preserve"> PAGE   \* MERGEFORMAT </w:instrText>
    </w:r>
    <w:r>
      <w:fldChar w:fldCharType="separate"/>
    </w:r>
    <w:r>
      <w:rPr>
        <w:noProof/>
      </w:rPr>
      <w:t>2</w:t>
    </w:r>
    <w:r>
      <w:rPr>
        <w:noProof/>
      </w:rPr>
      <w:fldChar w:fldCharType="end"/>
    </w:r>
  </w:p>
  <w:p w14:paraId="051F9215" w14:textId="77777777" w:rsidR="00FE7553" w:rsidRDefault="00FE75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6814" w14:textId="3841FBCA" w:rsidR="005B3445" w:rsidRPr="009F320A" w:rsidRDefault="005B3445" w:rsidP="00537C5B">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125985"/>
      <w:docPartObj>
        <w:docPartGallery w:val="Page Numbers (Bottom of Page)"/>
        <w:docPartUnique/>
      </w:docPartObj>
    </w:sdtPr>
    <w:sdtEndPr>
      <w:rPr>
        <w:noProof/>
      </w:rPr>
    </w:sdtEndPr>
    <w:sdtContent>
      <w:p w14:paraId="6C738377" w14:textId="53F263E4" w:rsidR="005B3445" w:rsidRDefault="003420C8" w:rsidP="009F320A">
        <w:pPr>
          <w:pStyle w:val="Footer"/>
        </w:pPr>
        <w:r>
          <w:fldChar w:fldCharType="begin"/>
        </w:r>
        <w:r>
          <w:instrText xml:space="preserve"> PAGE   \* MERGEFORMAT </w:instrText>
        </w:r>
        <w:r>
          <w:fldChar w:fldCharType="separate"/>
        </w:r>
        <w:r>
          <w:t>11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5326264"/>
      <w:docPartObj>
        <w:docPartGallery w:val="Page Numbers (Bottom of Page)"/>
        <w:docPartUnique/>
      </w:docPartObj>
    </w:sdtPr>
    <w:sdtEndPr>
      <w:rPr>
        <w:noProof/>
      </w:rPr>
    </w:sdtEndPr>
    <w:sdtContent>
      <w:p w14:paraId="089FC966" w14:textId="77777777" w:rsidR="00537C5B" w:rsidRPr="009F320A" w:rsidRDefault="00537C5B" w:rsidP="00537C5B">
        <w:pPr>
          <w:pStyle w:val="Footer"/>
        </w:pPr>
        <w:r>
          <w:fldChar w:fldCharType="begin"/>
        </w:r>
        <w:r>
          <w:instrText xml:space="preserve"> PAGE   \* MERGEFORMAT </w:instrText>
        </w:r>
        <w:r>
          <w:fldChar w:fldCharType="separate"/>
        </w:r>
        <w:proofErr w:type="spellStart"/>
        <w:r>
          <w:t>i</w:t>
        </w:r>
        <w:proofErr w:type="spellEnd"/>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247496"/>
      <w:docPartObj>
        <w:docPartGallery w:val="Page Numbers (Bottom of Page)"/>
        <w:docPartUnique/>
      </w:docPartObj>
    </w:sdtPr>
    <w:sdtEndPr>
      <w:rPr>
        <w:noProof/>
      </w:rPr>
    </w:sdtEndPr>
    <w:sdtContent>
      <w:p w14:paraId="77D915B5" w14:textId="77777777" w:rsidR="00537C5B" w:rsidRDefault="00537C5B" w:rsidP="009F320A">
        <w:pPr>
          <w:pStyle w:val="Footer"/>
        </w:pPr>
        <w:r>
          <w:fldChar w:fldCharType="begin"/>
        </w:r>
        <w:r>
          <w:instrText xml:space="preserve"> PAGE   \* MERGEFORMAT </w:instrText>
        </w:r>
        <w:r>
          <w:fldChar w:fldCharType="separate"/>
        </w:r>
        <w:r>
          <w:t>11</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959633"/>
      <w:docPartObj>
        <w:docPartGallery w:val="Page Numbers (Bottom of Page)"/>
        <w:docPartUnique/>
      </w:docPartObj>
    </w:sdtPr>
    <w:sdtEndPr>
      <w:rPr>
        <w:noProof/>
      </w:rPr>
    </w:sdtEndPr>
    <w:sdtContent>
      <w:p w14:paraId="39D5E7FC" w14:textId="77777777" w:rsidR="00537C5B" w:rsidRDefault="00537C5B" w:rsidP="009F320A">
        <w:pPr>
          <w:pStyle w:val="Footer"/>
        </w:pPr>
        <w:r>
          <w:fldChar w:fldCharType="begin"/>
        </w:r>
        <w:r>
          <w:instrText xml:space="preserve"> PAGE   \* MERGEFORMAT </w:instrText>
        </w:r>
        <w:r>
          <w:fldChar w:fldCharType="separate"/>
        </w:r>
        <w:r>
          <w:t>11</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57868733"/>
      <w:docPartObj>
        <w:docPartGallery w:val="Page Numbers (Bottom of Page)"/>
        <w:docPartUnique/>
      </w:docPartObj>
    </w:sdtPr>
    <w:sdtContent>
      <w:p w14:paraId="42913B13" w14:textId="78B045AD" w:rsidR="00787037" w:rsidRDefault="00787037" w:rsidP="003E4E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p>
    </w:sdtContent>
  </w:sdt>
  <w:p w14:paraId="6119748F" w14:textId="5D4664BB" w:rsidR="007B321E" w:rsidRPr="00A25E6D" w:rsidRDefault="007B321E" w:rsidP="0072052F">
    <w:pPr>
      <w:pStyle w:val="Header"/>
      <w:ind w:right="360"/>
      <w:rPr>
        <w:color w:val="FF000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97335" w14:textId="77777777" w:rsidR="00CA2AD7" w:rsidRDefault="00CA2AD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9058499"/>
      <w:docPartObj>
        <w:docPartGallery w:val="Page Numbers (Bottom of Page)"/>
        <w:docPartUnique/>
      </w:docPartObj>
    </w:sdtPr>
    <w:sdtEndPr>
      <w:rPr>
        <w:noProof/>
      </w:rPr>
    </w:sdtEndPr>
    <w:sdtContent>
      <w:p w14:paraId="2AED5223" w14:textId="77777777" w:rsidR="00CA2AD7" w:rsidRDefault="00CA2AD7">
        <w:pPr>
          <w:pStyle w:val="Footer"/>
        </w:pPr>
        <w:r>
          <w:fldChar w:fldCharType="begin"/>
        </w:r>
        <w:r>
          <w:instrText xml:space="preserve"> PAGE   \* MERGEFORMAT </w:instrText>
        </w:r>
        <w:r>
          <w:fldChar w:fldCharType="separate"/>
        </w:r>
        <w:r>
          <w:rPr>
            <w:noProof/>
          </w:rPr>
          <w:t>2</w:t>
        </w:r>
        <w:r>
          <w:rPr>
            <w:noProof/>
          </w:rPr>
          <w:fldChar w:fldCharType="end"/>
        </w:r>
      </w:p>
    </w:sdtContent>
  </w:sdt>
  <w:p w14:paraId="6D74D6DD" w14:textId="77777777" w:rsidR="00CA2AD7" w:rsidRDefault="00CA2A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9A36C" w14:textId="77777777" w:rsidR="00134415" w:rsidRDefault="00134415" w:rsidP="000A6228">
      <w:pPr>
        <w:spacing w:after="0" w:line="240" w:lineRule="auto"/>
      </w:pPr>
      <w:r>
        <w:separator/>
      </w:r>
    </w:p>
  </w:footnote>
  <w:footnote w:type="continuationSeparator" w:id="0">
    <w:p w14:paraId="4D545C7E" w14:textId="77777777" w:rsidR="00134415" w:rsidRDefault="00134415" w:rsidP="000A6228">
      <w:pPr>
        <w:spacing w:after="0" w:line="240" w:lineRule="auto"/>
      </w:pPr>
      <w:r>
        <w:continuationSeparator/>
      </w:r>
    </w:p>
  </w:footnote>
  <w:footnote w:type="continuationNotice" w:id="1">
    <w:p w14:paraId="513065B4" w14:textId="77777777" w:rsidR="00134415" w:rsidRDefault="00134415">
      <w:pPr>
        <w:spacing w:after="0" w:line="240" w:lineRule="auto"/>
      </w:pPr>
    </w:p>
  </w:footnote>
  <w:footnote w:id="2">
    <w:p w14:paraId="490D5335" w14:textId="43BF07B2" w:rsidR="000C6E9B" w:rsidRDefault="000C6E9B">
      <w:pPr>
        <w:pStyle w:val="FootnoteText"/>
      </w:pPr>
      <w:r>
        <w:rPr>
          <w:rStyle w:val="FootnoteReference"/>
        </w:rPr>
        <w:footnoteRef/>
      </w:r>
      <w:r>
        <w:t xml:space="preserve"> </w:t>
      </w:r>
      <w:r w:rsidR="003611A3">
        <w:rPr>
          <w:rStyle w:val="normaltextrun"/>
          <w:rFonts w:cs="Calibri"/>
          <w:color w:val="000000"/>
          <w:shd w:val="clear" w:color="auto" w:fill="FFFFFF"/>
        </w:rPr>
        <w:t>First Address Low SES SA1. Domestic undergraduate Table A student population; </w:t>
      </w:r>
      <w:r w:rsidR="003611A3" w:rsidRPr="00556627">
        <w:rPr>
          <w:rStyle w:val="normaltextrun"/>
          <w:rFonts w:cs="Calibri"/>
          <w:color w:val="000000"/>
          <w:shd w:val="clear" w:color="auto" w:fill="FFFFFF"/>
        </w:rPr>
        <w:t>Department of Education, </w:t>
      </w:r>
      <w:r w:rsidR="003611A3" w:rsidRPr="000A4BE0">
        <w:rPr>
          <w:i/>
        </w:rPr>
        <w:t>Higher Education Statistics</w:t>
      </w:r>
      <w:r w:rsidR="003611A3">
        <w:rPr>
          <w:i/>
        </w:rPr>
        <w:t xml:space="preserve"> – Student Data – </w:t>
      </w:r>
      <w:r w:rsidR="003611A3" w:rsidRPr="000A4BE0">
        <w:rPr>
          <w:i/>
        </w:rPr>
        <w:t>202</w:t>
      </w:r>
      <w:r w:rsidR="003611A3">
        <w:rPr>
          <w:i/>
        </w:rPr>
        <w:t>2</w:t>
      </w:r>
      <w:r w:rsidR="003611A3" w:rsidRPr="000A4BE0">
        <w:rPr>
          <w:i/>
        </w:rPr>
        <w:t xml:space="preserve"> Section 11 Equity groups</w:t>
      </w:r>
      <w:r w:rsidR="003611A3">
        <w:rPr>
          <w:iCs/>
        </w:rPr>
        <w:t xml:space="preserve"> [data set]</w:t>
      </w:r>
      <w:r w:rsidR="003611A3">
        <w:t>, (Canberra: 2023)</w:t>
      </w:r>
      <w:r w:rsidR="003611A3" w:rsidRPr="00EE5E31">
        <w:t xml:space="preserve">, </w:t>
      </w:r>
      <w:r w:rsidR="003611A3">
        <w:t>accessed 18 December 2023,</w:t>
      </w:r>
      <w:r w:rsidR="003611A3" w:rsidRPr="00EE5E31">
        <w:t xml:space="preserve"> </w:t>
      </w:r>
      <w:hyperlink r:id="rId1" w:history="1">
        <w:r w:rsidR="003611A3" w:rsidRPr="003611A3">
          <w:rPr>
            <w:rStyle w:val="Hyperlink"/>
          </w:rPr>
          <w:t>www.education.gov.au/higher-education-statistics/resources/2022-section-11-equity-groups</w:t>
        </w:r>
      </w:hyperlink>
      <w:r w:rsidR="003611A3" w:rsidRPr="008347D2">
        <w:t>.</w:t>
      </w:r>
    </w:p>
  </w:footnote>
  <w:footnote w:id="3">
    <w:p w14:paraId="0EA29A7E" w14:textId="129719D3" w:rsidR="00F575B7" w:rsidRDefault="00F575B7">
      <w:pPr>
        <w:pStyle w:val="FootnoteText"/>
      </w:pPr>
      <w:r>
        <w:rPr>
          <w:rStyle w:val="FootnoteReference"/>
        </w:rPr>
        <w:footnoteRef/>
      </w:r>
      <w:r>
        <w:t xml:space="preserve"> </w:t>
      </w:r>
      <w:r>
        <w:rPr>
          <w:rStyle w:val="normaltextrun"/>
          <w:rFonts w:ascii="Calibri" w:hAnsi="Calibri" w:cs="Calibri"/>
          <w:color w:val="000000"/>
          <w:shd w:val="clear" w:color="auto" w:fill="FFFFFF"/>
        </w:rPr>
        <w:t>Department of Education</w:t>
      </w:r>
      <w:r>
        <w:rPr>
          <w:rStyle w:val="normaltextrun"/>
          <w:rFonts w:ascii="Calibri" w:hAnsi="Calibri" w:cs="Calibri"/>
          <w:i/>
          <w:iCs/>
          <w:color w:val="000000"/>
          <w:shd w:val="clear" w:color="auto" w:fill="FFFFFF"/>
        </w:rPr>
        <w:t xml:space="preserve">, Higher Education Statistics – </w:t>
      </w:r>
      <w:r w:rsidRPr="00D731B0">
        <w:rPr>
          <w:rStyle w:val="normaltextrun"/>
          <w:rFonts w:ascii="Calibri" w:hAnsi="Calibri" w:cs="Calibri"/>
          <w:i/>
          <w:iCs/>
          <w:color w:val="000000"/>
          <w:shd w:val="clear" w:color="auto" w:fill="FFFFFF"/>
        </w:rPr>
        <w:t xml:space="preserve">Student Data – </w:t>
      </w:r>
      <w:r w:rsidR="00AE43D1" w:rsidRPr="00D731B0">
        <w:rPr>
          <w:rStyle w:val="normaltextrun"/>
          <w:rFonts w:ascii="Calibri" w:hAnsi="Calibri" w:cs="Calibri"/>
          <w:i/>
          <w:iCs/>
          <w:color w:val="000000"/>
          <w:shd w:val="clear" w:color="auto" w:fill="FFFFFF"/>
        </w:rPr>
        <w:t xml:space="preserve">2022 </w:t>
      </w:r>
      <w:r w:rsidRPr="00D731B0">
        <w:rPr>
          <w:rStyle w:val="normaltextrun"/>
          <w:rFonts w:ascii="Calibri" w:hAnsi="Calibri" w:cs="Calibri"/>
          <w:i/>
          <w:iCs/>
          <w:color w:val="000000"/>
          <w:shd w:val="clear" w:color="auto" w:fill="FFFFFF"/>
        </w:rPr>
        <w:t>Section 5 Liability Status </w:t>
      </w:r>
      <w:r w:rsidRPr="00D731B0">
        <w:rPr>
          <w:rStyle w:val="normaltextrun"/>
          <w:rFonts w:ascii="Calibri" w:hAnsi="Calibri" w:cs="Calibri"/>
          <w:color w:val="000000"/>
          <w:shd w:val="clear" w:color="auto" w:fill="FFFFFF"/>
        </w:rPr>
        <w:t>[data set], (</w:t>
      </w:r>
      <w:r w:rsidR="00CE5632" w:rsidRPr="00D731B0">
        <w:rPr>
          <w:rStyle w:val="normaltextrun"/>
          <w:rFonts w:ascii="Calibri" w:hAnsi="Calibri" w:cs="Calibri"/>
          <w:color w:val="000000"/>
          <w:shd w:val="clear" w:color="auto" w:fill="FFFFFF"/>
        </w:rPr>
        <w:t>Canberra:</w:t>
      </w:r>
      <w:r w:rsidRPr="00D731B0">
        <w:rPr>
          <w:rStyle w:val="normaltextrun"/>
          <w:rFonts w:ascii="Calibri" w:hAnsi="Calibri" w:cs="Calibri"/>
          <w:color w:val="000000"/>
          <w:shd w:val="clear" w:color="auto" w:fill="FFFFFF"/>
        </w:rPr>
        <w:t xml:space="preserve"> 2023), </w:t>
      </w:r>
      <w:r w:rsidRPr="00D45CE4">
        <w:rPr>
          <w:rStyle w:val="normaltextrun"/>
          <w:rFonts w:ascii="Calibri" w:hAnsi="Calibri" w:cs="Calibri"/>
          <w:color w:val="000000"/>
          <w:shd w:val="clear" w:color="auto" w:fill="FFFFFF"/>
        </w:rPr>
        <w:t>accessed</w:t>
      </w:r>
      <w:r w:rsidR="000A124A">
        <w:rPr>
          <w:rStyle w:val="normaltextrun"/>
          <w:rFonts w:ascii="Calibri" w:hAnsi="Calibri" w:cs="Calibri"/>
          <w:color w:val="000000"/>
          <w:shd w:val="clear" w:color="auto" w:fill="FFFFFF"/>
        </w:rPr>
        <w:t xml:space="preserve"> </w:t>
      </w:r>
      <w:r w:rsidR="00D45CE4">
        <w:rPr>
          <w:rStyle w:val="normaltextrun"/>
          <w:rFonts w:ascii="Calibri" w:hAnsi="Calibri" w:cs="Calibri"/>
          <w:color w:val="000000"/>
          <w:shd w:val="clear" w:color="auto" w:fill="FFFFFF"/>
        </w:rPr>
        <w:t>18 December 2023</w:t>
      </w:r>
      <w:r w:rsidR="00024FED" w:rsidRPr="00D45CE4">
        <w:rPr>
          <w:rStyle w:val="normaltextrun"/>
          <w:rFonts w:ascii="Calibri" w:hAnsi="Calibri" w:cs="Calibri"/>
          <w:color w:val="000000"/>
          <w:shd w:val="clear" w:color="auto" w:fill="FFFFFF"/>
        </w:rPr>
        <w:t>,</w:t>
      </w:r>
      <w:r w:rsidR="00024FED" w:rsidRPr="00D45CE4">
        <w:rPr>
          <w:rStyle w:val="normaltextrun"/>
          <w:rFonts w:ascii="Calibri" w:hAnsi="Calibri" w:cs="Calibri"/>
          <w:i/>
          <w:iCs/>
          <w:color w:val="000000"/>
          <w:shd w:val="clear" w:color="auto" w:fill="FFFFFF"/>
        </w:rPr>
        <w:t> </w:t>
      </w:r>
      <w:hyperlink r:id="rId2" w:history="1">
        <w:r w:rsidR="00317C34" w:rsidRPr="00811871">
          <w:rPr>
            <w:rStyle w:val="Hyperlink"/>
            <w:rFonts w:ascii="Calibri" w:hAnsi="Calibri" w:cs="Calibri"/>
            <w:shd w:val="clear" w:color="auto" w:fill="FFFFFF"/>
          </w:rPr>
          <w:t>www.education.gov.au/higher-education-statistics/resources/2022-section-5-liability-status-categories</w:t>
        </w:r>
      </w:hyperlink>
      <w:r w:rsidR="00317C34">
        <w:rPr>
          <w:rStyle w:val="normaltextrun"/>
          <w:rFonts w:ascii="Calibri" w:hAnsi="Calibri" w:cs="Calibri"/>
          <w:color w:val="000000"/>
          <w:shd w:val="clear" w:color="auto" w:fill="FFFFFF"/>
        </w:rPr>
        <w:t xml:space="preserve">. </w:t>
      </w:r>
    </w:p>
  </w:footnote>
  <w:footnote w:id="4">
    <w:p w14:paraId="4875C919" w14:textId="69EAC604" w:rsidR="00FE2D2D" w:rsidRDefault="00FE2D2D">
      <w:pPr>
        <w:pStyle w:val="FootnoteText"/>
      </w:pPr>
      <w:r>
        <w:rPr>
          <w:rStyle w:val="FootnoteReference"/>
        </w:rPr>
        <w:footnoteRef/>
      </w:r>
      <w:r>
        <w:t xml:space="preserve"> </w:t>
      </w:r>
      <w:r w:rsidR="00657430" w:rsidRPr="005513E1">
        <w:rPr>
          <w:rStyle w:val="ui-provider"/>
        </w:rPr>
        <w:t>Department of Education</w:t>
      </w:r>
      <w:r w:rsidR="00657430">
        <w:rPr>
          <w:rStyle w:val="ui-provider"/>
        </w:rPr>
        <w:t>,</w:t>
      </w:r>
      <w:r w:rsidR="00657430" w:rsidRPr="005513E1">
        <w:rPr>
          <w:rStyle w:val="ui-provider"/>
        </w:rPr>
        <w:t xml:space="preserve"> </w:t>
      </w:r>
      <w:r w:rsidR="00657430" w:rsidRPr="000169B0">
        <w:rPr>
          <w:rStyle w:val="ui-provider"/>
          <w:i/>
          <w:iCs/>
        </w:rPr>
        <w:t>Q</w:t>
      </w:r>
      <w:r w:rsidR="00657430">
        <w:rPr>
          <w:rStyle w:val="ui-provider"/>
          <w:i/>
          <w:iCs/>
        </w:rPr>
        <w:t>uality Indicators for Learning and Teaching (</w:t>
      </w:r>
      <w:r w:rsidR="00657430">
        <w:rPr>
          <w:rStyle w:val="ui-provider"/>
          <w:i/>
        </w:rPr>
        <w:t>QILT</w:t>
      </w:r>
      <w:r w:rsidR="00657430">
        <w:rPr>
          <w:rStyle w:val="ui-provider"/>
          <w:i/>
          <w:iCs/>
        </w:rPr>
        <w:t>)</w:t>
      </w:r>
      <w:r w:rsidR="00657430" w:rsidRPr="000169B0">
        <w:rPr>
          <w:rStyle w:val="ui-provider"/>
          <w:i/>
        </w:rPr>
        <w:t xml:space="preserve"> LSAY Y15 cohort data</w:t>
      </w:r>
      <w:r w:rsidR="00657430">
        <w:rPr>
          <w:rStyle w:val="ui-provider"/>
        </w:rPr>
        <w:t xml:space="preserve"> [unpublished data], (Canberra: 2016).</w:t>
      </w:r>
    </w:p>
  </w:footnote>
  <w:footnote w:id="5">
    <w:p w14:paraId="77BE79A2" w14:textId="49C6652E" w:rsidR="00C97F5E" w:rsidRDefault="00C97F5E">
      <w:pPr>
        <w:pStyle w:val="FootnoteText"/>
      </w:pPr>
      <w:r>
        <w:rPr>
          <w:rStyle w:val="FootnoteReference"/>
        </w:rPr>
        <w:footnoteRef/>
      </w:r>
      <w:r>
        <w:t xml:space="preserve"> Nicholas Biddle, </w:t>
      </w:r>
      <w:r w:rsidRPr="00DF4A40">
        <w:rPr>
          <w:i/>
        </w:rPr>
        <w:t>Attitudes towards education in Australia</w:t>
      </w:r>
      <w:r w:rsidR="64A78018">
        <w:t>, (Canberra:</w:t>
      </w:r>
      <w:r>
        <w:t xml:space="preserve"> ANU Centre for Social Research and Methods, 2023</w:t>
      </w:r>
      <w:r w:rsidR="64A78018">
        <w:t>),</w:t>
      </w:r>
      <w:r>
        <w:t xml:space="preserve"> 13, </w:t>
      </w:r>
      <w:hyperlink r:id="rId3" w:history="1">
        <w:r w:rsidR="00DF4A40" w:rsidRPr="00DF4A40">
          <w:rPr>
            <w:rStyle w:val="Hyperlink"/>
          </w:rPr>
          <w:t>csrm.cass.</w:t>
        </w:r>
        <w:bookmarkStart w:id="11" w:name="_Hlt155705918"/>
        <w:bookmarkStart w:id="12" w:name="_Hlt155705919"/>
        <w:bookmarkEnd w:id="11"/>
        <w:bookmarkEnd w:id="12"/>
        <w:r w:rsidR="00DF4A40" w:rsidRPr="00DF4A40">
          <w:rPr>
            <w:rStyle w:val="Hyperlink"/>
          </w:rPr>
          <w:t>anu.edu.au/sites/default/files/docs/2023/8/Attitudes_towards_</w:t>
        </w:r>
        <w:r w:rsidR="00DF4A40" w:rsidRPr="00DF4A40">
          <w:rPr>
            <w:rStyle w:val="Hyperlink"/>
          </w:rPr>
          <w:br/>
          <w:t>education_in_Australia_-_For_web.pdf</w:t>
        </w:r>
      </w:hyperlink>
      <w:r w:rsidR="00DF4A40">
        <w:t xml:space="preserve">. </w:t>
      </w:r>
    </w:p>
  </w:footnote>
  <w:footnote w:id="6">
    <w:p w14:paraId="0DEA9DE7" w14:textId="5B247205" w:rsidR="00B26E7F" w:rsidRDefault="00B26E7F" w:rsidP="00B26E7F">
      <w:pPr>
        <w:pStyle w:val="FootnoteText"/>
      </w:pPr>
      <w:r>
        <w:rPr>
          <w:rStyle w:val="FootnoteReference"/>
        </w:rPr>
        <w:footnoteRef/>
      </w:r>
      <w:r>
        <w:t xml:space="preserve"> </w:t>
      </w:r>
      <w:r>
        <w:rPr>
          <w:rStyle w:val="normaltextrun"/>
          <w:rFonts w:ascii="Calibri" w:hAnsi="Calibri" w:cs="Calibri"/>
          <w:color w:val="000000"/>
          <w:shd w:val="clear" w:color="auto" w:fill="FFFFFF"/>
        </w:rPr>
        <w:t xml:space="preserve">Maxwell Yong, Michael </w:t>
      </w:r>
      <w:proofErr w:type="spellStart"/>
      <w:r>
        <w:rPr>
          <w:rStyle w:val="normaltextrun"/>
          <w:rFonts w:ascii="Calibri" w:hAnsi="Calibri" w:cs="Calibri"/>
          <w:color w:val="000000"/>
          <w:shd w:val="clear" w:color="auto" w:fill="FFFFFF"/>
        </w:rPr>
        <w:t>Coelli</w:t>
      </w:r>
      <w:proofErr w:type="spellEnd"/>
      <w:r w:rsidR="008B4437" w:rsidRPr="008B4437">
        <w:rPr>
          <w:rStyle w:val="normaltextrun"/>
          <w:rFonts w:ascii="Calibri" w:hAnsi="Calibri" w:cs="Calibri"/>
          <w:color w:val="000000"/>
          <w:shd w:val="clear" w:color="auto" w:fill="FFFFFF"/>
        </w:rPr>
        <w:t xml:space="preserve"> and </w:t>
      </w:r>
      <w:r>
        <w:rPr>
          <w:rStyle w:val="normaltextrun"/>
          <w:rFonts w:ascii="Calibri" w:hAnsi="Calibri" w:cs="Calibri"/>
          <w:color w:val="000000"/>
          <w:shd w:val="clear" w:color="auto" w:fill="FFFFFF"/>
        </w:rPr>
        <w:t xml:space="preserve">Jan </w:t>
      </w:r>
      <w:proofErr w:type="spellStart"/>
      <w:r>
        <w:rPr>
          <w:rStyle w:val="normaltextrun"/>
          <w:rFonts w:ascii="Calibri" w:hAnsi="Calibri" w:cs="Calibri"/>
          <w:color w:val="000000"/>
          <w:shd w:val="clear" w:color="auto" w:fill="FFFFFF"/>
        </w:rPr>
        <w:t>Kabatek</w:t>
      </w:r>
      <w:proofErr w:type="spellEnd"/>
      <w:r>
        <w:rPr>
          <w:rStyle w:val="normaltextrun"/>
          <w:rFonts w:ascii="Calibri" w:hAnsi="Calibri" w:cs="Calibri"/>
          <w:color w:val="000000"/>
          <w:shd w:val="clear" w:color="auto" w:fill="FFFFFF"/>
        </w:rPr>
        <w:t xml:space="preserve">, </w:t>
      </w:r>
      <w:r w:rsidRPr="008C4411">
        <w:rPr>
          <w:rStyle w:val="normaltextrun"/>
          <w:rFonts w:ascii="Calibri" w:hAnsi="Calibri" w:cs="Calibri"/>
          <w:i/>
          <w:color w:val="000000"/>
          <w:shd w:val="clear" w:color="auto" w:fill="FFFFFF"/>
        </w:rPr>
        <w:t>University fees, subsidies and field of study</w:t>
      </w:r>
      <w:r w:rsidR="008B4437" w:rsidRPr="008C4411">
        <w:rPr>
          <w:rStyle w:val="normaltextrun"/>
          <w:rFonts w:ascii="Calibri" w:hAnsi="Calibri" w:cs="Calibri"/>
          <w:i/>
          <w:iCs/>
          <w:color w:val="000000"/>
          <w:shd w:val="clear" w:color="auto" w:fill="FFFFFF"/>
        </w:rPr>
        <w:t>,</w:t>
      </w:r>
      <w:r w:rsidR="008B4437" w:rsidRPr="008B4437">
        <w:rPr>
          <w:rStyle w:val="normaltextrun"/>
          <w:rFonts w:ascii="Calibri" w:hAnsi="Calibri" w:cs="Calibri"/>
          <w:color w:val="000000"/>
          <w:shd w:val="clear" w:color="auto" w:fill="FFFFFF"/>
        </w:rPr>
        <w:t xml:space="preserve"> </w:t>
      </w:r>
      <w:r w:rsidRPr="008B4437">
        <w:rPr>
          <w:rStyle w:val="normaltextrun"/>
          <w:rFonts w:ascii="Calibri" w:hAnsi="Calibri" w:cs="Calibri"/>
          <w:color w:val="000000"/>
          <w:shd w:val="clear" w:color="auto" w:fill="FFFFFF"/>
        </w:rPr>
        <w:t>Working Paper No. 11</w:t>
      </w:r>
      <w:r w:rsidR="008B4437" w:rsidRPr="008B4437">
        <w:rPr>
          <w:rStyle w:val="normaltextrun"/>
          <w:rFonts w:ascii="Calibri" w:hAnsi="Calibri" w:cs="Calibri"/>
          <w:color w:val="000000"/>
          <w:shd w:val="clear" w:color="auto" w:fill="FFFFFF"/>
        </w:rPr>
        <w:t xml:space="preserve">, </w:t>
      </w:r>
      <w:r w:rsidRPr="008B4437">
        <w:rPr>
          <w:rStyle w:val="normaltextrun"/>
          <w:rFonts w:ascii="Calibri" w:hAnsi="Calibri" w:cs="Calibri"/>
          <w:color w:val="000000"/>
          <w:shd w:val="clear" w:color="auto" w:fill="FFFFFF"/>
        </w:rPr>
        <w:t>23</w:t>
      </w:r>
      <w:r>
        <w:rPr>
          <w:rStyle w:val="normaltextrun"/>
          <w:rFonts w:ascii="Calibri" w:hAnsi="Calibri" w:cs="Calibri"/>
          <w:color w:val="000000"/>
          <w:shd w:val="clear" w:color="auto" w:fill="FFFFFF"/>
        </w:rPr>
        <w:t xml:space="preserve">, </w:t>
      </w:r>
      <w:r w:rsidR="008B4437" w:rsidRPr="008B4437">
        <w:rPr>
          <w:rStyle w:val="normaltextrun"/>
          <w:rFonts w:ascii="Calibri" w:hAnsi="Calibri" w:cs="Calibri"/>
          <w:color w:val="000000"/>
          <w:shd w:val="clear" w:color="auto" w:fill="FFFFFF"/>
        </w:rPr>
        <w:t>(Melbourne: Melbourne Institute of Applied Economic and Social Research, September</w:t>
      </w:r>
      <w:r>
        <w:rPr>
          <w:rStyle w:val="normaltextrun"/>
          <w:rFonts w:ascii="Calibri" w:hAnsi="Calibri" w:cs="Calibri"/>
          <w:color w:val="000000"/>
          <w:shd w:val="clear" w:color="auto" w:fill="FFFFFF"/>
        </w:rPr>
        <w:t xml:space="preserve"> 2023</w:t>
      </w:r>
      <w:r w:rsidR="008B4437" w:rsidRPr="008B4437">
        <w:rPr>
          <w:rStyle w:val="normaltextrun"/>
          <w:rFonts w:ascii="Calibri" w:hAnsi="Calibri" w:cs="Calibri"/>
          <w:color w:val="000000"/>
          <w:shd w:val="clear" w:color="auto" w:fill="FFFFFF"/>
        </w:rPr>
        <w:t xml:space="preserve">), </w:t>
      </w:r>
      <w:r w:rsidR="008B4437">
        <w:rPr>
          <w:rStyle w:val="normaltextrun"/>
          <w:rFonts w:ascii="Calibri" w:hAnsi="Calibri" w:cs="Calibri"/>
          <w:color w:val="000000"/>
          <w:shd w:val="clear" w:color="auto" w:fill="FFFFFF"/>
        </w:rPr>
        <w:t>4</w:t>
      </w:r>
      <w:r w:rsidR="008B4437" w:rsidRPr="008B4437">
        <w:rPr>
          <w:rStyle w:val="normaltextrun"/>
          <w:rFonts w:ascii="Calibri" w:hAnsi="Calibri" w:cs="Calibri"/>
          <w:color w:val="000000"/>
          <w:shd w:val="clear" w:color="auto" w:fill="FFFFFF"/>
        </w:rPr>
        <w:t xml:space="preserve">, </w:t>
      </w:r>
      <w:hyperlink r:id="rId4" w:history="1">
        <w:r w:rsidR="00317C34" w:rsidRPr="00811871">
          <w:rPr>
            <w:rStyle w:val="Hyperlink"/>
            <w:rFonts w:ascii="Calibri" w:hAnsi="Calibri" w:cs="Calibri"/>
            <w:shd w:val="clear" w:color="auto" w:fill="FFFFFF"/>
          </w:rPr>
          <w:t>melbourneinstitute.unimelb.edu.au/__data/assets/pdf_file/0011/4751741/wp2023n11.pdf</w:t>
        </w:r>
      </w:hyperlink>
      <w:r w:rsidR="00317C34">
        <w:rPr>
          <w:rStyle w:val="normaltextrun"/>
          <w:rFonts w:ascii="Calibri" w:hAnsi="Calibri" w:cs="Calibri"/>
          <w:color w:val="000000"/>
          <w:shd w:val="clear" w:color="auto" w:fill="FFFFFF"/>
        </w:rPr>
        <w:t xml:space="preserve">. </w:t>
      </w:r>
    </w:p>
  </w:footnote>
  <w:footnote w:id="7">
    <w:p w14:paraId="0C9D69D7" w14:textId="203721A1" w:rsidR="00847FB5" w:rsidRDefault="00847FB5">
      <w:pPr>
        <w:pStyle w:val="FootnoteText"/>
      </w:pPr>
      <w:r>
        <w:rPr>
          <w:rStyle w:val="FootnoteReference"/>
        </w:rPr>
        <w:footnoteRef/>
      </w:r>
      <w:r w:rsidRPr="00EA2732">
        <w:t xml:space="preserve"> </w:t>
      </w:r>
      <w:r w:rsidR="00C14522">
        <w:t>Quality</w:t>
      </w:r>
      <w:r w:rsidR="000D7DE8" w:rsidRPr="0017083A">
        <w:t xml:space="preserve"> Indicators for Learning and Teaching</w:t>
      </w:r>
      <w:r w:rsidR="00C14522">
        <w:t xml:space="preserve"> (QILT)</w:t>
      </w:r>
      <w:r w:rsidR="000D7DE8" w:rsidRPr="0017083A">
        <w:t xml:space="preserve">, </w:t>
      </w:r>
      <w:r w:rsidR="000D7DE8" w:rsidRPr="008C4411">
        <w:rPr>
          <w:i/>
        </w:rPr>
        <w:t>2022 Student Experience Survey</w:t>
      </w:r>
      <w:r w:rsidR="000D7DE8" w:rsidRPr="0017083A">
        <w:t xml:space="preserve"> [data set], (Canberra: 2022), accessed 5 December 2023, </w:t>
      </w:r>
      <w:hyperlink r:id="rId5" w:history="1">
        <w:r w:rsidR="001221D0" w:rsidRPr="00811871">
          <w:rPr>
            <w:rStyle w:val="Hyperlink"/>
          </w:rPr>
          <w:t>www.qilt.edu.au/surveys/student-experience-survey-(ses)</w:t>
        </w:r>
      </w:hyperlink>
      <w:r w:rsidR="001221D0">
        <w:t xml:space="preserve">. </w:t>
      </w:r>
    </w:p>
  </w:footnote>
  <w:footnote w:id="8">
    <w:p w14:paraId="78563C30" w14:textId="7E11E1F8" w:rsidR="009E699F" w:rsidRDefault="009E699F" w:rsidP="009E699F">
      <w:pPr>
        <w:pStyle w:val="FootnoteText"/>
      </w:pPr>
      <w:r>
        <w:rPr>
          <w:rStyle w:val="FootnoteReference"/>
        </w:rPr>
        <w:footnoteRef/>
      </w:r>
      <w:r>
        <w:t xml:space="preserve"> </w:t>
      </w:r>
      <w:r w:rsidR="00FB5CA0" w:rsidRPr="00FB5CA0">
        <w:t xml:space="preserve">Department of Education, </w:t>
      </w:r>
      <w:r w:rsidR="00FB5CA0" w:rsidRPr="00FB5CA0">
        <w:rPr>
          <w:i/>
          <w:iCs/>
        </w:rPr>
        <w:t>Higher Education Statistics – Student data – 202</w:t>
      </w:r>
      <w:r w:rsidR="00E2459F">
        <w:rPr>
          <w:i/>
          <w:iCs/>
        </w:rPr>
        <w:t>2</w:t>
      </w:r>
      <w:r w:rsidR="00FB5CA0" w:rsidRPr="00FB5CA0">
        <w:rPr>
          <w:i/>
          <w:iCs/>
        </w:rPr>
        <w:t xml:space="preserve"> Section 2 All students </w:t>
      </w:r>
      <w:r w:rsidR="00FB5CA0" w:rsidRPr="00FB5CA0">
        <w:t>[data set], (Canberra: 202</w:t>
      </w:r>
      <w:r w:rsidR="00E2459F">
        <w:t>3</w:t>
      </w:r>
      <w:r w:rsidR="00FB5CA0" w:rsidRPr="00FB5CA0">
        <w:t xml:space="preserve">), </w:t>
      </w:r>
      <w:r w:rsidR="00D0440F">
        <w:t>accessed</w:t>
      </w:r>
      <w:r w:rsidR="00FB5CA0" w:rsidRPr="00FB5CA0">
        <w:t xml:space="preserve"> </w:t>
      </w:r>
      <w:r w:rsidR="00E2459F">
        <w:t>18</w:t>
      </w:r>
      <w:r w:rsidR="00FB5CA0" w:rsidRPr="00FB5CA0">
        <w:t xml:space="preserve"> December 2023, </w:t>
      </w:r>
      <w:hyperlink r:id="rId6" w:history="1">
        <w:r w:rsidR="001221D0" w:rsidRPr="00811871">
          <w:rPr>
            <w:rStyle w:val="Hyperlink"/>
          </w:rPr>
          <w:t>www.education.gov.au/higher-education-statistics/resources/2022-section-2-all-students</w:t>
        </w:r>
      </w:hyperlink>
      <w:r w:rsidR="001221D0">
        <w:t xml:space="preserve">. </w:t>
      </w:r>
      <w:r w:rsidR="00FB5CA0" w:rsidRPr="00FB5CA0">
        <w:t> </w:t>
      </w:r>
    </w:p>
  </w:footnote>
  <w:footnote w:id="9">
    <w:p w14:paraId="1F4FF819" w14:textId="0F16E80C" w:rsidR="009E699F" w:rsidRDefault="009E699F" w:rsidP="009E699F">
      <w:pPr>
        <w:pStyle w:val="FootnoteText"/>
      </w:pPr>
      <w:r>
        <w:rPr>
          <w:rStyle w:val="FootnoteReference"/>
        </w:rPr>
        <w:footnoteRef/>
      </w:r>
      <w:r>
        <w:t xml:space="preserve"> </w:t>
      </w:r>
      <w:r w:rsidRPr="003C0985">
        <w:t xml:space="preserve">Department of Education, </w:t>
      </w:r>
      <w:r w:rsidRPr="00AA7FC3">
        <w:rPr>
          <w:i/>
        </w:rPr>
        <w:t>Higher Education Providers Finance Tables</w:t>
      </w:r>
      <w:r>
        <w:rPr>
          <w:i/>
          <w:iCs/>
        </w:rPr>
        <w:t xml:space="preserve"> </w:t>
      </w:r>
      <w:r w:rsidR="002C22F5">
        <w:rPr>
          <w:i/>
          <w:iCs/>
        </w:rPr>
        <w:t>2004</w:t>
      </w:r>
      <w:r w:rsidR="002C22F5" w:rsidRPr="003C0985">
        <w:t>–</w:t>
      </w:r>
      <w:r w:rsidR="002C22F5">
        <w:rPr>
          <w:i/>
          <w:iCs/>
        </w:rPr>
        <w:t>2021</w:t>
      </w:r>
      <w:r w:rsidRPr="003C0985">
        <w:t xml:space="preserve"> [data set], </w:t>
      </w:r>
      <w:r w:rsidR="002C22F5">
        <w:t xml:space="preserve">(Canberra, </w:t>
      </w:r>
      <w:r w:rsidR="004448E4">
        <w:t>March 2023)</w:t>
      </w:r>
      <w:r w:rsidRPr="003C0985">
        <w:t xml:space="preserve"> accessed 8 June 2023</w:t>
      </w:r>
      <w:r w:rsidR="002C22F5">
        <w:t xml:space="preserve">, </w:t>
      </w:r>
      <w:hyperlink r:id="rId7" w:history="1">
        <w:r w:rsidR="001221D0" w:rsidRPr="00811871">
          <w:rPr>
            <w:rStyle w:val="Hyperlink"/>
            <w:rFonts w:ascii="Calibri" w:hAnsi="Calibri" w:cs="Calibri"/>
            <w:shd w:val="clear" w:color="auto" w:fill="FFFFFF"/>
          </w:rPr>
          <w:t>www.education.gov.au/higher-education-publications/resources/2021-higher-education-providers-finance-tables</w:t>
        </w:r>
      </w:hyperlink>
      <w:r w:rsidR="001221D0">
        <w:rPr>
          <w:rStyle w:val="normaltextrun"/>
          <w:rFonts w:ascii="Calibri" w:hAnsi="Calibri" w:cs="Calibri"/>
          <w:color w:val="000000"/>
          <w:shd w:val="clear" w:color="auto" w:fill="FFFFFF"/>
        </w:rPr>
        <w:t xml:space="preserve">. </w:t>
      </w:r>
    </w:p>
  </w:footnote>
  <w:footnote w:id="10">
    <w:p w14:paraId="59ED97E5" w14:textId="7CD0DF0F" w:rsidR="009E699F" w:rsidRDefault="009E699F" w:rsidP="009E699F">
      <w:pPr>
        <w:pStyle w:val="FootnoteText"/>
      </w:pPr>
      <w:r>
        <w:rPr>
          <w:rStyle w:val="FootnoteReference"/>
        </w:rPr>
        <w:footnoteRef/>
      </w:r>
      <w:r>
        <w:t xml:space="preserve"> A</w:t>
      </w:r>
      <w:r w:rsidR="0008457C">
        <w:t>ustralian Bureau of Statistics</w:t>
      </w:r>
      <w:r>
        <w:t xml:space="preserve">, </w:t>
      </w:r>
      <w:r w:rsidRPr="00AA7FC3">
        <w:rPr>
          <w:i/>
          <w:iCs/>
        </w:rPr>
        <w:t>Balance of Payments and International Investment Position</w:t>
      </w:r>
      <w:r w:rsidR="0008457C">
        <w:t xml:space="preserve"> [data set]</w:t>
      </w:r>
      <w:r w:rsidRPr="00874EE0">
        <w:t xml:space="preserve">, </w:t>
      </w:r>
      <w:r w:rsidR="0008457C">
        <w:t>(Canberra</w:t>
      </w:r>
      <w:r w:rsidR="002C22F5">
        <w:t>:</w:t>
      </w:r>
      <w:r>
        <w:t xml:space="preserve"> September 2023</w:t>
      </w:r>
      <w:r w:rsidR="002C22F5">
        <w:t xml:space="preserve">), accessed 12 December 2023, </w:t>
      </w:r>
      <w:hyperlink r:id="rId8" w:history="1">
        <w:r w:rsidR="0067054C" w:rsidRPr="00811871">
          <w:rPr>
            <w:rStyle w:val="Hyperlink"/>
          </w:rPr>
          <w:t>www.abs.gov.au/statistics/economy/international-trade/balance-payments-and-international-investment-position-australia/latest-release</w:t>
        </w:r>
      </w:hyperlink>
      <w:r w:rsidR="0067054C">
        <w:t xml:space="preserve">. </w:t>
      </w:r>
    </w:p>
  </w:footnote>
  <w:footnote w:id="11">
    <w:p w14:paraId="0F19552A" w14:textId="740A4652" w:rsidR="00E4639B" w:rsidRDefault="00E4639B">
      <w:pPr>
        <w:pStyle w:val="FootnoteText"/>
      </w:pPr>
      <w:r>
        <w:rPr>
          <w:rStyle w:val="FootnoteReference"/>
        </w:rPr>
        <w:footnoteRef/>
      </w:r>
      <w:r>
        <w:t xml:space="preserve"> </w:t>
      </w:r>
      <w:r w:rsidR="00A032F9" w:rsidRPr="00A032F9">
        <w:t xml:space="preserve">Martin Parkinson, Joanna Howe and John Azarias, </w:t>
      </w:r>
      <w:r w:rsidR="00A032F9" w:rsidRPr="00A032F9">
        <w:rPr>
          <w:i/>
          <w:iCs/>
        </w:rPr>
        <w:t>Review of the Migration System</w:t>
      </w:r>
      <w:r w:rsidR="00A032F9" w:rsidRPr="00A032F9">
        <w:t>, (Canberra: Department of Home Affairs, March 2023),</w:t>
      </w:r>
      <w:r>
        <w:t xml:space="preserve"> </w:t>
      </w:r>
      <w:hyperlink r:id="rId9" w:history="1">
        <w:r w:rsidR="00646EF9" w:rsidRPr="00811871">
          <w:rPr>
            <w:rStyle w:val="Hyperlink"/>
          </w:rPr>
          <w:t>www.homeaffairs.gov.au/reports-and-pubs/files/review-migration-system-final-report.pdf</w:t>
        </w:r>
      </w:hyperlink>
      <w:r w:rsidR="00646EF9">
        <w:t xml:space="preserve">. </w:t>
      </w:r>
    </w:p>
  </w:footnote>
  <w:footnote w:id="12">
    <w:p w14:paraId="465171C8" w14:textId="4938AC01" w:rsidR="005042B4" w:rsidRDefault="005042B4" w:rsidP="005042B4">
      <w:pPr>
        <w:pStyle w:val="FootnoteText"/>
      </w:pPr>
      <w:r>
        <w:rPr>
          <w:rStyle w:val="FootnoteReference"/>
        </w:rPr>
        <w:footnoteRef/>
      </w:r>
      <w:r w:rsidR="00AB191A">
        <w:rPr>
          <w:i/>
          <w:iCs/>
        </w:rPr>
        <w:t>Higher Education Support Act</w:t>
      </w:r>
      <w:r w:rsidR="00A906B7">
        <w:rPr>
          <w:i/>
          <w:iCs/>
        </w:rPr>
        <w:t xml:space="preserve"> 2003</w:t>
      </w:r>
      <w:r w:rsidR="00E37895">
        <w:rPr>
          <w:i/>
          <w:iCs/>
        </w:rPr>
        <w:t xml:space="preserve"> </w:t>
      </w:r>
      <w:r w:rsidR="00E37895">
        <w:t>(</w:t>
      </w:r>
      <w:proofErr w:type="spellStart"/>
      <w:r w:rsidR="00E37895">
        <w:t>Cth</w:t>
      </w:r>
      <w:proofErr w:type="spellEnd"/>
      <w:r w:rsidR="00E37895">
        <w:t>)</w:t>
      </w:r>
      <w:r w:rsidR="00A906B7">
        <w:rPr>
          <w:i/>
          <w:iCs/>
        </w:rPr>
        <w:t>,</w:t>
      </w:r>
      <w:r>
        <w:t xml:space="preserve"> Div</w:t>
      </w:r>
      <w:r w:rsidR="00A906B7">
        <w:t>ision</w:t>
      </w:r>
      <w:r>
        <w:t xml:space="preserve"> 2</w:t>
      </w:r>
      <w:r w:rsidR="00E37895">
        <w:t xml:space="preserve">, </w:t>
      </w:r>
      <w:hyperlink r:id="rId10" w:history="1">
        <w:r w:rsidR="00AB1C89" w:rsidRPr="00811871">
          <w:rPr>
            <w:rStyle w:val="Hyperlink"/>
          </w:rPr>
          <w:t>www.legislation.gov.au/Details/C2022C00005</w:t>
        </w:r>
      </w:hyperlink>
      <w:r w:rsidR="00AB1C89">
        <w:t xml:space="preserve">. </w:t>
      </w:r>
    </w:p>
  </w:footnote>
  <w:footnote w:id="13">
    <w:p w14:paraId="0A1401AA" w14:textId="2157D97F" w:rsidR="00353B6E" w:rsidRPr="002518F1" w:rsidRDefault="00353B6E">
      <w:pPr>
        <w:pStyle w:val="FootnoteText"/>
      </w:pPr>
      <w:r>
        <w:rPr>
          <w:rStyle w:val="FootnoteReference"/>
        </w:rPr>
        <w:footnoteRef/>
      </w:r>
      <w:r>
        <w:t xml:space="preserve"> </w:t>
      </w:r>
      <w:r w:rsidR="00861F13" w:rsidRPr="00601877">
        <w:rPr>
          <w:rFonts w:cstheme="minorHAnsi"/>
        </w:rPr>
        <w:t xml:space="preserve">Productivity Commission, </w:t>
      </w:r>
      <w:r w:rsidR="00861F13" w:rsidRPr="00601877">
        <w:rPr>
          <w:rFonts w:cstheme="minorHAnsi"/>
          <w:i/>
        </w:rPr>
        <w:t>A path to universal early childhood education and care: Draft report (ECEC Draft Report)</w:t>
      </w:r>
      <w:r w:rsidR="00861F13" w:rsidRPr="00601877">
        <w:rPr>
          <w:rFonts w:cstheme="minorHAnsi"/>
        </w:rPr>
        <w:t xml:space="preserve">, (Canberra: November 2023), </w:t>
      </w:r>
      <w:hyperlink r:id="rId11" w:history="1">
        <w:r w:rsidR="00861F13" w:rsidRPr="00DB4EE1">
          <w:rPr>
            <w:rStyle w:val="Hyperlink"/>
            <w:rFonts w:cstheme="minorHAnsi"/>
          </w:rPr>
          <w:t>www.pc.gov.au/inquiries/current/childhood/draft</w:t>
        </w:r>
      </w:hyperlink>
      <w:r w:rsidR="00861F13">
        <w:rPr>
          <w:rFonts w:cstheme="minorHAnsi"/>
        </w:rPr>
        <w:t>, 2</w:t>
      </w:r>
      <w:r w:rsidR="002518F1">
        <w:rPr>
          <w:rFonts w:cstheme="minorHAnsi"/>
        </w:rPr>
        <w:t xml:space="preserve">; Productivity Commission, </w:t>
      </w:r>
      <w:r w:rsidR="002518F1">
        <w:rPr>
          <w:rFonts w:cstheme="minorHAnsi"/>
          <w:i/>
          <w:iCs/>
        </w:rPr>
        <w:t xml:space="preserve">Review of the National School Reform Agreement: Study report, </w:t>
      </w:r>
      <w:r w:rsidR="002518F1">
        <w:rPr>
          <w:rFonts w:cstheme="minorHAnsi"/>
        </w:rPr>
        <w:t xml:space="preserve">(Canberra: December 2022), </w:t>
      </w:r>
      <w:hyperlink r:id="rId12" w:history="1">
        <w:r w:rsidR="002A5BD4">
          <w:rPr>
            <w:rStyle w:val="Hyperlink"/>
          </w:rPr>
          <w:t>www.pc.gov.au/inquiries/completed/school-agreement/report</w:t>
        </w:r>
      </w:hyperlink>
      <w:r w:rsidR="002A5BD4">
        <w:t>, 21.</w:t>
      </w:r>
    </w:p>
  </w:footnote>
  <w:footnote w:id="14">
    <w:p w14:paraId="4395B2B7" w14:textId="262FB7B2" w:rsidR="00E33FC3" w:rsidRPr="00601877" w:rsidRDefault="00E33FC3" w:rsidP="00E33FC3">
      <w:pPr>
        <w:pStyle w:val="FootnoteText"/>
        <w:rPr>
          <w:rFonts w:cstheme="minorHAnsi"/>
        </w:rPr>
      </w:pPr>
      <w:r w:rsidRPr="00601877">
        <w:rPr>
          <w:rStyle w:val="FootnoteReference"/>
          <w:rFonts w:cstheme="minorHAnsi"/>
        </w:rPr>
        <w:footnoteRef/>
      </w:r>
      <w:r w:rsidRPr="00601877">
        <w:rPr>
          <w:rFonts w:cstheme="minorHAnsi"/>
        </w:rPr>
        <w:t xml:space="preserve"> </w:t>
      </w:r>
      <w:r w:rsidR="00861F13" w:rsidRPr="00601877">
        <w:rPr>
          <w:rFonts w:cstheme="minorHAnsi"/>
        </w:rPr>
        <w:t xml:space="preserve">Productivity Commission, </w:t>
      </w:r>
      <w:r w:rsidR="00861F13" w:rsidRPr="00601877">
        <w:rPr>
          <w:rFonts w:cstheme="minorHAnsi"/>
          <w:i/>
        </w:rPr>
        <w:t>ECEC Draft Report</w:t>
      </w:r>
      <w:r w:rsidR="00861F13" w:rsidRPr="00601877">
        <w:rPr>
          <w:rFonts w:cstheme="minorHAnsi"/>
        </w:rPr>
        <w:t>, 1</w:t>
      </w:r>
      <w:r w:rsidR="00861F13">
        <w:rPr>
          <w:rFonts w:cstheme="minorHAnsi"/>
        </w:rPr>
        <w:t>1.</w:t>
      </w:r>
      <w:r w:rsidRPr="00601877">
        <w:rPr>
          <w:rFonts w:cstheme="minorHAnsi"/>
        </w:rPr>
        <w:t xml:space="preserve"> </w:t>
      </w:r>
    </w:p>
  </w:footnote>
  <w:footnote w:id="15">
    <w:p w14:paraId="5AB4722D" w14:textId="423F95B5" w:rsidR="00BF4AA5" w:rsidRDefault="00BF4AA5">
      <w:pPr>
        <w:pStyle w:val="FootnoteText"/>
      </w:pPr>
      <w:r w:rsidRPr="00E3363C">
        <w:rPr>
          <w:rStyle w:val="FootnoteReference"/>
        </w:rPr>
        <w:footnoteRef/>
      </w:r>
      <w:r w:rsidRPr="00E3363C">
        <w:t xml:space="preserve"> </w:t>
      </w:r>
      <w:r w:rsidR="000060D7">
        <w:t>Mildred</w:t>
      </w:r>
      <w:r w:rsidRPr="00E3363C">
        <w:t xml:space="preserve"> </w:t>
      </w:r>
      <w:r w:rsidR="00AC0B7A" w:rsidRPr="00E3363C">
        <w:t xml:space="preserve">Cahill, and </w:t>
      </w:r>
      <w:r w:rsidR="000060D7">
        <w:t xml:space="preserve">Edith </w:t>
      </w:r>
      <w:r w:rsidR="00AC0B7A" w:rsidRPr="00E3363C">
        <w:t xml:space="preserve">Furey, </w:t>
      </w:r>
      <w:r w:rsidRPr="008C4411">
        <w:rPr>
          <w:i/>
        </w:rPr>
        <w:t>The Early Years: Career Development for Young Children</w:t>
      </w:r>
      <w:r w:rsidRPr="00E3363C">
        <w:t xml:space="preserve">, </w:t>
      </w:r>
      <w:r w:rsidR="000060D7">
        <w:t>(Toronto: CERIC and Memorial University</w:t>
      </w:r>
      <w:r w:rsidR="0062334D">
        <w:t xml:space="preserve">, </w:t>
      </w:r>
      <w:r w:rsidRPr="00E3363C">
        <w:t>2017</w:t>
      </w:r>
      <w:r w:rsidR="0062334D">
        <w:t>) accessed 10 December 2023,</w:t>
      </w:r>
      <w:r w:rsidRPr="00E3363C">
        <w:t xml:space="preserve"> </w:t>
      </w:r>
      <w:hyperlink r:id="rId13" w:history="1">
        <w:r w:rsidR="00AC0B7A" w:rsidRPr="00E3363C">
          <w:rPr>
            <w:rStyle w:val="Hyperlink"/>
          </w:rPr>
          <w:t>cica.org.au/wp-content/uploads/The-Early-Years-Career-Development-for-Young-Children-Educators-Guide-October-2017.pdf</w:t>
        </w:r>
      </w:hyperlink>
      <w:r w:rsidR="0062334D">
        <w:t>.</w:t>
      </w:r>
    </w:p>
  </w:footnote>
  <w:footnote w:id="16">
    <w:p w14:paraId="60F5EE5F" w14:textId="77777777" w:rsidR="00E33FC3" w:rsidRPr="00601877" w:rsidRDefault="00E33FC3" w:rsidP="00E33FC3">
      <w:pPr>
        <w:pStyle w:val="FootnoteText"/>
        <w:rPr>
          <w:rFonts w:cstheme="minorHAnsi"/>
        </w:rPr>
      </w:pPr>
      <w:r w:rsidRPr="00601877">
        <w:rPr>
          <w:rStyle w:val="FootnoteReference"/>
          <w:rFonts w:cstheme="minorHAnsi"/>
        </w:rPr>
        <w:footnoteRef/>
      </w:r>
      <w:r w:rsidRPr="00601877">
        <w:rPr>
          <w:rFonts w:cstheme="minorHAnsi"/>
        </w:rPr>
        <w:t xml:space="preserve"> Productivity Commission, </w:t>
      </w:r>
      <w:r w:rsidRPr="00601877">
        <w:rPr>
          <w:rFonts w:cstheme="minorHAnsi"/>
          <w:i/>
        </w:rPr>
        <w:t>ECEC Draft Report</w:t>
      </w:r>
      <w:r w:rsidRPr="00601877">
        <w:rPr>
          <w:rFonts w:cstheme="minorHAnsi"/>
        </w:rPr>
        <w:t>, 11.</w:t>
      </w:r>
    </w:p>
  </w:footnote>
  <w:footnote w:id="17">
    <w:p w14:paraId="55C68ED3" w14:textId="38120475" w:rsidR="00E33FC3" w:rsidRPr="00601877" w:rsidRDefault="00E33FC3" w:rsidP="00E33FC3">
      <w:pPr>
        <w:pStyle w:val="FootnoteText"/>
        <w:rPr>
          <w:rFonts w:cstheme="minorHAnsi"/>
        </w:rPr>
      </w:pPr>
      <w:r w:rsidRPr="00601877">
        <w:rPr>
          <w:rStyle w:val="FootnoteReference"/>
          <w:rFonts w:cstheme="minorHAnsi"/>
        </w:rPr>
        <w:footnoteRef/>
      </w:r>
      <w:r w:rsidRPr="00601877">
        <w:rPr>
          <w:rFonts w:cstheme="minorHAnsi"/>
        </w:rPr>
        <w:t xml:space="preserve"> Diana Warren </w:t>
      </w:r>
      <w:r w:rsidR="00D20E2D">
        <w:rPr>
          <w:rFonts w:cstheme="minorHAnsi"/>
        </w:rPr>
        <w:t>and</w:t>
      </w:r>
      <w:r w:rsidR="00394C8E" w:rsidRPr="00601877">
        <w:rPr>
          <w:rFonts w:cstheme="minorHAnsi"/>
        </w:rPr>
        <w:t xml:space="preserve"> </w:t>
      </w:r>
      <w:r w:rsidRPr="00601877">
        <w:rPr>
          <w:rFonts w:cstheme="minorHAnsi"/>
        </w:rPr>
        <w:t xml:space="preserve">John P. </w:t>
      </w:r>
      <w:proofErr w:type="spellStart"/>
      <w:r w:rsidRPr="00601877">
        <w:rPr>
          <w:rFonts w:cstheme="minorHAnsi"/>
        </w:rPr>
        <w:t>Haisken-DeNew</w:t>
      </w:r>
      <w:proofErr w:type="spellEnd"/>
      <w:r w:rsidRPr="00601877">
        <w:rPr>
          <w:rFonts w:cstheme="minorHAnsi"/>
        </w:rPr>
        <w:t xml:space="preserve">, </w:t>
      </w:r>
      <w:r w:rsidRPr="00E3363C">
        <w:rPr>
          <w:rFonts w:cstheme="minorHAnsi"/>
          <w:i/>
        </w:rPr>
        <w:t>Early Bird Catches the Worm: The Causal Impact of Pre-school Participation and Teacher Qualifications on Year 3 National NAPLAN Cognitive Tests</w:t>
      </w:r>
      <w:r w:rsidR="00D20E2D">
        <w:rPr>
          <w:rFonts w:cstheme="minorHAnsi"/>
        </w:rPr>
        <w:t>,</w:t>
      </w:r>
      <w:r w:rsidRPr="00601877">
        <w:rPr>
          <w:rFonts w:cstheme="minorHAnsi"/>
        </w:rPr>
        <w:t xml:space="preserve"> </w:t>
      </w:r>
      <w:r w:rsidRPr="00E3363C">
        <w:rPr>
          <w:rFonts w:cstheme="minorHAnsi"/>
        </w:rPr>
        <w:t>Working Paper</w:t>
      </w:r>
      <w:r w:rsidRPr="00601877">
        <w:rPr>
          <w:rFonts w:cstheme="minorHAnsi"/>
          <w:i/>
        </w:rPr>
        <w:t xml:space="preserve"> </w:t>
      </w:r>
      <w:r w:rsidR="00D20E2D">
        <w:rPr>
          <w:rFonts w:cstheme="minorHAnsi"/>
        </w:rPr>
        <w:t xml:space="preserve">No. </w:t>
      </w:r>
      <w:r w:rsidRPr="00601877">
        <w:rPr>
          <w:rFonts w:cstheme="minorHAnsi"/>
        </w:rPr>
        <w:t>34</w:t>
      </w:r>
      <w:r w:rsidR="00D20E2D">
        <w:rPr>
          <w:rFonts w:cstheme="minorHAnsi"/>
        </w:rPr>
        <w:t>/</w:t>
      </w:r>
      <w:r w:rsidRPr="00601877">
        <w:rPr>
          <w:rFonts w:cstheme="minorHAnsi"/>
        </w:rPr>
        <w:t>13</w:t>
      </w:r>
      <w:r w:rsidRPr="00601877">
        <w:rPr>
          <w:rFonts w:cstheme="minorHAnsi"/>
          <w:i/>
        </w:rPr>
        <w:t xml:space="preserve"> </w:t>
      </w:r>
      <w:r w:rsidRPr="00601877">
        <w:rPr>
          <w:rFonts w:cstheme="minorHAnsi"/>
        </w:rPr>
        <w:t>(</w:t>
      </w:r>
      <w:r w:rsidR="00D20E2D">
        <w:rPr>
          <w:rFonts w:cstheme="minorHAnsi"/>
        </w:rPr>
        <w:t xml:space="preserve">Melbourne: </w:t>
      </w:r>
      <w:r w:rsidRPr="00601877">
        <w:rPr>
          <w:rFonts w:cstheme="minorHAnsi"/>
        </w:rPr>
        <w:t>Melbourne Institute of Applied Economic and Social Research</w:t>
      </w:r>
      <w:r w:rsidR="000736F9">
        <w:rPr>
          <w:rFonts w:cstheme="minorHAnsi"/>
        </w:rPr>
        <w:t>,</w:t>
      </w:r>
      <w:r w:rsidRPr="00601877">
        <w:rPr>
          <w:rFonts w:cstheme="minorHAnsi"/>
        </w:rPr>
        <w:t xml:space="preserve"> October 2013)</w:t>
      </w:r>
      <w:r w:rsidR="00EF505D">
        <w:rPr>
          <w:rFonts w:cstheme="minorHAnsi"/>
        </w:rPr>
        <w:t xml:space="preserve">, </w:t>
      </w:r>
      <w:r w:rsidR="00A04820">
        <w:rPr>
          <w:rFonts w:cstheme="minorHAnsi"/>
        </w:rPr>
        <w:t>35</w:t>
      </w:r>
      <w:r w:rsidR="00EF505D">
        <w:rPr>
          <w:rFonts w:cstheme="minorHAnsi"/>
        </w:rPr>
        <w:t>,</w:t>
      </w:r>
      <w:r w:rsidRPr="00601877">
        <w:rPr>
          <w:rFonts w:cstheme="minorHAnsi"/>
        </w:rPr>
        <w:t xml:space="preserve"> melbourneinstitute.unimelb.edu.au/downloads/working_paper_series/wp2013n34.pdf.</w:t>
      </w:r>
    </w:p>
  </w:footnote>
  <w:footnote w:id="18">
    <w:p w14:paraId="3D62061A" w14:textId="77777777" w:rsidR="00E33FC3" w:rsidRPr="00601877" w:rsidRDefault="00E33FC3" w:rsidP="00E33FC3">
      <w:pPr>
        <w:pStyle w:val="FootnoteText"/>
        <w:rPr>
          <w:rFonts w:cstheme="minorHAnsi"/>
        </w:rPr>
      </w:pPr>
      <w:r w:rsidRPr="00601877">
        <w:rPr>
          <w:rStyle w:val="FootnoteReference"/>
          <w:rFonts w:cstheme="minorHAnsi"/>
        </w:rPr>
        <w:footnoteRef/>
      </w:r>
      <w:r w:rsidRPr="00601877">
        <w:rPr>
          <w:rFonts w:cstheme="minorHAnsi"/>
        </w:rPr>
        <w:t xml:space="preserve"> Productivity Commission, </w:t>
      </w:r>
      <w:r w:rsidRPr="00601877">
        <w:rPr>
          <w:rFonts w:cstheme="minorHAnsi"/>
          <w:i/>
        </w:rPr>
        <w:t>ECEC Draft Report</w:t>
      </w:r>
      <w:r w:rsidRPr="00601877">
        <w:rPr>
          <w:rFonts w:cstheme="minorHAnsi"/>
        </w:rPr>
        <w:t>, 12.</w:t>
      </w:r>
    </w:p>
  </w:footnote>
  <w:footnote w:id="19">
    <w:p w14:paraId="7490D7ED" w14:textId="3E9B4CFB" w:rsidR="00E33FC3" w:rsidRPr="00601877" w:rsidRDefault="00E33FC3" w:rsidP="00E33FC3">
      <w:pPr>
        <w:pStyle w:val="FootnoteText"/>
        <w:rPr>
          <w:rFonts w:cstheme="minorHAnsi"/>
        </w:rPr>
      </w:pPr>
      <w:r w:rsidRPr="00601877">
        <w:rPr>
          <w:rStyle w:val="FootnoteReference"/>
          <w:rFonts w:cstheme="minorHAnsi"/>
        </w:rPr>
        <w:footnoteRef/>
      </w:r>
      <w:r w:rsidRPr="00601877">
        <w:rPr>
          <w:rFonts w:cstheme="minorHAnsi"/>
        </w:rPr>
        <w:t xml:space="preserve"> Productivity Commission, </w:t>
      </w:r>
      <w:r w:rsidRPr="00601877">
        <w:rPr>
          <w:rFonts w:cstheme="minorHAnsi"/>
          <w:i/>
        </w:rPr>
        <w:t>ECEC Draft Report</w:t>
      </w:r>
      <w:r w:rsidRPr="00601877">
        <w:rPr>
          <w:rFonts w:cstheme="minorHAnsi"/>
        </w:rPr>
        <w:t>, 15</w:t>
      </w:r>
      <w:r w:rsidR="009A34C7">
        <w:rPr>
          <w:rFonts w:ascii="Symbol" w:eastAsia="Symbol" w:hAnsi="Symbol" w:cs="Symbol"/>
        </w:rPr>
        <w:t>-</w:t>
      </w:r>
      <w:r w:rsidRPr="00601877">
        <w:rPr>
          <w:rFonts w:cstheme="minorHAnsi"/>
        </w:rPr>
        <w:t>16.</w:t>
      </w:r>
    </w:p>
  </w:footnote>
  <w:footnote w:id="20">
    <w:p w14:paraId="73B8A00C" w14:textId="77777777" w:rsidR="00E33FC3" w:rsidRPr="00601877" w:rsidRDefault="00E33FC3" w:rsidP="00E33FC3">
      <w:pPr>
        <w:pStyle w:val="FootnoteText"/>
        <w:rPr>
          <w:rFonts w:cstheme="minorHAnsi"/>
        </w:rPr>
      </w:pPr>
      <w:r w:rsidRPr="00601877">
        <w:rPr>
          <w:rStyle w:val="FootnoteReference"/>
          <w:rFonts w:cstheme="minorHAnsi"/>
        </w:rPr>
        <w:footnoteRef/>
      </w:r>
      <w:r w:rsidRPr="00601877">
        <w:rPr>
          <w:rFonts w:cstheme="minorHAnsi"/>
        </w:rPr>
        <w:t xml:space="preserve"> Productivity Commission, </w:t>
      </w:r>
      <w:r w:rsidRPr="00601877">
        <w:rPr>
          <w:rFonts w:cstheme="minorHAnsi"/>
          <w:i/>
        </w:rPr>
        <w:t>ECEC Draft Report</w:t>
      </w:r>
      <w:r w:rsidRPr="00601877">
        <w:rPr>
          <w:rFonts w:cstheme="minorHAnsi"/>
        </w:rPr>
        <w:t>, 11.</w:t>
      </w:r>
    </w:p>
  </w:footnote>
  <w:footnote w:id="21">
    <w:p w14:paraId="20E59017" w14:textId="2641BEF8" w:rsidR="00123CC3" w:rsidRDefault="00123CC3">
      <w:pPr>
        <w:pStyle w:val="FootnoteText"/>
      </w:pPr>
      <w:r>
        <w:rPr>
          <w:rStyle w:val="FootnoteReference"/>
        </w:rPr>
        <w:footnoteRef/>
      </w:r>
      <w:r>
        <w:t xml:space="preserve"> </w:t>
      </w:r>
      <w:r w:rsidR="00CA49EB">
        <w:t>Lisa O’Brien</w:t>
      </w:r>
      <w:r w:rsidR="00D16494">
        <w:t>,</w:t>
      </w:r>
      <w:r w:rsidR="00BB4339" w:rsidRPr="00BB4339">
        <w:t xml:space="preserve"> Lisa Paul</w:t>
      </w:r>
      <w:r w:rsidR="00D16494">
        <w:t>,</w:t>
      </w:r>
      <w:r w:rsidR="00BB4339" w:rsidRPr="00BB4339">
        <w:t xml:space="preserve"> Dyonne Anderson</w:t>
      </w:r>
      <w:r w:rsidR="00D16494">
        <w:t>,</w:t>
      </w:r>
      <w:r w:rsidR="00BB4339" w:rsidRPr="00BB4339">
        <w:t xml:space="preserve"> Jordana Hunter</w:t>
      </w:r>
      <w:r w:rsidR="00D16494">
        <w:t>,</w:t>
      </w:r>
      <w:r w:rsidR="00BB4339" w:rsidRPr="00BB4339">
        <w:t xml:space="preserve"> Stephen Lamb and Pasi Sahlberg</w:t>
      </w:r>
      <w:r w:rsidR="001C59F0">
        <w:t xml:space="preserve">, </w:t>
      </w:r>
      <w:r w:rsidR="001C59F0" w:rsidRPr="008C4411">
        <w:rPr>
          <w:i/>
          <w:iCs/>
        </w:rPr>
        <w:t>Improving Outcomes for All, The Report of the Independent Expert Panel’s Review to Inform a Better and Fairer Education System</w:t>
      </w:r>
      <w:r w:rsidR="001C59F0">
        <w:t>, (2023), 27</w:t>
      </w:r>
      <w:r w:rsidR="00F04C88">
        <w:t xml:space="preserve">, </w:t>
      </w:r>
      <w:hyperlink r:id="rId14" w:history="1">
        <w:r w:rsidR="00724148" w:rsidRPr="00811871">
          <w:rPr>
            <w:rStyle w:val="Hyperlink"/>
          </w:rPr>
          <w:t>www.education.gov.au/review-inform-better-and-fairer-education-system/resources/expert-panels-report</w:t>
        </w:r>
      </w:hyperlink>
      <w:r w:rsidR="00724148">
        <w:t xml:space="preserve">. </w:t>
      </w:r>
      <w:r w:rsidR="00724148" w:rsidRPr="00724148" w:rsidDel="00724148">
        <w:t xml:space="preserve"> </w:t>
      </w:r>
    </w:p>
  </w:footnote>
  <w:footnote w:id="22">
    <w:p w14:paraId="03D91897" w14:textId="4347E7FE" w:rsidR="00410A08" w:rsidRDefault="00410A08" w:rsidP="00410A08">
      <w:pPr>
        <w:pStyle w:val="FootnoteText"/>
      </w:pPr>
      <w:r>
        <w:rPr>
          <w:rStyle w:val="FootnoteReference"/>
        </w:rPr>
        <w:footnoteRef/>
      </w:r>
      <w:r>
        <w:t xml:space="preserve"> </w:t>
      </w:r>
      <w:r w:rsidRPr="00601877">
        <w:rPr>
          <w:rFonts w:cstheme="minorHAnsi"/>
        </w:rPr>
        <w:t xml:space="preserve">Productivity Commission, </w:t>
      </w:r>
      <w:r>
        <w:rPr>
          <w:rFonts w:cstheme="minorHAnsi"/>
          <w:i/>
        </w:rPr>
        <w:t xml:space="preserve">5-year Productivity Inquiry: Advancing Prosperity,  </w:t>
      </w:r>
      <w:r w:rsidRPr="00601877">
        <w:rPr>
          <w:rFonts w:cstheme="minorHAnsi"/>
        </w:rPr>
        <w:t xml:space="preserve">(Canberra: </w:t>
      </w:r>
      <w:r>
        <w:rPr>
          <w:rFonts w:cstheme="minorHAnsi"/>
        </w:rPr>
        <w:t xml:space="preserve">March </w:t>
      </w:r>
      <w:r w:rsidRPr="00601877">
        <w:rPr>
          <w:rFonts w:cstheme="minorHAnsi"/>
        </w:rPr>
        <w:t xml:space="preserve">2023), </w:t>
      </w:r>
      <w:r w:rsidR="00F04C88">
        <w:rPr>
          <w:rFonts w:cstheme="minorHAnsi"/>
        </w:rPr>
        <w:t>iv</w:t>
      </w:r>
      <w:r w:rsidRPr="00601877">
        <w:rPr>
          <w:rFonts w:cstheme="minorHAnsi"/>
        </w:rPr>
        <w:t xml:space="preserve"> </w:t>
      </w:r>
      <w:hyperlink r:id="rId15" w:history="1">
        <w:r w:rsidRPr="0010207E">
          <w:rPr>
            <w:rStyle w:val="Hyperlink"/>
            <w:rFonts w:cstheme="minorHAnsi"/>
          </w:rPr>
          <w:t>www.pc.gov.au/inquiries/completed/productivity/report/productivity-advancing-prosperity-all-volumes.pdf</w:t>
        </w:r>
      </w:hyperlink>
      <w:r>
        <w:rPr>
          <w:rFonts w:cstheme="minorHAnsi"/>
        </w:rPr>
        <w:t>.</w:t>
      </w:r>
      <w:r>
        <w:t xml:space="preserve"> </w:t>
      </w:r>
    </w:p>
  </w:footnote>
  <w:footnote w:id="23">
    <w:p w14:paraId="3A9109EF" w14:textId="3443467C" w:rsidR="00410A08" w:rsidRDefault="00410A08" w:rsidP="00410A08">
      <w:pPr>
        <w:pStyle w:val="FootnoteText"/>
      </w:pPr>
      <w:r>
        <w:rPr>
          <w:rStyle w:val="FootnoteReference"/>
        </w:rPr>
        <w:footnoteRef/>
      </w:r>
      <w:r>
        <w:t xml:space="preserve"> </w:t>
      </w:r>
      <w:r w:rsidRPr="00601877">
        <w:rPr>
          <w:rFonts w:cstheme="minorHAnsi"/>
        </w:rPr>
        <w:t xml:space="preserve">Productivity Commission, </w:t>
      </w:r>
      <w:r>
        <w:rPr>
          <w:rFonts w:cstheme="minorHAnsi"/>
          <w:i/>
        </w:rPr>
        <w:t>5-year Productivity Inquiry</w:t>
      </w:r>
      <w:r w:rsidR="004253BE">
        <w:rPr>
          <w:rFonts w:cstheme="minorHAnsi"/>
          <w:i/>
        </w:rPr>
        <w:t>: Advancing Prosperity</w:t>
      </w:r>
      <w:r w:rsidRPr="00704D5C">
        <w:rPr>
          <w:rFonts w:cstheme="minorHAnsi"/>
          <w:iCs/>
        </w:rPr>
        <w:t>, 45.</w:t>
      </w:r>
    </w:p>
  </w:footnote>
  <w:footnote w:id="24">
    <w:p w14:paraId="6936EEB0" w14:textId="556C2EF9" w:rsidR="00410A08" w:rsidRDefault="00410A08" w:rsidP="00410A08">
      <w:pPr>
        <w:pStyle w:val="FootnoteText"/>
      </w:pPr>
      <w:r>
        <w:rPr>
          <w:rStyle w:val="FootnoteReference"/>
        </w:rPr>
        <w:footnoteRef/>
      </w:r>
      <w:r>
        <w:t xml:space="preserve"> </w:t>
      </w:r>
      <w:r w:rsidRPr="00601877">
        <w:rPr>
          <w:rFonts w:cstheme="minorHAnsi"/>
        </w:rPr>
        <w:t xml:space="preserve">Productivity Commission, </w:t>
      </w:r>
      <w:r>
        <w:rPr>
          <w:rFonts w:cstheme="minorHAnsi"/>
          <w:i/>
        </w:rPr>
        <w:t>5-year Productivity Inquiry</w:t>
      </w:r>
      <w:r w:rsidR="004253BE">
        <w:rPr>
          <w:rFonts w:cstheme="minorHAnsi"/>
          <w:i/>
        </w:rPr>
        <w:t>: Advancing Prosperity</w:t>
      </w:r>
      <w:r w:rsidRPr="00A93A9E">
        <w:rPr>
          <w:rFonts w:cstheme="minorHAnsi"/>
          <w:iCs/>
        </w:rPr>
        <w:t>,</w:t>
      </w:r>
      <w:r>
        <w:rPr>
          <w:rFonts w:cstheme="minorHAnsi"/>
          <w:iCs/>
        </w:rPr>
        <w:t xml:space="preserve"> 55, 75, 13.</w:t>
      </w:r>
    </w:p>
  </w:footnote>
  <w:footnote w:id="25">
    <w:p w14:paraId="1550536D" w14:textId="0D7BBFEA"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w:t>
      </w:r>
      <w:r w:rsidRPr="00635FE9">
        <w:rPr>
          <w:rFonts w:cstheme="minorHAnsi"/>
        </w:rPr>
        <w:t>The Universities Commission, established under Professor R.C. Mills in 19</w:t>
      </w:r>
      <w:r w:rsidR="004653CC">
        <w:rPr>
          <w:rFonts w:cstheme="minorHAnsi"/>
        </w:rPr>
        <w:t>43</w:t>
      </w:r>
      <w:r w:rsidR="007305F6">
        <w:rPr>
          <w:rFonts w:cstheme="minorHAnsi"/>
        </w:rPr>
        <w:t>.</w:t>
      </w:r>
    </w:p>
  </w:footnote>
  <w:footnote w:id="26">
    <w:p w14:paraId="459D4427" w14:textId="389BC215"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Darryl </w:t>
      </w:r>
      <w:r w:rsidR="00DE3B03">
        <w:rPr>
          <w:rFonts w:cstheme="minorHAnsi"/>
        </w:rPr>
        <w:t>Dymock and</w:t>
      </w:r>
      <w:r w:rsidRPr="00601877">
        <w:rPr>
          <w:rFonts w:cstheme="minorHAnsi"/>
        </w:rPr>
        <w:t xml:space="preserve"> Stephen Billett</w:t>
      </w:r>
      <w:r>
        <w:rPr>
          <w:rFonts w:cstheme="minorHAnsi"/>
        </w:rPr>
        <w:t>,</w:t>
      </w:r>
      <w:r w:rsidRPr="00601877">
        <w:rPr>
          <w:rFonts w:cstheme="minorHAnsi"/>
        </w:rPr>
        <w:t xml:space="preserve"> “Skilling Australians: Lessons from World War II National Workforce Development Programs,” </w:t>
      </w:r>
      <w:r w:rsidRPr="00601877">
        <w:rPr>
          <w:rFonts w:cstheme="minorHAnsi"/>
          <w:i/>
        </w:rPr>
        <w:t>Australian Journal of Adult Learning</w:t>
      </w:r>
      <w:r w:rsidRPr="00601877">
        <w:rPr>
          <w:rFonts w:cstheme="minorHAnsi"/>
        </w:rPr>
        <w:t xml:space="preserve"> 50, no</w:t>
      </w:r>
      <w:r w:rsidR="002E1F52">
        <w:rPr>
          <w:rFonts w:cstheme="minorHAnsi"/>
        </w:rPr>
        <w:t>.</w:t>
      </w:r>
      <w:r w:rsidRPr="00601877">
        <w:rPr>
          <w:rFonts w:cstheme="minorHAnsi"/>
        </w:rPr>
        <w:t xml:space="preserve"> 3 (November 2010)</w:t>
      </w:r>
      <w:r w:rsidR="007154ED">
        <w:rPr>
          <w:rFonts w:cstheme="minorHAnsi"/>
        </w:rPr>
        <w:t>, 477</w:t>
      </w:r>
      <w:r w:rsidR="00161F2F">
        <w:rPr>
          <w:rFonts w:cstheme="minorHAnsi"/>
        </w:rPr>
        <w:t xml:space="preserve">, </w:t>
      </w:r>
      <w:hyperlink r:id="rId16" w:history="1">
        <w:r w:rsidR="00FE01D7" w:rsidRPr="00811871">
          <w:rPr>
            <w:rStyle w:val="Hyperlink"/>
            <w:rFonts w:cstheme="minorHAnsi"/>
          </w:rPr>
          <w:t>research-repository.griffith.edu.au/bitstream/handle/10072/38922/65824_1.pdf?sequence=1</w:t>
        </w:r>
      </w:hyperlink>
      <w:r w:rsidR="00FE01D7">
        <w:rPr>
          <w:rFonts w:cstheme="minorHAnsi"/>
        </w:rPr>
        <w:t xml:space="preserve">. </w:t>
      </w:r>
    </w:p>
  </w:footnote>
  <w:footnote w:id="27">
    <w:p w14:paraId="3D4C77EA" w14:textId="4A716C0E"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Commonwealth Bureau of Census and Statistics, </w:t>
      </w:r>
      <w:r w:rsidRPr="00601877">
        <w:rPr>
          <w:rFonts w:cstheme="minorHAnsi"/>
          <w:i/>
        </w:rPr>
        <w:t xml:space="preserve">Official Year Book of the Commonwealth of Australia: No. 37 – 1946 and 1947 </w:t>
      </w:r>
      <w:r w:rsidRPr="00601877">
        <w:rPr>
          <w:rFonts w:cstheme="minorHAnsi"/>
        </w:rPr>
        <w:t>(Canberra</w:t>
      </w:r>
      <w:r w:rsidR="00D076F3">
        <w:rPr>
          <w:rFonts w:cstheme="minorHAnsi"/>
        </w:rPr>
        <w:t>)</w:t>
      </w:r>
      <w:r w:rsidRPr="00601877">
        <w:rPr>
          <w:rFonts w:cstheme="minorHAnsi"/>
        </w:rPr>
        <w:t xml:space="preserve">, 1046, </w:t>
      </w:r>
      <w:hyperlink r:id="rId17" w:history="1">
        <w:r w:rsidR="00D0223D" w:rsidRPr="00811871">
          <w:rPr>
            <w:rStyle w:val="Hyperlink"/>
            <w:rFonts w:cstheme="minorHAnsi"/>
          </w:rPr>
          <w:t>www.abs.gov.au/AUSSTATS/abs@.nsf/DetailsPage/1301.01946-47?OpenDocument</w:t>
        </w:r>
      </w:hyperlink>
      <w:r w:rsidR="00D0223D">
        <w:rPr>
          <w:rFonts w:cstheme="minorHAnsi"/>
        </w:rPr>
        <w:t xml:space="preserve">. </w:t>
      </w:r>
    </w:p>
  </w:footnote>
  <w:footnote w:id="28">
    <w:p w14:paraId="39A12D7D" w14:textId="7C4B3969"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Committee on the Future of Tertiary Education in Australia</w:t>
      </w:r>
      <w:r w:rsidR="002E1F52">
        <w:rPr>
          <w:rFonts w:cstheme="minorHAnsi"/>
        </w:rPr>
        <w:t>,</w:t>
      </w:r>
      <w:r w:rsidRPr="00601877">
        <w:rPr>
          <w:rFonts w:cstheme="minorHAnsi"/>
        </w:rPr>
        <w:t xml:space="preserve"> </w:t>
      </w:r>
      <w:r w:rsidRPr="00601877">
        <w:rPr>
          <w:rFonts w:cstheme="minorHAnsi"/>
          <w:i/>
        </w:rPr>
        <w:t>Tertiary education in Australia</w:t>
      </w:r>
      <w:r w:rsidRPr="00601877">
        <w:rPr>
          <w:rFonts w:cstheme="minorHAnsi"/>
        </w:rPr>
        <w:t xml:space="preserve"> </w:t>
      </w:r>
      <w:r w:rsidRPr="00601877">
        <w:rPr>
          <w:rFonts w:cstheme="minorHAnsi"/>
          <w:i/>
        </w:rPr>
        <w:t>(Martin report)</w:t>
      </w:r>
      <w:r w:rsidRPr="00601877">
        <w:rPr>
          <w:rFonts w:cstheme="minorHAnsi"/>
        </w:rPr>
        <w:t xml:space="preserve"> (Canberra: Government Printer, 1964)</w:t>
      </w:r>
      <w:r w:rsidR="008924BD">
        <w:rPr>
          <w:rFonts w:cstheme="minorHAnsi"/>
        </w:rPr>
        <w:t>,</w:t>
      </w:r>
      <w:r w:rsidRPr="00601877">
        <w:rPr>
          <w:rFonts w:cstheme="minorHAnsi"/>
        </w:rPr>
        <w:t xml:space="preserve"> </w:t>
      </w:r>
      <w:hyperlink r:id="rId18" w:history="1">
        <w:r w:rsidR="00D0223D" w:rsidRPr="00811871">
          <w:rPr>
            <w:rStyle w:val="Hyperlink"/>
            <w:rFonts w:cstheme="minorHAnsi"/>
          </w:rPr>
          <w:t>hdl.voced.edu.au/10707/228215</w:t>
        </w:r>
      </w:hyperlink>
      <w:r w:rsidR="00D0223D">
        <w:rPr>
          <w:rFonts w:cstheme="minorHAnsi"/>
        </w:rPr>
        <w:t xml:space="preserve">. </w:t>
      </w:r>
    </w:p>
  </w:footnote>
  <w:footnote w:id="29">
    <w:p w14:paraId="775AFA4F" w14:textId="6CE679A9"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V</w:t>
      </w:r>
      <w:r w:rsidR="00C905AC">
        <w:rPr>
          <w:rFonts w:cstheme="minorHAnsi"/>
        </w:rPr>
        <w:t>incent L.</w:t>
      </w:r>
      <w:r w:rsidR="00C50918">
        <w:rPr>
          <w:rFonts w:cstheme="minorHAnsi"/>
        </w:rPr>
        <w:t xml:space="preserve"> Meek,</w:t>
      </w:r>
      <w:r w:rsidRPr="00601877">
        <w:rPr>
          <w:rFonts w:cstheme="minorHAnsi"/>
        </w:rPr>
        <w:t xml:space="preserve"> “The Transformation of Australian Higher Education from Binary to Unitary System</w:t>
      </w:r>
      <w:r w:rsidR="00D300FB">
        <w:rPr>
          <w:rFonts w:cstheme="minorHAnsi"/>
        </w:rPr>
        <w:t>,</w:t>
      </w:r>
      <w:r w:rsidRPr="00601877">
        <w:rPr>
          <w:rFonts w:cstheme="minorHAnsi"/>
        </w:rPr>
        <w:t xml:space="preserve">” </w:t>
      </w:r>
      <w:r w:rsidRPr="00A32841">
        <w:rPr>
          <w:rFonts w:cstheme="minorHAnsi"/>
          <w:i/>
        </w:rPr>
        <w:t>Higher Education</w:t>
      </w:r>
      <w:r w:rsidRPr="00601877">
        <w:rPr>
          <w:rFonts w:cstheme="minorHAnsi"/>
        </w:rPr>
        <w:t xml:space="preserve"> 21, </w:t>
      </w:r>
      <w:r w:rsidR="00D300FB">
        <w:rPr>
          <w:rFonts w:cstheme="minorHAnsi"/>
        </w:rPr>
        <w:t>no.</w:t>
      </w:r>
      <w:r w:rsidRPr="00601877">
        <w:rPr>
          <w:rFonts w:cstheme="minorHAnsi"/>
        </w:rPr>
        <w:t xml:space="preserve"> 4 (1991</w:t>
      </w:r>
      <w:r w:rsidR="002E1F52" w:rsidRPr="00601877">
        <w:rPr>
          <w:rFonts w:cstheme="minorHAnsi"/>
        </w:rPr>
        <w:t>)</w:t>
      </w:r>
      <w:r w:rsidR="002E1F52">
        <w:rPr>
          <w:rFonts w:cstheme="minorHAnsi"/>
        </w:rPr>
        <w:t>:</w:t>
      </w:r>
      <w:r w:rsidRPr="00601877">
        <w:rPr>
          <w:rFonts w:cstheme="minorHAnsi"/>
        </w:rPr>
        <w:t xml:space="preserve"> 461–94. </w:t>
      </w:r>
      <w:hyperlink r:id="rId19" w:history="1">
        <w:r w:rsidR="00617470" w:rsidRPr="00811871">
          <w:rPr>
            <w:rStyle w:val="Hyperlink"/>
            <w:rFonts w:cstheme="minorHAnsi"/>
          </w:rPr>
          <w:t>www.jstor.org/s</w:t>
        </w:r>
        <w:bookmarkStart w:id="85" w:name="_Hlt155708214"/>
        <w:bookmarkStart w:id="86" w:name="_Hlt155708215"/>
        <w:r w:rsidR="00617470" w:rsidRPr="00811871">
          <w:rPr>
            <w:rStyle w:val="Hyperlink"/>
            <w:rFonts w:cstheme="minorHAnsi"/>
          </w:rPr>
          <w:t>t</w:t>
        </w:r>
        <w:bookmarkEnd w:id="85"/>
        <w:bookmarkEnd w:id="86"/>
        <w:r w:rsidR="00617470" w:rsidRPr="00811871">
          <w:rPr>
            <w:rStyle w:val="Hyperlink"/>
            <w:rFonts w:cstheme="minorHAnsi"/>
          </w:rPr>
          <w:t>able/3447236</w:t>
        </w:r>
      </w:hyperlink>
      <w:r w:rsidRPr="00601877">
        <w:rPr>
          <w:rFonts w:cstheme="minorHAnsi"/>
        </w:rPr>
        <w:t xml:space="preserve">; Bruce Williams, “The rise and fall of binary systems in two countries and the consequence for universities,” </w:t>
      </w:r>
      <w:r w:rsidRPr="00A32841">
        <w:rPr>
          <w:rFonts w:cstheme="minorHAnsi"/>
          <w:i/>
        </w:rPr>
        <w:t>Studies in Higher Education</w:t>
      </w:r>
      <w:r w:rsidRPr="00601877">
        <w:rPr>
          <w:rFonts w:cstheme="minorHAnsi"/>
        </w:rPr>
        <w:t xml:space="preserve"> 17,</w:t>
      </w:r>
      <w:r w:rsidR="002E1F52">
        <w:rPr>
          <w:rFonts w:cstheme="minorHAnsi"/>
        </w:rPr>
        <w:t xml:space="preserve"> </w:t>
      </w:r>
      <w:r w:rsidRPr="00601877">
        <w:rPr>
          <w:rFonts w:cstheme="minorHAnsi"/>
        </w:rPr>
        <w:t>3 (1992</w:t>
      </w:r>
      <w:r w:rsidR="002E1F52" w:rsidRPr="00601877">
        <w:rPr>
          <w:rFonts w:cstheme="minorHAnsi"/>
        </w:rPr>
        <w:t>)</w:t>
      </w:r>
      <w:r w:rsidR="002E1F52">
        <w:rPr>
          <w:rFonts w:cstheme="minorHAnsi"/>
        </w:rPr>
        <w:t>:</w:t>
      </w:r>
      <w:r w:rsidRPr="00601877">
        <w:rPr>
          <w:rFonts w:cstheme="minorHAnsi"/>
        </w:rPr>
        <w:t xml:space="preserve"> 281</w:t>
      </w:r>
      <w:r w:rsidR="00F166B1">
        <w:rPr>
          <w:rFonts w:cstheme="minorHAnsi"/>
        </w:rPr>
        <w:softHyphen/>
        <w:t>–</w:t>
      </w:r>
      <w:r w:rsidRPr="00601877">
        <w:rPr>
          <w:rFonts w:cstheme="minorHAnsi"/>
        </w:rPr>
        <w:t>293, DOI: 10.1080/03075079212331382547</w:t>
      </w:r>
      <w:r w:rsidR="002E1F52">
        <w:rPr>
          <w:rFonts w:cstheme="minorHAnsi"/>
        </w:rPr>
        <w:t>.</w:t>
      </w:r>
      <w:r w:rsidRPr="00601877">
        <w:rPr>
          <w:rFonts w:cstheme="minorHAnsi"/>
        </w:rPr>
        <w:t xml:space="preserve"> Meek dates the creation of the binary system to 1965, whereas Williams dates the start of financing of "an advanced sector" to 1965 but its formal creation in 1973.</w:t>
      </w:r>
    </w:p>
  </w:footnote>
  <w:footnote w:id="30">
    <w:p w14:paraId="7841AA19" w14:textId="1766EA6F" w:rsidR="00601107" w:rsidRPr="00601877" w:rsidRDefault="00601107" w:rsidP="00601107">
      <w:pPr>
        <w:pStyle w:val="FootnoteText"/>
        <w:rPr>
          <w:rFonts w:cstheme="minorHAnsi"/>
          <w:highlight w:val="yellow"/>
        </w:rPr>
      </w:pPr>
      <w:r w:rsidRPr="00601877">
        <w:rPr>
          <w:rStyle w:val="FootnoteReference"/>
          <w:rFonts w:cstheme="minorHAnsi"/>
        </w:rPr>
        <w:footnoteRef/>
      </w:r>
      <w:r w:rsidRPr="00601877">
        <w:rPr>
          <w:rFonts w:cstheme="minorHAnsi"/>
        </w:rPr>
        <w:t xml:space="preserve"> </w:t>
      </w:r>
      <w:r w:rsidR="006810D0">
        <w:rPr>
          <w:rFonts w:cstheme="minorHAnsi"/>
        </w:rPr>
        <w:t xml:space="preserve">Peter </w:t>
      </w:r>
      <w:r w:rsidR="006810D0" w:rsidRPr="006810D0">
        <w:rPr>
          <w:rFonts w:cstheme="minorHAnsi"/>
        </w:rPr>
        <w:t>Groenewegen</w:t>
      </w:r>
      <w:r w:rsidR="006810D0">
        <w:rPr>
          <w:rFonts w:cstheme="minorHAnsi"/>
        </w:rPr>
        <w:t xml:space="preserve">, </w:t>
      </w:r>
      <w:r w:rsidR="0009069D">
        <w:rPr>
          <w:rFonts w:cstheme="minorHAnsi"/>
        </w:rPr>
        <w:t>“</w:t>
      </w:r>
      <w:r w:rsidR="0009069D" w:rsidRPr="008C67CA">
        <w:rPr>
          <w:rFonts w:cstheme="minorHAnsi"/>
        </w:rPr>
        <w:t>Richard Charles Mills (18861952)</w:t>
      </w:r>
      <w:r w:rsidR="0009069D">
        <w:rPr>
          <w:rFonts w:cstheme="minorHAnsi"/>
        </w:rPr>
        <w:t xml:space="preserve">,” in the </w:t>
      </w:r>
      <w:r w:rsidR="0009069D">
        <w:rPr>
          <w:rFonts w:cstheme="minorHAnsi"/>
          <w:i/>
          <w:iCs/>
        </w:rPr>
        <w:t xml:space="preserve">Australian Dictionary of Biography, Volume </w:t>
      </w:r>
      <w:r w:rsidR="0009069D" w:rsidRPr="008C67CA">
        <w:rPr>
          <w:rFonts w:cstheme="minorHAnsi"/>
        </w:rPr>
        <w:t>10</w:t>
      </w:r>
      <w:r w:rsidR="0009069D">
        <w:rPr>
          <w:rFonts w:cstheme="minorHAnsi"/>
        </w:rPr>
        <w:t xml:space="preserve">, </w:t>
      </w:r>
      <w:r w:rsidR="009D2C05">
        <w:rPr>
          <w:rFonts w:cstheme="minorHAnsi"/>
        </w:rPr>
        <w:t xml:space="preserve">ed. </w:t>
      </w:r>
      <w:r w:rsidR="00676873">
        <w:rPr>
          <w:rFonts w:cstheme="minorHAnsi"/>
        </w:rPr>
        <w:t>Bede Nairn and Geoffrey Serle, (</w:t>
      </w:r>
      <w:r w:rsidR="009D2C05">
        <w:rPr>
          <w:rFonts w:cstheme="minorHAnsi"/>
        </w:rPr>
        <w:t>Melbourne: Melbourne University Press</w:t>
      </w:r>
      <w:r w:rsidR="00676873">
        <w:rPr>
          <w:rFonts w:cstheme="minorHAnsi"/>
        </w:rPr>
        <w:t>, published first in hardcopy 1986, accessed online 20 December 2023)</w:t>
      </w:r>
      <w:r w:rsidR="0009069D">
        <w:rPr>
          <w:rFonts w:cstheme="minorHAnsi"/>
        </w:rPr>
        <w:t xml:space="preserve">, </w:t>
      </w:r>
      <w:hyperlink r:id="rId20" w:history="1">
        <w:r w:rsidR="00025A55" w:rsidRPr="00811871">
          <w:rPr>
            <w:rStyle w:val="Hyperlink"/>
          </w:rPr>
          <w:t>adb.anu.edu.au/biography/mills-richard-charles-7593</w:t>
        </w:r>
      </w:hyperlink>
      <w:r w:rsidR="00025A55">
        <w:rPr>
          <w:rFonts w:cstheme="minorHAnsi"/>
        </w:rPr>
        <w:t xml:space="preserve">. </w:t>
      </w:r>
      <w:r w:rsidR="00B4161A">
        <w:rPr>
          <w:rFonts w:cstheme="minorHAnsi"/>
        </w:rPr>
        <w:t xml:space="preserve"> </w:t>
      </w:r>
    </w:p>
  </w:footnote>
  <w:footnote w:id="31">
    <w:p w14:paraId="0A277599" w14:textId="623C747F"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Committee on Australian Universities</w:t>
      </w:r>
      <w:r w:rsidR="00D300FB">
        <w:rPr>
          <w:rFonts w:cstheme="minorHAnsi"/>
        </w:rPr>
        <w:t>,</w:t>
      </w:r>
      <w:r w:rsidRPr="00601877">
        <w:rPr>
          <w:rFonts w:cstheme="minorHAnsi"/>
        </w:rPr>
        <w:t xml:space="preserve"> </w:t>
      </w:r>
      <w:r w:rsidRPr="00601877">
        <w:rPr>
          <w:rFonts w:cstheme="minorHAnsi"/>
          <w:i/>
        </w:rPr>
        <w:t>Report of the Committee on Australian Universities</w:t>
      </w:r>
      <w:r w:rsidRPr="00601877">
        <w:rPr>
          <w:rFonts w:cstheme="minorHAnsi"/>
        </w:rPr>
        <w:t xml:space="preserve"> (Canberra: Government Printer, 1957), </w:t>
      </w:r>
      <w:hyperlink r:id="rId21" w:history="1">
        <w:r w:rsidR="00392218" w:rsidRPr="00811871">
          <w:rPr>
            <w:rStyle w:val="Hyperlink"/>
            <w:rFonts w:cstheme="minorHAnsi"/>
          </w:rPr>
          <w:t>hdl.voced.edu.au/10707/228224</w:t>
        </w:r>
      </w:hyperlink>
      <w:r w:rsidR="00392218">
        <w:rPr>
          <w:rFonts w:cstheme="minorHAnsi"/>
        </w:rPr>
        <w:t xml:space="preserve">. </w:t>
      </w:r>
    </w:p>
  </w:footnote>
  <w:footnote w:id="32">
    <w:p w14:paraId="564D48C1" w14:textId="444E139D" w:rsidR="00C0552A" w:rsidRDefault="00C0552A">
      <w:pPr>
        <w:pStyle w:val="FootnoteText"/>
      </w:pPr>
      <w:r>
        <w:rPr>
          <w:rStyle w:val="FootnoteReference"/>
        </w:rPr>
        <w:footnoteRef/>
      </w:r>
      <w:r>
        <w:t xml:space="preserve"> </w:t>
      </w:r>
      <w:r w:rsidRPr="00C0552A">
        <w:t>Committee on the Future of Tertiary Education in Australia</w:t>
      </w:r>
      <w:r>
        <w:t xml:space="preserve">, </w:t>
      </w:r>
      <w:r w:rsidR="004A3B47" w:rsidRPr="0072052F">
        <w:rPr>
          <w:i/>
          <w:iCs/>
        </w:rPr>
        <w:t>Tertiary Education in Australia</w:t>
      </w:r>
      <w:r w:rsidR="00ED7998">
        <w:rPr>
          <w:i/>
          <w:iCs/>
        </w:rPr>
        <w:t xml:space="preserve"> </w:t>
      </w:r>
      <w:r w:rsidR="00ED7998">
        <w:t>(Canberra</w:t>
      </w:r>
      <w:r w:rsidR="00AC6518">
        <w:t>: Government Printer</w:t>
      </w:r>
      <w:r w:rsidR="006E6884">
        <w:t>,</w:t>
      </w:r>
      <w:r w:rsidR="00AC6518">
        <w:t xml:space="preserve"> 1964)</w:t>
      </w:r>
      <w:r w:rsidR="00ED7998">
        <w:t xml:space="preserve">, </w:t>
      </w:r>
      <w:hyperlink r:id="rId22" w:history="1">
        <w:r w:rsidR="00392218" w:rsidRPr="00811871">
          <w:rPr>
            <w:rStyle w:val="Hyperlink"/>
          </w:rPr>
          <w:t>www.voced.edu.au/content/ngv%3A53781</w:t>
        </w:r>
      </w:hyperlink>
      <w:r w:rsidR="00392218">
        <w:t xml:space="preserve">. </w:t>
      </w:r>
    </w:p>
  </w:footnote>
  <w:footnote w:id="33">
    <w:p w14:paraId="26D73371" w14:textId="48E4C73A"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Frederick White, “Robert Gordon Menzies. 20 December 1894</w:t>
      </w:r>
      <w:r w:rsidR="009A34C7">
        <w:rPr>
          <w:rFonts w:ascii="Symbol" w:eastAsia="Symbol" w:hAnsi="Symbol" w:cs="Symbol"/>
        </w:rPr>
        <w:t>-</w:t>
      </w:r>
      <w:r w:rsidRPr="00601877">
        <w:rPr>
          <w:rFonts w:cstheme="minorHAnsi"/>
        </w:rPr>
        <w:t>15 May 1978</w:t>
      </w:r>
      <w:r w:rsidR="00D300FB">
        <w:rPr>
          <w:rFonts w:cstheme="minorHAnsi"/>
        </w:rPr>
        <w:t>,</w:t>
      </w:r>
      <w:r w:rsidR="00D300FB" w:rsidRPr="00601877">
        <w:rPr>
          <w:rFonts w:cstheme="minorHAnsi"/>
        </w:rPr>
        <w:t>”</w:t>
      </w:r>
      <w:r w:rsidRPr="00601877">
        <w:rPr>
          <w:rFonts w:cstheme="minorHAnsi"/>
        </w:rPr>
        <w:t xml:space="preserve"> </w:t>
      </w:r>
      <w:r w:rsidRPr="00601877">
        <w:rPr>
          <w:rFonts w:cstheme="minorHAnsi"/>
          <w:i/>
        </w:rPr>
        <w:t>Biographical Memoirs of Fellows of the Royal Society</w:t>
      </w:r>
      <w:r w:rsidRPr="00601877">
        <w:rPr>
          <w:rFonts w:cstheme="minorHAnsi"/>
        </w:rPr>
        <w:t xml:space="preserve"> 25 (November 1979)</w:t>
      </w:r>
      <w:r w:rsidR="00BC38AB">
        <w:rPr>
          <w:rFonts w:cstheme="minorHAnsi"/>
        </w:rPr>
        <w:t>,</w:t>
      </w:r>
      <w:r w:rsidRPr="00601877">
        <w:rPr>
          <w:rFonts w:cstheme="minorHAnsi"/>
        </w:rPr>
        <w:t xml:space="preserve"> 445</w:t>
      </w:r>
      <w:r w:rsidR="00875E87">
        <w:rPr>
          <w:rFonts w:cstheme="minorHAnsi"/>
        </w:rPr>
        <w:t>–</w:t>
      </w:r>
      <w:r w:rsidRPr="00601877">
        <w:rPr>
          <w:rFonts w:cstheme="minorHAnsi"/>
        </w:rPr>
        <w:t>76.</w:t>
      </w:r>
    </w:p>
  </w:footnote>
  <w:footnote w:id="34">
    <w:p w14:paraId="28DD4D1F" w14:textId="77777777" w:rsidR="00601107" w:rsidRPr="004F1A11" w:rsidRDefault="00601107" w:rsidP="00601107">
      <w:pPr>
        <w:pStyle w:val="FootnoteText"/>
        <w:rPr>
          <w:rFonts w:cstheme="minorHAnsi"/>
        </w:rPr>
      </w:pPr>
      <w:r w:rsidRPr="004F1A11">
        <w:rPr>
          <w:rStyle w:val="FootnoteReference"/>
          <w:rFonts w:cstheme="minorHAnsi"/>
        </w:rPr>
        <w:footnoteRef/>
      </w:r>
      <w:r w:rsidRPr="004F1A11">
        <w:rPr>
          <w:rFonts w:cstheme="minorHAnsi"/>
        </w:rPr>
        <w:t xml:space="preserve"> Introduced by the then Minister for Employment, Education and Training, the Hon John Dawkins MP.</w:t>
      </w:r>
    </w:p>
  </w:footnote>
  <w:footnote w:id="35">
    <w:p w14:paraId="4CE45449" w14:textId="3DCEEB57" w:rsidR="00601107" w:rsidRPr="00601877" w:rsidRDefault="00601107" w:rsidP="00601107">
      <w:pPr>
        <w:pStyle w:val="FootnoteText"/>
        <w:rPr>
          <w:rFonts w:cstheme="minorHAnsi"/>
        </w:rPr>
      </w:pPr>
      <w:r w:rsidRPr="004F1A11">
        <w:rPr>
          <w:rStyle w:val="FootnoteReference"/>
          <w:rFonts w:cstheme="minorHAnsi"/>
        </w:rPr>
        <w:footnoteRef/>
      </w:r>
      <w:r w:rsidRPr="004F1A11">
        <w:rPr>
          <w:rFonts w:cstheme="minorHAnsi"/>
        </w:rPr>
        <w:t xml:space="preserve"> </w:t>
      </w:r>
      <w:r w:rsidRPr="00635FE9">
        <w:t xml:space="preserve">Glyn Davis, </w:t>
      </w:r>
      <w:r w:rsidRPr="00635FE9">
        <w:rPr>
          <w:i/>
          <w:iCs/>
        </w:rPr>
        <w:t>The Australian Idea of a University</w:t>
      </w:r>
      <w:r w:rsidRPr="00635FE9">
        <w:t xml:space="preserve"> (Melbourne: Melbourne University Press, 2017), </w:t>
      </w:r>
      <w:r w:rsidRPr="00635FE9">
        <w:rPr>
          <w:rFonts w:cstheme="minorHAnsi"/>
        </w:rPr>
        <w:t>73</w:t>
      </w:r>
      <w:r w:rsidR="00CE7441">
        <w:rPr>
          <w:rFonts w:cstheme="minorHAnsi"/>
        </w:rPr>
        <w:t>–</w:t>
      </w:r>
      <w:r w:rsidRPr="00635FE9">
        <w:rPr>
          <w:rFonts w:cstheme="minorHAnsi"/>
        </w:rPr>
        <w:t>74</w:t>
      </w:r>
      <w:r w:rsidR="006C0ECC">
        <w:rPr>
          <w:rFonts w:cstheme="minorHAnsi"/>
        </w:rPr>
        <w:t>.</w:t>
      </w:r>
    </w:p>
  </w:footnote>
  <w:footnote w:id="36">
    <w:p w14:paraId="6E824CEF" w14:textId="025341F5"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Mats Benner, Jonathan Grant </w:t>
      </w:r>
      <w:r w:rsidR="0060373B">
        <w:rPr>
          <w:rFonts w:cstheme="minorHAnsi"/>
        </w:rPr>
        <w:t>and</w:t>
      </w:r>
      <w:r w:rsidRPr="00601877">
        <w:rPr>
          <w:rFonts w:cstheme="minorHAnsi"/>
        </w:rPr>
        <w:t xml:space="preserve"> Mary O’Kane, </w:t>
      </w:r>
      <w:r w:rsidRPr="00601877">
        <w:rPr>
          <w:rFonts w:cstheme="minorHAnsi"/>
          <w:i/>
        </w:rPr>
        <w:t>Crisis Response in Higher Education: How the Pandemic Challenged University Operations and Organisation</w:t>
      </w:r>
      <w:r w:rsidRPr="00601877">
        <w:rPr>
          <w:rFonts w:cstheme="minorHAnsi"/>
        </w:rPr>
        <w:t xml:space="preserve"> (2022), 57, </w:t>
      </w:r>
      <w:hyperlink r:id="rId23" w:history="1">
        <w:r w:rsidR="00973FC5" w:rsidRPr="00811871">
          <w:rPr>
            <w:rStyle w:val="Hyperlink"/>
            <w:rFonts w:cstheme="minorHAnsi"/>
          </w:rPr>
          <w:t>doi.org/10.1007/978-3-030-97837-2</w:t>
        </w:r>
      </w:hyperlink>
      <w:r w:rsidR="00973FC5">
        <w:rPr>
          <w:rFonts w:cstheme="minorHAnsi"/>
        </w:rPr>
        <w:t xml:space="preserve">. </w:t>
      </w:r>
    </w:p>
  </w:footnote>
  <w:footnote w:id="37">
    <w:p w14:paraId="17CE538E" w14:textId="4F161843"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Department of Education, Employment and Workplace Relations, </w:t>
      </w:r>
      <w:r w:rsidRPr="00B61F01">
        <w:rPr>
          <w:rFonts w:cstheme="minorHAnsi"/>
          <w:i/>
        </w:rPr>
        <w:t>Review of Australian Higher Education: Final Report (Bradley Review</w:t>
      </w:r>
      <w:r w:rsidRPr="00B61F01">
        <w:rPr>
          <w:rFonts w:cstheme="minorHAnsi"/>
          <w:i/>
          <w:iCs/>
        </w:rPr>
        <w:t>)</w:t>
      </w:r>
      <w:r w:rsidRPr="00601877">
        <w:rPr>
          <w:rFonts w:cstheme="minorHAnsi"/>
        </w:rPr>
        <w:t xml:space="preserve"> (Canberra: December 2008), 205, hdl.voced.edu.au/10707/44384.</w:t>
      </w:r>
    </w:p>
  </w:footnote>
  <w:footnote w:id="38">
    <w:p w14:paraId="61682342" w14:textId="7E5560BC"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Department of Education, Employment and Workplace Relations, </w:t>
      </w:r>
      <w:r w:rsidRPr="00601877">
        <w:rPr>
          <w:rFonts w:cstheme="minorHAnsi"/>
          <w:i/>
        </w:rPr>
        <w:t>Bradley Review</w:t>
      </w:r>
      <w:r w:rsidR="00AD272E">
        <w:rPr>
          <w:rFonts w:cstheme="minorHAnsi"/>
        </w:rPr>
        <w:t>,</w:t>
      </w:r>
      <w:r w:rsidRPr="00601877">
        <w:rPr>
          <w:rFonts w:cstheme="minorHAnsi"/>
        </w:rPr>
        <w:t xml:space="preserve"> 4</w:t>
      </w:r>
      <w:r w:rsidR="00AD272E">
        <w:rPr>
          <w:rFonts w:cstheme="minorHAnsi"/>
        </w:rPr>
        <w:t>–</w:t>
      </w:r>
      <w:r w:rsidRPr="00601877">
        <w:rPr>
          <w:rFonts w:cstheme="minorHAnsi"/>
        </w:rPr>
        <w:t>5.</w:t>
      </w:r>
    </w:p>
  </w:footnote>
  <w:footnote w:id="39">
    <w:p w14:paraId="3659C238" w14:textId="1DADAE64" w:rsidR="00E8605B" w:rsidRDefault="00E8605B">
      <w:pPr>
        <w:pStyle w:val="FootnoteText"/>
      </w:pPr>
      <w:r>
        <w:rPr>
          <w:rStyle w:val="FootnoteReference"/>
        </w:rPr>
        <w:footnoteRef/>
      </w:r>
      <w:r>
        <w:t xml:space="preserve"> </w:t>
      </w:r>
      <w:r w:rsidR="004575F3" w:rsidRPr="004575F3">
        <w:t xml:space="preserve"> </w:t>
      </w:r>
      <w:r w:rsidR="004575F3" w:rsidRPr="004575F3">
        <w:rPr>
          <w:rFonts w:cstheme="minorHAnsi"/>
        </w:rPr>
        <w:t xml:space="preserve">Australian Bureau of Statistics, </w:t>
      </w:r>
      <w:r w:rsidR="004575F3" w:rsidRPr="008C4411">
        <w:rPr>
          <w:rFonts w:cstheme="minorHAnsi"/>
          <w:i/>
          <w:iCs/>
        </w:rPr>
        <w:t>Research and Experimental Development, Businesses, Australia 2021–22</w:t>
      </w:r>
      <w:r w:rsidR="004575F3" w:rsidRPr="004575F3">
        <w:rPr>
          <w:rFonts w:cstheme="minorHAnsi"/>
        </w:rPr>
        <w:t xml:space="preserve"> [data set], (Canberra) published 25 August 2023, </w:t>
      </w:r>
      <w:hyperlink r:id="rId24" w:history="1">
        <w:r w:rsidR="004575F3" w:rsidRPr="007D1F51">
          <w:rPr>
            <w:rStyle w:val="Hyperlink"/>
            <w:rFonts w:cstheme="minorHAnsi"/>
          </w:rPr>
          <w:t>www.abs.gov.au/statistics/industry/technology-and-innovation/research-and-experimental-development-businesses-australia/latest-release</w:t>
        </w:r>
      </w:hyperlink>
      <w:r w:rsidR="004575F3" w:rsidRPr="004575F3">
        <w:rPr>
          <w:rFonts w:cstheme="minorHAnsi"/>
        </w:rPr>
        <w:t>.</w:t>
      </w:r>
      <w:r w:rsidR="004575F3">
        <w:rPr>
          <w:rFonts w:cstheme="minorHAnsi"/>
        </w:rPr>
        <w:t xml:space="preserve"> </w:t>
      </w:r>
      <w:r w:rsidR="00172FBF">
        <w:rPr>
          <w:rFonts w:cstheme="minorHAnsi"/>
        </w:rPr>
        <w:t xml:space="preserve">Refers to unadjusted figures (nominal dollars). </w:t>
      </w:r>
    </w:p>
  </w:footnote>
  <w:footnote w:id="40">
    <w:p w14:paraId="731D8F6A" w14:textId="2B07F9F6"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Department of Education, “Research Translation and Commercialisation Agenda</w:t>
      </w:r>
      <w:r w:rsidR="006B156D">
        <w:rPr>
          <w:rFonts w:cstheme="minorHAnsi"/>
        </w:rPr>
        <w:t>,”</w:t>
      </w:r>
      <w:r w:rsidRPr="00601877">
        <w:rPr>
          <w:rFonts w:cstheme="minorHAnsi"/>
        </w:rPr>
        <w:t xml:space="preserve"> Australian Government Department of Education, </w:t>
      </w:r>
      <w:r w:rsidR="00F72F48">
        <w:rPr>
          <w:rFonts w:cstheme="minorHAnsi"/>
        </w:rPr>
        <w:t xml:space="preserve">published 23 </w:t>
      </w:r>
      <w:r w:rsidRPr="00601877">
        <w:rPr>
          <w:rFonts w:cstheme="minorHAnsi"/>
        </w:rPr>
        <w:t xml:space="preserve">November 2023, </w:t>
      </w:r>
      <w:hyperlink r:id="rId25" w:history="1">
        <w:r w:rsidR="0096795B" w:rsidRPr="00811871">
          <w:rPr>
            <w:rStyle w:val="Hyperlink"/>
            <w:rFonts w:cstheme="minorHAnsi"/>
          </w:rPr>
          <w:t>www.education.gov.au/research-translation-and-commercialisation-agenda</w:t>
        </w:r>
      </w:hyperlink>
      <w:r w:rsidR="0096795B">
        <w:rPr>
          <w:rFonts w:cstheme="minorHAnsi"/>
        </w:rPr>
        <w:t xml:space="preserve">. </w:t>
      </w:r>
    </w:p>
  </w:footnote>
  <w:footnote w:id="41">
    <w:p w14:paraId="18860D8D" w14:textId="799711D0" w:rsidR="00A77D52" w:rsidRDefault="00A77D52">
      <w:pPr>
        <w:pStyle w:val="FootnoteText"/>
      </w:pPr>
      <w:r>
        <w:rPr>
          <w:rStyle w:val="FootnoteReference"/>
        </w:rPr>
        <w:footnoteRef/>
      </w:r>
      <w:r>
        <w:t xml:space="preserve"> </w:t>
      </w:r>
      <w:r w:rsidR="00C15456" w:rsidRPr="00570A6C">
        <w:rPr>
          <w:rFonts w:cstheme="minorHAnsi"/>
        </w:rPr>
        <w:t xml:space="preserve">Department of Education, </w:t>
      </w:r>
      <w:r w:rsidR="00C15456" w:rsidRPr="00570A6C">
        <w:rPr>
          <w:rFonts w:cstheme="minorHAnsi"/>
          <w:i/>
        </w:rPr>
        <w:t>Higher Education Statistics – 202</w:t>
      </w:r>
      <w:r w:rsidR="00C15456">
        <w:rPr>
          <w:rFonts w:cstheme="minorHAnsi"/>
          <w:i/>
        </w:rPr>
        <w:t>2</w:t>
      </w:r>
      <w:r w:rsidR="00C15456" w:rsidRPr="00570A6C">
        <w:rPr>
          <w:rFonts w:cstheme="minorHAnsi"/>
          <w:i/>
        </w:rPr>
        <w:t xml:space="preserve"> Student Data</w:t>
      </w:r>
      <w:r w:rsidR="00C15456">
        <w:rPr>
          <w:rFonts w:cstheme="minorHAnsi"/>
          <w:i/>
        </w:rPr>
        <w:t xml:space="preserve"> – Section 2 All students</w:t>
      </w:r>
      <w:r w:rsidR="00C15456" w:rsidRPr="00570A6C">
        <w:rPr>
          <w:rFonts w:cstheme="minorHAnsi"/>
        </w:rPr>
        <w:t xml:space="preserve"> [data set],</w:t>
      </w:r>
      <w:r w:rsidR="00C15456">
        <w:rPr>
          <w:rFonts w:cstheme="minorHAnsi"/>
        </w:rPr>
        <w:t xml:space="preserve"> Section 2.1</w:t>
      </w:r>
      <w:r w:rsidR="003A25E6">
        <w:rPr>
          <w:rFonts w:cstheme="minorHAnsi"/>
        </w:rPr>
        <w:t>.</w:t>
      </w:r>
    </w:p>
  </w:footnote>
  <w:footnote w:id="42">
    <w:p w14:paraId="401CE389" w14:textId="6C0D1EB7"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w:t>
      </w:r>
      <w:r>
        <w:rPr>
          <w:rFonts w:cstheme="minorHAnsi"/>
        </w:rPr>
        <w:t xml:space="preserve">Tertiary Education Quality and Standards Agency, </w:t>
      </w:r>
      <w:r w:rsidR="00C215BD">
        <w:rPr>
          <w:rFonts w:cstheme="minorHAnsi"/>
        </w:rPr>
        <w:t xml:space="preserve">“National Register,” Tertiary Education Quality and Standards Agency, accessed 7 November 2023, </w:t>
      </w:r>
      <w:hyperlink r:id="rId26" w:history="1">
        <w:r w:rsidR="0096795B" w:rsidRPr="00811871">
          <w:rPr>
            <w:rStyle w:val="Hyperlink"/>
            <w:rFonts w:cstheme="minorHAnsi"/>
          </w:rPr>
          <w:t>www.teqsa.gov.au/national-register</w:t>
        </w:r>
      </w:hyperlink>
      <w:r w:rsidR="0096795B">
        <w:rPr>
          <w:rFonts w:cstheme="minorHAnsi"/>
        </w:rPr>
        <w:t xml:space="preserve">. </w:t>
      </w:r>
    </w:p>
  </w:footnote>
  <w:footnote w:id="43">
    <w:p w14:paraId="2F51D636" w14:textId="76129828" w:rsidR="00601107" w:rsidRPr="00601877" w:rsidRDefault="00601107" w:rsidP="00601107">
      <w:pPr>
        <w:spacing w:after="0"/>
        <w:rPr>
          <w:rFonts w:cstheme="minorHAnsi"/>
          <w:sz w:val="20"/>
          <w:szCs w:val="20"/>
        </w:rPr>
      </w:pPr>
      <w:r w:rsidRPr="00601877">
        <w:rPr>
          <w:rStyle w:val="FootnoteReference"/>
          <w:rFonts w:cstheme="minorHAnsi"/>
          <w:sz w:val="20"/>
          <w:szCs w:val="20"/>
        </w:rPr>
        <w:footnoteRef/>
      </w:r>
      <w:r w:rsidRPr="00601877">
        <w:rPr>
          <w:rFonts w:cstheme="minorHAnsi"/>
          <w:sz w:val="20"/>
          <w:szCs w:val="20"/>
        </w:rPr>
        <w:t xml:space="preserve"> </w:t>
      </w:r>
      <w:bookmarkStart w:id="100" w:name="_Hlk153284768"/>
      <w:r w:rsidRPr="003555C6">
        <w:rPr>
          <w:rStyle w:val="FootnoteTextChar"/>
        </w:rPr>
        <w:t xml:space="preserve">Commonwealth Supported Places (CSP) are described as such because the Government makes a significant contribution to the cost of teaching and scholarship for these programs. Each student in a CSP place also contributes to the cost of their course, with eligible students able to access HECS-HELP Income Contingent Loans (ICLs) to ensure there is no </w:t>
      </w:r>
      <w:r w:rsidR="004013F0" w:rsidRPr="003555C6">
        <w:rPr>
          <w:rStyle w:val="FootnoteTextChar"/>
        </w:rPr>
        <w:t>upfront</w:t>
      </w:r>
      <w:r w:rsidRPr="003555C6">
        <w:rPr>
          <w:rStyle w:val="FootnoteTextChar"/>
        </w:rPr>
        <w:t xml:space="preserve"> cost. Public universities are prohibited from offering domestic full</w:t>
      </w:r>
      <w:r w:rsidR="00036A80" w:rsidRPr="003555C6">
        <w:rPr>
          <w:rStyle w:val="FootnoteTextChar"/>
        </w:rPr>
        <w:t xml:space="preserve"> </w:t>
      </w:r>
      <w:r w:rsidRPr="003555C6">
        <w:rPr>
          <w:rStyle w:val="FootnoteTextChar"/>
        </w:rPr>
        <w:t>fee</w:t>
      </w:r>
      <w:r w:rsidR="00036A80" w:rsidRPr="003555C6">
        <w:rPr>
          <w:rStyle w:val="FootnoteTextChar"/>
        </w:rPr>
        <w:t>-</w:t>
      </w:r>
      <w:r w:rsidRPr="003555C6">
        <w:rPr>
          <w:rStyle w:val="FootnoteTextChar"/>
        </w:rPr>
        <w:t>paying undergraduate places</w:t>
      </w:r>
      <w:r w:rsidR="007911C9" w:rsidRPr="003555C6">
        <w:rPr>
          <w:rStyle w:val="FootnoteTextChar"/>
        </w:rPr>
        <w:t>, except in limited circumstances</w:t>
      </w:r>
      <w:r w:rsidRPr="003555C6">
        <w:rPr>
          <w:rStyle w:val="FootnoteTextChar"/>
        </w:rPr>
        <w:t>.</w:t>
      </w:r>
      <w:bookmarkEnd w:id="100"/>
    </w:p>
  </w:footnote>
  <w:footnote w:id="44">
    <w:p w14:paraId="58AB000A" w14:textId="7ABE7BF6" w:rsidR="001B5F3A" w:rsidRDefault="001B5F3A">
      <w:pPr>
        <w:pStyle w:val="FootnoteText"/>
      </w:pPr>
      <w:r>
        <w:rPr>
          <w:rStyle w:val="FootnoteReference"/>
        </w:rPr>
        <w:footnoteRef/>
      </w:r>
      <w:r>
        <w:t xml:space="preserve"> Department of Education, </w:t>
      </w:r>
      <w:r w:rsidRPr="008C4411">
        <w:rPr>
          <w:i/>
        </w:rPr>
        <w:t xml:space="preserve">Higher Education Statistics – Student Data – </w:t>
      </w:r>
      <w:r w:rsidR="006B7BAE" w:rsidRPr="008C4411">
        <w:rPr>
          <w:i/>
        </w:rPr>
        <w:t>202</w:t>
      </w:r>
      <w:r w:rsidR="00A91700" w:rsidRPr="008C4411">
        <w:rPr>
          <w:i/>
        </w:rPr>
        <w:t>2</w:t>
      </w:r>
      <w:r w:rsidR="006B7BAE" w:rsidRPr="008C4411">
        <w:rPr>
          <w:i/>
        </w:rPr>
        <w:t xml:space="preserve"> </w:t>
      </w:r>
      <w:r w:rsidRPr="008C4411">
        <w:rPr>
          <w:i/>
        </w:rPr>
        <w:t>Section 5 Liability Status</w:t>
      </w:r>
      <w:r w:rsidR="006B7BAE" w:rsidRPr="006B7BAE">
        <w:t> </w:t>
      </w:r>
      <w:r>
        <w:t>[data set</w:t>
      </w:r>
      <w:r w:rsidR="006B7BAE" w:rsidRPr="006B7BAE">
        <w:t>]</w:t>
      </w:r>
      <w:r w:rsidR="003A25E6">
        <w:t>.</w:t>
      </w:r>
    </w:p>
  </w:footnote>
  <w:footnote w:id="45">
    <w:p w14:paraId="44D249D5" w14:textId="553B286D" w:rsidR="00836DF0" w:rsidRDefault="00836DF0">
      <w:pPr>
        <w:pStyle w:val="FootnoteText"/>
      </w:pPr>
      <w:r>
        <w:rPr>
          <w:rStyle w:val="FootnoteReference"/>
        </w:rPr>
        <w:footnoteRef/>
      </w:r>
      <w:r>
        <w:t xml:space="preserve"> </w:t>
      </w:r>
      <w:r w:rsidRPr="009149C2">
        <w:rPr>
          <w:rStyle w:val="normaltextrun"/>
          <w:rFonts w:ascii="Calibri" w:hAnsi="Calibri" w:cs="Calibri"/>
          <w:color w:val="000000"/>
          <w:shd w:val="clear" w:color="auto" w:fill="FFFFFF"/>
        </w:rPr>
        <w:t xml:space="preserve">Department of </w:t>
      </w:r>
      <w:r w:rsidRPr="004A61AC">
        <w:rPr>
          <w:rStyle w:val="normaltextrun"/>
          <w:rFonts w:ascii="Calibri" w:hAnsi="Calibri" w:cs="Calibri"/>
          <w:color w:val="000000"/>
          <w:shd w:val="clear" w:color="auto" w:fill="FFFFFF"/>
        </w:rPr>
        <w:t xml:space="preserve">Education, </w:t>
      </w:r>
      <w:r w:rsidR="002D5FA3">
        <w:rPr>
          <w:rStyle w:val="normaltextrun"/>
          <w:rFonts w:ascii="Calibri" w:hAnsi="Calibri" w:cs="Calibri"/>
          <w:i/>
          <w:iCs/>
          <w:color w:val="000000"/>
          <w:shd w:val="clear" w:color="auto" w:fill="FFFFFF"/>
        </w:rPr>
        <w:t>University Revenue and Expenses</w:t>
      </w:r>
      <w:r w:rsidRPr="004A61AC">
        <w:rPr>
          <w:rStyle w:val="normaltextrun"/>
          <w:rFonts w:ascii="Calibri" w:hAnsi="Calibri" w:cs="Calibri"/>
          <w:color w:val="000000"/>
          <w:shd w:val="clear" w:color="auto" w:fill="FFFFFF"/>
        </w:rPr>
        <w:t xml:space="preserve"> [</w:t>
      </w:r>
      <w:r w:rsidRPr="00570A6C">
        <w:rPr>
          <w:rStyle w:val="normaltextrun"/>
          <w:rFonts w:ascii="Calibri" w:hAnsi="Calibri" w:cs="Calibri"/>
          <w:color w:val="000000"/>
          <w:shd w:val="clear" w:color="auto" w:fill="FFFFFF"/>
        </w:rPr>
        <w:t>unpublished data]</w:t>
      </w:r>
      <w:r w:rsidR="00276B74">
        <w:rPr>
          <w:rStyle w:val="normaltextrun"/>
          <w:rFonts w:ascii="Calibri" w:hAnsi="Calibri" w:cs="Calibri"/>
          <w:color w:val="000000"/>
          <w:shd w:val="clear" w:color="auto" w:fill="FFFFFF"/>
        </w:rPr>
        <w:t>, (Canberra: 2023)</w:t>
      </w:r>
      <w:r w:rsidRPr="00570A6C">
        <w:rPr>
          <w:rStyle w:val="normaltextrun"/>
          <w:rFonts w:ascii="Calibri" w:hAnsi="Calibri" w:cs="Calibri"/>
          <w:color w:val="000000"/>
          <w:shd w:val="clear" w:color="auto" w:fill="FFFFFF"/>
        </w:rPr>
        <w:t>.</w:t>
      </w:r>
    </w:p>
  </w:footnote>
  <w:footnote w:id="46">
    <w:p w14:paraId="6FE06B3B" w14:textId="707C41BF" w:rsidR="7B7D2FD5" w:rsidRDefault="7B7D2FD5" w:rsidP="0022325C">
      <w:pPr>
        <w:pStyle w:val="FootnoteText"/>
      </w:pPr>
      <w:r w:rsidRPr="0022325C">
        <w:rPr>
          <w:vertAlign w:val="superscript"/>
        </w:rPr>
        <w:footnoteRef/>
      </w:r>
      <w:r w:rsidR="3D8FEDC5" w:rsidRPr="0022325C">
        <w:rPr>
          <w:vertAlign w:val="superscript"/>
        </w:rPr>
        <w:t xml:space="preserve"> </w:t>
      </w:r>
      <w:r w:rsidR="3D8FEDC5" w:rsidRPr="0022325C">
        <w:rPr>
          <w:rStyle w:val="normaltextrun"/>
          <w:rFonts w:ascii="Calibri" w:hAnsi="Calibri" w:cs="Calibri"/>
          <w:color w:val="000000"/>
          <w:shd w:val="clear" w:color="auto" w:fill="FFFFFF"/>
        </w:rPr>
        <w:t xml:space="preserve">Glyn </w:t>
      </w:r>
      <w:r w:rsidR="3D8FEDC5" w:rsidRPr="00DF6522">
        <w:rPr>
          <w:rFonts w:cstheme="minorHAnsi"/>
        </w:rPr>
        <w:t>Davis</w:t>
      </w:r>
      <w:r w:rsidR="3D8FEDC5" w:rsidRPr="0022325C">
        <w:rPr>
          <w:rStyle w:val="normaltextrun"/>
          <w:rFonts w:ascii="Calibri" w:hAnsi="Calibri" w:cs="Calibri"/>
          <w:color w:val="000000"/>
          <w:shd w:val="clear" w:color="auto" w:fill="FFFFFF"/>
        </w:rPr>
        <w:t xml:space="preserve">, </w:t>
      </w:r>
      <w:r w:rsidR="006E23AD">
        <w:rPr>
          <w:rStyle w:val="normaltextrun"/>
          <w:rFonts w:ascii="Calibri" w:hAnsi="Calibri" w:cs="Calibri"/>
          <w:color w:val="000000"/>
          <w:shd w:val="clear" w:color="auto" w:fill="FFFFFF"/>
        </w:rPr>
        <w:t>“</w:t>
      </w:r>
      <w:r w:rsidR="3D8FEDC5" w:rsidRPr="0022325C">
        <w:rPr>
          <w:rStyle w:val="normaltextrun"/>
          <w:rFonts w:ascii="Calibri" w:hAnsi="Calibri" w:cs="Calibri"/>
          <w:color w:val="000000"/>
          <w:shd w:val="clear" w:color="auto" w:fill="FFFFFF"/>
        </w:rPr>
        <w:t>Why are Australian Universities so large?</w:t>
      </w:r>
      <w:r w:rsidR="006E23AD">
        <w:rPr>
          <w:rStyle w:val="normaltextrun"/>
          <w:rFonts w:ascii="Calibri" w:hAnsi="Calibri" w:cs="Calibri"/>
          <w:color w:val="000000"/>
          <w:shd w:val="clear" w:color="auto" w:fill="FFFFFF"/>
        </w:rPr>
        <w:t>”</w:t>
      </w:r>
      <w:r w:rsidR="3D8FEDC5" w:rsidRPr="0022325C">
        <w:rPr>
          <w:rStyle w:val="normaltextrun"/>
          <w:rFonts w:ascii="Calibri" w:hAnsi="Calibri" w:cs="Calibri"/>
          <w:color w:val="000000"/>
          <w:shd w:val="clear" w:color="auto" w:fill="FFFFFF"/>
        </w:rPr>
        <w:t xml:space="preserve"> in </w:t>
      </w:r>
      <w:r w:rsidR="3D8FEDC5" w:rsidRPr="0022325C">
        <w:rPr>
          <w:rStyle w:val="normaltextrun"/>
          <w:rFonts w:ascii="Calibri" w:hAnsi="Calibri" w:cs="Calibri"/>
          <w:i/>
          <w:color w:val="000000"/>
          <w:shd w:val="clear" w:color="auto" w:fill="FFFFFF"/>
        </w:rPr>
        <w:t xml:space="preserve">Australian Universities: A </w:t>
      </w:r>
      <w:r w:rsidR="006E23AD">
        <w:rPr>
          <w:rStyle w:val="normaltextrun"/>
          <w:rFonts w:ascii="Calibri" w:hAnsi="Calibri" w:cs="Calibri"/>
          <w:i/>
          <w:color w:val="000000"/>
          <w:shd w:val="clear" w:color="auto" w:fill="FFFFFF"/>
        </w:rPr>
        <w:t>C</w:t>
      </w:r>
      <w:r w:rsidR="3D8FEDC5" w:rsidRPr="0022325C">
        <w:rPr>
          <w:rStyle w:val="normaltextrun"/>
          <w:rFonts w:ascii="Calibri" w:hAnsi="Calibri" w:cs="Calibri"/>
          <w:i/>
          <w:color w:val="000000"/>
          <w:shd w:val="clear" w:color="auto" w:fill="FFFFFF"/>
        </w:rPr>
        <w:t xml:space="preserve">onversation </w:t>
      </w:r>
      <w:r w:rsidR="006E23AD">
        <w:rPr>
          <w:rStyle w:val="normaltextrun"/>
          <w:rFonts w:ascii="Calibri" w:hAnsi="Calibri" w:cs="Calibri"/>
          <w:i/>
          <w:color w:val="000000"/>
          <w:shd w:val="clear" w:color="auto" w:fill="FFFFFF"/>
        </w:rPr>
        <w:t>A</w:t>
      </w:r>
      <w:r w:rsidR="3D8FEDC5" w:rsidRPr="0022325C">
        <w:rPr>
          <w:rStyle w:val="normaltextrun"/>
          <w:rFonts w:ascii="Calibri" w:hAnsi="Calibri" w:cs="Calibri"/>
          <w:i/>
          <w:color w:val="000000"/>
          <w:shd w:val="clear" w:color="auto" w:fill="FFFFFF"/>
        </w:rPr>
        <w:t xml:space="preserve">bout </w:t>
      </w:r>
      <w:r w:rsidR="006E23AD">
        <w:rPr>
          <w:rStyle w:val="normaltextrun"/>
          <w:rFonts w:ascii="Calibri" w:hAnsi="Calibri" w:cs="Calibri"/>
          <w:i/>
          <w:color w:val="000000"/>
          <w:shd w:val="clear" w:color="auto" w:fill="FFFFFF"/>
        </w:rPr>
        <w:t>P</w:t>
      </w:r>
      <w:r w:rsidR="3D8FEDC5" w:rsidRPr="0022325C">
        <w:rPr>
          <w:rStyle w:val="normaltextrun"/>
          <w:rFonts w:ascii="Calibri" w:hAnsi="Calibri" w:cs="Calibri"/>
          <w:i/>
          <w:color w:val="000000"/>
          <w:shd w:val="clear" w:color="auto" w:fill="FFFFFF"/>
        </w:rPr>
        <w:t xml:space="preserve">ublic </w:t>
      </w:r>
      <w:r w:rsidR="006E23AD">
        <w:rPr>
          <w:rStyle w:val="normaltextrun"/>
          <w:rFonts w:ascii="Calibri" w:hAnsi="Calibri" w:cs="Calibri"/>
          <w:i/>
          <w:color w:val="000000"/>
          <w:shd w:val="clear" w:color="auto" w:fill="FFFFFF"/>
        </w:rPr>
        <w:t>G</w:t>
      </w:r>
      <w:r w:rsidR="3D8FEDC5" w:rsidRPr="0022325C">
        <w:rPr>
          <w:rStyle w:val="normaltextrun"/>
          <w:rFonts w:ascii="Calibri" w:hAnsi="Calibri" w:cs="Calibri"/>
          <w:i/>
          <w:color w:val="000000"/>
          <w:shd w:val="clear" w:color="auto" w:fill="FFFFFF"/>
        </w:rPr>
        <w:t>ood</w:t>
      </w:r>
      <w:r w:rsidR="006E23AD">
        <w:rPr>
          <w:rStyle w:val="normaltextrun"/>
          <w:rFonts w:ascii="Calibri" w:hAnsi="Calibri" w:cs="Calibri"/>
          <w:i/>
          <w:color w:val="000000"/>
          <w:shd w:val="clear" w:color="auto" w:fill="FFFFFF"/>
        </w:rPr>
        <w:t>,</w:t>
      </w:r>
      <w:r w:rsidR="3D8FEDC5" w:rsidRPr="0022325C">
        <w:rPr>
          <w:rStyle w:val="normaltextrun"/>
          <w:rFonts w:ascii="Calibri" w:hAnsi="Calibri" w:cs="Calibri"/>
          <w:color w:val="000000"/>
          <w:shd w:val="clear" w:color="auto" w:fill="FFFFFF"/>
        </w:rPr>
        <w:t xml:space="preserve"> </w:t>
      </w:r>
      <w:r w:rsidR="006E23AD">
        <w:rPr>
          <w:rStyle w:val="normaltextrun"/>
          <w:rFonts w:ascii="Calibri" w:hAnsi="Calibri" w:cs="Calibri"/>
          <w:color w:val="000000"/>
          <w:shd w:val="clear" w:color="auto" w:fill="FFFFFF"/>
        </w:rPr>
        <w:t>e</w:t>
      </w:r>
      <w:r w:rsidR="3D8FEDC5" w:rsidRPr="0022325C">
        <w:rPr>
          <w:rStyle w:val="normaltextrun"/>
          <w:rFonts w:ascii="Calibri" w:hAnsi="Calibri" w:cs="Calibri"/>
          <w:color w:val="000000"/>
          <w:shd w:val="clear" w:color="auto" w:fill="FFFFFF"/>
        </w:rPr>
        <w:t>d</w:t>
      </w:r>
      <w:r w:rsidR="006E23AD">
        <w:rPr>
          <w:rStyle w:val="normaltextrun"/>
          <w:rFonts w:ascii="Calibri" w:hAnsi="Calibri" w:cs="Calibri"/>
          <w:color w:val="000000"/>
          <w:shd w:val="clear" w:color="auto" w:fill="FFFFFF"/>
        </w:rPr>
        <w:t xml:space="preserve">ited by </w:t>
      </w:r>
      <w:r w:rsidR="6DDC7B55" w:rsidRPr="0022325C">
        <w:rPr>
          <w:rStyle w:val="normaltextrun"/>
          <w:rFonts w:ascii="Calibri" w:hAnsi="Calibri" w:cs="Calibri"/>
          <w:color w:val="000000"/>
          <w:shd w:val="clear" w:color="auto" w:fill="FFFFFF"/>
        </w:rPr>
        <w:t>Julia Horne and Matthew A.M. Thomas</w:t>
      </w:r>
      <w:r w:rsidR="006E23AD">
        <w:rPr>
          <w:rStyle w:val="normaltextrun"/>
          <w:rFonts w:ascii="Calibri" w:hAnsi="Calibri" w:cs="Calibri"/>
          <w:color w:val="000000"/>
          <w:shd w:val="clear" w:color="auto" w:fill="FFFFFF"/>
        </w:rPr>
        <w:t xml:space="preserve">, </w:t>
      </w:r>
      <w:r w:rsidR="006E23AD" w:rsidRPr="0022325C">
        <w:rPr>
          <w:rStyle w:val="normaltextrun"/>
          <w:rFonts w:ascii="Calibri" w:hAnsi="Calibri" w:cs="Calibri"/>
          <w:color w:val="000000"/>
          <w:shd w:val="clear" w:color="auto" w:fill="FFFFFF"/>
        </w:rPr>
        <w:t>(</w:t>
      </w:r>
      <w:r w:rsidR="006E23AD">
        <w:rPr>
          <w:rStyle w:val="normaltextrun"/>
          <w:rFonts w:ascii="Calibri" w:hAnsi="Calibri" w:cs="Calibri"/>
          <w:color w:val="000000"/>
          <w:shd w:val="clear" w:color="auto" w:fill="FFFFFF"/>
        </w:rPr>
        <w:t>Sydney</w:t>
      </w:r>
      <w:r w:rsidR="000F32DB">
        <w:rPr>
          <w:rStyle w:val="normaltextrun"/>
          <w:rFonts w:ascii="Calibri" w:hAnsi="Calibri" w:cs="Calibri"/>
          <w:color w:val="000000"/>
          <w:shd w:val="clear" w:color="auto" w:fill="FFFFFF"/>
        </w:rPr>
        <w:t xml:space="preserve">: </w:t>
      </w:r>
      <w:r w:rsidR="006E23AD">
        <w:rPr>
          <w:rStyle w:val="normaltextrun"/>
          <w:rFonts w:ascii="Calibri" w:hAnsi="Calibri" w:cs="Calibri"/>
          <w:color w:val="000000"/>
          <w:shd w:val="clear" w:color="auto" w:fill="FFFFFF"/>
        </w:rPr>
        <w:t xml:space="preserve">Sydney University Press, </w:t>
      </w:r>
      <w:r w:rsidR="006E23AD" w:rsidRPr="0022325C">
        <w:rPr>
          <w:rStyle w:val="normaltextrun"/>
          <w:rFonts w:ascii="Calibri" w:hAnsi="Calibri" w:cs="Calibri"/>
          <w:color w:val="000000"/>
          <w:shd w:val="clear" w:color="auto" w:fill="FFFFFF"/>
        </w:rPr>
        <w:t>2022), 45.</w:t>
      </w:r>
    </w:p>
  </w:footnote>
  <w:footnote w:id="47">
    <w:p w14:paraId="0A41CC55" w14:textId="0C0C97D9" w:rsidR="00197967" w:rsidRDefault="00197967">
      <w:pPr>
        <w:pStyle w:val="FootnoteText"/>
      </w:pPr>
      <w:r>
        <w:rPr>
          <w:rStyle w:val="FootnoteReference"/>
        </w:rPr>
        <w:footnoteRef/>
      </w:r>
      <w:r>
        <w:t xml:space="preserve"> </w:t>
      </w:r>
      <w:r w:rsidR="00716649">
        <w:rPr>
          <w:rFonts w:cstheme="minorHAnsi"/>
        </w:rPr>
        <w:t>Tertiary Education Quality and Standards Agency, “National Register</w:t>
      </w:r>
      <w:r w:rsidR="00503C38">
        <w:rPr>
          <w:rFonts w:cstheme="minorHAnsi"/>
        </w:rPr>
        <w:t>.”</w:t>
      </w:r>
    </w:p>
  </w:footnote>
  <w:footnote w:id="48">
    <w:p w14:paraId="230A503C" w14:textId="792AB149"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A 'University' is a defined term. Its use is restricted to institutions with research in at least 3 disciplines.</w:t>
      </w:r>
    </w:p>
  </w:footnote>
  <w:footnote w:id="49">
    <w:p w14:paraId="5DB4DE1E" w14:textId="31BC6352" w:rsidR="00601107" w:rsidRPr="00601877" w:rsidRDefault="00601107" w:rsidP="00601107">
      <w:pPr>
        <w:pStyle w:val="FootnoteText"/>
        <w:rPr>
          <w:rFonts w:cstheme="minorHAnsi"/>
        </w:rPr>
      </w:pPr>
      <w:r w:rsidRPr="00601877">
        <w:rPr>
          <w:rStyle w:val="FootnoteReference"/>
          <w:rFonts w:cstheme="minorHAnsi"/>
        </w:rPr>
        <w:footnoteRef/>
      </w:r>
      <w:r w:rsidR="000F32DB">
        <w:rPr>
          <w:rFonts w:cstheme="minorHAnsi"/>
        </w:rPr>
        <w:t xml:space="preserve"> </w:t>
      </w:r>
      <w:r w:rsidR="00FC79A0">
        <w:rPr>
          <w:rStyle w:val="normaltextrun"/>
          <w:rFonts w:ascii="Calibri" w:hAnsi="Calibri" w:cs="Calibri"/>
          <w:color w:val="000000"/>
          <w:shd w:val="clear" w:color="auto" w:fill="FFFFFF"/>
        </w:rPr>
        <w:t>Organisation for Economic Co-operation and Development (</w:t>
      </w:r>
      <w:r w:rsidR="002235D5">
        <w:rPr>
          <w:rStyle w:val="normaltextrun"/>
          <w:rFonts w:ascii="Calibri" w:hAnsi="Calibri" w:cs="Calibri"/>
          <w:color w:val="000000"/>
          <w:shd w:val="clear" w:color="auto" w:fill="FFFFFF"/>
        </w:rPr>
        <w:t>OECD</w:t>
      </w:r>
      <w:r w:rsidR="00FC79A0">
        <w:rPr>
          <w:rStyle w:val="normaltextrun"/>
          <w:rFonts w:ascii="Calibri" w:hAnsi="Calibri" w:cs="Calibri"/>
          <w:color w:val="000000"/>
          <w:shd w:val="clear" w:color="auto" w:fill="FFFFFF"/>
        </w:rPr>
        <w:t>)</w:t>
      </w:r>
      <w:r w:rsidR="004429B4">
        <w:rPr>
          <w:rFonts w:cstheme="minorHAnsi"/>
        </w:rPr>
        <w:t>,</w:t>
      </w:r>
      <w:r w:rsidR="004429B4">
        <w:rPr>
          <w:rFonts w:cstheme="minorHAnsi"/>
          <w:i/>
          <w:iCs/>
        </w:rPr>
        <w:t xml:space="preserve"> </w:t>
      </w:r>
      <w:r w:rsidR="00FC79A0">
        <w:rPr>
          <w:rFonts w:cstheme="minorHAnsi"/>
          <w:i/>
        </w:rPr>
        <w:t xml:space="preserve">OECD </w:t>
      </w:r>
      <w:r w:rsidR="002235D5" w:rsidRPr="0022325C">
        <w:rPr>
          <w:rFonts w:cstheme="minorHAnsi"/>
          <w:i/>
        </w:rPr>
        <w:t>Main Science and Technology Indicators</w:t>
      </w:r>
      <w:r w:rsidR="00FC79A0">
        <w:rPr>
          <w:rFonts w:cstheme="minorHAnsi"/>
          <w:i/>
        </w:rPr>
        <w:t xml:space="preserve"> </w:t>
      </w:r>
      <w:r w:rsidR="004429B4">
        <w:rPr>
          <w:rFonts w:cstheme="minorHAnsi"/>
        </w:rPr>
        <w:t xml:space="preserve">[data set], accessed 10 November 2023, </w:t>
      </w:r>
      <w:hyperlink r:id="rId27" w:history="1">
        <w:r w:rsidR="004429B4" w:rsidRPr="0091242D">
          <w:rPr>
            <w:rStyle w:val="Hyperlink"/>
            <w:rFonts w:cstheme="minorHAnsi"/>
          </w:rPr>
          <w:t>www.oecd.org/sti/msti.htm</w:t>
        </w:r>
      </w:hyperlink>
      <w:r w:rsidR="002235D5" w:rsidRPr="002235D5">
        <w:rPr>
          <w:rFonts w:cstheme="minorHAnsi"/>
        </w:rPr>
        <w:t>;</w:t>
      </w:r>
      <w:r w:rsidR="000F32DB">
        <w:rPr>
          <w:rFonts w:cstheme="minorHAnsi"/>
        </w:rPr>
        <w:t xml:space="preserve"> </w:t>
      </w:r>
      <w:r w:rsidR="002235D5" w:rsidRPr="002235D5">
        <w:rPr>
          <w:rFonts w:cstheme="minorHAnsi"/>
        </w:rPr>
        <w:t xml:space="preserve">Australian Bureau of Statistics, </w:t>
      </w:r>
      <w:r w:rsidR="002235D5" w:rsidRPr="002531BB">
        <w:rPr>
          <w:rFonts w:cstheme="minorHAnsi"/>
          <w:i/>
        </w:rPr>
        <w:t>Consumer Price Index, Australia</w:t>
      </w:r>
      <w:r w:rsidR="004F3135">
        <w:rPr>
          <w:rFonts w:cstheme="minorHAnsi"/>
        </w:rPr>
        <w:t xml:space="preserve"> [data set]</w:t>
      </w:r>
      <w:r w:rsidR="002235D5" w:rsidRPr="002235D5">
        <w:rPr>
          <w:rFonts w:cstheme="minorHAnsi"/>
        </w:rPr>
        <w:t xml:space="preserve">, </w:t>
      </w:r>
      <w:r w:rsidR="004F3135">
        <w:rPr>
          <w:rFonts w:cstheme="minorHAnsi"/>
        </w:rPr>
        <w:t>September Quarter 2023</w:t>
      </w:r>
      <w:r w:rsidR="002531BB">
        <w:rPr>
          <w:rFonts w:cstheme="minorHAnsi"/>
        </w:rPr>
        <w:t xml:space="preserve"> (Canberra: October 2023),</w:t>
      </w:r>
      <w:r w:rsidR="002235D5" w:rsidRPr="002235D5">
        <w:rPr>
          <w:rFonts w:cstheme="minorHAnsi"/>
        </w:rPr>
        <w:t xml:space="preserve"> accessed 11 December 2023</w:t>
      </w:r>
      <w:r w:rsidR="002531BB">
        <w:rPr>
          <w:rFonts w:cstheme="minorHAnsi"/>
        </w:rPr>
        <w:t xml:space="preserve"> </w:t>
      </w:r>
      <w:hyperlink r:id="rId28" w:history="1">
        <w:r w:rsidR="00B7032E" w:rsidRPr="00811871">
          <w:rPr>
            <w:rStyle w:val="Hyperlink"/>
            <w:rFonts w:cstheme="minorHAnsi"/>
          </w:rPr>
          <w:t>www.abs.gov.au/statistics/economy/price-indexes-and-inflation/consumer-price-index-australia/latest-release</w:t>
        </w:r>
      </w:hyperlink>
      <w:r w:rsidR="00B7032E">
        <w:rPr>
          <w:rFonts w:cstheme="minorHAnsi"/>
        </w:rPr>
        <w:t xml:space="preserve">. </w:t>
      </w:r>
    </w:p>
  </w:footnote>
  <w:footnote w:id="50">
    <w:p w14:paraId="44903ABD" w14:textId="7217F210" w:rsidR="00601107" w:rsidRPr="00601877" w:rsidRDefault="00601107" w:rsidP="00601107">
      <w:pPr>
        <w:shd w:val="clear" w:color="auto" w:fill="FFFFFF"/>
        <w:spacing w:after="0" w:line="240" w:lineRule="auto"/>
        <w:rPr>
          <w:rFonts w:eastAsia="Times New Roman" w:cstheme="minorHAnsi"/>
          <w:color w:val="000000"/>
          <w:sz w:val="20"/>
          <w:szCs w:val="20"/>
          <w:lang w:eastAsia="en-AU"/>
        </w:rPr>
      </w:pPr>
      <w:r w:rsidRPr="00601877">
        <w:rPr>
          <w:rStyle w:val="FootnoteReference"/>
          <w:rFonts w:cstheme="minorHAnsi"/>
          <w:sz w:val="20"/>
          <w:szCs w:val="20"/>
        </w:rPr>
        <w:footnoteRef/>
      </w:r>
      <w:r w:rsidRPr="00601877">
        <w:rPr>
          <w:rFonts w:cstheme="minorHAnsi"/>
          <w:sz w:val="20"/>
          <w:szCs w:val="20"/>
        </w:rPr>
        <w:t xml:space="preserve"> </w:t>
      </w:r>
      <w:r w:rsidR="00945A9F" w:rsidRPr="00CF1EE7">
        <w:rPr>
          <w:rFonts w:cstheme="minorHAnsi"/>
          <w:sz w:val="20"/>
          <w:szCs w:val="20"/>
        </w:rPr>
        <w:t xml:space="preserve">Australian Bureau of Statistics, </w:t>
      </w:r>
      <w:r w:rsidR="00945A9F" w:rsidRPr="0022325C">
        <w:rPr>
          <w:rFonts w:cstheme="minorHAnsi"/>
          <w:i/>
          <w:sz w:val="20"/>
          <w:szCs w:val="20"/>
        </w:rPr>
        <w:t>Research and Experimental Development, Businesses, Australia</w:t>
      </w:r>
      <w:r w:rsidR="00945A9F">
        <w:rPr>
          <w:rFonts w:cstheme="minorHAnsi"/>
          <w:i/>
          <w:iCs/>
          <w:sz w:val="20"/>
          <w:szCs w:val="20"/>
        </w:rPr>
        <w:t xml:space="preserve"> </w:t>
      </w:r>
      <w:r w:rsidR="003E59CF">
        <w:rPr>
          <w:rFonts w:cstheme="minorHAnsi"/>
          <w:i/>
          <w:iCs/>
          <w:sz w:val="20"/>
          <w:szCs w:val="20"/>
        </w:rPr>
        <w:t>2021</w:t>
      </w:r>
      <w:r w:rsidR="001C6FEA">
        <w:rPr>
          <w:rFonts w:ascii="Symbol" w:eastAsia="Symbol" w:hAnsi="Symbol" w:cs="Symbol"/>
        </w:rPr>
        <w:t>-</w:t>
      </w:r>
      <w:r w:rsidR="003E59CF">
        <w:rPr>
          <w:rFonts w:cstheme="minorHAnsi"/>
          <w:i/>
          <w:iCs/>
          <w:sz w:val="20"/>
          <w:szCs w:val="20"/>
        </w:rPr>
        <w:t>22</w:t>
      </w:r>
      <w:r w:rsidR="00945A9F" w:rsidRPr="00CF1EE7">
        <w:rPr>
          <w:rFonts w:cstheme="minorHAnsi"/>
          <w:sz w:val="20"/>
          <w:szCs w:val="20"/>
        </w:rPr>
        <w:t xml:space="preserve"> [data set]</w:t>
      </w:r>
      <w:r w:rsidR="003E59CF">
        <w:rPr>
          <w:rFonts w:cstheme="minorHAnsi"/>
          <w:sz w:val="20"/>
          <w:szCs w:val="20"/>
        </w:rPr>
        <w:t xml:space="preserve">, </w:t>
      </w:r>
      <w:r w:rsidR="003F347B">
        <w:rPr>
          <w:rFonts w:cstheme="minorHAnsi"/>
          <w:sz w:val="20"/>
          <w:szCs w:val="20"/>
        </w:rPr>
        <w:t xml:space="preserve">(Canberra), </w:t>
      </w:r>
      <w:r w:rsidR="003E59CF">
        <w:rPr>
          <w:rFonts w:cstheme="minorHAnsi"/>
          <w:sz w:val="20"/>
          <w:szCs w:val="20"/>
        </w:rPr>
        <w:t xml:space="preserve">published </w:t>
      </w:r>
      <w:r w:rsidR="00976F99">
        <w:rPr>
          <w:rFonts w:cstheme="minorHAnsi"/>
          <w:sz w:val="20"/>
          <w:szCs w:val="20"/>
        </w:rPr>
        <w:t>25 August 2023,</w:t>
      </w:r>
      <w:r w:rsidR="00976F99" w:rsidRPr="00976F99">
        <w:t xml:space="preserve"> </w:t>
      </w:r>
      <w:hyperlink r:id="rId29" w:history="1">
        <w:r w:rsidR="009541C0" w:rsidRPr="00811871">
          <w:rPr>
            <w:rStyle w:val="Hyperlink"/>
            <w:rFonts w:cstheme="minorHAnsi"/>
            <w:sz w:val="20"/>
            <w:szCs w:val="20"/>
          </w:rPr>
          <w:t>www.abs.gov.au/statistics/industry/technology-and-innovation/research-and-experimental-development-businesses-australia/latest-release</w:t>
        </w:r>
      </w:hyperlink>
      <w:r w:rsidR="00945A9F">
        <w:rPr>
          <w:rFonts w:cstheme="minorHAnsi"/>
          <w:sz w:val="20"/>
          <w:szCs w:val="20"/>
        </w:rPr>
        <w:t xml:space="preserve">; </w:t>
      </w:r>
      <w:r w:rsidR="00945A9F" w:rsidRPr="00601877">
        <w:rPr>
          <w:rFonts w:cstheme="minorHAnsi"/>
          <w:sz w:val="20"/>
          <w:szCs w:val="20"/>
        </w:rPr>
        <w:t>Australian Bureau of Statistics</w:t>
      </w:r>
      <w:r w:rsidR="00945A9F">
        <w:rPr>
          <w:rFonts w:cstheme="minorHAnsi"/>
          <w:sz w:val="20"/>
          <w:szCs w:val="20"/>
        </w:rPr>
        <w:t xml:space="preserve">, </w:t>
      </w:r>
      <w:r w:rsidR="00945A9F" w:rsidRPr="0022325C">
        <w:rPr>
          <w:rFonts w:cstheme="minorHAnsi"/>
          <w:i/>
          <w:sz w:val="20"/>
          <w:szCs w:val="20"/>
        </w:rPr>
        <w:t xml:space="preserve">Australian National Accounts: </w:t>
      </w:r>
      <w:r w:rsidR="001872B0">
        <w:rPr>
          <w:rFonts w:cstheme="minorHAnsi"/>
          <w:i/>
          <w:iCs/>
          <w:sz w:val="20"/>
          <w:szCs w:val="20"/>
        </w:rPr>
        <w:t>N</w:t>
      </w:r>
      <w:r w:rsidR="00945A9F" w:rsidRPr="0022325C">
        <w:rPr>
          <w:rFonts w:cstheme="minorHAnsi"/>
          <w:i/>
          <w:iCs/>
          <w:sz w:val="20"/>
          <w:szCs w:val="20"/>
        </w:rPr>
        <w:t>ational</w:t>
      </w:r>
      <w:r w:rsidR="00945A9F" w:rsidRPr="0022325C">
        <w:rPr>
          <w:rFonts w:cstheme="minorHAnsi"/>
          <w:i/>
          <w:sz w:val="20"/>
          <w:szCs w:val="20"/>
        </w:rPr>
        <w:t xml:space="preserve"> Income, Expenditure and Product</w:t>
      </w:r>
      <w:r w:rsidR="00945A9F">
        <w:rPr>
          <w:rFonts w:cstheme="minorHAnsi"/>
          <w:sz w:val="20"/>
          <w:szCs w:val="20"/>
        </w:rPr>
        <w:t xml:space="preserve"> [data set]</w:t>
      </w:r>
      <w:r w:rsidR="00144893">
        <w:rPr>
          <w:rFonts w:cstheme="minorHAnsi"/>
          <w:sz w:val="20"/>
          <w:szCs w:val="20"/>
        </w:rPr>
        <w:t xml:space="preserve">, </w:t>
      </w:r>
      <w:r w:rsidR="006C387C">
        <w:rPr>
          <w:rFonts w:cstheme="minorHAnsi"/>
          <w:sz w:val="20"/>
          <w:szCs w:val="20"/>
        </w:rPr>
        <w:t xml:space="preserve">Table 36 </w:t>
      </w:r>
      <w:r w:rsidR="00144893">
        <w:rPr>
          <w:rFonts w:cstheme="minorHAnsi"/>
          <w:sz w:val="20"/>
          <w:szCs w:val="20"/>
        </w:rPr>
        <w:t xml:space="preserve">(Canberra), published </w:t>
      </w:r>
      <w:r w:rsidR="006C387C">
        <w:rPr>
          <w:rFonts w:cstheme="minorHAnsi"/>
          <w:sz w:val="20"/>
          <w:szCs w:val="20"/>
        </w:rPr>
        <w:t>6 December 2023,</w:t>
      </w:r>
      <w:r w:rsidR="00945A9F" w:rsidRPr="00601877">
        <w:rPr>
          <w:rFonts w:cstheme="minorHAnsi"/>
          <w:sz w:val="20"/>
          <w:szCs w:val="20"/>
        </w:rPr>
        <w:t xml:space="preserve"> </w:t>
      </w:r>
      <w:hyperlink r:id="rId30" w:history="1">
        <w:r w:rsidR="00945A9F" w:rsidRPr="0091242D">
          <w:rPr>
            <w:rStyle w:val="Hyperlink"/>
            <w:rFonts w:cstheme="minorHAnsi"/>
            <w:sz w:val="20"/>
            <w:szCs w:val="20"/>
          </w:rPr>
          <w:t>www.abs.gov.a</w:t>
        </w:r>
        <w:bookmarkStart w:id="101" w:name="_Hlt155708501"/>
        <w:bookmarkStart w:id="102" w:name="_Hlt155708502"/>
        <w:bookmarkEnd w:id="101"/>
        <w:bookmarkEnd w:id="102"/>
        <w:r w:rsidR="00945A9F" w:rsidRPr="0091242D">
          <w:rPr>
            <w:rStyle w:val="Hyperlink"/>
            <w:rFonts w:cstheme="minorHAnsi"/>
            <w:sz w:val="20"/>
            <w:szCs w:val="20"/>
          </w:rPr>
          <w:t>u/statistics/economy/national-accounts/australian-national-accounts-national-income-expenditure-and-product/latest-release</w:t>
        </w:r>
      </w:hyperlink>
      <w:r w:rsidR="006C387C">
        <w:rPr>
          <w:rFonts w:cstheme="minorHAnsi"/>
          <w:sz w:val="20"/>
          <w:szCs w:val="20"/>
        </w:rPr>
        <w:t>.</w:t>
      </w:r>
    </w:p>
  </w:footnote>
  <w:footnote w:id="51">
    <w:p w14:paraId="6C2A502E" w14:textId="1BAE41EE"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w:t>
      </w:r>
      <w:r w:rsidR="004D0B1F">
        <w:rPr>
          <w:rFonts w:cstheme="minorHAnsi"/>
        </w:rPr>
        <w:t xml:space="preserve">Department of Industry, Science and Resources, </w:t>
      </w:r>
      <w:r w:rsidR="004D0B1F" w:rsidRPr="0022325C">
        <w:rPr>
          <w:rFonts w:cstheme="minorHAnsi"/>
          <w:i/>
        </w:rPr>
        <w:t>Science, Research and Innovation Budget Tables 2022</w:t>
      </w:r>
      <w:r w:rsidR="001C6FEA">
        <w:rPr>
          <w:rFonts w:ascii="Symbol" w:eastAsia="Symbol" w:hAnsi="Symbol" w:cs="Symbol"/>
        </w:rPr>
        <w:t>-</w:t>
      </w:r>
      <w:r w:rsidR="004D0B1F" w:rsidRPr="0022325C">
        <w:rPr>
          <w:rFonts w:cstheme="minorHAnsi"/>
          <w:i/>
        </w:rPr>
        <w:t>23</w:t>
      </w:r>
      <w:r w:rsidR="004D0B1F" w:rsidRPr="00601877">
        <w:rPr>
          <w:rFonts w:cstheme="minorHAnsi"/>
        </w:rPr>
        <w:t xml:space="preserve"> [data set], </w:t>
      </w:r>
      <w:r w:rsidR="0061564F">
        <w:rPr>
          <w:rFonts w:cstheme="minorHAnsi"/>
        </w:rPr>
        <w:t>published 28 April</w:t>
      </w:r>
      <w:r w:rsidR="0061564F" w:rsidRPr="00601877">
        <w:rPr>
          <w:rFonts w:cstheme="minorHAnsi"/>
        </w:rPr>
        <w:t xml:space="preserve"> 2023</w:t>
      </w:r>
      <w:r w:rsidR="0061564F">
        <w:rPr>
          <w:rFonts w:cstheme="minorHAnsi"/>
        </w:rPr>
        <w:t>,</w:t>
      </w:r>
      <w:r w:rsidR="004D0B1F" w:rsidRPr="00601877">
        <w:rPr>
          <w:rFonts w:cstheme="minorHAnsi"/>
        </w:rPr>
        <w:t xml:space="preserve"> </w:t>
      </w:r>
      <w:hyperlink r:id="rId31" w:history="1">
        <w:r w:rsidR="004D0B1F" w:rsidRPr="0091242D">
          <w:rPr>
            <w:rStyle w:val="Hyperlink"/>
            <w:rFonts w:cstheme="minorHAnsi"/>
          </w:rPr>
          <w:t>www.industry.gov.au/publicatio</w:t>
        </w:r>
        <w:bookmarkStart w:id="103" w:name="_Hlt155708507"/>
        <w:bookmarkStart w:id="104" w:name="_Hlt155708508"/>
        <w:bookmarkEnd w:id="103"/>
        <w:bookmarkEnd w:id="104"/>
        <w:r w:rsidR="004D0B1F" w:rsidRPr="0091242D">
          <w:rPr>
            <w:rStyle w:val="Hyperlink"/>
            <w:rFonts w:cstheme="minorHAnsi"/>
          </w:rPr>
          <w:t>ns/science-research-and-innovation-sri-budget-tables-2022-23</w:t>
        </w:r>
      </w:hyperlink>
      <w:r w:rsidR="0061564F">
        <w:rPr>
          <w:rFonts w:cstheme="minorHAnsi"/>
        </w:rPr>
        <w:t>.</w:t>
      </w:r>
    </w:p>
  </w:footnote>
  <w:footnote w:id="52">
    <w:p w14:paraId="3D8DBDB8" w14:textId="42BEADAB"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w:t>
      </w:r>
      <w:r w:rsidR="00060A9A" w:rsidRPr="00601877">
        <w:rPr>
          <w:rFonts w:cstheme="minorHAnsi"/>
        </w:rPr>
        <w:t>A</w:t>
      </w:r>
      <w:r w:rsidR="00060A9A">
        <w:rPr>
          <w:rFonts w:cstheme="minorHAnsi"/>
        </w:rPr>
        <w:t xml:space="preserve">ustralian </w:t>
      </w:r>
      <w:r w:rsidR="00060A9A" w:rsidRPr="00601877">
        <w:rPr>
          <w:rFonts w:cstheme="minorHAnsi"/>
        </w:rPr>
        <w:t>B</w:t>
      </w:r>
      <w:r w:rsidR="00060A9A">
        <w:rPr>
          <w:rFonts w:cstheme="minorHAnsi"/>
        </w:rPr>
        <w:t xml:space="preserve">ureau of </w:t>
      </w:r>
      <w:r w:rsidR="00060A9A" w:rsidRPr="00601877">
        <w:rPr>
          <w:rFonts w:cstheme="minorHAnsi"/>
        </w:rPr>
        <w:t>S</w:t>
      </w:r>
      <w:r w:rsidR="00060A9A">
        <w:rPr>
          <w:rFonts w:cstheme="minorHAnsi"/>
        </w:rPr>
        <w:t xml:space="preserve">tatistics, </w:t>
      </w:r>
      <w:r w:rsidR="00060A9A" w:rsidRPr="0022325C">
        <w:rPr>
          <w:rFonts w:cstheme="minorHAnsi"/>
          <w:i/>
          <w:iCs/>
        </w:rPr>
        <w:t xml:space="preserve">Research and Experimental Development, Businesses, Australia </w:t>
      </w:r>
      <w:r w:rsidR="00460541" w:rsidRPr="0022325C">
        <w:rPr>
          <w:rFonts w:cstheme="minorHAnsi"/>
          <w:i/>
          <w:iCs/>
        </w:rPr>
        <w:t>2021</w:t>
      </w:r>
      <w:r w:rsidR="001C6FEA">
        <w:rPr>
          <w:rFonts w:ascii="Symbol" w:eastAsia="Symbol" w:hAnsi="Symbol" w:cs="Symbol"/>
        </w:rPr>
        <w:t>-</w:t>
      </w:r>
      <w:r w:rsidR="00460541" w:rsidRPr="0022325C">
        <w:rPr>
          <w:rFonts w:cstheme="minorHAnsi"/>
          <w:i/>
          <w:iCs/>
        </w:rPr>
        <w:t>22</w:t>
      </w:r>
      <w:r w:rsidR="00460541" w:rsidRPr="00460541">
        <w:rPr>
          <w:rFonts w:cstheme="minorHAnsi"/>
        </w:rPr>
        <w:t xml:space="preserve"> [data set]</w:t>
      </w:r>
      <w:r w:rsidR="00060A9A">
        <w:rPr>
          <w:rFonts w:cstheme="minorHAnsi"/>
        </w:rPr>
        <w:t xml:space="preserve">; Australian Bureau of Statistics, </w:t>
      </w:r>
      <w:r w:rsidR="00060A9A" w:rsidRPr="0022325C">
        <w:rPr>
          <w:rFonts w:cstheme="minorHAnsi"/>
          <w:i/>
          <w:iCs/>
        </w:rPr>
        <w:t>Research and Experimental Development, Higher Education Organisations, Australia</w:t>
      </w:r>
      <w:r w:rsidR="00060A9A">
        <w:rPr>
          <w:rFonts w:cstheme="minorHAnsi"/>
          <w:i/>
          <w:iCs/>
        </w:rPr>
        <w:t xml:space="preserve"> </w:t>
      </w:r>
      <w:r w:rsidR="00B057ED">
        <w:rPr>
          <w:rFonts w:cstheme="minorHAnsi"/>
          <w:i/>
          <w:iCs/>
        </w:rPr>
        <w:t>2020</w:t>
      </w:r>
      <w:r w:rsidR="00060A9A">
        <w:rPr>
          <w:rFonts w:cstheme="minorHAnsi"/>
        </w:rPr>
        <w:t xml:space="preserve"> [data set]</w:t>
      </w:r>
      <w:r w:rsidR="00D963AA">
        <w:rPr>
          <w:rFonts w:cstheme="minorHAnsi"/>
        </w:rPr>
        <w:t>, (Canberra</w:t>
      </w:r>
      <w:r w:rsidR="00603A82">
        <w:rPr>
          <w:rFonts w:cstheme="minorHAnsi"/>
        </w:rPr>
        <w:t>: 2022</w:t>
      </w:r>
      <w:r w:rsidR="00D963AA">
        <w:rPr>
          <w:rFonts w:cstheme="minorHAnsi"/>
        </w:rPr>
        <w:t>), accessed 10 November 2023</w:t>
      </w:r>
      <w:r w:rsidR="00060A9A">
        <w:rPr>
          <w:rFonts w:cstheme="minorHAnsi"/>
        </w:rPr>
        <w:t xml:space="preserve"> </w:t>
      </w:r>
      <w:hyperlink r:id="rId32" w:history="1">
        <w:r w:rsidR="002531BB" w:rsidRPr="002531BB">
          <w:rPr>
            <w:rStyle w:val="Hyperlink"/>
            <w:rFonts w:cstheme="minorHAnsi"/>
          </w:rPr>
          <w:t>www.abs.gov.au/‌statistics/‌industry‌/technology-and-inn</w:t>
        </w:r>
        <w:bookmarkStart w:id="105" w:name="_Hlt155708511"/>
        <w:bookmarkStart w:id="106" w:name="_Hlt155708512"/>
        <w:bookmarkEnd w:id="105"/>
        <w:bookmarkEnd w:id="106"/>
        <w:r w:rsidR="002531BB" w:rsidRPr="002531BB">
          <w:rPr>
            <w:rStyle w:val="Hyperlink"/>
            <w:rFonts w:cstheme="minorHAnsi"/>
          </w:rPr>
          <w:t>ovation/research-and-experimental-development-higher-education-organisations‌-‌australia/latest-release</w:t>
        </w:r>
      </w:hyperlink>
      <w:r w:rsidR="00060A9A" w:rsidRPr="00601877">
        <w:rPr>
          <w:rFonts w:cstheme="minorHAnsi"/>
        </w:rPr>
        <w:t xml:space="preserve">; </w:t>
      </w:r>
      <w:r w:rsidR="00060A9A">
        <w:rPr>
          <w:rFonts w:cstheme="minorHAnsi"/>
        </w:rPr>
        <w:t xml:space="preserve">Australian Bureau of Statistics, </w:t>
      </w:r>
      <w:r w:rsidR="00060A9A" w:rsidRPr="0022325C">
        <w:rPr>
          <w:rFonts w:cstheme="minorHAnsi"/>
          <w:i/>
          <w:iCs/>
        </w:rPr>
        <w:t>Research and Experimental Development, Government and Private Non-Profit Organisations, Australia</w:t>
      </w:r>
      <w:r w:rsidR="00060A9A">
        <w:rPr>
          <w:rFonts w:cstheme="minorHAnsi"/>
          <w:i/>
          <w:iCs/>
        </w:rPr>
        <w:t xml:space="preserve"> </w:t>
      </w:r>
      <w:r w:rsidR="00890492">
        <w:rPr>
          <w:rFonts w:cstheme="minorHAnsi"/>
          <w:i/>
          <w:iCs/>
        </w:rPr>
        <w:t>2020</w:t>
      </w:r>
      <w:r w:rsidR="00A36320">
        <w:rPr>
          <w:rFonts w:ascii="Symbol" w:eastAsia="Symbol" w:hAnsi="Symbol" w:cs="Symbol"/>
        </w:rPr>
        <w:t>-</w:t>
      </w:r>
      <w:r w:rsidR="00890492">
        <w:rPr>
          <w:rFonts w:cstheme="minorHAnsi"/>
          <w:i/>
          <w:iCs/>
        </w:rPr>
        <w:t>2021</w:t>
      </w:r>
      <w:r w:rsidR="00060A9A">
        <w:rPr>
          <w:rFonts w:cstheme="minorHAnsi"/>
        </w:rPr>
        <w:t xml:space="preserve"> [data set]</w:t>
      </w:r>
      <w:r w:rsidR="00890492">
        <w:rPr>
          <w:rFonts w:cstheme="minorHAnsi"/>
        </w:rPr>
        <w:t>, (Canberra</w:t>
      </w:r>
      <w:r w:rsidR="00603A82">
        <w:rPr>
          <w:rFonts w:cstheme="minorHAnsi"/>
        </w:rPr>
        <w:t>: 2022</w:t>
      </w:r>
      <w:r w:rsidR="00890492">
        <w:rPr>
          <w:rFonts w:cstheme="minorHAnsi"/>
        </w:rPr>
        <w:t xml:space="preserve">), </w:t>
      </w:r>
      <w:r w:rsidR="00603A82">
        <w:rPr>
          <w:rFonts w:cstheme="minorHAnsi"/>
        </w:rPr>
        <w:t>accessed 8 December 2023</w:t>
      </w:r>
      <w:r w:rsidR="00890492">
        <w:rPr>
          <w:rFonts w:cstheme="minorHAnsi"/>
        </w:rPr>
        <w:t>,</w:t>
      </w:r>
      <w:r w:rsidR="00060A9A">
        <w:rPr>
          <w:rFonts w:cstheme="minorHAnsi"/>
        </w:rPr>
        <w:t xml:space="preserve"> </w:t>
      </w:r>
      <w:hyperlink r:id="rId33" w:history="1">
        <w:r w:rsidR="00060A9A" w:rsidRPr="0091242D">
          <w:rPr>
            <w:rStyle w:val="Hyperlink"/>
            <w:rFonts w:cstheme="minorHAnsi"/>
          </w:rPr>
          <w:t>www.abs.gov.au/statistics/industry/technology-and-innovation/research-and-experimental-development-government-and-private-non-profit-organisations-australia/2020-21</w:t>
        </w:r>
      </w:hyperlink>
      <w:r w:rsidR="00060A9A" w:rsidRPr="00601877">
        <w:rPr>
          <w:rFonts w:cstheme="minorHAnsi"/>
        </w:rPr>
        <w:t xml:space="preserve">; </w:t>
      </w:r>
      <w:r w:rsidR="003B632F">
        <w:rPr>
          <w:rFonts w:cstheme="minorHAnsi"/>
        </w:rPr>
        <w:t>OECD,</w:t>
      </w:r>
      <w:r w:rsidR="00AF2559">
        <w:rPr>
          <w:rFonts w:cstheme="minorHAnsi"/>
          <w:i/>
          <w:iCs/>
        </w:rPr>
        <w:t xml:space="preserve"> </w:t>
      </w:r>
      <w:r w:rsidR="004429B4">
        <w:rPr>
          <w:rFonts w:cstheme="minorHAnsi"/>
          <w:i/>
          <w:iCs/>
        </w:rPr>
        <w:t>OECD</w:t>
      </w:r>
      <w:r w:rsidR="00AF2559">
        <w:rPr>
          <w:rFonts w:cstheme="minorHAnsi"/>
          <w:i/>
          <w:iCs/>
        </w:rPr>
        <w:t xml:space="preserve"> </w:t>
      </w:r>
      <w:r w:rsidR="00060A9A" w:rsidRPr="0022325C">
        <w:rPr>
          <w:rFonts w:cstheme="minorHAnsi"/>
          <w:i/>
          <w:iCs/>
        </w:rPr>
        <w:t>Main Science and Technology Indicators</w:t>
      </w:r>
      <w:r w:rsidR="00AF2559">
        <w:rPr>
          <w:rFonts w:cstheme="minorHAnsi"/>
          <w:i/>
          <w:iCs/>
        </w:rPr>
        <w:t xml:space="preserve"> </w:t>
      </w:r>
      <w:r w:rsidR="00060A9A">
        <w:rPr>
          <w:rFonts w:cstheme="minorHAnsi"/>
        </w:rPr>
        <w:t xml:space="preserve">[data set], </w:t>
      </w:r>
      <w:r w:rsidR="004429B4">
        <w:rPr>
          <w:rFonts w:cstheme="minorHAnsi"/>
        </w:rPr>
        <w:t>2023</w:t>
      </w:r>
      <w:r w:rsidR="00060A9A">
        <w:rPr>
          <w:rFonts w:cstheme="minorHAnsi"/>
        </w:rPr>
        <w:t>.</w:t>
      </w:r>
    </w:p>
  </w:footnote>
  <w:footnote w:id="53">
    <w:p w14:paraId="01B423B3" w14:textId="659C57CC"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w:t>
      </w:r>
      <w:r w:rsidR="00683917">
        <w:t>Clarivate</w:t>
      </w:r>
      <w:r w:rsidR="00683917" w:rsidRPr="0063465B">
        <w:t xml:space="preserve">, </w:t>
      </w:r>
      <w:r w:rsidR="00683917" w:rsidRPr="0063465B">
        <w:rPr>
          <w:i/>
        </w:rPr>
        <w:t>Web of Science Documents</w:t>
      </w:r>
      <w:r w:rsidR="00683917" w:rsidRPr="0063465B">
        <w:t xml:space="preserve"> [data set], (2022), accessed 24 November 2023, </w:t>
      </w:r>
      <w:hyperlink r:id="rId34" w:anchor="/analysis/0/organization" w:history="1">
        <w:r w:rsidR="00683917" w:rsidRPr="0063465B">
          <w:rPr>
            <w:rStyle w:val="Hyperlink"/>
          </w:rPr>
          <w:t>incites.clarivate.com/#/analysis/0/organization</w:t>
        </w:r>
      </w:hyperlink>
      <w:r w:rsidR="00683917" w:rsidRPr="0063465B">
        <w:t xml:space="preserve">; The World Bank, </w:t>
      </w:r>
      <w:r w:rsidR="00683917" w:rsidRPr="0063465B">
        <w:rPr>
          <w:i/>
        </w:rPr>
        <w:t>Population, total</w:t>
      </w:r>
      <w:r w:rsidR="00683917" w:rsidRPr="0063465B">
        <w:t xml:space="preserve"> [data set], accessed 24 November 2023, </w:t>
      </w:r>
      <w:hyperlink r:id="rId35" w:history="1">
        <w:r w:rsidR="00683917" w:rsidRPr="0063465B">
          <w:rPr>
            <w:rStyle w:val="Hyperlink"/>
          </w:rPr>
          <w:t>data.worldbank.org/indicator/SP.POP.TOTL</w:t>
        </w:r>
      </w:hyperlink>
      <w:r w:rsidR="009A06AC">
        <w:rPr>
          <w:rFonts w:cstheme="minorHAnsi"/>
        </w:rPr>
        <w:t>.</w:t>
      </w:r>
    </w:p>
  </w:footnote>
  <w:footnote w:id="54">
    <w:p w14:paraId="76CA340F" w14:textId="7E4119C6"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w:t>
      </w:r>
      <w:proofErr w:type="spellStart"/>
      <w:r w:rsidR="002045C2">
        <w:t>SciVal</w:t>
      </w:r>
      <w:proofErr w:type="spellEnd"/>
      <w:r w:rsidR="002045C2">
        <w:t xml:space="preserve">, </w:t>
      </w:r>
      <w:r w:rsidR="002045C2" w:rsidRPr="009C08EE">
        <w:rPr>
          <w:i/>
        </w:rPr>
        <w:t>Collaboration by Australia</w:t>
      </w:r>
      <w:r w:rsidR="002045C2">
        <w:rPr>
          <w:i/>
        </w:rPr>
        <w:t xml:space="preserve"> </w:t>
      </w:r>
      <w:r w:rsidR="002045C2">
        <w:rPr>
          <w:iCs/>
        </w:rPr>
        <w:t>[data set]</w:t>
      </w:r>
      <w:r w:rsidR="002045C2" w:rsidRPr="009C08EE">
        <w:rPr>
          <w:i/>
        </w:rPr>
        <w:t>,</w:t>
      </w:r>
      <w:r w:rsidR="002045C2">
        <w:t xml:space="preserve"> (2023) accessed 19 December 2023, </w:t>
      </w:r>
      <w:hyperlink r:id="rId36" w:history="1">
        <w:r w:rsidR="002045C2" w:rsidRPr="00EB3F27">
          <w:rPr>
            <w:rStyle w:val="Hyperlink"/>
          </w:rPr>
          <w:t>www.scival.com/collaboration/collabMetrics?uri=Country/36</w:t>
        </w:r>
      </w:hyperlink>
      <w:r w:rsidR="009A06AC">
        <w:rPr>
          <w:rFonts w:cstheme="minorHAnsi"/>
        </w:rPr>
        <w:t>.</w:t>
      </w:r>
    </w:p>
  </w:footnote>
  <w:footnote w:id="55">
    <w:p w14:paraId="0B9E0D04" w14:textId="39E1114A"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w:t>
      </w:r>
      <w:r w:rsidR="001A736B">
        <w:rPr>
          <w:rFonts w:cstheme="minorHAnsi"/>
        </w:rPr>
        <w:t>Australian Research Council</w:t>
      </w:r>
      <w:r w:rsidR="00967B99">
        <w:rPr>
          <w:rFonts w:cstheme="minorHAnsi"/>
        </w:rPr>
        <w:t xml:space="preserve"> (ARC)</w:t>
      </w:r>
      <w:r w:rsidR="001A736B">
        <w:rPr>
          <w:rFonts w:cstheme="minorHAnsi"/>
        </w:rPr>
        <w:t xml:space="preserve">, </w:t>
      </w:r>
      <w:r w:rsidR="001A736B" w:rsidRPr="0022325C">
        <w:rPr>
          <w:rFonts w:cstheme="minorHAnsi"/>
          <w:i/>
        </w:rPr>
        <w:t>State of University Research 2018</w:t>
      </w:r>
      <w:r w:rsidR="001261A2" w:rsidRPr="0022325C">
        <w:rPr>
          <w:rFonts w:cstheme="minorHAnsi"/>
          <w:i/>
        </w:rPr>
        <w:t>–</w:t>
      </w:r>
      <w:r w:rsidR="001A736B" w:rsidRPr="0022325C">
        <w:rPr>
          <w:rFonts w:cstheme="minorHAnsi"/>
          <w:i/>
        </w:rPr>
        <w:t>19</w:t>
      </w:r>
      <w:r w:rsidR="001A736B">
        <w:rPr>
          <w:rFonts w:cstheme="minorHAnsi"/>
        </w:rPr>
        <w:t xml:space="preserve"> [data set], </w:t>
      </w:r>
      <w:r w:rsidR="008F3E40">
        <w:rPr>
          <w:rFonts w:cstheme="minorHAnsi"/>
        </w:rPr>
        <w:t>(Canberra</w:t>
      </w:r>
      <w:r w:rsidR="00967B99">
        <w:rPr>
          <w:rFonts w:cstheme="minorHAnsi"/>
        </w:rPr>
        <w:t>, 2019</w:t>
      </w:r>
      <w:r w:rsidR="008F3E40">
        <w:rPr>
          <w:rFonts w:cstheme="minorHAnsi"/>
        </w:rPr>
        <w:t xml:space="preserve">), accessed 10 November 2023, </w:t>
      </w:r>
      <w:hyperlink r:id="rId37" w:history="1">
        <w:r w:rsidR="001A736B" w:rsidRPr="0091242D">
          <w:rPr>
            <w:rStyle w:val="Hyperlink"/>
            <w:rFonts w:cstheme="minorHAnsi"/>
          </w:rPr>
          <w:t>dataportal.arc.gov.au/ERA/</w:t>
        </w:r>
        <w:proofErr w:type="spellStart"/>
        <w:r w:rsidR="001A736B" w:rsidRPr="0091242D">
          <w:rPr>
            <w:rStyle w:val="Hyperlink"/>
            <w:rFonts w:cstheme="minorHAnsi"/>
          </w:rPr>
          <w:t>National</w:t>
        </w:r>
        <w:bookmarkStart w:id="107" w:name="_Hlt153889922"/>
        <w:bookmarkStart w:id="108" w:name="_Hlt153889923"/>
        <w:r w:rsidR="001A736B" w:rsidRPr="0091242D">
          <w:rPr>
            <w:rStyle w:val="Hyperlink"/>
            <w:rFonts w:cstheme="minorHAnsi"/>
          </w:rPr>
          <w:t>R</w:t>
        </w:r>
        <w:bookmarkEnd w:id="107"/>
        <w:bookmarkEnd w:id="108"/>
        <w:r w:rsidR="001A736B" w:rsidRPr="0091242D">
          <w:rPr>
            <w:rStyle w:val="Hyperlink"/>
            <w:rFonts w:cstheme="minorHAnsi"/>
          </w:rPr>
          <w:t>eport</w:t>
        </w:r>
        <w:proofErr w:type="spellEnd"/>
        <w:r w:rsidR="001A736B" w:rsidRPr="0091242D">
          <w:rPr>
            <w:rStyle w:val="Hyperlink"/>
            <w:rFonts w:cstheme="minorHAnsi"/>
          </w:rPr>
          <w:t>/2018/</w:t>
        </w:r>
      </w:hyperlink>
      <w:r w:rsidR="001A736B" w:rsidRPr="00601877">
        <w:rPr>
          <w:rFonts w:cstheme="minorHAnsi"/>
        </w:rPr>
        <w:t>.</w:t>
      </w:r>
    </w:p>
  </w:footnote>
  <w:footnote w:id="56">
    <w:p w14:paraId="496615BD" w14:textId="0A61181B"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w:t>
      </w:r>
      <w:r w:rsidR="001522A0">
        <w:rPr>
          <w:rFonts w:cstheme="minorHAnsi"/>
        </w:rPr>
        <w:t>John Ross,</w:t>
      </w:r>
      <w:r w:rsidRPr="00601877">
        <w:rPr>
          <w:rFonts w:cstheme="minorHAnsi"/>
        </w:rPr>
        <w:t xml:space="preserve"> </w:t>
      </w:r>
      <w:r w:rsidR="00AC63CD">
        <w:rPr>
          <w:rFonts w:cstheme="minorHAnsi"/>
        </w:rPr>
        <w:t xml:space="preserve">“Australian R&amp;D Investment hits 17-year low,” </w:t>
      </w:r>
      <w:r w:rsidR="001522A0" w:rsidRPr="00A26A20">
        <w:rPr>
          <w:rFonts w:cstheme="minorHAnsi"/>
          <w:i/>
        </w:rPr>
        <w:t>Times Higher Education</w:t>
      </w:r>
      <w:r w:rsidR="001522A0">
        <w:rPr>
          <w:rFonts w:cstheme="minorHAnsi"/>
        </w:rPr>
        <w:t xml:space="preserve">, </w:t>
      </w:r>
      <w:r w:rsidR="00467E9B">
        <w:rPr>
          <w:rFonts w:cstheme="minorHAnsi"/>
        </w:rPr>
        <w:t xml:space="preserve">26 </w:t>
      </w:r>
      <w:r w:rsidR="00AC63CD">
        <w:rPr>
          <w:rFonts w:cstheme="minorHAnsi"/>
        </w:rPr>
        <w:t>August</w:t>
      </w:r>
      <w:r w:rsidR="00434AB9">
        <w:rPr>
          <w:rFonts w:cstheme="minorHAnsi"/>
        </w:rPr>
        <w:t xml:space="preserve"> </w:t>
      </w:r>
      <w:r w:rsidR="00AC63CD">
        <w:rPr>
          <w:rFonts w:cstheme="minorHAnsi"/>
        </w:rPr>
        <w:t xml:space="preserve">2023, </w:t>
      </w:r>
      <w:hyperlink r:id="rId38" w:history="1">
        <w:r w:rsidR="00AC63CD" w:rsidRPr="0091242D">
          <w:rPr>
            <w:rStyle w:val="Hyperlink"/>
            <w:rFonts w:cstheme="minorHAnsi"/>
          </w:rPr>
          <w:t>www.timeshighereducation.com/news/australian-rd-investment-hits-17-year-low</w:t>
        </w:r>
      </w:hyperlink>
      <w:r w:rsidR="00AC63CD">
        <w:rPr>
          <w:rFonts w:cstheme="minorHAnsi"/>
        </w:rPr>
        <w:t>.</w:t>
      </w:r>
    </w:p>
  </w:footnote>
  <w:footnote w:id="57">
    <w:p w14:paraId="36DC7F83" w14:textId="49E67D94" w:rsidR="00FB0449" w:rsidRDefault="00FB0449">
      <w:pPr>
        <w:pStyle w:val="FootnoteText"/>
      </w:pPr>
      <w:r>
        <w:rPr>
          <w:rStyle w:val="FootnoteReference"/>
        </w:rPr>
        <w:footnoteRef/>
      </w:r>
      <w:r>
        <w:t xml:space="preserve"> </w:t>
      </w:r>
      <w:r w:rsidR="00E90960">
        <w:t xml:space="preserve">In metrics including Gross Domestic Spending on R&amp;D. </w:t>
      </w:r>
      <w:r w:rsidR="00951126">
        <w:rPr>
          <w:rFonts w:cstheme="minorHAnsi"/>
        </w:rPr>
        <w:t>OECD</w:t>
      </w:r>
      <w:r w:rsidR="00E90960">
        <w:t xml:space="preserve">, </w:t>
      </w:r>
      <w:r w:rsidR="00E90960" w:rsidRPr="0022325C">
        <w:rPr>
          <w:i/>
        </w:rPr>
        <w:t>Gross Domestic Spending on R&amp;D</w:t>
      </w:r>
      <w:r w:rsidR="00E90960">
        <w:rPr>
          <w:i/>
          <w:iCs/>
        </w:rPr>
        <w:t xml:space="preserve"> </w:t>
      </w:r>
      <w:r w:rsidR="005428C5">
        <w:rPr>
          <w:i/>
          <w:iCs/>
        </w:rPr>
        <w:t>2023</w:t>
      </w:r>
      <w:r w:rsidR="00E90960">
        <w:t xml:space="preserve"> [data set],</w:t>
      </w:r>
      <w:r w:rsidR="005428C5">
        <w:t xml:space="preserve"> accessed 29 November 2023, </w:t>
      </w:r>
      <w:hyperlink r:id="rId39" w:history="1">
        <w:r w:rsidR="00E90960" w:rsidRPr="00E56B8D">
          <w:rPr>
            <w:rStyle w:val="Hyperlink"/>
          </w:rPr>
          <w:t>data.oecd.org/</w:t>
        </w:r>
        <w:proofErr w:type="spellStart"/>
        <w:r w:rsidR="00E90960" w:rsidRPr="00E56B8D">
          <w:rPr>
            <w:rStyle w:val="Hyperlink"/>
          </w:rPr>
          <w:t>rd</w:t>
        </w:r>
        <w:proofErr w:type="spellEnd"/>
        <w:r w:rsidR="00E90960" w:rsidRPr="00E56B8D">
          <w:rPr>
            <w:rStyle w:val="Hyperlink"/>
          </w:rPr>
          <w:t>/gross-domestic-spending-on-r-d.htm</w:t>
        </w:r>
      </w:hyperlink>
      <w:r w:rsidR="00E90960">
        <w:t>.</w:t>
      </w:r>
    </w:p>
  </w:footnote>
  <w:footnote w:id="58">
    <w:p w14:paraId="6C5CD1D8" w14:textId="2A6C7254"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World Intellectual Property Organisation</w:t>
      </w:r>
      <w:r w:rsidR="00AC2A35" w:rsidRPr="00601877">
        <w:rPr>
          <w:rFonts w:cstheme="minorHAnsi"/>
        </w:rPr>
        <w:t>,</w:t>
      </w:r>
      <w:r w:rsidR="00AC2A35">
        <w:rPr>
          <w:rFonts w:cstheme="minorHAnsi"/>
        </w:rPr>
        <w:t xml:space="preserve"> “Global Innovation Index,” </w:t>
      </w:r>
      <w:r w:rsidR="004F0A02">
        <w:rPr>
          <w:rFonts w:cstheme="minorHAnsi"/>
          <w:i/>
          <w:iCs/>
        </w:rPr>
        <w:t xml:space="preserve">WIPO, </w:t>
      </w:r>
      <w:r w:rsidR="00D1711B">
        <w:rPr>
          <w:rFonts w:cstheme="minorHAnsi"/>
        </w:rPr>
        <w:t xml:space="preserve">September </w:t>
      </w:r>
      <w:r w:rsidR="00AC2A35">
        <w:rPr>
          <w:rFonts w:cstheme="minorHAnsi"/>
        </w:rPr>
        <w:t xml:space="preserve">2023, </w:t>
      </w:r>
      <w:r w:rsidR="004F0A02">
        <w:rPr>
          <w:rFonts w:cstheme="minorHAnsi"/>
        </w:rPr>
        <w:t>accessed 10 November 2023,</w:t>
      </w:r>
      <w:r w:rsidR="00AC2A35">
        <w:rPr>
          <w:rFonts w:cstheme="minorHAnsi"/>
        </w:rPr>
        <w:t xml:space="preserve"> </w:t>
      </w:r>
      <w:hyperlink r:id="rId40" w:history="1">
        <w:r w:rsidR="00AC2A35" w:rsidRPr="0091242D">
          <w:rPr>
            <w:rStyle w:val="Hyperlink"/>
            <w:rFonts w:cstheme="minorHAnsi"/>
          </w:rPr>
          <w:t>www.wipo.int/global_innovation_index/en/</w:t>
        </w:r>
      </w:hyperlink>
      <w:r w:rsidR="004F0A02">
        <w:rPr>
          <w:rFonts w:cstheme="minorHAnsi"/>
        </w:rPr>
        <w:t>.</w:t>
      </w:r>
    </w:p>
  </w:footnote>
  <w:footnote w:id="59">
    <w:p w14:paraId="3FEB31AC" w14:textId="1D6AD902"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w:t>
      </w:r>
      <w:r w:rsidRPr="0022325C">
        <w:rPr>
          <w:rFonts w:cstheme="minorHAnsi"/>
          <w:i/>
        </w:rPr>
        <w:t>Higher Education Standards Framework (Threshold Standards) 2021</w:t>
      </w:r>
      <w:r w:rsidR="00434AB9">
        <w:rPr>
          <w:rFonts w:cstheme="minorHAnsi"/>
        </w:rPr>
        <w:t xml:space="preserve"> (</w:t>
      </w:r>
      <w:proofErr w:type="spellStart"/>
      <w:r w:rsidR="00434AB9">
        <w:rPr>
          <w:rFonts w:cstheme="minorHAnsi"/>
        </w:rPr>
        <w:t>Cth</w:t>
      </w:r>
      <w:proofErr w:type="spellEnd"/>
      <w:r w:rsidR="00434AB9">
        <w:rPr>
          <w:rFonts w:cstheme="minorHAnsi"/>
        </w:rPr>
        <w:t>)</w:t>
      </w:r>
      <w:r w:rsidRPr="00601877">
        <w:rPr>
          <w:rFonts w:cstheme="minorHAnsi"/>
        </w:rPr>
        <w:t>, B1.2</w:t>
      </w:r>
      <w:r w:rsidR="008F40C8">
        <w:rPr>
          <w:rFonts w:cstheme="minorHAnsi"/>
        </w:rPr>
        <w:t>–</w:t>
      </w:r>
      <w:r w:rsidRPr="00601877">
        <w:rPr>
          <w:rFonts w:cstheme="minorHAnsi"/>
        </w:rPr>
        <w:t>B1.3</w:t>
      </w:r>
      <w:r w:rsidR="008F40C8">
        <w:rPr>
          <w:rFonts w:cstheme="minorHAnsi"/>
        </w:rPr>
        <w:t xml:space="preserve">, </w:t>
      </w:r>
      <w:hyperlink r:id="rId41" w:history="1">
        <w:r w:rsidR="00951126" w:rsidRPr="005B4115">
          <w:rPr>
            <w:rStyle w:val="Hyperlink"/>
            <w:rFonts w:cstheme="minorHAnsi"/>
          </w:rPr>
          <w:t>www.legislation.gov.au/Details/F2022C00105</w:t>
        </w:r>
      </w:hyperlink>
      <w:r w:rsidR="008F40C8">
        <w:rPr>
          <w:rFonts w:cstheme="minorHAnsi"/>
        </w:rPr>
        <w:t>.</w:t>
      </w:r>
      <w:r w:rsidR="00951126">
        <w:rPr>
          <w:rFonts w:cstheme="minorHAnsi"/>
        </w:rPr>
        <w:t xml:space="preserve"> </w:t>
      </w:r>
    </w:p>
  </w:footnote>
  <w:footnote w:id="60">
    <w:p w14:paraId="3CDD6408" w14:textId="2713E90F"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w:t>
      </w:r>
      <w:r w:rsidR="008E77A8">
        <w:rPr>
          <w:rFonts w:cstheme="minorHAnsi"/>
        </w:rPr>
        <w:t xml:space="preserve">Andrew </w:t>
      </w:r>
      <w:r w:rsidR="008E77A8" w:rsidRPr="00601877">
        <w:rPr>
          <w:rFonts w:cstheme="minorHAnsi"/>
        </w:rPr>
        <w:t xml:space="preserve">Norton, </w:t>
      </w:r>
      <w:r w:rsidR="008E77A8" w:rsidRPr="0022325C">
        <w:rPr>
          <w:rFonts w:cstheme="minorHAnsi"/>
          <w:i/>
        </w:rPr>
        <w:t>Mapping Australian Higher Education 2023</w:t>
      </w:r>
      <w:r w:rsidR="00280CB8" w:rsidRPr="00280CB8">
        <w:rPr>
          <w:rFonts w:cstheme="minorHAnsi"/>
        </w:rPr>
        <w:t xml:space="preserve"> (Canberra</w:t>
      </w:r>
      <w:r w:rsidR="00ED574E">
        <w:rPr>
          <w:rFonts w:cstheme="minorHAnsi"/>
        </w:rPr>
        <w:t xml:space="preserve">: </w:t>
      </w:r>
      <w:r w:rsidRPr="00601877">
        <w:rPr>
          <w:rFonts w:cstheme="minorHAnsi"/>
        </w:rPr>
        <w:t xml:space="preserve">ANU Centre for Social Research and Methods, 2023), </w:t>
      </w:r>
      <w:r w:rsidR="00280CB8">
        <w:rPr>
          <w:rFonts w:cstheme="minorHAnsi"/>
        </w:rPr>
        <w:t>23</w:t>
      </w:r>
      <w:r w:rsidR="00280CB8" w:rsidRPr="00280CB8">
        <w:rPr>
          <w:rFonts w:cstheme="minorHAnsi"/>
        </w:rPr>
        <w:t xml:space="preserve">, </w:t>
      </w:r>
      <w:hyperlink r:id="rId42" w:history="1">
        <w:r w:rsidR="00F6376F" w:rsidRPr="00811871">
          <w:rPr>
            <w:rStyle w:val="Hyperlink"/>
            <w:rFonts w:cstheme="minorHAnsi"/>
          </w:rPr>
          <w:t>csrm.cass.anu.edu.au/research/publications/mapping-australian-higher-education-2023</w:t>
        </w:r>
      </w:hyperlink>
      <w:r w:rsidR="00F6376F">
        <w:rPr>
          <w:rFonts w:cstheme="minorHAnsi"/>
        </w:rPr>
        <w:t xml:space="preserve">. </w:t>
      </w:r>
    </w:p>
  </w:footnote>
  <w:footnote w:id="61">
    <w:p w14:paraId="3DB7EFE9" w14:textId="2A7DC85B" w:rsidR="00D10C20" w:rsidRDefault="00D10C20">
      <w:pPr>
        <w:pStyle w:val="FootnoteText"/>
      </w:pPr>
      <w:r>
        <w:rPr>
          <w:rStyle w:val="FootnoteReference"/>
        </w:rPr>
        <w:footnoteRef/>
      </w:r>
      <w:r>
        <w:t xml:space="preserve"> </w:t>
      </w:r>
      <w:r w:rsidR="000A0DF9">
        <w:t>John Ross, “Back to black</w:t>
      </w:r>
      <w:r w:rsidR="002F6E3F">
        <w:t xml:space="preserve">: Australian </w:t>
      </w:r>
      <w:r w:rsidR="008F40C8">
        <w:t>universities</w:t>
      </w:r>
      <w:r w:rsidR="002F6E3F">
        <w:t xml:space="preserve"> brace for bushfire season</w:t>
      </w:r>
      <w:r w:rsidR="00E013A1">
        <w:t xml:space="preserve">,” </w:t>
      </w:r>
      <w:r w:rsidR="00E013A1">
        <w:rPr>
          <w:i/>
          <w:iCs/>
        </w:rPr>
        <w:t>Times Higher Education</w:t>
      </w:r>
      <w:r w:rsidR="00E013A1">
        <w:t>, (</w:t>
      </w:r>
      <w:r w:rsidR="005F4831">
        <w:t>28 November 2023), accessed</w:t>
      </w:r>
      <w:r w:rsidR="00805B6B">
        <w:t xml:space="preserve"> 6 December 2023, </w:t>
      </w:r>
      <w:hyperlink r:id="rId43" w:history="1">
        <w:r w:rsidR="00805B6B" w:rsidRPr="0048412F">
          <w:rPr>
            <w:rStyle w:val="Hyperlink"/>
          </w:rPr>
          <w:t>www.timeshighereducation.com/news/back-black-australian-universities-brace-bushfire-season</w:t>
        </w:r>
      </w:hyperlink>
      <w:r w:rsidR="00805B6B">
        <w:t xml:space="preserve">; The </w:t>
      </w:r>
      <w:r w:rsidR="00393393">
        <w:t>Lismore App, “</w:t>
      </w:r>
      <w:r w:rsidR="009A16D5">
        <w:t xml:space="preserve">Lismore’s </w:t>
      </w:r>
      <w:r w:rsidR="00393393">
        <w:t>SCU</w:t>
      </w:r>
      <w:r w:rsidR="00805B6B">
        <w:t xml:space="preserve"> Temporary </w:t>
      </w:r>
      <w:r w:rsidR="00393393">
        <w:t>Ho</w:t>
      </w:r>
      <w:r w:rsidR="000B2141">
        <w:t>m</w:t>
      </w:r>
      <w:r w:rsidR="00393393">
        <w:t>e site now open</w:t>
      </w:r>
      <w:r w:rsidR="00805B6B">
        <w:t xml:space="preserve"> for </w:t>
      </w:r>
      <w:r w:rsidR="00393393">
        <w:t>flood-impacted residents,”</w:t>
      </w:r>
      <w:r w:rsidR="00805B6B">
        <w:t xml:space="preserve"> </w:t>
      </w:r>
      <w:r w:rsidR="00805B6B" w:rsidRPr="00570A6C">
        <w:rPr>
          <w:i/>
        </w:rPr>
        <w:t xml:space="preserve">The </w:t>
      </w:r>
      <w:r w:rsidR="00393393" w:rsidRPr="00570A6C">
        <w:rPr>
          <w:i/>
        </w:rPr>
        <w:t>Lismore App</w:t>
      </w:r>
      <w:r w:rsidR="00393393">
        <w:t>, (Lismore</w:t>
      </w:r>
      <w:r w:rsidR="00D64CD2">
        <w:t>: 30 November 202</w:t>
      </w:r>
      <w:r w:rsidR="00951126">
        <w:t>2</w:t>
      </w:r>
      <w:r w:rsidR="00D64CD2">
        <w:t xml:space="preserve">), accessed 6 December 2023, </w:t>
      </w:r>
      <w:hyperlink r:id="rId44" w:history="1">
        <w:r w:rsidR="00A252C5" w:rsidRPr="00A252C5">
          <w:rPr>
            <w:rStyle w:val="Hyperlink"/>
          </w:rPr>
          <w:t>lismoreapp.com.au/news-sport/news/lismores-scu-temporary-home-site-now-open-for-flood-impacted‌-residents?id=63866b690ea5fe0150859a85</w:t>
        </w:r>
      </w:hyperlink>
      <w:r w:rsidR="00D64CD2">
        <w:t>.</w:t>
      </w:r>
      <w:r w:rsidR="00951126">
        <w:t xml:space="preserve"> </w:t>
      </w:r>
    </w:p>
  </w:footnote>
  <w:footnote w:id="62">
    <w:p w14:paraId="14536ADD" w14:textId="367C0355" w:rsidR="00601107" w:rsidRPr="00601877" w:rsidRDefault="00601107" w:rsidP="00601107">
      <w:pPr>
        <w:pStyle w:val="FootnoteText"/>
        <w:rPr>
          <w:rFonts w:cstheme="minorHAnsi"/>
        </w:rPr>
      </w:pPr>
      <w:r w:rsidRPr="00601877">
        <w:rPr>
          <w:rStyle w:val="FootnoteReference"/>
          <w:rFonts w:cstheme="minorHAnsi"/>
        </w:rPr>
        <w:footnoteRef/>
      </w:r>
      <w:r w:rsidR="00997DB6">
        <w:rPr>
          <w:rFonts w:cstheme="minorHAnsi"/>
        </w:rPr>
        <w:t xml:space="preserve"> National Centre for Vocational </w:t>
      </w:r>
      <w:r w:rsidR="007A2A09">
        <w:rPr>
          <w:rFonts w:cstheme="minorHAnsi"/>
        </w:rPr>
        <w:t>Education Research</w:t>
      </w:r>
      <w:r w:rsidR="00840647">
        <w:rPr>
          <w:rFonts w:cstheme="minorHAnsi"/>
        </w:rPr>
        <w:t xml:space="preserve"> (NCVER)</w:t>
      </w:r>
      <w:r w:rsidR="00950F03">
        <w:rPr>
          <w:rFonts w:cstheme="minorHAnsi"/>
        </w:rPr>
        <w:t xml:space="preserve">, </w:t>
      </w:r>
      <w:r w:rsidR="00950F03">
        <w:rPr>
          <w:rFonts w:cstheme="minorHAnsi"/>
          <w:i/>
          <w:iCs/>
        </w:rPr>
        <w:t>Total VET students and courses 2022</w:t>
      </w:r>
      <w:r w:rsidR="00752828">
        <w:rPr>
          <w:rFonts w:cstheme="minorHAnsi"/>
          <w:i/>
          <w:iCs/>
        </w:rPr>
        <w:t>,</w:t>
      </w:r>
      <w:r w:rsidR="00FE0425">
        <w:rPr>
          <w:rFonts w:cstheme="minorHAnsi"/>
          <w:i/>
          <w:iCs/>
        </w:rPr>
        <w:t xml:space="preserve"> </w:t>
      </w:r>
      <w:r w:rsidR="003675E5">
        <w:rPr>
          <w:rFonts w:cstheme="minorHAnsi"/>
        </w:rPr>
        <w:t xml:space="preserve">(Adelaide: </w:t>
      </w:r>
      <w:r w:rsidR="00A45748">
        <w:rPr>
          <w:rFonts w:cstheme="minorHAnsi"/>
        </w:rPr>
        <w:t xml:space="preserve">NCVER, </w:t>
      </w:r>
      <w:r w:rsidR="003675E5">
        <w:rPr>
          <w:rFonts w:cstheme="minorHAnsi"/>
        </w:rPr>
        <w:t>2023)</w:t>
      </w:r>
      <w:r w:rsidR="00667C14">
        <w:rPr>
          <w:rFonts w:cstheme="minorHAnsi"/>
        </w:rPr>
        <w:t xml:space="preserve">, </w:t>
      </w:r>
      <w:r w:rsidR="002F1CD8">
        <w:rPr>
          <w:rFonts w:cstheme="minorHAnsi"/>
        </w:rPr>
        <w:t>10</w:t>
      </w:r>
      <w:r w:rsidR="00D428AE">
        <w:rPr>
          <w:rFonts w:cstheme="minorHAnsi"/>
        </w:rPr>
        <w:t xml:space="preserve">, </w:t>
      </w:r>
      <w:hyperlink r:id="rId45" w:history="1">
        <w:r w:rsidR="00322E40" w:rsidRPr="00811871">
          <w:rPr>
            <w:rStyle w:val="Hyperlink"/>
            <w:rFonts w:cstheme="minorHAnsi"/>
          </w:rPr>
          <w:t>hdl.voced.edu.au/10707/659556</w:t>
        </w:r>
      </w:hyperlink>
      <w:r w:rsidR="00322E40">
        <w:rPr>
          <w:rFonts w:cstheme="minorHAnsi"/>
        </w:rPr>
        <w:t xml:space="preserve">. </w:t>
      </w:r>
    </w:p>
  </w:footnote>
  <w:footnote w:id="63">
    <w:p w14:paraId="5F375F99" w14:textId="71787A71"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w:t>
      </w:r>
      <w:r w:rsidR="00C63EE9">
        <w:rPr>
          <w:rFonts w:cstheme="minorHAnsi"/>
        </w:rPr>
        <w:t>NCVER</w:t>
      </w:r>
      <w:r w:rsidR="002F1CD8">
        <w:rPr>
          <w:rFonts w:cstheme="minorHAnsi"/>
        </w:rPr>
        <w:t xml:space="preserve">, </w:t>
      </w:r>
      <w:r w:rsidR="002F1CD8">
        <w:rPr>
          <w:rFonts w:cstheme="minorHAnsi"/>
          <w:i/>
          <w:iCs/>
        </w:rPr>
        <w:t>Total VET students and courses 2022</w:t>
      </w:r>
      <w:r w:rsidR="00F228D5">
        <w:rPr>
          <w:rFonts w:cstheme="minorHAnsi"/>
        </w:rPr>
        <w:t>, 1.</w:t>
      </w:r>
      <w:r w:rsidRPr="00601877">
        <w:rPr>
          <w:rFonts w:cstheme="minorHAnsi"/>
        </w:rPr>
        <w:t xml:space="preserve"> </w:t>
      </w:r>
    </w:p>
  </w:footnote>
  <w:footnote w:id="64">
    <w:p w14:paraId="2284B673" w14:textId="127BBF2B" w:rsidR="00601107" w:rsidRDefault="00601107" w:rsidP="00601107">
      <w:pPr>
        <w:pStyle w:val="FootnoteText"/>
      </w:pPr>
      <w:r>
        <w:rPr>
          <w:rStyle w:val="FootnoteReference"/>
        </w:rPr>
        <w:footnoteRef/>
      </w:r>
      <w:r>
        <w:t xml:space="preserve"> In metrics including </w:t>
      </w:r>
      <w:r w:rsidR="003A7FDD">
        <w:t>g</w:t>
      </w:r>
      <w:r>
        <w:t xml:space="preserve">ross </w:t>
      </w:r>
      <w:r w:rsidR="003A7FDD">
        <w:t>d</w:t>
      </w:r>
      <w:r>
        <w:t xml:space="preserve">omestic </w:t>
      </w:r>
      <w:r w:rsidR="003A7FDD">
        <w:t>s</w:t>
      </w:r>
      <w:r>
        <w:t xml:space="preserve">pending on R&amp;D. OECD, </w:t>
      </w:r>
      <w:r w:rsidRPr="0022325C">
        <w:rPr>
          <w:i/>
        </w:rPr>
        <w:t>Gross Domestic Spending on R&amp;D</w:t>
      </w:r>
      <w:r>
        <w:rPr>
          <w:i/>
          <w:iCs/>
        </w:rPr>
        <w:t xml:space="preserve"> </w:t>
      </w:r>
      <w:r w:rsidR="00CB431C">
        <w:rPr>
          <w:i/>
          <w:iCs/>
        </w:rPr>
        <w:t>2023</w:t>
      </w:r>
      <w:r>
        <w:t xml:space="preserve"> [data set]</w:t>
      </w:r>
      <w:r w:rsidR="00CB431C">
        <w:t>.</w:t>
      </w:r>
    </w:p>
  </w:footnote>
  <w:footnote w:id="65">
    <w:p w14:paraId="313E5B70" w14:textId="67E8B429" w:rsidR="00F816DA" w:rsidRDefault="00F816DA">
      <w:pPr>
        <w:pStyle w:val="FootnoteText"/>
      </w:pPr>
      <w:r>
        <w:rPr>
          <w:rStyle w:val="FootnoteReference"/>
        </w:rPr>
        <w:footnoteRef/>
      </w:r>
      <w:r>
        <w:t xml:space="preserve"> </w:t>
      </w:r>
      <w:r w:rsidRPr="00601877">
        <w:rPr>
          <w:rFonts w:cstheme="minorHAnsi"/>
        </w:rPr>
        <w:t>World Intellectual Property Organisation,</w:t>
      </w:r>
      <w:r>
        <w:rPr>
          <w:rFonts w:cstheme="minorHAnsi"/>
        </w:rPr>
        <w:t xml:space="preserve"> “Global Innovation Index</w:t>
      </w:r>
      <w:r w:rsidR="00A9265D">
        <w:rPr>
          <w:rFonts w:cstheme="minorHAnsi"/>
        </w:rPr>
        <w:t>.”</w:t>
      </w:r>
    </w:p>
  </w:footnote>
  <w:footnote w:id="66">
    <w:p w14:paraId="58581232" w14:textId="20E52488"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Young, </w:t>
      </w:r>
      <w:r w:rsidRPr="00601877">
        <w:rPr>
          <w:rFonts w:cstheme="minorHAnsi"/>
          <w:i/>
        </w:rPr>
        <w:t>Future Disruptions for Australian Universities</w:t>
      </w:r>
      <w:r w:rsidRPr="00601877">
        <w:rPr>
          <w:rFonts w:cstheme="minorHAnsi"/>
        </w:rPr>
        <w:t xml:space="preserve">, 8. </w:t>
      </w:r>
    </w:p>
  </w:footnote>
  <w:footnote w:id="67">
    <w:p w14:paraId="45BEFFC0" w14:textId="2772F5A8"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Young, </w:t>
      </w:r>
      <w:r w:rsidRPr="00601877">
        <w:rPr>
          <w:rFonts w:cstheme="minorHAnsi"/>
          <w:i/>
        </w:rPr>
        <w:t>Future Disruptions for Australian Universities</w:t>
      </w:r>
      <w:r w:rsidRPr="00601877">
        <w:rPr>
          <w:rFonts w:cstheme="minorHAnsi"/>
        </w:rPr>
        <w:t>, 5</w:t>
      </w:r>
      <w:r w:rsidR="00A9265D">
        <w:rPr>
          <w:rFonts w:cstheme="minorHAnsi"/>
        </w:rPr>
        <w:t>–</w:t>
      </w:r>
      <w:r w:rsidRPr="00601877">
        <w:rPr>
          <w:rFonts w:cstheme="minorHAnsi"/>
        </w:rPr>
        <w:t xml:space="preserve">6. </w:t>
      </w:r>
    </w:p>
  </w:footnote>
  <w:footnote w:id="68">
    <w:p w14:paraId="4B663EB1" w14:textId="59CF1351"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Young, </w:t>
      </w:r>
      <w:r w:rsidRPr="00601877">
        <w:rPr>
          <w:rFonts w:cstheme="minorHAnsi"/>
          <w:i/>
        </w:rPr>
        <w:t>Future Disruptions for Australian Universities</w:t>
      </w:r>
      <w:r w:rsidRPr="00601877">
        <w:rPr>
          <w:rFonts w:cstheme="minorHAnsi"/>
        </w:rPr>
        <w:t xml:space="preserve">, 5. </w:t>
      </w:r>
    </w:p>
  </w:footnote>
  <w:footnote w:id="69">
    <w:p w14:paraId="2C7FF341" w14:textId="4E98972A"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Centre for Population</w:t>
      </w:r>
      <w:r w:rsidRPr="0022325C">
        <w:rPr>
          <w:rFonts w:cstheme="minorHAnsi"/>
          <w:i/>
        </w:rPr>
        <w:t>, Budget 2023</w:t>
      </w:r>
      <w:r w:rsidR="001C6FEA">
        <w:rPr>
          <w:rFonts w:ascii="Symbol" w:eastAsia="Symbol" w:hAnsi="Symbol" w:cs="Symbol"/>
        </w:rPr>
        <w:t>-</w:t>
      </w:r>
      <w:r w:rsidRPr="0022325C">
        <w:rPr>
          <w:rFonts w:cstheme="minorHAnsi"/>
          <w:i/>
        </w:rPr>
        <w:t>24: population projections, Australia, 2022</w:t>
      </w:r>
      <w:r w:rsidR="001C6FEA">
        <w:rPr>
          <w:rFonts w:ascii="Symbol" w:eastAsia="Symbol" w:hAnsi="Symbol" w:cs="Symbol"/>
        </w:rPr>
        <w:t>-</w:t>
      </w:r>
      <w:r w:rsidRPr="0022325C">
        <w:rPr>
          <w:rFonts w:cstheme="minorHAnsi"/>
          <w:i/>
        </w:rPr>
        <w:t>23 to 2033</w:t>
      </w:r>
      <w:r w:rsidR="001C6FEA">
        <w:rPr>
          <w:rFonts w:ascii="Symbol" w:eastAsia="Symbol" w:hAnsi="Symbol" w:cs="Symbol"/>
        </w:rPr>
        <w:t>-</w:t>
      </w:r>
      <w:r w:rsidRPr="0022325C">
        <w:rPr>
          <w:rFonts w:cstheme="minorHAnsi"/>
          <w:i/>
        </w:rPr>
        <w:t>34</w:t>
      </w:r>
      <w:r w:rsidR="00980CC6">
        <w:rPr>
          <w:rFonts w:cstheme="minorHAnsi"/>
          <w:iCs/>
        </w:rPr>
        <w:t xml:space="preserve"> [data set]</w:t>
      </w:r>
      <w:r w:rsidR="000E3E41">
        <w:rPr>
          <w:rFonts w:cstheme="minorHAnsi"/>
          <w:iCs/>
        </w:rPr>
        <w:t>,</w:t>
      </w:r>
      <w:r w:rsidRPr="00601877">
        <w:rPr>
          <w:rFonts w:cstheme="minorHAnsi"/>
        </w:rPr>
        <w:t xml:space="preserve"> (</w:t>
      </w:r>
      <w:r w:rsidR="007E2176">
        <w:rPr>
          <w:rFonts w:cstheme="minorHAnsi"/>
        </w:rPr>
        <w:t>Canberra</w:t>
      </w:r>
      <w:r w:rsidRPr="00601877">
        <w:rPr>
          <w:rFonts w:cstheme="minorHAnsi"/>
        </w:rPr>
        <w:t xml:space="preserve">), </w:t>
      </w:r>
      <w:r w:rsidR="007E2176">
        <w:rPr>
          <w:rFonts w:cstheme="minorHAnsi"/>
        </w:rPr>
        <w:t xml:space="preserve">published 17 May 2023, </w:t>
      </w:r>
      <w:hyperlink r:id="rId46" w:history="1">
        <w:r w:rsidR="00E12C9A" w:rsidRPr="00811871">
          <w:rPr>
            <w:rStyle w:val="Hyperlink"/>
            <w:rFonts w:cstheme="minorHAnsi"/>
          </w:rPr>
          <w:t>population.gov.au/data-and-forecasts/projections/budget-2023-24-population-projections-australia-2022-23-2033-34</w:t>
        </w:r>
      </w:hyperlink>
      <w:r w:rsidR="00E12C9A">
        <w:rPr>
          <w:rFonts w:cstheme="minorHAnsi"/>
        </w:rPr>
        <w:t xml:space="preserve">. </w:t>
      </w:r>
    </w:p>
  </w:footnote>
  <w:footnote w:id="70">
    <w:p w14:paraId="43A3CE1E" w14:textId="4EEC0471"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w:t>
      </w:r>
      <w:r w:rsidR="00216441">
        <w:rPr>
          <w:rFonts w:cstheme="minorHAnsi"/>
        </w:rPr>
        <w:t>Department of the Treasury</w:t>
      </w:r>
      <w:r w:rsidRPr="00601877">
        <w:rPr>
          <w:rFonts w:cstheme="minorHAnsi"/>
        </w:rPr>
        <w:t xml:space="preserve">, </w:t>
      </w:r>
      <w:r w:rsidRPr="00601877">
        <w:rPr>
          <w:rFonts w:cstheme="minorHAnsi"/>
          <w:i/>
        </w:rPr>
        <w:t>Intergenerational Report 2023: Australia’s future to 2063</w:t>
      </w:r>
      <w:r w:rsidR="000E3E41">
        <w:rPr>
          <w:rFonts w:cstheme="minorHAnsi"/>
          <w:i/>
        </w:rPr>
        <w:t>,</w:t>
      </w:r>
      <w:r w:rsidRPr="00601877">
        <w:rPr>
          <w:rFonts w:cstheme="minorHAnsi"/>
        </w:rPr>
        <w:t xml:space="preserve"> (</w:t>
      </w:r>
      <w:r w:rsidR="00216441">
        <w:rPr>
          <w:rFonts w:cstheme="minorHAnsi"/>
        </w:rPr>
        <w:t xml:space="preserve">Canberra: Department of the Treasury, </w:t>
      </w:r>
      <w:r w:rsidRPr="00601877">
        <w:rPr>
          <w:rFonts w:cstheme="minorHAnsi"/>
        </w:rPr>
        <w:t>2023)</w:t>
      </w:r>
      <w:r w:rsidR="00216441">
        <w:rPr>
          <w:rFonts w:cstheme="minorHAnsi"/>
        </w:rPr>
        <w:t>,</w:t>
      </w:r>
      <w:r w:rsidRPr="00601877">
        <w:rPr>
          <w:rFonts w:cstheme="minorHAnsi"/>
        </w:rPr>
        <w:t xml:space="preserve"> 39, </w:t>
      </w:r>
      <w:hyperlink r:id="rId47" w:history="1">
        <w:r w:rsidR="00E12C9A" w:rsidRPr="00811871">
          <w:rPr>
            <w:rStyle w:val="Hyperlink"/>
            <w:rFonts w:cstheme="minorHAnsi"/>
          </w:rPr>
          <w:t>treasury.gov.au/sites/default/files/2023-08/p2023-435150.pdf</w:t>
        </w:r>
      </w:hyperlink>
      <w:r w:rsidR="00E12C9A">
        <w:rPr>
          <w:rFonts w:cstheme="minorHAnsi"/>
        </w:rPr>
        <w:t xml:space="preserve">. </w:t>
      </w:r>
    </w:p>
  </w:footnote>
  <w:footnote w:id="71">
    <w:p w14:paraId="7E273601" w14:textId="77777777"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Natural increase accounts for births minus deaths </w:t>
      </w:r>
      <w:proofErr w:type="gramStart"/>
      <w:r w:rsidRPr="00601877">
        <w:rPr>
          <w:rFonts w:cstheme="minorHAnsi"/>
        </w:rPr>
        <w:t>in a given year</w:t>
      </w:r>
      <w:proofErr w:type="gramEnd"/>
      <w:r>
        <w:rPr>
          <w:rFonts w:cstheme="minorHAnsi"/>
        </w:rPr>
        <w:t xml:space="preserve"> (Commonwealth of Australia 2023)</w:t>
      </w:r>
      <w:r w:rsidRPr="00601877">
        <w:rPr>
          <w:rFonts w:cstheme="minorHAnsi"/>
        </w:rPr>
        <w:t>.</w:t>
      </w:r>
    </w:p>
  </w:footnote>
  <w:footnote w:id="72">
    <w:p w14:paraId="414FADCA" w14:textId="4F734941"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From a wide range of countries including England, India, China, New Zealand and the Philippines</w:t>
      </w:r>
      <w:r w:rsidR="00903D41">
        <w:rPr>
          <w:rFonts w:cstheme="minorHAnsi"/>
        </w:rPr>
        <w:t>; Australian Bureau of Statistics</w:t>
      </w:r>
      <w:r w:rsidR="00B44B3A">
        <w:rPr>
          <w:rFonts w:cstheme="minorHAnsi"/>
        </w:rPr>
        <w:t xml:space="preserve">, </w:t>
      </w:r>
      <w:r w:rsidR="00B44B3A" w:rsidRPr="00FC5279">
        <w:rPr>
          <w:rFonts w:cstheme="minorHAnsi"/>
          <w:i/>
        </w:rPr>
        <w:t xml:space="preserve">Australia’s Population by Country of Birth </w:t>
      </w:r>
      <w:r w:rsidR="00A057B8" w:rsidRPr="00FC5279">
        <w:rPr>
          <w:rFonts w:cstheme="minorHAnsi"/>
          <w:i/>
        </w:rPr>
        <w:t>2022</w:t>
      </w:r>
      <w:r w:rsidR="00B44B3A">
        <w:rPr>
          <w:rFonts w:cstheme="minorHAnsi"/>
        </w:rPr>
        <w:t xml:space="preserve"> [data set], </w:t>
      </w:r>
      <w:r w:rsidR="00A057B8">
        <w:rPr>
          <w:rFonts w:cstheme="minorHAnsi"/>
        </w:rPr>
        <w:t>(Canberra:</w:t>
      </w:r>
      <w:r w:rsidR="00B44B3A">
        <w:rPr>
          <w:rFonts w:cstheme="minorHAnsi"/>
        </w:rPr>
        <w:t xml:space="preserve"> 2023</w:t>
      </w:r>
      <w:r w:rsidR="00A057B8">
        <w:rPr>
          <w:rFonts w:cstheme="minorHAnsi"/>
        </w:rPr>
        <w:t>)</w:t>
      </w:r>
      <w:r w:rsidR="00B44B3A">
        <w:rPr>
          <w:rFonts w:cstheme="minorHAnsi"/>
        </w:rPr>
        <w:t>, accessed 3 December 2023</w:t>
      </w:r>
      <w:r w:rsidR="00954685">
        <w:rPr>
          <w:rFonts w:cstheme="minorHAnsi"/>
        </w:rPr>
        <w:t xml:space="preserve">, </w:t>
      </w:r>
      <w:hyperlink r:id="rId48" w:history="1">
        <w:r w:rsidR="00EE3F59" w:rsidRPr="00811871">
          <w:rPr>
            <w:rStyle w:val="Hyperlink"/>
            <w:rFonts w:cstheme="minorHAnsi"/>
          </w:rPr>
          <w:t>www.abs.gov.au/statistics/people/population/australias-population-country-birth/latest-release</w:t>
        </w:r>
      </w:hyperlink>
      <w:r w:rsidR="00EE3F59">
        <w:rPr>
          <w:rFonts w:cstheme="minorHAnsi"/>
        </w:rPr>
        <w:t xml:space="preserve">. </w:t>
      </w:r>
    </w:p>
  </w:footnote>
  <w:footnote w:id="73">
    <w:p w14:paraId="28CAE7BD" w14:textId="56835C50"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w:t>
      </w:r>
      <w:r w:rsidR="00A17442">
        <w:rPr>
          <w:rFonts w:cstheme="minorHAnsi"/>
        </w:rPr>
        <w:t>Department of the Treasury</w:t>
      </w:r>
      <w:r w:rsidR="00A17442" w:rsidRPr="00601877">
        <w:rPr>
          <w:rFonts w:cstheme="minorHAnsi"/>
        </w:rPr>
        <w:t>,</w:t>
      </w:r>
      <w:r w:rsidRPr="00601877">
        <w:rPr>
          <w:rFonts w:cstheme="minorHAnsi"/>
        </w:rPr>
        <w:t xml:space="preserve"> </w:t>
      </w:r>
      <w:r w:rsidRPr="00601877">
        <w:rPr>
          <w:rFonts w:cstheme="minorHAnsi"/>
          <w:i/>
        </w:rPr>
        <w:t>Intergenerational Report</w:t>
      </w:r>
      <w:r w:rsidR="00A17442">
        <w:rPr>
          <w:rFonts w:cstheme="minorHAnsi"/>
          <w:i/>
        </w:rPr>
        <w:t xml:space="preserve"> 2023</w:t>
      </w:r>
      <w:r w:rsidRPr="00601877">
        <w:rPr>
          <w:rFonts w:cstheme="minorHAnsi"/>
          <w:i/>
        </w:rPr>
        <w:t>,</w:t>
      </w:r>
      <w:r w:rsidRPr="00601877">
        <w:rPr>
          <w:rFonts w:cstheme="minorHAnsi"/>
        </w:rPr>
        <w:t xml:space="preserve"> 6.</w:t>
      </w:r>
    </w:p>
  </w:footnote>
  <w:footnote w:id="74">
    <w:p w14:paraId="0B2910D6" w14:textId="32BFDEC9"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w:t>
      </w:r>
      <w:r w:rsidR="00A17442">
        <w:rPr>
          <w:rFonts w:cstheme="minorHAnsi"/>
        </w:rPr>
        <w:t>Department of the Treasury</w:t>
      </w:r>
      <w:r w:rsidR="00A17442" w:rsidRPr="00601877">
        <w:rPr>
          <w:rFonts w:cstheme="minorHAnsi"/>
        </w:rPr>
        <w:t>,</w:t>
      </w:r>
      <w:r w:rsidRPr="00601877">
        <w:rPr>
          <w:rFonts w:cstheme="minorHAnsi"/>
        </w:rPr>
        <w:t xml:space="preserve"> </w:t>
      </w:r>
      <w:r w:rsidRPr="00601877">
        <w:rPr>
          <w:rFonts w:cstheme="minorHAnsi"/>
          <w:i/>
        </w:rPr>
        <w:t>Intergenerational Report</w:t>
      </w:r>
      <w:r w:rsidR="00A17442">
        <w:rPr>
          <w:rFonts w:cstheme="minorHAnsi"/>
          <w:i/>
        </w:rPr>
        <w:t xml:space="preserve"> 2023</w:t>
      </w:r>
      <w:r w:rsidRPr="00601877">
        <w:rPr>
          <w:rFonts w:cstheme="minorHAnsi"/>
          <w:i/>
        </w:rPr>
        <w:t>,</w:t>
      </w:r>
      <w:r w:rsidRPr="00601877">
        <w:rPr>
          <w:rFonts w:cstheme="minorHAnsi"/>
        </w:rPr>
        <w:t xml:space="preserve"> 46.</w:t>
      </w:r>
    </w:p>
  </w:footnote>
  <w:footnote w:id="75">
    <w:p w14:paraId="417786AF" w14:textId="05D2890F"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w:t>
      </w:r>
      <w:r w:rsidR="00966438">
        <w:rPr>
          <w:rFonts w:cstheme="minorHAnsi"/>
        </w:rPr>
        <w:t>Department of the Treasury</w:t>
      </w:r>
      <w:r w:rsidRPr="00601877">
        <w:rPr>
          <w:rFonts w:cstheme="minorHAnsi"/>
        </w:rPr>
        <w:t xml:space="preserve">, </w:t>
      </w:r>
      <w:r w:rsidRPr="00601877">
        <w:rPr>
          <w:rFonts w:cstheme="minorHAnsi"/>
          <w:i/>
        </w:rPr>
        <w:t>Intergenerational Report</w:t>
      </w:r>
      <w:r w:rsidR="00966438">
        <w:rPr>
          <w:rFonts w:cstheme="minorHAnsi"/>
          <w:i/>
        </w:rPr>
        <w:t xml:space="preserve"> 2023</w:t>
      </w:r>
      <w:r w:rsidRPr="00601877">
        <w:rPr>
          <w:rFonts w:cstheme="minorHAnsi"/>
        </w:rPr>
        <w:t>, 55.</w:t>
      </w:r>
    </w:p>
  </w:footnote>
  <w:footnote w:id="76">
    <w:p w14:paraId="2176B01B" w14:textId="7FF1A0FB"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w:t>
      </w:r>
      <w:r w:rsidR="00D47EDF" w:rsidRPr="00D47EDF">
        <w:rPr>
          <w:rFonts w:cstheme="minorHAnsi"/>
        </w:rPr>
        <w:t xml:space="preserve">Ryan Young, </w:t>
      </w:r>
      <w:r w:rsidR="00D47EDF" w:rsidRPr="008C4411">
        <w:rPr>
          <w:rFonts w:cstheme="minorHAnsi"/>
          <w:i/>
          <w:iCs/>
        </w:rPr>
        <w:t>Future Disruptions for Australian Universities</w:t>
      </w:r>
      <w:r w:rsidR="00D47EDF" w:rsidRPr="00D47EDF">
        <w:rPr>
          <w:rFonts w:cstheme="minorHAnsi"/>
        </w:rPr>
        <w:t xml:space="preserve"> [unpublished report], (Canberra: The Australian National University National Security College, November 2023), </w:t>
      </w:r>
      <w:r w:rsidR="00D47EDF">
        <w:rPr>
          <w:rFonts w:cstheme="minorHAnsi"/>
        </w:rPr>
        <w:t>12</w:t>
      </w:r>
      <w:r w:rsidR="00D47EDF" w:rsidRPr="00D47EDF">
        <w:rPr>
          <w:rFonts w:cstheme="minorHAnsi"/>
        </w:rPr>
        <w:t>.</w:t>
      </w:r>
    </w:p>
  </w:footnote>
  <w:footnote w:id="77">
    <w:p w14:paraId="614ECF0D" w14:textId="14CE132A"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Jobs and Skills Australia (JSA), </w:t>
      </w:r>
      <w:r w:rsidRPr="00601877">
        <w:rPr>
          <w:rFonts w:cstheme="minorHAnsi"/>
          <w:i/>
        </w:rPr>
        <w:t>2023 Skills Priority List: Key Findings Report</w:t>
      </w:r>
      <w:r w:rsidR="003D77DF">
        <w:rPr>
          <w:rFonts w:cstheme="minorHAnsi"/>
          <w:i/>
        </w:rPr>
        <w:t>,</w:t>
      </w:r>
      <w:r w:rsidRPr="00601877">
        <w:rPr>
          <w:rFonts w:cstheme="minorHAnsi"/>
        </w:rPr>
        <w:t xml:space="preserve"> (September 2023), 8, </w:t>
      </w:r>
      <w:hyperlink r:id="rId49" w:history="1">
        <w:r w:rsidR="00FC5279" w:rsidRPr="0059561C">
          <w:rPr>
            <w:rStyle w:val="Hyperlink"/>
            <w:rFonts w:cstheme="minorHAnsi"/>
          </w:rPr>
          <w:t>www.jobsandskills.gov.au/data/skills-shortages-analysis</w:t>
        </w:r>
      </w:hyperlink>
      <w:r w:rsidRPr="00601877">
        <w:rPr>
          <w:rFonts w:cstheme="minorHAnsi"/>
        </w:rPr>
        <w:t>.</w:t>
      </w:r>
    </w:p>
  </w:footnote>
  <w:footnote w:id="78">
    <w:p w14:paraId="276A1E5C" w14:textId="40C1EFD9"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JSA, </w:t>
      </w:r>
      <w:r w:rsidRPr="00601877">
        <w:rPr>
          <w:rFonts w:cstheme="minorHAnsi"/>
          <w:i/>
        </w:rPr>
        <w:t>Towards a National Jobs and Skills Roadmap: Annual Jobs and Skills Report 2023</w:t>
      </w:r>
      <w:r w:rsidRPr="00601877">
        <w:rPr>
          <w:rFonts w:cstheme="minorHAnsi"/>
        </w:rPr>
        <w:t xml:space="preserve"> (October 2023), 43, </w:t>
      </w:r>
      <w:hyperlink r:id="rId50" w:history="1">
        <w:r w:rsidR="00FC5279" w:rsidRPr="0059561C">
          <w:rPr>
            <w:rStyle w:val="Hyperlink"/>
            <w:rFonts w:cstheme="minorHAnsi"/>
          </w:rPr>
          <w:t>www.jobsandskills.gov.au/publications/towards-national-jobs-and-skills-roadmap</w:t>
        </w:r>
      </w:hyperlink>
      <w:r w:rsidRPr="00601877">
        <w:rPr>
          <w:rFonts w:cstheme="minorHAnsi"/>
        </w:rPr>
        <w:t>.</w:t>
      </w:r>
    </w:p>
  </w:footnote>
  <w:footnote w:id="79">
    <w:p w14:paraId="2D1B73D5" w14:textId="6B1B3D82"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JSA, </w:t>
      </w:r>
      <w:r w:rsidRPr="00EB1A30">
        <w:rPr>
          <w:rFonts w:cstheme="minorHAnsi"/>
        </w:rPr>
        <w:t>“Skills Priority List,</w:t>
      </w:r>
      <w:r w:rsidR="00672A28" w:rsidRPr="00EB1A30">
        <w:rPr>
          <w:rFonts w:cstheme="minorHAnsi"/>
        </w:rPr>
        <w:t>”</w:t>
      </w:r>
      <w:r w:rsidRPr="00EB1A30">
        <w:rPr>
          <w:rFonts w:cstheme="minorHAnsi"/>
        </w:rPr>
        <w:t xml:space="preserve"> Jobs and Skills Australia, </w:t>
      </w:r>
      <w:r w:rsidR="004C1D30">
        <w:rPr>
          <w:rFonts w:cstheme="minorHAnsi"/>
        </w:rPr>
        <w:t xml:space="preserve">accessed 5 December </w:t>
      </w:r>
      <w:proofErr w:type="gramStart"/>
      <w:r w:rsidR="004C1D30">
        <w:rPr>
          <w:rFonts w:cstheme="minorHAnsi"/>
        </w:rPr>
        <w:t>2023</w:t>
      </w:r>
      <w:r w:rsidRPr="00601877">
        <w:rPr>
          <w:rFonts w:cstheme="minorHAnsi"/>
        </w:rPr>
        <w:t>,www.jobsandskills.</w:t>
      </w:r>
      <w:r w:rsidR="00D47EDF">
        <w:rPr>
          <w:rFonts w:cstheme="minorHAnsi"/>
        </w:rPr>
        <w:t>‌</w:t>
      </w:r>
      <w:r w:rsidRPr="00601877">
        <w:rPr>
          <w:rFonts w:cstheme="minorHAnsi"/>
        </w:rPr>
        <w:t>gov.au</w:t>
      </w:r>
      <w:r w:rsidR="00D47EDF">
        <w:rPr>
          <w:rFonts w:cstheme="minorHAnsi"/>
        </w:rPr>
        <w:t>‌</w:t>
      </w:r>
      <w:r w:rsidRPr="00601877">
        <w:rPr>
          <w:rFonts w:cstheme="minorHAnsi"/>
        </w:rPr>
        <w:t>/</w:t>
      </w:r>
      <w:r w:rsidR="00D47EDF">
        <w:rPr>
          <w:rFonts w:cstheme="minorHAnsi"/>
        </w:rPr>
        <w:t>‌</w:t>
      </w:r>
      <w:r w:rsidRPr="00601877">
        <w:rPr>
          <w:rFonts w:cstheme="minorHAnsi"/>
        </w:rPr>
        <w:t>data</w:t>
      </w:r>
      <w:r w:rsidR="00D47EDF">
        <w:rPr>
          <w:rFonts w:cstheme="minorHAnsi"/>
        </w:rPr>
        <w:t>‌</w:t>
      </w:r>
      <w:r w:rsidRPr="00601877">
        <w:rPr>
          <w:rFonts w:cstheme="minorHAnsi"/>
        </w:rPr>
        <w:t>/</w:t>
      </w:r>
      <w:r w:rsidR="00D47EDF">
        <w:rPr>
          <w:rFonts w:cstheme="minorHAnsi"/>
        </w:rPr>
        <w:t>‌</w:t>
      </w:r>
      <w:r w:rsidRPr="00601877">
        <w:rPr>
          <w:rFonts w:cstheme="minorHAnsi"/>
        </w:rPr>
        <w:t>skills-</w:t>
      </w:r>
      <w:r w:rsidR="00D47EDF">
        <w:rPr>
          <w:rFonts w:cstheme="minorHAnsi"/>
        </w:rPr>
        <w:t>‌</w:t>
      </w:r>
      <w:r w:rsidRPr="00601877">
        <w:rPr>
          <w:rFonts w:cstheme="minorHAnsi"/>
        </w:rPr>
        <w:t>priority-list</w:t>
      </w:r>
      <w:proofErr w:type="gramEnd"/>
      <w:r w:rsidRPr="00601877">
        <w:rPr>
          <w:rFonts w:cstheme="minorHAnsi"/>
        </w:rPr>
        <w:t>.</w:t>
      </w:r>
    </w:p>
  </w:footnote>
  <w:footnote w:id="80">
    <w:p w14:paraId="11378601" w14:textId="77777777"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JSA, </w:t>
      </w:r>
      <w:r w:rsidRPr="00601877">
        <w:rPr>
          <w:rFonts w:cstheme="minorHAnsi"/>
          <w:i/>
        </w:rPr>
        <w:t>Annual Jobs and Skills Report 2023,</w:t>
      </w:r>
      <w:r w:rsidRPr="00601877">
        <w:rPr>
          <w:rFonts w:cstheme="minorHAnsi"/>
        </w:rPr>
        <w:t xml:space="preserve"> 42.</w:t>
      </w:r>
    </w:p>
  </w:footnote>
  <w:footnote w:id="81">
    <w:p w14:paraId="1A1C7CC1" w14:textId="77777777"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w:t>
      </w:r>
      <w:r w:rsidRPr="00EB1A30">
        <w:rPr>
          <w:rFonts w:cstheme="minorHAnsi"/>
        </w:rPr>
        <w:t>JSA, “Skills Priority List.”</w:t>
      </w:r>
    </w:p>
  </w:footnote>
  <w:footnote w:id="82">
    <w:p w14:paraId="51EAA7EB" w14:textId="0F1390BA"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w:t>
      </w:r>
      <w:r>
        <w:rPr>
          <w:rFonts w:cstheme="minorHAnsi"/>
        </w:rPr>
        <w:t>JSA</w:t>
      </w:r>
      <w:r w:rsidRPr="00601877">
        <w:rPr>
          <w:rFonts w:cstheme="minorHAnsi"/>
        </w:rPr>
        <w:t xml:space="preserve">, </w:t>
      </w:r>
      <w:r w:rsidRPr="00601877">
        <w:rPr>
          <w:rFonts w:cstheme="minorHAnsi"/>
          <w:i/>
        </w:rPr>
        <w:t xml:space="preserve">Employment outlook: industry and occupation trends over the five years to November 2026 </w:t>
      </w:r>
      <w:r w:rsidRPr="00601877">
        <w:rPr>
          <w:rFonts w:cstheme="minorHAnsi"/>
        </w:rPr>
        <w:t xml:space="preserve">(Canberra, 2022), </w:t>
      </w:r>
      <w:r w:rsidR="00934C59">
        <w:rPr>
          <w:rFonts w:cstheme="minorHAnsi"/>
        </w:rPr>
        <w:t>accessed 26 November 2023,</w:t>
      </w:r>
      <w:r w:rsidR="00E56FEC" w:rsidRPr="00E56FEC">
        <w:t xml:space="preserve"> </w:t>
      </w:r>
      <w:hyperlink r:id="rId51" w:history="1">
        <w:r w:rsidR="00E56FEC" w:rsidRPr="00E56FEC">
          <w:rPr>
            <w:rStyle w:val="Hyperlink"/>
          </w:rPr>
          <w:t>labourmarketinsights.gov.au/media/b2ppdmvp/employment-outlook-industry-and-occupation-trends.pdf</w:t>
        </w:r>
      </w:hyperlink>
      <w:r w:rsidR="00932C5D">
        <w:t xml:space="preserve">. </w:t>
      </w:r>
    </w:p>
  </w:footnote>
  <w:footnote w:id="83">
    <w:p w14:paraId="3238B7DE" w14:textId="77777777" w:rsidR="00601107" w:rsidRPr="00601877" w:rsidRDefault="00601107" w:rsidP="00601107">
      <w:pPr>
        <w:pStyle w:val="FootnoteText"/>
        <w:rPr>
          <w:rFonts w:cstheme="minorHAnsi"/>
        </w:rPr>
      </w:pPr>
      <w:r w:rsidRPr="00601877">
        <w:rPr>
          <w:rStyle w:val="FootnoteReference"/>
          <w:rFonts w:cstheme="minorHAnsi"/>
        </w:rPr>
        <w:footnoteRef/>
      </w:r>
      <w:r w:rsidRPr="00601877">
        <w:rPr>
          <w:rFonts w:cstheme="minorHAnsi"/>
        </w:rPr>
        <w:t xml:space="preserve"> J</w:t>
      </w:r>
      <w:r w:rsidRPr="00EB1A30">
        <w:rPr>
          <w:rFonts w:cstheme="minorHAnsi"/>
        </w:rPr>
        <w:t>SA, “Skills Priority List.”</w:t>
      </w:r>
    </w:p>
  </w:footnote>
  <w:footnote w:id="84">
    <w:p w14:paraId="5E217B58" w14:textId="77777777" w:rsidR="00E33FC3" w:rsidRPr="00601877" w:rsidRDefault="00E33FC3" w:rsidP="00E33FC3">
      <w:pPr>
        <w:pStyle w:val="FootnoteText"/>
        <w:rPr>
          <w:rFonts w:cstheme="minorHAnsi"/>
        </w:rPr>
      </w:pPr>
      <w:r w:rsidRPr="00601877">
        <w:rPr>
          <w:rStyle w:val="FootnoteReference"/>
          <w:rFonts w:cstheme="minorHAnsi"/>
        </w:rPr>
        <w:footnoteRef/>
      </w:r>
      <w:r w:rsidRPr="00601877">
        <w:rPr>
          <w:rFonts w:cstheme="minorHAnsi"/>
        </w:rPr>
        <w:t xml:space="preserve"> Generative AI can create a wide variety of content by learning patterns from existing data to generate unique outputs whereas non-generative AI can be used to detect patterns, make decisions, perform analytics, and classify data based on predetermined rules and logic.</w:t>
      </w:r>
    </w:p>
  </w:footnote>
  <w:footnote w:id="85">
    <w:p w14:paraId="4585BFED" w14:textId="0037E78D" w:rsidR="00E33FC3" w:rsidRPr="00601877" w:rsidRDefault="00E33FC3" w:rsidP="00E33FC3">
      <w:pPr>
        <w:pStyle w:val="FootnoteText"/>
        <w:rPr>
          <w:rFonts w:cstheme="minorHAnsi"/>
        </w:rPr>
      </w:pPr>
      <w:r w:rsidRPr="00601877">
        <w:rPr>
          <w:rStyle w:val="FootnoteReference"/>
          <w:rFonts w:cstheme="minorHAnsi"/>
        </w:rPr>
        <w:footnoteRef/>
      </w:r>
      <w:r w:rsidRPr="00601877">
        <w:rPr>
          <w:rFonts w:cstheme="minorHAnsi"/>
        </w:rPr>
        <w:t xml:space="preserve"> Young, </w:t>
      </w:r>
      <w:r w:rsidRPr="00601877">
        <w:rPr>
          <w:rFonts w:cstheme="minorHAnsi"/>
          <w:i/>
        </w:rPr>
        <w:t>Future Disruptions for Australian Universities</w:t>
      </w:r>
      <w:r w:rsidRPr="00601877">
        <w:rPr>
          <w:rFonts w:cstheme="minorHAnsi"/>
        </w:rPr>
        <w:t>, 10.</w:t>
      </w:r>
    </w:p>
  </w:footnote>
  <w:footnote w:id="86">
    <w:p w14:paraId="3720C296" w14:textId="32913768" w:rsidR="00E33FC3" w:rsidRPr="00601877" w:rsidRDefault="00E33FC3" w:rsidP="00E33FC3">
      <w:pPr>
        <w:pStyle w:val="FootnoteText"/>
        <w:rPr>
          <w:rFonts w:cstheme="minorHAnsi"/>
        </w:rPr>
      </w:pPr>
      <w:r w:rsidRPr="00601877">
        <w:rPr>
          <w:rStyle w:val="FootnoteReference"/>
          <w:rFonts w:cstheme="minorHAnsi"/>
        </w:rPr>
        <w:footnoteRef/>
      </w:r>
      <w:r w:rsidRPr="00601877">
        <w:rPr>
          <w:rFonts w:cstheme="minorHAnsi"/>
        </w:rPr>
        <w:t xml:space="preserve"> Erica Southgate, “Submission to The House Standing Committee on Employment, Education and Training Inquiry into the use of generative artificial intelligence in the Australian education system,” (2023), 2</w:t>
      </w:r>
      <w:r w:rsidR="0002277C">
        <w:rPr>
          <w:rFonts w:cstheme="minorHAnsi"/>
        </w:rPr>
        <w:t>–</w:t>
      </w:r>
      <w:r w:rsidRPr="00601877">
        <w:rPr>
          <w:rFonts w:cstheme="minorHAnsi"/>
        </w:rPr>
        <w:t>3.</w:t>
      </w:r>
    </w:p>
  </w:footnote>
  <w:footnote w:id="87">
    <w:p w14:paraId="7ED5C603" w14:textId="7CA3E3A4" w:rsidR="00E33FC3" w:rsidRPr="00601877" w:rsidRDefault="00E33FC3" w:rsidP="00E33FC3">
      <w:pPr>
        <w:pStyle w:val="FootnoteText"/>
        <w:rPr>
          <w:rFonts w:cstheme="minorHAnsi"/>
        </w:rPr>
      </w:pPr>
      <w:r w:rsidRPr="00601877">
        <w:rPr>
          <w:rStyle w:val="FootnoteReference"/>
          <w:rFonts w:cstheme="minorHAnsi"/>
        </w:rPr>
        <w:footnoteRef/>
      </w:r>
      <w:r w:rsidRPr="00601877">
        <w:rPr>
          <w:rFonts w:cstheme="minorHAnsi"/>
        </w:rPr>
        <w:t xml:space="preserve"> Leslie </w:t>
      </w:r>
      <w:proofErr w:type="spellStart"/>
      <w:r w:rsidRPr="00601877">
        <w:rPr>
          <w:rFonts w:cstheme="minorHAnsi"/>
        </w:rPr>
        <w:t>Loble</w:t>
      </w:r>
      <w:proofErr w:type="spellEnd"/>
      <w:r w:rsidRPr="00601877">
        <w:rPr>
          <w:rFonts w:cstheme="minorHAnsi"/>
        </w:rPr>
        <w:t xml:space="preserve"> </w:t>
      </w:r>
      <w:r w:rsidR="0060373B">
        <w:rPr>
          <w:rFonts w:cstheme="minorHAnsi"/>
        </w:rPr>
        <w:t>and</w:t>
      </w:r>
      <w:r w:rsidRPr="00601877">
        <w:rPr>
          <w:rFonts w:cstheme="minorHAnsi"/>
        </w:rPr>
        <w:t xml:space="preserve"> Auroura </w:t>
      </w:r>
      <w:proofErr w:type="spellStart"/>
      <w:r w:rsidRPr="00601877">
        <w:rPr>
          <w:rFonts w:cstheme="minorHAnsi"/>
        </w:rPr>
        <w:t>Hawcroft</w:t>
      </w:r>
      <w:proofErr w:type="spellEnd"/>
      <w:r w:rsidRPr="00601877">
        <w:rPr>
          <w:rFonts w:cstheme="minorHAnsi"/>
        </w:rPr>
        <w:t xml:space="preserve">, </w:t>
      </w:r>
      <w:r w:rsidRPr="00601877">
        <w:rPr>
          <w:rFonts w:cstheme="minorHAnsi"/>
          <w:i/>
        </w:rPr>
        <w:t>Shaping AI and edtech to tackle Australia’s learning divide,</w:t>
      </w:r>
      <w:r w:rsidRPr="00601877">
        <w:rPr>
          <w:rFonts w:cstheme="minorHAnsi"/>
        </w:rPr>
        <w:t xml:space="preserve"> (Sydney: University of Technology Sydney, 2022), 23</w:t>
      </w:r>
      <w:r w:rsidR="0002277C">
        <w:rPr>
          <w:rFonts w:cstheme="minorHAnsi"/>
        </w:rPr>
        <w:t>–</w:t>
      </w:r>
      <w:r w:rsidRPr="00601877">
        <w:rPr>
          <w:rFonts w:cstheme="minorHAnsi"/>
        </w:rPr>
        <w:t xml:space="preserve">32, </w:t>
      </w:r>
      <w:hyperlink r:id="rId52" w:history="1">
        <w:r w:rsidR="008446DF" w:rsidRPr="00811871">
          <w:rPr>
            <w:rStyle w:val="Hyperlink"/>
            <w:rFonts w:cstheme="minorHAnsi"/>
          </w:rPr>
          <w:t>doi.org/10.57956/kxye-qd93</w:t>
        </w:r>
      </w:hyperlink>
      <w:r w:rsidR="008446DF">
        <w:rPr>
          <w:rFonts w:cstheme="minorHAnsi"/>
        </w:rPr>
        <w:t xml:space="preserve">. </w:t>
      </w:r>
    </w:p>
  </w:footnote>
  <w:footnote w:id="88">
    <w:p w14:paraId="6A1A52E7" w14:textId="0A28EF84" w:rsidR="00E33FC3" w:rsidRPr="00601877" w:rsidRDefault="00E33FC3" w:rsidP="00E33FC3">
      <w:pPr>
        <w:pStyle w:val="FootnoteText"/>
        <w:rPr>
          <w:rFonts w:cstheme="minorHAnsi"/>
        </w:rPr>
      </w:pPr>
      <w:r w:rsidRPr="00601877">
        <w:rPr>
          <w:rStyle w:val="FootnoteReference"/>
          <w:rFonts w:cstheme="minorHAnsi"/>
        </w:rPr>
        <w:footnoteRef/>
      </w:r>
      <w:r w:rsidRPr="00601877">
        <w:rPr>
          <w:rFonts w:cstheme="minorHAnsi"/>
        </w:rPr>
        <w:t xml:space="preserve"> Young, </w:t>
      </w:r>
      <w:r w:rsidRPr="00601877">
        <w:rPr>
          <w:rFonts w:cstheme="minorHAnsi"/>
          <w:i/>
        </w:rPr>
        <w:t>Future Disruptions for Australian Universities</w:t>
      </w:r>
      <w:r w:rsidRPr="00601877">
        <w:rPr>
          <w:rFonts w:cstheme="minorHAnsi"/>
        </w:rPr>
        <w:t>, 10</w:t>
      </w:r>
      <w:r w:rsidR="005D63EF">
        <w:rPr>
          <w:rFonts w:cstheme="minorHAnsi"/>
        </w:rPr>
        <w:t>.</w:t>
      </w:r>
    </w:p>
  </w:footnote>
  <w:footnote w:id="89">
    <w:p w14:paraId="0EEB64D4" w14:textId="64D68A44" w:rsidR="00E33FC3" w:rsidRPr="00601877" w:rsidRDefault="00E33FC3" w:rsidP="00E33FC3">
      <w:pPr>
        <w:pStyle w:val="FootnoteText"/>
        <w:rPr>
          <w:rFonts w:cstheme="minorHAnsi"/>
        </w:rPr>
      </w:pPr>
      <w:r w:rsidRPr="00601877">
        <w:rPr>
          <w:rStyle w:val="FootnoteReference"/>
          <w:rFonts w:cstheme="minorHAnsi"/>
        </w:rPr>
        <w:footnoteRef/>
      </w:r>
      <w:r w:rsidRPr="00601877">
        <w:rPr>
          <w:rFonts w:cstheme="minorHAnsi"/>
        </w:rPr>
        <w:t xml:space="preserve"> </w:t>
      </w:r>
      <w:proofErr w:type="spellStart"/>
      <w:r w:rsidRPr="00601877">
        <w:rPr>
          <w:rFonts w:cstheme="minorHAnsi"/>
        </w:rPr>
        <w:t>Loble</w:t>
      </w:r>
      <w:proofErr w:type="spellEnd"/>
      <w:r w:rsidRPr="00601877">
        <w:rPr>
          <w:rFonts w:cstheme="minorHAnsi"/>
        </w:rPr>
        <w:t xml:space="preserve"> </w:t>
      </w:r>
      <w:r w:rsidR="0060373B">
        <w:rPr>
          <w:rFonts w:cstheme="minorHAnsi"/>
        </w:rPr>
        <w:t>and</w:t>
      </w:r>
      <w:r w:rsidRPr="00601877">
        <w:rPr>
          <w:rFonts w:cstheme="minorHAnsi"/>
        </w:rPr>
        <w:t xml:space="preserve"> </w:t>
      </w:r>
      <w:proofErr w:type="spellStart"/>
      <w:r w:rsidRPr="00601877">
        <w:rPr>
          <w:rFonts w:cstheme="minorHAnsi"/>
        </w:rPr>
        <w:t>Hawcroft</w:t>
      </w:r>
      <w:proofErr w:type="spellEnd"/>
      <w:r w:rsidRPr="00601877">
        <w:rPr>
          <w:rFonts w:cstheme="minorHAnsi"/>
        </w:rPr>
        <w:t xml:space="preserve">, </w:t>
      </w:r>
      <w:r w:rsidRPr="00601877">
        <w:rPr>
          <w:rFonts w:cstheme="minorHAnsi"/>
          <w:i/>
        </w:rPr>
        <w:t>Shaping AI and edtech,</w:t>
      </w:r>
      <w:r w:rsidRPr="00601877">
        <w:rPr>
          <w:rFonts w:cstheme="minorHAnsi"/>
        </w:rPr>
        <w:t xml:space="preserve"> 21</w:t>
      </w:r>
      <w:r w:rsidR="0002277C">
        <w:rPr>
          <w:rFonts w:cstheme="minorHAnsi"/>
        </w:rPr>
        <w:t>–</w:t>
      </w:r>
      <w:r w:rsidRPr="00601877">
        <w:rPr>
          <w:rFonts w:cstheme="minorHAnsi"/>
        </w:rPr>
        <w:t>23.</w:t>
      </w:r>
    </w:p>
  </w:footnote>
  <w:footnote w:id="90">
    <w:p w14:paraId="3A1F1A4C" w14:textId="366113FF" w:rsidR="00E33FC3" w:rsidRPr="00601877" w:rsidRDefault="00E33FC3" w:rsidP="00E33FC3">
      <w:pPr>
        <w:pStyle w:val="FootnoteText"/>
        <w:rPr>
          <w:rFonts w:cstheme="minorHAnsi"/>
        </w:rPr>
      </w:pPr>
      <w:r w:rsidRPr="00601877">
        <w:rPr>
          <w:rStyle w:val="FootnoteReference"/>
          <w:rFonts w:cstheme="minorHAnsi"/>
        </w:rPr>
        <w:footnoteRef/>
      </w:r>
      <w:r w:rsidRPr="00601877">
        <w:rPr>
          <w:rFonts w:cstheme="minorHAnsi"/>
        </w:rPr>
        <w:t xml:space="preserve"> </w:t>
      </w:r>
      <w:r w:rsidR="000D1EF4" w:rsidRPr="000D1EF4">
        <w:rPr>
          <w:rFonts w:cstheme="minorHAnsi"/>
        </w:rPr>
        <w:t xml:space="preserve">Fabrizio </w:t>
      </w:r>
      <w:proofErr w:type="spellStart"/>
      <w:r w:rsidR="000D1EF4" w:rsidRPr="000D1EF4">
        <w:rPr>
          <w:rFonts w:cstheme="minorHAnsi"/>
        </w:rPr>
        <w:t>Dell'Acqua</w:t>
      </w:r>
      <w:proofErr w:type="spellEnd"/>
      <w:r w:rsidR="00BC39D1">
        <w:rPr>
          <w:rFonts w:cstheme="minorHAnsi"/>
        </w:rPr>
        <w:t>,</w:t>
      </w:r>
      <w:r w:rsidR="000D1EF4" w:rsidRPr="000D1EF4">
        <w:rPr>
          <w:rFonts w:cstheme="minorHAnsi"/>
        </w:rPr>
        <w:t xml:space="preserve"> Edward </w:t>
      </w:r>
      <w:proofErr w:type="spellStart"/>
      <w:r w:rsidR="000D1EF4" w:rsidRPr="000D1EF4">
        <w:rPr>
          <w:rFonts w:cstheme="minorHAnsi"/>
        </w:rPr>
        <w:t>McFowland</w:t>
      </w:r>
      <w:proofErr w:type="spellEnd"/>
      <w:r w:rsidR="00BC39D1">
        <w:rPr>
          <w:rFonts w:cstheme="minorHAnsi"/>
        </w:rPr>
        <w:t>,</w:t>
      </w:r>
      <w:r w:rsidR="000D1EF4" w:rsidRPr="000D1EF4">
        <w:rPr>
          <w:rFonts w:cstheme="minorHAnsi"/>
        </w:rPr>
        <w:t xml:space="preserve"> Ethan R. Mollick</w:t>
      </w:r>
      <w:r w:rsidR="00BC39D1">
        <w:rPr>
          <w:rFonts w:cstheme="minorHAnsi"/>
        </w:rPr>
        <w:t>,</w:t>
      </w:r>
      <w:r w:rsidR="000D1EF4" w:rsidRPr="000D1EF4">
        <w:rPr>
          <w:rFonts w:cstheme="minorHAnsi"/>
        </w:rPr>
        <w:t xml:space="preserve"> Hila Lifshitz-Assaf</w:t>
      </w:r>
      <w:r w:rsidR="00BC39D1">
        <w:rPr>
          <w:rFonts w:cstheme="minorHAnsi"/>
        </w:rPr>
        <w:t>,</w:t>
      </w:r>
      <w:r w:rsidR="000D1EF4" w:rsidRPr="000D1EF4">
        <w:rPr>
          <w:rFonts w:cstheme="minorHAnsi"/>
        </w:rPr>
        <w:t xml:space="preserve"> Katherine Kellogg</w:t>
      </w:r>
      <w:r w:rsidR="00BC39D1">
        <w:rPr>
          <w:rFonts w:cstheme="minorHAnsi"/>
        </w:rPr>
        <w:t>,</w:t>
      </w:r>
      <w:r w:rsidR="000D1EF4" w:rsidRPr="000D1EF4">
        <w:rPr>
          <w:rFonts w:cstheme="minorHAnsi"/>
        </w:rPr>
        <w:t xml:space="preserve"> Saran Rajendran</w:t>
      </w:r>
      <w:r w:rsidR="00BC39D1">
        <w:rPr>
          <w:rFonts w:cstheme="minorHAnsi"/>
        </w:rPr>
        <w:t>,</w:t>
      </w:r>
      <w:r w:rsidR="000D1EF4" w:rsidRPr="000D1EF4">
        <w:rPr>
          <w:rFonts w:cstheme="minorHAnsi"/>
        </w:rPr>
        <w:t xml:space="preserve"> Lisa Krayer</w:t>
      </w:r>
      <w:r w:rsidR="00BC39D1">
        <w:rPr>
          <w:rFonts w:cstheme="minorHAnsi"/>
        </w:rPr>
        <w:t>,</w:t>
      </w:r>
      <w:r w:rsidR="000D1EF4" w:rsidRPr="000D1EF4">
        <w:rPr>
          <w:rFonts w:cstheme="minorHAnsi"/>
        </w:rPr>
        <w:t xml:space="preserve"> Francois </w:t>
      </w:r>
      <w:proofErr w:type="spellStart"/>
      <w:r w:rsidR="000D1EF4" w:rsidRPr="000D1EF4">
        <w:rPr>
          <w:rFonts w:cstheme="minorHAnsi"/>
        </w:rPr>
        <w:t>Candelon</w:t>
      </w:r>
      <w:proofErr w:type="spellEnd"/>
      <w:r w:rsidR="000D1EF4" w:rsidRPr="000D1EF4">
        <w:rPr>
          <w:rFonts w:cstheme="minorHAnsi"/>
        </w:rPr>
        <w:t xml:space="preserve"> and Karim R. Lakhani, </w:t>
      </w:r>
      <w:r w:rsidRPr="00601877">
        <w:rPr>
          <w:rFonts w:cstheme="minorHAnsi"/>
          <w:i/>
        </w:rPr>
        <w:t>Navigating the Jagged Technological Frontier: Field Experimental Evidence of the Effects of AI on Knowledge Worker Productivity and Quality</w:t>
      </w:r>
      <w:r w:rsidR="00D570C4">
        <w:rPr>
          <w:rFonts w:cstheme="minorHAnsi"/>
          <w:i/>
        </w:rPr>
        <w:t>,</w:t>
      </w:r>
      <w:r w:rsidRPr="00601877">
        <w:rPr>
          <w:rFonts w:cstheme="minorHAnsi"/>
        </w:rPr>
        <w:t xml:space="preserve"> Harvard Business School Technology &amp; Operations Mgt. Unit Working Paper No. 24-013 (September 15, 2023), 12</w:t>
      </w:r>
      <w:r w:rsidR="0002277C">
        <w:rPr>
          <w:rFonts w:cstheme="minorHAnsi"/>
        </w:rPr>
        <w:t>–</w:t>
      </w:r>
      <w:r w:rsidRPr="00601877">
        <w:rPr>
          <w:rFonts w:cstheme="minorHAnsi"/>
        </w:rPr>
        <w:t>17, dx.doi.org/10.2139/ssrn.4573321.</w:t>
      </w:r>
    </w:p>
  </w:footnote>
  <w:footnote w:id="91">
    <w:p w14:paraId="2E8EFD07" w14:textId="494A7C47" w:rsidR="00E33FC3" w:rsidRPr="00601877" w:rsidRDefault="00E33FC3" w:rsidP="00E33FC3">
      <w:pPr>
        <w:pStyle w:val="FootnoteText"/>
        <w:rPr>
          <w:rFonts w:cstheme="minorHAnsi"/>
        </w:rPr>
      </w:pPr>
      <w:r w:rsidRPr="00601877">
        <w:rPr>
          <w:rStyle w:val="FootnoteReference"/>
          <w:rFonts w:cstheme="minorHAnsi"/>
        </w:rPr>
        <w:footnoteRef/>
      </w:r>
      <w:r w:rsidRPr="00601877">
        <w:rPr>
          <w:rFonts w:cstheme="minorHAnsi"/>
        </w:rPr>
        <w:t xml:space="preserve"> Young, </w:t>
      </w:r>
      <w:r w:rsidRPr="00601877">
        <w:rPr>
          <w:rFonts w:cstheme="minorHAnsi"/>
          <w:i/>
        </w:rPr>
        <w:t>Future Disruptions for Australian Universities</w:t>
      </w:r>
      <w:r w:rsidRPr="00601877">
        <w:rPr>
          <w:rFonts w:cstheme="minorHAnsi"/>
        </w:rPr>
        <w:t>, 10.</w:t>
      </w:r>
      <w:r w:rsidR="002747AA">
        <w:rPr>
          <w:rFonts w:cstheme="minorHAnsi"/>
        </w:rPr>
        <w:t xml:space="preserve"> </w:t>
      </w:r>
    </w:p>
  </w:footnote>
  <w:footnote w:id="92">
    <w:p w14:paraId="3E8DB35C" w14:textId="53D95CD5" w:rsidR="00E33FC3" w:rsidRPr="00601877" w:rsidRDefault="00E33FC3" w:rsidP="00E33FC3">
      <w:pPr>
        <w:pStyle w:val="FootnoteText"/>
        <w:rPr>
          <w:rFonts w:cstheme="minorHAnsi"/>
        </w:rPr>
      </w:pPr>
      <w:r w:rsidRPr="00601877">
        <w:rPr>
          <w:rStyle w:val="FootnoteReference"/>
          <w:rFonts w:cstheme="minorHAnsi"/>
        </w:rPr>
        <w:footnoteRef/>
      </w:r>
      <w:r w:rsidRPr="00601877">
        <w:rPr>
          <w:rFonts w:cstheme="minorHAnsi"/>
        </w:rPr>
        <w:t xml:space="preserve"> </w:t>
      </w:r>
      <w:r w:rsidR="00255B37">
        <w:rPr>
          <w:rFonts w:cstheme="minorHAnsi"/>
        </w:rPr>
        <w:t>Department of the Treasury</w:t>
      </w:r>
      <w:r w:rsidRPr="00601877">
        <w:rPr>
          <w:rFonts w:cstheme="minorHAnsi"/>
        </w:rPr>
        <w:t xml:space="preserve">, </w:t>
      </w:r>
      <w:r w:rsidRPr="00601877">
        <w:rPr>
          <w:rFonts w:cstheme="minorHAnsi"/>
          <w:i/>
        </w:rPr>
        <w:t>Intergenerational Report</w:t>
      </w:r>
      <w:r w:rsidR="00255B37">
        <w:rPr>
          <w:rFonts w:cstheme="minorHAnsi"/>
          <w:i/>
        </w:rPr>
        <w:t xml:space="preserve"> 2023</w:t>
      </w:r>
      <w:r w:rsidRPr="00601877">
        <w:rPr>
          <w:rFonts w:cstheme="minorHAnsi"/>
        </w:rPr>
        <w:t>, 4.</w:t>
      </w:r>
    </w:p>
  </w:footnote>
  <w:footnote w:id="93">
    <w:p w14:paraId="5D26A4A4" w14:textId="54CB3F01" w:rsidR="00E33FC3" w:rsidRPr="00601877" w:rsidRDefault="00E33FC3" w:rsidP="00E33FC3">
      <w:pPr>
        <w:pStyle w:val="FootnoteText"/>
        <w:rPr>
          <w:rFonts w:cstheme="minorHAnsi"/>
        </w:rPr>
      </w:pPr>
      <w:r w:rsidRPr="00601877">
        <w:rPr>
          <w:rStyle w:val="FootnoteReference"/>
          <w:rFonts w:cstheme="minorHAnsi"/>
        </w:rPr>
        <w:footnoteRef/>
      </w:r>
      <w:r w:rsidRPr="00601877">
        <w:rPr>
          <w:rFonts w:cstheme="minorHAnsi"/>
        </w:rPr>
        <w:t xml:space="preserve"> </w:t>
      </w:r>
      <w:r w:rsidR="00255B37">
        <w:rPr>
          <w:rFonts w:cstheme="minorHAnsi"/>
        </w:rPr>
        <w:t>Department of the Treasury</w:t>
      </w:r>
      <w:r w:rsidRPr="00601877">
        <w:rPr>
          <w:rFonts w:cstheme="minorHAnsi"/>
        </w:rPr>
        <w:t xml:space="preserve">, </w:t>
      </w:r>
      <w:r w:rsidRPr="00601877">
        <w:rPr>
          <w:rFonts w:cstheme="minorHAnsi"/>
          <w:i/>
        </w:rPr>
        <w:t>Intergenerational Report</w:t>
      </w:r>
      <w:r w:rsidR="00255B37">
        <w:rPr>
          <w:rFonts w:cstheme="minorHAnsi"/>
          <w:i/>
        </w:rPr>
        <w:t xml:space="preserve"> 2023</w:t>
      </w:r>
      <w:r w:rsidRPr="00601877">
        <w:rPr>
          <w:rFonts w:cstheme="minorHAnsi"/>
        </w:rPr>
        <w:t>, 10.</w:t>
      </w:r>
    </w:p>
  </w:footnote>
  <w:footnote w:id="94">
    <w:p w14:paraId="2E8707B6" w14:textId="0018A5BB" w:rsidR="00E33FC3" w:rsidRPr="00601877" w:rsidRDefault="00E33FC3" w:rsidP="00E33FC3">
      <w:pPr>
        <w:pStyle w:val="FootnoteText"/>
        <w:rPr>
          <w:rFonts w:cstheme="minorHAnsi"/>
        </w:rPr>
      </w:pPr>
      <w:r w:rsidRPr="00601877">
        <w:rPr>
          <w:rStyle w:val="FootnoteReference"/>
          <w:rFonts w:cstheme="minorHAnsi"/>
        </w:rPr>
        <w:footnoteRef/>
      </w:r>
      <w:r w:rsidRPr="00601877">
        <w:rPr>
          <w:rFonts w:cstheme="minorHAnsi"/>
        </w:rPr>
        <w:t xml:space="preserve"> </w:t>
      </w:r>
      <w:r w:rsidR="00255B37">
        <w:rPr>
          <w:rFonts w:cstheme="minorHAnsi"/>
        </w:rPr>
        <w:t>Department of the Treasury</w:t>
      </w:r>
      <w:r w:rsidRPr="00601877">
        <w:rPr>
          <w:rFonts w:cstheme="minorHAnsi"/>
        </w:rPr>
        <w:t xml:space="preserve">, </w:t>
      </w:r>
      <w:r w:rsidRPr="00601877">
        <w:rPr>
          <w:rFonts w:cstheme="minorHAnsi"/>
          <w:i/>
        </w:rPr>
        <w:t>Intergenerational Report</w:t>
      </w:r>
      <w:r w:rsidR="00255B37">
        <w:rPr>
          <w:rFonts w:cstheme="minorHAnsi"/>
          <w:i/>
        </w:rPr>
        <w:t xml:space="preserve"> 2023</w:t>
      </w:r>
      <w:r w:rsidRPr="00601877">
        <w:rPr>
          <w:rFonts w:cstheme="minorHAnsi"/>
        </w:rPr>
        <w:t>, 85.</w:t>
      </w:r>
    </w:p>
  </w:footnote>
  <w:footnote w:id="95">
    <w:p w14:paraId="0D3FACAF" w14:textId="7BECA166" w:rsidR="00E33FC3" w:rsidRPr="00601877" w:rsidRDefault="00E33FC3" w:rsidP="00E33FC3">
      <w:pPr>
        <w:pStyle w:val="FootnoteText"/>
        <w:rPr>
          <w:rFonts w:cstheme="minorHAnsi"/>
        </w:rPr>
      </w:pPr>
      <w:r w:rsidRPr="00601877">
        <w:rPr>
          <w:rStyle w:val="FootnoteReference"/>
          <w:rFonts w:cstheme="minorHAnsi"/>
        </w:rPr>
        <w:footnoteRef/>
      </w:r>
      <w:r w:rsidRPr="00601877">
        <w:rPr>
          <w:rFonts w:cstheme="minorHAnsi"/>
        </w:rPr>
        <w:t xml:space="preserve"> Young, </w:t>
      </w:r>
      <w:r w:rsidRPr="00601877">
        <w:rPr>
          <w:rFonts w:cstheme="minorHAnsi"/>
          <w:i/>
        </w:rPr>
        <w:t>Future Disruptions for Australian Universities</w:t>
      </w:r>
      <w:r w:rsidRPr="00601877">
        <w:rPr>
          <w:rFonts w:cstheme="minorHAnsi"/>
        </w:rPr>
        <w:t>, 10</w:t>
      </w:r>
      <w:r w:rsidR="00E66B71">
        <w:rPr>
          <w:rFonts w:cstheme="minorHAnsi"/>
        </w:rPr>
        <w:t>–</w:t>
      </w:r>
      <w:r w:rsidRPr="00601877">
        <w:rPr>
          <w:rFonts w:cstheme="minorHAnsi"/>
        </w:rPr>
        <w:t>11.</w:t>
      </w:r>
      <w:r w:rsidR="00042682">
        <w:rPr>
          <w:rFonts w:cstheme="minorHAnsi"/>
        </w:rPr>
        <w:t xml:space="preserve"> </w:t>
      </w:r>
    </w:p>
  </w:footnote>
  <w:footnote w:id="96">
    <w:p w14:paraId="5ED067B3" w14:textId="4548FC92" w:rsidR="00E33FC3" w:rsidRPr="00601877" w:rsidRDefault="00E33FC3" w:rsidP="00E33FC3">
      <w:pPr>
        <w:pStyle w:val="FootnoteText"/>
        <w:rPr>
          <w:rFonts w:cstheme="minorHAnsi"/>
        </w:rPr>
      </w:pPr>
      <w:r w:rsidRPr="00601877">
        <w:rPr>
          <w:rStyle w:val="FootnoteReference"/>
          <w:rFonts w:cstheme="minorHAnsi"/>
        </w:rPr>
        <w:footnoteRef/>
      </w:r>
      <w:r w:rsidRPr="00601877">
        <w:rPr>
          <w:rFonts w:cstheme="minorHAnsi"/>
        </w:rPr>
        <w:t xml:space="preserve"> </w:t>
      </w:r>
      <w:r w:rsidR="00FB740D" w:rsidRPr="009F2A50">
        <w:rPr>
          <w:rFonts w:cstheme="minorHAnsi"/>
        </w:rPr>
        <w:t>Alan Olsen</w:t>
      </w:r>
      <w:r w:rsidRPr="008744CE">
        <w:rPr>
          <w:rFonts w:cstheme="minorHAnsi"/>
        </w:rPr>
        <w:t xml:space="preserve">, </w:t>
      </w:r>
      <w:r w:rsidR="003F6DAB" w:rsidRPr="009F2A50">
        <w:rPr>
          <w:rFonts w:cstheme="minorHAnsi"/>
          <w:i/>
        </w:rPr>
        <w:t>Education as an Export for Australia</w:t>
      </w:r>
      <w:r w:rsidR="00FB740D" w:rsidRPr="009F2A50">
        <w:rPr>
          <w:rFonts w:cstheme="minorHAnsi"/>
          <w:i/>
        </w:rPr>
        <w:t>: Education as an Export 2022</w:t>
      </w:r>
      <w:r w:rsidR="000D1425">
        <w:rPr>
          <w:rFonts w:cstheme="minorHAnsi"/>
          <w:i/>
        </w:rPr>
        <w:t>,</w:t>
      </w:r>
      <w:r w:rsidR="00FB740D" w:rsidRPr="009F2A50">
        <w:rPr>
          <w:rFonts w:cstheme="minorHAnsi"/>
        </w:rPr>
        <w:t xml:space="preserve"> (</w:t>
      </w:r>
      <w:r w:rsidR="00AB742D" w:rsidRPr="009F2A50">
        <w:rPr>
          <w:rFonts w:cstheme="minorHAnsi"/>
        </w:rPr>
        <w:t xml:space="preserve">Bowral: Strategy Policy and Research in Education, 2023), </w:t>
      </w:r>
      <w:r w:rsidR="00AB742D" w:rsidRPr="008744CE">
        <w:rPr>
          <w:rFonts w:cstheme="minorHAnsi"/>
        </w:rPr>
        <w:t xml:space="preserve">1, </w:t>
      </w:r>
      <w:hyperlink r:id="rId53" w:history="1">
        <w:r w:rsidR="00BC2AC0" w:rsidRPr="0059561C">
          <w:rPr>
            <w:rStyle w:val="Hyperlink"/>
            <w:rFonts w:cstheme="minorHAnsi"/>
          </w:rPr>
          <w:t>www.spre.com.au/download/ExportsAustraliaStates2022.pdf</w:t>
        </w:r>
      </w:hyperlink>
      <w:r w:rsidR="00AB742D" w:rsidRPr="008744CE">
        <w:rPr>
          <w:rFonts w:cstheme="minorHAnsi"/>
        </w:rPr>
        <w:t>.</w:t>
      </w:r>
    </w:p>
  </w:footnote>
  <w:footnote w:id="97">
    <w:p w14:paraId="7C272BB8" w14:textId="1C0E4C33" w:rsidR="00E33FC3" w:rsidRPr="00601877" w:rsidRDefault="00E33FC3" w:rsidP="00E33FC3">
      <w:pPr>
        <w:pStyle w:val="FootnoteText"/>
        <w:rPr>
          <w:rFonts w:cstheme="minorHAnsi"/>
        </w:rPr>
      </w:pPr>
      <w:r w:rsidRPr="00601877">
        <w:rPr>
          <w:rStyle w:val="FootnoteReference"/>
          <w:rFonts w:cstheme="minorHAnsi"/>
        </w:rPr>
        <w:footnoteRef/>
      </w:r>
      <w:r w:rsidR="00601107" w:rsidRPr="00601877">
        <w:rPr>
          <w:rFonts w:cstheme="minorHAnsi"/>
        </w:rPr>
        <w:t xml:space="preserve"> </w:t>
      </w:r>
      <w:r w:rsidR="00362366">
        <w:rPr>
          <w:rFonts w:cstheme="minorHAnsi"/>
        </w:rPr>
        <w:t xml:space="preserve">Department of Education, </w:t>
      </w:r>
      <w:r w:rsidR="00362366" w:rsidRPr="00BC2AC0">
        <w:rPr>
          <w:rFonts w:cstheme="minorHAnsi"/>
          <w:i/>
        </w:rPr>
        <w:t>International Student Monthly Summary and Data Tables</w:t>
      </w:r>
      <w:r w:rsidR="003B2242">
        <w:rPr>
          <w:rFonts w:cstheme="minorHAnsi"/>
          <w:i/>
          <w:iCs/>
        </w:rPr>
        <w:t xml:space="preserve"> December 2022</w:t>
      </w:r>
      <w:r w:rsidR="00362366">
        <w:rPr>
          <w:rFonts w:cstheme="minorHAnsi"/>
        </w:rPr>
        <w:t xml:space="preserve"> [data set]</w:t>
      </w:r>
      <w:r w:rsidR="00A0400C">
        <w:rPr>
          <w:rFonts w:cstheme="minorHAnsi"/>
        </w:rPr>
        <w:t xml:space="preserve">, </w:t>
      </w:r>
      <w:r w:rsidR="003B2242">
        <w:rPr>
          <w:rFonts w:cstheme="minorHAnsi"/>
        </w:rPr>
        <w:t xml:space="preserve">(Canberra: 2022), </w:t>
      </w:r>
      <w:r w:rsidR="00A0400C">
        <w:rPr>
          <w:rFonts w:cstheme="minorHAnsi"/>
        </w:rPr>
        <w:t xml:space="preserve">accessed </w:t>
      </w:r>
      <w:r w:rsidR="003B2242">
        <w:rPr>
          <w:rFonts w:cstheme="minorHAnsi"/>
        </w:rPr>
        <w:t>29</w:t>
      </w:r>
      <w:r w:rsidR="00A0400C">
        <w:rPr>
          <w:rFonts w:cstheme="minorHAnsi"/>
        </w:rPr>
        <w:t xml:space="preserve"> November 2023</w:t>
      </w:r>
      <w:r w:rsidR="00362366">
        <w:rPr>
          <w:rFonts w:cstheme="minorHAnsi"/>
        </w:rPr>
        <w:t xml:space="preserve">, </w:t>
      </w:r>
      <w:hyperlink r:id="rId54" w:history="1">
        <w:r w:rsidR="00362366" w:rsidRPr="00E56B8D">
          <w:rPr>
            <w:rStyle w:val="Hyperlink"/>
            <w:rFonts w:cstheme="minorHAnsi"/>
          </w:rPr>
          <w:t>www.education.gov.au/international-education-data-and-research/international-student-monthly-summary-and-data-tables</w:t>
        </w:r>
      </w:hyperlink>
      <w:r w:rsidR="003B2242">
        <w:rPr>
          <w:rFonts w:cstheme="minorHAnsi"/>
        </w:rPr>
        <w:t>.</w:t>
      </w:r>
    </w:p>
  </w:footnote>
  <w:footnote w:id="98">
    <w:p w14:paraId="05C52F0E" w14:textId="6B8E0E3A" w:rsidR="00E33FC3" w:rsidRPr="00601877" w:rsidRDefault="00E33FC3" w:rsidP="00E33FC3">
      <w:pPr>
        <w:pStyle w:val="FootnoteText"/>
        <w:rPr>
          <w:rFonts w:cstheme="minorHAnsi"/>
        </w:rPr>
      </w:pPr>
      <w:r w:rsidRPr="00601877">
        <w:rPr>
          <w:rStyle w:val="FootnoteReference"/>
          <w:rFonts w:cstheme="minorHAnsi"/>
        </w:rPr>
        <w:footnoteRef/>
      </w:r>
      <w:r w:rsidRPr="00601877">
        <w:rPr>
          <w:rFonts w:cstheme="minorHAnsi"/>
        </w:rPr>
        <w:t xml:space="preserve"> </w:t>
      </w:r>
      <w:r w:rsidRPr="00754AC3">
        <w:rPr>
          <w:rFonts w:cstheme="minorHAnsi"/>
        </w:rPr>
        <w:t xml:space="preserve">Department of Education, </w:t>
      </w:r>
      <w:r w:rsidR="00ED79FA" w:rsidRPr="00BC2AC0">
        <w:rPr>
          <w:rFonts w:cstheme="minorHAnsi"/>
          <w:i/>
        </w:rPr>
        <w:t xml:space="preserve">International Student Data for the year-to-date (YTD) </w:t>
      </w:r>
      <w:r w:rsidR="00611B0D">
        <w:rPr>
          <w:rFonts w:cstheme="minorHAnsi"/>
          <w:i/>
          <w:iCs/>
        </w:rPr>
        <w:t>September</w:t>
      </w:r>
      <w:r w:rsidR="00611B0D" w:rsidRPr="00BC2AC0">
        <w:rPr>
          <w:rFonts w:cstheme="minorHAnsi"/>
          <w:i/>
        </w:rPr>
        <w:t xml:space="preserve"> </w:t>
      </w:r>
      <w:r w:rsidR="00ED79FA" w:rsidRPr="00BC2AC0">
        <w:rPr>
          <w:rFonts w:cstheme="minorHAnsi"/>
          <w:i/>
        </w:rPr>
        <w:t>2023</w:t>
      </w:r>
      <w:r w:rsidR="00ED79FA" w:rsidRPr="009F2A50">
        <w:rPr>
          <w:rFonts w:cstheme="minorHAnsi"/>
        </w:rPr>
        <w:t xml:space="preserve"> [data set]</w:t>
      </w:r>
      <w:r w:rsidR="00B84003">
        <w:rPr>
          <w:rFonts w:cstheme="minorHAnsi"/>
        </w:rPr>
        <w:t>, (Canberra</w:t>
      </w:r>
      <w:r w:rsidR="00A40CE1">
        <w:rPr>
          <w:rFonts w:cstheme="minorHAnsi"/>
        </w:rPr>
        <w:t>: 2023</w:t>
      </w:r>
      <w:r w:rsidR="00B84003">
        <w:rPr>
          <w:rFonts w:cstheme="minorHAnsi"/>
        </w:rPr>
        <w:t>),</w:t>
      </w:r>
      <w:r w:rsidR="00123CE1" w:rsidRPr="00123CE1">
        <w:rPr>
          <w:rFonts w:cstheme="minorHAnsi"/>
        </w:rPr>
        <w:t xml:space="preserve"> </w:t>
      </w:r>
      <w:r w:rsidR="00611B0D">
        <w:rPr>
          <w:rFonts w:cstheme="minorHAnsi"/>
        </w:rPr>
        <w:t>accessed 8 December</w:t>
      </w:r>
      <w:r w:rsidR="00123CE1" w:rsidRPr="00754AC3">
        <w:rPr>
          <w:rFonts w:cstheme="minorHAnsi"/>
        </w:rPr>
        <w:t xml:space="preserve"> 2023</w:t>
      </w:r>
      <w:r w:rsidRPr="00754AC3">
        <w:rPr>
          <w:rFonts w:cstheme="minorHAnsi"/>
        </w:rPr>
        <w:t xml:space="preserve">, </w:t>
      </w:r>
      <w:hyperlink r:id="rId55" w:anchor="‌:~:text=In%20the%20‌year%2Dto%2D‌date‌,‌‌the%20COVID%2D19%20pandemic" w:history="1">
        <w:r w:rsidR="00723372" w:rsidRPr="00723372">
          <w:rPr>
            <w:rStyle w:val="Hyperlink"/>
            <w:rFonts w:cstheme="minorHAnsi"/>
          </w:rPr>
          <w:t>www.education.gov.au/international-education-data-and-research/international-student-monthly-summary-and-data-tables#‌:~:text=In%20the%20‌year%2Dto%2D‌date‌,‌‌the%20COVID%2D19%20pandemic</w:t>
        </w:r>
      </w:hyperlink>
      <w:r w:rsidR="00AB2F61" w:rsidRPr="00754AC3">
        <w:rPr>
          <w:rFonts w:cstheme="minorHAnsi"/>
        </w:rPr>
        <w:t>.</w:t>
      </w:r>
    </w:p>
  </w:footnote>
  <w:footnote w:id="99">
    <w:p w14:paraId="78AACD47" w14:textId="43C4AEC5" w:rsidR="00E33FC3" w:rsidRPr="00601877" w:rsidRDefault="00E33FC3" w:rsidP="00E33FC3">
      <w:pPr>
        <w:pStyle w:val="FootnoteText"/>
        <w:rPr>
          <w:rFonts w:cstheme="minorHAnsi"/>
        </w:rPr>
      </w:pPr>
      <w:r w:rsidRPr="00601877">
        <w:rPr>
          <w:rStyle w:val="FootnoteReference"/>
          <w:rFonts w:cstheme="minorHAnsi"/>
        </w:rPr>
        <w:footnoteRef/>
      </w:r>
      <w:r w:rsidRPr="00601877">
        <w:rPr>
          <w:rFonts w:cstheme="minorHAnsi"/>
        </w:rPr>
        <w:t xml:space="preserve"> </w:t>
      </w:r>
      <w:r w:rsidR="00A024A8">
        <w:rPr>
          <w:rFonts w:cstheme="minorHAnsi"/>
        </w:rPr>
        <w:t>Department of Foreign Affairs and Trade</w:t>
      </w:r>
      <w:r w:rsidR="009E5273">
        <w:rPr>
          <w:rFonts w:cstheme="minorHAnsi"/>
        </w:rPr>
        <w:t xml:space="preserve"> (DFAT)</w:t>
      </w:r>
      <w:r w:rsidR="00A024A8">
        <w:rPr>
          <w:rFonts w:cstheme="minorHAnsi"/>
        </w:rPr>
        <w:t xml:space="preserve">, </w:t>
      </w:r>
      <w:r w:rsidR="00A024A8">
        <w:rPr>
          <w:rFonts w:cstheme="minorHAnsi"/>
          <w:i/>
          <w:iCs/>
        </w:rPr>
        <w:t>Trade and Investment at a Glance 202</w:t>
      </w:r>
      <w:r w:rsidR="0063018A">
        <w:rPr>
          <w:rFonts w:cstheme="minorHAnsi"/>
          <w:i/>
          <w:iCs/>
        </w:rPr>
        <w:t>1</w:t>
      </w:r>
      <w:r w:rsidR="00A024A8">
        <w:rPr>
          <w:rFonts w:cstheme="minorHAnsi"/>
          <w:i/>
          <w:iCs/>
        </w:rPr>
        <w:t xml:space="preserve"> </w:t>
      </w:r>
      <w:r w:rsidR="00A024A8">
        <w:rPr>
          <w:rFonts w:cstheme="minorHAnsi"/>
        </w:rPr>
        <w:t>(</w:t>
      </w:r>
      <w:r w:rsidR="007E290E">
        <w:rPr>
          <w:rFonts w:cstheme="minorHAnsi"/>
        </w:rPr>
        <w:t xml:space="preserve">Canberra: </w:t>
      </w:r>
      <w:r w:rsidR="00512F59">
        <w:rPr>
          <w:rFonts w:cstheme="minorHAnsi"/>
        </w:rPr>
        <w:t xml:space="preserve">DFAT, </w:t>
      </w:r>
      <w:r w:rsidR="007E290E">
        <w:rPr>
          <w:rFonts w:cstheme="minorHAnsi"/>
        </w:rPr>
        <w:t>2021</w:t>
      </w:r>
      <w:r w:rsidR="00A7135A">
        <w:rPr>
          <w:rFonts w:cstheme="minorHAnsi"/>
        </w:rPr>
        <w:t xml:space="preserve">), </w:t>
      </w:r>
      <w:r w:rsidR="009E5273">
        <w:rPr>
          <w:rFonts w:cstheme="minorHAnsi"/>
        </w:rPr>
        <w:t xml:space="preserve">13, </w:t>
      </w:r>
      <w:hyperlink r:id="rId56" w:history="1">
        <w:r w:rsidR="00BC2AC0" w:rsidRPr="0059561C">
          <w:rPr>
            <w:rStyle w:val="Hyperlink"/>
          </w:rPr>
          <w:t>www.dfat.gov.au/sites/default/files/trade-and-investment-glance-2021.pdf</w:t>
        </w:r>
      </w:hyperlink>
      <w:r w:rsidR="009E5273">
        <w:rPr>
          <w:rFonts w:cstheme="minorHAnsi"/>
        </w:rPr>
        <w:t>.</w:t>
      </w:r>
    </w:p>
  </w:footnote>
  <w:footnote w:id="100">
    <w:p w14:paraId="3C5E77C4" w14:textId="42A7D997" w:rsidR="00E33FC3" w:rsidRPr="00601877" w:rsidRDefault="00E33FC3" w:rsidP="00E33FC3">
      <w:pPr>
        <w:pStyle w:val="FootnoteText"/>
        <w:rPr>
          <w:rFonts w:cstheme="minorHAnsi"/>
        </w:rPr>
      </w:pPr>
      <w:r w:rsidRPr="00601877">
        <w:rPr>
          <w:rStyle w:val="FootnoteReference"/>
          <w:rFonts w:cstheme="minorHAnsi"/>
        </w:rPr>
        <w:footnoteRef/>
      </w:r>
      <w:r w:rsidRPr="00601877">
        <w:rPr>
          <w:rFonts w:cstheme="minorHAnsi"/>
        </w:rPr>
        <w:t xml:space="preserve"> </w:t>
      </w:r>
      <w:r w:rsidR="004F1A11">
        <w:rPr>
          <w:rFonts w:cstheme="minorHAnsi"/>
        </w:rPr>
        <w:t xml:space="preserve">Mats </w:t>
      </w:r>
      <w:r w:rsidR="004F1A11" w:rsidRPr="009F2A50">
        <w:rPr>
          <w:rFonts w:eastAsia="Times New Roman" w:cstheme="minorHAnsi"/>
          <w:color w:val="000000"/>
          <w:lang w:eastAsia="en-AU"/>
        </w:rPr>
        <w:t xml:space="preserve">Benner, </w:t>
      </w:r>
      <w:r w:rsidR="004F1A11" w:rsidRPr="009F2A50">
        <w:rPr>
          <w:rFonts w:eastAsia="Times New Roman" w:cstheme="minorHAnsi"/>
          <w:i/>
          <w:iCs/>
          <w:color w:val="000000"/>
          <w:lang w:eastAsia="en-AU"/>
        </w:rPr>
        <w:t>Asia’s Rising Research Dominance: Universities and State Building</w:t>
      </w:r>
      <w:r w:rsidR="004F1A11" w:rsidRPr="009F2A50">
        <w:rPr>
          <w:rFonts w:eastAsia="Times New Roman" w:cstheme="minorHAnsi"/>
          <w:color w:val="000000"/>
          <w:lang w:eastAsia="en-AU"/>
        </w:rPr>
        <w:t xml:space="preserve"> (Cheltenham: Edward Elgar Publishing, 2017).</w:t>
      </w:r>
    </w:p>
  </w:footnote>
  <w:footnote w:id="101">
    <w:p w14:paraId="0F2567AF" w14:textId="6B71A464" w:rsidR="00E33FC3" w:rsidRPr="00601877" w:rsidRDefault="00E33FC3" w:rsidP="00E33FC3">
      <w:pPr>
        <w:pStyle w:val="FootnoteText"/>
        <w:rPr>
          <w:rFonts w:cstheme="minorHAnsi"/>
        </w:rPr>
      </w:pPr>
      <w:r w:rsidRPr="00601877">
        <w:rPr>
          <w:rStyle w:val="FootnoteReference"/>
          <w:rFonts w:cstheme="minorHAnsi"/>
        </w:rPr>
        <w:footnoteRef/>
      </w:r>
      <w:r w:rsidRPr="00601877">
        <w:rPr>
          <w:rFonts w:cstheme="minorHAnsi"/>
        </w:rPr>
        <w:t xml:space="preserve"> </w:t>
      </w:r>
      <w:r w:rsidR="00754AC3">
        <w:rPr>
          <w:rFonts w:cstheme="minorHAnsi"/>
        </w:rPr>
        <w:t xml:space="preserve">Times Higher Education, </w:t>
      </w:r>
      <w:r w:rsidR="009D2AB9" w:rsidRPr="00BC2AC0">
        <w:rPr>
          <w:rFonts w:cstheme="minorHAnsi"/>
          <w:i/>
        </w:rPr>
        <w:t>World University Rankings 2023</w:t>
      </w:r>
      <w:r w:rsidR="009D2AB9">
        <w:rPr>
          <w:rFonts w:cstheme="minorHAnsi"/>
        </w:rPr>
        <w:t xml:space="preserve"> [data set]</w:t>
      </w:r>
      <w:r w:rsidR="00512F59">
        <w:rPr>
          <w:rFonts w:cstheme="minorHAnsi"/>
        </w:rPr>
        <w:t>,</w:t>
      </w:r>
      <w:r w:rsidR="009D2AB9">
        <w:rPr>
          <w:rFonts w:cstheme="minorHAnsi"/>
        </w:rPr>
        <w:t xml:space="preserve"> </w:t>
      </w:r>
      <w:r w:rsidR="00512F59">
        <w:rPr>
          <w:rFonts w:cstheme="minorHAnsi"/>
        </w:rPr>
        <w:t>accesse</w:t>
      </w:r>
      <w:r w:rsidR="00A40CE1">
        <w:rPr>
          <w:rFonts w:cstheme="minorHAnsi"/>
        </w:rPr>
        <w:t>d</w:t>
      </w:r>
      <w:r w:rsidR="00512F59">
        <w:rPr>
          <w:rFonts w:cstheme="minorHAnsi"/>
        </w:rPr>
        <w:t xml:space="preserve"> </w:t>
      </w:r>
      <w:r w:rsidR="005F0B1E">
        <w:rPr>
          <w:rFonts w:cstheme="minorHAnsi"/>
        </w:rPr>
        <w:t>29</w:t>
      </w:r>
      <w:r w:rsidR="00512F59">
        <w:rPr>
          <w:rFonts w:cstheme="minorHAnsi"/>
        </w:rPr>
        <w:t xml:space="preserve"> November 2023,</w:t>
      </w:r>
      <w:r w:rsidR="009D2AB9">
        <w:rPr>
          <w:rFonts w:cstheme="minorHAnsi"/>
        </w:rPr>
        <w:t xml:space="preserve"> </w:t>
      </w:r>
      <w:hyperlink r:id="rId57" w:anchor="!/‌length/25‌/locations‌/‌CHN/sort_by/rank/sort_order/asc/cols/stats" w:history="1">
        <w:r w:rsidR="00A252C5" w:rsidRPr="00A252C5">
          <w:rPr>
            <w:rStyle w:val="Hyperlink"/>
            <w:rFonts w:cstheme="minorHAnsi"/>
          </w:rPr>
          <w:t>www.timeshighereducation.com/world-university-rankings/2023/world-ranking#!/‌length/25‌/locations‌/‌CHN/sort_by/rank/sort_order/asc/cols/stats</w:t>
        </w:r>
      </w:hyperlink>
      <w:r w:rsidR="00A252C5">
        <w:rPr>
          <w:rFonts w:cstheme="minorHAnsi"/>
        </w:rPr>
        <w:t>.</w:t>
      </w:r>
    </w:p>
  </w:footnote>
  <w:footnote w:id="102">
    <w:p w14:paraId="417A867A" w14:textId="01BC6E98" w:rsidR="005B3445" w:rsidRPr="00601877" w:rsidRDefault="005B3445" w:rsidP="005B3445">
      <w:pPr>
        <w:pStyle w:val="FootnoteText"/>
        <w:rPr>
          <w:rFonts w:cstheme="minorHAnsi"/>
        </w:rPr>
      </w:pPr>
      <w:r w:rsidRPr="00601877">
        <w:rPr>
          <w:rStyle w:val="FootnoteReference"/>
          <w:rFonts w:cstheme="minorHAnsi"/>
        </w:rPr>
        <w:footnoteRef/>
      </w:r>
      <w:r w:rsidRPr="00601877">
        <w:rPr>
          <w:rFonts w:cstheme="minorHAnsi"/>
        </w:rPr>
        <w:t xml:space="preserve"> B</w:t>
      </w:r>
      <w:r w:rsidR="00BC35A1">
        <w:rPr>
          <w:rFonts w:cstheme="minorHAnsi"/>
        </w:rPr>
        <w:t>ernard</w:t>
      </w:r>
      <w:r w:rsidRPr="00601877">
        <w:rPr>
          <w:rFonts w:cstheme="minorHAnsi"/>
        </w:rPr>
        <w:t xml:space="preserve"> Salt, “The great skills shift: everyone's an expert now,” </w:t>
      </w:r>
      <w:r w:rsidRPr="00601877">
        <w:rPr>
          <w:rFonts w:cstheme="minorHAnsi"/>
          <w:i/>
        </w:rPr>
        <w:t xml:space="preserve">The Australian, </w:t>
      </w:r>
      <w:r w:rsidRPr="00601877">
        <w:rPr>
          <w:rFonts w:cstheme="minorHAnsi"/>
        </w:rPr>
        <w:t>24 December 2022</w:t>
      </w:r>
      <w:r w:rsidR="00EE4A2B">
        <w:rPr>
          <w:rFonts w:cstheme="minorHAnsi"/>
        </w:rPr>
        <w:t xml:space="preserve">, </w:t>
      </w:r>
      <w:hyperlink r:id="rId58" w:history="1">
        <w:r w:rsidR="00A252C5" w:rsidRPr="00A252C5">
          <w:rPr>
            <w:rStyle w:val="Hyperlink"/>
            <w:rFonts w:cstheme="minorHAnsi"/>
          </w:rPr>
          <w:t>www.theaustralian.com.au/inquirer/the-great-skills-shift-everyones-an-expert-now/news-story‌/‌8ffef7‌3‌878c4f308dde2457837e6c5de</w:t>
        </w:r>
      </w:hyperlink>
      <w:r w:rsidR="00B14FFF">
        <w:rPr>
          <w:rFonts w:cstheme="minorHAnsi"/>
        </w:rPr>
        <w:t>.</w:t>
      </w:r>
    </w:p>
  </w:footnote>
  <w:footnote w:id="103">
    <w:p w14:paraId="1485D9C1" w14:textId="582F7799" w:rsidR="005B3445" w:rsidRPr="00601877" w:rsidRDefault="005B3445" w:rsidP="005B3445">
      <w:pPr>
        <w:pStyle w:val="FootnoteText"/>
        <w:rPr>
          <w:rFonts w:cstheme="minorHAnsi"/>
        </w:rPr>
      </w:pPr>
      <w:r w:rsidRPr="00601877">
        <w:rPr>
          <w:rStyle w:val="FootnoteReference"/>
          <w:rFonts w:cstheme="minorHAnsi"/>
        </w:rPr>
        <w:footnoteRef/>
      </w:r>
      <w:r w:rsidRPr="00601877">
        <w:rPr>
          <w:rFonts w:cstheme="minorHAnsi"/>
        </w:rPr>
        <w:t xml:space="preserve"> </w:t>
      </w:r>
      <w:r w:rsidR="004101B0">
        <w:rPr>
          <w:rStyle w:val="normaltextrun"/>
          <w:rFonts w:ascii="Calibri" w:hAnsi="Calibri" w:cs="Calibri"/>
          <w:color w:val="000000"/>
          <w:shd w:val="clear" w:color="auto" w:fill="FFFFFF"/>
        </w:rPr>
        <w:t xml:space="preserve">JSA, </w:t>
      </w:r>
      <w:r w:rsidR="004101B0">
        <w:rPr>
          <w:rStyle w:val="normaltextrun"/>
          <w:rFonts w:ascii="Calibri" w:hAnsi="Calibri" w:cs="Calibri"/>
          <w:i/>
          <w:iCs/>
          <w:color w:val="000000"/>
          <w:shd w:val="clear" w:color="auto" w:fill="FFFFFF"/>
        </w:rPr>
        <w:t xml:space="preserve">Annual </w:t>
      </w:r>
      <w:r w:rsidR="004101B0">
        <w:rPr>
          <w:rStyle w:val="findhit"/>
          <w:rFonts w:ascii="Calibri" w:hAnsi="Calibri" w:cs="Calibri"/>
          <w:i/>
          <w:iCs/>
          <w:color w:val="000000"/>
          <w:shd w:val="clear" w:color="auto" w:fill="FFFFFF"/>
        </w:rPr>
        <w:t xml:space="preserve">Jobs and </w:t>
      </w:r>
      <w:r w:rsidR="004101B0">
        <w:rPr>
          <w:rStyle w:val="normaltextrun"/>
          <w:rFonts w:ascii="Calibri" w:hAnsi="Calibri" w:cs="Calibri"/>
          <w:i/>
          <w:iCs/>
          <w:color w:val="000000"/>
          <w:shd w:val="clear" w:color="auto" w:fill="FFFFFF"/>
        </w:rPr>
        <w:t>Skills Report 2023,</w:t>
      </w:r>
      <w:r w:rsidR="004101B0">
        <w:rPr>
          <w:rStyle w:val="normaltextrun"/>
          <w:rFonts w:ascii="Calibri" w:hAnsi="Calibri" w:cs="Calibri"/>
          <w:color w:val="000000"/>
          <w:shd w:val="clear" w:color="auto" w:fill="FFFFFF"/>
        </w:rPr>
        <w:t xml:space="preserve"> 18.</w:t>
      </w:r>
    </w:p>
  </w:footnote>
  <w:footnote w:id="104">
    <w:p w14:paraId="6DFF7603" w14:textId="3FF8CE59" w:rsidR="005B3445" w:rsidRPr="005A441B" w:rsidRDefault="005B3445" w:rsidP="005B3445">
      <w:pPr>
        <w:pStyle w:val="FootnoteText"/>
        <w:rPr>
          <w:rFonts w:cstheme="minorHAnsi"/>
          <w:iCs/>
        </w:rPr>
      </w:pPr>
      <w:r w:rsidRPr="00601877">
        <w:rPr>
          <w:rStyle w:val="FootnoteReference"/>
          <w:rFonts w:cstheme="minorHAnsi"/>
        </w:rPr>
        <w:footnoteRef/>
      </w:r>
      <w:r w:rsidRPr="00601877">
        <w:rPr>
          <w:rFonts w:cstheme="minorHAnsi"/>
        </w:rPr>
        <w:t xml:space="preserve"> Oxford Economics Australia, </w:t>
      </w:r>
      <w:r w:rsidRPr="00601877">
        <w:rPr>
          <w:rFonts w:cstheme="minorHAnsi"/>
          <w:i/>
        </w:rPr>
        <w:t>Tertiary Education Qualification Demand</w:t>
      </w:r>
      <w:r w:rsidR="002C6098">
        <w:rPr>
          <w:rFonts w:cstheme="minorHAnsi"/>
          <w:iCs/>
        </w:rPr>
        <w:t xml:space="preserve"> [unpublished report],</w:t>
      </w:r>
      <w:r w:rsidRPr="00601877">
        <w:rPr>
          <w:rFonts w:cstheme="minorHAnsi"/>
          <w:i/>
        </w:rPr>
        <w:t xml:space="preserve"> </w:t>
      </w:r>
      <w:r w:rsidR="005A441B">
        <w:rPr>
          <w:rFonts w:cstheme="minorHAnsi"/>
          <w:iCs/>
        </w:rPr>
        <w:t>(Sydney</w:t>
      </w:r>
      <w:r w:rsidR="007D12B5">
        <w:rPr>
          <w:rFonts w:cstheme="minorHAnsi"/>
          <w:iCs/>
        </w:rPr>
        <w:t>: Department of Education,</w:t>
      </w:r>
      <w:r w:rsidR="005A441B">
        <w:rPr>
          <w:rFonts w:cstheme="minorHAnsi"/>
          <w:iCs/>
        </w:rPr>
        <w:t xml:space="preserve"> </w:t>
      </w:r>
      <w:r w:rsidR="007D12B5">
        <w:rPr>
          <w:rFonts w:cstheme="minorHAnsi"/>
          <w:iCs/>
        </w:rPr>
        <w:t>November</w:t>
      </w:r>
      <w:r w:rsidR="005A441B">
        <w:rPr>
          <w:rFonts w:cstheme="minorHAnsi"/>
          <w:iCs/>
        </w:rPr>
        <w:t xml:space="preserve"> 2023).</w:t>
      </w:r>
    </w:p>
  </w:footnote>
  <w:footnote w:id="105">
    <w:p w14:paraId="240725AD" w14:textId="471115C2" w:rsidR="00F15DF6" w:rsidRDefault="00F15DF6">
      <w:pPr>
        <w:pStyle w:val="FootnoteText"/>
      </w:pPr>
      <w:r>
        <w:rPr>
          <w:rStyle w:val="FootnoteReference"/>
        </w:rPr>
        <w:footnoteRef/>
      </w:r>
      <w:r>
        <w:t xml:space="preserve"> </w:t>
      </w:r>
      <w:r w:rsidRPr="2A1595CA">
        <w:rPr>
          <w:rFonts w:ascii="Calibri" w:eastAsia="Calibri" w:hAnsi="Calibri" w:cs="Calibri"/>
        </w:rPr>
        <w:t xml:space="preserve">Department of Education, </w:t>
      </w:r>
      <w:r w:rsidRPr="2A1595CA">
        <w:rPr>
          <w:rFonts w:ascii="Calibri" w:eastAsia="Calibri" w:hAnsi="Calibri" w:cs="Calibri"/>
          <w:i/>
          <w:iCs/>
        </w:rPr>
        <w:t xml:space="preserve">Higher Education Statistics – Student Data </w:t>
      </w:r>
      <w:r w:rsidRPr="2A1595CA">
        <w:rPr>
          <w:rFonts w:ascii="Calibri" w:eastAsia="Calibri" w:hAnsi="Calibri" w:cs="Calibri"/>
        </w:rPr>
        <w:t>[unpublished data], (Canberra: 202</w:t>
      </w:r>
      <w:r w:rsidR="007D12B5">
        <w:rPr>
          <w:rFonts w:ascii="Calibri" w:eastAsia="Calibri" w:hAnsi="Calibri" w:cs="Calibri"/>
        </w:rPr>
        <w:t>3</w:t>
      </w:r>
      <w:r w:rsidRPr="2A1595CA">
        <w:rPr>
          <w:rFonts w:ascii="Calibri" w:eastAsia="Calibri" w:hAnsi="Calibri" w:cs="Calibri"/>
        </w:rPr>
        <w:t>)</w:t>
      </w:r>
      <w:r w:rsidR="00E25FDD">
        <w:rPr>
          <w:rFonts w:ascii="Calibri" w:eastAsia="Calibri" w:hAnsi="Calibri" w:cs="Calibri"/>
        </w:rPr>
        <w:t>.</w:t>
      </w:r>
    </w:p>
  </w:footnote>
  <w:footnote w:id="106">
    <w:p w14:paraId="3D609DB5" w14:textId="55040C70" w:rsidR="00FC4980" w:rsidRDefault="00FC4980">
      <w:pPr>
        <w:pStyle w:val="FootnoteText"/>
      </w:pPr>
      <w:r>
        <w:rPr>
          <w:rStyle w:val="FootnoteReference"/>
        </w:rPr>
        <w:footnoteRef/>
      </w:r>
      <w:r>
        <w:t xml:space="preserve"> </w:t>
      </w:r>
      <w:r w:rsidR="00122E6A">
        <w:rPr>
          <w:rFonts w:cstheme="minorHAnsi"/>
        </w:rPr>
        <w:t>JSA</w:t>
      </w:r>
      <w:r w:rsidRPr="00601877">
        <w:rPr>
          <w:rFonts w:cstheme="minorHAnsi"/>
        </w:rPr>
        <w:t xml:space="preserve">, </w:t>
      </w:r>
      <w:r w:rsidRPr="009F2A50">
        <w:rPr>
          <w:rFonts w:cstheme="minorHAnsi"/>
          <w:i/>
        </w:rPr>
        <w:t>Annual Jobs and Skills Report</w:t>
      </w:r>
      <w:r w:rsidR="00122E6A">
        <w:rPr>
          <w:rFonts w:cstheme="minorHAnsi"/>
          <w:i/>
        </w:rPr>
        <w:t xml:space="preserve"> 2023</w:t>
      </w:r>
      <w:r w:rsidRPr="00601877">
        <w:rPr>
          <w:rFonts w:cstheme="minorHAnsi"/>
        </w:rPr>
        <w:t>,</w:t>
      </w:r>
      <w:r w:rsidR="00122E6A">
        <w:rPr>
          <w:rFonts w:cstheme="minorHAnsi"/>
        </w:rPr>
        <w:t xml:space="preserve"> 48</w:t>
      </w:r>
      <w:r>
        <w:rPr>
          <w:rFonts w:cstheme="minorHAnsi"/>
        </w:rPr>
        <w:t>.</w:t>
      </w:r>
    </w:p>
  </w:footnote>
  <w:footnote w:id="107">
    <w:p w14:paraId="7C5F3411" w14:textId="20DAD6B2" w:rsidR="005B3445" w:rsidRPr="00601877" w:rsidRDefault="005B3445" w:rsidP="005B3445">
      <w:pPr>
        <w:pStyle w:val="FootnoteText"/>
        <w:rPr>
          <w:rFonts w:cstheme="minorHAnsi"/>
        </w:rPr>
      </w:pPr>
      <w:r w:rsidRPr="00601877">
        <w:rPr>
          <w:rStyle w:val="FootnoteReference"/>
          <w:rFonts w:cstheme="minorHAnsi"/>
        </w:rPr>
        <w:footnoteRef/>
      </w:r>
      <w:r w:rsidRPr="00601877">
        <w:rPr>
          <w:rFonts w:cstheme="minorHAnsi"/>
        </w:rPr>
        <w:t xml:space="preserve"> </w:t>
      </w:r>
      <w:r w:rsidR="00122E6A">
        <w:rPr>
          <w:rFonts w:cstheme="minorHAnsi"/>
        </w:rPr>
        <w:t>JSA</w:t>
      </w:r>
      <w:r w:rsidR="00122E6A" w:rsidRPr="00601877">
        <w:rPr>
          <w:rFonts w:cstheme="minorHAnsi"/>
        </w:rPr>
        <w:t xml:space="preserve">, </w:t>
      </w:r>
      <w:r w:rsidR="00122E6A" w:rsidRPr="009F2A50">
        <w:rPr>
          <w:rFonts w:cstheme="minorHAnsi"/>
          <w:i/>
        </w:rPr>
        <w:t>Annual Jobs and Skills Report</w:t>
      </w:r>
      <w:r w:rsidR="00122E6A">
        <w:rPr>
          <w:rFonts w:cstheme="minorHAnsi"/>
          <w:i/>
        </w:rPr>
        <w:t xml:space="preserve"> 2023</w:t>
      </w:r>
      <w:r w:rsidR="00122E6A" w:rsidRPr="00601877">
        <w:rPr>
          <w:rFonts w:cstheme="minorHAnsi"/>
        </w:rPr>
        <w:t>,</w:t>
      </w:r>
      <w:r w:rsidR="00122E6A">
        <w:rPr>
          <w:rFonts w:cstheme="minorHAnsi"/>
        </w:rPr>
        <w:t xml:space="preserve"> 67.</w:t>
      </w:r>
    </w:p>
  </w:footnote>
  <w:footnote w:id="108">
    <w:p w14:paraId="6B5D6E6D" w14:textId="3A84D2DF" w:rsidR="005B3445" w:rsidRPr="00601877" w:rsidRDefault="005B3445" w:rsidP="336892B9">
      <w:pPr>
        <w:pStyle w:val="FootnoteText"/>
      </w:pPr>
      <w:r w:rsidRPr="336892B9">
        <w:rPr>
          <w:vertAlign w:val="superscript"/>
        </w:rPr>
        <w:footnoteRef/>
      </w:r>
      <w:r w:rsidRPr="336892B9" w:rsidDel="336892B9">
        <w:t xml:space="preserve"> </w:t>
      </w:r>
      <w:r w:rsidR="336892B9" w:rsidRPr="336892B9">
        <w:t xml:space="preserve">Oxford Economics Australia, </w:t>
      </w:r>
      <w:r w:rsidR="336892B9" w:rsidRPr="3CDF8225">
        <w:rPr>
          <w:i/>
        </w:rPr>
        <w:t xml:space="preserve">Tertiary Education Qualification Demand: Preliminary Report </w:t>
      </w:r>
      <w:r w:rsidR="336892B9" w:rsidRPr="336892B9">
        <w:t>[unpublished report]</w:t>
      </w:r>
      <w:r w:rsidR="007D12B5">
        <w:t>.</w:t>
      </w:r>
    </w:p>
    <w:p w14:paraId="7A624E58" w14:textId="77777777" w:rsidR="005B3445" w:rsidRPr="00601877" w:rsidRDefault="005B3445" w:rsidP="005B3445">
      <w:pPr>
        <w:pStyle w:val="FootnoteText"/>
        <w:rPr>
          <w:rFonts w:eastAsia="Calibri" w:cstheme="minorHAnsi"/>
          <w:color w:val="000000" w:themeColor="text1"/>
        </w:rPr>
      </w:pPr>
    </w:p>
  </w:footnote>
  <w:footnote w:id="109">
    <w:p w14:paraId="286484D3" w14:textId="34EB5DD0" w:rsidR="005B3445" w:rsidRPr="00601877" w:rsidRDefault="005B3445" w:rsidP="005B3445">
      <w:pPr>
        <w:pStyle w:val="FootnoteText"/>
        <w:rPr>
          <w:rFonts w:cstheme="minorHAnsi"/>
        </w:rPr>
      </w:pPr>
      <w:r w:rsidRPr="00601877">
        <w:rPr>
          <w:rStyle w:val="FootnoteReference"/>
          <w:rFonts w:cstheme="minorHAnsi"/>
        </w:rPr>
        <w:footnoteRef/>
      </w:r>
      <w:r w:rsidRPr="00601877">
        <w:rPr>
          <w:rFonts w:cstheme="minorHAnsi"/>
        </w:rPr>
        <w:t xml:space="preserve"> </w:t>
      </w:r>
      <w:r w:rsidR="00E62B93">
        <w:rPr>
          <w:rFonts w:cstheme="minorHAnsi"/>
        </w:rPr>
        <w:t>Australian Bureau of Statistics</w:t>
      </w:r>
      <w:r w:rsidR="0094155C">
        <w:rPr>
          <w:rFonts w:cstheme="minorHAnsi"/>
        </w:rPr>
        <w:t xml:space="preserve">, </w:t>
      </w:r>
      <w:r w:rsidR="00971E47">
        <w:rPr>
          <w:rFonts w:cstheme="minorHAnsi"/>
          <w:i/>
          <w:iCs/>
        </w:rPr>
        <w:t>Education and Work, Australia</w:t>
      </w:r>
      <w:r w:rsidR="00E62B93">
        <w:rPr>
          <w:rFonts w:cstheme="minorHAnsi"/>
        </w:rPr>
        <w:t xml:space="preserve"> </w:t>
      </w:r>
      <w:r w:rsidR="00971E47" w:rsidRPr="00791342">
        <w:rPr>
          <w:rFonts w:cstheme="minorHAnsi"/>
          <w:i/>
        </w:rPr>
        <w:t>May 2023</w:t>
      </w:r>
      <w:r w:rsidR="00E62B93">
        <w:rPr>
          <w:rFonts w:cstheme="minorHAnsi"/>
        </w:rPr>
        <w:t xml:space="preserve"> [data set]</w:t>
      </w:r>
      <w:r w:rsidR="00971E47">
        <w:rPr>
          <w:rFonts w:cstheme="minorHAnsi"/>
        </w:rPr>
        <w:t xml:space="preserve">, </w:t>
      </w:r>
      <w:r w:rsidR="00EF7F95">
        <w:rPr>
          <w:rFonts w:cstheme="minorHAnsi"/>
        </w:rPr>
        <w:t>(Canberra) accessed 8 December</w:t>
      </w:r>
      <w:r w:rsidR="00971E47">
        <w:rPr>
          <w:rFonts w:cstheme="minorHAnsi"/>
        </w:rPr>
        <w:t xml:space="preserve"> 2023, </w:t>
      </w:r>
      <w:hyperlink r:id="rId59" w:history="1">
        <w:r w:rsidR="0072651F" w:rsidRPr="008C7E3D">
          <w:rPr>
            <w:rStyle w:val="Hyperlink"/>
            <w:rFonts w:cstheme="minorHAnsi"/>
          </w:rPr>
          <w:t>www.abs.gov.au/statistics/people/education/education-and-work-australia/may-2023</w:t>
        </w:r>
      </w:hyperlink>
      <w:r w:rsidR="0072651F">
        <w:rPr>
          <w:rFonts w:cstheme="minorHAnsi"/>
        </w:rPr>
        <w:t xml:space="preserve">. </w:t>
      </w:r>
    </w:p>
  </w:footnote>
  <w:footnote w:id="110">
    <w:p w14:paraId="755F80BA" w14:textId="370E315F" w:rsidR="00C92558" w:rsidRDefault="00C92558" w:rsidP="00C92558">
      <w:pPr>
        <w:pStyle w:val="FootnoteText"/>
      </w:pPr>
      <w:r>
        <w:rPr>
          <w:rStyle w:val="FootnoteReference"/>
        </w:rPr>
        <w:footnoteRef/>
      </w:r>
      <w:r>
        <w:t xml:space="preserve"> This estimate assumes that additional higher education and tertiary completions come from those who would otherwise have Year 12 </w:t>
      </w:r>
      <w:r w:rsidR="005131B7">
        <w:t>or below</w:t>
      </w:r>
      <w:r w:rsidR="00BA70E4">
        <w:t xml:space="preserve"> </w:t>
      </w:r>
      <w:r>
        <w:t>as their highest level of education.</w:t>
      </w:r>
    </w:p>
  </w:footnote>
  <w:footnote w:id="111">
    <w:p w14:paraId="57F776EB" w14:textId="109C4EC9" w:rsidR="00F738E1" w:rsidRDefault="00F738E1">
      <w:pPr>
        <w:pStyle w:val="FootnoteText"/>
      </w:pPr>
      <w:r>
        <w:rPr>
          <w:rStyle w:val="FootnoteReference"/>
        </w:rPr>
        <w:footnoteRef/>
      </w:r>
      <w:r>
        <w:t xml:space="preserve"> </w:t>
      </w:r>
      <w:r w:rsidR="00340EC6" w:rsidRPr="00EE5E31">
        <w:t xml:space="preserve">Department of Education, </w:t>
      </w:r>
      <w:r w:rsidR="00340EC6" w:rsidRPr="000A4BE0">
        <w:rPr>
          <w:i/>
        </w:rPr>
        <w:t>Higher Education Statistics</w:t>
      </w:r>
      <w:r w:rsidR="00340EC6">
        <w:rPr>
          <w:i/>
        </w:rPr>
        <w:t xml:space="preserve"> – Student Data – </w:t>
      </w:r>
      <w:r w:rsidR="00340EC6" w:rsidRPr="000A4BE0">
        <w:rPr>
          <w:i/>
        </w:rPr>
        <w:t>202</w:t>
      </w:r>
      <w:r w:rsidR="00340EC6">
        <w:rPr>
          <w:i/>
        </w:rPr>
        <w:t>2</w:t>
      </w:r>
      <w:r w:rsidR="00340EC6" w:rsidRPr="000A4BE0">
        <w:rPr>
          <w:i/>
        </w:rPr>
        <w:t xml:space="preserve"> Section 11 Equity groups</w:t>
      </w:r>
      <w:r w:rsidR="00340EC6">
        <w:rPr>
          <w:iCs/>
        </w:rPr>
        <w:t xml:space="preserve"> [data set]</w:t>
      </w:r>
      <w:r w:rsidR="005726C5">
        <w:t>.</w:t>
      </w:r>
    </w:p>
  </w:footnote>
  <w:footnote w:id="112">
    <w:p w14:paraId="6D7FB45D" w14:textId="447ACEEE" w:rsidR="00A67256" w:rsidRDefault="00A67256">
      <w:pPr>
        <w:pStyle w:val="FootnoteText"/>
      </w:pPr>
      <w:r>
        <w:rPr>
          <w:rStyle w:val="FootnoteReference"/>
        </w:rPr>
        <w:footnoteRef/>
      </w:r>
      <w:r>
        <w:t xml:space="preserve"> </w:t>
      </w:r>
      <w:r w:rsidR="00657B26" w:rsidRPr="00601877">
        <w:rPr>
          <w:rFonts w:cstheme="minorHAnsi"/>
        </w:rPr>
        <w:t>Jenny Dean, Natalie Downes and Philip Roberts</w:t>
      </w:r>
      <w:r w:rsidR="00657B26" w:rsidRPr="009B21EC">
        <w:rPr>
          <w:rStyle w:val="Hyperlink"/>
          <w:rFonts w:cstheme="minorHAnsi"/>
          <w:color w:val="auto"/>
          <w:u w:val="none"/>
        </w:rPr>
        <w:t xml:space="preserve">, “Access to and equity in the curriculum in the Australian government secondary school system,” </w:t>
      </w:r>
      <w:r w:rsidR="00657B26" w:rsidRPr="009B21EC">
        <w:rPr>
          <w:rFonts w:cstheme="minorHAnsi"/>
          <w:i/>
        </w:rPr>
        <w:t>SN Social Sciences,</w:t>
      </w:r>
      <w:r w:rsidR="00657B26" w:rsidRPr="009B21EC">
        <w:rPr>
          <w:rFonts w:cstheme="minorHAnsi"/>
        </w:rPr>
        <w:t xml:space="preserve"> 3, 64 (2023), </w:t>
      </w:r>
      <w:r w:rsidR="00865BBE" w:rsidRPr="009B21EC">
        <w:rPr>
          <w:rFonts w:cstheme="minorHAnsi"/>
        </w:rPr>
        <w:t>5</w:t>
      </w:r>
      <w:r w:rsidR="009B21EC" w:rsidRPr="009B21EC">
        <w:rPr>
          <w:rFonts w:cstheme="minorHAnsi"/>
        </w:rPr>
        <w:t>–</w:t>
      </w:r>
      <w:r w:rsidR="00865BBE" w:rsidRPr="009B21EC">
        <w:rPr>
          <w:rFonts w:cstheme="minorHAnsi"/>
        </w:rPr>
        <w:t>6</w:t>
      </w:r>
      <w:r w:rsidR="00657B26" w:rsidRPr="009B21EC">
        <w:rPr>
          <w:rFonts w:cstheme="minorHAnsi"/>
        </w:rPr>
        <w:t>, doi.org/10.1007/s43545-023-00641-7.</w:t>
      </w:r>
    </w:p>
  </w:footnote>
  <w:footnote w:id="113">
    <w:p w14:paraId="33485A0F" w14:textId="5150C8FC" w:rsidR="005B3445" w:rsidRPr="00601877" w:rsidRDefault="005B3445" w:rsidP="005B3445">
      <w:pPr>
        <w:pStyle w:val="FootnoteText"/>
        <w:rPr>
          <w:rFonts w:cstheme="minorHAnsi"/>
        </w:rPr>
      </w:pPr>
      <w:r w:rsidRPr="00601877">
        <w:rPr>
          <w:rStyle w:val="FootnoteReference"/>
          <w:rFonts w:cstheme="minorHAnsi"/>
        </w:rPr>
        <w:footnoteRef/>
      </w:r>
      <w:r w:rsidRPr="00601877">
        <w:rPr>
          <w:rFonts w:cstheme="minorHAnsi"/>
        </w:rPr>
        <w:t xml:space="preserve"> Department of the Treasury</w:t>
      </w:r>
      <w:r w:rsidR="00DD1825">
        <w:rPr>
          <w:rFonts w:cstheme="minorHAnsi"/>
        </w:rPr>
        <w:t xml:space="preserve">, </w:t>
      </w:r>
      <w:r w:rsidRPr="009B21EC">
        <w:rPr>
          <w:rFonts w:cstheme="minorHAnsi"/>
          <w:i/>
        </w:rPr>
        <w:t>W</w:t>
      </w:r>
      <w:r w:rsidRPr="009F2A50">
        <w:rPr>
          <w:rFonts w:cstheme="minorHAnsi"/>
          <w:i/>
        </w:rPr>
        <w:t>orking Future: The Australian Government’s White Paper on Jobs and Opportunities</w:t>
      </w:r>
      <w:r w:rsidRPr="00601877">
        <w:rPr>
          <w:rFonts w:cstheme="minorHAnsi"/>
        </w:rPr>
        <w:t xml:space="preserve">, </w:t>
      </w:r>
      <w:r w:rsidR="00533414">
        <w:rPr>
          <w:rFonts w:cstheme="minorHAnsi"/>
        </w:rPr>
        <w:t>(</w:t>
      </w:r>
      <w:r w:rsidR="00DD1825">
        <w:rPr>
          <w:rFonts w:cstheme="minorHAnsi"/>
        </w:rPr>
        <w:t>Canberra</w:t>
      </w:r>
      <w:r w:rsidR="00533414">
        <w:rPr>
          <w:rFonts w:cstheme="minorHAnsi"/>
        </w:rPr>
        <w:t>:</w:t>
      </w:r>
      <w:r w:rsidR="00DD1825">
        <w:rPr>
          <w:rFonts w:cstheme="minorHAnsi"/>
        </w:rPr>
        <w:t xml:space="preserve"> 2023</w:t>
      </w:r>
      <w:r w:rsidR="00533414">
        <w:rPr>
          <w:rFonts w:cstheme="minorHAnsi"/>
        </w:rPr>
        <w:t>)</w:t>
      </w:r>
      <w:r w:rsidR="00DD1825">
        <w:rPr>
          <w:rFonts w:cstheme="minorHAnsi"/>
        </w:rPr>
        <w:t>,</w:t>
      </w:r>
      <w:r w:rsidRPr="00601877">
        <w:rPr>
          <w:rFonts w:cstheme="minorHAnsi"/>
        </w:rPr>
        <w:t xml:space="preserve"> </w:t>
      </w:r>
      <w:r w:rsidR="000E452D">
        <w:rPr>
          <w:rFonts w:cstheme="minorHAnsi"/>
        </w:rPr>
        <w:t xml:space="preserve">97, </w:t>
      </w:r>
      <w:hyperlink r:id="rId60" w:history="1">
        <w:r w:rsidR="007E1095" w:rsidRPr="007E1095">
          <w:rPr>
            <w:rStyle w:val="Hyperlink"/>
            <w:rFonts w:cstheme="minorHAnsi"/>
          </w:rPr>
          <w:t>treasury.gov.au/employment-whitepaper/final-report</w:t>
        </w:r>
      </w:hyperlink>
      <w:r w:rsidR="00DF6C66">
        <w:rPr>
          <w:rFonts w:cstheme="minorHAnsi"/>
        </w:rPr>
        <w:t xml:space="preserve">; </w:t>
      </w:r>
      <w:r w:rsidR="00DF6C66" w:rsidRPr="00601877">
        <w:rPr>
          <w:rFonts w:cstheme="minorHAnsi"/>
        </w:rPr>
        <w:t xml:space="preserve">Department of Home Affairs, </w:t>
      </w:r>
      <w:r w:rsidR="00DF6C66" w:rsidRPr="009F2A50">
        <w:rPr>
          <w:rFonts w:cstheme="minorHAnsi"/>
          <w:i/>
        </w:rPr>
        <w:t>Review of the Migration System</w:t>
      </w:r>
      <w:r w:rsidR="00DF6C66" w:rsidRPr="00601877">
        <w:rPr>
          <w:rFonts w:cstheme="minorHAnsi"/>
        </w:rPr>
        <w:t xml:space="preserve">, </w:t>
      </w:r>
      <w:r w:rsidR="00DF6C66">
        <w:rPr>
          <w:rFonts w:cstheme="minorHAnsi"/>
        </w:rPr>
        <w:t>(Canberra: 2023)</w:t>
      </w:r>
      <w:r w:rsidR="00BB6238">
        <w:rPr>
          <w:rFonts w:cstheme="minorHAnsi"/>
        </w:rPr>
        <w:t>, 51</w:t>
      </w:r>
      <w:r w:rsidR="00DF6C66">
        <w:rPr>
          <w:rFonts w:cstheme="minorHAnsi"/>
        </w:rPr>
        <w:t xml:space="preserve">, </w:t>
      </w:r>
      <w:hyperlink r:id="rId61" w:history="1">
        <w:r w:rsidR="00DF6C66" w:rsidRPr="00DB4EE1">
          <w:rPr>
            <w:rStyle w:val="Hyperlink"/>
            <w:rFonts w:cstheme="minorHAnsi"/>
          </w:rPr>
          <w:t>www.homeaffairs.gov.au/reports-and-publications/reviews-and-inquiries/departmental-reviews/migration-system-for-australias-future</w:t>
        </w:r>
      </w:hyperlink>
      <w:r w:rsidR="00DF6C66">
        <w:rPr>
          <w:rFonts w:cstheme="minorHAnsi"/>
        </w:rPr>
        <w:t>.</w:t>
      </w:r>
    </w:p>
  </w:footnote>
  <w:footnote w:id="114">
    <w:p w14:paraId="022300B4" w14:textId="233B5DAA" w:rsidR="005B3445" w:rsidRPr="00601877" w:rsidRDefault="005B3445" w:rsidP="005B3445">
      <w:pPr>
        <w:pStyle w:val="FootnoteText"/>
        <w:rPr>
          <w:rFonts w:cstheme="minorHAnsi"/>
        </w:rPr>
      </w:pPr>
      <w:r w:rsidRPr="00601877">
        <w:rPr>
          <w:rStyle w:val="FootnoteReference"/>
          <w:rFonts w:cstheme="minorHAnsi"/>
        </w:rPr>
        <w:footnoteRef/>
      </w:r>
      <w:r w:rsidRPr="00601877">
        <w:rPr>
          <w:rFonts w:cstheme="minorHAnsi"/>
        </w:rPr>
        <w:t xml:space="preserve"> </w:t>
      </w:r>
      <w:r w:rsidR="00CA55AB" w:rsidRPr="00CA55AB">
        <w:rPr>
          <w:rFonts w:cstheme="minorHAnsi"/>
        </w:rPr>
        <w:t xml:space="preserve">Department of Home Affairs, </w:t>
      </w:r>
      <w:r w:rsidR="00CA55AB" w:rsidRPr="008C4411">
        <w:rPr>
          <w:rFonts w:cstheme="minorHAnsi"/>
          <w:i/>
          <w:iCs/>
        </w:rPr>
        <w:t>The Migration Strategy</w:t>
      </w:r>
      <w:r w:rsidR="00CA55AB" w:rsidRPr="00CA55AB">
        <w:rPr>
          <w:rFonts w:cstheme="minorHAnsi"/>
        </w:rPr>
        <w:t xml:space="preserve">, (Canberra: 2023), accessed 11 November 2023,  </w:t>
      </w:r>
      <w:hyperlink r:id="rId62" w:history="1">
        <w:r w:rsidR="00915749" w:rsidRPr="00811871">
          <w:rPr>
            <w:rStyle w:val="Hyperlink"/>
            <w:rFonts w:cstheme="minorHAnsi"/>
          </w:rPr>
          <w:t>immi.homeaffairs.gov.au/programs-subsite/migration-strategy/Documents/migration-strategy.pdf</w:t>
        </w:r>
      </w:hyperlink>
      <w:r w:rsidR="00915749">
        <w:rPr>
          <w:rFonts w:cstheme="minorHAnsi"/>
        </w:rPr>
        <w:t xml:space="preserve">. </w:t>
      </w:r>
    </w:p>
  </w:footnote>
  <w:footnote w:id="115">
    <w:p w14:paraId="624F7EAA" w14:textId="1E553494" w:rsidR="005B3445" w:rsidRPr="00601877" w:rsidRDefault="005B3445" w:rsidP="005B3445">
      <w:pPr>
        <w:pStyle w:val="FootnoteText"/>
        <w:rPr>
          <w:rFonts w:cstheme="minorHAnsi"/>
        </w:rPr>
      </w:pPr>
      <w:r w:rsidRPr="00601877">
        <w:rPr>
          <w:rStyle w:val="FootnoteReference"/>
          <w:rFonts w:cstheme="minorHAnsi"/>
        </w:rPr>
        <w:footnoteRef/>
      </w:r>
      <w:r w:rsidRPr="00601877">
        <w:rPr>
          <w:rFonts w:cstheme="minorHAnsi"/>
        </w:rPr>
        <w:t xml:space="preserve"> </w:t>
      </w:r>
      <w:r w:rsidR="00556A3D">
        <w:rPr>
          <w:rStyle w:val="normaltextrun"/>
          <w:rFonts w:ascii="Calibri" w:hAnsi="Calibri" w:cs="Calibri"/>
          <w:color w:val="000000"/>
          <w:shd w:val="clear" w:color="auto" w:fill="FFFFFF"/>
        </w:rPr>
        <w:t>Department of the Treasury,</w:t>
      </w:r>
      <w:r w:rsidR="00A2504F">
        <w:rPr>
          <w:rStyle w:val="normaltextrun"/>
          <w:rFonts w:ascii="Calibri" w:hAnsi="Calibri" w:cs="Calibri"/>
          <w:color w:val="000000"/>
          <w:shd w:val="clear" w:color="auto" w:fill="FFFFFF"/>
        </w:rPr>
        <w:t> </w:t>
      </w:r>
      <w:r w:rsidR="00A2504F">
        <w:rPr>
          <w:rStyle w:val="normaltextrun"/>
          <w:rFonts w:ascii="Calibri" w:hAnsi="Calibri" w:cs="Calibri"/>
          <w:i/>
          <w:iCs/>
          <w:color w:val="000000"/>
          <w:shd w:val="clear" w:color="auto" w:fill="FFFFFF"/>
        </w:rPr>
        <w:t xml:space="preserve">White Paper on </w:t>
      </w:r>
      <w:proofErr w:type="gramStart"/>
      <w:r w:rsidR="00A2504F">
        <w:rPr>
          <w:rStyle w:val="normaltextrun"/>
          <w:rFonts w:ascii="Calibri" w:hAnsi="Calibri" w:cs="Calibri"/>
          <w:i/>
          <w:iCs/>
          <w:color w:val="000000"/>
          <w:shd w:val="clear" w:color="auto" w:fill="FFFFFF"/>
        </w:rPr>
        <w:t>Jobs</w:t>
      </w:r>
      <w:proofErr w:type="gramEnd"/>
      <w:r w:rsidR="00A2504F">
        <w:rPr>
          <w:rStyle w:val="normaltextrun"/>
          <w:rFonts w:ascii="Calibri" w:hAnsi="Calibri" w:cs="Calibri"/>
          <w:i/>
          <w:iCs/>
          <w:color w:val="000000"/>
          <w:shd w:val="clear" w:color="auto" w:fill="FFFFFF"/>
        </w:rPr>
        <w:t xml:space="preserve"> and Opportunities</w:t>
      </w:r>
      <w:r w:rsidR="00A2504F">
        <w:rPr>
          <w:rStyle w:val="normaltextrun"/>
          <w:rFonts w:ascii="Calibri" w:hAnsi="Calibri" w:cs="Calibri"/>
          <w:color w:val="000000"/>
          <w:shd w:val="clear" w:color="auto" w:fill="FFFFFF"/>
        </w:rPr>
        <w:t>, 91.</w:t>
      </w:r>
      <w:r w:rsidR="00A2504F">
        <w:rPr>
          <w:rStyle w:val="eop"/>
          <w:rFonts w:ascii="Calibri" w:hAnsi="Calibri" w:cs="Calibri"/>
          <w:color w:val="000000"/>
          <w:shd w:val="clear" w:color="auto" w:fill="FFFFFF"/>
        </w:rPr>
        <w:t> </w:t>
      </w:r>
    </w:p>
  </w:footnote>
  <w:footnote w:id="116">
    <w:p w14:paraId="1EBB2391" w14:textId="5A032566" w:rsidR="005B3445" w:rsidRPr="00601877" w:rsidRDefault="005B3445" w:rsidP="005B3445">
      <w:pPr>
        <w:pStyle w:val="FootnoteText"/>
        <w:rPr>
          <w:rFonts w:cstheme="minorHAnsi"/>
        </w:rPr>
      </w:pPr>
      <w:r w:rsidRPr="00601877">
        <w:rPr>
          <w:rStyle w:val="FootnoteReference"/>
          <w:rFonts w:cstheme="minorHAnsi"/>
        </w:rPr>
        <w:footnoteRef/>
      </w:r>
      <w:r w:rsidRPr="00601877">
        <w:rPr>
          <w:rFonts w:cstheme="minorHAnsi"/>
        </w:rPr>
        <w:t xml:space="preserve"> </w:t>
      </w:r>
      <w:r w:rsidR="00BE1E08" w:rsidRPr="00BE1E08">
        <w:rPr>
          <w:rFonts w:cstheme="minorHAnsi"/>
        </w:rPr>
        <w:t xml:space="preserve">JSA, </w:t>
      </w:r>
      <w:r w:rsidR="00BE1E08" w:rsidRPr="00BE1E08">
        <w:rPr>
          <w:rFonts w:cstheme="minorHAnsi"/>
          <w:i/>
          <w:iCs/>
        </w:rPr>
        <w:t xml:space="preserve">Skills Priority List: Key Findings Report, </w:t>
      </w:r>
      <w:r w:rsidR="00BE1E08">
        <w:rPr>
          <w:rFonts w:cstheme="minorHAnsi"/>
        </w:rPr>
        <w:t>8</w:t>
      </w:r>
      <w:r w:rsidR="00BE1E08" w:rsidRPr="00BE1E08">
        <w:rPr>
          <w:rFonts w:cstheme="minorHAnsi"/>
        </w:rPr>
        <w:t>. </w:t>
      </w:r>
    </w:p>
  </w:footnote>
  <w:footnote w:id="117">
    <w:p w14:paraId="0C50230F" w14:textId="76AB37F6" w:rsidR="005B3445" w:rsidRPr="00601877" w:rsidRDefault="005B3445" w:rsidP="005B3445">
      <w:pPr>
        <w:pStyle w:val="FootnoteText"/>
        <w:rPr>
          <w:rFonts w:cstheme="minorHAnsi"/>
        </w:rPr>
      </w:pPr>
      <w:r w:rsidRPr="00601877">
        <w:rPr>
          <w:rStyle w:val="FootnoteReference"/>
          <w:rFonts w:cstheme="minorHAnsi"/>
        </w:rPr>
        <w:footnoteRef/>
      </w:r>
      <w:r w:rsidRPr="00601877">
        <w:rPr>
          <w:rFonts w:cstheme="minorHAnsi"/>
        </w:rPr>
        <w:t xml:space="preserve"> </w:t>
      </w:r>
      <w:r w:rsidR="00E1304B">
        <w:rPr>
          <w:rFonts w:cstheme="minorHAnsi"/>
        </w:rPr>
        <w:t>JSA</w:t>
      </w:r>
      <w:r w:rsidR="00556A3D" w:rsidRPr="00556A3D">
        <w:rPr>
          <w:rFonts w:cstheme="minorHAnsi"/>
        </w:rPr>
        <w:t xml:space="preserve">, </w:t>
      </w:r>
      <w:r w:rsidR="00556A3D" w:rsidRPr="009F2A50">
        <w:rPr>
          <w:rFonts w:cstheme="minorHAnsi"/>
          <w:i/>
          <w:iCs/>
        </w:rPr>
        <w:t>Annual Jobs and Skills Report</w:t>
      </w:r>
      <w:r w:rsidR="00556A3D" w:rsidRPr="00556A3D">
        <w:rPr>
          <w:rFonts w:cstheme="minorHAnsi"/>
        </w:rPr>
        <w:t xml:space="preserve">, </w:t>
      </w:r>
      <w:r w:rsidR="005543E2">
        <w:rPr>
          <w:rFonts w:cstheme="minorHAnsi"/>
        </w:rPr>
        <w:t>13.</w:t>
      </w:r>
    </w:p>
  </w:footnote>
  <w:footnote w:id="118">
    <w:p w14:paraId="59584A0C" w14:textId="37850EBC" w:rsidR="00184B86" w:rsidRDefault="00184B86" w:rsidP="00184B86">
      <w:pPr>
        <w:pStyle w:val="FootnoteText"/>
      </w:pPr>
      <w:r>
        <w:rPr>
          <w:rStyle w:val="FootnoteReference"/>
        </w:rPr>
        <w:footnoteRef/>
      </w:r>
      <w:r>
        <w:t xml:space="preserve"> </w:t>
      </w:r>
      <w:r w:rsidR="00EC669C">
        <w:t>JSA</w:t>
      </w:r>
      <w:r>
        <w:t xml:space="preserve">, </w:t>
      </w:r>
      <w:r w:rsidRPr="009F2A50">
        <w:rPr>
          <w:i/>
          <w:iCs/>
        </w:rPr>
        <w:t>Employment Projections</w:t>
      </w:r>
      <w:r w:rsidR="00E36937">
        <w:rPr>
          <w:i/>
          <w:iCs/>
        </w:rPr>
        <w:t xml:space="preserve"> – May 2023 to May 2033 </w:t>
      </w:r>
      <w:r w:rsidR="00E36937">
        <w:t>[data set]</w:t>
      </w:r>
      <w:r w:rsidRPr="000861BD">
        <w:t xml:space="preserve">, </w:t>
      </w:r>
      <w:r w:rsidR="00E36937">
        <w:t>(</w:t>
      </w:r>
      <w:r w:rsidRPr="000861BD">
        <w:t>Canberra</w:t>
      </w:r>
      <w:r w:rsidR="00E36937">
        <w:t>:</w:t>
      </w:r>
      <w:r w:rsidRPr="000861BD">
        <w:t xml:space="preserve"> 2023</w:t>
      </w:r>
      <w:r w:rsidR="00E36937">
        <w:t xml:space="preserve">), accessed </w:t>
      </w:r>
      <w:r w:rsidR="00EC669C">
        <w:t>20 November</w:t>
      </w:r>
      <w:r w:rsidR="00E36937">
        <w:t xml:space="preserve"> 2023</w:t>
      </w:r>
      <w:r w:rsidR="00EC669C">
        <w:t>,</w:t>
      </w:r>
      <w:r w:rsidRPr="000861BD">
        <w:t xml:space="preserve"> </w:t>
      </w:r>
      <w:hyperlink r:id="rId63" w:history="1">
        <w:r w:rsidR="006C6A82" w:rsidRPr="00811871">
          <w:rPr>
            <w:rStyle w:val="Hyperlink"/>
          </w:rPr>
          <w:t>www.jobsandskills.gov.au/data/employment-projections</w:t>
        </w:r>
      </w:hyperlink>
      <w:r w:rsidR="006C6A82">
        <w:t xml:space="preserve">. </w:t>
      </w:r>
    </w:p>
  </w:footnote>
  <w:footnote w:id="119">
    <w:p w14:paraId="2B1D8FC5" w14:textId="791D3F82" w:rsidR="00184B86" w:rsidRDefault="00184B86" w:rsidP="00184B86">
      <w:pPr>
        <w:pStyle w:val="FootnoteText"/>
      </w:pPr>
      <w:r>
        <w:rPr>
          <w:rStyle w:val="FootnoteReference"/>
        </w:rPr>
        <w:footnoteRef/>
      </w:r>
      <w:r>
        <w:t xml:space="preserve"> </w:t>
      </w:r>
      <w:r w:rsidR="00EC669C">
        <w:t>JSA</w:t>
      </w:r>
      <w:r>
        <w:t>, “Skills Priority List</w:t>
      </w:r>
      <w:r w:rsidR="00EC669C">
        <w:t>.”</w:t>
      </w:r>
    </w:p>
  </w:footnote>
  <w:footnote w:id="120">
    <w:p w14:paraId="28213124" w14:textId="0693232F" w:rsidR="00184B86" w:rsidRDefault="00184B86" w:rsidP="00184B86">
      <w:pPr>
        <w:pStyle w:val="FootnoteText"/>
      </w:pPr>
      <w:r>
        <w:rPr>
          <w:rStyle w:val="FootnoteReference"/>
        </w:rPr>
        <w:footnoteRef/>
      </w:r>
      <w:r>
        <w:t xml:space="preserve"> Australian Veterinary Association, </w:t>
      </w:r>
      <w:r w:rsidRPr="00267E8C">
        <w:rPr>
          <w:i/>
        </w:rPr>
        <w:t>AVA Federal Government Pre-Budget Submission (May 2023 Budget</w:t>
      </w:r>
      <w:r w:rsidRPr="00267E8C">
        <w:rPr>
          <w:i/>
          <w:iCs/>
        </w:rPr>
        <w:t>)</w:t>
      </w:r>
      <w:r>
        <w:t xml:space="preserve">, </w:t>
      </w:r>
      <w:r w:rsidR="00D271D3">
        <w:t xml:space="preserve">(Canberra: </w:t>
      </w:r>
      <w:r>
        <w:t>February 2023</w:t>
      </w:r>
      <w:r w:rsidR="00D271D3">
        <w:t>)</w:t>
      </w:r>
      <w:r>
        <w:t xml:space="preserve">, </w:t>
      </w:r>
      <w:hyperlink r:id="rId64" w:history="1">
        <w:r w:rsidRPr="008C7E3D">
          <w:rPr>
            <w:rStyle w:val="Hyperlink"/>
          </w:rPr>
          <w:t>www.ava.com.au/news/ava-federal-government-pre-budget--submission-may-2023-budget/</w:t>
        </w:r>
      </w:hyperlink>
      <w:r>
        <w:t>.</w:t>
      </w:r>
    </w:p>
  </w:footnote>
  <w:footnote w:id="121">
    <w:p w14:paraId="2F41405E" w14:textId="55B9703B" w:rsidR="00161C16" w:rsidRDefault="00161C16">
      <w:pPr>
        <w:pStyle w:val="FootnoteText"/>
      </w:pPr>
      <w:r>
        <w:rPr>
          <w:rStyle w:val="FootnoteReference"/>
        </w:rPr>
        <w:footnoteRef/>
      </w:r>
      <w:r>
        <w:t xml:space="preserve"> </w:t>
      </w:r>
      <w:r w:rsidR="00A66429" w:rsidRPr="008C4411">
        <w:rPr>
          <w:rFonts w:cstheme="minorHAnsi"/>
        </w:rPr>
        <w:t>Department of Health</w:t>
      </w:r>
      <w:r w:rsidR="00623C70">
        <w:rPr>
          <w:rFonts w:cstheme="minorHAnsi"/>
        </w:rPr>
        <w:t xml:space="preserve"> and Aged Care</w:t>
      </w:r>
      <w:r w:rsidR="00A66429" w:rsidRPr="008C4411">
        <w:rPr>
          <w:rFonts w:cstheme="minorHAnsi"/>
        </w:rPr>
        <w:t xml:space="preserve">, </w:t>
      </w:r>
      <w:r w:rsidR="00A66429" w:rsidRPr="008C4411">
        <w:rPr>
          <w:rFonts w:cstheme="minorHAnsi"/>
          <w:i/>
        </w:rPr>
        <w:t>National Medical Workforce Strategy 2021–2031</w:t>
      </w:r>
      <w:r w:rsidR="00623C70">
        <w:rPr>
          <w:rFonts w:cstheme="minorHAnsi"/>
          <w:i/>
        </w:rPr>
        <w:t xml:space="preserve">, </w:t>
      </w:r>
      <w:r w:rsidR="00623C70">
        <w:rPr>
          <w:rFonts w:cstheme="minorHAnsi"/>
          <w:iCs/>
        </w:rPr>
        <w:t xml:space="preserve">(Canberra: 2023) revised 12 December 2023, </w:t>
      </w:r>
      <w:hyperlink r:id="rId65" w:history="1">
        <w:r w:rsidR="00623C70" w:rsidRPr="008C4411">
          <w:rPr>
            <w:rStyle w:val="Hyperlink"/>
          </w:rPr>
          <w:t>www.health.gov.au/our-work/national-medical-workforce-strategy-2021-2031</w:t>
        </w:r>
      </w:hyperlink>
      <w:r w:rsidR="00623C70">
        <w:rPr>
          <w:rFonts w:cstheme="minorHAnsi"/>
        </w:rPr>
        <w:t>.</w:t>
      </w:r>
    </w:p>
  </w:footnote>
  <w:footnote w:id="122">
    <w:p w14:paraId="795D9E75" w14:textId="48BC0911" w:rsidR="005B3445" w:rsidRPr="00601877" w:rsidRDefault="005B3445" w:rsidP="005B3445">
      <w:pPr>
        <w:pStyle w:val="FootnoteText"/>
        <w:rPr>
          <w:rFonts w:cstheme="minorHAnsi"/>
        </w:rPr>
      </w:pPr>
      <w:r w:rsidRPr="00601877">
        <w:rPr>
          <w:rStyle w:val="FootnoteReference"/>
          <w:rFonts w:cstheme="minorHAnsi"/>
        </w:rPr>
        <w:footnoteRef/>
      </w:r>
      <w:r w:rsidRPr="00601877">
        <w:rPr>
          <w:rFonts w:cstheme="minorHAnsi"/>
        </w:rPr>
        <w:t xml:space="preserve"> </w:t>
      </w:r>
      <w:r w:rsidR="00063725" w:rsidRPr="00063725">
        <w:rPr>
          <w:rFonts w:cstheme="minorHAnsi"/>
        </w:rPr>
        <w:t>Alexa N. Seal</w:t>
      </w:r>
      <w:r w:rsidR="00980D82">
        <w:rPr>
          <w:rFonts w:cstheme="minorHAnsi"/>
        </w:rPr>
        <w:t>,</w:t>
      </w:r>
      <w:r w:rsidR="00063725" w:rsidRPr="00063725">
        <w:rPr>
          <w:rFonts w:cstheme="minorHAnsi"/>
        </w:rPr>
        <w:t xml:space="preserve"> Denese Playford</w:t>
      </w:r>
      <w:r w:rsidR="00980D82">
        <w:rPr>
          <w:rFonts w:cstheme="minorHAnsi"/>
        </w:rPr>
        <w:t>,</w:t>
      </w:r>
      <w:r w:rsidR="00063725" w:rsidRPr="00063725">
        <w:rPr>
          <w:rFonts w:cstheme="minorHAnsi"/>
        </w:rPr>
        <w:t xml:space="preserve"> Matthew R. McGrail</w:t>
      </w:r>
      <w:r w:rsidR="00980D82">
        <w:rPr>
          <w:rFonts w:cstheme="minorHAnsi"/>
        </w:rPr>
        <w:t>,</w:t>
      </w:r>
      <w:r w:rsidR="00063725" w:rsidRPr="00063725">
        <w:rPr>
          <w:rFonts w:cstheme="minorHAnsi"/>
        </w:rPr>
        <w:t xml:space="preserve"> Lara Fuller</w:t>
      </w:r>
      <w:r w:rsidR="00980D82">
        <w:rPr>
          <w:rFonts w:cstheme="minorHAnsi"/>
        </w:rPr>
        <w:t>,</w:t>
      </w:r>
      <w:r w:rsidR="00063725" w:rsidRPr="00063725">
        <w:rPr>
          <w:rFonts w:cstheme="minorHAnsi"/>
        </w:rPr>
        <w:t xml:space="preserve"> Penny L. Allen</w:t>
      </w:r>
      <w:r w:rsidR="00980D82">
        <w:rPr>
          <w:rFonts w:cstheme="minorHAnsi"/>
        </w:rPr>
        <w:t>,</w:t>
      </w:r>
      <w:r w:rsidR="00063725" w:rsidRPr="00063725">
        <w:rPr>
          <w:rFonts w:cstheme="minorHAnsi"/>
        </w:rPr>
        <w:t xml:space="preserve"> Julie M. Burrows</w:t>
      </w:r>
      <w:r w:rsidR="00980D82">
        <w:rPr>
          <w:rFonts w:cstheme="minorHAnsi"/>
        </w:rPr>
        <w:t>,</w:t>
      </w:r>
      <w:r w:rsidR="00063725" w:rsidRPr="00063725">
        <w:rPr>
          <w:rFonts w:cstheme="minorHAnsi"/>
        </w:rPr>
        <w:t xml:space="preserve"> Julian R. Wright</w:t>
      </w:r>
      <w:r w:rsidR="00980D82">
        <w:rPr>
          <w:rFonts w:cstheme="minorHAnsi"/>
        </w:rPr>
        <w:t>,</w:t>
      </w:r>
      <w:r w:rsidR="00063725" w:rsidRPr="00063725">
        <w:rPr>
          <w:rFonts w:cstheme="minorHAnsi"/>
        </w:rPr>
        <w:t xml:space="preserve"> Suzanne Bain-Donohue</w:t>
      </w:r>
      <w:r w:rsidR="00980D82">
        <w:rPr>
          <w:rFonts w:cstheme="minorHAnsi"/>
        </w:rPr>
        <w:t>,</w:t>
      </w:r>
      <w:r w:rsidR="00063725" w:rsidRPr="00063725">
        <w:rPr>
          <w:rFonts w:cstheme="minorHAnsi"/>
        </w:rPr>
        <w:t xml:space="preserve"> David Garne</w:t>
      </w:r>
      <w:r w:rsidR="00980D82">
        <w:rPr>
          <w:rFonts w:cstheme="minorHAnsi"/>
        </w:rPr>
        <w:t>,</w:t>
      </w:r>
      <w:r w:rsidR="00063725" w:rsidRPr="00063725">
        <w:rPr>
          <w:rFonts w:cstheme="minorHAnsi"/>
        </w:rPr>
        <w:t xml:space="preserve"> Laura G. </w:t>
      </w:r>
      <w:proofErr w:type="gramStart"/>
      <w:r w:rsidR="00063725" w:rsidRPr="00063725">
        <w:rPr>
          <w:rFonts w:cstheme="minorHAnsi"/>
        </w:rPr>
        <w:t>Major</w:t>
      </w:r>
      <w:proofErr w:type="gramEnd"/>
      <w:r w:rsidR="00063725" w:rsidRPr="00063725">
        <w:rPr>
          <w:rFonts w:cstheme="minorHAnsi"/>
        </w:rPr>
        <w:t xml:space="preserve"> and Georgina M. Luscombe</w:t>
      </w:r>
      <w:r w:rsidR="0060373B">
        <w:rPr>
          <w:rFonts w:cstheme="minorHAnsi"/>
        </w:rPr>
        <w:t>,</w:t>
      </w:r>
      <w:r w:rsidR="00BB08A4">
        <w:rPr>
          <w:rFonts w:cstheme="minorHAnsi"/>
        </w:rPr>
        <w:t xml:space="preserve"> </w:t>
      </w:r>
      <w:r w:rsidRPr="00601877">
        <w:rPr>
          <w:rFonts w:cstheme="minorHAnsi"/>
        </w:rPr>
        <w:t>“Influence of rural clinical school experience and rural origin on practising in rural communities five and eight years after graduation</w:t>
      </w:r>
      <w:r w:rsidR="00CE6DD4">
        <w:rPr>
          <w:rFonts w:cstheme="minorHAnsi"/>
        </w:rPr>
        <w:t>,</w:t>
      </w:r>
      <w:r w:rsidRPr="00601877">
        <w:rPr>
          <w:rFonts w:cstheme="minorHAnsi"/>
        </w:rPr>
        <w:t xml:space="preserve">” </w:t>
      </w:r>
      <w:r w:rsidRPr="00267E8C">
        <w:rPr>
          <w:rFonts w:cstheme="minorHAnsi"/>
          <w:i/>
        </w:rPr>
        <w:t>Medical Journal of Australia</w:t>
      </w:r>
      <w:r w:rsidRPr="00601877">
        <w:rPr>
          <w:rFonts w:cstheme="minorHAnsi"/>
        </w:rPr>
        <w:t xml:space="preserve"> 206, 11</w:t>
      </w:r>
      <w:r w:rsidR="00A702EB">
        <w:rPr>
          <w:rFonts w:cstheme="minorHAnsi"/>
        </w:rPr>
        <w:t xml:space="preserve">, </w:t>
      </w:r>
      <w:r w:rsidR="00B82E46">
        <w:rPr>
          <w:rFonts w:cstheme="minorHAnsi"/>
        </w:rPr>
        <w:t xml:space="preserve">(11 April </w:t>
      </w:r>
      <w:r w:rsidR="00A702EB">
        <w:rPr>
          <w:rFonts w:cstheme="minorHAnsi"/>
        </w:rPr>
        <w:t>2022</w:t>
      </w:r>
      <w:r w:rsidR="00B82E46">
        <w:rPr>
          <w:rFonts w:cstheme="minorHAnsi"/>
        </w:rPr>
        <w:t>)</w:t>
      </w:r>
      <w:r w:rsidR="00887450">
        <w:rPr>
          <w:rFonts w:cstheme="minorHAnsi"/>
        </w:rPr>
        <w:t xml:space="preserve">, </w:t>
      </w:r>
      <w:proofErr w:type="spellStart"/>
      <w:r w:rsidR="00887450" w:rsidRPr="00887450">
        <w:rPr>
          <w:rFonts w:cstheme="minorHAnsi"/>
        </w:rPr>
        <w:t>doi</w:t>
      </w:r>
      <w:proofErr w:type="spellEnd"/>
      <w:r w:rsidR="00887450" w:rsidRPr="00887450">
        <w:rPr>
          <w:rFonts w:cstheme="minorHAnsi"/>
        </w:rPr>
        <w:t>: 10.5694/mja2.51476</w:t>
      </w:r>
      <w:r w:rsidR="00A702EB">
        <w:rPr>
          <w:rFonts w:cstheme="minorHAnsi"/>
        </w:rPr>
        <w:t>.</w:t>
      </w:r>
    </w:p>
  </w:footnote>
  <w:footnote w:id="123">
    <w:p w14:paraId="4790A7C2" w14:textId="743B11CF" w:rsidR="005B3445" w:rsidRPr="00601877" w:rsidRDefault="005B3445" w:rsidP="005B3445">
      <w:pPr>
        <w:pStyle w:val="FootnoteText"/>
        <w:rPr>
          <w:rFonts w:cstheme="minorHAnsi"/>
        </w:rPr>
      </w:pPr>
      <w:r w:rsidRPr="00601877">
        <w:rPr>
          <w:rStyle w:val="FootnoteReference"/>
          <w:rFonts w:cstheme="minorHAnsi"/>
        </w:rPr>
        <w:footnoteRef/>
      </w:r>
      <w:r w:rsidRPr="00601877">
        <w:rPr>
          <w:rFonts w:cstheme="minorHAnsi"/>
        </w:rPr>
        <w:t xml:space="preserve"> Australian Chamber of Commerce and Industry, </w:t>
      </w:r>
      <w:r w:rsidR="00AE3545" w:rsidRPr="00267E8C">
        <w:rPr>
          <w:i/>
        </w:rPr>
        <w:t>Submission to the Accord Interim Report</w:t>
      </w:r>
      <w:r w:rsidR="00B46D3B">
        <w:rPr>
          <w:rFonts w:cstheme="minorHAnsi"/>
        </w:rPr>
        <w:t>, 2023</w:t>
      </w:r>
      <w:r w:rsidR="00AE3545">
        <w:rPr>
          <w:rFonts w:cstheme="minorHAnsi"/>
        </w:rPr>
        <w:t xml:space="preserve">, </w:t>
      </w:r>
      <w:hyperlink r:id="rId66" w:history="1">
        <w:r w:rsidR="009531BA" w:rsidRPr="00811871">
          <w:rPr>
            <w:rStyle w:val="Hyperlink"/>
            <w:rFonts w:cstheme="minorHAnsi"/>
          </w:rPr>
          <w:t>www.education.gov.au/system/files/2023-09/AUA_inter_tranche9a_192%20Australian%20Chamber%20of%20Commerce%20and%20Industry.pdf</w:t>
        </w:r>
      </w:hyperlink>
      <w:r w:rsidR="00B46D3B">
        <w:rPr>
          <w:rFonts w:cstheme="minorHAnsi"/>
        </w:rPr>
        <w:t>; Business Council of Australia</w:t>
      </w:r>
      <w:r w:rsidR="002C3D31">
        <w:rPr>
          <w:rFonts w:cstheme="minorHAnsi"/>
        </w:rPr>
        <w:t xml:space="preserve">, </w:t>
      </w:r>
      <w:r w:rsidR="009E68D2" w:rsidRPr="00267E8C">
        <w:rPr>
          <w:i/>
        </w:rPr>
        <w:t>Submission to the Accord Interim Report</w:t>
      </w:r>
      <w:r w:rsidR="002C3D31">
        <w:rPr>
          <w:rFonts w:cstheme="minorHAnsi"/>
        </w:rPr>
        <w:t>, 2023</w:t>
      </w:r>
      <w:r w:rsidR="009E68D2">
        <w:rPr>
          <w:rFonts w:cstheme="minorHAnsi"/>
        </w:rPr>
        <w:t xml:space="preserve">, </w:t>
      </w:r>
      <w:hyperlink r:id="rId67" w:history="1">
        <w:r w:rsidR="00830FBF" w:rsidRPr="00811871">
          <w:rPr>
            <w:rStyle w:val="Hyperlink"/>
            <w:rFonts w:cstheme="minorHAnsi"/>
          </w:rPr>
          <w:t>www.education.gov.au/system/files/2023-09/AUA_inter_tranche8_168%20Business%20Council%20of%20Australia.pdf</w:t>
        </w:r>
      </w:hyperlink>
      <w:r w:rsidR="002C3D31">
        <w:rPr>
          <w:rFonts w:cstheme="minorHAnsi"/>
        </w:rPr>
        <w:t>; A</w:t>
      </w:r>
      <w:r w:rsidR="005C37A6">
        <w:rPr>
          <w:rFonts w:cstheme="minorHAnsi"/>
        </w:rPr>
        <w:t xml:space="preserve">ustralian Industry </w:t>
      </w:r>
      <w:r w:rsidR="002C3D31">
        <w:rPr>
          <w:rFonts w:cstheme="minorHAnsi"/>
        </w:rPr>
        <w:t xml:space="preserve">Group, </w:t>
      </w:r>
      <w:r w:rsidR="009E68D2" w:rsidRPr="00267E8C">
        <w:rPr>
          <w:i/>
        </w:rPr>
        <w:t>Submission to the Accord Interim Report</w:t>
      </w:r>
      <w:r w:rsidR="002C3D31">
        <w:rPr>
          <w:rFonts w:cstheme="minorHAnsi"/>
        </w:rPr>
        <w:t>, 2023</w:t>
      </w:r>
      <w:r w:rsidR="009E68D2">
        <w:rPr>
          <w:rFonts w:cstheme="minorHAnsi"/>
        </w:rPr>
        <w:t xml:space="preserve">, </w:t>
      </w:r>
      <w:hyperlink r:id="rId68" w:history="1">
        <w:r w:rsidR="00E3724C" w:rsidRPr="00811871">
          <w:rPr>
            <w:rStyle w:val="Hyperlink"/>
            <w:rFonts w:cstheme="minorHAnsi"/>
          </w:rPr>
          <w:t>www.education.gov.au/system/files/2023-09/AUA_inter_tranche7_157%20Australian%20Industry%20Group.pdf</w:t>
        </w:r>
      </w:hyperlink>
      <w:r w:rsidR="00E3724C">
        <w:rPr>
          <w:rFonts w:cstheme="minorHAnsi"/>
        </w:rPr>
        <w:t xml:space="preserve">. </w:t>
      </w:r>
    </w:p>
  </w:footnote>
  <w:footnote w:id="124">
    <w:p w14:paraId="379D58CC" w14:textId="19271987" w:rsidR="53AE2949" w:rsidRDefault="53AE2949">
      <w:pPr>
        <w:pStyle w:val="FootnoteText"/>
      </w:pPr>
      <w:r>
        <w:rPr>
          <w:rStyle w:val="FootnoteReference"/>
        </w:rPr>
        <w:footnoteRef/>
      </w:r>
      <w:r w:rsidR="0096697E">
        <w:t xml:space="preserve"> National Careers Institute (NCI)</w:t>
      </w:r>
      <w:r w:rsidR="00BF6BF0">
        <w:t xml:space="preserve"> and JSA, </w:t>
      </w:r>
      <w:r w:rsidR="00BF6BF0" w:rsidRPr="00B439B3">
        <w:rPr>
          <w:i/>
        </w:rPr>
        <w:t>Australian Jobs 2023</w:t>
      </w:r>
      <w:r w:rsidR="00BF6BF0">
        <w:t xml:space="preserve">, </w:t>
      </w:r>
      <w:r w:rsidR="00B439B3">
        <w:t>(Canberra:</w:t>
      </w:r>
      <w:r w:rsidR="00BF6BF0">
        <w:t xml:space="preserve"> 2023</w:t>
      </w:r>
      <w:r w:rsidR="00B439B3">
        <w:t>)</w:t>
      </w:r>
      <w:r w:rsidR="00BF6BF0">
        <w:t xml:space="preserve">, 10, </w:t>
      </w:r>
      <w:hyperlink r:id="rId69" w:anchor="download-the-full-publication-2" w:history="1">
        <w:r w:rsidR="00BF6BF0" w:rsidRPr="00406268">
          <w:rPr>
            <w:rStyle w:val="Hyperlink"/>
          </w:rPr>
          <w:t>www.yourcareer.gov.au/resources/aust</w:t>
        </w:r>
        <w:bookmarkStart w:id="321" w:name="_Hlt153382136"/>
        <w:r w:rsidR="00BF6BF0" w:rsidRPr="00406268">
          <w:rPr>
            <w:rStyle w:val="Hyperlink"/>
          </w:rPr>
          <w:t>r</w:t>
        </w:r>
        <w:bookmarkEnd w:id="321"/>
        <w:r w:rsidR="00BF6BF0" w:rsidRPr="00406268">
          <w:rPr>
            <w:rStyle w:val="Hyperlink"/>
          </w:rPr>
          <w:t>alian-jobs-report#download-the</w:t>
        </w:r>
        <w:bookmarkStart w:id="322" w:name="_Hlt153464703"/>
        <w:bookmarkStart w:id="323" w:name="_Hlt153464704"/>
        <w:r w:rsidR="00BF6BF0" w:rsidRPr="00406268">
          <w:rPr>
            <w:rStyle w:val="Hyperlink"/>
          </w:rPr>
          <w:t>-</w:t>
        </w:r>
        <w:bookmarkEnd w:id="322"/>
        <w:bookmarkEnd w:id="323"/>
        <w:r w:rsidR="00BF6BF0" w:rsidRPr="00406268">
          <w:rPr>
            <w:rStyle w:val="Hyperlink"/>
          </w:rPr>
          <w:t>full-publication-2</w:t>
        </w:r>
      </w:hyperlink>
      <w:r w:rsidR="00BF6BF0">
        <w:t>.</w:t>
      </w:r>
    </w:p>
  </w:footnote>
  <w:footnote w:id="125">
    <w:p w14:paraId="1380A614" w14:textId="0C0B161B" w:rsidR="005B3445" w:rsidRPr="00601877" w:rsidRDefault="005B3445" w:rsidP="005B3445">
      <w:pPr>
        <w:pStyle w:val="FootnoteText"/>
        <w:rPr>
          <w:rFonts w:cstheme="minorHAnsi"/>
        </w:rPr>
      </w:pPr>
      <w:r w:rsidRPr="00601877">
        <w:rPr>
          <w:rStyle w:val="FootnoteReference"/>
          <w:rFonts w:cstheme="minorHAnsi"/>
        </w:rPr>
        <w:footnoteRef/>
      </w:r>
      <w:r w:rsidRPr="00601877">
        <w:rPr>
          <w:rFonts w:cstheme="minorHAnsi"/>
        </w:rPr>
        <w:t xml:space="preserve"> </w:t>
      </w:r>
      <w:proofErr w:type="spellStart"/>
      <w:r w:rsidRPr="00601877">
        <w:rPr>
          <w:rFonts w:cstheme="minorHAnsi"/>
        </w:rPr>
        <w:t>DeakinCo</w:t>
      </w:r>
      <w:proofErr w:type="spellEnd"/>
      <w:r w:rsidRPr="00601877">
        <w:rPr>
          <w:rFonts w:cstheme="minorHAnsi"/>
        </w:rPr>
        <w:t xml:space="preserve"> and Deloitte Access Economics, </w:t>
      </w:r>
      <w:r w:rsidRPr="00267E8C">
        <w:rPr>
          <w:rFonts w:cstheme="minorHAnsi"/>
          <w:i/>
        </w:rPr>
        <w:t>Soft skills for business success</w:t>
      </w:r>
      <w:r w:rsidRPr="00601877">
        <w:rPr>
          <w:rFonts w:cstheme="minorHAnsi"/>
        </w:rPr>
        <w:t xml:space="preserve">, </w:t>
      </w:r>
      <w:r w:rsidR="00483361">
        <w:rPr>
          <w:rFonts w:cstheme="minorHAnsi"/>
        </w:rPr>
        <w:t xml:space="preserve">(May </w:t>
      </w:r>
      <w:r w:rsidR="00EA2483">
        <w:rPr>
          <w:rFonts w:cstheme="minorHAnsi"/>
        </w:rPr>
        <w:t>2017</w:t>
      </w:r>
      <w:r w:rsidR="00483361">
        <w:rPr>
          <w:rFonts w:cstheme="minorHAnsi"/>
        </w:rPr>
        <w:t>), accessed 5 October 2023</w:t>
      </w:r>
      <w:r w:rsidR="00EA2483">
        <w:rPr>
          <w:rFonts w:cstheme="minorHAnsi"/>
        </w:rPr>
        <w:t xml:space="preserve">, </w:t>
      </w:r>
      <w:r w:rsidR="003B57E2">
        <w:rPr>
          <w:rFonts w:cstheme="minorHAnsi"/>
        </w:rPr>
        <w:t>8</w:t>
      </w:r>
      <w:r w:rsidR="00EA2483">
        <w:rPr>
          <w:rFonts w:cstheme="minorHAnsi"/>
        </w:rPr>
        <w:t xml:space="preserve">, </w:t>
      </w:r>
      <w:hyperlink r:id="rId70" w:history="1">
        <w:r w:rsidRPr="00601877">
          <w:rPr>
            <w:rStyle w:val="Hyperlink"/>
            <w:rFonts w:cstheme="minorHAnsi"/>
          </w:rPr>
          <w:t>www.deloitte.com/au/en/services/economics/perspectives/soft-skills-business-success.html</w:t>
        </w:r>
      </w:hyperlink>
      <w:r w:rsidR="00483361">
        <w:rPr>
          <w:rFonts w:cstheme="minorHAnsi"/>
        </w:rPr>
        <w:t>.</w:t>
      </w:r>
    </w:p>
  </w:footnote>
  <w:footnote w:id="126">
    <w:p w14:paraId="4970169F" w14:textId="26C61485" w:rsidR="005B3445" w:rsidRPr="00601877" w:rsidRDefault="005B3445" w:rsidP="005B3445">
      <w:pPr>
        <w:pStyle w:val="FootnoteText"/>
        <w:rPr>
          <w:rFonts w:cstheme="minorHAnsi"/>
        </w:rPr>
      </w:pPr>
      <w:r w:rsidRPr="00601877">
        <w:rPr>
          <w:rStyle w:val="FootnoteReference"/>
          <w:rFonts w:cstheme="minorHAnsi"/>
        </w:rPr>
        <w:footnoteRef/>
      </w:r>
      <w:r w:rsidRPr="00601877">
        <w:rPr>
          <w:rFonts w:cstheme="minorHAnsi"/>
        </w:rPr>
        <w:t xml:space="preserve"> </w:t>
      </w:r>
      <w:r w:rsidR="00C52798">
        <w:rPr>
          <w:rFonts w:cstheme="minorHAnsi"/>
        </w:rPr>
        <w:t xml:space="preserve">JSA, </w:t>
      </w:r>
      <w:r w:rsidR="00C52798">
        <w:rPr>
          <w:rFonts w:cstheme="minorHAnsi"/>
          <w:i/>
          <w:iCs/>
        </w:rPr>
        <w:t xml:space="preserve">Annual Jobs and Skills </w:t>
      </w:r>
      <w:r w:rsidR="0073250B">
        <w:rPr>
          <w:rFonts w:cstheme="minorHAnsi"/>
          <w:i/>
          <w:iCs/>
        </w:rPr>
        <w:t xml:space="preserve">Report 2023, </w:t>
      </w:r>
      <w:r w:rsidR="0073250B">
        <w:rPr>
          <w:rFonts w:cstheme="minorHAnsi"/>
        </w:rPr>
        <w:t>147.</w:t>
      </w:r>
      <w:r w:rsidR="0098182F">
        <w:t xml:space="preserve"> </w:t>
      </w:r>
    </w:p>
  </w:footnote>
  <w:footnote w:id="127">
    <w:p w14:paraId="3388C868" w14:textId="205BB6EB" w:rsidR="00C96A8C" w:rsidRPr="00601877" w:rsidRDefault="00C96A8C" w:rsidP="00C96A8C">
      <w:pPr>
        <w:pStyle w:val="FootnoteText"/>
        <w:rPr>
          <w:rFonts w:cstheme="minorHAnsi"/>
        </w:rPr>
      </w:pPr>
      <w:r w:rsidRPr="00601877">
        <w:rPr>
          <w:rStyle w:val="FootnoteReference"/>
          <w:rFonts w:cstheme="minorHAnsi"/>
        </w:rPr>
        <w:footnoteRef/>
      </w:r>
      <w:r w:rsidRPr="00601877">
        <w:rPr>
          <w:rFonts w:cstheme="minorHAnsi"/>
        </w:rPr>
        <w:t xml:space="preserve"> Productivity Commission, </w:t>
      </w:r>
      <w:r w:rsidRPr="00601877">
        <w:rPr>
          <w:rFonts w:cstheme="minorHAnsi"/>
          <w:i/>
        </w:rPr>
        <w:t>5-year Productivity Inquiry: Innovation for the 98%</w:t>
      </w:r>
      <w:r w:rsidR="00771C58" w:rsidRPr="00570A6C">
        <w:rPr>
          <w:rFonts w:cstheme="minorHAnsi"/>
          <w:iCs/>
        </w:rPr>
        <w:t>,</w:t>
      </w:r>
      <w:r w:rsidRPr="00570A6C">
        <w:rPr>
          <w:rFonts w:cstheme="minorHAnsi"/>
        </w:rPr>
        <w:t xml:space="preserve"> </w:t>
      </w:r>
      <w:r w:rsidR="005425F5">
        <w:rPr>
          <w:rFonts w:cstheme="minorHAnsi"/>
        </w:rPr>
        <w:t xml:space="preserve">5, 100 (Canberra: February 2023), </w:t>
      </w:r>
      <w:r w:rsidRPr="00570A6C">
        <w:rPr>
          <w:rFonts w:cstheme="minorHAnsi"/>
        </w:rPr>
        <w:t>31</w:t>
      </w:r>
      <w:r w:rsidR="005425F5">
        <w:rPr>
          <w:rFonts w:cstheme="minorHAnsi"/>
        </w:rPr>
        <w:t>–3</w:t>
      </w:r>
      <w:r w:rsidRPr="00570A6C">
        <w:rPr>
          <w:rFonts w:cstheme="minorHAnsi"/>
        </w:rPr>
        <w:t>2</w:t>
      </w:r>
      <w:r w:rsidR="005425F5">
        <w:rPr>
          <w:rFonts w:cstheme="minorHAnsi"/>
        </w:rPr>
        <w:t>,</w:t>
      </w:r>
      <w:r w:rsidRPr="00570A6C">
        <w:rPr>
          <w:rFonts w:cstheme="minorHAnsi"/>
        </w:rPr>
        <w:t xml:space="preserve"> </w:t>
      </w:r>
      <w:hyperlink r:id="rId71" w:history="1">
        <w:r w:rsidRPr="00570A6C">
          <w:rPr>
            <w:rStyle w:val="Hyperlink"/>
            <w:rFonts w:cstheme="minorHAnsi"/>
          </w:rPr>
          <w:t>www.pc.gov.au/inquiries/completed/productivity/report/productivity-volume5-innovation-diffusion.pdf</w:t>
        </w:r>
      </w:hyperlink>
      <w:r w:rsidR="00771C58">
        <w:rPr>
          <w:rFonts w:cstheme="minorHAnsi"/>
          <w:iCs/>
        </w:rPr>
        <w:t>.</w:t>
      </w:r>
    </w:p>
  </w:footnote>
  <w:footnote w:id="128">
    <w:p w14:paraId="6C20A4EE" w14:textId="7C19AF1F" w:rsidR="005B3445" w:rsidRPr="00601877" w:rsidRDefault="005B3445" w:rsidP="005B3445">
      <w:pPr>
        <w:pStyle w:val="FootnoteText"/>
        <w:rPr>
          <w:rFonts w:cstheme="minorHAnsi"/>
        </w:rPr>
      </w:pPr>
      <w:r w:rsidRPr="00601877">
        <w:rPr>
          <w:rStyle w:val="FootnoteReference"/>
          <w:rFonts w:cstheme="minorHAnsi"/>
        </w:rPr>
        <w:footnoteRef/>
      </w:r>
      <w:r w:rsidRPr="00601877">
        <w:rPr>
          <w:rFonts w:cstheme="minorHAnsi"/>
        </w:rPr>
        <w:t xml:space="preserve"> </w:t>
      </w:r>
      <w:r w:rsidR="0098182F">
        <w:rPr>
          <w:rFonts w:cstheme="minorHAnsi"/>
        </w:rPr>
        <w:t>Martin Bean and Peter Dawkins</w:t>
      </w:r>
      <w:r w:rsidR="0098182F">
        <w:rPr>
          <w:rFonts w:eastAsia="Arial" w:cstheme="minorHAnsi"/>
          <w:color w:val="040C28"/>
        </w:rPr>
        <w:t>,</w:t>
      </w:r>
      <w:r w:rsidRPr="00601877">
        <w:rPr>
          <w:rFonts w:eastAsia="Arial" w:cstheme="minorHAnsi"/>
          <w:color w:val="202124"/>
        </w:rPr>
        <w:t xml:space="preserve"> </w:t>
      </w:r>
      <w:r w:rsidRPr="009F2A50">
        <w:rPr>
          <w:rFonts w:eastAsia="Arial" w:cstheme="minorHAnsi"/>
          <w:i/>
          <w:color w:val="040C28"/>
        </w:rPr>
        <w:t>Review of university-industry collaboration in teaching and learning</w:t>
      </w:r>
      <w:r w:rsidR="002E43AC">
        <w:rPr>
          <w:rFonts w:eastAsia="Arial" w:cstheme="minorHAnsi"/>
          <w:i/>
          <w:color w:val="040C28"/>
        </w:rPr>
        <w:t xml:space="preserve">, </w:t>
      </w:r>
      <w:r w:rsidR="002E43AC">
        <w:rPr>
          <w:rFonts w:eastAsia="Arial" w:cstheme="minorHAnsi"/>
          <w:iCs/>
          <w:color w:val="040C28"/>
        </w:rPr>
        <w:t>(Canberra</w:t>
      </w:r>
      <w:r w:rsidR="00D13BBF">
        <w:rPr>
          <w:rFonts w:eastAsia="Arial" w:cstheme="minorHAnsi"/>
          <w:iCs/>
          <w:color w:val="040C28"/>
        </w:rPr>
        <w:t>:</w:t>
      </w:r>
      <w:r w:rsidRPr="00601877">
        <w:rPr>
          <w:rFonts w:eastAsia="Arial" w:cstheme="minorHAnsi"/>
          <w:color w:val="202124"/>
        </w:rPr>
        <w:t xml:space="preserve"> </w:t>
      </w:r>
      <w:r w:rsidRPr="00601877">
        <w:rPr>
          <w:rFonts w:eastAsia="Arial" w:cstheme="minorHAnsi"/>
          <w:color w:val="040C28"/>
        </w:rPr>
        <w:t xml:space="preserve">Department of Education, </w:t>
      </w:r>
      <w:proofErr w:type="gramStart"/>
      <w:r w:rsidRPr="00601877">
        <w:rPr>
          <w:rFonts w:eastAsia="Arial" w:cstheme="minorHAnsi"/>
          <w:color w:val="040C28"/>
        </w:rPr>
        <w:t>Skills</w:t>
      </w:r>
      <w:proofErr w:type="gramEnd"/>
      <w:r w:rsidRPr="00601877">
        <w:rPr>
          <w:rFonts w:eastAsia="Arial" w:cstheme="minorHAnsi"/>
          <w:color w:val="040C28"/>
        </w:rPr>
        <w:t xml:space="preserve"> and Employment</w:t>
      </w:r>
      <w:r w:rsidR="0098182F">
        <w:rPr>
          <w:rFonts w:eastAsia="Arial" w:cstheme="minorHAnsi"/>
          <w:color w:val="040C28"/>
        </w:rPr>
        <w:t>, 2021</w:t>
      </w:r>
      <w:r w:rsidR="00B61349">
        <w:rPr>
          <w:rFonts w:eastAsia="Arial" w:cstheme="minorHAnsi"/>
          <w:color w:val="040C28"/>
        </w:rPr>
        <w:t>), 17</w:t>
      </w:r>
      <w:r w:rsidR="0098182F">
        <w:rPr>
          <w:rFonts w:eastAsia="Arial" w:cstheme="minorHAnsi"/>
          <w:color w:val="040C28"/>
        </w:rPr>
        <w:t>.</w:t>
      </w:r>
    </w:p>
  </w:footnote>
  <w:footnote w:id="129">
    <w:p w14:paraId="7DEB2368" w14:textId="7985162E" w:rsidR="00771C58" w:rsidRPr="00771C58" w:rsidRDefault="00771C58">
      <w:pPr>
        <w:pStyle w:val="FootnoteText"/>
      </w:pPr>
      <w:r>
        <w:rPr>
          <w:rStyle w:val="FootnoteReference"/>
        </w:rPr>
        <w:footnoteRef/>
      </w:r>
      <w:r>
        <w:t xml:space="preserve"> </w:t>
      </w:r>
      <w:r w:rsidR="00534AE7">
        <w:t>JSA</w:t>
      </w:r>
      <w:r>
        <w:t xml:space="preserve">, </w:t>
      </w:r>
      <w:r>
        <w:rPr>
          <w:i/>
          <w:iCs/>
        </w:rPr>
        <w:t>The Clean Energy Generation: Workforce needs for a net zero economy</w:t>
      </w:r>
      <w:r>
        <w:t xml:space="preserve">, </w:t>
      </w:r>
      <w:r w:rsidR="0000388F">
        <w:t>(</w:t>
      </w:r>
      <w:r>
        <w:t>Canberra</w:t>
      </w:r>
      <w:r w:rsidR="0000388F">
        <w:t>:</w:t>
      </w:r>
      <w:r>
        <w:t xml:space="preserve"> 2023</w:t>
      </w:r>
      <w:r w:rsidR="0000388F">
        <w:t>)</w:t>
      </w:r>
      <w:r>
        <w:t>,</w:t>
      </w:r>
      <w:r w:rsidR="0000388F">
        <w:t xml:space="preserve"> 10</w:t>
      </w:r>
      <w:r>
        <w:t xml:space="preserve">, </w:t>
      </w:r>
      <w:hyperlink r:id="rId72" w:anchor="finalreport" w:history="1">
        <w:r w:rsidR="00860295" w:rsidRPr="00DB4EE1">
          <w:rPr>
            <w:rStyle w:val="Hyperlink"/>
          </w:rPr>
          <w:t>www.jobsandskills.gov.au/studies/clean-energy-capacity-study#finalreport</w:t>
        </w:r>
      </w:hyperlink>
      <w:r>
        <w:t>.</w:t>
      </w:r>
    </w:p>
  </w:footnote>
  <w:footnote w:id="130">
    <w:p w14:paraId="0D972A99" w14:textId="01B0E77D" w:rsidR="005B3445" w:rsidRPr="00601877" w:rsidRDefault="005B3445" w:rsidP="005B3445">
      <w:pPr>
        <w:pStyle w:val="FootnoteText"/>
        <w:rPr>
          <w:rFonts w:cstheme="minorHAnsi"/>
        </w:rPr>
      </w:pPr>
      <w:r w:rsidRPr="00601877">
        <w:rPr>
          <w:rStyle w:val="FootnoteReference"/>
          <w:rFonts w:cstheme="minorHAnsi"/>
        </w:rPr>
        <w:footnoteRef/>
      </w:r>
      <w:r w:rsidRPr="00601877">
        <w:rPr>
          <w:rFonts w:cstheme="minorHAnsi"/>
        </w:rPr>
        <w:t xml:space="preserve"> Australian Qualifications Framework </w:t>
      </w:r>
      <w:r w:rsidR="00976611">
        <w:rPr>
          <w:rFonts w:cstheme="minorHAnsi"/>
        </w:rPr>
        <w:t>“</w:t>
      </w:r>
      <w:r w:rsidRPr="00976611">
        <w:rPr>
          <w:rFonts w:cstheme="minorHAnsi"/>
        </w:rPr>
        <w:t>What is the AQF</w:t>
      </w:r>
      <w:r w:rsidRPr="00601877">
        <w:rPr>
          <w:rFonts w:cstheme="minorHAnsi"/>
        </w:rPr>
        <w:t>,</w:t>
      </w:r>
      <w:r w:rsidR="00976611">
        <w:rPr>
          <w:rFonts w:cstheme="minorHAnsi"/>
        </w:rPr>
        <w:t xml:space="preserve">” </w:t>
      </w:r>
      <w:r w:rsidRPr="00601877">
        <w:rPr>
          <w:rFonts w:cstheme="minorHAnsi"/>
        </w:rPr>
        <w:t>accessed 10 November 2023</w:t>
      </w:r>
      <w:r w:rsidR="00D71532">
        <w:rPr>
          <w:rFonts w:cstheme="minorHAnsi"/>
        </w:rPr>
        <w:t>,</w:t>
      </w:r>
      <w:r w:rsidR="00976611" w:rsidRPr="00601877">
        <w:rPr>
          <w:rFonts w:cstheme="minorHAnsi"/>
        </w:rPr>
        <w:t xml:space="preserve"> </w:t>
      </w:r>
      <w:r w:rsidRPr="00601877">
        <w:rPr>
          <w:rFonts w:cstheme="minorHAnsi"/>
        </w:rPr>
        <w:t xml:space="preserve"> </w:t>
      </w:r>
      <w:hyperlink r:id="rId73" w:history="1">
        <w:r w:rsidRPr="00601877">
          <w:rPr>
            <w:rStyle w:val="Hyperlink"/>
            <w:rFonts w:cstheme="minorHAnsi"/>
          </w:rPr>
          <w:t>www.aqf.edu.au/about/what-aqf</w:t>
        </w:r>
      </w:hyperlink>
      <w:r w:rsidR="00D71532">
        <w:rPr>
          <w:rFonts w:cstheme="minorHAnsi"/>
        </w:rPr>
        <w:t>.</w:t>
      </w:r>
    </w:p>
  </w:footnote>
  <w:footnote w:id="131">
    <w:p w14:paraId="7B49E36E" w14:textId="7AAD54CA" w:rsidR="005B3445" w:rsidRPr="00601877" w:rsidRDefault="005B3445" w:rsidP="005B3445">
      <w:pPr>
        <w:pStyle w:val="FootnoteText"/>
        <w:rPr>
          <w:rStyle w:val="Hyperlink"/>
          <w:rFonts w:eastAsia="Arial" w:cstheme="minorHAnsi"/>
          <w:highlight w:val="green"/>
        </w:rPr>
      </w:pPr>
      <w:r w:rsidRPr="00601877">
        <w:rPr>
          <w:rStyle w:val="FootnoteReference"/>
          <w:rFonts w:cstheme="minorHAnsi"/>
        </w:rPr>
        <w:footnoteRef/>
      </w:r>
      <w:r w:rsidRPr="00601877">
        <w:rPr>
          <w:rFonts w:cstheme="minorHAnsi"/>
        </w:rPr>
        <w:t xml:space="preserve"> </w:t>
      </w:r>
      <w:r w:rsidR="002D326E">
        <w:rPr>
          <w:rFonts w:cstheme="minorHAnsi"/>
        </w:rPr>
        <w:t>Sally</w:t>
      </w:r>
      <w:r w:rsidRPr="00601877">
        <w:rPr>
          <w:rFonts w:cstheme="minorHAnsi"/>
        </w:rPr>
        <w:t xml:space="preserve"> </w:t>
      </w:r>
      <w:proofErr w:type="spellStart"/>
      <w:r w:rsidR="00066E2D" w:rsidRPr="00570A6C">
        <w:rPr>
          <w:rFonts w:cstheme="minorHAnsi"/>
        </w:rPr>
        <w:t>Kift</w:t>
      </w:r>
      <w:proofErr w:type="spellEnd"/>
      <w:r w:rsidR="002D326E">
        <w:rPr>
          <w:rFonts w:cstheme="minorHAnsi"/>
        </w:rPr>
        <w:t>,</w:t>
      </w:r>
      <w:r w:rsidR="00066E2D" w:rsidRPr="00570A6C">
        <w:rPr>
          <w:rFonts w:cstheme="minorHAnsi"/>
        </w:rPr>
        <w:t xml:space="preserve"> </w:t>
      </w:r>
      <w:r w:rsidR="002D326E" w:rsidRPr="00B439B3">
        <w:rPr>
          <w:rFonts w:cstheme="minorHAnsi"/>
          <w:i/>
          <w:iCs/>
        </w:rPr>
        <w:t>S</w:t>
      </w:r>
      <w:r w:rsidR="00066E2D" w:rsidRPr="00B439B3">
        <w:rPr>
          <w:rFonts w:cstheme="minorHAnsi"/>
          <w:i/>
          <w:iCs/>
        </w:rPr>
        <w:t>ubmission</w:t>
      </w:r>
      <w:r w:rsidR="00066E2D" w:rsidRPr="00B439B3">
        <w:rPr>
          <w:rFonts w:cstheme="minorHAnsi"/>
          <w:i/>
        </w:rPr>
        <w:t xml:space="preserve"> to </w:t>
      </w:r>
      <w:r w:rsidR="002D326E" w:rsidRPr="00B439B3">
        <w:rPr>
          <w:rFonts w:cstheme="minorHAnsi"/>
          <w:i/>
        </w:rPr>
        <w:t xml:space="preserve">the </w:t>
      </w:r>
      <w:r w:rsidR="00066E2D" w:rsidRPr="00B439B3">
        <w:rPr>
          <w:rFonts w:cstheme="minorHAnsi"/>
          <w:i/>
        </w:rPr>
        <w:t xml:space="preserve">Universities Accord </w:t>
      </w:r>
      <w:r w:rsidR="005D0291" w:rsidRPr="00B439B3">
        <w:rPr>
          <w:rFonts w:cstheme="minorHAnsi"/>
          <w:i/>
          <w:iCs/>
        </w:rPr>
        <w:t>Discussion</w:t>
      </w:r>
      <w:r w:rsidR="005D0291" w:rsidRPr="00B439B3">
        <w:rPr>
          <w:rFonts w:cstheme="minorHAnsi"/>
          <w:i/>
        </w:rPr>
        <w:t xml:space="preserve"> Paper,</w:t>
      </w:r>
      <w:r w:rsidR="00066E2D" w:rsidRPr="00570A6C">
        <w:rPr>
          <w:rFonts w:cstheme="minorHAnsi"/>
        </w:rPr>
        <w:t xml:space="preserve"> 2023</w:t>
      </w:r>
      <w:r w:rsidR="004B51BE">
        <w:rPr>
          <w:rFonts w:cstheme="minorHAnsi"/>
        </w:rPr>
        <w:t xml:space="preserve">, </w:t>
      </w:r>
      <w:hyperlink r:id="rId74" w:history="1">
        <w:r w:rsidR="003E5723" w:rsidRPr="00811871">
          <w:rPr>
            <w:rStyle w:val="Hyperlink"/>
            <w:rFonts w:cstheme="minorHAnsi"/>
          </w:rPr>
          <w:t>www.education.gov.au/system/files/documents/submission-file/2023-04/AUA_tranche4_Sally%20Kift.pdf</w:t>
        </w:r>
      </w:hyperlink>
      <w:r w:rsidR="003E5723">
        <w:rPr>
          <w:rFonts w:cstheme="minorHAnsi"/>
        </w:rPr>
        <w:t xml:space="preserve">. </w:t>
      </w:r>
    </w:p>
  </w:footnote>
  <w:footnote w:id="132">
    <w:p w14:paraId="0A0AF82F" w14:textId="669AB3EE" w:rsidR="005B3445" w:rsidRPr="00601877" w:rsidRDefault="005B3445" w:rsidP="005B3445">
      <w:pPr>
        <w:pStyle w:val="FootnoteText"/>
        <w:rPr>
          <w:rFonts w:cstheme="minorHAnsi"/>
        </w:rPr>
      </w:pPr>
      <w:r w:rsidRPr="00601877">
        <w:rPr>
          <w:rStyle w:val="FootnoteReference"/>
          <w:rFonts w:cstheme="minorHAnsi"/>
        </w:rPr>
        <w:footnoteRef/>
      </w:r>
      <w:r w:rsidRPr="00601877">
        <w:rPr>
          <w:rFonts w:cstheme="minorHAnsi"/>
        </w:rPr>
        <w:t xml:space="preserve"> Department of Education and Training, </w:t>
      </w:r>
      <w:r w:rsidRPr="00601877">
        <w:rPr>
          <w:rFonts w:cstheme="minorHAnsi"/>
          <w:i/>
        </w:rPr>
        <w:t xml:space="preserve">Review of the </w:t>
      </w:r>
      <w:r w:rsidR="0061743A">
        <w:rPr>
          <w:rFonts w:cstheme="minorHAnsi"/>
          <w:i/>
        </w:rPr>
        <w:t>Australian Qualifications Framework</w:t>
      </w:r>
      <w:r w:rsidRPr="00601877">
        <w:rPr>
          <w:rFonts w:cstheme="minorHAnsi"/>
          <w:i/>
        </w:rPr>
        <w:t>: Final Report</w:t>
      </w:r>
      <w:r w:rsidR="0061743A">
        <w:rPr>
          <w:rFonts w:cstheme="minorHAnsi"/>
          <w:i/>
        </w:rPr>
        <w:t xml:space="preserve"> 2019, </w:t>
      </w:r>
      <w:r w:rsidR="00E749B2">
        <w:rPr>
          <w:rFonts w:cstheme="minorHAnsi"/>
          <w:iCs/>
        </w:rPr>
        <w:t>(</w:t>
      </w:r>
      <w:r w:rsidR="0061743A" w:rsidRPr="00501B0F">
        <w:rPr>
          <w:rFonts w:cstheme="minorHAnsi"/>
        </w:rPr>
        <w:t>Canberra</w:t>
      </w:r>
      <w:r w:rsidR="00E749B2">
        <w:rPr>
          <w:rFonts w:cstheme="minorHAnsi"/>
          <w:iCs/>
        </w:rPr>
        <w:t>:</w:t>
      </w:r>
      <w:r w:rsidR="0061743A" w:rsidRPr="00501B0F">
        <w:rPr>
          <w:rFonts w:cstheme="minorHAnsi"/>
        </w:rPr>
        <w:t xml:space="preserve"> 2019</w:t>
      </w:r>
      <w:r w:rsidR="00E749B2">
        <w:rPr>
          <w:rFonts w:cstheme="minorHAnsi"/>
          <w:iCs/>
        </w:rPr>
        <w:t xml:space="preserve">), </w:t>
      </w:r>
      <w:hyperlink r:id="rId75" w:history="1">
        <w:r w:rsidR="003E5723" w:rsidRPr="00811871">
          <w:rPr>
            <w:rStyle w:val="Hyperlink"/>
            <w:rFonts w:cstheme="minorHAnsi"/>
            <w:iCs/>
          </w:rPr>
          <w:t>www.education.gov.au/higher-education-reviews-and-consultations/resources/review-australian-qualifications-framework-final-report-2019</w:t>
        </w:r>
      </w:hyperlink>
      <w:r w:rsidR="003E5723">
        <w:rPr>
          <w:rFonts w:cstheme="minorHAnsi"/>
          <w:i/>
        </w:rPr>
        <w:t xml:space="preserve">. </w:t>
      </w:r>
      <w:r w:rsidR="0061743A">
        <w:rPr>
          <w:rFonts w:cstheme="minorHAnsi"/>
          <w:i/>
        </w:rPr>
        <w:t xml:space="preserve"> </w:t>
      </w:r>
    </w:p>
  </w:footnote>
  <w:footnote w:id="133">
    <w:p w14:paraId="61DFD3C7" w14:textId="005BF157" w:rsidR="005B3445" w:rsidRPr="00601877" w:rsidRDefault="005B3445" w:rsidP="005B3445">
      <w:pPr>
        <w:pStyle w:val="FootnoteText"/>
        <w:rPr>
          <w:rFonts w:cstheme="minorHAnsi"/>
        </w:rPr>
      </w:pPr>
      <w:r w:rsidRPr="00601877">
        <w:rPr>
          <w:rStyle w:val="FootnoteReference"/>
          <w:rFonts w:cstheme="minorHAnsi"/>
        </w:rPr>
        <w:footnoteRef/>
      </w:r>
      <w:r w:rsidRPr="00601877">
        <w:rPr>
          <w:rFonts w:cstheme="minorHAnsi"/>
        </w:rPr>
        <w:t xml:space="preserve"> </w:t>
      </w:r>
      <w:r w:rsidR="0025627A" w:rsidRPr="00601877">
        <w:rPr>
          <w:rFonts w:cstheme="minorHAnsi"/>
        </w:rPr>
        <w:t xml:space="preserve">Department of Education and Training, </w:t>
      </w:r>
      <w:r w:rsidR="0025627A" w:rsidRPr="00601877">
        <w:rPr>
          <w:rFonts w:cstheme="minorHAnsi"/>
          <w:i/>
        </w:rPr>
        <w:t xml:space="preserve">Review of the </w:t>
      </w:r>
      <w:r w:rsidR="0025627A">
        <w:rPr>
          <w:rFonts w:cstheme="minorHAnsi"/>
          <w:i/>
        </w:rPr>
        <w:t>Australian Qualifications Framework</w:t>
      </w:r>
      <w:r w:rsidR="00501B0F">
        <w:rPr>
          <w:rFonts w:cstheme="minorHAnsi"/>
          <w:i/>
        </w:rPr>
        <w:t xml:space="preserve">, </w:t>
      </w:r>
      <w:r w:rsidR="001D34EC" w:rsidRPr="001D34EC">
        <w:rPr>
          <w:rFonts w:cstheme="minorHAnsi"/>
        </w:rPr>
        <w:t>89</w:t>
      </w:r>
      <w:r w:rsidR="00501B0F">
        <w:rPr>
          <w:rFonts w:ascii="Cambria Math" w:hAnsi="Cambria Math" w:cs="Cambria Math"/>
        </w:rPr>
        <w:t>–</w:t>
      </w:r>
      <w:r w:rsidR="001D34EC" w:rsidRPr="001D34EC">
        <w:rPr>
          <w:rFonts w:cstheme="minorHAnsi"/>
        </w:rPr>
        <w:t>9</w:t>
      </w:r>
      <w:r w:rsidR="005E07C2">
        <w:rPr>
          <w:rFonts w:cstheme="minorHAnsi"/>
        </w:rPr>
        <w:t>2</w:t>
      </w:r>
      <w:r w:rsidR="001D34EC" w:rsidRPr="001D34EC">
        <w:rPr>
          <w:rFonts w:cstheme="minorHAnsi"/>
        </w:rPr>
        <w:t>.</w:t>
      </w:r>
    </w:p>
  </w:footnote>
  <w:footnote w:id="134">
    <w:p w14:paraId="7EE8C997" w14:textId="61EB01D3" w:rsidR="00A3555E" w:rsidRPr="00F50407" w:rsidRDefault="00A3555E" w:rsidP="00A3555E">
      <w:pPr>
        <w:pStyle w:val="FootnoteText"/>
        <w:rPr>
          <w:rFonts w:cstheme="minorHAnsi"/>
        </w:rPr>
      </w:pPr>
      <w:r w:rsidRPr="00F50407">
        <w:rPr>
          <w:rStyle w:val="FootnoteReference"/>
          <w:rFonts w:cstheme="minorHAnsi"/>
        </w:rPr>
        <w:footnoteRef/>
      </w:r>
      <w:r w:rsidRPr="00F50407">
        <w:rPr>
          <w:rFonts w:cstheme="minorHAnsi"/>
        </w:rPr>
        <w:t xml:space="preserve"> Information provided to the Department </w:t>
      </w:r>
      <w:r w:rsidR="00622E5E" w:rsidRPr="00F50407">
        <w:rPr>
          <w:rFonts w:cstheme="minorHAnsi"/>
        </w:rPr>
        <w:t>of Education</w:t>
      </w:r>
      <w:r w:rsidRPr="00F50407">
        <w:rPr>
          <w:rFonts w:cstheme="minorHAnsi"/>
        </w:rPr>
        <w:t xml:space="preserve"> by JSA.</w:t>
      </w:r>
    </w:p>
  </w:footnote>
  <w:footnote w:id="135">
    <w:p w14:paraId="19442BBF" w14:textId="57F5AD9E" w:rsidR="007F27E6" w:rsidRDefault="007F27E6">
      <w:pPr>
        <w:pStyle w:val="FootnoteText"/>
      </w:pPr>
      <w:r>
        <w:rPr>
          <w:rStyle w:val="FootnoteReference"/>
        </w:rPr>
        <w:footnoteRef/>
      </w:r>
      <w:r>
        <w:t xml:space="preserve"> </w:t>
      </w:r>
      <w:r w:rsidR="008A4B5B">
        <w:t>North Metropolitan TAFE, “J</w:t>
      </w:r>
      <w:r w:rsidR="008A4B5B" w:rsidRPr="008A4B5B">
        <w:t>oining forces to tackle the ongoing cyber security challenge</w:t>
      </w:r>
      <w:r w:rsidR="008A4B5B">
        <w:t xml:space="preserve">,” </w:t>
      </w:r>
      <w:r w:rsidR="008A4B5B" w:rsidRPr="008C4411">
        <w:rPr>
          <w:i/>
        </w:rPr>
        <w:t>TAFE WA</w:t>
      </w:r>
      <w:r w:rsidR="008A4B5B">
        <w:t xml:space="preserve">, 15 February 2023, accessed 12 December 2023, </w:t>
      </w:r>
      <w:hyperlink r:id="rId76" w:history="1">
        <w:r w:rsidR="001E563E" w:rsidRPr="00811871">
          <w:rPr>
            <w:rStyle w:val="Hyperlink"/>
          </w:rPr>
          <w:t>www.northmetrotafe.wa.edu.au/news-and-events/joining-forces-tackle-ongoing-cyber-security-challenge</w:t>
        </w:r>
      </w:hyperlink>
      <w:r w:rsidR="001E563E">
        <w:t xml:space="preserve">. </w:t>
      </w:r>
      <w:r w:rsidR="008A4B5B">
        <w:t xml:space="preserve"> </w:t>
      </w:r>
    </w:p>
  </w:footnote>
  <w:footnote w:id="136">
    <w:p w14:paraId="53FFCCA0" w14:textId="60442A70" w:rsidR="005B3445" w:rsidRPr="00DD3A2B" w:rsidRDefault="005B3445" w:rsidP="00501B0F">
      <w:pPr>
        <w:pStyle w:val="FootnoteText"/>
      </w:pPr>
      <w:r w:rsidRPr="10659A38">
        <w:rPr>
          <w:rStyle w:val="FootnoteReference"/>
        </w:rPr>
        <w:footnoteRef/>
      </w:r>
      <w:r w:rsidRPr="10659A38">
        <w:t xml:space="preserve"> </w:t>
      </w:r>
      <w:r w:rsidR="007B1CF2" w:rsidRPr="008C4411">
        <w:rPr>
          <w:rStyle w:val="FootnoteTextChar"/>
          <w:bCs/>
        </w:rPr>
        <w:t xml:space="preserve">Department of </w:t>
      </w:r>
      <w:r w:rsidR="007B1CF2" w:rsidRPr="00501B0F">
        <w:rPr>
          <w:rStyle w:val="FootnoteTextChar"/>
        </w:rPr>
        <w:t xml:space="preserve">Prime </w:t>
      </w:r>
      <w:r w:rsidR="00A42535" w:rsidRPr="00501B0F">
        <w:rPr>
          <w:rStyle w:val="FootnoteTextChar"/>
          <w:bCs/>
        </w:rPr>
        <w:t>M</w:t>
      </w:r>
      <w:r w:rsidR="007B1CF2" w:rsidRPr="00501B0F">
        <w:rPr>
          <w:rStyle w:val="FootnoteTextChar"/>
          <w:bCs/>
        </w:rPr>
        <w:t>inister</w:t>
      </w:r>
      <w:r w:rsidR="007B1CF2" w:rsidRPr="00501B0F">
        <w:rPr>
          <w:rStyle w:val="FootnoteTextChar"/>
        </w:rPr>
        <w:t xml:space="preserve"> and Cabinet,</w:t>
      </w:r>
      <w:r w:rsidRPr="00501B0F">
        <w:rPr>
          <w:rStyle w:val="FootnoteTextChar"/>
        </w:rPr>
        <w:t xml:space="preserve"> </w:t>
      </w:r>
      <w:r w:rsidR="00624511" w:rsidRPr="008C4411">
        <w:rPr>
          <w:rStyle w:val="FootnoteTextChar"/>
          <w:i/>
        </w:rPr>
        <w:t>Strengthening Skills: Expert Review of Australia’s Vocational Education and Training System</w:t>
      </w:r>
      <w:r w:rsidR="004B6C5A" w:rsidRPr="10659A38">
        <w:rPr>
          <w:rStyle w:val="FootnoteTextChar"/>
        </w:rPr>
        <w:fldChar w:fldCharType="begin"/>
      </w:r>
      <w:r w:rsidR="004B6C5A" w:rsidRPr="10659A38">
        <w:rPr>
          <w:rStyle w:val="FootnoteTextChar"/>
        </w:rPr>
        <w:fldChar w:fldCharType="separate"/>
      </w:r>
      <w:r w:rsidR="004B6C5A" w:rsidRPr="00501B0F">
        <w:rPr>
          <w:rStyle w:val="FootnoteTextChar"/>
        </w:rPr>
        <w:t>Steven Joyce, Strengthening skills: Expert review of Australia’s vocational education and training system</w:t>
      </w:r>
      <w:r w:rsidR="004B6C5A" w:rsidRPr="10659A38">
        <w:rPr>
          <w:rStyle w:val="FootnoteTextChar"/>
        </w:rPr>
        <w:fldChar w:fldCharType="end"/>
      </w:r>
      <w:r w:rsidRPr="00501B0F">
        <w:rPr>
          <w:rStyle w:val="FootnoteTextChar"/>
        </w:rPr>
        <w:t>,</w:t>
      </w:r>
      <w:r w:rsidR="004B6C5A" w:rsidRPr="00501B0F">
        <w:rPr>
          <w:rStyle w:val="FootnoteTextChar"/>
        </w:rPr>
        <w:t xml:space="preserve"> </w:t>
      </w:r>
      <w:r w:rsidR="00F6648D" w:rsidRPr="00501B0F">
        <w:rPr>
          <w:rStyle w:val="FootnoteTextChar"/>
        </w:rPr>
        <w:t>(</w:t>
      </w:r>
      <w:r w:rsidR="004B6C5A" w:rsidRPr="00501B0F">
        <w:rPr>
          <w:rStyle w:val="FootnoteTextChar"/>
        </w:rPr>
        <w:t>Canberra</w:t>
      </w:r>
      <w:r w:rsidR="00F6648D" w:rsidRPr="00501B0F">
        <w:rPr>
          <w:rStyle w:val="FootnoteTextChar"/>
          <w:bCs/>
        </w:rPr>
        <w:t>:</w:t>
      </w:r>
      <w:r w:rsidRPr="00501B0F">
        <w:rPr>
          <w:rStyle w:val="FootnoteTextChar"/>
        </w:rPr>
        <w:t xml:space="preserve"> 2019</w:t>
      </w:r>
      <w:r w:rsidR="00F6648D" w:rsidRPr="00501B0F">
        <w:rPr>
          <w:rStyle w:val="FootnoteTextChar"/>
        </w:rPr>
        <w:t>)</w:t>
      </w:r>
      <w:r w:rsidR="00A42535" w:rsidRPr="00501B0F">
        <w:rPr>
          <w:rStyle w:val="FootnoteTextChar"/>
        </w:rPr>
        <w:t>, 83</w:t>
      </w:r>
      <w:r w:rsidR="005478A0" w:rsidRPr="00501B0F">
        <w:rPr>
          <w:rStyle w:val="FootnoteTextChar"/>
        </w:rPr>
        <w:t xml:space="preserve">, </w:t>
      </w:r>
      <w:hyperlink r:id="rId77" w:history="1">
        <w:r w:rsidR="00677425" w:rsidRPr="004406D4">
          <w:rPr>
            <w:rStyle w:val="Hyperlink"/>
          </w:rPr>
          <w:t>www.pmc.gov.au/publications/strengthening-skills-expert-review-australias-vocational-education-and-training-system</w:t>
        </w:r>
      </w:hyperlink>
      <w:r w:rsidR="00A42535" w:rsidRPr="00501B0F">
        <w:rPr>
          <w:rStyle w:val="FootnoteTextChar"/>
          <w:bCs/>
        </w:rPr>
        <w:t>;</w:t>
      </w:r>
      <w:r w:rsidRPr="00501B0F">
        <w:rPr>
          <w:rStyle w:val="FootnoteTextChar"/>
        </w:rPr>
        <w:t xml:space="preserve"> </w:t>
      </w:r>
      <w:r w:rsidR="001D34EC" w:rsidRPr="00501B0F">
        <w:rPr>
          <w:rStyle w:val="FootnoteTextChar"/>
        </w:rPr>
        <w:t xml:space="preserve">Peter </w:t>
      </w:r>
      <w:proofErr w:type="spellStart"/>
      <w:r w:rsidR="001D34EC" w:rsidRPr="00501B0F">
        <w:rPr>
          <w:rStyle w:val="FootnoteTextChar"/>
        </w:rPr>
        <w:t>Shergold</w:t>
      </w:r>
      <w:proofErr w:type="spellEnd"/>
      <w:r w:rsidR="001B0794">
        <w:rPr>
          <w:rStyle w:val="FootnoteTextChar"/>
        </w:rPr>
        <w:t>,</w:t>
      </w:r>
      <w:r w:rsidR="00C5354F" w:rsidRPr="00C5354F">
        <w:rPr>
          <w:rStyle w:val="FootnoteTextChar"/>
        </w:rPr>
        <w:t xml:space="preserve"> Tom Calma</w:t>
      </w:r>
      <w:r w:rsidR="001B0794">
        <w:rPr>
          <w:rStyle w:val="FootnoteTextChar"/>
        </w:rPr>
        <w:t>,</w:t>
      </w:r>
      <w:r w:rsidR="00C5354F" w:rsidRPr="00C5354F">
        <w:rPr>
          <w:rStyle w:val="FootnoteTextChar"/>
        </w:rPr>
        <w:t xml:space="preserve"> Sarina Russo</w:t>
      </w:r>
      <w:r w:rsidR="001B0794">
        <w:rPr>
          <w:rStyle w:val="FootnoteTextChar"/>
        </w:rPr>
        <w:t>,</w:t>
      </w:r>
      <w:r w:rsidR="00C5354F" w:rsidRPr="00C5354F">
        <w:rPr>
          <w:rStyle w:val="FootnoteTextChar"/>
        </w:rPr>
        <w:t xml:space="preserve"> Patrea Walton</w:t>
      </w:r>
      <w:r w:rsidR="001B0794">
        <w:rPr>
          <w:rStyle w:val="FootnoteTextChar"/>
        </w:rPr>
        <w:t>,</w:t>
      </w:r>
      <w:r w:rsidR="00C5354F" w:rsidRPr="00C5354F">
        <w:rPr>
          <w:rStyle w:val="FootnoteTextChar"/>
        </w:rPr>
        <w:t xml:space="preserve"> Jennifer </w:t>
      </w:r>
      <w:proofErr w:type="spellStart"/>
      <w:r w:rsidR="00C5354F" w:rsidRPr="00C5354F">
        <w:rPr>
          <w:rStyle w:val="FootnoteTextChar"/>
        </w:rPr>
        <w:t>Westacott</w:t>
      </w:r>
      <w:proofErr w:type="spellEnd"/>
      <w:r w:rsidR="001B0794">
        <w:rPr>
          <w:rStyle w:val="FootnoteTextChar"/>
        </w:rPr>
        <w:t>,</w:t>
      </w:r>
      <w:r w:rsidR="00C5354F" w:rsidRPr="00C5354F">
        <w:rPr>
          <w:rStyle w:val="FootnoteTextChar"/>
        </w:rPr>
        <w:t xml:space="preserve"> Don Zoellner and Patrick O’Reilly</w:t>
      </w:r>
      <w:r w:rsidR="001D34EC" w:rsidRPr="00501B0F">
        <w:rPr>
          <w:rStyle w:val="FootnoteTextChar"/>
        </w:rPr>
        <w:t>,</w:t>
      </w:r>
      <w:r w:rsidRPr="00501B0F">
        <w:rPr>
          <w:rStyle w:val="FootnoteTextChar"/>
        </w:rPr>
        <w:t xml:space="preserve"> </w:t>
      </w:r>
      <w:r w:rsidRPr="00501B0F">
        <w:rPr>
          <w:rStyle w:val="FootnoteTextChar"/>
          <w:i/>
        </w:rPr>
        <w:t>Looking to the future: Report of the Review of senior secondary pathways into work, further education and training</w:t>
      </w:r>
      <w:r w:rsidR="001F6D55" w:rsidRPr="00501B0F">
        <w:rPr>
          <w:rStyle w:val="FootnoteTextChar"/>
        </w:rPr>
        <w:t xml:space="preserve">, </w:t>
      </w:r>
      <w:r w:rsidR="00421AA3">
        <w:rPr>
          <w:rStyle w:val="FootnoteTextChar"/>
          <w:bCs/>
        </w:rPr>
        <w:t>(</w:t>
      </w:r>
      <w:r w:rsidR="00CE0F4A">
        <w:rPr>
          <w:rStyle w:val="FootnoteTextChar"/>
          <w:bCs/>
        </w:rPr>
        <w:t xml:space="preserve">Canberra: </w:t>
      </w:r>
      <w:r w:rsidRPr="00501B0F">
        <w:rPr>
          <w:rStyle w:val="FootnoteTextChar"/>
        </w:rPr>
        <w:t>Education Council Australia</w:t>
      </w:r>
      <w:r w:rsidRPr="00501B0F" w:rsidDel="001F6D55">
        <w:rPr>
          <w:rStyle w:val="FootnoteTextChar"/>
        </w:rPr>
        <w:t>,</w:t>
      </w:r>
      <w:r w:rsidR="00CE0F4A">
        <w:rPr>
          <w:rStyle w:val="FootnoteTextChar"/>
          <w:bCs/>
        </w:rPr>
        <w:t xml:space="preserve"> June</w:t>
      </w:r>
      <w:r w:rsidRPr="00501B0F" w:rsidDel="001F6D55">
        <w:rPr>
          <w:rStyle w:val="FootnoteTextChar"/>
        </w:rPr>
        <w:t xml:space="preserve"> </w:t>
      </w:r>
      <w:r w:rsidRPr="00501B0F">
        <w:rPr>
          <w:rStyle w:val="FootnoteTextChar"/>
        </w:rPr>
        <w:t>2020</w:t>
      </w:r>
      <w:r w:rsidR="00CE0F4A">
        <w:rPr>
          <w:rStyle w:val="FootnoteTextChar"/>
          <w:bCs/>
        </w:rPr>
        <w:t xml:space="preserve">), 69, </w:t>
      </w:r>
      <w:hyperlink r:id="rId78" w:history="1">
        <w:r w:rsidR="009515E0" w:rsidRPr="00811871">
          <w:rPr>
            <w:rStyle w:val="Hyperlink"/>
            <w:bCs/>
          </w:rPr>
          <w:t>www.education.gov.au/quality-schools-package/resources/looking-future-report-review-senior-secondary-pathways-work-further-education-and-training</w:t>
        </w:r>
      </w:hyperlink>
      <w:r w:rsidR="009515E0">
        <w:rPr>
          <w:rStyle w:val="FootnoteTextChar"/>
        </w:rPr>
        <w:t xml:space="preserve">. </w:t>
      </w:r>
    </w:p>
  </w:footnote>
  <w:footnote w:id="137">
    <w:p w14:paraId="139A6363" w14:textId="0880C102" w:rsidR="00781D75" w:rsidRDefault="00781D75">
      <w:pPr>
        <w:pStyle w:val="FootnoteText"/>
      </w:pPr>
      <w:r>
        <w:rPr>
          <w:rStyle w:val="FootnoteReference"/>
        </w:rPr>
        <w:footnoteRef/>
      </w:r>
      <w:r>
        <w:t xml:space="preserve"> </w:t>
      </w:r>
      <w:r w:rsidR="00A94A49">
        <w:t>Singapore has</w:t>
      </w:r>
      <w:r w:rsidR="00222B33">
        <w:t xml:space="preserve"> launched a skills passport as part of </w:t>
      </w:r>
      <w:r w:rsidR="00834B54">
        <w:t>MySkillsFuture</w:t>
      </w:r>
      <w:r w:rsidR="00222B33">
        <w:t>.gov.sg</w:t>
      </w:r>
      <w:r w:rsidR="00B76743">
        <w:t>.</w:t>
      </w:r>
    </w:p>
  </w:footnote>
  <w:footnote w:id="138">
    <w:p w14:paraId="373712D4" w14:textId="321CF982" w:rsidR="001445E8" w:rsidRDefault="001445E8">
      <w:pPr>
        <w:pStyle w:val="FootnoteText"/>
      </w:pPr>
      <w:r w:rsidRPr="006719BE">
        <w:rPr>
          <w:rStyle w:val="FootnoteReference"/>
        </w:rPr>
        <w:footnoteRef/>
      </w:r>
      <w:r w:rsidR="00513F85" w:rsidRPr="006719BE">
        <w:t xml:space="preserve"> </w:t>
      </w:r>
      <w:r w:rsidR="006719BE" w:rsidRPr="00B51E8F">
        <w:t>Department of Employment and Workplace Relations</w:t>
      </w:r>
      <w:r w:rsidR="00513F85" w:rsidRPr="006719BE">
        <w:t>,</w:t>
      </w:r>
      <w:r w:rsidRPr="006719BE">
        <w:t xml:space="preserve"> </w:t>
      </w:r>
      <w:r w:rsidR="006719BE" w:rsidRPr="00B51E8F">
        <w:t>“</w:t>
      </w:r>
      <w:r w:rsidR="00513F85" w:rsidRPr="006719BE">
        <w:t>My Skills is now part of Your Career,</w:t>
      </w:r>
      <w:r w:rsidR="006719BE" w:rsidRPr="00B51E8F">
        <w:t>” 2023</w:t>
      </w:r>
      <w:r w:rsidR="00513F85" w:rsidRPr="006D291D">
        <w:t>,</w:t>
      </w:r>
      <w:r w:rsidR="00513F85" w:rsidRPr="006719BE">
        <w:t xml:space="preserve"> </w:t>
      </w:r>
      <w:r>
        <w:t>acce</w:t>
      </w:r>
      <w:r w:rsidR="007A3747">
        <w:t xml:space="preserve">ssed </w:t>
      </w:r>
      <w:r w:rsidR="00ED4C76">
        <w:t>10 December 2023</w:t>
      </w:r>
      <w:r w:rsidR="00B51E8F">
        <w:t>,</w:t>
      </w:r>
      <w:r w:rsidR="00513F85" w:rsidRPr="006719BE">
        <w:t xml:space="preserve"> </w:t>
      </w:r>
      <w:hyperlink r:id="rId79" w:history="1">
        <w:r w:rsidR="00513F85" w:rsidRPr="006719BE">
          <w:rPr>
            <w:rStyle w:val="Hyperlink"/>
          </w:rPr>
          <w:t>www.yourcareer.gov.au/learn-and-tr</w:t>
        </w:r>
        <w:bookmarkStart w:id="447" w:name="_Hlt155771653"/>
        <w:bookmarkStart w:id="448" w:name="_Hlt155771654"/>
        <w:r w:rsidR="00513F85" w:rsidRPr="006719BE">
          <w:rPr>
            <w:rStyle w:val="Hyperlink"/>
          </w:rPr>
          <w:t>a</w:t>
        </w:r>
        <w:bookmarkEnd w:id="447"/>
        <w:bookmarkEnd w:id="448"/>
        <w:r w:rsidR="00513F85" w:rsidRPr="006719BE">
          <w:rPr>
            <w:rStyle w:val="Hyperlink"/>
          </w:rPr>
          <w:t>in/myskills</w:t>
        </w:r>
      </w:hyperlink>
      <w:r w:rsidR="00B51E8F">
        <w:t>.</w:t>
      </w:r>
    </w:p>
  </w:footnote>
  <w:footnote w:id="139">
    <w:p w14:paraId="0ACC3821" w14:textId="1C9CBC82" w:rsidR="00F93272" w:rsidRPr="00B80650" w:rsidRDefault="00F93272">
      <w:pPr>
        <w:pStyle w:val="FootnoteText"/>
      </w:pPr>
      <w:r w:rsidRPr="00B80650">
        <w:rPr>
          <w:rStyle w:val="FootnoteReference"/>
        </w:rPr>
        <w:footnoteRef/>
      </w:r>
      <w:r w:rsidRPr="00B80650">
        <w:t xml:space="preserve"> </w:t>
      </w:r>
      <w:r w:rsidR="00BD3950">
        <w:t>Department of Education and the Universities Admissions Centre</w:t>
      </w:r>
      <w:r w:rsidR="003C04FE" w:rsidRPr="00BD3950">
        <w:t xml:space="preserve">, “What is a </w:t>
      </w:r>
      <w:proofErr w:type="spellStart"/>
      <w:r w:rsidR="003C04FE" w:rsidRPr="00BD3950">
        <w:t>Microcredential</w:t>
      </w:r>
      <w:proofErr w:type="spellEnd"/>
      <w:r w:rsidR="003C04FE" w:rsidRPr="00BD3950">
        <w:t>,”</w:t>
      </w:r>
      <w:r w:rsidR="003C04FE">
        <w:t xml:space="preserve"> </w:t>
      </w:r>
      <w:r w:rsidR="00B51E8F">
        <w:t xml:space="preserve">accessed 10 December 2023, </w:t>
      </w:r>
      <w:hyperlink r:id="rId80" w:history="1">
        <w:r w:rsidR="00A633B2" w:rsidRPr="00BD3950">
          <w:rPr>
            <w:rStyle w:val="Hyperlink"/>
          </w:rPr>
          <w:t>www.microcredsee</w:t>
        </w:r>
        <w:bookmarkStart w:id="449" w:name="_Hlt155771658"/>
        <w:bookmarkStart w:id="450" w:name="_Hlt155771659"/>
        <w:r w:rsidR="00A633B2" w:rsidRPr="00BD3950">
          <w:rPr>
            <w:rStyle w:val="Hyperlink"/>
          </w:rPr>
          <w:t>k</w:t>
        </w:r>
        <w:bookmarkEnd w:id="449"/>
        <w:bookmarkEnd w:id="450"/>
        <w:r w:rsidR="00A633B2" w:rsidRPr="00BD3950">
          <w:rPr>
            <w:rStyle w:val="Hyperlink"/>
          </w:rPr>
          <w:t>er.edu.au/about</w:t>
        </w:r>
      </w:hyperlink>
      <w:r w:rsidR="00B51E8F">
        <w:t>.</w:t>
      </w:r>
    </w:p>
  </w:footnote>
  <w:footnote w:id="140">
    <w:p w14:paraId="23FA09E1" w14:textId="43F87741" w:rsidR="00417E83" w:rsidRPr="00B80650" w:rsidRDefault="00417E83">
      <w:pPr>
        <w:pStyle w:val="FootnoteText"/>
      </w:pPr>
      <w:r w:rsidRPr="00B80650">
        <w:rPr>
          <w:rStyle w:val="FootnoteReference"/>
        </w:rPr>
        <w:footnoteRef/>
      </w:r>
      <w:r w:rsidRPr="00B80650">
        <w:t xml:space="preserve"> </w:t>
      </w:r>
      <w:r w:rsidR="00BD3950">
        <w:t>Department of Education and the Tertiary Admissions Centres</w:t>
      </w:r>
      <w:r w:rsidR="00A633B2" w:rsidRPr="00BD3950">
        <w:t xml:space="preserve">, </w:t>
      </w:r>
      <w:r w:rsidR="00BD3950" w:rsidRPr="00BD3950">
        <w:t>“</w:t>
      </w:r>
      <w:proofErr w:type="spellStart"/>
      <w:r w:rsidR="00A633B2" w:rsidRPr="00BD3950">
        <w:t>CourseSeeker</w:t>
      </w:r>
      <w:proofErr w:type="spellEnd"/>
      <w:r w:rsidR="00A633B2" w:rsidRPr="00BD3950">
        <w:t>,</w:t>
      </w:r>
      <w:r w:rsidR="00BD3950" w:rsidRPr="00BD3950">
        <w:t>”</w:t>
      </w:r>
      <w:r w:rsidR="00A633B2" w:rsidRPr="00BD3950">
        <w:t xml:space="preserve"> </w:t>
      </w:r>
      <w:r w:rsidR="00BD3950" w:rsidRPr="00BD3950">
        <w:t>accessed 10 December 2023</w:t>
      </w:r>
      <w:r w:rsidR="00BD3950">
        <w:t xml:space="preserve">, </w:t>
      </w:r>
      <w:hyperlink r:id="rId81" w:history="1">
        <w:r w:rsidR="00A633B2" w:rsidRPr="00BD3950">
          <w:rPr>
            <w:rStyle w:val="Hyperlink"/>
          </w:rPr>
          <w:t>www.courseseeker.ed</w:t>
        </w:r>
        <w:bookmarkStart w:id="451" w:name="_Hlt155771662"/>
        <w:bookmarkStart w:id="452" w:name="_Hlt155771663"/>
        <w:r w:rsidR="00A633B2" w:rsidRPr="00BD3950">
          <w:rPr>
            <w:rStyle w:val="Hyperlink"/>
          </w:rPr>
          <w:t>u</w:t>
        </w:r>
        <w:bookmarkEnd w:id="451"/>
        <w:bookmarkEnd w:id="452"/>
        <w:r w:rsidR="00A633B2" w:rsidRPr="00BD3950">
          <w:rPr>
            <w:rStyle w:val="Hyperlink"/>
          </w:rPr>
          <w:t>.au/</w:t>
        </w:r>
      </w:hyperlink>
      <w:r w:rsidR="00BD3950">
        <w:t>.</w:t>
      </w:r>
    </w:p>
  </w:footnote>
  <w:footnote w:id="141">
    <w:p w14:paraId="72BB21DC" w14:textId="2E03E303" w:rsidR="00FF0732" w:rsidRDefault="00FF0732">
      <w:pPr>
        <w:pStyle w:val="FootnoteText"/>
      </w:pPr>
      <w:r w:rsidRPr="00B80650">
        <w:rPr>
          <w:rStyle w:val="FootnoteReference"/>
        </w:rPr>
        <w:footnoteRef/>
      </w:r>
      <w:r w:rsidRPr="00B80650">
        <w:t xml:space="preserve"> </w:t>
      </w:r>
      <w:r w:rsidR="008F5644">
        <w:t>Department of industry, Science, Energy and Resources</w:t>
      </w:r>
      <w:r w:rsidR="00B80650" w:rsidRPr="008F5644">
        <w:t xml:space="preserve"> “About Skill Finder,” </w:t>
      </w:r>
      <w:r w:rsidR="008F5644" w:rsidRPr="008347D2">
        <w:t xml:space="preserve">Skills Finder, </w:t>
      </w:r>
      <w:r w:rsidR="008F5644" w:rsidRPr="00B80650">
        <w:t>accessed 10 December 2023</w:t>
      </w:r>
      <w:r w:rsidR="008F5644">
        <w:t xml:space="preserve">, </w:t>
      </w:r>
      <w:hyperlink r:id="rId82" w:history="1">
        <w:r w:rsidR="00B80650" w:rsidRPr="008F5644">
          <w:rPr>
            <w:rStyle w:val="Hyperlink"/>
          </w:rPr>
          <w:t>www.skillfinder.c</w:t>
        </w:r>
        <w:bookmarkStart w:id="453" w:name="_Hlt155771665"/>
        <w:bookmarkStart w:id="454" w:name="_Hlt155771666"/>
        <w:r w:rsidR="00B80650" w:rsidRPr="008F5644">
          <w:rPr>
            <w:rStyle w:val="Hyperlink"/>
          </w:rPr>
          <w:t>o</w:t>
        </w:r>
        <w:bookmarkEnd w:id="453"/>
        <w:bookmarkEnd w:id="454"/>
        <w:r w:rsidR="00B80650" w:rsidRPr="008F5644">
          <w:rPr>
            <w:rStyle w:val="Hyperlink"/>
          </w:rPr>
          <w:t>m.au/</w:t>
        </w:r>
        <w:r w:rsidR="00B80650" w:rsidRPr="00CD4355">
          <w:rPr>
            <w:rStyle w:val="Hyperlink"/>
          </w:rPr>
          <w:t>page/about</w:t>
        </w:r>
      </w:hyperlink>
      <w:r w:rsidR="00B80650" w:rsidRPr="00B80650">
        <w:t>.</w:t>
      </w:r>
    </w:p>
  </w:footnote>
  <w:footnote w:id="142">
    <w:p w14:paraId="1759FCDB" w14:textId="0C4093DD" w:rsidR="005B3445" w:rsidRPr="00601877" w:rsidRDefault="005B3445" w:rsidP="005B3445">
      <w:pPr>
        <w:pStyle w:val="FootnoteText"/>
        <w:rPr>
          <w:rFonts w:cstheme="minorHAnsi"/>
        </w:rPr>
      </w:pPr>
      <w:r w:rsidRPr="00601877">
        <w:rPr>
          <w:rStyle w:val="FootnoteReference"/>
          <w:rFonts w:cstheme="minorHAnsi"/>
        </w:rPr>
        <w:footnoteRef/>
      </w:r>
      <w:r w:rsidRPr="00601877">
        <w:rPr>
          <w:rFonts w:cstheme="minorHAnsi"/>
        </w:rPr>
        <w:t xml:space="preserve"> </w:t>
      </w:r>
      <w:r w:rsidR="00747563">
        <w:rPr>
          <w:rStyle w:val="normaltextrun"/>
          <w:rFonts w:ascii="Calibri" w:hAnsi="Calibri" w:cs="Calibri"/>
          <w:color w:val="000000"/>
          <w:shd w:val="clear" w:color="auto" w:fill="FFFFFF"/>
        </w:rPr>
        <w:t>Department of the Treasury,</w:t>
      </w:r>
      <w:r w:rsidR="00747563">
        <w:rPr>
          <w:rStyle w:val="normaltextrun"/>
          <w:rFonts w:ascii="Calibri" w:hAnsi="Calibri" w:cs="Calibri"/>
          <w:i/>
          <w:color w:val="000000"/>
          <w:shd w:val="clear" w:color="auto" w:fill="FFFFFF"/>
        </w:rPr>
        <w:t xml:space="preserve"> </w:t>
      </w:r>
      <w:r w:rsidR="00556F9E">
        <w:rPr>
          <w:rStyle w:val="findhit"/>
          <w:rFonts w:ascii="Calibri" w:hAnsi="Calibri" w:cs="Calibri"/>
          <w:i/>
          <w:iCs/>
          <w:color w:val="000000"/>
          <w:shd w:val="clear" w:color="auto" w:fill="FFFFFF"/>
        </w:rPr>
        <w:t>White Paper</w:t>
      </w:r>
      <w:r w:rsidR="00556F9E">
        <w:rPr>
          <w:rStyle w:val="normaltextrun"/>
          <w:rFonts w:ascii="Calibri" w:hAnsi="Calibri" w:cs="Calibri"/>
          <w:i/>
          <w:iCs/>
          <w:color w:val="000000"/>
          <w:shd w:val="clear" w:color="auto" w:fill="FFFFFF"/>
        </w:rPr>
        <w:t xml:space="preserve"> on </w:t>
      </w:r>
      <w:proofErr w:type="gramStart"/>
      <w:r w:rsidR="00556F9E">
        <w:rPr>
          <w:rStyle w:val="normaltextrun"/>
          <w:rFonts w:ascii="Calibri" w:hAnsi="Calibri" w:cs="Calibri"/>
          <w:i/>
          <w:iCs/>
          <w:color w:val="000000"/>
          <w:shd w:val="clear" w:color="auto" w:fill="FFFFFF"/>
        </w:rPr>
        <w:t>Jobs</w:t>
      </w:r>
      <w:proofErr w:type="gramEnd"/>
      <w:r w:rsidR="00556F9E">
        <w:rPr>
          <w:rStyle w:val="normaltextrun"/>
          <w:rFonts w:ascii="Calibri" w:hAnsi="Calibri" w:cs="Calibri"/>
          <w:i/>
          <w:iCs/>
          <w:color w:val="000000"/>
          <w:shd w:val="clear" w:color="auto" w:fill="FFFFFF"/>
        </w:rPr>
        <w:t xml:space="preserve"> and Opportunities</w:t>
      </w:r>
      <w:r w:rsidR="00556F9E">
        <w:rPr>
          <w:rStyle w:val="normaltextrun"/>
          <w:rFonts w:ascii="Calibri" w:hAnsi="Calibri" w:cs="Calibri"/>
          <w:color w:val="000000"/>
          <w:shd w:val="clear" w:color="auto" w:fill="FFFFFF"/>
        </w:rPr>
        <w:t xml:space="preserve">, </w:t>
      </w:r>
      <w:r w:rsidR="007D2D07">
        <w:rPr>
          <w:rStyle w:val="normaltextrun"/>
          <w:rFonts w:ascii="Calibri" w:hAnsi="Calibri" w:cs="Calibri"/>
          <w:color w:val="000000"/>
          <w:shd w:val="clear" w:color="auto" w:fill="FFFFFF"/>
        </w:rPr>
        <w:t>127.</w:t>
      </w:r>
    </w:p>
  </w:footnote>
  <w:footnote w:id="143">
    <w:p w14:paraId="75C31493" w14:textId="6628C13B" w:rsidR="0020516C" w:rsidRDefault="0020516C">
      <w:pPr>
        <w:pStyle w:val="FootnoteText"/>
      </w:pPr>
      <w:r>
        <w:rPr>
          <w:rStyle w:val="FootnoteReference"/>
        </w:rPr>
        <w:footnoteRef/>
      </w:r>
      <w:r>
        <w:t xml:space="preserve"> </w:t>
      </w:r>
      <w:r w:rsidR="00963438">
        <w:t xml:space="preserve">OECD, </w:t>
      </w:r>
      <w:r w:rsidR="00D24119" w:rsidRPr="00A9077F">
        <w:rPr>
          <w:i/>
          <w:iCs/>
        </w:rPr>
        <w:t xml:space="preserve">Education at a </w:t>
      </w:r>
      <w:r w:rsidR="00AA61A1" w:rsidRPr="00A9077F">
        <w:rPr>
          <w:i/>
          <w:iCs/>
        </w:rPr>
        <w:t>G</w:t>
      </w:r>
      <w:r w:rsidR="00D24119" w:rsidRPr="00A9077F">
        <w:rPr>
          <w:i/>
          <w:iCs/>
        </w:rPr>
        <w:t>lance</w:t>
      </w:r>
      <w:r w:rsidR="00E357D7" w:rsidRPr="00A9077F">
        <w:rPr>
          <w:i/>
        </w:rPr>
        <w:t xml:space="preserve"> 2023</w:t>
      </w:r>
      <w:r w:rsidR="00141D42" w:rsidRPr="00A9077F">
        <w:rPr>
          <w:i/>
          <w:iCs/>
        </w:rPr>
        <w:t>: OECD Indicators</w:t>
      </w:r>
      <w:r w:rsidR="00AA61A1">
        <w:t>,</w:t>
      </w:r>
      <w:r w:rsidR="00D24119">
        <w:t xml:space="preserve"> </w:t>
      </w:r>
      <w:r w:rsidR="00D32896">
        <w:t xml:space="preserve">(Paris: </w:t>
      </w:r>
      <w:r w:rsidR="00E357D7">
        <w:t xml:space="preserve">OECD Publishing, </w:t>
      </w:r>
      <w:r w:rsidR="00D24119">
        <w:t>2023</w:t>
      </w:r>
      <w:r w:rsidR="00D32896">
        <w:t>)</w:t>
      </w:r>
      <w:r w:rsidR="00D24119">
        <w:t xml:space="preserve">, </w:t>
      </w:r>
      <w:r w:rsidR="00E357D7">
        <w:t xml:space="preserve">131, </w:t>
      </w:r>
      <w:hyperlink r:id="rId83" w:history="1">
        <w:r w:rsidR="00C43918" w:rsidRPr="00811871">
          <w:rPr>
            <w:rStyle w:val="Hyperlink"/>
          </w:rPr>
          <w:t>www.oecd-il‌i‌brary.org/docserver/e13bef63-en.pdf?expires=1702424845&amp;id=id&amp;accname=guest‌&amp;checksum=911‌13B459B04‌9A3E‌3‌9F8C1D230A37A21</w:t>
        </w:r>
      </w:hyperlink>
      <w:r w:rsidR="00C43918">
        <w:t xml:space="preserve">. </w:t>
      </w:r>
    </w:p>
  </w:footnote>
  <w:footnote w:id="144">
    <w:p w14:paraId="72461228" w14:textId="4489D7CA" w:rsidR="005B3445" w:rsidRPr="00601877" w:rsidRDefault="005B3445" w:rsidP="005B3445">
      <w:pPr>
        <w:pStyle w:val="FootnoteText"/>
        <w:rPr>
          <w:rFonts w:cstheme="minorHAnsi"/>
        </w:rPr>
      </w:pPr>
      <w:r w:rsidRPr="00601877">
        <w:rPr>
          <w:rStyle w:val="FootnoteReference"/>
          <w:rFonts w:cstheme="minorHAnsi"/>
        </w:rPr>
        <w:footnoteRef/>
      </w:r>
      <w:r w:rsidRPr="00601877">
        <w:rPr>
          <w:rFonts w:cstheme="minorHAnsi"/>
        </w:rPr>
        <w:t xml:space="preserve"> The Hon J</w:t>
      </w:r>
      <w:r w:rsidR="00603693">
        <w:rPr>
          <w:rFonts w:cstheme="minorHAnsi"/>
        </w:rPr>
        <w:t>ohn</w:t>
      </w:r>
      <w:r w:rsidRPr="00601877">
        <w:rPr>
          <w:rFonts w:cstheme="minorHAnsi"/>
        </w:rPr>
        <w:t xml:space="preserve"> S Dawkins MP, </w:t>
      </w:r>
      <w:r w:rsidRPr="00A9077F">
        <w:rPr>
          <w:rFonts w:cstheme="minorHAnsi"/>
          <w:i/>
        </w:rPr>
        <w:t>Higher Education: a policy statement</w:t>
      </w:r>
      <w:r w:rsidRPr="00601877">
        <w:rPr>
          <w:rFonts w:cstheme="minorHAnsi"/>
        </w:rPr>
        <w:t>,</w:t>
      </w:r>
      <w:r w:rsidR="00522715">
        <w:rPr>
          <w:rFonts w:cstheme="minorHAnsi"/>
        </w:rPr>
        <w:t xml:space="preserve"> (Canberra:</w:t>
      </w:r>
      <w:r w:rsidR="00522715" w:rsidRPr="00522715">
        <w:rPr>
          <w:rFonts w:cstheme="minorHAnsi"/>
        </w:rPr>
        <w:t xml:space="preserve"> </w:t>
      </w:r>
      <w:r w:rsidR="00522715">
        <w:rPr>
          <w:rFonts w:cstheme="minorHAnsi"/>
        </w:rPr>
        <w:t>Department of Employment, Education and Training,</w:t>
      </w:r>
      <w:r w:rsidRPr="00601877">
        <w:rPr>
          <w:rFonts w:cstheme="minorHAnsi"/>
        </w:rPr>
        <w:t xml:space="preserve"> 1988</w:t>
      </w:r>
      <w:r w:rsidR="00522715">
        <w:rPr>
          <w:rFonts w:cstheme="minorHAnsi"/>
        </w:rPr>
        <w:t>)</w:t>
      </w:r>
      <w:r w:rsidRPr="00601877">
        <w:rPr>
          <w:rFonts w:cstheme="minorHAnsi"/>
        </w:rPr>
        <w:t>,</w:t>
      </w:r>
      <w:r w:rsidR="00522715">
        <w:rPr>
          <w:rFonts w:cstheme="minorHAnsi"/>
        </w:rPr>
        <w:t xml:space="preserve"> accessed 20 November 2023, 16</w:t>
      </w:r>
      <w:r w:rsidRPr="00601877">
        <w:rPr>
          <w:rFonts w:cstheme="minorHAnsi"/>
        </w:rPr>
        <w:t>,</w:t>
      </w:r>
      <w:r w:rsidR="00603693" w:rsidRPr="00601877">
        <w:rPr>
          <w:rFonts w:cstheme="minorHAnsi"/>
        </w:rPr>
        <w:t xml:space="preserve"> </w:t>
      </w:r>
      <w:hyperlink r:id="rId84" w:history="1">
        <w:r w:rsidR="00603693" w:rsidRPr="00601877">
          <w:rPr>
            <w:rStyle w:val="Hyperlink"/>
            <w:rFonts w:cstheme="minorHAnsi"/>
          </w:rPr>
          <w:t>hdl.voced.edu.au/10707/162333</w:t>
        </w:r>
      </w:hyperlink>
      <w:r w:rsidR="00522715">
        <w:rPr>
          <w:rFonts w:cstheme="minorHAnsi"/>
        </w:rPr>
        <w:t>.</w:t>
      </w:r>
    </w:p>
  </w:footnote>
  <w:footnote w:id="145">
    <w:p w14:paraId="05337601" w14:textId="772834AD" w:rsidR="005B3445" w:rsidRPr="00601877" w:rsidRDefault="005B3445" w:rsidP="005B3445">
      <w:pPr>
        <w:pStyle w:val="FootnoteText"/>
        <w:rPr>
          <w:rFonts w:cstheme="minorHAnsi"/>
        </w:rPr>
      </w:pPr>
      <w:r w:rsidRPr="00601877">
        <w:rPr>
          <w:rStyle w:val="FootnoteReference"/>
          <w:rFonts w:cstheme="minorHAnsi"/>
        </w:rPr>
        <w:footnoteRef/>
      </w:r>
      <w:r w:rsidRPr="00601877">
        <w:rPr>
          <w:rFonts w:cstheme="minorHAnsi"/>
        </w:rPr>
        <w:t xml:space="preserve"> Productivity Commission, </w:t>
      </w:r>
      <w:r w:rsidRPr="00601877">
        <w:rPr>
          <w:rFonts w:cstheme="minorHAnsi"/>
          <w:i/>
        </w:rPr>
        <w:t>5-year Productivity Inquiry: From learning to growth,</w:t>
      </w:r>
      <w:r w:rsidRPr="00601877">
        <w:rPr>
          <w:rFonts w:cstheme="minorHAnsi"/>
        </w:rPr>
        <w:t xml:space="preserve"> 8, 100, </w:t>
      </w:r>
      <w:r w:rsidR="00107340">
        <w:rPr>
          <w:rFonts w:cstheme="minorHAnsi"/>
        </w:rPr>
        <w:t xml:space="preserve">(Canberra: 7 February </w:t>
      </w:r>
      <w:r w:rsidRPr="00601877">
        <w:rPr>
          <w:rFonts w:cstheme="minorHAnsi"/>
        </w:rPr>
        <w:t>2023</w:t>
      </w:r>
      <w:r w:rsidR="00107340">
        <w:rPr>
          <w:rFonts w:cstheme="minorHAnsi"/>
        </w:rPr>
        <w:t>)</w:t>
      </w:r>
      <w:r w:rsidRPr="00601877">
        <w:rPr>
          <w:rFonts w:cstheme="minorHAnsi"/>
        </w:rPr>
        <w:t xml:space="preserve"> </w:t>
      </w:r>
      <w:hyperlink r:id="rId85" w:history="1">
        <w:r w:rsidR="000032F1" w:rsidRPr="00DB4EE1">
          <w:rPr>
            <w:rStyle w:val="Hyperlink"/>
            <w:rFonts w:cstheme="minorHAnsi"/>
          </w:rPr>
          <w:t>www.pc.gov.au/inquiries/completed/productivity/report/productivity-volume8-education-skills.pdf</w:t>
        </w:r>
      </w:hyperlink>
      <w:r w:rsidR="00B558D8">
        <w:rPr>
          <w:rFonts w:cstheme="minorHAnsi"/>
        </w:rPr>
        <w:t>.</w:t>
      </w:r>
    </w:p>
  </w:footnote>
  <w:footnote w:id="146">
    <w:p w14:paraId="6ED9E1E5" w14:textId="7A686508" w:rsidR="00133232" w:rsidRDefault="00133232">
      <w:pPr>
        <w:pStyle w:val="FootnoteText"/>
      </w:pPr>
      <w:r>
        <w:rPr>
          <w:rStyle w:val="FootnoteReference"/>
        </w:rPr>
        <w:footnoteRef/>
      </w:r>
      <w:r w:rsidR="004745EC">
        <w:t xml:space="preserve"> </w:t>
      </w:r>
      <w:r w:rsidR="004745EC" w:rsidRPr="004745EC">
        <w:t xml:space="preserve">RMIT University, </w:t>
      </w:r>
      <w:r w:rsidR="004745EC" w:rsidRPr="00A9077F">
        <w:rPr>
          <w:i/>
        </w:rPr>
        <w:t>A more responsive tertiary education sector to better meet skills needs</w:t>
      </w:r>
      <w:r w:rsidR="004745EC" w:rsidRPr="004745EC">
        <w:t xml:space="preserve"> [unpublished report], (Melbourne: Department of Education, 2023)</w:t>
      </w:r>
      <w:r w:rsidR="004745EC">
        <w:t xml:space="preserve">, </w:t>
      </w:r>
      <w:r w:rsidR="00752CBD">
        <w:t>16.</w:t>
      </w:r>
    </w:p>
  </w:footnote>
  <w:footnote w:id="147">
    <w:p w14:paraId="2242C661" w14:textId="77777777" w:rsidR="005B3445" w:rsidRPr="00601877" w:rsidRDefault="005B3445" w:rsidP="005B3445">
      <w:pPr>
        <w:pStyle w:val="FootnoteText"/>
        <w:rPr>
          <w:rFonts w:eastAsia="Arial" w:cstheme="minorHAnsi"/>
          <w:color w:val="222222"/>
        </w:rPr>
      </w:pPr>
      <w:r w:rsidRPr="00570A6C">
        <w:rPr>
          <w:rStyle w:val="FootnoteReference"/>
        </w:rPr>
        <w:footnoteRef/>
      </w:r>
      <w:r w:rsidRPr="00601877">
        <w:rPr>
          <w:rFonts w:cstheme="minorHAnsi"/>
        </w:rPr>
        <w:t xml:space="preserve"> </w:t>
      </w:r>
      <w:r w:rsidRPr="00601877">
        <w:rPr>
          <w:rFonts w:eastAsia="Arial" w:cstheme="minorHAnsi"/>
          <w:color w:val="222222"/>
        </w:rPr>
        <w:t xml:space="preserve">OECD, </w:t>
      </w:r>
      <w:r w:rsidRPr="00601877">
        <w:rPr>
          <w:rFonts w:eastAsia="Arial" w:cstheme="minorHAnsi"/>
          <w:i/>
          <w:color w:val="222222"/>
        </w:rPr>
        <w:t xml:space="preserve">Education Policy Outlook 2022: </w:t>
      </w:r>
      <w:r w:rsidRPr="00601877">
        <w:rPr>
          <w:rFonts w:eastAsia="Arial" w:cstheme="minorHAnsi"/>
          <w:color w:val="222222"/>
        </w:rPr>
        <w:t xml:space="preserve">Transforming Pathways for Lifelong Learners, OECD publishing, </w:t>
      </w:r>
      <w:proofErr w:type="gramStart"/>
      <w:r w:rsidRPr="00601877">
        <w:rPr>
          <w:rFonts w:eastAsia="Arial" w:cstheme="minorHAnsi"/>
          <w:color w:val="222222"/>
        </w:rPr>
        <w:t>2022</w:t>
      </w:r>
      <w:proofErr w:type="gramEnd"/>
    </w:p>
  </w:footnote>
  <w:footnote w:id="148">
    <w:p w14:paraId="43671706" w14:textId="73128823" w:rsidR="00EA06FB" w:rsidRDefault="00EA06FB">
      <w:pPr>
        <w:pStyle w:val="FootnoteText"/>
      </w:pPr>
      <w:r>
        <w:rPr>
          <w:rStyle w:val="FootnoteReference"/>
        </w:rPr>
        <w:footnoteRef/>
      </w:r>
      <w:r>
        <w:t xml:space="preserve"> </w:t>
      </w:r>
      <w:r w:rsidRPr="00EA06FB">
        <w:t xml:space="preserve">Department of the Treasury, </w:t>
      </w:r>
      <w:r w:rsidRPr="004A4AB7">
        <w:rPr>
          <w:i/>
          <w:iCs/>
        </w:rPr>
        <w:t xml:space="preserve">White Paper on </w:t>
      </w:r>
      <w:proofErr w:type="gramStart"/>
      <w:r w:rsidRPr="004A4AB7">
        <w:rPr>
          <w:i/>
          <w:iCs/>
        </w:rPr>
        <w:t>Jobs</w:t>
      </w:r>
      <w:proofErr w:type="gramEnd"/>
      <w:r w:rsidRPr="004A4AB7">
        <w:rPr>
          <w:i/>
          <w:iCs/>
        </w:rPr>
        <w:t xml:space="preserve"> and Opportunities</w:t>
      </w:r>
      <w:r w:rsidRPr="00EA06FB">
        <w:t>, 97</w:t>
      </w:r>
      <w:r w:rsidR="004A4AB7">
        <w:t>.</w:t>
      </w:r>
    </w:p>
  </w:footnote>
  <w:footnote w:id="149">
    <w:p w14:paraId="1F076095" w14:textId="5C79B7F3" w:rsidR="006D0E66" w:rsidRDefault="006D0E66">
      <w:pPr>
        <w:pStyle w:val="FootnoteText"/>
      </w:pPr>
      <w:r>
        <w:rPr>
          <w:rStyle w:val="FootnoteReference"/>
        </w:rPr>
        <w:footnoteRef/>
      </w:r>
      <w:r>
        <w:t xml:space="preserve"> </w:t>
      </w:r>
      <w:r w:rsidR="003472F1">
        <w:t>New Zealand Qualifications Authority (</w:t>
      </w:r>
      <w:r>
        <w:t>NZQA</w:t>
      </w:r>
      <w:r w:rsidR="003472F1">
        <w:t>)</w:t>
      </w:r>
      <w:r>
        <w:t xml:space="preserve">, </w:t>
      </w:r>
      <w:r w:rsidR="00704752" w:rsidRPr="00704752">
        <w:t>“</w:t>
      </w:r>
      <w:r w:rsidRPr="008C4411">
        <w:t>Micro-credential approval, accreditation and listing</w:t>
      </w:r>
      <w:r w:rsidRPr="00704752">
        <w:t>,</w:t>
      </w:r>
      <w:r w:rsidR="00704752" w:rsidRPr="00704752">
        <w:t>”</w:t>
      </w:r>
      <w:r>
        <w:t xml:space="preserve"> </w:t>
      </w:r>
      <w:r w:rsidR="003472F1">
        <w:t xml:space="preserve">2023, accessed 10 December 2023, </w:t>
      </w:r>
      <w:hyperlink r:id="rId86" w:history="1">
        <w:r w:rsidR="003472F1" w:rsidRPr="003472F1">
          <w:rPr>
            <w:rStyle w:val="Hyperlink"/>
          </w:rPr>
          <w:t>www2.nzqa.govt.nz/tertiary/approval-accreditation-and-registration/micro-credentials/</w:t>
        </w:r>
      </w:hyperlink>
      <w:r w:rsidR="003472F1">
        <w:t>.</w:t>
      </w:r>
    </w:p>
  </w:footnote>
  <w:footnote w:id="150">
    <w:p w14:paraId="76C12BAF" w14:textId="4492BCB8" w:rsidR="005B3445" w:rsidRPr="00601877" w:rsidRDefault="005B3445" w:rsidP="005B3445">
      <w:pPr>
        <w:pStyle w:val="FootnoteText"/>
        <w:rPr>
          <w:rFonts w:cstheme="minorHAnsi"/>
        </w:rPr>
      </w:pPr>
      <w:r w:rsidRPr="00601877">
        <w:rPr>
          <w:rStyle w:val="FootnoteReference"/>
          <w:rFonts w:cstheme="minorHAnsi"/>
        </w:rPr>
        <w:footnoteRef/>
      </w:r>
      <w:r w:rsidRPr="00601877">
        <w:rPr>
          <w:rFonts w:cstheme="minorHAnsi"/>
        </w:rPr>
        <w:t xml:space="preserve"> Office for Students (</w:t>
      </w:r>
      <w:proofErr w:type="spellStart"/>
      <w:r w:rsidRPr="00601877">
        <w:rPr>
          <w:rFonts w:cstheme="minorHAnsi"/>
        </w:rPr>
        <w:t>OfS</w:t>
      </w:r>
      <w:proofErr w:type="spellEnd"/>
      <w:r w:rsidRPr="00601877">
        <w:rPr>
          <w:rFonts w:cstheme="minorHAnsi"/>
        </w:rPr>
        <w:t xml:space="preserve">), </w:t>
      </w:r>
      <w:r w:rsidR="00DE338D" w:rsidRPr="0072052F">
        <w:rPr>
          <w:rStyle w:val="Hyperlink"/>
          <w:rFonts w:cstheme="minorHAnsi"/>
          <w:iCs/>
          <w:color w:val="auto"/>
          <w:u w:val="none"/>
        </w:rPr>
        <w:t>“</w:t>
      </w:r>
      <w:r w:rsidR="00DE338D" w:rsidRPr="008C4411">
        <w:t>Higher education short course trial</w:t>
      </w:r>
      <w:r w:rsidRPr="008C4411">
        <w:rPr>
          <w:rFonts w:cstheme="minorHAnsi"/>
          <w:iCs/>
        </w:rPr>
        <w:t>,</w:t>
      </w:r>
      <w:r w:rsidR="00DE338D" w:rsidRPr="008C4411">
        <w:rPr>
          <w:rFonts w:cstheme="minorHAnsi"/>
          <w:iCs/>
        </w:rPr>
        <w:t>”</w:t>
      </w:r>
      <w:r w:rsidRPr="00601877">
        <w:rPr>
          <w:rFonts w:cstheme="minorHAnsi"/>
        </w:rPr>
        <w:t xml:space="preserve"> 2023, accessed 7 June 2023</w:t>
      </w:r>
      <w:r w:rsidR="00DE338D">
        <w:rPr>
          <w:rFonts w:cstheme="minorHAnsi"/>
        </w:rPr>
        <w:t xml:space="preserve">, </w:t>
      </w:r>
      <w:hyperlink r:id="rId87" w:history="1">
        <w:r w:rsidR="00CE2B85" w:rsidRPr="00811871">
          <w:rPr>
            <w:rStyle w:val="Hyperlink"/>
            <w:rFonts w:cstheme="minorHAnsi"/>
          </w:rPr>
          <w:t>www.officeforstudents.org.uk/advice-and-guidance/skills-and-employment/higher-education-short-course-trial/</w:t>
        </w:r>
      </w:hyperlink>
      <w:r w:rsidR="00CE2B85">
        <w:rPr>
          <w:rFonts w:cstheme="minorHAnsi"/>
        </w:rPr>
        <w:t xml:space="preserve">. </w:t>
      </w:r>
    </w:p>
  </w:footnote>
  <w:footnote w:id="151">
    <w:p w14:paraId="45DBAB99" w14:textId="4C5EB7B5" w:rsidR="00F8755A" w:rsidRDefault="00F8755A">
      <w:pPr>
        <w:pStyle w:val="FootnoteText"/>
      </w:pPr>
      <w:r>
        <w:rPr>
          <w:rStyle w:val="FootnoteReference"/>
        </w:rPr>
        <w:footnoteRef/>
      </w:r>
      <w:r>
        <w:t xml:space="preserve"> </w:t>
      </w:r>
      <w:r w:rsidR="00B42E5E">
        <w:t>Australian Computer Society,</w:t>
      </w:r>
      <w:r w:rsidR="006C1673">
        <w:t xml:space="preserve"> “ACS </w:t>
      </w:r>
      <w:proofErr w:type="spellStart"/>
      <w:r w:rsidR="006C1673">
        <w:t>microCredentials</w:t>
      </w:r>
      <w:proofErr w:type="spellEnd"/>
      <w:r w:rsidR="006C1673">
        <w:t>, accessed 10 December 2023,</w:t>
      </w:r>
      <w:r w:rsidR="00B42E5E">
        <w:t xml:space="preserve"> </w:t>
      </w:r>
      <w:hyperlink r:id="rId88" w:history="1">
        <w:r w:rsidR="0083518E" w:rsidRPr="001F7437">
          <w:rPr>
            <w:rStyle w:val="Hyperlink"/>
          </w:rPr>
          <w:t>www.acs.org.au/professionalrecognition/microcredentials-home.html</w:t>
        </w:r>
      </w:hyperlink>
      <w:r w:rsidR="006C1673">
        <w:t>.</w:t>
      </w:r>
    </w:p>
  </w:footnote>
  <w:footnote w:id="152">
    <w:p w14:paraId="3B249236" w14:textId="68BA84ED" w:rsidR="005B3445" w:rsidRPr="00601877" w:rsidRDefault="005B3445" w:rsidP="005B3445">
      <w:pPr>
        <w:pStyle w:val="FootnoteText"/>
        <w:rPr>
          <w:rFonts w:cstheme="minorHAnsi"/>
        </w:rPr>
      </w:pPr>
      <w:r w:rsidRPr="00601877">
        <w:rPr>
          <w:rStyle w:val="FootnoteReference"/>
          <w:rFonts w:cstheme="minorHAnsi"/>
        </w:rPr>
        <w:footnoteRef/>
      </w:r>
      <w:r w:rsidRPr="00601877">
        <w:rPr>
          <w:rFonts w:cstheme="minorHAnsi"/>
        </w:rPr>
        <w:t xml:space="preserve"> Department of Education, </w:t>
      </w:r>
      <w:r w:rsidRPr="008C4411">
        <w:rPr>
          <w:rFonts w:cstheme="minorHAnsi"/>
          <w:i/>
        </w:rPr>
        <w:t xml:space="preserve">National </w:t>
      </w:r>
      <w:proofErr w:type="spellStart"/>
      <w:r w:rsidRPr="008C4411">
        <w:rPr>
          <w:rFonts w:cstheme="minorHAnsi"/>
          <w:i/>
        </w:rPr>
        <w:t>Microcredentials</w:t>
      </w:r>
      <w:proofErr w:type="spellEnd"/>
      <w:r w:rsidRPr="008C4411">
        <w:rPr>
          <w:rFonts w:cstheme="minorHAnsi"/>
          <w:i/>
        </w:rPr>
        <w:t xml:space="preserve"> Framework</w:t>
      </w:r>
      <w:r w:rsidRPr="00601877">
        <w:rPr>
          <w:rFonts w:cstheme="minorHAnsi"/>
        </w:rPr>
        <w:t xml:space="preserve">, </w:t>
      </w:r>
      <w:r w:rsidR="004A4AB7">
        <w:rPr>
          <w:rFonts w:cstheme="minorHAnsi"/>
        </w:rPr>
        <w:t xml:space="preserve">(Canberra: </w:t>
      </w:r>
      <w:r w:rsidRPr="00601877">
        <w:rPr>
          <w:rFonts w:cstheme="minorHAnsi"/>
        </w:rPr>
        <w:t>2022</w:t>
      </w:r>
      <w:r w:rsidR="004A4AB7">
        <w:rPr>
          <w:rFonts w:cstheme="minorHAnsi"/>
        </w:rPr>
        <w:t>)</w:t>
      </w:r>
      <w:r w:rsidRPr="00601877">
        <w:rPr>
          <w:rFonts w:cstheme="minorHAnsi"/>
        </w:rPr>
        <w:t xml:space="preserve">, </w:t>
      </w:r>
      <w:r w:rsidR="004A4AB7">
        <w:rPr>
          <w:rFonts w:cstheme="minorHAnsi"/>
        </w:rPr>
        <w:t xml:space="preserve">3, </w:t>
      </w:r>
      <w:hyperlink r:id="rId89" w:history="1">
        <w:r w:rsidR="002223A8" w:rsidRPr="00811871">
          <w:rPr>
            <w:rStyle w:val="Hyperlink"/>
            <w:rFonts w:cstheme="minorHAnsi"/>
          </w:rPr>
          <w:t>www.education.gov.au/higher-education-publications/resources/national-microcredentials-framework</w:t>
        </w:r>
      </w:hyperlink>
      <w:r w:rsidR="002223A8">
        <w:rPr>
          <w:rFonts w:cstheme="minorHAnsi"/>
        </w:rPr>
        <w:t xml:space="preserve">. </w:t>
      </w:r>
    </w:p>
  </w:footnote>
  <w:footnote w:id="153">
    <w:p w14:paraId="74F81983" w14:textId="568A60B2" w:rsidR="00912F4F" w:rsidRDefault="00912F4F">
      <w:pPr>
        <w:pStyle w:val="FootnoteText"/>
      </w:pPr>
      <w:r>
        <w:rPr>
          <w:rStyle w:val="FootnoteReference"/>
        </w:rPr>
        <w:footnoteRef/>
      </w:r>
      <w:r>
        <w:t xml:space="preserve"> TEQSA</w:t>
      </w:r>
      <w:r w:rsidR="0089250D">
        <w:t xml:space="preserve">, </w:t>
      </w:r>
      <w:r w:rsidR="006E0C61" w:rsidRPr="006E0C61">
        <w:t>“</w:t>
      </w:r>
      <w:r w:rsidR="0089250D" w:rsidRPr="008C4411">
        <w:t>Guidance note: Nested courses of study</w:t>
      </w:r>
      <w:r w:rsidR="00053C26" w:rsidRPr="008C4411">
        <w:t>,</w:t>
      </w:r>
      <w:r w:rsidR="006E0C61" w:rsidRPr="008C4411">
        <w:t>”</w:t>
      </w:r>
      <w:r w:rsidR="00053C26">
        <w:rPr>
          <w:i/>
          <w:iCs/>
        </w:rPr>
        <w:t xml:space="preserve"> </w:t>
      </w:r>
      <w:r w:rsidR="00053C26">
        <w:t>accessed 10 December 2023,</w:t>
      </w:r>
      <w:r w:rsidR="0089250D" w:rsidRPr="0089250D">
        <w:t xml:space="preserve"> </w:t>
      </w:r>
      <w:hyperlink r:id="rId90" w:history="1">
        <w:r w:rsidR="0089250D" w:rsidRPr="001F7437">
          <w:rPr>
            <w:rStyle w:val="Hyperlink"/>
          </w:rPr>
          <w:t>www.teqsa.gov.au/guides-resources/resources/guidance-notes/guidance-note-nested</w:t>
        </w:r>
        <w:bookmarkStart w:id="478" w:name="_Hlt155771825"/>
        <w:bookmarkStart w:id="479" w:name="_Hlt155771826"/>
        <w:r w:rsidR="0089250D" w:rsidRPr="001F7437">
          <w:rPr>
            <w:rStyle w:val="Hyperlink"/>
          </w:rPr>
          <w:t>-</w:t>
        </w:r>
        <w:bookmarkEnd w:id="478"/>
        <w:bookmarkEnd w:id="479"/>
        <w:r w:rsidR="0089250D" w:rsidRPr="001F7437">
          <w:rPr>
            <w:rStyle w:val="Hyperlink"/>
          </w:rPr>
          <w:t>courses-study</w:t>
        </w:r>
      </w:hyperlink>
      <w:r w:rsidR="00053C26">
        <w:t>.</w:t>
      </w:r>
    </w:p>
  </w:footnote>
  <w:footnote w:id="154">
    <w:p w14:paraId="2896A1D7" w14:textId="561AD8E0" w:rsidR="00DC567E" w:rsidRDefault="00DC567E" w:rsidP="00DC567E">
      <w:pPr>
        <w:pStyle w:val="FootnoteText"/>
      </w:pPr>
      <w:r>
        <w:rPr>
          <w:rStyle w:val="FootnoteReference"/>
        </w:rPr>
        <w:footnoteRef/>
      </w:r>
      <w:r>
        <w:t xml:space="preserve"> Productivity Commission, </w:t>
      </w:r>
      <w:r w:rsidRPr="00053C26">
        <w:rPr>
          <w:i/>
        </w:rPr>
        <w:t xml:space="preserve">5-year </w:t>
      </w:r>
      <w:r w:rsidR="006F3547" w:rsidRPr="00053C26">
        <w:rPr>
          <w:i/>
        </w:rPr>
        <w:t>Productivity Inquiry: From learning to growth</w:t>
      </w:r>
      <w:r w:rsidR="006F3547">
        <w:t>, 125.</w:t>
      </w:r>
    </w:p>
  </w:footnote>
  <w:footnote w:id="155">
    <w:p w14:paraId="55F55FA3" w14:textId="15AC7C63" w:rsidR="00AE2B94" w:rsidRDefault="00AE2B94">
      <w:pPr>
        <w:pStyle w:val="FootnoteText"/>
      </w:pPr>
      <w:r>
        <w:rPr>
          <w:rStyle w:val="FootnoteReference"/>
        </w:rPr>
        <w:footnoteRef/>
      </w:r>
      <w:r>
        <w:t xml:space="preserve"> </w:t>
      </w:r>
      <w:r w:rsidR="009145F9" w:rsidRPr="009145F9">
        <w:t xml:space="preserve">OECD, </w:t>
      </w:r>
      <w:r w:rsidR="009145F9" w:rsidRPr="00053C26">
        <w:rPr>
          <w:i/>
        </w:rPr>
        <w:t>Education at glance: Educational attainment and labour-force status</w:t>
      </w:r>
      <w:r w:rsidR="00256150">
        <w:t xml:space="preserve"> [data set]</w:t>
      </w:r>
      <w:r w:rsidR="009145F9" w:rsidRPr="009145F9">
        <w:t xml:space="preserve">, </w:t>
      </w:r>
      <w:r w:rsidR="00256150">
        <w:t>(</w:t>
      </w:r>
      <w:r w:rsidR="009145F9" w:rsidRPr="009145F9">
        <w:t>2023</w:t>
      </w:r>
      <w:r w:rsidR="00256150">
        <w:t>)</w:t>
      </w:r>
      <w:r w:rsidR="009145F9" w:rsidRPr="009145F9">
        <w:t xml:space="preserve">, accessed </w:t>
      </w:r>
      <w:r w:rsidR="00256150">
        <w:t xml:space="preserve">1 </w:t>
      </w:r>
      <w:r w:rsidR="009145F9" w:rsidRPr="009145F9">
        <w:t>December 2023</w:t>
      </w:r>
      <w:r w:rsidR="00E845E9">
        <w:t xml:space="preserve">, </w:t>
      </w:r>
      <w:hyperlink r:id="rId91" w:history="1">
        <w:r w:rsidR="004D6A50" w:rsidRPr="00811871">
          <w:rPr>
            <w:rStyle w:val="Hyperlink"/>
          </w:rPr>
          <w:t>www.oecd-ilibrary.org/education/data/education-at-a-glance/educational-attainment-and-labour-force-status_889e8641-en</w:t>
        </w:r>
      </w:hyperlink>
      <w:r w:rsidR="004D6A50">
        <w:t xml:space="preserve">. </w:t>
      </w:r>
    </w:p>
  </w:footnote>
  <w:footnote w:id="156">
    <w:p w14:paraId="6B0C08A8" w14:textId="152C8EC6" w:rsidR="005B3445" w:rsidRPr="00601877" w:rsidRDefault="005B3445" w:rsidP="005B3445">
      <w:pPr>
        <w:pStyle w:val="FootnoteText"/>
        <w:rPr>
          <w:rFonts w:cstheme="minorHAnsi"/>
        </w:rPr>
      </w:pPr>
      <w:r w:rsidRPr="00601877">
        <w:rPr>
          <w:rStyle w:val="FootnoteReference"/>
          <w:rFonts w:cstheme="minorHAnsi"/>
        </w:rPr>
        <w:footnoteRef/>
      </w:r>
      <w:r w:rsidRPr="00601877">
        <w:rPr>
          <w:rFonts w:cstheme="minorHAnsi"/>
        </w:rPr>
        <w:t xml:space="preserve"> Australian Technology Network of Universities (ATN) and Nous Group, </w:t>
      </w:r>
      <w:r w:rsidR="00B468B0" w:rsidRPr="00053C26">
        <w:t>Enhancing the Value of PhDs to Australian Industry</w:t>
      </w:r>
      <w:r w:rsidRPr="00601877">
        <w:rPr>
          <w:rFonts w:cstheme="minorHAnsi"/>
        </w:rPr>
        <w:t xml:space="preserve">, </w:t>
      </w:r>
      <w:r w:rsidR="00B468B0">
        <w:rPr>
          <w:rFonts w:cstheme="minorHAnsi"/>
        </w:rPr>
        <w:t xml:space="preserve">(Melbourne: </w:t>
      </w:r>
      <w:r w:rsidRPr="00601877" w:rsidDel="00B55087">
        <w:rPr>
          <w:rFonts w:cstheme="minorHAnsi"/>
        </w:rPr>
        <w:t>ATN</w:t>
      </w:r>
      <w:r w:rsidRPr="00601877">
        <w:rPr>
          <w:rFonts w:cstheme="minorHAnsi"/>
        </w:rPr>
        <w:t xml:space="preserve">, </w:t>
      </w:r>
      <w:r w:rsidR="00361C4C">
        <w:rPr>
          <w:rFonts w:cstheme="minorHAnsi"/>
        </w:rPr>
        <w:t>2017</w:t>
      </w:r>
      <w:r w:rsidR="00B468B0">
        <w:rPr>
          <w:rFonts w:cstheme="minorHAnsi"/>
        </w:rPr>
        <w:t>)</w:t>
      </w:r>
      <w:r w:rsidR="00361C4C">
        <w:rPr>
          <w:rFonts w:cstheme="minorHAnsi"/>
        </w:rPr>
        <w:t xml:space="preserve">, </w:t>
      </w:r>
      <w:r w:rsidRPr="00601877">
        <w:rPr>
          <w:rFonts w:cstheme="minorHAnsi"/>
        </w:rPr>
        <w:t>accessed 16 May 2023</w:t>
      </w:r>
      <w:r w:rsidR="00B468B0">
        <w:rPr>
          <w:rFonts w:cstheme="minorHAnsi"/>
        </w:rPr>
        <w:t>,</w:t>
      </w:r>
      <w:r w:rsidR="00BF2469">
        <w:rPr>
          <w:rFonts w:cstheme="minorHAnsi"/>
        </w:rPr>
        <w:t xml:space="preserve"> 8,</w:t>
      </w:r>
      <w:r w:rsidR="00B468B0">
        <w:rPr>
          <w:rFonts w:cstheme="minorHAnsi"/>
        </w:rPr>
        <w:t xml:space="preserve"> </w:t>
      </w:r>
      <w:hyperlink r:id="rId92" w:history="1">
        <w:r w:rsidR="004D6A50" w:rsidRPr="00811871">
          <w:rPr>
            <w:rStyle w:val="Hyperlink"/>
            <w:rFonts w:cstheme="minorHAnsi"/>
          </w:rPr>
          <w:t>atn.edu.au/wp-content/uploads/2021/12/atn01-phd-report-web-single.pdf</w:t>
        </w:r>
      </w:hyperlink>
      <w:r w:rsidR="004D6A50">
        <w:rPr>
          <w:rFonts w:cstheme="minorHAnsi"/>
        </w:rPr>
        <w:t xml:space="preserve">. </w:t>
      </w:r>
    </w:p>
  </w:footnote>
  <w:footnote w:id="157">
    <w:p w14:paraId="475E04BD" w14:textId="696E0D3B" w:rsidR="00093A74" w:rsidRPr="00601877" w:rsidRDefault="00093A74" w:rsidP="00093A74">
      <w:pPr>
        <w:pStyle w:val="FootnoteText"/>
        <w:rPr>
          <w:rFonts w:cstheme="minorHAnsi"/>
        </w:rPr>
      </w:pPr>
      <w:r w:rsidRPr="00601877">
        <w:rPr>
          <w:rFonts w:cstheme="minorHAnsi"/>
          <w:vertAlign w:val="superscript"/>
        </w:rPr>
        <w:footnoteRef/>
      </w:r>
      <w:r w:rsidRPr="00601877">
        <w:rPr>
          <w:rFonts w:cstheme="minorHAnsi"/>
        </w:rPr>
        <w:t xml:space="preserve"> ﷟</w:t>
      </w:r>
      <w:r w:rsidR="00086B40" w:rsidRPr="00086B40">
        <w:rPr>
          <w:rFonts w:cstheme="minorHAnsi"/>
        </w:rPr>
        <w:t xml:space="preserve"> </w:t>
      </w:r>
      <w:r w:rsidR="00086B40" w:rsidRPr="00601877">
        <w:rPr>
          <w:rFonts w:cstheme="minorHAnsi"/>
        </w:rPr>
        <w:t xml:space="preserve">Universities Australia, </w:t>
      </w:r>
      <w:r w:rsidR="00086B40" w:rsidRPr="00304BDE">
        <w:rPr>
          <w:rFonts w:cstheme="minorHAnsi"/>
          <w:i/>
        </w:rPr>
        <w:t>Work Integrated Learning in Universities: Final Report</w:t>
      </w:r>
      <w:r w:rsidR="00086B40" w:rsidRPr="00601877">
        <w:rPr>
          <w:rFonts w:cstheme="minorHAnsi"/>
        </w:rPr>
        <w:t xml:space="preserve">, </w:t>
      </w:r>
      <w:r w:rsidR="00086B40">
        <w:rPr>
          <w:rFonts w:cstheme="minorHAnsi"/>
        </w:rPr>
        <w:t xml:space="preserve">(Canberra: </w:t>
      </w:r>
      <w:r w:rsidR="00086B40" w:rsidRPr="00601877">
        <w:rPr>
          <w:rFonts w:cstheme="minorHAnsi"/>
        </w:rPr>
        <w:t>2019</w:t>
      </w:r>
      <w:r w:rsidR="00086B40">
        <w:rPr>
          <w:rFonts w:cstheme="minorHAnsi"/>
        </w:rPr>
        <w:t xml:space="preserve">), 8, </w:t>
      </w:r>
      <w:hyperlink r:id="rId93" w:history="1">
        <w:r w:rsidR="004D6A50" w:rsidRPr="00811871">
          <w:rPr>
            <w:rStyle w:val="Hyperlink"/>
          </w:rPr>
          <w:t>universities</w:t>
        </w:r>
        <w:r w:rsidR="004D6A50" w:rsidRPr="00811871">
          <w:rPr>
            <w:rStyle w:val="Hyperlink"/>
            <w:rFonts w:cstheme="minorHAnsi"/>
          </w:rPr>
          <w:t>‌</w:t>
        </w:r>
        <w:r w:rsidR="004D6A50" w:rsidRPr="00811871">
          <w:rPr>
            <w:rStyle w:val="Hyperlink"/>
          </w:rPr>
          <w:t>australia</w:t>
        </w:r>
        <w:r w:rsidR="004D6A50" w:rsidRPr="00811871">
          <w:rPr>
            <w:rStyle w:val="Hyperlink"/>
            <w:rFonts w:cstheme="minorHAnsi"/>
          </w:rPr>
          <w:t>‌</w:t>
        </w:r>
        <w:r w:rsidR="004D6A50" w:rsidRPr="00811871">
          <w:rPr>
            <w:rStyle w:val="Hyperlink"/>
          </w:rPr>
          <w:t>.edu.au/wp-content/uploads/2022/03/WIL-in-universities-final-report-April-2019.pdf</w:t>
        </w:r>
      </w:hyperlink>
      <w:r w:rsidR="004D6A50">
        <w:rPr>
          <w:rFonts w:cstheme="minorHAnsi"/>
        </w:rPr>
        <w:t xml:space="preserve">. </w:t>
      </w:r>
      <w:r w:rsidRPr="004E6FB2">
        <w:rPr>
          <w:rFonts w:cstheme="minorHAnsi"/>
        </w:rPr>
        <w:t> </w:t>
      </w:r>
    </w:p>
  </w:footnote>
  <w:footnote w:id="158">
    <w:p w14:paraId="2E0ADEBF" w14:textId="6A713499" w:rsidR="00870C0F" w:rsidRDefault="00870C0F">
      <w:pPr>
        <w:pStyle w:val="FootnoteText"/>
      </w:pPr>
      <w:r>
        <w:rPr>
          <w:rStyle w:val="FootnoteReference"/>
        </w:rPr>
        <w:footnoteRef/>
      </w:r>
      <w:r>
        <w:t xml:space="preserve"> </w:t>
      </w:r>
      <w:r w:rsidR="004E6FB2" w:rsidRPr="004E6FB2">
        <w:t xml:space="preserve">Universities Australia, </w:t>
      </w:r>
      <w:r w:rsidR="004E6FB2" w:rsidRPr="004E6FB2">
        <w:rPr>
          <w:i/>
          <w:iCs/>
        </w:rPr>
        <w:t xml:space="preserve">Work Integrated Learning in Universities, </w:t>
      </w:r>
      <w:r w:rsidR="00086B40" w:rsidRPr="00053C26">
        <w:t>28</w:t>
      </w:r>
      <w:r w:rsidR="004E6FB2" w:rsidRPr="00053C26">
        <w:t>.</w:t>
      </w:r>
      <w:r w:rsidR="004E6FB2" w:rsidRPr="004E6FB2">
        <w:t> </w:t>
      </w:r>
    </w:p>
  </w:footnote>
  <w:footnote w:id="159">
    <w:p w14:paraId="5974074E" w14:textId="33387654" w:rsidR="00870C0F" w:rsidRDefault="00870C0F">
      <w:pPr>
        <w:pStyle w:val="FootnoteText"/>
      </w:pPr>
      <w:r>
        <w:rPr>
          <w:rStyle w:val="FootnoteReference"/>
        </w:rPr>
        <w:footnoteRef/>
      </w:r>
      <w:r>
        <w:t xml:space="preserve"> </w:t>
      </w:r>
      <w:r w:rsidR="00657C7B" w:rsidRPr="00657C7B">
        <w:t xml:space="preserve">Department of the Treasury, </w:t>
      </w:r>
      <w:r w:rsidR="00657C7B" w:rsidRPr="00F45F06">
        <w:rPr>
          <w:i/>
        </w:rPr>
        <w:t xml:space="preserve">White Paper on </w:t>
      </w:r>
      <w:proofErr w:type="gramStart"/>
      <w:r w:rsidR="00657C7B" w:rsidRPr="00F45F06">
        <w:rPr>
          <w:i/>
        </w:rPr>
        <w:t>Jobs</w:t>
      </w:r>
      <w:proofErr w:type="gramEnd"/>
      <w:r w:rsidR="00657C7B" w:rsidRPr="00F45F06">
        <w:rPr>
          <w:i/>
        </w:rPr>
        <w:t xml:space="preserve"> and Opportunities</w:t>
      </w:r>
      <w:r w:rsidR="00657C7B" w:rsidRPr="00657C7B">
        <w:t xml:space="preserve">, </w:t>
      </w:r>
      <w:r w:rsidR="002D0A57">
        <w:t>206</w:t>
      </w:r>
      <w:r w:rsidR="00657C7B" w:rsidRPr="00657C7B">
        <w:t>.</w:t>
      </w:r>
    </w:p>
  </w:footnote>
  <w:footnote w:id="160">
    <w:p w14:paraId="613378E9" w14:textId="3B10744A" w:rsidR="007F183E" w:rsidRDefault="007F183E" w:rsidP="007F183E">
      <w:pPr>
        <w:pStyle w:val="FootnoteText"/>
      </w:pPr>
      <w:r w:rsidRPr="00AB4215">
        <w:rPr>
          <w:rStyle w:val="FootnoteReference"/>
        </w:rPr>
        <w:footnoteRef/>
      </w:r>
      <w:r w:rsidR="097ED8A6" w:rsidRPr="00AB4215">
        <w:t xml:space="preserve"> </w:t>
      </w:r>
      <w:r w:rsidR="097ED8A6" w:rsidRPr="00BC4AB9">
        <w:rPr>
          <w:rFonts w:ascii="Arial" w:eastAsia="Arial" w:hAnsi="Arial" w:cs="Arial"/>
          <w:color w:val="222222"/>
          <w:sz w:val="19"/>
          <w:szCs w:val="19"/>
        </w:rPr>
        <w:t xml:space="preserve"> </w:t>
      </w:r>
      <w:r w:rsidR="00BC4AB9" w:rsidRPr="00F45F06">
        <w:t xml:space="preserve">Universities Australia, </w:t>
      </w:r>
      <w:r w:rsidR="00BC4AB9">
        <w:rPr>
          <w:i/>
          <w:iCs/>
        </w:rPr>
        <w:t xml:space="preserve">Work Integrated Learning in Universities, </w:t>
      </w:r>
      <w:r w:rsidR="00BC4AB9">
        <w:t>32</w:t>
      </w:r>
      <w:r w:rsidR="00486AF9" w:rsidRPr="00F45F06">
        <w:t>;</w:t>
      </w:r>
      <w:r w:rsidR="5B3631A8" w:rsidRPr="00F45F06">
        <w:t xml:space="preserve"> Bean and Dawkins</w:t>
      </w:r>
      <w:r w:rsidR="00486AF9" w:rsidRPr="00F45F06">
        <w:t>,</w:t>
      </w:r>
      <w:r w:rsidR="00486AF9">
        <w:rPr>
          <w:rFonts w:ascii="Arial" w:eastAsia="Arial" w:hAnsi="Arial" w:cs="Arial"/>
          <w:color w:val="222222"/>
          <w:sz w:val="19"/>
          <w:szCs w:val="19"/>
        </w:rPr>
        <w:t xml:space="preserve"> </w:t>
      </w:r>
      <w:r w:rsidR="00486AF9">
        <w:rPr>
          <w:rStyle w:val="normaltextrun"/>
          <w:rFonts w:ascii="Calibri" w:hAnsi="Calibri" w:cs="Calibri"/>
          <w:i/>
          <w:iCs/>
          <w:color w:val="040C28"/>
          <w:bdr w:val="none" w:sz="0" w:space="0" w:color="auto" w:frame="1"/>
        </w:rPr>
        <w:t>Review of university-industry collaboration in teaching and learning.</w:t>
      </w:r>
    </w:p>
  </w:footnote>
  <w:footnote w:id="161">
    <w:p w14:paraId="1583F792" w14:textId="3DFE7F54" w:rsidR="005B3445" w:rsidRPr="00601877" w:rsidRDefault="005B3445" w:rsidP="005B3445">
      <w:pPr>
        <w:pStyle w:val="FootnoteText"/>
        <w:rPr>
          <w:rFonts w:cstheme="minorHAnsi"/>
        </w:rPr>
      </w:pPr>
      <w:r w:rsidRPr="00601877">
        <w:rPr>
          <w:rStyle w:val="FootnoteReference"/>
          <w:rFonts w:cstheme="minorHAnsi"/>
        </w:rPr>
        <w:footnoteRef/>
      </w:r>
      <w:r w:rsidRPr="00601877">
        <w:rPr>
          <w:rFonts w:cstheme="minorHAnsi"/>
        </w:rPr>
        <w:t xml:space="preserve"> Think, Change, Resolve, </w:t>
      </w:r>
      <w:r w:rsidRPr="00CE2F6C">
        <w:rPr>
          <w:rFonts w:cstheme="minorHAnsi"/>
          <w:i/>
        </w:rPr>
        <w:t xml:space="preserve">Tertiary Education Innovation </w:t>
      </w:r>
      <w:r w:rsidR="0027069C" w:rsidRPr="00CE2F6C">
        <w:rPr>
          <w:rFonts w:cstheme="minorHAnsi"/>
          <w:i/>
        </w:rPr>
        <w:t>– two case studies offer possible ways forward</w:t>
      </w:r>
      <w:r w:rsidR="008602CD">
        <w:rPr>
          <w:rFonts w:cstheme="minorHAnsi"/>
          <w:i/>
          <w:iCs/>
        </w:rPr>
        <w:t>:</w:t>
      </w:r>
      <w:r w:rsidR="0027069C">
        <w:rPr>
          <w:rFonts w:cstheme="minorHAnsi"/>
          <w:i/>
        </w:rPr>
        <w:t xml:space="preserve"> Final </w:t>
      </w:r>
      <w:r>
        <w:rPr>
          <w:rFonts w:cstheme="minorHAnsi"/>
          <w:i/>
        </w:rPr>
        <w:t>Report</w:t>
      </w:r>
      <w:r w:rsidDel="008602CD">
        <w:rPr>
          <w:rFonts w:cstheme="minorHAnsi"/>
          <w:i/>
        </w:rPr>
        <w:t>,</w:t>
      </w:r>
      <w:r w:rsidRPr="00601877">
        <w:rPr>
          <w:rFonts w:cstheme="minorHAnsi"/>
        </w:rPr>
        <w:t xml:space="preserve"> </w:t>
      </w:r>
      <w:r w:rsidR="008602CD">
        <w:rPr>
          <w:rFonts w:cstheme="minorHAnsi"/>
        </w:rPr>
        <w:t>(</w:t>
      </w:r>
      <w:r w:rsidR="0027069C">
        <w:rPr>
          <w:rFonts w:cstheme="minorHAnsi"/>
        </w:rPr>
        <w:t>Canberr</w:t>
      </w:r>
      <w:r w:rsidR="008902F2">
        <w:rPr>
          <w:rFonts w:cstheme="minorHAnsi"/>
        </w:rPr>
        <w:t>a</w:t>
      </w:r>
      <w:r w:rsidR="00812372">
        <w:rPr>
          <w:rFonts w:cstheme="minorHAnsi"/>
        </w:rPr>
        <w:t>:</w:t>
      </w:r>
      <w:r w:rsidR="0027069C">
        <w:rPr>
          <w:rFonts w:cstheme="minorHAnsi"/>
        </w:rPr>
        <w:t xml:space="preserve"> </w:t>
      </w:r>
      <w:r w:rsidR="008602CD">
        <w:rPr>
          <w:rFonts w:cstheme="minorHAnsi"/>
        </w:rPr>
        <w:t xml:space="preserve">June </w:t>
      </w:r>
      <w:r w:rsidR="0027069C">
        <w:rPr>
          <w:rFonts w:cstheme="minorHAnsi"/>
        </w:rPr>
        <w:t>2023</w:t>
      </w:r>
      <w:r w:rsidR="008602CD">
        <w:rPr>
          <w:rFonts w:cstheme="minorHAnsi"/>
        </w:rPr>
        <w:t>)</w:t>
      </w:r>
      <w:r w:rsidR="0027069C">
        <w:rPr>
          <w:rFonts w:cstheme="minorHAnsi"/>
        </w:rPr>
        <w:t>,</w:t>
      </w:r>
      <w:r w:rsidR="008602CD">
        <w:rPr>
          <w:rFonts w:cstheme="minorHAnsi"/>
        </w:rPr>
        <w:t xml:space="preserve"> </w:t>
      </w:r>
      <w:r w:rsidRPr="00601877">
        <w:rPr>
          <w:rFonts w:cstheme="minorHAnsi"/>
        </w:rPr>
        <w:t>6</w:t>
      </w:r>
      <w:r w:rsidR="00291A6D">
        <w:rPr>
          <w:rFonts w:cstheme="minorHAnsi"/>
        </w:rPr>
        <w:t xml:space="preserve">, </w:t>
      </w:r>
      <w:hyperlink r:id="rId94" w:history="1">
        <w:r w:rsidR="004943BD" w:rsidRPr="00811871">
          <w:rPr>
            <w:rStyle w:val="Hyperlink"/>
            <w:rFonts w:cstheme="minorHAnsi"/>
          </w:rPr>
          <w:t>www.education.gov.au/australian-universities-accord/resources/think-change-resolve-tertiary-education-innovation-report</w:t>
        </w:r>
      </w:hyperlink>
      <w:r w:rsidR="004943BD">
        <w:rPr>
          <w:rFonts w:cstheme="minorHAnsi"/>
        </w:rPr>
        <w:t xml:space="preserve">. </w:t>
      </w:r>
    </w:p>
  </w:footnote>
  <w:footnote w:id="162">
    <w:p w14:paraId="66D9B9D8" w14:textId="2EA0CB08" w:rsidR="00FD58D8" w:rsidRDefault="00FD58D8">
      <w:pPr>
        <w:pStyle w:val="FootnoteText"/>
      </w:pPr>
      <w:r>
        <w:rPr>
          <w:rStyle w:val="FootnoteReference"/>
        </w:rPr>
        <w:footnoteRef/>
      </w:r>
      <w:r>
        <w:t xml:space="preserve"> </w:t>
      </w:r>
      <w:r w:rsidR="00585EE0" w:rsidRPr="00585EE0">
        <w:t xml:space="preserve">Department of the Treasury, </w:t>
      </w:r>
      <w:r w:rsidR="00585EE0" w:rsidRPr="00F45F06">
        <w:rPr>
          <w:i/>
        </w:rPr>
        <w:t xml:space="preserve">White Paper on </w:t>
      </w:r>
      <w:proofErr w:type="gramStart"/>
      <w:r w:rsidR="00585EE0" w:rsidRPr="00F45F06">
        <w:rPr>
          <w:i/>
        </w:rPr>
        <w:t>Jobs</w:t>
      </w:r>
      <w:proofErr w:type="gramEnd"/>
      <w:r w:rsidR="00585EE0" w:rsidRPr="00F45F06">
        <w:rPr>
          <w:i/>
        </w:rPr>
        <w:t xml:space="preserve"> and Opportunities</w:t>
      </w:r>
      <w:r w:rsidR="00585EE0" w:rsidRPr="00585EE0">
        <w:t xml:space="preserve">, </w:t>
      </w:r>
      <w:r w:rsidR="00C96E5F">
        <w:t>123.</w:t>
      </w:r>
    </w:p>
  </w:footnote>
  <w:footnote w:id="163">
    <w:p w14:paraId="4FA71C6E" w14:textId="67678CC2" w:rsidR="00BF2FAB" w:rsidRDefault="00BF2FAB">
      <w:pPr>
        <w:pStyle w:val="FootnoteText"/>
      </w:pPr>
      <w:r>
        <w:rPr>
          <w:rStyle w:val="FootnoteReference"/>
        </w:rPr>
        <w:footnoteRef/>
      </w:r>
      <w:r>
        <w:t xml:space="preserve"> </w:t>
      </w:r>
      <w:r w:rsidR="00A7341C">
        <w:t xml:space="preserve">TAFE Queensland, “The Queensland Future Skills Partnership,” </w:t>
      </w:r>
      <w:r w:rsidR="00A53D41">
        <w:t>accessed 20 November 2023</w:t>
      </w:r>
      <w:r w:rsidR="00A7341C">
        <w:t xml:space="preserve">, </w:t>
      </w:r>
      <w:hyperlink r:id="rId95" w:history="1">
        <w:r w:rsidR="004943BD" w:rsidRPr="00811871">
          <w:rPr>
            <w:rStyle w:val="Hyperlink"/>
          </w:rPr>
          <w:t>tafeqld.edu.au/‌campaigns‌/‌queensland-‌future-skills-partnership</w:t>
        </w:r>
      </w:hyperlink>
      <w:r w:rsidR="004943BD">
        <w:t xml:space="preserve">. </w:t>
      </w:r>
    </w:p>
  </w:footnote>
  <w:footnote w:id="164">
    <w:p w14:paraId="08D92632" w14:textId="26BB51DE" w:rsidR="00792AEF" w:rsidRDefault="00792AEF">
      <w:pPr>
        <w:pStyle w:val="FootnoteText"/>
      </w:pPr>
      <w:r>
        <w:rPr>
          <w:rStyle w:val="FootnoteReference"/>
        </w:rPr>
        <w:footnoteRef/>
      </w:r>
      <w:r>
        <w:t xml:space="preserve"> </w:t>
      </w:r>
      <w:r w:rsidRPr="00792AEF">
        <w:t xml:space="preserve">Department of the Treasury, </w:t>
      </w:r>
      <w:r w:rsidRPr="00F45F06">
        <w:rPr>
          <w:i/>
        </w:rPr>
        <w:t xml:space="preserve">White Paper on </w:t>
      </w:r>
      <w:proofErr w:type="gramStart"/>
      <w:r w:rsidRPr="00F45F06">
        <w:rPr>
          <w:i/>
        </w:rPr>
        <w:t>Jobs</w:t>
      </w:r>
      <w:proofErr w:type="gramEnd"/>
      <w:r w:rsidRPr="00F45F06">
        <w:rPr>
          <w:i/>
        </w:rPr>
        <w:t xml:space="preserve"> and Opportunities</w:t>
      </w:r>
      <w:r w:rsidRPr="00792AEF">
        <w:t>, 123.</w:t>
      </w:r>
    </w:p>
  </w:footnote>
  <w:footnote w:id="165">
    <w:p w14:paraId="43715835" w14:textId="7FD50244" w:rsidR="00033746" w:rsidRPr="00601877" w:rsidRDefault="00033746" w:rsidP="00033746">
      <w:pPr>
        <w:pStyle w:val="FootnoteText"/>
        <w:rPr>
          <w:rFonts w:cstheme="minorHAnsi"/>
        </w:rPr>
      </w:pPr>
      <w:r w:rsidRPr="00601877">
        <w:rPr>
          <w:rStyle w:val="FootnoteReference"/>
          <w:rFonts w:cstheme="minorHAnsi"/>
        </w:rPr>
        <w:footnoteRef/>
      </w:r>
      <w:r w:rsidRPr="00601877">
        <w:rPr>
          <w:rFonts w:cstheme="minorHAnsi"/>
        </w:rPr>
        <w:t xml:space="preserve"> In the Higher Education Data Collection, students from low SES backgrounds refers to students whose address is in an area in the bottom 25% of the SEIFA Education and Occupation Index for 15 to 64-year-olds, by postcode or SA1. Unless otherwise specified, students from low SES backgrounds in this </w:t>
      </w:r>
      <w:r w:rsidR="00366128">
        <w:rPr>
          <w:rFonts w:cstheme="minorHAnsi"/>
        </w:rPr>
        <w:t>R</w:t>
      </w:r>
      <w:r w:rsidRPr="00601877">
        <w:rPr>
          <w:rFonts w:cstheme="minorHAnsi"/>
        </w:rPr>
        <w:t>eport refers to First Address Low SES SA1 measures (based on a student's permanent home address at the commencement of study).</w:t>
      </w:r>
    </w:p>
  </w:footnote>
  <w:footnote w:id="166">
    <w:p w14:paraId="6E51D06D" w14:textId="0A8FE71D" w:rsidR="00033746" w:rsidRPr="00601877" w:rsidRDefault="00033746" w:rsidP="00033746">
      <w:pPr>
        <w:pStyle w:val="FootnoteText"/>
        <w:rPr>
          <w:rFonts w:cstheme="minorHAnsi"/>
        </w:rPr>
      </w:pPr>
      <w:r w:rsidRPr="00601877">
        <w:rPr>
          <w:rStyle w:val="FootnoteReference"/>
          <w:rFonts w:cstheme="minorHAnsi"/>
        </w:rPr>
        <w:footnoteRef/>
      </w:r>
      <w:r w:rsidRPr="00601877">
        <w:rPr>
          <w:rFonts w:cstheme="minorHAnsi"/>
        </w:rPr>
        <w:t xml:space="preserve"> Institute for Social Science Research</w:t>
      </w:r>
      <w:r w:rsidR="006B5F28">
        <w:rPr>
          <w:rFonts w:cstheme="minorHAnsi"/>
        </w:rPr>
        <w:t xml:space="preserve"> (ISSR)</w:t>
      </w:r>
      <w:r w:rsidRPr="00601877">
        <w:rPr>
          <w:rFonts w:cstheme="minorHAnsi"/>
        </w:rPr>
        <w:t xml:space="preserve">, </w:t>
      </w:r>
      <w:r w:rsidRPr="00601877">
        <w:rPr>
          <w:rFonts w:cstheme="minorHAnsi"/>
          <w:i/>
        </w:rPr>
        <w:t xml:space="preserve">Review of </w:t>
      </w:r>
      <w:r w:rsidR="007700DA">
        <w:rPr>
          <w:rFonts w:cstheme="minorHAnsi"/>
          <w:i/>
        </w:rPr>
        <w:t>I</w:t>
      </w:r>
      <w:r w:rsidRPr="00601877">
        <w:rPr>
          <w:rFonts w:cstheme="minorHAnsi"/>
          <w:i/>
        </w:rPr>
        <w:t xml:space="preserve">dentified </w:t>
      </w:r>
      <w:r w:rsidR="007700DA">
        <w:rPr>
          <w:rFonts w:cstheme="minorHAnsi"/>
          <w:i/>
        </w:rPr>
        <w:t>E</w:t>
      </w:r>
      <w:r w:rsidRPr="00601877">
        <w:rPr>
          <w:rFonts w:cstheme="minorHAnsi"/>
          <w:i/>
        </w:rPr>
        <w:t xml:space="preserve">quity </w:t>
      </w:r>
      <w:r w:rsidR="007700DA">
        <w:rPr>
          <w:rFonts w:cstheme="minorHAnsi"/>
          <w:i/>
        </w:rPr>
        <w:t>G</w:t>
      </w:r>
      <w:r w:rsidRPr="00601877">
        <w:rPr>
          <w:rFonts w:cstheme="minorHAnsi"/>
          <w:i/>
        </w:rPr>
        <w:t>roups</w:t>
      </w:r>
      <w:r w:rsidRPr="00601877">
        <w:rPr>
          <w:rFonts w:cstheme="minorHAnsi"/>
        </w:rPr>
        <w:t>, (Brisbane: The University of Queensland, November 2018)</w:t>
      </w:r>
      <w:r w:rsidR="00887999">
        <w:rPr>
          <w:rFonts w:cstheme="minorHAnsi"/>
        </w:rPr>
        <w:t>, 36</w:t>
      </w:r>
      <w:r w:rsidR="005D698D">
        <w:rPr>
          <w:rFonts w:cstheme="minorHAnsi"/>
        </w:rPr>
        <w:t>,</w:t>
      </w:r>
      <w:r w:rsidR="007700DA">
        <w:rPr>
          <w:rFonts w:cstheme="minorHAnsi"/>
        </w:rPr>
        <w:t xml:space="preserve"> </w:t>
      </w:r>
      <w:hyperlink r:id="rId96" w:history="1">
        <w:r w:rsidR="00477B68" w:rsidRPr="00811871">
          <w:rPr>
            <w:rStyle w:val="Hyperlink"/>
          </w:rPr>
          <w:t>espace.library.uq.edu.au/vie‌w/UQ:bd8a044/Review_of_E‌quity_Groups_‌Final‌_‌Report.pdf?dsi_version‌=b28‌8‌c‌4‌5‌b247e4dbcd7bf879e09724b9c</w:t>
        </w:r>
      </w:hyperlink>
      <w:r w:rsidR="00477B68">
        <w:rPr>
          <w:rFonts w:cstheme="minorHAnsi"/>
        </w:rPr>
        <w:t xml:space="preserve">. </w:t>
      </w:r>
      <w:r w:rsidRPr="00601877">
        <w:rPr>
          <w:rFonts w:cstheme="minorHAnsi"/>
        </w:rPr>
        <w:t>The Review of Identified Equity Groups recommended the current Non-English Speaking Background category be redefined to focus on the considerable under</w:t>
      </w:r>
      <w:r w:rsidR="00BE3D7A">
        <w:rPr>
          <w:rFonts w:cstheme="minorHAnsi"/>
        </w:rPr>
        <w:t>-</w:t>
      </w:r>
      <w:r w:rsidRPr="00601877">
        <w:rPr>
          <w:rFonts w:cstheme="minorHAnsi"/>
        </w:rPr>
        <w:t>representation of people from specific language groups, finding students from non-English speaking backgrounds as a whole are not systematically disadvantaged in higher education, and that the women in non-traditional subject areas category be redefined to exclude fields of study where women make up around half or more of the student population.</w:t>
      </w:r>
    </w:p>
  </w:footnote>
  <w:footnote w:id="167">
    <w:p w14:paraId="07C6DC95" w14:textId="0E6D3274" w:rsidR="00A449BD" w:rsidRDefault="00A449BD">
      <w:pPr>
        <w:pStyle w:val="FootnoteText"/>
      </w:pPr>
      <w:r>
        <w:rPr>
          <w:rStyle w:val="FootnoteReference"/>
        </w:rPr>
        <w:footnoteRef/>
      </w:r>
      <w:r>
        <w:t xml:space="preserve"> </w:t>
      </w:r>
      <w:r w:rsidRPr="00601877">
        <w:rPr>
          <w:rFonts w:cstheme="minorHAnsi"/>
        </w:rPr>
        <w:t xml:space="preserve">ISSR, </w:t>
      </w:r>
      <w:r w:rsidRPr="00601877">
        <w:rPr>
          <w:rFonts w:cstheme="minorHAnsi"/>
          <w:i/>
        </w:rPr>
        <w:t xml:space="preserve">Review of </w:t>
      </w:r>
      <w:r w:rsidR="007700DA">
        <w:rPr>
          <w:rFonts w:cstheme="minorHAnsi"/>
          <w:i/>
        </w:rPr>
        <w:t>I</w:t>
      </w:r>
      <w:r w:rsidRPr="00601877">
        <w:rPr>
          <w:rFonts w:cstheme="minorHAnsi"/>
          <w:i/>
        </w:rPr>
        <w:t xml:space="preserve">dentified </w:t>
      </w:r>
      <w:r w:rsidR="007700DA">
        <w:rPr>
          <w:rFonts w:cstheme="minorHAnsi"/>
          <w:i/>
        </w:rPr>
        <w:t>E</w:t>
      </w:r>
      <w:r w:rsidRPr="00601877">
        <w:rPr>
          <w:rFonts w:cstheme="minorHAnsi"/>
          <w:i/>
        </w:rPr>
        <w:t xml:space="preserve">quity </w:t>
      </w:r>
      <w:r w:rsidR="007700DA">
        <w:rPr>
          <w:rFonts w:cstheme="minorHAnsi"/>
          <w:i/>
        </w:rPr>
        <w:t>G</w:t>
      </w:r>
      <w:r w:rsidRPr="00601877">
        <w:rPr>
          <w:rFonts w:cstheme="minorHAnsi"/>
          <w:i/>
        </w:rPr>
        <w:t>roups</w:t>
      </w:r>
      <w:r>
        <w:rPr>
          <w:rFonts w:cstheme="minorHAnsi"/>
          <w:i/>
        </w:rPr>
        <w:t xml:space="preserve">, </w:t>
      </w:r>
      <w:r>
        <w:rPr>
          <w:rFonts w:cstheme="minorHAnsi"/>
          <w:iCs/>
        </w:rPr>
        <w:t>112.</w:t>
      </w:r>
    </w:p>
  </w:footnote>
  <w:footnote w:id="168">
    <w:p w14:paraId="111B3C80" w14:textId="51E0F354" w:rsidR="00D27626" w:rsidRPr="00601877" w:rsidRDefault="00D27626" w:rsidP="00D27626">
      <w:pPr>
        <w:pStyle w:val="FootnoteText"/>
        <w:rPr>
          <w:rFonts w:cstheme="minorHAnsi"/>
        </w:rPr>
      </w:pPr>
      <w:r w:rsidRPr="00601877">
        <w:rPr>
          <w:rStyle w:val="FootnoteReference"/>
          <w:rFonts w:cstheme="minorHAnsi"/>
        </w:rPr>
        <w:footnoteRef/>
      </w:r>
      <w:r w:rsidRPr="001C4EB6">
        <w:t xml:space="preserve"> </w:t>
      </w:r>
      <w:r w:rsidRPr="006A114C">
        <w:t xml:space="preserve">Department of Education, </w:t>
      </w:r>
      <w:r w:rsidRPr="00F61300">
        <w:rPr>
          <w:i/>
        </w:rPr>
        <w:t xml:space="preserve">Higher Education </w:t>
      </w:r>
      <w:r w:rsidR="00BA3680" w:rsidRPr="00F61300">
        <w:rPr>
          <w:i/>
        </w:rPr>
        <w:t>Statistics –</w:t>
      </w:r>
      <w:r w:rsidR="00961367" w:rsidRPr="00F61300">
        <w:rPr>
          <w:i/>
        </w:rPr>
        <w:t xml:space="preserve"> </w:t>
      </w:r>
      <w:r w:rsidRPr="00F61300">
        <w:rPr>
          <w:i/>
        </w:rPr>
        <w:t>Student Data</w:t>
      </w:r>
      <w:r w:rsidRPr="00F61300" w:rsidDel="00961367">
        <w:rPr>
          <w:i/>
        </w:rPr>
        <w:t xml:space="preserve"> </w:t>
      </w:r>
      <w:r w:rsidR="00BA3680" w:rsidRPr="00F61300">
        <w:rPr>
          <w:i/>
        </w:rPr>
        <w:t xml:space="preserve">– </w:t>
      </w:r>
      <w:r w:rsidR="00F61300" w:rsidRPr="00F61300">
        <w:rPr>
          <w:i/>
          <w:iCs/>
        </w:rPr>
        <w:t>2022 Section 11 Equity groups</w:t>
      </w:r>
      <w:r w:rsidR="00F61300" w:rsidRPr="00F61300">
        <w:t xml:space="preserve"> [data set]. </w:t>
      </w:r>
    </w:p>
  </w:footnote>
  <w:footnote w:id="169">
    <w:p w14:paraId="5CECC487" w14:textId="038B022C"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w:t>
      </w:r>
      <w:r w:rsidR="0048685B">
        <w:rPr>
          <w:rFonts w:cstheme="minorHAnsi"/>
        </w:rPr>
        <w:t xml:space="preserve">Australian Bureau of Statistics, </w:t>
      </w:r>
      <w:r w:rsidR="0048685B" w:rsidRPr="005E4982">
        <w:rPr>
          <w:rFonts w:cstheme="minorHAnsi"/>
          <w:i/>
        </w:rPr>
        <w:t xml:space="preserve">Census </w:t>
      </w:r>
      <w:proofErr w:type="spellStart"/>
      <w:r w:rsidR="0048685B" w:rsidRPr="005E4982">
        <w:rPr>
          <w:rFonts w:cstheme="minorHAnsi"/>
          <w:i/>
        </w:rPr>
        <w:t>TableBuilder</w:t>
      </w:r>
      <w:proofErr w:type="spellEnd"/>
      <w:r w:rsidR="0048685B">
        <w:rPr>
          <w:rFonts w:cstheme="minorHAnsi"/>
        </w:rPr>
        <w:t xml:space="preserve">, </w:t>
      </w:r>
      <w:r w:rsidR="0048685B" w:rsidRPr="008C4411">
        <w:rPr>
          <w:rFonts w:cstheme="minorHAnsi"/>
        </w:rPr>
        <w:t>National Remoteness Areas and level of highest qualification</w:t>
      </w:r>
      <w:r w:rsidR="0048685B">
        <w:rPr>
          <w:rFonts w:cstheme="minorHAnsi"/>
        </w:rPr>
        <w:t xml:space="preserve">, (Canberra, 2023), accessed </w:t>
      </w:r>
      <w:r w:rsidR="006E3E4F">
        <w:rPr>
          <w:rFonts w:cstheme="minorHAnsi"/>
        </w:rPr>
        <w:t xml:space="preserve">19 </w:t>
      </w:r>
      <w:r w:rsidR="0048685B">
        <w:rPr>
          <w:rFonts w:cstheme="minorHAnsi"/>
        </w:rPr>
        <w:t>December 2023.</w:t>
      </w:r>
    </w:p>
  </w:footnote>
  <w:footnote w:id="170">
    <w:p w14:paraId="023C5A92" w14:textId="79CC92D3"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w:t>
      </w:r>
      <w:r w:rsidR="00A671A3" w:rsidRPr="005513E1">
        <w:t xml:space="preserve">Australian Bureau of Statistics, </w:t>
      </w:r>
      <w:r w:rsidR="00E64F2B" w:rsidRPr="00776A70">
        <w:rPr>
          <w:i/>
        </w:rPr>
        <w:t>Census of Population and Housing, 2021</w:t>
      </w:r>
      <w:r w:rsidR="00E64F2B">
        <w:rPr>
          <w:i/>
          <w:iCs/>
        </w:rPr>
        <w:t xml:space="preserve"> </w:t>
      </w:r>
      <w:r w:rsidR="00E64F2B">
        <w:t>[data set</w:t>
      </w:r>
      <w:r w:rsidR="00E64F2B">
        <w:rPr>
          <w:rFonts w:cstheme="minorHAnsi"/>
        </w:rPr>
        <w:t>], (Canberra: 2023)</w:t>
      </w:r>
      <w:r w:rsidR="00E64F2B" w:rsidRPr="00DF773F">
        <w:rPr>
          <w:rFonts w:cstheme="minorHAnsi"/>
        </w:rPr>
        <w:t>. </w:t>
      </w:r>
      <w:r w:rsidR="00E64F2B" w:rsidRPr="00601877">
        <w:rPr>
          <w:rFonts w:cstheme="minorHAnsi"/>
        </w:rPr>
        <w:t>For Logan</w:t>
      </w:r>
      <w:r w:rsidR="00E64F2B">
        <w:rPr>
          <w:rFonts w:cstheme="minorHAnsi"/>
        </w:rPr>
        <w:t xml:space="preserve"> QLD</w:t>
      </w:r>
      <w:r w:rsidR="00E64F2B" w:rsidRPr="00601877">
        <w:rPr>
          <w:rFonts w:cstheme="minorHAnsi"/>
        </w:rPr>
        <w:t>, Fairfield NSW and Elizabeth SA using State Electoral Divisions.</w:t>
      </w:r>
    </w:p>
  </w:footnote>
  <w:footnote w:id="171">
    <w:p w14:paraId="5597E2DC" w14:textId="4DA207F2" w:rsidR="00B51F3C" w:rsidRDefault="00B51F3C">
      <w:pPr>
        <w:pStyle w:val="FootnoteText"/>
      </w:pPr>
      <w:r>
        <w:rPr>
          <w:rStyle w:val="FootnoteReference"/>
        </w:rPr>
        <w:footnoteRef/>
      </w:r>
      <w:r>
        <w:t xml:space="preserve"> </w:t>
      </w:r>
      <w:r w:rsidR="00794A68" w:rsidRPr="00330534">
        <w:rPr>
          <w:i/>
        </w:rPr>
        <w:t xml:space="preserve">Higher Education Support Amendment (Response to the Australian Universities Accord Interim Report) </w:t>
      </w:r>
      <w:r w:rsidR="00712C3A">
        <w:rPr>
          <w:i/>
          <w:iCs/>
        </w:rPr>
        <w:t>Act</w:t>
      </w:r>
      <w:r w:rsidR="00794A68" w:rsidRPr="00330534">
        <w:rPr>
          <w:i/>
        </w:rPr>
        <w:t xml:space="preserve"> 2023</w:t>
      </w:r>
      <w:r w:rsidR="00794A68">
        <w:t xml:space="preserve"> (</w:t>
      </w:r>
      <w:proofErr w:type="spellStart"/>
      <w:r w:rsidR="00794A68">
        <w:t>Cth</w:t>
      </w:r>
      <w:proofErr w:type="spellEnd"/>
      <w:r w:rsidR="00794A68">
        <w:t xml:space="preserve">), </w:t>
      </w:r>
      <w:hyperlink r:id="rId97" w:history="1">
        <w:r w:rsidR="0024791B" w:rsidRPr="00811871">
          <w:rPr>
            <w:rStyle w:val="Hyperlink"/>
          </w:rPr>
          <w:t>www.aph.gov.au/Parliamentary_Business/Bills_Legislation/Bills_Search_Results/Result?bId=r7060</w:t>
        </w:r>
      </w:hyperlink>
      <w:r w:rsidR="0024791B">
        <w:t xml:space="preserve">. </w:t>
      </w:r>
    </w:p>
  </w:footnote>
  <w:footnote w:id="172">
    <w:p w14:paraId="606B3940" w14:textId="4BB90445"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ISSR, </w:t>
      </w:r>
      <w:r w:rsidRPr="00601877">
        <w:rPr>
          <w:rFonts w:cstheme="minorHAnsi"/>
          <w:i/>
        </w:rPr>
        <w:t>Review of identified equity groups</w:t>
      </w:r>
      <w:r w:rsidR="00B33439">
        <w:rPr>
          <w:rFonts w:cstheme="minorHAnsi"/>
          <w:i/>
        </w:rPr>
        <w:t xml:space="preserve">, </w:t>
      </w:r>
      <w:r w:rsidR="00B33439">
        <w:rPr>
          <w:rFonts w:cstheme="minorHAnsi"/>
          <w:iCs/>
        </w:rPr>
        <w:t>14</w:t>
      </w:r>
      <w:r w:rsidR="00C1550F" w:rsidRPr="00C1550F">
        <w:rPr>
          <w:rFonts w:cstheme="minorHAnsi"/>
          <w:iCs/>
        </w:rPr>
        <w:t>–</w:t>
      </w:r>
      <w:r w:rsidR="00B33439">
        <w:rPr>
          <w:rFonts w:cstheme="minorHAnsi"/>
          <w:iCs/>
        </w:rPr>
        <w:t>22</w:t>
      </w:r>
      <w:r w:rsidRPr="00C1550F">
        <w:rPr>
          <w:rStyle w:val="Hyperlink"/>
          <w:rFonts w:cstheme="minorHAnsi"/>
          <w:color w:val="auto"/>
          <w:u w:val="none"/>
        </w:rPr>
        <w:t>.</w:t>
      </w:r>
    </w:p>
  </w:footnote>
  <w:footnote w:id="173">
    <w:p w14:paraId="0442E31D" w14:textId="1B2683FD" w:rsidR="00746A18" w:rsidRDefault="00746A18">
      <w:pPr>
        <w:pStyle w:val="FootnoteText"/>
      </w:pPr>
      <w:r>
        <w:rPr>
          <w:rStyle w:val="FootnoteReference"/>
        </w:rPr>
        <w:footnoteRef/>
      </w:r>
      <w:r>
        <w:t xml:space="preserve"> </w:t>
      </w:r>
      <w:r w:rsidR="00F46F86">
        <w:t xml:space="preserve">Department of Education, </w:t>
      </w:r>
      <w:r w:rsidR="00F46F86">
        <w:rPr>
          <w:i/>
          <w:iCs/>
        </w:rPr>
        <w:t>Higher Education Statistics –Student data</w:t>
      </w:r>
      <w:r w:rsidR="00F46F86" w:rsidDel="006025FD">
        <w:rPr>
          <w:i/>
          <w:iCs/>
        </w:rPr>
        <w:t xml:space="preserve"> </w:t>
      </w:r>
      <w:r w:rsidR="00F23AD6">
        <w:rPr>
          <w:i/>
          <w:iCs/>
        </w:rPr>
        <w:t>– 2022 Section 11 Equity groups</w:t>
      </w:r>
      <w:r w:rsidR="00F46F86" w:rsidDel="006025FD">
        <w:rPr>
          <w:i/>
          <w:iCs/>
        </w:rPr>
        <w:t xml:space="preserve"> </w:t>
      </w:r>
      <w:r w:rsidR="00C1550F">
        <w:t>[data set</w:t>
      </w:r>
      <w:r w:rsidR="00510981">
        <w:t>].</w:t>
      </w:r>
    </w:p>
  </w:footnote>
  <w:footnote w:id="174">
    <w:p w14:paraId="0C803E85" w14:textId="77777777"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For example, the exclusion of people with profound disability. </w:t>
      </w:r>
    </w:p>
  </w:footnote>
  <w:footnote w:id="175">
    <w:p w14:paraId="2EEB3EDF" w14:textId="5C17A288"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ISSR, </w:t>
      </w:r>
      <w:r w:rsidRPr="00601877">
        <w:rPr>
          <w:rFonts w:cstheme="minorHAnsi"/>
          <w:i/>
        </w:rPr>
        <w:t>Review of identified equity groups</w:t>
      </w:r>
      <w:r w:rsidR="00B33439">
        <w:rPr>
          <w:rFonts w:cstheme="minorHAnsi"/>
          <w:iCs/>
        </w:rPr>
        <w:t>, 67</w:t>
      </w:r>
      <w:r w:rsidR="008E777E">
        <w:rPr>
          <w:rFonts w:cstheme="minorHAnsi"/>
          <w:iCs/>
        </w:rPr>
        <w:t>–</w:t>
      </w:r>
      <w:r w:rsidR="00B33439">
        <w:rPr>
          <w:rFonts w:cstheme="minorHAnsi"/>
          <w:iCs/>
        </w:rPr>
        <w:t>95</w:t>
      </w:r>
      <w:r w:rsidRPr="00601877">
        <w:rPr>
          <w:rFonts w:cstheme="minorHAnsi"/>
        </w:rPr>
        <w:t xml:space="preserve">; </w:t>
      </w:r>
      <w:r w:rsidR="00683ACB" w:rsidRPr="00683ACB">
        <w:rPr>
          <w:rFonts w:cstheme="minorHAnsi"/>
        </w:rPr>
        <w:t>Andrew Harvey</w:t>
      </w:r>
      <w:r w:rsidR="00B24BB5">
        <w:rPr>
          <w:rFonts w:cstheme="minorHAnsi"/>
        </w:rPr>
        <w:t>,</w:t>
      </w:r>
      <w:r w:rsidR="00683ACB" w:rsidRPr="00683ACB">
        <w:rPr>
          <w:rFonts w:cstheme="minorHAnsi"/>
        </w:rPr>
        <w:t xml:space="preserve"> Patricia McNamara</w:t>
      </w:r>
      <w:r w:rsidR="00B24BB5">
        <w:rPr>
          <w:rFonts w:cstheme="minorHAnsi"/>
        </w:rPr>
        <w:t>,</w:t>
      </w:r>
      <w:r w:rsidR="00683ACB" w:rsidRPr="00683ACB">
        <w:rPr>
          <w:rFonts w:cstheme="minorHAnsi"/>
        </w:rPr>
        <w:t xml:space="preserve"> Lisa Andrewartha and Michael Luckman, </w:t>
      </w:r>
      <w:r w:rsidRPr="00601877">
        <w:rPr>
          <w:rFonts w:cstheme="minorHAnsi"/>
          <w:i/>
        </w:rPr>
        <w:t xml:space="preserve">Out of care, into university: Raising higher education access and achievement of care leavers </w:t>
      </w:r>
      <w:r w:rsidRPr="00601877">
        <w:rPr>
          <w:rFonts w:cstheme="minorHAnsi"/>
        </w:rPr>
        <w:t xml:space="preserve">(Melbourne: La Trobe University, March 2015), </w:t>
      </w:r>
      <w:r w:rsidR="003C6A85">
        <w:rPr>
          <w:rFonts w:cstheme="minorHAnsi"/>
        </w:rPr>
        <w:t>39</w:t>
      </w:r>
      <w:r w:rsidRPr="00601877">
        <w:rPr>
          <w:rFonts w:cstheme="minorHAnsi"/>
        </w:rPr>
        <w:t xml:space="preserve">, </w:t>
      </w:r>
      <w:hyperlink r:id="rId98" w:history="1">
        <w:r w:rsidR="00FD6111" w:rsidRPr="00811871">
          <w:rPr>
            <w:rStyle w:val="Hyperlink"/>
          </w:rPr>
          <w:t>www.ncsehe</w:t>
        </w:r>
        <w:r w:rsidR="00FD6111" w:rsidRPr="00811871">
          <w:rPr>
            <w:rStyle w:val="Hyperlink"/>
            <w:rFonts w:cstheme="minorHAnsi"/>
          </w:rPr>
          <w:t>‌</w:t>
        </w:r>
        <w:r w:rsidR="00FD6111" w:rsidRPr="00811871">
          <w:rPr>
            <w:rStyle w:val="Hyperlink"/>
          </w:rPr>
          <w:t>.edu.</w:t>
        </w:r>
        <w:r w:rsidR="00FD6111" w:rsidRPr="00811871">
          <w:rPr>
            <w:rStyle w:val="Hyperlink"/>
            <w:rFonts w:cstheme="minorHAnsi"/>
          </w:rPr>
          <w:t>‌</w:t>
        </w:r>
        <w:r w:rsidR="00FD6111" w:rsidRPr="00811871">
          <w:rPr>
            <w:rStyle w:val="Hyperlink"/>
          </w:rPr>
          <w:t>au/wp-content/uploads/2015/03/Out-of-Care-Into-University.pdf</w:t>
        </w:r>
      </w:hyperlink>
      <w:r w:rsidR="00FD6111">
        <w:rPr>
          <w:rFonts w:cstheme="minorHAnsi"/>
        </w:rPr>
        <w:t xml:space="preserve">. </w:t>
      </w:r>
      <w:r w:rsidRPr="00601877">
        <w:rPr>
          <w:rFonts w:cstheme="minorHAnsi"/>
        </w:rPr>
        <w:t xml:space="preserve"> </w:t>
      </w:r>
    </w:p>
  </w:footnote>
  <w:footnote w:id="176">
    <w:p w14:paraId="1D041096" w14:textId="2A53EC87"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w:t>
      </w:r>
      <w:r w:rsidR="0066388D" w:rsidRPr="0066388D">
        <w:rPr>
          <w:rFonts w:cstheme="minorHAnsi"/>
        </w:rPr>
        <w:t xml:space="preserve">NCSEHE, </w:t>
      </w:r>
      <w:r w:rsidR="0066388D" w:rsidRPr="0066388D">
        <w:rPr>
          <w:rFonts w:cstheme="minorHAnsi"/>
          <w:i/>
          <w:iCs/>
        </w:rPr>
        <w:t>Equity Policy Options</w:t>
      </w:r>
      <w:r w:rsidR="0066388D" w:rsidRPr="0066388D">
        <w:rPr>
          <w:rFonts w:cstheme="minorHAnsi"/>
        </w:rPr>
        <w:t xml:space="preserve"> [unpublished report], (Canberra: Department of Education, 2023).</w:t>
      </w:r>
    </w:p>
  </w:footnote>
  <w:footnote w:id="177">
    <w:p w14:paraId="14770D2F" w14:textId="01B7EBA6"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w:t>
      </w:r>
      <w:r w:rsidR="00047F7B" w:rsidRPr="0066388D">
        <w:rPr>
          <w:rFonts w:cstheme="minorHAnsi"/>
        </w:rPr>
        <w:t xml:space="preserve">NCSEHE, </w:t>
      </w:r>
      <w:r w:rsidR="00047F7B" w:rsidRPr="0066388D">
        <w:rPr>
          <w:rFonts w:cstheme="minorHAnsi"/>
          <w:i/>
          <w:iCs/>
        </w:rPr>
        <w:t>Equity Policy Options</w:t>
      </w:r>
      <w:r w:rsidR="00047F7B" w:rsidRPr="0066388D">
        <w:rPr>
          <w:rFonts w:cstheme="minorHAnsi"/>
        </w:rPr>
        <w:t xml:space="preserve"> [unpublished report]</w:t>
      </w:r>
      <w:r w:rsidR="00E15888">
        <w:rPr>
          <w:rFonts w:cstheme="minorHAnsi"/>
        </w:rPr>
        <w:t>.</w:t>
      </w:r>
    </w:p>
  </w:footnote>
  <w:footnote w:id="178">
    <w:p w14:paraId="6BB59614" w14:textId="4239B74F"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w:t>
      </w:r>
      <w:r w:rsidR="00110DDB">
        <w:rPr>
          <w:rFonts w:cstheme="minorHAnsi"/>
        </w:rPr>
        <w:t>ISSR,</w:t>
      </w:r>
      <w:r w:rsidR="00F313EF" w:rsidRPr="008A4861">
        <w:rPr>
          <w:rFonts w:cstheme="minorHAnsi"/>
        </w:rPr>
        <w:t xml:space="preserve"> </w:t>
      </w:r>
      <w:r w:rsidR="00F313EF" w:rsidRPr="00A26A20">
        <w:rPr>
          <w:rFonts w:cstheme="minorHAnsi"/>
          <w:i/>
          <w:iCs/>
        </w:rPr>
        <w:t xml:space="preserve">Final Report: Targeted Review of Student Equity in Higher Education Programs and System Level Policy Levers </w:t>
      </w:r>
      <w:r w:rsidR="00F313EF" w:rsidRPr="008C4411">
        <w:rPr>
          <w:rFonts w:cstheme="minorHAnsi"/>
        </w:rPr>
        <w:t>[unpublished report]</w:t>
      </w:r>
      <w:r w:rsidR="00680547">
        <w:rPr>
          <w:rFonts w:cstheme="minorHAnsi"/>
        </w:rPr>
        <w:t>,</w:t>
      </w:r>
      <w:r w:rsidR="00F313EF" w:rsidRPr="008A4861">
        <w:rPr>
          <w:rFonts w:cstheme="minorHAnsi"/>
        </w:rPr>
        <w:t xml:space="preserve"> </w:t>
      </w:r>
      <w:r w:rsidR="00530688">
        <w:rPr>
          <w:rFonts w:cstheme="minorHAnsi"/>
        </w:rPr>
        <w:t xml:space="preserve">(Brisbane: </w:t>
      </w:r>
      <w:r w:rsidR="00F313EF" w:rsidRPr="008A4861">
        <w:rPr>
          <w:rFonts w:cstheme="minorHAnsi"/>
        </w:rPr>
        <w:t xml:space="preserve">University of Queensland, </w:t>
      </w:r>
      <w:r w:rsidR="0089363E">
        <w:rPr>
          <w:rFonts w:cstheme="minorHAnsi"/>
        </w:rPr>
        <w:t>2023</w:t>
      </w:r>
      <w:r w:rsidR="00530688">
        <w:rPr>
          <w:rFonts w:cstheme="minorHAnsi"/>
        </w:rPr>
        <w:t>)</w:t>
      </w:r>
      <w:r w:rsidR="00F313EF">
        <w:rPr>
          <w:rFonts w:cstheme="minorHAnsi"/>
        </w:rPr>
        <w:t>.</w:t>
      </w:r>
    </w:p>
  </w:footnote>
  <w:footnote w:id="179">
    <w:p w14:paraId="304B5F20" w14:textId="78E865A4"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w:t>
      </w:r>
      <w:r w:rsidR="007E4B29" w:rsidRPr="007E4B29">
        <w:rPr>
          <w:rFonts w:cstheme="minorHAnsi"/>
        </w:rPr>
        <w:t>ISSR,</w:t>
      </w:r>
      <w:r w:rsidR="007E4B29" w:rsidRPr="007E4B29">
        <w:rPr>
          <w:rFonts w:cstheme="minorHAnsi"/>
          <w:i/>
          <w:iCs/>
        </w:rPr>
        <w:t xml:space="preserve"> Targeted Review of Student Equity in Higher Education Programs and System Level Policy Levers.</w:t>
      </w:r>
      <w:r w:rsidR="007E4B29" w:rsidRPr="007E4B29">
        <w:rPr>
          <w:rFonts w:cstheme="minorHAnsi"/>
        </w:rPr>
        <w:t> </w:t>
      </w:r>
    </w:p>
  </w:footnote>
  <w:footnote w:id="180">
    <w:p w14:paraId="568D0ACB" w14:textId="11C33086"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Jade McKay</w:t>
      </w:r>
      <w:r w:rsidR="007E4B29">
        <w:rPr>
          <w:rFonts w:cstheme="minorHAnsi"/>
        </w:rPr>
        <w:t xml:space="preserve"> </w:t>
      </w:r>
      <w:r w:rsidR="00D82D27">
        <w:rPr>
          <w:rFonts w:cstheme="minorHAnsi"/>
        </w:rPr>
        <w:t>and</w:t>
      </w:r>
      <w:r w:rsidRPr="00601877">
        <w:rPr>
          <w:rFonts w:cstheme="minorHAnsi"/>
        </w:rPr>
        <w:t xml:space="preserve"> Marcia Devlin, “</w:t>
      </w:r>
      <w:r w:rsidR="000E4E28">
        <w:rPr>
          <w:rFonts w:cstheme="minorHAnsi"/>
        </w:rPr>
        <w:t>‘</w:t>
      </w:r>
      <w:r w:rsidRPr="00601877">
        <w:rPr>
          <w:rFonts w:cstheme="minorHAnsi"/>
        </w:rPr>
        <w:t xml:space="preserve">Low income doesn't mean stupid and destined for failure': challenging the deficit discourse around students from low SES backgrounds in higher education,” </w:t>
      </w:r>
      <w:r w:rsidRPr="00601877">
        <w:rPr>
          <w:rFonts w:cstheme="minorHAnsi"/>
          <w:i/>
        </w:rPr>
        <w:t>International Journal of Inclusive Education</w:t>
      </w:r>
      <w:r w:rsidRPr="00601877">
        <w:rPr>
          <w:rFonts w:cstheme="minorHAnsi"/>
        </w:rPr>
        <w:t xml:space="preserve"> </w:t>
      </w:r>
      <w:r w:rsidR="008F5A7F">
        <w:rPr>
          <w:rFonts w:cstheme="minorHAnsi"/>
        </w:rPr>
        <w:t xml:space="preserve">20, 4 </w:t>
      </w:r>
      <w:r w:rsidRPr="00601877">
        <w:rPr>
          <w:rFonts w:cstheme="minorHAnsi"/>
        </w:rPr>
        <w:t xml:space="preserve">(Routledge: Taylor &amp; Francis Group, </w:t>
      </w:r>
      <w:r w:rsidR="008F5A7F">
        <w:rPr>
          <w:rFonts w:cstheme="minorHAnsi"/>
        </w:rPr>
        <w:t xml:space="preserve">September </w:t>
      </w:r>
      <w:r w:rsidRPr="00601877">
        <w:rPr>
          <w:rFonts w:cstheme="minorHAnsi"/>
        </w:rPr>
        <w:t>2015)</w:t>
      </w:r>
      <w:r w:rsidR="008F5A7F">
        <w:rPr>
          <w:rFonts w:cstheme="minorHAnsi"/>
        </w:rPr>
        <w:t>, 359,</w:t>
      </w:r>
      <w:r w:rsidRPr="00601877">
        <w:rPr>
          <w:rFonts w:cstheme="minorHAnsi"/>
        </w:rPr>
        <w:t xml:space="preserve"> </w:t>
      </w:r>
      <w:hyperlink r:id="rId99" w:history="1">
        <w:r w:rsidR="00E046B2" w:rsidRPr="00E046B2">
          <w:rPr>
            <w:rStyle w:val="Hyperlink"/>
            <w:rFonts w:cstheme="minorHAnsi"/>
          </w:rPr>
          <w:t xml:space="preserve"> dx.doi.org/10.1080/13603116.2015.1079273.</w:t>
        </w:r>
        <w:r w:rsidR="00E046B2" w:rsidRPr="00E046B2" w:rsidDel="008E2361">
          <w:rPr>
            <w:rStyle w:val="Hyperlink"/>
            <w:rFonts w:cstheme="minorHAnsi"/>
          </w:rPr>
          <w:t xml:space="preserve"> </w:t>
        </w:r>
      </w:hyperlink>
    </w:p>
  </w:footnote>
  <w:footnote w:id="181">
    <w:p w14:paraId="7066609A" w14:textId="0829347D"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w:t>
      </w:r>
      <w:r w:rsidR="004709B4" w:rsidRPr="004709B4">
        <w:rPr>
          <w:rFonts w:ascii="Calibri" w:hAnsi="Calibri" w:cs="Calibri"/>
          <w:color w:val="000000"/>
          <w:shd w:val="clear" w:color="auto" w:fill="FFFFFF"/>
        </w:rPr>
        <w:t xml:space="preserve">Department of Education, </w:t>
      </w:r>
      <w:r w:rsidR="004709B4" w:rsidRPr="004709B4">
        <w:rPr>
          <w:rFonts w:ascii="Calibri" w:hAnsi="Calibri" w:cs="Calibri"/>
          <w:i/>
          <w:iCs/>
          <w:color w:val="000000"/>
          <w:shd w:val="clear" w:color="auto" w:fill="FFFFFF"/>
        </w:rPr>
        <w:t>Higher Education Statistics – Student Data</w:t>
      </w:r>
      <w:r w:rsidR="004709B4" w:rsidRPr="004709B4">
        <w:rPr>
          <w:rFonts w:ascii="Calibri" w:hAnsi="Calibri" w:cs="Calibri"/>
          <w:color w:val="000000"/>
          <w:shd w:val="clear" w:color="auto" w:fill="FFFFFF"/>
        </w:rPr>
        <w:t xml:space="preserve"> [unpublished data]; Department of Education</w:t>
      </w:r>
      <w:r w:rsidR="004709B4" w:rsidRPr="004709B4">
        <w:rPr>
          <w:rFonts w:ascii="Calibri" w:hAnsi="Calibri" w:cs="Calibri"/>
          <w:i/>
          <w:color w:val="000000"/>
          <w:shd w:val="clear" w:color="auto" w:fill="FFFFFF"/>
        </w:rPr>
        <w:t>, Higher Education Statistics – Student Data – 2022 Section 16 Equity Performance Data</w:t>
      </w:r>
      <w:r w:rsidR="004709B4" w:rsidRPr="004709B4">
        <w:rPr>
          <w:rFonts w:ascii="Calibri" w:hAnsi="Calibri" w:cs="Calibri"/>
          <w:color w:val="000000"/>
          <w:shd w:val="clear" w:color="auto" w:fill="FFFFFF"/>
        </w:rPr>
        <w:t xml:space="preserve"> [data set], </w:t>
      </w:r>
      <w:r w:rsidR="004709B4" w:rsidRPr="004709B4">
        <w:rPr>
          <w:rFonts w:ascii="Calibri" w:hAnsi="Calibri" w:cs="Calibri"/>
          <w:color w:val="000000"/>
          <w:shd w:val="clear" w:color="auto" w:fill="FFFFFF"/>
          <w:lang w:val="en-GB"/>
        </w:rPr>
        <w:t>(Canberra: 2023)</w:t>
      </w:r>
      <w:r w:rsidR="004709B4" w:rsidRPr="004709B4">
        <w:rPr>
          <w:rFonts w:ascii="Calibri" w:hAnsi="Calibri" w:cs="Calibri"/>
          <w:color w:val="000000"/>
          <w:shd w:val="clear" w:color="auto" w:fill="FFFFFF"/>
        </w:rPr>
        <w:t xml:space="preserve">,  </w:t>
      </w:r>
      <w:hyperlink r:id="rId100" w:history="1">
        <w:r w:rsidR="004709B4" w:rsidRPr="004709B4">
          <w:rPr>
            <w:rStyle w:val="Hyperlink"/>
            <w:rFonts w:ascii="Calibri" w:hAnsi="Calibri" w:cs="Calibri"/>
            <w:shd w:val="clear" w:color="auto" w:fill="FFFFFF"/>
          </w:rPr>
          <w:t>www.education.gov.au/higher-education-statistics/resources/2022-section-16-equity-performance-data</w:t>
        </w:r>
      </w:hyperlink>
      <w:r w:rsidR="00C27AD8">
        <w:rPr>
          <w:rFonts w:ascii="Calibri" w:hAnsi="Calibri" w:cs="Calibri"/>
          <w:color w:val="000000"/>
          <w:shd w:val="clear" w:color="auto" w:fill="FFFFFF"/>
        </w:rPr>
        <w:t xml:space="preserve">. </w:t>
      </w:r>
      <w:r w:rsidRPr="00601877">
        <w:rPr>
          <w:rFonts w:cstheme="minorHAnsi"/>
        </w:rPr>
        <w:t xml:space="preserve"> Retention rate measures the proportion of students who continue their studies from the previous year. Success refers to academic performance by comparing the effective full-time student load (EFSL) of units passed to the EFTSL of units attempted. </w:t>
      </w:r>
    </w:p>
  </w:footnote>
  <w:footnote w:id="182">
    <w:p w14:paraId="23AB7917" w14:textId="2FCF4E8B"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Productivity Commission, </w:t>
      </w:r>
      <w:r w:rsidRPr="00601877">
        <w:rPr>
          <w:rFonts w:cstheme="minorHAnsi"/>
          <w:i/>
        </w:rPr>
        <w:t>The Demand Driven University System: A Mixed Report Card</w:t>
      </w:r>
      <w:r w:rsidR="0066388D">
        <w:rPr>
          <w:rFonts w:cstheme="minorHAnsi"/>
          <w:i/>
        </w:rPr>
        <w:t>,</w:t>
      </w:r>
      <w:r w:rsidRPr="00601877">
        <w:rPr>
          <w:rFonts w:cstheme="minorHAnsi"/>
        </w:rPr>
        <w:t xml:space="preserve"> (Canberra: 2019)</w:t>
      </w:r>
      <w:r w:rsidR="00784AB8">
        <w:rPr>
          <w:rFonts w:cstheme="minorHAnsi"/>
        </w:rPr>
        <w:t>, 15,</w:t>
      </w:r>
      <w:r w:rsidRPr="00601877">
        <w:rPr>
          <w:rFonts w:cstheme="minorHAnsi"/>
        </w:rPr>
        <w:t xml:space="preserve"> </w:t>
      </w:r>
      <w:hyperlink r:id="rId101" w:history="1">
        <w:r w:rsidR="001250EC" w:rsidRPr="00811871">
          <w:rPr>
            <w:rStyle w:val="Hyperlink"/>
          </w:rPr>
          <w:t>www.pc.gov.au/research/completed/university-report-card/university-report-card.pdf</w:t>
        </w:r>
      </w:hyperlink>
      <w:r w:rsidR="001250EC">
        <w:rPr>
          <w:rFonts w:cstheme="minorHAnsi"/>
        </w:rPr>
        <w:t xml:space="preserve">. </w:t>
      </w:r>
    </w:p>
  </w:footnote>
  <w:footnote w:id="183">
    <w:p w14:paraId="0451374F" w14:textId="404C2AB8"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Productivity Commission, </w:t>
      </w:r>
      <w:r w:rsidRPr="00601877">
        <w:rPr>
          <w:rFonts w:cstheme="minorHAnsi"/>
          <w:i/>
        </w:rPr>
        <w:t>The Demand Driven University System</w:t>
      </w:r>
      <w:r w:rsidR="00464864">
        <w:rPr>
          <w:rFonts w:cstheme="minorHAnsi"/>
        </w:rPr>
        <w:t xml:space="preserve">, </w:t>
      </w:r>
      <w:r w:rsidR="006A6534">
        <w:rPr>
          <w:rFonts w:cstheme="minorHAnsi"/>
        </w:rPr>
        <w:t>2</w:t>
      </w:r>
      <w:r w:rsidR="00464864">
        <w:rPr>
          <w:rFonts w:cstheme="minorHAnsi"/>
        </w:rPr>
        <w:t>.</w:t>
      </w:r>
    </w:p>
  </w:footnote>
  <w:footnote w:id="184">
    <w:p w14:paraId="2DDAAEAF" w14:textId="13AE9AF1" w:rsidR="00D7186D" w:rsidRDefault="00D7186D">
      <w:pPr>
        <w:pStyle w:val="FootnoteText"/>
      </w:pPr>
      <w:r>
        <w:rPr>
          <w:rStyle w:val="FootnoteReference"/>
        </w:rPr>
        <w:footnoteRef/>
      </w:r>
      <w:r w:rsidR="00D07ED9">
        <w:t xml:space="preserve"> </w:t>
      </w:r>
      <w:r w:rsidR="00712C3A" w:rsidRPr="00E60FE1">
        <w:rPr>
          <w:i/>
          <w:iCs/>
        </w:rPr>
        <w:t xml:space="preserve">Higher Education Support Amendment (Response to the Australian Universities Accord Interim Report) </w:t>
      </w:r>
      <w:r w:rsidR="00712C3A">
        <w:rPr>
          <w:i/>
          <w:iCs/>
        </w:rPr>
        <w:t>Act</w:t>
      </w:r>
      <w:r w:rsidR="00712C3A" w:rsidRPr="00E60FE1">
        <w:rPr>
          <w:i/>
          <w:iCs/>
        </w:rPr>
        <w:t xml:space="preserve"> 2023</w:t>
      </w:r>
      <w:r w:rsidR="00712C3A">
        <w:t xml:space="preserve"> (</w:t>
      </w:r>
      <w:proofErr w:type="spellStart"/>
      <w:r w:rsidR="00712C3A">
        <w:t>Cth</w:t>
      </w:r>
      <w:proofErr w:type="spellEnd"/>
      <w:r w:rsidR="00712C3A">
        <w:t>)</w:t>
      </w:r>
      <w:r w:rsidR="0066388D">
        <w:t>.</w:t>
      </w:r>
    </w:p>
  </w:footnote>
  <w:footnote w:id="185">
    <w:p w14:paraId="4FBD99FC" w14:textId="77777777"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Cumulative disadvantage refers to the accumulation of multiple forms of disadvantage. </w:t>
      </w:r>
    </w:p>
  </w:footnote>
  <w:footnote w:id="186">
    <w:p w14:paraId="0E5462C9" w14:textId="0D63EB90" w:rsidR="00867C3B" w:rsidRDefault="00867C3B" w:rsidP="00867C3B">
      <w:pPr>
        <w:pStyle w:val="FootnoteText"/>
      </w:pPr>
      <w:r>
        <w:rPr>
          <w:rStyle w:val="FootnoteReference"/>
        </w:rPr>
        <w:footnoteRef/>
      </w:r>
      <w:r>
        <w:t xml:space="preserve"> </w:t>
      </w:r>
      <w:r w:rsidR="0025265D">
        <w:rPr>
          <w:rStyle w:val="normaltextrun"/>
          <w:rFonts w:ascii="Calibri" w:hAnsi="Calibri" w:cs="Calibri"/>
          <w:color w:val="000000"/>
          <w:shd w:val="clear" w:color="auto" w:fill="FFFFFF"/>
        </w:rPr>
        <w:t xml:space="preserve">Productivity Commission, </w:t>
      </w:r>
      <w:r w:rsidR="00BD5D2D">
        <w:rPr>
          <w:rStyle w:val="findhit"/>
          <w:rFonts w:ascii="Calibri" w:hAnsi="Calibri" w:cs="Calibri"/>
          <w:i/>
          <w:iCs/>
          <w:color w:val="000000"/>
          <w:shd w:val="clear" w:color="auto" w:fill="FFFFFF"/>
        </w:rPr>
        <w:t>ECEC</w:t>
      </w:r>
      <w:r w:rsidR="00BD5D2D">
        <w:rPr>
          <w:rStyle w:val="normaltextrun"/>
          <w:rFonts w:ascii="Calibri" w:hAnsi="Calibri" w:cs="Calibri"/>
          <w:i/>
          <w:iCs/>
          <w:color w:val="000000"/>
          <w:shd w:val="clear" w:color="auto" w:fill="FFFFFF"/>
        </w:rPr>
        <w:t xml:space="preserve"> Draft Report</w:t>
      </w:r>
      <w:r w:rsidR="00BD5D2D">
        <w:rPr>
          <w:rStyle w:val="normaltextrun"/>
          <w:rFonts w:ascii="Calibri" w:hAnsi="Calibri" w:cs="Calibri"/>
          <w:color w:val="000000"/>
          <w:shd w:val="clear" w:color="auto" w:fill="FFFFFF"/>
        </w:rPr>
        <w:t xml:space="preserve">, </w:t>
      </w:r>
      <w:r w:rsidR="008F54A3">
        <w:rPr>
          <w:rStyle w:val="normaltextrun"/>
          <w:rFonts w:ascii="Calibri" w:hAnsi="Calibri" w:cs="Calibri"/>
          <w:color w:val="000000"/>
          <w:shd w:val="clear" w:color="auto" w:fill="FFFFFF"/>
        </w:rPr>
        <w:t>43</w:t>
      </w:r>
      <w:r w:rsidR="00BD5D2D">
        <w:rPr>
          <w:rStyle w:val="normaltextrun"/>
          <w:rFonts w:ascii="Calibri" w:hAnsi="Calibri" w:cs="Calibri"/>
          <w:color w:val="000000"/>
          <w:shd w:val="clear" w:color="auto" w:fill="FFFFFF"/>
        </w:rPr>
        <w:t>.</w:t>
      </w:r>
    </w:p>
  </w:footnote>
  <w:footnote w:id="187">
    <w:p w14:paraId="37C928CC" w14:textId="62E7F94F" w:rsidR="00D27626" w:rsidRPr="00601877" w:rsidRDefault="00D27626" w:rsidP="00D27626">
      <w:pPr>
        <w:pStyle w:val="FootnoteText"/>
      </w:pPr>
      <w:r w:rsidRPr="00601877">
        <w:rPr>
          <w:rStyle w:val="FootnoteReference"/>
          <w:rFonts w:cstheme="minorHAnsi"/>
        </w:rPr>
        <w:footnoteRef/>
      </w:r>
      <w:r w:rsidRPr="00601877">
        <w:t xml:space="preserve"> </w:t>
      </w:r>
      <w:r w:rsidR="00A33657" w:rsidRPr="00A33657">
        <w:rPr>
          <w:lang w:val="en-GB"/>
        </w:rPr>
        <w:t xml:space="preserve">Warren </w:t>
      </w:r>
      <w:r w:rsidR="00D82D27">
        <w:rPr>
          <w:lang w:val="en-GB"/>
        </w:rPr>
        <w:t>and</w:t>
      </w:r>
      <w:r w:rsidR="00A33657" w:rsidRPr="00A33657">
        <w:rPr>
          <w:lang w:val="en-GB"/>
        </w:rPr>
        <w:t xml:space="preserve"> </w:t>
      </w:r>
      <w:proofErr w:type="spellStart"/>
      <w:r w:rsidR="00A33657" w:rsidRPr="00A33657">
        <w:rPr>
          <w:lang w:val="en-GB"/>
        </w:rPr>
        <w:t>Ha</w:t>
      </w:r>
      <w:r w:rsidR="003E4409">
        <w:rPr>
          <w:lang w:val="en-GB"/>
        </w:rPr>
        <w:t>i</w:t>
      </w:r>
      <w:r w:rsidR="00A33657" w:rsidRPr="00A33657">
        <w:rPr>
          <w:lang w:val="en-GB"/>
        </w:rPr>
        <w:t>sken-DeNew</w:t>
      </w:r>
      <w:proofErr w:type="spellEnd"/>
      <w:r w:rsidR="00A33657" w:rsidRPr="00A33657">
        <w:rPr>
          <w:lang w:val="en-GB"/>
        </w:rPr>
        <w:t xml:space="preserve">, “Early Bird Catches the Worm,” </w:t>
      </w:r>
      <w:r w:rsidR="00A33657">
        <w:rPr>
          <w:lang w:val="en-GB"/>
        </w:rPr>
        <w:t>36</w:t>
      </w:r>
      <w:r w:rsidR="00A33657" w:rsidRPr="00A33657">
        <w:rPr>
          <w:lang w:val="en-GB"/>
        </w:rPr>
        <w:t>.</w:t>
      </w:r>
      <w:r w:rsidR="00A33657" w:rsidRPr="00A33657">
        <w:t> </w:t>
      </w:r>
    </w:p>
  </w:footnote>
  <w:footnote w:id="188">
    <w:p w14:paraId="30BC5238" w14:textId="3F04E7A3" w:rsidR="001616D6" w:rsidRPr="00A26A20" w:rsidRDefault="001616D6" w:rsidP="0066388D">
      <w:pPr>
        <w:pStyle w:val="FootnoteText"/>
        <w:rPr>
          <w:rFonts w:eastAsia="Times New Roman"/>
        </w:rPr>
      </w:pPr>
      <w:r>
        <w:rPr>
          <w:rStyle w:val="FootnoteReference"/>
        </w:rPr>
        <w:footnoteRef/>
      </w:r>
      <w:r>
        <w:t xml:space="preserve"> </w:t>
      </w:r>
      <w:r w:rsidR="00E47BBE">
        <w:t>Lisa De</w:t>
      </w:r>
      <w:r>
        <w:t xml:space="preserve"> </w:t>
      </w:r>
      <w:r w:rsidRPr="00A26A20">
        <w:t>Bortoli,</w:t>
      </w:r>
      <w:r>
        <w:t xml:space="preserve"> </w:t>
      </w:r>
      <w:r w:rsidR="009605B8">
        <w:t>Catherine</w:t>
      </w:r>
      <w:r w:rsidRPr="00A26A20">
        <w:t xml:space="preserve"> Underwood </w:t>
      </w:r>
      <w:r w:rsidR="003E4409">
        <w:t>and</w:t>
      </w:r>
      <w:r w:rsidR="009605B8">
        <w:t xml:space="preserve"> Sue</w:t>
      </w:r>
      <w:r w:rsidRPr="00A26A20">
        <w:t xml:space="preserve"> Thomson</w:t>
      </w:r>
      <w:r w:rsidR="0051775D">
        <w:t>,</w:t>
      </w:r>
      <w:r w:rsidRPr="00A26A20">
        <w:t xml:space="preserve"> </w:t>
      </w:r>
      <w:r w:rsidRPr="0066388D">
        <w:rPr>
          <w:i/>
        </w:rPr>
        <w:t>PISA 2022: Reporting Australia’s results: Volume I Student performance and equity in education</w:t>
      </w:r>
      <w:r w:rsidRPr="00A26A20">
        <w:t xml:space="preserve">, </w:t>
      </w:r>
      <w:r w:rsidR="0051775D">
        <w:t>(</w:t>
      </w:r>
      <w:r w:rsidRPr="00A26A20">
        <w:t>Australian Council for Educational Research</w:t>
      </w:r>
      <w:r>
        <w:t xml:space="preserve">, </w:t>
      </w:r>
      <w:r w:rsidR="0051775D">
        <w:t>2023), accessed 5 December 2023,</w:t>
      </w:r>
      <w:r w:rsidRPr="00A26A20">
        <w:t xml:space="preserve"> xvii</w:t>
      </w:r>
      <w:r w:rsidR="0051775D">
        <w:t>–</w:t>
      </w:r>
      <w:r w:rsidRPr="00A26A20">
        <w:t>xix,</w:t>
      </w:r>
      <w:r w:rsidR="00212D0D">
        <w:t xml:space="preserve"> </w:t>
      </w:r>
      <w:hyperlink r:id="rId102" w:history="1">
        <w:r w:rsidR="00F81E2D" w:rsidRPr="00811871">
          <w:rPr>
            <w:rStyle w:val="Hyperlink"/>
          </w:rPr>
          <w:t>research.acer.edu.au/cgi/viewcontent.cgi?article=1056&amp;context=ozpisa</w:t>
        </w:r>
      </w:hyperlink>
      <w:r w:rsidR="00F81E2D">
        <w:t xml:space="preserve">. </w:t>
      </w:r>
    </w:p>
  </w:footnote>
  <w:footnote w:id="189">
    <w:p w14:paraId="662723CC" w14:textId="74D4B46A" w:rsidR="001616D6" w:rsidRPr="00A26A20" w:rsidRDefault="001616D6" w:rsidP="0066388D">
      <w:pPr>
        <w:pStyle w:val="FootnoteText"/>
        <w:rPr>
          <w:rFonts w:eastAsia="Times New Roman"/>
        </w:rPr>
      </w:pPr>
      <w:r>
        <w:rPr>
          <w:rStyle w:val="FootnoteReference"/>
        </w:rPr>
        <w:footnoteRef/>
      </w:r>
      <w:r>
        <w:t xml:space="preserve"> </w:t>
      </w:r>
      <w:r w:rsidR="0068440D" w:rsidRPr="0068440D">
        <w:t xml:space="preserve">Bortoli, Underwood </w:t>
      </w:r>
      <w:r w:rsidR="00D82D27">
        <w:t>and</w:t>
      </w:r>
      <w:r w:rsidR="0068440D" w:rsidRPr="0068440D">
        <w:t xml:space="preserve"> Thompson, </w:t>
      </w:r>
      <w:r w:rsidR="0068440D" w:rsidRPr="0066388D">
        <w:rPr>
          <w:i/>
        </w:rPr>
        <w:t>PISA 2022: Reporting Australia’s results</w:t>
      </w:r>
      <w:r w:rsidR="0068440D" w:rsidRPr="0068440D">
        <w:t xml:space="preserve">, </w:t>
      </w:r>
      <w:r w:rsidR="0068440D">
        <w:t>xii</w:t>
      </w:r>
      <w:r w:rsidR="006A6534">
        <w:t>-xxiii</w:t>
      </w:r>
      <w:r w:rsidR="0068440D" w:rsidRPr="0068440D">
        <w:t>.</w:t>
      </w:r>
      <w:r>
        <w:t xml:space="preserve"> </w:t>
      </w:r>
    </w:p>
  </w:footnote>
  <w:footnote w:id="190">
    <w:p w14:paraId="3B2EE231" w14:textId="3A373A72"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Higher Education Standards Panel, </w:t>
      </w:r>
      <w:r w:rsidR="00EB1771" w:rsidRPr="0066388D">
        <w:rPr>
          <w:i/>
        </w:rPr>
        <w:t>Submission to the Australian Universities Accord Discussion Paper</w:t>
      </w:r>
      <w:r w:rsidR="00B62EED">
        <w:rPr>
          <w:rFonts w:cstheme="minorHAnsi"/>
        </w:rPr>
        <w:t>, 2023</w:t>
      </w:r>
      <w:r w:rsidR="00EB1771">
        <w:rPr>
          <w:rFonts w:cstheme="minorHAnsi"/>
        </w:rPr>
        <w:t>,</w:t>
      </w:r>
      <w:r w:rsidR="00EB1771" w:rsidRPr="00EB1771">
        <w:t xml:space="preserve"> </w:t>
      </w:r>
      <w:hyperlink r:id="rId103" w:history="1">
        <w:r w:rsidR="00086D34" w:rsidRPr="00811871">
          <w:rPr>
            <w:rStyle w:val="Hyperlink"/>
          </w:rPr>
          <w:t>www.education.gov.au/system/files/documents/submission-file/2023-07/Higher%20Education%20Standards%20Panel%20%28HESP%29.pdf</w:t>
        </w:r>
      </w:hyperlink>
      <w:r w:rsidR="00086D34">
        <w:t xml:space="preserve">. </w:t>
      </w:r>
    </w:p>
  </w:footnote>
  <w:footnote w:id="191">
    <w:p w14:paraId="10A8419A" w14:textId="0CA42DD6"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w:t>
      </w:r>
      <w:r w:rsidR="00D31468" w:rsidRPr="00BD630E">
        <w:t xml:space="preserve">Dean, Downes </w:t>
      </w:r>
      <w:r w:rsidR="00D82D27">
        <w:t>and</w:t>
      </w:r>
      <w:r w:rsidR="00D31468" w:rsidRPr="00BD630E">
        <w:t xml:space="preserve"> Roberts</w:t>
      </w:r>
      <w:r w:rsidR="00D31468" w:rsidRPr="005849A3">
        <w:t xml:space="preserve">, “Access to and equity in the curriculum,” </w:t>
      </w:r>
      <w:r w:rsidR="00D31468">
        <w:t>4.</w:t>
      </w:r>
    </w:p>
  </w:footnote>
  <w:footnote w:id="192">
    <w:p w14:paraId="21E97595" w14:textId="73CA0645"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Andrew Harvey, Lucy McDermid </w:t>
      </w:r>
      <w:r w:rsidR="00D82D27">
        <w:rPr>
          <w:rFonts w:cstheme="minorHAnsi"/>
        </w:rPr>
        <w:t>and</w:t>
      </w:r>
      <w:r w:rsidRPr="00601877">
        <w:rPr>
          <w:rFonts w:cstheme="minorHAnsi"/>
        </w:rPr>
        <w:t xml:space="preserve"> Rebecca Wren, </w:t>
      </w:r>
      <w:r w:rsidRPr="00601877">
        <w:rPr>
          <w:rFonts w:cstheme="minorHAnsi"/>
          <w:i/>
        </w:rPr>
        <w:t xml:space="preserve">Policy Paper #1: The impact of school streaming on growth and equity in Australian higher education: evidence from Queensland, </w:t>
      </w:r>
      <w:r w:rsidRPr="00601877">
        <w:rPr>
          <w:rFonts w:cstheme="minorHAnsi"/>
        </w:rPr>
        <w:t>(</w:t>
      </w:r>
      <w:r w:rsidR="00B62EED">
        <w:rPr>
          <w:rFonts w:cstheme="minorHAnsi"/>
        </w:rPr>
        <w:t xml:space="preserve">Logan, Griffith University: </w:t>
      </w:r>
      <w:r w:rsidRPr="00601877">
        <w:rPr>
          <w:rFonts w:cstheme="minorHAnsi"/>
        </w:rPr>
        <w:t xml:space="preserve">Pathways in Place, 2023), </w:t>
      </w:r>
      <w:r w:rsidR="00B62EED">
        <w:rPr>
          <w:rFonts w:cstheme="minorHAnsi"/>
        </w:rPr>
        <w:t>6</w:t>
      </w:r>
      <w:r w:rsidR="00C47F9D">
        <w:rPr>
          <w:rFonts w:cstheme="minorHAnsi"/>
        </w:rPr>
        <w:t>–</w:t>
      </w:r>
      <w:r w:rsidR="00BB629E">
        <w:rPr>
          <w:rFonts w:cstheme="minorHAnsi"/>
        </w:rPr>
        <w:t xml:space="preserve">8, </w:t>
      </w:r>
      <w:hyperlink r:id="rId104" w:history="1">
        <w:r w:rsidR="001C59B3" w:rsidRPr="00811871">
          <w:rPr>
            <w:rStyle w:val="Hyperlink"/>
            <w:rFonts w:cstheme="minorHAnsi"/>
          </w:rPr>
          <w:t>doi.org/10.25904/1912/4989</w:t>
        </w:r>
      </w:hyperlink>
      <w:r w:rsidR="001C59B3">
        <w:rPr>
          <w:rStyle w:val="Hyperlink"/>
          <w:rFonts w:cstheme="minorHAnsi"/>
        </w:rPr>
        <w:t xml:space="preserve">. </w:t>
      </w:r>
    </w:p>
  </w:footnote>
  <w:footnote w:id="193">
    <w:p w14:paraId="1450974B" w14:textId="600D0FE1"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w:t>
      </w:r>
      <w:r w:rsidRPr="00BD630E">
        <w:t>Dean, Downes and Roberts</w:t>
      </w:r>
      <w:r w:rsidRPr="00723372">
        <w:t>, “Access to and equity in the curriculum</w:t>
      </w:r>
      <w:r w:rsidR="00BB629E" w:rsidRPr="00723372">
        <w:t>,</w:t>
      </w:r>
      <w:r w:rsidRPr="00723372">
        <w:t>”</w:t>
      </w:r>
      <w:r w:rsidR="00BB629E" w:rsidRPr="00723372">
        <w:t xml:space="preserve"> 1.</w:t>
      </w:r>
    </w:p>
  </w:footnote>
  <w:footnote w:id="194">
    <w:p w14:paraId="72C8DAA1" w14:textId="252F24B2"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w:t>
      </w:r>
      <w:r w:rsidRPr="00BD630E">
        <w:t>Dean, Downes and Roberts</w:t>
      </w:r>
      <w:r w:rsidRPr="00723372">
        <w:t>, “Access to and equity in the curriculum</w:t>
      </w:r>
      <w:r w:rsidR="00BB629E" w:rsidRPr="00723372">
        <w:t>,</w:t>
      </w:r>
      <w:r w:rsidRPr="00723372">
        <w:t>”</w:t>
      </w:r>
      <w:r w:rsidR="00BB629E" w:rsidRPr="00723372">
        <w:t xml:space="preserve"> 5</w:t>
      </w:r>
      <w:r w:rsidR="00723372">
        <w:t>–</w:t>
      </w:r>
      <w:r w:rsidR="00BB629E" w:rsidRPr="00723372">
        <w:t>6.</w:t>
      </w:r>
    </w:p>
  </w:footnote>
  <w:footnote w:id="195">
    <w:p w14:paraId="1BA2D51D" w14:textId="668412E4" w:rsidR="00474627" w:rsidRPr="00601877" w:rsidRDefault="00474627" w:rsidP="00474627">
      <w:pPr>
        <w:pStyle w:val="FootnoteText"/>
        <w:rPr>
          <w:rFonts w:cstheme="minorHAnsi"/>
        </w:rPr>
      </w:pPr>
      <w:r w:rsidRPr="00601877">
        <w:rPr>
          <w:rStyle w:val="FootnoteReference"/>
          <w:rFonts w:cstheme="minorHAnsi"/>
        </w:rPr>
        <w:footnoteRef/>
      </w:r>
      <w:r w:rsidRPr="00601877">
        <w:rPr>
          <w:rFonts w:cstheme="minorHAnsi"/>
        </w:rPr>
        <w:t xml:space="preserve"> </w:t>
      </w:r>
      <w:r w:rsidR="00DB758A">
        <w:t>O’Brien et al</w:t>
      </w:r>
      <w:r w:rsidR="00625258">
        <w:t xml:space="preserve">, </w:t>
      </w:r>
      <w:r w:rsidR="00625258" w:rsidRPr="00812885">
        <w:rPr>
          <w:i/>
          <w:iCs/>
        </w:rPr>
        <w:t>Improving Outcomes for All, Report to Inform a Better and Fairer Education System</w:t>
      </w:r>
      <w:r w:rsidR="00DB758A">
        <w:t>.</w:t>
      </w:r>
    </w:p>
  </w:footnote>
  <w:footnote w:id="196">
    <w:p w14:paraId="6127E40D" w14:textId="3988AD1E" w:rsidR="00D27626" w:rsidRPr="009475A3"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w:t>
      </w:r>
      <w:r w:rsidR="00CB2CB8" w:rsidRPr="00601877">
        <w:rPr>
          <w:rFonts w:cstheme="minorHAnsi"/>
        </w:rPr>
        <w:t xml:space="preserve">Lynette Vernon, Stuart Watson, and Andrew Taggart, “University Aspirational Pathways for Metropolitan and Regional Students,” </w:t>
      </w:r>
      <w:r w:rsidR="00CB2CB8" w:rsidRPr="00601877">
        <w:rPr>
          <w:rFonts w:cstheme="minorHAnsi"/>
          <w:i/>
        </w:rPr>
        <w:t xml:space="preserve">Australian and International Journal of Rural Education </w:t>
      </w:r>
      <w:r w:rsidR="00CB2CB8" w:rsidRPr="00601877">
        <w:rPr>
          <w:rFonts w:cstheme="minorHAnsi"/>
        </w:rPr>
        <w:t>28,</w:t>
      </w:r>
      <w:r w:rsidR="0075055F">
        <w:rPr>
          <w:rFonts w:cstheme="minorHAnsi"/>
        </w:rPr>
        <w:t xml:space="preserve"> </w:t>
      </w:r>
      <w:r w:rsidR="00CB2CB8" w:rsidRPr="00601877">
        <w:rPr>
          <w:rFonts w:cstheme="minorHAnsi"/>
        </w:rPr>
        <w:t xml:space="preserve">1 (2018): 85, </w:t>
      </w:r>
      <w:hyperlink r:id="rId105" w:history="1">
        <w:r w:rsidR="006E02C4" w:rsidRPr="00811871">
          <w:rPr>
            <w:rStyle w:val="Hyperlink"/>
          </w:rPr>
          <w:t>doi.org/10.47381/aijre.v28i1.167</w:t>
        </w:r>
      </w:hyperlink>
      <w:r w:rsidR="00CB2CB8" w:rsidRPr="00A26A20">
        <w:rPr>
          <w:rFonts w:cstheme="minorHAnsi"/>
        </w:rPr>
        <w:t xml:space="preserve">; </w:t>
      </w:r>
      <w:r w:rsidR="009E3F44" w:rsidRPr="009E3F44">
        <w:rPr>
          <w:rFonts w:cstheme="minorHAnsi"/>
        </w:rPr>
        <w:t>Nadine</w:t>
      </w:r>
      <w:r w:rsidR="009E3F44" w:rsidRPr="00601877">
        <w:rPr>
          <w:rFonts w:cstheme="minorHAnsi"/>
        </w:rPr>
        <w:t xml:space="preserve"> Zacharias</w:t>
      </w:r>
      <w:r w:rsidR="009E3F44">
        <w:rPr>
          <w:rFonts w:cstheme="minorHAnsi"/>
        </w:rPr>
        <w:t xml:space="preserve"> </w:t>
      </w:r>
      <w:r w:rsidR="009E3F44" w:rsidRPr="00601877">
        <w:rPr>
          <w:rFonts w:cstheme="minorHAnsi"/>
        </w:rPr>
        <w:t>and G</w:t>
      </w:r>
      <w:r w:rsidR="009E3F44">
        <w:rPr>
          <w:rFonts w:cstheme="minorHAnsi"/>
        </w:rPr>
        <w:t>eoffrey</w:t>
      </w:r>
      <w:r w:rsidR="009E3F44" w:rsidRPr="00601877">
        <w:rPr>
          <w:rFonts w:cstheme="minorHAnsi"/>
        </w:rPr>
        <w:t xml:space="preserve"> Mitchell</w:t>
      </w:r>
      <w:r w:rsidR="00E3715B">
        <w:rPr>
          <w:rFonts w:cstheme="minorHAnsi"/>
        </w:rPr>
        <w:t>,</w:t>
      </w:r>
      <w:r w:rsidR="009E3F44" w:rsidRPr="00601877">
        <w:rPr>
          <w:rFonts w:cstheme="minorHAnsi"/>
        </w:rPr>
        <w:t xml:space="preserve"> “The Importance of Highly Engaged School-University Partnerships in Widening Participation Outreach</w:t>
      </w:r>
      <w:r w:rsidR="00E3715B">
        <w:rPr>
          <w:rFonts w:cstheme="minorHAnsi"/>
        </w:rPr>
        <w:t>,</w:t>
      </w:r>
      <w:r w:rsidR="009E3F44" w:rsidRPr="00601877">
        <w:rPr>
          <w:rFonts w:cstheme="minorHAnsi"/>
        </w:rPr>
        <w:t xml:space="preserve">” </w:t>
      </w:r>
      <w:r w:rsidR="009E3F44" w:rsidRPr="00601877">
        <w:rPr>
          <w:rFonts w:cstheme="minorHAnsi"/>
          <w:i/>
        </w:rPr>
        <w:t>Student Success</w:t>
      </w:r>
      <w:r w:rsidR="009E3F44" w:rsidRPr="00601877">
        <w:rPr>
          <w:rFonts w:cstheme="minorHAnsi"/>
        </w:rPr>
        <w:t xml:space="preserve"> 11,</w:t>
      </w:r>
      <w:r w:rsidR="004B1D64">
        <w:rPr>
          <w:rFonts w:cstheme="minorHAnsi"/>
        </w:rPr>
        <w:t xml:space="preserve"> </w:t>
      </w:r>
      <w:r w:rsidR="009E3F44" w:rsidRPr="00601877">
        <w:rPr>
          <w:rFonts w:cstheme="minorHAnsi"/>
        </w:rPr>
        <w:t>1 (2020)</w:t>
      </w:r>
      <w:r w:rsidR="009E3F44">
        <w:rPr>
          <w:rFonts w:cstheme="minorHAnsi"/>
        </w:rPr>
        <w:t xml:space="preserve">, 37, </w:t>
      </w:r>
      <w:hyperlink r:id="rId106" w:history="1">
        <w:r w:rsidR="006E02C4" w:rsidRPr="00811871">
          <w:rPr>
            <w:rStyle w:val="Hyperlink"/>
            <w:rFonts w:cstheme="minorHAnsi"/>
          </w:rPr>
          <w:t>doi.org/10.5204/ssj.v11i1.1458</w:t>
        </w:r>
      </w:hyperlink>
      <w:r w:rsidR="006E02C4">
        <w:rPr>
          <w:rFonts w:cstheme="minorHAnsi"/>
        </w:rPr>
        <w:t xml:space="preserve">. </w:t>
      </w:r>
    </w:p>
  </w:footnote>
  <w:footnote w:id="197">
    <w:p w14:paraId="5264BDDC" w14:textId="4B661976" w:rsidR="00D27626" w:rsidRPr="00601877" w:rsidRDefault="00D27626" w:rsidP="00D27626">
      <w:pPr>
        <w:pStyle w:val="FootnoteText"/>
        <w:rPr>
          <w:rFonts w:cstheme="minorHAnsi"/>
        </w:rPr>
      </w:pPr>
      <w:r w:rsidRPr="009475A3">
        <w:rPr>
          <w:rStyle w:val="FootnoteReference"/>
          <w:rFonts w:cstheme="minorHAnsi"/>
        </w:rPr>
        <w:footnoteRef/>
      </w:r>
      <w:r w:rsidRPr="009475A3">
        <w:rPr>
          <w:rFonts w:cstheme="minorHAnsi"/>
        </w:rPr>
        <w:t xml:space="preserve"> </w:t>
      </w:r>
      <w:r w:rsidR="00F96A77" w:rsidRPr="00F96A77">
        <w:rPr>
          <w:rFonts w:cstheme="minorHAnsi"/>
        </w:rPr>
        <w:t>Kylie Austin</w:t>
      </w:r>
      <w:r w:rsidR="007C5366">
        <w:rPr>
          <w:rFonts w:cstheme="minorHAnsi"/>
        </w:rPr>
        <w:t>,</w:t>
      </w:r>
      <w:r w:rsidR="00F96A77" w:rsidRPr="00F96A77">
        <w:rPr>
          <w:rFonts w:cstheme="minorHAnsi"/>
        </w:rPr>
        <w:t xml:space="preserve"> Sarah O’Shea</w:t>
      </w:r>
      <w:r w:rsidR="007C5366">
        <w:rPr>
          <w:rFonts w:cstheme="minorHAnsi"/>
        </w:rPr>
        <w:t>,</w:t>
      </w:r>
      <w:r w:rsidR="00F96A77" w:rsidRPr="00F96A77">
        <w:rPr>
          <w:rFonts w:cstheme="minorHAnsi"/>
        </w:rPr>
        <w:t xml:space="preserve"> Olivia Groves and Jodi </w:t>
      </w:r>
      <w:proofErr w:type="spellStart"/>
      <w:r w:rsidR="00F96A77" w:rsidRPr="00F96A77">
        <w:rPr>
          <w:rFonts w:cstheme="minorHAnsi"/>
        </w:rPr>
        <w:t>Lamanna</w:t>
      </w:r>
      <w:proofErr w:type="spellEnd"/>
      <w:r w:rsidR="0060373B">
        <w:rPr>
          <w:rFonts w:cstheme="minorHAnsi"/>
        </w:rPr>
        <w:t>,</w:t>
      </w:r>
      <w:r w:rsidR="008B67D0">
        <w:rPr>
          <w:rFonts w:cstheme="minorHAnsi"/>
        </w:rPr>
        <w:t xml:space="preserve"> </w:t>
      </w:r>
      <w:r w:rsidRPr="00601877">
        <w:rPr>
          <w:rFonts w:cstheme="minorHAnsi"/>
          <w:i/>
        </w:rPr>
        <w:t>Best-practice career education for students from low socioeconomic status backgrounds</w:t>
      </w:r>
      <w:r w:rsidRPr="00601877">
        <w:rPr>
          <w:rFonts w:cstheme="minorHAnsi"/>
        </w:rPr>
        <w:t>,</w:t>
      </w:r>
      <w:r w:rsidRPr="00601877">
        <w:rPr>
          <w:rFonts w:cstheme="minorHAnsi"/>
          <w:i/>
        </w:rPr>
        <w:t xml:space="preserve"> </w:t>
      </w:r>
      <w:r w:rsidRPr="00601877">
        <w:rPr>
          <w:rFonts w:cstheme="minorHAnsi"/>
        </w:rPr>
        <w:t>(Perth</w:t>
      </w:r>
      <w:r w:rsidR="009E3F44">
        <w:rPr>
          <w:rFonts w:cstheme="minorHAnsi"/>
        </w:rPr>
        <w:t>, Curtin University</w:t>
      </w:r>
      <w:r w:rsidRPr="00601877">
        <w:rPr>
          <w:rFonts w:cstheme="minorHAnsi"/>
        </w:rPr>
        <w:t>: National Centre for Student Equity in Higher Education</w:t>
      </w:r>
      <w:r w:rsidR="00EC2963">
        <w:rPr>
          <w:rFonts w:cstheme="minorHAnsi"/>
        </w:rPr>
        <w:t xml:space="preserve"> (NCSEHE)</w:t>
      </w:r>
      <w:r w:rsidRPr="00601877">
        <w:rPr>
          <w:rFonts w:cstheme="minorHAnsi"/>
        </w:rPr>
        <w:t xml:space="preserve">, 2022), </w:t>
      </w:r>
      <w:hyperlink r:id="rId107" w:history="1">
        <w:r w:rsidR="008B3B19" w:rsidRPr="00811871">
          <w:rPr>
            <w:rStyle w:val="Hyperlink"/>
          </w:rPr>
          <w:t>www.ncsehe.edu.au/wp-content/uploads/2022/11/2022-NCSEHE-Austin-Final.pdf</w:t>
        </w:r>
      </w:hyperlink>
      <w:r w:rsidR="008B3B19">
        <w:rPr>
          <w:rFonts w:cstheme="minorHAnsi"/>
        </w:rPr>
        <w:t xml:space="preserve">. </w:t>
      </w:r>
    </w:p>
  </w:footnote>
  <w:footnote w:id="198">
    <w:p w14:paraId="7DD4736A" w14:textId="26EB9B3C"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The 2022 National Careers Institute Career Survey found informal networks were a key source of career information with nearly half of respondents having received careers information from a friend or acquaintance. Dawn </w:t>
      </w:r>
      <w:r w:rsidR="00471414" w:rsidRPr="00471414">
        <w:rPr>
          <w:rFonts w:cstheme="minorHAnsi"/>
        </w:rPr>
        <w:t>Bennett</w:t>
      </w:r>
      <w:r w:rsidR="007C5366">
        <w:rPr>
          <w:rFonts w:cstheme="minorHAnsi"/>
        </w:rPr>
        <w:t>,</w:t>
      </w:r>
      <w:r w:rsidR="00471414" w:rsidRPr="00471414">
        <w:rPr>
          <w:rFonts w:cstheme="minorHAnsi"/>
        </w:rPr>
        <w:t xml:space="preserve"> Jane Coffey</w:t>
      </w:r>
      <w:r w:rsidR="007C5366">
        <w:rPr>
          <w:rFonts w:cstheme="minorHAnsi"/>
        </w:rPr>
        <w:t>,</w:t>
      </w:r>
      <w:r w:rsidR="00471414" w:rsidRPr="00471414">
        <w:rPr>
          <w:rFonts w:cstheme="minorHAnsi"/>
        </w:rPr>
        <w:t xml:space="preserve"> Sherry Bawa</w:t>
      </w:r>
      <w:r w:rsidR="007C5366">
        <w:rPr>
          <w:rFonts w:cstheme="minorHAnsi"/>
        </w:rPr>
        <w:t>,</w:t>
      </w:r>
      <w:r w:rsidR="00471414" w:rsidRPr="00471414">
        <w:rPr>
          <w:rFonts w:cstheme="minorHAnsi"/>
        </w:rPr>
        <w:t xml:space="preserve"> David Carney</w:t>
      </w:r>
      <w:r w:rsidR="007C5366">
        <w:rPr>
          <w:rFonts w:cstheme="minorHAnsi"/>
        </w:rPr>
        <w:t>,</w:t>
      </w:r>
      <w:r w:rsidR="00471414" w:rsidRPr="00471414">
        <w:rPr>
          <w:rFonts w:cstheme="minorHAnsi"/>
        </w:rPr>
        <w:t xml:space="preserve"> Alfred Dockery</w:t>
      </w:r>
      <w:r w:rsidR="007C5366">
        <w:rPr>
          <w:rFonts w:cstheme="minorHAnsi"/>
        </w:rPr>
        <w:t>,</w:t>
      </w:r>
      <w:r w:rsidR="00471414" w:rsidRPr="00471414">
        <w:rPr>
          <w:rFonts w:cstheme="minorHAnsi"/>
        </w:rPr>
        <w:t xml:space="preserve"> Kathleen Franklyn</w:t>
      </w:r>
      <w:r w:rsidR="007C5366">
        <w:rPr>
          <w:rFonts w:cstheme="minorHAnsi"/>
        </w:rPr>
        <w:t>,</w:t>
      </w:r>
      <w:r w:rsidR="00471414" w:rsidRPr="00471414">
        <w:rPr>
          <w:rFonts w:cstheme="minorHAnsi"/>
        </w:rPr>
        <w:t xml:space="preserve"> Paul Koshy</w:t>
      </w:r>
      <w:r w:rsidR="007C5366">
        <w:rPr>
          <w:rFonts w:cstheme="minorHAnsi"/>
        </w:rPr>
        <w:t>,</w:t>
      </w:r>
      <w:r w:rsidR="00471414" w:rsidRPr="00471414">
        <w:rPr>
          <w:rFonts w:cstheme="minorHAnsi"/>
        </w:rPr>
        <w:t xml:space="preserve"> Ian W. Li</w:t>
      </w:r>
      <w:r w:rsidR="007C5366">
        <w:rPr>
          <w:rFonts w:cstheme="minorHAnsi"/>
        </w:rPr>
        <w:t>,</w:t>
      </w:r>
      <w:r w:rsidR="00471414" w:rsidRPr="00471414">
        <w:rPr>
          <w:rFonts w:cstheme="minorHAnsi"/>
        </w:rPr>
        <w:t xml:space="preserve"> </w:t>
      </w:r>
      <w:proofErr w:type="spellStart"/>
      <w:r w:rsidR="00471414" w:rsidRPr="00471414">
        <w:rPr>
          <w:rFonts w:cstheme="minorHAnsi"/>
        </w:rPr>
        <w:t>Subhadarsini</w:t>
      </w:r>
      <w:proofErr w:type="spellEnd"/>
      <w:r w:rsidR="00471414" w:rsidRPr="00471414">
        <w:rPr>
          <w:rFonts w:cstheme="minorHAnsi"/>
        </w:rPr>
        <w:t xml:space="preserve"> Parida and Siobhan Unwin</w:t>
      </w:r>
      <w:r w:rsidR="0060373B">
        <w:rPr>
          <w:rFonts w:cstheme="minorHAnsi"/>
        </w:rPr>
        <w:t>,</w:t>
      </w:r>
      <w:r w:rsidRPr="00601877">
        <w:rPr>
          <w:rFonts w:cstheme="minorHAnsi"/>
        </w:rPr>
        <w:t xml:space="preserve"> </w:t>
      </w:r>
      <w:r w:rsidRPr="00601877">
        <w:rPr>
          <w:rFonts w:cstheme="minorHAnsi"/>
          <w:i/>
        </w:rPr>
        <w:t>Ameliorating Disadvantage: creating accessible, effective and equitable careers and study information for low SES students</w:t>
      </w:r>
      <w:r w:rsidR="00907BDA">
        <w:rPr>
          <w:rFonts w:cstheme="minorHAnsi"/>
          <w:i/>
        </w:rPr>
        <w:t xml:space="preserve">, </w:t>
      </w:r>
      <w:r w:rsidRPr="00723372">
        <w:t xml:space="preserve">(Perth: </w:t>
      </w:r>
      <w:r w:rsidR="00EC2963">
        <w:t>NC</w:t>
      </w:r>
      <w:r w:rsidR="009077DF">
        <w:t>SEHE</w:t>
      </w:r>
      <w:r w:rsidRPr="00723372">
        <w:t xml:space="preserve">, 2022), </w:t>
      </w:r>
      <w:hyperlink r:id="rId108" w:history="1">
        <w:r w:rsidR="008B3B19" w:rsidRPr="00811871">
          <w:rPr>
            <w:rStyle w:val="Hyperlink"/>
          </w:rPr>
          <w:t>www.ncsehe.edu.au/publications/careers-study-information-low-ses-students/</w:t>
        </w:r>
      </w:hyperlink>
      <w:r w:rsidR="008B3B19">
        <w:rPr>
          <w:rStyle w:val="Hyperlink"/>
          <w:rFonts w:cstheme="minorHAnsi"/>
        </w:rPr>
        <w:t xml:space="preserve">. </w:t>
      </w:r>
    </w:p>
  </w:footnote>
  <w:footnote w:id="199">
    <w:p w14:paraId="5A5CA92F" w14:textId="37AF1EB2"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w:t>
      </w:r>
      <w:r w:rsidR="00620C87" w:rsidRPr="00620C87">
        <w:rPr>
          <w:rFonts w:cstheme="minorHAnsi"/>
        </w:rPr>
        <w:t>Kylie Austin</w:t>
      </w:r>
      <w:r w:rsidR="00CF75AD">
        <w:rPr>
          <w:rFonts w:cstheme="minorHAnsi"/>
        </w:rPr>
        <w:t>,</w:t>
      </w:r>
      <w:r w:rsidR="00620C87" w:rsidRPr="00620C87">
        <w:rPr>
          <w:rFonts w:cstheme="minorHAnsi"/>
        </w:rPr>
        <w:t xml:space="preserve"> Sarah O’Shea</w:t>
      </w:r>
      <w:r w:rsidR="00CF75AD">
        <w:rPr>
          <w:rFonts w:cstheme="minorHAnsi"/>
        </w:rPr>
        <w:t>,</w:t>
      </w:r>
      <w:r w:rsidR="00620C87" w:rsidRPr="00620C87">
        <w:rPr>
          <w:rFonts w:cstheme="minorHAnsi"/>
        </w:rPr>
        <w:t xml:space="preserve"> Olivia Groves and Jodi </w:t>
      </w:r>
      <w:proofErr w:type="spellStart"/>
      <w:r w:rsidR="00620C87" w:rsidRPr="00620C87">
        <w:rPr>
          <w:rFonts w:cstheme="minorHAnsi"/>
        </w:rPr>
        <w:t>Lamanna</w:t>
      </w:r>
      <w:proofErr w:type="spellEnd"/>
      <w:r w:rsidR="00620C87" w:rsidRPr="00620C87">
        <w:rPr>
          <w:rFonts w:cstheme="minorHAnsi"/>
        </w:rPr>
        <w:t xml:space="preserve">, </w:t>
      </w:r>
      <w:r w:rsidRPr="00601877">
        <w:rPr>
          <w:rFonts w:cstheme="minorHAnsi"/>
          <w:i/>
        </w:rPr>
        <w:t>Career development learning for students from low socioeconomic status (LSES) backgrounds: Literature review</w:t>
      </w:r>
      <w:r w:rsidRPr="00601877">
        <w:rPr>
          <w:rFonts w:cstheme="minorHAnsi"/>
        </w:rPr>
        <w:t>, (University of Wollongong</w:t>
      </w:r>
      <w:r w:rsidR="009E3F44">
        <w:rPr>
          <w:rFonts w:cstheme="minorHAnsi"/>
        </w:rPr>
        <w:t xml:space="preserve"> and </w:t>
      </w:r>
      <w:r w:rsidR="009077DF">
        <w:rPr>
          <w:rFonts w:cstheme="minorHAnsi"/>
        </w:rPr>
        <w:t xml:space="preserve">NCSEHE </w:t>
      </w:r>
      <w:r w:rsidRPr="00601877">
        <w:rPr>
          <w:rFonts w:cstheme="minorHAnsi"/>
        </w:rPr>
        <w:t xml:space="preserve">May 2020), </w:t>
      </w:r>
      <w:r w:rsidR="009E3F44">
        <w:rPr>
          <w:rFonts w:cstheme="minorHAnsi"/>
        </w:rPr>
        <w:t>38,</w:t>
      </w:r>
      <w:r w:rsidR="0045643D">
        <w:rPr>
          <w:rFonts w:cstheme="minorHAnsi"/>
        </w:rPr>
        <w:t xml:space="preserve"> </w:t>
      </w:r>
      <w:hyperlink r:id="rId109" w:history="1">
        <w:r w:rsidR="000219C7" w:rsidRPr="00811871">
          <w:rPr>
            <w:rStyle w:val="Hyperlink"/>
          </w:rPr>
          <w:t>documents.uow.edu.au/content/groups/public/@web/@dvce/@in2uni/documents/doc/uow264921.pdf</w:t>
        </w:r>
      </w:hyperlink>
      <w:r w:rsidR="000219C7">
        <w:rPr>
          <w:rFonts w:cstheme="minorHAnsi"/>
        </w:rPr>
        <w:t xml:space="preserve">. </w:t>
      </w:r>
    </w:p>
  </w:footnote>
  <w:footnote w:id="200">
    <w:p w14:paraId="2FD35DB2" w14:textId="5804B59C"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w:t>
      </w:r>
      <w:r w:rsidRPr="00723372">
        <w:t>Austin</w:t>
      </w:r>
      <w:r w:rsidR="008B67D0">
        <w:t xml:space="preserve"> et al</w:t>
      </w:r>
      <w:r w:rsidR="0060373B">
        <w:t>,</w:t>
      </w:r>
      <w:r w:rsidRPr="00723372">
        <w:t xml:space="preserve"> </w:t>
      </w:r>
      <w:r w:rsidRPr="008C4411">
        <w:rPr>
          <w:i/>
        </w:rPr>
        <w:t>Career development learning</w:t>
      </w:r>
      <w:r w:rsidR="009E3F44" w:rsidRPr="00723372">
        <w:t>, 37</w:t>
      </w:r>
      <w:r w:rsidR="00C83D3B">
        <w:t>–</w:t>
      </w:r>
      <w:r w:rsidR="009E3F44" w:rsidRPr="00723372">
        <w:t>38.</w:t>
      </w:r>
    </w:p>
  </w:footnote>
  <w:footnote w:id="201">
    <w:p w14:paraId="5ABE4589" w14:textId="54395A98" w:rsidR="00D27626" w:rsidRPr="00601877" w:rsidRDefault="00D27626" w:rsidP="00D27626">
      <w:pPr>
        <w:pStyle w:val="FootnoteText"/>
        <w:rPr>
          <w:rFonts w:cstheme="minorHAnsi"/>
        </w:rPr>
      </w:pPr>
      <w:r w:rsidRPr="00601877">
        <w:rPr>
          <w:rStyle w:val="FootnoteReference"/>
          <w:rFonts w:cstheme="minorHAnsi"/>
        </w:rPr>
        <w:footnoteRef/>
      </w:r>
      <w:r w:rsidR="00D94307">
        <w:rPr>
          <w:rFonts w:cstheme="minorHAnsi"/>
        </w:rPr>
        <w:t xml:space="preserve"> Your Career,</w:t>
      </w:r>
      <w:r w:rsidRPr="00601877">
        <w:rPr>
          <w:rFonts w:cstheme="minorHAnsi"/>
        </w:rPr>
        <w:t xml:space="preserve"> </w:t>
      </w:r>
      <w:r w:rsidR="00D94307" w:rsidRPr="00D94307">
        <w:rPr>
          <w:rFonts w:cstheme="minorHAnsi"/>
        </w:rPr>
        <w:t>“</w:t>
      </w:r>
      <w:r w:rsidRPr="00723372">
        <w:rPr>
          <w:rFonts w:cstheme="minorHAnsi"/>
        </w:rPr>
        <w:t>School Leavers Information Kit</w:t>
      </w:r>
      <w:r w:rsidRPr="00D94307">
        <w:rPr>
          <w:rFonts w:cstheme="minorHAnsi"/>
        </w:rPr>
        <w:t>,</w:t>
      </w:r>
      <w:r w:rsidR="00D94307" w:rsidRPr="00D94307">
        <w:rPr>
          <w:rFonts w:cstheme="minorHAnsi"/>
        </w:rPr>
        <w:t>”</w:t>
      </w:r>
      <w:r w:rsidR="00D94307">
        <w:rPr>
          <w:rFonts w:cstheme="minorHAnsi"/>
        </w:rPr>
        <w:t xml:space="preserve"> </w:t>
      </w:r>
      <w:r w:rsidRPr="00601877">
        <w:rPr>
          <w:rFonts w:cstheme="minorHAnsi"/>
        </w:rPr>
        <w:t xml:space="preserve">accessed 24 November 2023, </w:t>
      </w:r>
      <w:r w:rsidR="00E42068" w:rsidRPr="00E42068">
        <w:rPr>
          <w:rFonts w:cstheme="minorHAnsi"/>
        </w:rPr>
        <w:t>www.yourcareer.gov.au/school-leavers-support/school-leavers-information-kit</w:t>
      </w:r>
      <w:r w:rsidRPr="00601877">
        <w:rPr>
          <w:rFonts w:cstheme="minorHAnsi"/>
        </w:rPr>
        <w:t xml:space="preserve">. </w:t>
      </w:r>
      <w:r w:rsidRPr="00601877">
        <w:rPr>
          <w:rStyle w:val="Hyperlink"/>
          <w:rFonts w:cstheme="minorHAnsi"/>
        </w:rPr>
        <w:t xml:space="preserve"> </w:t>
      </w:r>
    </w:p>
  </w:footnote>
  <w:footnote w:id="202">
    <w:p w14:paraId="507E8ABC" w14:textId="37556172"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w:t>
      </w:r>
      <w:r w:rsidR="00D73579" w:rsidRPr="008A4861">
        <w:t xml:space="preserve">National Association of Graduate Career Advisory Services (NAGCAS), </w:t>
      </w:r>
      <w:r w:rsidR="00474627" w:rsidRPr="00723372">
        <w:rPr>
          <w:i/>
        </w:rPr>
        <w:t>Submission to the Australian Universities Accord Interim Report</w:t>
      </w:r>
      <w:r w:rsidR="00D73579" w:rsidRPr="008A4861">
        <w:t>, 2023</w:t>
      </w:r>
      <w:r w:rsidR="00474627">
        <w:t xml:space="preserve">, </w:t>
      </w:r>
      <w:hyperlink r:id="rId110" w:history="1">
        <w:r w:rsidR="00BC463B" w:rsidRPr="00811871">
          <w:rPr>
            <w:rStyle w:val="Hyperlink"/>
          </w:rPr>
          <w:t>www.education.gov.au/system/files/2023-09/AUA_inter_tranche6a_139%20National%20Association%20of%20Graduate%20Careers%20Advisory%20Services%20%28NAGCAS%29.pdf</w:t>
        </w:r>
      </w:hyperlink>
      <w:r w:rsidR="00BC463B">
        <w:t xml:space="preserve">. </w:t>
      </w:r>
      <w:r w:rsidR="005B6074">
        <w:t xml:space="preserve"> </w:t>
      </w:r>
    </w:p>
  </w:footnote>
  <w:footnote w:id="203">
    <w:p w14:paraId="219D32B4" w14:textId="47B8076D"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w:t>
      </w:r>
      <w:proofErr w:type="spellStart"/>
      <w:r w:rsidR="005939BC" w:rsidRPr="005939BC">
        <w:rPr>
          <w:rFonts w:cstheme="minorHAnsi"/>
        </w:rPr>
        <w:t>Shergold</w:t>
      </w:r>
      <w:proofErr w:type="spellEnd"/>
      <w:r w:rsidR="005939BC" w:rsidRPr="005939BC">
        <w:rPr>
          <w:rFonts w:cstheme="minorHAnsi"/>
        </w:rPr>
        <w:t xml:space="preserve"> et al</w:t>
      </w:r>
      <w:r w:rsidR="0060373B">
        <w:rPr>
          <w:rFonts w:cstheme="minorHAnsi"/>
        </w:rPr>
        <w:t>,</w:t>
      </w:r>
      <w:r w:rsidR="005939BC" w:rsidRPr="005939BC">
        <w:rPr>
          <w:rFonts w:cstheme="minorHAnsi"/>
        </w:rPr>
        <w:t xml:space="preserve"> </w:t>
      </w:r>
      <w:r w:rsidR="005939BC" w:rsidRPr="00723372">
        <w:rPr>
          <w:rFonts w:cstheme="minorHAnsi"/>
          <w:i/>
          <w:iCs/>
        </w:rPr>
        <w:t>Looking to the future</w:t>
      </w:r>
      <w:r w:rsidR="005939BC" w:rsidRPr="005939BC">
        <w:rPr>
          <w:rFonts w:cstheme="minorHAnsi"/>
        </w:rPr>
        <w:t xml:space="preserve">, </w:t>
      </w:r>
      <w:r w:rsidR="005939BC">
        <w:rPr>
          <w:rFonts w:cstheme="minorHAnsi"/>
        </w:rPr>
        <w:t>56</w:t>
      </w:r>
      <w:r w:rsidR="005939BC" w:rsidRPr="005939BC">
        <w:rPr>
          <w:rFonts w:cstheme="minorHAnsi"/>
        </w:rPr>
        <w:t>.</w:t>
      </w:r>
      <w:r w:rsidRPr="00601877">
        <w:rPr>
          <w:rFonts w:cstheme="minorHAnsi"/>
        </w:rPr>
        <w:t xml:space="preserve"> </w:t>
      </w:r>
    </w:p>
  </w:footnote>
  <w:footnote w:id="204">
    <w:p w14:paraId="26AEE627" w14:textId="61881F4A"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w:t>
      </w:r>
      <w:r w:rsidR="00187367" w:rsidRPr="00187367">
        <w:rPr>
          <w:rFonts w:cstheme="minorHAnsi"/>
        </w:rPr>
        <w:t>Denis Napthine</w:t>
      </w:r>
      <w:r w:rsidR="00AA3C4C">
        <w:rPr>
          <w:rFonts w:cstheme="minorHAnsi"/>
        </w:rPr>
        <w:t>,</w:t>
      </w:r>
      <w:r w:rsidR="00187367" w:rsidRPr="00187367">
        <w:rPr>
          <w:rFonts w:cstheme="minorHAnsi"/>
        </w:rPr>
        <w:t xml:space="preserve"> Caroline Graham</w:t>
      </w:r>
      <w:r w:rsidR="00AA3C4C">
        <w:rPr>
          <w:rFonts w:cstheme="minorHAnsi"/>
        </w:rPr>
        <w:t>,</w:t>
      </w:r>
      <w:r w:rsidR="00187367" w:rsidRPr="00187367">
        <w:rPr>
          <w:rFonts w:cstheme="minorHAnsi"/>
        </w:rPr>
        <w:t xml:space="preserve"> Peter Lee and Meredith Wills, </w:t>
      </w:r>
      <w:r w:rsidR="00E05CF0" w:rsidRPr="008A4861">
        <w:rPr>
          <w:rFonts w:cstheme="minorHAnsi"/>
          <w:i/>
          <w:iCs/>
        </w:rPr>
        <w:t>National Regional, Rural and Remote Education Strategy: Napthine Review</w:t>
      </w:r>
      <w:r w:rsidR="00E05CF0" w:rsidRPr="009F0BA6">
        <w:rPr>
          <w:rFonts w:cstheme="minorHAnsi"/>
        </w:rPr>
        <w:t xml:space="preserve">, (Department of Education, 2019), </w:t>
      </w:r>
      <w:r w:rsidR="00E05CF0">
        <w:rPr>
          <w:rFonts w:cstheme="minorHAnsi"/>
        </w:rPr>
        <w:t>31</w:t>
      </w:r>
      <w:r w:rsidR="00E05CF0" w:rsidRPr="009F0BA6">
        <w:rPr>
          <w:rFonts w:cstheme="minorHAnsi"/>
        </w:rPr>
        <w:t xml:space="preserve">, </w:t>
      </w:r>
      <w:hyperlink r:id="rId111" w:history="1">
        <w:r w:rsidR="00BC463B" w:rsidRPr="00811871">
          <w:rPr>
            <w:rStyle w:val="Hyperlink"/>
            <w:rFonts w:cstheme="minorHAnsi"/>
          </w:rPr>
          <w:t>www.education.gov.au/access-and-participation/resources/national-regional-rural-and-remote-tertiary-education-strategy-final-report</w:t>
        </w:r>
      </w:hyperlink>
      <w:r w:rsidR="00BC463B">
        <w:rPr>
          <w:rStyle w:val="Hyperlink"/>
          <w:rFonts w:cstheme="minorHAnsi"/>
        </w:rPr>
        <w:t xml:space="preserve">. </w:t>
      </w:r>
    </w:p>
  </w:footnote>
  <w:footnote w:id="205">
    <w:p w14:paraId="1EC039F1" w14:textId="5DE24EB1" w:rsidR="00D27626" w:rsidRPr="009475A3"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Bennett</w:t>
      </w:r>
      <w:r w:rsidR="008B67D0">
        <w:rPr>
          <w:rFonts w:cstheme="minorHAnsi"/>
        </w:rPr>
        <w:t xml:space="preserve"> et al</w:t>
      </w:r>
      <w:r w:rsidRPr="00601877">
        <w:rPr>
          <w:rFonts w:cstheme="minorHAnsi"/>
        </w:rPr>
        <w:t xml:space="preserve">, </w:t>
      </w:r>
      <w:r w:rsidRPr="00601877">
        <w:rPr>
          <w:rFonts w:cstheme="minorHAnsi"/>
          <w:i/>
        </w:rPr>
        <w:t>Ameliorating Disadvantage</w:t>
      </w:r>
      <w:r w:rsidR="00E05CF0">
        <w:rPr>
          <w:rFonts w:cstheme="minorHAnsi"/>
          <w:i/>
        </w:rPr>
        <w:t xml:space="preserve">, </w:t>
      </w:r>
      <w:r w:rsidR="00E05CF0">
        <w:rPr>
          <w:rFonts w:cstheme="minorHAnsi"/>
          <w:iCs/>
        </w:rPr>
        <w:t>28</w:t>
      </w:r>
      <w:r w:rsidR="005B5136">
        <w:rPr>
          <w:rFonts w:cstheme="minorHAnsi"/>
          <w:iCs/>
        </w:rPr>
        <w:t>–</w:t>
      </w:r>
      <w:r w:rsidR="00E05CF0">
        <w:rPr>
          <w:rFonts w:cstheme="minorHAnsi"/>
          <w:iCs/>
        </w:rPr>
        <w:t>30</w:t>
      </w:r>
      <w:r w:rsidRPr="00601877">
        <w:rPr>
          <w:rFonts w:cstheme="minorHAnsi"/>
        </w:rPr>
        <w:t>.</w:t>
      </w:r>
    </w:p>
  </w:footnote>
  <w:footnote w:id="206">
    <w:p w14:paraId="4F7B88E0" w14:textId="3A2C1651" w:rsidR="00D27626" w:rsidRPr="009475A3" w:rsidRDefault="00D27626" w:rsidP="00D27626">
      <w:pPr>
        <w:pStyle w:val="FootnoteText"/>
        <w:rPr>
          <w:rFonts w:cstheme="minorHAnsi"/>
        </w:rPr>
      </w:pPr>
      <w:r w:rsidRPr="009475A3">
        <w:rPr>
          <w:rStyle w:val="FootnoteReference"/>
          <w:rFonts w:cstheme="minorHAnsi"/>
        </w:rPr>
        <w:footnoteRef/>
      </w:r>
      <w:r w:rsidRPr="009475A3">
        <w:rPr>
          <w:rFonts w:cstheme="minorHAnsi"/>
        </w:rPr>
        <w:t xml:space="preserve"> </w:t>
      </w:r>
      <w:r w:rsidRPr="00601877">
        <w:rPr>
          <w:rFonts w:cstheme="minorHAnsi"/>
        </w:rPr>
        <w:t>Bennett</w:t>
      </w:r>
      <w:r w:rsidR="008B67D0">
        <w:rPr>
          <w:rFonts w:cstheme="minorHAnsi"/>
        </w:rPr>
        <w:t xml:space="preserve"> et al</w:t>
      </w:r>
      <w:r w:rsidRPr="00601877">
        <w:rPr>
          <w:rFonts w:cstheme="minorHAnsi"/>
        </w:rPr>
        <w:t xml:space="preserve">, </w:t>
      </w:r>
      <w:r w:rsidRPr="00601877">
        <w:rPr>
          <w:rFonts w:cstheme="minorHAnsi"/>
          <w:i/>
        </w:rPr>
        <w:t>Ameliorating Disadvantage</w:t>
      </w:r>
      <w:r w:rsidR="00E05CF0">
        <w:rPr>
          <w:rFonts w:cstheme="minorHAnsi"/>
          <w:i/>
        </w:rPr>
        <w:t xml:space="preserve">, </w:t>
      </w:r>
      <w:r w:rsidR="00E05CF0">
        <w:rPr>
          <w:rFonts w:cstheme="minorHAnsi"/>
          <w:iCs/>
        </w:rPr>
        <w:t>25</w:t>
      </w:r>
      <w:r w:rsidRPr="00601877">
        <w:rPr>
          <w:rFonts w:cstheme="minorHAnsi"/>
        </w:rPr>
        <w:t>.</w:t>
      </w:r>
    </w:p>
  </w:footnote>
  <w:footnote w:id="207">
    <w:p w14:paraId="513EC74D" w14:textId="3E2541A9" w:rsidR="00D27626" w:rsidRPr="009475A3" w:rsidRDefault="00D27626" w:rsidP="00D27626">
      <w:pPr>
        <w:pStyle w:val="FootnoteText"/>
        <w:rPr>
          <w:rFonts w:cstheme="minorHAnsi"/>
        </w:rPr>
      </w:pPr>
      <w:r w:rsidRPr="009475A3">
        <w:rPr>
          <w:rStyle w:val="FootnoteReference"/>
          <w:rFonts w:cstheme="minorHAnsi"/>
        </w:rPr>
        <w:footnoteRef/>
      </w:r>
      <w:r w:rsidRPr="009475A3">
        <w:rPr>
          <w:rFonts w:cstheme="minorHAnsi"/>
        </w:rPr>
        <w:t xml:space="preserve"> OECD</w:t>
      </w:r>
      <w:r w:rsidR="00B61587">
        <w:rPr>
          <w:rFonts w:cstheme="minorHAnsi"/>
        </w:rPr>
        <w:t>,</w:t>
      </w:r>
      <w:r w:rsidRPr="009475A3">
        <w:rPr>
          <w:rFonts w:cstheme="minorHAnsi"/>
        </w:rPr>
        <w:t xml:space="preserve"> </w:t>
      </w:r>
      <w:hyperlink r:id="rId112" w:history="1">
        <w:r w:rsidRPr="008A4861">
          <w:rPr>
            <w:rStyle w:val="Hyperlink"/>
            <w:rFonts w:cstheme="minorHAnsi"/>
            <w:i/>
            <w:color w:val="auto"/>
            <w:u w:val="none"/>
          </w:rPr>
          <w:t>Strengthening Career Guidance for Mid-Career Adults in Australia</w:t>
        </w:r>
      </w:hyperlink>
      <w:r w:rsidR="00B61587" w:rsidRPr="008A4861">
        <w:rPr>
          <w:rStyle w:val="Hyperlink"/>
          <w:rFonts w:cstheme="minorHAnsi"/>
          <w:i/>
          <w:iCs/>
          <w:color w:val="auto"/>
          <w:u w:val="none"/>
        </w:rPr>
        <w:t>: Getting Skills Right</w:t>
      </w:r>
      <w:r w:rsidR="00B61587" w:rsidRPr="00257D4E">
        <w:rPr>
          <w:rFonts w:cstheme="minorHAnsi"/>
        </w:rPr>
        <w:t xml:space="preserve">, </w:t>
      </w:r>
      <w:r w:rsidR="00B61587">
        <w:rPr>
          <w:rFonts w:cstheme="minorHAnsi"/>
        </w:rPr>
        <w:t xml:space="preserve">(Paris: OECD Publishing, </w:t>
      </w:r>
      <w:r w:rsidR="00B61587" w:rsidRPr="009475A3">
        <w:rPr>
          <w:rFonts w:cstheme="minorHAnsi"/>
        </w:rPr>
        <w:t>2022</w:t>
      </w:r>
      <w:r w:rsidR="00B61587">
        <w:rPr>
          <w:rFonts w:cstheme="minorHAnsi"/>
        </w:rPr>
        <w:t xml:space="preserve">, </w:t>
      </w:r>
      <w:hyperlink r:id="rId113" w:history="1">
        <w:r w:rsidR="00C22F90" w:rsidRPr="00811871">
          <w:rPr>
            <w:rStyle w:val="Hyperlink"/>
          </w:rPr>
          <w:t>doi.org/10.1787/25206125</w:t>
        </w:r>
      </w:hyperlink>
      <w:r w:rsidR="00C22F90">
        <w:t xml:space="preserve">. </w:t>
      </w:r>
    </w:p>
  </w:footnote>
  <w:footnote w:id="208">
    <w:p w14:paraId="7070AB36" w14:textId="3654B9D3" w:rsidR="00D27626" w:rsidRPr="009475A3" w:rsidRDefault="00D27626" w:rsidP="00D27626">
      <w:pPr>
        <w:pStyle w:val="FootnoteText"/>
        <w:rPr>
          <w:rFonts w:cstheme="minorHAnsi"/>
        </w:rPr>
      </w:pPr>
      <w:r w:rsidRPr="009475A3">
        <w:rPr>
          <w:rStyle w:val="FootnoteReference"/>
          <w:rFonts w:cstheme="minorHAnsi"/>
        </w:rPr>
        <w:footnoteRef/>
      </w:r>
      <w:r w:rsidRPr="009475A3">
        <w:rPr>
          <w:rFonts w:cstheme="minorHAnsi"/>
        </w:rPr>
        <w:t xml:space="preserve"> </w:t>
      </w:r>
      <w:proofErr w:type="spellStart"/>
      <w:r w:rsidR="00A932BD" w:rsidRPr="009475A3">
        <w:rPr>
          <w:rFonts w:cstheme="minorHAnsi"/>
        </w:rPr>
        <w:t>B</w:t>
      </w:r>
      <w:r w:rsidR="00A932BD">
        <w:rPr>
          <w:rFonts w:cstheme="minorHAnsi"/>
        </w:rPr>
        <w:t>uly</w:t>
      </w:r>
      <w:proofErr w:type="spellEnd"/>
      <w:r w:rsidR="00A932BD" w:rsidRPr="009475A3">
        <w:rPr>
          <w:rFonts w:cstheme="minorHAnsi"/>
        </w:rPr>
        <w:t xml:space="preserve"> </w:t>
      </w:r>
      <w:proofErr w:type="spellStart"/>
      <w:r w:rsidR="00A932BD" w:rsidRPr="009475A3">
        <w:rPr>
          <w:rFonts w:cstheme="minorHAnsi"/>
        </w:rPr>
        <w:t>Cardak</w:t>
      </w:r>
      <w:proofErr w:type="spellEnd"/>
      <w:r w:rsidR="00A932BD">
        <w:rPr>
          <w:rFonts w:cstheme="minorHAnsi"/>
        </w:rPr>
        <w:t xml:space="preserve">, Mark Bowden and John </w:t>
      </w:r>
      <w:proofErr w:type="spellStart"/>
      <w:r w:rsidR="00A932BD">
        <w:rPr>
          <w:rFonts w:cstheme="minorHAnsi"/>
        </w:rPr>
        <w:t>Bahtsevanoglou</w:t>
      </w:r>
      <w:proofErr w:type="spellEnd"/>
      <w:r w:rsidR="00A932BD">
        <w:rPr>
          <w:rFonts w:cstheme="minorHAnsi"/>
        </w:rPr>
        <w:t>,</w:t>
      </w:r>
      <w:r w:rsidR="00A932BD" w:rsidRPr="009475A3">
        <w:rPr>
          <w:rFonts w:cstheme="minorHAnsi"/>
        </w:rPr>
        <w:t xml:space="preserve"> </w:t>
      </w:r>
      <w:hyperlink r:id="rId114" w:history="1">
        <w:r w:rsidR="00A932BD" w:rsidRPr="008A4861">
          <w:rPr>
            <w:rStyle w:val="Hyperlink"/>
            <w:rFonts w:cstheme="minorHAnsi"/>
            <w:i/>
            <w:iCs/>
            <w:color w:val="auto"/>
            <w:u w:val="none"/>
          </w:rPr>
          <w:t>Are Low SES students disadvantaged in the university application process?</w:t>
        </w:r>
      </w:hyperlink>
      <w:r w:rsidR="00A932BD" w:rsidRPr="008A4861">
        <w:rPr>
          <w:rFonts w:cstheme="minorHAnsi"/>
          <w:i/>
          <w:iCs/>
        </w:rPr>
        <w:t xml:space="preserve"> </w:t>
      </w:r>
      <w:r w:rsidR="00A932BD">
        <w:rPr>
          <w:rFonts w:cstheme="minorHAnsi"/>
        </w:rPr>
        <w:t xml:space="preserve">(Perth, Curtin University: </w:t>
      </w:r>
      <w:r w:rsidR="009077DF">
        <w:rPr>
          <w:rFonts w:cstheme="minorHAnsi"/>
        </w:rPr>
        <w:t>NCSEHE</w:t>
      </w:r>
      <w:r w:rsidR="00A932BD">
        <w:rPr>
          <w:rFonts w:cstheme="minorHAnsi"/>
        </w:rPr>
        <w:t>, 2015),</w:t>
      </w:r>
      <w:r w:rsidR="00A60BDF">
        <w:rPr>
          <w:rFonts w:cstheme="minorHAnsi"/>
        </w:rPr>
        <w:t xml:space="preserve"> </w:t>
      </w:r>
      <w:r w:rsidR="00A932BD">
        <w:rPr>
          <w:rFonts w:cstheme="minorHAnsi"/>
        </w:rPr>
        <w:t xml:space="preserve">2, </w:t>
      </w:r>
      <w:hyperlink r:id="rId115" w:history="1">
        <w:r w:rsidR="00C22F90" w:rsidRPr="00811871">
          <w:rPr>
            <w:rStyle w:val="Hyperlink"/>
            <w:rFonts w:cstheme="minorHAnsi"/>
          </w:rPr>
          <w:t>www.ncsehe.edu.au/wp-content/uploads/2015/11/Are-Low-SES-Students-Disadvantaged-in-the-University-Application-Process-November-2015.pdf</w:t>
        </w:r>
      </w:hyperlink>
      <w:r w:rsidR="00C22F90">
        <w:rPr>
          <w:rStyle w:val="Hyperlink"/>
          <w:rFonts w:cstheme="minorHAnsi"/>
          <w:color w:val="auto"/>
          <w:u w:val="none"/>
        </w:rPr>
        <w:t xml:space="preserve">. </w:t>
      </w:r>
    </w:p>
  </w:footnote>
  <w:footnote w:id="209">
    <w:p w14:paraId="2D653972" w14:textId="6B69ADCA" w:rsidR="00D27626" w:rsidRPr="009475A3" w:rsidRDefault="00D27626" w:rsidP="00D27626">
      <w:pPr>
        <w:pStyle w:val="FootnoteText"/>
        <w:rPr>
          <w:rFonts w:cstheme="minorHAnsi"/>
        </w:rPr>
      </w:pPr>
      <w:r w:rsidRPr="009475A3">
        <w:rPr>
          <w:rStyle w:val="FootnoteReference"/>
          <w:rFonts w:cstheme="minorHAnsi"/>
        </w:rPr>
        <w:footnoteRef/>
      </w:r>
      <w:r w:rsidRPr="009475A3">
        <w:rPr>
          <w:rFonts w:cstheme="minorHAnsi"/>
        </w:rPr>
        <w:t xml:space="preserve"> National Careers Institute Partnerships Grants provided funding for organisations such as employers, training providers, </w:t>
      </w:r>
      <w:proofErr w:type="gramStart"/>
      <w:r w:rsidRPr="009475A3">
        <w:rPr>
          <w:rFonts w:cstheme="minorHAnsi"/>
        </w:rPr>
        <w:t>schools</w:t>
      </w:r>
      <w:proofErr w:type="gramEnd"/>
      <w:r w:rsidRPr="009475A3">
        <w:rPr>
          <w:rFonts w:cstheme="minorHAnsi"/>
        </w:rPr>
        <w:t xml:space="preserve"> and community organisations to work collaboratively to deliver targeted career projects through four grant rounds.</w:t>
      </w:r>
      <w:r w:rsidRPr="00E334B2">
        <w:rPr>
          <w:rFonts w:cstheme="minorHAnsi"/>
        </w:rPr>
        <w:t xml:space="preserve"> </w:t>
      </w:r>
      <w:r w:rsidR="001E1666">
        <w:rPr>
          <w:rFonts w:cstheme="minorHAnsi"/>
        </w:rPr>
        <w:t>See</w:t>
      </w:r>
      <w:r w:rsidRPr="00E03FA5">
        <w:rPr>
          <w:rFonts w:cstheme="minorHAnsi"/>
        </w:rPr>
        <w:t xml:space="preserve"> </w:t>
      </w:r>
      <w:r w:rsidR="00E334B2" w:rsidRPr="00EE4D42">
        <w:rPr>
          <w:rFonts w:ascii="Calibri" w:hAnsi="Calibri" w:cs="Calibri"/>
        </w:rPr>
        <w:t xml:space="preserve">Department of Employment and Workplace Relations, </w:t>
      </w:r>
      <w:r w:rsidR="001E1666">
        <w:rPr>
          <w:rFonts w:ascii="Calibri" w:hAnsi="Calibri" w:cs="Calibri"/>
        </w:rPr>
        <w:t>“</w:t>
      </w:r>
      <w:r w:rsidR="00E334B2" w:rsidRPr="00EE4D42">
        <w:rPr>
          <w:rFonts w:ascii="Calibri" w:hAnsi="Calibri" w:cs="Calibri"/>
        </w:rPr>
        <w:t>Partnership Grants program</w:t>
      </w:r>
      <w:r w:rsidR="00E334B2" w:rsidRPr="00EE4D42">
        <w:rPr>
          <w:rFonts w:ascii="Calibri" w:hAnsi="Calibri" w:cs="Calibri"/>
          <w:i/>
        </w:rPr>
        <w:t>,</w:t>
      </w:r>
      <w:r w:rsidR="001E1666">
        <w:rPr>
          <w:rFonts w:ascii="Calibri" w:hAnsi="Calibri" w:cs="Calibri"/>
        </w:rPr>
        <w:t>” revised 7</w:t>
      </w:r>
      <w:r w:rsidR="00EE4D42">
        <w:rPr>
          <w:rFonts w:ascii="Calibri" w:hAnsi="Calibri" w:cs="Calibri"/>
        </w:rPr>
        <w:t> </w:t>
      </w:r>
      <w:r w:rsidR="001E1666">
        <w:rPr>
          <w:rFonts w:ascii="Calibri" w:hAnsi="Calibri" w:cs="Calibri"/>
        </w:rPr>
        <w:t>July 2023</w:t>
      </w:r>
      <w:r w:rsidR="00E334B2">
        <w:rPr>
          <w:rFonts w:ascii="Calibri" w:hAnsi="Calibri" w:cs="Calibri"/>
        </w:rPr>
        <w:t>,</w:t>
      </w:r>
      <w:r w:rsidR="00E334B2" w:rsidRPr="00EE4D42">
        <w:rPr>
          <w:rFonts w:ascii="Calibri" w:hAnsi="Calibri" w:cs="Calibri"/>
          <w:i/>
        </w:rPr>
        <w:t xml:space="preserve"> </w:t>
      </w:r>
      <w:hyperlink r:id="rId116" w:history="1">
        <w:r w:rsidR="007A3CA7" w:rsidRPr="00811871">
          <w:rPr>
            <w:rStyle w:val="Hyperlink"/>
            <w:rFonts w:ascii="Calibri" w:hAnsi="Calibri" w:cs="Calibri"/>
          </w:rPr>
          <w:t>www.dewr.gov.au/nci/partnership-grants-program</w:t>
        </w:r>
      </w:hyperlink>
      <w:r w:rsidR="007A3CA7">
        <w:rPr>
          <w:rFonts w:ascii="Calibri" w:hAnsi="Calibri" w:cs="Calibri"/>
        </w:rPr>
        <w:t xml:space="preserve">. </w:t>
      </w:r>
      <w:r w:rsidRPr="009475A3">
        <w:rPr>
          <w:rFonts w:cstheme="minorHAnsi"/>
        </w:rPr>
        <w:t xml:space="preserve"> </w:t>
      </w:r>
    </w:p>
  </w:footnote>
  <w:footnote w:id="210">
    <w:p w14:paraId="395AE99D" w14:textId="503D0BED" w:rsidR="00255F40" w:rsidRPr="00A03139" w:rsidRDefault="00255F40">
      <w:pPr>
        <w:pStyle w:val="FootnoteText"/>
      </w:pPr>
      <w:r>
        <w:rPr>
          <w:rStyle w:val="FootnoteReference"/>
        </w:rPr>
        <w:footnoteRef/>
      </w:r>
      <w:r>
        <w:t xml:space="preserve"> Peter </w:t>
      </w:r>
      <w:proofErr w:type="spellStart"/>
      <w:r>
        <w:t>Shergold</w:t>
      </w:r>
      <w:proofErr w:type="spellEnd"/>
      <w:r>
        <w:t xml:space="preserve"> and David Gonski, </w:t>
      </w:r>
      <w:r>
        <w:rPr>
          <w:i/>
          <w:iCs/>
        </w:rPr>
        <w:t>In the same sentence: Bringing higher and vocational education together</w:t>
      </w:r>
      <w:r w:rsidR="00A03139">
        <w:rPr>
          <w:i/>
          <w:iCs/>
        </w:rPr>
        <w:t xml:space="preserve">, </w:t>
      </w:r>
      <w:r w:rsidR="00A03139">
        <w:t xml:space="preserve">(NSW: NSW Government, 2021), 7, </w:t>
      </w:r>
      <w:hyperlink r:id="rId117" w:history="1">
        <w:r w:rsidR="00D2449D" w:rsidRPr="00811871">
          <w:rPr>
            <w:rStyle w:val="Hyperlink"/>
          </w:rPr>
          <w:t>education.nsw.gov.au/about-us/strategies-and-reports/our-reports-and-reviews/review-on-the-nsw-vocational-education-and-training-sector</w:t>
        </w:r>
      </w:hyperlink>
      <w:r w:rsidR="00D2449D">
        <w:t xml:space="preserve">. </w:t>
      </w:r>
    </w:p>
  </w:footnote>
  <w:footnote w:id="211">
    <w:p w14:paraId="1F598396" w14:textId="0CF01594"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w:t>
      </w:r>
      <w:r w:rsidR="00200EDE">
        <w:rPr>
          <w:rFonts w:cstheme="minorHAnsi"/>
        </w:rPr>
        <w:t xml:space="preserve">Maria </w:t>
      </w:r>
      <w:r w:rsidR="00200EDE">
        <w:t>Raciti and Joshua Dale, “Are university widening participation activities just-in-time or just-out-of-time? Exploring the (mis)alignment between the timing of widening participation activities and university decision-making among students from low socioeconomic backgrounds</w:t>
      </w:r>
      <w:r w:rsidR="005D3FE9">
        <w:t>,”</w:t>
      </w:r>
      <w:r w:rsidR="00200EDE">
        <w:t xml:space="preserve"> </w:t>
      </w:r>
      <w:r w:rsidR="00200EDE" w:rsidRPr="008A4861">
        <w:rPr>
          <w:i/>
          <w:iCs/>
        </w:rPr>
        <w:t>Student Success</w:t>
      </w:r>
      <w:r w:rsidR="00200EDE">
        <w:t>, 10,</w:t>
      </w:r>
      <w:r w:rsidR="00E86EB9">
        <w:t xml:space="preserve"> </w:t>
      </w:r>
      <w:r w:rsidR="00200EDE">
        <w:t xml:space="preserve">1, (2019) 56, </w:t>
      </w:r>
      <w:proofErr w:type="spellStart"/>
      <w:r w:rsidR="00200EDE">
        <w:t>doi</w:t>
      </w:r>
      <w:proofErr w:type="spellEnd"/>
      <w:r w:rsidR="00200EDE">
        <w:t>: 10.5204/</w:t>
      </w:r>
      <w:proofErr w:type="gramStart"/>
      <w:r w:rsidR="00200EDE">
        <w:t>ssj.v</w:t>
      </w:r>
      <w:proofErr w:type="gramEnd"/>
      <w:r w:rsidR="00200EDE">
        <w:t>10i1.923</w:t>
      </w:r>
      <w:r w:rsidR="00AA7D6F">
        <w:t>.</w:t>
      </w:r>
    </w:p>
  </w:footnote>
  <w:footnote w:id="212">
    <w:p w14:paraId="53269690" w14:textId="7D40F23C" w:rsidR="008922A7" w:rsidRDefault="008922A7">
      <w:pPr>
        <w:pStyle w:val="FootnoteText"/>
      </w:pPr>
      <w:r>
        <w:rPr>
          <w:rStyle w:val="FootnoteReference"/>
        </w:rPr>
        <w:footnoteRef/>
      </w:r>
      <w:r>
        <w:t xml:space="preserve"> </w:t>
      </w:r>
      <w:r w:rsidRPr="008922A7">
        <w:t xml:space="preserve">Department of Education, </w:t>
      </w:r>
      <w:r w:rsidRPr="008C4411">
        <w:rPr>
          <w:i/>
          <w:iCs/>
        </w:rPr>
        <w:t>Administrative data</w:t>
      </w:r>
      <w:r w:rsidRPr="008922A7">
        <w:t xml:space="preserve"> [unpublished data], (Canberra</w:t>
      </w:r>
      <w:r w:rsidR="00807116">
        <w:t>: 2023</w:t>
      </w:r>
      <w:r w:rsidRPr="008922A7">
        <w:t>)</w:t>
      </w:r>
      <w:r>
        <w:t>.</w:t>
      </w:r>
    </w:p>
  </w:footnote>
  <w:footnote w:id="213">
    <w:p w14:paraId="230D2895" w14:textId="50FF7284"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ACIL Allen</w:t>
      </w:r>
      <w:r w:rsidR="002E5B31">
        <w:rPr>
          <w:rFonts w:cstheme="minorHAnsi"/>
        </w:rPr>
        <w:t xml:space="preserve"> Consulting</w:t>
      </w:r>
      <w:r w:rsidRPr="00601877">
        <w:rPr>
          <w:rFonts w:cstheme="minorHAnsi"/>
        </w:rPr>
        <w:t>,</w:t>
      </w:r>
      <w:r w:rsidRPr="00601877">
        <w:rPr>
          <w:rFonts w:cstheme="minorHAnsi"/>
          <w:i/>
        </w:rPr>
        <w:t xml:space="preserve"> Evaluation of the HEPPP</w:t>
      </w:r>
      <w:r w:rsidR="0079270C">
        <w:rPr>
          <w:rFonts w:cstheme="minorHAnsi"/>
          <w:i/>
        </w:rPr>
        <w:t xml:space="preserve">: Higher Education Participation and Partnerships Program </w:t>
      </w:r>
      <w:r w:rsidR="0079270C">
        <w:rPr>
          <w:rFonts w:cstheme="minorHAnsi"/>
          <w:iCs/>
        </w:rPr>
        <w:t>(Melbourne</w:t>
      </w:r>
      <w:r w:rsidR="002E5B31">
        <w:rPr>
          <w:rFonts w:cstheme="minorHAnsi"/>
          <w:iCs/>
        </w:rPr>
        <w:t>:</w:t>
      </w:r>
      <w:r w:rsidR="0079270C">
        <w:rPr>
          <w:rFonts w:cstheme="minorHAnsi"/>
          <w:iCs/>
        </w:rPr>
        <w:t xml:space="preserve"> ACIL Allen Consulting, 2017), 125</w:t>
      </w:r>
      <w:r w:rsidR="0079270C" w:rsidRPr="00601877">
        <w:rPr>
          <w:rFonts w:cstheme="minorHAnsi"/>
        </w:rPr>
        <w:t>,</w:t>
      </w:r>
      <w:r w:rsidR="002E5B31">
        <w:rPr>
          <w:rFonts w:cstheme="minorHAnsi"/>
        </w:rPr>
        <w:t xml:space="preserve"> </w:t>
      </w:r>
      <w:hyperlink r:id="rId118" w:history="1">
        <w:r w:rsidR="00D2449D" w:rsidRPr="00811871">
          <w:rPr>
            <w:rStyle w:val="Hyperlink"/>
            <w:rFonts w:cstheme="minorHAnsi"/>
          </w:rPr>
          <w:t>www.education.gov.au/heppp/heppp-evaluation</w:t>
        </w:r>
      </w:hyperlink>
      <w:r w:rsidR="00D2449D">
        <w:rPr>
          <w:rStyle w:val="Hyperlink"/>
          <w:rFonts w:cstheme="minorHAnsi"/>
        </w:rPr>
        <w:t xml:space="preserve">. </w:t>
      </w:r>
    </w:p>
  </w:footnote>
  <w:footnote w:id="214">
    <w:p w14:paraId="4ADAA077" w14:textId="60E173D3"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w:t>
      </w:r>
      <w:r w:rsidR="00114D00" w:rsidRPr="008A4861">
        <w:rPr>
          <w:rFonts w:cstheme="minorHAnsi"/>
        </w:rPr>
        <w:t>ISSR,</w:t>
      </w:r>
      <w:r w:rsidR="00114D00" w:rsidRPr="008A4861" w:rsidDel="00FD613D">
        <w:rPr>
          <w:rFonts w:cstheme="minorHAnsi"/>
        </w:rPr>
        <w:t xml:space="preserve"> </w:t>
      </w:r>
      <w:r w:rsidR="00114D00" w:rsidRPr="00A26A20">
        <w:rPr>
          <w:rFonts w:cstheme="minorHAnsi"/>
          <w:i/>
        </w:rPr>
        <w:t>Targeted Review of Student Equity in Higher Education Programs and System Level Policy Levers</w:t>
      </w:r>
      <w:r w:rsidR="00FD613D">
        <w:rPr>
          <w:rFonts w:cstheme="minorHAnsi"/>
        </w:rPr>
        <w:t>.</w:t>
      </w:r>
    </w:p>
  </w:footnote>
  <w:footnote w:id="215">
    <w:p w14:paraId="30CE3C09" w14:textId="72D90F9C" w:rsidR="0089479C" w:rsidRPr="00601877" w:rsidRDefault="0089479C" w:rsidP="0089479C">
      <w:pPr>
        <w:pStyle w:val="FootnoteText"/>
        <w:rPr>
          <w:rFonts w:cstheme="minorHAnsi"/>
        </w:rPr>
      </w:pPr>
      <w:r w:rsidRPr="00601877">
        <w:rPr>
          <w:rStyle w:val="FootnoteReference"/>
          <w:rFonts w:cstheme="minorHAnsi"/>
        </w:rPr>
        <w:footnoteRef/>
      </w:r>
      <w:r w:rsidRPr="00601877">
        <w:rPr>
          <w:rFonts w:cstheme="minorHAnsi"/>
        </w:rPr>
        <w:t xml:space="preserve"> </w:t>
      </w:r>
      <w:r w:rsidRPr="00641847">
        <w:rPr>
          <w:rFonts w:cstheme="minorHAnsi"/>
        </w:rPr>
        <w:t>See for example</w:t>
      </w:r>
      <w:r w:rsidR="00517119">
        <w:rPr>
          <w:rFonts w:cstheme="minorHAnsi"/>
        </w:rPr>
        <w:t>:</w:t>
      </w:r>
      <w:r w:rsidRPr="008A4861">
        <w:rPr>
          <w:rFonts w:cstheme="minorHAnsi"/>
        </w:rPr>
        <w:t xml:space="preserve"> </w:t>
      </w:r>
      <w:r w:rsidRPr="00641847">
        <w:rPr>
          <w:rFonts w:cstheme="minorHAnsi"/>
        </w:rPr>
        <w:t xml:space="preserve">Zacharias </w:t>
      </w:r>
      <w:r w:rsidRPr="00641847" w:rsidDel="00FD613D">
        <w:rPr>
          <w:rFonts w:cstheme="minorHAnsi"/>
        </w:rPr>
        <w:t xml:space="preserve">and </w:t>
      </w:r>
      <w:r w:rsidRPr="00641847">
        <w:rPr>
          <w:rFonts w:cstheme="minorHAnsi"/>
        </w:rPr>
        <w:t>Mitchell,</w:t>
      </w:r>
      <w:r w:rsidRPr="008A4861">
        <w:rPr>
          <w:rFonts w:cstheme="minorHAnsi"/>
        </w:rPr>
        <w:t xml:space="preserve"> “The importance of highly engaged school-university partnerships in widening participation and outreach,” </w:t>
      </w:r>
      <w:r>
        <w:rPr>
          <w:rFonts w:cstheme="minorHAnsi"/>
        </w:rPr>
        <w:t>41</w:t>
      </w:r>
      <w:r w:rsidR="00E3715B">
        <w:rPr>
          <w:rFonts w:cstheme="minorHAnsi"/>
        </w:rPr>
        <w:t>;</w:t>
      </w:r>
      <w:r w:rsidRPr="00780C60">
        <w:rPr>
          <w:rFonts w:cstheme="minorHAnsi"/>
        </w:rPr>
        <w:t xml:space="preserve"> </w:t>
      </w:r>
      <w:r w:rsidRPr="008A4861">
        <w:rPr>
          <w:rFonts w:cstheme="minorHAnsi"/>
        </w:rPr>
        <w:t xml:space="preserve">Charles </w:t>
      </w:r>
      <w:r w:rsidRPr="00780C60">
        <w:rPr>
          <w:rFonts w:cstheme="minorHAnsi"/>
        </w:rPr>
        <w:t>Flodin</w:t>
      </w:r>
      <w:r w:rsidRPr="00780C60" w:rsidDel="00FD613D">
        <w:rPr>
          <w:rFonts w:cstheme="minorHAnsi"/>
        </w:rPr>
        <w:t xml:space="preserve"> </w:t>
      </w:r>
      <w:r w:rsidR="00A45FFB">
        <w:rPr>
          <w:rFonts w:cstheme="minorHAnsi"/>
        </w:rPr>
        <w:t>and</w:t>
      </w:r>
      <w:r w:rsidR="00FD613D" w:rsidRPr="00780C60">
        <w:rPr>
          <w:rFonts w:cstheme="minorHAnsi"/>
        </w:rPr>
        <w:t xml:space="preserve"> </w:t>
      </w:r>
      <w:r w:rsidRPr="008A4861">
        <w:rPr>
          <w:rFonts w:cstheme="minorHAnsi"/>
        </w:rPr>
        <w:t xml:space="preserve">Nicole </w:t>
      </w:r>
      <w:r w:rsidRPr="00780C60">
        <w:rPr>
          <w:rFonts w:cstheme="minorHAnsi"/>
        </w:rPr>
        <w:t>Vidovich</w:t>
      </w:r>
      <w:r w:rsidRPr="008A4861">
        <w:rPr>
          <w:rFonts w:cstheme="minorHAnsi"/>
        </w:rPr>
        <w:t xml:space="preserve">, “Innovations and insights for higher education aspiration and outreach programs,” </w:t>
      </w:r>
      <w:r w:rsidRPr="008A4861">
        <w:rPr>
          <w:rFonts w:cstheme="minorHAnsi"/>
          <w:i/>
          <w:iCs/>
        </w:rPr>
        <w:t xml:space="preserve">Innovations in Higher Education Teaching and Learning, </w:t>
      </w:r>
      <w:r w:rsidRPr="008A4861">
        <w:rPr>
          <w:rFonts w:cstheme="minorHAnsi"/>
        </w:rPr>
        <w:t>17 (2019)</w:t>
      </w:r>
      <w:r w:rsidRPr="00780C60">
        <w:rPr>
          <w:rFonts w:cstheme="minorHAnsi"/>
        </w:rPr>
        <w:t xml:space="preserve">, </w:t>
      </w:r>
      <w:r>
        <w:rPr>
          <w:rFonts w:cstheme="minorHAnsi"/>
        </w:rPr>
        <w:t xml:space="preserve">176, </w:t>
      </w:r>
      <w:r w:rsidRPr="00780C60">
        <w:rPr>
          <w:rFonts w:cstheme="minorHAnsi"/>
        </w:rPr>
        <w:t>doi:10.1108/S2055-364120190000017012</w:t>
      </w:r>
      <w:r w:rsidRPr="009D2A35">
        <w:rPr>
          <w:rFonts w:cstheme="minorHAnsi"/>
        </w:rPr>
        <w:t xml:space="preserve">; </w:t>
      </w:r>
      <w:r w:rsidR="00950284" w:rsidRPr="00950284">
        <w:rPr>
          <w:rFonts w:cstheme="minorHAnsi"/>
        </w:rPr>
        <w:t>Anna Bennett</w:t>
      </w:r>
      <w:r w:rsidR="00533180">
        <w:rPr>
          <w:rFonts w:cstheme="minorHAnsi"/>
        </w:rPr>
        <w:t>,</w:t>
      </w:r>
      <w:r w:rsidR="00950284" w:rsidRPr="00950284">
        <w:rPr>
          <w:rFonts w:cstheme="minorHAnsi"/>
        </w:rPr>
        <w:t xml:space="preserve"> Ryan Naylor</w:t>
      </w:r>
      <w:r w:rsidR="00533180">
        <w:rPr>
          <w:rFonts w:cstheme="minorHAnsi"/>
        </w:rPr>
        <w:t>,</w:t>
      </w:r>
      <w:r w:rsidR="00950284" w:rsidRPr="00950284">
        <w:rPr>
          <w:rFonts w:cstheme="minorHAnsi"/>
        </w:rPr>
        <w:t xml:space="preserve"> Kate Mellor</w:t>
      </w:r>
      <w:r w:rsidR="00533180">
        <w:rPr>
          <w:rFonts w:cstheme="minorHAnsi"/>
        </w:rPr>
        <w:t>,</w:t>
      </w:r>
      <w:r w:rsidR="00950284" w:rsidRPr="00950284">
        <w:rPr>
          <w:rFonts w:cstheme="minorHAnsi"/>
        </w:rPr>
        <w:t xml:space="preserve"> Matt Brett</w:t>
      </w:r>
      <w:r w:rsidR="00533180">
        <w:rPr>
          <w:rFonts w:cstheme="minorHAnsi"/>
        </w:rPr>
        <w:t>,</w:t>
      </w:r>
      <w:r w:rsidR="00950284" w:rsidRPr="00950284">
        <w:rPr>
          <w:rFonts w:cstheme="minorHAnsi"/>
        </w:rPr>
        <w:t xml:space="preserve"> Jenny Gore</w:t>
      </w:r>
      <w:r w:rsidR="00533180">
        <w:rPr>
          <w:rFonts w:cstheme="minorHAnsi"/>
        </w:rPr>
        <w:t>,</w:t>
      </w:r>
      <w:r w:rsidR="00950284" w:rsidRPr="00950284">
        <w:rPr>
          <w:rFonts w:cstheme="minorHAnsi"/>
        </w:rPr>
        <w:t xml:space="preserve"> Andrew Harvey</w:t>
      </w:r>
      <w:r w:rsidR="00533180">
        <w:rPr>
          <w:rFonts w:cstheme="minorHAnsi"/>
        </w:rPr>
        <w:t>,</w:t>
      </w:r>
      <w:r w:rsidR="00950284" w:rsidRPr="00950284">
        <w:rPr>
          <w:rFonts w:cstheme="minorHAnsi"/>
        </w:rPr>
        <w:t xml:space="preserve"> Richard James</w:t>
      </w:r>
      <w:r w:rsidR="00533180">
        <w:rPr>
          <w:rFonts w:cstheme="minorHAnsi"/>
        </w:rPr>
        <w:t>,</w:t>
      </w:r>
      <w:r w:rsidR="00950284" w:rsidRPr="00950284">
        <w:rPr>
          <w:rFonts w:cstheme="minorHAnsi"/>
        </w:rPr>
        <w:t xml:space="preserve"> Belinda Munn</w:t>
      </w:r>
      <w:r w:rsidR="00533180">
        <w:rPr>
          <w:rFonts w:cstheme="minorHAnsi"/>
        </w:rPr>
        <w:t>,</w:t>
      </w:r>
      <w:r w:rsidR="00950284" w:rsidRPr="00950284">
        <w:rPr>
          <w:rFonts w:cstheme="minorHAnsi"/>
        </w:rPr>
        <w:t xml:space="preserve"> Max Smith and Geoff Whitty,</w:t>
      </w:r>
      <w:r w:rsidRPr="008A4861">
        <w:rPr>
          <w:rFonts w:cstheme="minorHAnsi"/>
        </w:rPr>
        <w:t xml:space="preserve"> </w:t>
      </w:r>
      <w:r w:rsidRPr="008A4861">
        <w:rPr>
          <w:rFonts w:cstheme="minorHAnsi"/>
          <w:i/>
          <w:iCs/>
        </w:rPr>
        <w:t>The critical interventions framework part 2: Equity initiatives in Australian higher education: a review of evidence and impact</w:t>
      </w:r>
      <w:r>
        <w:rPr>
          <w:rFonts w:cstheme="minorHAnsi"/>
          <w:i/>
          <w:iCs/>
        </w:rPr>
        <w:t xml:space="preserve"> </w:t>
      </w:r>
      <w:r w:rsidRPr="008A4861">
        <w:rPr>
          <w:rFonts w:cstheme="minorHAnsi"/>
        </w:rPr>
        <w:t>(University of Newcastle, 2015)</w:t>
      </w:r>
      <w:r>
        <w:rPr>
          <w:rFonts w:cstheme="minorHAnsi"/>
        </w:rPr>
        <w:t>, 89,</w:t>
      </w:r>
      <w:r w:rsidRPr="008A4861">
        <w:rPr>
          <w:rFonts w:cstheme="minorHAnsi"/>
        </w:rPr>
        <w:t xml:space="preserve"> </w:t>
      </w:r>
      <w:hyperlink r:id="rId119" w:history="1">
        <w:r w:rsidR="00E07C83" w:rsidRPr="00811871">
          <w:rPr>
            <w:rStyle w:val="Hyperlink"/>
            <w:rFonts w:cstheme="minorHAnsi"/>
          </w:rPr>
          <w:t>hdl.handle.net/1959.13/1389888</w:t>
        </w:r>
      </w:hyperlink>
      <w:r w:rsidR="00E07C83">
        <w:rPr>
          <w:rFonts w:cstheme="minorHAnsi"/>
        </w:rPr>
        <w:t xml:space="preserve">. </w:t>
      </w:r>
    </w:p>
  </w:footnote>
  <w:footnote w:id="216">
    <w:p w14:paraId="5A2DDDB9" w14:textId="5F23E138" w:rsidR="00CD1D3D" w:rsidRDefault="00CD1D3D">
      <w:pPr>
        <w:pStyle w:val="FootnoteText"/>
      </w:pPr>
      <w:r>
        <w:rPr>
          <w:rStyle w:val="FootnoteReference"/>
        </w:rPr>
        <w:footnoteRef/>
      </w:r>
      <w:r>
        <w:t xml:space="preserve"> </w:t>
      </w:r>
      <w:r w:rsidRPr="008A4861">
        <w:rPr>
          <w:rFonts w:cstheme="minorHAnsi"/>
        </w:rPr>
        <w:t>ISSR,</w:t>
      </w:r>
      <w:r w:rsidRPr="008A4861" w:rsidDel="00FD613D">
        <w:rPr>
          <w:rFonts w:cstheme="minorHAnsi"/>
        </w:rPr>
        <w:t xml:space="preserve"> </w:t>
      </w:r>
      <w:r w:rsidRPr="00A26A20">
        <w:rPr>
          <w:rFonts w:cstheme="minorHAnsi"/>
          <w:i/>
        </w:rPr>
        <w:t>Targeted Review of Student Equity in Higher Education Programs and System Level Policy Levers</w:t>
      </w:r>
      <w:r>
        <w:rPr>
          <w:rFonts w:cstheme="minorHAnsi"/>
        </w:rPr>
        <w:t>.</w:t>
      </w:r>
    </w:p>
  </w:footnote>
  <w:footnote w:id="217">
    <w:p w14:paraId="6202EE08" w14:textId="0C38D5D3" w:rsidR="004C50A9" w:rsidRPr="00601877" w:rsidRDefault="004C50A9" w:rsidP="004C50A9">
      <w:pPr>
        <w:pStyle w:val="FootnoteText"/>
        <w:rPr>
          <w:rFonts w:cstheme="minorHAnsi"/>
        </w:rPr>
      </w:pPr>
      <w:r w:rsidRPr="00601877">
        <w:rPr>
          <w:rStyle w:val="FootnoteReference"/>
          <w:rFonts w:cstheme="minorHAnsi"/>
        </w:rPr>
        <w:footnoteRef/>
      </w:r>
      <w:r w:rsidRPr="00601877">
        <w:rPr>
          <w:rFonts w:cstheme="minorHAnsi"/>
        </w:rPr>
        <w:t xml:space="preserve"> Victorian Government, </w:t>
      </w:r>
      <w:r w:rsidRPr="00601877">
        <w:rPr>
          <w:rFonts w:cstheme="minorHAnsi"/>
          <w:i/>
        </w:rPr>
        <w:t>A framework for place-based approaches: the start of a conversation about working differently for better outcomes</w:t>
      </w:r>
      <w:r w:rsidRPr="00601877">
        <w:rPr>
          <w:rFonts w:cstheme="minorHAnsi"/>
        </w:rPr>
        <w:t xml:space="preserve"> (</w:t>
      </w:r>
      <w:r w:rsidR="00973DCB">
        <w:rPr>
          <w:rFonts w:cstheme="minorHAnsi"/>
        </w:rPr>
        <w:t xml:space="preserve">Melbourne: Victorian Government, </w:t>
      </w:r>
      <w:r w:rsidRPr="00601877">
        <w:rPr>
          <w:rFonts w:cstheme="minorHAnsi"/>
        </w:rPr>
        <w:t>2020)</w:t>
      </w:r>
      <w:r w:rsidR="00973DCB">
        <w:rPr>
          <w:rFonts w:cstheme="minorHAnsi"/>
        </w:rPr>
        <w:t xml:space="preserve">, </w:t>
      </w:r>
      <w:hyperlink r:id="rId120" w:history="1">
        <w:r w:rsidR="00FE286A" w:rsidRPr="00811871">
          <w:rPr>
            <w:rStyle w:val="Hyperlink"/>
            <w:rFonts w:cstheme="minorHAnsi"/>
          </w:rPr>
          <w:t>content.vic.gov.au/sites/default/files/2020-03/Working-%20together-in%20place-Policy%20Framework.pdf</w:t>
        </w:r>
      </w:hyperlink>
      <w:r w:rsidR="00FE286A">
        <w:rPr>
          <w:rFonts w:cstheme="minorHAnsi"/>
        </w:rPr>
        <w:t xml:space="preserve">. </w:t>
      </w:r>
    </w:p>
  </w:footnote>
  <w:footnote w:id="218">
    <w:p w14:paraId="5C9CE122" w14:textId="7B6FC6C2"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w:t>
      </w:r>
      <w:r w:rsidR="00AA2C04" w:rsidRPr="00AA2C04">
        <w:rPr>
          <w:rFonts w:cstheme="minorHAnsi"/>
        </w:rPr>
        <w:t>Mollie Dollinger</w:t>
      </w:r>
      <w:r w:rsidR="004E54BC">
        <w:rPr>
          <w:rFonts w:cstheme="minorHAnsi"/>
        </w:rPr>
        <w:t>,</w:t>
      </w:r>
      <w:r w:rsidR="00AA2C04" w:rsidRPr="00AA2C04">
        <w:rPr>
          <w:rFonts w:cstheme="minorHAnsi"/>
        </w:rPr>
        <w:t xml:space="preserve"> Andrew Harvey</w:t>
      </w:r>
      <w:r w:rsidR="004E54BC">
        <w:rPr>
          <w:rFonts w:cstheme="minorHAnsi"/>
        </w:rPr>
        <w:t>,</w:t>
      </w:r>
      <w:r w:rsidR="00AA2C04" w:rsidRPr="00AA2C04">
        <w:rPr>
          <w:rFonts w:cstheme="minorHAnsi"/>
        </w:rPr>
        <w:t xml:space="preserve"> Ryan Naylor</w:t>
      </w:r>
      <w:r w:rsidR="004E54BC">
        <w:rPr>
          <w:rFonts w:cstheme="minorHAnsi"/>
        </w:rPr>
        <w:t>,</w:t>
      </w:r>
      <w:r w:rsidR="00AA2C04" w:rsidRPr="00AA2C04">
        <w:rPr>
          <w:rFonts w:cstheme="minorHAnsi"/>
        </w:rPr>
        <w:t xml:space="preserve"> Marian Mahat and Belinda D’Angelo, </w:t>
      </w:r>
      <w:r w:rsidR="00B530F0" w:rsidRPr="004406D4">
        <w:rPr>
          <w:i/>
        </w:rPr>
        <w:t>A student-centred approach: Understanding higher education pathways through co-design</w:t>
      </w:r>
      <w:r w:rsidRPr="00B534CD">
        <w:rPr>
          <w:rFonts w:cstheme="minorHAnsi"/>
          <w:i/>
        </w:rPr>
        <w:t xml:space="preserve"> </w:t>
      </w:r>
      <w:r w:rsidRPr="00601877">
        <w:rPr>
          <w:rFonts w:cstheme="minorHAnsi"/>
        </w:rPr>
        <w:t>(Perth</w:t>
      </w:r>
      <w:r w:rsidR="00B530F0">
        <w:rPr>
          <w:rFonts w:cstheme="minorHAnsi"/>
        </w:rPr>
        <w:t>:</w:t>
      </w:r>
      <w:r w:rsidRPr="00601877">
        <w:rPr>
          <w:rFonts w:cstheme="minorHAnsi"/>
        </w:rPr>
        <w:t xml:space="preserve"> </w:t>
      </w:r>
      <w:r w:rsidR="009077DF">
        <w:rPr>
          <w:rFonts w:cstheme="minorHAnsi"/>
        </w:rPr>
        <w:t>NCSEHE</w:t>
      </w:r>
      <w:r w:rsidRPr="00601877">
        <w:rPr>
          <w:rFonts w:cstheme="minorHAnsi"/>
        </w:rPr>
        <w:t xml:space="preserve">, 2022), 41, </w:t>
      </w:r>
      <w:hyperlink r:id="rId121" w:history="1">
        <w:r w:rsidR="00B92835" w:rsidRPr="00811871">
          <w:rPr>
            <w:rStyle w:val="Hyperlink"/>
          </w:rPr>
          <w:t>www.ncsehe.edu.au/wp-content/uploads/2022/11/2022-Dollinger-Final.pdf</w:t>
        </w:r>
      </w:hyperlink>
      <w:r w:rsidR="00B92835">
        <w:rPr>
          <w:rFonts w:cstheme="minorHAnsi"/>
        </w:rPr>
        <w:t xml:space="preserve">. </w:t>
      </w:r>
      <w:r w:rsidRPr="00601877">
        <w:rPr>
          <w:rFonts w:cstheme="minorHAnsi"/>
        </w:rPr>
        <w:t xml:space="preserve"> </w:t>
      </w:r>
    </w:p>
  </w:footnote>
  <w:footnote w:id="219">
    <w:p w14:paraId="0975C5D3" w14:textId="146AB018"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w:t>
      </w:r>
      <w:r w:rsidR="00135E35" w:rsidRPr="008A4861">
        <w:rPr>
          <w:rFonts w:cstheme="minorHAnsi"/>
        </w:rPr>
        <w:t xml:space="preserve">ISSR, </w:t>
      </w:r>
      <w:r w:rsidR="00135E35" w:rsidRPr="00B534CD">
        <w:rPr>
          <w:rFonts w:cstheme="minorHAnsi"/>
          <w:i/>
        </w:rPr>
        <w:t>Targeted Review of Student Equity in Higher Education Programs and System Level Policy Levers</w:t>
      </w:r>
      <w:r w:rsidR="00B530F0" w:rsidRPr="00B534CD">
        <w:rPr>
          <w:rFonts w:cstheme="minorHAnsi"/>
          <w:i/>
          <w:iCs/>
        </w:rPr>
        <w:t>.</w:t>
      </w:r>
    </w:p>
  </w:footnote>
  <w:footnote w:id="220">
    <w:p w14:paraId="0632D56C" w14:textId="6567800A" w:rsidR="00D27626" w:rsidRPr="00601877" w:rsidRDefault="00D27626" w:rsidP="00C874F8">
      <w:pPr>
        <w:pStyle w:val="FootnoteText"/>
        <w:keepNext/>
        <w:widowControl w:val="0"/>
        <w:rPr>
          <w:rFonts w:cstheme="minorHAnsi"/>
        </w:rPr>
      </w:pPr>
      <w:r w:rsidRPr="00601877">
        <w:rPr>
          <w:rStyle w:val="FootnoteReference"/>
          <w:rFonts w:cstheme="minorHAnsi"/>
        </w:rPr>
        <w:footnoteRef/>
      </w:r>
      <w:r w:rsidRPr="00601877">
        <w:rPr>
          <w:rFonts w:cstheme="minorHAnsi"/>
        </w:rPr>
        <w:t xml:space="preserve"> Office of the Chief Scientist and Australian Mathematical Sciences Institute</w:t>
      </w:r>
      <w:r w:rsidR="00BA1CB4">
        <w:rPr>
          <w:rFonts w:cstheme="minorHAnsi"/>
        </w:rPr>
        <w:t xml:space="preserve">, </w:t>
      </w:r>
      <w:r w:rsidRPr="00601877">
        <w:rPr>
          <w:rFonts w:cstheme="minorHAnsi"/>
          <w:i/>
        </w:rPr>
        <w:t>Mapping University Prerequisites in Australia</w:t>
      </w:r>
      <w:r w:rsidRPr="00601877">
        <w:rPr>
          <w:rFonts w:cstheme="minorHAnsi"/>
        </w:rPr>
        <w:t xml:space="preserve"> (</w:t>
      </w:r>
      <w:r w:rsidR="00B530F0">
        <w:rPr>
          <w:rFonts w:cstheme="minorHAnsi"/>
        </w:rPr>
        <w:t>Office of the Chief Scientist</w:t>
      </w:r>
      <w:r w:rsidR="00BC56C2">
        <w:rPr>
          <w:rFonts w:cstheme="minorHAnsi"/>
        </w:rPr>
        <w:t xml:space="preserve">, September </w:t>
      </w:r>
      <w:r w:rsidRPr="00601877">
        <w:rPr>
          <w:rFonts w:cstheme="minorHAnsi"/>
        </w:rPr>
        <w:t>2020) 3</w:t>
      </w:r>
      <w:r w:rsidR="00BC56C2">
        <w:rPr>
          <w:rFonts w:cstheme="minorHAnsi"/>
        </w:rPr>
        <w:softHyphen/>
        <w:t>–9</w:t>
      </w:r>
      <w:r w:rsidR="00AE23E9" w:rsidRPr="00AE23E9">
        <w:t xml:space="preserve"> </w:t>
      </w:r>
      <w:hyperlink r:id="rId122" w:history="1">
        <w:r w:rsidR="00AE23E9" w:rsidRPr="00811871">
          <w:rPr>
            <w:rStyle w:val="Hyperlink"/>
            <w:rFonts w:cstheme="minorHAnsi"/>
          </w:rPr>
          <w:t>www.chiefscientist.gov.au/sites/default/files/2020-09/mapping_university_prerequisites_in_australia.pdf</w:t>
        </w:r>
      </w:hyperlink>
      <w:r w:rsidR="00F802CA">
        <w:rPr>
          <w:rFonts w:cstheme="minorHAnsi"/>
        </w:rPr>
        <w:t>;</w:t>
      </w:r>
      <w:r w:rsidR="00F802CA" w:rsidDel="00BC56C2">
        <w:rPr>
          <w:rFonts w:cstheme="minorHAnsi"/>
        </w:rPr>
        <w:t xml:space="preserve"> </w:t>
      </w:r>
      <w:r w:rsidR="00F802CA" w:rsidRPr="00601877">
        <w:rPr>
          <w:rFonts w:cstheme="minorHAnsi"/>
        </w:rPr>
        <w:t>Australian Council of Engineering Deans</w:t>
      </w:r>
      <w:r w:rsidR="00BC56C2">
        <w:rPr>
          <w:rFonts w:cstheme="minorHAnsi"/>
        </w:rPr>
        <w:t>,</w:t>
      </w:r>
      <w:r w:rsidR="00F802CA" w:rsidRPr="00601877">
        <w:rPr>
          <w:rFonts w:cstheme="minorHAnsi"/>
        </w:rPr>
        <w:t xml:space="preserve"> </w:t>
      </w:r>
      <w:r w:rsidR="00F802CA" w:rsidRPr="00601877">
        <w:rPr>
          <w:rFonts w:cstheme="minorHAnsi"/>
          <w:i/>
        </w:rPr>
        <w:t>Position Statement: Mathematics Requirements for Engineering Education</w:t>
      </w:r>
      <w:r w:rsidR="00F802CA" w:rsidRPr="00601877">
        <w:rPr>
          <w:rFonts w:cstheme="minorHAnsi"/>
        </w:rPr>
        <w:t>, (</w:t>
      </w:r>
      <w:r w:rsidR="00BC56C2">
        <w:rPr>
          <w:rFonts w:cstheme="minorHAnsi"/>
        </w:rPr>
        <w:t xml:space="preserve">February </w:t>
      </w:r>
      <w:r w:rsidR="00F802CA" w:rsidRPr="00601877">
        <w:rPr>
          <w:rFonts w:cstheme="minorHAnsi"/>
        </w:rPr>
        <w:t xml:space="preserve">2019) 1, </w:t>
      </w:r>
      <w:hyperlink r:id="rId123" w:history="1">
        <w:r w:rsidR="00C53AD9" w:rsidRPr="00811871">
          <w:rPr>
            <w:rStyle w:val="Hyperlink"/>
            <w:rFonts w:cstheme="minorHAnsi"/>
          </w:rPr>
          <w:t>www.aced.edu.au/downloads/POSITION%20STATEMENT%20No%205%20Mathematics%20Requirements%20for%20Engineering%20Degrees.pdf</w:t>
        </w:r>
      </w:hyperlink>
      <w:r w:rsidR="00C53AD9">
        <w:rPr>
          <w:rFonts w:cstheme="minorHAnsi"/>
        </w:rPr>
        <w:t xml:space="preserve">. </w:t>
      </w:r>
    </w:p>
  </w:footnote>
  <w:footnote w:id="221">
    <w:p w14:paraId="2E69B5A5" w14:textId="4EA7FEEF" w:rsidR="00876385" w:rsidRPr="0004594B" w:rsidRDefault="00876385" w:rsidP="00876385">
      <w:pPr>
        <w:pStyle w:val="FootnoteText"/>
      </w:pPr>
      <w:r>
        <w:rPr>
          <w:rStyle w:val="FootnoteReference"/>
        </w:rPr>
        <w:footnoteRef/>
      </w:r>
      <w:r>
        <w:t xml:space="preserve"> University of Newcastle, </w:t>
      </w:r>
      <w:r>
        <w:rPr>
          <w:i/>
          <w:iCs/>
        </w:rPr>
        <w:t>Response to the Australian Universities Accord Discussion Paper</w:t>
      </w:r>
      <w:r>
        <w:t xml:space="preserve">, 2023, 13, </w:t>
      </w:r>
      <w:hyperlink r:id="rId124" w:history="1">
        <w:r w:rsidR="00671AB7" w:rsidRPr="00811871">
          <w:rPr>
            <w:rStyle w:val="Hyperlink"/>
          </w:rPr>
          <w:t>www.education.gov.au/system/files/documents/submission-file/2023-04/AUA_tranche1_University%20of%20Newcastle.pdf</w:t>
        </w:r>
      </w:hyperlink>
      <w:r w:rsidR="00671AB7">
        <w:t xml:space="preserve">. </w:t>
      </w:r>
    </w:p>
  </w:footnote>
  <w:footnote w:id="222">
    <w:p w14:paraId="20B1A354" w14:textId="631FA8E4" w:rsidR="00D27626" w:rsidRPr="00601877" w:rsidDel="00F16FF7" w:rsidRDefault="00D27626" w:rsidP="00D27626">
      <w:pPr>
        <w:pStyle w:val="FootnoteText"/>
        <w:rPr>
          <w:rFonts w:cstheme="minorHAnsi"/>
          <w:i/>
        </w:rPr>
      </w:pPr>
      <w:r w:rsidRPr="00601877" w:rsidDel="00F16FF7">
        <w:rPr>
          <w:rStyle w:val="FootnoteReference"/>
          <w:rFonts w:cstheme="minorHAnsi"/>
        </w:rPr>
        <w:footnoteRef/>
      </w:r>
      <w:r w:rsidR="00F16FF7" w:rsidRPr="00601877">
        <w:rPr>
          <w:rFonts w:cstheme="minorHAnsi"/>
        </w:rPr>
        <w:t xml:space="preserve"> Department of Education</w:t>
      </w:r>
      <w:r w:rsidR="00F16FF7" w:rsidRPr="00601877">
        <w:rPr>
          <w:rFonts w:cstheme="minorHAnsi"/>
          <w:i/>
        </w:rPr>
        <w:t xml:space="preserve">, Higher Education Statistics </w:t>
      </w:r>
      <w:r w:rsidR="00A80CA7" w:rsidRPr="00601877">
        <w:rPr>
          <w:rFonts w:cstheme="minorHAnsi"/>
          <w:i/>
        </w:rPr>
        <w:t>–</w:t>
      </w:r>
      <w:r w:rsidR="00A80CA7">
        <w:rPr>
          <w:rFonts w:cstheme="minorHAnsi"/>
          <w:i/>
        </w:rPr>
        <w:t xml:space="preserve"> </w:t>
      </w:r>
      <w:r w:rsidR="00A80CA7" w:rsidRPr="00601877" w:rsidDel="005D1B2C">
        <w:rPr>
          <w:rFonts w:cstheme="minorHAnsi"/>
          <w:i/>
        </w:rPr>
        <w:t>Student</w:t>
      </w:r>
      <w:r w:rsidR="00F16FF7" w:rsidRPr="00601877">
        <w:rPr>
          <w:rFonts w:cstheme="minorHAnsi"/>
          <w:i/>
        </w:rPr>
        <w:t xml:space="preserve"> Data</w:t>
      </w:r>
      <w:r w:rsidR="00F16FF7">
        <w:rPr>
          <w:rFonts w:cstheme="minorHAnsi"/>
          <w:i/>
        </w:rPr>
        <w:t xml:space="preserve"> – 2022 Section 5 Liability status categories</w:t>
      </w:r>
      <w:r w:rsidR="00F16FF7" w:rsidRPr="00601877">
        <w:rPr>
          <w:rFonts w:cstheme="minorHAnsi"/>
          <w:i/>
        </w:rPr>
        <w:t xml:space="preserve"> </w:t>
      </w:r>
      <w:r w:rsidR="00F16FF7">
        <w:rPr>
          <w:rFonts w:cstheme="minorHAnsi"/>
          <w:iCs/>
        </w:rPr>
        <w:t>[data set]</w:t>
      </w:r>
      <w:r w:rsidR="0061271E">
        <w:rPr>
          <w:rFonts w:cstheme="minorHAnsi"/>
          <w:iCs/>
        </w:rPr>
        <w:t>.</w:t>
      </w:r>
    </w:p>
  </w:footnote>
  <w:footnote w:id="223">
    <w:p w14:paraId="7628C107" w14:textId="5138D331" w:rsidR="00F66D42" w:rsidRDefault="00F66D42">
      <w:pPr>
        <w:pStyle w:val="FootnoteText"/>
      </w:pPr>
      <w:r>
        <w:rPr>
          <w:rStyle w:val="FootnoteReference"/>
        </w:rPr>
        <w:footnoteRef/>
      </w:r>
      <w:r>
        <w:t xml:space="preserve"> </w:t>
      </w:r>
      <w:r w:rsidR="006D00B3" w:rsidRPr="00601877">
        <w:rPr>
          <w:rFonts w:cstheme="minorHAnsi"/>
        </w:rPr>
        <w:t>Department of Education</w:t>
      </w:r>
      <w:r w:rsidR="006D00B3" w:rsidRPr="00601877">
        <w:rPr>
          <w:rFonts w:cstheme="minorHAnsi"/>
          <w:i/>
        </w:rPr>
        <w:t>, Higher Education Statistics –</w:t>
      </w:r>
      <w:r w:rsidR="006D00B3">
        <w:rPr>
          <w:rFonts w:cstheme="minorHAnsi"/>
          <w:i/>
        </w:rPr>
        <w:t xml:space="preserve"> </w:t>
      </w:r>
      <w:r w:rsidR="006D00B3" w:rsidRPr="00601877" w:rsidDel="005D1B2C">
        <w:rPr>
          <w:rFonts w:cstheme="minorHAnsi"/>
          <w:i/>
        </w:rPr>
        <w:t>Student</w:t>
      </w:r>
      <w:r w:rsidR="006D00B3" w:rsidRPr="00601877">
        <w:rPr>
          <w:rFonts w:cstheme="minorHAnsi"/>
          <w:i/>
        </w:rPr>
        <w:t xml:space="preserve"> Data</w:t>
      </w:r>
      <w:r w:rsidR="006D00B3">
        <w:rPr>
          <w:rFonts w:cstheme="minorHAnsi"/>
          <w:i/>
        </w:rPr>
        <w:t xml:space="preserve"> – 2022 Section 5 Liability status categories</w:t>
      </w:r>
      <w:r w:rsidR="006D00B3" w:rsidRPr="00601877">
        <w:rPr>
          <w:rFonts w:cstheme="minorHAnsi"/>
          <w:i/>
        </w:rPr>
        <w:t xml:space="preserve"> </w:t>
      </w:r>
      <w:r w:rsidR="006D00B3">
        <w:rPr>
          <w:rFonts w:cstheme="minorHAnsi"/>
          <w:iCs/>
        </w:rPr>
        <w:t>[data set]</w:t>
      </w:r>
      <w:r w:rsidR="00EC4393">
        <w:rPr>
          <w:rFonts w:cstheme="minorHAnsi"/>
          <w:iCs/>
        </w:rPr>
        <w:t>.</w:t>
      </w:r>
    </w:p>
  </w:footnote>
  <w:footnote w:id="224">
    <w:p w14:paraId="1B431E24" w14:textId="796D7A4D"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w:t>
      </w:r>
      <w:r w:rsidR="001A166B" w:rsidRPr="0081095F">
        <w:t xml:space="preserve">Department of Education, </w:t>
      </w:r>
      <w:r w:rsidR="00C9302D" w:rsidRPr="00C67524">
        <w:rPr>
          <w:i/>
          <w:iCs/>
        </w:rPr>
        <w:t>Administrative</w:t>
      </w:r>
      <w:r w:rsidR="001A166B" w:rsidRPr="00C67524">
        <w:rPr>
          <w:i/>
        </w:rPr>
        <w:t xml:space="preserve"> data</w:t>
      </w:r>
      <w:r w:rsidR="001A166B" w:rsidRPr="0081095F">
        <w:t xml:space="preserve"> [unpublished]</w:t>
      </w:r>
      <w:r w:rsidR="0061271E">
        <w:t>.</w:t>
      </w:r>
    </w:p>
  </w:footnote>
  <w:footnote w:id="225">
    <w:p w14:paraId="78E80F1C" w14:textId="6127C5C0"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w:t>
      </w:r>
      <w:r w:rsidR="001A166B" w:rsidRPr="0081095F">
        <w:t xml:space="preserve">Department of Education, </w:t>
      </w:r>
      <w:r w:rsidR="00C9302D" w:rsidRPr="00C67524">
        <w:rPr>
          <w:i/>
          <w:iCs/>
        </w:rPr>
        <w:t>A</w:t>
      </w:r>
      <w:r w:rsidR="001A166B" w:rsidRPr="00C67524">
        <w:rPr>
          <w:i/>
          <w:iCs/>
        </w:rPr>
        <w:t>dministrative</w:t>
      </w:r>
      <w:r w:rsidR="001A166B" w:rsidRPr="00C67524">
        <w:rPr>
          <w:i/>
        </w:rPr>
        <w:t xml:space="preserve"> data</w:t>
      </w:r>
      <w:r w:rsidR="001A166B" w:rsidRPr="0081095F">
        <w:t xml:space="preserve"> [unpublished]</w:t>
      </w:r>
      <w:r w:rsidR="00E06625">
        <w:t>.</w:t>
      </w:r>
    </w:p>
  </w:footnote>
  <w:footnote w:id="226">
    <w:p w14:paraId="5390D402" w14:textId="609DE50D" w:rsidR="003E6B8D" w:rsidRDefault="003E6B8D">
      <w:pPr>
        <w:pStyle w:val="FootnoteText"/>
      </w:pPr>
      <w:r>
        <w:rPr>
          <w:rStyle w:val="FootnoteReference"/>
        </w:rPr>
        <w:footnoteRef/>
      </w:r>
      <w:r>
        <w:t xml:space="preserve"> </w:t>
      </w:r>
      <w:r w:rsidR="001A166B" w:rsidRPr="0081095F">
        <w:t xml:space="preserve">Department of Education, </w:t>
      </w:r>
      <w:r w:rsidR="00CE6908" w:rsidRPr="00C874F8">
        <w:rPr>
          <w:i/>
          <w:iCs/>
        </w:rPr>
        <w:t>A</w:t>
      </w:r>
      <w:r w:rsidR="001A166B" w:rsidRPr="00C874F8">
        <w:rPr>
          <w:i/>
        </w:rPr>
        <w:t>dministrative data</w:t>
      </w:r>
      <w:r w:rsidR="001A166B" w:rsidRPr="0081095F">
        <w:t xml:space="preserve"> [unpublished]</w:t>
      </w:r>
      <w:r w:rsidR="00E06625">
        <w:t>.</w:t>
      </w:r>
    </w:p>
  </w:footnote>
  <w:footnote w:id="227">
    <w:p w14:paraId="2C65CED4" w14:textId="636DEA3F" w:rsidR="00893193" w:rsidRDefault="00893193" w:rsidP="00C874F8">
      <w:pPr>
        <w:pStyle w:val="FootnoteText"/>
        <w:widowControl w:val="0"/>
      </w:pPr>
      <w:r>
        <w:rPr>
          <w:rStyle w:val="FootnoteReference"/>
        </w:rPr>
        <w:footnoteRef/>
      </w:r>
      <w:r>
        <w:t xml:space="preserve"> </w:t>
      </w:r>
      <w:r>
        <w:rPr>
          <w:rStyle w:val="cf01"/>
        </w:rPr>
        <w:t xml:space="preserve">National </w:t>
      </w:r>
      <w:r w:rsidRPr="00871FCD">
        <w:t>Association</w:t>
      </w:r>
      <w:r>
        <w:rPr>
          <w:rStyle w:val="cf01"/>
        </w:rPr>
        <w:t xml:space="preserve"> of Enabling Educators of </w:t>
      </w:r>
      <w:r w:rsidRPr="00871FCD">
        <w:rPr>
          <w:rStyle w:val="cf01"/>
          <w:rFonts w:asciiTheme="minorHAnsi" w:hAnsiTheme="minorHAnsi" w:cstheme="minorHAnsi"/>
          <w:sz w:val="20"/>
          <w:szCs w:val="20"/>
        </w:rPr>
        <w:t xml:space="preserve">Australia, </w:t>
      </w:r>
      <w:r w:rsidRPr="00871FCD">
        <w:rPr>
          <w:rStyle w:val="cf01"/>
          <w:rFonts w:asciiTheme="minorHAnsi" w:hAnsiTheme="minorHAnsi" w:cstheme="minorHAnsi"/>
          <w:i/>
          <w:sz w:val="20"/>
          <w:szCs w:val="20"/>
        </w:rPr>
        <w:t>Submission to the Universities Accord Discussion Paper</w:t>
      </w:r>
      <w:r w:rsidRPr="00871FCD">
        <w:rPr>
          <w:rStyle w:val="cf01"/>
          <w:rFonts w:asciiTheme="minorHAnsi" w:hAnsiTheme="minorHAnsi" w:cstheme="minorHAnsi"/>
          <w:sz w:val="20"/>
          <w:szCs w:val="20"/>
        </w:rPr>
        <w:t>, 2023</w:t>
      </w:r>
      <w:r w:rsidR="007C7CF3">
        <w:rPr>
          <w:rStyle w:val="cf01"/>
          <w:rFonts w:asciiTheme="minorHAnsi" w:hAnsiTheme="minorHAnsi" w:cstheme="minorHAnsi"/>
          <w:sz w:val="20"/>
          <w:szCs w:val="20"/>
        </w:rPr>
        <w:t xml:space="preserve">, </w:t>
      </w:r>
      <w:hyperlink r:id="rId125" w:history="1">
        <w:r w:rsidR="009552AD" w:rsidRPr="00811871">
          <w:rPr>
            <w:rStyle w:val="Hyperlink"/>
            <w:rFonts w:cstheme="minorHAnsi"/>
          </w:rPr>
          <w:t>www.education.gov.au/australian-universities-accord/consultations/australian-universities-accord-panel-discussion-paper-consultation/submission/15916</w:t>
        </w:r>
      </w:hyperlink>
      <w:r w:rsidRPr="00871FCD">
        <w:rPr>
          <w:rStyle w:val="cf01"/>
          <w:rFonts w:asciiTheme="minorHAnsi" w:hAnsiTheme="minorHAnsi" w:cstheme="minorHAnsi"/>
          <w:sz w:val="20"/>
          <w:szCs w:val="20"/>
        </w:rPr>
        <w:t>;</w:t>
      </w:r>
      <w:r w:rsidR="0020612C" w:rsidRPr="0020612C">
        <w:t xml:space="preserve"> </w:t>
      </w:r>
      <w:r w:rsidR="0020612C" w:rsidRPr="0020612C">
        <w:rPr>
          <w:rStyle w:val="cf01"/>
          <w:rFonts w:asciiTheme="minorHAnsi" w:hAnsiTheme="minorHAnsi" w:cstheme="minorHAnsi"/>
          <w:sz w:val="20"/>
          <w:szCs w:val="20"/>
        </w:rPr>
        <w:t>Tim Pitman</w:t>
      </w:r>
      <w:r w:rsidR="00167236">
        <w:rPr>
          <w:rStyle w:val="cf01"/>
          <w:rFonts w:asciiTheme="minorHAnsi" w:hAnsiTheme="minorHAnsi" w:cstheme="minorHAnsi"/>
          <w:sz w:val="20"/>
          <w:szCs w:val="20"/>
        </w:rPr>
        <w:t>,</w:t>
      </w:r>
      <w:r w:rsidR="0020612C" w:rsidRPr="0020612C">
        <w:rPr>
          <w:rStyle w:val="cf01"/>
          <w:rFonts w:asciiTheme="minorHAnsi" w:hAnsiTheme="minorHAnsi" w:cstheme="minorHAnsi"/>
          <w:sz w:val="20"/>
          <w:szCs w:val="20"/>
        </w:rPr>
        <w:t xml:space="preserve"> Sue Trinidad</w:t>
      </w:r>
      <w:r w:rsidR="00167236">
        <w:rPr>
          <w:rStyle w:val="cf01"/>
          <w:rFonts w:asciiTheme="minorHAnsi" w:hAnsiTheme="minorHAnsi" w:cstheme="minorHAnsi"/>
          <w:sz w:val="20"/>
          <w:szCs w:val="20"/>
        </w:rPr>
        <w:t>,</w:t>
      </w:r>
      <w:r w:rsidR="0020612C" w:rsidRPr="0020612C">
        <w:rPr>
          <w:rStyle w:val="cf01"/>
          <w:rFonts w:asciiTheme="minorHAnsi" w:hAnsiTheme="minorHAnsi" w:cstheme="minorHAnsi"/>
          <w:sz w:val="20"/>
          <w:szCs w:val="20"/>
        </w:rPr>
        <w:t xml:space="preserve"> Marcia Devlin</w:t>
      </w:r>
      <w:r w:rsidR="00167236">
        <w:rPr>
          <w:rStyle w:val="cf01"/>
          <w:rFonts w:asciiTheme="minorHAnsi" w:hAnsiTheme="minorHAnsi" w:cstheme="minorHAnsi"/>
          <w:sz w:val="20"/>
          <w:szCs w:val="20"/>
        </w:rPr>
        <w:t>,</w:t>
      </w:r>
      <w:r w:rsidR="0020612C" w:rsidRPr="0020612C">
        <w:rPr>
          <w:rStyle w:val="cf01"/>
          <w:rFonts w:asciiTheme="minorHAnsi" w:hAnsiTheme="minorHAnsi" w:cstheme="minorHAnsi"/>
          <w:sz w:val="20"/>
          <w:szCs w:val="20"/>
        </w:rPr>
        <w:t xml:space="preserve"> Andrew Harvey</w:t>
      </w:r>
      <w:r w:rsidR="00167236">
        <w:rPr>
          <w:rStyle w:val="cf01"/>
          <w:rFonts w:asciiTheme="minorHAnsi" w:hAnsiTheme="minorHAnsi" w:cstheme="minorHAnsi"/>
          <w:sz w:val="20"/>
          <w:szCs w:val="20"/>
        </w:rPr>
        <w:t>,</w:t>
      </w:r>
      <w:r w:rsidR="0020612C" w:rsidRPr="0020612C">
        <w:rPr>
          <w:rStyle w:val="cf01"/>
          <w:rFonts w:asciiTheme="minorHAnsi" w:hAnsiTheme="minorHAnsi" w:cstheme="minorHAnsi"/>
          <w:sz w:val="20"/>
          <w:szCs w:val="20"/>
        </w:rPr>
        <w:t xml:space="preserve"> Matt Brett and Jade McKay,</w:t>
      </w:r>
      <w:r w:rsidRPr="00871FCD">
        <w:t xml:space="preserve"> “Pathways to Higher Education: The Efficacy of Enabling and Sub-Bachelor Pathways for Disadvantaged Students”</w:t>
      </w:r>
      <w:r>
        <w:t xml:space="preserve"> (Perth: </w:t>
      </w:r>
      <w:r w:rsidRPr="00871FCD">
        <w:t>Curtin University</w:t>
      </w:r>
      <w:r w:rsidRPr="00871FCD" w:rsidDel="009077DF">
        <w:t xml:space="preserve"> </w:t>
      </w:r>
      <w:r w:rsidR="009077DF">
        <w:t>NCSEHE</w:t>
      </w:r>
      <w:r w:rsidRPr="00871FCD">
        <w:t xml:space="preserve">, </w:t>
      </w:r>
      <w:r>
        <w:t>2016),</w:t>
      </w:r>
      <w:r w:rsidRPr="00871FCD">
        <w:t xml:space="preserve"> </w:t>
      </w:r>
      <w:hyperlink r:id="rId126" w:history="1">
        <w:r w:rsidR="009552AD" w:rsidRPr="00811871">
          <w:rPr>
            <w:rStyle w:val="Hyperlink"/>
            <w:rFonts w:cstheme="minorHAnsi"/>
          </w:rPr>
          <w:t>www.ncsehe.edu.au/wp-content/uploads/2016/07/Final-Pathways-to-Higher-Education-The-Efficacy-of-Enabling-and-Sub-Bachelor-Pathways-for-Disadvantaged-Students.pdf</w:t>
        </w:r>
      </w:hyperlink>
      <w:r w:rsidRPr="0072052F">
        <w:rPr>
          <w:rStyle w:val="cf01"/>
          <w:rFonts w:asciiTheme="minorHAnsi" w:hAnsiTheme="minorHAnsi" w:cstheme="minorHAnsi"/>
          <w:sz w:val="20"/>
          <w:szCs w:val="20"/>
        </w:rPr>
        <w:t>;</w:t>
      </w:r>
      <w:r w:rsidR="005C6F92" w:rsidRPr="0072052F">
        <w:rPr>
          <w:rStyle w:val="cf01"/>
          <w:rFonts w:asciiTheme="minorHAnsi" w:hAnsiTheme="minorHAnsi" w:cstheme="minorHAnsi"/>
          <w:sz w:val="20"/>
          <w:szCs w:val="20"/>
        </w:rPr>
        <w:t xml:space="preserve"> </w:t>
      </w:r>
      <w:r w:rsidR="00210FA6" w:rsidRPr="0072052F">
        <w:rPr>
          <w:rStyle w:val="cf01"/>
          <w:rFonts w:asciiTheme="minorHAnsi" w:hAnsiTheme="minorHAnsi" w:cstheme="minorHAnsi"/>
          <w:sz w:val="20"/>
          <w:szCs w:val="20"/>
        </w:rPr>
        <w:t>Suzi Syme</w:t>
      </w:r>
      <w:r w:rsidR="00887980">
        <w:rPr>
          <w:rStyle w:val="cf01"/>
          <w:rFonts w:asciiTheme="minorHAnsi" w:hAnsiTheme="minorHAnsi" w:cstheme="minorHAnsi"/>
          <w:sz w:val="20"/>
          <w:szCs w:val="20"/>
        </w:rPr>
        <w:t>,</w:t>
      </w:r>
      <w:r w:rsidR="00210FA6" w:rsidRPr="0072052F">
        <w:rPr>
          <w:rStyle w:val="cf01"/>
          <w:rFonts w:asciiTheme="minorHAnsi" w:hAnsiTheme="minorHAnsi" w:cstheme="minorHAnsi"/>
          <w:sz w:val="20"/>
          <w:szCs w:val="20"/>
        </w:rPr>
        <w:t xml:space="preserve"> Thomas Roche</w:t>
      </w:r>
      <w:r w:rsidR="00887980">
        <w:rPr>
          <w:rStyle w:val="cf01"/>
          <w:rFonts w:asciiTheme="minorHAnsi" w:hAnsiTheme="minorHAnsi" w:cstheme="minorHAnsi"/>
          <w:sz w:val="20"/>
          <w:szCs w:val="20"/>
        </w:rPr>
        <w:t>,</w:t>
      </w:r>
      <w:r w:rsidR="00210FA6" w:rsidRPr="0072052F">
        <w:rPr>
          <w:rStyle w:val="cf01"/>
          <w:rFonts w:asciiTheme="minorHAnsi" w:hAnsiTheme="minorHAnsi" w:cstheme="minorHAnsi"/>
          <w:sz w:val="20"/>
          <w:szCs w:val="20"/>
        </w:rPr>
        <w:t xml:space="preserve"> Elizabeth Goode and Erin Crandon</w:t>
      </w:r>
      <w:r w:rsidRPr="0072052F">
        <w:rPr>
          <w:rStyle w:val="cf01"/>
          <w:rFonts w:asciiTheme="minorHAnsi" w:hAnsiTheme="minorHAnsi" w:cstheme="minorHAnsi"/>
          <w:sz w:val="20"/>
          <w:szCs w:val="20"/>
        </w:rPr>
        <w:t>,</w:t>
      </w:r>
      <w:r w:rsidRPr="00C9302D">
        <w:rPr>
          <w:rFonts w:cstheme="minorHAnsi"/>
          <w:shd w:val="clear" w:color="auto" w:fill="FFFFFF"/>
        </w:rPr>
        <w:t> “</w:t>
      </w:r>
      <w:r w:rsidRPr="00C9302D">
        <w:rPr>
          <w:rStyle w:val="arttitle"/>
          <w:rFonts w:cstheme="minorHAnsi"/>
          <w:shd w:val="clear" w:color="auto" w:fill="FFFFFF"/>
        </w:rPr>
        <w:t>Transforming lives: the power of an Australian enabling education,”</w:t>
      </w:r>
      <w:r w:rsidRPr="00C9302D">
        <w:rPr>
          <w:rFonts w:cstheme="minorHAnsi"/>
          <w:shd w:val="clear" w:color="auto" w:fill="FFFFFF"/>
        </w:rPr>
        <w:t> </w:t>
      </w:r>
      <w:r w:rsidRPr="00C9302D">
        <w:rPr>
          <w:rStyle w:val="serialtitle"/>
          <w:rFonts w:cstheme="minorHAnsi"/>
          <w:i/>
          <w:shd w:val="clear" w:color="auto" w:fill="FFFFFF"/>
        </w:rPr>
        <w:t>Higher Education Research &amp; Development</w:t>
      </w:r>
      <w:r w:rsidRPr="00C9302D">
        <w:rPr>
          <w:rStyle w:val="serialtitle"/>
          <w:rFonts w:cstheme="minorHAnsi"/>
          <w:shd w:val="clear" w:color="auto" w:fill="FFFFFF"/>
        </w:rPr>
        <w:t>,</w:t>
      </w:r>
      <w:r w:rsidRPr="00C9302D">
        <w:rPr>
          <w:rFonts w:cstheme="minorHAnsi"/>
          <w:shd w:val="clear" w:color="auto" w:fill="FFFFFF"/>
        </w:rPr>
        <w:t> </w:t>
      </w:r>
      <w:r w:rsidRPr="00C9302D">
        <w:rPr>
          <w:rStyle w:val="volumeissue"/>
          <w:rFonts w:cstheme="minorHAnsi"/>
          <w:shd w:val="clear" w:color="auto" w:fill="FFFFFF"/>
        </w:rPr>
        <w:t>41</w:t>
      </w:r>
      <w:r w:rsidR="005C6F92">
        <w:rPr>
          <w:rStyle w:val="volumeissue"/>
          <w:rFonts w:cstheme="minorHAnsi"/>
          <w:shd w:val="clear" w:color="auto" w:fill="FFFFFF"/>
        </w:rPr>
        <w:t xml:space="preserve">, </w:t>
      </w:r>
      <w:r w:rsidRPr="00C9302D">
        <w:rPr>
          <w:rStyle w:val="volumeissue"/>
          <w:rFonts w:cstheme="minorHAnsi"/>
          <w:shd w:val="clear" w:color="auto" w:fill="FFFFFF"/>
        </w:rPr>
        <w:t xml:space="preserve">7 </w:t>
      </w:r>
      <w:r w:rsidRPr="00C9302D">
        <w:rPr>
          <w:rFonts w:cstheme="minorHAnsi"/>
          <w:shd w:val="clear" w:color="auto" w:fill="FFFFFF"/>
        </w:rPr>
        <w:t>(2022)</w:t>
      </w:r>
      <w:r w:rsidRPr="00C9302D">
        <w:rPr>
          <w:rStyle w:val="volumeissue"/>
          <w:rFonts w:cstheme="minorHAnsi"/>
          <w:shd w:val="clear" w:color="auto" w:fill="FFFFFF"/>
        </w:rPr>
        <w:t>,</w:t>
      </w:r>
      <w:r w:rsidRPr="00C9302D">
        <w:rPr>
          <w:rFonts w:cstheme="minorHAnsi"/>
          <w:shd w:val="clear" w:color="auto" w:fill="FFFFFF"/>
        </w:rPr>
        <w:t> </w:t>
      </w:r>
      <w:r w:rsidRPr="00C9302D">
        <w:rPr>
          <w:rStyle w:val="pagerange"/>
          <w:rFonts w:cstheme="minorHAnsi"/>
          <w:shd w:val="clear" w:color="auto" w:fill="FFFFFF"/>
        </w:rPr>
        <w:t>2426</w:t>
      </w:r>
      <w:r>
        <w:rPr>
          <w:rFonts w:ascii="Symbol" w:eastAsia="Symbol" w:hAnsi="Symbol" w:cs="Symbol"/>
        </w:rPr>
        <w:t>-</w:t>
      </w:r>
      <w:r w:rsidRPr="00C9302D">
        <w:rPr>
          <w:rStyle w:val="pagerange"/>
          <w:rFonts w:cstheme="minorHAnsi"/>
          <w:shd w:val="clear" w:color="auto" w:fill="FFFFFF"/>
        </w:rPr>
        <w:t>2440,</w:t>
      </w:r>
      <w:r w:rsidRPr="00C9302D">
        <w:rPr>
          <w:rFonts w:cstheme="minorHAnsi"/>
          <w:shd w:val="clear" w:color="auto" w:fill="FFFFFF"/>
        </w:rPr>
        <w:t> </w:t>
      </w:r>
      <w:r w:rsidRPr="00C9302D">
        <w:rPr>
          <w:rStyle w:val="doilink"/>
          <w:rFonts w:cstheme="minorHAnsi"/>
          <w:shd w:val="clear" w:color="auto" w:fill="FFFFFF"/>
        </w:rPr>
        <w:t>DOI: </w:t>
      </w:r>
      <w:hyperlink r:id="rId127" w:history="1">
        <w:r w:rsidRPr="00C9302D">
          <w:rPr>
            <w:rStyle w:val="Hyperlink"/>
            <w:rFonts w:cstheme="minorHAnsi"/>
            <w:color w:val="auto"/>
            <w:shd w:val="clear" w:color="auto" w:fill="FFFFFF"/>
          </w:rPr>
          <w:t>10.1080/07294360</w:t>
        </w:r>
        <w:bookmarkStart w:id="652" w:name="_Hlt155772575"/>
        <w:bookmarkStart w:id="653" w:name="_Hlt155772576"/>
        <w:r w:rsidRPr="00C9302D">
          <w:rPr>
            <w:rStyle w:val="Hyperlink"/>
            <w:rFonts w:cstheme="minorHAnsi"/>
            <w:color w:val="auto"/>
            <w:shd w:val="clear" w:color="auto" w:fill="FFFFFF"/>
          </w:rPr>
          <w:t>.</w:t>
        </w:r>
        <w:bookmarkEnd w:id="652"/>
        <w:bookmarkEnd w:id="653"/>
        <w:r w:rsidRPr="00C9302D">
          <w:rPr>
            <w:rStyle w:val="Hyperlink"/>
            <w:rFonts w:cstheme="minorHAnsi"/>
            <w:color w:val="auto"/>
            <w:shd w:val="clear" w:color="auto" w:fill="FFFFFF"/>
          </w:rPr>
          <w:t>2021.1990222</w:t>
        </w:r>
      </w:hyperlink>
      <w:r w:rsidRPr="00C9302D">
        <w:rPr>
          <w:rStyle w:val="doilink"/>
          <w:rFonts w:cstheme="minorHAnsi"/>
          <w:shd w:val="clear" w:color="auto" w:fill="FFFFFF"/>
        </w:rPr>
        <w:t>.</w:t>
      </w:r>
    </w:p>
  </w:footnote>
  <w:footnote w:id="228">
    <w:p w14:paraId="3DFFD2D3" w14:textId="7EC40EEF" w:rsidR="007063D8" w:rsidRDefault="007063D8">
      <w:pPr>
        <w:pStyle w:val="FootnoteText"/>
      </w:pPr>
      <w:r>
        <w:rPr>
          <w:rStyle w:val="FootnoteReference"/>
        </w:rPr>
        <w:footnoteRef/>
      </w:r>
      <w:r>
        <w:t xml:space="preserve"> </w:t>
      </w:r>
      <w:r w:rsidRPr="005513E1">
        <w:rPr>
          <w:lang w:val="en-GB"/>
        </w:rPr>
        <w:t xml:space="preserve">Department of Education, </w:t>
      </w:r>
      <w:r w:rsidRPr="005513E1">
        <w:rPr>
          <w:i/>
          <w:lang w:val="en-GB"/>
        </w:rPr>
        <w:t xml:space="preserve">Higher Education Statistics – Student Data – </w:t>
      </w:r>
      <w:r w:rsidR="00F67134" w:rsidRPr="005513E1">
        <w:rPr>
          <w:i/>
          <w:lang w:val="en-GB"/>
        </w:rPr>
        <w:t>202</w:t>
      </w:r>
      <w:r w:rsidR="00F67134">
        <w:rPr>
          <w:i/>
          <w:lang w:val="en-GB"/>
        </w:rPr>
        <w:t xml:space="preserve">2 </w:t>
      </w:r>
      <w:r w:rsidRPr="005513E1">
        <w:rPr>
          <w:i/>
          <w:iCs/>
          <w:lang w:val="en-GB"/>
        </w:rPr>
        <w:t>Section 1</w:t>
      </w:r>
      <w:r>
        <w:rPr>
          <w:i/>
          <w:iCs/>
          <w:lang w:val="en-GB"/>
        </w:rPr>
        <w:t>6</w:t>
      </w:r>
      <w:r w:rsidRPr="005513E1">
        <w:rPr>
          <w:i/>
          <w:iCs/>
          <w:lang w:val="en-GB"/>
        </w:rPr>
        <w:t xml:space="preserve"> Equity groups</w:t>
      </w:r>
      <w:r w:rsidRPr="005513E1">
        <w:rPr>
          <w:lang w:val="en-GB"/>
        </w:rPr>
        <w:t xml:space="preserve"> [data set]</w:t>
      </w:r>
      <w:r w:rsidR="00891F31">
        <w:rPr>
          <w:lang w:val="en-GB"/>
        </w:rPr>
        <w:t>.</w:t>
      </w:r>
      <w:r w:rsidR="00F67134" w:rsidRPr="005513E1">
        <w:rPr>
          <w:lang w:val="en-GB"/>
        </w:rPr>
        <w:t xml:space="preserve"> </w:t>
      </w:r>
      <w:r w:rsidRPr="005513E1">
        <w:rPr>
          <w:lang w:val="en-GB"/>
        </w:rPr>
        <w:t xml:space="preserve"> </w:t>
      </w:r>
      <w:r w:rsidR="00C44EAF">
        <w:t>Success rates measure academic performance by comparing the EFTSL of units passed with the EFTSL of units attempted.</w:t>
      </w:r>
    </w:p>
  </w:footnote>
  <w:footnote w:id="229">
    <w:p w14:paraId="7998A2AC" w14:textId="226A1F89"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w:t>
      </w:r>
      <w:r w:rsidR="00766640" w:rsidRPr="008A4861">
        <w:rPr>
          <w:rFonts w:cstheme="minorHAnsi"/>
        </w:rPr>
        <w:t>NCSEHE,</w:t>
      </w:r>
      <w:r w:rsidR="00766640" w:rsidRPr="000B740B">
        <w:rPr>
          <w:rFonts w:cstheme="minorHAnsi"/>
        </w:rPr>
        <w:t xml:space="preserve"> </w:t>
      </w:r>
      <w:r w:rsidR="00766640" w:rsidRPr="000169B0">
        <w:rPr>
          <w:rFonts w:cstheme="minorHAnsi"/>
          <w:i/>
        </w:rPr>
        <w:t xml:space="preserve">Centring the voices of harder to reach under-represented and disadvantaged cohorts </w:t>
      </w:r>
      <w:r w:rsidR="00766640" w:rsidRPr="008A4861">
        <w:rPr>
          <w:rFonts w:cstheme="minorHAnsi"/>
        </w:rPr>
        <w:t xml:space="preserve">[unpublished report], </w:t>
      </w:r>
      <w:r w:rsidR="009077DF">
        <w:rPr>
          <w:rFonts w:cstheme="minorHAnsi"/>
        </w:rPr>
        <w:t>(</w:t>
      </w:r>
      <w:r w:rsidR="00766640" w:rsidRPr="008A4861">
        <w:rPr>
          <w:rFonts w:cstheme="minorHAnsi"/>
        </w:rPr>
        <w:t>Perth: Curtin University</w:t>
      </w:r>
      <w:r w:rsidR="009077DF">
        <w:rPr>
          <w:rFonts w:cstheme="minorHAnsi"/>
        </w:rPr>
        <w:t xml:space="preserve"> NSCEHE, 2023)</w:t>
      </w:r>
      <w:r w:rsidR="00766640" w:rsidRPr="008A4861">
        <w:rPr>
          <w:rFonts w:cstheme="minorHAnsi"/>
        </w:rPr>
        <w:t>.</w:t>
      </w:r>
    </w:p>
  </w:footnote>
  <w:footnote w:id="230">
    <w:p w14:paraId="3D097903" w14:textId="0AC05A97" w:rsidR="00D27626" w:rsidRPr="00302C35" w:rsidRDefault="00D27626" w:rsidP="00D27626">
      <w:pPr>
        <w:pStyle w:val="FootnoteText"/>
        <w:rPr>
          <w:rFonts w:cstheme="minorHAnsi"/>
        </w:rPr>
      </w:pPr>
      <w:r w:rsidRPr="00601877">
        <w:rPr>
          <w:rStyle w:val="FootnoteReference"/>
          <w:rFonts w:cstheme="minorHAnsi"/>
        </w:rPr>
        <w:footnoteRef/>
      </w:r>
      <w:r w:rsidR="00840647">
        <w:t xml:space="preserve"> </w:t>
      </w:r>
      <w:r w:rsidR="00FE3895" w:rsidRPr="009F057F">
        <w:t xml:space="preserve">NCVER, </w:t>
      </w:r>
      <w:r w:rsidR="00FE3895" w:rsidRPr="009F057F">
        <w:rPr>
          <w:i/>
        </w:rPr>
        <w:t>Generation Z: Life at 22</w:t>
      </w:r>
      <w:r w:rsidR="00FE3895" w:rsidRPr="009F057F">
        <w:t xml:space="preserve"> (</w:t>
      </w:r>
      <w:r w:rsidR="00203A63">
        <w:t xml:space="preserve">Adelaide: </w:t>
      </w:r>
      <w:r w:rsidR="00FE3895" w:rsidRPr="009F057F">
        <w:t>September 2023)</w:t>
      </w:r>
      <w:r w:rsidR="00203A63">
        <w:t>, accessed 5 December 2023,</w:t>
      </w:r>
      <w:r w:rsidR="00FE3895" w:rsidRPr="009F057F">
        <w:t xml:space="preserve"> </w:t>
      </w:r>
      <w:hyperlink r:id="rId128" w:history="1">
        <w:r w:rsidR="00ED7929" w:rsidRPr="00811871">
          <w:rPr>
            <w:rStyle w:val="Hyperlink"/>
            <w:rFonts w:cstheme="minorHAnsi"/>
          </w:rPr>
          <w:t>www.lsay.edu.au/publications/search-for-lsay-publications/generation-z-life-at-22</w:t>
        </w:r>
      </w:hyperlink>
      <w:r w:rsidR="00ED7929">
        <w:rPr>
          <w:rFonts w:cstheme="minorHAnsi"/>
        </w:rPr>
        <w:t xml:space="preserve">. </w:t>
      </w:r>
      <w:r w:rsidR="00FE3895" w:rsidRPr="00FE3895">
        <w:rPr>
          <w:rFonts w:cstheme="minorHAnsi"/>
          <w:color w:val="297BAF"/>
          <w:u w:val="single"/>
        </w:rPr>
        <w:t xml:space="preserve"> </w:t>
      </w:r>
    </w:p>
  </w:footnote>
  <w:footnote w:id="231">
    <w:p w14:paraId="3032EC43" w14:textId="10601552" w:rsidR="00AC214C" w:rsidRPr="00601877" w:rsidRDefault="00AC214C" w:rsidP="00AC214C">
      <w:pPr>
        <w:pStyle w:val="FootnoteText"/>
        <w:rPr>
          <w:rFonts w:cstheme="minorHAnsi"/>
          <w:i/>
        </w:rPr>
      </w:pPr>
      <w:r w:rsidRPr="00601877">
        <w:rPr>
          <w:rStyle w:val="FootnoteReference"/>
          <w:rFonts w:cstheme="minorHAnsi"/>
        </w:rPr>
        <w:footnoteRef/>
      </w:r>
      <w:r w:rsidRPr="00601877">
        <w:rPr>
          <w:rFonts w:cstheme="minorHAnsi"/>
        </w:rPr>
        <w:t xml:space="preserve"> National Union of Students, </w:t>
      </w:r>
      <w:r w:rsidR="006230C9" w:rsidRPr="008C4411">
        <w:rPr>
          <w:i/>
        </w:rPr>
        <w:t>Submission to the Australian Universities Accord Priorities</w:t>
      </w:r>
      <w:r w:rsidRPr="007512A1">
        <w:rPr>
          <w:rFonts w:cstheme="minorHAnsi"/>
          <w:i/>
        </w:rPr>
        <w:t>,</w:t>
      </w:r>
      <w:r w:rsidRPr="009F057F">
        <w:rPr>
          <w:rFonts w:cstheme="minorHAnsi"/>
        </w:rPr>
        <w:t xml:space="preserve"> 2023</w:t>
      </w:r>
      <w:r w:rsidR="006230C9" w:rsidRPr="009F057F">
        <w:rPr>
          <w:rFonts w:cstheme="minorHAnsi"/>
        </w:rPr>
        <w:t xml:space="preserve">, </w:t>
      </w:r>
      <w:hyperlink r:id="rId129" w:history="1">
        <w:r w:rsidR="00D663CA" w:rsidRPr="00811871">
          <w:rPr>
            <w:rStyle w:val="Hyperlink"/>
            <w:rFonts w:cstheme="minorHAnsi"/>
          </w:rPr>
          <w:t>www.education.gov.au/system/files/documents/submission-file/2023-02/AUA_priorities_National%20Union%20of%20Students.pdf</w:t>
        </w:r>
      </w:hyperlink>
      <w:r w:rsidR="00D663CA">
        <w:rPr>
          <w:rFonts w:cstheme="minorHAnsi"/>
        </w:rPr>
        <w:t xml:space="preserve">. </w:t>
      </w:r>
    </w:p>
  </w:footnote>
  <w:footnote w:id="232">
    <w:p w14:paraId="2C9E928B" w14:textId="511EA2AF" w:rsidR="00AC214C" w:rsidRPr="00601877" w:rsidRDefault="00AC214C" w:rsidP="00AC214C">
      <w:pPr>
        <w:pStyle w:val="FootnoteText"/>
        <w:rPr>
          <w:rFonts w:cstheme="minorHAnsi"/>
          <w:i/>
        </w:rPr>
      </w:pPr>
      <w:r w:rsidRPr="00601877">
        <w:rPr>
          <w:rStyle w:val="FootnoteReference"/>
          <w:rFonts w:cstheme="minorHAnsi"/>
        </w:rPr>
        <w:footnoteRef/>
      </w:r>
      <w:r w:rsidRPr="00601877">
        <w:rPr>
          <w:rFonts w:cstheme="minorHAnsi"/>
        </w:rPr>
        <w:t xml:space="preserve"> Curtin Student Guild, </w:t>
      </w:r>
      <w:r w:rsidR="006230C9" w:rsidRPr="008C4411">
        <w:rPr>
          <w:i/>
        </w:rPr>
        <w:t>Submission to the Australian Universities Accord Priorities</w:t>
      </w:r>
      <w:r w:rsidRPr="00162B4C">
        <w:rPr>
          <w:rFonts w:cstheme="minorHAnsi"/>
          <w:i/>
        </w:rPr>
        <w:t>,</w:t>
      </w:r>
      <w:r w:rsidRPr="009F057F">
        <w:rPr>
          <w:rFonts w:cstheme="minorHAnsi"/>
        </w:rPr>
        <w:t xml:space="preserve"> 2023</w:t>
      </w:r>
      <w:r w:rsidR="006230C9">
        <w:rPr>
          <w:rFonts w:cstheme="minorHAnsi"/>
          <w:iCs/>
        </w:rPr>
        <w:t xml:space="preserve">, </w:t>
      </w:r>
      <w:hyperlink r:id="rId130" w:history="1">
        <w:r w:rsidR="00B54EBF" w:rsidRPr="00811871">
          <w:rPr>
            <w:rStyle w:val="Hyperlink"/>
            <w:rFonts w:cstheme="minorHAnsi"/>
            <w:iCs/>
          </w:rPr>
          <w:t>www.education.gov.au/system/files/documents/submission-file/2023-02/AUA_priorities_Curtin%20Student%20Guild_0.pdf</w:t>
        </w:r>
      </w:hyperlink>
      <w:r w:rsidR="00B54EBF">
        <w:rPr>
          <w:rFonts w:cstheme="minorHAnsi"/>
          <w:iCs/>
        </w:rPr>
        <w:t xml:space="preserve">. </w:t>
      </w:r>
    </w:p>
  </w:footnote>
  <w:footnote w:id="233">
    <w:p w14:paraId="3A65E77B" w14:textId="1A64312A"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w:t>
      </w:r>
      <w:r w:rsidR="00BE0E86" w:rsidRPr="00BE0E86">
        <w:rPr>
          <w:rFonts w:cstheme="minorHAnsi"/>
        </w:rPr>
        <w:t xml:space="preserve">Department of Education, Skills and Employment, </w:t>
      </w:r>
      <w:r w:rsidR="00BE0E86" w:rsidRPr="00BE0E86">
        <w:rPr>
          <w:rFonts w:cstheme="minorHAnsi"/>
          <w:i/>
          <w:iCs/>
        </w:rPr>
        <w:t>Factors affecting higher education completions</w:t>
      </w:r>
      <w:r w:rsidR="00ED7C9A">
        <w:rPr>
          <w:rFonts w:cstheme="minorHAnsi"/>
          <w:i/>
          <w:iCs/>
        </w:rPr>
        <w:t>,</w:t>
      </w:r>
      <w:r w:rsidR="00BE0E86" w:rsidRPr="00BE0E86">
        <w:rPr>
          <w:rFonts w:cstheme="minorHAnsi"/>
          <w:i/>
          <w:iCs/>
        </w:rPr>
        <w:t xml:space="preserve"> </w:t>
      </w:r>
      <w:r w:rsidR="00BE0E86" w:rsidRPr="009F057F">
        <w:rPr>
          <w:rFonts w:cstheme="minorHAnsi"/>
        </w:rPr>
        <w:t>(</w:t>
      </w:r>
      <w:r w:rsidR="00ED7C9A">
        <w:rPr>
          <w:rFonts w:cstheme="minorHAnsi"/>
        </w:rPr>
        <w:t xml:space="preserve">Canberra: </w:t>
      </w:r>
      <w:r w:rsidR="009F571F">
        <w:rPr>
          <w:rFonts w:cstheme="minorHAnsi"/>
        </w:rPr>
        <w:t>2020</w:t>
      </w:r>
      <w:r w:rsidR="00BE0E86" w:rsidRPr="009F057F">
        <w:rPr>
          <w:rFonts w:cstheme="minorHAnsi"/>
        </w:rPr>
        <w:t>)</w:t>
      </w:r>
      <w:r w:rsidR="00BE0E86" w:rsidRPr="009F057F" w:rsidDel="009F571F">
        <w:rPr>
          <w:rFonts w:cstheme="minorHAnsi"/>
        </w:rPr>
        <w:t>,</w:t>
      </w:r>
      <w:r w:rsidR="00BE0E86" w:rsidRPr="009F057F">
        <w:rPr>
          <w:rFonts w:cstheme="minorHAnsi"/>
        </w:rPr>
        <w:t xml:space="preserve"> </w:t>
      </w:r>
      <w:r w:rsidR="00BE0E86" w:rsidRPr="00ED7C9A">
        <w:rPr>
          <w:rFonts w:cstheme="minorHAnsi"/>
        </w:rPr>
        <w:t>1.</w:t>
      </w:r>
    </w:p>
  </w:footnote>
  <w:footnote w:id="234">
    <w:p w14:paraId="0690B4B4" w14:textId="1FF5AA63"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w:t>
      </w:r>
      <w:r w:rsidR="000F6893" w:rsidRPr="000F6893">
        <w:rPr>
          <w:rFonts w:cstheme="minorHAnsi"/>
        </w:rPr>
        <w:t xml:space="preserve">Department of Education, Analysis of Person Level Integrated Data Asset (using higher education data, Data Over Multiple Individual Occurrences (DOMINO) and taxation data from Education, </w:t>
      </w:r>
      <w:proofErr w:type="gramStart"/>
      <w:r w:rsidR="000F6893" w:rsidRPr="000F6893">
        <w:rPr>
          <w:rFonts w:cstheme="minorHAnsi"/>
        </w:rPr>
        <w:t>Skills</w:t>
      </w:r>
      <w:proofErr w:type="gramEnd"/>
      <w:r w:rsidR="000F6893" w:rsidRPr="000F6893">
        <w:rPr>
          <w:rFonts w:cstheme="minorHAnsi"/>
        </w:rPr>
        <w:t xml:space="preserve"> and Employment National Data Asset (ESENDA) [unpublished data], (Canberra: 2023).</w:t>
      </w:r>
    </w:p>
  </w:footnote>
  <w:footnote w:id="235">
    <w:p w14:paraId="4C0F7289" w14:textId="47552128" w:rsidR="002A75EF" w:rsidRDefault="002A75EF">
      <w:pPr>
        <w:pStyle w:val="FootnoteText"/>
      </w:pPr>
      <w:r>
        <w:rPr>
          <w:rStyle w:val="FootnoteReference"/>
        </w:rPr>
        <w:footnoteRef/>
      </w:r>
      <w:r>
        <w:t xml:space="preserve"> The Youth Allowance Parental Income Test reductions are shared between all dependent Youth Allowance and ABSTUDY (Living Allowance) recipients in a family. Reductions are further lowered where there are FTB children in the family.</w:t>
      </w:r>
    </w:p>
  </w:footnote>
  <w:footnote w:id="236">
    <w:p w14:paraId="2B7E0CDD" w14:textId="499CB668" w:rsidR="00061DA2" w:rsidRDefault="00061DA2">
      <w:pPr>
        <w:pStyle w:val="FootnoteText"/>
      </w:pPr>
      <w:r>
        <w:rPr>
          <w:rStyle w:val="FootnoteReference"/>
        </w:rPr>
        <w:footnoteRef/>
      </w:r>
      <w:r>
        <w:t xml:space="preserve"> </w:t>
      </w:r>
      <w:r w:rsidR="00421784">
        <w:t xml:space="preserve">As </w:t>
      </w:r>
      <w:proofErr w:type="gramStart"/>
      <w:r w:rsidR="00421784">
        <w:t>at</w:t>
      </w:r>
      <w:proofErr w:type="gramEnd"/>
      <w:r w:rsidR="00421784">
        <w:t xml:space="preserve"> December 2023, the maximum level of income from earnings a couple on </w:t>
      </w:r>
      <w:proofErr w:type="spellStart"/>
      <w:r w:rsidR="00421784">
        <w:t>JobSeeker</w:t>
      </w:r>
      <w:proofErr w:type="spellEnd"/>
      <w:r w:rsidR="00421784">
        <w:t xml:space="preserve"> payment can earn annually before they receive no payment (the cut-out point) is $68,856.67.</w:t>
      </w:r>
    </w:p>
  </w:footnote>
  <w:footnote w:id="237">
    <w:p w14:paraId="0F077BB5" w14:textId="2E965BB4"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Napthine</w:t>
      </w:r>
      <w:r w:rsidR="00FC0FA0">
        <w:rPr>
          <w:rFonts w:cstheme="minorHAnsi"/>
        </w:rPr>
        <w:t xml:space="preserve"> et al</w:t>
      </w:r>
      <w:r w:rsidR="0060373B">
        <w:rPr>
          <w:rFonts w:cstheme="minorHAnsi"/>
        </w:rPr>
        <w:t>,</w:t>
      </w:r>
      <w:r w:rsidR="008D1B3A">
        <w:rPr>
          <w:rFonts w:cstheme="minorHAnsi"/>
        </w:rPr>
        <w:t xml:space="preserve"> </w:t>
      </w:r>
      <w:r w:rsidR="008D1B3A">
        <w:rPr>
          <w:rFonts w:cstheme="minorHAnsi"/>
          <w:i/>
        </w:rPr>
        <w:t>Napthine</w:t>
      </w:r>
      <w:r w:rsidRPr="00601877">
        <w:rPr>
          <w:rFonts w:cstheme="minorHAnsi"/>
        </w:rPr>
        <w:t xml:space="preserve"> </w:t>
      </w:r>
      <w:r w:rsidRPr="00CD1929">
        <w:rPr>
          <w:rFonts w:cstheme="minorHAnsi"/>
          <w:i/>
        </w:rPr>
        <w:t>Review</w:t>
      </w:r>
      <w:r w:rsidRPr="00601877">
        <w:rPr>
          <w:rFonts w:cstheme="minorHAnsi"/>
        </w:rPr>
        <w:t>, 24</w:t>
      </w:r>
      <w:r w:rsidR="00BE0E86">
        <w:rPr>
          <w:rFonts w:cstheme="minorHAnsi"/>
        </w:rPr>
        <w:t>.</w:t>
      </w:r>
    </w:p>
  </w:footnote>
  <w:footnote w:id="238">
    <w:p w14:paraId="2D21762B" w14:textId="5948C3A8"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w:t>
      </w:r>
      <w:r w:rsidR="008D1B3A" w:rsidRPr="00601877">
        <w:rPr>
          <w:rFonts w:cstheme="minorHAnsi"/>
        </w:rPr>
        <w:t>Napthine</w:t>
      </w:r>
      <w:r w:rsidR="00FC0FA0">
        <w:rPr>
          <w:rFonts w:cstheme="minorHAnsi"/>
        </w:rPr>
        <w:t xml:space="preserve"> et al</w:t>
      </w:r>
      <w:r w:rsidR="0060373B">
        <w:rPr>
          <w:rFonts w:cstheme="minorHAnsi"/>
        </w:rPr>
        <w:t>,</w:t>
      </w:r>
      <w:r w:rsidR="008D1B3A">
        <w:rPr>
          <w:rFonts w:cstheme="minorHAnsi"/>
        </w:rPr>
        <w:t xml:space="preserve"> </w:t>
      </w:r>
      <w:r w:rsidR="008D1B3A">
        <w:rPr>
          <w:rFonts w:cstheme="minorHAnsi"/>
          <w:i/>
          <w:iCs/>
        </w:rPr>
        <w:t>Napthine</w:t>
      </w:r>
      <w:r w:rsidR="008D1B3A" w:rsidRPr="00601877">
        <w:rPr>
          <w:rFonts w:cstheme="minorHAnsi"/>
        </w:rPr>
        <w:t xml:space="preserve"> </w:t>
      </w:r>
      <w:r w:rsidRPr="00737F7B" w:rsidDel="008D1B3A">
        <w:rPr>
          <w:rFonts w:cstheme="minorHAnsi"/>
          <w:i/>
        </w:rPr>
        <w:t>Review</w:t>
      </w:r>
      <w:r w:rsidR="00BE0E86">
        <w:rPr>
          <w:rFonts w:cstheme="minorHAnsi"/>
        </w:rPr>
        <w:t>,</w:t>
      </w:r>
      <w:r w:rsidRPr="00601877">
        <w:rPr>
          <w:rFonts w:cstheme="minorHAnsi"/>
        </w:rPr>
        <w:t xml:space="preserve"> 46.</w:t>
      </w:r>
    </w:p>
  </w:footnote>
  <w:footnote w:id="239">
    <w:p w14:paraId="77BF17EC" w14:textId="1F5400BF"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w:t>
      </w:r>
      <w:r w:rsidR="00A86306" w:rsidRPr="00A86306">
        <w:rPr>
          <w:rFonts w:cstheme="minorHAnsi"/>
        </w:rPr>
        <w:t xml:space="preserve">Department of Social Services, </w:t>
      </w:r>
      <w:r w:rsidR="00A86306" w:rsidRPr="00A86306">
        <w:rPr>
          <w:rFonts w:cstheme="minorHAnsi"/>
          <w:i/>
          <w:iCs/>
        </w:rPr>
        <w:t>Interim Economic Inclusion Advisory Committee 2023</w:t>
      </w:r>
      <w:r w:rsidR="001C6FEA">
        <w:rPr>
          <w:rFonts w:ascii="Symbol" w:eastAsia="Symbol" w:hAnsi="Symbol" w:cs="Symbol"/>
        </w:rPr>
        <w:t>-</w:t>
      </w:r>
      <w:r w:rsidR="00A86306" w:rsidRPr="00A86306">
        <w:rPr>
          <w:rFonts w:cstheme="minorHAnsi"/>
          <w:i/>
          <w:iCs/>
        </w:rPr>
        <w:t>24 Report</w:t>
      </w:r>
      <w:r w:rsidR="00A86306" w:rsidRPr="00A86306">
        <w:rPr>
          <w:rFonts w:cstheme="minorHAnsi"/>
          <w:i/>
        </w:rPr>
        <w:t xml:space="preserve"> </w:t>
      </w:r>
      <w:r w:rsidR="00A86306" w:rsidRPr="00A86306">
        <w:rPr>
          <w:rFonts w:cstheme="minorHAnsi"/>
          <w:iCs/>
        </w:rPr>
        <w:t>(Canberra, 2023)</w:t>
      </w:r>
      <w:r w:rsidR="008D1B3A">
        <w:rPr>
          <w:rFonts w:cstheme="minorHAnsi"/>
          <w:iCs/>
        </w:rPr>
        <w:t>,</w:t>
      </w:r>
      <w:r w:rsidR="00A86306" w:rsidRPr="00A86306">
        <w:rPr>
          <w:rFonts w:cstheme="minorHAnsi"/>
          <w:iCs/>
        </w:rPr>
        <w:t xml:space="preserve"> </w:t>
      </w:r>
      <w:hyperlink r:id="rId131" w:history="1">
        <w:r w:rsidR="00332F22" w:rsidRPr="00811871">
          <w:rPr>
            <w:rStyle w:val="Hyperlink"/>
            <w:rFonts w:cstheme="minorHAnsi"/>
            <w:iCs/>
          </w:rPr>
          <w:t>www.dss.gov.au/groups-councils-and-committees-economic-inclusion-advisory-committee/interim-economic-inclusion-advisory-committee-2023-24-report</w:t>
        </w:r>
      </w:hyperlink>
      <w:r w:rsidR="00332F22">
        <w:rPr>
          <w:rFonts w:cstheme="minorHAnsi"/>
          <w:iCs/>
        </w:rPr>
        <w:t xml:space="preserve">. </w:t>
      </w:r>
    </w:p>
  </w:footnote>
  <w:footnote w:id="240">
    <w:p w14:paraId="5B3F2DF0" w14:textId="78B70771" w:rsidR="00792DFD" w:rsidRDefault="00792DFD">
      <w:pPr>
        <w:pStyle w:val="FootnoteText"/>
      </w:pPr>
      <w:r>
        <w:rPr>
          <w:rStyle w:val="FootnoteReference"/>
        </w:rPr>
        <w:footnoteRef/>
      </w:r>
      <w:r>
        <w:t xml:space="preserve"> Including maximum Commonwealth Rent Assistance</w:t>
      </w:r>
    </w:p>
  </w:footnote>
  <w:footnote w:id="241">
    <w:p w14:paraId="7905C3CC" w14:textId="74AD6BD0"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w:t>
      </w:r>
      <w:r w:rsidR="00EC672E" w:rsidRPr="00EC672E">
        <w:t xml:space="preserve">Services Australia, </w:t>
      </w:r>
      <w:r w:rsidR="00EF06E0" w:rsidRPr="0087635A">
        <w:t>“</w:t>
      </w:r>
      <w:r w:rsidR="00EF06E0" w:rsidRPr="0065648F">
        <w:t xml:space="preserve">Income test for </w:t>
      </w:r>
      <w:proofErr w:type="spellStart"/>
      <w:r w:rsidR="00EF06E0" w:rsidRPr="0065648F">
        <w:t>JobSeeker</w:t>
      </w:r>
      <w:proofErr w:type="spellEnd"/>
      <w:r w:rsidR="00EF06E0" w:rsidRPr="0065648F">
        <w:t xml:space="preserve"> Payment</w:t>
      </w:r>
      <w:r w:rsidR="0087635A">
        <w:t>,</w:t>
      </w:r>
      <w:r w:rsidR="00EF06E0" w:rsidRPr="0065648F">
        <w:t>”</w:t>
      </w:r>
      <w:r w:rsidR="0087635A">
        <w:t xml:space="preserve"> revised 28 September 2023, </w:t>
      </w:r>
      <w:hyperlink r:id="rId132" w:history="1">
        <w:r w:rsidR="00332F22" w:rsidRPr="00811871">
          <w:rPr>
            <w:rStyle w:val="Hyperlink"/>
          </w:rPr>
          <w:t>www.servicesaustralia.gov.au/income-test-for-jobseeker-payment</w:t>
        </w:r>
      </w:hyperlink>
      <w:r w:rsidR="00332F22">
        <w:t xml:space="preserve">. </w:t>
      </w:r>
      <w:r w:rsidR="006B6FD1">
        <w:t xml:space="preserve"> </w:t>
      </w:r>
    </w:p>
  </w:footnote>
  <w:footnote w:id="242">
    <w:p w14:paraId="6D356E1B" w14:textId="3C0DEEE4"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w:t>
      </w:r>
      <w:r w:rsidR="00C27A35" w:rsidRPr="00C27A35">
        <w:t xml:space="preserve">Services Australia, </w:t>
      </w:r>
      <w:r w:rsidR="0087635A">
        <w:t>“</w:t>
      </w:r>
      <w:r w:rsidR="00C27A35" w:rsidRPr="0065648F">
        <w:t>Income Bank</w:t>
      </w:r>
      <w:r w:rsidR="0087635A">
        <w:t>,”</w:t>
      </w:r>
      <w:r w:rsidR="00C27A35" w:rsidRPr="00C27A35">
        <w:rPr>
          <w:i/>
          <w:iCs/>
        </w:rPr>
        <w:t xml:space="preserve"> </w:t>
      </w:r>
      <w:r w:rsidR="0087635A">
        <w:t xml:space="preserve">revised 10 December </w:t>
      </w:r>
      <w:r w:rsidR="00C27A35" w:rsidRPr="00C27A35">
        <w:t xml:space="preserve">2021, </w:t>
      </w:r>
      <w:hyperlink r:id="rId133" w:history="1">
        <w:r w:rsidR="002072E2" w:rsidRPr="00811871">
          <w:rPr>
            <w:rStyle w:val="Hyperlink"/>
          </w:rPr>
          <w:t>www.servicesaustralia.gov.au/income-bank</w:t>
        </w:r>
      </w:hyperlink>
      <w:r w:rsidR="002072E2">
        <w:t xml:space="preserve">. </w:t>
      </w:r>
    </w:p>
  </w:footnote>
  <w:footnote w:id="243">
    <w:p w14:paraId="35CDEB89" w14:textId="34637F51" w:rsidR="00D27626" w:rsidRPr="00D731B0" w:rsidRDefault="00D27626" w:rsidP="00D27626">
      <w:pPr>
        <w:pStyle w:val="FootnoteText"/>
        <w:rPr>
          <w:rFonts w:cstheme="minorHAnsi"/>
        </w:rPr>
      </w:pPr>
      <w:r w:rsidRPr="00D731B0">
        <w:rPr>
          <w:rStyle w:val="FootnoteReference"/>
          <w:rFonts w:cstheme="minorHAnsi"/>
        </w:rPr>
        <w:footnoteRef/>
      </w:r>
      <w:r w:rsidRPr="00D731B0">
        <w:rPr>
          <w:rFonts w:cstheme="minorHAnsi"/>
        </w:rPr>
        <w:t xml:space="preserve"> </w:t>
      </w:r>
      <w:r w:rsidR="006B41D1" w:rsidRPr="00D731B0">
        <w:rPr>
          <w:rFonts w:cstheme="minorHAnsi"/>
        </w:rPr>
        <w:t>Department of Social Services (DSS)</w:t>
      </w:r>
      <w:r w:rsidR="00F75B39" w:rsidRPr="00D731B0">
        <w:rPr>
          <w:rFonts w:cstheme="minorHAnsi"/>
        </w:rPr>
        <w:t>,</w:t>
      </w:r>
      <w:r w:rsidR="006B41D1" w:rsidRPr="00D731B0">
        <w:rPr>
          <w:rFonts w:cstheme="minorHAnsi"/>
        </w:rPr>
        <w:t xml:space="preserve"> </w:t>
      </w:r>
      <w:r w:rsidR="009E3F28" w:rsidRPr="00D731B0">
        <w:rPr>
          <w:rFonts w:cstheme="minorHAnsi"/>
          <w:i/>
        </w:rPr>
        <w:t>Student Income Bank Usage</w:t>
      </w:r>
      <w:r w:rsidR="006B41D1" w:rsidRPr="00D731B0">
        <w:rPr>
          <w:rFonts w:cstheme="minorHAnsi"/>
        </w:rPr>
        <w:t xml:space="preserve"> [unpublished data], </w:t>
      </w:r>
      <w:r w:rsidR="0087635A" w:rsidRPr="00D731B0">
        <w:rPr>
          <w:rFonts w:cstheme="minorHAnsi"/>
        </w:rPr>
        <w:t>(Canberra:</w:t>
      </w:r>
      <w:r w:rsidR="006B41D1" w:rsidRPr="00D731B0" w:rsidDel="0087635A">
        <w:rPr>
          <w:rFonts w:cstheme="minorHAnsi"/>
        </w:rPr>
        <w:t xml:space="preserve"> </w:t>
      </w:r>
      <w:r w:rsidR="006B41D1" w:rsidRPr="00D731B0">
        <w:rPr>
          <w:rFonts w:cstheme="minorHAnsi"/>
        </w:rPr>
        <w:t>2023</w:t>
      </w:r>
      <w:r w:rsidR="0087635A" w:rsidRPr="00D731B0">
        <w:rPr>
          <w:rFonts w:cstheme="minorHAnsi"/>
        </w:rPr>
        <w:t>).</w:t>
      </w:r>
    </w:p>
  </w:footnote>
  <w:footnote w:id="244">
    <w:p w14:paraId="37D1A5A3" w14:textId="7526A8C1" w:rsidR="00D27626" w:rsidRPr="00B40765" w:rsidRDefault="00D27626" w:rsidP="00D27626">
      <w:pPr>
        <w:pStyle w:val="FootnoteText"/>
        <w:rPr>
          <w:rFonts w:cstheme="minorHAnsi"/>
        </w:rPr>
      </w:pPr>
      <w:r w:rsidRPr="00D731B0">
        <w:rPr>
          <w:rStyle w:val="FootnoteReference"/>
          <w:rFonts w:cstheme="minorHAnsi"/>
        </w:rPr>
        <w:footnoteRef/>
      </w:r>
      <w:r w:rsidRPr="00D731B0">
        <w:rPr>
          <w:rFonts w:cstheme="minorHAnsi"/>
        </w:rPr>
        <w:t xml:space="preserve"> </w:t>
      </w:r>
      <w:r w:rsidR="001127BD" w:rsidRPr="00D731B0">
        <w:rPr>
          <w:rFonts w:cstheme="minorHAnsi"/>
        </w:rPr>
        <w:t>Quality Indicators for Learning and Teaching</w:t>
      </w:r>
      <w:r w:rsidR="006B6FD1" w:rsidRPr="00D731B0">
        <w:rPr>
          <w:rFonts w:cstheme="minorHAnsi"/>
        </w:rPr>
        <w:t xml:space="preserve"> (QILT), </w:t>
      </w:r>
      <w:r w:rsidR="006B6FD1" w:rsidRPr="00D731B0">
        <w:rPr>
          <w:rFonts w:cstheme="minorHAnsi"/>
          <w:i/>
        </w:rPr>
        <w:t>2022 Student Experience Survey National Report</w:t>
      </w:r>
      <w:r w:rsidR="00C01D5D" w:rsidRPr="008C4411">
        <w:rPr>
          <w:rFonts w:cstheme="minorHAnsi"/>
          <w:i/>
        </w:rPr>
        <w:t xml:space="preserve"> </w:t>
      </w:r>
      <w:r w:rsidR="00C01D5D" w:rsidRPr="008C4411">
        <w:rPr>
          <w:rFonts w:cstheme="minorHAnsi"/>
          <w:iCs/>
        </w:rPr>
        <w:t>[unpublished data]</w:t>
      </w:r>
      <w:r w:rsidR="006B6FD1" w:rsidRPr="00D731B0">
        <w:rPr>
          <w:rFonts w:cstheme="minorHAnsi"/>
        </w:rPr>
        <w:t>, (Canberra: QILT, 2023)</w:t>
      </w:r>
      <w:r w:rsidR="00C01D5D" w:rsidRPr="008C4411">
        <w:rPr>
          <w:rFonts w:cstheme="minorHAnsi"/>
        </w:rPr>
        <w:t>.</w:t>
      </w:r>
    </w:p>
  </w:footnote>
  <w:footnote w:id="245">
    <w:p w14:paraId="32C7325C" w14:textId="6A25E382" w:rsidR="00FE6526" w:rsidRPr="00B40765" w:rsidRDefault="00FE6526">
      <w:pPr>
        <w:pStyle w:val="FootnoteText"/>
      </w:pPr>
      <w:r w:rsidRPr="00B40765">
        <w:rPr>
          <w:rStyle w:val="FootnoteReference"/>
        </w:rPr>
        <w:footnoteRef/>
      </w:r>
      <w:r w:rsidRPr="00B40765">
        <w:t xml:space="preserve"> Department of Education</w:t>
      </w:r>
      <w:r w:rsidR="007548C6" w:rsidRPr="00B40765">
        <w:t xml:space="preserve">, </w:t>
      </w:r>
      <w:r w:rsidR="007548C6" w:rsidRPr="00B40765">
        <w:rPr>
          <w:i/>
          <w:iCs/>
        </w:rPr>
        <w:t>Higher Education Statistics – Student Data</w:t>
      </w:r>
      <w:r w:rsidR="007548C6" w:rsidRPr="00B40765">
        <w:t xml:space="preserve"> [unpublished data]</w:t>
      </w:r>
      <w:r w:rsidR="00380AD0" w:rsidRPr="00B40765">
        <w:t>.</w:t>
      </w:r>
    </w:p>
  </w:footnote>
  <w:footnote w:id="246">
    <w:p w14:paraId="00CC20E8" w14:textId="0044452C" w:rsidR="00D27626" w:rsidRPr="00601877" w:rsidRDefault="00D27626" w:rsidP="00D27626">
      <w:pPr>
        <w:pStyle w:val="FootnoteText"/>
        <w:rPr>
          <w:rFonts w:cstheme="minorHAnsi"/>
        </w:rPr>
      </w:pPr>
      <w:r w:rsidRPr="00B40765">
        <w:rPr>
          <w:rStyle w:val="FootnoteReference"/>
          <w:rFonts w:cstheme="minorHAnsi"/>
        </w:rPr>
        <w:footnoteRef/>
      </w:r>
      <w:r w:rsidRPr="00B40765">
        <w:rPr>
          <w:rFonts w:cstheme="minorHAnsi"/>
        </w:rPr>
        <w:t xml:space="preserve"> </w:t>
      </w:r>
      <w:r w:rsidR="00453BDB" w:rsidRPr="00B40765">
        <w:rPr>
          <w:rFonts w:cstheme="minorHAnsi"/>
        </w:rPr>
        <w:t xml:space="preserve">Department of Education, </w:t>
      </w:r>
      <w:r w:rsidR="00453BDB" w:rsidRPr="00B40765">
        <w:rPr>
          <w:rFonts w:cstheme="minorHAnsi"/>
          <w:i/>
        </w:rPr>
        <w:t xml:space="preserve">Higher Education Statistics – Student Data </w:t>
      </w:r>
      <w:r w:rsidR="00380AD0" w:rsidRPr="00B40765">
        <w:rPr>
          <w:rFonts w:cstheme="minorHAnsi"/>
          <w:i/>
        </w:rPr>
        <w:t xml:space="preserve">– </w:t>
      </w:r>
      <w:proofErr w:type="gramStart"/>
      <w:r w:rsidR="009E3F28" w:rsidRPr="00B40765">
        <w:rPr>
          <w:rFonts w:cstheme="minorHAnsi"/>
          <w:i/>
        </w:rPr>
        <w:t>4 year</w:t>
      </w:r>
      <w:proofErr w:type="gramEnd"/>
      <w:r w:rsidR="009E3F28" w:rsidRPr="00B40765">
        <w:rPr>
          <w:rFonts w:cstheme="minorHAnsi"/>
          <w:i/>
        </w:rPr>
        <w:t xml:space="preserve"> cohort completion rates 2019</w:t>
      </w:r>
      <w:r w:rsidR="001C6FEA" w:rsidRPr="00B40765">
        <w:rPr>
          <w:rFonts w:ascii="Symbol" w:eastAsia="Symbol" w:hAnsi="Symbol" w:cs="Symbol"/>
        </w:rPr>
        <w:t>-</w:t>
      </w:r>
      <w:r w:rsidR="009E3F28" w:rsidRPr="00B40765">
        <w:rPr>
          <w:rFonts w:cstheme="minorHAnsi"/>
          <w:i/>
        </w:rPr>
        <w:t xml:space="preserve">2022 </w:t>
      </w:r>
      <w:r w:rsidR="009E3F28" w:rsidRPr="00B40765">
        <w:rPr>
          <w:rFonts w:cstheme="minorHAnsi"/>
          <w:iCs/>
        </w:rPr>
        <w:t>[unpublished</w:t>
      </w:r>
      <w:r w:rsidR="009E3F28">
        <w:rPr>
          <w:rFonts w:cstheme="minorHAnsi"/>
          <w:iCs/>
        </w:rPr>
        <w:t xml:space="preserve"> data], (Canberra: 2023).</w:t>
      </w:r>
    </w:p>
  </w:footnote>
  <w:footnote w:id="247">
    <w:p w14:paraId="32170AB8" w14:textId="6B462FCE"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w:t>
      </w:r>
      <w:r w:rsidR="007A2378" w:rsidRPr="00580DFC">
        <w:rPr>
          <w:rFonts w:cstheme="minorHAnsi"/>
        </w:rPr>
        <w:t>Department of Education</w:t>
      </w:r>
      <w:r w:rsidR="007A2378">
        <w:rPr>
          <w:rFonts w:cstheme="minorHAnsi"/>
        </w:rPr>
        <w:t xml:space="preserve">, </w:t>
      </w:r>
      <w:r w:rsidR="007A2378" w:rsidRPr="00A26A20">
        <w:rPr>
          <w:rFonts w:cstheme="minorHAnsi"/>
          <w:i/>
        </w:rPr>
        <w:t>Higher Education Statistics – Student</w:t>
      </w:r>
      <w:r w:rsidR="007A2378">
        <w:rPr>
          <w:rFonts w:cstheme="minorHAnsi"/>
          <w:i/>
        </w:rPr>
        <w:t xml:space="preserve"> Data – Age group of full-time and part-time domestic </w:t>
      </w:r>
      <w:proofErr w:type="gramStart"/>
      <w:r w:rsidR="007A2378">
        <w:rPr>
          <w:rFonts w:cstheme="minorHAnsi"/>
          <w:i/>
        </w:rPr>
        <w:t>Bachelor’s</w:t>
      </w:r>
      <w:proofErr w:type="gramEnd"/>
      <w:r w:rsidR="007A2378">
        <w:rPr>
          <w:rFonts w:cstheme="minorHAnsi"/>
          <w:i/>
        </w:rPr>
        <w:t xml:space="preserve"> students in 2022 </w:t>
      </w:r>
      <w:r w:rsidR="007A2378">
        <w:rPr>
          <w:rFonts w:cstheme="minorHAnsi"/>
          <w:iCs/>
        </w:rPr>
        <w:t xml:space="preserve">[unpublished data], (Canberra: 2023). </w:t>
      </w:r>
      <w:r w:rsidRPr="00601877">
        <w:rPr>
          <w:rFonts w:cstheme="minorHAnsi"/>
        </w:rPr>
        <w:t xml:space="preserve"> </w:t>
      </w:r>
    </w:p>
  </w:footnote>
  <w:footnote w:id="248">
    <w:p w14:paraId="390315A7" w14:textId="78ADF718" w:rsidR="00D27626" w:rsidRPr="00B40765" w:rsidRDefault="00D27626" w:rsidP="00D27626">
      <w:pPr>
        <w:pStyle w:val="FootnoteText"/>
        <w:rPr>
          <w:rFonts w:cstheme="minorHAnsi"/>
        </w:rPr>
      </w:pPr>
      <w:r w:rsidRPr="00B40765">
        <w:rPr>
          <w:rStyle w:val="FootnoteReference"/>
          <w:rFonts w:cstheme="minorHAnsi"/>
        </w:rPr>
        <w:footnoteRef/>
      </w:r>
      <w:r w:rsidR="0012663B" w:rsidRPr="00B40765">
        <w:rPr>
          <w:rFonts w:cstheme="minorHAnsi"/>
        </w:rPr>
        <w:t xml:space="preserve"> </w:t>
      </w:r>
      <w:r w:rsidR="00A069CC" w:rsidRPr="00B40765">
        <w:rPr>
          <w:rFonts w:cstheme="minorHAnsi"/>
        </w:rPr>
        <w:t>QILT</w:t>
      </w:r>
      <w:r w:rsidR="0012663B" w:rsidRPr="00B40765">
        <w:rPr>
          <w:rFonts w:cstheme="minorHAnsi"/>
        </w:rPr>
        <w:t>,</w:t>
      </w:r>
      <w:r w:rsidR="0012663B" w:rsidRPr="00B40765">
        <w:rPr>
          <w:rFonts w:cstheme="minorHAnsi"/>
          <w:i/>
        </w:rPr>
        <w:t xml:space="preserve"> 2022 Student Experience Survey</w:t>
      </w:r>
      <w:r w:rsidR="0012663B" w:rsidRPr="00B40765">
        <w:rPr>
          <w:rFonts w:cstheme="minorHAnsi"/>
        </w:rPr>
        <w:t xml:space="preserve"> [</w:t>
      </w:r>
      <w:r w:rsidR="00BD04C0" w:rsidRPr="008C4411">
        <w:rPr>
          <w:rFonts w:cstheme="minorHAnsi"/>
        </w:rPr>
        <w:t xml:space="preserve">unpublished </w:t>
      </w:r>
      <w:r w:rsidR="0012663B" w:rsidRPr="00B40765">
        <w:rPr>
          <w:rFonts w:cstheme="minorHAnsi"/>
        </w:rPr>
        <w:t>data]</w:t>
      </w:r>
      <w:r w:rsidR="00BD04C0" w:rsidRPr="00B40765">
        <w:rPr>
          <w:rFonts w:cstheme="minorHAnsi"/>
        </w:rPr>
        <w:t>.</w:t>
      </w:r>
    </w:p>
  </w:footnote>
  <w:footnote w:id="249">
    <w:p w14:paraId="466280B8" w14:textId="44ED3BCB" w:rsidR="00D27626" w:rsidRPr="00601877" w:rsidRDefault="00D27626" w:rsidP="00D27626">
      <w:pPr>
        <w:pStyle w:val="FootnoteText"/>
        <w:rPr>
          <w:rFonts w:cstheme="minorHAnsi"/>
        </w:rPr>
      </w:pPr>
      <w:r w:rsidRPr="00B40765">
        <w:rPr>
          <w:rStyle w:val="FootnoteReference"/>
          <w:rFonts w:cstheme="minorHAnsi"/>
        </w:rPr>
        <w:footnoteRef/>
      </w:r>
      <w:r w:rsidR="003F7225" w:rsidRPr="00B40765">
        <w:t>Department of Education</w:t>
      </w:r>
      <w:r w:rsidR="003F7225">
        <w:t xml:space="preserve">, </w:t>
      </w:r>
      <w:r w:rsidR="003F7225">
        <w:rPr>
          <w:i/>
          <w:iCs/>
        </w:rPr>
        <w:t>Higher Education Statistics – Student Data</w:t>
      </w:r>
      <w:r w:rsidR="005461A8">
        <w:t xml:space="preserve"> </w:t>
      </w:r>
      <w:r w:rsidR="003F7225">
        <w:t>[unpublished data]</w:t>
      </w:r>
      <w:r w:rsidR="00BD04C0">
        <w:t>.</w:t>
      </w:r>
    </w:p>
  </w:footnote>
  <w:footnote w:id="250">
    <w:p w14:paraId="4BF0FB4B" w14:textId="7D92830E"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John Halsey, </w:t>
      </w:r>
      <w:r w:rsidRPr="00601877">
        <w:rPr>
          <w:rFonts w:cstheme="minorHAnsi"/>
          <w:i/>
        </w:rPr>
        <w:t xml:space="preserve">Independent Review into Regional, Rural and Remote Education, </w:t>
      </w:r>
      <w:r w:rsidRPr="00601877">
        <w:rPr>
          <w:rFonts w:cstheme="minorHAnsi"/>
        </w:rPr>
        <w:t>(</w:t>
      </w:r>
      <w:r w:rsidR="006E23BB">
        <w:rPr>
          <w:rFonts w:cstheme="minorHAnsi"/>
        </w:rPr>
        <w:t xml:space="preserve">Canberra: </w:t>
      </w:r>
      <w:r w:rsidRPr="00601877">
        <w:rPr>
          <w:rFonts w:cstheme="minorHAnsi"/>
        </w:rPr>
        <w:t>Department of Education, 2018)</w:t>
      </w:r>
      <w:r w:rsidR="00303CAA">
        <w:rPr>
          <w:rFonts w:cstheme="minorHAnsi"/>
        </w:rPr>
        <w:t xml:space="preserve">, 4, </w:t>
      </w:r>
      <w:hyperlink r:id="rId134" w:history="1">
        <w:r w:rsidR="002072E2" w:rsidRPr="00811871">
          <w:rPr>
            <w:rStyle w:val="Hyperlink"/>
            <w:rFonts w:cstheme="minorHAnsi"/>
          </w:rPr>
          <w:t>www.education.gov.au/quality-schools-package/resources/independent-review-regional-rural-and-remote-education-final-report</w:t>
        </w:r>
      </w:hyperlink>
      <w:r w:rsidR="002072E2">
        <w:rPr>
          <w:rFonts w:cstheme="minorHAnsi"/>
        </w:rPr>
        <w:t xml:space="preserve">. </w:t>
      </w:r>
    </w:p>
  </w:footnote>
  <w:footnote w:id="251">
    <w:p w14:paraId="76E54E06" w14:textId="6185D13A"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w:t>
      </w:r>
      <w:r w:rsidR="00703764" w:rsidRPr="00703764">
        <w:rPr>
          <w:rFonts w:cstheme="minorHAnsi"/>
        </w:rPr>
        <w:t>Napthine</w:t>
      </w:r>
      <w:r w:rsidR="00FC0FA0">
        <w:rPr>
          <w:rFonts w:cstheme="minorHAnsi"/>
        </w:rPr>
        <w:t xml:space="preserve"> et al</w:t>
      </w:r>
      <w:r w:rsidR="0060373B">
        <w:rPr>
          <w:rFonts w:cstheme="minorHAnsi"/>
        </w:rPr>
        <w:t>,</w:t>
      </w:r>
      <w:r w:rsidR="00703764" w:rsidRPr="00703764">
        <w:rPr>
          <w:rFonts w:cstheme="minorHAnsi"/>
        </w:rPr>
        <w:t xml:space="preserve"> </w:t>
      </w:r>
      <w:r w:rsidR="00703764" w:rsidRPr="00703764">
        <w:rPr>
          <w:rFonts w:cstheme="minorHAnsi"/>
          <w:i/>
          <w:iCs/>
        </w:rPr>
        <w:t>Napthine Review</w:t>
      </w:r>
      <w:r w:rsidR="00303CAA">
        <w:rPr>
          <w:rFonts w:cstheme="minorHAnsi"/>
        </w:rPr>
        <w:t>, 11.</w:t>
      </w:r>
      <w:r w:rsidRPr="00601877">
        <w:rPr>
          <w:rFonts w:cstheme="minorHAnsi"/>
        </w:rPr>
        <w:t xml:space="preserve"> </w:t>
      </w:r>
    </w:p>
  </w:footnote>
  <w:footnote w:id="252">
    <w:p w14:paraId="55EF3DF4" w14:textId="65B88C5D" w:rsidR="00D27626" w:rsidRPr="00601877" w:rsidRDefault="00D27626" w:rsidP="00D27626">
      <w:pPr>
        <w:pStyle w:val="FootnoteText"/>
        <w:rPr>
          <w:rFonts w:cstheme="minorHAnsi"/>
        </w:rPr>
      </w:pPr>
      <w:r w:rsidRPr="00601877">
        <w:rPr>
          <w:rStyle w:val="FootnoteReference"/>
          <w:rFonts w:cstheme="minorHAnsi"/>
        </w:rPr>
        <w:footnoteRef/>
      </w:r>
      <w:r w:rsidRPr="00601877">
        <w:rPr>
          <w:rFonts w:cstheme="minorHAnsi"/>
        </w:rPr>
        <w:t xml:space="preserve"> </w:t>
      </w:r>
      <w:r w:rsidR="00703764">
        <w:rPr>
          <w:rStyle w:val="normaltextrun"/>
          <w:rFonts w:ascii="Calibri" w:hAnsi="Calibri" w:cs="Calibri"/>
          <w:color w:val="000000"/>
          <w:shd w:val="clear" w:color="auto" w:fill="FFFFFF"/>
        </w:rPr>
        <w:t>Napthine</w:t>
      </w:r>
      <w:r w:rsidR="00FC0FA0">
        <w:rPr>
          <w:rStyle w:val="normaltextrun"/>
          <w:rFonts w:ascii="Calibri" w:hAnsi="Calibri" w:cs="Calibri"/>
          <w:color w:val="000000"/>
          <w:shd w:val="clear" w:color="auto" w:fill="FFFFFF"/>
        </w:rPr>
        <w:t xml:space="preserve"> et al</w:t>
      </w:r>
      <w:r w:rsidR="0060373B">
        <w:rPr>
          <w:rStyle w:val="normaltextrun"/>
          <w:rFonts w:ascii="Calibri" w:hAnsi="Calibri" w:cs="Calibri"/>
          <w:color w:val="000000"/>
          <w:shd w:val="clear" w:color="auto" w:fill="FFFFFF"/>
        </w:rPr>
        <w:t>,</w:t>
      </w:r>
      <w:r w:rsidR="00703764">
        <w:rPr>
          <w:rStyle w:val="normaltextrun"/>
          <w:rFonts w:ascii="Calibri" w:hAnsi="Calibri" w:cs="Calibri"/>
          <w:color w:val="000000"/>
          <w:shd w:val="clear" w:color="auto" w:fill="FFFFFF"/>
        </w:rPr>
        <w:t xml:space="preserve"> </w:t>
      </w:r>
      <w:r w:rsidR="00703764">
        <w:rPr>
          <w:rStyle w:val="normaltextrun"/>
          <w:rFonts w:ascii="Calibri" w:hAnsi="Calibri" w:cs="Calibri"/>
          <w:i/>
          <w:iCs/>
          <w:color w:val="000000"/>
          <w:shd w:val="clear" w:color="auto" w:fill="FFFFFF"/>
        </w:rPr>
        <w:t>Napthine Review</w:t>
      </w:r>
      <w:r w:rsidR="00703764" w:rsidRPr="0065648F">
        <w:rPr>
          <w:rStyle w:val="normaltextrun"/>
          <w:rFonts w:ascii="Calibri" w:hAnsi="Calibri" w:cs="Calibri"/>
          <w:color w:val="000000"/>
          <w:shd w:val="clear" w:color="auto" w:fill="FFFFFF"/>
        </w:rPr>
        <w:t>,</w:t>
      </w:r>
      <w:r w:rsidR="00303CAA" w:rsidRPr="00703764">
        <w:rPr>
          <w:rFonts w:cstheme="minorHAnsi"/>
        </w:rPr>
        <w:t xml:space="preserve"> </w:t>
      </w:r>
      <w:r w:rsidR="00303CAA">
        <w:rPr>
          <w:rFonts w:cstheme="minorHAnsi"/>
        </w:rPr>
        <w:t>13.</w:t>
      </w:r>
    </w:p>
  </w:footnote>
  <w:footnote w:id="253">
    <w:p w14:paraId="6B6332D5" w14:textId="1C2DC7D0" w:rsidR="00E06C8E" w:rsidRPr="00601877" w:rsidRDefault="00E06C8E" w:rsidP="00E06C8E">
      <w:pPr>
        <w:pStyle w:val="FootnoteText"/>
        <w:rPr>
          <w:rFonts w:cstheme="minorHAnsi"/>
        </w:rPr>
      </w:pPr>
      <w:r w:rsidRPr="00B40765">
        <w:rPr>
          <w:rStyle w:val="FootnoteReference"/>
          <w:rFonts w:cstheme="minorHAnsi"/>
        </w:rPr>
        <w:footnoteRef/>
      </w:r>
      <w:r w:rsidRPr="00B40765" w:rsidDel="00392BF2">
        <w:rPr>
          <w:rFonts w:cstheme="minorHAnsi"/>
        </w:rPr>
        <w:t xml:space="preserve"> </w:t>
      </w:r>
      <w:r w:rsidRPr="008C4411">
        <w:rPr>
          <w:rFonts w:cstheme="minorHAnsi"/>
        </w:rPr>
        <w:t>8</w:t>
      </w:r>
      <w:r w:rsidR="001A549B" w:rsidRPr="008C4411">
        <w:rPr>
          <w:rFonts w:cstheme="minorHAnsi"/>
        </w:rPr>
        <w:t>0.9</w:t>
      </w:r>
      <w:r w:rsidRPr="008C4411">
        <w:rPr>
          <w:rFonts w:cstheme="minorHAnsi"/>
        </w:rPr>
        <w:t>%</w:t>
      </w:r>
      <w:r w:rsidRPr="00B40765">
        <w:rPr>
          <w:rFonts w:cstheme="minorHAnsi"/>
        </w:rPr>
        <w:t xml:space="preserve"> of domestic coursework students were Commonwealth supported in </w:t>
      </w:r>
      <w:r w:rsidR="001A549B" w:rsidRPr="00B40765">
        <w:rPr>
          <w:rFonts w:cstheme="minorHAnsi"/>
        </w:rPr>
        <w:t>2022</w:t>
      </w:r>
      <w:r w:rsidR="00262530" w:rsidRPr="00B40765">
        <w:rPr>
          <w:rFonts w:cstheme="minorHAnsi"/>
        </w:rPr>
        <w:t xml:space="preserve">. </w:t>
      </w:r>
      <w:r w:rsidR="001139F8" w:rsidRPr="00B40765">
        <w:rPr>
          <w:rFonts w:cstheme="minorHAnsi"/>
        </w:rPr>
        <w:t>Department of Education</w:t>
      </w:r>
      <w:r w:rsidR="001139F8" w:rsidRPr="00B40765">
        <w:rPr>
          <w:rFonts w:cstheme="minorHAnsi"/>
          <w:i/>
        </w:rPr>
        <w:t>, Higher Education Statistics – Student</w:t>
      </w:r>
      <w:r w:rsidR="001139F8" w:rsidRPr="001139F8">
        <w:rPr>
          <w:rFonts w:cstheme="minorHAnsi"/>
          <w:i/>
        </w:rPr>
        <w:t xml:space="preserve"> Data – </w:t>
      </w:r>
      <w:r w:rsidR="001139F8" w:rsidRPr="001139F8">
        <w:rPr>
          <w:rFonts w:cstheme="minorHAnsi"/>
          <w:i/>
          <w:iCs/>
        </w:rPr>
        <w:t>2022 Section 5 Liability status categories</w:t>
      </w:r>
      <w:r w:rsidR="00BD04C0">
        <w:rPr>
          <w:rFonts w:cstheme="minorHAnsi"/>
        </w:rPr>
        <w:t xml:space="preserve"> [data set].</w:t>
      </w:r>
    </w:p>
  </w:footnote>
  <w:footnote w:id="254">
    <w:p w14:paraId="699610BF" w14:textId="78BAB54E" w:rsidR="00A74AAD" w:rsidRPr="001A1948" w:rsidRDefault="00A74AAD">
      <w:pPr>
        <w:pStyle w:val="FootnoteText"/>
      </w:pPr>
      <w:r>
        <w:rPr>
          <w:rStyle w:val="FootnoteReference"/>
        </w:rPr>
        <w:footnoteRef/>
      </w:r>
      <w:r>
        <w:t xml:space="preserve"> </w:t>
      </w:r>
      <w:r w:rsidR="00D3376D" w:rsidRPr="00F87240">
        <w:t xml:space="preserve">Explanatory Memorandum, </w:t>
      </w:r>
      <w:r w:rsidR="001A1948" w:rsidRPr="00D3376D">
        <w:t>Higher Education Support Amendment (Job-Ready Graduates and Supporting Regional and Remote Students) Bill 2020</w:t>
      </w:r>
      <w:r w:rsidR="004607FD" w:rsidRPr="00F87240">
        <w:t xml:space="preserve">, </w:t>
      </w:r>
      <w:r w:rsidR="001A1948" w:rsidRPr="00D3376D">
        <w:t>(</w:t>
      </w:r>
      <w:proofErr w:type="spellStart"/>
      <w:r w:rsidR="001A1948" w:rsidRPr="00D3376D">
        <w:t>Cth</w:t>
      </w:r>
      <w:proofErr w:type="spellEnd"/>
      <w:r w:rsidR="001A1948" w:rsidRPr="00D3376D">
        <w:t>),</w:t>
      </w:r>
      <w:r w:rsidR="004607FD" w:rsidRPr="00F87240">
        <w:t xml:space="preserve"> 39, </w:t>
      </w:r>
      <w:hyperlink r:id="rId135" w:history="1">
        <w:r w:rsidR="009754BF" w:rsidRPr="00811871">
          <w:rPr>
            <w:rStyle w:val="Hyperlink"/>
          </w:rPr>
          <w:t>parlinfo.aph.gov.au/parlInfo/search/display/display.w3p;query=Id%3A%22legislation%2Fems%2Fr6584_ems_79c2b067-a1b7-4c5d-949a-73e246023baa%22</w:t>
        </w:r>
      </w:hyperlink>
      <w:r w:rsidR="009754BF">
        <w:t xml:space="preserve">. </w:t>
      </w:r>
    </w:p>
  </w:footnote>
  <w:footnote w:id="255">
    <w:p w14:paraId="7FCF6AB3" w14:textId="103FED89" w:rsidR="00E06C8E" w:rsidRPr="00601877" w:rsidRDefault="00E06C8E" w:rsidP="00E06C8E">
      <w:pPr>
        <w:pStyle w:val="FootnoteText"/>
        <w:rPr>
          <w:rFonts w:cstheme="minorHAnsi"/>
        </w:rPr>
      </w:pPr>
      <w:r w:rsidRPr="00601877">
        <w:rPr>
          <w:rStyle w:val="FootnoteReference"/>
          <w:rFonts w:cstheme="minorHAnsi"/>
        </w:rPr>
        <w:footnoteRef/>
      </w:r>
      <w:r w:rsidRPr="00601877">
        <w:rPr>
          <w:rFonts w:cstheme="minorHAnsi"/>
        </w:rPr>
        <w:t xml:space="preserve"> Yong, </w:t>
      </w:r>
      <w:proofErr w:type="spellStart"/>
      <w:r w:rsidRPr="00601877">
        <w:rPr>
          <w:rFonts w:cstheme="minorHAnsi"/>
        </w:rPr>
        <w:t>Coelli</w:t>
      </w:r>
      <w:proofErr w:type="spellEnd"/>
      <w:r w:rsidR="00853E21">
        <w:rPr>
          <w:rFonts w:cstheme="minorHAnsi"/>
        </w:rPr>
        <w:t xml:space="preserve"> and</w:t>
      </w:r>
      <w:r w:rsidRPr="00601877">
        <w:rPr>
          <w:rFonts w:cstheme="minorHAnsi"/>
        </w:rPr>
        <w:t xml:space="preserve"> </w:t>
      </w:r>
      <w:proofErr w:type="spellStart"/>
      <w:r w:rsidRPr="00601877">
        <w:rPr>
          <w:rFonts w:cstheme="minorHAnsi"/>
        </w:rPr>
        <w:t>Kabatek</w:t>
      </w:r>
      <w:proofErr w:type="spellEnd"/>
      <w:r w:rsidRPr="00601877">
        <w:rPr>
          <w:rFonts w:cstheme="minorHAnsi"/>
        </w:rPr>
        <w:t xml:space="preserve">, </w:t>
      </w:r>
      <w:r w:rsidRPr="0096494F">
        <w:rPr>
          <w:rFonts w:cstheme="minorHAnsi"/>
          <w:i/>
        </w:rPr>
        <w:t xml:space="preserve">University fees, </w:t>
      </w:r>
      <w:proofErr w:type="gramStart"/>
      <w:r w:rsidRPr="0096494F">
        <w:rPr>
          <w:rFonts w:cstheme="minorHAnsi"/>
          <w:i/>
        </w:rPr>
        <w:t>subsidies</w:t>
      </w:r>
      <w:proofErr w:type="gramEnd"/>
      <w:r w:rsidRPr="0096494F">
        <w:rPr>
          <w:rFonts w:cstheme="minorHAnsi"/>
          <w:i/>
        </w:rPr>
        <w:t xml:space="preserve"> and field of study</w:t>
      </w:r>
      <w:r w:rsidR="00CE6908">
        <w:rPr>
          <w:rFonts w:cstheme="minorHAnsi"/>
        </w:rPr>
        <w:t>,</w:t>
      </w:r>
      <w:r w:rsidRPr="00853E21">
        <w:rPr>
          <w:rFonts w:cstheme="minorHAnsi"/>
          <w:iCs/>
        </w:rPr>
        <w:t xml:space="preserve"> 3</w:t>
      </w:r>
      <w:r w:rsidR="00982440" w:rsidDel="00853E21">
        <w:rPr>
          <w:rFonts w:cstheme="minorHAnsi"/>
        </w:rPr>
        <w:t>.</w:t>
      </w:r>
    </w:p>
  </w:footnote>
  <w:footnote w:id="256">
    <w:p w14:paraId="533D40C6" w14:textId="37230B40" w:rsidR="00E06C8E" w:rsidRPr="00601877" w:rsidRDefault="00E06C8E" w:rsidP="00E06C8E">
      <w:pPr>
        <w:pStyle w:val="FootnoteText"/>
        <w:rPr>
          <w:rFonts w:cstheme="minorHAnsi"/>
        </w:rPr>
      </w:pPr>
      <w:r w:rsidRPr="00601877">
        <w:rPr>
          <w:rStyle w:val="FootnoteReference"/>
          <w:rFonts w:cstheme="minorHAnsi"/>
        </w:rPr>
        <w:footnoteRef/>
      </w:r>
      <w:r w:rsidRPr="00601877">
        <w:rPr>
          <w:rFonts w:cstheme="minorHAnsi"/>
        </w:rPr>
        <w:t xml:space="preserve"> </w:t>
      </w:r>
      <w:r w:rsidR="00803417" w:rsidRPr="00803417">
        <w:rPr>
          <w:rFonts w:cstheme="minorHAnsi"/>
        </w:rPr>
        <w:t xml:space="preserve">Productivity Commission, </w:t>
      </w:r>
      <w:r w:rsidR="00803417" w:rsidRPr="00601877">
        <w:rPr>
          <w:rFonts w:cstheme="minorHAnsi"/>
          <w:i/>
        </w:rPr>
        <w:t>5-year Productivity Inquiry</w:t>
      </w:r>
      <w:r w:rsidR="00803417" w:rsidRPr="00803417">
        <w:rPr>
          <w:rFonts w:cstheme="minorHAnsi"/>
          <w:i/>
          <w:iCs/>
        </w:rPr>
        <w:t xml:space="preserve">: From learning to growth, </w:t>
      </w:r>
      <w:r w:rsidR="00803417">
        <w:rPr>
          <w:rFonts w:cstheme="minorHAnsi"/>
        </w:rPr>
        <w:t>69</w:t>
      </w:r>
      <w:r w:rsidR="00803417" w:rsidRPr="00803417">
        <w:rPr>
          <w:rFonts w:cstheme="minorHAnsi"/>
        </w:rPr>
        <w:t>. </w:t>
      </w:r>
    </w:p>
  </w:footnote>
  <w:footnote w:id="257">
    <w:p w14:paraId="6FEACD8F" w14:textId="5B45032F" w:rsidR="00E06C8E" w:rsidRPr="00601877" w:rsidRDefault="00E06C8E" w:rsidP="00E06C8E">
      <w:pPr>
        <w:pStyle w:val="FootnoteText"/>
        <w:rPr>
          <w:rFonts w:cstheme="minorHAnsi"/>
        </w:rPr>
      </w:pPr>
      <w:r w:rsidRPr="00601877">
        <w:rPr>
          <w:rStyle w:val="FootnoteReference"/>
          <w:rFonts w:cstheme="minorHAnsi"/>
        </w:rPr>
        <w:footnoteRef/>
      </w:r>
      <w:r w:rsidRPr="00601877">
        <w:rPr>
          <w:rFonts w:cstheme="minorHAnsi"/>
        </w:rPr>
        <w:t xml:space="preserve"> Universities Australia, </w:t>
      </w:r>
      <w:r w:rsidR="00344044">
        <w:rPr>
          <w:rFonts w:cstheme="minorHAnsi"/>
          <w:i/>
          <w:iCs/>
        </w:rPr>
        <w:t xml:space="preserve">Submission to the Australian Universities Accord </w:t>
      </w:r>
      <w:r w:rsidRPr="00601877">
        <w:rPr>
          <w:rFonts w:cstheme="minorHAnsi"/>
          <w:i/>
        </w:rPr>
        <w:t>Priorities</w:t>
      </w:r>
      <w:r w:rsidRPr="00601877">
        <w:rPr>
          <w:rFonts w:cstheme="minorHAnsi"/>
        </w:rPr>
        <w:t>,</w:t>
      </w:r>
      <w:r w:rsidR="00803417">
        <w:rPr>
          <w:rFonts w:cstheme="minorHAnsi"/>
        </w:rPr>
        <w:t xml:space="preserve"> 2022</w:t>
      </w:r>
      <w:r w:rsidR="00344044">
        <w:rPr>
          <w:rFonts w:cstheme="minorHAnsi"/>
        </w:rPr>
        <w:t>,</w:t>
      </w:r>
      <w:r w:rsidRPr="00601877">
        <w:rPr>
          <w:rFonts w:cstheme="minorHAnsi"/>
        </w:rPr>
        <w:t xml:space="preserve"> 5,</w:t>
      </w:r>
      <w:r w:rsidR="009A07D5">
        <w:rPr>
          <w:rFonts w:cstheme="minorHAnsi"/>
        </w:rPr>
        <w:t xml:space="preserve"> </w:t>
      </w:r>
      <w:hyperlink r:id="rId136" w:history="1">
        <w:r w:rsidR="00EA40F9" w:rsidRPr="00811871">
          <w:rPr>
            <w:rStyle w:val="Hyperlink"/>
            <w:rFonts w:cstheme="minorHAnsi"/>
          </w:rPr>
          <w:t>universitiesaustralia.edu.au/wp-content/uploads/2022/12/UA22005-Accord-Submission-FA.pdf</w:t>
        </w:r>
      </w:hyperlink>
      <w:r w:rsidR="009A07D5">
        <w:rPr>
          <w:rFonts w:cstheme="minorHAnsi"/>
        </w:rPr>
        <w:t>;</w:t>
      </w:r>
      <w:r w:rsidRPr="00601877">
        <w:rPr>
          <w:rFonts w:cstheme="minorHAnsi"/>
        </w:rPr>
        <w:t xml:space="preserve"> Matthew </w:t>
      </w:r>
      <w:proofErr w:type="spellStart"/>
      <w:r w:rsidRPr="00601877">
        <w:rPr>
          <w:rFonts w:cstheme="minorHAnsi"/>
        </w:rPr>
        <w:t>Chingos</w:t>
      </w:r>
      <w:proofErr w:type="spellEnd"/>
      <w:r w:rsidRPr="00601877">
        <w:rPr>
          <w:rFonts w:cstheme="minorHAnsi"/>
        </w:rPr>
        <w:t xml:space="preserve"> and Susan Dynarski</w:t>
      </w:r>
      <w:r w:rsidR="009A07D5">
        <w:rPr>
          <w:rFonts w:cstheme="minorHAnsi"/>
        </w:rPr>
        <w:t>, “</w:t>
      </w:r>
      <w:r w:rsidRPr="00601877">
        <w:rPr>
          <w:rFonts w:cstheme="minorHAnsi"/>
        </w:rPr>
        <w:t>The International Final Four: Which Country Handles Student Debt Best?</w:t>
      </w:r>
      <w:r w:rsidR="009A07D5">
        <w:rPr>
          <w:rFonts w:cstheme="minorHAnsi"/>
        </w:rPr>
        <w:t>”</w:t>
      </w:r>
      <w:r w:rsidRPr="00601877">
        <w:rPr>
          <w:rFonts w:cstheme="minorHAnsi"/>
        </w:rPr>
        <w:t xml:space="preserve"> </w:t>
      </w:r>
      <w:r w:rsidRPr="00601877">
        <w:rPr>
          <w:rFonts w:cstheme="minorHAnsi"/>
          <w:i/>
        </w:rPr>
        <w:t xml:space="preserve">The New York </w:t>
      </w:r>
      <w:r w:rsidRPr="009533A0">
        <w:rPr>
          <w:rFonts w:cstheme="minorHAnsi"/>
          <w:i/>
        </w:rPr>
        <w:t>Times</w:t>
      </w:r>
      <w:r w:rsidRPr="00601877">
        <w:rPr>
          <w:rFonts w:cstheme="minorHAnsi"/>
        </w:rPr>
        <w:t>,</w:t>
      </w:r>
      <w:r w:rsidR="009A07D5">
        <w:rPr>
          <w:rFonts w:cstheme="minorHAnsi"/>
        </w:rPr>
        <w:t xml:space="preserve"> (2 April 2018),</w:t>
      </w:r>
      <w:r w:rsidRPr="00601877">
        <w:rPr>
          <w:rFonts w:cstheme="minorHAnsi"/>
        </w:rPr>
        <w:t xml:space="preserve"> </w:t>
      </w:r>
      <w:hyperlink r:id="rId137" w:history="1">
        <w:r w:rsidR="00C54018" w:rsidRPr="00811871">
          <w:rPr>
            <w:rStyle w:val="Hyperlink"/>
            <w:rFonts w:cstheme="minorHAnsi"/>
          </w:rPr>
          <w:t>www.nytimes.com/2018/04/02/upshot/an-international-final-four-which-country-handles-student-debt-best.html</w:t>
        </w:r>
      </w:hyperlink>
      <w:r w:rsidR="00C54018">
        <w:rPr>
          <w:rFonts w:cstheme="minorHAnsi"/>
        </w:rPr>
        <w:t xml:space="preserve">. </w:t>
      </w:r>
    </w:p>
  </w:footnote>
  <w:footnote w:id="258">
    <w:p w14:paraId="688A3401" w14:textId="01980702" w:rsidR="006E6C0C" w:rsidRDefault="006E6C0C" w:rsidP="006E6C0C">
      <w:pPr>
        <w:pStyle w:val="FootnoteText"/>
      </w:pPr>
      <w:r>
        <w:rPr>
          <w:rStyle w:val="FootnoteReference"/>
        </w:rPr>
        <w:footnoteRef/>
      </w:r>
      <w:r>
        <w:t xml:space="preserve"> </w:t>
      </w:r>
      <w:r w:rsidRPr="00264507">
        <w:t xml:space="preserve">Bruce Chapman, “The rationale for the Higher Education Contribution Scheme”, Australian Universities Review, (1996): 43, </w:t>
      </w:r>
      <w:hyperlink r:id="rId138" w:history="1">
        <w:r w:rsidR="00EE3B74" w:rsidRPr="00811871">
          <w:rPr>
            <w:rStyle w:val="Hyperlink"/>
          </w:rPr>
          <w:t>brucejchapman.com/wp-content/uploads/2018/12/The-rationale-for-the-HECS.pdf</w:t>
        </w:r>
      </w:hyperlink>
      <w:r w:rsidR="00EE3B74">
        <w:t xml:space="preserve">. </w:t>
      </w:r>
    </w:p>
  </w:footnote>
  <w:footnote w:id="259">
    <w:p w14:paraId="27D86327" w14:textId="40517E8A" w:rsidR="003952C3" w:rsidRDefault="003952C3">
      <w:pPr>
        <w:pStyle w:val="FootnoteText"/>
      </w:pPr>
      <w:r>
        <w:rPr>
          <w:rStyle w:val="FootnoteReference"/>
        </w:rPr>
        <w:footnoteRef/>
      </w:r>
      <w:r>
        <w:t xml:space="preserve"> </w:t>
      </w:r>
      <w:r w:rsidR="00563303">
        <w:t xml:space="preserve">Australian Government </w:t>
      </w:r>
      <w:r w:rsidR="00C33FEF">
        <w:t xml:space="preserve">Productivity Commission, </w:t>
      </w:r>
      <w:r w:rsidR="00563303" w:rsidRPr="00CA2D6C">
        <w:rPr>
          <w:i/>
        </w:rPr>
        <w:t>Shifting the Dial</w:t>
      </w:r>
      <w:r w:rsidR="00563303">
        <w:rPr>
          <w:i/>
          <w:iCs/>
        </w:rPr>
        <w:t>:</w:t>
      </w:r>
      <w:r w:rsidR="00563303" w:rsidRPr="00CA2D6C">
        <w:rPr>
          <w:i/>
        </w:rPr>
        <w:t xml:space="preserve"> 5 Year Productivity Review</w:t>
      </w:r>
      <w:r w:rsidR="00563303">
        <w:t>, Supporting Paper No. 7, (</w:t>
      </w:r>
      <w:r w:rsidR="00006DF5">
        <w:t xml:space="preserve">Canberra: </w:t>
      </w:r>
      <w:r w:rsidR="00563303">
        <w:t>2017)</w:t>
      </w:r>
      <w:r w:rsidR="00006DF5">
        <w:t>,</w:t>
      </w:r>
      <w:r w:rsidR="00563303">
        <w:t xml:space="preserve"> </w:t>
      </w:r>
      <w:r w:rsidR="00C33FEF">
        <w:t>68</w:t>
      </w:r>
      <w:r w:rsidR="00CA2D6C">
        <w:t xml:space="preserve">, </w:t>
      </w:r>
      <w:hyperlink r:id="rId139" w:history="1">
        <w:r w:rsidR="00FB5E2A" w:rsidRPr="00811871">
          <w:rPr>
            <w:rStyle w:val="Hyperlink"/>
          </w:rPr>
          <w:t>www.pc.gov.au/inquiries/completed/productivity-review/report/productivity-review.pdf</w:t>
        </w:r>
      </w:hyperlink>
      <w:r w:rsidR="00FB5E2A">
        <w:t xml:space="preserve">. </w:t>
      </w:r>
    </w:p>
  </w:footnote>
  <w:footnote w:id="260">
    <w:p w14:paraId="049B76E9" w14:textId="1170516C" w:rsidR="00C06D87" w:rsidRDefault="00C06D87" w:rsidP="00C06D87">
      <w:pPr>
        <w:pStyle w:val="FootnoteText"/>
      </w:pPr>
      <w:r>
        <w:rPr>
          <w:rStyle w:val="FootnoteReference"/>
        </w:rPr>
        <w:footnoteRef/>
      </w:r>
      <w:r>
        <w:t xml:space="preserve"> Australian Bureau of Statistics, </w:t>
      </w:r>
      <w:r>
        <w:rPr>
          <w:i/>
          <w:iCs/>
        </w:rPr>
        <w:t xml:space="preserve">Barriers and Incentives to Workforce Participation, Australia 2022–23 </w:t>
      </w:r>
      <w:r>
        <w:t xml:space="preserve">[data set], (Canberra: 2023), published 27 November 2023, </w:t>
      </w:r>
      <w:hyperlink r:id="rId140" w:history="1">
        <w:r>
          <w:rPr>
            <w:rStyle w:val="Hyperlink"/>
          </w:rPr>
          <w:t>www.abs.gov.au/statistics/labour/employment-and-unemployment/barriers-and-incentives-labour-force-participation-australia/latest-release</w:t>
        </w:r>
      </w:hyperlink>
    </w:p>
  </w:footnote>
  <w:footnote w:id="261">
    <w:p w14:paraId="282AF389" w14:textId="77777777" w:rsidR="00581488" w:rsidRDefault="00581488" w:rsidP="00581488">
      <w:pPr>
        <w:pStyle w:val="FootnoteText"/>
      </w:pPr>
      <w:r>
        <w:rPr>
          <w:rStyle w:val="FootnoteReference"/>
        </w:rPr>
        <w:footnoteRef/>
      </w:r>
      <w:r>
        <w:t xml:space="preserve"> Department of Education, Higher Education Loan Program Data [unpublished data], (Canberra: 2023).</w:t>
      </w:r>
    </w:p>
  </w:footnote>
  <w:footnote w:id="262">
    <w:p w14:paraId="1DDCDACA" w14:textId="1CF060A5" w:rsidR="00E06C8E" w:rsidRPr="00601877" w:rsidRDefault="00E06C8E" w:rsidP="00E06C8E">
      <w:pPr>
        <w:pStyle w:val="FootnoteText"/>
        <w:rPr>
          <w:rFonts w:cstheme="minorHAnsi"/>
        </w:rPr>
      </w:pPr>
      <w:r w:rsidRPr="00601877">
        <w:rPr>
          <w:rStyle w:val="FootnoteReference"/>
          <w:rFonts w:cstheme="minorHAnsi"/>
        </w:rPr>
        <w:footnoteRef/>
      </w:r>
      <w:r w:rsidRPr="00601877">
        <w:rPr>
          <w:rFonts w:cstheme="minorHAnsi"/>
        </w:rPr>
        <w:t xml:space="preserve"> Reserve Bank of Australia, </w:t>
      </w:r>
      <w:r w:rsidR="002561B6">
        <w:rPr>
          <w:rFonts w:cstheme="minorHAnsi"/>
        </w:rPr>
        <w:t>“</w:t>
      </w:r>
      <w:r w:rsidR="00133E2D" w:rsidRPr="002561B6">
        <w:rPr>
          <w:rFonts w:cstheme="minorHAnsi"/>
        </w:rPr>
        <w:t>Measures of Consumer Price Inflation</w:t>
      </w:r>
      <w:r w:rsidR="00FF671E">
        <w:rPr>
          <w:rFonts w:cstheme="minorHAnsi"/>
        </w:rPr>
        <w:t>,</w:t>
      </w:r>
      <w:r w:rsidR="002561B6">
        <w:rPr>
          <w:rFonts w:cstheme="minorHAnsi"/>
        </w:rPr>
        <w:t>”</w:t>
      </w:r>
      <w:r w:rsidRPr="00601877">
        <w:rPr>
          <w:rFonts w:cstheme="minorHAnsi"/>
        </w:rPr>
        <w:t xml:space="preserve"> </w:t>
      </w:r>
      <w:r w:rsidR="00316C6A">
        <w:rPr>
          <w:rFonts w:cstheme="minorHAnsi"/>
        </w:rPr>
        <w:t xml:space="preserve">Reserve Bank of Australia, revised 29 </w:t>
      </w:r>
      <w:r w:rsidR="00ED7CEC">
        <w:rPr>
          <w:rFonts w:cstheme="minorHAnsi"/>
        </w:rPr>
        <w:t>November</w:t>
      </w:r>
      <w:r w:rsidR="00ED7CEC" w:rsidRPr="00601877" w:rsidDel="00316C6A">
        <w:rPr>
          <w:rFonts w:cstheme="minorHAnsi"/>
        </w:rPr>
        <w:t xml:space="preserve"> </w:t>
      </w:r>
      <w:r w:rsidRPr="00601877">
        <w:rPr>
          <w:rFonts w:cstheme="minorHAnsi"/>
        </w:rPr>
        <w:t>2023</w:t>
      </w:r>
      <w:r w:rsidR="0059301F">
        <w:rPr>
          <w:rFonts w:cstheme="minorHAnsi"/>
        </w:rPr>
        <w:t xml:space="preserve">, </w:t>
      </w:r>
      <w:hyperlink r:id="rId141" w:history="1">
        <w:r w:rsidR="00EE3BA2" w:rsidRPr="00811871">
          <w:rPr>
            <w:rStyle w:val="Hyperlink"/>
            <w:rFonts w:cstheme="minorHAnsi"/>
          </w:rPr>
          <w:t>www.rba.gov.au/inflation/measures-cpi.html</w:t>
        </w:r>
      </w:hyperlink>
      <w:r w:rsidR="00EE3BA2">
        <w:rPr>
          <w:rFonts w:cstheme="minorHAnsi"/>
        </w:rPr>
        <w:t xml:space="preserve">. </w:t>
      </w:r>
    </w:p>
  </w:footnote>
  <w:footnote w:id="263">
    <w:p w14:paraId="1E85E31D" w14:textId="3E7EB710" w:rsidR="00133987" w:rsidRDefault="00133987">
      <w:pPr>
        <w:pStyle w:val="FootnoteText"/>
      </w:pPr>
      <w:r>
        <w:rPr>
          <w:rStyle w:val="FootnoteReference"/>
        </w:rPr>
        <w:footnoteRef/>
      </w:r>
      <w:r>
        <w:t xml:space="preserve"> </w:t>
      </w:r>
      <w:r w:rsidR="00316C6A">
        <w:rPr>
          <w:rStyle w:val="normaltextrun"/>
          <w:rFonts w:ascii="Calibri" w:hAnsi="Calibri" w:cs="Calibri"/>
          <w:color w:val="000000"/>
          <w:shd w:val="clear" w:color="auto" w:fill="FFFFFF"/>
        </w:rPr>
        <w:t>Department of Education</w:t>
      </w:r>
      <w:r w:rsidR="00316C6A">
        <w:rPr>
          <w:rStyle w:val="normaltextrun"/>
          <w:rFonts w:ascii="Calibri" w:hAnsi="Calibri" w:cs="Calibri"/>
          <w:i/>
          <w:color w:val="000000"/>
          <w:shd w:val="clear" w:color="auto" w:fill="FFFFFF"/>
        </w:rPr>
        <w:t xml:space="preserve">, Higher Education </w:t>
      </w:r>
      <w:r w:rsidR="00316C6A">
        <w:rPr>
          <w:rStyle w:val="normaltextrun"/>
          <w:rFonts w:ascii="Calibri" w:hAnsi="Calibri" w:cs="Calibri"/>
          <w:i/>
          <w:iCs/>
          <w:color w:val="000000"/>
          <w:shd w:val="clear" w:color="auto" w:fill="FFFFFF"/>
        </w:rPr>
        <w:t xml:space="preserve">Statistics – Student Data – 2022 </w:t>
      </w:r>
      <w:r w:rsidR="00316C6A">
        <w:rPr>
          <w:rStyle w:val="findhit"/>
          <w:rFonts w:ascii="Calibri" w:hAnsi="Calibri" w:cs="Calibri"/>
          <w:i/>
          <w:iCs/>
          <w:color w:val="000000"/>
          <w:shd w:val="clear" w:color="auto" w:fill="FFFFFF"/>
        </w:rPr>
        <w:t>Section 5</w:t>
      </w:r>
      <w:r w:rsidR="00316C6A">
        <w:rPr>
          <w:rStyle w:val="normaltextrun"/>
          <w:rFonts w:ascii="Calibri" w:hAnsi="Calibri" w:cs="Calibri"/>
          <w:i/>
          <w:iCs/>
          <w:color w:val="000000"/>
          <w:shd w:val="clear" w:color="auto" w:fill="FFFFFF"/>
        </w:rPr>
        <w:t xml:space="preserve"> Liability status categories</w:t>
      </w:r>
      <w:r w:rsidR="00FF2DA2" w:rsidDel="00316C6A">
        <w:rPr>
          <w:rStyle w:val="normaltextrun"/>
          <w:rFonts w:ascii="Calibri" w:hAnsi="Calibri" w:cs="Calibri"/>
          <w:i/>
          <w:color w:val="000000"/>
          <w:shd w:val="clear" w:color="auto" w:fill="FFFFFF"/>
        </w:rPr>
        <w:t xml:space="preserve"> </w:t>
      </w:r>
      <w:r w:rsidR="00FF2DA2" w:rsidDel="00316C6A">
        <w:rPr>
          <w:rStyle w:val="normaltextrun"/>
          <w:rFonts w:ascii="Calibri" w:hAnsi="Calibri" w:cs="Calibri"/>
          <w:color w:val="000000"/>
          <w:shd w:val="clear" w:color="auto" w:fill="FFFFFF"/>
        </w:rPr>
        <w:t>[data set</w:t>
      </w:r>
      <w:r w:rsidR="00CA2D6C">
        <w:rPr>
          <w:rStyle w:val="normaltextrun"/>
          <w:rFonts w:ascii="Calibri" w:hAnsi="Calibri" w:cs="Calibri"/>
          <w:color w:val="000000"/>
          <w:shd w:val="clear" w:color="auto" w:fill="FFFFFF"/>
        </w:rPr>
        <w:t>]</w:t>
      </w:r>
      <w:r w:rsidR="00FF671E">
        <w:rPr>
          <w:rStyle w:val="normaltextrun"/>
          <w:rFonts w:ascii="Calibri" w:hAnsi="Calibri" w:cs="Calibri"/>
          <w:color w:val="000000"/>
          <w:shd w:val="clear" w:color="auto" w:fill="FFFFFF"/>
        </w:rPr>
        <w:t>.</w:t>
      </w:r>
    </w:p>
  </w:footnote>
  <w:footnote w:id="264">
    <w:p w14:paraId="3CC24A54" w14:textId="57FC08DC" w:rsidR="00E06C8E" w:rsidRPr="00601877" w:rsidRDefault="00E06C8E" w:rsidP="00E06C8E">
      <w:pPr>
        <w:pStyle w:val="FootnoteText"/>
        <w:rPr>
          <w:rFonts w:cstheme="minorHAnsi"/>
        </w:rPr>
      </w:pPr>
      <w:r w:rsidRPr="00601877">
        <w:rPr>
          <w:rStyle w:val="FootnoteReference"/>
          <w:rFonts w:cstheme="minorHAnsi"/>
        </w:rPr>
        <w:footnoteRef/>
      </w:r>
      <w:r w:rsidRPr="00601877">
        <w:rPr>
          <w:rFonts w:cstheme="minorHAnsi"/>
        </w:rPr>
        <w:t xml:space="preserve"> </w:t>
      </w:r>
      <w:r w:rsidR="00316C6A">
        <w:rPr>
          <w:rStyle w:val="normaltextrun"/>
          <w:rFonts w:ascii="Calibri" w:hAnsi="Calibri" w:cs="Calibri"/>
          <w:color w:val="000000"/>
          <w:shd w:val="clear" w:color="auto" w:fill="FFFFFF"/>
        </w:rPr>
        <w:t xml:space="preserve">Department of </w:t>
      </w:r>
      <w:r w:rsidR="00316C6A" w:rsidRPr="00B40765">
        <w:rPr>
          <w:rStyle w:val="normaltextrun"/>
          <w:rFonts w:ascii="Calibri" w:hAnsi="Calibri" w:cs="Calibri"/>
          <w:color w:val="000000"/>
          <w:shd w:val="clear" w:color="auto" w:fill="FFFFFF"/>
        </w:rPr>
        <w:t>Education</w:t>
      </w:r>
      <w:r w:rsidR="00316C6A" w:rsidRPr="00B40765">
        <w:rPr>
          <w:rStyle w:val="normaltextrun"/>
          <w:rFonts w:ascii="Calibri" w:hAnsi="Calibri" w:cs="Calibri"/>
          <w:i/>
          <w:iCs/>
          <w:color w:val="000000"/>
          <w:shd w:val="clear" w:color="auto" w:fill="FFFFFF"/>
        </w:rPr>
        <w:t xml:space="preserve">, Higher Education Statistics – Student Data – 2022 </w:t>
      </w:r>
      <w:r w:rsidR="00316C6A" w:rsidRPr="00B40765">
        <w:rPr>
          <w:rStyle w:val="findhit"/>
          <w:rFonts w:ascii="Calibri" w:hAnsi="Calibri" w:cs="Calibri"/>
          <w:i/>
          <w:iCs/>
          <w:color w:val="000000"/>
          <w:shd w:val="clear" w:color="auto" w:fill="FFFFFF"/>
        </w:rPr>
        <w:t>Section 5</w:t>
      </w:r>
      <w:r w:rsidR="00316C6A" w:rsidRPr="00B40765">
        <w:rPr>
          <w:rStyle w:val="normaltextrun"/>
          <w:rFonts w:ascii="Calibri" w:hAnsi="Calibri" w:cs="Calibri"/>
          <w:i/>
          <w:iCs/>
          <w:color w:val="000000"/>
          <w:shd w:val="clear" w:color="auto" w:fill="FFFFFF"/>
        </w:rPr>
        <w:t xml:space="preserve"> Liability status categories</w:t>
      </w:r>
      <w:r w:rsidR="00CA2D6C" w:rsidRPr="00B40765">
        <w:rPr>
          <w:rStyle w:val="normaltextrun"/>
          <w:rFonts w:ascii="Calibri" w:hAnsi="Calibri" w:cs="Calibri"/>
          <w:i/>
          <w:iCs/>
          <w:color w:val="000000"/>
          <w:shd w:val="clear" w:color="auto" w:fill="FFFFFF"/>
        </w:rPr>
        <w:t xml:space="preserve"> </w:t>
      </w:r>
      <w:r w:rsidR="00CA2D6C" w:rsidRPr="00B40765">
        <w:rPr>
          <w:rStyle w:val="normaltextrun"/>
          <w:rFonts w:ascii="Calibri" w:hAnsi="Calibri" w:cs="Calibri"/>
          <w:color w:val="000000"/>
          <w:shd w:val="clear" w:color="auto" w:fill="FFFFFF"/>
        </w:rPr>
        <w:t>[data set]</w:t>
      </w:r>
      <w:r w:rsidR="00316C6A" w:rsidRPr="00B40765">
        <w:rPr>
          <w:rStyle w:val="normaltextrun"/>
          <w:rFonts w:ascii="Calibri" w:hAnsi="Calibri" w:cs="Calibri"/>
          <w:i/>
          <w:iCs/>
          <w:color w:val="000000"/>
          <w:shd w:val="clear" w:color="auto" w:fill="FFFFFF"/>
        </w:rPr>
        <w:t>.</w:t>
      </w:r>
      <w:r w:rsidRPr="00B40765">
        <w:rPr>
          <w:rFonts w:cstheme="minorHAnsi"/>
        </w:rPr>
        <w:t xml:space="preserve"> This compares to </w:t>
      </w:r>
      <w:r w:rsidR="00784A36" w:rsidRPr="008C4411">
        <w:t>860,000</w:t>
      </w:r>
      <w:r w:rsidR="00FF5795" w:rsidRPr="00B40765">
        <w:rPr>
          <w:rFonts w:cstheme="minorHAnsi"/>
        </w:rPr>
        <w:t xml:space="preserve"> </w:t>
      </w:r>
      <w:r w:rsidRPr="00B40765">
        <w:rPr>
          <w:rFonts w:cstheme="minorHAnsi"/>
        </w:rPr>
        <w:t xml:space="preserve">Commonwealth supported students in </w:t>
      </w:r>
      <w:r w:rsidR="00784A36" w:rsidRPr="008C4411">
        <w:rPr>
          <w:rFonts w:cstheme="minorHAnsi"/>
        </w:rPr>
        <w:t>2022</w:t>
      </w:r>
      <w:r w:rsidR="00FF5795" w:rsidRPr="008C4411">
        <w:rPr>
          <w:rFonts w:cstheme="minorHAnsi"/>
        </w:rPr>
        <w:t>.</w:t>
      </w:r>
    </w:p>
  </w:footnote>
  <w:footnote w:id="265">
    <w:p w14:paraId="04AA5548" w14:textId="4CB86D90" w:rsidR="00E06C8E" w:rsidRPr="00601877" w:rsidRDefault="00E06C8E" w:rsidP="00E06C8E">
      <w:pPr>
        <w:pStyle w:val="FootnoteText"/>
        <w:rPr>
          <w:rFonts w:cstheme="minorHAnsi"/>
        </w:rPr>
      </w:pPr>
      <w:r w:rsidRPr="00601877">
        <w:rPr>
          <w:rStyle w:val="FootnoteReference"/>
          <w:rFonts w:cstheme="minorHAnsi"/>
        </w:rPr>
        <w:footnoteRef/>
      </w:r>
      <w:r w:rsidRPr="00601877">
        <w:rPr>
          <w:rFonts w:cstheme="minorHAnsi"/>
        </w:rPr>
        <w:t xml:space="preserve"> Independent Tertiary Education Council Australia</w:t>
      </w:r>
      <w:r w:rsidR="00736FB0">
        <w:rPr>
          <w:rFonts w:cstheme="minorHAnsi"/>
          <w:i/>
          <w:iCs/>
        </w:rPr>
        <w:t xml:space="preserve">, Submission to the Australian Universities Accord Discussion Paper, </w:t>
      </w:r>
      <w:r w:rsidR="00193255">
        <w:rPr>
          <w:rFonts w:cstheme="minorHAnsi"/>
        </w:rPr>
        <w:t xml:space="preserve">2023, </w:t>
      </w:r>
      <w:hyperlink r:id="rId142" w:history="1">
        <w:r w:rsidR="00A85924" w:rsidRPr="00811871">
          <w:rPr>
            <w:rStyle w:val="Hyperlink"/>
            <w:rFonts w:cstheme="minorHAnsi"/>
          </w:rPr>
          <w:t>www.education.gov.au/australian-universities-accord/consultations/consultation-discussion-paper</w:t>
        </w:r>
      </w:hyperlink>
      <w:r w:rsidR="00A85924">
        <w:rPr>
          <w:rFonts w:cstheme="minorHAnsi"/>
        </w:rPr>
        <w:t xml:space="preserve">. </w:t>
      </w:r>
      <w:r w:rsidR="00193255">
        <w:rPr>
          <w:rFonts w:cstheme="minorHAnsi"/>
        </w:rPr>
        <w:t xml:space="preserve"> </w:t>
      </w:r>
    </w:p>
  </w:footnote>
  <w:footnote w:id="266">
    <w:p w14:paraId="159659B1" w14:textId="5A4FFC10" w:rsidR="00E06C8E" w:rsidRPr="00601877" w:rsidRDefault="00E06C8E" w:rsidP="00E06C8E">
      <w:pPr>
        <w:pStyle w:val="FootnoteText"/>
        <w:rPr>
          <w:rFonts w:cstheme="minorHAnsi"/>
        </w:rPr>
      </w:pPr>
      <w:r w:rsidRPr="00601877">
        <w:rPr>
          <w:rStyle w:val="FootnoteReference"/>
          <w:rFonts w:cstheme="minorHAnsi"/>
        </w:rPr>
        <w:footnoteRef/>
      </w:r>
      <w:r w:rsidRPr="00601877">
        <w:rPr>
          <w:rFonts w:cstheme="minorHAnsi"/>
        </w:rPr>
        <w:t xml:space="preserve"> Andrew Norton and </w:t>
      </w:r>
      <w:proofErr w:type="spellStart"/>
      <w:r w:rsidRPr="00601877">
        <w:rPr>
          <w:rFonts w:cstheme="minorHAnsi"/>
        </w:rPr>
        <w:t>Ittima</w:t>
      </w:r>
      <w:proofErr w:type="spellEnd"/>
      <w:r w:rsidRPr="00601877">
        <w:rPr>
          <w:rFonts w:cstheme="minorHAnsi"/>
        </w:rPr>
        <w:t xml:space="preserve"> </w:t>
      </w:r>
      <w:proofErr w:type="spellStart"/>
      <w:r w:rsidRPr="00601877">
        <w:rPr>
          <w:rFonts w:cstheme="minorHAnsi"/>
        </w:rPr>
        <w:t>Cherastidtham</w:t>
      </w:r>
      <w:proofErr w:type="spellEnd"/>
      <w:r w:rsidRPr="00601877">
        <w:rPr>
          <w:rFonts w:cstheme="minorHAnsi"/>
        </w:rPr>
        <w:t xml:space="preserve">, </w:t>
      </w:r>
      <w:r w:rsidRPr="007D0A0D">
        <w:rPr>
          <w:rFonts w:cstheme="minorHAnsi"/>
          <w:i/>
        </w:rPr>
        <w:t>Shared Interest: A Universal Loan Fee for HELP</w:t>
      </w:r>
      <w:r w:rsidRPr="00601877">
        <w:rPr>
          <w:rFonts w:cstheme="minorHAnsi"/>
        </w:rPr>
        <w:t xml:space="preserve">, </w:t>
      </w:r>
      <w:r w:rsidR="00267F92">
        <w:rPr>
          <w:rFonts w:cstheme="minorHAnsi"/>
        </w:rPr>
        <w:t>(</w:t>
      </w:r>
      <w:r w:rsidRPr="00601877">
        <w:rPr>
          <w:rFonts w:cstheme="minorHAnsi"/>
        </w:rPr>
        <w:t>Grattan Institute</w:t>
      </w:r>
      <w:r w:rsidR="00193255">
        <w:rPr>
          <w:rFonts w:cstheme="minorHAnsi"/>
        </w:rPr>
        <w:t>, 201</w:t>
      </w:r>
      <w:r w:rsidR="009A73F2">
        <w:rPr>
          <w:rFonts w:cstheme="minorHAnsi"/>
        </w:rPr>
        <w:t>6</w:t>
      </w:r>
      <w:r w:rsidR="00267F92">
        <w:rPr>
          <w:rFonts w:cstheme="minorHAnsi"/>
        </w:rPr>
        <w:t xml:space="preserve">), </w:t>
      </w:r>
      <w:hyperlink r:id="rId143" w:history="1">
        <w:r w:rsidR="00A85924" w:rsidRPr="00811871">
          <w:rPr>
            <w:rStyle w:val="Hyperlink"/>
            <w:rFonts w:cstheme="minorHAnsi"/>
          </w:rPr>
          <w:t>grattan.edu.au/wp-content/uploads/2016/12/883-Shared-interest-A-universal-loan-fee-for-HELP.pdf</w:t>
        </w:r>
      </w:hyperlink>
      <w:r w:rsidRPr="00601877">
        <w:rPr>
          <w:rFonts w:cstheme="minorHAnsi"/>
        </w:rPr>
        <w:t xml:space="preserve">; Productivity Commission, </w:t>
      </w:r>
      <w:r w:rsidRPr="00601877">
        <w:rPr>
          <w:rFonts w:cstheme="minorHAnsi"/>
          <w:i/>
        </w:rPr>
        <w:t xml:space="preserve">5-year Productivity Inquiry: From </w:t>
      </w:r>
      <w:r w:rsidR="00267F92">
        <w:rPr>
          <w:rFonts w:cstheme="minorHAnsi"/>
          <w:i/>
        </w:rPr>
        <w:t>l</w:t>
      </w:r>
      <w:r w:rsidRPr="00601877">
        <w:rPr>
          <w:rFonts w:cstheme="minorHAnsi"/>
          <w:i/>
        </w:rPr>
        <w:t xml:space="preserve">earning to </w:t>
      </w:r>
      <w:r w:rsidR="00267F92">
        <w:rPr>
          <w:rFonts w:cstheme="minorHAnsi"/>
          <w:i/>
        </w:rPr>
        <w:t>g</w:t>
      </w:r>
      <w:r w:rsidRPr="00601877">
        <w:rPr>
          <w:rFonts w:cstheme="minorHAnsi"/>
          <w:i/>
        </w:rPr>
        <w:t>rowth</w:t>
      </w:r>
      <w:r w:rsidRPr="00601877">
        <w:rPr>
          <w:rFonts w:cstheme="minorHAnsi"/>
        </w:rPr>
        <w:t>, 84</w:t>
      </w:r>
      <w:r w:rsidR="009A73F2">
        <w:rPr>
          <w:rFonts w:cstheme="minorHAnsi"/>
        </w:rPr>
        <w:t>.</w:t>
      </w:r>
    </w:p>
  </w:footnote>
  <w:footnote w:id="267">
    <w:p w14:paraId="43FB870F" w14:textId="4985C7FB" w:rsidR="00E06C8E" w:rsidRPr="00601877" w:rsidRDefault="00E06C8E" w:rsidP="00E06C8E">
      <w:pPr>
        <w:pStyle w:val="FootnoteText"/>
        <w:rPr>
          <w:rFonts w:cstheme="minorHAnsi"/>
        </w:rPr>
      </w:pPr>
      <w:r w:rsidRPr="00601877">
        <w:rPr>
          <w:rStyle w:val="FootnoteReference"/>
          <w:rFonts w:cstheme="minorHAnsi"/>
        </w:rPr>
        <w:footnoteRef/>
      </w:r>
      <w:r w:rsidRPr="00601877">
        <w:rPr>
          <w:rFonts w:cstheme="minorHAnsi"/>
        </w:rPr>
        <w:t xml:space="preserve"> R</w:t>
      </w:r>
      <w:r w:rsidR="008011A9">
        <w:rPr>
          <w:rFonts w:cstheme="minorHAnsi"/>
        </w:rPr>
        <w:t>achel</w:t>
      </w:r>
      <w:r w:rsidRPr="00601877">
        <w:rPr>
          <w:rFonts w:cstheme="minorHAnsi"/>
        </w:rPr>
        <w:t xml:space="preserve"> Wilson and L</w:t>
      </w:r>
      <w:r w:rsidR="008011A9">
        <w:rPr>
          <w:rFonts w:cstheme="minorHAnsi"/>
        </w:rPr>
        <w:t>ucy</w:t>
      </w:r>
      <w:r w:rsidRPr="00601877">
        <w:rPr>
          <w:rFonts w:cstheme="minorHAnsi"/>
        </w:rPr>
        <w:t xml:space="preserve"> </w:t>
      </w:r>
      <w:proofErr w:type="spellStart"/>
      <w:r w:rsidRPr="00601877">
        <w:rPr>
          <w:rFonts w:cstheme="minorHAnsi"/>
        </w:rPr>
        <w:t>Morieson</w:t>
      </w:r>
      <w:proofErr w:type="spellEnd"/>
      <w:r w:rsidRPr="00601877">
        <w:rPr>
          <w:rFonts w:cstheme="minorHAnsi"/>
        </w:rPr>
        <w:t xml:space="preserve">, </w:t>
      </w:r>
      <w:r w:rsidR="008011A9">
        <w:rPr>
          <w:rFonts w:cstheme="minorHAnsi"/>
        </w:rPr>
        <w:t>“</w:t>
      </w:r>
      <w:r w:rsidRPr="00601877">
        <w:rPr>
          <w:rFonts w:cstheme="minorHAnsi"/>
        </w:rPr>
        <w:t xml:space="preserve">Belonging as a responsive strategy in times of </w:t>
      </w:r>
      <w:proofErr w:type="spellStart"/>
      <w:r w:rsidRPr="00601877">
        <w:rPr>
          <w:rFonts w:cstheme="minorHAnsi"/>
        </w:rPr>
        <w:t>supercomplexity</w:t>
      </w:r>
      <w:proofErr w:type="spellEnd"/>
      <w:r w:rsidRPr="00601877">
        <w:rPr>
          <w:rFonts w:cstheme="minorHAnsi"/>
        </w:rPr>
        <w:t xml:space="preserve"> and change</w:t>
      </w:r>
      <w:r w:rsidR="008011A9">
        <w:rPr>
          <w:rFonts w:cstheme="minorHAnsi"/>
        </w:rPr>
        <w:t>,”</w:t>
      </w:r>
      <w:r w:rsidRPr="00601877">
        <w:rPr>
          <w:rFonts w:cstheme="minorHAnsi"/>
        </w:rPr>
        <w:t xml:space="preserve"> </w:t>
      </w:r>
      <w:r w:rsidRPr="00601877">
        <w:rPr>
          <w:rFonts w:cstheme="minorHAnsi"/>
          <w:i/>
        </w:rPr>
        <w:t>Journal of University Teaching &amp; Learning Practice</w:t>
      </w:r>
      <w:r w:rsidRPr="00601877">
        <w:rPr>
          <w:rFonts w:cstheme="minorHAnsi"/>
        </w:rPr>
        <w:t xml:space="preserve"> 19</w:t>
      </w:r>
      <w:r w:rsidR="008011A9">
        <w:rPr>
          <w:rFonts w:cstheme="minorHAnsi"/>
        </w:rPr>
        <w:t xml:space="preserve">, </w:t>
      </w:r>
      <w:r w:rsidRPr="00601877">
        <w:rPr>
          <w:rFonts w:cstheme="minorHAnsi"/>
        </w:rPr>
        <w:t>4</w:t>
      </w:r>
      <w:r w:rsidR="008011A9">
        <w:rPr>
          <w:rFonts w:cstheme="minorHAnsi"/>
        </w:rPr>
        <w:t xml:space="preserve"> (2022</w:t>
      </w:r>
      <w:r w:rsidRPr="00601877" w:rsidDel="008011A9">
        <w:rPr>
          <w:rFonts w:cstheme="minorHAnsi"/>
        </w:rPr>
        <w:t>),</w:t>
      </w:r>
      <w:r w:rsidRPr="00601877">
        <w:rPr>
          <w:rFonts w:cstheme="minorHAnsi"/>
        </w:rPr>
        <w:t xml:space="preserve"> </w:t>
      </w:r>
      <w:hyperlink r:id="rId144" w:history="1">
        <w:r w:rsidR="00A85924" w:rsidRPr="00811871">
          <w:rPr>
            <w:rStyle w:val="Hyperlink"/>
            <w:rFonts w:cstheme="minorHAnsi"/>
          </w:rPr>
          <w:t>ro.uow.edu.au/</w:t>
        </w:r>
        <w:proofErr w:type="spellStart"/>
        <w:r w:rsidR="00A85924" w:rsidRPr="00811871">
          <w:rPr>
            <w:rStyle w:val="Hyperlink"/>
            <w:rFonts w:cstheme="minorHAnsi"/>
          </w:rPr>
          <w:t>jutlp</w:t>
        </w:r>
        <w:proofErr w:type="spellEnd"/>
        <w:r w:rsidR="00A85924" w:rsidRPr="00811871">
          <w:rPr>
            <w:rStyle w:val="Hyperlink"/>
            <w:rFonts w:cstheme="minorHAnsi"/>
          </w:rPr>
          <w:t>/vol19/iss4/03</w:t>
        </w:r>
      </w:hyperlink>
      <w:r w:rsidR="00A85924">
        <w:rPr>
          <w:rFonts w:cstheme="minorHAnsi"/>
        </w:rPr>
        <w:t xml:space="preserve">. </w:t>
      </w:r>
    </w:p>
  </w:footnote>
  <w:footnote w:id="268">
    <w:p w14:paraId="13518DCD" w14:textId="3DE5D8D0" w:rsidR="0026438C" w:rsidRDefault="0026438C">
      <w:pPr>
        <w:pStyle w:val="FootnoteText"/>
      </w:pPr>
      <w:r>
        <w:rPr>
          <w:rStyle w:val="FootnoteReference"/>
        </w:rPr>
        <w:footnoteRef/>
      </w:r>
      <w:r>
        <w:t xml:space="preserve"> Young, </w:t>
      </w:r>
      <w:r w:rsidR="008766DF" w:rsidRPr="00AD60A5">
        <w:rPr>
          <w:i/>
        </w:rPr>
        <w:t>Future Disruptions for Australian Universities</w:t>
      </w:r>
      <w:r w:rsidR="008766DF">
        <w:t xml:space="preserve">, </w:t>
      </w:r>
      <w:r w:rsidR="007225EB">
        <w:t>9</w:t>
      </w:r>
      <w:r w:rsidR="00A5447D">
        <w:t>.</w:t>
      </w:r>
    </w:p>
  </w:footnote>
  <w:footnote w:id="269">
    <w:p w14:paraId="2379274A" w14:textId="2C55BDAE" w:rsidR="00E06C8E" w:rsidRPr="00601877" w:rsidRDefault="00E06C8E" w:rsidP="00E06C8E">
      <w:pPr>
        <w:pStyle w:val="FootnoteText"/>
        <w:rPr>
          <w:rFonts w:cstheme="minorHAnsi"/>
        </w:rPr>
      </w:pPr>
      <w:r w:rsidRPr="00601877">
        <w:rPr>
          <w:rStyle w:val="FootnoteReference"/>
          <w:rFonts w:cstheme="minorHAnsi"/>
        </w:rPr>
        <w:footnoteRef/>
      </w:r>
      <w:r w:rsidRPr="00601877">
        <w:rPr>
          <w:rFonts w:cstheme="minorHAnsi"/>
        </w:rPr>
        <w:t xml:space="preserve"> The Senate Legal and Constitutional Affairs References Committee, </w:t>
      </w:r>
      <w:r w:rsidRPr="00601877">
        <w:rPr>
          <w:rFonts w:cstheme="minorHAnsi"/>
          <w:i/>
        </w:rPr>
        <w:t>Current and proposed sexual consent laws in Australia</w:t>
      </w:r>
      <w:r w:rsidRPr="00601877">
        <w:rPr>
          <w:rFonts w:cstheme="minorHAnsi"/>
        </w:rPr>
        <w:t>, (Canberra: Senate Printing Unit</w:t>
      </w:r>
      <w:r w:rsidR="00D471BA">
        <w:rPr>
          <w:rFonts w:cstheme="minorHAnsi"/>
        </w:rPr>
        <w:t>, September</w:t>
      </w:r>
      <w:r w:rsidRPr="00601877">
        <w:rPr>
          <w:rFonts w:cstheme="minorHAnsi"/>
        </w:rPr>
        <w:t xml:space="preserve"> 2023), </w:t>
      </w:r>
      <w:hyperlink r:id="rId145" w:history="1">
        <w:r w:rsidR="009F085D" w:rsidRPr="00811871">
          <w:rPr>
            <w:rStyle w:val="Hyperlink"/>
            <w:rFonts w:cstheme="minorHAnsi"/>
          </w:rPr>
          <w:t>www.aph.gov.au/‌Parliamentary‌_Business/Committees/Senate/Legal_and_Constitutional_Affairs/sexualcontentlaws/Report</w:t>
        </w:r>
      </w:hyperlink>
      <w:r w:rsidR="009F085D">
        <w:rPr>
          <w:rFonts w:cstheme="minorHAnsi"/>
        </w:rPr>
        <w:t xml:space="preserve">. </w:t>
      </w:r>
    </w:p>
  </w:footnote>
  <w:footnote w:id="270">
    <w:p w14:paraId="3E5150C3" w14:textId="705A795A" w:rsidR="001B388D" w:rsidRDefault="001B388D">
      <w:pPr>
        <w:pStyle w:val="FootnoteText"/>
      </w:pPr>
      <w:r>
        <w:rPr>
          <w:rStyle w:val="FootnoteReference"/>
        </w:rPr>
        <w:footnoteRef/>
      </w:r>
      <w:r>
        <w:t xml:space="preserve"> </w:t>
      </w:r>
      <w:r w:rsidR="00902461">
        <w:t xml:space="preserve">Department of Education, </w:t>
      </w:r>
      <w:r w:rsidR="00902461">
        <w:rPr>
          <w:i/>
          <w:iCs/>
        </w:rPr>
        <w:t>Draft Proposal: Addressing gender-based violence in higher education</w:t>
      </w:r>
      <w:r w:rsidR="00902461">
        <w:t xml:space="preserve">, (Canberra: 2023), </w:t>
      </w:r>
      <w:hyperlink r:id="rId146" w:history="1">
        <w:r w:rsidR="002B0F1D" w:rsidRPr="00811871">
          <w:rPr>
            <w:rStyle w:val="Hyperlink"/>
          </w:rPr>
          <w:t>www.education.gov.au/australian-universities-accord/resources/draft-action-plan-addressing-genderbased-violence-higher-education</w:t>
        </w:r>
      </w:hyperlink>
      <w:r w:rsidR="002B0F1D">
        <w:t xml:space="preserve">. </w:t>
      </w:r>
    </w:p>
  </w:footnote>
  <w:footnote w:id="271">
    <w:p w14:paraId="5BD0EFC3" w14:textId="77777777" w:rsidR="00820859" w:rsidRDefault="00820859" w:rsidP="00820859">
      <w:pPr>
        <w:pStyle w:val="FootnoteText"/>
      </w:pPr>
      <w:r>
        <w:rPr>
          <w:rStyle w:val="FootnoteReference"/>
        </w:rPr>
        <w:footnoteRef/>
      </w:r>
      <w:r>
        <w:t xml:space="preserve"> Department of Education, </w:t>
      </w:r>
      <w:r>
        <w:rPr>
          <w:i/>
          <w:iCs/>
        </w:rPr>
        <w:t>Draft Proposal: Addressing gender-based violence in higher education</w:t>
      </w:r>
      <w:r>
        <w:t>, 6–9.</w:t>
      </w:r>
    </w:p>
  </w:footnote>
  <w:footnote w:id="272">
    <w:p w14:paraId="29969017" w14:textId="77777777" w:rsidR="00AB5F5F" w:rsidRPr="00601877" w:rsidRDefault="00AB5F5F" w:rsidP="00AB5F5F">
      <w:pPr>
        <w:pStyle w:val="FootnoteText"/>
        <w:rPr>
          <w:rFonts w:cstheme="minorHAnsi"/>
        </w:rPr>
      </w:pPr>
      <w:r w:rsidRPr="00601877">
        <w:rPr>
          <w:rStyle w:val="FootnoteReference"/>
          <w:rFonts w:cstheme="minorHAnsi"/>
        </w:rPr>
        <w:footnoteRef/>
      </w:r>
      <w:r w:rsidRPr="00601877">
        <w:rPr>
          <w:rFonts w:cstheme="minorHAnsi"/>
        </w:rPr>
        <w:t xml:space="preserve"> NZQA, </w:t>
      </w:r>
      <w:r>
        <w:rPr>
          <w:rFonts w:cstheme="minorHAnsi"/>
        </w:rPr>
        <w:t>“</w:t>
      </w:r>
      <w:r w:rsidRPr="005C0F27">
        <w:t>The Code for learners</w:t>
      </w:r>
      <w:r w:rsidRPr="00A93283">
        <w:rPr>
          <w:rFonts w:cstheme="minorHAnsi"/>
        </w:rPr>
        <w:t>,</w:t>
      </w:r>
      <w:r>
        <w:rPr>
          <w:rFonts w:cstheme="minorHAnsi"/>
        </w:rPr>
        <w:t>”</w:t>
      </w:r>
      <w:r w:rsidRPr="00601877">
        <w:rPr>
          <w:rFonts w:cstheme="minorHAnsi"/>
        </w:rPr>
        <w:t xml:space="preserve"> NZQA, accessed 19 October 2023</w:t>
      </w:r>
      <w:r>
        <w:rPr>
          <w:rFonts w:cstheme="minorHAnsi"/>
        </w:rPr>
        <w:t xml:space="preserve">, </w:t>
      </w:r>
      <w:hyperlink r:id="rId147" w:history="1">
        <w:r w:rsidRPr="00811871">
          <w:rPr>
            <w:rStyle w:val="Hyperlink"/>
            <w:rFonts w:cstheme="minorHAnsi"/>
          </w:rPr>
          <w:t>www2.nzqa.govt.nz/tertiary/the-code/the-code-for-learners/</w:t>
        </w:r>
      </w:hyperlink>
      <w:r w:rsidRPr="00601877">
        <w:rPr>
          <w:rFonts w:cstheme="minorHAnsi"/>
        </w:rPr>
        <w:t xml:space="preserve">; NZQA, </w:t>
      </w:r>
      <w:r>
        <w:rPr>
          <w:rFonts w:cstheme="minorHAnsi"/>
        </w:rPr>
        <w:t>“</w:t>
      </w:r>
      <w:r w:rsidRPr="005C0F27">
        <w:t>Self-review and attestation</w:t>
      </w:r>
      <w:r w:rsidRPr="005C0F27">
        <w:rPr>
          <w:rFonts w:cstheme="minorHAnsi"/>
        </w:rPr>
        <w:t>,”</w:t>
      </w:r>
      <w:r w:rsidRPr="00601877">
        <w:rPr>
          <w:rFonts w:cstheme="minorHAnsi"/>
        </w:rPr>
        <w:t xml:space="preserve"> NZQA</w:t>
      </w:r>
      <w:r>
        <w:rPr>
          <w:rFonts w:cstheme="minorHAnsi"/>
        </w:rPr>
        <w:t xml:space="preserve">, </w:t>
      </w:r>
      <w:r w:rsidRPr="00601877">
        <w:rPr>
          <w:rFonts w:cstheme="minorHAnsi"/>
        </w:rPr>
        <w:t>accessed 19 October 2023</w:t>
      </w:r>
      <w:r>
        <w:rPr>
          <w:rFonts w:cstheme="minorHAnsi"/>
        </w:rPr>
        <w:t xml:space="preserve">, </w:t>
      </w:r>
      <w:hyperlink r:id="rId148" w:history="1">
        <w:r w:rsidRPr="00811871">
          <w:rPr>
            <w:rStyle w:val="Hyperlink"/>
            <w:rFonts w:cstheme="minorHAnsi"/>
          </w:rPr>
          <w:t>www2.nzqa.govt.nz/tertiary/the-code/the-code-for-education-providers/self-review-and-attestation/</w:t>
        </w:r>
      </w:hyperlink>
      <w:r>
        <w:rPr>
          <w:rFonts w:cstheme="minorHAnsi"/>
        </w:rPr>
        <w:t xml:space="preserve">. </w:t>
      </w:r>
    </w:p>
  </w:footnote>
  <w:footnote w:id="273">
    <w:p w14:paraId="35D4BA7F" w14:textId="77777777" w:rsidR="002E409D" w:rsidRDefault="002E409D" w:rsidP="002E409D">
      <w:pPr>
        <w:pStyle w:val="FootnoteText"/>
      </w:pPr>
      <w:r>
        <w:rPr>
          <w:rStyle w:val="FootnoteReference"/>
        </w:rPr>
        <w:footnoteRef/>
      </w:r>
      <w:r>
        <w:t xml:space="preserve"> </w:t>
      </w:r>
      <w:r w:rsidRPr="00166D4B">
        <w:t xml:space="preserve">Department of Education, </w:t>
      </w:r>
      <w:r w:rsidRPr="00166D4B">
        <w:rPr>
          <w:i/>
          <w:iCs/>
        </w:rPr>
        <w:t>Draft Proposal: Addressing gender-based violence in higher education</w:t>
      </w:r>
      <w:r>
        <w:t>.</w:t>
      </w:r>
    </w:p>
  </w:footnote>
  <w:footnote w:id="274">
    <w:p w14:paraId="7030F6D0" w14:textId="59EE53ED" w:rsidR="00173FBC" w:rsidRDefault="00173FBC">
      <w:pPr>
        <w:pStyle w:val="FootnoteText"/>
      </w:pPr>
      <w:r>
        <w:rPr>
          <w:rStyle w:val="FootnoteReference"/>
        </w:rPr>
        <w:footnoteRef/>
      </w:r>
      <w:r>
        <w:t xml:space="preserve"> </w:t>
      </w:r>
      <w:r w:rsidR="00B65914">
        <w:t xml:space="preserve">Education Ministers Meeting, </w:t>
      </w:r>
      <w:r w:rsidR="00B65914">
        <w:rPr>
          <w:i/>
          <w:iCs/>
        </w:rPr>
        <w:t xml:space="preserve">Education Ministers Meeting Communique: October 2023, </w:t>
      </w:r>
      <w:r w:rsidR="00B65914">
        <w:t xml:space="preserve">(Canberra: Department of Education, 2023), </w:t>
      </w:r>
      <w:hyperlink r:id="rId149" w:history="1">
        <w:r w:rsidR="00B65914" w:rsidRPr="00B65914">
          <w:rPr>
            <w:rStyle w:val="Hyperlink"/>
          </w:rPr>
          <w:t>www.education.gov.au/collections/communiques-education-ministers-meeting-2023</w:t>
        </w:r>
      </w:hyperlink>
      <w:r w:rsidR="00B65914">
        <w:t>.</w:t>
      </w:r>
    </w:p>
  </w:footnote>
  <w:footnote w:id="275">
    <w:p w14:paraId="16A09DB8" w14:textId="15BC135B" w:rsidR="00E44CEF" w:rsidRDefault="00E44CEF">
      <w:pPr>
        <w:pStyle w:val="FootnoteText"/>
      </w:pPr>
      <w:r>
        <w:rPr>
          <w:rStyle w:val="FootnoteReference"/>
        </w:rPr>
        <w:footnoteRef/>
      </w:r>
      <w:r>
        <w:t xml:space="preserve"> </w:t>
      </w:r>
      <w:r w:rsidR="00F15EAB">
        <w:t xml:space="preserve">Advice provided to the Panel by Professor </w:t>
      </w:r>
      <w:r w:rsidR="006B5B0F" w:rsidRPr="006B5B0F">
        <w:t>Kerri-Lee Krause, Deputy Chair, Higher Education Standards Panel</w:t>
      </w:r>
      <w:r w:rsidR="00F15EAB">
        <w:t>.</w:t>
      </w:r>
    </w:p>
  </w:footnote>
  <w:footnote w:id="276">
    <w:p w14:paraId="7B393BBD" w14:textId="71EC9BB9" w:rsidR="00E06C8E" w:rsidRPr="00601877" w:rsidRDefault="00E06C8E" w:rsidP="00E06C8E">
      <w:pPr>
        <w:pStyle w:val="FootnoteText"/>
        <w:rPr>
          <w:rFonts w:cstheme="minorHAnsi"/>
        </w:rPr>
      </w:pPr>
      <w:r w:rsidRPr="00601877">
        <w:rPr>
          <w:rStyle w:val="FootnoteReference"/>
          <w:rFonts w:cstheme="minorHAnsi"/>
        </w:rPr>
        <w:footnoteRef/>
      </w:r>
      <w:r w:rsidRPr="00601877">
        <w:rPr>
          <w:rFonts w:cstheme="minorHAnsi"/>
        </w:rPr>
        <w:t xml:space="preserve"> </w:t>
      </w:r>
      <w:r w:rsidR="00643CE8">
        <w:rPr>
          <w:rFonts w:cstheme="minorHAnsi"/>
        </w:rPr>
        <w:t>QILT,</w:t>
      </w:r>
      <w:r w:rsidRPr="00601877">
        <w:rPr>
          <w:rFonts w:cstheme="minorHAnsi"/>
        </w:rPr>
        <w:t xml:space="preserve"> </w:t>
      </w:r>
      <w:r w:rsidRPr="005C0F27">
        <w:rPr>
          <w:rFonts w:cstheme="minorHAnsi"/>
          <w:i/>
        </w:rPr>
        <w:t>Graduate Outcomes Survey 2022</w:t>
      </w:r>
      <w:r>
        <w:rPr>
          <w:rFonts w:cstheme="minorHAnsi"/>
          <w:i/>
          <w:iCs/>
        </w:rPr>
        <w:t xml:space="preserve"> </w:t>
      </w:r>
      <w:r w:rsidR="00643CE8">
        <w:rPr>
          <w:rFonts w:cstheme="minorHAnsi"/>
        </w:rPr>
        <w:t xml:space="preserve">[data set], (Canberra: </w:t>
      </w:r>
      <w:r w:rsidR="005C0F27">
        <w:rPr>
          <w:rFonts w:cstheme="minorHAnsi"/>
        </w:rPr>
        <w:t>Department of Education,</w:t>
      </w:r>
      <w:r w:rsidR="00643CE8">
        <w:rPr>
          <w:rFonts w:cstheme="minorHAnsi"/>
        </w:rPr>
        <w:t xml:space="preserve"> </w:t>
      </w:r>
      <w:r w:rsidR="00803BC7">
        <w:rPr>
          <w:rFonts w:cstheme="minorHAnsi"/>
        </w:rPr>
        <w:t>2023</w:t>
      </w:r>
      <w:r w:rsidR="00643CE8">
        <w:rPr>
          <w:rFonts w:cstheme="minorHAnsi"/>
        </w:rPr>
        <w:t>),</w:t>
      </w:r>
      <w:r w:rsidRPr="00601877">
        <w:rPr>
          <w:rFonts w:cstheme="minorHAnsi"/>
        </w:rPr>
        <w:t xml:space="preserve"> </w:t>
      </w:r>
      <w:hyperlink r:id="rId150" w:history="1">
        <w:r w:rsidR="00571458" w:rsidRPr="00811871">
          <w:rPr>
            <w:rStyle w:val="Hyperlink"/>
            <w:rFonts w:cstheme="minorHAnsi"/>
          </w:rPr>
          <w:t>www.qilt.edu.au/surveys/graduate-outcomes-survey-(gos)</w:t>
        </w:r>
      </w:hyperlink>
      <w:r w:rsidR="00DC5FE7">
        <w:rPr>
          <w:rFonts w:cstheme="minorHAnsi"/>
        </w:rPr>
        <w:t>; QILT,</w:t>
      </w:r>
      <w:r w:rsidRPr="00601877">
        <w:rPr>
          <w:rFonts w:cstheme="minorHAnsi"/>
        </w:rPr>
        <w:t xml:space="preserve"> </w:t>
      </w:r>
      <w:r w:rsidRPr="005C0F27">
        <w:rPr>
          <w:rFonts w:cstheme="minorHAnsi"/>
          <w:i/>
        </w:rPr>
        <w:t xml:space="preserve">Graduate Outcomes Survey </w:t>
      </w:r>
      <w:r w:rsidR="00DC5FE7">
        <w:rPr>
          <w:rFonts w:cstheme="minorHAnsi"/>
          <w:i/>
          <w:iCs/>
        </w:rPr>
        <w:t xml:space="preserve">– </w:t>
      </w:r>
      <w:r w:rsidRPr="005C0F27">
        <w:rPr>
          <w:rFonts w:cstheme="minorHAnsi"/>
          <w:i/>
        </w:rPr>
        <w:t>Longitudinal 2022</w:t>
      </w:r>
      <w:r w:rsidRPr="00601877">
        <w:rPr>
          <w:rFonts w:cstheme="minorHAnsi"/>
        </w:rPr>
        <w:t xml:space="preserve"> </w:t>
      </w:r>
      <w:r w:rsidR="00DC5FE7">
        <w:rPr>
          <w:rFonts w:cstheme="minorHAnsi"/>
        </w:rPr>
        <w:t xml:space="preserve">[data set], (Canberra: </w:t>
      </w:r>
      <w:r w:rsidR="005C0F27">
        <w:rPr>
          <w:rFonts w:cstheme="minorHAnsi"/>
        </w:rPr>
        <w:t xml:space="preserve">Department of Education, </w:t>
      </w:r>
      <w:r w:rsidR="00803BC7">
        <w:rPr>
          <w:rFonts w:cstheme="minorHAnsi"/>
        </w:rPr>
        <w:t>2023</w:t>
      </w:r>
      <w:r w:rsidR="00DC5FE7">
        <w:rPr>
          <w:rFonts w:cstheme="minorHAnsi"/>
        </w:rPr>
        <w:t xml:space="preserve">), </w:t>
      </w:r>
      <w:hyperlink r:id="rId151" w:history="1">
        <w:r w:rsidR="008A2F9D" w:rsidRPr="00811871">
          <w:rPr>
            <w:rStyle w:val="Hyperlink"/>
            <w:rFonts w:cstheme="minorHAnsi"/>
          </w:rPr>
          <w:t>www.qilt.edu.au/surveys/graduate-outcomes-survey---longitudinal-(</w:t>
        </w:r>
        <w:proofErr w:type="spellStart"/>
        <w:r w:rsidR="008A2F9D" w:rsidRPr="00811871">
          <w:rPr>
            <w:rStyle w:val="Hyperlink"/>
            <w:rFonts w:cstheme="minorHAnsi"/>
          </w:rPr>
          <w:t>gos</w:t>
        </w:r>
        <w:proofErr w:type="spellEnd"/>
        <w:r w:rsidR="008A2F9D" w:rsidRPr="00811871">
          <w:rPr>
            <w:rStyle w:val="Hyperlink"/>
            <w:rFonts w:cstheme="minorHAnsi"/>
          </w:rPr>
          <w:t>-l)</w:t>
        </w:r>
      </w:hyperlink>
      <w:r w:rsidR="008A2F9D">
        <w:rPr>
          <w:rFonts w:cstheme="minorHAnsi"/>
        </w:rPr>
        <w:t xml:space="preserve">. </w:t>
      </w:r>
    </w:p>
  </w:footnote>
  <w:footnote w:id="277">
    <w:p w14:paraId="5DB5C3A9" w14:textId="1D1F0CD5" w:rsidR="00E06C8E" w:rsidRPr="00601877" w:rsidRDefault="00E06C8E" w:rsidP="00E06C8E">
      <w:pPr>
        <w:pStyle w:val="FootnoteText"/>
        <w:rPr>
          <w:rFonts w:cstheme="minorHAnsi"/>
        </w:rPr>
      </w:pPr>
      <w:r w:rsidRPr="00601877">
        <w:rPr>
          <w:rStyle w:val="FootnoteReference"/>
          <w:rFonts w:cstheme="minorHAnsi"/>
        </w:rPr>
        <w:footnoteRef/>
      </w:r>
      <w:r w:rsidRPr="00601877">
        <w:rPr>
          <w:rFonts w:cstheme="minorHAnsi"/>
        </w:rPr>
        <w:t xml:space="preserve"> </w:t>
      </w:r>
      <w:r w:rsidR="00DC5FE7">
        <w:rPr>
          <w:rFonts w:cstheme="minorHAnsi"/>
        </w:rPr>
        <w:t>QILT,</w:t>
      </w:r>
      <w:r w:rsidRPr="00601877">
        <w:rPr>
          <w:rFonts w:cstheme="minorHAnsi"/>
        </w:rPr>
        <w:t xml:space="preserve"> </w:t>
      </w:r>
      <w:r w:rsidRPr="004F37C9">
        <w:rPr>
          <w:rFonts w:cstheme="minorHAnsi"/>
          <w:i/>
        </w:rPr>
        <w:t>2022 Student Experience Survey National Report</w:t>
      </w:r>
      <w:r w:rsidRPr="00601877">
        <w:rPr>
          <w:rFonts w:cstheme="minorHAnsi"/>
        </w:rPr>
        <w:t xml:space="preserve">, </w:t>
      </w:r>
      <w:r w:rsidR="00DC5FE7">
        <w:rPr>
          <w:rFonts w:cstheme="minorHAnsi"/>
        </w:rPr>
        <w:t xml:space="preserve">(Canberra: </w:t>
      </w:r>
      <w:r w:rsidR="004F37C9">
        <w:rPr>
          <w:rFonts w:cstheme="minorHAnsi"/>
        </w:rPr>
        <w:t>Department of Education</w:t>
      </w:r>
      <w:r w:rsidR="00803BC7">
        <w:rPr>
          <w:rFonts w:cstheme="minorHAnsi"/>
        </w:rPr>
        <w:t>,</w:t>
      </w:r>
      <w:r w:rsidR="00DC5FE7">
        <w:rPr>
          <w:rFonts w:cstheme="minorHAnsi"/>
        </w:rPr>
        <w:t xml:space="preserve"> </w:t>
      </w:r>
      <w:r w:rsidR="00803BC7">
        <w:rPr>
          <w:rFonts w:cstheme="minorHAnsi"/>
        </w:rPr>
        <w:t xml:space="preserve">2023), </w:t>
      </w:r>
      <w:r w:rsidRPr="00601877">
        <w:rPr>
          <w:rFonts w:cstheme="minorHAnsi"/>
        </w:rPr>
        <w:t xml:space="preserve">30, </w:t>
      </w:r>
      <w:hyperlink r:id="rId152" w:history="1">
        <w:r w:rsidR="008A2F9D" w:rsidRPr="00811871">
          <w:rPr>
            <w:rStyle w:val="Hyperlink"/>
            <w:rFonts w:cstheme="minorHAnsi"/>
          </w:rPr>
          <w:t>www.qilt.edu.au/‌surveys/‌student-experience-survey-(ses)</w:t>
        </w:r>
      </w:hyperlink>
      <w:r w:rsidR="008A2F9D">
        <w:rPr>
          <w:rFonts w:cstheme="minorHAnsi"/>
        </w:rPr>
        <w:t xml:space="preserve">. </w:t>
      </w:r>
    </w:p>
  </w:footnote>
  <w:footnote w:id="278">
    <w:p w14:paraId="212009EE" w14:textId="427583C8" w:rsidR="00E06C8E" w:rsidRPr="00601877" w:rsidRDefault="00E06C8E" w:rsidP="00E06C8E">
      <w:pPr>
        <w:pStyle w:val="FootnoteText"/>
        <w:rPr>
          <w:rFonts w:cstheme="minorHAnsi"/>
        </w:rPr>
      </w:pPr>
      <w:r w:rsidRPr="00601877">
        <w:rPr>
          <w:rStyle w:val="FootnoteReference"/>
          <w:rFonts w:cstheme="minorHAnsi"/>
        </w:rPr>
        <w:footnoteRef/>
      </w:r>
      <w:r w:rsidRPr="00601877">
        <w:rPr>
          <w:rFonts w:cstheme="minorHAnsi"/>
        </w:rPr>
        <w:t xml:space="preserve"> Teaching ranks calculated using scores based on </w:t>
      </w:r>
      <w:r w:rsidR="009031DD">
        <w:rPr>
          <w:rFonts w:cstheme="minorHAnsi"/>
        </w:rPr>
        <w:t>Times Higher Education</w:t>
      </w:r>
      <w:r w:rsidR="004936EC">
        <w:rPr>
          <w:rFonts w:cstheme="minorHAnsi"/>
        </w:rPr>
        <w:t>,</w:t>
      </w:r>
      <w:r w:rsidR="009031DD">
        <w:rPr>
          <w:rFonts w:cstheme="minorHAnsi"/>
        </w:rPr>
        <w:t xml:space="preserve"> </w:t>
      </w:r>
      <w:r w:rsidRPr="004F37C9">
        <w:rPr>
          <w:rFonts w:cstheme="minorHAnsi"/>
          <w:i/>
        </w:rPr>
        <w:t>World University Rankings</w:t>
      </w:r>
      <w:r w:rsidRPr="00601877">
        <w:rPr>
          <w:rFonts w:cstheme="minorHAnsi"/>
        </w:rPr>
        <w:t xml:space="preserve"> </w:t>
      </w:r>
      <w:r w:rsidR="004936EC">
        <w:rPr>
          <w:rFonts w:cstheme="minorHAnsi"/>
        </w:rPr>
        <w:t>[</w:t>
      </w:r>
      <w:r w:rsidRPr="00601877">
        <w:rPr>
          <w:rFonts w:cstheme="minorHAnsi"/>
        </w:rPr>
        <w:t xml:space="preserve">data </w:t>
      </w:r>
      <w:r w:rsidR="004936EC">
        <w:rPr>
          <w:rFonts w:cstheme="minorHAnsi"/>
        </w:rPr>
        <w:t>set].</w:t>
      </w:r>
    </w:p>
  </w:footnote>
  <w:footnote w:id="279">
    <w:p w14:paraId="6529B9A3" w14:textId="135AD081" w:rsidR="00E06C8E" w:rsidRPr="00601877" w:rsidRDefault="00E06C8E" w:rsidP="00E06C8E">
      <w:pPr>
        <w:pStyle w:val="FootnoteText"/>
        <w:rPr>
          <w:rFonts w:cstheme="minorHAnsi"/>
        </w:rPr>
      </w:pPr>
      <w:r w:rsidRPr="00601877">
        <w:rPr>
          <w:rStyle w:val="FootnoteReference"/>
          <w:rFonts w:cstheme="minorHAnsi"/>
        </w:rPr>
        <w:footnoteRef/>
      </w:r>
      <w:r w:rsidRPr="00601877">
        <w:rPr>
          <w:rFonts w:cstheme="minorHAnsi"/>
        </w:rPr>
        <w:t xml:space="preserve"> Productivity Commission 2023, </w:t>
      </w:r>
      <w:r w:rsidRPr="00DA6E2D">
        <w:rPr>
          <w:rFonts w:cstheme="minorHAnsi"/>
          <w:i/>
        </w:rPr>
        <w:t>5-year Productivity Inquiry: From learning to growth</w:t>
      </w:r>
      <w:r w:rsidRPr="00601877">
        <w:rPr>
          <w:rFonts w:cstheme="minorHAnsi"/>
        </w:rPr>
        <w:t>, 106</w:t>
      </w:r>
      <w:r w:rsidR="009031DD">
        <w:rPr>
          <w:rFonts w:cstheme="minorHAnsi"/>
        </w:rPr>
        <w:t>.</w:t>
      </w:r>
    </w:p>
  </w:footnote>
  <w:footnote w:id="280">
    <w:p w14:paraId="0CC39BAD" w14:textId="4B3C0E56" w:rsidR="00E06C8E" w:rsidRPr="00601877" w:rsidRDefault="00E06C8E" w:rsidP="00E06C8E">
      <w:pPr>
        <w:pStyle w:val="FootnoteText"/>
        <w:rPr>
          <w:rFonts w:cstheme="minorHAnsi"/>
        </w:rPr>
      </w:pPr>
      <w:r w:rsidRPr="00601877">
        <w:rPr>
          <w:rStyle w:val="FootnoteReference"/>
          <w:rFonts w:cstheme="minorHAnsi"/>
        </w:rPr>
        <w:footnoteRef/>
      </w:r>
      <w:r w:rsidRPr="00601877">
        <w:rPr>
          <w:rFonts w:cstheme="minorHAnsi"/>
        </w:rPr>
        <w:t xml:space="preserve"> </w:t>
      </w:r>
      <w:proofErr w:type="spellStart"/>
      <w:r w:rsidR="009031DD">
        <w:rPr>
          <w:rFonts w:cstheme="minorHAnsi"/>
        </w:rPr>
        <w:t>O</w:t>
      </w:r>
      <w:r w:rsidR="004936EC">
        <w:rPr>
          <w:rFonts w:cstheme="minorHAnsi"/>
        </w:rPr>
        <w:t>fS</w:t>
      </w:r>
      <w:proofErr w:type="spellEnd"/>
      <w:r w:rsidR="009031DD">
        <w:rPr>
          <w:rFonts w:cstheme="minorHAnsi"/>
        </w:rPr>
        <w:t xml:space="preserve">, </w:t>
      </w:r>
      <w:r w:rsidRPr="00601877">
        <w:rPr>
          <w:rFonts w:cstheme="minorHAnsi"/>
        </w:rPr>
        <w:t>“The TEF</w:t>
      </w:r>
      <w:r w:rsidR="009031DD">
        <w:rPr>
          <w:rFonts w:cstheme="minorHAnsi"/>
        </w:rPr>
        <w:t>,</w:t>
      </w:r>
      <w:r w:rsidRPr="00601877">
        <w:rPr>
          <w:rFonts w:cstheme="minorHAnsi"/>
        </w:rPr>
        <w:t xml:space="preserve">” Office for Students, </w:t>
      </w:r>
      <w:r w:rsidR="009031DD">
        <w:rPr>
          <w:rFonts w:cstheme="minorHAnsi"/>
        </w:rPr>
        <w:t xml:space="preserve">accessed 12 December </w:t>
      </w:r>
      <w:r w:rsidRPr="00601877">
        <w:rPr>
          <w:rFonts w:cstheme="minorHAnsi"/>
        </w:rPr>
        <w:t xml:space="preserve">2023, </w:t>
      </w:r>
      <w:hyperlink r:id="rId153" w:history="1">
        <w:r w:rsidR="00B32260" w:rsidRPr="00811871">
          <w:rPr>
            <w:rStyle w:val="Hyperlink"/>
            <w:rFonts w:cstheme="minorHAnsi"/>
          </w:rPr>
          <w:t>www.officeforstudents.‌org‌.‌uk/advice-and-guidance/the-tef/</w:t>
        </w:r>
      </w:hyperlink>
      <w:r w:rsidR="00B32260">
        <w:rPr>
          <w:rFonts w:cstheme="minorHAnsi"/>
        </w:rPr>
        <w:t xml:space="preserve">. </w:t>
      </w:r>
    </w:p>
  </w:footnote>
  <w:footnote w:id="281">
    <w:p w14:paraId="4738002F" w14:textId="59FED39B" w:rsidR="00E06C8E" w:rsidRPr="00601877" w:rsidRDefault="00E06C8E" w:rsidP="00E06C8E">
      <w:pPr>
        <w:pStyle w:val="FootnoteText"/>
        <w:rPr>
          <w:rFonts w:cstheme="minorHAnsi"/>
        </w:rPr>
      </w:pPr>
      <w:r w:rsidRPr="00601877">
        <w:rPr>
          <w:rStyle w:val="FootnoteReference"/>
          <w:rFonts w:cstheme="minorHAnsi"/>
        </w:rPr>
        <w:footnoteRef/>
      </w:r>
      <w:r w:rsidRPr="00601877" w:rsidDel="007D4BAE">
        <w:rPr>
          <w:rFonts w:cstheme="minorHAnsi"/>
        </w:rPr>
        <w:t xml:space="preserve"> </w:t>
      </w:r>
      <w:r w:rsidR="007D4BAE">
        <w:rPr>
          <w:rFonts w:cstheme="minorHAnsi"/>
        </w:rPr>
        <w:t xml:space="preserve">Australian </w:t>
      </w:r>
      <w:r w:rsidRPr="00601877">
        <w:rPr>
          <w:rFonts w:cstheme="minorHAnsi"/>
        </w:rPr>
        <w:t>Children’s Education &amp; Care Quality Authority</w:t>
      </w:r>
      <w:r w:rsidR="007D4BAE">
        <w:rPr>
          <w:rFonts w:cstheme="minorHAnsi"/>
        </w:rPr>
        <w:t xml:space="preserve"> (ACECQA)</w:t>
      </w:r>
      <w:r w:rsidRPr="00601877">
        <w:rPr>
          <w:rFonts w:cstheme="minorHAnsi"/>
        </w:rPr>
        <w:t xml:space="preserve">, </w:t>
      </w:r>
      <w:r w:rsidR="007D4BAE" w:rsidRPr="00601877">
        <w:rPr>
          <w:rFonts w:cstheme="minorHAnsi"/>
        </w:rPr>
        <w:t>“National Quality Framework</w:t>
      </w:r>
      <w:r w:rsidR="007D4BAE">
        <w:rPr>
          <w:rFonts w:cstheme="minorHAnsi"/>
        </w:rPr>
        <w:t>,” ACECQA, accessed 12 December 2023,</w:t>
      </w:r>
      <w:r w:rsidRPr="00601877">
        <w:rPr>
          <w:rFonts w:cstheme="minorHAnsi"/>
        </w:rPr>
        <w:t xml:space="preserve"> </w:t>
      </w:r>
      <w:hyperlink r:id="rId154" w:history="1">
        <w:r w:rsidR="00B32260" w:rsidRPr="00811871">
          <w:rPr>
            <w:rStyle w:val="Hyperlink"/>
            <w:rFonts w:cstheme="minorHAnsi"/>
          </w:rPr>
          <w:t>www.acecqa.gov.au/national-quality-framework</w:t>
        </w:r>
      </w:hyperlink>
      <w:r w:rsidR="00B32260">
        <w:rPr>
          <w:rFonts w:cstheme="minorHAnsi"/>
        </w:rPr>
        <w:t xml:space="preserve">. </w:t>
      </w:r>
    </w:p>
  </w:footnote>
  <w:footnote w:id="282">
    <w:p w14:paraId="488E624D" w14:textId="2008BD66" w:rsidR="00885C40" w:rsidRPr="00F54451" w:rsidRDefault="00885C40" w:rsidP="00885C40">
      <w:pPr>
        <w:pStyle w:val="FootnoteText"/>
        <w:rPr>
          <w:rFonts w:cstheme="minorHAnsi"/>
        </w:rPr>
      </w:pPr>
      <w:r w:rsidRPr="00F54451">
        <w:rPr>
          <w:rStyle w:val="FootnoteReference"/>
          <w:rFonts w:cstheme="minorHAnsi"/>
        </w:rPr>
        <w:footnoteRef/>
      </w:r>
      <w:r w:rsidRPr="00F54451">
        <w:rPr>
          <w:rFonts w:cstheme="minorHAnsi"/>
        </w:rPr>
        <w:t xml:space="preserve"> </w:t>
      </w:r>
      <w:proofErr w:type="spellStart"/>
      <w:r w:rsidRPr="002116A0">
        <w:rPr>
          <w:rFonts w:cstheme="minorHAnsi"/>
        </w:rPr>
        <w:t>AdvanceHE</w:t>
      </w:r>
      <w:proofErr w:type="spellEnd"/>
      <w:r w:rsidRPr="002116A0">
        <w:rPr>
          <w:rFonts w:cstheme="minorHAnsi"/>
        </w:rPr>
        <w:t xml:space="preserve">, “Professional Standards Framework for teaching and supporting learning in higher education 2023,” </w:t>
      </w:r>
      <w:proofErr w:type="spellStart"/>
      <w:r w:rsidR="00441B08">
        <w:rPr>
          <w:rFonts w:cstheme="minorHAnsi"/>
        </w:rPr>
        <w:t>AdvanceHE</w:t>
      </w:r>
      <w:proofErr w:type="spellEnd"/>
      <w:r w:rsidR="00441B08">
        <w:rPr>
          <w:rFonts w:cstheme="minorHAnsi"/>
        </w:rPr>
        <w:t xml:space="preserve">, published 31 January </w:t>
      </w:r>
      <w:r w:rsidRPr="002116A0">
        <w:rPr>
          <w:rFonts w:cstheme="minorHAnsi"/>
        </w:rPr>
        <w:t>2023,</w:t>
      </w:r>
      <w:r w:rsidRPr="00F54451">
        <w:rPr>
          <w:rFonts w:cstheme="minorHAnsi"/>
        </w:rPr>
        <w:t xml:space="preserve"> </w:t>
      </w:r>
      <w:hyperlink r:id="rId155" w:history="1">
        <w:r w:rsidR="00F43098" w:rsidRPr="00811871">
          <w:rPr>
            <w:rStyle w:val="Hyperlink"/>
            <w:rFonts w:cstheme="minorHAnsi"/>
          </w:rPr>
          <w:t>advance-he.ac.uk/knowledge-hub/professional-standards-framework‌-‌teaching-and-supporting-learning-higher-education-0</w:t>
        </w:r>
      </w:hyperlink>
      <w:r w:rsidR="00F43098">
        <w:rPr>
          <w:rFonts w:cstheme="minorHAnsi"/>
        </w:rPr>
        <w:t xml:space="preserve">. </w:t>
      </w:r>
    </w:p>
  </w:footnote>
  <w:footnote w:id="283">
    <w:p w14:paraId="15870F84" w14:textId="0A56AE9A" w:rsidR="006C45EF" w:rsidRPr="00601877" w:rsidRDefault="006C45EF" w:rsidP="006C45EF">
      <w:pPr>
        <w:pStyle w:val="FootnoteText"/>
        <w:rPr>
          <w:rFonts w:cstheme="minorHAnsi"/>
        </w:rPr>
      </w:pPr>
      <w:r w:rsidRPr="00601877">
        <w:rPr>
          <w:rStyle w:val="FootnoteReference"/>
          <w:rFonts w:cstheme="minorHAnsi"/>
        </w:rPr>
        <w:footnoteRef/>
      </w:r>
      <w:r w:rsidRPr="00601877">
        <w:rPr>
          <w:rFonts w:cstheme="minorHAnsi"/>
        </w:rPr>
        <w:t xml:space="preserve"> </w:t>
      </w:r>
      <w:r w:rsidR="00E957AE">
        <w:rPr>
          <w:rFonts w:cstheme="minorHAnsi"/>
        </w:rPr>
        <w:t>La Trobe University,</w:t>
      </w:r>
      <w:r w:rsidRPr="00601877">
        <w:rPr>
          <w:rFonts w:cstheme="minorHAnsi"/>
        </w:rPr>
        <w:t xml:space="preserve"> “Take time out in The Lounge</w:t>
      </w:r>
      <w:r w:rsidR="004A79FE">
        <w:rPr>
          <w:rFonts w:cstheme="minorHAnsi"/>
        </w:rPr>
        <w:t>,</w:t>
      </w:r>
      <w:r w:rsidRPr="00601877">
        <w:rPr>
          <w:rFonts w:cstheme="minorHAnsi"/>
        </w:rPr>
        <w:t xml:space="preserve">” My La Trobe, </w:t>
      </w:r>
      <w:r w:rsidR="004A79FE">
        <w:rPr>
          <w:rFonts w:cstheme="minorHAnsi"/>
        </w:rPr>
        <w:t xml:space="preserve">published 17 February </w:t>
      </w:r>
      <w:r w:rsidRPr="00601877">
        <w:rPr>
          <w:rFonts w:cstheme="minorHAnsi"/>
        </w:rPr>
        <w:t xml:space="preserve">2023, </w:t>
      </w:r>
      <w:hyperlink r:id="rId156" w:history="1">
        <w:r w:rsidR="00B95298" w:rsidRPr="00811871">
          <w:rPr>
            <w:rStyle w:val="Hyperlink"/>
            <w:rFonts w:cstheme="minorHAnsi"/>
          </w:rPr>
          <w:t>www.latrobe.edu.au/mylatrobe/take-time-out-in-the-lounge/</w:t>
        </w:r>
      </w:hyperlink>
      <w:r w:rsidR="00B95298">
        <w:rPr>
          <w:rFonts w:cstheme="minorHAnsi"/>
        </w:rPr>
        <w:t xml:space="preserve">. </w:t>
      </w:r>
      <w:r w:rsidRPr="00601877" w:rsidDel="00441B08">
        <w:rPr>
          <w:rFonts w:cstheme="minorHAnsi"/>
        </w:rPr>
        <w:t xml:space="preserve"> </w:t>
      </w:r>
    </w:p>
  </w:footnote>
  <w:footnote w:id="284">
    <w:p w14:paraId="796B08A7" w14:textId="3A74F46E" w:rsidR="006C45EF" w:rsidRPr="00601877" w:rsidRDefault="006C45EF" w:rsidP="006C45EF">
      <w:pPr>
        <w:pStyle w:val="FootnoteText"/>
        <w:rPr>
          <w:rFonts w:cstheme="minorHAnsi"/>
        </w:rPr>
      </w:pPr>
      <w:r w:rsidRPr="00601877">
        <w:rPr>
          <w:rStyle w:val="FootnoteReference"/>
          <w:rFonts w:cstheme="minorHAnsi"/>
        </w:rPr>
        <w:footnoteRef/>
      </w:r>
      <w:r w:rsidRPr="00601877">
        <w:rPr>
          <w:rFonts w:cstheme="minorHAnsi"/>
        </w:rPr>
        <w:t xml:space="preserve"> </w:t>
      </w:r>
      <w:r w:rsidR="00E957AE">
        <w:rPr>
          <w:rFonts w:cstheme="minorHAnsi"/>
        </w:rPr>
        <w:t>University of Canberra,</w:t>
      </w:r>
      <w:r w:rsidRPr="00601877">
        <w:rPr>
          <w:rFonts w:cstheme="minorHAnsi"/>
        </w:rPr>
        <w:t xml:space="preserve"> “Food Pantry</w:t>
      </w:r>
      <w:r w:rsidR="004A79FE">
        <w:rPr>
          <w:rFonts w:cstheme="minorHAnsi"/>
        </w:rPr>
        <w:t>,</w:t>
      </w:r>
      <w:r w:rsidRPr="00601877">
        <w:rPr>
          <w:rFonts w:cstheme="minorHAnsi"/>
        </w:rPr>
        <w:t xml:space="preserve">” UCX, </w:t>
      </w:r>
      <w:r w:rsidR="004A79FE">
        <w:rPr>
          <w:rFonts w:cstheme="minorHAnsi"/>
        </w:rPr>
        <w:t>accessed 12 December 2023</w:t>
      </w:r>
      <w:r w:rsidRPr="00601877">
        <w:rPr>
          <w:rFonts w:cstheme="minorHAnsi"/>
        </w:rPr>
        <w:t xml:space="preserve">, </w:t>
      </w:r>
      <w:hyperlink r:id="rId157" w:history="1">
        <w:r w:rsidR="00B95298" w:rsidRPr="00811871">
          <w:rPr>
            <w:rStyle w:val="Hyperlink"/>
            <w:rFonts w:cstheme="minorHAnsi"/>
          </w:rPr>
          <w:t>ucx.canberra.edu.au‌/‌initiatives/‌</w:t>
        </w:r>
        <w:proofErr w:type="spellStart"/>
        <w:r w:rsidR="00B95298" w:rsidRPr="00811871">
          <w:rPr>
            <w:rStyle w:val="Hyperlink"/>
            <w:rFonts w:cstheme="minorHAnsi"/>
          </w:rPr>
          <w:t>ucx</w:t>
        </w:r>
        <w:proofErr w:type="spellEnd"/>
        <w:r w:rsidR="00B95298" w:rsidRPr="00811871">
          <w:rPr>
            <w:rStyle w:val="Hyperlink"/>
            <w:rFonts w:cstheme="minorHAnsi"/>
          </w:rPr>
          <w:t>-‌food-pantry.html</w:t>
        </w:r>
      </w:hyperlink>
      <w:r w:rsidR="00B95298">
        <w:rPr>
          <w:rFonts w:cstheme="minorHAnsi"/>
        </w:rPr>
        <w:t xml:space="preserve">. </w:t>
      </w:r>
    </w:p>
  </w:footnote>
  <w:footnote w:id="285">
    <w:p w14:paraId="1A37D65F" w14:textId="33D1F96D" w:rsidR="006C45EF" w:rsidRPr="00601877" w:rsidRDefault="006C45EF" w:rsidP="006C45EF">
      <w:pPr>
        <w:pStyle w:val="FootnoteText"/>
        <w:rPr>
          <w:rFonts w:cstheme="minorHAnsi"/>
        </w:rPr>
      </w:pPr>
      <w:r w:rsidRPr="00601877">
        <w:rPr>
          <w:rStyle w:val="FootnoteReference"/>
          <w:rFonts w:cstheme="minorHAnsi"/>
        </w:rPr>
        <w:footnoteRef/>
      </w:r>
      <w:r w:rsidRPr="00601877">
        <w:rPr>
          <w:rFonts w:cstheme="minorHAnsi"/>
        </w:rPr>
        <w:t xml:space="preserve"> </w:t>
      </w:r>
      <w:r w:rsidR="00E957AE">
        <w:rPr>
          <w:rFonts w:cstheme="minorHAnsi"/>
        </w:rPr>
        <w:t>Monash University,</w:t>
      </w:r>
      <w:r w:rsidRPr="00601877">
        <w:rPr>
          <w:rFonts w:cstheme="minorHAnsi"/>
        </w:rPr>
        <w:t xml:space="preserve"> “Support</w:t>
      </w:r>
      <w:r w:rsidR="004A79FE">
        <w:rPr>
          <w:rFonts w:cstheme="minorHAnsi"/>
        </w:rPr>
        <w:t>,</w:t>
      </w:r>
      <w:r w:rsidRPr="00601877">
        <w:rPr>
          <w:rFonts w:cstheme="minorHAnsi"/>
        </w:rPr>
        <w:t xml:space="preserve">” Monash </w:t>
      </w:r>
      <w:r w:rsidR="00E957AE">
        <w:rPr>
          <w:rFonts w:cstheme="minorHAnsi"/>
        </w:rPr>
        <w:t>Online</w:t>
      </w:r>
      <w:r w:rsidRPr="00601877">
        <w:rPr>
          <w:rFonts w:cstheme="minorHAnsi"/>
        </w:rPr>
        <w:t xml:space="preserve">, </w:t>
      </w:r>
      <w:r w:rsidR="004A79FE">
        <w:rPr>
          <w:rFonts w:cstheme="minorHAnsi"/>
        </w:rPr>
        <w:t xml:space="preserve">accessed 12 December </w:t>
      </w:r>
      <w:r w:rsidRPr="00601877">
        <w:rPr>
          <w:rFonts w:cstheme="minorHAnsi"/>
        </w:rPr>
        <w:t xml:space="preserve">2023, </w:t>
      </w:r>
      <w:hyperlink r:id="rId158" w:history="1">
        <w:r w:rsidR="008C73B3" w:rsidRPr="00811871">
          <w:rPr>
            <w:rStyle w:val="Hyperlink"/>
            <w:rFonts w:cstheme="minorHAnsi"/>
          </w:rPr>
          <w:t>online.monash.edu/support/</w:t>
        </w:r>
      </w:hyperlink>
      <w:r w:rsidR="008C73B3">
        <w:rPr>
          <w:rFonts w:cstheme="minorHAnsi"/>
        </w:rPr>
        <w:t xml:space="preserve">. </w:t>
      </w:r>
    </w:p>
  </w:footnote>
  <w:footnote w:id="286">
    <w:p w14:paraId="6B27BCF9" w14:textId="195A9FCB" w:rsidR="006C45EF" w:rsidRPr="00601877" w:rsidRDefault="006C45EF" w:rsidP="006C45EF">
      <w:pPr>
        <w:pStyle w:val="FootnoteText"/>
        <w:rPr>
          <w:rFonts w:cstheme="minorHAnsi"/>
        </w:rPr>
      </w:pPr>
      <w:r w:rsidRPr="00601877">
        <w:rPr>
          <w:rStyle w:val="FootnoteReference"/>
          <w:rFonts w:cstheme="minorHAnsi"/>
        </w:rPr>
        <w:footnoteRef/>
      </w:r>
      <w:r w:rsidRPr="00601877">
        <w:rPr>
          <w:rFonts w:cstheme="minorHAnsi"/>
        </w:rPr>
        <w:t xml:space="preserve"> </w:t>
      </w:r>
      <w:r w:rsidR="0097551D">
        <w:rPr>
          <w:rFonts w:cstheme="minorHAnsi"/>
        </w:rPr>
        <w:t xml:space="preserve">Department of Education, </w:t>
      </w:r>
      <w:r w:rsidRPr="00601877">
        <w:rPr>
          <w:rFonts w:cstheme="minorHAnsi"/>
        </w:rPr>
        <w:t>“Student Testimonials</w:t>
      </w:r>
      <w:r w:rsidR="0097551D">
        <w:rPr>
          <w:rFonts w:cstheme="minorHAnsi"/>
        </w:rPr>
        <w:t>,</w:t>
      </w:r>
      <w:r w:rsidRPr="00601877">
        <w:rPr>
          <w:rFonts w:cstheme="minorHAnsi"/>
        </w:rPr>
        <w:t>”</w:t>
      </w:r>
      <w:r w:rsidR="0097551D">
        <w:rPr>
          <w:rFonts w:cstheme="minorHAnsi"/>
        </w:rPr>
        <w:t xml:space="preserve"> </w:t>
      </w:r>
      <w:r w:rsidRPr="00601877">
        <w:rPr>
          <w:rFonts w:cstheme="minorHAnsi"/>
        </w:rPr>
        <w:t xml:space="preserve">Regional University Study Hubs, </w:t>
      </w:r>
      <w:r w:rsidR="0097551D">
        <w:rPr>
          <w:rFonts w:cstheme="minorHAnsi"/>
        </w:rPr>
        <w:t xml:space="preserve">published 20 October 2023, </w:t>
      </w:r>
      <w:hyperlink r:id="rId159" w:history="1">
        <w:r w:rsidR="008C73B3" w:rsidRPr="00811871">
          <w:rPr>
            <w:rStyle w:val="Hyperlink"/>
            <w:rFonts w:cstheme="minorHAnsi"/>
          </w:rPr>
          <w:t>www.education.gov.au/regional-university-study-hubs/student-testimonials</w:t>
        </w:r>
      </w:hyperlink>
      <w:r w:rsidR="008C73B3">
        <w:rPr>
          <w:rFonts w:cstheme="minorHAnsi"/>
        </w:rPr>
        <w:t xml:space="preserve">. </w:t>
      </w:r>
    </w:p>
  </w:footnote>
  <w:footnote w:id="287">
    <w:p w14:paraId="3A18BA2E" w14:textId="3A0A78C0" w:rsidR="00E06C8E" w:rsidRPr="00601877" w:rsidRDefault="00E06C8E" w:rsidP="00E06C8E">
      <w:pPr>
        <w:pStyle w:val="FootnoteText"/>
        <w:rPr>
          <w:rFonts w:cstheme="minorHAnsi"/>
        </w:rPr>
      </w:pPr>
      <w:r w:rsidRPr="00601877">
        <w:rPr>
          <w:rStyle w:val="FootnoteReference"/>
          <w:rFonts w:cstheme="minorHAnsi"/>
        </w:rPr>
        <w:footnoteRef/>
      </w:r>
      <w:r w:rsidRPr="00601877">
        <w:rPr>
          <w:rFonts w:cstheme="minorHAnsi"/>
        </w:rPr>
        <w:t xml:space="preserve"> Productivity Commission 2023, </w:t>
      </w:r>
      <w:r w:rsidRPr="00406D58">
        <w:rPr>
          <w:rFonts w:cstheme="minorHAnsi"/>
          <w:i/>
        </w:rPr>
        <w:t>5-year Productivity Inquiry: From learning to growth</w:t>
      </w:r>
      <w:r w:rsidRPr="00601877">
        <w:rPr>
          <w:rFonts w:cstheme="minorHAnsi"/>
        </w:rPr>
        <w:t>, 96</w:t>
      </w:r>
      <w:r w:rsidR="004E6A17">
        <w:rPr>
          <w:rFonts w:cstheme="minorHAnsi"/>
        </w:rPr>
        <w:t>.</w:t>
      </w:r>
    </w:p>
  </w:footnote>
  <w:footnote w:id="288">
    <w:p w14:paraId="21937132" w14:textId="44B0F661" w:rsidR="00BD5EA2" w:rsidRDefault="00BD5EA2" w:rsidP="00BD5EA2">
      <w:pPr>
        <w:pStyle w:val="FootnoteText"/>
      </w:pPr>
      <w:r>
        <w:rPr>
          <w:rStyle w:val="FootnoteReference"/>
        </w:rPr>
        <w:footnoteRef/>
      </w:r>
      <w:r>
        <w:t xml:space="preserve"> </w:t>
      </w:r>
      <w:r w:rsidR="005F1EC2">
        <w:t>QILT</w:t>
      </w:r>
      <w:r>
        <w:t xml:space="preserve">, </w:t>
      </w:r>
      <w:r>
        <w:rPr>
          <w:i/>
          <w:iCs/>
        </w:rPr>
        <w:t>2022 Student Experience Survey: The International Student Experience,</w:t>
      </w:r>
      <w:r>
        <w:t xml:space="preserve"> </w:t>
      </w:r>
      <w:r w:rsidR="005F1EC2">
        <w:t xml:space="preserve">(Canberra: </w:t>
      </w:r>
      <w:r>
        <w:t>June 2023</w:t>
      </w:r>
      <w:r w:rsidR="005F1EC2">
        <w:t>)</w:t>
      </w:r>
      <w:r>
        <w:t>,</w:t>
      </w:r>
      <w:r w:rsidR="005F1EC2">
        <w:t xml:space="preserve"> accessed 4 December 2023</w:t>
      </w:r>
      <w:r>
        <w:t xml:space="preserve">, </w:t>
      </w:r>
      <w:hyperlink r:id="rId160" w:history="1">
        <w:r w:rsidR="00195D7F" w:rsidRPr="00811871">
          <w:rPr>
            <w:rStyle w:val="Hyperlink"/>
          </w:rPr>
          <w:t>www.qilt.edu.au/</w:t>
        </w:r>
      </w:hyperlink>
      <w:r w:rsidR="00195D7F">
        <w:t xml:space="preserve">. </w:t>
      </w:r>
    </w:p>
  </w:footnote>
  <w:footnote w:id="289">
    <w:p w14:paraId="306A569E" w14:textId="6A4C0947" w:rsidR="00BD5EA2" w:rsidRPr="00601877" w:rsidRDefault="00BD5EA2" w:rsidP="00BD5EA2">
      <w:pPr>
        <w:pStyle w:val="FootnoteText"/>
        <w:rPr>
          <w:rFonts w:cstheme="minorHAnsi"/>
        </w:rPr>
      </w:pPr>
      <w:r w:rsidRPr="00601877">
        <w:rPr>
          <w:rStyle w:val="FootnoteReference"/>
          <w:rFonts w:cstheme="minorHAnsi"/>
        </w:rPr>
        <w:footnoteRef/>
      </w:r>
      <w:r w:rsidRPr="00601877">
        <w:rPr>
          <w:rFonts w:cstheme="minorHAnsi"/>
        </w:rPr>
        <w:t xml:space="preserve"> </w:t>
      </w:r>
      <w:r>
        <w:rPr>
          <w:rFonts w:cstheme="minorHAnsi"/>
        </w:rPr>
        <w:t xml:space="preserve">Department of Education, </w:t>
      </w:r>
      <w:r w:rsidRPr="00406D58">
        <w:rPr>
          <w:rFonts w:cstheme="minorHAnsi"/>
          <w:i/>
        </w:rPr>
        <w:t xml:space="preserve">Provider </w:t>
      </w:r>
      <w:proofErr w:type="gramStart"/>
      <w:r w:rsidRPr="00406D58">
        <w:rPr>
          <w:rFonts w:cstheme="minorHAnsi"/>
          <w:i/>
        </w:rPr>
        <w:t>Registration</w:t>
      </w:r>
      <w:proofErr w:type="gramEnd"/>
      <w:r w:rsidRPr="00406D58">
        <w:rPr>
          <w:rFonts w:cstheme="minorHAnsi"/>
          <w:i/>
        </w:rPr>
        <w:t xml:space="preserve"> and International Student Management System (PRISMS)</w:t>
      </w:r>
      <w:r>
        <w:rPr>
          <w:rFonts w:cstheme="minorHAnsi"/>
        </w:rPr>
        <w:t xml:space="preserve"> </w:t>
      </w:r>
      <w:r w:rsidR="004F7F81">
        <w:rPr>
          <w:rFonts w:cstheme="minorHAnsi"/>
        </w:rPr>
        <w:t xml:space="preserve">[unpublished </w:t>
      </w:r>
      <w:r>
        <w:rPr>
          <w:rFonts w:cstheme="minorHAnsi"/>
        </w:rPr>
        <w:t>data</w:t>
      </w:r>
      <w:r w:rsidR="004F7F81">
        <w:rPr>
          <w:rFonts w:cstheme="minorHAnsi"/>
        </w:rPr>
        <w:t>]</w:t>
      </w:r>
      <w:r>
        <w:rPr>
          <w:rFonts w:cstheme="minorHAnsi"/>
        </w:rPr>
        <w:t>,</w:t>
      </w:r>
      <w:r w:rsidR="004F7F81">
        <w:rPr>
          <w:rFonts w:cstheme="minorHAnsi"/>
        </w:rPr>
        <w:t xml:space="preserve"> (Canberra: 2023).</w:t>
      </w:r>
      <w:r>
        <w:rPr>
          <w:rFonts w:cstheme="minorHAnsi"/>
        </w:rPr>
        <w:t xml:space="preserve"> </w:t>
      </w:r>
    </w:p>
  </w:footnote>
  <w:footnote w:id="290">
    <w:p w14:paraId="72C10FDB" w14:textId="53E8B397" w:rsidR="00493A00" w:rsidRDefault="00493A00">
      <w:pPr>
        <w:pStyle w:val="FootnoteText"/>
      </w:pPr>
      <w:r>
        <w:rPr>
          <w:rStyle w:val="FootnoteReference"/>
        </w:rPr>
        <w:footnoteRef/>
      </w:r>
      <w:r>
        <w:t xml:space="preserve"> </w:t>
      </w:r>
      <w:r>
        <w:rPr>
          <w:rStyle w:val="normaltextrun"/>
          <w:rFonts w:ascii="Calibri" w:hAnsi="Calibri" w:cs="Calibri"/>
          <w:color w:val="000000"/>
          <w:sz w:val="22"/>
          <w:szCs w:val="22"/>
          <w:shd w:val="clear" w:color="auto" w:fill="FFFFFF"/>
        </w:rPr>
        <w:t xml:space="preserve">Department of Home Affairs, </w:t>
      </w:r>
      <w:r>
        <w:rPr>
          <w:rStyle w:val="normaltextrun"/>
          <w:rFonts w:ascii="Calibri" w:hAnsi="Calibri" w:cs="Calibri"/>
          <w:i/>
          <w:iCs/>
          <w:color w:val="000000"/>
          <w:sz w:val="22"/>
          <w:szCs w:val="22"/>
          <w:shd w:val="clear" w:color="auto" w:fill="FFFFFF"/>
        </w:rPr>
        <w:t>Migration Strategy: Getting Migration Working for the Nation</w:t>
      </w:r>
      <w:r>
        <w:rPr>
          <w:rStyle w:val="normaltextrun"/>
          <w:rFonts w:ascii="Calibri" w:hAnsi="Calibri" w:cs="Calibri"/>
          <w:color w:val="000000"/>
          <w:sz w:val="22"/>
          <w:szCs w:val="22"/>
          <w:shd w:val="clear" w:color="auto" w:fill="FFFFFF"/>
        </w:rPr>
        <w:t xml:space="preserve">, (Canberra: 2023), 7, accessed 13 December 2023, </w:t>
      </w:r>
      <w:hyperlink r:id="rId161" w:history="1">
        <w:r w:rsidR="009317AF" w:rsidRPr="008C67CA">
          <w:rPr>
            <w:rStyle w:val="Hyperlink"/>
            <w:sz w:val="22"/>
            <w:szCs w:val="22"/>
          </w:rPr>
          <w:t>immi.homeaffairs.gov.au/programs-subsite/migration-strategy/Documents/migration-strategy.pdf</w:t>
        </w:r>
      </w:hyperlink>
      <w:r w:rsidR="009317AF">
        <w:rPr>
          <w:sz w:val="22"/>
          <w:szCs w:val="22"/>
        </w:rPr>
        <w:t xml:space="preserve">. </w:t>
      </w:r>
      <w:r w:rsidR="005A7CF8" w:rsidRPr="008C67CA">
        <w:rPr>
          <w:sz w:val="22"/>
          <w:szCs w:val="22"/>
        </w:rPr>
        <w:t xml:space="preserve"> </w:t>
      </w:r>
    </w:p>
  </w:footnote>
  <w:footnote w:id="291">
    <w:p w14:paraId="5BEF7044" w14:textId="760926E4" w:rsidR="003B08EE" w:rsidRDefault="003B08EE">
      <w:pPr>
        <w:pStyle w:val="FootnoteText"/>
      </w:pPr>
      <w:r>
        <w:rPr>
          <w:rStyle w:val="FootnoteReference"/>
        </w:rPr>
        <w:footnoteRef/>
      </w:r>
      <w:r>
        <w:t xml:space="preserve"> </w:t>
      </w:r>
      <w:r w:rsidR="000E474B">
        <w:rPr>
          <w:rStyle w:val="normaltextrun"/>
          <w:rFonts w:ascii="Calibri" w:hAnsi="Calibri" w:cs="Calibri"/>
          <w:color w:val="000000"/>
          <w:sz w:val="22"/>
          <w:szCs w:val="22"/>
          <w:shd w:val="clear" w:color="auto" w:fill="FFFFFF"/>
        </w:rPr>
        <w:t xml:space="preserve">Department of Home Affairs, </w:t>
      </w:r>
      <w:r w:rsidR="000E474B">
        <w:rPr>
          <w:rStyle w:val="normaltextrun"/>
          <w:rFonts w:ascii="Calibri" w:hAnsi="Calibri" w:cs="Calibri"/>
          <w:i/>
          <w:iCs/>
          <w:color w:val="000000"/>
          <w:sz w:val="22"/>
          <w:szCs w:val="22"/>
          <w:shd w:val="clear" w:color="auto" w:fill="FFFFFF"/>
        </w:rPr>
        <w:t>Migration Strategy: Getting Migration Working for the Nation</w:t>
      </w:r>
      <w:r w:rsidR="00493A00">
        <w:rPr>
          <w:rStyle w:val="normaltextrun"/>
          <w:rFonts w:ascii="Calibri" w:hAnsi="Calibri" w:cs="Calibri"/>
          <w:color w:val="000000"/>
          <w:sz w:val="22"/>
          <w:szCs w:val="22"/>
          <w:shd w:val="clear" w:color="auto" w:fill="FFFFFF"/>
        </w:rPr>
        <w:t>, 31.</w:t>
      </w:r>
      <w:r>
        <w:rPr>
          <w:rStyle w:val="eop"/>
          <w:rFonts w:ascii="Calibri" w:hAnsi="Calibri" w:cs="Calibri"/>
          <w:color w:val="000000"/>
          <w:sz w:val="22"/>
          <w:szCs w:val="22"/>
          <w:shd w:val="clear" w:color="auto" w:fill="FFFFFF"/>
        </w:rPr>
        <w:t> </w:t>
      </w:r>
    </w:p>
  </w:footnote>
  <w:footnote w:id="292">
    <w:p w14:paraId="7806C00F" w14:textId="213E8538" w:rsidR="00BB621D" w:rsidRDefault="00BB621D">
      <w:pPr>
        <w:pStyle w:val="FootnoteText"/>
      </w:pPr>
      <w:r>
        <w:rPr>
          <w:rStyle w:val="FootnoteReference"/>
        </w:rPr>
        <w:footnoteRef/>
      </w:r>
      <w:r>
        <w:t xml:space="preserve"> </w:t>
      </w:r>
      <w:r w:rsidR="003216E7" w:rsidRPr="003216E7">
        <w:rPr>
          <w:rFonts w:cstheme="minorHAnsi"/>
        </w:rPr>
        <w:t xml:space="preserve">John Ross, </w:t>
      </w:r>
      <w:r w:rsidR="003216E7">
        <w:rPr>
          <w:rFonts w:cstheme="minorHAnsi"/>
        </w:rPr>
        <w:t>“</w:t>
      </w:r>
      <w:r w:rsidR="003216E7" w:rsidRPr="003216E7">
        <w:rPr>
          <w:rFonts w:cstheme="minorHAnsi"/>
        </w:rPr>
        <w:t>Australian Universities cap international student numbers</w:t>
      </w:r>
      <w:r w:rsidR="003216E7">
        <w:rPr>
          <w:rFonts w:cstheme="minorHAnsi"/>
        </w:rPr>
        <w:t>,”</w:t>
      </w:r>
      <w:r w:rsidR="003216E7" w:rsidRPr="003216E7">
        <w:rPr>
          <w:rFonts w:cstheme="minorHAnsi"/>
        </w:rPr>
        <w:t xml:space="preserve"> </w:t>
      </w:r>
      <w:r w:rsidR="003216E7" w:rsidRPr="003216E7">
        <w:rPr>
          <w:rFonts w:cstheme="minorHAnsi"/>
          <w:i/>
          <w:iCs/>
        </w:rPr>
        <w:t>Times Higher Education</w:t>
      </w:r>
      <w:r w:rsidR="003216E7">
        <w:rPr>
          <w:rFonts w:cstheme="minorHAnsi"/>
          <w:i/>
          <w:iCs/>
        </w:rPr>
        <w:t>,</w:t>
      </w:r>
      <w:r w:rsidR="003216E7" w:rsidRPr="006C42C6">
        <w:rPr>
          <w:rFonts w:cstheme="minorHAnsi"/>
        </w:rPr>
        <w:t xml:space="preserve"> </w:t>
      </w:r>
      <w:r w:rsidR="003216E7" w:rsidRPr="003216E7">
        <w:rPr>
          <w:rFonts w:cstheme="minorHAnsi"/>
        </w:rPr>
        <w:t xml:space="preserve">6 June 2019, </w:t>
      </w:r>
      <w:hyperlink r:id="rId162" w:history="1">
        <w:r w:rsidR="00695714" w:rsidRPr="00811871">
          <w:rPr>
            <w:rStyle w:val="Hyperlink"/>
          </w:rPr>
          <w:t>www.timeshighereducation.com/news/australian-universities-cap-international-student-numbers</w:t>
        </w:r>
      </w:hyperlink>
      <w:r w:rsidR="00695714">
        <w:rPr>
          <w:rFonts w:cstheme="minorHAnsi"/>
        </w:rPr>
        <w:t xml:space="preserve">. </w:t>
      </w:r>
    </w:p>
  </w:footnote>
  <w:footnote w:id="293">
    <w:p w14:paraId="39C0D5C4" w14:textId="3DEF1843" w:rsidR="00BD5EA2" w:rsidRPr="00B60239" w:rsidRDefault="00BD5EA2" w:rsidP="00BD5EA2">
      <w:pPr>
        <w:pStyle w:val="FootnoteText"/>
        <w:rPr>
          <w:rFonts w:cs="Calibri"/>
        </w:rPr>
      </w:pPr>
      <w:r w:rsidRPr="00F54451">
        <w:rPr>
          <w:rFonts w:cstheme="minorHAnsi"/>
          <w:vertAlign w:val="superscript"/>
        </w:rPr>
        <w:footnoteRef/>
      </w:r>
      <w:r w:rsidRPr="00F54451">
        <w:rPr>
          <w:rFonts w:cstheme="minorHAnsi"/>
        </w:rPr>
        <w:t xml:space="preserve"> </w:t>
      </w:r>
      <w:proofErr w:type="spellStart"/>
      <w:r w:rsidRPr="006C42C6">
        <w:rPr>
          <w:rFonts w:cs="Calibri"/>
        </w:rPr>
        <w:t>Navitas</w:t>
      </w:r>
      <w:proofErr w:type="spellEnd"/>
      <w:r w:rsidRPr="006C42C6">
        <w:rPr>
          <w:rFonts w:cs="Calibri"/>
        </w:rPr>
        <w:t xml:space="preserve">, </w:t>
      </w:r>
      <w:r w:rsidRPr="006C42C6">
        <w:rPr>
          <w:rFonts w:cs="Calibri"/>
          <w:i/>
        </w:rPr>
        <w:t xml:space="preserve">International </w:t>
      </w:r>
      <w:r w:rsidRPr="00B60239">
        <w:rPr>
          <w:rFonts w:cs="Calibri"/>
          <w:i/>
        </w:rPr>
        <w:t>global student flows: scenarios for the next 10 years,</w:t>
      </w:r>
      <w:r w:rsidRPr="00B60239">
        <w:rPr>
          <w:rFonts w:cs="Calibri"/>
        </w:rPr>
        <w:t xml:space="preserve"> Presentation, Australian International Education Conference 2023, 19.</w:t>
      </w:r>
    </w:p>
  </w:footnote>
  <w:footnote w:id="294">
    <w:p w14:paraId="35D5848A" w14:textId="56C45D82" w:rsidR="00BD5EA2" w:rsidRPr="009F10D7" w:rsidRDefault="00BD5EA2" w:rsidP="00BD5EA2">
      <w:pPr>
        <w:pStyle w:val="FootnoteText"/>
        <w:rPr>
          <w:rFonts w:eastAsia="Calibri" w:cstheme="minorHAnsi"/>
        </w:rPr>
      </w:pPr>
      <w:r w:rsidRPr="00F54451">
        <w:rPr>
          <w:rStyle w:val="FootnoteReference"/>
          <w:rFonts w:cstheme="minorHAnsi"/>
        </w:rPr>
        <w:footnoteRef/>
      </w:r>
      <w:r>
        <w:rPr>
          <w:rFonts w:cs="Calibri"/>
        </w:rPr>
        <w:t xml:space="preserve"> </w:t>
      </w:r>
      <w:r w:rsidRPr="003B3A88">
        <w:rPr>
          <w:rFonts w:cs="Calibri"/>
        </w:rPr>
        <w:t xml:space="preserve">Joint Standing Committee on Foreign Affairs, Defence and Trade, </w:t>
      </w:r>
      <w:proofErr w:type="gramStart"/>
      <w:r w:rsidR="000E3BB1" w:rsidRPr="00FA7EDF">
        <w:rPr>
          <w:i/>
        </w:rPr>
        <w:t>Quality</w:t>
      </w:r>
      <w:proofErr w:type="gramEnd"/>
      <w:r w:rsidR="000E3BB1" w:rsidRPr="00FA7EDF">
        <w:rPr>
          <w:i/>
        </w:rPr>
        <w:t xml:space="preserve"> and Integrity </w:t>
      </w:r>
      <w:r w:rsidR="000E3BB1">
        <w:rPr>
          <w:rFonts w:ascii="Symbol" w:eastAsia="Symbol" w:hAnsi="Symbol" w:cs="Symbol"/>
          <w:i/>
        </w:rPr>
        <w:t>-</w:t>
      </w:r>
      <w:r w:rsidR="000E3BB1" w:rsidRPr="00FA7EDF">
        <w:rPr>
          <w:i/>
        </w:rPr>
        <w:t xml:space="preserve"> the Quest for Sustainable Growth: Interim Report into International Education</w:t>
      </w:r>
      <w:r w:rsidR="000E3BB1" w:rsidRPr="004B6912">
        <w:rPr>
          <w:rFonts w:eastAsia="Calibri" w:cstheme="minorHAnsi"/>
        </w:rPr>
        <w:t>, Inquiry into Australia’s tourism and international education sectors</w:t>
      </w:r>
      <w:r w:rsidR="000E3BB1">
        <w:rPr>
          <w:rFonts w:eastAsia="Calibri" w:cstheme="minorHAnsi"/>
        </w:rPr>
        <w:t>, (Canberra: Parliament of Australia,</w:t>
      </w:r>
      <w:r w:rsidR="000E3BB1" w:rsidRPr="004B6912">
        <w:rPr>
          <w:rFonts w:eastAsia="Calibri" w:cstheme="minorHAnsi"/>
        </w:rPr>
        <w:t xml:space="preserve"> October 2023</w:t>
      </w:r>
      <w:r w:rsidR="000E3BB1">
        <w:rPr>
          <w:rFonts w:eastAsia="Calibri" w:cstheme="minorHAnsi"/>
        </w:rPr>
        <w:t>)</w:t>
      </w:r>
      <w:r w:rsidR="000E3BB1" w:rsidRPr="004B6912">
        <w:rPr>
          <w:rFonts w:eastAsia="Calibri" w:cstheme="minorHAnsi"/>
        </w:rPr>
        <w:t xml:space="preserve">, </w:t>
      </w:r>
      <w:r w:rsidR="000E3BB1">
        <w:rPr>
          <w:rFonts w:eastAsia="Calibri" w:cstheme="minorHAnsi"/>
        </w:rPr>
        <w:t>1</w:t>
      </w:r>
      <w:r w:rsidR="000E3BB1" w:rsidRPr="004B6912">
        <w:rPr>
          <w:rFonts w:eastAsia="Calibri" w:cstheme="minorHAnsi"/>
        </w:rPr>
        <w:t>, accessed 15 November 2023.</w:t>
      </w:r>
    </w:p>
  </w:footnote>
  <w:footnote w:id="295">
    <w:p w14:paraId="4BB2BCE7" w14:textId="7D15B607" w:rsidR="00BD5EA2" w:rsidRDefault="00BD5EA2" w:rsidP="00BD5EA2">
      <w:pPr>
        <w:pStyle w:val="FootnoteText"/>
      </w:pPr>
      <w:r>
        <w:rPr>
          <w:rStyle w:val="FootnoteReference"/>
        </w:rPr>
        <w:footnoteRef/>
      </w:r>
      <w:r w:rsidR="00E35A6E">
        <w:t xml:space="preserve"> </w:t>
      </w:r>
      <w:r w:rsidR="00362D99" w:rsidRPr="005C6977">
        <w:t xml:space="preserve">Department of Home Affairs, </w:t>
      </w:r>
      <w:r w:rsidR="00362D99" w:rsidRPr="007F6139">
        <w:rPr>
          <w:i/>
          <w:iCs/>
        </w:rPr>
        <w:t>Migration Strategy: Getting Migration Working for the Nation</w:t>
      </w:r>
      <w:r w:rsidR="00362D99" w:rsidRPr="005C6977">
        <w:t xml:space="preserve">, </w:t>
      </w:r>
      <w:r w:rsidR="00362D99">
        <w:t>15</w:t>
      </w:r>
      <w:r w:rsidR="005D764A">
        <w:t xml:space="preserve">. </w:t>
      </w:r>
    </w:p>
  </w:footnote>
  <w:footnote w:id="296">
    <w:p w14:paraId="5188E7E4" w14:textId="76897541" w:rsidR="00BD5EA2" w:rsidRPr="00F54451" w:rsidRDefault="00BD5EA2" w:rsidP="00BD5EA2">
      <w:pPr>
        <w:pStyle w:val="FootnoteText"/>
        <w:rPr>
          <w:rFonts w:cstheme="minorHAnsi"/>
        </w:rPr>
      </w:pPr>
      <w:r w:rsidRPr="00F54451">
        <w:rPr>
          <w:rFonts w:cstheme="minorHAnsi"/>
          <w:vertAlign w:val="superscript"/>
        </w:rPr>
        <w:footnoteRef/>
      </w:r>
      <w:r w:rsidRPr="00F54451">
        <w:rPr>
          <w:rFonts w:cstheme="minorHAnsi"/>
          <w:vertAlign w:val="superscript"/>
        </w:rPr>
        <w:t xml:space="preserve"> </w:t>
      </w:r>
      <w:r w:rsidRPr="00F54451">
        <w:rPr>
          <w:rFonts w:cstheme="minorHAnsi"/>
        </w:rPr>
        <w:t xml:space="preserve">Joint Standing Committee on Migration, </w:t>
      </w:r>
      <w:r w:rsidR="005D764A" w:rsidRPr="005D764A">
        <w:rPr>
          <w:rFonts w:cstheme="minorHAnsi"/>
          <w:i/>
          <w:iCs/>
        </w:rPr>
        <w:t>Final Report of the Inquiry into Australia's Skilled Migration Program</w:t>
      </w:r>
      <w:r w:rsidR="005D764A">
        <w:rPr>
          <w:rFonts w:cstheme="minorHAnsi"/>
        </w:rPr>
        <w:t>, (Canberra: Parliament of Australia, 2021),</w:t>
      </w:r>
      <w:r w:rsidR="005D764A" w:rsidRPr="005D764A">
        <w:rPr>
          <w:rFonts w:cstheme="minorHAnsi"/>
        </w:rPr>
        <w:t xml:space="preserve"> </w:t>
      </w:r>
      <w:r w:rsidRPr="00F54451">
        <w:rPr>
          <w:rFonts w:cstheme="minorHAnsi"/>
        </w:rPr>
        <w:t>58</w:t>
      </w:r>
      <w:r w:rsidR="005D764A">
        <w:rPr>
          <w:rFonts w:cstheme="minorHAnsi"/>
        </w:rPr>
        <w:t xml:space="preserve">, accessed 13 December 2023, </w:t>
      </w:r>
      <w:hyperlink r:id="rId163" w:history="1">
        <w:r w:rsidR="00437893" w:rsidRPr="00437893">
          <w:rPr>
            <w:rStyle w:val="Hyperlink"/>
            <w:rFonts w:cstheme="minorHAnsi"/>
          </w:rPr>
          <w:t>parlinfo.aph.gov.au/parlInfo/‌download/committees/reportjnt/024680/toc_pdf/FinalReport‌of‌the‌InquiryintoAustralia’sSkilledMigrationProgram.pdf;fileType=application%2Fpdf</w:t>
        </w:r>
      </w:hyperlink>
      <w:r w:rsidR="00EC3171">
        <w:rPr>
          <w:rFonts w:cstheme="minorHAnsi"/>
        </w:rPr>
        <w:t xml:space="preserve">. </w:t>
      </w:r>
      <w:r w:rsidR="005D764A">
        <w:rPr>
          <w:rFonts w:cstheme="minorHAnsi"/>
        </w:rPr>
        <w:t xml:space="preserve"> </w:t>
      </w:r>
    </w:p>
  </w:footnote>
  <w:footnote w:id="297">
    <w:p w14:paraId="0C34EBA0" w14:textId="12643C7F" w:rsidR="00BD5EA2" w:rsidRPr="00F54451" w:rsidRDefault="00BD5EA2" w:rsidP="00BD5EA2">
      <w:pPr>
        <w:spacing w:after="0" w:line="257" w:lineRule="auto"/>
        <w:rPr>
          <w:rFonts w:eastAsia="Calibri" w:cstheme="minorHAnsi"/>
          <w:sz w:val="20"/>
          <w:szCs w:val="20"/>
        </w:rPr>
      </w:pPr>
      <w:r w:rsidRPr="00F54451">
        <w:rPr>
          <w:rFonts w:cstheme="minorHAnsi"/>
          <w:sz w:val="20"/>
          <w:szCs w:val="20"/>
          <w:vertAlign w:val="superscript"/>
        </w:rPr>
        <w:footnoteRef/>
      </w:r>
      <w:r w:rsidRPr="00F54451">
        <w:rPr>
          <w:rFonts w:eastAsia="Calibri" w:cstheme="minorHAnsi"/>
          <w:sz w:val="20"/>
          <w:szCs w:val="20"/>
        </w:rPr>
        <w:t xml:space="preserve"> B</w:t>
      </w:r>
      <w:r w:rsidR="009F10D7">
        <w:rPr>
          <w:rFonts w:eastAsia="Calibri" w:cstheme="minorHAnsi"/>
          <w:sz w:val="20"/>
          <w:szCs w:val="20"/>
        </w:rPr>
        <w:t>rendan</w:t>
      </w:r>
      <w:r w:rsidRPr="00F54451">
        <w:rPr>
          <w:rFonts w:eastAsia="Calibri" w:cstheme="minorHAnsi"/>
          <w:sz w:val="20"/>
          <w:szCs w:val="20"/>
        </w:rPr>
        <w:t xml:space="preserve"> Coates</w:t>
      </w:r>
      <w:r w:rsidR="007A241A">
        <w:rPr>
          <w:rFonts w:eastAsia="Calibri" w:cstheme="minorHAnsi"/>
          <w:sz w:val="20"/>
          <w:szCs w:val="20"/>
        </w:rPr>
        <w:t xml:space="preserve">, Trent Wiltshire and Tyler </w:t>
      </w:r>
      <w:proofErr w:type="spellStart"/>
      <w:r w:rsidR="007A241A">
        <w:rPr>
          <w:rFonts w:eastAsia="Calibri" w:cstheme="minorHAnsi"/>
          <w:sz w:val="20"/>
          <w:szCs w:val="20"/>
        </w:rPr>
        <w:t>Reysenbach</w:t>
      </w:r>
      <w:proofErr w:type="spellEnd"/>
      <w:r>
        <w:rPr>
          <w:rFonts w:eastAsia="Calibri" w:cstheme="minorHAnsi"/>
          <w:sz w:val="20"/>
          <w:szCs w:val="20"/>
        </w:rPr>
        <w:t>,</w:t>
      </w:r>
      <w:r w:rsidRPr="00F54451">
        <w:rPr>
          <w:rFonts w:eastAsia="Calibri" w:cstheme="minorHAnsi"/>
          <w:sz w:val="20"/>
          <w:szCs w:val="20"/>
        </w:rPr>
        <w:t xml:space="preserve"> </w:t>
      </w:r>
      <w:r w:rsidRPr="007A241A">
        <w:rPr>
          <w:rFonts w:eastAsia="Calibri" w:cstheme="minorHAnsi"/>
          <w:i/>
          <w:sz w:val="20"/>
          <w:szCs w:val="20"/>
        </w:rPr>
        <w:t xml:space="preserve">Australia’s Migration Opportunity: How Rethinking Skilled Migration Can Solve Some of Our Biggest </w:t>
      </w:r>
      <w:r w:rsidRPr="007A241A">
        <w:rPr>
          <w:rFonts w:eastAsia="Calibri" w:cstheme="minorHAnsi"/>
          <w:i/>
          <w:iCs/>
          <w:sz w:val="20"/>
          <w:szCs w:val="20"/>
        </w:rPr>
        <w:t>Problems</w:t>
      </w:r>
      <w:r w:rsidR="007A241A">
        <w:rPr>
          <w:rFonts w:eastAsia="Calibri" w:cstheme="minorHAnsi"/>
          <w:i/>
          <w:iCs/>
          <w:sz w:val="20"/>
          <w:szCs w:val="20"/>
        </w:rPr>
        <w:t>,</w:t>
      </w:r>
      <w:r w:rsidRPr="00F54451">
        <w:rPr>
          <w:rFonts w:eastAsia="Calibri" w:cstheme="minorHAnsi"/>
          <w:sz w:val="20"/>
          <w:szCs w:val="20"/>
        </w:rPr>
        <w:t xml:space="preserve"> </w:t>
      </w:r>
      <w:r>
        <w:rPr>
          <w:rFonts w:eastAsia="Calibri" w:cstheme="minorHAnsi"/>
          <w:sz w:val="20"/>
          <w:szCs w:val="20"/>
        </w:rPr>
        <w:t>(</w:t>
      </w:r>
      <w:r w:rsidR="007A241A">
        <w:rPr>
          <w:rFonts w:eastAsia="Calibri" w:cstheme="minorHAnsi"/>
          <w:sz w:val="20"/>
          <w:szCs w:val="20"/>
        </w:rPr>
        <w:t xml:space="preserve">Melbourne: Grattan Institute, </w:t>
      </w:r>
      <w:r w:rsidRPr="00F54451">
        <w:rPr>
          <w:rFonts w:eastAsia="Calibri" w:cstheme="minorHAnsi"/>
          <w:sz w:val="20"/>
          <w:szCs w:val="20"/>
        </w:rPr>
        <w:t>December 2022</w:t>
      </w:r>
      <w:r>
        <w:rPr>
          <w:rFonts w:eastAsia="Calibri" w:cstheme="minorHAnsi"/>
          <w:sz w:val="20"/>
          <w:szCs w:val="20"/>
        </w:rPr>
        <w:t>)</w:t>
      </w:r>
      <w:r w:rsidR="007A241A">
        <w:rPr>
          <w:rFonts w:eastAsia="Calibri" w:cstheme="minorHAnsi"/>
          <w:sz w:val="20"/>
          <w:szCs w:val="20"/>
        </w:rPr>
        <w:t>,</w:t>
      </w:r>
      <w:r w:rsidRPr="00F54451">
        <w:rPr>
          <w:rFonts w:eastAsia="Calibri" w:cstheme="minorHAnsi"/>
          <w:sz w:val="20"/>
          <w:szCs w:val="20"/>
        </w:rPr>
        <w:t xml:space="preserve"> 22</w:t>
      </w:r>
      <w:r>
        <w:rPr>
          <w:rFonts w:eastAsia="Calibri" w:cstheme="minorHAnsi"/>
          <w:sz w:val="20"/>
          <w:szCs w:val="20"/>
        </w:rPr>
        <w:t xml:space="preserve">, </w:t>
      </w:r>
      <w:hyperlink r:id="rId164" w:history="1">
        <w:r w:rsidR="00EC3171" w:rsidRPr="00811871">
          <w:rPr>
            <w:rStyle w:val="Hyperlink"/>
            <w:rFonts w:eastAsia="Calibri" w:cstheme="minorHAnsi"/>
            <w:sz w:val="20"/>
            <w:szCs w:val="20"/>
          </w:rPr>
          <w:t>grattan.edu.au/wp-content/uploads/2022/12/Australias-migration-opportunity-how-rethinking-skilled-migration-can-solve-some-of-our-biggest-problems.pdf</w:t>
        </w:r>
      </w:hyperlink>
      <w:r w:rsidR="00EC3171">
        <w:rPr>
          <w:rFonts w:eastAsia="Calibri" w:cstheme="minorHAnsi"/>
          <w:sz w:val="20"/>
          <w:szCs w:val="20"/>
        </w:rPr>
        <w:t xml:space="preserve">. </w:t>
      </w:r>
    </w:p>
  </w:footnote>
  <w:footnote w:id="298">
    <w:p w14:paraId="2ACD965E" w14:textId="0C6753DC" w:rsidR="00B2332B" w:rsidRDefault="00B2332B">
      <w:pPr>
        <w:pStyle w:val="FootnoteText"/>
      </w:pPr>
      <w:r>
        <w:rPr>
          <w:rStyle w:val="FootnoteReference"/>
        </w:rPr>
        <w:footnoteRef/>
      </w:r>
      <w:r>
        <w:t xml:space="preserve"> </w:t>
      </w:r>
      <w:r w:rsidR="002F2A7C">
        <w:t>Department of Home Affairs</w:t>
      </w:r>
      <w:r w:rsidR="005D764A" w:rsidRPr="005C6977">
        <w:t xml:space="preserve">, </w:t>
      </w:r>
      <w:r w:rsidR="005D764A" w:rsidRPr="007F6139">
        <w:rPr>
          <w:i/>
          <w:iCs/>
        </w:rPr>
        <w:t>Migration Strategy: Getting Migration Working for the Nation</w:t>
      </w:r>
      <w:r w:rsidR="005D764A" w:rsidRPr="005C6977">
        <w:t xml:space="preserve">, </w:t>
      </w:r>
      <w:r w:rsidR="000E17CA">
        <w:t>64.</w:t>
      </w:r>
    </w:p>
  </w:footnote>
  <w:footnote w:id="299">
    <w:p w14:paraId="7E59B9D5" w14:textId="7308CE20" w:rsidR="00E57399" w:rsidRPr="00155DE2" w:rsidRDefault="00E57399" w:rsidP="00E57399">
      <w:pPr>
        <w:pStyle w:val="FootnoteText"/>
        <w:rPr>
          <w:rFonts w:cstheme="minorHAnsi"/>
        </w:rPr>
      </w:pPr>
      <w:r>
        <w:rPr>
          <w:rStyle w:val="FootnoteReference"/>
        </w:rPr>
        <w:footnoteRef/>
      </w:r>
      <w:r>
        <w:t xml:space="preserve"> </w:t>
      </w:r>
      <w:r w:rsidR="002F2A7C">
        <w:t>Department of Home Affairs</w:t>
      </w:r>
      <w:r w:rsidR="005D764A" w:rsidRPr="005C6977">
        <w:t xml:space="preserve">, </w:t>
      </w:r>
      <w:r w:rsidR="005D764A" w:rsidRPr="007F6139">
        <w:rPr>
          <w:i/>
          <w:iCs/>
        </w:rPr>
        <w:t>Migration Strategy: Getting Migration Working for the Nation</w:t>
      </w:r>
      <w:r w:rsidR="005D764A" w:rsidRPr="005C6977">
        <w:t>,</w:t>
      </w:r>
      <w:r w:rsidR="005D764A">
        <w:t xml:space="preserve"> 65</w:t>
      </w:r>
      <w:r>
        <w:t>.</w:t>
      </w:r>
    </w:p>
  </w:footnote>
  <w:footnote w:id="300">
    <w:p w14:paraId="533B0D53" w14:textId="33D88C19" w:rsidR="00E57399" w:rsidRDefault="00E57399" w:rsidP="00E57399">
      <w:pPr>
        <w:pStyle w:val="FootnoteText"/>
      </w:pPr>
      <w:r>
        <w:rPr>
          <w:rStyle w:val="FootnoteReference"/>
        </w:rPr>
        <w:footnoteRef/>
      </w:r>
      <w:r>
        <w:t xml:space="preserve"> </w:t>
      </w:r>
      <w:r w:rsidR="002F2A7C">
        <w:t>Department of Home Affairs</w:t>
      </w:r>
      <w:r w:rsidR="005D764A" w:rsidRPr="005C6977">
        <w:t xml:space="preserve">, </w:t>
      </w:r>
      <w:r w:rsidR="005D764A" w:rsidRPr="007F6139">
        <w:rPr>
          <w:i/>
          <w:iCs/>
        </w:rPr>
        <w:t>Migration Strategy: Getting Migration Working for the Nation</w:t>
      </w:r>
      <w:r w:rsidR="005D764A" w:rsidRPr="005C6977">
        <w:t>,</w:t>
      </w:r>
      <w:r w:rsidR="005D764A">
        <w:t xml:space="preserve"> 65.</w:t>
      </w:r>
    </w:p>
  </w:footnote>
  <w:footnote w:id="301">
    <w:p w14:paraId="1B7B0731" w14:textId="15837945" w:rsidR="00E57399" w:rsidRDefault="00E57399" w:rsidP="00E57399">
      <w:pPr>
        <w:pStyle w:val="FootnoteText"/>
      </w:pPr>
      <w:r>
        <w:rPr>
          <w:rStyle w:val="FootnoteReference"/>
        </w:rPr>
        <w:footnoteRef/>
      </w:r>
      <w:r>
        <w:t xml:space="preserve"> </w:t>
      </w:r>
      <w:r w:rsidR="002F2A7C">
        <w:t>Department of Home Affairs</w:t>
      </w:r>
      <w:r w:rsidR="00B856BF" w:rsidRPr="005C6977">
        <w:t xml:space="preserve">, </w:t>
      </w:r>
      <w:r w:rsidR="00B856BF" w:rsidRPr="007F6139">
        <w:rPr>
          <w:i/>
          <w:iCs/>
        </w:rPr>
        <w:t>Migration Strategy: Getting Migration Working for the Nation</w:t>
      </w:r>
      <w:r w:rsidR="00B856BF" w:rsidRPr="005C6977">
        <w:t>,</w:t>
      </w:r>
      <w:r w:rsidR="00B856BF">
        <w:t xml:space="preserve"> 65.</w:t>
      </w:r>
    </w:p>
  </w:footnote>
  <w:footnote w:id="302">
    <w:p w14:paraId="4A4B96FE" w14:textId="45A36007" w:rsidR="00BD5EA2" w:rsidRPr="00F54451" w:rsidRDefault="00BD5EA2" w:rsidP="00BD5EA2">
      <w:pPr>
        <w:pStyle w:val="FootnoteText"/>
        <w:rPr>
          <w:rFonts w:eastAsia="Calibri" w:cstheme="minorHAnsi"/>
        </w:rPr>
      </w:pPr>
      <w:r w:rsidRPr="00601877">
        <w:rPr>
          <w:rStyle w:val="FootnoteReference"/>
          <w:rFonts w:cstheme="minorHAnsi"/>
        </w:rPr>
        <w:footnoteRef/>
      </w:r>
      <w:r w:rsidRPr="00601877">
        <w:rPr>
          <w:rFonts w:cstheme="minorHAnsi"/>
        </w:rPr>
        <w:t xml:space="preserve"> </w:t>
      </w:r>
      <w:r w:rsidRPr="004B6912">
        <w:rPr>
          <w:rFonts w:eastAsia="Calibri" w:cstheme="minorHAnsi"/>
        </w:rPr>
        <w:t xml:space="preserve">Joint Standing Committee on Foreign Affairs, Defence and Trade, </w:t>
      </w:r>
      <w:r w:rsidR="0092446E" w:rsidRPr="00B856BF">
        <w:t>Quality and Integrity</w:t>
      </w:r>
      <w:r w:rsidR="00C664AB">
        <w:t xml:space="preserve">, </w:t>
      </w:r>
      <w:r w:rsidR="00B856BF" w:rsidRPr="00AD7538">
        <w:rPr>
          <w:i/>
          <w:iCs/>
        </w:rPr>
        <w:t>T</w:t>
      </w:r>
      <w:r w:rsidR="0092446E" w:rsidRPr="00AD7538">
        <w:rPr>
          <w:i/>
          <w:iCs/>
        </w:rPr>
        <w:t>he</w:t>
      </w:r>
      <w:r w:rsidR="0092446E" w:rsidRPr="00AD7538">
        <w:rPr>
          <w:i/>
        </w:rPr>
        <w:t xml:space="preserve"> Quest for Sustainable Growth: Interim Report into International </w:t>
      </w:r>
      <w:r w:rsidR="0092446E" w:rsidRPr="00C664AB">
        <w:rPr>
          <w:i/>
        </w:rPr>
        <w:t>Education</w:t>
      </w:r>
      <w:r w:rsidRPr="004B6912">
        <w:rPr>
          <w:rFonts w:eastAsia="Calibri" w:cstheme="minorHAnsi"/>
        </w:rPr>
        <w:t>, xxi</w:t>
      </w:r>
    </w:p>
  </w:footnote>
  <w:footnote w:id="303">
    <w:p w14:paraId="1D1AF98C" w14:textId="27A7CD81" w:rsidR="00857EFC" w:rsidRPr="00DF3188" w:rsidRDefault="00857EFC" w:rsidP="00857EFC">
      <w:pPr>
        <w:pStyle w:val="FootnoteText"/>
        <w:rPr>
          <w:rFonts w:cstheme="minorHAnsi"/>
        </w:rPr>
      </w:pPr>
      <w:r>
        <w:rPr>
          <w:rStyle w:val="FootnoteReference"/>
        </w:rPr>
        <w:footnoteRef/>
      </w:r>
      <w:r>
        <w:t xml:space="preserve"> </w:t>
      </w:r>
      <w:r w:rsidR="002F2A7C">
        <w:t>Department of Home Affairs</w:t>
      </w:r>
      <w:r w:rsidR="00B856BF" w:rsidRPr="005C6977">
        <w:t xml:space="preserve">, </w:t>
      </w:r>
      <w:r w:rsidR="00B856BF" w:rsidRPr="007F6139">
        <w:rPr>
          <w:i/>
          <w:iCs/>
        </w:rPr>
        <w:t>Migration Strategy: Getting Migration Working for the Nation</w:t>
      </w:r>
      <w:r w:rsidR="00B856BF" w:rsidRPr="005C6977">
        <w:t>,</w:t>
      </w:r>
      <w:r w:rsidR="00B856BF">
        <w:t xml:space="preserve"> 68.</w:t>
      </w:r>
    </w:p>
  </w:footnote>
  <w:footnote w:id="304">
    <w:p w14:paraId="66B5F7D4" w14:textId="2A718D9C" w:rsidR="00BD5EA2" w:rsidRPr="00413D81" w:rsidRDefault="00BD5EA2">
      <w:pPr>
        <w:pStyle w:val="FootnoteText"/>
      </w:pPr>
      <w:r w:rsidRPr="4F52A63F">
        <w:rPr>
          <w:vertAlign w:val="superscript"/>
        </w:rPr>
        <w:footnoteRef/>
      </w:r>
      <w:r w:rsidR="00413D81" w:rsidRPr="00804B63">
        <w:rPr>
          <w:vertAlign w:val="superscript"/>
        </w:rPr>
        <w:t xml:space="preserve"> </w:t>
      </w:r>
      <w:r w:rsidR="00A14C42">
        <w:t xml:space="preserve">CBRE, </w:t>
      </w:r>
      <w:r w:rsidR="00413D81">
        <w:rPr>
          <w:i/>
          <w:iCs/>
        </w:rPr>
        <w:t xml:space="preserve">Accommodating the growth in students: Demand, supply and pricing for Australian PBSA market, </w:t>
      </w:r>
      <w:r w:rsidR="00D96F5B">
        <w:t xml:space="preserve">(CBRE Research, August 2023), </w:t>
      </w:r>
      <w:hyperlink r:id="rId165" w:history="1">
        <w:r w:rsidR="00AC4FA8" w:rsidRPr="00811871">
          <w:rPr>
            <w:rStyle w:val="Hyperlink"/>
          </w:rPr>
          <w:t>mktgdocs.cbre.com/2299/c5166330-37d3-4674-8cda-dce518da0b37-1392467054.pdf</w:t>
        </w:r>
      </w:hyperlink>
      <w:r w:rsidR="00AC4FA8">
        <w:t xml:space="preserve">. </w:t>
      </w:r>
      <w:r w:rsidR="00D96F5B">
        <w:t xml:space="preserve"> </w:t>
      </w:r>
    </w:p>
  </w:footnote>
  <w:footnote w:id="305">
    <w:p w14:paraId="34C6DB36" w14:textId="6152595C" w:rsidR="00C27C3D" w:rsidRDefault="00C27C3D">
      <w:pPr>
        <w:pStyle w:val="FootnoteText"/>
      </w:pPr>
      <w:r>
        <w:rPr>
          <w:rStyle w:val="FootnoteReference"/>
        </w:rPr>
        <w:footnoteRef/>
      </w:r>
      <w:r>
        <w:t xml:space="preserve"> Study Gold Coast, “Host </w:t>
      </w:r>
      <w:r w:rsidR="009C6132">
        <w:t xml:space="preserve">for the Coast,” 2023, accessed 13 December 2023, </w:t>
      </w:r>
      <w:hyperlink r:id="rId166" w:history="1">
        <w:r w:rsidR="00AC4FA8" w:rsidRPr="00811871">
          <w:rPr>
            <w:rStyle w:val="Hyperlink"/>
          </w:rPr>
          <w:t>www.studygoldcoast.org.au/host-for-the-coast/</w:t>
        </w:r>
      </w:hyperlink>
      <w:r w:rsidR="00AC4FA8">
        <w:t xml:space="preserve">. </w:t>
      </w:r>
      <w:r w:rsidR="009C6132">
        <w:t xml:space="preserve"> </w:t>
      </w:r>
    </w:p>
  </w:footnote>
  <w:footnote w:id="306">
    <w:p w14:paraId="17D31490" w14:textId="4E7C7EDA" w:rsidR="004F61D1" w:rsidRPr="00E60FE1" w:rsidRDefault="004F61D1" w:rsidP="004F61D1">
      <w:pPr>
        <w:pStyle w:val="FootnoteText"/>
        <w:rPr>
          <w:rFonts w:eastAsia="Calibri" w:cstheme="minorHAnsi"/>
        </w:rPr>
      </w:pPr>
      <w:r>
        <w:rPr>
          <w:rStyle w:val="FootnoteReference"/>
        </w:rPr>
        <w:footnoteRef/>
      </w:r>
      <w:r>
        <w:t xml:space="preserve"> </w:t>
      </w:r>
      <w:r w:rsidRPr="004B6912">
        <w:rPr>
          <w:rFonts w:eastAsia="Calibri" w:cstheme="minorHAnsi"/>
        </w:rPr>
        <w:t xml:space="preserve">Joint Standing Committee on Foreign Affairs, Defence and Trade, </w:t>
      </w:r>
      <w:proofErr w:type="gramStart"/>
      <w:r w:rsidR="005F5FAE" w:rsidRPr="00FA7EDF">
        <w:rPr>
          <w:i/>
        </w:rPr>
        <w:t>Quality</w:t>
      </w:r>
      <w:proofErr w:type="gramEnd"/>
      <w:r w:rsidR="005F5FAE" w:rsidRPr="00FA7EDF">
        <w:rPr>
          <w:i/>
        </w:rPr>
        <w:t xml:space="preserve"> and Integrity - the Quest for Sustainable </w:t>
      </w:r>
      <w:r w:rsidR="009C6132" w:rsidRPr="00FA7EDF">
        <w:rPr>
          <w:i/>
          <w:iCs/>
        </w:rPr>
        <w:t>Growth</w:t>
      </w:r>
      <w:r w:rsidR="005F5FAE" w:rsidRPr="008C4411">
        <w:rPr>
          <w:i/>
        </w:rPr>
        <w:t>: Interim Report into International Education</w:t>
      </w:r>
      <w:r w:rsidR="006B52B6">
        <w:rPr>
          <w:rFonts w:eastAsia="Calibri" w:cstheme="minorHAnsi"/>
        </w:rPr>
        <w:t>,</w:t>
      </w:r>
      <w:r w:rsidRPr="004B6912">
        <w:rPr>
          <w:rFonts w:eastAsia="Calibri" w:cstheme="minorHAnsi"/>
        </w:rPr>
        <w:t xml:space="preserve"> xxi</w:t>
      </w:r>
      <w:r w:rsidR="006B52B6">
        <w:rPr>
          <w:rFonts w:eastAsia="Calibri" w:cstheme="minorHAnsi"/>
        </w:rPr>
        <w:t>.</w:t>
      </w:r>
    </w:p>
  </w:footnote>
  <w:footnote w:id="307">
    <w:p w14:paraId="72EBE19C" w14:textId="1625E2F0" w:rsidR="001F4CED" w:rsidRDefault="001F4CED" w:rsidP="001F4CED">
      <w:pPr>
        <w:pStyle w:val="FootnoteText"/>
      </w:pPr>
      <w:r>
        <w:rPr>
          <w:rStyle w:val="FootnoteReference"/>
        </w:rPr>
        <w:footnoteRef/>
      </w:r>
      <w:r>
        <w:t xml:space="preserve"> Clarivate</w:t>
      </w:r>
      <w:r w:rsidR="0063465B" w:rsidRPr="0063465B">
        <w:t xml:space="preserve">, </w:t>
      </w:r>
      <w:r w:rsidR="0063465B" w:rsidRPr="0063465B">
        <w:rPr>
          <w:i/>
        </w:rPr>
        <w:t>Web of Science Documents</w:t>
      </w:r>
      <w:r w:rsidR="0063465B" w:rsidRPr="0063465B">
        <w:t xml:space="preserve"> [data set]</w:t>
      </w:r>
      <w:r w:rsidR="0031734A">
        <w:t xml:space="preserve">; </w:t>
      </w:r>
      <w:r w:rsidR="0063465B" w:rsidRPr="0063465B">
        <w:t xml:space="preserve">The World Bank, </w:t>
      </w:r>
      <w:r w:rsidR="0063465B" w:rsidRPr="0063465B">
        <w:rPr>
          <w:i/>
        </w:rPr>
        <w:t>Population, total</w:t>
      </w:r>
      <w:r w:rsidR="0063465B" w:rsidRPr="0063465B">
        <w:t xml:space="preserve"> [data set]</w:t>
      </w:r>
      <w:r w:rsidR="002D1DEA">
        <w:t xml:space="preserve">, accessed 24 November 2023, </w:t>
      </w:r>
      <w:hyperlink r:id="rId167" w:anchor="/analysis/0/organization" w:history="1">
        <w:r w:rsidR="002D1DEA">
          <w:rPr>
            <w:rStyle w:val="Hyperlink"/>
          </w:rPr>
          <w:t>incites.clarivate.com/#/analysis/0/organization</w:t>
        </w:r>
      </w:hyperlink>
      <w:r w:rsidR="002D1DEA">
        <w:t xml:space="preserve">; The World Bank, </w:t>
      </w:r>
      <w:r w:rsidR="002D1DEA" w:rsidRPr="006864D1">
        <w:rPr>
          <w:i/>
        </w:rPr>
        <w:t>Population, total</w:t>
      </w:r>
      <w:r w:rsidR="002D1DEA">
        <w:t xml:space="preserve"> [data set], accessed 24 November 2023, </w:t>
      </w:r>
      <w:hyperlink r:id="rId168" w:history="1">
        <w:r w:rsidR="002D1DEA">
          <w:rPr>
            <w:rStyle w:val="Hyperlink"/>
          </w:rPr>
          <w:t>data.worldbank.org/indicator/SP.POP.TOTL</w:t>
        </w:r>
      </w:hyperlink>
      <w:r w:rsidR="002D1DEA">
        <w:t>.</w:t>
      </w:r>
    </w:p>
  </w:footnote>
  <w:footnote w:id="308">
    <w:p w14:paraId="1D1E2A50" w14:textId="588E7C97" w:rsidR="001F4CED" w:rsidRDefault="001F4CED" w:rsidP="001F4CED">
      <w:pPr>
        <w:pStyle w:val="FootnoteText"/>
      </w:pPr>
      <w:r>
        <w:rPr>
          <w:rStyle w:val="FootnoteReference"/>
        </w:rPr>
        <w:footnoteRef/>
      </w:r>
      <w:r>
        <w:t xml:space="preserve"> </w:t>
      </w:r>
      <w:r w:rsidR="007D30B7">
        <w:t xml:space="preserve">Department of Industry, Science and Resources, </w:t>
      </w:r>
      <w:r w:rsidR="007D30B7" w:rsidRPr="00CD1466">
        <w:rPr>
          <w:i/>
        </w:rPr>
        <w:t>Australian Innovation System Monitor</w:t>
      </w:r>
      <w:r w:rsidR="007D30B7">
        <w:rPr>
          <w:i/>
        </w:rPr>
        <w:t xml:space="preserve"> </w:t>
      </w:r>
      <w:r w:rsidR="007D30B7">
        <w:t>[data set].</w:t>
      </w:r>
    </w:p>
  </w:footnote>
  <w:footnote w:id="309">
    <w:p w14:paraId="3063D8DF" w14:textId="467FD5A2" w:rsidR="00703E85" w:rsidRDefault="00703E85" w:rsidP="00703E85">
      <w:pPr>
        <w:pStyle w:val="FootnoteText"/>
      </w:pPr>
      <w:r>
        <w:rPr>
          <w:rStyle w:val="FootnoteReference"/>
        </w:rPr>
        <w:footnoteRef/>
      </w:r>
      <w:r>
        <w:t xml:space="preserve"> </w:t>
      </w:r>
      <w:proofErr w:type="spellStart"/>
      <w:r>
        <w:t>SciVal</w:t>
      </w:r>
      <w:proofErr w:type="spellEnd"/>
      <w:r>
        <w:t xml:space="preserve">, </w:t>
      </w:r>
      <w:r w:rsidRPr="00FA48E8">
        <w:rPr>
          <w:i/>
          <w:iCs/>
        </w:rPr>
        <w:t>Benchmarking – The World University Rankings</w:t>
      </w:r>
      <w:r w:rsidR="00F13049">
        <w:rPr>
          <w:i/>
          <w:iCs/>
        </w:rPr>
        <w:t xml:space="preserve"> </w:t>
      </w:r>
      <w:r w:rsidR="00F13049">
        <w:t>[data set]</w:t>
      </w:r>
      <w:r w:rsidR="00F13049" w:rsidRPr="00FA48E8">
        <w:rPr>
          <w:i/>
          <w:iCs/>
        </w:rPr>
        <w:t>,</w:t>
      </w:r>
      <w:r w:rsidR="00F13049">
        <w:t xml:space="preserve"> (</w:t>
      </w:r>
      <w:r w:rsidR="00F13049" w:rsidRPr="00CD1466">
        <w:t>Elsevier</w:t>
      </w:r>
      <w:r w:rsidR="00F13049">
        <w:t xml:space="preserve">, 2023), accessed 8 December 2023, </w:t>
      </w:r>
      <w:hyperlink r:id="rId169" w:history="1">
        <w:r w:rsidR="00F13049" w:rsidRPr="00CC2A08">
          <w:rPr>
            <w:rStyle w:val="Hyperlink"/>
          </w:rPr>
          <w:t>www.scival.com/benchmarking/ranking/the/worldUniversityRankings</w:t>
        </w:r>
      </w:hyperlink>
      <w:r w:rsidR="00F13049">
        <w:t>.</w:t>
      </w:r>
    </w:p>
    <w:p w14:paraId="0183B104" w14:textId="77777777" w:rsidR="00703E85" w:rsidRDefault="00703E85" w:rsidP="00703E85">
      <w:pPr>
        <w:pStyle w:val="FootnoteText"/>
      </w:pPr>
    </w:p>
  </w:footnote>
  <w:footnote w:id="310">
    <w:p w14:paraId="342A9D4D" w14:textId="6B95CB84" w:rsidR="00703E85" w:rsidRDefault="00703E85" w:rsidP="00703E85">
      <w:pPr>
        <w:pStyle w:val="FootnoteText"/>
      </w:pPr>
      <w:r>
        <w:rPr>
          <w:rStyle w:val="FootnoteReference"/>
        </w:rPr>
        <w:footnoteRef/>
      </w:r>
      <w:r>
        <w:t xml:space="preserve"> Australian Research Council (ARC), </w:t>
      </w:r>
      <w:r w:rsidRPr="00FA5D60">
        <w:rPr>
          <w:i/>
        </w:rPr>
        <w:t>State of Australian University Research 2018–19: ERA National Report,</w:t>
      </w:r>
      <w:r>
        <w:t xml:space="preserve"> </w:t>
      </w:r>
      <w:r w:rsidR="00736F4A">
        <w:t xml:space="preserve">(Canberra: ARC, 2019), </w:t>
      </w:r>
      <w:hyperlink r:id="rId170" w:history="1">
        <w:r w:rsidR="00736F4A" w:rsidRPr="00CC2A08">
          <w:rPr>
            <w:rStyle w:val="Hyperlink"/>
          </w:rPr>
          <w:t>dataportal.arc.gov.au/ERA/NationalReport/2018/</w:t>
        </w:r>
      </w:hyperlink>
      <w:r w:rsidR="00736F4A">
        <w:t xml:space="preserve">; Clarivate Plc, </w:t>
      </w:r>
      <w:r w:rsidR="00736F4A" w:rsidRPr="00FB5A4D">
        <w:t>“</w:t>
      </w:r>
      <w:r w:rsidR="00736F4A" w:rsidRPr="0039076B">
        <w:t>Clarivate Reveals World’s Influential Researchers in Highly Cited Researchers 2023 List</w:t>
      </w:r>
      <w:r w:rsidR="00736F4A" w:rsidRPr="00FB5A4D">
        <w:t>,”</w:t>
      </w:r>
      <w:r w:rsidR="00736F4A">
        <w:t xml:space="preserve"> Australian Associate Press (APA), 15 November 2023, </w:t>
      </w:r>
      <w:hyperlink r:id="rId171" w:history="1">
        <w:r w:rsidR="00736F4A" w:rsidRPr="00EB3F27">
          <w:rPr>
            <w:rStyle w:val="Hyperlink"/>
          </w:rPr>
          <w:t>www.aap.com.au/aapreleases/cision20231115ae68209/</w:t>
        </w:r>
      </w:hyperlink>
      <w:r w:rsidR="00736F4A">
        <w:t>. T</w:t>
      </w:r>
      <w:r w:rsidR="00736F4A" w:rsidRPr="0009622E">
        <w:t>his is calculated as a sum of Rating 3, Rating 4 and Rating 5 two-digit Units of Evaluation (</w:t>
      </w:r>
      <w:proofErr w:type="spellStart"/>
      <w:r w:rsidR="00736F4A" w:rsidRPr="0009622E">
        <w:t>UoEs</w:t>
      </w:r>
      <w:proofErr w:type="spellEnd"/>
      <w:r w:rsidR="00736F4A" w:rsidRPr="0009622E">
        <w:t>) based on the State of Australian Research 2018</w:t>
      </w:r>
      <w:r w:rsidR="00A36320">
        <w:rPr>
          <w:rFonts w:ascii="Symbol" w:eastAsia="Symbol" w:hAnsi="Symbol" w:cs="Symbol"/>
        </w:rPr>
        <w:t>-</w:t>
      </w:r>
      <w:r w:rsidR="00736F4A" w:rsidRPr="0009622E">
        <w:t>19 report (</w:t>
      </w:r>
      <w:hyperlink r:id="rId172" w:history="1">
        <w:r w:rsidR="00482F99" w:rsidRPr="00482F99">
          <w:rPr>
            <w:rStyle w:val="Hyperlink"/>
          </w:rPr>
          <w:t>dataportal.arc.gov.au/ERA/NationalReport/2018‌/pages/section1‌/‌research-quality/</w:t>
        </w:r>
      </w:hyperlink>
      <w:r w:rsidR="00736F4A" w:rsidRPr="0009622E">
        <w:t>)</w:t>
      </w:r>
      <w:r w:rsidR="00E02055">
        <w:t xml:space="preserve">. </w:t>
      </w:r>
      <w:r w:rsidR="00736F4A" w:rsidRPr="0009622E">
        <w:t xml:space="preserve">It's worth noting that since the percentage of </w:t>
      </w:r>
      <w:proofErr w:type="spellStart"/>
      <w:r w:rsidR="00736F4A" w:rsidRPr="0009622E">
        <w:t>UoEs</w:t>
      </w:r>
      <w:proofErr w:type="spellEnd"/>
      <w:r w:rsidR="00736F4A" w:rsidRPr="0009622E">
        <w:t xml:space="preserve"> within each Rating band (1</w:t>
      </w:r>
      <w:r w:rsidR="00AC65EC">
        <w:t>–</w:t>
      </w:r>
      <w:r w:rsidR="00736F4A" w:rsidRPr="0009622E">
        <w:t>5) is a rounded figure, it is possible that the true figure for Rating 3</w:t>
      </w:r>
      <w:r w:rsidR="007161E4">
        <w:t>–</w:t>
      </w:r>
      <w:r w:rsidR="00736F4A" w:rsidRPr="0009622E">
        <w:t>5 (at or above world standard) is 85%.</w:t>
      </w:r>
    </w:p>
  </w:footnote>
  <w:footnote w:id="311">
    <w:p w14:paraId="313AF34B" w14:textId="368A7C7B" w:rsidR="0033168E" w:rsidRPr="00601877" w:rsidRDefault="0033168E" w:rsidP="0033168E">
      <w:pPr>
        <w:pStyle w:val="FootnoteText"/>
        <w:rPr>
          <w:rFonts w:cstheme="minorHAnsi"/>
        </w:rPr>
      </w:pPr>
      <w:r w:rsidRPr="00601877">
        <w:rPr>
          <w:rStyle w:val="FootnoteReference"/>
          <w:rFonts w:cstheme="minorHAnsi"/>
        </w:rPr>
        <w:footnoteRef/>
      </w:r>
      <w:r w:rsidRPr="00601877">
        <w:rPr>
          <w:rFonts w:cstheme="minorHAnsi"/>
        </w:rPr>
        <w:t xml:space="preserve"> </w:t>
      </w:r>
      <w:proofErr w:type="spellStart"/>
      <w:r w:rsidR="00423ED3">
        <w:t>SciVal</w:t>
      </w:r>
      <w:proofErr w:type="spellEnd"/>
      <w:r w:rsidR="00423ED3">
        <w:t xml:space="preserve">, </w:t>
      </w:r>
      <w:r w:rsidR="00423ED3" w:rsidRPr="009C08EE">
        <w:rPr>
          <w:i/>
        </w:rPr>
        <w:t>Collaboration by Australia</w:t>
      </w:r>
      <w:r w:rsidR="00423ED3">
        <w:rPr>
          <w:i/>
        </w:rPr>
        <w:t xml:space="preserve"> </w:t>
      </w:r>
      <w:r w:rsidR="00423ED3">
        <w:rPr>
          <w:iCs/>
        </w:rPr>
        <w:t>[data set]</w:t>
      </w:r>
      <w:r w:rsidR="00423ED3" w:rsidRPr="009C08EE">
        <w:rPr>
          <w:i/>
        </w:rPr>
        <w:t>,</w:t>
      </w:r>
      <w:r w:rsidR="00423ED3">
        <w:t xml:space="preserve"> (2023) accessed 19 December 2023, </w:t>
      </w:r>
      <w:hyperlink r:id="rId173" w:history="1">
        <w:r w:rsidR="00423ED3" w:rsidRPr="00EB3F27">
          <w:rPr>
            <w:rStyle w:val="Hyperlink"/>
          </w:rPr>
          <w:t>www.scival.com/collaboration/collabMetrics?ur</w:t>
        </w:r>
        <w:bookmarkStart w:id="938" w:name="_Hlt155774329"/>
        <w:bookmarkStart w:id="939" w:name="_Hlt155774330"/>
        <w:r w:rsidR="00423ED3" w:rsidRPr="00EB3F27">
          <w:rPr>
            <w:rStyle w:val="Hyperlink"/>
          </w:rPr>
          <w:t>i</w:t>
        </w:r>
        <w:bookmarkEnd w:id="938"/>
        <w:bookmarkEnd w:id="939"/>
        <w:r w:rsidR="00423ED3" w:rsidRPr="00EB3F27">
          <w:rPr>
            <w:rStyle w:val="Hyperlink"/>
          </w:rPr>
          <w:t>=Country/36</w:t>
        </w:r>
      </w:hyperlink>
    </w:p>
  </w:footnote>
  <w:footnote w:id="312">
    <w:p w14:paraId="1FDEC753" w14:textId="2BED6E20" w:rsidR="00703E85" w:rsidRDefault="00703E85" w:rsidP="00703E85">
      <w:pPr>
        <w:pStyle w:val="FootnoteText"/>
      </w:pPr>
      <w:r>
        <w:rPr>
          <w:rStyle w:val="FootnoteReference"/>
        </w:rPr>
        <w:footnoteRef/>
      </w:r>
      <w:r>
        <w:t xml:space="preserve"> </w:t>
      </w:r>
      <w:r w:rsidR="00367FDF">
        <w:t xml:space="preserve">QS, </w:t>
      </w:r>
      <w:r w:rsidR="00367FDF" w:rsidRPr="002257C0">
        <w:rPr>
          <w:i/>
          <w:iCs/>
        </w:rPr>
        <w:t xml:space="preserve">QS 2022 World University Rankings 2023 Result Tables </w:t>
      </w:r>
      <w:r w:rsidR="00367FDF">
        <w:t>[data set]</w:t>
      </w:r>
      <w:r w:rsidR="000C6066">
        <w:rPr>
          <w:i/>
          <w:iCs/>
        </w:rPr>
        <w:t>.</w:t>
      </w:r>
    </w:p>
  </w:footnote>
  <w:footnote w:id="313">
    <w:p w14:paraId="60B6024A" w14:textId="77777777" w:rsidR="00F5545D" w:rsidRPr="00C21910" w:rsidRDefault="00F5545D" w:rsidP="00F5545D">
      <w:pPr>
        <w:pStyle w:val="FootnoteText"/>
      </w:pPr>
      <w:r w:rsidRPr="00C21910">
        <w:rPr>
          <w:vertAlign w:val="superscript"/>
        </w:rPr>
        <w:footnoteRef/>
      </w:r>
      <w:r w:rsidRPr="00C21910">
        <w:rPr>
          <w:vertAlign w:val="superscript"/>
        </w:rPr>
        <w:t xml:space="preserve"> </w:t>
      </w:r>
      <w:r w:rsidRPr="00C21910">
        <w:rPr>
          <w:lang w:val="en-GB"/>
        </w:rPr>
        <w:t xml:space="preserve">Australian Bureau of Statistics, </w:t>
      </w:r>
      <w:r w:rsidRPr="00C21910">
        <w:rPr>
          <w:i/>
          <w:iCs/>
          <w:lang w:val="en-GB"/>
        </w:rPr>
        <w:t>Research and Experimental Development, Businesses, Australia 2021-22</w:t>
      </w:r>
      <w:r w:rsidRPr="00C21910">
        <w:rPr>
          <w:lang w:val="en-GB"/>
        </w:rPr>
        <w:t xml:space="preserve"> [data set].</w:t>
      </w:r>
    </w:p>
  </w:footnote>
  <w:footnote w:id="314">
    <w:p w14:paraId="2947A5E4" w14:textId="5F880A69" w:rsidR="00703E85" w:rsidRDefault="00703E85" w:rsidP="00703E85">
      <w:pPr>
        <w:pStyle w:val="FootnoteText"/>
      </w:pPr>
      <w:r w:rsidRPr="006F65B0">
        <w:rPr>
          <w:vertAlign w:val="superscript"/>
        </w:rPr>
        <w:footnoteRef/>
      </w:r>
      <w:r w:rsidRPr="006F65B0">
        <w:rPr>
          <w:vertAlign w:val="superscript"/>
        </w:rPr>
        <w:t xml:space="preserve"> </w:t>
      </w:r>
      <w:r w:rsidR="006043C5" w:rsidRPr="000E3410">
        <w:rPr>
          <w:lang w:val="en-GB"/>
        </w:rPr>
        <w:t xml:space="preserve">Australian Bureau of Statistics, </w:t>
      </w:r>
      <w:r w:rsidR="006043C5" w:rsidRPr="000E3410">
        <w:rPr>
          <w:i/>
          <w:iCs/>
          <w:lang w:val="en-GB"/>
        </w:rPr>
        <w:t xml:space="preserve">Research and Experimental Development, Businesses, Australia </w:t>
      </w:r>
      <w:r w:rsidR="006043C5" w:rsidRPr="008C4411">
        <w:rPr>
          <w:lang w:val="en-GB"/>
        </w:rPr>
        <w:t>(various)</w:t>
      </w:r>
      <w:r w:rsidR="006043C5" w:rsidRPr="000E3410">
        <w:rPr>
          <w:lang w:val="en-GB"/>
        </w:rPr>
        <w:t xml:space="preserve"> [data set].</w:t>
      </w:r>
      <w:r w:rsidR="006043C5" w:rsidRPr="000E3410">
        <w:t> </w:t>
      </w:r>
    </w:p>
  </w:footnote>
  <w:footnote w:id="315">
    <w:p w14:paraId="3CB3E34F" w14:textId="7596A863" w:rsidR="00703E85" w:rsidRDefault="00703E85" w:rsidP="00703E85">
      <w:pPr>
        <w:pStyle w:val="FootnoteText"/>
      </w:pPr>
      <w:r>
        <w:rPr>
          <w:rStyle w:val="FootnoteReference"/>
        </w:rPr>
        <w:footnoteRef/>
      </w:r>
      <w:r>
        <w:t xml:space="preserve"> </w:t>
      </w:r>
      <w:r w:rsidR="006043C5" w:rsidRPr="000E3410">
        <w:rPr>
          <w:lang w:val="en-GB"/>
        </w:rPr>
        <w:t xml:space="preserve">Australian Bureau of Statistics, </w:t>
      </w:r>
      <w:r w:rsidR="006043C5" w:rsidRPr="000E3410">
        <w:rPr>
          <w:i/>
          <w:iCs/>
          <w:lang w:val="en-GB"/>
        </w:rPr>
        <w:t xml:space="preserve">Research and Experimental Development, Businesses, Australia </w:t>
      </w:r>
      <w:r w:rsidR="006043C5" w:rsidRPr="008C4411">
        <w:rPr>
          <w:lang w:val="en-GB"/>
        </w:rPr>
        <w:t>(various)</w:t>
      </w:r>
      <w:r w:rsidR="006043C5" w:rsidRPr="000E3410">
        <w:rPr>
          <w:lang w:val="en-GB"/>
        </w:rPr>
        <w:t xml:space="preserve"> [data set].</w:t>
      </w:r>
      <w:r w:rsidR="006043C5" w:rsidRPr="000E3410">
        <w:t> </w:t>
      </w:r>
    </w:p>
  </w:footnote>
  <w:footnote w:id="316">
    <w:p w14:paraId="73B157EC" w14:textId="6CAD65E3" w:rsidR="00703E85" w:rsidRDefault="00703E85" w:rsidP="00703E85">
      <w:pPr>
        <w:pStyle w:val="FootnoteText"/>
      </w:pPr>
      <w:r>
        <w:rPr>
          <w:rStyle w:val="FootnoteReference"/>
        </w:rPr>
        <w:footnoteRef/>
      </w:r>
      <w:r>
        <w:t xml:space="preserve"> </w:t>
      </w:r>
      <w:r w:rsidR="006043C5" w:rsidRPr="000E3410">
        <w:rPr>
          <w:lang w:val="en-GB"/>
        </w:rPr>
        <w:t xml:space="preserve">Australian Bureau of Statistics, </w:t>
      </w:r>
      <w:r w:rsidR="006043C5" w:rsidRPr="000E3410">
        <w:rPr>
          <w:i/>
          <w:iCs/>
          <w:lang w:val="en-GB"/>
        </w:rPr>
        <w:t xml:space="preserve">Research and Experimental Development, Businesses, Australia </w:t>
      </w:r>
      <w:r w:rsidR="006043C5" w:rsidRPr="008C4411">
        <w:rPr>
          <w:lang w:val="en-GB"/>
        </w:rPr>
        <w:t>(various)</w:t>
      </w:r>
      <w:r w:rsidR="006043C5" w:rsidRPr="000E3410">
        <w:rPr>
          <w:lang w:val="en-GB"/>
        </w:rPr>
        <w:t xml:space="preserve"> [data set]</w:t>
      </w:r>
      <w:r w:rsidR="00AE4F3A">
        <w:rPr>
          <w:lang w:val="en-GB"/>
        </w:rPr>
        <w:t xml:space="preserve">; </w:t>
      </w:r>
      <w:r w:rsidR="00AE4F3A" w:rsidRPr="00E25C63">
        <w:t>Australian Bureau of Statistics,</w:t>
      </w:r>
      <w:r w:rsidR="00AE4F3A">
        <w:t xml:space="preserve"> </w:t>
      </w:r>
      <w:r w:rsidR="00AE4F3A" w:rsidRPr="0022325C">
        <w:rPr>
          <w:rFonts w:cstheme="minorHAnsi"/>
          <w:i/>
        </w:rPr>
        <w:t xml:space="preserve">Australian National Accounts: </w:t>
      </w:r>
      <w:r w:rsidR="00AE4F3A">
        <w:rPr>
          <w:rFonts w:cstheme="minorHAnsi"/>
          <w:i/>
          <w:iCs/>
        </w:rPr>
        <w:t>N</w:t>
      </w:r>
      <w:r w:rsidR="00AE4F3A" w:rsidRPr="0022325C">
        <w:rPr>
          <w:rFonts w:cstheme="minorHAnsi"/>
          <w:i/>
          <w:iCs/>
        </w:rPr>
        <w:t>ational</w:t>
      </w:r>
      <w:r w:rsidR="00AE4F3A" w:rsidRPr="0022325C">
        <w:rPr>
          <w:rFonts w:cstheme="minorHAnsi"/>
          <w:i/>
        </w:rPr>
        <w:t xml:space="preserve"> Income, Expenditure and Product</w:t>
      </w:r>
      <w:r w:rsidR="00AE4F3A">
        <w:rPr>
          <w:rFonts w:cstheme="minorHAnsi"/>
        </w:rPr>
        <w:t xml:space="preserve"> [data set], Table 36 (Canberra), published 6 December 2023,</w:t>
      </w:r>
      <w:r w:rsidR="00AE4F3A" w:rsidRPr="00601877">
        <w:rPr>
          <w:rFonts w:cstheme="minorHAnsi"/>
        </w:rPr>
        <w:t xml:space="preserve"> </w:t>
      </w:r>
      <w:hyperlink r:id="rId174" w:history="1">
        <w:r w:rsidR="006478D7" w:rsidRPr="006478D7">
          <w:rPr>
            <w:rStyle w:val="Hyperlink"/>
            <w:rFonts w:cstheme="minorHAnsi"/>
          </w:rPr>
          <w:t>www.abs.gov.au/statistics/econ</w:t>
        </w:r>
        <w:bookmarkStart w:id="944" w:name="_Hlt155774342"/>
        <w:bookmarkStart w:id="945" w:name="_Hlt155774343"/>
        <w:r w:rsidR="006478D7" w:rsidRPr="006478D7">
          <w:rPr>
            <w:rStyle w:val="Hyperlink"/>
            <w:rFonts w:cstheme="minorHAnsi"/>
          </w:rPr>
          <w:t>o</w:t>
        </w:r>
        <w:bookmarkEnd w:id="944"/>
        <w:bookmarkEnd w:id="945"/>
        <w:r w:rsidR="006478D7" w:rsidRPr="006478D7">
          <w:rPr>
            <w:rStyle w:val="Hyperlink"/>
            <w:rFonts w:cstheme="minorHAnsi"/>
          </w:rPr>
          <w:t>my/national-accounts/australian-national-accounts-national-income-expenditure-and-product/latest-release</w:t>
        </w:r>
      </w:hyperlink>
      <w:r w:rsidR="00AE4F3A">
        <w:rPr>
          <w:rStyle w:val="Hyperlink"/>
          <w:rFonts w:cstheme="minorHAnsi"/>
        </w:rPr>
        <w:t>.</w:t>
      </w:r>
    </w:p>
  </w:footnote>
  <w:footnote w:id="317">
    <w:p w14:paraId="7586DE42" w14:textId="532A94B3" w:rsidR="00703E85" w:rsidRPr="002D299F" w:rsidRDefault="00703E85" w:rsidP="00703E85">
      <w:pPr>
        <w:pStyle w:val="FootnoteText"/>
        <w:rPr>
          <w:rStyle w:val="Hyperlink"/>
        </w:rPr>
      </w:pPr>
      <w:r>
        <w:rPr>
          <w:rStyle w:val="FootnoteReference"/>
        </w:rPr>
        <w:footnoteRef/>
      </w:r>
      <w:r>
        <w:t xml:space="preserve"> </w:t>
      </w:r>
      <w:r w:rsidRPr="00B53EE5">
        <w:t>Department of Industry, Science and Resources</w:t>
      </w:r>
      <w:r>
        <w:t xml:space="preserve">, </w:t>
      </w:r>
      <w:r w:rsidRPr="00073540">
        <w:rPr>
          <w:i/>
        </w:rPr>
        <w:t>2022</w:t>
      </w:r>
      <w:r w:rsidR="00BA309F">
        <w:rPr>
          <w:rFonts w:ascii="Symbol" w:eastAsia="Symbol" w:hAnsi="Symbol" w:cs="Symbol"/>
        </w:rPr>
        <w:t>-</w:t>
      </w:r>
      <w:r w:rsidRPr="00073540">
        <w:rPr>
          <w:i/>
        </w:rPr>
        <w:t>23 SRI budget tables,</w:t>
      </w:r>
      <w:r>
        <w:t xml:space="preserve"> Department of Industry, Science and Resources</w:t>
      </w:r>
      <w:r w:rsidRPr="00B53EE5">
        <w:t xml:space="preserve">, </w:t>
      </w:r>
      <w:r>
        <w:t xml:space="preserve">Australian Government, 28 April, 2023, </w:t>
      </w:r>
      <w:hyperlink r:id="rId175" w:history="1">
        <w:r w:rsidR="00734367" w:rsidRPr="00811871">
          <w:rPr>
            <w:rStyle w:val="Hyperlink"/>
          </w:rPr>
          <w:t>www.industry.gov.au/publications/science-research-and-innovation-sri-budget-tables-2022-23</w:t>
        </w:r>
      </w:hyperlink>
      <w:r w:rsidR="00734367">
        <w:rPr>
          <w:rStyle w:val="Hyperlink"/>
        </w:rPr>
        <w:t xml:space="preserve">. </w:t>
      </w:r>
    </w:p>
  </w:footnote>
  <w:footnote w:id="318">
    <w:p w14:paraId="0544DEC8" w14:textId="23976BC6" w:rsidR="00700317" w:rsidRDefault="00700317">
      <w:pPr>
        <w:pStyle w:val="FootnoteText"/>
      </w:pPr>
      <w:r>
        <w:rPr>
          <w:rStyle w:val="FootnoteReference"/>
        </w:rPr>
        <w:footnoteRef/>
      </w:r>
      <w:r>
        <w:t xml:space="preserve"> </w:t>
      </w:r>
      <w:r w:rsidRPr="00E25C63">
        <w:t xml:space="preserve">Australian Bureau of Statistics, </w:t>
      </w:r>
      <w:r w:rsidRPr="000A2EB3">
        <w:rPr>
          <w:i/>
          <w:iCs/>
        </w:rPr>
        <w:t>Research and Experimental Development, All Sector Summary, Australia, 2008</w:t>
      </w:r>
      <w:r>
        <w:rPr>
          <w:i/>
          <w:iCs/>
        </w:rPr>
        <w:t>–</w:t>
      </w:r>
      <w:r w:rsidRPr="000A2EB3">
        <w:rPr>
          <w:i/>
          <w:iCs/>
        </w:rPr>
        <w:t>09, Gross resources devoted to R&amp;D, summary statistics–1992–93 to 2008–09</w:t>
      </w:r>
      <w:r w:rsidRPr="00E25C63">
        <w:t>;</w:t>
      </w:r>
      <w:r>
        <w:t xml:space="preserve"> </w:t>
      </w:r>
      <w:r>
        <w:rPr>
          <w:rStyle w:val="normaltextrun"/>
          <w:rFonts w:ascii="Calibri" w:hAnsi="Calibri" w:cs="Calibri"/>
          <w:color w:val="000000"/>
          <w:shd w:val="clear" w:color="auto" w:fill="FFFFFF"/>
          <w:lang w:val="en-GB"/>
        </w:rPr>
        <w:t xml:space="preserve">Australian Bureau of Statistics, </w:t>
      </w:r>
      <w:r>
        <w:rPr>
          <w:rStyle w:val="findhit"/>
          <w:rFonts w:ascii="Calibri" w:hAnsi="Calibri" w:cs="Calibri"/>
          <w:i/>
          <w:iCs/>
          <w:color w:val="000000"/>
          <w:shd w:val="clear" w:color="auto" w:fill="FFFFFF"/>
          <w:lang w:val="en-GB"/>
        </w:rPr>
        <w:t>Research and</w:t>
      </w:r>
      <w:r>
        <w:rPr>
          <w:rStyle w:val="normaltextrun"/>
          <w:rFonts w:ascii="Calibri" w:hAnsi="Calibri" w:cs="Calibri"/>
          <w:i/>
          <w:iCs/>
          <w:color w:val="000000"/>
          <w:shd w:val="clear" w:color="auto" w:fill="FFFFFF"/>
          <w:lang w:val="en-GB"/>
        </w:rPr>
        <w:t xml:space="preserve"> Experimental Development, Businesses, Australia </w:t>
      </w:r>
      <w:r w:rsidRPr="00FF69D5">
        <w:rPr>
          <w:i/>
          <w:iCs/>
          <w:lang w:val="en-GB"/>
        </w:rPr>
        <w:t>(variou</w:t>
      </w:r>
      <w:r>
        <w:rPr>
          <w:i/>
          <w:iCs/>
          <w:lang w:val="en-GB"/>
        </w:rPr>
        <w:t>s</w:t>
      </w:r>
      <w:r w:rsidRPr="00FF69D5">
        <w:rPr>
          <w:i/>
          <w:iCs/>
          <w:lang w:val="en-GB"/>
        </w:rPr>
        <w:t>)</w:t>
      </w:r>
      <w:r>
        <w:rPr>
          <w:i/>
          <w:iCs/>
          <w:lang w:val="en-GB"/>
        </w:rPr>
        <w:t xml:space="preserve">, GERD by sector; </w:t>
      </w:r>
      <w:r w:rsidRPr="00E25C63">
        <w:t xml:space="preserve">Australian Bureau of Statistics, </w:t>
      </w:r>
      <w:r>
        <w:rPr>
          <w:i/>
          <w:iCs/>
          <w:lang w:val="en-GB"/>
        </w:rPr>
        <w:t xml:space="preserve"> </w:t>
      </w:r>
      <w:r w:rsidRPr="0022325C">
        <w:rPr>
          <w:rFonts w:cstheme="minorHAnsi"/>
          <w:i/>
        </w:rPr>
        <w:t xml:space="preserve">Australian National Accounts: </w:t>
      </w:r>
      <w:r>
        <w:rPr>
          <w:rFonts w:cstheme="minorHAnsi"/>
          <w:i/>
          <w:iCs/>
        </w:rPr>
        <w:t>N</w:t>
      </w:r>
      <w:r w:rsidRPr="0022325C">
        <w:rPr>
          <w:rFonts w:cstheme="minorHAnsi"/>
          <w:i/>
          <w:iCs/>
        </w:rPr>
        <w:t>ational</w:t>
      </w:r>
      <w:r w:rsidRPr="0022325C">
        <w:rPr>
          <w:rFonts w:cstheme="minorHAnsi"/>
          <w:i/>
        </w:rPr>
        <w:t xml:space="preserve"> Income, Expenditure and Product</w:t>
      </w:r>
      <w:r>
        <w:rPr>
          <w:rFonts w:cstheme="minorHAnsi"/>
        </w:rPr>
        <w:t xml:space="preserve"> [data set], Table 36 (Canberra), published 6 December 2023,</w:t>
      </w:r>
      <w:r w:rsidRPr="00601877">
        <w:rPr>
          <w:rFonts w:cstheme="minorHAnsi"/>
        </w:rPr>
        <w:t xml:space="preserve"> </w:t>
      </w:r>
      <w:hyperlink r:id="rId176" w:history="1">
        <w:r w:rsidRPr="0091242D">
          <w:rPr>
            <w:rStyle w:val="Hyperlink"/>
            <w:rFonts w:cstheme="minorHAnsi"/>
          </w:rPr>
          <w:t>www.abs.gov.au/statistics/economy/national-accounts/australian-national-accounts-national-income-expenditure-and-product/latest-release</w:t>
        </w:r>
      </w:hyperlink>
    </w:p>
  </w:footnote>
  <w:footnote w:id="319">
    <w:p w14:paraId="52098EF9" w14:textId="030E4F1E" w:rsidR="00703E85" w:rsidRPr="002D299F" w:rsidRDefault="00703E85" w:rsidP="00703E85">
      <w:pPr>
        <w:pStyle w:val="FootnoteText"/>
        <w:rPr>
          <w:rStyle w:val="Hyperlink"/>
        </w:rPr>
      </w:pPr>
      <w:r>
        <w:rPr>
          <w:rStyle w:val="FootnoteReference"/>
        </w:rPr>
        <w:footnoteRef/>
      </w:r>
      <w:r>
        <w:t xml:space="preserve"> </w:t>
      </w:r>
      <w:r w:rsidR="006179FD" w:rsidRPr="005513E1">
        <w:rPr>
          <w:rStyle w:val="normaltextrun"/>
        </w:rPr>
        <w:t xml:space="preserve">OECD, </w:t>
      </w:r>
      <w:hyperlink r:id="rId177" w:history="1">
        <w:r w:rsidR="006179FD" w:rsidRPr="00962A63">
          <w:rPr>
            <w:rStyle w:val="normaltextrun"/>
            <w:i/>
            <w:iCs/>
          </w:rPr>
          <w:t>Main Science and Technology Indicators</w:t>
        </w:r>
      </w:hyperlink>
      <w:r w:rsidR="006179FD" w:rsidRPr="00CC2866">
        <w:rPr>
          <w:rStyle w:val="normaltextrun"/>
          <w:i/>
          <w:iCs/>
        </w:rPr>
        <w:t>: Percentage of GERD performed by the Higher Education sector</w:t>
      </w:r>
      <w:r w:rsidR="006179FD">
        <w:rPr>
          <w:rStyle w:val="normaltextrun"/>
        </w:rPr>
        <w:t xml:space="preserve"> [data set], accessed 13 December 2023</w:t>
      </w:r>
      <w:r w:rsidR="006179FD" w:rsidRPr="006179FD">
        <w:rPr>
          <w:rStyle w:val="normaltextrun"/>
        </w:rPr>
        <w:t>,</w:t>
      </w:r>
      <w:r w:rsidR="006179FD" w:rsidRPr="008C4411">
        <w:rPr>
          <w:rStyle w:val="normaltextrun"/>
        </w:rPr>
        <w:t xml:space="preserve"> </w:t>
      </w:r>
      <w:hyperlink r:id="rId178" w:history="1">
        <w:r w:rsidR="00D77704" w:rsidRPr="00811871">
          <w:rPr>
            <w:rStyle w:val="Hyperlink"/>
          </w:rPr>
          <w:t>stats.oecd.org/</w:t>
        </w:r>
        <w:proofErr w:type="spellStart"/>
        <w:r w:rsidR="00D77704" w:rsidRPr="00811871">
          <w:rPr>
            <w:rStyle w:val="Hyperlink"/>
          </w:rPr>
          <w:t>Index.aspx?DataSetCode</w:t>
        </w:r>
        <w:proofErr w:type="spellEnd"/>
        <w:r w:rsidR="00D77704" w:rsidRPr="00811871">
          <w:rPr>
            <w:rStyle w:val="Hyperlink"/>
          </w:rPr>
          <w:t>=MSTI_PUB#</w:t>
        </w:r>
      </w:hyperlink>
      <w:r w:rsidR="00D77704">
        <w:rPr>
          <w:rStyle w:val="normaltextrun"/>
          <w:i/>
          <w:iCs/>
        </w:rPr>
        <w:t xml:space="preserve">. </w:t>
      </w:r>
    </w:p>
  </w:footnote>
  <w:footnote w:id="320">
    <w:p w14:paraId="53BED02E" w14:textId="54626429" w:rsidR="00703E85" w:rsidRDefault="00703E85" w:rsidP="00703E85">
      <w:pPr>
        <w:pStyle w:val="FootnoteText"/>
      </w:pPr>
      <w:r>
        <w:rPr>
          <w:rStyle w:val="FootnoteReference"/>
        </w:rPr>
        <w:footnoteRef/>
      </w:r>
      <w:r>
        <w:t xml:space="preserve"> </w:t>
      </w:r>
      <w:r>
        <w:rPr>
          <w:rStyle w:val="normaltextrun"/>
          <w:color w:val="000000"/>
          <w:szCs w:val="16"/>
          <w:shd w:val="clear" w:color="auto" w:fill="FFFFFF"/>
        </w:rPr>
        <w:t>OECD,</w:t>
      </w:r>
      <w:r w:rsidR="00337CB8">
        <w:rPr>
          <w:rStyle w:val="normaltextrun"/>
          <w:color w:val="000000"/>
          <w:szCs w:val="16"/>
          <w:shd w:val="clear" w:color="auto" w:fill="FFFFFF"/>
        </w:rPr>
        <w:t xml:space="preserve"> </w:t>
      </w:r>
      <w:r w:rsidR="00337CB8">
        <w:rPr>
          <w:rStyle w:val="normaltextrun"/>
          <w:i/>
          <w:iCs/>
          <w:color w:val="000000"/>
          <w:szCs w:val="16"/>
          <w:shd w:val="clear" w:color="auto" w:fill="FFFFFF"/>
        </w:rPr>
        <w:t>OECD</w:t>
      </w:r>
      <w:r>
        <w:rPr>
          <w:rStyle w:val="normaltextrun"/>
          <w:color w:val="000000"/>
          <w:szCs w:val="16"/>
          <w:shd w:val="clear" w:color="auto" w:fill="FFFFFF"/>
        </w:rPr>
        <w:t xml:space="preserve"> </w:t>
      </w:r>
      <w:r w:rsidRPr="005A3B8D">
        <w:rPr>
          <w:rStyle w:val="normaltextrun"/>
          <w:i/>
          <w:color w:val="000000"/>
          <w:szCs w:val="16"/>
          <w:shd w:val="clear" w:color="auto" w:fill="FFFFFF"/>
        </w:rPr>
        <w:t>Main Science and Technology Indicators</w:t>
      </w:r>
      <w:r w:rsidR="0095544A">
        <w:rPr>
          <w:rStyle w:val="normaltextrun"/>
          <w:iCs/>
          <w:color w:val="000000"/>
          <w:szCs w:val="16"/>
          <w:shd w:val="clear" w:color="auto" w:fill="FFFFFF"/>
        </w:rPr>
        <w:t xml:space="preserve"> [data set]</w:t>
      </w:r>
      <w:r w:rsidRPr="005A3B8D">
        <w:rPr>
          <w:rStyle w:val="normaltextrun"/>
          <w:i/>
          <w:color w:val="000000"/>
          <w:szCs w:val="16"/>
          <w:shd w:val="clear" w:color="auto" w:fill="FFFFFF"/>
        </w:rPr>
        <w:t>,</w:t>
      </w:r>
      <w:r>
        <w:rPr>
          <w:rStyle w:val="normaltextrun"/>
          <w:color w:val="000000"/>
          <w:szCs w:val="16"/>
          <w:shd w:val="clear" w:color="auto" w:fill="FFFFFF"/>
        </w:rPr>
        <w:t xml:space="preserve"> OECD, 2023</w:t>
      </w:r>
      <w:r w:rsidR="0095544A">
        <w:rPr>
          <w:rStyle w:val="normaltextrun"/>
          <w:i/>
          <w:iCs/>
          <w:color w:val="0000FF"/>
          <w:szCs w:val="16"/>
          <w:u w:val="single"/>
          <w:shd w:val="clear" w:color="auto" w:fill="FFFFFF"/>
        </w:rPr>
        <w:t>.</w:t>
      </w:r>
    </w:p>
  </w:footnote>
  <w:footnote w:id="321">
    <w:p w14:paraId="7BF3AD21" w14:textId="49955FDB" w:rsidR="00B2737A" w:rsidRPr="008C4411" w:rsidRDefault="00B2737A">
      <w:pPr>
        <w:pStyle w:val="FootnoteText"/>
        <w:rPr>
          <w:i/>
          <w:iCs/>
        </w:rPr>
      </w:pPr>
      <w:r>
        <w:rPr>
          <w:rStyle w:val="FootnoteReference"/>
        </w:rPr>
        <w:footnoteRef/>
      </w:r>
      <w:r>
        <w:t xml:space="preserve"> OECD, </w:t>
      </w:r>
      <w:r>
        <w:rPr>
          <w:i/>
          <w:iCs/>
        </w:rPr>
        <w:t xml:space="preserve">OECD Business Innovation Indicators 2023 edition, </w:t>
      </w:r>
      <w:r>
        <w:t xml:space="preserve">(Paris: 2023), accessed </w:t>
      </w:r>
      <w:r w:rsidR="00E72566">
        <w:t xml:space="preserve">14 </w:t>
      </w:r>
      <w:r>
        <w:t xml:space="preserve">December 2023, </w:t>
      </w:r>
      <w:hyperlink r:id="rId179" w:history="1">
        <w:r w:rsidR="00691188" w:rsidRPr="00991248">
          <w:rPr>
            <w:rStyle w:val="Hyperlink"/>
          </w:rPr>
          <w:t>www.oecd.org/sti/inno/innov</w:t>
        </w:r>
        <w:bookmarkStart w:id="953" w:name="_Hlt155774444"/>
        <w:bookmarkStart w:id="954" w:name="_Hlt155774445"/>
        <w:r w:rsidR="00691188" w:rsidRPr="00991248">
          <w:rPr>
            <w:rStyle w:val="Hyperlink"/>
          </w:rPr>
          <w:t>a</w:t>
        </w:r>
        <w:bookmarkEnd w:id="953"/>
        <w:bookmarkEnd w:id="954"/>
        <w:r w:rsidR="00691188" w:rsidRPr="00991248">
          <w:rPr>
            <w:rStyle w:val="Hyperlink"/>
          </w:rPr>
          <w:t>tion-indicators-2023-highlights.pdf</w:t>
        </w:r>
      </w:hyperlink>
      <w:r w:rsidR="00691188">
        <w:t>;</w:t>
      </w:r>
      <w:r>
        <w:t xml:space="preserve">  Eurostat, </w:t>
      </w:r>
      <w:r>
        <w:rPr>
          <w:i/>
          <w:iCs/>
        </w:rPr>
        <w:t>Community innovation survey 2020 (CIS2020</w:t>
      </w:r>
      <w:r w:rsidR="005C5274">
        <w:rPr>
          <w:i/>
          <w:iCs/>
        </w:rPr>
        <w:t xml:space="preserve">), European Union: 2020), accessed 14 December 2023. </w:t>
      </w:r>
      <w:hyperlink r:id="rId180" w:anchor="annex1678715583437" w:history="1">
        <w:proofErr w:type="gramStart"/>
        <w:r w:rsidR="0081084B" w:rsidRPr="00A76F58">
          <w:rPr>
            <w:rStyle w:val="Hyperlink"/>
          </w:rPr>
          <w:t>ec.europa</w:t>
        </w:r>
        <w:proofErr w:type="gramEnd"/>
        <w:r w:rsidR="0081084B" w:rsidRPr="00A76F58">
          <w:rPr>
            <w:rStyle w:val="Hyperlink"/>
          </w:rPr>
          <w:t>.‌eu/eurostat/cache/metadata‌/‌en/inn_cis12_esms.htm#annex1678715583437</w:t>
        </w:r>
      </w:hyperlink>
      <w:r w:rsidR="0081084B">
        <w:t>.</w:t>
      </w:r>
    </w:p>
  </w:footnote>
  <w:footnote w:id="322">
    <w:p w14:paraId="5A4559DD" w14:textId="2A87E82F" w:rsidR="00703E85" w:rsidRDefault="00703E85" w:rsidP="00703E85">
      <w:pPr>
        <w:pStyle w:val="FootnoteText"/>
      </w:pPr>
      <w:r>
        <w:rPr>
          <w:rStyle w:val="FootnoteReference"/>
        </w:rPr>
        <w:footnoteRef/>
      </w:r>
      <w:r>
        <w:t xml:space="preserve"> </w:t>
      </w:r>
      <w:r w:rsidR="00E345C4">
        <w:rPr>
          <w:rStyle w:val="findhit"/>
          <w:rFonts w:ascii="Calibri" w:hAnsi="Calibri" w:cs="Calibri"/>
          <w:color w:val="000000"/>
          <w:shd w:val="clear" w:color="auto" w:fill="FFFFFF"/>
          <w:lang w:val="en-GB"/>
        </w:rPr>
        <w:t>WIPO</w:t>
      </w:r>
      <w:r w:rsidR="00E345C4">
        <w:rPr>
          <w:rStyle w:val="normaltextrun"/>
          <w:rFonts w:ascii="Calibri" w:hAnsi="Calibri" w:cs="Calibri"/>
          <w:color w:val="000000"/>
          <w:shd w:val="clear" w:color="auto" w:fill="FFFFFF"/>
          <w:lang w:val="en-GB"/>
        </w:rPr>
        <w:t>, “Global Innovation Index.”</w:t>
      </w:r>
      <w:r w:rsidR="00E345C4">
        <w:rPr>
          <w:rStyle w:val="eop"/>
          <w:rFonts w:ascii="Calibri" w:hAnsi="Calibri" w:cs="Calibri"/>
          <w:color w:val="000000"/>
          <w:shd w:val="clear" w:color="auto" w:fill="FFFFFF"/>
        </w:rPr>
        <w:t> </w:t>
      </w:r>
    </w:p>
  </w:footnote>
  <w:footnote w:id="323">
    <w:p w14:paraId="48F8C812" w14:textId="00965282" w:rsidR="00703E85" w:rsidRDefault="00703E85" w:rsidP="00703E85">
      <w:pPr>
        <w:pStyle w:val="FootnoteText"/>
        <w:rPr>
          <w:rStyle w:val="normaltextrun"/>
          <w:color w:val="000000" w:themeColor="text1"/>
        </w:rPr>
      </w:pPr>
      <w:r>
        <w:rPr>
          <w:rStyle w:val="FootnoteReference"/>
        </w:rPr>
        <w:footnoteRef/>
      </w:r>
      <w:r>
        <w:t xml:space="preserve"> </w:t>
      </w:r>
      <w:r w:rsidRPr="4A5531FF">
        <w:rPr>
          <w:rStyle w:val="normaltextrun"/>
          <w:color w:val="000000" w:themeColor="text1"/>
        </w:rPr>
        <w:t>Ross,</w:t>
      </w:r>
      <w:r w:rsidRPr="2814FE7B">
        <w:rPr>
          <w:rStyle w:val="normaltextrun"/>
          <w:color w:val="000000" w:themeColor="text1"/>
        </w:rPr>
        <w:t xml:space="preserve"> </w:t>
      </w:r>
      <w:r w:rsidR="0081084B">
        <w:rPr>
          <w:rStyle w:val="normaltextrun"/>
          <w:color w:val="000000" w:themeColor="text1"/>
        </w:rPr>
        <w:t>“</w:t>
      </w:r>
      <w:r w:rsidRPr="2814FE7B">
        <w:rPr>
          <w:rStyle w:val="normaltextrun"/>
          <w:color w:val="000000" w:themeColor="text1"/>
        </w:rPr>
        <w:t xml:space="preserve">Australian R&amp;D </w:t>
      </w:r>
      <w:r w:rsidRPr="177ED297">
        <w:rPr>
          <w:rStyle w:val="normaltextrun"/>
          <w:color w:val="000000" w:themeColor="text1"/>
        </w:rPr>
        <w:t>Investment hits 17 year low</w:t>
      </w:r>
      <w:r w:rsidR="0081084B">
        <w:rPr>
          <w:rStyle w:val="normaltextrun"/>
          <w:color w:val="000000" w:themeColor="text1"/>
        </w:rPr>
        <w:t>.”</w:t>
      </w:r>
    </w:p>
  </w:footnote>
  <w:footnote w:id="324">
    <w:p w14:paraId="0B203AFA" w14:textId="028B3119" w:rsidR="00703E85" w:rsidRDefault="00703E85" w:rsidP="00703E85">
      <w:pPr>
        <w:pStyle w:val="FootnoteText"/>
        <w:rPr>
          <w:rStyle w:val="normaltextrun"/>
          <w:color w:val="000000" w:themeColor="text1"/>
        </w:rPr>
      </w:pPr>
      <w:r>
        <w:rPr>
          <w:rStyle w:val="FootnoteReference"/>
        </w:rPr>
        <w:footnoteRef/>
      </w:r>
      <w:r>
        <w:t xml:space="preserve"> </w:t>
      </w:r>
      <w:r w:rsidR="0081084B">
        <w:t>Harvard</w:t>
      </w:r>
      <w:r>
        <w:t xml:space="preserve"> </w:t>
      </w:r>
      <w:r w:rsidRPr="29EDF3F8">
        <w:rPr>
          <w:rStyle w:val="normaltextrun"/>
          <w:color w:val="000000" w:themeColor="text1"/>
        </w:rPr>
        <w:t xml:space="preserve">Growth Lab, </w:t>
      </w:r>
      <w:proofErr w:type="gramStart"/>
      <w:r w:rsidRPr="009C08EE">
        <w:rPr>
          <w:rStyle w:val="normaltextrun"/>
          <w:i/>
          <w:color w:val="000000" w:themeColor="text1"/>
        </w:rPr>
        <w:t>Country</w:t>
      </w:r>
      <w:proofErr w:type="gramEnd"/>
      <w:r w:rsidRPr="009C08EE">
        <w:rPr>
          <w:rStyle w:val="normaltextrun"/>
          <w:i/>
          <w:color w:val="000000" w:themeColor="text1"/>
        </w:rPr>
        <w:t xml:space="preserve"> and Product Complexity Rankings</w:t>
      </w:r>
      <w:r w:rsidR="0081084B">
        <w:rPr>
          <w:rStyle w:val="normaltextrun"/>
          <w:i/>
          <w:color w:val="000000" w:themeColor="text1"/>
        </w:rPr>
        <w:t xml:space="preserve"> </w:t>
      </w:r>
      <w:r w:rsidR="0081084B">
        <w:rPr>
          <w:rStyle w:val="normaltextrun"/>
          <w:iCs/>
          <w:color w:val="000000" w:themeColor="text1"/>
        </w:rPr>
        <w:t>[data set]</w:t>
      </w:r>
      <w:r w:rsidRPr="009C08EE">
        <w:rPr>
          <w:rStyle w:val="normaltextrun"/>
          <w:i/>
          <w:color w:val="000000" w:themeColor="text1"/>
        </w:rPr>
        <w:t xml:space="preserve">, </w:t>
      </w:r>
      <w:r w:rsidR="0081084B">
        <w:rPr>
          <w:rStyle w:val="normaltextrun"/>
          <w:color w:val="000000" w:themeColor="text1"/>
        </w:rPr>
        <w:t>(Massachusetts: 2022)</w:t>
      </w:r>
      <w:r w:rsidRPr="29EDF3F8">
        <w:rPr>
          <w:rStyle w:val="normaltextrun"/>
          <w:color w:val="000000" w:themeColor="text1"/>
        </w:rPr>
        <w:t>, accessed 31 October 2023</w:t>
      </w:r>
      <w:r w:rsidRPr="2DBC3480">
        <w:rPr>
          <w:rStyle w:val="normaltextrun"/>
          <w:color w:val="000000" w:themeColor="text1"/>
        </w:rPr>
        <w:t xml:space="preserve">, </w:t>
      </w:r>
      <w:hyperlink r:id="rId181" w:history="1">
        <w:r w:rsidRPr="00EB3F27">
          <w:rPr>
            <w:rStyle w:val="Hyperlink"/>
          </w:rPr>
          <w:t>atlas.cid.harva</w:t>
        </w:r>
        <w:bookmarkStart w:id="956" w:name="_Hlt155774454"/>
        <w:bookmarkStart w:id="957" w:name="_Hlt155774455"/>
        <w:r w:rsidRPr="00EB3F27">
          <w:rPr>
            <w:rStyle w:val="Hyperlink"/>
          </w:rPr>
          <w:t>r</w:t>
        </w:r>
        <w:bookmarkEnd w:id="956"/>
        <w:bookmarkEnd w:id="957"/>
        <w:r w:rsidRPr="00EB3F27">
          <w:rPr>
            <w:rStyle w:val="Hyperlink"/>
          </w:rPr>
          <w:t>d.edu/rankings</w:t>
        </w:r>
      </w:hyperlink>
      <w:r>
        <w:rPr>
          <w:rStyle w:val="normaltextrun"/>
          <w:color w:val="000000" w:themeColor="text1"/>
        </w:rPr>
        <w:t>.</w:t>
      </w:r>
    </w:p>
  </w:footnote>
  <w:footnote w:id="325">
    <w:p w14:paraId="1C7C2A04" w14:textId="6D9A64AB" w:rsidR="00C0345E" w:rsidRPr="008C4411" w:rsidRDefault="00C0345E">
      <w:pPr>
        <w:pStyle w:val="FootnoteText"/>
        <w:rPr>
          <w:i/>
          <w:iCs/>
        </w:rPr>
      </w:pPr>
      <w:r>
        <w:rPr>
          <w:rStyle w:val="FootnoteReference"/>
        </w:rPr>
        <w:footnoteRef/>
      </w:r>
      <w:r>
        <w:t xml:space="preserve"> Department of the Treasury, </w:t>
      </w:r>
      <w:r>
        <w:rPr>
          <w:i/>
          <w:iCs/>
        </w:rPr>
        <w:t>Intergenerational Report 2023.</w:t>
      </w:r>
    </w:p>
  </w:footnote>
  <w:footnote w:id="326">
    <w:p w14:paraId="3A5CB06A" w14:textId="30E74C12" w:rsidR="00703E85" w:rsidRDefault="00703E85" w:rsidP="00703E85">
      <w:pPr>
        <w:pStyle w:val="FootnoteText"/>
      </w:pPr>
      <w:r>
        <w:rPr>
          <w:rStyle w:val="FootnoteReference"/>
        </w:rPr>
        <w:footnoteRef/>
      </w:r>
      <w:r>
        <w:t xml:space="preserve"> Recent analysis by the International Monetary Fund (IMF) found that a ‘decline in R&amp;D and information and communication technology investment—which tend to be more productivity-enhancing than other types of investments—is likely contributing to the productivity slowdown in Australia</w:t>
      </w:r>
      <w:r w:rsidR="00BB36C0">
        <w:t xml:space="preserve">; IMF, </w:t>
      </w:r>
      <w:r w:rsidR="00BB36C0">
        <w:rPr>
          <w:i/>
          <w:iCs/>
        </w:rPr>
        <w:t>Australia: Selected Issues</w:t>
      </w:r>
      <w:r w:rsidR="00BB36C0" w:rsidDel="00F93EE4">
        <w:t>,</w:t>
      </w:r>
      <w:r w:rsidR="00BB36C0">
        <w:t xml:space="preserve"> Report No. 21/256, (December 2021), </w:t>
      </w:r>
      <w:hyperlink r:id="rId182" w:history="1">
        <w:r w:rsidR="00924257" w:rsidRPr="00811871">
          <w:rPr>
            <w:rStyle w:val="Hyperlink"/>
          </w:rPr>
          <w:t>www.imf.org/en/Publications/CR/Issues/2021/12/02/Australia-Selected-Issues-510757</w:t>
        </w:r>
      </w:hyperlink>
      <w:r w:rsidR="00924257">
        <w:t xml:space="preserve">. </w:t>
      </w:r>
    </w:p>
  </w:footnote>
  <w:footnote w:id="327">
    <w:p w14:paraId="10E89B6B" w14:textId="345E2D07" w:rsidR="00703E85" w:rsidRDefault="00703E85" w:rsidP="00703E85">
      <w:pPr>
        <w:pStyle w:val="FootnoteText"/>
      </w:pPr>
      <w:r>
        <w:rPr>
          <w:rStyle w:val="FootnoteReference"/>
        </w:rPr>
        <w:footnoteRef/>
      </w:r>
      <w:r>
        <w:t xml:space="preserve"> Productivity Commission, </w:t>
      </w:r>
      <w:r w:rsidRPr="009C08EE">
        <w:rPr>
          <w:i/>
          <w:iCs/>
        </w:rPr>
        <w:t>5-Year Productivity Inquiry: Advancing Prosperity</w:t>
      </w:r>
      <w:r w:rsidRPr="73B6EFFC">
        <w:t>, 1</w:t>
      </w:r>
      <w:r w:rsidRPr="009C08EE">
        <w:rPr>
          <w:i/>
          <w:iCs/>
        </w:rPr>
        <w:t xml:space="preserve"> </w:t>
      </w:r>
      <w:r>
        <w:t>(Canberra: Productivity Commission, 2023), 50-52,</w:t>
      </w:r>
      <w:r w:rsidDel="73B6EFFC">
        <w:t xml:space="preserve"> </w:t>
      </w:r>
      <w:hyperlink r:id="rId183" w:history="1">
        <w:r w:rsidR="00A3603D" w:rsidRPr="00811871">
          <w:rPr>
            <w:rStyle w:val="Hyperlink"/>
          </w:rPr>
          <w:t>www.pc.gov.au/inquiries/completed/productivity/report/productivity-advancing-prosperity-all-volumes.pdf</w:t>
        </w:r>
      </w:hyperlink>
      <w:r w:rsidR="00A3603D">
        <w:rPr>
          <w:rStyle w:val="Hyperlink"/>
        </w:rPr>
        <w:t xml:space="preserve">. </w:t>
      </w:r>
    </w:p>
  </w:footnote>
  <w:footnote w:id="328">
    <w:p w14:paraId="0B431012" w14:textId="1BF231E6" w:rsidR="00BF3701" w:rsidRDefault="00BF3701">
      <w:pPr>
        <w:pStyle w:val="FootnoteText"/>
      </w:pPr>
      <w:r>
        <w:rPr>
          <w:rStyle w:val="FootnoteReference"/>
        </w:rPr>
        <w:footnoteRef/>
      </w:r>
      <w:r>
        <w:t xml:space="preserve"> </w:t>
      </w:r>
      <w:r w:rsidR="00E64727" w:rsidRPr="00320334">
        <w:t xml:space="preserve">Greg Clark, Tim Moonen, and Jake Nunley, </w:t>
      </w:r>
      <w:r w:rsidR="00E64727" w:rsidRPr="00320334">
        <w:rPr>
          <w:i/>
          <w:iCs/>
        </w:rPr>
        <w:t>The Innovation Economy: Implications and Imperatives for States and Regions</w:t>
      </w:r>
      <w:r w:rsidR="00E64727" w:rsidRPr="00320334">
        <w:t xml:space="preserve"> (Sydney: Innovation and Productivity Council, NSW Government, August, 2018), 53, </w:t>
      </w:r>
      <w:hyperlink r:id="rId184" w:history="1">
        <w:r w:rsidR="00E64727" w:rsidRPr="00320334">
          <w:rPr>
            <w:rStyle w:val="Hyperlink"/>
          </w:rPr>
          <w:t>www.investment.nsw.gov.au/assets/Uploads/files/IPC/Full-Report-IPC-The-Innovation-Economy-2018.pdf</w:t>
        </w:r>
      </w:hyperlink>
      <w:r w:rsidR="00E64727" w:rsidRPr="00320334">
        <w:t>;  </w:t>
      </w:r>
      <w:r w:rsidR="00E64727" w:rsidRPr="00320334">
        <w:rPr>
          <w14:ligatures w14:val="standardContextual"/>
        </w:rPr>
        <w:t xml:space="preserve">Department of Premier and Cabinet, State of Tasmania and University of Tasmania - Making the Future Partnership (Hobart: Department of Premier and Cabinet, Tasmanian Government, 2015), </w:t>
      </w:r>
      <w:hyperlink r:id="rId185" w:history="1">
        <w:r w:rsidR="00E64727" w:rsidRPr="00320334">
          <w:rPr>
            <w:rStyle w:val="Hyperlink"/>
            <w14:ligatures w14:val="standardContextual"/>
          </w:rPr>
          <w:t>www.dpac.tas.gov.au/divisio</w:t>
        </w:r>
        <w:bookmarkStart w:id="959" w:name="_Hlt155712188"/>
        <w:bookmarkStart w:id="960" w:name="_Hlt155712189"/>
        <w:r w:rsidR="00E64727" w:rsidRPr="00320334">
          <w:rPr>
            <w:rStyle w:val="Hyperlink"/>
            <w14:ligatures w14:val="standardContextual"/>
          </w:rPr>
          <w:t>n</w:t>
        </w:r>
        <w:bookmarkEnd w:id="959"/>
        <w:bookmarkEnd w:id="960"/>
        <w:r w:rsidR="00E64727" w:rsidRPr="00320334">
          <w:rPr>
            <w:rStyle w:val="Hyperlink"/>
            <w14:ligatures w14:val="standardContextual"/>
          </w:rPr>
          <w:t>s/policy/partnership_with_the_university_of_tasmania</w:t>
        </w:r>
      </w:hyperlink>
      <w:r w:rsidR="00E64727" w:rsidRPr="00320334">
        <w:rPr>
          <w14:ligatures w14:val="standardContextual"/>
        </w:rPr>
        <w:t>.</w:t>
      </w:r>
    </w:p>
  </w:footnote>
  <w:footnote w:id="329">
    <w:p w14:paraId="5CFF1876" w14:textId="3570FB8E" w:rsidR="00703E85" w:rsidRDefault="00703E85" w:rsidP="00703E85">
      <w:pPr>
        <w:pStyle w:val="FootnoteText"/>
      </w:pPr>
      <w:r>
        <w:rPr>
          <w:rStyle w:val="FootnoteReference"/>
        </w:rPr>
        <w:footnoteRef/>
      </w:r>
      <w:r>
        <w:t xml:space="preserve"> Interface, </w:t>
      </w:r>
      <w:r w:rsidR="00EA2D88">
        <w:rPr>
          <w:i/>
          <w:iCs/>
        </w:rPr>
        <w:t xml:space="preserve">Interface </w:t>
      </w:r>
      <w:r w:rsidRPr="002770EB">
        <w:rPr>
          <w:i/>
        </w:rPr>
        <w:t>Annual Review 22</w:t>
      </w:r>
      <w:r w:rsidR="00EA2D88">
        <w:rPr>
          <w:i/>
        </w:rPr>
        <w:t>–</w:t>
      </w:r>
      <w:r w:rsidRPr="002770EB">
        <w:rPr>
          <w:i/>
        </w:rPr>
        <w:t>23,</w:t>
      </w:r>
      <w:r w:rsidRPr="002770EB">
        <w:t xml:space="preserve"> </w:t>
      </w:r>
      <w:r w:rsidR="00EA2D88">
        <w:t>(</w:t>
      </w:r>
      <w:r w:rsidRPr="002770EB">
        <w:t>Interface,</w:t>
      </w:r>
      <w:r w:rsidR="00EA2D88">
        <w:t xml:space="preserve"> 2023),</w:t>
      </w:r>
      <w:r w:rsidRPr="002770EB">
        <w:t xml:space="preserve"> accessed 10 Nov 2023, interface-online.org.uk</w:t>
      </w:r>
      <w:r>
        <w:t>/</w:t>
      </w:r>
      <w:r w:rsidR="00EA2D88">
        <w:t>.</w:t>
      </w:r>
    </w:p>
  </w:footnote>
  <w:footnote w:id="330">
    <w:p w14:paraId="25F0C738" w14:textId="77777777" w:rsidR="00BD45E9" w:rsidRPr="00C74BC0" w:rsidRDefault="00BD45E9" w:rsidP="00BD45E9">
      <w:pPr>
        <w:pStyle w:val="FootnoteText"/>
      </w:pPr>
      <w:r>
        <w:rPr>
          <w:rStyle w:val="FootnoteReference"/>
        </w:rPr>
        <w:footnoteRef/>
      </w:r>
      <w:r>
        <w:t xml:space="preserve"> Mary O’Kane, </w:t>
      </w:r>
      <w:r>
        <w:rPr>
          <w:i/>
          <w:iCs/>
        </w:rPr>
        <w:t>Collaborating to a purpose: Review of the Cooperative Research Centres Program</w:t>
      </w:r>
      <w:r>
        <w:t xml:space="preserve"> (Canberra: 2008), 8. </w:t>
      </w:r>
    </w:p>
  </w:footnote>
  <w:footnote w:id="331">
    <w:p w14:paraId="415A5383" w14:textId="4A6F3680" w:rsidR="00703E85" w:rsidRDefault="00703E85" w:rsidP="00703E85">
      <w:pPr>
        <w:pStyle w:val="FootnoteText"/>
      </w:pPr>
      <w:r>
        <w:rPr>
          <w:rStyle w:val="FootnoteReference"/>
        </w:rPr>
        <w:footnoteRef/>
      </w:r>
      <w:r>
        <w:t xml:space="preserve"> Department of Education, Skills and Employment, </w:t>
      </w:r>
      <w:r w:rsidRPr="002770EB">
        <w:rPr>
          <w:i/>
        </w:rPr>
        <w:t>Research Commercialisation Action Plan</w:t>
      </w:r>
      <w:r>
        <w:t xml:space="preserve"> (Canberra: February, 2022), </w:t>
      </w:r>
      <w:hyperlink r:id="rId186" w:history="1">
        <w:r w:rsidR="00D11BE8" w:rsidRPr="0069099E">
          <w:rPr>
            <w:rStyle w:val="Hyperlink"/>
          </w:rPr>
          <w:t>www.education.gov.au/university-research-commercialisation-package/announcements/research-commercialisation-action-plan-has-been-released</w:t>
        </w:r>
      </w:hyperlink>
      <w:r w:rsidR="00500062">
        <w:t>.</w:t>
      </w:r>
    </w:p>
  </w:footnote>
  <w:footnote w:id="332">
    <w:p w14:paraId="4142B0F7" w14:textId="278AA405" w:rsidR="00703E85" w:rsidRDefault="00703E85" w:rsidP="00703E85">
      <w:pPr>
        <w:pStyle w:val="FootnoteText"/>
      </w:pPr>
      <w:r>
        <w:rPr>
          <w:rStyle w:val="FootnoteReference"/>
        </w:rPr>
        <w:footnoteRef/>
      </w:r>
      <w:r>
        <w:t xml:space="preserve"> Department of Education, </w:t>
      </w:r>
      <w:r w:rsidR="00F15723">
        <w:t>“</w:t>
      </w:r>
      <w:r w:rsidR="00F15723" w:rsidRPr="005578F4">
        <w:t>Funding Outcomes</w:t>
      </w:r>
      <w:r w:rsidR="00F15723">
        <w:rPr>
          <w:i/>
          <w:iCs/>
        </w:rPr>
        <w:t>,”</w:t>
      </w:r>
      <w:r w:rsidR="00F15723">
        <w:t xml:space="preserve"> Department of Education, revised 30 November 2023, </w:t>
      </w:r>
      <w:hyperlink r:id="rId187" w:history="1">
        <w:r w:rsidR="00A54267" w:rsidRPr="00A54267">
          <w:rPr>
            <w:rStyle w:val="Hyperlink"/>
          </w:rPr>
          <w:t>www.education.gov.au/national-industry-phd-program/funding-outcomes</w:t>
        </w:r>
      </w:hyperlink>
      <w:r w:rsidR="00A54267" w:rsidRPr="00A54267">
        <w:t xml:space="preserve"> </w:t>
      </w:r>
      <w:r w:rsidR="00F15723">
        <w:t>.</w:t>
      </w:r>
    </w:p>
  </w:footnote>
  <w:footnote w:id="333">
    <w:p w14:paraId="6073E301" w14:textId="0CC30D4A" w:rsidR="0039621C" w:rsidRDefault="0039621C">
      <w:pPr>
        <w:pStyle w:val="FootnoteText"/>
      </w:pPr>
      <w:r>
        <w:rPr>
          <w:rStyle w:val="FootnoteReference"/>
        </w:rPr>
        <w:footnoteRef/>
      </w:r>
      <w:r>
        <w:t xml:space="preserve"> </w:t>
      </w:r>
      <w:r w:rsidRPr="00737E4C">
        <w:rPr>
          <w:rFonts w:ascii="Calibri" w:eastAsia="Calibri" w:hAnsi="Calibri" w:cs="Calibri"/>
        </w:rPr>
        <w:t xml:space="preserve">Australian </w:t>
      </w:r>
      <w:r w:rsidRPr="00712736">
        <w:t>Research</w:t>
      </w:r>
      <w:r w:rsidRPr="00737E4C">
        <w:rPr>
          <w:rFonts w:ascii="Calibri" w:eastAsia="Calibri" w:hAnsi="Calibri" w:cs="Calibri"/>
        </w:rPr>
        <w:t xml:space="preserve"> Council (ARC), </w:t>
      </w:r>
      <w:r w:rsidRPr="00712736">
        <w:rPr>
          <w:rFonts w:ascii="Calibri" w:eastAsia="Calibri" w:hAnsi="Calibri" w:cs="Calibri"/>
          <w:i/>
        </w:rPr>
        <w:t>Industrial Transformation Training Centres Selection Report for Funding Commencing in 2023</w:t>
      </w:r>
      <w:r>
        <w:rPr>
          <w:rFonts w:ascii="Calibri" w:eastAsia="Calibri" w:hAnsi="Calibri" w:cs="Calibri"/>
        </w:rPr>
        <w:t xml:space="preserve"> (Table 2)</w:t>
      </w:r>
      <w:r w:rsidRPr="00737E4C">
        <w:rPr>
          <w:rFonts w:ascii="Calibri" w:eastAsia="Calibri" w:hAnsi="Calibri" w:cs="Calibri"/>
        </w:rPr>
        <w:t xml:space="preserve">, </w:t>
      </w:r>
      <w:r>
        <w:rPr>
          <w:rFonts w:ascii="Calibri" w:eastAsia="Calibri" w:hAnsi="Calibri" w:cs="Calibri"/>
        </w:rPr>
        <w:t xml:space="preserve">(Canberra: </w:t>
      </w:r>
      <w:r w:rsidRPr="00712736">
        <w:t>ARC</w:t>
      </w:r>
      <w:r>
        <w:t>, 2023)</w:t>
      </w:r>
      <w:r w:rsidRPr="00737E4C">
        <w:rPr>
          <w:rFonts w:ascii="Calibri" w:eastAsia="Calibri" w:hAnsi="Calibri" w:cs="Calibri"/>
        </w:rPr>
        <w:t xml:space="preserve">, accessed December 15, 2023, </w:t>
      </w:r>
      <w:hyperlink r:id="rId188" w:history="1">
        <w:r w:rsidRPr="00737E4C">
          <w:rPr>
            <w:rStyle w:val="Hyperlink"/>
            <w:rFonts w:ascii="Calibri" w:eastAsia="Calibri" w:hAnsi="Calibri" w:cs="Calibri"/>
          </w:rPr>
          <w:t>www.arc.gov.au/funding-research/funding-outcome/selection-outcome-reports/industrial-transformation-training-centres-selection-report-funding-commencing-2023</w:t>
        </w:r>
      </w:hyperlink>
      <w:r w:rsidRPr="00737E4C">
        <w:rPr>
          <w:rFonts w:ascii="Calibri" w:eastAsia="Calibri" w:hAnsi="Calibri" w:cs="Calibri"/>
        </w:rPr>
        <w:t>.</w:t>
      </w:r>
    </w:p>
  </w:footnote>
  <w:footnote w:id="334">
    <w:p w14:paraId="368BCE8B" w14:textId="31E18F93" w:rsidR="00703E85" w:rsidRPr="00C24128" w:rsidRDefault="00703E85" w:rsidP="00703E85">
      <w:pPr>
        <w:pStyle w:val="FootnoteText"/>
      </w:pPr>
      <w:r w:rsidRPr="00C24128">
        <w:rPr>
          <w:rStyle w:val="FootnoteReference"/>
          <w:szCs w:val="16"/>
        </w:rPr>
        <w:footnoteRef/>
      </w:r>
      <w:r w:rsidRPr="00C24128">
        <w:t xml:space="preserve"> Group of Eight Australia,</w:t>
      </w:r>
      <w:r>
        <w:t xml:space="preserve"> </w:t>
      </w:r>
      <w:r w:rsidRPr="00A12C1F">
        <w:rPr>
          <w:i/>
          <w:iCs/>
        </w:rPr>
        <w:t>Basic Research: The Foundation of Progress, Productivity, and a More Sovereign Nation</w:t>
      </w:r>
      <w:r>
        <w:rPr>
          <w:i/>
          <w:iCs/>
        </w:rPr>
        <w:t xml:space="preserve"> </w:t>
      </w:r>
      <w:r w:rsidRPr="009A5808">
        <w:t>(</w:t>
      </w:r>
      <w:r>
        <w:t xml:space="preserve">Canberra, ACT: </w:t>
      </w:r>
      <w:r w:rsidRPr="009A5808">
        <w:t xml:space="preserve">Group </w:t>
      </w:r>
      <w:r w:rsidRPr="00C24128">
        <w:t>of Eight Australia, September</w:t>
      </w:r>
      <w:r>
        <w:t>,</w:t>
      </w:r>
      <w:r w:rsidRPr="00C24128">
        <w:t xml:space="preserve"> 2023</w:t>
      </w:r>
      <w:r>
        <w:t>),</w:t>
      </w:r>
      <w:r w:rsidRPr="00A12C1F">
        <w:t xml:space="preserve"> </w:t>
      </w:r>
      <w:hyperlink r:id="rId189" w:history="1">
        <w:r w:rsidRPr="00D9140E">
          <w:rPr>
            <w:rStyle w:val="Hyperlink"/>
          </w:rPr>
          <w:t>go8.edu.au/wp-content/uploads/2023/09/Go8-Policy-Brief-Basic-Research.pdf</w:t>
        </w:r>
      </w:hyperlink>
      <w:r>
        <w:t>.</w:t>
      </w:r>
    </w:p>
  </w:footnote>
  <w:footnote w:id="335">
    <w:p w14:paraId="2C7F8A08" w14:textId="354DBD04" w:rsidR="00703E85" w:rsidRPr="00C24128" w:rsidRDefault="00703E85" w:rsidP="00703E85">
      <w:pPr>
        <w:pStyle w:val="FootnoteText"/>
      </w:pPr>
      <w:r w:rsidRPr="00C24128">
        <w:rPr>
          <w:rStyle w:val="FootnoteReference"/>
          <w:szCs w:val="16"/>
        </w:rPr>
        <w:footnoteRef/>
      </w:r>
      <w:r w:rsidRPr="00C24128">
        <w:t xml:space="preserve"> P</w:t>
      </w:r>
      <w:r>
        <w:t>hilip</w:t>
      </w:r>
      <w:r w:rsidRPr="00C24128">
        <w:t xml:space="preserve"> Barret</w:t>
      </w:r>
      <w:r w:rsidR="00A13C84">
        <w:t>t</w:t>
      </w:r>
      <w:r w:rsidR="0055141D">
        <w:t>,</w:t>
      </w:r>
      <w:r w:rsidR="00A228F4">
        <w:t xml:space="preserve"> </w:t>
      </w:r>
      <w:r w:rsidR="00A228F4" w:rsidRPr="00A228F4">
        <w:t>Niels-Jakob Hansen</w:t>
      </w:r>
      <w:r w:rsidR="0055141D">
        <w:t>,</w:t>
      </w:r>
      <w:r w:rsidR="00A228F4" w:rsidRPr="00A228F4">
        <w:t xml:space="preserve"> Jean-Marc Natal and </w:t>
      </w:r>
      <w:proofErr w:type="spellStart"/>
      <w:r w:rsidR="00A228F4" w:rsidRPr="00A228F4">
        <w:t>Diaa</w:t>
      </w:r>
      <w:proofErr w:type="spellEnd"/>
      <w:r w:rsidR="00A228F4" w:rsidRPr="00A228F4">
        <w:t xml:space="preserve"> Noureldin</w:t>
      </w:r>
      <w:r w:rsidR="00896BB4">
        <w:t>,</w:t>
      </w:r>
      <w:r w:rsidRPr="004406D4">
        <w:t xml:space="preserve"> </w:t>
      </w:r>
      <w:r w:rsidR="00DC33A1" w:rsidRPr="008C4411">
        <w:t>“</w:t>
      </w:r>
      <w:r w:rsidRPr="008C4411">
        <w:t>Why Basic Science Matters for Economic Growth: Public Investment in Basic Research will Pay for Itself,</w:t>
      </w:r>
      <w:r w:rsidR="00DC33A1" w:rsidRPr="008C4411">
        <w:t>”</w:t>
      </w:r>
      <w:r w:rsidR="00DC33A1">
        <w:rPr>
          <w:i/>
          <w:iCs/>
        </w:rPr>
        <w:t xml:space="preserve"> IMF Blog, </w:t>
      </w:r>
      <w:r>
        <w:t xml:space="preserve"> 6 October 2021,</w:t>
      </w:r>
      <w:r w:rsidRPr="00935354">
        <w:t xml:space="preserve"> </w:t>
      </w:r>
      <w:hyperlink r:id="rId190" w:history="1">
        <w:r w:rsidRPr="00D9140E">
          <w:rPr>
            <w:rStyle w:val="Hyperlink"/>
          </w:rPr>
          <w:t>www.imf.org/en/Blogs/Articles/2021/10/06/blog-ch3-weo-why-basic-science-matters-for-economic-growth</w:t>
        </w:r>
      </w:hyperlink>
      <w:r>
        <w:t xml:space="preserve">; </w:t>
      </w:r>
      <w:r w:rsidRPr="00C24128">
        <w:t>Group of Eight Australia,</w:t>
      </w:r>
      <w:r>
        <w:t xml:space="preserve"> </w:t>
      </w:r>
      <w:r w:rsidRPr="00A12C1F">
        <w:rPr>
          <w:i/>
          <w:iCs/>
        </w:rPr>
        <w:t>Basic Research: The Foundation of Progress, Productivity, and a More Sovereign Nation</w:t>
      </w:r>
      <w:r w:rsidR="00DC33A1">
        <w:rPr>
          <w:i/>
          <w:iCs/>
        </w:rPr>
        <w:t>.</w:t>
      </w:r>
    </w:p>
  </w:footnote>
  <w:footnote w:id="336">
    <w:p w14:paraId="33DF1F16" w14:textId="2D4610E1" w:rsidR="00703E85" w:rsidRPr="00C24128" w:rsidRDefault="00703E85" w:rsidP="00703E85">
      <w:pPr>
        <w:pStyle w:val="FootnoteText"/>
      </w:pPr>
      <w:r w:rsidRPr="00C24128">
        <w:rPr>
          <w:rStyle w:val="FootnoteReference"/>
          <w:szCs w:val="16"/>
        </w:rPr>
        <w:footnoteRef/>
      </w:r>
      <w:r w:rsidRPr="00CC5245">
        <w:t xml:space="preserve"> </w:t>
      </w:r>
      <w:r w:rsidR="00501E08" w:rsidRPr="00C24128">
        <w:t>Barre</w:t>
      </w:r>
      <w:r w:rsidR="00501E08">
        <w:t>t</w:t>
      </w:r>
      <w:r w:rsidR="00D502DF">
        <w:t>t</w:t>
      </w:r>
      <w:r w:rsidR="00501E08">
        <w:t xml:space="preserve"> et al,</w:t>
      </w:r>
      <w:r w:rsidR="00501E08">
        <w:rPr>
          <w:i/>
          <w:iCs/>
        </w:rPr>
        <w:t xml:space="preserve"> </w:t>
      </w:r>
      <w:r w:rsidR="00501E08" w:rsidRPr="005578F4">
        <w:t>“Why Basic Science Matters for Economic Growth: Public Investment in Basic Research will Pay for Itself</w:t>
      </w:r>
      <w:r w:rsidR="00501E08">
        <w:t>.</w:t>
      </w:r>
      <w:r w:rsidR="00501E08" w:rsidRPr="005578F4">
        <w:t>”</w:t>
      </w:r>
    </w:p>
  </w:footnote>
  <w:footnote w:id="337">
    <w:p w14:paraId="11B86217" w14:textId="0259084A" w:rsidR="00703E85" w:rsidRPr="00C24128" w:rsidRDefault="00703E85" w:rsidP="00703E85">
      <w:pPr>
        <w:pStyle w:val="FootnoteText"/>
        <w:rPr>
          <w:szCs w:val="16"/>
        </w:rPr>
      </w:pPr>
      <w:r w:rsidRPr="00C24128">
        <w:rPr>
          <w:rStyle w:val="FootnoteReference"/>
          <w:szCs w:val="16"/>
        </w:rPr>
        <w:footnoteRef/>
      </w:r>
      <w:r w:rsidRPr="00C24128">
        <w:rPr>
          <w:szCs w:val="16"/>
        </w:rPr>
        <w:t xml:space="preserve"> </w:t>
      </w:r>
      <w:r w:rsidR="00FD50BE">
        <w:rPr>
          <w:rFonts w:ascii="Calibri" w:hAnsi="Calibri" w:cs="Calibri"/>
          <w:color w:val="000000"/>
          <w:highlight w:val="white"/>
          <w:lang w:val="en-GB"/>
        </w:rPr>
        <w:t xml:space="preserve">Australian Bureau of Statistics, </w:t>
      </w:r>
      <w:r w:rsidR="00FD50BE">
        <w:rPr>
          <w:rFonts w:ascii="Calibri" w:hAnsi="Calibri" w:cs="Calibri"/>
          <w:i/>
          <w:color w:val="000000"/>
          <w:highlight w:val="white"/>
          <w:lang w:val="en-GB"/>
        </w:rPr>
        <w:t xml:space="preserve">Research and Experimental Development, </w:t>
      </w:r>
      <w:r w:rsidR="00FD50BE">
        <w:rPr>
          <w:rFonts w:ascii="Calibri" w:hAnsi="Calibri" w:cs="Calibri"/>
          <w:i/>
          <w:iCs/>
          <w:color w:val="000000"/>
          <w:highlight w:val="white"/>
          <w:lang w:val="en-GB"/>
        </w:rPr>
        <w:t xml:space="preserve">Businesses, Australia </w:t>
      </w:r>
      <w:r w:rsidR="00FD50BE">
        <w:rPr>
          <w:rFonts w:ascii="Calibri" w:hAnsi="Calibri" w:cs="Calibri"/>
          <w:i/>
          <w:color w:val="000000"/>
          <w:highlight w:val="white"/>
          <w:lang w:val="en-GB"/>
        </w:rPr>
        <w:t>2021-22</w:t>
      </w:r>
      <w:r w:rsidR="00FD50BE">
        <w:rPr>
          <w:rFonts w:ascii="Calibri" w:hAnsi="Calibri" w:cs="Calibri"/>
          <w:color w:val="000000"/>
          <w:highlight w:val="white"/>
          <w:lang w:val="en-GB"/>
        </w:rPr>
        <w:t xml:space="preserve"> [data set]</w:t>
      </w:r>
      <w:r w:rsidR="00FD50BE">
        <w:rPr>
          <w:rStyle w:val="normaltextrun"/>
          <w:rFonts w:ascii="Calibri" w:hAnsi="Calibri" w:cs="Calibri"/>
          <w:color w:val="000000"/>
          <w:shd w:val="clear" w:color="auto" w:fill="FFFFFF"/>
        </w:rPr>
        <w:t xml:space="preserve">, accessed 23 November 2023; </w:t>
      </w:r>
      <w:r w:rsidR="00FD50BE">
        <w:rPr>
          <w:rStyle w:val="findhit"/>
          <w:rFonts w:ascii="Calibri" w:hAnsi="Calibri" w:cs="Calibri"/>
          <w:color w:val="000000"/>
          <w:shd w:val="clear" w:color="auto" w:fill="FFFFFF"/>
        </w:rPr>
        <w:t>Australian Bureau</w:t>
      </w:r>
      <w:r w:rsidR="00FD50BE">
        <w:rPr>
          <w:rStyle w:val="normaltextrun"/>
          <w:rFonts w:ascii="Calibri" w:hAnsi="Calibri" w:cs="Calibri"/>
          <w:color w:val="000000"/>
          <w:shd w:val="clear" w:color="auto" w:fill="FFFFFF"/>
        </w:rPr>
        <w:t xml:space="preserve"> of Statistics, </w:t>
      </w:r>
      <w:r w:rsidR="00FD50BE">
        <w:rPr>
          <w:rStyle w:val="normaltextrun"/>
          <w:rFonts w:ascii="Calibri" w:hAnsi="Calibri" w:cs="Calibri"/>
          <w:i/>
          <w:iCs/>
          <w:color w:val="000000"/>
          <w:shd w:val="clear" w:color="auto" w:fill="FFFFFF"/>
        </w:rPr>
        <w:t xml:space="preserve">Research and Experimental Development, </w:t>
      </w:r>
      <w:r w:rsidR="00FD50BE" w:rsidRPr="006A7762">
        <w:rPr>
          <w:rStyle w:val="normaltextrun"/>
          <w:rFonts w:ascii="Calibri" w:hAnsi="Calibri" w:cs="Calibri"/>
          <w:i/>
          <w:iCs/>
          <w:color w:val="000000"/>
          <w:shd w:val="clear" w:color="auto" w:fill="FFFFFF"/>
        </w:rPr>
        <w:t xml:space="preserve">Government and Private Non-Profit Organisations, Australia </w:t>
      </w:r>
      <w:r w:rsidR="00FD50BE">
        <w:rPr>
          <w:rStyle w:val="normaltextrun"/>
          <w:rFonts w:ascii="Calibri" w:hAnsi="Calibri" w:cs="Calibri"/>
          <w:i/>
          <w:iCs/>
          <w:color w:val="000000"/>
          <w:shd w:val="clear" w:color="auto" w:fill="FFFFFF"/>
        </w:rPr>
        <w:t>2020-21</w:t>
      </w:r>
      <w:r w:rsidR="00FD50BE">
        <w:rPr>
          <w:rStyle w:val="normaltextrun"/>
          <w:rFonts w:ascii="Calibri" w:hAnsi="Calibri" w:cs="Calibri"/>
          <w:color w:val="000000"/>
          <w:shd w:val="clear" w:color="auto" w:fill="FFFFFF"/>
        </w:rPr>
        <w:t xml:space="preserve"> [data set], accessed 23 November 2023; </w:t>
      </w:r>
      <w:r w:rsidR="00FD50BE">
        <w:rPr>
          <w:rFonts w:ascii="Calibri" w:hAnsi="Calibri" w:cs="Calibri"/>
          <w:color w:val="000000"/>
          <w:highlight w:val="white"/>
          <w:lang w:val="en-GB"/>
        </w:rPr>
        <w:t xml:space="preserve">Australian Bureau of Statistics, </w:t>
      </w:r>
      <w:r w:rsidR="00FD50BE">
        <w:rPr>
          <w:rFonts w:ascii="Calibri" w:hAnsi="Calibri" w:cs="Calibri"/>
          <w:i/>
          <w:iCs/>
          <w:color w:val="000000"/>
          <w:highlight w:val="white"/>
          <w:lang w:val="en-GB"/>
        </w:rPr>
        <w:t xml:space="preserve">Research and Experimental Development, </w:t>
      </w:r>
      <w:r w:rsidR="00FD50BE" w:rsidRPr="006A7762">
        <w:rPr>
          <w:rFonts w:ascii="Calibri" w:hAnsi="Calibri" w:cs="Calibri"/>
          <w:i/>
          <w:iCs/>
          <w:color w:val="000000"/>
          <w:lang w:val="en-GB"/>
        </w:rPr>
        <w:t>Higher Education Organisations, Australia</w:t>
      </w:r>
      <w:r w:rsidR="00FD50BE">
        <w:rPr>
          <w:rFonts w:ascii="Calibri" w:hAnsi="Calibri" w:cs="Calibri"/>
          <w:i/>
          <w:iCs/>
          <w:color w:val="000000"/>
          <w:highlight w:val="white"/>
          <w:lang w:val="en-GB"/>
        </w:rPr>
        <w:t xml:space="preserve"> 2020</w:t>
      </w:r>
      <w:r w:rsidR="00FD50BE">
        <w:rPr>
          <w:rFonts w:ascii="Calibri" w:hAnsi="Calibri" w:cs="Calibri"/>
          <w:color w:val="000000"/>
          <w:highlight w:val="white"/>
          <w:lang w:val="en-GB"/>
        </w:rPr>
        <w:t xml:space="preserve"> [data set]</w:t>
      </w:r>
      <w:r w:rsidR="00FD50BE">
        <w:rPr>
          <w:rStyle w:val="normaltextrun"/>
          <w:rFonts w:ascii="Calibri" w:hAnsi="Calibri" w:cs="Calibri"/>
          <w:color w:val="000000"/>
          <w:shd w:val="clear" w:color="auto" w:fill="FFFFFF"/>
        </w:rPr>
        <w:t xml:space="preserve">, accessed 23 November 2023; </w:t>
      </w:r>
      <w:r w:rsidR="00FD50BE">
        <w:t>Universities Australia;</w:t>
      </w:r>
      <w:r>
        <w:t xml:space="preserve"> Universities Australia, </w:t>
      </w:r>
      <w:r w:rsidRPr="00EB5CC2">
        <w:rPr>
          <w:i/>
          <w:iCs/>
        </w:rPr>
        <w:t>Submission to the 5 Year Productivity Inquiry Interim Reports 2022</w:t>
      </w:r>
      <w:r>
        <w:t xml:space="preserve"> (Deakin, ACT: Universities Australia, November, 2022), 4,</w:t>
      </w:r>
      <w:r w:rsidRPr="00C24128">
        <w:t xml:space="preserve"> </w:t>
      </w:r>
      <w:hyperlink r:id="rId191" w:history="1">
        <w:r w:rsidRPr="00D9140E">
          <w:rPr>
            <w:rStyle w:val="Hyperlink"/>
          </w:rPr>
          <w:t>universitiesaustralia.edu.au/wp-content/uploads/2022/11/UA-submission-to-the-Prodcutivity-Commission-5-Year-Inquiry-Interim-Report-1.pdf</w:t>
        </w:r>
      </w:hyperlink>
      <w:r>
        <w:t>.</w:t>
      </w:r>
    </w:p>
  </w:footnote>
  <w:footnote w:id="338">
    <w:p w14:paraId="6997D0B0" w14:textId="5C236EC0" w:rsidR="00703E85" w:rsidRPr="004D1A4C" w:rsidRDefault="00703E85" w:rsidP="00703E85">
      <w:pPr>
        <w:pStyle w:val="FootnoteText"/>
        <w:rPr>
          <w:rFonts w:cs="Arial"/>
          <w:sz w:val="16"/>
        </w:rPr>
      </w:pPr>
      <w:r>
        <w:rPr>
          <w:rStyle w:val="FootnoteReference"/>
        </w:rPr>
        <w:footnoteRef/>
      </w:r>
      <w:r w:rsidR="002F68D7">
        <w:rPr>
          <w:rFonts w:cs="Arial"/>
          <w:sz w:val="16"/>
        </w:rPr>
        <w:t xml:space="preserve"> </w:t>
      </w:r>
      <w:r w:rsidR="002F68D7">
        <w:rPr>
          <w:rStyle w:val="findhit"/>
          <w:rFonts w:ascii="Calibri" w:hAnsi="Calibri" w:cs="Calibri"/>
          <w:color w:val="000000"/>
          <w:shd w:val="clear" w:color="auto" w:fill="FFFFFF"/>
        </w:rPr>
        <w:t>Australian Bureau</w:t>
      </w:r>
      <w:r w:rsidR="002F68D7">
        <w:rPr>
          <w:rStyle w:val="normaltextrun"/>
          <w:rFonts w:ascii="Calibri" w:hAnsi="Calibri" w:cs="Calibri"/>
          <w:color w:val="000000"/>
          <w:shd w:val="clear" w:color="auto" w:fill="FFFFFF"/>
        </w:rPr>
        <w:t xml:space="preserve"> of Statistics, </w:t>
      </w:r>
      <w:r w:rsidR="002F68D7">
        <w:rPr>
          <w:rStyle w:val="normaltextrun"/>
          <w:rFonts w:ascii="Calibri" w:hAnsi="Calibri" w:cs="Calibri"/>
          <w:i/>
          <w:iCs/>
          <w:color w:val="000000"/>
          <w:shd w:val="clear" w:color="auto" w:fill="FFFFFF"/>
        </w:rPr>
        <w:t>Research and Experimental Development, (various)</w:t>
      </w:r>
      <w:r w:rsidR="002F68D7">
        <w:rPr>
          <w:rStyle w:val="normaltextrun"/>
          <w:rFonts w:ascii="Calibri" w:hAnsi="Calibri" w:cs="Calibri"/>
          <w:color w:val="000000"/>
          <w:shd w:val="clear" w:color="auto" w:fill="FFFFFF"/>
        </w:rPr>
        <w:t xml:space="preserve"> [data set], accessed 23 November 2023.</w:t>
      </w:r>
    </w:p>
  </w:footnote>
  <w:footnote w:id="339">
    <w:p w14:paraId="002DE2F5" w14:textId="7C656ED9" w:rsidR="00703E85" w:rsidRPr="00B12A18" w:rsidRDefault="00703E85" w:rsidP="00703E85">
      <w:pPr>
        <w:pStyle w:val="FootnoteText"/>
      </w:pPr>
      <w:r w:rsidRPr="00B12A18">
        <w:rPr>
          <w:rStyle w:val="FootnoteReference"/>
          <w:szCs w:val="16"/>
        </w:rPr>
        <w:footnoteRef/>
      </w:r>
      <w:r w:rsidRPr="00B12A18">
        <w:t xml:space="preserve"> For instance, see Group of Eight Australia</w:t>
      </w:r>
      <w:r w:rsidR="002F68D7">
        <w:t xml:space="preserve">, </w:t>
      </w:r>
      <w:r w:rsidR="002F68D7" w:rsidRPr="008C4411">
        <w:rPr>
          <w:i/>
          <w:iCs/>
        </w:rPr>
        <w:t>Submission</w:t>
      </w:r>
      <w:r w:rsidRPr="00B12A18">
        <w:rPr>
          <w:i/>
        </w:rPr>
        <w:t xml:space="preserve"> to the Australian Universities Accord Interim Report</w:t>
      </w:r>
      <w:r w:rsidRPr="00B12A18">
        <w:t>, 2023</w:t>
      </w:r>
      <w:r w:rsidR="00401B9B">
        <w:rPr>
          <w:iCs/>
        </w:rPr>
        <w:t xml:space="preserve">, </w:t>
      </w:r>
      <w:hyperlink r:id="rId192" w:history="1">
        <w:r w:rsidR="00401B9B" w:rsidRPr="005F7FEB">
          <w:rPr>
            <w:rStyle w:val="Hyperlink"/>
            <w:iCs/>
          </w:rPr>
          <w:t>www.education.gov.au/australian-universities-accord/consultations/australian-universities-accord-panel-discussion-paper-consultation/submission/15945</w:t>
        </w:r>
      </w:hyperlink>
      <w:r w:rsidR="00401B9B">
        <w:t>.</w:t>
      </w:r>
      <w:r w:rsidRPr="00B12A18">
        <w:t xml:space="preserve"> These criticisms were also raised in the 2018 Inquiry into Funding Australia’s Research. </w:t>
      </w:r>
      <w:r w:rsidR="00401B9B" w:rsidRPr="00B12A18">
        <w:t>Se</w:t>
      </w:r>
      <w:r w:rsidR="00401B9B" w:rsidRPr="004D1A4C">
        <w:t xml:space="preserve">e </w:t>
      </w:r>
      <w:r w:rsidR="00401B9B" w:rsidRPr="004D1A4C">
        <w:rPr>
          <w:rFonts w:eastAsia="Calibri"/>
        </w:rPr>
        <w:t>Parliament of Australia, </w:t>
      </w:r>
      <w:r w:rsidR="00401B9B" w:rsidRPr="004D1A4C">
        <w:rPr>
          <w:rFonts w:eastAsia="Calibri"/>
          <w:i/>
          <w:iCs/>
        </w:rPr>
        <w:t>Inquiry into Funding Australia’s Research</w:t>
      </w:r>
      <w:r w:rsidR="00401B9B" w:rsidRPr="004D1A4C">
        <w:rPr>
          <w:rFonts w:eastAsia="Calibri"/>
        </w:rPr>
        <w:t>, Subsections 5.59</w:t>
      </w:r>
      <w:r w:rsidR="00401B9B">
        <w:rPr>
          <w:rFonts w:eastAsia="Calibri"/>
        </w:rPr>
        <w:t>–</w:t>
      </w:r>
      <w:r w:rsidR="00401B9B" w:rsidRPr="004D1A4C">
        <w:rPr>
          <w:rFonts w:eastAsia="Calibri"/>
        </w:rPr>
        <w:t>5.66</w:t>
      </w:r>
      <w:r w:rsidR="00401B9B">
        <w:rPr>
          <w:rFonts w:eastAsia="Calibri"/>
        </w:rPr>
        <w:t xml:space="preserve"> (Canberra: 2018)</w:t>
      </w:r>
      <w:r w:rsidR="00401B9B" w:rsidRPr="004D1A4C">
        <w:rPr>
          <w:rFonts w:eastAsia="Calibri"/>
        </w:rPr>
        <w:t xml:space="preserve">, </w:t>
      </w:r>
      <w:r w:rsidR="00401B9B" w:rsidRPr="00AA3F96">
        <w:rPr>
          <w:rFonts w:eastAsia="Calibri"/>
        </w:rPr>
        <w:t>www.aph.gov.au/Parliamentary_Business/Committees</w:t>
      </w:r>
      <w:r w:rsidR="00401B9B">
        <w:rPr>
          <w:rFonts w:eastAsia="Calibri"/>
        </w:rPr>
        <w:t>‌</w:t>
      </w:r>
      <w:r w:rsidR="00401B9B" w:rsidRPr="00AA3F96">
        <w:rPr>
          <w:rFonts w:eastAsia="Calibri"/>
        </w:rPr>
        <w:t>/House/</w:t>
      </w:r>
      <w:r w:rsidR="00401B9B">
        <w:rPr>
          <w:rFonts w:eastAsia="Calibri"/>
        </w:rPr>
        <w:t>‌</w:t>
      </w:r>
      <w:r w:rsidR="00401B9B" w:rsidRPr="00AA3F96">
        <w:rPr>
          <w:rFonts w:eastAsia="Calibri"/>
        </w:rPr>
        <w:t>Emp</w:t>
      </w:r>
      <w:r w:rsidR="00401B9B">
        <w:rPr>
          <w:rFonts w:eastAsia="Calibri"/>
        </w:rPr>
        <w:t>‌</w:t>
      </w:r>
      <w:r w:rsidR="00401B9B" w:rsidRPr="00AA3F96">
        <w:rPr>
          <w:rFonts w:eastAsia="Calibri"/>
        </w:rPr>
        <w:t>l</w:t>
      </w:r>
      <w:r w:rsidR="00401B9B">
        <w:rPr>
          <w:rFonts w:eastAsia="Calibri"/>
        </w:rPr>
        <w:t>‌</w:t>
      </w:r>
      <w:r w:rsidR="00401B9B" w:rsidRPr="00AA3F96">
        <w:rPr>
          <w:rFonts w:eastAsia="Calibri"/>
        </w:rPr>
        <w:t>oyment</w:t>
      </w:r>
      <w:r w:rsidR="00401B9B">
        <w:rPr>
          <w:rFonts w:eastAsia="Calibri"/>
        </w:rPr>
        <w:t>‌</w:t>
      </w:r>
      <w:r w:rsidR="00401B9B" w:rsidRPr="00AA3F96">
        <w:rPr>
          <w:rFonts w:eastAsia="Calibri"/>
        </w:rPr>
        <w:t>_Education</w:t>
      </w:r>
      <w:r w:rsidR="00401B9B">
        <w:rPr>
          <w:rFonts w:eastAsia="Calibri"/>
        </w:rPr>
        <w:t>‌</w:t>
      </w:r>
      <w:r w:rsidR="00401B9B" w:rsidRPr="00AA3F96">
        <w:rPr>
          <w:rFonts w:eastAsia="Calibri"/>
        </w:rPr>
        <w:t>_</w:t>
      </w:r>
      <w:r w:rsidR="00401B9B">
        <w:rPr>
          <w:rFonts w:eastAsia="Calibri"/>
        </w:rPr>
        <w:t>‌</w:t>
      </w:r>
      <w:r w:rsidR="00401B9B" w:rsidRPr="00AA3F96">
        <w:rPr>
          <w:rFonts w:eastAsia="Calibri"/>
        </w:rPr>
        <w:t>and</w:t>
      </w:r>
      <w:r w:rsidR="00401B9B">
        <w:rPr>
          <w:rFonts w:eastAsia="Calibri"/>
        </w:rPr>
        <w:t>‌</w:t>
      </w:r>
      <w:r w:rsidR="00401B9B" w:rsidRPr="00AA3F96">
        <w:rPr>
          <w:rFonts w:eastAsia="Calibri"/>
        </w:rPr>
        <w:t>_</w:t>
      </w:r>
      <w:r w:rsidR="00401B9B">
        <w:rPr>
          <w:rFonts w:eastAsia="Calibri"/>
        </w:rPr>
        <w:t>‌</w:t>
      </w:r>
      <w:r w:rsidR="00401B9B" w:rsidRPr="00AA3F96">
        <w:rPr>
          <w:rFonts w:eastAsia="Calibri"/>
        </w:rPr>
        <w:t>Training/FundingResearch/Report/section?id=committees%2Freportrep%2F024212%2F26494</w:t>
      </w:r>
      <w:r w:rsidR="00401B9B">
        <w:rPr>
          <w:rFonts w:eastAsia="Calibri"/>
          <w:color w:val="414042"/>
        </w:rPr>
        <w:t>.</w:t>
      </w:r>
    </w:p>
  </w:footnote>
  <w:footnote w:id="340">
    <w:p w14:paraId="765BC272" w14:textId="5A5A8094" w:rsidR="001154EB" w:rsidRPr="00B12A18" w:rsidRDefault="00703E85" w:rsidP="001154EB">
      <w:pPr>
        <w:pStyle w:val="FootnoteText"/>
      </w:pPr>
      <w:r w:rsidRPr="00740428">
        <w:rPr>
          <w:rStyle w:val="FootnoteReference"/>
          <w:szCs w:val="16"/>
        </w:rPr>
        <w:footnoteRef/>
      </w:r>
      <w:r w:rsidRPr="00740428">
        <w:t xml:space="preserve"> </w:t>
      </w:r>
      <w:r w:rsidR="001154EB">
        <w:t xml:space="preserve">ARC, </w:t>
      </w:r>
      <w:r w:rsidR="001154EB" w:rsidRPr="00A97413">
        <w:rPr>
          <w:i/>
        </w:rPr>
        <w:t>ARC at a Glance</w:t>
      </w:r>
      <w:r w:rsidR="001154EB">
        <w:rPr>
          <w:i/>
        </w:rPr>
        <w:t>,</w:t>
      </w:r>
      <w:r w:rsidR="001154EB">
        <w:t xml:space="preserve"> (Canberra: ARC</w:t>
      </w:r>
      <w:r w:rsidR="001154EB" w:rsidDel="0094355A">
        <w:t xml:space="preserve">, </w:t>
      </w:r>
      <w:r w:rsidR="001154EB">
        <w:t xml:space="preserve">June 2023), 2, </w:t>
      </w:r>
      <w:hyperlink r:id="rId193" w:history="1">
        <w:r w:rsidR="001154EB" w:rsidRPr="00EB1815">
          <w:rPr>
            <w:rStyle w:val="Hyperlink"/>
            <w:szCs w:val="16"/>
          </w:rPr>
          <w:t>www.arc.gov.au/sites/default/files/2023-06/ARC%20at%20a%20Glance%20-%20June%202023%20v4_double-page.pdf</w:t>
        </w:r>
      </w:hyperlink>
      <w:r w:rsidR="001154EB">
        <w:t>.</w:t>
      </w:r>
    </w:p>
    <w:p w14:paraId="7B687D82" w14:textId="079AC043" w:rsidR="00703E85" w:rsidRPr="00B12A18" w:rsidRDefault="00703E85" w:rsidP="00703E85">
      <w:pPr>
        <w:pStyle w:val="FootnoteText"/>
      </w:pPr>
    </w:p>
  </w:footnote>
  <w:footnote w:id="341">
    <w:p w14:paraId="29898E1A" w14:textId="5D039072" w:rsidR="00BD45E9" w:rsidRDefault="00BD45E9" w:rsidP="00BD45E9">
      <w:pPr>
        <w:pStyle w:val="FootnoteText"/>
      </w:pPr>
      <w:r>
        <w:rPr>
          <w:rStyle w:val="FootnoteReference"/>
        </w:rPr>
        <w:footnoteRef/>
      </w:r>
      <w:r>
        <w:t xml:space="preserve"> </w:t>
      </w:r>
      <w:r w:rsidRPr="002A294E">
        <w:t>Data reported in current (or “nominal”) prices for each year are measured in the prices for that particular year. For example, current price estimates shown for 1990 are based on 1990 prices, for 2000 are based on 2000 prices, and so on.</w:t>
      </w:r>
      <w:r>
        <w:t xml:space="preserve"> Definition from The World Bank, </w:t>
      </w:r>
      <w:r w:rsidRPr="002A294E">
        <w:t>What is the difference between current and constant price series?</w:t>
      </w:r>
      <w:r>
        <w:t xml:space="preserve">, </w:t>
      </w:r>
      <w:hyperlink r:id="rId194" w:history="1">
        <w:bookmarkStart w:id="968" w:name="_Hlt155712038"/>
        <w:bookmarkStart w:id="969" w:name="_Hlt155712039"/>
        <w:r>
          <w:rPr>
            <w:rStyle w:val="Hyperlink"/>
          </w:rPr>
          <w:t>d</w:t>
        </w:r>
        <w:bookmarkEnd w:id="968"/>
        <w:bookmarkEnd w:id="969"/>
        <w:r>
          <w:rPr>
            <w:rStyle w:val="Hyperlink"/>
          </w:rPr>
          <w:t>atahelpdesk.worldbank.org/knowledgebase/articles/114942-what-is-the-difference-between-current-and-constan</w:t>
        </w:r>
      </w:hyperlink>
      <w:r>
        <w:t>, accessed 18 December 2023</w:t>
      </w:r>
      <w:r w:rsidR="009647CE">
        <w:t>.</w:t>
      </w:r>
    </w:p>
  </w:footnote>
  <w:footnote w:id="342">
    <w:p w14:paraId="72A3E062" w14:textId="6CC947B8" w:rsidR="00703E85" w:rsidRDefault="00703E85" w:rsidP="00703E85">
      <w:pPr>
        <w:pStyle w:val="FootnoteText"/>
      </w:pPr>
      <w:r w:rsidRPr="00DB079C">
        <w:rPr>
          <w:vertAlign w:val="superscript"/>
        </w:rPr>
        <w:footnoteRef/>
      </w:r>
      <w:r w:rsidRPr="00DB079C">
        <w:rPr>
          <w:vertAlign w:val="superscript"/>
        </w:rPr>
        <w:t xml:space="preserve"> </w:t>
      </w:r>
      <w:r w:rsidR="00490F4F">
        <w:t>ARC</w:t>
      </w:r>
      <w:r w:rsidR="00490F4F" w:rsidRPr="1B3AF753">
        <w:t xml:space="preserve">, </w:t>
      </w:r>
      <w:r w:rsidR="00490F4F" w:rsidRPr="002770EB">
        <w:rPr>
          <w:i/>
          <w:iCs/>
        </w:rPr>
        <w:t>Evaluation of the Discovery Projects Scheme: Final Report</w:t>
      </w:r>
      <w:r w:rsidR="00490F4F">
        <w:t xml:space="preserve"> (Canberra: ARC, </w:t>
      </w:r>
      <w:r w:rsidR="00490F4F" w:rsidRPr="0D8D5CAD">
        <w:t>2020</w:t>
      </w:r>
      <w:r w:rsidR="00490F4F">
        <w:t>)</w:t>
      </w:r>
      <w:r w:rsidR="00490F4F" w:rsidRPr="0D8D5CAD">
        <w:t xml:space="preserve">, </w:t>
      </w:r>
      <w:r w:rsidR="00490F4F" w:rsidRPr="70D12CB7">
        <w:t>94</w:t>
      </w:r>
      <w:r w:rsidR="00490F4F" w:rsidRPr="005578F4">
        <w:rPr>
          <w:rFonts w:ascii="Symbol" w:hAnsi="Symbol"/>
        </w:rPr>
        <w:t>-</w:t>
      </w:r>
      <w:r w:rsidR="00490F4F" w:rsidRPr="70D12CB7">
        <w:t>5</w:t>
      </w:r>
      <w:r w:rsidR="00490F4F">
        <w:t xml:space="preserve">, </w:t>
      </w:r>
      <w:r w:rsidR="00603651" w:rsidRPr="00603651">
        <w:t>www.arc.gov.au/sites/default/files/2022-06/Evaluation%20of%20the%20Discovery%20Projects%20scheme%20%28PDF%29.pdf</w:t>
      </w:r>
      <w:r w:rsidR="00490F4F">
        <w:t>.</w:t>
      </w:r>
    </w:p>
  </w:footnote>
  <w:footnote w:id="343">
    <w:p w14:paraId="13E3F715" w14:textId="0FF80AD1" w:rsidR="00703E85" w:rsidRDefault="00703E85" w:rsidP="00703E85">
      <w:pPr>
        <w:pStyle w:val="FootnoteText"/>
      </w:pPr>
      <w:r>
        <w:rPr>
          <w:rStyle w:val="FootnoteReference"/>
        </w:rPr>
        <w:footnoteRef/>
      </w:r>
      <w:r>
        <w:t xml:space="preserve"> </w:t>
      </w:r>
      <w:r w:rsidR="005B7976">
        <w:t>Lester-Irabinna</w:t>
      </w:r>
      <w:r>
        <w:t xml:space="preserve"> </w:t>
      </w:r>
      <w:r w:rsidRPr="00EE37C7">
        <w:t xml:space="preserve">Rigney, </w:t>
      </w:r>
      <w:r w:rsidR="005B7976">
        <w:t>“</w:t>
      </w:r>
      <w:r w:rsidRPr="00EE37C7">
        <w:t>A First Perspective of Indigenous Australian Participation in Science: Framing Indigenous Research Towards Indigenous Australian Intellectual Sovereignty</w:t>
      </w:r>
      <w:r w:rsidR="005B7976">
        <w:t>,”</w:t>
      </w:r>
      <w:r w:rsidRPr="00EE37C7">
        <w:t xml:space="preserve"> </w:t>
      </w:r>
      <w:r w:rsidRPr="002770EB">
        <w:rPr>
          <w:i/>
          <w:iCs/>
        </w:rPr>
        <w:t>Kaurna Higher Education Journal</w:t>
      </w:r>
      <w:r w:rsidRPr="005578F4">
        <w:rPr>
          <w:i/>
        </w:rPr>
        <w:t xml:space="preserve">, </w:t>
      </w:r>
      <w:r w:rsidRPr="00EE37C7">
        <w:t>7</w:t>
      </w:r>
      <w:r w:rsidR="005B7976">
        <w:t xml:space="preserve"> (2001)</w:t>
      </w:r>
      <w:r w:rsidR="005B7976" w:rsidRPr="00EE37C7">
        <w:t>,</w:t>
      </w:r>
      <w:r w:rsidRPr="00EE37C7">
        <w:t xml:space="preserve"> 1</w:t>
      </w:r>
      <w:r>
        <w:rPr>
          <w:rFonts w:ascii="Symbol" w:eastAsia="Symbol" w:hAnsi="Symbol" w:cs="Symbol"/>
        </w:rPr>
        <w:t>-</w:t>
      </w:r>
      <w:r w:rsidRPr="00EE37C7">
        <w:t>13.</w:t>
      </w:r>
    </w:p>
  </w:footnote>
  <w:footnote w:id="344">
    <w:p w14:paraId="2B8A8E43" w14:textId="771DF1A0" w:rsidR="00703E85" w:rsidRDefault="00703E85" w:rsidP="00703E85">
      <w:pPr>
        <w:pStyle w:val="FootnoteText"/>
      </w:pPr>
      <w:r>
        <w:rPr>
          <w:rStyle w:val="FootnoteReference"/>
        </w:rPr>
        <w:footnoteRef/>
      </w:r>
      <w:r>
        <w:t xml:space="preserve"> </w:t>
      </w:r>
      <w:r w:rsidR="00752B99">
        <w:t>Bradley</w:t>
      </w:r>
      <w:r>
        <w:t xml:space="preserve"> </w:t>
      </w:r>
      <w:proofErr w:type="spellStart"/>
      <w:r w:rsidRPr="009C2F02">
        <w:t>Moggridge</w:t>
      </w:r>
      <w:proofErr w:type="spellEnd"/>
      <w:r w:rsidRPr="009C2F02">
        <w:t xml:space="preserve">, </w:t>
      </w:r>
      <w:r w:rsidR="00752B99">
        <w:t>Ross</w:t>
      </w:r>
      <w:r w:rsidRPr="009C2F02">
        <w:t xml:space="preserve"> Thompson, </w:t>
      </w:r>
      <w:r w:rsidR="00752B99">
        <w:t>and Peter</w:t>
      </w:r>
      <w:r w:rsidRPr="009C2F02">
        <w:t xml:space="preserve"> </w:t>
      </w:r>
      <w:proofErr w:type="spellStart"/>
      <w:r w:rsidRPr="009C2F02">
        <w:t>Radoll</w:t>
      </w:r>
      <w:proofErr w:type="spellEnd"/>
      <w:r w:rsidRPr="009C2F02">
        <w:t xml:space="preserve">, </w:t>
      </w:r>
      <w:r w:rsidR="00752B99">
        <w:t>“</w:t>
      </w:r>
      <w:r w:rsidR="00752B99" w:rsidRPr="009C2F02">
        <w:t>Indigenous research methodologies in water management: learning from Australia and New Zealand for application on Kamilaroi country</w:t>
      </w:r>
      <w:r w:rsidR="00752B99">
        <w:t>,”</w:t>
      </w:r>
      <w:r w:rsidR="00752B99" w:rsidRPr="005578F4">
        <w:rPr>
          <w:i/>
        </w:rPr>
        <w:t xml:space="preserve"> Wetlands </w:t>
      </w:r>
      <w:r w:rsidR="00752B99" w:rsidRPr="00B35E4F">
        <w:rPr>
          <w:i/>
        </w:rPr>
        <w:t>Ecology and Management</w:t>
      </w:r>
      <w:r w:rsidR="00752B99">
        <w:rPr>
          <w:i/>
          <w:iCs/>
        </w:rPr>
        <w:t>,</w:t>
      </w:r>
      <w:r w:rsidR="00752B99" w:rsidRPr="005578F4">
        <w:rPr>
          <w:i/>
        </w:rPr>
        <w:t xml:space="preserve"> </w:t>
      </w:r>
      <w:r w:rsidR="00752B99" w:rsidRPr="009C2F02">
        <w:t xml:space="preserve">30, </w:t>
      </w:r>
      <w:r w:rsidR="00752B99">
        <w:t>(2022),</w:t>
      </w:r>
      <w:r w:rsidR="00752B99" w:rsidRPr="009C2F02">
        <w:t xml:space="preserve"> 853–868</w:t>
      </w:r>
      <w:r w:rsidR="00752B99">
        <w:t>,</w:t>
      </w:r>
      <w:r w:rsidR="00752B99" w:rsidRPr="009C2F02">
        <w:t xml:space="preserve"> </w:t>
      </w:r>
      <w:r w:rsidR="00752B99" w:rsidRPr="002D1D09">
        <w:t>link.springer.com/article/10.1007/s11273-022-09866-4</w:t>
      </w:r>
      <w:r w:rsidR="00752B99">
        <w:t>; Australian Partnership for Preparedness Research on Infectious Disease Emergencies (APPRISE), “</w:t>
      </w:r>
      <w:r w:rsidR="00752B99" w:rsidRPr="00B35E4F">
        <w:t>First Nations-led projects funded for COVID-19 research</w:t>
      </w:r>
      <w:r w:rsidR="00752B99">
        <w:t>,” APPRISE website, accessed 11 November 2023,</w:t>
      </w:r>
      <w:r w:rsidR="00752B99" w:rsidRPr="00961097">
        <w:t xml:space="preserve"> </w:t>
      </w:r>
      <w:hyperlink r:id="rId195" w:history="1">
        <w:r w:rsidR="00752B99" w:rsidRPr="00464562">
          <w:rPr>
            <w:rStyle w:val="Hyperlink"/>
          </w:rPr>
          <w:t>www.apprise.org.au/project/first-nations-led-projects-funded-for-covid-19-research/</w:t>
        </w:r>
      </w:hyperlink>
      <w:r w:rsidR="00752B99">
        <w:t>.</w:t>
      </w:r>
    </w:p>
  </w:footnote>
  <w:footnote w:id="345">
    <w:p w14:paraId="7D806B90" w14:textId="52CB86A7" w:rsidR="00703E85" w:rsidRDefault="00703E85" w:rsidP="00703E85">
      <w:pPr>
        <w:pStyle w:val="FootnoteText"/>
      </w:pPr>
      <w:r w:rsidRPr="00DB079C">
        <w:rPr>
          <w:vertAlign w:val="superscript"/>
        </w:rPr>
        <w:footnoteRef/>
      </w:r>
      <w:r w:rsidRPr="00DB079C">
        <w:rPr>
          <w:vertAlign w:val="superscript"/>
        </w:rPr>
        <w:t xml:space="preserve"> </w:t>
      </w:r>
      <w:r>
        <w:t>Federica Rosetta, “The Growing Importance of Research Infrastructures</w:t>
      </w:r>
      <w:r w:rsidR="0077189C">
        <w:t>,</w:t>
      </w:r>
      <w:r>
        <w:t xml:space="preserve">” </w:t>
      </w:r>
      <w:r w:rsidRPr="009C08EE">
        <w:rPr>
          <w:i/>
          <w:iCs/>
        </w:rPr>
        <w:t>Connect</w:t>
      </w:r>
      <w:r w:rsidRPr="30C1CD9D">
        <w:rPr>
          <w:i/>
          <w:iCs/>
        </w:rPr>
        <w:t>,</w:t>
      </w:r>
      <w:r w:rsidRPr="13E6B3CF">
        <w:rPr>
          <w:i/>
          <w:iCs/>
        </w:rPr>
        <w:t xml:space="preserve"> </w:t>
      </w:r>
      <w:r>
        <w:t xml:space="preserve">9 March 2023, </w:t>
      </w:r>
      <w:hyperlink r:id="rId196" w:history="1">
        <w:r w:rsidRPr="00D9140E">
          <w:rPr>
            <w:rStyle w:val="Hyperlink"/>
          </w:rPr>
          <w:t>www.elsevier.com/connect/the-growing-importance-of-research-infrastructures</w:t>
        </w:r>
      </w:hyperlink>
      <w:r>
        <w:t>.</w:t>
      </w:r>
    </w:p>
  </w:footnote>
  <w:footnote w:id="346">
    <w:p w14:paraId="42AB819A" w14:textId="3B6B2270" w:rsidR="00703E85" w:rsidRDefault="00703E85" w:rsidP="00703E85">
      <w:pPr>
        <w:pStyle w:val="FootnoteText"/>
      </w:pPr>
      <w:r w:rsidRPr="00DB079C">
        <w:rPr>
          <w:vertAlign w:val="superscript"/>
        </w:rPr>
        <w:footnoteRef/>
      </w:r>
      <w:r w:rsidRPr="00DB079C">
        <w:rPr>
          <w:vertAlign w:val="superscript"/>
        </w:rPr>
        <w:t xml:space="preserve"> </w:t>
      </w:r>
      <w:r>
        <w:t xml:space="preserve">For example see, Academy of Social Sciences in Australia, </w:t>
      </w:r>
      <w:r w:rsidRPr="009C08EE">
        <w:rPr>
          <w:i/>
          <w:iCs/>
        </w:rPr>
        <w:t>Australia‘s Data-Enabled Research Future: The Social Sciences</w:t>
      </w:r>
      <w:r>
        <w:t xml:space="preserve">, </w:t>
      </w:r>
      <w:r w:rsidR="0077189C">
        <w:t xml:space="preserve">(Canberra: </w:t>
      </w:r>
      <w:r>
        <w:t>Academy of Social Sciences in Australia, 202</w:t>
      </w:r>
      <w:r w:rsidR="0077189C">
        <w:t>2)</w:t>
      </w:r>
      <w:r>
        <w:t xml:space="preserve">,  </w:t>
      </w:r>
      <w:hyperlink r:id="rId197" w:history="1">
        <w:r w:rsidRPr="1C6FF51A">
          <w:rPr>
            <w:rStyle w:val="Hyperlink"/>
          </w:rPr>
          <w:t>socialsciences.org.au/data-enabled-reseach-f</w:t>
        </w:r>
        <w:bookmarkStart w:id="973" w:name="_Hlt155711947"/>
        <w:bookmarkStart w:id="974" w:name="_Hlt155711948"/>
        <w:r w:rsidRPr="1C6FF51A">
          <w:rPr>
            <w:rStyle w:val="Hyperlink"/>
          </w:rPr>
          <w:t>u</w:t>
        </w:r>
        <w:bookmarkEnd w:id="973"/>
        <w:bookmarkEnd w:id="974"/>
        <w:r w:rsidRPr="1C6FF51A">
          <w:rPr>
            <w:rStyle w:val="Hyperlink"/>
          </w:rPr>
          <w:t>ture/</w:t>
        </w:r>
      </w:hyperlink>
      <w:r>
        <w:t xml:space="preserve">; Department of Health and Aged Care, </w:t>
      </w:r>
      <w:r w:rsidRPr="002770EB">
        <w:rPr>
          <w:i/>
          <w:iCs/>
        </w:rPr>
        <w:t>R</w:t>
      </w:r>
      <w:r w:rsidRPr="009C08EE">
        <w:rPr>
          <w:i/>
        </w:rPr>
        <w:t xml:space="preserve">esearch Data Infrastructure Initiative, </w:t>
      </w:r>
      <w:r w:rsidR="0077189C">
        <w:t xml:space="preserve">(Canberra: </w:t>
      </w:r>
      <w:r>
        <w:t>2023</w:t>
      </w:r>
      <w:r w:rsidR="0077189C">
        <w:t xml:space="preserve">), revised 4 October </w:t>
      </w:r>
      <w:r>
        <w:t xml:space="preserve">2023, </w:t>
      </w:r>
      <w:hyperlink r:id="rId198" w:anchor="about-the-research-data-infrastructure-initiative" w:history="1">
        <w:r w:rsidRPr="00D9140E">
          <w:rPr>
            <w:rStyle w:val="Hyperlink"/>
          </w:rPr>
          <w:t>www.health.gov.au/our-work/mrff-research-data-infrastructure-initia</w:t>
        </w:r>
        <w:bookmarkStart w:id="975" w:name="_Hlt155711943"/>
        <w:bookmarkStart w:id="976" w:name="_Hlt155711944"/>
        <w:r w:rsidRPr="00D9140E">
          <w:rPr>
            <w:rStyle w:val="Hyperlink"/>
          </w:rPr>
          <w:t>t</w:t>
        </w:r>
        <w:bookmarkEnd w:id="975"/>
        <w:bookmarkEnd w:id="976"/>
        <w:r w:rsidRPr="00D9140E">
          <w:rPr>
            <w:rStyle w:val="Hyperlink"/>
          </w:rPr>
          <w:t>ive#about-the-research-data-infrastructure-initiative</w:t>
        </w:r>
      </w:hyperlink>
      <w:r>
        <w:t>.</w:t>
      </w:r>
    </w:p>
  </w:footnote>
  <w:footnote w:id="347">
    <w:p w14:paraId="01EF56D5" w14:textId="1814FDA7" w:rsidR="00703E85" w:rsidRPr="0030186F" w:rsidRDefault="00703E85" w:rsidP="00703E85">
      <w:pPr>
        <w:pStyle w:val="FootnoteText"/>
      </w:pPr>
      <w:r w:rsidRPr="002770EB">
        <w:rPr>
          <w:vertAlign w:val="superscript"/>
        </w:rPr>
        <w:footnoteRef/>
      </w:r>
      <w:r w:rsidRPr="0030186F">
        <w:rPr>
          <w:vertAlign w:val="superscript"/>
        </w:rPr>
        <w:t xml:space="preserve"> </w:t>
      </w:r>
      <w:r w:rsidRPr="0030186F">
        <w:t>E</w:t>
      </w:r>
      <w:r>
        <w:t>mmaline</w:t>
      </w:r>
      <w:r w:rsidRPr="0030186F">
        <w:t xml:space="preserve"> Bexley, R</w:t>
      </w:r>
      <w:r>
        <w:t>ichard</w:t>
      </w:r>
      <w:r w:rsidRPr="0030186F">
        <w:t xml:space="preserve"> James and S</w:t>
      </w:r>
      <w:r>
        <w:t>ophie</w:t>
      </w:r>
      <w:r w:rsidRPr="0030186F">
        <w:t xml:space="preserve"> </w:t>
      </w:r>
      <w:proofErr w:type="spellStart"/>
      <w:r w:rsidRPr="0030186F">
        <w:t>Arkoudis</w:t>
      </w:r>
      <w:proofErr w:type="spellEnd"/>
      <w:r>
        <w:t xml:space="preserve">, </w:t>
      </w:r>
      <w:r w:rsidRPr="004406D4">
        <w:rPr>
          <w:i/>
        </w:rPr>
        <w:t>The Australian Academic Profession in Transition: Addressing the Challenge of Reconceptualising Academic Work and Regenerating the Academic Workforce</w:t>
      </w:r>
      <w:r>
        <w:t xml:space="preserve"> (</w:t>
      </w:r>
      <w:r w:rsidRPr="0030186F">
        <w:t>Department of Education, Employment and Workplace Relations</w:t>
      </w:r>
      <w:r>
        <w:t xml:space="preserve"> and</w:t>
      </w:r>
      <w:r w:rsidRPr="0030186F">
        <w:t xml:space="preserve"> </w:t>
      </w:r>
      <w:r w:rsidR="00B14F21">
        <w:t xml:space="preserve">University of Melbourne </w:t>
      </w:r>
      <w:r w:rsidRPr="0030186F">
        <w:t xml:space="preserve">Centre for the Study of Higher Education, </w:t>
      </w:r>
      <w:r>
        <w:t xml:space="preserve">University of Melbourne, September 2011), </w:t>
      </w:r>
      <w:r w:rsidRPr="0030186F">
        <w:t>4</w:t>
      </w:r>
      <w:r>
        <w:t xml:space="preserve">, </w:t>
      </w:r>
      <w:hyperlink r:id="rId199" w:history="1">
        <w:r w:rsidRPr="00D9140E">
          <w:rPr>
            <w:rStyle w:val="Hyperlink"/>
          </w:rPr>
          <w:t>melbourne-cshe.unimelb.edu.au/__data/assets/pdf_file/0010/1490923/The_Academic_Profession_in_Transition_Sept2011.pdf</w:t>
        </w:r>
      </w:hyperlink>
      <w:r>
        <w:t>.</w:t>
      </w:r>
    </w:p>
  </w:footnote>
  <w:footnote w:id="348">
    <w:p w14:paraId="55E2ED30" w14:textId="7853B6C6" w:rsidR="00703E85" w:rsidRPr="0030186F" w:rsidRDefault="00703E85" w:rsidP="00703E85">
      <w:pPr>
        <w:pStyle w:val="FootnoteText"/>
      </w:pPr>
      <w:r w:rsidRPr="0030186F">
        <w:rPr>
          <w:vertAlign w:val="superscript"/>
        </w:rPr>
        <w:footnoteRef/>
      </w:r>
      <w:r w:rsidRPr="0030186F">
        <w:rPr>
          <w:vertAlign w:val="superscript"/>
        </w:rPr>
        <w:t xml:space="preserve"> </w:t>
      </w:r>
      <w:r w:rsidRPr="0030186F">
        <w:t>I</w:t>
      </w:r>
      <w:r>
        <w:t>nger</w:t>
      </w:r>
      <w:r w:rsidRPr="0030186F">
        <w:t xml:space="preserve"> </w:t>
      </w:r>
      <w:proofErr w:type="spellStart"/>
      <w:r w:rsidRPr="0030186F">
        <w:t>Mewburn</w:t>
      </w:r>
      <w:proofErr w:type="spellEnd"/>
      <w:r w:rsidRPr="0030186F">
        <w:t>, H</w:t>
      </w:r>
      <w:r>
        <w:t>anna</w:t>
      </w:r>
      <w:r w:rsidRPr="0030186F">
        <w:t xml:space="preserve"> Suominen and W</w:t>
      </w:r>
      <w:r>
        <w:t>ill</w:t>
      </w:r>
      <w:r w:rsidRPr="0030186F">
        <w:t xml:space="preserve"> Grant</w:t>
      </w:r>
      <w:r>
        <w:t xml:space="preserve">, </w:t>
      </w:r>
      <w:r w:rsidRPr="002770EB">
        <w:rPr>
          <w:i/>
          <w:iCs/>
        </w:rPr>
        <w:t>Tracking Trends in Industry Demand for Australia’s Advanced Research Workforce</w:t>
      </w:r>
      <w:r>
        <w:t xml:space="preserve"> (Canberra: </w:t>
      </w:r>
      <w:r w:rsidRPr="0030186F">
        <w:t>A</w:t>
      </w:r>
      <w:r>
        <w:t xml:space="preserve">ustralian National University </w:t>
      </w:r>
      <w:r w:rsidRPr="0030186F">
        <w:t>and CSIRO, August 2017</w:t>
      </w:r>
      <w:r>
        <w:t>)</w:t>
      </w:r>
      <w:r w:rsidRPr="0030186F">
        <w:t>,</w:t>
      </w:r>
      <w:r w:rsidR="00B14F21">
        <w:t xml:space="preserve"> 10–17,</w:t>
      </w:r>
      <w:r w:rsidRPr="0030186F">
        <w:t xml:space="preserve"> </w:t>
      </w:r>
      <w:hyperlink r:id="rId200" w:history="1">
        <w:r w:rsidR="00000DB5" w:rsidRPr="009F797D">
          <w:rPr>
            <w:rStyle w:val="Hyperlink"/>
          </w:rPr>
          <w:t>openresearch-repository.anu.edu.au/handle/1885/209175</w:t>
        </w:r>
      </w:hyperlink>
      <w:r w:rsidR="00000DB5">
        <w:t xml:space="preserve">. </w:t>
      </w:r>
    </w:p>
  </w:footnote>
  <w:footnote w:id="349">
    <w:p w14:paraId="7DB23309" w14:textId="3E97B23B" w:rsidR="00703E85" w:rsidRDefault="00703E85" w:rsidP="00703E85">
      <w:pPr>
        <w:pStyle w:val="FootnoteText"/>
      </w:pPr>
      <w:r>
        <w:rPr>
          <w:rStyle w:val="FootnoteReference"/>
        </w:rPr>
        <w:footnoteRef/>
      </w:r>
      <w:r>
        <w:t xml:space="preserve"> </w:t>
      </w:r>
      <w:r w:rsidRPr="00284197">
        <w:t xml:space="preserve">Australian Industry Group, </w:t>
      </w:r>
      <w:r>
        <w:rPr>
          <w:i/>
          <w:iCs/>
        </w:rPr>
        <w:t>Submission to the</w:t>
      </w:r>
      <w:r w:rsidRPr="002770EB">
        <w:rPr>
          <w:i/>
          <w:iCs/>
        </w:rPr>
        <w:t xml:space="preserve"> </w:t>
      </w:r>
      <w:r>
        <w:rPr>
          <w:i/>
          <w:iCs/>
        </w:rPr>
        <w:t>Australian</w:t>
      </w:r>
      <w:r w:rsidRPr="002770EB">
        <w:rPr>
          <w:i/>
          <w:iCs/>
        </w:rPr>
        <w:t xml:space="preserve"> Universities Accord Interim Report</w:t>
      </w:r>
      <w:r w:rsidR="00D0791E">
        <w:rPr>
          <w:i/>
          <w:iCs/>
        </w:rPr>
        <w:t xml:space="preserve">, </w:t>
      </w:r>
      <w:r>
        <w:t>2023,</w:t>
      </w:r>
      <w:r w:rsidRPr="00284197">
        <w:t xml:space="preserve"> 14</w:t>
      </w:r>
      <w:r>
        <w:t xml:space="preserve">, </w:t>
      </w:r>
      <w:r w:rsidRPr="000F5981">
        <w:t>www.education.gov.au/australian-universities-accord/consultations/consultation-accord-interim-report/submission/16952</w:t>
      </w:r>
      <w:r w:rsidRPr="00284197">
        <w:t>.</w:t>
      </w:r>
    </w:p>
  </w:footnote>
  <w:footnote w:id="350">
    <w:p w14:paraId="53414A9A" w14:textId="7DFA4E20" w:rsidR="007779E7" w:rsidRPr="007779E7" w:rsidRDefault="007779E7">
      <w:pPr>
        <w:pStyle w:val="FootnoteText"/>
      </w:pPr>
      <w:r>
        <w:rPr>
          <w:rStyle w:val="FootnoteReference"/>
        </w:rPr>
        <w:footnoteRef/>
      </w:r>
      <w:r>
        <w:t xml:space="preserve"> QILT, </w:t>
      </w:r>
      <w:r>
        <w:rPr>
          <w:i/>
          <w:iCs/>
        </w:rPr>
        <w:t xml:space="preserve">Student Experience Survey </w:t>
      </w:r>
      <w:r>
        <w:t>[data set].</w:t>
      </w:r>
    </w:p>
  </w:footnote>
  <w:footnote w:id="351">
    <w:p w14:paraId="385CE6FE" w14:textId="5C9D5547" w:rsidR="00703E85" w:rsidRDefault="00703E85" w:rsidP="00703E85">
      <w:pPr>
        <w:pStyle w:val="FootnoteText"/>
      </w:pPr>
      <w:r>
        <w:rPr>
          <w:rStyle w:val="FootnoteReference"/>
        </w:rPr>
        <w:footnoteRef/>
      </w:r>
      <w:r>
        <w:t xml:space="preserve"> See for example, </w:t>
      </w:r>
      <w:r w:rsidR="008D330E">
        <w:t xml:space="preserve">the </w:t>
      </w:r>
      <w:r w:rsidR="008D330E" w:rsidRPr="00DE6581">
        <w:t>National</w:t>
      </w:r>
      <w:r w:rsidRPr="00DE6581">
        <w:t xml:space="preserve"> Aboriginal and Torres Strait Islander Higher Education Consortium</w:t>
      </w:r>
      <w:r>
        <w:t xml:space="preserve"> </w:t>
      </w:r>
      <w:r w:rsidR="005656E4">
        <w:t xml:space="preserve">(NATSIHEC), </w:t>
      </w:r>
      <w:r w:rsidR="005656E4" w:rsidRPr="000A0CC6">
        <w:rPr>
          <w:i/>
        </w:rPr>
        <w:t>Submission to the Australian Universities Accord Interim Report</w:t>
      </w:r>
      <w:r w:rsidR="005656E4">
        <w:t xml:space="preserve">, 2023, </w:t>
      </w:r>
      <w:r w:rsidR="005656E4" w:rsidRPr="00F23B36">
        <w:t>www.education.gov.au/system/files/</w:t>
      </w:r>
      <w:r w:rsidR="005656E4">
        <w:t>‌</w:t>
      </w:r>
      <w:r w:rsidR="005656E4" w:rsidRPr="00F23B36">
        <w:t>20</w:t>
      </w:r>
      <w:r w:rsidR="005656E4">
        <w:t>‌</w:t>
      </w:r>
      <w:r w:rsidR="005656E4" w:rsidRPr="00F23B36">
        <w:t>2</w:t>
      </w:r>
      <w:r w:rsidR="005656E4">
        <w:t>‌</w:t>
      </w:r>
      <w:r w:rsidR="005656E4" w:rsidRPr="00F23B36">
        <w:t>3</w:t>
      </w:r>
      <w:r w:rsidR="005656E4">
        <w:t>‌</w:t>
      </w:r>
      <w:r w:rsidR="005656E4" w:rsidRPr="00F23B36">
        <w:t>-09/</w:t>
      </w:r>
      <w:r w:rsidR="005656E4">
        <w:t>‌</w:t>
      </w:r>
      <w:r w:rsidR="005656E4" w:rsidRPr="00F23B36">
        <w:t>AUA_inter_tranche14_304 National Aboriginal and Torres Strait Islander Higher Education Consortium.pdf</w:t>
      </w:r>
      <w:r w:rsidR="005656E4">
        <w:t xml:space="preserve">. </w:t>
      </w:r>
    </w:p>
  </w:footnote>
  <w:footnote w:id="352">
    <w:p w14:paraId="5F166887" w14:textId="1ADD6873" w:rsidR="00703E85" w:rsidRPr="002638D1" w:rsidRDefault="00703E85" w:rsidP="00703E85">
      <w:pPr>
        <w:pStyle w:val="FootnoteText"/>
        <w:rPr>
          <w:sz w:val="18"/>
          <w:szCs w:val="18"/>
        </w:rPr>
      </w:pPr>
      <w:r w:rsidRPr="002638D1">
        <w:rPr>
          <w:rStyle w:val="FootnoteReference"/>
          <w:sz w:val="18"/>
          <w:szCs w:val="18"/>
        </w:rPr>
        <w:footnoteRef/>
      </w:r>
      <w:r w:rsidRPr="002638D1">
        <w:rPr>
          <w:sz w:val="18"/>
          <w:szCs w:val="18"/>
        </w:rPr>
        <w:t xml:space="preserve"> </w:t>
      </w:r>
      <w:r w:rsidRPr="002770EB">
        <w:rPr>
          <w:rStyle w:val="normaltextrun"/>
          <w:color w:val="000000"/>
          <w:szCs w:val="16"/>
          <w:shd w:val="clear" w:color="auto" w:fill="FFFFFF"/>
        </w:rPr>
        <w:t xml:space="preserve">Social Research Centre, </w:t>
      </w:r>
      <w:r w:rsidRPr="002770EB">
        <w:rPr>
          <w:rStyle w:val="normaltextrun"/>
          <w:i/>
          <w:iCs/>
          <w:color w:val="000000"/>
          <w:szCs w:val="16"/>
          <w:shd w:val="clear" w:color="auto" w:fill="FFFFFF"/>
        </w:rPr>
        <w:t>2022 Graduate Outcomes Survey</w:t>
      </w:r>
      <w:r w:rsidRPr="002770EB" w:rsidDel="001B4554">
        <w:rPr>
          <w:rStyle w:val="normaltextrun"/>
          <w:color w:val="000000"/>
          <w:szCs w:val="16"/>
          <w:shd w:val="clear" w:color="auto" w:fill="FFFFFF"/>
        </w:rPr>
        <w:t xml:space="preserve"> </w:t>
      </w:r>
      <w:r w:rsidRPr="002770EB">
        <w:rPr>
          <w:rStyle w:val="normaltextrun"/>
          <w:color w:val="000000"/>
          <w:szCs w:val="16"/>
          <w:shd w:val="clear" w:color="auto" w:fill="FFFFFF"/>
        </w:rPr>
        <w:t>(Melbourne: Social Research Centre, February 2023), 6, </w:t>
      </w:r>
      <w:hyperlink r:id="rId201" w:history="1">
        <w:r w:rsidRPr="002770EB">
          <w:rPr>
            <w:rStyle w:val="Hyperlink"/>
            <w:szCs w:val="16"/>
            <w:shd w:val="clear" w:color="auto" w:fill="FFFFFF"/>
          </w:rPr>
          <w:t>www.qilt.edu.au/docs/default-source/default-document-library/2022-gos-national-report.pdf?sfvrsn=c5d342c8_2</w:t>
        </w:r>
      </w:hyperlink>
      <w:r w:rsidRPr="002770EB">
        <w:rPr>
          <w:rStyle w:val="normaltextrun"/>
          <w:color w:val="000000"/>
          <w:szCs w:val="16"/>
          <w:shd w:val="clear" w:color="auto" w:fill="FFFFFF"/>
        </w:rPr>
        <w:t>.</w:t>
      </w:r>
      <w:r>
        <w:rPr>
          <w:rStyle w:val="normaltextrun"/>
          <w:rFonts w:ascii="Calibri" w:hAnsi="Calibri" w:cs="Calibri"/>
          <w:color w:val="000000"/>
          <w:sz w:val="18"/>
          <w:szCs w:val="18"/>
          <w:shd w:val="clear" w:color="auto" w:fill="FFFFFF"/>
        </w:rPr>
        <w:t xml:space="preserve"> </w:t>
      </w:r>
    </w:p>
  </w:footnote>
  <w:footnote w:id="353">
    <w:p w14:paraId="79B4DD1B" w14:textId="63FEFF80" w:rsidR="00703E85" w:rsidRPr="005C4035" w:rsidRDefault="00703E85" w:rsidP="00703E85">
      <w:pPr>
        <w:pStyle w:val="FootnoteText"/>
      </w:pPr>
      <w:r w:rsidRPr="005C4035">
        <w:rPr>
          <w:rStyle w:val="FootnoteReference"/>
          <w:szCs w:val="16"/>
        </w:rPr>
        <w:footnoteRef/>
      </w:r>
      <w:r w:rsidRPr="005C4035">
        <w:t xml:space="preserve"> </w:t>
      </w:r>
      <w:r w:rsidR="007772CA" w:rsidRPr="003B7839">
        <w:t xml:space="preserve">Department of Education, </w:t>
      </w:r>
      <w:r w:rsidR="007772CA" w:rsidRPr="002770EB">
        <w:rPr>
          <w:i/>
        </w:rPr>
        <w:t>Domestic</w:t>
      </w:r>
      <w:r w:rsidR="007772CA" w:rsidRPr="005578F4">
        <w:rPr>
          <w:i/>
        </w:rPr>
        <w:t xml:space="preserve"> PhD </w:t>
      </w:r>
      <w:r w:rsidR="007772CA">
        <w:rPr>
          <w:i/>
        </w:rPr>
        <w:t>S</w:t>
      </w:r>
      <w:r w:rsidR="007772CA" w:rsidRPr="002770EB">
        <w:rPr>
          <w:i/>
        </w:rPr>
        <w:t xml:space="preserve">tudent </w:t>
      </w:r>
      <w:r w:rsidR="007772CA">
        <w:rPr>
          <w:i/>
        </w:rPr>
        <w:t>E</w:t>
      </w:r>
      <w:r w:rsidR="007772CA" w:rsidRPr="002770EB">
        <w:rPr>
          <w:i/>
        </w:rPr>
        <w:t xml:space="preserve">nrolments (by </w:t>
      </w:r>
      <w:r w:rsidR="007772CA">
        <w:rPr>
          <w:i/>
        </w:rPr>
        <w:t>E</w:t>
      </w:r>
      <w:r w:rsidR="007772CA" w:rsidRPr="002770EB">
        <w:rPr>
          <w:i/>
        </w:rPr>
        <w:t xml:space="preserve">quity </w:t>
      </w:r>
      <w:r w:rsidR="007772CA">
        <w:rPr>
          <w:i/>
        </w:rPr>
        <w:t>G</w:t>
      </w:r>
      <w:r w:rsidR="007772CA" w:rsidRPr="002770EB">
        <w:rPr>
          <w:i/>
        </w:rPr>
        <w:t>roup)</w:t>
      </w:r>
      <w:r w:rsidR="007772CA">
        <w:rPr>
          <w:i/>
        </w:rPr>
        <w:t xml:space="preserve"> 2022</w:t>
      </w:r>
      <w:r w:rsidR="007772CA" w:rsidRPr="003B7839">
        <w:t xml:space="preserve"> [unpublished data], </w:t>
      </w:r>
      <w:r w:rsidR="007772CA">
        <w:t>(</w:t>
      </w:r>
      <w:r w:rsidR="007772CA" w:rsidRPr="003B7839">
        <w:t>Canberra</w:t>
      </w:r>
      <w:r w:rsidR="007772CA">
        <w:t xml:space="preserve">: </w:t>
      </w:r>
      <w:r w:rsidR="007772CA" w:rsidRPr="003B7839">
        <w:t>2023</w:t>
      </w:r>
      <w:r w:rsidR="007772CA">
        <w:t>)</w:t>
      </w:r>
      <w:r w:rsidR="007772CA" w:rsidRPr="005C4035">
        <w:t>.</w:t>
      </w:r>
    </w:p>
  </w:footnote>
  <w:footnote w:id="354">
    <w:p w14:paraId="2A933B63" w14:textId="278CB01D" w:rsidR="00703E85" w:rsidRDefault="00703E85" w:rsidP="00703E85">
      <w:pPr>
        <w:pStyle w:val="FootnoteText"/>
      </w:pPr>
      <w:r w:rsidRPr="002770EB">
        <w:rPr>
          <w:vertAlign w:val="superscript"/>
        </w:rPr>
        <w:footnoteRef/>
      </w:r>
      <w:r w:rsidRPr="002770EB">
        <w:rPr>
          <w:vertAlign w:val="superscript"/>
        </w:rPr>
        <w:t xml:space="preserve"> </w:t>
      </w:r>
      <w:r w:rsidRPr="003B7839">
        <w:t xml:space="preserve">Department of Education, </w:t>
      </w:r>
      <w:r w:rsidRPr="002770EB">
        <w:rPr>
          <w:i/>
        </w:rPr>
        <w:t xml:space="preserve">Domestic PhD </w:t>
      </w:r>
      <w:r w:rsidR="007772CA">
        <w:rPr>
          <w:i/>
        </w:rPr>
        <w:t>S</w:t>
      </w:r>
      <w:r w:rsidRPr="002770EB">
        <w:rPr>
          <w:i/>
        </w:rPr>
        <w:t xml:space="preserve">tudent </w:t>
      </w:r>
      <w:r w:rsidR="007772CA">
        <w:rPr>
          <w:i/>
        </w:rPr>
        <w:t>E</w:t>
      </w:r>
      <w:r w:rsidRPr="002770EB">
        <w:rPr>
          <w:i/>
        </w:rPr>
        <w:t>nrolments (by equity group)</w:t>
      </w:r>
      <w:r w:rsidRPr="003B7839">
        <w:t xml:space="preserve"> [unpublished data].</w:t>
      </w:r>
      <w:r w:rsidR="007772CA">
        <w:t xml:space="preserve"> Students may contribute to more than one group in these percentages</w:t>
      </w:r>
      <w:r w:rsidRPr="003B7839">
        <w:t>.</w:t>
      </w:r>
    </w:p>
  </w:footnote>
  <w:footnote w:id="355">
    <w:p w14:paraId="6D5A1210" w14:textId="3AFCCD95" w:rsidR="00703E85" w:rsidRDefault="00703E85" w:rsidP="00703E85">
      <w:pPr>
        <w:pStyle w:val="FootnoteText"/>
      </w:pPr>
      <w:r>
        <w:rPr>
          <w:rStyle w:val="FootnoteReference"/>
        </w:rPr>
        <w:footnoteRef/>
      </w:r>
      <w:r>
        <w:t xml:space="preserve"> Department of Education</w:t>
      </w:r>
      <w:r w:rsidRPr="00D53AD1">
        <w:t xml:space="preserve">, </w:t>
      </w:r>
      <w:r w:rsidRPr="008C4411">
        <w:rPr>
          <w:i/>
        </w:rPr>
        <w:t>Indigenous Students in Higher Degrees by Research</w:t>
      </w:r>
      <w:r w:rsidR="001C206F">
        <w:rPr>
          <w:i/>
          <w:iCs/>
        </w:rPr>
        <w:t>:</w:t>
      </w:r>
      <w:r w:rsidR="00D17C39">
        <w:rPr>
          <w:i/>
          <w:iCs/>
        </w:rPr>
        <w:t xml:space="preserve"> Statistical Report</w:t>
      </w:r>
      <w:r w:rsidR="00D17C39">
        <w:t xml:space="preserve">, </w:t>
      </w:r>
      <w:r w:rsidR="001C206F">
        <w:rPr>
          <w:i/>
          <w:iCs/>
        </w:rPr>
        <w:t>August 2019,</w:t>
      </w:r>
      <w:r w:rsidR="00D17C39">
        <w:t xml:space="preserve"> (Canberra:</w:t>
      </w:r>
      <w:r w:rsidRPr="00B55D18">
        <w:t xml:space="preserve"> </w:t>
      </w:r>
      <w:r w:rsidR="001C206F">
        <w:t>2020</w:t>
      </w:r>
      <w:r w:rsidR="00D17C39">
        <w:t>)</w:t>
      </w:r>
      <w:r w:rsidR="008E0B08">
        <w:t>,</w:t>
      </w:r>
      <w:r w:rsidR="00D17C39">
        <w:t xml:space="preserve"> </w:t>
      </w:r>
      <w:r w:rsidR="001C206F">
        <w:t>13,</w:t>
      </w:r>
      <w:r w:rsidR="00D17C39">
        <w:t xml:space="preserve"> </w:t>
      </w:r>
      <w:hyperlink r:id="rId202" w:history="1">
        <w:r w:rsidR="00AE385A" w:rsidRPr="0069099E">
          <w:rPr>
            <w:rStyle w:val="Hyperlink"/>
          </w:rPr>
          <w:t>www.education.gov.au/higher-education-statistics/resources/indigenous-students-higher-degrees-research</w:t>
        </w:r>
      </w:hyperlink>
      <w:r>
        <w:t>.</w:t>
      </w:r>
    </w:p>
  </w:footnote>
  <w:footnote w:id="356">
    <w:p w14:paraId="3373EC7F" w14:textId="0F67A3C0" w:rsidR="00703E85" w:rsidRDefault="00703E85" w:rsidP="00703E85">
      <w:pPr>
        <w:pStyle w:val="FootnoteText"/>
      </w:pPr>
      <w:r>
        <w:rPr>
          <w:rStyle w:val="FootnoteReference"/>
        </w:rPr>
        <w:footnoteRef/>
      </w:r>
      <w:r>
        <w:t xml:space="preserve"> Nikki </w:t>
      </w:r>
      <w:r w:rsidR="00F74257" w:rsidRPr="00F74257">
        <w:t>Moodie</w:t>
      </w:r>
      <w:r w:rsidR="002E6051">
        <w:t>,</w:t>
      </w:r>
      <w:r w:rsidR="00F74257" w:rsidRPr="00F74257">
        <w:t xml:space="preserve"> Shaun Ewen</w:t>
      </w:r>
      <w:r w:rsidR="002E6051">
        <w:t>,</w:t>
      </w:r>
      <w:r w:rsidR="00F74257" w:rsidRPr="00F74257">
        <w:t xml:space="preserve"> Julie </w:t>
      </w:r>
      <w:proofErr w:type="gramStart"/>
      <w:r w:rsidR="00F74257" w:rsidRPr="00F74257">
        <w:t>McLeod</w:t>
      </w:r>
      <w:proofErr w:type="gramEnd"/>
      <w:r w:rsidR="00F74257" w:rsidRPr="00F74257">
        <w:t xml:space="preserve"> and Chris Platania-Phung, </w:t>
      </w:r>
      <w:r w:rsidR="007772CA">
        <w:t>“</w:t>
      </w:r>
      <w:r>
        <w:t>Indigenous graduate research students in Australia: a critical review of the research,</w:t>
      </w:r>
      <w:r w:rsidR="007772CA">
        <w:t>”</w:t>
      </w:r>
      <w:r>
        <w:t xml:space="preserve"> </w:t>
      </w:r>
      <w:r w:rsidRPr="008C4411">
        <w:rPr>
          <w:i/>
        </w:rPr>
        <w:t>Higher Education Research &amp; Development</w:t>
      </w:r>
      <w:r>
        <w:t xml:space="preserve"> 37</w:t>
      </w:r>
      <w:r w:rsidR="007772CA">
        <w:t xml:space="preserve">, </w:t>
      </w:r>
      <w:r>
        <w:t xml:space="preserve">4, </w:t>
      </w:r>
      <w:r w:rsidR="007772CA">
        <w:t xml:space="preserve">(February 2018), </w:t>
      </w:r>
      <w:r>
        <w:t>805</w:t>
      </w:r>
      <w:r w:rsidR="007772CA">
        <w:t>–</w:t>
      </w:r>
      <w:r>
        <w:t xml:space="preserve">820, </w:t>
      </w:r>
      <w:r w:rsidR="00594946" w:rsidRPr="00594946">
        <w:t>doi.org/10.1080/07294360.2018.1440536</w:t>
      </w:r>
      <w:r w:rsidR="007772CA">
        <w:t>.</w:t>
      </w:r>
    </w:p>
  </w:footnote>
  <w:footnote w:id="357">
    <w:p w14:paraId="56D1F4D0" w14:textId="1601AF54" w:rsidR="00B506D8" w:rsidRDefault="00B506D8">
      <w:pPr>
        <w:pStyle w:val="FootnoteText"/>
      </w:pPr>
      <w:r>
        <w:rPr>
          <w:rStyle w:val="FootnoteReference"/>
        </w:rPr>
        <w:footnoteRef/>
      </w:r>
      <w:r>
        <w:t xml:space="preserve"> </w:t>
      </w:r>
      <w:r w:rsidRPr="00A76C55">
        <w:t xml:space="preserve">Department of Education, </w:t>
      </w:r>
      <w:r w:rsidRPr="002770EB">
        <w:rPr>
          <w:i/>
          <w:iCs/>
        </w:rPr>
        <w:t>Consolidated Time Series Datasets</w:t>
      </w:r>
      <w:r>
        <w:rPr>
          <w:i/>
          <w:iCs/>
        </w:rPr>
        <w:t xml:space="preserve">– </w:t>
      </w:r>
      <w:r w:rsidRPr="00304BDE">
        <w:rPr>
          <w:i/>
          <w:iCs/>
        </w:rPr>
        <w:t>Research Income Time Series and Research Block Grant Allocations</w:t>
      </w:r>
      <w:r>
        <w:t xml:space="preserve"> [data set]</w:t>
      </w:r>
      <w:r w:rsidRPr="002770EB">
        <w:rPr>
          <w:i/>
          <w:iCs/>
        </w:rPr>
        <w:t>,</w:t>
      </w:r>
      <w:r w:rsidRPr="00A76C55">
        <w:t xml:space="preserve"> </w:t>
      </w:r>
      <w:r>
        <w:t>(Canberra:</w:t>
      </w:r>
      <w:r w:rsidRPr="00A76C55">
        <w:t xml:space="preserve"> 2023</w:t>
      </w:r>
      <w:r>
        <w:t>)</w:t>
      </w:r>
      <w:r w:rsidRPr="00A76C55">
        <w:t xml:space="preserve">, </w:t>
      </w:r>
      <w:hyperlink r:id="rId203" w:history="1">
        <w:r w:rsidRPr="00CE1292">
          <w:rPr>
            <w:rStyle w:val="Hyperlink"/>
          </w:rPr>
          <w:t>www.education.gov.au/research-block-grants/consolidated-time-series-</w:t>
        </w:r>
        <w:bookmarkStart w:id="983" w:name="_Hlt155711818"/>
        <w:bookmarkStart w:id="984" w:name="_Hlt155711819"/>
        <w:r w:rsidRPr="00CE1292">
          <w:rPr>
            <w:rStyle w:val="Hyperlink"/>
          </w:rPr>
          <w:t>d</w:t>
        </w:r>
        <w:bookmarkEnd w:id="983"/>
        <w:bookmarkEnd w:id="984"/>
        <w:r w:rsidRPr="00CE1292">
          <w:rPr>
            <w:rStyle w:val="Hyperlink"/>
          </w:rPr>
          <w:t>ata</w:t>
        </w:r>
      </w:hyperlink>
      <w:r>
        <w:rPr>
          <w:rStyle w:val="Hyperlink"/>
        </w:rPr>
        <w:t>.</w:t>
      </w:r>
    </w:p>
  </w:footnote>
  <w:footnote w:id="358">
    <w:p w14:paraId="01448135" w14:textId="77777777" w:rsidR="00703E85" w:rsidRDefault="00703E85" w:rsidP="00703E85">
      <w:pPr>
        <w:pStyle w:val="FootnoteText"/>
      </w:pPr>
      <w:r>
        <w:rPr>
          <w:rStyle w:val="FootnoteReference"/>
        </w:rPr>
        <w:footnoteRef/>
      </w:r>
      <w:r>
        <w:t xml:space="preserve"> Terry Cutler, </w:t>
      </w:r>
      <w:r w:rsidRPr="002770EB">
        <w:rPr>
          <w:i/>
          <w:iCs/>
        </w:rPr>
        <w:t xml:space="preserve">Alliances for Innovation and Economic Development: </w:t>
      </w:r>
      <w:proofErr w:type="gramStart"/>
      <w:r w:rsidRPr="002770EB">
        <w:rPr>
          <w:i/>
          <w:iCs/>
        </w:rPr>
        <w:t>the</w:t>
      </w:r>
      <w:proofErr w:type="gramEnd"/>
      <w:r w:rsidRPr="002770EB">
        <w:rPr>
          <w:i/>
          <w:iCs/>
        </w:rPr>
        <w:t xml:space="preserve"> Australian Experience</w:t>
      </w:r>
      <w:r>
        <w:t xml:space="preserve"> (Melbourne: United Nations Economic Commission for Latin America and the Caribbean [ECLAC], and Culter and Company, 2008).</w:t>
      </w:r>
    </w:p>
  </w:footnote>
  <w:footnote w:id="359">
    <w:p w14:paraId="3C1D8327" w14:textId="16F78FD3" w:rsidR="00703E85" w:rsidRDefault="00703E85" w:rsidP="00703E85">
      <w:pPr>
        <w:pStyle w:val="FootnoteText"/>
      </w:pPr>
      <w:r>
        <w:rPr>
          <w:rStyle w:val="FootnoteReference"/>
        </w:rPr>
        <w:footnoteRef/>
      </w:r>
      <w:r>
        <w:t xml:space="preserve"> </w:t>
      </w:r>
      <w:r w:rsidRPr="00A76C55">
        <w:t xml:space="preserve">Department of Education, </w:t>
      </w:r>
      <w:r w:rsidRPr="002770EB">
        <w:rPr>
          <w:i/>
          <w:iCs/>
        </w:rPr>
        <w:t>Consolidated Time Series Datasets</w:t>
      </w:r>
      <w:r w:rsidRPr="00A76C55">
        <w:t xml:space="preserve"> </w:t>
      </w:r>
      <w:r w:rsidR="006B7267">
        <w:t>–</w:t>
      </w:r>
      <w:r w:rsidRPr="00A76C55">
        <w:t xml:space="preserve">  </w:t>
      </w:r>
      <w:r w:rsidRPr="008C4411">
        <w:rPr>
          <w:i/>
        </w:rPr>
        <w:t>Research Income Time Series and Research Block Grant Allocations</w:t>
      </w:r>
      <w:r w:rsidR="006B7267">
        <w:t xml:space="preserve"> [data set]</w:t>
      </w:r>
      <w:r w:rsidRPr="00A76C55">
        <w:t xml:space="preserve">, </w:t>
      </w:r>
      <w:hyperlink r:id="rId204" w:history="1">
        <w:r w:rsidR="00AE385A" w:rsidRPr="0069099E">
          <w:rPr>
            <w:rStyle w:val="Hyperlink"/>
          </w:rPr>
          <w:t>www.education.gov.au/research-block-grants/resources/research-block-grant-allocations-time-series</w:t>
        </w:r>
      </w:hyperlink>
      <w:r>
        <w:t xml:space="preserve">; Parliament of Australia, </w:t>
      </w:r>
      <w:r w:rsidRPr="002770EB">
        <w:rPr>
          <w:i/>
          <w:iCs/>
        </w:rPr>
        <w:t>Budget Review 2020</w:t>
      </w:r>
      <w:r w:rsidR="00BA309F">
        <w:rPr>
          <w:rFonts w:ascii="Symbol" w:eastAsia="Symbol" w:hAnsi="Symbol" w:cs="Symbol"/>
        </w:rPr>
        <w:t>-</w:t>
      </w:r>
      <w:r w:rsidRPr="002770EB">
        <w:rPr>
          <w:i/>
          <w:iCs/>
        </w:rPr>
        <w:t>21</w:t>
      </w:r>
      <w:r w:rsidR="0020625C">
        <w:rPr>
          <w:i/>
          <w:iCs/>
        </w:rPr>
        <w:t>,</w:t>
      </w:r>
      <w:r>
        <w:t xml:space="preserve"> (Canberra: Parliament of Australia, October 2020), 41,</w:t>
      </w:r>
      <w:r w:rsidRPr="00566A15">
        <w:t xml:space="preserve"> </w:t>
      </w:r>
      <w:hyperlink r:id="rId205" w:anchor="search=%22library/prspub/7622081%22" w:history="1">
        <w:r w:rsidR="00AE385A" w:rsidRPr="0069099E">
          <w:rPr>
            <w:rStyle w:val="Hyperlink"/>
          </w:rPr>
          <w:t>parlinfo.aph.gov.au‌/parlInfo‌/‌download/library/prspub/7622081/upload_binary/7622081.pdf;fileType=application%2Fpdf#search=%22library/prspub/7622081%22</w:t>
        </w:r>
      </w:hyperlink>
      <w:r>
        <w:t xml:space="preserve">. </w:t>
      </w:r>
    </w:p>
  </w:footnote>
  <w:footnote w:id="360">
    <w:p w14:paraId="32C165D2" w14:textId="46B9DD2B" w:rsidR="0094516F" w:rsidRDefault="0094516F">
      <w:pPr>
        <w:pStyle w:val="FootnoteText"/>
      </w:pPr>
      <w:r>
        <w:rPr>
          <w:rStyle w:val="FootnoteReference"/>
        </w:rPr>
        <w:footnoteRef/>
      </w:r>
      <w:r>
        <w:t xml:space="preserve"> Based on facilities and administrative costs at 107 US research institutions in 2017. </w:t>
      </w:r>
      <w:r w:rsidRPr="007F31C1">
        <w:t>Dr. Kelvin K. Droegemeier</w:t>
      </w:r>
      <w:r>
        <w:t xml:space="preserve">, “Written testimony submitted to the Appropriations Sub-Committee on Labor, Health and Human Services, Education and Related Agencies, United States House of Representatives” for the hearing titled </w:t>
      </w:r>
      <w:r w:rsidRPr="004900C9">
        <w:rPr>
          <w:i/>
          <w:iCs/>
        </w:rPr>
        <w:t>The Role of Facilities and Administrative Costs in Supporting NIH-Funded Research</w:t>
      </w:r>
      <w:r>
        <w:t>, (October 2017).</w:t>
      </w:r>
    </w:p>
  </w:footnote>
  <w:footnote w:id="361">
    <w:p w14:paraId="72855F15" w14:textId="32555C0F" w:rsidR="00703E85" w:rsidRDefault="00703E85" w:rsidP="00703E85">
      <w:pPr>
        <w:pStyle w:val="FootnoteText"/>
      </w:pPr>
      <w:r w:rsidRPr="00F7735F">
        <w:rPr>
          <w:rStyle w:val="FootnoteReference"/>
        </w:rPr>
        <w:footnoteRef/>
      </w:r>
      <w:r w:rsidRPr="00F7735F">
        <w:t xml:space="preserve"> Australia's Chief Scientis</w:t>
      </w:r>
      <w:r>
        <w:t xml:space="preserve">t, </w:t>
      </w:r>
      <w:r w:rsidRPr="004406D4">
        <w:rPr>
          <w:i/>
        </w:rPr>
        <w:t>Trust in Science: Clarifying the Distinctions between Research Integrity, Research Quality, Excellence, and Impact</w:t>
      </w:r>
      <w:r>
        <w:t xml:space="preserve"> (Canberra: Office of the Chief Scientist, Australian Government, 2023)</w:t>
      </w:r>
      <w:r w:rsidR="00881718">
        <w:t>,</w:t>
      </w:r>
      <w:r w:rsidR="004D1538">
        <w:t xml:space="preserve"> </w:t>
      </w:r>
      <w:r w:rsidR="005B7B02">
        <w:t xml:space="preserve"> </w:t>
      </w:r>
      <w:r w:rsidR="004D1538">
        <w:t xml:space="preserve">3, </w:t>
      </w:r>
      <w:hyperlink r:id="rId206" w:history="1">
        <w:r w:rsidR="004D1538" w:rsidRPr="004D1538">
          <w:rPr>
            <w:rStyle w:val="Hyperlink"/>
          </w:rPr>
          <w:t>www.chiefscientist.gov.au/sites‌/‌default‌/files/2023-08/Clarifying%20the‌%20‌distin‌c‌t‌i‌o‌n‌s‌%20‌between%20‌research‌%20integrity%2C%‌20research%‌20‌quality%2C%20excellence%2C%20and%20impact.pdf</w:t>
        </w:r>
      </w:hyperlink>
      <w:r w:rsidR="004D1538">
        <w:t>.</w:t>
      </w:r>
    </w:p>
  </w:footnote>
  <w:footnote w:id="362">
    <w:p w14:paraId="019D9C53" w14:textId="4426E0E7" w:rsidR="00703E85" w:rsidRDefault="00703E85" w:rsidP="00703E85">
      <w:pPr>
        <w:pStyle w:val="FootnoteText"/>
      </w:pPr>
      <w:r>
        <w:rPr>
          <w:rStyle w:val="FootnoteReference"/>
        </w:rPr>
        <w:footnoteRef/>
      </w:r>
      <w:r>
        <w:t xml:space="preserve"> </w:t>
      </w:r>
      <w:r w:rsidRPr="00F83984">
        <w:t xml:space="preserve">ARC, </w:t>
      </w:r>
      <w:r w:rsidRPr="00F83984">
        <w:rPr>
          <w:i/>
        </w:rPr>
        <w:t>State of Australian University Research 2018–19: ERA National Report</w:t>
      </w:r>
      <w:r w:rsidR="004D1538">
        <w:t>.</w:t>
      </w:r>
    </w:p>
  </w:footnote>
  <w:footnote w:id="363">
    <w:p w14:paraId="303F4960" w14:textId="0FB96D17" w:rsidR="00703E85" w:rsidRDefault="00703E85" w:rsidP="00703E85">
      <w:pPr>
        <w:pStyle w:val="FootnoteText"/>
      </w:pPr>
      <w:r w:rsidRPr="00AD0965">
        <w:rPr>
          <w:rStyle w:val="FootnoteReference"/>
        </w:rPr>
        <w:footnoteRef/>
      </w:r>
      <w:r w:rsidRPr="00AD0965">
        <w:t xml:space="preserve"> </w:t>
      </w:r>
      <w:r w:rsidRPr="002770EB">
        <w:t xml:space="preserve">ARC, </w:t>
      </w:r>
      <w:r w:rsidRPr="002770EB">
        <w:rPr>
          <w:i/>
          <w:iCs/>
        </w:rPr>
        <w:t>Standard: Excellence in Research for Australia (ERA) and Engagement and Impact (EI) 2018 Outcomes</w:t>
      </w:r>
      <w:r w:rsidRPr="002770EB">
        <w:t xml:space="preserve">, </w:t>
      </w:r>
      <w:r>
        <w:rPr>
          <w:rFonts w:eastAsia="Times New Roman"/>
        </w:rPr>
        <w:t xml:space="preserve">ARC, </w:t>
      </w:r>
      <w:r w:rsidR="00AA6831">
        <w:rPr>
          <w:rFonts w:eastAsia="Times New Roman"/>
        </w:rPr>
        <w:t xml:space="preserve">State of Australian University Research 2018-19, ARC, accessed 15 December 2023, </w:t>
      </w:r>
      <w:hyperlink r:id="rId207" w:history="1">
        <w:r w:rsidRPr="0007734C">
          <w:rPr>
            <w:rStyle w:val="Hyperlink"/>
          </w:rPr>
          <w:t>www.arc.gov.au/standard-excellence-research-australia-era-and-engagement-and-impact-ei-2018-outcomes</w:t>
        </w:r>
      </w:hyperlink>
      <w:r>
        <w:t>.</w:t>
      </w:r>
      <w:r w:rsidR="004D1538">
        <w:t xml:space="preserve"> These results are based on the four-digit Units o</w:t>
      </w:r>
      <w:r w:rsidR="008B2DD7">
        <w:t>f</w:t>
      </w:r>
      <w:r w:rsidR="004D1538">
        <w:t xml:space="preserve"> Evaluation (</w:t>
      </w:r>
      <w:proofErr w:type="spellStart"/>
      <w:r w:rsidR="004D1538">
        <w:t>UoE</w:t>
      </w:r>
      <w:proofErr w:type="spellEnd"/>
      <w:r w:rsidR="004D1538">
        <w:t>) measure for all universities.</w:t>
      </w:r>
    </w:p>
  </w:footnote>
  <w:footnote w:id="364">
    <w:p w14:paraId="06EEA967" w14:textId="579AC353" w:rsidR="00703E85" w:rsidRPr="00086FD2" w:rsidRDefault="00703E85" w:rsidP="00703E85">
      <w:pPr>
        <w:pStyle w:val="FootnoteText"/>
      </w:pPr>
      <w:r w:rsidRPr="00086FD2">
        <w:rPr>
          <w:rStyle w:val="FootnoteReference"/>
        </w:rPr>
        <w:footnoteRef/>
      </w:r>
      <w:r w:rsidRPr="00086FD2">
        <w:t xml:space="preserve"> </w:t>
      </w:r>
      <w:r>
        <w:t xml:space="preserve">Margaret Sheil, Susan Dodds and Mark Hutchinson, </w:t>
      </w:r>
      <w:r w:rsidRPr="0025021C">
        <w:rPr>
          <w:i/>
          <w:iCs/>
        </w:rPr>
        <w:t>Trusting Australia's Ability: Review of the Australian Research Council Act 2001 Final Report</w:t>
      </w:r>
      <w:r>
        <w:t xml:space="preserve"> (Canberra: Department of Education, March 2023), </w:t>
      </w:r>
      <w:r w:rsidRPr="00E05E98">
        <w:t>5</w:t>
      </w:r>
      <w:r w:rsidRPr="002770EB">
        <w:t>7</w:t>
      </w:r>
      <w:r w:rsidRPr="00E05E98">
        <w:t>-58,</w:t>
      </w:r>
      <w:r>
        <w:t xml:space="preserve"> </w:t>
      </w:r>
      <w:hyperlink r:id="rId208" w:history="1">
        <w:r w:rsidR="00AE385A" w:rsidRPr="0069099E">
          <w:rPr>
            <w:rStyle w:val="Hyperlink"/>
          </w:rPr>
          <w:t>www.education.gov.au‌/‌higher-education-reviews-and-consultations/resources/trusting-australias-ability-review-australian-research-council-act-2001</w:t>
        </w:r>
      </w:hyperlink>
      <w:r>
        <w:t xml:space="preserve">.  </w:t>
      </w:r>
    </w:p>
  </w:footnote>
  <w:footnote w:id="365">
    <w:p w14:paraId="2D053866" w14:textId="67443B4A" w:rsidR="004479C3" w:rsidRPr="008C4411" w:rsidRDefault="004479C3">
      <w:pPr>
        <w:pStyle w:val="FootnoteText"/>
        <w:rPr>
          <w:highlight w:val="magenta"/>
        </w:rPr>
      </w:pPr>
      <w:r w:rsidRPr="00CA7014">
        <w:rPr>
          <w:rStyle w:val="FootnoteReference"/>
        </w:rPr>
        <w:footnoteRef/>
      </w:r>
      <w:r w:rsidRPr="00CA7014">
        <w:t xml:space="preserve"> </w:t>
      </w:r>
      <w:r w:rsidR="00CA7014" w:rsidRPr="008C4411">
        <w:t xml:space="preserve">James Brooks, </w:t>
      </w:r>
      <w:r w:rsidR="00CA7014">
        <w:t>“L</w:t>
      </w:r>
      <w:r w:rsidR="00CA7014" w:rsidRPr="008C4411">
        <w:t xml:space="preserve">eiden rankings to add open-source version in 2024,” </w:t>
      </w:r>
      <w:r w:rsidR="00CA7014" w:rsidRPr="008C4411">
        <w:rPr>
          <w:i/>
          <w:iCs/>
        </w:rPr>
        <w:t>Research Professional News,</w:t>
      </w:r>
      <w:r w:rsidR="00CA7014" w:rsidRPr="008C4411">
        <w:t xml:space="preserve"> published 15 September 2023,</w:t>
      </w:r>
      <w:r w:rsidRPr="00F2580D">
        <w:t xml:space="preserve"> </w:t>
      </w:r>
      <w:hyperlink r:id="rId209" w:history="1">
        <w:r w:rsidR="00AE385A" w:rsidRPr="0069099E">
          <w:rPr>
            <w:rStyle w:val="Hyperlink"/>
          </w:rPr>
          <w:t>www.researchprofessionalnews.com/rr-news-europe-universities-2023-9-leiden-rankings-to-add-open-source-version-in-2024/</w:t>
        </w:r>
      </w:hyperlink>
      <w:r w:rsidR="00CA7014" w:rsidRPr="008C4411">
        <w:t>.</w:t>
      </w:r>
    </w:p>
  </w:footnote>
  <w:footnote w:id="366">
    <w:p w14:paraId="63002E8B" w14:textId="3FA3748D" w:rsidR="004479C3" w:rsidRDefault="004479C3" w:rsidP="008C4411">
      <w:pPr>
        <w:spacing w:after="0" w:line="240" w:lineRule="auto"/>
        <w:textAlignment w:val="baseline"/>
      </w:pPr>
      <w:r w:rsidRPr="00750624">
        <w:rPr>
          <w:rStyle w:val="FootnoteReference"/>
        </w:rPr>
        <w:footnoteRef/>
      </w:r>
      <w:r w:rsidRPr="00750624">
        <w:t xml:space="preserve"> </w:t>
      </w:r>
      <w:r w:rsidR="00307C23" w:rsidRPr="004406D4">
        <w:rPr>
          <w:sz w:val="20"/>
        </w:rPr>
        <w:t>Karl Chun-Kai</w:t>
      </w:r>
      <w:r w:rsidR="00924AEF" w:rsidRPr="008C67CA">
        <w:rPr>
          <w:sz w:val="20"/>
          <w:szCs w:val="20"/>
        </w:rPr>
        <w:t>,</w:t>
      </w:r>
      <w:r w:rsidR="00307C23" w:rsidRPr="004406D4">
        <w:rPr>
          <w:sz w:val="20"/>
        </w:rPr>
        <w:t xml:space="preserve"> Cameron Neylon</w:t>
      </w:r>
      <w:r w:rsidR="00924AEF" w:rsidRPr="008C67CA">
        <w:rPr>
          <w:sz w:val="20"/>
          <w:szCs w:val="20"/>
        </w:rPr>
        <w:t>,</w:t>
      </w:r>
      <w:r w:rsidR="00307C23" w:rsidRPr="004406D4">
        <w:rPr>
          <w:sz w:val="20"/>
        </w:rPr>
        <w:t xml:space="preserve"> Lucy Montgomery</w:t>
      </w:r>
      <w:r w:rsidR="00924AEF" w:rsidRPr="008C67CA">
        <w:rPr>
          <w:sz w:val="20"/>
          <w:szCs w:val="20"/>
        </w:rPr>
        <w:t>,</w:t>
      </w:r>
      <w:r w:rsidR="00307C23" w:rsidRPr="004406D4">
        <w:rPr>
          <w:sz w:val="20"/>
        </w:rPr>
        <w:t xml:space="preserve"> Richard Hosking</w:t>
      </w:r>
      <w:r w:rsidR="00924AEF" w:rsidRPr="008C67CA">
        <w:rPr>
          <w:sz w:val="20"/>
          <w:szCs w:val="20"/>
        </w:rPr>
        <w:t>,</w:t>
      </w:r>
      <w:r w:rsidR="00307C23" w:rsidRPr="004406D4">
        <w:rPr>
          <w:sz w:val="20"/>
        </w:rPr>
        <w:t xml:space="preserve"> James P. </w:t>
      </w:r>
      <w:proofErr w:type="spellStart"/>
      <w:r w:rsidR="00307C23" w:rsidRPr="004406D4">
        <w:rPr>
          <w:sz w:val="20"/>
        </w:rPr>
        <w:t>Diprose</w:t>
      </w:r>
      <w:proofErr w:type="spellEnd"/>
      <w:r w:rsidR="00307C23" w:rsidRPr="004406D4">
        <w:rPr>
          <w:sz w:val="20"/>
        </w:rPr>
        <w:t>,</w:t>
      </w:r>
      <w:r w:rsidR="00307C23" w:rsidRPr="00307C23">
        <w:t xml:space="preserve"> </w:t>
      </w:r>
      <w:r w:rsidR="00DE5507" w:rsidRPr="008C4411">
        <w:rPr>
          <w:i/>
          <w:sz w:val="20"/>
          <w:szCs w:val="20"/>
        </w:rPr>
        <w:t>Open Access Research Outputs Receive More Diverse Citations</w:t>
      </w:r>
      <w:r w:rsidR="00750624" w:rsidRPr="008C4411">
        <w:rPr>
          <w:i/>
          <w:iCs/>
          <w:sz w:val="20"/>
          <w:szCs w:val="20"/>
        </w:rPr>
        <w:t xml:space="preserve">, </w:t>
      </w:r>
      <w:r w:rsidR="00750624" w:rsidRPr="008C4411">
        <w:rPr>
          <w:sz w:val="20"/>
          <w:szCs w:val="20"/>
        </w:rPr>
        <w:t>version 3</w:t>
      </w:r>
      <w:r w:rsidR="00DE5507" w:rsidRPr="008C4411">
        <w:rPr>
          <w:sz w:val="20"/>
          <w:szCs w:val="20"/>
        </w:rPr>
        <w:t xml:space="preserve"> (</w:t>
      </w:r>
      <w:proofErr w:type="spellStart"/>
      <w:r w:rsidR="00DE5507" w:rsidRPr="008C4411">
        <w:rPr>
          <w:sz w:val="20"/>
          <w:szCs w:val="20"/>
        </w:rPr>
        <w:t>Zenodo</w:t>
      </w:r>
      <w:proofErr w:type="spellEnd"/>
      <w:r w:rsidR="00750624" w:rsidRPr="008C4411">
        <w:rPr>
          <w:sz w:val="20"/>
          <w:szCs w:val="20"/>
        </w:rPr>
        <w:t>, September 2023),</w:t>
      </w:r>
      <w:r w:rsidR="00DE5507" w:rsidRPr="008C4411">
        <w:rPr>
          <w:sz w:val="20"/>
          <w:szCs w:val="20"/>
        </w:rPr>
        <w:t> </w:t>
      </w:r>
      <w:hyperlink r:id="rId210" w:history="1">
        <w:r w:rsidR="00E816F3" w:rsidRPr="004406D4">
          <w:rPr>
            <w:rStyle w:val="Hyperlink"/>
          </w:rPr>
          <w:t>doi.org/10.5281/zenodo.8362576</w:t>
        </w:r>
      </w:hyperlink>
      <w:r w:rsidR="00750624" w:rsidRPr="00750624">
        <w:rPr>
          <w:sz w:val="20"/>
          <w:szCs w:val="20"/>
        </w:rPr>
        <w:t>.</w:t>
      </w:r>
    </w:p>
  </w:footnote>
  <w:footnote w:id="367">
    <w:p w14:paraId="0CE5951F" w14:textId="7CBB29EC" w:rsidR="00703E85" w:rsidRDefault="00703E85" w:rsidP="00703E85">
      <w:pPr>
        <w:pStyle w:val="FootnoteText"/>
      </w:pPr>
      <w:r>
        <w:rPr>
          <w:rStyle w:val="FootnoteReference"/>
        </w:rPr>
        <w:footnoteRef/>
      </w:r>
      <w:r w:rsidRPr="00BA269A">
        <w:t xml:space="preserve"> </w:t>
      </w:r>
      <w:r>
        <w:t xml:space="preserve">ARC, </w:t>
      </w:r>
      <w:r w:rsidRPr="002770EB">
        <w:rPr>
          <w:i/>
        </w:rPr>
        <w:t>ERA EI Review: Final Report 2020–2021</w:t>
      </w:r>
      <w:r>
        <w:t xml:space="preserve"> (Canberra: ARC, 2021)</w:t>
      </w:r>
      <w:r w:rsidRPr="00BA269A">
        <w:t xml:space="preserve"> 38</w:t>
      </w:r>
      <w:r>
        <w:t xml:space="preserve">, </w:t>
      </w:r>
      <w:hyperlink r:id="rId211" w:history="1">
        <w:r w:rsidRPr="002770EB">
          <w:rPr>
            <w:rStyle w:val="Hyperlink"/>
          </w:rPr>
          <w:t>www.arc.gov.au/sites/default/files/era_ei_ac_report.pdf</w:t>
        </w:r>
      </w:hyperlink>
      <w:r>
        <w:rPr>
          <w:rStyle w:val="Hyperlink"/>
        </w:rPr>
        <w:t xml:space="preserve">; </w:t>
      </w:r>
      <w:r>
        <w:t xml:space="preserve">Sheil, Dodds and Hutchinson, </w:t>
      </w:r>
      <w:r w:rsidRPr="002770EB">
        <w:rPr>
          <w:i/>
        </w:rPr>
        <w:t>Trusting Australia’s Ability: Review of the Australian Research Council Act 2001</w:t>
      </w:r>
      <w:r>
        <w:t>, 60</w:t>
      </w:r>
      <w:r w:rsidR="00425D37">
        <w:t>.</w:t>
      </w:r>
    </w:p>
  </w:footnote>
  <w:footnote w:id="368">
    <w:p w14:paraId="5E968709" w14:textId="334447BC" w:rsidR="00703E85" w:rsidRDefault="00703E85" w:rsidP="00703E85">
      <w:pPr>
        <w:pStyle w:val="FootnoteText"/>
      </w:pPr>
      <w:r w:rsidRPr="00086FD2">
        <w:rPr>
          <w:rStyle w:val="FootnoteReference"/>
        </w:rPr>
        <w:footnoteRef/>
      </w:r>
      <w:r w:rsidRPr="00086FD2">
        <w:t xml:space="preserve"> </w:t>
      </w:r>
      <w:r w:rsidRPr="004C384A">
        <w:t>OECD</w:t>
      </w:r>
      <w:r>
        <w:t xml:space="preserve">, </w:t>
      </w:r>
      <w:r w:rsidRPr="0025021C">
        <w:rPr>
          <w:i/>
          <w:iCs/>
        </w:rPr>
        <w:t>Enhancing Research Performance through Evaluation, Impact Assessment and Priority Setting,</w:t>
      </w:r>
      <w:r>
        <w:t xml:space="preserve"> </w:t>
      </w:r>
      <w:r w:rsidR="00425D37">
        <w:t>(</w:t>
      </w:r>
      <w:r>
        <w:t xml:space="preserve">OECD, </w:t>
      </w:r>
      <w:r w:rsidR="00425D37">
        <w:t>2015)</w:t>
      </w:r>
      <w:r>
        <w:t xml:space="preserve"> </w:t>
      </w:r>
      <w:r w:rsidRPr="0025021C">
        <w:t>accessed 21 Novembe</w:t>
      </w:r>
      <w:r>
        <w:t>r</w:t>
      </w:r>
      <w:r w:rsidRPr="0025021C">
        <w:t xml:space="preserve"> 2023</w:t>
      </w:r>
      <w:r w:rsidRPr="006A0E7E">
        <w:t xml:space="preserve">, </w:t>
      </w:r>
      <w:r w:rsidRPr="002770EB">
        <w:t>5</w:t>
      </w:r>
      <w:r w:rsidRPr="006A0E7E">
        <w:t>,</w:t>
      </w:r>
      <w:r>
        <w:t xml:space="preserve"> </w:t>
      </w:r>
      <w:hyperlink r:id="rId212" w:history="1">
        <w:r w:rsidRPr="003D758B">
          <w:rPr>
            <w:rStyle w:val="Hyperlink"/>
          </w:rPr>
          <w:t>www.oecd.org/sti/inno/Enhancing-Public-Research-Performance.pdf</w:t>
        </w:r>
      </w:hyperlink>
      <w:r>
        <w:t>.</w:t>
      </w:r>
    </w:p>
  </w:footnote>
  <w:footnote w:id="369">
    <w:p w14:paraId="4FC75260" w14:textId="33745863" w:rsidR="00703E85" w:rsidRDefault="00703E85" w:rsidP="00703E85">
      <w:pPr>
        <w:pStyle w:val="FootnoteText"/>
      </w:pPr>
      <w:r>
        <w:rPr>
          <w:rStyle w:val="FootnoteReference"/>
        </w:rPr>
        <w:footnoteRef/>
      </w:r>
      <w:r>
        <w:t xml:space="preserve"> </w:t>
      </w:r>
      <w:r w:rsidRPr="004C384A">
        <w:t>OECD</w:t>
      </w:r>
      <w:r>
        <w:t xml:space="preserve">, </w:t>
      </w:r>
      <w:r w:rsidRPr="0025021C">
        <w:rPr>
          <w:i/>
          <w:iCs/>
        </w:rPr>
        <w:t>Enhancing Research Performance through Evaluation, Impact Assessment and Priority Setting,</w:t>
      </w:r>
      <w:r>
        <w:t xml:space="preserve"> </w:t>
      </w:r>
      <w:r w:rsidR="00425D37">
        <w:t>11.</w:t>
      </w:r>
    </w:p>
  </w:footnote>
  <w:footnote w:id="370">
    <w:p w14:paraId="2CB016D3" w14:textId="5D80BAA8" w:rsidR="00703E85" w:rsidRDefault="00703E85" w:rsidP="00703E85">
      <w:pPr>
        <w:pStyle w:val="FootnoteText"/>
      </w:pPr>
      <w:r>
        <w:rPr>
          <w:rStyle w:val="FootnoteReference"/>
        </w:rPr>
        <w:footnoteRef/>
      </w:r>
      <w:r>
        <w:t xml:space="preserve"> </w:t>
      </w:r>
      <w:r w:rsidR="00157665" w:rsidRPr="00157665">
        <w:t>Teresa Penfield</w:t>
      </w:r>
      <w:r w:rsidR="00924AEF">
        <w:t>,</w:t>
      </w:r>
      <w:r w:rsidR="00157665" w:rsidRPr="00157665">
        <w:t xml:space="preserve"> Matthew J. Baker</w:t>
      </w:r>
      <w:r w:rsidR="00924AEF">
        <w:t>,</w:t>
      </w:r>
      <w:r w:rsidR="00157665" w:rsidRPr="00157665">
        <w:t xml:space="preserve"> Rosa </w:t>
      </w:r>
      <w:proofErr w:type="gramStart"/>
      <w:r w:rsidR="00157665" w:rsidRPr="00157665">
        <w:t>Scoble</w:t>
      </w:r>
      <w:proofErr w:type="gramEnd"/>
      <w:r w:rsidR="00157665" w:rsidRPr="00157665">
        <w:t xml:space="preserve"> and Michael C. Wykes, </w:t>
      </w:r>
      <w:r>
        <w:t>“</w:t>
      </w:r>
      <w:r w:rsidRPr="00691F84">
        <w:t xml:space="preserve">Assessment, </w:t>
      </w:r>
      <w:r w:rsidRPr="0025021C">
        <w:t>E</w:t>
      </w:r>
      <w:r w:rsidRPr="00691F84">
        <w:t xml:space="preserve">valuations, and </w:t>
      </w:r>
      <w:r w:rsidRPr="0025021C">
        <w:t>D</w:t>
      </w:r>
      <w:r w:rsidRPr="00691F84">
        <w:t xml:space="preserve">efinitions of </w:t>
      </w:r>
      <w:r w:rsidRPr="0025021C">
        <w:t>R</w:t>
      </w:r>
      <w:r w:rsidRPr="00691F84">
        <w:t xml:space="preserve">esearch </w:t>
      </w:r>
      <w:r w:rsidRPr="0025021C">
        <w:t>I</w:t>
      </w:r>
      <w:r w:rsidRPr="00691F84">
        <w:t xml:space="preserve">mpact: A </w:t>
      </w:r>
      <w:r w:rsidRPr="0025021C">
        <w:t>R</w:t>
      </w:r>
      <w:r w:rsidRPr="00691F84">
        <w:t>eview</w:t>
      </w:r>
      <w:r w:rsidR="002171EC">
        <w:t>,</w:t>
      </w:r>
      <w:r>
        <w:t xml:space="preserve">” </w:t>
      </w:r>
      <w:r w:rsidRPr="0025021C">
        <w:rPr>
          <w:i/>
          <w:iCs/>
        </w:rPr>
        <w:t>Research Evaluation</w:t>
      </w:r>
      <w:r>
        <w:rPr>
          <w:i/>
          <w:iCs/>
        </w:rPr>
        <w:t xml:space="preserve"> </w:t>
      </w:r>
      <w:r w:rsidRPr="006C5886">
        <w:t>23</w:t>
      </w:r>
      <w:r>
        <w:t xml:space="preserve">, </w:t>
      </w:r>
      <w:r w:rsidRPr="006C5886">
        <w:t>1</w:t>
      </w:r>
      <w:r>
        <w:t xml:space="preserve"> (8 October 2013</w:t>
      </w:r>
      <w:r w:rsidRPr="006C5886">
        <w:t>)</w:t>
      </w:r>
      <w:r w:rsidR="002171EC">
        <w:t xml:space="preserve"> </w:t>
      </w:r>
      <w:r w:rsidRPr="006C5886">
        <w:t>2</w:t>
      </w:r>
      <w:r>
        <w:t>5</w:t>
      </w:r>
      <w:r w:rsidR="00BA309F">
        <w:rPr>
          <w:rFonts w:ascii="Symbol" w:eastAsia="Symbol" w:hAnsi="Symbol" w:cs="Symbol"/>
        </w:rPr>
        <w:t>-</w:t>
      </w:r>
      <w:r>
        <w:t>27,</w:t>
      </w:r>
      <w:r w:rsidRPr="003A48F3">
        <w:t xml:space="preserve"> </w:t>
      </w:r>
      <w:hyperlink r:id="rId213" w:history="1">
        <w:r w:rsidRPr="00D9140E">
          <w:rPr>
            <w:rStyle w:val="Hyperlink"/>
          </w:rPr>
          <w:t>doi</w:t>
        </w:r>
      </w:hyperlink>
      <w:r w:rsidRPr="0025021C">
        <w:rPr>
          <w:rStyle w:val="Hyperlink"/>
        </w:rPr>
        <w:t>.org/10.1093/</w:t>
      </w:r>
      <w:proofErr w:type="spellStart"/>
      <w:r w:rsidRPr="0025021C">
        <w:rPr>
          <w:rStyle w:val="Hyperlink"/>
        </w:rPr>
        <w:t>reseval</w:t>
      </w:r>
      <w:proofErr w:type="spellEnd"/>
      <w:r w:rsidRPr="0025021C">
        <w:rPr>
          <w:rStyle w:val="Hyperlink"/>
        </w:rPr>
        <w:t>/rvt021</w:t>
      </w:r>
      <w:r>
        <w:rPr>
          <w:rStyle w:val="Hyperlink"/>
        </w:rPr>
        <w:t>.</w:t>
      </w:r>
      <w:r>
        <w:t xml:space="preserve"> </w:t>
      </w:r>
    </w:p>
  </w:footnote>
  <w:footnote w:id="371">
    <w:p w14:paraId="7A687058" w14:textId="3615423D" w:rsidR="00703E85" w:rsidRDefault="00703E85" w:rsidP="00703E85">
      <w:pPr>
        <w:pStyle w:val="FootnoteText"/>
      </w:pPr>
      <w:r>
        <w:rPr>
          <w:rStyle w:val="FootnoteReference"/>
        </w:rPr>
        <w:footnoteRef/>
      </w:r>
      <w:r>
        <w:t xml:space="preserve"> Sheil, Dodds and Hutchinson, </w:t>
      </w:r>
      <w:r w:rsidRPr="00D06861">
        <w:rPr>
          <w:i/>
          <w:iCs/>
        </w:rPr>
        <w:t>Trusting Australia’s Ability: Review of the Australian Research Council Act 2001</w:t>
      </w:r>
      <w:r w:rsidR="002171EC">
        <w:rPr>
          <w:i/>
          <w:iCs/>
        </w:rPr>
        <w:t xml:space="preserve">, </w:t>
      </w:r>
      <w:r>
        <w:t>57</w:t>
      </w:r>
      <w:r w:rsidR="002171EC">
        <w:t>.</w:t>
      </w:r>
    </w:p>
    <w:p w14:paraId="13AADC0E" w14:textId="77777777" w:rsidR="00703E85" w:rsidRDefault="00703E85" w:rsidP="00703E85">
      <w:pPr>
        <w:pStyle w:val="FootnoteText"/>
      </w:pPr>
    </w:p>
  </w:footnote>
  <w:footnote w:id="372">
    <w:p w14:paraId="1CC8B0C6" w14:textId="77777777" w:rsidR="00703E85" w:rsidRDefault="00703E85" w:rsidP="00703E85">
      <w:pPr>
        <w:pStyle w:val="FootnoteText"/>
      </w:pPr>
      <w:r>
        <w:rPr>
          <w:rStyle w:val="FootnoteReference"/>
        </w:rPr>
        <w:footnoteRef/>
      </w:r>
      <w:r>
        <w:t xml:space="preserve"> Pending release of report.</w:t>
      </w:r>
    </w:p>
  </w:footnote>
  <w:footnote w:id="373">
    <w:p w14:paraId="4BEE9CFB" w14:textId="02641B24" w:rsidR="00A14420" w:rsidRPr="00F54451" w:rsidRDefault="00A14420" w:rsidP="00A14420">
      <w:pPr>
        <w:pStyle w:val="FootnoteText"/>
        <w:rPr>
          <w:rFonts w:cstheme="minorHAnsi"/>
        </w:rPr>
      </w:pPr>
      <w:r w:rsidRPr="00F54451">
        <w:rPr>
          <w:rStyle w:val="FootnoteReference"/>
          <w:rFonts w:cstheme="minorHAnsi"/>
        </w:rPr>
        <w:footnoteRef/>
      </w:r>
      <w:r w:rsidRPr="00F54451">
        <w:rPr>
          <w:rFonts w:cstheme="minorHAnsi"/>
        </w:rPr>
        <w:t xml:space="preserve"> </w:t>
      </w:r>
      <w:r w:rsidR="004B1D59">
        <w:rPr>
          <w:rFonts w:cstheme="minorHAnsi"/>
        </w:rPr>
        <w:t>Stephen</w:t>
      </w:r>
      <w:r w:rsidRPr="00F54451">
        <w:rPr>
          <w:rFonts w:cstheme="minorHAnsi"/>
        </w:rPr>
        <w:t xml:space="preserve"> Duckett</w:t>
      </w:r>
      <w:r w:rsidR="004B1D59">
        <w:rPr>
          <w:rFonts w:cstheme="minorHAnsi"/>
        </w:rPr>
        <w:t xml:space="preserve">, </w:t>
      </w:r>
      <w:r w:rsidRPr="00F54451">
        <w:rPr>
          <w:rFonts w:cstheme="minorHAnsi"/>
          <w:i/>
        </w:rPr>
        <w:t>Submission</w:t>
      </w:r>
      <w:r w:rsidRPr="00F54451" w:rsidDel="00FD72B8">
        <w:rPr>
          <w:rFonts w:cstheme="minorHAnsi"/>
          <w:i/>
        </w:rPr>
        <w:t xml:space="preserve"> </w:t>
      </w:r>
      <w:r w:rsidRPr="00F54451">
        <w:rPr>
          <w:rFonts w:cstheme="minorHAnsi"/>
          <w:i/>
        </w:rPr>
        <w:t>to the Australian Universities Accord Interim Report</w:t>
      </w:r>
      <w:r w:rsidRPr="00F54451">
        <w:rPr>
          <w:rFonts w:cstheme="minorHAnsi"/>
        </w:rPr>
        <w:t>, 2023</w:t>
      </w:r>
      <w:r w:rsidR="001E7A25">
        <w:rPr>
          <w:rFonts w:cstheme="minorHAnsi"/>
        </w:rPr>
        <w:t>.</w:t>
      </w:r>
    </w:p>
  </w:footnote>
  <w:footnote w:id="374">
    <w:p w14:paraId="16FFE349" w14:textId="2E85A430" w:rsidR="000836C9" w:rsidRPr="00B40765" w:rsidRDefault="000836C9" w:rsidP="000836C9">
      <w:pPr>
        <w:pStyle w:val="FootnoteText"/>
        <w:rPr>
          <w:rFonts w:cstheme="minorHAnsi"/>
        </w:rPr>
      </w:pPr>
      <w:r w:rsidRPr="00F54451">
        <w:rPr>
          <w:rStyle w:val="FootnoteReference"/>
          <w:rFonts w:cstheme="minorHAnsi"/>
        </w:rPr>
        <w:footnoteRef/>
      </w:r>
      <w:r w:rsidRPr="00F54451">
        <w:rPr>
          <w:rFonts w:cstheme="minorHAnsi"/>
        </w:rPr>
        <w:t xml:space="preserve"> Department of Education, </w:t>
      </w:r>
      <w:r w:rsidRPr="00F54451">
        <w:rPr>
          <w:rFonts w:cstheme="minorHAnsi"/>
          <w:i/>
        </w:rPr>
        <w:t>Higher Education Statistics –Staff data</w:t>
      </w:r>
      <w:r w:rsidR="00384903">
        <w:rPr>
          <w:rFonts w:cstheme="minorHAnsi"/>
          <w:i/>
        </w:rPr>
        <w:t xml:space="preserve"> – 202</w:t>
      </w:r>
      <w:r w:rsidR="00962212">
        <w:rPr>
          <w:rFonts w:cstheme="minorHAnsi"/>
          <w:i/>
        </w:rPr>
        <w:t>1</w:t>
      </w:r>
      <w:r w:rsidR="00384903">
        <w:rPr>
          <w:rFonts w:cstheme="minorHAnsi"/>
          <w:i/>
        </w:rPr>
        <w:t xml:space="preserve"> </w:t>
      </w:r>
      <w:r w:rsidR="00384903">
        <w:rPr>
          <w:rFonts w:cstheme="minorHAnsi"/>
          <w:iCs/>
        </w:rPr>
        <w:t>[data set]</w:t>
      </w:r>
      <w:r w:rsidRPr="00F54451">
        <w:rPr>
          <w:rFonts w:cstheme="minorHAnsi"/>
          <w:i/>
        </w:rPr>
        <w:t xml:space="preserve">, </w:t>
      </w:r>
      <w:r w:rsidRPr="00F54451">
        <w:rPr>
          <w:rFonts w:cstheme="minorHAnsi"/>
        </w:rPr>
        <w:t>(</w:t>
      </w:r>
      <w:r w:rsidR="00D0440F">
        <w:rPr>
          <w:rFonts w:cstheme="minorHAnsi"/>
        </w:rPr>
        <w:t>Canberra:</w:t>
      </w:r>
      <w:r w:rsidR="00384903">
        <w:rPr>
          <w:rFonts w:cstheme="minorHAnsi"/>
        </w:rPr>
        <w:t xml:space="preserve"> </w:t>
      </w:r>
      <w:r w:rsidRPr="00F54451">
        <w:rPr>
          <w:rFonts w:cstheme="minorHAnsi"/>
        </w:rPr>
        <w:t>202</w:t>
      </w:r>
      <w:r w:rsidR="00494EDC">
        <w:rPr>
          <w:rFonts w:cstheme="minorHAnsi"/>
        </w:rPr>
        <w:t>2</w:t>
      </w:r>
      <w:r w:rsidRPr="00F54451">
        <w:rPr>
          <w:rFonts w:cstheme="minorHAnsi"/>
        </w:rPr>
        <w:t xml:space="preserve">), </w:t>
      </w:r>
      <w:r w:rsidR="00384903">
        <w:rPr>
          <w:rFonts w:cstheme="minorHAnsi"/>
        </w:rPr>
        <w:t>accessed 8 December 2023,</w:t>
      </w:r>
      <w:r w:rsidRPr="00F54451">
        <w:rPr>
          <w:rFonts w:cstheme="minorHAnsi"/>
        </w:rPr>
        <w:t xml:space="preserve"> </w:t>
      </w:r>
      <w:hyperlink r:id="rId214" w:history="1">
        <w:r w:rsidR="00AA41AC" w:rsidRPr="00AA41AC">
          <w:rPr>
            <w:rStyle w:val="Hyperlink"/>
            <w:rFonts w:cstheme="minorHAnsi"/>
          </w:rPr>
          <w:t>www.education.gov.au/higher-education-statistics/staff-data/selected-higher-education-statistics-2022-staff-data</w:t>
        </w:r>
      </w:hyperlink>
      <w:r w:rsidR="00494EDC">
        <w:rPr>
          <w:rFonts w:cstheme="minorHAnsi"/>
        </w:rPr>
        <w:t xml:space="preserve">; Department of Education, </w:t>
      </w:r>
      <w:r w:rsidR="00494EDC">
        <w:rPr>
          <w:rFonts w:cstheme="minorHAnsi"/>
          <w:i/>
          <w:iCs/>
        </w:rPr>
        <w:t xml:space="preserve">Higher Education Statistics – Student data – 2021 </w:t>
      </w:r>
      <w:r w:rsidR="00494EDC">
        <w:rPr>
          <w:rFonts w:cstheme="minorHAnsi"/>
        </w:rPr>
        <w:t>[data set]</w:t>
      </w:r>
      <w:r w:rsidR="00AA41AC">
        <w:rPr>
          <w:rFonts w:cstheme="minorHAnsi"/>
        </w:rPr>
        <w:t>.</w:t>
      </w:r>
      <w:r w:rsidR="00962212">
        <w:rPr>
          <w:rFonts w:cstheme="minorHAnsi"/>
        </w:rPr>
        <w:t xml:space="preserve"> </w:t>
      </w:r>
      <w:r w:rsidR="003E0975">
        <w:rPr>
          <w:rFonts w:cstheme="minorHAnsi"/>
        </w:rPr>
        <w:t>Figures</w:t>
      </w:r>
      <w:r w:rsidR="00962212">
        <w:rPr>
          <w:rFonts w:cstheme="minorHAnsi"/>
        </w:rPr>
        <w:t xml:space="preserve"> include staff and students at Table A and B universities only and include actual </w:t>
      </w:r>
      <w:r w:rsidR="00962212" w:rsidRPr="00B40765">
        <w:rPr>
          <w:rFonts w:cstheme="minorHAnsi"/>
        </w:rPr>
        <w:t>casual staff.</w:t>
      </w:r>
    </w:p>
  </w:footnote>
  <w:footnote w:id="375">
    <w:p w14:paraId="537A5E97" w14:textId="6EE0AE12" w:rsidR="004F018C" w:rsidRPr="00B40765" w:rsidRDefault="004F018C">
      <w:pPr>
        <w:pStyle w:val="FootnoteText"/>
      </w:pPr>
      <w:r w:rsidRPr="00B40765">
        <w:rPr>
          <w:rStyle w:val="FootnoteReference"/>
        </w:rPr>
        <w:footnoteRef/>
      </w:r>
      <w:r w:rsidRPr="00B40765">
        <w:t xml:space="preserve"> </w:t>
      </w:r>
      <w:r w:rsidR="00D964C4" w:rsidRPr="00B40765">
        <w:t>Higher Education Statistical Collection - Staff 2022 data. Numbers include staff and students at Table A and B universities only.</w:t>
      </w:r>
    </w:p>
  </w:footnote>
  <w:footnote w:id="376">
    <w:p w14:paraId="4C4D50DE" w14:textId="19C6BD92" w:rsidR="000836C9" w:rsidRPr="00A26A20" w:rsidRDefault="000836C9" w:rsidP="000836C9">
      <w:pPr>
        <w:pStyle w:val="FootnoteText"/>
        <w:rPr>
          <w:rFonts w:cstheme="minorHAnsi"/>
        </w:rPr>
      </w:pPr>
      <w:r w:rsidRPr="00B40765">
        <w:rPr>
          <w:rStyle w:val="FootnoteReference"/>
          <w:rFonts w:cstheme="minorHAnsi"/>
        </w:rPr>
        <w:footnoteRef/>
      </w:r>
      <w:r w:rsidRPr="00B40765">
        <w:rPr>
          <w:rFonts w:cstheme="minorHAnsi"/>
        </w:rPr>
        <w:t xml:space="preserve"> </w:t>
      </w:r>
      <w:bookmarkStart w:id="1041" w:name="_Hlk153292041"/>
      <w:r w:rsidR="003E0975" w:rsidRPr="00B40765">
        <w:t>Department of Education</w:t>
      </w:r>
      <w:r w:rsidR="003E0975">
        <w:t xml:space="preserve">, </w:t>
      </w:r>
      <w:r w:rsidR="003E0975" w:rsidRPr="000A2EB3">
        <w:rPr>
          <w:i/>
          <w:iCs/>
        </w:rPr>
        <w:t xml:space="preserve">Higher Education Statistical Collection - Staff data </w:t>
      </w:r>
      <w:r w:rsidR="003E0975">
        <w:rPr>
          <w:i/>
          <w:iCs/>
        </w:rPr>
        <w:t>2021</w:t>
      </w:r>
      <w:r w:rsidR="003E0975">
        <w:t xml:space="preserve"> [data set], (Canberra) accessed 15 December 2023. Figures include staff and students at Table A and B universities only.</w:t>
      </w:r>
      <w:bookmarkEnd w:id="1041"/>
    </w:p>
  </w:footnote>
  <w:footnote w:id="377">
    <w:p w14:paraId="0ACA2C85" w14:textId="0965902E" w:rsidR="00DA4A06" w:rsidRDefault="00DA4A06">
      <w:pPr>
        <w:pStyle w:val="FootnoteText"/>
      </w:pPr>
      <w:r>
        <w:rPr>
          <w:rStyle w:val="FootnoteReference"/>
        </w:rPr>
        <w:footnoteRef/>
      </w:r>
      <w:r>
        <w:t xml:space="preserve"> </w:t>
      </w:r>
      <w:r>
        <w:rPr>
          <w:rFonts w:cstheme="minorHAnsi"/>
        </w:rPr>
        <w:t>Department</w:t>
      </w:r>
      <w:r w:rsidRPr="004A0EF5">
        <w:rPr>
          <w:rFonts w:cstheme="minorHAnsi"/>
        </w:rPr>
        <w:t xml:space="preserve"> of </w:t>
      </w:r>
      <w:r>
        <w:rPr>
          <w:rFonts w:cstheme="minorHAnsi"/>
        </w:rPr>
        <w:t>Education</w:t>
      </w:r>
      <w:r w:rsidRPr="004A0EF5">
        <w:rPr>
          <w:rFonts w:cstheme="minorHAnsi"/>
        </w:rPr>
        <w:t xml:space="preserve">, </w:t>
      </w:r>
      <w:r>
        <w:rPr>
          <w:rFonts w:cstheme="minorHAnsi"/>
          <w:i/>
          <w:iCs/>
        </w:rPr>
        <w:t xml:space="preserve">Data – Staff Data </w:t>
      </w:r>
      <w:r w:rsidR="00EB5D14">
        <w:rPr>
          <w:rFonts w:cstheme="minorHAnsi"/>
        </w:rPr>
        <w:t>[data set]</w:t>
      </w:r>
      <w:r>
        <w:rPr>
          <w:rFonts w:cstheme="minorHAnsi"/>
        </w:rPr>
        <w:t xml:space="preserve">, Table 2, (Canberra: 2022), accessed 20 November 2023, </w:t>
      </w:r>
      <w:hyperlink r:id="rId215" w:history="1">
        <w:r w:rsidRPr="00404357">
          <w:rPr>
            <w:rStyle w:val="Hyperlink"/>
            <w:rFonts w:cstheme="minorHAnsi"/>
          </w:rPr>
          <w:t>www.education.gov.au/higher-education-statistics/staff-data/selected-higher-education-statistics-2022-staff-data</w:t>
        </w:r>
      </w:hyperlink>
      <w:r w:rsidR="00E61087">
        <w:rPr>
          <w:rFonts w:cstheme="minorHAnsi"/>
        </w:rPr>
        <w:t>.</w:t>
      </w:r>
    </w:p>
  </w:footnote>
  <w:footnote w:id="378">
    <w:p w14:paraId="4D24342E" w14:textId="57F88127" w:rsidR="000836C9" w:rsidRPr="00F54451" w:rsidRDefault="000836C9" w:rsidP="000836C9">
      <w:pPr>
        <w:pStyle w:val="FootnoteText"/>
        <w:rPr>
          <w:rFonts w:cstheme="minorHAnsi"/>
        </w:rPr>
      </w:pPr>
      <w:r w:rsidRPr="00F54451">
        <w:rPr>
          <w:rStyle w:val="FootnoteReference"/>
          <w:rFonts w:cstheme="minorHAnsi"/>
        </w:rPr>
        <w:footnoteRef/>
      </w:r>
      <w:r w:rsidRPr="00F54451">
        <w:rPr>
          <w:rFonts w:cstheme="minorHAnsi"/>
        </w:rPr>
        <w:t xml:space="preserve"> </w:t>
      </w:r>
      <w:r w:rsidR="005D65A3" w:rsidRPr="005D65A3">
        <w:rPr>
          <w:rFonts w:cstheme="minorHAnsi"/>
        </w:rPr>
        <w:t>Gwilym</w:t>
      </w:r>
      <w:r w:rsidR="00C744D9">
        <w:rPr>
          <w:rFonts w:cstheme="minorHAnsi"/>
        </w:rPr>
        <w:t xml:space="preserve"> Croucher and Peter </w:t>
      </w:r>
      <w:proofErr w:type="spellStart"/>
      <w:r w:rsidR="00C744D9">
        <w:rPr>
          <w:rFonts w:cstheme="minorHAnsi"/>
        </w:rPr>
        <w:t>Woelert</w:t>
      </w:r>
      <w:proofErr w:type="spellEnd"/>
      <w:r w:rsidR="00C744D9">
        <w:rPr>
          <w:rFonts w:cstheme="minorHAnsi"/>
        </w:rPr>
        <w:t>, “Administrative transformation and managerial growth: a longitudinal analysis of changes in the non-academic workforce at Australian universities</w:t>
      </w:r>
      <w:r w:rsidR="00ED4797">
        <w:rPr>
          <w:rFonts w:cstheme="minorHAnsi"/>
        </w:rPr>
        <w:t xml:space="preserve">,” </w:t>
      </w:r>
      <w:r w:rsidR="00ED4797" w:rsidRPr="005D65A3">
        <w:rPr>
          <w:rFonts w:cstheme="minorHAnsi"/>
          <w:i/>
        </w:rPr>
        <w:t>High</w:t>
      </w:r>
      <w:r w:rsidR="00ED4797">
        <w:rPr>
          <w:rFonts w:cstheme="minorHAnsi"/>
          <w:i/>
          <w:iCs/>
        </w:rPr>
        <w:t>er</w:t>
      </w:r>
      <w:r w:rsidR="00ED4797" w:rsidRPr="005D65A3">
        <w:rPr>
          <w:rFonts w:cstheme="minorHAnsi"/>
          <w:i/>
        </w:rPr>
        <w:t xml:space="preserve"> Education</w:t>
      </w:r>
      <w:r w:rsidR="009762FC">
        <w:rPr>
          <w:rFonts w:cstheme="minorHAnsi"/>
        </w:rPr>
        <w:t xml:space="preserve"> </w:t>
      </w:r>
      <w:r w:rsidR="00ED4797">
        <w:rPr>
          <w:rFonts w:cstheme="minorHAnsi"/>
        </w:rPr>
        <w:t>(August 2021):</w:t>
      </w:r>
      <w:r w:rsidR="009762FC">
        <w:rPr>
          <w:rFonts w:cstheme="minorHAnsi"/>
        </w:rPr>
        <w:t xml:space="preserve"> </w:t>
      </w:r>
      <w:r w:rsidR="00FE207C">
        <w:rPr>
          <w:rFonts w:cstheme="minorHAnsi"/>
        </w:rPr>
        <w:t xml:space="preserve">173, </w:t>
      </w:r>
      <w:hyperlink r:id="rId216" w:history="1">
        <w:r w:rsidR="00E61087" w:rsidRPr="0069099E">
          <w:rPr>
            <w:rStyle w:val="Hyperlink"/>
            <w:rFonts w:cstheme="minorHAnsi"/>
          </w:rPr>
          <w:t>doi.org/10.1007/s10734-021-00759-8</w:t>
        </w:r>
      </w:hyperlink>
      <w:r w:rsidR="00FE207C">
        <w:rPr>
          <w:rFonts w:cstheme="minorHAnsi"/>
        </w:rPr>
        <w:t>.</w:t>
      </w:r>
    </w:p>
  </w:footnote>
  <w:footnote w:id="379">
    <w:p w14:paraId="00F2B942" w14:textId="737FAC73" w:rsidR="000836C9" w:rsidRPr="00F54451" w:rsidRDefault="000836C9" w:rsidP="000836C9">
      <w:pPr>
        <w:pStyle w:val="FootnoteText"/>
        <w:rPr>
          <w:rFonts w:cstheme="minorHAnsi"/>
        </w:rPr>
      </w:pPr>
      <w:r w:rsidRPr="00F54451">
        <w:rPr>
          <w:rStyle w:val="FootnoteReference"/>
          <w:rFonts w:cstheme="minorHAnsi"/>
        </w:rPr>
        <w:footnoteRef/>
      </w:r>
      <w:r w:rsidRPr="00F54451">
        <w:rPr>
          <w:rFonts w:cstheme="minorHAnsi"/>
        </w:rPr>
        <w:t xml:space="preserve"> </w:t>
      </w:r>
      <w:r w:rsidR="006269FE" w:rsidRPr="006269FE">
        <w:rPr>
          <w:rFonts w:cstheme="minorHAnsi"/>
        </w:rPr>
        <w:t xml:space="preserve">Gwilym Croucher, “Three Decades of Change in Australia’s University Workforce,” Melbourne Centre for the Study of Higher Education (September 2023): 1, 5, </w:t>
      </w:r>
      <w:hyperlink r:id="rId217" w:history="1">
        <w:r w:rsidR="00E61087" w:rsidRPr="0069099E">
          <w:rPr>
            <w:rStyle w:val="Hyperlink"/>
            <w:rFonts w:cstheme="minorHAnsi"/>
          </w:rPr>
          <w:t>www.doi.org/10.26188/23995704</w:t>
        </w:r>
      </w:hyperlink>
      <w:r w:rsidR="006269FE" w:rsidRPr="006269FE">
        <w:rPr>
          <w:rFonts w:cstheme="minorHAnsi"/>
        </w:rPr>
        <w:t xml:space="preserve">. </w:t>
      </w:r>
      <w:r w:rsidRPr="00F54451">
        <w:rPr>
          <w:rFonts w:cstheme="minorHAnsi"/>
        </w:rPr>
        <w:t xml:space="preserve"> </w:t>
      </w:r>
    </w:p>
  </w:footnote>
  <w:footnote w:id="380">
    <w:p w14:paraId="33E34E5E" w14:textId="0407BE94" w:rsidR="00A14420" w:rsidRPr="00F54451" w:rsidRDefault="00A14420" w:rsidP="00A14420">
      <w:pPr>
        <w:pStyle w:val="FootnoteText"/>
        <w:rPr>
          <w:rFonts w:cstheme="minorHAnsi"/>
        </w:rPr>
      </w:pPr>
      <w:r w:rsidRPr="00F54451">
        <w:rPr>
          <w:rStyle w:val="FootnoteReference"/>
          <w:rFonts w:cstheme="minorHAnsi"/>
        </w:rPr>
        <w:footnoteRef/>
      </w:r>
      <w:r w:rsidRPr="00F54451">
        <w:rPr>
          <w:rFonts w:cstheme="minorHAnsi"/>
        </w:rPr>
        <w:t xml:space="preserve"> </w:t>
      </w:r>
      <w:r w:rsidR="00F32719">
        <w:rPr>
          <w:rFonts w:cstheme="minorHAnsi"/>
        </w:rPr>
        <w:t>Closing the Gap,</w:t>
      </w:r>
      <w:r w:rsidRPr="00F54451">
        <w:rPr>
          <w:rFonts w:cstheme="minorHAnsi"/>
        </w:rPr>
        <w:t xml:space="preserve"> “National Agreement on Closing the Gap</w:t>
      </w:r>
      <w:r w:rsidR="00247D74">
        <w:rPr>
          <w:rFonts w:cstheme="minorHAnsi"/>
        </w:rPr>
        <w:t>,</w:t>
      </w:r>
      <w:r w:rsidRPr="00F54451">
        <w:rPr>
          <w:rFonts w:cstheme="minorHAnsi"/>
        </w:rPr>
        <w:t xml:space="preserve">” </w:t>
      </w:r>
      <w:r w:rsidR="00F32719">
        <w:rPr>
          <w:rFonts w:cstheme="minorHAnsi"/>
        </w:rPr>
        <w:t>July</w:t>
      </w:r>
      <w:r w:rsidRPr="00F54451">
        <w:rPr>
          <w:rFonts w:cstheme="minorHAnsi"/>
        </w:rPr>
        <w:t xml:space="preserve"> 2020, </w:t>
      </w:r>
      <w:r w:rsidR="000B35B4">
        <w:rPr>
          <w:rFonts w:cstheme="minorHAnsi"/>
        </w:rPr>
        <w:t>accessed 13 December 2023,</w:t>
      </w:r>
      <w:r w:rsidRPr="00F54451">
        <w:rPr>
          <w:rFonts w:cstheme="minorHAnsi"/>
        </w:rPr>
        <w:t xml:space="preserve"> </w:t>
      </w:r>
      <w:hyperlink r:id="rId218" w:history="1">
        <w:r w:rsidRPr="00F54451">
          <w:rPr>
            <w:rStyle w:val="Hyperlink"/>
            <w:rFonts w:cstheme="minorHAnsi"/>
          </w:rPr>
          <w:t>www.closingthe</w:t>
        </w:r>
        <w:bookmarkStart w:id="1134" w:name="_Hlt153353334"/>
        <w:bookmarkStart w:id="1135" w:name="_Hlt153353335"/>
        <w:r w:rsidRPr="00F54451">
          <w:rPr>
            <w:rStyle w:val="Hyperlink"/>
            <w:rFonts w:cstheme="minorHAnsi"/>
          </w:rPr>
          <w:t>g</w:t>
        </w:r>
        <w:bookmarkEnd w:id="1134"/>
        <w:bookmarkEnd w:id="1135"/>
        <w:r w:rsidRPr="00F54451">
          <w:rPr>
            <w:rStyle w:val="Hyperlink"/>
            <w:rFonts w:cstheme="minorHAnsi"/>
          </w:rPr>
          <w:t>ap.gov.au/national-agreement/national-agreement-closing-the-gap</w:t>
        </w:r>
      </w:hyperlink>
      <w:r w:rsidR="00386FA2">
        <w:rPr>
          <w:rFonts w:cstheme="minorHAnsi"/>
        </w:rPr>
        <w:t>.</w:t>
      </w:r>
    </w:p>
  </w:footnote>
  <w:footnote w:id="381">
    <w:p w14:paraId="32423B20" w14:textId="3826DE8D" w:rsidR="00A14420" w:rsidRPr="00F54451" w:rsidRDefault="00A14420" w:rsidP="00A14420">
      <w:pPr>
        <w:pStyle w:val="FootnoteText"/>
        <w:rPr>
          <w:rFonts w:cstheme="minorHAnsi"/>
        </w:rPr>
      </w:pPr>
      <w:r w:rsidRPr="00F54451">
        <w:rPr>
          <w:rStyle w:val="FootnoteReference"/>
          <w:rFonts w:cstheme="minorHAnsi"/>
        </w:rPr>
        <w:footnoteRef/>
      </w:r>
      <w:r w:rsidRPr="00F54451">
        <w:rPr>
          <w:rFonts w:cstheme="minorHAnsi"/>
        </w:rPr>
        <w:t xml:space="preserve"> </w:t>
      </w:r>
      <w:bookmarkStart w:id="1139" w:name="_Hlk151026061"/>
      <w:r w:rsidR="000D3CA7">
        <w:rPr>
          <w:rFonts w:cstheme="minorHAnsi"/>
        </w:rPr>
        <w:t xml:space="preserve">Gwilym </w:t>
      </w:r>
      <w:r w:rsidR="000D3CA7" w:rsidRPr="00F54451">
        <w:rPr>
          <w:rFonts w:cstheme="minorHAnsi"/>
        </w:rPr>
        <w:t xml:space="preserve">Croucher </w:t>
      </w:r>
      <w:r w:rsidR="000D3CA7">
        <w:rPr>
          <w:rFonts w:cstheme="minorHAnsi"/>
        </w:rPr>
        <w:t>and Vin</w:t>
      </w:r>
      <w:r w:rsidR="000D3CA7" w:rsidRPr="00F54451">
        <w:rPr>
          <w:rFonts w:cstheme="minorHAnsi"/>
        </w:rPr>
        <w:t xml:space="preserve"> Massaro,</w:t>
      </w:r>
      <w:bookmarkEnd w:id="1139"/>
      <w:r w:rsidR="00A26F05" w:rsidRPr="00AA7BB3">
        <w:t xml:space="preserve"> </w:t>
      </w:r>
      <w:r w:rsidR="00A26F05" w:rsidRPr="004406D4">
        <w:rPr>
          <w:i/>
        </w:rPr>
        <w:t>Submission in response to the Australian Universities Accord Discussion Paper</w:t>
      </w:r>
      <w:r w:rsidR="000D3CA7" w:rsidRPr="00F54451">
        <w:rPr>
          <w:rFonts w:cstheme="minorHAnsi"/>
          <w:i/>
        </w:rPr>
        <w:t xml:space="preserve">, </w:t>
      </w:r>
      <w:r w:rsidR="000D3CA7" w:rsidRPr="00F54451">
        <w:rPr>
          <w:rFonts w:cstheme="minorHAnsi"/>
        </w:rPr>
        <w:t>2023</w:t>
      </w:r>
      <w:r w:rsidR="00A26F05">
        <w:rPr>
          <w:rFonts w:cstheme="minorHAnsi"/>
        </w:rPr>
        <w:t xml:space="preserve">, </w:t>
      </w:r>
      <w:hyperlink r:id="rId219" w:history="1">
        <w:r w:rsidR="00DF4E36" w:rsidRPr="0069099E">
          <w:rPr>
            <w:rStyle w:val="Hyperlink"/>
            <w:rFonts w:cstheme="minorHAnsi"/>
          </w:rPr>
          <w:t>www.education.gov.au/system/files/documents/submission-file/2023-04/AUA_tranche3_Gwilym%20Croucher%20%26amp%3B%20%20Vin%20Massaro.pdf</w:t>
        </w:r>
      </w:hyperlink>
      <w:r w:rsidR="00A26F05">
        <w:rPr>
          <w:rFonts w:cstheme="minorHAnsi"/>
        </w:rPr>
        <w:t>.</w:t>
      </w:r>
      <w:r w:rsidR="00AA7BB3">
        <w:rPr>
          <w:rFonts w:cstheme="minorHAnsi"/>
        </w:rPr>
        <w:t xml:space="preserve"> </w:t>
      </w:r>
    </w:p>
  </w:footnote>
  <w:footnote w:id="382">
    <w:p w14:paraId="31E2FF56" w14:textId="3F7B37FC" w:rsidR="00A14420" w:rsidRPr="008C7050" w:rsidRDefault="00A14420" w:rsidP="00A14420">
      <w:pPr>
        <w:pStyle w:val="FootnoteText"/>
        <w:rPr>
          <w:rFonts w:cstheme="minorHAnsi"/>
          <w:b/>
        </w:rPr>
      </w:pPr>
      <w:r w:rsidRPr="00F54451">
        <w:rPr>
          <w:rStyle w:val="FootnoteReference"/>
          <w:rFonts w:cstheme="minorHAnsi"/>
        </w:rPr>
        <w:footnoteRef/>
      </w:r>
      <w:r w:rsidR="00386FA2">
        <w:rPr>
          <w:rFonts w:cstheme="minorHAnsi"/>
        </w:rPr>
        <w:t xml:space="preserve"> Closing the Gap,</w:t>
      </w:r>
      <w:r w:rsidR="00EF5D7B">
        <w:rPr>
          <w:rFonts w:cstheme="minorHAnsi"/>
        </w:rPr>
        <w:t xml:space="preserve"> </w:t>
      </w:r>
      <w:r w:rsidR="00EF5D7B" w:rsidRPr="00F54451">
        <w:rPr>
          <w:rFonts w:cstheme="minorHAnsi"/>
        </w:rPr>
        <w:t>“National Agreement on Closing the Gap</w:t>
      </w:r>
      <w:r w:rsidR="00A26F05">
        <w:rPr>
          <w:rFonts w:cstheme="minorHAnsi"/>
        </w:rPr>
        <w:t>.”</w:t>
      </w:r>
      <w:r w:rsidR="00386FA2" w:rsidRPr="00F54451" w:rsidDel="00386FA2">
        <w:rPr>
          <w:rFonts w:cstheme="minorHAnsi"/>
        </w:rPr>
        <w:t xml:space="preserve"> </w:t>
      </w:r>
      <w:r w:rsidR="00386FA2">
        <w:rPr>
          <w:rFonts w:cstheme="minorHAnsi"/>
        </w:rPr>
        <w:t xml:space="preserve"> </w:t>
      </w:r>
    </w:p>
  </w:footnote>
  <w:footnote w:id="383">
    <w:p w14:paraId="6C6A4F5F" w14:textId="46349632" w:rsidR="00A14420" w:rsidRPr="00F54451" w:rsidRDefault="00A14420" w:rsidP="00A14420">
      <w:pPr>
        <w:pStyle w:val="FootnoteText"/>
        <w:rPr>
          <w:rFonts w:cstheme="minorHAnsi"/>
        </w:rPr>
      </w:pPr>
      <w:r w:rsidRPr="00F54451">
        <w:rPr>
          <w:rStyle w:val="FootnoteReference"/>
          <w:rFonts w:cstheme="minorHAnsi"/>
        </w:rPr>
        <w:footnoteRef/>
      </w:r>
      <w:r w:rsidRPr="00F54451">
        <w:rPr>
          <w:rFonts w:cstheme="minorHAnsi"/>
        </w:rPr>
        <w:t xml:space="preserve"> </w:t>
      </w:r>
      <w:r w:rsidR="003653EB" w:rsidRPr="00F54451">
        <w:rPr>
          <w:rFonts w:cstheme="minorHAnsi"/>
        </w:rPr>
        <w:t xml:space="preserve">Western Sydney University Indigenous Professoriate, </w:t>
      </w:r>
      <w:r w:rsidR="00EF788F" w:rsidRPr="004406D4">
        <w:rPr>
          <w:i/>
        </w:rPr>
        <w:t>Submission to the 2023 Australian Universities Accord</w:t>
      </w:r>
      <w:r w:rsidR="00EF788F">
        <w:rPr>
          <w:rFonts w:cstheme="minorHAnsi"/>
          <w:i/>
        </w:rPr>
        <w:t xml:space="preserve"> Discussion Paper</w:t>
      </w:r>
      <w:r w:rsidR="003653EB" w:rsidRPr="00F54451">
        <w:rPr>
          <w:rFonts w:cstheme="minorHAnsi"/>
          <w:i/>
        </w:rPr>
        <w:t xml:space="preserve">, </w:t>
      </w:r>
      <w:r w:rsidR="003653EB" w:rsidRPr="00F54451">
        <w:rPr>
          <w:rFonts w:cstheme="minorHAnsi"/>
        </w:rPr>
        <w:t>2023</w:t>
      </w:r>
      <w:r w:rsidR="003653EB">
        <w:rPr>
          <w:rFonts w:cstheme="minorHAnsi"/>
        </w:rPr>
        <w:t>, 1</w:t>
      </w:r>
      <w:r w:rsidR="00EF788F">
        <w:rPr>
          <w:rFonts w:cstheme="minorHAnsi"/>
        </w:rPr>
        <w:t xml:space="preserve">, </w:t>
      </w:r>
      <w:hyperlink r:id="rId220" w:history="1">
        <w:bookmarkStart w:id="1144" w:name="_Hlt155711342"/>
        <w:bookmarkStart w:id="1145" w:name="_Hlt155711343"/>
        <w:r w:rsidR="00DD677D" w:rsidRPr="00DD677D">
          <w:rPr>
            <w:rStyle w:val="Hyperlink"/>
            <w:rFonts w:cstheme="minorHAnsi"/>
          </w:rPr>
          <w:t>w</w:t>
        </w:r>
        <w:bookmarkEnd w:id="1144"/>
        <w:bookmarkEnd w:id="1145"/>
        <w:r w:rsidR="00DD677D" w:rsidRPr="00DD677D">
          <w:rPr>
            <w:rStyle w:val="Hyperlink"/>
            <w:rFonts w:cstheme="minorHAnsi"/>
          </w:rPr>
          <w:t>ww.education.gov.au/australian-universities-accord/consultations/</w:t>
        </w:r>
        <w:r w:rsidR="00DD677D" w:rsidRPr="00DD677D">
          <w:rPr>
            <w:rStyle w:val="Hyperlink"/>
            <w:rFonts w:cstheme="minorHAnsi"/>
          </w:rPr>
          <w:br/>
          <w:t>australian-universities-accord-panel-discussion-paper-consultation/submission/16041</w:t>
        </w:r>
      </w:hyperlink>
      <w:r w:rsidR="003653EB">
        <w:rPr>
          <w:rFonts w:cstheme="minorHAnsi"/>
        </w:rPr>
        <w:t>.</w:t>
      </w:r>
      <w:r w:rsidR="003B43A5">
        <w:rPr>
          <w:rFonts w:cstheme="minorHAnsi"/>
        </w:rPr>
        <w:t xml:space="preserve"> </w:t>
      </w:r>
    </w:p>
  </w:footnote>
  <w:footnote w:id="384">
    <w:p w14:paraId="079E40D3" w14:textId="6A72E73C" w:rsidR="00A14420" w:rsidRPr="00F86A1C" w:rsidRDefault="00A14420" w:rsidP="00A14420">
      <w:pPr>
        <w:pStyle w:val="FootnoteText"/>
        <w:rPr>
          <w:rFonts w:cstheme="minorHAnsi"/>
        </w:rPr>
      </w:pPr>
      <w:r w:rsidRPr="00F54451">
        <w:rPr>
          <w:rStyle w:val="FootnoteReference"/>
          <w:rFonts w:cstheme="minorHAnsi"/>
        </w:rPr>
        <w:footnoteRef/>
      </w:r>
      <w:r w:rsidRPr="00F54451">
        <w:rPr>
          <w:rFonts w:cstheme="minorHAnsi"/>
        </w:rPr>
        <w:t xml:space="preserve"> </w:t>
      </w:r>
      <w:r w:rsidR="00965FCE">
        <w:rPr>
          <w:rFonts w:eastAsia="Calibri" w:cstheme="minorHAnsi"/>
        </w:rPr>
        <w:t xml:space="preserve">Australian Bureau of Statistics, </w:t>
      </w:r>
      <w:r w:rsidR="00965FCE" w:rsidRPr="00FC05CE">
        <w:rPr>
          <w:rFonts w:eastAsia="Calibri" w:cstheme="minorHAnsi"/>
          <w:i/>
          <w:iCs/>
        </w:rPr>
        <w:t>Regional Population</w:t>
      </w:r>
      <w:r w:rsidR="00965FCE">
        <w:rPr>
          <w:rFonts w:eastAsia="Calibri" w:cstheme="minorHAnsi"/>
        </w:rPr>
        <w:t xml:space="preserve"> </w:t>
      </w:r>
      <w:r w:rsidR="00965FCE" w:rsidRPr="005E23F8">
        <w:rPr>
          <w:rFonts w:eastAsia="Calibri" w:cstheme="minorHAnsi"/>
          <w:i/>
          <w:iCs/>
        </w:rPr>
        <w:t>2021–22</w:t>
      </w:r>
      <w:r w:rsidR="00B52517">
        <w:rPr>
          <w:rFonts w:eastAsia="Calibri" w:cstheme="minorHAnsi"/>
          <w:i/>
          <w:iCs/>
        </w:rPr>
        <w:t xml:space="preserve"> </w:t>
      </w:r>
      <w:r w:rsidR="00B52517">
        <w:rPr>
          <w:rFonts w:eastAsia="Calibri" w:cstheme="minorHAnsi"/>
        </w:rPr>
        <w:t>[data set]</w:t>
      </w:r>
      <w:r w:rsidR="00965FCE">
        <w:rPr>
          <w:rFonts w:eastAsia="Calibri" w:cstheme="minorHAnsi"/>
        </w:rPr>
        <w:t xml:space="preserve">, (Canberra: 2023), </w:t>
      </w:r>
      <w:hyperlink r:id="rId221" w:history="1">
        <w:r w:rsidR="00B52517" w:rsidRPr="00535314">
          <w:rPr>
            <w:rStyle w:val="Hyperlink"/>
          </w:rPr>
          <w:t>www.abs</w:t>
        </w:r>
        <w:bookmarkStart w:id="1165" w:name="_Hlt155711336"/>
        <w:bookmarkStart w:id="1166" w:name="_Hlt155711337"/>
        <w:r w:rsidR="00B52517" w:rsidRPr="00535314">
          <w:rPr>
            <w:rStyle w:val="Hyperlink"/>
          </w:rPr>
          <w:t>.</w:t>
        </w:r>
        <w:bookmarkEnd w:id="1165"/>
        <w:bookmarkEnd w:id="1166"/>
        <w:r w:rsidR="00B52517" w:rsidRPr="00535314">
          <w:rPr>
            <w:rStyle w:val="Hyperlink"/>
          </w:rPr>
          <w:t>gov.au/statistics/people/population/regional-population/2021-22</w:t>
        </w:r>
      </w:hyperlink>
      <w:r w:rsidR="00965FCE">
        <w:rPr>
          <w:rFonts w:eastAsia="Calibri" w:cstheme="minorHAnsi"/>
        </w:rPr>
        <w:t>.</w:t>
      </w:r>
    </w:p>
  </w:footnote>
  <w:footnote w:id="385">
    <w:p w14:paraId="5D2986AA" w14:textId="551DD84A" w:rsidR="00A14420" w:rsidRPr="00F86A1C" w:rsidRDefault="00A14420" w:rsidP="00A14420">
      <w:pPr>
        <w:pStyle w:val="FootnoteText"/>
        <w:rPr>
          <w:rFonts w:eastAsia="Calibri" w:cstheme="minorHAnsi"/>
        </w:rPr>
      </w:pPr>
      <w:r w:rsidRPr="00F86A1C">
        <w:rPr>
          <w:rStyle w:val="FootnoteReference"/>
          <w:rFonts w:cstheme="minorHAnsi"/>
        </w:rPr>
        <w:footnoteRef/>
      </w:r>
      <w:r w:rsidRPr="00F86A1C">
        <w:rPr>
          <w:rFonts w:cstheme="minorHAnsi"/>
        </w:rPr>
        <w:t xml:space="preserve"> </w:t>
      </w:r>
      <w:bookmarkStart w:id="1167" w:name="_Hlk151026326"/>
      <w:r w:rsidR="00764C1A">
        <w:rPr>
          <w:rFonts w:eastAsia="Calibri" w:cstheme="minorHAnsi"/>
        </w:rPr>
        <w:t>Department of Education,</w:t>
      </w:r>
      <w:r w:rsidR="00764C1A" w:rsidRPr="00F86A1C">
        <w:rPr>
          <w:rFonts w:eastAsia="Calibri" w:cstheme="minorHAnsi"/>
        </w:rPr>
        <w:t xml:space="preserve"> </w:t>
      </w:r>
      <w:r w:rsidR="00764C1A" w:rsidRPr="005E23F8">
        <w:rPr>
          <w:rFonts w:eastAsia="Calibri" w:cstheme="minorHAnsi"/>
          <w:i/>
        </w:rPr>
        <w:t xml:space="preserve">Higher Education Statistics – Student data – </w:t>
      </w:r>
      <w:r w:rsidR="00CD3385" w:rsidRPr="005E23F8">
        <w:rPr>
          <w:rFonts w:eastAsia="Calibri" w:cstheme="minorHAnsi"/>
          <w:i/>
        </w:rPr>
        <w:t>202</w:t>
      </w:r>
      <w:r w:rsidR="00CD3385">
        <w:rPr>
          <w:rFonts w:eastAsia="Calibri" w:cstheme="minorHAnsi"/>
          <w:i/>
        </w:rPr>
        <w:t>2</w:t>
      </w:r>
      <w:r w:rsidR="00CD3385" w:rsidRPr="005E23F8">
        <w:rPr>
          <w:rFonts w:eastAsia="Calibri" w:cstheme="minorHAnsi"/>
          <w:i/>
        </w:rPr>
        <w:t xml:space="preserve"> </w:t>
      </w:r>
      <w:r w:rsidR="00764C1A" w:rsidRPr="005E23F8">
        <w:rPr>
          <w:rFonts w:eastAsia="Calibri" w:cstheme="minorHAnsi"/>
          <w:i/>
        </w:rPr>
        <w:t xml:space="preserve">Section 2 All </w:t>
      </w:r>
      <w:r w:rsidR="00BA0BED" w:rsidRPr="005E23F8">
        <w:rPr>
          <w:rFonts w:eastAsia="Calibri" w:cstheme="minorHAnsi"/>
          <w:i/>
          <w:iCs/>
        </w:rPr>
        <w:t>s</w:t>
      </w:r>
      <w:r w:rsidR="00764C1A" w:rsidRPr="005E23F8">
        <w:rPr>
          <w:rFonts w:eastAsia="Calibri" w:cstheme="minorHAnsi"/>
          <w:i/>
        </w:rPr>
        <w:t xml:space="preserve">tudents </w:t>
      </w:r>
      <w:r w:rsidR="00764C1A">
        <w:rPr>
          <w:rFonts w:eastAsia="Calibri" w:cstheme="minorHAnsi"/>
        </w:rPr>
        <w:t xml:space="preserve">[data set], </w:t>
      </w:r>
      <w:r w:rsidR="00BA0BED">
        <w:rPr>
          <w:rFonts w:eastAsia="Calibri" w:cstheme="minorHAnsi"/>
        </w:rPr>
        <w:t>(</w:t>
      </w:r>
      <w:r w:rsidR="00D0440F">
        <w:rPr>
          <w:rFonts w:eastAsia="Calibri" w:cstheme="minorHAnsi"/>
        </w:rPr>
        <w:t>Canberra:</w:t>
      </w:r>
      <w:r w:rsidR="00BA0BED">
        <w:rPr>
          <w:rFonts w:eastAsia="Calibri" w:cstheme="minorHAnsi"/>
        </w:rPr>
        <w:t xml:space="preserve"> </w:t>
      </w:r>
      <w:r w:rsidR="00CD3385">
        <w:rPr>
          <w:rFonts w:eastAsia="Calibri" w:cstheme="minorHAnsi"/>
        </w:rPr>
        <w:t>2023</w:t>
      </w:r>
      <w:r w:rsidR="00BA0BED">
        <w:rPr>
          <w:rFonts w:eastAsia="Calibri" w:cstheme="minorHAnsi"/>
        </w:rPr>
        <w:t xml:space="preserve">), </w:t>
      </w:r>
      <w:r w:rsidR="00CD3385">
        <w:rPr>
          <w:rFonts w:eastAsia="Calibri" w:cstheme="minorHAnsi"/>
        </w:rPr>
        <w:t>published 18</w:t>
      </w:r>
      <w:r w:rsidR="00BA0BED">
        <w:rPr>
          <w:rFonts w:eastAsia="Calibri" w:cstheme="minorHAnsi"/>
        </w:rPr>
        <w:t xml:space="preserve"> December 2023, </w:t>
      </w:r>
      <w:hyperlink r:id="rId222" w:history="1">
        <w:r w:rsidR="00DD677D" w:rsidRPr="0069099E">
          <w:rPr>
            <w:rStyle w:val="Hyperlink"/>
            <w:rFonts w:eastAsia="Calibri" w:cstheme="minorHAnsi"/>
          </w:rPr>
          <w:t>www.education.gov.au/higher-education-statistics/resources/2021-section-2-all-students</w:t>
        </w:r>
      </w:hyperlink>
      <w:r w:rsidR="001D7CE1">
        <w:rPr>
          <w:rFonts w:eastAsia="Calibri" w:cstheme="minorHAnsi"/>
        </w:rPr>
        <w:t>.</w:t>
      </w:r>
      <w:bookmarkEnd w:id="1167"/>
    </w:p>
  </w:footnote>
  <w:footnote w:id="386">
    <w:p w14:paraId="3ACD7104" w14:textId="74FF7382" w:rsidR="00DA00FD" w:rsidRDefault="00DA00FD">
      <w:pPr>
        <w:pStyle w:val="FootnoteText"/>
      </w:pPr>
      <w:r>
        <w:rPr>
          <w:rStyle w:val="FootnoteReference"/>
        </w:rPr>
        <w:footnoteRef/>
      </w:r>
      <w:r>
        <w:t xml:space="preserve"> </w:t>
      </w:r>
      <w:r w:rsidR="0059125F">
        <w:t>Caltech, “</w:t>
      </w:r>
      <w:proofErr w:type="spellStart"/>
      <w:r w:rsidR="0059125F">
        <w:t>ENVision</w:t>
      </w:r>
      <w:proofErr w:type="spellEnd"/>
      <w:r w:rsidR="0059125F">
        <w:t xml:space="preserve"> 2030,”</w:t>
      </w:r>
      <w:r w:rsidR="001D7CE1">
        <w:t xml:space="preserve"> California Institute of Technology,</w:t>
      </w:r>
      <w:r w:rsidR="0059125F">
        <w:t xml:space="preserve"> 2023, </w:t>
      </w:r>
      <w:r w:rsidR="001D7CE1">
        <w:t xml:space="preserve">accessed 4 December 2023, </w:t>
      </w:r>
      <w:r w:rsidR="00993DD0" w:rsidRPr="00993DD0">
        <w:t>www.eas.caltech.edu/about/strategic-plan</w:t>
      </w:r>
      <w:r w:rsidR="001D7CE1">
        <w:t>.</w:t>
      </w:r>
    </w:p>
  </w:footnote>
  <w:footnote w:id="387">
    <w:p w14:paraId="301F46DF" w14:textId="06FF4043" w:rsidR="00830715" w:rsidRPr="00601877" w:rsidRDefault="00830715" w:rsidP="00830715">
      <w:pPr>
        <w:pStyle w:val="FootnoteText"/>
        <w:rPr>
          <w:rFonts w:cstheme="minorHAnsi"/>
        </w:rPr>
      </w:pPr>
      <w:r w:rsidRPr="00601877">
        <w:rPr>
          <w:rStyle w:val="FootnoteReference"/>
          <w:rFonts w:cstheme="minorHAnsi"/>
        </w:rPr>
        <w:footnoteRef/>
      </w:r>
      <w:r w:rsidRPr="00601877">
        <w:rPr>
          <w:rFonts w:cstheme="minorHAnsi"/>
        </w:rPr>
        <w:t xml:space="preserve"> </w:t>
      </w:r>
      <w:r w:rsidR="00EC6673">
        <w:rPr>
          <w:rFonts w:cstheme="minorHAnsi"/>
        </w:rPr>
        <w:t>Department of the Treasury</w:t>
      </w:r>
      <w:r w:rsidRPr="00601877">
        <w:rPr>
          <w:rFonts w:cstheme="minorHAnsi"/>
        </w:rPr>
        <w:t xml:space="preserve">, </w:t>
      </w:r>
      <w:r w:rsidRPr="00601877">
        <w:rPr>
          <w:rFonts w:cstheme="minorHAnsi"/>
          <w:i/>
        </w:rPr>
        <w:t xml:space="preserve">Profile of Australia’s population, </w:t>
      </w:r>
      <w:r w:rsidRPr="00601877">
        <w:rPr>
          <w:rFonts w:cstheme="minorHAnsi"/>
        </w:rPr>
        <w:t>(</w:t>
      </w:r>
      <w:r w:rsidR="00EC6673">
        <w:rPr>
          <w:rFonts w:cstheme="minorHAnsi"/>
        </w:rPr>
        <w:t xml:space="preserve">Canberra: Australian Institute for Health and Welfare (AIHW), </w:t>
      </w:r>
      <w:r w:rsidRPr="00601877">
        <w:rPr>
          <w:rFonts w:cstheme="minorHAnsi"/>
        </w:rPr>
        <w:t>2023)</w:t>
      </w:r>
      <w:r w:rsidR="00EC6673">
        <w:rPr>
          <w:rFonts w:cstheme="minorHAnsi"/>
        </w:rPr>
        <w:t>,</w:t>
      </w:r>
      <w:r w:rsidRPr="00601877">
        <w:rPr>
          <w:rFonts w:cstheme="minorHAnsi"/>
        </w:rPr>
        <w:t xml:space="preserve"> </w:t>
      </w:r>
      <w:hyperlink r:id="rId223" w:history="1">
        <w:r w:rsidRPr="00601877">
          <w:rPr>
            <w:rStyle w:val="Hyperlink"/>
            <w:rFonts w:cstheme="minorHAnsi"/>
          </w:rPr>
          <w:t>www.aihw.gov.au/reports/australias-health/profile-of-australias-population</w:t>
        </w:r>
      </w:hyperlink>
      <w:r w:rsidRPr="00601877">
        <w:rPr>
          <w:rFonts w:cstheme="minorHAnsi"/>
        </w:rPr>
        <w:t xml:space="preserve">. </w:t>
      </w:r>
      <w:r w:rsidRPr="00601877">
        <w:rPr>
          <w:rStyle w:val="eop"/>
          <w:rFonts w:cstheme="minorHAnsi"/>
          <w:shd w:val="clear" w:color="auto" w:fill="FFFFFF"/>
        </w:rPr>
        <w:t> </w:t>
      </w:r>
    </w:p>
  </w:footnote>
  <w:footnote w:id="388">
    <w:p w14:paraId="3AEEA1B2" w14:textId="0950EB89" w:rsidR="00830715" w:rsidRPr="00601877" w:rsidRDefault="00830715" w:rsidP="00830715">
      <w:pPr>
        <w:pStyle w:val="FootnoteText"/>
        <w:rPr>
          <w:rFonts w:cstheme="minorHAnsi"/>
        </w:rPr>
      </w:pPr>
      <w:r w:rsidRPr="00601877">
        <w:rPr>
          <w:rStyle w:val="FootnoteReference"/>
          <w:rFonts w:cstheme="minorHAnsi"/>
        </w:rPr>
        <w:footnoteRef/>
      </w:r>
      <w:r w:rsidRPr="00601877">
        <w:rPr>
          <w:rFonts w:cstheme="minorHAnsi"/>
        </w:rPr>
        <w:t xml:space="preserve"> Reserve Bank of Australia, </w:t>
      </w:r>
      <w:r w:rsidRPr="00601877">
        <w:rPr>
          <w:rFonts w:cstheme="minorHAnsi"/>
          <w:i/>
        </w:rPr>
        <w:t>Composition of the Australian Economy Snapshot</w:t>
      </w:r>
      <w:r w:rsidRPr="00601877">
        <w:rPr>
          <w:rFonts w:cstheme="minorHAnsi"/>
        </w:rPr>
        <w:t>, (</w:t>
      </w:r>
      <w:r w:rsidR="00DC64C8">
        <w:rPr>
          <w:rFonts w:cstheme="minorHAnsi"/>
        </w:rPr>
        <w:t xml:space="preserve">December </w:t>
      </w:r>
      <w:r w:rsidRPr="00601877">
        <w:rPr>
          <w:rFonts w:cstheme="minorHAnsi"/>
        </w:rPr>
        <w:t xml:space="preserve">2023), </w:t>
      </w:r>
      <w:hyperlink r:id="rId224" w:history="1">
        <w:r w:rsidRPr="00601877">
          <w:rPr>
            <w:rStyle w:val="Hyperlink"/>
            <w:rFonts w:cstheme="minorHAnsi"/>
          </w:rPr>
          <w:t>www.rba.gov.au/education/resources/snapshots/economy-composition-snapshot/</w:t>
        </w:r>
      </w:hyperlink>
      <w:r w:rsidRPr="00601877">
        <w:rPr>
          <w:rFonts w:cstheme="minorHAnsi"/>
        </w:rPr>
        <w:t xml:space="preserve">. </w:t>
      </w:r>
    </w:p>
  </w:footnote>
  <w:footnote w:id="389">
    <w:p w14:paraId="49E05DAF" w14:textId="0068AC28" w:rsidR="002B220C" w:rsidRPr="00601877" w:rsidRDefault="002B220C">
      <w:pPr>
        <w:pStyle w:val="FootnoteText"/>
        <w:rPr>
          <w:rFonts w:cstheme="minorHAnsi"/>
        </w:rPr>
      </w:pPr>
      <w:r w:rsidRPr="00601877">
        <w:rPr>
          <w:rStyle w:val="FootnoteReference"/>
          <w:rFonts w:cstheme="minorHAnsi"/>
        </w:rPr>
        <w:footnoteRef/>
      </w:r>
      <w:r w:rsidRPr="00601877">
        <w:rPr>
          <w:rFonts w:cstheme="minorHAnsi"/>
        </w:rPr>
        <w:t xml:space="preserve"> </w:t>
      </w:r>
      <w:r w:rsidR="002F1E58" w:rsidRPr="00601877">
        <w:rPr>
          <w:rFonts w:cstheme="minorHAnsi"/>
        </w:rPr>
        <w:t xml:space="preserve">Australian Institute for Teaching and School Leadership, </w:t>
      </w:r>
      <w:r w:rsidR="002F1E58" w:rsidRPr="00601877">
        <w:rPr>
          <w:rFonts w:cstheme="minorHAnsi"/>
          <w:i/>
        </w:rPr>
        <w:t xml:space="preserve">Australian Teacher Workforce Data National Trends: Teacher Workforce, </w:t>
      </w:r>
      <w:r w:rsidR="00911DAE" w:rsidRPr="00601877">
        <w:rPr>
          <w:rFonts w:cstheme="minorHAnsi"/>
        </w:rPr>
        <w:t>(</w:t>
      </w:r>
      <w:r w:rsidR="00DC64C8">
        <w:rPr>
          <w:rFonts w:cstheme="minorHAnsi"/>
        </w:rPr>
        <w:t xml:space="preserve">Melbourne: June </w:t>
      </w:r>
      <w:r w:rsidR="00911DAE" w:rsidRPr="00601877">
        <w:rPr>
          <w:rFonts w:cstheme="minorHAnsi"/>
        </w:rPr>
        <w:t xml:space="preserve">2023), </w:t>
      </w:r>
      <w:hyperlink r:id="rId225" w:history="1">
        <w:r w:rsidR="00E70C59" w:rsidRPr="00601877">
          <w:rPr>
            <w:rStyle w:val="Hyperlink"/>
            <w:rFonts w:cstheme="minorHAnsi"/>
          </w:rPr>
          <w:t>www.aitsl.edu.au/research/australian-teacher-workforce-data/atwdreports/national-trends-teacher-workforce</w:t>
        </w:r>
      </w:hyperlink>
      <w:r w:rsidR="00E70C59" w:rsidRPr="00601877">
        <w:rPr>
          <w:rFonts w:cstheme="minorHAnsi"/>
        </w:rPr>
        <w:t xml:space="preserve">. </w:t>
      </w:r>
    </w:p>
  </w:footnote>
  <w:footnote w:id="390">
    <w:p w14:paraId="6FBDFB7C" w14:textId="7027309A" w:rsidR="00830715" w:rsidRPr="00601877" w:rsidRDefault="00830715" w:rsidP="00830715">
      <w:pPr>
        <w:pStyle w:val="FootnoteText"/>
        <w:rPr>
          <w:rFonts w:cstheme="minorHAnsi"/>
        </w:rPr>
      </w:pPr>
      <w:r w:rsidRPr="00601877">
        <w:rPr>
          <w:rStyle w:val="FootnoteReference"/>
          <w:rFonts w:cstheme="minorHAnsi"/>
        </w:rPr>
        <w:footnoteRef/>
      </w:r>
      <w:r w:rsidRPr="00601877">
        <w:rPr>
          <w:rFonts w:cstheme="minorHAnsi"/>
        </w:rPr>
        <w:t xml:space="preserve"> </w:t>
      </w:r>
      <w:r w:rsidR="00DC64C8">
        <w:rPr>
          <w:rFonts w:cstheme="minorHAnsi"/>
        </w:rPr>
        <w:t>JSA</w:t>
      </w:r>
      <w:r w:rsidRPr="00601877">
        <w:rPr>
          <w:rFonts w:cstheme="minorHAnsi"/>
        </w:rPr>
        <w:t xml:space="preserve">, </w:t>
      </w:r>
      <w:r w:rsidRPr="00601877">
        <w:rPr>
          <w:rFonts w:cstheme="minorHAnsi"/>
          <w:i/>
        </w:rPr>
        <w:t>Skills Priority List: Key Findings Report</w:t>
      </w:r>
      <w:r w:rsidR="00AA50EA">
        <w:rPr>
          <w:rFonts w:cstheme="minorHAnsi"/>
          <w:i/>
        </w:rPr>
        <w:t>.</w:t>
      </w:r>
      <w:r w:rsidRPr="00601877">
        <w:rPr>
          <w:rFonts w:cstheme="minorHAnsi"/>
        </w:rPr>
        <w:t xml:space="preserve"> </w:t>
      </w:r>
    </w:p>
  </w:footnote>
  <w:footnote w:id="391">
    <w:p w14:paraId="6665AB5F" w14:textId="5BADA39D" w:rsidR="00830715" w:rsidRPr="00601877" w:rsidRDefault="00830715" w:rsidP="00830715">
      <w:pPr>
        <w:pStyle w:val="FootnoteText"/>
        <w:rPr>
          <w:rFonts w:cstheme="minorHAnsi"/>
        </w:rPr>
      </w:pPr>
      <w:r w:rsidRPr="00601877">
        <w:rPr>
          <w:rStyle w:val="FootnoteReference"/>
          <w:rFonts w:cstheme="minorHAnsi"/>
        </w:rPr>
        <w:footnoteRef/>
      </w:r>
      <w:r w:rsidRPr="00601877">
        <w:rPr>
          <w:rFonts w:cstheme="minorHAnsi"/>
        </w:rPr>
        <w:t xml:space="preserve"> </w:t>
      </w:r>
      <w:r w:rsidR="00A27D03">
        <w:rPr>
          <w:rStyle w:val="normaltextrun"/>
          <w:rFonts w:ascii="Calibri" w:hAnsi="Calibri" w:cs="Calibri"/>
          <w:color w:val="000000"/>
          <w:shd w:val="clear" w:color="auto" w:fill="FFFFFF"/>
        </w:rPr>
        <w:t xml:space="preserve">Halsey, </w:t>
      </w:r>
      <w:r w:rsidR="00A27D03">
        <w:rPr>
          <w:rStyle w:val="normaltextrun"/>
          <w:rFonts w:ascii="Calibri" w:hAnsi="Calibri" w:cs="Calibri"/>
          <w:i/>
          <w:iCs/>
          <w:color w:val="000000"/>
          <w:shd w:val="clear" w:color="auto" w:fill="FFFFFF"/>
        </w:rPr>
        <w:t>Independent Review into Regional, Rural and Remote Education</w:t>
      </w:r>
      <w:r w:rsidR="002E4014">
        <w:rPr>
          <w:rStyle w:val="normaltextrun"/>
          <w:rFonts w:ascii="Calibri" w:hAnsi="Calibri" w:cs="Calibri"/>
          <w:i/>
          <w:iCs/>
          <w:color w:val="000000"/>
          <w:shd w:val="clear" w:color="auto" w:fill="FFFFFF"/>
        </w:rPr>
        <w:t>,</w:t>
      </w:r>
      <w:r w:rsidR="002E4014">
        <w:rPr>
          <w:rStyle w:val="normaltextrun"/>
          <w:rFonts w:ascii="Calibri" w:hAnsi="Calibri" w:cs="Calibri"/>
          <w:color w:val="000000"/>
          <w:shd w:val="clear" w:color="auto" w:fill="FFFFFF"/>
        </w:rPr>
        <w:t xml:space="preserve"> 4</w:t>
      </w:r>
      <w:r w:rsidR="00A27D03">
        <w:rPr>
          <w:rStyle w:val="normaltextrun"/>
          <w:rFonts w:ascii="Calibri" w:hAnsi="Calibri" w:cs="Calibri"/>
          <w:i/>
          <w:iCs/>
          <w:color w:val="000000"/>
          <w:shd w:val="clear" w:color="auto" w:fill="FFFFFF"/>
        </w:rPr>
        <w:t>.</w:t>
      </w:r>
    </w:p>
  </w:footnote>
  <w:footnote w:id="392">
    <w:p w14:paraId="656C47EE" w14:textId="552DB25C" w:rsidR="00830715" w:rsidRPr="00601877" w:rsidRDefault="00830715" w:rsidP="00830715">
      <w:pPr>
        <w:pStyle w:val="FootnoteText"/>
        <w:rPr>
          <w:rFonts w:cstheme="minorHAnsi"/>
        </w:rPr>
      </w:pPr>
      <w:r w:rsidRPr="00601877">
        <w:rPr>
          <w:rStyle w:val="FootnoteReference"/>
          <w:rFonts w:cstheme="minorHAnsi"/>
        </w:rPr>
        <w:footnoteRef/>
      </w:r>
      <w:r w:rsidRPr="00601877">
        <w:rPr>
          <w:rFonts w:cstheme="minorHAnsi"/>
        </w:rPr>
        <w:t xml:space="preserve"> </w:t>
      </w:r>
      <w:r w:rsidR="00A27D03">
        <w:rPr>
          <w:rStyle w:val="normaltextrun"/>
          <w:rFonts w:ascii="Calibri" w:hAnsi="Calibri" w:cs="Calibri"/>
          <w:color w:val="000000"/>
          <w:shd w:val="clear" w:color="auto" w:fill="FFFFFF"/>
        </w:rPr>
        <w:t xml:space="preserve">Napthine et al, </w:t>
      </w:r>
      <w:r w:rsidR="00A27D03">
        <w:rPr>
          <w:rStyle w:val="normaltextrun"/>
          <w:rFonts w:ascii="Calibri" w:hAnsi="Calibri" w:cs="Calibri"/>
          <w:i/>
          <w:iCs/>
          <w:color w:val="000000"/>
          <w:shd w:val="clear" w:color="auto" w:fill="FFFFFF"/>
        </w:rPr>
        <w:t xml:space="preserve">Napthine Review, </w:t>
      </w:r>
      <w:r w:rsidR="00A27D03">
        <w:rPr>
          <w:rStyle w:val="normaltextrun"/>
          <w:rFonts w:ascii="Calibri" w:hAnsi="Calibri" w:cs="Calibri"/>
          <w:color w:val="000000"/>
          <w:shd w:val="clear" w:color="auto" w:fill="FFFFFF"/>
        </w:rPr>
        <w:t>5</w:t>
      </w:r>
      <w:r w:rsidR="00A27D03">
        <w:rPr>
          <w:rStyle w:val="normaltextrun"/>
          <w:rFonts w:ascii="Calibri" w:hAnsi="Calibri" w:cs="Calibri"/>
          <w:i/>
          <w:iCs/>
          <w:color w:val="000000"/>
          <w:shd w:val="clear" w:color="auto" w:fill="FFFFFF"/>
        </w:rPr>
        <w:t>.</w:t>
      </w:r>
    </w:p>
  </w:footnote>
  <w:footnote w:id="393">
    <w:p w14:paraId="06106F4C" w14:textId="4AA135A6" w:rsidR="00830715" w:rsidRPr="00601877" w:rsidRDefault="00830715" w:rsidP="00830715">
      <w:pPr>
        <w:pStyle w:val="FootnoteText"/>
        <w:rPr>
          <w:rFonts w:cstheme="minorHAnsi"/>
        </w:rPr>
      </w:pPr>
      <w:r w:rsidRPr="00601877">
        <w:rPr>
          <w:rStyle w:val="FootnoteReference"/>
          <w:rFonts w:cstheme="minorHAnsi"/>
        </w:rPr>
        <w:footnoteRef/>
      </w:r>
      <w:r w:rsidRPr="00601877">
        <w:rPr>
          <w:rFonts w:cstheme="minorHAnsi"/>
        </w:rPr>
        <w:t xml:space="preserve"> Department of Education, </w:t>
      </w:r>
      <w:r w:rsidRPr="00601877">
        <w:rPr>
          <w:rFonts w:cstheme="minorHAnsi"/>
          <w:i/>
        </w:rPr>
        <w:t>Student Enrolment</w:t>
      </w:r>
      <w:r w:rsidR="00203514">
        <w:rPr>
          <w:rFonts w:cstheme="minorHAnsi"/>
          <w:i/>
        </w:rPr>
        <w:t>s</w:t>
      </w:r>
      <w:r w:rsidRPr="00601877">
        <w:rPr>
          <w:rFonts w:cstheme="minorHAnsi"/>
          <w:i/>
        </w:rPr>
        <w:t xml:space="preserve"> Pivot </w:t>
      </w:r>
      <w:r w:rsidRPr="00B40765">
        <w:rPr>
          <w:rFonts w:cstheme="minorHAnsi"/>
          <w:i/>
        </w:rPr>
        <w:t xml:space="preserve">Table </w:t>
      </w:r>
      <w:r w:rsidR="000E13F0" w:rsidRPr="00B40765">
        <w:rPr>
          <w:rFonts w:cstheme="minorHAnsi"/>
          <w:i/>
        </w:rPr>
        <w:t>2022</w:t>
      </w:r>
      <w:r w:rsidR="002E4014" w:rsidRPr="00B40765">
        <w:rPr>
          <w:rFonts w:cstheme="minorHAnsi"/>
          <w:i/>
        </w:rPr>
        <w:t xml:space="preserve"> </w:t>
      </w:r>
      <w:r w:rsidR="00CD3385" w:rsidRPr="00B40765">
        <w:rPr>
          <w:rFonts w:cstheme="minorHAnsi"/>
          <w:iCs/>
        </w:rPr>
        <w:t>[data set]</w:t>
      </w:r>
      <w:r w:rsidRPr="00B40765">
        <w:rPr>
          <w:rFonts w:cstheme="minorHAnsi"/>
          <w:i/>
        </w:rPr>
        <w:t xml:space="preserve"> </w:t>
      </w:r>
      <w:r w:rsidRPr="00B40765">
        <w:rPr>
          <w:rFonts w:cstheme="minorHAnsi"/>
        </w:rPr>
        <w:t>(</w:t>
      </w:r>
      <w:r w:rsidR="002E4014" w:rsidRPr="00B40765">
        <w:rPr>
          <w:rFonts w:cstheme="minorHAnsi"/>
        </w:rPr>
        <w:t xml:space="preserve">Canberra: </w:t>
      </w:r>
      <w:r w:rsidR="000E13F0" w:rsidRPr="00B40765">
        <w:rPr>
          <w:rFonts w:cstheme="minorHAnsi"/>
        </w:rPr>
        <w:t>202</w:t>
      </w:r>
      <w:r w:rsidR="002E4014" w:rsidRPr="00B40765">
        <w:rPr>
          <w:rFonts w:cstheme="minorHAnsi"/>
        </w:rPr>
        <w:t>3</w:t>
      </w:r>
      <w:r w:rsidRPr="00B40765">
        <w:rPr>
          <w:rFonts w:cstheme="minorHAnsi"/>
        </w:rPr>
        <w:t>)</w:t>
      </w:r>
      <w:r w:rsidR="0085387C" w:rsidRPr="00B40765">
        <w:rPr>
          <w:rFonts w:cstheme="minorHAnsi"/>
        </w:rPr>
        <w:t xml:space="preserve">, published 18 December 2023, </w:t>
      </w:r>
      <w:hyperlink r:id="rId226" w:history="1">
        <w:r w:rsidR="00DD677D" w:rsidRPr="0069099E">
          <w:rPr>
            <w:rStyle w:val="Hyperlink"/>
            <w:rFonts w:cstheme="minorHAnsi"/>
          </w:rPr>
          <w:t>www.education.gov.au/higher-education-statistics/resources/student-enrolments-pivot-table-2022</w:t>
        </w:r>
      </w:hyperlink>
      <w:r w:rsidR="0085387C">
        <w:rPr>
          <w:rFonts w:cstheme="minorHAnsi"/>
        </w:rPr>
        <w:t>.</w:t>
      </w:r>
      <w:r w:rsidRPr="00601877">
        <w:rPr>
          <w:rFonts w:cstheme="minorHAnsi"/>
        </w:rPr>
        <w:t xml:space="preserve"> </w:t>
      </w:r>
      <w:r w:rsidR="0046441A">
        <w:rPr>
          <w:rFonts w:cstheme="minorHAnsi"/>
        </w:rPr>
        <w:t xml:space="preserve">For the purposes of this chapter </w:t>
      </w:r>
      <w:proofErr w:type="gramStart"/>
      <w:r w:rsidR="0046441A">
        <w:rPr>
          <w:rFonts w:cstheme="minorHAnsi"/>
        </w:rPr>
        <w:t>regionally-headquartered</w:t>
      </w:r>
      <w:proofErr w:type="gramEnd"/>
      <w:r w:rsidR="0046441A">
        <w:rPr>
          <w:rFonts w:cstheme="minorHAnsi"/>
        </w:rPr>
        <w:t xml:space="preserve"> universities are: Charles Darwin University, Charles Sturt University, CQUniversity, Federation University Australia, James Cook University, Southern Cross University, The University of New England, University of Southern Queensland and the University of Tasmania.</w:t>
      </w:r>
    </w:p>
  </w:footnote>
  <w:footnote w:id="394">
    <w:p w14:paraId="3F8A776C" w14:textId="25940736" w:rsidR="00830715" w:rsidRPr="00601877" w:rsidRDefault="00830715" w:rsidP="00830715">
      <w:pPr>
        <w:pStyle w:val="FootnoteText"/>
        <w:rPr>
          <w:rFonts w:cstheme="minorHAnsi"/>
        </w:rPr>
      </w:pPr>
      <w:r w:rsidRPr="00601877">
        <w:rPr>
          <w:rStyle w:val="FootnoteReference"/>
          <w:rFonts w:cstheme="minorHAnsi"/>
        </w:rPr>
        <w:footnoteRef/>
      </w:r>
      <w:r w:rsidRPr="00601877">
        <w:rPr>
          <w:rFonts w:cstheme="minorHAnsi"/>
        </w:rPr>
        <w:t xml:space="preserve"> Regional Universities Network, “Statistics</w:t>
      </w:r>
      <w:r w:rsidR="005355C5">
        <w:rPr>
          <w:rFonts w:cstheme="minorHAnsi"/>
        </w:rPr>
        <w:t>,</w:t>
      </w:r>
      <w:r w:rsidRPr="00601877">
        <w:rPr>
          <w:rFonts w:cstheme="minorHAnsi"/>
        </w:rPr>
        <w:t xml:space="preserve">” Regional Universities Network, </w:t>
      </w:r>
      <w:r w:rsidR="005355C5">
        <w:rPr>
          <w:rFonts w:cstheme="minorHAnsi"/>
        </w:rPr>
        <w:t xml:space="preserve">2020, accessed 12 December </w:t>
      </w:r>
      <w:r w:rsidRPr="00601877">
        <w:rPr>
          <w:rFonts w:cstheme="minorHAnsi"/>
        </w:rPr>
        <w:t xml:space="preserve">2023, </w:t>
      </w:r>
      <w:hyperlink r:id="rId227" w:history="1">
        <w:r w:rsidR="00092025" w:rsidRPr="00404357">
          <w:rPr>
            <w:rStyle w:val="Hyperlink"/>
            <w:rFonts w:cstheme="minorHAnsi"/>
          </w:rPr>
          <w:t>ww</w:t>
        </w:r>
        <w:bookmarkStart w:id="1192" w:name="_Hlt155711137"/>
        <w:bookmarkStart w:id="1193" w:name="_Hlt155711138"/>
        <w:r w:rsidR="00092025" w:rsidRPr="00404357">
          <w:rPr>
            <w:rStyle w:val="Hyperlink"/>
            <w:rFonts w:cstheme="minorHAnsi"/>
          </w:rPr>
          <w:t>w</w:t>
        </w:r>
        <w:bookmarkEnd w:id="1192"/>
        <w:bookmarkEnd w:id="1193"/>
        <w:r w:rsidR="00092025" w:rsidRPr="00404357">
          <w:rPr>
            <w:rStyle w:val="Hyperlink"/>
            <w:rFonts w:cstheme="minorHAnsi"/>
          </w:rPr>
          <w:t>.run.edu.au/about-us/statistics/</w:t>
        </w:r>
      </w:hyperlink>
      <w:r w:rsidR="007C2B04">
        <w:rPr>
          <w:rFonts w:cstheme="minorHAnsi"/>
        </w:rPr>
        <w:t>.</w:t>
      </w:r>
      <w:r w:rsidR="00092025">
        <w:rPr>
          <w:rFonts w:cstheme="minorHAnsi"/>
        </w:rPr>
        <w:t xml:space="preserve"> </w:t>
      </w:r>
    </w:p>
  </w:footnote>
  <w:footnote w:id="395">
    <w:p w14:paraId="5C746C9F" w14:textId="3AE565AE" w:rsidR="5FE6CD19" w:rsidRDefault="5FE6CD19" w:rsidP="007A6DEB">
      <w:pPr>
        <w:spacing w:after="0"/>
      </w:pPr>
      <w:r w:rsidRPr="001769A7">
        <w:rPr>
          <w:rFonts w:cstheme="minorHAnsi"/>
          <w:sz w:val="20"/>
          <w:szCs w:val="20"/>
          <w:vertAlign w:val="superscript"/>
        </w:rPr>
        <w:footnoteRef/>
      </w:r>
      <w:r w:rsidR="07AE34F8" w:rsidRPr="001769A7">
        <w:rPr>
          <w:rFonts w:cstheme="minorHAnsi"/>
          <w:sz w:val="20"/>
          <w:szCs w:val="20"/>
        </w:rPr>
        <w:t xml:space="preserve"> Australian Bureau of Statistics, </w:t>
      </w:r>
      <w:r w:rsidR="002178C8" w:rsidRPr="007A6DEB">
        <w:rPr>
          <w:rFonts w:cstheme="minorHAnsi"/>
          <w:i/>
          <w:sz w:val="20"/>
          <w:szCs w:val="20"/>
        </w:rPr>
        <w:t xml:space="preserve">2021 </w:t>
      </w:r>
      <w:r w:rsidR="07AE34F8" w:rsidRPr="007A6DEB">
        <w:rPr>
          <w:rFonts w:cstheme="minorHAnsi"/>
          <w:i/>
          <w:sz w:val="20"/>
          <w:szCs w:val="20"/>
        </w:rPr>
        <w:t>Tasmania, Census All Persons</w:t>
      </w:r>
      <w:r w:rsidR="00777DF8">
        <w:rPr>
          <w:rFonts w:cstheme="minorHAnsi"/>
          <w:i/>
          <w:iCs/>
          <w:sz w:val="20"/>
          <w:szCs w:val="20"/>
        </w:rPr>
        <w:t xml:space="preserve"> </w:t>
      </w:r>
      <w:r w:rsidR="00777DF8">
        <w:rPr>
          <w:rFonts w:cstheme="minorHAnsi"/>
          <w:sz w:val="18"/>
          <w:szCs w:val="18"/>
        </w:rPr>
        <w:t>[data set]</w:t>
      </w:r>
      <w:r w:rsidR="07AE34F8" w:rsidRPr="001769A7">
        <w:rPr>
          <w:rFonts w:cstheme="minorHAnsi"/>
          <w:sz w:val="20"/>
          <w:szCs w:val="20"/>
        </w:rPr>
        <w:t xml:space="preserve">, </w:t>
      </w:r>
      <w:r w:rsidR="00042EC2">
        <w:rPr>
          <w:rFonts w:cstheme="minorHAnsi"/>
          <w:sz w:val="20"/>
          <w:szCs w:val="20"/>
        </w:rPr>
        <w:t>(Canberra),</w:t>
      </w:r>
      <w:r w:rsidR="07AE34F8" w:rsidRPr="001769A7">
        <w:rPr>
          <w:rFonts w:cstheme="minorHAnsi"/>
          <w:sz w:val="20"/>
          <w:szCs w:val="20"/>
        </w:rPr>
        <w:t xml:space="preserve"> accessed </w:t>
      </w:r>
      <w:r w:rsidR="002178C8">
        <w:rPr>
          <w:rFonts w:cstheme="minorHAnsi"/>
          <w:sz w:val="20"/>
          <w:szCs w:val="20"/>
        </w:rPr>
        <w:t>14</w:t>
      </w:r>
      <w:r w:rsidR="002178C8" w:rsidRPr="001769A7">
        <w:rPr>
          <w:rFonts w:cstheme="minorHAnsi"/>
          <w:sz w:val="20"/>
          <w:szCs w:val="20"/>
        </w:rPr>
        <w:t xml:space="preserve"> </w:t>
      </w:r>
      <w:r w:rsidR="07AE34F8" w:rsidRPr="001769A7">
        <w:rPr>
          <w:rFonts w:cstheme="minorHAnsi"/>
          <w:sz w:val="20"/>
          <w:szCs w:val="20"/>
        </w:rPr>
        <w:t xml:space="preserve">December 2023, </w:t>
      </w:r>
      <w:hyperlink r:id="rId228" w:history="1">
        <w:r w:rsidR="00042EC2" w:rsidRPr="00E343F5">
          <w:rPr>
            <w:rStyle w:val="Hyperlink"/>
            <w:rFonts w:cstheme="minorHAnsi"/>
            <w:sz w:val="20"/>
            <w:szCs w:val="20"/>
          </w:rPr>
          <w:t>ww</w:t>
        </w:r>
        <w:bookmarkStart w:id="1203" w:name="_Hlt155711132"/>
        <w:bookmarkStart w:id="1204" w:name="_Hlt155711133"/>
        <w:r w:rsidR="00042EC2" w:rsidRPr="00E343F5">
          <w:rPr>
            <w:rStyle w:val="Hyperlink"/>
            <w:rFonts w:cstheme="minorHAnsi"/>
            <w:sz w:val="20"/>
            <w:szCs w:val="20"/>
          </w:rPr>
          <w:t>w</w:t>
        </w:r>
        <w:bookmarkEnd w:id="1203"/>
        <w:bookmarkEnd w:id="1204"/>
        <w:r w:rsidR="00042EC2" w:rsidRPr="00E343F5">
          <w:rPr>
            <w:rStyle w:val="Hyperlink"/>
            <w:rFonts w:cstheme="minorHAnsi"/>
            <w:sz w:val="20"/>
            <w:szCs w:val="20"/>
          </w:rPr>
          <w:t>.abs.gov.au/census/find-census-data/quickstats/2021/6</w:t>
        </w:r>
      </w:hyperlink>
      <w:r w:rsidR="00042EC2">
        <w:rPr>
          <w:rFonts w:cstheme="minorHAnsi"/>
          <w:sz w:val="20"/>
          <w:szCs w:val="20"/>
        </w:rPr>
        <w:t xml:space="preserve">. </w:t>
      </w:r>
    </w:p>
  </w:footnote>
  <w:footnote w:id="396">
    <w:p w14:paraId="74E02A25" w14:textId="0D7A8D7F" w:rsidR="003B36FF" w:rsidRPr="00601877" w:rsidRDefault="003B36FF" w:rsidP="003B36FF">
      <w:pPr>
        <w:pStyle w:val="FootnoteText"/>
        <w:rPr>
          <w:rFonts w:cstheme="minorHAnsi"/>
        </w:rPr>
      </w:pPr>
      <w:r w:rsidRPr="00601877">
        <w:rPr>
          <w:rStyle w:val="FootnoteReference"/>
          <w:rFonts w:cstheme="minorHAnsi"/>
        </w:rPr>
        <w:footnoteRef/>
      </w:r>
      <w:r w:rsidRPr="00601877">
        <w:rPr>
          <w:rFonts w:cstheme="minorHAnsi"/>
        </w:rPr>
        <w:t xml:space="preserve"> University of New England, </w:t>
      </w:r>
      <w:r w:rsidR="00380E2C">
        <w:rPr>
          <w:rFonts w:cstheme="minorHAnsi"/>
        </w:rPr>
        <w:t>“</w:t>
      </w:r>
      <w:r w:rsidRPr="00601877">
        <w:rPr>
          <w:rFonts w:cstheme="minorHAnsi"/>
        </w:rPr>
        <w:t>Smart Farms</w:t>
      </w:r>
      <w:r w:rsidR="00380E2C">
        <w:rPr>
          <w:rFonts w:cstheme="minorHAnsi"/>
        </w:rPr>
        <w:t>,</w:t>
      </w:r>
      <w:r w:rsidRPr="00601877">
        <w:rPr>
          <w:rFonts w:cstheme="minorHAnsi"/>
        </w:rPr>
        <w:t xml:space="preserve">” University of New England, </w:t>
      </w:r>
      <w:r w:rsidR="00380E2C">
        <w:rPr>
          <w:rFonts w:cstheme="minorHAnsi"/>
        </w:rPr>
        <w:t xml:space="preserve">accessed 12 December </w:t>
      </w:r>
      <w:r w:rsidRPr="00601877">
        <w:rPr>
          <w:rFonts w:cstheme="minorHAnsi"/>
        </w:rPr>
        <w:t xml:space="preserve">2023, </w:t>
      </w:r>
      <w:hyperlink r:id="rId229" w:history="1">
        <w:r w:rsidRPr="00601877">
          <w:rPr>
            <w:rStyle w:val="Hyperlink"/>
            <w:rFonts w:cstheme="minorHAnsi"/>
          </w:rPr>
          <w:t>www.une.edu.au/research/research-centres-i</w:t>
        </w:r>
        <w:bookmarkStart w:id="1205" w:name="_Hlt155711113"/>
        <w:bookmarkStart w:id="1206" w:name="_Hlt155711114"/>
        <w:r w:rsidRPr="00601877">
          <w:rPr>
            <w:rStyle w:val="Hyperlink"/>
            <w:rFonts w:cstheme="minorHAnsi"/>
          </w:rPr>
          <w:t>n</w:t>
        </w:r>
        <w:bookmarkEnd w:id="1205"/>
        <w:bookmarkEnd w:id="1206"/>
        <w:r w:rsidRPr="00601877">
          <w:rPr>
            <w:rStyle w:val="Hyperlink"/>
            <w:rFonts w:cstheme="minorHAnsi"/>
          </w:rPr>
          <w:t>stitutes/smart-farm</w:t>
        </w:r>
      </w:hyperlink>
      <w:r w:rsidRPr="00601877">
        <w:rPr>
          <w:rFonts w:cstheme="minorHAnsi"/>
        </w:rPr>
        <w:t>.</w:t>
      </w:r>
    </w:p>
  </w:footnote>
  <w:footnote w:id="397">
    <w:p w14:paraId="2A998457" w14:textId="3192E6FA" w:rsidR="00830715" w:rsidRPr="00601877" w:rsidRDefault="00830715" w:rsidP="00830715">
      <w:pPr>
        <w:pStyle w:val="FootnoteText"/>
        <w:rPr>
          <w:rFonts w:cstheme="minorHAnsi"/>
        </w:rPr>
      </w:pPr>
      <w:r w:rsidRPr="00601877">
        <w:rPr>
          <w:rStyle w:val="FootnoteReference"/>
          <w:rFonts w:cstheme="minorHAnsi"/>
        </w:rPr>
        <w:footnoteRef/>
      </w:r>
      <w:r w:rsidRPr="00601877">
        <w:rPr>
          <w:rFonts w:cstheme="minorHAnsi"/>
        </w:rPr>
        <w:t xml:space="preserve"> Nous Group, </w:t>
      </w:r>
      <w:r w:rsidRPr="00601877">
        <w:rPr>
          <w:rFonts w:cstheme="minorHAnsi"/>
          <w:i/>
        </w:rPr>
        <w:t xml:space="preserve">Economic Impact of the Regional Universities Network, </w:t>
      </w:r>
      <w:r w:rsidRPr="00601877">
        <w:rPr>
          <w:rFonts w:cstheme="minorHAnsi"/>
        </w:rPr>
        <w:t>(</w:t>
      </w:r>
      <w:r w:rsidR="00FE3898">
        <w:rPr>
          <w:rFonts w:cstheme="minorHAnsi"/>
        </w:rPr>
        <w:t xml:space="preserve">September </w:t>
      </w:r>
      <w:r w:rsidRPr="00601877">
        <w:rPr>
          <w:rFonts w:cstheme="minorHAnsi"/>
        </w:rPr>
        <w:t xml:space="preserve">2020), </w:t>
      </w:r>
      <w:hyperlink r:id="rId230" w:history="1">
        <w:r w:rsidR="00C511AC" w:rsidRPr="00DC0007">
          <w:rPr>
            <w:rStyle w:val="Hyperlink"/>
          </w:rPr>
          <w:t>nousgroup.com/wp-content/uploads/2020/09/RUN-Summary-Report-final-compressed.pdf</w:t>
        </w:r>
      </w:hyperlink>
      <w:r w:rsidR="00380E2C">
        <w:t>.</w:t>
      </w:r>
    </w:p>
  </w:footnote>
  <w:footnote w:id="398">
    <w:p w14:paraId="1FF52522" w14:textId="6BB3D43E" w:rsidR="00830715" w:rsidRPr="00601877" w:rsidRDefault="00830715" w:rsidP="00830715">
      <w:pPr>
        <w:pStyle w:val="FootnoteText"/>
        <w:rPr>
          <w:rFonts w:cstheme="minorHAnsi"/>
        </w:rPr>
      </w:pPr>
      <w:r w:rsidRPr="00601877">
        <w:rPr>
          <w:rStyle w:val="FootnoteReference"/>
          <w:rFonts w:cstheme="minorHAnsi"/>
        </w:rPr>
        <w:footnoteRef/>
      </w:r>
      <w:r w:rsidRPr="00601877">
        <w:rPr>
          <w:rFonts w:cstheme="minorHAnsi"/>
        </w:rPr>
        <w:t xml:space="preserve"> Regional Universities Network, </w:t>
      </w:r>
      <w:r w:rsidRPr="00601877">
        <w:rPr>
          <w:rFonts w:cstheme="minorHAnsi"/>
          <w:i/>
        </w:rPr>
        <w:t xml:space="preserve">Submission to </w:t>
      </w:r>
      <w:r w:rsidR="0025349C">
        <w:rPr>
          <w:rFonts w:cstheme="minorHAnsi"/>
          <w:i/>
        </w:rPr>
        <w:t>t</w:t>
      </w:r>
      <w:r w:rsidRPr="00601877">
        <w:rPr>
          <w:rFonts w:cstheme="minorHAnsi"/>
          <w:i/>
        </w:rPr>
        <w:t>he Australian Universities Accord Discussion Paper</w:t>
      </w:r>
      <w:r w:rsidRPr="00601877">
        <w:rPr>
          <w:rFonts w:cstheme="minorHAnsi"/>
        </w:rPr>
        <w:t>, 2023, 20</w:t>
      </w:r>
      <w:r w:rsidR="0025349C">
        <w:rPr>
          <w:rFonts w:cstheme="minorHAnsi"/>
        </w:rPr>
        <w:t xml:space="preserve">, </w:t>
      </w:r>
      <w:hyperlink r:id="rId231" w:history="1">
        <w:r w:rsidR="004C39AB" w:rsidRPr="0069099E">
          <w:rPr>
            <w:rStyle w:val="Hyperlink"/>
            <w:rFonts w:cstheme="minorHAnsi"/>
          </w:rPr>
          <w:t>www.education.gov.au/system/files/documents/submission-file/2023-04/AUA_tranche1‌_‌Regional%20‌Universities‌%20Network.pdf</w:t>
        </w:r>
      </w:hyperlink>
      <w:r w:rsidR="0025349C">
        <w:rPr>
          <w:rFonts w:cstheme="minorHAnsi"/>
        </w:rPr>
        <w:t>.</w:t>
      </w:r>
    </w:p>
  </w:footnote>
  <w:footnote w:id="399">
    <w:p w14:paraId="7CA01402" w14:textId="6CE23D0A" w:rsidR="00A72F4D" w:rsidRDefault="00A72F4D">
      <w:pPr>
        <w:pStyle w:val="FootnoteText"/>
      </w:pPr>
      <w:r>
        <w:rPr>
          <w:rStyle w:val="FootnoteReference"/>
        </w:rPr>
        <w:footnoteRef/>
      </w:r>
      <w:r>
        <w:t xml:space="preserve"> Charles Sturt University, </w:t>
      </w:r>
      <w:r w:rsidR="0089245A" w:rsidRPr="008C4411">
        <w:rPr>
          <w:i/>
          <w:iCs/>
        </w:rPr>
        <w:t>Teacher's aide: Become the teacher you've always wanted to be</w:t>
      </w:r>
      <w:r w:rsidR="0089245A">
        <w:t xml:space="preserve">, </w:t>
      </w:r>
      <w:hyperlink r:id="rId232" w:history="1">
        <w:r w:rsidR="0089245A" w:rsidRPr="0089245A">
          <w:rPr>
            <w:rStyle w:val="Hyperlink"/>
          </w:rPr>
          <w:t>study.csu.edu.au/career-area/education-teaching/teachers-aide</w:t>
        </w:r>
      </w:hyperlink>
      <w:r w:rsidR="0089245A">
        <w:t>, accessed 15 December 2023.</w:t>
      </w:r>
    </w:p>
  </w:footnote>
  <w:footnote w:id="400">
    <w:p w14:paraId="2C24A347" w14:textId="3E4CA5D7" w:rsidR="00802015" w:rsidRDefault="00802015">
      <w:pPr>
        <w:pStyle w:val="FootnoteText"/>
      </w:pPr>
      <w:r>
        <w:rPr>
          <w:rStyle w:val="FootnoteReference"/>
        </w:rPr>
        <w:footnoteRef/>
      </w:r>
      <w:r>
        <w:t xml:space="preserve"> Batchelor Institute of Indigenous Tertiary Education, </w:t>
      </w:r>
      <w:r w:rsidRPr="008C4411">
        <w:rPr>
          <w:i/>
          <w:iCs/>
        </w:rPr>
        <w:t>Advanced Diploma of Education Success</w:t>
      </w:r>
      <w:r>
        <w:t xml:space="preserve">, </w:t>
      </w:r>
      <w:hyperlink r:id="rId233" w:history="1">
        <w:r w:rsidRPr="00802015">
          <w:rPr>
            <w:rStyle w:val="Hyperlink"/>
          </w:rPr>
          <w:t>www.batchelor.edu.au/portfolio/advanced-diploma-of-education-success/</w:t>
        </w:r>
      </w:hyperlink>
      <w:r>
        <w:t>, accessed 15 December 2023.</w:t>
      </w:r>
    </w:p>
  </w:footnote>
  <w:footnote w:id="401">
    <w:p w14:paraId="54893F85" w14:textId="1D82F0AA" w:rsidR="009D4F37" w:rsidRDefault="009D4F37" w:rsidP="009D4F37">
      <w:pPr>
        <w:pStyle w:val="FootnoteText"/>
      </w:pPr>
      <w:r w:rsidRPr="62043F20">
        <w:rPr>
          <w:rStyle w:val="FootnoteReference"/>
        </w:rPr>
        <w:footnoteRef/>
      </w:r>
      <w:r>
        <w:t xml:space="preserve"> </w:t>
      </w:r>
      <w:r w:rsidR="0025349C">
        <w:t xml:space="preserve">Ruth </w:t>
      </w:r>
      <w:r>
        <w:t xml:space="preserve">Stewart, </w:t>
      </w:r>
      <w:r w:rsidR="0025349C">
        <w:t>“</w:t>
      </w:r>
      <w:r>
        <w:t>Building a rural and remote health workforce with place-based education</w:t>
      </w:r>
      <w:r w:rsidR="0025349C">
        <w:t xml:space="preserve">,” </w:t>
      </w:r>
      <w:r w:rsidRPr="006D6939">
        <w:rPr>
          <w:i/>
        </w:rPr>
        <w:t xml:space="preserve">The Medical Journal of Australia </w:t>
      </w:r>
      <w:r>
        <w:t>219</w:t>
      </w:r>
      <w:r w:rsidR="0025349C">
        <w:t>,</w:t>
      </w:r>
      <w:r>
        <w:t xml:space="preserve"> 3 </w:t>
      </w:r>
      <w:r w:rsidR="0025349C">
        <w:t>(</w:t>
      </w:r>
      <w:r w:rsidR="00FB2DD9">
        <w:t xml:space="preserve">7 August </w:t>
      </w:r>
      <w:r w:rsidR="0025349C">
        <w:t>2023), 5</w:t>
      </w:r>
      <w:r w:rsidR="00FB2DD9">
        <w:t xml:space="preserve">, </w:t>
      </w:r>
      <w:r w:rsidR="00C9348F" w:rsidRPr="00C9348F">
        <w:t xml:space="preserve"> </w:t>
      </w:r>
      <w:hyperlink r:id="rId234" w:history="1">
        <w:r w:rsidR="00C9348F" w:rsidRPr="00C9348F">
          <w:rPr>
            <w:rStyle w:val="Hyperlink"/>
          </w:rPr>
          <w:t>doi.org/10.5694/mja2.52033</w:t>
        </w:r>
      </w:hyperlink>
      <w:r w:rsidR="00FB2DD9">
        <w:t>.</w:t>
      </w:r>
    </w:p>
  </w:footnote>
  <w:footnote w:id="402">
    <w:p w14:paraId="15E12600" w14:textId="43576F24" w:rsidR="009D4F37" w:rsidRDefault="009D4F37" w:rsidP="009D4F37">
      <w:pPr>
        <w:pStyle w:val="FootnoteText"/>
      </w:pPr>
      <w:r w:rsidRPr="62043F20">
        <w:rPr>
          <w:rStyle w:val="FootnoteReference"/>
        </w:rPr>
        <w:footnoteRef/>
      </w:r>
      <w:r>
        <w:t xml:space="preserve"> World Health Organization</w:t>
      </w:r>
      <w:r w:rsidR="00FB2DD9">
        <w:t xml:space="preserve"> (WHO), </w:t>
      </w:r>
      <w:r w:rsidRPr="006D6939">
        <w:rPr>
          <w:i/>
        </w:rPr>
        <w:t>WHO guideline on health workforce</w:t>
      </w:r>
      <w:r w:rsidR="00BF14F9" w:rsidRPr="006D6939">
        <w:rPr>
          <w:i/>
        </w:rPr>
        <w:t xml:space="preserve"> </w:t>
      </w:r>
      <w:r w:rsidRPr="006D6939">
        <w:rPr>
          <w:i/>
        </w:rPr>
        <w:t>development, attraction, recruitment and retention in rural and remote</w:t>
      </w:r>
      <w:r w:rsidR="00BF14F9" w:rsidRPr="006D6939">
        <w:rPr>
          <w:i/>
        </w:rPr>
        <w:t xml:space="preserve"> </w:t>
      </w:r>
      <w:r w:rsidRPr="006D6939">
        <w:rPr>
          <w:i/>
        </w:rPr>
        <w:t>areas</w:t>
      </w:r>
      <w:r w:rsidR="0013169E">
        <w:rPr>
          <w:i/>
          <w:iCs/>
        </w:rPr>
        <w:t>,</w:t>
      </w:r>
      <w:r>
        <w:t xml:space="preserve"> </w:t>
      </w:r>
      <w:r w:rsidR="00FB2DD9">
        <w:t>(</w:t>
      </w:r>
      <w:r>
        <w:t>Geneva: WHO, 2021</w:t>
      </w:r>
      <w:r w:rsidR="00FB2DD9">
        <w:t>),</w:t>
      </w:r>
      <w:r>
        <w:t xml:space="preserve"> </w:t>
      </w:r>
      <w:hyperlink r:id="rId235" w:history="1">
        <w:r w:rsidR="004C39AB" w:rsidRPr="0069099E">
          <w:rPr>
            <w:rStyle w:val="Hyperlink"/>
          </w:rPr>
          <w:t>www.who.int/publications/i/item/9789240024229</w:t>
        </w:r>
      </w:hyperlink>
      <w:r w:rsidR="00FB2DD9">
        <w:t xml:space="preserve">. </w:t>
      </w:r>
    </w:p>
  </w:footnote>
  <w:footnote w:id="403">
    <w:p w14:paraId="1067BFC3" w14:textId="0C4F9990" w:rsidR="00830715" w:rsidRPr="00601877" w:rsidRDefault="00830715" w:rsidP="00830715">
      <w:pPr>
        <w:pStyle w:val="FootnoteText"/>
        <w:rPr>
          <w:rFonts w:cstheme="minorHAnsi"/>
        </w:rPr>
      </w:pPr>
      <w:r w:rsidRPr="00601877">
        <w:rPr>
          <w:rStyle w:val="FootnoteReference"/>
          <w:rFonts w:cstheme="minorHAnsi"/>
        </w:rPr>
        <w:footnoteRef/>
      </w:r>
      <w:r w:rsidRPr="00601877">
        <w:rPr>
          <w:rFonts w:cstheme="minorHAnsi"/>
        </w:rPr>
        <w:t xml:space="preserve"> Royal Australian College of General Practitioners, </w:t>
      </w:r>
      <w:r w:rsidRPr="00601877">
        <w:rPr>
          <w:rFonts w:cstheme="minorHAnsi"/>
          <w:i/>
        </w:rPr>
        <w:t xml:space="preserve">General Practice: Health of the Nation 2022, </w:t>
      </w:r>
      <w:r w:rsidRPr="00601877">
        <w:rPr>
          <w:rFonts w:cstheme="minorHAnsi"/>
        </w:rPr>
        <w:t>(</w:t>
      </w:r>
      <w:r w:rsidR="00FF11BD">
        <w:rPr>
          <w:rFonts w:cstheme="minorHAnsi"/>
        </w:rPr>
        <w:t xml:space="preserve">Melbourne: </w:t>
      </w:r>
      <w:r w:rsidRPr="00601877">
        <w:rPr>
          <w:rFonts w:cstheme="minorHAnsi"/>
        </w:rPr>
        <w:t>2022),</w:t>
      </w:r>
      <w:r w:rsidR="00AD5566">
        <w:rPr>
          <w:rFonts w:cstheme="minorHAnsi"/>
        </w:rPr>
        <w:t xml:space="preserve"> </w:t>
      </w:r>
      <w:hyperlink r:id="rId236" w:history="1">
        <w:r w:rsidR="004C39AB" w:rsidRPr="0069099E">
          <w:rPr>
            <w:rStyle w:val="Hyperlink"/>
            <w:rFonts w:cstheme="minorHAnsi"/>
          </w:rPr>
          <w:t>www.racgp.org.au/getmedia/80c8bdc9-8886-4055-8a8d-ea793b088e5a/Health-of-the-Nation.pdf.aspx</w:t>
        </w:r>
      </w:hyperlink>
      <w:r w:rsidR="00AD5566">
        <w:rPr>
          <w:rFonts w:cstheme="minorHAnsi"/>
        </w:rPr>
        <w:t>.</w:t>
      </w:r>
    </w:p>
  </w:footnote>
  <w:footnote w:id="404">
    <w:p w14:paraId="033E940F" w14:textId="05B8F539" w:rsidR="00BF14F9" w:rsidRDefault="00BF14F9" w:rsidP="00BF14F9">
      <w:pPr>
        <w:pStyle w:val="FootnoteText"/>
      </w:pPr>
      <w:r w:rsidRPr="62043F20">
        <w:rPr>
          <w:rStyle w:val="FootnoteReference"/>
        </w:rPr>
        <w:footnoteRef/>
      </w:r>
      <w:r>
        <w:t xml:space="preserve"> </w:t>
      </w:r>
      <w:r w:rsidR="0013169E" w:rsidRPr="0013169E">
        <w:t xml:space="preserve">Stewart, “Building a rural and remote health workforce with place-based education,” </w:t>
      </w:r>
      <w:r w:rsidR="0013169E">
        <w:t>10</w:t>
      </w:r>
      <w:r w:rsidR="0013169E" w:rsidRPr="0013169E">
        <w:t>.</w:t>
      </w:r>
      <w:r>
        <w:t xml:space="preserve"> </w:t>
      </w:r>
    </w:p>
  </w:footnote>
  <w:footnote w:id="405">
    <w:p w14:paraId="4F8F1084" w14:textId="64C2E8DA" w:rsidR="00BF14F9" w:rsidRDefault="00BF14F9" w:rsidP="005B2896">
      <w:pPr>
        <w:pStyle w:val="FootnoteText"/>
      </w:pPr>
      <w:r w:rsidRPr="62043F20">
        <w:rPr>
          <w:rStyle w:val="FootnoteReference"/>
        </w:rPr>
        <w:footnoteRef/>
      </w:r>
      <w:r>
        <w:t xml:space="preserve"> </w:t>
      </w:r>
      <w:r w:rsidR="00A8103C" w:rsidRPr="00A8103C">
        <w:t>Judi Walker</w:t>
      </w:r>
      <w:r w:rsidR="00CA4517">
        <w:t>,</w:t>
      </w:r>
      <w:r w:rsidR="00A8103C" w:rsidRPr="00A8103C">
        <w:t xml:space="preserve"> Dawn Dewitt</w:t>
      </w:r>
      <w:r w:rsidR="00CA4517">
        <w:t>,</w:t>
      </w:r>
      <w:r w:rsidR="00A8103C" w:rsidRPr="00A8103C">
        <w:t xml:space="preserve"> Julie Pallant and Chris Cunningham</w:t>
      </w:r>
      <w:r w:rsidR="00AD5566">
        <w:t>,</w:t>
      </w:r>
      <w:r>
        <w:t xml:space="preserve"> </w:t>
      </w:r>
      <w:r w:rsidR="005B2896">
        <w:t>“</w:t>
      </w:r>
      <w:r>
        <w:t>Rural origin plus a rural clinical school placement is a significant predictor of medical students’</w:t>
      </w:r>
      <w:r w:rsidR="00BD05BD">
        <w:t xml:space="preserve"> </w:t>
      </w:r>
      <w:r>
        <w:t>intentions to practice rurally: a multi- university study</w:t>
      </w:r>
      <w:r w:rsidR="005B2896">
        <w:t>,”</w:t>
      </w:r>
      <w:r w:rsidRPr="006D6939">
        <w:rPr>
          <w:i/>
        </w:rPr>
        <w:t xml:space="preserve"> Rural Remote Health</w:t>
      </w:r>
      <w:r>
        <w:t xml:space="preserve"> </w:t>
      </w:r>
      <w:r w:rsidR="00BE5A8F">
        <w:t>12, 1 (</w:t>
      </w:r>
      <w:r>
        <w:t>2012</w:t>
      </w:r>
      <w:r w:rsidR="00BE5A8F">
        <w:t>)</w:t>
      </w:r>
      <w:r>
        <w:t>: 1908</w:t>
      </w:r>
      <w:r w:rsidR="00BE5A8F">
        <w:t xml:space="preserve">, </w:t>
      </w:r>
      <w:hyperlink r:id="rId237" w:history="1">
        <w:r w:rsidR="00DB47CD" w:rsidRPr="0069099E">
          <w:rPr>
            <w:rStyle w:val="Hyperlink"/>
          </w:rPr>
          <w:t>doi.org/10.22605/RRH1908</w:t>
        </w:r>
      </w:hyperlink>
      <w:r w:rsidR="00094603">
        <w:t xml:space="preserve">; </w:t>
      </w:r>
      <w:r w:rsidR="005B2896" w:rsidRPr="006A7F8E">
        <w:rPr>
          <w:rFonts w:cstheme="minorHAnsi"/>
        </w:rPr>
        <w:t>Sea</w:t>
      </w:r>
      <w:r w:rsidR="00BE5A8F">
        <w:rPr>
          <w:rFonts w:cstheme="minorHAnsi"/>
        </w:rPr>
        <w:t>l</w:t>
      </w:r>
      <w:r w:rsidR="005B2896">
        <w:rPr>
          <w:rFonts w:cstheme="minorHAnsi"/>
        </w:rPr>
        <w:t xml:space="preserve"> et al, </w:t>
      </w:r>
      <w:r w:rsidR="005B2896" w:rsidRPr="00601877">
        <w:rPr>
          <w:rFonts w:cstheme="minorHAnsi"/>
        </w:rPr>
        <w:t>“Influence of rural clinical school experience and rural origin</w:t>
      </w:r>
      <w:r w:rsidR="005B2896">
        <w:rPr>
          <w:rFonts w:cstheme="minorHAnsi"/>
        </w:rPr>
        <w:t>,</w:t>
      </w:r>
      <w:r w:rsidR="005B2896" w:rsidRPr="00601877">
        <w:rPr>
          <w:rFonts w:cstheme="minorHAnsi"/>
        </w:rPr>
        <w:t xml:space="preserve">” </w:t>
      </w:r>
      <w:r w:rsidR="00BE5A8F">
        <w:rPr>
          <w:rFonts w:cstheme="minorHAnsi"/>
        </w:rPr>
        <w:t>572</w:t>
      </w:r>
      <w:r w:rsidR="00AD5566">
        <w:rPr>
          <w:rFonts w:ascii="Symbol" w:eastAsia="Symbol" w:hAnsi="Symbol" w:cstheme="minorHAnsi"/>
        </w:rPr>
        <w:t>-</w:t>
      </w:r>
      <w:r w:rsidR="00BE5A8F">
        <w:rPr>
          <w:rFonts w:cstheme="minorHAnsi"/>
        </w:rPr>
        <w:t>577</w:t>
      </w:r>
      <w:r w:rsidR="003A482F">
        <w:rPr>
          <w:rFonts w:cstheme="minorHAnsi"/>
        </w:rPr>
        <w:t>.</w:t>
      </w:r>
    </w:p>
  </w:footnote>
  <w:footnote w:id="406">
    <w:p w14:paraId="048B32F6" w14:textId="259D2F2C" w:rsidR="00BF14F9" w:rsidRDefault="00BF14F9" w:rsidP="00094603">
      <w:pPr>
        <w:pStyle w:val="FootnoteText"/>
      </w:pPr>
      <w:r w:rsidRPr="1916BEEC">
        <w:rPr>
          <w:rStyle w:val="FootnoteReference"/>
        </w:rPr>
        <w:footnoteRef/>
      </w:r>
      <w:r>
        <w:t xml:space="preserve"> </w:t>
      </w:r>
      <w:r w:rsidR="00AD5566" w:rsidRPr="006A7F8E">
        <w:rPr>
          <w:rFonts w:cstheme="minorHAnsi"/>
        </w:rPr>
        <w:t>Sea</w:t>
      </w:r>
      <w:r w:rsidR="00AD5566">
        <w:rPr>
          <w:rFonts w:cstheme="minorHAnsi"/>
        </w:rPr>
        <w:t xml:space="preserve">l et al, </w:t>
      </w:r>
      <w:r w:rsidR="00AD5566" w:rsidRPr="00601877">
        <w:rPr>
          <w:rFonts w:cstheme="minorHAnsi"/>
        </w:rPr>
        <w:t>“Influence of rural clinical school experience and rural origin</w:t>
      </w:r>
      <w:r w:rsidR="00AD5566">
        <w:rPr>
          <w:rFonts w:cstheme="minorHAnsi"/>
        </w:rPr>
        <w:t>,</w:t>
      </w:r>
      <w:r w:rsidR="00AD5566" w:rsidRPr="00601877">
        <w:rPr>
          <w:rFonts w:cstheme="minorHAnsi"/>
        </w:rPr>
        <w:t xml:space="preserve">” </w:t>
      </w:r>
      <w:r w:rsidR="00AD5566">
        <w:rPr>
          <w:rFonts w:cstheme="minorHAnsi"/>
        </w:rPr>
        <w:t>572</w:t>
      </w:r>
      <w:r w:rsidR="00AD5566">
        <w:rPr>
          <w:rFonts w:ascii="Symbol" w:eastAsia="Symbol" w:hAnsi="Symbol" w:cstheme="minorHAnsi"/>
        </w:rPr>
        <w:t>-</w:t>
      </w:r>
      <w:r w:rsidR="00AD5566">
        <w:rPr>
          <w:rFonts w:cstheme="minorHAnsi"/>
        </w:rPr>
        <w:t>577.</w:t>
      </w:r>
    </w:p>
  </w:footnote>
  <w:footnote w:id="407">
    <w:p w14:paraId="6AD9864A" w14:textId="246BCE3C" w:rsidR="00320932" w:rsidRDefault="00320932" w:rsidP="00320932">
      <w:pPr>
        <w:pStyle w:val="FootnoteText"/>
        <w:rPr>
          <w:rStyle w:val="Hyperlink"/>
          <w:rFonts w:ascii="Calibri" w:eastAsia="Calibri" w:hAnsi="Calibri" w:cs="Calibri"/>
        </w:rPr>
      </w:pPr>
      <w:r w:rsidRPr="773D70A9">
        <w:rPr>
          <w:rStyle w:val="FootnoteReference"/>
        </w:rPr>
        <w:footnoteRef/>
      </w:r>
      <w:r>
        <w:t xml:space="preserve"> </w:t>
      </w:r>
      <w:r w:rsidRPr="00320932">
        <w:t xml:space="preserve"> </w:t>
      </w:r>
      <w:r w:rsidRPr="006D6939">
        <w:t>JCU</w:t>
      </w:r>
      <w:r w:rsidRPr="006D6939">
        <w:rPr>
          <w:i/>
          <w:iCs/>
        </w:rPr>
        <w:t xml:space="preserve">, </w:t>
      </w:r>
      <w:r w:rsidRPr="006D6939">
        <w:t>citing Medical Deans Australian and New Zealand</w:t>
      </w:r>
      <w:r w:rsidR="003A62C7">
        <w:rPr>
          <w:i/>
          <w:iCs/>
        </w:rPr>
        <w:t>,</w:t>
      </w:r>
      <w:r w:rsidRPr="006D6939">
        <w:rPr>
          <w:i/>
          <w:iCs/>
        </w:rPr>
        <w:t xml:space="preserve"> Data Dashboard: Doctors Registered in Australia in 2020</w:t>
      </w:r>
      <w:r w:rsidR="00BA309F">
        <w:rPr>
          <w:rFonts w:ascii="Symbol" w:eastAsia="Symbol" w:hAnsi="Symbol" w:cs="Symbol"/>
        </w:rPr>
        <w:t>-</w:t>
      </w:r>
      <w:r w:rsidRPr="006D6939">
        <w:rPr>
          <w:i/>
          <w:iCs/>
        </w:rPr>
        <w:t>2022</w:t>
      </w:r>
      <w:r w:rsidR="000A6168" w:rsidRPr="00944542">
        <w:rPr>
          <w:rStyle w:val="Hyperlink"/>
          <w:rFonts w:ascii="Calibri" w:eastAsia="Calibri" w:hAnsi="Calibri" w:cs="Calibri"/>
          <w:color w:val="auto"/>
          <w:u w:val="none"/>
        </w:rPr>
        <w:t xml:space="preserve"> [</w:t>
      </w:r>
      <w:r w:rsidR="003A62C7" w:rsidRPr="00944542">
        <w:rPr>
          <w:rStyle w:val="Hyperlink"/>
          <w:rFonts w:ascii="Calibri" w:eastAsia="Calibri" w:hAnsi="Calibri" w:cs="Calibri"/>
          <w:color w:val="auto"/>
          <w:u w:val="none"/>
        </w:rPr>
        <w:t>data set], (2023)</w:t>
      </w:r>
      <w:r w:rsidR="00AF2325">
        <w:t xml:space="preserve">, accessed 13 December 2023, </w:t>
      </w:r>
      <w:hyperlink r:id="rId238" w:history="1">
        <w:r w:rsidR="00DB47CD" w:rsidRPr="0069099E">
          <w:rPr>
            <w:rStyle w:val="Hyperlink"/>
          </w:rPr>
          <w:t>medicaldeans.org.au/</w:t>
        </w:r>
      </w:hyperlink>
      <w:r w:rsidR="00AF2325">
        <w:t>.</w:t>
      </w:r>
    </w:p>
  </w:footnote>
  <w:footnote w:id="408">
    <w:p w14:paraId="2D24247A" w14:textId="487CD86F" w:rsidR="00830715" w:rsidRPr="00601877" w:rsidRDefault="00830715" w:rsidP="00830715">
      <w:pPr>
        <w:pStyle w:val="FootnoteText"/>
        <w:rPr>
          <w:rFonts w:cstheme="minorHAnsi"/>
        </w:rPr>
      </w:pPr>
      <w:r w:rsidRPr="00601877">
        <w:rPr>
          <w:rStyle w:val="FootnoteReference"/>
          <w:rFonts w:cstheme="minorHAnsi"/>
        </w:rPr>
        <w:footnoteRef/>
      </w:r>
      <w:r w:rsidRPr="00601877">
        <w:rPr>
          <w:rFonts w:cstheme="minorHAnsi"/>
        </w:rPr>
        <w:t xml:space="preserve"> </w:t>
      </w:r>
      <w:r w:rsidR="007106BC">
        <w:rPr>
          <w:rStyle w:val="normaltextrun"/>
          <w:rFonts w:ascii="Calibri" w:hAnsi="Calibri" w:cs="Calibri"/>
          <w:color w:val="000000"/>
          <w:shd w:val="clear" w:color="auto" w:fill="FFFFFF"/>
        </w:rPr>
        <w:t>Department of the</w:t>
      </w:r>
      <w:r>
        <w:rPr>
          <w:rStyle w:val="normaltextrun"/>
          <w:rFonts w:ascii="Calibri" w:hAnsi="Calibri" w:cs="Calibri"/>
          <w:color w:val="000000"/>
          <w:shd w:val="clear" w:color="auto" w:fill="FFFFFF"/>
        </w:rPr>
        <w:t xml:space="preserve"> Treasury,</w:t>
      </w:r>
      <w:r>
        <w:rPr>
          <w:rStyle w:val="normaltextrun"/>
          <w:rFonts w:ascii="Calibri" w:hAnsi="Calibri" w:cs="Calibri"/>
          <w:i/>
          <w:color w:val="000000"/>
          <w:shd w:val="clear" w:color="auto" w:fill="FFFFFF"/>
        </w:rPr>
        <w:t xml:space="preserve"> </w:t>
      </w:r>
      <w:r w:rsidR="007106BC">
        <w:rPr>
          <w:rStyle w:val="findhit"/>
          <w:rFonts w:ascii="Calibri" w:hAnsi="Calibri" w:cs="Calibri"/>
          <w:i/>
          <w:iCs/>
          <w:color w:val="000000"/>
          <w:shd w:val="clear" w:color="auto" w:fill="FFFFFF"/>
        </w:rPr>
        <w:t>White Paper</w:t>
      </w:r>
      <w:r w:rsidR="007106BC">
        <w:rPr>
          <w:rStyle w:val="normaltextrun"/>
          <w:rFonts w:ascii="Calibri" w:hAnsi="Calibri" w:cs="Calibri"/>
          <w:i/>
          <w:iCs/>
          <w:color w:val="000000"/>
          <w:shd w:val="clear" w:color="auto" w:fill="FFFFFF"/>
        </w:rPr>
        <w:t xml:space="preserve"> on </w:t>
      </w:r>
      <w:proofErr w:type="gramStart"/>
      <w:r w:rsidR="007106BC">
        <w:rPr>
          <w:rStyle w:val="normaltextrun"/>
          <w:rFonts w:ascii="Calibri" w:hAnsi="Calibri" w:cs="Calibri"/>
          <w:i/>
          <w:iCs/>
          <w:color w:val="000000"/>
          <w:shd w:val="clear" w:color="auto" w:fill="FFFFFF"/>
        </w:rPr>
        <w:t>Jobs</w:t>
      </w:r>
      <w:proofErr w:type="gramEnd"/>
      <w:r w:rsidR="007106BC">
        <w:rPr>
          <w:rStyle w:val="normaltextrun"/>
          <w:rFonts w:ascii="Calibri" w:hAnsi="Calibri" w:cs="Calibri"/>
          <w:i/>
          <w:iCs/>
          <w:color w:val="000000"/>
          <w:shd w:val="clear" w:color="auto" w:fill="FFFFFF"/>
        </w:rPr>
        <w:t xml:space="preserve"> and Opportunities</w:t>
      </w:r>
      <w:r w:rsidR="007106BC">
        <w:rPr>
          <w:rStyle w:val="normaltextrun"/>
          <w:rFonts w:ascii="Calibri" w:hAnsi="Calibri" w:cs="Calibri"/>
          <w:color w:val="000000"/>
          <w:shd w:val="clear" w:color="auto" w:fill="FFFFFF"/>
        </w:rPr>
        <w:t>, 108</w:t>
      </w:r>
      <w:r w:rsidRPr="00601877">
        <w:rPr>
          <w:rFonts w:cstheme="minorHAnsi"/>
        </w:rPr>
        <w:t>.</w:t>
      </w:r>
    </w:p>
  </w:footnote>
  <w:footnote w:id="409">
    <w:p w14:paraId="5E98358F" w14:textId="6A3D1D9E" w:rsidR="00830715" w:rsidRPr="009F556C" w:rsidRDefault="00830715" w:rsidP="00830715">
      <w:pPr>
        <w:pStyle w:val="FootnoteText"/>
      </w:pPr>
      <w:r w:rsidRPr="00601877">
        <w:rPr>
          <w:rStyle w:val="FootnoteReference"/>
          <w:rFonts w:cstheme="minorHAnsi"/>
        </w:rPr>
        <w:footnoteRef/>
      </w:r>
      <w:r w:rsidR="007106BC">
        <w:t xml:space="preserve"> </w:t>
      </w:r>
      <w:r w:rsidR="007106BC" w:rsidRPr="007106BC">
        <w:t xml:space="preserve">Department of Education, </w:t>
      </w:r>
      <w:r w:rsidR="007106BC" w:rsidRPr="007106BC">
        <w:rPr>
          <w:i/>
          <w:iCs/>
        </w:rPr>
        <w:t>Consolidated Time Series Datasets</w:t>
      </w:r>
      <w:r w:rsidR="007106BC">
        <w:rPr>
          <w:i/>
          <w:iCs/>
        </w:rPr>
        <w:t xml:space="preserve"> </w:t>
      </w:r>
      <w:r w:rsidR="007106BC" w:rsidRPr="007106BC">
        <w:rPr>
          <w:i/>
          <w:iCs/>
        </w:rPr>
        <w:t>– Research Income Time Series</w:t>
      </w:r>
      <w:r w:rsidR="007106BC">
        <w:t xml:space="preserve"> [data set]</w:t>
      </w:r>
      <w:r w:rsidR="004B172A">
        <w:rPr>
          <w:rFonts w:cstheme="minorHAnsi"/>
        </w:rPr>
        <w:t xml:space="preserve">; </w:t>
      </w:r>
      <w:r w:rsidR="004B172A" w:rsidRPr="00601877">
        <w:rPr>
          <w:rFonts w:cstheme="minorHAnsi"/>
        </w:rPr>
        <w:t xml:space="preserve">Regional Universities include: </w:t>
      </w:r>
      <w:hyperlink w:history="1">
        <w:r w:rsidR="004B172A" w:rsidRPr="00601877">
          <w:rPr>
            <w:rFonts w:cstheme="minorHAnsi"/>
          </w:rPr>
          <w:t xml:space="preserve">Charles Darwin University, Charles Sturt University, </w:t>
        </w:r>
      </w:hyperlink>
      <w:hyperlink w:history="1">
        <w:r w:rsidR="004B172A" w:rsidRPr="00601877">
          <w:rPr>
            <w:rFonts w:cstheme="minorHAnsi"/>
          </w:rPr>
          <w:t>Central Queensland University</w:t>
        </w:r>
      </w:hyperlink>
      <w:r w:rsidR="004B172A" w:rsidRPr="009F556C">
        <w:t xml:space="preserve">, Federation University Australia, James Cook University, Southern Cross University, University of New England, </w:t>
      </w:r>
      <w:hyperlink w:history="1">
        <w:r w:rsidR="004B172A" w:rsidRPr="00601877">
          <w:rPr>
            <w:rFonts w:cstheme="minorHAnsi"/>
          </w:rPr>
          <w:t>University of Southern Queensland</w:t>
        </w:r>
      </w:hyperlink>
      <w:r w:rsidR="004B172A" w:rsidRPr="00601877">
        <w:rPr>
          <w:rFonts w:cstheme="minorHAnsi"/>
        </w:rPr>
        <w:t xml:space="preserve"> and </w:t>
      </w:r>
      <w:r w:rsidR="004B172A" w:rsidRPr="009F556C">
        <w:t>University of Tasmania.</w:t>
      </w:r>
    </w:p>
  </w:footnote>
  <w:footnote w:id="410">
    <w:p w14:paraId="18E05DC7" w14:textId="1F300391" w:rsidR="007731CC" w:rsidRDefault="007731CC">
      <w:pPr>
        <w:pStyle w:val="FootnoteText"/>
      </w:pPr>
      <w:r>
        <w:rPr>
          <w:rStyle w:val="FootnoteReference"/>
        </w:rPr>
        <w:footnoteRef/>
      </w:r>
      <w:r>
        <w:t xml:space="preserve"> </w:t>
      </w:r>
      <w:r w:rsidR="007C74B5" w:rsidRPr="00601877">
        <w:rPr>
          <w:rFonts w:cstheme="minorHAnsi"/>
        </w:rPr>
        <w:t xml:space="preserve">Department of Education, </w:t>
      </w:r>
      <w:r w:rsidR="007106BC" w:rsidRPr="007106BC">
        <w:rPr>
          <w:i/>
          <w:iCs/>
        </w:rPr>
        <w:t>Consolidated Time Series Datasets</w:t>
      </w:r>
      <w:r w:rsidR="007106BC">
        <w:rPr>
          <w:i/>
          <w:iCs/>
        </w:rPr>
        <w:t xml:space="preserve"> </w:t>
      </w:r>
      <w:r w:rsidR="007106BC" w:rsidRPr="007106BC">
        <w:rPr>
          <w:i/>
          <w:iCs/>
        </w:rPr>
        <w:t>– Research Income Time Series</w:t>
      </w:r>
      <w:r w:rsidR="007106BC">
        <w:t xml:space="preserve"> [data set].</w:t>
      </w:r>
    </w:p>
  </w:footnote>
  <w:footnote w:id="411">
    <w:p w14:paraId="2EE5A572" w14:textId="5CE13016" w:rsidR="00A120A2" w:rsidRDefault="00A120A2">
      <w:pPr>
        <w:pStyle w:val="FootnoteText"/>
      </w:pPr>
      <w:r>
        <w:rPr>
          <w:rStyle w:val="FootnoteReference"/>
        </w:rPr>
        <w:footnoteRef/>
      </w:r>
      <w:r>
        <w:t xml:space="preserve"> 2022 Higher Education Student Collection, Table 2: All student enrolments in Table A and B providers by mode of attendance, Department of Education</w:t>
      </w:r>
    </w:p>
  </w:footnote>
  <w:footnote w:id="412">
    <w:p w14:paraId="0329F8C1" w14:textId="56D3A1DF" w:rsidR="00EE4FF0" w:rsidRDefault="00EE4FF0" w:rsidP="00EE4FF0">
      <w:pPr>
        <w:pStyle w:val="FootnoteText"/>
      </w:pPr>
      <w:r>
        <w:rPr>
          <w:rStyle w:val="FootnoteReference"/>
        </w:rPr>
        <w:footnoteRef/>
      </w:r>
      <w:r>
        <w:t xml:space="preserve"> University of New England,</w:t>
      </w:r>
      <w:r w:rsidRPr="000737A7">
        <w:rPr>
          <w:i/>
          <w:iCs/>
        </w:rPr>
        <w:t xml:space="preserve"> </w:t>
      </w:r>
      <w:r w:rsidRPr="003E5969">
        <w:rPr>
          <w:i/>
          <w:iCs/>
        </w:rPr>
        <w:t xml:space="preserve">Submission to the </w:t>
      </w:r>
      <w:r w:rsidRPr="002E6D86">
        <w:rPr>
          <w:i/>
          <w:iCs/>
        </w:rPr>
        <w:t xml:space="preserve">Australian Universities </w:t>
      </w:r>
      <w:r w:rsidRPr="003E5969">
        <w:rPr>
          <w:i/>
          <w:iCs/>
        </w:rPr>
        <w:t>Accord Interim Report</w:t>
      </w:r>
      <w:r>
        <w:t xml:space="preserve">, 2023, </w:t>
      </w:r>
      <w:hyperlink r:id="rId239" w:history="1">
        <w:r w:rsidR="00DB47CD" w:rsidRPr="00DB47CD">
          <w:rPr>
            <w:rStyle w:val="Hyperlink"/>
          </w:rPr>
          <w:t>www.education.gov.au/system/files/2023-09/AUA_inter_tranche11_246%20University%20of%20New%20England.pdf</w:t>
        </w:r>
      </w:hyperlink>
      <w:r>
        <w:t xml:space="preserve">. </w:t>
      </w:r>
    </w:p>
  </w:footnote>
  <w:footnote w:id="413">
    <w:p w14:paraId="3EB708F1" w14:textId="0FF5CC32" w:rsidR="00830715" w:rsidRPr="00601877" w:rsidRDefault="00830715" w:rsidP="00830715">
      <w:pPr>
        <w:pStyle w:val="FootnoteText"/>
        <w:rPr>
          <w:rFonts w:cstheme="minorHAnsi"/>
        </w:rPr>
      </w:pPr>
      <w:r w:rsidRPr="00601877">
        <w:rPr>
          <w:rStyle w:val="FootnoteReference"/>
          <w:rFonts w:cstheme="minorHAnsi"/>
        </w:rPr>
        <w:footnoteRef/>
      </w:r>
      <w:r w:rsidRPr="00601877">
        <w:rPr>
          <w:rFonts w:cstheme="minorHAnsi"/>
        </w:rPr>
        <w:t xml:space="preserve"> </w:t>
      </w:r>
      <w:r w:rsidR="00FF4B37" w:rsidRPr="00FF4B37">
        <w:rPr>
          <w:rFonts w:cstheme="minorHAnsi"/>
        </w:rPr>
        <w:t>Peter Hurley</w:t>
      </w:r>
      <w:r w:rsidR="000444D3">
        <w:rPr>
          <w:rFonts w:cstheme="minorHAnsi"/>
        </w:rPr>
        <w:t>,</w:t>
      </w:r>
      <w:r w:rsidR="00FF4B37" w:rsidRPr="00FF4B37">
        <w:rPr>
          <w:rFonts w:cstheme="minorHAnsi"/>
        </w:rPr>
        <w:t xml:space="preserve"> Ha Nguyen</w:t>
      </w:r>
      <w:r w:rsidR="000444D3">
        <w:rPr>
          <w:rFonts w:cstheme="minorHAnsi"/>
        </w:rPr>
        <w:t>,</w:t>
      </w:r>
      <w:r w:rsidR="00FF4B37" w:rsidRPr="00FF4B37">
        <w:rPr>
          <w:rFonts w:cstheme="minorHAnsi"/>
        </w:rPr>
        <w:t xml:space="preserve"> Melissa Tham</w:t>
      </w:r>
      <w:r w:rsidR="000444D3">
        <w:rPr>
          <w:rFonts w:cstheme="minorHAnsi"/>
        </w:rPr>
        <w:t>,</w:t>
      </w:r>
      <w:r w:rsidR="00FF4B37" w:rsidRPr="00FF4B37">
        <w:rPr>
          <w:rFonts w:cstheme="minorHAnsi"/>
        </w:rPr>
        <w:t xml:space="preserve"> Maria </w:t>
      </w:r>
      <w:proofErr w:type="spellStart"/>
      <w:r w:rsidR="00FF4B37" w:rsidRPr="00FF4B37">
        <w:rPr>
          <w:rFonts w:cstheme="minorHAnsi"/>
        </w:rPr>
        <w:t>Prokofieva</w:t>
      </w:r>
      <w:proofErr w:type="spellEnd"/>
      <w:r w:rsidR="00FF4B37" w:rsidRPr="00FF4B37">
        <w:rPr>
          <w:rFonts w:cstheme="minorHAnsi"/>
        </w:rPr>
        <w:t xml:space="preserve"> and Lizzie Knight</w:t>
      </w:r>
      <w:r w:rsidRPr="00601877">
        <w:rPr>
          <w:rFonts w:cstheme="minorHAnsi"/>
          <w:i/>
        </w:rPr>
        <w:t>, Needs-based funding: Lessons from the school sector</w:t>
      </w:r>
      <w:r w:rsidRPr="00601877">
        <w:rPr>
          <w:rFonts w:cstheme="minorHAnsi"/>
        </w:rPr>
        <w:t>, (Melbourne</w:t>
      </w:r>
      <w:r w:rsidR="00D250D8">
        <w:rPr>
          <w:rFonts w:cstheme="minorHAnsi"/>
        </w:rPr>
        <w:t>:</w:t>
      </w:r>
      <w:r w:rsidRPr="00601877">
        <w:rPr>
          <w:rFonts w:cstheme="minorHAnsi"/>
        </w:rPr>
        <w:t xml:space="preserve"> Mitchell Institute, 2023), </w:t>
      </w:r>
      <w:hyperlink r:id="rId240" w:history="1">
        <w:r w:rsidRPr="00601877">
          <w:rPr>
            <w:rStyle w:val="Hyperlink"/>
            <w:rFonts w:cstheme="minorHAnsi"/>
          </w:rPr>
          <w:t>www.vu.edu.au/mitchell-institute/education/tertiary-education/needs-based-funding-lessons-from-the-school-sector</w:t>
        </w:r>
      </w:hyperlink>
      <w:r w:rsidRPr="00601877">
        <w:rPr>
          <w:rFonts w:cstheme="minorHAnsi"/>
        </w:rPr>
        <w:t xml:space="preserve">. </w:t>
      </w:r>
    </w:p>
  </w:footnote>
  <w:footnote w:id="414">
    <w:p w14:paraId="570B4315" w14:textId="63A74805" w:rsidR="00830715" w:rsidRPr="00480090" w:rsidRDefault="00830715" w:rsidP="00830715">
      <w:pPr>
        <w:pStyle w:val="FootnoteText"/>
        <w:rPr>
          <w:rFonts w:eastAsia="Segoe UI" w:cs="Calibri"/>
          <w:color w:val="333333"/>
        </w:rPr>
      </w:pPr>
      <w:r w:rsidRPr="6BDFA051">
        <w:rPr>
          <w:rStyle w:val="FootnoteReference"/>
        </w:rPr>
        <w:footnoteRef/>
      </w:r>
      <w:r w:rsidR="6BDFA051">
        <w:rPr>
          <w:rFonts w:cs="Calibri"/>
        </w:rPr>
        <w:t xml:space="preserve"> </w:t>
      </w:r>
      <w:r w:rsidR="6BDFA051" w:rsidRPr="6BDFA051">
        <w:rPr>
          <w:rFonts w:eastAsia="Segoe UI" w:cs="Calibri"/>
          <w:color w:val="333333"/>
        </w:rPr>
        <w:t xml:space="preserve">Cathy Stone, Nicole Crawford, Chris Ronan and Monica Davis, </w:t>
      </w:r>
      <w:r w:rsidR="00282DC9">
        <w:rPr>
          <w:rFonts w:eastAsia="Segoe UI" w:cs="Calibri"/>
          <w:color w:val="333333"/>
        </w:rPr>
        <w:t>“</w:t>
      </w:r>
      <w:r w:rsidR="50E3549A" w:rsidRPr="50E3549A">
        <w:rPr>
          <w:rFonts w:eastAsia="Segoe UI" w:cs="Calibri"/>
          <w:color w:val="333333"/>
        </w:rPr>
        <w:t>Improving the Online Regional Student Experience: Findings from the Country University Centre (CUC) Student Evaluation</w:t>
      </w:r>
      <w:r w:rsidR="2AC7972E" w:rsidRPr="2AC7972E">
        <w:rPr>
          <w:rFonts w:eastAsia="Segoe UI" w:cs="Calibri"/>
          <w:color w:val="333333"/>
        </w:rPr>
        <w:t xml:space="preserve">, A Practice Report,” </w:t>
      </w:r>
      <w:r w:rsidR="2AC7972E" w:rsidRPr="2AC7972E">
        <w:rPr>
          <w:rFonts w:eastAsia="Segoe UI" w:cs="Calibri"/>
          <w:i/>
          <w:iCs/>
          <w:color w:val="333333"/>
        </w:rPr>
        <w:t>Student Success</w:t>
      </w:r>
      <w:r w:rsidR="2AC7972E" w:rsidRPr="2AC7972E">
        <w:rPr>
          <w:rFonts w:eastAsia="Segoe UI" w:cs="Calibri"/>
          <w:color w:val="333333"/>
        </w:rPr>
        <w:t>, 13, 2</w:t>
      </w:r>
      <w:r w:rsidR="2287359A" w:rsidRPr="2287359A">
        <w:rPr>
          <w:rFonts w:eastAsia="Segoe UI" w:cs="Calibri"/>
          <w:color w:val="333333"/>
        </w:rPr>
        <w:t xml:space="preserve"> (2022) 32-41, </w:t>
      </w:r>
      <w:hyperlink r:id="rId241" w:history="1">
        <w:r w:rsidR="00DB47CD" w:rsidRPr="0069099E">
          <w:rPr>
            <w:rStyle w:val="Hyperlink"/>
            <w:rFonts w:eastAsia="Segoe UI" w:cs="Calibri"/>
          </w:rPr>
          <w:t>doi.org/10.5204/ssj.2313</w:t>
        </w:r>
      </w:hyperlink>
      <w:r w:rsidR="00DB47CD">
        <w:rPr>
          <w:rFonts w:eastAsia="Segoe UI" w:cs="Calibri"/>
          <w:color w:val="333333"/>
        </w:rPr>
        <w:t>.</w:t>
      </w:r>
    </w:p>
  </w:footnote>
  <w:footnote w:id="415">
    <w:p w14:paraId="2DB81DB6" w14:textId="2382C7F4" w:rsidR="00830715" w:rsidRPr="00601877" w:rsidRDefault="00830715" w:rsidP="00830715">
      <w:pPr>
        <w:pStyle w:val="FootnoteText"/>
        <w:rPr>
          <w:rFonts w:cstheme="minorHAnsi"/>
        </w:rPr>
      </w:pPr>
      <w:r w:rsidRPr="00601877">
        <w:rPr>
          <w:rStyle w:val="FootnoteReference"/>
          <w:rFonts w:cstheme="minorHAnsi"/>
        </w:rPr>
        <w:footnoteRef/>
      </w:r>
      <w:r w:rsidRPr="00601877">
        <w:rPr>
          <w:rFonts w:cstheme="minorHAnsi"/>
        </w:rPr>
        <w:t xml:space="preserve"> Independent Tertiary Education Council Australia, </w:t>
      </w:r>
      <w:r w:rsidRPr="00601877">
        <w:rPr>
          <w:rFonts w:cstheme="minorHAnsi"/>
          <w:i/>
        </w:rPr>
        <w:t xml:space="preserve">2022 ITECA State of the Sector Report, </w:t>
      </w:r>
      <w:r w:rsidRPr="00601877">
        <w:rPr>
          <w:rFonts w:cstheme="minorHAnsi"/>
        </w:rPr>
        <w:t>(</w:t>
      </w:r>
      <w:r w:rsidR="00142EE0">
        <w:rPr>
          <w:rFonts w:cstheme="minorHAnsi"/>
        </w:rPr>
        <w:t xml:space="preserve">Canberra: </w:t>
      </w:r>
      <w:r w:rsidR="00E235CF">
        <w:rPr>
          <w:rFonts w:cstheme="minorHAnsi"/>
        </w:rPr>
        <w:t xml:space="preserve">October </w:t>
      </w:r>
      <w:r w:rsidRPr="00601877">
        <w:rPr>
          <w:rFonts w:cstheme="minorHAnsi"/>
        </w:rPr>
        <w:t xml:space="preserve">2022), </w:t>
      </w:r>
      <w:r w:rsidR="00142EE0">
        <w:rPr>
          <w:rFonts w:cstheme="minorHAnsi"/>
        </w:rPr>
        <w:t>7,</w:t>
      </w:r>
      <w:r w:rsidRPr="00601877">
        <w:rPr>
          <w:rFonts w:cstheme="minorHAnsi"/>
        </w:rPr>
        <w:t xml:space="preserve"> </w:t>
      </w:r>
      <w:hyperlink r:id="rId242" w:history="1">
        <w:r w:rsidRPr="00601877">
          <w:rPr>
            <w:rStyle w:val="Hyperlink"/>
            <w:rFonts w:cstheme="minorHAnsi"/>
          </w:rPr>
          <w:t>www.iteca.edu.au/state-of-sector</w:t>
        </w:r>
      </w:hyperlink>
      <w:r w:rsidRPr="00601877">
        <w:rPr>
          <w:rFonts w:cstheme="minorHAnsi"/>
        </w:rPr>
        <w:t>.</w:t>
      </w:r>
    </w:p>
  </w:footnote>
  <w:footnote w:id="416">
    <w:p w14:paraId="401A26E2" w14:textId="6B3D90D6" w:rsidR="003E252F" w:rsidRDefault="003E252F" w:rsidP="005E59EF">
      <w:pPr>
        <w:pStyle w:val="FootnoteText"/>
      </w:pPr>
      <w:r>
        <w:rPr>
          <w:rStyle w:val="FootnoteReference"/>
        </w:rPr>
        <w:footnoteRef/>
      </w:r>
      <w:r>
        <w:t xml:space="preserve"> </w:t>
      </w:r>
      <w:r w:rsidR="00DB47CD">
        <w:t xml:space="preserve">Central Queensland University, </w:t>
      </w:r>
      <w:r w:rsidR="005E59EF" w:rsidRPr="004666E9">
        <w:rPr>
          <w:rFonts w:ascii="Calibri" w:eastAsia="Calibri" w:hAnsi="Calibri" w:cs="Calibri"/>
          <w:i/>
          <w:iCs/>
        </w:rPr>
        <w:t>New Rockhampton CQUniversity facility to support future training needs of resources sector</w:t>
      </w:r>
      <w:r w:rsidR="00DB47CD">
        <w:rPr>
          <w:rFonts w:ascii="Calibri" w:eastAsia="Calibri" w:hAnsi="Calibri" w:cs="Calibri"/>
        </w:rPr>
        <w:t>,</w:t>
      </w:r>
      <w:r w:rsidR="005E59EF" w:rsidRPr="004666E9">
        <w:rPr>
          <w:rFonts w:ascii="Calibri" w:eastAsia="Calibri" w:hAnsi="Calibri" w:cs="Calibri"/>
          <w:i/>
          <w:iCs/>
        </w:rPr>
        <w:t xml:space="preserve"> </w:t>
      </w:r>
      <w:r w:rsidR="005E59EF" w:rsidRPr="00C661F8">
        <w:rPr>
          <w:rFonts w:ascii="Calibri" w:eastAsia="Calibri" w:hAnsi="Calibri" w:cs="Calibri"/>
        </w:rPr>
        <w:t>(15 March 2023)</w:t>
      </w:r>
      <w:r w:rsidR="00DB47CD">
        <w:rPr>
          <w:rFonts w:ascii="Calibri" w:eastAsia="Calibri" w:hAnsi="Calibri" w:cs="Calibri"/>
        </w:rPr>
        <w:t>,</w:t>
      </w:r>
      <w:r w:rsidR="00DB47CD" w:rsidRPr="004406D4">
        <w:rPr>
          <w:rFonts w:ascii="Calibri" w:hAnsi="Calibri"/>
        </w:rPr>
        <w:t xml:space="preserve"> </w:t>
      </w:r>
      <w:r w:rsidR="00DB47CD" w:rsidRPr="005E59EF">
        <w:t>accessed 18 December 2023</w:t>
      </w:r>
      <w:r w:rsidR="00DB47CD">
        <w:t xml:space="preserve">, </w:t>
      </w:r>
      <w:hyperlink r:id="rId243" w:history="1">
        <w:r w:rsidR="00DB47CD" w:rsidRPr="00DB47CD">
          <w:rPr>
            <w:rStyle w:val="Hyperlink"/>
          </w:rPr>
          <w:t>www.cqu.edu.au/news/842769/new-rockhampton-cquniversity-facility-to-support-future-training-needs-of-resources-sector</w:t>
        </w:r>
      </w:hyperlink>
      <w:r w:rsidR="00DB47CD">
        <w:t>.</w:t>
      </w:r>
    </w:p>
  </w:footnote>
  <w:footnote w:id="417">
    <w:p w14:paraId="0B58A104" w14:textId="33EA6099" w:rsidR="00830715" w:rsidRPr="00601877" w:rsidRDefault="00830715" w:rsidP="00830715">
      <w:pPr>
        <w:pStyle w:val="FootnoteText"/>
        <w:rPr>
          <w:rFonts w:cstheme="minorHAnsi"/>
        </w:rPr>
      </w:pPr>
      <w:r w:rsidRPr="00601877">
        <w:rPr>
          <w:rStyle w:val="FootnoteReference"/>
          <w:rFonts w:cstheme="minorHAnsi"/>
        </w:rPr>
        <w:footnoteRef/>
      </w:r>
      <w:r w:rsidRPr="00601877">
        <w:rPr>
          <w:rFonts w:cstheme="minorHAnsi"/>
        </w:rPr>
        <w:t xml:space="preserve"> </w:t>
      </w:r>
      <w:r w:rsidR="00142EE0" w:rsidRPr="00601877">
        <w:rPr>
          <w:rFonts w:cstheme="minorHAnsi"/>
        </w:rPr>
        <w:t>Department of Climate Change, Energy, the Environment and Water</w:t>
      </w:r>
      <w:r w:rsidR="00142EE0">
        <w:rPr>
          <w:rFonts w:cstheme="minorHAnsi"/>
        </w:rPr>
        <w:t>,</w:t>
      </w:r>
      <w:r w:rsidR="00142EE0" w:rsidRPr="00601877">
        <w:rPr>
          <w:rFonts w:cstheme="minorHAnsi"/>
        </w:rPr>
        <w:t xml:space="preserve"> </w:t>
      </w:r>
      <w:r w:rsidRPr="00601877">
        <w:rPr>
          <w:rFonts w:cstheme="minorHAnsi"/>
        </w:rPr>
        <w:t>“Powering Australia</w:t>
      </w:r>
      <w:r w:rsidR="00142EE0">
        <w:rPr>
          <w:rFonts w:cstheme="minorHAnsi"/>
        </w:rPr>
        <w:t xml:space="preserve">,” revised </w:t>
      </w:r>
      <w:r w:rsidR="00DB47CD">
        <w:rPr>
          <w:rFonts w:cstheme="minorHAnsi"/>
        </w:rPr>
        <w:t>3 </w:t>
      </w:r>
      <w:r w:rsidR="00142EE0">
        <w:rPr>
          <w:rFonts w:cstheme="minorHAnsi"/>
        </w:rPr>
        <w:t>December 2023,</w:t>
      </w:r>
      <w:r w:rsidRPr="00601877">
        <w:rPr>
          <w:rFonts w:cstheme="minorHAnsi"/>
        </w:rPr>
        <w:t xml:space="preserve"> </w:t>
      </w:r>
      <w:hyperlink r:id="rId244" w:history="1">
        <w:r w:rsidRPr="00601877">
          <w:rPr>
            <w:rStyle w:val="Hyperlink"/>
            <w:rFonts w:cstheme="minorHAnsi"/>
          </w:rPr>
          <w:t>www.energy.gov.au/government-priorities/australias-energy-strategies-and-frameworks/powering-australia</w:t>
        </w:r>
      </w:hyperlink>
      <w:r w:rsidRPr="00601877">
        <w:rPr>
          <w:rFonts w:cstheme="minorHAnsi"/>
        </w:rPr>
        <w:t xml:space="preserve">. </w:t>
      </w:r>
    </w:p>
  </w:footnote>
  <w:footnote w:id="418">
    <w:p w14:paraId="60637F29" w14:textId="418894FD" w:rsidR="00483709" w:rsidRDefault="00483709" w:rsidP="00483709">
      <w:pPr>
        <w:pStyle w:val="FootnoteText"/>
      </w:pPr>
      <w:r>
        <w:rPr>
          <w:rStyle w:val="FootnoteReference"/>
        </w:rPr>
        <w:footnoteRef/>
      </w:r>
      <w:r>
        <w:t xml:space="preserve"> University of New England, </w:t>
      </w:r>
      <w:r w:rsidRPr="000574B7">
        <w:rPr>
          <w:i/>
          <w:iCs/>
        </w:rPr>
        <w:t>Annual Report 2022</w:t>
      </w:r>
      <w:r>
        <w:t xml:space="preserve">, (Sydney: April 2023), 7, </w:t>
      </w:r>
      <w:hyperlink r:id="rId245" w:history="1">
        <w:r w:rsidRPr="00535314">
          <w:rPr>
            <w:rStyle w:val="Hyperlink"/>
          </w:rPr>
          <w:t>www.une.edu.au/about-une/annual-reports</w:t>
        </w:r>
      </w:hyperlink>
      <w:r w:rsidR="00BA11C9">
        <w:t>.</w:t>
      </w:r>
    </w:p>
  </w:footnote>
  <w:footnote w:id="419">
    <w:p w14:paraId="307D9102" w14:textId="3052E1E1" w:rsidR="00B920D4" w:rsidRPr="00601877" w:rsidRDefault="00B920D4" w:rsidP="00B920D4">
      <w:pPr>
        <w:pStyle w:val="FootnoteText"/>
        <w:rPr>
          <w:rFonts w:cstheme="minorHAnsi"/>
          <w:i/>
        </w:rPr>
      </w:pPr>
      <w:r w:rsidRPr="00601877">
        <w:rPr>
          <w:rStyle w:val="FootnoteReference"/>
          <w:rFonts w:cstheme="minorHAnsi"/>
        </w:rPr>
        <w:footnoteRef/>
      </w:r>
      <w:r w:rsidRPr="00601877">
        <w:rPr>
          <w:rFonts w:cstheme="minorHAnsi"/>
        </w:rPr>
        <w:t xml:space="preserve"> </w:t>
      </w:r>
      <w:r w:rsidR="005F3BAC" w:rsidRPr="005F3BAC">
        <w:rPr>
          <w:rFonts w:cstheme="minorHAnsi"/>
        </w:rPr>
        <w:t xml:space="preserve">Department of Education, </w:t>
      </w:r>
      <w:r w:rsidR="005F3BAC" w:rsidRPr="005F3BAC">
        <w:rPr>
          <w:rFonts w:cstheme="minorHAnsi"/>
          <w:i/>
          <w:iCs/>
        </w:rPr>
        <w:t xml:space="preserve">Higher Education Statistics – Student data – </w:t>
      </w:r>
      <w:r w:rsidR="008F0F8D" w:rsidRPr="005F3BAC">
        <w:rPr>
          <w:rFonts w:cstheme="minorHAnsi"/>
          <w:i/>
          <w:iCs/>
        </w:rPr>
        <w:t>202</w:t>
      </w:r>
      <w:r w:rsidR="008F0F8D">
        <w:rPr>
          <w:rFonts w:cstheme="minorHAnsi"/>
          <w:i/>
          <w:iCs/>
        </w:rPr>
        <w:t>2</w:t>
      </w:r>
      <w:r w:rsidR="008F0F8D" w:rsidRPr="005F3BAC">
        <w:rPr>
          <w:rFonts w:cstheme="minorHAnsi"/>
          <w:i/>
          <w:iCs/>
        </w:rPr>
        <w:t xml:space="preserve"> </w:t>
      </w:r>
      <w:r w:rsidR="005F3BAC" w:rsidRPr="005F3BAC">
        <w:rPr>
          <w:rFonts w:cstheme="minorHAnsi"/>
          <w:i/>
          <w:iCs/>
        </w:rPr>
        <w:t xml:space="preserve">Section 2 All students </w:t>
      </w:r>
      <w:r w:rsidR="005F3BAC" w:rsidRPr="005F3BAC">
        <w:rPr>
          <w:rFonts w:cstheme="minorHAnsi"/>
        </w:rPr>
        <w:t>[data set]</w:t>
      </w:r>
      <w:r w:rsidR="008F0F8D">
        <w:rPr>
          <w:rFonts w:cstheme="minorHAnsi"/>
        </w:rPr>
        <w:t xml:space="preserve"> (Canberra: 2023), published 18 December 2023</w:t>
      </w:r>
      <w:r w:rsidR="005F3BAC">
        <w:rPr>
          <w:rFonts w:cstheme="minorHAnsi"/>
        </w:rPr>
        <w:t>.</w:t>
      </w:r>
      <w:r w:rsidRPr="00601877">
        <w:rPr>
          <w:rFonts w:cstheme="minorHAnsi"/>
        </w:rPr>
        <w:t xml:space="preserve"> The balance </w:t>
      </w:r>
      <w:proofErr w:type="gramStart"/>
      <w:r w:rsidRPr="00601877">
        <w:rPr>
          <w:rFonts w:cstheme="minorHAnsi"/>
        </w:rPr>
        <w:t>are</w:t>
      </w:r>
      <w:proofErr w:type="gramEnd"/>
      <w:r w:rsidRPr="00601877">
        <w:rPr>
          <w:rFonts w:cstheme="minorHAnsi"/>
        </w:rPr>
        <w:t xml:space="preserve"> from private not-for-profit providers, private for-profit providers, and public TAFE institutes</w:t>
      </w:r>
      <w:r w:rsidRPr="00601877">
        <w:rPr>
          <w:rFonts w:cstheme="minorHAnsi"/>
          <w:i/>
        </w:rPr>
        <w:t>.</w:t>
      </w:r>
    </w:p>
  </w:footnote>
  <w:footnote w:id="420">
    <w:p w14:paraId="5C30B4FE" w14:textId="76B04B47" w:rsidR="00B920D4" w:rsidRPr="00601877" w:rsidRDefault="00B920D4" w:rsidP="00B920D4">
      <w:pPr>
        <w:pStyle w:val="FootnoteText"/>
        <w:rPr>
          <w:rFonts w:cstheme="minorHAnsi"/>
        </w:rPr>
      </w:pPr>
      <w:r w:rsidRPr="00601877">
        <w:rPr>
          <w:rStyle w:val="FootnoteReference"/>
          <w:rFonts w:cstheme="minorHAnsi"/>
        </w:rPr>
        <w:footnoteRef/>
      </w:r>
      <w:r w:rsidRPr="00601877">
        <w:rPr>
          <w:rFonts w:cstheme="minorHAnsi"/>
        </w:rPr>
        <w:t xml:space="preserve"> </w:t>
      </w:r>
      <w:r w:rsidR="00BA11C9">
        <w:rPr>
          <w:rStyle w:val="findhit"/>
          <w:rFonts w:ascii="Calibri" w:hAnsi="Calibri" w:cs="Calibri"/>
          <w:color w:val="000000"/>
          <w:shd w:val="clear" w:color="auto" w:fill="FFFFFF"/>
          <w:lang w:val="en-GB"/>
        </w:rPr>
        <w:t>Australian Bureau of Statistics</w:t>
      </w:r>
      <w:r w:rsidR="00BA11C9">
        <w:rPr>
          <w:rStyle w:val="normaltextrun"/>
          <w:rFonts w:ascii="Calibri" w:hAnsi="Calibri" w:cs="Calibri"/>
          <w:color w:val="000000"/>
          <w:shd w:val="clear" w:color="auto" w:fill="FFFFFF"/>
          <w:lang w:val="en-GB"/>
        </w:rPr>
        <w:t xml:space="preserve">, </w:t>
      </w:r>
      <w:r w:rsidR="00BA11C9">
        <w:rPr>
          <w:rStyle w:val="normaltextrun"/>
          <w:rFonts w:ascii="Calibri" w:hAnsi="Calibri" w:cs="Calibri"/>
          <w:i/>
          <w:iCs/>
          <w:color w:val="000000"/>
          <w:shd w:val="clear" w:color="auto" w:fill="FFFFFF"/>
          <w:lang w:val="en-GB"/>
        </w:rPr>
        <w:t>Research and Experimental Development, Businesses, Australia 2021</w:t>
      </w:r>
      <w:r w:rsidR="00BA309F">
        <w:rPr>
          <w:rFonts w:ascii="Symbol" w:eastAsia="Symbol" w:hAnsi="Symbol" w:cs="Symbol"/>
        </w:rPr>
        <w:t>-</w:t>
      </w:r>
      <w:r w:rsidR="00BA11C9">
        <w:rPr>
          <w:rStyle w:val="normaltextrun"/>
          <w:rFonts w:ascii="Calibri" w:hAnsi="Calibri" w:cs="Calibri"/>
          <w:i/>
          <w:iCs/>
          <w:color w:val="000000"/>
          <w:shd w:val="clear" w:color="auto" w:fill="FFFFFF"/>
          <w:lang w:val="en-GB"/>
        </w:rPr>
        <w:t>22</w:t>
      </w:r>
      <w:r w:rsidR="00BA11C9">
        <w:rPr>
          <w:rStyle w:val="normaltextrun"/>
          <w:rFonts w:ascii="Calibri" w:hAnsi="Calibri" w:cs="Calibri"/>
          <w:color w:val="000000"/>
          <w:shd w:val="clear" w:color="auto" w:fill="FFFFFF"/>
          <w:lang w:val="en-GB"/>
        </w:rPr>
        <w:t xml:space="preserve"> [data set].</w:t>
      </w:r>
      <w:r w:rsidR="00BA11C9">
        <w:rPr>
          <w:rStyle w:val="eop"/>
          <w:rFonts w:ascii="Calibri" w:hAnsi="Calibri" w:cs="Calibri"/>
          <w:color w:val="000000"/>
          <w:shd w:val="clear" w:color="auto" w:fill="FFFFFF"/>
        </w:rPr>
        <w:t> </w:t>
      </w:r>
    </w:p>
  </w:footnote>
  <w:footnote w:id="421">
    <w:p w14:paraId="4CA81E60" w14:textId="1139E0C7" w:rsidR="00D53776" w:rsidRPr="00454CBF" w:rsidRDefault="00D53776" w:rsidP="00D53776">
      <w:pPr>
        <w:pStyle w:val="FootnoteText"/>
      </w:pPr>
      <w:r w:rsidRPr="00454CBF">
        <w:rPr>
          <w:rStyle w:val="FootnoteReference"/>
        </w:rPr>
        <w:footnoteRef/>
      </w:r>
      <w:r w:rsidRPr="00454CBF">
        <w:t xml:space="preserve"> Australian Universities Accord, </w:t>
      </w:r>
      <w:r w:rsidRPr="00454CBF">
        <w:rPr>
          <w:i/>
        </w:rPr>
        <w:t>Interim Report</w:t>
      </w:r>
      <w:r w:rsidRPr="00454CBF">
        <w:t xml:space="preserve">, </w:t>
      </w:r>
      <w:r w:rsidR="00BA11C9">
        <w:t xml:space="preserve">(2023), </w:t>
      </w:r>
      <w:r w:rsidRPr="00454CBF">
        <w:t>139.</w:t>
      </w:r>
    </w:p>
  </w:footnote>
  <w:footnote w:id="422">
    <w:p w14:paraId="539C681D" w14:textId="081657A2" w:rsidR="00B920D4" w:rsidRPr="00601877" w:rsidRDefault="00B920D4" w:rsidP="00B920D4">
      <w:pPr>
        <w:pStyle w:val="FootnoteText"/>
        <w:rPr>
          <w:rFonts w:cstheme="minorHAnsi"/>
        </w:rPr>
      </w:pPr>
      <w:r w:rsidRPr="00601877">
        <w:rPr>
          <w:rStyle w:val="FootnoteReference"/>
          <w:rFonts w:cstheme="minorHAnsi"/>
        </w:rPr>
        <w:footnoteRef/>
      </w:r>
      <w:r w:rsidRPr="00601877">
        <w:rPr>
          <w:rFonts w:cstheme="minorHAnsi"/>
        </w:rPr>
        <w:t xml:space="preserve"> Department of Education, </w:t>
      </w:r>
      <w:hyperlink r:id="rId246" w:history="1">
        <w:r w:rsidRPr="00601877">
          <w:rPr>
            <w:rFonts w:cstheme="minorHAnsi"/>
            <w:i/>
          </w:rPr>
          <w:t>Higher Education Providers Finance Tables</w:t>
        </w:r>
      </w:hyperlink>
      <w:r w:rsidRPr="00601877">
        <w:rPr>
          <w:rFonts w:cstheme="minorHAnsi"/>
          <w:i/>
        </w:rPr>
        <w:t xml:space="preserve"> </w:t>
      </w:r>
      <w:r w:rsidR="00BA11C9">
        <w:rPr>
          <w:rFonts w:cstheme="minorHAnsi"/>
          <w:i/>
        </w:rPr>
        <w:t>2004</w:t>
      </w:r>
      <w:r w:rsidR="00BA11C9">
        <w:rPr>
          <w:rFonts w:ascii="Symbol" w:eastAsia="Symbol" w:hAnsi="Symbol" w:cstheme="minorHAnsi"/>
          <w:i/>
        </w:rPr>
        <w:t>-</w:t>
      </w:r>
      <w:r w:rsidR="00BA11C9">
        <w:rPr>
          <w:rFonts w:cstheme="minorHAnsi"/>
          <w:i/>
        </w:rPr>
        <w:t xml:space="preserve">2021 </w:t>
      </w:r>
      <w:r w:rsidRPr="00601877">
        <w:rPr>
          <w:rFonts w:cstheme="minorHAnsi"/>
        </w:rPr>
        <w:t>[data set</w:t>
      </w:r>
      <w:r w:rsidR="00BA11C9">
        <w:rPr>
          <w:rFonts w:cstheme="minorHAnsi"/>
        </w:rPr>
        <w:t>]</w:t>
      </w:r>
      <w:r w:rsidRPr="00601877">
        <w:rPr>
          <w:rFonts w:cstheme="minorHAnsi"/>
        </w:rPr>
        <w:t xml:space="preserve">. </w:t>
      </w:r>
      <w:r w:rsidR="00DF0D75">
        <w:t>N</w:t>
      </w:r>
      <w:r w:rsidR="00DF0D75" w:rsidRPr="00454CBF">
        <w:t>umbers</w:t>
      </w:r>
      <w:r w:rsidRPr="00454CBF">
        <w:t xml:space="preserve"> </w:t>
      </w:r>
      <w:r w:rsidRPr="00601877">
        <w:rPr>
          <w:rFonts w:cstheme="minorHAnsi"/>
        </w:rPr>
        <w:t xml:space="preserve">are in real 2021 dollars.  </w:t>
      </w:r>
    </w:p>
  </w:footnote>
  <w:footnote w:id="423">
    <w:p w14:paraId="3252F355" w14:textId="033F004A" w:rsidR="00B920D4" w:rsidRPr="00601877" w:rsidRDefault="00B920D4" w:rsidP="00B920D4">
      <w:pPr>
        <w:pStyle w:val="FootnoteText"/>
      </w:pPr>
      <w:r w:rsidRPr="44CCCC84">
        <w:rPr>
          <w:rStyle w:val="FootnoteReference"/>
        </w:rPr>
        <w:footnoteRef/>
      </w:r>
      <w:r w:rsidRPr="44CCCC84">
        <w:t xml:space="preserve"> </w:t>
      </w:r>
      <w:r w:rsidR="00AF1088" w:rsidRPr="00AF1088">
        <w:t xml:space="preserve">Department of Education, </w:t>
      </w:r>
      <w:r w:rsidR="00AF1088" w:rsidRPr="00056D4A">
        <w:rPr>
          <w:i/>
          <w:iCs/>
        </w:rPr>
        <w:t>Higher Education Providers Finance Tables 2021</w:t>
      </w:r>
      <w:r w:rsidR="00AF1088" w:rsidRPr="00AF1088">
        <w:t xml:space="preserve"> [data set].</w:t>
      </w:r>
      <w:r w:rsidRPr="44CCCC84">
        <w:t xml:space="preserve"> </w:t>
      </w:r>
    </w:p>
  </w:footnote>
  <w:footnote w:id="424">
    <w:p w14:paraId="334DD2B4" w14:textId="2FC88BB9" w:rsidR="00B920D4" w:rsidRPr="00601877" w:rsidRDefault="00B920D4" w:rsidP="00B920D4">
      <w:pPr>
        <w:pStyle w:val="FootnoteText"/>
        <w:rPr>
          <w:rFonts w:cstheme="minorHAnsi"/>
        </w:rPr>
      </w:pPr>
      <w:r w:rsidRPr="00601877">
        <w:rPr>
          <w:rStyle w:val="FootnoteReference"/>
          <w:rFonts w:cstheme="minorHAnsi"/>
        </w:rPr>
        <w:footnoteRef/>
      </w:r>
      <w:r w:rsidRPr="00601877">
        <w:rPr>
          <w:rFonts w:cstheme="minorHAnsi"/>
        </w:rPr>
        <w:t xml:space="preserve"> Lucy Carroll and Christopher Harris, </w:t>
      </w:r>
      <w:r w:rsidR="00AF1088">
        <w:rPr>
          <w:rFonts w:cstheme="minorHAnsi"/>
        </w:rPr>
        <w:t>“</w:t>
      </w:r>
      <w:r w:rsidRPr="00601877">
        <w:rPr>
          <w:rFonts w:cstheme="minorHAnsi"/>
        </w:rPr>
        <w:t>All but one of the state’s universities are losing money as student numbers shrink</w:t>
      </w:r>
      <w:r w:rsidR="00AF1088">
        <w:rPr>
          <w:rFonts w:cstheme="minorHAnsi"/>
        </w:rPr>
        <w:t>,”</w:t>
      </w:r>
      <w:r w:rsidRPr="00601877">
        <w:rPr>
          <w:rFonts w:cstheme="minorHAnsi"/>
        </w:rPr>
        <w:t xml:space="preserve"> </w:t>
      </w:r>
      <w:r w:rsidRPr="00601877">
        <w:rPr>
          <w:rFonts w:cstheme="minorHAnsi"/>
          <w:i/>
        </w:rPr>
        <w:t>Sydney Morning Herald</w:t>
      </w:r>
      <w:r w:rsidR="00AF1088">
        <w:rPr>
          <w:rFonts w:cstheme="minorHAnsi"/>
          <w:i/>
        </w:rPr>
        <w:t xml:space="preserve">, </w:t>
      </w:r>
      <w:r w:rsidR="00AF1088" w:rsidRPr="00601877">
        <w:rPr>
          <w:rFonts w:cstheme="minorHAnsi"/>
        </w:rPr>
        <w:t>(31 May 2023)</w:t>
      </w:r>
      <w:r w:rsidR="00037AB0">
        <w:rPr>
          <w:rFonts w:cstheme="minorHAnsi"/>
        </w:rPr>
        <w:t xml:space="preserve">, </w:t>
      </w:r>
      <w:hyperlink r:id="rId247" w:history="1">
        <w:r w:rsidR="00DB47CD" w:rsidRPr="0069099E">
          <w:rPr>
            <w:rStyle w:val="Hyperlink"/>
            <w:rFonts w:cstheme="minorHAnsi"/>
          </w:rPr>
          <w:t>www.smh.com.au/national/nsw/all-but-one-of-the-state-s-universities-are-losing-money-as-student-numbers-shrink-20230531-p5dcto.html</w:t>
        </w:r>
      </w:hyperlink>
      <w:r w:rsidR="00037AB0">
        <w:rPr>
          <w:rFonts w:cstheme="minorHAnsi"/>
        </w:rPr>
        <w:t>.</w:t>
      </w:r>
    </w:p>
  </w:footnote>
  <w:footnote w:id="425">
    <w:p w14:paraId="4B992087" w14:textId="3BA4FB91" w:rsidR="00B920D4" w:rsidRPr="00601877" w:rsidRDefault="00B920D4" w:rsidP="00B920D4">
      <w:pPr>
        <w:pStyle w:val="FootnoteText"/>
        <w:rPr>
          <w:rFonts w:cstheme="minorHAnsi"/>
        </w:rPr>
      </w:pPr>
      <w:r w:rsidRPr="00601877">
        <w:rPr>
          <w:rStyle w:val="FootnoteReference"/>
          <w:rFonts w:cstheme="minorHAnsi"/>
        </w:rPr>
        <w:footnoteRef/>
      </w:r>
      <w:r w:rsidRPr="00601877">
        <w:rPr>
          <w:rFonts w:cstheme="minorHAnsi"/>
        </w:rPr>
        <w:t xml:space="preserve"> Adam Carey and Madeleine Heffernan, </w:t>
      </w:r>
      <w:r w:rsidR="00037AB0">
        <w:rPr>
          <w:rFonts w:cstheme="minorHAnsi"/>
        </w:rPr>
        <w:t>“</w:t>
      </w:r>
      <w:r w:rsidRPr="00601877">
        <w:rPr>
          <w:rFonts w:cstheme="minorHAnsi"/>
        </w:rPr>
        <w:t>Victorian universities deep in the red as overseas student numbers stay low</w:t>
      </w:r>
      <w:r w:rsidR="00037AB0">
        <w:rPr>
          <w:rFonts w:cstheme="minorHAnsi"/>
        </w:rPr>
        <w:t>,”</w:t>
      </w:r>
      <w:r w:rsidRPr="00601877">
        <w:rPr>
          <w:rFonts w:cstheme="minorHAnsi"/>
        </w:rPr>
        <w:t xml:space="preserve"> </w:t>
      </w:r>
      <w:r w:rsidRPr="00601877">
        <w:rPr>
          <w:rFonts w:cstheme="minorHAnsi"/>
          <w:i/>
        </w:rPr>
        <w:t>The Age</w:t>
      </w:r>
      <w:r w:rsidR="00037AB0">
        <w:rPr>
          <w:rFonts w:cstheme="minorHAnsi"/>
          <w:i/>
        </w:rPr>
        <w:t>,</w:t>
      </w:r>
      <w:r w:rsidRPr="00601877">
        <w:rPr>
          <w:rFonts w:cstheme="minorHAnsi"/>
        </w:rPr>
        <w:t xml:space="preserve"> </w:t>
      </w:r>
      <w:r w:rsidR="00037AB0" w:rsidRPr="00601877">
        <w:rPr>
          <w:rFonts w:cstheme="minorHAnsi"/>
        </w:rPr>
        <w:t>(2 May 2023)</w:t>
      </w:r>
      <w:r w:rsidR="00037AB0">
        <w:rPr>
          <w:rFonts w:cstheme="minorHAnsi"/>
        </w:rPr>
        <w:t xml:space="preserve">, </w:t>
      </w:r>
      <w:hyperlink r:id="rId248" w:history="1">
        <w:r w:rsidR="00DB47CD" w:rsidRPr="0069099E">
          <w:rPr>
            <w:rStyle w:val="Hyperlink"/>
            <w:rFonts w:cstheme="minorHAnsi"/>
          </w:rPr>
          <w:t>www.theage.com.au/national/victoria/victorian-universities-deep-in-the-red-as-overseas-student-numbers-stay-low-20230502-p5d50b.html</w:t>
        </w:r>
      </w:hyperlink>
      <w:r w:rsidR="00037AB0">
        <w:rPr>
          <w:rFonts w:cstheme="minorHAnsi"/>
        </w:rPr>
        <w:t>.</w:t>
      </w:r>
    </w:p>
  </w:footnote>
  <w:footnote w:id="426">
    <w:p w14:paraId="6708C056" w14:textId="76F16373" w:rsidR="00B920D4" w:rsidRPr="00454CBF" w:rsidRDefault="00B920D4" w:rsidP="00B920D4">
      <w:pPr>
        <w:pStyle w:val="FootnoteText"/>
      </w:pPr>
      <w:r w:rsidRPr="00454CBF">
        <w:rPr>
          <w:rStyle w:val="FootnoteReference"/>
        </w:rPr>
        <w:footnoteRef/>
      </w:r>
      <w:r w:rsidRPr="00454CBF">
        <w:t xml:space="preserve"> Department of Education, </w:t>
      </w:r>
      <w:hyperlink r:id="rId249" w:history="1">
        <w:r w:rsidRPr="00454CBF">
          <w:rPr>
            <w:i/>
          </w:rPr>
          <w:t>Higher Education Providers Finance Tables</w:t>
        </w:r>
      </w:hyperlink>
      <w:r w:rsidRPr="00454CBF">
        <w:rPr>
          <w:i/>
        </w:rPr>
        <w:t xml:space="preserve"> </w:t>
      </w:r>
      <w:r w:rsidRPr="00454CBF">
        <w:t>[data set]</w:t>
      </w:r>
      <w:r w:rsidR="00037AB0">
        <w:t xml:space="preserve">. </w:t>
      </w:r>
      <w:r w:rsidR="00DF0D75">
        <w:t>N</w:t>
      </w:r>
      <w:r w:rsidRPr="00454CBF">
        <w:t>umbers are in real 2021 dollars.</w:t>
      </w:r>
    </w:p>
  </w:footnote>
  <w:footnote w:id="427">
    <w:p w14:paraId="55C7A039" w14:textId="55C724F3" w:rsidR="00B920D4" w:rsidRPr="00454CBF" w:rsidRDefault="00B920D4" w:rsidP="00B920D4">
      <w:pPr>
        <w:pStyle w:val="FootnoteText"/>
      </w:pPr>
      <w:r w:rsidRPr="00454CBF">
        <w:rPr>
          <w:rStyle w:val="FootnoteReference"/>
        </w:rPr>
        <w:footnoteRef/>
      </w:r>
      <w:r w:rsidRPr="00454CBF">
        <w:t xml:space="preserve"> Department of Education</w:t>
      </w:r>
      <w:r w:rsidR="00037AB0" w:rsidRPr="00454CBF">
        <w:t xml:space="preserve">, </w:t>
      </w:r>
      <w:hyperlink r:id="rId250" w:history="1">
        <w:r w:rsidR="00037AB0" w:rsidRPr="00454CBF">
          <w:rPr>
            <w:i/>
          </w:rPr>
          <w:t>Higher Education Providers Finance Tables</w:t>
        </w:r>
      </w:hyperlink>
      <w:r w:rsidR="00037AB0" w:rsidRPr="00454CBF">
        <w:rPr>
          <w:i/>
        </w:rPr>
        <w:t xml:space="preserve"> </w:t>
      </w:r>
      <w:r w:rsidR="00037AB0" w:rsidRPr="00454CBF">
        <w:t>[data set]</w:t>
      </w:r>
      <w:r w:rsidR="00037AB0">
        <w:t xml:space="preserve">. </w:t>
      </w:r>
      <w:r w:rsidR="00DF0D75">
        <w:t>N</w:t>
      </w:r>
      <w:r w:rsidR="00DF0D75" w:rsidRPr="00454CBF">
        <w:t>umbers</w:t>
      </w:r>
      <w:r w:rsidR="00037AB0" w:rsidRPr="00454CBF">
        <w:t xml:space="preserve"> are in real 2021 dollars.</w:t>
      </w:r>
    </w:p>
  </w:footnote>
  <w:footnote w:id="428">
    <w:p w14:paraId="6A7F4B6E" w14:textId="7B0511A4" w:rsidR="00B920D4" w:rsidRPr="00454CBF" w:rsidRDefault="00B920D4" w:rsidP="00B920D4">
      <w:pPr>
        <w:pStyle w:val="FootnoteText"/>
      </w:pPr>
      <w:r w:rsidRPr="00454CBF">
        <w:rPr>
          <w:rStyle w:val="FootnoteReference"/>
        </w:rPr>
        <w:footnoteRef/>
      </w:r>
      <w:r w:rsidRPr="00454CBF">
        <w:t xml:space="preserve"> </w:t>
      </w:r>
      <w:r w:rsidR="00037AB0" w:rsidRPr="00454CBF">
        <w:t xml:space="preserve">Department of Education, </w:t>
      </w:r>
      <w:hyperlink r:id="rId251" w:history="1">
        <w:r w:rsidR="00037AB0" w:rsidRPr="00454CBF">
          <w:rPr>
            <w:i/>
          </w:rPr>
          <w:t>Higher Education Providers Finance Tables</w:t>
        </w:r>
      </w:hyperlink>
      <w:r w:rsidR="00037AB0" w:rsidRPr="00454CBF">
        <w:rPr>
          <w:i/>
        </w:rPr>
        <w:t xml:space="preserve"> </w:t>
      </w:r>
      <w:r w:rsidR="00037AB0" w:rsidRPr="00454CBF">
        <w:t>[data set]</w:t>
      </w:r>
      <w:r w:rsidR="00037AB0">
        <w:t xml:space="preserve">. </w:t>
      </w:r>
      <w:r w:rsidR="00DF0D75">
        <w:t>N</w:t>
      </w:r>
      <w:r w:rsidR="00DF0D75" w:rsidRPr="00454CBF">
        <w:t>umbers</w:t>
      </w:r>
      <w:r w:rsidR="00037AB0" w:rsidRPr="00454CBF">
        <w:t xml:space="preserve"> are in real 2021 dollars.</w:t>
      </w:r>
    </w:p>
  </w:footnote>
  <w:footnote w:id="429">
    <w:p w14:paraId="59715489" w14:textId="4D5080DD" w:rsidR="00EC34C6" w:rsidRDefault="00EC34C6">
      <w:pPr>
        <w:pStyle w:val="FootnoteText"/>
      </w:pPr>
      <w:r>
        <w:rPr>
          <w:rStyle w:val="FootnoteReference"/>
        </w:rPr>
        <w:footnoteRef/>
      </w:r>
      <w:r>
        <w:t xml:space="preserve"> </w:t>
      </w:r>
      <w:r w:rsidR="00D02C5C">
        <w:t xml:space="preserve"> </w:t>
      </w:r>
      <w:r w:rsidR="00D02C5C">
        <w:rPr>
          <w:rFonts w:eastAsia="Times New Roman"/>
        </w:rPr>
        <w:t>Department of Education internal analysis based on Higher Education Finance Publication [unpublished data], (Canberra: 2003).</w:t>
      </w:r>
    </w:p>
  </w:footnote>
  <w:footnote w:id="430">
    <w:p w14:paraId="74673F6D" w14:textId="686095BF" w:rsidR="00324B53" w:rsidRPr="00454CBF" w:rsidRDefault="00324B53" w:rsidP="00324B53">
      <w:pPr>
        <w:pStyle w:val="FootnoteText"/>
      </w:pPr>
      <w:r w:rsidRPr="00454CBF">
        <w:rPr>
          <w:rStyle w:val="FootnoteReference"/>
        </w:rPr>
        <w:footnoteRef/>
      </w:r>
      <w:r w:rsidRPr="00454CBF">
        <w:t xml:space="preserve"> </w:t>
      </w:r>
      <w:r w:rsidR="0044724D">
        <w:rPr>
          <w:rStyle w:val="normaltextrun"/>
          <w:rFonts w:ascii="Calibri" w:hAnsi="Calibri" w:cs="Calibri"/>
          <w:color w:val="000000"/>
          <w:shd w:val="clear" w:color="auto" w:fill="FFFFFF"/>
          <w:lang w:val="en-GB"/>
        </w:rPr>
        <w:t xml:space="preserve">Australian Bureau of Statistics, </w:t>
      </w:r>
      <w:r w:rsidR="0044724D">
        <w:rPr>
          <w:rStyle w:val="findhit"/>
          <w:rFonts w:ascii="Calibri" w:hAnsi="Calibri" w:cs="Calibri"/>
          <w:i/>
          <w:iCs/>
          <w:color w:val="000000"/>
          <w:shd w:val="clear" w:color="auto" w:fill="FFFFFF"/>
          <w:lang w:val="en-GB"/>
        </w:rPr>
        <w:t>Research and Exper</w:t>
      </w:r>
      <w:r w:rsidR="0044724D">
        <w:rPr>
          <w:rStyle w:val="normaltextrun"/>
          <w:rFonts w:ascii="Calibri" w:hAnsi="Calibri" w:cs="Calibri"/>
          <w:i/>
          <w:iCs/>
          <w:color w:val="000000"/>
          <w:shd w:val="clear" w:color="auto" w:fill="FFFFFF"/>
          <w:lang w:val="en-GB"/>
        </w:rPr>
        <w:t xml:space="preserve">imental Development, Businesses, Australia </w:t>
      </w:r>
      <w:r w:rsidR="0044724D">
        <w:rPr>
          <w:rStyle w:val="normaltextrun"/>
          <w:rFonts w:ascii="Calibri" w:hAnsi="Calibri" w:cs="Calibri"/>
          <w:color w:val="000000"/>
          <w:shd w:val="clear" w:color="auto" w:fill="FFFFFF"/>
          <w:lang w:val="en-GB"/>
        </w:rPr>
        <w:t>[data set].</w:t>
      </w:r>
      <w:r w:rsidR="0044724D">
        <w:rPr>
          <w:rStyle w:val="eop"/>
          <w:rFonts w:ascii="Calibri" w:hAnsi="Calibri" w:cs="Calibri"/>
          <w:color w:val="000000"/>
          <w:shd w:val="clear" w:color="auto" w:fill="FFFFFF"/>
        </w:rPr>
        <w:t> </w:t>
      </w:r>
      <w:r w:rsidRPr="00454CBF">
        <w:t xml:space="preserve"> </w:t>
      </w:r>
    </w:p>
  </w:footnote>
  <w:footnote w:id="431">
    <w:p w14:paraId="37F91D3A" w14:textId="4353CED4" w:rsidR="00324B53" w:rsidRPr="00454CBF" w:rsidRDefault="00324B53" w:rsidP="00324B53">
      <w:pPr>
        <w:pStyle w:val="FootnoteText"/>
      </w:pPr>
      <w:r w:rsidRPr="00454CBF">
        <w:rPr>
          <w:rStyle w:val="FootnoteReference"/>
        </w:rPr>
        <w:footnoteRef/>
      </w:r>
      <w:r w:rsidRPr="00454CBF">
        <w:t xml:space="preserve"> Universities Australia, </w:t>
      </w:r>
      <w:r w:rsidR="00BA0276" w:rsidRPr="00EC2A56">
        <w:rPr>
          <w:i/>
        </w:rPr>
        <w:t>2022 Higher Education Facts and Figures</w:t>
      </w:r>
      <w:r w:rsidRPr="00454CBF">
        <w:rPr>
          <w:i/>
          <w:iCs/>
        </w:rPr>
        <w:t xml:space="preserve">, </w:t>
      </w:r>
      <w:r w:rsidR="00BA0276">
        <w:t xml:space="preserve">(June 2022), </w:t>
      </w:r>
      <w:r w:rsidRPr="00454CBF">
        <w:t>90</w:t>
      </w:r>
      <w:r w:rsidRPr="00454CBF" w:rsidDel="00BA0276">
        <w:t xml:space="preserve">, </w:t>
      </w:r>
      <w:hyperlink r:id="rId252" w:history="1">
        <w:r w:rsidR="00DB47CD" w:rsidRPr="0069099E">
          <w:rPr>
            <w:rStyle w:val="Hyperlink"/>
          </w:rPr>
          <w:t>universitiesaustralia.edu.au/wp-content/uploads/2022/09/220207-HE-Facts-and-Figures-2022_2.0.pdf</w:t>
        </w:r>
      </w:hyperlink>
      <w:r w:rsidR="000D1C10">
        <w:t>.</w:t>
      </w:r>
      <w:r w:rsidRPr="00454CBF" w:rsidDel="00BA0276">
        <w:t xml:space="preserve"> </w:t>
      </w:r>
    </w:p>
  </w:footnote>
  <w:footnote w:id="432">
    <w:p w14:paraId="02D1C7C1" w14:textId="725E0CDF" w:rsidR="00701D53" w:rsidRPr="00454CBF" w:rsidRDefault="00701D53" w:rsidP="00701D53">
      <w:pPr>
        <w:pStyle w:val="FootnoteText"/>
      </w:pPr>
      <w:r w:rsidRPr="00454CBF">
        <w:rPr>
          <w:rStyle w:val="FootnoteReference"/>
        </w:rPr>
        <w:footnoteRef/>
      </w:r>
      <w:r w:rsidRPr="00454CBF">
        <w:t xml:space="preserve"> </w:t>
      </w:r>
      <w:r w:rsidR="009022B2">
        <w:rPr>
          <w:rStyle w:val="normaltextrun"/>
          <w:rFonts w:ascii="Calibri" w:hAnsi="Calibri" w:cs="Calibri"/>
          <w:i/>
          <w:iCs/>
          <w:color w:val="000000"/>
          <w:shd w:val="clear" w:color="auto" w:fill="FFFFFF"/>
          <w:lang w:val="en-GB"/>
        </w:rPr>
        <w:t>Higher Education Support Act 2003,</w:t>
      </w:r>
      <w:r>
        <w:rPr>
          <w:rStyle w:val="normaltextrun"/>
          <w:rFonts w:ascii="Calibri" w:hAnsi="Calibri" w:cs="Calibri"/>
          <w:i/>
          <w:color w:val="000000"/>
          <w:shd w:val="clear" w:color="auto" w:fill="FFFFFF"/>
          <w:lang w:val="en-GB"/>
        </w:rPr>
        <w:t xml:space="preserve"> </w:t>
      </w:r>
      <w:r>
        <w:rPr>
          <w:rStyle w:val="normaltextrun"/>
          <w:rFonts w:ascii="Calibri" w:hAnsi="Calibri" w:cs="Calibri"/>
          <w:color w:val="000000"/>
          <w:shd w:val="clear" w:color="auto" w:fill="FFFFFF"/>
          <w:lang w:val="en-GB"/>
        </w:rPr>
        <w:t>Table A</w:t>
      </w:r>
      <w:r w:rsidR="009022B2">
        <w:rPr>
          <w:rStyle w:val="normaltextrun"/>
          <w:rFonts w:ascii="Calibri" w:hAnsi="Calibri" w:cs="Calibri"/>
          <w:color w:val="000000"/>
          <w:shd w:val="clear" w:color="auto" w:fill="FFFFFF"/>
          <w:lang w:val="en-GB"/>
        </w:rPr>
        <w:t>.</w:t>
      </w:r>
    </w:p>
  </w:footnote>
  <w:footnote w:id="433">
    <w:p w14:paraId="0916F672" w14:textId="6F3E5CF6" w:rsidR="00CA2141" w:rsidRDefault="00CA2141">
      <w:pPr>
        <w:pStyle w:val="FootnoteText"/>
      </w:pPr>
      <w:r>
        <w:rPr>
          <w:rStyle w:val="FootnoteReference"/>
        </w:rPr>
        <w:footnoteRef/>
      </w:r>
      <w:r>
        <w:t xml:space="preserve"> </w:t>
      </w:r>
      <w:bookmarkStart w:id="1512" w:name="_Hlk153285364"/>
      <w:r>
        <w:t xml:space="preserve">While </w:t>
      </w:r>
      <w:r w:rsidR="00777ABB">
        <w:t xml:space="preserve">s.36-30 of HESA states that </w:t>
      </w:r>
      <w:r w:rsidR="004B2789">
        <w:t xml:space="preserve">if a domestic student is enrolled in an undergraduate course of study at </w:t>
      </w:r>
      <w:r w:rsidR="00777ABB">
        <w:t>a Table A provider</w:t>
      </w:r>
      <w:r w:rsidR="004B2789">
        <w:t>, the provider</w:t>
      </w:r>
      <w:r w:rsidR="00777ABB">
        <w:t xml:space="preserve"> must </w:t>
      </w:r>
      <w:r w:rsidR="00B16193">
        <w:t xml:space="preserve">enrol </w:t>
      </w:r>
      <w:r w:rsidR="004B2789">
        <w:t>them</w:t>
      </w:r>
      <w:r w:rsidR="00777ABB">
        <w:t xml:space="preserve"> as a Commonwealth supported student, there are limited </w:t>
      </w:r>
      <w:r w:rsidR="00E04685">
        <w:t>instances where this is not necessary, including when the student</w:t>
      </w:r>
      <w:r w:rsidR="00714EDC">
        <w:t>: elects not to be Commonwealth supported (s.36-10 (3));</w:t>
      </w:r>
      <w:r w:rsidR="00E04685">
        <w:t xml:space="preserve"> originally enrols in the course as an overseas student (s. 36-30 (d))</w:t>
      </w:r>
      <w:r w:rsidR="00714EDC">
        <w:t>;</w:t>
      </w:r>
      <w:r w:rsidR="00E04685">
        <w:t xml:space="preserve"> is in an employer reserved place (s.36-15 (1)(a)</w:t>
      </w:r>
      <w:r w:rsidR="00714EDC">
        <w:t>); or is in a summer or winter school unit of study (s.36-10(7)).</w:t>
      </w:r>
      <w:bookmarkEnd w:id="1512"/>
    </w:p>
  </w:footnote>
  <w:footnote w:id="434">
    <w:p w14:paraId="44E8D71C" w14:textId="496FEF50" w:rsidR="00701D53" w:rsidRPr="00454CBF" w:rsidRDefault="00701D53" w:rsidP="00701D53">
      <w:pPr>
        <w:pStyle w:val="FootnoteText"/>
      </w:pPr>
      <w:r w:rsidRPr="00454CBF">
        <w:rPr>
          <w:rStyle w:val="FootnoteReference"/>
        </w:rPr>
        <w:footnoteRef/>
      </w:r>
      <w:r w:rsidRPr="00454CBF">
        <w:t xml:space="preserve"> Department of Education</w:t>
      </w:r>
      <w:r w:rsidRPr="001C28AE">
        <w:rPr>
          <w:i/>
        </w:rPr>
        <w:t xml:space="preserve">, Higher Education </w:t>
      </w:r>
      <w:r w:rsidR="001C28AE" w:rsidRPr="001C28AE">
        <w:rPr>
          <w:i/>
          <w:iCs/>
        </w:rPr>
        <w:t>Statistics – Student Data – 2022 Section 5 Liability status categories.</w:t>
      </w:r>
      <w:r w:rsidR="001C28AE" w:rsidRPr="001C28AE">
        <w:t> </w:t>
      </w:r>
      <w:r w:rsidR="008F0F8D">
        <w:t xml:space="preserve">(Canberra:2023), published 18 December 2023. </w:t>
      </w:r>
      <w:r w:rsidRPr="00454CBF">
        <w:t>Calculation does not include students who were exempt from paying a student contribution.</w:t>
      </w:r>
    </w:p>
  </w:footnote>
  <w:footnote w:id="435">
    <w:p w14:paraId="7F1D53E2" w14:textId="01327D1A" w:rsidR="0063753F" w:rsidRDefault="0063753F">
      <w:pPr>
        <w:pStyle w:val="FootnoteText"/>
      </w:pPr>
      <w:r>
        <w:rPr>
          <w:rStyle w:val="FootnoteReference"/>
        </w:rPr>
        <w:footnoteRef/>
      </w:r>
      <w:r>
        <w:t xml:space="preserve"> The Hon Dr David Kemp and Andrew Norton</w:t>
      </w:r>
      <w:r w:rsidR="00E507FC">
        <w:t xml:space="preserve">, </w:t>
      </w:r>
      <w:r w:rsidR="00445377">
        <w:t>“</w:t>
      </w:r>
      <w:r w:rsidR="00445377" w:rsidRPr="009056E1">
        <w:rPr>
          <w:i/>
        </w:rPr>
        <w:t>Review of the Demand Driven Funding System: Final Report</w:t>
      </w:r>
      <w:r w:rsidR="00E507FC">
        <w:rPr>
          <w:i/>
          <w:iCs/>
        </w:rPr>
        <w:t>,</w:t>
      </w:r>
      <w:r w:rsidR="00445377">
        <w:t>”</w:t>
      </w:r>
      <w:r w:rsidR="00E507FC">
        <w:t xml:space="preserve"> (Canberra: Department of Education, April 2014), </w:t>
      </w:r>
      <w:r w:rsidR="00445377">
        <w:t>ix</w:t>
      </w:r>
      <w:r w:rsidR="000C3D6C">
        <w:t xml:space="preserve">, </w:t>
      </w:r>
      <w:hyperlink r:id="rId253" w:history="1">
        <w:r w:rsidR="00DB47CD" w:rsidRPr="0069099E">
          <w:rPr>
            <w:rStyle w:val="Hyperlink"/>
          </w:rPr>
          <w:t>www.education.gov.au/higher-education-reviews-and-consultations/resources/review-unding-system-report</w:t>
        </w:r>
      </w:hyperlink>
      <w:r w:rsidR="00445377">
        <w:t>.</w:t>
      </w:r>
    </w:p>
  </w:footnote>
  <w:footnote w:id="436">
    <w:p w14:paraId="0E994B86" w14:textId="7B749EDB" w:rsidR="00B920D4" w:rsidRPr="00454CBF" w:rsidRDefault="00B920D4" w:rsidP="00B920D4">
      <w:pPr>
        <w:pStyle w:val="FootnoteText"/>
      </w:pPr>
      <w:r w:rsidRPr="00454CBF">
        <w:rPr>
          <w:rStyle w:val="FootnoteReference"/>
        </w:rPr>
        <w:footnoteRef/>
      </w:r>
      <w:r w:rsidRPr="00454CBF">
        <w:t xml:space="preserve"> </w:t>
      </w:r>
      <w:r w:rsidR="00C174AC">
        <w:rPr>
          <w:rStyle w:val="normaltextrun"/>
          <w:rFonts w:ascii="Calibri" w:hAnsi="Calibri" w:cs="Calibri"/>
          <w:color w:val="000000"/>
          <w:shd w:val="clear" w:color="auto" w:fill="FFFFFF"/>
        </w:rPr>
        <w:t xml:space="preserve">Productivity Commission, </w:t>
      </w:r>
      <w:r w:rsidR="00C174AC">
        <w:rPr>
          <w:rStyle w:val="normaltextrun"/>
          <w:rFonts w:ascii="Calibri" w:hAnsi="Calibri" w:cs="Calibri"/>
          <w:i/>
          <w:iCs/>
          <w:color w:val="000000"/>
          <w:shd w:val="clear" w:color="auto" w:fill="FFFFFF"/>
        </w:rPr>
        <w:t xml:space="preserve">The </w:t>
      </w:r>
      <w:r w:rsidR="00C174AC">
        <w:rPr>
          <w:rStyle w:val="findhit"/>
          <w:rFonts w:ascii="Calibri" w:hAnsi="Calibri" w:cs="Calibri"/>
          <w:i/>
          <w:iCs/>
          <w:color w:val="000000"/>
          <w:shd w:val="clear" w:color="auto" w:fill="FFFFFF"/>
        </w:rPr>
        <w:t>Demand</w:t>
      </w:r>
      <w:r w:rsidR="00C174AC">
        <w:rPr>
          <w:rStyle w:val="normaltextrun"/>
          <w:rFonts w:ascii="Calibri" w:hAnsi="Calibri" w:cs="Calibri"/>
          <w:i/>
          <w:iCs/>
          <w:color w:val="000000"/>
          <w:shd w:val="clear" w:color="auto" w:fill="FFFFFF"/>
        </w:rPr>
        <w:t xml:space="preserve"> Driven University System, </w:t>
      </w:r>
      <w:r w:rsidR="00243F37">
        <w:rPr>
          <w:rStyle w:val="normaltextrun"/>
          <w:rFonts w:ascii="Calibri" w:hAnsi="Calibri" w:cs="Calibri"/>
          <w:color w:val="000000"/>
          <w:shd w:val="clear" w:color="auto" w:fill="FFFFFF"/>
        </w:rPr>
        <w:t>17</w:t>
      </w:r>
      <w:r w:rsidR="00243F37">
        <w:rPr>
          <w:rStyle w:val="normaltextrun"/>
          <w:rFonts w:ascii="Symbol" w:eastAsia="Symbol" w:hAnsi="Symbol" w:cs="Symbol"/>
          <w:color w:val="000000"/>
          <w:shd w:val="clear" w:color="auto" w:fill="FFFFFF"/>
        </w:rPr>
        <w:t>-</w:t>
      </w:r>
      <w:r w:rsidR="00243F37">
        <w:rPr>
          <w:rStyle w:val="normaltextrun"/>
          <w:rFonts w:ascii="Calibri" w:hAnsi="Calibri" w:cs="Calibri"/>
          <w:color w:val="000000"/>
          <w:shd w:val="clear" w:color="auto" w:fill="FFFFFF"/>
        </w:rPr>
        <w:t>37</w:t>
      </w:r>
      <w:r w:rsidR="00C174AC">
        <w:rPr>
          <w:rStyle w:val="normaltextrun"/>
          <w:rFonts w:ascii="Calibri" w:hAnsi="Calibri" w:cs="Calibri"/>
          <w:i/>
          <w:iCs/>
          <w:color w:val="000000"/>
          <w:shd w:val="clear" w:color="auto" w:fill="FFFFFF"/>
        </w:rPr>
        <w:t>.</w:t>
      </w:r>
      <w:r w:rsidR="00C174AC">
        <w:rPr>
          <w:rStyle w:val="eop"/>
          <w:rFonts w:ascii="Calibri" w:hAnsi="Calibri" w:cs="Calibri"/>
          <w:color w:val="000000"/>
          <w:shd w:val="clear" w:color="auto" w:fill="FFFFFF"/>
        </w:rPr>
        <w:t> </w:t>
      </w:r>
      <w:r w:rsidRPr="00454CBF">
        <w:t xml:space="preserve"> </w:t>
      </w:r>
    </w:p>
  </w:footnote>
  <w:footnote w:id="437">
    <w:p w14:paraId="29F2FFBD" w14:textId="77777777" w:rsidR="00B920D4" w:rsidRPr="00454CBF" w:rsidRDefault="00B920D4" w:rsidP="00B920D4">
      <w:pPr>
        <w:pStyle w:val="FootnoteText"/>
      </w:pPr>
      <w:r w:rsidRPr="00454CBF">
        <w:rPr>
          <w:rStyle w:val="FootnoteReference"/>
        </w:rPr>
        <w:footnoteRef/>
      </w:r>
      <w:r w:rsidRPr="00454CBF">
        <w:t xml:space="preserve"> Higher Education Support Amendment (Savings and Other Measures) Bill 2013; Higher Education and Research Reform Amendment Bill 2014; Higher Education Support Legislation Amendment (A More Sustainable, Responsive and Transparent Higher Education System) Bill 2017.</w:t>
      </w:r>
    </w:p>
  </w:footnote>
  <w:footnote w:id="438">
    <w:p w14:paraId="162467E3" w14:textId="6F29F59F" w:rsidR="0070411A" w:rsidRDefault="0070411A" w:rsidP="0070411A">
      <w:pPr>
        <w:pStyle w:val="FootnoteText"/>
      </w:pPr>
      <w:r>
        <w:rPr>
          <w:rStyle w:val="FootnoteReference"/>
        </w:rPr>
        <w:footnoteRef/>
      </w:r>
      <w:r>
        <w:t xml:space="preserve"> </w:t>
      </w:r>
      <w:r w:rsidR="00856E5B" w:rsidRPr="00856E5B">
        <w:t xml:space="preserve">Department of Education, </w:t>
      </w:r>
      <w:r w:rsidR="00856E5B" w:rsidRPr="00856E5B">
        <w:rPr>
          <w:i/>
          <w:iCs/>
        </w:rPr>
        <w:t>Higher Education Statistics – Student data –</w:t>
      </w:r>
      <w:r w:rsidR="00856E5B">
        <w:rPr>
          <w:i/>
          <w:iCs/>
        </w:rPr>
        <w:t xml:space="preserve"> </w:t>
      </w:r>
      <w:r w:rsidR="008F0F8D">
        <w:rPr>
          <w:i/>
          <w:iCs/>
        </w:rPr>
        <w:t>2022</w:t>
      </w:r>
      <w:r w:rsidR="00164F7E">
        <w:rPr>
          <w:i/>
          <w:iCs/>
        </w:rPr>
        <w:t xml:space="preserve"> </w:t>
      </w:r>
      <w:r w:rsidR="00856E5B" w:rsidRPr="00856E5B">
        <w:rPr>
          <w:i/>
          <w:iCs/>
        </w:rPr>
        <w:t xml:space="preserve">Section 2 All students </w:t>
      </w:r>
      <w:r w:rsidR="00856E5B" w:rsidRPr="00856E5B">
        <w:t>[data set]</w:t>
      </w:r>
      <w:r w:rsidR="00164F7E">
        <w:t xml:space="preserve"> (Canberra: 2023), published 18 December 2023</w:t>
      </w:r>
      <w:r w:rsidR="00856E5B" w:rsidRPr="00856E5B">
        <w:t>. </w:t>
      </w:r>
      <w:r>
        <w:t xml:space="preserve"> </w:t>
      </w:r>
    </w:p>
  </w:footnote>
  <w:footnote w:id="439">
    <w:p w14:paraId="6A49C801" w14:textId="25DB11B9" w:rsidR="00B920D4" w:rsidRPr="00454CBF" w:rsidRDefault="00B920D4" w:rsidP="00B920D4">
      <w:pPr>
        <w:pStyle w:val="FootnoteText"/>
      </w:pPr>
      <w:r w:rsidRPr="00454CBF">
        <w:rPr>
          <w:rStyle w:val="FootnoteReference"/>
        </w:rPr>
        <w:footnoteRef/>
      </w:r>
      <w:r w:rsidRPr="00454CBF">
        <w:t xml:space="preserve"> </w:t>
      </w:r>
      <w:r w:rsidR="00856E5B" w:rsidRPr="00856E5B">
        <w:t>Department of Education</w:t>
      </w:r>
      <w:r w:rsidR="00856E5B" w:rsidRPr="00856E5B">
        <w:rPr>
          <w:i/>
          <w:iCs/>
        </w:rPr>
        <w:t>, Higher Education Statistics – Student Data – 2022 Section 5 Liability status categories</w:t>
      </w:r>
      <w:r w:rsidR="00856E5B">
        <w:rPr>
          <w:i/>
          <w:iCs/>
        </w:rPr>
        <w:t>,</w:t>
      </w:r>
      <w:r>
        <w:rPr>
          <w:i/>
        </w:rPr>
        <w:t xml:space="preserve"> </w:t>
      </w:r>
      <w:r w:rsidR="00164F7E">
        <w:t>(Canberra: 2023), published 18 December 2023</w:t>
      </w:r>
      <w:r w:rsidR="00164F7E" w:rsidRPr="00856E5B">
        <w:t>. </w:t>
      </w:r>
      <w:r w:rsidRPr="00454CBF">
        <w:t>Calculation does not include students who were exempt from paying a tuition fee, including those undertaking Work Experience in Industry.</w:t>
      </w:r>
    </w:p>
  </w:footnote>
  <w:footnote w:id="440">
    <w:p w14:paraId="14DBEBFB" w14:textId="1BF19E57" w:rsidR="002B61AD" w:rsidRDefault="002B61AD">
      <w:pPr>
        <w:pStyle w:val="FootnoteText"/>
      </w:pPr>
      <w:r>
        <w:rPr>
          <w:rStyle w:val="FootnoteReference"/>
        </w:rPr>
        <w:footnoteRef/>
      </w:r>
      <w:r>
        <w:t xml:space="preserve"> </w:t>
      </w:r>
      <w:r w:rsidRPr="00454CBF">
        <w:t xml:space="preserve">Department of Education, </w:t>
      </w:r>
      <w:hyperlink r:id="rId254" w:history="1">
        <w:r w:rsidRPr="00454CBF">
          <w:rPr>
            <w:i/>
          </w:rPr>
          <w:t>Higher Education Providers Finance Tables</w:t>
        </w:r>
      </w:hyperlink>
      <w:r w:rsidRPr="00454CBF">
        <w:rPr>
          <w:i/>
        </w:rPr>
        <w:t xml:space="preserve"> </w:t>
      </w:r>
      <w:r w:rsidR="00243F37">
        <w:rPr>
          <w:i/>
        </w:rPr>
        <w:t>2004–2021</w:t>
      </w:r>
      <w:r w:rsidRPr="00454CBF">
        <w:rPr>
          <w:i/>
        </w:rPr>
        <w:t xml:space="preserve"> </w:t>
      </w:r>
      <w:r w:rsidRPr="00454CBF">
        <w:t>[data set</w:t>
      </w:r>
      <w:r w:rsidR="00243F37">
        <w:t>].</w:t>
      </w:r>
    </w:p>
  </w:footnote>
  <w:footnote w:id="441">
    <w:p w14:paraId="273E4840" w14:textId="3F1DCCE8" w:rsidR="00A53EF1" w:rsidRDefault="00A53EF1">
      <w:pPr>
        <w:pStyle w:val="FootnoteText"/>
      </w:pPr>
      <w:r>
        <w:rPr>
          <w:rStyle w:val="FootnoteReference"/>
        </w:rPr>
        <w:footnoteRef/>
      </w:r>
      <w:r>
        <w:t xml:space="preserve"> </w:t>
      </w:r>
      <w:r w:rsidR="00CD7697" w:rsidRPr="007169B7">
        <w:rPr>
          <w:color w:val="000000"/>
        </w:rPr>
        <w:t xml:space="preserve">Productivity Commission, </w:t>
      </w:r>
      <w:r w:rsidR="00CD7697" w:rsidRPr="005B6852">
        <w:rPr>
          <w:i/>
          <w:color w:val="000000"/>
        </w:rPr>
        <w:t>5-year Productivity Inquiry: From learning to growth</w:t>
      </w:r>
      <w:r w:rsidR="00CD7697" w:rsidRPr="007169B7">
        <w:rPr>
          <w:color w:val="000000"/>
        </w:rPr>
        <w:t>, 69.</w:t>
      </w:r>
    </w:p>
  </w:footnote>
  <w:footnote w:id="442">
    <w:p w14:paraId="5C879EC8" w14:textId="13F4BC08" w:rsidR="00AD2B93" w:rsidRPr="00454CBF" w:rsidRDefault="00AD2B93" w:rsidP="00AD2B93">
      <w:pPr>
        <w:pStyle w:val="FootnoteText"/>
      </w:pPr>
      <w:r w:rsidRPr="00454CBF">
        <w:rPr>
          <w:rStyle w:val="FootnoteReference"/>
        </w:rPr>
        <w:footnoteRef/>
      </w:r>
      <w:r w:rsidR="004D182E">
        <w:t xml:space="preserve"> </w:t>
      </w:r>
      <w:r w:rsidR="004D182E" w:rsidRPr="004D182E">
        <w:t xml:space="preserve">Department of Education, </w:t>
      </w:r>
      <w:r w:rsidR="004D182E" w:rsidRPr="004D182E">
        <w:rPr>
          <w:i/>
          <w:iCs/>
        </w:rPr>
        <w:t>Administrative data</w:t>
      </w:r>
      <w:r w:rsidR="004D182E" w:rsidRPr="004D182E">
        <w:t xml:space="preserve"> [unpublished]. </w:t>
      </w:r>
    </w:p>
  </w:footnote>
  <w:footnote w:id="443">
    <w:p w14:paraId="707F9194" w14:textId="37154E07" w:rsidR="005C796F" w:rsidRPr="00DD0EB3" w:rsidRDefault="005C796F" w:rsidP="005C796F">
      <w:pPr>
        <w:pStyle w:val="FootnoteText"/>
      </w:pPr>
      <w:r w:rsidRPr="00DD0EB3">
        <w:rPr>
          <w:rStyle w:val="FootnoteReference"/>
        </w:rPr>
        <w:footnoteRef/>
      </w:r>
      <w:r w:rsidRPr="00DD0EB3">
        <w:t xml:space="preserve"> </w:t>
      </w:r>
      <w:r w:rsidRPr="007169B7">
        <w:rPr>
          <w:color w:val="000000"/>
        </w:rPr>
        <w:t>Productivity Commission</w:t>
      </w:r>
      <w:r w:rsidRPr="000E0238">
        <w:rPr>
          <w:i/>
          <w:color w:val="000000"/>
        </w:rPr>
        <w:t xml:space="preserve">, 5-year Productivity Inquiry: From learning to </w:t>
      </w:r>
      <w:r w:rsidRPr="003C0C51">
        <w:rPr>
          <w:i/>
          <w:color w:val="000000"/>
        </w:rPr>
        <w:t>growth</w:t>
      </w:r>
      <w:r w:rsidRPr="007169B7">
        <w:rPr>
          <w:color w:val="000000"/>
        </w:rPr>
        <w:t>, 69.</w:t>
      </w:r>
    </w:p>
  </w:footnote>
  <w:footnote w:id="444">
    <w:p w14:paraId="298A7F10" w14:textId="08F5F902" w:rsidR="00687499" w:rsidRPr="00454CBF" w:rsidRDefault="00687499" w:rsidP="00687499">
      <w:pPr>
        <w:pStyle w:val="FootnoteText"/>
      </w:pPr>
      <w:r w:rsidRPr="00454CBF">
        <w:rPr>
          <w:rStyle w:val="FootnoteReference"/>
        </w:rPr>
        <w:footnoteRef/>
      </w:r>
      <w:r w:rsidRPr="00454CBF">
        <w:t xml:space="preserve"> Deloitte Economics Australia</w:t>
      </w:r>
      <w:r w:rsidR="004D182E">
        <w:t xml:space="preserve">, </w:t>
      </w:r>
      <w:r w:rsidRPr="00454CBF">
        <w:rPr>
          <w:i/>
          <w:iCs/>
        </w:rPr>
        <w:t>Transparency in Higher Education Expenditure</w:t>
      </w:r>
      <w:r w:rsidRPr="00454CBF">
        <w:t xml:space="preserve">, </w:t>
      </w:r>
      <w:r w:rsidR="004D182E">
        <w:t>(</w:t>
      </w:r>
      <w:r w:rsidR="00ED3942">
        <w:t>Canberra: Department of Education, Skills and Employment, June 2022),</w:t>
      </w:r>
      <w:r w:rsidRPr="00454CBF">
        <w:t xml:space="preserve"> 74</w:t>
      </w:r>
      <w:r w:rsidR="00ED3942">
        <w:t xml:space="preserve">, </w:t>
      </w:r>
      <w:hyperlink r:id="rId255" w:history="1">
        <w:r w:rsidR="00DB47CD" w:rsidRPr="0069099E">
          <w:rPr>
            <w:rStyle w:val="Hyperlink"/>
          </w:rPr>
          <w:t>www.education.gov.au/higher-education-publications/resources/2022-transparency-higher-education-expenditure-publication</w:t>
        </w:r>
      </w:hyperlink>
      <w:r w:rsidR="00ED3942">
        <w:t>.</w:t>
      </w:r>
    </w:p>
  </w:footnote>
  <w:footnote w:id="445">
    <w:p w14:paraId="63115D7D" w14:textId="5F5E7BCC" w:rsidR="00B920D4" w:rsidRPr="00601877" w:rsidRDefault="00B920D4" w:rsidP="00B920D4">
      <w:pPr>
        <w:pStyle w:val="FootnoteText"/>
        <w:rPr>
          <w:rFonts w:cstheme="minorHAnsi"/>
        </w:rPr>
      </w:pPr>
      <w:r w:rsidRPr="00601877">
        <w:rPr>
          <w:rStyle w:val="FootnoteReference"/>
          <w:rFonts w:cstheme="minorHAnsi"/>
        </w:rPr>
        <w:footnoteRef/>
      </w:r>
      <w:r w:rsidRPr="00601877">
        <w:rPr>
          <w:rFonts w:cstheme="minorHAnsi"/>
        </w:rPr>
        <w:t xml:space="preserve"> Andrew Norton, </w:t>
      </w:r>
      <w:r w:rsidRPr="00601877">
        <w:rPr>
          <w:rFonts w:cstheme="minorHAnsi"/>
          <w:i/>
        </w:rPr>
        <w:t xml:space="preserve">The cash nexus: how teaching funds research in Australian universities, </w:t>
      </w:r>
      <w:r w:rsidR="00ED3942">
        <w:rPr>
          <w:rFonts w:cstheme="minorHAnsi"/>
          <w:iCs/>
        </w:rPr>
        <w:t xml:space="preserve">(Melbourne: </w:t>
      </w:r>
      <w:r w:rsidRPr="00601877">
        <w:rPr>
          <w:rFonts w:cstheme="minorHAnsi"/>
        </w:rPr>
        <w:t xml:space="preserve">Grattan Institute, </w:t>
      </w:r>
      <w:r w:rsidR="00ED3942" w:rsidRPr="00601877">
        <w:rPr>
          <w:rFonts w:cstheme="minorHAnsi"/>
        </w:rPr>
        <w:t>November 2015)</w:t>
      </w:r>
      <w:r w:rsidRPr="00601877">
        <w:rPr>
          <w:rFonts w:cstheme="minorHAnsi"/>
        </w:rPr>
        <w:t xml:space="preserve">, </w:t>
      </w:r>
      <w:hyperlink r:id="rId256" w:history="1">
        <w:r w:rsidR="00DB47CD" w:rsidRPr="0069099E">
          <w:rPr>
            <w:rStyle w:val="Hyperlink"/>
            <w:rFonts w:cstheme="minorHAnsi"/>
          </w:rPr>
          <w:t>grattan.edu.au/wp-content/uploads/2015/10/831-Cash-nexus-report.pdf</w:t>
        </w:r>
      </w:hyperlink>
      <w:r w:rsidR="00596085">
        <w:rPr>
          <w:rFonts w:cstheme="minorHAnsi"/>
        </w:rPr>
        <w:t>.</w:t>
      </w:r>
    </w:p>
  </w:footnote>
  <w:footnote w:id="446">
    <w:p w14:paraId="52AFDE17" w14:textId="625B210C" w:rsidR="002B188D" w:rsidRDefault="002B188D">
      <w:pPr>
        <w:pStyle w:val="FootnoteText"/>
      </w:pPr>
      <w:r>
        <w:rPr>
          <w:rStyle w:val="FootnoteReference"/>
        </w:rPr>
        <w:footnoteRef/>
      </w:r>
      <w:r>
        <w:t xml:space="preserve"> </w:t>
      </w:r>
      <w:r w:rsidRPr="00454CBF">
        <w:t>Department of Education</w:t>
      </w:r>
      <w:r w:rsidRPr="00596085">
        <w:rPr>
          <w:i/>
          <w:iCs/>
        </w:rPr>
        <w:t xml:space="preserve"> Time Series Dataset</w:t>
      </w:r>
      <w:r>
        <w:rPr>
          <w:i/>
          <w:iCs/>
        </w:rPr>
        <w:t xml:space="preserve"> </w:t>
      </w:r>
      <w:r w:rsidRPr="00596085">
        <w:rPr>
          <w:i/>
          <w:iCs/>
        </w:rPr>
        <w:t>– Research Income Time Series</w:t>
      </w:r>
      <w:r>
        <w:rPr>
          <w:i/>
          <w:iCs/>
        </w:rPr>
        <w:t xml:space="preserve"> </w:t>
      </w:r>
      <w:r w:rsidRPr="00596085">
        <w:t>[data set]</w:t>
      </w:r>
      <w:r>
        <w:t>.</w:t>
      </w:r>
    </w:p>
  </w:footnote>
  <w:footnote w:id="447">
    <w:p w14:paraId="672EE336" w14:textId="0B085FEC" w:rsidR="00900181" w:rsidRPr="00454CBF" w:rsidRDefault="00900181" w:rsidP="00900181">
      <w:pPr>
        <w:pStyle w:val="FootnoteText"/>
      </w:pPr>
      <w:r w:rsidRPr="00454CBF">
        <w:rPr>
          <w:rStyle w:val="FootnoteReference"/>
        </w:rPr>
        <w:footnoteRef/>
      </w:r>
      <w:r w:rsidRPr="00454CBF">
        <w:t xml:space="preserve"> Department of Education</w:t>
      </w:r>
      <w:r w:rsidR="00596085" w:rsidRPr="00596085">
        <w:rPr>
          <w:i/>
          <w:iCs/>
        </w:rPr>
        <w:t xml:space="preserve"> Time Series Dataset</w:t>
      </w:r>
      <w:r w:rsidR="00596085">
        <w:rPr>
          <w:i/>
          <w:iCs/>
        </w:rPr>
        <w:t xml:space="preserve"> </w:t>
      </w:r>
      <w:r w:rsidR="00596085" w:rsidRPr="00596085">
        <w:rPr>
          <w:i/>
          <w:iCs/>
        </w:rPr>
        <w:t>– Research Income Time Series</w:t>
      </w:r>
      <w:r w:rsidR="00596085">
        <w:rPr>
          <w:i/>
          <w:iCs/>
        </w:rPr>
        <w:t xml:space="preserve"> </w:t>
      </w:r>
      <w:r w:rsidR="00596085" w:rsidRPr="00596085">
        <w:t>[data set]</w:t>
      </w:r>
      <w:r w:rsidR="00596085">
        <w:t>.</w:t>
      </w:r>
    </w:p>
  </w:footnote>
  <w:footnote w:id="448">
    <w:p w14:paraId="26695B0E" w14:textId="579883D9" w:rsidR="00B920D4" w:rsidRPr="00601877" w:rsidRDefault="00B920D4" w:rsidP="00B920D4">
      <w:pPr>
        <w:pStyle w:val="FootnoteText"/>
        <w:rPr>
          <w:rFonts w:cstheme="minorHAnsi"/>
        </w:rPr>
      </w:pPr>
      <w:r w:rsidRPr="00601877">
        <w:rPr>
          <w:rStyle w:val="FootnoteReference"/>
          <w:rFonts w:cstheme="minorHAnsi"/>
        </w:rPr>
        <w:footnoteRef/>
      </w:r>
      <w:r w:rsidRPr="00601877">
        <w:rPr>
          <w:rFonts w:cstheme="minorHAnsi"/>
        </w:rPr>
        <w:t xml:space="preserve"> Department of Education, </w:t>
      </w:r>
      <w:r w:rsidR="00596085" w:rsidRPr="00596085">
        <w:rPr>
          <w:rFonts w:cstheme="minorHAnsi"/>
          <w:i/>
          <w:iCs/>
        </w:rPr>
        <w:t>Time Series Dataset</w:t>
      </w:r>
      <w:r w:rsidR="00596085">
        <w:rPr>
          <w:rFonts w:cstheme="minorHAnsi"/>
          <w:i/>
          <w:iCs/>
        </w:rPr>
        <w:t xml:space="preserve"> </w:t>
      </w:r>
      <w:r w:rsidR="00596085" w:rsidRPr="00596085">
        <w:rPr>
          <w:rFonts w:cstheme="minorHAnsi"/>
          <w:i/>
          <w:iCs/>
        </w:rPr>
        <w:t>–Research Block Grant Allocations</w:t>
      </w:r>
      <w:r w:rsidR="00596085" w:rsidRPr="00596085">
        <w:rPr>
          <w:rFonts w:cstheme="minorHAnsi"/>
        </w:rPr>
        <w:t xml:space="preserve"> [data set]</w:t>
      </w:r>
      <w:r w:rsidR="00596085">
        <w:rPr>
          <w:rFonts w:cstheme="minorHAnsi"/>
        </w:rPr>
        <w:t>.</w:t>
      </w:r>
    </w:p>
  </w:footnote>
  <w:footnote w:id="449">
    <w:p w14:paraId="62DEB4C9" w14:textId="46C01DAF" w:rsidR="003F6B15" w:rsidRDefault="003F6B15">
      <w:pPr>
        <w:pStyle w:val="FootnoteText"/>
      </w:pPr>
      <w:r>
        <w:rPr>
          <w:rStyle w:val="FootnoteReference"/>
        </w:rPr>
        <w:footnoteRef/>
      </w:r>
      <w:r>
        <w:t xml:space="preserve"> </w:t>
      </w:r>
      <w:r w:rsidR="00152B3A" w:rsidRPr="00287D28">
        <w:t>The</w:t>
      </w:r>
      <w:r>
        <w:t xml:space="preserve"> </w:t>
      </w:r>
      <w:r w:rsidRPr="00561F97">
        <w:rPr>
          <w:rStyle w:val="normaltextrun"/>
          <w:rFonts w:cstheme="minorHAnsi"/>
          <w:bdr w:val="none" w:sz="0" w:space="0" w:color="auto" w:frame="1"/>
        </w:rPr>
        <w:t>Hon. Peter Baldwin</w:t>
      </w:r>
      <w:r w:rsidR="00152B3A" w:rsidRPr="00561F97">
        <w:rPr>
          <w:rStyle w:val="normaltextrun"/>
          <w:rFonts w:cstheme="minorHAnsi"/>
          <w:bdr w:val="none" w:sz="0" w:space="0" w:color="auto" w:frame="1"/>
        </w:rPr>
        <w:t xml:space="preserve">, </w:t>
      </w:r>
      <w:r w:rsidR="006D4C42" w:rsidRPr="00561F97">
        <w:rPr>
          <w:rStyle w:val="normaltextrun"/>
          <w:rFonts w:cstheme="minorHAnsi"/>
          <w:i/>
          <w:bdr w:val="none" w:sz="0" w:space="0" w:color="auto" w:frame="1"/>
        </w:rPr>
        <w:t>Assessment</w:t>
      </w:r>
      <w:r w:rsidRPr="00561F97">
        <w:rPr>
          <w:rStyle w:val="normaltextrun"/>
          <w:rFonts w:cstheme="minorHAnsi"/>
          <w:i/>
          <w:bdr w:val="none" w:sz="0" w:space="0" w:color="auto" w:frame="1"/>
        </w:rPr>
        <w:t xml:space="preserve"> of the Relative Funding Position of Australia’s Higher Education Institutions</w:t>
      </w:r>
      <w:r w:rsidR="00152B3A" w:rsidRPr="00561F97">
        <w:rPr>
          <w:rStyle w:val="normaltextrun"/>
          <w:rFonts w:cstheme="minorHAnsi"/>
          <w:bdr w:val="none" w:sz="0" w:space="0" w:color="auto" w:frame="1"/>
        </w:rPr>
        <w:t>, (Canberra: Australian Government Publishing Service, 1990), hdl.voced.edu.au/10707/644479</w:t>
      </w:r>
      <w:r w:rsidRPr="00561F97">
        <w:rPr>
          <w:rStyle w:val="normaltextrun"/>
          <w:rFonts w:cstheme="minorHAnsi"/>
          <w:bdr w:val="none" w:sz="0" w:space="0" w:color="auto" w:frame="1"/>
        </w:rPr>
        <w:t>.</w:t>
      </w:r>
      <w:r w:rsidRPr="00561F97">
        <w:rPr>
          <w:rStyle w:val="normaltextrun"/>
          <w:rFonts w:ascii="Arial" w:hAnsi="Arial" w:cs="Arial"/>
          <w:bdr w:val="none" w:sz="0" w:space="0" w:color="auto" w:frame="1"/>
        </w:rPr>
        <w:t> </w:t>
      </w:r>
    </w:p>
  </w:footnote>
  <w:footnote w:id="450">
    <w:p w14:paraId="73F2A13E" w14:textId="533F9931" w:rsidR="00252BCF" w:rsidRDefault="00252BCF">
      <w:pPr>
        <w:pStyle w:val="FootnoteText"/>
      </w:pPr>
      <w:r>
        <w:rPr>
          <w:rStyle w:val="FootnoteReference"/>
        </w:rPr>
        <w:footnoteRef/>
      </w:r>
      <w:r>
        <w:t xml:space="preserve"> </w:t>
      </w:r>
      <w:r w:rsidRPr="008F7E5D">
        <w:rPr>
          <w:rStyle w:val="normaltextrun"/>
          <w:rFonts w:cstheme="minorHAnsi"/>
          <w:shd w:val="clear" w:color="auto" w:fill="FFFFFF"/>
        </w:rPr>
        <w:t xml:space="preserve">Ian Watt, </w:t>
      </w:r>
      <w:r w:rsidRPr="008F7E5D">
        <w:rPr>
          <w:rStyle w:val="normaltextrun"/>
          <w:rFonts w:cstheme="minorHAnsi"/>
          <w:i/>
          <w:shd w:val="clear" w:color="auto" w:fill="FFFFFF"/>
        </w:rPr>
        <w:t xml:space="preserve">Report of the Review of Research </w:t>
      </w:r>
      <w:proofErr w:type="gramStart"/>
      <w:r w:rsidRPr="008F7E5D">
        <w:rPr>
          <w:rStyle w:val="normaltextrun"/>
          <w:rFonts w:cstheme="minorHAnsi"/>
          <w:i/>
          <w:shd w:val="clear" w:color="auto" w:fill="FFFFFF"/>
        </w:rPr>
        <w:t>Policy</w:t>
      </w:r>
      <w:proofErr w:type="gramEnd"/>
      <w:r w:rsidRPr="008F7E5D">
        <w:rPr>
          <w:rStyle w:val="normaltextrun"/>
          <w:rFonts w:cstheme="minorHAnsi"/>
          <w:i/>
          <w:shd w:val="clear" w:color="auto" w:fill="FFFFFF"/>
        </w:rPr>
        <w:t xml:space="preserve"> and Funding Arrangements</w:t>
      </w:r>
      <w:r w:rsidR="00C537F1">
        <w:rPr>
          <w:rStyle w:val="normaltextrun"/>
          <w:rFonts w:cstheme="minorHAnsi"/>
          <w:i/>
          <w:shd w:val="clear" w:color="auto" w:fill="FFFFFF"/>
        </w:rPr>
        <w:t xml:space="preserve">, </w:t>
      </w:r>
      <w:r w:rsidRPr="008F7E5D">
        <w:rPr>
          <w:rStyle w:val="normaltextrun"/>
          <w:rFonts w:cstheme="minorHAnsi"/>
          <w:shd w:val="clear" w:color="auto" w:fill="FFFFFF"/>
        </w:rPr>
        <w:t>(Canberra: Department of Education and Training, 2015</w:t>
      </w:r>
      <w:r w:rsidRPr="00561F97">
        <w:rPr>
          <w:rStyle w:val="normaltextrun"/>
          <w:rFonts w:cstheme="minorHAnsi"/>
          <w:shd w:val="clear" w:color="auto" w:fill="FFFFFF"/>
        </w:rPr>
        <w:t>)</w:t>
      </w:r>
      <w:r w:rsidR="00C537F1">
        <w:rPr>
          <w:rStyle w:val="normaltextrun"/>
          <w:rFonts w:cstheme="minorHAnsi"/>
          <w:shd w:val="clear" w:color="auto" w:fill="FFFFFF"/>
        </w:rPr>
        <w:t>,</w:t>
      </w:r>
      <w:r w:rsidR="00C94D2D">
        <w:rPr>
          <w:rStyle w:val="normaltextrun"/>
          <w:rFonts w:cstheme="minorHAnsi"/>
          <w:shd w:val="clear" w:color="auto" w:fill="FFFFFF"/>
        </w:rPr>
        <w:t xml:space="preserve"> </w:t>
      </w:r>
      <w:r w:rsidR="00C537F1" w:rsidRPr="00C537F1">
        <w:rPr>
          <w:rStyle w:val="normaltextrun"/>
          <w:rFonts w:cstheme="minorHAnsi"/>
          <w:shd w:val="clear" w:color="auto" w:fill="FFFFFF"/>
        </w:rPr>
        <w:t>www.education.gov.au/review-research-policy-and-funding-arrangements</w:t>
      </w:r>
      <w:r w:rsidR="00C537F1">
        <w:rPr>
          <w:rStyle w:val="normaltextrun"/>
          <w:rFonts w:cstheme="minorHAnsi"/>
          <w:shd w:val="clear" w:color="auto" w:fill="FFFFFF"/>
        </w:rPr>
        <w:t>.</w:t>
      </w:r>
    </w:p>
  </w:footnote>
  <w:footnote w:id="451">
    <w:p w14:paraId="7BB9E68E" w14:textId="49E4C5BE" w:rsidR="00B920D4" w:rsidRPr="00601877" w:rsidRDefault="00B920D4" w:rsidP="00B920D4">
      <w:pPr>
        <w:pStyle w:val="FootnoteText"/>
        <w:rPr>
          <w:rFonts w:cstheme="minorHAnsi"/>
        </w:rPr>
      </w:pPr>
      <w:r w:rsidRPr="00601877">
        <w:rPr>
          <w:rStyle w:val="FootnoteReference"/>
          <w:rFonts w:cstheme="minorHAnsi"/>
        </w:rPr>
        <w:footnoteRef/>
      </w:r>
      <w:r w:rsidRPr="00601877">
        <w:rPr>
          <w:rFonts w:cstheme="minorHAnsi"/>
        </w:rPr>
        <w:t xml:space="preserve"> Knowledge Commercialisation Austral</w:t>
      </w:r>
      <w:r w:rsidR="00227C47">
        <w:rPr>
          <w:rFonts w:cstheme="minorHAnsi"/>
        </w:rPr>
        <w:t>as</w:t>
      </w:r>
      <w:r w:rsidRPr="00601877">
        <w:rPr>
          <w:rFonts w:cstheme="minorHAnsi"/>
        </w:rPr>
        <w:t xml:space="preserve">ia, </w:t>
      </w:r>
      <w:r w:rsidR="00724473">
        <w:rPr>
          <w:rFonts w:cstheme="minorHAnsi"/>
          <w:i/>
          <w:iCs/>
        </w:rPr>
        <w:t>Survey of Commercialisation Outcomes from Publish Research: Summary report,</w:t>
      </w:r>
      <w:r w:rsidR="003D563E" w:rsidRPr="008F7E5D">
        <w:t xml:space="preserve"> </w:t>
      </w:r>
      <w:r w:rsidR="003D563E">
        <w:rPr>
          <w:rFonts w:cstheme="minorHAnsi"/>
        </w:rPr>
        <w:t xml:space="preserve">(Adelaide: </w:t>
      </w:r>
      <w:r w:rsidR="003D563E" w:rsidRPr="008F7E5D">
        <w:t>Knowledge Commercialisation Australasia</w:t>
      </w:r>
      <w:r w:rsidR="003D563E">
        <w:rPr>
          <w:rFonts w:cstheme="minorHAnsi"/>
        </w:rPr>
        <w:t xml:space="preserve">, 11 October 2023), </w:t>
      </w:r>
      <w:hyperlink r:id="rId257" w:history="1">
        <w:r w:rsidR="00DB47CD" w:rsidRPr="0069099E">
          <w:rPr>
            <w:rStyle w:val="Hyperlink"/>
            <w:rFonts w:cstheme="minorHAnsi"/>
          </w:rPr>
          <w:t>techtransfer.org.au/scopr-2022-public-research-powers-ahead-on-commercialisation/</w:t>
        </w:r>
      </w:hyperlink>
      <w:r w:rsidR="00724473">
        <w:rPr>
          <w:rFonts w:cstheme="minorHAnsi"/>
        </w:rPr>
        <w:t>.</w:t>
      </w:r>
    </w:p>
  </w:footnote>
  <w:footnote w:id="452">
    <w:p w14:paraId="2F41415F" w14:textId="28B16A03" w:rsidR="00146AD3" w:rsidRDefault="00146AD3">
      <w:pPr>
        <w:pStyle w:val="FootnoteText"/>
      </w:pPr>
      <w:r>
        <w:rPr>
          <w:rStyle w:val="FootnoteReference"/>
        </w:rPr>
        <w:footnoteRef/>
      </w:r>
      <w:r>
        <w:t xml:space="preserve"> </w:t>
      </w:r>
      <w:r w:rsidRPr="006941E0">
        <w:rPr>
          <w:rStyle w:val="normaltextrun"/>
          <w:rFonts w:ascii="Calibri" w:hAnsi="Calibri" w:cs="Calibri"/>
          <w:color w:val="000000"/>
          <w:shd w:val="clear" w:color="auto" w:fill="FFFFFF"/>
          <w:lang w:val="en-GB"/>
        </w:rPr>
        <w:t xml:space="preserve">Department of Education, </w:t>
      </w:r>
      <w:r w:rsidRPr="00146AD3">
        <w:rPr>
          <w:rStyle w:val="normaltextrun"/>
          <w:rFonts w:ascii="Calibri" w:hAnsi="Calibri" w:cs="Calibri"/>
          <w:i/>
          <w:iCs/>
          <w:color w:val="000000"/>
          <w:shd w:val="clear" w:color="auto" w:fill="FFFFFF"/>
          <w:lang w:val="en-GB"/>
        </w:rPr>
        <w:t>Higher Education Statistics – Student Data</w:t>
      </w:r>
      <w:r w:rsidRPr="006941E0">
        <w:rPr>
          <w:rStyle w:val="normaltextrun"/>
          <w:rFonts w:ascii="Calibri" w:hAnsi="Calibri" w:cs="Calibri"/>
          <w:color w:val="000000"/>
          <w:shd w:val="clear" w:color="auto" w:fill="FFFFFF"/>
          <w:lang w:val="en-GB"/>
        </w:rPr>
        <w:t xml:space="preserve"> [unpublished data], </w:t>
      </w:r>
      <w:r w:rsidR="00EE1FC2">
        <w:rPr>
          <w:rStyle w:val="normaltextrun"/>
          <w:rFonts w:ascii="Calibri" w:hAnsi="Calibri" w:cs="Calibri"/>
          <w:color w:val="000000"/>
          <w:shd w:val="clear" w:color="auto" w:fill="FFFFFF"/>
          <w:lang w:val="en-GB"/>
        </w:rPr>
        <w:t>(</w:t>
      </w:r>
      <w:r w:rsidRPr="006941E0">
        <w:rPr>
          <w:rStyle w:val="normaltextrun"/>
          <w:rFonts w:ascii="Calibri" w:hAnsi="Calibri" w:cs="Calibri"/>
          <w:color w:val="000000"/>
          <w:shd w:val="clear" w:color="auto" w:fill="FFFFFF"/>
          <w:lang w:val="en-GB"/>
        </w:rPr>
        <w:t>Canberra</w:t>
      </w:r>
      <w:r w:rsidR="00EE1FC2">
        <w:rPr>
          <w:rStyle w:val="normaltextrun"/>
          <w:rFonts w:ascii="Calibri" w:hAnsi="Calibri" w:cs="Calibri"/>
          <w:color w:val="000000"/>
          <w:shd w:val="clear" w:color="auto" w:fill="FFFFFF"/>
          <w:lang w:val="en-GB"/>
        </w:rPr>
        <w:t>:</w:t>
      </w:r>
      <w:r w:rsidRPr="006941E0">
        <w:rPr>
          <w:rStyle w:val="normaltextrun"/>
          <w:rFonts w:ascii="Calibri" w:hAnsi="Calibri" w:cs="Calibri"/>
          <w:color w:val="000000"/>
          <w:shd w:val="clear" w:color="auto" w:fill="FFFFFF"/>
          <w:lang w:val="en-GB"/>
        </w:rPr>
        <w:t xml:space="preserve"> 2023</w:t>
      </w:r>
      <w:r w:rsidR="00EE1FC2">
        <w:rPr>
          <w:rStyle w:val="normaltextrun"/>
          <w:rFonts w:ascii="Calibri" w:hAnsi="Calibri" w:cs="Calibri"/>
          <w:color w:val="000000"/>
          <w:shd w:val="clear" w:color="auto" w:fill="FFFFFF"/>
          <w:lang w:val="en-GB"/>
        </w:rPr>
        <w:t>)</w:t>
      </w:r>
      <w:r w:rsidRPr="006941E0">
        <w:rPr>
          <w:rStyle w:val="normaltextrun"/>
          <w:rFonts w:ascii="Calibri" w:hAnsi="Calibri" w:cs="Calibri"/>
          <w:color w:val="000000"/>
          <w:shd w:val="clear" w:color="auto" w:fill="FFFFFF"/>
          <w:lang w:val="en-GB"/>
        </w:rPr>
        <w:t>.</w:t>
      </w:r>
    </w:p>
  </w:footnote>
  <w:footnote w:id="453">
    <w:p w14:paraId="7E6836D7" w14:textId="7E2AA0F3" w:rsidR="00B920D4" w:rsidRPr="00454CBF" w:rsidRDefault="00B920D4" w:rsidP="00B920D4">
      <w:pPr>
        <w:pStyle w:val="FootnoteText"/>
      </w:pPr>
      <w:r w:rsidRPr="00454CBF">
        <w:rPr>
          <w:rStyle w:val="FootnoteReference"/>
        </w:rPr>
        <w:footnoteRef/>
      </w:r>
      <w:r w:rsidRPr="00454CBF">
        <w:t xml:space="preserve"> </w:t>
      </w:r>
      <w:r w:rsidRPr="004E0B4B">
        <w:rPr>
          <w:i/>
        </w:rPr>
        <w:t>Emergency Response Fund Bill 2019</w:t>
      </w:r>
      <w:r w:rsidR="000A25A8">
        <w:t xml:space="preserve">, </w:t>
      </w:r>
      <w:r w:rsidRPr="00454CBF">
        <w:t>Explanatory Memorandum</w:t>
      </w:r>
      <w:r w:rsidR="000A25A8">
        <w:t xml:space="preserve">, 4, </w:t>
      </w:r>
      <w:hyperlink r:id="rId258" w:history="1">
        <w:r w:rsidR="003D7FDC" w:rsidRPr="009316B6">
          <w:rPr>
            <w:rStyle w:val="Hyperlink"/>
          </w:rPr>
          <w:t>https://parlinfo.aph.gov.au/parlInfo/search/display/display.w3p;query=Id%3A%22legislation%2Fems%2Fr6390_ems_53e96fa8-8d78-471d-b6b5-266e4e93871a%22</w:t>
        </w:r>
      </w:hyperlink>
      <w:r w:rsidR="003D7FDC">
        <w:t xml:space="preserve">. </w:t>
      </w:r>
    </w:p>
  </w:footnote>
  <w:footnote w:id="454">
    <w:p w14:paraId="1E868FCC" w14:textId="446D7A5F" w:rsidR="00D5142E" w:rsidRPr="00454CBF" w:rsidRDefault="00D5142E" w:rsidP="00D5142E">
      <w:pPr>
        <w:pStyle w:val="FootnoteText"/>
      </w:pPr>
      <w:r w:rsidRPr="00454CBF">
        <w:rPr>
          <w:rStyle w:val="FootnoteReference"/>
        </w:rPr>
        <w:footnoteRef/>
      </w:r>
      <w:r w:rsidRPr="00454CBF">
        <w:t xml:space="preserve"> Bruce Chapman and Rabee </w:t>
      </w:r>
      <w:proofErr w:type="spellStart"/>
      <w:r w:rsidRPr="00454CBF">
        <w:t>Tourky</w:t>
      </w:r>
      <w:proofErr w:type="spellEnd"/>
      <w:r w:rsidRPr="00454CBF">
        <w:t xml:space="preserve">, </w:t>
      </w:r>
      <w:r w:rsidR="000A25A8">
        <w:t>“</w:t>
      </w:r>
      <w:r w:rsidRPr="00454CBF">
        <w:rPr>
          <w:rFonts w:eastAsiaTheme="minorEastAsia"/>
        </w:rPr>
        <w:t>Universities should pay levy on ‘foreign student industry</w:t>
      </w:r>
      <w:r w:rsidR="000A25A8">
        <w:rPr>
          <w:rFonts w:eastAsiaTheme="minorEastAsia"/>
        </w:rPr>
        <w:t>,</w:t>
      </w:r>
      <w:r w:rsidRPr="00454CBF">
        <w:rPr>
          <w:rFonts w:eastAsiaTheme="minorEastAsia"/>
        </w:rPr>
        <w:t>’</w:t>
      </w:r>
      <w:r w:rsidR="000A25A8">
        <w:rPr>
          <w:rFonts w:eastAsiaTheme="minorEastAsia"/>
        </w:rPr>
        <w:t>”</w:t>
      </w:r>
      <w:r w:rsidRPr="00454CBF">
        <w:rPr>
          <w:rFonts w:eastAsiaTheme="minorEastAsia"/>
        </w:rPr>
        <w:t xml:space="preserve"> </w:t>
      </w:r>
      <w:r w:rsidRPr="00454CBF">
        <w:rPr>
          <w:rFonts w:eastAsiaTheme="minorEastAsia"/>
          <w:i/>
        </w:rPr>
        <w:t>The Australian</w:t>
      </w:r>
      <w:r w:rsidR="000A25A8">
        <w:rPr>
          <w:rFonts w:eastAsiaTheme="minorEastAsia"/>
        </w:rPr>
        <w:t xml:space="preserve">, </w:t>
      </w:r>
      <w:r w:rsidR="000A25A8" w:rsidRPr="00454CBF">
        <w:t>(15 Nov 2023)</w:t>
      </w:r>
      <w:r w:rsidR="000A25A8">
        <w:t xml:space="preserve">, </w:t>
      </w:r>
      <w:hyperlink r:id="rId259" w:history="1">
        <w:bookmarkStart w:id="1608" w:name="_Hlt155709714"/>
        <w:bookmarkStart w:id="1609" w:name="_Hlt155709715"/>
        <w:r w:rsidR="0039798B" w:rsidRPr="0039798B">
          <w:rPr>
            <w:rStyle w:val="Hyperlink"/>
          </w:rPr>
          <w:t>w</w:t>
        </w:r>
        <w:bookmarkEnd w:id="1608"/>
        <w:bookmarkEnd w:id="1609"/>
        <w:r w:rsidR="0039798B" w:rsidRPr="0039798B">
          <w:rPr>
            <w:rStyle w:val="Hyperlink"/>
          </w:rPr>
          <w:t>ww.theaustralian.com.au/commentary/universities-should-pay-levy-on-foreign-student-industry‌/‌news-story/57c14ca00cd248774e24b51f1c8ad80d</w:t>
        </w:r>
      </w:hyperlink>
      <w:r w:rsidR="000A25A8">
        <w:t>.</w:t>
      </w:r>
    </w:p>
  </w:footnote>
  <w:footnote w:id="455">
    <w:p w14:paraId="380BB3D3" w14:textId="26BD30DC" w:rsidR="00DD73BA" w:rsidRPr="00454CBF" w:rsidRDefault="00DD73BA" w:rsidP="00DD73BA">
      <w:pPr>
        <w:pStyle w:val="FootnoteText"/>
      </w:pPr>
      <w:r w:rsidRPr="00454CBF">
        <w:rPr>
          <w:rStyle w:val="FootnoteReference"/>
        </w:rPr>
        <w:footnoteRef/>
      </w:r>
      <w:r w:rsidRPr="00454CBF">
        <w:t xml:space="preserve"> </w:t>
      </w:r>
      <w:r w:rsidR="0039798B">
        <w:t xml:space="preserve">Department of Education, Employment and Workplace relations, </w:t>
      </w:r>
      <w:r w:rsidR="0039798B">
        <w:rPr>
          <w:i/>
          <w:iCs/>
        </w:rPr>
        <w:t xml:space="preserve">Bradey Review, </w:t>
      </w:r>
      <w:r w:rsidR="0039798B">
        <w:t>40–41.</w:t>
      </w:r>
      <w:r w:rsidRPr="00454CBF">
        <w:t xml:space="preserve"> </w:t>
      </w:r>
    </w:p>
  </w:footnote>
  <w:footnote w:id="456">
    <w:p w14:paraId="310C86C2" w14:textId="6F6DBF70" w:rsidR="00211678" w:rsidRDefault="00211678">
      <w:pPr>
        <w:pStyle w:val="FootnoteText"/>
      </w:pPr>
      <w:r>
        <w:rPr>
          <w:rStyle w:val="FootnoteReference"/>
        </w:rPr>
        <w:footnoteRef/>
      </w:r>
      <w:r>
        <w:t xml:space="preserve"> </w:t>
      </w:r>
      <w:r w:rsidRPr="009338C0">
        <w:rPr>
          <w:i/>
          <w:iCs/>
        </w:rPr>
        <w:t xml:space="preserve">Higher Education Support Amendment (Response to the Australian Universities Accord Interim Report) </w:t>
      </w:r>
      <w:r w:rsidR="00FD3057">
        <w:rPr>
          <w:i/>
          <w:iCs/>
        </w:rPr>
        <w:t>Act</w:t>
      </w:r>
      <w:r w:rsidRPr="009338C0">
        <w:rPr>
          <w:i/>
          <w:iCs/>
        </w:rPr>
        <w:t xml:space="preserve"> 2023</w:t>
      </w:r>
      <w:r>
        <w:rPr>
          <w:i/>
          <w:iCs/>
        </w:rPr>
        <w:t xml:space="preserve"> </w:t>
      </w:r>
      <w:r>
        <w:t>(</w:t>
      </w:r>
      <w:proofErr w:type="spellStart"/>
      <w:r>
        <w:t>Cth</w:t>
      </w:r>
      <w:proofErr w:type="spellEnd"/>
      <w:r>
        <w:t>)</w:t>
      </w:r>
      <w:r w:rsidR="00B61A54">
        <w:t>.</w:t>
      </w:r>
    </w:p>
  </w:footnote>
  <w:footnote w:id="457">
    <w:p w14:paraId="5CBDDCD9" w14:textId="7FE97E84" w:rsidR="00CA2AD7" w:rsidRPr="00C21910" w:rsidRDefault="00CA2AD7" w:rsidP="00CA2AD7">
      <w:pPr>
        <w:pStyle w:val="FootnoteText"/>
      </w:pPr>
      <w:r w:rsidRPr="00C21910">
        <w:rPr>
          <w:rStyle w:val="FootnoteReference"/>
        </w:rPr>
        <w:footnoteRef/>
      </w:r>
      <w:r w:rsidRPr="00C21910">
        <w:t xml:space="preserve"> </w:t>
      </w:r>
      <w:r w:rsidRPr="00C21910">
        <w:rPr>
          <w:rStyle w:val="normaltextrun"/>
          <w:rFonts w:ascii="Calibri" w:hAnsi="Calibri" w:cs="Calibri"/>
          <w:color w:val="000000"/>
          <w:shd w:val="clear" w:color="auto" w:fill="FFFFFF"/>
          <w:lang w:val="en-GB"/>
        </w:rPr>
        <w:t>Department of Education, [unpublished data], (Canberra: 2023).</w:t>
      </w:r>
    </w:p>
  </w:footnote>
  <w:footnote w:id="458">
    <w:p w14:paraId="57BFF265" w14:textId="36FC5E29" w:rsidR="00CA2AD7" w:rsidRPr="00C21910" w:rsidRDefault="00CA2AD7" w:rsidP="00CA2AD7">
      <w:pPr>
        <w:pStyle w:val="FootnoteText"/>
      </w:pPr>
      <w:r w:rsidRPr="00C21910">
        <w:rPr>
          <w:rStyle w:val="FootnoteReference"/>
        </w:rPr>
        <w:footnoteRef/>
      </w:r>
      <w:r w:rsidRPr="00C21910">
        <w:t xml:space="preserve"> Nous Group, </w:t>
      </w:r>
      <w:r w:rsidR="00B240A7" w:rsidRPr="008C67CA">
        <w:t>Submissions on priorities for the Australian Universities Accord</w:t>
      </w:r>
      <w:r w:rsidRPr="00C21910">
        <w:t xml:space="preserve">, </w:t>
      </w:r>
      <w:r w:rsidR="005D3DF1">
        <w:t xml:space="preserve">(August </w:t>
      </w:r>
      <w:r w:rsidRPr="00C21910">
        <w:t>2023</w:t>
      </w:r>
      <w:r w:rsidR="005D3DF1">
        <w:t>),</w:t>
      </w:r>
      <w:r w:rsidR="00B90695" w:rsidRPr="00B90695">
        <w:t xml:space="preserve"> </w:t>
      </w:r>
      <w:r w:rsidR="00B90695">
        <w:t xml:space="preserve">7, </w:t>
      </w:r>
      <w:hyperlink r:id="rId260" w:history="1">
        <w:r w:rsidR="001F213F" w:rsidRPr="009F797D">
          <w:rPr>
            <w:rStyle w:val="Hyperlink"/>
          </w:rPr>
          <w:t>www.education.gov.au/australian-universities-accord/resources/nous-group-consultation-report</w:t>
        </w:r>
      </w:hyperlink>
      <w:r w:rsidR="001F213F">
        <w:t xml:space="preserve">. </w:t>
      </w:r>
    </w:p>
  </w:footnote>
  <w:footnote w:id="459">
    <w:p w14:paraId="51DF38E3" w14:textId="0AB527F6" w:rsidR="00D92F08" w:rsidRDefault="00D92F08">
      <w:pPr>
        <w:pStyle w:val="FootnoteText"/>
      </w:pPr>
      <w:r>
        <w:rPr>
          <w:rStyle w:val="FootnoteReference"/>
        </w:rPr>
        <w:footnoteRef/>
      </w:r>
      <w:r>
        <w:t xml:space="preserve"> </w:t>
      </w:r>
      <w:r w:rsidR="00FB3AF7">
        <w:t>Department of Education</w:t>
      </w:r>
      <w:r w:rsidR="004546C0">
        <w:t xml:space="preserve">, </w:t>
      </w:r>
      <w:r w:rsidR="00B240A7">
        <w:rPr>
          <w:i/>
          <w:iCs/>
        </w:rPr>
        <w:t xml:space="preserve">Consultation on the Accord Terms of Reference, </w:t>
      </w:r>
      <w:r w:rsidR="00B240A7" w:rsidRPr="008C67CA">
        <w:t>2023,</w:t>
      </w:r>
      <w:r w:rsidR="00B240A7">
        <w:rPr>
          <w:i/>
          <w:iCs/>
        </w:rPr>
        <w:t xml:space="preserve"> </w:t>
      </w:r>
      <w:hyperlink r:id="rId261" w:history="1">
        <w:r w:rsidR="00B240A7" w:rsidRPr="009F797D">
          <w:rPr>
            <w:rStyle w:val="Hyperlink"/>
          </w:rPr>
          <w:t>www.education.gov.au/australian-universities-accord/consultations/higher-edu</w:t>
        </w:r>
        <w:bookmarkStart w:id="1637" w:name="_Hlt155779272"/>
        <w:bookmarkStart w:id="1638" w:name="_Hlt155779273"/>
        <w:r w:rsidR="00B240A7" w:rsidRPr="009F797D">
          <w:rPr>
            <w:rStyle w:val="Hyperlink"/>
          </w:rPr>
          <w:t>c</w:t>
        </w:r>
        <w:bookmarkEnd w:id="1637"/>
        <w:bookmarkEnd w:id="1638"/>
        <w:r w:rsidR="00B240A7" w:rsidRPr="009F797D">
          <w:rPr>
            <w:rStyle w:val="Hyperlink"/>
          </w:rPr>
          <w:t>ation-review</w:t>
        </w:r>
      </w:hyperlink>
      <w:r w:rsidR="00B240A7">
        <w:t xml:space="preserve">. </w:t>
      </w:r>
    </w:p>
  </w:footnote>
  <w:footnote w:id="460">
    <w:p w14:paraId="79C2FB82" w14:textId="62CAAC68" w:rsidR="00CA2AD7" w:rsidRPr="00C21910" w:rsidRDefault="00CA2AD7" w:rsidP="00CA2AD7">
      <w:pPr>
        <w:pStyle w:val="FootnoteText"/>
      </w:pPr>
      <w:r w:rsidRPr="00C21910">
        <w:rPr>
          <w:rStyle w:val="FootnoteReference"/>
        </w:rPr>
        <w:footnoteRef/>
      </w:r>
      <w:r w:rsidRPr="00C21910">
        <w:t xml:space="preserve"> </w:t>
      </w:r>
      <w:r w:rsidRPr="00C21910">
        <w:rPr>
          <w:rFonts w:cstheme="minorHAnsi"/>
        </w:rPr>
        <w:t xml:space="preserve">Nous Group, </w:t>
      </w:r>
      <w:r w:rsidR="00DB47CD" w:rsidRPr="008C67CA">
        <w:rPr>
          <w:i/>
          <w:iCs/>
        </w:rPr>
        <w:t>Australian Universities Accord Discussion Paper submission analysis</w:t>
      </w:r>
      <w:r w:rsidRPr="00C21910">
        <w:rPr>
          <w:rFonts w:cstheme="minorHAnsi"/>
        </w:rPr>
        <w:t xml:space="preserve">, </w:t>
      </w:r>
      <w:r w:rsidR="00590A40">
        <w:t>(August 2023)</w:t>
      </w:r>
      <w:r w:rsidR="00FC324C">
        <w:rPr>
          <w:rFonts w:cstheme="minorHAnsi"/>
        </w:rPr>
        <w:t xml:space="preserve">, 71-80, </w:t>
      </w:r>
      <w:hyperlink r:id="rId262" w:history="1">
        <w:r w:rsidR="00FC324C" w:rsidRPr="00FC324C">
          <w:rPr>
            <w:rStyle w:val="Hyperlink"/>
          </w:rPr>
          <w:t>www.education.gov.au/australian-universities-accord/resources/australian-universities-accord-discussion-paper-submission-analysis</w:t>
        </w:r>
      </w:hyperlink>
      <w:r w:rsidR="00FC324C">
        <w:t>.</w:t>
      </w:r>
    </w:p>
  </w:footnote>
  <w:footnote w:id="461">
    <w:p w14:paraId="20D8BB20" w14:textId="1444F9C9" w:rsidR="00D92F08" w:rsidRDefault="00D92F08">
      <w:pPr>
        <w:pStyle w:val="FootnoteText"/>
      </w:pPr>
      <w:r>
        <w:rPr>
          <w:rStyle w:val="FootnoteReference"/>
        </w:rPr>
        <w:footnoteRef/>
      </w:r>
      <w:r>
        <w:t xml:space="preserve"> Department of Education</w:t>
      </w:r>
      <w:r w:rsidR="00D11A79">
        <w:t xml:space="preserve">, </w:t>
      </w:r>
      <w:r w:rsidR="00FC2600" w:rsidRPr="008C67CA">
        <w:rPr>
          <w:i/>
          <w:iCs/>
        </w:rPr>
        <w:t>Consultation on the Accord Discussion Paper</w:t>
      </w:r>
      <w:r w:rsidR="00FC2600">
        <w:t xml:space="preserve">, </w:t>
      </w:r>
      <w:r w:rsidR="000707AF">
        <w:t xml:space="preserve">(February </w:t>
      </w:r>
      <w:r w:rsidR="00FC2600">
        <w:t>2023</w:t>
      </w:r>
      <w:r w:rsidR="000707AF">
        <w:t>)</w:t>
      </w:r>
      <w:r w:rsidR="00FC2600">
        <w:t xml:space="preserve">, </w:t>
      </w:r>
      <w:hyperlink r:id="rId263" w:history="1">
        <w:r w:rsidR="00FC2600" w:rsidRPr="009F797D">
          <w:rPr>
            <w:rStyle w:val="Hyperlink"/>
          </w:rPr>
          <w:t>www.education.gov.au/australian-universities-accord/consultations/consultation-discussion-paper</w:t>
        </w:r>
      </w:hyperlink>
      <w:r w:rsidR="00FC2600">
        <w:t>.</w:t>
      </w:r>
    </w:p>
  </w:footnote>
  <w:footnote w:id="462">
    <w:p w14:paraId="48379CDE" w14:textId="2657E2EE" w:rsidR="00CA2AD7" w:rsidRPr="00C21910" w:rsidRDefault="00CA2AD7" w:rsidP="00CA2AD7">
      <w:pPr>
        <w:pStyle w:val="FootnoteText"/>
      </w:pPr>
      <w:r w:rsidRPr="00C21910">
        <w:rPr>
          <w:rStyle w:val="FootnoteReference"/>
        </w:rPr>
        <w:footnoteRef/>
      </w:r>
      <w:r w:rsidRPr="00C21910">
        <w:t xml:space="preserve"> </w:t>
      </w:r>
      <w:r w:rsidRPr="00C21910">
        <w:rPr>
          <w:rFonts w:cstheme="minorHAnsi"/>
        </w:rPr>
        <w:t xml:space="preserve">Nous Group, </w:t>
      </w:r>
      <w:r w:rsidRPr="00C21910">
        <w:rPr>
          <w:i/>
        </w:rPr>
        <w:t xml:space="preserve">Australian Universities Accord Interim Report </w:t>
      </w:r>
      <w:r w:rsidR="000707AF">
        <w:rPr>
          <w:i/>
        </w:rPr>
        <w:t>–</w:t>
      </w:r>
      <w:r w:rsidRPr="00C21910">
        <w:rPr>
          <w:i/>
        </w:rPr>
        <w:t xml:space="preserve"> </w:t>
      </w:r>
      <w:r w:rsidR="000707AF" w:rsidRPr="00C21910">
        <w:rPr>
          <w:i/>
        </w:rPr>
        <w:t>submission</w:t>
      </w:r>
      <w:r w:rsidR="000707AF">
        <w:rPr>
          <w:i/>
        </w:rPr>
        <w:t xml:space="preserve"> </w:t>
      </w:r>
      <w:r w:rsidRPr="00C21910">
        <w:rPr>
          <w:i/>
        </w:rPr>
        <w:t>analysis</w:t>
      </w:r>
      <w:r w:rsidR="009D7F52">
        <w:rPr>
          <w:iCs/>
        </w:rPr>
        <w:t>,</w:t>
      </w:r>
      <w:r w:rsidR="009D7F52">
        <w:t xml:space="preserve"> (</w:t>
      </w:r>
      <w:r w:rsidRPr="00C21910">
        <w:t>2023</w:t>
      </w:r>
      <w:r w:rsidR="009D7F52">
        <w:t>)</w:t>
      </w:r>
      <w:r w:rsidRPr="00C21910">
        <w:t>.</w:t>
      </w:r>
    </w:p>
  </w:footnote>
  <w:footnote w:id="463">
    <w:p w14:paraId="430CD81A" w14:textId="352F4BFE" w:rsidR="001C2068" w:rsidRDefault="001C2068" w:rsidP="001C2068">
      <w:pPr>
        <w:pStyle w:val="FootnoteText"/>
      </w:pPr>
      <w:r>
        <w:rPr>
          <w:rStyle w:val="FootnoteReference"/>
        </w:rPr>
        <w:footnoteRef/>
      </w:r>
      <w:r>
        <w:t xml:space="preserve"> Department of Education</w:t>
      </w:r>
      <w:r w:rsidR="00FC2600">
        <w:t xml:space="preserve">, </w:t>
      </w:r>
      <w:r w:rsidR="00FC2600">
        <w:rPr>
          <w:i/>
          <w:iCs/>
        </w:rPr>
        <w:t>Consultation on the Accord Interim Report</w:t>
      </w:r>
      <w:r w:rsidR="00FC2600">
        <w:t xml:space="preserve"> </w:t>
      </w:r>
      <w:r w:rsidR="009D7F52">
        <w:t>(</w:t>
      </w:r>
      <w:r w:rsidR="00FC2600">
        <w:t>2023</w:t>
      </w:r>
      <w:r w:rsidR="009D7F52">
        <w:t>)</w:t>
      </w:r>
      <w:r w:rsidR="00FC2600">
        <w:t xml:space="preserve">, </w:t>
      </w:r>
      <w:hyperlink r:id="rId264" w:history="1">
        <w:r w:rsidR="00FC2600" w:rsidRPr="009F797D">
          <w:rPr>
            <w:rStyle w:val="Hyperlink"/>
          </w:rPr>
          <w:t>www.education.gov.au/australian-universities-accord/consultations/consultation-interim-report</w:t>
        </w:r>
      </w:hyperlink>
      <w:r w:rsidR="00FC2600">
        <w:t xml:space="preserve">. </w:t>
      </w:r>
    </w:p>
  </w:footnote>
  <w:footnote w:id="464">
    <w:p w14:paraId="76BA4F4E" w14:textId="6043BCD3" w:rsidR="00FC324C" w:rsidRDefault="00FC324C">
      <w:pPr>
        <w:pStyle w:val="FootnoteText"/>
      </w:pPr>
      <w:r>
        <w:rPr>
          <w:rStyle w:val="FootnoteReference"/>
        </w:rPr>
        <w:footnoteRef/>
      </w:r>
      <w:r>
        <w:t xml:space="preserve"> Mr Ben Rimmer commenced in his role as Deputy Secretary, Department of Education </w:t>
      </w:r>
      <w:r w:rsidR="001C2068">
        <w:t>i</w:t>
      </w:r>
      <w:r>
        <w:t>n April 2023.</w:t>
      </w:r>
    </w:p>
  </w:footnote>
  <w:footnote w:id="465">
    <w:p w14:paraId="1889C731" w14:textId="77777777" w:rsidR="00CA2AD7" w:rsidRPr="00C21910" w:rsidRDefault="00CA2AD7" w:rsidP="00CA2AD7">
      <w:pPr>
        <w:pStyle w:val="FootnoteText"/>
      </w:pPr>
      <w:r w:rsidRPr="00C21910">
        <w:rPr>
          <w:rStyle w:val="FootnoteReference"/>
        </w:rPr>
        <w:footnoteRef/>
      </w:r>
      <w:r w:rsidRPr="00C21910">
        <w:t xml:space="preserve"> Mr Bran Black commenced his role as Chief Executive of the Business Council of Australia on 12 September 2023.</w:t>
      </w:r>
    </w:p>
  </w:footnote>
  <w:footnote w:id="466">
    <w:p w14:paraId="78AB74C5" w14:textId="77777777" w:rsidR="00CA2AD7" w:rsidRPr="00C21910" w:rsidRDefault="00CA2AD7" w:rsidP="00CA2AD7">
      <w:pPr>
        <w:pStyle w:val="FootnoteText"/>
        <w:rPr>
          <w:rFonts w:cstheme="minorHAnsi"/>
        </w:rPr>
      </w:pPr>
      <w:r w:rsidRPr="00C21910">
        <w:rPr>
          <w:rStyle w:val="FootnoteReference"/>
          <w:rFonts w:cstheme="minorHAnsi"/>
        </w:rPr>
        <w:footnoteRef/>
      </w:r>
      <w:r w:rsidRPr="00C21910">
        <w:rPr>
          <w:rFonts w:cstheme="minorHAnsi"/>
        </w:rPr>
        <w:t xml:space="preserve"> Professor Dawkins was appointed Director of Jobs and Skills Australia in November 2022, and acting Commissioner in August 2023. Professor Dawkins’ appointment ended on 6 October 2023.</w:t>
      </w:r>
    </w:p>
  </w:footnote>
  <w:footnote w:id="467">
    <w:p w14:paraId="64AB9ED4" w14:textId="77777777" w:rsidR="00CA2AD7" w:rsidRPr="00601877" w:rsidRDefault="00CA2AD7" w:rsidP="00CA2AD7">
      <w:pPr>
        <w:pStyle w:val="FootnoteText"/>
        <w:rPr>
          <w:rFonts w:cstheme="minorHAnsi"/>
        </w:rPr>
      </w:pPr>
      <w:r w:rsidRPr="00C21910">
        <w:rPr>
          <w:rStyle w:val="FootnoteReference"/>
          <w:rFonts w:cstheme="minorHAnsi"/>
        </w:rPr>
        <w:footnoteRef/>
      </w:r>
      <w:r w:rsidRPr="00C21910">
        <w:rPr>
          <w:rFonts w:cstheme="minorHAnsi"/>
        </w:rPr>
        <w:t xml:space="preserve"> Professor Saggar commenced in the Ministerial Reference Group in May 2023.</w:t>
      </w:r>
    </w:p>
  </w:footnote>
  <w:footnote w:id="468">
    <w:p w14:paraId="6CD3C805" w14:textId="7B044861" w:rsidR="00FC324C" w:rsidRDefault="00FC324C">
      <w:pPr>
        <w:pStyle w:val="FootnoteText"/>
      </w:pPr>
      <w:r>
        <w:rPr>
          <w:rStyle w:val="FootnoteReference"/>
        </w:rPr>
        <w:footnoteRef/>
      </w:r>
      <w:r>
        <w:t xml:space="preserve"> Ms </w:t>
      </w:r>
      <w:proofErr w:type="spellStart"/>
      <w:r>
        <w:t>Soltanpour</w:t>
      </w:r>
      <w:proofErr w:type="spellEnd"/>
      <w:r>
        <w:t xml:space="preserve"> commenced in the Ministerial Reference Group in May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970D9" w14:textId="77777777" w:rsidR="00446F1F" w:rsidRDefault="00446F1F" w:rsidP="003E5969">
    <w:pPr>
      <w:pStyle w:val="Header"/>
      <w:jc w:val="right"/>
    </w:pPr>
    <w:r>
      <w:t xml:space="preserve">Australian Universities Accord- Final Report </w:t>
    </w:r>
  </w:p>
  <w:p w14:paraId="4DAD83C9" w14:textId="63826C81" w:rsidR="001B3FF6" w:rsidRPr="00446F1F" w:rsidRDefault="001B3FF6" w:rsidP="00446F1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643CF" w14:textId="77777777" w:rsidR="00F63705" w:rsidRPr="00FC0341" w:rsidRDefault="00F63705" w:rsidP="00F63705">
    <w:pPr>
      <w:pStyle w:val="Header"/>
      <w:jc w:val="right"/>
    </w:pPr>
    <w:r>
      <w:t xml:space="preserve">Australian Universities Accord- Final Report </w:t>
    </w:r>
  </w:p>
  <w:p w14:paraId="5B8C8E5C" w14:textId="77777777" w:rsidR="00F63705" w:rsidRPr="00446F1F" w:rsidRDefault="00F63705" w:rsidP="00446F1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BCC07" w14:textId="6004331B" w:rsidR="00F63705" w:rsidRPr="00FC0341" w:rsidRDefault="00F63705" w:rsidP="00F63705">
    <w:pPr>
      <w:pStyle w:val="Header"/>
      <w:jc w:val="right"/>
    </w:pPr>
    <w:r>
      <w:t xml:space="preserve">Australian Universities Accord- Final Report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4A9D4" w14:textId="2F9EDA4B" w:rsidR="00BE7FA4" w:rsidRDefault="00BE7FA4">
    <w:pPr>
      <w:pStyle w:val="Header"/>
    </w:pPr>
    <w:r>
      <w:t>Chapter 1</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1EEDE" w14:textId="1C2986F3" w:rsidR="005D0AA9" w:rsidRPr="00FC0341" w:rsidRDefault="007665EA" w:rsidP="00D26B82">
    <w:pPr>
      <w:pStyle w:val="Header"/>
    </w:pPr>
    <w:r>
      <w:t>Chapter 1</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87EAA" w14:textId="6CE4A180" w:rsidR="00905C0D" w:rsidRDefault="006D19F8">
    <w:pPr>
      <w:pStyle w:val="Header"/>
    </w:pPr>
    <w:r>
      <w:t xml:space="preserve">Chapter </w:t>
    </w:r>
    <w:r w:rsidR="00BE7FA4">
      <w:t>2</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BC5F6" w14:textId="4D86D22C" w:rsidR="007B321E" w:rsidRPr="00160D79" w:rsidRDefault="006D19F8" w:rsidP="00160D79">
    <w:pPr>
      <w:pStyle w:val="Header"/>
      <w:jc w:val="right"/>
    </w:pPr>
    <w:r>
      <w:t xml:space="preserve">Australian Universities Accord- Final Report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D1C2D" w14:textId="714A43FB" w:rsidR="00905C0D" w:rsidRDefault="005D0AA9" w:rsidP="00160D79">
    <w:pPr>
      <w:pStyle w:val="Header"/>
      <w:jc w:val="right"/>
    </w:pPr>
    <w:r>
      <w:t xml:space="preserve">Australian Universities Accord- Final Report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29C0" w14:textId="0977B1D4" w:rsidR="00BE7FA4" w:rsidRDefault="00BE7FA4">
    <w:pPr>
      <w:pStyle w:val="Header"/>
    </w:pPr>
    <w:r>
      <w:t>Chapter 3</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830BB" w14:textId="77777777" w:rsidR="005D0AA9" w:rsidRPr="00160D79" w:rsidRDefault="005D0AA9" w:rsidP="00160D79">
    <w:pPr>
      <w:pStyle w:val="Header"/>
      <w:jc w:val="right"/>
    </w:pPr>
    <w:r>
      <w:t xml:space="preserve">Australian Universities Accord- Final Report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49F21" w14:textId="254EA832" w:rsidR="00CA2AD7" w:rsidRDefault="005D0AA9">
    <w:pPr>
      <w:pStyle w:val="Header"/>
    </w:pPr>
    <w:r>
      <w:t>Chapter 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B3EE2" w14:textId="77777777" w:rsidR="00446F1F" w:rsidRDefault="00446F1F" w:rsidP="003E5969">
    <w:pPr>
      <w:pStyle w:val="Header"/>
    </w:pPr>
    <w:r>
      <w:t>Contents</w:t>
    </w:r>
  </w:p>
  <w:p w14:paraId="7E082FB3" w14:textId="1FCBE2FC" w:rsidR="00446F1F" w:rsidRDefault="00446F1F">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14A23" w14:textId="4449A49E" w:rsidR="00CA2AD7" w:rsidRDefault="005D0AA9" w:rsidP="00160D79">
    <w:pPr>
      <w:pStyle w:val="Header"/>
      <w:jc w:val="right"/>
    </w:pPr>
    <w:r>
      <w:t xml:space="preserve">Australian Universities Accord- Final Report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74478" w14:textId="43B205C8" w:rsidR="00062DA7" w:rsidRDefault="00062DA7">
    <w:pPr>
      <w:pStyle w:val="Header"/>
    </w:pPr>
    <w:r>
      <w:t xml:space="preserve">Chapter </w:t>
    </w:r>
    <w:r w:rsidR="00C41098">
      <w:t>4</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E8079" w14:textId="4D5EA96B" w:rsidR="00062DA7" w:rsidRDefault="00062DA7" w:rsidP="00062DA7">
    <w:pPr>
      <w:pStyle w:val="Header"/>
    </w:pPr>
    <w:r>
      <w:t>Chapter 4</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D63F5" w14:textId="4938F724" w:rsidR="00BE7FA4" w:rsidRDefault="00BE7FA4">
    <w:pPr>
      <w:pStyle w:val="Header"/>
    </w:pPr>
    <w:r>
      <w:t>Chapter 5</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0C722" w14:textId="715B3EE0" w:rsidR="00BE7FA4" w:rsidRDefault="00BE7FA4" w:rsidP="00062DA7">
    <w:pPr>
      <w:pStyle w:val="Header"/>
    </w:pPr>
    <w:r>
      <w:t>Chapter 5</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E2D56" w14:textId="0F946258" w:rsidR="00BE7FA4" w:rsidRDefault="00BE7FA4">
    <w:pPr>
      <w:pStyle w:val="Header"/>
    </w:pPr>
    <w:r>
      <w:t>Chapter 6</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6432B" w14:textId="189FE515" w:rsidR="00BE7FA4" w:rsidRDefault="00BE7FA4" w:rsidP="00062DA7">
    <w:pPr>
      <w:pStyle w:val="Header"/>
    </w:pPr>
    <w:r>
      <w:t>Chapter 6</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11187" w14:textId="057FF71F" w:rsidR="00AB0AB2" w:rsidRDefault="00AB0AB2">
    <w:pPr>
      <w:pStyle w:val="Header"/>
    </w:pPr>
    <w:r>
      <w:t>Chapter 7</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7E203" w14:textId="6F8EC94F" w:rsidR="00AB0AB2" w:rsidRPr="00AB0AB2" w:rsidRDefault="00AB0AB2" w:rsidP="00160D79">
    <w:pPr>
      <w:pStyle w:val="Header"/>
      <w:jc w:val="right"/>
    </w:pPr>
    <w:r>
      <w:t xml:space="preserve">Australian Universities Accord- Final Report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D077B" w14:textId="4C2A698E" w:rsidR="00247674" w:rsidRDefault="00247674">
    <w:pPr>
      <w:pStyle w:val="Header"/>
    </w:pPr>
    <w:r>
      <w:t>Chapter 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2793E" w14:textId="5D618AFF" w:rsidR="00FC0341" w:rsidRPr="00FC0341" w:rsidRDefault="00FC0341" w:rsidP="003E5969">
    <w:pPr>
      <w:pStyle w:val="Header"/>
      <w:jc w:val="right"/>
    </w:pPr>
    <w:r>
      <w:t xml:space="preserve">Australian Universities Accord- Final Report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C1B8" w14:textId="77777777" w:rsidR="00247674" w:rsidRDefault="00247674" w:rsidP="00160D79">
    <w:pPr>
      <w:pStyle w:val="Header"/>
      <w:jc w:val="right"/>
    </w:pPr>
    <w:r>
      <w:t xml:space="preserve">Australian Universities Accord- Final Report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8520C" w14:textId="0134510A" w:rsidR="00247674" w:rsidRPr="00AB0AB2" w:rsidRDefault="00247674" w:rsidP="00247674">
    <w:pPr>
      <w:pStyle w:val="Header"/>
    </w:pPr>
    <w:r>
      <w:t>Chapter 8</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89F3E" w14:textId="033F210D" w:rsidR="00247674" w:rsidRDefault="00247674">
    <w:pPr>
      <w:pStyle w:val="Header"/>
    </w:pPr>
    <w:r>
      <w:t>Chapter 9</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FA064" w14:textId="77777777" w:rsidR="00247674" w:rsidRDefault="00247674" w:rsidP="00160D79">
    <w:pPr>
      <w:pStyle w:val="Header"/>
      <w:jc w:val="right"/>
    </w:pPr>
    <w:r>
      <w:t xml:space="preserve">Australian Universities Accord- Final Report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88B69" w14:textId="4045D51E" w:rsidR="00247674" w:rsidRPr="00247674" w:rsidRDefault="00247674" w:rsidP="00160D79">
    <w:pPr>
      <w:pStyle w:val="Header"/>
      <w:jc w:val="right"/>
    </w:pPr>
    <w:r>
      <w:t xml:space="preserve">Australian Universities Accord- Final Report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973B" w14:textId="7271E2AF" w:rsidR="00793D94" w:rsidRDefault="00793D94">
    <w:pPr>
      <w:pStyle w:val="Header"/>
    </w:pPr>
    <w:r>
      <w:t>Appendix A</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63FED" w14:textId="77777777" w:rsidR="00793D94" w:rsidRPr="00247674" w:rsidRDefault="00793D94" w:rsidP="00160D79">
    <w:pPr>
      <w:pStyle w:val="Header"/>
      <w:jc w:val="right"/>
    </w:pPr>
    <w:r>
      <w:t xml:space="preserve">Australian Universities Accord- Final Report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CAB86" w14:textId="552C9BAF" w:rsidR="0067026A" w:rsidRDefault="0067026A">
    <w:pPr>
      <w:pStyle w:val="Header"/>
    </w:pPr>
    <w:r>
      <w:t>Appendix B</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55395" w14:textId="77777777" w:rsidR="0067026A" w:rsidRPr="00247674" w:rsidRDefault="0067026A" w:rsidP="00160D79">
    <w:pPr>
      <w:pStyle w:val="Header"/>
      <w:jc w:val="right"/>
    </w:pPr>
    <w:r>
      <w:t xml:space="preserve">Australian Universities Accord- Final Report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CCAA3" w14:textId="5FCE899A" w:rsidR="0067026A" w:rsidRPr="00271B96" w:rsidRDefault="00271B96" w:rsidP="00271B96">
    <w:pPr>
      <w:pStyle w:val="Header"/>
    </w:pPr>
    <w:r>
      <w:t xml:space="preserve">Appendix </w:t>
    </w:r>
    <w:r w:rsidR="00BA3C81">
      <w:t>C</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E30DB" w14:textId="4B42D652" w:rsidR="000E7015" w:rsidRDefault="000A16A9">
    <w:pPr>
      <w:pStyle w:val="Header"/>
    </w:pPr>
    <w:r>
      <w:t>Executive Summary</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F2E69" w14:textId="3A0DD60C" w:rsidR="001965D4" w:rsidRDefault="00271B96" w:rsidP="00271B96">
    <w:pPr>
      <w:pStyle w:val="Header"/>
    </w:pPr>
    <w:r>
      <w:t>Appendix D</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1B29C" w14:textId="4D5F9D61" w:rsidR="00A607C8" w:rsidRPr="00271B96" w:rsidRDefault="00271B96" w:rsidP="00271B96">
    <w:pPr>
      <w:pStyle w:val="Header"/>
      <w:jc w:val="right"/>
    </w:pPr>
    <w:r>
      <w:t xml:space="preserve">Australian Universities Accord- Final Report </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0A427" w14:textId="6AD1D30F" w:rsidR="00A607C8" w:rsidRPr="00271B96" w:rsidRDefault="00271B96" w:rsidP="00271B96">
    <w:pPr>
      <w:pStyle w:val="Header"/>
      <w:jc w:val="right"/>
    </w:pPr>
    <w:r>
      <w:t xml:space="preserve">Australian Universities Accord- Final Report </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E41DF" w14:textId="5E8F873F" w:rsidR="0067026A" w:rsidRDefault="00271B96" w:rsidP="00271B96">
    <w:pPr>
      <w:pStyle w:val="Header"/>
    </w:pPr>
    <w:r>
      <w:t>Appendix E</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6C234" w14:textId="4DA058C3" w:rsidR="0067026A" w:rsidRPr="00271B96" w:rsidRDefault="00271B96" w:rsidP="00271B96">
    <w:pPr>
      <w:pStyle w:val="Header"/>
      <w:jc w:val="right"/>
    </w:pPr>
    <w:r>
      <w:t xml:space="preserve">Australian Universities Accord- Final Report </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B0A3E" w14:textId="03D42306" w:rsidR="0067026A" w:rsidRPr="0067026A" w:rsidRDefault="0067026A" w:rsidP="00160D79">
    <w:pPr>
      <w:pStyle w:val="Header"/>
      <w:jc w:val="right"/>
    </w:pPr>
    <w:r>
      <w:t xml:space="preserve">Australian Universities Accord- Final Report </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3264A" w14:textId="22537DF8" w:rsidR="0067026A" w:rsidRDefault="00271B96" w:rsidP="00271B96">
    <w:pPr>
      <w:pStyle w:val="Header"/>
    </w:pPr>
    <w:r>
      <w:t>Appendix F</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E54FA" w14:textId="78E81009" w:rsidR="0067026A" w:rsidRPr="00271B96" w:rsidRDefault="00271B96" w:rsidP="00271B96">
    <w:pPr>
      <w:pStyle w:val="Header"/>
      <w:jc w:val="right"/>
    </w:pPr>
    <w:r>
      <w:t xml:space="preserve">Australian Universities Accord- Final Report </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A370C" w14:textId="47CAF5FB" w:rsidR="0067026A" w:rsidRPr="0067026A" w:rsidRDefault="0067026A" w:rsidP="0067026A">
    <w:pPr>
      <w:pStyle w:val="Header"/>
    </w:pPr>
    <w:r>
      <w:t>Appendix F</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935E0" w14:textId="13DFCF7E" w:rsidR="0067026A" w:rsidRDefault="00271B96" w:rsidP="00271B96">
    <w:pPr>
      <w:pStyle w:val="Header"/>
    </w:pPr>
    <w:r>
      <w:t>Acronyms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C2A0B" w14:textId="77777777" w:rsidR="005D0AA9" w:rsidRPr="00FC0341" w:rsidRDefault="005D0AA9" w:rsidP="003E5969">
    <w:pPr>
      <w:pStyle w:val="Header"/>
      <w:jc w:val="right"/>
    </w:pPr>
    <w:r>
      <w:t xml:space="preserve">Australian Universities Accord- Final Report </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55FB3" w14:textId="7EE40DF0" w:rsidR="0067026A" w:rsidRPr="00271B96" w:rsidRDefault="00271B96" w:rsidP="00271B96">
    <w:pPr>
      <w:pStyle w:val="Header"/>
      <w:jc w:val="right"/>
    </w:pPr>
    <w:r>
      <w:t xml:space="preserve">Australian Universities Accord- Final Report </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E0F4C" w14:textId="46393501" w:rsidR="0067026A" w:rsidRPr="0067026A" w:rsidRDefault="0067026A" w:rsidP="00160D79">
    <w:pPr>
      <w:pStyle w:val="Header"/>
      <w:jc w:val="right"/>
    </w:pPr>
    <w:r>
      <w:t xml:space="preserve">Australian Universities Accord- Final Report </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EB0C2" w14:textId="2008FB6A" w:rsidR="0067026A" w:rsidRDefault="00271B96" w:rsidP="00160D79">
    <w:pPr>
      <w:pStyle w:val="Header"/>
      <w:jc w:val="right"/>
    </w:pPr>
    <w:r>
      <w:t>Glossary</w:t>
    </w:r>
    <w:r w:rsidR="0067026A">
      <w:t xml:space="preserve"> </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E1DE8" w14:textId="3AC83E8F" w:rsidR="0067026A" w:rsidRPr="00271B96" w:rsidRDefault="00271B96" w:rsidP="00271B96">
    <w:pPr>
      <w:pStyle w:val="Header"/>
      <w:jc w:val="right"/>
    </w:pPr>
    <w:r>
      <w:t xml:space="preserve">Australian Universities Accord- Final Report </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C7A00" w14:textId="01B5C5B2" w:rsidR="0067026A" w:rsidRPr="000306BE" w:rsidRDefault="000306BE" w:rsidP="000306BE">
    <w:pPr>
      <w:pStyle w:val="Header"/>
    </w:pPr>
    <w:r>
      <w:t>Glossary</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5315" w14:textId="106711D5" w:rsidR="00271B96" w:rsidRDefault="00271B96" w:rsidP="00160D79">
    <w:pPr>
      <w:pStyle w:val="Header"/>
      <w:jc w:val="right"/>
    </w:pPr>
    <w:r>
      <w:t xml:space="preserve">List of Tables and Figures </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0DFA6" w14:textId="27C39AE1" w:rsidR="000306BE" w:rsidRDefault="000306BE">
    <w:pPr>
      <w:pStyle w:val="Header"/>
    </w:pPr>
    <w:r>
      <w:t>List of Tables and Figures</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E0206" w14:textId="77777777" w:rsidR="000306BE" w:rsidRPr="000306BE" w:rsidRDefault="000306BE" w:rsidP="00160D79">
    <w:pPr>
      <w:pStyle w:val="Header"/>
      <w:jc w:val="right"/>
    </w:pPr>
    <w:r>
      <w:t xml:space="preserve">Australian Universities Accord- Final Report </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E0A6C" w14:textId="3D8C58E8" w:rsidR="00271B96" w:rsidRDefault="00271B96" w:rsidP="00160D79">
    <w:pPr>
      <w:pStyle w:val="Header"/>
      <w:jc w:val="right"/>
    </w:pPr>
    <w:r>
      <w:t xml:space="preserve">Reference List </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CFE81" w14:textId="7AA62043" w:rsidR="00375467" w:rsidRPr="00271B96" w:rsidRDefault="00271B96" w:rsidP="00271B96">
    <w:pPr>
      <w:pStyle w:val="Header"/>
      <w:jc w:val="right"/>
    </w:pPr>
    <w:r>
      <w:t xml:space="preserve">Australian Universities Accord- Final Report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E9BFD" w14:textId="51D8B17E" w:rsidR="00F63705" w:rsidRDefault="00F63705" w:rsidP="00D26B82">
    <w:pPr>
      <w:pStyle w:val="Header"/>
      <w:jc w:val="right"/>
    </w:pPr>
    <w:r>
      <w:t xml:space="preserve">Australian Universities Accord- Final Report </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2820C" w14:textId="77777777" w:rsidR="00375467" w:rsidRPr="000306BE" w:rsidRDefault="00375467" w:rsidP="00160D79">
    <w:pPr>
      <w:pStyle w:val="Header"/>
      <w:jc w:val="right"/>
    </w:pPr>
    <w:r>
      <w:t xml:space="preserve">Australian Universities Accord- Final Report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76B59" w14:textId="1C0E5E6A" w:rsidR="00F63705" w:rsidRPr="00446F1F" w:rsidRDefault="00F63705" w:rsidP="00446F1F">
    <w:pPr>
      <w:pStyle w:val="Header"/>
    </w:pPr>
    <w:r>
      <w:t>Findings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0D9EE" w14:textId="6E48B9CF" w:rsidR="00F63705" w:rsidRPr="00FC0341" w:rsidRDefault="00F63705" w:rsidP="00D26B82">
    <w:pPr>
      <w:pStyle w:val="Header"/>
    </w:pPr>
    <w:r>
      <w:t>Findings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54085" w14:textId="770D27F7" w:rsidR="00F63705" w:rsidRDefault="00F63705" w:rsidP="00F63705">
    <w:pPr>
      <w:pStyle w:val="Header"/>
    </w:pPr>
    <w:r>
      <w:t>Recommendations</w:t>
    </w:r>
  </w:p>
</w:hdr>
</file>

<file path=word/intelligence2.xml><?xml version="1.0" encoding="utf-8"?>
<int2:intelligence xmlns:int2="http://schemas.microsoft.com/office/intelligence/2020/intelligence" xmlns:oel="http://schemas.microsoft.com/office/2019/extlst">
  <int2:observations>
    <int2:textHash int2:hashCode="tVE7HDFgR+xqXL" int2:id="Bl5wmt7K">
      <int2:state int2:value="Rejected" int2:type="AugLoop_Text_Critique"/>
    </int2:textHash>
    <int2:textHash int2:hashCode="94tkyeDy6iT93O" int2:id="fZZJVXzX">
      <int2:state int2:value="Rejected" int2:type="AugLoop_Text_Critique"/>
    </int2:textHash>
    <int2:textHash int2:hashCode="AYJbq12fD1fGkc" int2:id="fZZOG7nL">
      <int2:state int2:value="Rejected" int2:type="AugLoop_Text_Critique"/>
    </int2:textHash>
    <int2:textHash int2:hashCode="k0cGYvYlpWzUq2" int2:id="qP0gfTKz">
      <int2:state int2:value="Rejected" int2:type="AugLoop_Text_Critique"/>
    </int2:textHash>
    <int2:textHash int2:hashCode="OhwhpVntQtbOF8" int2:id="qiSyGb7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7D0EC20"/>
    <w:lvl w:ilvl="0">
      <w:start w:val="1"/>
      <w:numFmt w:val="bullet"/>
      <w:pStyle w:val="ListBullet2"/>
      <w:lvlText w:val="o"/>
      <w:lvlJc w:val="left"/>
      <w:pPr>
        <w:ind w:left="175" w:hanging="360"/>
      </w:pPr>
      <w:rPr>
        <w:rFonts w:ascii="Courier New" w:hAnsi="Courier New" w:cs="Courier New" w:hint="default"/>
      </w:rPr>
    </w:lvl>
  </w:abstractNum>
  <w:abstractNum w:abstractNumId="1" w15:restartNumberingAfterBreak="0">
    <w:nsid w:val="FFFFFF88"/>
    <w:multiLevelType w:val="singleLevel"/>
    <w:tmpl w:val="7076D7FC"/>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26BE99D2"/>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4F54AB2"/>
    <w:multiLevelType w:val="hybridMultilevel"/>
    <w:tmpl w:val="993AD718"/>
    <w:name w:val="EDU - Bullet List23"/>
    <w:lvl w:ilvl="0" w:tplc="0C090001">
      <w:start w:val="1"/>
      <w:numFmt w:val="bullet"/>
      <w:lvlText w:val=""/>
      <w:lvlJc w:val="left"/>
      <w:pPr>
        <w:ind w:left="931" w:hanging="360"/>
      </w:pPr>
      <w:rPr>
        <w:rFonts w:ascii="Symbol" w:hAnsi="Symbol" w:hint="default"/>
      </w:rPr>
    </w:lvl>
    <w:lvl w:ilvl="1" w:tplc="0C090003" w:tentative="1">
      <w:start w:val="1"/>
      <w:numFmt w:val="bullet"/>
      <w:lvlText w:val="o"/>
      <w:lvlJc w:val="left"/>
      <w:pPr>
        <w:ind w:left="1651" w:hanging="360"/>
      </w:pPr>
      <w:rPr>
        <w:rFonts w:ascii="Courier New" w:hAnsi="Courier New" w:cs="Courier New" w:hint="default"/>
      </w:rPr>
    </w:lvl>
    <w:lvl w:ilvl="2" w:tplc="0C090005" w:tentative="1">
      <w:start w:val="1"/>
      <w:numFmt w:val="bullet"/>
      <w:lvlText w:val=""/>
      <w:lvlJc w:val="left"/>
      <w:pPr>
        <w:ind w:left="2371" w:hanging="360"/>
      </w:pPr>
      <w:rPr>
        <w:rFonts w:ascii="Wingdings" w:hAnsi="Wingdings" w:hint="default"/>
      </w:rPr>
    </w:lvl>
    <w:lvl w:ilvl="3" w:tplc="0C090001" w:tentative="1">
      <w:start w:val="1"/>
      <w:numFmt w:val="bullet"/>
      <w:lvlText w:val=""/>
      <w:lvlJc w:val="left"/>
      <w:pPr>
        <w:ind w:left="3091" w:hanging="360"/>
      </w:pPr>
      <w:rPr>
        <w:rFonts w:ascii="Symbol" w:hAnsi="Symbol" w:hint="default"/>
      </w:rPr>
    </w:lvl>
    <w:lvl w:ilvl="4" w:tplc="0C090003" w:tentative="1">
      <w:start w:val="1"/>
      <w:numFmt w:val="bullet"/>
      <w:lvlText w:val="o"/>
      <w:lvlJc w:val="left"/>
      <w:pPr>
        <w:ind w:left="3811" w:hanging="360"/>
      </w:pPr>
      <w:rPr>
        <w:rFonts w:ascii="Courier New" w:hAnsi="Courier New" w:cs="Courier New" w:hint="default"/>
      </w:rPr>
    </w:lvl>
    <w:lvl w:ilvl="5" w:tplc="0C090005" w:tentative="1">
      <w:start w:val="1"/>
      <w:numFmt w:val="bullet"/>
      <w:lvlText w:val=""/>
      <w:lvlJc w:val="left"/>
      <w:pPr>
        <w:ind w:left="4531" w:hanging="360"/>
      </w:pPr>
      <w:rPr>
        <w:rFonts w:ascii="Wingdings" w:hAnsi="Wingdings" w:hint="default"/>
      </w:rPr>
    </w:lvl>
    <w:lvl w:ilvl="6" w:tplc="0C090001" w:tentative="1">
      <w:start w:val="1"/>
      <w:numFmt w:val="bullet"/>
      <w:lvlText w:val=""/>
      <w:lvlJc w:val="left"/>
      <w:pPr>
        <w:ind w:left="5251" w:hanging="360"/>
      </w:pPr>
      <w:rPr>
        <w:rFonts w:ascii="Symbol" w:hAnsi="Symbol" w:hint="default"/>
      </w:rPr>
    </w:lvl>
    <w:lvl w:ilvl="7" w:tplc="0C090003" w:tentative="1">
      <w:start w:val="1"/>
      <w:numFmt w:val="bullet"/>
      <w:lvlText w:val="o"/>
      <w:lvlJc w:val="left"/>
      <w:pPr>
        <w:ind w:left="5971" w:hanging="360"/>
      </w:pPr>
      <w:rPr>
        <w:rFonts w:ascii="Courier New" w:hAnsi="Courier New" w:cs="Courier New" w:hint="default"/>
      </w:rPr>
    </w:lvl>
    <w:lvl w:ilvl="8" w:tplc="0C090005" w:tentative="1">
      <w:start w:val="1"/>
      <w:numFmt w:val="bullet"/>
      <w:lvlText w:val=""/>
      <w:lvlJc w:val="left"/>
      <w:pPr>
        <w:ind w:left="6691" w:hanging="360"/>
      </w:pPr>
      <w:rPr>
        <w:rFonts w:ascii="Wingdings" w:hAnsi="Wingdings" w:hint="default"/>
      </w:rPr>
    </w:lvl>
  </w:abstractNum>
  <w:abstractNum w:abstractNumId="4" w15:restartNumberingAfterBreak="0">
    <w:nsid w:val="0507122A"/>
    <w:multiLevelType w:val="multilevel"/>
    <w:tmpl w:val="96FA94F0"/>
    <w:lvl w:ilvl="0">
      <w:start w:val="1"/>
      <w:numFmt w:val="decimal"/>
      <w:pStyle w:val="Recsin-chapterL1"/>
      <w:lvlText w:val="%1."/>
      <w:lvlJc w:val="left"/>
      <w:pPr>
        <w:tabs>
          <w:tab w:val="num" w:pos="465"/>
        </w:tabs>
        <w:ind w:left="465" w:hanging="357"/>
      </w:pPr>
      <w:rPr>
        <w:rFonts w:ascii="Calibri" w:hAnsi="Calibri" w:hint="default"/>
        <w:b w:val="0"/>
        <w:bCs w:val="0"/>
        <w:i w:val="0"/>
        <w:sz w:val="22"/>
      </w:rPr>
    </w:lvl>
    <w:lvl w:ilvl="1">
      <w:start w:val="1"/>
      <w:numFmt w:val="lowerLetter"/>
      <w:pStyle w:val="Recsin-chapterL2"/>
      <w:lvlText w:val="%2."/>
      <w:lvlJc w:val="left"/>
      <w:pPr>
        <w:tabs>
          <w:tab w:val="num" w:pos="828"/>
        </w:tabs>
        <w:ind w:left="828" w:hanging="363"/>
      </w:pPr>
      <w:rPr>
        <w:rFonts w:ascii="Calibri" w:hAnsi="Calibri" w:hint="default"/>
        <w:b w:val="0"/>
        <w:i w:val="0"/>
        <w:sz w:val="22"/>
      </w:rPr>
    </w:lvl>
    <w:lvl w:ilvl="2">
      <w:start w:val="1"/>
      <w:numFmt w:val="lowerRoman"/>
      <w:pStyle w:val="Recsin-chapterL3"/>
      <w:lvlText w:val="%3"/>
      <w:lvlJc w:val="left"/>
      <w:pPr>
        <w:tabs>
          <w:tab w:val="num" w:pos="1185"/>
        </w:tabs>
        <w:ind w:left="1185" w:hanging="357"/>
      </w:pPr>
      <w:rPr>
        <w:rFonts w:ascii="Calibri" w:hAnsi="Calibri" w:hint="default"/>
        <w:b w:val="0"/>
        <w:i w:val="0"/>
        <w:sz w:val="22"/>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5"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C012AC7"/>
    <w:multiLevelType w:val="hybridMultilevel"/>
    <w:tmpl w:val="78D26E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EC77A0"/>
    <w:multiLevelType w:val="hybridMultilevel"/>
    <w:tmpl w:val="A220445A"/>
    <w:name w:val="EDU - Bullet List2"/>
    <w:lvl w:ilvl="0" w:tplc="034CB666">
      <w:start w:val="1"/>
      <w:numFmt w:val="bullet"/>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8" w15:restartNumberingAfterBreak="0">
    <w:nsid w:val="0E6D0E0F"/>
    <w:multiLevelType w:val="hybridMultilevel"/>
    <w:tmpl w:val="1C4C0D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5273145"/>
    <w:multiLevelType w:val="hybridMultilevel"/>
    <w:tmpl w:val="DF82FD00"/>
    <w:name w:val="EDU - Bullet List32"/>
    <w:lvl w:ilvl="0" w:tplc="FFFFFFFF">
      <w:start w:val="1"/>
      <w:numFmt w:val="bullet"/>
      <w:lvlText w:val=""/>
      <w:lvlJc w:val="left"/>
      <w:pPr>
        <w:ind w:left="930" w:hanging="360"/>
      </w:pPr>
      <w:rPr>
        <w:rFonts w:ascii="Wingdings" w:hAnsi="Wingdings" w:hint="default"/>
      </w:rPr>
    </w:lvl>
    <w:lvl w:ilvl="1" w:tplc="0C090003" w:tentative="1">
      <w:start w:val="1"/>
      <w:numFmt w:val="bullet"/>
      <w:lvlText w:val="o"/>
      <w:lvlJc w:val="left"/>
      <w:pPr>
        <w:ind w:left="1650" w:hanging="360"/>
      </w:pPr>
      <w:rPr>
        <w:rFonts w:ascii="Courier New" w:hAnsi="Courier New" w:cs="Courier New" w:hint="default"/>
      </w:rPr>
    </w:lvl>
    <w:lvl w:ilvl="2" w:tplc="0C090005" w:tentative="1">
      <w:start w:val="1"/>
      <w:numFmt w:val="bullet"/>
      <w:lvlText w:val=""/>
      <w:lvlJc w:val="left"/>
      <w:pPr>
        <w:ind w:left="2370" w:hanging="360"/>
      </w:pPr>
      <w:rPr>
        <w:rFonts w:ascii="Wingdings" w:hAnsi="Wingdings" w:hint="default"/>
      </w:rPr>
    </w:lvl>
    <w:lvl w:ilvl="3" w:tplc="0C090001" w:tentative="1">
      <w:start w:val="1"/>
      <w:numFmt w:val="bullet"/>
      <w:lvlText w:val=""/>
      <w:lvlJc w:val="left"/>
      <w:pPr>
        <w:ind w:left="3090" w:hanging="360"/>
      </w:pPr>
      <w:rPr>
        <w:rFonts w:ascii="Symbol" w:hAnsi="Symbol" w:hint="default"/>
      </w:rPr>
    </w:lvl>
    <w:lvl w:ilvl="4" w:tplc="0C090003" w:tentative="1">
      <w:start w:val="1"/>
      <w:numFmt w:val="bullet"/>
      <w:lvlText w:val="o"/>
      <w:lvlJc w:val="left"/>
      <w:pPr>
        <w:ind w:left="3810" w:hanging="360"/>
      </w:pPr>
      <w:rPr>
        <w:rFonts w:ascii="Courier New" w:hAnsi="Courier New" w:cs="Courier New" w:hint="default"/>
      </w:rPr>
    </w:lvl>
    <w:lvl w:ilvl="5" w:tplc="0C090005" w:tentative="1">
      <w:start w:val="1"/>
      <w:numFmt w:val="bullet"/>
      <w:lvlText w:val=""/>
      <w:lvlJc w:val="left"/>
      <w:pPr>
        <w:ind w:left="4530" w:hanging="360"/>
      </w:pPr>
      <w:rPr>
        <w:rFonts w:ascii="Wingdings" w:hAnsi="Wingdings" w:hint="default"/>
      </w:rPr>
    </w:lvl>
    <w:lvl w:ilvl="6" w:tplc="0C090001" w:tentative="1">
      <w:start w:val="1"/>
      <w:numFmt w:val="bullet"/>
      <w:lvlText w:val=""/>
      <w:lvlJc w:val="left"/>
      <w:pPr>
        <w:ind w:left="5250" w:hanging="360"/>
      </w:pPr>
      <w:rPr>
        <w:rFonts w:ascii="Symbol" w:hAnsi="Symbol" w:hint="default"/>
      </w:rPr>
    </w:lvl>
    <w:lvl w:ilvl="7" w:tplc="0C090003" w:tentative="1">
      <w:start w:val="1"/>
      <w:numFmt w:val="bullet"/>
      <w:lvlText w:val="o"/>
      <w:lvlJc w:val="left"/>
      <w:pPr>
        <w:ind w:left="5970" w:hanging="360"/>
      </w:pPr>
      <w:rPr>
        <w:rFonts w:ascii="Courier New" w:hAnsi="Courier New" w:cs="Courier New" w:hint="default"/>
      </w:rPr>
    </w:lvl>
    <w:lvl w:ilvl="8" w:tplc="0C090005" w:tentative="1">
      <w:start w:val="1"/>
      <w:numFmt w:val="bullet"/>
      <w:lvlText w:val=""/>
      <w:lvlJc w:val="left"/>
      <w:pPr>
        <w:ind w:left="6690" w:hanging="360"/>
      </w:pPr>
      <w:rPr>
        <w:rFonts w:ascii="Wingdings" w:hAnsi="Wingdings" w:hint="default"/>
      </w:rPr>
    </w:lvl>
  </w:abstractNum>
  <w:abstractNum w:abstractNumId="10" w15:restartNumberingAfterBreak="0">
    <w:nsid w:val="187B66AC"/>
    <w:multiLevelType w:val="hybridMultilevel"/>
    <w:tmpl w:val="D940E590"/>
    <w:lvl w:ilvl="0" w:tplc="54C8084C">
      <w:start w:val="1"/>
      <w:numFmt w:val="decimal"/>
      <w:pStyle w:val="Box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8FF1AB7"/>
    <w:multiLevelType w:val="multilevel"/>
    <w:tmpl w:val="3C3C16DA"/>
    <w:name w:val="EDU - Bullet List"/>
    <w:lvl w:ilvl="0">
      <w:start w:val="1"/>
      <w:numFmt w:val="bullet"/>
      <w:pStyle w:val="PriorityActions-ListBullet"/>
      <w:lvlText w:val=""/>
      <w:lvlJc w:val="left"/>
      <w:pPr>
        <w:ind w:left="360" w:hanging="360"/>
      </w:pPr>
      <w:rPr>
        <w:rFonts w:ascii="Symbol" w:hAnsi="Symbol" w:hint="default"/>
      </w:rPr>
    </w:lvl>
    <w:lvl w:ilvl="1">
      <w:start w:val="1"/>
      <w:numFmt w:val="none"/>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1B97929"/>
    <w:multiLevelType w:val="hybridMultilevel"/>
    <w:tmpl w:val="E0AE1498"/>
    <w:lvl w:ilvl="0" w:tplc="0C090001">
      <w:start w:val="1"/>
      <w:numFmt w:val="bullet"/>
      <w:lvlText w:val=""/>
      <w:lvlJc w:val="left"/>
      <w:pPr>
        <w:ind w:left="757" w:hanging="360"/>
      </w:pPr>
      <w:rPr>
        <w:rFonts w:ascii="Symbol" w:hAnsi="Symbol" w:hint="default"/>
      </w:rPr>
    </w:lvl>
    <w:lvl w:ilvl="1" w:tplc="0C090003" w:tentative="1">
      <w:start w:val="1"/>
      <w:numFmt w:val="bullet"/>
      <w:lvlText w:val="o"/>
      <w:lvlJc w:val="left"/>
      <w:pPr>
        <w:ind w:left="1477" w:hanging="360"/>
      </w:pPr>
      <w:rPr>
        <w:rFonts w:ascii="Courier New" w:hAnsi="Courier New" w:cs="Courier New" w:hint="default"/>
      </w:rPr>
    </w:lvl>
    <w:lvl w:ilvl="2" w:tplc="0C090005" w:tentative="1">
      <w:start w:val="1"/>
      <w:numFmt w:val="bullet"/>
      <w:lvlText w:val=""/>
      <w:lvlJc w:val="left"/>
      <w:pPr>
        <w:ind w:left="2197" w:hanging="360"/>
      </w:pPr>
      <w:rPr>
        <w:rFonts w:ascii="Wingdings" w:hAnsi="Wingdings" w:hint="default"/>
      </w:rPr>
    </w:lvl>
    <w:lvl w:ilvl="3" w:tplc="0C090001" w:tentative="1">
      <w:start w:val="1"/>
      <w:numFmt w:val="bullet"/>
      <w:lvlText w:val=""/>
      <w:lvlJc w:val="left"/>
      <w:pPr>
        <w:ind w:left="2917" w:hanging="360"/>
      </w:pPr>
      <w:rPr>
        <w:rFonts w:ascii="Symbol" w:hAnsi="Symbol" w:hint="default"/>
      </w:rPr>
    </w:lvl>
    <w:lvl w:ilvl="4" w:tplc="0C090003" w:tentative="1">
      <w:start w:val="1"/>
      <w:numFmt w:val="bullet"/>
      <w:lvlText w:val="o"/>
      <w:lvlJc w:val="left"/>
      <w:pPr>
        <w:ind w:left="3637" w:hanging="360"/>
      </w:pPr>
      <w:rPr>
        <w:rFonts w:ascii="Courier New" w:hAnsi="Courier New" w:cs="Courier New" w:hint="default"/>
      </w:rPr>
    </w:lvl>
    <w:lvl w:ilvl="5" w:tplc="0C090005" w:tentative="1">
      <w:start w:val="1"/>
      <w:numFmt w:val="bullet"/>
      <w:lvlText w:val=""/>
      <w:lvlJc w:val="left"/>
      <w:pPr>
        <w:ind w:left="4357" w:hanging="360"/>
      </w:pPr>
      <w:rPr>
        <w:rFonts w:ascii="Wingdings" w:hAnsi="Wingdings" w:hint="default"/>
      </w:rPr>
    </w:lvl>
    <w:lvl w:ilvl="6" w:tplc="0C090001" w:tentative="1">
      <w:start w:val="1"/>
      <w:numFmt w:val="bullet"/>
      <w:lvlText w:val=""/>
      <w:lvlJc w:val="left"/>
      <w:pPr>
        <w:ind w:left="5077" w:hanging="360"/>
      </w:pPr>
      <w:rPr>
        <w:rFonts w:ascii="Symbol" w:hAnsi="Symbol" w:hint="default"/>
      </w:rPr>
    </w:lvl>
    <w:lvl w:ilvl="7" w:tplc="0C090003" w:tentative="1">
      <w:start w:val="1"/>
      <w:numFmt w:val="bullet"/>
      <w:lvlText w:val="o"/>
      <w:lvlJc w:val="left"/>
      <w:pPr>
        <w:ind w:left="5797" w:hanging="360"/>
      </w:pPr>
      <w:rPr>
        <w:rFonts w:ascii="Courier New" w:hAnsi="Courier New" w:cs="Courier New" w:hint="default"/>
      </w:rPr>
    </w:lvl>
    <w:lvl w:ilvl="8" w:tplc="0C090005" w:tentative="1">
      <w:start w:val="1"/>
      <w:numFmt w:val="bullet"/>
      <w:lvlText w:val=""/>
      <w:lvlJc w:val="left"/>
      <w:pPr>
        <w:ind w:left="6517" w:hanging="360"/>
      </w:pPr>
      <w:rPr>
        <w:rFonts w:ascii="Wingdings" w:hAnsi="Wingdings" w:hint="default"/>
      </w:rPr>
    </w:lvl>
  </w:abstractNum>
  <w:abstractNum w:abstractNumId="13" w15:restartNumberingAfterBreak="0">
    <w:nsid w:val="284A61F3"/>
    <w:multiLevelType w:val="multilevel"/>
    <w:tmpl w:val="87625BFE"/>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14" w:hanging="850"/>
      </w:pPr>
      <w:rPr>
        <w:rFonts w:hint="default"/>
      </w:rPr>
    </w:lvl>
    <w:lvl w:ilvl="3">
      <w:start w:val="1"/>
      <w:numFmt w:val="decimal"/>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9F44121"/>
    <w:multiLevelType w:val="hybridMultilevel"/>
    <w:tmpl w:val="0B82FB80"/>
    <w:name w:val="Blue Shaded Box - List2"/>
    <w:lvl w:ilvl="0" w:tplc="ABDA6CE6">
      <w:start w:val="1"/>
      <w:numFmt w:val="lowerLetter"/>
      <w:lvlText w:val="%1."/>
      <w:lvlJc w:val="left"/>
      <w:pPr>
        <w:ind w:left="930" w:hanging="360"/>
      </w:pPr>
    </w:lvl>
    <w:lvl w:ilvl="1" w:tplc="0C090019" w:tentative="1">
      <w:start w:val="1"/>
      <w:numFmt w:val="lowerLetter"/>
      <w:lvlText w:val="%2."/>
      <w:lvlJc w:val="left"/>
      <w:pPr>
        <w:ind w:left="1650" w:hanging="360"/>
      </w:pPr>
    </w:lvl>
    <w:lvl w:ilvl="2" w:tplc="0C09001B" w:tentative="1">
      <w:start w:val="1"/>
      <w:numFmt w:val="lowerRoman"/>
      <w:lvlText w:val="%3."/>
      <w:lvlJc w:val="right"/>
      <w:pPr>
        <w:ind w:left="2370" w:hanging="180"/>
      </w:pPr>
    </w:lvl>
    <w:lvl w:ilvl="3" w:tplc="0C09000F" w:tentative="1">
      <w:start w:val="1"/>
      <w:numFmt w:val="decimal"/>
      <w:lvlText w:val="%4."/>
      <w:lvlJc w:val="left"/>
      <w:pPr>
        <w:ind w:left="3090" w:hanging="360"/>
      </w:pPr>
    </w:lvl>
    <w:lvl w:ilvl="4" w:tplc="0C090019" w:tentative="1">
      <w:start w:val="1"/>
      <w:numFmt w:val="lowerLetter"/>
      <w:lvlText w:val="%5."/>
      <w:lvlJc w:val="left"/>
      <w:pPr>
        <w:ind w:left="3810" w:hanging="360"/>
      </w:pPr>
    </w:lvl>
    <w:lvl w:ilvl="5" w:tplc="0C09001B" w:tentative="1">
      <w:start w:val="1"/>
      <w:numFmt w:val="lowerRoman"/>
      <w:lvlText w:val="%6."/>
      <w:lvlJc w:val="right"/>
      <w:pPr>
        <w:ind w:left="4530" w:hanging="180"/>
      </w:pPr>
    </w:lvl>
    <w:lvl w:ilvl="6" w:tplc="0C09000F" w:tentative="1">
      <w:start w:val="1"/>
      <w:numFmt w:val="decimal"/>
      <w:lvlText w:val="%7."/>
      <w:lvlJc w:val="left"/>
      <w:pPr>
        <w:ind w:left="5250" w:hanging="360"/>
      </w:pPr>
    </w:lvl>
    <w:lvl w:ilvl="7" w:tplc="0C090019" w:tentative="1">
      <w:start w:val="1"/>
      <w:numFmt w:val="lowerLetter"/>
      <w:lvlText w:val="%8."/>
      <w:lvlJc w:val="left"/>
      <w:pPr>
        <w:ind w:left="5970" w:hanging="360"/>
      </w:pPr>
    </w:lvl>
    <w:lvl w:ilvl="8" w:tplc="0C09001B" w:tentative="1">
      <w:start w:val="1"/>
      <w:numFmt w:val="lowerRoman"/>
      <w:lvlText w:val="%9."/>
      <w:lvlJc w:val="right"/>
      <w:pPr>
        <w:ind w:left="6690" w:hanging="180"/>
      </w:pPr>
    </w:lvl>
  </w:abstractNum>
  <w:abstractNum w:abstractNumId="15" w15:restartNumberingAfterBreak="0">
    <w:nsid w:val="2BCC78CD"/>
    <w:multiLevelType w:val="hybridMultilevel"/>
    <w:tmpl w:val="68948E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E646829"/>
    <w:multiLevelType w:val="multilevel"/>
    <w:tmpl w:val="87625BFE"/>
    <w:name w:val="EDU - List Number"/>
    <w:lvl w:ilvl="0">
      <w:start w:val="1"/>
      <w:numFmt w:val="decimal"/>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E787416"/>
    <w:multiLevelType w:val="hybridMultilevel"/>
    <w:tmpl w:val="74C88164"/>
    <w:lvl w:ilvl="0" w:tplc="64381D50">
      <w:start w:val="1"/>
      <w:numFmt w:val="lowerRoman"/>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2EE96694"/>
    <w:multiLevelType w:val="hybridMultilevel"/>
    <w:tmpl w:val="A8ECDCC8"/>
    <w:lvl w:ilvl="0" w:tplc="0C090001">
      <w:start w:val="1"/>
      <w:numFmt w:val="bullet"/>
      <w:lvlText w:val=""/>
      <w:lvlJc w:val="left"/>
      <w:pPr>
        <w:tabs>
          <w:tab w:val="num" w:pos="720"/>
        </w:tabs>
        <w:ind w:left="720" w:hanging="360"/>
      </w:pPr>
      <w:rPr>
        <w:rFonts w:ascii="Symbol" w:hAnsi="Symbol" w:hint="default"/>
        <w:b w:val="0"/>
        <w:bCs w:val="0"/>
      </w:rPr>
    </w:lvl>
    <w:lvl w:ilvl="1" w:tplc="FFFFFFFF">
      <w:start w:val="1"/>
      <w:numFmt w:val="bullet"/>
      <w:lvlText w:val=""/>
      <w:lvlJc w:val="left"/>
      <w:pPr>
        <w:ind w:left="1440" w:hanging="360"/>
      </w:pPr>
      <w:rPr>
        <w:rFonts w:ascii="Symbol" w:hAnsi="Symbol" w:hint="default"/>
      </w:rPr>
    </w:lvl>
    <w:lvl w:ilvl="2" w:tplc="FFFFFFFF">
      <w:start w:val="1"/>
      <w:numFmt w:val="lowerLetter"/>
      <w:lvlText w:val="%3)"/>
      <w:lvlJc w:val="left"/>
      <w:pPr>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9" w15:restartNumberingAfterBreak="0">
    <w:nsid w:val="35D86D80"/>
    <w:multiLevelType w:val="multilevel"/>
    <w:tmpl w:val="40986EA2"/>
    <w:lvl w:ilvl="0">
      <w:start w:val="1"/>
      <w:numFmt w:val="decimal"/>
      <w:lvlText w:val="Part %1"/>
      <w:lvlJc w:val="left"/>
      <w:pPr>
        <w:ind w:left="0" w:firstLine="0"/>
      </w:pPr>
      <w:rPr>
        <w:rFonts w:ascii="Calibri" w:hAnsi="Calibri" w:hint="default"/>
        <w:b/>
        <w:i w:val="0"/>
        <w:color w:val="00254A" w:themeColor="text2"/>
        <w:sz w:val="20"/>
        <w:szCs w:val="20"/>
      </w:rPr>
    </w:lvl>
    <w:lvl w:ilvl="1">
      <w:start w:val="1"/>
      <w:numFmt w:val="decimal"/>
      <w:lvlRestart w:val="0"/>
      <w:suff w:val="nothing"/>
      <w:lvlText w:val="Chapter %2"/>
      <w:lvlJc w:val="left"/>
      <w:pPr>
        <w:ind w:left="0" w:firstLine="0"/>
      </w:pPr>
      <w:rPr>
        <w:rFonts w:ascii="Calibri" w:hAnsi="Calibri" w:hint="default"/>
        <w:b w:val="0"/>
        <w:i w:val="0"/>
        <w:color w:val="297BAF"/>
        <w:sz w:val="40"/>
      </w:rPr>
    </w:lvl>
    <w:lvl w:ilvl="2">
      <w:start w:val="1"/>
      <w:numFmt w:val="decimal"/>
      <w:suff w:val="nothing"/>
      <w:lvlText w:val="%2.%3"/>
      <w:lvlJc w:val="left"/>
      <w:pPr>
        <w:ind w:left="0" w:firstLine="0"/>
      </w:pPr>
      <w:rPr>
        <w:rFonts w:ascii="Calibri" w:hAnsi="Calibri" w:hint="default"/>
        <w:b/>
        <w:i w:val="0"/>
        <w:color w:val="00254A" w:themeColor="text2"/>
        <w:sz w:val="32"/>
      </w:rPr>
    </w:lvl>
    <w:lvl w:ilvl="3">
      <w:start w:val="1"/>
      <w:numFmt w:val="decimal"/>
      <w:suff w:val="nothing"/>
      <w:lvlText w:val="%2.%3.%4"/>
      <w:lvlJc w:val="left"/>
      <w:pPr>
        <w:ind w:left="0" w:firstLine="0"/>
      </w:pPr>
      <w:rPr>
        <w:rFonts w:ascii="Calibri Light" w:hAnsi="Calibri Light" w:hint="default"/>
        <w:b w:val="0"/>
        <w:i w:val="0"/>
        <w:color w:val="004C6C" w:themeColor="background2"/>
        <w:sz w:val="28"/>
      </w:rPr>
    </w:lvl>
    <w:lvl w:ilvl="4">
      <w:start w:val="1"/>
      <w:numFmt w:val="none"/>
      <w:lvlRestart w:val="0"/>
      <w:suff w:val="nothing"/>
      <w:lvlText w:val=""/>
      <w:lvlJc w:val="left"/>
      <w:pPr>
        <w:ind w:left="0" w:firstLine="0"/>
      </w:pPr>
      <w:rPr>
        <w:rFonts w:ascii="Calibri Light" w:hAnsi="Calibri Light" w:hint="default"/>
        <w:b w:val="0"/>
        <w:i w:val="0"/>
        <w:sz w:val="24"/>
      </w:rPr>
    </w:lvl>
    <w:lvl w:ilvl="5">
      <w:start w:val="1"/>
      <w:numFmt w:val="none"/>
      <w:lvlRestart w:val="0"/>
      <w:suff w:val="nothing"/>
      <w:lvlText w:val=""/>
      <w:lvlJc w:val="left"/>
      <w:pPr>
        <w:ind w:left="0" w:firstLine="0"/>
      </w:pPr>
      <w:rPr>
        <w:rFonts w:ascii="Calibri Light" w:hAnsi="Calibri Light" w:hint="default"/>
        <w:b/>
        <w:i w:val="0"/>
        <w:color w:val="7F7F7F" w:themeColor="text1" w:themeTint="80"/>
        <w:sz w:val="22"/>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37190065"/>
    <w:multiLevelType w:val="hybridMultilevel"/>
    <w:tmpl w:val="74042AFC"/>
    <w:lvl w:ilvl="0" w:tplc="8806BA96">
      <w:start w:val="1"/>
      <w:numFmt w:val="decimal"/>
      <w:pStyle w:val="RecommendationsText"/>
      <w:lvlText w:val="%1."/>
      <w:lvlJc w:val="left"/>
      <w:pPr>
        <w:ind w:left="357"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A5931BD"/>
    <w:multiLevelType w:val="multilevel"/>
    <w:tmpl w:val="A202A676"/>
    <w:name w:val="Blue Shaded Box - List"/>
    <w:lvl w:ilvl="0">
      <w:start w:val="1"/>
      <w:numFmt w:val="lowerLetter"/>
      <w:lvlText w:val="%1."/>
      <w:lvlJc w:val="right"/>
      <w:pPr>
        <w:ind w:left="210" w:firstLine="357"/>
      </w:pPr>
      <w:rPr>
        <w:rFonts w:hint="default"/>
      </w:rPr>
    </w:lvl>
    <w:lvl w:ilvl="1">
      <w:start w:val="1"/>
      <w:numFmt w:val="lowerLetter"/>
      <w:lvlText w:val="%2."/>
      <w:lvlJc w:val="left"/>
      <w:pPr>
        <w:ind w:left="567" w:firstLine="357"/>
      </w:pPr>
      <w:rPr>
        <w:rFonts w:hint="default"/>
      </w:rPr>
    </w:lvl>
    <w:lvl w:ilvl="2">
      <w:start w:val="1"/>
      <w:numFmt w:val="lowerRoman"/>
      <w:lvlText w:val="%3."/>
      <w:lvlJc w:val="right"/>
      <w:pPr>
        <w:ind w:left="2370" w:hanging="180"/>
      </w:pPr>
      <w:rPr>
        <w:rFonts w:hint="default"/>
      </w:rPr>
    </w:lvl>
    <w:lvl w:ilvl="3">
      <w:start w:val="1"/>
      <w:numFmt w:val="decimal"/>
      <w:lvlText w:val="%4."/>
      <w:lvlJc w:val="left"/>
      <w:pPr>
        <w:ind w:left="3090" w:hanging="360"/>
      </w:pPr>
      <w:rPr>
        <w:rFonts w:hint="default"/>
      </w:rPr>
    </w:lvl>
    <w:lvl w:ilvl="4">
      <w:start w:val="1"/>
      <w:numFmt w:val="lowerLetter"/>
      <w:lvlText w:val="%5."/>
      <w:lvlJc w:val="left"/>
      <w:pPr>
        <w:ind w:left="3810" w:hanging="360"/>
      </w:pPr>
      <w:rPr>
        <w:rFonts w:hint="default"/>
      </w:rPr>
    </w:lvl>
    <w:lvl w:ilvl="5">
      <w:start w:val="1"/>
      <w:numFmt w:val="lowerRoman"/>
      <w:lvlText w:val="%6."/>
      <w:lvlJc w:val="right"/>
      <w:pPr>
        <w:ind w:left="4530" w:hanging="180"/>
      </w:pPr>
      <w:rPr>
        <w:rFonts w:hint="default"/>
      </w:rPr>
    </w:lvl>
    <w:lvl w:ilvl="6">
      <w:start w:val="1"/>
      <w:numFmt w:val="decimal"/>
      <w:lvlText w:val="%7."/>
      <w:lvlJc w:val="left"/>
      <w:pPr>
        <w:ind w:left="5250" w:hanging="360"/>
      </w:pPr>
      <w:rPr>
        <w:rFonts w:hint="default"/>
      </w:rPr>
    </w:lvl>
    <w:lvl w:ilvl="7">
      <w:start w:val="1"/>
      <w:numFmt w:val="lowerLetter"/>
      <w:lvlText w:val="%8."/>
      <w:lvlJc w:val="left"/>
      <w:pPr>
        <w:ind w:left="5970" w:hanging="360"/>
      </w:pPr>
      <w:rPr>
        <w:rFonts w:hint="default"/>
      </w:rPr>
    </w:lvl>
    <w:lvl w:ilvl="8">
      <w:start w:val="1"/>
      <w:numFmt w:val="lowerRoman"/>
      <w:lvlText w:val="%9."/>
      <w:lvlJc w:val="right"/>
      <w:pPr>
        <w:ind w:left="6690" w:hanging="180"/>
      </w:pPr>
      <w:rPr>
        <w:rFonts w:hint="default"/>
      </w:rPr>
    </w:lvl>
  </w:abstractNum>
  <w:abstractNum w:abstractNumId="23" w15:restartNumberingAfterBreak="0">
    <w:nsid w:val="3B9929A0"/>
    <w:multiLevelType w:val="hybridMultilevel"/>
    <w:tmpl w:val="6C8E1448"/>
    <w:lvl w:ilvl="0" w:tplc="6E56545A">
      <w:start w:val="1"/>
      <w:numFmt w:val="bullet"/>
      <w:pStyle w:val="Boxdotpoin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24" w15:restartNumberingAfterBreak="0">
    <w:nsid w:val="3D34314F"/>
    <w:multiLevelType w:val="hybridMultilevel"/>
    <w:tmpl w:val="ADC4E8AE"/>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3ED76FDC"/>
    <w:multiLevelType w:val="hybridMultilevel"/>
    <w:tmpl w:val="34D2EA22"/>
    <w:lvl w:ilvl="0" w:tplc="64381D50">
      <w:start w:val="1"/>
      <w:numFmt w:val="lowerRoman"/>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416034F7"/>
    <w:multiLevelType w:val="hybridMultilevel"/>
    <w:tmpl w:val="523E7CB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41EA6ABA"/>
    <w:multiLevelType w:val="hybridMultilevel"/>
    <w:tmpl w:val="918C3D9C"/>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45614F91"/>
    <w:multiLevelType w:val="hybridMultilevel"/>
    <w:tmpl w:val="6C1CD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CEB11EF"/>
    <w:multiLevelType w:val="hybridMultilevel"/>
    <w:tmpl w:val="78D648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10D2863"/>
    <w:multiLevelType w:val="hybridMultilevel"/>
    <w:tmpl w:val="C69CF7E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68211CC"/>
    <w:multiLevelType w:val="multilevel"/>
    <w:tmpl w:val="001A2650"/>
    <w:lvl w:ilvl="0">
      <w:start w:val="1"/>
      <w:numFmt w:val="decimal"/>
      <w:pStyle w:val="Heading2"/>
      <w:suff w:val="nothing"/>
      <w:lvlText w:val="Chapter %1 – "/>
      <w:lvlJc w:val="left"/>
      <w:pPr>
        <w:ind w:left="0" w:firstLine="0"/>
      </w:pPr>
      <w:rPr>
        <w:rFonts w:ascii="Calibri" w:hAnsi="Calibri" w:hint="default"/>
        <w:b w:val="0"/>
        <w:i w:val="0"/>
        <w:color w:val="297BAF"/>
        <w:sz w:val="40"/>
      </w:rPr>
    </w:lvl>
    <w:lvl w:ilvl="1">
      <w:start w:val="1"/>
      <w:numFmt w:val="decimal"/>
      <w:pStyle w:val="Heading3"/>
      <w:suff w:val="nothing"/>
      <w:lvlText w:val="%1.%2 "/>
      <w:lvlJc w:val="left"/>
      <w:pPr>
        <w:ind w:left="0" w:firstLine="0"/>
      </w:pPr>
      <w:rPr>
        <w:rFonts w:ascii="Calibri" w:hAnsi="Calibri" w:hint="default"/>
        <w:b/>
        <w:i w:val="0"/>
        <w:color w:val="00254A" w:themeColor="text2"/>
        <w:sz w:val="32"/>
      </w:rPr>
    </w:lvl>
    <w:lvl w:ilvl="2">
      <w:start w:val="1"/>
      <w:numFmt w:val="decimal"/>
      <w:pStyle w:val="Heading4"/>
      <w:suff w:val="nothing"/>
      <w:lvlText w:val="%1.%2.%3 "/>
      <w:lvlJc w:val="left"/>
      <w:pPr>
        <w:ind w:left="425" w:firstLine="0"/>
      </w:pPr>
      <w:rPr>
        <w:rFonts w:ascii="Calibri Light" w:hAnsi="Calibri Light" w:hint="default"/>
        <w:b/>
        <w:bCs/>
        <w:i w:val="0"/>
        <w:color w:val="004C6C" w:themeColor="background2"/>
        <w:sz w:val="28"/>
        <w:szCs w:val="32"/>
      </w:rPr>
    </w:lvl>
    <w:lvl w:ilvl="3">
      <w:start w:val="1"/>
      <w:numFmt w:val="decimal"/>
      <w:pStyle w:val="Heading5"/>
      <w:suff w:val="space"/>
      <w:lvlText w:val="%1.%2.%3.%4"/>
      <w:lvlJc w:val="left"/>
      <w:pPr>
        <w:ind w:left="0" w:firstLine="0"/>
      </w:pPr>
      <w:rPr>
        <w:rFonts w:ascii="Calibri" w:hAnsi="Calibri" w:hint="default"/>
        <w:b/>
        <w:bCs/>
        <w:i w:val="0"/>
        <w:color w:val="auto"/>
        <w:sz w:val="24"/>
        <w:szCs w:val="28"/>
      </w:rPr>
    </w:lvl>
    <w:lvl w:ilvl="4">
      <w:start w:val="1"/>
      <w:numFmt w:val="none"/>
      <w:pStyle w:val="Heading6"/>
      <w:suff w:val="nothing"/>
      <w:lvlText w:val=""/>
      <w:lvlJc w:val="left"/>
      <w:pPr>
        <w:ind w:left="0" w:firstLine="0"/>
      </w:pPr>
      <w:rPr>
        <w:rFonts w:ascii="Calibri Light" w:hAnsi="Calibri Light" w:hint="default"/>
        <w:b/>
        <w:i w:val="0"/>
        <w:color w:val="7F7F7F" w:themeColor="text1" w:themeTint="80"/>
        <w:sz w:val="22"/>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5B371FF6"/>
    <w:multiLevelType w:val="multilevel"/>
    <w:tmpl w:val="D78E1168"/>
    <w:name w:val="EDU - Alpha List"/>
    <w:lvl w:ilvl="0">
      <w:start w:val="1"/>
      <w:numFmt w:val="decimal"/>
      <w:pStyle w:val="List"/>
      <w:lvlText w:val="%1."/>
      <w:lvlJc w:val="left"/>
      <w:pPr>
        <w:tabs>
          <w:tab w:val="num" w:pos="397"/>
        </w:tabs>
        <w:ind w:left="397" w:hanging="397"/>
      </w:pPr>
      <w:rPr>
        <w:rFonts w:hint="default"/>
        <w:b w:val="0"/>
        <w:bCs/>
        <w:color w:val="auto"/>
        <w:sz w:val="22"/>
        <w:szCs w:val="22"/>
      </w:rPr>
    </w:lvl>
    <w:lvl w:ilvl="1">
      <w:start w:val="1"/>
      <w:numFmt w:val="lowerLetter"/>
      <w:pStyle w:val="List2"/>
      <w:lvlText w:val="%2."/>
      <w:lvlJc w:val="left"/>
      <w:pPr>
        <w:ind w:left="794" w:hanging="397"/>
      </w:pPr>
      <w:rPr>
        <w:b w:val="0"/>
        <w:bCs w:val="0"/>
        <w:i w:val="0"/>
        <w:iCs w:val="0"/>
        <w:color w:val="auto"/>
        <w:sz w:val="22"/>
        <w:szCs w:val="22"/>
      </w:rPr>
    </w:lvl>
    <w:lvl w:ilvl="2">
      <w:start w:val="1"/>
      <w:numFmt w:val="lowerRoman"/>
      <w:pStyle w:val="List3"/>
      <w:lvlText w:val="%3"/>
      <w:lvlJc w:val="left"/>
      <w:pPr>
        <w:ind w:left="1191" w:hanging="397"/>
      </w:pPr>
      <w:rPr>
        <w:b w:val="0"/>
        <w:bCs w:val="0"/>
        <w:color w:val="auto"/>
        <w:sz w:val="22"/>
        <w:szCs w:val="22"/>
      </w:rPr>
    </w:lvl>
    <w:lvl w:ilvl="3">
      <w:start w:val="1"/>
      <w:numFmt w:val="bullet"/>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A150137"/>
    <w:multiLevelType w:val="hybridMultilevel"/>
    <w:tmpl w:val="B1EEA6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C316DA4"/>
    <w:multiLevelType w:val="hybridMultilevel"/>
    <w:tmpl w:val="E6FAC07C"/>
    <w:name w:val="EDU - Bullet List3"/>
    <w:lvl w:ilvl="0" w:tplc="FFFFFFFF">
      <w:start w:val="1"/>
      <w:numFmt w:val="bullet"/>
      <w:lvlText w:val=""/>
      <w:lvlJc w:val="left"/>
      <w:pPr>
        <w:ind w:left="930" w:hanging="360"/>
      </w:pPr>
      <w:rPr>
        <w:rFonts w:ascii="Wingdings" w:hAnsi="Wingdings" w:hint="default"/>
      </w:rPr>
    </w:lvl>
    <w:lvl w:ilvl="1" w:tplc="0C090003" w:tentative="1">
      <w:start w:val="1"/>
      <w:numFmt w:val="bullet"/>
      <w:lvlText w:val="o"/>
      <w:lvlJc w:val="left"/>
      <w:pPr>
        <w:ind w:left="1650" w:hanging="360"/>
      </w:pPr>
      <w:rPr>
        <w:rFonts w:ascii="Courier New" w:hAnsi="Courier New" w:cs="Courier New" w:hint="default"/>
      </w:rPr>
    </w:lvl>
    <w:lvl w:ilvl="2" w:tplc="0C090005" w:tentative="1">
      <w:start w:val="1"/>
      <w:numFmt w:val="bullet"/>
      <w:lvlText w:val=""/>
      <w:lvlJc w:val="left"/>
      <w:pPr>
        <w:ind w:left="2370" w:hanging="360"/>
      </w:pPr>
      <w:rPr>
        <w:rFonts w:ascii="Wingdings" w:hAnsi="Wingdings" w:hint="default"/>
      </w:rPr>
    </w:lvl>
    <w:lvl w:ilvl="3" w:tplc="0C090001" w:tentative="1">
      <w:start w:val="1"/>
      <w:numFmt w:val="bullet"/>
      <w:lvlText w:val=""/>
      <w:lvlJc w:val="left"/>
      <w:pPr>
        <w:ind w:left="3090" w:hanging="360"/>
      </w:pPr>
      <w:rPr>
        <w:rFonts w:ascii="Symbol" w:hAnsi="Symbol" w:hint="default"/>
      </w:rPr>
    </w:lvl>
    <w:lvl w:ilvl="4" w:tplc="0C090003" w:tentative="1">
      <w:start w:val="1"/>
      <w:numFmt w:val="bullet"/>
      <w:lvlText w:val="o"/>
      <w:lvlJc w:val="left"/>
      <w:pPr>
        <w:ind w:left="3810" w:hanging="360"/>
      </w:pPr>
      <w:rPr>
        <w:rFonts w:ascii="Courier New" w:hAnsi="Courier New" w:cs="Courier New" w:hint="default"/>
      </w:rPr>
    </w:lvl>
    <w:lvl w:ilvl="5" w:tplc="0C090005" w:tentative="1">
      <w:start w:val="1"/>
      <w:numFmt w:val="bullet"/>
      <w:lvlText w:val=""/>
      <w:lvlJc w:val="left"/>
      <w:pPr>
        <w:ind w:left="4530" w:hanging="360"/>
      </w:pPr>
      <w:rPr>
        <w:rFonts w:ascii="Wingdings" w:hAnsi="Wingdings" w:hint="default"/>
      </w:rPr>
    </w:lvl>
    <w:lvl w:ilvl="6" w:tplc="0C090001" w:tentative="1">
      <w:start w:val="1"/>
      <w:numFmt w:val="bullet"/>
      <w:lvlText w:val=""/>
      <w:lvlJc w:val="left"/>
      <w:pPr>
        <w:ind w:left="5250" w:hanging="360"/>
      </w:pPr>
      <w:rPr>
        <w:rFonts w:ascii="Symbol" w:hAnsi="Symbol" w:hint="default"/>
      </w:rPr>
    </w:lvl>
    <w:lvl w:ilvl="7" w:tplc="0C090003" w:tentative="1">
      <w:start w:val="1"/>
      <w:numFmt w:val="bullet"/>
      <w:lvlText w:val="o"/>
      <w:lvlJc w:val="left"/>
      <w:pPr>
        <w:ind w:left="5970" w:hanging="360"/>
      </w:pPr>
      <w:rPr>
        <w:rFonts w:ascii="Courier New" w:hAnsi="Courier New" w:cs="Courier New" w:hint="default"/>
      </w:rPr>
    </w:lvl>
    <w:lvl w:ilvl="8" w:tplc="0C090005" w:tentative="1">
      <w:start w:val="1"/>
      <w:numFmt w:val="bullet"/>
      <w:lvlText w:val=""/>
      <w:lvlJc w:val="left"/>
      <w:pPr>
        <w:ind w:left="6690" w:hanging="360"/>
      </w:pPr>
      <w:rPr>
        <w:rFonts w:ascii="Wingdings" w:hAnsi="Wingdings" w:hint="default"/>
      </w:rPr>
    </w:lvl>
  </w:abstractNum>
  <w:abstractNum w:abstractNumId="35" w15:restartNumberingAfterBreak="0">
    <w:nsid w:val="72736975"/>
    <w:multiLevelType w:val="hybridMultilevel"/>
    <w:tmpl w:val="EE6A199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728701D1"/>
    <w:multiLevelType w:val="multilevel"/>
    <w:tmpl w:val="0C09001D"/>
    <w:name w:val="EDU - Alpha 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3A3173E"/>
    <w:multiLevelType w:val="hybridMultilevel"/>
    <w:tmpl w:val="10DAD714"/>
    <w:name w:val="EDU - Bullet List22"/>
    <w:lvl w:ilvl="0" w:tplc="F260E872">
      <w:start w:val="1"/>
      <w:numFmt w:val="bullet"/>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8" w15:restartNumberingAfterBreak="0">
    <w:nsid w:val="76447103"/>
    <w:multiLevelType w:val="hybridMultilevel"/>
    <w:tmpl w:val="A9DCFEEC"/>
    <w:lvl w:ilvl="0" w:tplc="CB2265BA">
      <w:start w:val="28"/>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BE12DF5"/>
    <w:multiLevelType w:val="hybridMultilevel"/>
    <w:tmpl w:val="95043CD4"/>
    <w:name w:val="EDU - Bullet List2322"/>
    <w:lvl w:ilvl="0" w:tplc="0C090001">
      <w:start w:val="1"/>
      <w:numFmt w:val="bullet"/>
      <w:lvlText w:val=""/>
      <w:lvlJc w:val="left"/>
      <w:pPr>
        <w:ind w:left="930" w:hanging="360"/>
      </w:pPr>
      <w:rPr>
        <w:rFonts w:ascii="Symbol" w:hAnsi="Symbol" w:hint="default"/>
      </w:rPr>
    </w:lvl>
    <w:lvl w:ilvl="1" w:tplc="0C090003" w:tentative="1">
      <w:start w:val="1"/>
      <w:numFmt w:val="bullet"/>
      <w:lvlText w:val="o"/>
      <w:lvlJc w:val="left"/>
      <w:pPr>
        <w:ind w:left="1650" w:hanging="360"/>
      </w:pPr>
      <w:rPr>
        <w:rFonts w:ascii="Courier New" w:hAnsi="Courier New" w:cs="Courier New" w:hint="default"/>
      </w:rPr>
    </w:lvl>
    <w:lvl w:ilvl="2" w:tplc="0C090005" w:tentative="1">
      <w:start w:val="1"/>
      <w:numFmt w:val="bullet"/>
      <w:lvlText w:val=""/>
      <w:lvlJc w:val="left"/>
      <w:pPr>
        <w:ind w:left="2370" w:hanging="360"/>
      </w:pPr>
      <w:rPr>
        <w:rFonts w:ascii="Wingdings" w:hAnsi="Wingdings" w:hint="default"/>
      </w:rPr>
    </w:lvl>
    <w:lvl w:ilvl="3" w:tplc="0C090001" w:tentative="1">
      <w:start w:val="1"/>
      <w:numFmt w:val="bullet"/>
      <w:lvlText w:val=""/>
      <w:lvlJc w:val="left"/>
      <w:pPr>
        <w:ind w:left="3090" w:hanging="360"/>
      </w:pPr>
      <w:rPr>
        <w:rFonts w:ascii="Symbol" w:hAnsi="Symbol" w:hint="default"/>
      </w:rPr>
    </w:lvl>
    <w:lvl w:ilvl="4" w:tplc="0C090003" w:tentative="1">
      <w:start w:val="1"/>
      <w:numFmt w:val="bullet"/>
      <w:lvlText w:val="o"/>
      <w:lvlJc w:val="left"/>
      <w:pPr>
        <w:ind w:left="3810" w:hanging="360"/>
      </w:pPr>
      <w:rPr>
        <w:rFonts w:ascii="Courier New" w:hAnsi="Courier New" w:cs="Courier New" w:hint="default"/>
      </w:rPr>
    </w:lvl>
    <w:lvl w:ilvl="5" w:tplc="0C090005" w:tentative="1">
      <w:start w:val="1"/>
      <w:numFmt w:val="bullet"/>
      <w:lvlText w:val=""/>
      <w:lvlJc w:val="left"/>
      <w:pPr>
        <w:ind w:left="4530" w:hanging="360"/>
      </w:pPr>
      <w:rPr>
        <w:rFonts w:ascii="Wingdings" w:hAnsi="Wingdings" w:hint="default"/>
      </w:rPr>
    </w:lvl>
    <w:lvl w:ilvl="6" w:tplc="0C090001" w:tentative="1">
      <w:start w:val="1"/>
      <w:numFmt w:val="bullet"/>
      <w:lvlText w:val=""/>
      <w:lvlJc w:val="left"/>
      <w:pPr>
        <w:ind w:left="5250" w:hanging="360"/>
      </w:pPr>
      <w:rPr>
        <w:rFonts w:ascii="Symbol" w:hAnsi="Symbol" w:hint="default"/>
      </w:rPr>
    </w:lvl>
    <w:lvl w:ilvl="7" w:tplc="0C090003" w:tentative="1">
      <w:start w:val="1"/>
      <w:numFmt w:val="bullet"/>
      <w:lvlText w:val="o"/>
      <w:lvlJc w:val="left"/>
      <w:pPr>
        <w:ind w:left="5970" w:hanging="360"/>
      </w:pPr>
      <w:rPr>
        <w:rFonts w:ascii="Courier New" w:hAnsi="Courier New" w:cs="Courier New" w:hint="default"/>
      </w:rPr>
    </w:lvl>
    <w:lvl w:ilvl="8" w:tplc="0C090005" w:tentative="1">
      <w:start w:val="1"/>
      <w:numFmt w:val="bullet"/>
      <w:lvlText w:val=""/>
      <w:lvlJc w:val="left"/>
      <w:pPr>
        <w:ind w:left="6690" w:hanging="360"/>
      </w:pPr>
      <w:rPr>
        <w:rFonts w:ascii="Wingdings" w:hAnsi="Wingdings" w:hint="default"/>
      </w:rPr>
    </w:lvl>
  </w:abstractNum>
  <w:abstractNum w:abstractNumId="40" w15:restartNumberingAfterBreak="0">
    <w:nsid w:val="7C9129B8"/>
    <w:multiLevelType w:val="hybridMultilevel"/>
    <w:tmpl w:val="78A250E0"/>
    <w:lvl w:ilvl="0" w:tplc="0C090001">
      <w:start w:val="1"/>
      <w:numFmt w:val="bullet"/>
      <w:lvlText w:val=""/>
      <w:lvlJc w:val="left"/>
      <w:pPr>
        <w:ind w:left="363" w:hanging="360"/>
      </w:pPr>
      <w:rPr>
        <w:rFonts w:ascii="Symbol" w:hAnsi="Symbol"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num w:numId="1" w16cid:durableId="1534928058">
    <w:abstractNumId w:val="11"/>
  </w:num>
  <w:num w:numId="2" w16cid:durableId="1417896489">
    <w:abstractNumId w:val="32"/>
  </w:num>
  <w:num w:numId="3" w16cid:durableId="1162814858">
    <w:abstractNumId w:val="16"/>
  </w:num>
  <w:num w:numId="4" w16cid:durableId="23022109">
    <w:abstractNumId w:val="6"/>
  </w:num>
  <w:num w:numId="5" w16cid:durableId="1599482680">
    <w:abstractNumId w:val="4"/>
  </w:num>
  <w:num w:numId="6" w16cid:durableId="1781872328">
    <w:abstractNumId w:val="30"/>
  </w:num>
  <w:num w:numId="7" w16cid:durableId="327169742">
    <w:abstractNumId w:val="17"/>
  </w:num>
  <w:num w:numId="8" w16cid:durableId="230772478">
    <w:abstractNumId w:val="25"/>
  </w:num>
  <w:num w:numId="9" w16cid:durableId="809370047">
    <w:abstractNumId w:val="27"/>
  </w:num>
  <w:num w:numId="10" w16cid:durableId="1451973210">
    <w:abstractNumId w:val="2"/>
  </w:num>
  <w:num w:numId="11" w16cid:durableId="1392116544">
    <w:abstractNumId w:val="15"/>
  </w:num>
  <w:num w:numId="12" w16cid:durableId="182675193">
    <w:abstractNumId w:val="19"/>
  </w:num>
  <w:num w:numId="13" w16cid:durableId="1676762252">
    <w:abstractNumId w:val="3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472564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8266991">
    <w:abstractNumId w:val="0"/>
  </w:num>
  <w:num w:numId="16" w16cid:durableId="1239250742">
    <w:abstractNumId w:val="33"/>
  </w:num>
  <w:num w:numId="17" w16cid:durableId="752357539">
    <w:abstractNumId w:val="24"/>
  </w:num>
  <w:num w:numId="18" w16cid:durableId="527958413">
    <w:abstractNumId w:val="20"/>
  </w:num>
  <w:num w:numId="19" w16cid:durableId="375278849">
    <w:abstractNumId w:val="18"/>
  </w:num>
  <w:num w:numId="20" w16cid:durableId="730349492">
    <w:abstractNumId w:val="8"/>
  </w:num>
  <w:num w:numId="21" w16cid:durableId="1045450088">
    <w:abstractNumId w:val="3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97704870">
    <w:abstractNumId w:val="31"/>
  </w:num>
  <w:num w:numId="23" w16cid:durableId="1506168932">
    <w:abstractNumId w:val="32"/>
    <w:lvlOverride w:ilvl="0">
      <w:startOverride w:val="2"/>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06130428">
    <w:abstractNumId w:val="3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68539330">
    <w:abstractNumId w:val="3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77293730">
    <w:abstractNumId w:val="29"/>
  </w:num>
  <w:num w:numId="27" w16cid:durableId="987053426">
    <w:abstractNumId w:val="40"/>
  </w:num>
  <w:num w:numId="28" w16cid:durableId="515314443">
    <w:abstractNumId w:val="28"/>
  </w:num>
  <w:num w:numId="29" w16cid:durableId="1172138852">
    <w:abstractNumId w:val="12"/>
  </w:num>
  <w:num w:numId="30" w16cid:durableId="1491169410">
    <w:abstractNumId w:val="3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93457542">
    <w:abstractNumId w:val="3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9181778">
    <w:abstractNumId w:val="32"/>
    <w:lvlOverride w:ilvl="0">
      <w:startOverride w:val="16"/>
    </w:lvlOverride>
  </w:num>
  <w:num w:numId="33" w16cid:durableId="528186073">
    <w:abstractNumId w:val="32"/>
    <w:lvlOverride w:ilvl="0">
      <w:startOverride w:val="30"/>
    </w:lvlOverride>
  </w:num>
  <w:num w:numId="34" w16cid:durableId="1327250344">
    <w:abstractNumId w:val="32"/>
    <w:lvlOverride w:ilvl="0">
      <w:startOverride w:val="29"/>
    </w:lvlOverride>
  </w:num>
  <w:num w:numId="35" w16cid:durableId="1012151624">
    <w:abstractNumId w:val="32"/>
    <w:lvlOverride w:ilvl="0">
      <w:startOverride w:val="34"/>
    </w:lvlOverride>
  </w:num>
  <w:num w:numId="36" w16cid:durableId="906232420">
    <w:abstractNumId w:val="3"/>
  </w:num>
  <w:num w:numId="37" w16cid:durableId="729116100">
    <w:abstractNumId w:val="3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44546979">
    <w:abstractNumId w:val="3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45210611">
    <w:abstractNumId w:val="14"/>
  </w:num>
  <w:num w:numId="40" w16cid:durableId="844124737">
    <w:abstractNumId w:val="23"/>
  </w:num>
  <w:num w:numId="41" w16cid:durableId="10914369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43675094">
    <w:abstractNumId w:val="16"/>
  </w:num>
  <w:num w:numId="43" w16cid:durableId="1033069654">
    <w:abstractNumId w:val="16"/>
  </w:num>
  <w:num w:numId="44" w16cid:durableId="19694343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26982460">
    <w:abstractNumId w:val="16"/>
  </w:num>
  <w:num w:numId="46" w16cid:durableId="16089294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70386704">
    <w:abstractNumId w:val="1"/>
  </w:num>
  <w:num w:numId="48" w16cid:durableId="1699549769">
    <w:abstractNumId w:val="1"/>
  </w:num>
  <w:num w:numId="49" w16cid:durableId="10153779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0439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214032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62356749">
    <w:abstractNumId w:val="13"/>
  </w:num>
  <w:num w:numId="53" w16cid:durableId="37290324">
    <w:abstractNumId w:val="10"/>
  </w:num>
  <w:num w:numId="54" w16cid:durableId="2013794496">
    <w:abstractNumId w:val="3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60228760">
    <w:abstractNumId w:val="3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49878945">
    <w:abstractNumId w:val="10"/>
    <w:lvlOverride w:ilvl="0">
      <w:startOverride w:val="1"/>
    </w:lvlOverride>
  </w:num>
  <w:num w:numId="57" w16cid:durableId="1631544908">
    <w:abstractNumId w:val="10"/>
    <w:lvlOverride w:ilvl="0">
      <w:startOverride w:val="1"/>
    </w:lvlOverride>
  </w:num>
  <w:num w:numId="58" w16cid:durableId="457189914">
    <w:abstractNumId w:val="35"/>
  </w:num>
  <w:num w:numId="59" w16cid:durableId="1028069719">
    <w:abstractNumId w:val="26"/>
  </w:num>
  <w:num w:numId="60" w16cid:durableId="2091416150">
    <w:abstractNumId w:val="3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0"/>
  <w:defaultTabStop w:val="720"/>
  <w:defaultTableStyle w:val="EDU-Basic"/>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1CD"/>
    <w:rsid w:val="000001FE"/>
    <w:rsid w:val="00000262"/>
    <w:rsid w:val="0000041D"/>
    <w:rsid w:val="0000044D"/>
    <w:rsid w:val="000004AB"/>
    <w:rsid w:val="000006BF"/>
    <w:rsid w:val="00000833"/>
    <w:rsid w:val="00000851"/>
    <w:rsid w:val="0000088D"/>
    <w:rsid w:val="00000938"/>
    <w:rsid w:val="00000A8B"/>
    <w:rsid w:val="00000BBB"/>
    <w:rsid w:val="00000C65"/>
    <w:rsid w:val="00000C7E"/>
    <w:rsid w:val="00000D83"/>
    <w:rsid w:val="00000DB5"/>
    <w:rsid w:val="00001044"/>
    <w:rsid w:val="00001061"/>
    <w:rsid w:val="00001143"/>
    <w:rsid w:val="000011AD"/>
    <w:rsid w:val="000011B1"/>
    <w:rsid w:val="000011F4"/>
    <w:rsid w:val="000012DD"/>
    <w:rsid w:val="000012EC"/>
    <w:rsid w:val="00001322"/>
    <w:rsid w:val="0000134C"/>
    <w:rsid w:val="000013B1"/>
    <w:rsid w:val="000013F4"/>
    <w:rsid w:val="00001411"/>
    <w:rsid w:val="000014F7"/>
    <w:rsid w:val="00001526"/>
    <w:rsid w:val="00001598"/>
    <w:rsid w:val="0000168C"/>
    <w:rsid w:val="000016A4"/>
    <w:rsid w:val="000016C9"/>
    <w:rsid w:val="00001764"/>
    <w:rsid w:val="00001799"/>
    <w:rsid w:val="00001803"/>
    <w:rsid w:val="0000189A"/>
    <w:rsid w:val="000018AF"/>
    <w:rsid w:val="00001A11"/>
    <w:rsid w:val="00001AAD"/>
    <w:rsid w:val="00001B3A"/>
    <w:rsid w:val="00001B49"/>
    <w:rsid w:val="00001B70"/>
    <w:rsid w:val="00001B77"/>
    <w:rsid w:val="00001BC9"/>
    <w:rsid w:val="00001D35"/>
    <w:rsid w:val="00001D54"/>
    <w:rsid w:val="00001D89"/>
    <w:rsid w:val="00001D9A"/>
    <w:rsid w:val="00001F2E"/>
    <w:rsid w:val="00001F47"/>
    <w:rsid w:val="00001F8D"/>
    <w:rsid w:val="000020CF"/>
    <w:rsid w:val="000020DB"/>
    <w:rsid w:val="00002207"/>
    <w:rsid w:val="00002220"/>
    <w:rsid w:val="000022BC"/>
    <w:rsid w:val="000022DD"/>
    <w:rsid w:val="00002318"/>
    <w:rsid w:val="0000238A"/>
    <w:rsid w:val="000023A5"/>
    <w:rsid w:val="000023A7"/>
    <w:rsid w:val="000023EA"/>
    <w:rsid w:val="00002435"/>
    <w:rsid w:val="000024FD"/>
    <w:rsid w:val="00002575"/>
    <w:rsid w:val="00002608"/>
    <w:rsid w:val="00002680"/>
    <w:rsid w:val="00002698"/>
    <w:rsid w:val="00002749"/>
    <w:rsid w:val="00002754"/>
    <w:rsid w:val="00002792"/>
    <w:rsid w:val="00002810"/>
    <w:rsid w:val="00002852"/>
    <w:rsid w:val="00002877"/>
    <w:rsid w:val="000029CF"/>
    <w:rsid w:val="00002B35"/>
    <w:rsid w:val="00002B62"/>
    <w:rsid w:val="00002BF1"/>
    <w:rsid w:val="00002E07"/>
    <w:rsid w:val="00002E75"/>
    <w:rsid w:val="00002E7B"/>
    <w:rsid w:val="00002F53"/>
    <w:rsid w:val="00002F7E"/>
    <w:rsid w:val="000030C1"/>
    <w:rsid w:val="000030EC"/>
    <w:rsid w:val="00003192"/>
    <w:rsid w:val="000031E9"/>
    <w:rsid w:val="000031FB"/>
    <w:rsid w:val="00003242"/>
    <w:rsid w:val="00003299"/>
    <w:rsid w:val="000032F1"/>
    <w:rsid w:val="00003436"/>
    <w:rsid w:val="00003513"/>
    <w:rsid w:val="00003570"/>
    <w:rsid w:val="000035D8"/>
    <w:rsid w:val="000035E8"/>
    <w:rsid w:val="00003668"/>
    <w:rsid w:val="00003697"/>
    <w:rsid w:val="00003728"/>
    <w:rsid w:val="00003793"/>
    <w:rsid w:val="000037CF"/>
    <w:rsid w:val="0000388F"/>
    <w:rsid w:val="000038D8"/>
    <w:rsid w:val="000038F5"/>
    <w:rsid w:val="00003962"/>
    <w:rsid w:val="000039A5"/>
    <w:rsid w:val="00003A15"/>
    <w:rsid w:val="00003A17"/>
    <w:rsid w:val="00003A4C"/>
    <w:rsid w:val="00003AAC"/>
    <w:rsid w:val="00003B5E"/>
    <w:rsid w:val="00003B5F"/>
    <w:rsid w:val="00003B6B"/>
    <w:rsid w:val="00003B9A"/>
    <w:rsid w:val="00003BD8"/>
    <w:rsid w:val="00003BE5"/>
    <w:rsid w:val="00003C04"/>
    <w:rsid w:val="00003C21"/>
    <w:rsid w:val="00003C5C"/>
    <w:rsid w:val="00003C64"/>
    <w:rsid w:val="00003D3B"/>
    <w:rsid w:val="00003D7E"/>
    <w:rsid w:val="00003DCD"/>
    <w:rsid w:val="00003E36"/>
    <w:rsid w:val="00003F21"/>
    <w:rsid w:val="00004047"/>
    <w:rsid w:val="0000407A"/>
    <w:rsid w:val="00004087"/>
    <w:rsid w:val="00004093"/>
    <w:rsid w:val="000040A6"/>
    <w:rsid w:val="000040FA"/>
    <w:rsid w:val="00004189"/>
    <w:rsid w:val="00004399"/>
    <w:rsid w:val="000043C4"/>
    <w:rsid w:val="000043C5"/>
    <w:rsid w:val="00004623"/>
    <w:rsid w:val="000046EB"/>
    <w:rsid w:val="00004750"/>
    <w:rsid w:val="0000484E"/>
    <w:rsid w:val="00004875"/>
    <w:rsid w:val="000048FC"/>
    <w:rsid w:val="00004968"/>
    <w:rsid w:val="000049DA"/>
    <w:rsid w:val="00004A17"/>
    <w:rsid w:val="00004A57"/>
    <w:rsid w:val="00004ACC"/>
    <w:rsid w:val="00004ADD"/>
    <w:rsid w:val="00004B42"/>
    <w:rsid w:val="00004B6A"/>
    <w:rsid w:val="00004BE0"/>
    <w:rsid w:val="00004C2F"/>
    <w:rsid w:val="00004C57"/>
    <w:rsid w:val="00004C8D"/>
    <w:rsid w:val="00004D57"/>
    <w:rsid w:val="00004D6A"/>
    <w:rsid w:val="00004DCC"/>
    <w:rsid w:val="00004E10"/>
    <w:rsid w:val="00004F46"/>
    <w:rsid w:val="00004F87"/>
    <w:rsid w:val="00005003"/>
    <w:rsid w:val="000050F3"/>
    <w:rsid w:val="000050F7"/>
    <w:rsid w:val="000052DF"/>
    <w:rsid w:val="000052E6"/>
    <w:rsid w:val="00005304"/>
    <w:rsid w:val="00005393"/>
    <w:rsid w:val="0000551A"/>
    <w:rsid w:val="00005605"/>
    <w:rsid w:val="00005670"/>
    <w:rsid w:val="00005704"/>
    <w:rsid w:val="00005804"/>
    <w:rsid w:val="0000587F"/>
    <w:rsid w:val="0000590F"/>
    <w:rsid w:val="00005981"/>
    <w:rsid w:val="00005A1F"/>
    <w:rsid w:val="00005AA2"/>
    <w:rsid w:val="00005AA4"/>
    <w:rsid w:val="00005B48"/>
    <w:rsid w:val="00005B62"/>
    <w:rsid w:val="00005C53"/>
    <w:rsid w:val="00005F19"/>
    <w:rsid w:val="00005F59"/>
    <w:rsid w:val="00005F66"/>
    <w:rsid w:val="00005FF1"/>
    <w:rsid w:val="000060AF"/>
    <w:rsid w:val="000060C7"/>
    <w:rsid w:val="000060D7"/>
    <w:rsid w:val="0000617B"/>
    <w:rsid w:val="00006404"/>
    <w:rsid w:val="0000641F"/>
    <w:rsid w:val="0000643C"/>
    <w:rsid w:val="0000646F"/>
    <w:rsid w:val="00006479"/>
    <w:rsid w:val="00006579"/>
    <w:rsid w:val="000065A9"/>
    <w:rsid w:val="00006766"/>
    <w:rsid w:val="0000683F"/>
    <w:rsid w:val="000068AE"/>
    <w:rsid w:val="00006939"/>
    <w:rsid w:val="000069F3"/>
    <w:rsid w:val="00006B5F"/>
    <w:rsid w:val="00006C02"/>
    <w:rsid w:val="00006C1D"/>
    <w:rsid w:val="00006C8A"/>
    <w:rsid w:val="00006C8E"/>
    <w:rsid w:val="00006C9D"/>
    <w:rsid w:val="00006CA7"/>
    <w:rsid w:val="00006CC6"/>
    <w:rsid w:val="00006D1B"/>
    <w:rsid w:val="00006D49"/>
    <w:rsid w:val="00006D65"/>
    <w:rsid w:val="00006DF5"/>
    <w:rsid w:val="00006E58"/>
    <w:rsid w:val="00006F61"/>
    <w:rsid w:val="00007005"/>
    <w:rsid w:val="00007013"/>
    <w:rsid w:val="00007140"/>
    <w:rsid w:val="000071E0"/>
    <w:rsid w:val="00007230"/>
    <w:rsid w:val="0000724B"/>
    <w:rsid w:val="00007287"/>
    <w:rsid w:val="000072B6"/>
    <w:rsid w:val="0000734A"/>
    <w:rsid w:val="000073AF"/>
    <w:rsid w:val="00007594"/>
    <w:rsid w:val="00007652"/>
    <w:rsid w:val="000076F7"/>
    <w:rsid w:val="00007766"/>
    <w:rsid w:val="000078F5"/>
    <w:rsid w:val="0000796E"/>
    <w:rsid w:val="00007A79"/>
    <w:rsid w:val="00007AB4"/>
    <w:rsid w:val="00007AFD"/>
    <w:rsid w:val="00007B7A"/>
    <w:rsid w:val="00007B80"/>
    <w:rsid w:val="00007B85"/>
    <w:rsid w:val="00007C23"/>
    <w:rsid w:val="00007CDA"/>
    <w:rsid w:val="00007D40"/>
    <w:rsid w:val="00007DB9"/>
    <w:rsid w:val="00007E0A"/>
    <w:rsid w:val="00007F7F"/>
    <w:rsid w:val="00007FAD"/>
    <w:rsid w:val="00010125"/>
    <w:rsid w:val="00010186"/>
    <w:rsid w:val="000102A1"/>
    <w:rsid w:val="000102B8"/>
    <w:rsid w:val="000102F7"/>
    <w:rsid w:val="0001030A"/>
    <w:rsid w:val="00010355"/>
    <w:rsid w:val="00010404"/>
    <w:rsid w:val="00010478"/>
    <w:rsid w:val="000104ED"/>
    <w:rsid w:val="000104F5"/>
    <w:rsid w:val="0001061B"/>
    <w:rsid w:val="0001067F"/>
    <w:rsid w:val="000106BD"/>
    <w:rsid w:val="00010707"/>
    <w:rsid w:val="000107A1"/>
    <w:rsid w:val="000107B9"/>
    <w:rsid w:val="00010811"/>
    <w:rsid w:val="00010817"/>
    <w:rsid w:val="00010846"/>
    <w:rsid w:val="000108F6"/>
    <w:rsid w:val="000108FD"/>
    <w:rsid w:val="000109B4"/>
    <w:rsid w:val="00010A15"/>
    <w:rsid w:val="00010A68"/>
    <w:rsid w:val="00010A76"/>
    <w:rsid w:val="00010A9D"/>
    <w:rsid w:val="00010B25"/>
    <w:rsid w:val="00010B99"/>
    <w:rsid w:val="00010CFE"/>
    <w:rsid w:val="00010DDE"/>
    <w:rsid w:val="00010E45"/>
    <w:rsid w:val="00010E95"/>
    <w:rsid w:val="00010EC3"/>
    <w:rsid w:val="00010FA3"/>
    <w:rsid w:val="00011099"/>
    <w:rsid w:val="00011102"/>
    <w:rsid w:val="00011156"/>
    <w:rsid w:val="000111E1"/>
    <w:rsid w:val="0001129B"/>
    <w:rsid w:val="000113A2"/>
    <w:rsid w:val="00011507"/>
    <w:rsid w:val="0001153E"/>
    <w:rsid w:val="00011607"/>
    <w:rsid w:val="00011719"/>
    <w:rsid w:val="0001174D"/>
    <w:rsid w:val="00011784"/>
    <w:rsid w:val="000117BE"/>
    <w:rsid w:val="00011881"/>
    <w:rsid w:val="000118AE"/>
    <w:rsid w:val="000118BF"/>
    <w:rsid w:val="000118C8"/>
    <w:rsid w:val="00011956"/>
    <w:rsid w:val="0001196B"/>
    <w:rsid w:val="0001199C"/>
    <w:rsid w:val="000119C7"/>
    <w:rsid w:val="00011A04"/>
    <w:rsid w:val="00011A4C"/>
    <w:rsid w:val="00011A69"/>
    <w:rsid w:val="00011A7C"/>
    <w:rsid w:val="00011A7E"/>
    <w:rsid w:val="00011B7F"/>
    <w:rsid w:val="00011BF2"/>
    <w:rsid w:val="00011C02"/>
    <w:rsid w:val="00011CE2"/>
    <w:rsid w:val="00011DD9"/>
    <w:rsid w:val="00011E0D"/>
    <w:rsid w:val="00011E33"/>
    <w:rsid w:val="00011E78"/>
    <w:rsid w:val="00011FAD"/>
    <w:rsid w:val="0001205E"/>
    <w:rsid w:val="000120C0"/>
    <w:rsid w:val="000120D7"/>
    <w:rsid w:val="00012107"/>
    <w:rsid w:val="00012111"/>
    <w:rsid w:val="00012149"/>
    <w:rsid w:val="00012296"/>
    <w:rsid w:val="00012346"/>
    <w:rsid w:val="00012366"/>
    <w:rsid w:val="00012496"/>
    <w:rsid w:val="0001250A"/>
    <w:rsid w:val="00012652"/>
    <w:rsid w:val="00012657"/>
    <w:rsid w:val="00012680"/>
    <w:rsid w:val="0001268A"/>
    <w:rsid w:val="000126F3"/>
    <w:rsid w:val="00012740"/>
    <w:rsid w:val="0001274F"/>
    <w:rsid w:val="00012766"/>
    <w:rsid w:val="000127F5"/>
    <w:rsid w:val="000128C2"/>
    <w:rsid w:val="000128D9"/>
    <w:rsid w:val="000129FB"/>
    <w:rsid w:val="00012B6A"/>
    <w:rsid w:val="00012BEA"/>
    <w:rsid w:val="00012C35"/>
    <w:rsid w:val="00012D37"/>
    <w:rsid w:val="00012D82"/>
    <w:rsid w:val="00012DCD"/>
    <w:rsid w:val="00012E1E"/>
    <w:rsid w:val="00012F11"/>
    <w:rsid w:val="00012F81"/>
    <w:rsid w:val="000130D7"/>
    <w:rsid w:val="0001318A"/>
    <w:rsid w:val="00013276"/>
    <w:rsid w:val="000132BF"/>
    <w:rsid w:val="000133CF"/>
    <w:rsid w:val="00013403"/>
    <w:rsid w:val="000134CF"/>
    <w:rsid w:val="000134EC"/>
    <w:rsid w:val="0001359B"/>
    <w:rsid w:val="000136B8"/>
    <w:rsid w:val="00013718"/>
    <w:rsid w:val="000138ED"/>
    <w:rsid w:val="00013987"/>
    <w:rsid w:val="000139B0"/>
    <w:rsid w:val="000139E6"/>
    <w:rsid w:val="00013A67"/>
    <w:rsid w:val="00013A79"/>
    <w:rsid w:val="00013A8E"/>
    <w:rsid w:val="00013AA1"/>
    <w:rsid w:val="00013B74"/>
    <w:rsid w:val="00013B8D"/>
    <w:rsid w:val="00013CA9"/>
    <w:rsid w:val="00013DBA"/>
    <w:rsid w:val="00013DF5"/>
    <w:rsid w:val="00013E09"/>
    <w:rsid w:val="00013E36"/>
    <w:rsid w:val="00013F09"/>
    <w:rsid w:val="00013F43"/>
    <w:rsid w:val="00013F56"/>
    <w:rsid w:val="00013F81"/>
    <w:rsid w:val="00013F9E"/>
    <w:rsid w:val="0001413D"/>
    <w:rsid w:val="00014156"/>
    <w:rsid w:val="00014182"/>
    <w:rsid w:val="000141B1"/>
    <w:rsid w:val="000141B7"/>
    <w:rsid w:val="000141DB"/>
    <w:rsid w:val="00014453"/>
    <w:rsid w:val="000144FD"/>
    <w:rsid w:val="0001455D"/>
    <w:rsid w:val="00014680"/>
    <w:rsid w:val="0001476A"/>
    <w:rsid w:val="000147C0"/>
    <w:rsid w:val="00014822"/>
    <w:rsid w:val="0001487E"/>
    <w:rsid w:val="000148F2"/>
    <w:rsid w:val="0001495F"/>
    <w:rsid w:val="00014A26"/>
    <w:rsid w:val="00014A9C"/>
    <w:rsid w:val="00014AE1"/>
    <w:rsid w:val="00014AFD"/>
    <w:rsid w:val="00014C4D"/>
    <w:rsid w:val="00014C6C"/>
    <w:rsid w:val="00014CBC"/>
    <w:rsid w:val="00014CE5"/>
    <w:rsid w:val="00014CEA"/>
    <w:rsid w:val="00014D33"/>
    <w:rsid w:val="00014D5E"/>
    <w:rsid w:val="00014D91"/>
    <w:rsid w:val="00014DA4"/>
    <w:rsid w:val="00014E18"/>
    <w:rsid w:val="00014E5C"/>
    <w:rsid w:val="00014EB8"/>
    <w:rsid w:val="00014EF5"/>
    <w:rsid w:val="00014F0C"/>
    <w:rsid w:val="00014F60"/>
    <w:rsid w:val="00014FBF"/>
    <w:rsid w:val="00014FEF"/>
    <w:rsid w:val="00015016"/>
    <w:rsid w:val="00015055"/>
    <w:rsid w:val="0001513D"/>
    <w:rsid w:val="000151EA"/>
    <w:rsid w:val="00015246"/>
    <w:rsid w:val="000152C0"/>
    <w:rsid w:val="000152DB"/>
    <w:rsid w:val="00015336"/>
    <w:rsid w:val="0001536D"/>
    <w:rsid w:val="000153F7"/>
    <w:rsid w:val="0001540C"/>
    <w:rsid w:val="00015424"/>
    <w:rsid w:val="0001545C"/>
    <w:rsid w:val="000154FC"/>
    <w:rsid w:val="0001550D"/>
    <w:rsid w:val="00015516"/>
    <w:rsid w:val="00015531"/>
    <w:rsid w:val="000155D8"/>
    <w:rsid w:val="000156DE"/>
    <w:rsid w:val="0001572D"/>
    <w:rsid w:val="000157B7"/>
    <w:rsid w:val="00015829"/>
    <w:rsid w:val="000158FD"/>
    <w:rsid w:val="00015997"/>
    <w:rsid w:val="00015AEA"/>
    <w:rsid w:val="00015B48"/>
    <w:rsid w:val="00015B99"/>
    <w:rsid w:val="00015BD8"/>
    <w:rsid w:val="00015BDE"/>
    <w:rsid w:val="00015BF0"/>
    <w:rsid w:val="00015C84"/>
    <w:rsid w:val="00015D9D"/>
    <w:rsid w:val="00015E7D"/>
    <w:rsid w:val="00015EA2"/>
    <w:rsid w:val="00015FEE"/>
    <w:rsid w:val="0001600B"/>
    <w:rsid w:val="00016040"/>
    <w:rsid w:val="00016104"/>
    <w:rsid w:val="0001611E"/>
    <w:rsid w:val="00016195"/>
    <w:rsid w:val="00016199"/>
    <w:rsid w:val="000162DF"/>
    <w:rsid w:val="00016329"/>
    <w:rsid w:val="0001636D"/>
    <w:rsid w:val="0001640E"/>
    <w:rsid w:val="000164A8"/>
    <w:rsid w:val="000164B1"/>
    <w:rsid w:val="00016538"/>
    <w:rsid w:val="0001654F"/>
    <w:rsid w:val="000165B5"/>
    <w:rsid w:val="00016617"/>
    <w:rsid w:val="00016655"/>
    <w:rsid w:val="000166D6"/>
    <w:rsid w:val="000167F6"/>
    <w:rsid w:val="000168A5"/>
    <w:rsid w:val="000168AE"/>
    <w:rsid w:val="00016938"/>
    <w:rsid w:val="000169B0"/>
    <w:rsid w:val="000169ED"/>
    <w:rsid w:val="00016A88"/>
    <w:rsid w:val="00016B22"/>
    <w:rsid w:val="00016B4E"/>
    <w:rsid w:val="00016BF6"/>
    <w:rsid w:val="00016C6A"/>
    <w:rsid w:val="00016CC6"/>
    <w:rsid w:val="00016E64"/>
    <w:rsid w:val="00016E97"/>
    <w:rsid w:val="00016EE6"/>
    <w:rsid w:val="00016F1C"/>
    <w:rsid w:val="00016F2E"/>
    <w:rsid w:val="000170B7"/>
    <w:rsid w:val="00017185"/>
    <w:rsid w:val="000171DD"/>
    <w:rsid w:val="00017208"/>
    <w:rsid w:val="00017352"/>
    <w:rsid w:val="000174B3"/>
    <w:rsid w:val="00017507"/>
    <w:rsid w:val="0001761B"/>
    <w:rsid w:val="00017685"/>
    <w:rsid w:val="000177EB"/>
    <w:rsid w:val="00017818"/>
    <w:rsid w:val="00017861"/>
    <w:rsid w:val="00017932"/>
    <w:rsid w:val="000179B2"/>
    <w:rsid w:val="000179B6"/>
    <w:rsid w:val="00017A7C"/>
    <w:rsid w:val="00017C42"/>
    <w:rsid w:val="00017CA8"/>
    <w:rsid w:val="00017CD6"/>
    <w:rsid w:val="00017CF2"/>
    <w:rsid w:val="00017D05"/>
    <w:rsid w:val="00017D70"/>
    <w:rsid w:val="00017DB5"/>
    <w:rsid w:val="00017E5B"/>
    <w:rsid w:val="00017E8C"/>
    <w:rsid w:val="00017F6C"/>
    <w:rsid w:val="00020095"/>
    <w:rsid w:val="00020096"/>
    <w:rsid w:val="0002009F"/>
    <w:rsid w:val="000200A2"/>
    <w:rsid w:val="00020251"/>
    <w:rsid w:val="0002025C"/>
    <w:rsid w:val="00020275"/>
    <w:rsid w:val="000202A3"/>
    <w:rsid w:val="0002040D"/>
    <w:rsid w:val="00020425"/>
    <w:rsid w:val="0002043B"/>
    <w:rsid w:val="0002048D"/>
    <w:rsid w:val="000204C0"/>
    <w:rsid w:val="0002065D"/>
    <w:rsid w:val="0002069D"/>
    <w:rsid w:val="000206AD"/>
    <w:rsid w:val="00020791"/>
    <w:rsid w:val="0002086A"/>
    <w:rsid w:val="000208A2"/>
    <w:rsid w:val="0002091D"/>
    <w:rsid w:val="00020944"/>
    <w:rsid w:val="00020A75"/>
    <w:rsid w:val="00020C0E"/>
    <w:rsid w:val="00020C47"/>
    <w:rsid w:val="00020CC9"/>
    <w:rsid w:val="00020CE7"/>
    <w:rsid w:val="00020E3D"/>
    <w:rsid w:val="00020F8A"/>
    <w:rsid w:val="00020FA6"/>
    <w:rsid w:val="00020FA9"/>
    <w:rsid w:val="00020FB0"/>
    <w:rsid w:val="00021021"/>
    <w:rsid w:val="0002102E"/>
    <w:rsid w:val="0002109B"/>
    <w:rsid w:val="000210FE"/>
    <w:rsid w:val="00021199"/>
    <w:rsid w:val="000211F1"/>
    <w:rsid w:val="00021237"/>
    <w:rsid w:val="00021271"/>
    <w:rsid w:val="000212BC"/>
    <w:rsid w:val="000212C6"/>
    <w:rsid w:val="00021339"/>
    <w:rsid w:val="00021452"/>
    <w:rsid w:val="00021550"/>
    <w:rsid w:val="000215CF"/>
    <w:rsid w:val="00021600"/>
    <w:rsid w:val="00021603"/>
    <w:rsid w:val="0002162A"/>
    <w:rsid w:val="000216C8"/>
    <w:rsid w:val="00021763"/>
    <w:rsid w:val="00021795"/>
    <w:rsid w:val="00021807"/>
    <w:rsid w:val="0002193C"/>
    <w:rsid w:val="000219B0"/>
    <w:rsid w:val="000219C7"/>
    <w:rsid w:val="000219E3"/>
    <w:rsid w:val="00021AC9"/>
    <w:rsid w:val="00021B4D"/>
    <w:rsid w:val="00021B63"/>
    <w:rsid w:val="00021BFB"/>
    <w:rsid w:val="00021C72"/>
    <w:rsid w:val="00021D12"/>
    <w:rsid w:val="00021D94"/>
    <w:rsid w:val="00021DA8"/>
    <w:rsid w:val="00021DDF"/>
    <w:rsid w:val="00021E3A"/>
    <w:rsid w:val="00021E61"/>
    <w:rsid w:val="00021EA7"/>
    <w:rsid w:val="00021EBC"/>
    <w:rsid w:val="00021FBE"/>
    <w:rsid w:val="00021FBF"/>
    <w:rsid w:val="000220E7"/>
    <w:rsid w:val="0002211E"/>
    <w:rsid w:val="00022146"/>
    <w:rsid w:val="00022147"/>
    <w:rsid w:val="00022148"/>
    <w:rsid w:val="000222B4"/>
    <w:rsid w:val="00022301"/>
    <w:rsid w:val="0002237C"/>
    <w:rsid w:val="0002240E"/>
    <w:rsid w:val="0002241F"/>
    <w:rsid w:val="00022473"/>
    <w:rsid w:val="000225B5"/>
    <w:rsid w:val="00022604"/>
    <w:rsid w:val="0002273D"/>
    <w:rsid w:val="0002277C"/>
    <w:rsid w:val="00022867"/>
    <w:rsid w:val="000228BD"/>
    <w:rsid w:val="0002294C"/>
    <w:rsid w:val="000229DD"/>
    <w:rsid w:val="000229F6"/>
    <w:rsid w:val="00022AC2"/>
    <w:rsid w:val="00022AE4"/>
    <w:rsid w:val="00022BFE"/>
    <w:rsid w:val="00022C85"/>
    <w:rsid w:val="00022CF5"/>
    <w:rsid w:val="00022D39"/>
    <w:rsid w:val="00022D7A"/>
    <w:rsid w:val="00022D9C"/>
    <w:rsid w:val="00022DA5"/>
    <w:rsid w:val="00022F2C"/>
    <w:rsid w:val="00022F68"/>
    <w:rsid w:val="0002300A"/>
    <w:rsid w:val="0002308C"/>
    <w:rsid w:val="000230DA"/>
    <w:rsid w:val="00023112"/>
    <w:rsid w:val="000231DA"/>
    <w:rsid w:val="0002322D"/>
    <w:rsid w:val="00023270"/>
    <w:rsid w:val="000232BC"/>
    <w:rsid w:val="000232FD"/>
    <w:rsid w:val="00023416"/>
    <w:rsid w:val="00023461"/>
    <w:rsid w:val="000234E0"/>
    <w:rsid w:val="000234EF"/>
    <w:rsid w:val="0002357C"/>
    <w:rsid w:val="00023700"/>
    <w:rsid w:val="0002379D"/>
    <w:rsid w:val="000237F8"/>
    <w:rsid w:val="0002385C"/>
    <w:rsid w:val="00023879"/>
    <w:rsid w:val="0002389E"/>
    <w:rsid w:val="0002396B"/>
    <w:rsid w:val="00023976"/>
    <w:rsid w:val="0002397D"/>
    <w:rsid w:val="00023A13"/>
    <w:rsid w:val="00023A95"/>
    <w:rsid w:val="00023BDE"/>
    <w:rsid w:val="00023CF7"/>
    <w:rsid w:val="00023D53"/>
    <w:rsid w:val="00023DA3"/>
    <w:rsid w:val="00023E23"/>
    <w:rsid w:val="00023EB5"/>
    <w:rsid w:val="00023F5C"/>
    <w:rsid w:val="0002407A"/>
    <w:rsid w:val="000240F5"/>
    <w:rsid w:val="00024199"/>
    <w:rsid w:val="000241B6"/>
    <w:rsid w:val="000241BA"/>
    <w:rsid w:val="000242E8"/>
    <w:rsid w:val="0002431F"/>
    <w:rsid w:val="00024343"/>
    <w:rsid w:val="0002434F"/>
    <w:rsid w:val="0002440F"/>
    <w:rsid w:val="0002445F"/>
    <w:rsid w:val="000244CC"/>
    <w:rsid w:val="000245B9"/>
    <w:rsid w:val="0002470C"/>
    <w:rsid w:val="000247AB"/>
    <w:rsid w:val="000247F8"/>
    <w:rsid w:val="00024855"/>
    <w:rsid w:val="00024909"/>
    <w:rsid w:val="00024955"/>
    <w:rsid w:val="000249EF"/>
    <w:rsid w:val="00024A07"/>
    <w:rsid w:val="00024A5C"/>
    <w:rsid w:val="00024B34"/>
    <w:rsid w:val="00024C2C"/>
    <w:rsid w:val="00024C82"/>
    <w:rsid w:val="00024CFB"/>
    <w:rsid w:val="00024D2E"/>
    <w:rsid w:val="00024D3B"/>
    <w:rsid w:val="00024EA0"/>
    <w:rsid w:val="00024F8C"/>
    <w:rsid w:val="00024FCD"/>
    <w:rsid w:val="00024FDB"/>
    <w:rsid w:val="00024FED"/>
    <w:rsid w:val="00025003"/>
    <w:rsid w:val="0002510E"/>
    <w:rsid w:val="00025123"/>
    <w:rsid w:val="0002513E"/>
    <w:rsid w:val="000251DA"/>
    <w:rsid w:val="00025215"/>
    <w:rsid w:val="00025233"/>
    <w:rsid w:val="0002523A"/>
    <w:rsid w:val="000252A7"/>
    <w:rsid w:val="0002532B"/>
    <w:rsid w:val="00025355"/>
    <w:rsid w:val="00025357"/>
    <w:rsid w:val="000253D7"/>
    <w:rsid w:val="00025447"/>
    <w:rsid w:val="0002546A"/>
    <w:rsid w:val="0002546E"/>
    <w:rsid w:val="00025497"/>
    <w:rsid w:val="00025507"/>
    <w:rsid w:val="0002555B"/>
    <w:rsid w:val="0002559B"/>
    <w:rsid w:val="000256C7"/>
    <w:rsid w:val="000256EF"/>
    <w:rsid w:val="00025700"/>
    <w:rsid w:val="0002587D"/>
    <w:rsid w:val="000258F5"/>
    <w:rsid w:val="00025906"/>
    <w:rsid w:val="00025912"/>
    <w:rsid w:val="0002597B"/>
    <w:rsid w:val="000259FB"/>
    <w:rsid w:val="00025A55"/>
    <w:rsid w:val="00025A64"/>
    <w:rsid w:val="00025A88"/>
    <w:rsid w:val="00025A8F"/>
    <w:rsid w:val="00025A93"/>
    <w:rsid w:val="00025ACF"/>
    <w:rsid w:val="00025AFE"/>
    <w:rsid w:val="00025B09"/>
    <w:rsid w:val="00025B13"/>
    <w:rsid w:val="00025B3C"/>
    <w:rsid w:val="00025B62"/>
    <w:rsid w:val="00025B9E"/>
    <w:rsid w:val="00025BB0"/>
    <w:rsid w:val="00025BD3"/>
    <w:rsid w:val="00025C48"/>
    <w:rsid w:val="00025C69"/>
    <w:rsid w:val="00025C90"/>
    <w:rsid w:val="00025C9E"/>
    <w:rsid w:val="00025CB6"/>
    <w:rsid w:val="00025D4A"/>
    <w:rsid w:val="00025DDF"/>
    <w:rsid w:val="00025DF7"/>
    <w:rsid w:val="00025E3A"/>
    <w:rsid w:val="00025EC9"/>
    <w:rsid w:val="00025ED9"/>
    <w:rsid w:val="00025EF2"/>
    <w:rsid w:val="00025FFC"/>
    <w:rsid w:val="00026086"/>
    <w:rsid w:val="00026098"/>
    <w:rsid w:val="000260B6"/>
    <w:rsid w:val="000260EA"/>
    <w:rsid w:val="000260FF"/>
    <w:rsid w:val="00026146"/>
    <w:rsid w:val="000261BF"/>
    <w:rsid w:val="000261D3"/>
    <w:rsid w:val="00026200"/>
    <w:rsid w:val="00026214"/>
    <w:rsid w:val="000263CA"/>
    <w:rsid w:val="00026404"/>
    <w:rsid w:val="0002643A"/>
    <w:rsid w:val="00026440"/>
    <w:rsid w:val="000264EB"/>
    <w:rsid w:val="00026520"/>
    <w:rsid w:val="00026656"/>
    <w:rsid w:val="000266F5"/>
    <w:rsid w:val="00026703"/>
    <w:rsid w:val="0002673F"/>
    <w:rsid w:val="00026812"/>
    <w:rsid w:val="00026915"/>
    <w:rsid w:val="00026A3A"/>
    <w:rsid w:val="00026AA9"/>
    <w:rsid w:val="00026B7A"/>
    <w:rsid w:val="00026BE9"/>
    <w:rsid w:val="00026C45"/>
    <w:rsid w:val="00026E36"/>
    <w:rsid w:val="00026E95"/>
    <w:rsid w:val="00026F5F"/>
    <w:rsid w:val="00026F9B"/>
    <w:rsid w:val="000270E2"/>
    <w:rsid w:val="00027117"/>
    <w:rsid w:val="000272EB"/>
    <w:rsid w:val="00027372"/>
    <w:rsid w:val="000273BD"/>
    <w:rsid w:val="000273DF"/>
    <w:rsid w:val="00027402"/>
    <w:rsid w:val="0002740D"/>
    <w:rsid w:val="0002742C"/>
    <w:rsid w:val="000274A4"/>
    <w:rsid w:val="000274B5"/>
    <w:rsid w:val="000274CE"/>
    <w:rsid w:val="00027563"/>
    <w:rsid w:val="0002761B"/>
    <w:rsid w:val="0002763F"/>
    <w:rsid w:val="00027669"/>
    <w:rsid w:val="0002769E"/>
    <w:rsid w:val="000276A7"/>
    <w:rsid w:val="00027743"/>
    <w:rsid w:val="00027746"/>
    <w:rsid w:val="000277D0"/>
    <w:rsid w:val="000277DD"/>
    <w:rsid w:val="00027803"/>
    <w:rsid w:val="000278BF"/>
    <w:rsid w:val="00027936"/>
    <w:rsid w:val="000279AB"/>
    <w:rsid w:val="000279E6"/>
    <w:rsid w:val="00027ACE"/>
    <w:rsid w:val="00027AE5"/>
    <w:rsid w:val="00027BC0"/>
    <w:rsid w:val="00027C19"/>
    <w:rsid w:val="00027C64"/>
    <w:rsid w:val="00027D2C"/>
    <w:rsid w:val="00027D46"/>
    <w:rsid w:val="00027E24"/>
    <w:rsid w:val="00027E51"/>
    <w:rsid w:val="00027E73"/>
    <w:rsid w:val="00027E9B"/>
    <w:rsid w:val="00027EAC"/>
    <w:rsid w:val="00027F64"/>
    <w:rsid w:val="00027F86"/>
    <w:rsid w:val="00027FAE"/>
    <w:rsid w:val="00027FDA"/>
    <w:rsid w:val="00030036"/>
    <w:rsid w:val="000300B4"/>
    <w:rsid w:val="000300C2"/>
    <w:rsid w:val="000300DD"/>
    <w:rsid w:val="000300DF"/>
    <w:rsid w:val="0003018C"/>
    <w:rsid w:val="000301A8"/>
    <w:rsid w:val="00030266"/>
    <w:rsid w:val="0003036E"/>
    <w:rsid w:val="000303AC"/>
    <w:rsid w:val="000303B3"/>
    <w:rsid w:val="00030416"/>
    <w:rsid w:val="00030451"/>
    <w:rsid w:val="000304F6"/>
    <w:rsid w:val="00030607"/>
    <w:rsid w:val="00030620"/>
    <w:rsid w:val="000306BE"/>
    <w:rsid w:val="00030720"/>
    <w:rsid w:val="00030744"/>
    <w:rsid w:val="00030770"/>
    <w:rsid w:val="00030776"/>
    <w:rsid w:val="000307E7"/>
    <w:rsid w:val="000307EE"/>
    <w:rsid w:val="00030865"/>
    <w:rsid w:val="000308D3"/>
    <w:rsid w:val="00030907"/>
    <w:rsid w:val="00030A7F"/>
    <w:rsid w:val="00030A8F"/>
    <w:rsid w:val="00030A9C"/>
    <w:rsid w:val="00030ABD"/>
    <w:rsid w:val="00030B1B"/>
    <w:rsid w:val="00030B48"/>
    <w:rsid w:val="00030B9C"/>
    <w:rsid w:val="00030C0C"/>
    <w:rsid w:val="00030C9C"/>
    <w:rsid w:val="00030CB2"/>
    <w:rsid w:val="00030CB5"/>
    <w:rsid w:val="00030D62"/>
    <w:rsid w:val="00030DCF"/>
    <w:rsid w:val="00030DF0"/>
    <w:rsid w:val="00030E4C"/>
    <w:rsid w:val="00030EBD"/>
    <w:rsid w:val="00030F69"/>
    <w:rsid w:val="00030F88"/>
    <w:rsid w:val="00030FF9"/>
    <w:rsid w:val="00031085"/>
    <w:rsid w:val="000310BC"/>
    <w:rsid w:val="0003115F"/>
    <w:rsid w:val="0003119D"/>
    <w:rsid w:val="000311FF"/>
    <w:rsid w:val="000312A5"/>
    <w:rsid w:val="000312E3"/>
    <w:rsid w:val="00031349"/>
    <w:rsid w:val="000313F0"/>
    <w:rsid w:val="000314D5"/>
    <w:rsid w:val="000315A1"/>
    <w:rsid w:val="000315D4"/>
    <w:rsid w:val="00031660"/>
    <w:rsid w:val="00031662"/>
    <w:rsid w:val="00031708"/>
    <w:rsid w:val="0003176E"/>
    <w:rsid w:val="000317CC"/>
    <w:rsid w:val="000317E3"/>
    <w:rsid w:val="00031844"/>
    <w:rsid w:val="00031A1C"/>
    <w:rsid w:val="00031B14"/>
    <w:rsid w:val="00031B67"/>
    <w:rsid w:val="00031BB1"/>
    <w:rsid w:val="00031C71"/>
    <w:rsid w:val="00031C8C"/>
    <w:rsid w:val="00031D2B"/>
    <w:rsid w:val="00031DC4"/>
    <w:rsid w:val="00031E2B"/>
    <w:rsid w:val="00031E6C"/>
    <w:rsid w:val="00031EB4"/>
    <w:rsid w:val="00031ECB"/>
    <w:rsid w:val="00031F33"/>
    <w:rsid w:val="00031F51"/>
    <w:rsid w:val="00031F8E"/>
    <w:rsid w:val="00032061"/>
    <w:rsid w:val="000320A3"/>
    <w:rsid w:val="00032102"/>
    <w:rsid w:val="00032172"/>
    <w:rsid w:val="00032224"/>
    <w:rsid w:val="00032292"/>
    <w:rsid w:val="00032295"/>
    <w:rsid w:val="000322DC"/>
    <w:rsid w:val="000322FB"/>
    <w:rsid w:val="00032351"/>
    <w:rsid w:val="00032408"/>
    <w:rsid w:val="000324F3"/>
    <w:rsid w:val="00032611"/>
    <w:rsid w:val="0003265F"/>
    <w:rsid w:val="000326A5"/>
    <w:rsid w:val="0003271B"/>
    <w:rsid w:val="000327FB"/>
    <w:rsid w:val="000328A6"/>
    <w:rsid w:val="000328FC"/>
    <w:rsid w:val="000329F0"/>
    <w:rsid w:val="00032A32"/>
    <w:rsid w:val="00032A72"/>
    <w:rsid w:val="00032ACC"/>
    <w:rsid w:val="00032B2A"/>
    <w:rsid w:val="00032BA2"/>
    <w:rsid w:val="00032BB0"/>
    <w:rsid w:val="00032C50"/>
    <w:rsid w:val="00032D28"/>
    <w:rsid w:val="00032D38"/>
    <w:rsid w:val="00032D70"/>
    <w:rsid w:val="00032E07"/>
    <w:rsid w:val="00032E1D"/>
    <w:rsid w:val="00032E77"/>
    <w:rsid w:val="00032ED1"/>
    <w:rsid w:val="00032F64"/>
    <w:rsid w:val="00033003"/>
    <w:rsid w:val="0003300E"/>
    <w:rsid w:val="00033033"/>
    <w:rsid w:val="0003308E"/>
    <w:rsid w:val="000330B4"/>
    <w:rsid w:val="000330C2"/>
    <w:rsid w:val="000330D4"/>
    <w:rsid w:val="00033143"/>
    <w:rsid w:val="000332F3"/>
    <w:rsid w:val="00033489"/>
    <w:rsid w:val="00033497"/>
    <w:rsid w:val="00033567"/>
    <w:rsid w:val="00033576"/>
    <w:rsid w:val="00033693"/>
    <w:rsid w:val="000336BF"/>
    <w:rsid w:val="00033746"/>
    <w:rsid w:val="00033780"/>
    <w:rsid w:val="0003378E"/>
    <w:rsid w:val="000337CC"/>
    <w:rsid w:val="000337DA"/>
    <w:rsid w:val="000337FF"/>
    <w:rsid w:val="0003399D"/>
    <w:rsid w:val="000339E1"/>
    <w:rsid w:val="00033A30"/>
    <w:rsid w:val="00033A66"/>
    <w:rsid w:val="00033A9B"/>
    <w:rsid w:val="00033B36"/>
    <w:rsid w:val="00033E7F"/>
    <w:rsid w:val="00033EE7"/>
    <w:rsid w:val="0003405B"/>
    <w:rsid w:val="000340AB"/>
    <w:rsid w:val="00034118"/>
    <w:rsid w:val="00034167"/>
    <w:rsid w:val="0003417D"/>
    <w:rsid w:val="000341CF"/>
    <w:rsid w:val="000341D3"/>
    <w:rsid w:val="000342AF"/>
    <w:rsid w:val="00034303"/>
    <w:rsid w:val="0003432F"/>
    <w:rsid w:val="0003441F"/>
    <w:rsid w:val="0003450C"/>
    <w:rsid w:val="0003451E"/>
    <w:rsid w:val="000346DD"/>
    <w:rsid w:val="00034732"/>
    <w:rsid w:val="0003473B"/>
    <w:rsid w:val="00034790"/>
    <w:rsid w:val="00034798"/>
    <w:rsid w:val="000347EB"/>
    <w:rsid w:val="0003480E"/>
    <w:rsid w:val="00034815"/>
    <w:rsid w:val="00034896"/>
    <w:rsid w:val="000348A3"/>
    <w:rsid w:val="000348D8"/>
    <w:rsid w:val="0003493A"/>
    <w:rsid w:val="00034A50"/>
    <w:rsid w:val="00034A84"/>
    <w:rsid w:val="00034C16"/>
    <w:rsid w:val="00034C37"/>
    <w:rsid w:val="00034C47"/>
    <w:rsid w:val="00034CA3"/>
    <w:rsid w:val="00034CEE"/>
    <w:rsid w:val="00034E07"/>
    <w:rsid w:val="00034F34"/>
    <w:rsid w:val="00034F3D"/>
    <w:rsid w:val="00034F5E"/>
    <w:rsid w:val="00034FA7"/>
    <w:rsid w:val="00035060"/>
    <w:rsid w:val="000350C9"/>
    <w:rsid w:val="00035121"/>
    <w:rsid w:val="00035140"/>
    <w:rsid w:val="00035159"/>
    <w:rsid w:val="00035170"/>
    <w:rsid w:val="0003520D"/>
    <w:rsid w:val="00035255"/>
    <w:rsid w:val="00035275"/>
    <w:rsid w:val="000352F3"/>
    <w:rsid w:val="000353DC"/>
    <w:rsid w:val="00035439"/>
    <w:rsid w:val="000354C7"/>
    <w:rsid w:val="0003559D"/>
    <w:rsid w:val="00035665"/>
    <w:rsid w:val="000356BE"/>
    <w:rsid w:val="0003571D"/>
    <w:rsid w:val="00035748"/>
    <w:rsid w:val="0003578D"/>
    <w:rsid w:val="0003579A"/>
    <w:rsid w:val="000357AB"/>
    <w:rsid w:val="0003581D"/>
    <w:rsid w:val="00035841"/>
    <w:rsid w:val="0003586A"/>
    <w:rsid w:val="00035884"/>
    <w:rsid w:val="000358C5"/>
    <w:rsid w:val="0003591A"/>
    <w:rsid w:val="0003599D"/>
    <w:rsid w:val="00035A31"/>
    <w:rsid w:val="00035A8D"/>
    <w:rsid w:val="00035BAF"/>
    <w:rsid w:val="00035C30"/>
    <w:rsid w:val="00035C6A"/>
    <w:rsid w:val="00035C91"/>
    <w:rsid w:val="00035F4D"/>
    <w:rsid w:val="00035F66"/>
    <w:rsid w:val="00035F6B"/>
    <w:rsid w:val="00035F71"/>
    <w:rsid w:val="00035F8A"/>
    <w:rsid w:val="00035F9C"/>
    <w:rsid w:val="00036062"/>
    <w:rsid w:val="00036078"/>
    <w:rsid w:val="00036226"/>
    <w:rsid w:val="0003622D"/>
    <w:rsid w:val="00036353"/>
    <w:rsid w:val="00036358"/>
    <w:rsid w:val="000364C4"/>
    <w:rsid w:val="000364F4"/>
    <w:rsid w:val="00036614"/>
    <w:rsid w:val="000366DE"/>
    <w:rsid w:val="0003674B"/>
    <w:rsid w:val="000367D6"/>
    <w:rsid w:val="000367F6"/>
    <w:rsid w:val="0003684D"/>
    <w:rsid w:val="00036872"/>
    <w:rsid w:val="000368BB"/>
    <w:rsid w:val="000368CF"/>
    <w:rsid w:val="000368DC"/>
    <w:rsid w:val="000368E5"/>
    <w:rsid w:val="00036900"/>
    <w:rsid w:val="0003698C"/>
    <w:rsid w:val="00036A4A"/>
    <w:rsid w:val="00036A80"/>
    <w:rsid w:val="00036AB6"/>
    <w:rsid w:val="00036ABA"/>
    <w:rsid w:val="00036B42"/>
    <w:rsid w:val="00036B68"/>
    <w:rsid w:val="00036BA4"/>
    <w:rsid w:val="00036C09"/>
    <w:rsid w:val="00036C1A"/>
    <w:rsid w:val="00036C23"/>
    <w:rsid w:val="00036C42"/>
    <w:rsid w:val="00036C9F"/>
    <w:rsid w:val="00036ECA"/>
    <w:rsid w:val="00036EF6"/>
    <w:rsid w:val="0003700F"/>
    <w:rsid w:val="00037077"/>
    <w:rsid w:val="000370E1"/>
    <w:rsid w:val="0003716A"/>
    <w:rsid w:val="000371AC"/>
    <w:rsid w:val="000371EF"/>
    <w:rsid w:val="00037220"/>
    <w:rsid w:val="00037290"/>
    <w:rsid w:val="000372DE"/>
    <w:rsid w:val="00037309"/>
    <w:rsid w:val="00037343"/>
    <w:rsid w:val="000373CB"/>
    <w:rsid w:val="00037431"/>
    <w:rsid w:val="00037472"/>
    <w:rsid w:val="00037488"/>
    <w:rsid w:val="0003753D"/>
    <w:rsid w:val="0003755D"/>
    <w:rsid w:val="000375D0"/>
    <w:rsid w:val="00037627"/>
    <w:rsid w:val="00037722"/>
    <w:rsid w:val="0003778F"/>
    <w:rsid w:val="00037861"/>
    <w:rsid w:val="0003786D"/>
    <w:rsid w:val="000378B6"/>
    <w:rsid w:val="00037933"/>
    <w:rsid w:val="00037AB0"/>
    <w:rsid w:val="00037B57"/>
    <w:rsid w:val="00037B5C"/>
    <w:rsid w:val="00037BCF"/>
    <w:rsid w:val="00037C6C"/>
    <w:rsid w:val="00037D09"/>
    <w:rsid w:val="00037F01"/>
    <w:rsid w:val="00037F1D"/>
    <w:rsid w:val="00037FAC"/>
    <w:rsid w:val="00037FDC"/>
    <w:rsid w:val="00037FDF"/>
    <w:rsid w:val="00037FF5"/>
    <w:rsid w:val="0003E3D4"/>
    <w:rsid w:val="00040030"/>
    <w:rsid w:val="00040046"/>
    <w:rsid w:val="000400C5"/>
    <w:rsid w:val="000400D8"/>
    <w:rsid w:val="00040155"/>
    <w:rsid w:val="000401A8"/>
    <w:rsid w:val="000401B8"/>
    <w:rsid w:val="000403EE"/>
    <w:rsid w:val="00040422"/>
    <w:rsid w:val="0004043D"/>
    <w:rsid w:val="0004044B"/>
    <w:rsid w:val="0004057E"/>
    <w:rsid w:val="000405F6"/>
    <w:rsid w:val="0004062E"/>
    <w:rsid w:val="00040845"/>
    <w:rsid w:val="00040947"/>
    <w:rsid w:val="00040968"/>
    <w:rsid w:val="00040974"/>
    <w:rsid w:val="00040977"/>
    <w:rsid w:val="00040995"/>
    <w:rsid w:val="0004099F"/>
    <w:rsid w:val="000409B1"/>
    <w:rsid w:val="00040A64"/>
    <w:rsid w:val="00040AD3"/>
    <w:rsid w:val="00040B3E"/>
    <w:rsid w:val="00040B41"/>
    <w:rsid w:val="00040CE4"/>
    <w:rsid w:val="00040D61"/>
    <w:rsid w:val="00040D86"/>
    <w:rsid w:val="00040D95"/>
    <w:rsid w:val="00040E30"/>
    <w:rsid w:val="00040F16"/>
    <w:rsid w:val="00040F45"/>
    <w:rsid w:val="00040F8C"/>
    <w:rsid w:val="000410EE"/>
    <w:rsid w:val="0004116D"/>
    <w:rsid w:val="00041196"/>
    <w:rsid w:val="00041205"/>
    <w:rsid w:val="0004137E"/>
    <w:rsid w:val="000413A2"/>
    <w:rsid w:val="000413CD"/>
    <w:rsid w:val="000413F5"/>
    <w:rsid w:val="000413FD"/>
    <w:rsid w:val="00041401"/>
    <w:rsid w:val="0004154F"/>
    <w:rsid w:val="00041577"/>
    <w:rsid w:val="0004164D"/>
    <w:rsid w:val="00041698"/>
    <w:rsid w:val="000416CD"/>
    <w:rsid w:val="000416DD"/>
    <w:rsid w:val="000416E7"/>
    <w:rsid w:val="00041717"/>
    <w:rsid w:val="0004173A"/>
    <w:rsid w:val="00041817"/>
    <w:rsid w:val="0004187E"/>
    <w:rsid w:val="000418F8"/>
    <w:rsid w:val="00041A5D"/>
    <w:rsid w:val="00041A60"/>
    <w:rsid w:val="00041A85"/>
    <w:rsid w:val="00041AE8"/>
    <w:rsid w:val="00041B09"/>
    <w:rsid w:val="00041B15"/>
    <w:rsid w:val="00041B1C"/>
    <w:rsid w:val="00041B3C"/>
    <w:rsid w:val="00041BD2"/>
    <w:rsid w:val="00041BF3"/>
    <w:rsid w:val="00041C75"/>
    <w:rsid w:val="00041D84"/>
    <w:rsid w:val="00041DB4"/>
    <w:rsid w:val="00041E0A"/>
    <w:rsid w:val="00041E0D"/>
    <w:rsid w:val="00041E4A"/>
    <w:rsid w:val="00041E88"/>
    <w:rsid w:val="00041EF6"/>
    <w:rsid w:val="00041F0C"/>
    <w:rsid w:val="00041F43"/>
    <w:rsid w:val="00041FDC"/>
    <w:rsid w:val="00042037"/>
    <w:rsid w:val="000420BE"/>
    <w:rsid w:val="0004213F"/>
    <w:rsid w:val="0004217B"/>
    <w:rsid w:val="0004217C"/>
    <w:rsid w:val="000421AD"/>
    <w:rsid w:val="00042217"/>
    <w:rsid w:val="000422F7"/>
    <w:rsid w:val="0004235C"/>
    <w:rsid w:val="0004241C"/>
    <w:rsid w:val="00042431"/>
    <w:rsid w:val="00042461"/>
    <w:rsid w:val="0004248B"/>
    <w:rsid w:val="000424A1"/>
    <w:rsid w:val="000424AC"/>
    <w:rsid w:val="000424E6"/>
    <w:rsid w:val="000424FF"/>
    <w:rsid w:val="0004251C"/>
    <w:rsid w:val="00042682"/>
    <w:rsid w:val="000426AE"/>
    <w:rsid w:val="00042760"/>
    <w:rsid w:val="0004289C"/>
    <w:rsid w:val="00042937"/>
    <w:rsid w:val="00042A0A"/>
    <w:rsid w:val="00042A1B"/>
    <w:rsid w:val="00042A76"/>
    <w:rsid w:val="00042AE1"/>
    <w:rsid w:val="00042B2E"/>
    <w:rsid w:val="00042B77"/>
    <w:rsid w:val="00042B89"/>
    <w:rsid w:val="00042CB7"/>
    <w:rsid w:val="00042CFF"/>
    <w:rsid w:val="00042D3C"/>
    <w:rsid w:val="00042D44"/>
    <w:rsid w:val="00042DFE"/>
    <w:rsid w:val="00042E18"/>
    <w:rsid w:val="00042E72"/>
    <w:rsid w:val="00042E75"/>
    <w:rsid w:val="00042EA9"/>
    <w:rsid w:val="00042EC2"/>
    <w:rsid w:val="00042ED8"/>
    <w:rsid w:val="00042F52"/>
    <w:rsid w:val="00042FC5"/>
    <w:rsid w:val="000430CA"/>
    <w:rsid w:val="0004312C"/>
    <w:rsid w:val="00043136"/>
    <w:rsid w:val="0004315B"/>
    <w:rsid w:val="0004319D"/>
    <w:rsid w:val="000431FC"/>
    <w:rsid w:val="0004324F"/>
    <w:rsid w:val="0004331D"/>
    <w:rsid w:val="00043365"/>
    <w:rsid w:val="0004336E"/>
    <w:rsid w:val="0004338E"/>
    <w:rsid w:val="00043395"/>
    <w:rsid w:val="000433DC"/>
    <w:rsid w:val="0004341B"/>
    <w:rsid w:val="0004353D"/>
    <w:rsid w:val="000435E8"/>
    <w:rsid w:val="0004367E"/>
    <w:rsid w:val="000436CE"/>
    <w:rsid w:val="00043731"/>
    <w:rsid w:val="000437A0"/>
    <w:rsid w:val="000437A6"/>
    <w:rsid w:val="00043832"/>
    <w:rsid w:val="00043865"/>
    <w:rsid w:val="00043927"/>
    <w:rsid w:val="00043975"/>
    <w:rsid w:val="00043A4A"/>
    <w:rsid w:val="00043A69"/>
    <w:rsid w:val="00043B11"/>
    <w:rsid w:val="00043BFD"/>
    <w:rsid w:val="00043C8F"/>
    <w:rsid w:val="00043CCF"/>
    <w:rsid w:val="00043CD9"/>
    <w:rsid w:val="00043E64"/>
    <w:rsid w:val="00043F10"/>
    <w:rsid w:val="00043F8B"/>
    <w:rsid w:val="00043F8F"/>
    <w:rsid w:val="00043FC5"/>
    <w:rsid w:val="00044025"/>
    <w:rsid w:val="0004406A"/>
    <w:rsid w:val="00044084"/>
    <w:rsid w:val="00044119"/>
    <w:rsid w:val="00044139"/>
    <w:rsid w:val="00044143"/>
    <w:rsid w:val="00044177"/>
    <w:rsid w:val="00044192"/>
    <w:rsid w:val="0004425A"/>
    <w:rsid w:val="00044359"/>
    <w:rsid w:val="0004437E"/>
    <w:rsid w:val="000443A4"/>
    <w:rsid w:val="000443CB"/>
    <w:rsid w:val="00044401"/>
    <w:rsid w:val="00044467"/>
    <w:rsid w:val="00044486"/>
    <w:rsid w:val="000444D3"/>
    <w:rsid w:val="000444DC"/>
    <w:rsid w:val="000444E7"/>
    <w:rsid w:val="000444EB"/>
    <w:rsid w:val="000445BF"/>
    <w:rsid w:val="000445D5"/>
    <w:rsid w:val="00044640"/>
    <w:rsid w:val="0004464A"/>
    <w:rsid w:val="00044682"/>
    <w:rsid w:val="000446AD"/>
    <w:rsid w:val="000446F8"/>
    <w:rsid w:val="00044749"/>
    <w:rsid w:val="00044802"/>
    <w:rsid w:val="00044A09"/>
    <w:rsid w:val="00044C50"/>
    <w:rsid w:val="00044D01"/>
    <w:rsid w:val="00044DE8"/>
    <w:rsid w:val="00044E14"/>
    <w:rsid w:val="00044E23"/>
    <w:rsid w:val="00045016"/>
    <w:rsid w:val="000450C7"/>
    <w:rsid w:val="000450C8"/>
    <w:rsid w:val="0004513F"/>
    <w:rsid w:val="00045208"/>
    <w:rsid w:val="000452D5"/>
    <w:rsid w:val="000452F6"/>
    <w:rsid w:val="00045347"/>
    <w:rsid w:val="00045354"/>
    <w:rsid w:val="000453A7"/>
    <w:rsid w:val="0004540F"/>
    <w:rsid w:val="000454C1"/>
    <w:rsid w:val="000454CA"/>
    <w:rsid w:val="00045520"/>
    <w:rsid w:val="000457E4"/>
    <w:rsid w:val="000457F8"/>
    <w:rsid w:val="0004588C"/>
    <w:rsid w:val="000458AB"/>
    <w:rsid w:val="000458EF"/>
    <w:rsid w:val="0004594B"/>
    <w:rsid w:val="00045A52"/>
    <w:rsid w:val="00045AE4"/>
    <w:rsid w:val="00045AE8"/>
    <w:rsid w:val="00045B03"/>
    <w:rsid w:val="00045B7D"/>
    <w:rsid w:val="00045C0D"/>
    <w:rsid w:val="00045C57"/>
    <w:rsid w:val="00045D38"/>
    <w:rsid w:val="00045D8D"/>
    <w:rsid w:val="00045E42"/>
    <w:rsid w:val="00045E78"/>
    <w:rsid w:val="00045EB9"/>
    <w:rsid w:val="00045EC6"/>
    <w:rsid w:val="00045F3E"/>
    <w:rsid w:val="00045FE8"/>
    <w:rsid w:val="0004603C"/>
    <w:rsid w:val="00046096"/>
    <w:rsid w:val="00046139"/>
    <w:rsid w:val="0004620E"/>
    <w:rsid w:val="0004624B"/>
    <w:rsid w:val="000463B7"/>
    <w:rsid w:val="00046460"/>
    <w:rsid w:val="0004649C"/>
    <w:rsid w:val="00046590"/>
    <w:rsid w:val="000465BD"/>
    <w:rsid w:val="0004667E"/>
    <w:rsid w:val="000466F8"/>
    <w:rsid w:val="0004675D"/>
    <w:rsid w:val="00046788"/>
    <w:rsid w:val="00046826"/>
    <w:rsid w:val="00046881"/>
    <w:rsid w:val="000468C8"/>
    <w:rsid w:val="000468D3"/>
    <w:rsid w:val="00046920"/>
    <w:rsid w:val="000469F3"/>
    <w:rsid w:val="00046B00"/>
    <w:rsid w:val="00046B26"/>
    <w:rsid w:val="00046B66"/>
    <w:rsid w:val="00046B79"/>
    <w:rsid w:val="00046BC8"/>
    <w:rsid w:val="00046BE7"/>
    <w:rsid w:val="00046BFC"/>
    <w:rsid w:val="00046C4C"/>
    <w:rsid w:val="00046C5E"/>
    <w:rsid w:val="00046D79"/>
    <w:rsid w:val="00046EC2"/>
    <w:rsid w:val="00046F6E"/>
    <w:rsid w:val="00046F73"/>
    <w:rsid w:val="00046FA5"/>
    <w:rsid w:val="00046FAE"/>
    <w:rsid w:val="00046FCA"/>
    <w:rsid w:val="00047040"/>
    <w:rsid w:val="00047060"/>
    <w:rsid w:val="0004706C"/>
    <w:rsid w:val="0004708B"/>
    <w:rsid w:val="00047246"/>
    <w:rsid w:val="0004724C"/>
    <w:rsid w:val="00047324"/>
    <w:rsid w:val="00047515"/>
    <w:rsid w:val="00047579"/>
    <w:rsid w:val="000476C3"/>
    <w:rsid w:val="00047734"/>
    <w:rsid w:val="00047742"/>
    <w:rsid w:val="000477AA"/>
    <w:rsid w:val="0004794E"/>
    <w:rsid w:val="00047A1D"/>
    <w:rsid w:val="00047AF5"/>
    <w:rsid w:val="00047B58"/>
    <w:rsid w:val="00047BF4"/>
    <w:rsid w:val="00047CA5"/>
    <w:rsid w:val="00047D7F"/>
    <w:rsid w:val="00047EC4"/>
    <w:rsid w:val="00047F56"/>
    <w:rsid w:val="00047F7B"/>
    <w:rsid w:val="00047FBA"/>
    <w:rsid w:val="00050024"/>
    <w:rsid w:val="00050063"/>
    <w:rsid w:val="000500E2"/>
    <w:rsid w:val="00050115"/>
    <w:rsid w:val="00050190"/>
    <w:rsid w:val="000501A7"/>
    <w:rsid w:val="000501B7"/>
    <w:rsid w:val="000501C8"/>
    <w:rsid w:val="000501DA"/>
    <w:rsid w:val="000502CF"/>
    <w:rsid w:val="000502DE"/>
    <w:rsid w:val="00050304"/>
    <w:rsid w:val="00050364"/>
    <w:rsid w:val="0005037A"/>
    <w:rsid w:val="000503B6"/>
    <w:rsid w:val="00050568"/>
    <w:rsid w:val="00050580"/>
    <w:rsid w:val="0005062E"/>
    <w:rsid w:val="000506A8"/>
    <w:rsid w:val="00050759"/>
    <w:rsid w:val="0005081A"/>
    <w:rsid w:val="0005087F"/>
    <w:rsid w:val="000508AF"/>
    <w:rsid w:val="00050913"/>
    <w:rsid w:val="00050985"/>
    <w:rsid w:val="000509C9"/>
    <w:rsid w:val="00050A52"/>
    <w:rsid w:val="00050BB1"/>
    <w:rsid w:val="00050BEF"/>
    <w:rsid w:val="00050D00"/>
    <w:rsid w:val="00050D01"/>
    <w:rsid w:val="00050DD5"/>
    <w:rsid w:val="00050F8A"/>
    <w:rsid w:val="00051039"/>
    <w:rsid w:val="0005107C"/>
    <w:rsid w:val="00051116"/>
    <w:rsid w:val="00051195"/>
    <w:rsid w:val="0005121E"/>
    <w:rsid w:val="00051274"/>
    <w:rsid w:val="0005129D"/>
    <w:rsid w:val="0005130E"/>
    <w:rsid w:val="0005134A"/>
    <w:rsid w:val="00051383"/>
    <w:rsid w:val="00051507"/>
    <w:rsid w:val="000515A4"/>
    <w:rsid w:val="000515A7"/>
    <w:rsid w:val="00051605"/>
    <w:rsid w:val="00051611"/>
    <w:rsid w:val="000516A2"/>
    <w:rsid w:val="00051736"/>
    <w:rsid w:val="000517A7"/>
    <w:rsid w:val="0005184A"/>
    <w:rsid w:val="00051934"/>
    <w:rsid w:val="00051957"/>
    <w:rsid w:val="0005196B"/>
    <w:rsid w:val="00051ABF"/>
    <w:rsid w:val="00051AEB"/>
    <w:rsid w:val="00051B23"/>
    <w:rsid w:val="00051B6C"/>
    <w:rsid w:val="00051B6D"/>
    <w:rsid w:val="00051B86"/>
    <w:rsid w:val="00051B93"/>
    <w:rsid w:val="00051C01"/>
    <w:rsid w:val="00051CC2"/>
    <w:rsid w:val="00051CC5"/>
    <w:rsid w:val="00051EA6"/>
    <w:rsid w:val="00051EC2"/>
    <w:rsid w:val="00051EF7"/>
    <w:rsid w:val="00051EFF"/>
    <w:rsid w:val="0005202E"/>
    <w:rsid w:val="00052035"/>
    <w:rsid w:val="000520E2"/>
    <w:rsid w:val="00052178"/>
    <w:rsid w:val="000521D7"/>
    <w:rsid w:val="000521EE"/>
    <w:rsid w:val="00052229"/>
    <w:rsid w:val="000522E6"/>
    <w:rsid w:val="00052359"/>
    <w:rsid w:val="00052447"/>
    <w:rsid w:val="00052464"/>
    <w:rsid w:val="000524A1"/>
    <w:rsid w:val="000524CB"/>
    <w:rsid w:val="00052528"/>
    <w:rsid w:val="0005252F"/>
    <w:rsid w:val="00052582"/>
    <w:rsid w:val="000525DC"/>
    <w:rsid w:val="00052637"/>
    <w:rsid w:val="000526AF"/>
    <w:rsid w:val="000527A6"/>
    <w:rsid w:val="000527BF"/>
    <w:rsid w:val="000529CF"/>
    <w:rsid w:val="00052A0B"/>
    <w:rsid w:val="00052AC4"/>
    <w:rsid w:val="00052B41"/>
    <w:rsid w:val="00052B53"/>
    <w:rsid w:val="00052B5E"/>
    <w:rsid w:val="00052C0F"/>
    <w:rsid w:val="00052C2B"/>
    <w:rsid w:val="00052C83"/>
    <w:rsid w:val="00052E94"/>
    <w:rsid w:val="00052ED8"/>
    <w:rsid w:val="00052F05"/>
    <w:rsid w:val="00052FD1"/>
    <w:rsid w:val="00052FE8"/>
    <w:rsid w:val="00053001"/>
    <w:rsid w:val="00053037"/>
    <w:rsid w:val="0005307B"/>
    <w:rsid w:val="00053107"/>
    <w:rsid w:val="0005318C"/>
    <w:rsid w:val="000531D2"/>
    <w:rsid w:val="000531F7"/>
    <w:rsid w:val="00053250"/>
    <w:rsid w:val="00053265"/>
    <w:rsid w:val="000532A0"/>
    <w:rsid w:val="000532AD"/>
    <w:rsid w:val="000533CE"/>
    <w:rsid w:val="00053424"/>
    <w:rsid w:val="0005347B"/>
    <w:rsid w:val="00053609"/>
    <w:rsid w:val="0005363D"/>
    <w:rsid w:val="000536A3"/>
    <w:rsid w:val="000536E4"/>
    <w:rsid w:val="00053747"/>
    <w:rsid w:val="000537A3"/>
    <w:rsid w:val="000537F9"/>
    <w:rsid w:val="00053824"/>
    <w:rsid w:val="00053842"/>
    <w:rsid w:val="000539DF"/>
    <w:rsid w:val="000539E6"/>
    <w:rsid w:val="00053A1A"/>
    <w:rsid w:val="00053B8E"/>
    <w:rsid w:val="00053BD0"/>
    <w:rsid w:val="00053C26"/>
    <w:rsid w:val="00053C46"/>
    <w:rsid w:val="00053D13"/>
    <w:rsid w:val="00053D7B"/>
    <w:rsid w:val="00053E14"/>
    <w:rsid w:val="00053ED3"/>
    <w:rsid w:val="00053EFB"/>
    <w:rsid w:val="00053F4D"/>
    <w:rsid w:val="00053F72"/>
    <w:rsid w:val="00053FBD"/>
    <w:rsid w:val="00053FDA"/>
    <w:rsid w:val="0005402F"/>
    <w:rsid w:val="0005407D"/>
    <w:rsid w:val="000540CC"/>
    <w:rsid w:val="00054112"/>
    <w:rsid w:val="00054186"/>
    <w:rsid w:val="0005418A"/>
    <w:rsid w:val="000541F6"/>
    <w:rsid w:val="00054219"/>
    <w:rsid w:val="0005425E"/>
    <w:rsid w:val="0005463B"/>
    <w:rsid w:val="00054645"/>
    <w:rsid w:val="00054691"/>
    <w:rsid w:val="0005470E"/>
    <w:rsid w:val="000547A3"/>
    <w:rsid w:val="000547E0"/>
    <w:rsid w:val="00054819"/>
    <w:rsid w:val="00054855"/>
    <w:rsid w:val="000548A4"/>
    <w:rsid w:val="0005496A"/>
    <w:rsid w:val="00054A23"/>
    <w:rsid w:val="00054A44"/>
    <w:rsid w:val="00054AF1"/>
    <w:rsid w:val="00054B03"/>
    <w:rsid w:val="00054C44"/>
    <w:rsid w:val="00054C4C"/>
    <w:rsid w:val="00054C75"/>
    <w:rsid w:val="00054CD1"/>
    <w:rsid w:val="00054D2D"/>
    <w:rsid w:val="00054D30"/>
    <w:rsid w:val="00054D41"/>
    <w:rsid w:val="00054D4C"/>
    <w:rsid w:val="00054D66"/>
    <w:rsid w:val="00054EBE"/>
    <w:rsid w:val="00054EC4"/>
    <w:rsid w:val="00054EE2"/>
    <w:rsid w:val="00054EEC"/>
    <w:rsid w:val="00054FC6"/>
    <w:rsid w:val="0005501B"/>
    <w:rsid w:val="0005508E"/>
    <w:rsid w:val="000550A6"/>
    <w:rsid w:val="000551C8"/>
    <w:rsid w:val="000552B6"/>
    <w:rsid w:val="00055482"/>
    <w:rsid w:val="000554D6"/>
    <w:rsid w:val="000554EA"/>
    <w:rsid w:val="000554EF"/>
    <w:rsid w:val="000554FD"/>
    <w:rsid w:val="00055583"/>
    <w:rsid w:val="000555D5"/>
    <w:rsid w:val="000555E7"/>
    <w:rsid w:val="00055659"/>
    <w:rsid w:val="00055693"/>
    <w:rsid w:val="00055707"/>
    <w:rsid w:val="00055889"/>
    <w:rsid w:val="000558BB"/>
    <w:rsid w:val="000558DE"/>
    <w:rsid w:val="000559AF"/>
    <w:rsid w:val="000559F4"/>
    <w:rsid w:val="00055A04"/>
    <w:rsid w:val="00055A3C"/>
    <w:rsid w:val="00055A6F"/>
    <w:rsid w:val="00055AA9"/>
    <w:rsid w:val="00055B06"/>
    <w:rsid w:val="00055B8E"/>
    <w:rsid w:val="00055BBB"/>
    <w:rsid w:val="00055BD4"/>
    <w:rsid w:val="00055C3C"/>
    <w:rsid w:val="00055C4A"/>
    <w:rsid w:val="00055D16"/>
    <w:rsid w:val="00055E19"/>
    <w:rsid w:val="00055EDA"/>
    <w:rsid w:val="00055EE1"/>
    <w:rsid w:val="00055EEC"/>
    <w:rsid w:val="00055F70"/>
    <w:rsid w:val="00055F81"/>
    <w:rsid w:val="00055FFB"/>
    <w:rsid w:val="0005601C"/>
    <w:rsid w:val="0005607B"/>
    <w:rsid w:val="00056096"/>
    <w:rsid w:val="000560D1"/>
    <w:rsid w:val="00056108"/>
    <w:rsid w:val="0005633F"/>
    <w:rsid w:val="00056410"/>
    <w:rsid w:val="0005656C"/>
    <w:rsid w:val="00056603"/>
    <w:rsid w:val="0005667A"/>
    <w:rsid w:val="0005671D"/>
    <w:rsid w:val="000567F6"/>
    <w:rsid w:val="00056811"/>
    <w:rsid w:val="000568C6"/>
    <w:rsid w:val="000568E8"/>
    <w:rsid w:val="000569A4"/>
    <w:rsid w:val="00056A2B"/>
    <w:rsid w:val="00056AC0"/>
    <w:rsid w:val="00056AEC"/>
    <w:rsid w:val="00056B55"/>
    <w:rsid w:val="00056B8E"/>
    <w:rsid w:val="00056BB2"/>
    <w:rsid w:val="00056BC5"/>
    <w:rsid w:val="00056C80"/>
    <w:rsid w:val="00056C90"/>
    <w:rsid w:val="00056D18"/>
    <w:rsid w:val="00056D4A"/>
    <w:rsid w:val="00056D8B"/>
    <w:rsid w:val="00056D9E"/>
    <w:rsid w:val="00056E1E"/>
    <w:rsid w:val="00056E87"/>
    <w:rsid w:val="00056F46"/>
    <w:rsid w:val="00056FAA"/>
    <w:rsid w:val="00057108"/>
    <w:rsid w:val="00057121"/>
    <w:rsid w:val="00057167"/>
    <w:rsid w:val="00057222"/>
    <w:rsid w:val="0005723D"/>
    <w:rsid w:val="00057256"/>
    <w:rsid w:val="0005726A"/>
    <w:rsid w:val="00057337"/>
    <w:rsid w:val="000573E7"/>
    <w:rsid w:val="0005748D"/>
    <w:rsid w:val="000575C2"/>
    <w:rsid w:val="000575D9"/>
    <w:rsid w:val="000575FC"/>
    <w:rsid w:val="0005764C"/>
    <w:rsid w:val="000576AF"/>
    <w:rsid w:val="000576C7"/>
    <w:rsid w:val="000577F5"/>
    <w:rsid w:val="0005785F"/>
    <w:rsid w:val="00057979"/>
    <w:rsid w:val="000579B2"/>
    <w:rsid w:val="000579DF"/>
    <w:rsid w:val="00057A73"/>
    <w:rsid w:val="00057A86"/>
    <w:rsid w:val="00057AC4"/>
    <w:rsid w:val="00057ADB"/>
    <w:rsid w:val="00057BC5"/>
    <w:rsid w:val="00057BCA"/>
    <w:rsid w:val="00057C4D"/>
    <w:rsid w:val="00057C7C"/>
    <w:rsid w:val="00057CD6"/>
    <w:rsid w:val="00057DD4"/>
    <w:rsid w:val="00057F3E"/>
    <w:rsid w:val="00057F5E"/>
    <w:rsid w:val="00057FC2"/>
    <w:rsid w:val="00057FFD"/>
    <w:rsid w:val="00060078"/>
    <w:rsid w:val="0006026C"/>
    <w:rsid w:val="00060356"/>
    <w:rsid w:val="00060375"/>
    <w:rsid w:val="0006045F"/>
    <w:rsid w:val="0006047F"/>
    <w:rsid w:val="00060567"/>
    <w:rsid w:val="000605AF"/>
    <w:rsid w:val="000606BB"/>
    <w:rsid w:val="0006071D"/>
    <w:rsid w:val="0006072E"/>
    <w:rsid w:val="00060798"/>
    <w:rsid w:val="00060869"/>
    <w:rsid w:val="00060A1E"/>
    <w:rsid w:val="00060A40"/>
    <w:rsid w:val="00060A4B"/>
    <w:rsid w:val="00060A85"/>
    <w:rsid w:val="00060A8F"/>
    <w:rsid w:val="00060A9A"/>
    <w:rsid w:val="00060B1F"/>
    <w:rsid w:val="00060B90"/>
    <w:rsid w:val="00060BAE"/>
    <w:rsid w:val="00060DDC"/>
    <w:rsid w:val="00060EA5"/>
    <w:rsid w:val="00060FB0"/>
    <w:rsid w:val="00060FF6"/>
    <w:rsid w:val="00061014"/>
    <w:rsid w:val="0006105C"/>
    <w:rsid w:val="00061076"/>
    <w:rsid w:val="000610B8"/>
    <w:rsid w:val="00061135"/>
    <w:rsid w:val="0006113E"/>
    <w:rsid w:val="000611B0"/>
    <w:rsid w:val="000611C1"/>
    <w:rsid w:val="000611D1"/>
    <w:rsid w:val="000611FF"/>
    <w:rsid w:val="00061230"/>
    <w:rsid w:val="000612B1"/>
    <w:rsid w:val="000612C3"/>
    <w:rsid w:val="00061363"/>
    <w:rsid w:val="000613B5"/>
    <w:rsid w:val="00061432"/>
    <w:rsid w:val="00061455"/>
    <w:rsid w:val="000614DE"/>
    <w:rsid w:val="0006158D"/>
    <w:rsid w:val="00061655"/>
    <w:rsid w:val="000616A9"/>
    <w:rsid w:val="00061768"/>
    <w:rsid w:val="0006176B"/>
    <w:rsid w:val="00061802"/>
    <w:rsid w:val="00061835"/>
    <w:rsid w:val="00061868"/>
    <w:rsid w:val="00061A42"/>
    <w:rsid w:val="00061A45"/>
    <w:rsid w:val="00061A60"/>
    <w:rsid w:val="00061A62"/>
    <w:rsid w:val="00061B1F"/>
    <w:rsid w:val="00061CA3"/>
    <w:rsid w:val="00061CF7"/>
    <w:rsid w:val="00061DA2"/>
    <w:rsid w:val="00061E08"/>
    <w:rsid w:val="00061E2D"/>
    <w:rsid w:val="00061E32"/>
    <w:rsid w:val="00061EA0"/>
    <w:rsid w:val="00061EED"/>
    <w:rsid w:val="00061F8A"/>
    <w:rsid w:val="000620B7"/>
    <w:rsid w:val="0006211F"/>
    <w:rsid w:val="0006216E"/>
    <w:rsid w:val="00062198"/>
    <w:rsid w:val="000621CE"/>
    <w:rsid w:val="00062208"/>
    <w:rsid w:val="0006224E"/>
    <w:rsid w:val="000622D8"/>
    <w:rsid w:val="000622FA"/>
    <w:rsid w:val="00062337"/>
    <w:rsid w:val="0006236C"/>
    <w:rsid w:val="00062391"/>
    <w:rsid w:val="0006239B"/>
    <w:rsid w:val="000623AF"/>
    <w:rsid w:val="000623D2"/>
    <w:rsid w:val="000623D9"/>
    <w:rsid w:val="00062447"/>
    <w:rsid w:val="000624DA"/>
    <w:rsid w:val="00062538"/>
    <w:rsid w:val="00062655"/>
    <w:rsid w:val="000626A1"/>
    <w:rsid w:val="0006270D"/>
    <w:rsid w:val="000627BB"/>
    <w:rsid w:val="000627CC"/>
    <w:rsid w:val="000627E4"/>
    <w:rsid w:val="000628C8"/>
    <w:rsid w:val="000628D7"/>
    <w:rsid w:val="00062987"/>
    <w:rsid w:val="000629B9"/>
    <w:rsid w:val="00062A0E"/>
    <w:rsid w:val="00062C8A"/>
    <w:rsid w:val="00062CAC"/>
    <w:rsid w:val="00062D1B"/>
    <w:rsid w:val="00062D3E"/>
    <w:rsid w:val="00062DA7"/>
    <w:rsid w:val="00062E1B"/>
    <w:rsid w:val="00062E99"/>
    <w:rsid w:val="00062EA8"/>
    <w:rsid w:val="00062EE4"/>
    <w:rsid w:val="000630AF"/>
    <w:rsid w:val="000632B2"/>
    <w:rsid w:val="000632EC"/>
    <w:rsid w:val="00063332"/>
    <w:rsid w:val="00063362"/>
    <w:rsid w:val="00063413"/>
    <w:rsid w:val="000634D2"/>
    <w:rsid w:val="00063506"/>
    <w:rsid w:val="00063534"/>
    <w:rsid w:val="000635E7"/>
    <w:rsid w:val="00063713"/>
    <w:rsid w:val="00063725"/>
    <w:rsid w:val="0006376A"/>
    <w:rsid w:val="00063851"/>
    <w:rsid w:val="00063879"/>
    <w:rsid w:val="00063A18"/>
    <w:rsid w:val="00063A3C"/>
    <w:rsid w:val="00063A92"/>
    <w:rsid w:val="00063ABB"/>
    <w:rsid w:val="00063AF8"/>
    <w:rsid w:val="00063C4A"/>
    <w:rsid w:val="00063C86"/>
    <w:rsid w:val="00063C90"/>
    <w:rsid w:val="00063D51"/>
    <w:rsid w:val="00063D71"/>
    <w:rsid w:val="00063D78"/>
    <w:rsid w:val="00063DB7"/>
    <w:rsid w:val="00063EF3"/>
    <w:rsid w:val="00063FE2"/>
    <w:rsid w:val="00063FEB"/>
    <w:rsid w:val="000640A1"/>
    <w:rsid w:val="000640A5"/>
    <w:rsid w:val="000640DC"/>
    <w:rsid w:val="000640E0"/>
    <w:rsid w:val="000641E0"/>
    <w:rsid w:val="00064239"/>
    <w:rsid w:val="0006428F"/>
    <w:rsid w:val="000642BC"/>
    <w:rsid w:val="0006434C"/>
    <w:rsid w:val="000643FE"/>
    <w:rsid w:val="00064403"/>
    <w:rsid w:val="00064454"/>
    <w:rsid w:val="00064526"/>
    <w:rsid w:val="0006455D"/>
    <w:rsid w:val="00064561"/>
    <w:rsid w:val="000645F7"/>
    <w:rsid w:val="00064623"/>
    <w:rsid w:val="00064697"/>
    <w:rsid w:val="000646E5"/>
    <w:rsid w:val="0006480B"/>
    <w:rsid w:val="00064873"/>
    <w:rsid w:val="00064907"/>
    <w:rsid w:val="00064A82"/>
    <w:rsid w:val="00064A9E"/>
    <w:rsid w:val="00064AFF"/>
    <w:rsid w:val="00064B12"/>
    <w:rsid w:val="00064B87"/>
    <w:rsid w:val="00064BDF"/>
    <w:rsid w:val="00064C84"/>
    <w:rsid w:val="00064CC1"/>
    <w:rsid w:val="00064CD0"/>
    <w:rsid w:val="00064D52"/>
    <w:rsid w:val="00064D60"/>
    <w:rsid w:val="00064D6E"/>
    <w:rsid w:val="00064E64"/>
    <w:rsid w:val="00064E82"/>
    <w:rsid w:val="00064F85"/>
    <w:rsid w:val="00064FD4"/>
    <w:rsid w:val="00065014"/>
    <w:rsid w:val="000650BA"/>
    <w:rsid w:val="000650CC"/>
    <w:rsid w:val="00065135"/>
    <w:rsid w:val="0006519E"/>
    <w:rsid w:val="00065238"/>
    <w:rsid w:val="00065371"/>
    <w:rsid w:val="0006554E"/>
    <w:rsid w:val="00065582"/>
    <w:rsid w:val="000655C4"/>
    <w:rsid w:val="00065609"/>
    <w:rsid w:val="00065653"/>
    <w:rsid w:val="00065797"/>
    <w:rsid w:val="000657F5"/>
    <w:rsid w:val="0006584B"/>
    <w:rsid w:val="00065867"/>
    <w:rsid w:val="000658D7"/>
    <w:rsid w:val="000658E9"/>
    <w:rsid w:val="0006590F"/>
    <w:rsid w:val="000659D0"/>
    <w:rsid w:val="00065ACC"/>
    <w:rsid w:val="00065AE5"/>
    <w:rsid w:val="00065AE6"/>
    <w:rsid w:val="00065BA3"/>
    <w:rsid w:val="00065C05"/>
    <w:rsid w:val="00065C38"/>
    <w:rsid w:val="00065CEA"/>
    <w:rsid w:val="00065D12"/>
    <w:rsid w:val="00065D15"/>
    <w:rsid w:val="00065D60"/>
    <w:rsid w:val="00065D8C"/>
    <w:rsid w:val="00065DA7"/>
    <w:rsid w:val="00065E81"/>
    <w:rsid w:val="00065E99"/>
    <w:rsid w:val="00065FAA"/>
    <w:rsid w:val="00065FEF"/>
    <w:rsid w:val="00066043"/>
    <w:rsid w:val="00066061"/>
    <w:rsid w:val="00066135"/>
    <w:rsid w:val="000661F8"/>
    <w:rsid w:val="0006627D"/>
    <w:rsid w:val="000662D0"/>
    <w:rsid w:val="00066440"/>
    <w:rsid w:val="000664E1"/>
    <w:rsid w:val="000665DA"/>
    <w:rsid w:val="000665EB"/>
    <w:rsid w:val="0006667E"/>
    <w:rsid w:val="000667D3"/>
    <w:rsid w:val="000667D7"/>
    <w:rsid w:val="00066854"/>
    <w:rsid w:val="00066891"/>
    <w:rsid w:val="0006689A"/>
    <w:rsid w:val="0006690A"/>
    <w:rsid w:val="00066931"/>
    <w:rsid w:val="00066A09"/>
    <w:rsid w:val="00066A71"/>
    <w:rsid w:val="00066A8D"/>
    <w:rsid w:val="00066AA7"/>
    <w:rsid w:val="00066AEF"/>
    <w:rsid w:val="00066B31"/>
    <w:rsid w:val="00066B5C"/>
    <w:rsid w:val="00066BF9"/>
    <w:rsid w:val="00066C76"/>
    <w:rsid w:val="00066C99"/>
    <w:rsid w:val="00066E03"/>
    <w:rsid w:val="00066E2D"/>
    <w:rsid w:val="00066E6F"/>
    <w:rsid w:val="00066E94"/>
    <w:rsid w:val="00066EEB"/>
    <w:rsid w:val="00066F73"/>
    <w:rsid w:val="00067065"/>
    <w:rsid w:val="00067077"/>
    <w:rsid w:val="0006708B"/>
    <w:rsid w:val="000670ED"/>
    <w:rsid w:val="000670FD"/>
    <w:rsid w:val="00067126"/>
    <w:rsid w:val="000671A2"/>
    <w:rsid w:val="000671E1"/>
    <w:rsid w:val="000671E5"/>
    <w:rsid w:val="00067348"/>
    <w:rsid w:val="00067354"/>
    <w:rsid w:val="000673CF"/>
    <w:rsid w:val="0006741E"/>
    <w:rsid w:val="00067456"/>
    <w:rsid w:val="00067458"/>
    <w:rsid w:val="000674A1"/>
    <w:rsid w:val="000674AC"/>
    <w:rsid w:val="000674CB"/>
    <w:rsid w:val="000674F3"/>
    <w:rsid w:val="000675D6"/>
    <w:rsid w:val="0006773A"/>
    <w:rsid w:val="00067740"/>
    <w:rsid w:val="00067873"/>
    <w:rsid w:val="000678BA"/>
    <w:rsid w:val="00067949"/>
    <w:rsid w:val="00067987"/>
    <w:rsid w:val="000679CD"/>
    <w:rsid w:val="000679F0"/>
    <w:rsid w:val="00067AD9"/>
    <w:rsid w:val="00067BC7"/>
    <w:rsid w:val="00067C0A"/>
    <w:rsid w:val="00067C2E"/>
    <w:rsid w:val="00067C3E"/>
    <w:rsid w:val="00067C87"/>
    <w:rsid w:val="00067CAE"/>
    <w:rsid w:val="00067CCF"/>
    <w:rsid w:val="00067CD5"/>
    <w:rsid w:val="00067D3B"/>
    <w:rsid w:val="00067D85"/>
    <w:rsid w:val="00067DA4"/>
    <w:rsid w:val="00067DCC"/>
    <w:rsid w:val="00067DE6"/>
    <w:rsid w:val="00067E21"/>
    <w:rsid w:val="00067E58"/>
    <w:rsid w:val="00067F21"/>
    <w:rsid w:val="00067F37"/>
    <w:rsid w:val="00067F44"/>
    <w:rsid w:val="00067F9B"/>
    <w:rsid w:val="00067FC9"/>
    <w:rsid w:val="00070065"/>
    <w:rsid w:val="00070103"/>
    <w:rsid w:val="0007012B"/>
    <w:rsid w:val="0007012D"/>
    <w:rsid w:val="00070151"/>
    <w:rsid w:val="00070166"/>
    <w:rsid w:val="00070195"/>
    <w:rsid w:val="000701B8"/>
    <w:rsid w:val="000701D2"/>
    <w:rsid w:val="0007034F"/>
    <w:rsid w:val="000703B3"/>
    <w:rsid w:val="00070462"/>
    <w:rsid w:val="0007046D"/>
    <w:rsid w:val="000704A6"/>
    <w:rsid w:val="00070639"/>
    <w:rsid w:val="00070670"/>
    <w:rsid w:val="000707AF"/>
    <w:rsid w:val="000707B2"/>
    <w:rsid w:val="0007085F"/>
    <w:rsid w:val="00070916"/>
    <w:rsid w:val="00070A08"/>
    <w:rsid w:val="00070B69"/>
    <w:rsid w:val="00070B9C"/>
    <w:rsid w:val="00070BD3"/>
    <w:rsid w:val="00070C09"/>
    <w:rsid w:val="00070C12"/>
    <w:rsid w:val="00070C18"/>
    <w:rsid w:val="00070C4E"/>
    <w:rsid w:val="00070CBC"/>
    <w:rsid w:val="00070D93"/>
    <w:rsid w:val="00070E20"/>
    <w:rsid w:val="00070E93"/>
    <w:rsid w:val="00070EDE"/>
    <w:rsid w:val="00070EDF"/>
    <w:rsid w:val="00070F16"/>
    <w:rsid w:val="00070F77"/>
    <w:rsid w:val="00070F7D"/>
    <w:rsid w:val="00070F84"/>
    <w:rsid w:val="000710AD"/>
    <w:rsid w:val="00071110"/>
    <w:rsid w:val="00071111"/>
    <w:rsid w:val="0007118F"/>
    <w:rsid w:val="000711C5"/>
    <w:rsid w:val="00071214"/>
    <w:rsid w:val="00071305"/>
    <w:rsid w:val="0007137F"/>
    <w:rsid w:val="00071408"/>
    <w:rsid w:val="0007141C"/>
    <w:rsid w:val="0007148B"/>
    <w:rsid w:val="00071573"/>
    <w:rsid w:val="000715FB"/>
    <w:rsid w:val="00071604"/>
    <w:rsid w:val="00071605"/>
    <w:rsid w:val="00071670"/>
    <w:rsid w:val="000716A1"/>
    <w:rsid w:val="0007171A"/>
    <w:rsid w:val="000718EE"/>
    <w:rsid w:val="00071942"/>
    <w:rsid w:val="0007197B"/>
    <w:rsid w:val="00071AE6"/>
    <w:rsid w:val="00071AFB"/>
    <w:rsid w:val="00071B34"/>
    <w:rsid w:val="00071B42"/>
    <w:rsid w:val="00071B8C"/>
    <w:rsid w:val="00071C11"/>
    <w:rsid w:val="00071C1F"/>
    <w:rsid w:val="00071C46"/>
    <w:rsid w:val="00071C54"/>
    <w:rsid w:val="00071C84"/>
    <w:rsid w:val="00071D4D"/>
    <w:rsid w:val="00071D5D"/>
    <w:rsid w:val="00071D9C"/>
    <w:rsid w:val="00071E0C"/>
    <w:rsid w:val="00071E77"/>
    <w:rsid w:val="00071E9A"/>
    <w:rsid w:val="00071EA9"/>
    <w:rsid w:val="00071EC2"/>
    <w:rsid w:val="00071EDF"/>
    <w:rsid w:val="00071F47"/>
    <w:rsid w:val="00071FB2"/>
    <w:rsid w:val="0007203B"/>
    <w:rsid w:val="00072076"/>
    <w:rsid w:val="0007207C"/>
    <w:rsid w:val="00072156"/>
    <w:rsid w:val="000721A6"/>
    <w:rsid w:val="00072266"/>
    <w:rsid w:val="00072298"/>
    <w:rsid w:val="000722F9"/>
    <w:rsid w:val="00072390"/>
    <w:rsid w:val="00072607"/>
    <w:rsid w:val="00072640"/>
    <w:rsid w:val="0007265F"/>
    <w:rsid w:val="00072838"/>
    <w:rsid w:val="00072AA1"/>
    <w:rsid w:val="00072AC6"/>
    <w:rsid w:val="00072B15"/>
    <w:rsid w:val="00072B40"/>
    <w:rsid w:val="00072B4F"/>
    <w:rsid w:val="00072C08"/>
    <w:rsid w:val="00072C3A"/>
    <w:rsid w:val="00072C74"/>
    <w:rsid w:val="00072C94"/>
    <w:rsid w:val="00072CDA"/>
    <w:rsid w:val="00072CEE"/>
    <w:rsid w:val="00072D2F"/>
    <w:rsid w:val="00072D68"/>
    <w:rsid w:val="00073068"/>
    <w:rsid w:val="000730A7"/>
    <w:rsid w:val="000730EE"/>
    <w:rsid w:val="000731D7"/>
    <w:rsid w:val="000732FB"/>
    <w:rsid w:val="00073418"/>
    <w:rsid w:val="0007347D"/>
    <w:rsid w:val="00073494"/>
    <w:rsid w:val="000734B6"/>
    <w:rsid w:val="00073516"/>
    <w:rsid w:val="00073568"/>
    <w:rsid w:val="000736F9"/>
    <w:rsid w:val="000737CB"/>
    <w:rsid w:val="0007391B"/>
    <w:rsid w:val="000739D4"/>
    <w:rsid w:val="00073A08"/>
    <w:rsid w:val="00073B31"/>
    <w:rsid w:val="00073B6F"/>
    <w:rsid w:val="00073C6C"/>
    <w:rsid w:val="00073C75"/>
    <w:rsid w:val="00073CB6"/>
    <w:rsid w:val="00073D64"/>
    <w:rsid w:val="00073E04"/>
    <w:rsid w:val="00073E97"/>
    <w:rsid w:val="00073EC0"/>
    <w:rsid w:val="00073F5E"/>
    <w:rsid w:val="00073FA0"/>
    <w:rsid w:val="0007402D"/>
    <w:rsid w:val="00074169"/>
    <w:rsid w:val="000742D9"/>
    <w:rsid w:val="000742E8"/>
    <w:rsid w:val="0007432E"/>
    <w:rsid w:val="00074371"/>
    <w:rsid w:val="00074395"/>
    <w:rsid w:val="000743CA"/>
    <w:rsid w:val="000743FC"/>
    <w:rsid w:val="0007442D"/>
    <w:rsid w:val="00074447"/>
    <w:rsid w:val="0007444E"/>
    <w:rsid w:val="00074635"/>
    <w:rsid w:val="00074659"/>
    <w:rsid w:val="00074682"/>
    <w:rsid w:val="000746B9"/>
    <w:rsid w:val="000747E2"/>
    <w:rsid w:val="00074800"/>
    <w:rsid w:val="000748A5"/>
    <w:rsid w:val="000748CD"/>
    <w:rsid w:val="00074961"/>
    <w:rsid w:val="00074972"/>
    <w:rsid w:val="00074A1B"/>
    <w:rsid w:val="00074AA5"/>
    <w:rsid w:val="00074ACE"/>
    <w:rsid w:val="00074B14"/>
    <w:rsid w:val="00074B43"/>
    <w:rsid w:val="00074B5D"/>
    <w:rsid w:val="00074BE4"/>
    <w:rsid w:val="00074C1B"/>
    <w:rsid w:val="00074C4A"/>
    <w:rsid w:val="00074C9C"/>
    <w:rsid w:val="00074CEC"/>
    <w:rsid w:val="00074D15"/>
    <w:rsid w:val="00074D27"/>
    <w:rsid w:val="00074DA9"/>
    <w:rsid w:val="00074E12"/>
    <w:rsid w:val="00074E14"/>
    <w:rsid w:val="00074EA3"/>
    <w:rsid w:val="000751C9"/>
    <w:rsid w:val="0007520B"/>
    <w:rsid w:val="00075214"/>
    <w:rsid w:val="00075238"/>
    <w:rsid w:val="00075266"/>
    <w:rsid w:val="0007528B"/>
    <w:rsid w:val="000752F4"/>
    <w:rsid w:val="0007531C"/>
    <w:rsid w:val="00075362"/>
    <w:rsid w:val="000753E7"/>
    <w:rsid w:val="00075458"/>
    <w:rsid w:val="000754AF"/>
    <w:rsid w:val="000754B2"/>
    <w:rsid w:val="000754B7"/>
    <w:rsid w:val="0007557C"/>
    <w:rsid w:val="000755B5"/>
    <w:rsid w:val="000756F4"/>
    <w:rsid w:val="000756FA"/>
    <w:rsid w:val="00075814"/>
    <w:rsid w:val="00075919"/>
    <w:rsid w:val="0007596B"/>
    <w:rsid w:val="00075980"/>
    <w:rsid w:val="000759D5"/>
    <w:rsid w:val="00075A09"/>
    <w:rsid w:val="00075A45"/>
    <w:rsid w:val="00075A4B"/>
    <w:rsid w:val="00075AA5"/>
    <w:rsid w:val="00075B30"/>
    <w:rsid w:val="00075B60"/>
    <w:rsid w:val="00075C05"/>
    <w:rsid w:val="00075C5F"/>
    <w:rsid w:val="00075CD3"/>
    <w:rsid w:val="00075CE6"/>
    <w:rsid w:val="00075D3E"/>
    <w:rsid w:val="00075DA1"/>
    <w:rsid w:val="00075DB1"/>
    <w:rsid w:val="00075DF8"/>
    <w:rsid w:val="00075EA4"/>
    <w:rsid w:val="00075F55"/>
    <w:rsid w:val="00075F74"/>
    <w:rsid w:val="00075FAC"/>
    <w:rsid w:val="00076017"/>
    <w:rsid w:val="000760CB"/>
    <w:rsid w:val="00076167"/>
    <w:rsid w:val="000761D6"/>
    <w:rsid w:val="00076249"/>
    <w:rsid w:val="00076324"/>
    <w:rsid w:val="000763BE"/>
    <w:rsid w:val="000763F8"/>
    <w:rsid w:val="0007643F"/>
    <w:rsid w:val="00076534"/>
    <w:rsid w:val="0007654E"/>
    <w:rsid w:val="00076590"/>
    <w:rsid w:val="0007659A"/>
    <w:rsid w:val="000765E1"/>
    <w:rsid w:val="000765F3"/>
    <w:rsid w:val="00076614"/>
    <w:rsid w:val="00076646"/>
    <w:rsid w:val="0007669A"/>
    <w:rsid w:val="000767AD"/>
    <w:rsid w:val="000767BF"/>
    <w:rsid w:val="0007684B"/>
    <w:rsid w:val="000768B6"/>
    <w:rsid w:val="00076A42"/>
    <w:rsid w:val="00076A7F"/>
    <w:rsid w:val="00076AE6"/>
    <w:rsid w:val="00076B56"/>
    <w:rsid w:val="00076BAE"/>
    <w:rsid w:val="00076C04"/>
    <w:rsid w:val="00076C17"/>
    <w:rsid w:val="00076C3B"/>
    <w:rsid w:val="00076C74"/>
    <w:rsid w:val="00076E04"/>
    <w:rsid w:val="00076EB4"/>
    <w:rsid w:val="00076EC6"/>
    <w:rsid w:val="00076F37"/>
    <w:rsid w:val="00076F9D"/>
    <w:rsid w:val="00076FB4"/>
    <w:rsid w:val="00077039"/>
    <w:rsid w:val="00077142"/>
    <w:rsid w:val="0007714C"/>
    <w:rsid w:val="00077162"/>
    <w:rsid w:val="00077197"/>
    <w:rsid w:val="000771F2"/>
    <w:rsid w:val="00077216"/>
    <w:rsid w:val="000772ED"/>
    <w:rsid w:val="000772F8"/>
    <w:rsid w:val="00077323"/>
    <w:rsid w:val="00077325"/>
    <w:rsid w:val="000773CD"/>
    <w:rsid w:val="00077409"/>
    <w:rsid w:val="000774D0"/>
    <w:rsid w:val="00077581"/>
    <w:rsid w:val="000775DD"/>
    <w:rsid w:val="0007761B"/>
    <w:rsid w:val="0007762D"/>
    <w:rsid w:val="00077634"/>
    <w:rsid w:val="0007777A"/>
    <w:rsid w:val="000777A6"/>
    <w:rsid w:val="000777A8"/>
    <w:rsid w:val="000778DD"/>
    <w:rsid w:val="000778DE"/>
    <w:rsid w:val="00077945"/>
    <w:rsid w:val="00077996"/>
    <w:rsid w:val="000779B4"/>
    <w:rsid w:val="00077A9A"/>
    <w:rsid w:val="00077AAF"/>
    <w:rsid w:val="00077AD6"/>
    <w:rsid w:val="00077B4D"/>
    <w:rsid w:val="00077C44"/>
    <w:rsid w:val="00077D04"/>
    <w:rsid w:val="00077D0A"/>
    <w:rsid w:val="00077D9A"/>
    <w:rsid w:val="00077E5A"/>
    <w:rsid w:val="00077E6F"/>
    <w:rsid w:val="00077EDB"/>
    <w:rsid w:val="000800BE"/>
    <w:rsid w:val="000800F8"/>
    <w:rsid w:val="00080101"/>
    <w:rsid w:val="00080104"/>
    <w:rsid w:val="00080108"/>
    <w:rsid w:val="00080192"/>
    <w:rsid w:val="000801DF"/>
    <w:rsid w:val="0008021B"/>
    <w:rsid w:val="0008022E"/>
    <w:rsid w:val="00080278"/>
    <w:rsid w:val="000802F4"/>
    <w:rsid w:val="00080466"/>
    <w:rsid w:val="000804C4"/>
    <w:rsid w:val="0008056A"/>
    <w:rsid w:val="00080583"/>
    <w:rsid w:val="000805D2"/>
    <w:rsid w:val="00080629"/>
    <w:rsid w:val="00080732"/>
    <w:rsid w:val="000807DD"/>
    <w:rsid w:val="00080856"/>
    <w:rsid w:val="0008087B"/>
    <w:rsid w:val="00080893"/>
    <w:rsid w:val="00080934"/>
    <w:rsid w:val="0008096B"/>
    <w:rsid w:val="00080993"/>
    <w:rsid w:val="00080B7D"/>
    <w:rsid w:val="00080BE4"/>
    <w:rsid w:val="00080C3D"/>
    <w:rsid w:val="00080D7D"/>
    <w:rsid w:val="00080F9D"/>
    <w:rsid w:val="0008102D"/>
    <w:rsid w:val="000810D3"/>
    <w:rsid w:val="000810DA"/>
    <w:rsid w:val="00081143"/>
    <w:rsid w:val="00081212"/>
    <w:rsid w:val="0008121E"/>
    <w:rsid w:val="0008132D"/>
    <w:rsid w:val="0008138A"/>
    <w:rsid w:val="000813FB"/>
    <w:rsid w:val="00081435"/>
    <w:rsid w:val="00081465"/>
    <w:rsid w:val="00081486"/>
    <w:rsid w:val="000814F0"/>
    <w:rsid w:val="0008156F"/>
    <w:rsid w:val="000815D9"/>
    <w:rsid w:val="0008165B"/>
    <w:rsid w:val="0008167A"/>
    <w:rsid w:val="0008169C"/>
    <w:rsid w:val="000816B5"/>
    <w:rsid w:val="000816FF"/>
    <w:rsid w:val="00081741"/>
    <w:rsid w:val="000819D6"/>
    <w:rsid w:val="00081A23"/>
    <w:rsid w:val="00081A78"/>
    <w:rsid w:val="00081A99"/>
    <w:rsid w:val="00081B0B"/>
    <w:rsid w:val="00081B46"/>
    <w:rsid w:val="00081C0C"/>
    <w:rsid w:val="00081C0F"/>
    <w:rsid w:val="00081C75"/>
    <w:rsid w:val="00081C85"/>
    <w:rsid w:val="00081C95"/>
    <w:rsid w:val="00081CA7"/>
    <w:rsid w:val="00081D52"/>
    <w:rsid w:val="00081DEB"/>
    <w:rsid w:val="00081E91"/>
    <w:rsid w:val="00081EBE"/>
    <w:rsid w:val="00082002"/>
    <w:rsid w:val="00082084"/>
    <w:rsid w:val="00082090"/>
    <w:rsid w:val="00082189"/>
    <w:rsid w:val="000821CB"/>
    <w:rsid w:val="000821DB"/>
    <w:rsid w:val="00082360"/>
    <w:rsid w:val="000825C6"/>
    <w:rsid w:val="000825D2"/>
    <w:rsid w:val="000825D7"/>
    <w:rsid w:val="00082656"/>
    <w:rsid w:val="000826DD"/>
    <w:rsid w:val="00082710"/>
    <w:rsid w:val="00082721"/>
    <w:rsid w:val="00082854"/>
    <w:rsid w:val="00082878"/>
    <w:rsid w:val="00082880"/>
    <w:rsid w:val="000828AC"/>
    <w:rsid w:val="000828B4"/>
    <w:rsid w:val="000828E3"/>
    <w:rsid w:val="000829B0"/>
    <w:rsid w:val="00082ABB"/>
    <w:rsid w:val="00082BFD"/>
    <w:rsid w:val="00082CCE"/>
    <w:rsid w:val="00082E3B"/>
    <w:rsid w:val="00082E82"/>
    <w:rsid w:val="00082EB6"/>
    <w:rsid w:val="00082FA8"/>
    <w:rsid w:val="000830BB"/>
    <w:rsid w:val="000830EA"/>
    <w:rsid w:val="00083136"/>
    <w:rsid w:val="0008317A"/>
    <w:rsid w:val="000831C0"/>
    <w:rsid w:val="00083296"/>
    <w:rsid w:val="00083370"/>
    <w:rsid w:val="000833A7"/>
    <w:rsid w:val="0008346A"/>
    <w:rsid w:val="000834D4"/>
    <w:rsid w:val="000834F4"/>
    <w:rsid w:val="0008350A"/>
    <w:rsid w:val="00083510"/>
    <w:rsid w:val="000835EC"/>
    <w:rsid w:val="000836C3"/>
    <w:rsid w:val="000836C9"/>
    <w:rsid w:val="000836F0"/>
    <w:rsid w:val="00083714"/>
    <w:rsid w:val="00083837"/>
    <w:rsid w:val="0008383E"/>
    <w:rsid w:val="00083852"/>
    <w:rsid w:val="00083928"/>
    <w:rsid w:val="00083A1E"/>
    <w:rsid w:val="00083ACD"/>
    <w:rsid w:val="00083B43"/>
    <w:rsid w:val="00083C2C"/>
    <w:rsid w:val="00083C99"/>
    <w:rsid w:val="00083CB1"/>
    <w:rsid w:val="00083CDB"/>
    <w:rsid w:val="00083D87"/>
    <w:rsid w:val="00083E58"/>
    <w:rsid w:val="00083E5C"/>
    <w:rsid w:val="00083EB2"/>
    <w:rsid w:val="00083EC7"/>
    <w:rsid w:val="00083ECB"/>
    <w:rsid w:val="00083FD5"/>
    <w:rsid w:val="00084006"/>
    <w:rsid w:val="000840ED"/>
    <w:rsid w:val="0008415D"/>
    <w:rsid w:val="00084172"/>
    <w:rsid w:val="000841BF"/>
    <w:rsid w:val="000841D0"/>
    <w:rsid w:val="0008430A"/>
    <w:rsid w:val="00084355"/>
    <w:rsid w:val="000843A3"/>
    <w:rsid w:val="000844DB"/>
    <w:rsid w:val="0008457C"/>
    <w:rsid w:val="000845A5"/>
    <w:rsid w:val="00084615"/>
    <w:rsid w:val="00084678"/>
    <w:rsid w:val="00084696"/>
    <w:rsid w:val="000846B4"/>
    <w:rsid w:val="00084713"/>
    <w:rsid w:val="00084767"/>
    <w:rsid w:val="000847BF"/>
    <w:rsid w:val="000847DF"/>
    <w:rsid w:val="00084810"/>
    <w:rsid w:val="00084814"/>
    <w:rsid w:val="0008486E"/>
    <w:rsid w:val="000848B1"/>
    <w:rsid w:val="000848EC"/>
    <w:rsid w:val="00084972"/>
    <w:rsid w:val="00084982"/>
    <w:rsid w:val="0008499A"/>
    <w:rsid w:val="000849C5"/>
    <w:rsid w:val="000849EA"/>
    <w:rsid w:val="000849F0"/>
    <w:rsid w:val="00084A62"/>
    <w:rsid w:val="00084AD7"/>
    <w:rsid w:val="00084B50"/>
    <w:rsid w:val="00084C94"/>
    <w:rsid w:val="00084D0D"/>
    <w:rsid w:val="00084D40"/>
    <w:rsid w:val="00084D5E"/>
    <w:rsid w:val="00084DD1"/>
    <w:rsid w:val="00084E51"/>
    <w:rsid w:val="00084E6D"/>
    <w:rsid w:val="00084EF4"/>
    <w:rsid w:val="00084F14"/>
    <w:rsid w:val="00084FCA"/>
    <w:rsid w:val="00085084"/>
    <w:rsid w:val="00085097"/>
    <w:rsid w:val="000850C0"/>
    <w:rsid w:val="00085221"/>
    <w:rsid w:val="00085235"/>
    <w:rsid w:val="00085294"/>
    <w:rsid w:val="000852EC"/>
    <w:rsid w:val="0008536D"/>
    <w:rsid w:val="000853BD"/>
    <w:rsid w:val="000853C8"/>
    <w:rsid w:val="000853CA"/>
    <w:rsid w:val="0008541B"/>
    <w:rsid w:val="00085486"/>
    <w:rsid w:val="000854A8"/>
    <w:rsid w:val="000854C6"/>
    <w:rsid w:val="000854DA"/>
    <w:rsid w:val="000854FD"/>
    <w:rsid w:val="00085551"/>
    <w:rsid w:val="00085782"/>
    <w:rsid w:val="00085793"/>
    <w:rsid w:val="000858B6"/>
    <w:rsid w:val="000858B7"/>
    <w:rsid w:val="0008594D"/>
    <w:rsid w:val="00085ABA"/>
    <w:rsid w:val="00085B85"/>
    <w:rsid w:val="00085D4B"/>
    <w:rsid w:val="00085D4C"/>
    <w:rsid w:val="00085D5E"/>
    <w:rsid w:val="00085D91"/>
    <w:rsid w:val="00085DB4"/>
    <w:rsid w:val="00085E81"/>
    <w:rsid w:val="00085E83"/>
    <w:rsid w:val="00085ECD"/>
    <w:rsid w:val="00085F53"/>
    <w:rsid w:val="00085F6C"/>
    <w:rsid w:val="00085F9B"/>
    <w:rsid w:val="00086064"/>
    <w:rsid w:val="000860A7"/>
    <w:rsid w:val="000860B0"/>
    <w:rsid w:val="000861BD"/>
    <w:rsid w:val="00086297"/>
    <w:rsid w:val="00086316"/>
    <w:rsid w:val="00086496"/>
    <w:rsid w:val="000865B3"/>
    <w:rsid w:val="000865DA"/>
    <w:rsid w:val="000865F3"/>
    <w:rsid w:val="000866FF"/>
    <w:rsid w:val="00086746"/>
    <w:rsid w:val="00086818"/>
    <w:rsid w:val="00086889"/>
    <w:rsid w:val="00086912"/>
    <w:rsid w:val="0008693E"/>
    <w:rsid w:val="000869B2"/>
    <w:rsid w:val="00086A30"/>
    <w:rsid w:val="00086A32"/>
    <w:rsid w:val="00086A56"/>
    <w:rsid w:val="00086ACD"/>
    <w:rsid w:val="00086B40"/>
    <w:rsid w:val="00086BA9"/>
    <w:rsid w:val="00086BCD"/>
    <w:rsid w:val="00086C08"/>
    <w:rsid w:val="00086C28"/>
    <w:rsid w:val="00086C81"/>
    <w:rsid w:val="00086D16"/>
    <w:rsid w:val="00086D34"/>
    <w:rsid w:val="00086D3D"/>
    <w:rsid w:val="00086D63"/>
    <w:rsid w:val="00086DD2"/>
    <w:rsid w:val="00086DEA"/>
    <w:rsid w:val="00086E88"/>
    <w:rsid w:val="00086EB0"/>
    <w:rsid w:val="00086EB4"/>
    <w:rsid w:val="00086F7B"/>
    <w:rsid w:val="00086F90"/>
    <w:rsid w:val="00086FA7"/>
    <w:rsid w:val="00087005"/>
    <w:rsid w:val="000870C5"/>
    <w:rsid w:val="00087117"/>
    <w:rsid w:val="00087135"/>
    <w:rsid w:val="000871DD"/>
    <w:rsid w:val="0008722C"/>
    <w:rsid w:val="0008725F"/>
    <w:rsid w:val="0008729A"/>
    <w:rsid w:val="000872D2"/>
    <w:rsid w:val="000873CC"/>
    <w:rsid w:val="0008754A"/>
    <w:rsid w:val="000876E0"/>
    <w:rsid w:val="0008798F"/>
    <w:rsid w:val="000879DD"/>
    <w:rsid w:val="00087A8D"/>
    <w:rsid w:val="00087B32"/>
    <w:rsid w:val="00087B65"/>
    <w:rsid w:val="00087B8E"/>
    <w:rsid w:val="00087B9B"/>
    <w:rsid w:val="00087BE5"/>
    <w:rsid w:val="00087C0E"/>
    <w:rsid w:val="00087CC4"/>
    <w:rsid w:val="00087D34"/>
    <w:rsid w:val="00087DD3"/>
    <w:rsid w:val="00087DF3"/>
    <w:rsid w:val="00087E8C"/>
    <w:rsid w:val="00087F24"/>
    <w:rsid w:val="00087F5F"/>
    <w:rsid w:val="00087F72"/>
    <w:rsid w:val="00087F79"/>
    <w:rsid w:val="00087FEB"/>
    <w:rsid w:val="00087FF0"/>
    <w:rsid w:val="0009008A"/>
    <w:rsid w:val="000900CF"/>
    <w:rsid w:val="0009010D"/>
    <w:rsid w:val="0009011E"/>
    <w:rsid w:val="00090160"/>
    <w:rsid w:val="000901E9"/>
    <w:rsid w:val="0009024F"/>
    <w:rsid w:val="00090346"/>
    <w:rsid w:val="0009039E"/>
    <w:rsid w:val="000903D2"/>
    <w:rsid w:val="000903D8"/>
    <w:rsid w:val="000903E2"/>
    <w:rsid w:val="000904E5"/>
    <w:rsid w:val="00090501"/>
    <w:rsid w:val="00090509"/>
    <w:rsid w:val="0009053A"/>
    <w:rsid w:val="000905A3"/>
    <w:rsid w:val="00090601"/>
    <w:rsid w:val="0009069D"/>
    <w:rsid w:val="0009075F"/>
    <w:rsid w:val="000907B3"/>
    <w:rsid w:val="000907E7"/>
    <w:rsid w:val="00090984"/>
    <w:rsid w:val="000909CC"/>
    <w:rsid w:val="00090B58"/>
    <w:rsid w:val="00090C3C"/>
    <w:rsid w:val="00090C73"/>
    <w:rsid w:val="00090C8F"/>
    <w:rsid w:val="00090CC0"/>
    <w:rsid w:val="00090CDC"/>
    <w:rsid w:val="00090D10"/>
    <w:rsid w:val="00090D85"/>
    <w:rsid w:val="00090DB5"/>
    <w:rsid w:val="00090E67"/>
    <w:rsid w:val="00090F08"/>
    <w:rsid w:val="00090F35"/>
    <w:rsid w:val="00090FD3"/>
    <w:rsid w:val="00090FE4"/>
    <w:rsid w:val="00090FF6"/>
    <w:rsid w:val="0009107F"/>
    <w:rsid w:val="0009114E"/>
    <w:rsid w:val="000911E1"/>
    <w:rsid w:val="00091210"/>
    <w:rsid w:val="00091340"/>
    <w:rsid w:val="000913CF"/>
    <w:rsid w:val="0009151A"/>
    <w:rsid w:val="00091520"/>
    <w:rsid w:val="0009158B"/>
    <w:rsid w:val="000915CC"/>
    <w:rsid w:val="000915EA"/>
    <w:rsid w:val="000916A4"/>
    <w:rsid w:val="000916FF"/>
    <w:rsid w:val="000917C5"/>
    <w:rsid w:val="00091834"/>
    <w:rsid w:val="00091849"/>
    <w:rsid w:val="00091891"/>
    <w:rsid w:val="000918C1"/>
    <w:rsid w:val="000919A5"/>
    <w:rsid w:val="000919BD"/>
    <w:rsid w:val="00091A12"/>
    <w:rsid w:val="00091A63"/>
    <w:rsid w:val="00091A9A"/>
    <w:rsid w:val="00091B85"/>
    <w:rsid w:val="00091BB4"/>
    <w:rsid w:val="00091BE4"/>
    <w:rsid w:val="00091C30"/>
    <w:rsid w:val="00091C55"/>
    <w:rsid w:val="00091C89"/>
    <w:rsid w:val="00091E11"/>
    <w:rsid w:val="00091E46"/>
    <w:rsid w:val="00091F0F"/>
    <w:rsid w:val="00091F23"/>
    <w:rsid w:val="00091F30"/>
    <w:rsid w:val="00092025"/>
    <w:rsid w:val="0009207A"/>
    <w:rsid w:val="00092125"/>
    <w:rsid w:val="000921C9"/>
    <w:rsid w:val="000921DF"/>
    <w:rsid w:val="00092220"/>
    <w:rsid w:val="000922D8"/>
    <w:rsid w:val="00092352"/>
    <w:rsid w:val="000923F4"/>
    <w:rsid w:val="0009257B"/>
    <w:rsid w:val="0009259F"/>
    <w:rsid w:val="000925E7"/>
    <w:rsid w:val="0009268C"/>
    <w:rsid w:val="000926B2"/>
    <w:rsid w:val="000926E1"/>
    <w:rsid w:val="00092724"/>
    <w:rsid w:val="00092764"/>
    <w:rsid w:val="0009282A"/>
    <w:rsid w:val="00092914"/>
    <w:rsid w:val="00092923"/>
    <w:rsid w:val="00092934"/>
    <w:rsid w:val="00092944"/>
    <w:rsid w:val="0009297D"/>
    <w:rsid w:val="000929B7"/>
    <w:rsid w:val="00092A31"/>
    <w:rsid w:val="00092B6A"/>
    <w:rsid w:val="00092B6C"/>
    <w:rsid w:val="00092CA1"/>
    <w:rsid w:val="00092D1B"/>
    <w:rsid w:val="00092D40"/>
    <w:rsid w:val="00092D9F"/>
    <w:rsid w:val="00092DBA"/>
    <w:rsid w:val="00092E9A"/>
    <w:rsid w:val="00092F19"/>
    <w:rsid w:val="00092F61"/>
    <w:rsid w:val="00093094"/>
    <w:rsid w:val="00093179"/>
    <w:rsid w:val="00093239"/>
    <w:rsid w:val="00093277"/>
    <w:rsid w:val="0009329C"/>
    <w:rsid w:val="0009333C"/>
    <w:rsid w:val="000934CA"/>
    <w:rsid w:val="000934D0"/>
    <w:rsid w:val="000934DA"/>
    <w:rsid w:val="00093570"/>
    <w:rsid w:val="00093591"/>
    <w:rsid w:val="000935B3"/>
    <w:rsid w:val="000937AA"/>
    <w:rsid w:val="000937B2"/>
    <w:rsid w:val="0009384C"/>
    <w:rsid w:val="00093860"/>
    <w:rsid w:val="00093875"/>
    <w:rsid w:val="0009388B"/>
    <w:rsid w:val="000938E3"/>
    <w:rsid w:val="000939A6"/>
    <w:rsid w:val="000939E1"/>
    <w:rsid w:val="00093A6A"/>
    <w:rsid w:val="00093A74"/>
    <w:rsid w:val="00093C9E"/>
    <w:rsid w:val="00093CB5"/>
    <w:rsid w:val="00093D16"/>
    <w:rsid w:val="00093E01"/>
    <w:rsid w:val="00093E1A"/>
    <w:rsid w:val="00093F4B"/>
    <w:rsid w:val="00093FB9"/>
    <w:rsid w:val="0009405B"/>
    <w:rsid w:val="0009413A"/>
    <w:rsid w:val="00094163"/>
    <w:rsid w:val="0009420F"/>
    <w:rsid w:val="0009427D"/>
    <w:rsid w:val="00094289"/>
    <w:rsid w:val="00094348"/>
    <w:rsid w:val="00094431"/>
    <w:rsid w:val="00094449"/>
    <w:rsid w:val="00094529"/>
    <w:rsid w:val="0009452B"/>
    <w:rsid w:val="000945E9"/>
    <w:rsid w:val="00094603"/>
    <w:rsid w:val="00094759"/>
    <w:rsid w:val="00094808"/>
    <w:rsid w:val="00094881"/>
    <w:rsid w:val="00094A66"/>
    <w:rsid w:val="00094BD0"/>
    <w:rsid w:val="00094C6D"/>
    <w:rsid w:val="00094CB9"/>
    <w:rsid w:val="00094CE1"/>
    <w:rsid w:val="00094F20"/>
    <w:rsid w:val="00094F67"/>
    <w:rsid w:val="00094F69"/>
    <w:rsid w:val="00094F76"/>
    <w:rsid w:val="00095012"/>
    <w:rsid w:val="0009505F"/>
    <w:rsid w:val="000950E2"/>
    <w:rsid w:val="00095116"/>
    <w:rsid w:val="00095131"/>
    <w:rsid w:val="0009517B"/>
    <w:rsid w:val="000951DC"/>
    <w:rsid w:val="00095221"/>
    <w:rsid w:val="0009522C"/>
    <w:rsid w:val="0009526B"/>
    <w:rsid w:val="00095299"/>
    <w:rsid w:val="000952C1"/>
    <w:rsid w:val="000952FF"/>
    <w:rsid w:val="000953E9"/>
    <w:rsid w:val="000953EF"/>
    <w:rsid w:val="0009540D"/>
    <w:rsid w:val="00095548"/>
    <w:rsid w:val="0009569F"/>
    <w:rsid w:val="000956A3"/>
    <w:rsid w:val="00095747"/>
    <w:rsid w:val="000957EE"/>
    <w:rsid w:val="00095834"/>
    <w:rsid w:val="00095854"/>
    <w:rsid w:val="0009591D"/>
    <w:rsid w:val="00095991"/>
    <w:rsid w:val="00095B08"/>
    <w:rsid w:val="00095B76"/>
    <w:rsid w:val="00095B88"/>
    <w:rsid w:val="00095C06"/>
    <w:rsid w:val="00095C48"/>
    <w:rsid w:val="00095C4D"/>
    <w:rsid w:val="00095C88"/>
    <w:rsid w:val="00095D02"/>
    <w:rsid w:val="00095D05"/>
    <w:rsid w:val="00095E04"/>
    <w:rsid w:val="00095E91"/>
    <w:rsid w:val="00095ECF"/>
    <w:rsid w:val="00095F3A"/>
    <w:rsid w:val="00096008"/>
    <w:rsid w:val="0009601D"/>
    <w:rsid w:val="0009605C"/>
    <w:rsid w:val="00096071"/>
    <w:rsid w:val="0009614A"/>
    <w:rsid w:val="000961A5"/>
    <w:rsid w:val="000961C1"/>
    <w:rsid w:val="0009622E"/>
    <w:rsid w:val="00096260"/>
    <w:rsid w:val="000963EE"/>
    <w:rsid w:val="000966A3"/>
    <w:rsid w:val="000966B8"/>
    <w:rsid w:val="00096845"/>
    <w:rsid w:val="000968A2"/>
    <w:rsid w:val="000968CB"/>
    <w:rsid w:val="0009691A"/>
    <w:rsid w:val="0009695A"/>
    <w:rsid w:val="0009695C"/>
    <w:rsid w:val="00096AC7"/>
    <w:rsid w:val="00096B8D"/>
    <w:rsid w:val="00096BE3"/>
    <w:rsid w:val="00096C86"/>
    <w:rsid w:val="00096C98"/>
    <w:rsid w:val="00096CCC"/>
    <w:rsid w:val="00096CE3"/>
    <w:rsid w:val="00096D8A"/>
    <w:rsid w:val="00096D93"/>
    <w:rsid w:val="00096E06"/>
    <w:rsid w:val="00096EE9"/>
    <w:rsid w:val="00096F80"/>
    <w:rsid w:val="0009714C"/>
    <w:rsid w:val="0009718F"/>
    <w:rsid w:val="000971A0"/>
    <w:rsid w:val="000971CD"/>
    <w:rsid w:val="00097258"/>
    <w:rsid w:val="0009729A"/>
    <w:rsid w:val="000972C6"/>
    <w:rsid w:val="000973A4"/>
    <w:rsid w:val="0009745A"/>
    <w:rsid w:val="00097469"/>
    <w:rsid w:val="0009757A"/>
    <w:rsid w:val="000975AD"/>
    <w:rsid w:val="000975C6"/>
    <w:rsid w:val="00097665"/>
    <w:rsid w:val="00097770"/>
    <w:rsid w:val="000977D7"/>
    <w:rsid w:val="000977FF"/>
    <w:rsid w:val="00097808"/>
    <w:rsid w:val="00097889"/>
    <w:rsid w:val="000978AC"/>
    <w:rsid w:val="000978DA"/>
    <w:rsid w:val="00097974"/>
    <w:rsid w:val="00097975"/>
    <w:rsid w:val="0009799E"/>
    <w:rsid w:val="00097A3A"/>
    <w:rsid w:val="00097A97"/>
    <w:rsid w:val="00097B8A"/>
    <w:rsid w:val="00097B91"/>
    <w:rsid w:val="00097C27"/>
    <w:rsid w:val="00097C85"/>
    <w:rsid w:val="00097D58"/>
    <w:rsid w:val="00097D99"/>
    <w:rsid w:val="00097DBE"/>
    <w:rsid w:val="00097F4A"/>
    <w:rsid w:val="00097FC8"/>
    <w:rsid w:val="00097FEE"/>
    <w:rsid w:val="000A008D"/>
    <w:rsid w:val="000A00C3"/>
    <w:rsid w:val="000A00E5"/>
    <w:rsid w:val="000A0187"/>
    <w:rsid w:val="000A0200"/>
    <w:rsid w:val="000A038E"/>
    <w:rsid w:val="000A03FE"/>
    <w:rsid w:val="000A041D"/>
    <w:rsid w:val="000A043B"/>
    <w:rsid w:val="000A044C"/>
    <w:rsid w:val="000A045B"/>
    <w:rsid w:val="000A0477"/>
    <w:rsid w:val="000A05AA"/>
    <w:rsid w:val="000A05D6"/>
    <w:rsid w:val="000A0670"/>
    <w:rsid w:val="000A0730"/>
    <w:rsid w:val="000A07EC"/>
    <w:rsid w:val="000A0816"/>
    <w:rsid w:val="000A0821"/>
    <w:rsid w:val="000A08BF"/>
    <w:rsid w:val="000A08CC"/>
    <w:rsid w:val="000A094D"/>
    <w:rsid w:val="000A09AB"/>
    <w:rsid w:val="000A09C6"/>
    <w:rsid w:val="000A0ADE"/>
    <w:rsid w:val="000A0ADF"/>
    <w:rsid w:val="000A0B06"/>
    <w:rsid w:val="000A0B17"/>
    <w:rsid w:val="000A0B58"/>
    <w:rsid w:val="000A0CC6"/>
    <w:rsid w:val="000A0D52"/>
    <w:rsid w:val="000A0DF9"/>
    <w:rsid w:val="000A0E1F"/>
    <w:rsid w:val="000A0E34"/>
    <w:rsid w:val="000A0E87"/>
    <w:rsid w:val="000A0F37"/>
    <w:rsid w:val="000A0FEC"/>
    <w:rsid w:val="000A100A"/>
    <w:rsid w:val="000A1028"/>
    <w:rsid w:val="000A1059"/>
    <w:rsid w:val="000A10AE"/>
    <w:rsid w:val="000A117E"/>
    <w:rsid w:val="000A124A"/>
    <w:rsid w:val="000A12C2"/>
    <w:rsid w:val="000A12D4"/>
    <w:rsid w:val="000A1332"/>
    <w:rsid w:val="000A1389"/>
    <w:rsid w:val="000A14B3"/>
    <w:rsid w:val="000A14B9"/>
    <w:rsid w:val="000A150C"/>
    <w:rsid w:val="000A15C0"/>
    <w:rsid w:val="000A1627"/>
    <w:rsid w:val="000A1657"/>
    <w:rsid w:val="000A167D"/>
    <w:rsid w:val="000A1686"/>
    <w:rsid w:val="000A16A9"/>
    <w:rsid w:val="000A16F0"/>
    <w:rsid w:val="000A1755"/>
    <w:rsid w:val="000A1770"/>
    <w:rsid w:val="000A1809"/>
    <w:rsid w:val="000A1815"/>
    <w:rsid w:val="000A186C"/>
    <w:rsid w:val="000A18AA"/>
    <w:rsid w:val="000A1948"/>
    <w:rsid w:val="000A195F"/>
    <w:rsid w:val="000A1969"/>
    <w:rsid w:val="000A19D3"/>
    <w:rsid w:val="000A1AC7"/>
    <w:rsid w:val="000A1B62"/>
    <w:rsid w:val="000A1B86"/>
    <w:rsid w:val="000A1BA1"/>
    <w:rsid w:val="000A1BB7"/>
    <w:rsid w:val="000A1BBF"/>
    <w:rsid w:val="000A1C27"/>
    <w:rsid w:val="000A1C5C"/>
    <w:rsid w:val="000A1C94"/>
    <w:rsid w:val="000A1DB4"/>
    <w:rsid w:val="000A1DF4"/>
    <w:rsid w:val="000A1E35"/>
    <w:rsid w:val="000A1EAA"/>
    <w:rsid w:val="000A1F08"/>
    <w:rsid w:val="000A1F40"/>
    <w:rsid w:val="000A1F92"/>
    <w:rsid w:val="000A1FF2"/>
    <w:rsid w:val="000A207D"/>
    <w:rsid w:val="000A21C5"/>
    <w:rsid w:val="000A225E"/>
    <w:rsid w:val="000A2277"/>
    <w:rsid w:val="000A2298"/>
    <w:rsid w:val="000A22F2"/>
    <w:rsid w:val="000A2338"/>
    <w:rsid w:val="000A2546"/>
    <w:rsid w:val="000A2590"/>
    <w:rsid w:val="000A25A8"/>
    <w:rsid w:val="000A2629"/>
    <w:rsid w:val="000A2699"/>
    <w:rsid w:val="000A26F9"/>
    <w:rsid w:val="000A2705"/>
    <w:rsid w:val="000A279E"/>
    <w:rsid w:val="000A27C0"/>
    <w:rsid w:val="000A27DA"/>
    <w:rsid w:val="000A280A"/>
    <w:rsid w:val="000A287B"/>
    <w:rsid w:val="000A288B"/>
    <w:rsid w:val="000A2A74"/>
    <w:rsid w:val="000A2A96"/>
    <w:rsid w:val="000A2AE3"/>
    <w:rsid w:val="000A2AE7"/>
    <w:rsid w:val="000A2B1E"/>
    <w:rsid w:val="000A2B4B"/>
    <w:rsid w:val="000A2B60"/>
    <w:rsid w:val="000A2BE6"/>
    <w:rsid w:val="000A2BF0"/>
    <w:rsid w:val="000A2C86"/>
    <w:rsid w:val="000A2CB8"/>
    <w:rsid w:val="000A2CE6"/>
    <w:rsid w:val="000A2D34"/>
    <w:rsid w:val="000A2D6A"/>
    <w:rsid w:val="000A2D8E"/>
    <w:rsid w:val="000A2DEE"/>
    <w:rsid w:val="000A2DEF"/>
    <w:rsid w:val="000A2E0D"/>
    <w:rsid w:val="000A2E79"/>
    <w:rsid w:val="000A2E97"/>
    <w:rsid w:val="000A2EF8"/>
    <w:rsid w:val="000A2F4D"/>
    <w:rsid w:val="000A2F6D"/>
    <w:rsid w:val="000A30B6"/>
    <w:rsid w:val="000A30E1"/>
    <w:rsid w:val="000A313F"/>
    <w:rsid w:val="000A31C4"/>
    <w:rsid w:val="000A3212"/>
    <w:rsid w:val="000A3292"/>
    <w:rsid w:val="000A3484"/>
    <w:rsid w:val="000A34A7"/>
    <w:rsid w:val="000A34D9"/>
    <w:rsid w:val="000A3556"/>
    <w:rsid w:val="000A361B"/>
    <w:rsid w:val="000A37B2"/>
    <w:rsid w:val="000A37C8"/>
    <w:rsid w:val="000A37D4"/>
    <w:rsid w:val="000A37EA"/>
    <w:rsid w:val="000A3858"/>
    <w:rsid w:val="000A38FC"/>
    <w:rsid w:val="000A3996"/>
    <w:rsid w:val="000A39E1"/>
    <w:rsid w:val="000A39E7"/>
    <w:rsid w:val="000A39E9"/>
    <w:rsid w:val="000A39FB"/>
    <w:rsid w:val="000A3A36"/>
    <w:rsid w:val="000A3ADA"/>
    <w:rsid w:val="000A3BB3"/>
    <w:rsid w:val="000A3BBD"/>
    <w:rsid w:val="000A3BC6"/>
    <w:rsid w:val="000A3C49"/>
    <w:rsid w:val="000A3CFA"/>
    <w:rsid w:val="000A3D32"/>
    <w:rsid w:val="000A3D53"/>
    <w:rsid w:val="000A3DC1"/>
    <w:rsid w:val="000A3DE7"/>
    <w:rsid w:val="000A3E0C"/>
    <w:rsid w:val="000A3EDB"/>
    <w:rsid w:val="000A3F1E"/>
    <w:rsid w:val="000A3F5A"/>
    <w:rsid w:val="000A3FC4"/>
    <w:rsid w:val="000A4105"/>
    <w:rsid w:val="000A4190"/>
    <w:rsid w:val="000A4192"/>
    <w:rsid w:val="000A4227"/>
    <w:rsid w:val="000A4237"/>
    <w:rsid w:val="000A4260"/>
    <w:rsid w:val="000A45D7"/>
    <w:rsid w:val="000A45E2"/>
    <w:rsid w:val="000A45F0"/>
    <w:rsid w:val="000A461E"/>
    <w:rsid w:val="000A461F"/>
    <w:rsid w:val="000A466D"/>
    <w:rsid w:val="000A474F"/>
    <w:rsid w:val="000A4763"/>
    <w:rsid w:val="000A4846"/>
    <w:rsid w:val="000A48EB"/>
    <w:rsid w:val="000A48F2"/>
    <w:rsid w:val="000A4971"/>
    <w:rsid w:val="000A49AE"/>
    <w:rsid w:val="000A49E4"/>
    <w:rsid w:val="000A49E5"/>
    <w:rsid w:val="000A4A0F"/>
    <w:rsid w:val="000A4A19"/>
    <w:rsid w:val="000A4A28"/>
    <w:rsid w:val="000A4A37"/>
    <w:rsid w:val="000A4A45"/>
    <w:rsid w:val="000A4A85"/>
    <w:rsid w:val="000A4A86"/>
    <w:rsid w:val="000A4BE0"/>
    <w:rsid w:val="000A4E04"/>
    <w:rsid w:val="000A4ECB"/>
    <w:rsid w:val="000A4F57"/>
    <w:rsid w:val="000A4F83"/>
    <w:rsid w:val="000A4FF3"/>
    <w:rsid w:val="000A5003"/>
    <w:rsid w:val="000A50CE"/>
    <w:rsid w:val="000A50E4"/>
    <w:rsid w:val="000A50F2"/>
    <w:rsid w:val="000A5267"/>
    <w:rsid w:val="000A528F"/>
    <w:rsid w:val="000A52F9"/>
    <w:rsid w:val="000A5316"/>
    <w:rsid w:val="000A5442"/>
    <w:rsid w:val="000A548B"/>
    <w:rsid w:val="000A556B"/>
    <w:rsid w:val="000A5587"/>
    <w:rsid w:val="000A5591"/>
    <w:rsid w:val="000A55B4"/>
    <w:rsid w:val="000A5614"/>
    <w:rsid w:val="000A565F"/>
    <w:rsid w:val="000A56AF"/>
    <w:rsid w:val="000A56C1"/>
    <w:rsid w:val="000A56D8"/>
    <w:rsid w:val="000A5711"/>
    <w:rsid w:val="000A574D"/>
    <w:rsid w:val="000A575C"/>
    <w:rsid w:val="000A5762"/>
    <w:rsid w:val="000A57AF"/>
    <w:rsid w:val="000A57B5"/>
    <w:rsid w:val="000A5805"/>
    <w:rsid w:val="000A581B"/>
    <w:rsid w:val="000A5842"/>
    <w:rsid w:val="000A586B"/>
    <w:rsid w:val="000A58A8"/>
    <w:rsid w:val="000A58F5"/>
    <w:rsid w:val="000A59A3"/>
    <w:rsid w:val="000A59F3"/>
    <w:rsid w:val="000A5ABD"/>
    <w:rsid w:val="000A5B0E"/>
    <w:rsid w:val="000A5B26"/>
    <w:rsid w:val="000A5CEE"/>
    <w:rsid w:val="000A5D41"/>
    <w:rsid w:val="000A5E4F"/>
    <w:rsid w:val="000A5E75"/>
    <w:rsid w:val="000A5F08"/>
    <w:rsid w:val="000A5FAF"/>
    <w:rsid w:val="000A6020"/>
    <w:rsid w:val="000A6168"/>
    <w:rsid w:val="000A61A9"/>
    <w:rsid w:val="000A621B"/>
    <w:rsid w:val="000A6228"/>
    <w:rsid w:val="000A622A"/>
    <w:rsid w:val="000A6241"/>
    <w:rsid w:val="000A627D"/>
    <w:rsid w:val="000A62BE"/>
    <w:rsid w:val="000A6306"/>
    <w:rsid w:val="000A642B"/>
    <w:rsid w:val="000A6469"/>
    <w:rsid w:val="000A64CC"/>
    <w:rsid w:val="000A650E"/>
    <w:rsid w:val="000A6510"/>
    <w:rsid w:val="000A6520"/>
    <w:rsid w:val="000A657C"/>
    <w:rsid w:val="000A65BA"/>
    <w:rsid w:val="000A6609"/>
    <w:rsid w:val="000A665C"/>
    <w:rsid w:val="000A66CD"/>
    <w:rsid w:val="000A6737"/>
    <w:rsid w:val="000A67CB"/>
    <w:rsid w:val="000A6BBD"/>
    <w:rsid w:val="000A6C5D"/>
    <w:rsid w:val="000A6C91"/>
    <w:rsid w:val="000A6D03"/>
    <w:rsid w:val="000A6D05"/>
    <w:rsid w:val="000A6D60"/>
    <w:rsid w:val="000A6DA4"/>
    <w:rsid w:val="000A6E39"/>
    <w:rsid w:val="000A6FCC"/>
    <w:rsid w:val="000A6FD8"/>
    <w:rsid w:val="000A702E"/>
    <w:rsid w:val="000A70D3"/>
    <w:rsid w:val="000A7107"/>
    <w:rsid w:val="000A721F"/>
    <w:rsid w:val="000A7220"/>
    <w:rsid w:val="000A7264"/>
    <w:rsid w:val="000A7377"/>
    <w:rsid w:val="000A73E2"/>
    <w:rsid w:val="000A74A5"/>
    <w:rsid w:val="000A753E"/>
    <w:rsid w:val="000A75A0"/>
    <w:rsid w:val="000A75A9"/>
    <w:rsid w:val="000A7610"/>
    <w:rsid w:val="000A769C"/>
    <w:rsid w:val="000A7738"/>
    <w:rsid w:val="000A7783"/>
    <w:rsid w:val="000A77A4"/>
    <w:rsid w:val="000A780C"/>
    <w:rsid w:val="000A782B"/>
    <w:rsid w:val="000A791D"/>
    <w:rsid w:val="000A7969"/>
    <w:rsid w:val="000A79DE"/>
    <w:rsid w:val="000A79E8"/>
    <w:rsid w:val="000A7A2A"/>
    <w:rsid w:val="000A7A41"/>
    <w:rsid w:val="000A7A6C"/>
    <w:rsid w:val="000A7A90"/>
    <w:rsid w:val="000A7B00"/>
    <w:rsid w:val="000A7B78"/>
    <w:rsid w:val="000A7B7A"/>
    <w:rsid w:val="000A7BA6"/>
    <w:rsid w:val="000A7BB5"/>
    <w:rsid w:val="000A7C06"/>
    <w:rsid w:val="000A7C59"/>
    <w:rsid w:val="000A7CE1"/>
    <w:rsid w:val="000A7D08"/>
    <w:rsid w:val="000A7D3B"/>
    <w:rsid w:val="000A7EC9"/>
    <w:rsid w:val="000A7ED3"/>
    <w:rsid w:val="000A7F96"/>
    <w:rsid w:val="000B002F"/>
    <w:rsid w:val="000B015D"/>
    <w:rsid w:val="000B01B0"/>
    <w:rsid w:val="000B023E"/>
    <w:rsid w:val="000B0320"/>
    <w:rsid w:val="000B03BB"/>
    <w:rsid w:val="000B0519"/>
    <w:rsid w:val="000B0533"/>
    <w:rsid w:val="000B054A"/>
    <w:rsid w:val="000B0670"/>
    <w:rsid w:val="000B0679"/>
    <w:rsid w:val="000B069F"/>
    <w:rsid w:val="000B071C"/>
    <w:rsid w:val="000B073D"/>
    <w:rsid w:val="000B075E"/>
    <w:rsid w:val="000B079A"/>
    <w:rsid w:val="000B07DA"/>
    <w:rsid w:val="000B0887"/>
    <w:rsid w:val="000B08B2"/>
    <w:rsid w:val="000B0979"/>
    <w:rsid w:val="000B09DB"/>
    <w:rsid w:val="000B0A8B"/>
    <w:rsid w:val="000B0A9D"/>
    <w:rsid w:val="000B0C04"/>
    <w:rsid w:val="000B0C0F"/>
    <w:rsid w:val="000B0C35"/>
    <w:rsid w:val="000B0CE1"/>
    <w:rsid w:val="000B0DAC"/>
    <w:rsid w:val="000B0E0A"/>
    <w:rsid w:val="000B0E2E"/>
    <w:rsid w:val="000B0E3D"/>
    <w:rsid w:val="000B0E4C"/>
    <w:rsid w:val="000B0F65"/>
    <w:rsid w:val="000B0FCB"/>
    <w:rsid w:val="000B0FCD"/>
    <w:rsid w:val="000B1034"/>
    <w:rsid w:val="000B1205"/>
    <w:rsid w:val="000B1224"/>
    <w:rsid w:val="000B123D"/>
    <w:rsid w:val="000B13F0"/>
    <w:rsid w:val="000B1426"/>
    <w:rsid w:val="000B15A4"/>
    <w:rsid w:val="000B15E5"/>
    <w:rsid w:val="000B15EA"/>
    <w:rsid w:val="000B16BE"/>
    <w:rsid w:val="000B1727"/>
    <w:rsid w:val="000B1751"/>
    <w:rsid w:val="000B1846"/>
    <w:rsid w:val="000B1918"/>
    <w:rsid w:val="000B1960"/>
    <w:rsid w:val="000B19BA"/>
    <w:rsid w:val="000B19FF"/>
    <w:rsid w:val="000B1A4A"/>
    <w:rsid w:val="000B1A72"/>
    <w:rsid w:val="000B1A78"/>
    <w:rsid w:val="000B1AD2"/>
    <w:rsid w:val="000B1C8E"/>
    <w:rsid w:val="000B1CD4"/>
    <w:rsid w:val="000B1D16"/>
    <w:rsid w:val="000B1D8B"/>
    <w:rsid w:val="000B1DCA"/>
    <w:rsid w:val="000B1E25"/>
    <w:rsid w:val="000B1E3E"/>
    <w:rsid w:val="000B1E54"/>
    <w:rsid w:val="000B1F1A"/>
    <w:rsid w:val="000B1F42"/>
    <w:rsid w:val="000B1FAB"/>
    <w:rsid w:val="000B2025"/>
    <w:rsid w:val="000B2069"/>
    <w:rsid w:val="000B20D1"/>
    <w:rsid w:val="000B2141"/>
    <w:rsid w:val="000B2194"/>
    <w:rsid w:val="000B2196"/>
    <w:rsid w:val="000B2316"/>
    <w:rsid w:val="000B2363"/>
    <w:rsid w:val="000B2498"/>
    <w:rsid w:val="000B25A2"/>
    <w:rsid w:val="000B2604"/>
    <w:rsid w:val="000B263D"/>
    <w:rsid w:val="000B265C"/>
    <w:rsid w:val="000B2714"/>
    <w:rsid w:val="000B2736"/>
    <w:rsid w:val="000B2748"/>
    <w:rsid w:val="000B289C"/>
    <w:rsid w:val="000B2912"/>
    <w:rsid w:val="000B292B"/>
    <w:rsid w:val="000B29F8"/>
    <w:rsid w:val="000B2A4E"/>
    <w:rsid w:val="000B2A63"/>
    <w:rsid w:val="000B2B44"/>
    <w:rsid w:val="000B2B49"/>
    <w:rsid w:val="000B2BBE"/>
    <w:rsid w:val="000B2BF1"/>
    <w:rsid w:val="000B2C97"/>
    <w:rsid w:val="000B2DAD"/>
    <w:rsid w:val="000B2E7A"/>
    <w:rsid w:val="000B2EB5"/>
    <w:rsid w:val="000B2ED3"/>
    <w:rsid w:val="000B2EDA"/>
    <w:rsid w:val="000B2F32"/>
    <w:rsid w:val="000B3072"/>
    <w:rsid w:val="000B30BF"/>
    <w:rsid w:val="000B3189"/>
    <w:rsid w:val="000B31CC"/>
    <w:rsid w:val="000B31EE"/>
    <w:rsid w:val="000B32DF"/>
    <w:rsid w:val="000B3339"/>
    <w:rsid w:val="000B335C"/>
    <w:rsid w:val="000B34CB"/>
    <w:rsid w:val="000B34DA"/>
    <w:rsid w:val="000B350B"/>
    <w:rsid w:val="000B354E"/>
    <w:rsid w:val="000B357C"/>
    <w:rsid w:val="000B35A8"/>
    <w:rsid w:val="000B35B4"/>
    <w:rsid w:val="000B35B6"/>
    <w:rsid w:val="000B35B9"/>
    <w:rsid w:val="000B364C"/>
    <w:rsid w:val="000B3699"/>
    <w:rsid w:val="000B3729"/>
    <w:rsid w:val="000B3803"/>
    <w:rsid w:val="000B3869"/>
    <w:rsid w:val="000B386C"/>
    <w:rsid w:val="000B38E2"/>
    <w:rsid w:val="000B38F9"/>
    <w:rsid w:val="000B394C"/>
    <w:rsid w:val="000B3A17"/>
    <w:rsid w:val="000B3A39"/>
    <w:rsid w:val="000B3A76"/>
    <w:rsid w:val="000B3A85"/>
    <w:rsid w:val="000B3BC8"/>
    <w:rsid w:val="000B3C54"/>
    <w:rsid w:val="000B3C57"/>
    <w:rsid w:val="000B3C8A"/>
    <w:rsid w:val="000B3C9C"/>
    <w:rsid w:val="000B3E35"/>
    <w:rsid w:val="000B3E71"/>
    <w:rsid w:val="000B3F58"/>
    <w:rsid w:val="000B3F69"/>
    <w:rsid w:val="000B3F9F"/>
    <w:rsid w:val="000B400F"/>
    <w:rsid w:val="000B4036"/>
    <w:rsid w:val="000B411C"/>
    <w:rsid w:val="000B42B4"/>
    <w:rsid w:val="000B42D4"/>
    <w:rsid w:val="000B4420"/>
    <w:rsid w:val="000B4450"/>
    <w:rsid w:val="000B4636"/>
    <w:rsid w:val="000B46E1"/>
    <w:rsid w:val="000B473A"/>
    <w:rsid w:val="000B49AE"/>
    <w:rsid w:val="000B49B5"/>
    <w:rsid w:val="000B4B75"/>
    <w:rsid w:val="000B4BEB"/>
    <w:rsid w:val="000B4CC6"/>
    <w:rsid w:val="000B4D53"/>
    <w:rsid w:val="000B4DF9"/>
    <w:rsid w:val="000B4E4D"/>
    <w:rsid w:val="000B4EDB"/>
    <w:rsid w:val="000B4F08"/>
    <w:rsid w:val="000B4FDC"/>
    <w:rsid w:val="000B4FDF"/>
    <w:rsid w:val="000B502F"/>
    <w:rsid w:val="000B50FC"/>
    <w:rsid w:val="000B51D4"/>
    <w:rsid w:val="000B520A"/>
    <w:rsid w:val="000B527F"/>
    <w:rsid w:val="000B52D4"/>
    <w:rsid w:val="000B536A"/>
    <w:rsid w:val="000B5372"/>
    <w:rsid w:val="000B53E1"/>
    <w:rsid w:val="000B543C"/>
    <w:rsid w:val="000B545A"/>
    <w:rsid w:val="000B54CF"/>
    <w:rsid w:val="000B54F8"/>
    <w:rsid w:val="000B551C"/>
    <w:rsid w:val="000B5587"/>
    <w:rsid w:val="000B55C2"/>
    <w:rsid w:val="000B55CB"/>
    <w:rsid w:val="000B55F8"/>
    <w:rsid w:val="000B5618"/>
    <w:rsid w:val="000B5622"/>
    <w:rsid w:val="000B5689"/>
    <w:rsid w:val="000B5726"/>
    <w:rsid w:val="000B578B"/>
    <w:rsid w:val="000B57BF"/>
    <w:rsid w:val="000B5838"/>
    <w:rsid w:val="000B58CC"/>
    <w:rsid w:val="000B599C"/>
    <w:rsid w:val="000B59D4"/>
    <w:rsid w:val="000B5A79"/>
    <w:rsid w:val="000B5A9E"/>
    <w:rsid w:val="000B5AD3"/>
    <w:rsid w:val="000B5B82"/>
    <w:rsid w:val="000B5BD5"/>
    <w:rsid w:val="000B5BFE"/>
    <w:rsid w:val="000B5CA4"/>
    <w:rsid w:val="000B5CCF"/>
    <w:rsid w:val="000B5CD7"/>
    <w:rsid w:val="000B5D19"/>
    <w:rsid w:val="000B5D21"/>
    <w:rsid w:val="000B5D40"/>
    <w:rsid w:val="000B5D7E"/>
    <w:rsid w:val="000B5DC8"/>
    <w:rsid w:val="000B5FE8"/>
    <w:rsid w:val="000B609B"/>
    <w:rsid w:val="000B60A9"/>
    <w:rsid w:val="000B60BD"/>
    <w:rsid w:val="000B60C1"/>
    <w:rsid w:val="000B61A4"/>
    <w:rsid w:val="000B6238"/>
    <w:rsid w:val="000B6246"/>
    <w:rsid w:val="000B6290"/>
    <w:rsid w:val="000B629A"/>
    <w:rsid w:val="000B62FD"/>
    <w:rsid w:val="000B6310"/>
    <w:rsid w:val="000B63CC"/>
    <w:rsid w:val="000B64A6"/>
    <w:rsid w:val="000B650A"/>
    <w:rsid w:val="000B658F"/>
    <w:rsid w:val="000B6798"/>
    <w:rsid w:val="000B67EF"/>
    <w:rsid w:val="000B693F"/>
    <w:rsid w:val="000B6A08"/>
    <w:rsid w:val="000B6A15"/>
    <w:rsid w:val="000B6AA2"/>
    <w:rsid w:val="000B6C13"/>
    <w:rsid w:val="000B6DE6"/>
    <w:rsid w:val="000B6F58"/>
    <w:rsid w:val="000B6F76"/>
    <w:rsid w:val="000B6F86"/>
    <w:rsid w:val="000B6FB8"/>
    <w:rsid w:val="000B701A"/>
    <w:rsid w:val="000B70D7"/>
    <w:rsid w:val="000B7134"/>
    <w:rsid w:val="000B717F"/>
    <w:rsid w:val="000B71D6"/>
    <w:rsid w:val="000B72B8"/>
    <w:rsid w:val="000B739D"/>
    <w:rsid w:val="000B75BA"/>
    <w:rsid w:val="000B75D6"/>
    <w:rsid w:val="000B7616"/>
    <w:rsid w:val="000B766B"/>
    <w:rsid w:val="000B76A3"/>
    <w:rsid w:val="000B76EC"/>
    <w:rsid w:val="000B7769"/>
    <w:rsid w:val="000B78D8"/>
    <w:rsid w:val="000B794D"/>
    <w:rsid w:val="000B7D3F"/>
    <w:rsid w:val="000B7D8A"/>
    <w:rsid w:val="000B7DC6"/>
    <w:rsid w:val="000B7DCA"/>
    <w:rsid w:val="000B7DD2"/>
    <w:rsid w:val="000B7DEB"/>
    <w:rsid w:val="000B7E2B"/>
    <w:rsid w:val="000B7E7A"/>
    <w:rsid w:val="000B7EC6"/>
    <w:rsid w:val="000B7EC7"/>
    <w:rsid w:val="000B7F43"/>
    <w:rsid w:val="000B7FC1"/>
    <w:rsid w:val="000C004B"/>
    <w:rsid w:val="000C0085"/>
    <w:rsid w:val="000C0106"/>
    <w:rsid w:val="000C012E"/>
    <w:rsid w:val="000C013D"/>
    <w:rsid w:val="000C01AA"/>
    <w:rsid w:val="000C042E"/>
    <w:rsid w:val="000C046A"/>
    <w:rsid w:val="000C04BC"/>
    <w:rsid w:val="000C04D0"/>
    <w:rsid w:val="000C053B"/>
    <w:rsid w:val="000C063C"/>
    <w:rsid w:val="000C06E6"/>
    <w:rsid w:val="000C0708"/>
    <w:rsid w:val="000C0783"/>
    <w:rsid w:val="000C07C0"/>
    <w:rsid w:val="000C07D2"/>
    <w:rsid w:val="000C0980"/>
    <w:rsid w:val="000C0986"/>
    <w:rsid w:val="000C099C"/>
    <w:rsid w:val="000C0A35"/>
    <w:rsid w:val="000C0A4B"/>
    <w:rsid w:val="000C0A5D"/>
    <w:rsid w:val="000C0ADE"/>
    <w:rsid w:val="000C0B96"/>
    <w:rsid w:val="000C0CC9"/>
    <w:rsid w:val="000C0D3C"/>
    <w:rsid w:val="000C0D53"/>
    <w:rsid w:val="000C0D6E"/>
    <w:rsid w:val="000C0D8F"/>
    <w:rsid w:val="000C0DDB"/>
    <w:rsid w:val="000C0E66"/>
    <w:rsid w:val="000C0E69"/>
    <w:rsid w:val="000C0F3A"/>
    <w:rsid w:val="000C1048"/>
    <w:rsid w:val="000C1064"/>
    <w:rsid w:val="000C118C"/>
    <w:rsid w:val="000C12F5"/>
    <w:rsid w:val="000C1351"/>
    <w:rsid w:val="000C143A"/>
    <w:rsid w:val="000C1449"/>
    <w:rsid w:val="000C1463"/>
    <w:rsid w:val="000C160B"/>
    <w:rsid w:val="000C1617"/>
    <w:rsid w:val="000C1629"/>
    <w:rsid w:val="000C1636"/>
    <w:rsid w:val="000C166F"/>
    <w:rsid w:val="000C168F"/>
    <w:rsid w:val="000C16E8"/>
    <w:rsid w:val="000C16EB"/>
    <w:rsid w:val="000C17AD"/>
    <w:rsid w:val="000C1810"/>
    <w:rsid w:val="000C1A18"/>
    <w:rsid w:val="000C1A4D"/>
    <w:rsid w:val="000C1A65"/>
    <w:rsid w:val="000C1A80"/>
    <w:rsid w:val="000C1B0C"/>
    <w:rsid w:val="000C1B33"/>
    <w:rsid w:val="000C1B3F"/>
    <w:rsid w:val="000C1BE6"/>
    <w:rsid w:val="000C1D56"/>
    <w:rsid w:val="000C1DEF"/>
    <w:rsid w:val="000C1F78"/>
    <w:rsid w:val="000C1FDC"/>
    <w:rsid w:val="000C1FE9"/>
    <w:rsid w:val="000C20EB"/>
    <w:rsid w:val="000C2124"/>
    <w:rsid w:val="000C214A"/>
    <w:rsid w:val="000C21D2"/>
    <w:rsid w:val="000C21DD"/>
    <w:rsid w:val="000C242E"/>
    <w:rsid w:val="000C2444"/>
    <w:rsid w:val="000C246A"/>
    <w:rsid w:val="000C251E"/>
    <w:rsid w:val="000C2862"/>
    <w:rsid w:val="000C290B"/>
    <w:rsid w:val="000C2963"/>
    <w:rsid w:val="000C2A2A"/>
    <w:rsid w:val="000C2AA5"/>
    <w:rsid w:val="000C2B21"/>
    <w:rsid w:val="000C2B64"/>
    <w:rsid w:val="000C2BDE"/>
    <w:rsid w:val="000C2BEB"/>
    <w:rsid w:val="000C2C25"/>
    <w:rsid w:val="000C2C6C"/>
    <w:rsid w:val="000C2C70"/>
    <w:rsid w:val="000C2C81"/>
    <w:rsid w:val="000C2C8A"/>
    <w:rsid w:val="000C2EC8"/>
    <w:rsid w:val="000C2F6C"/>
    <w:rsid w:val="000C3067"/>
    <w:rsid w:val="000C3206"/>
    <w:rsid w:val="000C32ED"/>
    <w:rsid w:val="000C3448"/>
    <w:rsid w:val="000C3472"/>
    <w:rsid w:val="000C34E1"/>
    <w:rsid w:val="000C34EE"/>
    <w:rsid w:val="000C3514"/>
    <w:rsid w:val="000C3617"/>
    <w:rsid w:val="000C3654"/>
    <w:rsid w:val="000C36D3"/>
    <w:rsid w:val="000C3891"/>
    <w:rsid w:val="000C393F"/>
    <w:rsid w:val="000C3943"/>
    <w:rsid w:val="000C39A9"/>
    <w:rsid w:val="000C39C6"/>
    <w:rsid w:val="000C3A27"/>
    <w:rsid w:val="000C3A2E"/>
    <w:rsid w:val="000C3A74"/>
    <w:rsid w:val="000C3B2C"/>
    <w:rsid w:val="000C3C0C"/>
    <w:rsid w:val="000C3C6A"/>
    <w:rsid w:val="000C3C7E"/>
    <w:rsid w:val="000C3CF9"/>
    <w:rsid w:val="000C3D3D"/>
    <w:rsid w:val="000C3D6C"/>
    <w:rsid w:val="000C4004"/>
    <w:rsid w:val="000C4015"/>
    <w:rsid w:val="000C4018"/>
    <w:rsid w:val="000C4022"/>
    <w:rsid w:val="000C402D"/>
    <w:rsid w:val="000C4098"/>
    <w:rsid w:val="000C40EF"/>
    <w:rsid w:val="000C4159"/>
    <w:rsid w:val="000C4194"/>
    <w:rsid w:val="000C4282"/>
    <w:rsid w:val="000C4298"/>
    <w:rsid w:val="000C4311"/>
    <w:rsid w:val="000C434B"/>
    <w:rsid w:val="000C4370"/>
    <w:rsid w:val="000C4380"/>
    <w:rsid w:val="000C43DA"/>
    <w:rsid w:val="000C4477"/>
    <w:rsid w:val="000C44D3"/>
    <w:rsid w:val="000C467B"/>
    <w:rsid w:val="000C46AC"/>
    <w:rsid w:val="000C477C"/>
    <w:rsid w:val="000C4797"/>
    <w:rsid w:val="000C47A6"/>
    <w:rsid w:val="000C47BC"/>
    <w:rsid w:val="000C47F4"/>
    <w:rsid w:val="000C482E"/>
    <w:rsid w:val="000C4832"/>
    <w:rsid w:val="000C4833"/>
    <w:rsid w:val="000C487F"/>
    <w:rsid w:val="000C4889"/>
    <w:rsid w:val="000C4895"/>
    <w:rsid w:val="000C48A0"/>
    <w:rsid w:val="000C4A2C"/>
    <w:rsid w:val="000C4A8D"/>
    <w:rsid w:val="000C4B87"/>
    <w:rsid w:val="000C4B89"/>
    <w:rsid w:val="000C4C2D"/>
    <w:rsid w:val="000C4C36"/>
    <w:rsid w:val="000C4C54"/>
    <w:rsid w:val="000C4C94"/>
    <w:rsid w:val="000C4CDB"/>
    <w:rsid w:val="000C4DEE"/>
    <w:rsid w:val="000C4E54"/>
    <w:rsid w:val="000C4E8A"/>
    <w:rsid w:val="000C4EA6"/>
    <w:rsid w:val="000C4EB1"/>
    <w:rsid w:val="000C4EB3"/>
    <w:rsid w:val="000C4EEF"/>
    <w:rsid w:val="000C4F73"/>
    <w:rsid w:val="000C4FC4"/>
    <w:rsid w:val="000C50B8"/>
    <w:rsid w:val="000C5227"/>
    <w:rsid w:val="000C5256"/>
    <w:rsid w:val="000C532A"/>
    <w:rsid w:val="000C53B7"/>
    <w:rsid w:val="000C5401"/>
    <w:rsid w:val="000C5404"/>
    <w:rsid w:val="000C547C"/>
    <w:rsid w:val="000C54BB"/>
    <w:rsid w:val="000C5538"/>
    <w:rsid w:val="000C554D"/>
    <w:rsid w:val="000C55CF"/>
    <w:rsid w:val="000C56B7"/>
    <w:rsid w:val="000C572B"/>
    <w:rsid w:val="000C5740"/>
    <w:rsid w:val="000C57B4"/>
    <w:rsid w:val="000C57FC"/>
    <w:rsid w:val="000C5810"/>
    <w:rsid w:val="000C5836"/>
    <w:rsid w:val="000C5867"/>
    <w:rsid w:val="000C599D"/>
    <w:rsid w:val="000C5A93"/>
    <w:rsid w:val="000C5AF8"/>
    <w:rsid w:val="000C5B39"/>
    <w:rsid w:val="000C5B7D"/>
    <w:rsid w:val="000C5C53"/>
    <w:rsid w:val="000C5CF9"/>
    <w:rsid w:val="000C5D7A"/>
    <w:rsid w:val="000C5DBB"/>
    <w:rsid w:val="000C5DF3"/>
    <w:rsid w:val="000C5E3B"/>
    <w:rsid w:val="000C5E87"/>
    <w:rsid w:val="000C5E96"/>
    <w:rsid w:val="000C5EE7"/>
    <w:rsid w:val="000C6066"/>
    <w:rsid w:val="000C60C6"/>
    <w:rsid w:val="000C610E"/>
    <w:rsid w:val="000C61A5"/>
    <w:rsid w:val="000C61B3"/>
    <w:rsid w:val="000C6206"/>
    <w:rsid w:val="000C624E"/>
    <w:rsid w:val="000C6375"/>
    <w:rsid w:val="000C63D0"/>
    <w:rsid w:val="000C63DE"/>
    <w:rsid w:val="000C6445"/>
    <w:rsid w:val="000C6483"/>
    <w:rsid w:val="000C652D"/>
    <w:rsid w:val="000C656A"/>
    <w:rsid w:val="000C65B2"/>
    <w:rsid w:val="000C661D"/>
    <w:rsid w:val="000C665B"/>
    <w:rsid w:val="000C6724"/>
    <w:rsid w:val="000C6734"/>
    <w:rsid w:val="000C676F"/>
    <w:rsid w:val="000C6962"/>
    <w:rsid w:val="000C69EA"/>
    <w:rsid w:val="000C6A2A"/>
    <w:rsid w:val="000C6A2B"/>
    <w:rsid w:val="000C6A69"/>
    <w:rsid w:val="000C6B09"/>
    <w:rsid w:val="000C6B3B"/>
    <w:rsid w:val="000C6B4F"/>
    <w:rsid w:val="000C6B52"/>
    <w:rsid w:val="000C6C0B"/>
    <w:rsid w:val="000C6DD6"/>
    <w:rsid w:val="000C6E57"/>
    <w:rsid w:val="000C6E9B"/>
    <w:rsid w:val="000C6EC9"/>
    <w:rsid w:val="000C6EDC"/>
    <w:rsid w:val="000C6EF3"/>
    <w:rsid w:val="000C6F26"/>
    <w:rsid w:val="000C7028"/>
    <w:rsid w:val="000C7038"/>
    <w:rsid w:val="000C714C"/>
    <w:rsid w:val="000C719E"/>
    <w:rsid w:val="000C71A5"/>
    <w:rsid w:val="000C71B3"/>
    <w:rsid w:val="000C71E5"/>
    <w:rsid w:val="000C7249"/>
    <w:rsid w:val="000C748B"/>
    <w:rsid w:val="000C74C2"/>
    <w:rsid w:val="000C74CE"/>
    <w:rsid w:val="000C75BD"/>
    <w:rsid w:val="000C7645"/>
    <w:rsid w:val="000C7675"/>
    <w:rsid w:val="000C772D"/>
    <w:rsid w:val="000C7736"/>
    <w:rsid w:val="000C775D"/>
    <w:rsid w:val="000C77B2"/>
    <w:rsid w:val="000C7824"/>
    <w:rsid w:val="000C78E1"/>
    <w:rsid w:val="000C78E4"/>
    <w:rsid w:val="000C791B"/>
    <w:rsid w:val="000C7953"/>
    <w:rsid w:val="000C79E4"/>
    <w:rsid w:val="000C7AFF"/>
    <w:rsid w:val="000C7B82"/>
    <w:rsid w:val="000C7BB1"/>
    <w:rsid w:val="000C7D8F"/>
    <w:rsid w:val="000C7EBA"/>
    <w:rsid w:val="000C7F22"/>
    <w:rsid w:val="000CD295"/>
    <w:rsid w:val="000D0017"/>
    <w:rsid w:val="000D013F"/>
    <w:rsid w:val="000D0142"/>
    <w:rsid w:val="000D025C"/>
    <w:rsid w:val="000D031A"/>
    <w:rsid w:val="000D0464"/>
    <w:rsid w:val="000D04C5"/>
    <w:rsid w:val="000D055D"/>
    <w:rsid w:val="000D0597"/>
    <w:rsid w:val="000D069C"/>
    <w:rsid w:val="000D06DC"/>
    <w:rsid w:val="000D06DE"/>
    <w:rsid w:val="000D0780"/>
    <w:rsid w:val="000D0793"/>
    <w:rsid w:val="000D07F4"/>
    <w:rsid w:val="000D0841"/>
    <w:rsid w:val="000D0845"/>
    <w:rsid w:val="000D0B5D"/>
    <w:rsid w:val="000D0B89"/>
    <w:rsid w:val="000D0C12"/>
    <w:rsid w:val="000D0C61"/>
    <w:rsid w:val="000D0C85"/>
    <w:rsid w:val="000D0D01"/>
    <w:rsid w:val="000D0D79"/>
    <w:rsid w:val="000D0DEA"/>
    <w:rsid w:val="000D0EBB"/>
    <w:rsid w:val="000D0FC1"/>
    <w:rsid w:val="000D1089"/>
    <w:rsid w:val="000D10AB"/>
    <w:rsid w:val="000D1175"/>
    <w:rsid w:val="000D11AC"/>
    <w:rsid w:val="000D11E6"/>
    <w:rsid w:val="000D121A"/>
    <w:rsid w:val="000D128B"/>
    <w:rsid w:val="000D131C"/>
    <w:rsid w:val="000D1374"/>
    <w:rsid w:val="000D13A5"/>
    <w:rsid w:val="000D13D4"/>
    <w:rsid w:val="000D13E9"/>
    <w:rsid w:val="000D1425"/>
    <w:rsid w:val="000D1545"/>
    <w:rsid w:val="000D15EF"/>
    <w:rsid w:val="000D1783"/>
    <w:rsid w:val="000D17C0"/>
    <w:rsid w:val="000D17F4"/>
    <w:rsid w:val="000D17FF"/>
    <w:rsid w:val="000D1842"/>
    <w:rsid w:val="000D1881"/>
    <w:rsid w:val="000D18F2"/>
    <w:rsid w:val="000D1A05"/>
    <w:rsid w:val="000D1A43"/>
    <w:rsid w:val="000D1ACC"/>
    <w:rsid w:val="000D1AE2"/>
    <w:rsid w:val="000D1B5B"/>
    <w:rsid w:val="000D1C10"/>
    <w:rsid w:val="000D1DBB"/>
    <w:rsid w:val="000D1E79"/>
    <w:rsid w:val="000D1E8B"/>
    <w:rsid w:val="000D1EF4"/>
    <w:rsid w:val="000D1F25"/>
    <w:rsid w:val="000D2064"/>
    <w:rsid w:val="000D20C7"/>
    <w:rsid w:val="000D210A"/>
    <w:rsid w:val="000D2235"/>
    <w:rsid w:val="000D22E8"/>
    <w:rsid w:val="000D2325"/>
    <w:rsid w:val="000D233A"/>
    <w:rsid w:val="000D23B1"/>
    <w:rsid w:val="000D244B"/>
    <w:rsid w:val="000D250A"/>
    <w:rsid w:val="000D2634"/>
    <w:rsid w:val="000D263A"/>
    <w:rsid w:val="000D2708"/>
    <w:rsid w:val="000D2837"/>
    <w:rsid w:val="000D2847"/>
    <w:rsid w:val="000D287D"/>
    <w:rsid w:val="000D28CD"/>
    <w:rsid w:val="000D29D7"/>
    <w:rsid w:val="000D2A0A"/>
    <w:rsid w:val="000D2A26"/>
    <w:rsid w:val="000D2A74"/>
    <w:rsid w:val="000D2A7E"/>
    <w:rsid w:val="000D2AA8"/>
    <w:rsid w:val="000D2AB6"/>
    <w:rsid w:val="000D2BE7"/>
    <w:rsid w:val="000D2C62"/>
    <w:rsid w:val="000D2C79"/>
    <w:rsid w:val="000D2D63"/>
    <w:rsid w:val="000D2D6E"/>
    <w:rsid w:val="000D2E00"/>
    <w:rsid w:val="000D2E26"/>
    <w:rsid w:val="000D2E73"/>
    <w:rsid w:val="000D2EC2"/>
    <w:rsid w:val="000D2F20"/>
    <w:rsid w:val="000D2F28"/>
    <w:rsid w:val="000D3049"/>
    <w:rsid w:val="000D3081"/>
    <w:rsid w:val="000D30C1"/>
    <w:rsid w:val="000D3131"/>
    <w:rsid w:val="000D316A"/>
    <w:rsid w:val="000D318F"/>
    <w:rsid w:val="000D31C6"/>
    <w:rsid w:val="000D321B"/>
    <w:rsid w:val="000D3254"/>
    <w:rsid w:val="000D3489"/>
    <w:rsid w:val="000D348D"/>
    <w:rsid w:val="000D34FB"/>
    <w:rsid w:val="000D3533"/>
    <w:rsid w:val="000D3541"/>
    <w:rsid w:val="000D35B6"/>
    <w:rsid w:val="000D3682"/>
    <w:rsid w:val="000D36D6"/>
    <w:rsid w:val="000D3737"/>
    <w:rsid w:val="000D374D"/>
    <w:rsid w:val="000D37B2"/>
    <w:rsid w:val="000D37BA"/>
    <w:rsid w:val="000D37EE"/>
    <w:rsid w:val="000D387D"/>
    <w:rsid w:val="000D39A3"/>
    <w:rsid w:val="000D3A11"/>
    <w:rsid w:val="000D3A13"/>
    <w:rsid w:val="000D3AD4"/>
    <w:rsid w:val="000D3C74"/>
    <w:rsid w:val="000D3C89"/>
    <w:rsid w:val="000D3CA7"/>
    <w:rsid w:val="000D3CAE"/>
    <w:rsid w:val="000D3D56"/>
    <w:rsid w:val="000D3DC0"/>
    <w:rsid w:val="000D3E4C"/>
    <w:rsid w:val="000D3EBD"/>
    <w:rsid w:val="000D3FD9"/>
    <w:rsid w:val="000D402F"/>
    <w:rsid w:val="000D40D9"/>
    <w:rsid w:val="000D41BA"/>
    <w:rsid w:val="000D4294"/>
    <w:rsid w:val="000D4349"/>
    <w:rsid w:val="000D436C"/>
    <w:rsid w:val="000D4393"/>
    <w:rsid w:val="000D4440"/>
    <w:rsid w:val="000D4523"/>
    <w:rsid w:val="000D4666"/>
    <w:rsid w:val="000D4681"/>
    <w:rsid w:val="000D468D"/>
    <w:rsid w:val="000D473A"/>
    <w:rsid w:val="000D4747"/>
    <w:rsid w:val="000D475D"/>
    <w:rsid w:val="000D47A4"/>
    <w:rsid w:val="000D480A"/>
    <w:rsid w:val="000D481B"/>
    <w:rsid w:val="000D48E1"/>
    <w:rsid w:val="000D495F"/>
    <w:rsid w:val="000D49D9"/>
    <w:rsid w:val="000D4A3B"/>
    <w:rsid w:val="000D4B41"/>
    <w:rsid w:val="000D4B51"/>
    <w:rsid w:val="000D4BC8"/>
    <w:rsid w:val="000D4D06"/>
    <w:rsid w:val="000D4D85"/>
    <w:rsid w:val="000D4DBF"/>
    <w:rsid w:val="000D4E3D"/>
    <w:rsid w:val="000D4E61"/>
    <w:rsid w:val="000D4EAB"/>
    <w:rsid w:val="000D4F76"/>
    <w:rsid w:val="000D502D"/>
    <w:rsid w:val="000D50AC"/>
    <w:rsid w:val="000D50CC"/>
    <w:rsid w:val="000D524F"/>
    <w:rsid w:val="000D5293"/>
    <w:rsid w:val="000D52E1"/>
    <w:rsid w:val="000D5312"/>
    <w:rsid w:val="000D533B"/>
    <w:rsid w:val="000D53FD"/>
    <w:rsid w:val="000D54B5"/>
    <w:rsid w:val="000D5501"/>
    <w:rsid w:val="000D560C"/>
    <w:rsid w:val="000D565E"/>
    <w:rsid w:val="000D56E7"/>
    <w:rsid w:val="000D57D5"/>
    <w:rsid w:val="000D5809"/>
    <w:rsid w:val="000D58FB"/>
    <w:rsid w:val="000D58FD"/>
    <w:rsid w:val="000D59D6"/>
    <w:rsid w:val="000D5AF3"/>
    <w:rsid w:val="000D5B12"/>
    <w:rsid w:val="000D5B48"/>
    <w:rsid w:val="000D5BD0"/>
    <w:rsid w:val="000D5CA0"/>
    <w:rsid w:val="000D5CFA"/>
    <w:rsid w:val="000D5D0C"/>
    <w:rsid w:val="000D5DC6"/>
    <w:rsid w:val="000D5DFC"/>
    <w:rsid w:val="000D5E25"/>
    <w:rsid w:val="000D5E27"/>
    <w:rsid w:val="000D5EC1"/>
    <w:rsid w:val="000D5EE9"/>
    <w:rsid w:val="000D5EEB"/>
    <w:rsid w:val="000D5EF2"/>
    <w:rsid w:val="000D5F2D"/>
    <w:rsid w:val="000D5F6E"/>
    <w:rsid w:val="000D5F8A"/>
    <w:rsid w:val="000D5F8C"/>
    <w:rsid w:val="000D5FC9"/>
    <w:rsid w:val="000D6017"/>
    <w:rsid w:val="000D6052"/>
    <w:rsid w:val="000D60A8"/>
    <w:rsid w:val="000D60F8"/>
    <w:rsid w:val="000D61F0"/>
    <w:rsid w:val="000D628D"/>
    <w:rsid w:val="000D634F"/>
    <w:rsid w:val="000D649A"/>
    <w:rsid w:val="000D657F"/>
    <w:rsid w:val="000D65D6"/>
    <w:rsid w:val="000D6852"/>
    <w:rsid w:val="000D6881"/>
    <w:rsid w:val="000D68E7"/>
    <w:rsid w:val="000D6934"/>
    <w:rsid w:val="000D6A93"/>
    <w:rsid w:val="000D6B4B"/>
    <w:rsid w:val="000D6BD1"/>
    <w:rsid w:val="000D6C20"/>
    <w:rsid w:val="000D6C91"/>
    <w:rsid w:val="000D6CEC"/>
    <w:rsid w:val="000D6D4B"/>
    <w:rsid w:val="000D6ED9"/>
    <w:rsid w:val="000D6F73"/>
    <w:rsid w:val="000D7043"/>
    <w:rsid w:val="000D708C"/>
    <w:rsid w:val="000D70D4"/>
    <w:rsid w:val="000D70F6"/>
    <w:rsid w:val="000D715D"/>
    <w:rsid w:val="000D7178"/>
    <w:rsid w:val="000D7197"/>
    <w:rsid w:val="000D7217"/>
    <w:rsid w:val="000D725B"/>
    <w:rsid w:val="000D7280"/>
    <w:rsid w:val="000D7295"/>
    <w:rsid w:val="000D72F5"/>
    <w:rsid w:val="000D733F"/>
    <w:rsid w:val="000D745F"/>
    <w:rsid w:val="000D7548"/>
    <w:rsid w:val="000D76CE"/>
    <w:rsid w:val="000D76DD"/>
    <w:rsid w:val="000D7785"/>
    <w:rsid w:val="000D77DB"/>
    <w:rsid w:val="000D78A1"/>
    <w:rsid w:val="000D78A7"/>
    <w:rsid w:val="000D78B6"/>
    <w:rsid w:val="000D7A05"/>
    <w:rsid w:val="000D7B2C"/>
    <w:rsid w:val="000D7B68"/>
    <w:rsid w:val="000D7B6D"/>
    <w:rsid w:val="000D7BB3"/>
    <w:rsid w:val="000D7BF6"/>
    <w:rsid w:val="000D7BFF"/>
    <w:rsid w:val="000D7C65"/>
    <w:rsid w:val="000D7D39"/>
    <w:rsid w:val="000D7D68"/>
    <w:rsid w:val="000D7D7A"/>
    <w:rsid w:val="000D7D9D"/>
    <w:rsid w:val="000D7DAB"/>
    <w:rsid w:val="000D7DB8"/>
    <w:rsid w:val="000D7DE8"/>
    <w:rsid w:val="000D7E99"/>
    <w:rsid w:val="000D7F23"/>
    <w:rsid w:val="000D7F79"/>
    <w:rsid w:val="000D7FC7"/>
    <w:rsid w:val="000D7FE7"/>
    <w:rsid w:val="000E013B"/>
    <w:rsid w:val="000E0156"/>
    <w:rsid w:val="000E0238"/>
    <w:rsid w:val="000E0293"/>
    <w:rsid w:val="000E032E"/>
    <w:rsid w:val="000E04B0"/>
    <w:rsid w:val="000E0596"/>
    <w:rsid w:val="000E05C2"/>
    <w:rsid w:val="000E0622"/>
    <w:rsid w:val="000E06A2"/>
    <w:rsid w:val="000E06A5"/>
    <w:rsid w:val="000E06F9"/>
    <w:rsid w:val="000E0867"/>
    <w:rsid w:val="000E0907"/>
    <w:rsid w:val="000E097D"/>
    <w:rsid w:val="000E09C4"/>
    <w:rsid w:val="000E0A54"/>
    <w:rsid w:val="000E0A77"/>
    <w:rsid w:val="000E0B0A"/>
    <w:rsid w:val="000E0B50"/>
    <w:rsid w:val="000E0B54"/>
    <w:rsid w:val="000E0B69"/>
    <w:rsid w:val="000E0B7F"/>
    <w:rsid w:val="000E0BBB"/>
    <w:rsid w:val="000E0BF1"/>
    <w:rsid w:val="000E0BF9"/>
    <w:rsid w:val="000E0D8E"/>
    <w:rsid w:val="000E0DA6"/>
    <w:rsid w:val="000E0E48"/>
    <w:rsid w:val="000E0F51"/>
    <w:rsid w:val="000E0F57"/>
    <w:rsid w:val="000E0FDD"/>
    <w:rsid w:val="000E104C"/>
    <w:rsid w:val="000E113E"/>
    <w:rsid w:val="000E120C"/>
    <w:rsid w:val="000E1377"/>
    <w:rsid w:val="000E13F0"/>
    <w:rsid w:val="000E13FB"/>
    <w:rsid w:val="000E1490"/>
    <w:rsid w:val="000E14BD"/>
    <w:rsid w:val="000E14D1"/>
    <w:rsid w:val="000E14DA"/>
    <w:rsid w:val="000E14DE"/>
    <w:rsid w:val="000E14E6"/>
    <w:rsid w:val="000E1624"/>
    <w:rsid w:val="000E1639"/>
    <w:rsid w:val="000E16D3"/>
    <w:rsid w:val="000E16D6"/>
    <w:rsid w:val="000E17BE"/>
    <w:rsid w:val="000E17CA"/>
    <w:rsid w:val="000E17E1"/>
    <w:rsid w:val="000E1875"/>
    <w:rsid w:val="000E1995"/>
    <w:rsid w:val="000E199E"/>
    <w:rsid w:val="000E1AEE"/>
    <w:rsid w:val="000E1B29"/>
    <w:rsid w:val="000E1BD5"/>
    <w:rsid w:val="000E1CAE"/>
    <w:rsid w:val="000E1D00"/>
    <w:rsid w:val="000E1D24"/>
    <w:rsid w:val="000E1DA3"/>
    <w:rsid w:val="000E1E37"/>
    <w:rsid w:val="000E1E64"/>
    <w:rsid w:val="000E1EE2"/>
    <w:rsid w:val="000E1F0D"/>
    <w:rsid w:val="000E1F13"/>
    <w:rsid w:val="000E1F42"/>
    <w:rsid w:val="000E1FA7"/>
    <w:rsid w:val="000E1FD4"/>
    <w:rsid w:val="000E204F"/>
    <w:rsid w:val="000E20BF"/>
    <w:rsid w:val="000E20C0"/>
    <w:rsid w:val="000E2135"/>
    <w:rsid w:val="000E21A4"/>
    <w:rsid w:val="000E2394"/>
    <w:rsid w:val="000E24AA"/>
    <w:rsid w:val="000E259D"/>
    <w:rsid w:val="000E260B"/>
    <w:rsid w:val="000E2660"/>
    <w:rsid w:val="000E28DD"/>
    <w:rsid w:val="000E2956"/>
    <w:rsid w:val="000E295B"/>
    <w:rsid w:val="000E2A3C"/>
    <w:rsid w:val="000E2ABC"/>
    <w:rsid w:val="000E2B61"/>
    <w:rsid w:val="000E2C21"/>
    <w:rsid w:val="000E2CFA"/>
    <w:rsid w:val="000E2D91"/>
    <w:rsid w:val="000E2DA1"/>
    <w:rsid w:val="000E2DD6"/>
    <w:rsid w:val="000E2F3A"/>
    <w:rsid w:val="000E2F5E"/>
    <w:rsid w:val="000E2F75"/>
    <w:rsid w:val="000E300D"/>
    <w:rsid w:val="000E3018"/>
    <w:rsid w:val="000E30B9"/>
    <w:rsid w:val="000E311F"/>
    <w:rsid w:val="000E31B9"/>
    <w:rsid w:val="000E3293"/>
    <w:rsid w:val="000E3410"/>
    <w:rsid w:val="000E3474"/>
    <w:rsid w:val="000E353C"/>
    <w:rsid w:val="000E3574"/>
    <w:rsid w:val="000E3577"/>
    <w:rsid w:val="000E35D1"/>
    <w:rsid w:val="000E3683"/>
    <w:rsid w:val="000E36B3"/>
    <w:rsid w:val="000E36B8"/>
    <w:rsid w:val="000E36C5"/>
    <w:rsid w:val="000E374B"/>
    <w:rsid w:val="000E3770"/>
    <w:rsid w:val="000E3776"/>
    <w:rsid w:val="000E37CF"/>
    <w:rsid w:val="000E38B3"/>
    <w:rsid w:val="000E3923"/>
    <w:rsid w:val="000E393A"/>
    <w:rsid w:val="000E39C0"/>
    <w:rsid w:val="000E3A69"/>
    <w:rsid w:val="000E3AC9"/>
    <w:rsid w:val="000E3B43"/>
    <w:rsid w:val="000E3BB1"/>
    <w:rsid w:val="000E3BC9"/>
    <w:rsid w:val="000E3BDB"/>
    <w:rsid w:val="000E3C1D"/>
    <w:rsid w:val="000E3C3B"/>
    <w:rsid w:val="000E3CAD"/>
    <w:rsid w:val="000E3CBF"/>
    <w:rsid w:val="000E3D0F"/>
    <w:rsid w:val="000E3E41"/>
    <w:rsid w:val="000E3E76"/>
    <w:rsid w:val="000E3E7C"/>
    <w:rsid w:val="000E3E7E"/>
    <w:rsid w:val="000E3E8D"/>
    <w:rsid w:val="000E3F05"/>
    <w:rsid w:val="000E3F14"/>
    <w:rsid w:val="000E3FA4"/>
    <w:rsid w:val="000E4062"/>
    <w:rsid w:val="000E4074"/>
    <w:rsid w:val="000E413A"/>
    <w:rsid w:val="000E41E7"/>
    <w:rsid w:val="000E424D"/>
    <w:rsid w:val="000E4250"/>
    <w:rsid w:val="000E4304"/>
    <w:rsid w:val="000E43E6"/>
    <w:rsid w:val="000E448B"/>
    <w:rsid w:val="000E44A3"/>
    <w:rsid w:val="000E44B1"/>
    <w:rsid w:val="000E44B7"/>
    <w:rsid w:val="000E44DD"/>
    <w:rsid w:val="000E44F1"/>
    <w:rsid w:val="000E44F6"/>
    <w:rsid w:val="000E452D"/>
    <w:rsid w:val="000E4645"/>
    <w:rsid w:val="000E4652"/>
    <w:rsid w:val="000E46D9"/>
    <w:rsid w:val="000E4744"/>
    <w:rsid w:val="000E474B"/>
    <w:rsid w:val="000E479B"/>
    <w:rsid w:val="000E47AB"/>
    <w:rsid w:val="000E4811"/>
    <w:rsid w:val="000E48A4"/>
    <w:rsid w:val="000E48D1"/>
    <w:rsid w:val="000E4A17"/>
    <w:rsid w:val="000E4A5B"/>
    <w:rsid w:val="000E4BC7"/>
    <w:rsid w:val="000E4C1B"/>
    <w:rsid w:val="000E4C6F"/>
    <w:rsid w:val="000E4D02"/>
    <w:rsid w:val="000E4DB7"/>
    <w:rsid w:val="000E4DBB"/>
    <w:rsid w:val="000E4E28"/>
    <w:rsid w:val="000E4EC3"/>
    <w:rsid w:val="000E4F7F"/>
    <w:rsid w:val="000E4FDE"/>
    <w:rsid w:val="000E503C"/>
    <w:rsid w:val="000E5100"/>
    <w:rsid w:val="000E51DF"/>
    <w:rsid w:val="000E5285"/>
    <w:rsid w:val="000E52AE"/>
    <w:rsid w:val="000E5334"/>
    <w:rsid w:val="000E5337"/>
    <w:rsid w:val="000E54A4"/>
    <w:rsid w:val="000E54D4"/>
    <w:rsid w:val="000E5561"/>
    <w:rsid w:val="000E567D"/>
    <w:rsid w:val="000E56EB"/>
    <w:rsid w:val="000E5884"/>
    <w:rsid w:val="000E58D3"/>
    <w:rsid w:val="000E596B"/>
    <w:rsid w:val="000E599E"/>
    <w:rsid w:val="000E59AB"/>
    <w:rsid w:val="000E5A5F"/>
    <w:rsid w:val="000E5A92"/>
    <w:rsid w:val="000E5AD0"/>
    <w:rsid w:val="000E5AF8"/>
    <w:rsid w:val="000E5B21"/>
    <w:rsid w:val="000E5B53"/>
    <w:rsid w:val="000E5C5C"/>
    <w:rsid w:val="000E5C5F"/>
    <w:rsid w:val="000E5CD5"/>
    <w:rsid w:val="000E5D17"/>
    <w:rsid w:val="000E5E12"/>
    <w:rsid w:val="000E5E29"/>
    <w:rsid w:val="000E5F66"/>
    <w:rsid w:val="000E60EC"/>
    <w:rsid w:val="000E6189"/>
    <w:rsid w:val="000E618F"/>
    <w:rsid w:val="000E61D4"/>
    <w:rsid w:val="000E6214"/>
    <w:rsid w:val="000E62DC"/>
    <w:rsid w:val="000E632A"/>
    <w:rsid w:val="000E6360"/>
    <w:rsid w:val="000E639D"/>
    <w:rsid w:val="000E64ED"/>
    <w:rsid w:val="000E6545"/>
    <w:rsid w:val="000E65C9"/>
    <w:rsid w:val="000E65DF"/>
    <w:rsid w:val="000E6661"/>
    <w:rsid w:val="000E682B"/>
    <w:rsid w:val="000E6840"/>
    <w:rsid w:val="000E6841"/>
    <w:rsid w:val="000E6966"/>
    <w:rsid w:val="000E6A11"/>
    <w:rsid w:val="000E6B02"/>
    <w:rsid w:val="000E6B03"/>
    <w:rsid w:val="000E6B80"/>
    <w:rsid w:val="000E6B99"/>
    <w:rsid w:val="000E6BDB"/>
    <w:rsid w:val="000E6C0C"/>
    <w:rsid w:val="000E6C25"/>
    <w:rsid w:val="000E6CC3"/>
    <w:rsid w:val="000E6CED"/>
    <w:rsid w:val="000E6D33"/>
    <w:rsid w:val="000E6DD3"/>
    <w:rsid w:val="000E6E7A"/>
    <w:rsid w:val="000E6F20"/>
    <w:rsid w:val="000E7015"/>
    <w:rsid w:val="000E7034"/>
    <w:rsid w:val="000E708F"/>
    <w:rsid w:val="000E70EA"/>
    <w:rsid w:val="000E7160"/>
    <w:rsid w:val="000E71AE"/>
    <w:rsid w:val="000E71E2"/>
    <w:rsid w:val="000E71FA"/>
    <w:rsid w:val="000E7274"/>
    <w:rsid w:val="000E7297"/>
    <w:rsid w:val="000E7367"/>
    <w:rsid w:val="000E7379"/>
    <w:rsid w:val="000E743E"/>
    <w:rsid w:val="000E744F"/>
    <w:rsid w:val="000E7479"/>
    <w:rsid w:val="000E7489"/>
    <w:rsid w:val="000E74B8"/>
    <w:rsid w:val="000E74C8"/>
    <w:rsid w:val="000E7506"/>
    <w:rsid w:val="000E75A9"/>
    <w:rsid w:val="000E75B2"/>
    <w:rsid w:val="000E75BD"/>
    <w:rsid w:val="000E760A"/>
    <w:rsid w:val="000E7665"/>
    <w:rsid w:val="000E76DE"/>
    <w:rsid w:val="000E78C4"/>
    <w:rsid w:val="000E78D1"/>
    <w:rsid w:val="000E7981"/>
    <w:rsid w:val="000E7B14"/>
    <w:rsid w:val="000E7B1B"/>
    <w:rsid w:val="000E7B7A"/>
    <w:rsid w:val="000E7C03"/>
    <w:rsid w:val="000E7C3A"/>
    <w:rsid w:val="000E7C66"/>
    <w:rsid w:val="000E7E58"/>
    <w:rsid w:val="000E7F10"/>
    <w:rsid w:val="000E7FA0"/>
    <w:rsid w:val="000E7FA7"/>
    <w:rsid w:val="000E7FF3"/>
    <w:rsid w:val="000E89FE"/>
    <w:rsid w:val="000F0095"/>
    <w:rsid w:val="000F025A"/>
    <w:rsid w:val="000F0334"/>
    <w:rsid w:val="000F034A"/>
    <w:rsid w:val="000F03EB"/>
    <w:rsid w:val="000F03F2"/>
    <w:rsid w:val="000F046D"/>
    <w:rsid w:val="000F0477"/>
    <w:rsid w:val="000F04C4"/>
    <w:rsid w:val="000F053C"/>
    <w:rsid w:val="000F0575"/>
    <w:rsid w:val="000F0587"/>
    <w:rsid w:val="000F05EA"/>
    <w:rsid w:val="000F0617"/>
    <w:rsid w:val="000F0636"/>
    <w:rsid w:val="000F0763"/>
    <w:rsid w:val="000F0767"/>
    <w:rsid w:val="000F07CA"/>
    <w:rsid w:val="000F0859"/>
    <w:rsid w:val="000F0868"/>
    <w:rsid w:val="000F096F"/>
    <w:rsid w:val="000F0983"/>
    <w:rsid w:val="000F0A2B"/>
    <w:rsid w:val="000F0AAA"/>
    <w:rsid w:val="000F0B4B"/>
    <w:rsid w:val="000F0B5C"/>
    <w:rsid w:val="000F0BEE"/>
    <w:rsid w:val="000F0CAD"/>
    <w:rsid w:val="000F0CF6"/>
    <w:rsid w:val="000F0D9A"/>
    <w:rsid w:val="000F0DB1"/>
    <w:rsid w:val="000F0DC1"/>
    <w:rsid w:val="000F0DDA"/>
    <w:rsid w:val="000F0DFC"/>
    <w:rsid w:val="000F0E69"/>
    <w:rsid w:val="000F0F2B"/>
    <w:rsid w:val="000F0F72"/>
    <w:rsid w:val="000F0FED"/>
    <w:rsid w:val="000F1005"/>
    <w:rsid w:val="000F102E"/>
    <w:rsid w:val="000F1119"/>
    <w:rsid w:val="000F113A"/>
    <w:rsid w:val="000F1174"/>
    <w:rsid w:val="000F1177"/>
    <w:rsid w:val="000F1186"/>
    <w:rsid w:val="000F1207"/>
    <w:rsid w:val="000F1332"/>
    <w:rsid w:val="000F15C1"/>
    <w:rsid w:val="000F16A2"/>
    <w:rsid w:val="000F17D0"/>
    <w:rsid w:val="000F1814"/>
    <w:rsid w:val="000F1877"/>
    <w:rsid w:val="000F18F7"/>
    <w:rsid w:val="000F192C"/>
    <w:rsid w:val="000F1947"/>
    <w:rsid w:val="000F19D6"/>
    <w:rsid w:val="000F1A29"/>
    <w:rsid w:val="000F1BFE"/>
    <w:rsid w:val="000F1C1A"/>
    <w:rsid w:val="000F1D1D"/>
    <w:rsid w:val="000F1E16"/>
    <w:rsid w:val="000F1E67"/>
    <w:rsid w:val="000F1F14"/>
    <w:rsid w:val="000F1F3B"/>
    <w:rsid w:val="000F1FAF"/>
    <w:rsid w:val="000F1FF1"/>
    <w:rsid w:val="000F2000"/>
    <w:rsid w:val="000F2010"/>
    <w:rsid w:val="000F2074"/>
    <w:rsid w:val="000F2103"/>
    <w:rsid w:val="000F2212"/>
    <w:rsid w:val="000F2269"/>
    <w:rsid w:val="000F2323"/>
    <w:rsid w:val="000F23B2"/>
    <w:rsid w:val="000F24FB"/>
    <w:rsid w:val="000F261E"/>
    <w:rsid w:val="000F26C9"/>
    <w:rsid w:val="000F26D6"/>
    <w:rsid w:val="000F26F0"/>
    <w:rsid w:val="000F27F3"/>
    <w:rsid w:val="000F28C7"/>
    <w:rsid w:val="000F2987"/>
    <w:rsid w:val="000F2998"/>
    <w:rsid w:val="000F2A20"/>
    <w:rsid w:val="000F2AE3"/>
    <w:rsid w:val="000F2AFB"/>
    <w:rsid w:val="000F2CE2"/>
    <w:rsid w:val="000F2D32"/>
    <w:rsid w:val="000F2D6C"/>
    <w:rsid w:val="000F2D6D"/>
    <w:rsid w:val="000F2DD1"/>
    <w:rsid w:val="000F2DEB"/>
    <w:rsid w:val="000F2EE1"/>
    <w:rsid w:val="000F2F46"/>
    <w:rsid w:val="000F30C3"/>
    <w:rsid w:val="000F30CD"/>
    <w:rsid w:val="000F31CE"/>
    <w:rsid w:val="000F3236"/>
    <w:rsid w:val="000F32DB"/>
    <w:rsid w:val="000F3415"/>
    <w:rsid w:val="000F341C"/>
    <w:rsid w:val="000F3444"/>
    <w:rsid w:val="000F354A"/>
    <w:rsid w:val="000F3552"/>
    <w:rsid w:val="000F3583"/>
    <w:rsid w:val="000F3593"/>
    <w:rsid w:val="000F35DA"/>
    <w:rsid w:val="000F36B0"/>
    <w:rsid w:val="000F36C7"/>
    <w:rsid w:val="000F3725"/>
    <w:rsid w:val="000F3896"/>
    <w:rsid w:val="000F38A8"/>
    <w:rsid w:val="000F3972"/>
    <w:rsid w:val="000F3977"/>
    <w:rsid w:val="000F3A20"/>
    <w:rsid w:val="000F3B0B"/>
    <w:rsid w:val="000F3BA5"/>
    <w:rsid w:val="000F3C5E"/>
    <w:rsid w:val="000F3CD1"/>
    <w:rsid w:val="000F3D0C"/>
    <w:rsid w:val="000F3E63"/>
    <w:rsid w:val="000F3E78"/>
    <w:rsid w:val="000F3EE4"/>
    <w:rsid w:val="000F40A4"/>
    <w:rsid w:val="000F40B6"/>
    <w:rsid w:val="000F4150"/>
    <w:rsid w:val="000F416E"/>
    <w:rsid w:val="000F417B"/>
    <w:rsid w:val="000F41AF"/>
    <w:rsid w:val="000F41D4"/>
    <w:rsid w:val="000F41FF"/>
    <w:rsid w:val="000F4213"/>
    <w:rsid w:val="000F427D"/>
    <w:rsid w:val="000F42D3"/>
    <w:rsid w:val="000F4315"/>
    <w:rsid w:val="000F445C"/>
    <w:rsid w:val="000F454F"/>
    <w:rsid w:val="000F455D"/>
    <w:rsid w:val="000F463F"/>
    <w:rsid w:val="000F464D"/>
    <w:rsid w:val="000F4685"/>
    <w:rsid w:val="000F46B5"/>
    <w:rsid w:val="000F4711"/>
    <w:rsid w:val="000F483A"/>
    <w:rsid w:val="000F488E"/>
    <w:rsid w:val="000F491E"/>
    <w:rsid w:val="000F4974"/>
    <w:rsid w:val="000F49D1"/>
    <w:rsid w:val="000F4A5B"/>
    <w:rsid w:val="000F4A6D"/>
    <w:rsid w:val="000F4AA8"/>
    <w:rsid w:val="000F4B53"/>
    <w:rsid w:val="000F4C58"/>
    <w:rsid w:val="000F4D28"/>
    <w:rsid w:val="000F4D93"/>
    <w:rsid w:val="000F4DC7"/>
    <w:rsid w:val="000F4E2F"/>
    <w:rsid w:val="000F4F23"/>
    <w:rsid w:val="000F4F47"/>
    <w:rsid w:val="000F4F83"/>
    <w:rsid w:val="000F505A"/>
    <w:rsid w:val="000F5139"/>
    <w:rsid w:val="000F51C6"/>
    <w:rsid w:val="000F51C9"/>
    <w:rsid w:val="000F51D8"/>
    <w:rsid w:val="000F5361"/>
    <w:rsid w:val="000F53BC"/>
    <w:rsid w:val="000F53F5"/>
    <w:rsid w:val="000F5474"/>
    <w:rsid w:val="000F54E0"/>
    <w:rsid w:val="000F551F"/>
    <w:rsid w:val="000F55CA"/>
    <w:rsid w:val="000F56D2"/>
    <w:rsid w:val="000F56EE"/>
    <w:rsid w:val="000F5707"/>
    <w:rsid w:val="000F570C"/>
    <w:rsid w:val="000F575F"/>
    <w:rsid w:val="000F5767"/>
    <w:rsid w:val="000F57C8"/>
    <w:rsid w:val="000F581F"/>
    <w:rsid w:val="000F5820"/>
    <w:rsid w:val="000F5839"/>
    <w:rsid w:val="000F584B"/>
    <w:rsid w:val="000F5931"/>
    <w:rsid w:val="000F5981"/>
    <w:rsid w:val="000F5A29"/>
    <w:rsid w:val="000F5A5A"/>
    <w:rsid w:val="000F5AB0"/>
    <w:rsid w:val="000F5B66"/>
    <w:rsid w:val="000F5B8F"/>
    <w:rsid w:val="000F5C41"/>
    <w:rsid w:val="000F5D43"/>
    <w:rsid w:val="000F5D54"/>
    <w:rsid w:val="000F5D7E"/>
    <w:rsid w:val="000F5D7F"/>
    <w:rsid w:val="000F5DA3"/>
    <w:rsid w:val="000F5E21"/>
    <w:rsid w:val="000F5EA1"/>
    <w:rsid w:val="000F5F20"/>
    <w:rsid w:val="000F5F44"/>
    <w:rsid w:val="000F5F4A"/>
    <w:rsid w:val="000F6000"/>
    <w:rsid w:val="000F6011"/>
    <w:rsid w:val="000F6049"/>
    <w:rsid w:val="000F60CF"/>
    <w:rsid w:val="000F60FC"/>
    <w:rsid w:val="000F6109"/>
    <w:rsid w:val="000F61A0"/>
    <w:rsid w:val="000F61D6"/>
    <w:rsid w:val="000F6208"/>
    <w:rsid w:val="000F6223"/>
    <w:rsid w:val="000F637E"/>
    <w:rsid w:val="000F64E6"/>
    <w:rsid w:val="000F64F3"/>
    <w:rsid w:val="000F66D9"/>
    <w:rsid w:val="000F677B"/>
    <w:rsid w:val="000F67BD"/>
    <w:rsid w:val="000F67F5"/>
    <w:rsid w:val="000F6893"/>
    <w:rsid w:val="000F6AB8"/>
    <w:rsid w:val="000F6ADE"/>
    <w:rsid w:val="000F6B48"/>
    <w:rsid w:val="000F6B6B"/>
    <w:rsid w:val="000F6BC9"/>
    <w:rsid w:val="000F6C10"/>
    <w:rsid w:val="000F6C40"/>
    <w:rsid w:val="000F6C64"/>
    <w:rsid w:val="000F6C7E"/>
    <w:rsid w:val="000F6CDA"/>
    <w:rsid w:val="000F6D6B"/>
    <w:rsid w:val="000F6D7E"/>
    <w:rsid w:val="000F6E17"/>
    <w:rsid w:val="000F6EB5"/>
    <w:rsid w:val="000F6F54"/>
    <w:rsid w:val="000F705D"/>
    <w:rsid w:val="000F70B3"/>
    <w:rsid w:val="000F70E1"/>
    <w:rsid w:val="000F7139"/>
    <w:rsid w:val="000F71C5"/>
    <w:rsid w:val="000F7270"/>
    <w:rsid w:val="000F730D"/>
    <w:rsid w:val="000F73BB"/>
    <w:rsid w:val="000F7481"/>
    <w:rsid w:val="000F74C3"/>
    <w:rsid w:val="000F7517"/>
    <w:rsid w:val="000F759F"/>
    <w:rsid w:val="000F7675"/>
    <w:rsid w:val="000F77AD"/>
    <w:rsid w:val="000F7850"/>
    <w:rsid w:val="000F78A3"/>
    <w:rsid w:val="000F792D"/>
    <w:rsid w:val="000F794E"/>
    <w:rsid w:val="000F7962"/>
    <w:rsid w:val="000F79B4"/>
    <w:rsid w:val="000F7A09"/>
    <w:rsid w:val="000F7A81"/>
    <w:rsid w:val="000F7A96"/>
    <w:rsid w:val="000F7B21"/>
    <w:rsid w:val="000F7BA7"/>
    <w:rsid w:val="000F7BBE"/>
    <w:rsid w:val="000F7BCE"/>
    <w:rsid w:val="000F7C7F"/>
    <w:rsid w:val="000F7C94"/>
    <w:rsid w:val="000F7F16"/>
    <w:rsid w:val="000F7F71"/>
    <w:rsid w:val="000F7FC0"/>
    <w:rsid w:val="000FA72A"/>
    <w:rsid w:val="00100097"/>
    <w:rsid w:val="001000A8"/>
    <w:rsid w:val="001000CE"/>
    <w:rsid w:val="001001F1"/>
    <w:rsid w:val="00100293"/>
    <w:rsid w:val="0010035E"/>
    <w:rsid w:val="001003C4"/>
    <w:rsid w:val="001003E4"/>
    <w:rsid w:val="00100417"/>
    <w:rsid w:val="00100443"/>
    <w:rsid w:val="00100483"/>
    <w:rsid w:val="00100507"/>
    <w:rsid w:val="00100538"/>
    <w:rsid w:val="00100579"/>
    <w:rsid w:val="001006C5"/>
    <w:rsid w:val="0010081A"/>
    <w:rsid w:val="00100892"/>
    <w:rsid w:val="00100986"/>
    <w:rsid w:val="001009EB"/>
    <w:rsid w:val="001009FA"/>
    <w:rsid w:val="00100AA7"/>
    <w:rsid w:val="00100AAA"/>
    <w:rsid w:val="00100BAC"/>
    <w:rsid w:val="00100BCD"/>
    <w:rsid w:val="00100BCE"/>
    <w:rsid w:val="00100BF3"/>
    <w:rsid w:val="00100C39"/>
    <w:rsid w:val="00100CF4"/>
    <w:rsid w:val="00100D19"/>
    <w:rsid w:val="00100D92"/>
    <w:rsid w:val="00100E0F"/>
    <w:rsid w:val="00100E4C"/>
    <w:rsid w:val="00100EBD"/>
    <w:rsid w:val="00100F86"/>
    <w:rsid w:val="0010100C"/>
    <w:rsid w:val="0010110E"/>
    <w:rsid w:val="0010120E"/>
    <w:rsid w:val="00101240"/>
    <w:rsid w:val="00101269"/>
    <w:rsid w:val="001012DD"/>
    <w:rsid w:val="0010135D"/>
    <w:rsid w:val="001013B0"/>
    <w:rsid w:val="001015F6"/>
    <w:rsid w:val="00101628"/>
    <w:rsid w:val="001016BE"/>
    <w:rsid w:val="0010172C"/>
    <w:rsid w:val="00101797"/>
    <w:rsid w:val="00101819"/>
    <w:rsid w:val="00101872"/>
    <w:rsid w:val="0010187A"/>
    <w:rsid w:val="00101B91"/>
    <w:rsid w:val="00101BAB"/>
    <w:rsid w:val="00101E6D"/>
    <w:rsid w:val="00101ECA"/>
    <w:rsid w:val="00101FA9"/>
    <w:rsid w:val="00102046"/>
    <w:rsid w:val="00102093"/>
    <w:rsid w:val="001020B0"/>
    <w:rsid w:val="001020B5"/>
    <w:rsid w:val="00102144"/>
    <w:rsid w:val="00102172"/>
    <w:rsid w:val="0010228E"/>
    <w:rsid w:val="00102342"/>
    <w:rsid w:val="0010247C"/>
    <w:rsid w:val="001024F8"/>
    <w:rsid w:val="00102576"/>
    <w:rsid w:val="0010258B"/>
    <w:rsid w:val="0010267B"/>
    <w:rsid w:val="00102704"/>
    <w:rsid w:val="00102709"/>
    <w:rsid w:val="00102788"/>
    <w:rsid w:val="001027C4"/>
    <w:rsid w:val="001027E9"/>
    <w:rsid w:val="001028CE"/>
    <w:rsid w:val="00102918"/>
    <w:rsid w:val="00102955"/>
    <w:rsid w:val="00102BB9"/>
    <w:rsid w:val="00102BFB"/>
    <w:rsid w:val="00102BFF"/>
    <w:rsid w:val="00102C2D"/>
    <w:rsid w:val="00102C53"/>
    <w:rsid w:val="00102C69"/>
    <w:rsid w:val="00102D17"/>
    <w:rsid w:val="00102D25"/>
    <w:rsid w:val="00102DBA"/>
    <w:rsid w:val="00102E58"/>
    <w:rsid w:val="00102EEF"/>
    <w:rsid w:val="00102FE6"/>
    <w:rsid w:val="0010300B"/>
    <w:rsid w:val="00103024"/>
    <w:rsid w:val="0010306D"/>
    <w:rsid w:val="0010324F"/>
    <w:rsid w:val="0010334F"/>
    <w:rsid w:val="0010336F"/>
    <w:rsid w:val="0010339F"/>
    <w:rsid w:val="001033CE"/>
    <w:rsid w:val="001033EE"/>
    <w:rsid w:val="0010343B"/>
    <w:rsid w:val="00103481"/>
    <w:rsid w:val="00103528"/>
    <w:rsid w:val="00103593"/>
    <w:rsid w:val="00103699"/>
    <w:rsid w:val="00103710"/>
    <w:rsid w:val="0010374A"/>
    <w:rsid w:val="001037A9"/>
    <w:rsid w:val="0010385B"/>
    <w:rsid w:val="00103864"/>
    <w:rsid w:val="0010387B"/>
    <w:rsid w:val="0010389C"/>
    <w:rsid w:val="001038B6"/>
    <w:rsid w:val="0010395E"/>
    <w:rsid w:val="00103A87"/>
    <w:rsid w:val="00103AA1"/>
    <w:rsid w:val="00103AF3"/>
    <w:rsid w:val="00103BDA"/>
    <w:rsid w:val="00103CAD"/>
    <w:rsid w:val="00103E14"/>
    <w:rsid w:val="00103E78"/>
    <w:rsid w:val="00103E83"/>
    <w:rsid w:val="00103EED"/>
    <w:rsid w:val="00103EFF"/>
    <w:rsid w:val="00103F2A"/>
    <w:rsid w:val="00104089"/>
    <w:rsid w:val="0010409C"/>
    <w:rsid w:val="00104137"/>
    <w:rsid w:val="001041F0"/>
    <w:rsid w:val="00104251"/>
    <w:rsid w:val="0010426A"/>
    <w:rsid w:val="00104302"/>
    <w:rsid w:val="00104312"/>
    <w:rsid w:val="00104339"/>
    <w:rsid w:val="001043A5"/>
    <w:rsid w:val="001043A6"/>
    <w:rsid w:val="001043F0"/>
    <w:rsid w:val="00104409"/>
    <w:rsid w:val="00104424"/>
    <w:rsid w:val="001044AD"/>
    <w:rsid w:val="0010457E"/>
    <w:rsid w:val="0010459E"/>
    <w:rsid w:val="001045D1"/>
    <w:rsid w:val="00104652"/>
    <w:rsid w:val="00104678"/>
    <w:rsid w:val="001046A5"/>
    <w:rsid w:val="001046BA"/>
    <w:rsid w:val="00104725"/>
    <w:rsid w:val="0010476F"/>
    <w:rsid w:val="001047D3"/>
    <w:rsid w:val="001047EC"/>
    <w:rsid w:val="00104813"/>
    <w:rsid w:val="00104817"/>
    <w:rsid w:val="0010483D"/>
    <w:rsid w:val="0010491F"/>
    <w:rsid w:val="00104B62"/>
    <w:rsid w:val="00104BD0"/>
    <w:rsid w:val="00104BDD"/>
    <w:rsid w:val="00104BF1"/>
    <w:rsid w:val="00104C30"/>
    <w:rsid w:val="00104D20"/>
    <w:rsid w:val="00104DFE"/>
    <w:rsid w:val="00104E01"/>
    <w:rsid w:val="00104E3F"/>
    <w:rsid w:val="00104E5D"/>
    <w:rsid w:val="00104E92"/>
    <w:rsid w:val="00104EDC"/>
    <w:rsid w:val="00104F00"/>
    <w:rsid w:val="00104F84"/>
    <w:rsid w:val="00105251"/>
    <w:rsid w:val="001053C4"/>
    <w:rsid w:val="0010540C"/>
    <w:rsid w:val="0010546E"/>
    <w:rsid w:val="001054DE"/>
    <w:rsid w:val="00105555"/>
    <w:rsid w:val="00105585"/>
    <w:rsid w:val="00105602"/>
    <w:rsid w:val="001056BA"/>
    <w:rsid w:val="0010570C"/>
    <w:rsid w:val="0010573B"/>
    <w:rsid w:val="001057C2"/>
    <w:rsid w:val="00105809"/>
    <w:rsid w:val="00105922"/>
    <w:rsid w:val="00105946"/>
    <w:rsid w:val="00105970"/>
    <w:rsid w:val="00105977"/>
    <w:rsid w:val="001059ED"/>
    <w:rsid w:val="001059F3"/>
    <w:rsid w:val="00105A00"/>
    <w:rsid w:val="00105A66"/>
    <w:rsid w:val="00105B38"/>
    <w:rsid w:val="00105BFE"/>
    <w:rsid w:val="00105C83"/>
    <w:rsid w:val="00105CD1"/>
    <w:rsid w:val="00105D9C"/>
    <w:rsid w:val="00105DCF"/>
    <w:rsid w:val="00105F91"/>
    <w:rsid w:val="001060C6"/>
    <w:rsid w:val="00106135"/>
    <w:rsid w:val="001061F1"/>
    <w:rsid w:val="0010621D"/>
    <w:rsid w:val="001062BF"/>
    <w:rsid w:val="00106364"/>
    <w:rsid w:val="001063B8"/>
    <w:rsid w:val="00106473"/>
    <w:rsid w:val="0010653C"/>
    <w:rsid w:val="00106585"/>
    <w:rsid w:val="0010658A"/>
    <w:rsid w:val="001066BF"/>
    <w:rsid w:val="001067C6"/>
    <w:rsid w:val="0010696F"/>
    <w:rsid w:val="00106A3E"/>
    <w:rsid w:val="00106A55"/>
    <w:rsid w:val="00106A88"/>
    <w:rsid w:val="00106AB5"/>
    <w:rsid w:val="00106B3E"/>
    <w:rsid w:val="00106B49"/>
    <w:rsid w:val="00106C6A"/>
    <w:rsid w:val="00106C70"/>
    <w:rsid w:val="00106CEA"/>
    <w:rsid w:val="00106D4D"/>
    <w:rsid w:val="00106DC9"/>
    <w:rsid w:val="00106F2C"/>
    <w:rsid w:val="00106FB3"/>
    <w:rsid w:val="00107014"/>
    <w:rsid w:val="0010709D"/>
    <w:rsid w:val="001070C7"/>
    <w:rsid w:val="0010717B"/>
    <w:rsid w:val="001071D8"/>
    <w:rsid w:val="00107340"/>
    <w:rsid w:val="00107455"/>
    <w:rsid w:val="00107493"/>
    <w:rsid w:val="001074F3"/>
    <w:rsid w:val="0010759D"/>
    <w:rsid w:val="001075AB"/>
    <w:rsid w:val="00107672"/>
    <w:rsid w:val="00107851"/>
    <w:rsid w:val="00107896"/>
    <w:rsid w:val="001078D6"/>
    <w:rsid w:val="001078F2"/>
    <w:rsid w:val="00107910"/>
    <w:rsid w:val="00107937"/>
    <w:rsid w:val="00107989"/>
    <w:rsid w:val="001079A3"/>
    <w:rsid w:val="00107A84"/>
    <w:rsid w:val="00107B28"/>
    <w:rsid w:val="00107CEF"/>
    <w:rsid w:val="00107D01"/>
    <w:rsid w:val="00107D0C"/>
    <w:rsid w:val="00107D87"/>
    <w:rsid w:val="00107DD5"/>
    <w:rsid w:val="00107E36"/>
    <w:rsid w:val="00107EA5"/>
    <w:rsid w:val="00107EBE"/>
    <w:rsid w:val="00107EEE"/>
    <w:rsid w:val="00108BA7"/>
    <w:rsid w:val="00110004"/>
    <w:rsid w:val="00110020"/>
    <w:rsid w:val="00110050"/>
    <w:rsid w:val="0011007A"/>
    <w:rsid w:val="001100D9"/>
    <w:rsid w:val="001100E4"/>
    <w:rsid w:val="00110111"/>
    <w:rsid w:val="0011014C"/>
    <w:rsid w:val="00110241"/>
    <w:rsid w:val="0011031E"/>
    <w:rsid w:val="00110341"/>
    <w:rsid w:val="00110515"/>
    <w:rsid w:val="00110553"/>
    <w:rsid w:val="001106C9"/>
    <w:rsid w:val="001106D8"/>
    <w:rsid w:val="0011080D"/>
    <w:rsid w:val="0011081F"/>
    <w:rsid w:val="0011090B"/>
    <w:rsid w:val="00110990"/>
    <w:rsid w:val="0011099C"/>
    <w:rsid w:val="00110A2D"/>
    <w:rsid w:val="00110A73"/>
    <w:rsid w:val="00110A75"/>
    <w:rsid w:val="00110ACF"/>
    <w:rsid w:val="00110B94"/>
    <w:rsid w:val="00110BBD"/>
    <w:rsid w:val="00110C48"/>
    <w:rsid w:val="00110C66"/>
    <w:rsid w:val="00110C82"/>
    <w:rsid w:val="00110CB4"/>
    <w:rsid w:val="00110CD8"/>
    <w:rsid w:val="00110D36"/>
    <w:rsid w:val="00110DDB"/>
    <w:rsid w:val="00110E05"/>
    <w:rsid w:val="00110E45"/>
    <w:rsid w:val="00110E86"/>
    <w:rsid w:val="00110F03"/>
    <w:rsid w:val="00110F2F"/>
    <w:rsid w:val="00110F30"/>
    <w:rsid w:val="00110F59"/>
    <w:rsid w:val="00110F6B"/>
    <w:rsid w:val="00110FAF"/>
    <w:rsid w:val="001110A3"/>
    <w:rsid w:val="00111145"/>
    <w:rsid w:val="00111298"/>
    <w:rsid w:val="00111312"/>
    <w:rsid w:val="00111321"/>
    <w:rsid w:val="0011138D"/>
    <w:rsid w:val="00111695"/>
    <w:rsid w:val="0011169A"/>
    <w:rsid w:val="001116EF"/>
    <w:rsid w:val="00111757"/>
    <w:rsid w:val="001117BB"/>
    <w:rsid w:val="00111801"/>
    <w:rsid w:val="00111806"/>
    <w:rsid w:val="0011181F"/>
    <w:rsid w:val="0011187D"/>
    <w:rsid w:val="00111881"/>
    <w:rsid w:val="0011190D"/>
    <w:rsid w:val="00111992"/>
    <w:rsid w:val="00111997"/>
    <w:rsid w:val="001119AF"/>
    <w:rsid w:val="001119B6"/>
    <w:rsid w:val="001119D3"/>
    <w:rsid w:val="001119FD"/>
    <w:rsid w:val="00111A1B"/>
    <w:rsid w:val="00111B5E"/>
    <w:rsid w:val="00111B8A"/>
    <w:rsid w:val="00111B92"/>
    <w:rsid w:val="00111C45"/>
    <w:rsid w:val="00111C54"/>
    <w:rsid w:val="00111CAA"/>
    <w:rsid w:val="00111D13"/>
    <w:rsid w:val="00111D22"/>
    <w:rsid w:val="00111D25"/>
    <w:rsid w:val="00111D92"/>
    <w:rsid w:val="00111EBF"/>
    <w:rsid w:val="00111EF5"/>
    <w:rsid w:val="00111F20"/>
    <w:rsid w:val="00111F29"/>
    <w:rsid w:val="00111F37"/>
    <w:rsid w:val="00111F6F"/>
    <w:rsid w:val="00111F81"/>
    <w:rsid w:val="00111FC5"/>
    <w:rsid w:val="00112005"/>
    <w:rsid w:val="00112062"/>
    <w:rsid w:val="00112127"/>
    <w:rsid w:val="00112144"/>
    <w:rsid w:val="001121A8"/>
    <w:rsid w:val="00112206"/>
    <w:rsid w:val="00112243"/>
    <w:rsid w:val="001122DE"/>
    <w:rsid w:val="001122FF"/>
    <w:rsid w:val="0011230C"/>
    <w:rsid w:val="00112325"/>
    <w:rsid w:val="00112340"/>
    <w:rsid w:val="00112395"/>
    <w:rsid w:val="0011242A"/>
    <w:rsid w:val="0011242E"/>
    <w:rsid w:val="0011246C"/>
    <w:rsid w:val="00112608"/>
    <w:rsid w:val="00112634"/>
    <w:rsid w:val="00112671"/>
    <w:rsid w:val="001126E5"/>
    <w:rsid w:val="00112734"/>
    <w:rsid w:val="0011277C"/>
    <w:rsid w:val="00112797"/>
    <w:rsid w:val="001127BD"/>
    <w:rsid w:val="001127D6"/>
    <w:rsid w:val="00112803"/>
    <w:rsid w:val="00112821"/>
    <w:rsid w:val="001128D3"/>
    <w:rsid w:val="001128F9"/>
    <w:rsid w:val="00112A1F"/>
    <w:rsid w:val="00112A95"/>
    <w:rsid w:val="00112B0F"/>
    <w:rsid w:val="00112B97"/>
    <w:rsid w:val="00112BD9"/>
    <w:rsid w:val="00112C08"/>
    <w:rsid w:val="00112D40"/>
    <w:rsid w:val="00112DD9"/>
    <w:rsid w:val="00112E2E"/>
    <w:rsid w:val="00112E35"/>
    <w:rsid w:val="00112E7F"/>
    <w:rsid w:val="00112E8B"/>
    <w:rsid w:val="00112EE6"/>
    <w:rsid w:val="00112F16"/>
    <w:rsid w:val="00112F39"/>
    <w:rsid w:val="00112F40"/>
    <w:rsid w:val="00112F41"/>
    <w:rsid w:val="00113111"/>
    <w:rsid w:val="001131F5"/>
    <w:rsid w:val="00113218"/>
    <w:rsid w:val="00113228"/>
    <w:rsid w:val="001132D9"/>
    <w:rsid w:val="001133D2"/>
    <w:rsid w:val="00113479"/>
    <w:rsid w:val="0011348A"/>
    <w:rsid w:val="001134D5"/>
    <w:rsid w:val="00113506"/>
    <w:rsid w:val="00113647"/>
    <w:rsid w:val="00113660"/>
    <w:rsid w:val="00113661"/>
    <w:rsid w:val="001136F2"/>
    <w:rsid w:val="00113754"/>
    <w:rsid w:val="0011379D"/>
    <w:rsid w:val="001137BA"/>
    <w:rsid w:val="00113832"/>
    <w:rsid w:val="001138D3"/>
    <w:rsid w:val="00113972"/>
    <w:rsid w:val="001139AA"/>
    <w:rsid w:val="001139CA"/>
    <w:rsid w:val="001139EF"/>
    <w:rsid w:val="001139F8"/>
    <w:rsid w:val="00113A7D"/>
    <w:rsid w:val="00113A98"/>
    <w:rsid w:val="00113AB8"/>
    <w:rsid w:val="00113AD6"/>
    <w:rsid w:val="00113B25"/>
    <w:rsid w:val="00113B36"/>
    <w:rsid w:val="00113B75"/>
    <w:rsid w:val="00113BAB"/>
    <w:rsid w:val="00113C4F"/>
    <w:rsid w:val="00113CB1"/>
    <w:rsid w:val="00113CCF"/>
    <w:rsid w:val="00113CDD"/>
    <w:rsid w:val="00113CF8"/>
    <w:rsid w:val="00113CFF"/>
    <w:rsid w:val="00113D23"/>
    <w:rsid w:val="00113D25"/>
    <w:rsid w:val="00113D53"/>
    <w:rsid w:val="00113D68"/>
    <w:rsid w:val="00113E54"/>
    <w:rsid w:val="00113F3C"/>
    <w:rsid w:val="00113F3E"/>
    <w:rsid w:val="00113F78"/>
    <w:rsid w:val="00113FC7"/>
    <w:rsid w:val="001140CC"/>
    <w:rsid w:val="0011410B"/>
    <w:rsid w:val="001141F0"/>
    <w:rsid w:val="0011435B"/>
    <w:rsid w:val="00114378"/>
    <w:rsid w:val="00114387"/>
    <w:rsid w:val="001143E0"/>
    <w:rsid w:val="001143E2"/>
    <w:rsid w:val="001144C2"/>
    <w:rsid w:val="0011455A"/>
    <w:rsid w:val="00114645"/>
    <w:rsid w:val="0011466E"/>
    <w:rsid w:val="001146F6"/>
    <w:rsid w:val="00114844"/>
    <w:rsid w:val="001148C5"/>
    <w:rsid w:val="001148CC"/>
    <w:rsid w:val="00114942"/>
    <w:rsid w:val="00114A1A"/>
    <w:rsid w:val="00114A56"/>
    <w:rsid w:val="00114ACB"/>
    <w:rsid w:val="00114ADE"/>
    <w:rsid w:val="00114B79"/>
    <w:rsid w:val="00114C28"/>
    <w:rsid w:val="00114D00"/>
    <w:rsid w:val="00114E0D"/>
    <w:rsid w:val="00114E4D"/>
    <w:rsid w:val="00114F80"/>
    <w:rsid w:val="00114F95"/>
    <w:rsid w:val="00114FB9"/>
    <w:rsid w:val="00115066"/>
    <w:rsid w:val="001150A6"/>
    <w:rsid w:val="00115101"/>
    <w:rsid w:val="00115157"/>
    <w:rsid w:val="00115194"/>
    <w:rsid w:val="0011525D"/>
    <w:rsid w:val="00115284"/>
    <w:rsid w:val="0011529A"/>
    <w:rsid w:val="0011530A"/>
    <w:rsid w:val="0011535E"/>
    <w:rsid w:val="001153AC"/>
    <w:rsid w:val="001154CB"/>
    <w:rsid w:val="001154EB"/>
    <w:rsid w:val="0011553F"/>
    <w:rsid w:val="0011564D"/>
    <w:rsid w:val="00115665"/>
    <w:rsid w:val="0011575F"/>
    <w:rsid w:val="00115802"/>
    <w:rsid w:val="00115819"/>
    <w:rsid w:val="001158BD"/>
    <w:rsid w:val="00115967"/>
    <w:rsid w:val="00115B2B"/>
    <w:rsid w:val="00115BB1"/>
    <w:rsid w:val="00115C64"/>
    <w:rsid w:val="00115CA7"/>
    <w:rsid w:val="00115CB6"/>
    <w:rsid w:val="00115CFC"/>
    <w:rsid w:val="00115D46"/>
    <w:rsid w:val="00115D60"/>
    <w:rsid w:val="00115DCD"/>
    <w:rsid w:val="00115DFD"/>
    <w:rsid w:val="00115E0E"/>
    <w:rsid w:val="00115E27"/>
    <w:rsid w:val="00115EAE"/>
    <w:rsid w:val="00115F02"/>
    <w:rsid w:val="00115FBD"/>
    <w:rsid w:val="00115FD4"/>
    <w:rsid w:val="0011607D"/>
    <w:rsid w:val="00116103"/>
    <w:rsid w:val="00116134"/>
    <w:rsid w:val="0011619D"/>
    <w:rsid w:val="001161DB"/>
    <w:rsid w:val="0011638A"/>
    <w:rsid w:val="001163FF"/>
    <w:rsid w:val="0011645D"/>
    <w:rsid w:val="0011647D"/>
    <w:rsid w:val="0011657C"/>
    <w:rsid w:val="0011660F"/>
    <w:rsid w:val="0011667F"/>
    <w:rsid w:val="001166A9"/>
    <w:rsid w:val="001166B9"/>
    <w:rsid w:val="001166D5"/>
    <w:rsid w:val="00116705"/>
    <w:rsid w:val="0011675F"/>
    <w:rsid w:val="00116802"/>
    <w:rsid w:val="00116847"/>
    <w:rsid w:val="001168E7"/>
    <w:rsid w:val="00116A3B"/>
    <w:rsid w:val="00116AFF"/>
    <w:rsid w:val="00116BD9"/>
    <w:rsid w:val="00116C3C"/>
    <w:rsid w:val="00116C5B"/>
    <w:rsid w:val="00116CD8"/>
    <w:rsid w:val="00116D43"/>
    <w:rsid w:val="00116D7F"/>
    <w:rsid w:val="00116FD6"/>
    <w:rsid w:val="00117085"/>
    <w:rsid w:val="00117099"/>
    <w:rsid w:val="00117171"/>
    <w:rsid w:val="001171FD"/>
    <w:rsid w:val="00117231"/>
    <w:rsid w:val="00117238"/>
    <w:rsid w:val="001172CF"/>
    <w:rsid w:val="00117336"/>
    <w:rsid w:val="00117389"/>
    <w:rsid w:val="001173BC"/>
    <w:rsid w:val="001173E6"/>
    <w:rsid w:val="00117434"/>
    <w:rsid w:val="0011752F"/>
    <w:rsid w:val="0011755A"/>
    <w:rsid w:val="001176A8"/>
    <w:rsid w:val="001176C9"/>
    <w:rsid w:val="001176D3"/>
    <w:rsid w:val="001177AF"/>
    <w:rsid w:val="001177BE"/>
    <w:rsid w:val="00117816"/>
    <w:rsid w:val="00117868"/>
    <w:rsid w:val="001178BE"/>
    <w:rsid w:val="00117900"/>
    <w:rsid w:val="001179FD"/>
    <w:rsid w:val="00117A0D"/>
    <w:rsid w:val="00117A4D"/>
    <w:rsid w:val="00117A7C"/>
    <w:rsid w:val="00117AD8"/>
    <w:rsid w:val="00117AF6"/>
    <w:rsid w:val="00117B7B"/>
    <w:rsid w:val="00117C2F"/>
    <w:rsid w:val="00117C4F"/>
    <w:rsid w:val="00117C91"/>
    <w:rsid w:val="00117CA6"/>
    <w:rsid w:val="00117CC4"/>
    <w:rsid w:val="00117D87"/>
    <w:rsid w:val="00117DF0"/>
    <w:rsid w:val="00117EAA"/>
    <w:rsid w:val="00117F16"/>
    <w:rsid w:val="00118724"/>
    <w:rsid w:val="0012007C"/>
    <w:rsid w:val="00120142"/>
    <w:rsid w:val="0012018A"/>
    <w:rsid w:val="001202DF"/>
    <w:rsid w:val="001203A2"/>
    <w:rsid w:val="00120463"/>
    <w:rsid w:val="00120494"/>
    <w:rsid w:val="00120498"/>
    <w:rsid w:val="00120678"/>
    <w:rsid w:val="00120700"/>
    <w:rsid w:val="00120764"/>
    <w:rsid w:val="00120773"/>
    <w:rsid w:val="001207DF"/>
    <w:rsid w:val="0012094F"/>
    <w:rsid w:val="00120956"/>
    <w:rsid w:val="00120974"/>
    <w:rsid w:val="0012097E"/>
    <w:rsid w:val="00120985"/>
    <w:rsid w:val="00120987"/>
    <w:rsid w:val="00120A2E"/>
    <w:rsid w:val="00120A8E"/>
    <w:rsid w:val="00120B7F"/>
    <w:rsid w:val="00120BDA"/>
    <w:rsid w:val="00120BE1"/>
    <w:rsid w:val="00120BE3"/>
    <w:rsid w:val="00120CD2"/>
    <w:rsid w:val="00120D01"/>
    <w:rsid w:val="00120D12"/>
    <w:rsid w:val="00120D46"/>
    <w:rsid w:val="00120EA6"/>
    <w:rsid w:val="00120F92"/>
    <w:rsid w:val="00121044"/>
    <w:rsid w:val="00121092"/>
    <w:rsid w:val="00121125"/>
    <w:rsid w:val="001211FE"/>
    <w:rsid w:val="0012127D"/>
    <w:rsid w:val="00121283"/>
    <w:rsid w:val="00121288"/>
    <w:rsid w:val="00121447"/>
    <w:rsid w:val="00121527"/>
    <w:rsid w:val="001215B1"/>
    <w:rsid w:val="00121604"/>
    <w:rsid w:val="00121607"/>
    <w:rsid w:val="001216C3"/>
    <w:rsid w:val="00121781"/>
    <w:rsid w:val="0012178A"/>
    <w:rsid w:val="0012178B"/>
    <w:rsid w:val="0012179B"/>
    <w:rsid w:val="00121839"/>
    <w:rsid w:val="001219BC"/>
    <w:rsid w:val="00121AC6"/>
    <w:rsid w:val="00121AF5"/>
    <w:rsid w:val="00121B4A"/>
    <w:rsid w:val="00121C19"/>
    <w:rsid w:val="00121C1D"/>
    <w:rsid w:val="00121C80"/>
    <w:rsid w:val="00121CD3"/>
    <w:rsid w:val="00121D0D"/>
    <w:rsid w:val="00121DCE"/>
    <w:rsid w:val="00121F65"/>
    <w:rsid w:val="00121FC6"/>
    <w:rsid w:val="00121FCD"/>
    <w:rsid w:val="001220F8"/>
    <w:rsid w:val="0012212A"/>
    <w:rsid w:val="00122151"/>
    <w:rsid w:val="00122163"/>
    <w:rsid w:val="0012218F"/>
    <w:rsid w:val="001221D0"/>
    <w:rsid w:val="001221EE"/>
    <w:rsid w:val="00122241"/>
    <w:rsid w:val="00122256"/>
    <w:rsid w:val="00122314"/>
    <w:rsid w:val="00122352"/>
    <w:rsid w:val="0012236A"/>
    <w:rsid w:val="0012259C"/>
    <w:rsid w:val="001225C3"/>
    <w:rsid w:val="00122668"/>
    <w:rsid w:val="001226A2"/>
    <w:rsid w:val="0012278C"/>
    <w:rsid w:val="001227B9"/>
    <w:rsid w:val="001228AA"/>
    <w:rsid w:val="001228BF"/>
    <w:rsid w:val="001228C5"/>
    <w:rsid w:val="001229C6"/>
    <w:rsid w:val="00122A17"/>
    <w:rsid w:val="00122A9E"/>
    <w:rsid w:val="00122C4E"/>
    <w:rsid w:val="00122C8B"/>
    <w:rsid w:val="00122CEC"/>
    <w:rsid w:val="00122D04"/>
    <w:rsid w:val="00122DC1"/>
    <w:rsid w:val="00122DEC"/>
    <w:rsid w:val="00122E6A"/>
    <w:rsid w:val="00122EB9"/>
    <w:rsid w:val="00122F4B"/>
    <w:rsid w:val="00122FDF"/>
    <w:rsid w:val="0012300F"/>
    <w:rsid w:val="0012308B"/>
    <w:rsid w:val="0012309B"/>
    <w:rsid w:val="00123123"/>
    <w:rsid w:val="0012316F"/>
    <w:rsid w:val="001232C7"/>
    <w:rsid w:val="001233AE"/>
    <w:rsid w:val="001233F5"/>
    <w:rsid w:val="00123400"/>
    <w:rsid w:val="00123436"/>
    <w:rsid w:val="0012343A"/>
    <w:rsid w:val="00123497"/>
    <w:rsid w:val="0012359B"/>
    <w:rsid w:val="00123725"/>
    <w:rsid w:val="00123847"/>
    <w:rsid w:val="00123892"/>
    <w:rsid w:val="0012391D"/>
    <w:rsid w:val="0012394F"/>
    <w:rsid w:val="00123956"/>
    <w:rsid w:val="00123985"/>
    <w:rsid w:val="00123B5A"/>
    <w:rsid w:val="00123B60"/>
    <w:rsid w:val="00123B98"/>
    <w:rsid w:val="00123BDB"/>
    <w:rsid w:val="00123BFB"/>
    <w:rsid w:val="00123C19"/>
    <w:rsid w:val="00123C9B"/>
    <w:rsid w:val="00123CC3"/>
    <w:rsid w:val="00123CE1"/>
    <w:rsid w:val="00123D1A"/>
    <w:rsid w:val="00123D80"/>
    <w:rsid w:val="00123DB9"/>
    <w:rsid w:val="00123EB5"/>
    <w:rsid w:val="00123EDA"/>
    <w:rsid w:val="00123F37"/>
    <w:rsid w:val="00123F39"/>
    <w:rsid w:val="00123F50"/>
    <w:rsid w:val="00123FD6"/>
    <w:rsid w:val="0012400B"/>
    <w:rsid w:val="0012402A"/>
    <w:rsid w:val="0012413F"/>
    <w:rsid w:val="001241E2"/>
    <w:rsid w:val="00124226"/>
    <w:rsid w:val="0012422D"/>
    <w:rsid w:val="00124260"/>
    <w:rsid w:val="00124348"/>
    <w:rsid w:val="00124365"/>
    <w:rsid w:val="00124437"/>
    <w:rsid w:val="00124494"/>
    <w:rsid w:val="001244E6"/>
    <w:rsid w:val="00124598"/>
    <w:rsid w:val="001245CF"/>
    <w:rsid w:val="00124680"/>
    <w:rsid w:val="001246BB"/>
    <w:rsid w:val="00124755"/>
    <w:rsid w:val="00124788"/>
    <w:rsid w:val="001247F6"/>
    <w:rsid w:val="00124818"/>
    <w:rsid w:val="0012488A"/>
    <w:rsid w:val="00124895"/>
    <w:rsid w:val="001249A5"/>
    <w:rsid w:val="00124B57"/>
    <w:rsid w:val="00124B7E"/>
    <w:rsid w:val="00124BA8"/>
    <w:rsid w:val="00124BB8"/>
    <w:rsid w:val="00124BEC"/>
    <w:rsid w:val="00124C1B"/>
    <w:rsid w:val="00124C37"/>
    <w:rsid w:val="00124C79"/>
    <w:rsid w:val="00124E2E"/>
    <w:rsid w:val="00124E31"/>
    <w:rsid w:val="00124E5D"/>
    <w:rsid w:val="00124EA1"/>
    <w:rsid w:val="00124EB6"/>
    <w:rsid w:val="00125064"/>
    <w:rsid w:val="0012509F"/>
    <w:rsid w:val="001250EC"/>
    <w:rsid w:val="00125168"/>
    <w:rsid w:val="0012518F"/>
    <w:rsid w:val="001251EF"/>
    <w:rsid w:val="001251FB"/>
    <w:rsid w:val="0012520C"/>
    <w:rsid w:val="00125263"/>
    <w:rsid w:val="001252CB"/>
    <w:rsid w:val="00125329"/>
    <w:rsid w:val="0012545E"/>
    <w:rsid w:val="0012545F"/>
    <w:rsid w:val="00125502"/>
    <w:rsid w:val="00125756"/>
    <w:rsid w:val="00125964"/>
    <w:rsid w:val="00125A85"/>
    <w:rsid w:val="00125AA8"/>
    <w:rsid w:val="00125B93"/>
    <w:rsid w:val="00125BA6"/>
    <w:rsid w:val="00125BC8"/>
    <w:rsid w:val="00125CA3"/>
    <w:rsid w:val="00125D44"/>
    <w:rsid w:val="00125D5C"/>
    <w:rsid w:val="00125E56"/>
    <w:rsid w:val="00125E87"/>
    <w:rsid w:val="00125F29"/>
    <w:rsid w:val="0012600F"/>
    <w:rsid w:val="0012604B"/>
    <w:rsid w:val="00126089"/>
    <w:rsid w:val="00126096"/>
    <w:rsid w:val="00126099"/>
    <w:rsid w:val="00126132"/>
    <w:rsid w:val="001261A2"/>
    <w:rsid w:val="001261C9"/>
    <w:rsid w:val="001261ED"/>
    <w:rsid w:val="0012622A"/>
    <w:rsid w:val="001263CC"/>
    <w:rsid w:val="001265F6"/>
    <w:rsid w:val="0012663B"/>
    <w:rsid w:val="001266BA"/>
    <w:rsid w:val="00126711"/>
    <w:rsid w:val="00126779"/>
    <w:rsid w:val="00126797"/>
    <w:rsid w:val="0012682D"/>
    <w:rsid w:val="0012684B"/>
    <w:rsid w:val="001268DE"/>
    <w:rsid w:val="00126935"/>
    <w:rsid w:val="001269D2"/>
    <w:rsid w:val="00126B23"/>
    <w:rsid w:val="00126BD4"/>
    <w:rsid w:val="00126D78"/>
    <w:rsid w:val="00126E34"/>
    <w:rsid w:val="00126E49"/>
    <w:rsid w:val="00126EF2"/>
    <w:rsid w:val="00126EFA"/>
    <w:rsid w:val="00126F88"/>
    <w:rsid w:val="00126FC1"/>
    <w:rsid w:val="001270CE"/>
    <w:rsid w:val="00127158"/>
    <w:rsid w:val="00127195"/>
    <w:rsid w:val="00127346"/>
    <w:rsid w:val="00127387"/>
    <w:rsid w:val="001273FB"/>
    <w:rsid w:val="00127448"/>
    <w:rsid w:val="0012758E"/>
    <w:rsid w:val="001275B4"/>
    <w:rsid w:val="00127690"/>
    <w:rsid w:val="001276BD"/>
    <w:rsid w:val="001277ED"/>
    <w:rsid w:val="0012782A"/>
    <w:rsid w:val="001278B3"/>
    <w:rsid w:val="00127913"/>
    <w:rsid w:val="00127A83"/>
    <w:rsid w:val="00127AA5"/>
    <w:rsid w:val="00127AE1"/>
    <w:rsid w:val="00127B31"/>
    <w:rsid w:val="00127B86"/>
    <w:rsid w:val="00127B93"/>
    <w:rsid w:val="00127C35"/>
    <w:rsid w:val="00127C5C"/>
    <w:rsid w:val="00127D35"/>
    <w:rsid w:val="00127D44"/>
    <w:rsid w:val="00127D5E"/>
    <w:rsid w:val="00127D79"/>
    <w:rsid w:val="00127D7A"/>
    <w:rsid w:val="00127DED"/>
    <w:rsid w:val="00127E90"/>
    <w:rsid w:val="00127F71"/>
    <w:rsid w:val="00127F8C"/>
    <w:rsid w:val="00130028"/>
    <w:rsid w:val="00130082"/>
    <w:rsid w:val="00130152"/>
    <w:rsid w:val="0013016C"/>
    <w:rsid w:val="00130176"/>
    <w:rsid w:val="001301CE"/>
    <w:rsid w:val="001304A1"/>
    <w:rsid w:val="001304AA"/>
    <w:rsid w:val="0013052B"/>
    <w:rsid w:val="00130656"/>
    <w:rsid w:val="001306E5"/>
    <w:rsid w:val="001306E8"/>
    <w:rsid w:val="00130737"/>
    <w:rsid w:val="001307DF"/>
    <w:rsid w:val="0013084D"/>
    <w:rsid w:val="00130899"/>
    <w:rsid w:val="001308AF"/>
    <w:rsid w:val="0013097A"/>
    <w:rsid w:val="0013098B"/>
    <w:rsid w:val="001309B2"/>
    <w:rsid w:val="001309C4"/>
    <w:rsid w:val="00130A23"/>
    <w:rsid w:val="00130A40"/>
    <w:rsid w:val="00130A4C"/>
    <w:rsid w:val="00130A5F"/>
    <w:rsid w:val="00130AA0"/>
    <w:rsid w:val="00130BC0"/>
    <w:rsid w:val="00130BD6"/>
    <w:rsid w:val="00130BED"/>
    <w:rsid w:val="00130CA0"/>
    <w:rsid w:val="00130D0C"/>
    <w:rsid w:val="00130DAE"/>
    <w:rsid w:val="00130E30"/>
    <w:rsid w:val="00130F63"/>
    <w:rsid w:val="00130F9D"/>
    <w:rsid w:val="00130FDB"/>
    <w:rsid w:val="001310F9"/>
    <w:rsid w:val="00131135"/>
    <w:rsid w:val="00131220"/>
    <w:rsid w:val="0013124F"/>
    <w:rsid w:val="001312E7"/>
    <w:rsid w:val="0013130F"/>
    <w:rsid w:val="00131358"/>
    <w:rsid w:val="001314A7"/>
    <w:rsid w:val="00131592"/>
    <w:rsid w:val="00131612"/>
    <w:rsid w:val="0013169E"/>
    <w:rsid w:val="00131705"/>
    <w:rsid w:val="00131778"/>
    <w:rsid w:val="001317E1"/>
    <w:rsid w:val="001317F4"/>
    <w:rsid w:val="001318ED"/>
    <w:rsid w:val="00131912"/>
    <w:rsid w:val="001319FB"/>
    <w:rsid w:val="00131ACD"/>
    <w:rsid w:val="00131BFA"/>
    <w:rsid w:val="00131C1A"/>
    <w:rsid w:val="00131C38"/>
    <w:rsid w:val="00131C47"/>
    <w:rsid w:val="00131C70"/>
    <w:rsid w:val="00131D20"/>
    <w:rsid w:val="00131EC6"/>
    <w:rsid w:val="00131F2A"/>
    <w:rsid w:val="00131FC8"/>
    <w:rsid w:val="00131FD6"/>
    <w:rsid w:val="00131FE1"/>
    <w:rsid w:val="00132078"/>
    <w:rsid w:val="0013219F"/>
    <w:rsid w:val="001321E7"/>
    <w:rsid w:val="00132201"/>
    <w:rsid w:val="00132209"/>
    <w:rsid w:val="001323EB"/>
    <w:rsid w:val="00132445"/>
    <w:rsid w:val="00132484"/>
    <w:rsid w:val="001324AD"/>
    <w:rsid w:val="001324EB"/>
    <w:rsid w:val="001324FF"/>
    <w:rsid w:val="00132500"/>
    <w:rsid w:val="00132510"/>
    <w:rsid w:val="00132523"/>
    <w:rsid w:val="0013254B"/>
    <w:rsid w:val="00132626"/>
    <w:rsid w:val="00132640"/>
    <w:rsid w:val="001326DA"/>
    <w:rsid w:val="0013271B"/>
    <w:rsid w:val="0013275B"/>
    <w:rsid w:val="001327ED"/>
    <w:rsid w:val="00132900"/>
    <w:rsid w:val="00132917"/>
    <w:rsid w:val="00132933"/>
    <w:rsid w:val="00132948"/>
    <w:rsid w:val="001329BE"/>
    <w:rsid w:val="001329FD"/>
    <w:rsid w:val="00132A46"/>
    <w:rsid w:val="00132A8E"/>
    <w:rsid w:val="00132C83"/>
    <w:rsid w:val="00132CA2"/>
    <w:rsid w:val="00132D46"/>
    <w:rsid w:val="00132DA5"/>
    <w:rsid w:val="00132E03"/>
    <w:rsid w:val="00132E65"/>
    <w:rsid w:val="00133096"/>
    <w:rsid w:val="001330C3"/>
    <w:rsid w:val="00133102"/>
    <w:rsid w:val="00133221"/>
    <w:rsid w:val="00133232"/>
    <w:rsid w:val="00133274"/>
    <w:rsid w:val="0013328C"/>
    <w:rsid w:val="00133324"/>
    <w:rsid w:val="001333C0"/>
    <w:rsid w:val="001333C5"/>
    <w:rsid w:val="00133499"/>
    <w:rsid w:val="001334ED"/>
    <w:rsid w:val="001336CE"/>
    <w:rsid w:val="0013371C"/>
    <w:rsid w:val="00133739"/>
    <w:rsid w:val="00133784"/>
    <w:rsid w:val="00133796"/>
    <w:rsid w:val="001337B1"/>
    <w:rsid w:val="00133987"/>
    <w:rsid w:val="001339B0"/>
    <w:rsid w:val="001339E6"/>
    <w:rsid w:val="00133A91"/>
    <w:rsid w:val="00133B21"/>
    <w:rsid w:val="00133B58"/>
    <w:rsid w:val="00133B8D"/>
    <w:rsid w:val="00133B99"/>
    <w:rsid w:val="00133CDF"/>
    <w:rsid w:val="00133D23"/>
    <w:rsid w:val="00133DBF"/>
    <w:rsid w:val="00133E2D"/>
    <w:rsid w:val="00134008"/>
    <w:rsid w:val="00134106"/>
    <w:rsid w:val="00134161"/>
    <w:rsid w:val="001341E9"/>
    <w:rsid w:val="001341F3"/>
    <w:rsid w:val="001342F7"/>
    <w:rsid w:val="00134339"/>
    <w:rsid w:val="0013433D"/>
    <w:rsid w:val="001343AE"/>
    <w:rsid w:val="00134415"/>
    <w:rsid w:val="0013447C"/>
    <w:rsid w:val="00134594"/>
    <w:rsid w:val="0013477B"/>
    <w:rsid w:val="0013483D"/>
    <w:rsid w:val="00134894"/>
    <w:rsid w:val="0013490D"/>
    <w:rsid w:val="00134972"/>
    <w:rsid w:val="00134985"/>
    <w:rsid w:val="00134A4E"/>
    <w:rsid w:val="00134A66"/>
    <w:rsid w:val="00134AA3"/>
    <w:rsid w:val="00134BD7"/>
    <w:rsid w:val="00134BFE"/>
    <w:rsid w:val="00134C9E"/>
    <w:rsid w:val="00134CEF"/>
    <w:rsid w:val="00134D87"/>
    <w:rsid w:val="00134E31"/>
    <w:rsid w:val="00134E59"/>
    <w:rsid w:val="00134F6C"/>
    <w:rsid w:val="00134FEA"/>
    <w:rsid w:val="00135022"/>
    <w:rsid w:val="00135041"/>
    <w:rsid w:val="00135061"/>
    <w:rsid w:val="00135078"/>
    <w:rsid w:val="0013513A"/>
    <w:rsid w:val="0013514A"/>
    <w:rsid w:val="00135182"/>
    <w:rsid w:val="0013523F"/>
    <w:rsid w:val="00135272"/>
    <w:rsid w:val="001353F5"/>
    <w:rsid w:val="0013549C"/>
    <w:rsid w:val="001354C8"/>
    <w:rsid w:val="00135509"/>
    <w:rsid w:val="00135530"/>
    <w:rsid w:val="00135547"/>
    <w:rsid w:val="0013554D"/>
    <w:rsid w:val="00135551"/>
    <w:rsid w:val="0013555E"/>
    <w:rsid w:val="001355EF"/>
    <w:rsid w:val="001355F1"/>
    <w:rsid w:val="0013563F"/>
    <w:rsid w:val="0013564A"/>
    <w:rsid w:val="00135691"/>
    <w:rsid w:val="001356F0"/>
    <w:rsid w:val="001356F1"/>
    <w:rsid w:val="001357FE"/>
    <w:rsid w:val="00135831"/>
    <w:rsid w:val="0013584D"/>
    <w:rsid w:val="0013597F"/>
    <w:rsid w:val="00135AC7"/>
    <w:rsid w:val="00135B76"/>
    <w:rsid w:val="00135BC9"/>
    <w:rsid w:val="00135C4E"/>
    <w:rsid w:val="00135C70"/>
    <w:rsid w:val="00135CAD"/>
    <w:rsid w:val="00135CC3"/>
    <w:rsid w:val="00135D17"/>
    <w:rsid w:val="00135E35"/>
    <w:rsid w:val="00135E50"/>
    <w:rsid w:val="00135E7F"/>
    <w:rsid w:val="00135F42"/>
    <w:rsid w:val="00135FE2"/>
    <w:rsid w:val="001360DA"/>
    <w:rsid w:val="001360EB"/>
    <w:rsid w:val="00136104"/>
    <w:rsid w:val="0013610E"/>
    <w:rsid w:val="0013611E"/>
    <w:rsid w:val="0013615B"/>
    <w:rsid w:val="0013616A"/>
    <w:rsid w:val="001361CC"/>
    <w:rsid w:val="001361DC"/>
    <w:rsid w:val="00136218"/>
    <w:rsid w:val="0013639E"/>
    <w:rsid w:val="001363C1"/>
    <w:rsid w:val="001363FE"/>
    <w:rsid w:val="00136469"/>
    <w:rsid w:val="00136484"/>
    <w:rsid w:val="0013653C"/>
    <w:rsid w:val="001366A8"/>
    <w:rsid w:val="0013671C"/>
    <w:rsid w:val="00136866"/>
    <w:rsid w:val="001368D1"/>
    <w:rsid w:val="0013693E"/>
    <w:rsid w:val="001369A9"/>
    <w:rsid w:val="00136ABF"/>
    <w:rsid w:val="00136AD6"/>
    <w:rsid w:val="00136B42"/>
    <w:rsid w:val="00136B77"/>
    <w:rsid w:val="00136B7F"/>
    <w:rsid w:val="00136BCD"/>
    <w:rsid w:val="00136E22"/>
    <w:rsid w:val="00136E4E"/>
    <w:rsid w:val="00136E81"/>
    <w:rsid w:val="00136F4C"/>
    <w:rsid w:val="00136F93"/>
    <w:rsid w:val="00137050"/>
    <w:rsid w:val="00137126"/>
    <w:rsid w:val="00137152"/>
    <w:rsid w:val="0013715A"/>
    <w:rsid w:val="0013718E"/>
    <w:rsid w:val="0013727D"/>
    <w:rsid w:val="001372CF"/>
    <w:rsid w:val="001372D8"/>
    <w:rsid w:val="001372FE"/>
    <w:rsid w:val="00137358"/>
    <w:rsid w:val="001373E6"/>
    <w:rsid w:val="0013740F"/>
    <w:rsid w:val="00137494"/>
    <w:rsid w:val="00137548"/>
    <w:rsid w:val="001375F8"/>
    <w:rsid w:val="00137618"/>
    <w:rsid w:val="001376C4"/>
    <w:rsid w:val="001376D0"/>
    <w:rsid w:val="00137705"/>
    <w:rsid w:val="0013793A"/>
    <w:rsid w:val="001379AF"/>
    <w:rsid w:val="00137A5F"/>
    <w:rsid w:val="00137B06"/>
    <w:rsid w:val="00137B1D"/>
    <w:rsid w:val="00137B3B"/>
    <w:rsid w:val="00137B47"/>
    <w:rsid w:val="00137BA1"/>
    <w:rsid w:val="00137BF4"/>
    <w:rsid w:val="00137CC6"/>
    <w:rsid w:val="00137F3E"/>
    <w:rsid w:val="00137FAB"/>
    <w:rsid w:val="00140056"/>
    <w:rsid w:val="00140058"/>
    <w:rsid w:val="00140098"/>
    <w:rsid w:val="001401A6"/>
    <w:rsid w:val="00140212"/>
    <w:rsid w:val="0014021A"/>
    <w:rsid w:val="00140244"/>
    <w:rsid w:val="00140265"/>
    <w:rsid w:val="001402BA"/>
    <w:rsid w:val="00140403"/>
    <w:rsid w:val="00140591"/>
    <w:rsid w:val="001405F9"/>
    <w:rsid w:val="001406DC"/>
    <w:rsid w:val="0014073B"/>
    <w:rsid w:val="001407AD"/>
    <w:rsid w:val="001407E7"/>
    <w:rsid w:val="0014081C"/>
    <w:rsid w:val="001408B3"/>
    <w:rsid w:val="001408E2"/>
    <w:rsid w:val="001409A6"/>
    <w:rsid w:val="00140A16"/>
    <w:rsid w:val="00140A26"/>
    <w:rsid w:val="00140A6F"/>
    <w:rsid w:val="00140B2F"/>
    <w:rsid w:val="00140C55"/>
    <w:rsid w:val="00140C97"/>
    <w:rsid w:val="00140E09"/>
    <w:rsid w:val="00140E3E"/>
    <w:rsid w:val="00140E7E"/>
    <w:rsid w:val="00140EA0"/>
    <w:rsid w:val="00140F07"/>
    <w:rsid w:val="00140F3D"/>
    <w:rsid w:val="00140F87"/>
    <w:rsid w:val="00140F9C"/>
    <w:rsid w:val="00140FC3"/>
    <w:rsid w:val="00141029"/>
    <w:rsid w:val="00141032"/>
    <w:rsid w:val="00141083"/>
    <w:rsid w:val="00141110"/>
    <w:rsid w:val="001411BD"/>
    <w:rsid w:val="001411CC"/>
    <w:rsid w:val="001411CE"/>
    <w:rsid w:val="001411D6"/>
    <w:rsid w:val="00141204"/>
    <w:rsid w:val="00141223"/>
    <w:rsid w:val="00141247"/>
    <w:rsid w:val="00141326"/>
    <w:rsid w:val="00141342"/>
    <w:rsid w:val="0014138F"/>
    <w:rsid w:val="00141396"/>
    <w:rsid w:val="001413D9"/>
    <w:rsid w:val="001413FD"/>
    <w:rsid w:val="001414AF"/>
    <w:rsid w:val="001414EF"/>
    <w:rsid w:val="001414F1"/>
    <w:rsid w:val="00141556"/>
    <w:rsid w:val="00141562"/>
    <w:rsid w:val="0014158D"/>
    <w:rsid w:val="001415B1"/>
    <w:rsid w:val="001415F9"/>
    <w:rsid w:val="00141687"/>
    <w:rsid w:val="0014172C"/>
    <w:rsid w:val="0014175D"/>
    <w:rsid w:val="001417E9"/>
    <w:rsid w:val="001417ED"/>
    <w:rsid w:val="00141831"/>
    <w:rsid w:val="0014199F"/>
    <w:rsid w:val="001419D1"/>
    <w:rsid w:val="00141A2A"/>
    <w:rsid w:val="00141B99"/>
    <w:rsid w:val="00141BF8"/>
    <w:rsid w:val="00141C02"/>
    <w:rsid w:val="00141D42"/>
    <w:rsid w:val="00141D6E"/>
    <w:rsid w:val="00141D76"/>
    <w:rsid w:val="00141D79"/>
    <w:rsid w:val="00141E21"/>
    <w:rsid w:val="00141F95"/>
    <w:rsid w:val="00141FF1"/>
    <w:rsid w:val="00142018"/>
    <w:rsid w:val="00142117"/>
    <w:rsid w:val="00142124"/>
    <w:rsid w:val="001421E1"/>
    <w:rsid w:val="001422B0"/>
    <w:rsid w:val="0014230E"/>
    <w:rsid w:val="00142343"/>
    <w:rsid w:val="0014237E"/>
    <w:rsid w:val="00142417"/>
    <w:rsid w:val="001424D1"/>
    <w:rsid w:val="00142509"/>
    <w:rsid w:val="0014252F"/>
    <w:rsid w:val="00142641"/>
    <w:rsid w:val="00142662"/>
    <w:rsid w:val="00142685"/>
    <w:rsid w:val="001426EB"/>
    <w:rsid w:val="001428BF"/>
    <w:rsid w:val="00142A1A"/>
    <w:rsid w:val="00142A7B"/>
    <w:rsid w:val="00142AB8"/>
    <w:rsid w:val="00142AEE"/>
    <w:rsid w:val="00142B0F"/>
    <w:rsid w:val="00142DE3"/>
    <w:rsid w:val="00142DE8"/>
    <w:rsid w:val="00142E14"/>
    <w:rsid w:val="00142EC0"/>
    <w:rsid w:val="00142EC4"/>
    <w:rsid w:val="00142EDF"/>
    <w:rsid w:val="00142EE0"/>
    <w:rsid w:val="00142FC0"/>
    <w:rsid w:val="00143030"/>
    <w:rsid w:val="00143047"/>
    <w:rsid w:val="001430CC"/>
    <w:rsid w:val="001430EC"/>
    <w:rsid w:val="001430F6"/>
    <w:rsid w:val="00143155"/>
    <w:rsid w:val="00143193"/>
    <w:rsid w:val="001431D4"/>
    <w:rsid w:val="001431DC"/>
    <w:rsid w:val="0014322A"/>
    <w:rsid w:val="0014322D"/>
    <w:rsid w:val="00143285"/>
    <w:rsid w:val="0014329A"/>
    <w:rsid w:val="001433B0"/>
    <w:rsid w:val="001433BE"/>
    <w:rsid w:val="001433D5"/>
    <w:rsid w:val="0014341E"/>
    <w:rsid w:val="001434C8"/>
    <w:rsid w:val="00143544"/>
    <w:rsid w:val="00143546"/>
    <w:rsid w:val="0014365C"/>
    <w:rsid w:val="0014372F"/>
    <w:rsid w:val="0014376A"/>
    <w:rsid w:val="001437CF"/>
    <w:rsid w:val="001437E2"/>
    <w:rsid w:val="00143847"/>
    <w:rsid w:val="0014394E"/>
    <w:rsid w:val="001439D6"/>
    <w:rsid w:val="00143A3B"/>
    <w:rsid w:val="00143B3D"/>
    <w:rsid w:val="00143B7C"/>
    <w:rsid w:val="00143BDB"/>
    <w:rsid w:val="00143C80"/>
    <w:rsid w:val="00143CAD"/>
    <w:rsid w:val="00143D74"/>
    <w:rsid w:val="00143DAE"/>
    <w:rsid w:val="00143DDF"/>
    <w:rsid w:val="00143E2B"/>
    <w:rsid w:val="00143EFB"/>
    <w:rsid w:val="00143F95"/>
    <w:rsid w:val="00144077"/>
    <w:rsid w:val="00144096"/>
    <w:rsid w:val="001440AA"/>
    <w:rsid w:val="001440D3"/>
    <w:rsid w:val="0014420B"/>
    <w:rsid w:val="00144217"/>
    <w:rsid w:val="00144225"/>
    <w:rsid w:val="00144465"/>
    <w:rsid w:val="001444F4"/>
    <w:rsid w:val="001444FD"/>
    <w:rsid w:val="00144562"/>
    <w:rsid w:val="001445E8"/>
    <w:rsid w:val="001446C4"/>
    <w:rsid w:val="001446F5"/>
    <w:rsid w:val="00144763"/>
    <w:rsid w:val="00144846"/>
    <w:rsid w:val="0014484D"/>
    <w:rsid w:val="0014488A"/>
    <w:rsid w:val="00144893"/>
    <w:rsid w:val="0014490E"/>
    <w:rsid w:val="00144A46"/>
    <w:rsid w:val="00144A69"/>
    <w:rsid w:val="00144AC8"/>
    <w:rsid w:val="00144BD4"/>
    <w:rsid w:val="00144C5C"/>
    <w:rsid w:val="00144D75"/>
    <w:rsid w:val="00144D8E"/>
    <w:rsid w:val="00144E20"/>
    <w:rsid w:val="00144E24"/>
    <w:rsid w:val="00144E9D"/>
    <w:rsid w:val="00144EAD"/>
    <w:rsid w:val="00144EDD"/>
    <w:rsid w:val="00144EE2"/>
    <w:rsid w:val="00144F5C"/>
    <w:rsid w:val="00144F92"/>
    <w:rsid w:val="00144FCD"/>
    <w:rsid w:val="001450F1"/>
    <w:rsid w:val="0014513F"/>
    <w:rsid w:val="0014516E"/>
    <w:rsid w:val="00145243"/>
    <w:rsid w:val="00145298"/>
    <w:rsid w:val="001453AF"/>
    <w:rsid w:val="001453B2"/>
    <w:rsid w:val="0014546E"/>
    <w:rsid w:val="001454B6"/>
    <w:rsid w:val="00145556"/>
    <w:rsid w:val="001455E3"/>
    <w:rsid w:val="0014573F"/>
    <w:rsid w:val="0014578E"/>
    <w:rsid w:val="001457C8"/>
    <w:rsid w:val="001458C2"/>
    <w:rsid w:val="00145938"/>
    <w:rsid w:val="00145956"/>
    <w:rsid w:val="00145960"/>
    <w:rsid w:val="00145993"/>
    <w:rsid w:val="001459E6"/>
    <w:rsid w:val="00145A77"/>
    <w:rsid w:val="00145AE6"/>
    <w:rsid w:val="00145B53"/>
    <w:rsid w:val="00145B76"/>
    <w:rsid w:val="00145BFC"/>
    <w:rsid w:val="00145C8C"/>
    <w:rsid w:val="00145CBE"/>
    <w:rsid w:val="00145CC4"/>
    <w:rsid w:val="00145D83"/>
    <w:rsid w:val="00145E3C"/>
    <w:rsid w:val="00145E7D"/>
    <w:rsid w:val="00145EBA"/>
    <w:rsid w:val="00145EBD"/>
    <w:rsid w:val="00145F18"/>
    <w:rsid w:val="001460D9"/>
    <w:rsid w:val="001461B1"/>
    <w:rsid w:val="001461DC"/>
    <w:rsid w:val="001462BA"/>
    <w:rsid w:val="001462FA"/>
    <w:rsid w:val="00146368"/>
    <w:rsid w:val="00146393"/>
    <w:rsid w:val="001463CA"/>
    <w:rsid w:val="00146468"/>
    <w:rsid w:val="001464F6"/>
    <w:rsid w:val="00146715"/>
    <w:rsid w:val="001467B0"/>
    <w:rsid w:val="001467B4"/>
    <w:rsid w:val="0014680D"/>
    <w:rsid w:val="00146871"/>
    <w:rsid w:val="00146906"/>
    <w:rsid w:val="00146A0D"/>
    <w:rsid w:val="00146A2B"/>
    <w:rsid w:val="00146AD3"/>
    <w:rsid w:val="00146AD6"/>
    <w:rsid w:val="00146BB6"/>
    <w:rsid w:val="00146BCA"/>
    <w:rsid w:val="00146C12"/>
    <w:rsid w:val="00146C65"/>
    <w:rsid w:val="00146C87"/>
    <w:rsid w:val="00146CE0"/>
    <w:rsid w:val="00146CFE"/>
    <w:rsid w:val="00146D26"/>
    <w:rsid w:val="00146E49"/>
    <w:rsid w:val="00146F24"/>
    <w:rsid w:val="00146F38"/>
    <w:rsid w:val="00146F5A"/>
    <w:rsid w:val="0014703C"/>
    <w:rsid w:val="0014704E"/>
    <w:rsid w:val="00147069"/>
    <w:rsid w:val="00147112"/>
    <w:rsid w:val="0014715B"/>
    <w:rsid w:val="001471BA"/>
    <w:rsid w:val="00147242"/>
    <w:rsid w:val="001472ED"/>
    <w:rsid w:val="0014731E"/>
    <w:rsid w:val="00147368"/>
    <w:rsid w:val="00147370"/>
    <w:rsid w:val="001474FC"/>
    <w:rsid w:val="0014750A"/>
    <w:rsid w:val="00147535"/>
    <w:rsid w:val="001475B8"/>
    <w:rsid w:val="0014768C"/>
    <w:rsid w:val="00147734"/>
    <w:rsid w:val="0014774C"/>
    <w:rsid w:val="00147845"/>
    <w:rsid w:val="0014784F"/>
    <w:rsid w:val="0014789C"/>
    <w:rsid w:val="00147925"/>
    <w:rsid w:val="00147942"/>
    <w:rsid w:val="00147944"/>
    <w:rsid w:val="001479C4"/>
    <w:rsid w:val="001479DD"/>
    <w:rsid w:val="001479E9"/>
    <w:rsid w:val="001479F3"/>
    <w:rsid w:val="00147A2D"/>
    <w:rsid w:val="00147AA7"/>
    <w:rsid w:val="00147AC1"/>
    <w:rsid w:val="00147C72"/>
    <w:rsid w:val="00147C9E"/>
    <w:rsid w:val="00147D7C"/>
    <w:rsid w:val="00147D8F"/>
    <w:rsid w:val="00147DE1"/>
    <w:rsid w:val="00147DFD"/>
    <w:rsid w:val="00147EFA"/>
    <w:rsid w:val="00147EFB"/>
    <w:rsid w:val="00147F1B"/>
    <w:rsid w:val="00147F56"/>
    <w:rsid w:val="00147FA2"/>
    <w:rsid w:val="00147FAC"/>
    <w:rsid w:val="00147FD7"/>
    <w:rsid w:val="00149A34"/>
    <w:rsid w:val="0015010E"/>
    <w:rsid w:val="00150220"/>
    <w:rsid w:val="0015023E"/>
    <w:rsid w:val="00150243"/>
    <w:rsid w:val="001502C9"/>
    <w:rsid w:val="00150446"/>
    <w:rsid w:val="00150625"/>
    <w:rsid w:val="0015069B"/>
    <w:rsid w:val="001506C5"/>
    <w:rsid w:val="001506D6"/>
    <w:rsid w:val="00150739"/>
    <w:rsid w:val="00150775"/>
    <w:rsid w:val="001507F9"/>
    <w:rsid w:val="00150877"/>
    <w:rsid w:val="001508F7"/>
    <w:rsid w:val="001509C1"/>
    <w:rsid w:val="001509C9"/>
    <w:rsid w:val="00150AC8"/>
    <w:rsid w:val="00150B6F"/>
    <w:rsid w:val="00150BB1"/>
    <w:rsid w:val="00150D98"/>
    <w:rsid w:val="00150D99"/>
    <w:rsid w:val="00150DA1"/>
    <w:rsid w:val="00150DFD"/>
    <w:rsid w:val="00150F0B"/>
    <w:rsid w:val="00150F39"/>
    <w:rsid w:val="00150FBA"/>
    <w:rsid w:val="0015103F"/>
    <w:rsid w:val="00151104"/>
    <w:rsid w:val="00151242"/>
    <w:rsid w:val="00151262"/>
    <w:rsid w:val="00151288"/>
    <w:rsid w:val="001512D4"/>
    <w:rsid w:val="001512E7"/>
    <w:rsid w:val="001512F4"/>
    <w:rsid w:val="001513BF"/>
    <w:rsid w:val="001513E9"/>
    <w:rsid w:val="001513EB"/>
    <w:rsid w:val="00151428"/>
    <w:rsid w:val="00151439"/>
    <w:rsid w:val="0015143E"/>
    <w:rsid w:val="001514A0"/>
    <w:rsid w:val="001514CB"/>
    <w:rsid w:val="00151516"/>
    <w:rsid w:val="0015154E"/>
    <w:rsid w:val="001515BF"/>
    <w:rsid w:val="00151666"/>
    <w:rsid w:val="001516F5"/>
    <w:rsid w:val="0015173E"/>
    <w:rsid w:val="0015179B"/>
    <w:rsid w:val="001517C7"/>
    <w:rsid w:val="00151871"/>
    <w:rsid w:val="0015190A"/>
    <w:rsid w:val="0015195E"/>
    <w:rsid w:val="001519CA"/>
    <w:rsid w:val="00151A17"/>
    <w:rsid w:val="00151AA6"/>
    <w:rsid w:val="00151ADC"/>
    <w:rsid w:val="00151AFB"/>
    <w:rsid w:val="00151B08"/>
    <w:rsid w:val="00151B2F"/>
    <w:rsid w:val="00151B65"/>
    <w:rsid w:val="00151C1E"/>
    <w:rsid w:val="00151C7B"/>
    <w:rsid w:val="00151CA4"/>
    <w:rsid w:val="00151D73"/>
    <w:rsid w:val="00151E90"/>
    <w:rsid w:val="00151EA4"/>
    <w:rsid w:val="00151F17"/>
    <w:rsid w:val="00152059"/>
    <w:rsid w:val="00152063"/>
    <w:rsid w:val="001520A8"/>
    <w:rsid w:val="0015210A"/>
    <w:rsid w:val="00152189"/>
    <w:rsid w:val="00152210"/>
    <w:rsid w:val="00152224"/>
    <w:rsid w:val="001522A0"/>
    <w:rsid w:val="001522C2"/>
    <w:rsid w:val="0015235F"/>
    <w:rsid w:val="00152455"/>
    <w:rsid w:val="001524B6"/>
    <w:rsid w:val="00152525"/>
    <w:rsid w:val="00152596"/>
    <w:rsid w:val="001525AD"/>
    <w:rsid w:val="0015267C"/>
    <w:rsid w:val="001526BB"/>
    <w:rsid w:val="00152725"/>
    <w:rsid w:val="00152812"/>
    <w:rsid w:val="0015282E"/>
    <w:rsid w:val="0015287D"/>
    <w:rsid w:val="0015294B"/>
    <w:rsid w:val="0015295D"/>
    <w:rsid w:val="00152A85"/>
    <w:rsid w:val="00152AA8"/>
    <w:rsid w:val="00152AAF"/>
    <w:rsid w:val="00152B3A"/>
    <w:rsid w:val="00152B44"/>
    <w:rsid w:val="00152B46"/>
    <w:rsid w:val="00152C3E"/>
    <w:rsid w:val="00152C8A"/>
    <w:rsid w:val="00152F73"/>
    <w:rsid w:val="00153018"/>
    <w:rsid w:val="001530B0"/>
    <w:rsid w:val="0015311A"/>
    <w:rsid w:val="00153155"/>
    <w:rsid w:val="00153262"/>
    <w:rsid w:val="0015328B"/>
    <w:rsid w:val="001532B8"/>
    <w:rsid w:val="0015330E"/>
    <w:rsid w:val="00153311"/>
    <w:rsid w:val="0015344B"/>
    <w:rsid w:val="001534C3"/>
    <w:rsid w:val="001535A0"/>
    <w:rsid w:val="00153663"/>
    <w:rsid w:val="0015372E"/>
    <w:rsid w:val="001537CE"/>
    <w:rsid w:val="0015385C"/>
    <w:rsid w:val="001538C7"/>
    <w:rsid w:val="001538D5"/>
    <w:rsid w:val="001538DD"/>
    <w:rsid w:val="00153926"/>
    <w:rsid w:val="00153AB0"/>
    <w:rsid w:val="00153B4C"/>
    <w:rsid w:val="00153B5C"/>
    <w:rsid w:val="00153BE2"/>
    <w:rsid w:val="00153C2B"/>
    <w:rsid w:val="00153C47"/>
    <w:rsid w:val="00153C4E"/>
    <w:rsid w:val="00153C6A"/>
    <w:rsid w:val="00153C77"/>
    <w:rsid w:val="00153CD3"/>
    <w:rsid w:val="00153D96"/>
    <w:rsid w:val="00153EE2"/>
    <w:rsid w:val="00153F26"/>
    <w:rsid w:val="00154002"/>
    <w:rsid w:val="0015424C"/>
    <w:rsid w:val="001542B2"/>
    <w:rsid w:val="001542FF"/>
    <w:rsid w:val="00154411"/>
    <w:rsid w:val="001544BD"/>
    <w:rsid w:val="00154533"/>
    <w:rsid w:val="0015459A"/>
    <w:rsid w:val="00154630"/>
    <w:rsid w:val="0015464B"/>
    <w:rsid w:val="00154656"/>
    <w:rsid w:val="00154729"/>
    <w:rsid w:val="001547B7"/>
    <w:rsid w:val="001548AA"/>
    <w:rsid w:val="00154909"/>
    <w:rsid w:val="0015499E"/>
    <w:rsid w:val="00154A7C"/>
    <w:rsid w:val="00154AC9"/>
    <w:rsid w:val="00154AE7"/>
    <w:rsid w:val="00154B02"/>
    <w:rsid w:val="00154B10"/>
    <w:rsid w:val="00154B35"/>
    <w:rsid w:val="00154B5A"/>
    <w:rsid w:val="00154B66"/>
    <w:rsid w:val="00154B92"/>
    <w:rsid w:val="00154D5C"/>
    <w:rsid w:val="00154DA8"/>
    <w:rsid w:val="00154DC3"/>
    <w:rsid w:val="00155008"/>
    <w:rsid w:val="00155010"/>
    <w:rsid w:val="00155021"/>
    <w:rsid w:val="00155039"/>
    <w:rsid w:val="0015508E"/>
    <w:rsid w:val="00155180"/>
    <w:rsid w:val="001551C6"/>
    <w:rsid w:val="001551E5"/>
    <w:rsid w:val="001551FC"/>
    <w:rsid w:val="001552D3"/>
    <w:rsid w:val="00155360"/>
    <w:rsid w:val="001553D7"/>
    <w:rsid w:val="0015541B"/>
    <w:rsid w:val="0015549A"/>
    <w:rsid w:val="00155565"/>
    <w:rsid w:val="00155601"/>
    <w:rsid w:val="00155662"/>
    <w:rsid w:val="00155680"/>
    <w:rsid w:val="00155765"/>
    <w:rsid w:val="0015576F"/>
    <w:rsid w:val="001557D4"/>
    <w:rsid w:val="001557F2"/>
    <w:rsid w:val="00155820"/>
    <w:rsid w:val="0015585E"/>
    <w:rsid w:val="0015588D"/>
    <w:rsid w:val="00155935"/>
    <w:rsid w:val="0015596F"/>
    <w:rsid w:val="00155A79"/>
    <w:rsid w:val="00155B48"/>
    <w:rsid w:val="00155BAB"/>
    <w:rsid w:val="00155DA7"/>
    <w:rsid w:val="00155E09"/>
    <w:rsid w:val="00155E19"/>
    <w:rsid w:val="00155F53"/>
    <w:rsid w:val="00156052"/>
    <w:rsid w:val="001561C9"/>
    <w:rsid w:val="00156208"/>
    <w:rsid w:val="0015626C"/>
    <w:rsid w:val="00156274"/>
    <w:rsid w:val="0015627B"/>
    <w:rsid w:val="00156395"/>
    <w:rsid w:val="00156433"/>
    <w:rsid w:val="00156641"/>
    <w:rsid w:val="00156736"/>
    <w:rsid w:val="00156788"/>
    <w:rsid w:val="00156798"/>
    <w:rsid w:val="001567FB"/>
    <w:rsid w:val="00156870"/>
    <w:rsid w:val="001568BC"/>
    <w:rsid w:val="001568F1"/>
    <w:rsid w:val="00156968"/>
    <w:rsid w:val="001569BF"/>
    <w:rsid w:val="001569C9"/>
    <w:rsid w:val="001569EE"/>
    <w:rsid w:val="00156A84"/>
    <w:rsid w:val="00156BE4"/>
    <w:rsid w:val="00156BEC"/>
    <w:rsid w:val="00156D4F"/>
    <w:rsid w:val="00156D80"/>
    <w:rsid w:val="00156E5F"/>
    <w:rsid w:val="00156ED7"/>
    <w:rsid w:val="00156F53"/>
    <w:rsid w:val="00157019"/>
    <w:rsid w:val="001570FC"/>
    <w:rsid w:val="0015713F"/>
    <w:rsid w:val="0015718D"/>
    <w:rsid w:val="001571A8"/>
    <w:rsid w:val="001571E1"/>
    <w:rsid w:val="00157230"/>
    <w:rsid w:val="0015728C"/>
    <w:rsid w:val="001572A3"/>
    <w:rsid w:val="001572B4"/>
    <w:rsid w:val="001572D3"/>
    <w:rsid w:val="00157302"/>
    <w:rsid w:val="00157322"/>
    <w:rsid w:val="001573BD"/>
    <w:rsid w:val="001573DA"/>
    <w:rsid w:val="0015740E"/>
    <w:rsid w:val="0015744A"/>
    <w:rsid w:val="001574DA"/>
    <w:rsid w:val="00157606"/>
    <w:rsid w:val="00157665"/>
    <w:rsid w:val="001576AC"/>
    <w:rsid w:val="001576FA"/>
    <w:rsid w:val="00157714"/>
    <w:rsid w:val="001577AF"/>
    <w:rsid w:val="0015781E"/>
    <w:rsid w:val="0015783A"/>
    <w:rsid w:val="00157856"/>
    <w:rsid w:val="00157915"/>
    <w:rsid w:val="00157940"/>
    <w:rsid w:val="00157965"/>
    <w:rsid w:val="001579A0"/>
    <w:rsid w:val="001579B5"/>
    <w:rsid w:val="00157A4A"/>
    <w:rsid w:val="00157B2E"/>
    <w:rsid w:val="00157B3E"/>
    <w:rsid w:val="00157BB9"/>
    <w:rsid w:val="00157BC6"/>
    <w:rsid w:val="00157BE3"/>
    <w:rsid w:val="00157C50"/>
    <w:rsid w:val="00157D01"/>
    <w:rsid w:val="00157D4C"/>
    <w:rsid w:val="00157D82"/>
    <w:rsid w:val="00157E19"/>
    <w:rsid w:val="00157E91"/>
    <w:rsid w:val="00157FC5"/>
    <w:rsid w:val="00157FDC"/>
    <w:rsid w:val="00160018"/>
    <w:rsid w:val="001601C2"/>
    <w:rsid w:val="0016025B"/>
    <w:rsid w:val="001602B0"/>
    <w:rsid w:val="001602BE"/>
    <w:rsid w:val="0016040C"/>
    <w:rsid w:val="0016040F"/>
    <w:rsid w:val="0016042C"/>
    <w:rsid w:val="00160432"/>
    <w:rsid w:val="0016056A"/>
    <w:rsid w:val="00160588"/>
    <w:rsid w:val="001605F2"/>
    <w:rsid w:val="0016062C"/>
    <w:rsid w:val="0016065E"/>
    <w:rsid w:val="00160700"/>
    <w:rsid w:val="0016072B"/>
    <w:rsid w:val="0016074A"/>
    <w:rsid w:val="00160760"/>
    <w:rsid w:val="00160781"/>
    <w:rsid w:val="001607C9"/>
    <w:rsid w:val="00160825"/>
    <w:rsid w:val="001608B2"/>
    <w:rsid w:val="00160920"/>
    <w:rsid w:val="00160944"/>
    <w:rsid w:val="00160AC3"/>
    <w:rsid w:val="00160AE3"/>
    <w:rsid w:val="00160B8E"/>
    <w:rsid w:val="00160C67"/>
    <w:rsid w:val="00160CF4"/>
    <w:rsid w:val="00160D79"/>
    <w:rsid w:val="00160EAC"/>
    <w:rsid w:val="00160EF4"/>
    <w:rsid w:val="00160FC0"/>
    <w:rsid w:val="00160FFB"/>
    <w:rsid w:val="0016107B"/>
    <w:rsid w:val="00161085"/>
    <w:rsid w:val="001610C0"/>
    <w:rsid w:val="00161270"/>
    <w:rsid w:val="001612A3"/>
    <w:rsid w:val="0016146D"/>
    <w:rsid w:val="00161477"/>
    <w:rsid w:val="001614CA"/>
    <w:rsid w:val="001614EE"/>
    <w:rsid w:val="001615A0"/>
    <w:rsid w:val="001615F8"/>
    <w:rsid w:val="00161669"/>
    <w:rsid w:val="001616D6"/>
    <w:rsid w:val="0016172A"/>
    <w:rsid w:val="00161746"/>
    <w:rsid w:val="001617A1"/>
    <w:rsid w:val="001617CF"/>
    <w:rsid w:val="00161873"/>
    <w:rsid w:val="00161925"/>
    <w:rsid w:val="0016193F"/>
    <w:rsid w:val="0016196D"/>
    <w:rsid w:val="00161A1B"/>
    <w:rsid w:val="00161C16"/>
    <w:rsid w:val="00161C48"/>
    <w:rsid w:val="00161CC7"/>
    <w:rsid w:val="00161CD6"/>
    <w:rsid w:val="00161D2C"/>
    <w:rsid w:val="00161D4B"/>
    <w:rsid w:val="00161EF0"/>
    <w:rsid w:val="00161F2F"/>
    <w:rsid w:val="00161F4F"/>
    <w:rsid w:val="00162069"/>
    <w:rsid w:val="00162094"/>
    <w:rsid w:val="0016224D"/>
    <w:rsid w:val="00162251"/>
    <w:rsid w:val="0016229E"/>
    <w:rsid w:val="00162302"/>
    <w:rsid w:val="0016239C"/>
    <w:rsid w:val="0016249F"/>
    <w:rsid w:val="001624FB"/>
    <w:rsid w:val="00162588"/>
    <w:rsid w:val="0016262B"/>
    <w:rsid w:val="001626E4"/>
    <w:rsid w:val="00162704"/>
    <w:rsid w:val="00162786"/>
    <w:rsid w:val="001627B2"/>
    <w:rsid w:val="0016281F"/>
    <w:rsid w:val="001628CB"/>
    <w:rsid w:val="001628EB"/>
    <w:rsid w:val="0016290D"/>
    <w:rsid w:val="00162913"/>
    <w:rsid w:val="0016294C"/>
    <w:rsid w:val="001629C4"/>
    <w:rsid w:val="001629CC"/>
    <w:rsid w:val="00162A0A"/>
    <w:rsid w:val="00162A3E"/>
    <w:rsid w:val="00162A41"/>
    <w:rsid w:val="00162A66"/>
    <w:rsid w:val="00162A80"/>
    <w:rsid w:val="00162A9C"/>
    <w:rsid w:val="00162B4C"/>
    <w:rsid w:val="00162B9A"/>
    <w:rsid w:val="00162BF3"/>
    <w:rsid w:val="00162D1D"/>
    <w:rsid w:val="00162DA9"/>
    <w:rsid w:val="00162DBE"/>
    <w:rsid w:val="00162EAC"/>
    <w:rsid w:val="00162F79"/>
    <w:rsid w:val="0016315D"/>
    <w:rsid w:val="00163164"/>
    <w:rsid w:val="00163168"/>
    <w:rsid w:val="00163194"/>
    <w:rsid w:val="0016319F"/>
    <w:rsid w:val="00163222"/>
    <w:rsid w:val="001632A5"/>
    <w:rsid w:val="00163307"/>
    <w:rsid w:val="001633D1"/>
    <w:rsid w:val="0016341D"/>
    <w:rsid w:val="0016343C"/>
    <w:rsid w:val="001634F5"/>
    <w:rsid w:val="001635AC"/>
    <w:rsid w:val="001635F2"/>
    <w:rsid w:val="00163780"/>
    <w:rsid w:val="001637C3"/>
    <w:rsid w:val="001637F2"/>
    <w:rsid w:val="001638A0"/>
    <w:rsid w:val="00163988"/>
    <w:rsid w:val="001639AB"/>
    <w:rsid w:val="00163A62"/>
    <w:rsid w:val="00163B5D"/>
    <w:rsid w:val="00163B98"/>
    <w:rsid w:val="00163C28"/>
    <w:rsid w:val="00163C5D"/>
    <w:rsid w:val="00163CC3"/>
    <w:rsid w:val="00163D72"/>
    <w:rsid w:val="00163E5B"/>
    <w:rsid w:val="00163E9C"/>
    <w:rsid w:val="00163EC6"/>
    <w:rsid w:val="00163F30"/>
    <w:rsid w:val="00163F7B"/>
    <w:rsid w:val="00164028"/>
    <w:rsid w:val="00164112"/>
    <w:rsid w:val="0016429B"/>
    <w:rsid w:val="001642D1"/>
    <w:rsid w:val="00164301"/>
    <w:rsid w:val="00164324"/>
    <w:rsid w:val="00164341"/>
    <w:rsid w:val="0016444B"/>
    <w:rsid w:val="0016449E"/>
    <w:rsid w:val="001644F4"/>
    <w:rsid w:val="00164609"/>
    <w:rsid w:val="001646AB"/>
    <w:rsid w:val="001646B0"/>
    <w:rsid w:val="0016473B"/>
    <w:rsid w:val="0016475E"/>
    <w:rsid w:val="00164977"/>
    <w:rsid w:val="00164AEF"/>
    <w:rsid w:val="00164B47"/>
    <w:rsid w:val="00164B6A"/>
    <w:rsid w:val="00164B7B"/>
    <w:rsid w:val="00164C1C"/>
    <w:rsid w:val="00164EC1"/>
    <w:rsid w:val="00164F7E"/>
    <w:rsid w:val="0016509D"/>
    <w:rsid w:val="001650B6"/>
    <w:rsid w:val="00165299"/>
    <w:rsid w:val="0016530D"/>
    <w:rsid w:val="001653F4"/>
    <w:rsid w:val="0016553F"/>
    <w:rsid w:val="00165557"/>
    <w:rsid w:val="00165566"/>
    <w:rsid w:val="00165593"/>
    <w:rsid w:val="001656C6"/>
    <w:rsid w:val="00165778"/>
    <w:rsid w:val="001657DA"/>
    <w:rsid w:val="00165870"/>
    <w:rsid w:val="0016587C"/>
    <w:rsid w:val="00165898"/>
    <w:rsid w:val="0016594B"/>
    <w:rsid w:val="00165AC7"/>
    <w:rsid w:val="00165AEA"/>
    <w:rsid w:val="00165B67"/>
    <w:rsid w:val="00165B9A"/>
    <w:rsid w:val="00165BA8"/>
    <w:rsid w:val="00165C64"/>
    <w:rsid w:val="00165CFC"/>
    <w:rsid w:val="00165E62"/>
    <w:rsid w:val="00165FCD"/>
    <w:rsid w:val="00165FE1"/>
    <w:rsid w:val="0016608E"/>
    <w:rsid w:val="001660A5"/>
    <w:rsid w:val="001660F6"/>
    <w:rsid w:val="001661B3"/>
    <w:rsid w:val="0016622C"/>
    <w:rsid w:val="00166246"/>
    <w:rsid w:val="0016628B"/>
    <w:rsid w:val="00166290"/>
    <w:rsid w:val="0016629C"/>
    <w:rsid w:val="001662C4"/>
    <w:rsid w:val="0016638C"/>
    <w:rsid w:val="001663AE"/>
    <w:rsid w:val="0016642A"/>
    <w:rsid w:val="00166484"/>
    <w:rsid w:val="00166503"/>
    <w:rsid w:val="0016653F"/>
    <w:rsid w:val="00166580"/>
    <w:rsid w:val="001665D3"/>
    <w:rsid w:val="001665D6"/>
    <w:rsid w:val="00166673"/>
    <w:rsid w:val="001666C8"/>
    <w:rsid w:val="00166870"/>
    <w:rsid w:val="0016687F"/>
    <w:rsid w:val="001668BD"/>
    <w:rsid w:val="00166935"/>
    <w:rsid w:val="0016694A"/>
    <w:rsid w:val="00166A07"/>
    <w:rsid w:val="00166A73"/>
    <w:rsid w:val="00166A7C"/>
    <w:rsid w:val="00166AAD"/>
    <w:rsid w:val="00166ABA"/>
    <w:rsid w:val="00166B6D"/>
    <w:rsid w:val="00166B76"/>
    <w:rsid w:val="00166BB1"/>
    <w:rsid w:val="00166BB9"/>
    <w:rsid w:val="00166C3D"/>
    <w:rsid w:val="00166C6C"/>
    <w:rsid w:val="00166CC3"/>
    <w:rsid w:val="00166D27"/>
    <w:rsid w:val="00166D4B"/>
    <w:rsid w:val="00166D65"/>
    <w:rsid w:val="00166D7E"/>
    <w:rsid w:val="00166DA0"/>
    <w:rsid w:val="00166EA7"/>
    <w:rsid w:val="00166EA9"/>
    <w:rsid w:val="00166F28"/>
    <w:rsid w:val="00166F34"/>
    <w:rsid w:val="00166F89"/>
    <w:rsid w:val="00166FC3"/>
    <w:rsid w:val="001670B8"/>
    <w:rsid w:val="0016710C"/>
    <w:rsid w:val="0016713F"/>
    <w:rsid w:val="001671FD"/>
    <w:rsid w:val="00167236"/>
    <w:rsid w:val="00167298"/>
    <w:rsid w:val="00167375"/>
    <w:rsid w:val="0016755F"/>
    <w:rsid w:val="0016758C"/>
    <w:rsid w:val="0016763E"/>
    <w:rsid w:val="00167651"/>
    <w:rsid w:val="001676D0"/>
    <w:rsid w:val="00167814"/>
    <w:rsid w:val="00167836"/>
    <w:rsid w:val="001678B8"/>
    <w:rsid w:val="00167912"/>
    <w:rsid w:val="00167A5C"/>
    <w:rsid w:val="00167A8A"/>
    <w:rsid w:val="00167BC9"/>
    <w:rsid w:val="00167C2D"/>
    <w:rsid w:val="00167D1D"/>
    <w:rsid w:val="00167D62"/>
    <w:rsid w:val="00167E1C"/>
    <w:rsid w:val="00167E8C"/>
    <w:rsid w:val="00167E9C"/>
    <w:rsid w:val="00167F28"/>
    <w:rsid w:val="00167F93"/>
    <w:rsid w:val="00167F97"/>
    <w:rsid w:val="00167FC8"/>
    <w:rsid w:val="00170003"/>
    <w:rsid w:val="0017001A"/>
    <w:rsid w:val="00170084"/>
    <w:rsid w:val="001700DA"/>
    <w:rsid w:val="00170105"/>
    <w:rsid w:val="00170129"/>
    <w:rsid w:val="0017012C"/>
    <w:rsid w:val="0017019B"/>
    <w:rsid w:val="001701EF"/>
    <w:rsid w:val="0017022E"/>
    <w:rsid w:val="0017027C"/>
    <w:rsid w:val="001702D4"/>
    <w:rsid w:val="001702ED"/>
    <w:rsid w:val="001703B3"/>
    <w:rsid w:val="001703BB"/>
    <w:rsid w:val="001703D5"/>
    <w:rsid w:val="001704EB"/>
    <w:rsid w:val="001705BC"/>
    <w:rsid w:val="001705C8"/>
    <w:rsid w:val="001705E3"/>
    <w:rsid w:val="0017064F"/>
    <w:rsid w:val="00170672"/>
    <w:rsid w:val="00170673"/>
    <w:rsid w:val="001706CA"/>
    <w:rsid w:val="001706EF"/>
    <w:rsid w:val="0017075E"/>
    <w:rsid w:val="0017083A"/>
    <w:rsid w:val="001708B7"/>
    <w:rsid w:val="0017098E"/>
    <w:rsid w:val="0017099D"/>
    <w:rsid w:val="001709AA"/>
    <w:rsid w:val="001709CA"/>
    <w:rsid w:val="001709CF"/>
    <w:rsid w:val="00170A2F"/>
    <w:rsid w:val="00170A93"/>
    <w:rsid w:val="00170B71"/>
    <w:rsid w:val="00170BB7"/>
    <w:rsid w:val="00170BBD"/>
    <w:rsid w:val="00170C0F"/>
    <w:rsid w:val="00170C1C"/>
    <w:rsid w:val="00170D19"/>
    <w:rsid w:val="00170D3C"/>
    <w:rsid w:val="00170D82"/>
    <w:rsid w:val="00170D9D"/>
    <w:rsid w:val="00170DD0"/>
    <w:rsid w:val="00170F61"/>
    <w:rsid w:val="00170FFA"/>
    <w:rsid w:val="00171017"/>
    <w:rsid w:val="0017101E"/>
    <w:rsid w:val="001710D2"/>
    <w:rsid w:val="001710E7"/>
    <w:rsid w:val="0017113A"/>
    <w:rsid w:val="001711B4"/>
    <w:rsid w:val="001711F1"/>
    <w:rsid w:val="001712B7"/>
    <w:rsid w:val="001712C6"/>
    <w:rsid w:val="001712CE"/>
    <w:rsid w:val="001712EC"/>
    <w:rsid w:val="0017134D"/>
    <w:rsid w:val="00171425"/>
    <w:rsid w:val="00171438"/>
    <w:rsid w:val="00171487"/>
    <w:rsid w:val="001714A8"/>
    <w:rsid w:val="00171587"/>
    <w:rsid w:val="0017158C"/>
    <w:rsid w:val="001715BD"/>
    <w:rsid w:val="0017161A"/>
    <w:rsid w:val="00171662"/>
    <w:rsid w:val="00171730"/>
    <w:rsid w:val="00171769"/>
    <w:rsid w:val="001717BC"/>
    <w:rsid w:val="001717DA"/>
    <w:rsid w:val="00171841"/>
    <w:rsid w:val="00171A83"/>
    <w:rsid w:val="00171AD9"/>
    <w:rsid w:val="00171B31"/>
    <w:rsid w:val="00171B7B"/>
    <w:rsid w:val="00171B85"/>
    <w:rsid w:val="00171BD5"/>
    <w:rsid w:val="00171C55"/>
    <w:rsid w:val="00171D74"/>
    <w:rsid w:val="00171D8D"/>
    <w:rsid w:val="00171F07"/>
    <w:rsid w:val="00171F90"/>
    <w:rsid w:val="00171FD1"/>
    <w:rsid w:val="0017203D"/>
    <w:rsid w:val="001720B7"/>
    <w:rsid w:val="001720CE"/>
    <w:rsid w:val="00172141"/>
    <w:rsid w:val="001721A2"/>
    <w:rsid w:val="001721D6"/>
    <w:rsid w:val="001722EF"/>
    <w:rsid w:val="0017232C"/>
    <w:rsid w:val="001723F7"/>
    <w:rsid w:val="00172429"/>
    <w:rsid w:val="00172449"/>
    <w:rsid w:val="00172501"/>
    <w:rsid w:val="00172522"/>
    <w:rsid w:val="001725A5"/>
    <w:rsid w:val="00172642"/>
    <w:rsid w:val="00172707"/>
    <w:rsid w:val="001727F5"/>
    <w:rsid w:val="00172813"/>
    <w:rsid w:val="00172828"/>
    <w:rsid w:val="001728B0"/>
    <w:rsid w:val="001728C9"/>
    <w:rsid w:val="001728D8"/>
    <w:rsid w:val="001728D9"/>
    <w:rsid w:val="00172960"/>
    <w:rsid w:val="001729B6"/>
    <w:rsid w:val="001729EF"/>
    <w:rsid w:val="001729F6"/>
    <w:rsid w:val="00172A51"/>
    <w:rsid w:val="00172BD5"/>
    <w:rsid w:val="00172C0A"/>
    <w:rsid w:val="00172C23"/>
    <w:rsid w:val="00172C96"/>
    <w:rsid w:val="00172D47"/>
    <w:rsid w:val="00172DD0"/>
    <w:rsid w:val="00172E49"/>
    <w:rsid w:val="00172F23"/>
    <w:rsid w:val="00172FBF"/>
    <w:rsid w:val="0017304A"/>
    <w:rsid w:val="00173059"/>
    <w:rsid w:val="00173167"/>
    <w:rsid w:val="001731A1"/>
    <w:rsid w:val="001731E8"/>
    <w:rsid w:val="00173415"/>
    <w:rsid w:val="0017341C"/>
    <w:rsid w:val="001734EF"/>
    <w:rsid w:val="00173554"/>
    <w:rsid w:val="001735C7"/>
    <w:rsid w:val="001735F0"/>
    <w:rsid w:val="0017364F"/>
    <w:rsid w:val="00173710"/>
    <w:rsid w:val="0017377A"/>
    <w:rsid w:val="001738B9"/>
    <w:rsid w:val="001738FD"/>
    <w:rsid w:val="00173939"/>
    <w:rsid w:val="0017394D"/>
    <w:rsid w:val="00173977"/>
    <w:rsid w:val="001739D7"/>
    <w:rsid w:val="00173A99"/>
    <w:rsid w:val="00173AB6"/>
    <w:rsid w:val="00173B48"/>
    <w:rsid w:val="00173C60"/>
    <w:rsid w:val="00173C8D"/>
    <w:rsid w:val="00173CBD"/>
    <w:rsid w:val="00173D39"/>
    <w:rsid w:val="00173D8D"/>
    <w:rsid w:val="00173DBE"/>
    <w:rsid w:val="00173E05"/>
    <w:rsid w:val="00173E3D"/>
    <w:rsid w:val="00173E45"/>
    <w:rsid w:val="00173EC3"/>
    <w:rsid w:val="00173ED3"/>
    <w:rsid w:val="00173F29"/>
    <w:rsid w:val="00173F4A"/>
    <w:rsid w:val="00173F4D"/>
    <w:rsid w:val="00173FBC"/>
    <w:rsid w:val="00173FC8"/>
    <w:rsid w:val="0017400C"/>
    <w:rsid w:val="0017409D"/>
    <w:rsid w:val="00174100"/>
    <w:rsid w:val="001741A6"/>
    <w:rsid w:val="001741E5"/>
    <w:rsid w:val="00174290"/>
    <w:rsid w:val="00174313"/>
    <w:rsid w:val="0017431E"/>
    <w:rsid w:val="00174362"/>
    <w:rsid w:val="00174366"/>
    <w:rsid w:val="0017437E"/>
    <w:rsid w:val="001743B7"/>
    <w:rsid w:val="0017443E"/>
    <w:rsid w:val="0017450E"/>
    <w:rsid w:val="001745F6"/>
    <w:rsid w:val="00174601"/>
    <w:rsid w:val="001746D2"/>
    <w:rsid w:val="0017474C"/>
    <w:rsid w:val="001748C2"/>
    <w:rsid w:val="00174AA3"/>
    <w:rsid w:val="00174AD3"/>
    <w:rsid w:val="00174AEC"/>
    <w:rsid w:val="00174B34"/>
    <w:rsid w:val="00174BAE"/>
    <w:rsid w:val="00174C0E"/>
    <w:rsid w:val="00174D1E"/>
    <w:rsid w:val="00174D5C"/>
    <w:rsid w:val="00174DCD"/>
    <w:rsid w:val="00174E10"/>
    <w:rsid w:val="00174EC1"/>
    <w:rsid w:val="00174F71"/>
    <w:rsid w:val="001750CF"/>
    <w:rsid w:val="00175112"/>
    <w:rsid w:val="00175114"/>
    <w:rsid w:val="00175176"/>
    <w:rsid w:val="001751CD"/>
    <w:rsid w:val="001751E3"/>
    <w:rsid w:val="00175216"/>
    <w:rsid w:val="0017521A"/>
    <w:rsid w:val="00175226"/>
    <w:rsid w:val="00175249"/>
    <w:rsid w:val="00175342"/>
    <w:rsid w:val="00175359"/>
    <w:rsid w:val="001753CE"/>
    <w:rsid w:val="0017540B"/>
    <w:rsid w:val="0017546F"/>
    <w:rsid w:val="0017548B"/>
    <w:rsid w:val="001754B2"/>
    <w:rsid w:val="001754F2"/>
    <w:rsid w:val="00175559"/>
    <w:rsid w:val="00175652"/>
    <w:rsid w:val="0017567F"/>
    <w:rsid w:val="001756F0"/>
    <w:rsid w:val="0017587C"/>
    <w:rsid w:val="00175AAF"/>
    <w:rsid w:val="00175B2C"/>
    <w:rsid w:val="00175B2F"/>
    <w:rsid w:val="00175B3A"/>
    <w:rsid w:val="00175BA8"/>
    <w:rsid w:val="00175C5C"/>
    <w:rsid w:val="00175C5F"/>
    <w:rsid w:val="00175CED"/>
    <w:rsid w:val="00175CEE"/>
    <w:rsid w:val="00175D34"/>
    <w:rsid w:val="00175D60"/>
    <w:rsid w:val="00175D93"/>
    <w:rsid w:val="00175DD7"/>
    <w:rsid w:val="00175E08"/>
    <w:rsid w:val="00175E9C"/>
    <w:rsid w:val="00175F23"/>
    <w:rsid w:val="00175F58"/>
    <w:rsid w:val="00176058"/>
    <w:rsid w:val="00176204"/>
    <w:rsid w:val="0017623B"/>
    <w:rsid w:val="001762FC"/>
    <w:rsid w:val="00176373"/>
    <w:rsid w:val="001763A9"/>
    <w:rsid w:val="0017641A"/>
    <w:rsid w:val="0017642B"/>
    <w:rsid w:val="00176464"/>
    <w:rsid w:val="001764A0"/>
    <w:rsid w:val="00176523"/>
    <w:rsid w:val="0017661D"/>
    <w:rsid w:val="001766EC"/>
    <w:rsid w:val="0017678C"/>
    <w:rsid w:val="00176877"/>
    <w:rsid w:val="001768A2"/>
    <w:rsid w:val="001769A7"/>
    <w:rsid w:val="00176A97"/>
    <w:rsid w:val="00176B41"/>
    <w:rsid w:val="00176B7F"/>
    <w:rsid w:val="00176BD9"/>
    <w:rsid w:val="00176C0F"/>
    <w:rsid w:val="00176C25"/>
    <w:rsid w:val="00176CB5"/>
    <w:rsid w:val="00176D0D"/>
    <w:rsid w:val="00176DDC"/>
    <w:rsid w:val="00176E1C"/>
    <w:rsid w:val="00176E2C"/>
    <w:rsid w:val="00176ECC"/>
    <w:rsid w:val="00176F40"/>
    <w:rsid w:val="00176F86"/>
    <w:rsid w:val="00176F92"/>
    <w:rsid w:val="00176FED"/>
    <w:rsid w:val="0017706A"/>
    <w:rsid w:val="001770EC"/>
    <w:rsid w:val="00177193"/>
    <w:rsid w:val="00177194"/>
    <w:rsid w:val="00177219"/>
    <w:rsid w:val="00177252"/>
    <w:rsid w:val="0017726C"/>
    <w:rsid w:val="00177456"/>
    <w:rsid w:val="0017746F"/>
    <w:rsid w:val="0017751E"/>
    <w:rsid w:val="001775AE"/>
    <w:rsid w:val="001777E9"/>
    <w:rsid w:val="00177852"/>
    <w:rsid w:val="0017788A"/>
    <w:rsid w:val="0017793F"/>
    <w:rsid w:val="001779AE"/>
    <w:rsid w:val="001779C2"/>
    <w:rsid w:val="00177A2F"/>
    <w:rsid w:val="00177B00"/>
    <w:rsid w:val="00177B23"/>
    <w:rsid w:val="00177B68"/>
    <w:rsid w:val="00177BC4"/>
    <w:rsid w:val="00177C37"/>
    <w:rsid w:val="00177C8F"/>
    <w:rsid w:val="00177CBC"/>
    <w:rsid w:val="00177D96"/>
    <w:rsid w:val="00177DC1"/>
    <w:rsid w:val="00177DDB"/>
    <w:rsid w:val="00177E64"/>
    <w:rsid w:val="00177E91"/>
    <w:rsid w:val="00177F71"/>
    <w:rsid w:val="00177F7B"/>
    <w:rsid w:val="00177FD8"/>
    <w:rsid w:val="0018002E"/>
    <w:rsid w:val="00180084"/>
    <w:rsid w:val="001800D9"/>
    <w:rsid w:val="00180129"/>
    <w:rsid w:val="00180131"/>
    <w:rsid w:val="00180155"/>
    <w:rsid w:val="001802B7"/>
    <w:rsid w:val="00180315"/>
    <w:rsid w:val="00180369"/>
    <w:rsid w:val="0018036B"/>
    <w:rsid w:val="001803A5"/>
    <w:rsid w:val="0018055D"/>
    <w:rsid w:val="0018057F"/>
    <w:rsid w:val="00180581"/>
    <w:rsid w:val="00180692"/>
    <w:rsid w:val="001806BB"/>
    <w:rsid w:val="001806CF"/>
    <w:rsid w:val="001806F2"/>
    <w:rsid w:val="00180794"/>
    <w:rsid w:val="0018081B"/>
    <w:rsid w:val="00180944"/>
    <w:rsid w:val="001809C2"/>
    <w:rsid w:val="001809FC"/>
    <w:rsid w:val="00180AFD"/>
    <w:rsid w:val="00180B1E"/>
    <w:rsid w:val="00180B5B"/>
    <w:rsid w:val="00180C9C"/>
    <w:rsid w:val="00180CB8"/>
    <w:rsid w:val="00180CEF"/>
    <w:rsid w:val="00180D07"/>
    <w:rsid w:val="00180D53"/>
    <w:rsid w:val="00180D9A"/>
    <w:rsid w:val="00180DDB"/>
    <w:rsid w:val="00180DDC"/>
    <w:rsid w:val="00180E47"/>
    <w:rsid w:val="00180EC4"/>
    <w:rsid w:val="00180EDF"/>
    <w:rsid w:val="00180F16"/>
    <w:rsid w:val="00180F2C"/>
    <w:rsid w:val="00180FA4"/>
    <w:rsid w:val="00181001"/>
    <w:rsid w:val="0018101A"/>
    <w:rsid w:val="0018104F"/>
    <w:rsid w:val="00181073"/>
    <w:rsid w:val="001810F2"/>
    <w:rsid w:val="00181110"/>
    <w:rsid w:val="0018112D"/>
    <w:rsid w:val="00181166"/>
    <w:rsid w:val="00181225"/>
    <w:rsid w:val="001812B3"/>
    <w:rsid w:val="0018132F"/>
    <w:rsid w:val="0018136F"/>
    <w:rsid w:val="001813B9"/>
    <w:rsid w:val="001813E6"/>
    <w:rsid w:val="001814E5"/>
    <w:rsid w:val="00181587"/>
    <w:rsid w:val="001815FE"/>
    <w:rsid w:val="00181691"/>
    <w:rsid w:val="001816B5"/>
    <w:rsid w:val="0018170D"/>
    <w:rsid w:val="0018177F"/>
    <w:rsid w:val="0018178A"/>
    <w:rsid w:val="001817AC"/>
    <w:rsid w:val="001819BD"/>
    <w:rsid w:val="001819E5"/>
    <w:rsid w:val="00181A22"/>
    <w:rsid w:val="00181B6D"/>
    <w:rsid w:val="00181DF4"/>
    <w:rsid w:val="00181F14"/>
    <w:rsid w:val="00181F47"/>
    <w:rsid w:val="0018200F"/>
    <w:rsid w:val="0018208D"/>
    <w:rsid w:val="00182147"/>
    <w:rsid w:val="00182254"/>
    <w:rsid w:val="001822B6"/>
    <w:rsid w:val="00182313"/>
    <w:rsid w:val="0018233D"/>
    <w:rsid w:val="001823F1"/>
    <w:rsid w:val="00182442"/>
    <w:rsid w:val="0018248E"/>
    <w:rsid w:val="001824AB"/>
    <w:rsid w:val="001824BE"/>
    <w:rsid w:val="001825A4"/>
    <w:rsid w:val="001825A8"/>
    <w:rsid w:val="001825FB"/>
    <w:rsid w:val="0018262D"/>
    <w:rsid w:val="00182643"/>
    <w:rsid w:val="0018266F"/>
    <w:rsid w:val="00182687"/>
    <w:rsid w:val="00182690"/>
    <w:rsid w:val="001826D9"/>
    <w:rsid w:val="001826F9"/>
    <w:rsid w:val="00182710"/>
    <w:rsid w:val="00182817"/>
    <w:rsid w:val="0018291B"/>
    <w:rsid w:val="00182963"/>
    <w:rsid w:val="0018296E"/>
    <w:rsid w:val="00182A21"/>
    <w:rsid w:val="00182A36"/>
    <w:rsid w:val="00182A41"/>
    <w:rsid w:val="00182A54"/>
    <w:rsid w:val="00182A84"/>
    <w:rsid w:val="00182ABB"/>
    <w:rsid w:val="00182C2C"/>
    <w:rsid w:val="00182C93"/>
    <w:rsid w:val="00182D17"/>
    <w:rsid w:val="00182D78"/>
    <w:rsid w:val="00182D9B"/>
    <w:rsid w:val="00182D9C"/>
    <w:rsid w:val="00182DE4"/>
    <w:rsid w:val="00182E76"/>
    <w:rsid w:val="00182EBD"/>
    <w:rsid w:val="00182EF7"/>
    <w:rsid w:val="00182F11"/>
    <w:rsid w:val="0018300B"/>
    <w:rsid w:val="00183070"/>
    <w:rsid w:val="00183114"/>
    <w:rsid w:val="00183176"/>
    <w:rsid w:val="0018318D"/>
    <w:rsid w:val="001831E7"/>
    <w:rsid w:val="00183244"/>
    <w:rsid w:val="00183293"/>
    <w:rsid w:val="0018330F"/>
    <w:rsid w:val="00183401"/>
    <w:rsid w:val="0018347A"/>
    <w:rsid w:val="001834B1"/>
    <w:rsid w:val="001834F8"/>
    <w:rsid w:val="00183554"/>
    <w:rsid w:val="00183566"/>
    <w:rsid w:val="00183605"/>
    <w:rsid w:val="00183671"/>
    <w:rsid w:val="0018372F"/>
    <w:rsid w:val="00183795"/>
    <w:rsid w:val="00183A1A"/>
    <w:rsid w:val="00183A60"/>
    <w:rsid w:val="00183BDC"/>
    <w:rsid w:val="00183CA8"/>
    <w:rsid w:val="00183CCC"/>
    <w:rsid w:val="00183ED9"/>
    <w:rsid w:val="00183F06"/>
    <w:rsid w:val="00183F13"/>
    <w:rsid w:val="00183FB5"/>
    <w:rsid w:val="00183FEB"/>
    <w:rsid w:val="0018400A"/>
    <w:rsid w:val="001840BC"/>
    <w:rsid w:val="001842F3"/>
    <w:rsid w:val="001843DB"/>
    <w:rsid w:val="001843EA"/>
    <w:rsid w:val="00184408"/>
    <w:rsid w:val="00184445"/>
    <w:rsid w:val="001844C4"/>
    <w:rsid w:val="001844FD"/>
    <w:rsid w:val="001845F2"/>
    <w:rsid w:val="00184691"/>
    <w:rsid w:val="001846B0"/>
    <w:rsid w:val="001846E0"/>
    <w:rsid w:val="001846F0"/>
    <w:rsid w:val="001846F7"/>
    <w:rsid w:val="00184804"/>
    <w:rsid w:val="0018490F"/>
    <w:rsid w:val="00184A02"/>
    <w:rsid w:val="00184AEB"/>
    <w:rsid w:val="00184B48"/>
    <w:rsid w:val="00184B86"/>
    <w:rsid w:val="00184C60"/>
    <w:rsid w:val="00184D7D"/>
    <w:rsid w:val="00184E4C"/>
    <w:rsid w:val="00184EDC"/>
    <w:rsid w:val="00184EEA"/>
    <w:rsid w:val="00184FEF"/>
    <w:rsid w:val="0018502C"/>
    <w:rsid w:val="0018502F"/>
    <w:rsid w:val="001850A3"/>
    <w:rsid w:val="001850C6"/>
    <w:rsid w:val="00185136"/>
    <w:rsid w:val="00185203"/>
    <w:rsid w:val="00185328"/>
    <w:rsid w:val="0018538B"/>
    <w:rsid w:val="00185420"/>
    <w:rsid w:val="0018549E"/>
    <w:rsid w:val="00185528"/>
    <w:rsid w:val="0018566E"/>
    <w:rsid w:val="0018569C"/>
    <w:rsid w:val="0018597A"/>
    <w:rsid w:val="0018599D"/>
    <w:rsid w:val="00185A83"/>
    <w:rsid w:val="00185AAE"/>
    <w:rsid w:val="00185ADC"/>
    <w:rsid w:val="00185B51"/>
    <w:rsid w:val="00185B66"/>
    <w:rsid w:val="00185BAD"/>
    <w:rsid w:val="00185C01"/>
    <w:rsid w:val="00185C0B"/>
    <w:rsid w:val="00185C24"/>
    <w:rsid w:val="00185C90"/>
    <w:rsid w:val="00185CB1"/>
    <w:rsid w:val="00185CB9"/>
    <w:rsid w:val="00185D2C"/>
    <w:rsid w:val="00185D8F"/>
    <w:rsid w:val="00185DA9"/>
    <w:rsid w:val="00185DB4"/>
    <w:rsid w:val="00185E1E"/>
    <w:rsid w:val="00185E4F"/>
    <w:rsid w:val="00185F72"/>
    <w:rsid w:val="00185F97"/>
    <w:rsid w:val="00186050"/>
    <w:rsid w:val="0018615F"/>
    <w:rsid w:val="001861B0"/>
    <w:rsid w:val="001861DF"/>
    <w:rsid w:val="0018624D"/>
    <w:rsid w:val="00186252"/>
    <w:rsid w:val="00186270"/>
    <w:rsid w:val="00186373"/>
    <w:rsid w:val="00186481"/>
    <w:rsid w:val="00186525"/>
    <w:rsid w:val="001865A6"/>
    <w:rsid w:val="00186627"/>
    <w:rsid w:val="0018662C"/>
    <w:rsid w:val="0018664E"/>
    <w:rsid w:val="001866B0"/>
    <w:rsid w:val="0018680D"/>
    <w:rsid w:val="00186810"/>
    <w:rsid w:val="0018683A"/>
    <w:rsid w:val="00186865"/>
    <w:rsid w:val="00186A17"/>
    <w:rsid w:val="00186A36"/>
    <w:rsid w:val="00186A61"/>
    <w:rsid w:val="00186B85"/>
    <w:rsid w:val="00186BB9"/>
    <w:rsid w:val="00186BC4"/>
    <w:rsid w:val="00186D16"/>
    <w:rsid w:val="00186D63"/>
    <w:rsid w:val="00186D81"/>
    <w:rsid w:val="00186D9C"/>
    <w:rsid w:val="00186DAE"/>
    <w:rsid w:val="00186E04"/>
    <w:rsid w:val="00186EB0"/>
    <w:rsid w:val="00186F2B"/>
    <w:rsid w:val="00186F2E"/>
    <w:rsid w:val="001871B2"/>
    <w:rsid w:val="00187201"/>
    <w:rsid w:val="001872B0"/>
    <w:rsid w:val="001872B7"/>
    <w:rsid w:val="001872CD"/>
    <w:rsid w:val="0018733A"/>
    <w:rsid w:val="00187367"/>
    <w:rsid w:val="0018737B"/>
    <w:rsid w:val="001873B8"/>
    <w:rsid w:val="00187464"/>
    <w:rsid w:val="00187472"/>
    <w:rsid w:val="001874AE"/>
    <w:rsid w:val="001874B6"/>
    <w:rsid w:val="00187509"/>
    <w:rsid w:val="00187554"/>
    <w:rsid w:val="00187596"/>
    <w:rsid w:val="001875F8"/>
    <w:rsid w:val="0018769C"/>
    <w:rsid w:val="00187714"/>
    <w:rsid w:val="0018777B"/>
    <w:rsid w:val="0018779E"/>
    <w:rsid w:val="00187808"/>
    <w:rsid w:val="0018780A"/>
    <w:rsid w:val="001878B7"/>
    <w:rsid w:val="001878CE"/>
    <w:rsid w:val="00187933"/>
    <w:rsid w:val="001879A8"/>
    <w:rsid w:val="001879AE"/>
    <w:rsid w:val="00187A64"/>
    <w:rsid w:val="00187B53"/>
    <w:rsid w:val="00187C7B"/>
    <w:rsid w:val="00187CA4"/>
    <w:rsid w:val="00187CB4"/>
    <w:rsid w:val="00187CEC"/>
    <w:rsid w:val="00187D22"/>
    <w:rsid w:val="00187D7A"/>
    <w:rsid w:val="00187DC2"/>
    <w:rsid w:val="00187EEE"/>
    <w:rsid w:val="00187F89"/>
    <w:rsid w:val="00187F90"/>
    <w:rsid w:val="001900AB"/>
    <w:rsid w:val="00190266"/>
    <w:rsid w:val="001902BC"/>
    <w:rsid w:val="001902E8"/>
    <w:rsid w:val="00190343"/>
    <w:rsid w:val="0019041A"/>
    <w:rsid w:val="00190426"/>
    <w:rsid w:val="00190463"/>
    <w:rsid w:val="00190487"/>
    <w:rsid w:val="00190552"/>
    <w:rsid w:val="00190565"/>
    <w:rsid w:val="00190592"/>
    <w:rsid w:val="00190671"/>
    <w:rsid w:val="001906D6"/>
    <w:rsid w:val="00190715"/>
    <w:rsid w:val="0019074A"/>
    <w:rsid w:val="001907C5"/>
    <w:rsid w:val="0019081A"/>
    <w:rsid w:val="0019081D"/>
    <w:rsid w:val="0019096E"/>
    <w:rsid w:val="00190A02"/>
    <w:rsid w:val="00190AF6"/>
    <w:rsid w:val="00190AFB"/>
    <w:rsid w:val="00190B4D"/>
    <w:rsid w:val="00190B66"/>
    <w:rsid w:val="00190B72"/>
    <w:rsid w:val="00190B8A"/>
    <w:rsid w:val="00190B92"/>
    <w:rsid w:val="00190BB2"/>
    <w:rsid w:val="00190C1D"/>
    <w:rsid w:val="00190CDF"/>
    <w:rsid w:val="00190D27"/>
    <w:rsid w:val="00190D2D"/>
    <w:rsid w:val="00190DDD"/>
    <w:rsid w:val="00190DF8"/>
    <w:rsid w:val="00190F18"/>
    <w:rsid w:val="00190F2A"/>
    <w:rsid w:val="00190F37"/>
    <w:rsid w:val="00190F8D"/>
    <w:rsid w:val="00191071"/>
    <w:rsid w:val="001910B7"/>
    <w:rsid w:val="0019111B"/>
    <w:rsid w:val="001911A7"/>
    <w:rsid w:val="0019125A"/>
    <w:rsid w:val="001912F8"/>
    <w:rsid w:val="001912FA"/>
    <w:rsid w:val="0019145C"/>
    <w:rsid w:val="001914C4"/>
    <w:rsid w:val="0019156A"/>
    <w:rsid w:val="00191672"/>
    <w:rsid w:val="00191790"/>
    <w:rsid w:val="00191842"/>
    <w:rsid w:val="0019192D"/>
    <w:rsid w:val="00191A0A"/>
    <w:rsid w:val="00191AA0"/>
    <w:rsid w:val="00191B41"/>
    <w:rsid w:val="00191B62"/>
    <w:rsid w:val="00191B92"/>
    <w:rsid w:val="00191C61"/>
    <w:rsid w:val="00191DA6"/>
    <w:rsid w:val="00191E2A"/>
    <w:rsid w:val="00191E65"/>
    <w:rsid w:val="00191EEE"/>
    <w:rsid w:val="00191EFD"/>
    <w:rsid w:val="00191F0E"/>
    <w:rsid w:val="00191FD1"/>
    <w:rsid w:val="00192052"/>
    <w:rsid w:val="001920FB"/>
    <w:rsid w:val="00192120"/>
    <w:rsid w:val="0019221F"/>
    <w:rsid w:val="0019222F"/>
    <w:rsid w:val="00192267"/>
    <w:rsid w:val="001923A9"/>
    <w:rsid w:val="00192429"/>
    <w:rsid w:val="001924E4"/>
    <w:rsid w:val="00192620"/>
    <w:rsid w:val="00192630"/>
    <w:rsid w:val="00192666"/>
    <w:rsid w:val="00192671"/>
    <w:rsid w:val="0019269C"/>
    <w:rsid w:val="0019270A"/>
    <w:rsid w:val="00192713"/>
    <w:rsid w:val="00192731"/>
    <w:rsid w:val="0019279B"/>
    <w:rsid w:val="001927D7"/>
    <w:rsid w:val="0019280E"/>
    <w:rsid w:val="00192855"/>
    <w:rsid w:val="00192902"/>
    <w:rsid w:val="001929D2"/>
    <w:rsid w:val="001929E5"/>
    <w:rsid w:val="00192B79"/>
    <w:rsid w:val="00192BCF"/>
    <w:rsid w:val="00192C96"/>
    <w:rsid w:val="00192CB4"/>
    <w:rsid w:val="00192D01"/>
    <w:rsid w:val="00192D3F"/>
    <w:rsid w:val="00192D4F"/>
    <w:rsid w:val="00192E50"/>
    <w:rsid w:val="00192ED0"/>
    <w:rsid w:val="00192EE7"/>
    <w:rsid w:val="001930F5"/>
    <w:rsid w:val="00193255"/>
    <w:rsid w:val="0019331B"/>
    <w:rsid w:val="0019334D"/>
    <w:rsid w:val="00193365"/>
    <w:rsid w:val="001933CC"/>
    <w:rsid w:val="0019343D"/>
    <w:rsid w:val="00193548"/>
    <w:rsid w:val="00193560"/>
    <w:rsid w:val="0019356D"/>
    <w:rsid w:val="0019357A"/>
    <w:rsid w:val="00193597"/>
    <w:rsid w:val="00193598"/>
    <w:rsid w:val="0019367C"/>
    <w:rsid w:val="00193686"/>
    <w:rsid w:val="0019373E"/>
    <w:rsid w:val="00193767"/>
    <w:rsid w:val="001937A2"/>
    <w:rsid w:val="00193A0B"/>
    <w:rsid w:val="00193ABF"/>
    <w:rsid w:val="00193B17"/>
    <w:rsid w:val="00193B2C"/>
    <w:rsid w:val="00193BC1"/>
    <w:rsid w:val="00193BF6"/>
    <w:rsid w:val="00193C5E"/>
    <w:rsid w:val="00193C9F"/>
    <w:rsid w:val="00193D1A"/>
    <w:rsid w:val="00193D3F"/>
    <w:rsid w:val="00193D78"/>
    <w:rsid w:val="00193D99"/>
    <w:rsid w:val="00193DD9"/>
    <w:rsid w:val="00193E1C"/>
    <w:rsid w:val="00193E37"/>
    <w:rsid w:val="00193E8C"/>
    <w:rsid w:val="00193FA9"/>
    <w:rsid w:val="00193FF8"/>
    <w:rsid w:val="001943DC"/>
    <w:rsid w:val="0019446B"/>
    <w:rsid w:val="00194482"/>
    <w:rsid w:val="0019448C"/>
    <w:rsid w:val="001944AE"/>
    <w:rsid w:val="00194689"/>
    <w:rsid w:val="001946A8"/>
    <w:rsid w:val="001946F4"/>
    <w:rsid w:val="00194786"/>
    <w:rsid w:val="00194926"/>
    <w:rsid w:val="0019496C"/>
    <w:rsid w:val="00194975"/>
    <w:rsid w:val="001949CA"/>
    <w:rsid w:val="00194A1D"/>
    <w:rsid w:val="00194B02"/>
    <w:rsid w:val="00194B5D"/>
    <w:rsid w:val="00194B65"/>
    <w:rsid w:val="00194C47"/>
    <w:rsid w:val="00194C8E"/>
    <w:rsid w:val="00194CF1"/>
    <w:rsid w:val="00194D12"/>
    <w:rsid w:val="00194DF7"/>
    <w:rsid w:val="00194E96"/>
    <w:rsid w:val="00194EC1"/>
    <w:rsid w:val="00194F47"/>
    <w:rsid w:val="00194F7D"/>
    <w:rsid w:val="00195002"/>
    <w:rsid w:val="001951ED"/>
    <w:rsid w:val="00195398"/>
    <w:rsid w:val="0019539C"/>
    <w:rsid w:val="001953A7"/>
    <w:rsid w:val="001953E7"/>
    <w:rsid w:val="0019543B"/>
    <w:rsid w:val="0019543D"/>
    <w:rsid w:val="001954CD"/>
    <w:rsid w:val="001954E5"/>
    <w:rsid w:val="001954E7"/>
    <w:rsid w:val="0019557B"/>
    <w:rsid w:val="00195605"/>
    <w:rsid w:val="0019566E"/>
    <w:rsid w:val="001956E1"/>
    <w:rsid w:val="0019573D"/>
    <w:rsid w:val="0019575F"/>
    <w:rsid w:val="0019579D"/>
    <w:rsid w:val="001957C8"/>
    <w:rsid w:val="001958C7"/>
    <w:rsid w:val="001958E3"/>
    <w:rsid w:val="001959B3"/>
    <w:rsid w:val="00195A46"/>
    <w:rsid w:val="00195A80"/>
    <w:rsid w:val="00195AF4"/>
    <w:rsid w:val="00195B75"/>
    <w:rsid w:val="00195C14"/>
    <w:rsid w:val="00195CB9"/>
    <w:rsid w:val="00195CEB"/>
    <w:rsid w:val="00195CF8"/>
    <w:rsid w:val="00195D55"/>
    <w:rsid w:val="00195D7F"/>
    <w:rsid w:val="00195DBC"/>
    <w:rsid w:val="00195E39"/>
    <w:rsid w:val="00195E50"/>
    <w:rsid w:val="00195EB7"/>
    <w:rsid w:val="00195EF5"/>
    <w:rsid w:val="00195F3C"/>
    <w:rsid w:val="00195F66"/>
    <w:rsid w:val="00195F9E"/>
    <w:rsid w:val="001960AA"/>
    <w:rsid w:val="001960C8"/>
    <w:rsid w:val="00196115"/>
    <w:rsid w:val="001961D3"/>
    <w:rsid w:val="00196213"/>
    <w:rsid w:val="0019621B"/>
    <w:rsid w:val="0019625E"/>
    <w:rsid w:val="00196316"/>
    <w:rsid w:val="00196361"/>
    <w:rsid w:val="0019636F"/>
    <w:rsid w:val="00196425"/>
    <w:rsid w:val="001964AA"/>
    <w:rsid w:val="001965C4"/>
    <w:rsid w:val="001965D4"/>
    <w:rsid w:val="001965E3"/>
    <w:rsid w:val="0019666A"/>
    <w:rsid w:val="0019667C"/>
    <w:rsid w:val="001966FA"/>
    <w:rsid w:val="001966FE"/>
    <w:rsid w:val="0019675D"/>
    <w:rsid w:val="001967A8"/>
    <w:rsid w:val="001967D4"/>
    <w:rsid w:val="00196827"/>
    <w:rsid w:val="0019699F"/>
    <w:rsid w:val="001969BC"/>
    <w:rsid w:val="00196A27"/>
    <w:rsid w:val="00196AA9"/>
    <w:rsid w:val="00196B22"/>
    <w:rsid w:val="00196CDD"/>
    <w:rsid w:val="00196D1B"/>
    <w:rsid w:val="00196D1C"/>
    <w:rsid w:val="00196DB5"/>
    <w:rsid w:val="00196DCE"/>
    <w:rsid w:val="00196E7B"/>
    <w:rsid w:val="00196ED0"/>
    <w:rsid w:val="00196EFF"/>
    <w:rsid w:val="00196F5B"/>
    <w:rsid w:val="00196F82"/>
    <w:rsid w:val="0019706A"/>
    <w:rsid w:val="0019715F"/>
    <w:rsid w:val="00197172"/>
    <w:rsid w:val="0019717C"/>
    <w:rsid w:val="0019727B"/>
    <w:rsid w:val="001972F8"/>
    <w:rsid w:val="00197393"/>
    <w:rsid w:val="001974A3"/>
    <w:rsid w:val="0019758D"/>
    <w:rsid w:val="001975E6"/>
    <w:rsid w:val="00197724"/>
    <w:rsid w:val="00197872"/>
    <w:rsid w:val="0019787C"/>
    <w:rsid w:val="0019790A"/>
    <w:rsid w:val="00197967"/>
    <w:rsid w:val="0019799D"/>
    <w:rsid w:val="001979A5"/>
    <w:rsid w:val="00197A0E"/>
    <w:rsid w:val="00197A2E"/>
    <w:rsid w:val="00197A4D"/>
    <w:rsid w:val="00197AF7"/>
    <w:rsid w:val="00197B45"/>
    <w:rsid w:val="00197BFA"/>
    <w:rsid w:val="00197CB0"/>
    <w:rsid w:val="00197D7A"/>
    <w:rsid w:val="00197DC5"/>
    <w:rsid w:val="00197DED"/>
    <w:rsid w:val="00197FA9"/>
    <w:rsid w:val="001A011B"/>
    <w:rsid w:val="001A0139"/>
    <w:rsid w:val="001A01FE"/>
    <w:rsid w:val="001A0216"/>
    <w:rsid w:val="001A022A"/>
    <w:rsid w:val="001A0258"/>
    <w:rsid w:val="001A0461"/>
    <w:rsid w:val="001A05C9"/>
    <w:rsid w:val="001A0672"/>
    <w:rsid w:val="001A067D"/>
    <w:rsid w:val="001A073B"/>
    <w:rsid w:val="001A076E"/>
    <w:rsid w:val="001A0793"/>
    <w:rsid w:val="001A0814"/>
    <w:rsid w:val="001A084F"/>
    <w:rsid w:val="001A0874"/>
    <w:rsid w:val="001A08B1"/>
    <w:rsid w:val="001A0914"/>
    <w:rsid w:val="001A09A7"/>
    <w:rsid w:val="001A09B5"/>
    <w:rsid w:val="001A09C2"/>
    <w:rsid w:val="001A09D9"/>
    <w:rsid w:val="001A09F0"/>
    <w:rsid w:val="001A0A58"/>
    <w:rsid w:val="001A0B1F"/>
    <w:rsid w:val="001A0B4F"/>
    <w:rsid w:val="001A0B61"/>
    <w:rsid w:val="001A0C73"/>
    <w:rsid w:val="001A0CC7"/>
    <w:rsid w:val="001A0D24"/>
    <w:rsid w:val="001A0D6A"/>
    <w:rsid w:val="001A0D6D"/>
    <w:rsid w:val="001A0D8A"/>
    <w:rsid w:val="001A0DCE"/>
    <w:rsid w:val="001A0E5F"/>
    <w:rsid w:val="001A0EA3"/>
    <w:rsid w:val="001A0ECE"/>
    <w:rsid w:val="001A0EE3"/>
    <w:rsid w:val="001A0F51"/>
    <w:rsid w:val="001A0F84"/>
    <w:rsid w:val="001A1003"/>
    <w:rsid w:val="001A102B"/>
    <w:rsid w:val="001A10C9"/>
    <w:rsid w:val="001A10EF"/>
    <w:rsid w:val="001A111F"/>
    <w:rsid w:val="001A1156"/>
    <w:rsid w:val="001A11E2"/>
    <w:rsid w:val="001A1249"/>
    <w:rsid w:val="001A131C"/>
    <w:rsid w:val="001A1351"/>
    <w:rsid w:val="001A136B"/>
    <w:rsid w:val="001A13B2"/>
    <w:rsid w:val="001A14C8"/>
    <w:rsid w:val="001A1597"/>
    <w:rsid w:val="001A166B"/>
    <w:rsid w:val="001A16C6"/>
    <w:rsid w:val="001A17C0"/>
    <w:rsid w:val="001A1809"/>
    <w:rsid w:val="001A181C"/>
    <w:rsid w:val="001A189E"/>
    <w:rsid w:val="001A18BB"/>
    <w:rsid w:val="001A1912"/>
    <w:rsid w:val="001A1948"/>
    <w:rsid w:val="001A1973"/>
    <w:rsid w:val="001A199D"/>
    <w:rsid w:val="001A1AA3"/>
    <w:rsid w:val="001A1AF2"/>
    <w:rsid w:val="001A1B88"/>
    <w:rsid w:val="001A1C00"/>
    <w:rsid w:val="001A1CEC"/>
    <w:rsid w:val="001A1D20"/>
    <w:rsid w:val="001A1D7E"/>
    <w:rsid w:val="001A1D8D"/>
    <w:rsid w:val="001A1DC8"/>
    <w:rsid w:val="001A1DD1"/>
    <w:rsid w:val="001A1DE0"/>
    <w:rsid w:val="001A1F73"/>
    <w:rsid w:val="001A1FD0"/>
    <w:rsid w:val="001A205C"/>
    <w:rsid w:val="001A209A"/>
    <w:rsid w:val="001A2118"/>
    <w:rsid w:val="001A2137"/>
    <w:rsid w:val="001A2159"/>
    <w:rsid w:val="001A219E"/>
    <w:rsid w:val="001A223D"/>
    <w:rsid w:val="001A2267"/>
    <w:rsid w:val="001A22C1"/>
    <w:rsid w:val="001A22FE"/>
    <w:rsid w:val="001A23E2"/>
    <w:rsid w:val="001A2410"/>
    <w:rsid w:val="001A243A"/>
    <w:rsid w:val="001A2462"/>
    <w:rsid w:val="001A247A"/>
    <w:rsid w:val="001A24A3"/>
    <w:rsid w:val="001A254D"/>
    <w:rsid w:val="001A2613"/>
    <w:rsid w:val="001A2688"/>
    <w:rsid w:val="001A26A4"/>
    <w:rsid w:val="001A26CD"/>
    <w:rsid w:val="001A26D2"/>
    <w:rsid w:val="001A273E"/>
    <w:rsid w:val="001A2763"/>
    <w:rsid w:val="001A27C6"/>
    <w:rsid w:val="001A28BF"/>
    <w:rsid w:val="001A28C5"/>
    <w:rsid w:val="001A28FB"/>
    <w:rsid w:val="001A2922"/>
    <w:rsid w:val="001A29A7"/>
    <w:rsid w:val="001A2A0A"/>
    <w:rsid w:val="001A2A7D"/>
    <w:rsid w:val="001A2AEF"/>
    <w:rsid w:val="001A2BA2"/>
    <w:rsid w:val="001A2BE9"/>
    <w:rsid w:val="001A2C93"/>
    <w:rsid w:val="001A2D38"/>
    <w:rsid w:val="001A2E09"/>
    <w:rsid w:val="001A2EDD"/>
    <w:rsid w:val="001A3070"/>
    <w:rsid w:val="001A3093"/>
    <w:rsid w:val="001A30C9"/>
    <w:rsid w:val="001A3239"/>
    <w:rsid w:val="001A3241"/>
    <w:rsid w:val="001A3316"/>
    <w:rsid w:val="001A335D"/>
    <w:rsid w:val="001A3585"/>
    <w:rsid w:val="001A35DD"/>
    <w:rsid w:val="001A36D4"/>
    <w:rsid w:val="001A3712"/>
    <w:rsid w:val="001A375C"/>
    <w:rsid w:val="001A37D5"/>
    <w:rsid w:val="001A39E2"/>
    <w:rsid w:val="001A3A13"/>
    <w:rsid w:val="001A3A9B"/>
    <w:rsid w:val="001A3B7E"/>
    <w:rsid w:val="001A3B9D"/>
    <w:rsid w:val="001A3BA9"/>
    <w:rsid w:val="001A3C1B"/>
    <w:rsid w:val="001A3CB2"/>
    <w:rsid w:val="001A3DC2"/>
    <w:rsid w:val="001A3E1B"/>
    <w:rsid w:val="001A3E80"/>
    <w:rsid w:val="001A3FB5"/>
    <w:rsid w:val="001A3FB9"/>
    <w:rsid w:val="001A4017"/>
    <w:rsid w:val="001A4068"/>
    <w:rsid w:val="001A4162"/>
    <w:rsid w:val="001A4164"/>
    <w:rsid w:val="001A4167"/>
    <w:rsid w:val="001A4192"/>
    <w:rsid w:val="001A41B2"/>
    <w:rsid w:val="001A41D7"/>
    <w:rsid w:val="001A41E4"/>
    <w:rsid w:val="001A42D9"/>
    <w:rsid w:val="001A43F8"/>
    <w:rsid w:val="001A446F"/>
    <w:rsid w:val="001A44F6"/>
    <w:rsid w:val="001A4526"/>
    <w:rsid w:val="001A4564"/>
    <w:rsid w:val="001A456E"/>
    <w:rsid w:val="001A4669"/>
    <w:rsid w:val="001A4686"/>
    <w:rsid w:val="001A46E5"/>
    <w:rsid w:val="001A47B2"/>
    <w:rsid w:val="001A484C"/>
    <w:rsid w:val="001A494B"/>
    <w:rsid w:val="001A49A3"/>
    <w:rsid w:val="001A4A19"/>
    <w:rsid w:val="001A4AD0"/>
    <w:rsid w:val="001A4B0F"/>
    <w:rsid w:val="001A4B14"/>
    <w:rsid w:val="001A4B54"/>
    <w:rsid w:val="001A4C25"/>
    <w:rsid w:val="001A4C7F"/>
    <w:rsid w:val="001A4D16"/>
    <w:rsid w:val="001A4DC4"/>
    <w:rsid w:val="001A4E38"/>
    <w:rsid w:val="001A4FB5"/>
    <w:rsid w:val="001A4FCC"/>
    <w:rsid w:val="001A5023"/>
    <w:rsid w:val="001A504F"/>
    <w:rsid w:val="001A50DF"/>
    <w:rsid w:val="001A524F"/>
    <w:rsid w:val="001A528C"/>
    <w:rsid w:val="001A529C"/>
    <w:rsid w:val="001A5383"/>
    <w:rsid w:val="001A53A5"/>
    <w:rsid w:val="001A541D"/>
    <w:rsid w:val="001A5449"/>
    <w:rsid w:val="001A549B"/>
    <w:rsid w:val="001A5681"/>
    <w:rsid w:val="001A578F"/>
    <w:rsid w:val="001A57DF"/>
    <w:rsid w:val="001A582A"/>
    <w:rsid w:val="001A582F"/>
    <w:rsid w:val="001A583F"/>
    <w:rsid w:val="001A5874"/>
    <w:rsid w:val="001A59BF"/>
    <w:rsid w:val="001A5AA3"/>
    <w:rsid w:val="001A5AF2"/>
    <w:rsid w:val="001A5BB8"/>
    <w:rsid w:val="001A5C34"/>
    <w:rsid w:val="001A5C43"/>
    <w:rsid w:val="001A5C60"/>
    <w:rsid w:val="001A5CDD"/>
    <w:rsid w:val="001A5CEB"/>
    <w:rsid w:val="001A5D1B"/>
    <w:rsid w:val="001A5D68"/>
    <w:rsid w:val="001A5D95"/>
    <w:rsid w:val="001A5E50"/>
    <w:rsid w:val="001A5E8B"/>
    <w:rsid w:val="001A5E8C"/>
    <w:rsid w:val="001A5EC8"/>
    <w:rsid w:val="001A5EDB"/>
    <w:rsid w:val="001A5F19"/>
    <w:rsid w:val="001A5F62"/>
    <w:rsid w:val="001A5F91"/>
    <w:rsid w:val="001A5FFE"/>
    <w:rsid w:val="001A6159"/>
    <w:rsid w:val="001A621F"/>
    <w:rsid w:val="001A62DD"/>
    <w:rsid w:val="001A6406"/>
    <w:rsid w:val="001A645A"/>
    <w:rsid w:val="001A664F"/>
    <w:rsid w:val="001A668F"/>
    <w:rsid w:val="001A6761"/>
    <w:rsid w:val="001A676F"/>
    <w:rsid w:val="001A688B"/>
    <w:rsid w:val="001A68E8"/>
    <w:rsid w:val="001A692A"/>
    <w:rsid w:val="001A695F"/>
    <w:rsid w:val="001A6A45"/>
    <w:rsid w:val="001A6B43"/>
    <w:rsid w:val="001A6BC1"/>
    <w:rsid w:val="001A6CA7"/>
    <w:rsid w:val="001A6CB6"/>
    <w:rsid w:val="001A6D28"/>
    <w:rsid w:val="001A6DFA"/>
    <w:rsid w:val="001A6E2C"/>
    <w:rsid w:val="001A6E7A"/>
    <w:rsid w:val="001A6E8B"/>
    <w:rsid w:val="001A6EC0"/>
    <w:rsid w:val="001A6F40"/>
    <w:rsid w:val="001A6F92"/>
    <w:rsid w:val="001A6FB8"/>
    <w:rsid w:val="001A706A"/>
    <w:rsid w:val="001A70C3"/>
    <w:rsid w:val="001A70FD"/>
    <w:rsid w:val="001A7110"/>
    <w:rsid w:val="001A71E9"/>
    <w:rsid w:val="001A7362"/>
    <w:rsid w:val="001A736B"/>
    <w:rsid w:val="001A7389"/>
    <w:rsid w:val="001A738B"/>
    <w:rsid w:val="001A73BD"/>
    <w:rsid w:val="001A73E2"/>
    <w:rsid w:val="001A73F6"/>
    <w:rsid w:val="001A73F9"/>
    <w:rsid w:val="001A7447"/>
    <w:rsid w:val="001A74A4"/>
    <w:rsid w:val="001A762E"/>
    <w:rsid w:val="001A7639"/>
    <w:rsid w:val="001A7723"/>
    <w:rsid w:val="001A77F1"/>
    <w:rsid w:val="001A7851"/>
    <w:rsid w:val="001A7871"/>
    <w:rsid w:val="001A7A59"/>
    <w:rsid w:val="001A7ABE"/>
    <w:rsid w:val="001A7BA4"/>
    <w:rsid w:val="001A7BFD"/>
    <w:rsid w:val="001A7C45"/>
    <w:rsid w:val="001A7CED"/>
    <w:rsid w:val="001A7CFC"/>
    <w:rsid w:val="001A7E3F"/>
    <w:rsid w:val="001A7F38"/>
    <w:rsid w:val="001A7F51"/>
    <w:rsid w:val="001B011A"/>
    <w:rsid w:val="001B0123"/>
    <w:rsid w:val="001B01F1"/>
    <w:rsid w:val="001B042F"/>
    <w:rsid w:val="001B044E"/>
    <w:rsid w:val="001B04A9"/>
    <w:rsid w:val="001B0524"/>
    <w:rsid w:val="001B0542"/>
    <w:rsid w:val="001B057E"/>
    <w:rsid w:val="001B0585"/>
    <w:rsid w:val="001B05F3"/>
    <w:rsid w:val="001B05FC"/>
    <w:rsid w:val="001B065C"/>
    <w:rsid w:val="001B0670"/>
    <w:rsid w:val="001B0762"/>
    <w:rsid w:val="001B0794"/>
    <w:rsid w:val="001B07A6"/>
    <w:rsid w:val="001B07B7"/>
    <w:rsid w:val="001B090E"/>
    <w:rsid w:val="001B094E"/>
    <w:rsid w:val="001B09EF"/>
    <w:rsid w:val="001B09F8"/>
    <w:rsid w:val="001B0A09"/>
    <w:rsid w:val="001B0A1E"/>
    <w:rsid w:val="001B0A59"/>
    <w:rsid w:val="001B0B4A"/>
    <w:rsid w:val="001B0CA0"/>
    <w:rsid w:val="001B0CB0"/>
    <w:rsid w:val="001B0CD2"/>
    <w:rsid w:val="001B0DD7"/>
    <w:rsid w:val="001B0E10"/>
    <w:rsid w:val="001B0E48"/>
    <w:rsid w:val="001B0E79"/>
    <w:rsid w:val="001B0E97"/>
    <w:rsid w:val="001B0F47"/>
    <w:rsid w:val="001B0F51"/>
    <w:rsid w:val="001B0FEB"/>
    <w:rsid w:val="001B1000"/>
    <w:rsid w:val="001B103C"/>
    <w:rsid w:val="001B1083"/>
    <w:rsid w:val="001B11E6"/>
    <w:rsid w:val="001B11F5"/>
    <w:rsid w:val="001B1256"/>
    <w:rsid w:val="001B12DC"/>
    <w:rsid w:val="001B1306"/>
    <w:rsid w:val="001B135E"/>
    <w:rsid w:val="001B13E6"/>
    <w:rsid w:val="001B1448"/>
    <w:rsid w:val="001B1465"/>
    <w:rsid w:val="001B1488"/>
    <w:rsid w:val="001B15FB"/>
    <w:rsid w:val="001B1707"/>
    <w:rsid w:val="001B1942"/>
    <w:rsid w:val="001B198F"/>
    <w:rsid w:val="001B1AB4"/>
    <w:rsid w:val="001B1ACD"/>
    <w:rsid w:val="001B1AF0"/>
    <w:rsid w:val="001B1B35"/>
    <w:rsid w:val="001B1B49"/>
    <w:rsid w:val="001B1BFB"/>
    <w:rsid w:val="001B1C21"/>
    <w:rsid w:val="001B1D04"/>
    <w:rsid w:val="001B1D0A"/>
    <w:rsid w:val="001B1DB2"/>
    <w:rsid w:val="001B1DC4"/>
    <w:rsid w:val="001B1E46"/>
    <w:rsid w:val="001B1EBA"/>
    <w:rsid w:val="001B1ECC"/>
    <w:rsid w:val="001B1EFC"/>
    <w:rsid w:val="001B1F20"/>
    <w:rsid w:val="001B1FF7"/>
    <w:rsid w:val="001B2009"/>
    <w:rsid w:val="001B2011"/>
    <w:rsid w:val="001B210B"/>
    <w:rsid w:val="001B2151"/>
    <w:rsid w:val="001B21BA"/>
    <w:rsid w:val="001B226F"/>
    <w:rsid w:val="001B2340"/>
    <w:rsid w:val="001B2352"/>
    <w:rsid w:val="001B238E"/>
    <w:rsid w:val="001B2413"/>
    <w:rsid w:val="001B2498"/>
    <w:rsid w:val="001B2510"/>
    <w:rsid w:val="001B2531"/>
    <w:rsid w:val="001B25C5"/>
    <w:rsid w:val="001B26BC"/>
    <w:rsid w:val="001B2702"/>
    <w:rsid w:val="001B279B"/>
    <w:rsid w:val="001B282B"/>
    <w:rsid w:val="001B2938"/>
    <w:rsid w:val="001B29BA"/>
    <w:rsid w:val="001B29C9"/>
    <w:rsid w:val="001B29E9"/>
    <w:rsid w:val="001B29F2"/>
    <w:rsid w:val="001B2A23"/>
    <w:rsid w:val="001B2B6C"/>
    <w:rsid w:val="001B2BD5"/>
    <w:rsid w:val="001B2DBC"/>
    <w:rsid w:val="001B2E56"/>
    <w:rsid w:val="001B2E9F"/>
    <w:rsid w:val="001B2EA3"/>
    <w:rsid w:val="001B2F54"/>
    <w:rsid w:val="001B2F92"/>
    <w:rsid w:val="001B2FB0"/>
    <w:rsid w:val="001B304B"/>
    <w:rsid w:val="001B3286"/>
    <w:rsid w:val="001B3293"/>
    <w:rsid w:val="001B32C2"/>
    <w:rsid w:val="001B3318"/>
    <w:rsid w:val="001B33D8"/>
    <w:rsid w:val="001B33DF"/>
    <w:rsid w:val="001B344F"/>
    <w:rsid w:val="001B347E"/>
    <w:rsid w:val="001B34F7"/>
    <w:rsid w:val="001B353E"/>
    <w:rsid w:val="001B357C"/>
    <w:rsid w:val="001B3593"/>
    <w:rsid w:val="001B35B6"/>
    <w:rsid w:val="001B35E2"/>
    <w:rsid w:val="001B367D"/>
    <w:rsid w:val="001B36FD"/>
    <w:rsid w:val="001B3726"/>
    <w:rsid w:val="001B376A"/>
    <w:rsid w:val="001B388D"/>
    <w:rsid w:val="001B3914"/>
    <w:rsid w:val="001B3922"/>
    <w:rsid w:val="001B3991"/>
    <w:rsid w:val="001B399C"/>
    <w:rsid w:val="001B3A39"/>
    <w:rsid w:val="001B3A3B"/>
    <w:rsid w:val="001B3A92"/>
    <w:rsid w:val="001B3A93"/>
    <w:rsid w:val="001B3B27"/>
    <w:rsid w:val="001B3B7E"/>
    <w:rsid w:val="001B3BB5"/>
    <w:rsid w:val="001B3BD8"/>
    <w:rsid w:val="001B3C1A"/>
    <w:rsid w:val="001B3D5A"/>
    <w:rsid w:val="001B3DC6"/>
    <w:rsid w:val="001B3DDD"/>
    <w:rsid w:val="001B3E55"/>
    <w:rsid w:val="001B3E7D"/>
    <w:rsid w:val="001B3E9A"/>
    <w:rsid w:val="001B3F52"/>
    <w:rsid w:val="001B3F6F"/>
    <w:rsid w:val="001B3FF6"/>
    <w:rsid w:val="001B40A3"/>
    <w:rsid w:val="001B4179"/>
    <w:rsid w:val="001B4180"/>
    <w:rsid w:val="001B41E4"/>
    <w:rsid w:val="001B4291"/>
    <w:rsid w:val="001B4325"/>
    <w:rsid w:val="001B444C"/>
    <w:rsid w:val="001B44E7"/>
    <w:rsid w:val="001B44F2"/>
    <w:rsid w:val="001B4629"/>
    <w:rsid w:val="001B466B"/>
    <w:rsid w:val="001B4776"/>
    <w:rsid w:val="001B477B"/>
    <w:rsid w:val="001B482D"/>
    <w:rsid w:val="001B4843"/>
    <w:rsid w:val="001B4858"/>
    <w:rsid w:val="001B48A3"/>
    <w:rsid w:val="001B491A"/>
    <w:rsid w:val="001B4962"/>
    <w:rsid w:val="001B4A3F"/>
    <w:rsid w:val="001B4A42"/>
    <w:rsid w:val="001B4ADA"/>
    <w:rsid w:val="001B4B36"/>
    <w:rsid w:val="001B4B46"/>
    <w:rsid w:val="001B4B5C"/>
    <w:rsid w:val="001B4BD6"/>
    <w:rsid w:val="001B4C10"/>
    <w:rsid w:val="001B4C34"/>
    <w:rsid w:val="001B4D6A"/>
    <w:rsid w:val="001B4E2D"/>
    <w:rsid w:val="001B4E7D"/>
    <w:rsid w:val="001B4E7F"/>
    <w:rsid w:val="001B4E8E"/>
    <w:rsid w:val="001B4EFE"/>
    <w:rsid w:val="001B4F34"/>
    <w:rsid w:val="001B4F76"/>
    <w:rsid w:val="001B502D"/>
    <w:rsid w:val="001B5184"/>
    <w:rsid w:val="001B51FE"/>
    <w:rsid w:val="001B52A9"/>
    <w:rsid w:val="001B52AF"/>
    <w:rsid w:val="001B52E3"/>
    <w:rsid w:val="001B52FD"/>
    <w:rsid w:val="001B5359"/>
    <w:rsid w:val="001B538A"/>
    <w:rsid w:val="001B547D"/>
    <w:rsid w:val="001B54A9"/>
    <w:rsid w:val="001B54EC"/>
    <w:rsid w:val="001B5546"/>
    <w:rsid w:val="001B5598"/>
    <w:rsid w:val="001B55AA"/>
    <w:rsid w:val="001B5612"/>
    <w:rsid w:val="001B569C"/>
    <w:rsid w:val="001B56F5"/>
    <w:rsid w:val="001B5707"/>
    <w:rsid w:val="001B5753"/>
    <w:rsid w:val="001B57A0"/>
    <w:rsid w:val="001B5848"/>
    <w:rsid w:val="001B5A84"/>
    <w:rsid w:val="001B5ACC"/>
    <w:rsid w:val="001B5C4D"/>
    <w:rsid w:val="001B5D70"/>
    <w:rsid w:val="001B5D83"/>
    <w:rsid w:val="001B5DBC"/>
    <w:rsid w:val="001B5EA3"/>
    <w:rsid w:val="001B5F3A"/>
    <w:rsid w:val="001B5F78"/>
    <w:rsid w:val="001B5F7A"/>
    <w:rsid w:val="001B60CD"/>
    <w:rsid w:val="001B610E"/>
    <w:rsid w:val="001B61F6"/>
    <w:rsid w:val="001B638C"/>
    <w:rsid w:val="001B6395"/>
    <w:rsid w:val="001B6398"/>
    <w:rsid w:val="001B64A2"/>
    <w:rsid w:val="001B64B2"/>
    <w:rsid w:val="001B6529"/>
    <w:rsid w:val="001B65D3"/>
    <w:rsid w:val="001B668F"/>
    <w:rsid w:val="001B6697"/>
    <w:rsid w:val="001B66FB"/>
    <w:rsid w:val="001B6718"/>
    <w:rsid w:val="001B6751"/>
    <w:rsid w:val="001B6836"/>
    <w:rsid w:val="001B6874"/>
    <w:rsid w:val="001B68AE"/>
    <w:rsid w:val="001B695C"/>
    <w:rsid w:val="001B697D"/>
    <w:rsid w:val="001B69C1"/>
    <w:rsid w:val="001B69F0"/>
    <w:rsid w:val="001B6A0A"/>
    <w:rsid w:val="001B6C49"/>
    <w:rsid w:val="001B6CAC"/>
    <w:rsid w:val="001B6D25"/>
    <w:rsid w:val="001B6D30"/>
    <w:rsid w:val="001B6D3C"/>
    <w:rsid w:val="001B6DE7"/>
    <w:rsid w:val="001B6F8D"/>
    <w:rsid w:val="001B7030"/>
    <w:rsid w:val="001B706C"/>
    <w:rsid w:val="001B70D9"/>
    <w:rsid w:val="001B7107"/>
    <w:rsid w:val="001B7152"/>
    <w:rsid w:val="001B717E"/>
    <w:rsid w:val="001B719C"/>
    <w:rsid w:val="001B7280"/>
    <w:rsid w:val="001B729D"/>
    <w:rsid w:val="001B72EE"/>
    <w:rsid w:val="001B7320"/>
    <w:rsid w:val="001B73C2"/>
    <w:rsid w:val="001B73D0"/>
    <w:rsid w:val="001B74A4"/>
    <w:rsid w:val="001B74BB"/>
    <w:rsid w:val="001B75F8"/>
    <w:rsid w:val="001B7705"/>
    <w:rsid w:val="001B779E"/>
    <w:rsid w:val="001B77AD"/>
    <w:rsid w:val="001B77E5"/>
    <w:rsid w:val="001B7814"/>
    <w:rsid w:val="001B782A"/>
    <w:rsid w:val="001B786B"/>
    <w:rsid w:val="001B78CA"/>
    <w:rsid w:val="001B78D3"/>
    <w:rsid w:val="001B7930"/>
    <w:rsid w:val="001B79A0"/>
    <w:rsid w:val="001B79C5"/>
    <w:rsid w:val="001B79CA"/>
    <w:rsid w:val="001B7A19"/>
    <w:rsid w:val="001B7CAC"/>
    <w:rsid w:val="001B7D3C"/>
    <w:rsid w:val="001B7F1A"/>
    <w:rsid w:val="001B7FF5"/>
    <w:rsid w:val="001BF13F"/>
    <w:rsid w:val="001C0007"/>
    <w:rsid w:val="001C004A"/>
    <w:rsid w:val="001C02DA"/>
    <w:rsid w:val="001C0346"/>
    <w:rsid w:val="001C0414"/>
    <w:rsid w:val="001C04C2"/>
    <w:rsid w:val="001C05A0"/>
    <w:rsid w:val="001C05BB"/>
    <w:rsid w:val="001C0617"/>
    <w:rsid w:val="001C061E"/>
    <w:rsid w:val="001C06A8"/>
    <w:rsid w:val="001C06BF"/>
    <w:rsid w:val="001C0721"/>
    <w:rsid w:val="001C0725"/>
    <w:rsid w:val="001C0768"/>
    <w:rsid w:val="001C0782"/>
    <w:rsid w:val="001C07F8"/>
    <w:rsid w:val="001C08A4"/>
    <w:rsid w:val="001C08B0"/>
    <w:rsid w:val="001C08D8"/>
    <w:rsid w:val="001C0A06"/>
    <w:rsid w:val="001C0C76"/>
    <w:rsid w:val="001C0CE4"/>
    <w:rsid w:val="001C0E52"/>
    <w:rsid w:val="001C0E7D"/>
    <w:rsid w:val="001C0F95"/>
    <w:rsid w:val="001C0FD5"/>
    <w:rsid w:val="001C0FFF"/>
    <w:rsid w:val="001C1033"/>
    <w:rsid w:val="001C1061"/>
    <w:rsid w:val="001C10DA"/>
    <w:rsid w:val="001C1154"/>
    <w:rsid w:val="001C1160"/>
    <w:rsid w:val="001C1211"/>
    <w:rsid w:val="001C1287"/>
    <w:rsid w:val="001C1364"/>
    <w:rsid w:val="001C1368"/>
    <w:rsid w:val="001C13AB"/>
    <w:rsid w:val="001C13B2"/>
    <w:rsid w:val="001C13C9"/>
    <w:rsid w:val="001C14A7"/>
    <w:rsid w:val="001C14B7"/>
    <w:rsid w:val="001C150C"/>
    <w:rsid w:val="001C1523"/>
    <w:rsid w:val="001C15D6"/>
    <w:rsid w:val="001C1600"/>
    <w:rsid w:val="001C166B"/>
    <w:rsid w:val="001C16AC"/>
    <w:rsid w:val="001C16AE"/>
    <w:rsid w:val="001C16C9"/>
    <w:rsid w:val="001C1799"/>
    <w:rsid w:val="001C180A"/>
    <w:rsid w:val="001C1896"/>
    <w:rsid w:val="001C18E7"/>
    <w:rsid w:val="001C1918"/>
    <w:rsid w:val="001C1956"/>
    <w:rsid w:val="001C1A49"/>
    <w:rsid w:val="001C1A95"/>
    <w:rsid w:val="001C1AD8"/>
    <w:rsid w:val="001C1B81"/>
    <w:rsid w:val="001C1BF7"/>
    <w:rsid w:val="001C1CFB"/>
    <w:rsid w:val="001C1D3C"/>
    <w:rsid w:val="001C1D56"/>
    <w:rsid w:val="001C1D6B"/>
    <w:rsid w:val="001C1D70"/>
    <w:rsid w:val="001C1F1B"/>
    <w:rsid w:val="001C1F22"/>
    <w:rsid w:val="001C2000"/>
    <w:rsid w:val="001C200E"/>
    <w:rsid w:val="001C2068"/>
    <w:rsid w:val="001C206F"/>
    <w:rsid w:val="001C20A3"/>
    <w:rsid w:val="001C20E3"/>
    <w:rsid w:val="001C210F"/>
    <w:rsid w:val="001C21F0"/>
    <w:rsid w:val="001C21FC"/>
    <w:rsid w:val="001C22CF"/>
    <w:rsid w:val="001C22FD"/>
    <w:rsid w:val="001C25B0"/>
    <w:rsid w:val="001C25F6"/>
    <w:rsid w:val="001C2706"/>
    <w:rsid w:val="001C274B"/>
    <w:rsid w:val="001C2769"/>
    <w:rsid w:val="001C287C"/>
    <w:rsid w:val="001C28AE"/>
    <w:rsid w:val="001C2944"/>
    <w:rsid w:val="001C294B"/>
    <w:rsid w:val="001C294C"/>
    <w:rsid w:val="001C2A7A"/>
    <w:rsid w:val="001C2A96"/>
    <w:rsid w:val="001C2B33"/>
    <w:rsid w:val="001C2B38"/>
    <w:rsid w:val="001C2B51"/>
    <w:rsid w:val="001C2B9C"/>
    <w:rsid w:val="001C2BCC"/>
    <w:rsid w:val="001C2C23"/>
    <w:rsid w:val="001C2C48"/>
    <w:rsid w:val="001C2C9A"/>
    <w:rsid w:val="001C2CB9"/>
    <w:rsid w:val="001C2CC8"/>
    <w:rsid w:val="001C2D0A"/>
    <w:rsid w:val="001C2D83"/>
    <w:rsid w:val="001C2DB8"/>
    <w:rsid w:val="001C2EBA"/>
    <w:rsid w:val="001C2F68"/>
    <w:rsid w:val="001C2FC2"/>
    <w:rsid w:val="001C2FEB"/>
    <w:rsid w:val="001C3032"/>
    <w:rsid w:val="001C3072"/>
    <w:rsid w:val="001C30FC"/>
    <w:rsid w:val="001C3152"/>
    <w:rsid w:val="001C3224"/>
    <w:rsid w:val="001C32AE"/>
    <w:rsid w:val="001C32B3"/>
    <w:rsid w:val="001C348D"/>
    <w:rsid w:val="001C34D2"/>
    <w:rsid w:val="001C34DA"/>
    <w:rsid w:val="001C35F2"/>
    <w:rsid w:val="001C35FB"/>
    <w:rsid w:val="001C3663"/>
    <w:rsid w:val="001C374D"/>
    <w:rsid w:val="001C3833"/>
    <w:rsid w:val="001C3883"/>
    <w:rsid w:val="001C39B0"/>
    <w:rsid w:val="001C3A7C"/>
    <w:rsid w:val="001C3B34"/>
    <w:rsid w:val="001C3B9B"/>
    <w:rsid w:val="001C3BD0"/>
    <w:rsid w:val="001C3C13"/>
    <w:rsid w:val="001C3E0D"/>
    <w:rsid w:val="001C3E6E"/>
    <w:rsid w:val="001C3E9F"/>
    <w:rsid w:val="001C3F8D"/>
    <w:rsid w:val="001C4001"/>
    <w:rsid w:val="001C4011"/>
    <w:rsid w:val="001C4034"/>
    <w:rsid w:val="001C40C6"/>
    <w:rsid w:val="001C4257"/>
    <w:rsid w:val="001C425E"/>
    <w:rsid w:val="001C42FE"/>
    <w:rsid w:val="001C4362"/>
    <w:rsid w:val="001C43CC"/>
    <w:rsid w:val="001C4467"/>
    <w:rsid w:val="001C4524"/>
    <w:rsid w:val="001C4577"/>
    <w:rsid w:val="001C46A5"/>
    <w:rsid w:val="001C46D3"/>
    <w:rsid w:val="001C488B"/>
    <w:rsid w:val="001C48C5"/>
    <w:rsid w:val="001C48CD"/>
    <w:rsid w:val="001C48E2"/>
    <w:rsid w:val="001C4A77"/>
    <w:rsid w:val="001C4A88"/>
    <w:rsid w:val="001C4A8C"/>
    <w:rsid w:val="001C4A9C"/>
    <w:rsid w:val="001C4AEB"/>
    <w:rsid w:val="001C4C28"/>
    <w:rsid w:val="001C4C4A"/>
    <w:rsid w:val="001C4D9D"/>
    <w:rsid w:val="001C4E54"/>
    <w:rsid w:val="001C4EB6"/>
    <w:rsid w:val="001C4F24"/>
    <w:rsid w:val="001C4FD7"/>
    <w:rsid w:val="001C510A"/>
    <w:rsid w:val="001C5149"/>
    <w:rsid w:val="001C51CE"/>
    <w:rsid w:val="001C530A"/>
    <w:rsid w:val="001C530D"/>
    <w:rsid w:val="001C5389"/>
    <w:rsid w:val="001C53C8"/>
    <w:rsid w:val="001C549A"/>
    <w:rsid w:val="001C556E"/>
    <w:rsid w:val="001C5589"/>
    <w:rsid w:val="001C55A1"/>
    <w:rsid w:val="001C57B5"/>
    <w:rsid w:val="001C5815"/>
    <w:rsid w:val="001C5827"/>
    <w:rsid w:val="001C5831"/>
    <w:rsid w:val="001C5855"/>
    <w:rsid w:val="001C59B3"/>
    <w:rsid w:val="001C59D8"/>
    <w:rsid w:val="001C59F0"/>
    <w:rsid w:val="001C5AB2"/>
    <w:rsid w:val="001C5ABE"/>
    <w:rsid w:val="001C5ACA"/>
    <w:rsid w:val="001C5B2D"/>
    <w:rsid w:val="001C5D0B"/>
    <w:rsid w:val="001C5F43"/>
    <w:rsid w:val="001C603C"/>
    <w:rsid w:val="001C60B6"/>
    <w:rsid w:val="001C60C4"/>
    <w:rsid w:val="001C60D6"/>
    <w:rsid w:val="001C6198"/>
    <w:rsid w:val="001C6254"/>
    <w:rsid w:val="001C6276"/>
    <w:rsid w:val="001C634D"/>
    <w:rsid w:val="001C634E"/>
    <w:rsid w:val="001C6406"/>
    <w:rsid w:val="001C6429"/>
    <w:rsid w:val="001C647F"/>
    <w:rsid w:val="001C64CE"/>
    <w:rsid w:val="001C6587"/>
    <w:rsid w:val="001C6596"/>
    <w:rsid w:val="001C6797"/>
    <w:rsid w:val="001C687B"/>
    <w:rsid w:val="001C69EC"/>
    <w:rsid w:val="001C6A4D"/>
    <w:rsid w:val="001C6A6B"/>
    <w:rsid w:val="001C6B1C"/>
    <w:rsid w:val="001C6B25"/>
    <w:rsid w:val="001C6B61"/>
    <w:rsid w:val="001C6BAE"/>
    <w:rsid w:val="001C6DA3"/>
    <w:rsid w:val="001C6E5F"/>
    <w:rsid w:val="001C6F80"/>
    <w:rsid w:val="001C6F99"/>
    <w:rsid w:val="001C6FC3"/>
    <w:rsid w:val="001C6FEA"/>
    <w:rsid w:val="001C701B"/>
    <w:rsid w:val="001C706D"/>
    <w:rsid w:val="001C7119"/>
    <w:rsid w:val="001C7134"/>
    <w:rsid w:val="001C71A2"/>
    <w:rsid w:val="001C7229"/>
    <w:rsid w:val="001C724F"/>
    <w:rsid w:val="001C72DF"/>
    <w:rsid w:val="001C737B"/>
    <w:rsid w:val="001C7393"/>
    <w:rsid w:val="001C73A0"/>
    <w:rsid w:val="001C74C8"/>
    <w:rsid w:val="001C7573"/>
    <w:rsid w:val="001C75BC"/>
    <w:rsid w:val="001C7615"/>
    <w:rsid w:val="001C7629"/>
    <w:rsid w:val="001C76DB"/>
    <w:rsid w:val="001C77F5"/>
    <w:rsid w:val="001C7810"/>
    <w:rsid w:val="001C786C"/>
    <w:rsid w:val="001C78B2"/>
    <w:rsid w:val="001C7903"/>
    <w:rsid w:val="001C797C"/>
    <w:rsid w:val="001C79AC"/>
    <w:rsid w:val="001C79BA"/>
    <w:rsid w:val="001C7B68"/>
    <w:rsid w:val="001C7B8B"/>
    <w:rsid w:val="001C7C1B"/>
    <w:rsid w:val="001C7CB3"/>
    <w:rsid w:val="001C7D2B"/>
    <w:rsid w:val="001C7DA6"/>
    <w:rsid w:val="001C7DC5"/>
    <w:rsid w:val="001C7E33"/>
    <w:rsid w:val="001C7E50"/>
    <w:rsid w:val="001C7E8E"/>
    <w:rsid w:val="001C7F47"/>
    <w:rsid w:val="001C7F58"/>
    <w:rsid w:val="001CBA74"/>
    <w:rsid w:val="001D016B"/>
    <w:rsid w:val="001D01D1"/>
    <w:rsid w:val="001D022F"/>
    <w:rsid w:val="001D02A7"/>
    <w:rsid w:val="001D02B6"/>
    <w:rsid w:val="001D0333"/>
    <w:rsid w:val="001D038D"/>
    <w:rsid w:val="001D03C4"/>
    <w:rsid w:val="001D03D8"/>
    <w:rsid w:val="001D0486"/>
    <w:rsid w:val="001D04F9"/>
    <w:rsid w:val="001D0516"/>
    <w:rsid w:val="001D0525"/>
    <w:rsid w:val="001D057C"/>
    <w:rsid w:val="001D05B7"/>
    <w:rsid w:val="001D05F5"/>
    <w:rsid w:val="001D0617"/>
    <w:rsid w:val="001D0764"/>
    <w:rsid w:val="001D07B8"/>
    <w:rsid w:val="001D07F8"/>
    <w:rsid w:val="001D0825"/>
    <w:rsid w:val="001D086C"/>
    <w:rsid w:val="001D0B09"/>
    <w:rsid w:val="001D0B50"/>
    <w:rsid w:val="001D0BAE"/>
    <w:rsid w:val="001D0BCC"/>
    <w:rsid w:val="001D0C43"/>
    <w:rsid w:val="001D0C58"/>
    <w:rsid w:val="001D0CCE"/>
    <w:rsid w:val="001D0D12"/>
    <w:rsid w:val="001D0D4E"/>
    <w:rsid w:val="001D0DB9"/>
    <w:rsid w:val="001D0DC8"/>
    <w:rsid w:val="001D0E07"/>
    <w:rsid w:val="001D1076"/>
    <w:rsid w:val="001D113F"/>
    <w:rsid w:val="001D1341"/>
    <w:rsid w:val="001D1354"/>
    <w:rsid w:val="001D139F"/>
    <w:rsid w:val="001D141A"/>
    <w:rsid w:val="001D157F"/>
    <w:rsid w:val="001D15D3"/>
    <w:rsid w:val="001D1601"/>
    <w:rsid w:val="001D1621"/>
    <w:rsid w:val="001D1638"/>
    <w:rsid w:val="001D1678"/>
    <w:rsid w:val="001D16A2"/>
    <w:rsid w:val="001D172D"/>
    <w:rsid w:val="001D1770"/>
    <w:rsid w:val="001D179C"/>
    <w:rsid w:val="001D17C3"/>
    <w:rsid w:val="001D17DB"/>
    <w:rsid w:val="001D181D"/>
    <w:rsid w:val="001D1941"/>
    <w:rsid w:val="001D199A"/>
    <w:rsid w:val="001D19B7"/>
    <w:rsid w:val="001D19B8"/>
    <w:rsid w:val="001D1B9F"/>
    <w:rsid w:val="001D1C1E"/>
    <w:rsid w:val="001D1C44"/>
    <w:rsid w:val="001D1C48"/>
    <w:rsid w:val="001D1C74"/>
    <w:rsid w:val="001D1C7F"/>
    <w:rsid w:val="001D1D6A"/>
    <w:rsid w:val="001D1E0B"/>
    <w:rsid w:val="001D1E3E"/>
    <w:rsid w:val="001D1E8B"/>
    <w:rsid w:val="001D1EF9"/>
    <w:rsid w:val="001D20BB"/>
    <w:rsid w:val="001D2132"/>
    <w:rsid w:val="001D2143"/>
    <w:rsid w:val="001D2150"/>
    <w:rsid w:val="001D227D"/>
    <w:rsid w:val="001D22B8"/>
    <w:rsid w:val="001D22CF"/>
    <w:rsid w:val="001D23A4"/>
    <w:rsid w:val="001D2404"/>
    <w:rsid w:val="001D2439"/>
    <w:rsid w:val="001D2447"/>
    <w:rsid w:val="001D2490"/>
    <w:rsid w:val="001D249F"/>
    <w:rsid w:val="001D24DC"/>
    <w:rsid w:val="001D2556"/>
    <w:rsid w:val="001D25CC"/>
    <w:rsid w:val="001D25D7"/>
    <w:rsid w:val="001D2612"/>
    <w:rsid w:val="001D261A"/>
    <w:rsid w:val="001D2664"/>
    <w:rsid w:val="001D2757"/>
    <w:rsid w:val="001D27CD"/>
    <w:rsid w:val="001D2863"/>
    <w:rsid w:val="001D293F"/>
    <w:rsid w:val="001D29F3"/>
    <w:rsid w:val="001D2B1E"/>
    <w:rsid w:val="001D2B3F"/>
    <w:rsid w:val="001D2B5F"/>
    <w:rsid w:val="001D2C37"/>
    <w:rsid w:val="001D2C71"/>
    <w:rsid w:val="001D2CEA"/>
    <w:rsid w:val="001D2CF1"/>
    <w:rsid w:val="001D2CF7"/>
    <w:rsid w:val="001D2DC7"/>
    <w:rsid w:val="001D2DE2"/>
    <w:rsid w:val="001D2E29"/>
    <w:rsid w:val="001D2EF4"/>
    <w:rsid w:val="001D2F1B"/>
    <w:rsid w:val="001D2FE5"/>
    <w:rsid w:val="001D3086"/>
    <w:rsid w:val="001D30EF"/>
    <w:rsid w:val="001D312B"/>
    <w:rsid w:val="001D313C"/>
    <w:rsid w:val="001D314F"/>
    <w:rsid w:val="001D31B0"/>
    <w:rsid w:val="001D3201"/>
    <w:rsid w:val="001D32E3"/>
    <w:rsid w:val="001D3305"/>
    <w:rsid w:val="001D3389"/>
    <w:rsid w:val="001D340D"/>
    <w:rsid w:val="001D3451"/>
    <w:rsid w:val="001D34C5"/>
    <w:rsid w:val="001D34EC"/>
    <w:rsid w:val="001D356F"/>
    <w:rsid w:val="001D357A"/>
    <w:rsid w:val="001D3583"/>
    <w:rsid w:val="001D35EA"/>
    <w:rsid w:val="001D36DE"/>
    <w:rsid w:val="001D372D"/>
    <w:rsid w:val="001D3782"/>
    <w:rsid w:val="001D378F"/>
    <w:rsid w:val="001D379A"/>
    <w:rsid w:val="001D37EA"/>
    <w:rsid w:val="001D37F7"/>
    <w:rsid w:val="001D3813"/>
    <w:rsid w:val="001D3924"/>
    <w:rsid w:val="001D39BB"/>
    <w:rsid w:val="001D39F0"/>
    <w:rsid w:val="001D3C18"/>
    <w:rsid w:val="001D3CF1"/>
    <w:rsid w:val="001D3D9C"/>
    <w:rsid w:val="001D3E20"/>
    <w:rsid w:val="001D3E45"/>
    <w:rsid w:val="001D3E58"/>
    <w:rsid w:val="001D3EAB"/>
    <w:rsid w:val="001D3FA4"/>
    <w:rsid w:val="001D3FC6"/>
    <w:rsid w:val="001D3FE6"/>
    <w:rsid w:val="001D3FF5"/>
    <w:rsid w:val="001D40F0"/>
    <w:rsid w:val="001D4153"/>
    <w:rsid w:val="001D4160"/>
    <w:rsid w:val="001D41B2"/>
    <w:rsid w:val="001D41B3"/>
    <w:rsid w:val="001D4340"/>
    <w:rsid w:val="001D4389"/>
    <w:rsid w:val="001D43A1"/>
    <w:rsid w:val="001D445A"/>
    <w:rsid w:val="001D44BB"/>
    <w:rsid w:val="001D45B1"/>
    <w:rsid w:val="001D4703"/>
    <w:rsid w:val="001D4737"/>
    <w:rsid w:val="001D47E1"/>
    <w:rsid w:val="001D47E5"/>
    <w:rsid w:val="001D483C"/>
    <w:rsid w:val="001D4872"/>
    <w:rsid w:val="001D48D5"/>
    <w:rsid w:val="001D48E2"/>
    <w:rsid w:val="001D48FA"/>
    <w:rsid w:val="001D490A"/>
    <w:rsid w:val="001D4918"/>
    <w:rsid w:val="001D4942"/>
    <w:rsid w:val="001D4951"/>
    <w:rsid w:val="001D4A2C"/>
    <w:rsid w:val="001D4A8D"/>
    <w:rsid w:val="001D4ABE"/>
    <w:rsid w:val="001D4AEE"/>
    <w:rsid w:val="001D4C39"/>
    <w:rsid w:val="001D4CBA"/>
    <w:rsid w:val="001D4DA8"/>
    <w:rsid w:val="001D4E80"/>
    <w:rsid w:val="001D4ED5"/>
    <w:rsid w:val="001D4FD6"/>
    <w:rsid w:val="001D4FE0"/>
    <w:rsid w:val="001D4FFE"/>
    <w:rsid w:val="001D51A2"/>
    <w:rsid w:val="001D51F0"/>
    <w:rsid w:val="001D5221"/>
    <w:rsid w:val="001D5229"/>
    <w:rsid w:val="001D5272"/>
    <w:rsid w:val="001D52C0"/>
    <w:rsid w:val="001D533F"/>
    <w:rsid w:val="001D5382"/>
    <w:rsid w:val="001D53C9"/>
    <w:rsid w:val="001D53CC"/>
    <w:rsid w:val="001D5437"/>
    <w:rsid w:val="001D545A"/>
    <w:rsid w:val="001D547A"/>
    <w:rsid w:val="001D5523"/>
    <w:rsid w:val="001D553C"/>
    <w:rsid w:val="001D55B3"/>
    <w:rsid w:val="001D55DF"/>
    <w:rsid w:val="001D561B"/>
    <w:rsid w:val="001D56F3"/>
    <w:rsid w:val="001D570D"/>
    <w:rsid w:val="001D5719"/>
    <w:rsid w:val="001D5769"/>
    <w:rsid w:val="001D57D2"/>
    <w:rsid w:val="001D58EB"/>
    <w:rsid w:val="001D5972"/>
    <w:rsid w:val="001D5A25"/>
    <w:rsid w:val="001D5A7D"/>
    <w:rsid w:val="001D5AA1"/>
    <w:rsid w:val="001D5B34"/>
    <w:rsid w:val="001D5BD2"/>
    <w:rsid w:val="001D5CD4"/>
    <w:rsid w:val="001D5D7C"/>
    <w:rsid w:val="001D5DFC"/>
    <w:rsid w:val="001D5E84"/>
    <w:rsid w:val="001D5EE2"/>
    <w:rsid w:val="001D5F24"/>
    <w:rsid w:val="001D5F30"/>
    <w:rsid w:val="001D5F46"/>
    <w:rsid w:val="001D5F5F"/>
    <w:rsid w:val="001D5F66"/>
    <w:rsid w:val="001D5F87"/>
    <w:rsid w:val="001D5F89"/>
    <w:rsid w:val="001D5F9E"/>
    <w:rsid w:val="001D6020"/>
    <w:rsid w:val="001D602A"/>
    <w:rsid w:val="001D6059"/>
    <w:rsid w:val="001D60D9"/>
    <w:rsid w:val="001D6280"/>
    <w:rsid w:val="001D6385"/>
    <w:rsid w:val="001D63AE"/>
    <w:rsid w:val="001D6479"/>
    <w:rsid w:val="001D6693"/>
    <w:rsid w:val="001D66C5"/>
    <w:rsid w:val="001D67BA"/>
    <w:rsid w:val="001D6806"/>
    <w:rsid w:val="001D6838"/>
    <w:rsid w:val="001D68E6"/>
    <w:rsid w:val="001D6900"/>
    <w:rsid w:val="001D69A3"/>
    <w:rsid w:val="001D69E5"/>
    <w:rsid w:val="001D6A0E"/>
    <w:rsid w:val="001D6A52"/>
    <w:rsid w:val="001D6A80"/>
    <w:rsid w:val="001D6AC5"/>
    <w:rsid w:val="001D6B38"/>
    <w:rsid w:val="001D6B65"/>
    <w:rsid w:val="001D6BE1"/>
    <w:rsid w:val="001D6C6A"/>
    <w:rsid w:val="001D6CAB"/>
    <w:rsid w:val="001D6D07"/>
    <w:rsid w:val="001D6D21"/>
    <w:rsid w:val="001D6D57"/>
    <w:rsid w:val="001D6E68"/>
    <w:rsid w:val="001D6E8C"/>
    <w:rsid w:val="001D6EBB"/>
    <w:rsid w:val="001D6ED1"/>
    <w:rsid w:val="001D6FE6"/>
    <w:rsid w:val="001D7077"/>
    <w:rsid w:val="001D726D"/>
    <w:rsid w:val="001D72FE"/>
    <w:rsid w:val="001D731C"/>
    <w:rsid w:val="001D7320"/>
    <w:rsid w:val="001D73B9"/>
    <w:rsid w:val="001D7467"/>
    <w:rsid w:val="001D7506"/>
    <w:rsid w:val="001D7588"/>
    <w:rsid w:val="001D75DA"/>
    <w:rsid w:val="001D75FD"/>
    <w:rsid w:val="001D7699"/>
    <w:rsid w:val="001D7708"/>
    <w:rsid w:val="001D7713"/>
    <w:rsid w:val="001D7744"/>
    <w:rsid w:val="001D78F5"/>
    <w:rsid w:val="001D791A"/>
    <w:rsid w:val="001D7985"/>
    <w:rsid w:val="001D7A39"/>
    <w:rsid w:val="001D7A6B"/>
    <w:rsid w:val="001D7AAB"/>
    <w:rsid w:val="001D7CC2"/>
    <w:rsid w:val="001D7CE1"/>
    <w:rsid w:val="001D7D10"/>
    <w:rsid w:val="001D7D17"/>
    <w:rsid w:val="001D7D29"/>
    <w:rsid w:val="001D7D93"/>
    <w:rsid w:val="001D7DCD"/>
    <w:rsid w:val="001D7DEF"/>
    <w:rsid w:val="001D7F24"/>
    <w:rsid w:val="001D7F43"/>
    <w:rsid w:val="001E00A2"/>
    <w:rsid w:val="001E0182"/>
    <w:rsid w:val="001E01DB"/>
    <w:rsid w:val="001E01E7"/>
    <w:rsid w:val="001E0207"/>
    <w:rsid w:val="001E0215"/>
    <w:rsid w:val="001E028C"/>
    <w:rsid w:val="001E0341"/>
    <w:rsid w:val="001E0378"/>
    <w:rsid w:val="001E0405"/>
    <w:rsid w:val="001E0421"/>
    <w:rsid w:val="001E0465"/>
    <w:rsid w:val="001E04FE"/>
    <w:rsid w:val="001E05EB"/>
    <w:rsid w:val="001E0638"/>
    <w:rsid w:val="001E06D5"/>
    <w:rsid w:val="001E06F7"/>
    <w:rsid w:val="001E0703"/>
    <w:rsid w:val="001E0767"/>
    <w:rsid w:val="001E0818"/>
    <w:rsid w:val="001E083B"/>
    <w:rsid w:val="001E096A"/>
    <w:rsid w:val="001E0999"/>
    <w:rsid w:val="001E09EB"/>
    <w:rsid w:val="001E0A0A"/>
    <w:rsid w:val="001E0A78"/>
    <w:rsid w:val="001E0AA6"/>
    <w:rsid w:val="001E0AB3"/>
    <w:rsid w:val="001E0B42"/>
    <w:rsid w:val="001E0BA4"/>
    <w:rsid w:val="001E0C16"/>
    <w:rsid w:val="001E0C94"/>
    <w:rsid w:val="001E0CA9"/>
    <w:rsid w:val="001E0D66"/>
    <w:rsid w:val="001E0E8E"/>
    <w:rsid w:val="001E0F85"/>
    <w:rsid w:val="001E0FB0"/>
    <w:rsid w:val="001E11E4"/>
    <w:rsid w:val="001E13BB"/>
    <w:rsid w:val="001E143B"/>
    <w:rsid w:val="001E1455"/>
    <w:rsid w:val="001E14A3"/>
    <w:rsid w:val="001E14D5"/>
    <w:rsid w:val="001E14E1"/>
    <w:rsid w:val="001E158B"/>
    <w:rsid w:val="001E1666"/>
    <w:rsid w:val="001E1696"/>
    <w:rsid w:val="001E1699"/>
    <w:rsid w:val="001E1806"/>
    <w:rsid w:val="001E1812"/>
    <w:rsid w:val="001E18AA"/>
    <w:rsid w:val="001E18B7"/>
    <w:rsid w:val="001E18CD"/>
    <w:rsid w:val="001E1956"/>
    <w:rsid w:val="001E19CC"/>
    <w:rsid w:val="001E1A79"/>
    <w:rsid w:val="001E1B7C"/>
    <w:rsid w:val="001E1BB6"/>
    <w:rsid w:val="001E1BFE"/>
    <w:rsid w:val="001E1C42"/>
    <w:rsid w:val="001E1C96"/>
    <w:rsid w:val="001E1DE5"/>
    <w:rsid w:val="001E1E77"/>
    <w:rsid w:val="001E1F15"/>
    <w:rsid w:val="001E1FB9"/>
    <w:rsid w:val="001E1FD4"/>
    <w:rsid w:val="001E2008"/>
    <w:rsid w:val="001E20B3"/>
    <w:rsid w:val="001E20E3"/>
    <w:rsid w:val="001E2171"/>
    <w:rsid w:val="001E2329"/>
    <w:rsid w:val="001E23CC"/>
    <w:rsid w:val="001E243D"/>
    <w:rsid w:val="001E2482"/>
    <w:rsid w:val="001E253E"/>
    <w:rsid w:val="001E25B6"/>
    <w:rsid w:val="001E25FC"/>
    <w:rsid w:val="001E2674"/>
    <w:rsid w:val="001E2707"/>
    <w:rsid w:val="001E2884"/>
    <w:rsid w:val="001E290F"/>
    <w:rsid w:val="001E296D"/>
    <w:rsid w:val="001E297A"/>
    <w:rsid w:val="001E29DE"/>
    <w:rsid w:val="001E29F3"/>
    <w:rsid w:val="001E2A27"/>
    <w:rsid w:val="001E2AE6"/>
    <w:rsid w:val="001E2C03"/>
    <w:rsid w:val="001E2C33"/>
    <w:rsid w:val="001E2DE1"/>
    <w:rsid w:val="001E2E43"/>
    <w:rsid w:val="001E2F20"/>
    <w:rsid w:val="001E2F93"/>
    <w:rsid w:val="001E2FC7"/>
    <w:rsid w:val="001E2FE5"/>
    <w:rsid w:val="001E2FEA"/>
    <w:rsid w:val="001E3081"/>
    <w:rsid w:val="001E30E6"/>
    <w:rsid w:val="001E311D"/>
    <w:rsid w:val="001E312F"/>
    <w:rsid w:val="001E31A0"/>
    <w:rsid w:val="001E31AC"/>
    <w:rsid w:val="001E32D1"/>
    <w:rsid w:val="001E32DE"/>
    <w:rsid w:val="001E3332"/>
    <w:rsid w:val="001E3375"/>
    <w:rsid w:val="001E33D5"/>
    <w:rsid w:val="001E3568"/>
    <w:rsid w:val="001E35BE"/>
    <w:rsid w:val="001E3693"/>
    <w:rsid w:val="001E36A3"/>
    <w:rsid w:val="001E36F6"/>
    <w:rsid w:val="001E374B"/>
    <w:rsid w:val="001E3750"/>
    <w:rsid w:val="001E3825"/>
    <w:rsid w:val="001E386E"/>
    <w:rsid w:val="001E3873"/>
    <w:rsid w:val="001E3894"/>
    <w:rsid w:val="001E38A2"/>
    <w:rsid w:val="001E38DA"/>
    <w:rsid w:val="001E38EC"/>
    <w:rsid w:val="001E3928"/>
    <w:rsid w:val="001E397A"/>
    <w:rsid w:val="001E3A37"/>
    <w:rsid w:val="001E3A67"/>
    <w:rsid w:val="001E3A6B"/>
    <w:rsid w:val="001E3B81"/>
    <w:rsid w:val="001E3BA6"/>
    <w:rsid w:val="001E3C21"/>
    <w:rsid w:val="001E3D20"/>
    <w:rsid w:val="001E3D75"/>
    <w:rsid w:val="001E3E0A"/>
    <w:rsid w:val="001E3E7C"/>
    <w:rsid w:val="001E3E85"/>
    <w:rsid w:val="001E3F93"/>
    <w:rsid w:val="001E4121"/>
    <w:rsid w:val="001E41FC"/>
    <w:rsid w:val="001E4212"/>
    <w:rsid w:val="001E4229"/>
    <w:rsid w:val="001E4296"/>
    <w:rsid w:val="001E42D5"/>
    <w:rsid w:val="001E432F"/>
    <w:rsid w:val="001E43BE"/>
    <w:rsid w:val="001E4419"/>
    <w:rsid w:val="001E446D"/>
    <w:rsid w:val="001E4473"/>
    <w:rsid w:val="001E4487"/>
    <w:rsid w:val="001E449B"/>
    <w:rsid w:val="001E4541"/>
    <w:rsid w:val="001E4543"/>
    <w:rsid w:val="001E4682"/>
    <w:rsid w:val="001E4702"/>
    <w:rsid w:val="001E4715"/>
    <w:rsid w:val="001E472B"/>
    <w:rsid w:val="001E47A9"/>
    <w:rsid w:val="001E486F"/>
    <w:rsid w:val="001E496E"/>
    <w:rsid w:val="001E4AB6"/>
    <w:rsid w:val="001E4AEC"/>
    <w:rsid w:val="001E4B39"/>
    <w:rsid w:val="001E4B73"/>
    <w:rsid w:val="001E4B77"/>
    <w:rsid w:val="001E4E3E"/>
    <w:rsid w:val="001E4ED1"/>
    <w:rsid w:val="001E50DA"/>
    <w:rsid w:val="001E5144"/>
    <w:rsid w:val="001E51B2"/>
    <w:rsid w:val="001E51BA"/>
    <w:rsid w:val="001E5207"/>
    <w:rsid w:val="001E5259"/>
    <w:rsid w:val="001E5260"/>
    <w:rsid w:val="001E5267"/>
    <w:rsid w:val="001E52F1"/>
    <w:rsid w:val="001E5322"/>
    <w:rsid w:val="001E53D5"/>
    <w:rsid w:val="001E542F"/>
    <w:rsid w:val="001E5497"/>
    <w:rsid w:val="001E54A3"/>
    <w:rsid w:val="001E54A7"/>
    <w:rsid w:val="001E54FC"/>
    <w:rsid w:val="001E5576"/>
    <w:rsid w:val="001E563E"/>
    <w:rsid w:val="001E5683"/>
    <w:rsid w:val="001E576B"/>
    <w:rsid w:val="001E5807"/>
    <w:rsid w:val="001E5856"/>
    <w:rsid w:val="001E5863"/>
    <w:rsid w:val="001E597D"/>
    <w:rsid w:val="001E5A79"/>
    <w:rsid w:val="001E5AE2"/>
    <w:rsid w:val="001E5B01"/>
    <w:rsid w:val="001E5B1D"/>
    <w:rsid w:val="001E5CFA"/>
    <w:rsid w:val="001E5DE5"/>
    <w:rsid w:val="001E5E92"/>
    <w:rsid w:val="001E5EFE"/>
    <w:rsid w:val="001E5FFE"/>
    <w:rsid w:val="001E6042"/>
    <w:rsid w:val="001E6074"/>
    <w:rsid w:val="001E61CF"/>
    <w:rsid w:val="001E625B"/>
    <w:rsid w:val="001E62B2"/>
    <w:rsid w:val="001E6458"/>
    <w:rsid w:val="001E64F6"/>
    <w:rsid w:val="001E6521"/>
    <w:rsid w:val="001E653A"/>
    <w:rsid w:val="001E65CA"/>
    <w:rsid w:val="001E6639"/>
    <w:rsid w:val="001E666A"/>
    <w:rsid w:val="001E666D"/>
    <w:rsid w:val="001E6679"/>
    <w:rsid w:val="001E6681"/>
    <w:rsid w:val="001E671B"/>
    <w:rsid w:val="001E6743"/>
    <w:rsid w:val="001E67E1"/>
    <w:rsid w:val="001E687E"/>
    <w:rsid w:val="001E6912"/>
    <w:rsid w:val="001E69B5"/>
    <w:rsid w:val="001E6B77"/>
    <w:rsid w:val="001E6BAB"/>
    <w:rsid w:val="001E6BB7"/>
    <w:rsid w:val="001E6BFC"/>
    <w:rsid w:val="001E6CB8"/>
    <w:rsid w:val="001E6CC2"/>
    <w:rsid w:val="001E6CE7"/>
    <w:rsid w:val="001E6D34"/>
    <w:rsid w:val="001E6D37"/>
    <w:rsid w:val="001E6D5D"/>
    <w:rsid w:val="001E6D7C"/>
    <w:rsid w:val="001E6DC1"/>
    <w:rsid w:val="001E6E59"/>
    <w:rsid w:val="001E6E67"/>
    <w:rsid w:val="001E704D"/>
    <w:rsid w:val="001E7071"/>
    <w:rsid w:val="001E7087"/>
    <w:rsid w:val="001E7100"/>
    <w:rsid w:val="001E7145"/>
    <w:rsid w:val="001E7218"/>
    <w:rsid w:val="001E728C"/>
    <w:rsid w:val="001E72B5"/>
    <w:rsid w:val="001E72C7"/>
    <w:rsid w:val="001E72DD"/>
    <w:rsid w:val="001E7347"/>
    <w:rsid w:val="001E7488"/>
    <w:rsid w:val="001E74EF"/>
    <w:rsid w:val="001E75DB"/>
    <w:rsid w:val="001E7619"/>
    <w:rsid w:val="001E7730"/>
    <w:rsid w:val="001E7783"/>
    <w:rsid w:val="001E77E0"/>
    <w:rsid w:val="001E7872"/>
    <w:rsid w:val="001E78AA"/>
    <w:rsid w:val="001E78AE"/>
    <w:rsid w:val="001E7921"/>
    <w:rsid w:val="001E792F"/>
    <w:rsid w:val="001E7984"/>
    <w:rsid w:val="001E7A25"/>
    <w:rsid w:val="001E7A66"/>
    <w:rsid w:val="001E7AA4"/>
    <w:rsid w:val="001E7B4D"/>
    <w:rsid w:val="001E7BB8"/>
    <w:rsid w:val="001E7C00"/>
    <w:rsid w:val="001E7C4E"/>
    <w:rsid w:val="001E7D14"/>
    <w:rsid w:val="001E7DB7"/>
    <w:rsid w:val="001E7DDF"/>
    <w:rsid w:val="001E7E8E"/>
    <w:rsid w:val="001E7EF9"/>
    <w:rsid w:val="001E7F2E"/>
    <w:rsid w:val="001E7F68"/>
    <w:rsid w:val="001E7F6C"/>
    <w:rsid w:val="001ED003"/>
    <w:rsid w:val="001F00C0"/>
    <w:rsid w:val="001F00E8"/>
    <w:rsid w:val="001F00FA"/>
    <w:rsid w:val="001F0134"/>
    <w:rsid w:val="001F0140"/>
    <w:rsid w:val="001F022F"/>
    <w:rsid w:val="001F024E"/>
    <w:rsid w:val="001F02EC"/>
    <w:rsid w:val="001F0407"/>
    <w:rsid w:val="001F0497"/>
    <w:rsid w:val="001F055A"/>
    <w:rsid w:val="001F0567"/>
    <w:rsid w:val="001F0616"/>
    <w:rsid w:val="001F06EF"/>
    <w:rsid w:val="001F0757"/>
    <w:rsid w:val="001F079F"/>
    <w:rsid w:val="001F07F2"/>
    <w:rsid w:val="001F0877"/>
    <w:rsid w:val="001F0895"/>
    <w:rsid w:val="001F08FB"/>
    <w:rsid w:val="001F0932"/>
    <w:rsid w:val="001F0955"/>
    <w:rsid w:val="001F09AE"/>
    <w:rsid w:val="001F0A17"/>
    <w:rsid w:val="001F0A8B"/>
    <w:rsid w:val="001F0B3C"/>
    <w:rsid w:val="001F0D14"/>
    <w:rsid w:val="001F0D68"/>
    <w:rsid w:val="001F0DE0"/>
    <w:rsid w:val="001F0F64"/>
    <w:rsid w:val="001F0F6E"/>
    <w:rsid w:val="001F0FBB"/>
    <w:rsid w:val="001F0FC7"/>
    <w:rsid w:val="001F1164"/>
    <w:rsid w:val="001F121B"/>
    <w:rsid w:val="001F121F"/>
    <w:rsid w:val="001F123F"/>
    <w:rsid w:val="001F126E"/>
    <w:rsid w:val="001F1270"/>
    <w:rsid w:val="001F129A"/>
    <w:rsid w:val="001F129C"/>
    <w:rsid w:val="001F12E7"/>
    <w:rsid w:val="001F13E5"/>
    <w:rsid w:val="001F1540"/>
    <w:rsid w:val="001F161E"/>
    <w:rsid w:val="001F1778"/>
    <w:rsid w:val="001F18B4"/>
    <w:rsid w:val="001F1969"/>
    <w:rsid w:val="001F1999"/>
    <w:rsid w:val="001F19E9"/>
    <w:rsid w:val="001F1A0F"/>
    <w:rsid w:val="001F1A5A"/>
    <w:rsid w:val="001F1A89"/>
    <w:rsid w:val="001F1BB1"/>
    <w:rsid w:val="001F1C47"/>
    <w:rsid w:val="001F1CB6"/>
    <w:rsid w:val="001F1D35"/>
    <w:rsid w:val="001F1DB8"/>
    <w:rsid w:val="001F1E51"/>
    <w:rsid w:val="001F1E68"/>
    <w:rsid w:val="001F1E7A"/>
    <w:rsid w:val="001F1F36"/>
    <w:rsid w:val="001F1F8A"/>
    <w:rsid w:val="001F2061"/>
    <w:rsid w:val="001F20AE"/>
    <w:rsid w:val="001F210E"/>
    <w:rsid w:val="001F213F"/>
    <w:rsid w:val="001F2179"/>
    <w:rsid w:val="001F21BD"/>
    <w:rsid w:val="001F21E0"/>
    <w:rsid w:val="001F22BC"/>
    <w:rsid w:val="001F237D"/>
    <w:rsid w:val="001F2510"/>
    <w:rsid w:val="001F252E"/>
    <w:rsid w:val="001F2559"/>
    <w:rsid w:val="001F25C7"/>
    <w:rsid w:val="001F25DF"/>
    <w:rsid w:val="001F262E"/>
    <w:rsid w:val="001F264F"/>
    <w:rsid w:val="001F2656"/>
    <w:rsid w:val="001F26D5"/>
    <w:rsid w:val="001F26E6"/>
    <w:rsid w:val="001F2735"/>
    <w:rsid w:val="001F27F8"/>
    <w:rsid w:val="001F2833"/>
    <w:rsid w:val="001F2887"/>
    <w:rsid w:val="001F28B7"/>
    <w:rsid w:val="001F2947"/>
    <w:rsid w:val="001F2964"/>
    <w:rsid w:val="001F2966"/>
    <w:rsid w:val="001F29A2"/>
    <w:rsid w:val="001F29B0"/>
    <w:rsid w:val="001F2A5C"/>
    <w:rsid w:val="001F2A91"/>
    <w:rsid w:val="001F2C05"/>
    <w:rsid w:val="001F2C4C"/>
    <w:rsid w:val="001F2C9A"/>
    <w:rsid w:val="001F2D93"/>
    <w:rsid w:val="001F2EB5"/>
    <w:rsid w:val="001F2F4E"/>
    <w:rsid w:val="001F2F53"/>
    <w:rsid w:val="001F2FFD"/>
    <w:rsid w:val="001F300D"/>
    <w:rsid w:val="001F3090"/>
    <w:rsid w:val="001F30F2"/>
    <w:rsid w:val="001F3405"/>
    <w:rsid w:val="001F346C"/>
    <w:rsid w:val="001F3505"/>
    <w:rsid w:val="001F3532"/>
    <w:rsid w:val="001F3535"/>
    <w:rsid w:val="001F3683"/>
    <w:rsid w:val="001F37A2"/>
    <w:rsid w:val="001F38E6"/>
    <w:rsid w:val="001F3964"/>
    <w:rsid w:val="001F39B4"/>
    <w:rsid w:val="001F39E9"/>
    <w:rsid w:val="001F3A2B"/>
    <w:rsid w:val="001F3A31"/>
    <w:rsid w:val="001F3B27"/>
    <w:rsid w:val="001F3C17"/>
    <w:rsid w:val="001F3D1A"/>
    <w:rsid w:val="001F3D7E"/>
    <w:rsid w:val="001F3D8F"/>
    <w:rsid w:val="001F3DA7"/>
    <w:rsid w:val="001F3E29"/>
    <w:rsid w:val="001F3E46"/>
    <w:rsid w:val="001F3EFE"/>
    <w:rsid w:val="001F3F50"/>
    <w:rsid w:val="001F3F56"/>
    <w:rsid w:val="001F3F88"/>
    <w:rsid w:val="001F4044"/>
    <w:rsid w:val="001F4095"/>
    <w:rsid w:val="001F40C7"/>
    <w:rsid w:val="001F41A9"/>
    <w:rsid w:val="001F41B3"/>
    <w:rsid w:val="001F41DE"/>
    <w:rsid w:val="001F4234"/>
    <w:rsid w:val="001F42C7"/>
    <w:rsid w:val="001F4329"/>
    <w:rsid w:val="001F447E"/>
    <w:rsid w:val="001F448F"/>
    <w:rsid w:val="001F4578"/>
    <w:rsid w:val="001F458C"/>
    <w:rsid w:val="001F47AF"/>
    <w:rsid w:val="001F47C7"/>
    <w:rsid w:val="001F48D9"/>
    <w:rsid w:val="001F498A"/>
    <w:rsid w:val="001F4A68"/>
    <w:rsid w:val="001F4A8A"/>
    <w:rsid w:val="001F4A94"/>
    <w:rsid w:val="001F4AF5"/>
    <w:rsid w:val="001F4B81"/>
    <w:rsid w:val="001F4C31"/>
    <w:rsid w:val="001F4C78"/>
    <w:rsid w:val="001F4CED"/>
    <w:rsid w:val="001F4D99"/>
    <w:rsid w:val="001F4DA9"/>
    <w:rsid w:val="001F4DD6"/>
    <w:rsid w:val="001F4DFD"/>
    <w:rsid w:val="001F4E8A"/>
    <w:rsid w:val="001F4FFB"/>
    <w:rsid w:val="001F5010"/>
    <w:rsid w:val="001F5030"/>
    <w:rsid w:val="001F50A2"/>
    <w:rsid w:val="001F5206"/>
    <w:rsid w:val="001F5331"/>
    <w:rsid w:val="001F53F3"/>
    <w:rsid w:val="001F543C"/>
    <w:rsid w:val="001F5474"/>
    <w:rsid w:val="001F548A"/>
    <w:rsid w:val="001F5499"/>
    <w:rsid w:val="001F54FD"/>
    <w:rsid w:val="001F5721"/>
    <w:rsid w:val="001F5771"/>
    <w:rsid w:val="001F57A3"/>
    <w:rsid w:val="001F580B"/>
    <w:rsid w:val="001F5865"/>
    <w:rsid w:val="001F5A66"/>
    <w:rsid w:val="001F5AD5"/>
    <w:rsid w:val="001F5B5A"/>
    <w:rsid w:val="001F5B5D"/>
    <w:rsid w:val="001F5BC3"/>
    <w:rsid w:val="001F5C00"/>
    <w:rsid w:val="001F5C43"/>
    <w:rsid w:val="001F5C74"/>
    <w:rsid w:val="001F5C9A"/>
    <w:rsid w:val="001F5D2C"/>
    <w:rsid w:val="001F5D36"/>
    <w:rsid w:val="001F5DA4"/>
    <w:rsid w:val="001F5DFF"/>
    <w:rsid w:val="001F5E1B"/>
    <w:rsid w:val="001F5E77"/>
    <w:rsid w:val="001F5EE5"/>
    <w:rsid w:val="001F5EFE"/>
    <w:rsid w:val="001F5F2C"/>
    <w:rsid w:val="001F5F9B"/>
    <w:rsid w:val="001F5FCD"/>
    <w:rsid w:val="001F6044"/>
    <w:rsid w:val="001F607A"/>
    <w:rsid w:val="001F60F8"/>
    <w:rsid w:val="001F6209"/>
    <w:rsid w:val="001F6287"/>
    <w:rsid w:val="001F632D"/>
    <w:rsid w:val="001F6433"/>
    <w:rsid w:val="001F652B"/>
    <w:rsid w:val="001F6562"/>
    <w:rsid w:val="001F65A4"/>
    <w:rsid w:val="001F662B"/>
    <w:rsid w:val="001F66C9"/>
    <w:rsid w:val="001F67B4"/>
    <w:rsid w:val="001F6A2A"/>
    <w:rsid w:val="001F6AE0"/>
    <w:rsid w:val="001F6B8F"/>
    <w:rsid w:val="001F6C0B"/>
    <w:rsid w:val="001F6CB4"/>
    <w:rsid w:val="001F6D00"/>
    <w:rsid w:val="001F6D55"/>
    <w:rsid w:val="001F6DDF"/>
    <w:rsid w:val="001F6E3A"/>
    <w:rsid w:val="001F6F3C"/>
    <w:rsid w:val="001F6F3E"/>
    <w:rsid w:val="001F7005"/>
    <w:rsid w:val="001F70B6"/>
    <w:rsid w:val="001F715E"/>
    <w:rsid w:val="001F726C"/>
    <w:rsid w:val="001F72CD"/>
    <w:rsid w:val="001F72E3"/>
    <w:rsid w:val="001F7364"/>
    <w:rsid w:val="001F736F"/>
    <w:rsid w:val="001F7403"/>
    <w:rsid w:val="001F7583"/>
    <w:rsid w:val="001F759C"/>
    <w:rsid w:val="001F75C0"/>
    <w:rsid w:val="001F780E"/>
    <w:rsid w:val="001F782C"/>
    <w:rsid w:val="001F783F"/>
    <w:rsid w:val="001F7873"/>
    <w:rsid w:val="001F7901"/>
    <w:rsid w:val="001F7981"/>
    <w:rsid w:val="001F7A27"/>
    <w:rsid w:val="001F7A37"/>
    <w:rsid w:val="001F7A41"/>
    <w:rsid w:val="001F7AA0"/>
    <w:rsid w:val="001F7ACC"/>
    <w:rsid w:val="001F7B1B"/>
    <w:rsid w:val="001F7BA2"/>
    <w:rsid w:val="001F7BA4"/>
    <w:rsid w:val="001F7BC0"/>
    <w:rsid w:val="001F7D2A"/>
    <w:rsid w:val="001F7E35"/>
    <w:rsid w:val="001F7E8A"/>
    <w:rsid w:val="001F7E92"/>
    <w:rsid w:val="001F7ECE"/>
    <w:rsid w:val="001F7F7F"/>
    <w:rsid w:val="001F7F97"/>
    <w:rsid w:val="001F7FA5"/>
    <w:rsid w:val="001F7FB0"/>
    <w:rsid w:val="0020001B"/>
    <w:rsid w:val="002000A5"/>
    <w:rsid w:val="002000A6"/>
    <w:rsid w:val="002000E6"/>
    <w:rsid w:val="0020016B"/>
    <w:rsid w:val="002001E0"/>
    <w:rsid w:val="0020029B"/>
    <w:rsid w:val="002002CC"/>
    <w:rsid w:val="002002DC"/>
    <w:rsid w:val="0020031A"/>
    <w:rsid w:val="00200362"/>
    <w:rsid w:val="0020038F"/>
    <w:rsid w:val="00200478"/>
    <w:rsid w:val="00200536"/>
    <w:rsid w:val="0020054C"/>
    <w:rsid w:val="0020055A"/>
    <w:rsid w:val="002005A7"/>
    <w:rsid w:val="002005B6"/>
    <w:rsid w:val="00200667"/>
    <w:rsid w:val="00200670"/>
    <w:rsid w:val="0020088C"/>
    <w:rsid w:val="002008B8"/>
    <w:rsid w:val="002008BD"/>
    <w:rsid w:val="002009ED"/>
    <w:rsid w:val="002009F6"/>
    <w:rsid w:val="00200A01"/>
    <w:rsid w:val="00200A0C"/>
    <w:rsid w:val="00200A20"/>
    <w:rsid w:val="00200AEC"/>
    <w:rsid w:val="00200B1F"/>
    <w:rsid w:val="00200B22"/>
    <w:rsid w:val="00200BDA"/>
    <w:rsid w:val="00200C19"/>
    <w:rsid w:val="00200C1D"/>
    <w:rsid w:val="00200C21"/>
    <w:rsid w:val="00200C9A"/>
    <w:rsid w:val="00200DD2"/>
    <w:rsid w:val="00200DE9"/>
    <w:rsid w:val="00200EA0"/>
    <w:rsid w:val="00200EA9"/>
    <w:rsid w:val="00200EDE"/>
    <w:rsid w:val="00200F17"/>
    <w:rsid w:val="00200F70"/>
    <w:rsid w:val="0020103F"/>
    <w:rsid w:val="002010D8"/>
    <w:rsid w:val="002010F6"/>
    <w:rsid w:val="00201347"/>
    <w:rsid w:val="002013F9"/>
    <w:rsid w:val="0020142E"/>
    <w:rsid w:val="00201461"/>
    <w:rsid w:val="002014A7"/>
    <w:rsid w:val="002014B8"/>
    <w:rsid w:val="00201576"/>
    <w:rsid w:val="00201588"/>
    <w:rsid w:val="002015C8"/>
    <w:rsid w:val="00201627"/>
    <w:rsid w:val="00201754"/>
    <w:rsid w:val="0020178C"/>
    <w:rsid w:val="002017C3"/>
    <w:rsid w:val="00201850"/>
    <w:rsid w:val="002018CF"/>
    <w:rsid w:val="002019C3"/>
    <w:rsid w:val="00201A16"/>
    <w:rsid w:val="00201A80"/>
    <w:rsid w:val="00201B30"/>
    <w:rsid w:val="00201CD6"/>
    <w:rsid w:val="00201CE6"/>
    <w:rsid w:val="00201DAD"/>
    <w:rsid w:val="00201F45"/>
    <w:rsid w:val="00201F69"/>
    <w:rsid w:val="00201F8E"/>
    <w:rsid w:val="00201FC1"/>
    <w:rsid w:val="0020215B"/>
    <w:rsid w:val="0020217A"/>
    <w:rsid w:val="0020227E"/>
    <w:rsid w:val="002022CB"/>
    <w:rsid w:val="00202303"/>
    <w:rsid w:val="00202398"/>
    <w:rsid w:val="002023CF"/>
    <w:rsid w:val="002024DC"/>
    <w:rsid w:val="00202524"/>
    <w:rsid w:val="00202568"/>
    <w:rsid w:val="002025A9"/>
    <w:rsid w:val="002025BB"/>
    <w:rsid w:val="002025F5"/>
    <w:rsid w:val="0020263B"/>
    <w:rsid w:val="0020263F"/>
    <w:rsid w:val="0020264E"/>
    <w:rsid w:val="002026AB"/>
    <w:rsid w:val="002027CB"/>
    <w:rsid w:val="0020281A"/>
    <w:rsid w:val="00202834"/>
    <w:rsid w:val="0020294E"/>
    <w:rsid w:val="00202A60"/>
    <w:rsid w:val="00202AE3"/>
    <w:rsid w:val="00202B04"/>
    <w:rsid w:val="00202B06"/>
    <w:rsid w:val="00202C1E"/>
    <w:rsid w:val="00202C64"/>
    <w:rsid w:val="00202C70"/>
    <w:rsid w:val="00202C7C"/>
    <w:rsid w:val="00202C88"/>
    <w:rsid w:val="00202D3A"/>
    <w:rsid w:val="00202D54"/>
    <w:rsid w:val="00202E2E"/>
    <w:rsid w:val="00202EA4"/>
    <w:rsid w:val="00202EBF"/>
    <w:rsid w:val="00202F6C"/>
    <w:rsid w:val="00202F9D"/>
    <w:rsid w:val="00202FA1"/>
    <w:rsid w:val="00203040"/>
    <w:rsid w:val="00203064"/>
    <w:rsid w:val="0020309C"/>
    <w:rsid w:val="002030F6"/>
    <w:rsid w:val="00203116"/>
    <w:rsid w:val="00203132"/>
    <w:rsid w:val="0020318E"/>
    <w:rsid w:val="0020323B"/>
    <w:rsid w:val="00203268"/>
    <w:rsid w:val="002032F6"/>
    <w:rsid w:val="0020348D"/>
    <w:rsid w:val="00203514"/>
    <w:rsid w:val="002035A5"/>
    <w:rsid w:val="002036DE"/>
    <w:rsid w:val="002036F4"/>
    <w:rsid w:val="002037C4"/>
    <w:rsid w:val="002038CF"/>
    <w:rsid w:val="0020392A"/>
    <w:rsid w:val="00203979"/>
    <w:rsid w:val="0020397F"/>
    <w:rsid w:val="00203A3A"/>
    <w:rsid w:val="00203A63"/>
    <w:rsid w:val="00203A6F"/>
    <w:rsid w:val="00203BCF"/>
    <w:rsid w:val="00203C6F"/>
    <w:rsid w:val="00203D1C"/>
    <w:rsid w:val="00203D21"/>
    <w:rsid w:val="00203D4E"/>
    <w:rsid w:val="00203D83"/>
    <w:rsid w:val="00203E6E"/>
    <w:rsid w:val="00203EA3"/>
    <w:rsid w:val="00203EA4"/>
    <w:rsid w:val="00203EE6"/>
    <w:rsid w:val="00203EE9"/>
    <w:rsid w:val="00203F10"/>
    <w:rsid w:val="00203F58"/>
    <w:rsid w:val="002040A5"/>
    <w:rsid w:val="002040CC"/>
    <w:rsid w:val="0020418B"/>
    <w:rsid w:val="00204209"/>
    <w:rsid w:val="0020423F"/>
    <w:rsid w:val="00204275"/>
    <w:rsid w:val="002043F5"/>
    <w:rsid w:val="0020447A"/>
    <w:rsid w:val="002044B6"/>
    <w:rsid w:val="002044BD"/>
    <w:rsid w:val="0020456A"/>
    <w:rsid w:val="002045C2"/>
    <w:rsid w:val="0020464C"/>
    <w:rsid w:val="00204654"/>
    <w:rsid w:val="00204663"/>
    <w:rsid w:val="00204680"/>
    <w:rsid w:val="002046DB"/>
    <w:rsid w:val="00204738"/>
    <w:rsid w:val="00204785"/>
    <w:rsid w:val="0020481B"/>
    <w:rsid w:val="002048AF"/>
    <w:rsid w:val="00204917"/>
    <w:rsid w:val="0020494C"/>
    <w:rsid w:val="00204965"/>
    <w:rsid w:val="0020497A"/>
    <w:rsid w:val="00204A66"/>
    <w:rsid w:val="00204A85"/>
    <w:rsid w:val="00204B12"/>
    <w:rsid w:val="00204B7E"/>
    <w:rsid w:val="00204BD0"/>
    <w:rsid w:val="00204C04"/>
    <w:rsid w:val="00204CFC"/>
    <w:rsid w:val="00204D0E"/>
    <w:rsid w:val="00204D2F"/>
    <w:rsid w:val="00204D41"/>
    <w:rsid w:val="00204D90"/>
    <w:rsid w:val="00204DAF"/>
    <w:rsid w:val="00204E37"/>
    <w:rsid w:val="00204E3D"/>
    <w:rsid w:val="00204E76"/>
    <w:rsid w:val="00204EF3"/>
    <w:rsid w:val="00204F37"/>
    <w:rsid w:val="00204F4D"/>
    <w:rsid w:val="00204FB3"/>
    <w:rsid w:val="00205095"/>
    <w:rsid w:val="0020516C"/>
    <w:rsid w:val="0020525F"/>
    <w:rsid w:val="0020532B"/>
    <w:rsid w:val="00205388"/>
    <w:rsid w:val="00205553"/>
    <w:rsid w:val="002055B8"/>
    <w:rsid w:val="002056B5"/>
    <w:rsid w:val="002056B6"/>
    <w:rsid w:val="002056CC"/>
    <w:rsid w:val="002056F3"/>
    <w:rsid w:val="002057B9"/>
    <w:rsid w:val="0020581C"/>
    <w:rsid w:val="002059AE"/>
    <w:rsid w:val="002059AF"/>
    <w:rsid w:val="002059F6"/>
    <w:rsid w:val="00205A4D"/>
    <w:rsid w:val="00205A5A"/>
    <w:rsid w:val="00205A97"/>
    <w:rsid w:val="00205CA8"/>
    <w:rsid w:val="00205D08"/>
    <w:rsid w:val="00205EAE"/>
    <w:rsid w:val="00205F21"/>
    <w:rsid w:val="00205FAB"/>
    <w:rsid w:val="00206032"/>
    <w:rsid w:val="00206045"/>
    <w:rsid w:val="0020607D"/>
    <w:rsid w:val="0020609D"/>
    <w:rsid w:val="002060E3"/>
    <w:rsid w:val="0020612C"/>
    <w:rsid w:val="00206146"/>
    <w:rsid w:val="0020623C"/>
    <w:rsid w:val="0020625C"/>
    <w:rsid w:val="00206260"/>
    <w:rsid w:val="00206337"/>
    <w:rsid w:val="00206409"/>
    <w:rsid w:val="00206439"/>
    <w:rsid w:val="0020646E"/>
    <w:rsid w:val="00206471"/>
    <w:rsid w:val="0020647D"/>
    <w:rsid w:val="00206486"/>
    <w:rsid w:val="00206498"/>
    <w:rsid w:val="0020649B"/>
    <w:rsid w:val="002064B3"/>
    <w:rsid w:val="00206549"/>
    <w:rsid w:val="00206591"/>
    <w:rsid w:val="002065EA"/>
    <w:rsid w:val="002065EC"/>
    <w:rsid w:val="0020680F"/>
    <w:rsid w:val="00206900"/>
    <w:rsid w:val="0020697D"/>
    <w:rsid w:val="00206A0E"/>
    <w:rsid w:val="00206A64"/>
    <w:rsid w:val="00206A74"/>
    <w:rsid w:val="00206AFA"/>
    <w:rsid w:val="00206B2E"/>
    <w:rsid w:val="00206B9F"/>
    <w:rsid w:val="00206C71"/>
    <w:rsid w:val="00206CBB"/>
    <w:rsid w:val="00206CFF"/>
    <w:rsid w:val="00206DDB"/>
    <w:rsid w:val="00206E98"/>
    <w:rsid w:val="00206EF9"/>
    <w:rsid w:val="00206F8F"/>
    <w:rsid w:val="00206FD9"/>
    <w:rsid w:val="00207196"/>
    <w:rsid w:val="002071B8"/>
    <w:rsid w:val="002072C6"/>
    <w:rsid w:val="002072E2"/>
    <w:rsid w:val="00207403"/>
    <w:rsid w:val="0020742F"/>
    <w:rsid w:val="0020744F"/>
    <w:rsid w:val="002074BF"/>
    <w:rsid w:val="002074DA"/>
    <w:rsid w:val="00207539"/>
    <w:rsid w:val="0020753A"/>
    <w:rsid w:val="0020755D"/>
    <w:rsid w:val="002076E1"/>
    <w:rsid w:val="00207706"/>
    <w:rsid w:val="00207758"/>
    <w:rsid w:val="0020787E"/>
    <w:rsid w:val="00207895"/>
    <w:rsid w:val="00207916"/>
    <w:rsid w:val="0020792E"/>
    <w:rsid w:val="0020797F"/>
    <w:rsid w:val="00207A6B"/>
    <w:rsid w:val="00207B09"/>
    <w:rsid w:val="00207B34"/>
    <w:rsid w:val="00207BFB"/>
    <w:rsid w:val="00207CA7"/>
    <w:rsid w:val="00207DDC"/>
    <w:rsid w:val="00207E91"/>
    <w:rsid w:val="00207EFA"/>
    <w:rsid w:val="00207F76"/>
    <w:rsid w:val="00207FA9"/>
    <w:rsid w:val="00207FF7"/>
    <w:rsid w:val="0021001B"/>
    <w:rsid w:val="00210072"/>
    <w:rsid w:val="002100E4"/>
    <w:rsid w:val="00210131"/>
    <w:rsid w:val="00210141"/>
    <w:rsid w:val="00210176"/>
    <w:rsid w:val="0021017F"/>
    <w:rsid w:val="0021020A"/>
    <w:rsid w:val="0021023A"/>
    <w:rsid w:val="0021029A"/>
    <w:rsid w:val="0021035E"/>
    <w:rsid w:val="002103B7"/>
    <w:rsid w:val="00210429"/>
    <w:rsid w:val="002104D3"/>
    <w:rsid w:val="0021057E"/>
    <w:rsid w:val="002105BD"/>
    <w:rsid w:val="002105C8"/>
    <w:rsid w:val="002105FF"/>
    <w:rsid w:val="002106F8"/>
    <w:rsid w:val="00210753"/>
    <w:rsid w:val="002107C4"/>
    <w:rsid w:val="002108BA"/>
    <w:rsid w:val="00210A0E"/>
    <w:rsid w:val="00210BC3"/>
    <w:rsid w:val="00210BED"/>
    <w:rsid w:val="00210C90"/>
    <w:rsid w:val="00210D12"/>
    <w:rsid w:val="00210D23"/>
    <w:rsid w:val="00210D61"/>
    <w:rsid w:val="00210DCA"/>
    <w:rsid w:val="00210F73"/>
    <w:rsid w:val="00210FA6"/>
    <w:rsid w:val="00210FD4"/>
    <w:rsid w:val="0021107D"/>
    <w:rsid w:val="00211125"/>
    <w:rsid w:val="00211206"/>
    <w:rsid w:val="00211224"/>
    <w:rsid w:val="00211234"/>
    <w:rsid w:val="002112C1"/>
    <w:rsid w:val="00211307"/>
    <w:rsid w:val="002113E5"/>
    <w:rsid w:val="00211414"/>
    <w:rsid w:val="0021144A"/>
    <w:rsid w:val="0021145A"/>
    <w:rsid w:val="002114BA"/>
    <w:rsid w:val="00211521"/>
    <w:rsid w:val="002115CB"/>
    <w:rsid w:val="002115F1"/>
    <w:rsid w:val="00211600"/>
    <w:rsid w:val="00211604"/>
    <w:rsid w:val="00211678"/>
    <w:rsid w:val="002116A0"/>
    <w:rsid w:val="002116B5"/>
    <w:rsid w:val="002116EB"/>
    <w:rsid w:val="00211736"/>
    <w:rsid w:val="0021180E"/>
    <w:rsid w:val="00211864"/>
    <w:rsid w:val="00211885"/>
    <w:rsid w:val="0021198A"/>
    <w:rsid w:val="002119D5"/>
    <w:rsid w:val="00211A3B"/>
    <w:rsid w:val="00211A6C"/>
    <w:rsid w:val="00211A82"/>
    <w:rsid w:val="00211B1B"/>
    <w:rsid w:val="00211B87"/>
    <w:rsid w:val="00211BBC"/>
    <w:rsid w:val="00211BDA"/>
    <w:rsid w:val="00211C79"/>
    <w:rsid w:val="00211CD5"/>
    <w:rsid w:val="00211D97"/>
    <w:rsid w:val="00211E32"/>
    <w:rsid w:val="00211E33"/>
    <w:rsid w:val="00211EE7"/>
    <w:rsid w:val="00211EEB"/>
    <w:rsid w:val="00211FCE"/>
    <w:rsid w:val="00211FFC"/>
    <w:rsid w:val="0021208C"/>
    <w:rsid w:val="00212092"/>
    <w:rsid w:val="00212099"/>
    <w:rsid w:val="00212235"/>
    <w:rsid w:val="00212261"/>
    <w:rsid w:val="00212382"/>
    <w:rsid w:val="00212391"/>
    <w:rsid w:val="00212392"/>
    <w:rsid w:val="00212434"/>
    <w:rsid w:val="0021263B"/>
    <w:rsid w:val="002127C7"/>
    <w:rsid w:val="0021281C"/>
    <w:rsid w:val="00212824"/>
    <w:rsid w:val="00212827"/>
    <w:rsid w:val="00212871"/>
    <w:rsid w:val="00212900"/>
    <w:rsid w:val="0021292B"/>
    <w:rsid w:val="00212A72"/>
    <w:rsid w:val="00212A88"/>
    <w:rsid w:val="00212A8B"/>
    <w:rsid w:val="00212AA1"/>
    <w:rsid w:val="00212BAA"/>
    <w:rsid w:val="00212BBE"/>
    <w:rsid w:val="00212BE9"/>
    <w:rsid w:val="00212C0E"/>
    <w:rsid w:val="00212C56"/>
    <w:rsid w:val="00212CF7"/>
    <w:rsid w:val="00212D0D"/>
    <w:rsid w:val="00212D6B"/>
    <w:rsid w:val="00212E1A"/>
    <w:rsid w:val="00212E6E"/>
    <w:rsid w:val="00212F41"/>
    <w:rsid w:val="00212FB9"/>
    <w:rsid w:val="00213022"/>
    <w:rsid w:val="002130A6"/>
    <w:rsid w:val="002130A9"/>
    <w:rsid w:val="002130E2"/>
    <w:rsid w:val="002130F5"/>
    <w:rsid w:val="002131BA"/>
    <w:rsid w:val="00213204"/>
    <w:rsid w:val="002132A0"/>
    <w:rsid w:val="00213343"/>
    <w:rsid w:val="0021338C"/>
    <w:rsid w:val="00213487"/>
    <w:rsid w:val="0021350D"/>
    <w:rsid w:val="0021352A"/>
    <w:rsid w:val="00213547"/>
    <w:rsid w:val="002135EE"/>
    <w:rsid w:val="0021360D"/>
    <w:rsid w:val="00213878"/>
    <w:rsid w:val="0021399A"/>
    <w:rsid w:val="00213B80"/>
    <w:rsid w:val="00213C29"/>
    <w:rsid w:val="00213CD7"/>
    <w:rsid w:val="00213DF1"/>
    <w:rsid w:val="00213EC4"/>
    <w:rsid w:val="00213F0F"/>
    <w:rsid w:val="00213F9B"/>
    <w:rsid w:val="00213FD4"/>
    <w:rsid w:val="00213FEE"/>
    <w:rsid w:val="00214001"/>
    <w:rsid w:val="00214005"/>
    <w:rsid w:val="0021402B"/>
    <w:rsid w:val="00214052"/>
    <w:rsid w:val="002140A2"/>
    <w:rsid w:val="00214147"/>
    <w:rsid w:val="002141C5"/>
    <w:rsid w:val="00214203"/>
    <w:rsid w:val="00214215"/>
    <w:rsid w:val="002142B1"/>
    <w:rsid w:val="002143F7"/>
    <w:rsid w:val="00214436"/>
    <w:rsid w:val="00214577"/>
    <w:rsid w:val="002145F8"/>
    <w:rsid w:val="00214719"/>
    <w:rsid w:val="0021473C"/>
    <w:rsid w:val="0021483F"/>
    <w:rsid w:val="0021485B"/>
    <w:rsid w:val="0021485D"/>
    <w:rsid w:val="002148EE"/>
    <w:rsid w:val="00214979"/>
    <w:rsid w:val="002149F2"/>
    <w:rsid w:val="00214A5C"/>
    <w:rsid w:val="00214AB2"/>
    <w:rsid w:val="00214B2F"/>
    <w:rsid w:val="00214C20"/>
    <w:rsid w:val="00214C34"/>
    <w:rsid w:val="00214CB4"/>
    <w:rsid w:val="00214EC3"/>
    <w:rsid w:val="00214EDA"/>
    <w:rsid w:val="00214F23"/>
    <w:rsid w:val="00214F71"/>
    <w:rsid w:val="00214FD6"/>
    <w:rsid w:val="00215086"/>
    <w:rsid w:val="00215146"/>
    <w:rsid w:val="002151EB"/>
    <w:rsid w:val="00215270"/>
    <w:rsid w:val="002152C0"/>
    <w:rsid w:val="002152E1"/>
    <w:rsid w:val="002153B8"/>
    <w:rsid w:val="002153ED"/>
    <w:rsid w:val="00215430"/>
    <w:rsid w:val="0021544B"/>
    <w:rsid w:val="0021553A"/>
    <w:rsid w:val="00215569"/>
    <w:rsid w:val="0021557D"/>
    <w:rsid w:val="00215592"/>
    <w:rsid w:val="00215690"/>
    <w:rsid w:val="00215692"/>
    <w:rsid w:val="002156F5"/>
    <w:rsid w:val="0021575A"/>
    <w:rsid w:val="00215766"/>
    <w:rsid w:val="00215895"/>
    <w:rsid w:val="002158BA"/>
    <w:rsid w:val="00215937"/>
    <w:rsid w:val="002159BC"/>
    <w:rsid w:val="002159D1"/>
    <w:rsid w:val="002159FE"/>
    <w:rsid w:val="00215A1A"/>
    <w:rsid w:val="00215A5A"/>
    <w:rsid w:val="00215ADA"/>
    <w:rsid w:val="00215AFB"/>
    <w:rsid w:val="00215B98"/>
    <w:rsid w:val="00215C8C"/>
    <w:rsid w:val="00215F40"/>
    <w:rsid w:val="00215F94"/>
    <w:rsid w:val="002160BF"/>
    <w:rsid w:val="002161AA"/>
    <w:rsid w:val="002162B6"/>
    <w:rsid w:val="0021633B"/>
    <w:rsid w:val="00216441"/>
    <w:rsid w:val="002164BB"/>
    <w:rsid w:val="00216513"/>
    <w:rsid w:val="00216562"/>
    <w:rsid w:val="002165F7"/>
    <w:rsid w:val="00216622"/>
    <w:rsid w:val="002166B7"/>
    <w:rsid w:val="002166DE"/>
    <w:rsid w:val="00216730"/>
    <w:rsid w:val="0021676F"/>
    <w:rsid w:val="002167B5"/>
    <w:rsid w:val="002167EE"/>
    <w:rsid w:val="002167F0"/>
    <w:rsid w:val="00216815"/>
    <w:rsid w:val="00216838"/>
    <w:rsid w:val="00216880"/>
    <w:rsid w:val="00216890"/>
    <w:rsid w:val="002168F8"/>
    <w:rsid w:val="002169BB"/>
    <w:rsid w:val="002169E0"/>
    <w:rsid w:val="00216B5D"/>
    <w:rsid w:val="00216B8D"/>
    <w:rsid w:val="00216C1A"/>
    <w:rsid w:val="00216C79"/>
    <w:rsid w:val="00216C7D"/>
    <w:rsid w:val="00216D98"/>
    <w:rsid w:val="00216F44"/>
    <w:rsid w:val="00216FBD"/>
    <w:rsid w:val="002170A4"/>
    <w:rsid w:val="002170CD"/>
    <w:rsid w:val="00217157"/>
    <w:rsid w:val="002171DE"/>
    <w:rsid w:val="002171EC"/>
    <w:rsid w:val="002172DA"/>
    <w:rsid w:val="00217341"/>
    <w:rsid w:val="00217644"/>
    <w:rsid w:val="002176D5"/>
    <w:rsid w:val="0021775D"/>
    <w:rsid w:val="00217794"/>
    <w:rsid w:val="00217889"/>
    <w:rsid w:val="00217892"/>
    <w:rsid w:val="002178C8"/>
    <w:rsid w:val="0021793C"/>
    <w:rsid w:val="00217942"/>
    <w:rsid w:val="0021795F"/>
    <w:rsid w:val="00217994"/>
    <w:rsid w:val="00217A5F"/>
    <w:rsid w:val="00217A7D"/>
    <w:rsid w:val="00217A84"/>
    <w:rsid w:val="00217A8C"/>
    <w:rsid w:val="00217A8D"/>
    <w:rsid w:val="00217ABA"/>
    <w:rsid w:val="00217B31"/>
    <w:rsid w:val="00217BA8"/>
    <w:rsid w:val="00217BAD"/>
    <w:rsid w:val="00217BBD"/>
    <w:rsid w:val="00217C53"/>
    <w:rsid w:val="00217E2E"/>
    <w:rsid w:val="00217F81"/>
    <w:rsid w:val="00217F96"/>
    <w:rsid w:val="00217FB0"/>
    <w:rsid w:val="00217FD3"/>
    <w:rsid w:val="00217FFC"/>
    <w:rsid w:val="00220007"/>
    <w:rsid w:val="0022005D"/>
    <w:rsid w:val="0022009C"/>
    <w:rsid w:val="002200EB"/>
    <w:rsid w:val="00220140"/>
    <w:rsid w:val="002201C0"/>
    <w:rsid w:val="002201EB"/>
    <w:rsid w:val="00220217"/>
    <w:rsid w:val="00220265"/>
    <w:rsid w:val="0022035A"/>
    <w:rsid w:val="0022056B"/>
    <w:rsid w:val="002205C5"/>
    <w:rsid w:val="002206D6"/>
    <w:rsid w:val="0022072B"/>
    <w:rsid w:val="00220783"/>
    <w:rsid w:val="002207B3"/>
    <w:rsid w:val="00220828"/>
    <w:rsid w:val="00220840"/>
    <w:rsid w:val="00220877"/>
    <w:rsid w:val="002208DB"/>
    <w:rsid w:val="00220933"/>
    <w:rsid w:val="002209F0"/>
    <w:rsid w:val="00220A12"/>
    <w:rsid w:val="00220A17"/>
    <w:rsid w:val="00220A65"/>
    <w:rsid w:val="00220A80"/>
    <w:rsid w:val="00220A8B"/>
    <w:rsid w:val="00220AE1"/>
    <w:rsid w:val="00220B08"/>
    <w:rsid w:val="00220B20"/>
    <w:rsid w:val="00220B2B"/>
    <w:rsid w:val="00220B35"/>
    <w:rsid w:val="00220B41"/>
    <w:rsid w:val="00220B5B"/>
    <w:rsid w:val="00220C43"/>
    <w:rsid w:val="00220D5E"/>
    <w:rsid w:val="00220DC9"/>
    <w:rsid w:val="00220E0E"/>
    <w:rsid w:val="00220F3A"/>
    <w:rsid w:val="00220F68"/>
    <w:rsid w:val="00221010"/>
    <w:rsid w:val="00221063"/>
    <w:rsid w:val="00221097"/>
    <w:rsid w:val="002210E5"/>
    <w:rsid w:val="00221136"/>
    <w:rsid w:val="0022118B"/>
    <w:rsid w:val="002211CC"/>
    <w:rsid w:val="002211EF"/>
    <w:rsid w:val="00221284"/>
    <w:rsid w:val="002212DA"/>
    <w:rsid w:val="002212F2"/>
    <w:rsid w:val="002213C7"/>
    <w:rsid w:val="002213DB"/>
    <w:rsid w:val="0022145B"/>
    <w:rsid w:val="00221571"/>
    <w:rsid w:val="0022158C"/>
    <w:rsid w:val="00221662"/>
    <w:rsid w:val="002216B8"/>
    <w:rsid w:val="002216CA"/>
    <w:rsid w:val="0022171B"/>
    <w:rsid w:val="00221943"/>
    <w:rsid w:val="00221958"/>
    <w:rsid w:val="00221992"/>
    <w:rsid w:val="00221A7C"/>
    <w:rsid w:val="00221CC6"/>
    <w:rsid w:val="00221D8F"/>
    <w:rsid w:val="00221E75"/>
    <w:rsid w:val="00221F48"/>
    <w:rsid w:val="00222092"/>
    <w:rsid w:val="002220CA"/>
    <w:rsid w:val="00222145"/>
    <w:rsid w:val="00222188"/>
    <w:rsid w:val="002221F2"/>
    <w:rsid w:val="00222293"/>
    <w:rsid w:val="002222D9"/>
    <w:rsid w:val="002222FA"/>
    <w:rsid w:val="00222346"/>
    <w:rsid w:val="002223A8"/>
    <w:rsid w:val="002223C8"/>
    <w:rsid w:val="002223E9"/>
    <w:rsid w:val="00222492"/>
    <w:rsid w:val="002224C4"/>
    <w:rsid w:val="00222510"/>
    <w:rsid w:val="002225A3"/>
    <w:rsid w:val="002225EC"/>
    <w:rsid w:val="00222610"/>
    <w:rsid w:val="00222712"/>
    <w:rsid w:val="0022275B"/>
    <w:rsid w:val="0022276C"/>
    <w:rsid w:val="002227B2"/>
    <w:rsid w:val="0022280F"/>
    <w:rsid w:val="0022297B"/>
    <w:rsid w:val="002229E8"/>
    <w:rsid w:val="00222A52"/>
    <w:rsid w:val="00222B33"/>
    <w:rsid w:val="00222B41"/>
    <w:rsid w:val="00222BC6"/>
    <w:rsid w:val="00222BD5"/>
    <w:rsid w:val="00222C28"/>
    <w:rsid w:val="00222C98"/>
    <w:rsid w:val="00222DA0"/>
    <w:rsid w:val="00222E31"/>
    <w:rsid w:val="00222ED1"/>
    <w:rsid w:val="00222EF7"/>
    <w:rsid w:val="00222EFD"/>
    <w:rsid w:val="00222F3F"/>
    <w:rsid w:val="00222FD7"/>
    <w:rsid w:val="00222FDD"/>
    <w:rsid w:val="00222FF5"/>
    <w:rsid w:val="0022300C"/>
    <w:rsid w:val="00223035"/>
    <w:rsid w:val="00223082"/>
    <w:rsid w:val="00223097"/>
    <w:rsid w:val="00223169"/>
    <w:rsid w:val="002231BA"/>
    <w:rsid w:val="00223217"/>
    <w:rsid w:val="0022325C"/>
    <w:rsid w:val="002232F8"/>
    <w:rsid w:val="0022331A"/>
    <w:rsid w:val="00223331"/>
    <w:rsid w:val="002233FB"/>
    <w:rsid w:val="002234A8"/>
    <w:rsid w:val="002234C4"/>
    <w:rsid w:val="002234E8"/>
    <w:rsid w:val="00223572"/>
    <w:rsid w:val="002235BF"/>
    <w:rsid w:val="002235D5"/>
    <w:rsid w:val="002235EB"/>
    <w:rsid w:val="002235F4"/>
    <w:rsid w:val="00223639"/>
    <w:rsid w:val="0022364F"/>
    <w:rsid w:val="002236AB"/>
    <w:rsid w:val="002236B6"/>
    <w:rsid w:val="0022373D"/>
    <w:rsid w:val="002237EB"/>
    <w:rsid w:val="002237EC"/>
    <w:rsid w:val="0022387A"/>
    <w:rsid w:val="00223B26"/>
    <w:rsid w:val="00223B98"/>
    <w:rsid w:val="00223BE5"/>
    <w:rsid w:val="00223BF7"/>
    <w:rsid w:val="00223BFB"/>
    <w:rsid w:val="00223C02"/>
    <w:rsid w:val="00223C46"/>
    <w:rsid w:val="00223CF0"/>
    <w:rsid w:val="00223D0F"/>
    <w:rsid w:val="00223D48"/>
    <w:rsid w:val="00223D7A"/>
    <w:rsid w:val="00223DB7"/>
    <w:rsid w:val="00223E4B"/>
    <w:rsid w:val="00223E88"/>
    <w:rsid w:val="00223F1E"/>
    <w:rsid w:val="00223F89"/>
    <w:rsid w:val="00224018"/>
    <w:rsid w:val="00224037"/>
    <w:rsid w:val="00224049"/>
    <w:rsid w:val="002240EB"/>
    <w:rsid w:val="00224120"/>
    <w:rsid w:val="00224135"/>
    <w:rsid w:val="002241E4"/>
    <w:rsid w:val="0022423C"/>
    <w:rsid w:val="00224246"/>
    <w:rsid w:val="002242D3"/>
    <w:rsid w:val="002242DE"/>
    <w:rsid w:val="0022433E"/>
    <w:rsid w:val="002243FB"/>
    <w:rsid w:val="0022448A"/>
    <w:rsid w:val="002244C1"/>
    <w:rsid w:val="00224521"/>
    <w:rsid w:val="0022457F"/>
    <w:rsid w:val="00224593"/>
    <w:rsid w:val="002245D3"/>
    <w:rsid w:val="002245E9"/>
    <w:rsid w:val="00224637"/>
    <w:rsid w:val="00224638"/>
    <w:rsid w:val="002246A0"/>
    <w:rsid w:val="002246F2"/>
    <w:rsid w:val="00224790"/>
    <w:rsid w:val="0022481D"/>
    <w:rsid w:val="00224849"/>
    <w:rsid w:val="002248A4"/>
    <w:rsid w:val="002248B8"/>
    <w:rsid w:val="00224981"/>
    <w:rsid w:val="002249F1"/>
    <w:rsid w:val="00224A28"/>
    <w:rsid w:val="00224A51"/>
    <w:rsid w:val="00224B15"/>
    <w:rsid w:val="00224BB2"/>
    <w:rsid w:val="00224BD4"/>
    <w:rsid w:val="00224C4B"/>
    <w:rsid w:val="00224D39"/>
    <w:rsid w:val="00224D46"/>
    <w:rsid w:val="00224D7A"/>
    <w:rsid w:val="002250C7"/>
    <w:rsid w:val="00225143"/>
    <w:rsid w:val="0022517E"/>
    <w:rsid w:val="00225183"/>
    <w:rsid w:val="00225218"/>
    <w:rsid w:val="0022526B"/>
    <w:rsid w:val="00225534"/>
    <w:rsid w:val="00225562"/>
    <w:rsid w:val="002255F1"/>
    <w:rsid w:val="002256F5"/>
    <w:rsid w:val="002257EB"/>
    <w:rsid w:val="002258A2"/>
    <w:rsid w:val="002258CC"/>
    <w:rsid w:val="002258F9"/>
    <w:rsid w:val="00225903"/>
    <w:rsid w:val="00225931"/>
    <w:rsid w:val="00225941"/>
    <w:rsid w:val="002259D6"/>
    <w:rsid w:val="002259E9"/>
    <w:rsid w:val="00225A7F"/>
    <w:rsid w:val="00225ACA"/>
    <w:rsid w:val="00225BE3"/>
    <w:rsid w:val="00225C22"/>
    <w:rsid w:val="00225CFD"/>
    <w:rsid w:val="00225D0F"/>
    <w:rsid w:val="00225D34"/>
    <w:rsid w:val="00225DC6"/>
    <w:rsid w:val="00225DEB"/>
    <w:rsid w:val="00225DFB"/>
    <w:rsid w:val="00225E37"/>
    <w:rsid w:val="00225E3B"/>
    <w:rsid w:val="00225F09"/>
    <w:rsid w:val="00225FDA"/>
    <w:rsid w:val="00226082"/>
    <w:rsid w:val="00226157"/>
    <w:rsid w:val="00226160"/>
    <w:rsid w:val="00226182"/>
    <w:rsid w:val="002261AE"/>
    <w:rsid w:val="0022627B"/>
    <w:rsid w:val="002262C7"/>
    <w:rsid w:val="0022639D"/>
    <w:rsid w:val="0022646A"/>
    <w:rsid w:val="002264D2"/>
    <w:rsid w:val="00226648"/>
    <w:rsid w:val="0022666A"/>
    <w:rsid w:val="00226748"/>
    <w:rsid w:val="0022675B"/>
    <w:rsid w:val="00226784"/>
    <w:rsid w:val="002267E2"/>
    <w:rsid w:val="00226861"/>
    <w:rsid w:val="002268DA"/>
    <w:rsid w:val="00226923"/>
    <w:rsid w:val="00226A16"/>
    <w:rsid w:val="00226CC5"/>
    <w:rsid w:val="00226E17"/>
    <w:rsid w:val="00226E22"/>
    <w:rsid w:val="00226F08"/>
    <w:rsid w:val="00226F1F"/>
    <w:rsid w:val="00226F6F"/>
    <w:rsid w:val="00226F91"/>
    <w:rsid w:val="00226FC8"/>
    <w:rsid w:val="00226FF1"/>
    <w:rsid w:val="00227033"/>
    <w:rsid w:val="0022708F"/>
    <w:rsid w:val="00227166"/>
    <w:rsid w:val="0022718D"/>
    <w:rsid w:val="00227199"/>
    <w:rsid w:val="002271A9"/>
    <w:rsid w:val="002272DB"/>
    <w:rsid w:val="0022734F"/>
    <w:rsid w:val="00227368"/>
    <w:rsid w:val="002273E6"/>
    <w:rsid w:val="00227574"/>
    <w:rsid w:val="002275C9"/>
    <w:rsid w:val="002276F4"/>
    <w:rsid w:val="002276FB"/>
    <w:rsid w:val="00227736"/>
    <w:rsid w:val="00227975"/>
    <w:rsid w:val="00227A1F"/>
    <w:rsid w:val="00227ADA"/>
    <w:rsid w:val="00227B06"/>
    <w:rsid w:val="00227B15"/>
    <w:rsid w:val="00227C28"/>
    <w:rsid w:val="00227C47"/>
    <w:rsid w:val="00227CF7"/>
    <w:rsid w:val="00227D95"/>
    <w:rsid w:val="00227DEA"/>
    <w:rsid w:val="00227EA5"/>
    <w:rsid w:val="00227FDC"/>
    <w:rsid w:val="00227FE6"/>
    <w:rsid w:val="0023004C"/>
    <w:rsid w:val="00230160"/>
    <w:rsid w:val="002301FA"/>
    <w:rsid w:val="00230214"/>
    <w:rsid w:val="002302D3"/>
    <w:rsid w:val="002302E9"/>
    <w:rsid w:val="0023038A"/>
    <w:rsid w:val="002303AC"/>
    <w:rsid w:val="002304A8"/>
    <w:rsid w:val="002304A9"/>
    <w:rsid w:val="002304ED"/>
    <w:rsid w:val="002305EE"/>
    <w:rsid w:val="00230694"/>
    <w:rsid w:val="0023077E"/>
    <w:rsid w:val="002308BC"/>
    <w:rsid w:val="002308D3"/>
    <w:rsid w:val="002308EE"/>
    <w:rsid w:val="0023097A"/>
    <w:rsid w:val="0023098E"/>
    <w:rsid w:val="00230A17"/>
    <w:rsid w:val="00230A1A"/>
    <w:rsid w:val="00230A21"/>
    <w:rsid w:val="00230A96"/>
    <w:rsid w:val="00230B15"/>
    <w:rsid w:val="00230B71"/>
    <w:rsid w:val="00230B7C"/>
    <w:rsid w:val="00230BA4"/>
    <w:rsid w:val="00230BE3"/>
    <w:rsid w:val="00230BFA"/>
    <w:rsid w:val="00230DA0"/>
    <w:rsid w:val="00230DBF"/>
    <w:rsid w:val="00230DCD"/>
    <w:rsid w:val="00230E30"/>
    <w:rsid w:val="00230F1A"/>
    <w:rsid w:val="00230F27"/>
    <w:rsid w:val="00230F46"/>
    <w:rsid w:val="00230F7F"/>
    <w:rsid w:val="00231155"/>
    <w:rsid w:val="0023118C"/>
    <w:rsid w:val="002311BE"/>
    <w:rsid w:val="002313BF"/>
    <w:rsid w:val="002313D2"/>
    <w:rsid w:val="00231408"/>
    <w:rsid w:val="00231412"/>
    <w:rsid w:val="00231433"/>
    <w:rsid w:val="00231448"/>
    <w:rsid w:val="002314A3"/>
    <w:rsid w:val="002314D7"/>
    <w:rsid w:val="00231514"/>
    <w:rsid w:val="0023158D"/>
    <w:rsid w:val="0023168B"/>
    <w:rsid w:val="0023180E"/>
    <w:rsid w:val="00231843"/>
    <w:rsid w:val="002318C3"/>
    <w:rsid w:val="00231987"/>
    <w:rsid w:val="00231989"/>
    <w:rsid w:val="002319B7"/>
    <w:rsid w:val="002319CA"/>
    <w:rsid w:val="002319E1"/>
    <w:rsid w:val="00231AF2"/>
    <w:rsid w:val="00231AF3"/>
    <w:rsid w:val="00231B25"/>
    <w:rsid w:val="00231C25"/>
    <w:rsid w:val="00231D0C"/>
    <w:rsid w:val="00231DA7"/>
    <w:rsid w:val="00231DE0"/>
    <w:rsid w:val="002320AB"/>
    <w:rsid w:val="00232106"/>
    <w:rsid w:val="002322B0"/>
    <w:rsid w:val="002322E0"/>
    <w:rsid w:val="002322F3"/>
    <w:rsid w:val="0023230E"/>
    <w:rsid w:val="002323DB"/>
    <w:rsid w:val="00232412"/>
    <w:rsid w:val="0023244E"/>
    <w:rsid w:val="0023278E"/>
    <w:rsid w:val="00232800"/>
    <w:rsid w:val="002328A5"/>
    <w:rsid w:val="002328AD"/>
    <w:rsid w:val="002328D5"/>
    <w:rsid w:val="0023295D"/>
    <w:rsid w:val="0023298D"/>
    <w:rsid w:val="002329AC"/>
    <w:rsid w:val="00232B37"/>
    <w:rsid w:val="00232B94"/>
    <w:rsid w:val="00232BC6"/>
    <w:rsid w:val="00232CC8"/>
    <w:rsid w:val="00232CD8"/>
    <w:rsid w:val="00232CF7"/>
    <w:rsid w:val="00232D48"/>
    <w:rsid w:val="00232D5C"/>
    <w:rsid w:val="00232D77"/>
    <w:rsid w:val="00232DF3"/>
    <w:rsid w:val="00232E4B"/>
    <w:rsid w:val="00232EC7"/>
    <w:rsid w:val="00232F65"/>
    <w:rsid w:val="00232FF4"/>
    <w:rsid w:val="00233173"/>
    <w:rsid w:val="00233200"/>
    <w:rsid w:val="0023321C"/>
    <w:rsid w:val="002332A0"/>
    <w:rsid w:val="002332A4"/>
    <w:rsid w:val="0023332E"/>
    <w:rsid w:val="002333D4"/>
    <w:rsid w:val="00233447"/>
    <w:rsid w:val="00233573"/>
    <w:rsid w:val="00233579"/>
    <w:rsid w:val="002335D1"/>
    <w:rsid w:val="002335F8"/>
    <w:rsid w:val="00233630"/>
    <w:rsid w:val="00233644"/>
    <w:rsid w:val="002336D9"/>
    <w:rsid w:val="0023378D"/>
    <w:rsid w:val="00233833"/>
    <w:rsid w:val="002338CC"/>
    <w:rsid w:val="002339A1"/>
    <w:rsid w:val="002339F4"/>
    <w:rsid w:val="00233A02"/>
    <w:rsid w:val="00233A92"/>
    <w:rsid w:val="00233B67"/>
    <w:rsid w:val="00233C08"/>
    <w:rsid w:val="00233C0A"/>
    <w:rsid w:val="00233CFF"/>
    <w:rsid w:val="00233DDA"/>
    <w:rsid w:val="00233F6B"/>
    <w:rsid w:val="00233FA7"/>
    <w:rsid w:val="00233FDF"/>
    <w:rsid w:val="0023409F"/>
    <w:rsid w:val="00234123"/>
    <w:rsid w:val="00234169"/>
    <w:rsid w:val="0023416F"/>
    <w:rsid w:val="00234192"/>
    <w:rsid w:val="00234203"/>
    <w:rsid w:val="00234343"/>
    <w:rsid w:val="002343DE"/>
    <w:rsid w:val="00234484"/>
    <w:rsid w:val="002344DE"/>
    <w:rsid w:val="002345FF"/>
    <w:rsid w:val="00234653"/>
    <w:rsid w:val="00234745"/>
    <w:rsid w:val="0023476D"/>
    <w:rsid w:val="00234803"/>
    <w:rsid w:val="00234874"/>
    <w:rsid w:val="002348DD"/>
    <w:rsid w:val="00234918"/>
    <w:rsid w:val="0023493C"/>
    <w:rsid w:val="00234989"/>
    <w:rsid w:val="002349A2"/>
    <w:rsid w:val="002349E1"/>
    <w:rsid w:val="00234A4A"/>
    <w:rsid w:val="00234AB2"/>
    <w:rsid w:val="00234BD0"/>
    <w:rsid w:val="00234DB6"/>
    <w:rsid w:val="00234DBE"/>
    <w:rsid w:val="00234F2A"/>
    <w:rsid w:val="00234F4E"/>
    <w:rsid w:val="00234FC3"/>
    <w:rsid w:val="0023503D"/>
    <w:rsid w:val="002350DD"/>
    <w:rsid w:val="0023512E"/>
    <w:rsid w:val="0023513C"/>
    <w:rsid w:val="00235197"/>
    <w:rsid w:val="002351A9"/>
    <w:rsid w:val="002351B6"/>
    <w:rsid w:val="002351C2"/>
    <w:rsid w:val="002351D9"/>
    <w:rsid w:val="002351F0"/>
    <w:rsid w:val="00235265"/>
    <w:rsid w:val="00235349"/>
    <w:rsid w:val="00235378"/>
    <w:rsid w:val="002353E3"/>
    <w:rsid w:val="00235435"/>
    <w:rsid w:val="0023543D"/>
    <w:rsid w:val="00235489"/>
    <w:rsid w:val="0023552B"/>
    <w:rsid w:val="0023557B"/>
    <w:rsid w:val="00235585"/>
    <w:rsid w:val="002356D0"/>
    <w:rsid w:val="002356D2"/>
    <w:rsid w:val="00235754"/>
    <w:rsid w:val="002357A8"/>
    <w:rsid w:val="002357B6"/>
    <w:rsid w:val="00235810"/>
    <w:rsid w:val="00235818"/>
    <w:rsid w:val="0023588A"/>
    <w:rsid w:val="00235892"/>
    <w:rsid w:val="0023591D"/>
    <w:rsid w:val="0023598C"/>
    <w:rsid w:val="00235A44"/>
    <w:rsid w:val="00235AB0"/>
    <w:rsid w:val="00235BF6"/>
    <w:rsid w:val="00235C9F"/>
    <w:rsid w:val="00235D8F"/>
    <w:rsid w:val="00235D9D"/>
    <w:rsid w:val="00235E46"/>
    <w:rsid w:val="00235EA6"/>
    <w:rsid w:val="002360C4"/>
    <w:rsid w:val="002362C5"/>
    <w:rsid w:val="002362E8"/>
    <w:rsid w:val="00236340"/>
    <w:rsid w:val="0023645D"/>
    <w:rsid w:val="00236479"/>
    <w:rsid w:val="00236581"/>
    <w:rsid w:val="002365E9"/>
    <w:rsid w:val="00236618"/>
    <w:rsid w:val="00236717"/>
    <w:rsid w:val="00236779"/>
    <w:rsid w:val="002367FE"/>
    <w:rsid w:val="00236836"/>
    <w:rsid w:val="00236840"/>
    <w:rsid w:val="00236884"/>
    <w:rsid w:val="0023694F"/>
    <w:rsid w:val="0023695D"/>
    <w:rsid w:val="002369AA"/>
    <w:rsid w:val="00236A44"/>
    <w:rsid w:val="00236A4A"/>
    <w:rsid w:val="00236A50"/>
    <w:rsid w:val="00236A71"/>
    <w:rsid w:val="00236D4C"/>
    <w:rsid w:val="00236D91"/>
    <w:rsid w:val="00236E24"/>
    <w:rsid w:val="00236E75"/>
    <w:rsid w:val="00236EB6"/>
    <w:rsid w:val="00236FD0"/>
    <w:rsid w:val="002370D6"/>
    <w:rsid w:val="002370DB"/>
    <w:rsid w:val="002370F4"/>
    <w:rsid w:val="00237156"/>
    <w:rsid w:val="0023718A"/>
    <w:rsid w:val="00237233"/>
    <w:rsid w:val="00237277"/>
    <w:rsid w:val="002373A8"/>
    <w:rsid w:val="00237413"/>
    <w:rsid w:val="00237487"/>
    <w:rsid w:val="002374E9"/>
    <w:rsid w:val="002375DA"/>
    <w:rsid w:val="00237623"/>
    <w:rsid w:val="002376EB"/>
    <w:rsid w:val="002376F9"/>
    <w:rsid w:val="00237713"/>
    <w:rsid w:val="002377D5"/>
    <w:rsid w:val="0023796F"/>
    <w:rsid w:val="002379A2"/>
    <w:rsid w:val="00237A42"/>
    <w:rsid w:val="00237A8E"/>
    <w:rsid w:val="00237B61"/>
    <w:rsid w:val="00237B77"/>
    <w:rsid w:val="00237B7A"/>
    <w:rsid w:val="00237C94"/>
    <w:rsid w:val="00237CAC"/>
    <w:rsid w:val="00237D5C"/>
    <w:rsid w:val="00237DE5"/>
    <w:rsid w:val="00237E17"/>
    <w:rsid w:val="00237F1E"/>
    <w:rsid w:val="00237FD3"/>
    <w:rsid w:val="00237FE7"/>
    <w:rsid w:val="00240018"/>
    <w:rsid w:val="00240148"/>
    <w:rsid w:val="002401B4"/>
    <w:rsid w:val="00240235"/>
    <w:rsid w:val="002402EF"/>
    <w:rsid w:val="00240306"/>
    <w:rsid w:val="0024044C"/>
    <w:rsid w:val="002404CE"/>
    <w:rsid w:val="002404FD"/>
    <w:rsid w:val="0024059E"/>
    <w:rsid w:val="00240708"/>
    <w:rsid w:val="00240786"/>
    <w:rsid w:val="002407F7"/>
    <w:rsid w:val="002408E5"/>
    <w:rsid w:val="0024095E"/>
    <w:rsid w:val="00240982"/>
    <w:rsid w:val="00240A93"/>
    <w:rsid w:val="00240B54"/>
    <w:rsid w:val="00240B95"/>
    <w:rsid w:val="00240BD1"/>
    <w:rsid w:val="00240C9C"/>
    <w:rsid w:val="00240D42"/>
    <w:rsid w:val="00240E3C"/>
    <w:rsid w:val="00240E65"/>
    <w:rsid w:val="00240E75"/>
    <w:rsid w:val="00240F00"/>
    <w:rsid w:val="00240F1C"/>
    <w:rsid w:val="00240F38"/>
    <w:rsid w:val="00240F6C"/>
    <w:rsid w:val="0024100A"/>
    <w:rsid w:val="00241098"/>
    <w:rsid w:val="00241147"/>
    <w:rsid w:val="002411DE"/>
    <w:rsid w:val="0024127E"/>
    <w:rsid w:val="002412BD"/>
    <w:rsid w:val="002412CC"/>
    <w:rsid w:val="002412E3"/>
    <w:rsid w:val="00241335"/>
    <w:rsid w:val="0024145D"/>
    <w:rsid w:val="00241489"/>
    <w:rsid w:val="0024149C"/>
    <w:rsid w:val="002414DB"/>
    <w:rsid w:val="002416CB"/>
    <w:rsid w:val="0024173C"/>
    <w:rsid w:val="00241993"/>
    <w:rsid w:val="00241A46"/>
    <w:rsid w:val="00241A4A"/>
    <w:rsid w:val="00241A51"/>
    <w:rsid w:val="00241A78"/>
    <w:rsid w:val="00241B2F"/>
    <w:rsid w:val="00241C24"/>
    <w:rsid w:val="00241C2E"/>
    <w:rsid w:val="00241C42"/>
    <w:rsid w:val="00241C63"/>
    <w:rsid w:val="00241CA2"/>
    <w:rsid w:val="00241D61"/>
    <w:rsid w:val="00241D92"/>
    <w:rsid w:val="00241E8C"/>
    <w:rsid w:val="00241E98"/>
    <w:rsid w:val="00241EB3"/>
    <w:rsid w:val="00241F1C"/>
    <w:rsid w:val="00242107"/>
    <w:rsid w:val="00242110"/>
    <w:rsid w:val="00242138"/>
    <w:rsid w:val="0024217C"/>
    <w:rsid w:val="0024218E"/>
    <w:rsid w:val="0024228B"/>
    <w:rsid w:val="00242365"/>
    <w:rsid w:val="00242446"/>
    <w:rsid w:val="002424A6"/>
    <w:rsid w:val="002424B6"/>
    <w:rsid w:val="002426F9"/>
    <w:rsid w:val="0024273C"/>
    <w:rsid w:val="0024277F"/>
    <w:rsid w:val="002427C3"/>
    <w:rsid w:val="00242881"/>
    <w:rsid w:val="00242920"/>
    <w:rsid w:val="0024296B"/>
    <w:rsid w:val="00242A88"/>
    <w:rsid w:val="00242AD8"/>
    <w:rsid w:val="00242AE9"/>
    <w:rsid w:val="00242AEE"/>
    <w:rsid w:val="00242BC0"/>
    <w:rsid w:val="00242C1D"/>
    <w:rsid w:val="00242CD3"/>
    <w:rsid w:val="00242D38"/>
    <w:rsid w:val="00242D39"/>
    <w:rsid w:val="00242DC9"/>
    <w:rsid w:val="00242DFE"/>
    <w:rsid w:val="00242E4A"/>
    <w:rsid w:val="00242EB2"/>
    <w:rsid w:val="00242F1E"/>
    <w:rsid w:val="00242F43"/>
    <w:rsid w:val="00242FD4"/>
    <w:rsid w:val="0024306A"/>
    <w:rsid w:val="002430CE"/>
    <w:rsid w:val="0024310F"/>
    <w:rsid w:val="002432A0"/>
    <w:rsid w:val="00243338"/>
    <w:rsid w:val="00243351"/>
    <w:rsid w:val="00243353"/>
    <w:rsid w:val="002434EE"/>
    <w:rsid w:val="0024358D"/>
    <w:rsid w:val="0024360B"/>
    <w:rsid w:val="00243672"/>
    <w:rsid w:val="00243693"/>
    <w:rsid w:val="0024369F"/>
    <w:rsid w:val="002437C5"/>
    <w:rsid w:val="002439A4"/>
    <w:rsid w:val="002439AE"/>
    <w:rsid w:val="002439E9"/>
    <w:rsid w:val="00243A62"/>
    <w:rsid w:val="00243A92"/>
    <w:rsid w:val="00243AA5"/>
    <w:rsid w:val="00243AE9"/>
    <w:rsid w:val="00243AFA"/>
    <w:rsid w:val="00243B06"/>
    <w:rsid w:val="00243BBC"/>
    <w:rsid w:val="00243BF2"/>
    <w:rsid w:val="00243BF4"/>
    <w:rsid w:val="00243C62"/>
    <w:rsid w:val="00243CB0"/>
    <w:rsid w:val="00243D36"/>
    <w:rsid w:val="00243D65"/>
    <w:rsid w:val="00243D9D"/>
    <w:rsid w:val="00243DD0"/>
    <w:rsid w:val="00243E8A"/>
    <w:rsid w:val="00243F1C"/>
    <w:rsid w:val="00243F2D"/>
    <w:rsid w:val="00243F37"/>
    <w:rsid w:val="00243F6F"/>
    <w:rsid w:val="00243F8A"/>
    <w:rsid w:val="00243FDE"/>
    <w:rsid w:val="002440D2"/>
    <w:rsid w:val="002441CB"/>
    <w:rsid w:val="00244217"/>
    <w:rsid w:val="002442C7"/>
    <w:rsid w:val="002442F8"/>
    <w:rsid w:val="0024442F"/>
    <w:rsid w:val="0024443C"/>
    <w:rsid w:val="00244473"/>
    <w:rsid w:val="0024447E"/>
    <w:rsid w:val="002445D5"/>
    <w:rsid w:val="0024462B"/>
    <w:rsid w:val="0024464E"/>
    <w:rsid w:val="0024466F"/>
    <w:rsid w:val="0024467C"/>
    <w:rsid w:val="00244738"/>
    <w:rsid w:val="00244748"/>
    <w:rsid w:val="0024474D"/>
    <w:rsid w:val="002447F6"/>
    <w:rsid w:val="00244825"/>
    <w:rsid w:val="0024484A"/>
    <w:rsid w:val="002448B4"/>
    <w:rsid w:val="00244A04"/>
    <w:rsid w:val="00244AB4"/>
    <w:rsid w:val="00244ADD"/>
    <w:rsid w:val="00244B04"/>
    <w:rsid w:val="00244B09"/>
    <w:rsid w:val="00244B0B"/>
    <w:rsid w:val="00244B41"/>
    <w:rsid w:val="00244B45"/>
    <w:rsid w:val="00244D91"/>
    <w:rsid w:val="00244D99"/>
    <w:rsid w:val="00244E4C"/>
    <w:rsid w:val="00244E95"/>
    <w:rsid w:val="00244F06"/>
    <w:rsid w:val="00245049"/>
    <w:rsid w:val="002451E8"/>
    <w:rsid w:val="0024521C"/>
    <w:rsid w:val="002452D6"/>
    <w:rsid w:val="00245324"/>
    <w:rsid w:val="00245359"/>
    <w:rsid w:val="0024547C"/>
    <w:rsid w:val="0024555A"/>
    <w:rsid w:val="00245572"/>
    <w:rsid w:val="0024566F"/>
    <w:rsid w:val="00245704"/>
    <w:rsid w:val="00245721"/>
    <w:rsid w:val="00245756"/>
    <w:rsid w:val="00245946"/>
    <w:rsid w:val="002459EE"/>
    <w:rsid w:val="00245B06"/>
    <w:rsid w:val="00245B43"/>
    <w:rsid w:val="00245BEB"/>
    <w:rsid w:val="00245C5A"/>
    <w:rsid w:val="00245CA8"/>
    <w:rsid w:val="00245E0C"/>
    <w:rsid w:val="0024608E"/>
    <w:rsid w:val="0024610E"/>
    <w:rsid w:val="00246175"/>
    <w:rsid w:val="00246180"/>
    <w:rsid w:val="0024618F"/>
    <w:rsid w:val="00246194"/>
    <w:rsid w:val="00246233"/>
    <w:rsid w:val="00246261"/>
    <w:rsid w:val="002462C4"/>
    <w:rsid w:val="00246368"/>
    <w:rsid w:val="002463D1"/>
    <w:rsid w:val="00246531"/>
    <w:rsid w:val="0024655F"/>
    <w:rsid w:val="00246589"/>
    <w:rsid w:val="002465D3"/>
    <w:rsid w:val="0024667D"/>
    <w:rsid w:val="002466DC"/>
    <w:rsid w:val="00246785"/>
    <w:rsid w:val="0024687C"/>
    <w:rsid w:val="002468D9"/>
    <w:rsid w:val="002468F0"/>
    <w:rsid w:val="002468FE"/>
    <w:rsid w:val="002469B4"/>
    <w:rsid w:val="00246AD9"/>
    <w:rsid w:val="00246AFB"/>
    <w:rsid w:val="00246C2C"/>
    <w:rsid w:val="00246C8D"/>
    <w:rsid w:val="00246CAC"/>
    <w:rsid w:val="00246EE3"/>
    <w:rsid w:val="00247052"/>
    <w:rsid w:val="0024708C"/>
    <w:rsid w:val="002470B9"/>
    <w:rsid w:val="002470BE"/>
    <w:rsid w:val="0024712B"/>
    <w:rsid w:val="002471BA"/>
    <w:rsid w:val="0024723D"/>
    <w:rsid w:val="00247294"/>
    <w:rsid w:val="00247325"/>
    <w:rsid w:val="002474AE"/>
    <w:rsid w:val="002474B4"/>
    <w:rsid w:val="002474E9"/>
    <w:rsid w:val="0024750A"/>
    <w:rsid w:val="0024756B"/>
    <w:rsid w:val="00247570"/>
    <w:rsid w:val="002475DD"/>
    <w:rsid w:val="002475EE"/>
    <w:rsid w:val="00247674"/>
    <w:rsid w:val="002476BC"/>
    <w:rsid w:val="002476CF"/>
    <w:rsid w:val="002478BD"/>
    <w:rsid w:val="0024791B"/>
    <w:rsid w:val="00247ABC"/>
    <w:rsid w:val="00247B20"/>
    <w:rsid w:val="00247BB5"/>
    <w:rsid w:val="00247CE5"/>
    <w:rsid w:val="00247D74"/>
    <w:rsid w:val="00247D9A"/>
    <w:rsid w:val="00247DF9"/>
    <w:rsid w:val="00247DFF"/>
    <w:rsid w:val="00247E7A"/>
    <w:rsid w:val="00247E99"/>
    <w:rsid w:val="00247F1F"/>
    <w:rsid w:val="00247F8A"/>
    <w:rsid w:val="00247FAC"/>
    <w:rsid w:val="0024B8A5"/>
    <w:rsid w:val="00250060"/>
    <w:rsid w:val="0025011B"/>
    <w:rsid w:val="00250225"/>
    <w:rsid w:val="002502A3"/>
    <w:rsid w:val="002503A0"/>
    <w:rsid w:val="002503CD"/>
    <w:rsid w:val="002503D5"/>
    <w:rsid w:val="0025041A"/>
    <w:rsid w:val="0025042A"/>
    <w:rsid w:val="002504B3"/>
    <w:rsid w:val="002504F7"/>
    <w:rsid w:val="00250560"/>
    <w:rsid w:val="002505F6"/>
    <w:rsid w:val="00250611"/>
    <w:rsid w:val="0025068A"/>
    <w:rsid w:val="002506BC"/>
    <w:rsid w:val="002506E6"/>
    <w:rsid w:val="002507BA"/>
    <w:rsid w:val="002507BE"/>
    <w:rsid w:val="002507C0"/>
    <w:rsid w:val="0025085E"/>
    <w:rsid w:val="0025089F"/>
    <w:rsid w:val="002508B5"/>
    <w:rsid w:val="0025095F"/>
    <w:rsid w:val="00250991"/>
    <w:rsid w:val="00250996"/>
    <w:rsid w:val="002509FA"/>
    <w:rsid w:val="00250A02"/>
    <w:rsid w:val="00250A6A"/>
    <w:rsid w:val="00250ACF"/>
    <w:rsid w:val="00250B7F"/>
    <w:rsid w:val="00250C05"/>
    <w:rsid w:val="00250C58"/>
    <w:rsid w:val="00250C87"/>
    <w:rsid w:val="00250CA1"/>
    <w:rsid w:val="00250CC2"/>
    <w:rsid w:val="00250CE3"/>
    <w:rsid w:val="00250DFE"/>
    <w:rsid w:val="00250E56"/>
    <w:rsid w:val="00250F16"/>
    <w:rsid w:val="00250FD9"/>
    <w:rsid w:val="00251023"/>
    <w:rsid w:val="00251098"/>
    <w:rsid w:val="00251119"/>
    <w:rsid w:val="00251187"/>
    <w:rsid w:val="002512FC"/>
    <w:rsid w:val="0025138D"/>
    <w:rsid w:val="00251391"/>
    <w:rsid w:val="0025145F"/>
    <w:rsid w:val="00251732"/>
    <w:rsid w:val="00251762"/>
    <w:rsid w:val="002518F1"/>
    <w:rsid w:val="00251908"/>
    <w:rsid w:val="00251927"/>
    <w:rsid w:val="002519B6"/>
    <w:rsid w:val="002519E4"/>
    <w:rsid w:val="002519E7"/>
    <w:rsid w:val="00251A32"/>
    <w:rsid w:val="00251AE2"/>
    <w:rsid w:val="00251B46"/>
    <w:rsid w:val="00251B5A"/>
    <w:rsid w:val="00251C05"/>
    <w:rsid w:val="00251CE1"/>
    <w:rsid w:val="00251D45"/>
    <w:rsid w:val="00251D94"/>
    <w:rsid w:val="00251D9E"/>
    <w:rsid w:val="00251DDB"/>
    <w:rsid w:val="00251E11"/>
    <w:rsid w:val="00251E7E"/>
    <w:rsid w:val="00251F7A"/>
    <w:rsid w:val="00251F85"/>
    <w:rsid w:val="002520B7"/>
    <w:rsid w:val="002520E4"/>
    <w:rsid w:val="00252163"/>
    <w:rsid w:val="0025218F"/>
    <w:rsid w:val="0025222A"/>
    <w:rsid w:val="002522B8"/>
    <w:rsid w:val="00252354"/>
    <w:rsid w:val="00252385"/>
    <w:rsid w:val="002523DC"/>
    <w:rsid w:val="0025244C"/>
    <w:rsid w:val="0025246B"/>
    <w:rsid w:val="00252529"/>
    <w:rsid w:val="0025255D"/>
    <w:rsid w:val="002525D2"/>
    <w:rsid w:val="002525EA"/>
    <w:rsid w:val="0025262B"/>
    <w:rsid w:val="0025265D"/>
    <w:rsid w:val="002526B3"/>
    <w:rsid w:val="002527AE"/>
    <w:rsid w:val="002527D7"/>
    <w:rsid w:val="0025283A"/>
    <w:rsid w:val="0025284E"/>
    <w:rsid w:val="00252851"/>
    <w:rsid w:val="002528BD"/>
    <w:rsid w:val="002529DD"/>
    <w:rsid w:val="00252A41"/>
    <w:rsid w:val="00252B95"/>
    <w:rsid w:val="00252BA1"/>
    <w:rsid w:val="00252BC1"/>
    <w:rsid w:val="00252BCF"/>
    <w:rsid w:val="00252C71"/>
    <w:rsid w:val="00252CAC"/>
    <w:rsid w:val="00252D41"/>
    <w:rsid w:val="00252D7A"/>
    <w:rsid w:val="00252DFE"/>
    <w:rsid w:val="00252E29"/>
    <w:rsid w:val="00252E57"/>
    <w:rsid w:val="00252E68"/>
    <w:rsid w:val="00252EFF"/>
    <w:rsid w:val="00252F2B"/>
    <w:rsid w:val="00253000"/>
    <w:rsid w:val="00253073"/>
    <w:rsid w:val="0025319A"/>
    <w:rsid w:val="002531BB"/>
    <w:rsid w:val="0025336C"/>
    <w:rsid w:val="002533EC"/>
    <w:rsid w:val="0025349C"/>
    <w:rsid w:val="002534BA"/>
    <w:rsid w:val="002534C2"/>
    <w:rsid w:val="00253574"/>
    <w:rsid w:val="002535E6"/>
    <w:rsid w:val="002535FA"/>
    <w:rsid w:val="00253675"/>
    <w:rsid w:val="0025372A"/>
    <w:rsid w:val="00253735"/>
    <w:rsid w:val="002537B6"/>
    <w:rsid w:val="002538A6"/>
    <w:rsid w:val="002538AF"/>
    <w:rsid w:val="002538F7"/>
    <w:rsid w:val="00253907"/>
    <w:rsid w:val="00253921"/>
    <w:rsid w:val="00253956"/>
    <w:rsid w:val="00253958"/>
    <w:rsid w:val="00253A62"/>
    <w:rsid w:val="00253A9D"/>
    <w:rsid w:val="00253ACE"/>
    <w:rsid w:val="00253C04"/>
    <w:rsid w:val="00253C18"/>
    <w:rsid w:val="00253C48"/>
    <w:rsid w:val="00253D25"/>
    <w:rsid w:val="00253DB5"/>
    <w:rsid w:val="00253E03"/>
    <w:rsid w:val="00253E60"/>
    <w:rsid w:val="00253EAF"/>
    <w:rsid w:val="00253EC2"/>
    <w:rsid w:val="00254071"/>
    <w:rsid w:val="0025412F"/>
    <w:rsid w:val="0025414B"/>
    <w:rsid w:val="002542A0"/>
    <w:rsid w:val="002543C6"/>
    <w:rsid w:val="002543CD"/>
    <w:rsid w:val="0025445A"/>
    <w:rsid w:val="0025452C"/>
    <w:rsid w:val="00254579"/>
    <w:rsid w:val="002545EF"/>
    <w:rsid w:val="0025467D"/>
    <w:rsid w:val="00254835"/>
    <w:rsid w:val="0025485E"/>
    <w:rsid w:val="00254934"/>
    <w:rsid w:val="00254A65"/>
    <w:rsid w:val="00254ADB"/>
    <w:rsid w:val="00254B33"/>
    <w:rsid w:val="00254BE9"/>
    <w:rsid w:val="00254C15"/>
    <w:rsid w:val="00254CE1"/>
    <w:rsid w:val="00254E1E"/>
    <w:rsid w:val="00254E42"/>
    <w:rsid w:val="00254E60"/>
    <w:rsid w:val="00254F6A"/>
    <w:rsid w:val="00254FB1"/>
    <w:rsid w:val="00254FDD"/>
    <w:rsid w:val="00254FDE"/>
    <w:rsid w:val="00255074"/>
    <w:rsid w:val="0025513C"/>
    <w:rsid w:val="002551D9"/>
    <w:rsid w:val="002552C9"/>
    <w:rsid w:val="002552E2"/>
    <w:rsid w:val="002552ED"/>
    <w:rsid w:val="002553AD"/>
    <w:rsid w:val="002553E7"/>
    <w:rsid w:val="00255419"/>
    <w:rsid w:val="00255569"/>
    <w:rsid w:val="0025559D"/>
    <w:rsid w:val="002555E8"/>
    <w:rsid w:val="0025578A"/>
    <w:rsid w:val="00255795"/>
    <w:rsid w:val="002557B6"/>
    <w:rsid w:val="00255802"/>
    <w:rsid w:val="0025583E"/>
    <w:rsid w:val="0025583F"/>
    <w:rsid w:val="0025589A"/>
    <w:rsid w:val="002558C6"/>
    <w:rsid w:val="002558FB"/>
    <w:rsid w:val="0025598F"/>
    <w:rsid w:val="00255A36"/>
    <w:rsid w:val="00255B37"/>
    <w:rsid w:val="00255BD0"/>
    <w:rsid w:val="00255C66"/>
    <w:rsid w:val="00255D23"/>
    <w:rsid w:val="00255D7E"/>
    <w:rsid w:val="00255D7F"/>
    <w:rsid w:val="00255D9F"/>
    <w:rsid w:val="00255DC1"/>
    <w:rsid w:val="00255DCB"/>
    <w:rsid w:val="00255E97"/>
    <w:rsid w:val="00255F40"/>
    <w:rsid w:val="00255F82"/>
    <w:rsid w:val="002560C5"/>
    <w:rsid w:val="00256150"/>
    <w:rsid w:val="00256172"/>
    <w:rsid w:val="002561B6"/>
    <w:rsid w:val="002561C7"/>
    <w:rsid w:val="00256255"/>
    <w:rsid w:val="0025627A"/>
    <w:rsid w:val="00256288"/>
    <w:rsid w:val="002562A9"/>
    <w:rsid w:val="0025638E"/>
    <w:rsid w:val="0025641F"/>
    <w:rsid w:val="0025646B"/>
    <w:rsid w:val="002564AF"/>
    <w:rsid w:val="0025652B"/>
    <w:rsid w:val="00256562"/>
    <w:rsid w:val="0025658C"/>
    <w:rsid w:val="00256617"/>
    <w:rsid w:val="00256630"/>
    <w:rsid w:val="00256720"/>
    <w:rsid w:val="00256836"/>
    <w:rsid w:val="0025688B"/>
    <w:rsid w:val="002568EA"/>
    <w:rsid w:val="00256935"/>
    <w:rsid w:val="002569C5"/>
    <w:rsid w:val="002569E7"/>
    <w:rsid w:val="00256A3C"/>
    <w:rsid w:val="00256A3E"/>
    <w:rsid w:val="00256A7D"/>
    <w:rsid w:val="00256ABB"/>
    <w:rsid w:val="00256AE6"/>
    <w:rsid w:val="00256BBB"/>
    <w:rsid w:val="00256D34"/>
    <w:rsid w:val="00256D86"/>
    <w:rsid w:val="00256DA2"/>
    <w:rsid w:val="00256DF3"/>
    <w:rsid w:val="00256DF5"/>
    <w:rsid w:val="00256F2A"/>
    <w:rsid w:val="00256F3B"/>
    <w:rsid w:val="00256F5B"/>
    <w:rsid w:val="00256F66"/>
    <w:rsid w:val="00256F82"/>
    <w:rsid w:val="00256FCD"/>
    <w:rsid w:val="00257062"/>
    <w:rsid w:val="002571DC"/>
    <w:rsid w:val="002571FF"/>
    <w:rsid w:val="0025724D"/>
    <w:rsid w:val="002572D8"/>
    <w:rsid w:val="00257304"/>
    <w:rsid w:val="002573CC"/>
    <w:rsid w:val="002573D7"/>
    <w:rsid w:val="002573FF"/>
    <w:rsid w:val="002574FB"/>
    <w:rsid w:val="002575D1"/>
    <w:rsid w:val="002575DC"/>
    <w:rsid w:val="002575E9"/>
    <w:rsid w:val="0025762E"/>
    <w:rsid w:val="0025764D"/>
    <w:rsid w:val="00257650"/>
    <w:rsid w:val="002577E4"/>
    <w:rsid w:val="002577FD"/>
    <w:rsid w:val="0025784D"/>
    <w:rsid w:val="00257A18"/>
    <w:rsid w:val="00257A4F"/>
    <w:rsid w:val="00257AB7"/>
    <w:rsid w:val="00257ACB"/>
    <w:rsid w:val="00257AEE"/>
    <w:rsid w:val="00257B70"/>
    <w:rsid w:val="00257B94"/>
    <w:rsid w:val="00257BFA"/>
    <w:rsid w:val="00257C8B"/>
    <w:rsid w:val="00257E0D"/>
    <w:rsid w:val="00257E92"/>
    <w:rsid w:val="00257EA2"/>
    <w:rsid w:val="00257EAF"/>
    <w:rsid w:val="00257ED2"/>
    <w:rsid w:val="00257ED3"/>
    <w:rsid w:val="00257F41"/>
    <w:rsid w:val="00257F5F"/>
    <w:rsid w:val="00257F88"/>
    <w:rsid w:val="00257FE2"/>
    <w:rsid w:val="00260095"/>
    <w:rsid w:val="00260151"/>
    <w:rsid w:val="00260154"/>
    <w:rsid w:val="00260158"/>
    <w:rsid w:val="0026016C"/>
    <w:rsid w:val="0026018D"/>
    <w:rsid w:val="002601C2"/>
    <w:rsid w:val="002602AA"/>
    <w:rsid w:val="002602E8"/>
    <w:rsid w:val="0026030D"/>
    <w:rsid w:val="002603F4"/>
    <w:rsid w:val="00260401"/>
    <w:rsid w:val="0026047A"/>
    <w:rsid w:val="0026053D"/>
    <w:rsid w:val="002605CF"/>
    <w:rsid w:val="00260716"/>
    <w:rsid w:val="0026071A"/>
    <w:rsid w:val="00260757"/>
    <w:rsid w:val="002607F6"/>
    <w:rsid w:val="00260888"/>
    <w:rsid w:val="00260906"/>
    <w:rsid w:val="0026093C"/>
    <w:rsid w:val="00260959"/>
    <w:rsid w:val="002609CB"/>
    <w:rsid w:val="00260A55"/>
    <w:rsid w:val="00260A56"/>
    <w:rsid w:val="00260A75"/>
    <w:rsid w:val="00260AC3"/>
    <w:rsid w:val="00260BD1"/>
    <w:rsid w:val="00260BEA"/>
    <w:rsid w:val="00260CC8"/>
    <w:rsid w:val="00260DA7"/>
    <w:rsid w:val="00260DC1"/>
    <w:rsid w:val="00260DC6"/>
    <w:rsid w:val="00260DCA"/>
    <w:rsid w:val="00260DD4"/>
    <w:rsid w:val="00260E12"/>
    <w:rsid w:val="00260E50"/>
    <w:rsid w:val="00260E5B"/>
    <w:rsid w:val="00260ECE"/>
    <w:rsid w:val="00260EE2"/>
    <w:rsid w:val="00260F0B"/>
    <w:rsid w:val="00260F23"/>
    <w:rsid w:val="00261049"/>
    <w:rsid w:val="0026107D"/>
    <w:rsid w:val="00261196"/>
    <w:rsid w:val="002611FD"/>
    <w:rsid w:val="0026123A"/>
    <w:rsid w:val="002612BC"/>
    <w:rsid w:val="002613C7"/>
    <w:rsid w:val="0026141F"/>
    <w:rsid w:val="00261452"/>
    <w:rsid w:val="0026145E"/>
    <w:rsid w:val="002614BB"/>
    <w:rsid w:val="0026150A"/>
    <w:rsid w:val="00261520"/>
    <w:rsid w:val="002616BE"/>
    <w:rsid w:val="002616C9"/>
    <w:rsid w:val="00261914"/>
    <w:rsid w:val="00261988"/>
    <w:rsid w:val="002619A3"/>
    <w:rsid w:val="002619BE"/>
    <w:rsid w:val="00261A10"/>
    <w:rsid w:val="00261A69"/>
    <w:rsid w:val="00261A9D"/>
    <w:rsid w:val="00261B2F"/>
    <w:rsid w:val="00261B36"/>
    <w:rsid w:val="00261B7B"/>
    <w:rsid w:val="00261BF9"/>
    <w:rsid w:val="00261DD1"/>
    <w:rsid w:val="00261ED5"/>
    <w:rsid w:val="002620CB"/>
    <w:rsid w:val="002620D9"/>
    <w:rsid w:val="0026218A"/>
    <w:rsid w:val="0026227A"/>
    <w:rsid w:val="00262296"/>
    <w:rsid w:val="002622B1"/>
    <w:rsid w:val="002622C8"/>
    <w:rsid w:val="002623CC"/>
    <w:rsid w:val="00262424"/>
    <w:rsid w:val="00262439"/>
    <w:rsid w:val="0026244A"/>
    <w:rsid w:val="002624C4"/>
    <w:rsid w:val="002624E6"/>
    <w:rsid w:val="0026251C"/>
    <w:rsid w:val="00262530"/>
    <w:rsid w:val="00262538"/>
    <w:rsid w:val="00262543"/>
    <w:rsid w:val="00262554"/>
    <w:rsid w:val="0026260D"/>
    <w:rsid w:val="00262670"/>
    <w:rsid w:val="002626B3"/>
    <w:rsid w:val="0026278E"/>
    <w:rsid w:val="00262869"/>
    <w:rsid w:val="00262892"/>
    <w:rsid w:val="002628A4"/>
    <w:rsid w:val="002629EC"/>
    <w:rsid w:val="002629FE"/>
    <w:rsid w:val="00262A46"/>
    <w:rsid w:val="00262A68"/>
    <w:rsid w:val="00262AA4"/>
    <w:rsid w:val="00262AB2"/>
    <w:rsid w:val="00262ACA"/>
    <w:rsid w:val="00262B27"/>
    <w:rsid w:val="00262B79"/>
    <w:rsid w:val="00262BB2"/>
    <w:rsid w:val="00262D23"/>
    <w:rsid w:val="00262D6C"/>
    <w:rsid w:val="00262E35"/>
    <w:rsid w:val="00262EA7"/>
    <w:rsid w:val="00262EBA"/>
    <w:rsid w:val="00262F30"/>
    <w:rsid w:val="00262F92"/>
    <w:rsid w:val="00262FA5"/>
    <w:rsid w:val="002630E5"/>
    <w:rsid w:val="00263122"/>
    <w:rsid w:val="002631CD"/>
    <w:rsid w:val="002632C1"/>
    <w:rsid w:val="002633BE"/>
    <w:rsid w:val="002633F9"/>
    <w:rsid w:val="002634EB"/>
    <w:rsid w:val="002635E1"/>
    <w:rsid w:val="0026375E"/>
    <w:rsid w:val="00263791"/>
    <w:rsid w:val="00263796"/>
    <w:rsid w:val="0026379C"/>
    <w:rsid w:val="002637E5"/>
    <w:rsid w:val="00263829"/>
    <w:rsid w:val="00263863"/>
    <w:rsid w:val="0026389C"/>
    <w:rsid w:val="002638ED"/>
    <w:rsid w:val="00263978"/>
    <w:rsid w:val="00263A38"/>
    <w:rsid w:val="00263A70"/>
    <w:rsid w:val="00263B3D"/>
    <w:rsid w:val="00263CDB"/>
    <w:rsid w:val="00263D77"/>
    <w:rsid w:val="00263DA1"/>
    <w:rsid w:val="00263DCC"/>
    <w:rsid w:val="00263E27"/>
    <w:rsid w:val="00263E41"/>
    <w:rsid w:val="00263F05"/>
    <w:rsid w:val="00263FE5"/>
    <w:rsid w:val="00264180"/>
    <w:rsid w:val="00264237"/>
    <w:rsid w:val="00264249"/>
    <w:rsid w:val="0026429E"/>
    <w:rsid w:val="00264315"/>
    <w:rsid w:val="0026438C"/>
    <w:rsid w:val="00264406"/>
    <w:rsid w:val="002644BD"/>
    <w:rsid w:val="00264521"/>
    <w:rsid w:val="00264536"/>
    <w:rsid w:val="002645C0"/>
    <w:rsid w:val="002645C4"/>
    <w:rsid w:val="00264630"/>
    <w:rsid w:val="002646C7"/>
    <w:rsid w:val="00264738"/>
    <w:rsid w:val="0026476F"/>
    <w:rsid w:val="002647A5"/>
    <w:rsid w:val="002647E2"/>
    <w:rsid w:val="00264859"/>
    <w:rsid w:val="002648AE"/>
    <w:rsid w:val="00264939"/>
    <w:rsid w:val="002649D5"/>
    <w:rsid w:val="00264A25"/>
    <w:rsid w:val="00264A8B"/>
    <w:rsid w:val="00264AFA"/>
    <w:rsid w:val="00264B9E"/>
    <w:rsid w:val="00264BA8"/>
    <w:rsid w:val="00264C46"/>
    <w:rsid w:val="00264CF6"/>
    <w:rsid w:val="00264D5D"/>
    <w:rsid w:val="00264DBF"/>
    <w:rsid w:val="00264E9E"/>
    <w:rsid w:val="00264ECC"/>
    <w:rsid w:val="00264ED9"/>
    <w:rsid w:val="00264FB8"/>
    <w:rsid w:val="00264FC8"/>
    <w:rsid w:val="00264FCA"/>
    <w:rsid w:val="0026500C"/>
    <w:rsid w:val="002650D0"/>
    <w:rsid w:val="00265129"/>
    <w:rsid w:val="0026518E"/>
    <w:rsid w:val="00265260"/>
    <w:rsid w:val="0026528C"/>
    <w:rsid w:val="002652EB"/>
    <w:rsid w:val="002652FE"/>
    <w:rsid w:val="00265327"/>
    <w:rsid w:val="0026534E"/>
    <w:rsid w:val="00265414"/>
    <w:rsid w:val="002654D0"/>
    <w:rsid w:val="00265506"/>
    <w:rsid w:val="0026555B"/>
    <w:rsid w:val="002655E5"/>
    <w:rsid w:val="002655F2"/>
    <w:rsid w:val="00265675"/>
    <w:rsid w:val="0026570A"/>
    <w:rsid w:val="0026574B"/>
    <w:rsid w:val="002657CA"/>
    <w:rsid w:val="00265834"/>
    <w:rsid w:val="00265895"/>
    <w:rsid w:val="002658A1"/>
    <w:rsid w:val="002658DA"/>
    <w:rsid w:val="00265933"/>
    <w:rsid w:val="0026593F"/>
    <w:rsid w:val="00265A4C"/>
    <w:rsid w:val="00265AE1"/>
    <w:rsid w:val="00265BEB"/>
    <w:rsid w:val="00265C27"/>
    <w:rsid w:val="00265D4C"/>
    <w:rsid w:val="00265D5D"/>
    <w:rsid w:val="00265D87"/>
    <w:rsid w:val="00265E91"/>
    <w:rsid w:val="00265EA0"/>
    <w:rsid w:val="00265EB5"/>
    <w:rsid w:val="00265EEE"/>
    <w:rsid w:val="00265F0E"/>
    <w:rsid w:val="00265F5C"/>
    <w:rsid w:val="0026605B"/>
    <w:rsid w:val="002660D2"/>
    <w:rsid w:val="002660F5"/>
    <w:rsid w:val="00266100"/>
    <w:rsid w:val="00266140"/>
    <w:rsid w:val="0026616C"/>
    <w:rsid w:val="0026618F"/>
    <w:rsid w:val="00266198"/>
    <w:rsid w:val="00266199"/>
    <w:rsid w:val="0026627D"/>
    <w:rsid w:val="00266280"/>
    <w:rsid w:val="00266293"/>
    <w:rsid w:val="0026629D"/>
    <w:rsid w:val="002663F2"/>
    <w:rsid w:val="00266410"/>
    <w:rsid w:val="0026645C"/>
    <w:rsid w:val="00266487"/>
    <w:rsid w:val="00266495"/>
    <w:rsid w:val="002664B3"/>
    <w:rsid w:val="002664FD"/>
    <w:rsid w:val="00266553"/>
    <w:rsid w:val="00266559"/>
    <w:rsid w:val="00266619"/>
    <w:rsid w:val="00266636"/>
    <w:rsid w:val="00266686"/>
    <w:rsid w:val="00266777"/>
    <w:rsid w:val="00266860"/>
    <w:rsid w:val="00266919"/>
    <w:rsid w:val="002669F3"/>
    <w:rsid w:val="00266A53"/>
    <w:rsid w:val="00266A77"/>
    <w:rsid w:val="00266A95"/>
    <w:rsid w:val="00266B4C"/>
    <w:rsid w:val="00266BA4"/>
    <w:rsid w:val="00266C21"/>
    <w:rsid w:val="00266C3F"/>
    <w:rsid w:val="00266D55"/>
    <w:rsid w:val="00266DCD"/>
    <w:rsid w:val="00266E14"/>
    <w:rsid w:val="00266F30"/>
    <w:rsid w:val="00266F5A"/>
    <w:rsid w:val="00267064"/>
    <w:rsid w:val="0026707E"/>
    <w:rsid w:val="00267096"/>
    <w:rsid w:val="002670DB"/>
    <w:rsid w:val="00267127"/>
    <w:rsid w:val="002671E9"/>
    <w:rsid w:val="0026720E"/>
    <w:rsid w:val="0026733E"/>
    <w:rsid w:val="0026737F"/>
    <w:rsid w:val="002673AA"/>
    <w:rsid w:val="00267515"/>
    <w:rsid w:val="0026755F"/>
    <w:rsid w:val="002675C2"/>
    <w:rsid w:val="00267618"/>
    <w:rsid w:val="002676AC"/>
    <w:rsid w:val="0026777E"/>
    <w:rsid w:val="002677B7"/>
    <w:rsid w:val="002678D2"/>
    <w:rsid w:val="00267A46"/>
    <w:rsid w:val="00267AAE"/>
    <w:rsid w:val="00267C17"/>
    <w:rsid w:val="00267C75"/>
    <w:rsid w:val="00267D22"/>
    <w:rsid w:val="00267E3E"/>
    <w:rsid w:val="00267E56"/>
    <w:rsid w:val="00267E5A"/>
    <w:rsid w:val="00267E76"/>
    <w:rsid w:val="00267E8C"/>
    <w:rsid w:val="00267EA8"/>
    <w:rsid w:val="00267F92"/>
    <w:rsid w:val="00267FD3"/>
    <w:rsid w:val="00267FD8"/>
    <w:rsid w:val="0027000D"/>
    <w:rsid w:val="0027005F"/>
    <w:rsid w:val="002701B4"/>
    <w:rsid w:val="002702C2"/>
    <w:rsid w:val="002702F3"/>
    <w:rsid w:val="0027044D"/>
    <w:rsid w:val="002705EB"/>
    <w:rsid w:val="00270660"/>
    <w:rsid w:val="0027069C"/>
    <w:rsid w:val="00270700"/>
    <w:rsid w:val="002707A5"/>
    <w:rsid w:val="00270870"/>
    <w:rsid w:val="00270901"/>
    <w:rsid w:val="00270A61"/>
    <w:rsid w:val="00270A98"/>
    <w:rsid w:val="00270AF7"/>
    <w:rsid w:val="00270B4F"/>
    <w:rsid w:val="00270C83"/>
    <w:rsid w:val="00270C92"/>
    <w:rsid w:val="00270CEA"/>
    <w:rsid w:val="00270D80"/>
    <w:rsid w:val="00270E50"/>
    <w:rsid w:val="00270EE1"/>
    <w:rsid w:val="00270F14"/>
    <w:rsid w:val="00270F24"/>
    <w:rsid w:val="00270F45"/>
    <w:rsid w:val="00270F8B"/>
    <w:rsid w:val="00270FD1"/>
    <w:rsid w:val="00270FD5"/>
    <w:rsid w:val="00271024"/>
    <w:rsid w:val="00271037"/>
    <w:rsid w:val="00271104"/>
    <w:rsid w:val="00271128"/>
    <w:rsid w:val="0027116E"/>
    <w:rsid w:val="002711AA"/>
    <w:rsid w:val="00271274"/>
    <w:rsid w:val="00271376"/>
    <w:rsid w:val="002713FB"/>
    <w:rsid w:val="002714D1"/>
    <w:rsid w:val="002715CB"/>
    <w:rsid w:val="002715CE"/>
    <w:rsid w:val="002715E7"/>
    <w:rsid w:val="002715F2"/>
    <w:rsid w:val="002716D3"/>
    <w:rsid w:val="002716E8"/>
    <w:rsid w:val="002716F7"/>
    <w:rsid w:val="0027176B"/>
    <w:rsid w:val="00271886"/>
    <w:rsid w:val="002718B5"/>
    <w:rsid w:val="002719F2"/>
    <w:rsid w:val="00271AC9"/>
    <w:rsid w:val="00271B6A"/>
    <w:rsid w:val="00271B8B"/>
    <w:rsid w:val="00271B96"/>
    <w:rsid w:val="00271D51"/>
    <w:rsid w:val="00271D9E"/>
    <w:rsid w:val="00271DFC"/>
    <w:rsid w:val="00271E7A"/>
    <w:rsid w:val="00271E92"/>
    <w:rsid w:val="00272000"/>
    <w:rsid w:val="0027206A"/>
    <w:rsid w:val="00272266"/>
    <w:rsid w:val="002722A8"/>
    <w:rsid w:val="002722CB"/>
    <w:rsid w:val="002722D5"/>
    <w:rsid w:val="00272498"/>
    <w:rsid w:val="002724CC"/>
    <w:rsid w:val="00272515"/>
    <w:rsid w:val="0027253B"/>
    <w:rsid w:val="002725FA"/>
    <w:rsid w:val="00272651"/>
    <w:rsid w:val="0027279A"/>
    <w:rsid w:val="0027280B"/>
    <w:rsid w:val="00272894"/>
    <w:rsid w:val="002728F0"/>
    <w:rsid w:val="00272924"/>
    <w:rsid w:val="00272974"/>
    <w:rsid w:val="002729B9"/>
    <w:rsid w:val="00272A3E"/>
    <w:rsid w:val="00272A47"/>
    <w:rsid w:val="00272B6B"/>
    <w:rsid w:val="00272B7D"/>
    <w:rsid w:val="00272BD6"/>
    <w:rsid w:val="00272C9E"/>
    <w:rsid w:val="00272CC8"/>
    <w:rsid w:val="00272CDF"/>
    <w:rsid w:val="00272CF0"/>
    <w:rsid w:val="00272D89"/>
    <w:rsid w:val="00272E75"/>
    <w:rsid w:val="0027307B"/>
    <w:rsid w:val="002730AE"/>
    <w:rsid w:val="002730B7"/>
    <w:rsid w:val="002730CB"/>
    <w:rsid w:val="0027313B"/>
    <w:rsid w:val="0027314B"/>
    <w:rsid w:val="0027316C"/>
    <w:rsid w:val="002731B7"/>
    <w:rsid w:val="002731E3"/>
    <w:rsid w:val="002732B6"/>
    <w:rsid w:val="0027347A"/>
    <w:rsid w:val="002734FB"/>
    <w:rsid w:val="0027350E"/>
    <w:rsid w:val="00273550"/>
    <w:rsid w:val="00273596"/>
    <w:rsid w:val="00273775"/>
    <w:rsid w:val="00273809"/>
    <w:rsid w:val="00273865"/>
    <w:rsid w:val="00273898"/>
    <w:rsid w:val="00273905"/>
    <w:rsid w:val="0027396F"/>
    <w:rsid w:val="002739F3"/>
    <w:rsid w:val="00273A12"/>
    <w:rsid w:val="00273A99"/>
    <w:rsid w:val="00273B15"/>
    <w:rsid w:val="00273B84"/>
    <w:rsid w:val="00273BC7"/>
    <w:rsid w:val="00273C0D"/>
    <w:rsid w:val="00273CE4"/>
    <w:rsid w:val="00273D29"/>
    <w:rsid w:val="00273DDF"/>
    <w:rsid w:val="00273E64"/>
    <w:rsid w:val="00273EFE"/>
    <w:rsid w:val="00273F00"/>
    <w:rsid w:val="00273F14"/>
    <w:rsid w:val="0027400D"/>
    <w:rsid w:val="002740F4"/>
    <w:rsid w:val="002741BC"/>
    <w:rsid w:val="00274222"/>
    <w:rsid w:val="00274367"/>
    <w:rsid w:val="002743D6"/>
    <w:rsid w:val="00274495"/>
    <w:rsid w:val="0027456A"/>
    <w:rsid w:val="00274570"/>
    <w:rsid w:val="00274572"/>
    <w:rsid w:val="00274692"/>
    <w:rsid w:val="002746C1"/>
    <w:rsid w:val="00274795"/>
    <w:rsid w:val="002747AA"/>
    <w:rsid w:val="002747B1"/>
    <w:rsid w:val="0027480E"/>
    <w:rsid w:val="00274839"/>
    <w:rsid w:val="00274847"/>
    <w:rsid w:val="0027484B"/>
    <w:rsid w:val="0027485A"/>
    <w:rsid w:val="002748C7"/>
    <w:rsid w:val="00274950"/>
    <w:rsid w:val="002749E0"/>
    <w:rsid w:val="00274A2B"/>
    <w:rsid w:val="00274A8A"/>
    <w:rsid w:val="00274ACE"/>
    <w:rsid w:val="00274B19"/>
    <w:rsid w:val="00274B34"/>
    <w:rsid w:val="00274B55"/>
    <w:rsid w:val="00274B5A"/>
    <w:rsid w:val="00274BAD"/>
    <w:rsid w:val="00274CFF"/>
    <w:rsid w:val="00274D02"/>
    <w:rsid w:val="00274F9F"/>
    <w:rsid w:val="0027502A"/>
    <w:rsid w:val="00275035"/>
    <w:rsid w:val="00275049"/>
    <w:rsid w:val="0027511B"/>
    <w:rsid w:val="002751EB"/>
    <w:rsid w:val="002752FF"/>
    <w:rsid w:val="00275333"/>
    <w:rsid w:val="00275336"/>
    <w:rsid w:val="002753B1"/>
    <w:rsid w:val="00275403"/>
    <w:rsid w:val="00275404"/>
    <w:rsid w:val="00275496"/>
    <w:rsid w:val="00275587"/>
    <w:rsid w:val="0027562E"/>
    <w:rsid w:val="0027566E"/>
    <w:rsid w:val="0027570A"/>
    <w:rsid w:val="00275732"/>
    <w:rsid w:val="00275744"/>
    <w:rsid w:val="00275749"/>
    <w:rsid w:val="002757DB"/>
    <w:rsid w:val="002757E5"/>
    <w:rsid w:val="00275814"/>
    <w:rsid w:val="00275978"/>
    <w:rsid w:val="002759B0"/>
    <w:rsid w:val="002759E8"/>
    <w:rsid w:val="00275A44"/>
    <w:rsid w:val="00275B05"/>
    <w:rsid w:val="00275B07"/>
    <w:rsid w:val="00275BF9"/>
    <w:rsid w:val="00275BFA"/>
    <w:rsid w:val="00275C5D"/>
    <w:rsid w:val="00275D01"/>
    <w:rsid w:val="00275E84"/>
    <w:rsid w:val="00275E88"/>
    <w:rsid w:val="00275F52"/>
    <w:rsid w:val="00275F5D"/>
    <w:rsid w:val="00275F72"/>
    <w:rsid w:val="00275FB7"/>
    <w:rsid w:val="00276047"/>
    <w:rsid w:val="0027604C"/>
    <w:rsid w:val="002760A5"/>
    <w:rsid w:val="002760B1"/>
    <w:rsid w:val="0027610F"/>
    <w:rsid w:val="00276119"/>
    <w:rsid w:val="00276131"/>
    <w:rsid w:val="0027615E"/>
    <w:rsid w:val="00276184"/>
    <w:rsid w:val="002761FD"/>
    <w:rsid w:val="0027621E"/>
    <w:rsid w:val="00276244"/>
    <w:rsid w:val="00276328"/>
    <w:rsid w:val="002764DE"/>
    <w:rsid w:val="002764FC"/>
    <w:rsid w:val="00276505"/>
    <w:rsid w:val="0027653E"/>
    <w:rsid w:val="0027663D"/>
    <w:rsid w:val="0027663F"/>
    <w:rsid w:val="00276698"/>
    <w:rsid w:val="002766F3"/>
    <w:rsid w:val="002766FE"/>
    <w:rsid w:val="0027670B"/>
    <w:rsid w:val="00276769"/>
    <w:rsid w:val="002768C4"/>
    <w:rsid w:val="002768DD"/>
    <w:rsid w:val="0027692A"/>
    <w:rsid w:val="00276A8D"/>
    <w:rsid w:val="00276AA7"/>
    <w:rsid w:val="00276B52"/>
    <w:rsid w:val="00276B74"/>
    <w:rsid w:val="00276B98"/>
    <w:rsid w:val="00276BE0"/>
    <w:rsid w:val="00276C1B"/>
    <w:rsid w:val="00276C20"/>
    <w:rsid w:val="00276C6F"/>
    <w:rsid w:val="00276CF5"/>
    <w:rsid w:val="00276D30"/>
    <w:rsid w:val="00276DC8"/>
    <w:rsid w:val="00276DF3"/>
    <w:rsid w:val="00276E15"/>
    <w:rsid w:val="00276E19"/>
    <w:rsid w:val="00276E80"/>
    <w:rsid w:val="00276EFA"/>
    <w:rsid w:val="00276F00"/>
    <w:rsid w:val="00276F36"/>
    <w:rsid w:val="00276FF5"/>
    <w:rsid w:val="0027715D"/>
    <w:rsid w:val="002772B4"/>
    <w:rsid w:val="002772E7"/>
    <w:rsid w:val="00277367"/>
    <w:rsid w:val="002773A5"/>
    <w:rsid w:val="00277451"/>
    <w:rsid w:val="0027748C"/>
    <w:rsid w:val="002774D9"/>
    <w:rsid w:val="0027756E"/>
    <w:rsid w:val="00277573"/>
    <w:rsid w:val="0027760F"/>
    <w:rsid w:val="0027762C"/>
    <w:rsid w:val="00277634"/>
    <w:rsid w:val="00277650"/>
    <w:rsid w:val="00277739"/>
    <w:rsid w:val="00277742"/>
    <w:rsid w:val="002777B8"/>
    <w:rsid w:val="002777B9"/>
    <w:rsid w:val="002778DD"/>
    <w:rsid w:val="002778DF"/>
    <w:rsid w:val="00277977"/>
    <w:rsid w:val="00277B3A"/>
    <w:rsid w:val="00277C36"/>
    <w:rsid w:val="00277CDB"/>
    <w:rsid w:val="00277DA5"/>
    <w:rsid w:val="00277DBC"/>
    <w:rsid w:val="00277DE5"/>
    <w:rsid w:val="00277E21"/>
    <w:rsid w:val="00277E39"/>
    <w:rsid w:val="00277EC1"/>
    <w:rsid w:val="00277F22"/>
    <w:rsid w:val="00277F95"/>
    <w:rsid w:val="00280072"/>
    <w:rsid w:val="002800CA"/>
    <w:rsid w:val="00280109"/>
    <w:rsid w:val="00280134"/>
    <w:rsid w:val="00280166"/>
    <w:rsid w:val="0028020C"/>
    <w:rsid w:val="0028025C"/>
    <w:rsid w:val="002802E5"/>
    <w:rsid w:val="00280404"/>
    <w:rsid w:val="00280422"/>
    <w:rsid w:val="00280451"/>
    <w:rsid w:val="002804F1"/>
    <w:rsid w:val="00280536"/>
    <w:rsid w:val="00280546"/>
    <w:rsid w:val="0028057D"/>
    <w:rsid w:val="002806F2"/>
    <w:rsid w:val="00280741"/>
    <w:rsid w:val="00280863"/>
    <w:rsid w:val="002808E8"/>
    <w:rsid w:val="00280986"/>
    <w:rsid w:val="00280A56"/>
    <w:rsid w:val="00280A7D"/>
    <w:rsid w:val="00280B05"/>
    <w:rsid w:val="00280C1C"/>
    <w:rsid w:val="00280CB8"/>
    <w:rsid w:val="00280DE5"/>
    <w:rsid w:val="00280E4F"/>
    <w:rsid w:val="00280F3D"/>
    <w:rsid w:val="00280FF3"/>
    <w:rsid w:val="002810AE"/>
    <w:rsid w:val="002810DE"/>
    <w:rsid w:val="00281212"/>
    <w:rsid w:val="00281271"/>
    <w:rsid w:val="002813E8"/>
    <w:rsid w:val="002813F1"/>
    <w:rsid w:val="0028142B"/>
    <w:rsid w:val="00281439"/>
    <w:rsid w:val="0028145C"/>
    <w:rsid w:val="00281475"/>
    <w:rsid w:val="00281632"/>
    <w:rsid w:val="002816D8"/>
    <w:rsid w:val="00281798"/>
    <w:rsid w:val="00281AF1"/>
    <w:rsid w:val="00281AF6"/>
    <w:rsid w:val="00281BEA"/>
    <w:rsid w:val="00281CC8"/>
    <w:rsid w:val="00281D00"/>
    <w:rsid w:val="00281DCC"/>
    <w:rsid w:val="00281EF3"/>
    <w:rsid w:val="00282022"/>
    <w:rsid w:val="002820B7"/>
    <w:rsid w:val="00282104"/>
    <w:rsid w:val="0028210D"/>
    <w:rsid w:val="00282143"/>
    <w:rsid w:val="0028218C"/>
    <w:rsid w:val="00282240"/>
    <w:rsid w:val="00282288"/>
    <w:rsid w:val="0028228E"/>
    <w:rsid w:val="002823D2"/>
    <w:rsid w:val="00282465"/>
    <w:rsid w:val="002824B3"/>
    <w:rsid w:val="00282620"/>
    <w:rsid w:val="0028265D"/>
    <w:rsid w:val="0028265E"/>
    <w:rsid w:val="00282727"/>
    <w:rsid w:val="0028276E"/>
    <w:rsid w:val="002827F8"/>
    <w:rsid w:val="0028281E"/>
    <w:rsid w:val="00282860"/>
    <w:rsid w:val="00282869"/>
    <w:rsid w:val="00282895"/>
    <w:rsid w:val="00282930"/>
    <w:rsid w:val="0028295F"/>
    <w:rsid w:val="00282977"/>
    <w:rsid w:val="0028298F"/>
    <w:rsid w:val="002829C4"/>
    <w:rsid w:val="00282A35"/>
    <w:rsid w:val="00282AC4"/>
    <w:rsid w:val="00282ACA"/>
    <w:rsid w:val="00282B09"/>
    <w:rsid w:val="00282B37"/>
    <w:rsid w:val="00282B7C"/>
    <w:rsid w:val="00282BAF"/>
    <w:rsid w:val="00282C37"/>
    <w:rsid w:val="00282DA7"/>
    <w:rsid w:val="00282DC9"/>
    <w:rsid w:val="00282E61"/>
    <w:rsid w:val="00282E68"/>
    <w:rsid w:val="00282F58"/>
    <w:rsid w:val="00282F71"/>
    <w:rsid w:val="00282F90"/>
    <w:rsid w:val="00283065"/>
    <w:rsid w:val="002830E7"/>
    <w:rsid w:val="00283106"/>
    <w:rsid w:val="0028317F"/>
    <w:rsid w:val="0028320A"/>
    <w:rsid w:val="002832AF"/>
    <w:rsid w:val="002832F1"/>
    <w:rsid w:val="00283322"/>
    <w:rsid w:val="0028338A"/>
    <w:rsid w:val="002833F6"/>
    <w:rsid w:val="00283435"/>
    <w:rsid w:val="00283460"/>
    <w:rsid w:val="002834AB"/>
    <w:rsid w:val="002834CF"/>
    <w:rsid w:val="002834E6"/>
    <w:rsid w:val="00283587"/>
    <w:rsid w:val="002835E3"/>
    <w:rsid w:val="002836C0"/>
    <w:rsid w:val="00283820"/>
    <w:rsid w:val="002838C6"/>
    <w:rsid w:val="002838DC"/>
    <w:rsid w:val="0028397A"/>
    <w:rsid w:val="002839B3"/>
    <w:rsid w:val="00283A6B"/>
    <w:rsid w:val="00283AB7"/>
    <w:rsid w:val="00283B7B"/>
    <w:rsid w:val="00283BE7"/>
    <w:rsid w:val="00283C03"/>
    <w:rsid w:val="00283C21"/>
    <w:rsid w:val="00283C29"/>
    <w:rsid w:val="00283CD5"/>
    <w:rsid w:val="00283D47"/>
    <w:rsid w:val="00283D59"/>
    <w:rsid w:val="00283D95"/>
    <w:rsid w:val="00283DB1"/>
    <w:rsid w:val="00283FCF"/>
    <w:rsid w:val="00284039"/>
    <w:rsid w:val="002840F7"/>
    <w:rsid w:val="002841AA"/>
    <w:rsid w:val="002841FF"/>
    <w:rsid w:val="0028421A"/>
    <w:rsid w:val="00284246"/>
    <w:rsid w:val="00284259"/>
    <w:rsid w:val="0028428E"/>
    <w:rsid w:val="002842B3"/>
    <w:rsid w:val="0028432F"/>
    <w:rsid w:val="002843C9"/>
    <w:rsid w:val="002843E7"/>
    <w:rsid w:val="002843EE"/>
    <w:rsid w:val="00284457"/>
    <w:rsid w:val="002844EC"/>
    <w:rsid w:val="00284595"/>
    <w:rsid w:val="002845AC"/>
    <w:rsid w:val="002845B0"/>
    <w:rsid w:val="002846EA"/>
    <w:rsid w:val="00284714"/>
    <w:rsid w:val="00284738"/>
    <w:rsid w:val="0028478E"/>
    <w:rsid w:val="002847A9"/>
    <w:rsid w:val="002847BE"/>
    <w:rsid w:val="00284812"/>
    <w:rsid w:val="002848C2"/>
    <w:rsid w:val="002848FF"/>
    <w:rsid w:val="00284903"/>
    <w:rsid w:val="00284954"/>
    <w:rsid w:val="00284968"/>
    <w:rsid w:val="00284980"/>
    <w:rsid w:val="00284A44"/>
    <w:rsid w:val="00284AA2"/>
    <w:rsid w:val="00284B67"/>
    <w:rsid w:val="00284BA3"/>
    <w:rsid w:val="00284BA5"/>
    <w:rsid w:val="00284BC3"/>
    <w:rsid w:val="00284C54"/>
    <w:rsid w:val="00284D29"/>
    <w:rsid w:val="00284D6F"/>
    <w:rsid w:val="00284D74"/>
    <w:rsid w:val="00284D77"/>
    <w:rsid w:val="00284DCF"/>
    <w:rsid w:val="00284E96"/>
    <w:rsid w:val="00284EFE"/>
    <w:rsid w:val="00284F43"/>
    <w:rsid w:val="00284F7D"/>
    <w:rsid w:val="00284FD5"/>
    <w:rsid w:val="002850CD"/>
    <w:rsid w:val="00285133"/>
    <w:rsid w:val="002852A1"/>
    <w:rsid w:val="00285369"/>
    <w:rsid w:val="00285371"/>
    <w:rsid w:val="00285443"/>
    <w:rsid w:val="00285444"/>
    <w:rsid w:val="00285465"/>
    <w:rsid w:val="0028550B"/>
    <w:rsid w:val="00285572"/>
    <w:rsid w:val="002855B9"/>
    <w:rsid w:val="00285649"/>
    <w:rsid w:val="00285819"/>
    <w:rsid w:val="00285859"/>
    <w:rsid w:val="002858D0"/>
    <w:rsid w:val="00285931"/>
    <w:rsid w:val="0028596D"/>
    <w:rsid w:val="00285A57"/>
    <w:rsid w:val="00285B25"/>
    <w:rsid w:val="00285BB4"/>
    <w:rsid w:val="00285BED"/>
    <w:rsid w:val="00285C3F"/>
    <w:rsid w:val="00285C86"/>
    <w:rsid w:val="00285DD7"/>
    <w:rsid w:val="00285E06"/>
    <w:rsid w:val="00285E37"/>
    <w:rsid w:val="00285EBF"/>
    <w:rsid w:val="00285F09"/>
    <w:rsid w:val="00285F4B"/>
    <w:rsid w:val="00286033"/>
    <w:rsid w:val="002861C2"/>
    <w:rsid w:val="00286237"/>
    <w:rsid w:val="00286299"/>
    <w:rsid w:val="002862CC"/>
    <w:rsid w:val="002862FB"/>
    <w:rsid w:val="0028636F"/>
    <w:rsid w:val="002863DF"/>
    <w:rsid w:val="00286496"/>
    <w:rsid w:val="00286540"/>
    <w:rsid w:val="00286649"/>
    <w:rsid w:val="00286664"/>
    <w:rsid w:val="00286666"/>
    <w:rsid w:val="00286686"/>
    <w:rsid w:val="00286723"/>
    <w:rsid w:val="0028678A"/>
    <w:rsid w:val="00286839"/>
    <w:rsid w:val="002869A4"/>
    <w:rsid w:val="002869D3"/>
    <w:rsid w:val="00286A07"/>
    <w:rsid w:val="00286AFB"/>
    <w:rsid w:val="00286C3D"/>
    <w:rsid w:val="00286D2A"/>
    <w:rsid w:val="00286DE4"/>
    <w:rsid w:val="00286E2B"/>
    <w:rsid w:val="00286EFC"/>
    <w:rsid w:val="00286FE2"/>
    <w:rsid w:val="00286FEC"/>
    <w:rsid w:val="002870CB"/>
    <w:rsid w:val="002870E2"/>
    <w:rsid w:val="0028719F"/>
    <w:rsid w:val="00287285"/>
    <w:rsid w:val="002872A1"/>
    <w:rsid w:val="002872FE"/>
    <w:rsid w:val="00287337"/>
    <w:rsid w:val="0028734F"/>
    <w:rsid w:val="002873BB"/>
    <w:rsid w:val="002874AD"/>
    <w:rsid w:val="00287580"/>
    <w:rsid w:val="00287587"/>
    <w:rsid w:val="002875CD"/>
    <w:rsid w:val="00287614"/>
    <w:rsid w:val="0028762B"/>
    <w:rsid w:val="002876D4"/>
    <w:rsid w:val="00287738"/>
    <w:rsid w:val="00287765"/>
    <w:rsid w:val="002877D6"/>
    <w:rsid w:val="0028787E"/>
    <w:rsid w:val="002878A3"/>
    <w:rsid w:val="002878AE"/>
    <w:rsid w:val="00287965"/>
    <w:rsid w:val="00287A08"/>
    <w:rsid w:val="00287A7F"/>
    <w:rsid w:val="00287A9B"/>
    <w:rsid w:val="00287AA8"/>
    <w:rsid w:val="00287B14"/>
    <w:rsid w:val="00287B21"/>
    <w:rsid w:val="00287BB7"/>
    <w:rsid w:val="00287BB9"/>
    <w:rsid w:val="00287BEB"/>
    <w:rsid w:val="00287D28"/>
    <w:rsid w:val="00287D88"/>
    <w:rsid w:val="00287E35"/>
    <w:rsid w:val="00287EA0"/>
    <w:rsid w:val="00287EFF"/>
    <w:rsid w:val="00287F9A"/>
    <w:rsid w:val="0028EBA2"/>
    <w:rsid w:val="0029013D"/>
    <w:rsid w:val="00290181"/>
    <w:rsid w:val="00290250"/>
    <w:rsid w:val="0029029C"/>
    <w:rsid w:val="0029029E"/>
    <w:rsid w:val="00290311"/>
    <w:rsid w:val="002903BB"/>
    <w:rsid w:val="00290409"/>
    <w:rsid w:val="00290438"/>
    <w:rsid w:val="002904C9"/>
    <w:rsid w:val="002904F6"/>
    <w:rsid w:val="0029059A"/>
    <w:rsid w:val="00290642"/>
    <w:rsid w:val="00290738"/>
    <w:rsid w:val="0029083A"/>
    <w:rsid w:val="00290855"/>
    <w:rsid w:val="002908A8"/>
    <w:rsid w:val="002908CE"/>
    <w:rsid w:val="002909AE"/>
    <w:rsid w:val="002909CF"/>
    <w:rsid w:val="00290A1C"/>
    <w:rsid w:val="00290A2E"/>
    <w:rsid w:val="00290A40"/>
    <w:rsid w:val="00290A44"/>
    <w:rsid w:val="00290A5A"/>
    <w:rsid w:val="00290B96"/>
    <w:rsid w:val="00290BF3"/>
    <w:rsid w:val="00290C85"/>
    <w:rsid w:val="00290D3D"/>
    <w:rsid w:val="00290DCD"/>
    <w:rsid w:val="00290EF2"/>
    <w:rsid w:val="00290F5B"/>
    <w:rsid w:val="0029105B"/>
    <w:rsid w:val="00291186"/>
    <w:rsid w:val="002911A7"/>
    <w:rsid w:val="002911FF"/>
    <w:rsid w:val="00291215"/>
    <w:rsid w:val="00291261"/>
    <w:rsid w:val="0029127D"/>
    <w:rsid w:val="002912B7"/>
    <w:rsid w:val="00291340"/>
    <w:rsid w:val="0029137D"/>
    <w:rsid w:val="0029137E"/>
    <w:rsid w:val="002913C0"/>
    <w:rsid w:val="0029141D"/>
    <w:rsid w:val="002914A3"/>
    <w:rsid w:val="0029152E"/>
    <w:rsid w:val="002915B3"/>
    <w:rsid w:val="0029160B"/>
    <w:rsid w:val="00291850"/>
    <w:rsid w:val="002918EE"/>
    <w:rsid w:val="0029195C"/>
    <w:rsid w:val="002919A4"/>
    <w:rsid w:val="00291A19"/>
    <w:rsid w:val="00291A5C"/>
    <w:rsid w:val="00291A6D"/>
    <w:rsid w:val="00291A9D"/>
    <w:rsid w:val="00291B42"/>
    <w:rsid w:val="00291CD0"/>
    <w:rsid w:val="00291D9A"/>
    <w:rsid w:val="00291E49"/>
    <w:rsid w:val="00291EB0"/>
    <w:rsid w:val="00291EF4"/>
    <w:rsid w:val="00291FD1"/>
    <w:rsid w:val="0029200D"/>
    <w:rsid w:val="0029207D"/>
    <w:rsid w:val="0029217C"/>
    <w:rsid w:val="002923FE"/>
    <w:rsid w:val="0029240B"/>
    <w:rsid w:val="00292490"/>
    <w:rsid w:val="002924EF"/>
    <w:rsid w:val="00292547"/>
    <w:rsid w:val="00292574"/>
    <w:rsid w:val="002925EF"/>
    <w:rsid w:val="00292654"/>
    <w:rsid w:val="00292655"/>
    <w:rsid w:val="002926B4"/>
    <w:rsid w:val="002927E2"/>
    <w:rsid w:val="0029280C"/>
    <w:rsid w:val="00292813"/>
    <w:rsid w:val="00292843"/>
    <w:rsid w:val="00292873"/>
    <w:rsid w:val="002928C4"/>
    <w:rsid w:val="0029294D"/>
    <w:rsid w:val="002929A4"/>
    <w:rsid w:val="00292A0D"/>
    <w:rsid w:val="00292B39"/>
    <w:rsid w:val="00292C56"/>
    <w:rsid w:val="00292C6A"/>
    <w:rsid w:val="00292C7E"/>
    <w:rsid w:val="00292C87"/>
    <w:rsid w:val="00292CD2"/>
    <w:rsid w:val="00292CE4"/>
    <w:rsid w:val="00292D0D"/>
    <w:rsid w:val="00292D15"/>
    <w:rsid w:val="00292D8D"/>
    <w:rsid w:val="00292EB6"/>
    <w:rsid w:val="00292F0C"/>
    <w:rsid w:val="00292F84"/>
    <w:rsid w:val="00293002"/>
    <w:rsid w:val="00293124"/>
    <w:rsid w:val="0029319D"/>
    <w:rsid w:val="00293350"/>
    <w:rsid w:val="002933D3"/>
    <w:rsid w:val="002933D6"/>
    <w:rsid w:val="002934F1"/>
    <w:rsid w:val="00293531"/>
    <w:rsid w:val="00293864"/>
    <w:rsid w:val="002938E5"/>
    <w:rsid w:val="002938F2"/>
    <w:rsid w:val="00293961"/>
    <w:rsid w:val="00293A62"/>
    <w:rsid w:val="00293ACF"/>
    <w:rsid w:val="00293B0D"/>
    <w:rsid w:val="00293B6E"/>
    <w:rsid w:val="00293BA0"/>
    <w:rsid w:val="00293BCF"/>
    <w:rsid w:val="00293C21"/>
    <w:rsid w:val="00293C46"/>
    <w:rsid w:val="00293CC2"/>
    <w:rsid w:val="00293D73"/>
    <w:rsid w:val="00293D7F"/>
    <w:rsid w:val="00293D8F"/>
    <w:rsid w:val="00293DEF"/>
    <w:rsid w:val="00293E1C"/>
    <w:rsid w:val="00293E3C"/>
    <w:rsid w:val="00293EE1"/>
    <w:rsid w:val="00293EEA"/>
    <w:rsid w:val="00294088"/>
    <w:rsid w:val="0029422F"/>
    <w:rsid w:val="0029426E"/>
    <w:rsid w:val="002942D4"/>
    <w:rsid w:val="0029430C"/>
    <w:rsid w:val="0029434D"/>
    <w:rsid w:val="0029439E"/>
    <w:rsid w:val="002943AF"/>
    <w:rsid w:val="002943CC"/>
    <w:rsid w:val="00294448"/>
    <w:rsid w:val="00294490"/>
    <w:rsid w:val="002944E5"/>
    <w:rsid w:val="0029460E"/>
    <w:rsid w:val="0029464C"/>
    <w:rsid w:val="002946AD"/>
    <w:rsid w:val="0029471D"/>
    <w:rsid w:val="00294722"/>
    <w:rsid w:val="0029473A"/>
    <w:rsid w:val="002947C7"/>
    <w:rsid w:val="00294890"/>
    <w:rsid w:val="00294927"/>
    <w:rsid w:val="0029494F"/>
    <w:rsid w:val="00294A06"/>
    <w:rsid w:val="00294A0A"/>
    <w:rsid w:val="00294AA5"/>
    <w:rsid w:val="00294ABE"/>
    <w:rsid w:val="00294AE8"/>
    <w:rsid w:val="00294BAF"/>
    <w:rsid w:val="00294BD3"/>
    <w:rsid w:val="00294E5D"/>
    <w:rsid w:val="00294EC9"/>
    <w:rsid w:val="00294F52"/>
    <w:rsid w:val="00295082"/>
    <w:rsid w:val="00295083"/>
    <w:rsid w:val="00295084"/>
    <w:rsid w:val="002950CF"/>
    <w:rsid w:val="0029514A"/>
    <w:rsid w:val="002951A0"/>
    <w:rsid w:val="002952B2"/>
    <w:rsid w:val="0029531A"/>
    <w:rsid w:val="002953B0"/>
    <w:rsid w:val="00295468"/>
    <w:rsid w:val="00295555"/>
    <w:rsid w:val="002955D0"/>
    <w:rsid w:val="00295667"/>
    <w:rsid w:val="002956AB"/>
    <w:rsid w:val="002956D0"/>
    <w:rsid w:val="0029571C"/>
    <w:rsid w:val="002957A1"/>
    <w:rsid w:val="0029585A"/>
    <w:rsid w:val="0029585D"/>
    <w:rsid w:val="00295890"/>
    <w:rsid w:val="002958D6"/>
    <w:rsid w:val="002958DB"/>
    <w:rsid w:val="00295962"/>
    <w:rsid w:val="00295A97"/>
    <w:rsid w:val="00295B7C"/>
    <w:rsid w:val="00295C8E"/>
    <w:rsid w:val="00295D0E"/>
    <w:rsid w:val="00295D65"/>
    <w:rsid w:val="00295DA2"/>
    <w:rsid w:val="00295ED2"/>
    <w:rsid w:val="00295EFB"/>
    <w:rsid w:val="00295F01"/>
    <w:rsid w:val="00295FB5"/>
    <w:rsid w:val="002960CF"/>
    <w:rsid w:val="0029615C"/>
    <w:rsid w:val="002961A1"/>
    <w:rsid w:val="002961F3"/>
    <w:rsid w:val="002961F7"/>
    <w:rsid w:val="00296225"/>
    <w:rsid w:val="0029626C"/>
    <w:rsid w:val="00296273"/>
    <w:rsid w:val="002962A9"/>
    <w:rsid w:val="002962D8"/>
    <w:rsid w:val="00296335"/>
    <w:rsid w:val="0029633E"/>
    <w:rsid w:val="0029635A"/>
    <w:rsid w:val="002963D6"/>
    <w:rsid w:val="002963DA"/>
    <w:rsid w:val="00296444"/>
    <w:rsid w:val="002964D9"/>
    <w:rsid w:val="002964DC"/>
    <w:rsid w:val="0029656C"/>
    <w:rsid w:val="00296576"/>
    <w:rsid w:val="0029659C"/>
    <w:rsid w:val="002965C2"/>
    <w:rsid w:val="002965D8"/>
    <w:rsid w:val="002965FE"/>
    <w:rsid w:val="00296618"/>
    <w:rsid w:val="0029662A"/>
    <w:rsid w:val="0029662B"/>
    <w:rsid w:val="00296635"/>
    <w:rsid w:val="00296669"/>
    <w:rsid w:val="00296684"/>
    <w:rsid w:val="00296693"/>
    <w:rsid w:val="002966BA"/>
    <w:rsid w:val="00296747"/>
    <w:rsid w:val="0029675A"/>
    <w:rsid w:val="00296780"/>
    <w:rsid w:val="0029678B"/>
    <w:rsid w:val="00296873"/>
    <w:rsid w:val="00296989"/>
    <w:rsid w:val="002969F0"/>
    <w:rsid w:val="00296A55"/>
    <w:rsid w:val="00296B0E"/>
    <w:rsid w:val="00296B29"/>
    <w:rsid w:val="00296B5A"/>
    <w:rsid w:val="00296B81"/>
    <w:rsid w:val="00296C36"/>
    <w:rsid w:val="00296C6A"/>
    <w:rsid w:val="00296C91"/>
    <w:rsid w:val="00296CD8"/>
    <w:rsid w:val="00296E21"/>
    <w:rsid w:val="00296E31"/>
    <w:rsid w:val="00296E56"/>
    <w:rsid w:val="00296EB8"/>
    <w:rsid w:val="00296F31"/>
    <w:rsid w:val="00296F56"/>
    <w:rsid w:val="00296F90"/>
    <w:rsid w:val="00297022"/>
    <w:rsid w:val="002970AA"/>
    <w:rsid w:val="002970B6"/>
    <w:rsid w:val="002970EA"/>
    <w:rsid w:val="00297150"/>
    <w:rsid w:val="0029717A"/>
    <w:rsid w:val="00297180"/>
    <w:rsid w:val="0029719D"/>
    <w:rsid w:val="0029728E"/>
    <w:rsid w:val="0029729F"/>
    <w:rsid w:val="00297310"/>
    <w:rsid w:val="0029735B"/>
    <w:rsid w:val="0029735C"/>
    <w:rsid w:val="00297386"/>
    <w:rsid w:val="002973D5"/>
    <w:rsid w:val="002973E2"/>
    <w:rsid w:val="002974CC"/>
    <w:rsid w:val="00297789"/>
    <w:rsid w:val="002977C8"/>
    <w:rsid w:val="0029783F"/>
    <w:rsid w:val="0029793B"/>
    <w:rsid w:val="00297971"/>
    <w:rsid w:val="00297ADF"/>
    <w:rsid w:val="00297B03"/>
    <w:rsid w:val="00297BC6"/>
    <w:rsid w:val="00297C87"/>
    <w:rsid w:val="00297CA9"/>
    <w:rsid w:val="00297D3D"/>
    <w:rsid w:val="00297D52"/>
    <w:rsid w:val="00297D59"/>
    <w:rsid w:val="00297D60"/>
    <w:rsid w:val="00297D6E"/>
    <w:rsid w:val="00297D7F"/>
    <w:rsid w:val="00297D84"/>
    <w:rsid w:val="00297E16"/>
    <w:rsid w:val="00297ECD"/>
    <w:rsid w:val="00297ED6"/>
    <w:rsid w:val="00297EEE"/>
    <w:rsid w:val="00297F25"/>
    <w:rsid w:val="00297FC5"/>
    <w:rsid w:val="002A0058"/>
    <w:rsid w:val="002A009E"/>
    <w:rsid w:val="002A00BA"/>
    <w:rsid w:val="002A00D2"/>
    <w:rsid w:val="002A00F8"/>
    <w:rsid w:val="002A0158"/>
    <w:rsid w:val="002A0173"/>
    <w:rsid w:val="002A01CD"/>
    <w:rsid w:val="002A02AE"/>
    <w:rsid w:val="002A0424"/>
    <w:rsid w:val="002A0493"/>
    <w:rsid w:val="002A04B4"/>
    <w:rsid w:val="002A0519"/>
    <w:rsid w:val="002A0538"/>
    <w:rsid w:val="002A0618"/>
    <w:rsid w:val="002A06E4"/>
    <w:rsid w:val="002A0733"/>
    <w:rsid w:val="002A07C6"/>
    <w:rsid w:val="002A07F3"/>
    <w:rsid w:val="002A0892"/>
    <w:rsid w:val="002A0937"/>
    <w:rsid w:val="002A0942"/>
    <w:rsid w:val="002A09DD"/>
    <w:rsid w:val="002A09F7"/>
    <w:rsid w:val="002A0B70"/>
    <w:rsid w:val="002A0BEE"/>
    <w:rsid w:val="002A0CAB"/>
    <w:rsid w:val="002A0CD3"/>
    <w:rsid w:val="002A0DD0"/>
    <w:rsid w:val="002A104F"/>
    <w:rsid w:val="002A1112"/>
    <w:rsid w:val="002A1182"/>
    <w:rsid w:val="002A11E8"/>
    <w:rsid w:val="002A1213"/>
    <w:rsid w:val="002A1322"/>
    <w:rsid w:val="002A136F"/>
    <w:rsid w:val="002A1451"/>
    <w:rsid w:val="002A145E"/>
    <w:rsid w:val="002A1577"/>
    <w:rsid w:val="002A1591"/>
    <w:rsid w:val="002A15EC"/>
    <w:rsid w:val="002A15F9"/>
    <w:rsid w:val="002A163D"/>
    <w:rsid w:val="002A165E"/>
    <w:rsid w:val="002A1873"/>
    <w:rsid w:val="002A195A"/>
    <w:rsid w:val="002A1ABD"/>
    <w:rsid w:val="002A1B7D"/>
    <w:rsid w:val="002A1B9A"/>
    <w:rsid w:val="002A1BAC"/>
    <w:rsid w:val="002A1C0C"/>
    <w:rsid w:val="002A1C2D"/>
    <w:rsid w:val="002A1CAD"/>
    <w:rsid w:val="002A1D11"/>
    <w:rsid w:val="002A1DF0"/>
    <w:rsid w:val="002A1EDB"/>
    <w:rsid w:val="002A1F1B"/>
    <w:rsid w:val="002A209E"/>
    <w:rsid w:val="002A2109"/>
    <w:rsid w:val="002A222C"/>
    <w:rsid w:val="002A22C2"/>
    <w:rsid w:val="002A2362"/>
    <w:rsid w:val="002A23B8"/>
    <w:rsid w:val="002A23EA"/>
    <w:rsid w:val="002A244A"/>
    <w:rsid w:val="002A245C"/>
    <w:rsid w:val="002A246F"/>
    <w:rsid w:val="002A248C"/>
    <w:rsid w:val="002A24F4"/>
    <w:rsid w:val="002A2526"/>
    <w:rsid w:val="002A2543"/>
    <w:rsid w:val="002A259B"/>
    <w:rsid w:val="002A25A5"/>
    <w:rsid w:val="002A263A"/>
    <w:rsid w:val="002A26BD"/>
    <w:rsid w:val="002A2827"/>
    <w:rsid w:val="002A297A"/>
    <w:rsid w:val="002A2B01"/>
    <w:rsid w:val="002A2B90"/>
    <w:rsid w:val="002A2BE4"/>
    <w:rsid w:val="002A2C5B"/>
    <w:rsid w:val="002A2C9A"/>
    <w:rsid w:val="002A2CE8"/>
    <w:rsid w:val="002A2D8B"/>
    <w:rsid w:val="002A2DB1"/>
    <w:rsid w:val="002A2DED"/>
    <w:rsid w:val="002A3138"/>
    <w:rsid w:val="002A3206"/>
    <w:rsid w:val="002A324C"/>
    <w:rsid w:val="002A327A"/>
    <w:rsid w:val="002A32F0"/>
    <w:rsid w:val="002A3528"/>
    <w:rsid w:val="002A364D"/>
    <w:rsid w:val="002A3681"/>
    <w:rsid w:val="002A388B"/>
    <w:rsid w:val="002A38BA"/>
    <w:rsid w:val="002A38D1"/>
    <w:rsid w:val="002A38E2"/>
    <w:rsid w:val="002A391F"/>
    <w:rsid w:val="002A394B"/>
    <w:rsid w:val="002A3955"/>
    <w:rsid w:val="002A3A28"/>
    <w:rsid w:val="002A3A5A"/>
    <w:rsid w:val="002A3A65"/>
    <w:rsid w:val="002A3A90"/>
    <w:rsid w:val="002A3AA7"/>
    <w:rsid w:val="002A3B76"/>
    <w:rsid w:val="002A3C1D"/>
    <w:rsid w:val="002A3C26"/>
    <w:rsid w:val="002A3C6F"/>
    <w:rsid w:val="002A3CCE"/>
    <w:rsid w:val="002A3CD2"/>
    <w:rsid w:val="002A3D81"/>
    <w:rsid w:val="002A3EE7"/>
    <w:rsid w:val="002A3F5F"/>
    <w:rsid w:val="002A40C4"/>
    <w:rsid w:val="002A40D3"/>
    <w:rsid w:val="002A4100"/>
    <w:rsid w:val="002A4179"/>
    <w:rsid w:val="002A418A"/>
    <w:rsid w:val="002A418D"/>
    <w:rsid w:val="002A418E"/>
    <w:rsid w:val="002A4273"/>
    <w:rsid w:val="002A4312"/>
    <w:rsid w:val="002A434F"/>
    <w:rsid w:val="002A43B1"/>
    <w:rsid w:val="002A4458"/>
    <w:rsid w:val="002A447B"/>
    <w:rsid w:val="002A4501"/>
    <w:rsid w:val="002A4504"/>
    <w:rsid w:val="002A4518"/>
    <w:rsid w:val="002A457E"/>
    <w:rsid w:val="002A46CD"/>
    <w:rsid w:val="002A4737"/>
    <w:rsid w:val="002A4770"/>
    <w:rsid w:val="002A4785"/>
    <w:rsid w:val="002A4812"/>
    <w:rsid w:val="002A481C"/>
    <w:rsid w:val="002A48AD"/>
    <w:rsid w:val="002A48F7"/>
    <w:rsid w:val="002A4912"/>
    <w:rsid w:val="002A4920"/>
    <w:rsid w:val="002A49DF"/>
    <w:rsid w:val="002A49E7"/>
    <w:rsid w:val="002A4A33"/>
    <w:rsid w:val="002A4AF1"/>
    <w:rsid w:val="002A4B10"/>
    <w:rsid w:val="002A4B31"/>
    <w:rsid w:val="002A4B50"/>
    <w:rsid w:val="002A4B70"/>
    <w:rsid w:val="002A4CDB"/>
    <w:rsid w:val="002A4D1F"/>
    <w:rsid w:val="002A4DDE"/>
    <w:rsid w:val="002A4E11"/>
    <w:rsid w:val="002A4E31"/>
    <w:rsid w:val="002A4E5B"/>
    <w:rsid w:val="002A4EC8"/>
    <w:rsid w:val="002A4F45"/>
    <w:rsid w:val="002A4FF3"/>
    <w:rsid w:val="002A5026"/>
    <w:rsid w:val="002A5217"/>
    <w:rsid w:val="002A5220"/>
    <w:rsid w:val="002A524D"/>
    <w:rsid w:val="002A5266"/>
    <w:rsid w:val="002A529C"/>
    <w:rsid w:val="002A52C4"/>
    <w:rsid w:val="002A5324"/>
    <w:rsid w:val="002A5359"/>
    <w:rsid w:val="002A535B"/>
    <w:rsid w:val="002A5368"/>
    <w:rsid w:val="002A5371"/>
    <w:rsid w:val="002A539F"/>
    <w:rsid w:val="002A5490"/>
    <w:rsid w:val="002A550F"/>
    <w:rsid w:val="002A55BC"/>
    <w:rsid w:val="002A5733"/>
    <w:rsid w:val="002A574C"/>
    <w:rsid w:val="002A583C"/>
    <w:rsid w:val="002A584C"/>
    <w:rsid w:val="002A5935"/>
    <w:rsid w:val="002A5958"/>
    <w:rsid w:val="002A5987"/>
    <w:rsid w:val="002A59AA"/>
    <w:rsid w:val="002A59CE"/>
    <w:rsid w:val="002A5BD4"/>
    <w:rsid w:val="002A5C5B"/>
    <w:rsid w:val="002A5E2B"/>
    <w:rsid w:val="002A602B"/>
    <w:rsid w:val="002A6053"/>
    <w:rsid w:val="002A60B3"/>
    <w:rsid w:val="002A6136"/>
    <w:rsid w:val="002A61FD"/>
    <w:rsid w:val="002A6223"/>
    <w:rsid w:val="002A62A0"/>
    <w:rsid w:val="002A62E1"/>
    <w:rsid w:val="002A632A"/>
    <w:rsid w:val="002A6343"/>
    <w:rsid w:val="002A6352"/>
    <w:rsid w:val="002A6398"/>
    <w:rsid w:val="002A6467"/>
    <w:rsid w:val="002A64B1"/>
    <w:rsid w:val="002A64F0"/>
    <w:rsid w:val="002A6564"/>
    <w:rsid w:val="002A6569"/>
    <w:rsid w:val="002A65FB"/>
    <w:rsid w:val="002A6700"/>
    <w:rsid w:val="002A673C"/>
    <w:rsid w:val="002A6762"/>
    <w:rsid w:val="002A67B0"/>
    <w:rsid w:val="002A67F4"/>
    <w:rsid w:val="002A683A"/>
    <w:rsid w:val="002A68FD"/>
    <w:rsid w:val="002A68FE"/>
    <w:rsid w:val="002A6911"/>
    <w:rsid w:val="002A6A00"/>
    <w:rsid w:val="002A6A39"/>
    <w:rsid w:val="002A6AC7"/>
    <w:rsid w:val="002A6B2F"/>
    <w:rsid w:val="002A6D54"/>
    <w:rsid w:val="002A6D8F"/>
    <w:rsid w:val="002A6E6B"/>
    <w:rsid w:val="002A6E8C"/>
    <w:rsid w:val="002A6F52"/>
    <w:rsid w:val="002A6F81"/>
    <w:rsid w:val="002A6F96"/>
    <w:rsid w:val="002A700B"/>
    <w:rsid w:val="002A700C"/>
    <w:rsid w:val="002A700D"/>
    <w:rsid w:val="002A705A"/>
    <w:rsid w:val="002A7067"/>
    <w:rsid w:val="002A70BE"/>
    <w:rsid w:val="002A7192"/>
    <w:rsid w:val="002A71CD"/>
    <w:rsid w:val="002A71F0"/>
    <w:rsid w:val="002A71F6"/>
    <w:rsid w:val="002A7204"/>
    <w:rsid w:val="002A7232"/>
    <w:rsid w:val="002A7295"/>
    <w:rsid w:val="002A7334"/>
    <w:rsid w:val="002A755C"/>
    <w:rsid w:val="002A7581"/>
    <w:rsid w:val="002A75EF"/>
    <w:rsid w:val="002A771D"/>
    <w:rsid w:val="002A777D"/>
    <w:rsid w:val="002A787B"/>
    <w:rsid w:val="002A78B0"/>
    <w:rsid w:val="002A7A6B"/>
    <w:rsid w:val="002A7AF1"/>
    <w:rsid w:val="002A7BD9"/>
    <w:rsid w:val="002A7C36"/>
    <w:rsid w:val="002A7D9F"/>
    <w:rsid w:val="002A7DB4"/>
    <w:rsid w:val="002A7DD7"/>
    <w:rsid w:val="002A7DEF"/>
    <w:rsid w:val="002A7E44"/>
    <w:rsid w:val="002A7E7C"/>
    <w:rsid w:val="002A7E8D"/>
    <w:rsid w:val="002A7E95"/>
    <w:rsid w:val="002A7E9E"/>
    <w:rsid w:val="002A7EE0"/>
    <w:rsid w:val="002A7FC3"/>
    <w:rsid w:val="002AEE72"/>
    <w:rsid w:val="002B0110"/>
    <w:rsid w:val="002B015D"/>
    <w:rsid w:val="002B0168"/>
    <w:rsid w:val="002B0196"/>
    <w:rsid w:val="002B01C5"/>
    <w:rsid w:val="002B0249"/>
    <w:rsid w:val="002B0275"/>
    <w:rsid w:val="002B0285"/>
    <w:rsid w:val="002B02A9"/>
    <w:rsid w:val="002B02B0"/>
    <w:rsid w:val="002B02DE"/>
    <w:rsid w:val="002B02ED"/>
    <w:rsid w:val="002B034F"/>
    <w:rsid w:val="002B036C"/>
    <w:rsid w:val="002B037F"/>
    <w:rsid w:val="002B03CA"/>
    <w:rsid w:val="002B03E8"/>
    <w:rsid w:val="002B0455"/>
    <w:rsid w:val="002B04BE"/>
    <w:rsid w:val="002B0623"/>
    <w:rsid w:val="002B065A"/>
    <w:rsid w:val="002B066D"/>
    <w:rsid w:val="002B06AE"/>
    <w:rsid w:val="002B06C9"/>
    <w:rsid w:val="002B078E"/>
    <w:rsid w:val="002B0872"/>
    <w:rsid w:val="002B08BF"/>
    <w:rsid w:val="002B093B"/>
    <w:rsid w:val="002B09FE"/>
    <w:rsid w:val="002B0C83"/>
    <w:rsid w:val="002B0E30"/>
    <w:rsid w:val="002B0EFE"/>
    <w:rsid w:val="002B0F1D"/>
    <w:rsid w:val="002B103A"/>
    <w:rsid w:val="002B109C"/>
    <w:rsid w:val="002B1226"/>
    <w:rsid w:val="002B1263"/>
    <w:rsid w:val="002B1384"/>
    <w:rsid w:val="002B1450"/>
    <w:rsid w:val="002B1463"/>
    <w:rsid w:val="002B14D1"/>
    <w:rsid w:val="002B14E7"/>
    <w:rsid w:val="002B15D1"/>
    <w:rsid w:val="002B15FB"/>
    <w:rsid w:val="002B1612"/>
    <w:rsid w:val="002B1619"/>
    <w:rsid w:val="002B16BA"/>
    <w:rsid w:val="002B16BC"/>
    <w:rsid w:val="002B17F7"/>
    <w:rsid w:val="002B188D"/>
    <w:rsid w:val="002B195A"/>
    <w:rsid w:val="002B195C"/>
    <w:rsid w:val="002B1A0B"/>
    <w:rsid w:val="002B1A67"/>
    <w:rsid w:val="002B1A6D"/>
    <w:rsid w:val="002B1A76"/>
    <w:rsid w:val="002B1B37"/>
    <w:rsid w:val="002B1B6D"/>
    <w:rsid w:val="002B1C5D"/>
    <w:rsid w:val="002B1D49"/>
    <w:rsid w:val="002B1D4B"/>
    <w:rsid w:val="002B1DA6"/>
    <w:rsid w:val="002B1DC1"/>
    <w:rsid w:val="002B1EBA"/>
    <w:rsid w:val="002B1EDA"/>
    <w:rsid w:val="002B1EF3"/>
    <w:rsid w:val="002B2068"/>
    <w:rsid w:val="002B2074"/>
    <w:rsid w:val="002B207E"/>
    <w:rsid w:val="002B209B"/>
    <w:rsid w:val="002B20AE"/>
    <w:rsid w:val="002B2110"/>
    <w:rsid w:val="002B220C"/>
    <w:rsid w:val="002B2237"/>
    <w:rsid w:val="002B226B"/>
    <w:rsid w:val="002B2295"/>
    <w:rsid w:val="002B22B3"/>
    <w:rsid w:val="002B22F4"/>
    <w:rsid w:val="002B2316"/>
    <w:rsid w:val="002B249E"/>
    <w:rsid w:val="002B24C7"/>
    <w:rsid w:val="002B25B1"/>
    <w:rsid w:val="002B261C"/>
    <w:rsid w:val="002B2685"/>
    <w:rsid w:val="002B2718"/>
    <w:rsid w:val="002B275F"/>
    <w:rsid w:val="002B283C"/>
    <w:rsid w:val="002B286A"/>
    <w:rsid w:val="002B2889"/>
    <w:rsid w:val="002B2920"/>
    <w:rsid w:val="002B296E"/>
    <w:rsid w:val="002B2976"/>
    <w:rsid w:val="002B29A3"/>
    <w:rsid w:val="002B29A7"/>
    <w:rsid w:val="002B29FA"/>
    <w:rsid w:val="002B2A61"/>
    <w:rsid w:val="002B2A63"/>
    <w:rsid w:val="002B2AE5"/>
    <w:rsid w:val="002B2B23"/>
    <w:rsid w:val="002B2B3E"/>
    <w:rsid w:val="002B2C59"/>
    <w:rsid w:val="002B2CC2"/>
    <w:rsid w:val="002B2DBE"/>
    <w:rsid w:val="002B2DC6"/>
    <w:rsid w:val="002B2E11"/>
    <w:rsid w:val="002B2E90"/>
    <w:rsid w:val="002B2F29"/>
    <w:rsid w:val="002B2FB5"/>
    <w:rsid w:val="002B2FF9"/>
    <w:rsid w:val="002B30B1"/>
    <w:rsid w:val="002B31B9"/>
    <w:rsid w:val="002B3200"/>
    <w:rsid w:val="002B32D2"/>
    <w:rsid w:val="002B3332"/>
    <w:rsid w:val="002B3342"/>
    <w:rsid w:val="002B33C1"/>
    <w:rsid w:val="002B3459"/>
    <w:rsid w:val="002B3643"/>
    <w:rsid w:val="002B36FB"/>
    <w:rsid w:val="002B377B"/>
    <w:rsid w:val="002B3871"/>
    <w:rsid w:val="002B3885"/>
    <w:rsid w:val="002B3892"/>
    <w:rsid w:val="002B389E"/>
    <w:rsid w:val="002B398C"/>
    <w:rsid w:val="002B3994"/>
    <w:rsid w:val="002B39D7"/>
    <w:rsid w:val="002B3A01"/>
    <w:rsid w:val="002B3A7E"/>
    <w:rsid w:val="002B3A96"/>
    <w:rsid w:val="002B3B05"/>
    <w:rsid w:val="002B3B81"/>
    <w:rsid w:val="002B3CB7"/>
    <w:rsid w:val="002B3D20"/>
    <w:rsid w:val="002B3D7C"/>
    <w:rsid w:val="002B3E89"/>
    <w:rsid w:val="002B3F13"/>
    <w:rsid w:val="002B3F45"/>
    <w:rsid w:val="002B402A"/>
    <w:rsid w:val="002B403E"/>
    <w:rsid w:val="002B4056"/>
    <w:rsid w:val="002B40C0"/>
    <w:rsid w:val="002B4272"/>
    <w:rsid w:val="002B42B4"/>
    <w:rsid w:val="002B4353"/>
    <w:rsid w:val="002B4364"/>
    <w:rsid w:val="002B43D0"/>
    <w:rsid w:val="002B440A"/>
    <w:rsid w:val="002B4576"/>
    <w:rsid w:val="002B461A"/>
    <w:rsid w:val="002B465E"/>
    <w:rsid w:val="002B47CC"/>
    <w:rsid w:val="002B4849"/>
    <w:rsid w:val="002B4851"/>
    <w:rsid w:val="002B4941"/>
    <w:rsid w:val="002B4B74"/>
    <w:rsid w:val="002B4B83"/>
    <w:rsid w:val="002B4C58"/>
    <w:rsid w:val="002B4E04"/>
    <w:rsid w:val="002B4EC7"/>
    <w:rsid w:val="002B4FA2"/>
    <w:rsid w:val="002B5202"/>
    <w:rsid w:val="002B5242"/>
    <w:rsid w:val="002B525D"/>
    <w:rsid w:val="002B5261"/>
    <w:rsid w:val="002B538F"/>
    <w:rsid w:val="002B54BB"/>
    <w:rsid w:val="002B5544"/>
    <w:rsid w:val="002B5589"/>
    <w:rsid w:val="002B56A3"/>
    <w:rsid w:val="002B56E7"/>
    <w:rsid w:val="002B57D0"/>
    <w:rsid w:val="002B5835"/>
    <w:rsid w:val="002B58C7"/>
    <w:rsid w:val="002B58D1"/>
    <w:rsid w:val="002B5A3D"/>
    <w:rsid w:val="002B5ACD"/>
    <w:rsid w:val="002B5ADF"/>
    <w:rsid w:val="002B5B7D"/>
    <w:rsid w:val="002B5BF8"/>
    <w:rsid w:val="002B5C67"/>
    <w:rsid w:val="002B5CC4"/>
    <w:rsid w:val="002B5D04"/>
    <w:rsid w:val="002B5D35"/>
    <w:rsid w:val="002B5E62"/>
    <w:rsid w:val="002B5E8E"/>
    <w:rsid w:val="002B5E96"/>
    <w:rsid w:val="002B5EA7"/>
    <w:rsid w:val="002B5ED0"/>
    <w:rsid w:val="002B5EE3"/>
    <w:rsid w:val="002B5F42"/>
    <w:rsid w:val="002B5FA7"/>
    <w:rsid w:val="002B617C"/>
    <w:rsid w:val="002B6192"/>
    <w:rsid w:val="002B61AD"/>
    <w:rsid w:val="002B6298"/>
    <w:rsid w:val="002B6364"/>
    <w:rsid w:val="002B636F"/>
    <w:rsid w:val="002B6460"/>
    <w:rsid w:val="002B64BE"/>
    <w:rsid w:val="002B6514"/>
    <w:rsid w:val="002B65B6"/>
    <w:rsid w:val="002B65D0"/>
    <w:rsid w:val="002B66A1"/>
    <w:rsid w:val="002B684C"/>
    <w:rsid w:val="002B6875"/>
    <w:rsid w:val="002B6912"/>
    <w:rsid w:val="002B69AE"/>
    <w:rsid w:val="002B6B83"/>
    <w:rsid w:val="002B6BCD"/>
    <w:rsid w:val="002B6C0E"/>
    <w:rsid w:val="002B6C1D"/>
    <w:rsid w:val="002B6C42"/>
    <w:rsid w:val="002B6D39"/>
    <w:rsid w:val="002B6D50"/>
    <w:rsid w:val="002B6D96"/>
    <w:rsid w:val="002B6DB3"/>
    <w:rsid w:val="002B6E28"/>
    <w:rsid w:val="002B6E2B"/>
    <w:rsid w:val="002B6ECA"/>
    <w:rsid w:val="002B6FA2"/>
    <w:rsid w:val="002B6FA6"/>
    <w:rsid w:val="002B716A"/>
    <w:rsid w:val="002B7212"/>
    <w:rsid w:val="002B72CB"/>
    <w:rsid w:val="002B72D4"/>
    <w:rsid w:val="002B743A"/>
    <w:rsid w:val="002B7476"/>
    <w:rsid w:val="002B75CC"/>
    <w:rsid w:val="002B76E8"/>
    <w:rsid w:val="002B773F"/>
    <w:rsid w:val="002B77E7"/>
    <w:rsid w:val="002B77FF"/>
    <w:rsid w:val="002B782C"/>
    <w:rsid w:val="002B7860"/>
    <w:rsid w:val="002B7884"/>
    <w:rsid w:val="002B7964"/>
    <w:rsid w:val="002B7B3E"/>
    <w:rsid w:val="002B7B7C"/>
    <w:rsid w:val="002B7BCC"/>
    <w:rsid w:val="002B7C8A"/>
    <w:rsid w:val="002B7D06"/>
    <w:rsid w:val="002B7D4E"/>
    <w:rsid w:val="002B7DFE"/>
    <w:rsid w:val="002B7E03"/>
    <w:rsid w:val="002B7E83"/>
    <w:rsid w:val="002B7F7A"/>
    <w:rsid w:val="002C0018"/>
    <w:rsid w:val="002C0060"/>
    <w:rsid w:val="002C00E2"/>
    <w:rsid w:val="002C017E"/>
    <w:rsid w:val="002C018E"/>
    <w:rsid w:val="002C0193"/>
    <w:rsid w:val="002C02C4"/>
    <w:rsid w:val="002C039E"/>
    <w:rsid w:val="002C0449"/>
    <w:rsid w:val="002C047B"/>
    <w:rsid w:val="002C0515"/>
    <w:rsid w:val="002C0572"/>
    <w:rsid w:val="002C05BE"/>
    <w:rsid w:val="002C05E8"/>
    <w:rsid w:val="002C0689"/>
    <w:rsid w:val="002C0727"/>
    <w:rsid w:val="002C0789"/>
    <w:rsid w:val="002C07B1"/>
    <w:rsid w:val="002C07BC"/>
    <w:rsid w:val="002C0824"/>
    <w:rsid w:val="002C0847"/>
    <w:rsid w:val="002C0864"/>
    <w:rsid w:val="002C09CD"/>
    <w:rsid w:val="002C0A10"/>
    <w:rsid w:val="002C0AB4"/>
    <w:rsid w:val="002C0B3D"/>
    <w:rsid w:val="002C0B58"/>
    <w:rsid w:val="002C0C48"/>
    <w:rsid w:val="002C0C6E"/>
    <w:rsid w:val="002C0CE4"/>
    <w:rsid w:val="002C0D0F"/>
    <w:rsid w:val="002C0D4C"/>
    <w:rsid w:val="002C0D74"/>
    <w:rsid w:val="002C0DA0"/>
    <w:rsid w:val="002C0EBC"/>
    <w:rsid w:val="002C0EDC"/>
    <w:rsid w:val="002C0FFF"/>
    <w:rsid w:val="002C1019"/>
    <w:rsid w:val="002C1024"/>
    <w:rsid w:val="002C11B6"/>
    <w:rsid w:val="002C121E"/>
    <w:rsid w:val="002C1256"/>
    <w:rsid w:val="002C12D5"/>
    <w:rsid w:val="002C1310"/>
    <w:rsid w:val="002C1355"/>
    <w:rsid w:val="002C13E7"/>
    <w:rsid w:val="002C1409"/>
    <w:rsid w:val="002C14DA"/>
    <w:rsid w:val="002C14E2"/>
    <w:rsid w:val="002C1643"/>
    <w:rsid w:val="002C1644"/>
    <w:rsid w:val="002C16A5"/>
    <w:rsid w:val="002C16AF"/>
    <w:rsid w:val="002C16BE"/>
    <w:rsid w:val="002C16E1"/>
    <w:rsid w:val="002C1737"/>
    <w:rsid w:val="002C178A"/>
    <w:rsid w:val="002C1794"/>
    <w:rsid w:val="002C179E"/>
    <w:rsid w:val="002C1879"/>
    <w:rsid w:val="002C1890"/>
    <w:rsid w:val="002C18B5"/>
    <w:rsid w:val="002C19A2"/>
    <w:rsid w:val="002C1B2D"/>
    <w:rsid w:val="002C1B3F"/>
    <w:rsid w:val="002C1B8E"/>
    <w:rsid w:val="002C1BD0"/>
    <w:rsid w:val="002C1D29"/>
    <w:rsid w:val="002C1DE2"/>
    <w:rsid w:val="002C1E3D"/>
    <w:rsid w:val="002C1E68"/>
    <w:rsid w:val="002C1FBA"/>
    <w:rsid w:val="002C2053"/>
    <w:rsid w:val="002C20EB"/>
    <w:rsid w:val="002C214E"/>
    <w:rsid w:val="002C21C4"/>
    <w:rsid w:val="002C22F5"/>
    <w:rsid w:val="002C2330"/>
    <w:rsid w:val="002C23D7"/>
    <w:rsid w:val="002C23FF"/>
    <w:rsid w:val="002C2406"/>
    <w:rsid w:val="002C2425"/>
    <w:rsid w:val="002C2457"/>
    <w:rsid w:val="002C2460"/>
    <w:rsid w:val="002C24B5"/>
    <w:rsid w:val="002C24CD"/>
    <w:rsid w:val="002C2556"/>
    <w:rsid w:val="002C2583"/>
    <w:rsid w:val="002C25B3"/>
    <w:rsid w:val="002C2602"/>
    <w:rsid w:val="002C2657"/>
    <w:rsid w:val="002C26D7"/>
    <w:rsid w:val="002C279A"/>
    <w:rsid w:val="002C27A4"/>
    <w:rsid w:val="002C28F5"/>
    <w:rsid w:val="002C290A"/>
    <w:rsid w:val="002C29ED"/>
    <w:rsid w:val="002C2B73"/>
    <w:rsid w:val="002C2C2A"/>
    <w:rsid w:val="002C2C8F"/>
    <w:rsid w:val="002C2D0E"/>
    <w:rsid w:val="002C2D4B"/>
    <w:rsid w:val="002C2DCC"/>
    <w:rsid w:val="002C2DE4"/>
    <w:rsid w:val="002C2DF2"/>
    <w:rsid w:val="002C2E3E"/>
    <w:rsid w:val="002C2E86"/>
    <w:rsid w:val="002C2EF4"/>
    <w:rsid w:val="002C2F24"/>
    <w:rsid w:val="002C3118"/>
    <w:rsid w:val="002C31B9"/>
    <w:rsid w:val="002C3226"/>
    <w:rsid w:val="002C3283"/>
    <w:rsid w:val="002C32E5"/>
    <w:rsid w:val="002C3323"/>
    <w:rsid w:val="002C3390"/>
    <w:rsid w:val="002C33EF"/>
    <w:rsid w:val="002C340E"/>
    <w:rsid w:val="002C3426"/>
    <w:rsid w:val="002C35BB"/>
    <w:rsid w:val="002C360B"/>
    <w:rsid w:val="002C3791"/>
    <w:rsid w:val="002C37D3"/>
    <w:rsid w:val="002C3823"/>
    <w:rsid w:val="002C3893"/>
    <w:rsid w:val="002C391A"/>
    <w:rsid w:val="002C3948"/>
    <w:rsid w:val="002C397B"/>
    <w:rsid w:val="002C399B"/>
    <w:rsid w:val="002C3A5F"/>
    <w:rsid w:val="002C3A9D"/>
    <w:rsid w:val="002C3C27"/>
    <w:rsid w:val="002C3CEA"/>
    <w:rsid w:val="002C3D05"/>
    <w:rsid w:val="002C3D31"/>
    <w:rsid w:val="002C3DD2"/>
    <w:rsid w:val="002C3E00"/>
    <w:rsid w:val="002C3F31"/>
    <w:rsid w:val="002C3FB0"/>
    <w:rsid w:val="002C3FCB"/>
    <w:rsid w:val="002C3FED"/>
    <w:rsid w:val="002C405A"/>
    <w:rsid w:val="002C4148"/>
    <w:rsid w:val="002C41A2"/>
    <w:rsid w:val="002C41F6"/>
    <w:rsid w:val="002C420E"/>
    <w:rsid w:val="002C4225"/>
    <w:rsid w:val="002C42C2"/>
    <w:rsid w:val="002C42D4"/>
    <w:rsid w:val="002C4323"/>
    <w:rsid w:val="002C4416"/>
    <w:rsid w:val="002C44BF"/>
    <w:rsid w:val="002C4518"/>
    <w:rsid w:val="002C451C"/>
    <w:rsid w:val="002C4554"/>
    <w:rsid w:val="002C45DB"/>
    <w:rsid w:val="002C462B"/>
    <w:rsid w:val="002C4673"/>
    <w:rsid w:val="002C47B2"/>
    <w:rsid w:val="002C47B4"/>
    <w:rsid w:val="002C47E9"/>
    <w:rsid w:val="002C4832"/>
    <w:rsid w:val="002C49E3"/>
    <w:rsid w:val="002C4A04"/>
    <w:rsid w:val="002C4A31"/>
    <w:rsid w:val="002C4AEF"/>
    <w:rsid w:val="002C4B47"/>
    <w:rsid w:val="002C4B62"/>
    <w:rsid w:val="002C4C92"/>
    <w:rsid w:val="002C4CB4"/>
    <w:rsid w:val="002C4CD9"/>
    <w:rsid w:val="002C4E09"/>
    <w:rsid w:val="002C4EFA"/>
    <w:rsid w:val="002C4F7A"/>
    <w:rsid w:val="002C4FA7"/>
    <w:rsid w:val="002C50A3"/>
    <w:rsid w:val="002C5150"/>
    <w:rsid w:val="002C516A"/>
    <w:rsid w:val="002C51DC"/>
    <w:rsid w:val="002C528C"/>
    <w:rsid w:val="002C5290"/>
    <w:rsid w:val="002C52EF"/>
    <w:rsid w:val="002C53C0"/>
    <w:rsid w:val="002C541A"/>
    <w:rsid w:val="002C5475"/>
    <w:rsid w:val="002C549E"/>
    <w:rsid w:val="002C54A3"/>
    <w:rsid w:val="002C54EA"/>
    <w:rsid w:val="002C5536"/>
    <w:rsid w:val="002C5597"/>
    <w:rsid w:val="002C5677"/>
    <w:rsid w:val="002C5721"/>
    <w:rsid w:val="002C5736"/>
    <w:rsid w:val="002C5743"/>
    <w:rsid w:val="002C57F7"/>
    <w:rsid w:val="002C5804"/>
    <w:rsid w:val="002C5880"/>
    <w:rsid w:val="002C592F"/>
    <w:rsid w:val="002C5934"/>
    <w:rsid w:val="002C597C"/>
    <w:rsid w:val="002C599E"/>
    <w:rsid w:val="002C59D5"/>
    <w:rsid w:val="002C59D8"/>
    <w:rsid w:val="002C59E7"/>
    <w:rsid w:val="002C5A24"/>
    <w:rsid w:val="002C5B3F"/>
    <w:rsid w:val="002C5B77"/>
    <w:rsid w:val="002C5C3E"/>
    <w:rsid w:val="002C5CB4"/>
    <w:rsid w:val="002C5CCF"/>
    <w:rsid w:val="002C5CE1"/>
    <w:rsid w:val="002C5CEA"/>
    <w:rsid w:val="002C6023"/>
    <w:rsid w:val="002C6028"/>
    <w:rsid w:val="002C6098"/>
    <w:rsid w:val="002C60B7"/>
    <w:rsid w:val="002C6162"/>
    <w:rsid w:val="002C6186"/>
    <w:rsid w:val="002C6194"/>
    <w:rsid w:val="002C625F"/>
    <w:rsid w:val="002C6278"/>
    <w:rsid w:val="002C62B9"/>
    <w:rsid w:val="002C62DE"/>
    <w:rsid w:val="002C6317"/>
    <w:rsid w:val="002C63AD"/>
    <w:rsid w:val="002C655E"/>
    <w:rsid w:val="002C668B"/>
    <w:rsid w:val="002C6769"/>
    <w:rsid w:val="002C6788"/>
    <w:rsid w:val="002C6796"/>
    <w:rsid w:val="002C67F6"/>
    <w:rsid w:val="002C6864"/>
    <w:rsid w:val="002C69B2"/>
    <w:rsid w:val="002C69B9"/>
    <w:rsid w:val="002C6AFA"/>
    <w:rsid w:val="002C6B17"/>
    <w:rsid w:val="002C6B21"/>
    <w:rsid w:val="002C6B2E"/>
    <w:rsid w:val="002C6B8E"/>
    <w:rsid w:val="002C6BAB"/>
    <w:rsid w:val="002C6D8C"/>
    <w:rsid w:val="002C6E5B"/>
    <w:rsid w:val="002C6E9E"/>
    <w:rsid w:val="002C6F31"/>
    <w:rsid w:val="002C6F76"/>
    <w:rsid w:val="002C7079"/>
    <w:rsid w:val="002C720C"/>
    <w:rsid w:val="002C7250"/>
    <w:rsid w:val="002C744C"/>
    <w:rsid w:val="002C74FF"/>
    <w:rsid w:val="002C7600"/>
    <w:rsid w:val="002C7691"/>
    <w:rsid w:val="002C7694"/>
    <w:rsid w:val="002C77A4"/>
    <w:rsid w:val="002C7806"/>
    <w:rsid w:val="002C7867"/>
    <w:rsid w:val="002C786E"/>
    <w:rsid w:val="002C78C8"/>
    <w:rsid w:val="002C78D1"/>
    <w:rsid w:val="002C7966"/>
    <w:rsid w:val="002C7988"/>
    <w:rsid w:val="002C7A5F"/>
    <w:rsid w:val="002C7A66"/>
    <w:rsid w:val="002C7B78"/>
    <w:rsid w:val="002C7C38"/>
    <w:rsid w:val="002C7C3E"/>
    <w:rsid w:val="002C7C85"/>
    <w:rsid w:val="002C7D86"/>
    <w:rsid w:val="002C7E21"/>
    <w:rsid w:val="002C7E89"/>
    <w:rsid w:val="002C7E91"/>
    <w:rsid w:val="002C7E9D"/>
    <w:rsid w:val="002C7EBF"/>
    <w:rsid w:val="002C7EFE"/>
    <w:rsid w:val="002C7F5C"/>
    <w:rsid w:val="002C7F90"/>
    <w:rsid w:val="002C7F9C"/>
    <w:rsid w:val="002D0049"/>
    <w:rsid w:val="002D0139"/>
    <w:rsid w:val="002D020D"/>
    <w:rsid w:val="002D0404"/>
    <w:rsid w:val="002D04E4"/>
    <w:rsid w:val="002D061A"/>
    <w:rsid w:val="002D06D3"/>
    <w:rsid w:val="002D0889"/>
    <w:rsid w:val="002D0898"/>
    <w:rsid w:val="002D08E2"/>
    <w:rsid w:val="002D08E8"/>
    <w:rsid w:val="002D08ED"/>
    <w:rsid w:val="002D0953"/>
    <w:rsid w:val="002D0A02"/>
    <w:rsid w:val="002D0A57"/>
    <w:rsid w:val="002D0AFA"/>
    <w:rsid w:val="002D0B02"/>
    <w:rsid w:val="002D0B39"/>
    <w:rsid w:val="002D0B54"/>
    <w:rsid w:val="002D0B82"/>
    <w:rsid w:val="002D0C9A"/>
    <w:rsid w:val="002D0CB5"/>
    <w:rsid w:val="002D0CB6"/>
    <w:rsid w:val="002D0D45"/>
    <w:rsid w:val="002D0D9C"/>
    <w:rsid w:val="002D0DBB"/>
    <w:rsid w:val="002D0E9D"/>
    <w:rsid w:val="002D0EDD"/>
    <w:rsid w:val="002D0F0A"/>
    <w:rsid w:val="002D1071"/>
    <w:rsid w:val="002D10B5"/>
    <w:rsid w:val="002D1172"/>
    <w:rsid w:val="002D11DC"/>
    <w:rsid w:val="002D122E"/>
    <w:rsid w:val="002D1252"/>
    <w:rsid w:val="002D1269"/>
    <w:rsid w:val="002D1288"/>
    <w:rsid w:val="002D134E"/>
    <w:rsid w:val="002D134F"/>
    <w:rsid w:val="002D136A"/>
    <w:rsid w:val="002D13AF"/>
    <w:rsid w:val="002D13C0"/>
    <w:rsid w:val="002D14CC"/>
    <w:rsid w:val="002D151D"/>
    <w:rsid w:val="002D15BC"/>
    <w:rsid w:val="002D15C6"/>
    <w:rsid w:val="002D1617"/>
    <w:rsid w:val="002D1626"/>
    <w:rsid w:val="002D1642"/>
    <w:rsid w:val="002D1700"/>
    <w:rsid w:val="002D172B"/>
    <w:rsid w:val="002D179D"/>
    <w:rsid w:val="002D17B9"/>
    <w:rsid w:val="002D17EC"/>
    <w:rsid w:val="002D1834"/>
    <w:rsid w:val="002D193C"/>
    <w:rsid w:val="002D1A4B"/>
    <w:rsid w:val="002D1A51"/>
    <w:rsid w:val="002D1BC9"/>
    <w:rsid w:val="002D1BCE"/>
    <w:rsid w:val="002D1BD6"/>
    <w:rsid w:val="002D1C09"/>
    <w:rsid w:val="002D1C5A"/>
    <w:rsid w:val="002D1D09"/>
    <w:rsid w:val="002D1D6D"/>
    <w:rsid w:val="002D1DEA"/>
    <w:rsid w:val="002D1F38"/>
    <w:rsid w:val="002D210A"/>
    <w:rsid w:val="002D2163"/>
    <w:rsid w:val="002D21AE"/>
    <w:rsid w:val="002D22C1"/>
    <w:rsid w:val="002D2349"/>
    <w:rsid w:val="002D23C6"/>
    <w:rsid w:val="002D2480"/>
    <w:rsid w:val="002D249B"/>
    <w:rsid w:val="002D2540"/>
    <w:rsid w:val="002D259C"/>
    <w:rsid w:val="002D260A"/>
    <w:rsid w:val="002D26A1"/>
    <w:rsid w:val="002D2768"/>
    <w:rsid w:val="002D2960"/>
    <w:rsid w:val="002D2975"/>
    <w:rsid w:val="002D2A11"/>
    <w:rsid w:val="002D2A68"/>
    <w:rsid w:val="002D2AAC"/>
    <w:rsid w:val="002D2C27"/>
    <w:rsid w:val="002D2C75"/>
    <w:rsid w:val="002D2C7B"/>
    <w:rsid w:val="002D2CCA"/>
    <w:rsid w:val="002D2CD0"/>
    <w:rsid w:val="002D2CD7"/>
    <w:rsid w:val="002D2D27"/>
    <w:rsid w:val="002D2D7C"/>
    <w:rsid w:val="002D2DD5"/>
    <w:rsid w:val="002D2E0E"/>
    <w:rsid w:val="002D2E7E"/>
    <w:rsid w:val="002D2F3F"/>
    <w:rsid w:val="002D2F46"/>
    <w:rsid w:val="002D2F66"/>
    <w:rsid w:val="002D2FEC"/>
    <w:rsid w:val="002D3041"/>
    <w:rsid w:val="002D308F"/>
    <w:rsid w:val="002D30AC"/>
    <w:rsid w:val="002D30C9"/>
    <w:rsid w:val="002D3112"/>
    <w:rsid w:val="002D3120"/>
    <w:rsid w:val="002D3125"/>
    <w:rsid w:val="002D3135"/>
    <w:rsid w:val="002D3145"/>
    <w:rsid w:val="002D316F"/>
    <w:rsid w:val="002D3235"/>
    <w:rsid w:val="002D325B"/>
    <w:rsid w:val="002D326E"/>
    <w:rsid w:val="002D3463"/>
    <w:rsid w:val="002D34CA"/>
    <w:rsid w:val="002D353E"/>
    <w:rsid w:val="002D3574"/>
    <w:rsid w:val="002D35FA"/>
    <w:rsid w:val="002D3614"/>
    <w:rsid w:val="002D3633"/>
    <w:rsid w:val="002D36FD"/>
    <w:rsid w:val="002D370B"/>
    <w:rsid w:val="002D376B"/>
    <w:rsid w:val="002D37FA"/>
    <w:rsid w:val="002D38B5"/>
    <w:rsid w:val="002D391B"/>
    <w:rsid w:val="002D397B"/>
    <w:rsid w:val="002D39D4"/>
    <w:rsid w:val="002D3A31"/>
    <w:rsid w:val="002D3B3C"/>
    <w:rsid w:val="002D3BA1"/>
    <w:rsid w:val="002D3C4E"/>
    <w:rsid w:val="002D3C94"/>
    <w:rsid w:val="002D3DD0"/>
    <w:rsid w:val="002D3E10"/>
    <w:rsid w:val="002D3E72"/>
    <w:rsid w:val="002D3F6E"/>
    <w:rsid w:val="002D416F"/>
    <w:rsid w:val="002D41C9"/>
    <w:rsid w:val="002D41CA"/>
    <w:rsid w:val="002D42CD"/>
    <w:rsid w:val="002D4341"/>
    <w:rsid w:val="002D43E4"/>
    <w:rsid w:val="002D443B"/>
    <w:rsid w:val="002D4486"/>
    <w:rsid w:val="002D44C1"/>
    <w:rsid w:val="002D4509"/>
    <w:rsid w:val="002D45D2"/>
    <w:rsid w:val="002D4648"/>
    <w:rsid w:val="002D464F"/>
    <w:rsid w:val="002D46FE"/>
    <w:rsid w:val="002D47A1"/>
    <w:rsid w:val="002D48CA"/>
    <w:rsid w:val="002D48EC"/>
    <w:rsid w:val="002D4909"/>
    <w:rsid w:val="002D4967"/>
    <w:rsid w:val="002D4A5A"/>
    <w:rsid w:val="002D4B1D"/>
    <w:rsid w:val="002D4B60"/>
    <w:rsid w:val="002D4B67"/>
    <w:rsid w:val="002D4B84"/>
    <w:rsid w:val="002D4BE5"/>
    <w:rsid w:val="002D4BF5"/>
    <w:rsid w:val="002D4C7A"/>
    <w:rsid w:val="002D4C9F"/>
    <w:rsid w:val="002D4CA5"/>
    <w:rsid w:val="002D4D80"/>
    <w:rsid w:val="002D4DBF"/>
    <w:rsid w:val="002D4DC2"/>
    <w:rsid w:val="002D4E5A"/>
    <w:rsid w:val="002D4E85"/>
    <w:rsid w:val="002D4EF8"/>
    <w:rsid w:val="002D4F3A"/>
    <w:rsid w:val="002D4F72"/>
    <w:rsid w:val="002D4F89"/>
    <w:rsid w:val="002D4FCE"/>
    <w:rsid w:val="002D5031"/>
    <w:rsid w:val="002D50AB"/>
    <w:rsid w:val="002D533F"/>
    <w:rsid w:val="002D53B0"/>
    <w:rsid w:val="002D53C1"/>
    <w:rsid w:val="002D5410"/>
    <w:rsid w:val="002D548A"/>
    <w:rsid w:val="002D5595"/>
    <w:rsid w:val="002D5633"/>
    <w:rsid w:val="002D5634"/>
    <w:rsid w:val="002D5695"/>
    <w:rsid w:val="002D57AC"/>
    <w:rsid w:val="002D5845"/>
    <w:rsid w:val="002D589A"/>
    <w:rsid w:val="002D58A4"/>
    <w:rsid w:val="002D5992"/>
    <w:rsid w:val="002D59D4"/>
    <w:rsid w:val="002D5A18"/>
    <w:rsid w:val="002D5ADC"/>
    <w:rsid w:val="002D5B7A"/>
    <w:rsid w:val="002D5BB4"/>
    <w:rsid w:val="002D5BD5"/>
    <w:rsid w:val="002D5C45"/>
    <w:rsid w:val="002D5C7C"/>
    <w:rsid w:val="002D5D4E"/>
    <w:rsid w:val="002D5E12"/>
    <w:rsid w:val="002D5E9C"/>
    <w:rsid w:val="002D5ED1"/>
    <w:rsid w:val="002D5F9A"/>
    <w:rsid w:val="002D5FA3"/>
    <w:rsid w:val="002D5FC9"/>
    <w:rsid w:val="002D6017"/>
    <w:rsid w:val="002D6087"/>
    <w:rsid w:val="002D61E4"/>
    <w:rsid w:val="002D6316"/>
    <w:rsid w:val="002D6429"/>
    <w:rsid w:val="002D665F"/>
    <w:rsid w:val="002D6769"/>
    <w:rsid w:val="002D67D3"/>
    <w:rsid w:val="002D6879"/>
    <w:rsid w:val="002D68DF"/>
    <w:rsid w:val="002D692E"/>
    <w:rsid w:val="002D69B1"/>
    <w:rsid w:val="002D6A14"/>
    <w:rsid w:val="002D6A97"/>
    <w:rsid w:val="002D6AE9"/>
    <w:rsid w:val="002D6B44"/>
    <w:rsid w:val="002D6C1E"/>
    <w:rsid w:val="002D6C92"/>
    <w:rsid w:val="002D6D02"/>
    <w:rsid w:val="002D6D49"/>
    <w:rsid w:val="002D6D4B"/>
    <w:rsid w:val="002D6D68"/>
    <w:rsid w:val="002D6DAE"/>
    <w:rsid w:val="002D6E31"/>
    <w:rsid w:val="002D6E71"/>
    <w:rsid w:val="002D6EE6"/>
    <w:rsid w:val="002D6F5F"/>
    <w:rsid w:val="002D6FB0"/>
    <w:rsid w:val="002D701B"/>
    <w:rsid w:val="002D7023"/>
    <w:rsid w:val="002D703D"/>
    <w:rsid w:val="002D70D9"/>
    <w:rsid w:val="002D7117"/>
    <w:rsid w:val="002D7222"/>
    <w:rsid w:val="002D7237"/>
    <w:rsid w:val="002D7314"/>
    <w:rsid w:val="002D73FB"/>
    <w:rsid w:val="002D7428"/>
    <w:rsid w:val="002D7430"/>
    <w:rsid w:val="002D7443"/>
    <w:rsid w:val="002D744A"/>
    <w:rsid w:val="002D744F"/>
    <w:rsid w:val="002D74A5"/>
    <w:rsid w:val="002D74DD"/>
    <w:rsid w:val="002D752F"/>
    <w:rsid w:val="002D75F3"/>
    <w:rsid w:val="002D768C"/>
    <w:rsid w:val="002D76A9"/>
    <w:rsid w:val="002D7765"/>
    <w:rsid w:val="002D7830"/>
    <w:rsid w:val="002D789A"/>
    <w:rsid w:val="002D78A9"/>
    <w:rsid w:val="002D78BA"/>
    <w:rsid w:val="002D7937"/>
    <w:rsid w:val="002D797C"/>
    <w:rsid w:val="002D79B6"/>
    <w:rsid w:val="002D7A15"/>
    <w:rsid w:val="002D7A3A"/>
    <w:rsid w:val="002D7A49"/>
    <w:rsid w:val="002D7AB0"/>
    <w:rsid w:val="002D7B8E"/>
    <w:rsid w:val="002D7C1C"/>
    <w:rsid w:val="002D7C2C"/>
    <w:rsid w:val="002D7CD5"/>
    <w:rsid w:val="002D7CF0"/>
    <w:rsid w:val="002D7D86"/>
    <w:rsid w:val="002D7EAD"/>
    <w:rsid w:val="002D7F72"/>
    <w:rsid w:val="002D7F91"/>
    <w:rsid w:val="002D7FAD"/>
    <w:rsid w:val="002D7FC8"/>
    <w:rsid w:val="002E0005"/>
    <w:rsid w:val="002E008D"/>
    <w:rsid w:val="002E00B0"/>
    <w:rsid w:val="002E0162"/>
    <w:rsid w:val="002E025C"/>
    <w:rsid w:val="002E032E"/>
    <w:rsid w:val="002E03CD"/>
    <w:rsid w:val="002E043C"/>
    <w:rsid w:val="002E0453"/>
    <w:rsid w:val="002E05CA"/>
    <w:rsid w:val="002E05FD"/>
    <w:rsid w:val="002E0741"/>
    <w:rsid w:val="002E07AE"/>
    <w:rsid w:val="002E0849"/>
    <w:rsid w:val="002E0873"/>
    <w:rsid w:val="002E0998"/>
    <w:rsid w:val="002E099E"/>
    <w:rsid w:val="002E09A5"/>
    <w:rsid w:val="002E0ABC"/>
    <w:rsid w:val="002E0B29"/>
    <w:rsid w:val="002E0BEF"/>
    <w:rsid w:val="002E0C04"/>
    <w:rsid w:val="002E0E25"/>
    <w:rsid w:val="002E0E3F"/>
    <w:rsid w:val="002E0E63"/>
    <w:rsid w:val="002E0EAF"/>
    <w:rsid w:val="002E0F35"/>
    <w:rsid w:val="002E0FB6"/>
    <w:rsid w:val="002E0FE6"/>
    <w:rsid w:val="002E1176"/>
    <w:rsid w:val="002E1305"/>
    <w:rsid w:val="002E141B"/>
    <w:rsid w:val="002E1420"/>
    <w:rsid w:val="002E148D"/>
    <w:rsid w:val="002E14FF"/>
    <w:rsid w:val="002E154C"/>
    <w:rsid w:val="002E15AC"/>
    <w:rsid w:val="002E16DF"/>
    <w:rsid w:val="002E177A"/>
    <w:rsid w:val="002E1787"/>
    <w:rsid w:val="002E17B8"/>
    <w:rsid w:val="002E1892"/>
    <w:rsid w:val="002E19B7"/>
    <w:rsid w:val="002E19FC"/>
    <w:rsid w:val="002E1AC5"/>
    <w:rsid w:val="002E1B20"/>
    <w:rsid w:val="002E1C13"/>
    <w:rsid w:val="002E1C2E"/>
    <w:rsid w:val="002E1C30"/>
    <w:rsid w:val="002E1C5C"/>
    <w:rsid w:val="002E1C82"/>
    <w:rsid w:val="002E1C88"/>
    <w:rsid w:val="002E1CCB"/>
    <w:rsid w:val="002E1E37"/>
    <w:rsid w:val="002E1EF1"/>
    <w:rsid w:val="002E1F52"/>
    <w:rsid w:val="002E204E"/>
    <w:rsid w:val="002E2127"/>
    <w:rsid w:val="002E218B"/>
    <w:rsid w:val="002E22C3"/>
    <w:rsid w:val="002E22E6"/>
    <w:rsid w:val="002E23DC"/>
    <w:rsid w:val="002E23F7"/>
    <w:rsid w:val="002E26C7"/>
    <w:rsid w:val="002E26DD"/>
    <w:rsid w:val="002E2712"/>
    <w:rsid w:val="002E2747"/>
    <w:rsid w:val="002E2785"/>
    <w:rsid w:val="002E2903"/>
    <w:rsid w:val="002E294D"/>
    <w:rsid w:val="002E2961"/>
    <w:rsid w:val="002E296F"/>
    <w:rsid w:val="002E2A49"/>
    <w:rsid w:val="002E2A59"/>
    <w:rsid w:val="002E2B84"/>
    <w:rsid w:val="002E2BFD"/>
    <w:rsid w:val="002E2C33"/>
    <w:rsid w:val="002E2CC9"/>
    <w:rsid w:val="002E2D36"/>
    <w:rsid w:val="002E2EEB"/>
    <w:rsid w:val="002E2F44"/>
    <w:rsid w:val="002E2FE5"/>
    <w:rsid w:val="002E3026"/>
    <w:rsid w:val="002E3078"/>
    <w:rsid w:val="002E30E6"/>
    <w:rsid w:val="002E3153"/>
    <w:rsid w:val="002E315D"/>
    <w:rsid w:val="002E31EF"/>
    <w:rsid w:val="002E321E"/>
    <w:rsid w:val="002E32A0"/>
    <w:rsid w:val="002E32E0"/>
    <w:rsid w:val="002E333E"/>
    <w:rsid w:val="002E33D4"/>
    <w:rsid w:val="002E3441"/>
    <w:rsid w:val="002E3454"/>
    <w:rsid w:val="002E348D"/>
    <w:rsid w:val="002E3578"/>
    <w:rsid w:val="002E35D2"/>
    <w:rsid w:val="002E3703"/>
    <w:rsid w:val="002E3869"/>
    <w:rsid w:val="002E38DC"/>
    <w:rsid w:val="002E392E"/>
    <w:rsid w:val="002E394C"/>
    <w:rsid w:val="002E39AE"/>
    <w:rsid w:val="002E39C5"/>
    <w:rsid w:val="002E3A94"/>
    <w:rsid w:val="002E3C0D"/>
    <w:rsid w:val="002E3C3E"/>
    <w:rsid w:val="002E3CCA"/>
    <w:rsid w:val="002E3D53"/>
    <w:rsid w:val="002E3E43"/>
    <w:rsid w:val="002E3EE0"/>
    <w:rsid w:val="002E3EFE"/>
    <w:rsid w:val="002E3F03"/>
    <w:rsid w:val="002E3F61"/>
    <w:rsid w:val="002E3FB0"/>
    <w:rsid w:val="002E3FD5"/>
    <w:rsid w:val="002E3FE9"/>
    <w:rsid w:val="002E3FF5"/>
    <w:rsid w:val="002E4014"/>
    <w:rsid w:val="002E402A"/>
    <w:rsid w:val="002E409D"/>
    <w:rsid w:val="002E4111"/>
    <w:rsid w:val="002E4128"/>
    <w:rsid w:val="002E416F"/>
    <w:rsid w:val="002E427C"/>
    <w:rsid w:val="002E42C5"/>
    <w:rsid w:val="002E4347"/>
    <w:rsid w:val="002E43AC"/>
    <w:rsid w:val="002E43BF"/>
    <w:rsid w:val="002E441A"/>
    <w:rsid w:val="002E44A9"/>
    <w:rsid w:val="002E44DA"/>
    <w:rsid w:val="002E453C"/>
    <w:rsid w:val="002E4546"/>
    <w:rsid w:val="002E457A"/>
    <w:rsid w:val="002E45CD"/>
    <w:rsid w:val="002E46D3"/>
    <w:rsid w:val="002E46F3"/>
    <w:rsid w:val="002E473D"/>
    <w:rsid w:val="002E477D"/>
    <w:rsid w:val="002E47C5"/>
    <w:rsid w:val="002E47EF"/>
    <w:rsid w:val="002E491A"/>
    <w:rsid w:val="002E4A11"/>
    <w:rsid w:val="002E4A8C"/>
    <w:rsid w:val="002E4AA0"/>
    <w:rsid w:val="002E4B0C"/>
    <w:rsid w:val="002E4BDD"/>
    <w:rsid w:val="002E4C16"/>
    <w:rsid w:val="002E4C2F"/>
    <w:rsid w:val="002E4C3A"/>
    <w:rsid w:val="002E4CED"/>
    <w:rsid w:val="002E4D30"/>
    <w:rsid w:val="002E4D44"/>
    <w:rsid w:val="002E4EFF"/>
    <w:rsid w:val="002E50A1"/>
    <w:rsid w:val="002E5242"/>
    <w:rsid w:val="002E52BE"/>
    <w:rsid w:val="002E52F5"/>
    <w:rsid w:val="002E52F7"/>
    <w:rsid w:val="002E5330"/>
    <w:rsid w:val="002E534C"/>
    <w:rsid w:val="002E53D8"/>
    <w:rsid w:val="002E54D0"/>
    <w:rsid w:val="002E54DE"/>
    <w:rsid w:val="002E5503"/>
    <w:rsid w:val="002E55E9"/>
    <w:rsid w:val="002E565E"/>
    <w:rsid w:val="002E56C7"/>
    <w:rsid w:val="002E57AA"/>
    <w:rsid w:val="002E57E2"/>
    <w:rsid w:val="002E5820"/>
    <w:rsid w:val="002E5973"/>
    <w:rsid w:val="002E5999"/>
    <w:rsid w:val="002E5A3D"/>
    <w:rsid w:val="002E5A85"/>
    <w:rsid w:val="002E5A9A"/>
    <w:rsid w:val="002E5B31"/>
    <w:rsid w:val="002E5B94"/>
    <w:rsid w:val="002E5C89"/>
    <w:rsid w:val="002E5DA0"/>
    <w:rsid w:val="002E5DE2"/>
    <w:rsid w:val="002E5E03"/>
    <w:rsid w:val="002E5E0D"/>
    <w:rsid w:val="002E5ECA"/>
    <w:rsid w:val="002E5EF5"/>
    <w:rsid w:val="002E5F12"/>
    <w:rsid w:val="002E5F83"/>
    <w:rsid w:val="002E5F9C"/>
    <w:rsid w:val="002E600A"/>
    <w:rsid w:val="002E601B"/>
    <w:rsid w:val="002E6051"/>
    <w:rsid w:val="002E60CD"/>
    <w:rsid w:val="002E6117"/>
    <w:rsid w:val="002E6132"/>
    <w:rsid w:val="002E616C"/>
    <w:rsid w:val="002E61AC"/>
    <w:rsid w:val="002E61E7"/>
    <w:rsid w:val="002E62E4"/>
    <w:rsid w:val="002E6385"/>
    <w:rsid w:val="002E6393"/>
    <w:rsid w:val="002E6410"/>
    <w:rsid w:val="002E645F"/>
    <w:rsid w:val="002E661D"/>
    <w:rsid w:val="002E6627"/>
    <w:rsid w:val="002E66E4"/>
    <w:rsid w:val="002E66F5"/>
    <w:rsid w:val="002E672C"/>
    <w:rsid w:val="002E674B"/>
    <w:rsid w:val="002E676D"/>
    <w:rsid w:val="002E67CC"/>
    <w:rsid w:val="002E680E"/>
    <w:rsid w:val="002E681A"/>
    <w:rsid w:val="002E6956"/>
    <w:rsid w:val="002E6998"/>
    <w:rsid w:val="002E6A5D"/>
    <w:rsid w:val="002E6B85"/>
    <w:rsid w:val="002E6BDF"/>
    <w:rsid w:val="002E6C49"/>
    <w:rsid w:val="002E6CA9"/>
    <w:rsid w:val="002E6D0A"/>
    <w:rsid w:val="002E6D40"/>
    <w:rsid w:val="002E6D60"/>
    <w:rsid w:val="002E6D86"/>
    <w:rsid w:val="002E6DB3"/>
    <w:rsid w:val="002E6DCA"/>
    <w:rsid w:val="002E6E10"/>
    <w:rsid w:val="002E6E1E"/>
    <w:rsid w:val="002E6E2A"/>
    <w:rsid w:val="002E6EA1"/>
    <w:rsid w:val="002E6F43"/>
    <w:rsid w:val="002E6F56"/>
    <w:rsid w:val="002E7214"/>
    <w:rsid w:val="002E72A5"/>
    <w:rsid w:val="002E72C0"/>
    <w:rsid w:val="002E7325"/>
    <w:rsid w:val="002E7357"/>
    <w:rsid w:val="002E7618"/>
    <w:rsid w:val="002E767A"/>
    <w:rsid w:val="002E7734"/>
    <w:rsid w:val="002E77BD"/>
    <w:rsid w:val="002E7803"/>
    <w:rsid w:val="002E782D"/>
    <w:rsid w:val="002E7833"/>
    <w:rsid w:val="002E78AE"/>
    <w:rsid w:val="002E78C3"/>
    <w:rsid w:val="002E7986"/>
    <w:rsid w:val="002E799E"/>
    <w:rsid w:val="002E7A26"/>
    <w:rsid w:val="002E7A7A"/>
    <w:rsid w:val="002E7AAD"/>
    <w:rsid w:val="002E7ADD"/>
    <w:rsid w:val="002E7B2A"/>
    <w:rsid w:val="002E7BCA"/>
    <w:rsid w:val="002E7C16"/>
    <w:rsid w:val="002E7C97"/>
    <w:rsid w:val="002E7CBB"/>
    <w:rsid w:val="002E7D3D"/>
    <w:rsid w:val="002E7DDF"/>
    <w:rsid w:val="002E7E3A"/>
    <w:rsid w:val="002E7EBF"/>
    <w:rsid w:val="002E7EDF"/>
    <w:rsid w:val="002E7F41"/>
    <w:rsid w:val="002E7FE5"/>
    <w:rsid w:val="002EB2FB"/>
    <w:rsid w:val="002F0076"/>
    <w:rsid w:val="002F00E6"/>
    <w:rsid w:val="002F010C"/>
    <w:rsid w:val="002F01C3"/>
    <w:rsid w:val="002F01CF"/>
    <w:rsid w:val="002F0258"/>
    <w:rsid w:val="002F0278"/>
    <w:rsid w:val="002F02AF"/>
    <w:rsid w:val="002F0316"/>
    <w:rsid w:val="002F03DF"/>
    <w:rsid w:val="002F0511"/>
    <w:rsid w:val="002F05D9"/>
    <w:rsid w:val="002F05F3"/>
    <w:rsid w:val="002F07F4"/>
    <w:rsid w:val="002F08A1"/>
    <w:rsid w:val="002F08B7"/>
    <w:rsid w:val="002F093C"/>
    <w:rsid w:val="002F0976"/>
    <w:rsid w:val="002F09A5"/>
    <w:rsid w:val="002F09C8"/>
    <w:rsid w:val="002F09EA"/>
    <w:rsid w:val="002F0A0C"/>
    <w:rsid w:val="002F0A1C"/>
    <w:rsid w:val="002F0A9B"/>
    <w:rsid w:val="002F0AB2"/>
    <w:rsid w:val="002F0B4B"/>
    <w:rsid w:val="002F0C22"/>
    <w:rsid w:val="002F0C69"/>
    <w:rsid w:val="002F0C86"/>
    <w:rsid w:val="002F0D82"/>
    <w:rsid w:val="002F0DA2"/>
    <w:rsid w:val="002F0DBE"/>
    <w:rsid w:val="002F0DF3"/>
    <w:rsid w:val="002F0E0F"/>
    <w:rsid w:val="002F0ED6"/>
    <w:rsid w:val="002F0EE0"/>
    <w:rsid w:val="002F0F01"/>
    <w:rsid w:val="002F0F0A"/>
    <w:rsid w:val="002F0F37"/>
    <w:rsid w:val="002F104D"/>
    <w:rsid w:val="002F1079"/>
    <w:rsid w:val="002F10E0"/>
    <w:rsid w:val="002F112E"/>
    <w:rsid w:val="002F117E"/>
    <w:rsid w:val="002F11BD"/>
    <w:rsid w:val="002F13CA"/>
    <w:rsid w:val="002F13EF"/>
    <w:rsid w:val="002F147B"/>
    <w:rsid w:val="002F1481"/>
    <w:rsid w:val="002F149D"/>
    <w:rsid w:val="002F1533"/>
    <w:rsid w:val="002F15C1"/>
    <w:rsid w:val="002F15C5"/>
    <w:rsid w:val="002F15F2"/>
    <w:rsid w:val="002F1643"/>
    <w:rsid w:val="002F1728"/>
    <w:rsid w:val="002F1729"/>
    <w:rsid w:val="002F17B6"/>
    <w:rsid w:val="002F17C5"/>
    <w:rsid w:val="002F17CA"/>
    <w:rsid w:val="002F17EC"/>
    <w:rsid w:val="002F1832"/>
    <w:rsid w:val="002F193D"/>
    <w:rsid w:val="002F1ABA"/>
    <w:rsid w:val="002F1B67"/>
    <w:rsid w:val="002F1B82"/>
    <w:rsid w:val="002F1B90"/>
    <w:rsid w:val="002F1BA6"/>
    <w:rsid w:val="002F1C0A"/>
    <w:rsid w:val="002F1C2B"/>
    <w:rsid w:val="002F1C4A"/>
    <w:rsid w:val="002F1C77"/>
    <w:rsid w:val="002F1CD8"/>
    <w:rsid w:val="002F1D20"/>
    <w:rsid w:val="002F1E58"/>
    <w:rsid w:val="002F1EF1"/>
    <w:rsid w:val="002F1F41"/>
    <w:rsid w:val="002F1F96"/>
    <w:rsid w:val="002F1F97"/>
    <w:rsid w:val="002F1FF7"/>
    <w:rsid w:val="002F202A"/>
    <w:rsid w:val="002F21EE"/>
    <w:rsid w:val="002F221A"/>
    <w:rsid w:val="002F265D"/>
    <w:rsid w:val="002F2702"/>
    <w:rsid w:val="002F27F9"/>
    <w:rsid w:val="002F280C"/>
    <w:rsid w:val="002F2812"/>
    <w:rsid w:val="002F2814"/>
    <w:rsid w:val="002F2841"/>
    <w:rsid w:val="002F28C0"/>
    <w:rsid w:val="002F2975"/>
    <w:rsid w:val="002F297B"/>
    <w:rsid w:val="002F2A61"/>
    <w:rsid w:val="002F2A7C"/>
    <w:rsid w:val="002F2C3A"/>
    <w:rsid w:val="002F2D6E"/>
    <w:rsid w:val="002F2DA2"/>
    <w:rsid w:val="002F2DFA"/>
    <w:rsid w:val="002F2E49"/>
    <w:rsid w:val="002F2E5B"/>
    <w:rsid w:val="002F2F2A"/>
    <w:rsid w:val="002F2F58"/>
    <w:rsid w:val="002F2FAC"/>
    <w:rsid w:val="002F2FCC"/>
    <w:rsid w:val="002F2FD3"/>
    <w:rsid w:val="002F2FF2"/>
    <w:rsid w:val="002F3110"/>
    <w:rsid w:val="002F3112"/>
    <w:rsid w:val="002F3149"/>
    <w:rsid w:val="002F31ED"/>
    <w:rsid w:val="002F333E"/>
    <w:rsid w:val="002F340B"/>
    <w:rsid w:val="002F3460"/>
    <w:rsid w:val="002F34D1"/>
    <w:rsid w:val="002F34D6"/>
    <w:rsid w:val="002F3598"/>
    <w:rsid w:val="002F362D"/>
    <w:rsid w:val="002F372B"/>
    <w:rsid w:val="002F3766"/>
    <w:rsid w:val="002F377E"/>
    <w:rsid w:val="002F3836"/>
    <w:rsid w:val="002F38C2"/>
    <w:rsid w:val="002F38CB"/>
    <w:rsid w:val="002F39F7"/>
    <w:rsid w:val="002F3A0B"/>
    <w:rsid w:val="002F3A28"/>
    <w:rsid w:val="002F3A53"/>
    <w:rsid w:val="002F3A84"/>
    <w:rsid w:val="002F3B30"/>
    <w:rsid w:val="002F3B90"/>
    <w:rsid w:val="002F3BBA"/>
    <w:rsid w:val="002F3BD0"/>
    <w:rsid w:val="002F3BDD"/>
    <w:rsid w:val="002F3C3F"/>
    <w:rsid w:val="002F3C76"/>
    <w:rsid w:val="002F3D6D"/>
    <w:rsid w:val="002F3E7C"/>
    <w:rsid w:val="002F3ECF"/>
    <w:rsid w:val="002F3F84"/>
    <w:rsid w:val="002F3FD3"/>
    <w:rsid w:val="002F400E"/>
    <w:rsid w:val="002F4070"/>
    <w:rsid w:val="002F4092"/>
    <w:rsid w:val="002F4175"/>
    <w:rsid w:val="002F4185"/>
    <w:rsid w:val="002F41DE"/>
    <w:rsid w:val="002F41F7"/>
    <w:rsid w:val="002F4272"/>
    <w:rsid w:val="002F427E"/>
    <w:rsid w:val="002F4361"/>
    <w:rsid w:val="002F4370"/>
    <w:rsid w:val="002F43C7"/>
    <w:rsid w:val="002F4405"/>
    <w:rsid w:val="002F44E6"/>
    <w:rsid w:val="002F4505"/>
    <w:rsid w:val="002F458A"/>
    <w:rsid w:val="002F45F2"/>
    <w:rsid w:val="002F4605"/>
    <w:rsid w:val="002F463A"/>
    <w:rsid w:val="002F466D"/>
    <w:rsid w:val="002F4678"/>
    <w:rsid w:val="002F46E2"/>
    <w:rsid w:val="002F46FD"/>
    <w:rsid w:val="002F4708"/>
    <w:rsid w:val="002F4743"/>
    <w:rsid w:val="002F47B7"/>
    <w:rsid w:val="002F47F0"/>
    <w:rsid w:val="002F480E"/>
    <w:rsid w:val="002F4856"/>
    <w:rsid w:val="002F489F"/>
    <w:rsid w:val="002F496A"/>
    <w:rsid w:val="002F498B"/>
    <w:rsid w:val="002F49D2"/>
    <w:rsid w:val="002F4B7B"/>
    <w:rsid w:val="002F4BF6"/>
    <w:rsid w:val="002F4C6A"/>
    <w:rsid w:val="002F4CBC"/>
    <w:rsid w:val="002F4CFD"/>
    <w:rsid w:val="002F4D89"/>
    <w:rsid w:val="002F4DD9"/>
    <w:rsid w:val="002F4E9D"/>
    <w:rsid w:val="002F4FA6"/>
    <w:rsid w:val="002F4FD7"/>
    <w:rsid w:val="002F514C"/>
    <w:rsid w:val="002F5198"/>
    <w:rsid w:val="002F522F"/>
    <w:rsid w:val="002F5248"/>
    <w:rsid w:val="002F5400"/>
    <w:rsid w:val="002F551E"/>
    <w:rsid w:val="002F556C"/>
    <w:rsid w:val="002F5582"/>
    <w:rsid w:val="002F55F0"/>
    <w:rsid w:val="002F5612"/>
    <w:rsid w:val="002F5653"/>
    <w:rsid w:val="002F5664"/>
    <w:rsid w:val="002F568D"/>
    <w:rsid w:val="002F5777"/>
    <w:rsid w:val="002F579C"/>
    <w:rsid w:val="002F57BA"/>
    <w:rsid w:val="002F5912"/>
    <w:rsid w:val="002F5937"/>
    <w:rsid w:val="002F599C"/>
    <w:rsid w:val="002F5A68"/>
    <w:rsid w:val="002F5BE5"/>
    <w:rsid w:val="002F5C42"/>
    <w:rsid w:val="002F5C8A"/>
    <w:rsid w:val="002F5CF2"/>
    <w:rsid w:val="002F5DEF"/>
    <w:rsid w:val="002F5DFD"/>
    <w:rsid w:val="002F5E26"/>
    <w:rsid w:val="002F5E43"/>
    <w:rsid w:val="002F5E88"/>
    <w:rsid w:val="002F5F40"/>
    <w:rsid w:val="002F5F75"/>
    <w:rsid w:val="002F5FE1"/>
    <w:rsid w:val="002F6044"/>
    <w:rsid w:val="002F60A0"/>
    <w:rsid w:val="002F6249"/>
    <w:rsid w:val="002F62FB"/>
    <w:rsid w:val="002F63B3"/>
    <w:rsid w:val="002F643E"/>
    <w:rsid w:val="002F6562"/>
    <w:rsid w:val="002F67D5"/>
    <w:rsid w:val="002F685D"/>
    <w:rsid w:val="002F68D7"/>
    <w:rsid w:val="002F6906"/>
    <w:rsid w:val="002F69AD"/>
    <w:rsid w:val="002F69B1"/>
    <w:rsid w:val="002F69FC"/>
    <w:rsid w:val="002F6A0B"/>
    <w:rsid w:val="002F6AB2"/>
    <w:rsid w:val="002F6CF8"/>
    <w:rsid w:val="002F6D46"/>
    <w:rsid w:val="002F6E3F"/>
    <w:rsid w:val="002F6E73"/>
    <w:rsid w:val="002F6FB6"/>
    <w:rsid w:val="002F6FF9"/>
    <w:rsid w:val="002F70BC"/>
    <w:rsid w:val="002F70FF"/>
    <w:rsid w:val="002F717F"/>
    <w:rsid w:val="002F71B6"/>
    <w:rsid w:val="002F71CD"/>
    <w:rsid w:val="002F71FE"/>
    <w:rsid w:val="002F72C5"/>
    <w:rsid w:val="002F72E9"/>
    <w:rsid w:val="002F73E4"/>
    <w:rsid w:val="002F73F1"/>
    <w:rsid w:val="002F7476"/>
    <w:rsid w:val="002F7551"/>
    <w:rsid w:val="002F76C5"/>
    <w:rsid w:val="002F7722"/>
    <w:rsid w:val="002F7875"/>
    <w:rsid w:val="002F78F2"/>
    <w:rsid w:val="002F7951"/>
    <w:rsid w:val="002F798F"/>
    <w:rsid w:val="002F79EB"/>
    <w:rsid w:val="002F7A46"/>
    <w:rsid w:val="002F7B55"/>
    <w:rsid w:val="002F7B5A"/>
    <w:rsid w:val="002F7C0E"/>
    <w:rsid w:val="002F7C2A"/>
    <w:rsid w:val="002F7C4B"/>
    <w:rsid w:val="002F7C4C"/>
    <w:rsid w:val="002F7CCB"/>
    <w:rsid w:val="002F7CD3"/>
    <w:rsid w:val="002F7CF7"/>
    <w:rsid w:val="0030002B"/>
    <w:rsid w:val="00300132"/>
    <w:rsid w:val="00300144"/>
    <w:rsid w:val="003001E3"/>
    <w:rsid w:val="00300230"/>
    <w:rsid w:val="003002E8"/>
    <w:rsid w:val="00300401"/>
    <w:rsid w:val="00300591"/>
    <w:rsid w:val="0030063C"/>
    <w:rsid w:val="00300745"/>
    <w:rsid w:val="00300754"/>
    <w:rsid w:val="003007EC"/>
    <w:rsid w:val="003007FB"/>
    <w:rsid w:val="003007FD"/>
    <w:rsid w:val="003008E6"/>
    <w:rsid w:val="00300955"/>
    <w:rsid w:val="0030095E"/>
    <w:rsid w:val="0030097B"/>
    <w:rsid w:val="003009E5"/>
    <w:rsid w:val="00300A4B"/>
    <w:rsid w:val="00300AC4"/>
    <w:rsid w:val="00300AE2"/>
    <w:rsid w:val="00300B4C"/>
    <w:rsid w:val="00300C47"/>
    <w:rsid w:val="00300C50"/>
    <w:rsid w:val="00300CD1"/>
    <w:rsid w:val="00300FA7"/>
    <w:rsid w:val="00301102"/>
    <w:rsid w:val="003011A8"/>
    <w:rsid w:val="003012CF"/>
    <w:rsid w:val="00301377"/>
    <w:rsid w:val="003013C6"/>
    <w:rsid w:val="0030150B"/>
    <w:rsid w:val="0030152B"/>
    <w:rsid w:val="0030153A"/>
    <w:rsid w:val="0030153E"/>
    <w:rsid w:val="0030156A"/>
    <w:rsid w:val="003015F9"/>
    <w:rsid w:val="00301652"/>
    <w:rsid w:val="00301722"/>
    <w:rsid w:val="003017CD"/>
    <w:rsid w:val="0030183F"/>
    <w:rsid w:val="003018CA"/>
    <w:rsid w:val="003018E1"/>
    <w:rsid w:val="00301903"/>
    <w:rsid w:val="00301936"/>
    <w:rsid w:val="00301944"/>
    <w:rsid w:val="00301B8C"/>
    <w:rsid w:val="00301BDF"/>
    <w:rsid w:val="00301DA0"/>
    <w:rsid w:val="00301E51"/>
    <w:rsid w:val="00301EB6"/>
    <w:rsid w:val="00302016"/>
    <w:rsid w:val="00302041"/>
    <w:rsid w:val="00302063"/>
    <w:rsid w:val="003020F4"/>
    <w:rsid w:val="00302189"/>
    <w:rsid w:val="0030224C"/>
    <w:rsid w:val="00302260"/>
    <w:rsid w:val="00302261"/>
    <w:rsid w:val="00302279"/>
    <w:rsid w:val="003022D1"/>
    <w:rsid w:val="00302392"/>
    <w:rsid w:val="003023FD"/>
    <w:rsid w:val="0030250C"/>
    <w:rsid w:val="0030252F"/>
    <w:rsid w:val="00302560"/>
    <w:rsid w:val="0030258C"/>
    <w:rsid w:val="003026D9"/>
    <w:rsid w:val="003026F1"/>
    <w:rsid w:val="00302743"/>
    <w:rsid w:val="003027C2"/>
    <w:rsid w:val="00302831"/>
    <w:rsid w:val="003028D8"/>
    <w:rsid w:val="00302A2A"/>
    <w:rsid w:val="00302A81"/>
    <w:rsid w:val="00302AAE"/>
    <w:rsid w:val="00302B31"/>
    <w:rsid w:val="00302B62"/>
    <w:rsid w:val="00302B66"/>
    <w:rsid w:val="00302BF2"/>
    <w:rsid w:val="00302C2C"/>
    <w:rsid w:val="00302C35"/>
    <w:rsid w:val="00302C3A"/>
    <w:rsid w:val="00302CB0"/>
    <w:rsid w:val="00302CB7"/>
    <w:rsid w:val="00302D55"/>
    <w:rsid w:val="00302E3D"/>
    <w:rsid w:val="00302E59"/>
    <w:rsid w:val="00302EB8"/>
    <w:rsid w:val="00302EDD"/>
    <w:rsid w:val="00302F9B"/>
    <w:rsid w:val="00302FC3"/>
    <w:rsid w:val="00302FE7"/>
    <w:rsid w:val="00302FFD"/>
    <w:rsid w:val="0030307B"/>
    <w:rsid w:val="003030AD"/>
    <w:rsid w:val="003030AF"/>
    <w:rsid w:val="0030313E"/>
    <w:rsid w:val="0030314E"/>
    <w:rsid w:val="003031C3"/>
    <w:rsid w:val="003031ED"/>
    <w:rsid w:val="00303315"/>
    <w:rsid w:val="003033E7"/>
    <w:rsid w:val="00303458"/>
    <w:rsid w:val="0030348C"/>
    <w:rsid w:val="003034A7"/>
    <w:rsid w:val="0030351D"/>
    <w:rsid w:val="0030355F"/>
    <w:rsid w:val="0030356A"/>
    <w:rsid w:val="00303646"/>
    <w:rsid w:val="003036E4"/>
    <w:rsid w:val="003036E8"/>
    <w:rsid w:val="00303800"/>
    <w:rsid w:val="00303973"/>
    <w:rsid w:val="003039F1"/>
    <w:rsid w:val="003039F9"/>
    <w:rsid w:val="00303AA7"/>
    <w:rsid w:val="00303B1F"/>
    <w:rsid w:val="00303B47"/>
    <w:rsid w:val="00303B5E"/>
    <w:rsid w:val="00303C3D"/>
    <w:rsid w:val="00303C5D"/>
    <w:rsid w:val="00303CAA"/>
    <w:rsid w:val="00303CED"/>
    <w:rsid w:val="00303D9E"/>
    <w:rsid w:val="00303DA9"/>
    <w:rsid w:val="00303EC7"/>
    <w:rsid w:val="00303EC8"/>
    <w:rsid w:val="00303F1D"/>
    <w:rsid w:val="00303F75"/>
    <w:rsid w:val="00303FC7"/>
    <w:rsid w:val="00304114"/>
    <w:rsid w:val="00304172"/>
    <w:rsid w:val="00304194"/>
    <w:rsid w:val="003041F4"/>
    <w:rsid w:val="003043C4"/>
    <w:rsid w:val="003043E7"/>
    <w:rsid w:val="00304492"/>
    <w:rsid w:val="003045AE"/>
    <w:rsid w:val="003045DD"/>
    <w:rsid w:val="00304605"/>
    <w:rsid w:val="0030463B"/>
    <w:rsid w:val="00304693"/>
    <w:rsid w:val="00304802"/>
    <w:rsid w:val="0030488A"/>
    <w:rsid w:val="003048A6"/>
    <w:rsid w:val="00304955"/>
    <w:rsid w:val="00304966"/>
    <w:rsid w:val="00304998"/>
    <w:rsid w:val="00304A17"/>
    <w:rsid w:val="00304A71"/>
    <w:rsid w:val="00304A85"/>
    <w:rsid w:val="00304B10"/>
    <w:rsid w:val="00304B1D"/>
    <w:rsid w:val="00304B3B"/>
    <w:rsid w:val="00304B9C"/>
    <w:rsid w:val="00304C49"/>
    <w:rsid w:val="00304C6A"/>
    <w:rsid w:val="00304CE5"/>
    <w:rsid w:val="00304DD8"/>
    <w:rsid w:val="00304E70"/>
    <w:rsid w:val="00304F66"/>
    <w:rsid w:val="00304FB2"/>
    <w:rsid w:val="00304FEB"/>
    <w:rsid w:val="00304FF3"/>
    <w:rsid w:val="00305013"/>
    <w:rsid w:val="00305056"/>
    <w:rsid w:val="0030511B"/>
    <w:rsid w:val="003051A2"/>
    <w:rsid w:val="00305264"/>
    <w:rsid w:val="00305271"/>
    <w:rsid w:val="00305275"/>
    <w:rsid w:val="00305297"/>
    <w:rsid w:val="003052F2"/>
    <w:rsid w:val="0030539F"/>
    <w:rsid w:val="00305487"/>
    <w:rsid w:val="00305569"/>
    <w:rsid w:val="00305594"/>
    <w:rsid w:val="00305632"/>
    <w:rsid w:val="0030563C"/>
    <w:rsid w:val="003056FC"/>
    <w:rsid w:val="00305746"/>
    <w:rsid w:val="0030578E"/>
    <w:rsid w:val="0030579A"/>
    <w:rsid w:val="003057BB"/>
    <w:rsid w:val="003057DD"/>
    <w:rsid w:val="003057FC"/>
    <w:rsid w:val="0030582E"/>
    <w:rsid w:val="0030594A"/>
    <w:rsid w:val="0030595A"/>
    <w:rsid w:val="00305A65"/>
    <w:rsid w:val="00305B89"/>
    <w:rsid w:val="00305BAA"/>
    <w:rsid w:val="00305BE8"/>
    <w:rsid w:val="00305C05"/>
    <w:rsid w:val="00305E20"/>
    <w:rsid w:val="00305E5B"/>
    <w:rsid w:val="00305F09"/>
    <w:rsid w:val="00305F97"/>
    <w:rsid w:val="00305F9A"/>
    <w:rsid w:val="0030603A"/>
    <w:rsid w:val="00306095"/>
    <w:rsid w:val="0030618A"/>
    <w:rsid w:val="0030619F"/>
    <w:rsid w:val="0030621A"/>
    <w:rsid w:val="003062EF"/>
    <w:rsid w:val="00306307"/>
    <w:rsid w:val="00306347"/>
    <w:rsid w:val="00306395"/>
    <w:rsid w:val="003063DE"/>
    <w:rsid w:val="0030646F"/>
    <w:rsid w:val="00306482"/>
    <w:rsid w:val="003064E0"/>
    <w:rsid w:val="003065CD"/>
    <w:rsid w:val="0030671C"/>
    <w:rsid w:val="003067E8"/>
    <w:rsid w:val="0030682C"/>
    <w:rsid w:val="003068CA"/>
    <w:rsid w:val="003069C5"/>
    <w:rsid w:val="00306AFB"/>
    <w:rsid w:val="00306C1E"/>
    <w:rsid w:val="00306C1F"/>
    <w:rsid w:val="00306C7B"/>
    <w:rsid w:val="00306C9B"/>
    <w:rsid w:val="00306CB0"/>
    <w:rsid w:val="00306D54"/>
    <w:rsid w:val="00306D5F"/>
    <w:rsid w:val="00306E83"/>
    <w:rsid w:val="00306EA0"/>
    <w:rsid w:val="00306F0B"/>
    <w:rsid w:val="00306F77"/>
    <w:rsid w:val="00306FFD"/>
    <w:rsid w:val="003070CD"/>
    <w:rsid w:val="00307130"/>
    <w:rsid w:val="00307135"/>
    <w:rsid w:val="00307192"/>
    <w:rsid w:val="003071D9"/>
    <w:rsid w:val="00307208"/>
    <w:rsid w:val="0030728A"/>
    <w:rsid w:val="003072B4"/>
    <w:rsid w:val="00307335"/>
    <w:rsid w:val="00307447"/>
    <w:rsid w:val="0030749A"/>
    <w:rsid w:val="003074A7"/>
    <w:rsid w:val="003075D9"/>
    <w:rsid w:val="00307625"/>
    <w:rsid w:val="0030767C"/>
    <w:rsid w:val="00307782"/>
    <w:rsid w:val="0030778A"/>
    <w:rsid w:val="0030778F"/>
    <w:rsid w:val="003077D2"/>
    <w:rsid w:val="003077E2"/>
    <w:rsid w:val="00307849"/>
    <w:rsid w:val="003078F5"/>
    <w:rsid w:val="0030792C"/>
    <w:rsid w:val="00307966"/>
    <w:rsid w:val="00307986"/>
    <w:rsid w:val="003079AF"/>
    <w:rsid w:val="003079EF"/>
    <w:rsid w:val="00307A21"/>
    <w:rsid w:val="00307A55"/>
    <w:rsid w:val="00307A6D"/>
    <w:rsid w:val="00307A84"/>
    <w:rsid w:val="00307A92"/>
    <w:rsid w:val="00307AA1"/>
    <w:rsid w:val="00307ABC"/>
    <w:rsid w:val="00307AC9"/>
    <w:rsid w:val="00307B17"/>
    <w:rsid w:val="00307B1B"/>
    <w:rsid w:val="00307BC9"/>
    <w:rsid w:val="00307BCD"/>
    <w:rsid w:val="00307C23"/>
    <w:rsid w:val="00307CB8"/>
    <w:rsid w:val="00307CBA"/>
    <w:rsid w:val="00307D9D"/>
    <w:rsid w:val="00307DCC"/>
    <w:rsid w:val="00307DD5"/>
    <w:rsid w:val="00307E72"/>
    <w:rsid w:val="00307E82"/>
    <w:rsid w:val="00307EF7"/>
    <w:rsid w:val="00307F44"/>
    <w:rsid w:val="00307F73"/>
    <w:rsid w:val="00307F8B"/>
    <w:rsid w:val="00307FD8"/>
    <w:rsid w:val="0030E158"/>
    <w:rsid w:val="003100F1"/>
    <w:rsid w:val="0031014D"/>
    <w:rsid w:val="003101AF"/>
    <w:rsid w:val="003101E5"/>
    <w:rsid w:val="003101E8"/>
    <w:rsid w:val="00310307"/>
    <w:rsid w:val="0031034D"/>
    <w:rsid w:val="003103C9"/>
    <w:rsid w:val="003104B1"/>
    <w:rsid w:val="00310527"/>
    <w:rsid w:val="0031055F"/>
    <w:rsid w:val="003105A4"/>
    <w:rsid w:val="0031062C"/>
    <w:rsid w:val="00310664"/>
    <w:rsid w:val="003106B4"/>
    <w:rsid w:val="003107AC"/>
    <w:rsid w:val="003107BE"/>
    <w:rsid w:val="00310854"/>
    <w:rsid w:val="003109B9"/>
    <w:rsid w:val="003109D6"/>
    <w:rsid w:val="003109DE"/>
    <w:rsid w:val="00310AA2"/>
    <w:rsid w:val="00310ACA"/>
    <w:rsid w:val="00310C13"/>
    <w:rsid w:val="00310C69"/>
    <w:rsid w:val="00310CAB"/>
    <w:rsid w:val="00310D0D"/>
    <w:rsid w:val="00310D2F"/>
    <w:rsid w:val="00310D32"/>
    <w:rsid w:val="00310D66"/>
    <w:rsid w:val="00310D82"/>
    <w:rsid w:val="00310E0C"/>
    <w:rsid w:val="00310FA8"/>
    <w:rsid w:val="003110A1"/>
    <w:rsid w:val="003110A5"/>
    <w:rsid w:val="003110A9"/>
    <w:rsid w:val="003110C4"/>
    <w:rsid w:val="00311173"/>
    <w:rsid w:val="003111C0"/>
    <w:rsid w:val="003111D6"/>
    <w:rsid w:val="003113BC"/>
    <w:rsid w:val="00311496"/>
    <w:rsid w:val="003114EA"/>
    <w:rsid w:val="00311594"/>
    <w:rsid w:val="00311675"/>
    <w:rsid w:val="003116E9"/>
    <w:rsid w:val="00311726"/>
    <w:rsid w:val="00311809"/>
    <w:rsid w:val="0031194E"/>
    <w:rsid w:val="0031195B"/>
    <w:rsid w:val="00311972"/>
    <w:rsid w:val="00311A15"/>
    <w:rsid w:val="00311A2D"/>
    <w:rsid w:val="00311B12"/>
    <w:rsid w:val="00311B6B"/>
    <w:rsid w:val="00311CEB"/>
    <w:rsid w:val="00311D1A"/>
    <w:rsid w:val="00311DB1"/>
    <w:rsid w:val="00311E7D"/>
    <w:rsid w:val="00311EA3"/>
    <w:rsid w:val="00311F17"/>
    <w:rsid w:val="00311F35"/>
    <w:rsid w:val="003120EC"/>
    <w:rsid w:val="00312117"/>
    <w:rsid w:val="00312253"/>
    <w:rsid w:val="00312486"/>
    <w:rsid w:val="00312518"/>
    <w:rsid w:val="00312540"/>
    <w:rsid w:val="0031256E"/>
    <w:rsid w:val="00312617"/>
    <w:rsid w:val="00312716"/>
    <w:rsid w:val="00312764"/>
    <w:rsid w:val="0031276F"/>
    <w:rsid w:val="003127CE"/>
    <w:rsid w:val="00312888"/>
    <w:rsid w:val="00312928"/>
    <w:rsid w:val="00312942"/>
    <w:rsid w:val="00312964"/>
    <w:rsid w:val="00312984"/>
    <w:rsid w:val="00312C05"/>
    <w:rsid w:val="00312CCA"/>
    <w:rsid w:val="00312D2D"/>
    <w:rsid w:val="00312D7B"/>
    <w:rsid w:val="00312E61"/>
    <w:rsid w:val="00312EE4"/>
    <w:rsid w:val="00312F6F"/>
    <w:rsid w:val="00313044"/>
    <w:rsid w:val="00313098"/>
    <w:rsid w:val="0031315D"/>
    <w:rsid w:val="00313227"/>
    <w:rsid w:val="0031325A"/>
    <w:rsid w:val="0031337D"/>
    <w:rsid w:val="003133B2"/>
    <w:rsid w:val="0031347B"/>
    <w:rsid w:val="00313483"/>
    <w:rsid w:val="003134BE"/>
    <w:rsid w:val="0031359A"/>
    <w:rsid w:val="003135CA"/>
    <w:rsid w:val="0031360A"/>
    <w:rsid w:val="00313644"/>
    <w:rsid w:val="0031365E"/>
    <w:rsid w:val="003136F6"/>
    <w:rsid w:val="00313773"/>
    <w:rsid w:val="003137EF"/>
    <w:rsid w:val="00313808"/>
    <w:rsid w:val="003138BB"/>
    <w:rsid w:val="00313944"/>
    <w:rsid w:val="0031398F"/>
    <w:rsid w:val="003139C6"/>
    <w:rsid w:val="00313A15"/>
    <w:rsid w:val="00313A92"/>
    <w:rsid w:val="00313AB8"/>
    <w:rsid w:val="00313AE9"/>
    <w:rsid w:val="00313AF7"/>
    <w:rsid w:val="00313B24"/>
    <w:rsid w:val="00313B58"/>
    <w:rsid w:val="00313C2C"/>
    <w:rsid w:val="00313C93"/>
    <w:rsid w:val="00313D43"/>
    <w:rsid w:val="00313D9C"/>
    <w:rsid w:val="00313E1C"/>
    <w:rsid w:val="00313EBA"/>
    <w:rsid w:val="00313EBE"/>
    <w:rsid w:val="00313F2D"/>
    <w:rsid w:val="00314033"/>
    <w:rsid w:val="003140FB"/>
    <w:rsid w:val="00314190"/>
    <w:rsid w:val="0031421A"/>
    <w:rsid w:val="00314257"/>
    <w:rsid w:val="003142B3"/>
    <w:rsid w:val="00314357"/>
    <w:rsid w:val="00314398"/>
    <w:rsid w:val="003144DE"/>
    <w:rsid w:val="0031450F"/>
    <w:rsid w:val="003145B1"/>
    <w:rsid w:val="003145E7"/>
    <w:rsid w:val="00314659"/>
    <w:rsid w:val="00314693"/>
    <w:rsid w:val="003146C6"/>
    <w:rsid w:val="003146ED"/>
    <w:rsid w:val="003147F7"/>
    <w:rsid w:val="00314818"/>
    <w:rsid w:val="00314832"/>
    <w:rsid w:val="00314932"/>
    <w:rsid w:val="0031493C"/>
    <w:rsid w:val="00314B3D"/>
    <w:rsid w:val="00314B54"/>
    <w:rsid w:val="00314CB6"/>
    <w:rsid w:val="00314CEB"/>
    <w:rsid w:val="00314CF1"/>
    <w:rsid w:val="00314DA1"/>
    <w:rsid w:val="00314DDC"/>
    <w:rsid w:val="00314DF8"/>
    <w:rsid w:val="00314E9E"/>
    <w:rsid w:val="00314F8A"/>
    <w:rsid w:val="0031502C"/>
    <w:rsid w:val="00315093"/>
    <w:rsid w:val="00315158"/>
    <w:rsid w:val="003151E0"/>
    <w:rsid w:val="003151EE"/>
    <w:rsid w:val="003151EF"/>
    <w:rsid w:val="0031520C"/>
    <w:rsid w:val="0031520D"/>
    <w:rsid w:val="0031529D"/>
    <w:rsid w:val="003152BB"/>
    <w:rsid w:val="00315322"/>
    <w:rsid w:val="003153C3"/>
    <w:rsid w:val="003153FC"/>
    <w:rsid w:val="00315468"/>
    <w:rsid w:val="00315487"/>
    <w:rsid w:val="003155CC"/>
    <w:rsid w:val="003155F2"/>
    <w:rsid w:val="00315657"/>
    <w:rsid w:val="0031566E"/>
    <w:rsid w:val="003156B1"/>
    <w:rsid w:val="003156CD"/>
    <w:rsid w:val="00315746"/>
    <w:rsid w:val="003157D1"/>
    <w:rsid w:val="00315848"/>
    <w:rsid w:val="0031585E"/>
    <w:rsid w:val="0031587E"/>
    <w:rsid w:val="00315924"/>
    <w:rsid w:val="003159D4"/>
    <w:rsid w:val="003159D5"/>
    <w:rsid w:val="00315B17"/>
    <w:rsid w:val="00315BAE"/>
    <w:rsid w:val="00315BBB"/>
    <w:rsid w:val="00315C18"/>
    <w:rsid w:val="00315C5D"/>
    <w:rsid w:val="00315CC4"/>
    <w:rsid w:val="00315D6F"/>
    <w:rsid w:val="00315D8C"/>
    <w:rsid w:val="00315E70"/>
    <w:rsid w:val="00315E9D"/>
    <w:rsid w:val="00315EB5"/>
    <w:rsid w:val="00315F31"/>
    <w:rsid w:val="00315F35"/>
    <w:rsid w:val="00315F56"/>
    <w:rsid w:val="00315FA2"/>
    <w:rsid w:val="00316004"/>
    <w:rsid w:val="00316074"/>
    <w:rsid w:val="003160E3"/>
    <w:rsid w:val="00316152"/>
    <w:rsid w:val="003161AB"/>
    <w:rsid w:val="00316233"/>
    <w:rsid w:val="00316254"/>
    <w:rsid w:val="0031628B"/>
    <w:rsid w:val="003162D4"/>
    <w:rsid w:val="003162D6"/>
    <w:rsid w:val="0031654C"/>
    <w:rsid w:val="003166A2"/>
    <w:rsid w:val="00316784"/>
    <w:rsid w:val="0031687E"/>
    <w:rsid w:val="00316886"/>
    <w:rsid w:val="00316921"/>
    <w:rsid w:val="00316A34"/>
    <w:rsid w:val="00316A74"/>
    <w:rsid w:val="00316A7A"/>
    <w:rsid w:val="00316AB7"/>
    <w:rsid w:val="00316B63"/>
    <w:rsid w:val="00316BDF"/>
    <w:rsid w:val="00316C2E"/>
    <w:rsid w:val="00316C6A"/>
    <w:rsid w:val="00316CE9"/>
    <w:rsid w:val="00316D44"/>
    <w:rsid w:val="00316D47"/>
    <w:rsid w:val="00316DA4"/>
    <w:rsid w:val="00316E4E"/>
    <w:rsid w:val="00316EFB"/>
    <w:rsid w:val="00316F5B"/>
    <w:rsid w:val="00316F6A"/>
    <w:rsid w:val="003170C0"/>
    <w:rsid w:val="003170CD"/>
    <w:rsid w:val="00317103"/>
    <w:rsid w:val="003171ED"/>
    <w:rsid w:val="0031721F"/>
    <w:rsid w:val="0031731D"/>
    <w:rsid w:val="0031734A"/>
    <w:rsid w:val="003173CE"/>
    <w:rsid w:val="003173FE"/>
    <w:rsid w:val="0031759A"/>
    <w:rsid w:val="0031760B"/>
    <w:rsid w:val="00317700"/>
    <w:rsid w:val="00317768"/>
    <w:rsid w:val="003177B4"/>
    <w:rsid w:val="0031783D"/>
    <w:rsid w:val="00317895"/>
    <w:rsid w:val="003178D4"/>
    <w:rsid w:val="003178E6"/>
    <w:rsid w:val="00317965"/>
    <w:rsid w:val="0031798A"/>
    <w:rsid w:val="0031799B"/>
    <w:rsid w:val="003179BC"/>
    <w:rsid w:val="00317ACF"/>
    <w:rsid w:val="00317AE1"/>
    <w:rsid w:val="00317B24"/>
    <w:rsid w:val="00317B49"/>
    <w:rsid w:val="00317B55"/>
    <w:rsid w:val="00317BD5"/>
    <w:rsid w:val="00317C34"/>
    <w:rsid w:val="00317CEA"/>
    <w:rsid w:val="00317D75"/>
    <w:rsid w:val="00317D9D"/>
    <w:rsid w:val="00317E62"/>
    <w:rsid w:val="00317E65"/>
    <w:rsid w:val="00317E81"/>
    <w:rsid w:val="00317E89"/>
    <w:rsid w:val="00317EA9"/>
    <w:rsid w:val="00317FA7"/>
    <w:rsid w:val="00317FF0"/>
    <w:rsid w:val="0032006A"/>
    <w:rsid w:val="00320098"/>
    <w:rsid w:val="003200BD"/>
    <w:rsid w:val="003200EB"/>
    <w:rsid w:val="0032027B"/>
    <w:rsid w:val="003202AB"/>
    <w:rsid w:val="0032038F"/>
    <w:rsid w:val="003203B1"/>
    <w:rsid w:val="00320418"/>
    <w:rsid w:val="0032049D"/>
    <w:rsid w:val="0032053C"/>
    <w:rsid w:val="00320587"/>
    <w:rsid w:val="0032064E"/>
    <w:rsid w:val="003206FD"/>
    <w:rsid w:val="0032079C"/>
    <w:rsid w:val="00320846"/>
    <w:rsid w:val="00320932"/>
    <w:rsid w:val="0032094D"/>
    <w:rsid w:val="003209F1"/>
    <w:rsid w:val="00320A3C"/>
    <w:rsid w:val="00320A56"/>
    <w:rsid w:val="00320AAC"/>
    <w:rsid w:val="00320ACE"/>
    <w:rsid w:val="00320BBD"/>
    <w:rsid w:val="00320BF0"/>
    <w:rsid w:val="00320C2B"/>
    <w:rsid w:val="00320C8A"/>
    <w:rsid w:val="00320D97"/>
    <w:rsid w:val="00320DE1"/>
    <w:rsid w:val="00320E0E"/>
    <w:rsid w:val="00320E16"/>
    <w:rsid w:val="00320E40"/>
    <w:rsid w:val="00320ECA"/>
    <w:rsid w:val="00320EE0"/>
    <w:rsid w:val="00320F1B"/>
    <w:rsid w:val="00320FCC"/>
    <w:rsid w:val="00321102"/>
    <w:rsid w:val="003211A4"/>
    <w:rsid w:val="003211C7"/>
    <w:rsid w:val="00321243"/>
    <w:rsid w:val="0032128D"/>
    <w:rsid w:val="00321305"/>
    <w:rsid w:val="00321345"/>
    <w:rsid w:val="003214A5"/>
    <w:rsid w:val="003214B4"/>
    <w:rsid w:val="003214DF"/>
    <w:rsid w:val="0032154D"/>
    <w:rsid w:val="0032155F"/>
    <w:rsid w:val="003215A0"/>
    <w:rsid w:val="003215F3"/>
    <w:rsid w:val="00321690"/>
    <w:rsid w:val="003216E7"/>
    <w:rsid w:val="0032170E"/>
    <w:rsid w:val="003217A1"/>
    <w:rsid w:val="00321804"/>
    <w:rsid w:val="00321858"/>
    <w:rsid w:val="00321933"/>
    <w:rsid w:val="00321969"/>
    <w:rsid w:val="00321B75"/>
    <w:rsid w:val="00321BC5"/>
    <w:rsid w:val="00321C95"/>
    <w:rsid w:val="00321CA6"/>
    <w:rsid w:val="00321CEF"/>
    <w:rsid w:val="00321D0A"/>
    <w:rsid w:val="00321D53"/>
    <w:rsid w:val="00321DDE"/>
    <w:rsid w:val="00321E6B"/>
    <w:rsid w:val="00321F45"/>
    <w:rsid w:val="00322020"/>
    <w:rsid w:val="0032202F"/>
    <w:rsid w:val="00322030"/>
    <w:rsid w:val="00322038"/>
    <w:rsid w:val="00322065"/>
    <w:rsid w:val="00322080"/>
    <w:rsid w:val="003220DA"/>
    <w:rsid w:val="00322226"/>
    <w:rsid w:val="00322291"/>
    <w:rsid w:val="003222EF"/>
    <w:rsid w:val="00322306"/>
    <w:rsid w:val="0032239D"/>
    <w:rsid w:val="003224AF"/>
    <w:rsid w:val="003224C8"/>
    <w:rsid w:val="00322501"/>
    <w:rsid w:val="0032250A"/>
    <w:rsid w:val="0032253D"/>
    <w:rsid w:val="00322555"/>
    <w:rsid w:val="003225EF"/>
    <w:rsid w:val="0032261F"/>
    <w:rsid w:val="0032268A"/>
    <w:rsid w:val="003226C6"/>
    <w:rsid w:val="0032275C"/>
    <w:rsid w:val="0032275E"/>
    <w:rsid w:val="003228EE"/>
    <w:rsid w:val="00322926"/>
    <w:rsid w:val="0032296B"/>
    <w:rsid w:val="003229BA"/>
    <w:rsid w:val="003229BB"/>
    <w:rsid w:val="003229D4"/>
    <w:rsid w:val="00322A05"/>
    <w:rsid w:val="00322A2B"/>
    <w:rsid w:val="00322AB1"/>
    <w:rsid w:val="00322B8B"/>
    <w:rsid w:val="00322B99"/>
    <w:rsid w:val="00322C96"/>
    <w:rsid w:val="00322CDE"/>
    <w:rsid w:val="00322CEB"/>
    <w:rsid w:val="00322D29"/>
    <w:rsid w:val="00322D43"/>
    <w:rsid w:val="00322D7B"/>
    <w:rsid w:val="00322E40"/>
    <w:rsid w:val="00322E65"/>
    <w:rsid w:val="00322E91"/>
    <w:rsid w:val="00322F36"/>
    <w:rsid w:val="00322FD9"/>
    <w:rsid w:val="00322FE2"/>
    <w:rsid w:val="00323065"/>
    <w:rsid w:val="003230AA"/>
    <w:rsid w:val="003231B1"/>
    <w:rsid w:val="0032321E"/>
    <w:rsid w:val="00323290"/>
    <w:rsid w:val="00323295"/>
    <w:rsid w:val="003233A7"/>
    <w:rsid w:val="003233DB"/>
    <w:rsid w:val="00323411"/>
    <w:rsid w:val="0032342D"/>
    <w:rsid w:val="003234A2"/>
    <w:rsid w:val="00323540"/>
    <w:rsid w:val="00323578"/>
    <w:rsid w:val="003235A2"/>
    <w:rsid w:val="00323620"/>
    <w:rsid w:val="00323631"/>
    <w:rsid w:val="00323641"/>
    <w:rsid w:val="00323669"/>
    <w:rsid w:val="0032367C"/>
    <w:rsid w:val="00323686"/>
    <w:rsid w:val="00323730"/>
    <w:rsid w:val="003237DD"/>
    <w:rsid w:val="003238EF"/>
    <w:rsid w:val="003239E3"/>
    <w:rsid w:val="00323A0D"/>
    <w:rsid w:val="00323ACB"/>
    <w:rsid w:val="00323B01"/>
    <w:rsid w:val="00323BC1"/>
    <w:rsid w:val="00323C19"/>
    <w:rsid w:val="00323D1C"/>
    <w:rsid w:val="00323E02"/>
    <w:rsid w:val="00323E1C"/>
    <w:rsid w:val="00323EA2"/>
    <w:rsid w:val="00323FB9"/>
    <w:rsid w:val="00324035"/>
    <w:rsid w:val="003240E3"/>
    <w:rsid w:val="00324117"/>
    <w:rsid w:val="003241C3"/>
    <w:rsid w:val="003241F1"/>
    <w:rsid w:val="0032420D"/>
    <w:rsid w:val="0032428E"/>
    <w:rsid w:val="003242AA"/>
    <w:rsid w:val="0032436C"/>
    <w:rsid w:val="003244B3"/>
    <w:rsid w:val="0032456C"/>
    <w:rsid w:val="00324577"/>
    <w:rsid w:val="003246EC"/>
    <w:rsid w:val="0032470F"/>
    <w:rsid w:val="00324713"/>
    <w:rsid w:val="0032472B"/>
    <w:rsid w:val="003247FF"/>
    <w:rsid w:val="00324811"/>
    <w:rsid w:val="00324812"/>
    <w:rsid w:val="0032490F"/>
    <w:rsid w:val="0032491E"/>
    <w:rsid w:val="00324968"/>
    <w:rsid w:val="003249BA"/>
    <w:rsid w:val="003249F1"/>
    <w:rsid w:val="00324A52"/>
    <w:rsid w:val="00324A5B"/>
    <w:rsid w:val="00324B08"/>
    <w:rsid w:val="00324B53"/>
    <w:rsid w:val="00324B91"/>
    <w:rsid w:val="00324BAF"/>
    <w:rsid w:val="00324BBA"/>
    <w:rsid w:val="00324BCE"/>
    <w:rsid w:val="00324C4B"/>
    <w:rsid w:val="00324C7B"/>
    <w:rsid w:val="00324CAF"/>
    <w:rsid w:val="00324DB5"/>
    <w:rsid w:val="00324DEB"/>
    <w:rsid w:val="00324E29"/>
    <w:rsid w:val="00324EAA"/>
    <w:rsid w:val="00324EDF"/>
    <w:rsid w:val="00324F48"/>
    <w:rsid w:val="00324F68"/>
    <w:rsid w:val="00324F8D"/>
    <w:rsid w:val="00324F97"/>
    <w:rsid w:val="003250AF"/>
    <w:rsid w:val="0032511C"/>
    <w:rsid w:val="0032514D"/>
    <w:rsid w:val="003251B0"/>
    <w:rsid w:val="003251C4"/>
    <w:rsid w:val="003251DA"/>
    <w:rsid w:val="00325220"/>
    <w:rsid w:val="0032527C"/>
    <w:rsid w:val="0032537B"/>
    <w:rsid w:val="003253BB"/>
    <w:rsid w:val="00325411"/>
    <w:rsid w:val="0032545D"/>
    <w:rsid w:val="00325486"/>
    <w:rsid w:val="00325495"/>
    <w:rsid w:val="003254C7"/>
    <w:rsid w:val="00325521"/>
    <w:rsid w:val="0032555B"/>
    <w:rsid w:val="00325574"/>
    <w:rsid w:val="003255AA"/>
    <w:rsid w:val="00325637"/>
    <w:rsid w:val="003256EC"/>
    <w:rsid w:val="0032573D"/>
    <w:rsid w:val="003257EB"/>
    <w:rsid w:val="003258AC"/>
    <w:rsid w:val="0032596C"/>
    <w:rsid w:val="0032599A"/>
    <w:rsid w:val="00325ADB"/>
    <w:rsid w:val="00325BF1"/>
    <w:rsid w:val="00325CCE"/>
    <w:rsid w:val="00325DF5"/>
    <w:rsid w:val="00325EBB"/>
    <w:rsid w:val="00325EC4"/>
    <w:rsid w:val="00325FA3"/>
    <w:rsid w:val="00326106"/>
    <w:rsid w:val="00326172"/>
    <w:rsid w:val="003261B3"/>
    <w:rsid w:val="003261E3"/>
    <w:rsid w:val="00326242"/>
    <w:rsid w:val="00326319"/>
    <w:rsid w:val="0032631E"/>
    <w:rsid w:val="0032635A"/>
    <w:rsid w:val="003263F6"/>
    <w:rsid w:val="0032641A"/>
    <w:rsid w:val="003264BE"/>
    <w:rsid w:val="003264E0"/>
    <w:rsid w:val="00326539"/>
    <w:rsid w:val="0032659B"/>
    <w:rsid w:val="00326649"/>
    <w:rsid w:val="0032668D"/>
    <w:rsid w:val="003266C0"/>
    <w:rsid w:val="003266D5"/>
    <w:rsid w:val="0032682D"/>
    <w:rsid w:val="00326894"/>
    <w:rsid w:val="003268F6"/>
    <w:rsid w:val="0032696D"/>
    <w:rsid w:val="00326A49"/>
    <w:rsid w:val="00326A85"/>
    <w:rsid w:val="00326AA6"/>
    <w:rsid w:val="00326BC1"/>
    <w:rsid w:val="00326C64"/>
    <w:rsid w:val="00326D38"/>
    <w:rsid w:val="00326D94"/>
    <w:rsid w:val="00326E30"/>
    <w:rsid w:val="00326E9E"/>
    <w:rsid w:val="00326EBD"/>
    <w:rsid w:val="00326EDE"/>
    <w:rsid w:val="00326EE0"/>
    <w:rsid w:val="00326EEC"/>
    <w:rsid w:val="00326EF9"/>
    <w:rsid w:val="00326F72"/>
    <w:rsid w:val="00326FA4"/>
    <w:rsid w:val="00327003"/>
    <w:rsid w:val="00327020"/>
    <w:rsid w:val="003270FB"/>
    <w:rsid w:val="00327323"/>
    <w:rsid w:val="0032736E"/>
    <w:rsid w:val="00327373"/>
    <w:rsid w:val="0032738C"/>
    <w:rsid w:val="00327397"/>
    <w:rsid w:val="00327404"/>
    <w:rsid w:val="00327447"/>
    <w:rsid w:val="00327467"/>
    <w:rsid w:val="003275EF"/>
    <w:rsid w:val="003276D8"/>
    <w:rsid w:val="003277BF"/>
    <w:rsid w:val="003277F7"/>
    <w:rsid w:val="00327898"/>
    <w:rsid w:val="003278B0"/>
    <w:rsid w:val="00327995"/>
    <w:rsid w:val="00327997"/>
    <w:rsid w:val="003279CB"/>
    <w:rsid w:val="00327A6A"/>
    <w:rsid w:val="00327AC5"/>
    <w:rsid w:val="00327B33"/>
    <w:rsid w:val="00327BA1"/>
    <w:rsid w:val="00327BD1"/>
    <w:rsid w:val="00327C06"/>
    <w:rsid w:val="00327C46"/>
    <w:rsid w:val="00327CC9"/>
    <w:rsid w:val="00327D05"/>
    <w:rsid w:val="00327DF3"/>
    <w:rsid w:val="00327E14"/>
    <w:rsid w:val="00327EE0"/>
    <w:rsid w:val="00327F05"/>
    <w:rsid w:val="00327FCE"/>
    <w:rsid w:val="00327FFD"/>
    <w:rsid w:val="0032EEE6"/>
    <w:rsid w:val="00330012"/>
    <w:rsid w:val="003300C1"/>
    <w:rsid w:val="003300D5"/>
    <w:rsid w:val="0033011E"/>
    <w:rsid w:val="003301EE"/>
    <w:rsid w:val="003301FC"/>
    <w:rsid w:val="00330307"/>
    <w:rsid w:val="003303F5"/>
    <w:rsid w:val="00330422"/>
    <w:rsid w:val="00330452"/>
    <w:rsid w:val="003304DC"/>
    <w:rsid w:val="00330534"/>
    <w:rsid w:val="00330598"/>
    <w:rsid w:val="0033063A"/>
    <w:rsid w:val="00330747"/>
    <w:rsid w:val="0033075B"/>
    <w:rsid w:val="00330817"/>
    <w:rsid w:val="0033081C"/>
    <w:rsid w:val="003308D7"/>
    <w:rsid w:val="00330952"/>
    <w:rsid w:val="00330965"/>
    <w:rsid w:val="0033098F"/>
    <w:rsid w:val="003309A6"/>
    <w:rsid w:val="003309B7"/>
    <w:rsid w:val="00330A17"/>
    <w:rsid w:val="00330B13"/>
    <w:rsid w:val="00330B20"/>
    <w:rsid w:val="00330B34"/>
    <w:rsid w:val="00330B63"/>
    <w:rsid w:val="00330B86"/>
    <w:rsid w:val="00330BAD"/>
    <w:rsid w:val="00330CD6"/>
    <w:rsid w:val="00330E13"/>
    <w:rsid w:val="00330EB7"/>
    <w:rsid w:val="00330FD4"/>
    <w:rsid w:val="0033108C"/>
    <w:rsid w:val="00331139"/>
    <w:rsid w:val="003311EB"/>
    <w:rsid w:val="00331207"/>
    <w:rsid w:val="003312C0"/>
    <w:rsid w:val="003312CF"/>
    <w:rsid w:val="00331345"/>
    <w:rsid w:val="00331525"/>
    <w:rsid w:val="0033154C"/>
    <w:rsid w:val="003315BB"/>
    <w:rsid w:val="0033164B"/>
    <w:rsid w:val="0033168E"/>
    <w:rsid w:val="0033169D"/>
    <w:rsid w:val="003316BC"/>
    <w:rsid w:val="003317A7"/>
    <w:rsid w:val="00331816"/>
    <w:rsid w:val="0033181D"/>
    <w:rsid w:val="00331820"/>
    <w:rsid w:val="00331839"/>
    <w:rsid w:val="003318A4"/>
    <w:rsid w:val="00331940"/>
    <w:rsid w:val="00331946"/>
    <w:rsid w:val="00331A23"/>
    <w:rsid w:val="00331B5D"/>
    <w:rsid w:val="00331BBF"/>
    <w:rsid w:val="00331C09"/>
    <w:rsid w:val="00331C89"/>
    <w:rsid w:val="00331D45"/>
    <w:rsid w:val="00331D62"/>
    <w:rsid w:val="00331D81"/>
    <w:rsid w:val="00331D9D"/>
    <w:rsid w:val="00331E3D"/>
    <w:rsid w:val="00331E94"/>
    <w:rsid w:val="00331F12"/>
    <w:rsid w:val="00331F19"/>
    <w:rsid w:val="00331F40"/>
    <w:rsid w:val="00331FD4"/>
    <w:rsid w:val="00332065"/>
    <w:rsid w:val="0033217D"/>
    <w:rsid w:val="00332224"/>
    <w:rsid w:val="00332232"/>
    <w:rsid w:val="00332266"/>
    <w:rsid w:val="00332304"/>
    <w:rsid w:val="00332305"/>
    <w:rsid w:val="00332320"/>
    <w:rsid w:val="00332399"/>
    <w:rsid w:val="003323E2"/>
    <w:rsid w:val="003324AB"/>
    <w:rsid w:val="003324F1"/>
    <w:rsid w:val="003324FE"/>
    <w:rsid w:val="003325F3"/>
    <w:rsid w:val="0033265F"/>
    <w:rsid w:val="00332663"/>
    <w:rsid w:val="00332930"/>
    <w:rsid w:val="00332B0C"/>
    <w:rsid w:val="00332B9E"/>
    <w:rsid w:val="00332BD5"/>
    <w:rsid w:val="00332CA2"/>
    <w:rsid w:val="00332D32"/>
    <w:rsid w:val="00332DD7"/>
    <w:rsid w:val="00332EC2"/>
    <w:rsid w:val="00332F22"/>
    <w:rsid w:val="00332F73"/>
    <w:rsid w:val="00332FA8"/>
    <w:rsid w:val="003330BD"/>
    <w:rsid w:val="00333179"/>
    <w:rsid w:val="00333251"/>
    <w:rsid w:val="00333393"/>
    <w:rsid w:val="00333396"/>
    <w:rsid w:val="003333AC"/>
    <w:rsid w:val="003333C7"/>
    <w:rsid w:val="003334E1"/>
    <w:rsid w:val="003334EF"/>
    <w:rsid w:val="0033355A"/>
    <w:rsid w:val="0033355C"/>
    <w:rsid w:val="003335A9"/>
    <w:rsid w:val="003335AD"/>
    <w:rsid w:val="003335B2"/>
    <w:rsid w:val="003335C1"/>
    <w:rsid w:val="003335E5"/>
    <w:rsid w:val="0033363C"/>
    <w:rsid w:val="0033365A"/>
    <w:rsid w:val="003336E5"/>
    <w:rsid w:val="00333759"/>
    <w:rsid w:val="00333775"/>
    <w:rsid w:val="00333804"/>
    <w:rsid w:val="0033382A"/>
    <w:rsid w:val="003338F0"/>
    <w:rsid w:val="003339C6"/>
    <w:rsid w:val="00333A74"/>
    <w:rsid w:val="00333A81"/>
    <w:rsid w:val="00333B76"/>
    <w:rsid w:val="00333C3E"/>
    <w:rsid w:val="00333C6C"/>
    <w:rsid w:val="00333FA0"/>
    <w:rsid w:val="00333FCE"/>
    <w:rsid w:val="00334001"/>
    <w:rsid w:val="003340DC"/>
    <w:rsid w:val="00334196"/>
    <w:rsid w:val="003341C4"/>
    <w:rsid w:val="00334204"/>
    <w:rsid w:val="00334207"/>
    <w:rsid w:val="00334223"/>
    <w:rsid w:val="00334244"/>
    <w:rsid w:val="003342CF"/>
    <w:rsid w:val="00334382"/>
    <w:rsid w:val="003343CB"/>
    <w:rsid w:val="003343E1"/>
    <w:rsid w:val="003344DE"/>
    <w:rsid w:val="003345D4"/>
    <w:rsid w:val="003346A7"/>
    <w:rsid w:val="00334748"/>
    <w:rsid w:val="00334770"/>
    <w:rsid w:val="003347BB"/>
    <w:rsid w:val="003347BF"/>
    <w:rsid w:val="003347D4"/>
    <w:rsid w:val="00334809"/>
    <w:rsid w:val="00334839"/>
    <w:rsid w:val="0033484B"/>
    <w:rsid w:val="00334902"/>
    <w:rsid w:val="00334913"/>
    <w:rsid w:val="003349DB"/>
    <w:rsid w:val="003349DF"/>
    <w:rsid w:val="00334A2A"/>
    <w:rsid w:val="00334A6A"/>
    <w:rsid w:val="00334A77"/>
    <w:rsid w:val="00334A83"/>
    <w:rsid w:val="00334ABC"/>
    <w:rsid w:val="00334B2A"/>
    <w:rsid w:val="00334B9B"/>
    <w:rsid w:val="00334CAC"/>
    <w:rsid w:val="00334D16"/>
    <w:rsid w:val="00334D3B"/>
    <w:rsid w:val="00334D6C"/>
    <w:rsid w:val="00334D8C"/>
    <w:rsid w:val="00334EA1"/>
    <w:rsid w:val="00334F3C"/>
    <w:rsid w:val="0033503A"/>
    <w:rsid w:val="00335095"/>
    <w:rsid w:val="00335109"/>
    <w:rsid w:val="00335127"/>
    <w:rsid w:val="003351BA"/>
    <w:rsid w:val="003351D5"/>
    <w:rsid w:val="00335247"/>
    <w:rsid w:val="00335356"/>
    <w:rsid w:val="0033535B"/>
    <w:rsid w:val="0033537B"/>
    <w:rsid w:val="003353B6"/>
    <w:rsid w:val="003353B9"/>
    <w:rsid w:val="00335499"/>
    <w:rsid w:val="003354DC"/>
    <w:rsid w:val="00335504"/>
    <w:rsid w:val="0033554E"/>
    <w:rsid w:val="003355D2"/>
    <w:rsid w:val="00335617"/>
    <w:rsid w:val="00335654"/>
    <w:rsid w:val="00335738"/>
    <w:rsid w:val="003357AD"/>
    <w:rsid w:val="003358EA"/>
    <w:rsid w:val="0033596A"/>
    <w:rsid w:val="003359C5"/>
    <w:rsid w:val="00335A81"/>
    <w:rsid w:val="00335AC4"/>
    <w:rsid w:val="00335AF8"/>
    <w:rsid w:val="00335B4D"/>
    <w:rsid w:val="00335B83"/>
    <w:rsid w:val="00335C90"/>
    <w:rsid w:val="00335D5B"/>
    <w:rsid w:val="00335DEF"/>
    <w:rsid w:val="00335E0B"/>
    <w:rsid w:val="00335E9F"/>
    <w:rsid w:val="00335EF9"/>
    <w:rsid w:val="00335FED"/>
    <w:rsid w:val="00335FF7"/>
    <w:rsid w:val="0033622E"/>
    <w:rsid w:val="00336377"/>
    <w:rsid w:val="003363AF"/>
    <w:rsid w:val="003363DE"/>
    <w:rsid w:val="00336414"/>
    <w:rsid w:val="00336455"/>
    <w:rsid w:val="003364C0"/>
    <w:rsid w:val="0033651F"/>
    <w:rsid w:val="00336565"/>
    <w:rsid w:val="00336591"/>
    <w:rsid w:val="0033665C"/>
    <w:rsid w:val="00336743"/>
    <w:rsid w:val="00336799"/>
    <w:rsid w:val="00336867"/>
    <w:rsid w:val="003368D6"/>
    <w:rsid w:val="0033690C"/>
    <w:rsid w:val="0033694D"/>
    <w:rsid w:val="00336AE9"/>
    <w:rsid w:val="00336B3F"/>
    <w:rsid w:val="00336B9A"/>
    <w:rsid w:val="00336BC1"/>
    <w:rsid w:val="00336C06"/>
    <w:rsid w:val="00336CC7"/>
    <w:rsid w:val="00336E26"/>
    <w:rsid w:val="00336EF8"/>
    <w:rsid w:val="00336EFA"/>
    <w:rsid w:val="00336F1B"/>
    <w:rsid w:val="00336F36"/>
    <w:rsid w:val="0033700B"/>
    <w:rsid w:val="003370EC"/>
    <w:rsid w:val="0033719F"/>
    <w:rsid w:val="003371C0"/>
    <w:rsid w:val="003371CE"/>
    <w:rsid w:val="00337205"/>
    <w:rsid w:val="00337282"/>
    <w:rsid w:val="003374EA"/>
    <w:rsid w:val="00337641"/>
    <w:rsid w:val="00337655"/>
    <w:rsid w:val="00337677"/>
    <w:rsid w:val="003376A9"/>
    <w:rsid w:val="003376F9"/>
    <w:rsid w:val="00337709"/>
    <w:rsid w:val="0033775D"/>
    <w:rsid w:val="00337785"/>
    <w:rsid w:val="00337852"/>
    <w:rsid w:val="00337999"/>
    <w:rsid w:val="00337A4B"/>
    <w:rsid w:val="00337AC8"/>
    <w:rsid w:val="00337AE8"/>
    <w:rsid w:val="00337AED"/>
    <w:rsid w:val="00337B0D"/>
    <w:rsid w:val="00337BA4"/>
    <w:rsid w:val="00337BC4"/>
    <w:rsid w:val="00337C2A"/>
    <w:rsid w:val="00337C43"/>
    <w:rsid w:val="00337CB8"/>
    <w:rsid w:val="00337D6E"/>
    <w:rsid w:val="00337F4C"/>
    <w:rsid w:val="00337F61"/>
    <w:rsid w:val="00337F79"/>
    <w:rsid w:val="00340056"/>
    <w:rsid w:val="003400C1"/>
    <w:rsid w:val="003400FD"/>
    <w:rsid w:val="00340123"/>
    <w:rsid w:val="0034014C"/>
    <w:rsid w:val="003401B9"/>
    <w:rsid w:val="00340212"/>
    <w:rsid w:val="003402C0"/>
    <w:rsid w:val="003402EA"/>
    <w:rsid w:val="0034030B"/>
    <w:rsid w:val="00340338"/>
    <w:rsid w:val="00340342"/>
    <w:rsid w:val="003403A7"/>
    <w:rsid w:val="003403B4"/>
    <w:rsid w:val="00340436"/>
    <w:rsid w:val="00340453"/>
    <w:rsid w:val="00340491"/>
    <w:rsid w:val="003405F2"/>
    <w:rsid w:val="00340788"/>
    <w:rsid w:val="003407BB"/>
    <w:rsid w:val="0034084C"/>
    <w:rsid w:val="0034085F"/>
    <w:rsid w:val="003408C7"/>
    <w:rsid w:val="003409D9"/>
    <w:rsid w:val="00340A05"/>
    <w:rsid w:val="00340A2A"/>
    <w:rsid w:val="00340AA3"/>
    <w:rsid w:val="00340ACF"/>
    <w:rsid w:val="00340C7F"/>
    <w:rsid w:val="00340D1C"/>
    <w:rsid w:val="00340D66"/>
    <w:rsid w:val="00340D75"/>
    <w:rsid w:val="00340DA3"/>
    <w:rsid w:val="00340DB0"/>
    <w:rsid w:val="00340DB2"/>
    <w:rsid w:val="00340DE6"/>
    <w:rsid w:val="00340E39"/>
    <w:rsid w:val="00340E52"/>
    <w:rsid w:val="00340EC6"/>
    <w:rsid w:val="00340F3B"/>
    <w:rsid w:val="00340F4E"/>
    <w:rsid w:val="00340F4F"/>
    <w:rsid w:val="00340FEF"/>
    <w:rsid w:val="00341012"/>
    <w:rsid w:val="00341191"/>
    <w:rsid w:val="003411E9"/>
    <w:rsid w:val="00341289"/>
    <w:rsid w:val="00341296"/>
    <w:rsid w:val="003412BB"/>
    <w:rsid w:val="003413DD"/>
    <w:rsid w:val="00341408"/>
    <w:rsid w:val="00341464"/>
    <w:rsid w:val="00341467"/>
    <w:rsid w:val="003414AF"/>
    <w:rsid w:val="00341621"/>
    <w:rsid w:val="00341666"/>
    <w:rsid w:val="0034169C"/>
    <w:rsid w:val="003416ED"/>
    <w:rsid w:val="00341720"/>
    <w:rsid w:val="00341737"/>
    <w:rsid w:val="003417ED"/>
    <w:rsid w:val="00341836"/>
    <w:rsid w:val="00341909"/>
    <w:rsid w:val="0034194F"/>
    <w:rsid w:val="00341A41"/>
    <w:rsid w:val="00341B2D"/>
    <w:rsid w:val="00341B3E"/>
    <w:rsid w:val="00341B66"/>
    <w:rsid w:val="00341BFB"/>
    <w:rsid w:val="00341C29"/>
    <w:rsid w:val="00341D64"/>
    <w:rsid w:val="00341DFD"/>
    <w:rsid w:val="00341EAB"/>
    <w:rsid w:val="00341EE1"/>
    <w:rsid w:val="00341FE5"/>
    <w:rsid w:val="0034201E"/>
    <w:rsid w:val="00342075"/>
    <w:rsid w:val="0034209D"/>
    <w:rsid w:val="003420C6"/>
    <w:rsid w:val="003420C8"/>
    <w:rsid w:val="0034217D"/>
    <w:rsid w:val="00342187"/>
    <w:rsid w:val="0034225D"/>
    <w:rsid w:val="00342261"/>
    <w:rsid w:val="0034228B"/>
    <w:rsid w:val="003422AE"/>
    <w:rsid w:val="00342378"/>
    <w:rsid w:val="0034245E"/>
    <w:rsid w:val="003424FF"/>
    <w:rsid w:val="00342533"/>
    <w:rsid w:val="00342551"/>
    <w:rsid w:val="00342566"/>
    <w:rsid w:val="0034262A"/>
    <w:rsid w:val="00342644"/>
    <w:rsid w:val="00342661"/>
    <w:rsid w:val="00342689"/>
    <w:rsid w:val="00342696"/>
    <w:rsid w:val="003426B0"/>
    <w:rsid w:val="003426EE"/>
    <w:rsid w:val="00342879"/>
    <w:rsid w:val="00342880"/>
    <w:rsid w:val="003428DD"/>
    <w:rsid w:val="00342968"/>
    <w:rsid w:val="003429D4"/>
    <w:rsid w:val="00342A2E"/>
    <w:rsid w:val="00342A30"/>
    <w:rsid w:val="00342A89"/>
    <w:rsid w:val="00342B43"/>
    <w:rsid w:val="00342BAC"/>
    <w:rsid w:val="00342BD5"/>
    <w:rsid w:val="00342C52"/>
    <w:rsid w:val="00342CBD"/>
    <w:rsid w:val="00342D81"/>
    <w:rsid w:val="00342DED"/>
    <w:rsid w:val="00342E9E"/>
    <w:rsid w:val="00342ECC"/>
    <w:rsid w:val="00342F8B"/>
    <w:rsid w:val="00342FED"/>
    <w:rsid w:val="00342FFB"/>
    <w:rsid w:val="003430E3"/>
    <w:rsid w:val="0034312B"/>
    <w:rsid w:val="00343304"/>
    <w:rsid w:val="003433C9"/>
    <w:rsid w:val="003433D2"/>
    <w:rsid w:val="003434B2"/>
    <w:rsid w:val="00343653"/>
    <w:rsid w:val="0034365E"/>
    <w:rsid w:val="0034367B"/>
    <w:rsid w:val="0034367D"/>
    <w:rsid w:val="003436A9"/>
    <w:rsid w:val="00343873"/>
    <w:rsid w:val="00343912"/>
    <w:rsid w:val="0034395B"/>
    <w:rsid w:val="003439C0"/>
    <w:rsid w:val="003439C7"/>
    <w:rsid w:val="00343A1B"/>
    <w:rsid w:val="00343A26"/>
    <w:rsid w:val="00343ACB"/>
    <w:rsid w:val="00343BEA"/>
    <w:rsid w:val="00343C78"/>
    <w:rsid w:val="00343D19"/>
    <w:rsid w:val="00343D55"/>
    <w:rsid w:val="00343E76"/>
    <w:rsid w:val="00343FBD"/>
    <w:rsid w:val="00343FD5"/>
    <w:rsid w:val="00344044"/>
    <w:rsid w:val="00344114"/>
    <w:rsid w:val="0034416A"/>
    <w:rsid w:val="0034429F"/>
    <w:rsid w:val="00344313"/>
    <w:rsid w:val="00344316"/>
    <w:rsid w:val="0034433C"/>
    <w:rsid w:val="00344359"/>
    <w:rsid w:val="00344374"/>
    <w:rsid w:val="003443ED"/>
    <w:rsid w:val="00344414"/>
    <w:rsid w:val="003444C8"/>
    <w:rsid w:val="003444E7"/>
    <w:rsid w:val="0034455A"/>
    <w:rsid w:val="003445E7"/>
    <w:rsid w:val="00344619"/>
    <w:rsid w:val="00344669"/>
    <w:rsid w:val="003447AA"/>
    <w:rsid w:val="003447BD"/>
    <w:rsid w:val="003447FB"/>
    <w:rsid w:val="00344874"/>
    <w:rsid w:val="0034490B"/>
    <w:rsid w:val="00344924"/>
    <w:rsid w:val="003449DE"/>
    <w:rsid w:val="00344A7E"/>
    <w:rsid w:val="00344B96"/>
    <w:rsid w:val="00344C6F"/>
    <w:rsid w:val="00344C73"/>
    <w:rsid w:val="00344C8A"/>
    <w:rsid w:val="00344CBF"/>
    <w:rsid w:val="00344CC1"/>
    <w:rsid w:val="00344D04"/>
    <w:rsid w:val="00344E13"/>
    <w:rsid w:val="00344E37"/>
    <w:rsid w:val="00344F5D"/>
    <w:rsid w:val="00344F7A"/>
    <w:rsid w:val="00344F7B"/>
    <w:rsid w:val="00345003"/>
    <w:rsid w:val="0034509C"/>
    <w:rsid w:val="00345113"/>
    <w:rsid w:val="0034514C"/>
    <w:rsid w:val="003451EE"/>
    <w:rsid w:val="0034520C"/>
    <w:rsid w:val="003452C1"/>
    <w:rsid w:val="003452D4"/>
    <w:rsid w:val="003452F1"/>
    <w:rsid w:val="003452F8"/>
    <w:rsid w:val="00345322"/>
    <w:rsid w:val="00345377"/>
    <w:rsid w:val="00345387"/>
    <w:rsid w:val="00345388"/>
    <w:rsid w:val="00345409"/>
    <w:rsid w:val="0034543F"/>
    <w:rsid w:val="003455C0"/>
    <w:rsid w:val="003455CE"/>
    <w:rsid w:val="003455E0"/>
    <w:rsid w:val="003455E8"/>
    <w:rsid w:val="0034571A"/>
    <w:rsid w:val="00345775"/>
    <w:rsid w:val="00345818"/>
    <w:rsid w:val="0034581F"/>
    <w:rsid w:val="003458D9"/>
    <w:rsid w:val="00345900"/>
    <w:rsid w:val="00345958"/>
    <w:rsid w:val="003459D3"/>
    <w:rsid w:val="00345A13"/>
    <w:rsid w:val="00345A40"/>
    <w:rsid w:val="00345ACD"/>
    <w:rsid w:val="00345AE5"/>
    <w:rsid w:val="00345B7E"/>
    <w:rsid w:val="00345BFB"/>
    <w:rsid w:val="00345C87"/>
    <w:rsid w:val="00345E39"/>
    <w:rsid w:val="00345E3A"/>
    <w:rsid w:val="00345ED2"/>
    <w:rsid w:val="00345F5B"/>
    <w:rsid w:val="00345F81"/>
    <w:rsid w:val="00345FCE"/>
    <w:rsid w:val="00346044"/>
    <w:rsid w:val="00346103"/>
    <w:rsid w:val="0034613A"/>
    <w:rsid w:val="0034613C"/>
    <w:rsid w:val="0034617F"/>
    <w:rsid w:val="0034629F"/>
    <w:rsid w:val="003462A4"/>
    <w:rsid w:val="00346342"/>
    <w:rsid w:val="00346393"/>
    <w:rsid w:val="003464FD"/>
    <w:rsid w:val="00346576"/>
    <w:rsid w:val="00346581"/>
    <w:rsid w:val="00346660"/>
    <w:rsid w:val="00346671"/>
    <w:rsid w:val="003466C7"/>
    <w:rsid w:val="0034679C"/>
    <w:rsid w:val="00346805"/>
    <w:rsid w:val="003468C1"/>
    <w:rsid w:val="003469E1"/>
    <w:rsid w:val="00346B91"/>
    <w:rsid w:val="00346C08"/>
    <w:rsid w:val="00346C1D"/>
    <w:rsid w:val="00346C37"/>
    <w:rsid w:val="00346C78"/>
    <w:rsid w:val="00346CBB"/>
    <w:rsid w:val="00346D73"/>
    <w:rsid w:val="00346EA7"/>
    <w:rsid w:val="00346F64"/>
    <w:rsid w:val="00346FD8"/>
    <w:rsid w:val="0034704E"/>
    <w:rsid w:val="003470AB"/>
    <w:rsid w:val="0034717F"/>
    <w:rsid w:val="00347201"/>
    <w:rsid w:val="00347225"/>
    <w:rsid w:val="003472F1"/>
    <w:rsid w:val="00347332"/>
    <w:rsid w:val="00347377"/>
    <w:rsid w:val="00347391"/>
    <w:rsid w:val="0034750C"/>
    <w:rsid w:val="003476C0"/>
    <w:rsid w:val="0034776A"/>
    <w:rsid w:val="0034776C"/>
    <w:rsid w:val="00347886"/>
    <w:rsid w:val="003478BF"/>
    <w:rsid w:val="003478ED"/>
    <w:rsid w:val="003478EF"/>
    <w:rsid w:val="003479DF"/>
    <w:rsid w:val="003479E1"/>
    <w:rsid w:val="00347B33"/>
    <w:rsid w:val="00347B86"/>
    <w:rsid w:val="00347BD4"/>
    <w:rsid w:val="00347BF8"/>
    <w:rsid w:val="00347DE3"/>
    <w:rsid w:val="00347E1F"/>
    <w:rsid w:val="00347E74"/>
    <w:rsid w:val="00347F88"/>
    <w:rsid w:val="00347FC7"/>
    <w:rsid w:val="00347FF0"/>
    <w:rsid w:val="00350136"/>
    <w:rsid w:val="003501D7"/>
    <w:rsid w:val="00350248"/>
    <w:rsid w:val="00350266"/>
    <w:rsid w:val="003502B6"/>
    <w:rsid w:val="00350301"/>
    <w:rsid w:val="003503D0"/>
    <w:rsid w:val="003503F7"/>
    <w:rsid w:val="003503FC"/>
    <w:rsid w:val="003504AA"/>
    <w:rsid w:val="003504CB"/>
    <w:rsid w:val="003504FD"/>
    <w:rsid w:val="00350547"/>
    <w:rsid w:val="00350578"/>
    <w:rsid w:val="00350732"/>
    <w:rsid w:val="0035075C"/>
    <w:rsid w:val="00350767"/>
    <w:rsid w:val="00350774"/>
    <w:rsid w:val="0035079F"/>
    <w:rsid w:val="003507A0"/>
    <w:rsid w:val="00350AA0"/>
    <w:rsid w:val="00350AD3"/>
    <w:rsid w:val="00350BA8"/>
    <w:rsid w:val="00350C12"/>
    <w:rsid w:val="00350C60"/>
    <w:rsid w:val="00350C70"/>
    <w:rsid w:val="00350C75"/>
    <w:rsid w:val="00350CA3"/>
    <w:rsid w:val="00350D23"/>
    <w:rsid w:val="00350D35"/>
    <w:rsid w:val="00350D7F"/>
    <w:rsid w:val="00350EB6"/>
    <w:rsid w:val="00350EBC"/>
    <w:rsid w:val="00350F36"/>
    <w:rsid w:val="00350FE9"/>
    <w:rsid w:val="00350FF6"/>
    <w:rsid w:val="0035116C"/>
    <w:rsid w:val="00351276"/>
    <w:rsid w:val="003512AB"/>
    <w:rsid w:val="003512F1"/>
    <w:rsid w:val="003514FE"/>
    <w:rsid w:val="00351502"/>
    <w:rsid w:val="003515A2"/>
    <w:rsid w:val="00351642"/>
    <w:rsid w:val="0035164F"/>
    <w:rsid w:val="00351655"/>
    <w:rsid w:val="003516BA"/>
    <w:rsid w:val="003516D4"/>
    <w:rsid w:val="0035176D"/>
    <w:rsid w:val="003517F1"/>
    <w:rsid w:val="003518E3"/>
    <w:rsid w:val="00351903"/>
    <w:rsid w:val="00351A17"/>
    <w:rsid w:val="00351A53"/>
    <w:rsid w:val="00351AE4"/>
    <w:rsid w:val="00351B69"/>
    <w:rsid w:val="00351C1B"/>
    <w:rsid w:val="00351F3F"/>
    <w:rsid w:val="00351F84"/>
    <w:rsid w:val="003520A8"/>
    <w:rsid w:val="003520D9"/>
    <w:rsid w:val="00352146"/>
    <w:rsid w:val="00352184"/>
    <w:rsid w:val="003522D2"/>
    <w:rsid w:val="0035236D"/>
    <w:rsid w:val="003523A4"/>
    <w:rsid w:val="003523F0"/>
    <w:rsid w:val="00352434"/>
    <w:rsid w:val="00352445"/>
    <w:rsid w:val="0035250C"/>
    <w:rsid w:val="0035252E"/>
    <w:rsid w:val="003525E4"/>
    <w:rsid w:val="003525F9"/>
    <w:rsid w:val="00352694"/>
    <w:rsid w:val="00352729"/>
    <w:rsid w:val="00352799"/>
    <w:rsid w:val="003527C1"/>
    <w:rsid w:val="003527CF"/>
    <w:rsid w:val="003528B7"/>
    <w:rsid w:val="003528DB"/>
    <w:rsid w:val="003528EF"/>
    <w:rsid w:val="003528FC"/>
    <w:rsid w:val="0035298A"/>
    <w:rsid w:val="003529BA"/>
    <w:rsid w:val="00352A21"/>
    <w:rsid w:val="00352A7F"/>
    <w:rsid w:val="00352AEF"/>
    <w:rsid w:val="00352B4F"/>
    <w:rsid w:val="00352B70"/>
    <w:rsid w:val="00352C35"/>
    <w:rsid w:val="00352C53"/>
    <w:rsid w:val="00352CB5"/>
    <w:rsid w:val="00352CEC"/>
    <w:rsid w:val="00352DB9"/>
    <w:rsid w:val="00352ECC"/>
    <w:rsid w:val="00352EFE"/>
    <w:rsid w:val="003530A3"/>
    <w:rsid w:val="00353182"/>
    <w:rsid w:val="00353193"/>
    <w:rsid w:val="003531EE"/>
    <w:rsid w:val="0035324D"/>
    <w:rsid w:val="0035324F"/>
    <w:rsid w:val="003532D5"/>
    <w:rsid w:val="003532E3"/>
    <w:rsid w:val="00353329"/>
    <w:rsid w:val="00353352"/>
    <w:rsid w:val="00353485"/>
    <w:rsid w:val="00353556"/>
    <w:rsid w:val="00353569"/>
    <w:rsid w:val="00353649"/>
    <w:rsid w:val="00353794"/>
    <w:rsid w:val="0035379E"/>
    <w:rsid w:val="003537F7"/>
    <w:rsid w:val="0035386A"/>
    <w:rsid w:val="003538C0"/>
    <w:rsid w:val="00353961"/>
    <w:rsid w:val="0035399D"/>
    <w:rsid w:val="003539B6"/>
    <w:rsid w:val="003539E7"/>
    <w:rsid w:val="003539F8"/>
    <w:rsid w:val="00353A1B"/>
    <w:rsid w:val="00353A20"/>
    <w:rsid w:val="00353A4F"/>
    <w:rsid w:val="00353A59"/>
    <w:rsid w:val="00353B6E"/>
    <w:rsid w:val="00353B7A"/>
    <w:rsid w:val="00353C9F"/>
    <w:rsid w:val="00353D5E"/>
    <w:rsid w:val="003540B0"/>
    <w:rsid w:val="0035413D"/>
    <w:rsid w:val="00354160"/>
    <w:rsid w:val="003541CD"/>
    <w:rsid w:val="0035432B"/>
    <w:rsid w:val="00354355"/>
    <w:rsid w:val="003543AB"/>
    <w:rsid w:val="003543C9"/>
    <w:rsid w:val="00354414"/>
    <w:rsid w:val="003544C0"/>
    <w:rsid w:val="00354500"/>
    <w:rsid w:val="00354567"/>
    <w:rsid w:val="003545D6"/>
    <w:rsid w:val="00354605"/>
    <w:rsid w:val="00354608"/>
    <w:rsid w:val="00354612"/>
    <w:rsid w:val="0035467C"/>
    <w:rsid w:val="003546E4"/>
    <w:rsid w:val="00354773"/>
    <w:rsid w:val="003547CA"/>
    <w:rsid w:val="003547F2"/>
    <w:rsid w:val="00354809"/>
    <w:rsid w:val="00354843"/>
    <w:rsid w:val="003548A1"/>
    <w:rsid w:val="00354A2B"/>
    <w:rsid w:val="00354B33"/>
    <w:rsid w:val="00354B4A"/>
    <w:rsid w:val="00354BC8"/>
    <w:rsid w:val="00354BFE"/>
    <w:rsid w:val="00354C20"/>
    <w:rsid w:val="00354C73"/>
    <w:rsid w:val="00354D6A"/>
    <w:rsid w:val="00354DE8"/>
    <w:rsid w:val="00354EA0"/>
    <w:rsid w:val="00354F7F"/>
    <w:rsid w:val="00355158"/>
    <w:rsid w:val="0035515A"/>
    <w:rsid w:val="003551B3"/>
    <w:rsid w:val="003551C7"/>
    <w:rsid w:val="003551DF"/>
    <w:rsid w:val="00355217"/>
    <w:rsid w:val="0035531A"/>
    <w:rsid w:val="0035531D"/>
    <w:rsid w:val="00355345"/>
    <w:rsid w:val="0035545F"/>
    <w:rsid w:val="00355497"/>
    <w:rsid w:val="0035551D"/>
    <w:rsid w:val="0035559A"/>
    <w:rsid w:val="003555C6"/>
    <w:rsid w:val="003555DD"/>
    <w:rsid w:val="003555F1"/>
    <w:rsid w:val="0035575A"/>
    <w:rsid w:val="00355783"/>
    <w:rsid w:val="003558DD"/>
    <w:rsid w:val="003558EB"/>
    <w:rsid w:val="00355926"/>
    <w:rsid w:val="0035592D"/>
    <w:rsid w:val="00355931"/>
    <w:rsid w:val="0035594E"/>
    <w:rsid w:val="00355984"/>
    <w:rsid w:val="00355A03"/>
    <w:rsid w:val="00355A5B"/>
    <w:rsid w:val="00355C00"/>
    <w:rsid w:val="00355E2E"/>
    <w:rsid w:val="00355E8C"/>
    <w:rsid w:val="00355EB0"/>
    <w:rsid w:val="00355FBF"/>
    <w:rsid w:val="00356030"/>
    <w:rsid w:val="00356032"/>
    <w:rsid w:val="00356091"/>
    <w:rsid w:val="003560E6"/>
    <w:rsid w:val="00356242"/>
    <w:rsid w:val="00356277"/>
    <w:rsid w:val="003562AE"/>
    <w:rsid w:val="003562B0"/>
    <w:rsid w:val="00356314"/>
    <w:rsid w:val="00356317"/>
    <w:rsid w:val="003563A6"/>
    <w:rsid w:val="003563D2"/>
    <w:rsid w:val="00356466"/>
    <w:rsid w:val="003564F9"/>
    <w:rsid w:val="00356543"/>
    <w:rsid w:val="00356655"/>
    <w:rsid w:val="0035668B"/>
    <w:rsid w:val="003566C6"/>
    <w:rsid w:val="003566F4"/>
    <w:rsid w:val="00356710"/>
    <w:rsid w:val="00356732"/>
    <w:rsid w:val="00356743"/>
    <w:rsid w:val="003567A7"/>
    <w:rsid w:val="003567FC"/>
    <w:rsid w:val="003568C1"/>
    <w:rsid w:val="0035690C"/>
    <w:rsid w:val="00356AA9"/>
    <w:rsid w:val="00356C73"/>
    <w:rsid w:val="00356CFB"/>
    <w:rsid w:val="00356D43"/>
    <w:rsid w:val="00356D92"/>
    <w:rsid w:val="00356DD4"/>
    <w:rsid w:val="00356DE1"/>
    <w:rsid w:val="00356E48"/>
    <w:rsid w:val="00356E97"/>
    <w:rsid w:val="00356ED6"/>
    <w:rsid w:val="00356F6D"/>
    <w:rsid w:val="003570D4"/>
    <w:rsid w:val="003570E9"/>
    <w:rsid w:val="00357100"/>
    <w:rsid w:val="0035717D"/>
    <w:rsid w:val="0035728D"/>
    <w:rsid w:val="00357301"/>
    <w:rsid w:val="003573A1"/>
    <w:rsid w:val="003573A8"/>
    <w:rsid w:val="003573E5"/>
    <w:rsid w:val="0035748D"/>
    <w:rsid w:val="003574DF"/>
    <w:rsid w:val="003576BC"/>
    <w:rsid w:val="00357728"/>
    <w:rsid w:val="00357793"/>
    <w:rsid w:val="00357891"/>
    <w:rsid w:val="003578AA"/>
    <w:rsid w:val="003579B6"/>
    <w:rsid w:val="00357AA1"/>
    <w:rsid w:val="00357C60"/>
    <w:rsid w:val="00357D42"/>
    <w:rsid w:val="00357D74"/>
    <w:rsid w:val="00357E78"/>
    <w:rsid w:val="00357EAF"/>
    <w:rsid w:val="00357EE8"/>
    <w:rsid w:val="00357F0F"/>
    <w:rsid w:val="00357F4A"/>
    <w:rsid w:val="00357FD1"/>
    <w:rsid w:val="00360095"/>
    <w:rsid w:val="003600BA"/>
    <w:rsid w:val="003600BC"/>
    <w:rsid w:val="003601C7"/>
    <w:rsid w:val="00360254"/>
    <w:rsid w:val="00360274"/>
    <w:rsid w:val="003602FD"/>
    <w:rsid w:val="00360306"/>
    <w:rsid w:val="00360327"/>
    <w:rsid w:val="0036032F"/>
    <w:rsid w:val="003603B8"/>
    <w:rsid w:val="00360421"/>
    <w:rsid w:val="00360435"/>
    <w:rsid w:val="00360476"/>
    <w:rsid w:val="0036053E"/>
    <w:rsid w:val="0036053F"/>
    <w:rsid w:val="0036076E"/>
    <w:rsid w:val="00360782"/>
    <w:rsid w:val="003607F2"/>
    <w:rsid w:val="0036082D"/>
    <w:rsid w:val="003608D2"/>
    <w:rsid w:val="003608E5"/>
    <w:rsid w:val="003608FA"/>
    <w:rsid w:val="00360996"/>
    <w:rsid w:val="00360AA2"/>
    <w:rsid w:val="00360AB6"/>
    <w:rsid w:val="00360C89"/>
    <w:rsid w:val="00360C8E"/>
    <w:rsid w:val="00360E33"/>
    <w:rsid w:val="00360E4F"/>
    <w:rsid w:val="00360E57"/>
    <w:rsid w:val="00360E5D"/>
    <w:rsid w:val="00360EB1"/>
    <w:rsid w:val="00360F0C"/>
    <w:rsid w:val="00360F43"/>
    <w:rsid w:val="00360F75"/>
    <w:rsid w:val="0036103F"/>
    <w:rsid w:val="0036106A"/>
    <w:rsid w:val="0036106E"/>
    <w:rsid w:val="003610EA"/>
    <w:rsid w:val="0036110B"/>
    <w:rsid w:val="003611A3"/>
    <w:rsid w:val="003611D1"/>
    <w:rsid w:val="00361264"/>
    <w:rsid w:val="00361295"/>
    <w:rsid w:val="003612A6"/>
    <w:rsid w:val="003612D1"/>
    <w:rsid w:val="003612F4"/>
    <w:rsid w:val="00361329"/>
    <w:rsid w:val="00361357"/>
    <w:rsid w:val="003614C1"/>
    <w:rsid w:val="00361502"/>
    <w:rsid w:val="00361559"/>
    <w:rsid w:val="003615F9"/>
    <w:rsid w:val="00361645"/>
    <w:rsid w:val="0036185E"/>
    <w:rsid w:val="0036188A"/>
    <w:rsid w:val="003618B3"/>
    <w:rsid w:val="003618DB"/>
    <w:rsid w:val="003618EA"/>
    <w:rsid w:val="0036191C"/>
    <w:rsid w:val="00361924"/>
    <w:rsid w:val="00361965"/>
    <w:rsid w:val="00361999"/>
    <w:rsid w:val="003619F1"/>
    <w:rsid w:val="00361A81"/>
    <w:rsid w:val="00361AB1"/>
    <w:rsid w:val="00361BA6"/>
    <w:rsid w:val="00361BDE"/>
    <w:rsid w:val="00361BE9"/>
    <w:rsid w:val="00361C4C"/>
    <w:rsid w:val="00361DC0"/>
    <w:rsid w:val="00361DDA"/>
    <w:rsid w:val="00361E40"/>
    <w:rsid w:val="00361F7A"/>
    <w:rsid w:val="00361FFB"/>
    <w:rsid w:val="00362072"/>
    <w:rsid w:val="0036207A"/>
    <w:rsid w:val="003620D8"/>
    <w:rsid w:val="0036210D"/>
    <w:rsid w:val="00362122"/>
    <w:rsid w:val="003621A7"/>
    <w:rsid w:val="0036228A"/>
    <w:rsid w:val="003622EF"/>
    <w:rsid w:val="0036235C"/>
    <w:rsid w:val="00362366"/>
    <w:rsid w:val="0036246D"/>
    <w:rsid w:val="003625DA"/>
    <w:rsid w:val="0036263F"/>
    <w:rsid w:val="00362716"/>
    <w:rsid w:val="003627B3"/>
    <w:rsid w:val="0036281A"/>
    <w:rsid w:val="00362855"/>
    <w:rsid w:val="00362869"/>
    <w:rsid w:val="003628B0"/>
    <w:rsid w:val="003628B4"/>
    <w:rsid w:val="0036295C"/>
    <w:rsid w:val="00362AD6"/>
    <w:rsid w:val="00362B22"/>
    <w:rsid w:val="00362D99"/>
    <w:rsid w:val="00362DCB"/>
    <w:rsid w:val="00362DD7"/>
    <w:rsid w:val="00362DE2"/>
    <w:rsid w:val="00362E4A"/>
    <w:rsid w:val="00362E59"/>
    <w:rsid w:val="00362E79"/>
    <w:rsid w:val="00362F1B"/>
    <w:rsid w:val="00362F5E"/>
    <w:rsid w:val="00362FA7"/>
    <w:rsid w:val="00362FAD"/>
    <w:rsid w:val="00362FDC"/>
    <w:rsid w:val="00363159"/>
    <w:rsid w:val="003631DE"/>
    <w:rsid w:val="0036323D"/>
    <w:rsid w:val="0036326F"/>
    <w:rsid w:val="00363312"/>
    <w:rsid w:val="00363318"/>
    <w:rsid w:val="00363321"/>
    <w:rsid w:val="003633C6"/>
    <w:rsid w:val="003633D8"/>
    <w:rsid w:val="00363402"/>
    <w:rsid w:val="0036345E"/>
    <w:rsid w:val="003634E6"/>
    <w:rsid w:val="00363542"/>
    <w:rsid w:val="003635F3"/>
    <w:rsid w:val="003635FF"/>
    <w:rsid w:val="00363685"/>
    <w:rsid w:val="0036371D"/>
    <w:rsid w:val="0036372B"/>
    <w:rsid w:val="003637AD"/>
    <w:rsid w:val="003637C4"/>
    <w:rsid w:val="0036391E"/>
    <w:rsid w:val="003639B2"/>
    <w:rsid w:val="00363A04"/>
    <w:rsid w:val="00363A5F"/>
    <w:rsid w:val="00363A94"/>
    <w:rsid w:val="00363A97"/>
    <w:rsid w:val="00363AF2"/>
    <w:rsid w:val="00363B32"/>
    <w:rsid w:val="00363C3D"/>
    <w:rsid w:val="00363C3E"/>
    <w:rsid w:val="00363C88"/>
    <w:rsid w:val="00363D4B"/>
    <w:rsid w:val="00363DE9"/>
    <w:rsid w:val="00363E99"/>
    <w:rsid w:val="00363EC5"/>
    <w:rsid w:val="00363F20"/>
    <w:rsid w:val="00363F38"/>
    <w:rsid w:val="00363FEF"/>
    <w:rsid w:val="00364019"/>
    <w:rsid w:val="00364066"/>
    <w:rsid w:val="0036411C"/>
    <w:rsid w:val="003641F8"/>
    <w:rsid w:val="0036428A"/>
    <w:rsid w:val="003642E0"/>
    <w:rsid w:val="003643AC"/>
    <w:rsid w:val="003644B8"/>
    <w:rsid w:val="00364526"/>
    <w:rsid w:val="003645E8"/>
    <w:rsid w:val="0036466B"/>
    <w:rsid w:val="00364670"/>
    <w:rsid w:val="0036467E"/>
    <w:rsid w:val="003646DF"/>
    <w:rsid w:val="003648AE"/>
    <w:rsid w:val="0036499B"/>
    <w:rsid w:val="00364A1F"/>
    <w:rsid w:val="00364A37"/>
    <w:rsid w:val="00364BCA"/>
    <w:rsid w:val="00364BF6"/>
    <w:rsid w:val="00364C75"/>
    <w:rsid w:val="00364CA2"/>
    <w:rsid w:val="00364CB9"/>
    <w:rsid w:val="00364D43"/>
    <w:rsid w:val="00364DB1"/>
    <w:rsid w:val="00364ED0"/>
    <w:rsid w:val="00364ED3"/>
    <w:rsid w:val="00364FFE"/>
    <w:rsid w:val="003650C8"/>
    <w:rsid w:val="0036514A"/>
    <w:rsid w:val="003651D0"/>
    <w:rsid w:val="0036525B"/>
    <w:rsid w:val="00365269"/>
    <w:rsid w:val="003652AE"/>
    <w:rsid w:val="003652D6"/>
    <w:rsid w:val="0036535E"/>
    <w:rsid w:val="003653A4"/>
    <w:rsid w:val="003653EB"/>
    <w:rsid w:val="00365404"/>
    <w:rsid w:val="003654D5"/>
    <w:rsid w:val="003654E0"/>
    <w:rsid w:val="0036551E"/>
    <w:rsid w:val="00365590"/>
    <w:rsid w:val="0036560D"/>
    <w:rsid w:val="0036565B"/>
    <w:rsid w:val="003656D2"/>
    <w:rsid w:val="0036577E"/>
    <w:rsid w:val="0036579F"/>
    <w:rsid w:val="0036581C"/>
    <w:rsid w:val="00365834"/>
    <w:rsid w:val="00365A00"/>
    <w:rsid w:val="00365BA0"/>
    <w:rsid w:val="00365BB1"/>
    <w:rsid w:val="00365C83"/>
    <w:rsid w:val="00365CAC"/>
    <w:rsid w:val="00365CF6"/>
    <w:rsid w:val="00365D62"/>
    <w:rsid w:val="00365EBB"/>
    <w:rsid w:val="00365F14"/>
    <w:rsid w:val="00365F49"/>
    <w:rsid w:val="0036606E"/>
    <w:rsid w:val="00366075"/>
    <w:rsid w:val="003660EF"/>
    <w:rsid w:val="003660FE"/>
    <w:rsid w:val="00366128"/>
    <w:rsid w:val="003661E0"/>
    <w:rsid w:val="003662BC"/>
    <w:rsid w:val="00366387"/>
    <w:rsid w:val="003663A0"/>
    <w:rsid w:val="00366419"/>
    <w:rsid w:val="00366463"/>
    <w:rsid w:val="003664CE"/>
    <w:rsid w:val="003664D3"/>
    <w:rsid w:val="0036653C"/>
    <w:rsid w:val="0036655B"/>
    <w:rsid w:val="003665A2"/>
    <w:rsid w:val="0036666A"/>
    <w:rsid w:val="003667F6"/>
    <w:rsid w:val="00366824"/>
    <w:rsid w:val="003668AA"/>
    <w:rsid w:val="003668C3"/>
    <w:rsid w:val="003668C6"/>
    <w:rsid w:val="0036690B"/>
    <w:rsid w:val="003669F7"/>
    <w:rsid w:val="00366A2D"/>
    <w:rsid w:val="00366A87"/>
    <w:rsid w:val="00366AAB"/>
    <w:rsid w:val="00366AD2"/>
    <w:rsid w:val="00366AD3"/>
    <w:rsid w:val="00366B16"/>
    <w:rsid w:val="00366B32"/>
    <w:rsid w:val="00366C3B"/>
    <w:rsid w:val="00366CC5"/>
    <w:rsid w:val="00366D88"/>
    <w:rsid w:val="00366E31"/>
    <w:rsid w:val="00366E5A"/>
    <w:rsid w:val="00366E62"/>
    <w:rsid w:val="00366EB9"/>
    <w:rsid w:val="00366EBF"/>
    <w:rsid w:val="00367107"/>
    <w:rsid w:val="00367194"/>
    <w:rsid w:val="00367196"/>
    <w:rsid w:val="003671AF"/>
    <w:rsid w:val="0036725A"/>
    <w:rsid w:val="0036727E"/>
    <w:rsid w:val="00367293"/>
    <w:rsid w:val="00367302"/>
    <w:rsid w:val="0036736A"/>
    <w:rsid w:val="00367377"/>
    <w:rsid w:val="003673D9"/>
    <w:rsid w:val="0036747B"/>
    <w:rsid w:val="003674E3"/>
    <w:rsid w:val="003675C8"/>
    <w:rsid w:val="003675E5"/>
    <w:rsid w:val="00367624"/>
    <w:rsid w:val="0036767D"/>
    <w:rsid w:val="0036769F"/>
    <w:rsid w:val="003676C7"/>
    <w:rsid w:val="003676F1"/>
    <w:rsid w:val="0036770D"/>
    <w:rsid w:val="003677E3"/>
    <w:rsid w:val="00367871"/>
    <w:rsid w:val="0036793D"/>
    <w:rsid w:val="00367A37"/>
    <w:rsid w:val="00367A62"/>
    <w:rsid w:val="00367AE5"/>
    <w:rsid w:val="00367BB4"/>
    <w:rsid w:val="00367C2D"/>
    <w:rsid w:val="00367C56"/>
    <w:rsid w:val="00367CC2"/>
    <w:rsid w:val="00367DC0"/>
    <w:rsid w:val="00367DF7"/>
    <w:rsid w:val="00367E89"/>
    <w:rsid w:val="00367EA7"/>
    <w:rsid w:val="00367EBF"/>
    <w:rsid w:val="00367F52"/>
    <w:rsid w:val="00367F57"/>
    <w:rsid w:val="00367FA7"/>
    <w:rsid w:val="00367FDF"/>
    <w:rsid w:val="0036C4F6"/>
    <w:rsid w:val="00370045"/>
    <w:rsid w:val="0037009A"/>
    <w:rsid w:val="003701E0"/>
    <w:rsid w:val="0037027E"/>
    <w:rsid w:val="003702EF"/>
    <w:rsid w:val="00370333"/>
    <w:rsid w:val="003703FE"/>
    <w:rsid w:val="0037044C"/>
    <w:rsid w:val="0037051E"/>
    <w:rsid w:val="0037054F"/>
    <w:rsid w:val="0037058D"/>
    <w:rsid w:val="003705EB"/>
    <w:rsid w:val="003705FC"/>
    <w:rsid w:val="003705FF"/>
    <w:rsid w:val="00370616"/>
    <w:rsid w:val="0037061F"/>
    <w:rsid w:val="00370620"/>
    <w:rsid w:val="00370646"/>
    <w:rsid w:val="00370663"/>
    <w:rsid w:val="003707C3"/>
    <w:rsid w:val="00370806"/>
    <w:rsid w:val="0037096F"/>
    <w:rsid w:val="003709A3"/>
    <w:rsid w:val="00370ABE"/>
    <w:rsid w:val="00370C9B"/>
    <w:rsid w:val="00370D66"/>
    <w:rsid w:val="00370D9D"/>
    <w:rsid w:val="00370DB9"/>
    <w:rsid w:val="00370E8A"/>
    <w:rsid w:val="00370F58"/>
    <w:rsid w:val="00370F66"/>
    <w:rsid w:val="00370F74"/>
    <w:rsid w:val="00370FA1"/>
    <w:rsid w:val="0037103A"/>
    <w:rsid w:val="00371041"/>
    <w:rsid w:val="003710CE"/>
    <w:rsid w:val="00371185"/>
    <w:rsid w:val="003711E8"/>
    <w:rsid w:val="00371233"/>
    <w:rsid w:val="00371273"/>
    <w:rsid w:val="003712E4"/>
    <w:rsid w:val="00371301"/>
    <w:rsid w:val="0037130F"/>
    <w:rsid w:val="00371372"/>
    <w:rsid w:val="00371457"/>
    <w:rsid w:val="003714BE"/>
    <w:rsid w:val="00371524"/>
    <w:rsid w:val="003715A3"/>
    <w:rsid w:val="003715C3"/>
    <w:rsid w:val="003715D5"/>
    <w:rsid w:val="003716D4"/>
    <w:rsid w:val="00371921"/>
    <w:rsid w:val="0037192C"/>
    <w:rsid w:val="00371977"/>
    <w:rsid w:val="0037199A"/>
    <w:rsid w:val="003719D8"/>
    <w:rsid w:val="00371A01"/>
    <w:rsid w:val="00371A4F"/>
    <w:rsid w:val="00371ABA"/>
    <w:rsid w:val="00371B3E"/>
    <w:rsid w:val="00371B63"/>
    <w:rsid w:val="00371BE9"/>
    <w:rsid w:val="00371BF8"/>
    <w:rsid w:val="00371BFF"/>
    <w:rsid w:val="00371CC1"/>
    <w:rsid w:val="00371D0D"/>
    <w:rsid w:val="00371D0E"/>
    <w:rsid w:val="00371D35"/>
    <w:rsid w:val="00371D3E"/>
    <w:rsid w:val="00371D50"/>
    <w:rsid w:val="00371D97"/>
    <w:rsid w:val="00371E40"/>
    <w:rsid w:val="00371E5F"/>
    <w:rsid w:val="00371EC1"/>
    <w:rsid w:val="00371ED4"/>
    <w:rsid w:val="00371FD2"/>
    <w:rsid w:val="00371FFC"/>
    <w:rsid w:val="003720E3"/>
    <w:rsid w:val="003720FE"/>
    <w:rsid w:val="0037210F"/>
    <w:rsid w:val="003721D6"/>
    <w:rsid w:val="003721E6"/>
    <w:rsid w:val="0037224C"/>
    <w:rsid w:val="00372254"/>
    <w:rsid w:val="003722D2"/>
    <w:rsid w:val="0037238E"/>
    <w:rsid w:val="003723A6"/>
    <w:rsid w:val="003723DB"/>
    <w:rsid w:val="003723E6"/>
    <w:rsid w:val="0037249E"/>
    <w:rsid w:val="003724D8"/>
    <w:rsid w:val="00372577"/>
    <w:rsid w:val="003725F8"/>
    <w:rsid w:val="0037261F"/>
    <w:rsid w:val="00372647"/>
    <w:rsid w:val="00372662"/>
    <w:rsid w:val="0037268E"/>
    <w:rsid w:val="00372690"/>
    <w:rsid w:val="003726BD"/>
    <w:rsid w:val="003726EA"/>
    <w:rsid w:val="00372810"/>
    <w:rsid w:val="00372884"/>
    <w:rsid w:val="00372A48"/>
    <w:rsid w:val="00372B35"/>
    <w:rsid w:val="00372BB0"/>
    <w:rsid w:val="00372BC0"/>
    <w:rsid w:val="00372CAA"/>
    <w:rsid w:val="00372CBA"/>
    <w:rsid w:val="00372CF5"/>
    <w:rsid w:val="00372D33"/>
    <w:rsid w:val="00372D5B"/>
    <w:rsid w:val="00372D7A"/>
    <w:rsid w:val="00372D9C"/>
    <w:rsid w:val="00372DE3"/>
    <w:rsid w:val="00372E42"/>
    <w:rsid w:val="00372E49"/>
    <w:rsid w:val="00372E9F"/>
    <w:rsid w:val="00372EBC"/>
    <w:rsid w:val="00372F74"/>
    <w:rsid w:val="00372FE1"/>
    <w:rsid w:val="00373031"/>
    <w:rsid w:val="00373039"/>
    <w:rsid w:val="003730B7"/>
    <w:rsid w:val="0037316A"/>
    <w:rsid w:val="003731BC"/>
    <w:rsid w:val="003731E0"/>
    <w:rsid w:val="003731EE"/>
    <w:rsid w:val="003731F4"/>
    <w:rsid w:val="0037322F"/>
    <w:rsid w:val="003732FC"/>
    <w:rsid w:val="0037330D"/>
    <w:rsid w:val="00373407"/>
    <w:rsid w:val="0037347A"/>
    <w:rsid w:val="00373491"/>
    <w:rsid w:val="003734E7"/>
    <w:rsid w:val="00373544"/>
    <w:rsid w:val="00373547"/>
    <w:rsid w:val="0037359B"/>
    <w:rsid w:val="00373665"/>
    <w:rsid w:val="00373669"/>
    <w:rsid w:val="0037368D"/>
    <w:rsid w:val="003737CD"/>
    <w:rsid w:val="0037387F"/>
    <w:rsid w:val="003738EB"/>
    <w:rsid w:val="00373918"/>
    <w:rsid w:val="003739A2"/>
    <w:rsid w:val="003739FA"/>
    <w:rsid w:val="00373A47"/>
    <w:rsid w:val="00373B86"/>
    <w:rsid w:val="00373BE6"/>
    <w:rsid w:val="00373BFD"/>
    <w:rsid w:val="00373C02"/>
    <w:rsid w:val="00373C0F"/>
    <w:rsid w:val="00373C88"/>
    <w:rsid w:val="00373CD6"/>
    <w:rsid w:val="00373CF2"/>
    <w:rsid w:val="00373D17"/>
    <w:rsid w:val="00373D55"/>
    <w:rsid w:val="00373D92"/>
    <w:rsid w:val="00373DA2"/>
    <w:rsid w:val="00373E35"/>
    <w:rsid w:val="00373E67"/>
    <w:rsid w:val="00373E6D"/>
    <w:rsid w:val="00373EA6"/>
    <w:rsid w:val="00373FA4"/>
    <w:rsid w:val="00373FC5"/>
    <w:rsid w:val="00374001"/>
    <w:rsid w:val="0037400D"/>
    <w:rsid w:val="00374043"/>
    <w:rsid w:val="0037409B"/>
    <w:rsid w:val="00374106"/>
    <w:rsid w:val="00374189"/>
    <w:rsid w:val="0037418A"/>
    <w:rsid w:val="0037419A"/>
    <w:rsid w:val="00374363"/>
    <w:rsid w:val="003743CC"/>
    <w:rsid w:val="0037446F"/>
    <w:rsid w:val="00374530"/>
    <w:rsid w:val="00374723"/>
    <w:rsid w:val="00374773"/>
    <w:rsid w:val="003747B8"/>
    <w:rsid w:val="00374833"/>
    <w:rsid w:val="0037485B"/>
    <w:rsid w:val="00374905"/>
    <w:rsid w:val="003749A4"/>
    <w:rsid w:val="00374A31"/>
    <w:rsid w:val="00374AB5"/>
    <w:rsid w:val="00374B2F"/>
    <w:rsid w:val="00374B3F"/>
    <w:rsid w:val="00374B89"/>
    <w:rsid w:val="00374C1A"/>
    <w:rsid w:val="00374CCA"/>
    <w:rsid w:val="00374D20"/>
    <w:rsid w:val="00374E58"/>
    <w:rsid w:val="00374E80"/>
    <w:rsid w:val="00374EFF"/>
    <w:rsid w:val="00374F14"/>
    <w:rsid w:val="00374F37"/>
    <w:rsid w:val="00374F42"/>
    <w:rsid w:val="00374F4A"/>
    <w:rsid w:val="00374FA4"/>
    <w:rsid w:val="00375050"/>
    <w:rsid w:val="00375079"/>
    <w:rsid w:val="00375092"/>
    <w:rsid w:val="003750A7"/>
    <w:rsid w:val="003750FE"/>
    <w:rsid w:val="00375116"/>
    <w:rsid w:val="003751B2"/>
    <w:rsid w:val="003751E5"/>
    <w:rsid w:val="0037523E"/>
    <w:rsid w:val="0037528D"/>
    <w:rsid w:val="00375321"/>
    <w:rsid w:val="00375350"/>
    <w:rsid w:val="0037535D"/>
    <w:rsid w:val="00375417"/>
    <w:rsid w:val="0037541B"/>
    <w:rsid w:val="0037542D"/>
    <w:rsid w:val="00375467"/>
    <w:rsid w:val="0037546D"/>
    <w:rsid w:val="0037557E"/>
    <w:rsid w:val="00375584"/>
    <w:rsid w:val="0037569A"/>
    <w:rsid w:val="00375769"/>
    <w:rsid w:val="003757C5"/>
    <w:rsid w:val="00375866"/>
    <w:rsid w:val="00375898"/>
    <w:rsid w:val="003758AC"/>
    <w:rsid w:val="00375917"/>
    <w:rsid w:val="00375A6F"/>
    <w:rsid w:val="00375A75"/>
    <w:rsid w:val="00375B45"/>
    <w:rsid w:val="00375B7B"/>
    <w:rsid w:val="00375C16"/>
    <w:rsid w:val="00375C29"/>
    <w:rsid w:val="00375C70"/>
    <w:rsid w:val="00375C85"/>
    <w:rsid w:val="00375CB0"/>
    <w:rsid w:val="00375CC0"/>
    <w:rsid w:val="00375CFE"/>
    <w:rsid w:val="00375CFF"/>
    <w:rsid w:val="00375D11"/>
    <w:rsid w:val="00375D2C"/>
    <w:rsid w:val="00375D94"/>
    <w:rsid w:val="00375DAF"/>
    <w:rsid w:val="00375DC1"/>
    <w:rsid w:val="00375DF4"/>
    <w:rsid w:val="00375E0D"/>
    <w:rsid w:val="00375E5A"/>
    <w:rsid w:val="00375F45"/>
    <w:rsid w:val="00375F88"/>
    <w:rsid w:val="003760F8"/>
    <w:rsid w:val="00376184"/>
    <w:rsid w:val="003761AB"/>
    <w:rsid w:val="00376212"/>
    <w:rsid w:val="00376293"/>
    <w:rsid w:val="003762AA"/>
    <w:rsid w:val="003762CD"/>
    <w:rsid w:val="00376344"/>
    <w:rsid w:val="0037637E"/>
    <w:rsid w:val="003763BA"/>
    <w:rsid w:val="003763E4"/>
    <w:rsid w:val="00376473"/>
    <w:rsid w:val="003765DC"/>
    <w:rsid w:val="003765F4"/>
    <w:rsid w:val="00376662"/>
    <w:rsid w:val="00376776"/>
    <w:rsid w:val="0037677B"/>
    <w:rsid w:val="00376789"/>
    <w:rsid w:val="00376820"/>
    <w:rsid w:val="00376880"/>
    <w:rsid w:val="0037694B"/>
    <w:rsid w:val="00376982"/>
    <w:rsid w:val="003769AC"/>
    <w:rsid w:val="00376A23"/>
    <w:rsid w:val="00376BEA"/>
    <w:rsid w:val="00376C4D"/>
    <w:rsid w:val="00376C8A"/>
    <w:rsid w:val="00376CC5"/>
    <w:rsid w:val="00376CF0"/>
    <w:rsid w:val="00376CF2"/>
    <w:rsid w:val="00376D20"/>
    <w:rsid w:val="00376DC9"/>
    <w:rsid w:val="00376DE7"/>
    <w:rsid w:val="00376EB7"/>
    <w:rsid w:val="00376EC0"/>
    <w:rsid w:val="00376F7C"/>
    <w:rsid w:val="00376FE3"/>
    <w:rsid w:val="00376FE8"/>
    <w:rsid w:val="0037703E"/>
    <w:rsid w:val="0037725B"/>
    <w:rsid w:val="00377354"/>
    <w:rsid w:val="00377363"/>
    <w:rsid w:val="00377364"/>
    <w:rsid w:val="00377403"/>
    <w:rsid w:val="0037741A"/>
    <w:rsid w:val="00377427"/>
    <w:rsid w:val="0037747C"/>
    <w:rsid w:val="003774B7"/>
    <w:rsid w:val="003774E9"/>
    <w:rsid w:val="00377521"/>
    <w:rsid w:val="00377610"/>
    <w:rsid w:val="0037772C"/>
    <w:rsid w:val="003777D3"/>
    <w:rsid w:val="00377805"/>
    <w:rsid w:val="00377858"/>
    <w:rsid w:val="003778E7"/>
    <w:rsid w:val="00377A99"/>
    <w:rsid w:val="00377AA5"/>
    <w:rsid w:val="00377B38"/>
    <w:rsid w:val="00377C3C"/>
    <w:rsid w:val="00377C95"/>
    <w:rsid w:val="00377D87"/>
    <w:rsid w:val="00377D9F"/>
    <w:rsid w:val="00377E5F"/>
    <w:rsid w:val="00377E6D"/>
    <w:rsid w:val="00377F9B"/>
    <w:rsid w:val="00380024"/>
    <w:rsid w:val="0038004E"/>
    <w:rsid w:val="0038009B"/>
    <w:rsid w:val="003800BE"/>
    <w:rsid w:val="0038014C"/>
    <w:rsid w:val="003801E2"/>
    <w:rsid w:val="0038029A"/>
    <w:rsid w:val="003802CA"/>
    <w:rsid w:val="003803C2"/>
    <w:rsid w:val="0038052D"/>
    <w:rsid w:val="0038062F"/>
    <w:rsid w:val="003806AB"/>
    <w:rsid w:val="00380778"/>
    <w:rsid w:val="00380795"/>
    <w:rsid w:val="003807D7"/>
    <w:rsid w:val="0038084C"/>
    <w:rsid w:val="00380859"/>
    <w:rsid w:val="003808CD"/>
    <w:rsid w:val="00380919"/>
    <w:rsid w:val="00380937"/>
    <w:rsid w:val="0038096F"/>
    <w:rsid w:val="00380A00"/>
    <w:rsid w:val="00380AD0"/>
    <w:rsid w:val="00380C2D"/>
    <w:rsid w:val="00380CDD"/>
    <w:rsid w:val="00380DA2"/>
    <w:rsid w:val="00380E2C"/>
    <w:rsid w:val="00380E70"/>
    <w:rsid w:val="00380ECA"/>
    <w:rsid w:val="00380F1C"/>
    <w:rsid w:val="00380FCC"/>
    <w:rsid w:val="00380FCE"/>
    <w:rsid w:val="00381012"/>
    <w:rsid w:val="003811BD"/>
    <w:rsid w:val="0038128F"/>
    <w:rsid w:val="003812B3"/>
    <w:rsid w:val="00381361"/>
    <w:rsid w:val="003813D9"/>
    <w:rsid w:val="003813F0"/>
    <w:rsid w:val="00381432"/>
    <w:rsid w:val="0038143A"/>
    <w:rsid w:val="003814EE"/>
    <w:rsid w:val="00381555"/>
    <w:rsid w:val="003815C5"/>
    <w:rsid w:val="003815D9"/>
    <w:rsid w:val="003815DA"/>
    <w:rsid w:val="003815E9"/>
    <w:rsid w:val="003816FB"/>
    <w:rsid w:val="00381717"/>
    <w:rsid w:val="00381866"/>
    <w:rsid w:val="00381896"/>
    <w:rsid w:val="003818A0"/>
    <w:rsid w:val="00381AAA"/>
    <w:rsid w:val="00381B39"/>
    <w:rsid w:val="00381BB1"/>
    <w:rsid w:val="00381C34"/>
    <w:rsid w:val="00381C3E"/>
    <w:rsid w:val="00381D9C"/>
    <w:rsid w:val="00381DEA"/>
    <w:rsid w:val="0038200C"/>
    <w:rsid w:val="003820A0"/>
    <w:rsid w:val="003820DA"/>
    <w:rsid w:val="00382119"/>
    <w:rsid w:val="00382265"/>
    <w:rsid w:val="00382306"/>
    <w:rsid w:val="0038230B"/>
    <w:rsid w:val="00382325"/>
    <w:rsid w:val="00382328"/>
    <w:rsid w:val="003823EB"/>
    <w:rsid w:val="0038261E"/>
    <w:rsid w:val="003826AE"/>
    <w:rsid w:val="00382719"/>
    <w:rsid w:val="00382913"/>
    <w:rsid w:val="00382931"/>
    <w:rsid w:val="00382A25"/>
    <w:rsid w:val="00382A97"/>
    <w:rsid w:val="00382A98"/>
    <w:rsid w:val="00382C0B"/>
    <w:rsid w:val="00382C44"/>
    <w:rsid w:val="00382D72"/>
    <w:rsid w:val="00382DC9"/>
    <w:rsid w:val="00382F53"/>
    <w:rsid w:val="00382F8B"/>
    <w:rsid w:val="00382FC1"/>
    <w:rsid w:val="00383114"/>
    <w:rsid w:val="003832CC"/>
    <w:rsid w:val="00383371"/>
    <w:rsid w:val="00383382"/>
    <w:rsid w:val="003833BD"/>
    <w:rsid w:val="003833E6"/>
    <w:rsid w:val="003834CE"/>
    <w:rsid w:val="00383545"/>
    <w:rsid w:val="0038355C"/>
    <w:rsid w:val="00383626"/>
    <w:rsid w:val="0038363C"/>
    <w:rsid w:val="00383656"/>
    <w:rsid w:val="0038368E"/>
    <w:rsid w:val="0038380F"/>
    <w:rsid w:val="0038383F"/>
    <w:rsid w:val="0038385E"/>
    <w:rsid w:val="00383889"/>
    <w:rsid w:val="003838B9"/>
    <w:rsid w:val="003838E6"/>
    <w:rsid w:val="0038391E"/>
    <w:rsid w:val="0038395F"/>
    <w:rsid w:val="00383978"/>
    <w:rsid w:val="00383A1C"/>
    <w:rsid w:val="00383A39"/>
    <w:rsid w:val="00383AD8"/>
    <w:rsid w:val="00383AF1"/>
    <w:rsid w:val="00383B37"/>
    <w:rsid w:val="00383CC6"/>
    <w:rsid w:val="00383D21"/>
    <w:rsid w:val="00383D35"/>
    <w:rsid w:val="00383D6C"/>
    <w:rsid w:val="00383D7E"/>
    <w:rsid w:val="00383D8D"/>
    <w:rsid w:val="00383E5A"/>
    <w:rsid w:val="00383E91"/>
    <w:rsid w:val="00383FC0"/>
    <w:rsid w:val="00384050"/>
    <w:rsid w:val="0038409A"/>
    <w:rsid w:val="003841FB"/>
    <w:rsid w:val="0038429C"/>
    <w:rsid w:val="0038429E"/>
    <w:rsid w:val="003843FB"/>
    <w:rsid w:val="00384474"/>
    <w:rsid w:val="003844B9"/>
    <w:rsid w:val="00384587"/>
    <w:rsid w:val="003845E9"/>
    <w:rsid w:val="003845FA"/>
    <w:rsid w:val="0038461F"/>
    <w:rsid w:val="00384621"/>
    <w:rsid w:val="00384745"/>
    <w:rsid w:val="0038474C"/>
    <w:rsid w:val="00384807"/>
    <w:rsid w:val="00384818"/>
    <w:rsid w:val="0038483B"/>
    <w:rsid w:val="003848BF"/>
    <w:rsid w:val="003848E8"/>
    <w:rsid w:val="00384903"/>
    <w:rsid w:val="0038494B"/>
    <w:rsid w:val="003849EE"/>
    <w:rsid w:val="00384A31"/>
    <w:rsid w:val="00384A99"/>
    <w:rsid w:val="00384B81"/>
    <w:rsid w:val="00384C7C"/>
    <w:rsid w:val="00384DE6"/>
    <w:rsid w:val="00384E2E"/>
    <w:rsid w:val="00384ECE"/>
    <w:rsid w:val="00384FE2"/>
    <w:rsid w:val="003850CE"/>
    <w:rsid w:val="003850EC"/>
    <w:rsid w:val="00385119"/>
    <w:rsid w:val="0038512D"/>
    <w:rsid w:val="00385283"/>
    <w:rsid w:val="0038539F"/>
    <w:rsid w:val="00385444"/>
    <w:rsid w:val="0038544E"/>
    <w:rsid w:val="003854E8"/>
    <w:rsid w:val="0038564F"/>
    <w:rsid w:val="00385755"/>
    <w:rsid w:val="003857BB"/>
    <w:rsid w:val="003857CA"/>
    <w:rsid w:val="003857EC"/>
    <w:rsid w:val="0038594B"/>
    <w:rsid w:val="00385A6F"/>
    <w:rsid w:val="00385A77"/>
    <w:rsid w:val="00385AF9"/>
    <w:rsid w:val="00385B15"/>
    <w:rsid w:val="00385B32"/>
    <w:rsid w:val="00385BEA"/>
    <w:rsid w:val="00385C16"/>
    <w:rsid w:val="00385C65"/>
    <w:rsid w:val="00385C70"/>
    <w:rsid w:val="00385D92"/>
    <w:rsid w:val="00385DA4"/>
    <w:rsid w:val="00385E5A"/>
    <w:rsid w:val="00385F71"/>
    <w:rsid w:val="00385FC5"/>
    <w:rsid w:val="0038612E"/>
    <w:rsid w:val="00386174"/>
    <w:rsid w:val="00386284"/>
    <w:rsid w:val="003862D2"/>
    <w:rsid w:val="003862F0"/>
    <w:rsid w:val="0038631B"/>
    <w:rsid w:val="00386354"/>
    <w:rsid w:val="003864E6"/>
    <w:rsid w:val="0038653B"/>
    <w:rsid w:val="00386547"/>
    <w:rsid w:val="0038659D"/>
    <w:rsid w:val="003865DA"/>
    <w:rsid w:val="0038668F"/>
    <w:rsid w:val="00386734"/>
    <w:rsid w:val="003867C6"/>
    <w:rsid w:val="00386984"/>
    <w:rsid w:val="00386A21"/>
    <w:rsid w:val="00386AD4"/>
    <w:rsid w:val="00386AFC"/>
    <w:rsid w:val="00386B3B"/>
    <w:rsid w:val="00386B6E"/>
    <w:rsid w:val="00386C4A"/>
    <w:rsid w:val="00386C4B"/>
    <w:rsid w:val="00386D1D"/>
    <w:rsid w:val="00386D67"/>
    <w:rsid w:val="00386DC9"/>
    <w:rsid w:val="00386F3E"/>
    <w:rsid w:val="00386FA2"/>
    <w:rsid w:val="00386FF1"/>
    <w:rsid w:val="00387006"/>
    <w:rsid w:val="0038710D"/>
    <w:rsid w:val="0038711B"/>
    <w:rsid w:val="003871E7"/>
    <w:rsid w:val="00387228"/>
    <w:rsid w:val="00387283"/>
    <w:rsid w:val="0038728A"/>
    <w:rsid w:val="00387292"/>
    <w:rsid w:val="003872F9"/>
    <w:rsid w:val="00387333"/>
    <w:rsid w:val="0038736F"/>
    <w:rsid w:val="003873AB"/>
    <w:rsid w:val="003873DB"/>
    <w:rsid w:val="00387451"/>
    <w:rsid w:val="00387460"/>
    <w:rsid w:val="00387489"/>
    <w:rsid w:val="003874C2"/>
    <w:rsid w:val="003874C9"/>
    <w:rsid w:val="0038750D"/>
    <w:rsid w:val="00387524"/>
    <w:rsid w:val="00387539"/>
    <w:rsid w:val="00387598"/>
    <w:rsid w:val="003875D8"/>
    <w:rsid w:val="003875E4"/>
    <w:rsid w:val="00387660"/>
    <w:rsid w:val="00387675"/>
    <w:rsid w:val="003876C4"/>
    <w:rsid w:val="00387787"/>
    <w:rsid w:val="00387827"/>
    <w:rsid w:val="0038794B"/>
    <w:rsid w:val="0038795C"/>
    <w:rsid w:val="0038796C"/>
    <w:rsid w:val="0038797D"/>
    <w:rsid w:val="003879DA"/>
    <w:rsid w:val="00387B50"/>
    <w:rsid w:val="00387C52"/>
    <w:rsid w:val="00387CCF"/>
    <w:rsid w:val="00387DC6"/>
    <w:rsid w:val="00387DC7"/>
    <w:rsid w:val="00387E3D"/>
    <w:rsid w:val="00387E68"/>
    <w:rsid w:val="00387E8F"/>
    <w:rsid w:val="00390107"/>
    <w:rsid w:val="00390197"/>
    <w:rsid w:val="003901A5"/>
    <w:rsid w:val="00390219"/>
    <w:rsid w:val="00390234"/>
    <w:rsid w:val="003902A8"/>
    <w:rsid w:val="003902B0"/>
    <w:rsid w:val="003902F8"/>
    <w:rsid w:val="0039039C"/>
    <w:rsid w:val="003903B4"/>
    <w:rsid w:val="003903D5"/>
    <w:rsid w:val="003903D8"/>
    <w:rsid w:val="003903F9"/>
    <w:rsid w:val="003904E7"/>
    <w:rsid w:val="003904FF"/>
    <w:rsid w:val="00390577"/>
    <w:rsid w:val="003905FA"/>
    <w:rsid w:val="0039076B"/>
    <w:rsid w:val="003907E7"/>
    <w:rsid w:val="003907E8"/>
    <w:rsid w:val="0039090C"/>
    <w:rsid w:val="00390938"/>
    <w:rsid w:val="0039098E"/>
    <w:rsid w:val="003909B4"/>
    <w:rsid w:val="003909BF"/>
    <w:rsid w:val="003909C2"/>
    <w:rsid w:val="00390AA4"/>
    <w:rsid w:val="00390B43"/>
    <w:rsid w:val="00390B84"/>
    <w:rsid w:val="00390B85"/>
    <w:rsid w:val="00390BDF"/>
    <w:rsid w:val="00390C15"/>
    <w:rsid w:val="00390F44"/>
    <w:rsid w:val="00390F4C"/>
    <w:rsid w:val="00390FBB"/>
    <w:rsid w:val="00390FF3"/>
    <w:rsid w:val="0039111B"/>
    <w:rsid w:val="00391183"/>
    <w:rsid w:val="003911B3"/>
    <w:rsid w:val="003911CD"/>
    <w:rsid w:val="003911E8"/>
    <w:rsid w:val="0039124E"/>
    <w:rsid w:val="00391340"/>
    <w:rsid w:val="0039139A"/>
    <w:rsid w:val="003913A2"/>
    <w:rsid w:val="003913EB"/>
    <w:rsid w:val="00391401"/>
    <w:rsid w:val="00391525"/>
    <w:rsid w:val="00391534"/>
    <w:rsid w:val="00391552"/>
    <w:rsid w:val="00391563"/>
    <w:rsid w:val="0039156E"/>
    <w:rsid w:val="0039166A"/>
    <w:rsid w:val="003916AE"/>
    <w:rsid w:val="003916B2"/>
    <w:rsid w:val="003916BF"/>
    <w:rsid w:val="003916D3"/>
    <w:rsid w:val="003916E6"/>
    <w:rsid w:val="0039172E"/>
    <w:rsid w:val="0039177E"/>
    <w:rsid w:val="003917E3"/>
    <w:rsid w:val="003918BF"/>
    <w:rsid w:val="0039193D"/>
    <w:rsid w:val="0039197A"/>
    <w:rsid w:val="0039198B"/>
    <w:rsid w:val="00391A51"/>
    <w:rsid w:val="00391AB8"/>
    <w:rsid w:val="00391AEF"/>
    <w:rsid w:val="00391B09"/>
    <w:rsid w:val="00391B18"/>
    <w:rsid w:val="00391BF5"/>
    <w:rsid w:val="00391CE8"/>
    <w:rsid w:val="00391D72"/>
    <w:rsid w:val="00391E38"/>
    <w:rsid w:val="00392144"/>
    <w:rsid w:val="0039218C"/>
    <w:rsid w:val="00392218"/>
    <w:rsid w:val="003922B0"/>
    <w:rsid w:val="003922ED"/>
    <w:rsid w:val="00392302"/>
    <w:rsid w:val="003924B7"/>
    <w:rsid w:val="00392620"/>
    <w:rsid w:val="00392675"/>
    <w:rsid w:val="00392691"/>
    <w:rsid w:val="0039269F"/>
    <w:rsid w:val="0039283D"/>
    <w:rsid w:val="00392943"/>
    <w:rsid w:val="003929E2"/>
    <w:rsid w:val="00392A7B"/>
    <w:rsid w:val="00392BC6"/>
    <w:rsid w:val="00392BF2"/>
    <w:rsid w:val="00392C4A"/>
    <w:rsid w:val="00392C7A"/>
    <w:rsid w:val="00392C9D"/>
    <w:rsid w:val="00392E9A"/>
    <w:rsid w:val="003931FA"/>
    <w:rsid w:val="0039321A"/>
    <w:rsid w:val="00393393"/>
    <w:rsid w:val="003933B0"/>
    <w:rsid w:val="00393429"/>
    <w:rsid w:val="00393441"/>
    <w:rsid w:val="0039349F"/>
    <w:rsid w:val="003934A3"/>
    <w:rsid w:val="00393516"/>
    <w:rsid w:val="00393538"/>
    <w:rsid w:val="0039358C"/>
    <w:rsid w:val="00393653"/>
    <w:rsid w:val="00393730"/>
    <w:rsid w:val="0039375F"/>
    <w:rsid w:val="0039381A"/>
    <w:rsid w:val="00393824"/>
    <w:rsid w:val="0039397F"/>
    <w:rsid w:val="003939EB"/>
    <w:rsid w:val="003939F7"/>
    <w:rsid w:val="00393B9E"/>
    <w:rsid w:val="00393DD9"/>
    <w:rsid w:val="00393E0B"/>
    <w:rsid w:val="00393E71"/>
    <w:rsid w:val="00393E82"/>
    <w:rsid w:val="00393F3F"/>
    <w:rsid w:val="00393F81"/>
    <w:rsid w:val="00393F8F"/>
    <w:rsid w:val="00393FF4"/>
    <w:rsid w:val="0039402E"/>
    <w:rsid w:val="0039403B"/>
    <w:rsid w:val="0039421C"/>
    <w:rsid w:val="003942FD"/>
    <w:rsid w:val="0039435F"/>
    <w:rsid w:val="003943A4"/>
    <w:rsid w:val="003943AC"/>
    <w:rsid w:val="00394405"/>
    <w:rsid w:val="00394508"/>
    <w:rsid w:val="00394516"/>
    <w:rsid w:val="00394536"/>
    <w:rsid w:val="00394546"/>
    <w:rsid w:val="0039461A"/>
    <w:rsid w:val="00394815"/>
    <w:rsid w:val="003948D2"/>
    <w:rsid w:val="00394A41"/>
    <w:rsid w:val="00394A78"/>
    <w:rsid w:val="00394A96"/>
    <w:rsid w:val="00394BD5"/>
    <w:rsid w:val="00394BE6"/>
    <w:rsid w:val="00394C8E"/>
    <w:rsid w:val="00394D01"/>
    <w:rsid w:val="00394E98"/>
    <w:rsid w:val="00394EA0"/>
    <w:rsid w:val="00394F04"/>
    <w:rsid w:val="00394FDA"/>
    <w:rsid w:val="0039503C"/>
    <w:rsid w:val="0039503D"/>
    <w:rsid w:val="00395043"/>
    <w:rsid w:val="00395094"/>
    <w:rsid w:val="003951FA"/>
    <w:rsid w:val="00395208"/>
    <w:rsid w:val="003952C3"/>
    <w:rsid w:val="00395343"/>
    <w:rsid w:val="0039537D"/>
    <w:rsid w:val="003954DF"/>
    <w:rsid w:val="003955C6"/>
    <w:rsid w:val="003955D7"/>
    <w:rsid w:val="00395666"/>
    <w:rsid w:val="003956DA"/>
    <w:rsid w:val="003956DF"/>
    <w:rsid w:val="003958AE"/>
    <w:rsid w:val="003958BB"/>
    <w:rsid w:val="003958CB"/>
    <w:rsid w:val="00395933"/>
    <w:rsid w:val="00395967"/>
    <w:rsid w:val="003959DD"/>
    <w:rsid w:val="00395A2E"/>
    <w:rsid w:val="00395A3A"/>
    <w:rsid w:val="00395A65"/>
    <w:rsid w:val="00395ACE"/>
    <w:rsid w:val="00395B78"/>
    <w:rsid w:val="00395CF0"/>
    <w:rsid w:val="00395DFB"/>
    <w:rsid w:val="00395E16"/>
    <w:rsid w:val="00395F42"/>
    <w:rsid w:val="00395F52"/>
    <w:rsid w:val="00395F75"/>
    <w:rsid w:val="00396023"/>
    <w:rsid w:val="0039605E"/>
    <w:rsid w:val="003960FE"/>
    <w:rsid w:val="00396135"/>
    <w:rsid w:val="003961A5"/>
    <w:rsid w:val="0039621C"/>
    <w:rsid w:val="00396255"/>
    <w:rsid w:val="00396271"/>
    <w:rsid w:val="0039644A"/>
    <w:rsid w:val="00396467"/>
    <w:rsid w:val="00396556"/>
    <w:rsid w:val="003965F2"/>
    <w:rsid w:val="0039667A"/>
    <w:rsid w:val="003966C4"/>
    <w:rsid w:val="00396744"/>
    <w:rsid w:val="00396746"/>
    <w:rsid w:val="00396788"/>
    <w:rsid w:val="003967FE"/>
    <w:rsid w:val="00396839"/>
    <w:rsid w:val="00396894"/>
    <w:rsid w:val="00396936"/>
    <w:rsid w:val="00396959"/>
    <w:rsid w:val="003969BF"/>
    <w:rsid w:val="003969DF"/>
    <w:rsid w:val="00396A0C"/>
    <w:rsid w:val="00396A0F"/>
    <w:rsid w:val="00396A23"/>
    <w:rsid w:val="00396B35"/>
    <w:rsid w:val="00396B3D"/>
    <w:rsid w:val="00396B6B"/>
    <w:rsid w:val="00396BC4"/>
    <w:rsid w:val="00396C11"/>
    <w:rsid w:val="00396C21"/>
    <w:rsid w:val="00396CA3"/>
    <w:rsid w:val="00396D92"/>
    <w:rsid w:val="00396E2B"/>
    <w:rsid w:val="00396F11"/>
    <w:rsid w:val="00396FED"/>
    <w:rsid w:val="003971A0"/>
    <w:rsid w:val="00397222"/>
    <w:rsid w:val="003972A8"/>
    <w:rsid w:val="003972B3"/>
    <w:rsid w:val="003972CB"/>
    <w:rsid w:val="00397326"/>
    <w:rsid w:val="003974A4"/>
    <w:rsid w:val="003974D2"/>
    <w:rsid w:val="0039753C"/>
    <w:rsid w:val="003975CE"/>
    <w:rsid w:val="0039767A"/>
    <w:rsid w:val="0039767F"/>
    <w:rsid w:val="003976D2"/>
    <w:rsid w:val="003977C9"/>
    <w:rsid w:val="00397805"/>
    <w:rsid w:val="0039784F"/>
    <w:rsid w:val="003978F5"/>
    <w:rsid w:val="00397972"/>
    <w:rsid w:val="0039798B"/>
    <w:rsid w:val="00397B5E"/>
    <w:rsid w:val="00397B9F"/>
    <w:rsid w:val="00397C05"/>
    <w:rsid w:val="00397C76"/>
    <w:rsid w:val="00397EF9"/>
    <w:rsid w:val="00397EFD"/>
    <w:rsid w:val="00397F9C"/>
    <w:rsid w:val="00397FAB"/>
    <w:rsid w:val="00397FDE"/>
    <w:rsid w:val="00398D84"/>
    <w:rsid w:val="003A0010"/>
    <w:rsid w:val="003A0027"/>
    <w:rsid w:val="003A014A"/>
    <w:rsid w:val="003A016D"/>
    <w:rsid w:val="003A01DA"/>
    <w:rsid w:val="003A01E8"/>
    <w:rsid w:val="003A0262"/>
    <w:rsid w:val="003A02A2"/>
    <w:rsid w:val="003A0335"/>
    <w:rsid w:val="003A034E"/>
    <w:rsid w:val="003A0404"/>
    <w:rsid w:val="003A0433"/>
    <w:rsid w:val="003A0461"/>
    <w:rsid w:val="003A0551"/>
    <w:rsid w:val="003A05B5"/>
    <w:rsid w:val="003A05EC"/>
    <w:rsid w:val="003A0749"/>
    <w:rsid w:val="003A0778"/>
    <w:rsid w:val="003A078D"/>
    <w:rsid w:val="003A07A9"/>
    <w:rsid w:val="003A0811"/>
    <w:rsid w:val="003A0857"/>
    <w:rsid w:val="003A0862"/>
    <w:rsid w:val="003A08D6"/>
    <w:rsid w:val="003A0A16"/>
    <w:rsid w:val="003A0A5D"/>
    <w:rsid w:val="003A0A74"/>
    <w:rsid w:val="003A0B40"/>
    <w:rsid w:val="003A0B62"/>
    <w:rsid w:val="003A0D1A"/>
    <w:rsid w:val="003A0D2B"/>
    <w:rsid w:val="003A0E08"/>
    <w:rsid w:val="003A0E20"/>
    <w:rsid w:val="003A0E83"/>
    <w:rsid w:val="003A0E9A"/>
    <w:rsid w:val="003A0F36"/>
    <w:rsid w:val="003A0F62"/>
    <w:rsid w:val="003A1002"/>
    <w:rsid w:val="003A10FB"/>
    <w:rsid w:val="003A1148"/>
    <w:rsid w:val="003A1168"/>
    <w:rsid w:val="003A1182"/>
    <w:rsid w:val="003A1298"/>
    <w:rsid w:val="003A134D"/>
    <w:rsid w:val="003A138A"/>
    <w:rsid w:val="003A1400"/>
    <w:rsid w:val="003A146B"/>
    <w:rsid w:val="003A1487"/>
    <w:rsid w:val="003A1498"/>
    <w:rsid w:val="003A15F8"/>
    <w:rsid w:val="003A160D"/>
    <w:rsid w:val="003A169E"/>
    <w:rsid w:val="003A16C3"/>
    <w:rsid w:val="003A16CF"/>
    <w:rsid w:val="003A176A"/>
    <w:rsid w:val="003A17CF"/>
    <w:rsid w:val="003A180B"/>
    <w:rsid w:val="003A18FB"/>
    <w:rsid w:val="003A1954"/>
    <w:rsid w:val="003A1A39"/>
    <w:rsid w:val="003A1A41"/>
    <w:rsid w:val="003A1A95"/>
    <w:rsid w:val="003A1ABD"/>
    <w:rsid w:val="003A1AE1"/>
    <w:rsid w:val="003A1B01"/>
    <w:rsid w:val="003A1B37"/>
    <w:rsid w:val="003A1BAA"/>
    <w:rsid w:val="003A1BB3"/>
    <w:rsid w:val="003A1C0E"/>
    <w:rsid w:val="003A1CE1"/>
    <w:rsid w:val="003A1D86"/>
    <w:rsid w:val="003A1D9B"/>
    <w:rsid w:val="003A1DAB"/>
    <w:rsid w:val="003A1DB2"/>
    <w:rsid w:val="003A1E9A"/>
    <w:rsid w:val="003A1EFE"/>
    <w:rsid w:val="003A1F93"/>
    <w:rsid w:val="003A1FA1"/>
    <w:rsid w:val="003A2096"/>
    <w:rsid w:val="003A2099"/>
    <w:rsid w:val="003A214A"/>
    <w:rsid w:val="003A2197"/>
    <w:rsid w:val="003A21C4"/>
    <w:rsid w:val="003A2429"/>
    <w:rsid w:val="003A24C3"/>
    <w:rsid w:val="003A25E6"/>
    <w:rsid w:val="003A25EA"/>
    <w:rsid w:val="003A261B"/>
    <w:rsid w:val="003A2649"/>
    <w:rsid w:val="003A2710"/>
    <w:rsid w:val="003A27D1"/>
    <w:rsid w:val="003A28B9"/>
    <w:rsid w:val="003A28CF"/>
    <w:rsid w:val="003A2908"/>
    <w:rsid w:val="003A290D"/>
    <w:rsid w:val="003A2939"/>
    <w:rsid w:val="003A29A5"/>
    <w:rsid w:val="003A29D8"/>
    <w:rsid w:val="003A2A1A"/>
    <w:rsid w:val="003A2A7C"/>
    <w:rsid w:val="003A2AB6"/>
    <w:rsid w:val="003A2AC4"/>
    <w:rsid w:val="003A2AF6"/>
    <w:rsid w:val="003A2B31"/>
    <w:rsid w:val="003A2BA2"/>
    <w:rsid w:val="003A2C30"/>
    <w:rsid w:val="003A2DEA"/>
    <w:rsid w:val="003A2DED"/>
    <w:rsid w:val="003A2DF7"/>
    <w:rsid w:val="003A2E3A"/>
    <w:rsid w:val="003A2E49"/>
    <w:rsid w:val="003A2E5F"/>
    <w:rsid w:val="003A2FC0"/>
    <w:rsid w:val="003A2FD1"/>
    <w:rsid w:val="003A3021"/>
    <w:rsid w:val="003A30B9"/>
    <w:rsid w:val="003A30ED"/>
    <w:rsid w:val="003A31EF"/>
    <w:rsid w:val="003A31F2"/>
    <w:rsid w:val="003A3274"/>
    <w:rsid w:val="003A32AC"/>
    <w:rsid w:val="003A3316"/>
    <w:rsid w:val="003A34A7"/>
    <w:rsid w:val="003A355F"/>
    <w:rsid w:val="003A3583"/>
    <w:rsid w:val="003A3584"/>
    <w:rsid w:val="003A36E4"/>
    <w:rsid w:val="003A3747"/>
    <w:rsid w:val="003A3773"/>
    <w:rsid w:val="003A37AC"/>
    <w:rsid w:val="003A382D"/>
    <w:rsid w:val="003A38AB"/>
    <w:rsid w:val="003A38D0"/>
    <w:rsid w:val="003A3946"/>
    <w:rsid w:val="003A3A05"/>
    <w:rsid w:val="003A3B7A"/>
    <w:rsid w:val="003A3C41"/>
    <w:rsid w:val="003A3D45"/>
    <w:rsid w:val="003A3E06"/>
    <w:rsid w:val="003A3E39"/>
    <w:rsid w:val="003A3E83"/>
    <w:rsid w:val="003A4045"/>
    <w:rsid w:val="003A4096"/>
    <w:rsid w:val="003A40E3"/>
    <w:rsid w:val="003A4131"/>
    <w:rsid w:val="003A41D4"/>
    <w:rsid w:val="003A42F7"/>
    <w:rsid w:val="003A437D"/>
    <w:rsid w:val="003A43BF"/>
    <w:rsid w:val="003A442C"/>
    <w:rsid w:val="003A4444"/>
    <w:rsid w:val="003A4497"/>
    <w:rsid w:val="003A4521"/>
    <w:rsid w:val="003A45D0"/>
    <w:rsid w:val="003A461C"/>
    <w:rsid w:val="003A46E7"/>
    <w:rsid w:val="003A47F2"/>
    <w:rsid w:val="003A4811"/>
    <w:rsid w:val="003A482F"/>
    <w:rsid w:val="003A4A70"/>
    <w:rsid w:val="003A4AC2"/>
    <w:rsid w:val="003A4B20"/>
    <w:rsid w:val="003A4B64"/>
    <w:rsid w:val="003A4BCF"/>
    <w:rsid w:val="003A4CDB"/>
    <w:rsid w:val="003A4D2E"/>
    <w:rsid w:val="003A4D7E"/>
    <w:rsid w:val="003A4DCB"/>
    <w:rsid w:val="003A5016"/>
    <w:rsid w:val="003A5187"/>
    <w:rsid w:val="003A5299"/>
    <w:rsid w:val="003A541F"/>
    <w:rsid w:val="003A5491"/>
    <w:rsid w:val="003A560B"/>
    <w:rsid w:val="003A567A"/>
    <w:rsid w:val="003A57AA"/>
    <w:rsid w:val="003A5811"/>
    <w:rsid w:val="003A5822"/>
    <w:rsid w:val="003A58B9"/>
    <w:rsid w:val="003A5913"/>
    <w:rsid w:val="003A59B0"/>
    <w:rsid w:val="003A5A9B"/>
    <w:rsid w:val="003A5B54"/>
    <w:rsid w:val="003A5B7B"/>
    <w:rsid w:val="003A5C3C"/>
    <w:rsid w:val="003A5C6B"/>
    <w:rsid w:val="003A5CD7"/>
    <w:rsid w:val="003A5CF4"/>
    <w:rsid w:val="003A5D57"/>
    <w:rsid w:val="003A5E11"/>
    <w:rsid w:val="003A5E35"/>
    <w:rsid w:val="003A5E3A"/>
    <w:rsid w:val="003A5E6A"/>
    <w:rsid w:val="003A5E85"/>
    <w:rsid w:val="003A5EA4"/>
    <w:rsid w:val="003A5EEE"/>
    <w:rsid w:val="003A5F39"/>
    <w:rsid w:val="003A6038"/>
    <w:rsid w:val="003A6073"/>
    <w:rsid w:val="003A607E"/>
    <w:rsid w:val="003A60CD"/>
    <w:rsid w:val="003A616E"/>
    <w:rsid w:val="003A6192"/>
    <w:rsid w:val="003A61CB"/>
    <w:rsid w:val="003A624D"/>
    <w:rsid w:val="003A6297"/>
    <w:rsid w:val="003A62C7"/>
    <w:rsid w:val="003A6312"/>
    <w:rsid w:val="003A632A"/>
    <w:rsid w:val="003A63E5"/>
    <w:rsid w:val="003A6408"/>
    <w:rsid w:val="003A6417"/>
    <w:rsid w:val="003A643A"/>
    <w:rsid w:val="003A64D6"/>
    <w:rsid w:val="003A6587"/>
    <w:rsid w:val="003A659F"/>
    <w:rsid w:val="003A65FD"/>
    <w:rsid w:val="003A667E"/>
    <w:rsid w:val="003A66E4"/>
    <w:rsid w:val="003A6700"/>
    <w:rsid w:val="003A6733"/>
    <w:rsid w:val="003A67B5"/>
    <w:rsid w:val="003A6842"/>
    <w:rsid w:val="003A6854"/>
    <w:rsid w:val="003A6862"/>
    <w:rsid w:val="003A688A"/>
    <w:rsid w:val="003A691D"/>
    <w:rsid w:val="003A6936"/>
    <w:rsid w:val="003A69D4"/>
    <w:rsid w:val="003A6A13"/>
    <w:rsid w:val="003A6A44"/>
    <w:rsid w:val="003A6ABA"/>
    <w:rsid w:val="003A6B9E"/>
    <w:rsid w:val="003A6BC5"/>
    <w:rsid w:val="003A6C54"/>
    <w:rsid w:val="003A6CA6"/>
    <w:rsid w:val="003A6CDC"/>
    <w:rsid w:val="003A6DD0"/>
    <w:rsid w:val="003A6F51"/>
    <w:rsid w:val="003A6F6D"/>
    <w:rsid w:val="003A6FBB"/>
    <w:rsid w:val="003A70C5"/>
    <w:rsid w:val="003A70F4"/>
    <w:rsid w:val="003A714B"/>
    <w:rsid w:val="003A717C"/>
    <w:rsid w:val="003A717D"/>
    <w:rsid w:val="003A7366"/>
    <w:rsid w:val="003A741A"/>
    <w:rsid w:val="003A7427"/>
    <w:rsid w:val="003A7435"/>
    <w:rsid w:val="003A744D"/>
    <w:rsid w:val="003A7456"/>
    <w:rsid w:val="003A7464"/>
    <w:rsid w:val="003A78AE"/>
    <w:rsid w:val="003A7941"/>
    <w:rsid w:val="003A7956"/>
    <w:rsid w:val="003A79D5"/>
    <w:rsid w:val="003A7A7F"/>
    <w:rsid w:val="003A7AB4"/>
    <w:rsid w:val="003A7BB7"/>
    <w:rsid w:val="003A7C0B"/>
    <w:rsid w:val="003A7C6A"/>
    <w:rsid w:val="003A7D31"/>
    <w:rsid w:val="003A7DC2"/>
    <w:rsid w:val="003A7E3D"/>
    <w:rsid w:val="003A7E67"/>
    <w:rsid w:val="003A7E81"/>
    <w:rsid w:val="003A7E85"/>
    <w:rsid w:val="003A7EBE"/>
    <w:rsid w:val="003A7FDD"/>
    <w:rsid w:val="003B0122"/>
    <w:rsid w:val="003B019C"/>
    <w:rsid w:val="003B026C"/>
    <w:rsid w:val="003B02FA"/>
    <w:rsid w:val="003B0495"/>
    <w:rsid w:val="003B0629"/>
    <w:rsid w:val="003B06B1"/>
    <w:rsid w:val="003B0814"/>
    <w:rsid w:val="003B08EE"/>
    <w:rsid w:val="003B0900"/>
    <w:rsid w:val="003B0914"/>
    <w:rsid w:val="003B091C"/>
    <w:rsid w:val="003B09B4"/>
    <w:rsid w:val="003B0A06"/>
    <w:rsid w:val="003B0A36"/>
    <w:rsid w:val="003B0A4E"/>
    <w:rsid w:val="003B0CE6"/>
    <w:rsid w:val="003B0DDC"/>
    <w:rsid w:val="003B0E43"/>
    <w:rsid w:val="003B0EDD"/>
    <w:rsid w:val="003B0EED"/>
    <w:rsid w:val="003B0FA0"/>
    <w:rsid w:val="003B0FB6"/>
    <w:rsid w:val="003B104D"/>
    <w:rsid w:val="003B1056"/>
    <w:rsid w:val="003B10C2"/>
    <w:rsid w:val="003B10F9"/>
    <w:rsid w:val="003B120D"/>
    <w:rsid w:val="003B1229"/>
    <w:rsid w:val="003B1241"/>
    <w:rsid w:val="003B128E"/>
    <w:rsid w:val="003B13EB"/>
    <w:rsid w:val="003B14B6"/>
    <w:rsid w:val="003B14F1"/>
    <w:rsid w:val="003B1537"/>
    <w:rsid w:val="003B1539"/>
    <w:rsid w:val="003B15D1"/>
    <w:rsid w:val="003B16D5"/>
    <w:rsid w:val="003B17C7"/>
    <w:rsid w:val="003B1829"/>
    <w:rsid w:val="003B1832"/>
    <w:rsid w:val="003B1834"/>
    <w:rsid w:val="003B191D"/>
    <w:rsid w:val="003B1AD2"/>
    <w:rsid w:val="003B1ADD"/>
    <w:rsid w:val="003B1B38"/>
    <w:rsid w:val="003B1BCD"/>
    <w:rsid w:val="003B1BF1"/>
    <w:rsid w:val="003B1D33"/>
    <w:rsid w:val="003B1EA5"/>
    <w:rsid w:val="003B1EFD"/>
    <w:rsid w:val="003B1F76"/>
    <w:rsid w:val="003B1FB6"/>
    <w:rsid w:val="003B1FBA"/>
    <w:rsid w:val="003B1FBF"/>
    <w:rsid w:val="003B1FE3"/>
    <w:rsid w:val="003B2124"/>
    <w:rsid w:val="003B2141"/>
    <w:rsid w:val="003B21C7"/>
    <w:rsid w:val="003B2208"/>
    <w:rsid w:val="003B2242"/>
    <w:rsid w:val="003B226F"/>
    <w:rsid w:val="003B2271"/>
    <w:rsid w:val="003B22C7"/>
    <w:rsid w:val="003B22D3"/>
    <w:rsid w:val="003B23B9"/>
    <w:rsid w:val="003B24DE"/>
    <w:rsid w:val="003B2538"/>
    <w:rsid w:val="003B256D"/>
    <w:rsid w:val="003B2581"/>
    <w:rsid w:val="003B2596"/>
    <w:rsid w:val="003B25E0"/>
    <w:rsid w:val="003B2612"/>
    <w:rsid w:val="003B261B"/>
    <w:rsid w:val="003B26E6"/>
    <w:rsid w:val="003B26FB"/>
    <w:rsid w:val="003B27F0"/>
    <w:rsid w:val="003B286B"/>
    <w:rsid w:val="003B2945"/>
    <w:rsid w:val="003B29B9"/>
    <w:rsid w:val="003B29E3"/>
    <w:rsid w:val="003B29EC"/>
    <w:rsid w:val="003B2AC8"/>
    <w:rsid w:val="003B2BCF"/>
    <w:rsid w:val="003B2C03"/>
    <w:rsid w:val="003B2C1B"/>
    <w:rsid w:val="003B2C44"/>
    <w:rsid w:val="003B2CAB"/>
    <w:rsid w:val="003B2D6D"/>
    <w:rsid w:val="003B2E1A"/>
    <w:rsid w:val="003B2F9B"/>
    <w:rsid w:val="003B301B"/>
    <w:rsid w:val="003B3065"/>
    <w:rsid w:val="003B30AF"/>
    <w:rsid w:val="003B30FA"/>
    <w:rsid w:val="003B311F"/>
    <w:rsid w:val="003B3199"/>
    <w:rsid w:val="003B31CF"/>
    <w:rsid w:val="003B32C4"/>
    <w:rsid w:val="003B3362"/>
    <w:rsid w:val="003B33D6"/>
    <w:rsid w:val="003B3412"/>
    <w:rsid w:val="003B3418"/>
    <w:rsid w:val="003B3436"/>
    <w:rsid w:val="003B349E"/>
    <w:rsid w:val="003B3523"/>
    <w:rsid w:val="003B359A"/>
    <w:rsid w:val="003B35E1"/>
    <w:rsid w:val="003B35EB"/>
    <w:rsid w:val="003B36FF"/>
    <w:rsid w:val="003B3954"/>
    <w:rsid w:val="003B3996"/>
    <w:rsid w:val="003B39E8"/>
    <w:rsid w:val="003B3A7C"/>
    <w:rsid w:val="003B3AF6"/>
    <w:rsid w:val="003B3B71"/>
    <w:rsid w:val="003B3BEA"/>
    <w:rsid w:val="003B3D5A"/>
    <w:rsid w:val="003B3D95"/>
    <w:rsid w:val="003B3E50"/>
    <w:rsid w:val="003B3F61"/>
    <w:rsid w:val="003B3F6D"/>
    <w:rsid w:val="003B3FC6"/>
    <w:rsid w:val="003B4001"/>
    <w:rsid w:val="003B4236"/>
    <w:rsid w:val="003B425F"/>
    <w:rsid w:val="003B428E"/>
    <w:rsid w:val="003B4292"/>
    <w:rsid w:val="003B43A5"/>
    <w:rsid w:val="003B4571"/>
    <w:rsid w:val="003B465E"/>
    <w:rsid w:val="003B46CB"/>
    <w:rsid w:val="003B477D"/>
    <w:rsid w:val="003B482D"/>
    <w:rsid w:val="003B4AA4"/>
    <w:rsid w:val="003B4ACC"/>
    <w:rsid w:val="003B4AD6"/>
    <w:rsid w:val="003B4AF5"/>
    <w:rsid w:val="003B4B25"/>
    <w:rsid w:val="003B4B35"/>
    <w:rsid w:val="003B4BD4"/>
    <w:rsid w:val="003B4C14"/>
    <w:rsid w:val="003B4C35"/>
    <w:rsid w:val="003B4D75"/>
    <w:rsid w:val="003B4EC7"/>
    <w:rsid w:val="003B4F14"/>
    <w:rsid w:val="003B4F43"/>
    <w:rsid w:val="003B4F60"/>
    <w:rsid w:val="003B4FFE"/>
    <w:rsid w:val="003B5121"/>
    <w:rsid w:val="003B524A"/>
    <w:rsid w:val="003B52D4"/>
    <w:rsid w:val="003B5338"/>
    <w:rsid w:val="003B5477"/>
    <w:rsid w:val="003B5586"/>
    <w:rsid w:val="003B56C1"/>
    <w:rsid w:val="003B5727"/>
    <w:rsid w:val="003B57E2"/>
    <w:rsid w:val="003B5847"/>
    <w:rsid w:val="003B5866"/>
    <w:rsid w:val="003B58AA"/>
    <w:rsid w:val="003B594F"/>
    <w:rsid w:val="003B5998"/>
    <w:rsid w:val="003B5AF0"/>
    <w:rsid w:val="003B5B80"/>
    <w:rsid w:val="003B5B8D"/>
    <w:rsid w:val="003B5C05"/>
    <w:rsid w:val="003B5CF8"/>
    <w:rsid w:val="003B5D09"/>
    <w:rsid w:val="003B5DDE"/>
    <w:rsid w:val="003B5E11"/>
    <w:rsid w:val="003B5E40"/>
    <w:rsid w:val="003B5F59"/>
    <w:rsid w:val="003B5FB5"/>
    <w:rsid w:val="003B5FFF"/>
    <w:rsid w:val="003B607E"/>
    <w:rsid w:val="003B609E"/>
    <w:rsid w:val="003B60AA"/>
    <w:rsid w:val="003B60E3"/>
    <w:rsid w:val="003B60E8"/>
    <w:rsid w:val="003B6163"/>
    <w:rsid w:val="003B6209"/>
    <w:rsid w:val="003B621D"/>
    <w:rsid w:val="003B62B3"/>
    <w:rsid w:val="003B62C2"/>
    <w:rsid w:val="003B632F"/>
    <w:rsid w:val="003B6354"/>
    <w:rsid w:val="003B6657"/>
    <w:rsid w:val="003B667C"/>
    <w:rsid w:val="003B6693"/>
    <w:rsid w:val="003B6722"/>
    <w:rsid w:val="003B69A9"/>
    <w:rsid w:val="003B6A14"/>
    <w:rsid w:val="003B6AC4"/>
    <w:rsid w:val="003B6AED"/>
    <w:rsid w:val="003B6C28"/>
    <w:rsid w:val="003B6C38"/>
    <w:rsid w:val="003B6C96"/>
    <w:rsid w:val="003B6D5C"/>
    <w:rsid w:val="003B6E12"/>
    <w:rsid w:val="003B6E1F"/>
    <w:rsid w:val="003B6E2B"/>
    <w:rsid w:val="003B6E80"/>
    <w:rsid w:val="003B7037"/>
    <w:rsid w:val="003B709B"/>
    <w:rsid w:val="003B70FD"/>
    <w:rsid w:val="003B7320"/>
    <w:rsid w:val="003B7414"/>
    <w:rsid w:val="003B756E"/>
    <w:rsid w:val="003B764E"/>
    <w:rsid w:val="003B7777"/>
    <w:rsid w:val="003B780E"/>
    <w:rsid w:val="003B78C3"/>
    <w:rsid w:val="003B7948"/>
    <w:rsid w:val="003B7993"/>
    <w:rsid w:val="003B7A34"/>
    <w:rsid w:val="003B7B0D"/>
    <w:rsid w:val="003B7BE0"/>
    <w:rsid w:val="003B7DAB"/>
    <w:rsid w:val="003B7EDE"/>
    <w:rsid w:val="003B7EE4"/>
    <w:rsid w:val="003B7F00"/>
    <w:rsid w:val="003B7F88"/>
    <w:rsid w:val="003BF46D"/>
    <w:rsid w:val="003C000B"/>
    <w:rsid w:val="003C013E"/>
    <w:rsid w:val="003C016C"/>
    <w:rsid w:val="003C018F"/>
    <w:rsid w:val="003C01BE"/>
    <w:rsid w:val="003C01D6"/>
    <w:rsid w:val="003C0211"/>
    <w:rsid w:val="003C0239"/>
    <w:rsid w:val="003C026A"/>
    <w:rsid w:val="003C02C0"/>
    <w:rsid w:val="003C02EB"/>
    <w:rsid w:val="003C039B"/>
    <w:rsid w:val="003C03D3"/>
    <w:rsid w:val="003C0402"/>
    <w:rsid w:val="003C04DA"/>
    <w:rsid w:val="003C04FE"/>
    <w:rsid w:val="003C0507"/>
    <w:rsid w:val="003C051B"/>
    <w:rsid w:val="003C0534"/>
    <w:rsid w:val="003C05AC"/>
    <w:rsid w:val="003C05DC"/>
    <w:rsid w:val="003C0692"/>
    <w:rsid w:val="003C06A6"/>
    <w:rsid w:val="003C06F2"/>
    <w:rsid w:val="003C0712"/>
    <w:rsid w:val="003C0985"/>
    <w:rsid w:val="003C09B7"/>
    <w:rsid w:val="003C09D2"/>
    <w:rsid w:val="003C09F1"/>
    <w:rsid w:val="003C0AE5"/>
    <w:rsid w:val="003C0C17"/>
    <w:rsid w:val="003C0C3B"/>
    <w:rsid w:val="003C0C51"/>
    <w:rsid w:val="003C0C6F"/>
    <w:rsid w:val="003C0CA4"/>
    <w:rsid w:val="003C0E94"/>
    <w:rsid w:val="003C0EC6"/>
    <w:rsid w:val="003C0EF2"/>
    <w:rsid w:val="003C0F07"/>
    <w:rsid w:val="003C0F44"/>
    <w:rsid w:val="003C0FFF"/>
    <w:rsid w:val="003C107E"/>
    <w:rsid w:val="003C112A"/>
    <w:rsid w:val="003C1215"/>
    <w:rsid w:val="003C125B"/>
    <w:rsid w:val="003C13EC"/>
    <w:rsid w:val="003C13F8"/>
    <w:rsid w:val="003C1434"/>
    <w:rsid w:val="003C144A"/>
    <w:rsid w:val="003C1640"/>
    <w:rsid w:val="003C16F3"/>
    <w:rsid w:val="003C1739"/>
    <w:rsid w:val="003C1749"/>
    <w:rsid w:val="003C1773"/>
    <w:rsid w:val="003C17E0"/>
    <w:rsid w:val="003C18D7"/>
    <w:rsid w:val="003C191C"/>
    <w:rsid w:val="003C1956"/>
    <w:rsid w:val="003C19AD"/>
    <w:rsid w:val="003C1A91"/>
    <w:rsid w:val="003C1AC1"/>
    <w:rsid w:val="003C1AEC"/>
    <w:rsid w:val="003C1AF5"/>
    <w:rsid w:val="003C1B62"/>
    <w:rsid w:val="003C1BE5"/>
    <w:rsid w:val="003C1C3D"/>
    <w:rsid w:val="003C1CA4"/>
    <w:rsid w:val="003C1DF6"/>
    <w:rsid w:val="003C1F17"/>
    <w:rsid w:val="003C1F4A"/>
    <w:rsid w:val="003C200E"/>
    <w:rsid w:val="003C203D"/>
    <w:rsid w:val="003C20F9"/>
    <w:rsid w:val="003C216A"/>
    <w:rsid w:val="003C2268"/>
    <w:rsid w:val="003C2270"/>
    <w:rsid w:val="003C22FB"/>
    <w:rsid w:val="003C23A2"/>
    <w:rsid w:val="003C23E4"/>
    <w:rsid w:val="003C2521"/>
    <w:rsid w:val="003C2571"/>
    <w:rsid w:val="003C2598"/>
    <w:rsid w:val="003C2605"/>
    <w:rsid w:val="003C26DE"/>
    <w:rsid w:val="003C27FC"/>
    <w:rsid w:val="003C28AE"/>
    <w:rsid w:val="003C297B"/>
    <w:rsid w:val="003C29E6"/>
    <w:rsid w:val="003C2A4A"/>
    <w:rsid w:val="003C2BB0"/>
    <w:rsid w:val="003C2BC2"/>
    <w:rsid w:val="003C2CA4"/>
    <w:rsid w:val="003C2CF4"/>
    <w:rsid w:val="003C2D66"/>
    <w:rsid w:val="003C2E02"/>
    <w:rsid w:val="003C2E09"/>
    <w:rsid w:val="003C2EC4"/>
    <w:rsid w:val="003C2ED6"/>
    <w:rsid w:val="003C2F07"/>
    <w:rsid w:val="003C2F19"/>
    <w:rsid w:val="003C3016"/>
    <w:rsid w:val="003C3086"/>
    <w:rsid w:val="003C30E6"/>
    <w:rsid w:val="003C3108"/>
    <w:rsid w:val="003C32A5"/>
    <w:rsid w:val="003C32CA"/>
    <w:rsid w:val="003C32E3"/>
    <w:rsid w:val="003C32E9"/>
    <w:rsid w:val="003C3448"/>
    <w:rsid w:val="003C3472"/>
    <w:rsid w:val="003C34C6"/>
    <w:rsid w:val="003C3524"/>
    <w:rsid w:val="003C3526"/>
    <w:rsid w:val="003C353A"/>
    <w:rsid w:val="003C3564"/>
    <w:rsid w:val="003C35AC"/>
    <w:rsid w:val="003C3613"/>
    <w:rsid w:val="003C3660"/>
    <w:rsid w:val="003C368E"/>
    <w:rsid w:val="003C376A"/>
    <w:rsid w:val="003C37A5"/>
    <w:rsid w:val="003C37CA"/>
    <w:rsid w:val="003C37DE"/>
    <w:rsid w:val="003C383A"/>
    <w:rsid w:val="003C39E8"/>
    <w:rsid w:val="003C3A43"/>
    <w:rsid w:val="003C3A95"/>
    <w:rsid w:val="003C3AF9"/>
    <w:rsid w:val="003C3C0E"/>
    <w:rsid w:val="003C3CEC"/>
    <w:rsid w:val="003C3E31"/>
    <w:rsid w:val="003C3E6D"/>
    <w:rsid w:val="003C3F64"/>
    <w:rsid w:val="003C3F79"/>
    <w:rsid w:val="003C4004"/>
    <w:rsid w:val="003C4054"/>
    <w:rsid w:val="003C4064"/>
    <w:rsid w:val="003C40CF"/>
    <w:rsid w:val="003C4111"/>
    <w:rsid w:val="003C4139"/>
    <w:rsid w:val="003C41A0"/>
    <w:rsid w:val="003C41B4"/>
    <w:rsid w:val="003C4300"/>
    <w:rsid w:val="003C43FE"/>
    <w:rsid w:val="003C446C"/>
    <w:rsid w:val="003C44D2"/>
    <w:rsid w:val="003C453A"/>
    <w:rsid w:val="003C4574"/>
    <w:rsid w:val="003C4577"/>
    <w:rsid w:val="003C4623"/>
    <w:rsid w:val="003C46A1"/>
    <w:rsid w:val="003C46D3"/>
    <w:rsid w:val="003C46D6"/>
    <w:rsid w:val="003C4707"/>
    <w:rsid w:val="003C4762"/>
    <w:rsid w:val="003C47C7"/>
    <w:rsid w:val="003C4880"/>
    <w:rsid w:val="003C4927"/>
    <w:rsid w:val="003C4950"/>
    <w:rsid w:val="003C4976"/>
    <w:rsid w:val="003C497A"/>
    <w:rsid w:val="003C49E7"/>
    <w:rsid w:val="003C4A18"/>
    <w:rsid w:val="003C4BED"/>
    <w:rsid w:val="003C4C2B"/>
    <w:rsid w:val="003C4C76"/>
    <w:rsid w:val="003C4D85"/>
    <w:rsid w:val="003C4D8C"/>
    <w:rsid w:val="003C4DE7"/>
    <w:rsid w:val="003C4E34"/>
    <w:rsid w:val="003C4E9C"/>
    <w:rsid w:val="003C4EC3"/>
    <w:rsid w:val="003C4FB4"/>
    <w:rsid w:val="003C5032"/>
    <w:rsid w:val="003C5044"/>
    <w:rsid w:val="003C50EB"/>
    <w:rsid w:val="003C5172"/>
    <w:rsid w:val="003C51CE"/>
    <w:rsid w:val="003C51D0"/>
    <w:rsid w:val="003C521D"/>
    <w:rsid w:val="003C5260"/>
    <w:rsid w:val="003C526C"/>
    <w:rsid w:val="003C537B"/>
    <w:rsid w:val="003C541A"/>
    <w:rsid w:val="003C5420"/>
    <w:rsid w:val="003C5439"/>
    <w:rsid w:val="003C555E"/>
    <w:rsid w:val="003C558D"/>
    <w:rsid w:val="003C55B2"/>
    <w:rsid w:val="003C55F5"/>
    <w:rsid w:val="003C5612"/>
    <w:rsid w:val="003C5660"/>
    <w:rsid w:val="003C5708"/>
    <w:rsid w:val="003C57EA"/>
    <w:rsid w:val="003C58D1"/>
    <w:rsid w:val="003C59D0"/>
    <w:rsid w:val="003C59FF"/>
    <w:rsid w:val="003C5A47"/>
    <w:rsid w:val="003C5AFD"/>
    <w:rsid w:val="003C5B6B"/>
    <w:rsid w:val="003C5C19"/>
    <w:rsid w:val="003C5C2D"/>
    <w:rsid w:val="003C5C31"/>
    <w:rsid w:val="003C5EC3"/>
    <w:rsid w:val="003C5F1A"/>
    <w:rsid w:val="003C5FB9"/>
    <w:rsid w:val="003C60C3"/>
    <w:rsid w:val="003C6236"/>
    <w:rsid w:val="003C65CE"/>
    <w:rsid w:val="003C65F2"/>
    <w:rsid w:val="003C6613"/>
    <w:rsid w:val="003C669B"/>
    <w:rsid w:val="003C66CC"/>
    <w:rsid w:val="003C6720"/>
    <w:rsid w:val="003C67A9"/>
    <w:rsid w:val="003C67E0"/>
    <w:rsid w:val="003C67E5"/>
    <w:rsid w:val="003C6851"/>
    <w:rsid w:val="003C68AE"/>
    <w:rsid w:val="003C6955"/>
    <w:rsid w:val="003C696B"/>
    <w:rsid w:val="003C6980"/>
    <w:rsid w:val="003C69C0"/>
    <w:rsid w:val="003C6A06"/>
    <w:rsid w:val="003C6A85"/>
    <w:rsid w:val="003C6B03"/>
    <w:rsid w:val="003C6B1A"/>
    <w:rsid w:val="003C6BBF"/>
    <w:rsid w:val="003C6C40"/>
    <w:rsid w:val="003C6C90"/>
    <w:rsid w:val="003C6D2C"/>
    <w:rsid w:val="003C6D34"/>
    <w:rsid w:val="003C6D38"/>
    <w:rsid w:val="003C6DA3"/>
    <w:rsid w:val="003C6E60"/>
    <w:rsid w:val="003C6F6E"/>
    <w:rsid w:val="003C6FA5"/>
    <w:rsid w:val="003C7211"/>
    <w:rsid w:val="003C73BF"/>
    <w:rsid w:val="003C74ED"/>
    <w:rsid w:val="003C75CA"/>
    <w:rsid w:val="003C75CF"/>
    <w:rsid w:val="003C76A2"/>
    <w:rsid w:val="003C79AD"/>
    <w:rsid w:val="003C7A2D"/>
    <w:rsid w:val="003C7A49"/>
    <w:rsid w:val="003C7A94"/>
    <w:rsid w:val="003C7A9A"/>
    <w:rsid w:val="003C7B0E"/>
    <w:rsid w:val="003C7C75"/>
    <w:rsid w:val="003C7CD3"/>
    <w:rsid w:val="003C7D68"/>
    <w:rsid w:val="003C7D76"/>
    <w:rsid w:val="003C7DE2"/>
    <w:rsid w:val="003C7E60"/>
    <w:rsid w:val="003C7EAB"/>
    <w:rsid w:val="003C7EE8"/>
    <w:rsid w:val="003C7F61"/>
    <w:rsid w:val="003D0066"/>
    <w:rsid w:val="003D006B"/>
    <w:rsid w:val="003D0127"/>
    <w:rsid w:val="003D018E"/>
    <w:rsid w:val="003D02B4"/>
    <w:rsid w:val="003D0300"/>
    <w:rsid w:val="003D03F5"/>
    <w:rsid w:val="003D03F7"/>
    <w:rsid w:val="003D0415"/>
    <w:rsid w:val="003D0463"/>
    <w:rsid w:val="003D04F3"/>
    <w:rsid w:val="003D051D"/>
    <w:rsid w:val="003D0584"/>
    <w:rsid w:val="003D05C7"/>
    <w:rsid w:val="003D0642"/>
    <w:rsid w:val="003D0773"/>
    <w:rsid w:val="003D0774"/>
    <w:rsid w:val="003D0799"/>
    <w:rsid w:val="003D07C5"/>
    <w:rsid w:val="003D0857"/>
    <w:rsid w:val="003D089D"/>
    <w:rsid w:val="003D08AE"/>
    <w:rsid w:val="003D08BB"/>
    <w:rsid w:val="003D08E8"/>
    <w:rsid w:val="003D0981"/>
    <w:rsid w:val="003D0A00"/>
    <w:rsid w:val="003D0B80"/>
    <w:rsid w:val="003D0BB1"/>
    <w:rsid w:val="003D0C48"/>
    <w:rsid w:val="003D0C63"/>
    <w:rsid w:val="003D0DD6"/>
    <w:rsid w:val="003D0DE3"/>
    <w:rsid w:val="003D0E68"/>
    <w:rsid w:val="003D0E88"/>
    <w:rsid w:val="003D0F5D"/>
    <w:rsid w:val="003D0FCA"/>
    <w:rsid w:val="003D1050"/>
    <w:rsid w:val="003D1108"/>
    <w:rsid w:val="003D1133"/>
    <w:rsid w:val="003D1145"/>
    <w:rsid w:val="003D11AC"/>
    <w:rsid w:val="003D1232"/>
    <w:rsid w:val="003D1238"/>
    <w:rsid w:val="003D1251"/>
    <w:rsid w:val="003D12D5"/>
    <w:rsid w:val="003D12F9"/>
    <w:rsid w:val="003D13E1"/>
    <w:rsid w:val="003D13FA"/>
    <w:rsid w:val="003D1422"/>
    <w:rsid w:val="003D145D"/>
    <w:rsid w:val="003D147C"/>
    <w:rsid w:val="003D153E"/>
    <w:rsid w:val="003D15B0"/>
    <w:rsid w:val="003D164D"/>
    <w:rsid w:val="003D1668"/>
    <w:rsid w:val="003D167F"/>
    <w:rsid w:val="003D16E6"/>
    <w:rsid w:val="003D1730"/>
    <w:rsid w:val="003D1744"/>
    <w:rsid w:val="003D19B1"/>
    <w:rsid w:val="003D1AB9"/>
    <w:rsid w:val="003D1ACC"/>
    <w:rsid w:val="003D1C9E"/>
    <w:rsid w:val="003D1D5A"/>
    <w:rsid w:val="003D1E65"/>
    <w:rsid w:val="003D1F89"/>
    <w:rsid w:val="003D2002"/>
    <w:rsid w:val="003D2038"/>
    <w:rsid w:val="003D2086"/>
    <w:rsid w:val="003D2156"/>
    <w:rsid w:val="003D217C"/>
    <w:rsid w:val="003D2206"/>
    <w:rsid w:val="003D2207"/>
    <w:rsid w:val="003D222A"/>
    <w:rsid w:val="003D2263"/>
    <w:rsid w:val="003D2283"/>
    <w:rsid w:val="003D228D"/>
    <w:rsid w:val="003D2295"/>
    <w:rsid w:val="003D22E7"/>
    <w:rsid w:val="003D22FF"/>
    <w:rsid w:val="003D2342"/>
    <w:rsid w:val="003D23FE"/>
    <w:rsid w:val="003D240B"/>
    <w:rsid w:val="003D242F"/>
    <w:rsid w:val="003D2472"/>
    <w:rsid w:val="003D259A"/>
    <w:rsid w:val="003D263A"/>
    <w:rsid w:val="003D2641"/>
    <w:rsid w:val="003D2681"/>
    <w:rsid w:val="003D2721"/>
    <w:rsid w:val="003D274A"/>
    <w:rsid w:val="003D27A7"/>
    <w:rsid w:val="003D28B3"/>
    <w:rsid w:val="003D28BB"/>
    <w:rsid w:val="003D28DA"/>
    <w:rsid w:val="003D28E1"/>
    <w:rsid w:val="003D2900"/>
    <w:rsid w:val="003D291E"/>
    <w:rsid w:val="003D2A44"/>
    <w:rsid w:val="003D2A7A"/>
    <w:rsid w:val="003D2AAB"/>
    <w:rsid w:val="003D2AC1"/>
    <w:rsid w:val="003D2ADE"/>
    <w:rsid w:val="003D2CAA"/>
    <w:rsid w:val="003D2D0B"/>
    <w:rsid w:val="003D2D1A"/>
    <w:rsid w:val="003D2DCE"/>
    <w:rsid w:val="003D2E0E"/>
    <w:rsid w:val="003D2E54"/>
    <w:rsid w:val="003D30A9"/>
    <w:rsid w:val="003D3108"/>
    <w:rsid w:val="003D31B7"/>
    <w:rsid w:val="003D31D8"/>
    <w:rsid w:val="003D31F2"/>
    <w:rsid w:val="003D31F6"/>
    <w:rsid w:val="003D322B"/>
    <w:rsid w:val="003D327E"/>
    <w:rsid w:val="003D32CE"/>
    <w:rsid w:val="003D3316"/>
    <w:rsid w:val="003D33F6"/>
    <w:rsid w:val="003D3436"/>
    <w:rsid w:val="003D354E"/>
    <w:rsid w:val="003D36A2"/>
    <w:rsid w:val="003D3715"/>
    <w:rsid w:val="003D3716"/>
    <w:rsid w:val="003D3767"/>
    <w:rsid w:val="003D3869"/>
    <w:rsid w:val="003D38CA"/>
    <w:rsid w:val="003D3913"/>
    <w:rsid w:val="003D3972"/>
    <w:rsid w:val="003D3A94"/>
    <w:rsid w:val="003D3B70"/>
    <w:rsid w:val="003D3C20"/>
    <w:rsid w:val="003D3C27"/>
    <w:rsid w:val="003D3C35"/>
    <w:rsid w:val="003D3C58"/>
    <w:rsid w:val="003D3C69"/>
    <w:rsid w:val="003D3EA1"/>
    <w:rsid w:val="003D3F7F"/>
    <w:rsid w:val="003D4087"/>
    <w:rsid w:val="003D40BD"/>
    <w:rsid w:val="003D40D2"/>
    <w:rsid w:val="003D41CB"/>
    <w:rsid w:val="003D4228"/>
    <w:rsid w:val="003D4282"/>
    <w:rsid w:val="003D42CE"/>
    <w:rsid w:val="003D4310"/>
    <w:rsid w:val="003D4325"/>
    <w:rsid w:val="003D43EF"/>
    <w:rsid w:val="003D4516"/>
    <w:rsid w:val="003D4521"/>
    <w:rsid w:val="003D455F"/>
    <w:rsid w:val="003D45FD"/>
    <w:rsid w:val="003D460B"/>
    <w:rsid w:val="003D47A1"/>
    <w:rsid w:val="003D498E"/>
    <w:rsid w:val="003D49AC"/>
    <w:rsid w:val="003D49DB"/>
    <w:rsid w:val="003D4A31"/>
    <w:rsid w:val="003D4B3C"/>
    <w:rsid w:val="003D4B54"/>
    <w:rsid w:val="003D4B65"/>
    <w:rsid w:val="003D4BA3"/>
    <w:rsid w:val="003D4C58"/>
    <w:rsid w:val="003D4CE8"/>
    <w:rsid w:val="003D4D15"/>
    <w:rsid w:val="003D4E41"/>
    <w:rsid w:val="003D4E5F"/>
    <w:rsid w:val="003D4EB3"/>
    <w:rsid w:val="003D4EE6"/>
    <w:rsid w:val="003D4FBA"/>
    <w:rsid w:val="003D4FDB"/>
    <w:rsid w:val="003D500F"/>
    <w:rsid w:val="003D5016"/>
    <w:rsid w:val="003D5023"/>
    <w:rsid w:val="003D504F"/>
    <w:rsid w:val="003D50BC"/>
    <w:rsid w:val="003D5151"/>
    <w:rsid w:val="003D51CA"/>
    <w:rsid w:val="003D521C"/>
    <w:rsid w:val="003D522B"/>
    <w:rsid w:val="003D5407"/>
    <w:rsid w:val="003D54CC"/>
    <w:rsid w:val="003D54E3"/>
    <w:rsid w:val="003D54FB"/>
    <w:rsid w:val="003D5507"/>
    <w:rsid w:val="003D552C"/>
    <w:rsid w:val="003D55EE"/>
    <w:rsid w:val="003D562C"/>
    <w:rsid w:val="003D563E"/>
    <w:rsid w:val="003D57D7"/>
    <w:rsid w:val="003D57EC"/>
    <w:rsid w:val="003D58AD"/>
    <w:rsid w:val="003D58D9"/>
    <w:rsid w:val="003D59D1"/>
    <w:rsid w:val="003D5A2E"/>
    <w:rsid w:val="003D5AC7"/>
    <w:rsid w:val="003D5ADE"/>
    <w:rsid w:val="003D5B2C"/>
    <w:rsid w:val="003D5B81"/>
    <w:rsid w:val="003D5BCE"/>
    <w:rsid w:val="003D5BDB"/>
    <w:rsid w:val="003D5BF4"/>
    <w:rsid w:val="003D5C8A"/>
    <w:rsid w:val="003D5CA4"/>
    <w:rsid w:val="003D5CFF"/>
    <w:rsid w:val="003D5DC2"/>
    <w:rsid w:val="003D5F22"/>
    <w:rsid w:val="003D5F6A"/>
    <w:rsid w:val="003D5FB2"/>
    <w:rsid w:val="003D6019"/>
    <w:rsid w:val="003D60A1"/>
    <w:rsid w:val="003D6167"/>
    <w:rsid w:val="003D6171"/>
    <w:rsid w:val="003D61E8"/>
    <w:rsid w:val="003D6264"/>
    <w:rsid w:val="003D62CA"/>
    <w:rsid w:val="003D63A3"/>
    <w:rsid w:val="003D63B0"/>
    <w:rsid w:val="003D63B8"/>
    <w:rsid w:val="003D63C7"/>
    <w:rsid w:val="003D63D0"/>
    <w:rsid w:val="003D642C"/>
    <w:rsid w:val="003D645F"/>
    <w:rsid w:val="003D647E"/>
    <w:rsid w:val="003D64AA"/>
    <w:rsid w:val="003D64AC"/>
    <w:rsid w:val="003D64FC"/>
    <w:rsid w:val="003D652A"/>
    <w:rsid w:val="003D6566"/>
    <w:rsid w:val="003D6587"/>
    <w:rsid w:val="003D65FC"/>
    <w:rsid w:val="003D6703"/>
    <w:rsid w:val="003D682C"/>
    <w:rsid w:val="003D68DE"/>
    <w:rsid w:val="003D6922"/>
    <w:rsid w:val="003D69F4"/>
    <w:rsid w:val="003D6AEC"/>
    <w:rsid w:val="003D6C09"/>
    <w:rsid w:val="003D6DAD"/>
    <w:rsid w:val="003D6E07"/>
    <w:rsid w:val="003D6F36"/>
    <w:rsid w:val="003D7040"/>
    <w:rsid w:val="003D720B"/>
    <w:rsid w:val="003D7317"/>
    <w:rsid w:val="003D7331"/>
    <w:rsid w:val="003D7388"/>
    <w:rsid w:val="003D742B"/>
    <w:rsid w:val="003D74D1"/>
    <w:rsid w:val="003D74F7"/>
    <w:rsid w:val="003D7685"/>
    <w:rsid w:val="003D776C"/>
    <w:rsid w:val="003D777E"/>
    <w:rsid w:val="003D77B5"/>
    <w:rsid w:val="003D77B8"/>
    <w:rsid w:val="003D77DF"/>
    <w:rsid w:val="003D786F"/>
    <w:rsid w:val="003D78F4"/>
    <w:rsid w:val="003D7932"/>
    <w:rsid w:val="003D79E5"/>
    <w:rsid w:val="003D7A14"/>
    <w:rsid w:val="003D7A94"/>
    <w:rsid w:val="003D7A9C"/>
    <w:rsid w:val="003D7AC0"/>
    <w:rsid w:val="003D7B61"/>
    <w:rsid w:val="003D7C23"/>
    <w:rsid w:val="003D7C96"/>
    <w:rsid w:val="003D7D0F"/>
    <w:rsid w:val="003D7D3C"/>
    <w:rsid w:val="003D7D5C"/>
    <w:rsid w:val="003D7DC3"/>
    <w:rsid w:val="003D7DFF"/>
    <w:rsid w:val="003D7E30"/>
    <w:rsid w:val="003D7E57"/>
    <w:rsid w:val="003D7E6C"/>
    <w:rsid w:val="003D7F02"/>
    <w:rsid w:val="003D7F5A"/>
    <w:rsid w:val="003D7FA5"/>
    <w:rsid w:val="003D7FB1"/>
    <w:rsid w:val="003D7FDC"/>
    <w:rsid w:val="003E009E"/>
    <w:rsid w:val="003E0172"/>
    <w:rsid w:val="003E024B"/>
    <w:rsid w:val="003E0275"/>
    <w:rsid w:val="003E02B3"/>
    <w:rsid w:val="003E0343"/>
    <w:rsid w:val="003E0344"/>
    <w:rsid w:val="003E03A9"/>
    <w:rsid w:val="003E03EF"/>
    <w:rsid w:val="003E0521"/>
    <w:rsid w:val="003E0634"/>
    <w:rsid w:val="003E0635"/>
    <w:rsid w:val="003E0640"/>
    <w:rsid w:val="003E0708"/>
    <w:rsid w:val="003E071A"/>
    <w:rsid w:val="003E07A2"/>
    <w:rsid w:val="003E07C8"/>
    <w:rsid w:val="003E0852"/>
    <w:rsid w:val="003E087B"/>
    <w:rsid w:val="003E0960"/>
    <w:rsid w:val="003E0975"/>
    <w:rsid w:val="003E0A43"/>
    <w:rsid w:val="003E0AE8"/>
    <w:rsid w:val="003E0B0A"/>
    <w:rsid w:val="003E0B52"/>
    <w:rsid w:val="003E0B7D"/>
    <w:rsid w:val="003E0C7C"/>
    <w:rsid w:val="003E0C83"/>
    <w:rsid w:val="003E0D87"/>
    <w:rsid w:val="003E0D89"/>
    <w:rsid w:val="003E0D9E"/>
    <w:rsid w:val="003E0E3B"/>
    <w:rsid w:val="003E0EE3"/>
    <w:rsid w:val="003E0F08"/>
    <w:rsid w:val="003E0F8B"/>
    <w:rsid w:val="003E1039"/>
    <w:rsid w:val="003E1242"/>
    <w:rsid w:val="003E124E"/>
    <w:rsid w:val="003E137C"/>
    <w:rsid w:val="003E14B0"/>
    <w:rsid w:val="003E154B"/>
    <w:rsid w:val="003E1577"/>
    <w:rsid w:val="003E15D0"/>
    <w:rsid w:val="003E15D6"/>
    <w:rsid w:val="003E16B0"/>
    <w:rsid w:val="003E16BF"/>
    <w:rsid w:val="003E170E"/>
    <w:rsid w:val="003E17E6"/>
    <w:rsid w:val="003E18D8"/>
    <w:rsid w:val="003E18DE"/>
    <w:rsid w:val="003E1992"/>
    <w:rsid w:val="003E19A3"/>
    <w:rsid w:val="003E19E9"/>
    <w:rsid w:val="003E1A0B"/>
    <w:rsid w:val="003E1A2E"/>
    <w:rsid w:val="003E1AC2"/>
    <w:rsid w:val="003E1AC4"/>
    <w:rsid w:val="003E1B1E"/>
    <w:rsid w:val="003E1B6D"/>
    <w:rsid w:val="003E1CE9"/>
    <w:rsid w:val="003E1D54"/>
    <w:rsid w:val="003E1DD8"/>
    <w:rsid w:val="003E1EB4"/>
    <w:rsid w:val="003E1EBC"/>
    <w:rsid w:val="003E1FD9"/>
    <w:rsid w:val="003E2060"/>
    <w:rsid w:val="003E2128"/>
    <w:rsid w:val="003E21A2"/>
    <w:rsid w:val="003E21DE"/>
    <w:rsid w:val="003E2226"/>
    <w:rsid w:val="003E2256"/>
    <w:rsid w:val="003E22BF"/>
    <w:rsid w:val="003E2458"/>
    <w:rsid w:val="003E252C"/>
    <w:rsid w:val="003E252F"/>
    <w:rsid w:val="003E25E5"/>
    <w:rsid w:val="003E260F"/>
    <w:rsid w:val="003E2616"/>
    <w:rsid w:val="003E2632"/>
    <w:rsid w:val="003E26DB"/>
    <w:rsid w:val="003E274F"/>
    <w:rsid w:val="003E275C"/>
    <w:rsid w:val="003E2984"/>
    <w:rsid w:val="003E29F0"/>
    <w:rsid w:val="003E2AF6"/>
    <w:rsid w:val="003E2B6E"/>
    <w:rsid w:val="003E2B73"/>
    <w:rsid w:val="003E2BA1"/>
    <w:rsid w:val="003E2CD0"/>
    <w:rsid w:val="003E2D2A"/>
    <w:rsid w:val="003E2D3A"/>
    <w:rsid w:val="003E2D9A"/>
    <w:rsid w:val="003E2DA6"/>
    <w:rsid w:val="003E2E53"/>
    <w:rsid w:val="003E2E73"/>
    <w:rsid w:val="003E2E96"/>
    <w:rsid w:val="003E3015"/>
    <w:rsid w:val="003E3048"/>
    <w:rsid w:val="003E30CE"/>
    <w:rsid w:val="003E30DF"/>
    <w:rsid w:val="003E3188"/>
    <w:rsid w:val="003E32CF"/>
    <w:rsid w:val="003E33E0"/>
    <w:rsid w:val="003E349C"/>
    <w:rsid w:val="003E34FD"/>
    <w:rsid w:val="003E352A"/>
    <w:rsid w:val="003E353D"/>
    <w:rsid w:val="003E356B"/>
    <w:rsid w:val="003E36A8"/>
    <w:rsid w:val="003E36C0"/>
    <w:rsid w:val="003E36D8"/>
    <w:rsid w:val="003E3788"/>
    <w:rsid w:val="003E37F9"/>
    <w:rsid w:val="003E3815"/>
    <w:rsid w:val="003E38A7"/>
    <w:rsid w:val="003E38AB"/>
    <w:rsid w:val="003E38F0"/>
    <w:rsid w:val="003E38F8"/>
    <w:rsid w:val="003E39B1"/>
    <w:rsid w:val="003E39C5"/>
    <w:rsid w:val="003E39E2"/>
    <w:rsid w:val="003E39FF"/>
    <w:rsid w:val="003E3A53"/>
    <w:rsid w:val="003E3A68"/>
    <w:rsid w:val="003E3B30"/>
    <w:rsid w:val="003E3B39"/>
    <w:rsid w:val="003E3B82"/>
    <w:rsid w:val="003E3BF8"/>
    <w:rsid w:val="003E3C26"/>
    <w:rsid w:val="003E3CB9"/>
    <w:rsid w:val="003E3CCB"/>
    <w:rsid w:val="003E3D9C"/>
    <w:rsid w:val="003E3E27"/>
    <w:rsid w:val="003E3E86"/>
    <w:rsid w:val="003E3E8C"/>
    <w:rsid w:val="003E3EE5"/>
    <w:rsid w:val="003E3F29"/>
    <w:rsid w:val="003E3F55"/>
    <w:rsid w:val="003E3F7C"/>
    <w:rsid w:val="003E4155"/>
    <w:rsid w:val="003E4175"/>
    <w:rsid w:val="003E419D"/>
    <w:rsid w:val="003E41BE"/>
    <w:rsid w:val="003E4278"/>
    <w:rsid w:val="003E429D"/>
    <w:rsid w:val="003E42B2"/>
    <w:rsid w:val="003E4409"/>
    <w:rsid w:val="003E4500"/>
    <w:rsid w:val="003E4541"/>
    <w:rsid w:val="003E459D"/>
    <w:rsid w:val="003E4605"/>
    <w:rsid w:val="003E4635"/>
    <w:rsid w:val="003E4789"/>
    <w:rsid w:val="003E47A1"/>
    <w:rsid w:val="003E48CA"/>
    <w:rsid w:val="003E48D3"/>
    <w:rsid w:val="003E49EB"/>
    <w:rsid w:val="003E4A73"/>
    <w:rsid w:val="003E4A78"/>
    <w:rsid w:val="003E4B5C"/>
    <w:rsid w:val="003E4BC7"/>
    <w:rsid w:val="003E4C59"/>
    <w:rsid w:val="003E4CB4"/>
    <w:rsid w:val="003E4CDF"/>
    <w:rsid w:val="003E4D6B"/>
    <w:rsid w:val="003E4DAD"/>
    <w:rsid w:val="003E4DE6"/>
    <w:rsid w:val="003E4EC1"/>
    <w:rsid w:val="003E4EF3"/>
    <w:rsid w:val="003E4FE8"/>
    <w:rsid w:val="003E506E"/>
    <w:rsid w:val="003E50C5"/>
    <w:rsid w:val="003E519B"/>
    <w:rsid w:val="003E51C4"/>
    <w:rsid w:val="003E51DC"/>
    <w:rsid w:val="003E5229"/>
    <w:rsid w:val="003E5236"/>
    <w:rsid w:val="003E5245"/>
    <w:rsid w:val="003E5251"/>
    <w:rsid w:val="003E5287"/>
    <w:rsid w:val="003E52D2"/>
    <w:rsid w:val="003E532D"/>
    <w:rsid w:val="003E53C7"/>
    <w:rsid w:val="003E53EC"/>
    <w:rsid w:val="003E5480"/>
    <w:rsid w:val="003E5509"/>
    <w:rsid w:val="003E562E"/>
    <w:rsid w:val="003E56B6"/>
    <w:rsid w:val="003E56BB"/>
    <w:rsid w:val="003E56F9"/>
    <w:rsid w:val="003E5702"/>
    <w:rsid w:val="003E5723"/>
    <w:rsid w:val="003E5772"/>
    <w:rsid w:val="003E5778"/>
    <w:rsid w:val="003E5856"/>
    <w:rsid w:val="003E5965"/>
    <w:rsid w:val="003E5969"/>
    <w:rsid w:val="003E59B3"/>
    <w:rsid w:val="003E59CF"/>
    <w:rsid w:val="003E59D8"/>
    <w:rsid w:val="003E59F0"/>
    <w:rsid w:val="003E5A13"/>
    <w:rsid w:val="003E5A21"/>
    <w:rsid w:val="003E5B12"/>
    <w:rsid w:val="003E5BCA"/>
    <w:rsid w:val="003E5C29"/>
    <w:rsid w:val="003E5C35"/>
    <w:rsid w:val="003E5C54"/>
    <w:rsid w:val="003E5CFA"/>
    <w:rsid w:val="003E5DAC"/>
    <w:rsid w:val="003E5E35"/>
    <w:rsid w:val="003E5E36"/>
    <w:rsid w:val="003E5E93"/>
    <w:rsid w:val="003E5ED7"/>
    <w:rsid w:val="003E5F11"/>
    <w:rsid w:val="003E5F82"/>
    <w:rsid w:val="003E5FC4"/>
    <w:rsid w:val="003E6068"/>
    <w:rsid w:val="003E6072"/>
    <w:rsid w:val="003E60B4"/>
    <w:rsid w:val="003E612A"/>
    <w:rsid w:val="003E61B4"/>
    <w:rsid w:val="003E621C"/>
    <w:rsid w:val="003E62DA"/>
    <w:rsid w:val="003E63A3"/>
    <w:rsid w:val="003E6400"/>
    <w:rsid w:val="003E6446"/>
    <w:rsid w:val="003E647D"/>
    <w:rsid w:val="003E651D"/>
    <w:rsid w:val="003E654D"/>
    <w:rsid w:val="003E664D"/>
    <w:rsid w:val="003E6663"/>
    <w:rsid w:val="003E66BB"/>
    <w:rsid w:val="003E68DE"/>
    <w:rsid w:val="003E68E7"/>
    <w:rsid w:val="003E691D"/>
    <w:rsid w:val="003E69CC"/>
    <w:rsid w:val="003E6AA1"/>
    <w:rsid w:val="003E6ACC"/>
    <w:rsid w:val="003E6B4E"/>
    <w:rsid w:val="003E6B59"/>
    <w:rsid w:val="003E6B8D"/>
    <w:rsid w:val="003E6C16"/>
    <w:rsid w:val="003E6CE0"/>
    <w:rsid w:val="003E6D4A"/>
    <w:rsid w:val="003E6D52"/>
    <w:rsid w:val="003E6DE9"/>
    <w:rsid w:val="003E6E01"/>
    <w:rsid w:val="003E6EB2"/>
    <w:rsid w:val="003E6F79"/>
    <w:rsid w:val="003E6FFF"/>
    <w:rsid w:val="003E7105"/>
    <w:rsid w:val="003E715D"/>
    <w:rsid w:val="003E71D7"/>
    <w:rsid w:val="003E7228"/>
    <w:rsid w:val="003E7243"/>
    <w:rsid w:val="003E7393"/>
    <w:rsid w:val="003E7410"/>
    <w:rsid w:val="003E742B"/>
    <w:rsid w:val="003E7471"/>
    <w:rsid w:val="003E74C0"/>
    <w:rsid w:val="003E7614"/>
    <w:rsid w:val="003E770A"/>
    <w:rsid w:val="003E7727"/>
    <w:rsid w:val="003E774D"/>
    <w:rsid w:val="003E77D2"/>
    <w:rsid w:val="003E77DE"/>
    <w:rsid w:val="003E783F"/>
    <w:rsid w:val="003E7851"/>
    <w:rsid w:val="003E785C"/>
    <w:rsid w:val="003E7860"/>
    <w:rsid w:val="003E7871"/>
    <w:rsid w:val="003E788E"/>
    <w:rsid w:val="003E78C2"/>
    <w:rsid w:val="003E78DB"/>
    <w:rsid w:val="003E790C"/>
    <w:rsid w:val="003E7AA0"/>
    <w:rsid w:val="003E7B3B"/>
    <w:rsid w:val="003E7BA7"/>
    <w:rsid w:val="003E7C1B"/>
    <w:rsid w:val="003E7C6D"/>
    <w:rsid w:val="003E7CB1"/>
    <w:rsid w:val="003E7D2A"/>
    <w:rsid w:val="003E7E51"/>
    <w:rsid w:val="003E7E87"/>
    <w:rsid w:val="003E7F11"/>
    <w:rsid w:val="003E7F50"/>
    <w:rsid w:val="003E7FFA"/>
    <w:rsid w:val="003F0050"/>
    <w:rsid w:val="003F00F8"/>
    <w:rsid w:val="003F012D"/>
    <w:rsid w:val="003F014B"/>
    <w:rsid w:val="003F0213"/>
    <w:rsid w:val="003F025B"/>
    <w:rsid w:val="003F02D2"/>
    <w:rsid w:val="003F0363"/>
    <w:rsid w:val="003F0416"/>
    <w:rsid w:val="003F0422"/>
    <w:rsid w:val="003F053E"/>
    <w:rsid w:val="003F057C"/>
    <w:rsid w:val="003F058C"/>
    <w:rsid w:val="003F05A2"/>
    <w:rsid w:val="003F05B0"/>
    <w:rsid w:val="003F0637"/>
    <w:rsid w:val="003F065F"/>
    <w:rsid w:val="003F06FA"/>
    <w:rsid w:val="003F070E"/>
    <w:rsid w:val="003F0837"/>
    <w:rsid w:val="003F0951"/>
    <w:rsid w:val="003F09E4"/>
    <w:rsid w:val="003F09FD"/>
    <w:rsid w:val="003F0A3D"/>
    <w:rsid w:val="003F0B73"/>
    <w:rsid w:val="003F0BA6"/>
    <w:rsid w:val="003F0CC4"/>
    <w:rsid w:val="003F0DB7"/>
    <w:rsid w:val="003F0DB9"/>
    <w:rsid w:val="003F0DC8"/>
    <w:rsid w:val="003F0E0B"/>
    <w:rsid w:val="003F0E7C"/>
    <w:rsid w:val="003F0E95"/>
    <w:rsid w:val="003F0ED4"/>
    <w:rsid w:val="003F0EEC"/>
    <w:rsid w:val="003F0F3A"/>
    <w:rsid w:val="003F0FAD"/>
    <w:rsid w:val="003F102C"/>
    <w:rsid w:val="003F122C"/>
    <w:rsid w:val="003F1366"/>
    <w:rsid w:val="003F13A9"/>
    <w:rsid w:val="003F13B8"/>
    <w:rsid w:val="003F16D9"/>
    <w:rsid w:val="003F1778"/>
    <w:rsid w:val="003F1790"/>
    <w:rsid w:val="003F179C"/>
    <w:rsid w:val="003F17BB"/>
    <w:rsid w:val="003F17C3"/>
    <w:rsid w:val="003F17D7"/>
    <w:rsid w:val="003F18B8"/>
    <w:rsid w:val="003F18BC"/>
    <w:rsid w:val="003F18BF"/>
    <w:rsid w:val="003F1A6D"/>
    <w:rsid w:val="003F1C6D"/>
    <w:rsid w:val="003F1CCA"/>
    <w:rsid w:val="003F1DBB"/>
    <w:rsid w:val="003F1E58"/>
    <w:rsid w:val="003F1EAE"/>
    <w:rsid w:val="003F1EB1"/>
    <w:rsid w:val="003F1F37"/>
    <w:rsid w:val="003F1F94"/>
    <w:rsid w:val="003F222F"/>
    <w:rsid w:val="003F2238"/>
    <w:rsid w:val="003F2372"/>
    <w:rsid w:val="003F2383"/>
    <w:rsid w:val="003F23E5"/>
    <w:rsid w:val="003F2432"/>
    <w:rsid w:val="003F247B"/>
    <w:rsid w:val="003F24F9"/>
    <w:rsid w:val="003F2591"/>
    <w:rsid w:val="003F25BD"/>
    <w:rsid w:val="003F25E1"/>
    <w:rsid w:val="003F260A"/>
    <w:rsid w:val="003F26E3"/>
    <w:rsid w:val="003F272A"/>
    <w:rsid w:val="003F2765"/>
    <w:rsid w:val="003F286F"/>
    <w:rsid w:val="003F2893"/>
    <w:rsid w:val="003F290A"/>
    <w:rsid w:val="003F2947"/>
    <w:rsid w:val="003F2996"/>
    <w:rsid w:val="003F29BB"/>
    <w:rsid w:val="003F2AF1"/>
    <w:rsid w:val="003F2B1F"/>
    <w:rsid w:val="003F2BD3"/>
    <w:rsid w:val="003F2D5C"/>
    <w:rsid w:val="003F2D9B"/>
    <w:rsid w:val="003F2DCA"/>
    <w:rsid w:val="003F2EAE"/>
    <w:rsid w:val="003F2FAB"/>
    <w:rsid w:val="003F2FB3"/>
    <w:rsid w:val="003F3131"/>
    <w:rsid w:val="003F316A"/>
    <w:rsid w:val="003F3193"/>
    <w:rsid w:val="003F324C"/>
    <w:rsid w:val="003F337F"/>
    <w:rsid w:val="003F339F"/>
    <w:rsid w:val="003F33E6"/>
    <w:rsid w:val="003F347B"/>
    <w:rsid w:val="003F3508"/>
    <w:rsid w:val="003F3758"/>
    <w:rsid w:val="003F3777"/>
    <w:rsid w:val="003F37EE"/>
    <w:rsid w:val="003F38C3"/>
    <w:rsid w:val="003F38E7"/>
    <w:rsid w:val="003F39A1"/>
    <w:rsid w:val="003F3A2C"/>
    <w:rsid w:val="003F3A82"/>
    <w:rsid w:val="003F3AB9"/>
    <w:rsid w:val="003F3AC2"/>
    <w:rsid w:val="003F3B34"/>
    <w:rsid w:val="003F3B86"/>
    <w:rsid w:val="003F3C4A"/>
    <w:rsid w:val="003F3D1B"/>
    <w:rsid w:val="003F3DDB"/>
    <w:rsid w:val="003F3E32"/>
    <w:rsid w:val="003F3F00"/>
    <w:rsid w:val="003F3F15"/>
    <w:rsid w:val="003F3F84"/>
    <w:rsid w:val="003F3FC7"/>
    <w:rsid w:val="003F4020"/>
    <w:rsid w:val="003F4072"/>
    <w:rsid w:val="003F40FC"/>
    <w:rsid w:val="003F4133"/>
    <w:rsid w:val="003F4245"/>
    <w:rsid w:val="003F426C"/>
    <w:rsid w:val="003F42F6"/>
    <w:rsid w:val="003F43A0"/>
    <w:rsid w:val="003F4446"/>
    <w:rsid w:val="003F45AF"/>
    <w:rsid w:val="003F477F"/>
    <w:rsid w:val="003F4864"/>
    <w:rsid w:val="003F4922"/>
    <w:rsid w:val="003F4938"/>
    <w:rsid w:val="003F4958"/>
    <w:rsid w:val="003F49DC"/>
    <w:rsid w:val="003F4A4F"/>
    <w:rsid w:val="003F4ABE"/>
    <w:rsid w:val="003F4B23"/>
    <w:rsid w:val="003F4B24"/>
    <w:rsid w:val="003F4BE5"/>
    <w:rsid w:val="003F4C03"/>
    <w:rsid w:val="003F4C0A"/>
    <w:rsid w:val="003F4C11"/>
    <w:rsid w:val="003F4CB1"/>
    <w:rsid w:val="003F4CEC"/>
    <w:rsid w:val="003F4D41"/>
    <w:rsid w:val="003F4E5A"/>
    <w:rsid w:val="003F4EC3"/>
    <w:rsid w:val="003F4F16"/>
    <w:rsid w:val="003F5010"/>
    <w:rsid w:val="003F503D"/>
    <w:rsid w:val="003F5068"/>
    <w:rsid w:val="003F506A"/>
    <w:rsid w:val="003F50F6"/>
    <w:rsid w:val="003F53E0"/>
    <w:rsid w:val="003F54BB"/>
    <w:rsid w:val="003F54DC"/>
    <w:rsid w:val="003F5517"/>
    <w:rsid w:val="003F5572"/>
    <w:rsid w:val="003F55A0"/>
    <w:rsid w:val="003F566C"/>
    <w:rsid w:val="003F573B"/>
    <w:rsid w:val="003F580E"/>
    <w:rsid w:val="003F58AD"/>
    <w:rsid w:val="003F58D9"/>
    <w:rsid w:val="003F5918"/>
    <w:rsid w:val="003F5927"/>
    <w:rsid w:val="003F595A"/>
    <w:rsid w:val="003F59AD"/>
    <w:rsid w:val="003F59B8"/>
    <w:rsid w:val="003F5AB9"/>
    <w:rsid w:val="003F5AC1"/>
    <w:rsid w:val="003F5AFC"/>
    <w:rsid w:val="003F5B1C"/>
    <w:rsid w:val="003F5B37"/>
    <w:rsid w:val="003F5BA0"/>
    <w:rsid w:val="003F5C13"/>
    <w:rsid w:val="003F5C23"/>
    <w:rsid w:val="003F5CF4"/>
    <w:rsid w:val="003F5D91"/>
    <w:rsid w:val="003F5E60"/>
    <w:rsid w:val="003F5EB6"/>
    <w:rsid w:val="003F5F27"/>
    <w:rsid w:val="003F5F47"/>
    <w:rsid w:val="003F5F4B"/>
    <w:rsid w:val="003F5F55"/>
    <w:rsid w:val="003F5F7F"/>
    <w:rsid w:val="003F5F99"/>
    <w:rsid w:val="003F6125"/>
    <w:rsid w:val="003F614E"/>
    <w:rsid w:val="003F61B5"/>
    <w:rsid w:val="003F62DF"/>
    <w:rsid w:val="003F63D9"/>
    <w:rsid w:val="003F6454"/>
    <w:rsid w:val="003F6508"/>
    <w:rsid w:val="003F651C"/>
    <w:rsid w:val="003F6575"/>
    <w:rsid w:val="003F658F"/>
    <w:rsid w:val="003F65C0"/>
    <w:rsid w:val="003F65C6"/>
    <w:rsid w:val="003F6668"/>
    <w:rsid w:val="003F6685"/>
    <w:rsid w:val="003F68CF"/>
    <w:rsid w:val="003F691A"/>
    <w:rsid w:val="003F6978"/>
    <w:rsid w:val="003F6A38"/>
    <w:rsid w:val="003F6AF8"/>
    <w:rsid w:val="003F6B15"/>
    <w:rsid w:val="003F6BDF"/>
    <w:rsid w:val="003F6BF7"/>
    <w:rsid w:val="003F6C99"/>
    <w:rsid w:val="003F6CCD"/>
    <w:rsid w:val="003F6D07"/>
    <w:rsid w:val="003F6DAB"/>
    <w:rsid w:val="003F6DC0"/>
    <w:rsid w:val="003F6E6A"/>
    <w:rsid w:val="003F6EFD"/>
    <w:rsid w:val="003F6F97"/>
    <w:rsid w:val="003F6FDF"/>
    <w:rsid w:val="003F6FE6"/>
    <w:rsid w:val="003F7021"/>
    <w:rsid w:val="003F70B4"/>
    <w:rsid w:val="003F70DA"/>
    <w:rsid w:val="003F718F"/>
    <w:rsid w:val="003F7199"/>
    <w:rsid w:val="003F7225"/>
    <w:rsid w:val="003F72B0"/>
    <w:rsid w:val="003F73DC"/>
    <w:rsid w:val="003F741A"/>
    <w:rsid w:val="003F7432"/>
    <w:rsid w:val="003F7511"/>
    <w:rsid w:val="003F75B9"/>
    <w:rsid w:val="003F760B"/>
    <w:rsid w:val="003F7620"/>
    <w:rsid w:val="003F765E"/>
    <w:rsid w:val="003F76A3"/>
    <w:rsid w:val="003F76AA"/>
    <w:rsid w:val="003F76AE"/>
    <w:rsid w:val="003F76B2"/>
    <w:rsid w:val="003F7728"/>
    <w:rsid w:val="003F77CE"/>
    <w:rsid w:val="003F7803"/>
    <w:rsid w:val="003F78B6"/>
    <w:rsid w:val="003F7971"/>
    <w:rsid w:val="003F7A64"/>
    <w:rsid w:val="003F7AA0"/>
    <w:rsid w:val="003F7AA8"/>
    <w:rsid w:val="003F7ACD"/>
    <w:rsid w:val="003F7B26"/>
    <w:rsid w:val="003F7B83"/>
    <w:rsid w:val="003F7B86"/>
    <w:rsid w:val="003F7BB4"/>
    <w:rsid w:val="003F7C54"/>
    <w:rsid w:val="003F7C89"/>
    <w:rsid w:val="003F7CAB"/>
    <w:rsid w:val="003F7DDF"/>
    <w:rsid w:val="003F7E42"/>
    <w:rsid w:val="003F7EB7"/>
    <w:rsid w:val="003F7EC6"/>
    <w:rsid w:val="003F7F6D"/>
    <w:rsid w:val="003F8194"/>
    <w:rsid w:val="00400016"/>
    <w:rsid w:val="00400090"/>
    <w:rsid w:val="00400190"/>
    <w:rsid w:val="004002A6"/>
    <w:rsid w:val="00400303"/>
    <w:rsid w:val="00400314"/>
    <w:rsid w:val="0040037A"/>
    <w:rsid w:val="00400390"/>
    <w:rsid w:val="004003A2"/>
    <w:rsid w:val="00400467"/>
    <w:rsid w:val="004004B9"/>
    <w:rsid w:val="004004C3"/>
    <w:rsid w:val="00400558"/>
    <w:rsid w:val="0040055A"/>
    <w:rsid w:val="0040057A"/>
    <w:rsid w:val="0040058E"/>
    <w:rsid w:val="004005B1"/>
    <w:rsid w:val="004006E5"/>
    <w:rsid w:val="004006E7"/>
    <w:rsid w:val="00400881"/>
    <w:rsid w:val="004008A9"/>
    <w:rsid w:val="004008EE"/>
    <w:rsid w:val="00400A08"/>
    <w:rsid w:val="00400AB0"/>
    <w:rsid w:val="00400B23"/>
    <w:rsid w:val="00400B65"/>
    <w:rsid w:val="00400B7A"/>
    <w:rsid w:val="00400B8B"/>
    <w:rsid w:val="00400C67"/>
    <w:rsid w:val="00400C6E"/>
    <w:rsid w:val="00400CC6"/>
    <w:rsid w:val="00400D04"/>
    <w:rsid w:val="00400D81"/>
    <w:rsid w:val="00400D84"/>
    <w:rsid w:val="00400E40"/>
    <w:rsid w:val="00400E69"/>
    <w:rsid w:val="00400E89"/>
    <w:rsid w:val="00400EEA"/>
    <w:rsid w:val="00400F37"/>
    <w:rsid w:val="00400F6E"/>
    <w:rsid w:val="00401019"/>
    <w:rsid w:val="004010EF"/>
    <w:rsid w:val="00401243"/>
    <w:rsid w:val="004012E4"/>
    <w:rsid w:val="004013E0"/>
    <w:rsid w:val="004013F0"/>
    <w:rsid w:val="0040145B"/>
    <w:rsid w:val="00401487"/>
    <w:rsid w:val="0040155D"/>
    <w:rsid w:val="0040158B"/>
    <w:rsid w:val="004015AE"/>
    <w:rsid w:val="004015B1"/>
    <w:rsid w:val="004015F2"/>
    <w:rsid w:val="00401639"/>
    <w:rsid w:val="0040164B"/>
    <w:rsid w:val="00401700"/>
    <w:rsid w:val="00401709"/>
    <w:rsid w:val="00401727"/>
    <w:rsid w:val="004017D7"/>
    <w:rsid w:val="00401804"/>
    <w:rsid w:val="00401925"/>
    <w:rsid w:val="00401996"/>
    <w:rsid w:val="004019ED"/>
    <w:rsid w:val="00401B26"/>
    <w:rsid w:val="00401B76"/>
    <w:rsid w:val="00401B9B"/>
    <w:rsid w:val="00401BDD"/>
    <w:rsid w:val="00401CC1"/>
    <w:rsid w:val="00401D38"/>
    <w:rsid w:val="00401D4D"/>
    <w:rsid w:val="00401DC0"/>
    <w:rsid w:val="00401DCC"/>
    <w:rsid w:val="00401DD5"/>
    <w:rsid w:val="00401E0E"/>
    <w:rsid w:val="00401E89"/>
    <w:rsid w:val="00401EC6"/>
    <w:rsid w:val="00401EEB"/>
    <w:rsid w:val="00401F62"/>
    <w:rsid w:val="00401F7F"/>
    <w:rsid w:val="00402001"/>
    <w:rsid w:val="0040202A"/>
    <w:rsid w:val="0040203B"/>
    <w:rsid w:val="0040214F"/>
    <w:rsid w:val="00402155"/>
    <w:rsid w:val="00402181"/>
    <w:rsid w:val="004021D0"/>
    <w:rsid w:val="004021EA"/>
    <w:rsid w:val="0040230D"/>
    <w:rsid w:val="0040236F"/>
    <w:rsid w:val="0040238E"/>
    <w:rsid w:val="00402592"/>
    <w:rsid w:val="004026BD"/>
    <w:rsid w:val="004026FF"/>
    <w:rsid w:val="004027FF"/>
    <w:rsid w:val="0040281B"/>
    <w:rsid w:val="0040282B"/>
    <w:rsid w:val="0040298C"/>
    <w:rsid w:val="004029A7"/>
    <w:rsid w:val="004029B5"/>
    <w:rsid w:val="00402A0C"/>
    <w:rsid w:val="00402A64"/>
    <w:rsid w:val="00402AC5"/>
    <w:rsid w:val="00402C69"/>
    <w:rsid w:val="00402D9D"/>
    <w:rsid w:val="00402FBC"/>
    <w:rsid w:val="00403014"/>
    <w:rsid w:val="0040304D"/>
    <w:rsid w:val="00403074"/>
    <w:rsid w:val="0040310C"/>
    <w:rsid w:val="00403143"/>
    <w:rsid w:val="00403157"/>
    <w:rsid w:val="00403298"/>
    <w:rsid w:val="00403321"/>
    <w:rsid w:val="00403345"/>
    <w:rsid w:val="00403545"/>
    <w:rsid w:val="0040357D"/>
    <w:rsid w:val="004035AC"/>
    <w:rsid w:val="004035F1"/>
    <w:rsid w:val="00403623"/>
    <w:rsid w:val="004036D1"/>
    <w:rsid w:val="0040373A"/>
    <w:rsid w:val="004037FB"/>
    <w:rsid w:val="0040381D"/>
    <w:rsid w:val="0040381E"/>
    <w:rsid w:val="0040383A"/>
    <w:rsid w:val="00403881"/>
    <w:rsid w:val="004038E7"/>
    <w:rsid w:val="004038F7"/>
    <w:rsid w:val="00403949"/>
    <w:rsid w:val="004039E6"/>
    <w:rsid w:val="00403AEA"/>
    <w:rsid w:val="00403B31"/>
    <w:rsid w:val="00403BB0"/>
    <w:rsid w:val="00403BB5"/>
    <w:rsid w:val="00403BD7"/>
    <w:rsid w:val="00403CEE"/>
    <w:rsid w:val="00403D57"/>
    <w:rsid w:val="00403E2D"/>
    <w:rsid w:val="00403E8E"/>
    <w:rsid w:val="00403EBD"/>
    <w:rsid w:val="00403FC9"/>
    <w:rsid w:val="00404023"/>
    <w:rsid w:val="0040402C"/>
    <w:rsid w:val="00404038"/>
    <w:rsid w:val="0040412F"/>
    <w:rsid w:val="0040413F"/>
    <w:rsid w:val="004041C0"/>
    <w:rsid w:val="0040431A"/>
    <w:rsid w:val="00404375"/>
    <w:rsid w:val="0040441B"/>
    <w:rsid w:val="00404443"/>
    <w:rsid w:val="004044E1"/>
    <w:rsid w:val="0040453B"/>
    <w:rsid w:val="004045CF"/>
    <w:rsid w:val="004045D1"/>
    <w:rsid w:val="004045EA"/>
    <w:rsid w:val="004045F1"/>
    <w:rsid w:val="004046B5"/>
    <w:rsid w:val="0040472F"/>
    <w:rsid w:val="00404832"/>
    <w:rsid w:val="0040489B"/>
    <w:rsid w:val="004048E3"/>
    <w:rsid w:val="0040498E"/>
    <w:rsid w:val="00404B1C"/>
    <w:rsid w:val="00404B39"/>
    <w:rsid w:val="00404B7F"/>
    <w:rsid w:val="00404BB9"/>
    <w:rsid w:val="00404BCD"/>
    <w:rsid w:val="00404BFB"/>
    <w:rsid w:val="00404CB2"/>
    <w:rsid w:val="00404CE8"/>
    <w:rsid w:val="00404D1F"/>
    <w:rsid w:val="00404D78"/>
    <w:rsid w:val="00404DCF"/>
    <w:rsid w:val="00404E4A"/>
    <w:rsid w:val="00404FEC"/>
    <w:rsid w:val="00404FFE"/>
    <w:rsid w:val="00405021"/>
    <w:rsid w:val="004051D2"/>
    <w:rsid w:val="004052F1"/>
    <w:rsid w:val="004052F8"/>
    <w:rsid w:val="00405362"/>
    <w:rsid w:val="00405389"/>
    <w:rsid w:val="0040539F"/>
    <w:rsid w:val="004053A9"/>
    <w:rsid w:val="00405510"/>
    <w:rsid w:val="0040551A"/>
    <w:rsid w:val="0040559E"/>
    <w:rsid w:val="004055E2"/>
    <w:rsid w:val="0040564A"/>
    <w:rsid w:val="004056D2"/>
    <w:rsid w:val="004057AE"/>
    <w:rsid w:val="00405810"/>
    <w:rsid w:val="0040582C"/>
    <w:rsid w:val="00405888"/>
    <w:rsid w:val="004058E5"/>
    <w:rsid w:val="0040591D"/>
    <w:rsid w:val="00405932"/>
    <w:rsid w:val="00405A50"/>
    <w:rsid w:val="00405ABC"/>
    <w:rsid w:val="00405B3A"/>
    <w:rsid w:val="00405B8B"/>
    <w:rsid w:val="00405C49"/>
    <w:rsid w:val="00405C7F"/>
    <w:rsid w:val="00405E19"/>
    <w:rsid w:val="00405E8B"/>
    <w:rsid w:val="00405EE4"/>
    <w:rsid w:val="00405FA8"/>
    <w:rsid w:val="0040604A"/>
    <w:rsid w:val="004060B4"/>
    <w:rsid w:val="0040610D"/>
    <w:rsid w:val="004061F6"/>
    <w:rsid w:val="00406208"/>
    <w:rsid w:val="00406209"/>
    <w:rsid w:val="0040624C"/>
    <w:rsid w:val="004062D4"/>
    <w:rsid w:val="0040635F"/>
    <w:rsid w:val="00406385"/>
    <w:rsid w:val="004063B9"/>
    <w:rsid w:val="00406488"/>
    <w:rsid w:val="004064B3"/>
    <w:rsid w:val="00406517"/>
    <w:rsid w:val="004065CB"/>
    <w:rsid w:val="0040662B"/>
    <w:rsid w:val="00406664"/>
    <w:rsid w:val="004066C3"/>
    <w:rsid w:val="004066D9"/>
    <w:rsid w:val="004067C5"/>
    <w:rsid w:val="004067E2"/>
    <w:rsid w:val="004068C3"/>
    <w:rsid w:val="004069C7"/>
    <w:rsid w:val="00406B1E"/>
    <w:rsid w:val="00406B33"/>
    <w:rsid w:val="00406BA3"/>
    <w:rsid w:val="00406CB8"/>
    <w:rsid w:val="00406D58"/>
    <w:rsid w:val="00406DE2"/>
    <w:rsid w:val="00406E9A"/>
    <w:rsid w:val="00406EA2"/>
    <w:rsid w:val="00406F37"/>
    <w:rsid w:val="00406F46"/>
    <w:rsid w:val="0040700E"/>
    <w:rsid w:val="0040709D"/>
    <w:rsid w:val="004070D2"/>
    <w:rsid w:val="004071EE"/>
    <w:rsid w:val="0040722E"/>
    <w:rsid w:val="004072B4"/>
    <w:rsid w:val="00407335"/>
    <w:rsid w:val="0040733B"/>
    <w:rsid w:val="00407431"/>
    <w:rsid w:val="00407474"/>
    <w:rsid w:val="00407526"/>
    <w:rsid w:val="00407534"/>
    <w:rsid w:val="004075BB"/>
    <w:rsid w:val="004076AE"/>
    <w:rsid w:val="004076BE"/>
    <w:rsid w:val="004076CB"/>
    <w:rsid w:val="004076F9"/>
    <w:rsid w:val="00407845"/>
    <w:rsid w:val="004078E0"/>
    <w:rsid w:val="004078E5"/>
    <w:rsid w:val="00407A03"/>
    <w:rsid w:val="00407A93"/>
    <w:rsid w:val="00407B88"/>
    <w:rsid w:val="00407BF4"/>
    <w:rsid w:val="00407CE4"/>
    <w:rsid w:val="00407D04"/>
    <w:rsid w:val="00407D41"/>
    <w:rsid w:val="00407DAA"/>
    <w:rsid w:val="00407DD8"/>
    <w:rsid w:val="00407FA0"/>
    <w:rsid w:val="0041000C"/>
    <w:rsid w:val="00410037"/>
    <w:rsid w:val="004100B6"/>
    <w:rsid w:val="004100F8"/>
    <w:rsid w:val="00410136"/>
    <w:rsid w:val="0041015F"/>
    <w:rsid w:val="00410170"/>
    <w:rsid w:val="00410173"/>
    <w:rsid w:val="004101B0"/>
    <w:rsid w:val="0041021A"/>
    <w:rsid w:val="0041034E"/>
    <w:rsid w:val="00410399"/>
    <w:rsid w:val="004103A4"/>
    <w:rsid w:val="004103C3"/>
    <w:rsid w:val="00410469"/>
    <w:rsid w:val="00410480"/>
    <w:rsid w:val="004104C4"/>
    <w:rsid w:val="004104D4"/>
    <w:rsid w:val="00410535"/>
    <w:rsid w:val="0041055E"/>
    <w:rsid w:val="004106A8"/>
    <w:rsid w:val="004106B6"/>
    <w:rsid w:val="0041074D"/>
    <w:rsid w:val="004107E6"/>
    <w:rsid w:val="0041080F"/>
    <w:rsid w:val="00410945"/>
    <w:rsid w:val="00410956"/>
    <w:rsid w:val="00410A08"/>
    <w:rsid w:val="00410A1A"/>
    <w:rsid w:val="00410A30"/>
    <w:rsid w:val="00410A4A"/>
    <w:rsid w:val="00410A93"/>
    <w:rsid w:val="00410A96"/>
    <w:rsid w:val="00410AE3"/>
    <w:rsid w:val="00410B19"/>
    <w:rsid w:val="00410B2E"/>
    <w:rsid w:val="00410BE9"/>
    <w:rsid w:val="00410CB7"/>
    <w:rsid w:val="00410CB9"/>
    <w:rsid w:val="00410CEA"/>
    <w:rsid w:val="00410D12"/>
    <w:rsid w:val="00410D2C"/>
    <w:rsid w:val="00410D7E"/>
    <w:rsid w:val="00410DB9"/>
    <w:rsid w:val="00410DC0"/>
    <w:rsid w:val="00410E01"/>
    <w:rsid w:val="00410E20"/>
    <w:rsid w:val="00410EA3"/>
    <w:rsid w:val="00410F2E"/>
    <w:rsid w:val="00411060"/>
    <w:rsid w:val="004111A7"/>
    <w:rsid w:val="004111D0"/>
    <w:rsid w:val="004111EA"/>
    <w:rsid w:val="00411208"/>
    <w:rsid w:val="00411226"/>
    <w:rsid w:val="0041125A"/>
    <w:rsid w:val="004112F3"/>
    <w:rsid w:val="00411322"/>
    <w:rsid w:val="00411381"/>
    <w:rsid w:val="0041142C"/>
    <w:rsid w:val="00411484"/>
    <w:rsid w:val="00411502"/>
    <w:rsid w:val="00411590"/>
    <w:rsid w:val="00411705"/>
    <w:rsid w:val="00411741"/>
    <w:rsid w:val="004118C5"/>
    <w:rsid w:val="00411A1F"/>
    <w:rsid w:val="00411AD2"/>
    <w:rsid w:val="00411BAC"/>
    <w:rsid w:val="00411C4E"/>
    <w:rsid w:val="00411CEB"/>
    <w:rsid w:val="00411DCE"/>
    <w:rsid w:val="00411E00"/>
    <w:rsid w:val="00411E9E"/>
    <w:rsid w:val="00411EB4"/>
    <w:rsid w:val="00411FA4"/>
    <w:rsid w:val="004121BD"/>
    <w:rsid w:val="004123FD"/>
    <w:rsid w:val="0041242C"/>
    <w:rsid w:val="004124E7"/>
    <w:rsid w:val="004124EB"/>
    <w:rsid w:val="004124ED"/>
    <w:rsid w:val="00412575"/>
    <w:rsid w:val="00412577"/>
    <w:rsid w:val="004125CD"/>
    <w:rsid w:val="004125F7"/>
    <w:rsid w:val="004126F4"/>
    <w:rsid w:val="004127D8"/>
    <w:rsid w:val="004127F1"/>
    <w:rsid w:val="0041287A"/>
    <w:rsid w:val="00412932"/>
    <w:rsid w:val="004129D4"/>
    <w:rsid w:val="00412B4D"/>
    <w:rsid w:val="00412C59"/>
    <w:rsid w:val="00412CA2"/>
    <w:rsid w:val="00412CBA"/>
    <w:rsid w:val="00412CD7"/>
    <w:rsid w:val="00412D6C"/>
    <w:rsid w:val="00412E68"/>
    <w:rsid w:val="00412EA4"/>
    <w:rsid w:val="00412F2D"/>
    <w:rsid w:val="00412F3F"/>
    <w:rsid w:val="00412F4E"/>
    <w:rsid w:val="00412FA1"/>
    <w:rsid w:val="00412FC7"/>
    <w:rsid w:val="00412FD1"/>
    <w:rsid w:val="00413000"/>
    <w:rsid w:val="00413056"/>
    <w:rsid w:val="004130E1"/>
    <w:rsid w:val="00413175"/>
    <w:rsid w:val="0041328A"/>
    <w:rsid w:val="0041328D"/>
    <w:rsid w:val="0041339C"/>
    <w:rsid w:val="004134B7"/>
    <w:rsid w:val="00413521"/>
    <w:rsid w:val="00413554"/>
    <w:rsid w:val="00413648"/>
    <w:rsid w:val="0041367E"/>
    <w:rsid w:val="00413690"/>
    <w:rsid w:val="004136E8"/>
    <w:rsid w:val="00413734"/>
    <w:rsid w:val="00413BE9"/>
    <w:rsid w:val="00413CD7"/>
    <w:rsid w:val="00413D81"/>
    <w:rsid w:val="00413DE3"/>
    <w:rsid w:val="00413E2A"/>
    <w:rsid w:val="00413E7A"/>
    <w:rsid w:val="00413EBE"/>
    <w:rsid w:val="00413F2C"/>
    <w:rsid w:val="00413FA8"/>
    <w:rsid w:val="00414044"/>
    <w:rsid w:val="004140BF"/>
    <w:rsid w:val="0041411A"/>
    <w:rsid w:val="004141FA"/>
    <w:rsid w:val="00414238"/>
    <w:rsid w:val="00414252"/>
    <w:rsid w:val="00414298"/>
    <w:rsid w:val="004143AF"/>
    <w:rsid w:val="00414467"/>
    <w:rsid w:val="00414518"/>
    <w:rsid w:val="004145EC"/>
    <w:rsid w:val="0041466E"/>
    <w:rsid w:val="004146DC"/>
    <w:rsid w:val="00414782"/>
    <w:rsid w:val="00414812"/>
    <w:rsid w:val="004148B9"/>
    <w:rsid w:val="004149A5"/>
    <w:rsid w:val="00414A91"/>
    <w:rsid w:val="00414B39"/>
    <w:rsid w:val="00414B85"/>
    <w:rsid w:val="00414BFC"/>
    <w:rsid w:val="00414C25"/>
    <w:rsid w:val="00414CE8"/>
    <w:rsid w:val="00414D11"/>
    <w:rsid w:val="00414DF5"/>
    <w:rsid w:val="00414ED9"/>
    <w:rsid w:val="00414F06"/>
    <w:rsid w:val="00414F0E"/>
    <w:rsid w:val="00414F52"/>
    <w:rsid w:val="00414F7F"/>
    <w:rsid w:val="00414F86"/>
    <w:rsid w:val="00414FA3"/>
    <w:rsid w:val="0041500C"/>
    <w:rsid w:val="00415162"/>
    <w:rsid w:val="004151BB"/>
    <w:rsid w:val="004151DC"/>
    <w:rsid w:val="004152A0"/>
    <w:rsid w:val="00415358"/>
    <w:rsid w:val="00415498"/>
    <w:rsid w:val="00415555"/>
    <w:rsid w:val="004155EA"/>
    <w:rsid w:val="00415732"/>
    <w:rsid w:val="00415790"/>
    <w:rsid w:val="004157C3"/>
    <w:rsid w:val="004158CA"/>
    <w:rsid w:val="00415935"/>
    <w:rsid w:val="00415A45"/>
    <w:rsid w:val="00415B68"/>
    <w:rsid w:val="00415B83"/>
    <w:rsid w:val="00415C63"/>
    <w:rsid w:val="00415CA3"/>
    <w:rsid w:val="00415D8D"/>
    <w:rsid w:val="00415DD1"/>
    <w:rsid w:val="00415DDE"/>
    <w:rsid w:val="00415E2A"/>
    <w:rsid w:val="00415E43"/>
    <w:rsid w:val="00415EB0"/>
    <w:rsid w:val="00415F3B"/>
    <w:rsid w:val="004160AE"/>
    <w:rsid w:val="004160C7"/>
    <w:rsid w:val="004160FA"/>
    <w:rsid w:val="00416182"/>
    <w:rsid w:val="004161C4"/>
    <w:rsid w:val="00416240"/>
    <w:rsid w:val="00416270"/>
    <w:rsid w:val="0041628E"/>
    <w:rsid w:val="00416320"/>
    <w:rsid w:val="00416340"/>
    <w:rsid w:val="004163CF"/>
    <w:rsid w:val="004163F1"/>
    <w:rsid w:val="0041648A"/>
    <w:rsid w:val="004164C6"/>
    <w:rsid w:val="004164CB"/>
    <w:rsid w:val="004164FF"/>
    <w:rsid w:val="00416578"/>
    <w:rsid w:val="0041663E"/>
    <w:rsid w:val="00416678"/>
    <w:rsid w:val="004166BC"/>
    <w:rsid w:val="0041671A"/>
    <w:rsid w:val="00416735"/>
    <w:rsid w:val="004167F4"/>
    <w:rsid w:val="0041693F"/>
    <w:rsid w:val="00416959"/>
    <w:rsid w:val="0041696A"/>
    <w:rsid w:val="0041697C"/>
    <w:rsid w:val="0041699D"/>
    <w:rsid w:val="004169B8"/>
    <w:rsid w:val="004169D5"/>
    <w:rsid w:val="00416A3F"/>
    <w:rsid w:val="00416B43"/>
    <w:rsid w:val="00416BA5"/>
    <w:rsid w:val="00416BE1"/>
    <w:rsid w:val="00416C17"/>
    <w:rsid w:val="00416C58"/>
    <w:rsid w:val="00416C91"/>
    <w:rsid w:val="00416CEB"/>
    <w:rsid w:val="00416D91"/>
    <w:rsid w:val="00416DC7"/>
    <w:rsid w:val="00416DDF"/>
    <w:rsid w:val="00416E0F"/>
    <w:rsid w:val="00416E52"/>
    <w:rsid w:val="00416F39"/>
    <w:rsid w:val="00416F6C"/>
    <w:rsid w:val="00416F8D"/>
    <w:rsid w:val="0041703D"/>
    <w:rsid w:val="0041713E"/>
    <w:rsid w:val="00417163"/>
    <w:rsid w:val="004171B7"/>
    <w:rsid w:val="004171B8"/>
    <w:rsid w:val="00417228"/>
    <w:rsid w:val="0041725D"/>
    <w:rsid w:val="004172A2"/>
    <w:rsid w:val="0041732B"/>
    <w:rsid w:val="0041732C"/>
    <w:rsid w:val="00417375"/>
    <w:rsid w:val="00417391"/>
    <w:rsid w:val="004173C3"/>
    <w:rsid w:val="00417426"/>
    <w:rsid w:val="00417443"/>
    <w:rsid w:val="004175F8"/>
    <w:rsid w:val="004176A9"/>
    <w:rsid w:val="0041772B"/>
    <w:rsid w:val="0041785D"/>
    <w:rsid w:val="004178B6"/>
    <w:rsid w:val="0041794D"/>
    <w:rsid w:val="00417B2D"/>
    <w:rsid w:val="00417BAC"/>
    <w:rsid w:val="00417BEC"/>
    <w:rsid w:val="00417C28"/>
    <w:rsid w:val="00417C31"/>
    <w:rsid w:val="00417C33"/>
    <w:rsid w:val="00417C4C"/>
    <w:rsid w:val="00417C72"/>
    <w:rsid w:val="00417C8C"/>
    <w:rsid w:val="00417CC5"/>
    <w:rsid w:val="00417DA6"/>
    <w:rsid w:val="00417E83"/>
    <w:rsid w:val="0041C949"/>
    <w:rsid w:val="00420050"/>
    <w:rsid w:val="00420078"/>
    <w:rsid w:val="00420124"/>
    <w:rsid w:val="0042019C"/>
    <w:rsid w:val="004201BC"/>
    <w:rsid w:val="004202B7"/>
    <w:rsid w:val="004202FD"/>
    <w:rsid w:val="00420315"/>
    <w:rsid w:val="0042037F"/>
    <w:rsid w:val="004203E6"/>
    <w:rsid w:val="00420438"/>
    <w:rsid w:val="0042047D"/>
    <w:rsid w:val="0042049F"/>
    <w:rsid w:val="0042058F"/>
    <w:rsid w:val="004205DE"/>
    <w:rsid w:val="0042063E"/>
    <w:rsid w:val="00420640"/>
    <w:rsid w:val="004206DF"/>
    <w:rsid w:val="00420768"/>
    <w:rsid w:val="00420977"/>
    <w:rsid w:val="004209F9"/>
    <w:rsid w:val="00420A15"/>
    <w:rsid w:val="00420A83"/>
    <w:rsid w:val="00420B2C"/>
    <w:rsid w:val="00420B3C"/>
    <w:rsid w:val="00420B94"/>
    <w:rsid w:val="00420C71"/>
    <w:rsid w:val="00420E0D"/>
    <w:rsid w:val="00420E3E"/>
    <w:rsid w:val="00420E62"/>
    <w:rsid w:val="00420EC5"/>
    <w:rsid w:val="00420F75"/>
    <w:rsid w:val="00420F85"/>
    <w:rsid w:val="00420FEE"/>
    <w:rsid w:val="00421010"/>
    <w:rsid w:val="0042104A"/>
    <w:rsid w:val="00421051"/>
    <w:rsid w:val="00421097"/>
    <w:rsid w:val="0042111B"/>
    <w:rsid w:val="0042118F"/>
    <w:rsid w:val="004211C8"/>
    <w:rsid w:val="0042120A"/>
    <w:rsid w:val="004212F4"/>
    <w:rsid w:val="00421477"/>
    <w:rsid w:val="00421492"/>
    <w:rsid w:val="004214B2"/>
    <w:rsid w:val="00421507"/>
    <w:rsid w:val="00421532"/>
    <w:rsid w:val="00421555"/>
    <w:rsid w:val="004215A5"/>
    <w:rsid w:val="00421713"/>
    <w:rsid w:val="00421741"/>
    <w:rsid w:val="00421764"/>
    <w:rsid w:val="00421778"/>
    <w:rsid w:val="00421784"/>
    <w:rsid w:val="00421867"/>
    <w:rsid w:val="00421894"/>
    <w:rsid w:val="0042197B"/>
    <w:rsid w:val="00421985"/>
    <w:rsid w:val="00421989"/>
    <w:rsid w:val="00421AA3"/>
    <w:rsid w:val="00421CBC"/>
    <w:rsid w:val="00421CFA"/>
    <w:rsid w:val="00421D3F"/>
    <w:rsid w:val="00421F27"/>
    <w:rsid w:val="00421FE7"/>
    <w:rsid w:val="00422047"/>
    <w:rsid w:val="0042211A"/>
    <w:rsid w:val="004221BF"/>
    <w:rsid w:val="0042227E"/>
    <w:rsid w:val="004222A3"/>
    <w:rsid w:val="004222FF"/>
    <w:rsid w:val="0042232E"/>
    <w:rsid w:val="00422345"/>
    <w:rsid w:val="0042239C"/>
    <w:rsid w:val="004223C6"/>
    <w:rsid w:val="0042240A"/>
    <w:rsid w:val="0042258E"/>
    <w:rsid w:val="00422674"/>
    <w:rsid w:val="0042269A"/>
    <w:rsid w:val="004226A4"/>
    <w:rsid w:val="004226F1"/>
    <w:rsid w:val="00422723"/>
    <w:rsid w:val="0042273C"/>
    <w:rsid w:val="00422771"/>
    <w:rsid w:val="004228B3"/>
    <w:rsid w:val="00422983"/>
    <w:rsid w:val="0042299C"/>
    <w:rsid w:val="00422A08"/>
    <w:rsid w:val="00422A2F"/>
    <w:rsid w:val="00422A55"/>
    <w:rsid w:val="00422B44"/>
    <w:rsid w:val="00422BA4"/>
    <w:rsid w:val="00422BCB"/>
    <w:rsid w:val="00422C09"/>
    <w:rsid w:val="00422C19"/>
    <w:rsid w:val="00422CA0"/>
    <w:rsid w:val="00422D8A"/>
    <w:rsid w:val="00422DAA"/>
    <w:rsid w:val="00422DE4"/>
    <w:rsid w:val="00422E10"/>
    <w:rsid w:val="00422E18"/>
    <w:rsid w:val="00422E19"/>
    <w:rsid w:val="00422E37"/>
    <w:rsid w:val="00422E5B"/>
    <w:rsid w:val="00422EA1"/>
    <w:rsid w:val="00422FDB"/>
    <w:rsid w:val="0042302D"/>
    <w:rsid w:val="00423155"/>
    <w:rsid w:val="00423166"/>
    <w:rsid w:val="0042316E"/>
    <w:rsid w:val="00423264"/>
    <w:rsid w:val="00423267"/>
    <w:rsid w:val="00423284"/>
    <w:rsid w:val="004232BB"/>
    <w:rsid w:val="00423302"/>
    <w:rsid w:val="00423377"/>
    <w:rsid w:val="00423386"/>
    <w:rsid w:val="00423393"/>
    <w:rsid w:val="004233FE"/>
    <w:rsid w:val="00423469"/>
    <w:rsid w:val="004234A3"/>
    <w:rsid w:val="004235CA"/>
    <w:rsid w:val="004236D3"/>
    <w:rsid w:val="00423785"/>
    <w:rsid w:val="004237CD"/>
    <w:rsid w:val="004237F0"/>
    <w:rsid w:val="004237F6"/>
    <w:rsid w:val="0042386F"/>
    <w:rsid w:val="004238DB"/>
    <w:rsid w:val="00423988"/>
    <w:rsid w:val="00423B23"/>
    <w:rsid w:val="00423B24"/>
    <w:rsid w:val="00423B7A"/>
    <w:rsid w:val="00423BEA"/>
    <w:rsid w:val="00423C43"/>
    <w:rsid w:val="00423C8F"/>
    <w:rsid w:val="00423ED3"/>
    <w:rsid w:val="00423ED9"/>
    <w:rsid w:val="00423F1A"/>
    <w:rsid w:val="00423FC4"/>
    <w:rsid w:val="00423FD0"/>
    <w:rsid w:val="00424069"/>
    <w:rsid w:val="004240C0"/>
    <w:rsid w:val="0042423F"/>
    <w:rsid w:val="00424429"/>
    <w:rsid w:val="0042443D"/>
    <w:rsid w:val="00424572"/>
    <w:rsid w:val="004246A4"/>
    <w:rsid w:val="004247E4"/>
    <w:rsid w:val="004248D8"/>
    <w:rsid w:val="004248D9"/>
    <w:rsid w:val="00424938"/>
    <w:rsid w:val="004249F7"/>
    <w:rsid w:val="00424AE4"/>
    <w:rsid w:val="00424AF2"/>
    <w:rsid w:val="00424B04"/>
    <w:rsid w:val="00424BA2"/>
    <w:rsid w:val="00424C48"/>
    <w:rsid w:val="00424C84"/>
    <w:rsid w:val="00424CB5"/>
    <w:rsid w:val="00424D0A"/>
    <w:rsid w:val="00424EB6"/>
    <w:rsid w:val="00424ECC"/>
    <w:rsid w:val="004250A5"/>
    <w:rsid w:val="00425130"/>
    <w:rsid w:val="00425148"/>
    <w:rsid w:val="00425167"/>
    <w:rsid w:val="00425186"/>
    <w:rsid w:val="0042526B"/>
    <w:rsid w:val="004252A8"/>
    <w:rsid w:val="004252C8"/>
    <w:rsid w:val="004252E1"/>
    <w:rsid w:val="004252E3"/>
    <w:rsid w:val="0042531F"/>
    <w:rsid w:val="004253B9"/>
    <w:rsid w:val="004253BD"/>
    <w:rsid w:val="004253BE"/>
    <w:rsid w:val="00425472"/>
    <w:rsid w:val="0042548F"/>
    <w:rsid w:val="004254AA"/>
    <w:rsid w:val="004254CA"/>
    <w:rsid w:val="004254D3"/>
    <w:rsid w:val="0042550D"/>
    <w:rsid w:val="00425586"/>
    <w:rsid w:val="004255A6"/>
    <w:rsid w:val="004255E9"/>
    <w:rsid w:val="004256B0"/>
    <w:rsid w:val="00425700"/>
    <w:rsid w:val="0042571E"/>
    <w:rsid w:val="00425758"/>
    <w:rsid w:val="0042576D"/>
    <w:rsid w:val="004257CA"/>
    <w:rsid w:val="00425855"/>
    <w:rsid w:val="0042596C"/>
    <w:rsid w:val="004259A1"/>
    <w:rsid w:val="004259D5"/>
    <w:rsid w:val="00425A04"/>
    <w:rsid w:val="00425A0C"/>
    <w:rsid w:val="00425B05"/>
    <w:rsid w:val="00425B39"/>
    <w:rsid w:val="00425B69"/>
    <w:rsid w:val="00425BA4"/>
    <w:rsid w:val="00425BA9"/>
    <w:rsid w:val="00425BC5"/>
    <w:rsid w:val="00425C48"/>
    <w:rsid w:val="00425D37"/>
    <w:rsid w:val="00425D99"/>
    <w:rsid w:val="00425DE9"/>
    <w:rsid w:val="00425ECE"/>
    <w:rsid w:val="00425F69"/>
    <w:rsid w:val="00426068"/>
    <w:rsid w:val="00426144"/>
    <w:rsid w:val="0042622B"/>
    <w:rsid w:val="00426246"/>
    <w:rsid w:val="00426423"/>
    <w:rsid w:val="004264C6"/>
    <w:rsid w:val="004264E7"/>
    <w:rsid w:val="004265F1"/>
    <w:rsid w:val="004265FF"/>
    <w:rsid w:val="00426633"/>
    <w:rsid w:val="004266A8"/>
    <w:rsid w:val="004266E6"/>
    <w:rsid w:val="00426748"/>
    <w:rsid w:val="00426783"/>
    <w:rsid w:val="00426860"/>
    <w:rsid w:val="004268FF"/>
    <w:rsid w:val="00426A39"/>
    <w:rsid w:val="00426A85"/>
    <w:rsid w:val="00426A8C"/>
    <w:rsid w:val="00426BBC"/>
    <w:rsid w:val="00426C19"/>
    <w:rsid w:val="00426C61"/>
    <w:rsid w:val="00426CA5"/>
    <w:rsid w:val="00426CDC"/>
    <w:rsid w:val="00426D70"/>
    <w:rsid w:val="00426DE7"/>
    <w:rsid w:val="00426DF1"/>
    <w:rsid w:val="00426E60"/>
    <w:rsid w:val="004271B2"/>
    <w:rsid w:val="004271BC"/>
    <w:rsid w:val="004271FB"/>
    <w:rsid w:val="00427200"/>
    <w:rsid w:val="00427216"/>
    <w:rsid w:val="0042723C"/>
    <w:rsid w:val="0042747E"/>
    <w:rsid w:val="004274A4"/>
    <w:rsid w:val="0042757D"/>
    <w:rsid w:val="004275FE"/>
    <w:rsid w:val="0042762A"/>
    <w:rsid w:val="004276FE"/>
    <w:rsid w:val="00427747"/>
    <w:rsid w:val="0042776D"/>
    <w:rsid w:val="004277F6"/>
    <w:rsid w:val="00427825"/>
    <w:rsid w:val="0042786C"/>
    <w:rsid w:val="00427889"/>
    <w:rsid w:val="00427890"/>
    <w:rsid w:val="004278C7"/>
    <w:rsid w:val="004278CD"/>
    <w:rsid w:val="004278E1"/>
    <w:rsid w:val="00427915"/>
    <w:rsid w:val="004279A0"/>
    <w:rsid w:val="004279B5"/>
    <w:rsid w:val="00427B73"/>
    <w:rsid w:val="00427C10"/>
    <w:rsid w:val="00427C84"/>
    <w:rsid w:val="00427CFA"/>
    <w:rsid w:val="00427D42"/>
    <w:rsid w:val="00427DBF"/>
    <w:rsid w:val="00427DC1"/>
    <w:rsid w:val="00427DE7"/>
    <w:rsid w:val="00427DEC"/>
    <w:rsid w:val="00427DF1"/>
    <w:rsid w:val="00427E1F"/>
    <w:rsid w:val="00427E5D"/>
    <w:rsid w:val="00427E98"/>
    <w:rsid w:val="00427EA9"/>
    <w:rsid w:val="00427FDE"/>
    <w:rsid w:val="004301CD"/>
    <w:rsid w:val="0043022C"/>
    <w:rsid w:val="0043029E"/>
    <w:rsid w:val="004302BC"/>
    <w:rsid w:val="004302BE"/>
    <w:rsid w:val="00430347"/>
    <w:rsid w:val="004303F5"/>
    <w:rsid w:val="0043048D"/>
    <w:rsid w:val="004304A8"/>
    <w:rsid w:val="004304AE"/>
    <w:rsid w:val="00430523"/>
    <w:rsid w:val="0043056B"/>
    <w:rsid w:val="00430689"/>
    <w:rsid w:val="00430791"/>
    <w:rsid w:val="00430902"/>
    <w:rsid w:val="00430ADF"/>
    <w:rsid w:val="00430B12"/>
    <w:rsid w:val="00430B87"/>
    <w:rsid w:val="00430BAE"/>
    <w:rsid w:val="00430BB6"/>
    <w:rsid w:val="00430BC3"/>
    <w:rsid w:val="00430CC5"/>
    <w:rsid w:val="00430CDC"/>
    <w:rsid w:val="00430D49"/>
    <w:rsid w:val="00430DF6"/>
    <w:rsid w:val="00430DFC"/>
    <w:rsid w:val="00430EBE"/>
    <w:rsid w:val="00430F6F"/>
    <w:rsid w:val="00430F79"/>
    <w:rsid w:val="00430F8B"/>
    <w:rsid w:val="00431007"/>
    <w:rsid w:val="0043100D"/>
    <w:rsid w:val="004310BB"/>
    <w:rsid w:val="004310D9"/>
    <w:rsid w:val="0043111D"/>
    <w:rsid w:val="0043120B"/>
    <w:rsid w:val="004313BC"/>
    <w:rsid w:val="004313DA"/>
    <w:rsid w:val="004314E5"/>
    <w:rsid w:val="0043150D"/>
    <w:rsid w:val="004315AD"/>
    <w:rsid w:val="004315E9"/>
    <w:rsid w:val="0043160F"/>
    <w:rsid w:val="0043164D"/>
    <w:rsid w:val="004317A6"/>
    <w:rsid w:val="004317B8"/>
    <w:rsid w:val="004317E2"/>
    <w:rsid w:val="00431996"/>
    <w:rsid w:val="00431A02"/>
    <w:rsid w:val="00431A4A"/>
    <w:rsid w:val="00431B01"/>
    <w:rsid w:val="00431B5B"/>
    <w:rsid w:val="00431B7A"/>
    <w:rsid w:val="00431B7C"/>
    <w:rsid w:val="00431BAC"/>
    <w:rsid w:val="00431C43"/>
    <w:rsid w:val="00431D9A"/>
    <w:rsid w:val="00431F67"/>
    <w:rsid w:val="00432028"/>
    <w:rsid w:val="0043203D"/>
    <w:rsid w:val="00432056"/>
    <w:rsid w:val="00432097"/>
    <w:rsid w:val="00432141"/>
    <w:rsid w:val="0043217F"/>
    <w:rsid w:val="00432213"/>
    <w:rsid w:val="004322F4"/>
    <w:rsid w:val="00432322"/>
    <w:rsid w:val="0043238C"/>
    <w:rsid w:val="0043238D"/>
    <w:rsid w:val="00432430"/>
    <w:rsid w:val="004324BF"/>
    <w:rsid w:val="004325A4"/>
    <w:rsid w:val="004325CB"/>
    <w:rsid w:val="00432647"/>
    <w:rsid w:val="004326A8"/>
    <w:rsid w:val="00432701"/>
    <w:rsid w:val="0043276F"/>
    <w:rsid w:val="00432813"/>
    <w:rsid w:val="00432820"/>
    <w:rsid w:val="004328BD"/>
    <w:rsid w:val="004328D8"/>
    <w:rsid w:val="00432971"/>
    <w:rsid w:val="00432985"/>
    <w:rsid w:val="004329E3"/>
    <w:rsid w:val="00432A2E"/>
    <w:rsid w:val="00432A51"/>
    <w:rsid w:val="00432BAB"/>
    <w:rsid w:val="00432BAD"/>
    <w:rsid w:val="00432C7E"/>
    <w:rsid w:val="00432C87"/>
    <w:rsid w:val="00432C99"/>
    <w:rsid w:val="00432CA8"/>
    <w:rsid w:val="00432CDA"/>
    <w:rsid w:val="00432D5B"/>
    <w:rsid w:val="00432E0D"/>
    <w:rsid w:val="00432E86"/>
    <w:rsid w:val="00432F2C"/>
    <w:rsid w:val="00432F4C"/>
    <w:rsid w:val="00433091"/>
    <w:rsid w:val="00433117"/>
    <w:rsid w:val="00433120"/>
    <w:rsid w:val="0043315F"/>
    <w:rsid w:val="00433170"/>
    <w:rsid w:val="004331F4"/>
    <w:rsid w:val="004332D2"/>
    <w:rsid w:val="00433313"/>
    <w:rsid w:val="00433314"/>
    <w:rsid w:val="0043337B"/>
    <w:rsid w:val="00433387"/>
    <w:rsid w:val="00433398"/>
    <w:rsid w:val="004333AA"/>
    <w:rsid w:val="004333EA"/>
    <w:rsid w:val="0043344F"/>
    <w:rsid w:val="004334DC"/>
    <w:rsid w:val="00433563"/>
    <w:rsid w:val="004335D7"/>
    <w:rsid w:val="00433729"/>
    <w:rsid w:val="0043373D"/>
    <w:rsid w:val="0043376D"/>
    <w:rsid w:val="004337E8"/>
    <w:rsid w:val="004337F7"/>
    <w:rsid w:val="0043387B"/>
    <w:rsid w:val="0043390D"/>
    <w:rsid w:val="00433920"/>
    <w:rsid w:val="00433A9D"/>
    <w:rsid w:val="00433B08"/>
    <w:rsid w:val="00433B2A"/>
    <w:rsid w:val="00433B53"/>
    <w:rsid w:val="00433BD2"/>
    <w:rsid w:val="00433BDD"/>
    <w:rsid w:val="00433C5D"/>
    <w:rsid w:val="00433CB8"/>
    <w:rsid w:val="00433D59"/>
    <w:rsid w:val="00433E27"/>
    <w:rsid w:val="00433F18"/>
    <w:rsid w:val="00433F23"/>
    <w:rsid w:val="00433F5B"/>
    <w:rsid w:val="00433F86"/>
    <w:rsid w:val="00433F8B"/>
    <w:rsid w:val="00433F8E"/>
    <w:rsid w:val="00433FDF"/>
    <w:rsid w:val="00434063"/>
    <w:rsid w:val="004340D7"/>
    <w:rsid w:val="004342EC"/>
    <w:rsid w:val="00434375"/>
    <w:rsid w:val="004343AD"/>
    <w:rsid w:val="00434447"/>
    <w:rsid w:val="00434479"/>
    <w:rsid w:val="004344EE"/>
    <w:rsid w:val="0043451E"/>
    <w:rsid w:val="00434531"/>
    <w:rsid w:val="004345C6"/>
    <w:rsid w:val="004345F1"/>
    <w:rsid w:val="0043460E"/>
    <w:rsid w:val="00434642"/>
    <w:rsid w:val="00434669"/>
    <w:rsid w:val="00434872"/>
    <w:rsid w:val="004348EF"/>
    <w:rsid w:val="004349CB"/>
    <w:rsid w:val="00434A13"/>
    <w:rsid w:val="00434AB6"/>
    <w:rsid w:val="00434AB9"/>
    <w:rsid w:val="00434AF6"/>
    <w:rsid w:val="00434AFD"/>
    <w:rsid w:val="00434B21"/>
    <w:rsid w:val="00434B63"/>
    <w:rsid w:val="00434B6C"/>
    <w:rsid w:val="00434B78"/>
    <w:rsid w:val="00434BAF"/>
    <w:rsid w:val="00434CD6"/>
    <w:rsid w:val="00434D27"/>
    <w:rsid w:val="00434ED3"/>
    <w:rsid w:val="00434F09"/>
    <w:rsid w:val="00434F54"/>
    <w:rsid w:val="00434F78"/>
    <w:rsid w:val="00435214"/>
    <w:rsid w:val="004352C3"/>
    <w:rsid w:val="0043534E"/>
    <w:rsid w:val="00435409"/>
    <w:rsid w:val="004354C2"/>
    <w:rsid w:val="0043550E"/>
    <w:rsid w:val="004355A9"/>
    <w:rsid w:val="004355D4"/>
    <w:rsid w:val="004355D5"/>
    <w:rsid w:val="00435604"/>
    <w:rsid w:val="00435681"/>
    <w:rsid w:val="004356F5"/>
    <w:rsid w:val="0043575A"/>
    <w:rsid w:val="0043578B"/>
    <w:rsid w:val="00435790"/>
    <w:rsid w:val="0043579A"/>
    <w:rsid w:val="0043593C"/>
    <w:rsid w:val="0043597E"/>
    <w:rsid w:val="00435A09"/>
    <w:rsid w:val="00435AC7"/>
    <w:rsid w:val="00435AE0"/>
    <w:rsid w:val="00435AEA"/>
    <w:rsid w:val="00435BD5"/>
    <w:rsid w:val="00435BF4"/>
    <w:rsid w:val="00435DBE"/>
    <w:rsid w:val="00435EC2"/>
    <w:rsid w:val="00435F43"/>
    <w:rsid w:val="00435F82"/>
    <w:rsid w:val="00435FB3"/>
    <w:rsid w:val="00435FDF"/>
    <w:rsid w:val="004360CA"/>
    <w:rsid w:val="00436147"/>
    <w:rsid w:val="00436161"/>
    <w:rsid w:val="004361A1"/>
    <w:rsid w:val="00436284"/>
    <w:rsid w:val="00436292"/>
    <w:rsid w:val="00436344"/>
    <w:rsid w:val="004363F8"/>
    <w:rsid w:val="00436463"/>
    <w:rsid w:val="00436494"/>
    <w:rsid w:val="0043653C"/>
    <w:rsid w:val="00436568"/>
    <w:rsid w:val="004365E0"/>
    <w:rsid w:val="0043661E"/>
    <w:rsid w:val="00436653"/>
    <w:rsid w:val="0043665E"/>
    <w:rsid w:val="00436692"/>
    <w:rsid w:val="0043676B"/>
    <w:rsid w:val="00436794"/>
    <w:rsid w:val="004367F7"/>
    <w:rsid w:val="00436840"/>
    <w:rsid w:val="00436847"/>
    <w:rsid w:val="00436B39"/>
    <w:rsid w:val="00436B5B"/>
    <w:rsid w:val="00436C3B"/>
    <w:rsid w:val="00436C43"/>
    <w:rsid w:val="00436C49"/>
    <w:rsid w:val="00436C4B"/>
    <w:rsid w:val="00436C79"/>
    <w:rsid w:val="00436E2B"/>
    <w:rsid w:val="00436E44"/>
    <w:rsid w:val="00436E52"/>
    <w:rsid w:val="00436F3D"/>
    <w:rsid w:val="00436F44"/>
    <w:rsid w:val="00436F89"/>
    <w:rsid w:val="00436FA8"/>
    <w:rsid w:val="00436FB4"/>
    <w:rsid w:val="0043717F"/>
    <w:rsid w:val="004371A0"/>
    <w:rsid w:val="0043731F"/>
    <w:rsid w:val="00437430"/>
    <w:rsid w:val="00437554"/>
    <w:rsid w:val="0043756F"/>
    <w:rsid w:val="004375B9"/>
    <w:rsid w:val="0043765D"/>
    <w:rsid w:val="004376BC"/>
    <w:rsid w:val="004376FB"/>
    <w:rsid w:val="0043776B"/>
    <w:rsid w:val="004377F5"/>
    <w:rsid w:val="00437893"/>
    <w:rsid w:val="0043791D"/>
    <w:rsid w:val="00437926"/>
    <w:rsid w:val="00437929"/>
    <w:rsid w:val="004379B6"/>
    <w:rsid w:val="004379E9"/>
    <w:rsid w:val="00437A7D"/>
    <w:rsid w:val="00437B0E"/>
    <w:rsid w:val="00437BD3"/>
    <w:rsid w:val="00437C91"/>
    <w:rsid w:val="00437D11"/>
    <w:rsid w:val="00437D6F"/>
    <w:rsid w:val="00437DAF"/>
    <w:rsid w:val="00437DDE"/>
    <w:rsid w:val="00437DE5"/>
    <w:rsid w:val="00437E14"/>
    <w:rsid w:val="00437E5A"/>
    <w:rsid w:val="00437F70"/>
    <w:rsid w:val="00440029"/>
    <w:rsid w:val="00440185"/>
    <w:rsid w:val="00440190"/>
    <w:rsid w:val="0044019A"/>
    <w:rsid w:val="004401EE"/>
    <w:rsid w:val="00440242"/>
    <w:rsid w:val="004402A4"/>
    <w:rsid w:val="004402AE"/>
    <w:rsid w:val="004402CE"/>
    <w:rsid w:val="004402D7"/>
    <w:rsid w:val="004402E6"/>
    <w:rsid w:val="0044031A"/>
    <w:rsid w:val="004404DE"/>
    <w:rsid w:val="00440552"/>
    <w:rsid w:val="004406A8"/>
    <w:rsid w:val="004406C6"/>
    <w:rsid w:val="004406D4"/>
    <w:rsid w:val="0044071A"/>
    <w:rsid w:val="0044079A"/>
    <w:rsid w:val="004407C0"/>
    <w:rsid w:val="00440844"/>
    <w:rsid w:val="0044086F"/>
    <w:rsid w:val="004408DC"/>
    <w:rsid w:val="00440993"/>
    <w:rsid w:val="004409BD"/>
    <w:rsid w:val="004409E2"/>
    <w:rsid w:val="00440A3B"/>
    <w:rsid w:val="00440A80"/>
    <w:rsid w:val="00440A96"/>
    <w:rsid w:val="00440AE0"/>
    <w:rsid w:val="00440AFE"/>
    <w:rsid w:val="00440BEC"/>
    <w:rsid w:val="00440C22"/>
    <w:rsid w:val="00440C9B"/>
    <w:rsid w:val="00440D08"/>
    <w:rsid w:val="00440DED"/>
    <w:rsid w:val="00440E50"/>
    <w:rsid w:val="00440F60"/>
    <w:rsid w:val="00440F90"/>
    <w:rsid w:val="00440FBA"/>
    <w:rsid w:val="0044102C"/>
    <w:rsid w:val="0044102D"/>
    <w:rsid w:val="00441076"/>
    <w:rsid w:val="00441078"/>
    <w:rsid w:val="004410BD"/>
    <w:rsid w:val="004411BC"/>
    <w:rsid w:val="004411C9"/>
    <w:rsid w:val="0044121D"/>
    <w:rsid w:val="00441235"/>
    <w:rsid w:val="0044126D"/>
    <w:rsid w:val="0044136D"/>
    <w:rsid w:val="00441390"/>
    <w:rsid w:val="004413A4"/>
    <w:rsid w:val="0044142E"/>
    <w:rsid w:val="00441453"/>
    <w:rsid w:val="0044154B"/>
    <w:rsid w:val="0044173F"/>
    <w:rsid w:val="00441776"/>
    <w:rsid w:val="00441A5F"/>
    <w:rsid w:val="00441A67"/>
    <w:rsid w:val="00441A86"/>
    <w:rsid w:val="00441AAF"/>
    <w:rsid w:val="00441AC8"/>
    <w:rsid w:val="00441ACB"/>
    <w:rsid w:val="00441B08"/>
    <w:rsid w:val="00441B2C"/>
    <w:rsid w:val="00441BC1"/>
    <w:rsid w:val="00441C29"/>
    <w:rsid w:val="00441C3E"/>
    <w:rsid w:val="00441C77"/>
    <w:rsid w:val="00441CC1"/>
    <w:rsid w:val="00441D0E"/>
    <w:rsid w:val="00441DEA"/>
    <w:rsid w:val="00441E65"/>
    <w:rsid w:val="00441ED3"/>
    <w:rsid w:val="00441F81"/>
    <w:rsid w:val="00442030"/>
    <w:rsid w:val="0044207D"/>
    <w:rsid w:val="0044220D"/>
    <w:rsid w:val="00442240"/>
    <w:rsid w:val="00442250"/>
    <w:rsid w:val="00442262"/>
    <w:rsid w:val="004422D6"/>
    <w:rsid w:val="0044232E"/>
    <w:rsid w:val="00442356"/>
    <w:rsid w:val="00442439"/>
    <w:rsid w:val="0044243C"/>
    <w:rsid w:val="00442484"/>
    <w:rsid w:val="004424BB"/>
    <w:rsid w:val="00442504"/>
    <w:rsid w:val="00442511"/>
    <w:rsid w:val="0044251D"/>
    <w:rsid w:val="00442575"/>
    <w:rsid w:val="00442626"/>
    <w:rsid w:val="00442627"/>
    <w:rsid w:val="00442634"/>
    <w:rsid w:val="004426B3"/>
    <w:rsid w:val="004426BE"/>
    <w:rsid w:val="0044274C"/>
    <w:rsid w:val="004427BD"/>
    <w:rsid w:val="0044287E"/>
    <w:rsid w:val="004428E5"/>
    <w:rsid w:val="004428F3"/>
    <w:rsid w:val="0044290A"/>
    <w:rsid w:val="00442994"/>
    <w:rsid w:val="004429B4"/>
    <w:rsid w:val="00442A09"/>
    <w:rsid w:val="00442AAF"/>
    <w:rsid w:val="00442AB1"/>
    <w:rsid w:val="00442ACC"/>
    <w:rsid w:val="00442BA0"/>
    <w:rsid w:val="00442C32"/>
    <w:rsid w:val="00442C7B"/>
    <w:rsid w:val="00442D19"/>
    <w:rsid w:val="00442D6E"/>
    <w:rsid w:val="00442D6F"/>
    <w:rsid w:val="00442E06"/>
    <w:rsid w:val="00442F1D"/>
    <w:rsid w:val="00442F4D"/>
    <w:rsid w:val="00442F50"/>
    <w:rsid w:val="00442FEF"/>
    <w:rsid w:val="00442FF0"/>
    <w:rsid w:val="0044301E"/>
    <w:rsid w:val="00443043"/>
    <w:rsid w:val="00443078"/>
    <w:rsid w:val="004430B0"/>
    <w:rsid w:val="00443119"/>
    <w:rsid w:val="00443162"/>
    <w:rsid w:val="004431ED"/>
    <w:rsid w:val="00443283"/>
    <w:rsid w:val="004432A0"/>
    <w:rsid w:val="004432ED"/>
    <w:rsid w:val="00443346"/>
    <w:rsid w:val="0044339D"/>
    <w:rsid w:val="00443409"/>
    <w:rsid w:val="00443465"/>
    <w:rsid w:val="0044355F"/>
    <w:rsid w:val="0044358A"/>
    <w:rsid w:val="004435B2"/>
    <w:rsid w:val="0044377D"/>
    <w:rsid w:val="00443810"/>
    <w:rsid w:val="00443838"/>
    <w:rsid w:val="00443881"/>
    <w:rsid w:val="004438B7"/>
    <w:rsid w:val="0044393F"/>
    <w:rsid w:val="004439A1"/>
    <w:rsid w:val="004439DD"/>
    <w:rsid w:val="00443A04"/>
    <w:rsid w:val="00443AC6"/>
    <w:rsid w:val="00443AED"/>
    <w:rsid w:val="00443B6F"/>
    <w:rsid w:val="00443B7C"/>
    <w:rsid w:val="00443CA8"/>
    <w:rsid w:val="00443CEC"/>
    <w:rsid w:val="00443D26"/>
    <w:rsid w:val="00443D33"/>
    <w:rsid w:val="00443E10"/>
    <w:rsid w:val="00443E76"/>
    <w:rsid w:val="00443EBA"/>
    <w:rsid w:val="00443EBD"/>
    <w:rsid w:val="00443F49"/>
    <w:rsid w:val="00444043"/>
    <w:rsid w:val="0044406C"/>
    <w:rsid w:val="0044414E"/>
    <w:rsid w:val="004441F0"/>
    <w:rsid w:val="00444236"/>
    <w:rsid w:val="00444283"/>
    <w:rsid w:val="004442D7"/>
    <w:rsid w:val="004442DE"/>
    <w:rsid w:val="00444404"/>
    <w:rsid w:val="004444A4"/>
    <w:rsid w:val="00444550"/>
    <w:rsid w:val="00444556"/>
    <w:rsid w:val="004445CA"/>
    <w:rsid w:val="00444766"/>
    <w:rsid w:val="00444822"/>
    <w:rsid w:val="00444891"/>
    <w:rsid w:val="0044489A"/>
    <w:rsid w:val="004448DF"/>
    <w:rsid w:val="004448E4"/>
    <w:rsid w:val="00444944"/>
    <w:rsid w:val="00444945"/>
    <w:rsid w:val="004449B3"/>
    <w:rsid w:val="00444A1C"/>
    <w:rsid w:val="00444AA1"/>
    <w:rsid w:val="00444BCA"/>
    <w:rsid w:val="00444BF7"/>
    <w:rsid w:val="00444C7B"/>
    <w:rsid w:val="00444CC7"/>
    <w:rsid w:val="00444F89"/>
    <w:rsid w:val="00444FCA"/>
    <w:rsid w:val="004450D9"/>
    <w:rsid w:val="0044514F"/>
    <w:rsid w:val="004451EA"/>
    <w:rsid w:val="0044523C"/>
    <w:rsid w:val="00445240"/>
    <w:rsid w:val="00445367"/>
    <w:rsid w:val="00445377"/>
    <w:rsid w:val="004453B9"/>
    <w:rsid w:val="004453BC"/>
    <w:rsid w:val="00445478"/>
    <w:rsid w:val="00445479"/>
    <w:rsid w:val="004454AC"/>
    <w:rsid w:val="00445532"/>
    <w:rsid w:val="0044562B"/>
    <w:rsid w:val="00445678"/>
    <w:rsid w:val="004456B5"/>
    <w:rsid w:val="00445710"/>
    <w:rsid w:val="004457CF"/>
    <w:rsid w:val="004457D5"/>
    <w:rsid w:val="00445832"/>
    <w:rsid w:val="00445836"/>
    <w:rsid w:val="004458C0"/>
    <w:rsid w:val="004458FD"/>
    <w:rsid w:val="00445922"/>
    <w:rsid w:val="0044593F"/>
    <w:rsid w:val="004459A5"/>
    <w:rsid w:val="004459C7"/>
    <w:rsid w:val="00445AC3"/>
    <w:rsid w:val="00445B1D"/>
    <w:rsid w:val="00445B2A"/>
    <w:rsid w:val="00445B7A"/>
    <w:rsid w:val="00445BDE"/>
    <w:rsid w:val="00445C1D"/>
    <w:rsid w:val="00445C64"/>
    <w:rsid w:val="00445C69"/>
    <w:rsid w:val="00445DEC"/>
    <w:rsid w:val="00445E64"/>
    <w:rsid w:val="00446006"/>
    <w:rsid w:val="00446065"/>
    <w:rsid w:val="0044610E"/>
    <w:rsid w:val="00446177"/>
    <w:rsid w:val="0044617B"/>
    <w:rsid w:val="00446184"/>
    <w:rsid w:val="0044621D"/>
    <w:rsid w:val="004462E9"/>
    <w:rsid w:val="00446343"/>
    <w:rsid w:val="0044634B"/>
    <w:rsid w:val="004463E5"/>
    <w:rsid w:val="004464F9"/>
    <w:rsid w:val="004464FE"/>
    <w:rsid w:val="0044656B"/>
    <w:rsid w:val="00446583"/>
    <w:rsid w:val="004465D7"/>
    <w:rsid w:val="00446621"/>
    <w:rsid w:val="00446662"/>
    <w:rsid w:val="004466BF"/>
    <w:rsid w:val="004466E8"/>
    <w:rsid w:val="00446703"/>
    <w:rsid w:val="0044673E"/>
    <w:rsid w:val="0044675B"/>
    <w:rsid w:val="00446763"/>
    <w:rsid w:val="00446767"/>
    <w:rsid w:val="00446783"/>
    <w:rsid w:val="004467B4"/>
    <w:rsid w:val="004467BA"/>
    <w:rsid w:val="0044683D"/>
    <w:rsid w:val="00446852"/>
    <w:rsid w:val="00446887"/>
    <w:rsid w:val="004468B6"/>
    <w:rsid w:val="004468E2"/>
    <w:rsid w:val="00446944"/>
    <w:rsid w:val="0044696D"/>
    <w:rsid w:val="004469C2"/>
    <w:rsid w:val="00446A33"/>
    <w:rsid w:val="00446BC6"/>
    <w:rsid w:val="00446BDF"/>
    <w:rsid w:val="00446C04"/>
    <w:rsid w:val="00446C7A"/>
    <w:rsid w:val="00446DD2"/>
    <w:rsid w:val="00446DD8"/>
    <w:rsid w:val="00446E58"/>
    <w:rsid w:val="00446E69"/>
    <w:rsid w:val="00446E9C"/>
    <w:rsid w:val="00446F1D"/>
    <w:rsid w:val="00446F1F"/>
    <w:rsid w:val="00446FA9"/>
    <w:rsid w:val="0044701F"/>
    <w:rsid w:val="00447116"/>
    <w:rsid w:val="00447141"/>
    <w:rsid w:val="0044724D"/>
    <w:rsid w:val="00447282"/>
    <w:rsid w:val="00447323"/>
    <w:rsid w:val="0044755B"/>
    <w:rsid w:val="0044767F"/>
    <w:rsid w:val="00447719"/>
    <w:rsid w:val="004477A7"/>
    <w:rsid w:val="00447812"/>
    <w:rsid w:val="00447847"/>
    <w:rsid w:val="00447971"/>
    <w:rsid w:val="0044799A"/>
    <w:rsid w:val="004479C3"/>
    <w:rsid w:val="00447A05"/>
    <w:rsid w:val="00447A17"/>
    <w:rsid w:val="00447AAE"/>
    <w:rsid w:val="00447B6E"/>
    <w:rsid w:val="00447B9E"/>
    <w:rsid w:val="00447C45"/>
    <w:rsid w:val="00447C63"/>
    <w:rsid w:val="00447CBE"/>
    <w:rsid w:val="00447D0F"/>
    <w:rsid w:val="00447D4A"/>
    <w:rsid w:val="00447DC3"/>
    <w:rsid w:val="00447DD9"/>
    <w:rsid w:val="00447DE2"/>
    <w:rsid w:val="00447E41"/>
    <w:rsid w:val="00447EE4"/>
    <w:rsid w:val="00447EE6"/>
    <w:rsid w:val="00447F3F"/>
    <w:rsid w:val="00447F44"/>
    <w:rsid w:val="00447FE4"/>
    <w:rsid w:val="00450009"/>
    <w:rsid w:val="0045004E"/>
    <w:rsid w:val="004500C0"/>
    <w:rsid w:val="004500CE"/>
    <w:rsid w:val="00450106"/>
    <w:rsid w:val="00450143"/>
    <w:rsid w:val="00450162"/>
    <w:rsid w:val="004501C1"/>
    <w:rsid w:val="004501E3"/>
    <w:rsid w:val="00450302"/>
    <w:rsid w:val="0045030A"/>
    <w:rsid w:val="0045033B"/>
    <w:rsid w:val="004503D5"/>
    <w:rsid w:val="004503ED"/>
    <w:rsid w:val="00450409"/>
    <w:rsid w:val="00450431"/>
    <w:rsid w:val="00450454"/>
    <w:rsid w:val="00450522"/>
    <w:rsid w:val="00450695"/>
    <w:rsid w:val="004506A5"/>
    <w:rsid w:val="004506CC"/>
    <w:rsid w:val="0045077D"/>
    <w:rsid w:val="004507CF"/>
    <w:rsid w:val="004507D0"/>
    <w:rsid w:val="0045080C"/>
    <w:rsid w:val="00450911"/>
    <w:rsid w:val="00450926"/>
    <w:rsid w:val="0045092A"/>
    <w:rsid w:val="0045099E"/>
    <w:rsid w:val="004509FD"/>
    <w:rsid w:val="00450A5A"/>
    <w:rsid w:val="00450AC5"/>
    <w:rsid w:val="00450ACF"/>
    <w:rsid w:val="00450B6A"/>
    <w:rsid w:val="00450BBB"/>
    <w:rsid w:val="00450C1B"/>
    <w:rsid w:val="00450C23"/>
    <w:rsid w:val="00450C25"/>
    <w:rsid w:val="00450C53"/>
    <w:rsid w:val="00450C81"/>
    <w:rsid w:val="00450CE8"/>
    <w:rsid w:val="00450D11"/>
    <w:rsid w:val="00450D44"/>
    <w:rsid w:val="00450D5E"/>
    <w:rsid w:val="00450DA2"/>
    <w:rsid w:val="00450DC3"/>
    <w:rsid w:val="00450E65"/>
    <w:rsid w:val="00450E6B"/>
    <w:rsid w:val="00450F35"/>
    <w:rsid w:val="0045108C"/>
    <w:rsid w:val="004511C3"/>
    <w:rsid w:val="0045120B"/>
    <w:rsid w:val="00451317"/>
    <w:rsid w:val="004513F2"/>
    <w:rsid w:val="00451417"/>
    <w:rsid w:val="0045143D"/>
    <w:rsid w:val="00451488"/>
    <w:rsid w:val="004514BA"/>
    <w:rsid w:val="004514CE"/>
    <w:rsid w:val="0045152E"/>
    <w:rsid w:val="00451584"/>
    <w:rsid w:val="004515BF"/>
    <w:rsid w:val="004516BB"/>
    <w:rsid w:val="0045174F"/>
    <w:rsid w:val="00451796"/>
    <w:rsid w:val="00451799"/>
    <w:rsid w:val="00451816"/>
    <w:rsid w:val="004518A4"/>
    <w:rsid w:val="00451925"/>
    <w:rsid w:val="00451956"/>
    <w:rsid w:val="0045197C"/>
    <w:rsid w:val="00451A03"/>
    <w:rsid w:val="00451A13"/>
    <w:rsid w:val="00451C76"/>
    <w:rsid w:val="00451C87"/>
    <w:rsid w:val="00451D60"/>
    <w:rsid w:val="00451DE0"/>
    <w:rsid w:val="00451DFE"/>
    <w:rsid w:val="00451E71"/>
    <w:rsid w:val="00451EBD"/>
    <w:rsid w:val="00451EE4"/>
    <w:rsid w:val="00451F5D"/>
    <w:rsid w:val="00451F5F"/>
    <w:rsid w:val="00451F86"/>
    <w:rsid w:val="00451FF5"/>
    <w:rsid w:val="00452014"/>
    <w:rsid w:val="00452015"/>
    <w:rsid w:val="004521CA"/>
    <w:rsid w:val="004521E9"/>
    <w:rsid w:val="00452246"/>
    <w:rsid w:val="004523CD"/>
    <w:rsid w:val="00452440"/>
    <w:rsid w:val="004524AD"/>
    <w:rsid w:val="004524E7"/>
    <w:rsid w:val="0045256A"/>
    <w:rsid w:val="0045259C"/>
    <w:rsid w:val="00452650"/>
    <w:rsid w:val="0045277F"/>
    <w:rsid w:val="004527B2"/>
    <w:rsid w:val="004528CA"/>
    <w:rsid w:val="004529D1"/>
    <w:rsid w:val="004529F9"/>
    <w:rsid w:val="00452A81"/>
    <w:rsid w:val="00452B08"/>
    <w:rsid w:val="00452B0F"/>
    <w:rsid w:val="00452B14"/>
    <w:rsid w:val="00452B44"/>
    <w:rsid w:val="00452BFC"/>
    <w:rsid w:val="00452C0D"/>
    <w:rsid w:val="00452C36"/>
    <w:rsid w:val="00452CF9"/>
    <w:rsid w:val="00452D26"/>
    <w:rsid w:val="00452D35"/>
    <w:rsid w:val="00452D5E"/>
    <w:rsid w:val="00452DA0"/>
    <w:rsid w:val="00452E65"/>
    <w:rsid w:val="00452E69"/>
    <w:rsid w:val="00452EAF"/>
    <w:rsid w:val="00452F40"/>
    <w:rsid w:val="00452F88"/>
    <w:rsid w:val="00453060"/>
    <w:rsid w:val="00453091"/>
    <w:rsid w:val="00453095"/>
    <w:rsid w:val="00453102"/>
    <w:rsid w:val="0045316C"/>
    <w:rsid w:val="004531A0"/>
    <w:rsid w:val="004531EC"/>
    <w:rsid w:val="00453201"/>
    <w:rsid w:val="00453202"/>
    <w:rsid w:val="00453276"/>
    <w:rsid w:val="004532E4"/>
    <w:rsid w:val="00453314"/>
    <w:rsid w:val="00453502"/>
    <w:rsid w:val="004535FE"/>
    <w:rsid w:val="0045365A"/>
    <w:rsid w:val="00453678"/>
    <w:rsid w:val="004536C2"/>
    <w:rsid w:val="00453700"/>
    <w:rsid w:val="00453765"/>
    <w:rsid w:val="00453824"/>
    <w:rsid w:val="00453868"/>
    <w:rsid w:val="00453927"/>
    <w:rsid w:val="0045397D"/>
    <w:rsid w:val="004539EE"/>
    <w:rsid w:val="00453ABA"/>
    <w:rsid w:val="00453AE4"/>
    <w:rsid w:val="00453BA1"/>
    <w:rsid w:val="00453BDB"/>
    <w:rsid w:val="00453C6C"/>
    <w:rsid w:val="00453CC3"/>
    <w:rsid w:val="00453D37"/>
    <w:rsid w:val="00453D49"/>
    <w:rsid w:val="00453D72"/>
    <w:rsid w:val="00453D78"/>
    <w:rsid w:val="00453D9B"/>
    <w:rsid w:val="00453DCE"/>
    <w:rsid w:val="00453E2C"/>
    <w:rsid w:val="00453E61"/>
    <w:rsid w:val="00453E64"/>
    <w:rsid w:val="00453EF5"/>
    <w:rsid w:val="00453F2D"/>
    <w:rsid w:val="00454001"/>
    <w:rsid w:val="004541DA"/>
    <w:rsid w:val="00454260"/>
    <w:rsid w:val="004542E5"/>
    <w:rsid w:val="00454346"/>
    <w:rsid w:val="00454369"/>
    <w:rsid w:val="004543C5"/>
    <w:rsid w:val="004543E9"/>
    <w:rsid w:val="004543EB"/>
    <w:rsid w:val="004544D7"/>
    <w:rsid w:val="004545DC"/>
    <w:rsid w:val="004545DE"/>
    <w:rsid w:val="0045460E"/>
    <w:rsid w:val="004546C0"/>
    <w:rsid w:val="00454734"/>
    <w:rsid w:val="004548BC"/>
    <w:rsid w:val="00454909"/>
    <w:rsid w:val="00454985"/>
    <w:rsid w:val="004549FC"/>
    <w:rsid w:val="00454A43"/>
    <w:rsid w:val="00454AA8"/>
    <w:rsid w:val="00454B01"/>
    <w:rsid w:val="00454B3A"/>
    <w:rsid w:val="00454B66"/>
    <w:rsid w:val="00454B6A"/>
    <w:rsid w:val="00454B7F"/>
    <w:rsid w:val="00454B83"/>
    <w:rsid w:val="00454C27"/>
    <w:rsid w:val="00454C93"/>
    <w:rsid w:val="00454D78"/>
    <w:rsid w:val="00454E9F"/>
    <w:rsid w:val="00454F8A"/>
    <w:rsid w:val="00454FC3"/>
    <w:rsid w:val="00454FEE"/>
    <w:rsid w:val="0045501C"/>
    <w:rsid w:val="004550AB"/>
    <w:rsid w:val="00455116"/>
    <w:rsid w:val="0045513A"/>
    <w:rsid w:val="0045519B"/>
    <w:rsid w:val="004551B5"/>
    <w:rsid w:val="0045520A"/>
    <w:rsid w:val="00455260"/>
    <w:rsid w:val="004552D5"/>
    <w:rsid w:val="00455370"/>
    <w:rsid w:val="004553B7"/>
    <w:rsid w:val="00455409"/>
    <w:rsid w:val="00455436"/>
    <w:rsid w:val="0045543A"/>
    <w:rsid w:val="00455482"/>
    <w:rsid w:val="004555FF"/>
    <w:rsid w:val="0045566B"/>
    <w:rsid w:val="00455870"/>
    <w:rsid w:val="00455942"/>
    <w:rsid w:val="004559E8"/>
    <w:rsid w:val="00455CD0"/>
    <w:rsid w:val="00455CF0"/>
    <w:rsid w:val="00455D81"/>
    <w:rsid w:val="00455D8C"/>
    <w:rsid w:val="00455EA1"/>
    <w:rsid w:val="00455F39"/>
    <w:rsid w:val="00455F96"/>
    <w:rsid w:val="00456056"/>
    <w:rsid w:val="004560F0"/>
    <w:rsid w:val="00456137"/>
    <w:rsid w:val="004561A2"/>
    <w:rsid w:val="004561F2"/>
    <w:rsid w:val="00456209"/>
    <w:rsid w:val="0045636C"/>
    <w:rsid w:val="0045640B"/>
    <w:rsid w:val="0045640E"/>
    <w:rsid w:val="0045643D"/>
    <w:rsid w:val="0045652B"/>
    <w:rsid w:val="004565A6"/>
    <w:rsid w:val="004565F1"/>
    <w:rsid w:val="00456636"/>
    <w:rsid w:val="004566F8"/>
    <w:rsid w:val="0045674D"/>
    <w:rsid w:val="00456766"/>
    <w:rsid w:val="004568A9"/>
    <w:rsid w:val="0045690C"/>
    <w:rsid w:val="00456A49"/>
    <w:rsid w:val="00456B19"/>
    <w:rsid w:val="00456B94"/>
    <w:rsid w:val="00456B9E"/>
    <w:rsid w:val="00456BB0"/>
    <w:rsid w:val="00456CFA"/>
    <w:rsid w:val="00456E44"/>
    <w:rsid w:val="00456F07"/>
    <w:rsid w:val="00456F34"/>
    <w:rsid w:val="00456F5B"/>
    <w:rsid w:val="00456FA8"/>
    <w:rsid w:val="00457064"/>
    <w:rsid w:val="00457127"/>
    <w:rsid w:val="0045715D"/>
    <w:rsid w:val="00457276"/>
    <w:rsid w:val="00457283"/>
    <w:rsid w:val="004572EC"/>
    <w:rsid w:val="00457305"/>
    <w:rsid w:val="004574B2"/>
    <w:rsid w:val="004574B9"/>
    <w:rsid w:val="00457513"/>
    <w:rsid w:val="004575F3"/>
    <w:rsid w:val="0045767A"/>
    <w:rsid w:val="00457699"/>
    <w:rsid w:val="004576D4"/>
    <w:rsid w:val="004576E0"/>
    <w:rsid w:val="0045774C"/>
    <w:rsid w:val="00457759"/>
    <w:rsid w:val="0045790F"/>
    <w:rsid w:val="0045796E"/>
    <w:rsid w:val="00457A13"/>
    <w:rsid w:val="00457A58"/>
    <w:rsid w:val="00457D87"/>
    <w:rsid w:val="00457D90"/>
    <w:rsid w:val="00457E9C"/>
    <w:rsid w:val="00457EC8"/>
    <w:rsid w:val="00457F1C"/>
    <w:rsid w:val="00457FD6"/>
    <w:rsid w:val="00457FF3"/>
    <w:rsid w:val="004600B5"/>
    <w:rsid w:val="004600BD"/>
    <w:rsid w:val="004600DF"/>
    <w:rsid w:val="004601A9"/>
    <w:rsid w:val="004601BC"/>
    <w:rsid w:val="00460295"/>
    <w:rsid w:val="004602E7"/>
    <w:rsid w:val="00460315"/>
    <w:rsid w:val="0046038C"/>
    <w:rsid w:val="0046040F"/>
    <w:rsid w:val="00460436"/>
    <w:rsid w:val="004604B8"/>
    <w:rsid w:val="00460510"/>
    <w:rsid w:val="00460541"/>
    <w:rsid w:val="004605F1"/>
    <w:rsid w:val="00460645"/>
    <w:rsid w:val="0046068D"/>
    <w:rsid w:val="0046069A"/>
    <w:rsid w:val="0046073C"/>
    <w:rsid w:val="00460742"/>
    <w:rsid w:val="004607CB"/>
    <w:rsid w:val="004607FD"/>
    <w:rsid w:val="00460829"/>
    <w:rsid w:val="00460836"/>
    <w:rsid w:val="004608D3"/>
    <w:rsid w:val="004609AF"/>
    <w:rsid w:val="00460A15"/>
    <w:rsid w:val="00460A17"/>
    <w:rsid w:val="00460A6E"/>
    <w:rsid w:val="00460AFF"/>
    <w:rsid w:val="00460B17"/>
    <w:rsid w:val="00460B42"/>
    <w:rsid w:val="00460B47"/>
    <w:rsid w:val="00460BD6"/>
    <w:rsid w:val="00460C39"/>
    <w:rsid w:val="00460CB8"/>
    <w:rsid w:val="00460D0F"/>
    <w:rsid w:val="00460E25"/>
    <w:rsid w:val="00460EC4"/>
    <w:rsid w:val="00460ED0"/>
    <w:rsid w:val="00460ED5"/>
    <w:rsid w:val="00460FBD"/>
    <w:rsid w:val="00460FE5"/>
    <w:rsid w:val="00461064"/>
    <w:rsid w:val="00461090"/>
    <w:rsid w:val="004611CF"/>
    <w:rsid w:val="004612F6"/>
    <w:rsid w:val="00461360"/>
    <w:rsid w:val="0046143E"/>
    <w:rsid w:val="004614F6"/>
    <w:rsid w:val="00461685"/>
    <w:rsid w:val="0046176F"/>
    <w:rsid w:val="004617F6"/>
    <w:rsid w:val="004617F7"/>
    <w:rsid w:val="00461855"/>
    <w:rsid w:val="0046192B"/>
    <w:rsid w:val="00461949"/>
    <w:rsid w:val="00461A33"/>
    <w:rsid w:val="00461B0D"/>
    <w:rsid w:val="00461B0E"/>
    <w:rsid w:val="00461B3A"/>
    <w:rsid w:val="00461B77"/>
    <w:rsid w:val="00461B8F"/>
    <w:rsid w:val="00461C4F"/>
    <w:rsid w:val="00461DB7"/>
    <w:rsid w:val="00461E52"/>
    <w:rsid w:val="00461E58"/>
    <w:rsid w:val="00461EFE"/>
    <w:rsid w:val="00461F6F"/>
    <w:rsid w:val="00462077"/>
    <w:rsid w:val="004620D1"/>
    <w:rsid w:val="004620DA"/>
    <w:rsid w:val="004620F8"/>
    <w:rsid w:val="00462103"/>
    <w:rsid w:val="00462179"/>
    <w:rsid w:val="00462203"/>
    <w:rsid w:val="00462245"/>
    <w:rsid w:val="004622A5"/>
    <w:rsid w:val="00462331"/>
    <w:rsid w:val="004623B1"/>
    <w:rsid w:val="004623E5"/>
    <w:rsid w:val="00462411"/>
    <w:rsid w:val="004624FE"/>
    <w:rsid w:val="004625E9"/>
    <w:rsid w:val="004625F5"/>
    <w:rsid w:val="0046268D"/>
    <w:rsid w:val="004626D0"/>
    <w:rsid w:val="004626DE"/>
    <w:rsid w:val="00462726"/>
    <w:rsid w:val="00462733"/>
    <w:rsid w:val="00462817"/>
    <w:rsid w:val="00462858"/>
    <w:rsid w:val="004628F7"/>
    <w:rsid w:val="00462900"/>
    <w:rsid w:val="00462AF0"/>
    <w:rsid w:val="00462B38"/>
    <w:rsid w:val="00462BC0"/>
    <w:rsid w:val="00462BF2"/>
    <w:rsid w:val="00462C0F"/>
    <w:rsid w:val="00462CB6"/>
    <w:rsid w:val="00462CEB"/>
    <w:rsid w:val="00462D12"/>
    <w:rsid w:val="00462DE0"/>
    <w:rsid w:val="00462E2A"/>
    <w:rsid w:val="0046308D"/>
    <w:rsid w:val="004630C9"/>
    <w:rsid w:val="004631A1"/>
    <w:rsid w:val="004633AF"/>
    <w:rsid w:val="00463456"/>
    <w:rsid w:val="0046349B"/>
    <w:rsid w:val="00463533"/>
    <w:rsid w:val="00463548"/>
    <w:rsid w:val="00463622"/>
    <w:rsid w:val="00463687"/>
    <w:rsid w:val="004636AF"/>
    <w:rsid w:val="004636D2"/>
    <w:rsid w:val="004636D4"/>
    <w:rsid w:val="00463763"/>
    <w:rsid w:val="00463776"/>
    <w:rsid w:val="00463853"/>
    <w:rsid w:val="004638C7"/>
    <w:rsid w:val="004639AD"/>
    <w:rsid w:val="00463A4C"/>
    <w:rsid w:val="00463A62"/>
    <w:rsid w:val="00463A86"/>
    <w:rsid w:val="00463B3A"/>
    <w:rsid w:val="00463BA0"/>
    <w:rsid w:val="00463C5E"/>
    <w:rsid w:val="00463C83"/>
    <w:rsid w:val="00463CF9"/>
    <w:rsid w:val="00463D5E"/>
    <w:rsid w:val="00463DE7"/>
    <w:rsid w:val="00463E23"/>
    <w:rsid w:val="00463F48"/>
    <w:rsid w:val="0046400C"/>
    <w:rsid w:val="00464048"/>
    <w:rsid w:val="0046406B"/>
    <w:rsid w:val="004640EC"/>
    <w:rsid w:val="004641CB"/>
    <w:rsid w:val="00464387"/>
    <w:rsid w:val="004643C7"/>
    <w:rsid w:val="004643C8"/>
    <w:rsid w:val="0046441A"/>
    <w:rsid w:val="00464559"/>
    <w:rsid w:val="004646C3"/>
    <w:rsid w:val="004646E4"/>
    <w:rsid w:val="00464752"/>
    <w:rsid w:val="004647C2"/>
    <w:rsid w:val="0046480C"/>
    <w:rsid w:val="00464826"/>
    <w:rsid w:val="00464830"/>
    <w:rsid w:val="00464864"/>
    <w:rsid w:val="004648E1"/>
    <w:rsid w:val="00464914"/>
    <w:rsid w:val="004649E6"/>
    <w:rsid w:val="00464A63"/>
    <w:rsid w:val="00464B23"/>
    <w:rsid w:val="00464B95"/>
    <w:rsid w:val="00464BC7"/>
    <w:rsid w:val="00464C0E"/>
    <w:rsid w:val="00464C8B"/>
    <w:rsid w:val="00464CB0"/>
    <w:rsid w:val="00464D2B"/>
    <w:rsid w:val="00464D4A"/>
    <w:rsid w:val="00464DEF"/>
    <w:rsid w:val="00464E43"/>
    <w:rsid w:val="00464EBE"/>
    <w:rsid w:val="00464EEB"/>
    <w:rsid w:val="00464F33"/>
    <w:rsid w:val="00464F68"/>
    <w:rsid w:val="00464FDA"/>
    <w:rsid w:val="00464FED"/>
    <w:rsid w:val="004650A9"/>
    <w:rsid w:val="00465234"/>
    <w:rsid w:val="00465242"/>
    <w:rsid w:val="00465256"/>
    <w:rsid w:val="004652AF"/>
    <w:rsid w:val="0046531D"/>
    <w:rsid w:val="004653CC"/>
    <w:rsid w:val="0046543F"/>
    <w:rsid w:val="004654CB"/>
    <w:rsid w:val="00465682"/>
    <w:rsid w:val="00465695"/>
    <w:rsid w:val="00465730"/>
    <w:rsid w:val="0046574C"/>
    <w:rsid w:val="00465753"/>
    <w:rsid w:val="00465786"/>
    <w:rsid w:val="0046589F"/>
    <w:rsid w:val="004658A0"/>
    <w:rsid w:val="004658B5"/>
    <w:rsid w:val="004658C0"/>
    <w:rsid w:val="00465959"/>
    <w:rsid w:val="0046598B"/>
    <w:rsid w:val="00465A46"/>
    <w:rsid w:val="00465A87"/>
    <w:rsid w:val="00465BB4"/>
    <w:rsid w:val="00465BD9"/>
    <w:rsid w:val="00465C39"/>
    <w:rsid w:val="00465C40"/>
    <w:rsid w:val="00465C7D"/>
    <w:rsid w:val="00465CA7"/>
    <w:rsid w:val="00465CC9"/>
    <w:rsid w:val="00465D91"/>
    <w:rsid w:val="00465DD1"/>
    <w:rsid w:val="00465EA2"/>
    <w:rsid w:val="00465EC7"/>
    <w:rsid w:val="00465ED1"/>
    <w:rsid w:val="00465F61"/>
    <w:rsid w:val="00465FA7"/>
    <w:rsid w:val="00465FF2"/>
    <w:rsid w:val="0046601B"/>
    <w:rsid w:val="00466260"/>
    <w:rsid w:val="004663A8"/>
    <w:rsid w:val="00466420"/>
    <w:rsid w:val="00466612"/>
    <w:rsid w:val="00466724"/>
    <w:rsid w:val="00466789"/>
    <w:rsid w:val="004667D7"/>
    <w:rsid w:val="00466816"/>
    <w:rsid w:val="0046690D"/>
    <w:rsid w:val="00466971"/>
    <w:rsid w:val="00466981"/>
    <w:rsid w:val="004669FE"/>
    <w:rsid w:val="00466A6F"/>
    <w:rsid w:val="00466AA8"/>
    <w:rsid w:val="00466B52"/>
    <w:rsid w:val="00466C35"/>
    <w:rsid w:val="00466C61"/>
    <w:rsid w:val="00466C65"/>
    <w:rsid w:val="00466C71"/>
    <w:rsid w:val="00466C8C"/>
    <w:rsid w:val="00466D32"/>
    <w:rsid w:val="00466DBC"/>
    <w:rsid w:val="00466E1F"/>
    <w:rsid w:val="00466E57"/>
    <w:rsid w:val="00466E93"/>
    <w:rsid w:val="00466E98"/>
    <w:rsid w:val="00466EDA"/>
    <w:rsid w:val="00466F34"/>
    <w:rsid w:val="00466F47"/>
    <w:rsid w:val="00466F93"/>
    <w:rsid w:val="00466FC9"/>
    <w:rsid w:val="00466FF1"/>
    <w:rsid w:val="00467053"/>
    <w:rsid w:val="00467069"/>
    <w:rsid w:val="00467080"/>
    <w:rsid w:val="004670DC"/>
    <w:rsid w:val="00467107"/>
    <w:rsid w:val="00467135"/>
    <w:rsid w:val="00467152"/>
    <w:rsid w:val="004672A0"/>
    <w:rsid w:val="004672A4"/>
    <w:rsid w:val="004672A6"/>
    <w:rsid w:val="004672C7"/>
    <w:rsid w:val="00467339"/>
    <w:rsid w:val="00467368"/>
    <w:rsid w:val="0046736A"/>
    <w:rsid w:val="004673BA"/>
    <w:rsid w:val="00467513"/>
    <w:rsid w:val="00467584"/>
    <w:rsid w:val="004675DB"/>
    <w:rsid w:val="004676BD"/>
    <w:rsid w:val="004676CD"/>
    <w:rsid w:val="0046774F"/>
    <w:rsid w:val="00467790"/>
    <w:rsid w:val="004677A3"/>
    <w:rsid w:val="004677D1"/>
    <w:rsid w:val="0046784A"/>
    <w:rsid w:val="00467981"/>
    <w:rsid w:val="00467A5A"/>
    <w:rsid w:val="00467A82"/>
    <w:rsid w:val="00467A85"/>
    <w:rsid w:val="00467ADE"/>
    <w:rsid w:val="00467B37"/>
    <w:rsid w:val="00467B4F"/>
    <w:rsid w:val="00467B90"/>
    <w:rsid w:val="00467C2B"/>
    <w:rsid w:val="00467CBB"/>
    <w:rsid w:val="00467CCE"/>
    <w:rsid w:val="00467CEB"/>
    <w:rsid w:val="00467D12"/>
    <w:rsid w:val="00467D5F"/>
    <w:rsid w:val="00467DD4"/>
    <w:rsid w:val="00467E9B"/>
    <w:rsid w:val="00467F6E"/>
    <w:rsid w:val="00467F97"/>
    <w:rsid w:val="00467F9B"/>
    <w:rsid w:val="00467FB1"/>
    <w:rsid w:val="00467FD9"/>
    <w:rsid w:val="00468BB8"/>
    <w:rsid w:val="0046CF34"/>
    <w:rsid w:val="004700D3"/>
    <w:rsid w:val="0047012D"/>
    <w:rsid w:val="004701CC"/>
    <w:rsid w:val="004701E2"/>
    <w:rsid w:val="0047020A"/>
    <w:rsid w:val="0047021A"/>
    <w:rsid w:val="00470373"/>
    <w:rsid w:val="004703E6"/>
    <w:rsid w:val="00470410"/>
    <w:rsid w:val="00470420"/>
    <w:rsid w:val="0047045B"/>
    <w:rsid w:val="0047054C"/>
    <w:rsid w:val="00470557"/>
    <w:rsid w:val="00470572"/>
    <w:rsid w:val="0047057F"/>
    <w:rsid w:val="004705E5"/>
    <w:rsid w:val="00470622"/>
    <w:rsid w:val="00470697"/>
    <w:rsid w:val="004706FA"/>
    <w:rsid w:val="0047074D"/>
    <w:rsid w:val="004707BA"/>
    <w:rsid w:val="0047087D"/>
    <w:rsid w:val="004708AA"/>
    <w:rsid w:val="004708CE"/>
    <w:rsid w:val="0047092E"/>
    <w:rsid w:val="00470936"/>
    <w:rsid w:val="0047098C"/>
    <w:rsid w:val="004709B4"/>
    <w:rsid w:val="00470A38"/>
    <w:rsid w:val="00470A5C"/>
    <w:rsid w:val="00470A67"/>
    <w:rsid w:val="00470A79"/>
    <w:rsid w:val="00470B9D"/>
    <w:rsid w:val="00470C46"/>
    <w:rsid w:val="00470C52"/>
    <w:rsid w:val="00470C71"/>
    <w:rsid w:val="00470DAE"/>
    <w:rsid w:val="00470DC8"/>
    <w:rsid w:val="00470DDD"/>
    <w:rsid w:val="00470DEA"/>
    <w:rsid w:val="00470E3D"/>
    <w:rsid w:val="00470EA7"/>
    <w:rsid w:val="00470EB8"/>
    <w:rsid w:val="00471039"/>
    <w:rsid w:val="0047106F"/>
    <w:rsid w:val="00471141"/>
    <w:rsid w:val="0047114C"/>
    <w:rsid w:val="0047132F"/>
    <w:rsid w:val="00471353"/>
    <w:rsid w:val="004713DB"/>
    <w:rsid w:val="00471414"/>
    <w:rsid w:val="00471469"/>
    <w:rsid w:val="004714DA"/>
    <w:rsid w:val="00471535"/>
    <w:rsid w:val="0047153F"/>
    <w:rsid w:val="0047156F"/>
    <w:rsid w:val="004715A4"/>
    <w:rsid w:val="004715CC"/>
    <w:rsid w:val="004715DA"/>
    <w:rsid w:val="0047162B"/>
    <w:rsid w:val="0047169C"/>
    <w:rsid w:val="00471709"/>
    <w:rsid w:val="00471794"/>
    <w:rsid w:val="0047179C"/>
    <w:rsid w:val="004717E3"/>
    <w:rsid w:val="00471810"/>
    <w:rsid w:val="00471885"/>
    <w:rsid w:val="004718B8"/>
    <w:rsid w:val="00471933"/>
    <w:rsid w:val="004719AF"/>
    <w:rsid w:val="00471A5C"/>
    <w:rsid w:val="00471CF5"/>
    <w:rsid w:val="00471D0C"/>
    <w:rsid w:val="00471D17"/>
    <w:rsid w:val="00471D8F"/>
    <w:rsid w:val="00471DE4"/>
    <w:rsid w:val="00471EBF"/>
    <w:rsid w:val="00471F88"/>
    <w:rsid w:val="00472063"/>
    <w:rsid w:val="004720D8"/>
    <w:rsid w:val="0047210C"/>
    <w:rsid w:val="00472140"/>
    <w:rsid w:val="00472154"/>
    <w:rsid w:val="00472159"/>
    <w:rsid w:val="004721B7"/>
    <w:rsid w:val="004721E9"/>
    <w:rsid w:val="0047220F"/>
    <w:rsid w:val="0047230B"/>
    <w:rsid w:val="0047233D"/>
    <w:rsid w:val="004723A3"/>
    <w:rsid w:val="0047242E"/>
    <w:rsid w:val="00472448"/>
    <w:rsid w:val="00472499"/>
    <w:rsid w:val="004724B5"/>
    <w:rsid w:val="00472513"/>
    <w:rsid w:val="0047252D"/>
    <w:rsid w:val="00472576"/>
    <w:rsid w:val="004725BB"/>
    <w:rsid w:val="004725FA"/>
    <w:rsid w:val="004725FE"/>
    <w:rsid w:val="004726B0"/>
    <w:rsid w:val="004726F0"/>
    <w:rsid w:val="00472765"/>
    <w:rsid w:val="0047278D"/>
    <w:rsid w:val="004727FE"/>
    <w:rsid w:val="00472814"/>
    <w:rsid w:val="00472852"/>
    <w:rsid w:val="0047289E"/>
    <w:rsid w:val="0047293E"/>
    <w:rsid w:val="004729AC"/>
    <w:rsid w:val="00472A21"/>
    <w:rsid w:val="00472B56"/>
    <w:rsid w:val="00472B9C"/>
    <w:rsid w:val="00472BCD"/>
    <w:rsid w:val="00472BE4"/>
    <w:rsid w:val="00472BF3"/>
    <w:rsid w:val="00472C82"/>
    <w:rsid w:val="00472C8B"/>
    <w:rsid w:val="00472C90"/>
    <w:rsid w:val="00472D71"/>
    <w:rsid w:val="00472DA1"/>
    <w:rsid w:val="00472F01"/>
    <w:rsid w:val="00472F60"/>
    <w:rsid w:val="00472FA4"/>
    <w:rsid w:val="00472FDD"/>
    <w:rsid w:val="0047310C"/>
    <w:rsid w:val="00473273"/>
    <w:rsid w:val="0047339D"/>
    <w:rsid w:val="004733FA"/>
    <w:rsid w:val="00473480"/>
    <w:rsid w:val="004734B3"/>
    <w:rsid w:val="0047357A"/>
    <w:rsid w:val="004735C7"/>
    <w:rsid w:val="004735D0"/>
    <w:rsid w:val="004735E7"/>
    <w:rsid w:val="004735F3"/>
    <w:rsid w:val="00473648"/>
    <w:rsid w:val="0047369C"/>
    <w:rsid w:val="004736D8"/>
    <w:rsid w:val="004736F2"/>
    <w:rsid w:val="00473780"/>
    <w:rsid w:val="00473786"/>
    <w:rsid w:val="00473791"/>
    <w:rsid w:val="004737D3"/>
    <w:rsid w:val="004737E8"/>
    <w:rsid w:val="00473820"/>
    <w:rsid w:val="00473924"/>
    <w:rsid w:val="00473997"/>
    <w:rsid w:val="00473A1D"/>
    <w:rsid w:val="00473A44"/>
    <w:rsid w:val="00473AF6"/>
    <w:rsid w:val="00473AF9"/>
    <w:rsid w:val="00473B18"/>
    <w:rsid w:val="00473B36"/>
    <w:rsid w:val="00473C3A"/>
    <w:rsid w:val="00473C69"/>
    <w:rsid w:val="00473C70"/>
    <w:rsid w:val="00473C8C"/>
    <w:rsid w:val="00473C8D"/>
    <w:rsid w:val="00473D42"/>
    <w:rsid w:val="00473D62"/>
    <w:rsid w:val="00473E07"/>
    <w:rsid w:val="00473E14"/>
    <w:rsid w:val="00473E96"/>
    <w:rsid w:val="00473ED0"/>
    <w:rsid w:val="00473EE5"/>
    <w:rsid w:val="00474088"/>
    <w:rsid w:val="00474162"/>
    <w:rsid w:val="00474199"/>
    <w:rsid w:val="0047419A"/>
    <w:rsid w:val="00474215"/>
    <w:rsid w:val="0047422E"/>
    <w:rsid w:val="004742A2"/>
    <w:rsid w:val="004742DF"/>
    <w:rsid w:val="0047449A"/>
    <w:rsid w:val="004744E7"/>
    <w:rsid w:val="004745B4"/>
    <w:rsid w:val="004745C4"/>
    <w:rsid w:val="004745D9"/>
    <w:rsid w:val="004745E4"/>
    <w:rsid w:val="004745EC"/>
    <w:rsid w:val="00474627"/>
    <w:rsid w:val="004746B2"/>
    <w:rsid w:val="004746FC"/>
    <w:rsid w:val="0047470D"/>
    <w:rsid w:val="00474722"/>
    <w:rsid w:val="004747F6"/>
    <w:rsid w:val="00474823"/>
    <w:rsid w:val="004748CA"/>
    <w:rsid w:val="0047497C"/>
    <w:rsid w:val="004749CE"/>
    <w:rsid w:val="00474A56"/>
    <w:rsid w:val="00474A73"/>
    <w:rsid w:val="00474B85"/>
    <w:rsid w:val="00474BBD"/>
    <w:rsid w:val="00474BC0"/>
    <w:rsid w:val="00474BD0"/>
    <w:rsid w:val="00474BF7"/>
    <w:rsid w:val="00474C0B"/>
    <w:rsid w:val="00474C21"/>
    <w:rsid w:val="00474D1C"/>
    <w:rsid w:val="00474D48"/>
    <w:rsid w:val="00474DB9"/>
    <w:rsid w:val="00474E68"/>
    <w:rsid w:val="00474E72"/>
    <w:rsid w:val="00474EC0"/>
    <w:rsid w:val="00474FDB"/>
    <w:rsid w:val="00475023"/>
    <w:rsid w:val="00475056"/>
    <w:rsid w:val="0047506B"/>
    <w:rsid w:val="004750D1"/>
    <w:rsid w:val="0047511C"/>
    <w:rsid w:val="0047522C"/>
    <w:rsid w:val="0047530B"/>
    <w:rsid w:val="0047532C"/>
    <w:rsid w:val="004753BF"/>
    <w:rsid w:val="0047542B"/>
    <w:rsid w:val="00475670"/>
    <w:rsid w:val="004756B4"/>
    <w:rsid w:val="00475712"/>
    <w:rsid w:val="0047592C"/>
    <w:rsid w:val="004759D3"/>
    <w:rsid w:val="00475A1E"/>
    <w:rsid w:val="00475A76"/>
    <w:rsid w:val="00475AAA"/>
    <w:rsid w:val="00475C19"/>
    <w:rsid w:val="00475C5D"/>
    <w:rsid w:val="00475C9D"/>
    <w:rsid w:val="00475CA8"/>
    <w:rsid w:val="00475D51"/>
    <w:rsid w:val="00475DC7"/>
    <w:rsid w:val="00475DF6"/>
    <w:rsid w:val="00475E5C"/>
    <w:rsid w:val="00475EA0"/>
    <w:rsid w:val="00475EF4"/>
    <w:rsid w:val="00475F18"/>
    <w:rsid w:val="00475FB1"/>
    <w:rsid w:val="00476025"/>
    <w:rsid w:val="00476094"/>
    <w:rsid w:val="0047617A"/>
    <w:rsid w:val="004762CE"/>
    <w:rsid w:val="0047632D"/>
    <w:rsid w:val="00476394"/>
    <w:rsid w:val="0047639A"/>
    <w:rsid w:val="00476438"/>
    <w:rsid w:val="0047657D"/>
    <w:rsid w:val="00476583"/>
    <w:rsid w:val="0047664E"/>
    <w:rsid w:val="0047695F"/>
    <w:rsid w:val="00476B36"/>
    <w:rsid w:val="00476B9E"/>
    <w:rsid w:val="00476CED"/>
    <w:rsid w:val="00476D00"/>
    <w:rsid w:val="00476D11"/>
    <w:rsid w:val="00476D37"/>
    <w:rsid w:val="00476DB2"/>
    <w:rsid w:val="00476DC9"/>
    <w:rsid w:val="00476F00"/>
    <w:rsid w:val="00476F34"/>
    <w:rsid w:val="00476F87"/>
    <w:rsid w:val="00476FAC"/>
    <w:rsid w:val="00476FBE"/>
    <w:rsid w:val="0047702C"/>
    <w:rsid w:val="004770BA"/>
    <w:rsid w:val="004770D2"/>
    <w:rsid w:val="004770D3"/>
    <w:rsid w:val="0047712F"/>
    <w:rsid w:val="004771C3"/>
    <w:rsid w:val="00477255"/>
    <w:rsid w:val="0047725D"/>
    <w:rsid w:val="00477261"/>
    <w:rsid w:val="00477321"/>
    <w:rsid w:val="0047733E"/>
    <w:rsid w:val="004773A0"/>
    <w:rsid w:val="00477489"/>
    <w:rsid w:val="0047748F"/>
    <w:rsid w:val="00477519"/>
    <w:rsid w:val="0047754C"/>
    <w:rsid w:val="00477581"/>
    <w:rsid w:val="00477595"/>
    <w:rsid w:val="00477616"/>
    <w:rsid w:val="00477639"/>
    <w:rsid w:val="0047764C"/>
    <w:rsid w:val="0047768C"/>
    <w:rsid w:val="00477796"/>
    <w:rsid w:val="004777BE"/>
    <w:rsid w:val="0047784A"/>
    <w:rsid w:val="00477856"/>
    <w:rsid w:val="00477865"/>
    <w:rsid w:val="004778E1"/>
    <w:rsid w:val="00477926"/>
    <w:rsid w:val="00477A19"/>
    <w:rsid w:val="00477A6B"/>
    <w:rsid w:val="00477AA9"/>
    <w:rsid w:val="00477AD8"/>
    <w:rsid w:val="00477B68"/>
    <w:rsid w:val="00477C82"/>
    <w:rsid w:val="00477D53"/>
    <w:rsid w:val="00477DAE"/>
    <w:rsid w:val="00477DC5"/>
    <w:rsid w:val="00477DF8"/>
    <w:rsid w:val="00477E2F"/>
    <w:rsid w:val="00477F39"/>
    <w:rsid w:val="0047BA8F"/>
    <w:rsid w:val="0048007E"/>
    <w:rsid w:val="00480096"/>
    <w:rsid w:val="004800BE"/>
    <w:rsid w:val="004800C7"/>
    <w:rsid w:val="00480170"/>
    <w:rsid w:val="004802C1"/>
    <w:rsid w:val="004802D1"/>
    <w:rsid w:val="00480484"/>
    <w:rsid w:val="00480506"/>
    <w:rsid w:val="0048051B"/>
    <w:rsid w:val="0048074F"/>
    <w:rsid w:val="00480793"/>
    <w:rsid w:val="004807C4"/>
    <w:rsid w:val="0048084A"/>
    <w:rsid w:val="00480850"/>
    <w:rsid w:val="004808F9"/>
    <w:rsid w:val="00480915"/>
    <w:rsid w:val="00480999"/>
    <w:rsid w:val="004809AF"/>
    <w:rsid w:val="004809F7"/>
    <w:rsid w:val="00480A62"/>
    <w:rsid w:val="00480A7D"/>
    <w:rsid w:val="00480AE4"/>
    <w:rsid w:val="00480B53"/>
    <w:rsid w:val="00480D17"/>
    <w:rsid w:val="00480D4F"/>
    <w:rsid w:val="00480D6F"/>
    <w:rsid w:val="00480DA6"/>
    <w:rsid w:val="00480E16"/>
    <w:rsid w:val="00480E6A"/>
    <w:rsid w:val="00480E91"/>
    <w:rsid w:val="00480E96"/>
    <w:rsid w:val="00480ECC"/>
    <w:rsid w:val="00480FCF"/>
    <w:rsid w:val="00480FE8"/>
    <w:rsid w:val="0048104D"/>
    <w:rsid w:val="004810D4"/>
    <w:rsid w:val="004810E8"/>
    <w:rsid w:val="00481174"/>
    <w:rsid w:val="0048125E"/>
    <w:rsid w:val="00481292"/>
    <w:rsid w:val="004812A5"/>
    <w:rsid w:val="004812CD"/>
    <w:rsid w:val="0048137A"/>
    <w:rsid w:val="004813A4"/>
    <w:rsid w:val="00481429"/>
    <w:rsid w:val="00481492"/>
    <w:rsid w:val="004814EC"/>
    <w:rsid w:val="00481571"/>
    <w:rsid w:val="00481604"/>
    <w:rsid w:val="0048179B"/>
    <w:rsid w:val="00481818"/>
    <w:rsid w:val="0048182D"/>
    <w:rsid w:val="0048182F"/>
    <w:rsid w:val="0048187F"/>
    <w:rsid w:val="004818FF"/>
    <w:rsid w:val="00481919"/>
    <w:rsid w:val="0048194A"/>
    <w:rsid w:val="00481950"/>
    <w:rsid w:val="00481B4A"/>
    <w:rsid w:val="00481C06"/>
    <w:rsid w:val="00481C16"/>
    <w:rsid w:val="00481CA5"/>
    <w:rsid w:val="00481CBF"/>
    <w:rsid w:val="00481DEE"/>
    <w:rsid w:val="00481E68"/>
    <w:rsid w:val="00481F8B"/>
    <w:rsid w:val="00481FB8"/>
    <w:rsid w:val="00481FC0"/>
    <w:rsid w:val="00482052"/>
    <w:rsid w:val="0048210B"/>
    <w:rsid w:val="004821A4"/>
    <w:rsid w:val="00482238"/>
    <w:rsid w:val="00482243"/>
    <w:rsid w:val="00482324"/>
    <w:rsid w:val="00482334"/>
    <w:rsid w:val="004823BB"/>
    <w:rsid w:val="004824CA"/>
    <w:rsid w:val="0048255F"/>
    <w:rsid w:val="00482588"/>
    <w:rsid w:val="00482603"/>
    <w:rsid w:val="00482631"/>
    <w:rsid w:val="00482660"/>
    <w:rsid w:val="004826F9"/>
    <w:rsid w:val="00482766"/>
    <w:rsid w:val="004828E8"/>
    <w:rsid w:val="00482AA2"/>
    <w:rsid w:val="00482AC1"/>
    <w:rsid w:val="00482AD6"/>
    <w:rsid w:val="00482B0F"/>
    <w:rsid w:val="00482B49"/>
    <w:rsid w:val="00482C23"/>
    <w:rsid w:val="00482C74"/>
    <w:rsid w:val="00482D7A"/>
    <w:rsid w:val="00482E50"/>
    <w:rsid w:val="00482EEF"/>
    <w:rsid w:val="00482F2D"/>
    <w:rsid w:val="00482F2E"/>
    <w:rsid w:val="00482F30"/>
    <w:rsid w:val="00482F3D"/>
    <w:rsid w:val="00482F99"/>
    <w:rsid w:val="00482FC7"/>
    <w:rsid w:val="00483010"/>
    <w:rsid w:val="0048306B"/>
    <w:rsid w:val="00483085"/>
    <w:rsid w:val="004831E6"/>
    <w:rsid w:val="00483293"/>
    <w:rsid w:val="004832EA"/>
    <w:rsid w:val="00483324"/>
    <w:rsid w:val="00483361"/>
    <w:rsid w:val="00483499"/>
    <w:rsid w:val="0048357F"/>
    <w:rsid w:val="00483597"/>
    <w:rsid w:val="004835EE"/>
    <w:rsid w:val="004835F6"/>
    <w:rsid w:val="0048362C"/>
    <w:rsid w:val="00483633"/>
    <w:rsid w:val="00483639"/>
    <w:rsid w:val="0048364F"/>
    <w:rsid w:val="0048369E"/>
    <w:rsid w:val="004836CA"/>
    <w:rsid w:val="004836FA"/>
    <w:rsid w:val="00483709"/>
    <w:rsid w:val="0048376F"/>
    <w:rsid w:val="00483806"/>
    <w:rsid w:val="00483807"/>
    <w:rsid w:val="00483812"/>
    <w:rsid w:val="0048381E"/>
    <w:rsid w:val="00483840"/>
    <w:rsid w:val="004839CA"/>
    <w:rsid w:val="00483A0C"/>
    <w:rsid w:val="00483A16"/>
    <w:rsid w:val="00483AA9"/>
    <w:rsid w:val="00483AEA"/>
    <w:rsid w:val="00483B0F"/>
    <w:rsid w:val="00483BE2"/>
    <w:rsid w:val="00483C0B"/>
    <w:rsid w:val="00483C73"/>
    <w:rsid w:val="00483D17"/>
    <w:rsid w:val="00483D4E"/>
    <w:rsid w:val="00483FDA"/>
    <w:rsid w:val="00483FE5"/>
    <w:rsid w:val="00484028"/>
    <w:rsid w:val="0048407D"/>
    <w:rsid w:val="004840AA"/>
    <w:rsid w:val="004840EF"/>
    <w:rsid w:val="00484101"/>
    <w:rsid w:val="0048413E"/>
    <w:rsid w:val="004841DF"/>
    <w:rsid w:val="00484224"/>
    <w:rsid w:val="0048423B"/>
    <w:rsid w:val="00484443"/>
    <w:rsid w:val="004844E2"/>
    <w:rsid w:val="004844E6"/>
    <w:rsid w:val="004845B0"/>
    <w:rsid w:val="004846B9"/>
    <w:rsid w:val="0048488A"/>
    <w:rsid w:val="0048489D"/>
    <w:rsid w:val="00484928"/>
    <w:rsid w:val="00484A07"/>
    <w:rsid w:val="00484A3A"/>
    <w:rsid w:val="00484AB1"/>
    <w:rsid w:val="00484B22"/>
    <w:rsid w:val="00484B62"/>
    <w:rsid w:val="00484B76"/>
    <w:rsid w:val="00484BCD"/>
    <w:rsid w:val="00484CEA"/>
    <w:rsid w:val="00484E22"/>
    <w:rsid w:val="00484EE2"/>
    <w:rsid w:val="00484F34"/>
    <w:rsid w:val="00484FEC"/>
    <w:rsid w:val="00485060"/>
    <w:rsid w:val="00485065"/>
    <w:rsid w:val="004850FA"/>
    <w:rsid w:val="00485139"/>
    <w:rsid w:val="00485177"/>
    <w:rsid w:val="0048524A"/>
    <w:rsid w:val="00485265"/>
    <w:rsid w:val="004853B3"/>
    <w:rsid w:val="004853E6"/>
    <w:rsid w:val="00485417"/>
    <w:rsid w:val="00485528"/>
    <w:rsid w:val="00485581"/>
    <w:rsid w:val="004855C4"/>
    <w:rsid w:val="00485672"/>
    <w:rsid w:val="00485715"/>
    <w:rsid w:val="00485758"/>
    <w:rsid w:val="0048577E"/>
    <w:rsid w:val="00485846"/>
    <w:rsid w:val="004858E1"/>
    <w:rsid w:val="004858F4"/>
    <w:rsid w:val="00485939"/>
    <w:rsid w:val="00485940"/>
    <w:rsid w:val="00485953"/>
    <w:rsid w:val="00485A21"/>
    <w:rsid w:val="00485B86"/>
    <w:rsid w:val="00485C0F"/>
    <w:rsid w:val="00485C76"/>
    <w:rsid w:val="00485CFB"/>
    <w:rsid w:val="00485D08"/>
    <w:rsid w:val="00485D68"/>
    <w:rsid w:val="00485DC6"/>
    <w:rsid w:val="00485E14"/>
    <w:rsid w:val="00485EE4"/>
    <w:rsid w:val="0048601D"/>
    <w:rsid w:val="004861E0"/>
    <w:rsid w:val="004861EE"/>
    <w:rsid w:val="0048620E"/>
    <w:rsid w:val="00486228"/>
    <w:rsid w:val="0048626C"/>
    <w:rsid w:val="004862E1"/>
    <w:rsid w:val="00486343"/>
    <w:rsid w:val="00486371"/>
    <w:rsid w:val="004863B8"/>
    <w:rsid w:val="00486537"/>
    <w:rsid w:val="00486548"/>
    <w:rsid w:val="0048660A"/>
    <w:rsid w:val="00486634"/>
    <w:rsid w:val="00486664"/>
    <w:rsid w:val="00486724"/>
    <w:rsid w:val="0048674B"/>
    <w:rsid w:val="0048685B"/>
    <w:rsid w:val="004868B7"/>
    <w:rsid w:val="004868C0"/>
    <w:rsid w:val="004869B2"/>
    <w:rsid w:val="00486A9F"/>
    <w:rsid w:val="00486AF9"/>
    <w:rsid w:val="00486B03"/>
    <w:rsid w:val="00486B5D"/>
    <w:rsid w:val="00486BC9"/>
    <w:rsid w:val="00486D3F"/>
    <w:rsid w:val="00486D45"/>
    <w:rsid w:val="00486D87"/>
    <w:rsid w:val="00486E34"/>
    <w:rsid w:val="00486E77"/>
    <w:rsid w:val="00486ED9"/>
    <w:rsid w:val="00486EE1"/>
    <w:rsid w:val="00486F23"/>
    <w:rsid w:val="00486FA5"/>
    <w:rsid w:val="00486FAB"/>
    <w:rsid w:val="00487012"/>
    <w:rsid w:val="00487083"/>
    <w:rsid w:val="004870F0"/>
    <w:rsid w:val="004870F5"/>
    <w:rsid w:val="00487150"/>
    <w:rsid w:val="0048729C"/>
    <w:rsid w:val="004872C6"/>
    <w:rsid w:val="004872DD"/>
    <w:rsid w:val="004872EC"/>
    <w:rsid w:val="00487339"/>
    <w:rsid w:val="004873EC"/>
    <w:rsid w:val="0048743D"/>
    <w:rsid w:val="004874A8"/>
    <w:rsid w:val="0048762E"/>
    <w:rsid w:val="00487649"/>
    <w:rsid w:val="00487661"/>
    <w:rsid w:val="004876A9"/>
    <w:rsid w:val="004876CD"/>
    <w:rsid w:val="00487747"/>
    <w:rsid w:val="0048783D"/>
    <w:rsid w:val="00487895"/>
    <w:rsid w:val="004878E9"/>
    <w:rsid w:val="0048792B"/>
    <w:rsid w:val="00487954"/>
    <w:rsid w:val="004879DF"/>
    <w:rsid w:val="00487A8B"/>
    <w:rsid w:val="00487AC4"/>
    <w:rsid w:val="00487B41"/>
    <w:rsid w:val="00487B50"/>
    <w:rsid w:val="00487B59"/>
    <w:rsid w:val="00487B6C"/>
    <w:rsid w:val="00487B7E"/>
    <w:rsid w:val="00487CBB"/>
    <w:rsid w:val="00487D23"/>
    <w:rsid w:val="00487D34"/>
    <w:rsid w:val="00487D86"/>
    <w:rsid w:val="00487DC8"/>
    <w:rsid w:val="00487E78"/>
    <w:rsid w:val="00487E9A"/>
    <w:rsid w:val="00487F33"/>
    <w:rsid w:val="00487F6A"/>
    <w:rsid w:val="00487F94"/>
    <w:rsid w:val="00487FC5"/>
    <w:rsid w:val="0048AAAC"/>
    <w:rsid w:val="0048F98D"/>
    <w:rsid w:val="00490035"/>
    <w:rsid w:val="0049008A"/>
    <w:rsid w:val="004900B8"/>
    <w:rsid w:val="004900C9"/>
    <w:rsid w:val="004900DC"/>
    <w:rsid w:val="004901E0"/>
    <w:rsid w:val="00490310"/>
    <w:rsid w:val="004903E6"/>
    <w:rsid w:val="00490411"/>
    <w:rsid w:val="00490471"/>
    <w:rsid w:val="00490486"/>
    <w:rsid w:val="00490529"/>
    <w:rsid w:val="0049068F"/>
    <w:rsid w:val="004906B7"/>
    <w:rsid w:val="0049070F"/>
    <w:rsid w:val="0049071D"/>
    <w:rsid w:val="0049073E"/>
    <w:rsid w:val="0049087F"/>
    <w:rsid w:val="004908B2"/>
    <w:rsid w:val="004908EA"/>
    <w:rsid w:val="00490909"/>
    <w:rsid w:val="00490958"/>
    <w:rsid w:val="00490964"/>
    <w:rsid w:val="00490AD2"/>
    <w:rsid w:val="00490AFA"/>
    <w:rsid w:val="00490B14"/>
    <w:rsid w:val="00490B4C"/>
    <w:rsid w:val="00490BD2"/>
    <w:rsid w:val="00490C72"/>
    <w:rsid w:val="00490C80"/>
    <w:rsid w:val="00490C82"/>
    <w:rsid w:val="00490CE9"/>
    <w:rsid w:val="00490D2D"/>
    <w:rsid w:val="00490E47"/>
    <w:rsid w:val="00490EEC"/>
    <w:rsid w:val="00490F44"/>
    <w:rsid w:val="00490F4F"/>
    <w:rsid w:val="00490F5F"/>
    <w:rsid w:val="00490FA9"/>
    <w:rsid w:val="00490FC1"/>
    <w:rsid w:val="00490FF9"/>
    <w:rsid w:val="00491013"/>
    <w:rsid w:val="0049102A"/>
    <w:rsid w:val="0049102E"/>
    <w:rsid w:val="00491094"/>
    <w:rsid w:val="004910B9"/>
    <w:rsid w:val="004910FC"/>
    <w:rsid w:val="0049113B"/>
    <w:rsid w:val="0049115E"/>
    <w:rsid w:val="004911C3"/>
    <w:rsid w:val="00491210"/>
    <w:rsid w:val="0049125D"/>
    <w:rsid w:val="004912C9"/>
    <w:rsid w:val="00491341"/>
    <w:rsid w:val="004913D5"/>
    <w:rsid w:val="00491410"/>
    <w:rsid w:val="0049145E"/>
    <w:rsid w:val="00491465"/>
    <w:rsid w:val="00491482"/>
    <w:rsid w:val="004914E4"/>
    <w:rsid w:val="004914E7"/>
    <w:rsid w:val="004915AE"/>
    <w:rsid w:val="004915F9"/>
    <w:rsid w:val="004916A1"/>
    <w:rsid w:val="004916D0"/>
    <w:rsid w:val="004916D2"/>
    <w:rsid w:val="00491727"/>
    <w:rsid w:val="0049177D"/>
    <w:rsid w:val="004917B1"/>
    <w:rsid w:val="004917CC"/>
    <w:rsid w:val="004917F0"/>
    <w:rsid w:val="0049180C"/>
    <w:rsid w:val="0049182D"/>
    <w:rsid w:val="00491831"/>
    <w:rsid w:val="00491864"/>
    <w:rsid w:val="00491889"/>
    <w:rsid w:val="00491A2A"/>
    <w:rsid w:val="00491B39"/>
    <w:rsid w:val="00491BC5"/>
    <w:rsid w:val="00491BE3"/>
    <w:rsid w:val="00491C19"/>
    <w:rsid w:val="00491C8D"/>
    <w:rsid w:val="00491E25"/>
    <w:rsid w:val="00491E5A"/>
    <w:rsid w:val="00491E90"/>
    <w:rsid w:val="00491F3D"/>
    <w:rsid w:val="00491F81"/>
    <w:rsid w:val="00492002"/>
    <w:rsid w:val="00492060"/>
    <w:rsid w:val="00492067"/>
    <w:rsid w:val="004921C7"/>
    <w:rsid w:val="0049226E"/>
    <w:rsid w:val="004923ED"/>
    <w:rsid w:val="0049248C"/>
    <w:rsid w:val="004924C3"/>
    <w:rsid w:val="00492510"/>
    <w:rsid w:val="00492516"/>
    <w:rsid w:val="004925A3"/>
    <w:rsid w:val="004925E6"/>
    <w:rsid w:val="0049261F"/>
    <w:rsid w:val="004927FA"/>
    <w:rsid w:val="00492801"/>
    <w:rsid w:val="00492853"/>
    <w:rsid w:val="00492871"/>
    <w:rsid w:val="004928FB"/>
    <w:rsid w:val="0049295C"/>
    <w:rsid w:val="004929EF"/>
    <w:rsid w:val="00492A09"/>
    <w:rsid w:val="00492A47"/>
    <w:rsid w:val="00492AA5"/>
    <w:rsid w:val="00492AFB"/>
    <w:rsid w:val="00492B12"/>
    <w:rsid w:val="00492B87"/>
    <w:rsid w:val="00492BCA"/>
    <w:rsid w:val="00492BEC"/>
    <w:rsid w:val="00492C10"/>
    <w:rsid w:val="00492DB9"/>
    <w:rsid w:val="00492DDD"/>
    <w:rsid w:val="00492ECC"/>
    <w:rsid w:val="00492EE9"/>
    <w:rsid w:val="00492F2F"/>
    <w:rsid w:val="00492FC2"/>
    <w:rsid w:val="004930BD"/>
    <w:rsid w:val="004932AD"/>
    <w:rsid w:val="00493346"/>
    <w:rsid w:val="004933C6"/>
    <w:rsid w:val="004933DB"/>
    <w:rsid w:val="0049341B"/>
    <w:rsid w:val="00493424"/>
    <w:rsid w:val="00493475"/>
    <w:rsid w:val="0049348D"/>
    <w:rsid w:val="0049362F"/>
    <w:rsid w:val="004936EC"/>
    <w:rsid w:val="00493700"/>
    <w:rsid w:val="004937DC"/>
    <w:rsid w:val="00493800"/>
    <w:rsid w:val="00493833"/>
    <w:rsid w:val="00493850"/>
    <w:rsid w:val="004939F8"/>
    <w:rsid w:val="00493A00"/>
    <w:rsid w:val="00493A1E"/>
    <w:rsid w:val="00493A8C"/>
    <w:rsid w:val="00493AA6"/>
    <w:rsid w:val="00493C21"/>
    <w:rsid w:val="00493C23"/>
    <w:rsid w:val="00493C94"/>
    <w:rsid w:val="00493CCC"/>
    <w:rsid w:val="00493D02"/>
    <w:rsid w:val="00493D31"/>
    <w:rsid w:val="00493D88"/>
    <w:rsid w:val="00493DA1"/>
    <w:rsid w:val="00493DD0"/>
    <w:rsid w:val="00493F10"/>
    <w:rsid w:val="00493F6C"/>
    <w:rsid w:val="00493FD2"/>
    <w:rsid w:val="004940B5"/>
    <w:rsid w:val="004940D9"/>
    <w:rsid w:val="0049419A"/>
    <w:rsid w:val="004941EB"/>
    <w:rsid w:val="00494365"/>
    <w:rsid w:val="004943BD"/>
    <w:rsid w:val="004943DD"/>
    <w:rsid w:val="004943E7"/>
    <w:rsid w:val="00494419"/>
    <w:rsid w:val="004944EB"/>
    <w:rsid w:val="0049452A"/>
    <w:rsid w:val="00494555"/>
    <w:rsid w:val="004945F3"/>
    <w:rsid w:val="004945FD"/>
    <w:rsid w:val="0049464F"/>
    <w:rsid w:val="0049470D"/>
    <w:rsid w:val="00494770"/>
    <w:rsid w:val="00494788"/>
    <w:rsid w:val="004947F2"/>
    <w:rsid w:val="004947F8"/>
    <w:rsid w:val="0049483F"/>
    <w:rsid w:val="0049487E"/>
    <w:rsid w:val="004948DD"/>
    <w:rsid w:val="00494991"/>
    <w:rsid w:val="00494A04"/>
    <w:rsid w:val="00494B11"/>
    <w:rsid w:val="00494B39"/>
    <w:rsid w:val="00494B62"/>
    <w:rsid w:val="00494DD5"/>
    <w:rsid w:val="00494DD6"/>
    <w:rsid w:val="00494E67"/>
    <w:rsid w:val="00494E9A"/>
    <w:rsid w:val="00494EA5"/>
    <w:rsid w:val="00494EDC"/>
    <w:rsid w:val="00494F01"/>
    <w:rsid w:val="00494F59"/>
    <w:rsid w:val="00494F9B"/>
    <w:rsid w:val="00494F9E"/>
    <w:rsid w:val="004951ED"/>
    <w:rsid w:val="00495229"/>
    <w:rsid w:val="0049522C"/>
    <w:rsid w:val="004952E4"/>
    <w:rsid w:val="0049530A"/>
    <w:rsid w:val="0049531B"/>
    <w:rsid w:val="0049539A"/>
    <w:rsid w:val="004953A2"/>
    <w:rsid w:val="004953B0"/>
    <w:rsid w:val="004953B7"/>
    <w:rsid w:val="00495551"/>
    <w:rsid w:val="004957F6"/>
    <w:rsid w:val="0049588F"/>
    <w:rsid w:val="0049595D"/>
    <w:rsid w:val="00495997"/>
    <w:rsid w:val="004959B6"/>
    <w:rsid w:val="00495A07"/>
    <w:rsid w:val="00495A36"/>
    <w:rsid w:val="00495A38"/>
    <w:rsid w:val="00495A80"/>
    <w:rsid w:val="00495AE9"/>
    <w:rsid w:val="00495BF6"/>
    <w:rsid w:val="00495C70"/>
    <w:rsid w:val="00495C9E"/>
    <w:rsid w:val="00495CAA"/>
    <w:rsid w:val="00495D9F"/>
    <w:rsid w:val="00495DA0"/>
    <w:rsid w:val="00495DB0"/>
    <w:rsid w:val="00495E6C"/>
    <w:rsid w:val="00495EB7"/>
    <w:rsid w:val="00495ED1"/>
    <w:rsid w:val="00495F4B"/>
    <w:rsid w:val="00495F4D"/>
    <w:rsid w:val="00495FBC"/>
    <w:rsid w:val="00496035"/>
    <w:rsid w:val="004960BB"/>
    <w:rsid w:val="0049610A"/>
    <w:rsid w:val="0049613C"/>
    <w:rsid w:val="00496274"/>
    <w:rsid w:val="0049628A"/>
    <w:rsid w:val="004963B5"/>
    <w:rsid w:val="00496419"/>
    <w:rsid w:val="00496461"/>
    <w:rsid w:val="004964C1"/>
    <w:rsid w:val="004964F2"/>
    <w:rsid w:val="004964FA"/>
    <w:rsid w:val="004965FF"/>
    <w:rsid w:val="0049662D"/>
    <w:rsid w:val="004966F0"/>
    <w:rsid w:val="00496823"/>
    <w:rsid w:val="004968C5"/>
    <w:rsid w:val="004969C7"/>
    <w:rsid w:val="004969CC"/>
    <w:rsid w:val="00496A07"/>
    <w:rsid w:val="00496AB7"/>
    <w:rsid w:val="00496B83"/>
    <w:rsid w:val="00496BCB"/>
    <w:rsid w:val="00496BE4"/>
    <w:rsid w:val="00496CE7"/>
    <w:rsid w:val="00496D4E"/>
    <w:rsid w:val="00496D6E"/>
    <w:rsid w:val="00496D91"/>
    <w:rsid w:val="00496EA8"/>
    <w:rsid w:val="00496EDA"/>
    <w:rsid w:val="00496F4D"/>
    <w:rsid w:val="00496F56"/>
    <w:rsid w:val="00496F6D"/>
    <w:rsid w:val="00496F85"/>
    <w:rsid w:val="00497185"/>
    <w:rsid w:val="004971F7"/>
    <w:rsid w:val="0049723A"/>
    <w:rsid w:val="0049724E"/>
    <w:rsid w:val="0049725C"/>
    <w:rsid w:val="004972A1"/>
    <w:rsid w:val="004972B2"/>
    <w:rsid w:val="004972C3"/>
    <w:rsid w:val="0049734C"/>
    <w:rsid w:val="00497388"/>
    <w:rsid w:val="004973DE"/>
    <w:rsid w:val="004973E9"/>
    <w:rsid w:val="004973EB"/>
    <w:rsid w:val="0049740B"/>
    <w:rsid w:val="00497424"/>
    <w:rsid w:val="004974AD"/>
    <w:rsid w:val="004974B9"/>
    <w:rsid w:val="0049767F"/>
    <w:rsid w:val="00497692"/>
    <w:rsid w:val="0049778A"/>
    <w:rsid w:val="0049784E"/>
    <w:rsid w:val="004978FA"/>
    <w:rsid w:val="00497904"/>
    <w:rsid w:val="00497920"/>
    <w:rsid w:val="0049794D"/>
    <w:rsid w:val="00497964"/>
    <w:rsid w:val="00497ABA"/>
    <w:rsid w:val="00497C32"/>
    <w:rsid w:val="00497C82"/>
    <w:rsid w:val="00497CCF"/>
    <w:rsid w:val="00497D0D"/>
    <w:rsid w:val="00497D33"/>
    <w:rsid w:val="00497DD2"/>
    <w:rsid w:val="00497EC5"/>
    <w:rsid w:val="00497F4D"/>
    <w:rsid w:val="00497FAE"/>
    <w:rsid w:val="00497FF0"/>
    <w:rsid w:val="004A0000"/>
    <w:rsid w:val="004A0134"/>
    <w:rsid w:val="004A016A"/>
    <w:rsid w:val="004A0214"/>
    <w:rsid w:val="004A022D"/>
    <w:rsid w:val="004A0272"/>
    <w:rsid w:val="004A027D"/>
    <w:rsid w:val="004A034B"/>
    <w:rsid w:val="004A03F3"/>
    <w:rsid w:val="004A0437"/>
    <w:rsid w:val="004A043D"/>
    <w:rsid w:val="004A0494"/>
    <w:rsid w:val="004A04BF"/>
    <w:rsid w:val="004A04C2"/>
    <w:rsid w:val="004A050F"/>
    <w:rsid w:val="004A0514"/>
    <w:rsid w:val="004A06BC"/>
    <w:rsid w:val="004A06CD"/>
    <w:rsid w:val="004A078F"/>
    <w:rsid w:val="004A07AB"/>
    <w:rsid w:val="004A08A1"/>
    <w:rsid w:val="004A08F9"/>
    <w:rsid w:val="004A09D0"/>
    <w:rsid w:val="004A0AF3"/>
    <w:rsid w:val="004A0BD4"/>
    <w:rsid w:val="004A0CF2"/>
    <w:rsid w:val="004A0D2B"/>
    <w:rsid w:val="004A0D3B"/>
    <w:rsid w:val="004A0E20"/>
    <w:rsid w:val="004A0E2D"/>
    <w:rsid w:val="004A0E2E"/>
    <w:rsid w:val="004A0EF3"/>
    <w:rsid w:val="004A0F9F"/>
    <w:rsid w:val="004A0FF0"/>
    <w:rsid w:val="004A106C"/>
    <w:rsid w:val="004A10C2"/>
    <w:rsid w:val="004A1161"/>
    <w:rsid w:val="004A1197"/>
    <w:rsid w:val="004A11F5"/>
    <w:rsid w:val="004A1258"/>
    <w:rsid w:val="004A12D3"/>
    <w:rsid w:val="004A12FB"/>
    <w:rsid w:val="004A1359"/>
    <w:rsid w:val="004A147D"/>
    <w:rsid w:val="004A149C"/>
    <w:rsid w:val="004A14DF"/>
    <w:rsid w:val="004A152C"/>
    <w:rsid w:val="004A162F"/>
    <w:rsid w:val="004A16DC"/>
    <w:rsid w:val="004A1731"/>
    <w:rsid w:val="004A1745"/>
    <w:rsid w:val="004A1821"/>
    <w:rsid w:val="004A18A4"/>
    <w:rsid w:val="004A18AD"/>
    <w:rsid w:val="004A18DB"/>
    <w:rsid w:val="004A1A66"/>
    <w:rsid w:val="004A1A6E"/>
    <w:rsid w:val="004A1C10"/>
    <w:rsid w:val="004A1C47"/>
    <w:rsid w:val="004A1D14"/>
    <w:rsid w:val="004A1D75"/>
    <w:rsid w:val="004A1E33"/>
    <w:rsid w:val="004A1E64"/>
    <w:rsid w:val="004A1FCA"/>
    <w:rsid w:val="004A2042"/>
    <w:rsid w:val="004A2099"/>
    <w:rsid w:val="004A20FE"/>
    <w:rsid w:val="004A2117"/>
    <w:rsid w:val="004A21C7"/>
    <w:rsid w:val="004A21F9"/>
    <w:rsid w:val="004A227D"/>
    <w:rsid w:val="004A228C"/>
    <w:rsid w:val="004A23A8"/>
    <w:rsid w:val="004A23C8"/>
    <w:rsid w:val="004A2455"/>
    <w:rsid w:val="004A2458"/>
    <w:rsid w:val="004A24D6"/>
    <w:rsid w:val="004A2526"/>
    <w:rsid w:val="004A256E"/>
    <w:rsid w:val="004A25A3"/>
    <w:rsid w:val="004A25CA"/>
    <w:rsid w:val="004A25E7"/>
    <w:rsid w:val="004A264D"/>
    <w:rsid w:val="004A26B8"/>
    <w:rsid w:val="004A26D8"/>
    <w:rsid w:val="004A2719"/>
    <w:rsid w:val="004A2731"/>
    <w:rsid w:val="004A2819"/>
    <w:rsid w:val="004A2871"/>
    <w:rsid w:val="004A28AA"/>
    <w:rsid w:val="004A28BF"/>
    <w:rsid w:val="004A2964"/>
    <w:rsid w:val="004A2988"/>
    <w:rsid w:val="004A2996"/>
    <w:rsid w:val="004A2A2C"/>
    <w:rsid w:val="004A2B10"/>
    <w:rsid w:val="004A2D82"/>
    <w:rsid w:val="004A2DC9"/>
    <w:rsid w:val="004A2E26"/>
    <w:rsid w:val="004A2EA7"/>
    <w:rsid w:val="004A2F56"/>
    <w:rsid w:val="004A2FE5"/>
    <w:rsid w:val="004A3039"/>
    <w:rsid w:val="004A313C"/>
    <w:rsid w:val="004A3145"/>
    <w:rsid w:val="004A3164"/>
    <w:rsid w:val="004A31C4"/>
    <w:rsid w:val="004A3231"/>
    <w:rsid w:val="004A3276"/>
    <w:rsid w:val="004A3334"/>
    <w:rsid w:val="004A3430"/>
    <w:rsid w:val="004A356E"/>
    <w:rsid w:val="004A3573"/>
    <w:rsid w:val="004A35B5"/>
    <w:rsid w:val="004A3756"/>
    <w:rsid w:val="004A378D"/>
    <w:rsid w:val="004A3862"/>
    <w:rsid w:val="004A38F6"/>
    <w:rsid w:val="004A3928"/>
    <w:rsid w:val="004A3929"/>
    <w:rsid w:val="004A393C"/>
    <w:rsid w:val="004A398C"/>
    <w:rsid w:val="004A3A38"/>
    <w:rsid w:val="004A3A9E"/>
    <w:rsid w:val="004A3B47"/>
    <w:rsid w:val="004A3C33"/>
    <w:rsid w:val="004A3DCE"/>
    <w:rsid w:val="004A3E29"/>
    <w:rsid w:val="004A3E5C"/>
    <w:rsid w:val="004A3EFC"/>
    <w:rsid w:val="004A3F0E"/>
    <w:rsid w:val="004A3F12"/>
    <w:rsid w:val="004A3F16"/>
    <w:rsid w:val="004A3FE7"/>
    <w:rsid w:val="004A3FE9"/>
    <w:rsid w:val="004A407A"/>
    <w:rsid w:val="004A40B1"/>
    <w:rsid w:val="004A40E2"/>
    <w:rsid w:val="004A411F"/>
    <w:rsid w:val="004A421F"/>
    <w:rsid w:val="004A4390"/>
    <w:rsid w:val="004A43E9"/>
    <w:rsid w:val="004A445E"/>
    <w:rsid w:val="004A452A"/>
    <w:rsid w:val="004A45B9"/>
    <w:rsid w:val="004A4612"/>
    <w:rsid w:val="004A4670"/>
    <w:rsid w:val="004A46D3"/>
    <w:rsid w:val="004A4713"/>
    <w:rsid w:val="004A4734"/>
    <w:rsid w:val="004A474D"/>
    <w:rsid w:val="004A476E"/>
    <w:rsid w:val="004A4897"/>
    <w:rsid w:val="004A4901"/>
    <w:rsid w:val="004A49E6"/>
    <w:rsid w:val="004A49FF"/>
    <w:rsid w:val="004A4A5F"/>
    <w:rsid w:val="004A4AB7"/>
    <w:rsid w:val="004A4ACC"/>
    <w:rsid w:val="004A4B57"/>
    <w:rsid w:val="004A4B6F"/>
    <w:rsid w:val="004A4B96"/>
    <w:rsid w:val="004A4BB0"/>
    <w:rsid w:val="004A4C52"/>
    <w:rsid w:val="004A4C80"/>
    <w:rsid w:val="004A4CB5"/>
    <w:rsid w:val="004A4CCC"/>
    <w:rsid w:val="004A4CF4"/>
    <w:rsid w:val="004A4CF9"/>
    <w:rsid w:val="004A4D04"/>
    <w:rsid w:val="004A4DA1"/>
    <w:rsid w:val="004A4E7F"/>
    <w:rsid w:val="004A4EB7"/>
    <w:rsid w:val="004A5236"/>
    <w:rsid w:val="004A52FF"/>
    <w:rsid w:val="004A53B7"/>
    <w:rsid w:val="004A53DF"/>
    <w:rsid w:val="004A5538"/>
    <w:rsid w:val="004A5555"/>
    <w:rsid w:val="004A5570"/>
    <w:rsid w:val="004A5588"/>
    <w:rsid w:val="004A5703"/>
    <w:rsid w:val="004A57A3"/>
    <w:rsid w:val="004A57FF"/>
    <w:rsid w:val="004A5834"/>
    <w:rsid w:val="004A5842"/>
    <w:rsid w:val="004A595B"/>
    <w:rsid w:val="004A59B4"/>
    <w:rsid w:val="004A5A17"/>
    <w:rsid w:val="004A5A4D"/>
    <w:rsid w:val="004A5B87"/>
    <w:rsid w:val="004A5B94"/>
    <w:rsid w:val="004A5BB7"/>
    <w:rsid w:val="004A5C44"/>
    <w:rsid w:val="004A5C6F"/>
    <w:rsid w:val="004A5C82"/>
    <w:rsid w:val="004A5CB1"/>
    <w:rsid w:val="004A5CFE"/>
    <w:rsid w:val="004A5D17"/>
    <w:rsid w:val="004A5DB7"/>
    <w:rsid w:val="004A5DCE"/>
    <w:rsid w:val="004A5E45"/>
    <w:rsid w:val="004A5E90"/>
    <w:rsid w:val="004A5E9F"/>
    <w:rsid w:val="004A5ED1"/>
    <w:rsid w:val="004A5F51"/>
    <w:rsid w:val="004A5F5F"/>
    <w:rsid w:val="004A6006"/>
    <w:rsid w:val="004A602F"/>
    <w:rsid w:val="004A6052"/>
    <w:rsid w:val="004A6054"/>
    <w:rsid w:val="004A60BC"/>
    <w:rsid w:val="004A6178"/>
    <w:rsid w:val="004A61AC"/>
    <w:rsid w:val="004A61D7"/>
    <w:rsid w:val="004A6299"/>
    <w:rsid w:val="004A62DB"/>
    <w:rsid w:val="004A6365"/>
    <w:rsid w:val="004A637A"/>
    <w:rsid w:val="004A63A7"/>
    <w:rsid w:val="004A63DA"/>
    <w:rsid w:val="004A6469"/>
    <w:rsid w:val="004A6470"/>
    <w:rsid w:val="004A6541"/>
    <w:rsid w:val="004A65E0"/>
    <w:rsid w:val="004A6651"/>
    <w:rsid w:val="004A6655"/>
    <w:rsid w:val="004A66D7"/>
    <w:rsid w:val="004A6704"/>
    <w:rsid w:val="004A6817"/>
    <w:rsid w:val="004A6884"/>
    <w:rsid w:val="004A6903"/>
    <w:rsid w:val="004A6A1D"/>
    <w:rsid w:val="004A6A38"/>
    <w:rsid w:val="004A6AEB"/>
    <w:rsid w:val="004A6B73"/>
    <w:rsid w:val="004A6BA9"/>
    <w:rsid w:val="004A6C85"/>
    <w:rsid w:val="004A6C92"/>
    <w:rsid w:val="004A6CD2"/>
    <w:rsid w:val="004A6E90"/>
    <w:rsid w:val="004A6F24"/>
    <w:rsid w:val="004A6F79"/>
    <w:rsid w:val="004A6FCA"/>
    <w:rsid w:val="004A7069"/>
    <w:rsid w:val="004A70A6"/>
    <w:rsid w:val="004A71C3"/>
    <w:rsid w:val="004A721A"/>
    <w:rsid w:val="004A72E4"/>
    <w:rsid w:val="004A7346"/>
    <w:rsid w:val="004A7476"/>
    <w:rsid w:val="004A7516"/>
    <w:rsid w:val="004A752C"/>
    <w:rsid w:val="004A7599"/>
    <w:rsid w:val="004A7607"/>
    <w:rsid w:val="004A764D"/>
    <w:rsid w:val="004A773A"/>
    <w:rsid w:val="004A77BC"/>
    <w:rsid w:val="004A781A"/>
    <w:rsid w:val="004A78AF"/>
    <w:rsid w:val="004A78B4"/>
    <w:rsid w:val="004A792B"/>
    <w:rsid w:val="004A7945"/>
    <w:rsid w:val="004A795F"/>
    <w:rsid w:val="004A79B9"/>
    <w:rsid w:val="004A79E1"/>
    <w:rsid w:val="004A79FE"/>
    <w:rsid w:val="004A7A1B"/>
    <w:rsid w:val="004A7A35"/>
    <w:rsid w:val="004A7A51"/>
    <w:rsid w:val="004A7AE5"/>
    <w:rsid w:val="004A7B5F"/>
    <w:rsid w:val="004A7B8C"/>
    <w:rsid w:val="004A7BE1"/>
    <w:rsid w:val="004A7C40"/>
    <w:rsid w:val="004A7CDA"/>
    <w:rsid w:val="004A7E48"/>
    <w:rsid w:val="004A7E4D"/>
    <w:rsid w:val="004B00D8"/>
    <w:rsid w:val="004B0128"/>
    <w:rsid w:val="004B0153"/>
    <w:rsid w:val="004B0235"/>
    <w:rsid w:val="004B0237"/>
    <w:rsid w:val="004B0314"/>
    <w:rsid w:val="004B0383"/>
    <w:rsid w:val="004B0393"/>
    <w:rsid w:val="004B03E2"/>
    <w:rsid w:val="004B0496"/>
    <w:rsid w:val="004B04BC"/>
    <w:rsid w:val="004B0563"/>
    <w:rsid w:val="004B0586"/>
    <w:rsid w:val="004B05AC"/>
    <w:rsid w:val="004B05FE"/>
    <w:rsid w:val="004B06B6"/>
    <w:rsid w:val="004B06BD"/>
    <w:rsid w:val="004B071B"/>
    <w:rsid w:val="004B0724"/>
    <w:rsid w:val="004B0829"/>
    <w:rsid w:val="004B08FF"/>
    <w:rsid w:val="004B0935"/>
    <w:rsid w:val="004B0989"/>
    <w:rsid w:val="004B09DD"/>
    <w:rsid w:val="004B0BD5"/>
    <w:rsid w:val="004B0C08"/>
    <w:rsid w:val="004B0C1E"/>
    <w:rsid w:val="004B0C3B"/>
    <w:rsid w:val="004B0C9C"/>
    <w:rsid w:val="004B0CBD"/>
    <w:rsid w:val="004B0D5E"/>
    <w:rsid w:val="004B0E73"/>
    <w:rsid w:val="004B0F70"/>
    <w:rsid w:val="004B0F9B"/>
    <w:rsid w:val="004B0FF6"/>
    <w:rsid w:val="004B1011"/>
    <w:rsid w:val="004B105B"/>
    <w:rsid w:val="004B1070"/>
    <w:rsid w:val="004B1100"/>
    <w:rsid w:val="004B1182"/>
    <w:rsid w:val="004B118A"/>
    <w:rsid w:val="004B11A4"/>
    <w:rsid w:val="004B1201"/>
    <w:rsid w:val="004B129F"/>
    <w:rsid w:val="004B12AB"/>
    <w:rsid w:val="004B12B6"/>
    <w:rsid w:val="004B133B"/>
    <w:rsid w:val="004B1369"/>
    <w:rsid w:val="004B136F"/>
    <w:rsid w:val="004B146B"/>
    <w:rsid w:val="004B152A"/>
    <w:rsid w:val="004B155B"/>
    <w:rsid w:val="004B156D"/>
    <w:rsid w:val="004B1589"/>
    <w:rsid w:val="004B15A6"/>
    <w:rsid w:val="004B15CA"/>
    <w:rsid w:val="004B1614"/>
    <w:rsid w:val="004B1679"/>
    <w:rsid w:val="004B172A"/>
    <w:rsid w:val="004B1830"/>
    <w:rsid w:val="004B1851"/>
    <w:rsid w:val="004B18B3"/>
    <w:rsid w:val="004B18ED"/>
    <w:rsid w:val="004B19E0"/>
    <w:rsid w:val="004B1A81"/>
    <w:rsid w:val="004B1AC9"/>
    <w:rsid w:val="004B1B2D"/>
    <w:rsid w:val="004B1B3B"/>
    <w:rsid w:val="004B1BBB"/>
    <w:rsid w:val="004B1C73"/>
    <w:rsid w:val="004B1D59"/>
    <w:rsid w:val="004B1D64"/>
    <w:rsid w:val="004B1E00"/>
    <w:rsid w:val="004B1E7B"/>
    <w:rsid w:val="004B1EA0"/>
    <w:rsid w:val="004B1F4E"/>
    <w:rsid w:val="004B1FC1"/>
    <w:rsid w:val="004B1FC2"/>
    <w:rsid w:val="004B2173"/>
    <w:rsid w:val="004B21CD"/>
    <w:rsid w:val="004B21D9"/>
    <w:rsid w:val="004B2288"/>
    <w:rsid w:val="004B2318"/>
    <w:rsid w:val="004B231C"/>
    <w:rsid w:val="004B2330"/>
    <w:rsid w:val="004B247E"/>
    <w:rsid w:val="004B250F"/>
    <w:rsid w:val="004B254D"/>
    <w:rsid w:val="004B26BC"/>
    <w:rsid w:val="004B26C1"/>
    <w:rsid w:val="004B26DC"/>
    <w:rsid w:val="004B2789"/>
    <w:rsid w:val="004B27F6"/>
    <w:rsid w:val="004B29CB"/>
    <w:rsid w:val="004B2A4A"/>
    <w:rsid w:val="004B2B2B"/>
    <w:rsid w:val="004B2C12"/>
    <w:rsid w:val="004B2C4C"/>
    <w:rsid w:val="004B2CF7"/>
    <w:rsid w:val="004B2D85"/>
    <w:rsid w:val="004B2DA5"/>
    <w:rsid w:val="004B2DE1"/>
    <w:rsid w:val="004B2F35"/>
    <w:rsid w:val="004B3078"/>
    <w:rsid w:val="004B30DE"/>
    <w:rsid w:val="004B30E7"/>
    <w:rsid w:val="004B31D8"/>
    <w:rsid w:val="004B3202"/>
    <w:rsid w:val="004B327E"/>
    <w:rsid w:val="004B329E"/>
    <w:rsid w:val="004B32EE"/>
    <w:rsid w:val="004B33BB"/>
    <w:rsid w:val="004B33ED"/>
    <w:rsid w:val="004B348C"/>
    <w:rsid w:val="004B34CB"/>
    <w:rsid w:val="004B34FB"/>
    <w:rsid w:val="004B357D"/>
    <w:rsid w:val="004B365A"/>
    <w:rsid w:val="004B365D"/>
    <w:rsid w:val="004B3671"/>
    <w:rsid w:val="004B3679"/>
    <w:rsid w:val="004B36D1"/>
    <w:rsid w:val="004B37B5"/>
    <w:rsid w:val="004B37BB"/>
    <w:rsid w:val="004B3848"/>
    <w:rsid w:val="004B38B3"/>
    <w:rsid w:val="004B3A88"/>
    <w:rsid w:val="004B3A95"/>
    <w:rsid w:val="004B3B22"/>
    <w:rsid w:val="004B3B3C"/>
    <w:rsid w:val="004B3C8A"/>
    <w:rsid w:val="004B3D07"/>
    <w:rsid w:val="004B3DA1"/>
    <w:rsid w:val="004B3DC2"/>
    <w:rsid w:val="004B3F0E"/>
    <w:rsid w:val="004B3F1E"/>
    <w:rsid w:val="004B3FC6"/>
    <w:rsid w:val="004B4091"/>
    <w:rsid w:val="004B4140"/>
    <w:rsid w:val="004B41E0"/>
    <w:rsid w:val="004B4261"/>
    <w:rsid w:val="004B434E"/>
    <w:rsid w:val="004B43EC"/>
    <w:rsid w:val="004B44DF"/>
    <w:rsid w:val="004B44FF"/>
    <w:rsid w:val="004B4866"/>
    <w:rsid w:val="004B4867"/>
    <w:rsid w:val="004B48AB"/>
    <w:rsid w:val="004B48BF"/>
    <w:rsid w:val="004B48D6"/>
    <w:rsid w:val="004B4949"/>
    <w:rsid w:val="004B49F4"/>
    <w:rsid w:val="004B4B9D"/>
    <w:rsid w:val="004B4DB1"/>
    <w:rsid w:val="004B4DBF"/>
    <w:rsid w:val="004B4F0A"/>
    <w:rsid w:val="004B4F0C"/>
    <w:rsid w:val="004B4F49"/>
    <w:rsid w:val="004B4F89"/>
    <w:rsid w:val="004B5096"/>
    <w:rsid w:val="004B50B1"/>
    <w:rsid w:val="004B50FA"/>
    <w:rsid w:val="004B51BE"/>
    <w:rsid w:val="004B51CE"/>
    <w:rsid w:val="004B51E1"/>
    <w:rsid w:val="004B5214"/>
    <w:rsid w:val="004B537C"/>
    <w:rsid w:val="004B5466"/>
    <w:rsid w:val="004B54A3"/>
    <w:rsid w:val="004B54CE"/>
    <w:rsid w:val="004B5501"/>
    <w:rsid w:val="004B5624"/>
    <w:rsid w:val="004B56F2"/>
    <w:rsid w:val="004B570C"/>
    <w:rsid w:val="004B5754"/>
    <w:rsid w:val="004B589A"/>
    <w:rsid w:val="004B58F4"/>
    <w:rsid w:val="004B5960"/>
    <w:rsid w:val="004B596E"/>
    <w:rsid w:val="004B5976"/>
    <w:rsid w:val="004B59CB"/>
    <w:rsid w:val="004B5C3D"/>
    <w:rsid w:val="004B5C52"/>
    <w:rsid w:val="004B5C77"/>
    <w:rsid w:val="004B5CE5"/>
    <w:rsid w:val="004B5D7D"/>
    <w:rsid w:val="004B5E10"/>
    <w:rsid w:val="004B5E11"/>
    <w:rsid w:val="004B5E6E"/>
    <w:rsid w:val="004B5EE0"/>
    <w:rsid w:val="004B5F52"/>
    <w:rsid w:val="004B6003"/>
    <w:rsid w:val="004B601C"/>
    <w:rsid w:val="004B6078"/>
    <w:rsid w:val="004B60D2"/>
    <w:rsid w:val="004B6100"/>
    <w:rsid w:val="004B612D"/>
    <w:rsid w:val="004B6149"/>
    <w:rsid w:val="004B618A"/>
    <w:rsid w:val="004B61EA"/>
    <w:rsid w:val="004B6229"/>
    <w:rsid w:val="004B62A5"/>
    <w:rsid w:val="004B6320"/>
    <w:rsid w:val="004B63F5"/>
    <w:rsid w:val="004B6431"/>
    <w:rsid w:val="004B6441"/>
    <w:rsid w:val="004B6464"/>
    <w:rsid w:val="004B6467"/>
    <w:rsid w:val="004B6469"/>
    <w:rsid w:val="004B64A4"/>
    <w:rsid w:val="004B6640"/>
    <w:rsid w:val="004B6684"/>
    <w:rsid w:val="004B6786"/>
    <w:rsid w:val="004B67F9"/>
    <w:rsid w:val="004B68DB"/>
    <w:rsid w:val="004B69E3"/>
    <w:rsid w:val="004B6A13"/>
    <w:rsid w:val="004B6A8D"/>
    <w:rsid w:val="004B6AFD"/>
    <w:rsid w:val="004B6B67"/>
    <w:rsid w:val="004B6B90"/>
    <w:rsid w:val="004B6BD4"/>
    <w:rsid w:val="004B6C5A"/>
    <w:rsid w:val="004B6D17"/>
    <w:rsid w:val="004B6EE2"/>
    <w:rsid w:val="004B6F8C"/>
    <w:rsid w:val="004B7075"/>
    <w:rsid w:val="004B7086"/>
    <w:rsid w:val="004B7088"/>
    <w:rsid w:val="004B70B8"/>
    <w:rsid w:val="004B70CF"/>
    <w:rsid w:val="004B7152"/>
    <w:rsid w:val="004B71B3"/>
    <w:rsid w:val="004B7214"/>
    <w:rsid w:val="004B721E"/>
    <w:rsid w:val="004B72B3"/>
    <w:rsid w:val="004B72C2"/>
    <w:rsid w:val="004B7319"/>
    <w:rsid w:val="004B7349"/>
    <w:rsid w:val="004B7385"/>
    <w:rsid w:val="004B73C2"/>
    <w:rsid w:val="004B73CB"/>
    <w:rsid w:val="004B7486"/>
    <w:rsid w:val="004B7565"/>
    <w:rsid w:val="004B7679"/>
    <w:rsid w:val="004B769F"/>
    <w:rsid w:val="004B7708"/>
    <w:rsid w:val="004B7756"/>
    <w:rsid w:val="004B7798"/>
    <w:rsid w:val="004B77B1"/>
    <w:rsid w:val="004B79CD"/>
    <w:rsid w:val="004B79E1"/>
    <w:rsid w:val="004B7AB6"/>
    <w:rsid w:val="004B7AC5"/>
    <w:rsid w:val="004B7B7E"/>
    <w:rsid w:val="004B7B84"/>
    <w:rsid w:val="004B7BA3"/>
    <w:rsid w:val="004B7D5C"/>
    <w:rsid w:val="004B7D8C"/>
    <w:rsid w:val="004B7DB9"/>
    <w:rsid w:val="004B7E0D"/>
    <w:rsid w:val="004B7F22"/>
    <w:rsid w:val="004B7F92"/>
    <w:rsid w:val="004B7F93"/>
    <w:rsid w:val="004C0041"/>
    <w:rsid w:val="004C0056"/>
    <w:rsid w:val="004C0087"/>
    <w:rsid w:val="004C00A2"/>
    <w:rsid w:val="004C00BE"/>
    <w:rsid w:val="004C00D6"/>
    <w:rsid w:val="004C00F4"/>
    <w:rsid w:val="004C013C"/>
    <w:rsid w:val="004C01D1"/>
    <w:rsid w:val="004C01D2"/>
    <w:rsid w:val="004C01EA"/>
    <w:rsid w:val="004C0260"/>
    <w:rsid w:val="004C034D"/>
    <w:rsid w:val="004C040D"/>
    <w:rsid w:val="004C0483"/>
    <w:rsid w:val="004C04CC"/>
    <w:rsid w:val="004C051F"/>
    <w:rsid w:val="004C054A"/>
    <w:rsid w:val="004C0571"/>
    <w:rsid w:val="004C0669"/>
    <w:rsid w:val="004C0728"/>
    <w:rsid w:val="004C07F1"/>
    <w:rsid w:val="004C0817"/>
    <w:rsid w:val="004C0826"/>
    <w:rsid w:val="004C0965"/>
    <w:rsid w:val="004C09FD"/>
    <w:rsid w:val="004C0A38"/>
    <w:rsid w:val="004C0AAF"/>
    <w:rsid w:val="004C0B50"/>
    <w:rsid w:val="004C0BE1"/>
    <w:rsid w:val="004C0C15"/>
    <w:rsid w:val="004C0C26"/>
    <w:rsid w:val="004C0C7A"/>
    <w:rsid w:val="004C0CB5"/>
    <w:rsid w:val="004C0D40"/>
    <w:rsid w:val="004C0D5E"/>
    <w:rsid w:val="004C0D83"/>
    <w:rsid w:val="004C0DBC"/>
    <w:rsid w:val="004C0E08"/>
    <w:rsid w:val="004C0E71"/>
    <w:rsid w:val="004C0F10"/>
    <w:rsid w:val="004C0F35"/>
    <w:rsid w:val="004C0FB5"/>
    <w:rsid w:val="004C10A4"/>
    <w:rsid w:val="004C1169"/>
    <w:rsid w:val="004C11A4"/>
    <w:rsid w:val="004C123A"/>
    <w:rsid w:val="004C12A6"/>
    <w:rsid w:val="004C12C7"/>
    <w:rsid w:val="004C131B"/>
    <w:rsid w:val="004C13BA"/>
    <w:rsid w:val="004C142F"/>
    <w:rsid w:val="004C1458"/>
    <w:rsid w:val="004C1459"/>
    <w:rsid w:val="004C14B2"/>
    <w:rsid w:val="004C14BB"/>
    <w:rsid w:val="004C1564"/>
    <w:rsid w:val="004C162A"/>
    <w:rsid w:val="004C164E"/>
    <w:rsid w:val="004C1660"/>
    <w:rsid w:val="004C1667"/>
    <w:rsid w:val="004C16CA"/>
    <w:rsid w:val="004C17AE"/>
    <w:rsid w:val="004C17B5"/>
    <w:rsid w:val="004C180C"/>
    <w:rsid w:val="004C1873"/>
    <w:rsid w:val="004C18DE"/>
    <w:rsid w:val="004C18F9"/>
    <w:rsid w:val="004C1914"/>
    <w:rsid w:val="004C1952"/>
    <w:rsid w:val="004C19CB"/>
    <w:rsid w:val="004C1A8A"/>
    <w:rsid w:val="004C1A98"/>
    <w:rsid w:val="004C1BA3"/>
    <w:rsid w:val="004C1C05"/>
    <w:rsid w:val="004C1CE1"/>
    <w:rsid w:val="004C1D30"/>
    <w:rsid w:val="004C1D7E"/>
    <w:rsid w:val="004C200A"/>
    <w:rsid w:val="004C206B"/>
    <w:rsid w:val="004C208E"/>
    <w:rsid w:val="004C2095"/>
    <w:rsid w:val="004C2103"/>
    <w:rsid w:val="004C214A"/>
    <w:rsid w:val="004C2228"/>
    <w:rsid w:val="004C2304"/>
    <w:rsid w:val="004C2314"/>
    <w:rsid w:val="004C233C"/>
    <w:rsid w:val="004C233E"/>
    <w:rsid w:val="004C2363"/>
    <w:rsid w:val="004C237E"/>
    <w:rsid w:val="004C23DA"/>
    <w:rsid w:val="004C240B"/>
    <w:rsid w:val="004C242E"/>
    <w:rsid w:val="004C262E"/>
    <w:rsid w:val="004C26B8"/>
    <w:rsid w:val="004C279C"/>
    <w:rsid w:val="004C2984"/>
    <w:rsid w:val="004C2999"/>
    <w:rsid w:val="004C29B5"/>
    <w:rsid w:val="004C2A4F"/>
    <w:rsid w:val="004C2AAF"/>
    <w:rsid w:val="004C2AD2"/>
    <w:rsid w:val="004C2B0C"/>
    <w:rsid w:val="004C2CA5"/>
    <w:rsid w:val="004C2CA8"/>
    <w:rsid w:val="004C2E0F"/>
    <w:rsid w:val="004C2EEA"/>
    <w:rsid w:val="004C2EF5"/>
    <w:rsid w:val="004C2F40"/>
    <w:rsid w:val="004C2FF2"/>
    <w:rsid w:val="004C305A"/>
    <w:rsid w:val="004C305B"/>
    <w:rsid w:val="004C31D5"/>
    <w:rsid w:val="004C31F1"/>
    <w:rsid w:val="004C329B"/>
    <w:rsid w:val="004C32B3"/>
    <w:rsid w:val="004C3312"/>
    <w:rsid w:val="004C332A"/>
    <w:rsid w:val="004C333C"/>
    <w:rsid w:val="004C33BD"/>
    <w:rsid w:val="004C342C"/>
    <w:rsid w:val="004C35BD"/>
    <w:rsid w:val="004C35D1"/>
    <w:rsid w:val="004C365E"/>
    <w:rsid w:val="004C374B"/>
    <w:rsid w:val="004C3752"/>
    <w:rsid w:val="004C37F4"/>
    <w:rsid w:val="004C382C"/>
    <w:rsid w:val="004C383D"/>
    <w:rsid w:val="004C388A"/>
    <w:rsid w:val="004C39AB"/>
    <w:rsid w:val="004C39F2"/>
    <w:rsid w:val="004C3B6D"/>
    <w:rsid w:val="004C3C96"/>
    <w:rsid w:val="004C3CEC"/>
    <w:rsid w:val="004C3E63"/>
    <w:rsid w:val="004C3EB7"/>
    <w:rsid w:val="004C3F13"/>
    <w:rsid w:val="004C3FD0"/>
    <w:rsid w:val="004C3FD5"/>
    <w:rsid w:val="004C4018"/>
    <w:rsid w:val="004C4101"/>
    <w:rsid w:val="004C4118"/>
    <w:rsid w:val="004C4126"/>
    <w:rsid w:val="004C418C"/>
    <w:rsid w:val="004C422A"/>
    <w:rsid w:val="004C4243"/>
    <w:rsid w:val="004C427D"/>
    <w:rsid w:val="004C42B7"/>
    <w:rsid w:val="004C42D4"/>
    <w:rsid w:val="004C42F8"/>
    <w:rsid w:val="004C436C"/>
    <w:rsid w:val="004C43E4"/>
    <w:rsid w:val="004C4479"/>
    <w:rsid w:val="004C4554"/>
    <w:rsid w:val="004C45FF"/>
    <w:rsid w:val="004C46D1"/>
    <w:rsid w:val="004C474B"/>
    <w:rsid w:val="004C4813"/>
    <w:rsid w:val="004C4971"/>
    <w:rsid w:val="004C4A0D"/>
    <w:rsid w:val="004C4A6F"/>
    <w:rsid w:val="004C4AEB"/>
    <w:rsid w:val="004C4B30"/>
    <w:rsid w:val="004C4B3F"/>
    <w:rsid w:val="004C4D0C"/>
    <w:rsid w:val="004C4D8E"/>
    <w:rsid w:val="004C4D90"/>
    <w:rsid w:val="004C4ECC"/>
    <w:rsid w:val="004C4EE4"/>
    <w:rsid w:val="004C4F1F"/>
    <w:rsid w:val="004C4F38"/>
    <w:rsid w:val="004C4F72"/>
    <w:rsid w:val="004C4F83"/>
    <w:rsid w:val="004C4FA4"/>
    <w:rsid w:val="004C4FD3"/>
    <w:rsid w:val="004C50A9"/>
    <w:rsid w:val="004C5181"/>
    <w:rsid w:val="004C5188"/>
    <w:rsid w:val="004C51AE"/>
    <w:rsid w:val="004C5388"/>
    <w:rsid w:val="004C54A5"/>
    <w:rsid w:val="004C54F4"/>
    <w:rsid w:val="004C5544"/>
    <w:rsid w:val="004C5588"/>
    <w:rsid w:val="004C55F3"/>
    <w:rsid w:val="004C568C"/>
    <w:rsid w:val="004C56E8"/>
    <w:rsid w:val="004C5737"/>
    <w:rsid w:val="004C586A"/>
    <w:rsid w:val="004C58B2"/>
    <w:rsid w:val="004C58C0"/>
    <w:rsid w:val="004C5A3F"/>
    <w:rsid w:val="004C5ADB"/>
    <w:rsid w:val="004C5ADD"/>
    <w:rsid w:val="004C5B04"/>
    <w:rsid w:val="004C5B24"/>
    <w:rsid w:val="004C5B47"/>
    <w:rsid w:val="004C5B64"/>
    <w:rsid w:val="004C5B68"/>
    <w:rsid w:val="004C5D38"/>
    <w:rsid w:val="004C5D81"/>
    <w:rsid w:val="004C5D95"/>
    <w:rsid w:val="004C5E2F"/>
    <w:rsid w:val="004C5F75"/>
    <w:rsid w:val="004C6113"/>
    <w:rsid w:val="004C6146"/>
    <w:rsid w:val="004C62B8"/>
    <w:rsid w:val="004C638B"/>
    <w:rsid w:val="004C6407"/>
    <w:rsid w:val="004C645C"/>
    <w:rsid w:val="004C645D"/>
    <w:rsid w:val="004C64BB"/>
    <w:rsid w:val="004C6630"/>
    <w:rsid w:val="004C6660"/>
    <w:rsid w:val="004C66A0"/>
    <w:rsid w:val="004C66A5"/>
    <w:rsid w:val="004C66F2"/>
    <w:rsid w:val="004C673F"/>
    <w:rsid w:val="004C6872"/>
    <w:rsid w:val="004C6895"/>
    <w:rsid w:val="004C68A8"/>
    <w:rsid w:val="004C69CF"/>
    <w:rsid w:val="004C6AB3"/>
    <w:rsid w:val="004C6B03"/>
    <w:rsid w:val="004C6BA8"/>
    <w:rsid w:val="004C6C05"/>
    <w:rsid w:val="004C6CE1"/>
    <w:rsid w:val="004C6CE4"/>
    <w:rsid w:val="004C6DB7"/>
    <w:rsid w:val="004C6EA3"/>
    <w:rsid w:val="004C6F88"/>
    <w:rsid w:val="004C6FB3"/>
    <w:rsid w:val="004C703F"/>
    <w:rsid w:val="004C7047"/>
    <w:rsid w:val="004C7065"/>
    <w:rsid w:val="004C7090"/>
    <w:rsid w:val="004C711F"/>
    <w:rsid w:val="004C71BD"/>
    <w:rsid w:val="004C7256"/>
    <w:rsid w:val="004C72E9"/>
    <w:rsid w:val="004C7346"/>
    <w:rsid w:val="004C735B"/>
    <w:rsid w:val="004C735E"/>
    <w:rsid w:val="004C73F1"/>
    <w:rsid w:val="004C7489"/>
    <w:rsid w:val="004C74C3"/>
    <w:rsid w:val="004C74E4"/>
    <w:rsid w:val="004C75E9"/>
    <w:rsid w:val="004C7644"/>
    <w:rsid w:val="004C7669"/>
    <w:rsid w:val="004C76C6"/>
    <w:rsid w:val="004C771C"/>
    <w:rsid w:val="004C7759"/>
    <w:rsid w:val="004C7781"/>
    <w:rsid w:val="004C77E5"/>
    <w:rsid w:val="004C7822"/>
    <w:rsid w:val="004C7881"/>
    <w:rsid w:val="004C7895"/>
    <w:rsid w:val="004C78B6"/>
    <w:rsid w:val="004C78C6"/>
    <w:rsid w:val="004C79A9"/>
    <w:rsid w:val="004C7A70"/>
    <w:rsid w:val="004C7A9A"/>
    <w:rsid w:val="004C7AB4"/>
    <w:rsid w:val="004C7AB7"/>
    <w:rsid w:val="004C7B62"/>
    <w:rsid w:val="004C7B65"/>
    <w:rsid w:val="004C7C1B"/>
    <w:rsid w:val="004C7CB2"/>
    <w:rsid w:val="004C7D50"/>
    <w:rsid w:val="004C7E26"/>
    <w:rsid w:val="004C7E9A"/>
    <w:rsid w:val="004C7EE2"/>
    <w:rsid w:val="004C7FC9"/>
    <w:rsid w:val="004C7FD1"/>
    <w:rsid w:val="004CC055"/>
    <w:rsid w:val="004D0090"/>
    <w:rsid w:val="004D00B3"/>
    <w:rsid w:val="004D00D1"/>
    <w:rsid w:val="004D0137"/>
    <w:rsid w:val="004D01C6"/>
    <w:rsid w:val="004D0205"/>
    <w:rsid w:val="004D0320"/>
    <w:rsid w:val="004D042C"/>
    <w:rsid w:val="004D0465"/>
    <w:rsid w:val="004D049E"/>
    <w:rsid w:val="004D0551"/>
    <w:rsid w:val="004D0557"/>
    <w:rsid w:val="004D05A2"/>
    <w:rsid w:val="004D05C4"/>
    <w:rsid w:val="004D065F"/>
    <w:rsid w:val="004D06A4"/>
    <w:rsid w:val="004D06DA"/>
    <w:rsid w:val="004D071F"/>
    <w:rsid w:val="004D072C"/>
    <w:rsid w:val="004D0765"/>
    <w:rsid w:val="004D0779"/>
    <w:rsid w:val="004D0888"/>
    <w:rsid w:val="004D08B3"/>
    <w:rsid w:val="004D0910"/>
    <w:rsid w:val="004D0A18"/>
    <w:rsid w:val="004D0AA2"/>
    <w:rsid w:val="004D0ACE"/>
    <w:rsid w:val="004D0B1F"/>
    <w:rsid w:val="004D0CAB"/>
    <w:rsid w:val="004D0D07"/>
    <w:rsid w:val="004D0D16"/>
    <w:rsid w:val="004D0D9A"/>
    <w:rsid w:val="004D0DD1"/>
    <w:rsid w:val="004D0E0B"/>
    <w:rsid w:val="004D0E2E"/>
    <w:rsid w:val="004D0E45"/>
    <w:rsid w:val="004D0EF3"/>
    <w:rsid w:val="004D103B"/>
    <w:rsid w:val="004D1108"/>
    <w:rsid w:val="004D12EB"/>
    <w:rsid w:val="004D13BD"/>
    <w:rsid w:val="004D1484"/>
    <w:rsid w:val="004D1496"/>
    <w:rsid w:val="004D14B2"/>
    <w:rsid w:val="004D14F1"/>
    <w:rsid w:val="004D1538"/>
    <w:rsid w:val="004D16E3"/>
    <w:rsid w:val="004D16F3"/>
    <w:rsid w:val="004D16FA"/>
    <w:rsid w:val="004D1773"/>
    <w:rsid w:val="004D182E"/>
    <w:rsid w:val="004D184D"/>
    <w:rsid w:val="004D18CB"/>
    <w:rsid w:val="004D190E"/>
    <w:rsid w:val="004D19C2"/>
    <w:rsid w:val="004D1A29"/>
    <w:rsid w:val="004D1A60"/>
    <w:rsid w:val="004D1A74"/>
    <w:rsid w:val="004D1B81"/>
    <w:rsid w:val="004D1C2A"/>
    <w:rsid w:val="004D1C74"/>
    <w:rsid w:val="004D1CFB"/>
    <w:rsid w:val="004D1D7E"/>
    <w:rsid w:val="004D1E35"/>
    <w:rsid w:val="004D1ED7"/>
    <w:rsid w:val="004D1EF6"/>
    <w:rsid w:val="004D1F1D"/>
    <w:rsid w:val="004D204D"/>
    <w:rsid w:val="004D2089"/>
    <w:rsid w:val="004D215E"/>
    <w:rsid w:val="004D223A"/>
    <w:rsid w:val="004D22B7"/>
    <w:rsid w:val="004D22CC"/>
    <w:rsid w:val="004D22D5"/>
    <w:rsid w:val="004D22FC"/>
    <w:rsid w:val="004D22FF"/>
    <w:rsid w:val="004D2326"/>
    <w:rsid w:val="004D23B7"/>
    <w:rsid w:val="004D23BA"/>
    <w:rsid w:val="004D24A6"/>
    <w:rsid w:val="004D24B9"/>
    <w:rsid w:val="004D25DA"/>
    <w:rsid w:val="004D268A"/>
    <w:rsid w:val="004D2698"/>
    <w:rsid w:val="004D26C5"/>
    <w:rsid w:val="004D2703"/>
    <w:rsid w:val="004D2785"/>
    <w:rsid w:val="004D27A4"/>
    <w:rsid w:val="004D28C0"/>
    <w:rsid w:val="004D28C6"/>
    <w:rsid w:val="004D28F5"/>
    <w:rsid w:val="004D2904"/>
    <w:rsid w:val="004D2957"/>
    <w:rsid w:val="004D2965"/>
    <w:rsid w:val="004D2A6A"/>
    <w:rsid w:val="004D2AFB"/>
    <w:rsid w:val="004D2B41"/>
    <w:rsid w:val="004D2B8E"/>
    <w:rsid w:val="004D2BFF"/>
    <w:rsid w:val="004D2C38"/>
    <w:rsid w:val="004D2D9D"/>
    <w:rsid w:val="004D2DD0"/>
    <w:rsid w:val="004D2E5F"/>
    <w:rsid w:val="004D2E6D"/>
    <w:rsid w:val="004D2E89"/>
    <w:rsid w:val="004D2F17"/>
    <w:rsid w:val="004D2F22"/>
    <w:rsid w:val="004D2F34"/>
    <w:rsid w:val="004D3013"/>
    <w:rsid w:val="004D310F"/>
    <w:rsid w:val="004D31D1"/>
    <w:rsid w:val="004D31E3"/>
    <w:rsid w:val="004D3210"/>
    <w:rsid w:val="004D3241"/>
    <w:rsid w:val="004D339D"/>
    <w:rsid w:val="004D33FA"/>
    <w:rsid w:val="004D33FE"/>
    <w:rsid w:val="004D356A"/>
    <w:rsid w:val="004D35AD"/>
    <w:rsid w:val="004D35F9"/>
    <w:rsid w:val="004D36BB"/>
    <w:rsid w:val="004D36C1"/>
    <w:rsid w:val="004D3717"/>
    <w:rsid w:val="004D374E"/>
    <w:rsid w:val="004D380D"/>
    <w:rsid w:val="004D3812"/>
    <w:rsid w:val="004D384B"/>
    <w:rsid w:val="004D3863"/>
    <w:rsid w:val="004D387B"/>
    <w:rsid w:val="004D3897"/>
    <w:rsid w:val="004D38F3"/>
    <w:rsid w:val="004D3915"/>
    <w:rsid w:val="004D3969"/>
    <w:rsid w:val="004D39CE"/>
    <w:rsid w:val="004D3A28"/>
    <w:rsid w:val="004D3A48"/>
    <w:rsid w:val="004D3AE2"/>
    <w:rsid w:val="004D3B5D"/>
    <w:rsid w:val="004D3B66"/>
    <w:rsid w:val="004D3B8D"/>
    <w:rsid w:val="004D3BA8"/>
    <w:rsid w:val="004D3BAD"/>
    <w:rsid w:val="004D3BD4"/>
    <w:rsid w:val="004D3BF7"/>
    <w:rsid w:val="004D3C18"/>
    <w:rsid w:val="004D3C65"/>
    <w:rsid w:val="004D3C6D"/>
    <w:rsid w:val="004D3D16"/>
    <w:rsid w:val="004D3D84"/>
    <w:rsid w:val="004D3DBC"/>
    <w:rsid w:val="004D3EB5"/>
    <w:rsid w:val="004D3F4C"/>
    <w:rsid w:val="004D3F61"/>
    <w:rsid w:val="004D407A"/>
    <w:rsid w:val="004D4091"/>
    <w:rsid w:val="004D4167"/>
    <w:rsid w:val="004D4189"/>
    <w:rsid w:val="004D4220"/>
    <w:rsid w:val="004D4254"/>
    <w:rsid w:val="004D42E6"/>
    <w:rsid w:val="004D42E8"/>
    <w:rsid w:val="004D4377"/>
    <w:rsid w:val="004D43DA"/>
    <w:rsid w:val="004D448F"/>
    <w:rsid w:val="004D44F9"/>
    <w:rsid w:val="004D4615"/>
    <w:rsid w:val="004D465E"/>
    <w:rsid w:val="004D466E"/>
    <w:rsid w:val="004D46C5"/>
    <w:rsid w:val="004D4831"/>
    <w:rsid w:val="004D486C"/>
    <w:rsid w:val="004D48A8"/>
    <w:rsid w:val="004D4909"/>
    <w:rsid w:val="004D4A19"/>
    <w:rsid w:val="004D4A36"/>
    <w:rsid w:val="004D4ACB"/>
    <w:rsid w:val="004D4AF2"/>
    <w:rsid w:val="004D4B21"/>
    <w:rsid w:val="004D4B24"/>
    <w:rsid w:val="004D4B95"/>
    <w:rsid w:val="004D4BBB"/>
    <w:rsid w:val="004D4BF5"/>
    <w:rsid w:val="004D4C66"/>
    <w:rsid w:val="004D4C89"/>
    <w:rsid w:val="004D4CD7"/>
    <w:rsid w:val="004D4CE2"/>
    <w:rsid w:val="004D4D0B"/>
    <w:rsid w:val="004D4D25"/>
    <w:rsid w:val="004D4DA8"/>
    <w:rsid w:val="004D4E0E"/>
    <w:rsid w:val="004D4E25"/>
    <w:rsid w:val="004D4F17"/>
    <w:rsid w:val="004D4F21"/>
    <w:rsid w:val="004D4F82"/>
    <w:rsid w:val="004D4F9F"/>
    <w:rsid w:val="004D500D"/>
    <w:rsid w:val="004D5095"/>
    <w:rsid w:val="004D512A"/>
    <w:rsid w:val="004D5137"/>
    <w:rsid w:val="004D513F"/>
    <w:rsid w:val="004D52BF"/>
    <w:rsid w:val="004D5312"/>
    <w:rsid w:val="004D5360"/>
    <w:rsid w:val="004D5380"/>
    <w:rsid w:val="004D5487"/>
    <w:rsid w:val="004D5499"/>
    <w:rsid w:val="004D556C"/>
    <w:rsid w:val="004D565C"/>
    <w:rsid w:val="004D5695"/>
    <w:rsid w:val="004D56C9"/>
    <w:rsid w:val="004D56E1"/>
    <w:rsid w:val="004D5721"/>
    <w:rsid w:val="004D575C"/>
    <w:rsid w:val="004D58B4"/>
    <w:rsid w:val="004D592E"/>
    <w:rsid w:val="004D594E"/>
    <w:rsid w:val="004D59A1"/>
    <w:rsid w:val="004D5A6A"/>
    <w:rsid w:val="004D5A81"/>
    <w:rsid w:val="004D5AF1"/>
    <w:rsid w:val="004D5B1A"/>
    <w:rsid w:val="004D5BF7"/>
    <w:rsid w:val="004D5C71"/>
    <w:rsid w:val="004D5CA5"/>
    <w:rsid w:val="004D5CA7"/>
    <w:rsid w:val="004D5D44"/>
    <w:rsid w:val="004D5DB9"/>
    <w:rsid w:val="004D5E2E"/>
    <w:rsid w:val="004D5E83"/>
    <w:rsid w:val="004D5E94"/>
    <w:rsid w:val="004D5FB0"/>
    <w:rsid w:val="004D618F"/>
    <w:rsid w:val="004D61BE"/>
    <w:rsid w:val="004D61E3"/>
    <w:rsid w:val="004D61F1"/>
    <w:rsid w:val="004D61F4"/>
    <w:rsid w:val="004D6279"/>
    <w:rsid w:val="004D629D"/>
    <w:rsid w:val="004D62B4"/>
    <w:rsid w:val="004D62C5"/>
    <w:rsid w:val="004D62E8"/>
    <w:rsid w:val="004D62F5"/>
    <w:rsid w:val="004D6389"/>
    <w:rsid w:val="004D63A9"/>
    <w:rsid w:val="004D63D7"/>
    <w:rsid w:val="004D63E6"/>
    <w:rsid w:val="004D643F"/>
    <w:rsid w:val="004D65A3"/>
    <w:rsid w:val="004D65AE"/>
    <w:rsid w:val="004D65DF"/>
    <w:rsid w:val="004D667A"/>
    <w:rsid w:val="004D667C"/>
    <w:rsid w:val="004D67B4"/>
    <w:rsid w:val="004D6882"/>
    <w:rsid w:val="004D68B7"/>
    <w:rsid w:val="004D6922"/>
    <w:rsid w:val="004D69A4"/>
    <w:rsid w:val="004D69AE"/>
    <w:rsid w:val="004D6A35"/>
    <w:rsid w:val="004D6A41"/>
    <w:rsid w:val="004D6A50"/>
    <w:rsid w:val="004D6BD1"/>
    <w:rsid w:val="004D6BE4"/>
    <w:rsid w:val="004D6C51"/>
    <w:rsid w:val="004D6C9C"/>
    <w:rsid w:val="004D6D0A"/>
    <w:rsid w:val="004D6DD6"/>
    <w:rsid w:val="004D6E0C"/>
    <w:rsid w:val="004D6E31"/>
    <w:rsid w:val="004D7049"/>
    <w:rsid w:val="004D7081"/>
    <w:rsid w:val="004D708B"/>
    <w:rsid w:val="004D7092"/>
    <w:rsid w:val="004D7193"/>
    <w:rsid w:val="004D725B"/>
    <w:rsid w:val="004D72A5"/>
    <w:rsid w:val="004D7305"/>
    <w:rsid w:val="004D730C"/>
    <w:rsid w:val="004D733D"/>
    <w:rsid w:val="004D7375"/>
    <w:rsid w:val="004D73C5"/>
    <w:rsid w:val="004D745A"/>
    <w:rsid w:val="004D7468"/>
    <w:rsid w:val="004D74F3"/>
    <w:rsid w:val="004D750A"/>
    <w:rsid w:val="004D7537"/>
    <w:rsid w:val="004D755F"/>
    <w:rsid w:val="004D7592"/>
    <w:rsid w:val="004D75D1"/>
    <w:rsid w:val="004D76C1"/>
    <w:rsid w:val="004D76FD"/>
    <w:rsid w:val="004D7737"/>
    <w:rsid w:val="004D777F"/>
    <w:rsid w:val="004D7789"/>
    <w:rsid w:val="004D7824"/>
    <w:rsid w:val="004D787A"/>
    <w:rsid w:val="004D7884"/>
    <w:rsid w:val="004D78A0"/>
    <w:rsid w:val="004D78B3"/>
    <w:rsid w:val="004D78D4"/>
    <w:rsid w:val="004D7916"/>
    <w:rsid w:val="004D7926"/>
    <w:rsid w:val="004D7988"/>
    <w:rsid w:val="004D79A7"/>
    <w:rsid w:val="004D7A36"/>
    <w:rsid w:val="004D7A8C"/>
    <w:rsid w:val="004D7AA1"/>
    <w:rsid w:val="004D7C68"/>
    <w:rsid w:val="004D7CAD"/>
    <w:rsid w:val="004D7CCB"/>
    <w:rsid w:val="004D7CD8"/>
    <w:rsid w:val="004D7D2C"/>
    <w:rsid w:val="004D7DC7"/>
    <w:rsid w:val="004D7E19"/>
    <w:rsid w:val="004D7E46"/>
    <w:rsid w:val="004D7E4D"/>
    <w:rsid w:val="004D7E80"/>
    <w:rsid w:val="004D7F6F"/>
    <w:rsid w:val="004D7F7A"/>
    <w:rsid w:val="004D7FED"/>
    <w:rsid w:val="004D7FEF"/>
    <w:rsid w:val="004E009C"/>
    <w:rsid w:val="004E00C9"/>
    <w:rsid w:val="004E00F4"/>
    <w:rsid w:val="004E0117"/>
    <w:rsid w:val="004E011E"/>
    <w:rsid w:val="004E0158"/>
    <w:rsid w:val="004E016F"/>
    <w:rsid w:val="004E0181"/>
    <w:rsid w:val="004E0222"/>
    <w:rsid w:val="004E022E"/>
    <w:rsid w:val="004E0263"/>
    <w:rsid w:val="004E034A"/>
    <w:rsid w:val="004E03B5"/>
    <w:rsid w:val="004E03B6"/>
    <w:rsid w:val="004E0427"/>
    <w:rsid w:val="004E04D8"/>
    <w:rsid w:val="004E04FA"/>
    <w:rsid w:val="004E0615"/>
    <w:rsid w:val="004E0703"/>
    <w:rsid w:val="004E0837"/>
    <w:rsid w:val="004E0A0C"/>
    <w:rsid w:val="004E0A0F"/>
    <w:rsid w:val="004E0B4B"/>
    <w:rsid w:val="004E0BA4"/>
    <w:rsid w:val="004E0D90"/>
    <w:rsid w:val="004E0D9A"/>
    <w:rsid w:val="004E0E4A"/>
    <w:rsid w:val="004E0E95"/>
    <w:rsid w:val="004E0ECD"/>
    <w:rsid w:val="004E0F41"/>
    <w:rsid w:val="004E104E"/>
    <w:rsid w:val="004E10DE"/>
    <w:rsid w:val="004E10E5"/>
    <w:rsid w:val="004E11BD"/>
    <w:rsid w:val="004E1229"/>
    <w:rsid w:val="004E12D1"/>
    <w:rsid w:val="004E1334"/>
    <w:rsid w:val="004E138D"/>
    <w:rsid w:val="004E1432"/>
    <w:rsid w:val="004E1477"/>
    <w:rsid w:val="004E155C"/>
    <w:rsid w:val="004E15D7"/>
    <w:rsid w:val="004E1649"/>
    <w:rsid w:val="004E1872"/>
    <w:rsid w:val="004E187B"/>
    <w:rsid w:val="004E18D1"/>
    <w:rsid w:val="004E18F4"/>
    <w:rsid w:val="004E18FE"/>
    <w:rsid w:val="004E1952"/>
    <w:rsid w:val="004E19CC"/>
    <w:rsid w:val="004E19E0"/>
    <w:rsid w:val="004E1A52"/>
    <w:rsid w:val="004E1C38"/>
    <w:rsid w:val="004E1C89"/>
    <w:rsid w:val="004E1D0E"/>
    <w:rsid w:val="004E1D3F"/>
    <w:rsid w:val="004E1D5A"/>
    <w:rsid w:val="004E1E28"/>
    <w:rsid w:val="004E1E51"/>
    <w:rsid w:val="004E1E5E"/>
    <w:rsid w:val="004E1F52"/>
    <w:rsid w:val="004E1FDC"/>
    <w:rsid w:val="004E1FEF"/>
    <w:rsid w:val="004E2008"/>
    <w:rsid w:val="004E2027"/>
    <w:rsid w:val="004E202C"/>
    <w:rsid w:val="004E20A6"/>
    <w:rsid w:val="004E213C"/>
    <w:rsid w:val="004E2177"/>
    <w:rsid w:val="004E21E0"/>
    <w:rsid w:val="004E22EC"/>
    <w:rsid w:val="004E22F4"/>
    <w:rsid w:val="004E247C"/>
    <w:rsid w:val="004E2521"/>
    <w:rsid w:val="004E2562"/>
    <w:rsid w:val="004E2563"/>
    <w:rsid w:val="004E257C"/>
    <w:rsid w:val="004E26AF"/>
    <w:rsid w:val="004E26C8"/>
    <w:rsid w:val="004E2756"/>
    <w:rsid w:val="004E2862"/>
    <w:rsid w:val="004E28BD"/>
    <w:rsid w:val="004E28D6"/>
    <w:rsid w:val="004E2903"/>
    <w:rsid w:val="004E2A5B"/>
    <w:rsid w:val="004E2A6D"/>
    <w:rsid w:val="004E2AA6"/>
    <w:rsid w:val="004E2BC6"/>
    <w:rsid w:val="004E2BCE"/>
    <w:rsid w:val="004E2BD6"/>
    <w:rsid w:val="004E2BFF"/>
    <w:rsid w:val="004E2C5E"/>
    <w:rsid w:val="004E2D04"/>
    <w:rsid w:val="004E2EDF"/>
    <w:rsid w:val="004E2F3F"/>
    <w:rsid w:val="004E2FA0"/>
    <w:rsid w:val="004E313C"/>
    <w:rsid w:val="004E31B2"/>
    <w:rsid w:val="004E31C1"/>
    <w:rsid w:val="004E3219"/>
    <w:rsid w:val="004E3222"/>
    <w:rsid w:val="004E3277"/>
    <w:rsid w:val="004E32A1"/>
    <w:rsid w:val="004E32B3"/>
    <w:rsid w:val="004E3303"/>
    <w:rsid w:val="004E330A"/>
    <w:rsid w:val="004E333B"/>
    <w:rsid w:val="004E33F0"/>
    <w:rsid w:val="004E346F"/>
    <w:rsid w:val="004E350E"/>
    <w:rsid w:val="004E3538"/>
    <w:rsid w:val="004E376F"/>
    <w:rsid w:val="004E387F"/>
    <w:rsid w:val="004E3973"/>
    <w:rsid w:val="004E39A0"/>
    <w:rsid w:val="004E3A26"/>
    <w:rsid w:val="004E3A2D"/>
    <w:rsid w:val="004E3A75"/>
    <w:rsid w:val="004E3AB9"/>
    <w:rsid w:val="004E3BC4"/>
    <w:rsid w:val="004E3C66"/>
    <w:rsid w:val="004E3D12"/>
    <w:rsid w:val="004E3D3D"/>
    <w:rsid w:val="004E3D7A"/>
    <w:rsid w:val="004E3D9A"/>
    <w:rsid w:val="004E3E13"/>
    <w:rsid w:val="004E3F5F"/>
    <w:rsid w:val="004E3F96"/>
    <w:rsid w:val="004E3FBC"/>
    <w:rsid w:val="004E4055"/>
    <w:rsid w:val="004E4056"/>
    <w:rsid w:val="004E40AE"/>
    <w:rsid w:val="004E40B6"/>
    <w:rsid w:val="004E40F9"/>
    <w:rsid w:val="004E40FF"/>
    <w:rsid w:val="004E415E"/>
    <w:rsid w:val="004E416A"/>
    <w:rsid w:val="004E4186"/>
    <w:rsid w:val="004E41B0"/>
    <w:rsid w:val="004E4257"/>
    <w:rsid w:val="004E425E"/>
    <w:rsid w:val="004E42CF"/>
    <w:rsid w:val="004E42F6"/>
    <w:rsid w:val="004E430D"/>
    <w:rsid w:val="004E435E"/>
    <w:rsid w:val="004E437E"/>
    <w:rsid w:val="004E43FA"/>
    <w:rsid w:val="004E4573"/>
    <w:rsid w:val="004E45DF"/>
    <w:rsid w:val="004E45F5"/>
    <w:rsid w:val="004E4663"/>
    <w:rsid w:val="004E46AD"/>
    <w:rsid w:val="004E46E9"/>
    <w:rsid w:val="004E479D"/>
    <w:rsid w:val="004E480F"/>
    <w:rsid w:val="004E4942"/>
    <w:rsid w:val="004E496D"/>
    <w:rsid w:val="004E4A4C"/>
    <w:rsid w:val="004E4AA1"/>
    <w:rsid w:val="004E4AA2"/>
    <w:rsid w:val="004E4C5F"/>
    <w:rsid w:val="004E4C73"/>
    <w:rsid w:val="004E4D7C"/>
    <w:rsid w:val="004E4D89"/>
    <w:rsid w:val="004E4E15"/>
    <w:rsid w:val="004E4FBB"/>
    <w:rsid w:val="004E5014"/>
    <w:rsid w:val="004E506E"/>
    <w:rsid w:val="004E5134"/>
    <w:rsid w:val="004E5195"/>
    <w:rsid w:val="004E5196"/>
    <w:rsid w:val="004E51C0"/>
    <w:rsid w:val="004E52ED"/>
    <w:rsid w:val="004E543B"/>
    <w:rsid w:val="004E5477"/>
    <w:rsid w:val="004E5479"/>
    <w:rsid w:val="004E54B5"/>
    <w:rsid w:val="004E54BC"/>
    <w:rsid w:val="004E5519"/>
    <w:rsid w:val="004E553C"/>
    <w:rsid w:val="004E55B0"/>
    <w:rsid w:val="004E55E6"/>
    <w:rsid w:val="004E569B"/>
    <w:rsid w:val="004E5728"/>
    <w:rsid w:val="004E5772"/>
    <w:rsid w:val="004E57A5"/>
    <w:rsid w:val="004E57F8"/>
    <w:rsid w:val="004E582A"/>
    <w:rsid w:val="004E584F"/>
    <w:rsid w:val="004E5885"/>
    <w:rsid w:val="004E590C"/>
    <w:rsid w:val="004E591C"/>
    <w:rsid w:val="004E59C2"/>
    <w:rsid w:val="004E59DD"/>
    <w:rsid w:val="004E5A0A"/>
    <w:rsid w:val="004E5B5C"/>
    <w:rsid w:val="004E5B91"/>
    <w:rsid w:val="004E5C26"/>
    <w:rsid w:val="004E5C65"/>
    <w:rsid w:val="004E5E01"/>
    <w:rsid w:val="004E5E36"/>
    <w:rsid w:val="004E5E5A"/>
    <w:rsid w:val="004E5E61"/>
    <w:rsid w:val="004E6068"/>
    <w:rsid w:val="004E6138"/>
    <w:rsid w:val="004E61A2"/>
    <w:rsid w:val="004E62F4"/>
    <w:rsid w:val="004E63E3"/>
    <w:rsid w:val="004E6471"/>
    <w:rsid w:val="004E64D4"/>
    <w:rsid w:val="004E64E4"/>
    <w:rsid w:val="004E64F1"/>
    <w:rsid w:val="004E6574"/>
    <w:rsid w:val="004E658A"/>
    <w:rsid w:val="004E669D"/>
    <w:rsid w:val="004E66DC"/>
    <w:rsid w:val="004E67A3"/>
    <w:rsid w:val="004E69DA"/>
    <w:rsid w:val="004E69F1"/>
    <w:rsid w:val="004E6A17"/>
    <w:rsid w:val="004E6A25"/>
    <w:rsid w:val="004E6AD6"/>
    <w:rsid w:val="004E6B44"/>
    <w:rsid w:val="004E6B4A"/>
    <w:rsid w:val="004E6C6E"/>
    <w:rsid w:val="004E6C7F"/>
    <w:rsid w:val="004E6C83"/>
    <w:rsid w:val="004E6CE4"/>
    <w:rsid w:val="004E6D06"/>
    <w:rsid w:val="004E6D55"/>
    <w:rsid w:val="004E6D8D"/>
    <w:rsid w:val="004E6E16"/>
    <w:rsid w:val="004E6E58"/>
    <w:rsid w:val="004E6F7C"/>
    <w:rsid w:val="004E6F84"/>
    <w:rsid w:val="004E6FB2"/>
    <w:rsid w:val="004E7077"/>
    <w:rsid w:val="004E70D7"/>
    <w:rsid w:val="004E7125"/>
    <w:rsid w:val="004E7173"/>
    <w:rsid w:val="004E7324"/>
    <w:rsid w:val="004E7428"/>
    <w:rsid w:val="004E751E"/>
    <w:rsid w:val="004E7553"/>
    <w:rsid w:val="004E75EF"/>
    <w:rsid w:val="004E7676"/>
    <w:rsid w:val="004E76CA"/>
    <w:rsid w:val="004E789B"/>
    <w:rsid w:val="004E78DB"/>
    <w:rsid w:val="004E793F"/>
    <w:rsid w:val="004E79DE"/>
    <w:rsid w:val="004E7A59"/>
    <w:rsid w:val="004E7A5C"/>
    <w:rsid w:val="004E7ADB"/>
    <w:rsid w:val="004E7B02"/>
    <w:rsid w:val="004E7B14"/>
    <w:rsid w:val="004E7B86"/>
    <w:rsid w:val="004E7B90"/>
    <w:rsid w:val="004E7C98"/>
    <w:rsid w:val="004E7CA1"/>
    <w:rsid w:val="004E7CD3"/>
    <w:rsid w:val="004E7DE7"/>
    <w:rsid w:val="004E7EA5"/>
    <w:rsid w:val="004E7EC2"/>
    <w:rsid w:val="004E7EEC"/>
    <w:rsid w:val="004E7F80"/>
    <w:rsid w:val="004E7FDD"/>
    <w:rsid w:val="004EE406"/>
    <w:rsid w:val="004F004B"/>
    <w:rsid w:val="004F006C"/>
    <w:rsid w:val="004F0125"/>
    <w:rsid w:val="004F018C"/>
    <w:rsid w:val="004F025C"/>
    <w:rsid w:val="004F0263"/>
    <w:rsid w:val="004F0312"/>
    <w:rsid w:val="004F04BA"/>
    <w:rsid w:val="004F04DC"/>
    <w:rsid w:val="004F05B5"/>
    <w:rsid w:val="004F05CF"/>
    <w:rsid w:val="004F060A"/>
    <w:rsid w:val="004F0623"/>
    <w:rsid w:val="004F068A"/>
    <w:rsid w:val="004F06B0"/>
    <w:rsid w:val="004F06DD"/>
    <w:rsid w:val="004F0752"/>
    <w:rsid w:val="004F086D"/>
    <w:rsid w:val="004F0A02"/>
    <w:rsid w:val="004F0A47"/>
    <w:rsid w:val="004F0A87"/>
    <w:rsid w:val="004F0A94"/>
    <w:rsid w:val="004F0AB1"/>
    <w:rsid w:val="004F0B0F"/>
    <w:rsid w:val="004F0B1C"/>
    <w:rsid w:val="004F0BD9"/>
    <w:rsid w:val="004F0C0E"/>
    <w:rsid w:val="004F0D22"/>
    <w:rsid w:val="004F0D67"/>
    <w:rsid w:val="004F0D91"/>
    <w:rsid w:val="004F0DA3"/>
    <w:rsid w:val="004F0DAB"/>
    <w:rsid w:val="004F0E7E"/>
    <w:rsid w:val="004F0ED2"/>
    <w:rsid w:val="004F0F6C"/>
    <w:rsid w:val="004F0F88"/>
    <w:rsid w:val="004F0F90"/>
    <w:rsid w:val="004F10AC"/>
    <w:rsid w:val="004F10D0"/>
    <w:rsid w:val="004F10E5"/>
    <w:rsid w:val="004F1106"/>
    <w:rsid w:val="004F1138"/>
    <w:rsid w:val="004F1148"/>
    <w:rsid w:val="004F1153"/>
    <w:rsid w:val="004F1191"/>
    <w:rsid w:val="004F11EB"/>
    <w:rsid w:val="004F1286"/>
    <w:rsid w:val="004F12B5"/>
    <w:rsid w:val="004F1362"/>
    <w:rsid w:val="004F13AA"/>
    <w:rsid w:val="004F13B3"/>
    <w:rsid w:val="004F146C"/>
    <w:rsid w:val="004F14C0"/>
    <w:rsid w:val="004F15BF"/>
    <w:rsid w:val="004F15C8"/>
    <w:rsid w:val="004F16D0"/>
    <w:rsid w:val="004F17B0"/>
    <w:rsid w:val="004F17DE"/>
    <w:rsid w:val="004F188E"/>
    <w:rsid w:val="004F18EF"/>
    <w:rsid w:val="004F190F"/>
    <w:rsid w:val="004F198A"/>
    <w:rsid w:val="004F19EA"/>
    <w:rsid w:val="004F1A03"/>
    <w:rsid w:val="004F1A11"/>
    <w:rsid w:val="004F1B28"/>
    <w:rsid w:val="004F1B2C"/>
    <w:rsid w:val="004F1BC0"/>
    <w:rsid w:val="004F1D53"/>
    <w:rsid w:val="004F1D60"/>
    <w:rsid w:val="004F1D7F"/>
    <w:rsid w:val="004F1DA4"/>
    <w:rsid w:val="004F1DE2"/>
    <w:rsid w:val="004F1ED4"/>
    <w:rsid w:val="004F1EF2"/>
    <w:rsid w:val="004F1F19"/>
    <w:rsid w:val="004F1F61"/>
    <w:rsid w:val="004F1F67"/>
    <w:rsid w:val="004F1FAE"/>
    <w:rsid w:val="004F1FB4"/>
    <w:rsid w:val="004F2065"/>
    <w:rsid w:val="004F20C1"/>
    <w:rsid w:val="004F20DE"/>
    <w:rsid w:val="004F212C"/>
    <w:rsid w:val="004F2197"/>
    <w:rsid w:val="004F21E0"/>
    <w:rsid w:val="004F22CB"/>
    <w:rsid w:val="004F2306"/>
    <w:rsid w:val="004F2340"/>
    <w:rsid w:val="004F238F"/>
    <w:rsid w:val="004F23B2"/>
    <w:rsid w:val="004F23E8"/>
    <w:rsid w:val="004F2478"/>
    <w:rsid w:val="004F256B"/>
    <w:rsid w:val="004F276A"/>
    <w:rsid w:val="004F27A8"/>
    <w:rsid w:val="004F27EA"/>
    <w:rsid w:val="004F28D6"/>
    <w:rsid w:val="004F28E8"/>
    <w:rsid w:val="004F2971"/>
    <w:rsid w:val="004F2A22"/>
    <w:rsid w:val="004F2D03"/>
    <w:rsid w:val="004F2D08"/>
    <w:rsid w:val="004F2D3A"/>
    <w:rsid w:val="004F2E34"/>
    <w:rsid w:val="004F2EC7"/>
    <w:rsid w:val="004F2ECD"/>
    <w:rsid w:val="004F2EEB"/>
    <w:rsid w:val="004F2FA6"/>
    <w:rsid w:val="004F3135"/>
    <w:rsid w:val="004F315A"/>
    <w:rsid w:val="004F3190"/>
    <w:rsid w:val="004F322B"/>
    <w:rsid w:val="004F33E1"/>
    <w:rsid w:val="004F344F"/>
    <w:rsid w:val="004F3481"/>
    <w:rsid w:val="004F3490"/>
    <w:rsid w:val="004F3554"/>
    <w:rsid w:val="004F3671"/>
    <w:rsid w:val="004F3693"/>
    <w:rsid w:val="004F36C1"/>
    <w:rsid w:val="004F372B"/>
    <w:rsid w:val="004F37C9"/>
    <w:rsid w:val="004F38C4"/>
    <w:rsid w:val="004F38D9"/>
    <w:rsid w:val="004F39C2"/>
    <w:rsid w:val="004F3A9E"/>
    <w:rsid w:val="004F3AC7"/>
    <w:rsid w:val="004F3C09"/>
    <w:rsid w:val="004F3E34"/>
    <w:rsid w:val="004F3E3C"/>
    <w:rsid w:val="004F3EB0"/>
    <w:rsid w:val="004F3F96"/>
    <w:rsid w:val="004F4003"/>
    <w:rsid w:val="004F4015"/>
    <w:rsid w:val="004F4083"/>
    <w:rsid w:val="004F41E9"/>
    <w:rsid w:val="004F4319"/>
    <w:rsid w:val="004F4344"/>
    <w:rsid w:val="004F4377"/>
    <w:rsid w:val="004F43DE"/>
    <w:rsid w:val="004F43E3"/>
    <w:rsid w:val="004F441B"/>
    <w:rsid w:val="004F4434"/>
    <w:rsid w:val="004F4463"/>
    <w:rsid w:val="004F44B6"/>
    <w:rsid w:val="004F44D7"/>
    <w:rsid w:val="004F44DC"/>
    <w:rsid w:val="004F4536"/>
    <w:rsid w:val="004F4552"/>
    <w:rsid w:val="004F468E"/>
    <w:rsid w:val="004F4797"/>
    <w:rsid w:val="004F479D"/>
    <w:rsid w:val="004F47D8"/>
    <w:rsid w:val="004F4827"/>
    <w:rsid w:val="004F4839"/>
    <w:rsid w:val="004F48BD"/>
    <w:rsid w:val="004F48D8"/>
    <w:rsid w:val="004F49BE"/>
    <w:rsid w:val="004F4A02"/>
    <w:rsid w:val="004F4A5F"/>
    <w:rsid w:val="004F4A9F"/>
    <w:rsid w:val="004F4ABB"/>
    <w:rsid w:val="004F4ACD"/>
    <w:rsid w:val="004F4B10"/>
    <w:rsid w:val="004F4B7A"/>
    <w:rsid w:val="004F4B9C"/>
    <w:rsid w:val="004F4BBC"/>
    <w:rsid w:val="004F4C91"/>
    <w:rsid w:val="004F4DC7"/>
    <w:rsid w:val="004F4E24"/>
    <w:rsid w:val="004F4E8F"/>
    <w:rsid w:val="004F4EB6"/>
    <w:rsid w:val="004F4ED4"/>
    <w:rsid w:val="004F4F3D"/>
    <w:rsid w:val="004F5040"/>
    <w:rsid w:val="004F5051"/>
    <w:rsid w:val="004F5061"/>
    <w:rsid w:val="004F50CB"/>
    <w:rsid w:val="004F5164"/>
    <w:rsid w:val="004F5186"/>
    <w:rsid w:val="004F51AA"/>
    <w:rsid w:val="004F51C1"/>
    <w:rsid w:val="004F5237"/>
    <w:rsid w:val="004F54C9"/>
    <w:rsid w:val="004F54FD"/>
    <w:rsid w:val="004F564C"/>
    <w:rsid w:val="004F56AA"/>
    <w:rsid w:val="004F5711"/>
    <w:rsid w:val="004F579C"/>
    <w:rsid w:val="004F57C9"/>
    <w:rsid w:val="004F581E"/>
    <w:rsid w:val="004F5939"/>
    <w:rsid w:val="004F596F"/>
    <w:rsid w:val="004F59CC"/>
    <w:rsid w:val="004F5A8C"/>
    <w:rsid w:val="004F5A8D"/>
    <w:rsid w:val="004F5C15"/>
    <w:rsid w:val="004F5C18"/>
    <w:rsid w:val="004F5CCE"/>
    <w:rsid w:val="004F5CEF"/>
    <w:rsid w:val="004F5DA0"/>
    <w:rsid w:val="004F5E1A"/>
    <w:rsid w:val="004F5E3F"/>
    <w:rsid w:val="004F6065"/>
    <w:rsid w:val="004F6184"/>
    <w:rsid w:val="004F6190"/>
    <w:rsid w:val="004F61D1"/>
    <w:rsid w:val="004F61EF"/>
    <w:rsid w:val="004F6210"/>
    <w:rsid w:val="004F6211"/>
    <w:rsid w:val="004F626D"/>
    <w:rsid w:val="004F629F"/>
    <w:rsid w:val="004F62CA"/>
    <w:rsid w:val="004F62F4"/>
    <w:rsid w:val="004F63C7"/>
    <w:rsid w:val="004F65BF"/>
    <w:rsid w:val="004F6646"/>
    <w:rsid w:val="004F6658"/>
    <w:rsid w:val="004F67BD"/>
    <w:rsid w:val="004F67E8"/>
    <w:rsid w:val="004F67ED"/>
    <w:rsid w:val="004F6804"/>
    <w:rsid w:val="004F6865"/>
    <w:rsid w:val="004F68D6"/>
    <w:rsid w:val="004F6939"/>
    <w:rsid w:val="004F69BA"/>
    <w:rsid w:val="004F6AC6"/>
    <w:rsid w:val="004F6B24"/>
    <w:rsid w:val="004F6C5A"/>
    <w:rsid w:val="004F6C80"/>
    <w:rsid w:val="004F6CFD"/>
    <w:rsid w:val="004F6D11"/>
    <w:rsid w:val="004F6D5D"/>
    <w:rsid w:val="004F6E68"/>
    <w:rsid w:val="004F6FE7"/>
    <w:rsid w:val="004F703F"/>
    <w:rsid w:val="004F705F"/>
    <w:rsid w:val="004F70E2"/>
    <w:rsid w:val="004F7179"/>
    <w:rsid w:val="004F71F5"/>
    <w:rsid w:val="004F7210"/>
    <w:rsid w:val="004F72B2"/>
    <w:rsid w:val="004F7320"/>
    <w:rsid w:val="004F738B"/>
    <w:rsid w:val="004F73BA"/>
    <w:rsid w:val="004F73C7"/>
    <w:rsid w:val="004F7501"/>
    <w:rsid w:val="004F7637"/>
    <w:rsid w:val="004F7642"/>
    <w:rsid w:val="004F76A6"/>
    <w:rsid w:val="004F76E2"/>
    <w:rsid w:val="004F773C"/>
    <w:rsid w:val="004F7782"/>
    <w:rsid w:val="004F7797"/>
    <w:rsid w:val="004F7822"/>
    <w:rsid w:val="004F7825"/>
    <w:rsid w:val="004F788F"/>
    <w:rsid w:val="004F78CB"/>
    <w:rsid w:val="004F796A"/>
    <w:rsid w:val="004F79CB"/>
    <w:rsid w:val="004F79F0"/>
    <w:rsid w:val="004F7A73"/>
    <w:rsid w:val="004F7CA5"/>
    <w:rsid w:val="004F7CBF"/>
    <w:rsid w:val="004F7D27"/>
    <w:rsid w:val="004F7DDB"/>
    <w:rsid w:val="004F7EF5"/>
    <w:rsid w:val="004F7F7B"/>
    <w:rsid w:val="004F7F81"/>
    <w:rsid w:val="004F7F9C"/>
    <w:rsid w:val="004F7FC6"/>
    <w:rsid w:val="00500062"/>
    <w:rsid w:val="005000C3"/>
    <w:rsid w:val="0050010E"/>
    <w:rsid w:val="005001A8"/>
    <w:rsid w:val="005001F7"/>
    <w:rsid w:val="00500226"/>
    <w:rsid w:val="00500325"/>
    <w:rsid w:val="00500445"/>
    <w:rsid w:val="00500553"/>
    <w:rsid w:val="00500566"/>
    <w:rsid w:val="005005CF"/>
    <w:rsid w:val="005005FA"/>
    <w:rsid w:val="0050060E"/>
    <w:rsid w:val="00500629"/>
    <w:rsid w:val="0050062A"/>
    <w:rsid w:val="00500649"/>
    <w:rsid w:val="0050067A"/>
    <w:rsid w:val="0050077C"/>
    <w:rsid w:val="00500798"/>
    <w:rsid w:val="005007A3"/>
    <w:rsid w:val="005008B0"/>
    <w:rsid w:val="00500915"/>
    <w:rsid w:val="0050095B"/>
    <w:rsid w:val="00500986"/>
    <w:rsid w:val="005009EE"/>
    <w:rsid w:val="00500A3C"/>
    <w:rsid w:val="00500B35"/>
    <w:rsid w:val="00500B61"/>
    <w:rsid w:val="00500BF2"/>
    <w:rsid w:val="00500C02"/>
    <w:rsid w:val="00500C39"/>
    <w:rsid w:val="00500C40"/>
    <w:rsid w:val="00500CC7"/>
    <w:rsid w:val="00500E2F"/>
    <w:rsid w:val="00500EB7"/>
    <w:rsid w:val="00500F02"/>
    <w:rsid w:val="00500F34"/>
    <w:rsid w:val="00500FF3"/>
    <w:rsid w:val="0050101D"/>
    <w:rsid w:val="0050103A"/>
    <w:rsid w:val="0050109E"/>
    <w:rsid w:val="00501100"/>
    <w:rsid w:val="00501174"/>
    <w:rsid w:val="00501247"/>
    <w:rsid w:val="0050126E"/>
    <w:rsid w:val="0050136D"/>
    <w:rsid w:val="005013A0"/>
    <w:rsid w:val="005013DE"/>
    <w:rsid w:val="005013F0"/>
    <w:rsid w:val="00501414"/>
    <w:rsid w:val="0050142A"/>
    <w:rsid w:val="00501485"/>
    <w:rsid w:val="0050149D"/>
    <w:rsid w:val="005014C8"/>
    <w:rsid w:val="005014DB"/>
    <w:rsid w:val="00501537"/>
    <w:rsid w:val="005015F9"/>
    <w:rsid w:val="005016C5"/>
    <w:rsid w:val="005017A7"/>
    <w:rsid w:val="00501811"/>
    <w:rsid w:val="0050187F"/>
    <w:rsid w:val="0050188B"/>
    <w:rsid w:val="005018BB"/>
    <w:rsid w:val="00501A11"/>
    <w:rsid w:val="00501A45"/>
    <w:rsid w:val="00501B0F"/>
    <w:rsid w:val="00501B10"/>
    <w:rsid w:val="00501B9E"/>
    <w:rsid w:val="00501C14"/>
    <w:rsid w:val="00501D4B"/>
    <w:rsid w:val="00501E08"/>
    <w:rsid w:val="00501E2D"/>
    <w:rsid w:val="00501E3F"/>
    <w:rsid w:val="00501E7F"/>
    <w:rsid w:val="00501EA4"/>
    <w:rsid w:val="00501F2A"/>
    <w:rsid w:val="00501F55"/>
    <w:rsid w:val="00501F5B"/>
    <w:rsid w:val="00501F83"/>
    <w:rsid w:val="00501FF1"/>
    <w:rsid w:val="00502078"/>
    <w:rsid w:val="005020A2"/>
    <w:rsid w:val="00502168"/>
    <w:rsid w:val="005021A7"/>
    <w:rsid w:val="005021B8"/>
    <w:rsid w:val="005021CA"/>
    <w:rsid w:val="005021CF"/>
    <w:rsid w:val="005022D7"/>
    <w:rsid w:val="00502373"/>
    <w:rsid w:val="00502386"/>
    <w:rsid w:val="005023AD"/>
    <w:rsid w:val="005023D9"/>
    <w:rsid w:val="005023FC"/>
    <w:rsid w:val="00502480"/>
    <w:rsid w:val="0050255F"/>
    <w:rsid w:val="0050258E"/>
    <w:rsid w:val="005025AF"/>
    <w:rsid w:val="005025EC"/>
    <w:rsid w:val="005025F0"/>
    <w:rsid w:val="00502610"/>
    <w:rsid w:val="00502712"/>
    <w:rsid w:val="00502714"/>
    <w:rsid w:val="005028AA"/>
    <w:rsid w:val="005028BE"/>
    <w:rsid w:val="00502A0C"/>
    <w:rsid w:val="00502A8E"/>
    <w:rsid w:val="00502B30"/>
    <w:rsid w:val="00502B5C"/>
    <w:rsid w:val="00502BD5"/>
    <w:rsid w:val="00502BF0"/>
    <w:rsid w:val="00502C41"/>
    <w:rsid w:val="00502C42"/>
    <w:rsid w:val="00502CB5"/>
    <w:rsid w:val="00502D21"/>
    <w:rsid w:val="00502D3C"/>
    <w:rsid w:val="00502D5C"/>
    <w:rsid w:val="00502D9D"/>
    <w:rsid w:val="00502E2C"/>
    <w:rsid w:val="00503014"/>
    <w:rsid w:val="00503018"/>
    <w:rsid w:val="005030B6"/>
    <w:rsid w:val="005030B8"/>
    <w:rsid w:val="005030DE"/>
    <w:rsid w:val="0050310F"/>
    <w:rsid w:val="0050311D"/>
    <w:rsid w:val="0050312C"/>
    <w:rsid w:val="00503163"/>
    <w:rsid w:val="005031D0"/>
    <w:rsid w:val="005032B1"/>
    <w:rsid w:val="005032BB"/>
    <w:rsid w:val="0050332E"/>
    <w:rsid w:val="00503463"/>
    <w:rsid w:val="0050347A"/>
    <w:rsid w:val="005034DD"/>
    <w:rsid w:val="00503556"/>
    <w:rsid w:val="00503566"/>
    <w:rsid w:val="0050357A"/>
    <w:rsid w:val="00503598"/>
    <w:rsid w:val="005035A0"/>
    <w:rsid w:val="00503619"/>
    <w:rsid w:val="00503817"/>
    <w:rsid w:val="00503845"/>
    <w:rsid w:val="0050385E"/>
    <w:rsid w:val="0050397C"/>
    <w:rsid w:val="005039BC"/>
    <w:rsid w:val="00503A24"/>
    <w:rsid w:val="00503A83"/>
    <w:rsid w:val="00503B88"/>
    <w:rsid w:val="00503C38"/>
    <w:rsid w:val="00503CFA"/>
    <w:rsid w:val="00503D26"/>
    <w:rsid w:val="00503D32"/>
    <w:rsid w:val="00503D3E"/>
    <w:rsid w:val="00503D58"/>
    <w:rsid w:val="00503DDB"/>
    <w:rsid w:val="00503E6D"/>
    <w:rsid w:val="0050402B"/>
    <w:rsid w:val="0050408C"/>
    <w:rsid w:val="005040A2"/>
    <w:rsid w:val="00504252"/>
    <w:rsid w:val="00504257"/>
    <w:rsid w:val="005042B4"/>
    <w:rsid w:val="00504308"/>
    <w:rsid w:val="00504597"/>
    <w:rsid w:val="00504599"/>
    <w:rsid w:val="005045D1"/>
    <w:rsid w:val="005045FD"/>
    <w:rsid w:val="0050464B"/>
    <w:rsid w:val="00504675"/>
    <w:rsid w:val="00504685"/>
    <w:rsid w:val="00504698"/>
    <w:rsid w:val="00504710"/>
    <w:rsid w:val="00504722"/>
    <w:rsid w:val="00504771"/>
    <w:rsid w:val="00504774"/>
    <w:rsid w:val="005047B3"/>
    <w:rsid w:val="0050481C"/>
    <w:rsid w:val="00504887"/>
    <w:rsid w:val="0050491A"/>
    <w:rsid w:val="005049D6"/>
    <w:rsid w:val="00504A26"/>
    <w:rsid w:val="00504A5D"/>
    <w:rsid w:val="00504AC3"/>
    <w:rsid w:val="00504B6B"/>
    <w:rsid w:val="00504C43"/>
    <w:rsid w:val="00504C4B"/>
    <w:rsid w:val="00504D04"/>
    <w:rsid w:val="00504D49"/>
    <w:rsid w:val="00504D59"/>
    <w:rsid w:val="00504F56"/>
    <w:rsid w:val="00504FDE"/>
    <w:rsid w:val="00505144"/>
    <w:rsid w:val="00505153"/>
    <w:rsid w:val="00505162"/>
    <w:rsid w:val="00505194"/>
    <w:rsid w:val="005051BB"/>
    <w:rsid w:val="005052EE"/>
    <w:rsid w:val="005052F2"/>
    <w:rsid w:val="00505305"/>
    <w:rsid w:val="005053C6"/>
    <w:rsid w:val="005053E0"/>
    <w:rsid w:val="00505422"/>
    <w:rsid w:val="005054C0"/>
    <w:rsid w:val="005054F1"/>
    <w:rsid w:val="00505517"/>
    <w:rsid w:val="0050557B"/>
    <w:rsid w:val="00505640"/>
    <w:rsid w:val="00505653"/>
    <w:rsid w:val="005056C7"/>
    <w:rsid w:val="00505701"/>
    <w:rsid w:val="00505740"/>
    <w:rsid w:val="00505778"/>
    <w:rsid w:val="005058BB"/>
    <w:rsid w:val="00505984"/>
    <w:rsid w:val="00505999"/>
    <w:rsid w:val="005059B1"/>
    <w:rsid w:val="00505A42"/>
    <w:rsid w:val="00505A67"/>
    <w:rsid w:val="00505A89"/>
    <w:rsid w:val="00505A95"/>
    <w:rsid w:val="00505AB4"/>
    <w:rsid w:val="00505B93"/>
    <w:rsid w:val="00505BAD"/>
    <w:rsid w:val="00505D91"/>
    <w:rsid w:val="00505D9B"/>
    <w:rsid w:val="00505DA8"/>
    <w:rsid w:val="00505E27"/>
    <w:rsid w:val="00505EE5"/>
    <w:rsid w:val="00506120"/>
    <w:rsid w:val="00506154"/>
    <w:rsid w:val="0050615D"/>
    <w:rsid w:val="00506303"/>
    <w:rsid w:val="00506381"/>
    <w:rsid w:val="005063CE"/>
    <w:rsid w:val="005063EF"/>
    <w:rsid w:val="0050649B"/>
    <w:rsid w:val="005064C1"/>
    <w:rsid w:val="005065FD"/>
    <w:rsid w:val="005066E0"/>
    <w:rsid w:val="005066F0"/>
    <w:rsid w:val="005067C7"/>
    <w:rsid w:val="00506838"/>
    <w:rsid w:val="005068E8"/>
    <w:rsid w:val="005068F3"/>
    <w:rsid w:val="0050691D"/>
    <w:rsid w:val="00506941"/>
    <w:rsid w:val="00506A4E"/>
    <w:rsid w:val="00506A81"/>
    <w:rsid w:val="00506B72"/>
    <w:rsid w:val="00506C5B"/>
    <w:rsid w:val="00506C5F"/>
    <w:rsid w:val="00506DB0"/>
    <w:rsid w:val="00506E48"/>
    <w:rsid w:val="00506F29"/>
    <w:rsid w:val="00506F81"/>
    <w:rsid w:val="00506FAF"/>
    <w:rsid w:val="00506FCD"/>
    <w:rsid w:val="00507022"/>
    <w:rsid w:val="005070B6"/>
    <w:rsid w:val="005070B9"/>
    <w:rsid w:val="0050713F"/>
    <w:rsid w:val="005071A2"/>
    <w:rsid w:val="005071F6"/>
    <w:rsid w:val="005077AE"/>
    <w:rsid w:val="005077DA"/>
    <w:rsid w:val="005077ED"/>
    <w:rsid w:val="0050785F"/>
    <w:rsid w:val="005078BC"/>
    <w:rsid w:val="00507913"/>
    <w:rsid w:val="00507993"/>
    <w:rsid w:val="005079C1"/>
    <w:rsid w:val="00507A8D"/>
    <w:rsid w:val="00507A9D"/>
    <w:rsid w:val="00507B0E"/>
    <w:rsid w:val="00507B18"/>
    <w:rsid w:val="00507B40"/>
    <w:rsid w:val="00507B68"/>
    <w:rsid w:val="00507B83"/>
    <w:rsid w:val="00507BD8"/>
    <w:rsid w:val="00507C1A"/>
    <w:rsid w:val="00507CFD"/>
    <w:rsid w:val="00507DE5"/>
    <w:rsid w:val="00507E19"/>
    <w:rsid w:val="00507E68"/>
    <w:rsid w:val="00507E69"/>
    <w:rsid w:val="00507FB0"/>
    <w:rsid w:val="00510013"/>
    <w:rsid w:val="0051004C"/>
    <w:rsid w:val="00510058"/>
    <w:rsid w:val="00510082"/>
    <w:rsid w:val="005100B2"/>
    <w:rsid w:val="00510269"/>
    <w:rsid w:val="00510290"/>
    <w:rsid w:val="0051035E"/>
    <w:rsid w:val="00510418"/>
    <w:rsid w:val="005104CF"/>
    <w:rsid w:val="00510621"/>
    <w:rsid w:val="005106B6"/>
    <w:rsid w:val="005107CD"/>
    <w:rsid w:val="005108E2"/>
    <w:rsid w:val="00510903"/>
    <w:rsid w:val="00510981"/>
    <w:rsid w:val="00510A3A"/>
    <w:rsid w:val="00510B05"/>
    <w:rsid w:val="00510B2B"/>
    <w:rsid w:val="00510BCE"/>
    <w:rsid w:val="00510C3E"/>
    <w:rsid w:val="00510D04"/>
    <w:rsid w:val="00510D41"/>
    <w:rsid w:val="00510DB4"/>
    <w:rsid w:val="00510ECA"/>
    <w:rsid w:val="00510ED5"/>
    <w:rsid w:val="00510EF9"/>
    <w:rsid w:val="00510F27"/>
    <w:rsid w:val="00510F79"/>
    <w:rsid w:val="00510FE0"/>
    <w:rsid w:val="00511017"/>
    <w:rsid w:val="005110C0"/>
    <w:rsid w:val="005110C7"/>
    <w:rsid w:val="005110E9"/>
    <w:rsid w:val="0051110B"/>
    <w:rsid w:val="0051115F"/>
    <w:rsid w:val="005111B7"/>
    <w:rsid w:val="005111FB"/>
    <w:rsid w:val="0051132F"/>
    <w:rsid w:val="00511377"/>
    <w:rsid w:val="005113A4"/>
    <w:rsid w:val="00511447"/>
    <w:rsid w:val="00511462"/>
    <w:rsid w:val="005114EE"/>
    <w:rsid w:val="0051156B"/>
    <w:rsid w:val="005115B8"/>
    <w:rsid w:val="00511679"/>
    <w:rsid w:val="005116F5"/>
    <w:rsid w:val="00511770"/>
    <w:rsid w:val="005117E7"/>
    <w:rsid w:val="00511998"/>
    <w:rsid w:val="005119ED"/>
    <w:rsid w:val="005119FA"/>
    <w:rsid w:val="00511A17"/>
    <w:rsid w:val="00511A39"/>
    <w:rsid w:val="00511A64"/>
    <w:rsid w:val="00511B05"/>
    <w:rsid w:val="00511B1B"/>
    <w:rsid w:val="00511B79"/>
    <w:rsid w:val="00511BDE"/>
    <w:rsid w:val="00511CA9"/>
    <w:rsid w:val="00511D51"/>
    <w:rsid w:val="00511E16"/>
    <w:rsid w:val="00511E3F"/>
    <w:rsid w:val="00511E92"/>
    <w:rsid w:val="00511F57"/>
    <w:rsid w:val="00511F5F"/>
    <w:rsid w:val="0051200E"/>
    <w:rsid w:val="00512079"/>
    <w:rsid w:val="00512121"/>
    <w:rsid w:val="005121D4"/>
    <w:rsid w:val="0051221E"/>
    <w:rsid w:val="005122E7"/>
    <w:rsid w:val="005122EB"/>
    <w:rsid w:val="005123CB"/>
    <w:rsid w:val="005123E3"/>
    <w:rsid w:val="00512453"/>
    <w:rsid w:val="00512514"/>
    <w:rsid w:val="00512556"/>
    <w:rsid w:val="005125F1"/>
    <w:rsid w:val="0051264A"/>
    <w:rsid w:val="0051270F"/>
    <w:rsid w:val="00512745"/>
    <w:rsid w:val="005127E5"/>
    <w:rsid w:val="0051286E"/>
    <w:rsid w:val="00512886"/>
    <w:rsid w:val="005128AF"/>
    <w:rsid w:val="0051293A"/>
    <w:rsid w:val="005129B3"/>
    <w:rsid w:val="005129EC"/>
    <w:rsid w:val="00512A0F"/>
    <w:rsid w:val="00512B89"/>
    <w:rsid w:val="00512BB7"/>
    <w:rsid w:val="00512BE6"/>
    <w:rsid w:val="00512C21"/>
    <w:rsid w:val="00512C3D"/>
    <w:rsid w:val="00512CB8"/>
    <w:rsid w:val="00512CCD"/>
    <w:rsid w:val="00512D20"/>
    <w:rsid w:val="00512D35"/>
    <w:rsid w:val="00512DDF"/>
    <w:rsid w:val="00512DFA"/>
    <w:rsid w:val="00512E1B"/>
    <w:rsid w:val="00512F59"/>
    <w:rsid w:val="00512FF4"/>
    <w:rsid w:val="00513023"/>
    <w:rsid w:val="005130A0"/>
    <w:rsid w:val="0051314C"/>
    <w:rsid w:val="005131B7"/>
    <w:rsid w:val="0051326B"/>
    <w:rsid w:val="005132EC"/>
    <w:rsid w:val="005134B3"/>
    <w:rsid w:val="005134C3"/>
    <w:rsid w:val="005134E4"/>
    <w:rsid w:val="005134F1"/>
    <w:rsid w:val="00513577"/>
    <w:rsid w:val="0051358C"/>
    <w:rsid w:val="005135CE"/>
    <w:rsid w:val="005135D5"/>
    <w:rsid w:val="005135E2"/>
    <w:rsid w:val="00513621"/>
    <w:rsid w:val="0051365A"/>
    <w:rsid w:val="00513706"/>
    <w:rsid w:val="0051370B"/>
    <w:rsid w:val="00513735"/>
    <w:rsid w:val="00513825"/>
    <w:rsid w:val="00513862"/>
    <w:rsid w:val="0051391D"/>
    <w:rsid w:val="005139A6"/>
    <w:rsid w:val="00513A00"/>
    <w:rsid w:val="00513A16"/>
    <w:rsid w:val="00513A7C"/>
    <w:rsid w:val="00513ABA"/>
    <w:rsid w:val="00513AE6"/>
    <w:rsid w:val="00513AF4"/>
    <w:rsid w:val="00513BC5"/>
    <w:rsid w:val="00513BD7"/>
    <w:rsid w:val="00513BFF"/>
    <w:rsid w:val="00513C09"/>
    <w:rsid w:val="00513C20"/>
    <w:rsid w:val="00513C22"/>
    <w:rsid w:val="00513D0B"/>
    <w:rsid w:val="00513DF4"/>
    <w:rsid w:val="00513E22"/>
    <w:rsid w:val="00513E42"/>
    <w:rsid w:val="00513E63"/>
    <w:rsid w:val="00513E6F"/>
    <w:rsid w:val="00513EA8"/>
    <w:rsid w:val="00513F14"/>
    <w:rsid w:val="00513F85"/>
    <w:rsid w:val="00513FBC"/>
    <w:rsid w:val="00514089"/>
    <w:rsid w:val="00514134"/>
    <w:rsid w:val="0051413B"/>
    <w:rsid w:val="005141AE"/>
    <w:rsid w:val="005141F8"/>
    <w:rsid w:val="0051429A"/>
    <w:rsid w:val="005142A1"/>
    <w:rsid w:val="005142E1"/>
    <w:rsid w:val="00514301"/>
    <w:rsid w:val="00514318"/>
    <w:rsid w:val="00514368"/>
    <w:rsid w:val="0051438C"/>
    <w:rsid w:val="005143E4"/>
    <w:rsid w:val="005144B1"/>
    <w:rsid w:val="005144FE"/>
    <w:rsid w:val="00514574"/>
    <w:rsid w:val="005145E6"/>
    <w:rsid w:val="00514689"/>
    <w:rsid w:val="0051473F"/>
    <w:rsid w:val="005147CF"/>
    <w:rsid w:val="00514864"/>
    <w:rsid w:val="005148F8"/>
    <w:rsid w:val="005149A2"/>
    <w:rsid w:val="005149CF"/>
    <w:rsid w:val="005149E0"/>
    <w:rsid w:val="00514A10"/>
    <w:rsid w:val="00514B24"/>
    <w:rsid w:val="00514B64"/>
    <w:rsid w:val="00514C1A"/>
    <w:rsid w:val="00514DCC"/>
    <w:rsid w:val="00514EEC"/>
    <w:rsid w:val="00514F0A"/>
    <w:rsid w:val="00515011"/>
    <w:rsid w:val="005150DB"/>
    <w:rsid w:val="005151CF"/>
    <w:rsid w:val="00515213"/>
    <w:rsid w:val="00515237"/>
    <w:rsid w:val="00515270"/>
    <w:rsid w:val="00515284"/>
    <w:rsid w:val="0051535E"/>
    <w:rsid w:val="0051542E"/>
    <w:rsid w:val="00515536"/>
    <w:rsid w:val="00515570"/>
    <w:rsid w:val="005155EB"/>
    <w:rsid w:val="005156C9"/>
    <w:rsid w:val="005156EC"/>
    <w:rsid w:val="0051573F"/>
    <w:rsid w:val="005158A3"/>
    <w:rsid w:val="00515952"/>
    <w:rsid w:val="00515960"/>
    <w:rsid w:val="005159B6"/>
    <w:rsid w:val="005159DA"/>
    <w:rsid w:val="00515AB8"/>
    <w:rsid w:val="00515AFF"/>
    <w:rsid w:val="00515C4B"/>
    <w:rsid w:val="00515D46"/>
    <w:rsid w:val="00515D61"/>
    <w:rsid w:val="00515E9E"/>
    <w:rsid w:val="00515EAD"/>
    <w:rsid w:val="00515EE6"/>
    <w:rsid w:val="00515EFA"/>
    <w:rsid w:val="0051609B"/>
    <w:rsid w:val="005160A8"/>
    <w:rsid w:val="005161AC"/>
    <w:rsid w:val="00516203"/>
    <w:rsid w:val="00516234"/>
    <w:rsid w:val="00516241"/>
    <w:rsid w:val="005162E4"/>
    <w:rsid w:val="0051635D"/>
    <w:rsid w:val="0051640F"/>
    <w:rsid w:val="005165BA"/>
    <w:rsid w:val="005165EB"/>
    <w:rsid w:val="005166BF"/>
    <w:rsid w:val="0051672C"/>
    <w:rsid w:val="0051673F"/>
    <w:rsid w:val="00516841"/>
    <w:rsid w:val="005168F7"/>
    <w:rsid w:val="005169D4"/>
    <w:rsid w:val="00516A3A"/>
    <w:rsid w:val="00516A9F"/>
    <w:rsid w:val="00516C03"/>
    <w:rsid w:val="00516C4D"/>
    <w:rsid w:val="00516C73"/>
    <w:rsid w:val="00516CE8"/>
    <w:rsid w:val="00516D26"/>
    <w:rsid w:val="00516D9C"/>
    <w:rsid w:val="00516DC8"/>
    <w:rsid w:val="00516E9E"/>
    <w:rsid w:val="00516EF8"/>
    <w:rsid w:val="00516F4F"/>
    <w:rsid w:val="00516F72"/>
    <w:rsid w:val="00516F73"/>
    <w:rsid w:val="00516FF6"/>
    <w:rsid w:val="0051703A"/>
    <w:rsid w:val="005170B3"/>
    <w:rsid w:val="005170DB"/>
    <w:rsid w:val="0051710F"/>
    <w:rsid w:val="00517119"/>
    <w:rsid w:val="005171CB"/>
    <w:rsid w:val="0051721E"/>
    <w:rsid w:val="005172E2"/>
    <w:rsid w:val="005174DE"/>
    <w:rsid w:val="00517534"/>
    <w:rsid w:val="00517566"/>
    <w:rsid w:val="0051758D"/>
    <w:rsid w:val="00517590"/>
    <w:rsid w:val="0051765C"/>
    <w:rsid w:val="005176F3"/>
    <w:rsid w:val="00517724"/>
    <w:rsid w:val="00517754"/>
    <w:rsid w:val="0051775D"/>
    <w:rsid w:val="00517884"/>
    <w:rsid w:val="005178AA"/>
    <w:rsid w:val="00517914"/>
    <w:rsid w:val="00517953"/>
    <w:rsid w:val="00517998"/>
    <w:rsid w:val="005179AE"/>
    <w:rsid w:val="00517A9C"/>
    <w:rsid w:val="00517AE3"/>
    <w:rsid w:val="00517CBA"/>
    <w:rsid w:val="00517DB6"/>
    <w:rsid w:val="00517DFB"/>
    <w:rsid w:val="00517F55"/>
    <w:rsid w:val="00520025"/>
    <w:rsid w:val="00520049"/>
    <w:rsid w:val="00520057"/>
    <w:rsid w:val="005200C1"/>
    <w:rsid w:val="0052014C"/>
    <w:rsid w:val="0052022C"/>
    <w:rsid w:val="00520329"/>
    <w:rsid w:val="00520338"/>
    <w:rsid w:val="00520390"/>
    <w:rsid w:val="005205F9"/>
    <w:rsid w:val="00520607"/>
    <w:rsid w:val="00520618"/>
    <w:rsid w:val="0052066F"/>
    <w:rsid w:val="00520690"/>
    <w:rsid w:val="00520746"/>
    <w:rsid w:val="005207A9"/>
    <w:rsid w:val="005207C6"/>
    <w:rsid w:val="00520812"/>
    <w:rsid w:val="0052081E"/>
    <w:rsid w:val="005208F2"/>
    <w:rsid w:val="005209E0"/>
    <w:rsid w:val="00520A34"/>
    <w:rsid w:val="00520A73"/>
    <w:rsid w:val="00520AF7"/>
    <w:rsid w:val="00520C19"/>
    <w:rsid w:val="00520DD8"/>
    <w:rsid w:val="00520E12"/>
    <w:rsid w:val="00520E80"/>
    <w:rsid w:val="00520EDB"/>
    <w:rsid w:val="00520F18"/>
    <w:rsid w:val="00520F23"/>
    <w:rsid w:val="00521004"/>
    <w:rsid w:val="00521042"/>
    <w:rsid w:val="005210D0"/>
    <w:rsid w:val="005211AF"/>
    <w:rsid w:val="00521211"/>
    <w:rsid w:val="00521280"/>
    <w:rsid w:val="005212D1"/>
    <w:rsid w:val="005212E2"/>
    <w:rsid w:val="0052133C"/>
    <w:rsid w:val="00521484"/>
    <w:rsid w:val="005214C6"/>
    <w:rsid w:val="00521557"/>
    <w:rsid w:val="005215C4"/>
    <w:rsid w:val="005215E6"/>
    <w:rsid w:val="00521636"/>
    <w:rsid w:val="00521640"/>
    <w:rsid w:val="0052165C"/>
    <w:rsid w:val="00521698"/>
    <w:rsid w:val="00521708"/>
    <w:rsid w:val="0052172C"/>
    <w:rsid w:val="00521767"/>
    <w:rsid w:val="005217B2"/>
    <w:rsid w:val="00521861"/>
    <w:rsid w:val="00521919"/>
    <w:rsid w:val="0052195B"/>
    <w:rsid w:val="005219B9"/>
    <w:rsid w:val="00521ACE"/>
    <w:rsid w:val="00521B54"/>
    <w:rsid w:val="00521C5F"/>
    <w:rsid w:val="00521C6B"/>
    <w:rsid w:val="00521C8A"/>
    <w:rsid w:val="00521CAD"/>
    <w:rsid w:val="00521CB1"/>
    <w:rsid w:val="00521CB9"/>
    <w:rsid w:val="00521D3E"/>
    <w:rsid w:val="00521DA6"/>
    <w:rsid w:val="00521FEA"/>
    <w:rsid w:val="00522020"/>
    <w:rsid w:val="00522064"/>
    <w:rsid w:val="005220A7"/>
    <w:rsid w:val="0052213F"/>
    <w:rsid w:val="0052215C"/>
    <w:rsid w:val="0052220D"/>
    <w:rsid w:val="00522223"/>
    <w:rsid w:val="0052226D"/>
    <w:rsid w:val="0052233A"/>
    <w:rsid w:val="0052235F"/>
    <w:rsid w:val="005223B6"/>
    <w:rsid w:val="00522450"/>
    <w:rsid w:val="00522492"/>
    <w:rsid w:val="005226BB"/>
    <w:rsid w:val="00522715"/>
    <w:rsid w:val="005227D5"/>
    <w:rsid w:val="00522935"/>
    <w:rsid w:val="00522936"/>
    <w:rsid w:val="0052293D"/>
    <w:rsid w:val="0052297E"/>
    <w:rsid w:val="005229BC"/>
    <w:rsid w:val="005229D6"/>
    <w:rsid w:val="00522A27"/>
    <w:rsid w:val="00522AE4"/>
    <w:rsid w:val="00522AFF"/>
    <w:rsid w:val="00522B69"/>
    <w:rsid w:val="00522B87"/>
    <w:rsid w:val="00522BB6"/>
    <w:rsid w:val="00522C37"/>
    <w:rsid w:val="00522EB0"/>
    <w:rsid w:val="00522EC6"/>
    <w:rsid w:val="00522EDA"/>
    <w:rsid w:val="00522F58"/>
    <w:rsid w:val="00522F67"/>
    <w:rsid w:val="00522FDE"/>
    <w:rsid w:val="00522FFF"/>
    <w:rsid w:val="00523067"/>
    <w:rsid w:val="00523071"/>
    <w:rsid w:val="005230C2"/>
    <w:rsid w:val="005230D8"/>
    <w:rsid w:val="00523207"/>
    <w:rsid w:val="0052330C"/>
    <w:rsid w:val="005233CA"/>
    <w:rsid w:val="0052348A"/>
    <w:rsid w:val="005234C5"/>
    <w:rsid w:val="00523504"/>
    <w:rsid w:val="00523521"/>
    <w:rsid w:val="00523565"/>
    <w:rsid w:val="0052358F"/>
    <w:rsid w:val="005235E5"/>
    <w:rsid w:val="00523755"/>
    <w:rsid w:val="005237B4"/>
    <w:rsid w:val="005238DA"/>
    <w:rsid w:val="005238EA"/>
    <w:rsid w:val="0052390A"/>
    <w:rsid w:val="00523915"/>
    <w:rsid w:val="005239C9"/>
    <w:rsid w:val="00523A9A"/>
    <w:rsid w:val="00523B15"/>
    <w:rsid w:val="00523D4E"/>
    <w:rsid w:val="00523D61"/>
    <w:rsid w:val="00523D74"/>
    <w:rsid w:val="00523E19"/>
    <w:rsid w:val="00523ECF"/>
    <w:rsid w:val="00523EE6"/>
    <w:rsid w:val="00523F3D"/>
    <w:rsid w:val="00523F82"/>
    <w:rsid w:val="00524007"/>
    <w:rsid w:val="00524100"/>
    <w:rsid w:val="00524151"/>
    <w:rsid w:val="00524159"/>
    <w:rsid w:val="0052415B"/>
    <w:rsid w:val="00524235"/>
    <w:rsid w:val="00524255"/>
    <w:rsid w:val="00524276"/>
    <w:rsid w:val="005242CF"/>
    <w:rsid w:val="005242F4"/>
    <w:rsid w:val="00524421"/>
    <w:rsid w:val="005244AA"/>
    <w:rsid w:val="0052453C"/>
    <w:rsid w:val="0052455A"/>
    <w:rsid w:val="005245B4"/>
    <w:rsid w:val="005245D5"/>
    <w:rsid w:val="005246F6"/>
    <w:rsid w:val="0052478A"/>
    <w:rsid w:val="005247C2"/>
    <w:rsid w:val="005248C8"/>
    <w:rsid w:val="005248D3"/>
    <w:rsid w:val="0052497F"/>
    <w:rsid w:val="00524B20"/>
    <w:rsid w:val="00524B5C"/>
    <w:rsid w:val="00524B7E"/>
    <w:rsid w:val="00524B83"/>
    <w:rsid w:val="00524CBE"/>
    <w:rsid w:val="00524CC0"/>
    <w:rsid w:val="00524D2F"/>
    <w:rsid w:val="00524D4F"/>
    <w:rsid w:val="00524D74"/>
    <w:rsid w:val="00524DA8"/>
    <w:rsid w:val="00524DB5"/>
    <w:rsid w:val="00524E31"/>
    <w:rsid w:val="00524F3A"/>
    <w:rsid w:val="00524FEF"/>
    <w:rsid w:val="00525013"/>
    <w:rsid w:val="00525021"/>
    <w:rsid w:val="005250D1"/>
    <w:rsid w:val="00525126"/>
    <w:rsid w:val="0052514B"/>
    <w:rsid w:val="0052520F"/>
    <w:rsid w:val="0052524B"/>
    <w:rsid w:val="00525346"/>
    <w:rsid w:val="0052536F"/>
    <w:rsid w:val="0052544D"/>
    <w:rsid w:val="0052545C"/>
    <w:rsid w:val="00525471"/>
    <w:rsid w:val="005254C8"/>
    <w:rsid w:val="00525526"/>
    <w:rsid w:val="0052558A"/>
    <w:rsid w:val="005255BE"/>
    <w:rsid w:val="00525666"/>
    <w:rsid w:val="0052567F"/>
    <w:rsid w:val="005256A4"/>
    <w:rsid w:val="005256B8"/>
    <w:rsid w:val="0052577F"/>
    <w:rsid w:val="005257EF"/>
    <w:rsid w:val="0052591A"/>
    <w:rsid w:val="00525952"/>
    <w:rsid w:val="005259D2"/>
    <w:rsid w:val="005259D9"/>
    <w:rsid w:val="00525B75"/>
    <w:rsid w:val="00525BEF"/>
    <w:rsid w:val="00525C02"/>
    <w:rsid w:val="00525C12"/>
    <w:rsid w:val="00525C4D"/>
    <w:rsid w:val="00525CBE"/>
    <w:rsid w:val="00525CDD"/>
    <w:rsid w:val="00525D7D"/>
    <w:rsid w:val="00525DFC"/>
    <w:rsid w:val="00525E28"/>
    <w:rsid w:val="00525E44"/>
    <w:rsid w:val="00525E75"/>
    <w:rsid w:val="00526019"/>
    <w:rsid w:val="00526086"/>
    <w:rsid w:val="005260AB"/>
    <w:rsid w:val="005260F5"/>
    <w:rsid w:val="0052610E"/>
    <w:rsid w:val="0052615B"/>
    <w:rsid w:val="0052618A"/>
    <w:rsid w:val="00526232"/>
    <w:rsid w:val="00526277"/>
    <w:rsid w:val="00526284"/>
    <w:rsid w:val="005262E8"/>
    <w:rsid w:val="0052632A"/>
    <w:rsid w:val="00526397"/>
    <w:rsid w:val="005263B1"/>
    <w:rsid w:val="005264BF"/>
    <w:rsid w:val="00526559"/>
    <w:rsid w:val="005266E8"/>
    <w:rsid w:val="005266E9"/>
    <w:rsid w:val="00526701"/>
    <w:rsid w:val="00526758"/>
    <w:rsid w:val="0052676B"/>
    <w:rsid w:val="0052687A"/>
    <w:rsid w:val="00526999"/>
    <w:rsid w:val="005269AA"/>
    <w:rsid w:val="00526B89"/>
    <w:rsid w:val="00526C70"/>
    <w:rsid w:val="00526D6D"/>
    <w:rsid w:val="00526DC1"/>
    <w:rsid w:val="00526E19"/>
    <w:rsid w:val="00526E6B"/>
    <w:rsid w:val="00526E72"/>
    <w:rsid w:val="00526EAA"/>
    <w:rsid w:val="00526EB6"/>
    <w:rsid w:val="00526F8B"/>
    <w:rsid w:val="00526F98"/>
    <w:rsid w:val="00526FC6"/>
    <w:rsid w:val="00527038"/>
    <w:rsid w:val="005270FC"/>
    <w:rsid w:val="0052715D"/>
    <w:rsid w:val="00527219"/>
    <w:rsid w:val="00527221"/>
    <w:rsid w:val="0052724E"/>
    <w:rsid w:val="005272D2"/>
    <w:rsid w:val="005272F9"/>
    <w:rsid w:val="0052730B"/>
    <w:rsid w:val="0052733F"/>
    <w:rsid w:val="0052734F"/>
    <w:rsid w:val="00527354"/>
    <w:rsid w:val="005273E6"/>
    <w:rsid w:val="005274BB"/>
    <w:rsid w:val="0052763D"/>
    <w:rsid w:val="0052767B"/>
    <w:rsid w:val="005276E4"/>
    <w:rsid w:val="00527702"/>
    <w:rsid w:val="00527743"/>
    <w:rsid w:val="005278EE"/>
    <w:rsid w:val="005278FE"/>
    <w:rsid w:val="00527943"/>
    <w:rsid w:val="005279D1"/>
    <w:rsid w:val="00527A39"/>
    <w:rsid w:val="00527AE1"/>
    <w:rsid w:val="00527AEB"/>
    <w:rsid w:val="00527B0D"/>
    <w:rsid w:val="00527C99"/>
    <w:rsid w:val="00527DA6"/>
    <w:rsid w:val="00527DCF"/>
    <w:rsid w:val="00527E42"/>
    <w:rsid w:val="00527E6F"/>
    <w:rsid w:val="00527FD3"/>
    <w:rsid w:val="00529CB7"/>
    <w:rsid w:val="0053001E"/>
    <w:rsid w:val="00530055"/>
    <w:rsid w:val="00530091"/>
    <w:rsid w:val="005300A5"/>
    <w:rsid w:val="00530114"/>
    <w:rsid w:val="0053011C"/>
    <w:rsid w:val="0053014A"/>
    <w:rsid w:val="00530185"/>
    <w:rsid w:val="00530211"/>
    <w:rsid w:val="0053022B"/>
    <w:rsid w:val="0053043F"/>
    <w:rsid w:val="0053047E"/>
    <w:rsid w:val="005304FE"/>
    <w:rsid w:val="0053058B"/>
    <w:rsid w:val="0053067E"/>
    <w:rsid w:val="00530688"/>
    <w:rsid w:val="005306A7"/>
    <w:rsid w:val="00530711"/>
    <w:rsid w:val="00530787"/>
    <w:rsid w:val="005307C8"/>
    <w:rsid w:val="0053086A"/>
    <w:rsid w:val="00530A66"/>
    <w:rsid w:val="00530AC2"/>
    <w:rsid w:val="00530B02"/>
    <w:rsid w:val="00530B42"/>
    <w:rsid w:val="00530BE3"/>
    <w:rsid w:val="00530BE5"/>
    <w:rsid w:val="00530C1C"/>
    <w:rsid w:val="00530C4B"/>
    <w:rsid w:val="00530E05"/>
    <w:rsid w:val="00530E09"/>
    <w:rsid w:val="00530F0E"/>
    <w:rsid w:val="00530F44"/>
    <w:rsid w:val="00530F64"/>
    <w:rsid w:val="00530FF5"/>
    <w:rsid w:val="0053107D"/>
    <w:rsid w:val="005310FD"/>
    <w:rsid w:val="00531110"/>
    <w:rsid w:val="0053119E"/>
    <w:rsid w:val="005311F0"/>
    <w:rsid w:val="0053123C"/>
    <w:rsid w:val="00531361"/>
    <w:rsid w:val="005313C6"/>
    <w:rsid w:val="005313E3"/>
    <w:rsid w:val="00531429"/>
    <w:rsid w:val="005315D3"/>
    <w:rsid w:val="005316F1"/>
    <w:rsid w:val="00531722"/>
    <w:rsid w:val="0053178A"/>
    <w:rsid w:val="0053180B"/>
    <w:rsid w:val="0053187A"/>
    <w:rsid w:val="00531932"/>
    <w:rsid w:val="00531965"/>
    <w:rsid w:val="00531988"/>
    <w:rsid w:val="00531A13"/>
    <w:rsid w:val="00531A61"/>
    <w:rsid w:val="00531A70"/>
    <w:rsid w:val="00531BAE"/>
    <w:rsid w:val="00531BBD"/>
    <w:rsid w:val="00531E0F"/>
    <w:rsid w:val="00531E42"/>
    <w:rsid w:val="00531E69"/>
    <w:rsid w:val="00531E70"/>
    <w:rsid w:val="00531E92"/>
    <w:rsid w:val="00531ED2"/>
    <w:rsid w:val="00531F20"/>
    <w:rsid w:val="00531F26"/>
    <w:rsid w:val="00532022"/>
    <w:rsid w:val="0053210D"/>
    <w:rsid w:val="00532115"/>
    <w:rsid w:val="00532208"/>
    <w:rsid w:val="00532262"/>
    <w:rsid w:val="0053230B"/>
    <w:rsid w:val="0053235D"/>
    <w:rsid w:val="00532497"/>
    <w:rsid w:val="005324FC"/>
    <w:rsid w:val="00532552"/>
    <w:rsid w:val="005325C2"/>
    <w:rsid w:val="0053260D"/>
    <w:rsid w:val="00532684"/>
    <w:rsid w:val="00532745"/>
    <w:rsid w:val="00532787"/>
    <w:rsid w:val="005327B9"/>
    <w:rsid w:val="0053287A"/>
    <w:rsid w:val="0053295A"/>
    <w:rsid w:val="00532967"/>
    <w:rsid w:val="005329B4"/>
    <w:rsid w:val="00532B91"/>
    <w:rsid w:val="00532C3F"/>
    <w:rsid w:val="00532E14"/>
    <w:rsid w:val="00532EE2"/>
    <w:rsid w:val="00532F54"/>
    <w:rsid w:val="00532F9C"/>
    <w:rsid w:val="00532FF3"/>
    <w:rsid w:val="005330CB"/>
    <w:rsid w:val="005330EB"/>
    <w:rsid w:val="00533180"/>
    <w:rsid w:val="005331F7"/>
    <w:rsid w:val="00533210"/>
    <w:rsid w:val="0053324B"/>
    <w:rsid w:val="0053326A"/>
    <w:rsid w:val="00533284"/>
    <w:rsid w:val="00533414"/>
    <w:rsid w:val="0053344D"/>
    <w:rsid w:val="005334C8"/>
    <w:rsid w:val="00533535"/>
    <w:rsid w:val="00533602"/>
    <w:rsid w:val="00533620"/>
    <w:rsid w:val="005336BD"/>
    <w:rsid w:val="00533709"/>
    <w:rsid w:val="00533720"/>
    <w:rsid w:val="00533746"/>
    <w:rsid w:val="0053374C"/>
    <w:rsid w:val="00533755"/>
    <w:rsid w:val="00533779"/>
    <w:rsid w:val="00533784"/>
    <w:rsid w:val="00533801"/>
    <w:rsid w:val="00533869"/>
    <w:rsid w:val="00533913"/>
    <w:rsid w:val="00533A30"/>
    <w:rsid w:val="00533A31"/>
    <w:rsid w:val="00533AC1"/>
    <w:rsid w:val="00533B01"/>
    <w:rsid w:val="00533B28"/>
    <w:rsid w:val="00533C08"/>
    <w:rsid w:val="00533C53"/>
    <w:rsid w:val="00533C80"/>
    <w:rsid w:val="00533D3B"/>
    <w:rsid w:val="00533DBA"/>
    <w:rsid w:val="00533DE8"/>
    <w:rsid w:val="00533E0C"/>
    <w:rsid w:val="00533E55"/>
    <w:rsid w:val="00533E62"/>
    <w:rsid w:val="00533F0E"/>
    <w:rsid w:val="00533F54"/>
    <w:rsid w:val="0053405A"/>
    <w:rsid w:val="00534067"/>
    <w:rsid w:val="005340C0"/>
    <w:rsid w:val="00534138"/>
    <w:rsid w:val="005342B5"/>
    <w:rsid w:val="005342D4"/>
    <w:rsid w:val="005342DC"/>
    <w:rsid w:val="005342FB"/>
    <w:rsid w:val="0053440E"/>
    <w:rsid w:val="00534456"/>
    <w:rsid w:val="00534488"/>
    <w:rsid w:val="005344CC"/>
    <w:rsid w:val="00534533"/>
    <w:rsid w:val="00534544"/>
    <w:rsid w:val="00534617"/>
    <w:rsid w:val="00534620"/>
    <w:rsid w:val="00534627"/>
    <w:rsid w:val="0053464D"/>
    <w:rsid w:val="00534692"/>
    <w:rsid w:val="005346D1"/>
    <w:rsid w:val="00534776"/>
    <w:rsid w:val="005347A8"/>
    <w:rsid w:val="005347CA"/>
    <w:rsid w:val="005347D9"/>
    <w:rsid w:val="005347EC"/>
    <w:rsid w:val="0053484A"/>
    <w:rsid w:val="00534914"/>
    <w:rsid w:val="0053499D"/>
    <w:rsid w:val="005349A6"/>
    <w:rsid w:val="005349C2"/>
    <w:rsid w:val="00534A19"/>
    <w:rsid w:val="00534A1E"/>
    <w:rsid w:val="00534A62"/>
    <w:rsid w:val="00534A83"/>
    <w:rsid w:val="00534AE7"/>
    <w:rsid w:val="00534B0A"/>
    <w:rsid w:val="00534C6A"/>
    <w:rsid w:val="00534D10"/>
    <w:rsid w:val="00534DF5"/>
    <w:rsid w:val="00534E46"/>
    <w:rsid w:val="00534E48"/>
    <w:rsid w:val="00534EBB"/>
    <w:rsid w:val="00534FAE"/>
    <w:rsid w:val="00534FC3"/>
    <w:rsid w:val="00535044"/>
    <w:rsid w:val="00535059"/>
    <w:rsid w:val="00535074"/>
    <w:rsid w:val="00535082"/>
    <w:rsid w:val="005350B6"/>
    <w:rsid w:val="005350D4"/>
    <w:rsid w:val="005350FC"/>
    <w:rsid w:val="0053517A"/>
    <w:rsid w:val="00535192"/>
    <w:rsid w:val="005351CD"/>
    <w:rsid w:val="005351DC"/>
    <w:rsid w:val="00535303"/>
    <w:rsid w:val="00535413"/>
    <w:rsid w:val="0053543B"/>
    <w:rsid w:val="00535454"/>
    <w:rsid w:val="005354A6"/>
    <w:rsid w:val="005354D8"/>
    <w:rsid w:val="005355AB"/>
    <w:rsid w:val="005355C5"/>
    <w:rsid w:val="005355DD"/>
    <w:rsid w:val="0053563E"/>
    <w:rsid w:val="005356E3"/>
    <w:rsid w:val="005356F8"/>
    <w:rsid w:val="005356FB"/>
    <w:rsid w:val="00535714"/>
    <w:rsid w:val="005358C1"/>
    <w:rsid w:val="005359AC"/>
    <w:rsid w:val="00535A21"/>
    <w:rsid w:val="00535A28"/>
    <w:rsid w:val="00535A2C"/>
    <w:rsid w:val="00535A5A"/>
    <w:rsid w:val="00535AAA"/>
    <w:rsid w:val="00535AC0"/>
    <w:rsid w:val="00535AC8"/>
    <w:rsid w:val="00535ADA"/>
    <w:rsid w:val="00535B12"/>
    <w:rsid w:val="00535B19"/>
    <w:rsid w:val="00535B59"/>
    <w:rsid w:val="00535B64"/>
    <w:rsid w:val="00535BA2"/>
    <w:rsid w:val="00535BB3"/>
    <w:rsid w:val="00535DD2"/>
    <w:rsid w:val="00535EB5"/>
    <w:rsid w:val="00535FD6"/>
    <w:rsid w:val="00536000"/>
    <w:rsid w:val="00536026"/>
    <w:rsid w:val="00536028"/>
    <w:rsid w:val="00536109"/>
    <w:rsid w:val="0053612E"/>
    <w:rsid w:val="00536179"/>
    <w:rsid w:val="00536199"/>
    <w:rsid w:val="005361B9"/>
    <w:rsid w:val="005361D4"/>
    <w:rsid w:val="005361ED"/>
    <w:rsid w:val="0053634D"/>
    <w:rsid w:val="005363B6"/>
    <w:rsid w:val="0053644C"/>
    <w:rsid w:val="00536506"/>
    <w:rsid w:val="00536522"/>
    <w:rsid w:val="005365A9"/>
    <w:rsid w:val="00536861"/>
    <w:rsid w:val="005368E4"/>
    <w:rsid w:val="0053692A"/>
    <w:rsid w:val="00536987"/>
    <w:rsid w:val="005369E5"/>
    <w:rsid w:val="005369F4"/>
    <w:rsid w:val="00536ACF"/>
    <w:rsid w:val="00536AF0"/>
    <w:rsid w:val="00536B81"/>
    <w:rsid w:val="00536BB1"/>
    <w:rsid w:val="00536BCD"/>
    <w:rsid w:val="00536BF5"/>
    <w:rsid w:val="00536C94"/>
    <w:rsid w:val="00536CC0"/>
    <w:rsid w:val="00536CE3"/>
    <w:rsid w:val="00536CE5"/>
    <w:rsid w:val="00536D0B"/>
    <w:rsid w:val="00536DE9"/>
    <w:rsid w:val="00536E23"/>
    <w:rsid w:val="00536E42"/>
    <w:rsid w:val="00536F12"/>
    <w:rsid w:val="00536F72"/>
    <w:rsid w:val="00536F7A"/>
    <w:rsid w:val="00536FD6"/>
    <w:rsid w:val="00536FE0"/>
    <w:rsid w:val="0053703A"/>
    <w:rsid w:val="0053704F"/>
    <w:rsid w:val="00537054"/>
    <w:rsid w:val="0053706C"/>
    <w:rsid w:val="0053712F"/>
    <w:rsid w:val="0053718B"/>
    <w:rsid w:val="0053718E"/>
    <w:rsid w:val="005372CE"/>
    <w:rsid w:val="0053740B"/>
    <w:rsid w:val="00537543"/>
    <w:rsid w:val="00537548"/>
    <w:rsid w:val="0053757A"/>
    <w:rsid w:val="005375CC"/>
    <w:rsid w:val="00537603"/>
    <w:rsid w:val="00537674"/>
    <w:rsid w:val="00537701"/>
    <w:rsid w:val="005377CE"/>
    <w:rsid w:val="005377F4"/>
    <w:rsid w:val="00537873"/>
    <w:rsid w:val="00537979"/>
    <w:rsid w:val="0053798E"/>
    <w:rsid w:val="00537B1A"/>
    <w:rsid w:val="00537B1D"/>
    <w:rsid w:val="00537B8A"/>
    <w:rsid w:val="00537C40"/>
    <w:rsid w:val="00537C5B"/>
    <w:rsid w:val="00537CB5"/>
    <w:rsid w:val="00537D24"/>
    <w:rsid w:val="00537D3F"/>
    <w:rsid w:val="00537D89"/>
    <w:rsid w:val="00537D8A"/>
    <w:rsid w:val="00537E33"/>
    <w:rsid w:val="00537E68"/>
    <w:rsid w:val="00537E81"/>
    <w:rsid w:val="00537EBB"/>
    <w:rsid w:val="00537F7F"/>
    <w:rsid w:val="00537FCC"/>
    <w:rsid w:val="00537FCE"/>
    <w:rsid w:val="00537FFC"/>
    <w:rsid w:val="00540026"/>
    <w:rsid w:val="0054004D"/>
    <w:rsid w:val="00540060"/>
    <w:rsid w:val="00540219"/>
    <w:rsid w:val="0054026B"/>
    <w:rsid w:val="005402E1"/>
    <w:rsid w:val="005402F8"/>
    <w:rsid w:val="005403B5"/>
    <w:rsid w:val="005404FF"/>
    <w:rsid w:val="00540560"/>
    <w:rsid w:val="00540642"/>
    <w:rsid w:val="0054066C"/>
    <w:rsid w:val="0054067C"/>
    <w:rsid w:val="0054069C"/>
    <w:rsid w:val="00540730"/>
    <w:rsid w:val="00540744"/>
    <w:rsid w:val="00540747"/>
    <w:rsid w:val="005407D3"/>
    <w:rsid w:val="005408BD"/>
    <w:rsid w:val="0054092F"/>
    <w:rsid w:val="00540958"/>
    <w:rsid w:val="0054095A"/>
    <w:rsid w:val="00540974"/>
    <w:rsid w:val="0054097F"/>
    <w:rsid w:val="00540991"/>
    <w:rsid w:val="00540A53"/>
    <w:rsid w:val="00540B7A"/>
    <w:rsid w:val="00540B97"/>
    <w:rsid w:val="00540D6C"/>
    <w:rsid w:val="00540DA4"/>
    <w:rsid w:val="00540E3C"/>
    <w:rsid w:val="00540E78"/>
    <w:rsid w:val="00540F40"/>
    <w:rsid w:val="00540F79"/>
    <w:rsid w:val="00540FAB"/>
    <w:rsid w:val="005411B2"/>
    <w:rsid w:val="00541285"/>
    <w:rsid w:val="005412A6"/>
    <w:rsid w:val="00541318"/>
    <w:rsid w:val="005413E3"/>
    <w:rsid w:val="00541603"/>
    <w:rsid w:val="00541650"/>
    <w:rsid w:val="00541769"/>
    <w:rsid w:val="005417A5"/>
    <w:rsid w:val="0054193B"/>
    <w:rsid w:val="00541974"/>
    <w:rsid w:val="005419B7"/>
    <w:rsid w:val="00541B1B"/>
    <w:rsid w:val="00541B4E"/>
    <w:rsid w:val="00541B53"/>
    <w:rsid w:val="00541B60"/>
    <w:rsid w:val="00541C7F"/>
    <w:rsid w:val="00541C91"/>
    <w:rsid w:val="00541E40"/>
    <w:rsid w:val="00541E46"/>
    <w:rsid w:val="00541F77"/>
    <w:rsid w:val="00541F8E"/>
    <w:rsid w:val="005420E8"/>
    <w:rsid w:val="005421F2"/>
    <w:rsid w:val="00542201"/>
    <w:rsid w:val="00542208"/>
    <w:rsid w:val="005422E4"/>
    <w:rsid w:val="00542353"/>
    <w:rsid w:val="00542407"/>
    <w:rsid w:val="00542419"/>
    <w:rsid w:val="0054242A"/>
    <w:rsid w:val="00542498"/>
    <w:rsid w:val="0054252F"/>
    <w:rsid w:val="00542560"/>
    <w:rsid w:val="00542583"/>
    <w:rsid w:val="005425F5"/>
    <w:rsid w:val="00542616"/>
    <w:rsid w:val="00542637"/>
    <w:rsid w:val="00542667"/>
    <w:rsid w:val="00542674"/>
    <w:rsid w:val="0054267B"/>
    <w:rsid w:val="0054269A"/>
    <w:rsid w:val="005426C9"/>
    <w:rsid w:val="0054281A"/>
    <w:rsid w:val="0054282C"/>
    <w:rsid w:val="005428C5"/>
    <w:rsid w:val="0054297B"/>
    <w:rsid w:val="00542A10"/>
    <w:rsid w:val="00542A13"/>
    <w:rsid w:val="00542A4F"/>
    <w:rsid w:val="00542A53"/>
    <w:rsid w:val="00542BB0"/>
    <w:rsid w:val="00542C3A"/>
    <w:rsid w:val="00542C73"/>
    <w:rsid w:val="00542D07"/>
    <w:rsid w:val="00542D6D"/>
    <w:rsid w:val="00542E82"/>
    <w:rsid w:val="00542EF5"/>
    <w:rsid w:val="00542F98"/>
    <w:rsid w:val="00542FB5"/>
    <w:rsid w:val="0054309C"/>
    <w:rsid w:val="005430C4"/>
    <w:rsid w:val="005430DB"/>
    <w:rsid w:val="005430E3"/>
    <w:rsid w:val="005431C5"/>
    <w:rsid w:val="005431E2"/>
    <w:rsid w:val="0054327E"/>
    <w:rsid w:val="005432D1"/>
    <w:rsid w:val="005432FA"/>
    <w:rsid w:val="0054331C"/>
    <w:rsid w:val="0054338C"/>
    <w:rsid w:val="0054341A"/>
    <w:rsid w:val="005434DA"/>
    <w:rsid w:val="005434FE"/>
    <w:rsid w:val="00543566"/>
    <w:rsid w:val="00543578"/>
    <w:rsid w:val="0054367A"/>
    <w:rsid w:val="00543816"/>
    <w:rsid w:val="005438A3"/>
    <w:rsid w:val="005438E1"/>
    <w:rsid w:val="0054390A"/>
    <w:rsid w:val="00543948"/>
    <w:rsid w:val="005439A3"/>
    <w:rsid w:val="00543AF7"/>
    <w:rsid w:val="00543BA0"/>
    <w:rsid w:val="00543BC7"/>
    <w:rsid w:val="00543C0E"/>
    <w:rsid w:val="00543C11"/>
    <w:rsid w:val="00543D35"/>
    <w:rsid w:val="00543D6F"/>
    <w:rsid w:val="00543F35"/>
    <w:rsid w:val="00543F42"/>
    <w:rsid w:val="00543F9D"/>
    <w:rsid w:val="00543F9F"/>
    <w:rsid w:val="00543FA8"/>
    <w:rsid w:val="00543FB8"/>
    <w:rsid w:val="00544055"/>
    <w:rsid w:val="005440E6"/>
    <w:rsid w:val="00544141"/>
    <w:rsid w:val="00544159"/>
    <w:rsid w:val="0054415B"/>
    <w:rsid w:val="0054417A"/>
    <w:rsid w:val="005442B1"/>
    <w:rsid w:val="005442E4"/>
    <w:rsid w:val="005442F5"/>
    <w:rsid w:val="005442FF"/>
    <w:rsid w:val="00544339"/>
    <w:rsid w:val="005443ED"/>
    <w:rsid w:val="00544686"/>
    <w:rsid w:val="005446AB"/>
    <w:rsid w:val="0054473D"/>
    <w:rsid w:val="00544780"/>
    <w:rsid w:val="005447D0"/>
    <w:rsid w:val="00544874"/>
    <w:rsid w:val="005448A0"/>
    <w:rsid w:val="005448BC"/>
    <w:rsid w:val="005448C1"/>
    <w:rsid w:val="005449D0"/>
    <w:rsid w:val="005449D6"/>
    <w:rsid w:val="00544AD1"/>
    <w:rsid w:val="00544BF6"/>
    <w:rsid w:val="00544C0D"/>
    <w:rsid w:val="00544C3D"/>
    <w:rsid w:val="00544E4C"/>
    <w:rsid w:val="00544EB2"/>
    <w:rsid w:val="00544ECC"/>
    <w:rsid w:val="00544FB5"/>
    <w:rsid w:val="00545068"/>
    <w:rsid w:val="00545140"/>
    <w:rsid w:val="00545180"/>
    <w:rsid w:val="0054523B"/>
    <w:rsid w:val="0054523E"/>
    <w:rsid w:val="005452C4"/>
    <w:rsid w:val="005452F2"/>
    <w:rsid w:val="005453A3"/>
    <w:rsid w:val="005453F6"/>
    <w:rsid w:val="0054553A"/>
    <w:rsid w:val="0054555C"/>
    <w:rsid w:val="00545658"/>
    <w:rsid w:val="005456E2"/>
    <w:rsid w:val="00545796"/>
    <w:rsid w:val="005457B7"/>
    <w:rsid w:val="0054581B"/>
    <w:rsid w:val="00545870"/>
    <w:rsid w:val="0054591E"/>
    <w:rsid w:val="00545A13"/>
    <w:rsid w:val="00545B9D"/>
    <w:rsid w:val="00545BB2"/>
    <w:rsid w:val="00545C2C"/>
    <w:rsid w:val="00545CFA"/>
    <w:rsid w:val="00545F2F"/>
    <w:rsid w:val="00545F74"/>
    <w:rsid w:val="00545FA0"/>
    <w:rsid w:val="00545FDB"/>
    <w:rsid w:val="00546093"/>
    <w:rsid w:val="00546123"/>
    <w:rsid w:val="00546131"/>
    <w:rsid w:val="00546152"/>
    <w:rsid w:val="005461A8"/>
    <w:rsid w:val="005461C2"/>
    <w:rsid w:val="005461E4"/>
    <w:rsid w:val="00546312"/>
    <w:rsid w:val="005463B7"/>
    <w:rsid w:val="005463EA"/>
    <w:rsid w:val="005463F8"/>
    <w:rsid w:val="0054640B"/>
    <w:rsid w:val="005464AC"/>
    <w:rsid w:val="005464D6"/>
    <w:rsid w:val="0054657B"/>
    <w:rsid w:val="005465B8"/>
    <w:rsid w:val="005465BB"/>
    <w:rsid w:val="005465D9"/>
    <w:rsid w:val="005466DB"/>
    <w:rsid w:val="0054672C"/>
    <w:rsid w:val="005467BB"/>
    <w:rsid w:val="005468A0"/>
    <w:rsid w:val="00546967"/>
    <w:rsid w:val="00546A88"/>
    <w:rsid w:val="00546ABF"/>
    <w:rsid w:val="00546B33"/>
    <w:rsid w:val="00546B58"/>
    <w:rsid w:val="00546CFD"/>
    <w:rsid w:val="00546D0D"/>
    <w:rsid w:val="00546D1F"/>
    <w:rsid w:val="00546D7E"/>
    <w:rsid w:val="00546EC2"/>
    <w:rsid w:val="00546F24"/>
    <w:rsid w:val="00547029"/>
    <w:rsid w:val="00547082"/>
    <w:rsid w:val="00547116"/>
    <w:rsid w:val="005471DE"/>
    <w:rsid w:val="00547226"/>
    <w:rsid w:val="005472DE"/>
    <w:rsid w:val="00547340"/>
    <w:rsid w:val="00547372"/>
    <w:rsid w:val="005473FB"/>
    <w:rsid w:val="0054746C"/>
    <w:rsid w:val="005474FE"/>
    <w:rsid w:val="005476CC"/>
    <w:rsid w:val="005476F4"/>
    <w:rsid w:val="0054772E"/>
    <w:rsid w:val="00547757"/>
    <w:rsid w:val="00547818"/>
    <w:rsid w:val="005478A0"/>
    <w:rsid w:val="005478FA"/>
    <w:rsid w:val="00547953"/>
    <w:rsid w:val="00547A0C"/>
    <w:rsid w:val="00547A1E"/>
    <w:rsid w:val="00547A4B"/>
    <w:rsid w:val="00547AF7"/>
    <w:rsid w:val="00547B2F"/>
    <w:rsid w:val="00547B7C"/>
    <w:rsid w:val="00547B82"/>
    <w:rsid w:val="00547CFB"/>
    <w:rsid w:val="00547DA8"/>
    <w:rsid w:val="00547E97"/>
    <w:rsid w:val="00547F0C"/>
    <w:rsid w:val="00547F56"/>
    <w:rsid w:val="00547F8D"/>
    <w:rsid w:val="00547FBE"/>
    <w:rsid w:val="00550104"/>
    <w:rsid w:val="00550114"/>
    <w:rsid w:val="005501CD"/>
    <w:rsid w:val="005501F9"/>
    <w:rsid w:val="00550201"/>
    <w:rsid w:val="0055030E"/>
    <w:rsid w:val="00550328"/>
    <w:rsid w:val="005503C0"/>
    <w:rsid w:val="005503D2"/>
    <w:rsid w:val="0055045B"/>
    <w:rsid w:val="00550460"/>
    <w:rsid w:val="00550465"/>
    <w:rsid w:val="00550566"/>
    <w:rsid w:val="005505CC"/>
    <w:rsid w:val="005505F2"/>
    <w:rsid w:val="005505F6"/>
    <w:rsid w:val="0055068C"/>
    <w:rsid w:val="005507F3"/>
    <w:rsid w:val="005508B5"/>
    <w:rsid w:val="005508C3"/>
    <w:rsid w:val="005508CE"/>
    <w:rsid w:val="005508F8"/>
    <w:rsid w:val="0055095D"/>
    <w:rsid w:val="00550993"/>
    <w:rsid w:val="005509A3"/>
    <w:rsid w:val="00550B01"/>
    <w:rsid w:val="00550B17"/>
    <w:rsid w:val="00550B8A"/>
    <w:rsid w:val="00550B91"/>
    <w:rsid w:val="00550B9D"/>
    <w:rsid w:val="00550CB8"/>
    <w:rsid w:val="00550CF0"/>
    <w:rsid w:val="00550E0C"/>
    <w:rsid w:val="00550E86"/>
    <w:rsid w:val="00550EC3"/>
    <w:rsid w:val="00550F29"/>
    <w:rsid w:val="00550F46"/>
    <w:rsid w:val="00550F7C"/>
    <w:rsid w:val="00550FFD"/>
    <w:rsid w:val="005510AF"/>
    <w:rsid w:val="005510C9"/>
    <w:rsid w:val="0055119D"/>
    <w:rsid w:val="005511C8"/>
    <w:rsid w:val="005511D2"/>
    <w:rsid w:val="00551227"/>
    <w:rsid w:val="00551254"/>
    <w:rsid w:val="005512F2"/>
    <w:rsid w:val="00551379"/>
    <w:rsid w:val="005513E1"/>
    <w:rsid w:val="005513E9"/>
    <w:rsid w:val="0055141D"/>
    <w:rsid w:val="00551531"/>
    <w:rsid w:val="0055155C"/>
    <w:rsid w:val="005515D6"/>
    <w:rsid w:val="005515E9"/>
    <w:rsid w:val="00551831"/>
    <w:rsid w:val="00551B75"/>
    <w:rsid w:val="00551BDC"/>
    <w:rsid w:val="00551C73"/>
    <w:rsid w:val="00551C84"/>
    <w:rsid w:val="00551C94"/>
    <w:rsid w:val="00551CE7"/>
    <w:rsid w:val="00551D8A"/>
    <w:rsid w:val="00551E6C"/>
    <w:rsid w:val="00551E8E"/>
    <w:rsid w:val="00551EFC"/>
    <w:rsid w:val="00551F6B"/>
    <w:rsid w:val="00551F72"/>
    <w:rsid w:val="00552059"/>
    <w:rsid w:val="00552155"/>
    <w:rsid w:val="005521AC"/>
    <w:rsid w:val="005521C1"/>
    <w:rsid w:val="00552768"/>
    <w:rsid w:val="00552834"/>
    <w:rsid w:val="00552891"/>
    <w:rsid w:val="00552899"/>
    <w:rsid w:val="005528F6"/>
    <w:rsid w:val="005528FA"/>
    <w:rsid w:val="005528FE"/>
    <w:rsid w:val="00552909"/>
    <w:rsid w:val="00552943"/>
    <w:rsid w:val="00552950"/>
    <w:rsid w:val="0055297F"/>
    <w:rsid w:val="005529AC"/>
    <w:rsid w:val="00552A35"/>
    <w:rsid w:val="00552ADC"/>
    <w:rsid w:val="00552AE9"/>
    <w:rsid w:val="00552B44"/>
    <w:rsid w:val="00552B71"/>
    <w:rsid w:val="00552BFD"/>
    <w:rsid w:val="00552DAA"/>
    <w:rsid w:val="00552DC2"/>
    <w:rsid w:val="00552E7A"/>
    <w:rsid w:val="00552EBC"/>
    <w:rsid w:val="00552FA3"/>
    <w:rsid w:val="00552FAD"/>
    <w:rsid w:val="00552FE7"/>
    <w:rsid w:val="00553055"/>
    <w:rsid w:val="0055307E"/>
    <w:rsid w:val="00553123"/>
    <w:rsid w:val="0055319F"/>
    <w:rsid w:val="00553204"/>
    <w:rsid w:val="00553222"/>
    <w:rsid w:val="00553303"/>
    <w:rsid w:val="00553308"/>
    <w:rsid w:val="00553380"/>
    <w:rsid w:val="00553426"/>
    <w:rsid w:val="0055343A"/>
    <w:rsid w:val="00553464"/>
    <w:rsid w:val="0055349A"/>
    <w:rsid w:val="005535B1"/>
    <w:rsid w:val="005535B5"/>
    <w:rsid w:val="005535CE"/>
    <w:rsid w:val="0055363F"/>
    <w:rsid w:val="00553671"/>
    <w:rsid w:val="005536A2"/>
    <w:rsid w:val="005536FF"/>
    <w:rsid w:val="00553730"/>
    <w:rsid w:val="005537AF"/>
    <w:rsid w:val="00553827"/>
    <w:rsid w:val="00553844"/>
    <w:rsid w:val="00553889"/>
    <w:rsid w:val="0055399A"/>
    <w:rsid w:val="00553AD0"/>
    <w:rsid w:val="00553B71"/>
    <w:rsid w:val="00553B8D"/>
    <w:rsid w:val="00553BF7"/>
    <w:rsid w:val="00553C04"/>
    <w:rsid w:val="00553CFF"/>
    <w:rsid w:val="00553D10"/>
    <w:rsid w:val="00553E0A"/>
    <w:rsid w:val="00553E25"/>
    <w:rsid w:val="00553E91"/>
    <w:rsid w:val="00553EA9"/>
    <w:rsid w:val="00553F1E"/>
    <w:rsid w:val="00553F53"/>
    <w:rsid w:val="00554064"/>
    <w:rsid w:val="0055406A"/>
    <w:rsid w:val="0055416D"/>
    <w:rsid w:val="005541B5"/>
    <w:rsid w:val="005543E2"/>
    <w:rsid w:val="0055442A"/>
    <w:rsid w:val="0055446A"/>
    <w:rsid w:val="0055448E"/>
    <w:rsid w:val="0055456B"/>
    <w:rsid w:val="005546E3"/>
    <w:rsid w:val="00554871"/>
    <w:rsid w:val="005548B7"/>
    <w:rsid w:val="0055499F"/>
    <w:rsid w:val="00554A48"/>
    <w:rsid w:val="00554A81"/>
    <w:rsid w:val="00554A87"/>
    <w:rsid w:val="00554AF5"/>
    <w:rsid w:val="00554B05"/>
    <w:rsid w:val="00554B4E"/>
    <w:rsid w:val="00554BB1"/>
    <w:rsid w:val="00554C53"/>
    <w:rsid w:val="00554C89"/>
    <w:rsid w:val="00554D3B"/>
    <w:rsid w:val="00554D7E"/>
    <w:rsid w:val="00554E50"/>
    <w:rsid w:val="00554E7C"/>
    <w:rsid w:val="00554EC5"/>
    <w:rsid w:val="00554ED1"/>
    <w:rsid w:val="00554F91"/>
    <w:rsid w:val="005551BF"/>
    <w:rsid w:val="00555237"/>
    <w:rsid w:val="0055526C"/>
    <w:rsid w:val="005553FA"/>
    <w:rsid w:val="0055540F"/>
    <w:rsid w:val="00555511"/>
    <w:rsid w:val="00555781"/>
    <w:rsid w:val="005557C9"/>
    <w:rsid w:val="005557E6"/>
    <w:rsid w:val="00555810"/>
    <w:rsid w:val="00555837"/>
    <w:rsid w:val="00555895"/>
    <w:rsid w:val="0055593E"/>
    <w:rsid w:val="00555977"/>
    <w:rsid w:val="005559B0"/>
    <w:rsid w:val="005559ED"/>
    <w:rsid w:val="005559F4"/>
    <w:rsid w:val="00555A11"/>
    <w:rsid w:val="00555A19"/>
    <w:rsid w:val="00555A63"/>
    <w:rsid w:val="00555B0F"/>
    <w:rsid w:val="00555BFC"/>
    <w:rsid w:val="00555C45"/>
    <w:rsid w:val="00555C67"/>
    <w:rsid w:val="00555C81"/>
    <w:rsid w:val="00555D4F"/>
    <w:rsid w:val="00555DAA"/>
    <w:rsid w:val="00555DCE"/>
    <w:rsid w:val="00555DD3"/>
    <w:rsid w:val="00555F44"/>
    <w:rsid w:val="00555F60"/>
    <w:rsid w:val="00556014"/>
    <w:rsid w:val="00556075"/>
    <w:rsid w:val="005560C9"/>
    <w:rsid w:val="00556121"/>
    <w:rsid w:val="00556254"/>
    <w:rsid w:val="005562DF"/>
    <w:rsid w:val="0055630E"/>
    <w:rsid w:val="0055633F"/>
    <w:rsid w:val="005563D4"/>
    <w:rsid w:val="0055647D"/>
    <w:rsid w:val="0055650C"/>
    <w:rsid w:val="005565B1"/>
    <w:rsid w:val="00556600"/>
    <w:rsid w:val="00556627"/>
    <w:rsid w:val="0055662B"/>
    <w:rsid w:val="00556659"/>
    <w:rsid w:val="00556679"/>
    <w:rsid w:val="005566C0"/>
    <w:rsid w:val="0055670C"/>
    <w:rsid w:val="0055677A"/>
    <w:rsid w:val="00556898"/>
    <w:rsid w:val="005568CD"/>
    <w:rsid w:val="0055694C"/>
    <w:rsid w:val="00556958"/>
    <w:rsid w:val="0055699E"/>
    <w:rsid w:val="005569F4"/>
    <w:rsid w:val="005569FD"/>
    <w:rsid w:val="00556A23"/>
    <w:rsid w:val="00556A3D"/>
    <w:rsid w:val="00556A45"/>
    <w:rsid w:val="00556A86"/>
    <w:rsid w:val="00556B7F"/>
    <w:rsid w:val="00556BC0"/>
    <w:rsid w:val="00556BFF"/>
    <w:rsid w:val="00556CEB"/>
    <w:rsid w:val="00556E02"/>
    <w:rsid w:val="00556E56"/>
    <w:rsid w:val="00556EB1"/>
    <w:rsid w:val="00556EFD"/>
    <w:rsid w:val="00556F30"/>
    <w:rsid w:val="00556F5C"/>
    <w:rsid w:val="00556F86"/>
    <w:rsid w:val="00556F9E"/>
    <w:rsid w:val="0055707B"/>
    <w:rsid w:val="0055707C"/>
    <w:rsid w:val="0055707E"/>
    <w:rsid w:val="005570BF"/>
    <w:rsid w:val="005571EF"/>
    <w:rsid w:val="005571FC"/>
    <w:rsid w:val="00557268"/>
    <w:rsid w:val="00557270"/>
    <w:rsid w:val="0055728C"/>
    <w:rsid w:val="005572B9"/>
    <w:rsid w:val="005572BC"/>
    <w:rsid w:val="0055733F"/>
    <w:rsid w:val="00557387"/>
    <w:rsid w:val="005573AC"/>
    <w:rsid w:val="00557563"/>
    <w:rsid w:val="005575A1"/>
    <w:rsid w:val="00557627"/>
    <w:rsid w:val="00557662"/>
    <w:rsid w:val="0055769C"/>
    <w:rsid w:val="0055769E"/>
    <w:rsid w:val="00557741"/>
    <w:rsid w:val="00557745"/>
    <w:rsid w:val="00557765"/>
    <w:rsid w:val="005577E9"/>
    <w:rsid w:val="00557833"/>
    <w:rsid w:val="00557886"/>
    <w:rsid w:val="00557894"/>
    <w:rsid w:val="00557919"/>
    <w:rsid w:val="00557A3A"/>
    <w:rsid w:val="00557AB2"/>
    <w:rsid w:val="00557ABB"/>
    <w:rsid w:val="00557BFE"/>
    <w:rsid w:val="00557C14"/>
    <w:rsid w:val="00557C75"/>
    <w:rsid w:val="00557C8F"/>
    <w:rsid w:val="00557D31"/>
    <w:rsid w:val="00557D3F"/>
    <w:rsid w:val="00557DFA"/>
    <w:rsid w:val="00557E5B"/>
    <w:rsid w:val="00557E91"/>
    <w:rsid w:val="00557EAD"/>
    <w:rsid w:val="00557F24"/>
    <w:rsid w:val="00557F2D"/>
    <w:rsid w:val="00557F3C"/>
    <w:rsid w:val="00557F8D"/>
    <w:rsid w:val="005592A9"/>
    <w:rsid w:val="0055D85D"/>
    <w:rsid w:val="00560132"/>
    <w:rsid w:val="0056016B"/>
    <w:rsid w:val="00560187"/>
    <w:rsid w:val="0056019D"/>
    <w:rsid w:val="005601F3"/>
    <w:rsid w:val="005602BC"/>
    <w:rsid w:val="005602F2"/>
    <w:rsid w:val="005603F1"/>
    <w:rsid w:val="005605EA"/>
    <w:rsid w:val="005605F1"/>
    <w:rsid w:val="0056065C"/>
    <w:rsid w:val="0056072F"/>
    <w:rsid w:val="005607A2"/>
    <w:rsid w:val="005607AF"/>
    <w:rsid w:val="005608F4"/>
    <w:rsid w:val="0056099B"/>
    <w:rsid w:val="00560A06"/>
    <w:rsid w:val="00560AF0"/>
    <w:rsid w:val="00560B20"/>
    <w:rsid w:val="00560B5B"/>
    <w:rsid w:val="00560B64"/>
    <w:rsid w:val="00560BD9"/>
    <w:rsid w:val="00560BEC"/>
    <w:rsid w:val="00560CCD"/>
    <w:rsid w:val="00560CDE"/>
    <w:rsid w:val="00560D45"/>
    <w:rsid w:val="00560D7D"/>
    <w:rsid w:val="00560DC6"/>
    <w:rsid w:val="00560E19"/>
    <w:rsid w:val="00560E73"/>
    <w:rsid w:val="00560E7F"/>
    <w:rsid w:val="00560E86"/>
    <w:rsid w:val="00560EAB"/>
    <w:rsid w:val="00560F70"/>
    <w:rsid w:val="0056104C"/>
    <w:rsid w:val="0056107C"/>
    <w:rsid w:val="005610ED"/>
    <w:rsid w:val="005610F1"/>
    <w:rsid w:val="0056119F"/>
    <w:rsid w:val="00561203"/>
    <w:rsid w:val="00561236"/>
    <w:rsid w:val="0056124C"/>
    <w:rsid w:val="00561261"/>
    <w:rsid w:val="0056127E"/>
    <w:rsid w:val="005612A9"/>
    <w:rsid w:val="00561365"/>
    <w:rsid w:val="00561391"/>
    <w:rsid w:val="0056139B"/>
    <w:rsid w:val="00561435"/>
    <w:rsid w:val="0056143F"/>
    <w:rsid w:val="0056151D"/>
    <w:rsid w:val="00561593"/>
    <w:rsid w:val="00561701"/>
    <w:rsid w:val="0056179E"/>
    <w:rsid w:val="00561933"/>
    <w:rsid w:val="00561969"/>
    <w:rsid w:val="00561A9D"/>
    <w:rsid w:val="00561AAD"/>
    <w:rsid w:val="00561AFC"/>
    <w:rsid w:val="00561CF8"/>
    <w:rsid w:val="00561D41"/>
    <w:rsid w:val="00561DA5"/>
    <w:rsid w:val="00561DA8"/>
    <w:rsid w:val="00561DD2"/>
    <w:rsid w:val="00561EBC"/>
    <w:rsid w:val="00561EC3"/>
    <w:rsid w:val="00561F53"/>
    <w:rsid w:val="00561F97"/>
    <w:rsid w:val="00561FD8"/>
    <w:rsid w:val="005620BC"/>
    <w:rsid w:val="00562174"/>
    <w:rsid w:val="0056226F"/>
    <w:rsid w:val="00562285"/>
    <w:rsid w:val="00562317"/>
    <w:rsid w:val="00562382"/>
    <w:rsid w:val="00562404"/>
    <w:rsid w:val="00562425"/>
    <w:rsid w:val="0056258F"/>
    <w:rsid w:val="005625C1"/>
    <w:rsid w:val="005625EF"/>
    <w:rsid w:val="00562672"/>
    <w:rsid w:val="005626A1"/>
    <w:rsid w:val="005626C9"/>
    <w:rsid w:val="005626DC"/>
    <w:rsid w:val="0056278B"/>
    <w:rsid w:val="00562814"/>
    <w:rsid w:val="00562855"/>
    <w:rsid w:val="00562863"/>
    <w:rsid w:val="005628AD"/>
    <w:rsid w:val="00562936"/>
    <w:rsid w:val="00562962"/>
    <w:rsid w:val="00562994"/>
    <w:rsid w:val="00562995"/>
    <w:rsid w:val="005629FD"/>
    <w:rsid w:val="00562AD8"/>
    <w:rsid w:val="00562C36"/>
    <w:rsid w:val="00562D7D"/>
    <w:rsid w:val="00562D7F"/>
    <w:rsid w:val="00562E1B"/>
    <w:rsid w:val="00562F04"/>
    <w:rsid w:val="00562F35"/>
    <w:rsid w:val="00562FAE"/>
    <w:rsid w:val="00563019"/>
    <w:rsid w:val="00563120"/>
    <w:rsid w:val="0056323E"/>
    <w:rsid w:val="0056326A"/>
    <w:rsid w:val="005632A2"/>
    <w:rsid w:val="005632F0"/>
    <w:rsid w:val="00563303"/>
    <w:rsid w:val="0056336C"/>
    <w:rsid w:val="00563415"/>
    <w:rsid w:val="00563449"/>
    <w:rsid w:val="00563513"/>
    <w:rsid w:val="00563559"/>
    <w:rsid w:val="00563598"/>
    <w:rsid w:val="005636BB"/>
    <w:rsid w:val="005636D9"/>
    <w:rsid w:val="005636DE"/>
    <w:rsid w:val="00563765"/>
    <w:rsid w:val="005637A5"/>
    <w:rsid w:val="005637B3"/>
    <w:rsid w:val="005637FB"/>
    <w:rsid w:val="005638D5"/>
    <w:rsid w:val="00563980"/>
    <w:rsid w:val="00563AD1"/>
    <w:rsid w:val="00563AFA"/>
    <w:rsid w:val="00563B4B"/>
    <w:rsid w:val="00563BC8"/>
    <w:rsid w:val="00563CA2"/>
    <w:rsid w:val="00563D39"/>
    <w:rsid w:val="00563D44"/>
    <w:rsid w:val="00563E12"/>
    <w:rsid w:val="00563E72"/>
    <w:rsid w:val="00563E92"/>
    <w:rsid w:val="00563ED2"/>
    <w:rsid w:val="00563F9F"/>
    <w:rsid w:val="00563FF5"/>
    <w:rsid w:val="0056408E"/>
    <w:rsid w:val="005640A4"/>
    <w:rsid w:val="0056412D"/>
    <w:rsid w:val="0056422D"/>
    <w:rsid w:val="005642CE"/>
    <w:rsid w:val="0056436D"/>
    <w:rsid w:val="005644A9"/>
    <w:rsid w:val="005644B7"/>
    <w:rsid w:val="005645B1"/>
    <w:rsid w:val="005645CC"/>
    <w:rsid w:val="005645EF"/>
    <w:rsid w:val="00564606"/>
    <w:rsid w:val="005646E8"/>
    <w:rsid w:val="00564700"/>
    <w:rsid w:val="00564958"/>
    <w:rsid w:val="0056496F"/>
    <w:rsid w:val="005649C9"/>
    <w:rsid w:val="005649DB"/>
    <w:rsid w:val="00564A6E"/>
    <w:rsid w:val="00564B23"/>
    <w:rsid w:val="00564B2E"/>
    <w:rsid w:val="00564C53"/>
    <w:rsid w:val="00564D1D"/>
    <w:rsid w:val="00564EA9"/>
    <w:rsid w:val="00565026"/>
    <w:rsid w:val="00565100"/>
    <w:rsid w:val="00565209"/>
    <w:rsid w:val="00565300"/>
    <w:rsid w:val="0056537C"/>
    <w:rsid w:val="00565430"/>
    <w:rsid w:val="00565507"/>
    <w:rsid w:val="00565547"/>
    <w:rsid w:val="005655DB"/>
    <w:rsid w:val="00565602"/>
    <w:rsid w:val="00565657"/>
    <w:rsid w:val="00565677"/>
    <w:rsid w:val="005656E4"/>
    <w:rsid w:val="00565731"/>
    <w:rsid w:val="005657F2"/>
    <w:rsid w:val="00565857"/>
    <w:rsid w:val="00565870"/>
    <w:rsid w:val="005658BC"/>
    <w:rsid w:val="005658F8"/>
    <w:rsid w:val="00565924"/>
    <w:rsid w:val="00565935"/>
    <w:rsid w:val="0056593A"/>
    <w:rsid w:val="005659C0"/>
    <w:rsid w:val="00565A00"/>
    <w:rsid w:val="00565A2F"/>
    <w:rsid w:val="00565ABE"/>
    <w:rsid w:val="00565B15"/>
    <w:rsid w:val="00565B46"/>
    <w:rsid w:val="00565BB3"/>
    <w:rsid w:val="00565BC2"/>
    <w:rsid w:val="00565BEE"/>
    <w:rsid w:val="00565C02"/>
    <w:rsid w:val="00565C53"/>
    <w:rsid w:val="00565CE8"/>
    <w:rsid w:val="00565D08"/>
    <w:rsid w:val="00565D33"/>
    <w:rsid w:val="00565D46"/>
    <w:rsid w:val="00565E15"/>
    <w:rsid w:val="00565F0E"/>
    <w:rsid w:val="00565F34"/>
    <w:rsid w:val="00566172"/>
    <w:rsid w:val="00566244"/>
    <w:rsid w:val="005662DB"/>
    <w:rsid w:val="00566329"/>
    <w:rsid w:val="00566477"/>
    <w:rsid w:val="0056650A"/>
    <w:rsid w:val="0056652E"/>
    <w:rsid w:val="00566607"/>
    <w:rsid w:val="005666BE"/>
    <w:rsid w:val="00566714"/>
    <w:rsid w:val="0056676B"/>
    <w:rsid w:val="0056684D"/>
    <w:rsid w:val="005669C7"/>
    <w:rsid w:val="005669D4"/>
    <w:rsid w:val="00566BE6"/>
    <w:rsid w:val="00566C1A"/>
    <w:rsid w:val="00566CE9"/>
    <w:rsid w:val="00566D66"/>
    <w:rsid w:val="00566D6F"/>
    <w:rsid w:val="00566DF2"/>
    <w:rsid w:val="00566E15"/>
    <w:rsid w:val="00566E52"/>
    <w:rsid w:val="00566E68"/>
    <w:rsid w:val="00566EB6"/>
    <w:rsid w:val="00567072"/>
    <w:rsid w:val="0056713A"/>
    <w:rsid w:val="00567311"/>
    <w:rsid w:val="00567351"/>
    <w:rsid w:val="00567399"/>
    <w:rsid w:val="005673F6"/>
    <w:rsid w:val="005674B2"/>
    <w:rsid w:val="005674FC"/>
    <w:rsid w:val="005674FE"/>
    <w:rsid w:val="005675FE"/>
    <w:rsid w:val="00567624"/>
    <w:rsid w:val="005676BE"/>
    <w:rsid w:val="005676E6"/>
    <w:rsid w:val="005677F0"/>
    <w:rsid w:val="0056783F"/>
    <w:rsid w:val="00567919"/>
    <w:rsid w:val="0056799E"/>
    <w:rsid w:val="005679F5"/>
    <w:rsid w:val="00567A24"/>
    <w:rsid w:val="00567A2C"/>
    <w:rsid w:val="00567A52"/>
    <w:rsid w:val="00567A89"/>
    <w:rsid w:val="00567B08"/>
    <w:rsid w:val="00567C94"/>
    <w:rsid w:val="00567CAA"/>
    <w:rsid w:val="00567CDB"/>
    <w:rsid w:val="00567D1C"/>
    <w:rsid w:val="00567DB6"/>
    <w:rsid w:val="00567DF4"/>
    <w:rsid w:val="00567DFA"/>
    <w:rsid w:val="00567EB2"/>
    <w:rsid w:val="00567F17"/>
    <w:rsid w:val="0056BDF9"/>
    <w:rsid w:val="00570005"/>
    <w:rsid w:val="0057007E"/>
    <w:rsid w:val="00570095"/>
    <w:rsid w:val="005700E2"/>
    <w:rsid w:val="00570131"/>
    <w:rsid w:val="00570159"/>
    <w:rsid w:val="0057015C"/>
    <w:rsid w:val="0057015E"/>
    <w:rsid w:val="005701D2"/>
    <w:rsid w:val="005701E4"/>
    <w:rsid w:val="0057034A"/>
    <w:rsid w:val="005703C1"/>
    <w:rsid w:val="005703D7"/>
    <w:rsid w:val="005703EB"/>
    <w:rsid w:val="005704A7"/>
    <w:rsid w:val="005706EB"/>
    <w:rsid w:val="00570886"/>
    <w:rsid w:val="005708B1"/>
    <w:rsid w:val="005708CD"/>
    <w:rsid w:val="005708E6"/>
    <w:rsid w:val="00570938"/>
    <w:rsid w:val="00570969"/>
    <w:rsid w:val="00570A14"/>
    <w:rsid w:val="00570A57"/>
    <w:rsid w:val="00570A6C"/>
    <w:rsid w:val="00570CA9"/>
    <w:rsid w:val="00570CAF"/>
    <w:rsid w:val="00570E01"/>
    <w:rsid w:val="00570E07"/>
    <w:rsid w:val="00570E10"/>
    <w:rsid w:val="00570E40"/>
    <w:rsid w:val="00570E57"/>
    <w:rsid w:val="00570EDD"/>
    <w:rsid w:val="00570EFB"/>
    <w:rsid w:val="00571035"/>
    <w:rsid w:val="00571079"/>
    <w:rsid w:val="005710AD"/>
    <w:rsid w:val="00571197"/>
    <w:rsid w:val="005712CF"/>
    <w:rsid w:val="00571306"/>
    <w:rsid w:val="005713A4"/>
    <w:rsid w:val="00571402"/>
    <w:rsid w:val="00571458"/>
    <w:rsid w:val="0057151D"/>
    <w:rsid w:val="0057167D"/>
    <w:rsid w:val="0057169C"/>
    <w:rsid w:val="005716CB"/>
    <w:rsid w:val="005716F9"/>
    <w:rsid w:val="005717C8"/>
    <w:rsid w:val="00571826"/>
    <w:rsid w:val="0057184A"/>
    <w:rsid w:val="005718E4"/>
    <w:rsid w:val="00571952"/>
    <w:rsid w:val="00571A89"/>
    <w:rsid w:val="00571B7E"/>
    <w:rsid w:val="00571BF0"/>
    <w:rsid w:val="00571C1D"/>
    <w:rsid w:val="00571C6D"/>
    <w:rsid w:val="00571DA5"/>
    <w:rsid w:val="00571DFF"/>
    <w:rsid w:val="00571E5A"/>
    <w:rsid w:val="00571E6E"/>
    <w:rsid w:val="00571E71"/>
    <w:rsid w:val="00571EDB"/>
    <w:rsid w:val="00572057"/>
    <w:rsid w:val="005720A4"/>
    <w:rsid w:val="005720AD"/>
    <w:rsid w:val="005720F1"/>
    <w:rsid w:val="00572115"/>
    <w:rsid w:val="00572144"/>
    <w:rsid w:val="005721EF"/>
    <w:rsid w:val="00572203"/>
    <w:rsid w:val="0057221A"/>
    <w:rsid w:val="00572291"/>
    <w:rsid w:val="00572383"/>
    <w:rsid w:val="00572564"/>
    <w:rsid w:val="00572591"/>
    <w:rsid w:val="00572609"/>
    <w:rsid w:val="00572632"/>
    <w:rsid w:val="00572638"/>
    <w:rsid w:val="00572650"/>
    <w:rsid w:val="0057267C"/>
    <w:rsid w:val="005726C5"/>
    <w:rsid w:val="00572700"/>
    <w:rsid w:val="005727B7"/>
    <w:rsid w:val="0057282E"/>
    <w:rsid w:val="005728BD"/>
    <w:rsid w:val="005728D6"/>
    <w:rsid w:val="00572941"/>
    <w:rsid w:val="005729AE"/>
    <w:rsid w:val="005729B1"/>
    <w:rsid w:val="005729E3"/>
    <w:rsid w:val="00572A01"/>
    <w:rsid w:val="00572A0B"/>
    <w:rsid w:val="00572A4E"/>
    <w:rsid w:val="00572B4C"/>
    <w:rsid w:val="00572BC9"/>
    <w:rsid w:val="00572BD2"/>
    <w:rsid w:val="00572CD3"/>
    <w:rsid w:val="00572CD5"/>
    <w:rsid w:val="00572D1A"/>
    <w:rsid w:val="00572D7A"/>
    <w:rsid w:val="00572E42"/>
    <w:rsid w:val="00572EB2"/>
    <w:rsid w:val="00572F26"/>
    <w:rsid w:val="00572F50"/>
    <w:rsid w:val="00572FBA"/>
    <w:rsid w:val="00572FC1"/>
    <w:rsid w:val="00572FF0"/>
    <w:rsid w:val="0057301B"/>
    <w:rsid w:val="00573023"/>
    <w:rsid w:val="00573037"/>
    <w:rsid w:val="005730B5"/>
    <w:rsid w:val="0057313A"/>
    <w:rsid w:val="0057313D"/>
    <w:rsid w:val="00573166"/>
    <w:rsid w:val="00573279"/>
    <w:rsid w:val="0057332A"/>
    <w:rsid w:val="00573379"/>
    <w:rsid w:val="005733C6"/>
    <w:rsid w:val="005733ED"/>
    <w:rsid w:val="00573428"/>
    <w:rsid w:val="00573438"/>
    <w:rsid w:val="005734D6"/>
    <w:rsid w:val="00573524"/>
    <w:rsid w:val="0057362B"/>
    <w:rsid w:val="00573643"/>
    <w:rsid w:val="00573686"/>
    <w:rsid w:val="00573693"/>
    <w:rsid w:val="005736DA"/>
    <w:rsid w:val="0057371E"/>
    <w:rsid w:val="00573734"/>
    <w:rsid w:val="0057382D"/>
    <w:rsid w:val="00573851"/>
    <w:rsid w:val="00573917"/>
    <w:rsid w:val="00573922"/>
    <w:rsid w:val="00573925"/>
    <w:rsid w:val="00573A93"/>
    <w:rsid w:val="00573AC7"/>
    <w:rsid w:val="00573AD7"/>
    <w:rsid w:val="00573BF0"/>
    <w:rsid w:val="00573C2A"/>
    <w:rsid w:val="00573C3D"/>
    <w:rsid w:val="00573D9F"/>
    <w:rsid w:val="00573E36"/>
    <w:rsid w:val="00573E8D"/>
    <w:rsid w:val="00573FD4"/>
    <w:rsid w:val="00573FD7"/>
    <w:rsid w:val="00574022"/>
    <w:rsid w:val="00574053"/>
    <w:rsid w:val="00574069"/>
    <w:rsid w:val="0057410C"/>
    <w:rsid w:val="00574134"/>
    <w:rsid w:val="005741C6"/>
    <w:rsid w:val="0057428E"/>
    <w:rsid w:val="00574313"/>
    <w:rsid w:val="00574393"/>
    <w:rsid w:val="005743DB"/>
    <w:rsid w:val="0057441C"/>
    <w:rsid w:val="00574441"/>
    <w:rsid w:val="0057444E"/>
    <w:rsid w:val="00574466"/>
    <w:rsid w:val="005744A5"/>
    <w:rsid w:val="005744FD"/>
    <w:rsid w:val="0057450D"/>
    <w:rsid w:val="00574554"/>
    <w:rsid w:val="005746D4"/>
    <w:rsid w:val="005746DE"/>
    <w:rsid w:val="0057488F"/>
    <w:rsid w:val="005748F3"/>
    <w:rsid w:val="00574915"/>
    <w:rsid w:val="0057497F"/>
    <w:rsid w:val="00574996"/>
    <w:rsid w:val="00574A36"/>
    <w:rsid w:val="00574A54"/>
    <w:rsid w:val="00574B6C"/>
    <w:rsid w:val="00574B73"/>
    <w:rsid w:val="00574DF8"/>
    <w:rsid w:val="00574E25"/>
    <w:rsid w:val="00574E53"/>
    <w:rsid w:val="00574F16"/>
    <w:rsid w:val="00574F4C"/>
    <w:rsid w:val="00574F62"/>
    <w:rsid w:val="00574F99"/>
    <w:rsid w:val="0057504C"/>
    <w:rsid w:val="0057507A"/>
    <w:rsid w:val="00575158"/>
    <w:rsid w:val="005751AA"/>
    <w:rsid w:val="0057527C"/>
    <w:rsid w:val="005752CE"/>
    <w:rsid w:val="005753D5"/>
    <w:rsid w:val="005754B6"/>
    <w:rsid w:val="005754BE"/>
    <w:rsid w:val="005754F5"/>
    <w:rsid w:val="00575568"/>
    <w:rsid w:val="005755AB"/>
    <w:rsid w:val="005755C8"/>
    <w:rsid w:val="00575648"/>
    <w:rsid w:val="00575727"/>
    <w:rsid w:val="00575761"/>
    <w:rsid w:val="00575763"/>
    <w:rsid w:val="00575764"/>
    <w:rsid w:val="00575811"/>
    <w:rsid w:val="00575813"/>
    <w:rsid w:val="00575821"/>
    <w:rsid w:val="0057585F"/>
    <w:rsid w:val="00575989"/>
    <w:rsid w:val="00575992"/>
    <w:rsid w:val="005759BE"/>
    <w:rsid w:val="005759DB"/>
    <w:rsid w:val="005759EE"/>
    <w:rsid w:val="00575A0F"/>
    <w:rsid w:val="00575ACF"/>
    <w:rsid w:val="00575B7F"/>
    <w:rsid w:val="00575C83"/>
    <w:rsid w:val="00575CB9"/>
    <w:rsid w:val="00575D72"/>
    <w:rsid w:val="00575E65"/>
    <w:rsid w:val="00575E8E"/>
    <w:rsid w:val="00575EB7"/>
    <w:rsid w:val="00575F14"/>
    <w:rsid w:val="00575F39"/>
    <w:rsid w:val="00575F73"/>
    <w:rsid w:val="00575FFB"/>
    <w:rsid w:val="00576056"/>
    <w:rsid w:val="0057628B"/>
    <w:rsid w:val="0057628E"/>
    <w:rsid w:val="00576413"/>
    <w:rsid w:val="0057642B"/>
    <w:rsid w:val="00576755"/>
    <w:rsid w:val="0057683E"/>
    <w:rsid w:val="005768C9"/>
    <w:rsid w:val="005768E3"/>
    <w:rsid w:val="005769A9"/>
    <w:rsid w:val="005769CA"/>
    <w:rsid w:val="00576A17"/>
    <w:rsid w:val="00576A78"/>
    <w:rsid w:val="00576ADF"/>
    <w:rsid w:val="00576B9D"/>
    <w:rsid w:val="00576BF5"/>
    <w:rsid w:val="00576BFE"/>
    <w:rsid w:val="00576C01"/>
    <w:rsid w:val="00576C6C"/>
    <w:rsid w:val="00576C94"/>
    <w:rsid w:val="00576D4D"/>
    <w:rsid w:val="00576D87"/>
    <w:rsid w:val="00576DA1"/>
    <w:rsid w:val="00576DEC"/>
    <w:rsid w:val="00576DF3"/>
    <w:rsid w:val="00576E65"/>
    <w:rsid w:val="00576E6F"/>
    <w:rsid w:val="00576F98"/>
    <w:rsid w:val="00577032"/>
    <w:rsid w:val="005770DF"/>
    <w:rsid w:val="005771A0"/>
    <w:rsid w:val="005771AC"/>
    <w:rsid w:val="005771B0"/>
    <w:rsid w:val="00577224"/>
    <w:rsid w:val="00577229"/>
    <w:rsid w:val="0057726E"/>
    <w:rsid w:val="00577277"/>
    <w:rsid w:val="005772FA"/>
    <w:rsid w:val="0057734B"/>
    <w:rsid w:val="00577386"/>
    <w:rsid w:val="0057748B"/>
    <w:rsid w:val="005774AE"/>
    <w:rsid w:val="005775EB"/>
    <w:rsid w:val="005777E0"/>
    <w:rsid w:val="00577875"/>
    <w:rsid w:val="0057787B"/>
    <w:rsid w:val="005778F9"/>
    <w:rsid w:val="00577910"/>
    <w:rsid w:val="00577A0D"/>
    <w:rsid w:val="00577ABF"/>
    <w:rsid w:val="00577BA1"/>
    <w:rsid w:val="00577C10"/>
    <w:rsid w:val="00577CCC"/>
    <w:rsid w:val="00577D15"/>
    <w:rsid w:val="00577D66"/>
    <w:rsid w:val="00577DDB"/>
    <w:rsid w:val="00577E70"/>
    <w:rsid w:val="00577EBE"/>
    <w:rsid w:val="00577EFC"/>
    <w:rsid w:val="00577FB6"/>
    <w:rsid w:val="00577FC8"/>
    <w:rsid w:val="00577FDF"/>
    <w:rsid w:val="00580159"/>
    <w:rsid w:val="005801C1"/>
    <w:rsid w:val="005801FB"/>
    <w:rsid w:val="0058021D"/>
    <w:rsid w:val="00580262"/>
    <w:rsid w:val="005802C1"/>
    <w:rsid w:val="005802CE"/>
    <w:rsid w:val="005802FC"/>
    <w:rsid w:val="00580303"/>
    <w:rsid w:val="00580377"/>
    <w:rsid w:val="005804AD"/>
    <w:rsid w:val="005804C8"/>
    <w:rsid w:val="00580582"/>
    <w:rsid w:val="00580590"/>
    <w:rsid w:val="00580614"/>
    <w:rsid w:val="00580615"/>
    <w:rsid w:val="005806C7"/>
    <w:rsid w:val="00580764"/>
    <w:rsid w:val="00580803"/>
    <w:rsid w:val="005808B9"/>
    <w:rsid w:val="005808D5"/>
    <w:rsid w:val="0058092C"/>
    <w:rsid w:val="005809DB"/>
    <w:rsid w:val="005809EF"/>
    <w:rsid w:val="00580AD4"/>
    <w:rsid w:val="00580B07"/>
    <w:rsid w:val="00580B40"/>
    <w:rsid w:val="00580CC1"/>
    <w:rsid w:val="00580DCC"/>
    <w:rsid w:val="00580DFC"/>
    <w:rsid w:val="00580E4B"/>
    <w:rsid w:val="00580EE5"/>
    <w:rsid w:val="00580F80"/>
    <w:rsid w:val="005810ED"/>
    <w:rsid w:val="00581155"/>
    <w:rsid w:val="00581161"/>
    <w:rsid w:val="005811D0"/>
    <w:rsid w:val="005812CD"/>
    <w:rsid w:val="005812F8"/>
    <w:rsid w:val="0058130B"/>
    <w:rsid w:val="00581333"/>
    <w:rsid w:val="005813D3"/>
    <w:rsid w:val="0058143F"/>
    <w:rsid w:val="0058147F"/>
    <w:rsid w:val="00581485"/>
    <w:rsid w:val="00581488"/>
    <w:rsid w:val="0058150B"/>
    <w:rsid w:val="005815A8"/>
    <w:rsid w:val="005815BE"/>
    <w:rsid w:val="00581628"/>
    <w:rsid w:val="0058176D"/>
    <w:rsid w:val="00581899"/>
    <w:rsid w:val="005818DF"/>
    <w:rsid w:val="00581937"/>
    <w:rsid w:val="0058194F"/>
    <w:rsid w:val="0058196D"/>
    <w:rsid w:val="00581985"/>
    <w:rsid w:val="00581987"/>
    <w:rsid w:val="005819CC"/>
    <w:rsid w:val="00581B43"/>
    <w:rsid w:val="00581C53"/>
    <w:rsid w:val="00581CCE"/>
    <w:rsid w:val="00581CE4"/>
    <w:rsid w:val="00581D1F"/>
    <w:rsid w:val="00581D2A"/>
    <w:rsid w:val="00581DDE"/>
    <w:rsid w:val="00581E2B"/>
    <w:rsid w:val="00581E37"/>
    <w:rsid w:val="00581F01"/>
    <w:rsid w:val="00581F59"/>
    <w:rsid w:val="00581FB6"/>
    <w:rsid w:val="00581FC5"/>
    <w:rsid w:val="00582130"/>
    <w:rsid w:val="005821A5"/>
    <w:rsid w:val="005821C2"/>
    <w:rsid w:val="005821D4"/>
    <w:rsid w:val="005821D8"/>
    <w:rsid w:val="00582226"/>
    <w:rsid w:val="0058223E"/>
    <w:rsid w:val="0058225E"/>
    <w:rsid w:val="005822B3"/>
    <w:rsid w:val="0058230F"/>
    <w:rsid w:val="005823B0"/>
    <w:rsid w:val="005824C0"/>
    <w:rsid w:val="00582533"/>
    <w:rsid w:val="00582561"/>
    <w:rsid w:val="00582616"/>
    <w:rsid w:val="0058261C"/>
    <w:rsid w:val="005826AC"/>
    <w:rsid w:val="0058272C"/>
    <w:rsid w:val="0058276C"/>
    <w:rsid w:val="005827CA"/>
    <w:rsid w:val="005827EA"/>
    <w:rsid w:val="00582939"/>
    <w:rsid w:val="005829CB"/>
    <w:rsid w:val="005829E8"/>
    <w:rsid w:val="00582A02"/>
    <w:rsid w:val="00582A2E"/>
    <w:rsid w:val="00582A8A"/>
    <w:rsid w:val="00582AF4"/>
    <w:rsid w:val="00582BFF"/>
    <w:rsid w:val="00582D02"/>
    <w:rsid w:val="00582D69"/>
    <w:rsid w:val="00582D96"/>
    <w:rsid w:val="00582DBB"/>
    <w:rsid w:val="00582DD0"/>
    <w:rsid w:val="00582DD4"/>
    <w:rsid w:val="00582DF3"/>
    <w:rsid w:val="00582E29"/>
    <w:rsid w:val="00582E4D"/>
    <w:rsid w:val="00582E76"/>
    <w:rsid w:val="00582EA0"/>
    <w:rsid w:val="00582EF7"/>
    <w:rsid w:val="00582F2F"/>
    <w:rsid w:val="00582FEF"/>
    <w:rsid w:val="00582FF4"/>
    <w:rsid w:val="00583062"/>
    <w:rsid w:val="005830C9"/>
    <w:rsid w:val="005831C5"/>
    <w:rsid w:val="005831F4"/>
    <w:rsid w:val="0058320A"/>
    <w:rsid w:val="00583229"/>
    <w:rsid w:val="0058322D"/>
    <w:rsid w:val="005832D4"/>
    <w:rsid w:val="0058331B"/>
    <w:rsid w:val="00583334"/>
    <w:rsid w:val="00583341"/>
    <w:rsid w:val="0058339E"/>
    <w:rsid w:val="005833EA"/>
    <w:rsid w:val="0058343E"/>
    <w:rsid w:val="00583480"/>
    <w:rsid w:val="00583592"/>
    <w:rsid w:val="00583635"/>
    <w:rsid w:val="005836CA"/>
    <w:rsid w:val="00583761"/>
    <w:rsid w:val="005838A7"/>
    <w:rsid w:val="0058394D"/>
    <w:rsid w:val="00583985"/>
    <w:rsid w:val="005839CA"/>
    <w:rsid w:val="00583A11"/>
    <w:rsid w:val="00583C51"/>
    <w:rsid w:val="00583CA2"/>
    <w:rsid w:val="00583D24"/>
    <w:rsid w:val="00583D36"/>
    <w:rsid w:val="00583DD8"/>
    <w:rsid w:val="00583F29"/>
    <w:rsid w:val="005840C7"/>
    <w:rsid w:val="0058417A"/>
    <w:rsid w:val="005841A5"/>
    <w:rsid w:val="00584264"/>
    <w:rsid w:val="00584312"/>
    <w:rsid w:val="00584451"/>
    <w:rsid w:val="00584740"/>
    <w:rsid w:val="00584906"/>
    <w:rsid w:val="0058494B"/>
    <w:rsid w:val="00584951"/>
    <w:rsid w:val="005849B4"/>
    <w:rsid w:val="005849C6"/>
    <w:rsid w:val="00584A0F"/>
    <w:rsid w:val="00584AD6"/>
    <w:rsid w:val="00584B6F"/>
    <w:rsid w:val="00584B7F"/>
    <w:rsid w:val="00584B97"/>
    <w:rsid w:val="00584C13"/>
    <w:rsid w:val="00584D05"/>
    <w:rsid w:val="00584D4B"/>
    <w:rsid w:val="00584DA6"/>
    <w:rsid w:val="00584F6D"/>
    <w:rsid w:val="00584F8F"/>
    <w:rsid w:val="00584FFC"/>
    <w:rsid w:val="00585213"/>
    <w:rsid w:val="00585287"/>
    <w:rsid w:val="005852C8"/>
    <w:rsid w:val="005852F6"/>
    <w:rsid w:val="005852FC"/>
    <w:rsid w:val="005853CF"/>
    <w:rsid w:val="0058547C"/>
    <w:rsid w:val="0058549F"/>
    <w:rsid w:val="005854E0"/>
    <w:rsid w:val="005854F0"/>
    <w:rsid w:val="005855FD"/>
    <w:rsid w:val="00585642"/>
    <w:rsid w:val="00585658"/>
    <w:rsid w:val="005856DC"/>
    <w:rsid w:val="00585703"/>
    <w:rsid w:val="00585736"/>
    <w:rsid w:val="00585759"/>
    <w:rsid w:val="00585768"/>
    <w:rsid w:val="0058579F"/>
    <w:rsid w:val="0058580A"/>
    <w:rsid w:val="00585891"/>
    <w:rsid w:val="00585B74"/>
    <w:rsid w:val="00585B7F"/>
    <w:rsid w:val="00585CD0"/>
    <w:rsid w:val="00585CEA"/>
    <w:rsid w:val="00585D1D"/>
    <w:rsid w:val="00585E13"/>
    <w:rsid w:val="00585E32"/>
    <w:rsid w:val="00585EE0"/>
    <w:rsid w:val="00585F57"/>
    <w:rsid w:val="00585F5E"/>
    <w:rsid w:val="00585FB6"/>
    <w:rsid w:val="005861B4"/>
    <w:rsid w:val="00586244"/>
    <w:rsid w:val="00586269"/>
    <w:rsid w:val="005862E9"/>
    <w:rsid w:val="0058632B"/>
    <w:rsid w:val="00586367"/>
    <w:rsid w:val="005863BB"/>
    <w:rsid w:val="005863C5"/>
    <w:rsid w:val="0058648B"/>
    <w:rsid w:val="005864D0"/>
    <w:rsid w:val="0058655F"/>
    <w:rsid w:val="0058656A"/>
    <w:rsid w:val="0058657F"/>
    <w:rsid w:val="0058668C"/>
    <w:rsid w:val="005866F5"/>
    <w:rsid w:val="0058685A"/>
    <w:rsid w:val="0058695E"/>
    <w:rsid w:val="00586A5E"/>
    <w:rsid w:val="00586A7B"/>
    <w:rsid w:val="00586A98"/>
    <w:rsid w:val="00586A9A"/>
    <w:rsid w:val="00586ADE"/>
    <w:rsid w:val="00586B63"/>
    <w:rsid w:val="00586B67"/>
    <w:rsid w:val="00586C6A"/>
    <w:rsid w:val="00586CDE"/>
    <w:rsid w:val="00586D14"/>
    <w:rsid w:val="00586D96"/>
    <w:rsid w:val="00586DA1"/>
    <w:rsid w:val="00586E47"/>
    <w:rsid w:val="00586E9F"/>
    <w:rsid w:val="00586FCC"/>
    <w:rsid w:val="0058712E"/>
    <w:rsid w:val="005871BD"/>
    <w:rsid w:val="005871C0"/>
    <w:rsid w:val="005871CD"/>
    <w:rsid w:val="00587208"/>
    <w:rsid w:val="005872D9"/>
    <w:rsid w:val="005872DF"/>
    <w:rsid w:val="00587359"/>
    <w:rsid w:val="0058744D"/>
    <w:rsid w:val="00587461"/>
    <w:rsid w:val="005874CF"/>
    <w:rsid w:val="005875C7"/>
    <w:rsid w:val="00587651"/>
    <w:rsid w:val="0058767E"/>
    <w:rsid w:val="00587684"/>
    <w:rsid w:val="005876FD"/>
    <w:rsid w:val="00587739"/>
    <w:rsid w:val="00587751"/>
    <w:rsid w:val="0058777F"/>
    <w:rsid w:val="005877A8"/>
    <w:rsid w:val="005877D3"/>
    <w:rsid w:val="00587806"/>
    <w:rsid w:val="005878B4"/>
    <w:rsid w:val="0058793E"/>
    <w:rsid w:val="0058795A"/>
    <w:rsid w:val="00587976"/>
    <w:rsid w:val="005879B8"/>
    <w:rsid w:val="005879CF"/>
    <w:rsid w:val="00587B9C"/>
    <w:rsid w:val="00587BD7"/>
    <w:rsid w:val="00587C48"/>
    <w:rsid w:val="00587C9B"/>
    <w:rsid w:val="00587CEA"/>
    <w:rsid w:val="00587D5D"/>
    <w:rsid w:val="00587DD2"/>
    <w:rsid w:val="00587EF3"/>
    <w:rsid w:val="0058DE22"/>
    <w:rsid w:val="00590092"/>
    <w:rsid w:val="005900BE"/>
    <w:rsid w:val="005900D3"/>
    <w:rsid w:val="005900DF"/>
    <w:rsid w:val="00590139"/>
    <w:rsid w:val="0059013C"/>
    <w:rsid w:val="0059017B"/>
    <w:rsid w:val="00590189"/>
    <w:rsid w:val="00590253"/>
    <w:rsid w:val="005902D4"/>
    <w:rsid w:val="005902E2"/>
    <w:rsid w:val="005902FC"/>
    <w:rsid w:val="00590350"/>
    <w:rsid w:val="00590351"/>
    <w:rsid w:val="00590416"/>
    <w:rsid w:val="00590464"/>
    <w:rsid w:val="005904F1"/>
    <w:rsid w:val="0059051E"/>
    <w:rsid w:val="00590520"/>
    <w:rsid w:val="00590681"/>
    <w:rsid w:val="00590801"/>
    <w:rsid w:val="00590820"/>
    <w:rsid w:val="00590836"/>
    <w:rsid w:val="00590837"/>
    <w:rsid w:val="005908B5"/>
    <w:rsid w:val="005908E4"/>
    <w:rsid w:val="00590926"/>
    <w:rsid w:val="00590931"/>
    <w:rsid w:val="00590932"/>
    <w:rsid w:val="00590A25"/>
    <w:rsid w:val="00590A40"/>
    <w:rsid w:val="00590A51"/>
    <w:rsid w:val="00590B01"/>
    <w:rsid w:val="00590B07"/>
    <w:rsid w:val="00590BA9"/>
    <w:rsid w:val="00590BE9"/>
    <w:rsid w:val="00590D72"/>
    <w:rsid w:val="00590D8B"/>
    <w:rsid w:val="00590DA1"/>
    <w:rsid w:val="005910E3"/>
    <w:rsid w:val="00591244"/>
    <w:rsid w:val="0059125F"/>
    <w:rsid w:val="0059127B"/>
    <w:rsid w:val="005912BF"/>
    <w:rsid w:val="005912FC"/>
    <w:rsid w:val="0059130F"/>
    <w:rsid w:val="0059144D"/>
    <w:rsid w:val="005914F0"/>
    <w:rsid w:val="0059152C"/>
    <w:rsid w:val="0059153E"/>
    <w:rsid w:val="00591550"/>
    <w:rsid w:val="005915BF"/>
    <w:rsid w:val="00591667"/>
    <w:rsid w:val="005916AE"/>
    <w:rsid w:val="0059177E"/>
    <w:rsid w:val="0059179A"/>
    <w:rsid w:val="005917EB"/>
    <w:rsid w:val="00591890"/>
    <w:rsid w:val="00591A0E"/>
    <w:rsid w:val="00591A17"/>
    <w:rsid w:val="00591A56"/>
    <w:rsid w:val="00591A84"/>
    <w:rsid w:val="00591A8C"/>
    <w:rsid w:val="00591B1A"/>
    <w:rsid w:val="00591B53"/>
    <w:rsid w:val="00591B5B"/>
    <w:rsid w:val="00591BD2"/>
    <w:rsid w:val="00591BDD"/>
    <w:rsid w:val="00591C82"/>
    <w:rsid w:val="00591CA0"/>
    <w:rsid w:val="00591CAA"/>
    <w:rsid w:val="00591CFB"/>
    <w:rsid w:val="00591CFD"/>
    <w:rsid w:val="00591D06"/>
    <w:rsid w:val="00591D4B"/>
    <w:rsid w:val="00591E2D"/>
    <w:rsid w:val="00591E64"/>
    <w:rsid w:val="00591F67"/>
    <w:rsid w:val="00592052"/>
    <w:rsid w:val="0059205B"/>
    <w:rsid w:val="00592141"/>
    <w:rsid w:val="00592253"/>
    <w:rsid w:val="00592414"/>
    <w:rsid w:val="00592464"/>
    <w:rsid w:val="0059247C"/>
    <w:rsid w:val="0059249C"/>
    <w:rsid w:val="005924FE"/>
    <w:rsid w:val="005925D2"/>
    <w:rsid w:val="005925FC"/>
    <w:rsid w:val="00592699"/>
    <w:rsid w:val="005926D1"/>
    <w:rsid w:val="005926F0"/>
    <w:rsid w:val="00592727"/>
    <w:rsid w:val="00592728"/>
    <w:rsid w:val="005927E8"/>
    <w:rsid w:val="00592834"/>
    <w:rsid w:val="005928CB"/>
    <w:rsid w:val="00592957"/>
    <w:rsid w:val="005929B7"/>
    <w:rsid w:val="005929CC"/>
    <w:rsid w:val="00592A98"/>
    <w:rsid w:val="00592AC7"/>
    <w:rsid w:val="00592BA7"/>
    <w:rsid w:val="00592BAD"/>
    <w:rsid w:val="00592BDD"/>
    <w:rsid w:val="00592BE2"/>
    <w:rsid w:val="00592BF3"/>
    <w:rsid w:val="00592D27"/>
    <w:rsid w:val="00592E2F"/>
    <w:rsid w:val="00592EB2"/>
    <w:rsid w:val="00592EDA"/>
    <w:rsid w:val="00592EEF"/>
    <w:rsid w:val="0059301F"/>
    <w:rsid w:val="005930B1"/>
    <w:rsid w:val="00593103"/>
    <w:rsid w:val="00593137"/>
    <w:rsid w:val="0059313C"/>
    <w:rsid w:val="005931A9"/>
    <w:rsid w:val="005931AA"/>
    <w:rsid w:val="005934E6"/>
    <w:rsid w:val="00593555"/>
    <w:rsid w:val="0059357D"/>
    <w:rsid w:val="005935E4"/>
    <w:rsid w:val="00593612"/>
    <w:rsid w:val="00593706"/>
    <w:rsid w:val="00593775"/>
    <w:rsid w:val="0059377E"/>
    <w:rsid w:val="0059382C"/>
    <w:rsid w:val="00593888"/>
    <w:rsid w:val="005938A0"/>
    <w:rsid w:val="005938A7"/>
    <w:rsid w:val="005938BC"/>
    <w:rsid w:val="005938CA"/>
    <w:rsid w:val="0059390A"/>
    <w:rsid w:val="00593953"/>
    <w:rsid w:val="005939AB"/>
    <w:rsid w:val="005939BC"/>
    <w:rsid w:val="00593A11"/>
    <w:rsid w:val="00593A21"/>
    <w:rsid w:val="00593B0C"/>
    <w:rsid w:val="00593B45"/>
    <w:rsid w:val="00593BFE"/>
    <w:rsid w:val="00593C04"/>
    <w:rsid w:val="00593C1F"/>
    <w:rsid w:val="00593CF7"/>
    <w:rsid w:val="00593D5B"/>
    <w:rsid w:val="00593D91"/>
    <w:rsid w:val="00593E27"/>
    <w:rsid w:val="00593E4F"/>
    <w:rsid w:val="00593E97"/>
    <w:rsid w:val="00593FAB"/>
    <w:rsid w:val="00594046"/>
    <w:rsid w:val="005940C0"/>
    <w:rsid w:val="005940DC"/>
    <w:rsid w:val="00594122"/>
    <w:rsid w:val="0059423D"/>
    <w:rsid w:val="00594287"/>
    <w:rsid w:val="005942E0"/>
    <w:rsid w:val="00594319"/>
    <w:rsid w:val="0059431A"/>
    <w:rsid w:val="0059434E"/>
    <w:rsid w:val="00594477"/>
    <w:rsid w:val="005944D7"/>
    <w:rsid w:val="0059454F"/>
    <w:rsid w:val="005945F0"/>
    <w:rsid w:val="00594787"/>
    <w:rsid w:val="005947C3"/>
    <w:rsid w:val="005947F6"/>
    <w:rsid w:val="00594812"/>
    <w:rsid w:val="0059484C"/>
    <w:rsid w:val="00594858"/>
    <w:rsid w:val="00594871"/>
    <w:rsid w:val="00594906"/>
    <w:rsid w:val="00594946"/>
    <w:rsid w:val="005949D6"/>
    <w:rsid w:val="00594A52"/>
    <w:rsid w:val="00594AAD"/>
    <w:rsid w:val="00594ACC"/>
    <w:rsid w:val="00594B3F"/>
    <w:rsid w:val="00594B4D"/>
    <w:rsid w:val="00594BD2"/>
    <w:rsid w:val="00594D62"/>
    <w:rsid w:val="00594E1A"/>
    <w:rsid w:val="00594E1C"/>
    <w:rsid w:val="00594E24"/>
    <w:rsid w:val="00594EF5"/>
    <w:rsid w:val="00594F33"/>
    <w:rsid w:val="00594FBB"/>
    <w:rsid w:val="00595036"/>
    <w:rsid w:val="00595056"/>
    <w:rsid w:val="0059508D"/>
    <w:rsid w:val="005950D4"/>
    <w:rsid w:val="00595173"/>
    <w:rsid w:val="0059519F"/>
    <w:rsid w:val="0059528D"/>
    <w:rsid w:val="005952CD"/>
    <w:rsid w:val="005952D0"/>
    <w:rsid w:val="00595339"/>
    <w:rsid w:val="005953D9"/>
    <w:rsid w:val="00595474"/>
    <w:rsid w:val="005954B0"/>
    <w:rsid w:val="005954DB"/>
    <w:rsid w:val="005955B6"/>
    <w:rsid w:val="00595626"/>
    <w:rsid w:val="005956C6"/>
    <w:rsid w:val="00595714"/>
    <w:rsid w:val="00595742"/>
    <w:rsid w:val="005957E6"/>
    <w:rsid w:val="00595949"/>
    <w:rsid w:val="005959E0"/>
    <w:rsid w:val="005959FD"/>
    <w:rsid w:val="00595AC6"/>
    <w:rsid w:val="00595C00"/>
    <w:rsid w:val="00595C0A"/>
    <w:rsid w:val="00595DB5"/>
    <w:rsid w:val="00595E1C"/>
    <w:rsid w:val="00595E30"/>
    <w:rsid w:val="00595E94"/>
    <w:rsid w:val="00595EFE"/>
    <w:rsid w:val="00595F56"/>
    <w:rsid w:val="00595FD8"/>
    <w:rsid w:val="00596084"/>
    <w:rsid w:val="00596085"/>
    <w:rsid w:val="0059614F"/>
    <w:rsid w:val="00596281"/>
    <w:rsid w:val="005962A1"/>
    <w:rsid w:val="00596377"/>
    <w:rsid w:val="005963C2"/>
    <w:rsid w:val="00596470"/>
    <w:rsid w:val="00596478"/>
    <w:rsid w:val="00596483"/>
    <w:rsid w:val="00596608"/>
    <w:rsid w:val="0059674D"/>
    <w:rsid w:val="00596756"/>
    <w:rsid w:val="00596764"/>
    <w:rsid w:val="0059680B"/>
    <w:rsid w:val="00596882"/>
    <w:rsid w:val="0059688A"/>
    <w:rsid w:val="0059688E"/>
    <w:rsid w:val="0059689B"/>
    <w:rsid w:val="005968E2"/>
    <w:rsid w:val="00596959"/>
    <w:rsid w:val="005969AD"/>
    <w:rsid w:val="00596A19"/>
    <w:rsid w:val="00596AE2"/>
    <w:rsid w:val="00596B41"/>
    <w:rsid w:val="00596BA1"/>
    <w:rsid w:val="00596BC4"/>
    <w:rsid w:val="00596C43"/>
    <w:rsid w:val="00596C7B"/>
    <w:rsid w:val="00596C7D"/>
    <w:rsid w:val="00596CBA"/>
    <w:rsid w:val="00596D05"/>
    <w:rsid w:val="00596DED"/>
    <w:rsid w:val="00596E45"/>
    <w:rsid w:val="00596E6D"/>
    <w:rsid w:val="00596E70"/>
    <w:rsid w:val="00596EDA"/>
    <w:rsid w:val="00596EE0"/>
    <w:rsid w:val="00597023"/>
    <w:rsid w:val="00597066"/>
    <w:rsid w:val="0059707D"/>
    <w:rsid w:val="00597093"/>
    <w:rsid w:val="005970C3"/>
    <w:rsid w:val="00597161"/>
    <w:rsid w:val="005971B5"/>
    <w:rsid w:val="005971E6"/>
    <w:rsid w:val="005972BA"/>
    <w:rsid w:val="00597319"/>
    <w:rsid w:val="00597333"/>
    <w:rsid w:val="0059737C"/>
    <w:rsid w:val="00597441"/>
    <w:rsid w:val="00597461"/>
    <w:rsid w:val="00597488"/>
    <w:rsid w:val="005974E8"/>
    <w:rsid w:val="005974F0"/>
    <w:rsid w:val="00597524"/>
    <w:rsid w:val="0059755B"/>
    <w:rsid w:val="005975C3"/>
    <w:rsid w:val="005975F8"/>
    <w:rsid w:val="00597652"/>
    <w:rsid w:val="00597692"/>
    <w:rsid w:val="00597728"/>
    <w:rsid w:val="00597730"/>
    <w:rsid w:val="005977BC"/>
    <w:rsid w:val="00597845"/>
    <w:rsid w:val="0059785C"/>
    <w:rsid w:val="005978BB"/>
    <w:rsid w:val="005978CF"/>
    <w:rsid w:val="0059790B"/>
    <w:rsid w:val="0059791F"/>
    <w:rsid w:val="0059794F"/>
    <w:rsid w:val="005979A7"/>
    <w:rsid w:val="005979C2"/>
    <w:rsid w:val="00597A10"/>
    <w:rsid w:val="00597A45"/>
    <w:rsid w:val="00597A93"/>
    <w:rsid w:val="00597ADF"/>
    <w:rsid w:val="00597C36"/>
    <w:rsid w:val="00597D50"/>
    <w:rsid w:val="00597D7E"/>
    <w:rsid w:val="00597DD8"/>
    <w:rsid w:val="00597E09"/>
    <w:rsid w:val="00597F37"/>
    <w:rsid w:val="00597F42"/>
    <w:rsid w:val="005A005A"/>
    <w:rsid w:val="005A017F"/>
    <w:rsid w:val="005A0261"/>
    <w:rsid w:val="005A02DB"/>
    <w:rsid w:val="005A02F1"/>
    <w:rsid w:val="005A035A"/>
    <w:rsid w:val="005A0390"/>
    <w:rsid w:val="005A03A8"/>
    <w:rsid w:val="005A03BA"/>
    <w:rsid w:val="005A0453"/>
    <w:rsid w:val="005A0465"/>
    <w:rsid w:val="005A04A0"/>
    <w:rsid w:val="005A055C"/>
    <w:rsid w:val="005A06AD"/>
    <w:rsid w:val="005A0710"/>
    <w:rsid w:val="005A0745"/>
    <w:rsid w:val="005A07A7"/>
    <w:rsid w:val="005A0868"/>
    <w:rsid w:val="005A08FA"/>
    <w:rsid w:val="005A0902"/>
    <w:rsid w:val="005A09F2"/>
    <w:rsid w:val="005A0A28"/>
    <w:rsid w:val="005A0B0F"/>
    <w:rsid w:val="005A0B22"/>
    <w:rsid w:val="005A0CC4"/>
    <w:rsid w:val="005A0D2A"/>
    <w:rsid w:val="005A0D38"/>
    <w:rsid w:val="005A0DFB"/>
    <w:rsid w:val="005A0E8A"/>
    <w:rsid w:val="005A0F47"/>
    <w:rsid w:val="005A1072"/>
    <w:rsid w:val="005A1106"/>
    <w:rsid w:val="005A1163"/>
    <w:rsid w:val="005A13A9"/>
    <w:rsid w:val="005A1485"/>
    <w:rsid w:val="005A15D0"/>
    <w:rsid w:val="005A161C"/>
    <w:rsid w:val="005A1659"/>
    <w:rsid w:val="005A16B5"/>
    <w:rsid w:val="005A16D0"/>
    <w:rsid w:val="005A17DC"/>
    <w:rsid w:val="005A1822"/>
    <w:rsid w:val="005A1A48"/>
    <w:rsid w:val="005A1A73"/>
    <w:rsid w:val="005A1A98"/>
    <w:rsid w:val="005A1B35"/>
    <w:rsid w:val="005A1BD2"/>
    <w:rsid w:val="005A1CCF"/>
    <w:rsid w:val="005A1D02"/>
    <w:rsid w:val="005A1D4B"/>
    <w:rsid w:val="005A1E6B"/>
    <w:rsid w:val="005A1E8E"/>
    <w:rsid w:val="005A1EDC"/>
    <w:rsid w:val="005A1F39"/>
    <w:rsid w:val="005A1FDB"/>
    <w:rsid w:val="005A2084"/>
    <w:rsid w:val="005A20FA"/>
    <w:rsid w:val="005A2187"/>
    <w:rsid w:val="005A21D0"/>
    <w:rsid w:val="005A21D4"/>
    <w:rsid w:val="005A21F1"/>
    <w:rsid w:val="005A2277"/>
    <w:rsid w:val="005A22B3"/>
    <w:rsid w:val="005A22DA"/>
    <w:rsid w:val="005A2423"/>
    <w:rsid w:val="005A24C5"/>
    <w:rsid w:val="005A24FB"/>
    <w:rsid w:val="005A252D"/>
    <w:rsid w:val="005A25CC"/>
    <w:rsid w:val="005A260B"/>
    <w:rsid w:val="005A2670"/>
    <w:rsid w:val="005A26E7"/>
    <w:rsid w:val="005A2768"/>
    <w:rsid w:val="005A27D7"/>
    <w:rsid w:val="005A283A"/>
    <w:rsid w:val="005A28F3"/>
    <w:rsid w:val="005A2900"/>
    <w:rsid w:val="005A2918"/>
    <w:rsid w:val="005A293F"/>
    <w:rsid w:val="005A2996"/>
    <w:rsid w:val="005A29BF"/>
    <w:rsid w:val="005A2A70"/>
    <w:rsid w:val="005A2ADA"/>
    <w:rsid w:val="005A2AF0"/>
    <w:rsid w:val="005A2B29"/>
    <w:rsid w:val="005A2BA5"/>
    <w:rsid w:val="005A2BE6"/>
    <w:rsid w:val="005A2C1A"/>
    <w:rsid w:val="005A2C31"/>
    <w:rsid w:val="005A2C90"/>
    <w:rsid w:val="005A2CF7"/>
    <w:rsid w:val="005A2D8D"/>
    <w:rsid w:val="005A2E49"/>
    <w:rsid w:val="005A2EDD"/>
    <w:rsid w:val="005A3042"/>
    <w:rsid w:val="005A305E"/>
    <w:rsid w:val="005A3120"/>
    <w:rsid w:val="005A31B1"/>
    <w:rsid w:val="005A3447"/>
    <w:rsid w:val="005A34D8"/>
    <w:rsid w:val="005A34E5"/>
    <w:rsid w:val="005A3554"/>
    <w:rsid w:val="005A35DA"/>
    <w:rsid w:val="005A3613"/>
    <w:rsid w:val="005A3723"/>
    <w:rsid w:val="005A375F"/>
    <w:rsid w:val="005A37CA"/>
    <w:rsid w:val="005A37F2"/>
    <w:rsid w:val="005A3856"/>
    <w:rsid w:val="005A3886"/>
    <w:rsid w:val="005A3894"/>
    <w:rsid w:val="005A38AD"/>
    <w:rsid w:val="005A38C6"/>
    <w:rsid w:val="005A393F"/>
    <w:rsid w:val="005A3966"/>
    <w:rsid w:val="005A3998"/>
    <w:rsid w:val="005A3A60"/>
    <w:rsid w:val="005A3AD1"/>
    <w:rsid w:val="005A3ADB"/>
    <w:rsid w:val="005A3AE3"/>
    <w:rsid w:val="005A3AF4"/>
    <w:rsid w:val="005A3B17"/>
    <w:rsid w:val="005A3B89"/>
    <w:rsid w:val="005A3BE4"/>
    <w:rsid w:val="005A3D12"/>
    <w:rsid w:val="005A3D68"/>
    <w:rsid w:val="005A3E6E"/>
    <w:rsid w:val="005A40BB"/>
    <w:rsid w:val="005A41CC"/>
    <w:rsid w:val="005A429B"/>
    <w:rsid w:val="005A42A3"/>
    <w:rsid w:val="005A4322"/>
    <w:rsid w:val="005A441B"/>
    <w:rsid w:val="005A446C"/>
    <w:rsid w:val="005A44D3"/>
    <w:rsid w:val="005A4502"/>
    <w:rsid w:val="005A4510"/>
    <w:rsid w:val="005A45A1"/>
    <w:rsid w:val="005A4684"/>
    <w:rsid w:val="005A4755"/>
    <w:rsid w:val="005A47C8"/>
    <w:rsid w:val="005A481C"/>
    <w:rsid w:val="005A498F"/>
    <w:rsid w:val="005A49D3"/>
    <w:rsid w:val="005A4A53"/>
    <w:rsid w:val="005A4A59"/>
    <w:rsid w:val="005A4B8E"/>
    <w:rsid w:val="005A4CC8"/>
    <w:rsid w:val="005A4CE5"/>
    <w:rsid w:val="005A4EFD"/>
    <w:rsid w:val="005A4F3D"/>
    <w:rsid w:val="005A4F75"/>
    <w:rsid w:val="005A4FDF"/>
    <w:rsid w:val="005A5018"/>
    <w:rsid w:val="005A5025"/>
    <w:rsid w:val="005A5161"/>
    <w:rsid w:val="005A51D9"/>
    <w:rsid w:val="005A53BB"/>
    <w:rsid w:val="005A53CD"/>
    <w:rsid w:val="005A5480"/>
    <w:rsid w:val="005A54FE"/>
    <w:rsid w:val="005A5610"/>
    <w:rsid w:val="005A565E"/>
    <w:rsid w:val="005A571C"/>
    <w:rsid w:val="005A5722"/>
    <w:rsid w:val="005A5745"/>
    <w:rsid w:val="005A5772"/>
    <w:rsid w:val="005A578F"/>
    <w:rsid w:val="005A57A3"/>
    <w:rsid w:val="005A5815"/>
    <w:rsid w:val="005A584E"/>
    <w:rsid w:val="005A592E"/>
    <w:rsid w:val="005A592F"/>
    <w:rsid w:val="005A59BA"/>
    <w:rsid w:val="005A5AE1"/>
    <w:rsid w:val="005A5AF7"/>
    <w:rsid w:val="005A5B02"/>
    <w:rsid w:val="005A5BCC"/>
    <w:rsid w:val="005A5BCF"/>
    <w:rsid w:val="005A5C33"/>
    <w:rsid w:val="005A5CBD"/>
    <w:rsid w:val="005A5D5F"/>
    <w:rsid w:val="005A5D89"/>
    <w:rsid w:val="005A5DF0"/>
    <w:rsid w:val="005A5EC4"/>
    <w:rsid w:val="005A5F34"/>
    <w:rsid w:val="005A5F8F"/>
    <w:rsid w:val="005A602C"/>
    <w:rsid w:val="005A60AC"/>
    <w:rsid w:val="005A60C8"/>
    <w:rsid w:val="005A60CD"/>
    <w:rsid w:val="005A60DE"/>
    <w:rsid w:val="005A6126"/>
    <w:rsid w:val="005A626B"/>
    <w:rsid w:val="005A629A"/>
    <w:rsid w:val="005A62EB"/>
    <w:rsid w:val="005A6404"/>
    <w:rsid w:val="005A6438"/>
    <w:rsid w:val="005A6550"/>
    <w:rsid w:val="005A670F"/>
    <w:rsid w:val="005A6830"/>
    <w:rsid w:val="005A6859"/>
    <w:rsid w:val="005A69D5"/>
    <w:rsid w:val="005A6B90"/>
    <w:rsid w:val="005A6BD9"/>
    <w:rsid w:val="005A6CD3"/>
    <w:rsid w:val="005A6D68"/>
    <w:rsid w:val="005A6D87"/>
    <w:rsid w:val="005A6DD4"/>
    <w:rsid w:val="005A6EB7"/>
    <w:rsid w:val="005A6EE6"/>
    <w:rsid w:val="005A6F3F"/>
    <w:rsid w:val="005A6F61"/>
    <w:rsid w:val="005A6FAA"/>
    <w:rsid w:val="005A7127"/>
    <w:rsid w:val="005A71B2"/>
    <w:rsid w:val="005A71F2"/>
    <w:rsid w:val="005A71F6"/>
    <w:rsid w:val="005A7202"/>
    <w:rsid w:val="005A7221"/>
    <w:rsid w:val="005A734E"/>
    <w:rsid w:val="005A73A2"/>
    <w:rsid w:val="005A74AF"/>
    <w:rsid w:val="005A74B2"/>
    <w:rsid w:val="005A74FC"/>
    <w:rsid w:val="005A7513"/>
    <w:rsid w:val="005A757C"/>
    <w:rsid w:val="005A75C9"/>
    <w:rsid w:val="005A75FC"/>
    <w:rsid w:val="005A7637"/>
    <w:rsid w:val="005A7647"/>
    <w:rsid w:val="005A7675"/>
    <w:rsid w:val="005A76D8"/>
    <w:rsid w:val="005A76DB"/>
    <w:rsid w:val="005A77B1"/>
    <w:rsid w:val="005A77D0"/>
    <w:rsid w:val="005A78D5"/>
    <w:rsid w:val="005A795A"/>
    <w:rsid w:val="005A79A2"/>
    <w:rsid w:val="005A79E5"/>
    <w:rsid w:val="005A79F1"/>
    <w:rsid w:val="005A7A64"/>
    <w:rsid w:val="005A7A6D"/>
    <w:rsid w:val="005A7ACD"/>
    <w:rsid w:val="005A7B98"/>
    <w:rsid w:val="005A7C16"/>
    <w:rsid w:val="005A7C6B"/>
    <w:rsid w:val="005A7C70"/>
    <w:rsid w:val="005A7C7C"/>
    <w:rsid w:val="005A7CF8"/>
    <w:rsid w:val="005A7D5E"/>
    <w:rsid w:val="005A7D6C"/>
    <w:rsid w:val="005A7E02"/>
    <w:rsid w:val="005A7E8C"/>
    <w:rsid w:val="005A7EB0"/>
    <w:rsid w:val="005A7F1C"/>
    <w:rsid w:val="005A7F4D"/>
    <w:rsid w:val="005A7FB8"/>
    <w:rsid w:val="005A7FED"/>
    <w:rsid w:val="005B00EE"/>
    <w:rsid w:val="005B01BA"/>
    <w:rsid w:val="005B021A"/>
    <w:rsid w:val="005B031A"/>
    <w:rsid w:val="005B03F8"/>
    <w:rsid w:val="005B0494"/>
    <w:rsid w:val="005B04A0"/>
    <w:rsid w:val="005B057D"/>
    <w:rsid w:val="005B0681"/>
    <w:rsid w:val="005B06AC"/>
    <w:rsid w:val="005B0734"/>
    <w:rsid w:val="005B077C"/>
    <w:rsid w:val="005B0881"/>
    <w:rsid w:val="005B088F"/>
    <w:rsid w:val="005B08A1"/>
    <w:rsid w:val="005B0989"/>
    <w:rsid w:val="005B09F6"/>
    <w:rsid w:val="005B0CE2"/>
    <w:rsid w:val="005B0D15"/>
    <w:rsid w:val="005B0D29"/>
    <w:rsid w:val="005B0D56"/>
    <w:rsid w:val="005B0DA7"/>
    <w:rsid w:val="005B0E4D"/>
    <w:rsid w:val="005B0E5D"/>
    <w:rsid w:val="005B0E61"/>
    <w:rsid w:val="005B0E69"/>
    <w:rsid w:val="005B0E9F"/>
    <w:rsid w:val="005B0F23"/>
    <w:rsid w:val="005B0F36"/>
    <w:rsid w:val="005B0F40"/>
    <w:rsid w:val="005B0F50"/>
    <w:rsid w:val="005B0FBF"/>
    <w:rsid w:val="005B1144"/>
    <w:rsid w:val="005B114C"/>
    <w:rsid w:val="005B11A9"/>
    <w:rsid w:val="005B1228"/>
    <w:rsid w:val="005B122C"/>
    <w:rsid w:val="005B12DD"/>
    <w:rsid w:val="005B1355"/>
    <w:rsid w:val="005B136B"/>
    <w:rsid w:val="005B13AD"/>
    <w:rsid w:val="005B13B0"/>
    <w:rsid w:val="005B1487"/>
    <w:rsid w:val="005B148C"/>
    <w:rsid w:val="005B150F"/>
    <w:rsid w:val="005B158C"/>
    <w:rsid w:val="005B15DA"/>
    <w:rsid w:val="005B1620"/>
    <w:rsid w:val="005B1676"/>
    <w:rsid w:val="005B1685"/>
    <w:rsid w:val="005B169F"/>
    <w:rsid w:val="005B16DD"/>
    <w:rsid w:val="005B1789"/>
    <w:rsid w:val="005B17AA"/>
    <w:rsid w:val="005B182B"/>
    <w:rsid w:val="005B184D"/>
    <w:rsid w:val="005B1864"/>
    <w:rsid w:val="005B187D"/>
    <w:rsid w:val="005B1916"/>
    <w:rsid w:val="005B1936"/>
    <w:rsid w:val="005B19B9"/>
    <w:rsid w:val="005B19E1"/>
    <w:rsid w:val="005B1A11"/>
    <w:rsid w:val="005B1A94"/>
    <w:rsid w:val="005B1BC9"/>
    <w:rsid w:val="005B1BE4"/>
    <w:rsid w:val="005B1CCB"/>
    <w:rsid w:val="005B1E1D"/>
    <w:rsid w:val="005B1E81"/>
    <w:rsid w:val="005B1F17"/>
    <w:rsid w:val="005B1F24"/>
    <w:rsid w:val="005B1F9D"/>
    <w:rsid w:val="005B205E"/>
    <w:rsid w:val="005B20B9"/>
    <w:rsid w:val="005B20C6"/>
    <w:rsid w:val="005B20EF"/>
    <w:rsid w:val="005B210E"/>
    <w:rsid w:val="005B21C2"/>
    <w:rsid w:val="005B21FE"/>
    <w:rsid w:val="005B2294"/>
    <w:rsid w:val="005B22CF"/>
    <w:rsid w:val="005B231D"/>
    <w:rsid w:val="005B2391"/>
    <w:rsid w:val="005B240D"/>
    <w:rsid w:val="005B246E"/>
    <w:rsid w:val="005B24EE"/>
    <w:rsid w:val="005B2514"/>
    <w:rsid w:val="005B2595"/>
    <w:rsid w:val="005B267E"/>
    <w:rsid w:val="005B26D8"/>
    <w:rsid w:val="005B26F7"/>
    <w:rsid w:val="005B27CF"/>
    <w:rsid w:val="005B27ED"/>
    <w:rsid w:val="005B2828"/>
    <w:rsid w:val="005B282E"/>
    <w:rsid w:val="005B2896"/>
    <w:rsid w:val="005B2915"/>
    <w:rsid w:val="005B2990"/>
    <w:rsid w:val="005B29D8"/>
    <w:rsid w:val="005B2A1F"/>
    <w:rsid w:val="005B2A36"/>
    <w:rsid w:val="005B2AE5"/>
    <w:rsid w:val="005B2AF8"/>
    <w:rsid w:val="005B2B5D"/>
    <w:rsid w:val="005B2C56"/>
    <w:rsid w:val="005B2CD0"/>
    <w:rsid w:val="005B2DE0"/>
    <w:rsid w:val="005B2E17"/>
    <w:rsid w:val="005B2E59"/>
    <w:rsid w:val="005B2F08"/>
    <w:rsid w:val="005B2F17"/>
    <w:rsid w:val="005B2FA2"/>
    <w:rsid w:val="005B2FAC"/>
    <w:rsid w:val="005B2FDA"/>
    <w:rsid w:val="005B2FFF"/>
    <w:rsid w:val="005B30C3"/>
    <w:rsid w:val="005B31B6"/>
    <w:rsid w:val="005B335F"/>
    <w:rsid w:val="005B3445"/>
    <w:rsid w:val="005B345C"/>
    <w:rsid w:val="005B34F3"/>
    <w:rsid w:val="005B35B9"/>
    <w:rsid w:val="005B35CA"/>
    <w:rsid w:val="005B3600"/>
    <w:rsid w:val="005B3659"/>
    <w:rsid w:val="005B3688"/>
    <w:rsid w:val="005B36A0"/>
    <w:rsid w:val="005B36B0"/>
    <w:rsid w:val="005B3704"/>
    <w:rsid w:val="005B37DF"/>
    <w:rsid w:val="005B382A"/>
    <w:rsid w:val="005B3862"/>
    <w:rsid w:val="005B3886"/>
    <w:rsid w:val="005B3900"/>
    <w:rsid w:val="005B39CC"/>
    <w:rsid w:val="005B39D9"/>
    <w:rsid w:val="005B39E7"/>
    <w:rsid w:val="005B3B37"/>
    <w:rsid w:val="005B3B52"/>
    <w:rsid w:val="005B3B77"/>
    <w:rsid w:val="005B3BA6"/>
    <w:rsid w:val="005B3C35"/>
    <w:rsid w:val="005B3D8E"/>
    <w:rsid w:val="005B3E2E"/>
    <w:rsid w:val="005B3EB2"/>
    <w:rsid w:val="005B40F3"/>
    <w:rsid w:val="005B4134"/>
    <w:rsid w:val="005B4149"/>
    <w:rsid w:val="005B4157"/>
    <w:rsid w:val="005B425A"/>
    <w:rsid w:val="005B427B"/>
    <w:rsid w:val="005B430C"/>
    <w:rsid w:val="005B434B"/>
    <w:rsid w:val="005B435B"/>
    <w:rsid w:val="005B436A"/>
    <w:rsid w:val="005B43FA"/>
    <w:rsid w:val="005B4404"/>
    <w:rsid w:val="005B4507"/>
    <w:rsid w:val="005B459E"/>
    <w:rsid w:val="005B45CE"/>
    <w:rsid w:val="005B4688"/>
    <w:rsid w:val="005B46A8"/>
    <w:rsid w:val="005B46B8"/>
    <w:rsid w:val="005B47DC"/>
    <w:rsid w:val="005B4809"/>
    <w:rsid w:val="005B4876"/>
    <w:rsid w:val="005B4883"/>
    <w:rsid w:val="005B48BB"/>
    <w:rsid w:val="005B48CC"/>
    <w:rsid w:val="005B494D"/>
    <w:rsid w:val="005B49D3"/>
    <w:rsid w:val="005B4A13"/>
    <w:rsid w:val="005B4C87"/>
    <w:rsid w:val="005B4CAC"/>
    <w:rsid w:val="005B4D75"/>
    <w:rsid w:val="005B4DDE"/>
    <w:rsid w:val="005B4E4A"/>
    <w:rsid w:val="005B4F02"/>
    <w:rsid w:val="005B4F4E"/>
    <w:rsid w:val="005B4FFE"/>
    <w:rsid w:val="005B5013"/>
    <w:rsid w:val="005B510E"/>
    <w:rsid w:val="005B5136"/>
    <w:rsid w:val="005B51B5"/>
    <w:rsid w:val="005B527A"/>
    <w:rsid w:val="005B5314"/>
    <w:rsid w:val="005B5316"/>
    <w:rsid w:val="005B5319"/>
    <w:rsid w:val="005B5342"/>
    <w:rsid w:val="005B534A"/>
    <w:rsid w:val="005B5390"/>
    <w:rsid w:val="005B53D2"/>
    <w:rsid w:val="005B5414"/>
    <w:rsid w:val="005B551C"/>
    <w:rsid w:val="005B55D0"/>
    <w:rsid w:val="005B5602"/>
    <w:rsid w:val="005B5614"/>
    <w:rsid w:val="005B568E"/>
    <w:rsid w:val="005B56B5"/>
    <w:rsid w:val="005B586A"/>
    <w:rsid w:val="005B588A"/>
    <w:rsid w:val="005B58D6"/>
    <w:rsid w:val="005B5A02"/>
    <w:rsid w:val="005B5A46"/>
    <w:rsid w:val="005B5B31"/>
    <w:rsid w:val="005B5B53"/>
    <w:rsid w:val="005B5BEF"/>
    <w:rsid w:val="005B5C34"/>
    <w:rsid w:val="005B5C43"/>
    <w:rsid w:val="005B5CBD"/>
    <w:rsid w:val="005B5DC7"/>
    <w:rsid w:val="005B5DEF"/>
    <w:rsid w:val="005B5EB6"/>
    <w:rsid w:val="005B6052"/>
    <w:rsid w:val="005B6074"/>
    <w:rsid w:val="005B618F"/>
    <w:rsid w:val="005B6196"/>
    <w:rsid w:val="005B62A3"/>
    <w:rsid w:val="005B62A8"/>
    <w:rsid w:val="005B63BE"/>
    <w:rsid w:val="005B6451"/>
    <w:rsid w:val="005B64AA"/>
    <w:rsid w:val="005B64C4"/>
    <w:rsid w:val="005B64C6"/>
    <w:rsid w:val="005B65F6"/>
    <w:rsid w:val="005B66BD"/>
    <w:rsid w:val="005B6736"/>
    <w:rsid w:val="005B6821"/>
    <w:rsid w:val="005B6852"/>
    <w:rsid w:val="005B6A89"/>
    <w:rsid w:val="005B6AD6"/>
    <w:rsid w:val="005B6CBD"/>
    <w:rsid w:val="005B6D21"/>
    <w:rsid w:val="005B6DC8"/>
    <w:rsid w:val="005B6E27"/>
    <w:rsid w:val="005B6EA7"/>
    <w:rsid w:val="005B6EE6"/>
    <w:rsid w:val="005B7028"/>
    <w:rsid w:val="005B715C"/>
    <w:rsid w:val="005B721A"/>
    <w:rsid w:val="005B7226"/>
    <w:rsid w:val="005B7241"/>
    <w:rsid w:val="005B72B4"/>
    <w:rsid w:val="005B72EF"/>
    <w:rsid w:val="005B73EB"/>
    <w:rsid w:val="005B73F4"/>
    <w:rsid w:val="005B7428"/>
    <w:rsid w:val="005B74E6"/>
    <w:rsid w:val="005B75CB"/>
    <w:rsid w:val="005B77DB"/>
    <w:rsid w:val="005B783C"/>
    <w:rsid w:val="005B7857"/>
    <w:rsid w:val="005B7886"/>
    <w:rsid w:val="005B7976"/>
    <w:rsid w:val="005B79E1"/>
    <w:rsid w:val="005B7A67"/>
    <w:rsid w:val="005B7A72"/>
    <w:rsid w:val="005B7AB4"/>
    <w:rsid w:val="005B7ADC"/>
    <w:rsid w:val="005B7B02"/>
    <w:rsid w:val="005B7B1E"/>
    <w:rsid w:val="005B7B20"/>
    <w:rsid w:val="005B7B73"/>
    <w:rsid w:val="005B7C0B"/>
    <w:rsid w:val="005B7C49"/>
    <w:rsid w:val="005B7C92"/>
    <w:rsid w:val="005B7C99"/>
    <w:rsid w:val="005B7CC7"/>
    <w:rsid w:val="005B7CD0"/>
    <w:rsid w:val="005B7D7E"/>
    <w:rsid w:val="005B7F02"/>
    <w:rsid w:val="005B7F38"/>
    <w:rsid w:val="005B7F5D"/>
    <w:rsid w:val="005C0102"/>
    <w:rsid w:val="005C017E"/>
    <w:rsid w:val="005C025D"/>
    <w:rsid w:val="005C02A4"/>
    <w:rsid w:val="005C02AE"/>
    <w:rsid w:val="005C0304"/>
    <w:rsid w:val="005C0310"/>
    <w:rsid w:val="005C03E5"/>
    <w:rsid w:val="005C043A"/>
    <w:rsid w:val="005C044D"/>
    <w:rsid w:val="005C0462"/>
    <w:rsid w:val="005C04D6"/>
    <w:rsid w:val="005C0508"/>
    <w:rsid w:val="005C0549"/>
    <w:rsid w:val="005C05E4"/>
    <w:rsid w:val="005C063B"/>
    <w:rsid w:val="005C0660"/>
    <w:rsid w:val="005C066C"/>
    <w:rsid w:val="005C06B8"/>
    <w:rsid w:val="005C06D5"/>
    <w:rsid w:val="005C06FA"/>
    <w:rsid w:val="005C0731"/>
    <w:rsid w:val="005C0760"/>
    <w:rsid w:val="005C07A2"/>
    <w:rsid w:val="005C07AC"/>
    <w:rsid w:val="005C07C7"/>
    <w:rsid w:val="005C086F"/>
    <w:rsid w:val="005C09A6"/>
    <w:rsid w:val="005C09B9"/>
    <w:rsid w:val="005C09E4"/>
    <w:rsid w:val="005C0A05"/>
    <w:rsid w:val="005C0A36"/>
    <w:rsid w:val="005C0AD9"/>
    <w:rsid w:val="005C0B00"/>
    <w:rsid w:val="005C0B01"/>
    <w:rsid w:val="005C0BAA"/>
    <w:rsid w:val="005C0BF4"/>
    <w:rsid w:val="005C0D34"/>
    <w:rsid w:val="005C0DF0"/>
    <w:rsid w:val="005C0E10"/>
    <w:rsid w:val="005C0E8A"/>
    <w:rsid w:val="005C0EB8"/>
    <w:rsid w:val="005C0F27"/>
    <w:rsid w:val="005C0F85"/>
    <w:rsid w:val="005C0F86"/>
    <w:rsid w:val="005C0FFD"/>
    <w:rsid w:val="005C104D"/>
    <w:rsid w:val="005C113C"/>
    <w:rsid w:val="005C1167"/>
    <w:rsid w:val="005C138D"/>
    <w:rsid w:val="005C1437"/>
    <w:rsid w:val="005C14BE"/>
    <w:rsid w:val="005C14E3"/>
    <w:rsid w:val="005C15EA"/>
    <w:rsid w:val="005C1851"/>
    <w:rsid w:val="005C1858"/>
    <w:rsid w:val="005C1974"/>
    <w:rsid w:val="005C199E"/>
    <w:rsid w:val="005C19B0"/>
    <w:rsid w:val="005C1A0D"/>
    <w:rsid w:val="005C1A3A"/>
    <w:rsid w:val="005C1A88"/>
    <w:rsid w:val="005C1C42"/>
    <w:rsid w:val="005C1C8B"/>
    <w:rsid w:val="005C1CBD"/>
    <w:rsid w:val="005C1D67"/>
    <w:rsid w:val="005C1DD8"/>
    <w:rsid w:val="005C1E55"/>
    <w:rsid w:val="005C1E58"/>
    <w:rsid w:val="005C1E87"/>
    <w:rsid w:val="005C1EDB"/>
    <w:rsid w:val="005C2027"/>
    <w:rsid w:val="005C2071"/>
    <w:rsid w:val="005C2088"/>
    <w:rsid w:val="005C2118"/>
    <w:rsid w:val="005C2216"/>
    <w:rsid w:val="005C231F"/>
    <w:rsid w:val="005C2394"/>
    <w:rsid w:val="005C24D3"/>
    <w:rsid w:val="005C24D5"/>
    <w:rsid w:val="005C259A"/>
    <w:rsid w:val="005C25A2"/>
    <w:rsid w:val="005C25AC"/>
    <w:rsid w:val="005C2625"/>
    <w:rsid w:val="005C2630"/>
    <w:rsid w:val="005C26D7"/>
    <w:rsid w:val="005C273C"/>
    <w:rsid w:val="005C2781"/>
    <w:rsid w:val="005C2853"/>
    <w:rsid w:val="005C2859"/>
    <w:rsid w:val="005C2975"/>
    <w:rsid w:val="005C299A"/>
    <w:rsid w:val="005C29D0"/>
    <w:rsid w:val="005C29D1"/>
    <w:rsid w:val="005C2A71"/>
    <w:rsid w:val="005C2B0E"/>
    <w:rsid w:val="005C2B61"/>
    <w:rsid w:val="005C2B6A"/>
    <w:rsid w:val="005C2BFF"/>
    <w:rsid w:val="005C2CC4"/>
    <w:rsid w:val="005C2D02"/>
    <w:rsid w:val="005C2D3E"/>
    <w:rsid w:val="005C2D53"/>
    <w:rsid w:val="005C2DAA"/>
    <w:rsid w:val="005C2E00"/>
    <w:rsid w:val="005C2E49"/>
    <w:rsid w:val="005C2EC1"/>
    <w:rsid w:val="005C2F55"/>
    <w:rsid w:val="005C2F65"/>
    <w:rsid w:val="005C3038"/>
    <w:rsid w:val="005C3061"/>
    <w:rsid w:val="005C3068"/>
    <w:rsid w:val="005C307B"/>
    <w:rsid w:val="005C3085"/>
    <w:rsid w:val="005C31F0"/>
    <w:rsid w:val="005C3252"/>
    <w:rsid w:val="005C3267"/>
    <w:rsid w:val="005C327F"/>
    <w:rsid w:val="005C32AF"/>
    <w:rsid w:val="005C32B8"/>
    <w:rsid w:val="005C334D"/>
    <w:rsid w:val="005C3358"/>
    <w:rsid w:val="005C337F"/>
    <w:rsid w:val="005C342C"/>
    <w:rsid w:val="005C34B7"/>
    <w:rsid w:val="005C355E"/>
    <w:rsid w:val="005C35B0"/>
    <w:rsid w:val="005C35B8"/>
    <w:rsid w:val="005C361C"/>
    <w:rsid w:val="005C362E"/>
    <w:rsid w:val="005C3784"/>
    <w:rsid w:val="005C37A6"/>
    <w:rsid w:val="005C37C3"/>
    <w:rsid w:val="005C37CF"/>
    <w:rsid w:val="005C386E"/>
    <w:rsid w:val="005C38CE"/>
    <w:rsid w:val="005C3937"/>
    <w:rsid w:val="005C3998"/>
    <w:rsid w:val="005C39BF"/>
    <w:rsid w:val="005C39F4"/>
    <w:rsid w:val="005C3A2E"/>
    <w:rsid w:val="005C3B1C"/>
    <w:rsid w:val="005C3BBB"/>
    <w:rsid w:val="005C3D0F"/>
    <w:rsid w:val="005C3D76"/>
    <w:rsid w:val="005C3D7A"/>
    <w:rsid w:val="005C3ED8"/>
    <w:rsid w:val="005C3F2A"/>
    <w:rsid w:val="005C3F33"/>
    <w:rsid w:val="005C3F52"/>
    <w:rsid w:val="005C3F58"/>
    <w:rsid w:val="005C3F9A"/>
    <w:rsid w:val="005C404C"/>
    <w:rsid w:val="005C4074"/>
    <w:rsid w:val="005C407F"/>
    <w:rsid w:val="005C40CA"/>
    <w:rsid w:val="005C414B"/>
    <w:rsid w:val="005C417D"/>
    <w:rsid w:val="005C4183"/>
    <w:rsid w:val="005C41F3"/>
    <w:rsid w:val="005C4282"/>
    <w:rsid w:val="005C4295"/>
    <w:rsid w:val="005C44FF"/>
    <w:rsid w:val="005C4579"/>
    <w:rsid w:val="005C45B7"/>
    <w:rsid w:val="005C45D9"/>
    <w:rsid w:val="005C4676"/>
    <w:rsid w:val="005C46C7"/>
    <w:rsid w:val="005C47CA"/>
    <w:rsid w:val="005C4863"/>
    <w:rsid w:val="005C4948"/>
    <w:rsid w:val="005C49DE"/>
    <w:rsid w:val="005C4A2B"/>
    <w:rsid w:val="005C4A6B"/>
    <w:rsid w:val="005C4BAF"/>
    <w:rsid w:val="005C4BD1"/>
    <w:rsid w:val="005C4BFE"/>
    <w:rsid w:val="005C4CC1"/>
    <w:rsid w:val="005C4CD1"/>
    <w:rsid w:val="005C4E10"/>
    <w:rsid w:val="005C4E18"/>
    <w:rsid w:val="005C4EB0"/>
    <w:rsid w:val="005C4F00"/>
    <w:rsid w:val="005C4F4D"/>
    <w:rsid w:val="005C4F72"/>
    <w:rsid w:val="005C4FC5"/>
    <w:rsid w:val="005C4FD0"/>
    <w:rsid w:val="005C4FDE"/>
    <w:rsid w:val="005C5084"/>
    <w:rsid w:val="005C50D5"/>
    <w:rsid w:val="005C5124"/>
    <w:rsid w:val="005C515C"/>
    <w:rsid w:val="005C5167"/>
    <w:rsid w:val="005C5201"/>
    <w:rsid w:val="005C5274"/>
    <w:rsid w:val="005C52A2"/>
    <w:rsid w:val="005C531E"/>
    <w:rsid w:val="005C53CB"/>
    <w:rsid w:val="005C5412"/>
    <w:rsid w:val="005C54F8"/>
    <w:rsid w:val="005C55DA"/>
    <w:rsid w:val="005C564C"/>
    <w:rsid w:val="005C5680"/>
    <w:rsid w:val="005C5701"/>
    <w:rsid w:val="005C583B"/>
    <w:rsid w:val="005C585B"/>
    <w:rsid w:val="005C58A9"/>
    <w:rsid w:val="005C590F"/>
    <w:rsid w:val="005C5916"/>
    <w:rsid w:val="005C5954"/>
    <w:rsid w:val="005C5958"/>
    <w:rsid w:val="005C59BE"/>
    <w:rsid w:val="005C5A94"/>
    <w:rsid w:val="005C5B84"/>
    <w:rsid w:val="005C5BC9"/>
    <w:rsid w:val="005C5C27"/>
    <w:rsid w:val="005C5C3E"/>
    <w:rsid w:val="005C5CC8"/>
    <w:rsid w:val="005C5D71"/>
    <w:rsid w:val="005C5D77"/>
    <w:rsid w:val="005C5D8A"/>
    <w:rsid w:val="005C5DCB"/>
    <w:rsid w:val="005C5DDC"/>
    <w:rsid w:val="005C5EFA"/>
    <w:rsid w:val="005C5F19"/>
    <w:rsid w:val="005C5F5D"/>
    <w:rsid w:val="005C5FE6"/>
    <w:rsid w:val="005C60C4"/>
    <w:rsid w:val="005C612E"/>
    <w:rsid w:val="005C6135"/>
    <w:rsid w:val="005C6269"/>
    <w:rsid w:val="005C628C"/>
    <w:rsid w:val="005C6297"/>
    <w:rsid w:val="005C62E2"/>
    <w:rsid w:val="005C62F9"/>
    <w:rsid w:val="005C631E"/>
    <w:rsid w:val="005C648F"/>
    <w:rsid w:val="005C649F"/>
    <w:rsid w:val="005C64A6"/>
    <w:rsid w:val="005C64C4"/>
    <w:rsid w:val="005C6510"/>
    <w:rsid w:val="005C672C"/>
    <w:rsid w:val="005C67D2"/>
    <w:rsid w:val="005C6822"/>
    <w:rsid w:val="005C6882"/>
    <w:rsid w:val="005C68B1"/>
    <w:rsid w:val="005C6995"/>
    <w:rsid w:val="005C69E1"/>
    <w:rsid w:val="005C6AD3"/>
    <w:rsid w:val="005C6AEF"/>
    <w:rsid w:val="005C6B13"/>
    <w:rsid w:val="005C6B24"/>
    <w:rsid w:val="005C6BF3"/>
    <w:rsid w:val="005C6CA1"/>
    <w:rsid w:val="005C6CFF"/>
    <w:rsid w:val="005C6D1A"/>
    <w:rsid w:val="005C6D81"/>
    <w:rsid w:val="005C6E27"/>
    <w:rsid w:val="005C6E91"/>
    <w:rsid w:val="005C6F92"/>
    <w:rsid w:val="005C7036"/>
    <w:rsid w:val="005C7095"/>
    <w:rsid w:val="005C7099"/>
    <w:rsid w:val="005C70E4"/>
    <w:rsid w:val="005C7162"/>
    <w:rsid w:val="005C71B0"/>
    <w:rsid w:val="005C71D2"/>
    <w:rsid w:val="005C71E2"/>
    <w:rsid w:val="005C7227"/>
    <w:rsid w:val="005C72DB"/>
    <w:rsid w:val="005C737C"/>
    <w:rsid w:val="005C7498"/>
    <w:rsid w:val="005C75CA"/>
    <w:rsid w:val="005C75D8"/>
    <w:rsid w:val="005C7634"/>
    <w:rsid w:val="005C763E"/>
    <w:rsid w:val="005C766B"/>
    <w:rsid w:val="005C76C6"/>
    <w:rsid w:val="005C78C1"/>
    <w:rsid w:val="005C7907"/>
    <w:rsid w:val="005C796F"/>
    <w:rsid w:val="005C798D"/>
    <w:rsid w:val="005C79A8"/>
    <w:rsid w:val="005C7A26"/>
    <w:rsid w:val="005C7A2D"/>
    <w:rsid w:val="005C7B18"/>
    <w:rsid w:val="005C7C21"/>
    <w:rsid w:val="005C7C34"/>
    <w:rsid w:val="005C7C73"/>
    <w:rsid w:val="005C7CE8"/>
    <w:rsid w:val="005C7CEB"/>
    <w:rsid w:val="005C7CF0"/>
    <w:rsid w:val="005C7CF3"/>
    <w:rsid w:val="005C7DBC"/>
    <w:rsid w:val="005C7DE2"/>
    <w:rsid w:val="005C7DF2"/>
    <w:rsid w:val="005C7E47"/>
    <w:rsid w:val="005C7F33"/>
    <w:rsid w:val="005C7F7E"/>
    <w:rsid w:val="005C7FB1"/>
    <w:rsid w:val="005C7FB7"/>
    <w:rsid w:val="005C7FD1"/>
    <w:rsid w:val="005CCD07"/>
    <w:rsid w:val="005D0069"/>
    <w:rsid w:val="005D007D"/>
    <w:rsid w:val="005D0089"/>
    <w:rsid w:val="005D01A1"/>
    <w:rsid w:val="005D01F7"/>
    <w:rsid w:val="005D0251"/>
    <w:rsid w:val="005D0273"/>
    <w:rsid w:val="005D0291"/>
    <w:rsid w:val="005D02AF"/>
    <w:rsid w:val="005D0309"/>
    <w:rsid w:val="005D03D3"/>
    <w:rsid w:val="005D0414"/>
    <w:rsid w:val="005D0529"/>
    <w:rsid w:val="005D0556"/>
    <w:rsid w:val="005D069B"/>
    <w:rsid w:val="005D06B5"/>
    <w:rsid w:val="005D0713"/>
    <w:rsid w:val="005D07DB"/>
    <w:rsid w:val="005D08AF"/>
    <w:rsid w:val="005D09E3"/>
    <w:rsid w:val="005D0A2E"/>
    <w:rsid w:val="005D0A31"/>
    <w:rsid w:val="005D0AA9"/>
    <w:rsid w:val="005D0B24"/>
    <w:rsid w:val="005D0CB8"/>
    <w:rsid w:val="005D0CBB"/>
    <w:rsid w:val="005D0CD5"/>
    <w:rsid w:val="005D0CF3"/>
    <w:rsid w:val="005D0D79"/>
    <w:rsid w:val="005D0D87"/>
    <w:rsid w:val="005D0EFF"/>
    <w:rsid w:val="005D0F7E"/>
    <w:rsid w:val="005D0FB2"/>
    <w:rsid w:val="005D100A"/>
    <w:rsid w:val="005D10D8"/>
    <w:rsid w:val="005D1154"/>
    <w:rsid w:val="005D115E"/>
    <w:rsid w:val="005D1361"/>
    <w:rsid w:val="005D1410"/>
    <w:rsid w:val="005D1544"/>
    <w:rsid w:val="005D15AF"/>
    <w:rsid w:val="005D15DB"/>
    <w:rsid w:val="005D16AC"/>
    <w:rsid w:val="005D16DB"/>
    <w:rsid w:val="005D1743"/>
    <w:rsid w:val="005D175E"/>
    <w:rsid w:val="005D187F"/>
    <w:rsid w:val="005D1899"/>
    <w:rsid w:val="005D18A4"/>
    <w:rsid w:val="005D18BD"/>
    <w:rsid w:val="005D19A8"/>
    <w:rsid w:val="005D19B1"/>
    <w:rsid w:val="005D1A26"/>
    <w:rsid w:val="005D1A58"/>
    <w:rsid w:val="005D1A6B"/>
    <w:rsid w:val="005D1A9A"/>
    <w:rsid w:val="005D1B2C"/>
    <w:rsid w:val="005D1B54"/>
    <w:rsid w:val="005D1BAC"/>
    <w:rsid w:val="005D1C9F"/>
    <w:rsid w:val="005D1D47"/>
    <w:rsid w:val="005D1D54"/>
    <w:rsid w:val="005D1E4F"/>
    <w:rsid w:val="005D1E6C"/>
    <w:rsid w:val="005D1EF2"/>
    <w:rsid w:val="005D2091"/>
    <w:rsid w:val="005D212D"/>
    <w:rsid w:val="005D215C"/>
    <w:rsid w:val="005D21C9"/>
    <w:rsid w:val="005D222E"/>
    <w:rsid w:val="005D226B"/>
    <w:rsid w:val="005D22DA"/>
    <w:rsid w:val="005D2303"/>
    <w:rsid w:val="005D2432"/>
    <w:rsid w:val="005D2470"/>
    <w:rsid w:val="005D2492"/>
    <w:rsid w:val="005D251F"/>
    <w:rsid w:val="005D265A"/>
    <w:rsid w:val="005D268A"/>
    <w:rsid w:val="005D26D8"/>
    <w:rsid w:val="005D27DE"/>
    <w:rsid w:val="005D2844"/>
    <w:rsid w:val="005D2867"/>
    <w:rsid w:val="005D28EE"/>
    <w:rsid w:val="005D2914"/>
    <w:rsid w:val="005D298E"/>
    <w:rsid w:val="005D29EB"/>
    <w:rsid w:val="005D2A32"/>
    <w:rsid w:val="005D2B11"/>
    <w:rsid w:val="005D2BC3"/>
    <w:rsid w:val="005D2BF4"/>
    <w:rsid w:val="005D2C26"/>
    <w:rsid w:val="005D2C3A"/>
    <w:rsid w:val="005D2C4C"/>
    <w:rsid w:val="005D2C65"/>
    <w:rsid w:val="005D2C7F"/>
    <w:rsid w:val="005D2C8D"/>
    <w:rsid w:val="005D2C9A"/>
    <w:rsid w:val="005D2CE8"/>
    <w:rsid w:val="005D2CEB"/>
    <w:rsid w:val="005D2D3A"/>
    <w:rsid w:val="005D2DCB"/>
    <w:rsid w:val="005D2E03"/>
    <w:rsid w:val="005D2E63"/>
    <w:rsid w:val="005D2F03"/>
    <w:rsid w:val="005D2F0A"/>
    <w:rsid w:val="005D2FE8"/>
    <w:rsid w:val="005D301A"/>
    <w:rsid w:val="005D30AD"/>
    <w:rsid w:val="005D3116"/>
    <w:rsid w:val="005D3161"/>
    <w:rsid w:val="005D31E9"/>
    <w:rsid w:val="005D320F"/>
    <w:rsid w:val="005D321E"/>
    <w:rsid w:val="005D325B"/>
    <w:rsid w:val="005D3281"/>
    <w:rsid w:val="005D32F2"/>
    <w:rsid w:val="005D333C"/>
    <w:rsid w:val="005D339B"/>
    <w:rsid w:val="005D34A1"/>
    <w:rsid w:val="005D351D"/>
    <w:rsid w:val="005D3536"/>
    <w:rsid w:val="005D3537"/>
    <w:rsid w:val="005D354C"/>
    <w:rsid w:val="005D355C"/>
    <w:rsid w:val="005D35F1"/>
    <w:rsid w:val="005D369D"/>
    <w:rsid w:val="005D3763"/>
    <w:rsid w:val="005D3865"/>
    <w:rsid w:val="005D38FA"/>
    <w:rsid w:val="005D39B4"/>
    <w:rsid w:val="005D3ABD"/>
    <w:rsid w:val="005D3AD0"/>
    <w:rsid w:val="005D3B68"/>
    <w:rsid w:val="005D3C09"/>
    <w:rsid w:val="005D3C2E"/>
    <w:rsid w:val="005D3C4F"/>
    <w:rsid w:val="005D3CA6"/>
    <w:rsid w:val="005D3D05"/>
    <w:rsid w:val="005D3D22"/>
    <w:rsid w:val="005D3D55"/>
    <w:rsid w:val="005D3DF1"/>
    <w:rsid w:val="005D3E62"/>
    <w:rsid w:val="005D3E85"/>
    <w:rsid w:val="005D3F45"/>
    <w:rsid w:val="005D3F4F"/>
    <w:rsid w:val="005D3F53"/>
    <w:rsid w:val="005D3F56"/>
    <w:rsid w:val="005D3F76"/>
    <w:rsid w:val="005D3FBE"/>
    <w:rsid w:val="005D3FE9"/>
    <w:rsid w:val="005D4058"/>
    <w:rsid w:val="005D40DB"/>
    <w:rsid w:val="005D40F6"/>
    <w:rsid w:val="005D4162"/>
    <w:rsid w:val="005D419B"/>
    <w:rsid w:val="005D4241"/>
    <w:rsid w:val="005D432D"/>
    <w:rsid w:val="005D4360"/>
    <w:rsid w:val="005D43A6"/>
    <w:rsid w:val="005D43E1"/>
    <w:rsid w:val="005D43EC"/>
    <w:rsid w:val="005D4518"/>
    <w:rsid w:val="005D4564"/>
    <w:rsid w:val="005D45D1"/>
    <w:rsid w:val="005D4767"/>
    <w:rsid w:val="005D47AB"/>
    <w:rsid w:val="005D47C8"/>
    <w:rsid w:val="005D4834"/>
    <w:rsid w:val="005D483F"/>
    <w:rsid w:val="005D4A05"/>
    <w:rsid w:val="005D4A31"/>
    <w:rsid w:val="005D4A5E"/>
    <w:rsid w:val="005D4AB2"/>
    <w:rsid w:val="005D4B24"/>
    <w:rsid w:val="005D4B98"/>
    <w:rsid w:val="005D4C47"/>
    <w:rsid w:val="005D4CD1"/>
    <w:rsid w:val="005D4D83"/>
    <w:rsid w:val="005D4D96"/>
    <w:rsid w:val="005D4DA7"/>
    <w:rsid w:val="005D4FB9"/>
    <w:rsid w:val="005D5055"/>
    <w:rsid w:val="005D506B"/>
    <w:rsid w:val="005D50F5"/>
    <w:rsid w:val="005D52AE"/>
    <w:rsid w:val="005D52DA"/>
    <w:rsid w:val="005D535B"/>
    <w:rsid w:val="005D538F"/>
    <w:rsid w:val="005D543D"/>
    <w:rsid w:val="005D54CE"/>
    <w:rsid w:val="005D54DF"/>
    <w:rsid w:val="005D5557"/>
    <w:rsid w:val="005D5685"/>
    <w:rsid w:val="005D585F"/>
    <w:rsid w:val="005D587C"/>
    <w:rsid w:val="005D589E"/>
    <w:rsid w:val="005D58D9"/>
    <w:rsid w:val="005D59AB"/>
    <w:rsid w:val="005D5B32"/>
    <w:rsid w:val="005D5B7D"/>
    <w:rsid w:val="005D5BE1"/>
    <w:rsid w:val="005D5C1B"/>
    <w:rsid w:val="005D5C31"/>
    <w:rsid w:val="005D5C46"/>
    <w:rsid w:val="005D5D4D"/>
    <w:rsid w:val="005D5F44"/>
    <w:rsid w:val="005D5F56"/>
    <w:rsid w:val="005D6043"/>
    <w:rsid w:val="005D60ED"/>
    <w:rsid w:val="005D613D"/>
    <w:rsid w:val="005D6145"/>
    <w:rsid w:val="005D61E0"/>
    <w:rsid w:val="005D62EE"/>
    <w:rsid w:val="005D637B"/>
    <w:rsid w:val="005D6389"/>
    <w:rsid w:val="005D63EF"/>
    <w:rsid w:val="005D642C"/>
    <w:rsid w:val="005D64A1"/>
    <w:rsid w:val="005D65A3"/>
    <w:rsid w:val="005D65B9"/>
    <w:rsid w:val="005D6692"/>
    <w:rsid w:val="005D670F"/>
    <w:rsid w:val="005D6745"/>
    <w:rsid w:val="005D67BD"/>
    <w:rsid w:val="005D67F6"/>
    <w:rsid w:val="005D6839"/>
    <w:rsid w:val="005D6917"/>
    <w:rsid w:val="005D697D"/>
    <w:rsid w:val="005D698D"/>
    <w:rsid w:val="005D6A05"/>
    <w:rsid w:val="005D6A74"/>
    <w:rsid w:val="005D6A96"/>
    <w:rsid w:val="005D6B4B"/>
    <w:rsid w:val="005D6C2A"/>
    <w:rsid w:val="005D6C48"/>
    <w:rsid w:val="005D6CC7"/>
    <w:rsid w:val="005D6D4C"/>
    <w:rsid w:val="005D6D86"/>
    <w:rsid w:val="005D6DB5"/>
    <w:rsid w:val="005D6E9D"/>
    <w:rsid w:val="005D6EE9"/>
    <w:rsid w:val="005D6F72"/>
    <w:rsid w:val="005D7096"/>
    <w:rsid w:val="005D70B0"/>
    <w:rsid w:val="005D70E4"/>
    <w:rsid w:val="005D7126"/>
    <w:rsid w:val="005D71C4"/>
    <w:rsid w:val="005D7200"/>
    <w:rsid w:val="005D7310"/>
    <w:rsid w:val="005D737F"/>
    <w:rsid w:val="005D742A"/>
    <w:rsid w:val="005D744C"/>
    <w:rsid w:val="005D7488"/>
    <w:rsid w:val="005D74FF"/>
    <w:rsid w:val="005D758A"/>
    <w:rsid w:val="005D7609"/>
    <w:rsid w:val="005D764A"/>
    <w:rsid w:val="005D7712"/>
    <w:rsid w:val="005D77B0"/>
    <w:rsid w:val="005D7862"/>
    <w:rsid w:val="005D7870"/>
    <w:rsid w:val="005D792B"/>
    <w:rsid w:val="005D7954"/>
    <w:rsid w:val="005D7974"/>
    <w:rsid w:val="005D7A97"/>
    <w:rsid w:val="005D7AF5"/>
    <w:rsid w:val="005D7B84"/>
    <w:rsid w:val="005D7B96"/>
    <w:rsid w:val="005D7BBA"/>
    <w:rsid w:val="005D7C02"/>
    <w:rsid w:val="005D7CC9"/>
    <w:rsid w:val="005D7D12"/>
    <w:rsid w:val="005D7DE5"/>
    <w:rsid w:val="005D7E6A"/>
    <w:rsid w:val="005D7EEA"/>
    <w:rsid w:val="005D7F21"/>
    <w:rsid w:val="005D7F95"/>
    <w:rsid w:val="005D7FBA"/>
    <w:rsid w:val="005E0081"/>
    <w:rsid w:val="005E012E"/>
    <w:rsid w:val="005E0144"/>
    <w:rsid w:val="005E024A"/>
    <w:rsid w:val="005E031E"/>
    <w:rsid w:val="005E03B3"/>
    <w:rsid w:val="005E0406"/>
    <w:rsid w:val="005E042F"/>
    <w:rsid w:val="005E04E6"/>
    <w:rsid w:val="005E04E8"/>
    <w:rsid w:val="005E052C"/>
    <w:rsid w:val="005E053D"/>
    <w:rsid w:val="005E0592"/>
    <w:rsid w:val="005E05E0"/>
    <w:rsid w:val="005E05EF"/>
    <w:rsid w:val="005E06FC"/>
    <w:rsid w:val="005E0704"/>
    <w:rsid w:val="005E073C"/>
    <w:rsid w:val="005E0755"/>
    <w:rsid w:val="005E0797"/>
    <w:rsid w:val="005E07C2"/>
    <w:rsid w:val="005E08DF"/>
    <w:rsid w:val="005E0903"/>
    <w:rsid w:val="005E0922"/>
    <w:rsid w:val="005E0975"/>
    <w:rsid w:val="005E09CF"/>
    <w:rsid w:val="005E0A03"/>
    <w:rsid w:val="005E0A6F"/>
    <w:rsid w:val="005E0AC7"/>
    <w:rsid w:val="005E0B33"/>
    <w:rsid w:val="005E0B5B"/>
    <w:rsid w:val="005E0BAD"/>
    <w:rsid w:val="005E0C52"/>
    <w:rsid w:val="005E0C79"/>
    <w:rsid w:val="005E0CA8"/>
    <w:rsid w:val="005E0D02"/>
    <w:rsid w:val="005E0D7F"/>
    <w:rsid w:val="005E0DA3"/>
    <w:rsid w:val="005E0E16"/>
    <w:rsid w:val="005E0E19"/>
    <w:rsid w:val="005E0EAF"/>
    <w:rsid w:val="005E0EBB"/>
    <w:rsid w:val="005E0EC8"/>
    <w:rsid w:val="005E0FEC"/>
    <w:rsid w:val="005E105B"/>
    <w:rsid w:val="005E1060"/>
    <w:rsid w:val="005E10CB"/>
    <w:rsid w:val="005E1103"/>
    <w:rsid w:val="005E1162"/>
    <w:rsid w:val="005E1171"/>
    <w:rsid w:val="005E117D"/>
    <w:rsid w:val="005E1253"/>
    <w:rsid w:val="005E1269"/>
    <w:rsid w:val="005E12D6"/>
    <w:rsid w:val="005E12DF"/>
    <w:rsid w:val="005E1449"/>
    <w:rsid w:val="005E1471"/>
    <w:rsid w:val="005E1550"/>
    <w:rsid w:val="005E1553"/>
    <w:rsid w:val="005E1555"/>
    <w:rsid w:val="005E1619"/>
    <w:rsid w:val="005E171C"/>
    <w:rsid w:val="005E171F"/>
    <w:rsid w:val="005E1744"/>
    <w:rsid w:val="005E182C"/>
    <w:rsid w:val="005E1861"/>
    <w:rsid w:val="005E1889"/>
    <w:rsid w:val="005E1927"/>
    <w:rsid w:val="005E1949"/>
    <w:rsid w:val="005E1985"/>
    <w:rsid w:val="005E1AF7"/>
    <w:rsid w:val="005E1BC0"/>
    <w:rsid w:val="005E1BE0"/>
    <w:rsid w:val="005E1BF8"/>
    <w:rsid w:val="005E1C90"/>
    <w:rsid w:val="005E1CDF"/>
    <w:rsid w:val="005E1D52"/>
    <w:rsid w:val="005E1D6E"/>
    <w:rsid w:val="005E1DD3"/>
    <w:rsid w:val="005E1E60"/>
    <w:rsid w:val="005E1E61"/>
    <w:rsid w:val="005E1FA2"/>
    <w:rsid w:val="005E202F"/>
    <w:rsid w:val="005E2068"/>
    <w:rsid w:val="005E20B4"/>
    <w:rsid w:val="005E20DD"/>
    <w:rsid w:val="005E20E8"/>
    <w:rsid w:val="005E210C"/>
    <w:rsid w:val="005E2152"/>
    <w:rsid w:val="005E21DF"/>
    <w:rsid w:val="005E21F8"/>
    <w:rsid w:val="005E2224"/>
    <w:rsid w:val="005E2286"/>
    <w:rsid w:val="005E228F"/>
    <w:rsid w:val="005E22A7"/>
    <w:rsid w:val="005E2324"/>
    <w:rsid w:val="005E2351"/>
    <w:rsid w:val="005E2377"/>
    <w:rsid w:val="005E23AA"/>
    <w:rsid w:val="005E23F8"/>
    <w:rsid w:val="005E2420"/>
    <w:rsid w:val="005E2498"/>
    <w:rsid w:val="005E25E8"/>
    <w:rsid w:val="005E262A"/>
    <w:rsid w:val="005E2656"/>
    <w:rsid w:val="005E270C"/>
    <w:rsid w:val="005E2738"/>
    <w:rsid w:val="005E2748"/>
    <w:rsid w:val="005E27BD"/>
    <w:rsid w:val="005E2816"/>
    <w:rsid w:val="005E2873"/>
    <w:rsid w:val="005E2896"/>
    <w:rsid w:val="005E28D7"/>
    <w:rsid w:val="005E29A3"/>
    <w:rsid w:val="005E29BB"/>
    <w:rsid w:val="005E2A7E"/>
    <w:rsid w:val="005E2A89"/>
    <w:rsid w:val="005E2BC7"/>
    <w:rsid w:val="005E2BF8"/>
    <w:rsid w:val="005E2C30"/>
    <w:rsid w:val="005E2CA4"/>
    <w:rsid w:val="005E2D35"/>
    <w:rsid w:val="005E2D4F"/>
    <w:rsid w:val="005E2D8A"/>
    <w:rsid w:val="005E2DA6"/>
    <w:rsid w:val="005E2DB6"/>
    <w:rsid w:val="005E2E57"/>
    <w:rsid w:val="005E2E96"/>
    <w:rsid w:val="005E2ECA"/>
    <w:rsid w:val="005E2F35"/>
    <w:rsid w:val="005E2F5F"/>
    <w:rsid w:val="005E2F9B"/>
    <w:rsid w:val="005E3074"/>
    <w:rsid w:val="005E3119"/>
    <w:rsid w:val="005E3126"/>
    <w:rsid w:val="005E3187"/>
    <w:rsid w:val="005E31F8"/>
    <w:rsid w:val="005E3332"/>
    <w:rsid w:val="005E3336"/>
    <w:rsid w:val="005E33D0"/>
    <w:rsid w:val="005E3442"/>
    <w:rsid w:val="005E3452"/>
    <w:rsid w:val="005E34FF"/>
    <w:rsid w:val="005E370A"/>
    <w:rsid w:val="005E3736"/>
    <w:rsid w:val="005E37B2"/>
    <w:rsid w:val="005E382A"/>
    <w:rsid w:val="005E3841"/>
    <w:rsid w:val="005E38F6"/>
    <w:rsid w:val="005E3902"/>
    <w:rsid w:val="005E39B3"/>
    <w:rsid w:val="005E39DD"/>
    <w:rsid w:val="005E39F5"/>
    <w:rsid w:val="005E3A2E"/>
    <w:rsid w:val="005E3A85"/>
    <w:rsid w:val="005E3A86"/>
    <w:rsid w:val="005E3AC6"/>
    <w:rsid w:val="005E3B6F"/>
    <w:rsid w:val="005E3BB7"/>
    <w:rsid w:val="005E3CF6"/>
    <w:rsid w:val="005E3DC6"/>
    <w:rsid w:val="005E3E7E"/>
    <w:rsid w:val="005E3E8F"/>
    <w:rsid w:val="005E3E94"/>
    <w:rsid w:val="005E3EA3"/>
    <w:rsid w:val="005E3F5C"/>
    <w:rsid w:val="005E3FD3"/>
    <w:rsid w:val="005E40A5"/>
    <w:rsid w:val="005E4196"/>
    <w:rsid w:val="005E41D9"/>
    <w:rsid w:val="005E41EB"/>
    <w:rsid w:val="005E4205"/>
    <w:rsid w:val="005E4251"/>
    <w:rsid w:val="005E42C3"/>
    <w:rsid w:val="005E43BE"/>
    <w:rsid w:val="005E440D"/>
    <w:rsid w:val="005E443B"/>
    <w:rsid w:val="005E44D4"/>
    <w:rsid w:val="005E4541"/>
    <w:rsid w:val="005E4575"/>
    <w:rsid w:val="005E45FB"/>
    <w:rsid w:val="005E4788"/>
    <w:rsid w:val="005E47AD"/>
    <w:rsid w:val="005E47D6"/>
    <w:rsid w:val="005E47E4"/>
    <w:rsid w:val="005E4846"/>
    <w:rsid w:val="005E4874"/>
    <w:rsid w:val="005E48B4"/>
    <w:rsid w:val="005E48C9"/>
    <w:rsid w:val="005E48E7"/>
    <w:rsid w:val="005E4946"/>
    <w:rsid w:val="005E495B"/>
    <w:rsid w:val="005E4962"/>
    <w:rsid w:val="005E4982"/>
    <w:rsid w:val="005E4A6B"/>
    <w:rsid w:val="005E4A6D"/>
    <w:rsid w:val="005E4AC4"/>
    <w:rsid w:val="005E4ADB"/>
    <w:rsid w:val="005E4B14"/>
    <w:rsid w:val="005E4B1A"/>
    <w:rsid w:val="005E4DD7"/>
    <w:rsid w:val="005E4E03"/>
    <w:rsid w:val="005E4ED5"/>
    <w:rsid w:val="005E4F1B"/>
    <w:rsid w:val="005E4F9D"/>
    <w:rsid w:val="005E4FB1"/>
    <w:rsid w:val="005E4FF6"/>
    <w:rsid w:val="005E502A"/>
    <w:rsid w:val="005E50BA"/>
    <w:rsid w:val="005E50D1"/>
    <w:rsid w:val="005E5107"/>
    <w:rsid w:val="005E5116"/>
    <w:rsid w:val="005E5120"/>
    <w:rsid w:val="005E5275"/>
    <w:rsid w:val="005E528B"/>
    <w:rsid w:val="005E5390"/>
    <w:rsid w:val="005E539D"/>
    <w:rsid w:val="005E545F"/>
    <w:rsid w:val="005E54A6"/>
    <w:rsid w:val="005E54E8"/>
    <w:rsid w:val="005E54FD"/>
    <w:rsid w:val="005E55CC"/>
    <w:rsid w:val="005E5697"/>
    <w:rsid w:val="005E572A"/>
    <w:rsid w:val="005E5734"/>
    <w:rsid w:val="005E57AE"/>
    <w:rsid w:val="005E57F1"/>
    <w:rsid w:val="005E58D0"/>
    <w:rsid w:val="005E5905"/>
    <w:rsid w:val="005E5986"/>
    <w:rsid w:val="005E59EF"/>
    <w:rsid w:val="005E5ABC"/>
    <w:rsid w:val="005E5B04"/>
    <w:rsid w:val="005E5B2D"/>
    <w:rsid w:val="005E5BFD"/>
    <w:rsid w:val="005E5C0F"/>
    <w:rsid w:val="005E5C16"/>
    <w:rsid w:val="005E5C4F"/>
    <w:rsid w:val="005E5C5F"/>
    <w:rsid w:val="005E5D97"/>
    <w:rsid w:val="005E5E21"/>
    <w:rsid w:val="005E5E5B"/>
    <w:rsid w:val="005E5FC7"/>
    <w:rsid w:val="005E600B"/>
    <w:rsid w:val="005E6148"/>
    <w:rsid w:val="005E6213"/>
    <w:rsid w:val="005E639C"/>
    <w:rsid w:val="005E63AE"/>
    <w:rsid w:val="005E63BC"/>
    <w:rsid w:val="005E6459"/>
    <w:rsid w:val="005E645A"/>
    <w:rsid w:val="005E6472"/>
    <w:rsid w:val="005E64F6"/>
    <w:rsid w:val="005E6547"/>
    <w:rsid w:val="005E6631"/>
    <w:rsid w:val="005E667A"/>
    <w:rsid w:val="005E68FE"/>
    <w:rsid w:val="005E6920"/>
    <w:rsid w:val="005E69C6"/>
    <w:rsid w:val="005E69DF"/>
    <w:rsid w:val="005E6AD9"/>
    <w:rsid w:val="005E6B28"/>
    <w:rsid w:val="005E6B73"/>
    <w:rsid w:val="005E6BC2"/>
    <w:rsid w:val="005E6BCE"/>
    <w:rsid w:val="005E6C02"/>
    <w:rsid w:val="005E6C3E"/>
    <w:rsid w:val="005E6F99"/>
    <w:rsid w:val="005E6FCF"/>
    <w:rsid w:val="005E704A"/>
    <w:rsid w:val="005E70C1"/>
    <w:rsid w:val="005E7229"/>
    <w:rsid w:val="005E72FB"/>
    <w:rsid w:val="005E730A"/>
    <w:rsid w:val="005E73BE"/>
    <w:rsid w:val="005E7552"/>
    <w:rsid w:val="005E763E"/>
    <w:rsid w:val="005E7673"/>
    <w:rsid w:val="005E767E"/>
    <w:rsid w:val="005E771C"/>
    <w:rsid w:val="005E79A4"/>
    <w:rsid w:val="005E79C6"/>
    <w:rsid w:val="005E7B15"/>
    <w:rsid w:val="005E7BB2"/>
    <w:rsid w:val="005E7BC0"/>
    <w:rsid w:val="005E7BEE"/>
    <w:rsid w:val="005E7C2B"/>
    <w:rsid w:val="005E7CBC"/>
    <w:rsid w:val="005E7D44"/>
    <w:rsid w:val="005E7D60"/>
    <w:rsid w:val="005E7EA4"/>
    <w:rsid w:val="005E7F24"/>
    <w:rsid w:val="005E7F82"/>
    <w:rsid w:val="005E7F8F"/>
    <w:rsid w:val="005EC4AB"/>
    <w:rsid w:val="005F00B7"/>
    <w:rsid w:val="005F011B"/>
    <w:rsid w:val="005F01F9"/>
    <w:rsid w:val="005F0269"/>
    <w:rsid w:val="005F02BE"/>
    <w:rsid w:val="005F0321"/>
    <w:rsid w:val="005F0367"/>
    <w:rsid w:val="005F04D1"/>
    <w:rsid w:val="005F057D"/>
    <w:rsid w:val="005F05E3"/>
    <w:rsid w:val="005F0627"/>
    <w:rsid w:val="005F0682"/>
    <w:rsid w:val="005F0716"/>
    <w:rsid w:val="005F079A"/>
    <w:rsid w:val="005F084B"/>
    <w:rsid w:val="005F0949"/>
    <w:rsid w:val="005F097C"/>
    <w:rsid w:val="005F0982"/>
    <w:rsid w:val="005F0996"/>
    <w:rsid w:val="005F09B3"/>
    <w:rsid w:val="005F09EC"/>
    <w:rsid w:val="005F0A34"/>
    <w:rsid w:val="005F0A8E"/>
    <w:rsid w:val="005F0B1E"/>
    <w:rsid w:val="005F0BD9"/>
    <w:rsid w:val="005F0C87"/>
    <w:rsid w:val="005F0CB3"/>
    <w:rsid w:val="005F0DD4"/>
    <w:rsid w:val="005F0E4B"/>
    <w:rsid w:val="005F0EA5"/>
    <w:rsid w:val="005F0EEF"/>
    <w:rsid w:val="005F0FB0"/>
    <w:rsid w:val="005F0FBC"/>
    <w:rsid w:val="005F104B"/>
    <w:rsid w:val="005F105A"/>
    <w:rsid w:val="005F1078"/>
    <w:rsid w:val="005F131F"/>
    <w:rsid w:val="005F1426"/>
    <w:rsid w:val="005F1442"/>
    <w:rsid w:val="005F153C"/>
    <w:rsid w:val="005F1542"/>
    <w:rsid w:val="005F15F9"/>
    <w:rsid w:val="005F1777"/>
    <w:rsid w:val="005F1845"/>
    <w:rsid w:val="005F18BC"/>
    <w:rsid w:val="005F18FB"/>
    <w:rsid w:val="005F1960"/>
    <w:rsid w:val="005F1A08"/>
    <w:rsid w:val="005F1A58"/>
    <w:rsid w:val="005F1BAF"/>
    <w:rsid w:val="005F1C9E"/>
    <w:rsid w:val="005F1CC2"/>
    <w:rsid w:val="005F1CE4"/>
    <w:rsid w:val="005F1CE6"/>
    <w:rsid w:val="005F1EC2"/>
    <w:rsid w:val="005F1F3B"/>
    <w:rsid w:val="005F1F82"/>
    <w:rsid w:val="005F2012"/>
    <w:rsid w:val="005F208A"/>
    <w:rsid w:val="005F21B8"/>
    <w:rsid w:val="005F21CA"/>
    <w:rsid w:val="005F229E"/>
    <w:rsid w:val="005F23F7"/>
    <w:rsid w:val="005F2484"/>
    <w:rsid w:val="005F2561"/>
    <w:rsid w:val="005F2590"/>
    <w:rsid w:val="005F25D2"/>
    <w:rsid w:val="005F26AF"/>
    <w:rsid w:val="005F27BD"/>
    <w:rsid w:val="005F2875"/>
    <w:rsid w:val="005F28BA"/>
    <w:rsid w:val="005F28D0"/>
    <w:rsid w:val="005F2989"/>
    <w:rsid w:val="005F29BE"/>
    <w:rsid w:val="005F29D0"/>
    <w:rsid w:val="005F2A85"/>
    <w:rsid w:val="005F2BE5"/>
    <w:rsid w:val="005F2BEB"/>
    <w:rsid w:val="005F2C00"/>
    <w:rsid w:val="005F2C11"/>
    <w:rsid w:val="005F2C4F"/>
    <w:rsid w:val="005F2CBF"/>
    <w:rsid w:val="005F2D11"/>
    <w:rsid w:val="005F2DAA"/>
    <w:rsid w:val="005F2DF5"/>
    <w:rsid w:val="005F2EBE"/>
    <w:rsid w:val="005F2ED7"/>
    <w:rsid w:val="005F2F2B"/>
    <w:rsid w:val="005F2FE3"/>
    <w:rsid w:val="005F2FE4"/>
    <w:rsid w:val="005F30E1"/>
    <w:rsid w:val="005F31E6"/>
    <w:rsid w:val="005F31F9"/>
    <w:rsid w:val="005F3299"/>
    <w:rsid w:val="005F32C7"/>
    <w:rsid w:val="005F3399"/>
    <w:rsid w:val="005F33C4"/>
    <w:rsid w:val="005F3423"/>
    <w:rsid w:val="005F34CA"/>
    <w:rsid w:val="005F34F5"/>
    <w:rsid w:val="005F3560"/>
    <w:rsid w:val="005F36C2"/>
    <w:rsid w:val="005F36D4"/>
    <w:rsid w:val="005F36F1"/>
    <w:rsid w:val="005F3722"/>
    <w:rsid w:val="005F37D3"/>
    <w:rsid w:val="005F3803"/>
    <w:rsid w:val="005F3806"/>
    <w:rsid w:val="005F3868"/>
    <w:rsid w:val="005F393E"/>
    <w:rsid w:val="005F39A7"/>
    <w:rsid w:val="005F3A30"/>
    <w:rsid w:val="005F3A39"/>
    <w:rsid w:val="005F3A6D"/>
    <w:rsid w:val="005F3AA2"/>
    <w:rsid w:val="005F3AE4"/>
    <w:rsid w:val="005F3AF3"/>
    <w:rsid w:val="005F3AFF"/>
    <w:rsid w:val="005F3B07"/>
    <w:rsid w:val="005F3BAC"/>
    <w:rsid w:val="005F3D32"/>
    <w:rsid w:val="005F3D5F"/>
    <w:rsid w:val="005F3D73"/>
    <w:rsid w:val="005F3D7E"/>
    <w:rsid w:val="005F3DD9"/>
    <w:rsid w:val="005F3DF3"/>
    <w:rsid w:val="005F3E09"/>
    <w:rsid w:val="005F3EF8"/>
    <w:rsid w:val="005F3F53"/>
    <w:rsid w:val="005F3F66"/>
    <w:rsid w:val="005F40A8"/>
    <w:rsid w:val="005F419B"/>
    <w:rsid w:val="005F4214"/>
    <w:rsid w:val="005F422D"/>
    <w:rsid w:val="005F4263"/>
    <w:rsid w:val="005F42B5"/>
    <w:rsid w:val="005F4387"/>
    <w:rsid w:val="005F4406"/>
    <w:rsid w:val="005F4491"/>
    <w:rsid w:val="005F4526"/>
    <w:rsid w:val="005F455B"/>
    <w:rsid w:val="005F4582"/>
    <w:rsid w:val="005F45B4"/>
    <w:rsid w:val="005F45C6"/>
    <w:rsid w:val="005F45E2"/>
    <w:rsid w:val="005F45E9"/>
    <w:rsid w:val="005F46A9"/>
    <w:rsid w:val="005F46D2"/>
    <w:rsid w:val="005F472F"/>
    <w:rsid w:val="005F4750"/>
    <w:rsid w:val="005F4774"/>
    <w:rsid w:val="005F4792"/>
    <w:rsid w:val="005F4819"/>
    <w:rsid w:val="005F4831"/>
    <w:rsid w:val="005F4837"/>
    <w:rsid w:val="005F484C"/>
    <w:rsid w:val="005F48EB"/>
    <w:rsid w:val="005F4925"/>
    <w:rsid w:val="005F4986"/>
    <w:rsid w:val="005F49A7"/>
    <w:rsid w:val="005F49D7"/>
    <w:rsid w:val="005F4A4A"/>
    <w:rsid w:val="005F4A8B"/>
    <w:rsid w:val="005F4ABB"/>
    <w:rsid w:val="005F4B70"/>
    <w:rsid w:val="005F4B76"/>
    <w:rsid w:val="005F4BD8"/>
    <w:rsid w:val="005F4C3B"/>
    <w:rsid w:val="005F4CA9"/>
    <w:rsid w:val="005F4CE4"/>
    <w:rsid w:val="005F4D27"/>
    <w:rsid w:val="005F4D54"/>
    <w:rsid w:val="005F4D6E"/>
    <w:rsid w:val="005F4D8C"/>
    <w:rsid w:val="005F4E19"/>
    <w:rsid w:val="005F4F75"/>
    <w:rsid w:val="005F4F95"/>
    <w:rsid w:val="005F4FAB"/>
    <w:rsid w:val="005F50CC"/>
    <w:rsid w:val="005F5157"/>
    <w:rsid w:val="005F5162"/>
    <w:rsid w:val="005F5185"/>
    <w:rsid w:val="005F51AA"/>
    <w:rsid w:val="005F5235"/>
    <w:rsid w:val="005F5268"/>
    <w:rsid w:val="005F527B"/>
    <w:rsid w:val="005F52BA"/>
    <w:rsid w:val="005F52EA"/>
    <w:rsid w:val="005F52FE"/>
    <w:rsid w:val="005F5314"/>
    <w:rsid w:val="005F53BD"/>
    <w:rsid w:val="005F54F9"/>
    <w:rsid w:val="005F5527"/>
    <w:rsid w:val="005F5593"/>
    <w:rsid w:val="005F55EB"/>
    <w:rsid w:val="005F5677"/>
    <w:rsid w:val="005F5681"/>
    <w:rsid w:val="005F56CC"/>
    <w:rsid w:val="005F5758"/>
    <w:rsid w:val="005F577F"/>
    <w:rsid w:val="005F578E"/>
    <w:rsid w:val="005F57AE"/>
    <w:rsid w:val="005F582D"/>
    <w:rsid w:val="005F5832"/>
    <w:rsid w:val="005F5864"/>
    <w:rsid w:val="005F591D"/>
    <w:rsid w:val="005F59A9"/>
    <w:rsid w:val="005F5A21"/>
    <w:rsid w:val="005F5A37"/>
    <w:rsid w:val="005F5C09"/>
    <w:rsid w:val="005F5CCD"/>
    <w:rsid w:val="005F5D11"/>
    <w:rsid w:val="005F5D32"/>
    <w:rsid w:val="005F5DD5"/>
    <w:rsid w:val="005F5ECB"/>
    <w:rsid w:val="005F5F37"/>
    <w:rsid w:val="005F5F72"/>
    <w:rsid w:val="005F5FAD"/>
    <w:rsid w:val="005F5FAE"/>
    <w:rsid w:val="005F5FD1"/>
    <w:rsid w:val="005F60B5"/>
    <w:rsid w:val="005F60DB"/>
    <w:rsid w:val="005F6110"/>
    <w:rsid w:val="005F6139"/>
    <w:rsid w:val="005F6152"/>
    <w:rsid w:val="005F61F6"/>
    <w:rsid w:val="005F6296"/>
    <w:rsid w:val="005F62A6"/>
    <w:rsid w:val="005F62B8"/>
    <w:rsid w:val="005F6353"/>
    <w:rsid w:val="005F6380"/>
    <w:rsid w:val="005F643C"/>
    <w:rsid w:val="005F648D"/>
    <w:rsid w:val="005F64FF"/>
    <w:rsid w:val="005F6537"/>
    <w:rsid w:val="005F655B"/>
    <w:rsid w:val="005F6561"/>
    <w:rsid w:val="005F65F8"/>
    <w:rsid w:val="005F666B"/>
    <w:rsid w:val="005F6857"/>
    <w:rsid w:val="005F68E1"/>
    <w:rsid w:val="005F6967"/>
    <w:rsid w:val="005F6976"/>
    <w:rsid w:val="005F6A8D"/>
    <w:rsid w:val="005F6AA8"/>
    <w:rsid w:val="005F6B46"/>
    <w:rsid w:val="005F6B4B"/>
    <w:rsid w:val="005F6BED"/>
    <w:rsid w:val="005F6C00"/>
    <w:rsid w:val="005F6C16"/>
    <w:rsid w:val="005F6C3F"/>
    <w:rsid w:val="005F6C4E"/>
    <w:rsid w:val="005F6C65"/>
    <w:rsid w:val="005F6CB5"/>
    <w:rsid w:val="005F6CDA"/>
    <w:rsid w:val="005F6EBE"/>
    <w:rsid w:val="005F6EC8"/>
    <w:rsid w:val="005F6F5C"/>
    <w:rsid w:val="005F6F5E"/>
    <w:rsid w:val="005F6FED"/>
    <w:rsid w:val="005F703C"/>
    <w:rsid w:val="005F70C0"/>
    <w:rsid w:val="005F7198"/>
    <w:rsid w:val="005F71BE"/>
    <w:rsid w:val="005F71C1"/>
    <w:rsid w:val="005F7221"/>
    <w:rsid w:val="005F7268"/>
    <w:rsid w:val="005F735E"/>
    <w:rsid w:val="005F73F6"/>
    <w:rsid w:val="005F7464"/>
    <w:rsid w:val="005F74B0"/>
    <w:rsid w:val="005F74D1"/>
    <w:rsid w:val="005F7551"/>
    <w:rsid w:val="005F75FB"/>
    <w:rsid w:val="005F764A"/>
    <w:rsid w:val="005F765D"/>
    <w:rsid w:val="005F7687"/>
    <w:rsid w:val="005F76D8"/>
    <w:rsid w:val="005F7760"/>
    <w:rsid w:val="005F7832"/>
    <w:rsid w:val="005F7840"/>
    <w:rsid w:val="005F7879"/>
    <w:rsid w:val="005F78CE"/>
    <w:rsid w:val="005F7A8E"/>
    <w:rsid w:val="005F7A93"/>
    <w:rsid w:val="005F7B4B"/>
    <w:rsid w:val="005F7C2A"/>
    <w:rsid w:val="005F7CE0"/>
    <w:rsid w:val="005F7D96"/>
    <w:rsid w:val="005F7E02"/>
    <w:rsid w:val="005F7E71"/>
    <w:rsid w:val="005F7E8E"/>
    <w:rsid w:val="005F7E9A"/>
    <w:rsid w:val="005F7EA3"/>
    <w:rsid w:val="005F7EB5"/>
    <w:rsid w:val="005F7EEE"/>
    <w:rsid w:val="005F7EF8"/>
    <w:rsid w:val="005F7F15"/>
    <w:rsid w:val="005F7F3B"/>
    <w:rsid w:val="005F7FF8"/>
    <w:rsid w:val="005F7FFA"/>
    <w:rsid w:val="00600059"/>
    <w:rsid w:val="006000F0"/>
    <w:rsid w:val="00600145"/>
    <w:rsid w:val="00600192"/>
    <w:rsid w:val="006001BC"/>
    <w:rsid w:val="00600361"/>
    <w:rsid w:val="00600372"/>
    <w:rsid w:val="00600436"/>
    <w:rsid w:val="006004B7"/>
    <w:rsid w:val="0060050E"/>
    <w:rsid w:val="00600527"/>
    <w:rsid w:val="0060055E"/>
    <w:rsid w:val="0060063E"/>
    <w:rsid w:val="006006AA"/>
    <w:rsid w:val="006006C3"/>
    <w:rsid w:val="00600766"/>
    <w:rsid w:val="00600774"/>
    <w:rsid w:val="006007E2"/>
    <w:rsid w:val="00600870"/>
    <w:rsid w:val="00600955"/>
    <w:rsid w:val="00600B0E"/>
    <w:rsid w:val="00600B40"/>
    <w:rsid w:val="00600BB3"/>
    <w:rsid w:val="00600BC7"/>
    <w:rsid w:val="00600BF7"/>
    <w:rsid w:val="00600CF4"/>
    <w:rsid w:val="00600CFE"/>
    <w:rsid w:val="00600DC3"/>
    <w:rsid w:val="00600EED"/>
    <w:rsid w:val="00600FB6"/>
    <w:rsid w:val="00600FE4"/>
    <w:rsid w:val="006010A0"/>
    <w:rsid w:val="006010B3"/>
    <w:rsid w:val="006010DE"/>
    <w:rsid w:val="00601107"/>
    <w:rsid w:val="0060110E"/>
    <w:rsid w:val="00601110"/>
    <w:rsid w:val="0060117B"/>
    <w:rsid w:val="006011A3"/>
    <w:rsid w:val="0060126B"/>
    <w:rsid w:val="006012D7"/>
    <w:rsid w:val="006012E4"/>
    <w:rsid w:val="00601409"/>
    <w:rsid w:val="006014E6"/>
    <w:rsid w:val="00601573"/>
    <w:rsid w:val="0060157A"/>
    <w:rsid w:val="0060159D"/>
    <w:rsid w:val="006015CE"/>
    <w:rsid w:val="006015F7"/>
    <w:rsid w:val="0060162E"/>
    <w:rsid w:val="00601689"/>
    <w:rsid w:val="006016B7"/>
    <w:rsid w:val="006016DE"/>
    <w:rsid w:val="00601746"/>
    <w:rsid w:val="0060175F"/>
    <w:rsid w:val="0060179C"/>
    <w:rsid w:val="006017E5"/>
    <w:rsid w:val="00601838"/>
    <w:rsid w:val="00601877"/>
    <w:rsid w:val="006018BD"/>
    <w:rsid w:val="006018D7"/>
    <w:rsid w:val="00601940"/>
    <w:rsid w:val="00601948"/>
    <w:rsid w:val="0060199E"/>
    <w:rsid w:val="006019AF"/>
    <w:rsid w:val="006019DC"/>
    <w:rsid w:val="00601B2F"/>
    <w:rsid w:val="00601BEC"/>
    <w:rsid w:val="00601C07"/>
    <w:rsid w:val="00601C65"/>
    <w:rsid w:val="00601D6B"/>
    <w:rsid w:val="00601E05"/>
    <w:rsid w:val="00601E38"/>
    <w:rsid w:val="00601E41"/>
    <w:rsid w:val="00601ED3"/>
    <w:rsid w:val="00601F16"/>
    <w:rsid w:val="00601F43"/>
    <w:rsid w:val="00601F52"/>
    <w:rsid w:val="00601FDA"/>
    <w:rsid w:val="0060202F"/>
    <w:rsid w:val="0060203A"/>
    <w:rsid w:val="006020B3"/>
    <w:rsid w:val="00602199"/>
    <w:rsid w:val="00602225"/>
    <w:rsid w:val="00602387"/>
    <w:rsid w:val="006023FC"/>
    <w:rsid w:val="00602427"/>
    <w:rsid w:val="0060242D"/>
    <w:rsid w:val="00602475"/>
    <w:rsid w:val="00602483"/>
    <w:rsid w:val="00602497"/>
    <w:rsid w:val="006025FD"/>
    <w:rsid w:val="0060263E"/>
    <w:rsid w:val="00602640"/>
    <w:rsid w:val="006026EB"/>
    <w:rsid w:val="00602713"/>
    <w:rsid w:val="00602781"/>
    <w:rsid w:val="00602791"/>
    <w:rsid w:val="0060283F"/>
    <w:rsid w:val="00602867"/>
    <w:rsid w:val="0060287B"/>
    <w:rsid w:val="006028BB"/>
    <w:rsid w:val="006028D6"/>
    <w:rsid w:val="006028F0"/>
    <w:rsid w:val="00602935"/>
    <w:rsid w:val="0060299B"/>
    <w:rsid w:val="00602BEA"/>
    <w:rsid w:val="00602CFB"/>
    <w:rsid w:val="00602D1A"/>
    <w:rsid w:val="00602D44"/>
    <w:rsid w:val="00602D8D"/>
    <w:rsid w:val="00602F07"/>
    <w:rsid w:val="00602F33"/>
    <w:rsid w:val="00602F54"/>
    <w:rsid w:val="00602FBD"/>
    <w:rsid w:val="00602FD1"/>
    <w:rsid w:val="00602FF3"/>
    <w:rsid w:val="00602FF8"/>
    <w:rsid w:val="00603003"/>
    <w:rsid w:val="00603075"/>
    <w:rsid w:val="00603111"/>
    <w:rsid w:val="0060322D"/>
    <w:rsid w:val="00603242"/>
    <w:rsid w:val="006032D9"/>
    <w:rsid w:val="0060331A"/>
    <w:rsid w:val="0060338D"/>
    <w:rsid w:val="006033BD"/>
    <w:rsid w:val="00603407"/>
    <w:rsid w:val="0060343E"/>
    <w:rsid w:val="00603594"/>
    <w:rsid w:val="0060360D"/>
    <w:rsid w:val="0060361F"/>
    <w:rsid w:val="00603651"/>
    <w:rsid w:val="00603693"/>
    <w:rsid w:val="006036A2"/>
    <w:rsid w:val="006036FF"/>
    <w:rsid w:val="0060373B"/>
    <w:rsid w:val="006037B8"/>
    <w:rsid w:val="00603843"/>
    <w:rsid w:val="006038BB"/>
    <w:rsid w:val="006038F1"/>
    <w:rsid w:val="00603937"/>
    <w:rsid w:val="0060393D"/>
    <w:rsid w:val="006039A5"/>
    <w:rsid w:val="00603A46"/>
    <w:rsid w:val="00603A75"/>
    <w:rsid w:val="00603A82"/>
    <w:rsid w:val="00603A86"/>
    <w:rsid w:val="00603A94"/>
    <w:rsid w:val="00603AD3"/>
    <w:rsid w:val="00603AD7"/>
    <w:rsid w:val="00603AFC"/>
    <w:rsid w:val="00603C4B"/>
    <w:rsid w:val="00603C71"/>
    <w:rsid w:val="00603C91"/>
    <w:rsid w:val="00603CFD"/>
    <w:rsid w:val="00603D62"/>
    <w:rsid w:val="00603D7B"/>
    <w:rsid w:val="00603DBD"/>
    <w:rsid w:val="00603DBF"/>
    <w:rsid w:val="00603DDC"/>
    <w:rsid w:val="00603E08"/>
    <w:rsid w:val="00604065"/>
    <w:rsid w:val="00604162"/>
    <w:rsid w:val="00604239"/>
    <w:rsid w:val="006043C5"/>
    <w:rsid w:val="006043E4"/>
    <w:rsid w:val="0060443C"/>
    <w:rsid w:val="00604511"/>
    <w:rsid w:val="00604601"/>
    <w:rsid w:val="006047D4"/>
    <w:rsid w:val="00604864"/>
    <w:rsid w:val="0060489A"/>
    <w:rsid w:val="006048B8"/>
    <w:rsid w:val="006048E2"/>
    <w:rsid w:val="006049F9"/>
    <w:rsid w:val="00604A4F"/>
    <w:rsid w:val="00604A8E"/>
    <w:rsid w:val="00604AEF"/>
    <w:rsid w:val="00604B23"/>
    <w:rsid w:val="00604C9A"/>
    <w:rsid w:val="00604D23"/>
    <w:rsid w:val="00604EB8"/>
    <w:rsid w:val="00604EEE"/>
    <w:rsid w:val="00604F43"/>
    <w:rsid w:val="00605030"/>
    <w:rsid w:val="006051F4"/>
    <w:rsid w:val="00605220"/>
    <w:rsid w:val="00605238"/>
    <w:rsid w:val="00605271"/>
    <w:rsid w:val="00605469"/>
    <w:rsid w:val="0060548E"/>
    <w:rsid w:val="006054A3"/>
    <w:rsid w:val="006054F1"/>
    <w:rsid w:val="006055F2"/>
    <w:rsid w:val="006055FB"/>
    <w:rsid w:val="006056F1"/>
    <w:rsid w:val="006056FC"/>
    <w:rsid w:val="0060581D"/>
    <w:rsid w:val="0060586D"/>
    <w:rsid w:val="0060592E"/>
    <w:rsid w:val="00605942"/>
    <w:rsid w:val="006059B0"/>
    <w:rsid w:val="00605A85"/>
    <w:rsid w:val="00605B97"/>
    <w:rsid w:val="00605BFB"/>
    <w:rsid w:val="00605C80"/>
    <w:rsid w:val="00605C98"/>
    <w:rsid w:val="00605CC5"/>
    <w:rsid w:val="00605CD3"/>
    <w:rsid w:val="00605D03"/>
    <w:rsid w:val="00605DB4"/>
    <w:rsid w:val="00605F42"/>
    <w:rsid w:val="00605FCD"/>
    <w:rsid w:val="00605FD6"/>
    <w:rsid w:val="00606127"/>
    <w:rsid w:val="00606145"/>
    <w:rsid w:val="0060615B"/>
    <w:rsid w:val="00606192"/>
    <w:rsid w:val="006061B0"/>
    <w:rsid w:val="006061E5"/>
    <w:rsid w:val="0060627E"/>
    <w:rsid w:val="006062BD"/>
    <w:rsid w:val="006062E1"/>
    <w:rsid w:val="006062EF"/>
    <w:rsid w:val="0060636F"/>
    <w:rsid w:val="00606391"/>
    <w:rsid w:val="006063EA"/>
    <w:rsid w:val="0060646B"/>
    <w:rsid w:val="00606475"/>
    <w:rsid w:val="0060648D"/>
    <w:rsid w:val="006064EF"/>
    <w:rsid w:val="0060651F"/>
    <w:rsid w:val="00606607"/>
    <w:rsid w:val="00606662"/>
    <w:rsid w:val="006066E3"/>
    <w:rsid w:val="0060670E"/>
    <w:rsid w:val="00606745"/>
    <w:rsid w:val="00606773"/>
    <w:rsid w:val="00606776"/>
    <w:rsid w:val="00606887"/>
    <w:rsid w:val="00606922"/>
    <w:rsid w:val="00606A33"/>
    <w:rsid w:val="00606AE1"/>
    <w:rsid w:val="00606BE4"/>
    <w:rsid w:val="00606BF0"/>
    <w:rsid w:val="00606C76"/>
    <w:rsid w:val="00606CCA"/>
    <w:rsid w:val="00606D32"/>
    <w:rsid w:val="00606D6D"/>
    <w:rsid w:val="00606DE3"/>
    <w:rsid w:val="00606DE7"/>
    <w:rsid w:val="00606E2E"/>
    <w:rsid w:val="00606E79"/>
    <w:rsid w:val="00606F75"/>
    <w:rsid w:val="00606F98"/>
    <w:rsid w:val="0060700E"/>
    <w:rsid w:val="00607022"/>
    <w:rsid w:val="006070A2"/>
    <w:rsid w:val="00607176"/>
    <w:rsid w:val="006071BE"/>
    <w:rsid w:val="006072EE"/>
    <w:rsid w:val="006073B1"/>
    <w:rsid w:val="0060747A"/>
    <w:rsid w:val="006075B4"/>
    <w:rsid w:val="006076C8"/>
    <w:rsid w:val="006076EF"/>
    <w:rsid w:val="0060774E"/>
    <w:rsid w:val="00607884"/>
    <w:rsid w:val="006078D2"/>
    <w:rsid w:val="006079EA"/>
    <w:rsid w:val="00607A15"/>
    <w:rsid w:val="00607A34"/>
    <w:rsid w:val="00607A5A"/>
    <w:rsid w:val="00607A67"/>
    <w:rsid w:val="00607CF1"/>
    <w:rsid w:val="00607D50"/>
    <w:rsid w:val="00607DE9"/>
    <w:rsid w:val="00607E09"/>
    <w:rsid w:val="00607E83"/>
    <w:rsid w:val="00607F2F"/>
    <w:rsid w:val="00607F87"/>
    <w:rsid w:val="0060A51C"/>
    <w:rsid w:val="00610127"/>
    <w:rsid w:val="00610139"/>
    <w:rsid w:val="0061025A"/>
    <w:rsid w:val="0061032C"/>
    <w:rsid w:val="006103F0"/>
    <w:rsid w:val="0061040E"/>
    <w:rsid w:val="006104E9"/>
    <w:rsid w:val="006104F2"/>
    <w:rsid w:val="0061051A"/>
    <w:rsid w:val="006105C2"/>
    <w:rsid w:val="006105CA"/>
    <w:rsid w:val="0061061E"/>
    <w:rsid w:val="0061071C"/>
    <w:rsid w:val="00610775"/>
    <w:rsid w:val="00610933"/>
    <w:rsid w:val="00610A08"/>
    <w:rsid w:val="00610A89"/>
    <w:rsid w:val="00610B8D"/>
    <w:rsid w:val="00610C07"/>
    <w:rsid w:val="00610C45"/>
    <w:rsid w:val="00610C81"/>
    <w:rsid w:val="00610C88"/>
    <w:rsid w:val="00610CDD"/>
    <w:rsid w:val="00610D3B"/>
    <w:rsid w:val="00610DF5"/>
    <w:rsid w:val="00610E15"/>
    <w:rsid w:val="00610E7D"/>
    <w:rsid w:val="00610ED8"/>
    <w:rsid w:val="00610F83"/>
    <w:rsid w:val="00610FF3"/>
    <w:rsid w:val="006110C0"/>
    <w:rsid w:val="00611132"/>
    <w:rsid w:val="00611182"/>
    <w:rsid w:val="00611202"/>
    <w:rsid w:val="0061132E"/>
    <w:rsid w:val="00611396"/>
    <w:rsid w:val="006114D8"/>
    <w:rsid w:val="00611581"/>
    <w:rsid w:val="00611635"/>
    <w:rsid w:val="006116E5"/>
    <w:rsid w:val="006116F2"/>
    <w:rsid w:val="00611778"/>
    <w:rsid w:val="0061177E"/>
    <w:rsid w:val="006117DA"/>
    <w:rsid w:val="006117E3"/>
    <w:rsid w:val="006117F5"/>
    <w:rsid w:val="00611833"/>
    <w:rsid w:val="00611834"/>
    <w:rsid w:val="00611864"/>
    <w:rsid w:val="006118CD"/>
    <w:rsid w:val="006118EA"/>
    <w:rsid w:val="00611989"/>
    <w:rsid w:val="006119C1"/>
    <w:rsid w:val="006119EC"/>
    <w:rsid w:val="006119FC"/>
    <w:rsid w:val="00611A89"/>
    <w:rsid w:val="00611B0D"/>
    <w:rsid w:val="00611B8F"/>
    <w:rsid w:val="00611C0F"/>
    <w:rsid w:val="00611C10"/>
    <w:rsid w:val="00611C50"/>
    <w:rsid w:val="00611E22"/>
    <w:rsid w:val="00611E27"/>
    <w:rsid w:val="00611E87"/>
    <w:rsid w:val="00611EB0"/>
    <w:rsid w:val="00611EBF"/>
    <w:rsid w:val="006120CF"/>
    <w:rsid w:val="00612124"/>
    <w:rsid w:val="0061216A"/>
    <w:rsid w:val="0061219F"/>
    <w:rsid w:val="00612226"/>
    <w:rsid w:val="00612271"/>
    <w:rsid w:val="00612288"/>
    <w:rsid w:val="006122E5"/>
    <w:rsid w:val="00612320"/>
    <w:rsid w:val="0061234C"/>
    <w:rsid w:val="006123DA"/>
    <w:rsid w:val="0061241B"/>
    <w:rsid w:val="00612440"/>
    <w:rsid w:val="006124A4"/>
    <w:rsid w:val="00612522"/>
    <w:rsid w:val="00612593"/>
    <w:rsid w:val="00612597"/>
    <w:rsid w:val="006125D0"/>
    <w:rsid w:val="0061266A"/>
    <w:rsid w:val="00612672"/>
    <w:rsid w:val="00612683"/>
    <w:rsid w:val="0061269B"/>
    <w:rsid w:val="006126C4"/>
    <w:rsid w:val="0061271E"/>
    <w:rsid w:val="006128D1"/>
    <w:rsid w:val="00612975"/>
    <w:rsid w:val="00612976"/>
    <w:rsid w:val="00612A14"/>
    <w:rsid w:val="00612A38"/>
    <w:rsid w:val="00612A6F"/>
    <w:rsid w:val="00612A96"/>
    <w:rsid w:val="00612ACF"/>
    <w:rsid w:val="00612B9E"/>
    <w:rsid w:val="00612C4C"/>
    <w:rsid w:val="00612C4D"/>
    <w:rsid w:val="00612CC7"/>
    <w:rsid w:val="00612DFC"/>
    <w:rsid w:val="00612E61"/>
    <w:rsid w:val="00612E63"/>
    <w:rsid w:val="00612E9A"/>
    <w:rsid w:val="00612EA1"/>
    <w:rsid w:val="00612F73"/>
    <w:rsid w:val="00613018"/>
    <w:rsid w:val="006130EE"/>
    <w:rsid w:val="00613202"/>
    <w:rsid w:val="006132C0"/>
    <w:rsid w:val="006133BC"/>
    <w:rsid w:val="006133D7"/>
    <w:rsid w:val="0061352C"/>
    <w:rsid w:val="0061358C"/>
    <w:rsid w:val="006135BC"/>
    <w:rsid w:val="0061364B"/>
    <w:rsid w:val="00613654"/>
    <w:rsid w:val="00613795"/>
    <w:rsid w:val="0061396D"/>
    <w:rsid w:val="00613A66"/>
    <w:rsid w:val="00613A7C"/>
    <w:rsid w:val="00613AC3"/>
    <w:rsid w:val="00613AF1"/>
    <w:rsid w:val="00613AF6"/>
    <w:rsid w:val="00613B03"/>
    <w:rsid w:val="00613B72"/>
    <w:rsid w:val="00613C55"/>
    <w:rsid w:val="00613CBE"/>
    <w:rsid w:val="00613D28"/>
    <w:rsid w:val="00613D45"/>
    <w:rsid w:val="00613DD7"/>
    <w:rsid w:val="00613E54"/>
    <w:rsid w:val="00613FB6"/>
    <w:rsid w:val="006140AF"/>
    <w:rsid w:val="006140C6"/>
    <w:rsid w:val="006140EB"/>
    <w:rsid w:val="006140FB"/>
    <w:rsid w:val="0061414C"/>
    <w:rsid w:val="006141C5"/>
    <w:rsid w:val="0061423C"/>
    <w:rsid w:val="00614257"/>
    <w:rsid w:val="00614263"/>
    <w:rsid w:val="0061426A"/>
    <w:rsid w:val="0061429D"/>
    <w:rsid w:val="0061450A"/>
    <w:rsid w:val="006145CF"/>
    <w:rsid w:val="00614631"/>
    <w:rsid w:val="006146D2"/>
    <w:rsid w:val="0061472B"/>
    <w:rsid w:val="00614740"/>
    <w:rsid w:val="006147EE"/>
    <w:rsid w:val="0061494F"/>
    <w:rsid w:val="006149AA"/>
    <w:rsid w:val="00614AC7"/>
    <w:rsid w:val="00614AF8"/>
    <w:rsid w:val="00614B0F"/>
    <w:rsid w:val="00614B28"/>
    <w:rsid w:val="00614BA2"/>
    <w:rsid w:val="00614C1B"/>
    <w:rsid w:val="00614CEA"/>
    <w:rsid w:val="00614D0E"/>
    <w:rsid w:val="00614D81"/>
    <w:rsid w:val="00614D98"/>
    <w:rsid w:val="00614E0D"/>
    <w:rsid w:val="00614EED"/>
    <w:rsid w:val="00615069"/>
    <w:rsid w:val="0061506A"/>
    <w:rsid w:val="00615094"/>
    <w:rsid w:val="00615121"/>
    <w:rsid w:val="00615144"/>
    <w:rsid w:val="00615174"/>
    <w:rsid w:val="0061522A"/>
    <w:rsid w:val="0061528E"/>
    <w:rsid w:val="006152A2"/>
    <w:rsid w:val="006152B7"/>
    <w:rsid w:val="0061532A"/>
    <w:rsid w:val="00615390"/>
    <w:rsid w:val="006153C1"/>
    <w:rsid w:val="006154A5"/>
    <w:rsid w:val="00615503"/>
    <w:rsid w:val="0061552C"/>
    <w:rsid w:val="0061557F"/>
    <w:rsid w:val="006155AA"/>
    <w:rsid w:val="006155FA"/>
    <w:rsid w:val="0061564F"/>
    <w:rsid w:val="006156C3"/>
    <w:rsid w:val="0061570B"/>
    <w:rsid w:val="00615760"/>
    <w:rsid w:val="00615763"/>
    <w:rsid w:val="006157A8"/>
    <w:rsid w:val="006157C0"/>
    <w:rsid w:val="0061592C"/>
    <w:rsid w:val="006159F6"/>
    <w:rsid w:val="00615AAA"/>
    <w:rsid w:val="00615ADB"/>
    <w:rsid w:val="00615AFF"/>
    <w:rsid w:val="00615BE3"/>
    <w:rsid w:val="00615C72"/>
    <w:rsid w:val="00615C7C"/>
    <w:rsid w:val="00615CD0"/>
    <w:rsid w:val="00615CE8"/>
    <w:rsid w:val="00615D24"/>
    <w:rsid w:val="00615E74"/>
    <w:rsid w:val="00615E97"/>
    <w:rsid w:val="00615EFE"/>
    <w:rsid w:val="00615F22"/>
    <w:rsid w:val="00615F4D"/>
    <w:rsid w:val="00615F6D"/>
    <w:rsid w:val="00615FAA"/>
    <w:rsid w:val="0061603B"/>
    <w:rsid w:val="00616060"/>
    <w:rsid w:val="006160EA"/>
    <w:rsid w:val="00616127"/>
    <w:rsid w:val="00616211"/>
    <w:rsid w:val="006162B3"/>
    <w:rsid w:val="00616319"/>
    <w:rsid w:val="0061643E"/>
    <w:rsid w:val="0061647C"/>
    <w:rsid w:val="006164B8"/>
    <w:rsid w:val="006164EA"/>
    <w:rsid w:val="00616538"/>
    <w:rsid w:val="006165DB"/>
    <w:rsid w:val="006166BD"/>
    <w:rsid w:val="0061674E"/>
    <w:rsid w:val="00616769"/>
    <w:rsid w:val="00616795"/>
    <w:rsid w:val="0061679E"/>
    <w:rsid w:val="0061683A"/>
    <w:rsid w:val="0061687E"/>
    <w:rsid w:val="00616894"/>
    <w:rsid w:val="006168FE"/>
    <w:rsid w:val="00616952"/>
    <w:rsid w:val="0061698D"/>
    <w:rsid w:val="006169AE"/>
    <w:rsid w:val="00616A9F"/>
    <w:rsid w:val="00616AE9"/>
    <w:rsid w:val="00616C80"/>
    <w:rsid w:val="00616CC0"/>
    <w:rsid w:val="00616DAF"/>
    <w:rsid w:val="00616DBC"/>
    <w:rsid w:val="00616E2C"/>
    <w:rsid w:val="00616E44"/>
    <w:rsid w:val="00616EA3"/>
    <w:rsid w:val="00616F1A"/>
    <w:rsid w:val="00616F8C"/>
    <w:rsid w:val="00616FA0"/>
    <w:rsid w:val="00616FF6"/>
    <w:rsid w:val="0061716B"/>
    <w:rsid w:val="0061720B"/>
    <w:rsid w:val="006172DC"/>
    <w:rsid w:val="00617308"/>
    <w:rsid w:val="0061730E"/>
    <w:rsid w:val="00617337"/>
    <w:rsid w:val="00617405"/>
    <w:rsid w:val="00617413"/>
    <w:rsid w:val="00617427"/>
    <w:rsid w:val="0061743A"/>
    <w:rsid w:val="00617470"/>
    <w:rsid w:val="006174FF"/>
    <w:rsid w:val="00617565"/>
    <w:rsid w:val="00617616"/>
    <w:rsid w:val="00617650"/>
    <w:rsid w:val="006176C3"/>
    <w:rsid w:val="006176CF"/>
    <w:rsid w:val="00617711"/>
    <w:rsid w:val="00617798"/>
    <w:rsid w:val="00617883"/>
    <w:rsid w:val="006178A3"/>
    <w:rsid w:val="006178B4"/>
    <w:rsid w:val="0061790F"/>
    <w:rsid w:val="00617965"/>
    <w:rsid w:val="006179F7"/>
    <w:rsid w:val="006179FD"/>
    <w:rsid w:val="00617A67"/>
    <w:rsid w:val="00617B42"/>
    <w:rsid w:val="00617BF9"/>
    <w:rsid w:val="00617C1C"/>
    <w:rsid w:val="00617C73"/>
    <w:rsid w:val="00617CB0"/>
    <w:rsid w:val="00617D03"/>
    <w:rsid w:val="00617D45"/>
    <w:rsid w:val="00617D54"/>
    <w:rsid w:val="00617DB1"/>
    <w:rsid w:val="00617E22"/>
    <w:rsid w:val="00617E40"/>
    <w:rsid w:val="00617E59"/>
    <w:rsid w:val="00617F4E"/>
    <w:rsid w:val="00617FF8"/>
    <w:rsid w:val="0061B09A"/>
    <w:rsid w:val="006200D3"/>
    <w:rsid w:val="0062015D"/>
    <w:rsid w:val="0062018E"/>
    <w:rsid w:val="00620347"/>
    <w:rsid w:val="00620499"/>
    <w:rsid w:val="006204A0"/>
    <w:rsid w:val="006204EB"/>
    <w:rsid w:val="00620536"/>
    <w:rsid w:val="006205AA"/>
    <w:rsid w:val="006205CD"/>
    <w:rsid w:val="006205DD"/>
    <w:rsid w:val="006205DF"/>
    <w:rsid w:val="00620604"/>
    <w:rsid w:val="00620649"/>
    <w:rsid w:val="006207F3"/>
    <w:rsid w:val="006207F4"/>
    <w:rsid w:val="00620857"/>
    <w:rsid w:val="00620895"/>
    <w:rsid w:val="006208CD"/>
    <w:rsid w:val="0062095B"/>
    <w:rsid w:val="006209D9"/>
    <w:rsid w:val="00620ABE"/>
    <w:rsid w:val="00620C01"/>
    <w:rsid w:val="00620C76"/>
    <w:rsid w:val="00620C87"/>
    <w:rsid w:val="00620D83"/>
    <w:rsid w:val="00620E40"/>
    <w:rsid w:val="00620EEE"/>
    <w:rsid w:val="00620F9D"/>
    <w:rsid w:val="00620FBF"/>
    <w:rsid w:val="006210B0"/>
    <w:rsid w:val="006210C6"/>
    <w:rsid w:val="0062116C"/>
    <w:rsid w:val="00621177"/>
    <w:rsid w:val="00621207"/>
    <w:rsid w:val="00621212"/>
    <w:rsid w:val="006212A9"/>
    <w:rsid w:val="006212EC"/>
    <w:rsid w:val="006213E8"/>
    <w:rsid w:val="00621488"/>
    <w:rsid w:val="006215AA"/>
    <w:rsid w:val="00621671"/>
    <w:rsid w:val="00621719"/>
    <w:rsid w:val="00621743"/>
    <w:rsid w:val="00621747"/>
    <w:rsid w:val="0062177C"/>
    <w:rsid w:val="006217C5"/>
    <w:rsid w:val="00621807"/>
    <w:rsid w:val="0062184D"/>
    <w:rsid w:val="00621889"/>
    <w:rsid w:val="006218E4"/>
    <w:rsid w:val="006218EB"/>
    <w:rsid w:val="006219C0"/>
    <w:rsid w:val="00621AF2"/>
    <w:rsid w:val="00621B6A"/>
    <w:rsid w:val="00621B76"/>
    <w:rsid w:val="00621B8C"/>
    <w:rsid w:val="00621BF0"/>
    <w:rsid w:val="00621DB4"/>
    <w:rsid w:val="00621DCF"/>
    <w:rsid w:val="00621EEE"/>
    <w:rsid w:val="00621F69"/>
    <w:rsid w:val="00621F79"/>
    <w:rsid w:val="00621F8A"/>
    <w:rsid w:val="00622111"/>
    <w:rsid w:val="00622141"/>
    <w:rsid w:val="00622143"/>
    <w:rsid w:val="006221CD"/>
    <w:rsid w:val="006221E5"/>
    <w:rsid w:val="006221EB"/>
    <w:rsid w:val="0062223B"/>
    <w:rsid w:val="006222D1"/>
    <w:rsid w:val="00622314"/>
    <w:rsid w:val="006223D7"/>
    <w:rsid w:val="006223EB"/>
    <w:rsid w:val="006224C6"/>
    <w:rsid w:val="006225C4"/>
    <w:rsid w:val="00622664"/>
    <w:rsid w:val="0062266C"/>
    <w:rsid w:val="0062279F"/>
    <w:rsid w:val="006227D1"/>
    <w:rsid w:val="006227FA"/>
    <w:rsid w:val="00622808"/>
    <w:rsid w:val="00622839"/>
    <w:rsid w:val="006228E1"/>
    <w:rsid w:val="006228FC"/>
    <w:rsid w:val="006229C1"/>
    <w:rsid w:val="006229EE"/>
    <w:rsid w:val="00622A71"/>
    <w:rsid w:val="00622A74"/>
    <w:rsid w:val="00622A86"/>
    <w:rsid w:val="00622AEE"/>
    <w:rsid w:val="00622B40"/>
    <w:rsid w:val="00622B51"/>
    <w:rsid w:val="00622B67"/>
    <w:rsid w:val="00622B77"/>
    <w:rsid w:val="00622C1B"/>
    <w:rsid w:val="00622C4E"/>
    <w:rsid w:val="00622C51"/>
    <w:rsid w:val="00622C9F"/>
    <w:rsid w:val="00622CAB"/>
    <w:rsid w:val="00622CF5"/>
    <w:rsid w:val="00622D1C"/>
    <w:rsid w:val="00622D38"/>
    <w:rsid w:val="00622D3F"/>
    <w:rsid w:val="00622DBB"/>
    <w:rsid w:val="00622DCE"/>
    <w:rsid w:val="00622DDC"/>
    <w:rsid w:val="00622E5E"/>
    <w:rsid w:val="00622EE8"/>
    <w:rsid w:val="00622F43"/>
    <w:rsid w:val="00623065"/>
    <w:rsid w:val="006230C9"/>
    <w:rsid w:val="006231A2"/>
    <w:rsid w:val="006231E8"/>
    <w:rsid w:val="0062322E"/>
    <w:rsid w:val="00623238"/>
    <w:rsid w:val="006232DC"/>
    <w:rsid w:val="006232E8"/>
    <w:rsid w:val="00623339"/>
    <w:rsid w:val="00623346"/>
    <w:rsid w:val="00623349"/>
    <w:rsid w:val="0062334D"/>
    <w:rsid w:val="006233A9"/>
    <w:rsid w:val="006234C7"/>
    <w:rsid w:val="00623568"/>
    <w:rsid w:val="006235A4"/>
    <w:rsid w:val="006235B0"/>
    <w:rsid w:val="006235DF"/>
    <w:rsid w:val="00623688"/>
    <w:rsid w:val="00623713"/>
    <w:rsid w:val="00623722"/>
    <w:rsid w:val="00623756"/>
    <w:rsid w:val="0062375A"/>
    <w:rsid w:val="0062381B"/>
    <w:rsid w:val="00623846"/>
    <w:rsid w:val="0062386A"/>
    <w:rsid w:val="00623950"/>
    <w:rsid w:val="00623986"/>
    <w:rsid w:val="00623A11"/>
    <w:rsid w:val="00623A96"/>
    <w:rsid w:val="00623B06"/>
    <w:rsid w:val="00623B4E"/>
    <w:rsid w:val="00623B50"/>
    <w:rsid w:val="00623B6C"/>
    <w:rsid w:val="00623BD4"/>
    <w:rsid w:val="00623C44"/>
    <w:rsid w:val="00623C70"/>
    <w:rsid w:val="00623CBF"/>
    <w:rsid w:val="00623CF1"/>
    <w:rsid w:val="00623D1A"/>
    <w:rsid w:val="00623D54"/>
    <w:rsid w:val="00623E95"/>
    <w:rsid w:val="00623EF6"/>
    <w:rsid w:val="00623F61"/>
    <w:rsid w:val="006241AF"/>
    <w:rsid w:val="006241EF"/>
    <w:rsid w:val="00624217"/>
    <w:rsid w:val="00624251"/>
    <w:rsid w:val="006242DC"/>
    <w:rsid w:val="0062435C"/>
    <w:rsid w:val="00624363"/>
    <w:rsid w:val="006243DC"/>
    <w:rsid w:val="0062440C"/>
    <w:rsid w:val="00624412"/>
    <w:rsid w:val="00624445"/>
    <w:rsid w:val="006244A0"/>
    <w:rsid w:val="006244FB"/>
    <w:rsid w:val="00624511"/>
    <w:rsid w:val="00624535"/>
    <w:rsid w:val="00624647"/>
    <w:rsid w:val="006246C6"/>
    <w:rsid w:val="00624702"/>
    <w:rsid w:val="0062485F"/>
    <w:rsid w:val="00624892"/>
    <w:rsid w:val="006248BB"/>
    <w:rsid w:val="006248CE"/>
    <w:rsid w:val="006248F9"/>
    <w:rsid w:val="0062492B"/>
    <w:rsid w:val="00624968"/>
    <w:rsid w:val="006249D4"/>
    <w:rsid w:val="00624B14"/>
    <w:rsid w:val="00624B7D"/>
    <w:rsid w:val="00624BDE"/>
    <w:rsid w:val="00624C24"/>
    <w:rsid w:val="00624C34"/>
    <w:rsid w:val="00624CEB"/>
    <w:rsid w:val="00624D2B"/>
    <w:rsid w:val="00624DDC"/>
    <w:rsid w:val="00624E0D"/>
    <w:rsid w:val="00624EB8"/>
    <w:rsid w:val="00624EF4"/>
    <w:rsid w:val="00625019"/>
    <w:rsid w:val="006250CF"/>
    <w:rsid w:val="00625232"/>
    <w:rsid w:val="00625258"/>
    <w:rsid w:val="006252BD"/>
    <w:rsid w:val="00625325"/>
    <w:rsid w:val="0062534D"/>
    <w:rsid w:val="006253B4"/>
    <w:rsid w:val="006253C2"/>
    <w:rsid w:val="00625461"/>
    <w:rsid w:val="0062548C"/>
    <w:rsid w:val="00625508"/>
    <w:rsid w:val="00625539"/>
    <w:rsid w:val="00625585"/>
    <w:rsid w:val="006255CC"/>
    <w:rsid w:val="0062562F"/>
    <w:rsid w:val="0062576D"/>
    <w:rsid w:val="006257E2"/>
    <w:rsid w:val="0062589A"/>
    <w:rsid w:val="00625900"/>
    <w:rsid w:val="006259CD"/>
    <w:rsid w:val="00625A41"/>
    <w:rsid w:val="00625AC7"/>
    <w:rsid w:val="00625B5B"/>
    <w:rsid w:val="00625B60"/>
    <w:rsid w:val="00625BB0"/>
    <w:rsid w:val="00625C0D"/>
    <w:rsid w:val="00625C46"/>
    <w:rsid w:val="00625C92"/>
    <w:rsid w:val="00625CF4"/>
    <w:rsid w:val="00625DA3"/>
    <w:rsid w:val="00625DCE"/>
    <w:rsid w:val="00625DD8"/>
    <w:rsid w:val="00625F6D"/>
    <w:rsid w:val="00625F6E"/>
    <w:rsid w:val="00625F87"/>
    <w:rsid w:val="0062604B"/>
    <w:rsid w:val="00626071"/>
    <w:rsid w:val="0062607D"/>
    <w:rsid w:val="006260E2"/>
    <w:rsid w:val="006260E9"/>
    <w:rsid w:val="006262A1"/>
    <w:rsid w:val="006262D6"/>
    <w:rsid w:val="0062634B"/>
    <w:rsid w:val="0062634E"/>
    <w:rsid w:val="0062634F"/>
    <w:rsid w:val="006263CF"/>
    <w:rsid w:val="00626479"/>
    <w:rsid w:val="006264EA"/>
    <w:rsid w:val="00626536"/>
    <w:rsid w:val="00626580"/>
    <w:rsid w:val="00626705"/>
    <w:rsid w:val="00626739"/>
    <w:rsid w:val="00626790"/>
    <w:rsid w:val="006268CE"/>
    <w:rsid w:val="006268DC"/>
    <w:rsid w:val="006268F6"/>
    <w:rsid w:val="00626992"/>
    <w:rsid w:val="00626993"/>
    <w:rsid w:val="006269FE"/>
    <w:rsid w:val="00626BA6"/>
    <w:rsid w:val="00626C69"/>
    <w:rsid w:val="00626CD9"/>
    <w:rsid w:val="00626D8C"/>
    <w:rsid w:val="00626DEC"/>
    <w:rsid w:val="00626DF1"/>
    <w:rsid w:val="00626E1E"/>
    <w:rsid w:val="00626F37"/>
    <w:rsid w:val="00626F64"/>
    <w:rsid w:val="00626FA2"/>
    <w:rsid w:val="00626FD2"/>
    <w:rsid w:val="00627058"/>
    <w:rsid w:val="0062710A"/>
    <w:rsid w:val="006271D3"/>
    <w:rsid w:val="0062723A"/>
    <w:rsid w:val="006272D3"/>
    <w:rsid w:val="006272DD"/>
    <w:rsid w:val="006273C1"/>
    <w:rsid w:val="006274C7"/>
    <w:rsid w:val="0062758B"/>
    <w:rsid w:val="006275C0"/>
    <w:rsid w:val="006275E8"/>
    <w:rsid w:val="006276ED"/>
    <w:rsid w:val="0062770E"/>
    <w:rsid w:val="0062773E"/>
    <w:rsid w:val="00627745"/>
    <w:rsid w:val="0062776A"/>
    <w:rsid w:val="006277B0"/>
    <w:rsid w:val="00627822"/>
    <w:rsid w:val="00627851"/>
    <w:rsid w:val="00627867"/>
    <w:rsid w:val="006278DE"/>
    <w:rsid w:val="00627A4B"/>
    <w:rsid w:val="00627AB1"/>
    <w:rsid w:val="00627B5E"/>
    <w:rsid w:val="00627B6F"/>
    <w:rsid w:val="00627B70"/>
    <w:rsid w:val="00627C47"/>
    <w:rsid w:val="00627C4D"/>
    <w:rsid w:val="00627C66"/>
    <w:rsid w:val="00627D27"/>
    <w:rsid w:val="00627DCF"/>
    <w:rsid w:val="00627E59"/>
    <w:rsid w:val="00627E6A"/>
    <w:rsid w:val="00627EA9"/>
    <w:rsid w:val="00627F74"/>
    <w:rsid w:val="00627F87"/>
    <w:rsid w:val="00630089"/>
    <w:rsid w:val="0063012E"/>
    <w:rsid w:val="0063018A"/>
    <w:rsid w:val="00630207"/>
    <w:rsid w:val="0063021A"/>
    <w:rsid w:val="0063022E"/>
    <w:rsid w:val="00630236"/>
    <w:rsid w:val="00630280"/>
    <w:rsid w:val="006302C3"/>
    <w:rsid w:val="0063038B"/>
    <w:rsid w:val="006303D9"/>
    <w:rsid w:val="00630423"/>
    <w:rsid w:val="0063043D"/>
    <w:rsid w:val="00630499"/>
    <w:rsid w:val="006305CB"/>
    <w:rsid w:val="0063063A"/>
    <w:rsid w:val="00630655"/>
    <w:rsid w:val="00630729"/>
    <w:rsid w:val="00630730"/>
    <w:rsid w:val="00630804"/>
    <w:rsid w:val="00630871"/>
    <w:rsid w:val="006308E4"/>
    <w:rsid w:val="0063094F"/>
    <w:rsid w:val="00630A66"/>
    <w:rsid w:val="00630A69"/>
    <w:rsid w:val="00630A6D"/>
    <w:rsid w:val="00630A95"/>
    <w:rsid w:val="00630BC9"/>
    <w:rsid w:val="00630C23"/>
    <w:rsid w:val="00630C31"/>
    <w:rsid w:val="00630C55"/>
    <w:rsid w:val="00630CDD"/>
    <w:rsid w:val="00630CF6"/>
    <w:rsid w:val="00630D82"/>
    <w:rsid w:val="00630E45"/>
    <w:rsid w:val="00630F96"/>
    <w:rsid w:val="00630FB9"/>
    <w:rsid w:val="0063102C"/>
    <w:rsid w:val="00631062"/>
    <w:rsid w:val="0063116C"/>
    <w:rsid w:val="00631185"/>
    <w:rsid w:val="006311C2"/>
    <w:rsid w:val="00631209"/>
    <w:rsid w:val="0063125A"/>
    <w:rsid w:val="006312BD"/>
    <w:rsid w:val="0063132A"/>
    <w:rsid w:val="00631335"/>
    <w:rsid w:val="0063135F"/>
    <w:rsid w:val="00631424"/>
    <w:rsid w:val="006314ED"/>
    <w:rsid w:val="0063155E"/>
    <w:rsid w:val="006315C2"/>
    <w:rsid w:val="00631608"/>
    <w:rsid w:val="006318F2"/>
    <w:rsid w:val="00631922"/>
    <w:rsid w:val="00631988"/>
    <w:rsid w:val="00631A5C"/>
    <w:rsid w:val="00631ABB"/>
    <w:rsid w:val="00631B40"/>
    <w:rsid w:val="00631C1E"/>
    <w:rsid w:val="00631C3C"/>
    <w:rsid w:val="00631C52"/>
    <w:rsid w:val="00631C66"/>
    <w:rsid w:val="00631D4B"/>
    <w:rsid w:val="00631D5D"/>
    <w:rsid w:val="00631DE4"/>
    <w:rsid w:val="00631DFF"/>
    <w:rsid w:val="00631E2C"/>
    <w:rsid w:val="00631EF9"/>
    <w:rsid w:val="00631F31"/>
    <w:rsid w:val="006320A3"/>
    <w:rsid w:val="00632104"/>
    <w:rsid w:val="00632129"/>
    <w:rsid w:val="0063213D"/>
    <w:rsid w:val="0063217F"/>
    <w:rsid w:val="00632340"/>
    <w:rsid w:val="00632358"/>
    <w:rsid w:val="006323BA"/>
    <w:rsid w:val="0063241B"/>
    <w:rsid w:val="006324C6"/>
    <w:rsid w:val="006324F0"/>
    <w:rsid w:val="006325B6"/>
    <w:rsid w:val="0063268D"/>
    <w:rsid w:val="0063269B"/>
    <w:rsid w:val="006326D1"/>
    <w:rsid w:val="006327F5"/>
    <w:rsid w:val="0063285A"/>
    <w:rsid w:val="00632926"/>
    <w:rsid w:val="006329C2"/>
    <w:rsid w:val="00632AA5"/>
    <w:rsid w:val="00632AC1"/>
    <w:rsid w:val="00632BDC"/>
    <w:rsid w:val="00632BE7"/>
    <w:rsid w:val="00632BFB"/>
    <w:rsid w:val="00632C3B"/>
    <w:rsid w:val="00632D0E"/>
    <w:rsid w:val="00632F35"/>
    <w:rsid w:val="0063307D"/>
    <w:rsid w:val="00633147"/>
    <w:rsid w:val="0063324E"/>
    <w:rsid w:val="00633256"/>
    <w:rsid w:val="00633382"/>
    <w:rsid w:val="0063338D"/>
    <w:rsid w:val="0063343B"/>
    <w:rsid w:val="00633459"/>
    <w:rsid w:val="00633557"/>
    <w:rsid w:val="00633587"/>
    <w:rsid w:val="006336DA"/>
    <w:rsid w:val="006336E1"/>
    <w:rsid w:val="006337A2"/>
    <w:rsid w:val="0063381A"/>
    <w:rsid w:val="00633998"/>
    <w:rsid w:val="006339D2"/>
    <w:rsid w:val="006339EE"/>
    <w:rsid w:val="00633A38"/>
    <w:rsid w:val="00633AFB"/>
    <w:rsid w:val="00633B4F"/>
    <w:rsid w:val="00633BB8"/>
    <w:rsid w:val="00633BD6"/>
    <w:rsid w:val="00633C3D"/>
    <w:rsid w:val="00633C83"/>
    <w:rsid w:val="00633CC8"/>
    <w:rsid w:val="00633CE4"/>
    <w:rsid w:val="00633D1E"/>
    <w:rsid w:val="00633E35"/>
    <w:rsid w:val="00633EA9"/>
    <w:rsid w:val="00633EF4"/>
    <w:rsid w:val="00633F14"/>
    <w:rsid w:val="00633F37"/>
    <w:rsid w:val="006340F1"/>
    <w:rsid w:val="00634124"/>
    <w:rsid w:val="0063419D"/>
    <w:rsid w:val="0063421F"/>
    <w:rsid w:val="00634309"/>
    <w:rsid w:val="00634390"/>
    <w:rsid w:val="006343CA"/>
    <w:rsid w:val="0063440E"/>
    <w:rsid w:val="0063445F"/>
    <w:rsid w:val="00634572"/>
    <w:rsid w:val="006345A5"/>
    <w:rsid w:val="0063465B"/>
    <w:rsid w:val="006346DD"/>
    <w:rsid w:val="006346EB"/>
    <w:rsid w:val="00634736"/>
    <w:rsid w:val="0063473D"/>
    <w:rsid w:val="00634765"/>
    <w:rsid w:val="00634798"/>
    <w:rsid w:val="006347CF"/>
    <w:rsid w:val="006349CC"/>
    <w:rsid w:val="00634A5A"/>
    <w:rsid w:val="00634AB1"/>
    <w:rsid w:val="00634B35"/>
    <w:rsid w:val="00634CF4"/>
    <w:rsid w:val="00634D3E"/>
    <w:rsid w:val="00634D8F"/>
    <w:rsid w:val="00634D96"/>
    <w:rsid w:val="00634D9E"/>
    <w:rsid w:val="00634E3C"/>
    <w:rsid w:val="00634EC0"/>
    <w:rsid w:val="00634F7D"/>
    <w:rsid w:val="00634FC1"/>
    <w:rsid w:val="00635007"/>
    <w:rsid w:val="0063501E"/>
    <w:rsid w:val="00635023"/>
    <w:rsid w:val="00635073"/>
    <w:rsid w:val="006350E9"/>
    <w:rsid w:val="00635188"/>
    <w:rsid w:val="00635193"/>
    <w:rsid w:val="006351E0"/>
    <w:rsid w:val="0063521F"/>
    <w:rsid w:val="00635461"/>
    <w:rsid w:val="006354BA"/>
    <w:rsid w:val="006354D7"/>
    <w:rsid w:val="0063550C"/>
    <w:rsid w:val="006355B6"/>
    <w:rsid w:val="00635627"/>
    <w:rsid w:val="0063562D"/>
    <w:rsid w:val="00635781"/>
    <w:rsid w:val="0063583C"/>
    <w:rsid w:val="006358B4"/>
    <w:rsid w:val="006358B9"/>
    <w:rsid w:val="006358F8"/>
    <w:rsid w:val="00635971"/>
    <w:rsid w:val="006359C4"/>
    <w:rsid w:val="00635A22"/>
    <w:rsid w:val="00635A90"/>
    <w:rsid w:val="00635B64"/>
    <w:rsid w:val="00635BB4"/>
    <w:rsid w:val="00635BCF"/>
    <w:rsid w:val="00635C7E"/>
    <w:rsid w:val="00635CB0"/>
    <w:rsid w:val="00635D5D"/>
    <w:rsid w:val="00635E67"/>
    <w:rsid w:val="00635E79"/>
    <w:rsid w:val="00635E90"/>
    <w:rsid w:val="00635EB4"/>
    <w:rsid w:val="00635F27"/>
    <w:rsid w:val="00635F49"/>
    <w:rsid w:val="00635FC5"/>
    <w:rsid w:val="00635FEE"/>
    <w:rsid w:val="00636030"/>
    <w:rsid w:val="00636048"/>
    <w:rsid w:val="0063605A"/>
    <w:rsid w:val="006361A6"/>
    <w:rsid w:val="0063627E"/>
    <w:rsid w:val="00636479"/>
    <w:rsid w:val="0063652D"/>
    <w:rsid w:val="0063670C"/>
    <w:rsid w:val="00636719"/>
    <w:rsid w:val="00636740"/>
    <w:rsid w:val="00636779"/>
    <w:rsid w:val="00636791"/>
    <w:rsid w:val="006367EC"/>
    <w:rsid w:val="0063684C"/>
    <w:rsid w:val="00636874"/>
    <w:rsid w:val="00636876"/>
    <w:rsid w:val="006369C0"/>
    <w:rsid w:val="00636A03"/>
    <w:rsid w:val="00636A78"/>
    <w:rsid w:val="00636B0A"/>
    <w:rsid w:val="00636B3C"/>
    <w:rsid w:val="00636B80"/>
    <w:rsid w:val="00636B92"/>
    <w:rsid w:val="00636BD7"/>
    <w:rsid w:val="00636BDA"/>
    <w:rsid w:val="00636C15"/>
    <w:rsid w:val="00636C94"/>
    <w:rsid w:val="00636C9A"/>
    <w:rsid w:val="00636C9F"/>
    <w:rsid w:val="00636CA8"/>
    <w:rsid w:val="00636CE4"/>
    <w:rsid w:val="00636D92"/>
    <w:rsid w:val="00636DB8"/>
    <w:rsid w:val="00636E6C"/>
    <w:rsid w:val="00636EA7"/>
    <w:rsid w:val="00636F70"/>
    <w:rsid w:val="00636F91"/>
    <w:rsid w:val="00636F95"/>
    <w:rsid w:val="00636FD9"/>
    <w:rsid w:val="00637051"/>
    <w:rsid w:val="006371A7"/>
    <w:rsid w:val="006371C1"/>
    <w:rsid w:val="006371EF"/>
    <w:rsid w:val="006371FD"/>
    <w:rsid w:val="00637264"/>
    <w:rsid w:val="00637274"/>
    <w:rsid w:val="00637288"/>
    <w:rsid w:val="006372E1"/>
    <w:rsid w:val="006373A7"/>
    <w:rsid w:val="006373BD"/>
    <w:rsid w:val="006373F0"/>
    <w:rsid w:val="0063753F"/>
    <w:rsid w:val="00637559"/>
    <w:rsid w:val="00637668"/>
    <w:rsid w:val="00637671"/>
    <w:rsid w:val="006376A3"/>
    <w:rsid w:val="006376F7"/>
    <w:rsid w:val="0063778D"/>
    <w:rsid w:val="006377FC"/>
    <w:rsid w:val="00637809"/>
    <w:rsid w:val="006378B5"/>
    <w:rsid w:val="00637913"/>
    <w:rsid w:val="00637924"/>
    <w:rsid w:val="00637A98"/>
    <w:rsid w:val="00637AC7"/>
    <w:rsid w:val="00637AFF"/>
    <w:rsid w:val="00637B37"/>
    <w:rsid w:val="00637B46"/>
    <w:rsid w:val="00637C68"/>
    <w:rsid w:val="00637C9D"/>
    <w:rsid w:val="00637D3D"/>
    <w:rsid w:val="00637DEA"/>
    <w:rsid w:val="00637E34"/>
    <w:rsid w:val="00637E3C"/>
    <w:rsid w:val="00637FCF"/>
    <w:rsid w:val="00637FD1"/>
    <w:rsid w:val="0064000B"/>
    <w:rsid w:val="00640028"/>
    <w:rsid w:val="0064005C"/>
    <w:rsid w:val="00640174"/>
    <w:rsid w:val="00640258"/>
    <w:rsid w:val="006402A2"/>
    <w:rsid w:val="006402CD"/>
    <w:rsid w:val="0064041E"/>
    <w:rsid w:val="0064052A"/>
    <w:rsid w:val="006405DA"/>
    <w:rsid w:val="006406B3"/>
    <w:rsid w:val="00640789"/>
    <w:rsid w:val="0064089A"/>
    <w:rsid w:val="006408CE"/>
    <w:rsid w:val="00640952"/>
    <w:rsid w:val="0064097F"/>
    <w:rsid w:val="0064099F"/>
    <w:rsid w:val="006409FF"/>
    <w:rsid w:val="00640A5E"/>
    <w:rsid w:val="00640AAB"/>
    <w:rsid w:val="00640AB5"/>
    <w:rsid w:val="00640B2E"/>
    <w:rsid w:val="00640B35"/>
    <w:rsid w:val="00640B4B"/>
    <w:rsid w:val="00640B9B"/>
    <w:rsid w:val="00640BDA"/>
    <w:rsid w:val="00640C7B"/>
    <w:rsid w:val="00640CC0"/>
    <w:rsid w:val="00640CD8"/>
    <w:rsid w:val="00640D54"/>
    <w:rsid w:val="00640D92"/>
    <w:rsid w:val="00640F47"/>
    <w:rsid w:val="00640F66"/>
    <w:rsid w:val="00641108"/>
    <w:rsid w:val="006411BC"/>
    <w:rsid w:val="006411E4"/>
    <w:rsid w:val="00641371"/>
    <w:rsid w:val="0064144A"/>
    <w:rsid w:val="00641494"/>
    <w:rsid w:val="006414F5"/>
    <w:rsid w:val="0064155B"/>
    <w:rsid w:val="0064178E"/>
    <w:rsid w:val="006417A6"/>
    <w:rsid w:val="006417B7"/>
    <w:rsid w:val="0064184A"/>
    <w:rsid w:val="00641871"/>
    <w:rsid w:val="006418A8"/>
    <w:rsid w:val="006418F3"/>
    <w:rsid w:val="00641A31"/>
    <w:rsid w:val="00641BFF"/>
    <w:rsid w:val="00641C22"/>
    <w:rsid w:val="00641C9B"/>
    <w:rsid w:val="00641CB6"/>
    <w:rsid w:val="00641D0E"/>
    <w:rsid w:val="00641DC5"/>
    <w:rsid w:val="00641DE9"/>
    <w:rsid w:val="00641E03"/>
    <w:rsid w:val="00641E2B"/>
    <w:rsid w:val="00641FC4"/>
    <w:rsid w:val="0064202C"/>
    <w:rsid w:val="00642108"/>
    <w:rsid w:val="00642110"/>
    <w:rsid w:val="00642121"/>
    <w:rsid w:val="00642286"/>
    <w:rsid w:val="0064229F"/>
    <w:rsid w:val="006423E4"/>
    <w:rsid w:val="0064244D"/>
    <w:rsid w:val="006424B8"/>
    <w:rsid w:val="0064250A"/>
    <w:rsid w:val="006425AC"/>
    <w:rsid w:val="00642639"/>
    <w:rsid w:val="00642682"/>
    <w:rsid w:val="00642689"/>
    <w:rsid w:val="00642708"/>
    <w:rsid w:val="0064276F"/>
    <w:rsid w:val="006427C8"/>
    <w:rsid w:val="00642801"/>
    <w:rsid w:val="0064281A"/>
    <w:rsid w:val="006428B6"/>
    <w:rsid w:val="006429AC"/>
    <w:rsid w:val="00642A1C"/>
    <w:rsid w:val="00642A70"/>
    <w:rsid w:val="00642A95"/>
    <w:rsid w:val="00642AB5"/>
    <w:rsid w:val="00642B5B"/>
    <w:rsid w:val="00642B60"/>
    <w:rsid w:val="00642BE8"/>
    <w:rsid w:val="00642C7F"/>
    <w:rsid w:val="00642C85"/>
    <w:rsid w:val="00642D5F"/>
    <w:rsid w:val="00642ED7"/>
    <w:rsid w:val="00642EDC"/>
    <w:rsid w:val="00642F37"/>
    <w:rsid w:val="00642FE5"/>
    <w:rsid w:val="0064306E"/>
    <w:rsid w:val="006430B9"/>
    <w:rsid w:val="00643144"/>
    <w:rsid w:val="0064315A"/>
    <w:rsid w:val="006431DD"/>
    <w:rsid w:val="00643213"/>
    <w:rsid w:val="00643217"/>
    <w:rsid w:val="00643331"/>
    <w:rsid w:val="006434E9"/>
    <w:rsid w:val="00643511"/>
    <w:rsid w:val="0064354A"/>
    <w:rsid w:val="00643578"/>
    <w:rsid w:val="00643585"/>
    <w:rsid w:val="006435D0"/>
    <w:rsid w:val="006435DA"/>
    <w:rsid w:val="006436C3"/>
    <w:rsid w:val="006436DE"/>
    <w:rsid w:val="006437F9"/>
    <w:rsid w:val="006438DF"/>
    <w:rsid w:val="006439AF"/>
    <w:rsid w:val="006439F5"/>
    <w:rsid w:val="00643A07"/>
    <w:rsid w:val="00643AE0"/>
    <w:rsid w:val="00643BBC"/>
    <w:rsid w:val="00643BF8"/>
    <w:rsid w:val="00643CE8"/>
    <w:rsid w:val="00643D14"/>
    <w:rsid w:val="00643D23"/>
    <w:rsid w:val="00643DCA"/>
    <w:rsid w:val="00644171"/>
    <w:rsid w:val="0064426E"/>
    <w:rsid w:val="0064426F"/>
    <w:rsid w:val="006442D3"/>
    <w:rsid w:val="0064436C"/>
    <w:rsid w:val="00644494"/>
    <w:rsid w:val="006444FA"/>
    <w:rsid w:val="00644504"/>
    <w:rsid w:val="00644550"/>
    <w:rsid w:val="006445F7"/>
    <w:rsid w:val="0064464D"/>
    <w:rsid w:val="006446A3"/>
    <w:rsid w:val="00644710"/>
    <w:rsid w:val="0064471C"/>
    <w:rsid w:val="00644754"/>
    <w:rsid w:val="0064484C"/>
    <w:rsid w:val="006448A5"/>
    <w:rsid w:val="006448AB"/>
    <w:rsid w:val="0064495B"/>
    <w:rsid w:val="00644A1D"/>
    <w:rsid w:val="00644B51"/>
    <w:rsid w:val="00644C33"/>
    <w:rsid w:val="00644C82"/>
    <w:rsid w:val="00644D2D"/>
    <w:rsid w:val="00644D71"/>
    <w:rsid w:val="00644E46"/>
    <w:rsid w:val="00644E4B"/>
    <w:rsid w:val="00644EF6"/>
    <w:rsid w:val="00644F13"/>
    <w:rsid w:val="00644F19"/>
    <w:rsid w:val="00644F5E"/>
    <w:rsid w:val="00644F6C"/>
    <w:rsid w:val="00645015"/>
    <w:rsid w:val="006450D0"/>
    <w:rsid w:val="0064516E"/>
    <w:rsid w:val="006451A6"/>
    <w:rsid w:val="00645291"/>
    <w:rsid w:val="006452A5"/>
    <w:rsid w:val="0064531E"/>
    <w:rsid w:val="0064535C"/>
    <w:rsid w:val="0064543B"/>
    <w:rsid w:val="0064547A"/>
    <w:rsid w:val="00645484"/>
    <w:rsid w:val="00645555"/>
    <w:rsid w:val="0064556A"/>
    <w:rsid w:val="0064561A"/>
    <w:rsid w:val="0064569D"/>
    <w:rsid w:val="006456BA"/>
    <w:rsid w:val="00645756"/>
    <w:rsid w:val="0064585B"/>
    <w:rsid w:val="006458C2"/>
    <w:rsid w:val="006459DF"/>
    <w:rsid w:val="006459FF"/>
    <w:rsid w:val="00645B16"/>
    <w:rsid w:val="00645C07"/>
    <w:rsid w:val="00645C0F"/>
    <w:rsid w:val="00645C98"/>
    <w:rsid w:val="00645CB1"/>
    <w:rsid w:val="00645E38"/>
    <w:rsid w:val="00645F28"/>
    <w:rsid w:val="00645F81"/>
    <w:rsid w:val="00645FC1"/>
    <w:rsid w:val="00646052"/>
    <w:rsid w:val="0064610D"/>
    <w:rsid w:val="00646129"/>
    <w:rsid w:val="006461A7"/>
    <w:rsid w:val="006461B3"/>
    <w:rsid w:val="00646237"/>
    <w:rsid w:val="0064624D"/>
    <w:rsid w:val="00646269"/>
    <w:rsid w:val="006462A2"/>
    <w:rsid w:val="00646461"/>
    <w:rsid w:val="006464B9"/>
    <w:rsid w:val="006464DF"/>
    <w:rsid w:val="00646532"/>
    <w:rsid w:val="00646561"/>
    <w:rsid w:val="006465F0"/>
    <w:rsid w:val="00646626"/>
    <w:rsid w:val="00646635"/>
    <w:rsid w:val="00646660"/>
    <w:rsid w:val="006466DF"/>
    <w:rsid w:val="0064678E"/>
    <w:rsid w:val="006467F9"/>
    <w:rsid w:val="0064681E"/>
    <w:rsid w:val="0064683C"/>
    <w:rsid w:val="00646864"/>
    <w:rsid w:val="00646869"/>
    <w:rsid w:val="00646909"/>
    <w:rsid w:val="00646969"/>
    <w:rsid w:val="0064698E"/>
    <w:rsid w:val="006469D6"/>
    <w:rsid w:val="00646A17"/>
    <w:rsid w:val="00646A4D"/>
    <w:rsid w:val="00646AF3"/>
    <w:rsid w:val="00646C10"/>
    <w:rsid w:val="00646C55"/>
    <w:rsid w:val="00646CF8"/>
    <w:rsid w:val="00646D27"/>
    <w:rsid w:val="00646D68"/>
    <w:rsid w:val="00646DB7"/>
    <w:rsid w:val="00646DD3"/>
    <w:rsid w:val="00646EF9"/>
    <w:rsid w:val="00646F2B"/>
    <w:rsid w:val="00646FDA"/>
    <w:rsid w:val="00647059"/>
    <w:rsid w:val="006470A0"/>
    <w:rsid w:val="00647123"/>
    <w:rsid w:val="00647179"/>
    <w:rsid w:val="0064719C"/>
    <w:rsid w:val="006471A7"/>
    <w:rsid w:val="006471E2"/>
    <w:rsid w:val="0064724E"/>
    <w:rsid w:val="00647281"/>
    <w:rsid w:val="00647318"/>
    <w:rsid w:val="00647324"/>
    <w:rsid w:val="00647460"/>
    <w:rsid w:val="006474FD"/>
    <w:rsid w:val="00647503"/>
    <w:rsid w:val="00647566"/>
    <w:rsid w:val="006475CD"/>
    <w:rsid w:val="006475D3"/>
    <w:rsid w:val="0064760A"/>
    <w:rsid w:val="006476A7"/>
    <w:rsid w:val="006476CF"/>
    <w:rsid w:val="006476FA"/>
    <w:rsid w:val="006477AF"/>
    <w:rsid w:val="006477CE"/>
    <w:rsid w:val="006477F0"/>
    <w:rsid w:val="0064781D"/>
    <w:rsid w:val="006478D7"/>
    <w:rsid w:val="00647903"/>
    <w:rsid w:val="0064790B"/>
    <w:rsid w:val="00647939"/>
    <w:rsid w:val="00647A18"/>
    <w:rsid w:val="00647ACA"/>
    <w:rsid w:val="00647AED"/>
    <w:rsid w:val="00647B47"/>
    <w:rsid w:val="00647B78"/>
    <w:rsid w:val="00647C47"/>
    <w:rsid w:val="00647C94"/>
    <w:rsid w:val="00647CDC"/>
    <w:rsid w:val="00647DA8"/>
    <w:rsid w:val="00647DB8"/>
    <w:rsid w:val="00647DCB"/>
    <w:rsid w:val="00647E09"/>
    <w:rsid w:val="00647E59"/>
    <w:rsid w:val="00647EAC"/>
    <w:rsid w:val="00647F4D"/>
    <w:rsid w:val="00647FA8"/>
    <w:rsid w:val="0064F3F0"/>
    <w:rsid w:val="0065001B"/>
    <w:rsid w:val="00650030"/>
    <w:rsid w:val="00650035"/>
    <w:rsid w:val="00650044"/>
    <w:rsid w:val="00650188"/>
    <w:rsid w:val="006501EF"/>
    <w:rsid w:val="0065021A"/>
    <w:rsid w:val="006502E2"/>
    <w:rsid w:val="0065035F"/>
    <w:rsid w:val="0065038A"/>
    <w:rsid w:val="006503CE"/>
    <w:rsid w:val="00650457"/>
    <w:rsid w:val="0065045A"/>
    <w:rsid w:val="006504D2"/>
    <w:rsid w:val="006504F5"/>
    <w:rsid w:val="00650550"/>
    <w:rsid w:val="00650661"/>
    <w:rsid w:val="00650665"/>
    <w:rsid w:val="0065069B"/>
    <w:rsid w:val="00650818"/>
    <w:rsid w:val="0065083F"/>
    <w:rsid w:val="006508A3"/>
    <w:rsid w:val="00650926"/>
    <w:rsid w:val="00650A61"/>
    <w:rsid w:val="00650A9D"/>
    <w:rsid w:val="00650ADF"/>
    <w:rsid w:val="00650B47"/>
    <w:rsid w:val="00650B62"/>
    <w:rsid w:val="00650B63"/>
    <w:rsid w:val="00650C10"/>
    <w:rsid w:val="00650C3C"/>
    <w:rsid w:val="00650CAE"/>
    <w:rsid w:val="00650CBD"/>
    <w:rsid w:val="00650D3F"/>
    <w:rsid w:val="00650E40"/>
    <w:rsid w:val="00650E68"/>
    <w:rsid w:val="00650F1F"/>
    <w:rsid w:val="00650F49"/>
    <w:rsid w:val="00650F6D"/>
    <w:rsid w:val="00650FE8"/>
    <w:rsid w:val="00651182"/>
    <w:rsid w:val="0065127E"/>
    <w:rsid w:val="00651286"/>
    <w:rsid w:val="0065129F"/>
    <w:rsid w:val="006512EE"/>
    <w:rsid w:val="00651323"/>
    <w:rsid w:val="006513F3"/>
    <w:rsid w:val="00651491"/>
    <w:rsid w:val="0065161D"/>
    <w:rsid w:val="0065162A"/>
    <w:rsid w:val="006517D6"/>
    <w:rsid w:val="006517E7"/>
    <w:rsid w:val="006517FA"/>
    <w:rsid w:val="0065180A"/>
    <w:rsid w:val="00651812"/>
    <w:rsid w:val="006518B5"/>
    <w:rsid w:val="0065191B"/>
    <w:rsid w:val="0065197C"/>
    <w:rsid w:val="006519D9"/>
    <w:rsid w:val="00651AAF"/>
    <w:rsid w:val="00651ADD"/>
    <w:rsid w:val="00651B31"/>
    <w:rsid w:val="00651B40"/>
    <w:rsid w:val="00651BA7"/>
    <w:rsid w:val="00651C75"/>
    <w:rsid w:val="00651C8A"/>
    <w:rsid w:val="00651D46"/>
    <w:rsid w:val="00651D64"/>
    <w:rsid w:val="00651F55"/>
    <w:rsid w:val="00651F6D"/>
    <w:rsid w:val="00651F72"/>
    <w:rsid w:val="00651FB4"/>
    <w:rsid w:val="0065205A"/>
    <w:rsid w:val="00652069"/>
    <w:rsid w:val="006520CD"/>
    <w:rsid w:val="006520D0"/>
    <w:rsid w:val="00652104"/>
    <w:rsid w:val="00652121"/>
    <w:rsid w:val="00652128"/>
    <w:rsid w:val="00652154"/>
    <w:rsid w:val="0065217A"/>
    <w:rsid w:val="0065228F"/>
    <w:rsid w:val="006524E1"/>
    <w:rsid w:val="00652665"/>
    <w:rsid w:val="0065268A"/>
    <w:rsid w:val="006526E7"/>
    <w:rsid w:val="00652704"/>
    <w:rsid w:val="00652755"/>
    <w:rsid w:val="00652786"/>
    <w:rsid w:val="006528D1"/>
    <w:rsid w:val="00652A5C"/>
    <w:rsid w:val="00652A6B"/>
    <w:rsid w:val="00652A87"/>
    <w:rsid w:val="00652AC5"/>
    <w:rsid w:val="00652B11"/>
    <w:rsid w:val="00652B24"/>
    <w:rsid w:val="00652B2D"/>
    <w:rsid w:val="00652B4A"/>
    <w:rsid w:val="00652BA6"/>
    <w:rsid w:val="00652BB1"/>
    <w:rsid w:val="00652C2D"/>
    <w:rsid w:val="00652C35"/>
    <w:rsid w:val="00652C5B"/>
    <w:rsid w:val="00652EC5"/>
    <w:rsid w:val="00652F15"/>
    <w:rsid w:val="00652F5F"/>
    <w:rsid w:val="0065323D"/>
    <w:rsid w:val="0065333C"/>
    <w:rsid w:val="006534CE"/>
    <w:rsid w:val="006535A3"/>
    <w:rsid w:val="006535C8"/>
    <w:rsid w:val="0065364A"/>
    <w:rsid w:val="006537C9"/>
    <w:rsid w:val="006538DE"/>
    <w:rsid w:val="006538E7"/>
    <w:rsid w:val="00653956"/>
    <w:rsid w:val="0065395A"/>
    <w:rsid w:val="00653963"/>
    <w:rsid w:val="0065399F"/>
    <w:rsid w:val="00653A50"/>
    <w:rsid w:val="00653A86"/>
    <w:rsid w:val="00653A87"/>
    <w:rsid w:val="00653BB5"/>
    <w:rsid w:val="00653BD8"/>
    <w:rsid w:val="00653C0D"/>
    <w:rsid w:val="00653CCC"/>
    <w:rsid w:val="00653D75"/>
    <w:rsid w:val="00653E08"/>
    <w:rsid w:val="00653E19"/>
    <w:rsid w:val="00653EBD"/>
    <w:rsid w:val="00653F23"/>
    <w:rsid w:val="00653FDA"/>
    <w:rsid w:val="0065400A"/>
    <w:rsid w:val="00654016"/>
    <w:rsid w:val="006540B5"/>
    <w:rsid w:val="00654119"/>
    <w:rsid w:val="0065416C"/>
    <w:rsid w:val="006541AD"/>
    <w:rsid w:val="006541C1"/>
    <w:rsid w:val="00654235"/>
    <w:rsid w:val="0065428C"/>
    <w:rsid w:val="006542D6"/>
    <w:rsid w:val="006542D7"/>
    <w:rsid w:val="006542EC"/>
    <w:rsid w:val="0065432F"/>
    <w:rsid w:val="0065439D"/>
    <w:rsid w:val="00654403"/>
    <w:rsid w:val="0065461D"/>
    <w:rsid w:val="00654688"/>
    <w:rsid w:val="006546C5"/>
    <w:rsid w:val="0065476B"/>
    <w:rsid w:val="00654786"/>
    <w:rsid w:val="006547B1"/>
    <w:rsid w:val="0065483A"/>
    <w:rsid w:val="0065483C"/>
    <w:rsid w:val="00654855"/>
    <w:rsid w:val="006548F5"/>
    <w:rsid w:val="00654909"/>
    <w:rsid w:val="006549A8"/>
    <w:rsid w:val="006549F0"/>
    <w:rsid w:val="00654A92"/>
    <w:rsid w:val="00654B09"/>
    <w:rsid w:val="00654B9A"/>
    <w:rsid w:val="00654D4B"/>
    <w:rsid w:val="00654E0C"/>
    <w:rsid w:val="00654E52"/>
    <w:rsid w:val="00654E58"/>
    <w:rsid w:val="00654E6D"/>
    <w:rsid w:val="00654ECE"/>
    <w:rsid w:val="00654F27"/>
    <w:rsid w:val="00655084"/>
    <w:rsid w:val="006550A9"/>
    <w:rsid w:val="006550C4"/>
    <w:rsid w:val="0065513C"/>
    <w:rsid w:val="00655169"/>
    <w:rsid w:val="006551D3"/>
    <w:rsid w:val="00655252"/>
    <w:rsid w:val="0065527A"/>
    <w:rsid w:val="006552B4"/>
    <w:rsid w:val="00655397"/>
    <w:rsid w:val="006553B2"/>
    <w:rsid w:val="0065544F"/>
    <w:rsid w:val="006554BA"/>
    <w:rsid w:val="006554C1"/>
    <w:rsid w:val="006554DC"/>
    <w:rsid w:val="00655522"/>
    <w:rsid w:val="00655542"/>
    <w:rsid w:val="00655561"/>
    <w:rsid w:val="00655730"/>
    <w:rsid w:val="00655773"/>
    <w:rsid w:val="006557A5"/>
    <w:rsid w:val="006557AB"/>
    <w:rsid w:val="006557D1"/>
    <w:rsid w:val="006557EC"/>
    <w:rsid w:val="006558DC"/>
    <w:rsid w:val="0065590E"/>
    <w:rsid w:val="00655942"/>
    <w:rsid w:val="00655C60"/>
    <w:rsid w:val="00655D1C"/>
    <w:rsid w:val="00655D45"/>
    <w:rsid w:val="00655D5C"/>
    <w:rsid w:val="00655E12"/>
    <w:rsid w:val="00655EE5"/>
    <w:rsid w:val="00655F0E"/>
    <w:rsid w:val="00655F57"/>
    <w:rsid w:val="00655FB2"/>
    <w:rsid w:val="00655FF1"/>
    <w:rsid w:val="00656011"/>
    <w:rsid w:val="0065606A"/>
    <w:rsid w:val="0065606E"/>
    <w:rsid w:val="0065610D"/>
    <w:rsid w:val="00656132"/>
    <w:rsid w:val="00656148"/>
    <w:rsid w:val="006561B7"/>
    <w:rsid w:val="006561DD"/>
    <w:rsid w:val="0065623D"/>
    <w:rsid w:val="0065623F"/>
    <w:rsid w:val="006562D6"/>
    <w:rsid w:val="00656330"/>
    <w:rsid w:val="00656399"/>
    <w:rsid w:val="006563C6"/>
    <w:rsid w:val="00656401"/>
    <w:rsid w:val="0065643C"/>
    <w:rsid w:val="0065647C"/>
    <w:rsid w:val="0065648F"/>
    <w:rsid w:val="0065652C"/>
    <w:rsid w:val="00656570"/>
    <w:rsid w:val="006565A5"/>
    <w:rsid w:val="006565BD"/>
    <w:rsid w:val="006565C4"/>
    <w:rsid w:val="0065662C"/>
    <w:rsid w:val="00656632"/>
    <w:rsid w:val="0065667F"/>
    <w:rsid w:val="0065668B"/>
    <w:rsid w:val="0065669F"/>
    <w:rsid w:val="006566D2"/>
    <w:rsid w:val="00656877"/>
    <w:rsid w:val="0065687E"/>
    <w:rsid w:val="0065688B"/>
    <w:rsid w:val="00656902"/>
    <w:rsid w:val="006569C3"/>
    <w:rsid w:val="00656A28"/>
    <w:rsid w:val="00656A49"/>
    <w:rsid w:val="00656B51"/>
    <w:rsid w:val="00656B79"/>
    <w:rsid w:val="00656C96"/>
    <w:rsid w:val="00656C99"/>
    <w:rsid w:val="00656D8B"/>
    <w:rsid w:val="00656D8F"/>
    <w:rsid w:val="00656FCA"/>
    <w:rsid w:val="00657102"/>
    <w:rsid w:val="0065713F"/>
    <w:rsid w:val="0065716D"/>
    <w:rsid w:val="0065724E"/>
    <w:rsid w:val="00657297"/>
    <w:rsid w:val="006572D5"/>
    <w:rsid w:val="0065730B"/>
    <w:rsid w:val="0065732F"/>
    <w:rsid w:val="00657368"/>
    <w:rsid w:val="0065738A"/>
    <w:rsid w:val="00657398"/>
    <w:rsid w:val="00657430"/>
    <w:rsid w:val="0065746B"/>
    <w:rsid w:val="00657512"/>
    <w:rsid w:val="00657542"/>
    <w:rsid w:val="006575C0"/>
    <w:rsid w:val="006575D6"/>
    <w:rsid w:val="00657619"/>
    <w:rsid w:val="00657672"/>
    <w:rsid w:val="00657709"/>
    <w:rsid w:val="00657716"/>
    <w:rsid w:val="00657896"/>
    <w:rsid w:val="0065789F"/>
    <w:rsid w:val="00657908"/>
    <w:rsid w:val="0065792E"/>
    <w:rsid w:val="006579B4"/>
    <w:rsid w:val="006579D1"/>
    <w:rsid w:val="00657A66"/>
    <w:rsid w:val="00657ADB"/>
    <w:rsid w:val="00657B12"/>
    <w:rsid w:val="00657B26"/>
    <w:rsid w:val="00657BD5"/>
    <w:rsid w:val="00657C3D"/>
    <w:rsid w:val="00657C7B"/>
    <w:rsid w:val="00657E4C"/>
    <w:rsid w:val="00657EFC"/>
    <w:rsid w:val="00657F43"/>
    <w:rsid w:val="00657FE7"/>
    <w:rsid w:val="0065A8DD"/>
    <w:rsid w:val="0065E0B5"/>
    <w:rsid w:val="0065EED9"/>
    <w:rsid w:val="00660215"/>
    <w:rsid w:val="00660228"/>
    <w:rsid w:val="0066024B"/>
    <w:rsid w:val="0066025D"/>
    <w:rsid w:val="0066029F"/>
    <w:rsid w:val="006602DD"/>
    <w:rsid w:val="006602F8"/>
    <w:rsid w:val="00660367"/>
    <w:rsid w:val="00660520"/>
    <w:rsid w:val="00660560"/>
    <w:rsid w:val="006605AF"/>
    <w:rsid w:val="006605B0"/>
    <w:rsid w:val="00660649"/>
    <w:rsid w:val="006606E7"/>
    <w:rsid w:val="00660777"/>
    <w:rsid w:val="006607C7"/>
    <w:rsid w:val="006607E5"/>
    <w:rsid w:val="006607F1"/>
    <w:rsid w:val="006607F7"/>
    <w:rsid w:val="006608CB"/>
    <w:rsid w:val="0066095F"/>
    <w:rsid w:val="006609E8"/>
    <w:rsid w:val="00660B10"/>
    <w:rsid w:val="00660B7E"/>
    <w:rsid w:val="00660C03"/>
    <w:rsid w:val="00660C65"/>
    <w:rsid w:val="00660E68"/>
    <w:rsid w:val="00660F15"/>
    <w:rsid w:val="00660F88"/>
    <w:rsid w:val="00661079"/>
    <w:rsid w:val="0066108D"/>
    <w:rsid w:val="00661091"/>
    <w:rsid w:val="006610B3"/>
    <w:rsid w:val="00661141"/>
    <w:rsid w:val="00661176"/>
    <w:rsid w:val="006611D5"/>
    <w:rsid w:val="0066142A"/>
    <w:rsid w:val="00661438"/>
    <w:rsid w:val="006614A7"/>
    <w:rsid w:val="00661513"/>
    <w:rsid w:val="00661566"/>
    <w:rsid w:val="006615A2"/>
    <w:rsid w:val="006615F1"/>
    <w:rsid w:val="006615F4"/>
    <w:rsid w:val="0066161C"/>
    <w:rsid w:val="00661633"/>
    <w:rsid w:val="00661647"/>
    <w:rsid w:val="00661735"/>
    <w:rsid w:val="0066173B"/>
    <w:rsid w:val="0066184C"/>
    <w:rsid w:val="006618A8"/>
    <w:rsid w:val="006618B1"/>
    <w:rsid w:val="006618C9"/>
    <w:rsid w:val="00661914"/>
    <w:rsid w:val="00661ADD"/>
    <w:rsid w:val="00661B5D"/>
    <w:rsid w:val="00661B6E"/>
    <w:rsid w:val="00661C81"/>
    <w:rsid w:val="00661D90"/>
    <w:rsid w:val="00661F8E"/>
    <w:rsid w:val="00661FC9"/>
    <w:rsid w:val="00661FD5"/>
    <w:rsid w:val="00662059"/>
    <w:rsid w:val="00662118"/>
    <w:rsid w:val="0066215A"/>
    <w:rsid w:val="00662177"/>
    <w:rsid w:val="0066219E"/>
    <w:rsid w:val="006621AC"/>
    <w:rsid w:val="006621EC"/>
    <w:rsid w:val="00662249"/>
    <w:rsid w:val="006622D7"/>
    <w:rsid w:val="006622FF"/>
    <w:rsid w:val="006623B2"/>
    <w:rsid w:val="00662401"/>
    <w:rsid w:val="00662425"/>
    <w:rsid w:val="0066243E"/>
    <w:rsid w:val="0066244D"/>
    <w:rsid w:val="0066248C"/>
    <w:rsid w:val="006624F5"/>
    <w:rsid w:val="006624FC"/>
    <w:rsid w:val="006625A4"/>
    <w:rsid w:val="00662600"/>
    <w:rsid w:val="0066262A"/>
    <w:rsid w:val="006626C3"/>
    <w:rsid w:val="00662731"/>
    <w:rsid w:val="00662768"/>
    <w:rsid w:val="006627BE"/>
    <w:rsid w:val="00662847"/>
    <w:rsid w:val="006629AF"/>
    <w:rsid w:val="00662B9A"/>
    <w:rsid w:val="00662C9C"/>
    <w:rsid w:val="00662D22"/>
    <w:rsid w:val="00662D53"/>
    <w:rsid w:val="00662D98"/>
    <w:rsid w:val="00662DAE"/>
    <w:rsid w:val="00662E32"/>
    <w:rsid w:val="00662E9E"/>
    <w:rsid w:val="00662F71"/>
    <w:rsid w:val="00663030"/>
    <w:rsid w:val="00663077"/>
    <w:rsid w:val="006630A6"/>
    <w:rsid w:val="0066322C"/>
    <w:rsid w:val="006632C2"/>
    <w:rsid w:val="006632E0"/>
    <w:rsid w:val="006633A9"/>
    <w:rsid w:val="0066351C"/>
    <w:rsid w:val="006635AB"/>
    <w:rsid w:val="006635DE"/>
    <w:rsid w:val="00663645"/>
    <w:rsid w:val="00663667"/>
    <w:rsid w:val="006637AB"/>
    <w:rsid w:val="0066382F"/>
    <w:rsid w:val="0066388D"/>
    <w:rsid w:val="0066389B"/>
    <w:rsid w:val="00663962"/>
    <w:rsid w:val="006639DD"/>
    <w:rsid w:val="006639E2"/>
    <w:rsid w:val="00663A4C"/>
    <w:rsid w:val="00663A68"/>
    <w:rsid w:val="00663AD2"/>
    <w:rsid w:val="00663AE5"/>
    <w:rsid w:val="00663B7E"/>
    <w:rsid w:val="00663C9E"/>
    <w:rsid w:val="00663CA8"/>
    <w:rsid w:val="00663CC3"/>
    <w:rsid w:val="00663D2E"/>
    <w:rsid w:val="00663DE9"/>
    <w:rsid w:val="00663E25"/>
    <w:rsid w:val="00663E44"/>
    <w:rsid w:val="00663F55"/>
    <w:rsid w:val="00663FE3"/>
    <w:rsid w:val="00664121"/>
    <w:rsid w:val="006641C9"/>
    <w:rsid w:val="006642C9"/>
    <w:rsid w:val="0066439F"/>
    <w:rsid w:val="00664539"/>
    <w:rsid w:val="00664585"/>
    <w:rsid w:val="006645C3"/>
    <w:rsid w:val="00664648"/>
    <w:rsid w:val="0066465A"/>
    <w:rsid w:val="00664667"/>
    <w:rsid w:val="006646A5"/>
    <w:rsid w:val="006646F6"/>
    <w:rsid w:val="006647F3"/>
    <w:rsid w:val="00664870"/>
    <w:rsid w:val="00664982"/>
    <w:rsid w:val="00664BDF"/>
    <w:rsid w:val="00664BE2"/>
    <w:rsid w:val="00664C89"/>
    <w:rsid w:val="00664C98"/>
    <w:rsid w:val="00664CAF"/>
    <w:rsid w:val="00664D75"/>
    <w:rsid w:val="00664DD2"/>
    <w:rsid w:val="00664DF2"/>
    <w:rsid w:val="00664EC6"/>
    <w:rsid w:val="00664F3B"/>
    <w:rsid w:val="00664FDF"/>
    <w:rsid w:val="00665056"/>
    <w:rsid w:val="00665090"/>
    <w:rsid w:val="006650AB"/>
    <w:rsid w:val="00665116"/>
    <w:rsid w:val="00665139"/>
    <w:rsid w:val="00665182"/>
    <w:rsid w:val="006651C4"/>
    <w:rsid w:val="00665263"/>
    <w:rsid w:val="0066526D"/>
    <w:rsid w:val="006652FE"/>
    <w:rsid w:val="0066534A"/>
    <w:rsid w:val="00665353"/>
    <w:rsid w:val="006653DE"/>
    <w:rsid w:val="00665442"/>
    <w:rsid w:val="00665467"/>
    <w:rsid w:val="0066546C"/>
    <w:rsid w:val="006654A4"/>
    <w:rsid w:val="006654C4"/>
    <w:rsid w:val="006654DA"/>
    <w:rsid w:val="00665570"/>
    <w:rsid w:val="0066561D"/>
    <w:rsid w:val="00665621"/>
    <w:rsid w:val="0066568E"/>
    <w:rsid w:val="006657D3"/>
    <w:rsid w:val="006657DD"/>
    <w:rsid w:val="0066582A"/>
    <w:rsid w:val="006658BE"/>
    <w:rsid w:val="00665A4F"/>
    <w:rsid w:val="00665A95"/>
    <w:rsid w:val="00665A9A"/>
    <w:rsid w:val="00665BD8"/>
    <w:rsid w:val="00665C1C"/>
    <w:rsid w:val="00665C54"/>
    <w:rsid w:val="00665CEE"/>
    <w:rsid w:val="00665E3A"/>
    <w:rsid w:val="00665F2F"/>
    <w:rsid w:val="00665F5E"/>
    <w:rsid w:val="00665F9D"/>
    <w:rsid w:val="00666009"/>
    <w:rsid w:val="0066611C"/>
    <w:rsid w:val="0066617F"/>
    <w:rsid w:val="006661BD"/>
    <w:rsid w:val="00666436"/>
    <w:rsid w:val="006664C8"/>
    <w:rsid w:val="00666525"/>
    <w:rsid w:val="00666536"/>
    <w:rsid w:val="00666604"/>
    <w:rsid w:val="00666654"/>
    <w:rsid w:val="006666CD"/>
    <w:rsid w:val="006666F9"/>
    <w:rsid w:val="00666991"/>
    <w:rsid w:val="006669B5"/>
    <w:rsid w:val="006669B8"/>
    <w:rsid w:val="006669E0"/>
    <w:rsid w:val="006669E1"/>
    <w:rsid w:val="00666AF3"/>
    <w:rsid w:val="00666AFD"/>
    <w:rsid w:val="00666BAE"/>
    <w:rsid w:val="00666BBC"/>
    <w:rsid w:val="00666D2F"/>
    <w:rsid w:val="00666DE7"/>
    <w:rsid w:val="00666E0C"/>
    <w:rsid w:val="00666EB5"/>
    <w:rsid w:val="00666F2F"/>
    <w:rsid w:val="00666F77"/>
    <w:rsid w:val="00667009"/>
    <w:rsid w:val="00667053"/>
    <w:rsid w:val="0066709E"/>
    <w:rsid w:val="006670AA"/>
    <w:rsid w:val="006670AF"/>
    <w:rsid w:val="006670BE"/>
    <w:rsid w:val="006670F1"/>
    <w:rsid w:val="00667259"/>
    <w:rsid w:val="0066728E"/>
    <w:rsid w:val="00667300"/>
    <w:rsid w:val="00667307"/>
    <w:rsid w:val="00667322"/>
    <w:rsid w:val="00667392"/>
    <w:rsid w:val="00667460"/>
    <w:rsid w:val="00667676"/>
    <w:rsid w:val="006676C3"/>
    <w:rsid w:val="006676DD"/>
    <w:rsid w:val="00667762"/>
    <w:rsid w:val="00667916"/>
    <w:rsid w:val="00667ACD"/>
    <w:rsid w:val="00667BB6"/>
    <w:rsid w:val="00667C14"/>
    <w:rsid w:val="00667C1A"/>
    <w:rsid w:val="00667CD9"/>
    <w:rsid w:val="00667D83"/>
    <w:rsid w:val="00667D8C"/>
    <w:rsid w:val="00667DAB"/>
    <w:rsid w:val="00667E44"/>
    <w:rsid w:val="00667E7B"/>
    <w:rsid w:val="00667EE9"/>
    <w:rsid w:val="00667F76"/>
    <w:rsid w:val="00667F85"/>
    <w:rsid w:val="00667FEE"/>
    <w:rsid w:val="0067021F"/>
    <w:rsid w:val="0067026A"/>
    <w:rsid w:val="006702B6"/>
    <w:rsid w:val="0067030A"/>
    <w:rsid w:val="00670485"/>
    <w:rsid w:val="0067048E"/>
    <w:rsid w:val="006704A6"/>
    <w:rsid w:val="006704D7"/>
    <w:rsid w:val="006704E3"/>
    <w:rsid w:val="0067054C"/>
    <w:rsid w:val="00670599"/>
    <w:rsid w:val="006706D0"/>
    <w:rsid w:val="0067073A"/>
    <w:rsid w:val="0067089C"/>
    <w:rsid w:val="0067090B"/>
    <w:rsid w:val="00670A08"/>
    <w:rsid w:val="00670AF7"/>
    <w:rsid w:val="00670C64"/>
    <w:rsid w:val="00670C9A"/>
    <w:rsid w:val="00670CA3"/>
    <w:rsid w:val="00670D4B"/>
    <w:rsid w:val="00670D67"/>
    <w:rsid w:val="00670D8F"/>
    <w:rsid w:val="00670DE0"/>
    <w:rsid w:val="00670EF2"/>
    <w:rsid w:val="006711CC"/>
    <w:rsid w:val="006711DE"/>
    <w:rsid w:val="006712D5"/>
    <w:rsid w:val="006712E0"/>
    <w:rsid w:val="006712FF"/>
    <w:rsid w:val="00671310"/>
    <w:rsid w:val="00671343"/>
    <w:rsid w:val="00671379"/>
    <w:rsid w:val="0067138C"/>
    <w:rsid w:val="006713D4"/>
    <w:rsid w:val="00671429"/>
    <w:rsid w:val="00671435"/>
    <w:rsid w:val="00671495"/>
    <w:rsid w:val="006714CA"/>
    <w:rsid w:val="006714FC"/>
    <w:rsid w:val="0067153A"/>
    <w:rsid w:val="0067155D"/>
    <w:rsid w:val="00671567"/>
    <w:rsid w:val="0067158C"/>
    <w:rsid w:val="00671595"/>
    <w:rsid w:val="006715AB"/>
    <w:rsid w:val="006715FD"/>
    <w:rsid w:val="00671707"/>
    <w:rsid w:val="00671738"/>
    <w:rsid w:val="006717D9"/>
    <w:rsid w:val="0067188E"/>
    <w:rsid w:val="006718BE"/>
    <w:rsid w:val="00671937"/>
    <w:rsid w:val="00671996"/>
    <w:rsid w:val="006719BE"/>
    <w:rsid w:val="00671AB7"/>
    <w:rsid w:val="00671AB9"/>
    <w:rsid w:val="00671B16"/>
    <w:rsid w:val="00671B51"/>
    <w:rsid w:val="00671B72"/>
    <w:rsid w:val="00671C32"/>
    <w:rsid w:val="00671C99"/>
    <w:rsid w:val="00671D1D"/>
    <w:rsid w:val="00671D23"/>
    <w:rsid w:val="00671D60"/>
    <w:rsid w:val="00671D7A"/>
    <w:rsid w:val="00671DE3"/>
    <w:rsid w:val="00671E1C"/>
    <w:rsid w:val="00671E28"/>
    <w:rsid w:val="00671E72"/>
    <w:rsid w:val="00671F16"/>
    <w:rsid w:val="00671F68"/>
    <w:rsid w:val="00671F6A"/>
    <w:rsid w:val="00671FDD"/>
    <w:rsid w:val="00671FF6"/>
    <w:rsid w:val="00671FFF"/>
    <w:rsid w:val="00672023"/>
    <w:rsid w:val="00672045"/>
    <w:rsid w:val="00672056"/>
    <w:rsid w:val="00672167"/>
    <w:rsid w:val="00672168"/>
    <w:rsid w:val="00672192"/>
    <w:rsid w:val="0067225E"/>
    <w:rsid w:val="00672295"/>
    <w:rsid w:val="006722B8"/>
    <w:rsid w:val="006722C9"/>
    <w:rsid w:val="0067234C"/>
    <w:rsid w:val="006723C9"/>
    <w:rsid w:val="0067242A"/>
    <w:rsid w:val="00672482"/>
    <w:rsid w:val="00672485"/>
    <w:rsid w:val="006724C4"/>
    <w:rsid w:val="006724F4"/>
    <w:rsid w:val="00672567"/>
    <w:rsid w:val="00672581"/>
    <w:rsid w:val="00672599"/>
    <w:rsid w:val="006725AF"/>
    <w:rsid w:val="00672638"/>
    <w:rsid w:val="006727B9"/>
    <w:rsid w:val="006727E0"/>
    <w:rsid w:val="0067285F"/>
    <w:rsid w:val="00672889"/>
    <w:rsid w:val="006728AE"/>
    <w:rsid w:val="006728D1"/>
    <w:rsid w:val="006729DB"/>
    <w:rsid w:val="00672A28"/>
    <w:rsid w:val="00672A46"/>
    <w:rsid w:val="00672BBA"/>
    <w:rsid w:val="00672C75"/>
    <w:rsid w:val="00672CD2"/>
    <w:rsid w:val="00672DAD"/>
    <w:rsid w:val="00672E3B"/>
    <w:rsid w:val="00672EF4"/>
    <w:rsid w:val="00672F02"/>
    <w:rsid w:val="00672F3F"/>
    <w:rsid w:val="00672FF4"/>
    <w:rsid w:val="0067303E"/>
    <w:rsid w:val="00673092"/>
    <w:rsid w:val="00673130"/>
    <w:rsid w:val="0067316F"/>
    <w:rsid w:val="006731C0"/>
    <w:rsid w:val="006731C9"/>
    <w:rsid w:val="006732B9"/>
    <w:rsid w:val="00673497"/>
    <w:rsid w:val="0067351B"/>
    <w:rsid w:val="0067362F"/>
    <w:rsid w:val="006736B7"/>
    <w:rsid w:val="006736BC"/>
    <w:rsid w:val="006736ED"/>
    <w:rsid w:val="00673764"/>
    <w:rsid w:val="00673779"/>
    <w:rsid w:val="006737CE"/>
    <w:rsid w:val="00673818"/>
    <w:rsid w:val="00673846"/>
    <w:rsid w:val="00673867"/>
    <w:rsid w:val="006738B8"/>
    <w:rsid w:val="00673967"/>
    <w:rsid w:val="0067396E"/>
    <w:rsid w:val="006739E5"/>
    <w:rsid w:val="00673A36"/>
    <w:rsid w:val="00673A39"/>
    <w:rsid w:val="00673A70"/>
    <w:rsid w:val="00673AA0"/>
    <w:rsid w:val="00673AF3"/>
    <w:rsid w:val="00673AFD"/>
    <w:rsid w:val="00673B5D"/>
    <w:rsid w:val="00673BCF"/>
    <w:rsid w:val="00673BFE"/>
    <w:rsid w:val="00673C5A"/>
    <w:rsid w:val="00673C8D"/>
    <w:rsid w:val="00673D54"/>
    <w:rsid w:val="00673DBF"/>
    <w:rsid w:val="00673DC6"/>
    <w:rsid w:val="00673E34"/>
    <w:rsid w:val="00673E66"/>
    <w:rsid w:val="00673EC3"/>
    <w:rsid w:val="00673F92"/>
    <w:rsid w:val="0067402E"/>
    <w:rsid w:val="00674062"/>
    <w:rsid w:val="0067406A"/>
    <w:rsid w:val="0067406F"/>
    <w:rsid w:val="00674106"/>
    <w:rsid w:val="0067413E"/>
    <w:rsid w:val="0067415D"/>
    <w:rsid w:val="0067417D"/>
    <w:rsid w:val="00674208"/>
    <w:rsid w:val="00674260"/>
    <w:rsid w:val="006742C9"/>
    <w:rsid w:val="0067438F"/>
    <w:rsid w:val="006743C8"/>
    <w:rsid w:val="0067448C"/>
    <w:rsid w:val="0067468F"/>
    <w:rsid w:val="006746F1"/>
    <w:rsid w:val="0067474A"/>
    <w:rsid w:val="006747FC"/>
    <w:rsid w:val="00674807"/>
    <w:rsid w:val="006748B2"/>
    <w:rsid w:val="0067492B"/>
    <w:rsid w:val="00674935"/>
    <w:rsid w:val="00674941"/>
    <w:rsid w:val="00674983"/>
    <w:rsid w:val="006749DB"/>
    <w:rsid w:val="00674A82"/>
    <w:rsid w:val="00674A86"/>
    <w:rsid w:val="00674ADE"/>
    <w:rsid w:val="00674AEF"/>
    <w:rsid w:val="00674B0E"/>
    <w:rsid w:val="00674BD4"/>
    <w:rsid w:val="00674BFE"/>
    <w:rsid w:val="00674C03"/>
    <w:rsid w:val="00674CAA"/>
    <w:rsid w:val="00674E2C"/>
    <w:rsid w:val="00674E41"/>
    <w:rsid w:val="00674F56"/>
    <w:rsid w:val="00674FC2"/>
    <w:rsid w:val="00674FC4"/>
    <w:rsid w:val="0067502F"/>
    <w:rsid w:val="006750B1"/>
    <w:rsid w:val="006750EA"/>
    <w:rsid w:val="00675170"/>
    <w:rsid w:val="006751E1"/>
    <w:rsid w:val="0067526E"/>
    <w:rsid w:val="00675316"/>
    <w:rsid w:val="00675354"/>
    <w:rsid w:val="006753C6"/>
    <w:rsid w:val="006754D7"/>
    <w:rsid w:val="006754E4"/>
    <w:rsid w:val="006754EE"/>
    <w:rsid w:val="006755C6"/>
    <w:rsid w:val="00675720"/>
    <w:rsid w:val="006757CB"/>
    <w:rsid w:val="006757E9"/>
    <w:rsid w:val="006757EB"/>
    <w:rsid w:val="006758BE"/>
    <w:rsid w:val="006759D2"/>
    <w:rsid w:val="006759E1"/>
    <w:rsid w:val="006759F5"/>
    <w:rsid w:val="00675A35"/>
    <w:rsid w:val="00675A55"/>
    <w:rsid w:val="00675A8E"/>
    <w:rsid w:val="00675A93"/>
    <w:rsid w:val="00675AC6"/>
    <w:rsid w:val="00675AFD"/>
    <w:rsid w:val="00675B82"/>
    <w:rsid w:val="00675BFB"/>
    <w:rsid w:val="00675CB0"/>
    <w:rsid w:val="00675CD2"/>
    <w:rsid w:val="00675D34"/>
    <w:rsid w:val="00675D5E"/>
    <w:rsid w:val="00675F51"/>
    <w:rsid w:val="00675F6B"/>
    <w:rsid w:val="00675F80"/>
    <w:rsid w:val="00675FF9"/>
    <w:rsid w:val="00676039"/>
    <w:rsid w:val="0067607B"/>
    <w:rsid w:val="0067608F"/>
    <w:rsid w:val="006760AF"/>
    <w:rsid w:val="00676187"/>
    <w:rsid w:val="006761D1"/>
    <w:rsid w:val="006762E2"/>
    <w:rsid w:val="00676355"/>
    <w:rsid w:val="006763DC"/>
    <w:rsid w:val="0067644C"/>
    <w:rsid w:val="006764C7"/>
    <w:rsid w:val="00676537"/>
    <w:rsid w:val="006765B0"/>
    <w:rsid w:val="00676605"/>
    <w:rsid w:val="00676610"/>
    <w:rsid w:val="00676655"/>
    <w:rsid w:val="00676666"/>
    <w:rsid w:val="006766D6"/>
    <w:rsid w:val="006766DB"/>
    <w:rsid w:val="00676715"/>
    <w:rsid w:val="00676845"/>
    <w:rsid w:val="00676873"/>
    <w:rsid w:val="006768AE"/>
    <w:rsid w:val="006768C0"/>
    <w:rsid w:val="006768EA"/>
    <w:rsid w:val="00676960"/>
    <w:rsid w:val="00676966"/>
    <w:rsid w:val="006769B1"/>
    <w:rsid w:val="00676B4E"/>
    <w:rsid w:val="00676B84"/>
    <w:rsid w:val="00676CA6"/>
    <w:rsid w:val="00676DA2"/>
    <w:rsid w:val="00676DB1"/>
    <w:rsid w:val="00676E70"/>
    <w:rsid w:val="00676F8C"/>
    <w:rsid w:val="00677004"/>
    <w:rsid w:val="00677076"/>
    <w:rsid w:val="00677088"/>
    <w:rsid w:val="0067712B"/>
    <w:rsid w:val="00677188"/>
    <w:rsid w:val="006771B7"/>
    <w:rsid w:val="006771DB"/>
    <w:rsid w:val="00677209"/>
    <w:rsid w:val="0067720A"/>
    <w:rsid w:val="00677245"/>
    <w:rsid w:val="00677261"/>
    <w:rsid w:val="00677425"/>
    <w:rsid w:val="00677517"/>
    <w:rsid w:val="00677523"/>
    <w:rsid w:val="00677535"/>
    <w:rsid w:val="00677552"/>
    <w:rsid w:val="00677611"/>
    <w:rsid w:val="0067765D"/>
    <w:rsid w:val="0067768D"/>
    <w:rsid w:val="006776DF"/>
    <w:rsid w:val="0067776A"/>
    <w:rsid w:val="006777A5"/>
    <w:rsid w:val="006777C6"/>
    <w:rsid w:val="006777F4"/>
    <w:rsid w:val="00677868"/>
    <w:rsid w:val="00677883"/>
    <w:rsid w:val="0067789F"/>
    <w:rsid w:val="006778D9"/>
    <w:rsid w:val="00677912"/>
    <w:rsid w:val="006779FF"/>
    <w:rsid w:val="00677A95"/>
    <w:rsid w:val="00677ABC"/>
    <w:rsid w:val="00677B47"/>
    <w:rsid w:val="00677BB5"/>
    <w:rsid w:val="00677C91"/>
    <w:rsid w:val="00677D01"/>
    <w:rsid w:val="00677D61"/>
    <w:rsid w:val="00677EB5"/>
    <w:rsid w:val="00677F7B"/>
    <w:rsid w:val="00677FAE"/>
    <w:rsid w:val="00677FF7"/>
    <w:rsid w:val="006800A4"/>
    <w:rsid w:val="00680102"/>
    <w:rsid w:val="0068014D"/>
    <w:rsid w:val="0068016D"/>
    <w:rsid w:val="006801A2"/>
    <w:rsid w:val="006801C2"/>
    <w:rsid w:val="006801C4"/>
    <w:rsid w:val="006801EC"/>
    <w:rsid w:val="00680227"/>
    <w:rsid w:val="0068025E"/>
    <w:rsid w:val="00680300"/>
    <w:rsid w:val="0068036B"/>
    <w:rsid w:val="00680397"/>
    <w:rsid w:val="006803F4"/>
    <w:rsid w:val="0068041F"/>
    <w:rsid w:val="0068042E"/>
    <w:rsid w:val="00680547"/>
    <w:rsid w:val="0068055C"/>
    <w:rsid w:val="006805CF"/>
    <w:rsid w:val="0068061B"/>
    <w:rsid w:val="00680681"/>
    <w:rsid w:val="0068070B"/>
    <w:rsid w:val="00680736"/>
    <w:rsid w:val="006807B8"/>
    <w:rsid w:val="00680816"/>
    <w:rsid w:val="006808C8"/>
    <w:rsid w:val="00680905"/>
    <w:rsid w:val="006809B5"/>
    <w:rsid w:val="006809FD"/>
    <w:rsid w:val="00680B96"/>
    <w:rsid w:val="00680C0A"/>
    <w:rsid w:val="00680C71"/>
    <w:rsid w:val="00680DEB"/>
    <w:rsid w:val="0068101E"/>
    <w:rsid w:val="006810D0"/>
    <w:rsid w:val="006810EC"/>
    <w:rsid w:val="006811DA"/>
    <w:rsid w:val="0068123B"/>
    <w:rsid w:val="00681344"/>
    <w:rsid w:val="0068137D"/>
    <w:rsid w:val="00681382"/>
    <w:rsid w:val="00681409"/>
    <w:rsid w:val="0068140E"/>
    <w:rsid w:val="00681421"/>
    <w:rsid w:val="0068143D"/>
    <w:rsid w:val="00681452"/>
    <w:rsid w:val="0068149A"/>
    <w:rsid w:val="006814AD"/>
    <w:rsid w:val="00681500"/>
    <w:rsid w:val="0068151C"/>
    <w:rsid w:val="00681560"/>
    <w:rsid w:val="006815DC"/>
    <w:rsid w:val="0068167B"/>
    <w:rsid w:val="00681761"/>
    <w:rsid w:val="00681768"/>
    <w:rsid w:val="006817DF"/>
    <w:rsid w:val="006819E0"/>
    <w:rsid w:val="006819E4"/>
    <w:rsid w:val="00681A69"/>
    <w:rsid w:val="00681B08"/>
    <w:rsid w:val="00681B3D"/>
    <w:rsid w:val="00681C22"/>
    <w:rsid w:val="00681CAD"/>
    <w:rsid w:val="00681D1D"/>
    <w:rsid w:val="00681D94"/>
    <w:rsid w:val="00681E20"/>
    <w:rsid w:val="00681E35"/>
    <w:rsid w:val="00681E50"/>
    <w:rsid w:val="00681F25"/>
    <w:rsid w:val="00681F29"/>
    <w:rsid w:val="00681F62"/>
    <w:rsid w:val="00681F84"/>
    <w:rsid w:val="0068206A"/>
    <w:rsid w:val="0068212C"/>
    <w:rsid w:val="006821A2"/>
    <w:rsid w:val="0068222D"/>
    <w:rsid w:val="006823BF"/>
    <w:rsid w:val="006823FB"/>
    <w:rsid w:val="0068249A"/>
    <w:rsid w:val="006824D9"/>
    <w:rsid w:val="00682506"/>
    <w:rsid w:val="0068253D"/>
    <w:rsid w:val="006825CC"/>
    <w:rsid w:val="006825E4"/>
    <w:rsid w:val="0068265D"/>
    <w:rsid w:val="0068271D"/>
    <w:rsid w:val="00682748"/>
    <w:rsid w:val="00682807"/>
    <w:rsid w:val="006828F5"/>
    <w:rsid w:val="00682A27"/>
    <w:rsid w:val="00682AE8"/>
    <w:rsid w:val="00682B3F"/>
    <w:rsid w:val="00682BB2"/>
    <w:rsid w:val="00682BB6"/>
    <w:rsid w:val="00682BBE"/>
    <w:rsid w:val="00682D22"/>
    <w:rsid w:val="00682DE5"/>
    <w:rsid w:val="00682E07"/>
    <w:rsid w:val="00682E0B"/>
    <w:rsid w:val="00682E8F"/>
    <w:rsid w:val="00682E94"/>
    <w:rsid w:val="00682E96"/>
    <w:rsid w:val="00682EA6"/>
    <w:rsid w:val="00682EEF"/>
    <w:rsid w:val="00682F74"/>
    <w:rsid w:val="00682F86"/>
    <w:rsid w:val="00682FC0"/>
    <w:rsid w:val="00682FE4"/>
    <w:rsid w:val="006830E9"/>
    <w:rsid w:val="0068319C"/>
    <w:rsid w:val="006831D4"/>
    <w:rsid w:val="00683201"/>
    <w:rsid w:val="0068325B"/>
    <w:rsid w:val="006832AE"/>
    <w:rsid w:val="006832D9"/>
    <w:rsid w:val="006832E2"/>
    <w:rsid w:val="006833C2"/>
    <w:rsid w:val="006833ED"/>
    <w:rsid w:val="006833F5"/>
    <w:rsid w:val="00683441"/>
    <w:rsid w:val="006834DF"/>
    <w:rsid w:val="0068357F"/>
    <w:rsid w:val="00683598"/>
    <w:rsid w:val="006835CD"/>
    <w:rsid w:val="006835F5"/>
    <w:rsid w:val="0068364D"/>
    <w:rsid w:val="0068373B"/>
    <w:rsid w:val="0068375D"/>
    <w:rsid w:val="006837AB"/>
    <w:rsid w:val="006837D0"/>
    <w:rsid w:val="0068388B"/>
    <w:rsid w:val="00683917"/>
    <w:rsid w:val="0068395C"/>
    <w:rsid w:val="006839B7"/>
    <w:rsid w:val="00683A13"/>
    <w:rsid w:val="00683A37"/>
    <w:rsid w:val="00683A96"/>
    <w:rsid w:val="00683ACB"/>
    <w:rsid w:val="00683AF0"/>
    <w:rsid w:val="00683AFA"/>
    <w:rsid w:val="00683BB5"/>
    <w:rsid w:val="00683BE4"/>
    <w:rsid w:val="00683CDD"/>
    <w:rsid w:val="00683CEE"/>
    <w:rsid w:val="00683D21"/>
    <w:rsid w:val="00683EE3"/>
    <w:rsid w:val="00683FAE"/>
    <w:rsid w:val="00683FBF"/>
    <w:rsid w:val="00684050"/>
    <w:rsid w:val="006840D9"/>
    <w:rsid w:val="00684195"/>
    <w:rsid w:val="0068421F"/>
    <w:rsid w:val="00684238"/>
    <w:rsid w:val="0068424F"/>
    <w:rsid w:val="00684262"/>
    <w:rsid w:val="006842D0"/>
    <w:rsid w:val="006842ED"/>
    <w:rsid w:val="0068440D"/>
    <w:rsid w:val="0068441A"/>
    <w:rsid w:val="0068441E"/>
    <w:rsid w:val="00684503"/>
    <w:rsid w:val="00684552"/>
    <w:rsid w:val="006845BB"/>
    <w:rsid w:val="006845C5"/>
    <w:rsid w:val="00684612"/>
    <w:rsid w:val="00684635"/>
    <w:rsid w:val="00684642"/>
    <w:rsid w:val="00684751"/>
    <w:rsid w:val="006847B1"/>
    <w:rsid w:val="006847CF"/>
    <w:rsid w:val="006847E5"/>
    <w:rsid w:val="00684845"/>
    <w:rsid w:val="006848AE"/>
    <w:rsid w:val="006848C6"/>
    <w:rsid w:val="0068499D"/>
    <w:rsid w:val="006849DD"/>
    <w:rsid w:val="006849ED"/>
    <w:rsid w:val="00684A08"/>
    <w:rsid w:val="00684A21"/>
    <w:rsid w:val="00684A36"/>
    <w:rsid w:val="00684AA2"/>
    <w:rsid w:val="00684BAF"/>
    <w:rsid w:val="00684C25"/>
    <w:rsid w:val="00684DDE"/>
    <w:rsid w:val="00684E09"/>
    <w:rsid w:val="00684E87"/>
    <w:rsid w:val="00684F7E"/>
    <w:rsid w:val="00685006"/>
    <w:rsid w:val="00685015"/>
    <w:rsid w:val="00685074"/>
    <w:rsid w:val="006851A3"/>
    <w:rsid w:val="006851BF"/>
    <w:rsid w:val="00685201"/>
    <w:rsid w:val="00685229"/>
    <w:rsid w:val="0068523B"/>
    <w:rsid w:val="006852F7"/>
    <w:rsid w:val="0068534B"/>
    <w:rsid w:val="0068536D"/>
    <w:rsid w:val="00685371"/>
    <w:rsid w:val="00685495"/>
    <w:rsid w:val="006854A3"/>
    <w:rsid w:val="006855F5"/>
    <w:rsid w:val="00685606"/>
    <w:rsid w:val="00685620"/>
    <w:rsid w:val="00685660"/>
    <w:rsid w:val="0068569C"/>
    <w:rsid w:val="0068574B"/>
    <w:rsid w:val="00685760"/>
    <w:rsid w:val="00685A52"/>
    <w:rsid w:val="00685A9A"/>
    <w:rsid w:val="00685AFC"/>
    <w:rsid w:val="00685BAE"/>
    <w:rsid w:val="00685CE9"/>
    <w:rsid w:val="00685CF8"/>
    <w:rsid w:val="00685D66"/>
    <w:rsid w:val="00685E52"/>
    <w:rsid w:val="00685E57"/>
    <w:rsid w:val="00685E94"/>
    <w:rsid w:val="00685F76"/>
    <w:rsid w:val="00685F96"/>
    <w:rsid w:val="00685FAD"/>
    <w:rsid w:val="00686064"/>
    <w:rsid w:val="006863FB"/>
    <w:rsid w:val="00686425"/>
    <w:rsid w:val="00686495"/>
    <w:rsid w:val="0068649A"/>
    <w:rsid w:val="006864BA"/>
    <w:rsid w:val="006864D1"/>
    <w:rsid w:val="00686553"/>
    <w:rsid w:val="006866F1"/>
    <w:rsid w:val="00686722"/>
    <w:rsid w:val="0068674F"/>
    <w:rsid w:val="00686828"/>
    <w:rsid w:val="0068690A"/>
    <w:rsid w:val="0068696A"/>
    <w:rsid w:val="0068699D"/>
    <w:rsid w:val="006869C3"/>
    <w:rsid w:val="006869EC"/>
    <w:rsid w:val="00686A52"/>
    <w:rsid w:val="00686A93"/>
    <w:rsid w:val="00686AA4"/>
    <w:rsid w:val="00686B05"/>
    <w:rsid w:val="00686B59"/>
    <w:rsid w:val="00686B76"/>
    <w:rsid w:val="00686C8B"/>
    <w:rsid w:val="00686CEF"/>
    <w:rsid w:val="00686CF8"/>
    <w:rsid w:val="00686DC9"/>
    <w:rsid w:val="00686DE5"/>
    <w:rsid w:val="00686E19"/>
    <w:rsid w:val="00686E7E"/>
    <w:rsid w:val="00686E88"/>
    <w:rsid w:val="00686F02"/>
    <w:rsid w:val="00686F32"/>
    <w:rsid w:val="00686F44"/>
    <w:rsid w:val="00686FC8"/>
    <w:rsid w:val="00687040"/>
    <w:rsid w:val="00687075"/>
    <w:rsid w:val="00687089"/>
    <w:rsid w:val="00687199"/>
    <w:rsid w:val="006872AB"/>
    <w:rsid w:val="006872BE"/>
    <w:rsid w:val="00687426"/>
    <w:rsid w:val="00687454"/>
    <w:rsid w:val="00687499"/>
    <w:rsid w:val="00687553"/>
    <w:rsid w:val="00687757"/>
    <w:rsid w:val="006877B2"/>
    <w:rsid w:val="00687807"/>
    <w:rsid w:val="0068796D"/>
    <w:rsid w:val="00687994"/>
    <w:rsid w:val="006879BB"/>
    <w:rsid w:val="00687B06"/>
    <w:rsid w:val="00687B32"/>
    <w:rsid w:val="00687BC3"/>
    <w:rsid w:val="00687CA9"/>
    <w:rsid w:val="00687DD3"/>
    <w:rsid w:val="00687E02"/>
    <w:rsid w:val="00687E47"/>
    <w:rsid w:val="00687EE9"/>
    <w:rsid w:val="00690016"/>
    <w:rsid w:val="0069004D"/>
    <w:rsid w:val="006900CD"/>
    <w:rsid w:val="00690103"/>
    <w:rsid w:val="006902C2"/>
    <w:rsid w:val="006902F3"/>
    <w:rsid w:val="006903E6"/>
    <w:rsid w:val="0069040C"/>
    <w:rsid w:val="0069048C"/>
    <w:rsid w:val="006904C8"/>
    <w:rsid w:val="00690503"/>
    <w:rsid w:val="0069063B"/>
    <w:rsid w:val="006907D5"/>
    <w:rsid w:val="006908BB"/>
    <w:rsid w:val="00690976"/>
    <w:rsid w:val="0069099F"/>
    <w:rsid w:val="006909C5"/>
    <w:rsid w:val="00690A28"/>
    <w:rsid w:val="00690A85"/>
    <w:rsid w:val="00690AD5"/>
    <w:rsid w:val="00690CA0"/>
    <w:rsid w:val="00690D51"/>
    <w:rsid w:val="00690D6F"/>
    <w:rsid w:val="00690D8F"/>
    <w:rsid w:val="00690DA3"/>
    <w:rsid w:val="00690EFB"/>
    <w:rsid w:val="00690F72"/>
    <w:rsid w:val="00690F74"/>
    <w:rsid w:val="00690FB2"/>
    <w:rsid w:val="00690FBB"/>
    <w:rsid w:val="00691019"/>
    <w:rsid w:val="006910DC"/>
    <w:rsid w:val="0069114E"/>
    <w:rsid w:val="00691188"/>
    <w:rsid w:val="006911A6"/>
    <w:rsid w:val="006911C9"/>
    <w:rsid w:val="00691333"/>
    <w:rsid w:val="0069134C"/>
    <w:rsid w:val="0069135D"/>
    <w:rsid w:val="00691388"/>
    <w:rsid w:val="0069148C"/>
    <w:rsid w:val="00691539"/>
    <w:rsid w:val="0069156E"/>
    <w:rsid w:val="0069161E"/>
    <w:rsid w:val="0069164B"/>
    <w:rsid w:val="00691657"/>
    <w:rsid w:val="0069168D"/>
    <w:rsid w:val="00691695"/>
    <w:rsid w:val="006916A7"/>
    <w:rsid w:val="006916C0"/>
    <w:rsid w:val="0069175E"/>
    <w:rsid w:val="006917BD"/>
    <w:rsid w:val="006918DE"/>
    <w:rsid w:val="0069192F"/>
    <w:rsid w:val="00691938"/>
    <w:rsid w:val="00691961"/>
    <w:rsid w:val="006919A3"/>
    <w:rsid w:val="006919BF"/>
    <w:rsid w:val="00691A67"/>
    <w:rsid w:val="00691B1A"/>
    <w:rsid w:val="00691B3F"/>
    <w:rsid w:val="00691CC5"/>
    <w:rsid w:val="00691D1A"/>
    <w:rsid w:val="00691D7C"/>
    <w:rsid w:val="00691DA1"/>
    <w:rsid w:val="00691E2D"/>
    <w:rsid w:val="00691E40"/>
    <w:rsid w:val="00691E4F"/>
    <w:rsid w:val="00691EF0"/>
    <w:rsid w:val="00691F08"/>
    <w:rsid w:val="00691F6B"/>
    <w:rsid w:val="00691FE1"/>
    <w:rsid w:val="0069208A"/>
    <w:rsid w:val="006920DB"/>
    <w:rsid w:val="006921F9"/>
    <w:rsid w:val="0069220F"/>
    <w:rsid w:val="0069226F"/>
    <w:rsid w:val="006922E1"/>
    <w:rsid w:val="006922EE"/>
    <w:rsid w:val="0069233E"/>
    <w:rsid w:val="00692369"/>
    <w:rsid w:val="00692446"/>
    <w:rsid w:val="0069246A"/>
    <w:rsid w:val="00692531"/>
    <w:rsid w:val="00692568"/>
    <w:rsid w:val="006925E0"/>
    <w:rsid w:val="006927DD"/>
    <w:rsid w:val="006928C2"/>
    <w:rsid w:val="006928DD"/>
    <w:rsid w:val="00692916"/>
    <w:rsid w:val="0069294D"/>
    <w:rsid w:val="00692A07"/>
    <w:rsid w:val="00692A08"/>
    <w:rsid w:val="00692A7A"/>
    <w:rsid w:val="00692A7D"/>
    <w:rsid w:val="00692AD0"/>
    <w:rsid w:val="00692B0C"/>
    <w:rsid w:val="00692B3A"/>
    <w:rsid w:val="00692BB3"/>
    <w:rsid w:val="00692C81"/>
    <w:rsid w:val="00692D62"/>
    <w:rsid w:val="00692DAF"/>
    <w:rsid w:val="00692E19"/>
    <w:rsid w:val="00692E5D"/>
    <w:rsid w:val="00692ECC"/>
    <w:rsid w:val="00692FD2"/>
    <w:rsid w:val="00693021"/>
    <w:rsid w:val="0069305D"/>
    <w:rsid w:val="006930F3"/>
    <w:rsid w:val="00693144"/>
    <w:rsid w:val="006931AD"/>
    <w:rsid w:val="006931FA"/>
    <w:rsid w:val="00693234"/>
    <w:rsid w:val="006932C1"/>
    <w:rsid w:val="00693446"/>
    <w:rsid w:val="0069346B"/>
    <w:rsid w:val="006934B3"/>
    <w:rsid w:val="006935A1"/>
    <w:rsid w:val="006935C4"/>
    <w:rsid w:val="006935D6"/>
    <w:rsid w:val="00693607"/>
    <w:rsid w:val="0069374A"/>
    <w:rsid w:val="00693781"/>
    <w:rsid w:val="00693798"/>
    <w:rsid w:val="0069379B"/>
    <w:rsid w:val="006937A8"/>
    <w:rsid w:val="006937C5"/>
    <w:rsid w:val="006937D8"/>
    <w:rsid w:val="00693834"/>
    <w:rsid w:val="006938E2"/>
    <w:rsid w:val="00693929"/>
    <w:rsid w:val="0069395A"/>
    <w:rsid w:val="00693984"/>
    <w:rsid w:val="00693B2D"/>
    <w:rsid w:val="00693B99"/>
    <w:rsid w:val="00693EEE"/>
    <w:rsid w:val="00694029"/>
    <w:rsid w:val="00694042"/>
    <w:rsid w:val="00694044"/>
    <w:rsid w:val="00694116"/>
    <w:rsid w:val="00694140"/>
    <w:rsid w:val="006941CF"/>
    <w:rsid w:val="006941E0"/>
    <w:rsid w:val="00694271"/>
    <w:rsid w:val="00694331"/>
    <w:rsid w:val="0069439D"/>
    <w:rsid w:val="006944C9"/>
    <w:rsid w:val="006944CF"/>
    <w:rsid w:val="006944E0"/>
    <w:rsid w:val="006944E3"/>
    <w:rsid w:val="006945A0"/>
    <w:rsid w:val="00694606"/>
    <w:rsid w:val="00694716"/>
    <w:rsid w:val="00694749"/>
    <w:rsid w:val="006947D3"/>
    <w:rsid w:val="0069483E"/>
    <w:rsid w:val="0069488E"/>
    <w:rsid w:val="0069489F"/>
    <w:rsid w:val="006949E1"/>
    <w:rsid w:val="00694A39"/>
    <w:rsid w:val="00694AF9"/>
    <w:rsid w:val="00694B0E"/>
    <w:rsid w:val="00694B8E"/>
    <w:rsid w:val="00694BCE"/>
    <w:rsid w:val="00694CC4"/>
    <w:rsid w:val="00694CE4"/>
    <w:rsid w:val="00694F2F"/>
    <w:rsid w:val="00694F4C"/>
    <w:rsid w:val="00694F75"/>
    <w:rsid w:val="00694FAE"/>
    <w:rsid w:val="006950E3"/>
    <w:rsid w:val="0069515F"/>
    <w:rsid w:val="006951D9"/>
    <w:rsid w:val="0069523E"/>
    <w:rsid w:val="0069528D"/>
    <w:rsid w:val="00695336"/>
    <w:rsid w:val="00695405"/>
    <w:rsid w:val="00695463"/>
    <w:rsid w:val="006955E6"/>
    <w:rsid w:val="00695714"/>
    <w:rsid w:val="00695715"/>
    <w:rsid w:val="0069583E"/>
    <w:rsid w:val="0069586E"/>
    <w:rsid w:val="006958EC"/>
    <w:rsid w:val="0069596B"/>
    <w:rsid w:val="00695983"/>
    <w:rsid w:val="006959A0"/>
    <w:rsid w:val="006959E6"/>
    <w:rsid w:val="00695ACE"/>
    <w:rsid w:val="00695B86"/>
    <w:rsid w:val="00695C10"/>
    <w:rsid w:val="00695C23"/>
    <w:rsid w:val="00695C8E"/>
    <w:rsid w:val="00695ED0"/>
    <w:rsid w:val="00695F21"/>
    <w:rsid w:val="00695F70"/>
    <w:rsid w:val="00696112"/>
    <w:rsid w:val="0069615B"/>
    <w:rsid w:val="006961B0"/>
    <w:rsid w:val="006961C2"/>
    <w:rsid w:val="006961EC"/>
    <w:rsid w:val="0069620E"/>
    <w:rsid w:val="00696275"/>
    <w:rsid w:val="00696313"/>
    <w:rsid w:val="00696320"/>
    <w:rsid w:val="00696464"/>
    <w:rsid w:val="006964C2"/>
    <w:rsid w:val="006965A2"/>
    <w:rsid w:val="006965CB"/>
    <w:rsid w:val="0069668B"/>
    <w:rsid w:val="006966C6"/>
    <w:rsid w:val="00696715"/>
    <w:rsid w:val="00696778"/>
    <w:rsid w:val="0069677C"/>
    <w:rsid w:val="006967C8"/>
    <w:rsid w:val="006969B8"/>
    <w:rsid w:val="00696B2D"/>
    <w:rsid w:val="00696BB8"/>
    <w:rsid w:val="00696D15"/>
    <w:rsid w:val="00696D61"/>
    <w:rsid w:val="00696E75"/>
    <w:rsid w:val="00696E9A"/>
    <w:rsid w:val="00696EBD"/>
    <w:rsid w:val="00696ECB"/>
    <w:rsid w:val="00696F4C"/>
    <w:rsid w:val="00696F8A"/>
    <w:rsid w:val="00697004"/>
    <w:rsid w:val="0069702F"/>
    <w:rsid w:val="0069711F"/>
    <w:rsid w:val="00697124"/>
    <w:rsid w:val="00697126"/>
    <w:rsid w:val="00697191"/>
    <w:rsid w:val="006971BB"/>
    <w:rsid w:val="006971CF"/>
    <w:rsid w:val="006971DF"/>
    <w:rsid w:val="006972AF"/>
    <w:rsid w:val="00697357"/>
    <w:rsid w:val="00697380"/>
    <w:rsid w:val="006973B0"/>
    <w:rsid w:val="00697411"/>
    <w:rsid w:val="00697417"/>
    <w:rsid w:val="0069741D"/>
    <w:rsid w:val="00697461"/>
    <w:rsid w:val="00697467"/>
    <w:rsid w:val="0069747E"/>
    <w:rsid w:val="00697657"/>
    <w:rsid w:val="006976D3"/>
    <w:rsid w:val="006976E6"/>
    <w:rsid w:val="00697734"/>
    <w:rsid w:val="00697741"/>
    <w:rsid w:val="00697783"/>
    <w:rsid w:val="006977D5"/>
    <w:rsid w:val="006977E2"/>
    <w:rsid w:val="00697856"/>
    <w:rsid w:val="0069786A"/>
    <w:rsid w:val="00697921"/>
    <w:rsid w:val="006979C9"/>
    <w:rsid w:val="00697A95"/>
    <w:rsid w:val="00697B0A"/>
    <w:rsid w:val="00697B50"/>
    <w:rsid w:val="00697B7D"/>
    <w:rsid w:val="00697BBF"/>
    <w:rsid w:val="00697D42"/>
    <w:rsid w:val="00697D88"/>
    <w:rsid w:val="00697E0F"/>
    <w:rsid w:val="00697E8D"/>
    <w:rsid w:val="00697F05"/>
    <w:rsid w:val="00697F9B"/>
    <w:rsid w:val="006A00A9"/>
    <w:rsid w:val="006A0142"/>
    <w:rsid w:val="006A01C3"/>
    <w:rsid w:val="006A01C9"/>
    <w:rsid w:val="006A020B"/>
    <w:rsid w:val="006A02B2"/>
    <w:rsid w:val="006A02DD"/>
    <w:rsid w:val="006A0316"/>
    <w:rsid w:val="006A038E"/>
    <w:rsid w:val="006A04E0"/>
    <w:rsid w:val="006A0535"/>
    <w:rsid w:val="006A066A"/>
    <w:rsid w:val="006A07F7"/>
    <w:rsid w:val="006A081E"/>
    <w:rsid w:val="006A0967"/>
    <w:rsid w:val="006A09D9"/>
    <w:rsid w:val="006A0A67"/>
    <w:rsid w:val="006A0A71"/>
    <w:rsid w:val="006A0AB1"/>
    <w:rsid w:val="006A0BBF"/>
    <w:rsid w:val="006A0CFF"/>
    <w:rsid w:val="006A0D4D"/>
    <w:rsid w:val="006A0D54"/>
    <w:rsid w:val="006A0DA1"/>
    <w:rsid w:val="006A0DA8"/>
    <w:rsid w:val="006A0DEB"/>
    <w:rsid w:val="006A0DF9"/>
    <w:rsid w:val="006A0E57"/>
    <w:rsid w:val="006A0EAE"/>
    <w:rsid w:val="006A0EDB"/>
    <w:rsid w:val="006A0F4F"/>
    <w:rsid w:val="006A0F85"/>
    <w:rsid w:val="006A1036"/>
    <w:rsid w:val="006A1051"/>
    <w:rsid w:val="006A10A2"/>
    <w:rsid w:val="006A10E5"/>
    <w:rsid w:val="006A114C"/>
    <w:rsid w:val="006A118B"/>
    <w:rsid w:val="006A121E"/>
    <w:rsid w:val="006A1220"/>
    <w:rsid w:val="006A124A"/>
    <w:rsid w:val="006A1295"/>
    <w:rsid w:val="006A12B2"/>
    <w:rsid w:val="006A12B5"/>
    <w:rsid w:val="006A1414"/>
    <w:rsid w:val="006A14B2"/>
    <w:rsid w:val="006A14C0"/>
    <w:rsid w:val="006A151E"/>
    <w:rsid w:val="006A153D"/>
    <w:rsid w:val="006A162F"/>
    <w:rsid w:val="006A1678"/>
    <w:rsid w:val="006A16BD"/>
    <w:rsid w:val="006A1732"/>
    <w:rsid w:val="006A177F"/>
    <w:rsid w:val="006A17EA"/>
    <w:rsid w:val="006A17EF"/>
    <w:rsid w:val="006A1856"/>
    <w:rsid w:val="006A18C3"/>
    <w:rsid w:val="006A191A"/>
    <w:rsid w:val="006A1A1A"/>
    <w:rsid w:val="006A1A25"/>
    <w:rsid w:val="006A1A26"/>
    <w:rsid w:val="006A1A92"/>
    <w:rsid w:val="006A1B9A"/>
    <w:rsid w:val="006A1BE3"/>
    <w:rsid w:val="006A1F8A"/>
    <w:rsid w:val="006A1FB8"/>
    <w:rsid w:val="006A1FBE"/>
    <w:rsid w:val="006A1FDF"/>
    <w:rsid w:val="006A2054"/>
    <w:rsid w:val="006A2056"/>
    <w:rsid w:val="006A208A"/>
    <w:rsid w:val="006A216B"/>
    <w:rsid w:val="006A21FE"/>
    <w:rsid w:val="006A2237"/>
    <w:rsid w:val="006A23DA"/>
    <w:rsid w:val="006A2423"/>
    <w:rsid w:val="006A248E"/>
    <w:rsid w:val="006A2583"/>
    <w:rsid w:val="006A2602"/>
    <w:rsid w:val="006A2607"/>
    <w:rsid w:val="006A2626"/>
    <w:rsid w:val="006A26BD"/>
    <w:rsid w:val="006A2716"/>
    <w:rsid w:val="006A277B"/>
    <w:rsid w:val="006A278D"/>
    <w:rsid w:val="006A279B"/>
    <w:rsid w:val="006A2948"/>
    <w:rsid w:val="006A29A4"/>
    <w:rsid w:val="006A2A13"/>
    <w:rsid w:val="006A2A39"/>
    <w:rsid w:val="006A2A6A"/>
    <w:rsid w:val="006A2AAB"/>
    <w:rsid w:val="006A2AE5"/>
    <w:rsid w:val="006A2B66"/>
    <w:rsid w:val="006A2C6F"/>
    <w:rsid w:val="006A2CB1"/>
    <w:rsid w:val="006A2CCD"/>
    <w:rsid w:val="006A2CFB"/>
    <w:rsid w:val="006A2D0B"/>
    <w:rsid w:val="006A2E40"/>
    <w:rsid w:val="006A2E64"/>
    <w:rsid w:val="006A2ECA"/>
    <w:rsid w:val="006A2F29"/>
    <w:rsid w:val="006A2F6B"/>
    <w:rsid w:val="006A2F82"/>
    <w:rsid w:val="006A301D"/>
    <w:rsid w:val="006A30F6"/>
    <w:rsid w:val="006A30FD"/>
    <w:rsid w:val="006A31A1"/>
    <w:rsid w:val="006A336E"/>
    <w:rsid w:val="006A3451"/>
    <w:rsid w:val="006A347F"/>
    <w:rsid w:val="006A34C6"/>
    <w:rsid w:val="006A3507"/>
    <w:rsid w:val="006A35A1"/>
    <w:rsid w:val="006A35D2"/>
    <w:rsid w:val="006A3692"/>
    <w:rsid w:val="006A378B"/>
    <w:rsid w:val="006A37CE"/>
    <w:rsid w:val="006A380B"/>
    <w:rsid w:val="006A3830"/>
    <w:rsid w:val="006A383F"/>
    <w:rsid w:val="006A3898"/>
    <w:rsid w:val="006A389F"/>
    <w:rsid w:val="006A3931"/>
    <w:rsid w:val="006A3952"/>
    <w:rsid w:val="006A3991"/>
    <w:rsid w:val="006A3994"/>
    <w:rsid w:val="006A39D4"/>
    <w:rsid w:val="006A3A17"/>
    <w:rsid w:val="006A3A4F"/>
    <w:rsid w:val="006A3A71"/>
    <w:rsid w:val="006A3AED"/>
    <w:rsid w:val="006A3B4A"/>
    <w:rsid w:val="006A3BD3"/>
    <w:rsid w:val="006A3CAF"/>
    <w:rsid w:val="006A3CD3"/>
    <w:rsid w:val="006A3D4D"/>
    <w:rsid w:val="006A3ED0"/>
    <w:rsid w:val="006A4025"/>
    <w:rsid w:val="006A4128"/>
    <w:rsid w:val="006A413B"/>
    <w:rsid w:val="006A4151"/>
    <w:rsid w:val="006A4154"/>
    <w:rsid w:val="006A4169"/>
    <w:rsid w:val="006A41D5"/>
    <w:rsid w:val="006A420A"/>
    <w:rsid w:val="006A421D"/>
    <w:rsid w:val="006A428B"/>
    <w:rsid w:val="006A43BD"/>
    <w:rsid w:val="006A446D"/>
    <w:rsid w:val="006A44D8"/>
    <w:rsid w:val="006A451C"/>
    <w:rsid w:val="006A4571"/>
    <w:rsid w:val="006A465B"/>
    <w:rsid w:val="006A46FC"/>
    <w:rsid w:val="006A46FD"/>
    <w:rsid w:val="006A4757"/>
    <w:rsid w:val="006A482C"/>
    <w:rsid w:val="006A485F"/>
    <w:rsid w:val="006A4982"/>
    <w:rsid w:val="006A4A69"/>
    <w:rsid w:val="006A4A8A"/>
    <w:rsid w:val="006A4B60"/>
    <w:rsid w:val="006A4C19"/>
    <w:rsid w:val="006A4C22"/>
    <w:rsid w:val="006A4CF6"/>
    <w:rsid w:val="006A4D2A"/>
    <w:rsid w:val="006A4D9B"/>
    <w:rsid w:val="006A4DD7"/>
    <w:rsid w:val="006A4EE8"/>
    <w:rsid w:val="006A4F91"/>
    <w:rsid w:val="006A515C"/>
    <w:rsid w:val="006A517A"/>
    <w:rsid w:val="006A51BA"/>
    <w:rsid w:val="006A51C7"/>
    <w:rsid w:val="006A525C"/>
    <w:rsid w:val="006A5312"/>
    <w:rsid w:val="006A5372"/>
    <w:rsid w:val="006A5395"/>
    <w:rsid w:val="006A53C6"/>
    <w:rsid w:val="006A53E3"/>
    <w:rsid w:val="006A541B"/>
    <w:rsid w:val="006A54D8"/>
    <w:rsid w:val="006A55D7"/>
    <w:rsid w:val="006A5680"/>
    <w:rsid w:val="006A56DC"/>
    <w:rsid w:val="006A5707"/>
    <w:rsid w:val="006A5742"/>
    <w:rsid w:val="006A5783"/>
    <w:rsid w:val="006A58A7"/>
    <w:rsid w:val="006A58EF"/>
    <w:rsid w:val="006A58FE"/>
    <w:rsid w:val="006A5A20"/>
    <w:rsid w:val="006A5A29"/>
    <w:rsid w:val="006A5B34"/>
    <w:rsid w:val="006A5B64"/>
    <w:rsid w:val="006A5BEE"/>
    <w:rsid w:val="006A5C58"/>
    <w:rsid w:val="006A5C5C"/>
    <w:rsid w:val="006A5CF9"/>
    <w:rsid w:val="006A5D2B"/>
    <w:rsid w:val="006A5DF8"/>
    <w:rsid w:val="006A5E4B"/>
    <w:rsid w:val="006A5EE0"/>
    <w:rsid w:val="006A6041"/>
    <w:rsid w:val="006A60F4"/>
    <w:rsid w:val="006A610C"/>
    <w:rsid w:val="006A6110"/>
    <w:rsid w:val="006A61C9"/>
    <w:rsid w:val="006A61F0"/>
    <w:rsid w:val="006A6338"/>
    <w:rsid w:val="006A6389"/>
    <w:rsid w:val="006A6409"/>
    <w:rsid w:val="006A6518"/>
    <w:rsid w:val="006A6534"/>
    <w:rsid w:val="006A65B4"/>
    <w:rsid w:val="006A65E9"/>
    <w:rsid w:val="006A67A3"/>
    <w:rsid w:val="006A67C9"/>
    <w:rsid w:val="006A6803"/>
    <w:rsid w:val="006A68BE"/>
    <w:rsid w:val="006A68F1"/>
    <w:rsid w:val="006A6922"/>
    <w:rsid w:val="006A6A17"/>
    <w:rsid w:val="006A6A21"/>
    <w:rsid w:val="006A6A9A"/>
    <w:rsid w:val="006A6AF2"/>
    <w:rsid w:val="006A6B71"/>
    <w:rsid w:val="006A6BDF"/>
    <w:rsid w:val="006A6CB1"/>
    <w:rsid w:val="006A6CF6"/>
    <w:rsid w:val="006A6CF9"/>
    <w:rsid w:val="006A6D38"/>
    <w:rsid w:val="006A6DA1"/>
    <w:rsid w:val="006A6E47"/>
    <w:rsid w:val="006A6E84"/>
    <w:rsid w:val="006A6EAA"/>
    <w:rsid w:val="006A7087"/>
    <w:rsid w:val="006A7090"/>
    <w:rsid w:val="006A7096"/>
    <w:rsid w:val="006A711F"/>
    <w:rsid w:val="006A7239"/>
    <w:rsid w:val="006A724F"/>
    <w:rsid w:val="006A7257"/>
    <w:rsid w:val="006A726E"/>
    <w:rsid w:val="006A7288"/>
    <w:rsid w:val="006A73DE"/>
    <w:rsid w:val="006A73E8"/>
    <w:rsid w:val="006A74DD"/>
    <w:rsid w:val="006A74FB"/>
    <w:rsid w:val="006A7547"/>
    <w:rsid w:val="006A75E4"/>
    <w:rsid w:val="006A7603"/>
    <w:rsid w:val="006A772E"/>
    <w:rsid w:val="006A7762"/>
    <w:rsid w:val="006A77AD"/>
    <w:rsid w:val="006A77DD"/>
    <w:rsid w:val="006A7877"/>
    <w:rsid w:val="006A787E"/>
    <w:rsid w:val="006A788E"/>
    <w:rsid w:val="006A78DC"/>
    <w:rsid w:val="006A78ED"/>
    <w:rsid w:val="006A78F8"/>
    <w:rsid w:val="006A793A"/>
    <w:rsid w:val="006A79F5"/>
    <w:rsid w:val="006A7A9C"/>
    <w:rsid w:val="006A7B3B"/>
    <w:rsid w:val="006A7BE4"/>
    <w:rsid w:val="006A7C08"/>
    <w:rsid w:val="006A7C0B"/>
    <w:rsid w:val="006A7D1D"/>
    <w:rsid w:val="006A7DF4"/>
    <w:rsid w:val="006A7E44"/>
    <w:rsid w:val="006A7F89"/>
    <w:rsid w:val="006A7F8E"/>
    <w:rsid w:val="006A7FC4"/>
    <w:rsid w:val="006B0170"/>
    <w:rsid w:val="006B017A"/>
    <w:rsid w:val="006B01AC"/>
    <w:rsid w:val="006B0208"/>
    <w:rsid w:val="006B02AA"/>
    <w:rsid w:val="006B02ED"/>
    <w:rsid w:val="006B0301"/>
    <w:rsid w:val="006B0345"/>
    <w:rsid w:val="006B03F0"/>
    <w:rsid w:val="006B042A"/>
    <w:rsid w:val="006B0441"/>
    <w:rsid w:val="006B04EC"/>
    <w:rsid w:val="006B04ED"/>
    <w:rsid w:val="006B0537"/>
    <w:rsid w:val="006B0631"/>
    <w:rsid w:val="006B0659"/>
    <w:rsid w:val="006B068F"/>
    <w:rsid w:val="006B072D"/>
    <w:rsid w:val="006B080C"/>
    <w:rsid w:val="006B08E9"/>
    <w:rsid w:val="006B090C"/>
    <w:rsid w:val="006B09B7"/>
    <w:rsid w:val="006B0AED"/>
    <w:rsid w:val="006B0B0E"/>
    <w:rsid w:val="006B0C38"/>
    <w:rsid w:val="006B0CF8"/>
    <w:rsid w:val="006B0D04"/>
    <w:rsid w:val="006B0D42"/>
    <w:rsid w:val="006B0D7F"/>
    <w:rsid w:val="006B0DE7"/>
    <w:rsid w:val="006B0E0F"/>
    <w:rsid w:val="006B0E5F"/>
    <w:rsid w:val="006B0F33"/>
    <w:rsid w:val="006B0F39"/>
    <w:rsid w:val="006B107C"/>
    <w:rsid w:val="006B10FA"/>
    <w:rsid w:val="006B11AD"/>
    <w:rsid w:val="006B1276"/>
    <w:rsid w:val="006B1326"/>
    <w:rsid w:val="006B13CA"/>
    <w:rsid w:val="006B141D"/>
    <w:rsid w:val="006B1463"/>
    <w:rsid w:val="006B14F3"/>
    <w:rsid w:val="006B156D"/>
    <w:rsid w:val="006B1642"/>
    <w:rsid w:val="006B166C"/>
    <w:rsid w:val="006B16F7"/>
    <w:rsid w:val="006B1703"/>
    <w:rsid w:val="006B1741"/>
    <w:rsid w:val="006B1767"/>
    <w:rsid w:val="006B17D0"/>
    <w:rsid w:val="006B1886"/>
    <w:rsid w:val="006B1890"/>
    <w:rsid w:val="006B18CA"/>
    <w:rsid w:val="006B18DA"/>
    <w:rsid w:val="006B18FC"/>
    <w:rsid w:val="006B1972"/>
    <w:rsid w:val="006B1A63"/>
    <w:rsid w:val="006B1A9C"/>
    <w:rsid w:val="006B1B42"/>
    <w:rsid w:val="006B1BC0"/>
    <w:rsid w:val="006B1C90"/>
    <w:rsid w:val="006B1DAE"/>
    <w:rsid w:val="006B1E61"/>
    <w:rsid w:val="006B1E9E"/>
    <w:rsid w:val="006B1FD1"/>
    <w:rsid w:val="006B2069"/>
    <w:rsid w:val="006B2091"/>
    <w:rsid w:val="006B20D9"/>
    <w:rsid w:val="006B2225"/>
    <w:rsid w:val="006B2238"/>
    <w:rsid w:val="006B229C"/>
    <w:rsid w:val="006B237A"/>
    <w:rsid w:val="006B237B"/>
    <w:rsid w:val="006B2389"/>
    <w:rsid w:val="006B23BC"/>
    <w:rsid w:val="006B2441"/>
    <w:rsid w:val="006B24B2"/>
    <w:rsid w:val="006B251E"/>
    <w:rsid w:val="006B254B"/>
    <w:rsid w:val="006B2592"/>
    <w:rsid w:val="006B263B"/>
    <w:rsid w:val="006B26FA"/>
    <w:rsid w:val="006B2743"/>
    <w:rsid w:val="006B29D8"/>
    <w:rsid w:val="006B2A8D"/>
    <w:rsid w:val="006B2B38"/>
    <w:rsid w:val="006B2B67"/>
    <w:rsid w:val="006B2B9D"/>
    <w:rsid w:val="006B2BF3"/>
    <w:rsid w:val="006B2C37"/>
    <w:rsid w:val="006B2C84"/>
    <w:rsid w:val="006B2CBD"/>
    <w:rsid w:val="006B2DB4"/>
    <w:rsid w:val="006B2EFA"/>
    <w:rsid w:val="006B2F41"/>
    <w:rsid w:val="006B2F60"/>
    <w:rsid w:val="006B3034"/>
    <w:rsid w:val="006B308C"/>
    <w:rsid w:val="006B31B8"/>
    <w:rsid w:val="006B3206"/>
    <w:rsid w:val="006B32B8"/>
    <w:rsid w:val="006B32EB"/>
    <w:rsid w:val="006B338A"/>
    <w:rsid w:val="006B33F9"/>
    <w:rsid w:val="006B34D1"/>
    <w:rsid w:val="006B3623"/>
    <w:rsid w:val="006B36B4"/>
    <w:rsid w:val="006B36B9"/>
    <w:rsid w:val="006B3769"/>
    <w:rsid w:val="006B37F2"/>
    <w:rsid w:val="006B37F4"/>
    <w:rsid w:val="006B392E"/>
    <w:rsid w:val="006B3A0D"/>
    <w:rsid w:val="006B3A17"/>
    <w:rsid w:val="006B3A8C"/>
    <w:rsid w:val="006B3AF4"/>
    <w:rsid w:val="006B3AF5"/>
    <w:rsid w:val="006B3C63"/>
    <w:rsid w:val="006B3C74"/>
    <w:rsid w:val="006B3CCA"/>
    <w:rsid w:val="006B3CD9"/>
    <w:rsid w:val="006B3E7F"/>
    <w:rsid w:val="006B3EF0"/>
    <w:rsid w:val="006B3F09"/>
    <w:rsid w:val="006B3F65"/>
    <w:rsid w:val="006B3F79"/>
    <w:rsid w:val="006B3F91"/>
    <w:rsid w:val="006B3FB7"/>
    <w:rsid w:val="006B403C"/>
    <w:rsid w:val="006B4065"/>
    <w:rsid w:val="006B41A2"/>
    <w:rsid w:val="006B41D1"/>
    <w:rsid w:val="006B41F9"/>
    <w:rsid w:val="006B4200"/>
    <w:rsid w:val="006B4226"/>
    <w:rsid w:val="006B42FB"/>
    <w:rsid w:val="006B433F"/>
    <w:rsid w:val="006B4349"/>
    <w:rsid w:val="006B435F"/>
    <w:rsid w:val="006B4396"/>
    <w:rsid w:val="006B439D"/>
    <w:rsid w:val="006B44E4"/>
    <w:rsid w:val="006B45A2"/>
    <w:rsid w:val="006B462A"/>
    <w:rsid w:val="006B4673"/>
    <w:rsid w:val="006B469D"/>
    <w:rsid w:val="006B4708"/>
    <w:rsid w:val="006B4796"/>
    <w:rsid w:val="006B482B"/>
    <w:rsid w:val="006B482E"/>
    <w:rsid w:val="006B4842"/>
    <w:rsid w:val="006B484A"/>
    <w:rsid w:val="006B48A9"/>
    <w:rsid w:val="006B48BB"/>
    <w:rsid w:val="006B4913"/>
    <w:rsid w:val="006B497A"/>
    <w:rsid w:val="006B4AF3"/>
    <w:rsid w:val="006B4B1E"/>
    <w:rsid w:val="006B4B28"/>
    <w:rsid w:val="006B4B5B"/>
    <w:rsid w:val="006B4B97"/>
    <w:rsid w:val="006B4BAD"/>
    <w:rsid w:val="006B4C0B"/>
    <w:rsid w:val="006B4C65"/>
    <w:rsid w:val="006B4CFA"/>
    <w:rsid w:val="006B4D51"/>
    <w:rsid w:val="006B4DD9"/>
    <w:rsid w:val="006B4EB1"/>
    <w:rsid w:val="006B4ECC"/>
    <w:rsid w:val="006B4F00"/>
    <w:rsid w:val="006B5065"/>
    <w:rsid w:val="006B50AA"/>
    <w:rsid w:val="006B5102"/>
    <w:rsid w:val="006B515B"/>
    <w:rsid w:val="006B5173"/>
    <w:rsid w:val="006B51BA"/>
    <w:rsid w:val="006B522E"/>
    <w:rsid w:val="006B5277"/>
    <w:rsid w:val="006B529B"/>
    <w:rsid w:val="006B52B6"/>
    <w:rsid w:val="006B52E8"/>
    <w:rsid w:val="006B52F9"/>
    <w:rsid w:val="006B53D3"/>
    <w:rsid w:val="006B54FD"/>
    <w:rsid w:val="006B5579"/>
    <w:rsid w:val="006B55AF"/>
    <w:rsid w:val="006B567E"/>
    <w:rsid w:val="006B56C1"/>
    <w:rsid w:val="006B5717"/>
    <w:rsid w:val="006B5728"/>
    <w:rsid w:val="006B5739"/>
    <w:rsid w:val="006B577A"/>
    <w:rsid w:val="006B57D4"/>
    <w:rsid w:val="006B5828"/>
    <w:rsid w:val="006B5861"/>
    <w:rsid w:val="006B5943"/>
    <w:rsid w:val="006B5A3A"/>
    <w:rsid w:val="006B5B06"/>
    <w:rsid w:val="006B5B0F"/>
    <w:rsid w:val="006B5C86"/>
    <w:rsid w:val="006B5C9E"/>
    <w:rsid w:val="006B5D38"/>
    <w:rsid w:val="006B5E4E"/>
    <w:rsid w:val="006B5E7E"/>
    <w:rsid w:val="006B5F28"/>
    <w:rsid w:val="006B5FDA"/>
    <w:rsid w:val="006B607D"/>
    <w:rsid w:val="006B609F"/>
    <w:rsid w:val="006B6212"/>
    <w:rsid w:val="006B6379"/>
    <w:rsid w:val="006B63E3"/>
    <w:rsid w:val="006B6433"/>
    <w:rsid w:val="006B646D"/>
    <w:rsid w:val="006B64A6"/>
    <w:rsid w:val="006B650A"/>
    <w:rsid w:val="006B652B"/>
    <w:rsid w:val="006B654C"/>
    <w:rsid w:val="006B6667"/>
    <w:rsid w:val="006B6739"/>
    <w:rsid w:val="006B67EB"/>
    <w:rsid w:val="006B68CC"/>
    <w:rsid w:val="006B69D7"/>
    <w:rsid w:val="006B6A2E"/>
    <w:rsid w:val="006B6B66"/>
    <w:rsid w:val="006B6BF8"/>
    <w:rsid w:val="006B6C5B"/>
    <w:rsid w:val="006B6C7E"/>
    <w:rsid w:val="006B6D73"/>
    <w:rsid w:val="006B6D78"/>
    <w:rsid w:val="006B6DC1"/>
    <w:rsid w:val="006B6DCA"/>
    <w:rsid w:val="006B6DDB"/>
    <w:rsid w:val="006B6DFB"/>
    <w:rsid w:val="006B6E53"/>
    <w:rsid w:val="006B6F83"/>
    <w:rsid w:val="006B6FC3"/>
    <w:rsid w:val="006B6FD1"/>
    <w:rsid w:val="006B6FD3"/>
    <w:rsid w:val="006B6FF1"/>
    <w:rsid w:val="006B709B"/>
    <w:rsid w:val="006B7174"/>
    <w:rsid w:val="006B71DC"/>
    <w:rsid w:val="006B7221"/>
    <w:rsid w:val="006B7267"/>
    <w:rsid w:val="006B72D7"/>
    <w:rsid w:val="006B734D"/>
    <w:rsid w:val="006B73E8"/>
    <w:rsid w:val="006B7453"/>
    <w:rsid w:val="006B7587"/>
    <w:rsid w:val="006B75C3"/>
    <w:rsid w:val="006B7605"/>
    <w:rsid w:val="006B7A33"/>
    <w:rsid w:val="006B7AD0"/>
    <w:rsid w:val="006B7BA3"/>
    <w:rsid w:val="006B7BAE"/>
    <w:rsid w:val="006B7BB3"/>
    <w:rsid w:val="006B7BBA"/>
    <w:rsid w:val="006B7D8B"/>
    <w:rsid w:val="006B7EDC"/>
    <w:rsid w:val="006B7F0D"/>
    <w:rsid w:val="006B7FA6"/>
    <w:rsid w:val="006B7FAA"/>
    <w:rsid w:val="006B7FAE"/>
    <w:rsid w:val="006BD18F"/>
    <w:rsid w:val="006C001F"/>
    <w:rsid w:val="006C0028"/>
    <w:rsid w:val="006C0081"/>
    <w:rsid w:val="006C00A9"/>
    <w:rsid w:val="006C01C9"/>
    <w:rsid w:val="006C0228"/>
    <w:rsid w:val="006C028B"/>
    <w:rsid w:val="006C028C"/>
    <w:rsid w:val="006C0380"/>
    <w:rsid w:val="006C06DC"/>
    <w:rsid w:val="006C07C0"/>
    <w:rsid w:val="006C0816"/>
    <w:rsid w:val="006C089E"/>
    <w:rsid w:val="006C0990"/>
    <w:rsid w:val="006C09B3"/>
    <w:rsid w:val="006C0A0A"/>
    <w:rsid w:val="006C0A0C"/>
    <w:rsid w:val="006C0A75"/>
    <w:rsid w:val="006C0ACB"/>
    <w:rsid w:val="006C0ADE"/>
    <w:rsid w:val="006C0B06"/>
    <w:rsid w:val="006C0B7E"/>
    <w:rsid w:val="006C0CF1"/>
    <w:rsid w:val="006C0D81"/>
    <w:rsid w:val="006C0ECC"/>
    <w:rsid w:val="006C0EF9"/>
    <w:rsid w:val="006C0F68"/>
    <w:rsid w:val="006C0F6F"/>
    <w:rsid w:val="006C1017"/>
    <w:rsid w:val="006C101A"/>
    <w:rsid w:val="006C104F"/>
    <w:rsid w:val="006C1099"/>
    <w:rsid w:val="006C111C"/>
    <w:rsid w:val="006C113B"/>
    <w:rsid w:val="006C11AC"/>
    <w:rsid w:val="006C1293"/>
    <w:rsid w:val="006C12C0"/>
    <w:rsid w:val="006C12D1"/>
    <w:rsid w:val="006C1373"/>
    <w:rsid w:val="006C1381"/>
    <w:rsid w:val="006C1382"/>
    <w:rsid w:val="006C13E0"/>
    <w:rsid w:val="006C1416"/>
    <w:rsid w:val="006C1430"/>
    <w:rsid w:val="006C1433"/>
    <w:rsid w:val="006C14BF"/>
    <w:rsid w:val="006C1673"/>
    <w:rsid w:val="006C16CC"/>
    <w:rsid w:val="006C16DA"/>
    <w:rsid w:val="006C1809"/>
    <w:rsid w:val="006C1B2F"/>
    <w:rsid w:val="006C1B3C"/>
    <w:rsid w:val="006C1BC1"/>
    <w:rsid w:val="006C1BCD"/>
    <w:rsid w:val="006C1D9A"/>
    <w:rsid w:val="006C1DD2"/>
    <w:rsid w:val="006C1DDB"/>
    <w:rsid w:val="006C1E89"/>
    <w:rsid w:val="006C1E92"/>
    <w:rsid w:val="006C1F20"/>
    <w:rsid w:val="006C1FC0"/>
    <w:rsid w:val="006C1FD8"/>
    <w:rsid w:val="006C2238"/>
    <w:rsid w:val="006C229A"/>
    <w:rsid w:val="006C22F0"/>
    <w:rsid w:val="006C230E"/>
    <w:rsid w:val="006C240A"/>
    <w:rsid w:val="006C241A"/>
    <w:rsid w:val="006C254F"/>
    <w:rsid w:val="006C2561"/>
    <w:rsid w:val="006C261C"/>
    <w:rsid w:val="006C2665"/>
    <w:rsid w:val="006C269C"/>
    <w:rsid w:val="006C26D3"/>
    <w:rsid w:val="006C27A7"/>
    <w:rsid w:val="006C28E4"/>
    <w:rsid w:val="006C2909"/>
    <w:rsid w:val="006C29AD"/>
    <w:rsid w:val="006C2A15"/>
    <w:rsid w:val="006C2A83"/>
    <w:rsid w:val="006C2AA5"/>
    <w:rsid w:val="006C2B1F"/>
    <w:rsid w:val="006C2B40"/>
    <w:rsid w:val="006C2BB5"/>
    <w:rsid w:val="006C2BCB"/>
    <w:rsid w:val="006C2C8E"/>
    <w:rsid w:val="006C2CAC"/>
    <w:rsid w:val="006C2CE7"/>
    <w:rsid w:val="006C2CF8"/>
    <w:rsid w:val="006C2D00"/>
    <w:rsid w:val="006C2D27"/>
    <w:rsid w:val="006C2D65"/>
    <w:rsid w:val="006C2D9F"/>
    <w:rsid w:val="006C2DA2"/>
    <w:rsid w:val="006C2DDA"/>
    <w:rsid w:val="006C2DDB"/>
    <w:rsid w:val="006C2DF0"/>
    <w:rsid w:val="006C2E7F"/>
    <w:rsid w:val="006C2E87"/>
    <w:rsid w:val="006C2E8F"/>
    <w:rsid w:val="006C2ECF"/>
    <w:rsid w:val="006C2ED4"/>
    <w:rsid w:val="006C2EF9"/>
    <w:rsid w:val="006C2F8B"/>
    <w:rsid w:val="006C2FC4"/>
    <w:rsid w:val="006C3038"/>
    <w:rsid w:val="006C303E"/>
    <w:rsid w:val="006C31A3"/>
    <w:rsid w:val="006C321B"/>
    <w:rsid w:val="006C322B"/>
    <w:rsid w:val="006C327A"/>
    <w:rsid w:val="006C339F"/>
    <w:rsid w:val="006C33AC"/>
    <w:rsid w:val="006C33C5"/>
    <w:rsid w:val="006C3550"/>
    <w:rsid w:val="006C363A"/>
    <w:rsid w:val="006C363B"/>
    <w:rsid w:val="006C368B"/>
    <w:rsid w:val="006C36A5"/>
    <w:rsid w:val="006C36BD"/>
    <w:rsid w:val="006C3763"/>
    <w:rsid w:val="006C37C9"/>
    <w:rsid w:val="006C3870"/>
    <w:rsid w:val="006C387C"/>
    <w:rsid w:val="006C3993"/>
    <w:rsid w:val="006C3A2E"/>
    <w:rsid w:val="006C3A61"/>
    <w:rsid w:val="006C3A63"/>
    <w:rsid w:val="006C3AA5"/>
    <w:rsid w:val="006C3BA1"/>
    <w:rsid w:val="006C3C17"/>
    <w:rsid w:val="006C3C43"/>
    <w:rsid w:val="006C3C44"/>
    <w:rsid w:val="006C3CC6"/>
    <w:rsid w:val="006C3D1A"/>
    <w:rsid w:val="006C3D6C"/>
    <w:rsid w:val="006C3D80"/>
    <w:rsid w:val="006C3F41"/>
    <w:rsid w:val="006C4090"/>
    <w:rsid w:val="006C410F"/>
    <w:rsid w:val="006C4143"/>
    <w:rsid w:val="006C4261"/>
    <w:rsid w:val="006C426C"/>
    <w:rsid w:val="006C42C6"/>
    <w:rsid w:val="006C42F6"/>
    <w:rsid w:val="006C4329"/>
    <w:rsid w:val="006C4375"/>
    <w:rsid w:val="006C43AE"/>
    <w:rsid w:val="006C440D"/>
    <w:rsid w:val="006C4458"/>
    <w:rsid w:val="006C453D"/>
    <w:rsid w:val="006C45EF"/>
    <w:rsid w:val="006C4612"/>
    <w:rsid w:val="006C473C"/>
    <w:rsid w:val="006C4757"/>
    <w:rsid w:val="006C476B"/>
    <w:rsid w:val="006C4800"/>
    <w:rsid w:val="006C4882"/>
    <w:rsid w:val="006C4898"/>
    <w:rsid w:val="006C48A7"/>
    <w:rsid w:val="006C4928"/>
    <w:rsid w:val="006C4A83"/>
    <w:rsid w:val="006C4B2B"/>
    <w:rsid w:val="006C4BEE"/>
    <w:rsid w:val="006C4C12"/>
    <w:rsid w:val="006C4D42"/>
    <w:rsid w:val="006C4DA6"/>
    <w:rsid w:val="006C4DC7"/>
    <w:rsid w:val="006C4DF5"/>
    <w:rsid w:val="006C4F00"/>
    <w:rsid w:val="006C5148"/>
    <w:rsid w:val="006C51F1"/>
    <w:rsid w:val="006C5221"/>
    <w:rsid w:val="006C5289"/>
    <w:rsid w:val="006C5313"/>
    <w:rsid w:val="006C53C1"/>
    <w:rsid w:val="006C542D"/>
    <w:rsid w:val="006C5461"/>
    <w:rsid w:val="006C54BD"/>
    <w:rsid w:val="006C5512"/>
    <w:rsid w:val="006C56FB"/>
    <w:rsid w:val="006C5745"/>
    <w:rsid w:val="006C5867"/>
    <w:rsid w:val="006C58C4"/>
    <w:rsid w:val="006C58F0"/>
    <w:rsid w:val="006C592E"/>
    <w:rsid w:val="006C5965"/>
    <w:rsid w:val="006C5983"/>
    <w:rsid w:val="006C59F9"/>
    <w:rsid w:val="006C5B50"/>
    <w:rsid w:val="006C5B8C"/>
    <w:rsid w:val="006C5B8D"/>
    <w:rsid w:val="006C5C33"/>
    <w:rsid w:val="006C5CB0"/>
    <w:rsid w:val="006C5CC4"/>
    <w:rsid w:val="006C5D61"/>
    <w:rsid w:val="006C5F43"/>
    <w:rsid w:val="006C5FDB"/>
    <w:rsid w:val="006C5FFA"/>
    <w:rsid w:val="006C6015"/>
    <w:rsid w:val="006C623D"/>
    <w:rsid w:val="006C6261"/>
    <w:rsid w:val="006C6292"/>
    <w:rsid w:val="006C62CC"/>
    <w:rsid w:val="006C6382"/>
    <w:rsid w:val="006C645B"/>
    <w:rsid w:val="006C6482"/>
    <w:rsid w:val="006C65A0"/>
    <w:rsid w:val="006C65C0"/>
    <w:rsid w:val="006C6635"/>
    <w:rsid w:val="006C6637"/>
    <w:rsid w:val="006C665A"/>
    <w:rsid w:val="006C66B8"/>
    <w:rsid w:val="006C66D9"/>
    <w:rsid w:val="006C6709"/>
    <w:rsid w:val="006C675C"/>
    <w:rsid w:val="006C680E"/>
    <w:rsid w:val="006C69C0"/>
    <w:rsid w:val="006C69F2"/>
    <w:rsid w:val="006C6A04"/>
    <w:rsid w:val="006C6A82"/>
    <w:rsid w:val="006C6AEF"/>
    <w:rsid w:val="006C6B8D"/>
    <w:rsid w:val="006C6BD4"/>
    <w:rsid w:val="006C6BDB"/>
    <w:rsid w:val="006C6BFE"/>
    <w:rsid w:val="006C6C03"/>
    <w:rsid w:val="006C6C2A"/>
    <w:rsid w:val="006C6C6A"/>
    <w:rsid w:val="006C6C6D"/>
    <w:rsid w:val="006C6C74"/>
    <w:rsid w:val="006C6CBD"/>
    <w:rsid w:val="006C6D93"/>
    <w:rsid w:val="006C6E4D"/>
    <w:rsid w:val="006C6EBD"/>
    <w:rsid w:val="006C6F00"/>
    <w:rsid w:val="006C6F2E"/>
    <w:rsid w:val="006C700C"/>
    <w:rsid w:val="006C702F"/>
    <w:rsid w:val="006C70B2"/>
    <w:rsid w:val="006C70DE"/>
    <w:rsid w:val="006C72CD"/>
    <w:rsid w:val="006C72DC"/>
    <w:rsid w:val="006C7322"/>
    <w:rsid w:val="006C7413"/>
    <w:rsid w:val="006C7445"/>
    <w:rsid w:val="006C750E"/>
    <w:rsid w:val="006C75AB"/>
    <w:rsid w:val="006C7620"/>
    <w:rsid w:val="006C766E"/>
    <w:rsid w:val="006C76CE"/>
    <w:rsid w:val="006C7704"/>
    <w:rsid w:val="006C7720"/>
    <w:rsid w:val="006C7728"/>
    <w:rsid w:val="006C773F"/>
    <w:rsid w:val="006C77B9"/>
    <w:rsid w:val="006C7813"/>
    <w:rsid w:val="006C783F"/>
    <w:rsid w:val="006C7959"/>
    <w:rsid w:val="006C79AC"/>
    <w:rsid w:val="006C7A3C"/>
    <w:rsid w:val="006C7A47"/>
    <w:rsid w:val="006C7AA7"/>
    <w:rsid w:val="006C7AF6"/>
    <w:rsid w:val="006C7B14"/>
    <w:rsid w:val="006C7C0D"/>
    <w:rsid w:val="006C7C60"/>
    <w:rsid w:val="006C7CFA"/>
    <w:rsid w:val="006C7D20"/>
    <w:rsid w:val="006C7DA3"/>
    <w:rsid w:val="006C7DEE"/>
    <w:rsid w:val="006C7E2E"/>
    <w:rsid w:val="006C7E34"/>
    <w:rsid w:val="006C7E7A"/>
    <w:rsid w:val="006C7F15"/>
    <w:rsid w:val="006C7F64"/>
    <w:rsid w:val="006C7F88"/>
    <w:rsid w:val="006D001D"/>
    <w:rsid w:val="006D00B3"/>
    <w:rsid w:val="006D00E5"/>
    <w:rsid w:val="006D0194"/>
    <w:rsid w:val="006D01B0"/>
    <w:rsid w:val="006D01E7"/>
    <w:rsid w:val="006D0207"/>
    <w:rsid w:val="006D02D3"/>
    <w:rsid w:val="006D033C"/>
    <w:rsid w:val="006D0376"/>
    <w:rsid w:val="006D053B"/>
    <w:rsid w:val="006D05BF"/>
    <w:rsid w:val="006D0653"/>
    <w:rsid w:val="006D077F"/>
    <w:rsid w:val="006D07E4"/>
    <w:rsid w:val="006D0901"/>
    <w:rsid w:val="006D0954"/>
    <w:rsid w:val="006D0B27"/>
    <w:rsid w:val="006D0B38"/>
    <w:rsid w:val="006D0BB8"/>
    <w:rsid w:val="006D0BD9"/>
    <w:rsid w:val="006D0C1D"/>
    <w:rsid w:val="006D0C62"/>
    <w:rsid w:val="006D0C80"/>
    <w:rsid w:val="006D0E66"/>
    <w:rsid w:val="006D0E6C"/>
    <w:rsid w:val="006D0E81"/>
    <w:rsid w:val="006D0F03"/>
    <w:rsid w:val="006D0F52"/>
    <w:rsid w:val="006D0FD3"/>
    <w:rsid w:val="006D1019"/>
    <w:rsid w:val="006D1030"/>
    <w:rsid w:val="006D104C"/>
    <w:rsid w:val="006D1053"/>
    <w:rsid w:val="006D10C6"/>
    <w:rsid w:val="006D113D"/>
    <w:rsid w:val="006D12EF"/>
    <w:rsid w:val="006D136A"/>
    <w:rsid w:val="006D13C6"/>
    <w:rsid w:val="006D13C7"/>
    <w:rsid w:val="006D15AA"/>
    <w:rsid w:val="006D15F5"/>
    <w:rsid w:val="006D162A"/>
    <w:rsid w:val="006D1682"/>
    <w:rsid w:val="006D16F0"/>
    <w:rsid w:val="006D178D"/>
    <w:rsid w:val="006D17B4"/>
    <w:rsid w:val="006D1869"/>
    <w:rsid w:val="006D18F3"/>
    <w:rsid w:val="006D1979"/>
    <w:rsid w:val="006D19A4"/>
    <w:rsid w:val="006D19B0"/>
    <w:rsid w:val="006D19D7"/>
    <w:rsid w:val="006D19F8"/>
    <w:rsid w:val="006D1A76"/>
    <w:rsid w:val="006D1A94"/>
    <w:rsid w:val="006D1AEA"/>
    <w:rsid w:val="006D1B39"/>
    <w:rsid w:val="006D1BB5"/>
    <w:rsid w:val="006D1CCE"/>
    <w:rsid w:val="006D1D5B"/>
    <w:rsid w:val="006D1D7B"/>
    <w:rsid w:val="006D1DE7"/>
    <w:rsid w:val="006D1DF1"/>
    <w:rsid w:val="006D1E04"/>
    <w:rsid w:val="006D2063"/>
    <w:rsid w:val="006D208D"/>
    <w:rsid w:val="006D2257"/>
    <w:rsid w:val="006D227A"/>
    <w:rsid w:val="006D23C7"/>
    <w:rsid w:val="006D2505"/>
    <w:rsid w:val="006D256F"/>
    <w:rsid w:val="006D25C8"/>
    <w:rsid w:val="006D2680"/>
    <w:rsid w:val="006D26A2"/>
    <w:rsid w:val="006D2839"/>
    <w:rsid w:val="006D28E7"/>
    <w:rsid w:val="006D291D"/>
    <w:rsid w:val="006D296A"/>
    <w:rsid w:val="006D2A4D"/>
    <w:rsid w:val="006D2BA0"/>
    <w:rsid w:val="006D2BDC"/>
    <w:rsid w:val="006D2C78"/>
    <w:rsid w:val="006D2CF0"/>
    <w:rsid w:val="006D2D4C"/>
    <w:rsid w:val="006D2E37"/>
    <w:rsid w:val="006D2E45"/>
    <w:rsid w:val="006D2E94"/>
    <w:rsid w:val="006D2F2C"/>
    <w:rsid w:val="006D2FAA"/>
    <w:rsid w:val="006D30AF"/>
    <w:rsid w:val="006D3165"/>
    <w:rsid w:val="006D3218"/>
    <w:rsid w:val="006D328B"/>
    <w:rsid w:val="006D32D1"/>
    <w:rsid w:val="006D3381"/>
    <w:rsid w:val="006D3407"/>
    <w:rsid w:val="006D3474"/>
    <w:rsid w:val="006D34A8"/>
    <w:rsid w:val="006D34E0"/>
    <w:rsid w:val="006D34FC"/>
    <w:rsid w:val="006D3504"/>
    <w:rsid w:val="006D353F"/>
    <w:rsid w:val="006D3582"/>
    <w:rsid w:val="006D359C"/>
    <w:rsid w:val="006D35A1"/>
    <w:rsid w:val="006D36BF"/>
    <w:rsid w:val="006D36D7"/>
    <w:rsid w:val="006D37B4"/>
    <w:rsid w:val="006D39CC"/>
    <w:rsid w:val="006D3A04"/>
    <w:rsid w:val="006D3A2C"/>
    <w:rsid w:val="006D3A98"/>
    <w:rsid w:val="006D3AE7"/>
    <w:rsid w:val="006D3B0A"/>
    <w:rsid w:val="006D3B34"/>
    <w:rsid w:val="006D3B39"/>
    <w:rsid w:val="006D3BDF"/>
    <w:rsid w:val="006D3C8C"/>
    <w:rsid w:val="006D3CA8"/>
    <w:rsid w:val="006D3CFE"/>
    <w:rsid w:val="006D3DA7"/>
    <w:rsid w:val="006D3DE0"/>
    <w:rsid w:val="006D3EA6"/>
    <w:rsid w:val="006D3F25"/>
    <w:rsid w:val="006D3F8F"/>
    <w:rsid w:val="006D3FE6"/>
    <w:rsid w:val="006D4086"/>
    <w:rsid w:val="006D40A1"/>
    <w:rsid w:val="006D40BD"/>
    <w:rsid w:val="006D40C5"/>
    <w:rsid w:val="006D4117"/>
    <w:rsid w:val="006D4145"/>
    <w:rsid w:val="006D4180"/>
    <w:rsid w:val="006D43B1"/>
    <w:rsid w:val="006D441D"/>
    <w:rsid w:val="006D44B9"/>
    <w:rsid w:val="006D44F7"/>
    <w:rsid w:val="006D45B7"/>
    <w:rsid w:val="006D46E8"/>
    <w:rsid w:val="006D4704"/>
    <w:rsid w:val="006D4729"/>
    <w:rsid w:val="006D48D9"/>
    <w:rsid w:val="006D490F"/>
    <w:rsid w:val="006D49CE"/>
    <w:rsid w:val="006D4AAF"/>
    <w:rsid w:val="006D4ACA"/>
    <w:rsid w:val="006D4AE1"/>
    <w:rsid w:val="006D4AF7"/>
    <w:rsid w:val="006D4B63"/>
    <w:rsid w:val="006D4B69"/>
    <w:rsid w:val="006D4C42"/>
    <w:rsid w:val="006D4C46"/>
    <w:rsid w:val="006D4C50"/>
    <w:rsid w:val="006D4C90"/>
    <w:rsid w:val="006D4C98"/>
    <w:rsid w:val="006D4CFE"/>
    <w:rsid w:val="006D4E96"/>
    <w:rsid w:val="006D4F5C"/>
    <w:rsid w:val="006D501B"/>
    <w:rsid w:val="006D50E9"/>
    <w:rsid w:val="006D5138"/>
    <w:rsid w:val="006D51A4"/>
    <w:rsid w:val="006D5215"/>
    <w:rsid w:val="006D52B2"/>
    <w:rsid w:val="006D547D"/>
    <w:rsid w:val="006D5515"/>
    <w:rsid w:val="006D5534"/>
    <w:rsid w:val="006D5558"/>
    <w:rsid w:val="006D5572"/>
    <w:rsid w:val="006D55DA"/>
    <w:rsid w:val="006D5657"/>
    <w:rsid w:val="006D5786"/>
    <w:rsid w:val="006D57DF"/>
    <w:rsid w:val="006D58CE"/>
    <w:rsid w:val="006D58DF"/>
    <w:rsid w:val="006D5A94"/>
    <w:rsid w:val="006D5AE5"/>
    <w:rsid w:val="006D5B2F"/>
    <w:rsid w:val="006D5B56"/>
    <w:rsid w:val="006D5C90"/>
    <w:rsid w:val="006D5CB9"/>
    <w:rsid w:val="006D5DAE"/>
    <w:rsid w:val="006D5E28"/>
    <w:rsid w:val="006D5F0A"/>
    <w:rsid w:val="006D5F31"/>
    <w:rsid w:val="006D5F99"/>
    <w:rsid w:val="006D5FC7"/>
    <w:rsid w:val="006D6085"/>
    <w:rsid w:val="006D60DF"/>
    <w:rsid w:val="006D61D5"/>
    <w:rsid w:val="006D61DC"/>
    <w:rsid w:val="006D627F"/>
    <w:rsid w:val="006D62DF"/>
    <w:rsid w:val="006D6307"/>
    <w:rsid w:val="006D638C"/>
    <w:rsid w:val="006D63C6"/>
    <w:rsid w:val="006D63EC"/>
    <w:rsid w:val="006D6406"/>
    <w:rsid w:val="006D6714"/>
    <w:rsid w:val="006D671E"/>
    <w:rsid w:val="006D6771"/>
    <w:rsid w:val="006D67B6"/>
    <w:rsid w:val="006D67F2"/>
    <w:rsid w:val="006D67F3"/>
    <w:rsid w:val="006D6819"/>
    <w:rsid w:val="006D6829"/>
    <w:rsid w:val="006D682D"/>
    <w:rsid w:val="006D6883"/>
    <w:rsid w:val="006D688A"/>
    <w:rsid w:val="006D68F3"/>
    <w:rsid w:val="006D6905"/>
    <w:rsid w:val="006D6939"/>
    <w:rsid w:val="006D6A57"/>
    <w:rsid w:val="006D6AD3"/>
    <w:rsid w:val="006D6AE3"/>
    <w:rsid w:val="006D6B02"/>
    <w:rsid w:val="006D6BE6"/>
    <w:rsid w:val="006D6C70"/>
    <w:rsid w:val="006D6D75"/>
    <w:rsid w:val="006D6DEE"/>
    <w:rsid w:val="006D6E02"/>
    <w:rsid w:val="006D6E0F"/>
    <w:rsid w:val="006D6E1C"/>
    <w:rsid w:val="006D6E81"/>
    <w:rsid w:val="006D6F19"/>
    <w:rsid w:val="006D6FDF"/>
    <w:rsid w:val="006D6FE3"/>
    <w:rsid w:val="006D6FEC"/>
    <w:rsid w:val="006D6FF7"/>
    <w:rsid w:val="006D7003"/>
    <w:rsid w:val="006D702D"/>
    <w:rsid w:val="006D7075"/>
    <w:rsid w:val="006D7095"/>
    <w:rsid w:val="006D70C3"/>
    <w:rsid w:val="006D70EE"/>
    <w:rsid w:val="006D7101"/>
    <w:rsid w:val="006D7178"/>
    <w:rsid w:val="006D7213"/>
    <w:rsid w:val="006D7242"/>
    <w:rsid w:val="006D726A"/>
    <w:rsid w:val="006D7354"/>
    <w:rsid w:val="006D73CE"/>
    <w:rsid w:val="006D74E7"/>
    <w:rsid w:val="006D7685"/>
    <w:rsid w:val="006D7758"/>
    <w:rsid w:val="006D7814"/>
    <w:rsid w:val="006D7858"/>
    <w:rsid w:val="006D78F7"/>
    <w:rsid w:val="006D78FE"/>
    <w:rsid w:val="006D7932"/>
    <w:rsid w:val="006D7976"/>
    <w:rsid w:val="006D7BD9"/>
    <w:rsid w:val="006D7C00"/>
    <w:rsid w:val="006D7C0C"/>
    <w:rsid w:val="006D7C13"/>
    <w:rsid w:val="006D7CD1"/>
    <w:rsid w:val="006D7CDD"/>
    <w:rsid w:val="006D7D10"/>
    <w:rsid w:val="006D7D25"/>
    <w:rsid w:val="006D7D4B"/>
    <w:rsid w:val="006D7D66"/>
    <w:rsid w:val="006D7D7A"/>
    <w:rsid w:val="006D7DF4"/>
    <w:rsid w:val="006D7DFD"/>
    <w:rsid w:val="006E006A"/>
    <w:rsid w:val="006E0075"/>
    <w:rsid w:val="006E0092"/>
    <w:rsid w:val="006E0159"/>
    <w:rsid w:val="006E024B"/>
    <w:rsid w:val="006E026D"/>
    <w:rsid w:val="006E02C4"/>
    <w:rsid w:val="006E02D1"/>
    <w:rsid w:val="006E0320"/>
    <w:rsid w:val="006E0365"/>
    <w:rsid w:val="006E0374"/>
    <w:rsid w:val="006E03C0"/>
    <w:rsid w:val="006E0483"/>
    <w:rsid w:val="006E04AE"/>
    <w:rsid w:val="006E04E2"/>
    <w:rsid w:val="006E05AF"/>
    <w:rsid w:val="006E060A"/>
    <w:rsid w:val="006E066E"/>
    <w:rsid w:val="006E0672"/>
    <w:rsid w:val="006E0708"/>
    <w:rsid w:val="006E071B"/>
    <w:rsid w:val="006E0759"/>
    <w:rsid w:val="006E07CA"/>
    <w:rsid w:val="006E0861"/>
    <w:rsid w:val="006E08A2"/>
    <w:rsid w:val="006E08EE"/>
    <w:rsid w:val="006E0B31"/>
    <w:rsid w:val="006E0C03"/>
    <w:rsid w:val="006E0C61"/>
    <w:rsid w:val="006E0C97"/>
    <w:rsid w:val="006E0CB1"/>
    <w:rsid w:val="006E0CF4"/>
    <w:rsid w:val="006E0D68"/>
    <w:rsid w:val="006E0E97"/>
    <w:rsid w:val="006E0FBD"/>
    <w:rsid w:val="006E114A"/>
    <w:rsid w:val="006E1151"/>
    <w:rsid w:val="006E11D2"/>
    <w:rsid w:val="006E13E2"/>
    <w:rsid w:val="006E13E5"/>
    <w:rsid w:val="006E1443"/>
    <w:rsid w:val="006E16A3"/>
    <w:rsid w:val="006E16E6"/>
    <w:rsid w:val="006E171C"/>
    <w:rsid w:val="006E1758"/>
    <w:rsid w:val="006E17AC"/>
    <w:rsid w:val="006E17F5"/>
    <w:rsid w:val="006E190E"/>
    <w:rsid w:val="006E191D"/>
    <w:rsid w:val="006E1978"/>
    <w:rsid w:val="006E19EE"/>
    <w:rsid w:val="006E1A5D"/>
    <w:rsid w:val="006E1A77"/>
    <w:rsid w:val="006E1A9D"/>
    <w:rsid w:val="006E1AD9"/>
    <w:rsid w:val="006E1B26"/>
    <w:rsid w:val="006E1B5D"/>
    <w:rsid w:val="006E1BC6"/>
    <w:rsid w:val="006E1C78"/>
    <w:rsid w:val="006E1CC5"/>
    <w:rsid w:val="006E1F61"/>
    <w:rsid w:val="006E1F63"/>
    <w:rsid w:val="006E1FB0"/>
    <w:rsid w:val="006E203D"/>
    <w:rsid w:val="006E2060"/>
    <w:rsid w:val="006E2099"/>
    <w:rsid w:val="006E20C8"/>
    <w:rsid w:val="006E22B2"/>
    <w:rsid w:val="006E22FA"/>
    <w:rsid w:val="006E23AD"/>
    <w:rsid w:val="006E23BB"/>
    <w:rsid w:val="006E23D9"/>
    <w:rsid w:val="006E242C"/>
    <w:rsid w:val="006E2445"/>
    <w:rsid w:val="006E24CA"/>
    <w:rsid w:val="006E2506"/>
    <w:rsid w:val="006E2591"/>
    <w:rsid w:val="006E2633"/>
    <w:rsid w:val="006E2664"/>
    <w:rsid w:val="006E267A"/>
    <w:rsid w:val="006E26C3"/>
    <w:rsid w:val="006E26D0"/>
    <w:rsid w:val="006E2755"/>
    <w:rsid w:val="006E27C2"/>
    <w:rsid w:val="006E27CB"/>
    <w:rsid w:val="006E2899"/>
    <w:rsid w:val="006E2906"/>
    <w:rsid w:val="006E296F"/>
    <w:rsid w:val="006E2986"/>
    <w:rsid w:val="006E2AD9"/>
    <w:rsid w:val="006E2ADC"/>
    <w:rsid w:val="006E2B54"/>
    <w:rsid w:val="006E2B5D"/>
    <w:rsid w:val="006E2BEC"/>
    <w:rsid w:val="006E2D09"/>
    <w:rsid w:val="006E2DB5"/>
    <w:rsid w:val="006E2DD2"/>
    <w:rsid w:val="006E2E12"/>
    <w:rsid w:val="006E2E1A"/>
    <w:rsid w:val="006E2EB4"/>
    <w:rsid w:val="006E2F59"/>
    <w:rsid w:val="006E3025"/>
    <w:rsid w:val="006E308C"/>
    <w:rsid w:val="006E316B"/>
    <w:rsid w:val="006E31AB"/>
    <w:rsid w:val="006E31D8"/>
    <w:rsid w:val="006E3255"/>
    <w:rsid w:val="006E3272"/>
    <w:rsid w:val="006E328E"/>
    <w:rsid w:val="006E3297"/>
    <w:rsid w:val="006E32CD"/>
    <w:rsid w:val="006E3363"/>
    <w:rsid w:val="006E33D0"/>
    <w:rsid w:val="006E33DE"/>
    <w:rsid w:val="006E343D"/>
    <w:rsid w:val="006E35B7"/>
    <w:rsid w:val="006E36A3"/>
    <w:rsid w:val="006E371F"/>
    <w:rsid w:val="006E37ED"/>
    <w:rsid w:val="006E383F"/>
    <w:rsid w:val="006E3949"/>
    <w:rsid w:val="006E396E"/>
    <w:rsid w:val="006E39D5"/>
    <w:rsid w:val="006E3A10"/>
    <w:rsid w:val="006E3A3E"/>
    <w:rsid w:val="006E3A48"/>
    <w:rsid w:val="006E3B7A"/>
    <w:rsid w:val="006E3B84"/>
    <w:rsid w:val="006E3C19"/>
    <w:rsid w:val="006E3C8A"/>
    <w:rsid w:val="006E3D3A"/>
    <w:rsid w:val="006E3D5A"/>
    <w:rsid w:val="006E3D76"/>
    <w:rsid w:val="006E3DC5"/>
    <w:rsid w:val="006E3E1E"/>
    <w:rsid w:val="006E3E2B"/>
    <w:rsid w:val="006E3E34"/>
    <w:rsid w:val="006E3E40"/>
    <w:rsid w:val="006E3E4E"/>
    <w:rsid w:val="006E3E4F"/>
    <w:rsid w:val="006E3F00"/>
    <w:rsid w:val="006E3F45"/>
    <w:rsid w:val="006E400D"/>
    <w:rsid w:val="006E412C"/>
    <w:rsid w:val="006E4161"/>
    <w:rsid w:val="006E4175"/>
    <w:rsid w:val="006E42DB"/>
    <w:rsid w:val="006E42FA"/>
    <w:rsid w:val="006E4356"/>
    <w:rsid w:val="006E43B1"/>
    <w:rsid w:val="006E4403"/>
    <w:rsid w:val="006E4432"/>
    <w:rsid w:val="006E447E"/>
    <w:rsid w:val="006E44C2"/>
    <w:rsid w:val="006E4506"/>
    <w:rsid w:val="006E4538"/>
    <w:rsid w:val="006E45BC"/>
    <w:rsid w:val="006E45F0"/>
    <w:rsid w:val="006E46A3"/>
    <w:rsid w:val="006E46B1"/>
    <w:rsid w:val="006E4990"/>
    <w:rsid w:val="006E49C4"/>
    <w:rsid w:val="006E49D6"/>
    <w:rsid w:val="006E49EA"/>
    <w:rsid w:val="006E4A48"/>
    <w:rsid w:val="006E4A4F"/>
    <w:rsid w:val="006E4A71"/>
    <w:rsid w:val="006E4A7A"/>
    <w:rsid w:val="006E4A8B"/>
    <w:rsid w:val="006E4B1B"/>
    <w:rsid w:val="006E4B3B"/>
    <w:rsid w:val="006E4BD7"/>
    <w:rsid w:val="006E4D0E"/>
    <w:rsid w:val="006E4D86"/>
    <w:rsid w:val="006E4D97"/>
    <w:rsid w:val="006E4DB2"/>
    <w:rsid w:val="006E4E30"/>
    <w:rsid w:val="006E4E64"/>
    <w:rsid w:val="006E4EEA"/>
    <w:rsid w:val="006E4F45"/>
    <w:rsid w:val="006E4F5E"/>
    <w:rsid w:val="006E4FE7"/>
    <w:rsid w:val="006E4FFD"/>
    <w:rsid w:val="006E5144"/>
    <w:rsid w:val="006E51C7"/>
    <w:rsid w:val="006E5292"/>
    <w:rsid w:val="006E52AB"/>
    <w:rsid w:val="006E5334"/>
    <w:rsid w:val="006E535A"/>
    <w:rsid w:val="006E557C"/>
    <w:rsid w:val="006E5650"/>
    <w:rsid w:val="006E566F"/>
    <w:rsid w:val="006E5684"/>
    <w:rsid w:val="006E571D"/>
    <w:rsid w:val="006E5769"/>
    <w:rsid w:val="006E5776"/>
    <w:rsid w:val="006E57EF"/>
    <w:rsid w:val="006E5835"/>
    <w:rsid w:val="006E5959"/>
    <w:rsid w:val="006E59F9"/>
    <w:rsid w:val="006E5B97"/>
    <w:rsid w:val="006E5C5B"/>
    <w:rsid w:val="006E5C9C"/>
    <w:rsid w:val="006E5D2A"/>
    <w:rsid w:val="006E5E39"/>
    <w:rsid w:val="006E5ECB"/>
    <w:rsid w:val="006E5F29"/>
    <w:rsid w:val="006E5F33"/>
    <w:rsid w:val="006E5FCC"/>
    <w:rsid w:val="006E611E"/>
    <w:rsid w:val="006E6191"/>
    <w:rsid w:val="006E620B"/>
    <w:rsid w:val="006E62F2"/>
    <w:rsid w:val="006E63B4"/>
    <w:rsid w:val="006E6485"/>
    <w:rsid w:val="006E6556"/>
    <w:rsid w:val="006E65A3"/>
    <w:rsid w:val="006E65B4"/>
    <w:rsid w:val="006E664D"/>
    <w:rsid w:val="006E66B4"/>
    <w:rsid w:val="006E67E9"/>
    <w:rsid w:val="006E6841"/>
    <w:rsid w:val="006E6860"/>
    <w:rsid w:val="006E6884"/>
    <w:rsid w:val="006E68A7"/>
    <w:rsid w:val="006E68E6"/>
    <w:rsid w:val="006E68F6"/>
    <w:rsid w:val="006E6945"/>
    <w:rsid w:val="006E6967"/>
    <w:rsid w:val="006E69CB"/>
    <w:rsid w:val="006E6A50"/>
    <w:rsid w:val="006E6A51"/>
    <w:rsid w:val="006E6A5B"/>
    <w:rsid w:val="006E6A8E"/>
    <w:rsid w:val="006E6B57"/>
    <w:rsid w:val="006E6BCE"/>
    <w:rsid w:val="006E6C0C"/>
    <w:rsid w:val="006E6C21"/>
    <w:rsid w:val="006E6D34"/>
    <w:rsid w:val="006E6D5D"/>
    <w:rsid w:val="006E6D96"/>
    <w:rsid w:val="006E6E23"/>
    <w:rsid w:val="006E6F0C"/>
    <w:rsid w:val="006E6F6D"/>
    <w:rsid w:val="006E6FE0"/>
    <w:rsid w:val="006E6FE3"/>
    <w:rsid w:val="006E70A3"/>
    <w:rsid w:val="006E70BC"/>
    <w:rsid w:val="006E7157"/>
    <w:rsid w:val="006E719A"/>
    <w:rsid w:val="006E72EA"/>
    <w:rsid w:val="006E7374"/>
    <w:rsid w:val="006E73B4"/>
    <w:rsid w:val="006E73E4"/>
    <w:rsid w:val="006E7485"/>
    <w:rsid w:val="006E748A"/>
    <w:rsid w:val="006E74D3"/>
    <w:rsid w:val="006E7595"/>
    <w:rsid w:val="006E75A0"/>
    <w:rsid w:val="006E75AF"/>
    <w:rsid w:val="006E75DB"/>
    <w:rsid w:val="006E7718"/>
    <w:rsid w:val="006E784C"/>
    <w:rsid w:val="006E78A8"/>
    <w:rsid w:val="006E7930"/>
    <w:rsid w:val="006E7B00"/>
    <w:rsid w:val="006E7B56"/>
    <w:rsid w:val="006E7B64"/>
    <w:rsid w:val="006E7C8F"/>
    <w:rsid w:val="006E7CE5"/>
    <w:rsid w:val="006E7D25"/>
    <w:rsid w:val="006E7DD7"/>
    <w:rsid w:val="006E7E97"/>
    <w:rsid w:val="006EFABF"/>
    <w:rsid w:val="006F0085"/>
    <w:rsid w:val="006F0103"/>
    <w:rsid w:val="006F017F"/>
    <w:rsid w:val="006F0189"/>
    <w:rsid w:val="006F01D1"/>
    <w:rsid w:val="006F0248"/>
    <w:rsid w:val="006F029A"/>
    <w:rsid w:val="006F02F1"/>
    <w:rsid w:val="006F0323"/>
    <w:rsid w:val="006F032E"/>
    <w:rsid w:val="006F0445"/>
    <w:rsid w:val="006F078C"/>
    <w:rsid w:val="006F07C1"/>
    <w:rsid w:val="006F098C"/>
    <w:rsid w:val="006F0993"/>
    <w:rsid w:val="006F0A75"/>
    <w:rsid w:val="006F0A88"/>
    <w:rsid w:val="006F0AA4"/>
    <w:rsid w:val="006F0AD5"/>
    <w:rsid w:val="006F0C16"/>
    <w:rsid w:val="006F0C33"/>
    <w:rsid w:val="006F0C4A"/>
    <w:rsid w:val="006F0C85"/>
    <w:rsid w:val="006F0CDC"/>
    <w:rsid w:val="006F0D19"/>
    <w:rsid w:val="006F0D72"/>
    <w:rsid w:val="006F0DB5"/>
    <w:rsid w:val="006F0DBA"/>
    <w:rsid w:val="006F0E0E"/>
    <w:rsid w:val="006F0E5D"/>
    <w:rsid w:val="006F0E79"/>
    <w:rsid w:val="006F0E88"/>
    <w:rsid w:val="006F0F14"/>
    <w:rsid w:val="006F0F2D"/>
    <w:rsid w:val="006F0F6B"/>
    <w:rsid w:val="006F0FE4"/>
    <w:rsid w:val="006F104F"/>
    <w:rsid w:val="006F112D"/>
    <w:rsid w:val="006F1160"/>
    <w:rsid w:val="006F1176"/>
    <w:rsid w:val="006F11EE"/>
    <w:rsid w:val="006F11FF"/>
    <w:rsid w:val="006F1208"/>
    <w:rsid w:val="006F127B"/>
    <w:rsid w:val="006F130B"/>
    <w:rsid w:val="006F1360"/>
    <w:rsid w:val="006F1384"/>
    <w:rsid w:val="006F138A"/>
    <w:rsid w:val="006F13F4"/>
    <w:rsid w:val="006F141A"/>
    <w:rsid w:val="006F1420"/>
    <w:rsid w:val="006F1454"/>
    <w:rsid w:val="006F14F1"/>
    <w:rsid w:val="006F155E"/>
    <w:rsid w:val="006F1617"/>
    <w:rsid w:val="006F167A"/>
    <w:rsid w:val="006F1724"/>
    <w:rsid w:val="006F1729"/>
    <w:rsid w:val="006F1789"/>
    <w:rsid w:val="006F1796"/>
    <w:rsid w:val="006F1797"/>
    <w:rsid w:val="006F179A"/>
    <w:rsid w:val="006F17B0"/>
    <w:rsid w:val="006F17D0"/>
    <w:rsid w:val="006F17E4"/>
    <w:rsid w:val="006F1816"/>
    <w:rsid w:val="006F1990"/>
    <w:rsid w:val="006F1A6E"/>
    <w:rsid w:val="006F1C10"/>
    <w:rsid w:val="006F1C73"/>
    <w:rsid w:val="006F1C9D"/>
    <w:rsid w:val="006F1CA9"/>
    <w:rsid w:val="006F1D30"/>
    <w:rsid w:val="006F1D6B"/>
    <w:rsid w:val="006F1DAD"/>
    <w:rsid w:val="006F1E75"/>
    <w:rsid w:val="006F1EC8"/>
    <w:rsid w:val="006F1EF6"/>
    <w:rsid w:val="006F1F15"/>
    <w:rsid w:val="006F1FA9"/>
    <w:rsid w:val="006F1FFF"/>
    <w:rsid w:val="006F207E"/>
    <w:rsid w:val="006F209D"/>
    <w:rsid w:val="006F20F1"/>
    <w:rsid w:val="006F213D"/>
    <w:rsid w:val="006F21E2"/>
    <w:rsid w:val="006F227C"/>
    <w:rsid w:val="006F23E2"/>
    <w:rsid w:val="006F23F9"/>
    <w:rsid w:val="006F243A"/>
    <w:rsid w:val="006F2450"/>
    <w:rsid w:val="006F24FC"/>
    <w:rsid w:val="006F261E"/>
    <w:rsid w:val="006F2621"/>
    <w:rsid w:val="006F2645"/>
    <w:rsid w:val="006F2678"/>
    <w:rsid w:val="006F2746"/>
    <w:rsid w:val="006F2771"/>
    <w:rsid w:val="006F27D1"/>
    <w:rsid w:val="006F2A63"/>
    <w:rsid w:val="006F2A8B"/>
    <w:rsid w:val="006F2B2E"/>
    <w:rsid w:val="006F2B89"/>
    <w:rsid w:val="006F2BC9"/>
    <w:rsid w:val="006F2C53"/>
    <w:rsid w:val="006F2CDA"/>
    <w:rsid w:val="006F2E7E"/>
    <w:rsid w:val="006F2ED7"/>
    <w:rsid w:val="006F2F39"/>
    <w:rsid w:val="006F2F5F"/>
    <w:rsid w:val="006F2F67"/>
    <w:rsid w:val="006F2FB5"/>
    <w:rsid w:val="006F2FD4"/>
    <w:rsid w:val="006F2FFE"/>
    <w:rsid w:val="006F3075"/>
    <w:rsid w:val="006F30BC"/>
    <w:rsid w:val="006F30D9"/>
    <w:rsid w:val="006F3207"/>
    <w:rsid w:val="006F3212"/>
    <w:rsid w:val="006F328D"/>
    <w:rsid w:val="006F32A9"/>
    <w:rsid w:val="006F33A1"/>
    <w:rsid w:val="006F34D2"/>
    <w:rsid w:val="006F34FA"/>
    <w:rsid w:val="006F3508"/>
    <w:rsid w:val="006F3541"/>
    <w:rsid w:val="006F3544"/>
    <w:rsid w:val="006F3547"/>
    <w:rsid w:val="006F354C"/>
    <w:rsid w:val="006F35D2"/>
    <w:rsid w:val="006F35F1"/>
    <w:rsid w:val="006F3642"/>
    <w:rsid w:val="006F3831"/>
    <w:rsid w:val="006F38DE"/>
    <w:rsid w:val="006F38DF"/>
    <w:rsid w:val="006F398F"/>
    <w:rsid w:val="006F3ADB"/>
    <w:rsid w:val="006F3B69"/>
    <w:rsid w:val="006F3B91"/>
    <w:rsid w:val="006F3BDB"/>
    <w:rsid w:val="006F3C14"/>
    <w:rsid w:val="006F3C44"/>
    <w:rsid w:val="006F3CD2"/>
    <w:rsid w:val="006F3DEF"/>
    <w:rsid w:val="006F3F70"/>
    <w:rsid w:val="006F3FAB"/>
    <w:rsid w:val="006F409E"/>
    <w:rsid w:val="006F40B0"/>
    <w:rsid w:val="006F40D8"/>
    <w:rsid w:val="006F40ED"/>
    <w:rsid w:val="006F4176"/>
    <w:rsid w:val="006F4180"/>
    <w:rsid w:val="006F41AA"/>
    <w:rsid w:val="006F42F9"/>
    <w:rsid w:val="006F4320"/>
    <w:rsid w:val="006F4336"/>
    <w:rsid w:val="006F437C"/>
    <w:rsid w:val="006F438D"/>
    <w:rsid w:val="006F442E"/>
    <w:rsid w:val="006F46AC"/>
    <w:rsid w:val="006F47BC"/>
    <w:rsid w:val="006F48D0"/>
    <w:rsid w:val="006F4996"/>
    <w:rsid w:val="006F4997"/>
    <w:rsid w:val="006F49A0"/>
    <w:rsid w:val="006F49BB"/>
    <w:rsid w:val="006F49F5"/>
    <w:rsid w:val="006F4A4F"/>
    <w:rsid w:val="006F4A91"/>
    <w:rsid w:val="006F4AA6"/>
    <w:rsid w:val="006F4ADD"/>
    <w:rsid w:val="006F4BA9"/>
    <w:rsid w:val="006F4BF8"/>
    <w:rsid w:val="006F4C64"/>
    <w:rsid w:val="006F4CC5"/>
    <w:rsid w:val="006F4CFB"/>
    <w:rsid w:val="006F4D80"/>
    <w:rsid w:val="006F4DF1"/>
    <w:rsid w:val="006F4E45"/>
    <w:rsid w:val="006F4E81"/>
    <w:rsid w:val="006F4EFE"/>
    <w:rsid w:val="006F5083"/>
    <w:rsid w:val="006F50BA"/>
    <w:rsid w:val="006F51CA"/>
    <w:rsid w:val="006F51D9"/>
    <w:rsid w:val="006F5252"/>
    <w:rsid w:val="006F5370"/>
    <w:rsid w:val="006F5386"/>
    <w:rsid w:val="006F53E3"/>
    <w:rsid w:val="006F54FA"/>
    <w:rsid w:val="006F558E"/>
    <w:rsid w:val="006F55B4"/>
    <w:rsid w:val="006F5644"/>
    <w:rsid w:val="006F5740"/>
    <w:rsid w:val="006F580E"/>
    <w:rsid w:val="006F586E"/>
    <w:rsid w:val="006F5981"/>
    <w:rsid w:val="006F5A74"/>
    <w:rsid w:val="006F5ADC"/>
    <w:rsid w:val="006F5B39"/>
    <w:rsid w:val="006F5CB9"/>
    <w:rsid w:val="006F5D34"/>
    <w:rsid w:val="006F5E27"/>
    <w:rsid w:val="006F5E53"/>
    <w:rsid w:val="006F5F4B"/>
    <w:rsid w:val="006F5F8C"/>
    <w:rsid w:val="006F606C"/>
    <w:rsid w:val="006F6465"/>
    <w:rsid w:val="006F6466"/>
    <w:rsid w:val="006F647D"/>
    <w:rsid w:val="006F6645"/>
    <w:rsid w:val="006F6669"/>
    <w:rsid w:val="006F66F7"/>
    <w:rsid w:val="006F6753"/>
    <w:rsid w:val="006F6793"/>
    <w:rsid w:val="006F6795"/>
    <w:rsid w:val="006F685F"/>
    <w:rsid w:val="006F6893"/>
    <w:rsid w:val="006F68EA"/>
    <w:rsid w:val="006F695F"/>
    <w:rsid w:val="006F6AE5"/>
    <w:rsid w:val="006F6B24"/>
    <w:rsid w:val="006F6B64"/>
    <w:rsid w:val="006F6BD3"/>
    <w:rsid w:val="006F6BE8"/>
    <w:rsid w:val="006F6C5C"/>
    <w:rsid w:val="006F6C95"/>
    <w:rsid w:val="006F6CDA"/>
    <w:rsid w:val="006F6D10"/>
    <w:rsid w:val="006F6E69"/>
    <w:rsid w:val="006F6ECE"/>
    <w:rsid w:val="006F6F0E"/>
    <w:rsid w:val="006F6F1E"/>
    <w:rsid w:val="006F6F90"/>
    <w:rsid w:val="006F6F9C"/>
    <w:rsid w:val="006F7175"/>
    <w:rsid w:val="006F71D2"/>
    <w:rsid w:val="006F71E7"/>
    <w:rsid w:val="006F7249"/>
    <w:rsid w:val="006F7298"/>
    <w:rsid w:val="006F733E"/>
    <w:rsid w:val="006F73C2"/>
    <w:rsid w:val="006F7418"/>
    <w:rsid w:val="006F756D"/>
    <w:rsid w:val="006F75BF"/>
    <w:rsid w:val="006F7635"/>
    <w:rsid w:val="006F7676"/>
    <w:rsid w:val="006F76CC"/>
    <w:rsid w:val="006F76DF"/>
    <w:rsid w:val="006F7731"/>
    <w:rsid w:val="006F773B"/>
    <w:rsid w:val="006F775D"/>
    <w:rsid w:val="006F77F9"/>
    <w:rsid w:val="006F7836"/>
    <w:rsid w:val="006F7849"/>
    <w:rsid w:val="006F7907"/>
    <w:rsid w:val="006F7A06"/>
    <w:rsid w:val="006F7A18"/>
    <w:rsid w:val="006F7A4B"/>
    <w:rsid w:val="006F7AF3"/>
    <w:rsid w:val="006F7B01"/>
    <w:rsid w:val="006F7B3D"/>
    <w:rsid w:val="006F7B63"/>
    <w:rsid w:val="006F7B9F"/>
    <w:rsid w:val="006F7C18"/>
    <w:rsid w:val="006F7C1A"/>
    <w:rsid w:val="006F7CB0"/>
    <w:rsid w:val="006F7E47"/>
    <w:rsid w:val="006F7EC1"/>
    <w:rsid w:val="006F7EE9"/>
    <w:rsid w:val="006F7F6F"/>
    <w:rsid w:val="00700030"/>
    <w:rsid w:val="00700052"/>
    <w:rsid w:val="00700074"/>
    <w:rsid w:val="007000D9"/>
    <w:rsid w:val="00700134"/>
    <w:rsid w:val="00700156"/>
    <w:rsid w:val="007001AE"/>
    <w:rsid w:val="007002B4"/>
    <w:rsid w:val="007002DB"/>
    <w:rsid w:val="00700317"/>
    <w:rsid w:val="00700354"/>
    <w:rsid w:val="00700466"/>
    <w:rsid w:val="007004D5"/>
    <w:rsid w:val="007005BA"/>
    <w:rsid w:val="00700662"/>
    <w:rsid w:val="007006BD"/>
    <w:rsid w:val="00700734"/>
    <w:rsid w:val="00700763"/>
    <w:rsid w:val="007007BB"/>
    <w:rsid w:val="00700867"/>
    <w:rsid w:val="007008B9"/>
    <w:rsid w:val="00700B72"/>
    <w:rsid w:val="00700BCD"/>
    <w:rsid w:val="00700BD6"/>
    <w:rsid w:val="00700D22"/>
    <w:rsid w:val="00700D68"/>
    <w:rsid w:val="00700DFA"/>
    <w:rsid w:val="00700E7E"/>
    <w:rsid w:val="00700EC7"/>
    <w:rsid w:val="00701068"/>
    <w:rsid w:val="00701260"/>
    <w:rsid w:val="00701261"/>
    <w:rsid w:val="0070128A"/>
    <w:rsid w:val="0070129A"/>
    <w:rsid w:val="007012F5"/>
    <w:rsid w:val="007012FF"/>
    <w:rsid w:val="00701308"/>
    <w:rsid w:val="007013B4"/>
    <w:rsid w:val="007013CB"/>
    <w:rsid w:val="00701405"/>
    <w:rsid w:val="00701422"/>
    <w:rsid w:val="00701520"/>
    <w:rsid w:val="00701526"/>
    <w:rsid w:val="00701527"/>
    <w:rsid w:val="00701533"/>
    <w:rsid w:val="00701656"/>
    <w:rsid w:val="00701672"/>
    <w:rsid w:val="007016C1"/>
    <w:rsid w:val="007017B3"/>
    <w:rsid w:val="0070187E"/>
    <w:rsid w:val="00701981"/>
    <w:rsid w:val="0070198C"/>
    <w:rsid w:val="00701A90"/>
    <w:rsid w:val="00701AD4"/>
    <w:rsid w:val="00701B2F"/>
    <w:rsid w:val="00701B95"/>
    <w:rsid w:val="00701BE8"/>
    <w:rsid w:val="00701D05"/>
    <w:rsid w:val="00701D53"/>
    <w:rsid w:val="00701E04"/>
    <w:rsid w:val="00701E30"/>
    <w:rsid w:val="00701E40"/>
    <w:rsid w:val="00701E7B"/>
    <w:rsid w:val="00701F0B"/>
    <w:rsid w:val="0070201B"/>
    <w:rsid w:val="00702024"/>
    <w:rsid w:val="00702202"/>
    <w:rsid w:val="0070227A"/>
    <w:rsid w:val="007023AD"/>
    <w:rsid w:val="007023D2"/>
    <w:rsid w:val="007023D7"/>
    <w:rsid w:val="007025D2"/>
    <w:rsid w:val="00702605"/>
    <w:rsid w:val="00702675"/>
    <w:rsid w:val="007027AB"/>
    <w:rsid w:val="00702869"/>
    <w:rsid w:val="007028DA"/>
    <w:rsid w:val="00702925"/>
    <w:rsid w:val="00702975"/>
    <w:rsid w:val="00702A01"/>
    <w:rsid w:val="00702A45"/>
    <w:rsid w:val="00702A78"/>
    <w:rsid w:val="00702B1C"/>
    <w:rsid w:val="00702B21"/>
    <w:rsid w:val="00702D1A"/>
    <w:rsid w:val="00702D8C"/>
    <w:rsid w:val="00702D8E"/>
    <w:rsid w:val="00702D90"/>
    <w:rsid w:val="00702DBC"/>
    <w:rsid w:val="00702DE7"/>
    <w:rsid w:val="00702E50"/>
    <w:rsid w:val="00702F36"/>
    <w:rsid w:val="00702F83"/>
    <w:rsid w:val="00702FDB"/>
    <w:rsid w:val="00703007"/>
    <w:rsid w:val="0070311B"/>
    <w:rsid w:val="00703133"/>
    <w:rsid w:val="00703260"/>
    <w:rsid w:val="00703280"/>
    <w:rsid w:val="00703290"/>
    <w:rsid w:val="00703327"/>
    <w:rsid w:val="00703362"/>
    <w:rsid w:val="007033BB"/>
    <w:rsid w:val="007033D9"/>
    <w:rsid w:val="00703456"/>
    <w:rsid w:val="0070345B"/>
    <w:rsid w:val="00703498"/>
    <w:rsid w:val="007034DE"/>
    <w:rsid w:val="007034F3"/>
    <w:rsid w:val="00703505"/>
    <w:rsid w:val="00703566"/>
    <w:rsid w:val="007035D0"/>
    <w:rsid w:val="007035D4"/>
    <w:rsid w:val="007035E6"/>
    <w:rsid w:val="00703646"/>
    <w:rsid w:val="00703649"/>
    <w:rsid w:val="00703764"/>
    <w:rsid w:val="0070377F"/>
    <w:rsid w:val="00703794"/>
    <w:rsid w:val="007037AC"/>
    <w:rsid w:val="007037CC"/>
    <w:rsid w:val="007038DF"/>
    <w:rsid w:val="007039E0"/>
    <w:rsid w:val="00703A0D"/>
    <w:rsid w:val="00703A6C"/>
    <w:rsid w:val="00703A85"/>
    <w:rsid w:val="00703ABC"/>
    <w:rsid w:val="00703C22"/>
    <w:rsid w:val="00703C49"/>
    <w:rsid w:val="00703D0F"/>
    <w:rsid w:val="00703D7C"/>
    <w:rsid w:val="00703D96"/>
    <w:rsid w:val="00703DA3"/>
    <w:rsid w:val="00703DE3"/>
    <w:rsid w:val="00703E85"/>
    <w:rsid w:val="00703F4A"/>
    <w:rsid w:val="00703FA1"/>
    <w:rsid w:val="00703FE2"/>
    <w:rsid w:val="00704007"/>
    <w:rsid w:val="00704039"/>
    <w:rsid w:val="00704078"/>
    <w:rsid w:val="0070408A"/>
    <w:rsid w:val="0070409C"/>
    <w:rsid w:val="007040D5"/>
    <w:rsid w:val="0070411A"/>
    <w:rsid w:val="00704166"/>
    <w:rsid w:val="0070419A"/>
    <w:rsid w:val="00704213"/>
    <w:rsid w:val="0070437B"/>
    <w:rsid w:val="007043BC"/>
    <w:rsid w:val="007043F2"/>
    <w:rsid w:val="0070449A"/>
    <w:rsid w:val="007044CE"/>
    <w:rsid w:val="00704536"/>
    <w:rsid w:val="00704623"/>
    <w:rsid w:val="0070464D"/>
    <w:rsid w:val="007046BA"/>
    <w:rsid w:val="00704744"/>
    <w:rsid w:val="00704752"/>
    <w:rsid w:val="00704790"/>
    <w:rsid w:val="00704791"/>
    <w:rsid w:val="007047A3"/>
    <w:rsid w:val="0070481D"/>
    <w:rsid w:val="00704825"/>
    <w:rsid w:val="007048B2"/>
    <w:rsid w:val="007048BC"/>
    <w:rsid w:val="00704985"/>
    <w:rsid w:val="00704B40"/>
    <w:rsid w:val="00704B68"/>
    <w:rsid w:val="00704BC7"/>
    <w:rsid w:val="00704C06"/>
    <w:rsid w:val="00704C2B"/>
    <w:rsid w:val="00704DA2"/>
    <w:rsid w:val="00704E91"/>
    <w:rsid w:val="00704EF8"/>
    <w:rsid w:val="00704F62"/>
    <w:rsid w:val="00704FAD"/>
    <w:rsid w:val="00704FF1"/>
    <w:rsid w:val="00705054"/>
    <w:rsid w:val="00705063"/>
    <w:rsid w:val="0070510F"/>
    <w:rsid w:val="007051B6"/>
    <w:rsid w:val="007051B7"/>
    <w:rsid w:val="007051BF"/>
    <w:rsid w:val="007051F6"/>
    <w:rsid w:val="0070520C"/>
    <w:rsid w:val="0070536B"/>
    <w:rsid w:val="0070545A"/>
    <w:rsid w:val="0070554D"/>
    <w:rsid w:val="007055A8"/>
    <w:rsid w:val="007055AF"/>
    <w:rsid w:val="0070575B"/>
    <w:rsid w:val="00705782"/>
    <w:rsid w:val="00705797"/>
    <w:rsid w:val="007057AA"/>
    <w:rsid w:val="00705804"/>
    <w:rsid w:val="00705859"/>
    <w:rsid w:val="00705893"/>
    <w:rsid w:val="007058B4"/>
    <w:rsid w:val="00705904"/>
    <w:rsid w:val="00705917"/>
    <w:rsid w:val="007059EA"/>
    <w:rsid w:val="00705A7A"/>
    <w:rsid w:val="00705AC6"/>
    <w:rsid w:val="00705AD5"/>
    <w:rsid w:val="00705B9F"/>
    <w:rsid w:val="00705BE4"/>
    <w:rsid w:val="00705CB8"/>
    <w:rsid w:val="00705E04"/>
    <w:rsid w:val="00705E14"/>
    <w:rsid w:val="00705E15"/>
    <w:rsid w:val="00705E8F"/>
    <w:rsid w:val="00705ECF"/>
    <w:rsid w:val="00705F5D"/>
    <w:rsid w:val="00705FAC"/>
    <w:rsid w:val="00705FEB"/>
    <w:rsid w:val="00706011"/>
    <w:rsid w:val="00706086"/>
    <w:rsid w:val="007060E2"/>
    <w:rsid w:val="0070617F"/>
    <w:rsid w:val="0070618B"/>
    <w:rsid w:val="00706191"/>
    <w:rsid w:val="007061E9"/>
    <w:rsid w:val="00706268"/>
    <w:rsid w:val="007062F6"/>
    <w:rsid w:val="00706302"/>
    <w:rsid w:val="0070635D"/>
    <w:rsid w:val="00706380"/>
    <w:rsid w:val="007063D8"/>
    <w:rsid w:val="00706431"/>
    <w:rsid w:val="00706502"/>
    <w:rsid w:val="007065B8"/>
    <w:rsid w:val="0070662B"/>
    <w:rsid w:val="0070668B"/>
    <w:rsid w:val="00706754"/>
    <w:rsid w:val="00706765"/>
    <w:rsid w:val="007068EC"/>
    <w:rsid w:val="00706992"/>
    <w:rsid w:val="007069AB"/>
    <w:rsid w:val="007069DA"/>
    <w:rsid w:val="00706A91"/>
    <w:rsid w:val="00706AAB"/>
    <w:rsid w:val="00706ABD"/>
    <w:rsid w:val="00706B53"/>
    <w:rsid w:val="00706BE6"/>
    <w:rsid w:val="00706C92"/>
    <w:rsid w:val="00706CF5"/>
    <w:rsid w:val="00706D59"/>
    <w:rsid w:val="00706D65"/>
    <w:rsid w:val="00706D6F"/>
    <w:rsid w:val="00706E5F"/>
    <w:rsid w:val="00706EC2"/>
    <w:rsid w:val="00706F7E"/>
    <w:rsid w:val="00706FEF"/>
    <w:rsid w:val="00707005"/>
    <w:rsid w:val="00707020"/>
    <w:rsid w:val="007070FA"/>
    <w:rsid w:val="0070713C"/>
    <w:rsid w:val="007072AA"/>
    <w:rsid w:val="007073DB"/>
    <w:rsid w:val="00707407"/>
    <w:rsid w:val="007074F4"/>
    <w:rsid w:val="0070757F"/>
    <w:rsid w:val="007075A4"/>
    <w:rsid w:val="007075A9"/>
    <w:rsid w:val="00707601"/>
    <w:rsid w:val="00707642"/>
    <w:rsid w:val="007076BF"/>
    <w:rsid w:val="007076ED"/>
    <w:rsid w:val="00707720"/>
    <w:rsid w:val="007077B1"/>
    <w:rsid w:val="007077C4"/>
    <w:rsid w:val="0070795A"/>
    <w:rsid w:val="00707965"/>
    <w:rsid w:val="0070799A"/>
    <w:rsid w:val="007079A7"/>
    <w:rsid w:val="007079F7"/>
    <w:rsid w:val="00707A90"/>
    <w:rsid w:val="00707B2E"/>
    <w:rsid w:val="00707B2F"/>
    <w:rsid w:val="00707B7C"/>
    <w:rsid w:val="00707BBB"/>
    <w:rsid w:val="00707BC0"/>
    <w:rsid w:val="00707C33"/>
    <w:rsid w:val="00707C41"/>
    <w:rsid w:val="00707D10"/>
    <w:rsid w:val="00707D34"/>
    <w:rsid w:val="00707E11"/>
    <w:rsid w:val="00707E48"/>
    <w:rsid w:val="00707E67"/>
    <w:rsid w:val="00707EA6"/>
    <w:rsid w:val="00707EC4"/>
    <w:rsid w:val="00707EEB"/>
    <w:rsid w:val="007081B4"/>
    <w:rsid w:val="00710110"/>
    <w:rsid w:val="00710166"/>
    <w:rsid w:val="007101A2"/>
    <w:rsid w:val="0071029B"/>
    <w:rsid w:val="007102EE"/>
    <w:rsid w:val="00710315"/>
    <w:rsid w:val="00710321"/>
    <w:rsid w:val="007103A9"/>
    <w:rsid w:val="0071040F"/>
    <w:rsid w:val="00710444"/>
    <w:rsid w:val="00710475"/>
    <w:rsid w:val="0071053C"/>
    <w:rsid w:val="00710543"/>
    <w:rsid w:val="00710564"/>
    <w:rsid w:val="007105B5"/>
    <w:rsid w:val="00710629"/>
    <w:rsid w:val="0071063A"/>
    <w:rsid w:val="007106BC"/>
    <w:rsid w:val="0071079E"/>
    <w:rsid w:val="0071084E"/>
    <w:rsid w:val="00710981"/>
    <w:rsid w:val="00710AB1"/>
    <w:rsid w:val="00710AF1"/>
    <w:rsid w:val="00710AF2"/>
    <w:rsid w:val="00710B06"/>
    <w:rsid w:val="00710BF4"/>
    <w:rsid w:val="00710C21"/>
    <w:rsid w:val="00710C7F"/>
    <w:rsid w:val="00710D26"/>
    <w:rsid w:val="00710D9F"/>
    <w:rsid w:val="00710DDD"/>
    <w:rsid w:val="00710E88"/>
    <w:rsid w:val="00710EB0"/>
    <w:rsid w:val="00710F0B"/>
    <w:rsid w:val="00711194"/>
    <w:rsid w:val="007111A9"/>
    <w:rsid w:val="007111B6"/>
    <w:rsid w:val="007111FF"/>
    <w:rsid w:val="00711241"/>
    <w:rsid w:val="0071126E"/>
    <w:rsid w:val="007112E3"/>
    <w:rsid w:val="007112E6"/>
    <w:rsid w:val="00711341"/>
    <w:rsid w:val="0071148F"/>
    <w:rsid w:val="007115F1"/>
    <w:rsid w:val="0071163C"/>
    <w:rsid w:val="007116F1"/>
    <w:rsid w:val="007117A5"/>
    <w:rsid w:val="00711812"/>
    <w:rsid w:val="007118F3"/>
    <w:rsid w:val="00711912"/>
    <w:rsid w:val="00711960"/>
    <w:rsid w:val="007119A5"/>
    <w:rsid w:val="007119FC"/>
    <w:rsid w:val="00711A9B"/>
    <w:rsid w:val="00711AEA"/>
    <w:rsid w:val="00711AEF"/>
    <w:rsid w:val="00711B20"/>
    <w:rsid w:val="00711C06"/>
    <w:rsid w:val="00711CE2"/>
    <w:rsid w:val="00711E09"/>
    <w:rsid w:val="00711E2E"/>
    <w:rsid w:val="00711E85"/>
    <w:rsid w:val="00711E9C"/>
    <w:rsid w:val="00711EA6"/>
    <w:rsid w:val="00711F9A"/>
    <w:rsid w:val="0071213D"/>
    <w:rsid w:val="0071217F"/>
    <w:rsid w:val="00712182"/>
    <w:rsid w:val="007121A1"/>
    <w:rsid w:val="007121B8"/>
    <w:rsid w:val="0071229F"/>
    <w:rsid w:val="0071235A"/>
    <w:rsid w:val="007123AA"/>
    <w:rsid w:val="007123AB"/>
    <w:rsid w:val="00712432"/>
    <w:rsid w:val="00712500"/>
    <w:rsid w:val="00712501"/>
    <w:rsid w:val="0071254E"/>
    <w:rsid w:val="007125E7"/>
    <w:rsid w:val="00712619"/>
    <w:rsid w:val="007126A0"/>
    <w:rsid w:val="00712707"/>
    <w:rsid w:val="007127BB"/>
    <w:rsid w:val="00712823"/>
    <w:rsid w:val="007128E1"/>
    <w:rsid w:val="00712933"/>
    <w:rsid w:val="00712948"/>
    <w:rsid w:val="007129D5"/>
    <w:rsid w:val="007129EF"/>
    <w:rsid w:val="00712B77"/>
    <w:rsid w:val="00712B94"/>
    <w:rsid w:val="00712B95"/>
    <w:rsid w:val="00712C3A"/>
    <w:rsid w:val="00712CA0"/>
    <w:rsid w:val="00712CA4"/>
    <w:rsid w:val="00712D30"/>
    <w:rsid w:val="00712E44"/>
    <w:rsid w:val="00712ECD"/>
    <w:rsid w:val="00712FAC"/>
    <w:rsid w:val="00713051"/>
    <w:rsid w:val="007130AC"/>
    <w:rsid w:val="007130E3"/>
    <w:rsid w:val="0071311A"/>
    <w:rsid w:val="00713234"/>
    <w:rsid w:val="00713452"/>
    <w:rsid w:val="00713557"/>
    <w:rsid w:val="00713596"/>
    <w:rsid w:val="00713598"/>
    <w:rsid w:val="00713703"/>
    <w:rsid w:val="0071380D"/>
    <w:rsid w:val="007138E3"/>
    <w:rsid w:val="00713921"/>
    <w:rsid w:val="00713998"/>
    <w:rsid w:val="00713A36"/>
    <w:rsid w:val="00713AB6"/>
    <w:rsid w:val="00713AC5"/>
    <w:rsid w:val="00713AC7"/>
    <w:rsid w:val="00713B11"/>
    <w:rsid w:val="00713C8B"/>
    <w:rsid w:val="00713CC0"/>
    <w:rsid w:val="00713CFA"/>
    <w:rsid w:val="00713D5C"/>
    <w:rsid w:val="00713D7C"/>
    <w:rsid w:val="00713D8D"/>
    <w:rsid w:val="00713DB2"/>
    <w:rsid w:val="00713E59"/>
    <w:rsid w:val="00713F8C"/>
    <w:rsid w:val="00713F9D"/>
    <w:rsid w:val="00714051"/>
    <w:rsid w:val="007140AE"/>
    <w:rsid w:val="00714137"/>
    <w:rsid w:val="00714142"/>
    <w:rsid w:val="007141FB"/>
    <w:rsid w:val="00714363"/>
    <w:rsid w:val="0071438E"/>
    <w:rsid w:val="007143CB"/>
    <w:rsid w:val="0071446F"/>
    <w:rsid w:val="0071455A"/>
    <w:rsid w:val="007145C0"/>
    <w:rsid w:val="0071470C"/>
    <w:rsid w:val="00714843"/>
    <w:rsid w:val="00714847"/>
    <w:rsid w:val="007148A0"/>
    <w:rsid w:val="00714953"/>
    <w:rsid w:val="007149BB"/>
    <w:rsid w:val="00714A58"/>
    <w:rsid w:val="00714B48"/>
    <w:rsid w:val="00714BBC"/>
    <w:rsid w:val="00714CA0"/>
    <w:rsid w:val="00714CDB"/>
    <w:rsid w:val="00714CE0"/>
    <w:rsid w:val="00714D2C"/>
    <w:rsid w:val="00714DCF"/>
    <w:rsid w:val="00714E1C"/>
    <w:rsid w:val="00714E8B"/>
    <w:rsid w:val="00714EA3"/>
    <w:rsid w:val="00714EDC"/>
    <w:rsid w:val="00714EED"/>
    <w:rsid w:val="00714EEF"/>
    <w:rsid w:val="00714FCC"/>
    <w:rsid w:val="00715090"/>
    <w:rsid w:val="00715104"/>
    <w:rsid w:val="00715170"/>
    <w:rsid w:val="00715181"/>
    <w:rsid w:val="007151A0"/>
    <w:rsid w:val="0071526A"/>
    <w:rsid w:val="0071527A"/>
    <w:rsid w:val="0071529B"/>
    <w:rsid w:val="00715380"/>
    <w:rsid w:val="0071544C"/>
    <w:rsid w:val="00715460"/>
    <w:rsid w:val="007154ED"/>
    <w:rsid w:val="0071551D"/>
    <w:rsid w:val="0071552C"/>
    <w:rsid w:val="00715548"/>
    <w:rsid w:val="00715623"/>
    <w:rsid w:val="007157E6"/>
    <w:rsid w:val="00715883"/>
    <w:rsid w:val="0071592E"/>
    <w:rsid w:val="00715B55"/>
    <w:rsid w:val="00715C17"/>
    <w:rsid w:val="00715C52"/>
    <w:rsid w:val="00715C6E"/>
    <w:rsid w:val="00715D01"/>
    <w:rsid w:val="00715D74"/>
    <w:rsid w:val="00715E5D"/>
    <w:rsid w:val="00715EB5"/>
    <w:rsid w:val="00715ED4"/>
    <w:rsid w:val="00715F03"/>
    <w:rsid w:val="00715F52"/>
    <w:rsid w:val="00716114"/>
    <w:rsid w:val="007161E4"/>
    <w:rsid w:val="00716208"/>
    <w:rsid w:val="00716236"/>
    <w:rsid w:val="00716290"/>
    <w:rsid w:val="007162DD"/>
    <w:rsid w:val="00716379"/>
    <w:rsid w:val="007163C1"/>
    <w:rsid w:val="007163C9"/>
    <w:rsid w:val="00716423"/>
    <w:rsid w:val="00716438"/>
    <w:rsid w:val="00716454"/>
    <w:rsid w:val="00716476"/>
    <w:rsid w:val="007164D9"/>
    <w:rsid w:val="00716529"/>
    <w:rsid w:val="0071657F"/>
    <w:rsid w:val="0071661A"/>
    <w:rsid w:val="00716649"/>
    <w:rsid w:val="00716684"/>
    <w:rsid w:val="007166EF"/>
    <w:rsid w:val="00716710"/>
    <w:rsid w:val="00716767"/>
    <w:rsid w:val="0071676A"/>
    <w:rsid w:val="00716778"/>
    <w:rsid w:val="00716839"/>
    <w:rsid w:val="007168FD"/>
    <w:rsid w:val="007169BC"/>
    <w:rsid w:val="007169F2"/>
    <w:rsid w:val="00716A0F"/>
    <w:rsid w:val="00716A97"/>
    <w:rsid w:val="00716AAE"/>
    <w:rsid w:val="00716AFE"/>
    <w:rsid w:val="00716B1E"/>
    <w:rsid w:val="00716B3A"/>
    <w:rsid w:val="00716B67"/>
    <w:rsid w:val="00716BC4"/>
    <w:rsid w:val="00716C86"/>
    <w:rsid w:val="00716CAE"/>
    <w:rsid w:val="00716D99"/>
    <w:rsid w:val="00716DD7"/>
    <w:rsid w:val="00716ED2"/>
    <w:rsid w:val="00716F51"/>
    <w:rsid w:val="00716F97"/>
    <w:rsid w:val="0071704B"/>
    <w:rsid w:val="0071715B"/>
    <w:rsid w:val="00717245"/>
    <w:rsid w:val="00717263"/>
    <w:rsid w:val="007172C6"/>
    <w:rsid w:val="007172D3"/>
    <w:rsid w:val="007172D9"/>
    <w:rsid w:val="0071730E"/>
    <w:rsid w:val="00717402"/>
    <w:rsid w:val="0071751A"/>
    <w:rsid w:val="00717581"/>
    <w:rsid w:val="00717601"/>
    <w:rsid w:val="0071761E"/>
    <w:rsid w:val="007177BD"/>
    <w:rsid w:val="007178AC"/>
    <w:rsid w:val="0071793C"/>
    <w:rsid w:val="00717961"/>
    <w:rsid w:val="0071797F"/>
    <w:rsid w:val="00717B22"/>
    <w:rsid w:val="00717BF4"/>
    <w:rsid w:val="00717C6D"/>
    <w:rsid w:val="00717C92"/>
    <w:rsid w:val="00717CAF"/>
    <w:rsid w:val="00717D04"/>
    <w:rsid w:val="00717D3C"/>
    <w:rsid w:val="00717D5A"/>
    <w:rsid w:val="00717D9A"/>
    <w:rsid w:val="00717DA5"/>
    <w:rsid w:val="00717EA7"/>
    <w:rsid w:val="00717F25"/>
    <w:rsid w:val="00717FE2"/>
    <w:rsid w:val="007185AE"/>
    <w:rsid w:val="00720087"/>
    <w:rsid w:val="00720097"/>
    <w:rsid w:val="007200C5"/>
    <w:rsid w:val="007200D0"/>
    <w:rsid w:val="007200EC"/>
    <w:rsid w:val="00720117"/>
    <w:rsid w:val="0072013B"/>
    <w:rsid w:val="007202BD"/>
    <w:rsid w:val="007202CA"/>
    <w:rsid w:val="00720343"/>
    <w:rsid w:val="007203A8"/>
    <w:rsid w:val="007203AE"/>
    <w:rsid w:val="007203F7"/>
    <w:rsid w:val="00720401"/>
    <w:rsid w:val="0072048D"/>
    <w:rsid w:val="0072052F"/>
    <w:rsid w:val="0072053D"/>
    <w:rsid w:val="0072057A"/>
    <w:rsid w:val="007205E3"/>
    <w:rsid w:val="0072063B"/>
    <w:rsid w:val="00720672"/>
    <w:rsid w:val="00720734"/>
    <w:rsid w:val="0072091E"/>
    <w:rsid w:val="0072096A"/>
    <w:rsid w:val="0072097D"/>
    <w:rsid w:val="0072097E"/>
    <w:rsid w:val="00720983"/>
    <w:rsid w:val="00720A85"/>
    <w:rsid w:val="00720CCB"/>
    <w:rsid w:val="00720D00"/>
    <w:rsid w:val="00720D41"/>
    <w:rsid w:val="00720DAC"/>
    <w:rsid w:val="00720EF4"/>
    <w:rsid w:val="00720F1B"/>
    <w:rsid w:val="00720F2D"/>
    <w:rsid w:val="00720F87"/>
    <w:rsid w:val="00721106"/>
    <w:rsid w:val="0072114D"/>
    <w:rsid w:val="007211BF"/>
    <w:rsid w:val="00721234"/>
    <w:rsid w:val="007212E3"/>
    <w:rsid w:val="00721421"/>
    <w:rsid w:val="00721443"/>
    <w:rsid w:val="0072145E"/>
    <w:rsid w:val="00721469"/>
    <w:rsid w:val="007214EC"/>
    <w:rsid w:val="007215D2"/>
    <w:rsid w:val="00721694"/>
    <w:rsid w:val="00721737"/>
    <w:rsid w:val="0072174F"/>
    <w:rsid w:val="007217D0"/>
    <w:rsid w:val="00721802"/>
    <w:rsid w:val="00721834"/>
    <w:rsid w:val="00721951"/>
    <w:rsid w:val="0072195A"/>
    <w:rsid w:val="00721A14"/>
    <w:rsid w:val="00721A23"/>
    <w:rsid w:val="00721A3B"/>
    <w:rsid w:val="00721AED"/>
    <w:rsid w:val="00721C16"/>
    <w:rsid w:val="00721C3F"/>
    <w:rsid w:val="00721DB4"/>
    <w:rsid w:val="00721DDA"/>
    <w:rsid w:val="00721E05"/>
    <w:rsid w:val="00721E54"/>
    <w:rsid w:val="00721F45"/>
    <w:rsid w:val="00721F55"/>
    <w:rsid w:val="0072204D"/>
    <w:rsid w:val="007220EC"/>
    <w:rsid w:val="007220F8"/>
    <w:rsid w:val="00722131"/>
    <w:rsid w:val="007221D7"/>
    <w:rsid w:val="0072223B"/>
    <w:rsid w:val="0072225A"/>
    <w:rsid w:val="007222AA"/>
    <w:rsid w:val="007222C7"/>
    <w:rsid w:val="007222D2"/>
    <w:rsid w:val="007222E9"/>
    <w:rsid w:val="00722384"/>
    <w:rsid w:val="00722426"/>
    <w:rsid w:val="00722461"/>
    <w:rsid w:val="0072246D"/>
    <w:rsid w:val="007224F2"/>
    <w:rsid w:val="00722514"/>
    <w:rsid w:val="00722569"/>
    <w:rsid w:val="007225CA"/>
    <w:rsid w:val="007225E9"/>
    <w:rsid w:val="007225EB"/>
    <w:rsid w:val="0072263C"/>
    <w:rsid w:val="0072265A"/>
    <w:rsid w:val="00722682"/>
    <w:rsid w:val="007226ED"/>
    <w:rsid w:val="00722783"/>
    <w:rsid w:val="007227BA"/>
    <w:rsid w:val="00722804"/>
    <w:rsid w:val="00722925"/>
    <w:rsid w:val="007229AC"/>
    <w:rsid w:val="007229DB"/>
    <w:rsid w:val="00722AC7"/>
    <w:rsid w:val="00722AD2"/>
    <w:rsid w:val="00722B97"/>
    <w:rsid w:val="00722C27"/>
    <w:rsid w:val="00722C30"/>
    <w:rsid w:val="00722C3E"/>
    <w:rsid w:val="00722C4E"/>
    <w:rsid w:val="00722C90"/>
    <w:rsid w:val="00722CD2"/>
    <w:rsid w:val="00722D49"/>
    <w:rsid w:val="00722D91"/>
    <w:rsid w:val="00722DEC"/>
    <w:rsid w:val="00722E55"/>
    <w:rsid w:val="007230A2"/>
    <w:rsid w:val="007230A3"/>
    <w:rsid w:val="007231B3"/>
    <w:rsid w:val="007231BF"/>
    <w:rsid w:val="007231CE"/>
    <w:rsid w:val="007231D2"/>
    <w:rsid w:val="007231E4"/>
    <w:rsid w:val="00723210"/>
    <w:rsid w:val="00723326"/>
    <w:rsid w:val="0072334F"/>
    <w:rsid w:val="00723372"/>
    <w:rsid w:val="007233DB"/>
    <w:rsid w:val="00723477"/>
    <w:rsid w:val="007234DD"/>
    <w:rsid w:val="0072350A"/>
    <w:rsid w:val="0072352B"/>
    <w:rsid w:val="00723556"/>
    <w:rsid w:val="00723570"/>
    <w:rsid w:val="007235AF"/>
    <w:rsid w:val="007235B2"/>
    <w:rsid w:val="00723618"/>
    <w:rsid w:val="0072363B"/>
    <w:rsid w:val="0072382A"/>
    <w:rsid w:val="0072388E"/>
    <w:rsid w:val="00723975"/>
    <w:rsid w:val="007239E6"/>
    <w:rsid w:val="00723A08"/>
    <w:rsid w:val="00723A1C"/>
    <w:rsid w:val="00723A5A"/>
    <w:rsid w:val="00723ABD"/>
    <w:rsid w:val="00723BA4"/>
    <w:rsid w:val="00723BCB"/>
    <w:rsid w:val="00723CB7"/>
    <w:rsid w:val="00723D04"/>
    <w:rsid w:val="00723D36"/>
    <w:rsid w:val="00723E24"/>
    <w:rsid w:val="00723E6A"/>
    <w:rsid w:val="00723EC0"/>
    <w:rsid w:val="00723F35"/>
    <w:rsid w:val="00723F88"/>
    <w:rsid w:val="00724086"/>
    <w:rsid w:val="007240C0"/>
    <w:rsid w:val="00724135"/>
    <w:rsid w:val="00724148"/>
    <w:rsid w:val="00724205"/>
    <w:rsid w:val="007242B6"/>
    <w:rsid w:val="007242BA"/>
    <w:rsid w:val="007242E9"/>
    <w:rsid w:val="00724310"/>
    <w:rsid w:val="0072433A"/>
    <w:rsid w:val="007243DF"/>
    <w:rsid w:val="0072442B"/>
    <w:rsid w:val="0072442C"/>
    <w:rsid w:val="0072446A"/>
    <w:rsid w:val="00724473"/>
    <w:rsid w:val="00724478"/>
    <w:rsid w:val="0072462B"/>
    <w:rsid w:val="00724648"/>
    <w:rsid w:val="00724821"/>
    <w:rsid w:val="007248BC"/>
    <w:rsid w:val="007248CD"/>
    <w:rsid w:val="00724978"/>
    <w:rsid w:val="007249BD"/>
    <w:rsid w:val="00724A7F"/>
    <w:rsid w:val="00724ADF"/>
    <w:rsid w:val="00724B31"/>
    <w:rsid w:val="00724C4D"/>
    <w:rsid w:val="00724C76"/>
    <w:rsid w:val="00724E2C"/>
    <w:rsid w:val="00724E94"/>
    <w:rsid w:val="00724FE3"/>
    <w:rsid w:val="00725029"/>
    <w:rsid w:val="00725053"/>
    <w:rsid w:val="00725070"/>
    <w:rsid w:val="007250B1"/>
    <w:rsid w:val="007250BF"/>
    <w:rsid w:val="0072513F"/>
    <w:rsid w:val="0072514A"/>
    <w:rsid w:val="007251E7"/>
    <w:rsid w:val="007251F1"/>
    <w:rsid w:val="007251F8"/>
    <w:rsid w:val="00725285"/>
    <w:rsid w:val="00725295"/>
    <w:rsid w:val="007253B4"/>
    <w:rsid w:val="007253DE"/>
    <w:rsid w:val="0072544E"/>
    <w:rsid w:val="007254DE"/>
    <w:rsid w:val="007254F9"/>
    <w:rsid w:val="007255A1"/>
    <w:rsid w:val="007255F9"/>
    <w:rsid w:val="00725658"/>
    <w:rsid w:val="00725701"/>
    <w:rsid w:val="00725999"/>
    <w:rsid w:val="007259C9"/>
    <w:rsid w:val="007259EC"/>
    <w:rsid w:val="00725AB0"/>
    <w:rsid w:val="00725B2C"/>
    <w:rsid w:val="00725C26"/>
    <w:rsid w:val="00725C45"/>
    <w:rsid w:val="00725D89"/>
    <w:rsid w:val="00725E51"/>
    <w:rsid w:val="00725E96"/>
    <w:rsid w:val="00725E9E"/>
    <w:rsid w:val="00725F20"/>
    <w:rsid w:val="00725F97"/>
    <w:rsid w:val="00725FA8"/>
    <w:rsid w:val="00726205"/>
    <w:rsid w:val="00726220"/>
    <w:rsid w:val="0072626A"/>
    <w:rsid w:val="00726294"/>
    <w:rsid w:val="0072630F"/>
    <w:rsid w:val="00726367"/>
    <w:rsid w:val="00726447"/>
    <w:rsid w:val="0072651F"/>
    <w:rsid w:val="00726536"/>
    <w:rsid w:val="00726540"/>
    <w:rsid w:val="007265E3"/>
    <w:rsid w:val="0072661B"/>
    <w:rsid w:val="00726665"/>
    <w:rsid w:val="00726797"/>
    <w:rsid w:val="0072680D"/>
    <w:rsid w:val="007268B6"/>
    <w:rsid w:val="007268D6"/>
    <w:rsid w:val="007268DF"/>
    <w:rsid w:val="00726921"/>
    <w:rsid w:val="007269A9"/>
    <w:rsid w:val="007269FD"/>
    <w:rsid w:val="00726A20"/>
    <w:rsid w:val="00726A2F"/>
    <w:rsid w:val="00726C16"/>
    <w:rsid w:val="00726C52"/>
    <w:rsid w:val="00726C9B"/>
    <w:rsid w:val="00726E20"/>
    <w:rsid w:val="00726E3F"/>
    <w:rsid w:val="00726E58"/>
    <w:rsid w:val="00727046"/>
    <w:rsid w:val="00727224"/>
    <w:rsid w:val="00727257"/>
    <w:rsid w:val="00727295"/>
    <w:rsid w:val="007272F5"/>
    <w:rsid w:val="00727302"/>
    <w:rsid w:val="0072737D"/>
    <w:rsid w:val="007273A0"/>
    <w:rsid w:val="00727540"/>
    <w:rsid w:val="007275A8"/>
    <w:rsid w:val="007275BF"/>
    <w:rsid w:val="007275C1"/>
    <w:rsid w:val="0072763B"/>
    <w:rsid w:val="00727787"/>
    <w:rsid w:val="007277C8"/>
    <w:rsid w:val="0072786E"/>
    <w:rsid w:val="007278CC"/>
    <w:rsid w:val="007279C4"/>
    <w:rsid w:val="00727A99"/>
    <w:rsid w:val="00727B3F"/>
    <w:rsid w:val="00727C02"/>
    <w:rsid w:val="00727CC4"/>
    <w:rsid w:val="00727DB4"/>
    <w:rsid w:val="00727E21"/>
    <w:rsid w:val="00727F17"/>
    <w:rsid w:val="0073001F"/>
    <w:rsid w:val="00730057"/>
    <w:rsid w:val="0073019F"/>
    <w:rsid w:val="007301A4"/>
    <w:rsid w:val="007302FB"/>
    <w:rsid w:val="0073030A"/>
    <w:rsid w:val="0073039F"/>
    <w:rsid w:val="00730406"/>
    <w:rsid w:val="00730440"/>
    <w:rsid w:val="0073052F"/>
    <w:rsid w:val="007305E5"/>
    <w:rsid w:val="007305F6"/>
    <w:rsid w:val="0073067B"/>
    <w:rsid w:val="007306A3"/>
    <w:rsid w:val="007306CC"/>
    <w:rsid w:val="0073071C"/>
    <w:rsid w:val="0073075D"/>
    <w:rsid w:val="0073078F"/>
    <w:rsid w:val="00730812"/>
    <w:rsid w:val="00730850"/>
    <w:rsid w:val="007308C7"/>
    <w:rsid w:val="00730903"/>
    <w:rsid w:val="00730912"/>
    <w:rsid w:val="00730935"/>
    <w:rsid w:val="00730943"/>
    <w:rsid w:val="0073096D"/>
    <w:rsid w:val="00730991"/>
    <w:rsid w:val="007309F0"/>
    <w:rsid w:val="00730A92"/>
    <w:rsid w:val="00730BD8"/>
    <w:rsid w:val="00730DB8"/>
    <w:rsid w:val="00730DD2"/>
    <w:rsid w:val="00730E92"/>
    <w:rsid w:val="00730EC6"/>
    <w:rsid w:val="00730ECB"/>
    <w:rsid w:val="00730ED3"/>
    <w:rsid w:val="00730F91"/>
    <w:rsid w:val="00730F96"/>
    <w:rsid w:val="00730FD7"/>
    <w:rsid w:val="007310FA"/>
    <w:rsid w:val="00731203"/>
    <w:rsid w:val="00731222"/>
    <w:rsid w:val="0073127D"/>
    <w:rsid w:val="00731344"/>
    <w:rsid w:val="0073139D"/>
    <w:rsid w:val="007314BC"/>
    <w:rsid w:val="007314CB"/>
    <w:rsid w:val="007314CE"/>
    <w:rsid w:val="007314D8"/>
    <w:rsid w:val="00731505"/>
    <w:rsid w:val="00731513"/>
    <w:rsid w:val="007315D5"/>
    <w:rsid w:val="00731693"/>
    <w:rsid w:val="00731711"/>
    <w:rsid w:val="00731883"/>
    <w:rsid w:val="00731968"/>
    <w:rsid w:val="00731969"/>
    <w:rsid w:val="00731994"/>
    <w:rsid w:val="007319C2"/>
    <w:rsid w:val="00731A9D"/>
    <w:rsid w:val="00731B9E"/>
    <w:rsid w:val="00731BEA"/>
    <w:rsid w:val="00731C7A"/>
    <w:rsid w:val="00731D9C"/>
    <w:rsid w:val="00731D9F"/>
    <w:rsid w:val="00731DF0"/>
    <w:rsid w:val="00731E20"/>
    <w:rsid w:val="00731E4E"/>
    <w:rsid w:val="00731E5A"/>
    <w:rsid w:val="00731E6D"/>
    <w:rsid w:val="00731EC5"/>
    <w:rsid w:val="00731F2C"/>
    <w:rsid w:val="00731FD0"/>
    <w:rsid w:val="00731FF5"/>
    <w:rsid w:val="00732144"/>
    <w:rsid w:val="00732158"/>
    <w:rsid w:val="00732178"/>
    <w:rsid w:val="007321D6"/>
    <w:rsid w:val="00732330"/>
    <w:rsid w:val="0073236C"/>
    <w:rsid w:val="0073240C"/>
    <w:rsid w:val="00732414"/>
    <w:rsid w:val="00732438"/>
    <w:rsid w:val="00732505"/>
    <w:rsid w:val="0073250B"/>
    <w:rsid w:val="00732515"/>
    <w:rsid w:val="007325C1"/>
    <w:rsid w:val="00732632"/>
    <w:rsid w:val="00732643"/>
    <w:rsid w:val="007326D0"/>
    <w:rsid w:val="007326D6"/>
    <w:rsid w:val="0073274B"/>
    <w:rsid w:val="007327C4"/>
    <w:rsid w:val="00732874"/>
    <w:rsid w:val="007328A3"/>
    <w:rsid w:val="007328D1"/>
    <w:rsid w:val="0073292B"/>
    <w:rsid w:val="00732977"/>
    <w:rsid w:val="00732994"/>
    <w:rsid w:val="0073299B"/>
    <w:rsid w:val="007329D7"/>
    <w:rsid w:val="00732A04"/>
    <w:rsid w:val="00732A61"/>
    <w:rsid w:val="00732A8B"/>
    <w:rsid w:val="00732B47"/>
    <w:rsid w:val="00732BFB"/>
    <w:rsid w:val="00732CC0"/>
    <w:rsid w:val="00732D4C"/>
    <w:rsid w:val="00732DA8"/>
    <w:rsid w:val="00732F26"/>
    <w:rsid w:val="00732F91"/>
    <w:rsid w:val="00732FBA"/>
    <w:rsid w:val="00733108"/>
    <w:rsid w:val="00733148"/>
    <w:rsid w:val="00733177"/>
    <w:rsid w:val="007331D3"/>
    <w:rsid w:val="00733203"/>
    <w:rsid w:val="0073324C"/>
    <w:rsid w:val="007332E7"/>
    <w:rsid w:val="007333C9"/>
    <w:rsid w:val="007334EC"/>
    <w:rsid w:val="0073359F"/>
    <w:rsid w:val="007335B1"/>
    <w:rsid w:val="007336C3"/>
    <w:rsid w:val="00733713"/>
    <w:rsid w:val="00733738"/>
    <w:rsid w:val="007337A9"/>
    <w:rsid w:val="00733821"/>
    <w:rsid w:val="00733844"/>
    <w:rsid w:val="00733889"/>
    <w:rsid w:val="007338D1"/>
    <w:rsid w:val="007338D3"/>
    <w:rsid w:val="007338E9"/>
    <w:rsid w:val="00733975"/>
    <w:rsid w:val="00733A90"/>
    <w:rsid w:val="00733B40"/>
    <w:rsid w:val="00733BDF"/>
    <w:rsid w:val="00733D53"/>
    <w:rsid w:val="00733E07"/>
    <w:rsid w:val="00733E2B"/>
    <w:rsid w:val="00733EEF"/>
    <w:rsid w:val="00733F19"/>
    <w:rsid w:val="00733FB3"/>
    <w:rsid w:val="0073406A"/>
    <w:rsid w:val="007340D6"/>
    <w:rsid w:val="00734105"/>
    <w:rsid w:val="00734123"/>
    <w:rsid w:val="00734125"/>
    <w:rsid w:val="0073423F"/>
    <w:rsid w:val="007342D3"/>
    <w:rsid w:val="007342E4"/>
    <w:rsid w:val="00734315"/>
    <w:rsid w:val="00734319"/>
    <w:rsid w:val="00734356"/>
    <w:rsid w:val="00734367"/>
    <w:rsid w:val="00734447"/>
    <w:rsid w:val="007344B6"/>
    <w:rsid w:val="007344C9"/>
    <w:rsid w:val="0073452D"/>
    <w:rsid w:val="007345FF"/>
    <w:rsid w:val="00734624"/>
    <w:rsid w:val="0073462C"/>
    <w:rsid w:val="0073463E"/>
    <w:rsid w:val="00734786"/>
    <w:rsid w:val="00734799"/>
    <w:rsid w:val="0073487F"/>
    <w:rsid w:val="00734882"/>
    <w:rsid w:val="00734898"/>
    <w:rsid w:val="00734AD4"/>
    <w:rsid w:val="00734B2F"/>
    <w:rsid w:val="00734B71"/>
    <w:rsid w:val="00734BB8"/>
    <w:rsid w:val="00734BE2"/>
    <w:rsid w:val="00734E78"/>
    <w:rsid w:val="00734ECC"/>
    <w:rsid w:val="00734FBF"/>
    <w:rsid w:val="00735041"/>
    <w:rsid w:val="007350C4"/>
    <w:rsid w:val="00735283"/>
    <w:rsid w:val="007352DA"/>
    <w:rsid w:val="00735345"/>
    <w:rsid w:val="0073538B"/>
    <w:rsid w:val="007353A6"/>
    <w:rsid w:val="007353B4"/>
    <w:rsid w:val="007353B6"/>
    <w:rsid w:val="00735438"/>
    <w:rsid w:val="00735511"/>
    <w:rsid w:val="0073551B"/>
    <w:rsid w:val="00735536"/>
    <w:rsid w:val="00735549"/>
    <w:rsid w:val="0073557E"/>
    <w:rsid w:val="00735608"/>
    <w:rsid w:val="007356D4"/>
    <w:rsid w:val="00735747"/>
    <w:rsid w:val="00735794"/>
    <w:rsid w:val="007357BC"/>
    <w:rsid w:val="007357EC"/>
    <w:rsid w:val="00735821"/>
    <w:rsid w:val="0073584C"/>
    <w:rsid w:val="00735971"/>
    <w:rsid w:val="007359AA"/>
    <w:rsid w:val="007359CE"/>
    <w:rsid w:val="00735A45"/>
    <w:rsid w:val="00735AA4"/>
    <w:rsid w:val="00735B17"/>
    <w:rsid w:val="00735B83"/>
    <w:rsid w:val="00735C78"/>
    <w:rsid w:val="00735CEA"/>
    <w:rsid w:val="00735D3A"/>
    <w:rsid w:val="00735D47"/>
    <w:rsid w:val="00735DA8"/>
    <w:rsid w:val="00735DDC"/>
    <w:rsid w:val="00735DE8"/>
    <w:rsid w:val="00735EBF"/>
    <w:rsid w:val="00735FB9"/>
    <w:rsid w:val="0073606F"/>
    <w:rsid w:val="0073612B"/>
    <w:rsid w:val="007361CC"/>
    <w:rsid w:val="007361D8"/>
    <w:rsid w:val="0073620C"/>
    <w:rsid w:val="00736214"/>
    <w:rsid w:val="0073626E"/>
    <w:rsid w:val="00736277"/>
    <w:rsid w:val="007362E2"/>
    <w:rsid w:val="00736368"/>
    <w:rsid w:val="0073636F"/>
    <w:rsid w:val="00736395"/>
    <w:rsid w:val="00736550"/>
    <w:rsid w:val="00736553"/>
    <w:rsid w:val="00736563"/>
    <w:rsid w:val="00736648"/>
    <w:rsid w:val="0073667A"/>
    <w:rsid w:val="00736782"/>
    <w:rsid w:val="007367AE"/>
    <w:rsid w:val="00736896"/>
    <w:rsid w:val="00736967"/>
    <w:rsid w:val="00736989"/>
    <w:rsid w:val="007369AC"/>
    <w:rsid w:val="007369CE"/>
    <w:rsid w:val="00736A8C"/>
    <w:rsid w:val="00736A9F"/>
    <w:rsid w:val="00736ADA"/>
    <w:rsid w:val="00736AEB"/>
    <w:rsid w:val="00736B34"/>
    <w:rsid w:val="00736B9B"/>
    <w:rsid w:val="00736C13"/>
    <w:rsid w:val="00736C53"/>
    <w:rsid w:val="00736E50"/>
    <w:rsid w:val="00736F23"/>
    <w:rsid w:val="00736F4A"/>
    <w:rsid w:val="00736F79"/>
    <w:rsid w:val="00736FB0"/>
    <w:rsid w:val="00736FC5"/>
    <w:rsid w:val="0073701C"/>
    <w:rsid w:val="0073705C"/>
    <w:rsid w:val="00737191"/>
    <w:rsid w:val="007371F5"/>
    <w:rsid w:val="0073724A"/>
    <w:rsid w:val="00737276"/>
    <w:rsid w:val="007372FF"/>
    <w:rsid w:val="00737356"/>
    <w:rsid w:val="007374D1"/>
    <w:rsid w:val="007375B6"/>
    <w:rsid w:val="007375D4"/>
    <w:rsid w:val="0073762E"/>
    <w:rsid w:val="0073771D"/>
    <w:rsid w:val="0073777D"/>
    <w:rsid w:val="0073779E"/>
    <w:rsid w:val="0073780D"/>
    <w:rsid w:val="007378D2"/>
    <w:rsid w:val="0073792A"/>
    <w:rsid w:val="00737940"/>
    <w:rsid w:val="007379A8"/>
    <w:rsid w:val="00737BB9"/>
    <w:rsid w:val="00737C8A"/>
    <w:rsid w:val="00737C8E"/>
    <w:rsid w:val="00737CDB"/>
    <w:rsid w:val="00737CFE"/>
    <w:rsid w:val="00737D7A"/>
    <w:rsid w:val="00737D86"/>
    <w:rsid w:val="00737E3C"/>
    <w:rsid w:val="00737E4C"/>
    <w:rsid w:val="00737F45"/>
    <w:rsid w:val="00740006"/>
    <w:rsid w:val="00740030"/>
    <w:rsid w:val="00740080"/>
    <w:rsid w:val="00740120"/>
    <w:rsid w:val="0074017B"/>
    <w:rsid w:val="007401B8"/>
    <w:rsid w:val="007401DB"/>
    <w:rsid w:val="0074020F"/>
    <w:rsid w:val="00740282"/>
    <w:rsid w:val="00740296"/>
    <w:rsid w:val="007402B3"/>
    <w:rsid w:val="007402E4"/>
    <w:rsid w:val="0074030C"/>
    <w:rsid w:val="007403AE"/>
    <w:rsid w:val="007403DD"/>
    <w:rsid w:val="0074041D"/>
    <w:rsid w:val="0074046A"/>
    <w:rsid w:val="00740481"/>
    <w:rsid w:val="00740681"/>
    <w:rsid w:val="00740836"/>
    <w:rsid w:val="0074089B"/>
    <w:rsid w:val="007408D3"/>
    <w:rsid w:val="007408E6"/>
    <w:rsid w:val="00740907"/>
    <w:rsid w:val="00740981"/>
    <w:rsid w:val="00740986"/>
    <w:rsid w:val="00740A4E"/>
    <w:rsid w:val="00740A7A"/>
    <w:rsid w:val="00740AAC"/>
    <w:rsid w:val="00740AB5"/>
    <w:rsid w:val="00740ACC"/>
    <w:rsid w:val="00740B31"/>
    <w:rsid w:val="00740C66"/>
    <w:rsid w:val="00740CA5"/>
    <w:rsid w:val="00740CFD"/>
    <w:rsid w:val="00740D68"/>
    <w:rsid w:val="00740D6F"/>
    <w:rsid w:val="00740DD7"/>
    <w:rsid w:val="00740EBF"/>
    <w:rsid w:val="00740F3B"/>
    <w:rsid w:val="00740FA6"/>
    <w:rsid w:val="00740FB3"/>
    <w:rsid w:val="00740FE6"/>
    <w:rsid w:val="007410D0"/>
    <w:rsid w:val="007410EF"/>
    <w:rsid w:val="0074117B"/>
    <w:rsid w:val="00741204"/>
    <w:rsid w:val="0074121F"/>
    <w:rsid w:val="00741300"/>
    <w:rsid w:val="00741308"/>
    <w:rsid w:val="00741394"/>
    <w:rsid w:val="0074144A"/>
    <w:rsid w:val="007414BD"/>
    <w:rsid w:val="007415C3"/>
    <w:rsid w:val="007415D6"/>
    <w:rsid w:val="00741654"/>
    <w:rsid w:val="0074167F"/>
    <w:rsid w:val="007416E2"/>
    <w:rsid w:val="00741743"/>
    <w:rsid w:val="00741779"/>
    <w:rsid w:val="00741792"/>
    <w:rsid w:val="007417C1"/>
    <w:rsid w:val="00741865"/>
    <w:rsid w:val="00741879"/>
    <w:rsid w:val="007419A3"/>
    <w:rsid w:val="007419D6"/>
    <w:rsid w:val="00741A01"/>
    <w:rsid w:val="00741A6D"/>
    <w:rsid w:val="00741AFE"/>
    <w:rsid w:val="00741B25"/>
    <w:rsid w:val="00741BC6"/>
    <w:rsid w:val="00741BFA"/>
    <w:rsid w:val="00741C39"/>
    <w:rsid w:val="00741C44"/>
    <w:rsid w:val="00741C73"/>
    <w:rsid w:val="00741CE9"/>
    <w:rsid w:val="00741D5C"/>
    <w:rsid w:val="00741DAB"/>
    <w:rsid w:val="00741DFA"/>
    <w:rsid w:val="00741E90"/>
    <w:rsid w:val="00741F6F"/>
    <w:rsid w:val="00741FB7"/>
    <w:rsid w:val="007421A7"/>
    <w:rsid w:val="007421C8"/>
    <w:rsid w:val="007422D8"/>
    <w:rsid w:val="007422EB"/>
    <w:rsid w:val="007422F2"/>
    <w:rsid w:val="00742332"/>
    <w:rsid w:val="00742377"/>
    <w:rsid w:val="007424B5"/>
    <w:rsid w:val="00742586"/>
    <w:rsid w:val="007425A5"/>
    <w:rsid w:val="007425C8"/>
    <w:rsid w:val="0074265C"/>
    <w:rsid w:val="0074269A"/>
    <w:rsid w:val="0074276F"/>
    <w:rsid w:val="0074287B"/>
    <w:rsid w:val="00742956"/>
    <w:rsid w:val="007429F0"/>
    <w:rsid w:val="00742ABB"/>
    <w:rsid w:val="00742ABC"/>
    <w:rsid w:val="00742ACF"/>
    <w:rsid w:val="00742ADA"/>
    <w:rsid w:val="00742B30"/>
    <w:rsid w:val="00742B61"/>
    <w:rsid w:val="00742BEB"/>
    <w:rsid w:val="00742BEC"/>
    <w:rsid w:val="00742BED"/>
    <w:rsid w:val="00742CEE"/>
    <w:rsid w:val="00742D0A"/>
    <w:rsid w:val="00742D24"/>
    <w:rsid w:val="00742D93"/>
    <w:rsid w:val="00742E01"/>
    <w:rsid w:val="00742E1D"/>
    <w:rsid w:val="00742E1F"/>
    <w:rsid w:val="00742E29"/>
    <w:rsid w:val="00742EB8"/>
    <w:rsid w:val="00742F07"/>
    <w:rsid w:val="00742FCE"/>
    <w:rsid w:val="007430D0"/>
    <w:rsid w:val="00743109"/>
    <w:rsid w:val="007431AA"/>
    <w:rsid w:val="007431F4"/>
    <w:rsid w:val="00743230"/>
    <w:rsid w:val="007432BF"/>
    <w:rsid w:val="00743508"/>
    <w:rsid w:val="0074356F"/>
    <w:rsid w:val="00743647"/>
    <w:rsid w:val="00743664"/>
    <w:rsid w:val="00743669"/>
    <w:rsid w:val="007436A8"/>
    <w:rsid w:val="007436E0"/>
    <w:rsid w:val="00743749"/>
    <w:rsid w:val="007437B6"/>
    <w:rsid w:val="007437C5"/>
    <w:rsid w:val="00743838"/>
    <w:rsid w:val="0074384C"/>
    <w:rsid w:val="007438BD"/>
    <w:rsid w:val="007438C7"/>
    <w:rsid w:val="0074391D"/>
    <w:rsid w:val="0074395C"/>
    <w:rsid w:val="00743A4D"/>
    <w:rsid w:val="00743B09"/>
    <w:rsid w:val="00743B3A"/>
    <w:rsid w:val="00743C93"/>
    <w:rsid w:val="00743D61"/>
    <w:rsid w:val="00743D8F"/>
    <w:rsid w:val="00743DF2"/>
    <w:rsid w:val="00743DF8"/>
    <w:rsid w:val="007440DF"/>
    <w:rsid w:val="007441A7"/>
    <w:rsid w:val="007441DB"/>
    <w:rsid w:val="00744375"/>
    <w:rsid w:val="007443A3"/>
    <w:rsid w:val="0074443E"/>
    <w:rsid w:val="00744480"/>
    <w:rsid w:val="007444BA"/>
    <w:rsid w:val="00744569"/>
    <w:rsid w:val="00744762"/>
    <w:rsid w:val="00744776"/>
    <w:rsid w:val="00744869"/>
    <w:rsid w:val="00744894"/>
    <w:rsid w:val="007448E2"/>
    <w:rsid w:val="0074494E"/>
    <w:rsid w:val="007449C2"/>
    <w:rsid w:val="00744A02"/>
    <w:rsid w:val="00744ABA"/>
    <w:rsid w:val="00744AFF"/>
    <w:rsid w:val="00744B9A"/>
    <w:rsid w:val="00744BE3"/>
    <w:rsid w:val="00744C5B"/>
    <w:rsid w:val="00744C6A"/>
    <w:rsid w:val="00744D9B"/>
    <w:rsid w:val="00744E95"/>
    <w:rsid w:val="00744F54"/>
    <w:rsid w:val="00745009"/>
    <w:rsid w:val="0074503B"/>
    <w:rsid w:val="007450CB"/>
    <w:rsid w:val="007450FD"/>
    <w:rsid w:val="00745216"/>
    <w:rsid w:val="00745255"/>
    <w:rsid w:val="0074527D"/>
    <w:rsid w:val="00745367"/>
    <w:rsid w:val="00745380"/>
    <w:rsid w:val="00745390"/>
    <w:rsid w:val="0074542D"/>
    <w:rsid w:val="007454DC"/>
    <w:rsid w:val="00745506"/>
    <w:rsid w:val="00745593"/>
    <w:rsid w:val="00745609"/>
    <w:rsid w:val="0074561B"/>
    <w:rsid w:val="0074563B"/>
    <w:rsid w:val="007456B3"/>
    <w:rsid w:val="00745739"/>
    <w:rsid w:val="00745769"/>
    <w:rsid w:val="00745777"/>
    <w:rsid w:val="0074582E"/>
    <w:rsid w:val="00745870"/>
    <w:rsid w:val="00745950"/>
    <w:rsid w:val="00745A68"/>
    <w:rsid w:val="00745AB4"/>
    <w:rsid w:val="00745B07"/>
    <w:rsid w:val="00745B15"/>
    <w:rsid w:val="00745BEC"/>
    <w:rsid w:val="00745CB2"/>
    <w:rsid w:val="00745D36"/>
    <w:rsid w:val="00745D69"/>
    <w:rsid w:val="00745DB1"/>
    <w:rsid w:val="00745DB5"/>
    <w:rsid w:val="00745DCC"/>
    <w:rsid w:val="00745DD3"/>
    <w:rsid w:val="00745DEB"/>
    <w:rsid w:val="00745E28"/>
    <w:rsid w:val="00745E2C"/>
    <w:rsid w:val="00745E4D"/>
    <w:rsid w:val="00745E7C"/>
    <w:rsid w:val="00745F28"/>
    <w:rsid w:val="00745FD3"/>
    <w:rsid w:val="00746025"/>
    <w:rsid w:val="00746070"/>
    <w:rsid w:val="007461EC"/>
    <w:rsid w:val="00746206"/>
    <w:rsid w:val="0074625B"/>
    <w:rsid w:val="007462C1"/>
    <w:rsid w:val="00746469"/>
    <w:rsid w:val="007464A7"/>
    <w:rsid w:val="007464AC"/>
    <w:rsid w:val="0074650F"/>
    <w:rsid w:val="007465A6"/>
    <w:rsid w:val="00746638"/>
    <w:rsid w:val="00746705"/>
    <w:rsid w:val="0074672D"/>
    <w:rsid w:val="007467C2"/>
    <w:rsid w:val="0074684D"/>
    <w:rsid w:val="00746960"/>
    <w:rsid w:val="007469AF"/>
    <w:rsid w:val="00746A18"/>
    <w:rsid w:val="00746A5C"/>
    <w:rsid w:val="00746ADF"/>
    <w:rsid w:val="00746B22"/>
    <w:rsid w:val="00746B2E"/>
    <w:rsid w:val="00746B88"/>
    <w:rsid w:val="00746BB7"/>
    <w:rsid w:val="00746BD6"/>
    <w:rsid w:val="00746D34"/>
    <w:rsid w:val="00746D88"/>
    <w:rsid w:val="00746DB6"/>
    <w:rsid w:val="00746DBA"/>
    <w:rsid w:val="00746E02"/>
    <w:rsid w:val="00746E6E"/>
    <w:rsid w:val="0074701E"/>
    <w:rsid w:val="0074701F"/>
    <w:rsid w:val="00747048"/>
    <w:rsid w:val="00747077"/>
    <w:rsid w:val="00747082"/>
    <w:rsid w:val="007470B4"/>
    <w:rsid w:val="007470C0"/>
    <w:rsid w:val="007470F5"/>
    <w:rsid w:val="00747103"/>
    <w:rsid w:val="00747104"/>
    <w:rsid w:val="00747107"/>
    <w:rsid w:val="00747279"/>
    <w:rsid w:val="0074727C"/>
    <w:rsid w:val="00747332"/>
    <w:rsid w:val="0074738F"/>
    <w:rsid w:val="00747392"/>
    <w:rsid w:val="00747393"/>
    <w:rsid w:val="007473C1"/>
    <w:rsid w:val="007473F6"/>
    <w:rsid w:val="007473FF"/>
    <w:rsid w:val="00747454"/>
    <w:rsid w:val="007474BE"/>
    <w:rsid w:val="007474C9"/>
    <w:rsid w:val="007474F1"/>
    <w:rsid w:val="0074753A"/>
    <w:rsid w:val="00747563"/>
    <w:rsid w:val="00747571"/>
    <w:rsid w:val="00747578"/>
    <w:rsid w:val="007475E8"/>
    <w:rsid w:val="0074760F"/>
    <w:rsid w:val="00747613"/>
    <w:rsid w:val="00747642"/>
    <w:rsid w:val="00747788"/>
    <w:rsid w:val="00747794"/>
    <w:rsid w:val="007477B1"/>
    <w:rsid w:val="0074783F"/>
    <w:rsid w:val="0074785C"/>
    <w:rsid w:val="00747863"/>
    <w:rsid w:val="0074797D"/>
    <w:rsid w:val="007479CE"/>
    <w:rsid w:val="007479DC"/>
    <w:rsid w:val="00747AEF"/>
    <w:rsid w:val="00747B21"/>
    <w:rsid w:val="00747B9C"/>
    <w:rsid w:val="00747C15"/>
    <w:rsid w:val="00747C8B"/>
    <w:rsid w:val="00747CB0"/>
    <w:rsid w:val="00747CB3"/>
    <w:rsid w:val="00747DBE"/>
    <w:rsid w:val="00747DC5"/>
    <w:rsid w:val="00747F51"/>
    <w:rsid w:val="00747F9E"/>
    <w:rsid w:val="00747FB6"/>
    <w:rsid w:val="00747FBD"/>
    <w:rsid w:val="00747FDA"/>
    <w:rsid w:val="00750015"/>
    <w:rsid w:val="0075001A"/>
    <w:rsid w:val="00750071"/>
    <w:rsid w:val="00750097"/>
    <w:rsid w:val="007500AE"/>
    <w:rsid w:val="0075018F"/>
    <w:rsid w:val="00750237"/>
    <w:rsid w:val="0075024E"/>
    <w:rsid w:val="0075029B"/>
    <w:rsid w:val="007502CB"/>
    <w:rsid w:val="00750357"/>
    <w:rsid w:val="00750380"/>
    <w:rsid w:val="00750463"/>
    <w:rsid w:val="007504BF"/>
    <w:rsid w:val="007504FE"/>
    <w:rsid w:val="00750527"/>
    <w:rsid w:val="0075055F"/>
    <w:rsid w:val="00750565"/>
    <w:rsid w:val="00750593"/>
    <w:rsid w:val="00750624"/>
    <w:rsid w:val="0075069E"/>
    <w:rsid w:val="00750747"/>
    <w:rsid w:val="00750833"/>
    <w:rsid w:val="007508A5"/>
    <w:rsid w:val="007508DB"/>
    <w:rsid w:val="007508E6"/>
    <w:rsid w:val="007508E8"/>
    <w:rsid w:val="00750A21"/>
    <w:rsid w:val="00750A35"/>
    <w:rsid w:val="00750A82"/>
    <w:rsid w:val="00750B77"/>
    <w:rsid w:val="00750B90"/>
    <w:rsid w:val="00750BEA"/>
    <w:rsid w:val="00750BEF"/>
    <w:rsid w:val="00750BF4"/>
    <w:rsid w:val="00750BF6"/>
    <w:rsid w:val="00750C9B"/>
    <w:rsid w:val="00750D24"/>
    <w:rsid w:val="00750D7E"/>
    <w:rsid w:val="00750DEA"/>
    <w:rsid w:val="00750EAD"/>
    <w:rsid w:val="00750F42"/>
    <w:rsid w:val="00750F70"/>
    <w:rsid w:val="00750F8D"/>
    <w:rsid w:val="00751067"/>
    <w:rsid w:val="00751169"/>
    <w:rsid w:val="0075117D"/>
    <w:rsid w:val="00751180"/>
    <w:rsid w:val="007511A5"/>
    <w:rsid w:val="0075120E"/>
    <w:rsid w:val="0075124A"/>
    <w:rsid w:val="007512A1"/>
    <w:rsid w:val="00751314"/>
    <w:rsid w:val="007513AA"/>
    <w:rsid w:val="00751428"/>
    <w:rsid w:val="00751457"/>
    <w:rsid w:val="007514BF"/>
    <w:rsid w:val="00751545"/>
    <w:rsid w:val="0075155E"/>
    <w:rsid w:val="007515E1"/>
    <w:rsid w:val="007515E6"/>
    <w:rsid w:val="00751662"/>
    <w:rsid w:val="0075166D"/>
    <w:rsid w:val="00751692"/>
    <w:rsid w:val="007516A0"/>
    <w:rsid w:val="007516D3"/>
    <w:rsid w:val="0075172E"/>
    <w:rsid w:val="007518C2"/>
    <w:rsid w:val="007518F3"/>
    <w:rsid w:val="00751941"/>
    <w:rsid w:val="007519DF"/>
    <w:rsid w:val="00751A2F"/>
    <w:rsid w:val="00751AAA"/>
    <w:rsid w:val="00751ACA"/>
    <w:rsid w:val="00751BDD"/>
    <w:rsid w:val="00751CEB"/>
    <w:rsid w:val="00751D58"/>
    <w:rsid w:val="00751D96"/>
    <w:rsid w:val="00751DA0"/>
    <w:rsid w:val="00751DAD"/>
    <w:rsid w:val="00751DF9"/>
    <w:rsid w:val="00751E63"/>
    <w:rsid w:val="00752040"/>
    <w:rsid w:val="007524F8"/>
    <w:rsid w:val="00752508"/>
    <w:rsid w:val="0075252F"/>
    <w:rsid w:val="007525CE"/>
    <w:rsid w:val="00752604"/>
    <w:rsid w:val="007526B6"/>
    <w:rsid w:val="00752702"/>
    <w:rsid w:val="00752747"/>
    <w:rsid w:val="007527D3"/>
    <w:rsid w:val="00752822"/>
    <w:rsid w:val="00752828"/>
    <w:rsid w:val="00752837"/>
    <w:rsid w:val="00752950"/>
    <w:rsid w:val="00752979"/>
    <w:rsid w:val="00752989"/>
    <w:rsid w:val="007529C1"/>
    <w:rsid w:val="007529F8"/>
    <w:rsid w:val="00752B99"/>
    <w:rsid w:val="00752C74"/>
    <w:rsid w:val="00752CBD"/>
    <w:rsid w:val="00752CEA"/>
    <w:rsid w:val="00752D2C"/>
    <w:rsid w:val="00752D2D"/>
    <w:rsid w:val="00752D39"/>
    <w:rsid w:val="00752DFE"/>
    <w:rsid w:val="00752EE7"/>
    <w:rsid w:val="00753013"/>
    <w:rsid w:val="0075304D"/>
    <w:rsid w:val="007531B4"/>
    <w:rsid w:val="00753283"/>
    <w:rsid w:val="00753358"/>
    <w:rsid w:val="007533B2"/>
    <w:rsid w:val="00753418"/>
    <w:rsid w:val="0075347C"/>
    <w:rsid w:val="00753584"/>
    <w:rsid w:val="007535B3"/>
    <w:rsid w:val="007535C4"/>
    <w:rsid w:val="00753640"/>
    <w:rsid w:val="00753648"/>
    <w:rsid w:val="007536DB"/>
    <w:rsid w:val="0075380B"/>
    <w:rsid w:val="00753869"/>
    <w:rsid w:val="00753884"/>
    <w:rsid w:val="00753890"/>
    <w:rsid w:val="00753891"/>
    <w:rsid w:val="007538CC"/>
    <w:rsid w:val="007539D5"/>
    <w:rsid w:val="00753A3B"/>
    <w:rsid w:val="00753A70"/>
    <w:rsid w:val="00753BB7"/>
    <w:rsid w:val="00753BF7"/>
    <w:rsid w:val="00753CD4"/>
    <w:rsid w:val="00753D19"/>
    <w:rsid w:val="00753DF5"/>
    <w:rsid w:val="00753E3C"/>
    <w:rsid w:val="00753E9B"/>
    <w:rsid w:val="00753F43"/>
    <w:rsid w:val="00753FED"/>
    <w:rsid w:val="00753FF6"/>
    <w:rsid w:val="007540F1"/>
    <w:rsid w:val="0075414B"/>
    <w:rsid w:val="007541B1"/>
    <w:rsid w:val="007541BB"/>
    <w:rsid w:val="007542AB"/>
    <w:rsid w:val="007542D9"/>
    <w:rsid w:val="0075433C"/>
    <w:rsid w:val="0075436F"/>
    <w:rsid w:val="0075443B"/>
    <w:rsid w:val="00754442"/>
    <w:rsid w:val="007544CF"/>
    <w:rsid w:val="007544F9"/>
    <w:rsid w:val="007546E9"/>
    <w:rsid w:val="0075474E"/>
    <w:rsid w:val="0075475A"/>
    <w:rsid w:val="007547E8"/>
    <w:rsid w:val="0075482D"/>
    <w:rsid w:val="007548C6"/>
    <w:rsid w:val="0075494A"/>
    <w:rsid w:val="0075495A"/>
    <w:rsid w:val="00754A18"/>
    <w:rsid w:val="00754A51"/>
    <w:rsid w:val="00754A71"/>
    <w:rsid w:val="00754A7B"/>
    <w:rsid w:val="00754AC3"/>
    <w:rsid w:val="00754C3C"/>
    <w:rsid w:val="00754C91"/>
    <w:rsid w:val="00754CD9"/>
    <w:rsid w:val="00754E07"/>
    <w:rsid w:val="00754E7A"/>
    <w:rsid w:val="00754EA7"/>
    <w:rsid w:val="00754ECD"/>
    <w:rsid w:val="00754FCF"/>
    <w:rsid w:val="00754FEF"/>
    <w:rsid w:val="00755043"/>
    <w:rsid w:val="0075504A"/>
    <w:rsid w:val="007550A7"/>
    <w:rsid w:val="007550D7"/>
    <w:rsid w:val="00755162"/>
    <w:rsid w:val="00755219"/>
    <w:rsid w:val="007552F7"/>
    <w:rsid w:val="00755337"/>
    <w:rsid w:val="00755394"/>
    <w:rsid w:val="007553CD"/>
    <w:rsid w:val="00755432"/>
    <w:rsid w:val="0075547D"/>
    <w:rsid w:val="007554D9"/>
    <w:rsid w:val="0075550A"/>
    <w:rsid w:val="00755604"/>
    <w:rsid w:val="007556BD"/>
    <w:rsid w:val="00755744"/>
    <w:rsid w:val="007557C7"/>
    <w:rsid w:val="0075584B"/>
    <w:rsid w:val="00755903"/>
    <w:rsid w:val="00755989"/>
    <w:rsid w:val="00755ABD"/>
    <w:rsid w:val="00755B61"/>
    <w:rsid w:val="00755BD2"/>
    <w:rsid w:val="00755D18"/>
    <w:rsid w:val="00755E6E"/>
    <w:rsid w:val="00755F15"/>
    <w:rsid w:val="00755F21"/>
    <w:rsid w:val="00755F5A"/>
    <w:rsid w:val="0075602F"/>
    <w:rsid w:val="00756049"/>
    <w:rsid w:val="0075604F"/>
    <w:rsid w:val="00756067"/>
    <w:rsid w:val="007560C7"/>
    <w:rsid w:val="00756137"/>
    <w:rsid w:val="0075614C"/>
    <w:rsid w:val="00756165"/>
    <w:rsid w:val="00756184"/>
    <w:rsid w:val="00756263"/>
    <w:rsid w:val="00756267"/>
    <w:rsid w:val="0075627C"/>
    <w:rsid w:val="007562B6"/>
    <w:rsid w:val="00756318"/>
    <w:rsid w:val="007563A7"/>
    <w:rsid w:val="007563E3"/>
    <w:rsid w:val="0075652F"/>
    <w:rsid w:val="0075655C"/>
    <w:rsid w:val="007565EA"/>
    <w:rsid w:val="0075667B"/>
    <w:rsid w:val="00756775"/>
    <w:rsid w:val="007567AF"/>
    <w:rsid w:val="0075686F"/>
    <w:rsid w:val="0075695E"/>
    <w:rsid w:val="00756997"/>
    <w:rsid w:val="00756A85"/>
    <w:rsid w:val="00756B60"/>
    <w:rsid w:val="00756D8F"/>
    <w:rsid w:val="00756DA3"/>
    <w:rsid w:val="00756E21"/>
    <w:rsid w:val="00756EAF"/>
    <w:rsid w:val="00756EE4"/>
    <w:rsid w:val="00756F3B"/>
    <w:rsid w:val="00756F69"/>
    <w:rsid w:val="00756F6C"/>
    <w:rsid w:val="00756FC7"/>
    <w:rsid w:val="00756FD1"/>
    <w:rsid w:val="00756FE2"/>
    <w:rsid w:val="00757148"/>
    <w:rsid w:val="00757167"/>
    <w:rsid w:val="007571DD"/>
    <w:rsid w:val="007572E9"/>
    <w:rsid w:val="00757322"/>
    <w:rsid w:val="0075735C"/>
    <w:rsid w:val="007573CB"/>
    <w:rsid w:val="007574B6"/>
    <w:rsid w:val="007574D2"/>
    <w:rsid w:val="007574FA"/>
    <w:rsid w:val="007574FD"/>
    <w:rsid w:val="00757596"/>
    <w:rsid w:val="007575BA"/>
    <w:rsid w:val="007575CA"/>
    <w:rsid w:val="00757649"/>
    <w:rsid w:val="00757683"/>
    <w:rsid w:val="00757687"/>
    <w:rsid w:val="007577AB"/>
    <w:rsid w:val="00757921"/>
    <w:rsid w:val="00757A00"/>
    <w:rsid w:val="00757A94"/>
    <w:rsid w:val="00757AAE"/>
    <w:rsid w:val="00757AF5"/>
    <w:rsid w:val="00757B33"/>
    <w:rsid w:val="00757C41"/>
    <w:rsid w:val="00757D0B"/>
    <w:rsid w:val="00757E9E"/>
    <w:rsid w:val="00757EE9"/>
    <w:rsid w:val="00757F0D"/>
    <w:rsid w:val="00757F5A"/>
    <w:rsid w:val="00760016"/>
    <w:rsid w:val="007600BA"/>
    <w:rsid w:val="007600C1"/>
    <w:rsid w:val="007600C5"/>
    <w:rsid w:val="007600C9"/>
    <w:rsid w:val="007601D1"/>
    <w:rsid w:val="00760310"/>
    <w:rsid w:val="0076032A"/>
    <w:rsid w:val="00760364"/>
    <w:rsid w:val="00760368"/>
    <w:rsid w:val="0076046D"/>
    <w:rsid w:val="007604C2"/>
    <w:rsid w:val="00760542"/>
    <w:rsid w:val="00760587"/>
    <w:rsid w:val="0076067D"/>
    <w:rsid w:val="007606B1"/>
    <w:rsid w:val="00760790"/>
    <w:rsid w:val="0076079A"/>
    <w:rsid w:val="007607DA"/>
    <w:rsid w:val="00760890"/>
    <w:rsid w:val="007608A5"/>
    <w:rsid w:val="007608A8"/>
    <w:rsid w:val="007608CC"/>
    <w:rsid w:val="007608E3"/>
    <w:rsid w:val="007608F7"/>
    <w:rsid w:val="0076093F"/>
    <w:rsid w:val="00760A22"/>
    <w:rsid w:val="00760AA7"/>
    <w:rsid w:val="00760B66"/>
    <w:rsid w:val="00760B88"/>
    <w:rsid w:val="00760C6F"/>
    <w:rsid w:val="00760CCF"/>
    <w:rsid w:val="00760CD5"/>
    <w:rsid w:val="00760D96"/>
    <w:rsid w:val="00760DC3"/>
    <w:rsid w:val="00760DD9"/>
    <w:rsid w:val="00760E8F"/>
    <w:rsid w:val="00760ED8"/>
    <w:rsid w:val="00760F4A"/>
    <w:rsid w:val="00760F7E"/>
    <w:rsid w:val="00761027"/>
    <w:rsid w:val="0076105A"/>
    <w:rsid w:val="00761128"/>
    <w:rsid w:val="0076125B"/>
    <w:rsid w:val="0076139E"/>
    <w:rsid w:val="007613CB"/>
    <w:rsid w:val="00761430"/>
    <w:rsid w:val="00761478"/>
    <w:rsid w:val="007614A8"/>
    <w:rsid w:val="007614AD"/>
    <w:rsid w:val="0076158E"/>
    <w:rsid w:val="007615A2"/>
    <w:rsid w:val="007615E0"/>
    <w:rsid w:val="0076164E"/>
    <w:rsid w:val="007616D8"/>
    <w:rsid w:val="0076173D"/>
    <w:rsid w:val="0076178F"/>
    <w:rsid w:val="007617B2"/>
    <w:rsid w:val="007617C1"/>
    <w:rsid w:val="00761848"/>
    <w:rsid w:val="00761850"/>
    <w:rsid w:val="00761863"/>
    <w:rsid w:val="007618F5"/>
    <w:rsid w:val="00761917"/>
    <w:rsid w:val="00761997"/>
    <w:rsid w:val="00761AD0"/>
    <w:rsid w:val="00761BD3"/>
    <w:rsid w:val="00761DE5"/>
    <w:rsid w:val="00761DFA"/>
    <w:rsid w:val="00761E4C"/>
    <w:rsid w:val="00761F15"/>
    <w:rsid w:val="00761F83"/>
    <w:rsid w:val="00762192"/>
    <w:rsid w:val="007621A2"/>
    <w:rsid w:val="007621EF"/>
    <w:rsid w:val="0076228A"/>
    <w:rsid w:val="007622C8"/>
    <w:rsid w:val="007623A1"/>
    <w:rsid w:val="007623E9"/>
    <w:rsid w:val="0076243D"/>
    <w:rsid w:val="00762488"/>
    <w:rsid w:val="007624E3"/>
    <w:rsid w:val="007624F2"/>
    <w:rsid w:val="00762528"/>
    <w:rsid w:val="00762569"/>
    <w:rsid w:val="00762582"/>
    <w:rsid w:val="00762594"/>
    <w:rsid w:val="007625CA"/>
    <w:rsid w:val="0076262F"/>
    <w:rsid w:val="007626AA"/>
    <w:rsid w:val="00762805"/>
    <w:rsid w:val="0076280B"/>
    <w:rsid w:val="00762818"/>
    <w:rsid w:val="007628EC"/>
    <w:rsid w:val="00762944"/>
    <w:rsid w:val="00762A76"/>
    <w:rsid w:val="00762AE1"/>
    <w:rsid w:val="00762D38"/>
    <w:rsid w:val="00762E45"/>
    <w:rsid w:val="00762EDB"/>
    <w:rsid w:val="0076304C"/>
    <w:rsid w:val="007630B3"/>
    <w:rsid w:val="007630B5"/>
    <w:rsid w:val="00763142"/>
    <w:rsid w:val="0076315F"/>
    <w:rsid w:val="00763186"/>
    <w:rsid w:val="007631A6"/>
    <w:rsid w:val="00763294"/>
    <w:rsid w:val="007632A6"/>
    <w:rsid w:val="007632B3"/>
    <w:rsid w:val="007633C1"/>
    <w:rsid w:val="007633C5"/>
    <w:rsid w:val="007633CF"/>
    <w:rsid w:val="007634A5"/>
    <w:rsid w:val="0076353B"/>
    <w:rsid w:val="00763561"/>
    <w:rsid w:val="00763572"/>
    <w:rsid w:val="00763628"/>
    <w:rsid w:val="007636C5"/>
    <w:rsid w:val="0076379D"/>
    <w:rsid w:val="007638E1"/>
    <w:rsid w:val="00763A15"/>
    <w:rsid w:val="00763BE9"/>
    <w:rsid w:val="00763DBA"/>
    <w:rsid w:val="00763E1A"/>
    <w:rsid w:val="00763E1B"/>
    <w:rsid w:val="00763EA8"/>
    <w:rsid w:val="00763F2E"/>
    <w:rsid w:val="00763FDB"/>
    <w:rsid w:val="0076406B"/>
    <w:rsid w:val="0076407B"/>
    <w:rsid w:val="007640B1"/>
    <w:rsid w:val="00764170"/>
    <w:rsid w:val="007642A8"/>
    <w:rsid w:val="007642AD"/>
    <w:rsid w:val="00764308"/>
    <w:rsid w:val="0076431C"/>
    <w:rsid w:val="0076434A"/>
    <w:rsid w:val="00764380"/>
    <w:rsid w:val="00764433"/>
    <w:rsid w:val="00764447"/>
    <w:rsid w:val="0076447A"/>
    <w:rsid w:val="007644DC"/>
    <w:rsid w:val="007644E8"/>
    <w:rsid w:val="00764532"/>
    <w:rsid w:val="0076468C"/>
    <w:rsid w:val="007646D0"/>
    <w:rsid w:val="00764744"/>
    <w:rsid w:val="007647C1"/>
    <w:rsid w:val="007648A3"/>
    <w:rsid w:val="007648BE"/>
    <w:rsid w:val="00764902"/>
    <w:rsid w:val="00764935"/>
    <w:rsid w:val="00764938"/>
    <w:rsid w:val="00764994"/>
    <w:rsid w:val="007649B1"/>
    <w:rsid w:val="00764A52"/>
    <w:rsid w:val="00764B15"/>
    <w:rsid w:val="00764BA3"/>
    <w:rsid w:val="00764BF7"/>
    <w:rsid w:val="00764C1A"/>
    <w:rsid w:val="00764CAD"/>
    <w:rsid w:val="00764CF3"/>
    <w:rsid w:val="00764CFB"/>
    <w:rsid w:val="00764D02"/>
    <w:rsid w:val="00764D33"/>
    <w:rsid w:val="00764D5A"/>
    <w:rsid w:val="00764D72"/>
    <w:rsid w:val="00764E04"/>
    <w:rsid w:val="00764E69"/>
    <w:rsid w:val="00764ED1"/>
    <w:rsid w:val="0076513A"/>
    <w:rsid w:val="0076518F"/>
    <w:rsid w:val="0076519B"/>
    <w:rsid w:val="00765225"/>
    <w:rsid w:val="0076529A"/>
    <w:rsid w:val="00765357"/>
    <w:rsid w:val="00765397"/>
    <w:rsid w:val="007655F9"/>
    <w:rsid w:val="007656DF"/>
    <w:rsid w:val="007657A6"/>
    <w:rsid w:val="007657BA"/>
    <w:rsid w:val="007657C0"/>
    <w:rsid w:val="0076583E"/>
    <w:rsid w:val="0076586D"/>
    <w:rsid w:val="007658AC"/>
    <w:rsid w:val="007658C3"/>
    <w:rsid w:val="007658C7"/>
    <w:rsid w:val="007658F8"/>
    <w:rsid w:val="0076598C"/>
    <w:rsid w:val="007659B5"/>
    <w:rsid w:val="00765A7C"/>
    <w:rsid w:val="00765A86"/>
    <w:rsid w:val="00765AA2"/>
    <w:rsid w:val="00765B40"/>
    <w:rsid w:val="00765B58"/>
    <w:rsid w:val="00765BF5"/>
    <w:rsid w:val="00765BF7"/>
    <w:rsid w:val="00765C66"/>
    <w:rsid w:val="00765C71"/>
    <w:rsid w:val="00765D57"/>
    <w:rsid w:val="00765D69"/>
    <w:rsid w:val="00765DD0"/>
    <w:rsid w:val="00765E1A"/>
    <w:rsid w:val="00765EC5"/>
    <w:rsid w:val="00765F53"/>
    <w:rsid w:val="00765F68"/>
    <w:rsid w:val="0076613D"/>
    <w:rsid w:val="00766164"/>
    <w:rsid w:val="00766165"/>
    <w:rsid w:val="00766199"/>
    <w:rsid w:val="007661E4"/>
    <w:rsid w:val="007661F3"/>
    <w:rsid w:val="0076628B"/>
    <w:rsid w:val="007662A4"/>
    <w:rsid w:val="007662CC"/>
    <w:rsid w:val="007662F8"/>
    <w:rsid w:val="007663AC"/>
    <w:rsid w:val="007663C6"/>
    <w:rsid w:val="007663E2"/>
    <w:rsid w:val="007663F9"/>
    <w:rsid w:val="0076647C"/>
    <w:rsid w:val="00766523"/>
    <w:rsid w:val="0076654E"/>
    <w:rsid w:val="00766583"/>
    <w:rsid w:val="007665EA"/>
    <w:rsid w:val="0076663C"/>
    <w:rsid w:val="00766640"/>
    <w:rsid w:val="0076673F"/>
    <w:rsid w:val="007667B0"/>
    <w:rsid w:val="00766847"/>
    <w:rsid w:val="0076688F"/>
    <w:rsid w:val="0076689D"/>
    <w:rsid w:val="0076699E"/>
    <w:rsid w:val="007669CE"/>
    <w:rsid w:val="00766A4A"/>
    <w:rsid w:val="00766B51"/>
    <w:rsid w:val="00766B74"/>
    <w:rsid w:val="00766BC3"/>
    <w:rsid w:val="00766BF3"/>
    <w:rsid w:val="00766D5B"/>
    <w:rsid w:val="00766D6D"/>
    <w:rsid w:val="00766DAB"/>
    <w:rsid w:val="00766DB3"/>
    <w:rsid w:val="00766DBF"/>
    <w:rsid w:val="00766DEB"/>
    <w:rsid w:val="00766E3C"/>
    <w:rsid w:val="00766E9A"/>
    <w:rsid w:val="00766F9B"/>
    <w:rsid w:val="00766FF2"/>
    <w:rsid w:val="0076703D"/>
    <w:rsid w:val="00767182"/>
    <w:rsid w:val="0076722A"/>
    <w:rsid w:val="00767307"/>
    <w:rsid w:val="007673BB"/>
    <w:rsid w:val="007673E0"/>
    <w:rsid w:val="0076745C"/>
    <w:rsid w:val="007674C8"/>
    <w:rsid w:val="007674FD"/>
    <w:rsid w:val="0076754D"/>
    <w:rsid w:val="00767555"/>
    <w:rsid w:val="0076762D"/>
    <w:rsid w:val="00767666"/>
    <w:rsid w:val="00767713"/>
    <w:rsid w:val="007677BC"/>
    <w:rsid w:val="007677E6"/>
    <w:rsid w:val="00767838"/>
    <w:rsid w:val="0076792D"/>
    <w:rsid w:val="007679E3"/>
    <w:rsid w:val="00767A14"/>
    <w:rsid w:val="00767A7C"/>
    <w:rsid w:val="00767A80"/>
    <w:rsid w:val="00767B5C"/>
    <w:rsid w:val="00767BA9"/>
    <w:rsid w:val="00767BDF"/>
    <w:rsid w:val="00767BFD"/>
    <w:rsid w:val="00767CB8"/>
    <w:rsid w:val="00767CD7"/>
    <w:rsid w:val="00767D21"/>
    <w:rsid w:val="00767D24"/>
    <w:rsid w:val="00767D40"/>
    <w:rsid w:val="00767DC3"/>
    <w:rsid w:val="00767DCD"/>
    <w:rsid w:val="00767E19"/>
    <w:rsid w:val="00767EFE"/>
    <w:rsid w:val="00767F26"/>
    <w:rsid w:val="0076B868"/>
    <w:rsid w:val="0077001C"/>
    <w:rsid w:val="007700DA"/>
    <w:rsid w:val="0077011E"/>
    <w:rsid w:val="0077014E"/>
    <w:rsid w:val="00770152"/>
    <w:rsid w:val="00770162"/>
    <w:rsid w:val="00770208"/>
    <w:rsid w:val="0077020A"/>
    <w:rsid w:val="00770220"/>
    <w:rsid w:val="00770268"/>
    <w:rsid w:val="007702C9"/>
    <w:rsid w:val="00770342"/>
    <w:rsid w:val="00770402"/>
    <w:rsid w:val="007704CD"/>
    <w:rsid w:val="007704F5"/>
    <w:rsid w:val="00770507"/>
    <w:rsid w:val="00770541"/>
    <w:rsid w:val="0077058B"/>
    <w:rsid w:val="007705A1"/>
    <w:rsid w:val="007705D8"/>
    <w:rsid w:val="00770635"/>
    <w:rsid w:val="007706FF"/>
    <w:rsid w:val="00770713"/>
    <w:rsid w:val="00770743"/>
    <w:rsid w:val="0077079E"/>
    <w:rsid w:val="00770974"/>
    <w:rsid w:val="00770C2A"/>
    <w:rsid w:val="00770CF8"/>
    <w:rsid w:val="00770D08"/>
    <w:rsid w:val="00770D95"/>
    <w:rsid w:val="00770DAE"/>
    <w:rsid w:val="00770E30"/>
    <w:rsid w:val="00770E33"/>
    <w:rsid w:val="00770E4C"/>
    <w:rsid w:val="00770E64"/>
    <w:rsid w:val="00770E73"/>
    <w:rsid w:val="00770E7E"/>
    <w:rsid w:val="00770F19"/>
    <w:rsid w:val="00770F57"/>
    <w:rsid w:val="00770F5D"/>
    <w:rsid w:val="00770F9B"/>
    <w:rsid w:val="00770FCE"/>
    <w:rsid w:val="00770FE7"/>
    <w:rsid w:val="00771018"/>
    <w:rsid w:val="00771071"/>
    <w:rsid w:val="0077107F"/>
    <w:rsid w:val="00771108"/>
    <w:rsid w:val="0077111D"/>
    <w:rsid w:val="007711E6"/>
    <w:rsid w:val="0077125B"/>
    <w:rsid w:val="007712B6"/>
    <w:rsid w:val="0077140E"/>
    <w:rsid w:val="00771502"/>
    <w:rsid w:val="0077153E"/>
    <w:rsid w:val="00771599"/>
    <w:rsid w:val="00771648"/>
    <w:rsid w:val="00771685"/>
    <w:rsid w:val="0077169C"/>
    <w:rsid w:val="007716C3"/>
    <w:rsid w:val="00771706"/>
    <w:rsid w:val="0077177D"/>
    <w:rsid w:val="0077181D"/>
    <w:rsid w:val="00771844"/>
    <w:rsid w:val="0077184D"/>
    <w:rsid w:val="00771854"/>
    <w:rsid w:val="0077189C"/>
    <w:rsid w:val="0077189F"/>
    <w:rsid w:val="007719AD"/>
    <w:rsid w:val="00771BEA"/>
    <w:rsid w:val="00771C58"/>
    <w:rsid w:val="00771C87"/>
    <w:rsid w:val="00771E24"/>
    <w:rsid w:val="00771E9E"/>
    <w:rsid w:val="00771F09"/>
    <w:rsid w:val="00771F74"/>
    <w:rsid w:val="00772028"/>
    <w:rsid w:val="00772060"/>
    <w:rsid w:val="00772069"/>
    <w:rsid w:val="007722B4"/>
    <w:rsid w:val="007722C4"/>
    <w:rsid w:val="0077230E"/>
    <w:rsid w:val="00772310"/>
    <w:rsid w:val="007723B4"/>
    <w:rsid w:val="007723E5"/>
    <w:rsid w:val="00772426"/>
    <w:rsid w:val="0077245F"/>
    <w:rsid w:val="007724A2"/>
    <w:rsid w:val="007724FB"/>
    <w:rsid w:val="0077252F"/>
    <w:rsid w:val="0077254F"/>
    <w:rsid w:val="00772591"/>
    <w:rsid w:val="007725AB"/>
    <w:rsid w:val="0077260E"/>
    <w:rsid w:val="0077261F"/>
    <w:rsid w:val="0077283A"/>
    <w:rsid w:val="007728B5"/>
    <w:rsid w:val="00772988"/>
    <w:rsid w:val="007729B4"/>
    <w:rsid w:val="007729DF"/>
    <w:rsid w:val="00772A4E"/>
    <w:rsid w:val="00772AD4"/>
    <w:rsid w:val="00772C00"/>
    <w:rsid w:val="00772C40"/>
    <w:rsid w:val="00772CE8"/>
    <w:rsid w:val="00772D0C"/>
    <w:rsid w:val="00772D97"/>
    <w:rsid w:val="00772DA2"/>
    <w:rsid w:val="00772DC3"/>
    <w:rsid w:val="00772DD9"/>
    <w:rsid w:val="00772E4B"/>
    <w:rsid w:val="00772F3F"/>
    <w:rsid w:val="00772F90"/>
    <w:rsid w:val="00772FBE"/>
    <w:rsid w:val="00773146"/>
    <w:rsid w:val="0077316B"/>
    <w:rsid w:val="007731C3"/>
    <w:rsid w:val="007731CC"/>
    <w:rsid w:val="007731EB"/>
    <w:rsid w:val="0077321E"/>
    <w:rsid w:val="007732C9"/>
    <w:rsid w:val="00773338"/>
    <w:rsid w:val="0077336A"/>
    <w:rsid w:val="00773467"/>
    <w:rsid w:val="00773498"/>
    <w:rsid w:val="00773536"/>
    <w:rsid w:val="0077357C"/>
    <w:rsid w:val="00773624"/>
    <w:rsid w:val="00773679"/>
    <w:rsid w:val="00773782"/>
    <w:rsid w:val="007737E2"/>
    <w:rsid w:val="0077382B"/>
    <w:rsid w:val="007738CD"/>
    <w:rsid w:val="00773A5E"/>
    <w:rsid w:val="00773AFB"/>
    <w:rsid w:val="00773BC0"/>
    <w:rsid w:val="00773CD7"/>
    <w:rsid w:val="00773E27"/>
    <w:rsid w:val="00773E45"/>
    <w:rsid w:val="00773EFD"/>
    <w:rsid w:val="00773F1E"/>
    <w:rsid w:val="00773F91"/>
    <w:rsid w:val="00774194"/>
    <w:rsid w:val="00774262"/>
    <w:rsid w:val="007742A1"/>
    <w:rsid w:val="007743F7"/>
    <w:rsid w:val="00774472"/>
    <w:rsid w:val="0077452E"/>
    <w:rsid w:val="0077456F"/>
    <w:rsid w:val="00774608"/>
    <w:rsid w:val="0077463C"/>
    <w:rsid w:val="0077463D"/>
    <w:rsid w:val="007746F7"/>
    <w:rsid w:val="0077470A"/>
    <w:rsid w:val="00774731"/>
    <w:rsid w:val="00774775"/>
    <w:rsid w:val="007747C1"/>
    <w:rsid w:val="0077487A"/>
    <w:rsid w:val="007748B2"/>
    <w:rsid w:val="007748F2"/>
    <w:rsid w:val="0077496E"/>
    <w:rsid w:val="007749AB"/>
    <w:rsid w:val="007749CC"/>
    <w:rsid w:val="00774A72"/>
    <w:rsid w:val="00774AC8"/>
    <w:rsid w:val="00774C7C"/>
    <w:rsid w:val="00774DDE"/>
    <w:rsid w:val="00774EAD"/>
    <w:rsid w:val="00774EF5"/>
    <w:rsid w:val="00774F2B"/>
    <w:rsid w:val="00774FB7"/>
    <w:rsid w:val="00774FF4"/>
    <w:rsid w:val="007750A9"/>
    <w:rsid w:val="00775122"/>
    <w:rsid w:val="0077519A"/>
    <w:rsid w:val="00775208"/>
    <w:rsid w:val="00775274"/>
    <w:rsid w:val="00775324"/>
    <w:rsid w:val="007753B4"/>
    <w:rsid w:val="0077545D"/>
    <w:rsid w:val="00775468"/>
    <w:rsid w:val="00775497"/>
    <w:rsid w:val="00775584"/>
    <w:rsid w:val="00775591"/>
    <w:rsid w:val="0077565C"/>
    <w:rsid w:val="00775665"/>
    <w:rsid w:val="0077566E"/>
    <w:rsid w:val="00775741"/>
    <w:rsid w:val="0077575A"/>
    <w:rsid w:val="00775761"/>
    <w:rsid w:val="00775808"/>
    <w:rsid w:val="0077586C"/>
    <w:rsid w:val="0077589B"/>
    <w:rsid w:val="00775AC3"/>
    <w:rsid w:val="00775B30"/>
    <w:rsid w:val="00775B3E"/>
    <w:rsid w:val="00775BB6"/>
    <w:rsid w:val="00775BE2"/>
    <w:rsid w:val="00775C80"/>
    <w:rsid w:val="00775CC6"/>
    <w:rsid w:val="00775D22"/>
    <w:rsid w:val="00775F3C"/>
    <w:rsid w:val="00776024"/>
    <w:rsid w:val="007760FA"/>
    <w:rsid w:val="0077615A"/>
    <w:rsid w:val="0077616C"/>
    <w:rsid w:val="0077616D"/>
    <w:rsid w:val="00776172"/>
    <w:rsid w:val="007761AA"/>
    <w:rsid w:val="00776204"/>
    <w:rsid w:val="007762A7"/>
    <w:rsid w:val="00776367"/>
    <w:rsid w:val="00776521"/>
    <w:rsid w:val="00776689"/>
    <w:rsid w:val="007766B0"/>
    <w:rsid w:val="007766B9"/>
    <w:rsid w:val="0077675A"/>
    <w:rsid w:val="00776786"/>
    <w:rsid w:val="00776873"/>
    <w:rsid w:val="00776978"/>
    <w:rsid w:val="007769B7"/>
    <w:rsid w:val="007769BA"/>
    <w:rsid w:val="00776A07"/>
    <w:rsid w:val="00776A0F"/>
    <w:rsid w:val="00776A3A"/>
    <w:rsid w:val="00776A70"/>
    <w:rsid w:val="00776ABF"/>
    <w:rsid w:val="00776B4D"/>
    <w:rsid w:val="00776B8F"/>
    <w:rsid w:val="00776BD3"/>
    <w:rsid w:val="00776D6C"/>
    <w:rsid w:val="00776DE6"/>
    <w:rsid w:val="00776DEE"/>
    <w:rsid w:val="00776E59"/>
    <w:rsid w:val="00776F13"/>
    <w:rsid w:val="00776F3B"/>
    <w:rsid w:val="00777068"/>
    <w:rsid w:val="00777169"/>
    <w:rsid w:val="007771C1"/>
    <w:rsid w:val="007771D8"/>
    <w:rsid w:val="00777230"/>
    <w:rsid w:val="00777280"/>
    <w:rsid w:val="007772CA"/>
    <w:rsid w:val="00777401"/>
    <w:rsid w:val="00777441"/>
    <w:rsid w:val="007774E2"/>
    <w:rsid w:val="0077755F"/>
    <w:rsid w:val="0077757F"/>
    <w:rsid w:val="00777650"/>
    <w:rsid w:val="00777690"/>
    <w:rsid w:val="007776A7"/>
    <w:rsid w:val="007776B7"/>
    <w:rsid w:val="007776B9"/>
    <w:rsid w:val="007777A1"/>
    <w:rsid w:val="007778C0"/>
    <w:rsid w:val="007779E7"/>
    <w:rsid w:val="00777A09"/>
    <w:rsid w:val="00777A33"/>
    <w:rsid w:val="00777A6D"/>
    <w:rsid w:val="00777ABB"/>
    <w:rsid w:val="00777B5E"/>
    <w:rsid w:val="00777BF8"/>
    <w:rsid w:val="00777C42"/>
    <w:rsid w:val="00777C63"/>
    <w:rsid w:val="00777CB6"/>
    <w:rsid w:val="00777CC5"/>
    <w:rsid w:val="00777D2A"/>
    <w:rsid w:val="00777DC9"/>
    <w:rsid w:val="00777DF8"/>
    <w:rsid w:val="00777DFC"/>
    <w:rsid w:val="00777E2C"/>
    <w:rsid w:val="00777E61"/>
    <w:rsid w:val="00777E92"/>
    <w:rsid w:val="00777EFF"/>
    <w:rsid w:val="00777F71"/>
    <w:rsid w:val="00777F9D"/>
    <w:rsid w:val="00780110"/>
    <w:rsid w:val="00780143"/>
    <w:rsid w:val="0078015E"/>
    <w:rsid w:val="00780163"/>
    <w:rsid w:val="0078018C"/>
    <w:rsid w:val="00780204"/>
    <w:rsid w:val="0078022B"/>
    <w:rsid w:val="007802DD"/>
    <w:rsid w:val="007802E6"/>
    <w:rsid w:val="007802EC"/>
    <w:rsid w:val="007802F6"/>
    <w:rsid w:val="00780315"/>
    <w:rsid w:val="00780342"/>
    <w:rsid w:val="00780423"/>
    <w:rsid w:val="00780453"/>
    <w:rsid w:val="0078047E"/>
    <w:rsid w:val="007804F8"/>
    <w:rsid w:val="00780541"/>
    <w:rsid w:val="007805DF"/>
    <w:rsid w:val="007805E6"/>
    <w:rsid w:val="007805EF"/>
    <w:rsid w:val="0078063B"/>
    <w:rsid w:val="00780695"/>
    <w:rsid w:val="0078069D"/>
    <w:rsid w:val="007807A8"/>
    <w:rsid w:val="007807A9"/>
    <w:rsid w:val="00780A0F"/>
    <w:rsid w:val="00780A8D"/>
    <w:rsid w:val="00780A9F"/>
    <w:rsid w:val="00780B02"/>
    <w:rsid w:val="00780BC9"/>
    <w:rsid w:val="00780C0B"/>
    <w:rsid w:val="00780C34"/>
    <w:rsid w:val="00780C3A"/>
    <w:rsid w:val="00780C92"/>
    <w:rsid w:val="00780CC5"/>
    <w:rsid w:val="00780CD0"/>
    <w:rsid w:val="00780D0B"/>
    <w:rsid w:val="00780DFB"/>
    <w:rsid w:val="00780E13"/>
    <w:rsid w:val="00780E3E"/>
    <w:rsid w:val="00780EA7"/>
    <w:rsid w:val="00780EDF"/>
    <w:rsid w:val="00780F18"/>
    <w:rsid w:val="00780F6D"/>
    <w:rsid w:val="00780FB6"/>
    <w:rsid w:val="00780FC9"/>
    <w:rsid w:val="00781004"/>
    <w:rsid w:val="00781075"/>
    <w:rsid w:val="00781504"/>
    <w:rsid w:val="00781596"/>
    <w:rsid w:val="007815AA"/>
    <w:rsid w:val="007815BB"/>
    <w:rsid w:val="007815EE"/>
    <w:rsid w:val="0078161C"/>
    <w:rsid w:val="00781751"/>
    <w:rsid w:val="007817C3"/>
    <w:rsid w:val="00781855"/>
    <w:rsid w:val="00781859"/>
    <w:rsid w:val="00781871"/>
    <w:rsid w:val="0078187A"/>
    <w:rsid w:val="00781884"/>
    <w:rsid w:val="007818BD"/>
    <w:rsid w:val="007818BF"/>
    <w:rsid w:val="0078190D"/>
    <w:rsid w:val="00781926"/>
    <w:rsid w:val="007819C0"/>
    <w:rsid w:val="00781B07"/>
    <w:rsid w:val="00781BA5"/>
    <w:rsid w:val="00781C1A"/>
    <w:rsid w:val="00781CF7"/>
    <w:rsid w:val="00781D48"/>
    <w:rsid w:val="00781D75"/>
    <w:rsid w:val="00781EDF"/>
    <w:rsid w:val="00781F99"/>
    <w:rsid w:val="00782025"/>
    <w:rsid w:val="0078206E"/>
    <w:rsid w:val="007820C0"/>
    <w:rsid w:val="007820C6"/>
    <w:rsid w:val="00782193"/>
    <w:rsid w:val="0078219B"/>
    <w:rsid w:val="007822CD"/>
    <w:rsid w:val="00782300"/>
    <w:rsid w:val="00782302"/>
    <w:rsid w:val="0078238B"/>
    <w:rsid w:val="007823D7"/>
    <w:rsid w:val="007823D8"/>
    <w:rsid w:val="007824A2"/>
    <w:rsid w:val="0078256B"/>
    <w:rsid w:val="007825B8"/>
    <w:rsid w:val="00782666"/>
    <w:rsid w:val="007826D0"/>
    <w:rsid w:val="00782793"/>
    <w:rsid w:val="00782822"/>
    <w:rsid w:val="00782910"/>
    <w:rsid w:val="0078293B"/>
    <w:rsid w:val="00782977"/>
    <w:rsid w:val="007829CD"/>
    <w:rsid w:val="00782AC4"/>
    <w:rsid w:val="00782ADE"/>
    <w:rsid w:val="00782C29"/>
    <w:rsid w:val="00782C4B"/>
    <w:rsid w:val="00782C92"/>
    <w:rsid w:val="00782D00"/>
    <w:rsid w:val="00782DFF"/>
    <w:rsid w:val="00782E57"/>
    <w:rsid w:val="00782E5F"/>
    <w:rsid w:val="00782E74"/>
    <w:rsid w:val="00782E78"/>
    <w:rsid w:val="00782EC1"/>
    <w:rsid w:val="00783071"/>
    <w:rsid w:val="0078308E"/>
    <w:rsid w:val="007830AB"/>
    <w:rsid w:val="007830EF"/>
    <w:rsid w:val="007831DD"/>
    <w:rsid w:val="007831E9"/>
    <w:rsid w:val="00783295"/>
    <w:rsid w:val="0078329F"/>
    <w:rsid w:val="00783353"/>
    <w:rsid w:val="00783420"/>
    <w:rsid w:val="0078355A"/>
    <w:rsid w:val="00783577"/>
    <w:rsid w:val="007835A9"/>
    <w:rsid w:val="007835DA"/>
    <w:rsid w:val="007836DF"/>
    <w:rsid w:val="0078373A"/>
    <w:rsid w:val="007837A3"/>
    <w:rsid w:val="007837EA"/>
    <w:rsid w:val="00783949"/>
    <w:rsid w:val="007839A2"/>
    <w:rsid w:val="00783AC4"/>
    <w:rsid w:val="00783B28"/>
    <w:rsid w:val="00783B29"/>
    <w:rsid w:val="00783BF5"/>
    <w:rsid w:val="00783C26"/>
    <w:rsid w:val="00783D22"/>
    <w:rsid w:val="00783DBF"/>
    <w:rsid w:val="00783DC3"/>
    <w:rsid w:val="00783EFD"/>
    <w:rsid w:val="00783F4D"/>
    <w:rsid w:val="00783FB3"/>
    <w:rsid w:val="00783FEB"/>
    <w:rsid w:val="0078403E"/>
    <w:rsid w:val="007840A2"/>
    <w:rsid w:val="007840D4"/>
    <w:rsid w:val="007841A5"/>
    <w:rsid w:val="0078421A"/>
    <w:rsid w:val="00784251"/>
    <w:rsid w:val="00784272"/>
    <w:rsid w:val="007842B4"/>
    <w:rsid w:val="007842FE"/>
    <w:rsid w:val="007843A7"/>
    <w:rsid w:val="007843D0"/>
    <w:rsid w:val="00784413"/>
    <w:rsid w:val="0078443C"/>
    <w:rsid w:val="00784443"/>
    <w:rsid w:val="00784480"/>
    <w:rsid w:val="007844D1"/>
    <w:rsid w:val="00784553"/>
    <w:rsid w:val="007846C1"/>
    <w:rsid w:val="007846DA"/>
    <w:rsid w:val="007846DE"/>
    <w:rsid w:val="007846F1"/>
    <w:rsid w:val="0078474C"/>
    <w:rsid w:val="007847BD"/>
    <w:rsid w:val="00784866"/>
    <w:rsid w:val="007848D1"/>
    <w:rsid w:val="007848E8"/>
    <w:rsid w:val="00784915"/>
    <w:rsid w:val="00784971"/>
    <w:rsid w:val="00784972"/>
    <w:rsid w:val="007849B9"/>
    <w:rsid w:val="007849C9"/>
    <w:rsid w:val="00784A36"/>
    <w:rsid w:val="00784AB8"/>
    <w:rsid w:val="00784AC7"/>
    <w:rsid w:val="00784CC8"/>
    <w:rsid w:val="00784D39"/>
    <w:rsid w:val="00784DA2"/>
    <w:rsid w:val="00784ED6"/>
    <w:rsid w:val="00784F65"/>
    <w:rsid w:val="00784FD7"/>
    <w:rsid w:val="0078502B"/>
    <w:rsid w:val="007850F3"/>
    <w:rsid w:val="007850FD"/>
    <w:rsid w:val="007851AE"/>
    <w:rsid w:val="007851C5"/>
    <w:rsid w:val="00785222"/>
    <w:rsid w:val="007852A9"/>
    <w:rsid w:val="00785334"/>
    <w:rsid w:val="0078543D"/>
    <w:rsid w:val="007855D8"/>
    <w:rsid w:val="00785641"/>
    <w:rsid w:val="007856EF"/>
    <w:rsid w:val="0078572D"/>
    <w:rsid w:val="00785825"/>
    <w:rsid w:val="007858AA"/>
    <w:rsid w:val="00785946"/>
    <w:rsid w:val="00785964"/>
    <w:rsid w:val="00785AFF"/>
    <w:rsid w:val="00785B1E"/>
    <w:rsid w:val="00785B2C"/>
    <w:rsid w:val="00785B57"/>
    <w:rsid w:val="00785B61"/>
    <w:rsid w:val="00785C19"/>
    <w:rsid w:val="00785CA8"/>
    <w:rsid w:val="00785CF6"/>
    <w:rsid w:val="00785D14"/>
    <w:rsid w:val="00785D21"/>
    <w:rsid w:val="00785D8F"/>
    <w:rsid w:val="00785D91"/>
    <w:rsid w:val="00785DBE"/>
    <w:rsid w:val="00785DDB"/>
    <w:rsid w:val="00785E76"/>
    <w:rsid w:val="00785F31"/>
    <w:rsid w:val="00785F51"/>
    <w:rsid w:val="00785F65"/>
    <w:rsid w:val="0078605D"/>
    <w:rsid w:val="007860D9"/>
    <w:rsid w:val="0078617D"/>
    <w:rsid w:val="00786190"/>
    <w:rsid w:val="00786196"/>
    <w:rsid w:val="007862A6"/>
    <w:rsid w:val="007862AE"/>
    <w:rsid w:val="007862B1"/>
    <w:rsid w:val="00786354"/>
    <w:rsid w:val="0078636B"/>
    <w:rsid w:val="00786547"/>
    <w:rsid w:val="007865DC"/>
    <w:rsid w:val="007866DF"/>
    <w:rsid w:val="00786714"/>
    <w:rsid w:val="0078672E"/>
    <w:rsid w:val="007867C7"/>
    <w:rsid w:val="007868F1"/>
    <w:rsid w:val="0078690A"/>
    <w:rsid w:val="00786A7E"/>
    <w:rsid w:val="00786AA0"/>
    <w:rsid w:val="00786BAC"/>
    <w:rsid w:val="00786CD0"/>
    <w:rsid w:val="00786DBD"/>
    <w:rsid w:val="00786E9A"/>
    <w:rsid w:val="00786F6B"/>
    <w:rsid w:val="00786F97"/>
    <w:rsid w:val="00787037"/>
    <w:rsid w:val="007870F4"/>
    <w:rsid w:val="0078726D"/>
    <w:rsid w:val="007872FD"/>
    <w:rsid w:val="00787326"/>
    <w:rsid w:val="0078737E"/>
    <w:rsid w:val="00787464"/>
    <w:rsid w:val="007874D7"/>
    <w:rsid w:val="007874E0"/>
    <w:rsid w:val="00787500"/>
    <w:rsid w:val="00787593"/>
    <w:rsid w:val="0078765B"/>
    <w:rsid w:val="00787669"/>
    <w:rsid w:val="0078772B"/>
    <w:rsid w:val="00787744"/>
    <w:rsid w:val="00787769"/>
    <w:rsid w:val="007877A8"/>
    <w:rsid w:val="007877E8"/>
    <w:rsid w:val="007878BF"/>
    <w:rsid w:val="007878CE"/>
    <w:rsid w:val="0078799A"/>
    <w:rsid w:val="007879D2"/>
    <w:rsid w:val="00787A4B"/>
    <w:rsid w:val="00787A58"/>
    <w:rsid w:val="00787AA9"/>
    <w:rsid w:val="00787B68"/>
    <w:rsid w:val="00787CE3"/>
    <w:rsid w:val="00787F78"/>
    <w:rsid w:val="00787FC6"/>
    <w:rsid w:val="00787FDB"/>
    <w:rsid w:val="007900C2"/>
    <w:rsid w:val="0079011A"/>
    <w:rsid w:val="00790158"/>
    <w:rsid w:val="0079016E"/>
    <w:rsid w:val="007901C3"/>
    <w:rsid w:val="007901FD"/>
    <w:rsid w:val="0079034D"/>
    <w:rsid w:val="0079035A"/>
    <w:rsid w:val="00790590"/>
    <w:rsid w:val="007905A2"/>
    <w:rsid w:val="007905E2"/>
    <w:rsid w:val="00790674"/>
    <w:rsid w:val="007906EA"/>
    <w:rsid w:val="007907BC"/>
    <w:rsid w:val="007908A9"/>
    <w:rsid w:val="0079094D"/>
    <w:rsid w:val="00790971"/>
    <w:rsid w:val="0079097D"/>
    <w:rsid w:val="00790B17"/>
    <w:rsid w:val="00790B1A"/>
    <w:rsid w:val="00790B54"/>
    <w:rsid w:val="00790C04"/>
    <w:rsid w:val="00790C0D"/>
    <w:rsid w:val="00790C57"/>
    <w:rsid w:val="00790CD6"/>
    <w:rsid w:val="00790D5D"/>
    <w:rsid w:val="00790DD7"/>
    <w:rsid w:val="00790E07"/>
    <w:rsid w:val="00790E55"/>
    <w:rsid w:val="00790E64"/>
    <w:rsid w:val="00790E80"/>
    <w:rsid w:val="00790EC6"/>
    <w:rsid w:val="00790EDF"/>
    <w:rsid w:val="00790F3A"/>
    <w:rsid w:val="00790F55"/>
    <w:rsid w:val="00790F74"/>
    <w:rsid w:val="00790FC9"/>
    <w:rsid w:val="00791095"/>
    <w:rsid w:val="007910CF"/>
    <w:rsid w:val="00791110"/>
    <w:rsid w:val="00791170"/>
    <w:rsid w:val="00791195"/>
    <w:rsid w:val="007911C9"/>
    <w:rsid w:val="007911D4"/>
    <w:rsid w:val="007911FA"/>
    <w:rsid w:val="00791210"/>
    <w:rsid w:val="00791242"/>
    <w:rsid w:val="00791256"/>
    <w:rsid w:val="0079128B"/>
    <w:rsid w:val="007912B9"/>
    <w:rsid w:val="007912C7"/>
    <w:rsid w:val="007912DB"/>
    <w:rsid w:val="007912FC"/>
    <w:rsid w:val="00791342"/>
    <w:rsid w:val="0079141F"/>
    <w:rsid w:val="00791470"/>
    <w:rsid w:val="007914B7"/>
    <w:rsid w:val="007914F1"/>
    <w:rsid w:val="007914F9"/>
    <w:rsid w:val="00791502"/>
    <w:rsid w:val="0079154A"/>
    <w:rsid w:val="00791550"/>
    <w:rsid w:val="007915AE"/>
    <w:rsid w:val="007915D5"/>
    <w:rsid w:val="00791639"/>
    <w:rsid w:val="007916A7"/>
    <w:rsid w:val="00791878"/>
    <w:rsid w:val="00791944"/>
    <w:rsid w:val="00791B70"/>
    <w:rsid w:val="00791BAA"/>
    <w:rsid w:val="00791C41"/>
    <w:rsid w:val="00791C89"/>
    <w:rsid w:val="00791CA7"/>
    <w:rsid w:val="00791CF1"/>
    <w:rsid w:val="00791D3F"/>
    <w:rsid w:val="00791E2B"/>
    <w:rsid w:val="00791E5A"/>
    <w:rsid w:val="00791E73"/>
    <w:rsid w:val="00791E80"/>
    <w:rsid w:val="00791F12"/>
    <w:rsid w:val="00792016"/>
    <w:rsid w:val="007920E6"/>
    <w:rsid w:val="007920F8"/>
    <w:rsid w:val="0079210F"/>
    <w:rsid w:val="0079211D"/>
    <w:rsid w:val="007921E2"/>
    <w:rsid w:val="00792263"/>
    <w:rsid w:val="007922AF"/>
    <w:rsid w:val="007922EA"/>
    <w:rsid w:val="00792465"/>
    <w:rsid w:val="007924B8"/>
    <w:rsid w:val="007925B8"/>
    <w:rsid w:val="0079270C"/>
    <w:rsid w:val="007927C8"/>
    <w:rsid w:val="007927E4"/>
    <w:rsid w:val="007927ED"/>
    <w:rsid w:val="00792807"/>
    <w:rsid w:val="00792979"/>
    <w:rsid w:val="007929A4"/>
    <w:rsid w:val="00792A26"/>
    <w:rsid w:val="00792A42"/>
    <w:rsid w:val="00792AEF"/>
    <w:rsid w:val="00792B17"/>
    <w:rsid w:val="00792BB8"/>
    <w:rsid w:val="00792BE3"/>
    <w:rsid w:val="00792C71"/>
    <w:rsid w:val="00792D6E"/>
    <w:rsid w:val="00792D8E"/>
    <w:rsid w:val="00792DAD"/>
    <w:rsid w:val="00792DBD"/>
    <w:rsid w:val="00792DFD"/>
    <w:rsid w:val="00792E0A"/>
    <w:rsid w:val="00792F2F"/>
    <w:rsid w:val="00793029"/>
    <w:rsid w:val="0079309B"/>
    <w:rsid w:val="007930B9"/>
    <w:rsid w:val="00793158"/>
    <w:rsid w:val="007931BD"/>
    <w:rsid w:val="007932A5"/>
    <w:rsid w:val="007932CE"/>
    <w:rsid w:val="007934AD"/>
    <w:rsid w:val="00793554"/>
    <w:rsid w:val="00793768"/>
    <w:rsid w:val="00793856"/>
    <w:rsid w:val="0079385C"/>
    <w:rsid w:val="00793944"/>
    <w:rsid w:val="007939A3"/>
    <w:rsid w:val="00793A8D"/>
    <w:rsid w:val="00793B1F"/>
    <w:rsid w:val="00793C08"/>
    <w:rsid w:val="00793C2D"/>
    <w:rsid w:val="00793D8D"/>
    <w:rsid w:val="00793D94"/>
    <w:rsid w:val="00793DDD"/>
    <w:rsid w:val="00793E1D"/>
    <w:rsid w:val="00793E22"/>
    <w:rsid w:val="00793EA9"/>
    <w:rsid w:val="00793ED2"/>
    <w:rsid w:val="00793FC8"/>
    <w:rsid w:val="00794060"/>
    <w:rsid w:val="007940A8"/>
    <w:rsid w:val="0079414A"/>
    <w:rsid w:val="007941E6"/>
    <w:rsid w:val="007941FC"/>
    <w:rsid w:val="00794218"/>
    <w:rsid w:val="007942FD"/>
    <w:rsid w:val="0079430D"/>
    <w:rsid w:val="00794326"/>
    <w:rsid w:val="0079435E"/>
    <w:rsid w:val="00794373"/>
    <w:rsid w:val="0079439F"/>
    <w:rsid w:val="007943E0"/>
    <w:rsid w:val="0079442C"/>
    <w:rsid w:val="00794516"/>
    <w:rsid w:val="0079482A"/>
    <w:rsid w:val="007948A1"/>
    <w:rsid w:val="0079493D"/>
    <w:rsid w:val="00794A05"/>
    <w:rsid w:val="00794A68"/>
    <w:rsid w:val="00794AB9"/>
    <w:rsid w:val="00794B36"/>
    <w:rsid w:val="00794C58"/>
    <w:rsid w:val="00794C7F"/>
    <w:rsid w:val="00794CFB"/>
    <w:rsid w:val="00794D29"/>
    <w:rsid w:val="00794D7D"/>
    <w:rsid w:val="00794D7F"/>
    <w:rsid w:val="00794DDF"/>
    <w:rsid w:val="00794E24"/>
    <w:rsid w:val="00794F82"/>
    <w:rsid w:val="0079510B"/>
    <w:rsid w:val="00795124"/>
    <w:rsid w:val="007952FC"/>
    <w:rsid w:val="007953ED"/>
    <w:rsid w:val="00795402"/>
    <w:rsid w:val="0079542D"/>
    <w:rsid w:val="00795445"/>
    <w:rsid w:val="00795496"/>
    <w:rsid w:val="007954B0"/>
    <w:rsid w:val="0079557F"/>
    <w:rsid w:val="007955FC"/>
    <w:rsid w:val="00795641"/>
    <w:rsid w:val="007956C3"/>
    <w:rsid w:val="0079570C"/>
    <w:rsid w:val="00795794"/>
    <w:rsid w:val="007957F7"/>
    <w:rsid w:val="00795850"/>
    <w:rsid w:val="00795A39"/>
    <w:rsid w:val="00795A4A"/>
    <w:rsid w:val="00795B09"/>
    <w:rsid w:val="00795BCF"/>
    <w:rsid w:val="00795C83"/>
    <w:rsid w:val="00795CA5"/>
    <w:rsid w:val="00795CC9"/>
    <w:rsid w:val="00795D86"/>
    <w:rsid w:val="00795EDE"/>
    <w:rsid w:val="00795F25"/>
    <w:rsid w:val="00795F5C"/>
    <w:rsid w:val="00795FE7"/>
    <w:rsid w:val="00795FEB"/>
    <w:rsid w:val="00795FF6"/>
    <w:rsid w:val="007960B3"/>
    <w:rsid w:val="00796138"/>
    <w:rsid w:val="0079627B"/>
    <w:rsid w:val="00796383"/>
    <w:rsid w:val="007963E4"/>
    <w:rsid w:val="0079640D"/>
    <w:rsid w:val="0079649F"/>
    <w:rsid w:val="007964F2"/>
    <w:rsid w:val="007965B2"/>
    <w:rsid w:val="007965C4"/>
    <w:rsid w:val="007965D6"/>
    <w:rsid w:val="0079660E"/>
    <w:rsid w:val="00796694"/>
    <w:rsid w:val="007966D7"/>
    <w:rsid w:val="0079674D"/>
    <w:rsid w:val="00796A26"/>
    <w:rsid w:val="00796B19"/>
    <w:rsid w:val="00796BF9"/>
    <w:rsid w:val="00796C6D"/>
    <w:rsid w:val="00796D79"/>
    <w:rsid w:val="00796DAB"/>
    <w:rsid w:val="00796E23"/>
    <w:rsid w:val="00796F8B"/>
    <w:rsid w:val="00796FA5"/>
    <w:rsid w:val="00796FBA"/>
    <w:rsid w:val="007970DE"/>
    <w:rsid w:val="007971E5"/>
    <w:rsid w:val="007973F7"/>
    <w:rsid w:val="0079740E"/>
    <w:rsid w:val="0079746C"/>
    <w:rsid w:val="0079748F"/>
    <w:rsid w:val="00797540"/>
    <w:rsid w:val="00797564"/>
    <w:rsid w:val="00797598"/>
    <w:rsid w:val="007975EC"/>
    <w:rsid w:val="0079766C"/>
    <w:rsid w:val="00797686"/>
    <w:rsid w:val="00797689"/>
    <w:rsid w:val="00797700"/>
    <w:rsid w:val="00797720"/>
    <w:rsid w:val="00797745"/>
    <w:rsid w:val="007977F1"/>
    <w:rsid w:val="00797808"/>
    <w:rsid w:val="007978BF"/>
    <w:rsid w:val="007979E9"/>
    <w:rsid w:val="00797A5B"/>
    <w:rsid w:val="00797AEA"/>
    <w:rsid w:val="00797BA9"/>
    <w:rsid w:val="00797C93"/>
    <w:rsid w:val="00797D34"/>
    <w:rsid w:val="00797D8F"/>
    <w:rsid w:val="00797DBA"/>
    <w:rsid w:val="00797E15"/>
    <w:rsid w:val="00797E6B"/>
    <w:rsid w:val="00797EA3"/>
    <w:rsid w:val="00797FDE"/>
    <w:rsid w:val="00797FE4"/>
    <w:rsid w:val="0079C2BD"/>
    <w:rsid w:val="0079CEEC"/>
    <w:rsid w:val="007A000D"/>
    <w:rsid w:val="007A0031"/>
    <w:rsid w:val="007A0103"/>
    <w:rsid w:val="007A0279"/>
    <w:rsid w:val="007A0367"/>
    <w:rsid w:val="007A03B3"/>
    <w:rsid w:val="007A03DB"/>
    <w:rsid w:val="007A0422"/>
    <w:rsid w:val="007A04F8"/>
    <w:rsid w:val="007A055D"/>
    <w:rsid w:val="007A056C"/>
    <w:rsid w:val="007A058C"/>
    <w:rsid w:val="007A0745"/>
    <w:rsid w:val="007A07A0"/>
    <w:rsid w:val="007A07B6"/>
    <w:rsid w:val="007A07DD"/>
    <w:rsid w:val="007A0833"/>
    <w:rsid w:val="007A0908"/>
    <w:rsid w:val="007A090A"/>
    <w:rsid w:val="007A0911"/>
    <w:rsid w:val="007A0925"/>
    <w:rsid w:val="007A092C"/>
    <w:rsid w:val="007A0ACA"/>
    <w:rsid w:val="007A0AD2"/>
    <w:rsid w:val="007A0B3B"/>
    <w:rsid w:val="007A0B4D"/>
    <w:rsid w:val="007A0C4B"/>
    <w:rsid w:val="007A0C5A"/>
    <w:rsid w:val="007A0C93"/>
    <w:rsid w:val="007A0CB3"/>
    <w:rsid w:val="007A0D39"/>
    <w:rsid w:val="007A0D56"/>
    <w:rsid w:val="007A0D9E"/>
    <w:rsid w:val="007A0DEF"/>
    <w:rsid w:val="007A0E0A"/>
    <w:rsid w:val="007A0E89"/>
    <w:rsid w:val="007A0F24"/>
    <w:rsid w:val="007A10B1"/>
    <w:rsid w:val="007A10D1"/>
    <w:rsid w:val="007A1136"/>
    <w:rsid w:val="007A12A0"/>
    <w:rsid w:val="007A12F8"/>
    <w:rsid w:val="007A1451"/>
    <w:rsid w:val="007A1458"/>
    <w:rsid w:val="007A153D"/>
    <w:rsid w:val="007A1586"/>
    <w:rsid w:val="007A16EB"/>
    <w:rsid w:val="007A176A"/>
    <w:rsid w:val="007A180E"/>
    <w:rsid w:val="007A1819"/>
    <w:rsid w:val="007A183B"/>
    <w:rsid w:val="007A18C9"/>
    <w:rsid w:val="007A19AC"/>
    <w:rsid w:val="007A19EF"/>
    <w:rsid w:val="007A19F7"/>
    <w:rsid w:val="007A1A13"/>
    <w:rsid w:val="007A1B44"/>
    <w:rsid w:val="007A1B7E"/>
    <w:rsid w:val="007A1C44"/>
    <w:rsid w:val="007A1D0E"/>
    <w:rsid w:val="007A1DC3"/>
    <w:rsid w:val="007A1E6D"/>
    <w:rsid w:val="007A1F68"/>
    <w:rsid w:val="007A2195"/>
    <w:rsid w:val="007A21A8"/>
    <w:rsid w:val="007A221B"/>
    <w:rsid w:val="007A2264"/>
    <w:rsid w:val="007A226B"/>
    <w:rsid w:val="007A226D"/>
    <w:rsid w:val="007A227D"/>
    <w:rsid w:val="007A2378"/>
    <w:rsid w:val="007A241A"/>
    <w:rsid w:val="007A2432"/>
    <w:rsid w:val="007A245D"/>
    <w:rsid w:val="007A24D3"/>
    <w:rsid w:val="007A2574"/>
    <w:rsid w:val="007A2591"/>
    <w:rsid w:val="007A25B9"/>
    <w:rsid w:val="007A25D1"/>
    <w:rsid w:val="007A2650"/>
    <w:rsid w:val="007A26C9"/>
    <w:rsid w:val="007A26D0"/>
    <w:rsid w:val="007A2752"/>
    <w:rsid w:val="007A2820"/>
    <w:rsid w:val="007A283D"/>
    <w:rsid w:val="007A28DB"/>
    <w:rsid w:val="007A28EE"/>
    <w:rsid w:val="007A2905"/>
    <w:rsid w:val="007A2958"/>
    <w:rsid w:val="007A29AD"/>
    <w:rsid w:val="007A2A09"/>
    <w:rsid w:val="007A2AC0"/>
    <w:rsid w:val="007A2BDD"/>
    <w:rsid w:val="007A2CC6"/>
    <w:rsid w:val="007A2CCA"/>
    <w:rsid w:val="007A2D0A"/>
    <w:rsid w:val="007A2D73"/>
    <w:rsid w:val="007A2D7E"/>
    <w:rsid w:val="007A2D94"/>
    <w:rsid w:val="007A2DD5"/>
    <w:rsid w:val="007A2E89"/>
    <w:rsid w:val="007A2EA3"/>
    <w:rsid w:val="007A2EB6"/>
    <w:rsid w:val="007A3130"/>
    <w:rsid w:val="007A3179"/>
    <w:rsid w:val="007A3272"/>
    <w:rsid w:val="007A32A3"/>
    <w:rsid w:val="007A32C1"/>
    <w:rsid w:val="007A3366"/>
    <w:rsid w:val="007A3398"/>
    <w:rsid w:val="007A343D"/>
    <w:rsid w:val="007A347A"/>
    <w:rsid w:val="007A34F1"/>
    <w:rsid w:val="007A358F"/>
    <w:rsid w:val="007A3615"/>
    <w:rsid w:val="007A3649"/>
    <w:rsid w:val="007A365A"/>
    <w:rsid w:val="007A36B4"/>
    <w:rsid w:val="007A3709"/>
    <w:rsid w:val="007A3719"/>
    <w:rsid w:val="007A3747"/>
    <w:rsid w:val="007A3765"/>
    <w:rsid w:val="007A379F"/>
    <w:rsid w:val="007A385A"/>
    <w:rsid w:val="007A38BC"/>
    <w:rsid w:val="007A394E"/>
    <w:rsid w:val="007A399E"/>
    <w:rsid w:val="007A39B0"/>
    <w:rsid w:val="007A39B3"/>
    <w:rsid w:val="007A39B6"/>
    <w:rsid w:val="007A39D6"/>
    <w:rsid w:val="007A39D9"/>
    <w:rsid w:val="007A3B4C"/>
    <w:rsid w:val="007A3B90"/>
    <w:rsid w:val="007A3C1F"/>
    <w:rsid w:val="007A3C28"/>
    <w:rsid w:val="007A3CA7"/>
    <w:rsid w:val="007A3CB4"/>
    <w:rsid w:val="007A3DAA"/>
    <w:rsid w:val="007A3E8F"/>
    <w:rsid w:val="007A3EC4"/>
    <w:rsid w:val="007A3F31"/>
    <w:rsid w:val="007A3FD8"/>
    <w:rsid w:val="007A400D"/>
    <w:rsid w:val="007A40B9"/>
    <w:rsid w:val="007A415E"/>
    <w:rsid w:val="007A4259"/>
    <w:rsid w:val="007A4342"/>
    <w:rsid w:val="007A4368"/>
    <w:rsid w:val="007A439A"/>
    <w:rsid w:val="007A442A"/>
    <w:rsid w:val="007A44D9"/>
    <w:rsid w:val="007A4585"/>
    <w:rsid w:val="007A45DB"/>
    <w:rsid w:val="007A463D"/>
    <w:rsid w:val="007A46EF"/>
    <w:rsid w:val="007A4824"/>
    <w:rsid w:val="007A4834"/>
    <w:rsid w:val="007A4851"/>
    <w:rsid w:val="007A487B"/>
    <w:rsid w:val="007A48BB"/>
    <w:rsid w:val="007A49A1"/>
    <w:rsid w:val="007A49A9"/>
    <w:rsid w:val="007A4B0D"/>
    <w:rsid w:val="007A4B11"/>
    <w:rsid w:val="007A4BA5"/>
    <w:rsid w:val="007A4C4D"/>
    <w:rsid w:val="007A4D72"/>
    <w:rsid w:val="007A4E16"/>
    <w:rsid w:val="007A4E72"/>
    <w:rsid w:val="007A4EAE"/>
    <w:rsid w:val="007A4EBB"/>
    <w:rsid w:val="007A4F54"/>
    <w:rsid w:val="007A5177"/>
    <w:rsid w:val="007A5313"/>
    <w:rsid w:val="007A53EE"/>
    <w:rsid w:val="007A5447"/>
    <w:rsid w:val="007A54CC"/>
    <w:rsid w:val="007A54D1"/>
    <w:rsid w:val="007A55AC"/>
    <w:rsid w:val="007A56E0"/>
    <w:rsid w:val="007A56F0"/>
    <w:rsid w:val="007A572A"/>
    <w:rsid w:val="007A57A1"/>
    <w:rsid w:val="007A5821"/>
    <w:rsid w:val="007A58B9"/>
    <w:rsid w:val="007A590B"/>
    <w:rsid w:val="007A5A66"/>
    <w:rsid w:val="007A5ACF"/>
    <w:rsid w:val="007A5B6E"/>
    <w:rsid w:val="007A5B95"/>
    <w:rsid w:val="007A5C35"/>
    <w:rsid w:val="007A5CDF"/>
    <w:rsid w:val="007A5DA5"/>
    <w:rsid w:val="007A5E2B"/>
    <w:rsid w:val="007A5F25"/>
    <w:rsid w:val="007A60F1"/>
    <w:rsid w:val="007A6107"/>
    <w:rsid w:val="007A6190"/>
    <w:rsid w:val="007A61A3"/>
    <w:rsid w:val="007A61F5"/>
    <w:rsid w:val="007A6323"/>
    <w:rsid w:val="007A6382"/>
    <w:rsid w:val="007A6464"/>
    <w:rsid w:val="007A65DF"/>
    <w:rsid w:val="007A663F"/>
    <w:rsid w:val="007A6669"/>
    <w:rsid w:val="007A66BF"/>
    <w:rsid w:val="007A6703"/>
    <w:rsid w:val="007A682A"/>
    <w:rsid w:val="007A68C4"/>
    <w:rsid w:val="007A695A"/>
    <w:rsid w:val="007A69CF"/>
    <w:rsid w:val="007A6A50"/>
    <w:rsid w:val="007A6AA4"/>
    <w:rsid w:val="007A6AAB"/>
    <w:rsid w:val="007A6B20"/>
    <w:rsid w:val="007A6B26"/>
    <w:rsid w:val="007A6BC1"/>
    <w:rsid w:val="007A6D2A"/>
    <w:rsid w:val="007A6DB8"/>
    <w:rsid w:val="007A6DEB"/>
    <w:rsid w:val="007A6EBF"/>
    <w:rsid w:val="007A7039"/>
    <w:rsid w:val="007A709A"/>
    <w:rsid w:val="007A70AF"/>
    <w:rsid w:val="007A71B4"/>
    <w:rsid w:val="007A7285"/>
    <w:rsid w:val="007A72E6"/>
    <w:rsid w:val="007A735D"/>
    <w:rsid w:val="007A73FF"/>
    <w:rsid w:val="007A7414"/>
    <w:rsid w:val="007A74FA"/>
    <w:rsid w:val="007A7587"/>
    <w:rsid w:val="007A769F"/>
    <w:rsid w:val="007A77BB"/>
    <w:rsid w:val="007A783F"/>
    <w:rsid w:val="007A7857"/>
    <w:rsid w:val="007A78CF"/>
    <w:rsid w:val="007A7941"/>
    <w:rsid w:val="007A79FA"/>
    <w:rsid w:val="007A7A29"/>
    <w:rsid w:val="007A7A50"/>
    <w:rsid w:val="007A7A6E"/>
    <w:rsid w:val="007A7AB8"/>
    <w:rsid w:val="007A7B37"/>
    <w:rsid w:val="007A7B68"/>
    <w:rsid w:val="007A7BC9"/>
    <w:rsid w:val="007A7BF7"/>
    <w:rsid w:val="007A7C20"/>
    <w:rsid w:val="007A7C33"/>
    <w:rsid w:val="007A7C38"/>
    <w:rsid w:val="007A7C7D"/>
    <w:rsid w:val="007A7C8F"/>
    <w:rsid w:val="007A7CF2"/>
    <w:rsid w:val="007A7D7B"/>
    <w:rsid w:val="007A7DB1"/>
    <w:rsid w:val="007A7E8D"/>
    <w:rsid w:val="007A7EC4"/>
    <w:rsid w:val="007A7EC6"/>
    <w:rsid w:val="007A7F04"/>
    <w:rsid w:val="007A7FA4"/>
    <w:rsid w:val="007A7FB8"/>
    <w:rsid w:val="007A7FEA"/>
    <w:rsid w:val="007AA63C"/>
    <w:rsid w:val="007B0015"/>
    <w:rsid w:val="007B0089"/>
    <w:rsid w:val="007B00B1"/>
    <w:rsid w:val="007B0162"/>
    <w:rsid w:val="007B0196"/>
    <w:rsid w:val="007B02FF"/>
    <w:rsid w:val="007B0305"/>
    <w:rsid w:val="007B032A"/>
    <w:rsid w:val="007B03A2"/>
    <w:rsid w:val="007B03FF"/>
    <w:rsid w:val="007B0406"/>
    <w:rsid w:val="007B0548"/>
    <w:rsid w:val="007B0630"/>
    <w:rsid w:val="007B069C"/>
    <w:rsid w:val="007B0739"/>
    <w:rsid w:val="007B0775"/>
    <w:rsid w:val="007B0818"/>
    <w:rsid w:val="007B0824"/>
    <w:rsid w:val="007B08F7"/>
    <w:rsid w:val="007B08FA"/>
    <w:rsid w:val="007B091B"/>
    <w:rsid w:val="007B09F2"/>
    <w:rsid w:val="007B0A2B"/>
    <w:rsid w:val="007B0A54"/>
    <w:rsid w:val="007B0A91"/>
    <w:rsid w:val="007B0D8C"/>
    <w:rsid w:val="007B0ED9"/>
    <w:rsid w:val="007B0F20"/>
    <w:rsid w:val="007B0F55"/>
    <w:rsid w:val="007B0FF0"/>
    <w:rsid w:val="007B1079"/>
    <w:rsid w:val="007B1092"/>
    <w:rsid w:val="007B1149"/>
    <w:rsid w:val="007B116B"/>
    <w:rsid w:val="007B1220"/>
    <w:rsid w:val="007B1233"/>
    <w:rsid w:val="007B1238"/>
    <w:rsid w:val="007B1267"/>
    <w:rsid w:val="007B139A"/>
    <w:rsid w:val="007B13C2"/>
    <w:rsid w:val="007B13D8"/>
    <w:rsid w:val="007B1472"/>
    <w:rsid w:val="007B1490"/>
    <w:rsid w:val="007B14E7"/>
    <w:rsid w:val="007B15C4"/>
    <w:rsid w:val="007B1680"/>
    <w:rsid w:val="007B17A1"/>
    <w:rsid w:val="007B1803"/>
    <w:rsid w:val="007B18BE"/>
    <w:rsid w:val="007B18CA"/>
    <w:rsid w:val="007B195D"/>
    <w:rsid w:val="007B1996"/>
    <w:rsid w:val="007B19CD"/>
    <w:rsid w:val="007B19D5"/>
    <w:rsid w:val="007B1A7C"/>
    <w:rsid w:val="007B1B14"/>
    <w:rsid w:val="007B1B32"/>
    <w:rsid w:val="007B1B3C"/>
    <w:rsid w:val="007B1B52"/>
    <w:rsid w:val="007B1BD7"/>
    <w:rsid w:val="007B1C00"/>
    <w:rsid w:val="007B1C12"/>
    <w:rsid w:val="007B1C25"/>
    <w:rsid w:val="007B1C6C"/>
    <w:rsid w:val="007B1C8D"/>
    <w:rsid w:val="007B1C90"/>
    <w:rsid w:val="007B1CF2"/>
    <w:rsid w:val="007B1DED"/>
    <w:rsid w:val="007B1E29"/>
    <w:rsid w:val="007B1E85"/>
    <w:rsid w:val="007B1F69"/>
    <w:rsid w:val="007B1F76"/>
    <w:rsid w:val="007B207A"/>
    <w:rsid w:val="007B20A9"/>
    <w:rsid w:val="007B20C7"/>
    <w:rsid w:val="007B222A"/>
    <w:rsid w:val="007B2315"/>
    <w:rsid w:val="007B246C"/>
    <w:rsid w:val="007B24EA"/>
    <w:rsid w:val="007B24ED"/>
    <w:rsid w:val="007B2519"/>
    <w:rsid w:val="007B256A"/>
    <w:rsid w:val="007B2656"/>
    <w:rsid w:val="007B2665"/>
    <w:rsid w:val="007B269B"/>
    <w:rsid w:val="007B26A5"/>
    <w:rsid w:val="007B27BC"/>
    <w:rsid w:val="007B2977"/>
    <w:rsid w:val="007B298E"/>
    <w:rsid w:val="007B29CC"/>
    <w:rsid w:val="007B29ED"/>
    <w:rsid w:val="007B2BF2"/>
    <w:rsid w:val="007B2CA1"/>
    <w:rsid w:val="007B2CE1"/>
    <w:rsid w:val="007B2E15"/>
    <w:rsid w:val="007B2E25"/>
    <w:rsid w:val="007B2E5F"/>
    <w:rsid w:val="007B2E84"/>
    <w:rsid w:val="007B2EE5"/>
    <w:rsid w:val="007B2FE9"/>
    <w:rsid w:val="007B307F"/>
    <w:rsid w:val="007B30B6"/>
    <w:rsid w:val="007B30CA"/>
    <w:rsid w:val="007B313D"/>
    <w:rsid w:val="007B3148"/>
    <w:rsid w:val="007B31AD"/>
    <w:rsid w:val="007B320B"/>
    <w:rsid w:val="007B321E"/>
    <w:rsid w:val="007B32C9"/>
    <w:rsid w:val="007B32F0"/>
    <w:rsid w:val="007B3305"/>
    <w:rsid w:val="007B3349"/>
    <w:rsid w:val="007B334A"/>
    <w:rsid w:val="007B3380"/>
    <w:rsid w:val="007B33D5"/>
    <w:rsid w:val="007B3444"/>
    <w:rsid w:val="007B34B3"/>
    <w:rsid w:val="007B355A"/>
    <w:rsid w:val="007B35C7"/>
    <w:rsid w:val="007B35D3"/>
    <w:rsid w:val="007B3636"/>
    <w:rsid w:val="007B364A"/>
    <w:rsid w:val="007B3708"/>
    <w:rsid w:val="007B374F"/>
    <w:rsid w:val="007B3810"/>
    <w:rsid w:val="007B38D6"/>
    <w:rsid w:val="007B390B"/>
    <w:rsid w:val="007B3ABF"/>
    <w:rsid w:val="007B3C42"/>
    <w:rsid w:val="007B3D6E"/>
    <w:rsid w:val="007B3EFD"/>
    <w:rsid w:val="007B3F01"/>
    <w:rsid w:val="007B3F0D"/>
    <w:rsid w:val="007B3F2C"/>
    <w:rsid w:val="007B3FEB"/>
    <w:rsid w:val="007B4023"/>
    <w:rsid w:val="007B403A"/>
    <w:rsid w:val="007B409C"/>
    <w:rsid w:val="007B4188"/>
    <w:rsid w:val="007B4209"/>
    <w:rsid w:val="007B427C"/>
    <w:rsid w:val="007B42CD"/>
    <w:rsid w:val="007B4342"/>
    <w:rsid w:val="007B4364"/>
    <w:rsid w:val="007B43D3"/>
    <w:rsid w:val="007B445E"/>
    <w:rsid w:val="007B4525"/>
    <w:rsid w:val="007B457E"/>
    <w:rsid w:val="007B460E"/>
    <w:rsid w:val="007B4642"/>
    <w:rsid w:val="007B46CC"/>
    <w:rsid w:val="007B46D7"/>
    <w:rsid w:val="007B480D"/>
    <w:rsid w:val="007B4897"/>
    <w:rsid w:val="007B48E5"/>
    <w:rsid w:val="007B491F"/>
    <w:rsid w:val="007B497B"/>
    <w:rsid w:val="007B4A18"/>
    <w:rsid w:val="007B4A34"/>
    <w:rsid w:val="007B4AB2"/>
    <w:rsid w:val="007B4B5B"/>
    <w:rsid w:val="007B4B5C"/>
    <w:rsid w:val="007B4B85"/>
    <w:rsid w:val="007B4C4D"/>
    <w:rsid w:val="007B4CCC"/>
    <w:rsid w:val="007B4CF5"/>
    <w:rsid w:val="007B4D1D"/>
    <w:rsid w:val="007B4D4A"/>
    <w:rsid w:val="007B4E5A"/>
    <w:rsid w:val="007B4E9B"/>
    <w:rsid w:val="007B4EA1"/>
    <w:rsid w:val="007B4F28"/>
    <w:rsid w:val="007B5025"/>
    <w:rsid w:val="007B502C"/>
    <w:rsid w:val="007B5076"/>
    <w:rsid w:val="007B507E"/>
    <w:rsid w:val="007B50BE"/>
    <w:rsid w:val="007B5206"/>
    <w:rsid w:val="007B52CB"/>
    <w:rsid w:val="007B52E3"/>
    <w:rsid w:val="007B5356"/>
    <w:rsid w:val="007B5432"/>
    <w:rsid w:val="007B5468"/>
    <w:rsid w:val="007B558F"/>
    <w:rsid w:val="007B55C1"/>
    <w:rsid w:val="007B5614"/>
    <w:rsid w:val="007B56BD"/>
    <w:rsid w:val="007B56F6"/>
    <w:rsid w:val="007B57E3"/>
    <w:rsid w:val="007B588F"/>
    <w:rsid w:val="007B58B6"/>
    <w:rsid w:val="007B599B"/>
    <w:rsid w:val="007B5A0A"/>
    <w:rsid w:val="007B5AB8"/>
    <w:rsid w:val="007B5B31"/>
    <w:rsid w:val="007B5BA1"/>
    <w:rsid w:val="007B5DC4"/>
    <w:rsid w:val="007B5DDB"/>
    <w:rsid w:val="007B5E16"/>
    <w:rsid w:val="007B5E25"/>
    <w:rsid w:val="007B5E67"/>
    <w:rsid w:val="007B5EE0"/>
    <w:rsid w:val="007B5F2B"/>
    <w:rsid w:val="007B5F4B"/>
    <w:rsid w:val="007B5FEC"/>
    <w:rsid w:val="007B60FE"/>
    <w:rsid w:val="007B614D"/>
    <w:rsid w:val="007B61A1"/>
    <w:rsid w:val="007B629D"/>
    <w:rsid w:val="007B62F3"/>
    <w:rsid w:val="007B632F"/>
    <w:rsid w:val="007B63FF"/>
    <w:rsid w:val="007B6422"/>
    <w:rsid w:val="007B64D5"/>
    <w:rsid w:val="007B6566"/>
    <w:rsid w:val="007B6643"/>
    <w:rsid w:val="007B67F7"/>
    <w:rsid w:val="007B6830"/>
    <w:rsid w:val="007B6873"/>
    <w:rsid w:val="007B691D"/>
    <w:rsid w:val="007B6938"/>
    <w:rsid w:val="007B69D3"/>
    <w:rsid w:val="007B69FA"/>
    <w:rsid w:val="007B6A05"/>
    <w:rsid w:val="007B6A3B"/>
    <w:rsid w:val="007B6A40"/>
    <w:rsid w:val="007B6A44"/>
    <w:rsid w:val="007B6A60"/>
    <w:rsid w:val="007B6B91"/>
    <w:rsid w:val="007B6B93"/>
    <w:rsid w:val="007B6C03"/>
    <w:rsid w:val="007B6C2E"/>
    <w:rsid w:val="007B6C91"/>
    <w:rsid w:val="007B6CE6"/>
    <w:rsid w:val="007B6D96"/>
    <w:rsid w:val="007B6E5D"/>
    <w:rsid w:val="007B6EC4"/>
    <w:rsid w:val="007B6F16"/>
    <w:rsid w:val="007B6F89"/>
    <w:rsid w:val="007B7010"/>
    <w:rsid w:val="007B70B1"/>
    <w:rsid w:val="007B70C6"/>
    <w:rsid w:val="007B71D3"/>
    <w:rsid w:val="007B7354"/>
    <w:rsid w:val="007B7380"/>
    <w:rsid w:val="007B7385"/>
    <w:rsid w:val="007B73D1"/>
    <w:rsid w:val="007B73F1"/>
    <w:rsid w:val="007B7407"/>
    <w:rsid w:val="007B741D"/>
    <w:rsid w:val="007B7420"/>
    <w:rsid w:val="007B74F5"/>
    <w:rsid w:val="007B74FC"/>
    <w:rsid w:val="007B769C"/>
    <w:rsid w:val="007B7727"/>
    <w:rsid w:val="007B7740"/>
    <w:rsid w:val="007B7752"/>
    <w:rsid w:val="007B7875"/>
    <w:rsid w:val="007B78B6"/>
    <w:rsid w:val="007B7904"/>
    <w:rsid w:val="007B794F"/>
    <w:rsid w:val="007B7958"/>
    <w:rsid w:val="007B7A30"/>
    <w:rsid w:val="007B7A3E"/>
    <w:rsid w:val="007B7B17"/>
    <w:rsid w:val="007B7B41"/>
    <w:rsid w:val="007B7B5C"/>
    <w:rsid w:val="007B7C05"/>
    <w:rsid w:val="007B7C06"/>
    <w:rsid w:val="007B7C0D"/>
    <w:rsid w:val="007B7C3C"/>
    <w:rsid w:val="007B7C43"/>
    <w:rsid w:val="007B7C96"/>
    <w:rsid w:val="007B7C97"/>
    <w:rsid w:val="007B7D92"/>
    <w:rsid w:val="007B7D93"/>
    <w:rsid w:val="007B7DB3"/>
    <w:rsid w:val="007B7DD8"/>
    <w:rsid w:val="007B7E43"/>
    <w:rsid w:val="007B7E52"/>
    <w:rsid w:val="007B7E80"/>
    <w:rsid w:val="007C0079"/>
    <w:rsid w:val="007C0114"/>
    <w:rsid w:val="007C014D"/>
    <w:rsid w:val="007C01B3"/>
    <w:rsid w:val="007C0271"/>
    <w:rsid w:val="007C02C3"/>
    <w:rsid w:val="007C038C"/>
    <w:rsid w:val="007C0392"/>
    <w:rsid w:val="007C0410"/>
    <w:rsid w:val="007C0413"/>
    <w:rsid w:val="007C049F"/>
    <w:rsid w:val="007C06C4"/>
    <w:rsid w:val="007C06E2"/>
    <w:rsid w:val="007C0744"/>
    <w:rsid w:val="007C0747"/>
    <w:rsid w:val="007C07E3"/>
    <w:rsid w:val="007C0881"/>
    <w:rsid w:val="007C0A35"/>
    <w:rsid w:val="007C0AE3"/>
    <w:rsid w:val="007C0B4D"/>
    <w:rsid w:val="007C0B80"/>
    <w:rsid w:val="007C0B88"/>
    <w:rsid w:val="007C0BCB"/>
    <w:rsid w:val="007C0D66"/>
    <w:rsid w:val="007C0D67"/>
    <w:rsid w:val="007C0DEE"/>
    <w:rsid w:val="007C0EA0"/>
    <w:rsid w:val="007C0EAB"/>
    <w:rsid w:val="007C0FBA"/>
    <w:rsid w:val="007C10CE"/>
    <w:rsid w:val="007C117E"/>
    <w:rsid w:val="007C1257"/>
    <w:rsid w:val="007C1271"/>
    <w:rsid w:val="007C12CA"/>
    <w:rsid w:val="007C12D9"/>
    <w:rsid w:val="007C1314"/>
    <w:rsid w:val="007C135B"/>
    <w:rsid w:val="007C136A"/>
    <w:rsid w:val="007C13C0"/>
    <w:rsid w:val="007C13F0"/>
    <w:rsid w:val="007C13F2"/>
    <w:rsid w:val="007C1417"/>
    <w:rsid w:val="007C164C"/>
    <w:rsid w:val="007C1697"/>
    <w:rsid w:val="007C1766"/>
    <w:rsid w:val="007C17B0"/>
    <w:rsid w:val="007C17DC"/>
    <w:rsid w:val="007C180B"/>
    <w:rsid w:val="007C1863"/>
    <w:rsid w:val="007C18E8"/>
    <w:rsid w:val="007C1949"/>
    <w:rsid w:val="007C196F"/>
    <w:rsid w:val="007C19A2"/>
    <w:rsid w:val="007C1A7A"/>
    <w:rsid w:val="007C1B2E"/>
    <w:rsid w:val="007C1C0B"/>
    <w:rsid w:val="007C1C2F"/>
    <w:rsid w:val="007C1C93"/>
    <w:rsid w:val="007C1CE2"/>
    <w:rsid w:val="007C1CF1"/>
    <w:rsid w:val="007C1D44"/>
    <w:rsid w:val="007C1D9A"/>
    <w:rsid w:val="007C1DAD"/>
    <w:rsid w:val="007C1DAF"/>
    <w:rsid w:val="007C1E2A"/>
    <w:rsid w:val="007C1E9D"/>
    <w:rsid w:val="007C1EAE"/>
    <w:rsid w:val="007C1ECB"/>
    <w:rsid w:val="007C1ED9"/>
    <w:rsid w:val="007C1EF5"/>
    <w:rsid w:val="007C1FC2"/>
    <w:rsid w:val="007C1FC7"/>
    <w:rsid w:val="007C1FEB"/>
    <w:rsid w:val="007C2047"/>
    <w:rsid w:val="007C2093"/>
    <w:rsid w:val="007C209F"/>
    <w:rsid w:val="007C21A6"/>
    <w:rsid w:val="007C2226"/>
    <w:rsid w:val="007C2287"/>
    <w:rsid w:val="007C22AB"/>
    <w:rsid w:val="007C2432"/>
    <w:rsid w:val="007C24BC"/>
    <w:rsid w:val="007C25AA"/>
    <w:rsid w:val="007C261A"/>
    <w:rsid w:val="007C27C0"/>
    <w:rsid w:val="007C2831"/>
    <w:rsid w:val="007C287E"/>
    <w:rsid w:val="007C28D8"/>
    <w:rsid w:val="007C28E7"/>
    <w:rsid w:val="007C28E8"/>
    <w:rsid w:val="007C2ACA"/>
    <w:rsid w:val="007C2B04"/>
    <w:rsid w:val="007C2BDC"/>
    <w:rsid w:val="007C2C60"/>
    <w:rsid w:val="007C2C7C"/>
    <w:rsid w:val="007C2C7E"/>
    <w:rsid w:val="007C2D94"/>
    <w:rsid w:val="007C2DC3"/>
    <w:rsid w:val="007C2E2F"/>
    <w:rsid w:val="007C2E54"/>
    <w:rsid w:val="007C2ED6"/>
    <w:rsid w:val="007C3030"/>
    <w:rsid w:val="007C3096"/>
    <w:rsid w:val="007C3190"/>
    <w:rsid w:val="007C31CB"/>
    <w:rsid w:val="007C35D0"/>
    <w:rsid w:val="007C35F3"/>
    <w:rsid w:val="007C3613"/>
    <w:rsid w:val="007C361E"/>
    <w:rsid w:val="007C362E"/>
    <w:rsid w:val="007C3661"/>
    <w:rsid w:val="007C371F"/>
    <w:rsid w:val="007C3765"/>
    <w:rsid w:val="007C382C"/>
    <w:rsid w:val="007C3842"/>
    <w:rsid w:val="007C39AF"/>
    <w:rsid w:val="007C3A09"/>
    <w:rsid w:val="007C3A46"/>
    <w:rsid w:val="007C3A78"/>
    <w:rsid w:val="007C3A80"/>
    <w:rsid w:val="007C3B47"/>
    <w:rsid w:val="007C3B6E"/>
    <w:rsid w:val="007C3C1A"/>
    <w:rsid w:val="007C3C1F"/>
    <w:rsid w:val="007C3C76"/>
    <w:rsid w:val="007C3D12"/>
    <w:rsid w:val="007C3D1D"/>
    <w:rsid w:val="007C3DF3"/>
    <w:rsid w:val="007C3E03"/>
    <w:rsid w:val="007C3E2D"/>
    <w:rsid w:val="007C3F60"/>
    <w:rsid w:val="007C3F9A"/>
    <w:rsid w:val="007C3F9B"/>
    <w:rsid w:val="007C3FE8"/>
    <w:rsid w:val="007C3FF2"/>
    <w:rsid w:val="007C4129"/>
    <w:rsid w:val="007C4168"/>
    <w:rsid w:val="007C4183"/>
    <w:rsid w:val="007C41D5"/>
    <w:rsid w:val="007C41EF"/>
    <w:rsid w:val="007C420B"/>
    <w:rsid w:val="007C4263"/>
    <w:rsid w:val="007C4286"/>
    <w:rsid w:val="007C436E"/>
    <w:rsid w:val="007C4386"/>
    <w:rsid w:val="007C4469"/>
    <w:rsid w:val="007C44CB"/>
    <w:rsid w:val="007C4514"/>
    <w:rsid w:val="007C45FC"/>
    <w:rsid w:val="007C4633"/>
    <w:rsid w:val="007C4652"/>
    <w:rsid w:val="007C4755"/>
    <w:rsid w:val="007C4759"/>
    <w:rsid w:val="007C47AD"/>
    <w:rsid w:val="007C47C1"/>
    <w:rsid w:val="007C489E"/>
    <w:rsid w:val="007C48B7"/>
    <w:rsid w:val="007C48FE"/>
    <w:rsid w:val="007C4938"/>
    <w:rsid w:val="007C4956"/>
    <w:rsid w:val="007C4994"/>
    <w:rsid w:val="007C4B7A"/>
    <w:rsid w:val="007C4B9E"/>
    <w:rsid w:val="007C4BC8"/>
    <w:rsid w:val="007C4BE3"/>
    <w:rsid w:val="007C4BE5"/>
    <w:rsid w:val="007C4C4B"/>
    <w:rsid w:val="007C4C8D"/>
    <w:rsid w:val="007C4CC6"/>
    <w:rsid w:val="007C4CC8"/>
    <w:rsid w:val="007C4CD3"/>
    <w:rsid w:val="007C4CEA"/>
    <w:rsid w:val="007C4DFC"/>
    <w:rsid w:val="007C4F26"/>
    <w:rsid w:val="007C4F60"/>
    <w:rsid w:val="007C4FB2"/>
    <w:rsid w:val="007C4FC0"/>
    <w:rsid w:val="007C5046"/>
    <w:rsid w:val="007C5066"/>
    <w:rsid w:val="007C5104"/>
    <w:rsid w:val="007C514D"/>
    <w:rsid w:val="007C51B6"/>
    <w:rsid w:val="007C52EE"/>
    <w:rsid w:val="007C535F"/>
    <w:rsid w:val="007C5366"/>
    <w:rsid w:val="007C53B2"/>
    <w:rsid w:val="007C53FB"/>
    <w:rsid w:val="007C5421"/>
    <w:rsid w:val="007C5496"/>
    <w:rsid w:val="007C54AB"/>
    <w:rsid w:val="007C5505"/>
    <w:rsid w:val="007C552E"/>
    <w:rsid w:val="007C5646"/>
    <w:rsid w:val="007C5710"/>
    <w:rsid w:val="007C5835"/>
    <w:rsid w:val="007C5849"/>
    <w:rsid w:val="007C584D"/>
    <w:rsid w:val="007C5930"/>
    <w:rsid w:val="007C59EF"/>
    <w:rsid w:val="007C5A05"/>
    <w:rsid w:val="007C5A14"/>
    <w:rsid w:val="007C5A29"/>
    <w:rsid w:val="007C5B30"/>
    <w:rsid w:val="007C5CBF"/>
    <w:rsid w:val="007C5CC0"/>
    <w:rsid w:val="007C5D46"/>
    <w:rsid w:val="007C5D9F"/>
    <w:rsid w:val="007C5F4B"/>
    <w:rsid w:val="007C5FA4"/>
    <w:rsid w:val="007C5FC4"/>
    <w:rsid w:val="007C6019"/>
    <w:rsid w:val="007C606C"/>
    <w:rsid w:val="007C618E"/>
    <w:rsid w:val="007C61B9"/>
    <w:rsid w:val="007C61D5"/>
    <w:rsid w:val="007C6292"/>
    <w:rsid w:val="007C630A"/>
    <w:rsid w:val="007C63CF"/>
    <w:rsid w:val="007C6550"/>
    <w:rsid w:val="007C6610"/>
    <w:rsid w:val="007C6656"/>
    <w:rsid w:val="007C670A"/>
    <w:rsid w:val="007C680D"/>
    <w:rsid w:val="007C6826"/>
    <w:rsid w:val="007C6833"/>
    <w:rsid w:val="007C696C"/>
    <w:rsid w:val="007C699A"/>
    <w:rsid w:val="007C69A5"/>
    <w:rsid w:val="007C69F5"/>
    <w:rsid w:val="007C6AB3"/>
    <w:rsid w:val="007C6AF6"/>
    <w:rsid w:val="007C6B45"/>
    <w:rsid w:val="007C6B7A"/>
    <w:rsid w:val="007C6BD5"/>
    <w:rsid w:val="007C6BE6"/>
    <w:rsid w:val="007C6D13"/>
    <w:rsid w:val="007C6D5B"/>
    <w:rsid w:val="007C6DBA"/>
    <w:rsid w:val="007C6E68"/>
    <w:rsid w:val="007C6EBF"/>
    <w:rsid w:val="007C6EEA"/>
    <w:rsid w:val="007C6F05"/>
    <w:rsid w:val="007C7034"/>
    <w:rsid w:val="007C70F7"/>
    <w:rsid w:val="007C7104"/>
    <w:rsid w:val="007C7177"/>
    <w:rsid w:val="007C7196"/>
    <w:rsid w:val="007C71B1"/>
    <w:rsid w:val="007C71E8"/>
    <w:rsid w:val="007C7218"/>
    <w:rsid w:val="007C72B3"/>
    <w:rsid w:val="007C7303"/>
    <w:rsid w:val="007C731A"/>
    <w:rsid w:val="007C73A6"/>
    <w:rsid w:val="007C73C6"/>
    <w:rsid w:val="007C7493"/>
    <w:rsid w:val="007C74B5"/>
    <w:rsid w:val="007C7559"/>
    <w:rsid w:val="007C759B"/>
    <w:rsid w:val="007C75D1"/>
    <w:rsid w:val="007C75F3"/>
    <w:rsid w:val="007C7679"/>
    <w:rsid w:val="007C7692"/>
    <w:rsid w:val="007C76AC"/>
    <w:rsid w:val="007C7784"/>
    <w:rsid w:val="007C778E"/>
    <w:rsid w:val="007C7802"/>
    <w:rsid w:val="007C7868"/>
    <w:rsid w:val="007C78B5"/>
    <w:rsid w:val="007C7950"/>
    <w:rsid w:val="007C7B2C"/>
    <w:rsid w:val="007C7BCF"/>
    <w:rsid w:val="007C7C6C"/>
    <w:rsid w:val="007C7C7E"/>
    <w:rsid w:val="007C7CAC"/>
    <w:rsid w:val="007C7CDC"/>
    <w:rsid w:val="007C7CDD"/>
    <w:rsid w:val="007C7CF1"/>
    <w:rsid w:val="007C7CF3"/>
    <w:rsid w:val="007C7D20"/>
    <w:rsid w:val="007C7E2B"/>
    <w:rsid w:val="007C7E6A"/>
    <w:rsid w:val="007C7E89"/>
    <w:rsid w:val="007C7EB2"/>
    <w:rsid w:val="007C7F11"/>
    <w:rsid w:val="007C7FA9"/>
    <w:rsid w:val="007CA3EB"/>
    <w:rsid w:val="007D0123"/>
    <w:rsid w:val="007D01E5"/>
    <w:rsid w:val="007D028A"/>
    <w:rsid w:val="007D0408"/>
    <w:rsid w:val="007D041B"/>
    <w:rsid w:val="007D0436"/>
    <w:rsid w:val="007D052E"/>
    <w:rsid w:val="007D054E"/>
    <w:rsid w:val="007D064F"/>
    <w:rsid w:val="007D065A"/>
    <w:rsid w:val="007D0673"/>
    <w:rsid w:val="007D0745"/>
    <w:rsid w:val="007D07D1"/>
    <w:rsid w:val="007D08B1"/>
    <w:rsid w:val="007D0917"/>
    <w:rsid w:val="007D0985"/>
    <w:rsid w:val="007D0A0D"/>
    <w:rsid w:val="007D0AB7"/>
    <w:rsid w:val="007D0ABC"/>
    <w:rsid w:val="007D0BEF"/>
    <w:rsid w:val="007D0C70"/>
    <w:rsid w:val="007D0CAD"/>
    <w:rsid w:val="007D0D80"/>
    <w:rsid w:val="007D0E4A"/>
    <w:rsid w:val="007D0E94"/>
    <w:rsid w:val="007D0FBD"/>
    <w:rsid w:val="007D0FD5"/>
    <w:rsid w:val="007D1052"/>
    <w:rsid w:val="007D109A"/>
    <w:rsid w:val="007D10A8"/>
    <w:rsid w:val="007D10AF"/>
    <w:rsid w:val="007D11A3"/>
    <w:rsid w:val="007D11C6"/>
    <w:rsid w:val="007D12B5"/>
    <w:rsid w:val="007D1393"/>
    <w:rsid w:val="007D1436"/>
    <w:rsid w:val="007D143E"/>
    <w:rsid w:val="007D14D6"/>
    <w:rsid w:val="007D1505"/>
    <w:rsid w:val="007D1551"/>
    <w:rsid w:val="007D15BE"/>
    <w:rsid w:val="007D15C7"/>
    <w:rsid w:val="007D160E"/>
    <w:rsid w:val="007D160F"/>
    <w:rsid w:val="007D16F5"/>
    <w:rsid w:val="007D175D"/>
    <w:rsid w:val="007D1833"/>
    <w:rsid w:val="007D1869"/>
    <w:rsid w:val="007D1887"/>
    <w:rsid w:val="007D18C9"/>
    <w:rsid w:val="007D19B5"/>
    <w:rsid w:val="007D19EA"/>
    <w:rsid w:val="007D1A3E"/>
    <w:rsid w:val="007D1BED"/>
    <w:rsid w:val="007D1BF6"/>
    <w:rsid w:val="007D1CB4"/>
    <w:rsid w:val="007D1CCB"/>
    <w:rsid w:val="007D1D62"/>
    <w:rsid w:val="007D1E17"/>
    <w:rsid w:val="007D1FA7"/>
    <w:rsid w:val="007D1FC0"/>
    <w:rsid w:val="007D1FDE"/>
    <w:rsid w:val="007D20F1"/>
    <w:rsid w:val="007D20FC"/>
    <w:rsid w:val="007D219F"/>
    <w:rsid w:val="007D21F3"/>
    <w:rsid w:val="007D2220"/>
    <w:rsid w:val="007D2262"/>
    <w:rsid w:val="007D2270"/>
    <w:rsid w:val="007D2318"/>
    <w:rsid w:val="007D231E"/>
    <w:rsid w:val="007D232A"/>
    <w:rsid w:val="007D23AA"/>
    <w:rsid w:val="007D23C2"/>
    <w:rsid w:val="007D23F3"/>
    <w:rsid w:val="007D242E"/>
    <w:rsid w:val="007D2453"/>
    <w:rsid w:val="007D248E"/>
    <w:rsid w:val="007D24D6"/>
    <w:rsid w:val="007D252A"/>
    <w:rsid w:val="007D258D"/>
    <w:rsid w:val="007D25B7"/>
    <w:rsid w:val="007D2635"/>
    <w:rsid w:val="007D2694"/>
    <w:rsid w:val="007D2726"/>
    <w:rsid w:val="007D27A4"/>
    <w:rsid w:val="007D27E0"/>
    <w:rsid w:val="007D27FD"/>
    <w:rsid w:val="007D2824"/>
    <w:rsid w:val="007D2880"/>
    <w:rsid w:val="007D2950"/>
    <w:rsid w:val="007D297B"/>
    <w:rsid w:val="007D29A4"/>
    <w:rsid w:val="007D29BA"/>
    <w:rsid w:val="007D29C3"/>
    <w:rsid w:val="007D29C9"/>
    <w:rsid w:val="007D2A0C"/>
    <w:rsid w:val="007D2BDA"/>
    <w:rsid w:val="007D2BFB"/>
    <w:rsid w:val="007D2CA7"/>
    <w:rsid w:val="007D2CA8"/>
    <w:rsid w:val="007D2CFD"/>
    <w:rsid w:val="007D2D07"/>
    <w:rsid w:val="007D2D0E"/>
    <w:rsid w:val="007D2D8A"/>
    <w:rsid w:val="007D2D8D"/>
    <w:rsid w:val="007D2DC5"/>
    <w:rsid w:val="007D2F33"/>
    <w:rsid w:val="007D3073"/>
    <w:rsid w:val="007D30B7"/>
    <w:rsid w:val="007D30EB"/>
    <w:rsid w:val="007D3277"/>
    <w:rsid w:val="007D329E"/>
    <w:rsid w:val="007D347C"/>
    <w:rsid w:val="007D34DF"/>
    <w:rsid w:val="007D3642"/>
    <w:rsid w:val="007D36BB"/>
    <w:rsid w:val="007D375E"/>
    <w:rsid w:val="007D377C"/>
    <w:rsid w:val="007D3795"/>
    <w:rsid w:val="007D3820"/>
    <w:rsid w:val="007D38D7"/>
    <w:rsid w:val="007D3A0F"/>
    <w:rsid w:val="007D3A22"/>
    <w:rsid w:val="007D3A3C"/>
    <w:rsid w:val="007D3A5A"/>
    <w:rsid w:val="007D3B0F"/>
    <w:rsid w:val="007D3C29"/>
    <w:rsid w:val="007D3C52"/>
    <w:rsid w:val="007D3CF6"/>
    <w:rsid w:val="007D3D00"/>
    <w:rsid w:val="007D3EC0"/>
    <w:rsid w:val="007D3EC3"/>
    <w:rsid w:val="007D3F4F"/>
    <w:rsid w:val="007D3F5E"/>
    <w:rsid w:val="007D3FCA"/>
    <w:rsid w:val="007D403E"/>
    <w:rsid w:val="007D404E"/>
    <w:rsid w:val="007D40B3"/>
    <w:rsid w:val="007D4134"/>
    <w:rsid w:val="007D4212"/>
    <w:rsid w:val="007D4221"/>
    <w:rsid w:val="007D4296"/>
    <w:rsid w:val="007D429F"/>
    <w:rsid w:val="007D42B2"/>
    <w:rsid w:val="007D42CC"/>
    <w:rsid w:val="007D42FF"/>
    <w:rsid w:val="007D430C"/>
    <w:rsid w:val="007D438E"/>
    <w:rsid w:val="007D43EC"/>
    <w:rsid w:val="007D4425"/>
    <w:rsid w:val="007D44BA"/>
    <w:rsid w:val="007D45C3"/>
    <w:rsid w:val="007D45C6"/>
    <w:rsid w:val="007D4620"/>
    <w:rsid w:val="007D4630"/>
    <w:rsid w:val="007D4669"/>
    <w:rsid w:val="007D4684"/>
    <w:rsid w:val="007D46A8"/>
    <w:rsid w:val="007D47C6"/>
    <w:rsid w:val="007D47E9"/>
    <w:rsid w:val="007D47EA"/>
    <w:rsid w:val="007D482A"/>
    <w:rsid w:val="007D48A3"/>
    <w:rsid w:val="007D4BAE"/>
    <w:rsid w:val="007D4BB3"/>
    <w:rsid w:val="007D4BC4"/>
    <w:rsid w:val="007D4C85"/>
    <w:rsid w:val="007D4C8E"/>
    <w:rsid w:val="007D4CE5"/>
    <w:rsid w:val="007D4D8A"/>
    <w:rsid w:val="007D4DFC"/>
    <w:rsid w:val="007D4E6C"/>
    <w:rsid w:val="007D4F09"/>
    <w:rsid w:val="007D4F61"/>
    <w:rsid w:val="007D4F94"/>
    <w:rsid w:val="007D4FAA"/>
    <w:rsid w:val="007D4FE6"/>
    <w:rsid w:val="007D50F8"/>
    <w:rsid w:val="007D5137"/>
    <w:rsid w:val="007D51C2"/>
    <w:rsid w:val="007D52FA"/>
    <w:rsid w:val="007D5377"/>
    <w:rsid w:val="007D5392"/>
    <w:rsid w:val="007D53F3"/>
    <w:rsid w:val="007D541E"/>
    <w:rsid w:val="007D54EE"/>
    <w:rsid w:val="007D54F1"/>
    <w:rsid w:val="007D553A"/>
    <w:rsid w:val="007D55E9"/>
    <w:rsid w:val="007D56D6"/>
    <w:rsid w:val="007D5745"/>
    <w:rsid w:val="007D5786"/>
    <w:rsid w:val="007D5803"/>
    <w:rsid w:val="007D5982"/>
    <w:rsid w:val="007D59A3"/>
    <w:rsid w:val="007D59A8"/>
    <w:rsid w:val="007D5BDD"/>
    <w:rsid w:val="007D5D90"/>
    <w:rsid w:val="007D5EC2"/>
    <w:rsid w:val="007D601C"/>
    <w:rsid w:val="007D6151"/>
    <w:rsid w:val="007D6269"/>
    <w:rsid w:val="007D6291"/>
    <w:rsid w:val="007D62DA"/>
    <w:rsid w:val="007D62EA"/>
    <w:rsid w:val="007D63F4"/>
    <w:rsid w:val="007D6479"/>
    <w:rsid w:val="007D64B0"/>
    <w:rsid w:val="007D64CE"/>
    <w:rsid w:val="007D6622"/>
    <w:rsid w:val="007D6723"/>
    <w:rsid w:val="007D6747"/>
    <w:rsid w:val="007D67DE"/>
    <w:rsid w:val="007D67F6"/>
    <w:rsid w:val="007D6944"/>
    <w:rsid w:val="007D6987"/>
    <w:rsid w:val="007D6999"/>
    <w:rsid w:val="007D6ABF"/>
    <w:rsid w:val="007D6C7F"/>
    <w:rsid w:val="007D6D9D"/>
    <w:rsid w:val="007D6DD0"/>
    <w:rsid w:val="007D6E2F"/>
    <w:rsid w:val="007D6E90"/>
    <w:rsid w:val="007D6F9B"/>
    <w:rsid w:val="007D6FAE"/>
    <w:rsid w:val="007D6FCC"/>
    <w:rsid w:val="007D7021"/>
    <w:rsid w:val="007D703A"/>
    <w:rsid w:val="007D7168"/>
    <w:rsid w:val="007D718F"/>
    <w:rsid w:val="007D71CA"/>
    <w:rsid w:val="007D71DD"/>
    <w:rsid w:val="007D71F7"/>
    <w:rsid w:val="007D728C"/>
    <w:rsid w:val="007D7379"/>
    <w:rsid w:val="007D737E"/>
    <w:rsid w:val="007D752F"/>
    <w:rsid w:val="007D7623"/>
    <w:rsid w:val="007D7752"/>
    <w:rsid w:val="007D77E6"/>
    <w:rsid w:val="007D77F9"/>
    <w:rsid w:val="007D7899"/>
    <w:rsid w:val="007D78E4"/>
    <w:rsid w:val="007D7967"/>
    <w:rsid w:val="007D7985"/>
    <w:rsid w:val="007D7A58"/>
    <w:rsid w:val="007D7A77"/>
    <w:rsid w:val="007D7A8D"/>
    <w:rsid w:val="007D7B25"/>
    <w:rsid w:val="007D7B54"/>
    <w:rsid w:val="007D7BBA"/>
    <w:rsid w:val="007D7BDD"/>
    <w:rsid w:val="007D7C67"/>
    <w:rsid w:val="007D7C9E"/>
    <w:rsid w:val="007D7D61"/>
    <w:rsid w:val="007D7E44"/>
    <w:rsid w:val="007D7ED1"/>
    <w:rsid w:val="007D7F23"/>
    <w:rsid w:val="007D7F41"/>
    <w:rsid w:val="007DD786"/>
    <w:rsid w:val="007E0062"/>
    <w:rsid w:val="007E0174"/>
    <w:rsid w:val="007E01B5"/>
    <w:rsid w:val="007E01B9"/>
    <w:rsid w:val="007E02B1"/>
    <w:rsid w:val="007E02D3"/>
    <w:rsid w:val="007E02FB"/>
    <w:rsid w:val="007E034D"/>
    <w:rsid w:val="007E03C2"/>
    <w:rsid w:val="007E0870"/>
    <w:rsid w:val="007E0880"/>
    <w:rsid w:val="007E08AC"/>
    <w:rsid w:val="007E0947"/>
    <w:rsid w:val="007E0954"/>
    <w:rsid w:val="007E09EF"/>
    <w:rsid w:val="007E0A43"/>
    <w:rsid w:val="007E0A86"/>
    <w:rsid w:val="007E0AD8"/>
    <w:rsid w:val="007E0B6E"/>
    <w:rsid w:val="007E0BA5"/>
    <w:rsid w:val="007E0C6F"/>
    <w:rsid w:val="007E0D3A"/>
    <w:rsid w:val="007E0D44"/>
    <w:rsid w:val="007E0D85"/>
    <w:rsid w:val="007E0E55"/>
    <w:rsid w:val="007E0E89"/>
    <w:rsid w:val="007E0F52"/>
    <w:rsid w:val="007E105B"/>
    <w:rsid w:val="007E105E"/>
    <w:rsid w:val="007E1095"/>
    <w:rsid w:val="007E10A9"/>
    <w:rsid w:val="007E10CC"/>
    <w:rsid w:val="007E1123"/>
    <w:rsid w:val="007E11BE"/>
    <w:rsid w:val="007E11F1"/>
    <w:rsid w:val="007E12CD"/>
    <w:rsid w:val="007E16D8"/>
    <w:rsid w:val="007E17D7"/>
    <w:rsid w:val="007E183A"/>
    <w:rsid w:val="007E18DD"/>
    <w:rsid w:val="007E1928"/>
    <w:rsid w:val="007E1974"/>
    <w:rsid w:val="007E1A2A"/>
    <w:rsid w:val="007E1A4C"/>
    <w:rsid w:val="007E1A51"/>
    <w:rsid w:val="007E1B20"/>
    <w:rsid w:val="007E1C09"/>
    <w:rsid w:val="007E1C66"/>
    <w:rsid w:val="007E1CB1"/>
    <w:rsid w:val="007E1CB7"/>
    <w:rsid w:val="007E1CD6"/>
    <w:rsid w:val="007E1D45"/>
    <w:rsid w:val="007E1D49"/>
    <w:rsid w:val="007E1D9C"/>
    <w:rsid w:val="007E1DAF"/>
    <w:rsid w:val="007E1DCE"/>
    <w:rsid w:val="007E1F5D"/>
    <w:rsid w:val="007E2025"/>
    <w:rsid w:val="007E2057"/>
    <w:rsid w:val="007E20EE"/>
    <w:rsid w:val="007E2176"/>
    <w:rsid w:val="007E21FB"/>
    <w:rsid w:val="007E223A"/>
    <w:rsid w:val="007E23B9"/>
    <w:rsid w:val="007E2483"/>
    <w:rsid w:val="007E24C1"/>
    <w:rsid w:val="007E256B"/>
    <w:rsid w:val="007E265F"/>
    <w:rsid w:val="007E2662"/>
    <w:rsid w:val="007E2667"/>
    <w:rsid w:val="007E26A2"/>
    <w:rsid w:val="007E26C6"/>
    <w:rsid w:val="007E26E8"/>
    <w:rsid w:val="007E26FE"/>
    <w:rsid w:val="007E2709"/>
    <w:rsid w:val="007E2711"/>
    <w:rsid w:val="007E278C"/>
    <w:rsid w:val="007E2795"/>
    <w:rsid w:val="007E2807"/>
    <w:rsid w:val="007E284A"/>
    <w:rsid w:val="007E2850"/>
    <w:rsid w:val="007E290E"/>
    <w:rsid w:val="007E29B3"/>
    <w:rsid w:val="007E2A6D"/>
    <w:rsid w:val="007E2A8F"/>
    <w:rsid w:val="007E2B8F"/>
    <w:rsid w:val="007E2BF1"/>
    <w:rsid w:val="007E2C0F"/>
    <w:rsid w:val="007E2C8E"/>
    <w:rsid w:val="007E2D1F"/>
    <w:rsid w:val="007E2D51"/>
    <w:rsid w:val="007E2DBF"/>
    <w:rsid w:val="007E2EB4"/>
    <w:rsid w:val="007E2F03"/>
    <w:rsid w:val="007E2F53"/>
    <w:rsid w:val="007E30DF"/>
    <w:rsid w:val="007E32E1"/>
    <w:rsid w:val="007E333B"/>
    <w:rsid w:val="007E3364"/>
    <w:rsid w:val="007E33AC"/>
    <w:rsid w:val="007E33C8"/>
    <w:rsid w:val="007E33CE"/>
    <w:rsid w:val="007E33D1"/>
    <w:rsid w:val="007E3543"/>
    <w:rsid w:val="007E35A2"/>
    <w:rsid w:val="007E36C0"/>
    <w:rsid w:val="007E3781"/>
    <w:rsid w:val="007E382E"/>
    <w:rsid w:val="007E3856"/>
    <w:rsid w:val="007E39C1"/>
    <w:rsid w:val="007E3A52"/>
    <w:rsid w:val="007E3BC0"/>
    <w:rsid w:val="007E3BE5"/>
    <w:rsid w:val="007E3C20"/>
    <w:rsid w:val="007E3C9A"/>
    <w:rsid w:val="007E3CA7"/>
    <w:rsid w:val="007E3CFC"/>
    <w:rsid w:val="007E3F39"/>
    <w:rsid w:val="007E3F8B"/>
    <w:rsid w:val="007E3FEA"/>
    <w:rsid w:val="007E40F0"/>
    <w:rsid w:val="007E40FF"/>
    <w:rsid w:val="007E412D"/>
    <w:rsid w:val="007E41A7"/>
    <w:rsid w:val="007E42D6"/>
    <w:rsid w:val="007E42D8"/>
    <w:rsid w:val="007E4360"/>
    <w:rsid w:val="007E4392"/>
    <w:rsid w:val="007E43F1"/>
    <w:rsid w:val="007E440D"/>
    <w:rsid w:val="007E4469"/>
    <w:rsid w:val="007E447C"/>
    <w:rsid w:val="007E451A"/>
    <w:rsid w:val="007E452F"/>
    <w:rsid w:val="007E4588"/>
    <w:rsid w:val="007E45E5"/>
    <w:rsid w:val="007E45ED"/>
    <w:rsid w:val="007E467F"/>
    <w:rsid w:val="007E46A9"/>
    <w:rsid w:val="007E473E"/>
    <w:rsid w:val="007E4749"/>
    <w:rsid w:val="007E47A6"/>
    <w:rsid w:val="007E487B"/>
    <w:rsid w:val="007E4883"/>
    <w:rsid w:val="007E48DC"/>
    <w:rsid w:val="007E4A56"/>
    <w:rsid w:val="007E4ACC"/>
    <w:rsid w:val="007E4B23"/>
    <w:rsid w:val="007E4B29"/>
    <w:rsid w:val="007E4BAA"/>
    <w:rsid w:val="007E4C1B"/>
    <w:rsid w:val="007E4C20"/>
    <w:rsid w:val="007E4CD9"/>
    <w:rsid w:val="007E4CE1"/>
    <w:rsid w:val="007E4CFE"/>
    <w:rsid w:val="007E4DD0"/>
    <w:rsid w:val="007E4E61"/>
    <w:rsid w:val="007E4E89"/>
    <w:rsid w:val="007E4ED7"/>
    <w:rsid w:val="007E4F63"/>
    <w:rsid w:val="007E4FAF"/>
    <w:rsid w:val="007E5017"/>
    <w:rsid w:val="007E51AA"/>
    <w:rsid w:val="007E51E3"/>
    <w:rsid w:val="007E5251"/>
    <w:rsid w:val="007E5253"/>
    <w:rsid w:val="007E5256"/>
    <w:rsid w:val="007E5367"/>
    <w:rsid w:val="007E53F3"/>
    <w:rsid w:val="007E55B8"/>
    <w:rsid w:val="007E5692"/>
    <w:rsid w:val="007E56A5"/>
    <w:rsid w:val="007E5745"/>
    <w:rsid w:val="007E57D3"/>
    <w:rsid w:val="007E580C"/>
    <w:rsid w:val="007E58D8"/>
    <w:rsid w:val="007E5980"/>
    <w:rsid w:val="007E5A7E"/>
    <w:rsid w:val="007E5AAD"/>
    <w:rsid w:val="007E5B66"/>
    <w:rsid w:val="007E5B91"/>
    <w:rsid w:val="007E5BE8"/>
    <w:rsid w:val="007E5C4D"/>
    <w:rsid w:val="007E5C8A"/>
    <w:rsid w:val="007E5CC6"/>
    <w:rsid w:val="007E5D54"/>
    <w:rsid w:val="007E5D7D"/>
    <w:rsid w:val="007E5E6D"/>
    <w:rsid w:val="007E5F90"/>
    <w:rsid w:val="007E604C"/>
    <w:rsid w:val="007E607C"/>
    <w:rsid w:val="007E6080"/>
    <w:rsid w:val="007E61AB"/>
    <w:rsid w:val="007E6227"/>
    <w:rsid w:val="007E631C"/>
    <w:rsid w:val="007E6382"/>
    <w:rsid w:val="007E63AF"/>
    <w:rsid w:val="007E6464"/>
    <w:rsid w:val="007E65AD"/>
    <w:rsid w:val="007E66AA"/>
    <w:rsid w:val="007E671C"/>
    <w:rsid w:val="007E675B"/>
    <w:rsid w:val="007E677C"/>
    <w:rsid w:val="007E68D9"/>
    <w:rsid w:val="007E691D"/>
    <w:rsid w:val="007E692C"/>
    <w:rsid w:val="007E6950"/>
    <w:rsid w:val="007E69E8"/>
    <w:rsid w:val="007E69F6"/>
    <w:rsid w:val="007E6A99"/>
    <w:rsid w:val="007E6B04"/>
    <w:rsid w:val="007E6B68"/>
    <w:rsid w:val="007E6BA5"/>
    <w:rsid w:val="007E6C44"/>
    <w:rsid w:val="007E6C71"/>
    <w:rsid w:val="007E6C88"/>
    <w:rsid w:val="007E6D1A"/>
    <w:rsid w:val="007E6D74"/>
    <w:rsid w:val="007E6E07"/>
    <w:rsid w:val="007E6E26"/>
    <w:rsid w:val="007E6E9F"/>
    <w:rsid w:val="007E6EAC"/>
    <w:rsid w:val="007E6F70"/>
    <w:rsid w:val="007E704B"/>
    <w:rsid w:val="007E71BF"/>
    <w:rsid w:val="007E7296"/>
    <w:rsid w:val="007E738D"/>
    <w:rsid w:val="007E73A2"/>
    <w:rsid w:val="007E7440"/>
    <w:rsid w:val="007E754E"/>
    <w:rsid w:val="007E755D"/>
    <w:rsid w:val="007E75CD"/>
    <w:rsid w:val="007E7617"/>
    <w:rsid w:val="007E7703"/>
    <w:rsid w:val="007E7807"/>
    <w:rsid w:val="007E785B"/>
    <w:rsid w:val="007E7899"/>
    <w:rsid w:val="007E78C8"/>
    <w:rsid w:val="007E799C"/>
    <w:rsid w:val="007E79D0"/>
    <w:rsid w:val="007E7A32"/>
    <w:rsid w:val="007E7AA6"/>
    <w:rsid w:val="007E7AB5"/>
    <w:rsid w:val="007E7B6C"/>
    <w:rsid w:val="007E7BC1"/>
    <w:rsid w:val="007E7C16"/>
    <w:rsid w:val="007E7E12"/>
    <w:rsid w:val="007E7E83"/>
    <w:rsid w:val="007E7EED"/>
    <w:rsid w:val="007E7EEE"/>
    <w:rsid w:val="007E7EF4"/>
    <w:rsid w:val="007E7F1B"/>
    <w:rsid w:val="007E7F23"/>
    <w:rsid w:val="007E7F32"/>
    <w:rsid w:val="007E7FBB"/>
    <w:rsid w:val="007EA8AD"/>
    <w:rsid w:val="007F0031"/>
    <w:rsid w:val="007F010F"/>
    <w:rsid w:val="007F01EE"/>
    <w:rsid w:val="007F021D"/>
    <w:rsid w:val="007F026C"/>
    <w:rsid w:val="007F02CC"/>
    <w:rsid w:val="007F0325"/>
    <w:rsid w:val="007F033B"/>
    <w:rsid w:val="007F0396"/>
    <w:rsid w:val="007F03C4"/>
    <w:rsid w:val="007F0433"/>
    <w:rsid w:val="007F0471"/>
    <w:rsid w:val="007F04CA"/>
    <w:rsid w:val="007F04F8"/>
    <w:rsid w:val="007F050F"/>
    <w:rsid w:val="007F057C"/>
    <w:rsid w:val="007F05CA"/>
    <w:rsid w:val="007F060A"/>
    <w:rsid w:val="007F0648"/>
    <w:rsid w:val="007F0734"/>
    <w:rsid w:val="007F07B5"/>
    <w:rsid w:val="007F0867"/>
    <w:rsid w:val="007F0871"/>
    <w:rsid w:val="007F087E"/>
    <w:rsid w:val="007F0945"/>
    <w:rsid w:val="007F0B85"/>
    <w:rsid w:val="007F0B89"/>
    <w:rsid w:val="007F0B8B"/>
    <w:rsid w:val="007F0BAC"/>
    <w:rsid w:val="007F0BD4"/>
    <w:rsid w:val="007F0C34"/>
    <w:rsid w:val="007F0CBF"/>
    <w:rsid w:val="007F0CE4"/>
    <w:rsid w:val="007F0EAF"/>
    <w:rsid w:val="007F104F"/>
    <w:rsid w:val="007F1052"/>
    <w:rsid w:val="007F10B3"/>
    <w:rsid w:val="007F115B"/>
    <w:rsid w:val="007F1198"/>
    <w:rsid w:val="007F1245"/>
    <w:rsid w:val="007F1258"/>
    <w:rsid w:val="007F1360"/>
    <w:rsid w:val="007F1456"/>
    <w:rsid w:val="007F147C"/>
    <w:rsid w:val="007F158D"/>
    <w:rsid w:val="007F1590"/>
    <w:rsid w:val="007F1636"/>
    <w:rsid w:val="007F16C6"/>
    <w:rsid w:val="007F16D6"/>
    <w:rsid w:val="007F183E"/>
    <w:rsid w:val="007F18C2"/>
    <w:rsid w:val="007F18D5"/>
    <w:rsid w:val="007F19CD"/>
    <w:rsid w:val="007F1A22"/>
    <w:rsid w:val="007F1A64"/>
    <w:rsid w:val="007F1BC9"/>
    <w:rsid w:val="007F1CB0"/>
    <w:rsid w:val="007F1CDB"/>
    <w:rsid w:val="007F1CE6"/>
    <w:rsid w:val="007F1D70"/>
    <w:rsid w:val="007F1DA2"/>
    <w:rsid w:val="007F1DD4"/>
    <w:rsid w:val="007F1E59"/>
    <w:rsid w:val="007F1FB8"/>
    <w:rsid w:val="007F1FD1"/>
    <w:rsid w:val="007F2017"/>
    <w:rsid w:val="007F2021"/>
    <w:rsid w:val="007F20B7"/>
    <w:rsid w:val="007F20C9"/>
    <w:rsid w:val="007F211D"/>
    <w:rsid w:val="007F2184"/>
    <w:rsid w:val="007F2215"/>
    <w:rsid w:val="007F2249"/>
    <w:rsid w:val="007F22CE"/>
    <w:rsid w:val="007F22EE"/>
    <w:rsid w:val="007F23E7"/>
    <w:rsid w:val="007F244A"/>
    <w:rsid w:val="007F247E"/>
    <w:rsid w:val="007F2590"/>
    <w:rsid w:val="007F25E2"/>
    <w:rsid w:val="007F26DB"/>
    <w:rsid w:val="007F277E"/>
    <w:rsid w:val="007F27D1"/>
    <w:rsid w:val="007F27D7"/>
    <w:rsid w:val="007F27E2"/>
    <w:rsid w:val="007F27E6"/>
    <w:rsid w:val="007F287B"/>
    <w:rsid w:val="007F2941"/>
    <w:rsid w:val="007F298F"/>
    <w:rsid w:val="007F299C"/>
    <w:rsid w:val="007F29F9"/>
    <w:rsid w:val="007F2AA2"/>
    <w:rsid w:val="007F2BDC"/>
    <w:rsid w:val="007F2CE7"/>
    <w:rsid w:val="007F2CF6"/>
    <w:rsid w:val="007F2DE8"/>
    <w:rsid w:val="007F2EDE"/>
    <w:rsid w:val="007F2EE7"/>
    <w:rsid w:val="007F2EE9"/>
    <w:rsid w:val="007F2F7B"/>
    <w:rsid w:val="007F2F7E"/>
    <w:rsid w:val="007F2FCE"/>
    <w:rsid w:val="007F2FFF"/>
    <w:rsid w:val="007F3072"/>
    <w:rsid w:val="007F30F6"/>
    <w:rsid w:val="007F3156"/>
    <w:rsid w:val="007F3186"/>
    <w:rsid w:val="007F319E"/>
    <w:rsid w:val="007F31C1"/>
    <w:rsid w:val="007F33BC"/>
    <w:rsid w:val="007F3454"/>
    <w:rsid w:val="007F3457"/>
    <w:rsid w:val="007F350A"/>
    <w:rsid w:val="007F354B"/>
    <w:rsid w:val="007F362A"/>
    <w:rsid w:val="007F3702"/>
    <w:rsid w:val="007F3756"/>
    <w:rsid w:val="007F3814"/>
    <w:rsid w:val="007F3838"/>
    <w:rsid w:val="007F38AA"/>
    <w:rsid w:val="007F39E3"/>
    <w:rsid w:val="007F3A02"/>
    <w:rsid w:val="007F3A47"/>
    <w:rsid w:val="007F3AAA"/>
    <w:rsid w:val="007F3B29"/>
    <w:rsid w:val="007F3CAF"/>
    <w:rsid w:val="007F3D6E"/>
    <w:rsid w:val="007F3DA1"/>
    <w:rsid w:val="007F3DBE"/>
    <w:rsid w:val="007F3E3F"/>
    <w:rsid w:val="007F3EE5"/>
    <w:rsid w:val="007F3FD2"/>
    <w:rsid w:val="007F3FF6"/>
    <w:rsid w:val="007F406A"/>
    <w:rsid w:val="007F4106"/>
    <w:rsid w:val="007F412F"/>
    <w:rsid w:val="007F4151"/>
    <w:rsid w:val="007F4152"/>
    <w:rsid w:val="007F41EB"/>
    <w:rsid w:val="007F4214"/>
    <w:rsid w:val="007F42CF"/>
    <w:rsid w:val="007F44A2"/>
    <w:rsid w:val="007F4583"/>
    <w:rsid w:val="007F45E6"/>
    <w:rsid w:val="007F45EB"/>
    <w:rsid w:val="007F477E"/>
    <w:rsid w:val="007F4784"/>
    <w:rsid w:val="007F47CD"/>
    <w:rsid w:val="007F47E0"/>
    <w:rsid w:val="007F485E"/>
    <w:rsid w:val="007F4A80"/>
    <w:rsid w:val="007F4AB7"/>
    <w:rsid w:val="007F4AD7"/>
    <w:rsid w:val="007F4B4E"/>
    <w:rsid w:val="007F4B8E"/>
    <w:rsid w:val="007F4CA3"/>
    <w:rsid w:val="007F4CBB"/>
    <w:rsid w:val="007F4D2E"/>
    <w:rsid w:val="007F4D52"/>
    <w:rsid w:val="007F4EA9"/>
    <w:rsid w:val="007F4EFC"/>
    <w:rsid w:val="007F509D"/>
    <w:rsid w:val="007F50CB"/>
    <w:rsid w:val="007F5160"/>
    <w:rsid w:val="007F518E"/>
    <w:rsid w:val="007F51AA"/>
    <w:rsid w:val="007F51D0"/>
    <w:rsid w:val="007F524A"/>
    <w:rsid w:val="007F529A"/>
    <w:rsid w:val="007F52A1"/>
    <w:rsid w:val="007F52BC"/>
    <w:rsid w:val="007F52CB"/>
    <w:rsid w:val="007F530E"/>
    <w:rsid w:val="007F5389"/>
    <w:rsid w:val="007F53D8"/>
    <w:rsid w:val="007F5477"/>
    <w:rsid w:val="007F5566"/>
    <w:rsid w:val="007F556C"/>
    <w:rsid w:val="007F5593"/>
    <w:rsid w:val="007F55D9"/>
    <w:rsid w:val="007F55E9"/>
    <w:rsid w:val="007F5652"/>
    <w:rsid w:val="007F5681"/>
    <w:rsid w:val="007F56D5"/>
    <w:rsid w:val="007F5876"/>
    <w:rsid w:val="007F589C"/>
    <w:rsid w:val="007F5A56"/>
    <w:rsid w:val="007F5A62"/>
    <w:rsid w:val="007F5B88"/>
    <w:rsid w:val="007F5BA7"/>
    <w:rsid w:val="007F5BE2"/>
    <w:rsid w:val="007F5C31"/>
    <w:rsid w:val="007F5CE5"/>
    <w:rsid w:val="007F5D05"/>
    <w:rsid w:val="007F5D5C"/>
    <w:rsid w:val="007F5D70"/>
    <w:rsid w:val="007F5D96"/>
    <w:rsid w:val="007F5DAD"/>
    <w:rsid w:val="007F5E07"/>
    <w:rsid w:val="007F5E6A"/>
    <w:rsid w:val="007F5EC0"/>
    <w:rsid w:val="007F6139"/>
    <w:rsid w:val="007F61AC"/>
    <w:rsid w:val="007F61CD"/>
    <w:rsid w:val="007F621D"/>
    <w:rsid w:val="007F624A"/>
    <w:rsid w:val="007F6283"/>
    <w:rsid w:val="007F628E"/>
    <w:rsid w:val="007F6340"/>
    <w:rsid w:val="007F634E"/>
    <w:rsid w:val="007F6382"/>
    <w:rsid w:val="007F63CA"/>
    <w:rsid w:val="007F6448"/>
    <w:rsid w:val="007F6490"/>
    <w:rsid w:val="007F6499"/>
    <w:rsid w:val="007F64C0"/>
    <w:rsid w:val="007F650C"/>
    <w:rsid w:val="007F65A1"/>
    <w:rsid w:val="007F662D"/>
    <w:rsid w:val="007F66EC"/>
    <w:rsid w:val="007F674F"/>
    <w:rsid w:val="007F67B0"/>
    <w:rsid w:val="007F6800"/>
    <w:rsid w:val="007F6888"/>
    <w:rsid w:val="007F6903"/>
    <w:rsid w:val="007F69EF"/>
    <w:rsid w:val="007F6A39"/>
    <w:rsid w:val="007F6B9C"/>
    <w:rsid w:val="007F6BF2"/>
    <w:rsid w:val="007F6DD8"/>
    <w:rsid w:val="007F6E53"/>
    <w:rsid w:val="007F6EA9"/>
    <w:rsid w:val="007F6F25"/>
    <w:rsid w:val="007F6F41"/>
    <w:rsid w:val="007F6FDE"/>
    <w:rsid w:val="007F7129"/>
    <w:rsid w:val="007F7212"/>
    <w:rsid w:val="007F734A"/>
    <w:rsid w:val="007F7478"/>
    <w:rsid w:val="007F74B3"/>
    <w:rsid w:val="007F74C7"/>
    <w:rsid w:val="007F757B"/>
    <w:rsid w:val="007F75FB"/>
    <w:rsid w:val="007F760A"/>
    <w:rsid w:val="007F7644"/>
    <w:rsid w:val="007F76F4"/>
    <w:rsid w:val="007F7713"/>
    <w:rsid w:val="007F7736"/>
    <w:rsid w:val="007F7906"/>
    <w:rsid w:val="007F7AB8"/>
    <w:rsid w:val="007F7BC3"/>
    <w:rsid w:val="007F7BE9"/>
    <w:rsid w:val="007F7C1B"/>
    <w:rsid w:val="007F7CBB"/>
    <w:rsid w:val="007F7CCA"/>
    <w:rsid w:val="007F7D1F"/>
    <w:rsid w:val="007F7D3C"/>
    <w:rsid w:val="007F7DAA"/>
    <w:rsid w:val="007F7DEB"/>
    <w:rsid w:val="007F7E5A"/>
    <w:rsid w:val="007F7FDC"/>
    <w:rsid w:val="00800039"/>
    <w:rsid w:val="00800068"/>
    <w:rsid w:val="00800094"/>
    <w:rsid w:val="00800097"/>
    <w:rsid w:val="008000B9"/>
    <w:rsid w:val="008000C7"/>
    <w:rsid w:val="00800124"/>
    <w:rsid w:val="00800130"/>
    <w:rsid w:val="0080019D"/>
    <w:rsid w:val="0080040F"/>
    <w:rsid w:val="00800438"/>
    <w:rsid w:val="00800465"/>
    <w:rsid w:val="0080049D"/>
    <w:rsid w:val="00800557"/>
    <w:rsid w:val="008005C3"/>
    <w:rsid w:val="0080068F"/>
    <w:rsid w:val="00800692"/>
    <w:rsid w:val="0080069C"/>
    <w:rsid w:val="0080076F"/>
    <w:rsid w:val="008007E4"/>
    <w:rsid w:val="0080080B"/>
    <w:rsid w:val="00800855"/>
    <w:rsid w:val="008008E9"/>
    <w:rsid w:val="00800953"/>
    <w:rsid w:val="00800A48"/>
    <w:rsid w:val="00800A56"/>
    <w:rsid w:val="00800AEE"/>
    <w:rsid w:val="00800AF3"/>
    <w:rsid w:val="00800B32"/>
    <w:rsid w:val="00800D20"/>
    <w:rsid w:val="00800D76"/>
    <w:rsid w:val="00800E2C"/>
    <w:rsid w:val="00800E5C"/>
    <w:rsid w:val="008010AD"/>
    <w:rsid w:val="00801126"/>
    <w:rsid w:val="00801152"/>
    <w:rsid w:val="0080117E"/>
    <w:rsid w:val="008011A6"/>
    <w:rsid w:val="008011A9"/>
    <w:rsid w:val="008011D6"/>
    <w:rsid w:val="00801543"/>
    <w:rsid w:val="008015A1"/>
    <w:rsid w:val="008015C6"/>
    <w:rsid w:val="0080173D"/>
    <w:rsid w:val="0080176A"/>
    <w:rsid w:val="008017AF"/>
    <w:rsid w:val="0080186B"/>
    <w:rsid w:val="00801904"/>
    <w:rsid w:val="00801B4C"/>
    <w:rsid w:val="00801B84"/>
    <w:rsid w:val="00801C20"/>
    <w:rsid w:val="00801CD0"/>
    <w:rsid w:val="00801D84"/>
    <w:rsid w:val="00801E25"/>
    <w:rsid w:val="00801E48"/>
    <w:rsid w:val="00801F1B"/>
    <w:rsid w:val="00802015"/>
    <w:rsid w:val="0080207D"/>
    <w:rsid w:val="008020A0"/>
    <w:rsid w:val="008020AC"/>
    <w:rsid w:val="008020FB"/>
    <w:rsid w:val="00802136"/>
    <w:rsid w:val="008021D1"/>
    <w:rsid w:val="00802254"/>
    <w:rsid w:val="0080238E"/>
    <w:rsid w:val="008023B7"/>
    <w:rsid w:val="008023D8"/>
    <w:rsid w:val="00802458"/>
    <w:rsid w:val="0080249C"/>
    <w:rsid w:val="008025B8"/>
    <w:rsid w:val="0080264E"/>
    <w:rsid w:val="008026EA"/>
    <w:rsid w:val="00802742"/>
    <w:rsid w:val="00802759"/>
    <w:rsid w:val="008028A5"/>
    <w:rsid w:val="008029AC"/>
    <w:rsid w:val="008029AE"/>
    <w:rsid w:val="00802AB6"/>
    <w:rsid w:val="00802AFE"/>
    <w:rsid w:val="00802B78"/>
    <w:rsid w:val="00802D1D"/>
    <w:rsid w:val="00802DE8"/>
    <w:rsid w:val="00802E0C"/>
    <w:rsid w:val="00802E3C"/>
    <w:rsid w:val="00802E46"/>
    <w:rsid w:val="00802E63"/>
    <w:rsid w:val="00802EEE"/>
    <w:rsid w:val="00802F8D"/>
    <w:rsid w:val="00802FAD"/>
    <w:rsid w:val="00802FC6"/>
    <w:rsid w:val="00802FD9"/>
    <w:rsid w:val="00803005"/>
    <w:rsid w:val="00803417"/>
    <w:rsid w:val="00803460"/>
    <w:rsid w:val="0080347C"/>
    <w:rsid w:val="00803480"/>
    <w:rsid w:val="00803484"/>
    <w:rsid w:val="00803524"/>
    <w:rsid w:val="008035E5"/>
    <w:rsid w:val="00803642"/>
    <w:rsid w:val="008036AD"/>
    <w:rsid w:val="008036C1"/>
    <w:rsid w:val="0080378C"/>
    <w:rsid w:val="008037CA"/>
    <w:rsid w:val="00803840"/>
    <w:rsid w:val="00803860"/>
    <w:rsid w:val="008038EB"/>
    <w:rsid w:val="0080399A"/>
    <w:rsid w:val="008039B2"/>
    <w:rsid w:val="00803A4D"/>
    <w:rsid w:val="00803A5E"/>
    <w:rsid w:val="00803AD2"/>
    <w:rsid w:val="00803B13"/>
    <w:rsid w:val="00803B5E"/>
    <w:rsid w:val="00803BC7"/>
    <w:rsid w:val="00803C0E"/>
    <w:rsid w:val="00803C5F"/>
    <w:rsid w:val="00803C64"/>
    <w:rsid w:val="00803CF3"/>
    <w:rsid w:val="00803CFF"/>
    <w:rsid w:val="00803D3C"/>
    <w:rsid w:val="00803DA1"/>
    <w:rsid w:val="00803E2B"/>
    <w:rsid w:val="00803EFA"/>
    <w:rsid w:val="0080408E"/>
    <w:rsid w:val="008040A9"/>
    <w:rsid w:val="0080412C"/>
    <w:rsid w:val="008041A3"/>
    <w:rsid w:val="0080428D"/>
    <w:rsid w:val="008042BA"/>
    <w:rsid w:val="008042F5"/>
    <w:rsid w:val="008042FA"/>
    <w:rsid w:val="008043A6"/>
    <w:rsid w:val="008043A8"/>
    <w:rsid w:val="008043D6"/>
    <w:rsid w:val="00804412"/>
    <w:rsid w:val="00804424"/>
    <w:rsid w:val="008044A3"/>
    <w:rsid w:val="008044B4"/>
    <w:rsid w:val="008044DD"/>
    <w:rsid w:val="00804503"/>
    <w:rsid w:val="00804528"/>
    <w:rsid w:val="00804585"/>
    <w:rsid w:val="0080480C"/>
    <w:rsid w:val="008048DE"/>
    <w:rsid w:val="00804968"/>
    <w:rsid w:val="0080496F"/>
    <w:rsid w:val="008049DD"/>
    <w:rsid w:val="00804A1F"/>
    <w:rsid w:val="00804A41"/>
    <w:rsid w:val="00804A71"/>
    <w:rsid w:val="00804B0F"/>
    <w:rsid w:val="00804B63"/>
    <w:rsid w:val="00804B93"/>
    <w:rsid w:val="00804BF9"/>
    <w:rsid w:val="00804E3B"/>
    <w:rsid w:val="00804F01"/>
    <w:rsid w:val="00804F18"/>
    <w:rsid w:val="00804FE9"/>
    <w:rsid w:val="00805008"/>
    <w:rsid w:val="00805020"/>
    <w:rsid w:val="00805127"/>
    <w:rsid w:val="0080523E"/>
    <w:rsid w:val="00805303"/>
    <w:rsid w:val="00805335"/>
    <w:rsid w:val="00805443"/>
    <w:rsid w:val="00805515"/>
    <w:rsid w:val="008055F9"/>
    <w:rsid w:val="00805616"/>
    <w:rsid w:val="0080588F"/>
    <w:rsid w:val="00805912"/>
    <w:rsid w:val="0080599C"/>
    <w:rsid w:val="008059C8"/>
    <w:rsid w:val="008059F8"/>
    <w:rsid w:val="00805A03"/>
    <w:rsid w:val="00805A76"/>
    <w:rsid w:val="00805B6B"/>
    <w:rsid w:val="00805B7E"/>
    <w:rsid w:val="00805BD6"/>
    <w:rsid w:val="00805D0D"/>
    <w:rsid w:val="00805D39"/>
    <w:rsid w:val="00805D77"/>
    <w:rsid w:val="00805D96"/>
    <w:rsid w:val="00805F09"/>
    <w:rsid w:val="00805F30"/>
    <w:rsid w:val="00805FA0"/>
    <w:rsid w:val="00805FB5"/>
    <w:rsid w:val="00806049"/>
    <w:rsid w:val="00806082"/>
    <w:rsid w:val="008060AA"/>
    <w:rsid w:val="0080614A"/>
    <w:rsid w:val="008061DC"/>
    <w:rsid w:val="0080626E"/>
    <w:rsid w:val="0080628D"/>
    <w:rsid w:val="008063AF"/>
    <w:rsid w:val="008063F4"/>
    <w:rsid w:val="00806504"/>
    <w:rsid w:val="00806506"/>
    <w:rsid w:val="00806550"/>
    <w:rsid w:val="00806578"/>
    <w:rsid w:val="00806605"/>
    <w:rsid w:val="0080661E"/>
    <w:rsid w:val="008066B8"/>
    <w:rsid w:val="008066B9"/>
    <w:rsid w:val="0080672C"/>
    <w:rsid w:val="008067D1"/>
    <w:rsid w:val="0080690B"/>
    <w:rsid w:val="00806919"/>
    <w:rsid w:val="00806949"/>
    <w:rsid w:val="008069A2"/>
    <w:rsid w:val="008069D3"/>
    <w:rsid w:val="008069F1"/>
    <w:rsid w:val="00806A1C"/>
    <w:rsid w:val="00806AA9"/>
    <w:rsid w:val="00806B6D"/>
    <w:rsid w:val="00806BB9"/>
    <w:rsid w:val="00806C62"/>
    <w:rsid w:val="00806C70"/>
    <w:rsid w:val="00806D0F"/>
    <w:rsid w:val="00806D35"/>
    <w:rsid w:val="00806D65"/>
    <w:rsid w:val="00806D6C"/>
    <w:rsid w:val="00806E7F"/>
    <w:rsid w:val="00806E8D"/>
    <w:rsid w:val="00806F1C"/>
    <w:rsid w:val="00806F63"/>
    <w:rsid w:val="00806FB4"/>
    <w:rsid w:val="00807052"/>
    <w:rsid w:val="00807091"/>
    <w:rsid w:val="00807116"/>
    <w:rsid w:val="00807195"/>
    <w:rsid w:val="008071C6"/>
    <w:rsid w:val="008071EC"/>
    <w:rsid w:val="00807275"/>
    <w:rsid w:val="0080728E"/>
    <w:rsid w:val="00807296"/>
    <w:rsid w:val="0080729C"/>
    <w:rsid w:val="0080734E"/>
    <w:rsid w:val="00807366"/>
    <w:rsid w:val="0080736C"/>
    <w:rsid w:val="008073CA"/>
    <w:rsid w:val="008073CF"/>
    <w:rsid w:val="008073D8"/>
    <w:rsid w:val="00807436"/>
    <w:rsid w:val="008074AB"/>
    <w:rsid w:val="008074BA"/>
    <w:rsid w:val="008074BF"/>
    <w:rsid w:val="008074F3"/>
    <w:rsid w:val="00807503"/>
    <w:rsid w:val="008076CC"/>
    <w:rsid w:val="0080773A"/>
    <w:rsid w:val="0080780A"/>
    <w:rsid w:val="00807829"/>
    <w:rsid w:val="0080782D"/>
    <w:rsid w:val="00807896"/>
    <w:rsid w:val="008078A3"/>
    <w:rsid w:val="00807A8E"/>
    <w:rsid w:val="00807AA7"/>
    <w:rsid w:val="00807B86"/>
    <w:rsid w:val="00807CAE"/>
    <w:rsid w:val="00807D47"/>
    <w:rsid w:val="00807DE2"/>
    <w:rsid w:val="00807E45"/>
    <w:rsid w:val="00807EAF"/>
    <w:rsid w:val="00807EE4"/>
    <w:rsid w:val="00807FD1"/>
    <w:rsid w:val="00807FDA"/>
    <w:rsid w:val="008100C0"/>
    <w:rsid w:val="0081014E"/>
    <w:rsid w:val="008101F5"/>
    <w:rsid w:val="00810283"/>
    <w:rsid w:val="008102E7"/>
    <w:rsid w:val="00810377"/>
    <w:rsid w:val="008103A2"/>
    <w:rsid w:val="008103CC"/>
    <w:rsid w:val="0081044A"/>
    <w:rsid w:val="00810474"/>
    <w:rsid w:val="008104E4"/>
    <w:rsid w:val="00810576"/>
    <w:rsid w:val="00810578"/>
    <w:rsid w:val="008105F6"/>
    <w:rsid w:val="0081073B"/>
    <w:rsid w:val="008107B8"/>
    <w:rsid w:val="008107C0"/>
    <w:rsid w:val="0081084B"/>
    <w:rsid w:val="0081086C"/>
    <w:rsid w:val="00810921"/>
    <w:rsid w:val="008109E2"/>
    <w:rsid w:val="00810A25"/>
    <w:rsid w:val="00810A54"/>
    <w:rsid w:val="00810AE6"/>
    <w:rsid w:val="00810B35"/>
    <w:rsid w:val="00810BDD"/>
    <w:rsid w:val="00810CBF"/>
    <w:rsid w:val="00810CE4"/>
    <w:rsid w:val="00810DAA"/>
    <w:rsid w:val="00810DEF"/>
    <w:rsid w:val="00810E46"/>
    <w:rsid w:val="00810E9C"/>
    <w:rsid w:val="00810EC3"/>
    <w:rsid w:val="00810EF1"/>
    <w:rsid w:val="00810F35"/>
    <w:rsid w:val="00810FA4"/>
    <w:rsid w:val="00810FAB"/>
    <w:rsid w:val="0081108D"/>
    <w:rsid w:val="0081114E"/>
    <w:rsid w:val="0081114F"/>
    <w:rsid w:val="00811166"/>
    <w:rsid w:val="0081116D"/>
    <w:rsid w:val="008112F9"/>
    <w:rsid w:val="00811495"/>
    <w:rsid w:val="008114C3"/>
    <w:rsid w:val="00811509"/>
    <w:rsid w:val="00811598"/>
    <w:rsid w:val="00811656"/>
    <w:rsid w:val="008116D6"/>
    <w:rsid w:val="0081184D"/>
    <w:rsid w:val="00811866"/>
    <w:rsid w:val="00811AB9"/>
    <w:rsid w:val="00811B1E"/>
    <w:rsid w:val="00811B79"/>
    <w:rsid w:val="00811C1C"/>
    <w:rsid w:val="00811C44"/>
    <w:rsid w:val="00811D18"/>
    <w:rsid w:val="00811D61"/>
    <w:rsid w:val="00811DAA"/>
    <w:rsid w:val="00811E98"/>
    <w:rsid w:val="00811EC0"/>
    <w:rsid w:val="00811F44"/>
    <w:rsid w:val="00811F78"/>
    <w:rsid w:val="0081208A"/>
    <w:rsid w:val="00812146"/>
    <w:rsid w:val="0081224A"/>
    <w:rsid w:val="00812295"/>
    <w:rsid w:val="008122C4"/>
    <w:rsid w:val="00812357"/>
    <w:rsid w:val="00812372"/>
    <w:rsid w:val="008125EF"/>
    <w:rsid w:val="00812639"/>
    <w:rsid w:val="00812648"/>
    <w:rsid w:val="00812668"/>
    <w:rsid w:val="0081268D"/>
    <w:rsid w:val="00812732"/>
    <w:rsid w:val="0081277B"/>
    <w:rsid w:val="0081282D"/>
    <w:rsid w:val="00812914"/>
    <w:rsid w:val="008129D4"/>
    <w:rsid w:val="00812A57"/>
    <w:rsid w:val="00812AB4"/>
    <w:rsid w:val="00812AC2"/>
    <w:rsid w:val="00812B1B"/>
    <w:rsid w:val="00812B2B"/>
    <w:rsid w:val="00812E8E"/>
    <w:rsid w:val="00812EB2"/>
    <w:rsid w:val="00812EC0"/>
    <w:rsid w:val="00812F87"/>
    <w:rsid w:val="00812FE2"/>
    <w:rsid w:val="00812FEA"/>
    <w:rsid w:val="0081303B"/>
    <w:rsid w:val="0081305C"/>
    <w:rsid w:val="0081307C"/>
    <w:rsid w:val="00813152"/>
    <w:rsid w:val="00813160"/>
    <w:rsid w:val="0081322F"/>
    <w:rsid w:val="00813234"/>
    <w:rsid w:val="00813280"/>
    <w:rsid w:val="0081328A"/>
    <w:rsid w:val="008133DC"/>
    <w:rsid w:val="0081348A"/>
    <w:rsid w:val="00813512"/>
    <w:rsid w:val="0081351B"/>
    <w:rsid w:val="0081354E"/>
    <w:rsid w:val="0081357F"/>
    <w:rsid w:val="0081358F"/>
    <w:rsid w:val="0081359A"/>
    <w:rsid w:val="00813630"/>
    <w:rsid w:val="00813651"/>
    <w:rsid w:val="008136AF"/>
    <w:rsid w:val="008136B7"/>
    <w:rsid w:val="008136E9"/>
    <w:rsid w:val="008137C4"/>
    <w:rsid w:val="00813846"/>
    <w:rsid w:val="008139A3"/>
    <w:rsid w:val="00813A0A"/>
    <w:rsid w:val="00813AC5"/>
    <w:rsid w:val="00813B1C"/>
    <w:rsid w:val="00813B79"/>
    <w:rsid w:val="00813C62"/>
    <w:rsid w:val="00813CB4"/>
    <w:rsid w:val="00813D8C"/>
    <w:rsid w:val="00813E1F"/>
    <w:rsid w:val="00813E3F"/>
    <w:rsid w:val="00813E47"/>
    <w:rsid w:val="00813E64"/>
    <w:rsid w:val="00813F97"/>
    <w:rsid w:val="00813FF0"/>
    <w:rsid w:val="00814013"/>
    <w:rsid w:val="0081409D"/>
    <w:rsid w:val="0081416E"/>
    <w:rsid w:val="00814230"/>
    <w:rsid w:val="00814283"/>
    <w:rsid w:val="0081435E"/>
    <w:rsid w:val="0081436F"/>
    <w:rsid w:val="008143B8"/>
    <w:rsid w:val="008144C1"/>
    <w:rsid w:val="008144D3"/>
    <w:rsid w:val="008145D5"/>
    <w:rsid w:val="00814600"/>
    <w:rsid w:val="00814682"/>
    <w:rsid w:val="00814746"/>
    <w:rsid w:val="008147A9"/>
    <w:rsid w:val="008147BA"/>
    <w:rsid w:val="008147C6"/>
    <w:rsid w:val="008148F3"/>
    <w:rsid w:val="0081490D"/>
    <w:rsid w:val="00814976"/>
    <w:rsid w:val="00814B02"/>
    <w:rsid w:val="00814B7C"/>
    <w:rsid w:val="00814BA2"/>
    <w:rsid w:val="00814C30"/>
    <w:rsid w:val="00814CDB"/>
    <w:rsid w:val="00814CE1"/>
    <w:rsid w:val="00814FC7"/>
    <w:rsid w:val="00814FF2"/>
    <w:rsid w:val="00815020"/>
    <w:rsid w:val="00815070"/>
    <w:rsid w:val="0081508E"/>
    <w:rsid w:val="00815092"/>
    <w:rsid w:val="0081528C"/>
    <w:rsid w:val="00815364"/>
    <w:rsid w:val="00815377"/>
    <w:rsid w:val="0081539D"/>
    <w:rsid w:val="008153C1"/>
    <w:rsid w:val="008153E4"/>
    <w:rsid w:val="00815452"/>
    <w:rsid w:val="00815480"/>
    <w:rsid w:val="00815505"/>
    <w:rsid w:val="00815524"/>
    <w:rsid w:val="008155D7"/>
    <w:rsid w:val="008155DC"/>
    <w:rsid w:val="0081563B"/>
    <w:rsid w:val="008156FC"/>
    <w:rsid w:val="008159AD"/>
    <w:rsid w:val="008159D6"/>
    <w:rsid w:val="008159E8"/>
    <w:rsid w:val="008159F0"/>
    <w:rsid w:val="00815A0D"/>
    <w:rsid w:val="00815A5D"/>
    <w:rsid w:val="00815A88"/>
    <w:rsid w:val="00815AA4"/>
    <w:rsid w:val="00815B02"/>
    <w:rsid w:val="00815B13"/>
    <w:rsid w:val="00815B47"/>
    <w:rsid w:val="00815BF0"/>
    <w:rsid w:val="00815C43"/>
    <w:rsid w:val="00815C53"/>
    <w:rsid w:val="00815CD0"/>
    <w:rsid w:val="00815D49"/>
    <w:rsid w:val="00815D8B"/>
    <w:rsid w:val="00815E42"/>
    <w:rsid w:val="00815E44"/>
    <w:rsid w:val="00815E68"/>
    <w:rsid w:val="00815E81"/>
    <w:rsid w:val="00815EBD"/>
    <w:rsid w:val="00815F5A"/>
    <w:rsid w:val="00815FD2"/>
    <w:rsid w:val="00815FE1"/>
    <w:rsid w:val="0081605B"/>
    <w:rsid w:val="008160DC"/>
    <w:rsid w:val="0081617B"/>
    <w:rsid w:val="00816194"/>
    <w:rsid w:val="008161E8"/>
    <w:rsid w:val="008161F6"/>
    <w:rsid w:val="0081620B"/>
    <w:rsid w:val="0081631D"/>
    <w:rsid w:val="00816413"/>
    <w:rsid w:val="00816480"/>
    <w:rsid w:val="0081649C"/>
    <w:rsid w:val="008164A5"/>
    <w:rsid w:val="0081653F"/>
    <w:rsid w:val="00816559"/>
    <w:rsid w:val="008165B6"/>
    <w:rsid w:val="008165BA"/>
    <w:rsid w:val="008165D2"/>
    <w:rsid w:val="00816791"/>
    <w:rsid w:val="008167EC"/>
    <w:rsid w:val="00816825"/>
    <w:rsid w:val="0081688C"/>
    <w:rsid w:val="00816996"/>
    <w:rsid w:val="00816AF6"/>
    <w:rsid w:val="00816AF7"/>
    <w:rsid w:val="00816C3A"/>
    <w:rsid w:val="00816D2A"/>
    <w:rsid w:val="00816DF1"/>
    <w:rsid w:val="00816E1D"/>
    <w:rsid w:val="00816E4C"/>
    <w:rsid w:val="00816E67"/>
    <w:rsid w:val="00816EB8"/>
    <w:rsid w:val="00816EE3"/>
    <w:rsid w:val="00816EFD"/>
    <w:rsid w:val="00816F7F"/>
    <w:rsid w:val="00816FEE"/>
    <w:rsid w:val="00817083"/>
    <w:rsid w:val="00817089"/>
    <w:rsid w:val="008171FF"/>
    <w:rsid w:val="008172E0"/>
    <w:rsid w:val="0081746A"/>
    <w:rsid w:val="0081750F"/>
    <w:rsid w:val="00817538"/>
    <w:rsid w:val="0081757C"/>
    <w:rsid w:val="00817638"/>
    <w:rsid w:val="00817780"/>
    <w:rsid w:val="0081781E"/>
    <w:rsid w:val="00817859"/>
    <w:rsid w:val="00817961"/>
    <w:rsid w:val="00817A14"/>
    <w:rsid w:val="00817A3D"/>
    <w:rsid w:val="00817AE7"/>
    <w:rsid w:val="00817B09"/>
    <w:rsid w:val="00817B5E"/>
    <w:rsid w:val="00817BAC"/>
    <w:rsid w:val="00817C5D"/>
    <w:rsid w:val="00817C99"/>
    <w:rsid w:val="00817CF6"/>
    <w:rsid w:val="00817DC2"/>
    <w:rsid w:val="00817DF6"/>
    <w:rsid w:val="00817DFB"/>
    <w:rsid w:val="00817E09"/>
    <w:rsid w:val="00817E22"/>
    <w:rsid w:val="00817E6C"/>
    <w:rsid w:val="00817EED"/>
    <w:rsid w:val="00817F21"/>
    <w:rsid w:val="00817F89"/>
    <w:rsid w:val="0081FC1C"/>
    <w:rsid w:val="00820088"/>
    <w:rsid w:val="00820115"/>
    <w:rsid w:val="00820121"/>
    <w:rsid w:val="00820165"/>
    <w:rsid w:val="0082021B"/>
    <w:rsid w:val="008202DD"/>
    <w:rsid w:val="00820474"/>
    <w:rsid w:val="008204D4"/>
    <w:rsid w:val="008204DE"/>
    <w:rsid w:val="0082052D"/>
    <w:rsid w:val="008205AE"/>
    <w:rsid w:val="008205E4"/>
    <w:rsid w:val="008205FC"/>
    <w:rsid w:val="0082082D"/>
    <w:rsid w:val="00820859"/>
    <w:rsid w:val="00820860"/>
    <w:rsid w:val="00820992"/>
    <w:rsid w:val="008209A3"/>
    <w:rsid w:val="008209E9"/>
    <w:rsid w:val="00820A48"/>
    <w:rsid w:val="00820A51"/>
    <w:rsid w:val="00820A81"/>
    <w:rsid w:val="00820BD5"/>
    <w:rsid w:val="00820C43"/>
    <w:rsid w:val="00820C4B"/>
    <w:rsid w:val="00820CE5"/>
    <w:rsid w:val="00820D9A"/>
    <w:rsid w:val="00820F43"/>
    <w:rsid w:val="00820FDE"/>
    <w:rsid w:val="00821045"/>
    <w:rsid w:val="0082109B"/>
    <w:rsid w:val="008211AE"/>
    <w:rsid w:val="008211DB"/>
    <w:rsid w:val="008212FD"/>
    <w:rsid w:val="00821359"/>
    <w:rsid w:val="008213B5"/>
    <w:rsid w:val="0082141D"/>
    <w:rsid w:val="00821421"/>
    <w:rsid w:val="00821438"/>
    <w:rsid w:val="0082144F"/>
    <w:rsid w:val="008215E0"/>
    <w:rsid w:val="0082163A"/>
    <w:rsid w:val="0082172E"/>
    <w:rsid w:val="008217CE"/>
    <w:rsid w:val="008217FC"/>
    <w:rsid w:val="0082180D"/>
    <w:rsid w:val="00821921"/>
    <w:rsid w:val="00821928"/>
    <w:rsid w:val="008219EF"/>
    <w:rsid w:val="00821A8A"/>
    <w:rsid w:val="00821ADD"/>
    <w:rsid w:val="00821B46"/>
    <w:rsid w:val="00821B4F"/>
    <w:rsid w:val="00821B7F"/>
    <w:rsid w:val="00821BD9"/>
    <w:rsid w:val="00821C18"/>
    <w:rsid w:val="00821C76"/>
    <w:rsid w:val="00821C83"/>
    <w:rsid w:val="00821CED"/>
    <w:rsid w:val="00821D15"/>
    <w:rsid w:val="00821D69"/>
    <w:rsid w:val="00821D6C"/>
    <w:rsid w:val="00821E6F"/>
    <w:rsid w:val="00821EC6"/>
    <w:rsid w:val="00822208"/>
    <w:rsid w:val="008222F7"/>
    <w:rsid w:val="0082255A"/>
    <w:rsid w:val="00822602"/>
    <w:rsid w:val="008226C4"/>
    <w:rsid w:val="008226F3"/>
    <w:rsid w:val="00822806"/>
    <w:rsid w:val="0082285D"/>
    <w:rsid w:val="00822964"/>
    <w:rsid w:val="00822973"/>
    <w:rsid w:val="00822982"/>
    <w:rsid w:val="008229D0"/>
    <w:rsid w:val="00822A44"/>
    <w:rsid w:val="00822AF3"/>
    <w:rsid w:val="00822B17"/>
    <w:rsid w:val="00822BB7"/>
    <w:rsid w:val="00822C66"/>
    <w:rsid w:val="00822CFC"/>
    <w:rsid w:val="00822D85"/>
    <w:rsid w:val="00822E2D"/>
    <w:rsid w:val="00822E36"/>
    <w:rsid w:val="00822E87"/>
    <w:rsid w:val="00822E9F"/>
    <w:rsid w:val="00822F03"/>
    <w:rsid w:val="00822F59"/>
    <w:rsid w:val="00823127"/>
    <w:rsid w:val="00823169"/>
    <w:rsid w:val="0082327F"/>
    <w:rsid w:val="008232AA"/>
    <w:rsid w:val="00823355"/>
    <w:rsid w:val="008233B3"/>
    <w:rsid w:val="008233C5"/>
    <w:rsid w:val="00823449"/>
    <w:rsid w:val="0082347B"/>
    <w:rsid w:val="00823518"/>
    <w:rsid w:val="00823580"/>
    <w:rsid w:val="008235BE"/>
    <w:rsid w:val="008236A9"/>
    <w:rsid w:val="008236C1"/>
    <w:rsid w:val="008236DF"/>
    <w:rsid w:val="0082377D"/>
    <w:rsid w:val="0082378C"/>
    <w:rsid w:val="00823793"/>
    <w:rsid w:val="008237F7"/>
    <w:rsid w:val="008239EC"/>
    <w:rsid w:val="008239F2"/>
    <w:rsid w:val="00823A70"/>
    <w:rsid w:val="00823AD7"/>
    <w:rsid w:val="00823B00"/>
    <w:rsid w:val="00823B39"/>
    <w:rsid w:val="00823B5A"/>
    <w:rsid w:val="00823B8F"/>
    <w:rsid w:val="00823BBA"/>
    <w:rsid w:val="00823D83"/>
    <w:rsid w:val="00823E13"/>
    <w:rsid w:val="00823E25"/>
    <w:rsid w:val="00823EB3"/>
    <w:rsid w:val="00823F71"/>
    <w:rsid w:val="00823FED"/>
    <w:rsid w:val="0082400A"/>
    <w:rsid w:val="00824044"/>
    <w:rsid w:val="008240A7"/>
    <w:rsid w:val="0082416B"/>
    <w:rsid w:val="00824171"/>
    <w:rsid w:val="0082417E"/>
    <w:rsid w:val="00824276"/>
    <w:rsid w:val="008242F7"/>
    <w:rsid w:val="0082430C"/>
    <w:rsid w:val="008243D9"/>
    <w:rsid w:val="00824471"/>
    <w:rsid w:val="008244A2"/>
    <w:rsid w:val="008244F9"/>
    <w:rsid w:val="00824598"/>
    <w:rsid w:val="008245A1"/>
    <w:rsid w:val="008245B4"/>
    <w:rsid w:val="0082460C"/>
    <w:rsid w:val="00824611"/>
    <w:rsid w:val="008247DF"/>
    <w:rsid w:val="008248D3"/>
    <w:rsid w:val="0082490F"/>
    <w:rsid w:val="0082499C"/>
    <w:rsid w:val="008249A8"/>
    <w:rsid w:val="00824A32"/>
    <w:rsid w:val="00824B60"/>
    <w:rsid w:val="00824BCB"/>
    <w:rsid w:val="00824BDD"/>
    <w:rsid w:val="00824BFC"/>
    <w:rsid w:val="00824C49"/>
    <w:rsid w:val="00824CAE"/>
    <w:rsid w:val="00824CC7"/>
    <w:rsid w:val="00824D9F"/>
    <w:rsid w:val="00824E6E"/>
    <w:rsid w:val="00824E9B"/>
    <w:rsid w:val="00824EB2"/>
    <w:rsid w:val="00824EBF"/>
    <w:rsid w:val="00824F29"/>
    <w:rsid w:val="0082500F"/>
    <w:rsid w:val="008250C2"/>
    <w:rsid w:val="008250DB"/>
    <w:rsid w:val="00825272"/>
    <w:rsid w:val="008252EC"/>
    <w:rsid w:val="0082535D"/>
    <w:rsid w:val="008253B0"/>
    <w:rsid w:val="00825403"/>
    <w:rsid w:val="008254B9"/>
    <w:rsid w:val="008255B5"/>
    <w:rsid w:val="0082563E"/>
    <w:rsid w:val="0082565C"/>
    <w:rsid w:val="00825670"/>
    <w:rsid w:val="008256FC"/>
    <w:rsid w:val="00825714"/>
    <w:rsid w:val="00825776"/>
    <w:rsid w:val="0082579F"/>
    <w:rsid w:val="00825893"/>
    <w:rsid w:val="008258E1"/>
    <w:rsid w:val="00825AA6"/>
    <w:rsid w:val="00825ABE"/>
    <w:rsid w:val="00825B0C"/>
    <w:rsid w:val="00825B41"/>
    <w:rsid w:val="00825B8A"/>
    <w:rsid w:val="00825BCA"/>
    <w:rsid w:val="00825BD4"/>
    <w:rsid w:val="00825C82"/>
    <w:rsid w:val="00825D18"/>
    <w:rsid w:val="00825EB2"/>
    <w:rsid w:val="00825EFC"/>
    <w:rsid w:val="00825F33"/>
    <w:rsid w:val="00825F57"/>
    <w:rsid w:val="00825F66"/>
    <w:rsid w:val="0082603D"/>
    <w:rsid w:val="0082607F"/>
    <w:rsid w:val="008260FD"/>
    <w:rsid w:val="00826230"/>
    <w:rsid w:val="008262D8"/>
    <w:rsid w:val="0082637E"/>
    <w:rsid w:val="00826410"/>
    <w:rsid w:val="00826489"/>
    <w:rsid w:val="0082654F"/>
    <w:rsid w:val="008265A4"/>
    <w:rsid w:val="00826607"/>
    <w:rsid w:val="0082664E"/>
    <w:rsid w:val="0082670E"/>
    <w:rsid w:val="00826737"/>
    <w:rsid w:val="00826767"/>
    <w:rsid w:val="00826815"/>
    <w:rsid w:val="00826836"/>
    <w:rsid w:val="00826837"/>
    <w:rsid w:val="00826861"/>
    <w:rsid w:val="008268B0"/>
    <w:rsid w:val="008268F0"/>
    <w:rsid w:val="00826999"/>
    <w:rsid w:val="008269C1"/>
    <w:rsid w:val="008269C6"/>
    <w:rsid w:val="00826A9D"/>
    <w:rsid w:val="00826AB8"/>
    <w:rsid w:val="00826BF6"/>
    <w:rsid w:val="00826C16"/>
    <w:rsid w:val="00826C2D"/>
    <w:rsid w:val="00826CEC"/>
    <w:rsid w:val="00826CFB"/>
    <w:rsid w:val="00826D6F"/>
    <w:rsid w:val="00826DA0"/>
    <w:rsid w:val="00826DAB"/>
    <w:rsid w:val="00826F00"/>
    <w:rsid w:val="00826F22"/>
    <w:rsid w:val="00826F83"/>
    <w:rsid w:val="0082700C"/>
    <w:rsid w:val="00827040"/>
    <w:rsid w:val="00827041"/>
    <w:rsid w:val="00827152"/>
    <w:rsid w:val="0082722A"/>
    <w:rsid w:val="0082722D"/>
    <w:rsid w:val="00827267"/>
    <w:rsid w:val="008272C1"/>
    <w:rsid w:val="0082736A"/>
    <w:rsid w:val="0082740D"/>
    <w:rsid w:val="0082743B"/>
    <w:rsid w:val="0082748B"/>
    <w:rsid w:val="00827499"/>
    <w:rsid w:val="008275A3"/>
    <w:rsid w:val="008275A7"/>
    <w:rsid w:val="008275AD"/>
    <w:rsid w:val="008275C3"/>
    <w:rsid w:val="0082760D"/>
    <w:rsid w:val="0082772B"/>
    <w:rsid w:val="008277D0"/>
    <w:rsid w:val="00827A4D"/>
    <w:rsid w:val="00827AF1"/>
    <w:rsid w:val="00827C3B"/>
    <w:rsid w:val="00827C82"/>
    <w:rsid w:val="00827D21"/>
    <w:rsid w:val="00827D4A"/>
    <w:rsid w:val="00827D7F"/>
    <w:rsid w:val="00827D8A"/>
    <w:rsid w:val="00827DB4"/>
    <w:rsid w:val="00827EFA"/>
    <w:rsid w:val="00827F46"/>
    <w:rsid w:val="00827F99"/>
    <w:rsid w:val="00827FC3"/>
    <w:rsid w:val="0082C161"/>
    <w:rsid w:val="00830036"/>
    <w:rsid w:val="008300FD"/>
    <w:rsid w:val="00830110"/>
    <w:rsid w:val="0083029A"/>
    <w:rsid w:val="0083029C"/>
    <w:rsid w:val="008302F0"/>
    <w:rsid w:val="00830348"/>
    <w:rsid w:val="008303A5"/>
    <w:rsid w:val="008303DA"/>
    <w:rsid w:val="008303FC"/>
    <w:rsid w:val="00830425"/>
    <w:rsid w:val="0083042A"/>
    <w:rsid w:val="008305F8"/>
    <w:rsid w:val="00830698"/>
    <w:rsid w:val="00830708"/>
    <w:rsid w:val="00830715"/>
    <w:rsid w:val="00830812"/>
    <w:rsid w:val="00830868"/>
    <w:rsid w:val="00830875"/>
    <w:rsid w:val="008308BE"/>
    <w:rsid w:val="00830A21"/>
    <w:rsid w:val="00830A5C"/>
    <w:rsid w:val="00830A63"/>
    <w:rsid w:val="00830B15"/>
    <w:rsid w:val="00830B2F"/>
    <w:rsid w:val="00830C2F"/>
    <w:rsid w:val="00830CC7"/>
    <w:rsid w:val="00830D95"/>
    <w:rsid w:val="00830DDC"/>
    <w:rsid w:val="00830EA5"/>
    <w:rsid w:val="00830ED5"/>
    <w:rsid w:val="00830F26"/>
    <w:rsid w:val="00830FBF"/>
    <w:rsid w:val="00830FDB"/>
    <w:rsid w:val="00831081"/>
    <w:rsid w:val="008310A8"/>
    <w:rsid w:val="0083112A"/>
    <w:rsid w:val="00831175"/>
    <w:rsid w:val="008311B2"/>
    <w:rsid w:val="008311E3"/>
    <w:rsid w:val="008311FD"/>
    <w:rsid w:val="008312A9"/>
    <w:rsid w:val="008312E9"/>
    <w:rsid w:val="0083132A"/>
    <w:rsid w:val="008313A8"/>
    <w:rsid w:val="00831495"/>
    <w:rsid w:val="008314AB"/>
    <w:rsid w:val="008314C6"/>
    <w:rsid w:val="00831589"/>
    <w:rsid w:val="008315C2"/>
    <w:rsid w:val="008315DC"/>
    <w:rsid w:val="00831643"/>
    <w:rsid w:val="00831655"/>
    <w:rsid w:val="008316E2"/>
    <w:rsid w:val="008316EF"/>
    <w:rsid w:val="00831735"/>
    <w:rsid w:val="008317E7"/>
    <w:rsid w:val="008317F4"/>
    <w:rsid w:val="00831805"/>
    <w:rsid w:val="008318A0"/>
    <w:rsid w:val="008318CD"/>
    <w:rsid w:val="0083197D"/>
    <w:rsid w:val="00831A79"/>
    <w:rsid w:val="00831A93"/>
    <w:rsid w:val="00831B1F"/>
    <w:rsid w:val="00831B33"/>
    <w:rsid w:val="00831B7D"/>
    <w:rsid w:val="00831BAD"/>
    <w:rsid w:val="00831C7F"/>
    <w:rsid w:val="00831D0D"/>
    <w:rsid w:val="00831D37"/>
    <w:rsid w:val="00831DCE"/>
    <w:rsid w:val="00831DD5"/>
    <w:rsid w:val="00831E27"/>
    <w:rsid w:val="00831F58"/>
    <w:rsid w:val="00831F85"/>
    <w:rsid w:val="0083202F"/>
    <w:rsid w:val="0083206E"/>
    <w:rsid w:val="008320A7"/>
    <w:rsid w:val="0083217D"/>
    <w:rsid w:val="0083222B"/>
    <w:rsid w:val="00832242"/>
    <w:rsid w:val="00832580"/>
    <w:rsid w:val="008325C4"/>
    <w:rsid w:val="008325F8"/>
    <w:rsid w:val="00832679"/>
    <w:rsid w:val="00832753"/>
    <w:rsid w:val="00832838"/>
    <w:rsid w:val="008328B3"/>
    <w:rsid w:val="008328B4"/>
    <w:rsid w:val="0083291E"/>
    <w:rsid w:val="0083296E"/>
    <w:rsid w:val="0083299A"/>
    <w:rsid w:val="00832A82"/>
    <w:rsid w:val="00832BCC"/>
    <w:rsid w:val="00832BE0"/>
    <w:rsid w:val="00832C18"/>
    <w:rsid w:val="00832C44"/>
    <w:rsid w:val="00832CE3"/>
    <w:rsid w:val="00832D34"/>
    <w:rsid w:val="00832D72"/>
    <w:rsid w:val="00832DB5"/>
    <w:rsid w:val="00832EC7"/>
    <w:rsid w:val="00833054"/>
    <w:rsid w:val="00833058"/>
    <w:rsid w:val="0083307A"/>
    <w:rsid w:val="00833194"/>
    <w:rsid w:val="0083322E"/>
    <w:rsid w:val="00833271"/>
    <w:rsid w:val="00833309"/>
    <w:rsid w:val="00833393"/>
    <w:rsid w:val="00833411"/>
    <w:rsid w:val="00833427"/>
    <w:rsid w:val="0083344B"/>
    <w:rsid w:val="00833551"/>
    <w:rsid w:val="0083355E"/>
    <w:rsid w:val="00833593"/>
    <w:rsid w:val="008335E9"/>
    <w:rsid w:val="0083371E"/>
    <w:rsid w:val="0083375A"/>
    <w:rsid w:val="00833765"/>
    <w:rsid w:val="0083377F"/>
    <w:rsid w:val="008338F3"/>
    <w:rsid w:val="00833970"/>
    <w:rsid w:val="00833985"/>
    <w:rsid w:val="008339A5"/>
    <w:rsid w:val="008339D8"/>
    <w:rsid w:val="00833B76"/>
    <w:rsid w:val="00833B9A"/>
    <w:rsid w:val="00833B9D"/>
    <w:rsid w:val="00833C07"/>
    <w:rsid w:val="00833C91"/>
    <w:rsid w:val="00833D6F"/>
    <w:rsid w:val="00833DAF"/>
    <w:rsid w:val="00833DBD"/>
    <w:rsid w:val="00833E0A"/>
    <w:rsid w:val="00833E83"/>
    <w:rsid w:val="00833F1C"/>
    <w:rsid w:val="00833F47"/>
    <w:rsid w:val="0083403B"/>
    <w:rsid w:val="0083408E"/>
    <w:rsid w:val="0083410E"/>
    <w:rsid w:val="00834183"/>
    <w:rsid w:val="00834188"/>
    <w:rsid w:val="008341F8"/>
    <w:rsid w:val="00834252"/>
    <w:rsid w:val="00834278"/>
    <w:rsid w:val="0083432E"/>
    <w:rsid w:val="008343F7"/>
    <w:rsid w:val="0083442B"/>
    <w:rsid w:val="008344A2"/>
    <w:rsid w:val="008344E1"/>
    <w:rsid w:val="008344F6"/>
    <w:rsid w:val="00834503"/>
    <w:rsid w:val="0083456C"/>
    <w:rsid w:val="00834595"/>
    <w:rsid w:val="008345DE"/>
    <w:rsid w:val="0083466B"/>
    <w:rsid w:val="00834779"/>
    <w:rsid w:val="0083485F"/>
    <w:rsid w:val="00834888"/>
    <w:rsid w:val="008349D0"/>
    <w:rsid w:val="00834A0E"/>
    <w:rsid w:val="00834ABB"/>
    <w:rsid w:val="00834AC9"/>
    <w:rsid w:val="00834B54"/>
    <w:rsid w:val="00834B9F"/>
    <w:rsid w:val="00834BBC"/>
    <w:rsid w:val="00834BF3"/>
    <w:rsid w:val="00834C1F"/>
    <w:rsid w:val="00834D19"/>
    <w:rsid w:val="00834D43"/>
    <w:rsid w:val="00834D84"/>
    <w:rsid w:val="00834DCD"/>
    <w:rsid w:val="00834DD8"/>
    <w:rsid w:val="00834E49"/>
    <w:rsid w:val="00834EAA"/>
    <w:rsid w:val="00834F08"/>
    <w:rsid w:val="00834F3B"/>
    <w:rsid w:val="00834F76"/>
    <w:rsid w:val="00834FB3"/>
    <w:rsid w:val="00835012"/>
    <w:rsid w:val="008350A4"/>
    <w:rsid w:val="008350A7"/>
    <w:rsid w:val="008350FC"/>
    <w:rsid w:val="0083518E"/>
    <w:rsid w:val="008351AA"/>
    <w:rsid w:val="008351BB"/>
    <w:rsid w:val="008351C7"/>
    <w:rsid w:val="008351DB"/>
    <w:rsid w:val="00835209"/>
    <w:rsid w:val="00835305"/>
    <w:rsid w:val="008353A7"/>
    <w:rsid w:val="008353FD"/>
    <w:rsid w:val="0083557B"/>
    <w:rsid w:val="00835706"/>
    <w:rsid w:val="008357C6"/>
    <w:rsid w:val="00835824"/>
    <w:rsid w:val="00835831"/>
    <w:rsid w:val="0083584A"/>
    <w:rsid w:val="00835860"/>
    <w:rsid w:val="008358AC"/>
    <w:rsid w:val="00835A5C"/>
    <w:rsid w:val="00835A70"/>
    <w:rsid w:val="00835AFC"/>
    <w:rsid w:val="00835B00"/>
    <w:rsid w:val="00835C78"/>
    <w:rsid w:val="00835C8A"/>
    <w:rsid w:val="00835D72"/>
    <w:rsid w:val="00835DE5"/>
    <w:rsid w:val="00835DF2"/>
    <w:rsid w:val="00835E75"/>
    <w:rsid w:val="00835F06"/>
    <w:rsid w:val="00835FBD"/>
    <w:rsid w:val="0083600F"/>
    <w:rsid w:val="00836094"/>
    <w:rsid w:val="00836143"/>
    <w:rsid w:val="00836150"/>
    <w:rsid w:val="00836173"/>
    <w:rsid w:val="008361BE"/>
    <w:rsid w:val="00836243"/>
    <w:rsid w:val="00836286"/>
    <w:rsid w:val="008362E1"/>
    <w:rsid w:val="0083635B"/>
    <w:rsid w:val="0083638C"/>
    <w:rsid w:val="008363A6"/>
    <w:rsid w:val="008363A8"/>
    <w:rsid w:val="008363B3"/>
    <w:rsid w:val="008363BA"/>
    <w:rsid w:val="00836433"/>
    <w:rsid w:val="00836440"/>
    <w:rsid w:val="008364B9"/>
    <w:rsid w:val="0083651A"/>
    <w:rsid w:val="00836536"/>
    <w:rsid w:val="008366C7"/>
    <w:rsid w:val="00836726"/>
    <w:rsid w:val="008367B7"/>
    <w:rsid w:val="00836802"/>
    <w:rsid w:val="008368A5"/>
    <w:rsid w:val="00836947"/>
    <w:rsid w:val="00836957"/>
    <w:rsid w:val="008369C5"/>
    <w:rsid w:val="008369F1"/>
    <w:rsid w:val="00836A62"/>
    <w:rsid w:val="00836ACE"/>
    <w:rsid w:val="00836AE9"/>
    <w:rsid w:val="00836BF1"/>
    <w:rsid w:val="00836C4C"/>
    <w:rsid w:val="00836CA6"/>
    <w:rsid w:val="00836DF0"/>
    <w:rsid w:val="00836E2C"/>
    <w:rsid w:val="00836E40"/>
    <w:rsid w:val="00836E4B"/>
    <w:rsid w:val="00836F36"/>
    <w:rsid w:val="0083700A"/>
    <w:rsid w:val="0083703F"/>
    <w:rsid w:val="00837098"/>
    <w:rsid w:val="008370BF"/>
    <w:rsid w:val="00837192"/>
    <w:rsid w:val="008372D8"/>
    <w:rsid w:val="008373DB"/>
    <w:rsid w:val="008373E2"/>
    <w:rsid w:val="008373E5"/>
    <w:rsid w:val="0083742A"/>
    <w:rsid w:val="00837430"/>
    <w:rsid w:val="0083745A"/>
    <w:rsid w:val="008374D8"/>
    <w:rsid w:val="00837558"/>
    <w:rsid w:val="008375A5"/>
    <w:rsid w:val="008376D3"/>
    <w:rsid w:val="008376DF"/>
    <w:rsid w:val="008376EC"/>
    <w:rsid w:val="00837717"/>
    <w:rsid w:val="00837720"/>
    <w:rsid w:val="0083786A"/>
    <w:rsid w:val="00837892"/>
    <w:rsid w:val="008378E4"/>
    <w:rsid w:val="0083798A"/>
    <w:rsid w:val="008379B6"/>
    <w:rsid w:val="008379D0"/>
    <w:rsid w:val="00837B33"/>
    <w:rsid w:val="00837B86"/>
    <w:rsid w:val="00837BB0"/>
    <w:rsid w:val="00837BC4"/>
    <w:rsid w:val="00837C3D"/>
    <w:rsid w:val="00837DF9"/>
    <w:rsid w:val="00840040"/>
    <w:rsid w:val="008401E5"/>
    <w:rsid w:val="0084020E"/>
    <w:rsid w:val="008403D2"/>
    <w:rsid w:val="00840446"/>
    <w:rsid w:val="00840486"/>
    <w:rsid w:val="00840647"/>
    <w:rsid w:val="008406A3"/>
    <w:rsid w:val="0084074C"/>
    <w:rsid w:val="00840770"/>
    <w:rsid w:val="0084079F"/>
    <w:rsid w:val="008407A0"/>
    <w:rsid w:val="008407A6"/>
    <w:rsid w:val="00840841"/>
    <w:rsid w:val="0084088F"/>
    <w:rsid w:val="0084089F"/>
    <w:rsid w:val="00840914"/>
    <w:rsid w:val="00840998"/>
    <w:rsid w:val="008409C6"/>
    <w:rsid w:val="008409FF"/>
    <w:rsid w:val="00840A17"/>
    <w:rsid w:val="00840A87"/>
    <w:rsid w:val="00840AC3"/>
    <w:rsid w:val="00840B42"/>
    <w:rsid w:val="00840CEE"/>
    <w:rsid w:val="00840D21"/>
    <w:rsid w:val="00840F3A"/>
    <w:rsid w:val="00840F9E"/>
    <w:rsid w:val="00840FE9"/>
    <w:rsid w:val="0084101E"/>
    <w:rsid w:val="00841083"/>
    <w:rsid w:val="008411CD"/>
    <w:rsid w:val="00841281"/>
    <w:rsid w:val="008413C7"/>
    <w:rsid w:val="008413CF"/>
    <w:rsid w:val="00841411"/>
    <w:rsid w:val="00841556"/>
    <w:rsid w:val="00841573"/>
    <w:rsid w:val="008415C3"/>
    <w:rsid w:val="0084168C"/>
    <w:rsid w:val="008416C3"/>
    <w:rsid w:val="0084176A"/>
    <w:rsid w:val="008418AD"/>
    <w:rsid w:val="008419A8"/>
    <w:rsid w:val="00841A14"/>
    <w:rsid w:val="00841AEA"/>
    <w:rsid w:val="00841B27"/>
    <w:rsid w:val="00841D4E"/>
    <w:rsid w:val="00841D7B"/>
    <w:rsid w:val="00841DAB"/>
    <w:rsid w:val="00841DB6"/>
    <w:rsid w:val="00841FC7"/>
    <w:rsid w:val="00842027"/>
    <w:rsid w:val="00842071"/>
    <w:rsid w:val="008420CB"/>
    <w:rsid w:val="00842109"/>
    <w:rsid w:val="00842224"/>
    <w:rsid w:val="00842255"/>
    <w:rsid w:val="008422CD"/>
    <w:rsid w:val="0084232E"/>
    <w:rsid w:val="0084234A"/>
    <w:rsid w:val="008423E6"/>
    <w:rsid w:val="00842438"/>
    <w:rsid w:val="00842469"/>
    <w:rsid w:val="008424E6"/>
    <w:rsid w:val="0084251E"/>
    <w:rsid w:val="008425C1"/>
    <w:rsid w:val="008425F7"/>
    <w:rsid w:val="00842653"/>
    <w:rsid w:val="008426B3"/>
    <w:rsid w:val="008426DD"/>
    <w:rsid w:val="00842763"/>
    <w:rsid w:val="0084296B"/>
    <w:rsid w:val="00842A9D"/>
    <w:rsid w:val="00842AB5"/>
    <w:rsid w:val="00842ABB"/>
    <w:rsid w:val="00842B70"/>
    <w:rsid w:val="00842BA2"/>
    <w:rsid w:val="00842BC5"/>
    <w:rsid w:val="00842BF2"/>
    <w:rsid w:val="00842C50"/>
    <w:rsid w:val="00842C75"/>
    <w:rsid w:val="00842CB4"/>
    <w:rsid w:val="00842D05"/>
    <w:rsid w:val="00842D1D"/>
    <w:rsid w:val="00842D83"/>
    <w:rsid w:val="00842E26"/>
    <w:rsid w:val="00842F09"/>
    <w:rsid w:val="00842F0D"/>
    <w:rsid w:val="00842FED"/>
    <w:rsid w:val="0084309F"/>
    <w:rsid w:val="008430F7"/>
    <w:rsid w:val="0084310D"/>
    <w:rsid w:val="008431A6"/>
    <w:rsid w:val="008431D4"/>
    <w:rsid w:val="0084327B"/>
    <w:rsid w:val="008432BF"/>
    <w:rsid w:val="0084331F"/>
    <w:rsid w:val="00843332"/>
    <w:rsid w:val="00843339"/>
    <w:rsid w:val="00843393"/>
    <w:rsid w:val="00843426"/>
    <w:rsid w:val="008435AA"/>
    <w:rsid w:val="0084364C"/>
    <w:rsid w:val="00843723"/>
    <w:rsid w:val="00843890"/>
    <w:rsid w:val="0084391A"/>
    <w:rsid w:val="0084397F"/>
    <w:rsid w:val="008439B8"/>
    <w:rsid w:val="00843ADA"/>
    <w:rsid w:val="00843B4E"/>
    <w:rsid w:val="00843B67"/>
    <w:rsid w:val="00843D3D"/>
    <w:rsid w:val="00843D64"/>
    <w:rsid w:val="00843D77"/>
    <w:rsid w:val="00843DB8"/>
    <w:rsid w:val="00843DF3"/>
    <w:rsid w:val="00843E05"/>
    <w:rsid w:val="00843E11"/>
    <w:rsid w:val="00843ED2"/>
    <w:rsid w:val="00843F91"/>
    <w:rsid w:val="00843FE4"/>
    <w:rsid w:val="00844005"/>
    <w:rsid w:val="0084404E"/>
    <w:rsid w:val="00844137"/>
    <w:rsid w:val="00844162"/>
    <w:rsid w:val="008441B4"/>
    <w:rsid w:val="00844218"/>
    <w:rsid w:val="008442AE"/>
    <w:rsid w:val="008443B0"/>
    <w:rsid w:val="00844424"/>
    <w:rsid w:val="00844441"/>
    <w:rsid w:val="0084447D"/>
    <w:rsid w:val="00844486"/>
    <w:rsid w:val="008444C2"/>
    <w:rsid w:val="00844530"/>
    <w:rsid w:val="0084454B"/>
    <w:rsid w:val="0084458A"/>
    <w:rsid w:val="008445A1"/>
    <w:rsid w:val="008445DE"/>
    <w:rsid w:val="008446B5"/>
    <w:rsid w:val="008446D8"/>
    <w:rsid w:val="008446DF"/>
    <w:rsid w:val="008446F1"/>
    <w:rsid w:val="008447C2"/>
    <w:rsid w:val="008448DC"/>
    <w:rsid w:val="008448E0"/>
    <w:rsid w:val="008449C1"/>
    <w:rsid w:val="00844A76"/>
    <w:rsid w:val="00844A95"/>
    <w:rsid w:val="00844AA4"/>
    <w:rsid w:val="00844AF9"/>
    <w:rsid w:val="00844AFE"/>
    <w:rsid w:val="00844B41"/>
    <w:rsid w:val="00844CB8"/>
    <w:rsid w:val="00844D59"/>
    <w:rsid w:val="00844DCE"/>
    <w:rsid w:val="00844F1C"/>
    <w:rsid w:val="00844F57"/>
    <w:rsid w:val="00844F72"/>
    <w:rsid w:val="0084515A"/>
    <w:rsid w:val="00845234"/>
    <w:rsid w:val="00845255"/>
    <w:rsid w:val="008453C0"/>
    <w:rsid w:val="008453C8"/>
    <w:rsid w:val="0084541A"/>
    <w:rsid w:val="00845487"/>
    <w:rsid w:val="008454D5"/>
    <w:rsid w:val="008454E1"/>
    <w:rsid w:val="008454FE"/>
    <w:rsid w:val="00845509"/>
    <w:rsid w:val="0084553E"/>
    <w:rsid w:val="00845685"/>
    <w:rsid w:val="008456DB"/>
    <w:rsid w:val="008456E0"/>
    <w:rsid w:val="0084578C"/>
    <w:rsid w:val="00845827"/>
    <w:rsid w:val="008458E9"/>
    <w:rsid w:val="008459EA"/>
    <w:rsid w:val="00845A4C"/>
    <w:rsid w:val="00845A4F"/>
    <w:rsid w:val="00845A51"/>
    <w:rsid w:val="00845AE7"/>
    <w:rsid w:val="00845B45"/>
    <w:rsid w:val="00845C39"/>
    <w:rsid w:val="00845CFB"/>
    <w:rsid w:val="00845CFD"/>
    <w:rsid w:val="00845DAC"/>
    <w:rsid w:val="00845DB7"/>
    <w:rsid w:val="00845E96"/>
    <w:rsid w:val="00845FF0"/>
    <w:rsid w:val="00846002"/>
    <w:rsid w:val="0084600B"/>
    <w:rsid w:val="00846131"/>
    <w:rsid w:val="00846172"/>
    <w:rsid w:val="0084619F"/>
    <w:rsid w:val="008461B8"/>
    <w:rsid w:val="008461BC"/>
    <w:rsid w:val="0084635F"/>
    <w:rsid w:val="008463EF"/>
    <w:rsid w:val="00846463"/>
    <w:rsid w:val="008464F6"/>
    <w:rsid w:val="0084652B"/>
    <w:rsid w:val="00846538"/>
    <w:rsid w:val="0084654E"/>
    <w:rsid w:val="008465B4"/>
    <w:rsid w:val="0084660B"/>
    <w:rsid w:val="0084663D"/>
    <w:rsid w:val="0084669B"/>
    <w:rsid w:val="008466C7"/>
    <w:rsid w:val="0084670E"/>
    <w:rsid w:val="0084698D"/>
    <w:rsid w:val="00846A9F"/>
    <w:rsid w:val="00846AA8"/>
    <w:rsid w:val="00846B04"/>
    <w:rsid w:val="00846B1D"/>
    <w:rsid w:val="00846B1F"/>
    <w:rsid w:val="00846C02"/>
    <w:rsid w:val="00846C28"/>
    <w:rsid w:val="00846C48"/>
    <w:rsid w:val="00846C6C"/>
    <w:rsid w:val="00846C70"/>
    <w:rsid w:val="00846C7A"/>
    <w:rsid w:val="00846CB1"/>
    <w:rsid w:val="00846CB4"/>
    <w:rsid w:val="00846D6D"/>
    <w:rsid w:val="00846D83"/>
    <w:rsid w:val="00846D9B"/>
    <w:rsid w:val="00846E09"/>
    <w:rsid w:val="00846E8A"/>
    <w:rsid w:val="00846F19"/>
    <w:rsid w:val="00846FBF"/>
    <w:rsid w:val="00846FC0"/>
    <w:rsid w:val="00846FC6"/>
    <w:rsid w:val="00846FE3"/>
    <w:rsid w:val="00847005"/>
    <w:rsid w:val="0084701F"/>
    <w:rsid w:val="00847074"/>
    <w:rsid w:val="008470D2"/>
    <w:rsid w:val="0084712A"/>
    <w:rsid w:val="008471CA"/>
    <w:rsid w:val="00847297"/>
    <w:rsid w:val="0084729B"/>
    <w:rsid w:val="0084736A"/>
    <w:rsid w:val="00847386"/>
    <w:rsid w:val="008473FD"/>
    <w:rsid w:val="0084740F"/>
    <w:rsid w:val="008474AE"/>
    <w:rsid w:val="0084759F"/>
    <w:rsid w:val="008475A1"/>
    <w:rsid w:val="008475BA"/>
    <w:rsid w:val="008475F1"/>
    <w:rsid w:val="00847666"/>
    <w:rsid w:val="00847688"/>
    <w:rsid w:val="00847812"/>
    <w:rsid w:val="0084788C"/>
    <w:rsid w:val="008478FE"/>
    <w:rsid w:val="00847904"/>
    <w:rsid w:val="00847925"/>
    <w:rsid w:val="0084793C"/>
    <w:rsid w:val="00847984"/>
    <w:rsid w:val="00847A66"/>
    <w:rsid w:val="00847A7C"/>
    <w:rsid w:val="00847ADF"/>
    <w:rsid w:val="00847B30"/>
    <w:rsid w:val="00847B50"/>
    <w:rsid w:val="00847BE3"/>
    <w:rsid w:val="00847C0F"/>
    <w:rsid w:val="00847C85"/>
    <w:rsid w:val="00847C8D"/>
    <w:rsid w:val="00847D75"/>
    <w:rsid w:val="00847EDB"/>
    <w:rsid w:val="00847F29"/>
    <w:rsid w:val="00847FB5"/>
    <w:rsid w:val="00847FD4"/>
    <w:rsid w:val="0085005D"/>
    <w:rsid w:val="0085005F"/>
    <w:rsid w:val="00850077"/>
    <w:rsid w:val="008500AA"/>
    <w:rsid w:val="008500D5"/>
    <w:rsid w:val="00850129"/>
    <w:rsid w:val="008501A5"/>
    <w:rsid w:val="00850215"/>
    <w:rsid w:val="00850237"/>
    <w:rsid w:val="0085024D"/>
    <w:rsid w:val="0085025C"/>
    <w:rsid w:val="008502B0"/>
    <w:rsid w:val="00850335"/>
    <w:rsid w:val="0085035F"/>
    <w:rsid w:val="00850391"/>
    <w:rsid w:val="00850475"/>
    <w:rsid w:val="0085049C"/>
    <w:rsid w:val="008504E0"/>
    <w:rsid w:val="008504FB"/>
    <w:rsid w:val="00850509"/>
    <w:rsid w:val="00850561"/>
    <w:rsid w:val="008505F6"/>
    <w:rsid w:val="008506E7"/>
    <w:rsid w:val="008506F9"/>
    <w:rsid w:val="00850773"/>
    <w:rsid w:val="008507A9"/>
    <w:rsid w:val="00850805"/>
    <w:rsid w:val="00850812"/>
    <w:rsid w:val="00850858"/>
    <w:rsid w:val="0085097A"/>
    <w:rsid w:val="00850A96"/>
    <w:rsid w:val="00850AE8"/>
    <w:rsid w:val="00850B9C"/>
    <w:rsid w:val="00850BA4"/>
    <w:rsid w:val="00850C6D"/>
    <w:rsid w:val="00850DED"/>
    <w:rsid w:val="00850E20"/>
    <w:rsid w:val="00850EE6"/>
    <w:rsid w:val="00850EFE"/>
    <w:rsid w:val="00850F00"/>
    <w:rsid w:val="00850FF9"/>
    <w:rsid w:val="00851020"/>
    <w:rsid w:val="0085129E"/>
    <w:rsid w:val="008512B7"/>
    <w:rsid w:val="00851339"/>
    <w:rsid w:val="0085139F"/>
    <w:rsid w:val="00851410"/>
    <w:rsid w:val="00851486"/>
    <w:rsid w:val="008514DF"/>
    <w:rsid w:val="00851558"/>
    <w:rsid w:val="00851591"/>
    <w:rsid w:val="0085169A"/>
    <w:rsid w:val="008516B1"/>
    <w:rsid w:val="008516B9"/>
    <w:rsid w:val="00851714"/>
    <w:rsid w:val="00851786"/>
    <w:rsid w:val="00851791"/>
    <w:rsid w:val="00851829"/>
    <w:rsid w:val="0085183A"/>
    <w:rsid w:val="0085190B"/>
    <w:rsid w:val="0085195F"/>
    <w:rsid w:val="008519B1"/>
    <w:rsid w:val="00851A19"/>
    <w:rsid w:val="00851AF8"/>
    <w:rsid w:val="00851B1A"/>
    <w:rsid w:val="00851B50"/>
    <w:rsid w:val="00851B9F"/>
    <w:rsid w:val="00851BA2"/>
    <w:rsid w:val="00851C72"/>
    <w:rsid w:val="00851C9B"/>
    <w:rsid w:val="00851DAE"/>
    <w:rsid w:val="00851E8E"/>
    <w:rsid w:val="00851F1E"/>
    <w:rsid w:val="00851F83"/>
    <w:rsid w:val="00851FDD"/>
    <w:rsid w:val="00852064"/>
    <w:rsid w:val="0085210E"/>
    <w:rsid w:val="00852140"/>
    <w:rsid w:val="00852145"/>
    <w:rsid w:val="00852229"/>
    <w:rsid w:val="00852258"/>
    <w:rsid w:val="00852268"/>
    <w:rsid w:val="008522D5"/>
    <w:rsid w:val="008522DB"/>
    <w:rsid w:val="0085233B"/>
    <w:rsid w:val="0085235B"/>
    <w:rsid w:val="0085237B"/>
    <w:rsid w:val="00852386"/>
    <w:rsid w:val="00852435"/>
    <w:rsid w:val="008524C6"/>
    <w:rsid w:val="008524E4"/>
    <w:rsid w:val="0085252E"/>
    <w:rsid w:val="008525D9"/>
    <w:rsid w:val="0085263A"/>
    <w:rsid w:val="00852674"/>
    <w:rsid w:val="008527AD"/>
    <w:rsid w:val="008527D8"/>
    <w:rsid w:val="0085293D"/>
    <w:rsid w:val="00852977"/>
    <w:rsid w:val="00852A63"/>
    <w:rsid w:val="00852CFF"/>
    <w:rsid w:val="00852D59"/>
    <w:rsid w:val="00852EB9"/>
    <w:rsid w:val="00852F2D"/>
    <w:rsid w:val="00852FDC"/>
    <w:rsid w:val="00852FF8"/>
    <w:rsid w:val="00853007"/>
    <w:rsid w:val="00853013"/>
    <w:rsid w:val="00853177"/>
    <w:rsid w:val="008531AE"/>
    <w:rsid w:val="008531D8"/>
    <w:rsid w:val="008531E2"/>
    <w:rsid w:val="00853308"/>
    <w:rsid w:val="00853333"/>
    <w:rsid w:val="008533C1"/>
    <w:rsid w:val="008533ED"/>
    <w:rsid w:val="0085340B"/>
    <w:rsid w:val="008534E4"/>
    <w:rsid w:val="00853533"/>
    <w:rsid w:val="00853695"/>
    <w:rsid w:val="0085370B"/>
    <w:rsid w:val="00853711"/>
    <w:rsid w:val="00853728"/>
    <w:rsid w:val="0085378B"/>
    <w:rsid w:val="008537A8"/>
    <w:rsid w:val="0085387C"/>
    <w:rsid w:val="008538EA"/>
    <w:rsid w:val="008538EE"/>
    <w:rsid w:val="00853933"/>
    <w:rsid w:val="0085394F"/>
    <w:rsid w:val="00853989"/>
    <w:rsid w:val="008539B5"/>
    <w:rsid w:val="008539E0"/>
    <w:rsid w:val="00853A88"/>
    <w:rsid w:val="00853A8F"/>
    <w:rsid w:val="00853BBF"/>
    <w:rsid w:val="00853C53"/>
    <w:rsid w:val="00853C6A"/>
    <w:rsid w:val="00853D3D"/>
    <w:rsid w:val="00853E1B"/>
    <w:rsid w:val="00853E21"/>
    <w:rsid w:val="00853F1E"/>
    <w:rsid w:val="00853F57"/>
    <w:rsid w:val="00853F71"/>
    <w:rsid w:val="0085404C"/>
    <w:rsid w:val="0085404E"/>
    <w:rsid w:val="008540C5"/>
    <w:rsid w:val="008540F7"/>
    <w:rsid w:val="0085412D"/>
    <w:rsid w:val="008542AE"/>
    <w:rsid w:val="0085436B"/>
    <w:rsid w:val="008543DF"/>
    <w:rsid w:val="00854476"/>
    <w:rsid w:val="008544AB"/>
    <w:rsid w:val="00854615"/>
    <w:rsid w:val="00854627"/>
    <w:rsid w:val="00854721"/>
    <w:rsid w:val="008547C8"/>
    <w:rsid w:val="00854819"/>
    <w:rsid w:val="0085485C"/>
    <w:rsid w:val="00854879"/>
    <w:rsid w:val="00854889"/>
    <w:rsid w:val="00854953"/>
    <w:rsid w:val="008549A8"/>
    <w:rsid w:val="008549F4"/>
    <w:rsid w:val="00854A02"/>
    <w:rsid w:val="00854A39"/>
    <w:rsid w:val="00854A75"/>
    <w:rsid w:val="00854AA1"/>
    <w:rsid w:val="00854AC1"/>
    <w:rsid w:val="00854BC7"/>
    <w:rsid w:val="00854C90"/>
    <w:rsid w:val="00854CA4"/>
    <w:rsid w:val="00854CE2"/>
    <w:rsid w:val="00854D86"/>
    <w:rsid w:val="00854DDE"/>
    <w:rsid w:val="00854EDE"/>
    <w:rsid w:val="00854EE0"/>
    <w:rsid w:val="00854F7E"/>
    <w:rsid w:val="00855012"/>
    <w:rsid w:val="00855104"/>
    <w:rsid w:val="00855146"/>
    <w:rsid w:val="00855239"/>
    <w:rsid w:val="00855271"/>
    <w:rsid w:val="0085528B"/>
    <w:rsid w:val="008552E2"/>
    <w:rsid w:val="00855373"/>
    <w:rsid w:val="00855378"/>
    <w:rsid w:val="00855382"/>
    <w:rsid w:val="008553BF"/>
    <w:rsid w:val="008553C1"/>
    <w:rsid w:val="00855421"/>
    <w:rsid w:val="00855569"/>
    <w:rsid w:val="008555AB"/>
    <w:rsid w:val="00855695"/>
    <w:rsid w:val="008556B5"/>
    <w:rsid w:val="0085574D"/>
    <w:rsid w:val="008557E4"/>
    <w:rsid w:val="0085582B"/>
    <w:rsid w:val="00855853"/>
    <w:rsid w:val="00855860"/>
    <w:rsid w:val="00855912"/>
    <w:rsid w:val="0085592C"/>
    <w:rsid w:val="00855939"/>
    <w:rsid w:val="00855940"/>
    <w:rsid w:val="0085599B"/>
    <w:rsid w:val="00855A2F"/>
    <w:rsid w:val="00855A82"/>
    <w:rsid w:val="00855ABE"/>
    <w:rsid w:val="00855B90"/>
    <w:rsid w:val="00855C31"/>
    <w:rsid w:val="00855DF8"/>
    <w:rsid w:val="00855E6B"/>
    <w:rsid w:val="00855E6D"/>
    <w:rsid w:val="00855E8C"/>
    <w:rsid w:val="00855EBE"/>
    <w:rsid w:val="00855F98"/>
    <w:rsid w:val="00855FD0"/>
    <w:rsid w:val="00855FFC"/>
    <w:rsid w:val="00856036"/>
    <w:rsid w:val="00856050"/>
    <w:rsid w:val="008560B3"/>
    <w:rsid w:val="00856172"/>
    <w:rsid w:val="00856266"/>
    <w:rsid w:val="00856268"/>
    <w:rsid w:val="00856327"/>
    <w:rsid w:val="0085633A"/>
    <w:rsid w:val="0085635B"/>
    <w:rsid w:val="00856371"/>
    <w:rsid w:val="008563D5"/>
    <w:rsid w:val="00856401"/>
    <w:rsid w:val="0085640D"/>
    <w:rsid w:val="00856416"/>
    <w:rsid w:val="0085644F"/>
    <w:rsid w:val="008564E0"/>
    <w:rsid w:val="00856504"/>
    <w:rsid w:val="00856510"/>
    <w:rsid w:val="0085662B"/>
    <w:rsid w:val="00856717"/>
    <w:rsid w:val="0085671D"/>
    <w:rsid w:val="00856722"/>
    <w:rsid w:val="00856738"/>
    <w:rsid w:val="00856789"/>
    <w:rsid w:val="008567C9"/>
    <w:rsid w:val="0085683B"/>
    <w:rsid w:val="0085690A"/>
    <w:rsid w:val="0085697F"/>
    <w:rsid w:val="00856A17"/>
    <w:rsid w:val="00856A6F"/>
    <w:rsid w:val="00856A92"/>
    <w:rsid w:val="00856B8A"/>
    <w:rsid w:val="00856BAF"/>
    <w:rsid w:val="00856BD9"/>
    <w:rsid w:val="00856BFB"/>
    <w:rsid w:val="00856C45"/>
    <w:rsid w:val="00856D6E"/>
    <w:rsid w:val="00856D9D"/>
    <w:rsid w:val="00856DCF"/>
    <w:rsid w:val="00856DEC"/>
    <w:rsid w:val="00856E0F"/>
    <w:rsid w:val="00856E31"/>
    <w:rsid w:val="00856E5B"/>
    <w:rsid w:val="00856FB8"/>
    <w:rsid w:val="00856FDA"/>
    <w:rsid w:val="00856FF4"/>
    <w:rsid w:val="00857053"/>
    <w:rsid w:val="008570E3"/>
    <w:rsid w:val="00857151"/>
    <w:rsid w:val="00857168"/>
    <w:rsid w:val="008571D4"/>
    <w:rsid w:val="0085723D"/>
    <w:rsid w:val="0085732F"/>
    <w:rsid w:val="008573E6"/>
    <w:rsid w:val="0085749D"/>
    <w:rsid w:val="008574A6"/>
    <w:rsid w:val="008574E1"/>
    <w:rsid w:val="0085752E"/>
    <w:rsid w:val="0085757A"/>
    <w:rsid w:val="008575D0"/>
    <w:rsid w:val="008575FD"/>
    <w:rsid w:val="00857641"/>
    <w:rsid w:val="00857652"/>
    <w:rsid w:val="008576F3"/>
    <w:rsid w:val="008576FB"/>
    <w:rsid w:val="0085770E"/>
    <w:rsid w:val="0085772B"/>
    <w:rsid w:val="0085775F"/>
    <w:rsid w:val="008577CC"/>
    <w:rsid w:val="008577D7"/>
    <w:rsid w:val="0085781C"/>
    <w:rsid w:val="0085784F"/>
    <w:rsid w:val="008578A2"/>
    <w:rsid w:val="00857A5F"/>
    <w:rsid w:val="00857B0C"/>
    <w:rsid w:val="00857B23"/>
    <w:rsid w:val="00857B59"/>
    <w:rsid w:val="00857B6A"/>
    <w:rsid w:val="00857B7A"/>
    <w:rsid w:val="00857B80"/>
    <w:rsid w:val="00857BA1"/>
    <w:rsid w:val="00857C91"/>
    <w:rsid w:val="00857CC6"/>
    <w:rsid w:val="00857CFD"/>
    <w:rsid w:val="00857EFC"/>
    <w:rsid w:val="00857F3D"/>
    <w:rsid w:val="00857FA4"/>
    <w:rsid w:val="00857FFD"/>
    <w:rsid w:val="00860037"/>
    <w:rsid w:val="00860054"/>
    <w:rsid w:val="008600C2"/>
    <w:rsid w:val="00860112"/>
    <w:rsid w:val="0086013E"/>
    <w:rsid w:val="0086015D"/>
    <w:rsid w:val="00860196"/>
    <w:rsid w:val="008601CF"/>
    <w:rsid w:val="008601D0"/>
    <w:rsid w:val="008601E3"/>
    <w:rsid w:val="00860237"/>
    <w:rsid w:val="00860267"/>
    <w:rsid w:val="0086027F"/>
    <w:rsid w:val="00860295"/>
    <w:rsid w:val="008602CD"/>
    <w:rsid w:val="008603AF"/>
    <w:rsid w:val="00860488"/>
    <w:rsid w:val="0086048C"/>
    <w:rsid w:val="0086049A"/>
    <w:rsid w:val="008604D3"/>
    <w:rsid w:val="00860568"/>
    <w:rsid w:val="0086057F"/>
    <w:rsid w:val="008605E6"/>
    <w:rsid w:val="00860652"/>
    <w:rsid w:val="008606EC"/>
    <w:rsid w:val="008607C6"/>
    <w:rsid w:val="00860826"/>
    <w:rsid w:val="0086083B"/>
    <w:rsid w:val="00860882"/>
    <w:rsid w:val="0086094A"/>
    <w:rsid w:val="00860A2C"/>
    <w:rsid w:val="00860A3A"/>
    <w:rsid w:val="00860A7A"/>
    <w:rsid w:val="00860A87"/>
    <w:rsid w:val="00860A91"/>
    <w:rsid w:val="00860A99"/>
    <w:rsid w:val="00860ADC"/>
    <w:rsid w:val="00860B16"/>
    <w:rsid w:val="00860B69"/>
    <w:rsid w:val="00860BEB"/>
    <w:rsid w:val="00860C3A"/>
    <w:rsid w:val="00860C69"/>
    <w:rsid w:val="00860CA3"/>
    <w:rsid w:val="00860CCE"/>
    <w:rsid w:val="00860CEE"/>
    <w:rsid w:val="00860DFA"/>
    <w:rsid w:val="00860E17"/>
    <w:rsid w:val="00860E73"/>
    <w:rsid w:val="00860ED1"/>
    <w:rsid w:val="00860EEB"/>
    <w:rsid w:val="00860EF1"/>
    <w:rsid w:val="00860FD6"/>
    <w:rsid w:val="00861033"/>
    <w:rsid w:val="00861075"/>
    <w:rsid w:val="0086108A"/>
    <w:rsid w:val="008610A9"/>
    <w:rsid w:val="008611D2"/>
    <w:rsid w:val="008611DC"/>
    <w:rsid w:val="00861241"/>
    <w:rsid w:val="008612D7"/>
    <w:rsid w:val="00861327"/>
    <w:rsid w:val="0086133D"/>
    <w:rsid w:val="00861353"/>
    <w:rsid w:val="00861379"/>
    <w:rsid w:val="0086139A"/>
    <w:rsid w:val="008613DF"/>
    <w:rsid w:val="00861404"/>
    <w:rsid w:val="00861499"/>
    <w:rsid w:val="00861594"/>
    <w:rsid w:val="00861595"/>
    <w:rsid w:val="00861628"/>
    <w:rsid w:val="00861648"/>
    <w:rsid w:val="0086167F"/>
    <w:rsid w:val="00861704"/>
    <w:rsid w:val="0086171B"/>
    <w:rsid w:val="0086174D"/>
    <w:rsid w:val="008617BA"/>
    <w:rsid w:val="00861824"/>
    <w:rsid w:val="00861921"/>
    <w:rsid w:val="0086192E"/>
    <w:rsid w:val="00861949"/>
    <w:rsid w:val="00861A2F"/>
    <w:rsid w:val="00861A5C"/>
    <w:rsid w:val="00861AE9"/>
    <w:rsid w:val="00861B3B"/>
    <w:rsid w:val="00861B8E"/>
    <w:rsid w:val="00861BD6"/>
    <w:rsid w:val="00861BDA"/>
    <w:rsid w:val="00861C12"/>
    <w:rsid w:val="00861C49"/>
    <w:rsid w:val="00861D25"/>
    <w:rsid w:val="00861D51"/>
    <w:rsid w:val="00861D6A"/>
    <w:rsid w:val="00861DDE"/>
    <w:rsid w:val="00861EB7"/>
    <w:rsid w:val="00861F13"/>
    <w:rsid w:val="00861F2A"/>
    <w:rsid w:val="00861FB1"/>
    <w:rsid w:val="00861FC3"/>
    <w:rsid w:val="00862066"/>
    <w:rsid w:val="0086208B"/>
    <w:rsid w:val="00862098"/>
    <w:rsid w:val="0086210D"/>
    <w:rsid w:val="0086212A"/>
    <w:rsid w:val="00862143"/>
    <w:rsid w:val="00862234"/>
    <w:rsid w:val="00862311"/>
    <w:rsid w:val="00862322"/>
    <w:rsid w:val="00862435"/>
    <w:rsid w:val="00862453"/>
    <w:rsid w:val="008624DF"/>
    <w:rsid w:val="0086254A"/>
    <w:rsid w:val="00862555"/>
    <w:rsid w:val="0086256C"/>
    <w:rsid w:val="008625F5"/>
    <w:rsid w:val="0086266B"/>
    <w:rsid w:val="008627C3"/>
    <w:rsid w:val="008627DB"/>
    <w:rsid w:val="00862836"/>
    <w:rsid w:val="00862850"/>
    <w:rsid w:val="0086286D"/>
    <w:rsid w:val="008629D1"/>
    <w:rsid w:val="008629F3"/>
    <w:rsid w:val="00862A81"/>
    <w:rsid w:val="00862A85"/>
    <w:rsid w:val="00862AB1"/>
    <w:rsid w:val="00862AF3"/>
    <w:rsid w:val="00862B24"/>
    <w:rsid w:val="00862B5B"/>
    <w:rsid w:val="00862B9A"/>
    <w:rsid w:val="00862BDB"/>
    <w:rsid w:val="00862BE1"/>
    <w:rsid w:val="00862C17"/>
    <w:rsid w:val="00862C25"/>
    <w:rsid w:val="00862CCA"/>
    <w:rsid w:val="00862CD9"/>
    <w:rsid w:val="00862CDF"/>
    <w:rsid w:val="00862E5F"/>
    <w:rsid w:val="00862F11"/>
    <w:rsid w:val="00862FC6"/>
    <w:rsid w:val="00863082"/>
    <w:rsid w:val="00863210"/>
    <w:rsid w:val="00863287"/>
    <w:rsid w:val="008632EC"/>
    <w:rsid w:val="008632F5"/>
    <w:rsid w:val="0086330D"/>
    <w:rsid w:val="00863455"/>
    <w:rsid w:val="008634F0"/>
    <w:rsid w:val="0086361D"/>
    <w:rsid w:val="008636B9"/>
    <w:rsid w:val="00863702"/>
    <w:rsid w:val="00863713"/>
    <w:rsid w:val="0086371B"/>
    <w:rsid w:val="00863762"/>
    <w:rsid w:val="008637CB"/>
    <w:rsid w:val="0086381F"/>
    <w:rsid w:val="00863828"/>
    <w:rsid w:val="0086382A"/>
    <w:rsid w:val="00863830"/>
    <w:rsid w:val="008638FB"/>
    <w:rsid w:val="00863A14"/>
    <w:rsid w:val="00863A2A"/>
    <w:rsid w:val="00863A3A"/>
    <w:rsid w:val="00863A76"/>
    <w:rsid w:val="00863A9F"/>
    <w:rsid w:val="00863AB6"/>
    <w:rsid w:val="00863B5F"/>
    <w:rsid w:val="00863BB2"/>
    <w:rsid w:val="00863C8C"/>
    <w:rsid w:val="00863CBA"/>
    <w:rsid w:val="00863D65"/>
    <w:rsid w:val="00863D76"/>
    <w:rsid w:val="00863ED0"/>
    <w:rsid w:val="00863F56"/>
    <w:rsid w:val="008640C6"/>
    <w:rsid w:val="008640F2"/>
    <w:rsid w:val="00864143"/>
    <w:rsid w:val="00864178"/>
    <w:rsid w:val="008641D8"/>
    <w:rsid w:val="0086428E"/>
    <w:rsid w:val="008642E8"/>
    <w:rsid w:val="0086431A"/>
    <w:rsid w:val="00864451"/>
    <w:rsid w:val="0086450B"/>
    <w:rsid w:val="00864521"/>
    <w:rsid w:val="00864523"/>
    <w:rsid w:val="00864553"/>
    <w:rsid w:val="00864625"/>
    <w:rsid w:val="008646FB"/>
    <w:rsid w:val="00864731"/>
    <w:rsid w:val="00864781"/>
    <w:rsid w:val="008647B2"/>
    <w:rsid w:val="00864882"/>
    <w:rsid w:val="008648DC"/>
    <w:rsid w:val="00864BCF"/>
    <w:rsid w:val="00864C86"/>
    <w:rsid w:val="00864C9E"/>
    <w:rsid w:val="00864CC3"/>
    <w:rsid w:val="00864E5E"/>
    <w:rsid w:val="00864EC5"/>
    <w:rsid w:val="00864FE5"/>
    <w:rsid w:val="00865048"/>
    <w:rsid w:val="008650FC"/>
    <w:rsid w:val="0086519A"/>
    <w:rsid w:val="0086523F"/>
    <w:rsid w:val="0086531E"/>
    <w:rsid w:val="00865328"/>
    <w:rsid w:val="00865360"/>
    <w:rsid w:val="00865361"/>
    <w:rsid w:val="0086542F"/>
    <w:rsid w:val="008654C4"/>
    <w:rsid w:val="008654D1"/>
    <w:rsid w:val="008654D4"/>
    <w:rsid w:val="0086556D"/>
    <w:rsid w:val="008655D3"/>
    <w:rsid w:val="00865604"/>
    <w:rsid w:val="00865613"/>
    <w:rsid w:val="00865618"/>
    <w:rsid w:val="008656E3"/>
    <w:rsid w:val="00865841"/>
    <w:rsid w:val="008658D0"/>
    <w:rsid w:val="00865900"/>
    <w:rsid w:val="00865969"/>
    <w:rsid w:val="008659CA"/>
    <w:rsid w:val="00865A2E"/>
    <w:rsid w:val="00865A6C"/>
    <w:rsid w:val="00865AA4"/>
    <w:rsid w:val="00865AE6"/>
    <w:rsid w:val="00865B7C"/>
    <w:rsid w:val="00865BBE"/>
    <w:rsid w:val="00865BC1"/>
    <w:rsid w:val="00865C65"/>
    <w:rsid w:val="00865C67"/>
    <w:rsid w:val="00865CB1"/>
    <w:rsid w:val="00865CE8"/>
    <w:rsid w:val="00865E90"/>
    <w:rsid w:val="00865EC2"/>
    <w:rsid w:val="00865ED6"/>
    <w:rsid w:val="00865F46"/>
    <w:rsid w:val="00865FDE"/>
    <w:rsid w:val="0086605A"/>
    <w:rsid w:val="0086610C"/>
    <w:rsid w:val="008661F5"/>
    <w:rsid w:val="008662AA"/>
    <w:rsid w:val="008662BC"/>
    <w:rsid w:val="00866305"/>
    <w:rsid w:val="0086631D"/>
    <w:rsid w:val="0086635C"/>
    <w:rsid w:val="00866379"/>
    <w:rsid w:val="008663F2"/>
    <w:rsid w:val="00866479"/>
    <w:rsid w:val="0086647C"/>
    <w:rsid w:val="0086649F"/>
    <w:rsid w:val="00866561"/>
    <w:rsid w:val="008666C1"/>
    <w:rsid w:val="0086675E"/>
    <w:rsid w:val="008667C1"/>
    <w:rsid w:val="00866846"/>
    <w:rsid w:val="008668AF"/>
    <w:rsid w:val="008668E6"/>
    <w:rsid w:val="00866940"/>
    <w:rsid w:val="008669DA"/>
    <w:rsid w:val="00866A26"/>
    <w:rsid w:val="00866A3B"/>
    <w:rsid w:val="00866AA7"/>
    <w:rsid w:val="00866B3B"/>
    <w:rsid w:val="00866C14"/>
    <w:rsid w:val="00866C16"/>
    <w:rsid w:val="00866D45"/>
    <w:rsid w:val="00866DBF"/>
    <w:rsid w:val="00866DE7"/>
    <w:rsid w:val="00866E22"/>
    <w:rsid w:val="00866E35"/>
    <w:rsid w:val="00866E5E"/>
    <w:rsid w:val="00866E70"/>
    <w:rsid w:val="00866FB7"/>
    <w:rsid w:val="00867025"/>
    <w:rsid w:val="0086707F"/>
    <w:rsid w:val="0086708B"/>
    <w:rsid w:val="00867113"/>
    <w:rsid w:val="00867132"/>
    <w:rsid w:val="00867162"/>
    <w:rsid w:val="00867216"/>
    <w:rsid w:val="0086723E"/>
    <w:rsid w:val="0086728F"/>
    <w:rsid w:val="008672A4"/>
    <w:rsid w:val="00867344"/>
    <w:rsid w:val="00867399"/>
    <w:rsid w:val="008674D7"/>
    <w:rsid w:val="0086756D"/>
    <w:rsid w:val="008676C6"/>
    <w:rsid w:val="00867725"/>
    <w:rsid w:val="00867760"/>
    <w:rsid w:val="00867790"/>
    <w:rsid w:val="00867799"/>
    <w:rsid w:val="008677B7"/>
    <w:rsid w:val="00867810"/>
    <w:rsid w:val="0086782C"/>
    <w:rsid w:val="0086790B"/>
    <w:rsid w:val="0086791C"/>
    <w:rsid w:val="00867987"/>
    <w:rsid w:val="008679B2"/>
    <w:rsid w:val="00867A42"/>
    <w:rsid w:val="00867A9D"/>
    <w:rsid w:val="00867A9F"/>
    <w:rsid w:val="00867C30"/>
    <w:rsid w:val="00867C3B"/>
    <w:rsid w:val="00867C7A"/>
    <w:rsid w:val="00867D81"/>
    <w:rsid w:val="00867DDD"/>
    <w:rsid w:val="00867F14"/>
    <w:rsid w:val="008701C5"/>
    <w:rsid w:val="00870277"/>
    <w:rsid w:val="00870294"/>
    <w:rsid w:val="00870347"/>
    <w:rsid w:val="008703E0"/>
    <w:rsid w:val="008704A8"/>
    <w:rsid w:val="00870528"/>
    <w:rsid w:val="00870573"/>
    <w:rsid w:val="00870583"/>
    <w:rsid w:val="008706E5"/>
    <w:rsid w:val="008707B3"/>
    <w:rsid w:val="00870804"/>
    <w:rsid w:val="00870904"/>
    <w:rsid w:val="0087096D"/>
    <w:rsid w:val="008709B2"/>
    <w:rsid w:val="008709DE"/>
    <w:rsid w:val="00870B70"/>
    <w:rsid w:val="00870BE6"/>
    <w:rsid w:val="00870C0F"/>
    <w:rsid w:val="00870C5D"/>
    <w:rsid w:val="00870C78"/>
    <w:rsid w:val="00870CEE"/>
    <w:rsid w:val="00870D05"/>
    <w:rsid w:val="00870DC2"/>
    <w:rsid w:val="00870DE9"/>
    <w:rsid w:val="00870DEA"/>
    <w:rsid w:val="00870E77"/>
    <w:rsid w:val="00870ECC"/>
    <w:rsid w:val="00870FBF"/>
    <w:rsid w:val="008710B3"/>
    <w:rsid w:val="00871103"/>
    <w:rsid w:val="0087112C"/>
    <w:rsid w:val="00871146"/>
    <w:rsid w:val="008711EA"/>
    <w:rsid w:val="0087128E"/>
    <w:rsid w:val="00871295"/>
    <w:rsid w:val="0087130D"/>
    <w:rsid w:val="0087131B"/>
    <w:rsid w:val="00871348"/>
    <w:rsid w:val="008713D9"/>
    <w:rsid w:val="0087143D"/>
    <w:rsid w:val="00871492"/>
    <w:rsid w:val="008714E6"/>
    <w:rsid w:val="0087150D"/>
    <w:rsid w:val="00871534"/>
    <w:rsid w:val="008715D2"/>
    <w:rsid w:val="0087171D"/>
    <w:rsid w:val="008717D4"/>
    <w:rsid w:val="008717D5"/>
    <w:rsid w:val="00871869"/>
    <w:rsid w:val="00871915"/>
    <w:rsid w:val="008719C4"/>
    <w:rsid w:val="008719C5"/>
    <w:rsid w:val="00871A06"/>
    <w:rsid w:val="00871A32"/>
    <w:rsid w:val="00871A62"/>
    <w:rsid w:val="00871B6E"/>
    <w:rsid w:val="00871BA1"/>
    <w:rsid w:val="00871BA7"/>
    <w:rsid w:val="00871C0D"/>
    <w:rsid w:val="00871C67"/>
    <w:rsid w:val="00871C69"/>
    <w:rsid w:val="00871CA2"/>
    <w:rsid w:val="00871CF4"/>
    <w:rsid w:val="00871DCF"/>
    <w:rsid w:val="00871EDC"/>
    <w:rsid w:val="00871FCD"/>
    <w:rsid w:val="00872032"/>
    <w:rsid w:val="0087215A"/>
    <w:rsid w:val="008721AB"/>
    <w:rsid w:val="008721F6"/>
    <w:rsid w:val="00872228"/>
    <w:rsid w:val="0087224A"/>
    <w:rsid w:val="008722DA"/>
    <w:rsid w:val="008722E7"/>
    <w:rsid w:val="00872408"/>
    <w:rsid w:val="008724A7"/>
    <w:rsid w:val="008724B3"/>
    <w:rsid w:val="008724FC"/>
    <w:rsid w:val="0087255A"/>
    <w:rsid w:val="00872623"/>
    <w:rsid w:val="008726B9"/>
    <w:rsid w:val="008726EA"/>
    <w:rsid w:val="008726F4"/>
    <w:rsid w:val="00872707"/>
    <w:rsid w:val="00872793"/>
    <w:rsid w:val="0087281F"/>
    <w:rsid w:val="00872822"/>
    <w:rsid w:val="00872873"/>
    <w:rsid w:val="008728B0"/>
    <w:rsid w:val="008729E3"/>
    <w:rsid w:val="00872B58"/>
    <w:rsid w:val="00872BE5"/>
    <w:rsid w:val="00872BE6"/>
    <w:rsid w:val="00872C4A"/>
    <w:rsid w:val="00872C8E"/>
    <w:rsid w:val="00872CF6"/>
    <w:rsid w:val="00872D0A"/>
    <w:rsid w:val="00872D55"/>
    <w:rsid w:val="00872D7F"/>
    <w:rsid w:val="00872DA1"/>
    <w:rsid w:val="00872E38"/>
    <w:rsid w:val="00872E40"/>
    <w:rsid w:val="00872EA5"/>
    <w:rsid w:val="00872EFB"/>
    <w:rsid w:val="00872F3B"/>
    <w:rsid w:val="008730C7"/>
    <w:rsid w:val="008730D1"/>
    <w:rsid w:val="0087311B"/>
    <w:rsid w:val="008731D8"/>
    <w:rsid w:val="0087327B"/>
    <w:rsid w:val="00873287"/>
    <w:rsid w:val="0087328A"/>
    <w:rsid w:val="008732CE"/>
    <w:rsid w:val="00873442"/>
    <w:rsid w:val="0087355B"/>
    <w:rsid w:val="0087357E"/>
    <w:rsid w:val="00873638"/>
    <w:rsid w:val="0087368E"/>
    <w:rsid w:val="00873698"/>
    <w:rsid w:val="00873725"/>
    <w:rsid w:val="00873773"/>
    <w:rsid w:val="008737AD"/>
    <w:rsid w:val="008737E9"/>
    <w:rsid w:val="00873820"/>
    <w:rsid w:val="008738E7"/>
    <w:rsid w:val="00873901"/>
    <w:rsid w:val="00873B0A"/>
    <w:rsid w:val="00873B2C"/>
    <w:rsid w:val="00873B3A"/>
    <w:rsid w:val="00873BDC"/>
    <w:rsid w:val="00873C2F"/>
    <w:rsid w:val="00873C47"/>
    <w:rsid w:val="00873C81"/>
    <w:rsid w:val="00873CFA"/>
    <w:rsid w:val="00873D01"/>
    <w:rsid w:val="00873DA1"/>
    <w:rsid w:val="00873EA5"/>
    <w:rsid w:val="00873F23"/>
    <w:rsid w:val="0087403C"/>
    <w:rsid w:val="00874054"/>
    <w:rsid w:val="008740EE"/>
    <w:rsid w:val="00874106"/>
    <w:rsid w:val="00874118"/>
    <w:rsid w:val="00874167"/>
    <w:rsid w:val="008741DB"/>
    <w:rsid w:val="008742B7"/>
    <w:rsid w:val="008742BF"/>
    <w:rsid w:val="008742C9"/>
    <w:rsid w:val="008742D5"/>
    <w:rsid w:val="0087435B"/>
    <w:rsid w:val="00874370"/>
    <w:rsid w:val="008743BF"/>
    <w:rsid w:val="008743E2"/>
    <w:rsid w:val="008743FC"/>
    <w:rsid w:val="00874442"/>
    <w:rsid w:val="008744CE"/>
    <w:rsid w:val="00874549"/>
    <w:rsid w:val="008745CA"/>
    <w:rsid w:val="0087475D"/>
    <w:rsid w:val="008747FA"/>
    <w:rsid w:val="00874997"/>
    <w:rsid w:val="00874A54"/>
    <w:rsid w:val="00874A5D"/>
    <w:rsid w:val="00874B24"/>
    <w:rsid w:val="00874BC7"/>
    <w:rsid w:val="00874BE3"/>
    <w:rsid w:val="00874C48"/>
    <w:rsid w:val="00874C6E"/>
    <w:rsid w:val="00874CBF"/>
    <w:rsid w:val="00874CDA"/>
    <w:rsid w:val="00874D04"/>
    <w:rsid w:val="00874D32"/>
    <w:rsid w:val="00874DB9"/>
    <w:rsid w:val="00874DDA"/>
    <w:rsid w:val="00874E90"/>
    <w:rsid w:val="00874EE0"/>
    <w:rsid w:val="00875064"/>
    <w:rsid w:val="00875078"/>
    <w:rsid w:val="008750E9"/>
    <w:rsid w:val="00875177"/>
    <w:rsid w:val="008751CB"/>
    <w:rsid w:val="008752A6"/>
    <w:rsid w:val="00875342"/>
    <w:rsid w:val="0087536F"/>
    <w:rsid w:val="008753DC"/>
    <w:rsid w:val="00875457"/>
    <w:rsid w:val="0087548E"/>
    <w:rsid w:val="00875519"/>
    <w:rsid w:val="0087556F"/>
    <w:rsid w:val="00875573"/>
    <w:rsid w:val="008755D9"/>
    <w:rsid w:val="00875614"/>
    <w:rsid w:val="0087566D"/>
    <w:rsid w:val="00875745"/>
    <w:rsid w:val="0087579B"/>
    <w:rsid w:val="00875813"/>
    <w:rsid w:val="00875852"/>
    <w:rsid w:val="00875871"/>
    <w:rsid w:val="008758E9"/>
    <w:rsid w:val="00875938"/>
    <w:rsid w:val="008759E9"/>
    <w:rsid w:val="008759EA"/>
    <w:rsid w:val="00875AF6"/>
    <w:rsid w:val="00875B1D"/>
    <w:rsid w:val="00875B93"/>
    <w:rsid w:val="00875BD0"/>
    <w:rsid w:val="00875C1E"/>
    <w:rsid w:val="00875CB8"/>
    <w:rsid w:val="00875CDD"/>
    <w:rsid w:val="00875CF0"/>
    <w:rsid w:val="00875E6C"/>
    <w:rsid w:val="00875E87"/>
    <w:rsid w:val="00875EF3"/>
    <w:rsid w:val="00876051"/>
    <w:rsid w:val="00876085"/>
    <w:rsid w:val="008760A8"/>
    <w:rsid w:val="008760F1"/>
    <w:rsid w:val="00876156"/>
    <w:rsid w:val="0087616F"/>
    <w:rsid w:val="0087622C"/>
    <w:rsid w:val="00876245"/>
    <w:rsid w:val="00876303"/>
    <w:rsid w:val="0087635A"/>
    <w:rsid w:val="00876385"/>
    <w:rsid w:val="0087644F"/>
    <w:rsid w:val="00876589"/>
    <w:rsid w:val="008765EF"/>
    <w:rsid w:val="00876612"/>
    <w:rsid w:val="00876672"/>
    <w:rsid w:val="008766B7"/>
    <w:rsid w:val="008766DF"/>
    <w:rsid w:val="0087672C"/>
    <w:rsid w:val="00876763"/>
    <w:rsid w:val="008767D1"/>
    <w:rsid w:val="008768A3"/>
    <w:rsid w:val="00876A02"/>
    <w:rsid w:val="00876A1E"/>
    <w:rsid w:val="00876A28"/>
    <w:rsid w:val="00876A5C"/>
    <w:rsid w:val="00876AC1"/>
    <w:rsid w:val="00876B1A"/>
    <w:rsid w:val="00876B52"/>
    <w:rsid w:val="00876CC0"/>
    <w:rsid w:val="00876F25"/>
    <w:rsid w:val="00877061"/>
    <w:rsid w:val="0087715C"/>
    <w:rsid w:val="008771FA"/>
    <w:rsid w:val="0087721C"/>
    <w:rsid w:val="00877235"/>
    <w:rsid w:val="00877242"/>
    <w:rsid w:val="0087734D"/>
    <w:rsid w:val="00877363"/>
    <w:rsid w:val="00877410"/>
    <w:rsid w:val="00877425"/>
    <w:rsid w:val="008774BF"/>
    <w:rsid w:val="00877556"/>
    <w:rsid w:val="00877568"/>
    <w:rsid w:val="0087756C"/>
    <w:rsid w:val="008775A3"/>
    <w:rsid w:val="0087763A"/>
    <w:rsid w:val="008776FD"/>
    <w:rsid w:val="0087774A"/>
    <w:rsid w:val="0087798E"/>
    <w:rsid w:val="00877993"/>
    <w:rsid w:val="00877A50"/>
    <w:rsid w:val="00877A97"/>
    <w:rsid w:val="00877B81"/>
    <w:rsid w:val="00877BA4"/>
    <w:rsid w:val="00877BA6"/>
    <w:rsid w:val="00877C50"/>
    <w:rsid w:val="00877C78"/>
    <w:rsid w:val="00877CE0"/>
    <w:rsid w:val="00877D10"/>
    <w:rsid w:val="00877D27"/>
    <w:rsid w:val="00877E39"/>
    <w:rsid w:val="00877F2B"/>
    <w:rsid w:val="00877F2D"/>
    <w:rsid w:val="00877F51"/>
    <w:rsid w:val="00877FD4"/>
    <w:rsid w:val="0087C0FC"/>
    <w:rsid w:val="00880106"/>
    <w:rsid w:val="0088017A"/>
    <w:rsid w:val="00880296"/>
    <w:rsid w:val="008804A2"/>
    <w:rsid w:val="0088061F"/>
    <w:rsid w:val="008806C0"/>
    <w:rsid w:val="00880805"/>
    <w:rsid w:val="00880807"/>
    <w:rsid w:val="008808E7"/>
    <w:rsid w:val="00880965"/>
    <w:rsid w:val="0088099F"/>
    <w:rsid w:val="008809E4"/>
    <w:rsid w:val="00880A18"/>
    <w:rsid w:val="00880AC6"/>
    <w:rsid w:val="00880B20"/>
    <w:rsid w:val="00880B91"/>
    <w:rsid w:val="00880C95"/>
    <w:rsid w:val="00880C96"/>
    <w:rsid w:val="00880CA1"/>
    <w:rsid w:val="00880CA7"/>
    <w:rsid w:val="00880D9A"/>
    <w:rsid w:val="00880D9F"/>
    <w:rsid w:val="00880FC0"/>
    <w:rsid w:val="00880FE0"/>
    <w:rsid w:val="00881003"/>
    <w:rsid w:val="00881150"/>
    <w:rsid w:val="008813C4"/>
    <w:rsid w:val="008813DE"/>
    <w:rsid w:val="008813E9"/>
    <w:rsid w:val="008814EB"/>
    <w:rsid w:val="008815F6"/>
    <w:rsid w:val="008816B3"/>
    <w:rsid w:val="00881718"/>
    <w:rsid w:val="00881747"/>
    <w:rsid w:val="00881779"/>
    <w:rsid w:val="00881794"/>
    <w:rsid w:val="008817D4"/>
    <w:rsid w:val="008819B4"/>
    <w:rsid w:val="008819B8"/>
    <w:rsid w:val="008819F8"/>
    <w:rsid w:val="00881A04"/>
    <w:rsid w:val="00881AA6"/>
    <w:rsid w:val="00881B14"/>
    <w:rsid w:val="00881B46"/>
    <w:rsid w:val="00881BAA"/>
    <w:rsid w:val="00881BCF"/>
    <w:rsid w:val="00881C10"/>
    <w:rsid w:val="00881C80"/>
    <w:rsid w:val="00881DE5"/>
    <w:rsid w:val="00881DF5"/>
    <w:rsid w:val="00881DFE"/>
    <w:rsid w:val="00881E4D"/>
    <w:rsid w:val="00881EC2"/>
    <w:rsid w:val="00881F22"/>
    <w:rsid w:val="00882016"/>
    <w:rsid w:val="0088201B"/>
    <w:rsid w:val="00882043"/>
    <w:rsid w:val="00882116"/>
    <w:rsid w:val="00882195"/>
    <w:rsid w:val="008821C6"/>
    <w:rsid w:val="00882244"/>
    <w:rsid w:val="0088226F"/>
    <w:rsid w:val="008822A6"/>
    <w:rsid w:val="00882311"/>
    <w:rsid w:val="0088231A"/>
    <w:rsid w:val="00882329"/>
    <w:rsid w:val="00882340"/>
    <w:rsid w:val="0088251A"/>
    <w:rsid w:val="008825A8"/>
    <w:rsid w:val="008826CC"/>
    <w:rsid w:val="00882783"/>
    <w:rsid w:val="00882818"/>
    <w:rsid w:val="00882892"/>
    <w:rsid w:val="008828C3"/>
    <w:rsid w:val="008828E9"/>
    <w:rsid w:val="00882917"/>
    <w:rsid w:val="008829C7"/>
    <w:rsid w:val="00882A00"/>
    <w:rsid w:val="00882AA6"/>
    <w:rsid w:val="00882B70"/>
    <w:rsid w:val="00882BC6"/>
    <w:rsid w:val="00882CC5"/>
    <w:rsid w:val="00882CE5"/>
    <w:rsid w:val="00882D5C"/>
    <w:rsid w:val="00882DE3"/>
    <w:rsid w:val="00882E98"/>
    <w:rsid w:val="00882F1A"/>
    <w:rsid w:val="00882F37"/>
    <w:rsid w:val="00883061"/>
    <w:rsid w:val="0088315C"/>
    <w:rsid w:val="008831F3"/>
    <w:rsid w:val="0088320B"/>
    <w:rsid w:val="00883250"/>
    <w:rsid w:val="0088325A"/>
    <w:rsid w:val="00883288"/>
    <w:rsid w:val="008832FB"/>
    <w:rsid w:val="0088331A"/>
    <w:rsid w:val="00883375"/>
    <w:rsid w:val="00883380"/>
    <w:rsid w:val="0088338D"/>
    <w:rsid w:val="008833C7"/>
    <w:rsid w:val="0088344A"/>
    <w:rsid w:val="0088349D"/>
    <w:rsid w:val="008834A8"/>
    <w:rsid w:val="008834F0"/>
    <w:rsid w:val="00883639"/>
    <w:rsid w:val="008836FE"/>
    <w:rsid w:val="0088373E"/>
    <w:rsid w:val="00883793"/>
    <w:rsid w:val="008837DF"/>
    <w:rsid w:val="0088382E"/>
    <w:rsid w:val="008838FA"/>
    <w:rsid w:val="00883914"/>
    <w:rsid w:val="00883918"/>
    <w:rsid w:val="00883969"/>
    <w:rsid w:val="008839F2"/>
    <w:rsid w:val="00883B11"/>
    <w:rsid w:val="00883B81"/>
    <w:rsid w:val="00883C4C"/>
    <w:rsid w:val="00883DDC"/>
    <w:rsid w:val="00883EAB"/>
    <w:rsid w:val="00883ECD"/>
    <w:rsid w:val="00883EDD"/>
    <w:rsid w:val="00883FF2"/>
    <w:rsid w:val="00884004"/>
    <w:rsid w:val="0088404C"/>
    <w:rsid w:val="0088413C"/>
    <w:rsid w:val="00884181"/>
    <w:rsid w:val="008841F6"/>
    <w:rsid w:val="0088424F"/>
    <w:rsid w:val="008842D8"/>
    <w:rsid w:val="00884472"/>
    <w:rsid w:val="008844F5"/>
    <w:rsid w:val="00884519"/>
    <w:rsid w:val="0088451D"/>
    <w:rsid w:val="008845A8"/>
    <w:rsid w:val="00884608"/>
    <w:rsid w:val="0088461A"/>
    <w:rsid w:val="008846B8"/>
    <w:rsid w:val="008846C7"/>
    <w:rsid w:val="008846CD"/>
    <w:rsid w:val="0088477C"/>
    <w:rsid w:val="00884834"/>
    <w:rsid w:val="0088489D"/>
    <w:rsid w:val="008848FB"/>
    <w:rsid w:val="0088494F"/>
    <w:rsid w:val="00884957"/>
    <w:rsid w:val="00884996"/>
    <w:rsid w:val="00884A23"/>
    <w:rsid w:val="00884B82"/>
    <w:rsid w:val="00884C08"/>
    <w:rsid w:val="00884C47"/>
    <w:rsid w:val="00884CB8"/>
    <w:rsid w:val="00884D61"/>
    <w:rsid w:val="00884DB2"/>
    <w:rsid w:val="00884E08"/>
    <w:rsid w:val="00884E46"/>
    <w:rsid w:val="00884E4D"/>
    <w:rsid w:val="00884FB5"/>
    <w:rsid w:val="00884FC0"/>
    <w:rsid w:val="00885154"/>
    <w:rsid w:val="008851A9"/>
    <w:rsid w:val="00885292"/>
    <w:rsid w:val="0088529D"/>
    <w:rsid w:val="008852A4"/>
    <w:rsid w:val="008852BE"/>
    <w:rsid w:val="0088545A"/>
    <w:rsid w:val="00885477"/>
    <w:rsid w:val="0088548C"/>
    <w:rsid w:val="00885510"/>
    <w:rsid w:val="0088552E"/>
    <w:rsid w:val="008856DE"/>
    <w:rsid w:val="008856E6"/>
    <w:rsid w:val="0088578B"/>
    <w:rsid w:val="008857AE"/>
    <w:rsid w:val="008857E0"/>
    <w:rsid w:val="0088587B"/>
    <w:rsid w:val="0088588F"/>
    <w:rsid w:val="008858B9"/>
    <w:rsid w:val="0088590A"/>
    <w:rsid w:val="00885AFB"/>
    <w:rsid w:val="00885B4B"/>
    <w:rsid w:val="00885B61"/>
    <w:rsid w:val="00885B8E"/>
    <w:rsid w:val="00885B9C"/>
    <w:rsid w:val="00885BC9"/>
    <w:rsid w:val="00885BD8"/>
    <w:rsid w:val="00885C40"/>
    <w:rsid w:val="00885D62"/>
    <w:rsid w:val="00885DD1"/>
    <w:rsid w:val="00885E38"/>
    <w:rsid w:val="00885E7A"/>
    <w:rsid w:val="0088600D"/>
    <w:rsid w:val="0088604A"/>
    <w:rsid w:val="0088606F"/>
    <w:rsid w:val="00886137"/>
    <w:rsid w:val="00886199"/>
    <w:rsid w:val="008861B5"/>
    <w:rsid w:val="008861D0"/>
    <w:rsid w:val="00886217"/>
    <w:rsid w:val="00886285"/>
    <w:rsid w:val="0088629D"/>
    <w:rsid w:val="008862F5"/>
    <w:rsid w:val="0088636E"/>
    <w:rsid w:val="00886428"/>
    <w:rsid w:val="008864CF"/>
    <w:rsid w:val="008866B6"/>
    <w:rsid w:val="008866EC"/>
    <w:rsid w:val="0088677E"/>
    <w:rsid w:val="008867B4"/>
    <w:rsid w:val="008867F5"/>
    <w:rsid w:val="00886836"/>
    <w:rsid w:val="00886897"/>
    <w:rsid w:val="008868C9"/>
    <w:rsid w:val="008868EA"/>
    <w:rsid w:val="00886959"/>
    <w:rsid w:val="008869B0"/>
    <w:rsid w:val="008869C3"/>
    <w:rsid w:val="008869FB"/>
    <w:rsid w:val="00886B54"/>
    <w:rsid w:val="00886BA1"/>
    <w:rsid w:val="00886BEF"/>
    <w:rsid w:val="00886C37"/>
    <w:rsid w:val="00886C82"/>
    <w:rsid w:val="00886CAB"/>
    <w:rsid w:val="00886CE9"/>
    <w:rsid w:val="00886D3A"/>
    <w:rsid w:val="00886DC8"/>
    <w:rsid w:val="00886DD1"/>
    <w:rsid w:val="00886DDA"/>
    <w:rsid w:val="00886ECC"/>
    <w:rsid w:val="00886FBC"/>
    <w:rsid w:val="00886FDA"/>
    <w:rsid w:val="008870B1"/>
    <w:rsid w:val="008871C0"/>
    <w:rsid w:val="00887225"/>
    <w:rsid w:val="00887337"/>
    <w:rsid w:val="00887450"/>
    <w:rsid w:val="00887492"/>
    <w:rsid w:val="0088758B"/>
    <w:rsid w:val="0088767E"/>
    <w:rsid w:val="00887829"/>
    <w:rsid w:val="00887883"/>
    <w:rsid w:val="00887980"/>
    <w:rsid w:val="00887999"/>
    <w:rsid w:val="008879C7"/>
    <w:rsid w:val="00887A08"/>
    <w:rsid w:val="00887A11"/>
    <w:rsid w:val="00887A9B"/>
    <w:rsid w:val="00887AF0"/>
    <w:rsid w:val="00887B30"/>
    <w:rsid w:val="00887B4E"/>
    <w:rsid w:val="00887BBB"/>
    <w:rsid w:val="00887BEF"/>
    <w:rsid w:val="00887CBD"/>
    <w:rsid w:val="00887CD4"/>
    <w:rsid w:val="00887CEE"/>
    <w:rsid w:val="00887E18"/>
    <w:rsid w:val="00887E58"/>
    <w:rsid w:val="00887E6C"/>
    <w:rsid w:val="00887E75"/>
    <w:rsid w:val="00887EE9"/>
    <w:rsid w:val="00890012"/>
    <w:rsid w:val="00890016"/>
    <w:rsid w:val="00890051"/>
    <w:rsid w:val="008900A8"/>
    <w:rsid w:val="008900D2"/>
    <w:rsid w:val="008901B6"/>
    <w:rsid w:val="008901D6"/>
    <w:rsid w:val="00890228"/>
    <w:rsid w:val="00890251"/>
    <w:rsid w:val="00890296"/>
    <w:rsid w:val="008902CA"/>
    <w:rsid w:val="008902D7"/>
    <w:rsid w:val="008902DB"/>
    <w:rsid w:val="008902F2"/>
    <w:rsid w:val="00890311"/>
    <w:rsid w:val="00890319"/>
    <w:rsid w:val="00890337"/>
    <w:rsid w:val="008903BB"/>
    <w:rsid w:val="00890429"/>
    <w:rsid w:val="0089042D"/>
    <w:rsid w:val="00890445"/>
    <w:rsid w:val="00890453"/>
    <w:rsid w:val="00890492"/>
    <w:rsid w:val="0089049A"/>
    <w:rsid w:val="008904BA"/>
    <w:rsid w:val="00890562"/>
    <w:rsid w:val="00890580"/>
    <w:rsid w:val="008905D1"/>
    <w:rsid w:val="0089064C"/>
    <w:rsid w:val="00890730"/>
    <w:rsid w:val="0089091E"/>
    <w:rsid w:val="008909B1"/>
    <w:rsid w:val="008909C7"/>
    <w:rsid w:val="008909CE"/>
    <w:rsid w:val="00890A4F"/>
    <w:rsid w:val="00890A66"/>
    <w:rsid w:val="00890B95"/>
    <w:rsid w:val="00890CEA"/>
    <w:rsid w:val="00890D80"/>
    <w:rsid w:val="00890D83"/>
    <w:rsid w:val="00890D8F"/>
    <w:rsid w:val="00890DB9"/>
    <w:rsid w:val="00890EBA"/>
    <w:rsid w:val="00890ED3"/>
    <w:rsid w:val="00890F32"/>
    <w:rsid w:val="00890F70"/>
    <w:rsid w:val="00890F7F"/>
    <w:rsid w:val="00890F8D"/>
    <w:rsid w:val="00890FBE"/>
    <w:rsid w:val="00890FCA"/>
    <w:rsid w:val="008911FA"/>
    <w:rsid w:val="00891255"/>
    <w:rsid w:val="0089131B"/>
    <w:rsid w:val="00891387"/>
    <w:rsid w:val="00891433"/>
    <w:rsid w:val="00891560"/>
    <w:rsid w:val="008916BC"/>
    <w:rsid w:val="008918AD"/>
    <w:rsid w:val="0089193F"/>
    <w:rsid w:val="00891A95"/>
    <w:rsid w:val="00891ACC"/>
    <w:rsid w:val="00891B3B"/>
    <w:rsid w:val="00891B70"/>
    <w:rsid w:val="00891B88"/>
    <w:rsid w:val="00891BB2"/>
    <w:rsid w:val="00891C87"/>
    <w:rsid w:val="00891CAF"/>
    <w:rsid w:val="00891CCA"/>
    <w:rsid w:val="00891D4B"/>
    <w:rsid w:val="00891D58"/>
    <w:rsid w:val="00891D8B"/>
    <w:rsid w:val="00891DE5"/>
    <w:rsid w:val="00891EE8"/>
    <w:rsid w:val="00891F31"/>
    <w:rsid w:val="00891F48"/>
    <w:rsid w:val="00891F91"/>
    <w:rsid w:val="00891FDF"/>
    <w:rsid w:val="008920AC"/>
    <w:rsid w:val="00892153"/>
    <w:rsid w:val="008921A7"/>
    <w:rsid w:val="0089222C"/>
    <w:rsid w:val="0089227A"/>
    <w:rsid w:val="008922A7"/>
    <w:rsid w:val="00892383"/>
    <w:rsid w:val="00892430"/>
    <w:rsid w:val="0089245A"/>
    <w:rsid w:val="008924BD"/>
    <w:rsid w:val="008924DD"/>
    <w:rsid w:val="0089250D"/>
    <w:rsid w:val="008925A9"/>
    <w:rsid w:val="00892628"/>
    <w:rsid w:val="0089265D"/>
    <w:rsid w:val="0089269E"/>
    <w:rsid w:val="00892723"/>
    <w:rsid w:val="008927EA"/>
    <w:rsid w:val="008929B7"/>
    <w:rsid w:val="008929E8"/>
    <w:rsid w:val="00892A1A"/>
    <w:rsid w:val="00892ACA"/>
    <w:rsid w:val="00892B7C"/>
    <w:rsid w:val="00892B8E"/>
    <w:rsid w:val="00892B98"/>
    <w:rsid w:val="00892D28"/>
    <w:rsid w:val="00892E7A"/>
    <w:rsid w:val="00892EE0"/>
    <w:rsid w:val="00892F21"/>
    <w:rsid w:val="00892F96"/>
    <w:rsid w:val="00893013"/>
    <w:rsid w:val="008930AF"/>
    <w:rsid w:val="008930B7"/>
    <w:rsid w:val="008930F5"/>
    <w:rsid w:val="00893193"/>
    <w:rsid w:val="008931EA"/>
    <w:rsid w:val="008932DA"/>
    <w:rsid w:val="00893301"/>
    <w:rsid w:val="008933A6"/>
    <w:rsid w:val="008933FB"/>
    <w:rsid w:val="0089340E"/>
    <w:rsid w:val="0089348A"/>
    <w:rsid w:val="008934DB"/>
    <w:rsid w:val="00893561"/>
    <w:rsid w:val="00893606"/>
    <w:rsid w:val="00893636"/>
    <w:rsid w:val="0089363E"/>
    <w:rsid w:val="00893753"/>
    <w:rsid w:val="00893781"/>
    <w:rsid w:val="008937B8"/>
    <w:rsid w:val="008937FE"/>
    <w:rsid w:val="00893882"/>
    <w:rsid w:val="00893884"/>
    <w:rsid w:val="008938D6"/>
    <w:rsid w:val="00893904"/>
    <w:rsid w:val="008939D5"/>
    <w:rsid w:val="00893A34"/>
    <w:rsid w:val="00893A3B"/>
    <w:rsid w:val="00893ADA"/>
    <w:rsid w:val="00893AFF"/>
    <w:rsid w:val="00893BAC"/>
    <w:rsid w:val="00893BED"/>
    <w:rsid w:val="00893C68"/>
    <w:rsid w:val="00893C95"/>
    <w:rsid w:val="00893CEC"/>
    <w:rsid w:val="00893E20"/>
    <w:rsid w:val="00893EAC"/>
    <w:rsid w:val="00893EBE"/>
    <w:rsid w:val="00893F55"/>
    <w:rsid w:val="00893FF4"/>
    <w:rsid w:val="0089401E"/>
    <w:rsid w:val="00894299"/>
    <w:rsid w:val="00894360"/>
    <w:rsid w:val="00894361"/>
    <w:rsid w:val="00894383"/>
    <w:rsid w:val="00894496"/>
    <w:rsid w:val="008944A0"/>
    <w:rsid w:val="008944AB"/>
    <w:rsid w:val="00894515"/>
    <w:rsid w:val="0089455E"/>
    <w:rsid w:val="00894592"/>
    <w:rsid w:val="008945FD"/>
    <w:rsid w:val="00894612"/>
    <w:rsid w:val="008946C8"/>
    <w:rsid w:val="00894787"/>
    <w:rsid w:val="0089479C"/>
    <w:rsid w:val="008947D7"/>
    <w:rsid w:val="008947ED"/>
    <w:rsid w:val="008948EB"/>
    <w:rsid w:val="008948EF"/>
    <w:rsid w:val="00894908"/>
    <w:rsid w:val="0089494D"/>
    <w:rsid w:val="00894953"/>
    <w:rsid w:val="0089495D"/>
    <w:rsid w:val="00894BD8"/>
    <w:rsid w:val="00894C5E"/>
    <w:rsid w:val="00894D11"/>
    <w:rsid w:val="00894D37"/>
    <w:rsid w:val="00894EE8"/>
    <w:rsid w:val="00894FB6"/>
    <w:rsid w:val="0089503A"/>
    <w:rsid w:val="008951F5"/>
    <w:rsid w:val="0089525A"/>
    <w:rsid w:val="008952F6"/>
    <w:rsid w:val="008952FD"/>
    <w:rsid w:val="00895447"/>
    <w:rsid w:val="00895463"/>
    <w:rsid w:val="00895474"/>
    <w:rsid w:val="008954E8"/>
    <w:rsid w:val="00895617"/>
    <w:rsid w:val="0089585E"/>
    <w:rsid w:val="00895A01"/>
    <w:rsid w:val="00895A72"/>
    <w:rsid w:val="00895A9D"/>
    <w:rsid w:val="00895ACB"/>
    <w:rsid w:val="00895B09"/>
    <w:rsid w:val="00895B76"/>
    <w:rsid w:val="00895BB9"/>
    <w:rsid w:val="00895CC2"/>
    <w:rsid w:val="00895D3A"/>
    <w:rsid w:val="00895E2D"/>
    <w:rsid w:val="00895E3C"/>
    <w:rsid w:val="00895E52"/>
    <w:rsid w:val="00895E77"/>
    <w:rsid w:val="00895EFC"/>
    <w:rsid w:val="00895F03"/>
    <w:rsid w:val="00895F04"/>
    <w:rsid w:val="00895F32"/>
    <w:rsid w:val="00895F95"/>
    <w:rsid w:val="00895FE6"/>
    <w:rsid w:val="00896046"/>
    <w:rsid w:val="00896074"/>
    <w:rsid w:val="008960E8"/>
    <w:rsid w:val="00896111"/>
    <w:rsid w:val="0089611F"/>
    <w:rsid w:val="00896148"/>
    <w:rsid w:val="00896203"/>
    <w:rsid w:val="00896210"/>
    <w:rsid w:val="00896234"/>
    <w:rsid w:val="0089625A"/>
    <w:rsid w:val="0089627D"/>
    <w:rsid w:val="008962A9"/>
    <w:rsid w:val="0089636C"/>
    <w:rsid w:val="008964AD"/>
    <w:rsid w:val="008964BE"/>
    <w:rsid w:val="0089657A"/>
    <w:rsid w:val="00896608"/>
    <w:rsid w:val="0089660E"/>
    <w:rsid w:val="00896629"/>
    <w:rsid w:val="00896640"/>
    <w:rsid w:val="00896654"/>
    <w:rsid w:val="00896669"/>
    <w:rsid w:val="0089669C"/>
    <w:rsid w:val="008966EE"/>
    <w:rsid w:val="00896747"/>
    <w:rsid w:val="008967C0"/>
    <w:rsid w:val="008968A1"/>
    <w:rsid w:val="0089690A"/>
    <w:rsid w:val="00896982"/>
    <w:rsid w:val="00896A3C"/>
    <w:rsid w:val="00896B5C"/>
    <w:rsid w:val="00896B66"/>
    <w:rsid w:val="00896BB4"/>
    <w:rsid w:val="00896C81"/>
    <w:rsid w:val="00896D49"/>
    <w:rsid w:val="00896DBA"/>
    <w:rsid w:val="00896DC1"/>
    <w:rsid w:val="00896E24"/>
    <w:rsid w:val="00896E56"/>
    <w:rsid w:val="00896E5E"/>
    <w:rsid w:val="0089700C"/>
    <w:rsid w:val="00897094"/>
    <w:rsid w:val="008970A5"/>
    <w:rsid w:val="0089710A"/>
    <w:rsid w:val="00897130"/>
    <w:rsid w:val="0089717A"/>
    <w:rsid w:val="00897297"/>
    <w:rsid w:val="008973AE"/>
    <w:rsid w:val="00897410"/>
    <w:rsid w:val="00897440"/>
    <w:rsid w:val="00897597"/>
    <w:rsid w:val="008975A2"/>
    <w:rsid w:val="008977A9"/>
    <w:rsid w:val="008977B4"/>
    <w:rsid w:val="008977BE"/>
    <w:rsid w:val="00897852"/>
    <w:rsid w:val="00897869"/>
    <w:rsid w:val="008979A7"/>
    <w:rsid w:val="008979C7"/>
    <w:rsid w:val="008979F5"/>
    <w:rsid w:val="00897A22"/>
    <w:rsid w:val="00897A39"/>
    <w:rsid w:val="00897B1A"/>
    <w:rsid w:val="00897B2E"/>
    <w:rsid w:val="00897BE8"/>
    <w:rsid w:val="00897C70"/>
    <w:rsid w:val="00897CD5"/>
    <w:rsid w:val="00897D84"/>
    <w:rsid w:val="00897F40"/>
    <w:rsid w:val="00897F77"/>
    <w:rsid w:val="00897FB8"/>
    <w:rsid w:val="00897FC0"/>
    <w:rsid w:val="0089E57F"/>
    <w:rsid w:val="008A0108"/>
    <w:rsid w:val="008A023E"/>
    <w:rsid w:val="008A0270"/>
    <w:rsid w:val="008A0362"/>
    <w:rsid w:val="008A0379"/>
    <w:rsid w:val="008A037E"/>
    <w:rsid w:val="008A0393"/>
    <w:rsid w:val="008A039F"/>
    <w:rsid w:val="008A03FE"/>
    <w:rsid w:val="008A0450"/>
    <w:rsid w:val="008A0546"/>
    <w:rsid w:val="008A0548"/>
    <w:rsid w:val="008A05FD"/>
    <w:rsid w:val="008A065F"/>
    <w:rsid w:val="008A066E"/>
    <w:rsid w:val="008A0699"/>
    <w:rsid w:val="008A077F"/>
    <w:rsid w:val="008A078D"/>
    <w:rsid w:val="008A07AE"/>
    <w:rsid w:val="008A0930"/>
    <w:rsid w:val="008A09C9"/>
    <w:rsid w:val="008A09FB"/>
    <w:rsid w:val="008A0A17"/>
    <w:rsid w:val="008A0A54"/>
    <w:rsid w:val="008A0A5C"/>
    <w:rsid w:val="008A0BA8"/>
    <w:rsid w:val="008A0C65"/>
    <w:rsid w:val="008A0C6A"/>
    <w:rsid w:val="008A0CD8"/>
    <w:rsid w:val="008A0D01"/>
    <w:rsid w:val="008A0D23"/>
    <w:rsid w:val="008A0D2E"/>
    <w:rsid w:val="008A0DDE"/>
    <w:rsid w:val="008A0E6F"/>
    <w:rsid w:val="008A0EB0"/>
    <w:rsid w:val="008A0EEB"/>
    <w:rsid w:val="008A0F1E"/>
    <w:rsid w:val="008A0F94"/>
    <w:rsid w:val="008A0FC6"/>
    <w:rsid w:val="008A0FC9"/>
    <w:rsid w:val="008A0FF0"/>
    <w:rsid w:val="008A101D"/>
    <w:rsid w:val="008A1090"/>
    <w:rsid w:val="008A115B"/>
    <w:rsid w:val="008A1205"/>
    <w:rsid w:val="008A120C"/>
    <w:rsid w:val="008A1227"/>
    <w:rsid w:val="008A1715"/>
    <w:rsid w:val="008A17BB"/>
    <w:rsid w:val="008A1809"/>
    <w:rsid w:val="008A18EF"/>
    <w:rsid w:val="008A19AA"/>
    <w:rsid w:val="008A19D5"/>
    <w:rsid w:val="008A19EC"/>
    <w:rsid w:val="008A1B8E"/>
    <w:rsid w:val="008A1CE7"/>
    <w:rsid w:val="008A1D87"/>
    <w:rsid w:val="008A1DF4"/>
    <w:rsid w:val="008A1E18"/>
    <w:rsid w:val="008A1E3A"/>
    <w:rsid w:val="008A1E3B"/>
    <w:rsid w:val="008A1E3E"/>
    <w:rsid w:val="008A1E70"/>
    <w:rsid w:val="008A1E94"/>
    <w:rsid w:val="008A1EB8"/>
    <w:rsid w:val="008A2042"/>
    <w:rsid w:val="008A208D"/>
    <w:rsid w:val="008A20B8"/>
    <w:rsid w:val="008A20EC"/>
    <w:rsid w:val="008A21D8"/>
    <w:rsid w:val="008A228B"/>
    <w:rsid w:val="008A2434"/>
    <w:rsid w:val="008A2441"/>
    <w:rsid w:val="008A24B5"/>
    <w:rsid w:val="008A24F6"/>
    <w:rsid w:val="008A256C"/>
    <w:rsid w:val="008A2729"/>
    <w:rsid w:val="008A2979"/>
    <w:rsid w:val="008A2AD7"/>
    <w:rsid w:val="008A2B7B"/>
    <w:rsid w:val="008A2CEF"/>
    <w:rsid w:val="008A2D51"/>
    <w:rsid w:val="008A2DA2"/>
    <w:rsid w:val="008A2DC7"/>
    <w:rsid w:val="008A2E69"/>
    <w:rsid w:val="008A2F54"/>
    <w:rsid w:val="008A2F84"/>
    <w:rsid w:val="008A2F93"/>
    <w:rsid w:val="008A2F9D"/>
    <w:rsid w:val="008A2FE5"/>
    <w:rsid w:val="008A309B"/>
    <w:rsid w:val="008A3118"/>
    <w:rsid w:val="008A3155"/>
    <w:rsid w:val="008A3182"/>
    <w:rsid w:val="008A31C9"/>
    <w:rsid w:val="008A325D"/>
    <w:rsid w:val="008A32DA"/>
    <w:rsid w:val="008A3359"/>
    <w:rsid w:val="008A3392"/>
    <w:rsid w:val="008A341E"/>
    <w:rsid w:val="008A34C0"/>
    <w:rsid w:val="008A357C"/>
    <w:rsid w:val="008A3591"/>
    <w:rsid w:val="008A35ED"/>
    <w:rsid w:val="008A368D"/>
    <w:rsid w:val="008A36BB"/>
    <w:rsid w:val="008A36D7"/>
    <w:rsid w:val="008A36E1"/>
    <w:rsid w:val="008A373B"/>
    <w:rsid w:val="008A37A7"/>
    <w:rsid w:val="008A37BB"/>
    <w:rsid w:val="008A37C8"/>
    <w:rsid w:val="008A3817"/>
    <w:rsid w:val="008A3849"/>
    <w:rsid w:val="008A386F"/>
    <w:rsid w:val="008A388A"/>
    <w:rsid w:val="008A398B"/>
    <w:rsid w:val="008A3AEC"/>
    <w:rsid w:val="008A3B22"/>
    <w:rsid w:val="008A3CBD"/>
    <w:rsid w:val="008A3CFD"/>
    <w:rsid w:val="008A3DBF"/>
    <w:rsid w:val="008A3DD8"/>
    <w:rsid w:val="008A3DDC"/>
    <w:rsid w:val="008A3EC0"/>
    <w:rsid w:val="008A3EC8"/>
    <w:rsid w:val="008A3F10"/>
    <w:rsid w:val="008A3F2D"/>
    <w:rsid w:val="008A3F31"/>
    <w:rsid w:val="008A3F64"/>
    <w:rsid w:val="008A3F74"/>
    <w:rsid w:val="008A4018"/>
    <w:rsid w:val="008A413A"/>
    <w:rsid w:val="008A4154"/>
    <w:rsid w:val="008A41FF"/>
    <w:rsid w:val="008A4202"/>
    <w:rsid w:val="008A4217"/>
    <w:rsid w:val="008A4249"/>
    <w:rsid w:val="008A42E5"/>
    <w:rsid w:val="008A4331"/>
    <w:rsid w:val="008A43B6"/>
    <w:rsid w:val="008A4408"/>
    <w:rsid w:val="008A4435"/>
    <w:rsid w:val="008A4529"/>
    <w:rsid w:val="008A4581"/>
    <w:rsid w:val="008A45AD"/>
    <w:rsid w:val="008A469D"/>
    <w:rsid w:val="008A47C9"/>
    <w:rsid w:val="008A47E3"/>
    <w:rsid w:val="008A4863"/>
    <w:rsid w:val="008A4879"/>
    <w:rsid w:val="008A4912"/>
    <w:rsid w:val="008A491C"/>
    <w:rsid w:val="008A4965"/>
    <w:rsid w:val="008A49DB"/>
    <w:rsid w:val="008A4A0F"/>
    <w:rsid w:val="008A4A61"/>
    <w:rsid w:val="008A4ACD"/>
    <w:rsid w:val="008A4AED"/>
    <w:rsid w:val="008A4B09"/>
    <w:rsid w:val="008A4B5B"/>
    <w:rsid w:val="008A4C07"/>
    <w:rsid w:val="008A4D06"/>
    <w:rsid w:val="008A4ECD"/>
    <w:rsid w:val="008A4FE5"/>
    <w:rsid w:val="008A5003"/>
    <w:rsid w:val="008A50F3"/>
    <w:rsid w:val="008A51F5"/>
    <w:rsid w:val="008A528D"/>
    <w:rsid w:val="008A52A8"/>
    <w:rsid w:val="008A52B7"/>
    <w:rsid w:val="008A52DA"/>
    <w:rsid w:val="008A53DF"/>
    <w:rsid w:val="008A540B"/>
    <w:rsid w:val="008A5420"/>
    <w:rsid w:val="008A5473"/>
    <w:rsid w:val="008A5481"/>
    <w:rsid w:val="008A5486"/>
    <w:rsid w:val="008A5530"/>
    <w:rsid w:val="008A5533"/>
    <w:rsid w:val="008A5567"/>
    <w:rsid w:val="008A55A6"/>
    <w:rsid w:val="008A5602"/>
    <w:rsid w:val="008A5777"/>
    <w:rsid w:val="008A57EF"/>
    <w:rsid w:val="008A5827"/>
    <w:rsid w:val="008A5895"/>
    <w:rsid w:val="008A58B4"/>
    <w:rsid w:val="008A5922"/>
    <w:rsid w:val="008A595B"/>
    <w:rsid w:val="008A5960"/>
    <w:rsid w:val="008A5973"/>
    <w:rsid w:val="008A5B19"/>
    <w:rsid w:val="008A5C2B"/>
    <w:rsid w:val="008A5C2D"/>
    <w:rsid w:val="008A5C65"/>
    <w:rsid w:val="008A5CB0"/>
    <w:rsid w:val="008A5CDB"/>
    <w:rsid w:val="008A5DBD"/>
    <w:rsid w:val="008A5F53"/>
    <w:rsid w:val="008A5F55"/>
    <w:rsid w:val="008A5FC5"/>
    <w:rsid w:val="008A5FC6"/>
    <w:rsid w:val="008A5FD2"/>
    <w:rsid w:val="008A602D"/>
    <w:rsid w:val="008A6057"/>
    <w:rsid w:val="008A6105"/>
    <w:rsid w:val="008A61FC"/>
    <w:rsid w:val="008A6206"/>
    <w:rsid w:val="008A6298"/>
    <w:rsid w:val="008A62B1"/>
    <w:rsid w:val="008A6312"/>
    <w:rsid w:val="008A631C"/>
    <w:rsid w:val="008A644E"/>
    <w:rsid w:val="008A6499"/>
    <w:rsid w:val="008A64D6"/>
    <w:rsid w:val="008A650D"/>
    <w:rsid w:val="008A653A"/>
    <w:rsid w:val="008A6614"/>
    <w:rsid w:val="008A66CC"/>
    <w:rsid w:val="008A66E1"/>
    <w:rsid w:val="008A670F"/>
    <w:rsid w:val="008A67A2"/>
    <w:rsid w:val="008A67E6"/>
    <w:rsid w:val="008A67EF"/>
    <w:rsid w:val="008A681B"/>
    <w:rsid w:val="008A68A3"/>
    <w:rsid w:val="008A68E4"/>
    <w:rsid w:val="008A6960"/>
    <w:rsid w:val="008A69CE"/>
    <w:rsid w:val="008A6AE2"/>
    <w:rsid w:val="008A6B19"/>
    <w:rsid w:val="008A6B1A"/>
    <w:rsid w:val="008A6D00"/>
    <w:rsid w:val="008A6D2D"/>
    <w:rsid w:val="008A6D4A"/>
    <w:rsid w:val="008A6DAE"/>
    <w:rsid w:val="008A6E01"/>
    <w:rsid w:val="008A6E53"/>
    <w:rsid w:val="008A6F4E"/>
    <w:rsid w:val="008A6F58"/>
    <w:rsid w:val="008A6F71"/>
    <w:rsid w:val="008A6FB9"/>
    <w:rsid w:val="008A710A"/>
    <w:rsid w:val="008A72E4"/>
    <w:rsid w:val="008A7319"/>
    <w:rsid w:val="008A737C"/>
    <w:rsid w:val="008A738A"/>
    <w:rsid w:val="008A73C5"/>
    <w:rsid w:val="008A7402"/>
    <w:rsid w:val="008A7405"/>
    <w:rsid w:val="008A7483"/>
    <w:rsid w:val="008A74BA"/>
    <w:rsid w:val="008A75BC"/>
    <w:rsid w:val="008A7665"/>
    <w:rsid w:val="008A76A6"/>
    <w:rsid w:val="008A76A7"/>
    <w:rsid w:val="008A772D"/>
    <w:rsid w:val="008A77BF"/>
    <w:rsid w:val="008A77CE"/>
    <w:rsid w:val="008A785E"/>
    <w:rsid w:val="008A78E5"/>
    <w:rsid w:val="008A7914"/>
    <w:rsid w:val="008A791D"/>
    <w:rsid w:val="008A7935"/>
    <w:rsid w:val="008A7948"/>
    <w:rsid w:val="008A7A5F"/>
    <w:rsid w:val="008A7A99"/>
    <w:rsid w:val="008A7ACF"/>
    <w:rsid w:val="008A7B93"/>
    <w:rsid w:val="008A7C10"/>
    <w:rsid w:val="008A7C29"/>
    <w:rsid w:val="008A7CD9"/>
    <w:rsid w:val="008A7CDA"/>
    <w:rsid w:val="008A7D07"/>
    <w:rsid w:val="008A7D3F"/>
    <w:rsid w:val="008A7D6D"/>
    <w:rsid w:val="008A7D7D"/>
    <w:rsid w:val="008A7E63"/>
    <w:rsid w:val="008A7ECC"/>
    <w:rsid w:val="008A7F37"/>
    <w:rsid w:val="008A7F9E"/>
    <w:rsid w:val="008B00C2"/>
    <w:rsid w:val="008B011F"/>
    <w:rsid w:val="008B0272"/>
    <w:rsid w:val="008B02DC"/>
    <w:rsid w:val="008B034E"/>
    <w:rsid w:val="008B0369"/>
    <w:rsid w:val="008B0411"/>
    <w:rsid w:val="008B05B9"/>
    <w:rsid w:val="008B0670"/>
    <w:rsid w:val="008B06FF"/>
    <w:rsid w:val="008B0736"/>
    <w:rsid w:val="008B0785"/>
    <w:rsid w:val="008B07AB"/>
    <w:rsid w:val="008B07F0"/>
    <w:rsid w:val="008B080A"/>
    <w:rsid w:val="008B087B"/>
    <w:rsid w:val="008B089B"/>
    <w:rsid w:val="008B08ED"/>
    <w:rsid w:val="008B08F0"/>
    <w:rsid w:val="008B09F5"/>
    <w:rsid w:val="008B0A16"/>
    <w:rsid w:val="008B0AA1"/>
    <w:rsid w:val="008B0AA2"/>
    <w:rsid w:val="008B0ABD"/>
    <w:rsid w:val="008B0B19"/>
    <w:rsid w:val="008B0BA7"/>
    <w:rsid w:val="008B0BC2"/>
    <w:rsid w:val="008B0BED"/>
    <w:rsid w:val="008B0C4F"/>
    <w:rsid w:val="008B0D03"/>
    <w:rsid w:val="008B0F0E"/>
    <w:rsid w:val="008B0FC9"/>
    <w:rsid w:val="008B0FD5"/>
    <w:rsid w:val="008B0FF3"/>
    <w:rsid w:val="008B0FF9"/>
    <w:rsid w:val="008B1004"/>
    <w:rsid w:val="008B1041"/>
    <w:rsid w:val="008B108E"/>
    <w:rsid w:val="008B110D"/>
    <w:rsid w:val="008B117C"/>
    <w:rsid w:val="008B11A2"/>
    <w:rsid w:val="008B11DF"/>
    <w:rsid w:val="008B1260"/>
    <w:rsid w:val="008B1278"/>
    <w:rsid w:val="008B12AF"/>
    <w:rsid w:val="008B12BC"/>
    <w:rsid w:val="008B1325"/>
    <w:rsid w:val="008B1332"/>
    <w:rsid w:val="008B1368"/>
    <w:rsid w:val="008B142D"/>
    <w:rsid w:val="008B148D"/>
    <w:rsid w:val="008B1496"/>
    <w:rsid w:val="008B1596"/>
    <w:rsid w:val="008B1598"/>
    <w:rsid w:val="008B15D8"/>
    <w:rsid w:val="008B160B"/>
    <w:rsid w:val="008B1660"/>
    <w:rsid w:val="008B16B8"/>
    <w:rsid w:val="008B170A"/>
    <w:rsid w:val="008B17F8"/>
    <w:rsid w:val="008B183A"/>
    <w:rsid w:val="008B1859"/>
    <w:rsid w:val="008B1861"/>
    <w:rsid w:val="008B1895"/>
    <w:rsid w:val="008B18A9"/>
    <w:rsid w:val="008B18E1"/>
    <w:rsid w:val="008B1922"/>
    <w:rsid w:val="008B1993"/>
    <w:rsid w:val="008B19DB"/>
    <w:rsid w:val="008B19E1"/>
    <w:rsid w:val="008B19F9"/>
    <w:rsid w:val="008B1A15"/>
    <w:rsid w:val="008B1A7D"/>
    <w:rsid w:val="008B1B17"/>
    <w:rsid w:val="008B1BBB"/>
    <w:rsid w:val="008B1BEF"/>
    <w:rsid w:val="008B1BF8"/>
    <w:rsid w:val="008B1C6D"/>
    <w:rsid w:val="008B1D68"/>
    <w:rsid w:val="008B1D70"/>
    <w:rsid w:val="008B1DCC"/>
    <w:rsid w:val="008B1DE8"/>
    <w:rsid w:val="008B1E0B"/>
    <w:rsid w:val="008B1E31"/>
    <w:rsid w:val="008B1E70"/>
    <w:rsid w:val="008B1F81"/>
    <w:rsid w:val="008B1F94"/>
    <w:rsid w:val="008B210F"/>
    <w:rsid w:val="008B2130"/>
    <w:rsid w:val="008B2154"/>
    <w:rsid w:val="008B2241"/>
    <w:rsid w:val="008B224B"/>
    <w:rsid w:val="008B226D"/>
    <w:rsid w:val="008B2393"/>
    <w:rsid w:val="008B2421"/>
    <w:rsid w:val="008B25AE"/>
    <w:rsid w:val="008B25C2"/>
    <w:rsid w:val="008B25E1"/>
    <w:rsid w:val="008B2879"/>
    <w:rsid w:val="008B290F"/>
    <w:rsid w:val="008B2A27"/>
    <w:rsid w:val="008B2AC0"/>
    <w:rsid w:val="008B2B02"/>
    <w:rsid w:val="008B2B54"/>
    <w:rsid w:val="008B2BB9"/>
    <w:rsid w:val="008B2BC2"/>
    <w:rsid w:val="008B2BDA"/>
    <w:rsid w:val="008B2BE7"/>
    <w:rsid w:val="008B2CB8"/>
    <w:rsid w:val="008B2CC8"/>
    <w:rsid w:val="008B2CD1"/>
    <w:rsid w:val="008B2D85"/>
    <w:rsid w:val="008B2DC3"/>
    <w:rsid w:val="008B2DD7"/>
    <w:rsid w:val="008B2DF1"/>
    <w:rsid w:val="008B2E3B"/>
    <w:rsid w:val="008B2EE0"/>
    <w:rsid w:val="008B2EF5"/>
    <w:rsid w:val="008B2F1E"/>
    <w:rsid w:val="008B2F42"/>
    <w:rsid w:val="008B30FB"/>
    <w:rsid w:val="008B3147"/>
    <w:rsid w:val="008B31BD"/>
    <w:rsid w:val="008B31F3"/>
    <w:rsid w:val="008B330D"/>
    <w:rsid w:val="008B336C"/>
    <w:rsid w:val="008B3384"/>
    <w:rsid w:val="008B35CE"/>
    <w:rsid w:val="008B365F"/>
    <w:rsid w:val="008B36C9"/>
    <w:rsid w:val="008B3765"/>
    <w:rsid w:val="008B37D6"/>
    <w:rsid w:val="008B3831"/>
    <w:rsid w:val="008B3888"/>
    <w:rsid w:val="008B395D"/>
    <w:rsid w:val="008B395F"/>
    <w:rsid w:val="008B3984"/>
    <w:rsid w:val="008B3B19"/>
    <w:rsid w:val="008B3B1D"/>
    <w:rsid w:val="008B3B8D"/>
    <w:rsid w:val="008B3BEE"/>
    <w:rsid w:val="008B3C43"/>
    <w:rsid w:val="008B3C57"/>
    <w:rsid w:val="008B3C86"/>
    <w:rsid w:val="008B3DC6"/>
    <w:rsid w:val="008B3DEF"/>
    <w:rsid w:val="008B3EF3"/>
    <w:rsid w:val="008B3F4C"/>
    <w:rsid w:val="008B3FCA"/>
    <w:rsid w:val="008B3FD9"/>
    <w:rsid w:val="008B40BC"/>
    <w:rsid w:val="008B40EF"/>
    <w:rsid w:val="008B41D5"/>
    <w:rsid w:val="008B420B"/>
    <w:rsid w:val="008B4280"/>
    <w:rsid w:val="008B433C"/>
    <w:rsid w:val="008B43CC"/>
    <w:rsid w:val="008B43EE"/>
    <w:rsid w:val="008B4437"/>
    <w:rsid w:val="008B452D"/>
    <w:rsid w:val="008B4562"/>
    <w:rsid w:val="008B470C"/>
    <w:rsid w:val="008B47ED"/>
    <w:rsid w:val="008B4850"/>
    <w:rsid w:val="008B486F"/>
    <w:rsid w:val="008B4879"/>
    <w:rsid w:val="008B48C7"/>
    <w:rsid w:val="008B48ED"/>
    <w:rsid w:val="008B4A30"/>
    <w:rsid w:val="008B4AA5"/>
    <w:rsid w:val="008B4AB8"/>
    <w:rsid w:val="008B4ADD"/>
    <w:rsid w:val="008B4BB9"/>
    <w:rsid w:val="008B4D28"/>
    <w:rsid w:val="008B4D94"/>
    <w:rsid w:val="008B4D9A"/>
    <w:rsid w:val="008B4E66"/>
    <w:rsid w:val="008B4F29"/>
    <w:rsid w:val="008B4FE9"/>
    <w:rsid w:val="008B5083"/>
    <w:rsid w:val="008B50C5"/>
    <w:rsid w:val="008B5101"/>
    <w:rsid w:val="008B514A"/>
    <w:rsid w:val="008B522E"/>
    <w:rsid w:val="008B522F"/>
    <w:rsid w:val="008B529C"/>
    <w:rsid w:val="008B541C"/>
    <w:rsid w:val="008B542C"/>
    <w:rsid w:val="008B550F"/>
    <w:rsid w:val="008B551B"/>
    <w:rsid w:val="008B55A6"/>
    <w:rsid w:val="008B5795"/>
    <w:rsid w:val="008B57B2"/>
    <w:rsid w:val="008B57ED"/>
    <w:rsid w:val="008B58B0"/>
    <w:rsid w:val="008B5946"/>
    <w:rsid w:val="008B5A2A"/>
    <w:rsid w:val="008B5A6B"/>
    <w:rsid w:val="008B5AA1"/>
    <w:rsid w:val="008B5B06"/>
    <w:rsid w:val="008B5C19"/>
    <w:rsid w:val="008B5CA2"/>
    <w:rsid w:val="008B5CBC"/>
    <w:rsid w:val="008B5D14"/>
    <w:rsid w:val="008B5D17"/>
    <w:rsid w:val="008B5D1D"/>
    <w:rsid w:val="008B5D27"/>
    <w:rsid w:val="008B5E49"/>
    <w:rsid w:val="008B5E6B"/>
    <w:rsid w:val="008B5EBE"/>
    <w:rsid w:val="008B5EC6"/>
    <w:rsid w:val="008B5EE0"/>
    <w:rsid w:val="008B6006"/>
    <w:rsid w:val="008B6027"/>
    <w:rsid w:val="008B6054"/>
    <w:rsid w:val="008B61F6"/>
    <w:rsid w:val="008B6232"/>
    <w:rsid w:val="008B62CA"/>
    <w:rsid w:val="008B630E"/>
    <w:rsid w:val="008B63BD"/>
    <w:rsid w:val="008B63F1"/>
    <w:rsid w:val="008B642C"/>
    <w:rsid w:val="008B6457"/>
    <w:rsid w:val="008B64CA"/>
    <w:rsid w:val="008B64EB"/>
    <w:rsid w:val="008B652A"/>
    <w:rsid w:val="008B6557"/>
    <w:rsid w:val="008B65EA"/>
    <w:rsid w:val="008B65F6"/>
    <w:rsid w:val="008B6611"/>
    <w:rsid w:val="008B6630"/>
    <w:rsid w:val="008B6635"/>
    <w:rsid w:val="008B66DB"/>
    <w:rsid w:val="008B6705"/>
    <w:rsid w:val="008B676F"/>
    <w:rsid w:val="008B67AA"/>
    <w:rsid w:val="008B67AF"/>
    <w:rsid w:val="008B67D0"/>
    <w:rsid w:val="008B6807"/>
    <w:rsid w:val="008B687E"/>
    <w:rsid w:val="008B68A2"/>
    <w:rsid w:val="008B68C7"/>
    <w:rsid w:val="008B68CE"/>
    <w:rsid w:val="008B693E"/>
    <w:rsid w:val="008B6949"/>
    <w:rsid w:val="008B6A03"/>
    <w:rsid w:val="008B6A46"/>
    <w:rsid w:val="008B6A86"/>
    <w:rsid w:val="008B6AD5"/>
    <w:rsid w:val="008B6B0F"/>
    <w:rsid w:val="008B6B5D"/>
    <w:rsid w:val="008B6BD7"/>
    <w:rsid w:val="008B6C51"/>
    <w:rsid w:val="008B6C53"/>
    <w:rsid w:val="008B6C88"/>
    <w:rsid w:val="008B6D62"/>
    <w:rsid w:val="008B6E36"/>
    <w:rsid w:val="008B6E49"/>
    <w:rsid w:val="008B6E60"/>
    <w:rsid w:val="008B70FD"/>
    <w:rsid w:val="008B713C"/>
    <w:rsid w:val="008B71C0"/>
    <w:rsid w:val="008B723E"/>
    <w:rsid w:val="008B727E"/>
    <w:rsid w:val="008B7281"/>
    <w:rsid w:val="008B7361"/>
    <w:rsid w:val="008B750C"/>
    <w:rsid w:val="008B7625"/>
    <w:rsid w:val="008B76CF"/>
    <w:rsid w:val="008B782C"/>
    <w:rsid w:val="008B78A5"/>
    <w:rsid w:val="008B797E"/>
    <w:rsid w:val="008B7989"/>
    <w:rsid w:val="008B79B6"/>
    <w:rsid w:val="008B7AE3"/>
    <w:rsid w:val="008B7AEF"/>
    <w:rsid w:val="008B7B62"/>
    <w:rsid w:val="008B7BA3"/>
    <w:rsid w:val="008B7BB8"/>
    <w:rsid w:val="008B7BEF"/>
    <w:rsid w:val="008B7C66"/>
    <w:rsid w:val="008B7CBD"/>
    <w:rsid w:val="008B7CD3"/>
    <w:rsid w:val="008B7D98"/>
    <w:rsid w:val="008B7DEF"/>
    <w:rsid w:val="008B7E07"/>
    <w:rsid w:val="008B7E36"/>
    <w:rsid w:val="008B7E62"/>
    <w:rsid w:val="008B7F63"/>
    <w:rsid w:val="008C010B"/>
    <w:rsid w:val="008C0126"/>
    <w:rsid w:val="008C013D"/>
    <w:rsid w:val="008C0362"/>
    <w:rsid w:val="008C03CA"/>
    <w:rsid w:val="008C0428"/>
    <w:rsid w:val="008C045D"/>
    <w:rsid w:val="008C04B9"/>
    <w:rsid w:val="008C055D"/>
    <w:rsid w:val="008C059C"/>
    <w:rsid w:val="008C0659"/>
    <w:rsid w:val="008C0771"/>
    <w:rsid w:val="008C0807"/>
    <w:rsid w:val="008C08A3"/>
    <w:rsid w:val="008C08D0"/>
    <w:rsid w:val="008C08E1"/>
    <w:rsid w:val="008C0926"/>
    <w:rsid w:val="008C09FF"/>
    <w:rsid w:val="008C0ADC"/>
    <w:rsid w:val="008C0ADF"/>
    <w:rsid w:val="008C0AE0"/>
    <w:rsid w:val="008C0AF4"/>
    <w:rsid w:val="008C0B06"/>
    <w:rsid w:val="008C0B0E"/>
    <w:rsid w:val="008C0C1A"/>
    <w:rsid w:val="008C0C62"/>
    <w:rsid w:val="008C0CB1"/>
    <w:rsid w:val="008C0D65"/>
    <w:rsid w:val="008C0EA9"/>
    <w:rsid w:val="008C100C"/>
    <w:rsid w:val="008C1198"/>
    <w:rsid w:val="008C11F2"/>
    <w:rsid w:val="008C12B6"/>
    <w:rsid w:val="008C13F3"/>
    <w:rsid w:val="008C14AF"/>
    <w:rsid w:val="008C14E0"/>
    <w:rsid w:val="008C157E"/>
    <w:rsid w:val="008C159F"/>
    <w:rsid w:val="008C161E"/>
    <w:rsid w:val="008C1629"/>
    <w:rsid w:val="008C166F"/>
    <w:rsid w:val="008C175C"/>
    <w:rsid w:val="008C176A"/>
    <w:rsid w:val="008C1781"/>
    <w:rsid w:val="008C1801"/>
    <w:rsid w:val="008C1821"/>
    <w:rsid w:val="008C186C"/>
    <w:rsid w:val="008C1925"/>
    <w:rsid w:val="008C1971"/>
    <w:rsid w:val="008C1A63"/>
    <w:rsid w:val="008C1B24"/>
    <w:rsid w:val="008C1B2D"/>
    <w:rsid w:val="008C1B49"/>
    <w:rsid w:val="008C1B7F"/>
    <w:rsid w:val="008C1BBC"/>
    <w:rsid w:val="008C1C50"/>
    <w:rsid w:val="008C1CA3"/>
    <w:rsid w:val="008C1CAA"/>
    <w:rsid w:val="008C1D9C"/>
    <w:rsid w:val="008C1DF9"/>
    <w:rsid w:val="008C1E28"/>
    <w:rsid w:val="008C1E2D"/>
    <w:rsid w:val="008C1EC7"/>
    <w:rsid w:val="008C1EF7"/>
    <w:rsid w:val="008C1F0B"/>
    <w:rsid w:val="008C1F44"/>
    <w:rsid w:val="008C1F71"/>
    <w:rsid w:val="008C1FC0"/>
    <w:rsid w:val="008C20C5"/>
    <w:rsid w:val="008C20D0"/>
    <w:rsid w:val="008C21D9"/>
    <w:rsid w:val="008C2206"/>
    <w:rsid w:val="008C2299"/>
    <w:rsid w:val="008C22AF"/>
    <w:rsid w:val="008C244F"/>
    <w:rsid w:val="008C24EC"/>
    <w:rsid w:val="008C254B"/>
    <w:rsid w:val="008C2589"/>
    <w:rsid w:val="008C2594"/>
    <w:rsid w:val="008C2602"/>
    <w:rsid w:val="008C271B"/>
    <w:rsid w:val="008C27B0"/>
    <w:rsid w:val="008C27DB"/>
    <w:rsid w:val="008C27DD"/>
    <w:rsid w:val="008C27F3"/>
    <w:rsid w:val="008C2824"/>
    <w:rsid w:val="008C28DC"/>
    <w:rsid w:val="008C2A63"/>
    <w:rsid w:val="008C2AD3"/>
    <w:rsid w:val="008C2B70"/>
    <w:rsid w:val="008C2B7F"/>
    <w:rsid w:val="008C2BEA"/>
    <w:rsid w:val="008C2C19"/>
    <w:rsid w:val="008C2CAA"/>
    <w:rsid w:val="008C2CC6"/>
    <w:rsid w:val="008C2D83"/>
    <w:rsid w:val="008C2DBD"/>
    <w:rsid w:val="008C2DC8"/>
    <w:rsid w:val="008C2DDB"/>
    <w:rsid w:val="008C2E2D"/>
    <w:rsid w:val="008C2E93"/>
    <w:rsid w:val="008C2FA5"/>
    <w:rsid w:val="008C2FD9"/>
    <w:rsid w:val="008C301E"/>
    <w:rsid w:val="008C306C"/>
    <w:rsid w:val="008C3091"/>
    <w:rsid w:val="008C32E9"/>
    <w:rsid w:val="008C3344"/>
    <w:rsid w:val="008C337B"/>
    <w:rsid w:val="008C3390"/>
    <w:rsid w:val="008C346E"/>
    <w:rsid w:val="008C3491"/>
    <w:rsid w:val="008C34A9"/>
    <w:rsid w:val="008C34C0"/>
    <w:rsid w:val="008C34DB"/>
    <w:rsid w:val="008C3580"/>
    <w:rsid w:val="008C35B6"/>
    <w:rsid w:val="008C3614"/>
    <w:rsid w:val="008C3625"/>
    <w:rsid w:val="008C3634"/>
    <w:rsid w:val="008C3774"/>
    <w:rsid w:val="008C38A3"/>
    <w:rsid w:val="008C38D4"/>
    <w:rsid w:val="008C3905"/>
    <w:rsid w:val="008C3915"/>
    <w:rsid w:val="008C3997"/>
    <w:rsid w:val="008C3A6A"/>
    <w:rsid w:val="008C3A86"/>
    <w:rsid w:val="008C3B32"/>
    <w:rsid w:val="008C3B86"/>
    <w:rsid w:val="008C3B91"/>
    <w:rsid w:val="008C3BCA"/>
    <w:rsid w:val="008C3CA3"/>
    <w:rsid w:val="008C3DB1"/>
    <w:rsid w:val="008C3DBA"/>
    <w:rsid w:val="008C3E7A"/>
    <w:rsid w:val="008C415B"/>
    <w:rsid w:val="008C4283"/>
    <w:rsid w:val="008C429B"/>
    <w:rsid w:val="008C4344"/>
    <w:rsid w:val="008C4393"/>
    <w:rsid w:val="008C439C"/>
    <w:rsid w:val="008C43B6"/>
    <w:rsid w:val="008C4411"/>
    <w:rsid w:val="008C4430"/>
    <w:rsid w:val="008C4623"/>
    <w:rsid w:val="008C46B2"/>
    <w:rsid w:val="008C4772"/>
    <w:rsid w:val="008C478C"/>
    <w:rsid w:val="008C47EC"/>
    <w:rsid w:val="008C482A"/>
    <w:rsid w:val="008C4872"/>
    <w:rsid w:val="008C488D"/>
    <w:rsid w:val="008C4A38"/>
    <w:rsid w:val="008C4A73"/>
    <w:rsid w:val="008C4B77"/>
    <w:rsid w:val="008C4C68"/>
    <w:rsid w:val="008C4E05"/>
    <w:rsid w:val="008C4EF6"/>
    <w:rsid w:val="008C507E"/>
    <w:rsid w:val="008C50D3"/>
    <w:rsid w:val="008C51A5"/>
    <w:rsid w:val="008C51CE"/>
    <w:rsid w:val="008C5338"/>
    <w:rsid w:val="008C5347"/>
    <w:rsid w:val="008C540D"/>
    <w:rsid w:val="008C5541"/>
    <w:rsid w:val="008C5562"/>
    <w:rsid w:val="008C55E6"/>
    <w:rsid w:val="008C55F9"/>
    <w:rsid w:val="008C5829"/>
    <w:rsid w:val="008C589E"/>
    <w:rsid w:val="008C5934"/>
    <w:rsid w:val="008C5935"/>
    <w:rsid w:val="008C5A32"/>
    <w:rsid w:val="008C5AB5"/>
    <w:rsid w:val="008C5B39"/>
    <w:rsid w:val="008C5B54"/>
    <w:rsid w:val="008C5B66"/>
    <w:rsid w:val="008C5B79"/>
    <w:rsid w:val="008C5BE8"/>
    <w:rsid w:val="008C5DB0"/>
    <w:rsid w:val="008C5DDE"/>
    <w:rsid w:val="008C5EFF"/>
    <w:rsid w:val="008C5F90"/>
    <w:rsid w:val="008C5FAD"/>
    <w:rsid w:val="008C60E2"/>
    <w:rsid w:val="008C62B6"/>
    <w:rsid w:val="008C62E0"/>
    <w:rsid w:val="008C6303"/>
    <w:rsid w:val="008C6319"/>
    <w:rsid w:val="008C6320"/>
    <w:rsid w:val="008C63B7"/>
    <w:rsid w:val="008C6449"/>
    <w:rsid w:val="008C64D5"/>
    <w:rsid w:val="008C65BB"/>
    <w:rsid w:val="008C66BF"/>
    <w:rsid w:val="008C67CA"/>
    <w:rsid w:val="008C691B"/>
    <w:rsid w:val="008C6933"/>
    <w:rsid w:val="008C69B8"/>
    <w:rsid w:val="008C6B45"/>
    <w:rsid w:val="008C6B72"/>
    <w:rsid w:val="008C6BCD"/>
    <w:rsid w:val="008C6C10"/>
    <w:rsid w:val="008C6C2F"/>
    <w:rsid w:val="008C6C69"/>
    <w:rsid w:val="008C6D13"/>
    <w:rsid w:val="008C6DEE"/>
    <w:rsid w:val="008C6DF0"/>
    <w:rsid w:val="008C6DFC"/>
    <w:rsid w:val="008C6E5D"/>
    <w:rsid w:val="008C6EB5"/>
    <w:rsid w:val="008C6F2C"/>
    <w:rsid w:val="008C6F64"/>
    <w:rsid w:val="008C6F90"/>
    <w:rsid w:val="008C7050"/>
    <w:rsid w:val="008C7073"/>
    <w:rsid w:val="008C70C0"/>
    <w:rsid w:val="008C7103"/>
    <w:rsid w:val="008C7177"/>
    <w:rsid w:val="008C71BF"/>
    <w:rsid w:val="008C71E7"/>
    <w:rsid w:val="008C7222"/>
    <w:rsid w:val="008C72FD"/>
    <w:rsid w:val="008C733E"/>
    <w:rsid w:val="008C7367"/>
    <w:rsid w:val="008C7385"/>
    <w:rsid w:val="008C739D"/>
    <w:rsid w:val="008C73B3"/>
    <w:rsid w:val="008C7448"/>
    <w:rsid w:val="008C745D"/>
    <w:rsid w:val="008C748A"/>
    <w:rsid w:val="008C7525"/>
    <w:rsid w:val="008C7541"/>
    <w:rsid w:val="008C7593"/>
    <w:rsid w:val="008C7597"/>
    <w:rsid w:val="008C75DA"/>
    <w:rsid w:val="008C75F6"/>
    <w:rsid w:val="008C7639"/>
    <w:rsid w:val="008C763F"/>
    <w:rsid w:val="008C7754"/>
    <w:rsid w:val="008C77ED"/>
    <w:rsid w:val="008C780E"/>
    <w:rsid w:val="008C7836"/>
    <w:rsid w:val="008C78D8"/>
    <w:rsid w:val="008C7910"/>
    <w:rsid w:val="008C7960"/>
    <w:rsid w:val="008C7992"/>
    <w:rsid w:val="008C7A05"/>
    <w:rsid w:val="008C7A35"/>
    <w:rsid w:val="008C7A90"/>
    <w:rsid w:val="008C7BB3"/>
    <w:rsid w:val="008C7C4F"/>
    <w:rsid w:val="008C7C83"/>
    <w:rsid w:val="008C7C93"/>
    <w:rsid w:val="008C7CF0"/>
    <w:rsid w:val="008C7D7C"/>
    <w:rsid w:val="008C7D7E"/>
    <w:rsid w:val="008C7EDD"/>
    <w:rsid w:val="008D0027"/>
    <w:rsid w:val="008D0064"/>
    <w:rsid w:val="008D009B"/>
    <w:rsid w:val="008D00BF"/>
    <w:rsid w:val="008D01E4"/>
    <w:rsid w:val="008D0234"/>
    <w:rsid w:val="008D025F"/>
    <w:rsid w:val="008D0305"/>
    <w:rsid w:val="008D0385"/>
    <w:rsid w:val="008D0455"/>
    <w:rsid w:val="008D04B3"/>
    <w:rsid w:val="008D04B4"/>
    <w:rsid w:val="008D04ED"/>
    <w:rsid w:val="008D0521"/>
    <w:rsid w:val="008D0541"/>
    <w:rsid w:val="008D06D6"/>
    <w:rsid w:val="008D0708"/>
    <w:rsid w:val="008D0751"/>
    <w:rsid w:val="008D0805"/>
    <w:rsid w:val="008D0861"/>
    <w:rsid w:val="008D08AD"/>
    <w:rsid w:val="008D094D"/>
    <w:rsid w:val="008D097B"/>
    <w:rsid w:val="008D09BA"/>
    <w:rsid w:val="008D0A20"/>
    <w:rsid w:val="008D0A26"/>
    <w:rsid w:val="008D0AB2"/>
    <w:rsid w:val="008D0AF5"/>
    <w:rsid w:val="008D0B90"/>
    <w:rsid w:val="008D0C24"/>
    <w:rsid w:val="008D0C86"/>
    <w:rsid w:val="008D0C99"/>
    <w:rsid w:val="008D0CA4"/>
    <w:rsid w:val="008D0CAF"/>
    <w:rsid w:val="008D0CB9"/>
    <w:rsid w:val="008D0CE5"/>
    <w:rsid w:val="008D0D56"/>
    <w:rsid w:val="008D0E9A"/>
    <w:rsid w:val="008D0ED3"/>
    <w:rsid w:val="008D0EE1"/>
    <w:rsid w:val="008D0EFD"/>
    <w:rsid w:val="008D0F30"/>
    <w:rsid w:val="008D0F56"/>
    <w:rsid w:val="008D0F5A"/>
    <w:rsid w:val="008D0F8E"/>
    <w:rsid w:val="008D0FC7"/>
    <w:rsid w:val="008D0FCE"/>
    <w:rsid w:val="008D0FDB"/>
    <w:rsid w:val="008D10D7"/>
    <w:rsid w:val="008D1154"/>
    <w:rsid w:val="008D1259"/>
    <w:rsid w:val="008D12B1"/>
    <w:rsid w:val="008D141B"/>
    <w:rsid w:val="008D1462"/>
    <w:rsid w:val="008D14AB"/>
    <w:rsid w:val="008D15BB"/>
    <w:rsid w:val="008D15FE"/>
    <w:rsid w:val="008D1653"/>
    <w:rsid w:val="008D166B"/>
    <w:rsid w:val="008D16F6"/>
    <w:rsid w:val="008D17B8"/>
    <w:rsid w:val="008D1854"/>
    <w:rsid w:val="008D1859"/>
    <w:rsid w:val="008D18D9"/>
    <w:rsid w:val="008D18F3"/>
    <w:rsid w:val="008D197A"/>
    <w:rsid w:val="008D198F"/>
    <w:rsid w:val="008D1A4E"/>
    <w:rsid w:val="008D1ADA"/>
    <w:rsid w:val="008D1ADE"/>
    <w:rsid w:val="008D1AEA"/>
    <w:rsid w:val="008D1B3A"/>
    <w:rsid w:val="008D1BA0"/>
    <w:rsid w:val="008D1C07"/>
    <w:rsid w:val="008D1C10"/>
    <w:rsid w:val="008D1C19"/>
    <w:rsid w:val="008D1CB3"/>
    <w:rsid w:val="008D1CDE"/>
    <w:rsid w:val="008D1D30"/>
    <w:rsid w:val="008D1DF3"/>
    <w:rsid w:val="008D1E29"/>
    <w:rsid w:val="008D1E87"/>
    <w:rsid w:val="008D1EE9"/>
    <w:rsid w:val="008D1F37"/>
    <w:rsid w:val="008D1F55"/>
    <w:rsid w:val="008D1FFF"/>
    <w:rsid w:val="008D2021"/>
    <w:rsid w:val="008D2093"/>
    <w:rsid w:val="008D20AA"/>
    <w:rsid w:val="008D20AE"/>
    <w:rsid w:val="008D229A"/>
    <w:rsid w:val="008D22CE"/>
    <w:rsid w:val="008D22E1"/>
    <w:rsid w:val="008D2358"/>
    <w:rsid w:val="008D2382"/>
    <w:rsid w:val="008D23AD"/>
    <w:rsid w:val="008D257F"/>
    <w:rsid w:val="008D25F5"/>
    <w:rsid w:val="008D2651"/>
    <w:rsid w:val="008D26B1"/>
    <w:rsid w:val="008D27A9"/>
    <w:rsid w:val="008D27AE"/>
    <w:rsid w:val="008D27EC"/>
    <w:rsid w:val="008D2877"/>
    <w:rsid w:val="008D2895"/>
    <w:rsid w:val="008D28A0"/>
    <w:rsid w:val="008D28AD"/>
    <w:rsid w:val="008D28E8"/>
    <w:rsid w:val="008D28EE"/>
    <w:rsid w:val="008D293D"/>
    <w:rsid w:val="008D2941"/>
    <w:rsid w:val="008D2A3F"/>
    <w:rsid w:val="008D2A42"/>
    <w:rsid w:val="008D2A74"/>
    <w:rsid w:val="008D2A8B"/>
    <w:rsid w:val="008D2AC5"/>
    <w:rsid w:val="008D2AE2"/>
    <w:rsid w:val="008D2B8D"/>
    <w:rsid w:val="008D2BA0"/>
    <w:rsid w:val="008D2BFE"/>
    <w:rsid w:val="008D2D28"/>
    <w:rsid w:val="008D2D7E"/>
    <w:rsid w:val="008D2DBB"/>
    <w:rsid w:val="008D2DBD"/>
    <w:rsid w:val="008D2DEC"/>
    <w:rsid w:val="008D2E08"/>
    <w:rsid w:val="008D2EC3"/>
    <w:rsid w:val="008D2EFB"/>
    <w:rsid w:val="008D2F35"/>
    <w:rsid w:val="008D2F61"/>
    <w:rsid w:val="008D30DE"/>
    <w:rsid w:val="008D30EC"/>
    <w:rsid w:val="008D311A"/>
    <w:rsid w:val="008D318D"/>
    <w:rsid w:val="008D31E3"/>
    <w:rsid w:val="008D32B8"/>
    <w:rsid w:val="008D32F2"/>
    <w:rsid w:val="008D330E"/>
    <w:rsid w:val="008D336B"/>
    <w:rsid w:val="008D33E8"/>
    <w:rsid w:val="008D34BD"/>
    <w:rsid w:val="008D352F"/>
    <w:rsid w:val="008D3566"/>
    <w:rsid w:val="008D35C4"/>
    <w:rsid w:val="008D35E8"/>
    <w:rsid w:val="008D35ED"/>
    <w:rsid w:val="008D3645"/>
    <w:rsid w:val="008D3674"/>
    <w:rsid w:val="008D3679"/>
    <w:rsid w:val="008D36A9"/>
    <w:rsid w:val="008D3806"/>
    <w:rsid w:val="008D3854"/>
    <w:rsid w:val="008D3986"/>
    <w:rsid w:val="008D3A2E"/>
    <w:rsid w:val="008D3A93"/>
    <w:rsid w:val="008D3A94"/>
    <w:rsid w:val="008D3AA6"/>
    <w:rsid w:val="008D3B5A"/>
    <w:rsid w:val="008D3B94"/>
    <w:rsid w:val="008D3BD4"/>
    <w:rsid w:val="008D3C1B"/>
    <w:rsid w:val="008D3D70"/>
    <w:rsid w:val="008D3EED"/>
    <w:rsid w:val="008D3EF4"/>
    <w:rsid w:val="008D3FB5"/>
    <w:rsid w:val="008D3FDA"/>
    <w:rsid w:val="008D402C"/>
    <w:rsid w:val="008D40AB"/>
    <w:rsid w:val="008D4111"/>
    <w:rsid w:val="008D4116"/>
    <w:rsid w:val="008D4149"/>
    <w:rsid w:val="008D41F7"/>
    <w:rsid w:val="008D4227"/>
    <w:rsid w:val="008D426F"/>
    <w:rsid w:val="008D4426"/>
    <w:rsid w:val="008D4591"/>
    <w:rsid w:val="008D45D7"/>
    <w:rsid w:val="008D463F"/>
    <w:rsid w:val="008D46AA"/>
    <w:rsid w:val="008D4784"/>
    <w:rsid w:val="008D4789"/>
    <w:rsid w:val="008D487E"/>
    <w:rsid w:val="008D488B"/>
    <w:rsid w:val="008D4A17"/>
    <w:rsid w:val="008D4A81"/>
    <w:rsid w:val="008D4B83"/>
    <w:rsid w:val="008D4C52"/>
    <w:rsid w:val="008D4CE0"/>
    <w:rsid w:val="008D4D91"/>
    <w:rsid w:val="008D4E25"/>
    <w:rsid w:val="008D4E4F"/>
    <w:rsid w:val="008D4E50"/>
    <w:rsid w:val="008D4E9C"/>
    <w:rsid w:val="008D4EC6"/>
    <w:rsid w:val="008D4F39"/>
    <w:rsid w:val="008D4FA7"/>
    <w:rsid w:val="008D4FB6"/>
    <w:rsid w:val="008D5006"/>
    <w:rsid w:val="008D50AD"/>
    <w:rsid w:val="008D512A"/>
    <w:rsid w:val="008D513E"/>
    <w:rsid w:val="008D518D"/>
    <w:rsid w:val="008D51B5"/>
    <w:rsid w:val="008D522C"/>
    <w:rsid w:val="008D5261"/>
    <w:rsid w:val="008D52C2"/>
    <w:rsid w:val="008D53AB"/>
    <w:rsid w:val="008D5418"/>
    <w:rsid w:val="008D55C0"/>
    <w:rsid w:val="008D55FF"/>
    <w:rsid w:val="008D563A"/>
    <w:rsid w:val="008D57D4"/>
    <w:rsid w:val="008D587A"/>
    <w:rsid w:val="008D5929"/>
    <w:rsid w:val="008D5932"/>
    <w:rsid w:val="008D596A"/>
    <w:rsid w:val="008D5A21"/>
    <w:rsid w:val="008D5A30"/>
    <w:rsid w:val="008D5A7B"/>
    <w:rsid w:val="008D5AFB"/>
    <w:rsid w:val="008D5B27"/>
    <w:rsid w:val="008D5BE6"/>
    <w:rsid w:val="008D5C63"/>
    <w:rsid w:val="008D5CA6"/>
    <w:rsid w:val="008D5D13"/>
    <w:rsid w:val="008D5D3E"/>
    <w:rsid w:val="008D5D7E"/>
    <w:rsid w:val="008D5D8F"/>
    <w:rsid w:val="008D5E1F"/>
    <w:rsid w:val="008D5E9B"/>
    <w:rsid w:val="008D5F86"/>
    <w:rsid w:val="008D601F"/>
    <w:rsid w:val="008D6046"/>
    <w:rsid w:val="008D609D"/>
    <w:rsid w:val="008D60DD"/>
    <w:rsid w:val="008D6128"/>
    <w:rsid w:val="008D616C"/>
    <w:rsid w:val="008D61E5"/>
    <w:rsid w:val="008D62A0"/>
    <w:rsid w:val="008D633A"/>
    <w:rsid w:val="008D63B9"/>
    <w:rsid w:val="008D63C5"/>
    <w:rsid w:val="008D63E7"/>
    <w:rsid w:val="008D6499"/>
    <w:rsid w:val="008D64D1"/>
    <w:rsid w:val="008D64EE"/>
    <w:rsid w:val="008D64FF"/>
    <w:rsid w:val="008D65A4"/>
    <w:rsid w:val="008D65D7"/>
    <w:rsid w:val="008D6689"/>
    <w:rsid w:val="008D67C2"/>
    <w:rsid w:val="008D67CA"/>
    <w:rsid w:val="008D680D"/>
    <w:rsid w:val="008D6845"/>
    <w:rsid w:val="008D6859"/>
    <w:rsid w:val="008D6967"/>
    <w:rsid w:val="008D699A"/>
    <w:rsid w:val="008D6A43"/>
    <w:rsid w:val="008D6A45"/>
    <w:rsid w:val="008D6ACF"/>
    <w:rsid w:val="008D6BD6"/>
    <w:rsid w:val="008D6BF2"/>
    <w:rsid w:val="008D6C19"/>
    <w:rsid w:val="008D6C27"/>
    <w:rsid w:val="008D6C6A"/>
    <w:rsid w:val="008D6C78"/>
    <w:rsid w:val="008D6C94"/>
    <w:rsid w:val="008D6CF1"/>
    <w:rsid w:val="008D6DC8"/>
    <w:rsid w:val="008D6E3C"/>
    <w:rsid w:val="008D6EFD"/>
    <w:rsid w:val="008D6F24"/>
    <w:rsid w:val="008D6F77"/>
    <w:rsid w:val="008D6F8A"/>
    <w:rsid w:val="008D6FB7"/>
    <w:rsid w:val="008D7082"/>
    <w:rsid w:val="008D7160"/>
    <w:rsid w:val="008D720C"/>
    <w:rsid w:val="008D7210"/>
    <w:rsid w:val="008D7211"/>
    <w:rsid w:val="008D72B3"/>
    <w:rsid w:val="008D72D4"/>
    <w:rsid w:val="008D7344"/>
    <w:rsid w:val="008D7353"/>
    <w:rsid w:val="008D73C5"/>
    <w:rsid w:val="008D73F6"/>
    <w:rsid w:val="008D748F"/>
    <w:rsid w:val="008D759D"/>
    <w:rsid w:val="008D75AF"/>
    <w:rsid w:val="008D75F7"/>
    <w:rsid w:val="008D768E"/>
    <w:rsid w:val="008D770B"/>
    <w:rsid w:val="008D78BC"/>
    <w:rsid w:val="008D796C"/>
    <w:rsid w:val="008D7A00"/>
    <w:rsid w:val="008D7A24"/>
    <w:rsid w:val="008D7ADB"/>
    <w:rsid w:val="008D7AE1"/>
    <w:rsid w:val="008D7B4A"/>
    <w:rsid w:val="008D7B6F"/>
    <w:rsid w:val="008D7B8D"/>
    <w:rsid w:val="008D7BF3"/>
    <w:rsid w:val="008D7C27"/>
    <w:rsid w:val="008D7CFB"/>
    <w:rsid w:val="008D7D90"/>
    <w:rsid w:val="008D7D9B"/>
    <w:rsid w:val="008D7DAA"/>
    <w:rsid w:val="008D7DCD"/>
    <w:rsid w:val="008D7DEC"/>
    <w:rsid w:val="008D7E1B"/>
    <w:rsid w:val="008D7E96"/>
    <w:rsid w:val="008E0043"/>
    <w:rsid w:val="008E00E0"/>
    <w:rsid w:val="008E0130"/>
    <w:rsid w:val="008E016D"/>
    <w:rsid w:val="008E01F5"/>
    <w:rsid w:val="008E026C"/>
    <w:rsid w:val="008E0297"/>
    <w:rsid w:val="008E02CD"/>
    <w:rsid w:val="008E0338"/>
    <w:rsid w:val="008E040F"/>
    <w:rsid w:val="008E0412"/>
    <w:rsid w:val="008E0425"/>
    <w:rsid w:val="008E0466"/>
    <w:rsid w:val="008E04E2"/>
    <w:rsid w:val="008E0513"/>
    <w:rsid w:val="008E05A0"/>
    <w:rsid w:val="008E05B0"/>
    <w:rsid w:val="008E0670"/>
    <w:rsid w:val="008E0674"/>
    <w:rsid w:val="008E06AC"/>
    <w:rsid w:val="008E06C7"/>
    <w:rsid w:val="008E06D5"/>
    <w:rsid w:val="008E07F3"/>
    <w:rsid w:val="008E081E"/>
    <w:rsid w:val="008E0853"/>
    <w:rsid w:val="008E0856"/>
    <w:rsid w:val="008E098D"/>
    <w:rsid w:val="008E09B7"/>
    <w:rsid w:val="008E0A3C"/>
    <w:rsid w:val="008E0AB8"/>
    <w:rsid w:val="008E0AC7"/>
    <w:rsid w:val="008E0B08"/>
    <w:rsid w:val="008E0DA9"/>
    <w:rsid w:val="008E0DE9"/>
    <w:rsid w:val="008E0E34"/>
    <w:rsid w:val="008E0EA7"/>
    <w:rsid w:val="008E0F24"/>
    <w:rsid w:val="008E0F5C"/>
    <w:rsid w:val="008E0FD4"/>
    <w:rsid w:val="008E1001"/>
    <w:rsid w:val="008E1031"/>
    <w:rsid w:val="008E106A"/>
    <w:rsid w:val="008E114F"/>
    <w:rsid w:val="008E11B3"/>
    <w:rsid w:val="008E1242"/>
    <w:rsid w:val="008E1416"/>
    <w:rsid w:val="008E1426"/>
    <w:rsid w:val="008E14D2"/>
    <w:rsid w:val="008E15E7"/>
    <w:rsid w:val="008E1732"/>
    <w:rsid w:val="008E1745"/>
    <w:rsid w:val="008E175C"/>
    <w:rsid w:val="008E17F0"/>
    <w:rsid w:val="008E18BF"/>
    <w:rsid w:val="008E18E3"/>
    <w:rsid w:val="008E1909"/>
    <w:rsid w:val="008E19FD"/>
    <w:rsid w:val="008E1A81"/>
    <w:rsid w:val="008E1AE0"/>
    <w:rsid w:val="008E1B27"/>
    <w:rsid w:val="008E1B44"/>
    <w:rsid w:val="008E1C74"/>
    <w:rsid w:val="008E1CC1"/>
    <w:rsid w:val="008E1D33"/>
    <w:rsid w:val="008E1D4D"/>
    <w:rsid w:val="008E1E1C"/>
    <w:rsid w:val="008E1E3B"/>
    <w:rsid w:val="008E200B"/>
    <w:rsid w:val="008E201E"/>
    <w:rsid w:val="008E206F"/>
    <w:rsid w:val="008E20F6"/>
    <w:rsid w:val="008E22AF"/>
    <w:rsid w:val="008E22BE"/>
    <w:rsid w:val="008E22CF"/>
    <w:rsid w:val="008E23BF"/>
    <w:rsid w:val="008E23E0"/>
    <w:rsid w:val="008E24F5"/>
    <w:rsid w:val="008E25F7"/>
    <w:rsid w:val="008E25FC"/>
    <w:rsid w:val="008E2603"/>
    <w:rsid w:val="008E260F"/>
    <w:rsid w:val="008E26BA"/>
    <w:rsid w:val="008E26BC"/>
    <w:rsid w:val="008E27B2"/>
    <w:rsid w:val="008E28D5"/>
    <w:rsid w:val="008E297B"/>
    <w:rsid w:val="008E29DC"/>
    <w:rsid w:val="008E29E8"/>
    <w:rsid w:val="008E2A38"/>
    <w:rsid w:val="008E2A3E"/>
    <w:rsid w:val="008E2A4E"/>
    <w:rsid w:val="008E2B02"/>
    <w:rsid w:val="008E2BA0"/>
    <w:rsid w:val="008E2BA8"/>
    <w:rsid w:val="008E2DC1"/>
    <w:rsid w:val="008E2E4E"/>
    <w:rsid w:val="008E2E5C"/>
    <w:rsid w:val="008E2E5F"/>
    <w:rsid w:val="008E2EE6"/>
    <w:rsid w:val="008E2EF3"/>
    <w:rsid w:val="008E2F9C"/>
    <w:rsid w:val="008E30B6"/>
    <w:rsid w:val="008E3215"/>
    <w:rsid w:val="008E3217"/>
    <w:rsid w:val="008E323D"/>
    <w:rsid w:val="008E329C"/>
    <w:rsid w:val="008E32FE"/>
    <w:rsid w:val="008E3309"/>
    <w:rsid w:val="008E33C7"/>
    <w:rsid w:val="008E340F"/>
    <w:rsid w:val="008E3473"/>
    <w:rsid w:val="008E34AE"/>
    <w:rsid w:val="008E34FC"/>
    <w:rsid w:val="008E353F"/>
    <w:rsid w:val="008E356C"/>
    <w:rsid w:val="008E35E5"/>
    <w:rsid w:val="008E364D"/>
    <w:rsid w:val="008E37A3"/>
    <w:rsid w:val="008E37AB"/>
    <w:rsid w:val="008E37CA"/>
    <w:rsid w:val="008E37CB"/>
    <w:rsid w:val="008E38C9"/>
    <w:rsid w:val="008E396A"/>
    <w:rsid w:val="008E3A9B"/>
    <w:rsid w:val="008E3BA8"/>
    <w:rsid w:val="008E3BC6"/>
    <w:rsid w:val="008E3BE9"/>
    <w:rsid w:val="008E3C1B"/>
    <w:rsid w:val="008E3C33"/>
    <w:rsid w:val="008E3CC6"/>
    <w:rsid w:val="008E3D35"/>
    <w:rsid w:val="008E3E6C"/>
    <w:rsid w:val="008E3E73"/>
    <w:rsid w:val="008E4001"/>
    <w:rsid w:val="008E4016"/>
    <w:rsid w:val="008E40C2"/>
    <w:rsid w:val="008E4153"/>
    <w:rsid w:val="008E41AD"/>
    <w:rsid w:val="008E4278"/>
    <w:rsid w:val="008E42B2"/>
    <w:rsid w:val="008E43BD"/>
    <w:rsid w:val="008E44F6"/>
    <w:rsid w:val="008E45CB"/>
    <w:rsid w:val="008E46A8"/>
    <w:rsid w:val="008E46FA"/>
    <w:rsid w:val="008E4708"/>
    <w:rsid w:val="008E4876"/>
    <w:rsid w:val="008E48C2"/>
    <w:rsid w:val="008E48CF"/>
    <w:rsid w:val="008E4929"/>
    <w:rsid w:val="008E4994"/>
    <w:rsid w:val="008E49B1"/>
    <w:rsid w:val="008E4A58"/>
    <w:rsid w:val="008E4AD9"/>
    <w:rsid w:val="008E4B7C"/>
    <w:rsid w:val="008E4B81"/>
    <w:rsid w:val="008E4C39"/>
    <w:rsid w:val="008E4C65"/>
    <w:rsid w:val="008E4C6F"/>
    <w:rsid w:val="008E4C9E"/>
    <w:rsid w:val="008E4D1B"/>
    <w:rsid w:val="008E4D63"/>
    <w:rsid w:val="008E4E03"/>
    <w:rsid w:val="008E4E31"/>
    <w:rsid w:val="008E4E92"/>
    <w:rsid w:val="008E4EAB"/>
    <w:rsid w:val="008E4F23"/>
    <w:rsid w:val="008E4F8D"/>
    <w:rsid w:val="008E50F1"/>
    <w:rsid w:val="008E50F7"/>
    <w:rsid w:val="008E51F1"/>
    <w:rsid w:val="008E51FB"/>
    <w:rsid w:val="008E52DE"/>
    <w:rsid w:val="008E52FB"/>
    <w:rsid w:val="008E53B4"/>
    <w:rsid w:val="008E5401"/>
    <w:rsid w:val="008E548A"/>
    <w:rsid w:val="008E54F7"/>
    <w:rsid w:val="008E5506"/>
    <w:rsid w:val="008E5540"/>
    <w:rsid w:val="008E5546"/>
    <w:rsid w:val="008E5586"/>
    <w:rsid w:val="008E56A5"/>
    <w:rsid w:val="008E56C7"/>
    <w:rsid w:val="008E5714"/>
    <w:rsid w:val="008E57CD"/>
    <w:rsid w:val="008E582E"/>
    <w:rsid w:val="008E5843"/>
    <w:rsid w:val="008E588E"/>
    <w:rsid w:val="008E5947"/>
    <w:rsid w:val="008E59A8"/>
    <w:rsid w:val="008E59D8"/>
    <w:rsid w:val="008E59F2"/>
    <w:rsid w:val="008E5A01"/>
    <w:rsid w:val="008E5A59"/>
    <w:rsid w:val="008E5AB1"/>
    <w:rsid w:val="008E5B26"/>
    <w:rsid w:val="008E5C77"/>
    <w:rsid w:val="008E5CA7"/>
    <w:rsid w:val="008E5D2E"/>
    <w:rsid w:val="008E5EA0"/>
    <w:rsid w:val="008E5EBA"/>
    <w:rsid w:val="008E5EC9"/>
    <w:rsid w:val="008E5F36"/>
    <w:rsid w:val="008E5F5A"/>
    <w:rsid w:val="008E5FA6"/>
    <w:rsid w:val="008E6047"/>
    <w:rsid w:val="008E604A"/>
    <w:rsid w:val="008E619B"/>
    <w:rsid w:val="008E61C9"/>
    <w:rsid w:val="008E6260"/>
    <w:rsid w:val="008E6286"/>
    <w:rsid w:val="008E633D"/>
    <w:rsid w:val="008E633E"/>
    <w:rsid w:val="008E6375"/>
    <w:rsid w:val="008E6402"/>
    <w:rsid w:val="008E640B"/>
    <w:rsid w:val="008E640D"/>
    <w:rsid w:val="008E6426"/>
    <w:rsid w:val="008E6480"/>
    <w:rsid w:val="008E64E4"/>
    <w:rsid w:val="008E65F7"/>
    <w:rsid w:val="008E6630"/>
    <w:rsid w:val="008E667F"/>
    <w:rsid w:val="008E66E7"/>
    <w:rsid w:val="008E6755"/>
    <w:rsid w:val="008E6836"/>
    <w:rsid w:val="008E6889"/>
    <w:rsid w:val="008E69AF"/>
    <w:rsid w:val="008E6A06"/>
    <w:rsid w:val="008E6A34"/>
    <w:rsid w:val="008E6A82"/>
    <w:rsid w:val="008E6AB0"/>
    <w:rsid w:val="008E6C4E"/>
    <w:rsid w:val="008E6C73"/>
    <w:rsid w:val="008E6DCA"/>
    <w:rsid w:val="008E6F0C"/>
    <w:rsid w:val="008E6F1A"/>
    <w:rsid w:val="008E6FC4"/>
    <w:rsid w:val="008E6FEA"/>
    <w:rsid w:val="008E7028"/>
    <w:rsid w:val="008E70F5"/>
    <w:rsid w:val="008E7103"/>
    <w:rsid w:val="008E714A"/>
    <w:rsid w:val="008E7197"/>
    <w:rsid w:val="008E732E"/>
    <w:rsid w:val="008E73F6"/>
    <w:rsid w:val="008E74E7"/>
    <w:rsid w:val="008E751E"/>
    <w:rsid w:val="008E75AC"/>
    <w:rsid w:val="008E7644"/>
    <w:rsid w:val="008E777E"/>
    <w:rsid w:val="008E77A8"/>
    <w:rsid w:val="008E7808"/>
    <w:rsid w:val="008E784A"/>
    <w:rsid w:val="008E7888"/>
    <w:rsid w:val="008E78DD"/>
    <w:rsid w:val="008E78FF"/>
    <w:rsid w:val="008E7975"/>
    <w:rsid w:val="008E7A07"/>
    <w:rsid w:val="008E7AF8"/>
    <w:rsid w:val="008E7B89"/>
    <w:rsid w:val="008E7C00"/>
    <w:rsid w:val="008E7C66"/>
    <w:rsid w:val="008E7CD8"/>
    <w:rsid w:val="008E7D18"/>
    <w:rsid w:val="008E7E5F"/>
    <w:rsid w:val="008E7ED4"/>
    <w:rsid w:val="008E7F4C"/>
    <w:rsid w:val="008E7F87"/>
    <w:rsid w:val="008E7F8B"/>
    <w:rsid w:val="008F008E"/>
    <w:rsid w:val="008F0156"/>
    <w:rsid w:val="008F02B3"/>
    <w:rsid w:val="008F04EB"/>
    <w:rsid w:val="008F054A"/>
    <w:rsid w:val="008F054F"/>
    <w:rsid w:val="008F0586"/>
    <w:rsid w:val="008F06D0"/>
    <w:rsid w:val="008F07A6"/>
    <w:rsid w:val="008F089A"/>
    <w:rsid w:val="008F0993"/>
    <w:rsid w:val="008F0B17"/>
    <w:rsid w:val="008F0CCE"/>
    <w:rsid w:val="008F0E1C"/>
    <w:rsid w:val="008F0EBB"/>
    <w:rsid w:val="008F0F8D"/>
    <w:rsid w:val="008F10B4"/>
    <w:rsid w:val="008F128F"/>
    <w:rsid w:val="008F12A4"/>
    <w:rsid w:val="008F12E4"/>
    <w:rsid w:val="008F132B"/>
    <w:rsid w:val="008F1332"/>
    <w:rsid w:val="008F1344"/>
    <w:rsid w:val="008F13C4"/>
    <w:rsid w:val="008F1440"/>
    <w:rsid w:val="008F1621"/>
    <w:rsid w:val="008F1876"/>
    <w:rsid w:val="008F187F"/>
    <w:rsid w:val="008F18B9"/>
    <w:rsid w:val="008F18BE"/>
    <w:rsid w:val="008F1922"/>
    <w:rsid w:val="008F19C8"/>
    <w:rsid w:val="008F1A04"/>
    <w:rsid w:val="008F1A7F"/>
    <w:rsid w:val="008F1ABA"/>
    <w:rsid w:val="008F1B55"/>
    <w:rsid w:val="008F1B9B"/>
    <w:rsid w:val="008F1CD1"/>
    <w:rsid w:val="008F1D8B"/>
    <w:rsid w:val="008F1E52"/>
    <w:rsid w:val="008F1E64"/>
    <w:rsid w:val="008F1E7B"/>
    <w:rsid w:val="008F1EC3"/>
    <w:rsid w:val="008F1F1B"/>
    <w:rsid w:val="008F1FB0"/>
    <w:rsid w:val="008F21CC"/>
    <w:rsid w:val="008F2381"/>
    <w:rsid w:val="008F238F"/>
    <w:rsid w:val="008F24D8"/>
    <w:rsid w:val="008F258C"/>
    <w:rsid w:val="008F25AC"/>
    <w:rsid w:val="008F25BC"/>
    <w:rsid w:val="008F26B4"/>
    <w:rsid w:val="008F26B7"/>
    <w:rsid w:val="008F273C"/>
    <w:rsid w:val="008F274D"/>
    <w:rsid w:val="008F27CB"/>
    <w:rsid w:val="008F27F3"/>
    <w:rsid w:val="008F2817"/>
    <w:rsid w:val="008F28C0"/>
    <w:rsid w:val="008F2901"/>
    <w:rsid w:val="008F293D"/>
    <w:rsid w:val="008F2940"/>
    <w:rsid w:val="008F2A00"/>
    <w:rsid w:val="008F2BB4"/>
    <w:rsid w:val="008F2BEE"/>
    <w:rsid w:val="008F2C09"/>
    <w:rsid w:val="008F2C7A"/>
    <w:rsid w:val="008F2CC9"/>
    <w:rsid w:val="008F2CED"/>
    <w:rsid w:val="008F2D46"/>
    <w:rsid w:val="008F2E21"/>
    <w:rsid w:val="008F2E5F"/>
    <w:rsid w:val="008F2F90"/>
    <w:rsid w:val="008F304E"/>
    <w:rsid w:val="008F306B"/>
    <w:rsid w:val="008F3096"/>
    <w:rsid w:val="008F30A0"/>
    <w:rsid w:val="008F3194"/>
    <w:rsid w:val="008F3370"/>
    <w:rsid w:val="008F33E2"/>
    <w:rsid w:val="008F343C"/>
    <w:rsid w:val="008F346B"/>
    <w:rsid w:val="008F3555"/>
    <w:rsid w:val="008F357A"/>
    <w:rsid w:val="008F35AA"/>
    <w:rsid w:val="008F35AF"/>
    <w:rsid w:val="008F360F"/>
    <w:rsid w:val="008F36B6"/>
    <w:rsid w:val="008F376D"/>
    <w:rsid w:val="008F377C"/>
    <w:rsid w:val="008F37AF"/>
    <w:rsid w:val="008F37DB"/>
    <w:rsid w:val="008F38B1"/>
    <w:rsid w:val="008F391C"/>
    <w:rsid w:val="008F3977"/>
    <w:rsid w:val="008F39C9"/>
    <w:rsid w:val="008F3A83"/>
    <w:rsid w:val="008F3B2D"/>
    <w:rsid w:val="008F3BB8"/>
    <w:rsid w:val="008F3BBA"/>
    <w:rsid w:val="008F3BCA"/>
    <w:rsid w:val="008F3E15"/>
    <w:rsid w:val="008F3E40"/>
    <w:rsid w:val="008F3EC6"/>
    <w:rsid w:val="008F3ED6"/>
    <w:rsid w:val="008F3F16"/>
    <w:rsid w:val="008F3F4A"/>
    <w:rsid w:val="008F3FA8"/>
    <w:rsid w:val="008F3FDC"/>
    <w:rsid w:val="008F3FF6"/>
    <w:rsid w:val="008F40C8"/>
    <w:rsid w:val="008F40F6"/>
    <w:rsid w:val="008F4264"/>
    <w:rsid w:val="008F427E"/>
    <w:rsid w:val="008F42D0"/>
    <w:rsid w:val="008F43F0"/>
    <w:rsid w:val="008F440B"/>
    <w:rsid w:val="008F45DB"/>
    <w:rsid w:val="008F46E4"/>
    <w:rsid w:val="008F4710"/>
    <w:rsid w:val="008F488E"/>
    <w:rsid w:val="008F4A15"/>
    <w:rsid w:val="008F4A6F"/>
    <w:rsid w:val="008F4A9B"/>
    <w:rsid w:val="008F4C03"/>
    <w:rsid w:val="008F4C14"/>
    <w:rsid w:val="008F4CA9"/>
    <w:rsid w:val="008F4CBF"/>
    <w:rsid w:val="008F4D75"/>
    <w:rsid w:val="008F4E37"/>
    <w:rsid w:val="008F4E71"/>
    <w:rsid w:val="008F4E96"/>
    <w:rsid w:val="008F4EA6"/>
    <w:rsid w:val="008F4EFE"/>
    <w:rsid w:val="008F4F27"/>
    <w:rsid w:val="008F4FBF"/>
    <w:rsid w:val="008F4FDB"/>
    <w:rsid w:val="008F4FFC"/>
    <w:rsid w:val="008F5041"/>
    <w:rsid w:val="008F5120"/>
    <w:rsid w:val="008F51E8"/>
    <w:rsid w:val="008F5217"/>
    <w:rsid w:val="008F52C4"/>
    <w:rsid w:val="008F52EE"/>
    <w:rsid w:val="008F5352"/>
    <w:rsid w:val="008F5376"/>
    <w:rsid w:val="008F5416"/>
    <w:rsid w:val="008F54A3"/>
    <w:rsid w:val="008F551A"/>
    <w:rsid w:val="008F552A"/>
    <w:rsid w:val="008F5557"/>
    <w:rsid w:val="008F5644"/>
    <w:rsid w:val="008F5686"/>
    <w:rsid w:val="008F56B5"/>
    <w:rsid w:val="008F5701"/>
    <w:rsid w:val="008F58D1"/>
    <w:rsid w:val="008F58E1"/>
    <w:rsid w:val="008F59AB"/>
    <w:rsid w:val="008F5A7F"/>
    <w:rsid w:val="008F5AE3"/>
    <w:rsid w:val="008F5B29"/>
    <w:rsid w:val="008F5B42"/>
    <w:rsid w:val="008F5BE3"/>
    <w:rsid w:val="008F5C25"/>
    <w:rsid w:val="008F5CA2"/>
    <w:rsid w:val="008F5D48"/>
    <w:rsid w:val="008F5D66"/>
    <w:rsid w:val="008F5D82"/>
    <w:rsid w:val="008F5E57"/>
    <w:rsid w:val="008F5EA1"/>
    <w:rsid w:val="008F5EEC"/>
    <w:rsid w:val="008F5EEE"/>
    <w:rsid w:val="008F5FD3"/>
    <w:rsid w:val="008F6003"/>
    <w:rsid w:val="008F6055"/>
    <w:rsid w:val="008F605C"/>
    <w:rsid w:val="008F6119"/>
    <w:rsid w:val="008F6135"/>
    <w:rsid w:val="008F617C"/>
    <w:rsid w:val="008F617E"/>
    <w:rsid w:val="008F61BD"/>
    <w:rsid w:val="008F6234"/>
    <w:rsid w:val="008F624D"/>
    <w:rsid w:val="008F62B1"/>
    <w:rsid w:val="008F62FA"/>
    <w:rsid w:val="008F6332"/>
    <w:rsid w:val="008F64F1"/>
    <w:rsid w:val="008F64FD"/>
    <w:rsid w:val="008F6594"/>
    <w:rsid w:val="008F65AC"/>
    <w:rsid w:val="008F65E8"/>
    <w:rsid w:val="008F6771"/>
    <w:rsid w:val="008F6773"/>
    <w:rsid w:val="008F67A5"/>
    <w:rsid w:val="008F67AC"/>
    <w:rsid w:val="008F684A"/>
    <w:rsid w:val="008F6851"/>
    <w:rsid w:val="008F689E"/>
    <w:rsid w:val="008F68A1"/>
    <w:rsid w:val="008F6903"/>
    <w:rsid w:val="008F6941"/>
    <w:rsid w:val="008F69A5"/>
    <w:rsid w:val="008F6A68"/>
    <w:rsid w:val="008F6B2F"/>
    <w:rsid w:val="008F6B4F"/>
    <w:rsid w:val="008F6C1C"/>
    <w:rsid w:val="008F6C71"/>
    <w:rsid w:val="008F6CA3"/>
    <w:rsid w:val="008F6CD2"/>
    <w:rsid w:val="008F6DFA"/>
    <w:rsid w:val="008F6EB5"/>
    <w:rsid w:val="008F6F13"/>
    <w:rsid w:val="008F6F20"/>
    <w:rsid w:val="008F6F68"/>
    <w:rsid w:val="008F6F74"/>
    <w:rsid w:val="008F6FB4"/>
    <w:rsid w:val="008F70B5"/>
    <w:rsid w:val="008F7187"/>
    <w:rsid w:val="008F718A"/>
    <w:rsid w:val="008F71BA"/>
    <w:rsid w:val="008F721F"/>
    <w:rsid w:val="008F7283"/>
    <w:rsid w:val="008F72B9"/>
    <w:rsid w:val="008F730F"/>
    <w:rsid w:val="008F7377"/>
    <w:rsid w:val="008F73B3"/>
    <w:rsid w:val="008F73E3"/>
    <w:rsid w:val="008F7454"/>
    <w:rsid w:val="008F756F"/>
    <w:rsid w:val="008F7581"/>
    <w:rsid w:val="008F7601"/>
    <w:rsid w:val="008F7633"/>
    <w:rsid w:val="008F76DF"/>
    <w:rsid w:val="008F784B"/>
    <w:rsid w:val="008F78DA"/>
    <w:rsid w:val="008F793E"/>
    <w:rsid w:val="008F797E"/>
    <w:rsid w:val="008F79B8"/>
    <w:rsid w:val="008F79B9"/>
    <w:rsid w:val="008F7A51"/>
    <w:rsid w:val="008F7AD0"/>
    <w:rsid w:val="008F7B05"/>
    <w:rsid w:val="008F7B41"/>
    <w:rsid w:val="008F7B72"/>
    <w:rsid w:val="008F7D86"/>
    <w:rsid w:val="008F7D88"/>
    <w:rsid w:val="008F7E17"/>
    <w:rsid w:val="008F7E5D"/>
    <w:rsid w:val="008F7EC4"/>
    <w:rsid w:val="008F7EEC"/>
    <w:rsid w:val="008F7F5B"/>
    <w:rsid w:val="0090006A"/>
    <w:rsid w:val="00900081"/>
    <w:rsid w:val="009000BA"/>
    <w:rsid w:val="00900181"/>
    <w:rsid w:val="0090024A"/>
    <w:rsid w:val="0090028B"/>
    <w:rsid w:val="00900357"/>
    <w:rsid w:val="009003E3"/>
    <w:rsid w:val="00900449"/>
    <w:rsid w:val="0090060E"/>
    <w:rsid w:val="00900752"/>
    <w:rsid w:val="009007D9"/>
    <w:rsid w:val="00900837"/>
    <w:rsid w:val="00900A15"/>
    <w:rsid w:val="00900A37"/>
    <w:rsid w:val="00900AB2"/>
    <w:rsid w:val="00900BB5"/>
    <w:rsid w:val="00900BBE"/>
    <w:rsid w:val="00900BDF"/>
    <w:rsid w:val="00900C59"/>
    <w:rsid w:val="00900C81"/>
    <w:rsid w:val="00900D1B"/>
    <w:rsid w:val="00900D46"/>
    <w:rsid w:val="00900DD9"/>
    <w:rsid w:val="00900E05"/>
    <w:rsid w:val="009010E8"/>
    <w:rsid w:val="0090111B"/>
    <w:rsid w:val="009012AE"/>
    <w:rsid w:val="009013A9"/>
    <w:rsid w:val="009013CA"/>
    <w:rsid w:val="00901400"/>
    <w:rsid w:val="00901488"/>
    <w:rsid w:val="00901589"/>
    <w:rsid w:val="00901644"/>
    <w:rsid w:val="009017AB"/>
    <w:rsid w:val="009017B4"/>
    <w:rsid w:val="00901853"/>
    <w:rsid w:val="009019DF"/>
    <w:rsid w:val="00901A07"/>
    <w:rsid w:val="00901BC4"/>
    <w:rsid w:val="00901BE9"/>
    <w:rsid w:val="00901C79"/>
    <w:rsid w:val="00901CD4"/>
    <w:rsid w:val="00901DBF"/>
    <w:rsid w:val="00901E30"/>
    <w:rsid w:val="00901E3C"/>
    <w:rsid w:val="00901E7C"/>
    <w:rsid w:val="00901EB2"/>
    <w:rsid w:val="00901F97"/>
    <w:rsid w:val="00901F99"/>
    <w:rsid w:val="00901FEC"/>
    <w:rsid w:val="0090217B"/>
    <w:rsid w:val="00902254"/>
    <w:rsid w:val="00902286"/>
    <w:rsid w:val="009022B2"/>
    <w:rsid w:val="009023A2"/>
    <w:rsid w:val="009023B4"/>
    <w:rsid w:val="009023EF"/>
    <w:rsid w:val="0090243B"/>
    <w:rsid w:val="00902450"/>
    <w:rsid w:val="00902461"/>
    <w:rsid w:val="00902491"/>
    <w:rsid w:val="009025F6"/>
    <w:rsid w:val="009025FE"/>
    <w:rsid w:val="00902640"/>
    <w:rsid w:val="009026D7"/>
    <w:rsid w:val="009026EA"/>
    <w:rsid w:val="0090279F"/>
    <w:rsid w:val="00902807"/>
    <w:rsid w:val="00902837"/>
    <w:rsid w:val="00902884"/>
    <w:rsid w:val="0090289A"/>
    <w:rsid w:val="009028A5"/>
    <w:rsid w:val="009028CC"/>
    <w:rsid w:val="00902937"/>
    <w:rsid w:val="00902972"/>
    <w:rsid w:val="00902995"/>
    <w:rsid w:val="00902A09"/>
    <w:rsid w:val="00902A5D"/>
    <w:rsid w:val="00902A9C"/>
    <w:rsid w:val="00902AC9"/>
    <w:rsid w:val="00902B09"/>
    <w:rsid w:val="00902B18"/>
    <w:rsid w:val="00902B4E"/>
    <w:rsid w:val="00902B78"/>
    <w:rsid w:val="00902C8C"/>
    <w:rsid w:val="00902D30"/>
    <w:rsid w:val="00902D55"/>
    <w:rsid w:val="00902DA2"/>
    <w:rsid w:val="00902DD8"/>
    <w:rsid w:val="00902E52"/>
    <w:rsid w:val="00902E81"/>
    <w:rsid w:val="00902EA5"/>
    <w:rsid w:val="00902EDE"/>
    <w:rsid w:val="00902EF9"/>
    <w:rsid w:val="00902F02"/>
    <w:rsid w:val="00902FD7"/>
    <w:rsid w:val="00903083"/>
    <w:rsid w:val="00903138"/>
    <w:rsid w:val="009031DD"/>
    <w:rsid w:val="0090321A"/>
    <w:rsid w:val="0090324D"/>
    <w:rsid w:val="00903282"/>
    <w:rsid w:val="009032A6"/>
    <w:rsid w:val="009034D3"/>
    <w:rsid w:val="00903512"/>
    <w:rsid w:val="00903570"/>
    <w:rsid w:val="00903704"/>
    <w:rsid w:val="0090371E"/>
    <w:rsid w:val="00903750"/>
    <w:rsid w:val="00903764"/>
    <w:rsid w:val="0090384F"/>
    <w:rsid w:val="0090399C"/>
    <w:rsid w:val="00903A56"/>
    <w:rsid w:val="00903A85"/>
    <w:rsid w:val="00903A8C"/>
    <w:rsid w:val="00903B1D"/>
    <w:rsid w:val="00903C28"/>
    <w:rsid w:val="00903CDE"/>
    <w:rsid w:val="00903D20"/>
    <w:rsid w:val="00903D41"/>
    <w:rsid w:val="00903D72"/>
    <w:rsid w:val="00903D9C"/>
    <w:rsid w:val="00903E02"/>
    <w:rsid w:val="00903E7A"/>
    <w:rsid w:val="00903E81"/>
    <w:rsid w:val="00903EA4"/>
    <w:rsid w:val="00903F30"/>
    <w:rsid w:val="00904067"/>
    <w:rsid w:val="0090414B"/>
    <w:rsid w:val="00904162"/>
    <w:rsid w:val="00904276"/>
    <w:rsid w:val="0090429E"/>
    <w:rsid w:val="009042BC"/>
    <w:rsid w:val="009042E1"/>
    <w:rsid w:val="009043FD"/>
    <w:rsid w:val="00904420"/>
    <w:rsid w:val="009044A8"/>
    <w:rsid w:val="009044F1"/>
    <w:rsid w:val="0090455D"/>
    <w:rsid w:val="00904654"/>
    <w:rsid w:val="009047C1"/>
    <w:rsid w:val="00904803"/>
    <w:rsid w:val="00904804"/>
    <w:rsid w:val="0090490A"/>
    <w:rsid w:val="00904960"/>
    <w:rsid w:val="009049D7"/>
    <w:rsid w:val="00904B26"/>
    <w:rsid w:val="00904B3A"/>
    <w:rsid w:val="00904B3D"/>
    <w:rsid w:val="00904B7E"/>
    <w:rsid w:val="00904C0E"/>
    <w:rsid w:val="00904C2E"/>
    <w:rsid w:val="00904C72"/>
    <w:rsid w:val="00904CEE"/>
    <w:rsid w:val="00904D00"/>
    <w:rsid w:val="00904DF1"/>
    <w:rsid w:val="00904EB0"/>
    <w:rsid w:val="00904F1E"/>
    <w:rsid w:val="00904F86"/>
    <w:rsid w:val="00905207"/>
    <w:rsid w:val="0090520A"/>
    <w:rsid w:val="0090528A"/>
    <w:rsid w:val="009052A6"/>
    <w:rsid w:val="009052E4"/>
    <w:rsid w:val="00905316"/>
    <w:rsid w:val="0090533E"/>
    <w:rsid w:val="00905354"/>
    <w:rsid w:val="0090537D"/>
    <w:rsid w:val="009053A0"/>
    <w:rsid w:val="009053BC"/>
    <w:rsid w:val="009053E5"/>
    <w:rsid w:val="0090548A"/>
    <w:rsid w:val="009055C0"/>
    <w:rsid w:val="009056A3"/>
    <w:rsid w:val="009056E1"/>
    <w:rsid w:val="009058B0"/>
    <w:rsid w:val="00905A40"/>
    <w:rsid w:val="00905B09"/>
    <w:rsid w:val="00905B45"/>
    <w:rsid w:val="00905C0D"/>
    <w:rsid w:val="00905CD0"/>
    <w:rsid w:val="00905D6D"/>
    <w:rsid w:val="00905D8A"/>
    <w:rsid w:val="00905DEF"/>
    <w:rsid w:val="00905F82"/>
    <w:rsid w:val="00905F8A"/>
    <w:rsid w:val="00906085"/>
    <w:rsid w:val="009061A9"/>
    <w:rsid w:val="00906240"/>
    <w:rsid w:val="00906270"/>
    <w:rsid w:val="009062D1"/>
    <w:rsid w:val="009062E3"/>
    <w:rsid w:val="0090641F"/>
    <w:rsid w:val="00906453"/>
    <w:rsid w:val="009064BF"/>
    <w:rsid w:val="00906506"/>
    <w:rsid w:val="00906593"/>
    <w:rsid w:val="009065F0"/>
    <w:rsid w:val="00906610"/>
    <w:rsid w:val="00906638"/>
    <w:rsid w:val="0090663C"/>
    <w:rsid w:val="0090668D"/>
    <w:rsid w:val="009066C1"/>
    <w:rsid w:val="00906788"/>
    <w:rsid w:val="009067C1"/>
    <w:rsid w:val="00906948"/>
    <w:rsid w:val="009069F0"/>
    <w:rsid w:val="009069FB"/>
    <w:rsid w:val="00906AB1"/>
    <w:rsid w:val="00906ADC"/>
    <w:rsid w:val="00906AFA"/>
    <w:rsid w:val="00906B21"/>
    <w:rsid w:val="00906B77"/>
    <w:rsid w:val="00906BA3"/>
    <w:rsid w:val="00906C0D"/>
    <w:rsid w:val="00906CEC"/>
    <w:rsid w:val="00906D74"/>
    <w:rsid w:val="00906F1B"/>
    <w:rsid w:val="00906FDC"/>
    <w:rsid w:val="00907006"/>
    <w:rsid w:val="0090710D"/>
    <w:rsid w:val="00907110"/>
    <w:rsid w:val="0090712D"/>
    <w:rsid w:val="009071FA"/>
    <w:rsid w:val="009072B6"/>
    <w:rsid w:val="009073A1"/>
    <w:rsid w:val="009073F9"/>
    <w:rsid w:val="0090746C"/>
    <w:rsid w:val="009074FB"/>
    <w:rsid w:val="00907520"/>
    <w:rsid w:val="00907677"/>
    <w:rsid w:val="009077DF"/>
    <w:rsid w:val="0090785D"/>
    <w:rsid w:val="00907953"/>
    <w:rsid w:val="009079B1"/>
    <w:rsid w:val="00907A40"/>
    <w:rsid w:val="00907A68"/>
    <w:rsid w:val="00907B1D"/>
    <w:rsid w:val="00907BA5"/>
    <w:rsid w:val="00907BDA"/>
    <w:rsid w:val="00907C47"/>
    <w:rsid w:val="00907C60"/>
    <w:rsid w:val="00907C87"/>
    <w:rsid w:val="00907CB8"/>
    <w:rsid w:val="00907D5F"/>
    <w:rsid w:val="00907DEB"/>
    <w:rsid w:val="00907EDA"/>
    <w:rsid w:val="00907F60"/>
    <w:rsid w:val="00910093"/>
    <w:rsid w:val="009100BB"/>
    <w:rsid w:val="009101DC"/>
    <w:rsid w:val="0091021C"/>
    <w:rsid w:val="00910242"/>
    <w:rsid w:val="00910271"/>
    <w:rsid w:val="009102C7"/>
    <w:rsid w:val="00910316"/>
    <w:rsid w:val="0091040B"/>
    <w:rsid w:val="00910475"/>
    <w:rsid w:val="00910562"/>
    <w:rsid w:val="00910666"/>
    <w:rsid w:val="00910684"/>
    <w:rsid w:val="009106D2"/>
    <w:rsid w:val="009106E7"/>
    <w:rsid w:val="00910711"/>
    <w:rsid w:val="00910744"/>
    <w:rsid w:val="009108C4"/>
    <w:rsid w:val="009108F7"/>
    <w:rsid w:val="00910981"/>
    <w:rsid w:val="009109D8"/>
    <w:rsid w:val="00910A3B"/>
    <w:rsid w:val="00910B6E"/>
    <w:rsid w:val="00910B7D"/>
    <w:rsid w:val="00910B81"/>
    <w:rsid w:val="00910D00"/>
    <w:rsid w:val="00910DD0"/>
    <w:rsid w:val="00910DE9"/>
    <w:rsid w:val="00910DFB"/>
    <w:rsid w:val="00910E53"/>
    <w:rsid w:val="00910EC6"/>
    <w:rsid w:val="00911002"/>
    <w:rsid w:val="00911059"/>
    <w:rsid w:val="0091110F"/>
    <w:rsid w:val="00911169"/>
    <w:rsid w:val="00911214"/>
    <w:rsid w:val="00911270"/>
    <w:rsid w:val="009112BD"/>
    <w:rsid w:val="009112DC"/>
    <w:rsid w:val="009112E8"/>
    <w:rsid w:val="00911341"/>
    <w:rsid w:val="0091144A"/>
    <w:rsid w:val="00911465"/>
    <w:rsid w:val="00911519"/>
    <w:rsid w:val="0091152A"/>
    <w:rsid w:val="009115D1"/>
    <w:rsid w:val="0091161F"/>
    <w:rsid w:val="009116D1"/>
    <w:rsid w:val="00911717"/>
    <w:rsid w:val="0091174C"/>
    <w:rsid w:val="00911849"/>
    <w:rsid w:val="0091189F"/>
    <w:rsid w:val="00911922"/>
    <w:rsid w:val="00911A2D"/>
    <w:rsid w:val="00911AC7"/>
    <w:rsid w:val="00911B06"/>
    <w:rsid w:val="00911B26"/>
    <w:rsid w:val="00911B50"/>
    <w:rsid w:val="00911B6C"/>
    <w:rsid w:val="00911BA4"/>
    <w:rsid w:val="00911BC1"/>
    <w:rsid w:val="00911C86"/>
    <w:rsid w:val="00911CAF"/>
    <w:rsid w:val="00911CF0"/>
    <w:rsid w:val="00911D26"/>
    <w:rsid w:val="00911DAE"/>
    <w:rsid w:val="00911DB9"/>
    <w:rsid w:val="00911E5E"/>
    <w:rsid w:val="00911EB8"/>
    <w:rsid w:val="00911EFF"/>
    <w:rsid w:val="00911F56"/>
    <w:rsid w:val="00911FD6"/>
    <w:rsid w:val="00912077"/>
    <w:rsid w:val="009120DE"/>
    <w:rsid w:val="009120E0"/>
    <w:rsid w:val="00912190"/>
    <w:rsid w:val="009121EE"/>
    <w:rsid w:val="0091228F"/>
    <w:rsid w:val="009122FC"/>
    <w:rsid w:val="00912311"/>
    <w:rsid w:val="00912317"/>
    <w:rsid w:val="00912348"/>
    <w:rsid w:val="009123BF"/>
    <w:rsid w:val="0091242B"/>
    <w:rsid w:val="00912432"/>
    <w:rsid w:val="009124D1"/>
    <w:rsid w:val="009124F1"/>
    <w:rsid w:val="00912548"/>
    <w:rsid w:val="009125C1"/>
    <w:rsid w:val="00912622"/>
    <w:rsid w:val="00912665"/>
    <w:rsid w:val="00912695"/>
    <w:rsid w:val="009126BE"/>
    <w:rsid w:val="009126D9"/>
    <w:rsid w:val="009127DE"/>
    <w:rsid w:val="009127E2"/>
    <w:rsid w:val="0091283A"/>
    <w:rsid w:val="00912A4D"/>
    <w:rsid w:val="00912B0B"/>
    <w:rsid w:val="00912B82"/>
    <w:rsid w:val="00912CCF"/>
    <w:rsid w:val="00912D3F"/>
    <w:rsid w:val="00912DCD"/>
    <w:rsid w:val="00912DD2"/>
    <w:rsid w:val="00912E56"/>
    <w:rsid w:val="00912E5C"/>
    <w:rsid w:val="00912E7E"/>
    <w:rsid w:val="00912E9D"/>
    <w:rsid w:val="00912ED7"/>
    <w:rsid w:val="00912F14"/>
    <w:rsid w:val="00912F4F"/>
    <w:rsid w:val="00912FDA"/>
    <w:rsid w:val="009130A9"/>
    <w:rsid w:val="009130F2"/>
    <w:rsid w:val="0091317A"/>
    <w:rsid w:val="0091319D"/>
    <w:rsid w:val="009131C0"/>
    <w:rsid w:val="009131D1"/>
    <w:rsid w:val="009132B0"/>
    <w:rsid w:val="00913314"/>
    <w:rsid w:val="0091337C"/>
    <w:rsid w:val="009133A2"/>
    <w:rsid w:val="009133F7"/>
    <w:rsid w:val="0091349D"/>
    <w:rsid w:val="00913519"/>
    <w:rsid w:val="00913558"/>
    <w:rsid w:val="009135C7"/>
    <w:rsid w:val="009135F7"/>
    <w:rsid w:val="00913718"/>
    <w:rsid w:val="0091379E"/>
    <w:rsid w:val="00913804"/>
    <w:rsid w:val="00913825"/>
    <w:rsid w:val="009138C5"/>
    <w:rsid w:val="0091390A"/>
    <w:rsid w:val="00913985"/>
    <w:rsid w:val="00913B18"/>
    <w:rsid w:val="00913B41"/>
    <w:rsid w:val="00913C4D"/>
    <w:rsid w:val="00913DFD"/>
    <w:rsid w:val="00913E9E"/>
    <w:rsid w:val="00913F11"/>
    <w:rsid w:val="00913FEB"/>
    <w:rsid w:val="00913FF7"/>
    <w:rsid w:val="00914027"/>
    <w:rsid w:val="0091405C"/>
    <w:rsid w:val="009140CD"/>
    <w:rsid w:val="009140D1"/>
    <w:rsid w:val="00914141"/>
    <w:rsid w:val="00914239"/>
    <w:rsid w:val="00914275"/>
    <w:rsid w:val="00914295"/>
    <w:rsid w:val="009142FC"/>
    <w:rsid w:val="00914307"/>
    <w:rsid w:val="0091435D"/>
    <w:rsid w:val="00914487"/>
    <w:rsid w:val="00914489"/>
    <w:rsid w:val="009144CE"/>
    <w:rsid w:val="009145AD"/>
    <w:rsid w:val="009145F9"/>
    <w:rsid w:val="009146C4"/>
    <w:rsid w:val="009146DC"/>
    <w:rsid w:val="00914704"/>
    <w:rsid w:val="0091472D"/>
    <w:rsid w:val="0091482F"/>
    <w:rsid w:val="0091485B"/>
    <w:rsid w:val="00914872"/>
    <w:rsid w:val="009148A2"/>
    <w:rsid w:val="00914958"/>
    <w:rsid w:val="0091496E"/>
    <w:rsid w:val="00914995"/>
    <w:rsid w:val="00914998"/>
    <w:rsid w:val="00914A9A"/>
    <w:rsid w:val="00914AB9"/>
    <w:rsid w:val="00914B34"/>
    <w:rsid w:val="00914C00"/>
    <w:rsid w:val="00914CB2"/>
    <w:rsid w:val="00914CB9"/>
    <w:rsid w:val="00914CF4"/>
    <w:rsid w:val="00914D29"/>
    <w:rsid w:val="00914D5D"/>
    <w:rsid w:val="00914DF4"/>
    <w:rsid w:val="0091506F"/>
    <w:rsid w:val="0091512B"/>
    <w:rsid w:val="009151D3"/>
    <w:rsid w:val="0091527F"/>
    <w:rsid w:val="009152DA"/>
    <w:rsid w:val="00915331"/>
    <w:rsid w:val="00915360"/>
    <w:rsid w:val="009153E9"/>
    <w:rsid w:val="00915421"/>
    <w:rsid w:val="00915432"/>
    <w:rsid w:val="00915441"/>
    <w:rsid w:val="0091553B"/>
    <w:rsid w:val="00915650"/>
    <w:rsid w:val="0091566E"/>
    <w:rsid w:val="00915749"/>
    <w:rsid w:val="009157D1"/>
    <w:rsid w:val="0091580C"/>
    <w:rsid w:val="00915909"/>
    <w:rsid w:val="009159BC"/>
    <w:rsid w:val="009159FB"/>
    <w:rsid w:val="00915C44"/>
    <w:rsid w:val="00915D3C"/>
    <w:rsid w:val="00915DA3"/>
    <w:rsid w:val="00915EB3"/>
    <w:rsid w:val="00915EBA"/>
    <w:rsid w:val="00915FCD"/>
    <w:rsid w:val="009160EF"/>
    <w:rsid w:val="00916113"/>
    <w:rsid w:val="0091617F"/>
    <w:rsid w:val="009161AB"/>
    <w:rsid w:val="009161C6"/>
    <w:rsid w:val="0091624A"/>
    <w:rsid w:val="00916262"/>
    <w:rsid w:val="00916287"/>
    <w:rsid w:val="0091632E"/>
    <w:rsid w:val="00916360"/>
    <w:rsid w:val="009163D9"/>
    <w:rsid w:val="009163F2"/>
    <w:rsid w:val="009163F3"/>
    <w:rsid w:val="00916492"/>
    <w:rsid w:val="0091651F"/>
    <w:rsid w:val="009165B1"/>
    <w:rsid w:val="0091676E"/>
    <w:rsid w:val="00916794"/>
    <w:rsid w:val="009167C3"/>
    <w:rsid w:val="009167DE"/>
    <w:rsid w:val="00916826"/>
    <w:rsid w:val="00916836"/>
    <w:rsid w:val="00916848"/>
    <w:rsid w:val="00916898"/>
    <w:rsid w:val="009169D3"/>
    <w:rsid w:val="00916A56"/>
    <w:rsid w:val="00916A6C"/>
    <w:rsid w:val="00916A7C"/>
    <w:rsid w:val="00916ADB"/>
    <w:rsid w:val="00916C64"/>
    <w:rsid w:val="00916CFD"/>
    <w:rsid w:val="00916E98"/>
    <w:rsid w:val="00916F0A"/>
    <w:rsid w:val="00916F6F"/>
    <w:rsid w:val="00917026"/>
    <w:rsid w:val="0091704E"/>
    <w:rsid w:val="0091705E"/>
    <w:rsid w:val="00917065"/>
    <w:rsid w:val="009170B2"/>
    <w:rsid w:val="0091712F"/>
    <w:rsid w:val="0091715F"/>
    <w:rsid w:val="0091716C"/>
    <w:rsid w:val="009171CC"/>
    <w:rsid w:val="009173C1"/>
    <w:rsid w:val="009173F5"/>
    <w:rsid w:val="00917441"/>
    <w:rsid w:val="0091747E"/>
    <w:rsid w:val="0091755E"/>
    <w:rsid w:val="00917654"/>
    <w:rsid w:val="0091779C"/>
    <w:rsid w:val="009177AD"/>
    <w:rsid w:val="00917844"/>
    <w:rsid w:val="00917880"/>
    <w:rsid w:val="009179C9"/>
    <w:rsid w:val="009179E9"/>
    <w:rsid w:val="00917AB5"/>
    <w:rsid w:val="00917B13"/>
    <w:rsid w:val="00917B23"/>
    <w:rsid w:val="00917C18"/>
    <w:rsid w:val="00917D20"/>
    <w:rsid w:val="00917ED5"/>
    <w:rsid w:val="00917F84"/>
    <w:rsid w:val="00917FD8"/>
    <w:rsid w:val="00917FF1"/>
    <w:rsid w:val="009193EA"/>
    <w:rsid w:val="00920016"/>
    <w:rsid w:val="0092001F"/>
    <w:rsid w:val="009200FF"/>
    <w:rsid w:val="00920175"/>
    <w:rsid w:val="00920393"/>
    <w:rsid w:val="00920457"/>
    <w:rsid w:val="00920513"/>
    <w:rsid w:val="009205B6"/>
    <w:rsid w:val="009206D5"/>
    <w:rsid w:val="00920761"/>
    <w:rsid w:val="00920774"/>
    <w:rsid w:val="009207E7"/>
    <w:rsid w:val="009207F8"/>
    <w:rsid w:val="00920816"/>
    <w:rsid w:val="00920839"/>
    <w:rsid w:val="0092083E"/>
    <w:rsid w:val="0092089A"/>
    <w:rsid w:val="009208D1"/>
    <w:rsid w:val="009208DF"/>
    <w:rsid w:val="009208E0"/>
    <w:rsid w:val="0092090C"/>
    <w:rsid w:val="0092094C"/>
    <w:rsid w:val="009209BF"/>
    <w:rsid w:val="009209EF"/>
    <w:rsid w:val="00920A32"/>
    <w:rsid w:val="00920A40"/>
    <w:rsid w:val="00920A47"/>
    <w:rsid w:val="00920B1D"/>
    <w:rsid w:val="00920C0C"/>
    <w:rsid w:val="00920CBE"/>
    <w:rsid w:val="00920CE1"/>
    <w:rsid w:val="00920D67"/>
    <w:rsid w:val="00920E25"/>
    <w:rsid w:val="00920EBF"/>
    <w:rsid w:val="00920F11"/>
    <w:rsid w:val="00920FF0"/>
    <w:rsid w:val="009210BB"/>
    <w:rsid w:val="009211C1"/>
    <w:rsid w:val="00921244"/>
    <w:rsid w:val="00921299"/>
    <w:rsid w:val="009212AC"/>
    <w:rsid w:val="00921343"/>
    <w:rsid w:val="0092134A"/>
    <w:rsid w:val="00921406"/>
    <w:rsid w:val="0092140C"/>
    <w:rsid w:val="009214F0"/>
    <w:rsid w:val="00921546"/>
    <w:rsid w:val="009215E5"/>
    <w:rsid w:val="0092165B"/>
    <w:rsid w:val="00921719"/>
    <w:rsid w:val="00921829"/>
    <w:rsid w:val="00921888"/>
    <w:rsid w:val="009218BF"/>
    <w:rsid w:val="009218CA"/>
    <w:rsid w:val="00921994"/>
    <w:rsid w:val="009219BD"/>
    <w:rsid w:val="00921A47"/>
    <w:rsid w:val="00921ADA"/>
    <w:rsid w:val="00921B3C"/>
    <w:rsid w:val="00921B43"/>
    <w:rsid w:val="00921C39"/>
    <w:rsid w:val="00921C4A"/>
    <w:rsid w:val="00921C4F"/>
    <w:rsid w:val="00921C8A"/>
    <w:rsid w:val="00921CB8"/>
    <w:rsid w:val="00921CCB"/>
    <w:rsid w:val="00921CD3"/>
    <w:rsid w:val="00921D7D"/>
    <w:rsid w:val="00921DE0"/>
    <w:rsid w:val="00921F8A"/>
    <w:rsid w:val="00921FBF"/>
    <w:rsid w:val="00922197"/>
    <w:rsid w:val="009221CF"/>
    <w:rsid w:val="009221FF"/>
    <w:rsid w:val="0092226F"/>
    <w:rsid w:val="0092230A"/>
    <w:rsid w:val="0092235B"/>
    <w:rsid w:val="0092235C"/>
    <w:rsid w:val="00922413"/>
    <w:rsid w:val="00922454"/>
    <w:rsid w:val="00922473"/>
    <w:rsid w:val="009224CD"/>
    <w:rsid w:val="00922552"/>
    <w:rsid w:val="009225F3"/>
    <w:rsid w:val="00922658"/>
    <w:rsid w:val="00922671"/>
    <w:rsid w:val="009226BD"/>
    <w:rsid w:val="009226D5"/>
    <w:rsid w:val="0092276D"/>
    <w:rsid w:val="009228AA"/>
    <w:rsid w:val="00922918"/>
    <w:rsid w:val="00922935"/>
    <w:rsid w:val="0092298F"/>
    <w:rsid w:val="009229C1"/>
    <w:rsid w:val="00922A4A"/>
    <w:rsid w:val="00922A57"/>
    <w:rsid w:val="00922AD3"/>
    <w:rsid w:val="00922AF7"/>
    <w:rsid w:val="00922C00"/>
    <w:rsid w:val="00922C2C"/>
    <w:rsid w:val="00922CB0"/>
    <w:rsid w:val="00922D60"/>
    <w:rsid w:val="00922DB3"/>
    <w:rsid w:val="00922DC2"/>
    <w:rsid w:val="00922F45"/>
    <w:rsid w:val="00923023"/>
    <w:rsid w:val="00923046"/>
    <w:rsid w:val="0092309A"/>
    <w:rsid w:val="0092315A"/>
    <w:rsid w:val="00923184"/>
    <w:rsid w:val="009232E0"/>
    <w:rsid w:val="009232EA"/>
    <w:rsid w:val="00923306"/>
    <w:rsid w:val="00923356"/>
    <w:rsid w:val="0092350E"/>
    <w:rsid w:val="00923590"/>
    <w:rsid w:val="009236D0"/>
    <w:rsid w:val="00923715"/>
    <w:rsid w:val="0092383F"/>
    <w:rsid w:val="009238C9"/>
    <w:rsid w:val="009238D7"/>
    <w:rsid w:val="009239A0"/>
    <w:rsid w:val="00923A07"/>
    <w:rsid w:val="00923A0A"/>
    <w:rsid w:val="00923A88"/>
    <w:rsid w:val="00923B96"/>
    <w:rsid w:val="00923BC5"/>
    <w:rsid w:val="00923BE7"/>
    <w:rsid w:val="00923DCF"/>
    <w:rsid w:val="00923E50"/>
    <w:rsid w:val="00923E77"/>
    <w:rsid w:val="00923E8D"/>
    <w:rsid w:val="00923F53"/>
    <w:rsid w:val="00924003"/>
    <w:rsid w:val="0092417E"/>
    <w:rsid w:val="0092423A"/>
    <w:rsid w:val="00924257"/>
    <w:rsid w:val="00924297"/>
    <w:rsid w:val="009242D8"/>
    <w:rsid w:val="009242DC"/>
    <w:rsid w:val="009242E9"/>
    <w:rsid w:val="00924320"/>
    <w:rsid w:val="009243E6"/>
    <w:rsid w:val="00924408"/>
    <w:rsid w:val="0092442A"/>
    <w:rsid w:val="00924433"/>
    <w:rsid w:val="0092446E"/>
    <w:rsid w:val="0092447C"/>
    <w:rsid w:val="009244B7"/>
    <w:rsid w:val="009245D1"/>
    <w:rsid w:val="009245EE"/>
    <w:rsid w:val="00924601"/>
    <w:rsid w:val="009246C8"/>
    <w:rsid w:val="009246DA"/>
    <w:rsid w:val="009248AB"/>
    <w:rsid w:val="009249D3"/>
    <w:rsid w:val="00924A35"/>
    <w:rsid w:val="00924A7C"/>
    <w:rsid w:val="00924A95"/>
    <w:rsid w:val="00924ADD"/>
    <w:rsid w:val="00924AEF"/>
    <w:rsid w:val="00924BB7"/>
    <w:rsid w:val="00924BD0"/>
    <w:rsid w:val="00924C07"/>
    <w:rsid w:val="00924CD7"/>
    <w:rsid w:val="00924CED"/>
    <w:rsid w:val="00924D2F"/>
    <w:rsid w:val="00924D90"/>
    <w:rsid w:val="00924DDB"/>
    <w:rsid w:val="00924E43"/>
    <w:rsid w:val="00924E9F"/>
    <w:rsid w:val="00924EC5"/>
    <w:rsid w:val="00924F0F"/>
    <w:rsid w:val="00924FE8"/>
    <w:rsid w:val="00925003"/>
    <w:rsid w:val="00925041"/>
    <w:rsid w:val="00925184"/>
    <w:rsid w:val="009251A4"/>
    <w:rsid w:val="009251DE"/>
    <w:rsid w:val="009252AA"/>
    <w:rsid w:val="009252C6"/>
    <w:rsid w:val="009252E4"/>
    <w:rsid w:val="00925327"/>
    <w:rsid w:val="00925329"/>
    <w:rsid w:val="0092536A"/>
    <w:rsid w:val="009253BC"/>
    <w:rsid w:val="009254B7"/>
    <w:rsid w:val="00925568"/>
    <w:rsid w:val="009255A2"/>
    <w:rsid w:val="009255BF"/>
    <w:rsid w:val="009255F0"/>
    <w:rsid w:val="00925666"/>
    <w:rsid w:val="0092566C"/>
    <w:rsid w:val="00925782"/>
    <w:rsid w:val="009257ED"/>
    <w:rsid w:val="009258A1"/>
    <w:rsid w:val="00925940"/>
    <w:rsid w:val="00925949"/>
    <w:rsid w:val="00925AAF"/>
    <w:rsid w:val="00925ADE"/>
    <w:rsid w:val="00925BC6"/>
    <w:rsid w:val="00925BDE"/>
    <w:rsid w:val="00925BFC"/>
    <w:rsid w:val="00925C09"/>
    <w:rsid w:val="00925C2B"/>
    <w:rsid w:val="00925C32"/>
    <w:rsid w:val="00925D24"/>
    <w:rsid w:val="00925D57"/>
    <w:rsid w:val="00925EC9"/>
    <w:rsid w:val="00925FC3"/>
    <w:rsid w:val="0092607E"/>
    <w:rsid w:val="0092615B"/>
    <w:rsid w:val="00926174"/>
    <w:rsid w:val="0092617C"/>
    <w:rsid w:val="0092626C"/>
    <w:rsid w:val="009262A2"/>
    <w:rsid w:val="009262B2"/>
    <w:rsid w:val="009262B6"/>
    <w:rsid w:val="009262FD"/>
    <w:rsid w:val="0092633C"/>
    <w:rsid w:val="009263F1"/>
    <w:rsid w:val="009263F3"/>
    <w:rsid w:val="0092642C"/>
    <w:rsid w:val="0092643A"/>
    <w:rsid w:val="00926442"/>
    <w:rsid w:val="009264A4"/>
    <w:rsid w:val="0092650E"/>
    <w:rsid w:val="00926550"/>
    <w:rsid w:val="009265CD"/>
    <w:rsid w:val="00926602"/>
    <w:rsid w:val="009267D6"/>
    <w:rsid w:val="009267FF"/>
    <w:rsid w:val="00926810"/>
    <w:rsid w:val="0092694D"/>
    <w:rsid w:val="009269AE"/>
    <w:rsid w:val="00926A42"/>
    <w:rsid w:val="00926A4E"/>
    <w:rsid w:val="00926AB3"/>
    <w:rsid w:val="00926B0E"/>
    <w:rsid w:val="00926B71"/>
    <w:rsid w:val="00926C7E"/>
    <w:rsid w:val="00926CE9"/>
    <w:rsid w:val="00926DC7"/>
    <w:rsid w:val="00926DCC"/>
    <w:rsid w:val="00926F29"/>
    <w:rsid w:val="00926F7F"/>
    <w:rsid w:val="00926F8B"/>
    <w:rsid w:val="00926F98"/>
    <w:rsid w:val="00926FCB"/>
    <w:rsid w:val="009270F3"/>
    <w:rsid w:val="009270F9"/>
    <w:rsid w:val="00927150"/>
    <w:rsid w:val="009271D5"/>
    <w:rsid w:val="009271E4"/>
    <w:rsid w:val="009271E5"/>
    <w:rsid w:val="0092722B"/>
    <w:rsid w:val="009272DF"/>
    <w:rsid w:val="009272ED"/>
    <w:rsid w:val="009272FF"/>
    <w:rsid w:val="0092731D"/>
    <w:rsid w:val="00927377"/>
    <w:rsid w:val="009273B6"/>
    <w:rsid w:val="009273CD"/>
    <w:rsid w:val="009273F1"/>
    <w:rsid w:val="00927438"/>
    <w:rsid w:val="00927477"/>
    <w:rsid w:val="009274F7"/>
    <w:rsid w:val="0092758C"/>
    <w:rsid w:val="009275FF"/>
    <w:rsid w:val="00927673"/>
    <w:rsid w:val="0092789E"/>
    <w:rsid w:val="00927914"/>
    <w:rsid w:val="009279D1"/>
    <w:rsid w:val="00927B2B"/>
    <w:rsid w:val="00927BEF"/>
    <w:rsid w:val="00927C03"/>
    <w:rsid w:val="00927C0B"/>
    <w:rsid w:val="00927C6A"/>
    <w:rsid w:val="00927C6B"/>
    <w:rsid w:val="00927C9B"/>
    <w:rsid w:val="00927D04"/>
    <w:rsid w:val="00927D9C"/>
    <w:rsid w:val="00927E1E"/>
    <w:rsid w:val="00927E7D"/>
    <w:rsid w:val="00927F26"/>
    <w:rsid w:val="00927F28"/>
    <w:rsid w:val="00927FAF"/>
    <w:rsid w:val="00927FE2"/>
    <w:rsid w:val="0093002D"/>
    <w:rsid w:val="009300D4"/>
    <w:rsid w:val="009301AC"/>
    <w:rsid w:val="009301BA"/>
    <w:rsid w:val="009301BB"/>
    <w:rsid w:val="009302F5"/>
    <w:rsid w:val="00930316"/>
    <w:rsid w:val="00930368"/>
    <w:rsid w:val="00930481"/>
    <w:rsid w:val="00930548"/>
    <w:rsid w:val="0093060F"/>
    <w:rsid w:val="00930807"/>
    <w:rsid w:val="00930950"/>
    <w:rsid w:val="00930A3A"/>
    <w:rsid w:val="00930A54"/>
    <w:rsid w:val="00930B17"/>
    <w:rsid w:val="00930C2D"/>
    <w:rsid w:val="00930C7D"/>
    <w:rsid w:val="00930C81"/>
    <w:rsid w:val="00930CD0"/>
    <w:rsid w:val="00930D0D"/>
    <w:rsid w:val="00930D95"/>
    <w:rsid w:val="00930F52"/>
    <w:rsid w:val="00930F83"/>
    <w:rsid w:val="00930FF3"/>
    <w:rsid w:val="00931004"/>
    <w:rsid w:val="00931040"/>
    <w:rsid w:val="00931057"/>
    <w:rsid w:val="009310FC"/>
    <w:rsid w:val="00931181"/>
    <w:rsid w:val="00931190"/>
    <w:rsid w:val="00931195"/>
    <w:rsid w:val="009311DF"/>
    <w:rsid w:val="00931204"/>
    <w:rsid w:val="00931221"/>
    <w:rsid w:val="0093125A"/>
    <w:rsid w:val="00931290"/>
    <w:rsid w:val="009312CC"/>
    <w:rsid w:val="0093133D"/>
    <w:rsid w:val="009314FE"/>
    <w:rsid w:val="009315D8"/>
    <w:rsid w:val="0093163D"/>
    <w:rsid w:val="00931644"/>
    <w:rsid w:val="00931670"/>
    <w:rsid w:val="009316AA"/>
    <w:rsid w:val="009316EA"/>
    <w:rsid w:val="009317AF"/>
    <w:rsid w:val="009318D1"/>
    <w:rsid w:val="009318E1"/>
    <w:rsid w:val="009319A4"/>
    <w:rsid w:val="009319B9"/>
    <w:rsid w:val="00931A23"/>
    <w:rsid w:val="00931A50"/>
    <w:rsid w:val="00931AFE"/>
    <w:rsid w:val="00931B9C"/>
    <w:rsid w:val="00931C4D"/>
    <w:rsid w:val="00931C50"/>
    <w:rsid w:val="00931C7B"/>
    <w:rsid w:val="00931C87"/>
    <w:rsid w:val="00931C8A"/>
    <w:rsid w:val="00931CAF"/>
    <w:rsid w:val="00931CE4"/>
    <w:rsid w:val="00931CE9"/>
    <w:rsid w:val="00931D3F"/>
    <w:rsid w:val="00931E5A"/>
    <w:rsid w:val="00931E9C"/>
    <w:rsid w:val="00931F8D"/>
    <w:rsid w:val="00932042"/>
    <w:rsid w:val="00932109"/>
    <w:rsid w:val="0093216A"/>
    <w:rsid w:val="00932183"/>
    <w:rsid w:val="009321B7"/>
    <w:rsid w:val="009322AE"/>
    <w:rsid w:val="009322FA"/>
    <w:rsid w:val="0093236B"/>
    <w:rsid w:val="00932397"/>
    <w:rsid w:val="009323DB"/>
    <w:rsid w:val="00932432"/>
    <w:rsid w:val="009324A0"/>
    <w:rsid w:val="00932575"/>
    <w:rsid w:val="0093269B"/>
    <w:rsid w:val="009326FE"/>
    <w:rsid w:val="00932752"/>
    <w:rsid w:val="009327F5"/>
    <w:rsid w:val="00932847"/>
    <w:rsid w:val="009328E6"/>
    <w:rsid w:val="0093296B"/>
    <w:rsid w:val="009329E9"/>
    <w:rsid w:val="00932A0A"/>
    <w:rsid w:val="00932AFA"/>
    <w:rsid w:val="00932B5A"/>
    <w:rsid w:val="00932BA3"/>
    <w:rsid w:val="00932BAD"/>
    <w:rsid w:val="00932BFA"/>
    <w:rsid w:val="00932C5D"/>
    <w:rsid w:val="00932CB1"/>
    <w:rsid w:val="00932CCC"/>
    <w:rsid w:val="00932EF0"/>
    <w:rsid w:val="00932FD0"/>
    <w:rsid w:val="00932FD4"/>
    <w:rsid w:val="00932FF1"/>
    <w:rsid w:val="00933090"/>
    <w:rsid w:val="00933349"/>
    <w:rsid w:val="0093346A"/>
    <w:rsid w:val="00933489"/>
    <w:rsid w:val="009334FB"/>
    <w:rsid w:val="0093353A"/>
    <w:rsid w:val="009335D0"/>
    <w:rsid w:val="0093361A"/>
    <w:rsid w:val="0093377A"/>
    <w:rsid w:val="009337B8"/>
    <w:rsid w:val="009337D4"/>
    <w:rsid w:val="00933860"/>
    <w:rsid w:val="009338E7"/>
    <w:rsid w:val="0093391B"/>
    <w:rsid w:val="0093395F"/>
    <w:rsid w:val="00933A68"/>
    <w:rsid w:val="00933AC4"/>
    <w:rsid w:val="00933AEA"/>
    <w:rsid w:val="00933AF4"/>
    <w:rsid w:val="00933BA0"/>
    <w:rsid w:val="00933C73"/>
    <w:rsid w:val="00933CDC"/>
    <w:rsid w:val="00933E06"/>
    <w:rsid w:val="00933EC1"/>
    <w:rsid w:val="00933EE1"/>
    <w:rsid w:val="00933F49"/>
    <w:rsid w:val="00933F52"/>
    <w:rsid w:val="00934015"/>
    <w:rsid w:val="00934019"/>
    <w:rsid w:val="0093405B"/>
    <w:rsid w:val="0093410B"/>
    <w:rsid w:val="00934173"/>
    <w:rsid w:val="009341AA"/>
    <w:rsid w:val="009341EB"/>
    <w:rsid w:val="0093422C"/>
    <w:rsid w:val="0093423C"/>
    <w:rsid w:val="009342B3"/>
    <w:rsid w:val="009342DF"/>
    <w:rsid w:val="00934394"/>
    <w:rsid w:val="009343BE"/>
    <w:rsid w:val="009343E4"/>
    <w:rsid w:val="00934425"/>
    <w:rsid w:val="0093442C"/>
    <w:rsid w:val="00934493"/>
    <w:rsid w:val="009344BB"/>
    <w:rsid w:val="009345AA"/>
    <w:rsid w:val="009345B9"/>
    <w:rsid w:val="009347F0"/>
    <w:rsid w:val="009348DB"/>
    <w:rsid w:val="009348FB"/>
    <w:rsid w:val="00934959"/>
    <w:rsid w:val="00934A1C"/>
    <w:rsid w:val="00934AFB"/>
    <w:rsid w:val="00934B11"/>
    <w:rsid w:val="00934B22"/>
    <w:rsid w:val="00934B8A"/>
    <w:rsid w:val="00934B9F"/>
    <w:rsid w:val="00934BAD"/>
    <w:rsid w:val="00934BC4"/>
    <w:rsid w:val="00934BFB"/>
    <w:rsid w:val="00934C26"/>
    <w:rsid w:val="00934C55"/>
    <w:rsid w:val="00934C59"/>
    <w:rsid w:val="00934C94"/>
    <w:rsid w:val="00934CA3"/>
    <w:rsid w:val="00934CB3"/>
    <w:rsid w:val="00934DF5"/>
    <w:rsid w:val="00934E7B"/>
    <w:rsid w:val="00934F3C"/>
    <w:rsid w:val="00934F82"/>
    <w:rsid w:val="00934F85"/>
    <w:rsid w:val="00934FDC"/>
    <w:rsid w:val="0093506A"/>
    <w:rsid w:val="009350AD"/>
    <w:rsid w:val="009351A0"/>
    <w:rsid w:val="0093535E"/>
    <w:rsid w:val="0093553C"/>
    <w:rsid w:val="0093555A"/>
    <w:rsid w:val="00935578"/>
    <w:rsid w:val="009355C6"/>
    <w:rsid w:val="009355CE"/>
    <w:rsid w:val="00935630"/>
    <w:rsid w:val="00935660"/>
    <w:rsid w:val="009357BA"/>
    <w:rsid w:val="009357DA"/>
    <w:rsid w:val="009358C3"/>
    <w:rsid w:val="00935990"/>
    <w:rsid w:val="00935995"/>
    <w:rsid w:val="00935A89"/>
    <w:rsid w:val="00935AB3"/>
    <w:rsid w:val="00935B8B"/>
    <w:rsid w:val="00935BF9"/>
    <w:rsid w:val="00935C52"/>
    <w:rsid w:val="00935C5C"/>
    <w:rsid w:val="00935C90"/>
    <w:rsid w:val="00935C9C"/>
    <w:rsid w:val="00935D65"/>
    <w:rsid w:val="00935DE1"/>
    <w:rsid w:val="00935E6D"/>
    <w:rsid w:val="00935EE0"/>
    <w:rsid w:val="00935F8E"/>
    <w:rsid w:val="00935FA4"/>
    <w:rsid w:val="00936025"/>
    <w:rsid w:val="00936077"/>
    <w:rsid w:val="009360AC"/>
    <w:rsid w:val="0093612A"/>
    <w:rsid w:val="00936299"/>
    <w:rsid w:val="009362E8"/>
    <w:rsid w:val="0093638D"/>
    <w:rsid w:val="009363F7"/>
    <w:rsid w:val="0093641A"/>
    <w:rsid w:val="00936429"/>
    <w:rsid w:val="0093667A"/>
    <w:rsid w:val="009366FE"/>
    <w:rsid w:val="0093676F"/>
    <w:rsid w:val="009367DC"/>
    <w:rsid w:val="00936824"/>
    <w:rsid w:val="009368D1"/>
    <w:rsid w:val="009368ED"/>
    <w:rsid w:val="00936952"/>
    <w:rsid w:val="00936A00"/>
    <w:rsid w:val="00936A37"/>
    <w:rsid w:val="00936A88"/>
    <w:rsid w:val="00936AD7"/>
    <w:rsid w:val="00936B66"/>
    <w:rsid w:val="00936B8C"/>
    <w:rsid w:val="00936C33"/>
    <w:rsid w:val="00936D8C"/>
    <w:rsid w:val="00936DE8"/>
    <w:rsid w:val="00936E1C"/>
    <w:rsid w:val="00936EDC"/>
    <w:rsid w:val="00936F65"/>
    <w:rsid w:val="00936F6C"/>
    <w:rsid w:val="00936F8C"/>
    <w:rsid w:val="00936FCC"/>
    <w:rsid w:val="00937058"/>
    <w:rsid w:val="009370BA"/>
    <w:rsid w:val="0093712F"/>
    <w:rsid w:val="00937156"/>
    <w:rsid w:val="009371AB"/>
    <w:rsid w:val="0093722B"/>
    <w:rsid w:val="00937377"/>
    <w:rsid w:val="009373E8"/>
    <w:rsid w:val="009374D1"/>
    <w:rsid w:val="0093755F"/>
    <w:rsid w:val="00937644"/>
    <w:rsid w:val="00937645"/>
    <w:rsid w:val="00937718"/>
    <w:rsid w:val="00937815"/>
    <w:rsid w:val="00937858"/>
    <w:rsid w:val="00937905"/>
    <w:rsid w:val="00937914"/>
    <w:rsid w:val="0093791B"/>
    <w:rsid w:val="0093799F"/>
    <w:rsid w:val="00937B3F"/>
    <w:rsid w:val="00937B4D"/>
    <w:rsid w:val="00937BA7"/>
    <w:rsid w:val="00937BC3"/>
    <w:rsid w:val="00937BC9"/>
    <w:rsid w:val="00937C3D"/>
    <w:rsid w:val="00937C72"/>
    <w:rsid w:val="00937D93"/>
    <w:rsid w:val="00937E50"/>
    <w:rsid w:val="00937E58"/>
    <w:rsid w:val="00937E8A"/>
    <w:rsid w:val="00937EAB"/>
    <w:rsid w:val="00937EAC"/>
    <w:rsid w:val="00937F9D"/>
    <w:rsid w:val="0094005F"/>
    <w:rsid w:val="0094013E"/>
    <w:rsid w:val="009402B9"/>
    <w:rsid w:val="009402DB"/>
    <w:rsid w:val="009402E6"/>
    <w:rsid w:val="00940323"/>
    <w:rsid w:val="00940346"/>
    <w:rsid w:val="0094039D"/>
    <w:rsid w:val="00940561"/>
    <w:rsid w:val="00940613"/>
    <w:rsid w:val="009406FA"/>
    <w:rsid w:val="00940755"/>
    <w:rsid w:val="009407B6"/>
    <w:rsid w:val="009407E1"/>
    <w:rsid w:val="00940840"/>
    <w:rsid w:val="0094085C"/>
    <w:rsid w:val="009408C2"/>
    <w:rsid w:val="00940930"/>
    <w:rsid w:val="009409E2"/>
    <w:rsid w:val="00940A4C"/>
    <w:rsid w:val="00940A95"/>
    <w:rsid w:val="00940B57"/>
    <w:rsid w:val="00940C09"/>
    <w:rsid w:val="00940CC5"/>
    <w:rsid w:val="00940D6B"/>
    <w:rsid w:val="00940DE2"/>
    <w:rsid w:val="00940F7B"/>
    <w:rsid w:val="00940FD8"/>
    <w:rsid w:val="00941037"/>
    <w:rsid w:val="0094105E"/>
    <w:rsid w:val="0094112B"/>
    <w:rsid w:val="0094114C"/>
    <w:rsid w:val="009411B9"/>
    <w:rsid w:val="0094125F"/>
    <w:rsid w:val="009412EE"/>
    <w:rsid w:val="009412F8"/>
    <w:rsid w:val="0094132F"/>
    <w:rsid w:val="00941362"/>
    <w:rsid w:val="009413C1"/>
    <w:rsid w:val="009413DF"/>
    <w:rsid w:val="009414DD"/>
    <w:rsid w:val="009414EA"/>
    <w:rsid w:val="00941501"/>
    <w:rsid w:val="00941543"/>
    <w:rsid w:val="0094155C"/>
    <w:rsid w:val="0094156F"/>
    <w:rsid w:val="009416B2"/>
    <w:rsid w:val="00941779"/>
    <w:rsid w:val="009418C9"/>
    <w:rsid w:val="00941976"/>
    <w:rsid w:val="009419CC"/>
    <w:rsid w:val="00941A44"/>
    <w:rsid w:val="00941A46"/>
    <w:rsid w:val="00941AA4"/>
    <w:rsid w:val="00941AED"/>
    <w:rsid w:val="00941BCF"/>
    <w:rsid w:val="00941C00"/>
    <w:rsid w:val="00941C35"/>
    <w:rsid w:val="00941C58"/>
    <w:rsid w:val="00941C5D"/>
    <w:rsid w:val="00941CBA"/>
    <w:rsid w:val="00941CFA"/>
    <w:rsid w:val="00941D52"/>
    <w:rsid w:val="00941D7A"/>
    <w:rsid w:val="00941D95"/>
    <w:rsid w:val="00941E2B"/>
    <w:rsid w:val="00941E94"/>
    <w:rsid w:val="00941EA5"/>
    <w:rsid w:val="00941F17"/>
    <w:rsid w:val="00942058"/>
    <w:rsid w:val="009420A0"/>
    <w:rsid w:val="009420E2"/>
    <w:rsid w:val="009421D2"/>
    <w:rsid w:val="00942304"/>
    <w:rsid w:val="00942357"/>
    <w:rsid w:val="009423B4"/>
    <w:rsid w:val="0094241B"/>
    <w:rsid w:val="0094258A"/>
    <w:rsid w:val="00942664"/>
    <w:rsid w:val="00942680"/>
    <w:rsid w:val="00942813"/>
    <w:rsid w:val="0094289D"/>
    <w:rsid w:val="00942956"/>
    <w:rsid w:val="00942AAC"/>
    <w:rsid w:val="00942AB0"/>
    <w:rsid w:val="00942AEE"/>
    <w:rsid w:val="00942B3E"/>
    <w:rsid w:val="00942B75"/>
    <w:rsid w:val="00942BA7"/>
    <w:rsid w:val="00942C65"/>
    <w:rsid w:val="00942C97"/>
    <w:rsid w:val="00942E4B"/>
    <w:rsid w:val="00942E5F"/>
    <w:rsid w:val="00942ECB"/>
    <w:rsid w:val="00942EF9"/>
    <w:rsid w:val="00942F78"/>
    <w:rsid w:val="00942FA1"/>
    <w:rsid w:val="00943055"/>
    <w:rsid w:val="009430DC"/>
    <w:rsid w:val="00943154"/>
    <w:rsid w:val="009431D3"/>
    <w:rsid w:val="00943227"/>
    <w:rsid w:val="009432E6"/>
    <w:rsid w:val="0094335E"/>
    <w:rsid w:val="0094355A"/>
    <w:rsid w:val="00943561"/>
    <w:rsid w:val="009435E9"/>
    <w:rsid w:val="0094364C"/>
    <w:rsid w:val="00943667"/>
    <w:rsid w:val="009436DB"/>
    <w:rsid w:val="0094381E"/>
    <w:rsid w:val="00943864"/>
    <w:rsid w:val="009438CB"/>
    <w:rsid w:val="009438DE"/>
    <w:rsid w:val="009438FC"/>
    <w:rsid w:val="009439F9"/>
    <w:rsid w:val="00943AF1"/>
    <w:rsid w:val="00943B75"/>
    <w:rsid w:val="00943B8A"/>
    <w:rsid w:val="00943BA6"/>
    <w:rsid w:val="00943C25"/>
    <w:rsid w:val="00943CF6"/>
    <w:rsid w:val="00943D28"/>
    <w:rsid w:val="00943D52"/>
    <w:rsid w:val="00943DAD"/>
    <w:rsid w:val="00943E66"/>
    <w:rsid w:val="00943E7C"/>
    <w:rsid w:val="00943E8C"/>
    <w:rsid w:val="00943EFF"/>
    <w:rsid w:val="00943F09"/>
    <w:rsid w:val="00943F56"/>
    <w:rsid w:val="00943F8E"/>
    <w:rsid w:val="00943FD2"/>
    <w:rsid w:val="00944241"/>
    <w:rsid w:val="00944302"/>
    <w:rsid w:val="00944305"/>
    <w:rsid w:val="009443A3"/>
    <w:rsid w:val="0094440F"/>
    <w:rsid w:val="00944509"/>
    <w:rsid w:val="00944510"/>
    <w:rsid w:val="00944542"/>
    <w:rsid w:val="009445A0"/>
    <w:rsid w:val="00944613"/>
    <w:rsid w:val="00944690"/>
    <w:rsid w:val="0094471F"/>
    <w:rsid w:val="0094475F"/>
    <w:rsid w:val="009447AF"/>
    <w:rsid w:val="009447F8"/>
    <w:rsid w:val="00944917"/>
    <w:rsid w:val="0094492F"/>
    <w:rsid w:val="0094496D"/>
    <w:rsid w:val="0094499D"/>
    <w:rsid w:val="009449B4"/>
    <w:rsid w:val="00944B25"/>
    <w:rsid w:val="00944B4F"/>
    <w:rsid w:val="00944C0A"/>
    <w:rsid w:val="00944D9F"/>
    <w:rsid w:val="00944DAB"/>
    <w:rsid w:val="00944DC3"/>
    <w:rsid w:val="00944E13"/>
    <w:rsid w:val="00944E41"/>
    <w:rsid w:val="00944E73"/>
    <w:rsid w:val="00944F38"/>
    <w:rsid w:val="00944F9E"/>
    <w:rsid w:val="00945003"/>
    <w:rsid w:val="0094516F"/>
    <w:rsid w:val="009452D9"/>
    <w:rsid w:val="009452E6"/>
    <w:rsid w:val="00945387"/>
    <w:rsid w:val="009453DD"/>
    <w:rsid w:val="009453EB"/>
    <w:rsid w:val="0094540D"/>
    <w:rsid w:val="00945425"/>
    <w:rsid w:val="00945473"/>
    <w:rsid w:val="009454F0"/>
    <w:rsid w:val="00945528"/>
    <w:rsid w:val="00945552"/>
    <w:rsid w:val="00945558"/>
    <w:rsid w:val="00945588"/>
    <w:rsid w:val="00945657"/>
    <w:rsid w:val="009456A5"/>
    <w:rsid w:val="009456E0"/>
    <w:rsid w:val="009456E4"/>
    <w:rsid w:val="009456E5"/>
    <w:rsid w:val="00945734"/>
    <w:rsid w:val="00945741"/>
    <w:rsid w:val="009457C7"/>
    <w:rsid w:val="009457F6"/>
    <w:rsid w:val="00945868"/>
    <w:rsid w:val="0094593F"/>
    <w:rsid w:val="00945977"/>
    <w:rsid w:val="00945991"/>
    <w:rsid w:val="009459F7"/>
    <w:rsid w:val="00945A9F"/>
    <w:rsid w:val="00945C15"/>
    <w:rsid w:val="00945C18"/>
    <w:rsid w:val="00945C1D"/>
    <w:rsid w:val="00945C97"/>
    <w:rsid w:val="00945CA3"/>
    <w:rsid w:val="00945D54"/>
    <w:rsid w:val="00945D61"/>
    <w:rsid w:val="00945D7C"/>
    <w:rsid w:val="00945D90"/>
    <w:rsid w:val="00945DC8"/>
    <w:rsid w:val="00945DCD"/>
    <w:rsid w:val="00945E95"/>
    <w:rsid w:val="00945EA3"/>
    <w:rsid w:val="00945F71"/>
    <w:rsid w:val="0094600B"/>
    <w:rsid w:val="0094602E"/>
    <w:rsid w:val="0094609F"/>
    <w:rsid w:val="009460FB"/>
    <w:rsid w:val="00946156"/>
    <w:rsid w:val="00946273"/>
    <w:rsid w:val="00946370"/>
    <w:rsid w:val="009463C9"/>
    <w:rsid w:val="00946417"/>
    <w:rsid w:val="009464E9"/>
    <w:rsid w:val="009465BC"/>
    <w:rsid w:val="009465F4"/>
    <w:rsid w:val="00946675"/>
    <w:rsid w:val="009466D0"/>
    <w:rsid w:val="009466FB"/>
    <w:rsid w:val="00946796"/>
    <w:rsid w:val="009467DD"/>
    <w:rsid w:val="0094680E"/>
    <w:rsid w:val="0094681C"/>
    <w:rsid w:val="0094685C"/>
    <w:rsid w:val="0094689A"/>
    <w:rsid w:val="00946975"/>
    <w:rsid w:val="00946A21"/>
    <w:rsid w:val="00946A95"/>
    <w:rsid w:val="00946AA3"/>
    <w:rsid w:val="00946AEB"/>
    <w:rsid w:val="00946BC7"/>
    <w:rsid w:val="00946C1A"/>
    <w:rsid w:val="00946C46"/>
    <w:rsid w:val="00946C7E"/>
    <w:rsid w:val="00946CAC"/>
    <w:rsid w:val="00946D1E"/>
    <w:rsid w:val="00946D3A"/>
    <w:rsid w:val="00946D49"/>
    <w:rsid w:val="00946D66"/>
    <w:rsid w:val="00946E50"/>
    <w:rsid w:val="00946EB5"/>
    <w:rsid w:val="00946EE5"/>
    <w:rsid w:val="00946F4D"/>
    <w:rsid w:val="00946FB9"/>
    <w:rsid w:val="00946FCF"/>
    <w:rsid w:val="00946FE4"/>
    <w:rsid w:val="0094710D"/>
    <w:rsid w:val="0094715F"/>
    <w:rsid w:val="0094716D"/>
    <w:rsid w:val="00947176"/>
    <w:rsid w:val="009471BD"/>
    <w:rsid w:val="009473AA"/>
    <w:rsid w:val="00947414"/>
    <w:rsid w:val="0094744F"/>
    <w:rsid w:val="0094749F"/>
    <w:rsid w:val="0094751F"/>
    <w:rsid w:val="00947521"/>
    <w:rsid w:val="0094762D"/>
    <w:rsid w:val="0094774F"/>
    <w:rsid w:val="00947771"/>
    <w:rsid w:val="0094779C"/>
    <w:rsid w:val="009477CE"/>
    <w:rsid w:val="00947809"/>
    <w:rsid w:val="00947944"/>
    <w:rsid w:val="00947978"/>
    <w:rsid w:val="009479E2"/>
    <w:rsid w:val="00947A16"/>
    <w:rsid w:val="00947A25"/>
    <w:rsid w:val="00947A68"/>
    <w:rsid w:val="00947B79"/>
    <w:rsid w:val="00947BE7"/>
    <w:rsid w:val="00947C69"/>
    <w:rsid w:val="00947D2F"/>
    <w:rsid w:val="00947D88"/>
    <w:rsid w:val="00947DFC"/>
    <w:rsid w:val="00947E08"/>
    <w:rsid w:val="00947E7E"/>
    <w:rsid w:val="00947E83"/>
    <w:rsid w:val="00947E91"/>
    <w:rsid w:val="00947F88"/>
    <w:rsid w:val="00947F8C"/>
    <w:rsid w:val="0094DB50"/>
    <w:rsid w:val="00950016"/>
    <w:rsid w:val="0095001B"/>
    <w:rsid w:val="009500D6"/>
    <w:rsid w:val="00950163"/>
    <w:rsid w:val="00950188"/>
    <w:rsid w:val="009501F7"/>
    <w:rsid w:val="00950284"/>
    <w:rsid w:val="00950377"/>
    <w:rsid w:val="009503B0"/>
    <w:rsid w:val="00950471"/>
    <w:rsid w:val="0095049E"/>
    <w:rsid w:val="00950523"/>
    <w:rsid w:val="00950529"/>
    <w:rsid w:val="00950535"/>
    <w:rsid w:val="00950573"/>
    <w:rsid w:val="00950599"/>
    <w:rsid w:val="009505E1"/>
    <w:rsid w:val="00950637"/>
    <w:rsid w:val="00950658"/>
    <w:rsid w:val="00950660"/>
    <w:rsid w:val="009506CF"/>
    <w:rsid w:val="009506EA"/>
    <w:rsid w:val="009508B2"/>
    <w:rsid w:val="009508CB"/>
    <w:rsid w:val="0095096D"/>
    <w:rsid w:val="00950A4E"/>
    <w:rsid w:val="00950A61"/>
    <w:rsid w:val="00950A80"/>
    <w:rsid w:val="00950B06"/>
    <w:rsid w:val="00950B12"/>
    <w:rsid w:val="00950B83"/>
    <w:rsid w:val="00950CA2"/>
    <w:rsid w:val="00950DCD"/>
    <w:rsid w:val="00950F03"/>
    <w:rsid w:val="00950F60"/>
    <w:rsid w:val="00950FB6"/>
    <w:rsid w:val="00951022"/>
    <w:rsid w:val="00951058"/>
    <w:rsid w:val="00951073"/>
    <w:rsid w:val="0095110F"/>
    <w:rsid w:val="00951126"/>
    <w:rsid w:val="00951134"/>
    <w:rsid w:val="00951196"/>
    <w:rsid w:val="00951263"/>
    <w:rsid w:val="0095133A"/>
    <w:rsid w:val="00951359"/>
    <w:rsid w:val="009513BC"/>
    <w:rsid w:val="00951484"/>
    <w:rsid w:val="00951527"/>
    <w:rsid w:val="00951565"/>
    <w:rsid w:val="009515E0"/>
    <w:rsid w:val="009515E5"/>
    <w:rsid w:val="009515ED"/>
    <w:rsid w:val="009516B8"/>
    <w:rsid w:val="009516EC"/>
    <w:rsid w:val="0095171A"/>
    <w:rsid w:val="0095177F"/>
    <w:rsid w:val="00951849"/>
    <w:rsid w:val="009518B9"/>
    <w:rsid w:val="0095190E"/>
    <w:rsid w:val="0095193A"/>
    <w:rsid w:val="009519A7"/>
    <w:rsid w:val="009519C0"/>
    <w:rsid w:val="009519CA"/>
    <w:rsid w:val="00951A57"/>
    <w:rsid w:val="00951A66"/>
    <w:rsid w:val="00951AA2"/>
    <w:rsid w:val="00951AB4"/>
    <w:rsid w:val="00951B52"/>
    <w:rsid w:val="00951C33"/>
    <w:rsid w:val="00951DE7"/>
    <w:rsid w:val="00951E02"/>
    <w:rsid w:val="00951E72"/>
    <w:rsid w:val="00951E73"/>
    <w:rsid w:val="00951F4A"/>
    <w:rsid w:val="00951F68"/>
    <w:rsid w:val="00952057"/>
    <w:rsid w:val="0095209A"/>
    <w:rsid w:val="009520F6"/>
    <w:rsid w:val="00952103"/>
    <w:rsid w:val="00952145"/>
    <w:rsid w:val="0095215D"/>
    <w:rsid w:val="00952269"/>
    <w:rsid w:val="00952307"/>
    <w:rsid w:val="00952331"/>
    <w:rsid w:val="00952338"/>
    <w:rsid w:val="00952437"/>
    <w:rsid w:val="0095246A"/>
    <w:rsid w:val="009524D6"/>
    <w:rsid w:val="0095254A"/>
    <w:rsid w:val="009525AA"/>
    <w:rsid w:val="009525F8"/>
    <w:rsid w:val="0095265D"/>
    <w:rsid w:val="009526C4"/>
    <w:rsid w:val="00952741"/>
    <w:rsid w:val="00952843"/>
    <w:rsid w:val="00952877"/>
    <w:rsid w:val="009528A8"/>
    <w:rsid w:val="00952932"/>
    <w:rsid w:val="00952957"/>
    <w:rsid w:val="009529A1"/>
    <w:rsid w:val="00952B43"/>
    <w:rsid w:val="00952B65"/>
    <w:rsid w:val="00952B85"/>
    <w:rsid w:val="00952BA4"/>
    <w:rsid w:val="00952BE1"/>
    <w:rsid w:val="00952C0D"/>
    <w:rsid w:val="00952C24"/>
    <w:rsid w:val="00952D97"/>
    <w:rsid w:val="00952EDB"/>
    <w:rsid w:val="00952F6D"/>
    <w:rsid w:val="00953026"/>
    <w:rsid w:val="009530DA"/>
    <w:rsid w:val="00953125"/>
    <w:rsid w:val="00953149"/>
    <w:rsid w:val="0095315A"/>
    <w:rsid w:val="009531BA"/>
    <w:rsid w:val="009531EB"/>
    <w:rsid w:val="0095331C"/>
    <w:rsid w:val="0095333F"/>
    <w:rsid w:val="00953358"/>
    <w:rsid w:val="00953361"/>
    <w:rsid w:val="0095336E"/>
    <w:rsid w:val="00953393"/>
    <w:rsid w:val="009533A0"/>
    <w:rsid w:val="009533CC"/>
    <w:rsid w:val="009534EE"/>
    <w:rsid w:val="00953598"/>
    <w:rsid w:val="00953803"/>
    <w:rsid w:val="00953875"/>
    <w:rsid w:val="009538FB"/>
    <w:rsid w:val="00953966"/>
    <w:rsid w:val="009539D6"/>
    <w:rsid w:val="00953A92"/>
    <w:rsid w:val="00953B3F"/>
    <w:rsid w:val="00953B4F"/>
    <w:rsid w:val="00953B6B"/>
    <w:rsid w:val="00953C60"/>
    <w:rsid w:val="00953D00"/>
    <w:rsid w:val="00953D50"/>
    <w:rsid w:val="00953D72"/>
    <w:rsid w:val="00953D7B"/>
    <w:rsid w:val="00953DE6"/>
    <w:rsid w:val="00953E65"/>
    <w:rsid w:val="0095401B"/>
    <w:rsid w:val="0095408E"/>
    <w:rsid w:val="009540C4"/>
    <w:rsid w:val="0095413D"/>
    <w:rsid w:val="0095419B"/>
    <w:rsid w:val="009541C0"/>
    <w:rsid w:val="009541F5"/>
    <w:rsid w:val="009541FA"/>
    <w:rsid w:val="009541FE"/>
    <w:rsid w:val="00954299"/>
    <w:rsid w:val="0095429E"/>
    <w:rsid w:val="0095431B"/>
    <w:rsid w:val="0095432A"/>
    <w:rsid w:val="0095432E"/>
    <w:rsid w:val="00954341"/>
    <w:rsid w:val="00954363"/>
    <w:rsid w:val="009543C8"/>
    <w:rsid w:val="00954424"/>
    <w:rsid w:val="00954511"/>
    <w:rsid w:val="0095460C"/>
    <w:rsid w:val="00954685"/>
    <w:rsid w:val="00954697"/>
    <w:rsid w:val="00954756"/>
    <w:rsid w:val="00954763"/>
    <w:rsid w:val="00954784"/>
    <w:rsid w:val="009547F2"/>
    <w:rsid w:val="009548E3"/>
    <w:rsid w:val="009549A3"/>
    <w:rsid w:val="009549D9"/>
    <w:rsid w:val="009549EA"/>
    <w:rsid w:val="00954A46"/>
    <w:rsid w:val="00954A72"/>
    <w:rsid w:val="00954B3F"/>
    <w:rsid w:val="00954BB9"/>
    <w:rsid w:val="00954BF9"/>
    <w:rsid w:val="00954C4C"/>
    <w:rsid w:val="00954CBE"/>
    <w:rsid w:val="00954E02"/>
    <w:rsid w:val="00954E1D"/>
    <w:rsid w:val="00954E93"/>
    <w:rsid w:val="00954EF5"/>
    <w:rsid w:val="00954F00"/>
    <w:rsid w:val="00954F07"/>
    <w:rsid w:val="00955053"/>
    <w:rsid w:val="00955055"/>
    <w:rsid w:val="0095505E"/>
    <w:rsid w:val="009551A7"/>
    <w:rsid w:val="009551AF"/>
    <w:rsid w:val="009552AD"/>
    <w:rsid w:val="009552BD"/>
    <w:rsid w:val="009553F1"/>
    <w:rsid w:val="009553F9"/>
    <w:rsid w:val="00955438"/>
    <w:rsid w:val="0095544A"/>
    <w:rsid w:val="009554BC"/>
    <w:rsid w:val="0095551B"/>
    <w:rsid w:val="00955564"/>
    <w:rsid w:val="0095563C"/>
    <w:rsid w:val="00955686"/>
    <w:rsid w:val="0095568D"/>
    <w:rsid w:val="00955740"/>
    <w:rsid w:val="009558F9"/>
    <w:rsid w:val="00955904"/>
    <w:rsid w:val="00955983"/>
    <w:rsid w:val="009559C6"/>
    <w:rsid w:val="00955B62"/>
    <w:rsid w:val="00955B80"/>
    <w:rsid w:val="00955BE6"/>
    <w:rsid w:val="00955CE9"/>
    <w:rsid w:val="00955E2F"/>
    <w:rsid w:val="00955EC5"/>
    <w:rsid w:val="00955FBB"/>
    <w:rsid w:val="009560A9"/>
    <w:rsid w:val="009560EF"/>
    <w:rsid w:val="00956196"/>
    <w:rsid w:val="009561AB"/>
    <w:rsid w:val="0095624C"/>
    <w:rsid w:val="00956375"/>
    <w:rsid w:val="0095641E"/>
    <w:rsid w:val="0095649F"/>
    <w:rsid w:val="009564E2"/>
    <w:rsid w:val="00956511"/>
    <w:rsid w:val="0095651D"/>
    <w:rsid w:val="00956589"/>
    <w:rsid w:val="0095660C"/>
    <w:rsid w:val="00956689"/>
    <w:rsid w:val="009567D9"/>
    <w:rsid w:val="00956899"/>
    <w:rsid w:val="00956B2A"/>
    <w:rsid w:val="00956CC5"/>
    <w:rsid w:val="00956CE4"/>
    <w:rsid w:val="00956D25"/>
    <w:rsid w:val="00956D57"/>
    <w:rsid w:val="00956D6C"/>
    <w:rsid w:val="00956D82"/>
    <w:rsid w:val="00956D85"/>
    <w:rsid w:val="00956D92"/>
    <w:rsid w:val="00956FCF"/>
    <w:rsid w:val="00957014"/>
    <w:rsid w:val="00957072"/>
    <w:rsid w:val="00957100"/>
    <w:rsid w:val="0095710B"/>
    <w:rsid w:val="00957189"/>
    <w:rsid w:val="009571B9"/>
    <w:rsid w:val="009572AB"/>
    <w:rsid w:val="0095737A"/>
    <w:rsid w:val="009573D3"/>
    <w:rsid w:val="0095743F"/>
    <w:rsid w:val="0095744D"/>
    <w:rsid w:val="009574CE"/>
    <w:rsid w:val="0095757F"/>
    <w:rsid w:val="009576DD"/>
    <w:rsid w:val="0095784B"/>
    <w:rsid w:val="009578BA"/>
    <w:rsid w:val="009578F6"/>
    <w:rsid w:val="00957959"/>
    <w:rsid w:val="00957965"/>
    <w:rsid w:val="00957970"/>
    <w:rsid w:val="00957996"/>
    <w:rsid w:val="00957AEF"/>
    <w:rsid w:val="00957B75"/>
    <w:rsid w:val="00957B87"/>
    <w:rsid w:val="00957B9D"/>
    <w:rsid w:val="00957C2B"/>
    <w:rsid w:val="00957C9C"/>
    <w:rsid w:val="00957D7B"/>
    <w:rsid w:val="00957E8D"/>
    <w:rsid w:val="00957EA9"/>
    <w:rsid w:val="00957F18"/>
    <w:rsid w:val="00957F5D"/>
    <w:rsid w:val="00957F6B"/>
    <w:rsid w:val="00957F6D"/>
    <w:rsid w:val="00957FBC"/>
    <w:rsid w:val="00957FE9"/>
    <w:rsid w:val="0096001B"/>
    <w:rsid w:val="009600A6"/>
    <w:rsid w:val="009600BE"/>
    <w:rsid w:val="009600C7"/>
    <w:rsid w:val="009600DE"/>
    <w:rsid w:val="00960103"/>
    <w:rsid w:val="00960114"/>
    <w:rsid w:val="00960171"/>
    <w:rsid w:val="0096018B"/>
    <w:rsid w:val="009601CE"/>
    <w:rsid w:val="009601FE"/>
    <w:rsid w:val="0096037C"/>
    <w:rsid w:val="00960417"/>
    <w:rsid w:val="009604A3"/>
    <w:rsid w:val="009604A8"/>
    <w:rsid w:val="00960539"/>
    <w:rsid w:val="00960559"/>
    <w:rsid w:val="0096056E"/>
    <w:rsid w:val="009605B8"/>
    <w:rsid w:val="009605FA"/>
    <w:rsid w:val="00960649"/>
    <w:rsid w:val="009606AB"/>
    <w:rsid w:val="0096070B"/>
    <w:rsid w:val="00960720"/>
    <w:rsid w:val="00960730"/>
    <w:rsid w:val="0096084F"/>
    <w:rsid w:val="0096085B"/>
    <w:rsid w:val="009608C4"/>
    <w:rsid w:val="0096098A"/>
    <w:rsid w:val="00960998"/>
    <w:rsid w:val="009609B5"/>
    <w:rsid w:val="009609BB"/>
    <w:rsid w:val="009609EF"/>
    <w:rsid w:val="00960A1C"/>
    <w:rsid w:val="00960B06"/>
    <w:rsid w:val="00960B2B"/>
    <w:rsid w:val="00960BA3"/>
    <w:rsid w:val="00960BF3"/>
    <w:rsid w:val="00960CD3"/>
    <w:rsid w:val="00960D75"/>
    <w:rsid w:val="00960D97"/>
    <w:rsid w:val="00960DEF"/>
    <w:rsid w:val="00960DF6"/>
    <w:rsid w:val="00960E03"/>
    <w:rsid w:val="00960E0C"/>
    <w:rsid w:val="00960E62"/>
    <w:rsid w:val="00960F39"/>
    <w:rsid w:val="00960F66"/>
    <w:rsid w:val="00960FC7"/>
    <w:rsid w:val="0096107B"/>
    <w:rsid w:val="00961092"/>
    <w:rsid w:val="00961097"/>
    <w:rsid w:val="00961173"/>
    <w:rsid w:val="009611FA"/>
    <w:rsid w:val="0096130F"/>
    <w:rsid w:val="00961367"/>
    <w:rsid w:val="009613C3"/>
    <w:rsid w:val="00961410"/>
    <w:rsid w:val="00961485"/>
    <w:rsid w:val="009614A5"/>
    <w:rsid w:val="009614E4"/>
    <w:rsid w:val="00961539"/>
    <w:rsid w:val="00961556"/>
    <w:rsid w:val="00961597"/>
    <w:rsid w:val="00961641"/>
    <w:rsid w:val="00961685"/>
    <w:rsid w:val="00961726"/>
    <w:rsid w:val="00961762"/>
    <w:rsid w:val="009617BB"/>
    <w:rsid w:val="009617DB"/>
    <w:rsid w:val="0096181D"/>
    <w:rsid w:val="009618D2"/>
    <w:rsid w:val="0096197F"/>
    <w:rsid w:val="0096198B"/>
    <w:rsid w:val="009619C5"/>
    <w:rsid w:val="00961A00"/>
    <w:rsid w:val="00961A9A"/>
    <w:rsid w:val="00961B34"/>
    <w:rsid w:val="00961CC0"/>
    <w:rsid w:val="00961CDA"/>
    <w:rsid w:val="00961D03"/>
    <w:rsid w:val="00961D0B"/>
    <w:rsid w:val="00961D62"/>
    <w:rsid w:val="00961D79"/>
    <w:rsid w:val="00961E5D"/>
    <w:rsid w:val="00961EA7"/>
    <w:rsid w:val="00961EAC"/>
    <w:rsid w:val="00961F1A"/>
    <w:rsid w:val="00961FBC"/>
    <w:rsid w:val="00961FDB"/>
    <w:rsid w:val="00962048"/>
    <w:rsid w:val="009620CB"/>
    <w:rsid w:val="009620FD"/>
    <w:rsid w:val="009621ED"/>
    <w:rsid w:val="00962212"/>
    <w:rsid w:val="00962300"/>
    <w:rsid w:val="00962362"/>
    <w:rsid w:val="0096242C"/>
    <w:rsid w:val="00962443"/>
    <w:rsid w:val="00962444"/>
    <w:rsid w:val="009624FC"/>
    <w:rsid w:val="00962645"/>
    <w:rsid w:val="00962664"/>
    <w:rsid w:val="00962669"/>
    <w:rsid w:val="0096266A"/>
    <w:rsid w:val="0096266B"/>
    <w:rsid w:val="009626C8"/>
    <w:rsid w:val="00962758"/>
    <w:rsid w:val="009627C9"/>
    <w:rsid w:val="00962861"/>
    <w:rsid w:val="009628B0"/>
    <w:rsid w:val="009628D5"/>
    <w:rsid w:val="00962940"/>
    <w:rsid w:val="00962949"/>
    <w:rsid w:val="0096295D"/>
    <w:rsid w:val="00962A07"/>
    <w:rsid w:val="00962A0D"/>
    <w:rsid w:val="00962ACB"/>
    <w:rsid w:val="00962B30"/>
    <w:rsid w:val="00962B97"/>
    <w:rsid w:val="00962C34"/>
    <w:rsid w:val="00962C96"/>
    <w:rsid w:val="00962CD6"/>
    <w:rsid w:val="00962D56"/>
    <w:rsid w:val="00962E93"/>
    <w:rsid w:val="00962F57"/>
    <w:rsid w:val="00962F6C"/>
    <w:rsid w:val="00962F93"/>
    <w:rsid w:val="00962F9D"/>
    <w:rsid w:val="00963042"/>
    <w:rsid w:val="009630BE"/>
    <w:rsid w:val="00963137"/>
    <w:rsid w:val="00963259"/>
    <w:rsid w:val="0096327D"/>
    <w:rsid w:val="0096331B"/>
    <w:rsid w:val="0096342B"/>
    <w:rsid w:val="00963431"/>
    <w:rsid w:val="00963438"/>
    <w:rsid w:val="009635FF"/>
    <w:rsid w:val="00963600"/>
    <w:rsid w:val="0096364A"/>
    <w:rsid w:val="0096369D"/>
    <w:rsid w:val="009636BB"/>
    <w:rsid w:val="009636D4"/>
    <w:rsid w:val="00963713"/>
    <w:rsid w:val="0096378C"/>
    <w:rsid w:val="009637AE"/>
    <w:rsid w:val="009637AF"/>
    <w:rsid w:val="009638B3"/>
    <w:rsid w:val="009638DA"/>
    <w:rsid w:val="009638EF"/>
    <w:rsid w:val="00963AB1"/>
    <w:rsid w:val="00963B57"/>
    <w:rsid w:val="00963B9F"/>
    <w:rsid w:val="00963BB6"/>
    <w:rsid w:val="00963C74"/>
    <w:rsid w:val="00963C93"/>
    <w:rsid w:val="00963D1B"/>
    <w:rsid w:val="00963D49"/>
    <w:rsid w:val="00963D4C"/>
    <w:rsid w:val="00963DFD"/>
    <w:rsid w:val="00963E08"/>
    <w:rsid w:val="00963EEC"/>
    <w:rsid w:val="00963F1F"/>
    <w:rsid w:val="00963F4D"/>
    <w:rsid w:val="00963F5A"/>
    <w:rsid w:val="00963FAF"/>
    <w:rsid w:val="009640EF"/>
    <w:rsid w:val="009641D3"/>
    <w:rsid w:val="0096429B"/>
    <w:rsid w:val="009642A3"/>
    <w:rsid w:val="009642AB"/>
    <w:rsid w:val="009642BA"/>
    <w:rsid w:val="009642C2"/>
    <w:rsid w:val="009642DE"/>
    <w:rsid w:val="0096432D"/>
    <w:rsid w:val="00964385"/>
    <w:rsid w:val="0096442C"/>
    <w:rsid w:val="00964440"/>
    <w:rsid w:val="0096450D"/>
    <w:rsid w:val="00964513"/>
    <w:rsid w:val="0096459A"/>
    <w:rsid w:val="009645AF"/>
    <w:rsid w:val="009645EE"/>
    <w:rsid w:val="00964738"/>
    <w:rsid w:val="00964762"/>
    <w:rsid w:val="009647CE"/>
    <w:rsid w:val="0096480A"/>
    <w:rsid w:val="0096481C"/>
    <w:rsid w:val="00964928"/>
    <w:rsid w:val="0096492A"/>
    <w:rsid w:val="0096494F"/>
    <w:rsid w:val="00964A00"/>
    <w:rsid w:val="00964ACD"/>
    <w:rsid w:val="00964AF6"/>
    <w:rsid w:val="00964B6A"/>
    <w:rsid w:val="00964B99"/>
    <w:rsid w:val="00964DD1"/>
    <w:rsid w:val="00964DFC"/>
    <w:rsid w:val="00964E1E"/>
    <w:rsid w:val="00964F13"/>
    <w:rsid w:val="00964F36"/>
    <w:rsid w:val="00964F4B"/>
    <w:rsid w:val="00965018"/>
    <w:rsid w:val="00965128"/>
    <w:rsid w:val="009651BA"/>
    <w:rsid w:val="0096521A"/>
    <w:rsid w:val="0096521F"/>
    <w:rsid w:val="00965283"/>
    <w:rsid w:val="009652B3"/>
    <w:rsid w:val="009653BB"/>
    <w:rsid w:val="009654D5"/>
    <w:rsid w:val="0096563E"/>
    <w:rsid w:val="009656BF"/>
    <w:rsid w:val="00965720"/>
    <w:rsid w:val="0096582C"/>
    <w:rsid w:val="009659A0"/>
    <w:rsid w:val="009659B8"/>
    <w:rsid w:val="00965C24"/>
    <w:rsid w:val="00965C5A"/>
    <w:rsid w:val="00965C7C"/>
    <w:rsid w:val="00965E72"/>
    <w:rsid w:val="00965F12"/>
    <w:rsid w:val="00965F3F"/>
    <w:rsid w:val="00965FBD"/>
    <w:rsid w:val="00965FCE"/>
    <w:rsid w:val="00966001"/>
    <w:rsid w:val="00966019"/>
    <w:rsid w:val="00966035"/>
    <w:rsid w:val="00966044"/>
    <w:rsid w:val="00966052"/>
    <w:rsid w:val="0096616D"/>
    <w:rsid w:val="009661C1"/>
    <w:rsid w:val="00966213"/>
    <w:rsid w:val="00966374"/>
    <w:rsid w:val="0096640A"/>
    <w:rsid w:val="0096640F"/>
    <w:rsid w:val="00966423"/>
    <w:rsid w:val="00966438"/>
    <w:rsid w:val="00966461"/>
    <w:rsid w:val="00966590"/>
    <w:rsid w:val="00966596"/>
    <w:rsid w:val="00966603"/>
    <w:rsid w:val="0096660A"/>
    <w:rsid w:val="00966626"/>
    <w:rsid w:val="0096662A"/>
    <w:rsid w:val="00966698"/>
    <w:rsid w:val="009666D7"/>
    <w:rsid w:val="009666E0"/>
    <w:rsid w:val="009666FB"/>
    <w:rsid w:val="009667A7"/>
    <w:rsid w:val="0096683C"/>
    <w:rsid w:val="009668C0"/>
    <w:rsid w:val="00966902"/>
    <w:rsid w:val="00966932"/>
    <w:rsid w:val="0096697E"/>
    <w:rsid w:val="009669A8"/>
    <w:rsid w:val="00966A88"/>
    <w:rsid w:val="00966A8A"/>
    <w:rsid w:val="00966AAE"/>
    <w:rsid w:val="00966AB5"/>
    <w:rsid w:val="00966B8E"/>
    <w:rsid w:val="00966BBF"/>
    <w:rsid w:val="00966BC1"/>
    <w:rsid w:val="00966BD1"/>
    <w:rsid w:val="00966C1A"/>
    <w:rsid w:val="00966D68"/>
    <w:rsid w:val="00966DB2"/>
    <w:rsid w:val="00966E6D"/>
    <w:rsid w:val="00966EC3"/>
    <w:rsid w:val="00966F1F"/>
    <w:rsid w:val="00966F27"/>
    <w:rsid w:val="00966F79"/>
    <w:rsid w:val="00966FDA"/>
    <w:rsid w:val="0096703D"/>
    <w:rsid w:val="00967074"/>
    <w:rsid w:val="00967089"/>
    <w:rsid w:val="00967109"/>
    <w:rsid w:val="00967157"/>
    <w:rsid w:val="0096718C"/>
    <w:rsid w:val="009671DF"/>
    <w:rsid w:val="00967302"/>
    <w:rsid w:val="00967477"/>
    <w:rsid w:val="009674DE"/>
    <w:rsid w:val="00967573"/>
    <w:rsid w:val="009675D3"/>
    <w:rsid w:val="0096765A"/>
    <w:rsid w:val="00967668"/>
    <w:rsid w:val="0096773F"/>
    <w:rsid w:val="00967765"/>
    <w:rsid w:val="00967773"/>
    <w:rsid w:val="009677B5"/>
    <w:rsid w:val="00967858"/>
    <w:rsid w:val="009678F9"/>
    <w:rsid w:val="00967958"/>
    <w:rsid w:val="0096795B"/>
    <w:rsid w:val="00967A2B"/>
    <w:rsid w:val="00967A95"/>
    <w:rsid w:val="00967B99"/>
    <w:rsid w:val="00967C53"/>
    <w:rsid w:val="00967E68"/>
    <w:rsid w:val="00967EA5"/>
    <w:rsid w:val="00967EAA"/>
    <w:rsid w:val="0097001C"/>
    <w:rsid w:val="00970048"/>
    <w:rsid w:val="00970069"/>
    <w:rsid w:val="009700BE"/>
    <w:rsid w:val="009700C8"/>
    <w:rsid w:val="00970188"/>
    <w:rsid w:val="009701C8"/>
    <w:rsid w:val="009702DD"/>
    <w:rsid w:val="0097033C"/>
    <w:rsid w:val="009703B9"/>
    <w:rsid w:val="009703CC"/>
    <w:rsid w:val="00970405"/>
    <w:rsid w:val="0097041A"/>
    <w:rsid w:val="00970479"/>
    <w:rsid w:val="00970485"/>
    <w:rsid w:val="009704F0"/>
    <w:rsid w:val="0097055B"/>
    <w:rsid w:val="00970606"/>
    <w:rsid w:val="00970989"/>
    <w:rsid w:val="0097099C"/>
    <w:rsid w:val="00970A2E"/>
    <w:rsid w:val="00970A40"/>
    <w:rsid w:val="00970A55"/>
    <w:rsid w:val="00970A84"/>
    <w:rsid w:val="00970AB6"/>
    <w:rsid w:val="00970ABD"/>
    <w:rsid w:val="00970B44"/>
    <w:rsid w:val="00970B7A"/>
    <w:rsid w:val="00970BB0"/>
    <w:rsid w:val="00970BB1"/>
    <w:rsid w:val="00970BE4"/>
    <w:rsid w:val="00970BFC"/>
    <w:rsid w:val="00970DB1"/>
    <w:rsid w:val="00970DF1"/>
    <w:rsid w:val="00970EC1"/>
    <w:rsid w:val="00970EEF"/>
    <w:rsid w:val="00970F09"/>
    <w:rsid w:val="00970F1A"/>
    <w:rsid w:val="0097108B"/>
    <w:rsid w:val="009710E4"/>
    <w:rsid w:val="00971105"/>
    <w:rsid w:val="00971110"/>
    <w:rsid w:val="00971167"/>
    <w:rsid w:val="009711A3"/>
    <w:rsid w:val="009711CE"/>
    <w:rsid w:val="009712E2"/>
    <w:rsid w:val="009712E4"/>
    <w:rsid w:val="00971321"/>
    <w:rsid w:val="00971381"/>
    <w:rsid w:val="00971383"/>
    <w:rsid w:val="009713BA"/>
    <w:rsid w:val="0097148E"/>
    <w:rsid w:val="009714A1"/>
    <w:rsid w:val="009714AA"/>
    <w:rsid w:val="0097155C"/>
    <w:rsid w:val="00971583"/>
    <w:rsid w:val="009715B9"/>
    <w:rsid w:val="009715E9"/>
    <w:rsid w:val="009716F3"/>
    <w:rsid w:val="009716F4"/>
    <w:rsid w:val="00971728"/>
    <w:rsid w:val="009717C4"/>
    <w:rsid w:val="00971860"/>
    <w:rsid w:val="009719C5"/>
    <w:rsid w:val="009719D4"/>
    <w:rsid w:val="00971A01"/>
    <w:rsid w:val="00971A57"/>
    <w:rsid w:val="00971AA2"/>
    <w:rsid w:val="00971AA9"/>
    <w:rsid w:val="00971C2E"/>
    <w:rsid w:val="00971C62"/>
    <w:rsid w:val="00971CBA"/>
    <w:rsid w:val="00971CBE"/>
    <w:rsid w:val="00971DE3"/>
    <w:rsid w:val="00971E47"/>
    <w:rsid w:val="00971E8D"/>
    <w:rsid w:val="00971EEC"/>
    <w:rsid w:val="00971F41"/>
    <w:rsid w:val="00971FB1"/>
    <w:rsid w:val="00972107"/>
    <w:rsid w:val="0097218D"/>
    <w:rsid w:val="009721EB"/>
    <w:rsid w:val="009721F9"/>
    <w:rsid w:val="00972265"/>
    <w:rsid w:val="00972285"/>
    <w:rsid w:val="00972300"/>
    <w:rsid w:val="00972306"/>
    <w:rsid w:val="0097230E"/>
    <w:rsid w:val="0097237E"/>
    <w:rsid w:val="00972592"/>
    <w:rsid w:val="009725F5"/>
    <w:rsid w:val="009726BA"/>
    <w:rsid w:val="00972758"/>
    <w:rsid w:val="00972803"/>
    <w:rsid w:val="00972957"/>
    <w:rsid w:val="009729C3"/>
    <w:rsid w:val="009729F2"/>
    <w:rsid w:val="00972A8A"/>
    <w:rsid w:val="00972A8F"/>
    <w:rsid w:val="00972ACC"/>
    <w:rsid w:val="00972B12"/>
    <w:rsid w:val="00972B13"/>
    <w:rsid w:val="00972B28"/>
    <w:rsid w:val="00972CA7"/>
    <w:rsid w:val="00972D88"/>
    <w:rsid w:val="00972E72"/>
    <w:rsid w:val="00972EBA"/>
    <w:rsid w:val="00972F14"/>
    <w:rsid w:val="00972F20"/>
    <w:rsid w:val="00972F24"/>
    <w:rsid w:val="00972F8A"/>
    <w:rsid w:val="00973033"/>
    <w:rsid w:val="00973040"/>
    <w:rsid w:val="00973120"/>
    <w:rsid w:val="0097318D"/>
    <w:rsid w:val="009731BE"/>
    <w:rsid w:val="00973215"/>
    <w:rsid w:val="00973230"/>
    <w:rsid w:val="0097337A"/>
    <w:rsid w:val="00973391"/>
    <w:rsid w:val="009733B4"/>
    <w:rsid w:val="00973493"/>
    <w:rsid w:val="009734C3"/>
    <w:rsid w:val="00973553"/>
    <w:rsid w:val="00973619"/>
    <w:rsid w:val="00973726"/>
    <w:rsid w:val="00973775"/>
    <w:rsid w:val="009737EC"/>
    <w:rsid w:val="00973896"/>
    <w:rsid w:val="009738E0"/>
    <w:rsid w:val="0097397C"/>
    <w:rsid w:val="00973AD3"/>
    <w:rsid w:val="00973B01"/>
    <w:rsid w:val="00973BBE"/>
    <w:rsid w:val="00973BE4"/>
    <w:rsid w:val="00973BE5"/>
    <w:rsid w:val="00973C36"/>
    <w:rsid w:val="00973CC2"/>
    <w:rsid w:val="00973DCB"/>
    <w:rsid w:val="00973DE9"/>
    <w:rsid w:val="00973E5E"/>
    <w:rsid w:val="00973E73"/>
    <w:rsid w:val="00973E77"/>
    <w:rsid w:val="00973EDD"/>
    <w:rsid w:val="00973F72"/>
    <w:rsid w:val="00973FA6"/>
    <w:rsid w:val="00973FC5"/>
    <w:rsid w:val="00974043"/>
    <w:rsid w:val="009740ED"/>
    <w:rsid w:val="00974153"/>
    <w:rsid w:val="00974233"/>
    <w:rsid w:val="009743E6"/>
    <w:rsid w:val="00974418"/>
    <w:rsid w:val="00974468"/>
    <w:rsid w:val="009744AC"/>
    <w:rsid w:val="009744F1"/>
    <w:rsid w:val="00974524"/>
    <w:rsid w:val="0097453B"/>
    <w:rsid w:val="00974591"/>
    <w:rsid w:val="009745DF"/>
    <w:rsid w:val="00974676"/>
    <w:rsid w:val="00974690"/>
    <w:rsid w:val="0097479C"/>
    <w:rsid w:val="009747CA"/>
    <w:rsid w:val="009747F0"/>
    <w:rsid w:val="0097486A"/>
    <w:rsid w:val="009748FD"/>
    <w:rsid w:val="0097490B"/>
    <w:rsid w:val="00974947"/>
    <w:rsid w:val="009749ED"/>
    <w:rsid w:val="00974AC1"/>
    <w:rsid w:val="00974B49"/>
    <w:rsid w:val="00974B91"/>
    <w:rsid w:val="00974C3F"/>
    <w:rsid w:val="00974CE8"/>
    <w:rsid w:val="00974D87"/>
    <w:rsid w:val="00974ED8"/>
    <w:rsid w:val="00974EDB"/>
    <w:rsid w:val="00974F71"/>
    <w:rsid w:val="00974F97"/>
    <w:rsid w:val="00975049"/>
    <w:rsid w:val="009750CA"/>
    <w:rsid w:val="009752F3"/>
    <w:rsid w:val="009754BF"/>
    <w:rsid w:val="009754C2"/>
    <w:rsid w:val="0097551D"/>
    <w:rsid w:val="0097552E"/>
    <w:rsid w:val="0097553C"/>
    <w:rsid w:val="00975612"/>
    <w:rsid w:val="00975643"/>
    <w:rsid w:val="00975856"/>
    <w:rsid w:val="009758B3"/>
    <w:rsid w:val="0097590F"/>
    <w:rsid w:val="00975991"/>
    <w:rsid w:val="009759EC"/>
    <w:rsid w:val="00975A00"/>
    <w:rsid w:val="00975A38"/>
    <w:rsid w:val="00975A5C"/>
    <w:rsid w:val="00975A69"/>
    <w:rsid w:val="00975AA7"/>
    <w:rsid w:val="00975C46"/>
    <w:rsid w:val="00975CF6"/>
    <w:rsid w:val="00975CFA"/>
    <w:rsid w:val="00975D0C"/>
    <w:rsid w:val="00975DF9"/>
    <w:rsid w:val="00975E16"/>
    <w:rsid w:val="00975E7B"/>
    <w:rsid w:val="00975E7F"/>
    <w:rsid w:val="00975EAD"/>
    <w:rsid w:val="00975F8E"/>
    <w:rsid w:val="009760CC"/>
    <w:rsid w:val="00976139"/>
    <w:rsid w:val="00976223"/>
    <w:rsid w:val="00976229"/>
    <w:rsid w:val="0097622A"/>
    <w:rsid w:val="0097627C"/>
    <w:rsid w:val="009762FC"/>
    <w:rsid w:val="0097633F"/>
    <w:rsid w:val="0097634A"/>
    <w:rsid w:val="009763EF"/>
    <w:rsid w:val="009765B1"/>
    <w:rsid w:val="009765B4"/>
    <w:rsid w:val="009765E9"/>
    <w:rsid w:val="00976611"/>
    <w:rsid w:val="009766C8"/>
    <w:rsid w:val="009767A2"/>
    <w:rsid w:val="009767D6"/>
    <w:rsid w:val="009767E8"/>
    <w:rsid w:val="009767F1"/>
    <w:rsid w:val="00976800"/>
    <w:rsid w:val="00976871"/>
    <w:rsid w:val="00976883"/>
    <w:rsid w:val="0097694F"/>
    <w:rsid w:val="00976A59"/>
    <w:rsid w:val="00976A5C"/>
    <w:rsid w:val="00976A64"/>
    <w:rsid w:val="00976BA1"/>
    <w:rsid w:val="00976C99"/>
    <w:rsid w:val="00976D3B"/>
    <w:rsid w:val="00976E07"/>
    <w:rsid w:val="00976F18"/>
    <w:rsid w:val="00976F99"/>
    <w:rsid w:val="00976FE6"/>
    <w:rsid w:val="00976FEF"/>
    <w:rsid w:val="0097714D"/>
    <w:rsid w:val="009771B9"/>
    <w:rsid w:val="00977204"/>
    <w:rsid w:val="00977460"/>
    <w:rsid w:val="00977467"/>
    <w:rsid w:val="0097748E"/>
    <w:rsid w:val="00977578"/>
    <w:rsid w:val="009775BA"/>
    <w:rsid w:val="009775D1"/>
    <w:rsid w:val="009775D6"/>
    <w:rsid w:val="009775E8"/>
    <w:rsid w:val="00977619"/>
    <w:rsid w:val="00977684"/>
    <w:rsid w:val="0097769A"/>
    <w:rsid w:val="009776D5"/>
    <w:rsid w:val="00977827"/>
    <w:rsid w:val="0097783C"/>
    <w:rsid w:val="00977A0A"/>
    <w:rsid w:val="00977A11"/>
    <w:rsid w:val="00977B7B"/>
    <w:rsid w:val="00977BB5"/>
    <w:rsid w:val="00977C26"/>
    <w:rsid w:val="00977C8C"/>
    <w:rsid w:val="00977C99"/>
    <w:rsid w:val="00977D4D"/>
    <w:rsid w:val="00977D90"/>
    <w:rsid w:val="00977DB8"/>
    <w:rsid w:val="00977DC6"/>
    <w:rsid w:val="00977E13"/>
    <w:rsid w:val="00977E94"/>
    <w:rsid w:val="00977EF2"/>
    <w:rsid w:val="00977EFC"/>
    <w:rsid w:val="0098006F"/>
    <w:rsid w:val="0098009A"/>
    <w:rsid w:val="00980147"/>
    <w:rsid w:val="00980179"/>
    <w:rsid w:val="00980291"/>
    <w:rsid w:val="009802D6"/>
    <w:rsid w:val="00980351"/>
    <w:rsid w:val="00980388"/>
    <w:rsid w:val="009803B6"/>
    <w:rsid w:val="009804BF"/>
    <w:rsid w:val="009804C0"/>
    <w:rsid w:val="009804CB"/>
    <w:rsid w:val="009804F2"/>
    <w:rsid w:val="0098050E"/>
    <w:rsid w:val="00980557"/>
    <w:rsid w:val="0098056B"/>
    <w:rsid w:val="009806EB"/>
    <w:rsid w:val="00980778"/>
    <w:rsid w:val="009808BB"/>
    <w:rsid w:val="009808CC"/>
    <w:rsid w:val="00980956"/>
    <w:rsid w:val="00980969"/>
    <w:rsid w:val="00980A13"/>
    <w:rsid w:val="00980A50"/>
    <w:rsid w:val="00980ABE"/>
    <w:rsid w:val="00980ACC"/>
    <w:rsid w:val="00980B9C"/>
    <w:rsid w:val="00980BFE"/>
    <w:rsid w:val="00980C01"/>
    <w:rsid w:val="00980C8D"/>
    <w:rsid w:val="00980CC6"/>
    <w:rsid w:val="00980CE6"/>
    <w:rsid w:val="00980D1F"/>
    <w:rsid w:val="00980D20"/>
    <w:rsid w:val="00980D82"/>
    <w:rsid w:val="00980DDB"/>
    <w:rsid w:val="00980EC4"/>
    <w:rsid w:val="00980EEC"/>
    <w:rsid w:val="009810AE"/>
    <w:rsid w:val="009810F0"/>
    <w:rsid w:val="009810FE"/>
    <w:rsid w:val="0098113E"/>
    <w:rsid w:val="00981210"/>
    <w:rsid w:val="00981245"/>
    <w:rsid w:val="00981367"/>
    <w:rsid w:val="0098138C"/>
    <w:rsid w:val="00981392"/>
    <w:rsid w:val="009813FB"/>
    <w:rsid w:val="00981420"/>
    <w:rsid w:val="00981422"/>
    <w:rsid w:val="0098146B"/>
    <w:rsid w:val="00981485"/>
    <w:rsid w:val="00981506"/>
    <w:rsid w:val="0098159B"/>
    <w:rsid w:val="00981645"/>
    <w:rsid w:val="0098173A"/>
    <w:rsid w:val="009817BB"/>
    <w:rsid w:val="0098181C"/>
    <w:rsid w:val="0098182F"/>
    <w:rsid w:val="00981A8E"/>
    <w:rsid w:val="00981ABA"/>
    <w:rsid w:val="00981C93"/>
    <w:rsid w:val="00981C9A"/>
    <w:rsid w:val="00981D10"/>
    <w:rsid w:val="00981D19"/>
    <w:rsid w:val="00981D40"/>
    <w:rsid w:val="00981DED"/>
    <w:rsid w:val="00981E1C"/>
    <w:rsid w:val="00981EA7"/>
    <w:rsid w:val="00981F56"/>
    <w:rsid w:val="00981FEE"/>
    <w:rsid w:val="00982023"/>
    <w:rsid w:val="0098208A"/>
    <w:rsid w:val="00982107"/>
    <w:rsid w:val="00982148"/>
    <w:rsid w:val="0098218C"/>
    <w:rsid w:val="0098219C"/>
    <w:rsid w:val="00982258"/>
    <w:rsid w:val="009822CA"/>
    <w:rsid w:val="0098232C"/>
    <w:rsid w:val="0098239F"/>
    <w:rsid w:val="009823A1"/>
    <w:rsid w:val="00982440"/>
    <w:rsid w:val="009824EF"/>
    <w:rsid w:val="0098254E"/>
    <w:rsid w:val="00982598"/>
    <w:rsid w:val="0098264E"/>
    <w:rsid w:val="0098269C"/>
    <w:rsid w:val="009826C1"/>
    <w:rsid w:val="009826EE"/>
    <w:rsid w:val="009827AD"/>
    <w:rsid w:val="00982873"/>
    <w:rsid w:val="0098287B"/>
    <w:rsid w:val="0098288E"/>
    <w:rsid w:val="00982911"/>
    <w:rsid w:val="00982993"/>
    <w:rsid w:val="00982B02"/>
    <w:rsid w:val="00982B5B"/>
    <w:rsid w:val="00982BD6"/>
    <w:rsid w:val="00982BF9"/>
    <w:rsid w:val="00982C30"/>
    <w:rsid w:val="00982DD1"/>
    <w:rsid w:val="00982FAC"/>
    <w:rsid w:val="00982FCB"/>
    <w:rsid w:val="00982FFE"/>
    <w:rsid w:val="009830D2"/>
    <w:rsid w:val="00983104"/>
    <w:rsid w:val="00983124"/>
    <w:rsid w:val="0098312B"/>
    <w:rsid w:val="009831C9"/>
    <w:rsid w:val="009831CC"/>
    <w:rsid w:val="009831E2"/>
    <w:rsid w:val="00983265"/>
    <w:rsid w:val="009832B9"/>
    <w:rsid w:val="00983311"/>
    <w:rsid w:val="0098333B"/>
    <w:rsid w:val="009833AB"/>
    <w:rsid w:val="009833B3"/>
    <w:rsid w:val="009833D1"/>
    <w:rsid w:val="00983469"/>
    <w:rsid w:val="00983558"/>
    <w:rsid w:val="009835B3"/>
    <w:rsid w:val="00983644"/>
    <w:rsid w:val="009836F8"/>
    <w:rsid w:val="00983700"/>
    <w:rsid w:val="009837B4"/>
    <w:rsid w:val="00983870"/>
    <w:rsid w:val="00983912"/>
    <w:rsid w:val="00983966"/>
    <w:rsid w:val="0098396A"/>
    <w:rsid w:val="00983996"/>
    <w:rsid w:val="009839A8"/>
    <w:rsid w:val="00983AB1"/>
    <w:rsid w:val="00983AEF"/>
    <w:rsid w:val="00983B76"/>
    <w:rsid w:val="00983C3F"/>
    <w:rsid w:val="00983C7E"/>
    <w:rsid w:val="00983CEA"/>
    <w:rsid w:val="00983DE9"/>
    <w:rsid w:val="00983EDD"/>
    <w:rsid w:val="00983F0C"/>
    <w:rsid w:val="00983F48"/>
    <w:rsid w:val="00983F87"/>
    <w:rsid w:val="00984088"/>
    <w:rsid w:val="00984092"/>
    <w:rsid w:val="009840CA"/>
    <w:rsid w:val="009840EE"/>
    <w:rsid w:val="0098413C"/>
    <w:rsid w:val="0098414A"/>
    <w:rsid w:val="009841DB"/>
    <w:rsid w:val="009841E1"/>
    <w:rsid w:val="0098426D"/>
    <w:rsid w:val="00984294"/>
    <w:rsid w:val="0098443C"/>
    <w:rsid w:val="009845F2"/>
    <w:rsid w:val="009846CE"/>
    <w:rsid w:val="009846EE"/>
    <w:rsid w:val="009846F5"/>
    <w:rsid w:val="009847A0"/>
    <w:rsid w:val="0098480A"/>
    <w:rsid w:val="00984921"/>
    <w:rsid w:val="00984929"/>
    <w:rsid w:val="0098495C"/>
    <w:rsid w:val="009849F3"/>
    <w:rsid w:val="00984A38"/>
    <w:rsid w:val="00984A80"/>
    <w:rsid w:val="00984AD1"/>
    <w:rsid w:val="00984C04"/>
    <w:rsid w:val="00984C2F"/>
    <w:rsid w:val="00984C67"/>
    <w:rsid w:val="00984C95"/>
    <w:rsid w:val="00984CA8"/>
    <w:rsid w:val="00984CF9"/>
    <w:rsid w:val="00984D17"/>
    <w:rsid w:val="00984DD6"/>
    <w:rsid w:val="00984E0F"/>
    <w:rsid w:val="00984E35"/>
    <w:rsid w:val="00984EF1"/>
    <w:rsid w:val="00984EFA"/>
    <w:rsid w:val="00984FE3"/>
    <w:rsid w:val="00984FFC"/>
    <w:rsid w:val="00985134"/>
    <w:rsid w:val="00985225"/>
    <w:rsid w:val="00985279"/>
    <w:rsid w:val="00985294"/>
    <w:rsid w:val="009852BF"/>
    <w:rsid w:val="009852E5"/>
    <w:rsid w:val="009853B3"/>
    <w:rsid w:val="00985449"/>
    <w:rsid w:val="009855DD"/>
    <w:rsid w:val="00985611"/>
    <w:rsid w:val="00985650"/>
    <w:rsid w:val="009856B6"/>
    <w:rsid w:val="0098578B"/>
    <w:rsid w:val="0098593B"/>
    <w:rsid w:val="009859B2"/>
    <w:rsid w:val="00985AB0"/>
    <w:rsid w:val="00985BB1"/>
    <w:rsid w:val="00985C61"/>
    <w:rsid w:val="00985C9C"/>
    <w:rsid w:val="00985D10"/>
    <w:rsid w:val="00985D25"/>
    <w:rsid w:val="00985D3B"/>
    <w:rsid w:val="00985D50"/>
    <w:rsid w:val="00985E5D"/>
    <w:rsid w:val="00985FA0"/>
    <w:rsid w:val="00985FD6"/>
    <w:rsid w:val="00985FE7"/>
    <w:rsid w:val="009860ED"/>
    <w:rsid w:val="00986176"/>
    <w:rsid w:val="009861A4"/>
    <w:rsid w:val="009861E4"/>
    <w:rsid w:val="00986253"/>
    <w:rsid w:val="009862D5"/>
    <w:rsid w:val="009862F1"/>
    <w:rsid w:val="0098631D"/>
    <w:rsid w:val="00986328"/>
    <w:rsid w:val="00986336"/>
    <w:rsid w:val="0098634C"/>
    <w:rsid w:val="009863B9"/>
    <w:rsid w:val="009864D9"/>
    <w:rsid w:val="009864E9"/>
    <w:rsid w:val="009864FE"/>
    <w:rsid w:val="009865D1"/>
    <w:rsid w:val="00986632"/>
    <w:rsid w:val="0098664B"/>
    <w:rsid w:val="0098666A"/>
    <w:rsid w:val="009866D6"/>
    <w:rsid w:val="009866DE"/>
    <w:rsid w:val="00986784"/>
    <w:rsid w:val="00986868"/>
    <w:rsid w:val="009868B0"/>
    <w:rsid w:val="009868C7"/>
    <w:rsid w:val="009868F7"/>
    <w:rsid w:val="00986902"/>
    <w:rsid w:val="00986946"/>
    <w:rsid w:val="00986963"/>
    <w:rsid w:val="00986A2E"/>
    <w:rsid w:val="00986A89"/>
    <w:rsid w:val="00986AA8"/>
    <w:rsid w:val="00986BB6"/>
    <w:rsid w:val="00986C21"/>
    <w:rsid w:val="00986D0F"/>
    <w:rsid w:val="00986DC7"/>
    <w:rsid w:val="00986DFA"/>
    <w:rsid w:val="00986E1A"/>
    <w:rsid w:val="00986E1C"/>
    <w:rsid w:val="00986E66"/>
    <w:rsid w:val="00986EB9"/>
    <w:rsid w:val="00986ED5"/>
    <w:rsid w:val="00986F59"/>
    <w:rsid w:val="00986FAE"/>
    <w:rsid w:val="00986FE7"/>
    <w:rsid w:val="00987027"/>
    <w:rsid w:val="00987036"/>
    <w:rsid w:val="0098715F"/>
    <w:rsid w:val="00987167"/>
    <w:rsid w:val="00987168"/>
    <w:rsid w:val="00987295"/>
    <w:rsid w:val="0098731C"/>
    <w:rsid w:val="00987339"/>
    <w:rsid w:val="00987515"/>
    <w:rsid w:val="00987656"/>
    <w:rsid w:val="00987661"/>
    <w:rsid w:val="00987675"/>
    <w:rsid w:val="00987705"/>
    <w:rsid w:val="00987707"/>
    <w:rsid w:val="0098770B"/>
    <w:rsid w:val="00987769"/>
    <w:rsid w:val="0098776A"/>
    <w:rsid w:val="00987979"/>
    <w:rsid w:val="00987996"/>
    <w:rsid w:val="00987A15"/>
    <w:rsid w:val="00987A66"/>
    <w:rsid w:val="00987A92"/>
    <w:rsid w:val="00987B36"/>
    <w:rsid w:val="00987B3A"/>
    <w:rsid w:val="00987C19"/>
    <w:rsid w:val="00987C6F"/>
    <w:rsid w:val="00987DA7"/>
    <w:rsid w:val="00987ECF"/>
    <w:rsid w:val="00987F0E"/>
    <w:rsid w:val="00987FB0"/>
    <w:rsid w:val="00987FD5"/>
    <w:rsid w:val="009900AE"/>
    <w:rsid w:val="009900B5"/>
    <w:rsid w:val="009900C0"/>
    <w:rsid w:val="009901A3"/>
    <w:rsid w:val="009901D3"/>
    <w:rsid w:val="0099020F"/>
    <w:rsid w:val="0099034E"/>
    <w:rsid w:val="0099044F"/>
    <w:rsid w:val="00990468"/>
    <w:rsid w:val="00990529"/>
    <w:rsid w:val="009905E2"/>
    <w:rsid w:val="009905F4"/>
    <w:rsid w:val="00990662"/>
    <w:rsid w:val="00990706"/>
    <w:rsid w:val="00990708"/>
    <w:rsid w:val="00990737"/>
    <w:rsid w:val="00990762"/>
    <w:rsid w:val="0099081C"/>
    <w:rsid w:val="00990889"/>
    <w:rsid w:val="00990A52"/>
    <w:rsid w:val="00990A71"/>
    <w:rsid w:val="00990B95"/>
    <w:rsid w:val="00990C2F"/>
    <w:rsid w:val="00990C66"/>
    <w:rsid w:val="00990D13"/>
    <w:rsid w:val="00990E41"/>
    <w:rsid w:val="00990E56"/>
    <w:rsid w:val="00990EDD"/>
    <w:rsid w:val="00990EE7"/>
    <w:rsid w:val="00990EEB"/>
    <w:rsid w:val="00990F2A"/>
    <w:rsid w:val="0099101E"/>
    <w:rsid w:val="00991078"/>
    <w:rsid w:val="009910D0"/>
    <w:rsid w:val="00991107"/>
    <w:rsid w:val="00991116"/>
    <w:rsid w:val="0099111A"/>
    <w:rsid w:val="009911E2"/>
    <w:rsid w:val="00991230"/>
    <w:rsid w:val="0099156A"/>
    <w:rsid w:val="009916BA"/>
    <w:rsid w:val="00991752"/>
    <w:rsid w:val="00991753"/>
    <w:rsid w:val="0099175B"/>
    <w:rsid w:val="0099176B"/>
    <w:rsid w:val="0099176E"/>
    <w:rsid w:val="009917CD"/>
    <w:rsid w:val="00991818"/>
    <w:rsid w:val="00991891"/>
    <w:rsid w:val="00991984"/>
    <w:rsid w:val="009919A5"/>
    <w:rsid w:val="009919C8"/>
    <w:rsid w:val="00991A04"/>
    <w:rsid w:val="00991A0B"/>
    <w:rsid w:val="00991A62"/>
    <w:rsid w:val="00991A7F"/>
    <w:rsid w:val="00991A87"/>
    <w:rsid w:val="00991A98"/>
    <w:rsid w:val="00991A9A"/>
    <w:rsid w:val="00991B73"/>
    <w:rsid w:val="00991C7A"/>
    <w:rsid w:val="00991CD7"/>
    <w:rsid w:val="00991D2E"/>
    <w:rsid w:val="00991D58"/>
    <w:rsid w:val="00991D63"/>
    <w:rsid w:val="00991DC0"/>
    <w:rsid w:val="00991DC9"/>
    <w:rsid w:val="00991E3C"/>
    <w:rsid w:val="00992085"/>
    <w:rsid w:val="009920BC"/>
    <w:rsid w:val="00992156"/>
    <w:rsid w:val="00992365"/>
    <w:rsid w:val="009923FC"/>
    <w:rsid w:val="00992459"/>
    <w:rsid w:val="00992512"/>
    <w:rsid w:val="0099258A"/>
    <w:rsid w:val="00992595"/>
    <w:rsid w:val="00992598"/>
    <w:rsid w:val="009925A9"/>
    <w:rsid w:val="009925AA"/>
    <w:rsid w:val="0099275F"/>
    <w:rsid w:val="0099278C"/>
    <w:rsid w:val="009927B4"/>
    <w:rsid w:val="00992825"/>
    <w:rsid w:val="00992882"/>
    <w:rsid w:val="00992895"/>
    <w:rsid w:val="009928B4"/>
    <w:rsid w:val="009928F8"/>
    <w:rsid w:val="00992915"/>
    <w:rsid w:val="00992A30"/>
    <w:rsid w:val="00992CA1"/>
    <w:rsid w:val="00992D1D"/>
    <w:rsid w:val="00992D2E"/>
    <w:rsid w:val="00992DB8"/>
    <w:rsid w:val="00992F11"/>
    <w:rsid w:val="00992FDE"/>
    <w:rsid w:val="00993071"/>
    <w:rsid w:val="009932DC"/>
    <w:rsid w:val="009933A6"/>
    <w:rsid w:val="00993481"/>
    <w:rsid w:val="009934EF"/>
    <w:rsid w:val="00993599"/>
    <w:rsid w:val="00993615"/>
    <w:rsid w:val="00993664"/>
    <w:rsid w:val="00993728"/>
    <w:rsid w:val="009937CA"/>
    <w:rsid w:val="009938A0"/>
    <w:rsid w:val="009938FE"/>
    <w:rsid w:val="0099396C"/>
    <w:rsid w:val="00993A0C"/>
    <w:rsid w:val="00993A5C"/>
    <w:rsid w:val="00993AA1"/>
    <w:rsid w:val="00993AFE"/>
    <w:rsid w:val="00993B38"/>
    <w:rsid w:val="00993BA4"/>
    <w:rsid w:val="00993BF3"/>
    <w:rsid w:val="00993BF9"/>
    <w:rsid w:val="00993C56"/>
    <w:rsid w:val="00993C8F"/>
    <w:rsid w:val="00993C97"/>
    <w:rsid w:val="00993D03"/>
    <w:rsid w:val="00993DD0"/>
    <w:rsid w:val="00993DED"/>
    <w:rsid w:val="00993EC7"/>
    <w:rsid w:val="00993F01"/>
    <w:rsid w:val="00994069"/>
    <w:rsid w:val="00994086"/>
    <w:rsid w:val="009940CF"/>
    <w:rsid w:val="00994241"/>
    <w:rsid w:val="009942B6"/>
    <w:rsid w:val="009942CD"/>
    <w:rsid w:val="009942D4"/>
    <w:rsid w:val="00994396"/>
    <w:rsid w:val="00994436"/>
    <w:rsid w:val="0099446B"/>
    <w:rsid w:val="009944A8"/>
    <w:rsid w:val="009944F4"/>
    <w:rsid w:val="0099451C"/>
    <w:rsid w:val="00994635"/>
    <w:rsid w:val="009946C1"/>
    <w:rsid w:val="0099474D"/>
    <w:rsid w:val="0099480B"/>
    <w:rsid w:val="0099481A"/>
    <w:rsid w:val="0099481B"/>
    <w:rsid w:val="0099483B"/>
    <w:rsid w:val="00994862"/>
    <w:rsid w:val="009948FD"/>
    <w:rsid w:val="0099496E"/>
    <w:rsid w:val="009949A7"/>
    <w:rsid w:val="00994A0F"/>
    <w:rsid w:val="00994AAB"/>
    <w:rsid w:val="00994B30"/>
    <w:rsid w:val="00994BDC"/>
    <w:rsid w:val="00994BE2"/>
    <w:rsid w:val="00994C83"/>
    <w:rsid w:val="00994D45"/>
    <w:rsid w:val="00994D6B"/>
    <w:rsid w:val="00994D93"/>
    <w:rsid w:val="00994E07"/>
    <w:rsid w:val="00994EB4"/>
    <w:rsid w:val="00994F0E"/>
    <w:rsid w:val="009950C0"/>
    <w:rsid w:val="009950F1"/>
    <w:rsid w:val="00995148"/>
    <w:rsid w:val="00995178"/>
    <w:rsid w:val="009951B6"/>
    <w:rsid w:val="009951CA"/>
    <w:rsid w:val="00995231"/>
    <w:rsid w:val="009952E7"/>
    <w:rsid w:val="00995470"/>
    <w:rsid w:val="009954EC"/>
    <w:rsid w:val="00995570"/>
    <w:rsid w:val="00995615"/>
    <w:rsid w:val="00995652"/>
    <w:rsid w:val="00995655"/>
    <w:rsid w:val="0099568E"/>
    <w:rsid w:val="009956EA"/>
    <w:rsid w:val="009957A0"/>
    <w:rsid w:val="009957D3"/>
    <w:rsid w:val="009958EF"/>
    <w:rsid w:val="00995927"/>
    <w:rsid w:val="00995956"/>
    <w:rsid w:val="0099595E"/>
    <w:rsid w:val="00995993"/>
    <w:rsid w:val="0099599A"/>
    <w:rsid w:val="009959A5"/>
    <w:rsid w:val="009959B8"/>
    <w:rsid w:val="009959CD"/>
    <w:rsid w:val="00995A9A"/>
    <w:rsid w:val="00995ACC"/>
    <w:rsid w:val="00995B70"/>
    <w:rsid w:val="00995BDC"/>
    <w:rsid w:val="00995BF2"/>
    <w:rsid w:val="00995C11"/>
    <w:rsid w:val="00995C2E"/>
    <w:rsid w:val="00995C64"/>
    <w:rsid w:val="00995DC8"/>
    <w:rsid w:val="00995E72"/>
    <w:rsid w:val="00995F65"/>
    <w:rsid w:val="00995F93"/>
    <w:rsid w:val="00995FA2"/>
    <w:rsid w:val="00995FD3"/>
    <w:rsid w:val="00996024"/>
    <w:rsid w:val="00996132"/>
    <w:rsid w:val="009961B4"/>
    <w:rsid w:val="009961CE"/>
    <w:rsid w:val="00996228"/>
    <w:rsid w:val="00996317"/>
    <w:rsid w:val="00996391"/>
    <w:rsid w:val="009963C4"/>
    <w:rsid w:val="009963DC"/>
    <w:rsid w:val="009963F0"/>
    <w:rsid w:val="00996444"/>
    <w:rsid w:val="00996640"/>
    <w:rsid w:val="00996647"/>
    <w:rsid w:val="009966B8"/>
    <w:rsid w:val="009967CE"/>
    <w:rsid w:val="0099682C"/>
    <w:rsid w:val="00996903"/>
    <w:rsid w:val="0099690F"/>
    <w:rsid w:val="00996937"/>
    <w:rsid w:val="00996954"/>
    <w:rsid w:val="0099696E"/>
    <w:rsid w:val="00996AA4"/>
    <w:rsid w:val="00996ADD"/>
    <w:rsid w:val="00996B24"/>
    <w:rsid w:val="00996B73"/>
    <w:rsid w:val="00996C3C"/>
    <w:rsid w:val="00996CCA"/>
    <w:rsid w:val="00996E43"/>
    <w:rsid w:val="00996E71"/>
    <w:rsid w:val="00996E79"/>
    <w:rsid w:val="00996E7F"/>
    <w:rsid w:val="00996F9C"/>
    <w:rsid w:val="00997005"/>
    <w:rsid w:val="0099706A"/>
    <w:rsid w:val="009970E0"/>
    <w:rsid w:val="00997170"/>
    <w:rsid w:val="00997396"/>
    <w:rsid w:val="009973A0"/>
    <w:rsid w:val="00997413"/>
    <w:rsid w:val="0099747B"/>
    <w:rsid w:val="00997498"/>
    <w:rsid w:val="00997513"/>
    <w:rsid w:val="00997527"/>
    <w:rsid w:val="0099752D"/>
    <w:rsid w:val="00997543"/>
    <w:rsid w:val="009975C2"/>
    <w:rsid w:val="009976DA"/>
    <w:rsid w:val="009977DC"/>
    <w:rsid w:val="00997859"/>
    <w:rsid w:val="0099790C"/>
    <w:rsid w:val="009979FE"/>
    <w:rsid w:val="00997A3F"/>
    <w:rsid w:val="00997A9E"/>
    <w:rsid w:val="00997AD0"/>
    <w:rsid w:val="00997B93"/>
    <w:rsid w:val="00997C55"/>
    <w:rsid w:val="00997D2E"/>
    <w:rsid w:val="00997DB6"/>
    <w:rsid w:val="00997E10"/>
    <w:rsid w:val="00997EE8"/>
    <w:rsid w:val="00997FA3"/>
    <w:rsid w:val="009A004C"/>
    <w:rsid w:val="009A00DA"/>
    <w:rsid w:val="009A01F1"/>
    <w:rsid w:val="009A0363"/>
    <w:rsid w:val="009A03A6"/>
    <w:rsid w:val="009A0468"/>
    <w:rsid w:val="009A04A8"/>
    <w:rsid w:val="009A06AC"/>
    <w:rsid w:val="009A06CD"/>
    <w:rsid w:val="009A06E9"/>
    <w:rsid w:val="009A07D4"/>
    <w:rsid w:val="009A07D5"/>
    <w:rsid w:val="009A085E"/>
    <w:rsid w:val="009A0922"/>
    <w:rsid w:val="009A0935"/>
    <w:rsid w:val="009A0973"/>
    <w:rsid w:val="009A097E"/>
    <w:rsid w:val="009A09F5"/>
    <w:rsid w:val="009A0A10"/>
    <w:rsid w:val="009A0A30"/>
    <w:rsid w:val="009A0AC5"/>
    <w:rsid w:val="009A0AF2"/>
    <w:rsid w:val="009A0BC7"/>
    <w:rsid w:val="009A0C38"/>
    <w:rsid w:val="009A0C94"/>
    <w:rsid w:val="009A0CDE"/>
    <w:rsid w:val="009A0E02"/>
    <w:rsid w:val="009A0E51"/>
    <w:rsid w:val="009A0E7B"/>
    <w:rsid w:val="009A0F80"/>
    <w:rsid w:val="009A0FA3"/>
    <w:rsid w:val="009A0FF1"/>
    <w:rsid w:val="009A104E"/>
    <w:rsid w:val="009A1097"/>
    <w:rsid w:val="009A109D"/>
    <w:rsid w:val="009A1195"/>
    <w:rsid w:val="009A12E7"/>
    <w:rsid w:val="009A13B7"/>
    <w:rsid w:val="009A145A"/>
    <w:rsid w:val="009A145E"/>
    <w:rsid w:val="009A14E7"/>
    <w:rsid w:val="009A14F9"/>
    <w:rsid w:val="009A15E0"/>
    <w:rsid w:val="009A1682"/>
    <w:rsid w:val="009A16C2"/>
    <w:rsid w:val="009A16D5"/>
    <w:rsid w:val="009A17EA"/>
    <w:rsid w:val="009A1856"/>
    <w:rsid w:val="009A18EE"/>
    <w:rsid w:val="009A18F3"/>
    <w:rsid w:val="009A1935"/>
    <w:rsid w:val="009A194C"/>
    <w:rsid w:val="009A1BA7"/>
    <w:rsid w:val="009A1BE3"/>
    <w:rsid w:val="009A1D22"/>
    <w:rsid w:val="009A1D89"/>
    <w:rsid w:val="009A1DD2"/>
    <w:rsid w:val="009A1E91"/>
    <w:rsid w:val="009A1F27"/>
    <w:rsid w:val="009A2081"/>
    <w:rsid w:val="009A20D4"/>
    <w:rsid w:val="009A20F3"/>
    <w:rsid w:val="009A2128"/>
    <w:rsid w:val="009A21A6"/>
    <w:rsid w:val="009A22CC"/>
    <w:rsid w:val="009A2300"/>
    <w:rsid w:val="009A2446"/>
    <w:rsid w:val="009A24C1"/>
    <w:rsid w:val="009A24F3"/>
    <w:rsid w:val="009A251D"/>
    <w:rsid w:val="009A255D"/>
    <w:rsid w:val="009A25B0"/>
    <w:rsid w:val="009A25F7"/>
    <w:rsid w:val="009A2655"/>
    <w:rsid w:val="009A265F"/>
    <w:rsid w:val="009A2697"/>
    <w:rsid w:val="009A2736"/>
    <w:rsid w:val="009A278E"/>
    <w:rsid w:val="009A280F"/>
    <w:rsid w:val="009A28A2"/>
    <w:rsid w:val="009A28E0"/>
    <w:rsid w:val="009A2955"/>
    <w:rsid w:val="009A29B0"/>
    <w:rsid w:val="009A2A65"/>
    <w:rsid w:val="009A2B73"/>
    <w:rsid w:val="009A2BF7"/>
    <w:rsid w:val="009A2C52"/>
    <w:rsid w:val="009A2CA1"/>
    <w:rsid w:val="009A2CA7"/>
    <w:rsid w:val="009A2D2E"/>
    <w:rsid w:val="009A2D35"/>
    <w:rsid w:val="009A2D8A"/>
    <w:rsid w:val="009A2DE0"/>
    <w:rsid w:val="009A2E31"/>
    <w:rsid w:val="009A2EA8"/>
    <w:rsid w:val="009A2FCC"/>
    <w:rsid w:val="009A302C"/>
    <w:rsid w:val="009A308F"/>
    <w:rsid w:val="009A3170"/>
    <w:rsid w:val="009A31F0"/>
    <w:rsid w:val="009A3207"/>
    <w:rsid w:val="009A321D"/>
    <w:rsid w:val="009A3222"/>
    <w:rsid w:val="009A325A"/>
    <w:rsid w:val="009A3302"/>
    <w:rsid w:val="009A345A"/>
    <w:rsid w:val="009A3467"/>
    <w:rsid w:val="009A34C7"/>
    <w:rsid w:val="009A352F"/>
    <w:rsid w:val="009A3569"/>
    <w:rsid w:val="009A35D7"/>
    <w:rsid w:val="009A37A8"/>
    <w:rsid w:val="009A37ED"/>
    <w:rsid w:val="009A3803"/>
    <w:rsid w:val="009A3898"/>
    <w:rsid w:val="009A389A"/>
    <w:rsid w:val="009A38BA"/>
    <w:rsid w:val="009A38EA"/>
    <w:rsid w:val="009A3A0F"/>
    <w:rsid w:val="009A3AD7"/>
    <w:rsid w:val="009A3AFA"/>
    <w:rsid w:val="009A3B0F"/>
    <w:rsid w:val="009A3B9E"/>
    <w:rsid w:val="009A3BFA"/>
    <w:rsid w:val="009A3C35"/>
    <w:rsid w:val="009A3C70"/>
    <w:rsid w:val="009A3D5B"/>
    <w:rsid w:val="009A3D5E"/>
    <w:rsid w:val="009A3D90"/>
    <w:rsid w:val="009A3E1E"/>
    <w:rsid w:val="009A3E22"/>
    <w:rsid w:val="009A3ED2"/>
    <w:rsid w:val="009A3EE1"/>
    <w:rsid w:val="009A3F2C"/>
    <w:rsid w:val="009A3F74"/>
    <w:rsid w:val="009A3F94"/>
    <w:rsid w:val="009A3FB3"/>
    <w:rsid w:val="009A4011"/>
    <w:rsid w:val="009A401F"/>
    <w:rsid w:val="009A402D"/>
    <w:rsid w:val="009A4073"/>
    <w:rsid w:val="009A4159"/>
    <w:rsid w:val="009A419C"/>
    <w:rsid w:val="009A42D4"/>
    <w:rsid w:val="009A4348"/>
    <w:rsid w:val="009A4361"/>
    <w:rsid w:val="009A4364"/>
    <w:rsid w:val="009A44AF"/>
    <w:rsid w:val="009A45A0"/>
    <w:rsid w:val="009A475D"/>
    <w:rsid w:val="009A478A"/>
    <w:rsid w:val="009A4842"/>
    <w:rsid w:val="009A48F0"/>
    <w:rsid w:val="009A4903"/>
    <w:rsid w:val="009A495D"/>
    <w:rsid w:val="009A49A3"/>
    <w:rsid w:val="009A49C6"/>
    <w:rsid w:val="009A49F0"/>
    <w:rsid w:val="009A4A17"/>
    <w:rsid w:val="009A4A22"/>
    <w:rsid w:val="009A4A82"/>
    <w:rsid w:val="009A4BE2"/>
    <w:rsid w:val="009A4C2C"/>
    <w:rsid w:val="009A4CC0"/>
    <w:rsid w:val="009A4D01"/>
    <w:rsid w:val="009A4E9D"/>
    <w:rsid w:val="009A5147"/>
    <w:rsid w:val="009A5199"/>
    <w:rsid w:val="009A52EB"/>
    <w:rsid w:val="009A52F5"/>
    <w:rsid w:val="009A5329"/>
    <w:rsid w:val="009A5334"/>
    <w:rsid w:val="009A5381"/>
    <w:rsid w:val="009A53EF"/>
    <w:rsid w:val="009A5478"/>
    <w:rsid w:val="009A5486"/>
    <w:rsid w:val="009A54E8"/>
    <w:rsid w:val="009A5534"/>
    <w:rsid w:val="009A557B"/>
    <w:rsid w:val="009A5589"/>
    <w:rsid w:val="009A56FB"/>
    <w:rsid w:val="009A5793"/>
    <w:rsid w:val="009A57A7"/>
    <w:rsid w:val="009A57DC"/>
    <w:rsid w:val="009A587E"/>
    <w:rsid w:val="009A58BA"/>
    <w:rsid w:val="009A5915"/>
    <w:rsid w:val="009A593B"/>
    <w:rsid w:val="009A59A1"/>
    <w:rsid w:val="009A5A9F"/>
    <w:rsid w:val="009A5B47"/>
    <w:rsid w:val="009A5CCD"/>
    <w:rsid w:val="009A5CD5"/>
    <w:rsid w:val="009A5E94"/>
    <w:rsid w:val="009A5EA3"/>
    <w:rsid w:val="009A5EB5"/>
    <w:rsid w:val="009A5EF5"/>
    <w:rsid w:val="009A5F1E"/>
    <w:rsid w:val="009A5F46"/>
    <w:rsid w:val="009A5F89"/>
    <w:rsid w:val="009A6106"/>
    <w:rsid w:val="009A6286"/>
    <w:rsid w:val="009A628A"/>
    <w:rsid w:val="009A62B3"/>
    <w:rsid w:val="009A62C5"/>
    <w:rsid w:val="009A62C7"/>
    <w:rsid w:val="009A63C2"/>
    <w:rsid w:val="009A63DF"/>
    <w:rsid w:val="009A6401"/>
    <w:rsid w:val="009A6406"/>
    <w:rsid w:val="009A6451"/>
    <w:rsid w:val="009A64AD"/>
    <w:rsid w:val="009A65AC"/>
    <w:rsid w:val="009A65B4"/>
    <w:rsid w:val="009A65B7"/>
    <w:rsid w:val="009A662D"/>
    <w:rsid w:val="009A6866"/>
    <w:rsid w:val="009A68F9"/>
    <w:rsid w:val="009A6900"/>
    <w:rsid w:val="009A6964"/>
    <w:rsid w:val="009A69C2"/>
    <w:rsid w:val="009A6A88"/>
    <w:rsid w:val="009A6B4C"/>
    <w:rsid w:val="009A6B9D"/>
    <w:rsid w:val="009A6BBC"/>
    <w:rsid w:val="009A6D4F"/>
    <w:rsid w:val="009A6D5D"/>
    <w:rsid w:val="009A6E05"/>
    <w:rsid w:val="009A6E6D"/>
    <w:rsid w:val="009A6EEC"/>
    <w:rsid w:val="009A6F39"/>
    <w:rsid w:val="009A701D"/>
    <w:rsid w:val="009A70BF"/>
    <w:rsid w:val="009A712E"/>
    <w:rsid w:val="009A7195"/>
    <w:rsid w:val="009A7268"/>
    <w:rsid w:val="009A7278"/>
    <w:rsid w:val="009A7339"/>
    <w:rsid w:val="009A73F2"/>
    <w:rsid w:val="009A7417"/>
    <w:rsid w:val="009A7463"/>
    <w:rsid w:val="009A7483"/>
    <w:rsid w:val="009A7522"/>
    <w:rsid w:val="009A7640"/>
    <w:rsid w:val="009A7671"/>
    <w:rsid w:val="009A7767"/>
    <w:rsid w:val="009A77D3"/>
    <w:rsid w:val="009A77F7"/>
    <w:rsid w:val="009A77FE"/>
    <w:rsid w:val="009A78DD"/>
    <w:rsid w:val="009A79A8"/>
    <w:rsid w:val="009A79E4"/>
    <w:rsid w:val="009A7BA1"/>
    <w:rsid w:val="009A7BE7"/>
    <w:rsid w:val="009A7C07"/>
    <w:rsid w:val="009A7C22"/>
    <w:rsid w:val="009A7CC7"/>
    <w:rsid w:val="009A7D10"/>
    <w:rsid w:val="009A7D50"/>
    <w:rsid w:val="009A7D5C"/>
    <w:rsid w:val="009A7D8A"/>
    <w:rsid w:val="009B00C5"/>
    <w:rsid w:val="009B0117"/>
    <w:rsid w:val="009B01A2"/>
    <w:rsid w:val="009B0258"/>
    <w:rsid w:val="009B027F"/>
    <w:rsid w:val="009B0310"/>
    <w:rsid w:val="009B04EA"/>
    <w:rsid w:val="009B0550"/>
    <w:rsid w:val="009B059D"/>
    <w:rsid w:val="009B05E7"/>
    <w:rsid w:val="009B0607"/>
    <w:rsid w:val="009B066C"/>
    <w:rsid w:val="009B06A4"/>
    <w:rsid w:val="009B06B2"/>
    <w:rsid w:val="009B083E"/>
    <w:rsid w:val="009B0869"/>
    <w:rsid w:val="009B0872"/>
    <w:rsid w:val="009B0956"/>
    <w:rsid w:val="009B0966"/>
    <w:rsid w:val="009B09D3"/>
    <w:rsid w:val="009B0A3A"/>
    <w:rsid w:val="009B0AD5"/>
    <w:rsid w:val="009B0B8D"/>
    <w:rsid w:val="009B0C15"/>
    <w:rsid w:val="009B0C20"/>
    <w:rsid w:val="009B0DB3"/>
    <w:rsid w:val="009B0DEB"/>
    <w:rsid w:val="009B0E1D"/>
    <w:rsid w:val="009B0E62"/>
    <w:rsid w:val="009B0F56"/>
    <w:rsid w:val="009B0F69"/>
    <w:rsid w:val="009B1001"/>
    <w:rsid w:val="009B1039"/>
    <w:rsid w:val="009B1054"/>
    <w:rsid w:val="009B108F"/>
    <w:rsid w:val="009B10C1"/>
    <w:rsid w:val="009B10F1"/>
    <w:rsid w:val="009B11FB"/>
    <w:rsid w:val="009B1282"/>
    <w:rsid w:val="009B1311"/>
    <w:rsid w:val="009B1324"/>
    <w:rsid w:val="009B13D3"/>
    <w:rsid w:val="009B146B"/>
    <w:rsid w:val="009B14F2"/>
    <w:rsid w:val="009B156D"/>
    <w:rsid w:val="009B158C"/>
    <w:rsid w:val="009B15DE"/>
    <w:rsid w:val="009B15E0"/>
    <w:rsid w:val="009B16AD"/>
    <w:rsid w:val="009B17D0"/>
    <w:rsid w:val="009B188F"/>
    <w:rsid w:val="009B18AC"/>
    <w:rsid w:val="009B191D"/>
    <w:rsid w:val="009B198F"/>
    <w:rsid w:val="009B19C5"/>
    <w:rsid w:val="009B1A7D"/>
    <w:rsid w:val="009B1AA0"/>
    <w:rsid w:val="009B1AB9"/>
    <w:rsid w:val="009B1ADF"/>
    <w:rsid w:val="009B1AF2"/>
    <w:rsid w:val="009B1B70"/>
    <w:rsid w:val="009B1BE3"/>
    <w:rsid w:val="009B1C59"/>
    <w:rsid w:val="009B1C77"/>
    <w:rsid w:val="009B1C7C"/>
    <w:rsid w:val="009B1D07"/>
    <w:rsid w:val="009B1D45"/>
    <w:rsid w:val="009B1D6C"/>
    <w:rsid w:val="009B1E25"/>
    <w:rsid w:val="009B1E34"/>
    <w:rsid w:val="009B1E52"/>
    <w:rsid w:val="009B1EAB"/>
    <w:rsid w:val="009B1ED6"/>
    <w:rsid w:val="009B1EEB"/>
    <w:rsid w:val="009B1F39"/>
    <w:rsid w:val="009B1F7D"/>
    <w:rsid w:val="009B2025"/>
    <w:rsid w:val="009B2045"/>
    <w:rsid w:val="009B2051"/>
    <w:rsid w:val="009B2060"/>
    <w:rsid w:val="009B2127"/>
    <w:rsid w:val="009B2134"/>
    <w:rsid w:val="009B215F"/>
    <w:rsid w:val="009B21D3"/>
    <w:rsid w:val="009B21EC"/>
    <w:rsid w:val="009B2202"/>
    <w:rsid w:val="009B227C"/>
    <w:rsid w:val="009B2342"/>
    <w:rsid w:val="009B2392"/>
    <w:rsid w:val="009B23D5"/>
    <w:rsid w:val="009B2405"/>
    <w:rsid w:val="009B2427"/>
    <w:rsid w:val="009B242E"/>
    <w:rsid w:val="009B24AA"/>
    <w:rsid w:val="009B24F4"/>
    <w:rsid w:val="009B24FE"/>
    <w:rsid w:val="009B2515"/>
    <w:rsid w:val="009B2525"/>
    <w:rsid w:val="009B25B2"/>
    <w:rsid w:val="009B26C4"/>
    <w:rsid w:val="009B2772"/>
    <w:rsid w:val="009B2783"/>
    <w:rsid w:val="009B27E3"/>
    <w:rsid w:val="009B27F4"/>
    <w:rsid w:val="009B2836"/>
    <w:rsid w:val="009B284D"/>
    <w:rsid w:val="009B28F7"/>
    <w:rsid w:val="009B29BB"/>
    <w:rsid w:val="009B2A04"/>
    <w:rsid w:val="009B2A46"/>
    <w:rsid w:val="009B2B1F"/>
    <w:rsid w:val="009B2B74"/>
    <w:rsid w:val="009B2BB3"/>
    <w:rsid w:val="009B2CC2"/>
    <w:rsid w:val="009B2D06"/>
    <w:rsid w:val="009B2D54"/>
    <w:rsid w:val="009B2D66"/>
    <w:rsid w:val="009B2E75"/>
    <w:rsid w:val="009B2EFB"/>
    <w:rsid w:val="009B2F99"/>
    <w:rsid w:val="009B2FF6"/>
    <w:rsid w:val="009B3029"/>
    <w:rsid w:val="009B30A2"/>
    <w:rsid w:val="009B3105"/>
    <w:rsid w:val="009B3172"/>
    <w:rsid w:val="009B31A7"/>
    <w:rsid w:val="009B3225"/>
    <w:rsid w:val="009B32B6"/>
    <w:rsid w:val="009B33AC"/>
    <w:rsid w:val="009B3492"/>
    <w:rsid w:val="009B354A"/>
    <w:rsid w:val="009B3556"/>
    <w:rsid w:val="009B3744"/>
    <w:rsid w:val="009B394F"/>
    <w:rsid w:val="009B39E4"/>
    <w:rsid w:val="009B3A04"/>
    <w:rsid w:val="009B3A39"/>
    <w:rsid w:val="009B3A86"/>
    <w:rsid w:val="009B3AF2"/>
    <w:rsid w:val="009B3D6D"/>
    <w:rsid w:val="009B3DA4"/>
    <w:rsid w:val="009B3DF6"/>
    <w:rsid w:val="009B3E79"/>
    <w:rsid w:val="009B3EB0"/>
    <w:rsid w:val="009B3F00"/>
    <w:rsid w:val="009B3F0C"/>
    <w:rsid w:val="009B3F5C"/>
    <w:rsid w:val="009B3FB2"/>
    <w:rsid w:val="009B3FE4"/>
    <w:rsid w:val="009B4081"/>
    <w:rsid w:val="009B413A"/>
    <w:rsid w:val="009B4146"/>
    <w:rsid w:val="009B41FE"/>
    <w:rsid w:val="009B42FA"/>
    <w:rsid w:val="009B4373"/>
    <w:rsid w:val="009B43C8"/>
    <w:rsid w:val="009B4407"/>
    <w:rsid w:val="009B448B"/>
    <w:rsid w:val="009B4563"/>
    <w:rsid w:val="009B46CE"/>
    <w:rsid w:val="009B46EA"/>
    <w:rsid w:val="009B4700"/>
    <w:rsid w:val="009B47BF"/>
    <w:rsid w:val="009B48D8"/>
    <w:rsid w:val="009B493F"/>
    <w:rsid w:val="009B499C"/>
    <w:rsid w:val="009B4A5A"/>
    <w:rsid w:val="009B4A87"/>
    <w:rsid w:val="009B4AB1"/>
    <w:rsid w:val="009B4C00"/>
    <w:rsid w:val="009B4DD4"/>
    <w:rsid w:val="009B4E85"/>
    <w:rsid w:val="009B4ED1"/>
    <w:rsid w:val="009B4F28"/>
    <w:rsid w:val="009B4F3B"/>
    <w:rsid w:val="009B4F4F"/>
    <w:rsid w:val="009B4F85"/>
    <w:rsid w:val="009B4FEC"/>
    <w:rsid w:val="009B4FED"/>
    <w:rsid w:val="009B50A2"/>
    <w:rsid w:val="009B5190"/>
    <w:rsid w:val="009B51A1"/>
    <w:rsid w:val="009B51DD"/>
    <w:rsid w:val="009B53A6"/>
    <w:rsid w:val="009B53CE"/>
    <w:rsid w:val="009B5407"/>
    <w:rsid w:val="009B55E8"/>
    <w:rsid w:val="009B56A4"/>
    <w:rsid w:val="009B56AD"/>
    <w:rsid w:val="009B56D5"/>
    <w:rsid w:val="009B5842"/>
    <w:rsid w:val="009B586F"/>
    <w:rsid w:val="009B58E5"/>
    <w:rsid w:val="009B5900"/>
    <w:rsid w:val="009B5953"/>
    <w:rsid w:val="009B59BD"/>
    <w:rsid w:val="009B5A45"/>
    <w:rsid w:val="009B5A93"/>
    <w:rsid w:val="009B5AC7"/>
    <w:rsid w:val="009B5ADA"/>
    <w:rsid w:val="009B5ADC"/>
    <w:rsid w:val="009B5B48"/>
    <w:rsid w:val="009B5B6E"/>
    <w:rsid w:val="009B5B77"/>
    <w:rsid w:val="009B5C2B"/>
    <w:rsid w:val="009B5C6E"/>
    <w:rsid w:val="009B5C85"/>
    <w:rsid w:val="009B5F27"/>
    <w:rsid w:val="009B5F99"/>
    <w:rsid w:val="009B5F9A"/>
    <w:rsid w:val="009B5FD3"/>
    <w:rsid w:val="009B606A"/>
    <w:rsid w:val="009B6096"/>
    <w:rsid w:val="009B60E2"/>
    <w:rsid w:val="009B612F"/>
    <w:rsid w:val="009B6254"/>
    <w:rsid w:val="009B6378"/>
    <w:rsid w:val="009B63A6"/>
    <w:rsid w:val="009B63FF"/>
    <w:rsid w:val="009B646F"/>
    <w:rsid w:val="009B64B3"/>
    <w:rsid w:val="009B65A2"/>
    <w:rsid w:val="009B65A4"/>
    <w:rsid w:val="009B65B3"/>
    <w:rsid w:val="009B6632"/>
    <w:rsid w:val="009B667B"/>
    <w:rsid w:val="009B667D"/>
    <w:rsid w:val="009B66EA"/>
    <w:rsid w:val="009B6762"/>
    <w:rsid w:val="009B688B"/>
    <w:rsid w:val="009B68BE"/>
    <w:rsid w:val="009B690C"/>
    <w:rsid w:val="009B6AE7"/>
    <w:rsid w:val="009B6D86"/>
    <w:rsid w:val="009B6D8E"/>
    <w:rsid w:val="009B6EE8"/>
    <w:rsid w:val="009B6F7F"/>
    <w:rsid w:val="009B6F86"/>
    <w:rsid w:val="009B7054"/>
    <w:rsid w:val="009B706E"/>
    <w:rsid w:val="009B7096"/>
    <w:rsid w:val="009B713C"/>
    <w:rsid w:val="009B717C"/>
    <w:rsid w:val="009B7191"/>
    <w:rsid w:val="009B71BD"/>
    <w:rsid w:val="009B71E8"/>
    <w:rsid w:val="009B72F8"/>
    <w:rsid w:val="009B739E"/>
    <w:rsid w:val="009B7407"/>
    <w:rsid w:val="009B7470"/>
    <w:rsid w:val="009B7590"/>
    <w:rsid w:val="009B75A3"/>
    <w:rsid w:val="009B76E1"/>
    <w:rsid w:val="009B7739"/>
    <w:rsid w:val="009B77B4"/>
    <w:rsid w:val="009B781D"/>
    <w:rsid w:val="009B791F"/>
    <w:rsid w:val="009B797B"/>
    <w:rsid w:val="009B797D"/>
    <w:rsid w:val="009B7987"/>
    <w:rsid w:val="009B79B7"/>
    <w:rsid w:val="009B7AAF"/>
    <w:rsid w:val="009B7BBD"/>
    <w:rsid w:val="009B7C15"/>
    <w:rsid w:val="009B7C99"/>
    <w:rsid w:val="009B7CE8"/>
    <w:rsid w:val="009B7D1F"/>
    <w:rsid w:val="009B7D43"/>
    <w:rsid w:val="009B7E77"/>
    <w:rsid w:val="009B7EDE"/>
    <w:rsid w:val="009B7EF2"/>
    <w:rsid w:val="009B7EF4"/>
    <w:rsid w:val="009B7F2A"/>
    <w:rsid w:val="009B7FF4"/>
    <w:rsid w:val="009C0045"/>
    <w:rsid w:val="009C0084"/>
    <w:rsid w:val="009C010D"/>
    <w:rsid w:val="009C01AC"/>
    <w:rsid w:val="009C0245"/>
    <w:rsid w:val="009C028A"/>
    <w:rsid w:val="009C02BB"/>
    <w:rsid w:val="009C0404"/>
    <w:rsid w:val="009C054C"/>
    <w:rsid w:val="009C0591"/>
    <w:rsid w:val="009C05A2"/>
    <w:rsid w:val="009C05B5"/>
    <w:rsid w:val="009C05FA"/>
    <w:rsid w:val="009C066C"/>
    <w:rsid w:val="009C0768"/>
    <w:rsid w:val="009C08C9"/>
    <w:rsid w:val="009C0928"/>
    <w:rsid w:val="009C0A09"/>
    <w:rsid w:val="009C0A5F"/>
    <w:rsid w:val="009C0A9F"/>
    <w:rsid w:val="009C0B63"/>
    <w:rsid w:val="009C0BC1"/>
    <w:rsid w:val="009C0C01"/>
    <w:rsid w:val="009C0C3F"/>
    <w:rsid w:val="009C0C95"/>
    <w:rsid w:val="009C0D06"/>
    <w:rsid w:val="009C0D25"/>
    <w:rsid w:val="009C0E72"/>
    <w:rsid w:val="009C0EBD"/>
    <w:rsid w:val="009C0EEB"/>
    <w:rsid w:val="009C112D"/>
    <w:rsid w:val="009C1143"/>
    <w:rsid w:val="009C1215"/>
    <w:rsid w:val="009C1216"/>
    <w:rsid w:val="009C1243"/>
    <w:rsid w:val="009C129B"/>
    <w:rsid w:val="009C12CA"/>
    <w:rsid w:val="009C12EA"/>
    <w:rsid w:val="009C1399"/>
    <w:rsid w:val="009C13F3"/>
    <w:rsid w:val="009C1410"/>
    <w:rsid w:val="009C1453"/>
    <w:rsid w:val="009C14F8"/>
    <w:rsid w:val="009C15C1"/>
    <w:rsid w:val="009C160C"/>
    <w:rsid w:val="009C164E"/>
    <w:rsid w:val="009C16BA"/>
    <w:rsid w:val="009C16F1"/>
    <w:rsid w:val="009C172B"/>
    <w:rsid w:val="009C17AD"/>
    <w:rsid w:val="009C17CD"/>
    <w:rsid w:val="009C17DC"/>
    <w:rsid w:val="009C1924"/>
    <w:rsid w:val="009C19BF"/>
    <w:rsid w:val="009C1A29"/>
    <w:rsid w:val="009C1A3D"/>
    <w:rsid w:val="009C1A7E"/>
    <w:rsid w:val="009C1AA3"/>
    <w:rsid w:val="009C1ABD"/>
    <w:rsid w:val="009C1BB9"/>
    <w:rsid w:val="009C1BC1"/>
    <w:rsid w:val="009C1C29"/>
    <w:rsid w:val="009C1CB5"/>
    <w:rsid w:val="009C1D27"/>
    <w:rsid w:val="009C1D53"/>
    <w:rsid w:val="009C1D82"/>
    <w:rsid w:val="009C1DA2"/>
    <w:rsid w:val="009C1E1C"/>
    <w:rsid w:val="009C1E32"/>
    <w:rsid w:val="009C1ECE"/>
    <w:rsid w:val="009C2026"/>
    <w:rsid w:val="009C223A"/>
    <w:rsid w:val="009C22CB"/>
    <w:rsid w:val="009C23C3"/>
    <w:rsid w:val="009C23CD"/>
    <w:rsid w:val="009C23FF"/>
    <w:rsid w:val="009C2462"/>
    <w:rsid w:val="009C247F"/>
    <w:rsid w:val="009C2514"/>
    <w:rsid w:val="009C253C"/>
    <w:rsid w:val="009C2542"/>
    <w:rsid w:val="009C2592"/>
    <w:rsid w:val="009C2653"/>
    <w:rsid w:val="009C265A"/>
    <w:rsid w:val="009C2665"/>
    <w:rsid w:val="009C27A3"/>
    <w:rsid w:val="009C27CA"/>
    <w:rsid w:val="009C27CB"/>
    <w:rsid w:val="009C282F"/>
    <w:rsid w:val="009C284B"/>
    <w:rsid w:val="009C2865"/>
    <w:rsid w:val="009C2A30"/>
    <w:rsid w:val="009C2A6B"/>
    <w:rsid w:val="009C2AA9"/>
    <w:rsid w:val="009C2AAD"/>
    <w:rsid w:val="009C2ABD"/>
    <w:rsid w:val="009C2B1F"/>
    <w:rsid w:val="009C2B56"/>
    <w:rsid w:val="009C2B86"/>
    <w:rsid w:val="009C2CD1"/>
    <w:rsid w:val="009C2D64"/>
    <w:rsid w:val="009C2D8D"/>
    <w:rsid w:val="009C2E2C"/>
    <w:rsid w:val="009C2F5B"/>
    <w:rsid w:val="009C3109"/>
    <w:rsid w:val="009C3125"/>
    <w:rsid w:val="009C31C0"/>
    <w:rsid w:val="009C3262"/>
    <w:rsid w:val="009C32DD"/>
    <w:rsid w:val="009C3346"/>
    <w:rsid w:val="009C33E7"/>
    <w:rsid w:val="009C3571"/>
    <w:rsid w:val="009C359C"/>
    <w:rsid w:val="009C35B3"/>
    <w:rsid w:val="009C35B7"/>
    <w:rsid w:val="009C35EE"/>
    <w:rsid w:val="009C3704"/>
    <w:rsid w:val="009C382A"/>
    <w:rsid w:val="009C385E"/>
    <w:rsid w:val="009C38F2"/>
    <w:rsid w:val="009C3A0E"/>
    <w:rsid w:val="009C3A3A"/>
    <w:rsid w:val="009C3AE5"/>
    <w:rsid w:val="009C3B71"/>
    <w:rsid w:val="009C3BF1"/>
    <w:rsid w:val="009C3C97"/>
    <w:rsid w:val="009C3D38"/>
    <w:rsid w:val="009C3D96"/>
    <w:rsid w:val="009C3DC3"/>
    <w:rsid w:val="009C3E86"/>
    <w:rsid w:val="009C407A"/>
    <w:rsid w:val="009C4082"/>
    <w:rsid w:val="009C410B"/>
    <w:rsid w:val="009C414C"/>
    <w:rsid w:val="009C41F8"/>
    <w:rsid w:val="009C423A"/>
    <w:rsid w:val="009C4279"/>
    <w:rsid w:val="009C42F1"/>
    <w:rsid w:val="009C431C"/>
    <w:rsid w:val="009C4389"/>
    <w:rsid w:val="009C4394"/>
    <w:rsid w:val="009C43B6"/>
    <w:rsid w:val="009C43B8"/>
    <w:rsid w:val="009C43D8"/>
    <w:rsid w:val="009C4411"/>
    <w:rsid w:val="009C444E"/>
    <w:rsid w:val="009C44C6"/>
    <w:rsid w:val="009C45A1"/>
    <w:rsid w:val="009C46A3"/>
    <w:rsid w:val="009C46FB"/>
    <w:rsid w:val="009C4744"/>
    <w:rsid w:val="009C4797"/>
    <w:rsid w:val="009C47E2"/>
    <w:rsid w:val="009C47F5"/>
    <w:rsid w:val="009C4825"/>
    <w:rsid w:val="009C48D1"/>
    <w:rsid w:val="009C4980"/>
    <w:rsid w:val="009C4A08"/>
    <w:rsid w:val="009C4A4E"/>
    <w:rsid w:val="009C4B40"/>
    <w:rsid w:val="009C4B98"/>
    <w:rsid w:val="009C4BFB"/>
    <w:rsid w:val="009C4C9F"/>
    <w:rsid w:val="009C4CC7"/>
    <w:rsid w:val="009C4D0B"/>
    <w:rsid w:val="009C4D5F"/>
    <w:rsid w:val="009C4D65"/>
    <w:rsid w:val="009C4D82"/>
    <w:rsid w:val="009C4DFC"/>
    <w:rsid w:val="009C4F5C"/>
    <w:rsid w:val="009C4F8A"/>
    <w:rsid w:val="009C4FA4"/>
    <w:rsid w:val="009C4FB5"/>
    <w:rsid w:val="009C4FC5"/>
    <w:rsid w:val="009C4FFC"/>
    <w:rsid w:val="009C502D"/>
    <w:rsid w:val="009C505F"/>
    <w:rsid w:val="009C51D4"/>
    <w:rsid w:val="009C5235"/>
    <w:rsid w:val="009C52D0"/>
    <w:rsid w:val="009C52DA"/>
    <w:rsid w:val="009C52E5"/>
    <w:rsid w:val="009C530C"/>
    <w:rsid w:val="009C546B"/>
    <w:rsid w:val="009C548C"/>
    <w:rsid w:val="009C5597"/>
    <w:rsid w:val="009C5668"/>
    <w:rsid w:val="009C57BD"/>
    <w:rsid w:val="009C5812"/>
    <w:rsid w:val="009C59B1"/>
    <w:rsid w:val="009C59ED"/>
    <w:rsid w:val="009C5B07"/>
    <w:rsid w:val="009C5B0D"/>
    <w:rsid w:val="009C5BA3"/>
    <w:rsid w:val="009C5C1C"/>
    <w:rsid w:val="009C5C63"/>
    <w:rsid w:val="009C5C81"/>
    <w:rsid w:val="009C5CB2"/>
    <w:rsid w:val="009C5CC5"/>
    <w:rsid w:val="009C5CDB"/>
    <w:rsid w:val="009C5EDC"/>
    <w:rsid w:val="009C5F8D"/>
    <w:rsid w:val="009C5F94"/>
    <w:rsid w:val="009C5FB0"/>
    <w:rsid w:val="009C5FD2"/>
    <w:rsid w:val="009C6028"/>
    <w:rsid w:val="009C6051"/>
    <w:rsid w:val="009C6129"/>
    <w:rsid w:val="009C6132"/>
    <w:rsid w:val="009C6157"/>
    <w:rsid w:val="009C615D"/>
    <w:rsid w:val="009C619F"/>
    <w:rsid w:val="009C6297"/>
    <w:rsid w:val="009C62A1"/>
    <w:rsid w:val="009C6323"/>
    <w:rsid w:val="009C63FE"/>
    <w:rsid w:val="009C6419"/>
    <w:rsid w:val="009C6474"/>
    <w:rsid w:val="009C64DC"/>
    <w:rsid w:val="009C6547"/>
    <w:rsid w:val="009C6635"/>
    <w:rsid w:val="009C6682"/>
    <w:rsid w:val="009C66AD"/>
    <w:rsid w:val="009C6723"/>
    <w:rsid w:val="009C675A"/>
    <w:rsid w:val="009C689A"/>
    <w:rsid w:val="009C6A09"/>
    <w:rsid w:val="009C6A17"/>
    <w:rsid w:val="009C6A19"/>
    <w:rsid w:val="009C6AC0"/>
    <w:rsid w:val="009C6B0D"/>
    <w:rsid w:val="009C6B95"/>
    <w:rsid w:val="009C6BEA"/>
    <w:rsid w:val="009C6C32"/>
    <w:rsid w:val="009C6C66"/>
    <w:rsid w:val="009C6D29"/>
    <w:rsid w:val="009C6D3A"/>
    <w:rsid w:val="009C6D56"/>
    <w:rsid w:val="009C6DD6"/>
    <w:rsid w:val="009C6E79"/>
    <w:rsid w:val="009C6F0A"/>
    <w:rsid w:val="009C7036"/>
    <w:rsid w:val="009C7068"/>
    <w:rsid w:val="009C70BA"/>
    <w:rsid w:val="009C70E7"/>
    <w:rsid w:val="009C727B"/>
    <w:rsid w:val="009C72B9"/>
    <w:rsid w:val="009C73CE"/>
    <w:rsid w:val="009C73F0"/>
    <w:rsid w:val="009C7436"/>
    <w:rsid w:val="009C75A0"/>
    <w:rsid w:val="009C76A8"/>
    <w:rsid w:val="009C76BB"/>
    <w:rsid w:val="009C76CE"/>
    <w:rsid w:val="009C7709"/>
    <w:rsid w:val="009C7728"/>
    <w:rsid w:val="009C77EF"/>
    <w:rsid w:val="009C780B"/>
    <w:rsid w:val="009C78B3"/>
    <w:rsid w:val="009C78BC"/>
    <w:rsid w:val="009C7908"/>
    <w:rsid w:val="009C79ED"/>
    <w:rsid w:val="009C7AF9"/>
    <w:rsid w:val="009C7B58"/>
    <w:rsid w:val="009C7B8B"/>
    <w:rsid w:val="009C7CED"/>
    <w:rsid w:val="009C7E7B"/>
    <w:rsid w:val="009C7E95"/>
    <w:rsid w:val="009C7F44"/>
    <w:rsid w:val="009C7F70"/>
    <w:rsid w:val="009C7FDA"/>
    <w:rsid w:val="009C7FF2"/>
    <w:rsid w:val="009CDD57"/>
    <w:rsid w:val="009D006F"/>
    <w:rsid w:val="009D00CA"/>
    <w:rsid w:val="009D0123"/>
    <w:rsid w:val="009D0162"/>
    <w:rsid w:val="009D0331"/>
    <w:rsid w:val="009D0579"/>
    <w:rsid w:val="009D064B"/>
    <w:rsid w:val="009D070C"/>
    <w:rsid w:val="009D073B"/>
    <w:rsid w:val="009D08E5"/>
    <w:rsid w:val="009D08E7"/>
    <w:rsid w:val="009D08FA"/>
    <w:rsid w:val="009D09E8"/>
    <w:rsid w:val="009D0A31"/>
    <w:rsid w:val="009D0AE6"/>
    <w:rsid w:val="009D0BA6"/>
    <w:rsid w:val="009D0BB1"/>
    <w:rsid w:val="009D0BD1"/>
    <w:rsid w:val="009D0BED"/>
    <w:rsid w:val="009D0BFB"/>
    <w:rsid w:val="009D0C07"/>
    <w:rsid w:val="009D0C29"/>
    <w:rsid w:val="009D0D26"/>
    <w:rsid w:val="009D0DF1"/>
    <w:rsid w:val="009D0DFF"/>
    <w:rsid w:val="009D0E21"/>
    <w:rsid w:val="009D0EE6"/>
    <w:rsid w:val="009D0F33"/>
    <w:rsid w:val="009D0F9E"/>
    <w:rsid w:val="009D1079"/>
    <w:rsid w:val="009D1098"/>
    <w:rsid w:val="009D10C1"/>
    <w:rsid w:val="009D10F6"/>
    <w:rsid w:val="009D1185"/>
    <w:rsid w:val="009D119E"/>
    <w:rsid w:val="009D11DB"/>
    <w:rsid w:val="009D1290"/>
    <w:rsid w:val="009D1372"/>
    <w:rsid w:val="009D13E4"/>
    <w:rsid w:val="009D1422"/>
    <w:rsid w:val="009D142F"/>
    <w:rsid w:val="009D1447"/>
    <w:rsid w:val="009D145B"/>
    <w:rsid w:val="009D148A"/>
    <w:rsid w:val="009D14BB"/>
    <w:rsid w:val="009D1546"/>
    <w:rsid w:val="009D157D"/>
    <w:rsid w:val="009D17A8"/>
    <w:rsid w:val="009D190B"/>
    <w:rsid w:val="009D1957"/>
    <w:rsid w:val="009D1A0E"/>
    <w:rsid w:val="009D1A3C"/>
    <w:rsid w:val="009D1A58"/>
    <w:rsid w:val="009D1A7C"/>
    <w:rsid w:val="009D1B1A"/>
    <w:rsid w:val="009D1B8B"/>
    <w:rsid w:val="009D1DD7"/>
    <w:rsid w:val="009D1F3C"/>
    <w:rsid w:val="009D1F6A"/>
    <w:rsid w:val="009D1FC5"/>
    <w:rsid w:val="009D204A"/>
    <w:rsid w:val="009D20CB"/>
    <w:rsid w:val="009D213A"/>
    <w:rsid w:val="009D2184"/>
    <w:rsid w:val="009D21AE"/>
    <w:rsid w:val="009D22C6"/>
    <w:rsid w:val="009D23E0"/>
    <w:rsid w:val="009D242A"/>
    <w:rsid w:val="009D24BC"/>
    <w:rsid w:val="009D2524"/>
    <w:rsid w:val="009D254E"/>
    <w:rsid w:val="009D2583"/>
    <w:rsid w:val="009D2625"/>
    <w:rsid w:val="009D2717"/>
    <w:rsid w:val="009D2766"/>
    <w:rsid w:val="009D2828"/>
    <w:rsid w:val="009D2844"/>
    <w:rsid w:val="009D293D"/>
    <w:rsid w:val="009D2988"/>
    <w:rsid w:val="009D2A72"/>
    <w:rsid w:val="009D2AB9"/>
    <w:rsid w:val="009D2ADC"/>
    <w:rsid w:val="009D2AFA"/>
    <w:rsid w:val="009D2B61"/>
    <w:rsid w:val="009D2BAA"/>
    <w:rsid w:val="009D2C05"/>
    <w:rsid w:val="009D2C0B"/>
    <w:rsid w:val="009D2CAE"/>
    <w:rsid w:val="009D2D8B"/>
    <w:rsid w:val="009D2E76"/>
    <w:rsid w:val="009D2F2E"/>
    <w:rsid w:val="009D2FAC"/>
    <w:rsid w:val="009D2FD7"/>
    <w:rsid w:val="009D3041"/>
    <w:rsid w:val="009D3172"/>
    <w:rsid w:val="009D31E3"/>
    <w:rsid w:val="009D329B"/>
    <w:rsid w:val="009D32A1"/>
    <w:rsid w:val="009D32B7"/>
    <w:rsid w:val="009D32BF"/>
    <w:rsid w:val="009D3312"/>
    <w:rsid w:val="009D33FE"/>
    <w:rsid w:val="009D34EA"/>
    <w:rsid w:val="009D3614"/>
    <w:rsid w:val="009D367F"/>
    <w:rsid w:val="009D36BE"/>
    <w:rsid w:val="009D3713"/>
    <w:rsid w:val="009D3747"/>
    <w:rsid w:val="009D37BC"/>
    <w:rsid w:val="009D3890"/>
    <w:rsid w:val="009D38B5"/>
    <w:rsid w:val="009D38F1"/>
    <w:rsid w:val="009D3911"/>
    <w:rsid w:val="009D392E"/>
    <w:rsid w:val="009D39F3"/>
    <w:rsid w:val="009D3A18"/>
    <w:rsid w:val="009D3A64"/>
    <w:rsid w:val="009D3B10"/>
    <w:rsid w:val="009D3C52"/>
    <w:rsid w:val="009D3C81"/>
    <w:rsid w:val="009D3D03"/>
    <w:rsid w:val="009D3D96"/>
    <w:rsid w:val="009D3DF8"/>
    <w:rsid w:val="009D3E23"/>
    <w:rsid w:val="009D3E26"/>
    <w:rsid w:val="009D3E45"/>
    <w:rsid w:val="009D3F74"/>
    <w:rsid w:val="009D3F95"/>
    <w:rsid w:val="009D40B9"/>
    <w:rsid w:val="009D40ED"/>
    <w:rsid w:val="009D4129"/>
    <w:rsid w:val="009D416D"/>
    <w:rsid w:val="009D4216"/>
    <w:rsid w:val="009D425F"/>
    <w:rsid w:val="009D4279"/>
    <w:rsid w:val="009D4355"/>
    <w:rsid w:val="009D4382"/>
    <w:rsid w:val="009D4435"/>
    <w:rsid w:val="009D44BA"/>
    <w:rsid w:val="009D4583"/>
    <w:rsid w:val="009D459F"/>
    <w:rsid w:val="009D45B8"/>
    <w:rsid w:val="009D45DE"/>
    <w:rsid w:val="009D4658"/>
    <w:rsid w:val="009D477C"/>
    <w:rsid w:val="009D48F0"/>
    <w:rsid w:val="009D491B"/>
    <w:rsid w:val="009D497F"/>
    <w:rsid w:val="009D4A27"/>
    <w:rsid w:val="009D4B00"/>
    <w:rsid w:val="009D4B2A"/>
    <w:rsid w:val="009D4B71"/>
    <w:rsid w:val="009D4C3B"/>
    <w:rsid w:val="009D4CCF"/>
    <w:rsid w:val="009D4CF8"/>
    <w:rsid w:val="009D4D74"/>
    <w:rsid w:val="009D4DD9"/>
    <w:rsid w:val="009D4E2C"/>
    <w:rsid w:val="009D4E3B"/>
    <w:rsid w:val="009D4F37"/>
    <w:rsid w:val="009D4FD1"/>
    <w:rsid w:val="009D50C5"/>
    <w:rsid w:val="009D5111"/>
    <w:rsid w:val="009D513D"/>
    <w:rsid w:val="009D5170"/>
    <w:rsid w:val="009D5379"/>
    <w:rsid w:val="009D5406"/>
    <w:rsid w:val="009D544A"/>
    <w:rsid w:val="009D544E"/>
    <w:rsid w:val="009D545F"/>
    <w:rsid w:val="009D5460"/>
    <w:rsid w:val="009D5461"/>
    <w:rsid w:val="009D54CD"/>
    <w:rsid w:val="009D5559"/>
    <w:rsid w:val="009D55DF"/>
    <w:rsid w:val="009D55FC"/>
    <w:rsid w:val="009D5629"/>
    <w:rsid w:val="009D56EE"/>
    <w:rsid w:val="009D56F1"/>
    <w:rsid w:val="009D571B"/>
    <w:rsid w:val="009D5725"/>
    <w:rsid w:val="009D5761"/>
    <w:rsid w:val="009D579F"/>
    <w:rsid w:val="009D57CE"/>
    <w:rsid w:val="009D57D6"/>
    <w:rsid w:val="009D586E"/>
    <w:rsid w:val="009D58DB"/>
    <w:rsid w:val="009D5A1E"/>
    <w:rsid w:val="009D5A5F"/>
    <w:rsid w:val="009D5B3D"/>
    <w:rsid w:val="009D5C59"/>
    <w:rsid w:val="009D5CC7"/>
    <w:rsid w:val="009D5E13"/>
    <w:rsid w:val="009D5E23"/>
    <w:rsid w:val="009D5E39"/>
    <w:rsid w:val="009D5E55"/>
    <w:rsid w:val="009D5F44"/>
    <w:rsid w:val="009D5FAA"/>
    <w:rsid w:val="009D5FF4"/>
    <w:rsid w:val="009D608C"/>
    <w:rsid w:val="009D612F"/>
    <w:rsid w:val="009D6273"/>
    <w:rsid w:val="009D62D1"/>
    <w:rsid w:val="009D6448"/>
    <w:rsid w:val="009D6553"/>
    <w:rsid w:val="009D6590"/>
    <w:rsid w:val="009D660B"/>
    <w:rsid w:val="009D6620"/>
    <w:rsid w:val="009D6645"/>
    <w:rsid w:val="009D6782"/>
    <w:rsid w:val="009D67F4"/>
    <w:rsid w:val="009D688A"/>
    <w:rsid w:val="009D6895"/>
    <w:rsid w:val="009D68CD"/>
    <w:rsid w:val="009D6998"/>
    <w:rsid w:val="009D69CA"/>
    <w:rsid w:val="009D6A1B"/>
    <w:rsid w:val="009D6A3B"/>
    <w:rsid w:val="009D6A45"/>
    <w:rsid w:val="009D6A71"/>
    <w:rsid w:val="009D6AF8"/>
    <w:rsid w:val="009D6BB4"/>
    <w:rsid w:val="009D6C03"/>
    <w:rsid w:val="009D6CF4"/>
    <w:rsid w:val="009D6D84"/>
    <w:rsid w:val="009D6E05"/>
    <w:rsid w:val="009D6E70"/>
    <w:rsid w:val="009D6EC0"/>
    <w:rsid w:val="009D6ED0"/>
    <w:rsid w:val="009D7064"/>
    <w:rsid w:val="009D709F"/>
    <w:rsid w:val="009D71C4"/>
    <w:rsid w:val="009D7269"/>
    <w:rsid w:val="009D72D2"/>
    <w:rsid w:val="009D738B"/>
    <w:rsid w:val="009D73C4"/>
    <w:rsid w:val="009D73CE"/>
    <w:rsid w:val="009D73E2"/>
    <w:rsid w:val="009D73F0"/>
    <w:rsid w:val="009D7405"/>
    <w:rsid w:val="009D7417"/>
    <w:rsid w:val="009D7475"/>
    <w:rsid w:val="009D7531"/>
    <w:rsid w:val="009D7541"/>
    <w:rsid w:val="009D75CD"/>
    <w:rsid w:val="009D75E2"/>
    <w:rsid w:val="009D7713"/>
    <w:rsid w:val="009D7743"/>
    <w:rsid w:val="009D77C6"/>
    <w:rsid w:val="009D77E7"/>
    <w:rsid w:val="009D77EE"/>
    <w:rsid w:val="009D781E"/>
    <w:rsid w:val="009D7848"/>
    <w:rsid w:val="009D7849"/>
    <w:rsid w:val="009D785B"/>
    <w:rsid w:val="009D7860"/>
    <w:rsid w:val="009D79DA"/>
    <w:rsid w:val="009D79F5"/>
    <w:rsid w:val="009D7A2C"/>
    <w:rsid w:val="009D7A7B"/>
    <w:rsid w:val="009D7B26"/>
    <w:rsid w:val="009D7C40"/>
    <w:rsid w:val="009D7D67"/>
    <w:rsid w:val="009D7D80"/>
    <w:rsid w:val="009D7DCA"/>
    <w:rsid w:val="009D7E33"/>
    <w:rsid w:val="009D7EF8"/>
    <w:rsid w:val="009D7F05"/>
    <w:rsid w:val="009D7F4D"/>
    <w:rsid w:val="009D7F52"/>
    <w:rsid w:val="009D7FA3"/>
    <w:rsid w:val="009E0100"/>
    <w:rsid w:val="009E0149"/>
    <w:rsid w:val="009E018D"/>
    <w:rsid w:val="009E0192"/>
    <w:rsid w:val="009E023E"/>
    <w:rsid w:val="009E02AC"/>
    <w:rsid w:val="009E0374"/>
    <w:rsid w:val="009E03A8"/>
    <w:rsid w:val="009E03CD"/>
    <w:rsid w:val="009E03F9"/>
    <w:rsid w:val="009E0454"/>
    <w:rsid w:val="009E0457"/>
    <w:rsid w:val="009E045C"/>
    <w:rsid w:val="009E0488"/>
    <w:rsid w:val="009E04E0"/>
    <w:rsid w:val="009E050C"/>
    <w:rsid w:val="009E0552"/>
    <w:rsid w:val="009E05C0"/>
    <w:rsid w:val="009E0650"/>
    <w:rsid w:val="009E0671"/>
    <w:rsid w:val="009E0785"/>
    <w:rsid w:val="009E08C2"/>
    <w:rsid w:val="009E09C2"/>
    <w:rsid w:val="009E09E7"/>
    <w:rsid w:val="009E0A6E"/>
    <w:rsid w:val="009E0AF9"/>
    <w:rsid w:val="009E0B64"/>
    <w:rsid w:val="009E0B93"/>
    <w:rsid w:val="009E0C29"/>
    <w:rsid w:val="009E0D3B"/>
    <w:rsid w:val="009E0DA0"/>
    <w:rsid w:val="009E0EFB"/>
    <w:rsid w:val="009E0F00"/>
    <w:rsid w:val="009E0F38"/>
    <w:rsid w:val="009E0F46"/>
    <w:rsid w:val="009E10A8"/>
    <w:rsid w:val="009E1161"/>
    <w:rsid w:val="009E11CC"/>
    <w:rsid w:val="009E1295"/>
    <w:rsid w:val="009E129E"/>
    <w:rsid w:val="009E12B9"/>
    <w:rsid w:val="009E131E"/>
    <w:rsid w:val="009E134D"/>
    <w:rsid w:val="009E13AC"/>
    <w:rsid w:val="009E13F8"/>
    <w:rsid w:val="009E141C"/>
    <w:rsid w:val="009E1425"/>
    <w:rsid w:val="009E14DD"/>
    <w:rsid w:val="009E1517"/>
    <w:rsid w:val="009E1601"/>
    <w:rsid w:val="009E1616"/>
    <w:rsid w:val="009E1695"/>
    <w:rsid w:val="009E1732"/>
    <w:rsid w:val="009E17B4"/>
    <w:rsid w:val="009E17C9"/>
    <w:rsid w:val="009E1842"/>
    <w:rsid w:val="009E19A9"/>
    <w:rsid w:val="009E1A24"/>
    <w:rsid w:val="009E1A70"/>
    <w:rsid w:val="009E1A94"/>
    <w:rsid w:val="009E1BBA"/>
    <w:rsid w:val="009E1C32"/>
    <w:rsid w:val="009E1C9B"/>
    <w:rsid w:val="009E1CA5"/>
    <w:rsid w:val="009E1CE0"/>
    <w:rsid w:val="009E1D13"/>
    <w:rsid w:val="009E1D66"/>
    <w:rsid w:val="009E1E94"/>
    <w:rsid w:val="009E1ECF"/>
    <w:rsid w:val="009E1EEA"/>
    <w:rsid w:val="009E20B7"/>
    <w:rsid w:val="009E20F0"/>
    <w:rsid w:val="009E20F7"/>
    <w:rsid w:val="009E21B1"/>
    <w:rsid w:val="009E2221"/>
    <w:rsid w:val="009E22A3"/>
    <w:rsid w:val="009E230B"/>
    <w:rsid w:val="009E231A"/>
    <w:rsid w:val="009E234A"/>
    <w:rsid w:val="009E23A8"/>
    <w:rsid w:val="009E23BD"/>
    <w:rsid w:val="009E24D8"/>
    <w:rsid w:val="009E25BD"/>
    <w:rsid w:val="009E2608"/>
    <w:rsid w:val="009E2629"/>
    <w:rsid w:val="009E263F"/>
    <w:rsid w:val="009E2661"/>
    <w:rsid w:val="009E26AB"/>
    <w:rsid w:val="009E26CE"/>
    <w:rsid w:val="009E271E"/>
    <w:rsid w:val="009E27DB"/>
    <w:rsid w:val="009E285A"/>
    <w:rsid w:val="009E2865"/>
    <w:rsid w:val="009E2890"/>
    <w:rsid w:val="009E28DB"/>
    <w:rsid w:val="009E2938"/>
    <w:rsid w:val="009E2A0F"/>
    <w:rsid w:val="009E2A7C"/>
    <w:rsid w:val="009E2ABB"/>
    <w:rsid w:val="009E2AD1"/>
    <w:rsid w:val="009E2B03"/>
    <w:rsid w:val="009E2B61"/>
    <w:rsid w:val="009E2BB5"/>
    <w:rsid w:val="009E2BF6"/>
    <w:rsid w:val="009E2C93"/>
    <w:rsid w:val="009E2D9C"/>
    <w:rsid w:val="009E2EBD"/>
    <w:rsid w:val="009E2EC5"/>
    <w:rsid w:val="009E2F3F"/>
    <w:rsid w:val="009E30AF"/>
    <w:rsid w:val="009E30CB"/>
    <w:rsid w:val="009E30FA"/>
    <w:rsid w:val="009E312B"/>
    <w:rsid w:val="009E3164"/>
    <w:rsid w:val="009E3192"/>
    <w:rsid w:val="009E31AE"/>
    <w:rsid w:val="009E31D5"/>
    <w:rsid w:val="009E3268"/>
    <w:rsid w:val="009E3285"/>
    <w:rsid w:val="009E32A0"/>
    <w:rsid w:val="009E338C"/>
    <w:rsid w:val="009E33E1"/>
    <w:rsid w:val="009E3598"/>
    <w:rsid w:val="009E35D2"/>
    <w:rsid w:val="009E3658"/>
    <w:rsid w:val="009E366F"/>
    <w:rsid w:val="009E367D"/>
    <w:rsid w:val="009E36F1"/>
    <w:rsid w:val="009E3727"/>
    <w:rsid w:val="009E3767"/>
    <w:rsid w:val="009E3788"/>
    <w:rsid w:val="009E37E8"/>
    <w:rsid w:val="009E37EA"/>
    <w:rsid w:val="009E37FC"/>
    <w:rsid w:val="009E3989"/>
    <w:rsid w:val="009E3A20"/>
    <w:rsid w:val="009E3B3B"/>
    <w:rsid w:val="009E3B85"/>
    <w:rsid w:val="009E3BD3"/>
    <w:rsid w:val="009E3BDE"/>
    <w:rsid w:val="009E3BEC"/>
    <w:rsid w:val="009E3D08"/>
    <w:rsid w:val="009E3DA0"/>
    <w:rsid w:val="009E3E01"/>
    <w:rsid w:val="009E3F28"/>
    <w:rsid w:val="009E3F44"/>
    <w:rsid w:val="009E40B9"/>
    <w:rsid w:val="009E420F"/>
    <w:rsid w:val="009E427A"/>
    <w:rsid w:val="009E42B5"/>
    <w:rsid w:val="009E42DC"/>
    <w:rsid w:val="009E42E4"/>
    <w:rsid w:val="009E4349"/>
    <w:rsid w:val="009E4470"/>
    <w:rsid w:val="009E44AD"/>
    <w:rsid w:val="009E44B4"/>
    <w:rsid w:val="009E4534"/>
    <w:rsid w:val="009E455C"/>
    <w:rsid w:val="009E459C"/>
    <w:rsid w:val="009E45C9"/>
    <w:rsid w:val="009E46F8"/>
    <w:rsid w:val="009E4834"/>
    <w:rsid w:val="009E49C8"/>
    <w:rsid w:val="009E4AE0"/>
    <w:rsid w:val="009E4AFF"/>
    <w:rsid w:val="009E4B2D"/>
    <w:rsid w:val="009E4B76"/>
    <w:rsid w:val="009E4B8B"/>
    <w:rsid w:val="009E4BF5"/>
    <w:rsid w:val="009E4D52"/>
    <w:rsid w:val="009E4E91"/>
    <w:rsid w:val="009E4E9A"/>
    <w:rsid w:val="009E4F37"/>
    <w:rsid w:val="009E502A"/>
    <w:rsid w:val="009E5101"/>
    <w:rsid w:val="009E510C"/>
    <w:rsid w:val="009E511E"/>
    <w:rsid w:val="009E51A6"/>
    <w:rsid w:val="009E51D5"/>
    <w:rsid w:val="009E5273"/>
    <w:rsid w:val="009E5289"/>
    <w:rsid w:val="009E538B"/>
    <w:rsid w:val="009E54B3"/>
    <w:rsid w:val="009E5527"/>
    <w:rsid w:val="009E55BC"/>
    <w:rsid w:val="009E564C"/>
    <w:rsid w:val="009E5666"/>
    <w:rsid w:val="009E5695"/>
    <w:rsid w:val="009E56B4"/>
    <w:rsid w:val="009E57E5"/>
    <w:rsid w:val="009E57F0"/>
    <w:rsid w:val="009E5814"/>
    <w:rsid w:val="009E5822"/>
    <w:rsid w:val="009E58F8"/>
    <w:rsid w:val="009E5921"/>
    <w:rsid w:val="009E592E"/>
    <w:rsid w:val="009E593C"/>
    <w:rsid w:val="009E594C"/>
    <w:rsid w:val="009E5A62"/>
    <w:rsid w:val="009E5B62"/>
    <w:rsid w:val="009E5B74"/>
    <w:rsid w:val="009E5BAC"/>
    <w:rsid w:val="009E5C77"/>
    <w:rsid w:val="009E5D30"/>
    <w:rsid w:val="009E5EBE"/>
    <w:rsid w:val="009E5F04"/>
    <w:rsid w:val="009E5F3D"/>
    <w:rsid w:val="009E5F58"/>
    <w:rsid w:val="009E5F61"/>
    <w:rsid w:val="009E5F62"/>
    <w:rsid w:val="009E5F63"/>
    <w:rsid w:val="009E5F7A"/>
    <w:rsid w:val="009E5FD6"/>
    <w:rsid w:val="009E5FF0"/>
    <w:rsid w:val="009E612A"/>
    <w:rsid w:val="009E61C2"/>
    <w:rsid w:val="009E62F0"/>
    <w:rsid w:val="009E6418"/>
    <w:rsid w:val="009E6493"/>
    <w:rsid w:val="009E65F6"/>
    <w:rsid w:val="009E661F"/>
    <w:rsid w:val="009E667E"/>
    <w:rsid w:val="009E6776"/>
    <w:rsid w:val="009E67E2"/>
    <w:rsid w:val="009E67F2"/>
    <w:rsid w:val="009E685A"/>
    <w:rsid w:val="009E68D2"/>
    <w:rsid w:val="009E699F"/>
    <w:rsid w:val="009E69F1"/>
    <w:rsid w:val="009E6A41"/>
    <w:rsid w:val="009E6B4A"/>
    <w:rsid w:val="009E6BD2"/>
    <w:rsid w:val="009E6BF3"/>
    <w:rsid w:val="009E6C30"/>
    <w:rsid w:val="009E6C3A"/>
    <w:rsid w:val="009E6DEA"/>
    <w:rsid w:val="009E7067"/>
    <w:rsid w:val="009E707F"/>
    <w:rsid w:val="009E70CA"/>
    <w:rsid w:val="009E717B"/>
    <w:rsid w:val="009E71C8"/>
    <w:rsid w:val="009E7230"/>
    <w:rsid w:val="009E7389"/>
    <w:rsid w:val="009E7450"/>
    <w:rsid w:val="009E74A0"/>
    <w:rsid w:val="009E75A1"/>
    <w:rsid w:val="009E75F0"/>
    <w:rsid w:val="009E7608"/>
    <w:rsid w:val="009E7748"/>
    <w:rsid w:val="009E7768"/>
    <w:rsid w:val="009E77DE"/>
    <w:rsid w:val="009E77F6"/>
    <w:rsid w:val="009E7844"/>
    <w:rsid w:val="009E78DD"/>
    <w:rsid w:val="009E78E5"/>
    <w:rsid w:val="009E7950"/>
    <w:rsid w:val="009E79ED"/>
    <w:rsid w:val="009E79F6"/>
    <w:rsid w:val="009E7A2B"/>
    <w:rsid w:val="009E7A99"/>
    <w:rsid w:val="009E7AA7"/>
    <w:rsid w:val="009E7AB9"/>
    <w:rsid w:val="009E7AEF"/>
    <w:rsid w:val="009E7B20"/>
    <w:rsid w:val="009E7BC4"/>
    <w:rsid w:val="009E7BD7"/>
    <w:rsid w:val="009E7C0D"/>
    <w:rsid w:val="009E7D11"/>
    <w:rsid w:val="009E7D31"/>
    <w:rsid w:val="009E7DC4"/>
    <w:rsid w:val="009E7E50"/>
    <w:rsid w:val="009E7FA2"/>
    <w:rsid w:val="009F009E"/>
    <w:rsid w:val="009F018C"/>
    <w:rsid w:val="009F01D4"/>
    <w:rsid w:val="009F0262"/>
    <w:rsid w:val="009F028F"/>
    <w:rsid w:val="009F02A1"/>
    <w:rsid w:val="009F0399"/>
    <w:rsid w:val="009F03A7"/>
    <w:rsid w:val="009F044A"/>
    <w:rsid w:val="009F04EA"/>
    <w:rsid w:val="009F057F"/>
    <w:rsid w:val="009F05D6"/>
    <w:rsid w:val="009F080E"/>
    <w:rsid w:val="009F085D"/>
    <w:rsid w:val="009F0916"/>
    <w:rsid w:val="009F093A"/>
    <w:rsid w:val="009F095C"/>
    <w:rsid w:val="009F0998"/>
    <w:rsid w:val="009F0A5E"/>
    <w:rsid w:val="009F0ADB"/>
    <w:rsid w:val="009F0B29"/>
    <w:rsid w:val="009F0B3F"/>
    <w:rsid w:val="009F0B9C"/>
    <w:rsid w:val="009F0C14"/>
    <w:rsid w:val="009F0C1D"/>
    <w:rsid w:val="009F0C26"/>
    <w:rsid w:val="009F0C36"/>
    <w:rsid w:val="009F0C7D"/>
    <w:rsid w:val="009F0D22"/>
    <w:rsid w:val="009F0D99"/>
    <w:rsid w:val="009F0DBD"/>
    <w:rsid w:val="009F0DD2"/>
    <w:rsid w:val="009F0E17"/>
    <w:rsid w:val="009F0E70"/>
    <w:rsid w:val="009F0E94"/>
    <w:rsid w:val="009F0EB2"/>
    <w:rsid w:val="009F0F2A"/>
    <w:rsid w:val="009F0FA6"/>
    <w:rsid w:val="009F0FBF"/>
    <w:rsid w:val="009F1032"/>
    <w:rsid w:val="009F1041"/>
    <w:rsid w:val="009F1042"/>
    <w:rsid w:val="009F1051"/>
    <w:rsid w:val="009F10D7"/>
    <w:rsid w:val="009F1131"/>
    <w:rsid w:val="009F116E"/>
    <w:rsid w:val="009F1185"/>
    <w:rsid w:val="009F1186"/>
    <w:rsid w:val="009F11E9"/>
    <w:rsid w:val="009F13E2"/>
    <w:rsid w:val="009F1500"/>
    <w:rsid w:val="009F15A4"/>
    <w:rsid w:val="009F1686"/>
    <w:rsid w:val="009F169C"/>
    <w:rsid w:val="009F171E"/>
    <w:rsid w:val="009F183F"/>
    <w:rsid w:val="009F191A"/>
    <w:rsid w:val="009F195C"/>
    <w:rsid w:val="009F19A0"/>
    <w:rsid w:val="009F1A5E"/>
    <w:rsid w:val="009F1AC4"/>
    <w:rsid w:val="009F1AC8"/>
    <w:rsid w:val="009F1AD1"/>
    <w:rsid w:val="009F1B41"/>
    <w:rsid w:val="009F1BA4"/>
    <w:rsid w:val="009F1D0A"/>
    <w:rsid w:val="009F1DB0"/>
    <w:rsid w:val="009F1E9F"/>
    <w:rsid w:val="009F1EB8"/>
    <w:rsid w:val="009F1ECE"/>
    <w:rsid w:val="009F1F9E"/>
    <w:rsid w:val="009F1FFC"/>
    <w:rsid w:val="009F2027"/>
    <w:rsid w:val="009F2042"/>
    <w:rsid w:val="009F2090"/>
    <w:rsid w:val="009F20F9"/>
    <w:rsid w:val="009F2122"/>
    <w:rsid w:val="009F2157"/>
    <w:rsid w:val="009F228B"/>
    <w:rsid w:val="009F233F"/>
    <w:rsid w:val="009F235F"/>
    <w:rsid w:val="009F23B3"/>
    <w:rsid w:val="009F2435"/>
    <w:rsid w:val="009F2459"/>
    <w:rsid w:val="009F24B1"/>
    <w:rsid w:val="009F2537"/>
    <w:rsid w:val="009F255D"/>
    <w:rsid w:val="009F25AE"/>
    <w:rsid w:val="009F2655"/>
    <w:rsid w:val="009F2678"/>
    <w:rsid w:val="009F26C6"/>
    <w:rsid w:val="009F2794"/>
    <w:rsid w:val="009F2826"/>
    <w:rsid w:val="009F288B"/>
    <w:rsid w:val="009F28B1"/>
    <w:rsid w:val="009F2951"/>
    <w:rsid w:val="009F2A50"/>
    <w:rsid w:val="009F2A57"/>
    <w:rsid w:val="009F2AA9"/>
    <w:rsid w:val="009F2B0A"/>
    <w:rsid w:val="009F2B2D"/>
    <w:rsid w:val="009F2B8D"/>
    <w:rsid w:val="009F2D35"/>
    <w:rsid w:val="009F2D5D"/>
    <w:rsid w:val="009F2DCE"/>
    <w:rsid w:val="009F2E6C"/>
    <w:rsid w:val="009F2EF8"/>
    <w:rsid w:val="009F2F1A"/>
    <w:rsid w:val="009F2F21"/>
    <w:rsid w:val="009F2FDD"/>
    <w:rsid w:val="009F2FEF"/>
    <w:rsid w:val="009F3017"/>
    <w:rsid w:val="009F3049"/>
    <w:rsid w:val="009F3113"/>
    <w:rsid w:val="009F31A6"/>
    <w:rsid w:val="009F31B7"/>
    <w:rsid w:val="009F31DC"/>
    <w:rsid w:val="009F31F9"/>
    <w:rsid w:val="009F320A"/>
    <w:rsid w:val="009F3354"/>
    <w:rsid w:val="009F335A"/>
    <w:rsid w:val="009F3393"/>
    <w:rsid w:val="009F33DD"/>
    <w:rsid w:val="009F33E9"/>
    <w:rsid w:val="009F3484"/>
    <w:rsid w:val="009F34A7"/>
    <w:rsid w:val="009F3525"/>
    <w:rsid w:val="009F367F"/>
    <w:rsid w:val="009F370A"/>
    <w:rsid w:val="009F3757"/>
    <w:rsid w:val="009F37A0"/>
    <w:rsid w:val="009F37A7"/>
    <w:rsid w:val="009F3880"/>
    <w:rsid w:val="009F38EB"/>
    <w:rsid w:val="009F391F"/>
    <w:rsid w:val="009F39CD"/>
    <w:rsid w:val="009F3A26"/>
    <w:rsid w:val="009F3A46"/>
    <w:rsid w:val="009F3BA9"/>
    <w:rsid w:val="009F3C15"/>
    <w:rsid w:val="009F3C7B"/>
    <w:rsid w:val="009F3C9F"/>
    <w:rsid w:val="009F3D0D"/>
    <w:rsid w:val="009F3D71"/>
    <w:rsid w:val="009F3D7C"/>
    <w:rsid w:val="009F3DAD"/>
    <w:rsid w:val="009F3FC1"/>
    <w:rsid w:val="009F3FF0"/>
    <w:rsid w:val="009F4028"/>
    <w:rsid w:val="009F4142"/>
    <w:rsid w:val="009F4153"/>
    <w:rsid w:val="009F41AF"/>
    <w:rsid w:val="009F426A"/>
    <w:rsid w:val="009F4382"/>
    <w:rsid w:val="009F4440"/>
    <w:rsid w:val="009F44E7"/>
    <w:rsid w:val="009F44FD"/>
    <w:rsid w:val="009F4501"/>
    <w:rsid w:val="009F453E"/>
    <w:rsid w:val="009F4623"/>
    <w:rsid w:val="009F46E3"/>
    <w:rsid w:val="009F4800"/>
    <w:rsid w:val="009F481B"/>
    <w:rsid w:val="009F487E"/>
    <w:rsid w:val="009F48A4"/>
    <w:rsid w:val="009F48B1"/>
    <w:rsid w:val="009F491F"/>
    <w:rsid w:val="009F4AFE"/>
    <w:rsid w:val="009F4B3C"/>
    <w:rsid w:val="009F4C11"/>
    <w:rsid w:val="009F4C50"/>
    <w:rsid w:val="009F4CDB"/>
    <w:rsid w:val="009F4DB8"/>
    <w:rsid w:val="009F4DDD"/>
    <w:rsid w:val="009F4F20"/>
    <w:rsid w:val="009F4F29"/>
    <w:rsid w:val="009F4F4E"/>
    <w:rsid w:val="009F4FDD"/>
    <w:rsid w:val="009F5025"/>
    <w:rsid w:val="009F50C0"/>
    <w:rsid w:val="009F50E6"/>
    <w:rsid w:val="009F50F7"/>
    <w:rsid w:val="009F50FD"/>
    <w:rsid w:val="009F50FE"/>
    <w:rsid w:val="009F5189"/>
    <w:rsid w:val="009F51F0"/>
    <w:rsid w:val="009F51F6"/>
    <w:rsid w:val="009F5212"/>
    <w:rsid w:val="009F5214"/>
    <w:rsid w:val="009F5246"/>
    <w:rsid w:val="009F5258"/>
    <w:rsid w:val="009F528C"/>
    <w:rsid w:val="009F52F4"/>
    <w:rsid w:val="009F52F9"/>
    <w:rsid w:val="009F5389"/>
    <w:rsid w:val="009F5418"/>
    <w:rsid w:val="009F54B6"/>
    <w:rsid w:val="009F552C"/>
    <w:rsid w:val="009F556C"/>
    <w:rsid w:val="009F55B1"/>
    <w:rsid w:val="009F564B"/>
    <w:rsid w:val="009F568F"/>
    <w:rsid w:val="009F56DA"/>
    <w:rsid w:val="009F571F"/>
    <w:rsid w:val="009F577A"/>
    <w:rsid w:val="009F5845"/>
    <w:rsid w:val="009F59D7"/>
    <w:rsid w:val="009F5A46"/>
    <w:rsid w:val="009F5A4E"/>
    <w:rsid w:val="009F5B77"/>
    <w:rsid w:val="009F5C13"/>
    <w:rsid w:val="009F5C8F"/>
    <w:rsid w:val="009F5CB0"/>
    <w:rsid w:val="009F5CF1"/>
    <w:rsid w:val="009F5D0D"/>
    <w:rsid w:val="009F5DB4"/>
    <w:rsid w:val="009F5E47"/>
    <w:rsid w:val="009F5E8B"/>
    <w:rsid w:val="009F5E95"/>
    <w:rsid w:val="009F5EEB"/>
    <w:rsid w:val="009F5EFF"/>
    <w:rsid w:val="009F6044"/>
    <w:rsid w:val="009F61AA"/>
    <w:rsid w:val="009F6223"/>
    <w:rsid w:val="009F62B0"/>
    <w:rsid w:val="009F6334"/>
    <w:rsid w:val="009F63F1"/>
    <w:rsid w:val="009F640C"/>
    <w:rsid w:val="009F645B"/>
    <w:rsid w:val="009F645F"/>
    <w:rsid w:val="009F6494"/>
    <w:rsid w:val="009F64D8"/>
    <w:rsid w:val="009F667C"/>
    <w:rsid w:val="009F66F1"/>
    <w:rsid w:val="009F675C"/>
    <w:rsid w:val="009F6803"/>
    <w:rsid w:val="009F6875"/>
    <w:rsid w:val="009F6876"/>
    <w:rsid w:val="009F6984"/>
    <w:rsid w:val="009F698F"/>
    <w:rsid w:val="009F69B0"/>
    <w:rsid w:val="009F69F4"/>
    <w:rsid w:val="009F6A18"/>
    <w:rsid w:val="009F6B04"/>
    <w:rsid w:val="009F6B6C"/>
    <w:rsid w:val="009F6BB7"/>
    <w:rsid w:val="009F6C21"/>
    <w:rsid w:val="009F6C46"/>
    <w:rsid w:val="009F6D1B"/>
    <w:rsid w:val="009F6DDD"/>
    <w:rsid w:val="009F6E61"/>
    <w:rsid w:val="009F6ED5"/>
    <w:rsid w:val="009F6EDE"/>
    <w:rsid w:val="009F6F06"/>
    <w:rsid w:val="009F6F0D"/>
    <w:rsid w:val="009F6FFE"/>
    <w:rsid w:val="009F7059"/>
    <w:rsid w:val="009F71AE"/>
    <w:rsid w:val="009F71CE"/>
    <w:rsid w:val="009F71E2"/>
    <w:rsid w:val="009F72E7"/>
    <w:rsid w:val="009F7326"/>
    <w:rsid w:val="009F737F"/>
    <w:rsid w:val="009F73C3"/>
    <w:rsid w:val="009F73FA"/>
    <w:rsid w:val="009F74B1"/>
    <w:rsid w:val="009F7556"/>
    <w:rsid w:val="009F766A"/>
    <w:rsid w:val="009F76BB"/>
    <w:rsid w:val="009F76BF"/>
    <w:rsid w:val="009F76CA"/>
    <w:rsid w:val="009F7782"/>
    <w:rsid w:val="009F781F"/>
    <w:rsid w:val="009F7941"/>
    <w:rsid w:val="009F79A9"/>
    <w:rsid w:val="009F7A1F"/>
    <w:rsid w:val="009F7A91"/>
    <w:rsid w:val="009F7AA0"/>
    <w:rsid w:val="009F7CBF"/>
    <w:rsid w:val="009F7D44"/>
    <w:rsid w:val="009F7DC3"/>
    <w:rsid w:val="009F7E0A"/>
    <w:rsid w:val="009F7E89"/>
    <w:rsid w:val="009F7EE5"/>
    <w:rsid w:val="009F7F15"/>
    <w:rsid w:val="009F7F4D"/>
    <w:rsid w:val="009F7F74"/>
    <w:rsid w:val="009F7FFB"/>
    <w:rsid w:val="00A0002A"/>
    <w:rsid w:val="00A00194"/>
    <w:rsid w:val="00A00285"/>
    <w:rsid w:val="00A00292"/>
    <w:rsid w:val="00A0034A"/>
    <w:rsid w:val="00A00387"/>
    <w:rsid w:val="00A003AF"/>
    <w:rsid w:val="00A003C2"/>
    <w:rsid w:val="00A00409"/>
    <w:rsid w:val="00A00429"/>
    <w:rsid w:val="00A00442"/>
    <w:rsid w:val="00A004AB"/>
    <w:rsid w:val="00A004FF"/>
    <w:rsid w:val="00A005D7"/>
    <w:rsid w:val="00A0066A"/>
    <w:rsid w:val="00A00863"/>
    <w:rsid w:val="00A008E5"/>
    <w:rsid w:val="00A008ED"/>
    <w:rsid w:val="00A00961"/>
    <w:rsid w:val="00A00A34"/>
    <w:rsid w:val="00A00A42"/>
    <w:rsid w:val="00A00A82"/>
    <w:rsid w:val="00A00B00"/>
    <w:rsid w:val="00A00B3B"/>
    <w:rsid w:val="00A00B87"/>
    <w:rsid w:val="00A00BBF"/>
    <w:rsid w:val="00A00BCB"/>
    <w:rsid w:val="00A00BEC"/>
    <w:rsid w:val="00A00C26"/>
    <w:rsid w:val="00A00C43"/>
    <w:rsid w:val="00A00CFD"/>
    <w:rsid w:val="00A00D33"/>
    <w:rsid w:val="00A00D71"/>
    <w:rsid w:val="00A00E1C"/>
    <w:rsid w:val="00A00E56"/>
    <w:rsid w:val="00A00E8B"/>
    <w:rsid w:val="00A00FC0"/>
    <w:rsid w:val="00A010AB"/>
    <w:rsid w:val="00A01112"/>
    <w:rsid w:val="00A0111E"/>
    <w:rsid w:val="00A01123"/>
    <w:rsid w:val="00A01152"/>
    <w:rsid w:val="00A0115D"/>
    <w:rsid w:val="00A011B0"/>
    <w:rsid w:val="00A011B8"/>
    <w:rsid w:val="00A01333"/>
    <w:rsid w:val="00A01364"/>
    <w:rsid w:val="00A01380"/>
    <w:rsid w:val="00A013C7"/>
    <w:rsid w:val="00A01414"/>
    <w:rsid w:val="00A01465"/>
    <w:rsid w:val="00A014DC"/>
    <w:rsid w:val="00A014E9"/>
    <w:rsid w:val="00A0151A"/>
    <w:rsid w:val="00A01556"/>
    <w:rsid w:val="00A01636"/>
    <w:rsid w:val="00A0169F"/>
    <w:rsid w:val="00A016F7"/>
    <w:rsid w:val="00A0188B"/>
    <w:rsid w:val="00A0193E"/>
    <w:rsid w:val="00A0199D"/>
    <w:rsid w:val="00A01A01"/>
    <w:rsid w:val="00A01A71"/>
    <w:rsid w:val="00A01B52"/>
    <w:rsid w:val="00A01C4A"/>
    <w:rsid w:val="00A01C9B"/>
    <w:rsid w:val="00A01DC7"/>
    <w:rsid w:val="00A01E1B"/>
    <w:rsid w:val="00A01E43"/>
    <w:rsid w:val="00A01ED3"/>
    <w:rsid w:val="00A01F07"/>
    <w:rsid w:val="00A02021"/>
    <w:rsid w:val="00A0213E"/>
    <w:rsid w:val="00A0218E"/>
    <w:rsid w:val="00A021B3"/>
    <w:rsid w:val="00A021D7"/>
    <w:rsid w:val="00A02354"/>
    <w:rsid w:val="00A02364"/>
    <w:rsid w:val="00A024A7"/>
    <w:rsid w:val="00A024A8"/>
    <w:rsid w:val="00A0250A"/>
    <w:rsid w:val="00A025B1"/>
    <w:rsid w:val="00A025BA"/>
    <w:rsid w:val="00A025E8"/>
    <w:rsid w:val="00A0262B"/>
    <w:rsid w:val="00A02659"/>
    <w:rsid w:val="00A026D0"/>
    <w:rsid w:val="00A0271C"/>
    <w:rsid w:val="00A0275D"/>
    <w:rsid w:val="00A027C9"/>
    <w:rsid w:val="00A027F7"/>
    <w:rsid w:val="00A02804"/>
    <w:rsid w:val="00A0281B"/>
    <w:rsid w:val="00A0293F"/>
    <w:rsid w:val="00A029A3"/>
    <w:rsid w:val="00A029B1"/>
    <w:rsid w:val="00A029C6"/>
    <w:rsid w:val="00A02A1F"/>
    <w:rsid w:val="00A02A32"/>
    <w:rsid w:val="00A02A3F"/>
    <w:rsid w:val="00A02A58"/>
    <w:rsid w:val="00A02A5A"/>
    <w:rsid w:val="00A02A71"/>
    <w:rsid w:val="00A02C51"/>
    <w:rsid w:val="00A02C76"/>
    <w:rsid w:val="00A02C91"/>
    <w:rsid w:val="00A02E8E"/>
    <w:rsid w:val="00A02FD3"/>
    <w:rsid w:val="00A0300A"/>
    <w:rsid w:val="00A03044"/>
    <w:rsid w:val="00A03055"/>
    <w:rsid w:val="00A03083"/>
    <w:rsid w:val="00A03119"/>
    <w:rsid w:val="00A03139"/>
    <w:rsid w:val="00A031D2"/>
    <w:rsid w:val="00A0320F"/>
    <w:rsid w:val="00A0324A"/>
    <w:rsid w:val="00A032D1"/>
    <w:rsid w:val="00A032F9"/>
    <w:rsid w:val="00A03339"/>
    <w:rsid w:val="00A03340"/>
    <w:rsid w:val="00A0341E"/>
    <w:rsid w:val="00A03474"/>
    <w:rsid w:val="00A03533"/>
    <w:rsid w:val="00A036F6"/>
    <w:rsid w:val="00A038EE"/>
    <w:rsid w:val="00A03948"/>
    <w:rsid w:val="00A039AF"/>
    <w:rsid w:val="00A039ED"/>
    <w:rsid w:val="00A03BDB"/>
    <w:rsid w:val="00A03D7D"/>
    <w:rsid w:val="00A03DA3"/>
    <w:rsid w:val="00A03E5A"/>
    <w:rsid w:val="00A03E8E"/>
    <w:rsid w:val="00A03EB2"/>
    <w:rsid w:val="00A03EB9"/>
    <w:rsid w:val="00A03EC4"/>
    <w:rsid w:val="00A0400C"/>
    <w:rsid w:val="00A04029"/>
    <w:rsid w:val="00A04107"/>
    <w:rsid w:val="00A0410C"/>
    <w:rsid w:val="00A041C7"/>
    <w:rsid w:val="00A0422E"/>
    <w:rsid w:val="00A04307"/>
    <w:rsid w:val="00A04333"/>
    <w:rsid w:val="00A04456"/>
    <w:rsid w:val="00A04464"/>
    <w:rsid w:val="00A04672"/>
    <w:rsid w:val="00A046A6"/>
    <w:rsid w:val="00A04753"/>
    <w:rsid w:val="00A0479C"/>
    <w:rsid w:val="00A047A2"/>
    <w:rsid w:val="00A047D2"/>
    <w:rsid w:val="00A04809"/>
    <w:rsid w:val="00A04820"/>
    <w:rsid w:val="00A04A39"/>
    <w:rsid w:val="00A04AB0"/>
    <w:rsid w:val="00A04AF4"/>
    <w:rsid w:val="00A04C86"/>
    <w:rsid w:val="00A04D6D"/>
    <w:rsid w:val="00A04D6F"/>
    <w:rsid w:val="00A04E42"/>
    <w:rsid w:val="00A04E76"/>
    <w:rsid w:val="00A04F8C"/>
    <w:rsid w:val="00A04F94"/>
    <w:rsid w:val="00A05032"/>
    <w:rsid w:val="00A0508A"/>
    <w:rsid w:val="00A0513A"/>
    <w:rsid w:val="00A05155"/>
    <w:rsid w:val="00A051A2"/>
    <w:rsid w:val="00A051A3"/>
    <w:rsid w:val="00A051EA"/>
    <w:rsid w:val="00A05281"/>
    <w:rsid w:val="00A052E9"/>
    <w:rsid w:val="00A05316"/>
    <w:rsid w:val="00A05386"/>
    <w:rsid w:val="00A05390"/>
    <w:rsid w:val="00A05413"/>
    <w:rsid w:val="00A05429"/>
    <w:rsid w:val="00A05474"/>
    <w:rsid w:val="00A054E9"/>
    <w:rsid w:val="00A056F7"/>
    <w:rsid w:val="00A057B8"/>
    <w:rsid w:val="00A057CE"/>
    <w:rsid w:val="00A057D8"/>
    <w:rsid w:val="00A05822"/>
    <w:rsid w:val="00A0587F"/>
    <w:rsid w:val="00A0589C"/>
    <w:rsid w:val="00A059A7"/>
    <w:rsid w:val="00A059D4"/>
    <w:rsid w:val="00A05AB9"/>
    <w:rsid w:val="00A05AEB"/>
    <w:rsid w:val="00A05B0C"/>
    <w:rsid w:val="00A05BD0"/>
    <w:rsid w:val="00A05C6D"/>
    <w:rsid w:val="00A05D14"/>
    <w:rsid w:val="00A05D52"/>
    <w:rsid w:val="00A05DBE"/>
    <w:rsid w:val="00A05DFC"/>
    <w:rsid w:val="00A05F22"/>
    <w:rsid w:val="00A05FF6"/>
    <w:rsid w:val="00A06005"/>
    <w:rsid w:val="00A06093"/>
    <w:rsid w:val="00A0617C"/>
    <w:rsid w:val="00A061B3"/>
    <w:rsid w:val="00A06290"/>
    <w:rsid w:val="00A063F6"/>
    <w:rsid w:val="00A06404"/>
    <w:rsid w:val="00A06429"/>
    <w:rsid w:val="00A0654A"/>
    <w:rsid w:val="00A06561"/>
    <w:rsid w:val="00A06581"/>
    <w:rsid w:val="00A0658C"/>
    <w:rsid w:val="00A065A1"/>
    <w:rsid w:val="00A065A3"/>
    <w:rsid w:val="00A065CC"/>
    <w:rsid w:val="00A06648"/>
    <w:rsid w:val="00A066D3"/>
    <w:rsid w:val="00A066D8"/>
    <w:rsid w:val="00A066F2"/>
    <w:rsid w:val="00A067C1"/>
    <w:rsid w:val="00A06894"/>
    <w:rsid w:val="00A068FB"/>
    <w:rsid w:val="00A0691B"/>
    <w:rsid w:val="00A0693B"/>
    <w:rsid w:val="00A0698A"/>
    <w:rsid w:val="00A069C5"/>
    <w:rsid w:val="00A069C9"/>
    <w:rsid w:val="00A069CC"/>
    <w:rsid w:val="00A06A14"/>
    <w:rsid w:val="00A06C20"/>
    <w:rsid w:val="00A06C5C"/>
    <w:rsid w:val="00A06CBA"/>
    <w:rsid w:val="00A06E0F"/>
    <w:rsid w:val="00A06E48"/>
    <w:rsid w:val="00A06F24"/>
    <w:rsid w:val="00A0704D"/>
    <w:rsid w:val="00A07056"/>
    <w:rsid w:val="00A07111"/>
    <w:rsid w:val="00A0712B"/>
    <w:rsid w:val="00A071FD"/>
    <w:rsid w:val="00A07202"/>
    <w:rsid w:val="00A07278"/>
    <w:rsid w:val="00A07329"/>
    <w:rsid w:val="00A073B2"/>
    <w:rsid w:val="00A073B3"/>
    <w:rsid w:val="00A073E8"/>
    <w:rsid w:val="00A074F4"/>
    <w:rsid w:val="00A07546"/>
    <w:rsid w:val="00A07596"/>
    <w:rsid w:val="00A075A0"/>
    <w:rsid w:val="00A07666"/>
    <w:rsid w:val="00A07686"/>
    <w:rsid w:val="00A076F2"/>
    <w:rsid w:val="00A07749"/>
    <w:rsid w:val="00A077F8"/>
    <w:rsid w:val="00A0793D"/>
    <w:rsid w:val="00A07A79"/>
    <w:rsid w:val="00A07B55"/>
    <w:rsid w:val="00A07BB5"/>
    <w:rsid w:val="00A07C12"/>
    <w:rsid w:val="00A07C55"/>
    <w:rsid w:val="00A07C8D"/>
    <w:rsid w:val="00A07D0B"/>
    <w:rsid w:val="00A07E19"/>
    <w:rsid w:val="00A07EC4"/>
    <w:rsid w:val="00A07EFE"/>
    <w:rsid w:val="00A10049"/>
    <w:rsid w:val="00A10088"/>
    <w:rsid w:val="00A100BB"/>
    <w:rsid w:val="00A100D1"/>
    <w:rsid w:val="00A10106"/>
    <w:rsid w:val="00A101D9"/>
    <w:rsid w:val="00A10258"/>
    <w:rsid w:val="00A1025B"/>
    <w:rsid w:val="00A1027F"/>
    <w:rsid w:val="00A102E6"/>
    <w:rsid w:val="00A10338"/>
    <w:rsid w:val="00A10354"/>
    <w:rsid w:val="00A1045E"/>
    <w:rsid w:val="00A10486"/>
    <w:rsid w:val="00A104A1"/>
    <w:rsid w:val="00A104DA"/>
    <w:rsid w:val="00A10558"/>
    <w:rsid w:val="00A1076A"/>
    <w:rsid w:val="00A1093A"/>
    <w:rsid w:val="00A10953"/>
    <w:rsid w:val="00A109E7"/>
    <w:rsid w:val="00A10AF4"/>
    <w:rsid w:val="00A10C65"/>
    <w:rsid w:val="00A10C86"/>
    <w:rsid w:val="00A10CE6"/>
    <w:rsid w:val="00A10CE7"/>
    <w:rsid w:val="00A10CE9"/>
    <w:rsid w:val="00A10D52"/>
    <w:rsid w:val="00A10D57"/>
    <w:rsid w:val="00A10D7F"/>
    <w:rsid w:val="00A10D95"/>
    <w:rsid w:val="00A10E30"/>
    <w:rsid w:val="00A10EAE"/>
    <w:rsid w:val="00A10F29"/>
    <w:rsid w:val="00A10FE7"/>
    <w:rsid w:val="00A11031"/>
    <w:rsid w:val="00A110C5"/>
    <w:rsid w:val="00A110C9"/>
    <w:rsid w:val="00A11117"/>
    <w:rsid w:val="00A1112D"/>
    <w:rsid w:val="00A11174"/>
    <w:rsid w:val="00A11254"/>
    <w:rsid w:val="00A11322"/>
    <w:rsid w:val="00A113F0"/>
    <w:rsid w:val="00A113FF"/>
    <w:rsid w:val="00A1142E"/>
    <w:rsid w:val="00A11456"/>
    <w:rsid w:val="00A114E4"/>
    <w:rsid w:val="00A11527"/>
    <w:rsid w:val="00A115A6"/>
    <w:rsid w:val="00A115C3"/>
    <w:rsid w:val="00A116E3"/>
    <w:rsid w:val="00A116EA"/>
    <w:rsid w:val="00A11778"/>
    <w:rsid w:val="00A11897"/>
    <w:rsid w:val="00A1193D"/>
    <w:rsid w:val="00A119BB"/>
    <w:rsid w:val="00A119BC"/>
    <w:rsid w:val="00A119FE"/>
    <w:rsid w:val="00A11A2E"/>
    <w:rsid w:val="00A11A30"/>
    <w:rsid w:val="00A11A40"/>
    <w:rsid w:val="00A11A70"/>
    <w:rsid w:val="00A11AC2"/>
    <w:rsid w:val="00A11B99"/>
    <w:rsid w:val="00A11C74"/>
    <w:rsid w:val="00A11C98"/>
    <w:rsid w:val="00A11D66"/>
    <w:rsid w:val="00A11E72"/>
    <w:rsid w:val="00A11F45"/>
    <w:rsid w:val="00A120A2"/>
    <w:rsid w:val="00A1214B"/>
    <w:rsid w:val="00A121D5"/>
    <w:rsid w:val="00A121E9"/>
    <w:rsid w:val="00A1220D"/>
    <w:rsid w:val="00A1227D"/>
    <w:rsid w:val="00A122C6"/>
    <w:rsid w:val="00A122D7"/>
    <w:rsid w:val="00A1233B"/>
    <w:rsid w:val="00A12471"/>
    <w:rsid w:val="00A12492"/>
    <w:rsid w:val="00A124AE"/>
    <w:rsid w:val="00A1254E"/>
    <w:rsid w:val="00A125AC"/>
    <w:rsid w:val="00A12645"/>
    <w:rsid w:val="00A1267E"/>
    <w:rsid w:val="00A1269D"/>
    <w:rsid w:val="00A126B7"/>
    <w:rsid w:val="00A127C2"/>
    <w:rsid w:val="00A127CB"/>
    <w:rsid w:val="00A127FC"/>
    <w:rsid w:val="00A1281E"/>
    <w:rsid w:val="00A1283D"/>
    <w:rsid w:val="00A128AA"/>
    <w:rsid w:val="00A1298C"/>
    <w:rsid w:val="00A12B11"/>
    <w:rsid w:val="00A12BA0"/>
    <w:rsid w:val="00A12C26"/>
    <w:rsid w:val="00A12C43"/>
    <w:rsid w:val="00A12DCE"/>
    <w:rsid w:val="00A12E5F"/>
    <w:rsid w:val="00A12E67"/>
    <w:rsid w:val="00A12E6B"/>
    <w:rsid w:val="00A12F54"/>
    <w:rsid w:val="00A12FA1"/>
    <w:rsid w:val="00A13045"/>
    <w:rsid w:val="00A1315B"/>
    <w:rsid w:val="00A13239"/>
    <w:rsid w:val="00A13333"/>
    <w:rsid w:val="00A133C2"/>
    <w:rsid w:val="00A13401"/>
    <w:rsid w:val="00A1340B"/>
    <w:rsid w:val="00A13529"/>
    <w:rsid w:val="00A135A3"/>
    <w:rsid w:val="00A135EC"/>
    <w:rsid w:val="00A136D2"/>
    <w:rsid w:val="00A137C1"/>
    <w:rsid w:val="00A13844"/>
    <w:rsid w:val="00A13884"/>
    <w:rsid w:val="00A138E3"/>
    <w:rsid w:val="00A13909"/>
    <w:rsid w:val="00A13913"/>
    <w:rsid w:val="00A13930"/>
    <w:rsid w:val="00A139D6"/>
    <w:rsid w:val="00A13AE4"/>
    <w:rsid w:val="00A13B22"/>
    <w:rsid w:val="00A13B74"/>
    <w:rsid w:val="00A13BF4"/>
    <w:rsid w:val="00A13C0F"/>
    <w:rsid w:val="00A13C25"/>
    <w:rsid w:val="00A13C61"/>
    <w:rsid w:val="00A13C84"/>
    <w:rsid w:val="00A13D2C"/>
    <w:rsid w:val="00A13E2A"/>
    <w:rsid w:val="00A13E7C"/>
    <w:rsid w:val="00A13E89"/>
    <w:rsid w:val="00A13F47"/>
    <w:rsid w:val="00A13FD4"/>
    <w:rsid w:val="00A1409A"/>
    <w:rsid w:val="00A14155"/>
    <w:rsid w:val="00A141A2"/>
    <w:rsid w:val="00A1420A"/>
    <w:rsid w:val="00A14285"/>
    <w:rsid w:val="00A14372"/>
    <w:rsid w:val="00A14392"/>
    <w:rsid w:val="00A143AC"/>
    <w:rsid w:val="00A143AF"/>
    <w:rsid w:val="00A14420"/>
    <w:rsid w:val="00A144BA"/>
    <w:rsid w:val="00A14519"/>
    <w:rsid w:val="00A145C1"/>
    <w:rsid w:val="00A14699"/>
    <w:rsid w:val="00A146CD"/>
    <w:rsid w:val="00A146FB"/>
    <w:rsid w:val="00A1471E"/>
    <w:rsid w:val="00A1480C"/>
    <w:rsid w:val="00A148C0"/>
    <w:rsid w:val="00A1494F"/>
    <w:rsid w:val="00A1496B"/>
    <w:rsid w:val="00A149FD"/>
    <w:rsid w:val="00A14A44"/>
    <w:rsid w:val="00A14A4E"/>
    <w:rsid w:val="00A14A5D"/>
    <w:rsid w:val="00A14A85"/>
    <w:rsid w:val="00A14ACF"/>
    <w:rsid w:val="00A14AFD"/>
    <w:rsid w:val="00A14B07"/>
    <w:rsid w:val="00A14B31"/>
    <w:rsid w:val="00A14B3F"/>
    <w:rsid w:val="00A14B55"/>
    <w:rsid w:val="00A14C42"/>
    <w:rsid w:val="00A14C66"/>
    <w:rsid w:val="00A14D03"/>
    <w:rsid w:val="00A14D0D"/>
    <w:rsid w:val="00A14E11"/>
    <w:rsid w:val="00A14E2C"/>
    <w:rsid w:val="00A14E31"/>
    <w:rsid w:val="00A14E47"/>
    <w:rsid w:val="00A14E6C"/>
    <w:rsid w:val="00A14E93"/>
    <w:rsid w:val="00A14EAA"/>
    <w:rsid w:val="00A14F56"/>
    <w:rsid w:val="00A14F8D"/>
    <w:rsid w:val="00A150E3"/>
    <w:rsid w:val="00A1519E"/>
    <w:rsid w:val="00A152BD"/>
    <w:rsid w:val="00A152E1"/>
    <w:rsid w:val="00A153C7"/>
    <w:rsid w:val="00A153D9"/>
    <w:rsid w:val="00A153FE"/>
    <w:rsid w:val="00A153FF"/>
    <w:rsid w:val="00A154AD"/>
    <w:rsid w:val="00A15593"/>
    <w:rsid w:val="00A15613"/>
    <w:rsid w:val="00A1566F"/>
    <w:rsid w:val="00A1573B"/>
    <w:rsid w:val="00A1576B"/>
    <w:rsid w:val="00A1581A"/>
    <w:rsid w:val="00A15840"/>
    <w:rsid w:val="00A158B8"/>
    <w:rsid w:val="00A158D5"/>
    <w:rsid w:val="00A159BB"/>
    <w:rsid w:val="00A159DE"/>
    <w:rsid w:val="00A159F2"/>
    <w:rsid w:val="00A15A33"/>
    <w:rsid w:val="00A15ACF"/>
    <w:rsid w:val="00A15B69"/>
    <w:rsid w:val="00A15B97"/>
    <w:rsid w:val="00A15C2F"/>
    <w:rsid w:val="00A15EFC"/>
    <w:rsid w:val="00A15F56"/>
    <w:rsid w:val="00A15F69"/>
    <w:rsid w:val="00A15F97"/>
    <w:rsid w:val="00A15F9B"/>
    <w:rsid w:val="00A15FA3"/>
    <w:rsid w:val="00A15FA8"/>
    <w:rsid w:val="00A1602A"/>
    <w:rsid w:val="00A16037"/>
    <w:rsid w:val="00A1603A"/>
    <w:rsid w:val="00A1605A"/>
    <w:rsid w:val="00A1618C"/>
    <w:rsid w:val="00A161A0"/>
    <w:rsid w:val="00A1620C"/>
    <w:rsid w:val="00A16222"/>
    <w:rsid w:val="00A16232"/>
    <w:rsid w:val="00A1634F"/>
    <w:rsid w:val="00A163DA"/>
    <w:rsid w:val="00A163E5"/>
    <w:rsid w:val="00A16490"/>
    <w:rsid w:val="00A16498"/>
    <w:rsid w:val="00A164DE"/>
    <w:rsid w:val="00A16650"/>
    <w:rsid w:val="00A166F6"/>
    <w:rsid w:val="00A1675D"/>
    <w:rsid w:val="00A167B4"/>
    <w:rsid w:val="00A168B6"/>
    <w:rsid w:val="00A169A6"/>
    <w:rsid w:val="00A169E7"/>
    <w:rsid w:val="00A16B6E"/>
    <w:rsid w:val="00A16CA6"/>
    <w:rsid w:val="00A16CCD"/>
    <w:rsid w:val="00A16E33"/>
    <w:rsid w:val="00A16E35"/>
    <w:rsid w:val="00A16E80"/>
    <w:rsid w:val="00A16F40"/>
    <w:rsid w:val="00A16F49"/>
    <w:rsid w:val="00A16F81"/>
    <w:rsid w:val="00A1705A"/>
    <w:rsid w:val="00A1705E"/>
    <w:rsid w:val="00A170F0"/>
    <w:rsid w:val="00A170F8"/>
    <w:rsid w:val="00A1710A"/>
    <w:rsid w:val="00A1713A"/>
    <w:rsid w:val="00A171EA"/>
    <w:rsid w:val="00A172C9"/>
    <w:rsid w:val="00A17343"/>
    <w:rsid w:val="00A17442"/>
    <w:rsid w:val="00A17652"/>
    <w:rsid w:val="00A17693"/>
    <w:rsid w:val="00A17697"/>
    <w:rsid w:val="00A1774C"/>
    <w:rsid w:val="00A178F8"/>
    <w:rsid w:val="00A17973"/>
    <w:rsid w:val="00A1797C"/>
    <w:rsid w:val="00A179BF"/>
    <w:rsid w:val="00A17A02"/>
    <w:rsid w:val="00A17A08"/>
    <w:rsid w:val="00A17AA4"/>
    <w:rsid w:val="00A17ABA"/>
    <w:rsid w:val="00A17B12"/>
    <w:rsid w:val="00A17C8C"/>
    <w:rsid w:val="00A17CA8"/>
    <w:rsid w:val="00A17CB3"/>
    <w:rsid w:val="00A17CE9"/>
    <w:rsid w:val="00A17D37"/>
    <w:rsid w:val="00A17D9E"/>
    <w:rsid w:val="00A17DC7"/>
    <w:rsid w:val="00A17DF1"/>
    <w:rsid w:val="00A17F87"/>
    <w:rsid w:val="00A17FAF"/>
    <w:rsid w:val="00A17FEF"/>
    <w:rsid w:val="00A2003A"/>
    <w:rsid w:val="00A2006C"/>
    <w:rsid w:val="00A2013E"/>
    <w:rsid w:val="00A202FF"/>
    <w:rsid w:val="00A2037E"/>
    <w:rsid w:val="00A2039C"/>
    <w:rsid w:val="00A203BA"/>
    <w:rsid w:val="00A203C2"/>
    <w:rsid w:val="00A203D5"/>
    <w:rsid w:val="00A203F7"/>
    <w:rsid w:val="00A20436"/>
    <w:rsid w:val="00A204D4"/>
    <w:rsid w:val="00A2054B"/>
    <w:rsid w:val="00A20583"/>
    <w:rsid w:val="00A206CE"/>
    <w:rsid w:val="00A20752"/>
    <w:rsid w:val="00A207A4"/>
    <w:rsid w:val="00A207BF"/>
    <w:rsid w:val="00A207D0"/>
    <w:rsid w:val="00A208A9"/>
    <w:rsid w:val="00A2097F"/>
    <w:rsid w:val="00A20A3F"/>
    <w:rsid w:val="00A20B84"/>
    <w:rsid w:val="00A20BE9"/>
    <w:rsid w:val="00A20D54"/>
    <w:rsid w:val="00A20D79"/>
    <w:rsid w:val="00A20ECA"/>
    <w:rsid w:val="00A210C8"/>
    <w:rsid w:val="00A211C5"/>
    <w:rsid w:val="00A2151C"/>
    <w:rsid w:val="00A2156F"/>
    <w:rsid w:val="00A215AB"/>
    <w:rsid w:val="00A215E5"/>
    <w:rsid w:val="00A2165A"/>
    <w:rsid w:val="00A21688"/>
    <w:rsid w:val="00A21805"/>
    <w:rsid w:val="00A2180D"/>
    <w:rsid w:val="00A21871"/>
    <w:rsid w:val="00A21874"/>
    <w:rsid w:val="00A21893"/>
    <w:rsid w:val="00A21929"/>
    <w:rsid w:val="00A219C7"/>
    <w:rsid w:val="00A219DE"/>
    <w:rsid w:val="00A21A4C"/>
    <w:rsid w:val="00A21A7B"/>
    <w:rsid w:val="00A21A87"/>
    <w:rsid w:val="00A21A95"/>
    <w:rsid w:val="00A21AD6"/>
    <w:rsid w:val="00A21B0C"/>
    <w:rsid w:val="00A21B86"/>
    <w:rsid w:val="00A21CC7"/>
    <w:rsid w:val="00A21D18"/>
    <w:rsid w:val="00A21DEF"/>
    <w:rsid w:val="00A21E21"/>
    <w:rsid w:val="00A21EE0"/>
    <w:rsid w:val="00A21F8A"/>
    <w:rsid w:val="00A21FB5"/>
    <w:rsid w:val="00A2200C"/>
    <w:rsid w:val="00A2203D"/>
    <w:rsid w:val="00A220A5"/>
    <w:rsid w:val="00A220CD"/>
    <w:rsid w:val="00A22152"/>
    <w:rsid w:val="00A2226A"/>
    <w:rsid w:val="00A2232D"/>
    <w:rsid w:val="00A22338"/>
    <w:rsid w:val="00A22355"/>
    <w:rsid w:val="00A223A7"/>
    <w:rsid w:val="00A223DD"/>
    <w:rsid w:val="00A22435"/>
    <w:rsid w:val="00A224C2"/>
    <w:rsid w:val="00A224E7"/>
    <w:rsid w:val="00A224FA"/>
    <w:rsid w:val="00A22586"/>
    <w:rsid w:val="00A225C0"/>
    <w:rsid w:val="00A225CF"/>
    <w:rsid w:val="00A2266D"/>
    <w:rsid w:val="00A226DF"/>
    <w:rsid w:val="00A22828"/>
    <w:rsid w:val="00A228F4"/>
    <w:rsid w:val="00A22933"/>
    <w:rsid w:val="00A2295E"/>
    <w:rsid w:val="00A22973"/>
    <w:rsid w:val="00A229AA"/>
    <w:rsid w:val="00A22B10"/>
    <w:rsid w:val="00A22B4E"/>
    <w:rsid w:val="00A22CB8"/>
    <w:rsid w:val="00A22D5C"/>
    <w:rsid w:val="00A22F8E"/>
    <w:rsid w:val="00A2301B"/>
    <w:rsid w:val="00A23034"/>
    <w:rsid w:val="00A2304C"/>
    <w:rsid w:val="00A2309D"/>
    <w:rsid w:val="00A23101"/>
    <w:rsid w:val="00A23109"/>
    <w:rsid w:val="00A23189"/>
    <w:rsid w:val="00A231B2"/>
    <w:rsid w:val="00A23240"/>
    <w:rsid w:val="00A232C1"/>
    <w:rsid w:val="00A232E5"/>
    <w:rsid w:val="00A2331F"/>
    <w:rsid w:val="00A23406"/>
    <w:rsid w:val="00A2341E"/>
    <w:rsid w:val="00A23424"/>
    <w:rsid w:val="00A2351C"/>
    <w:rsid w:val="00A23577"/>
    <w:rsid w:val="00A2359E"/>
    <w:rsid w:val="00A23604"/>
    <w:rsid w:val="00A23633"/>
    <w:rsid w:val="00A23638"/>
    <w:rsid w:val="00A23669"/>
    <w:rsid w:val="00A2374D"/>
    <w:rsid w:val="00A2376A"/>
    <w:rsid w:val="00A237CC"/>
    <w:rsid w:val="00A237E3"/>
    <w:rsid w:val="00A2380B"/>
    <w:rsid w:val="00A23842"/>
    <w:rsid w:val="00A2387D"/>
    <w:rsid w:val="00A238E6"/>
    <w:rsid w:val="00A23943"/>
    <w:rsid w:val="00A23ABE"/>
    <w:rsid w:val="00A23BF0"/>
    <w:rsid w:val="00A23CE8"/>
    <w:rsid w:val="00A23CF1"/>
    <w:rsid w:val="00A23D30"/>
    <w:rsid w:val="00A23DF2"/>
    <w:rsid w:val="00A23DF6"/>
    <w:rsid w:val="00A23E0F"/>
    <w:rsid w:val="00A23E17"/>
    <w:rsid w:val="00A23E39"/>
    <w:rsid w:val="00A23E8D"/>
    <w:rsid w:val="00A23E9A"/>
    <w:rsid w:val="00A23F13"/>
    <w:rsid w:val="00A2404A"/>
    <w:rsid w:val="00A24147"/>
    <w:rsid w:val="00A2418E"/>
    <w:rsid w:val="00A241A0"/>
    <w:rsid w:val="00A241C2"/>
    <w:rsid w:val="00A241CC"/>
    <w:rsid w:val="00A241D9"/>
    <w:rsid w:val="00A2425D"/>
    <w:rsid w:val="00A24284"/>
    <w:rsid w:val="00A2442A"/>
    <w:rsid w:val="00A2449D"/>
    <w:rsid w:val="00A24598"/>
    <w:rsid w:val="00A245AB"/>
    <w:rsid w:val="00A24603"/>
    <w:rsid w:val="00A24651"/>
    <w:rsid w:val="00A24697"/>
    <w:rsid w:val="00A2471A"/>
    <w:rsid w:val="00A247FA"/>
    <w:rsid w:val="00A248C7"/>
    <w:rsid w:val="00A24910"/>
    <w:rsid w:val="00A24960"/>
    <w:rsid w:val="00A249E2"/>
    <w:rsid w:val="00A24A46"/>
    <w:rsid w:val="00A24AE6"/>
    <w:rsid w:val="00A24B44"/>
    <w:rsid w:val="00A24B57"/>
    <w:rsid w:val="00A24BD8"/>
    <w:rsid w:val="00A24C2C"/>
    <w:rsid w:val="00A24C9C"/>
    <w:rsid w:val="00A24CD5"/>
    <w:rsid w:val="00A24DA1"/>
    <w:rsid w:val="00A24DF6"/>
    <w:rsid w:val="00A24EB5"/>
    <w:rsid w:val="00A24EE0"/>
    <w:rsid w:val="00A24F34"/>
    <w:rsid w:val="00A24F5F"/>
    <w:rsid w:val="00A24FEC"/>
    <w:rsid w:val="00A2504A"/>
    <w:rsid w:val="00A2504F"/>
    <w:rsid w:val="00A25088"/>
    <w:rsid w:val="00A250AE"/>
    <w:rsid w:val="00A251C0"/>
    <w:rsid w:val="00A251EF"/>
    <w:rsid w:val="00A2522C"/>
    <w:rsid w:val="00A25247"/>
    <w:rsid w:val="00A252C5"/>
    <w:rsid w:val="00A25329"/>
    <w:rsid w:val="00A25352"/>
    <w:rsid w:val="00A2538A"/>
    <w:rsid w:val="00A255E9"/>
    <w:rsid w:val="00A2561E"/>
    <w:rsid w:val="00A256B0"/>
    <w:rsid w:val="00A2574C"/>
    <w:rsid w:val="00A2575A"/>
    <w:rsid w:val="00A257CD"/>
    <w:rsid w:val="00A2593B"/>
    <w:rsid w:val="00A2593C"/>
    <w:rsid w:val="00A25975"/>
    <w:rsid w:val="00A259B1"/>
    <w:rsid w:val="00A259D9"/>
    <w:rsid w:val="00A25B9C"/>
    <w:rsid w:val="00A25C68"/>
    <w:rsid w:val="00A25C9C"/>
    <w:rsid w:val="00A25D23"/>
    <w:rsid w:val="00A25D67"/>
    <w:rsid w:val="00A25DB1"/>
    <w:rsid w:val="00A25DC4"/>
    <w:rsid w:val="00A25E6F"/>
    <w:rsid w:val="00A25E97"/>
    <w:rsid w:val="00A25EAE"/>
    <w:rsid w:val="00A25F87"/>
    <w:rsid w:val="00A25FC5"/>
    <w:rsid w:val="00A25FD1"/>
    <w:rsid w:val="00A25FF5"/>
    <w:rsid w:val="00A2613E"/>
    <w:rsid w:val="00A26152"/>
    <w:rsid w:val="00A261A6"/>
    <w:rsid w:val="00A261A8"/>
    <w:rsid w:val="00A26263"/>
    <w:rsid w:val="00A2628D"/>
    <w:rsid w:val="00A262B2"/>
    <w:rsid w:val="00A262DA"/>
    <w:rsid w:val="00A26488"/>
    <w:rsid w:val="00A264DF"/>
    <w:rsid w:val="00A2651E"/>
    <w:rsid w:val="00A26522"/>
    <w:rsid w:val="00A2657B"/>
    <w:rsid w:val="00A2665B"/>
    <w:rsid w:val="00A2668F"/>
    <w:rsid w:val="00A266D1"/>
    <w:rsid w:val="00A267A3"/>
    <w:rsid w:val="00A268AA"/>
    <w:rsid w:val="00A268F3"/>
    <w:rsid w:val="00A26956"/>
    <w:rsid w:val="00A2698B"/>
    <w:rsid w:val="00A269A3"/>
    <w:rsid w:val="00A269EF"/>
    <w:rsid w:val="00A26A20"/>
    <w:rsid w:val="00A26A26"/>
    <w:rsid w:val="00A26ABC"/>
    <w:rsid w:val="00A26B48"/>
    <w:rsid w:val="00A26B9B"/>
    <w:rsid w:val="00A26C4B"/>
    <w:rsid w:val="00A26C75"/>
    <w:rsid w:val="00A26CAE"/>
    <w:rsid w:val="00A26D7C"/>
    <w:rsid w:val="00A26E38"/>
    <w:rsid w:val="00A26E45"/>
    <w:rsid w:val="00A26EB1"/>
    <w:rsid w:val="00A26F05"/>
    <w:rsid w:val="00A26FB9"/>
    <w:rsid w:val="00A26FC0"/>
    <w:rsid w:val="00A26FCB"/>
    <w:rsid w:val="00A27026"/>
    <w:rsid w:val="00A2706B"/>
    <w:rsid w:val="00A27082"/>
    <w:rsid w:val="00A27088"/>
    <w:rsid w:val="00A2713B"/>
    <w:rsid w:val="00A27165"/>
    <w:rsid w:val="00A27180"/>
    <w:rsid w:val="00A27302"/>
    <w:rsid w:val="00A27339"/>
    <w:rsid w:val="00A2737D"/>
    <w:rsid w:val="00A273EA"/>
    <w:rsid w:val="00A2741F"/>
    <w:rsid w:val="00A2746F"/>
    <w:rsid w:val="00A2748F"/>
    <w:rsid w:val="00A274BE"/>
    <w:rsid w:val="00A274CB"/>
    <w:rsid w:val="00A274DA"/>
    <w:rsid w:val="00A274F7"/>
    <w:rsid w:val="00A2769F"/>
    <w:rsid w:val="00A276D7"/>
    <w:rsid w:val="00A277CF"/>
    <w:rsid w:val="00A277F2"/>
    <w:rsid w:val="00A2788A"/>
    <w:rsid w:val="00A2790A"/>
    <w:rsid w:val="00A27929"/>
    <w:rsid w:val="00A279BC"/>
    <w:rsid w:val="00A27A03"/>
    <w:rsid w:val="00A27A21"/>
    <w:rsid w:val="00A27A5D"/>
    <w:rsid w:val="00A27A6F"/>
    <w:rsid w:val="00A27A77"/>
    <w:rsid w:val="00A27B2F"/>
    <w:rsid w:val="00A27B33"/>
    <w:rsid w:val="00A27BFF"/>
    <w:rsid w:val="00A27C55"/>
    <w:rsid w:val="00A27D03"/>
    <w:rsid w:val="00A27D12"/>
    <w:rsid w:val="00A27D77"/>
    <w:rsid w:val="00A27DCC"/>
    <w:rsid w:val="00A27E7D"/>
    <w:rsid w:val="00A27F20"/>
    <w:rsid w:val="00A2C1F3"/>
    <w:rsid w:val="00A2F87D"/>
    <w:rsid w:val="00A30000"/>
    <w:rsid w:val="00A300D2"/>
    <w:rsid w:val="00A300DE"/>
    <w:rsid w:val="00A30122"/>
    <w:rsid w:val="00A30131"/>
    <w:rsid w:val="00A3013F"/>
    <w:rsid w:val="00A301A7"/>
    <w:rsid w:val="00A301B3"/>
    <w:rsid w:val="00A3022D"/>
    <w:rsid w:val="00A30284"/>
    <w:rsid w:val="00A302A4"/>
    <w:rsid w:val="00A30390"/>
    <w:rsid w:val="00A303A4"/>
    <w:rsid w:val="00A303C4"/>
    <w:rsid w:val="00A303C9"/>
    <w:rsid w:val="00A303FC"/>
    <w:rsid w:val="00A3043D"/>
    <w:rsid w:val="00A304E0"/>
    <w:rsid w:val="00A3050B"/>
    <w:rsid w:val="00A3055F"/>
    <w:rsid w:val="00A3064A"/>
    <w:rsid w:val="00A3066E"/>
    <w:rsid w:val="00A3070D"/>
    <w:rsid w:val="00A30716"/>
    <w:rsid w:val="00A30792"/>
    <w:rsid w:val="00A307D9"/>
    <w:rsid w:val="00A30820"/>
    <w:rsid w:val="00A30909"/>
    <w:rsid w:val="00A309BF"/>
    <w:rsid w:val="00A30A2D"/>
    <w:rsid w:val="00A30A8A"/>
    <w:rsid w:val="00A30ABA"/>
    <w:rsid w:val="00A30AD6"/>
    <w:rsid w:val="00A30BC4"/>
    <w:rsid w:val="00A30E58"/>
    <w:rsid w:val="00A30E68"/>
    <w:rsid w:val="00A30FA5"/>
    <w:rsid w:val="00A31018"/>
    <w:rsid w:val="00A310A1"/>
    <w:rsid w:val="00A31178"/>
    <w:rsid w:val="00A31203"/>
    <w:rsid w:val="00A3125B"/>
    <w:rsid w:val="00A31385"/>
    <w:rsid w:val="00A313EB"/>
    <w:rsid w:val="00A313FA"/>
    <w:rsid w:val="00A31468"/>
    <w:rsid w:val="00A31567"/>
    <w:rsid w:val="00A315FB"/>
    <w:rsid w:val="00A31609"/>
    <w:rsid w:val="00A3165A"/>
    <w:rsid w:val="00A31700"/>
    <w:rsid w:val="00A31754"/>
    <w:rsid w:val="00A31825"/>
    <w:rsid w:val="00A31886"/>
    <w:rsid w:val="00A3188C"/>
    <w:rsid w:val="00A3191D"/>
    <w:rsid w:val="00A3192F"/>
    <w:rsid w:val="00A319D0"/>
    <w:rsid w:val="00A319F4"/>
    <w:rsid w:val="00A31A22"/>
    <w:rsid w:val="00A31A40"/>
    <w:rsid w:val="00A31A79"/>
    <w:rsid w:val="00A31AC3"/>
    <w:rsid w:val="00A31AD3"/>
    <w:rsid w:val="00A31C34"/>
    <w:rsid w:val="00A31C89"/>
    <w:rsid w:val="00A31CEB"/>
    <w:rsid w:val="00A31DC2"/>
    <w:rsid w:val="00A31F68"/>
    <w:rsid w:val="00A31F96"/>
    <w:rsid w:val="00A31FA2"/>
    <w:rsid w:val="00A32148"/>
    <w:rsid w:val="00A321B4"/>
    <w:rsid w:val="00A321F3"/>
    <w:rsid w:val="00A32201"/>
    <w:rsid w:val="00A32223"/>
    <w:rsid w:val="00A32287"/>
    <w:rsid w:val="00A32289"/>
    <w:rsid w:val="00A323C6"/>
    <w:rsid w:val="00A32454"/>
    <w:rsid w:val="00A32498"/>
    <w:rsid w:val="00A324E8"/>
    <w:rsid w:val="00A3251E"/>
    <w:rsid w:val="00A32526"/>
    <w:rsid w:val="00A3258E"/>
    <w:rsid w:val="00A325A5"/>
    <w:rsid w:val="00A326C8"/>
    <w:rsid w:val="00A326D9"/>
    <w:rsid w:val="00A3270E"/>
    <w:rsid w:val="00A327AD"/>
    <w:rsid w:val="00A32841"/>
    <w:rsid w:val="00A32856"/>
    <w:rsid w:val="00A328DF"/>
    <w:rsid w:val="00A3293B"/>
    <w:rsid w:val="00A3297B"/>
    <w:rsid w:val="00A3297F"/>
    <w:rsid w:val="00A32998"/>
    <w:rsid w:val="00A329BF"/>
    <w:rsid w:val="00A329C1"/>
    <w:rsid w:val="00A32ABF"/>
    <w:rsid w:val="00A32B27"/>
    <w:rsid w:val="00A32B6D"/>
    <w:rsid w:val="00A32BEA"/>
    <w:rsid w:val="00A32CD9"/>
    <w:rsid w:val="00A32CF7"/>
    <w:rsid w:val="00A32D76"/>
    <w:rsid w:val="00A32D7C"/>
    <w:rsid w:val="00A32DCC"/>
    <w:rsid w:val="00A32E30"/>
    <w:rsid w:val="00A32E50"/>
    <w:rsid w:val="00A32F66"/>
    <w:rsid w:val="00A330C9"/>
    <w:rsid w:val="00A3312E"/>
    <w:rsid w:val="00A3313A"/>
    <w:rsid w:val="00A331BC"/>
    <w:rsid w:val="00A332B5"/>
    <w:rsid w:val="00A332E9"/>
    <w:rsid w:val="00A3335D"/>
    <w:rsid w:val="00A33414"/>
    <w:rsid w:val="00A33465"/>
    <w:rsid w:val="00A334C3"/>
    <w:rsid w:val="00A334D3"/>
    <w:rsid w:val="00A33552"/>
    <w:rsid w:val="00A3357D"/>
    <w:rsid w:val="00A33622"/>
    <w:rsid w:val="00A33657"/>
    <w:rsid w:val="00A336D3"/>
    <w:rsid w:val="00A336D4"/>
    <w:rsid w:val="00A336F4"/>
    <w:rsid w:val="00A336FF"/>
    <w:rsid w:val="00A33724"/>
    <w:rsid w:val="00A3372E"/>
    <w:rsid w:val="00A3374D"/>
    <w:rsid w:val="00A337DB"/>
    <w:rsid w:val="00A33821"/>
    <w:rsid w:val="00A33877"/>
    <w:rsid w:val="00A3387C"/>
    <w:rsid w:val="00A3388E"/>
    <w:rsid w:val="00A3390A"/>
    <w:rsid w:val="00A33930"/>
    <w:rsid w:val="00A339E5"/>
    <w:rsid w:val="00A33A33"/>
    <w:rsid w:val="00A33B45"/>
    <w:rsid w:val="00A33B4B"/>
    <w:rsid w:val="00A33B55"/>
    <w:rsid w:val="00A33B71"/>
    <w:rsid w:val="00A33B95"/>
    <w:rsid w:val="00A33BAC"/>
    <w:rsid w:val="00A33C09"/>
    <w:rsid w:val="00A33C85"/>
    <w:rsid w:val="00A33CCD"/>
    <w:rsid w:val="00A33D6C"/>
    <w:rsid w:val="00A33E26"/>
    <w:rsid w:val="00A33E4B"/>
    <w:rsid w:val="00A33EC8"/>
    <w:rsid w:val="00A33F45"/>
    <w:rsid w:val="00A33F4E"/>
    <w:rsid w:val="00A33F54"/>
    <w:rsid w:val="00A33F5B"/>
    <w:rsid w:val="00A33FA3"/>
    <w:rsid w:val="00A34058"/>
    <w:rsid w:val="00A34061"/>
    <w:rsid w:val="00A34110"/>
    <w:rsid w:val="00A341CB"/>
    <w:rsid w:val="00A34221"/>
    <w:rsid w:val="00A3427D"/>
    <w:rsid w:val="00A3429B"/>
    <w:rsid w:val="00A34317"/>
    <w:rsid w:val="00A3435F"/>
    <w:rsid w:val="00A343E8"/>
    <w:rsid w:val="00A34413"/>
    <w:rsid w:val="00A3441B"/>
    <w:rsid w:val="00A34493"/>
    <w:rsid w:val="00A3451B"/>
    <w:rsid w:val="00A3455B"/>
    <w:rsid w:val="00A34565"/>
    <w:rsid w:val="00A345C9"/>
    <w:rsid w:val="00A3467F"/>
    <w:rsid w:val="00A3475E"/>
    <w:rsid w:val="00A34774"/>
    <w:rsid w:val="00A34803"/>
    <w:rsid w:val="00A34804"/>
    <w:rsid w:val="00A34885"/>
    <w:rsid w:val="00A3497F"/>
    <w:rsid w:val="00A349A1"/>
    <w:rsid w:val="00A349F6"/>
    <w:rsid w:val="00A34A44"/>
    <w:rsid w:val="00A34AA2"/>
    <w:rsid w:val="00A34AF2"/>
    <w:rsid w:val="00A34B1E"/>
    <w:rsid w:val="00A34B24"/>
    <w:rsid w:val="00A34BE4"/>
    <w:rsid w:val="00A34C3C"/>
    <w:rsid w:val="00A34C3D"/>
    <w:rsid w:val="00A34C81"/>
    <w:rsid w:val="00A34CB2"/>
    <w:rsid w:val="00A34CDC"/>
    <w:rsid w:val="00A34D1F"/>
    <w:rsid w:val="00A34D31"/>
    <w:rsid w:val="00A34E24"/>
    <w:rsid w:val="00A34E64"/>
    <w:rsid w:val="00A34ED2"/>
    <w:rsid w:val="00A34F3C"/>
    <w:rsid w:val="00A34F8A"/>
    <w:rsid w:val="00A35027"/>
    <w:rsid w:val="00A35057"/>
    <w:rsid w:val="00A3509C"/>
    <w:rsid w:val="00A350AD"/>
    <w:rsid w:val="00A350B1"/>
    <w:rsid w:val="00A35478"/>
    <w:rsid w:val="00A3549E"/>
    <w:rsid w:val="00A3555E"/>
    <w:rsid w:val="00A35578"/>
    <w:rsid w:val="00A356D9"/>
    <w:rsid w:val="00A356F7"/>
    <w:rsid w:val="00A35722"/>
    <w:rsid w:val="00A3574F"/>
    <w:rsid w:val="00A357B1"/>
    <w:rsid w:val="00A357BF"/>
    <w:rsid w:val="00A3589E"/>
    <w:rsid w:val="00A358BB"/>
    <w:rsid w:val="00A359D6"/>
    <w:rsid w:val="00A35ACD"/>
    <w:rsid w:val="00A35AF9"/>
    <w:rsid w:val="00A35B0F"/>
    <w:rsid w:val="00A35B79"/>
    <w:rsid w:val="00A35C3E"/>
    <w:rsid w:val="00A35CA7"/>
    <w:rsid w:val="00A35D38"/>
    <w:rsid w:val="00A35DFE"/>
    <w:rsid w:val="00A35E91"/>
    <w:rsid w:val="00A35EDE"/>
    <w:rsid w:val="00A35F49"/>
    <w:rsid w:val="00A35FDC"/>
    <w:rsid w:val="00A36003"/>
    <w:rsid w:val="00A3603D"/>
    <w:rsid w:val="00A360C2"/>
    <w:rsid w:val="00A36106"/>
    <w:rsid w:val="00A3613B"/>
    <w:rsid w:val="00A36154"/>
    <w:rsid w:val="00A36280"/>
    <w:rsid w:val="00A36320"/>
    <w:rsid w:val="00A36363"/>
    <w:rsid w:val="00A363BD"/>
    <w:rsid w:val="00A36407"/>
    <w:rsid w:val="00A3652D"/>
    <w:rsid w:val="00A36535"/>
    <w:rsid w:val="00A36551"/>
    <w:rsid w:val="00A36744"/>
    <w:rsid w:val="00A3674C"/>
    <w:rsid w:val="00A36753"/>
    <w:rsid w:val="00A36786"/>
    <w:rsid w:val="00A36904"/>
    <w:rsid w:val="00A3690A"/>
    <w:rsid w:val="00A36973"/>
    <w:rsid w:val="00A369B5"/>
    <w:rsid w:val="00A36A05"/>
    <w:rsid w:val="00A36A0B"/>
    <w:rsid w:val="00A36A2C"/>
    <w:rsid w:val="00A36C29"/>
    <w:rsid w:val="00A36C4E"/>
    <w:rsid w:val="00A36C86"/>
    <w:rsid w:val="00A36C93"/>
    <w:rsid w:val="00A36D0F"/>
    <w:rsid w:val="00A36D23"/>
    <w:rsid w:val="00A36DA4"/>
    <w:rsid w:val="00A36DE7"/>
    <w:rsid w:val="00A36E18"/>
    <w:rsid w:val="00A36E6E"/>
    <w:rsid w:val="00A36EAB"/>
    <w:rsid w:val="00A36F16"/>
    <w:rsid w:val="00A36F23"/>
    <w:rsid w:val="00A36F3C"/>
    <w:rsid w:val="00A36FA4"/>
    <w:rsid w:val="00A36FB8"/>
    <w:rsid w:val="00A370AC"/>
    <w:rsid w:val="00A370AE"/>
    <w:rsid w:val="00A370D7"/>
    <w:rsid w:val="00A371CA"/>
    <w:rsid w:val="00A372E6"/>
    <w:rsid w:val="00A37329"/>
    <w:rsid w:val="00A3733F"/>
    <w:rsid w:val="00A37406"/>
    <w:rsid w:val="00A3742E"/>
    <w:rsid w:val="00A374AC"/>
    <w:rsid w:val="00A374DE"/>
    <w:rsid w:val="00A374FF"/>
    <w:rsid w:val="00A3763C"/>
    <w:rsid w:val="00A376BD"/>
    <w:rsid w:val="00A3771D"/>
    <w:rsid w:val="00A37741"/>
    <w:rsid w:val="00A377C7"/>
    <w:rsid w:val="00A377DF"/>
    <w:rsid w:val="00A3785E"/>
    <w:rsid w:val="00A3787B"/>
    <w:rsid w:val="00A3795B"/>
    <w:rsid w:val="00A37A1A"/>
    <w:rsid w:val="00A37A60"/>
    <w:rsid w:val="00A37A87"/>
    <w:rsid w:val="00A37ACF"/>
    <w:rsid w:val="00A37B58"/>
    <w:rsid w:val="00A37C41"/>
    <w:rsid w:val="00A37D86"/>
    <w:rsid w:val="00A37E60"/>
    <w:rsid w:val="00A37EB9"/>
    <w:rsid w:val="00A37EF8"/>
    <w:rsid w:val="00A37F21"/>
    <w:rsid w:val="00A37FA9"/>
    <w:rsid w:val="00A37FE2"/>
    <w:rsid w:val="00A4003B"/>
    <w:rsid w:val="00A400DF"/>
    <w:rsid w:val="00A40142"/>
    <w:rsid w:val="00A4022B"/>
    <w:rsid w:val="00A40338"/>
    <w:rsid w:val="00A40360"/>
    <w:rsid w:val="00A40372"/>
    <w:rsid w:val="00A403AB"/>
    <w:rsid w:val="00A403E0"/>
    <w:rsid w:val="00A4044C"/>
    <w:rsid w:val="00A404D3"/>
    <w:rsid w:val="00A40514"/>
    <w:rsid w:val="00A4055F"/>
    <w:rsid w:val="00A4056B"/>
    <w:rsid w:val="00A40607"/>
    <w:rsid w:val="00A40737"/>
    <w:rsid w:val="00A4081A"/>
    <w:rsid w:val="00A4082E"/>
    <w:rsid w:val="00A4086B"/>
    <w:rsid w:val="00A409A5"/>
    <w:rsid w:val="00A40AC0"/>
    <w:rsid w:val="00A40AD5"/>
    <w:rsid w:val="00A40B05"/>
    <w:rsid w:val="00A40B1D"/>
    <w:rsid w:val="00A40BC8"/>
    <w:rsid w:val="00A40C27"/>
    <w:rsid w:val="00A40CE1"/>
    <w:rsid w:val="00A40D31"/>
    <w:rsid w:val="00A40D51"/>
    <w:rsid w:val="00A40DC9"/>
    <w:rsid w:val="00A40E4B"/>
    <w:rsid w:val="00A40ED7"/>
    <w:rsid w:val="00A40F50"/>
    <w:rsid w:val="00A40FA5"/>
    <w:rsid w:val="00A40FB1"/>
    <w:rsid w:val="00A4109A"/>
    <w:rsid w:val="00A410E4"/>
    <w:rsid w:val="00A4110D"/>
    <w:rsid w:val="00A41171"/>
    <w:rsid w:val="00A41192"/>
    <w:rsid w:val="00A411E1"/>
    <w:rsid w:val="00A4123F"/>
    <w:rsid w:val="00A412AE"/>
    <w:rsid w:val="00A412C1"/>
    <w:rsid w:val="00A412E8"/>
    <w:rsid w:val="00A412F1"/>
    <w:rsid w:val="00A4136F"/>
    <w:rsid w:val="00A4141B"/>
    <w:rsid w:val="00A414B0"/>
    <w:rsid w:val="00A41569"/>
    <w:rsid w:val="00A41720"/>
    <w:rsid w:val="00A4181D"/>
    <w:rsid w:val="00A41836"/>
    <w:rsid w:val="00A41843"/>
    <w:rsid w:val="00A41892"/>
    <w:rsid w:val="00A41941"/>
    <w:rsid w:val="00A41955"/>
    <w:rsid w:val="00A41963"/>
    <w:rsid w:val="00A41A4D"/>
    <w:rsid w:val="00A41A52"/>
    <w:rsid w:val="00A41C67"/>
    <w:rsid w:val="00A41D52"/>
    <w:rsid w:val="00A41E1B"/>
    <w:rsid w:val="00A41E42"/>
    <w:rsid w:val="00A41EA4"/>
    <w:rsid w:val="00A41F16"/>
    <w:rsid w:val="00A41F6E"/>
    <w:rsid w:val="00A41FC1"/>
    <w:rsid w:val="00A42003"/>
    <w:rsid w:val="00A42056"/>
    <w:rsid w:val="00A4208F"/>
    <w:rsid w:val="00A420C8"/>
    <w:rsid w:val="00A42273"/>
    <w:rsid w:val="00A422D6"/>
    <w:rsid w:val="00A42344"/>
    <w:rsid w:val="00A424F0"/>
    <w:rsid w:val="00A42535"/>
    <w:rsid w:val="00A42573"/>
    <w:rsid w:val="00A42576"/>
    <w:rsid w:val="00A42617"/>
    <w:rsid w:val="00A42633"/>
    <w:rsid w:val="00A426CA"/>
    <w:rsid w:val="00A427AD"/>
    <w:rsid w:val="00A42850"/>
    <w:rsid w:val="00A428FF"/>
    <w:rsid w:val="00A429BF"/>
    <w:rsid w:val="00A42ADA"/>
    <w:rsid w:val="00A42B20"/>
    <w:rsid w:val="00A42B45"/>
    <w:rsid w:val="00A42B49"/>
    <w:rsid w:val="00A42C09"/>
    <w:rsid w:val="00A42C46"/>
    <w:rsid w:val="00A42CB1"/>
    <w:rsid w:val="00A42CEE"/>
    <w:rsid w:val="00A42D17"/>
    <w:rsid w:val="00A42E26"/>
    <w:rsid w:val="00A42E71"/>
    <w:rsid w:val="00A42EE0"/>
    <w:rsid w:val="00A42FED"/>
    <w:rsid w:val="00A4322D"/>
    <w:rsid w:val="00A432B8"/>
    <w:rsid w:val="00A432BE"/>
    <w:rsid w:val="00A432F2"/>
    <w:rsid w:val="00A43304"/>
    <w:rsid w:val="00A433E0"/>
    <w:rsid w:val="00A434A2"/>
    <w:rsid w:val="00A43505"/>
    <w:rsid w:val="00A43677"/>
    <w:rsid w:val="00A4370A"/>
    <w:rsid w:val="00A437BE"/>
    <w:rsid w:val="00A43974"/>
    <w:rsid w:val="00A43A2F"/>
    <w:rsid w:val="00A43AE5"/>
    <w:rsid w:val="00A43BE9"/>
    <w:rsid w:val="00A43C17"/>
    <w:rsid w:val="00A43C45"/>
    <w:rsid w:val="00A43C9D"/>
    <w:rsid w:val="00A43D06"/>
    <w:rsid w:val="00A43DBB"/>
    <w:rsid w:val="00A43E35"/>
    <w:rsid w:val="00A43E9C"/>
    <w:rsid w:val="00A43EB6"/>
    <w:rsid w:val="00A43EC7"/>
    <w:rsid w:val="00A43EFB"/>
    <w:rsid w:val="00A43F87"/>
    <w:rsid w:val="00A43FCD"/>
    <w:rsid w:val="00A43FD2"/>
    <w:rsid w:val="00A440EA"/>
    <w:rsid w:val="00A44126"/>
    <w:rsid w:val="00A441F6"/>
    <w:rsid w:val="00A4421F"/>
    <w:rsid w:val="00A44272"/>
    <w:rsid w:val="00A442BD"/>
    <w:rsid w:val="00A4433A"/>
    <w:rsid w:val="00A4438E"/>
    <w:rsid w:val="00A444AC"/>
    <w:rsid w:val="00A4461C"/>
    <w:rsid w:val="00A44652"/>
    <w:rsid w:val="00A446E1"/>
    <w:rsid w:val="00A446F1"/>
    <w:rsid w:val="00A44702"/>
    <w:rsid w:val="00A44711"/>
    <w:rsid w:val="00A44767"/>
    <w:rsid w:val="00A4476F"/>
    <w:rsid w:val="00A4488F"/>
    <w:rsid w:val="00A448CF"/>
    <w:rsid w:val="00A448F6"/>
    <w:rsid w:val="00A4492E"/>
    <w:rsid w:val="00A44946"/>
    <w:rsid w:val="00A449B1"/>
    <w:rsid w:val="00A449BD"/>
    <w:rsid w:val="00A44A5B"/>
    <w:rsid w:val="00A44B77"/>
    <w:rsid w:val="00A44BB1"/>
    <w:rsid w:val="00A44C3F"/>
    <w:rsid w:val="00A44CB2"/>
    <w:rsid w:val="00A44CD0"/>
    <w:rsid w:val="00A44DA3"/>
    <w:rsid w:val="00A44E0A"/>
    <w:rsid w:val="00A44F19"/>
    <w:rsid w:val="00A44F24"/>
    <w:rsid w:val="00A45015"/>
    <w:rsid w:val="00A450EB"/>
    <w:rsid w:val="00A4519C"/>
    <w:rsid w:val="00A451C0"/>
    <w:rsid w:val="00A451FD"/>
    <w:rsid w:val="00A45213"/>
    <w:rsid w:val="00A45221"/>
    <w:rsid w:val="00A45272"/>
    <w:rsid w:val="00A45315"/>
    <w:rsid w:val="00A4539C"/>
    <w:rsid w:val="00A453B7"/>
    <w:rsid w:val="00A45451"/>
    <w:rsid w:val="00A4553C"/>
    <w:rsid w:val="00A4565B"/>
    <w:rsid w:val="00A456A5"/>
    <w:rsid w:val="00A456C1"/>
    <w:rsid w:val="00A456D9"/>
    <w:rsid w:val="00A4570B"/>
    <w:rsid w:val="00A45711"/>
    <w:rsid w:val="00A45748"/>
    <w:rsid w:val="00A457B6"/>
    <w:rsid w:val="00A458FD"/>
    <w:rsid w:val="00A458FE"/>
    <w:rsid w:val="00A45B03"/>
    <w:rsid w:val="00A45B2C"/>
    <w:rsid w:val="00A45C2D"/>
    <w:rsid w:val="00A45C65"/>
    <w:rsid w:val="00A45CA5"/>
    <w:rsid w:val="00A45CB5"/>
    <w:rsid w:val="00A45CEE"/>
    <w:rsid w:val="00A45D37"/>
    <w:rsid w:val="00A45DBC"/>
    <w:rsid w:val="00A45DF6"/>
    <w:rsid w:val="00A45E57"/>
    <w:rsid w:val="00A45E8C"/>
    <w:rsid w:val="00A45FFB"/>
    <w:rsid w:val="00A460B8"/>
    <w:rsid w:val="00A46177"/>
    <w:rsid w:val="00A461A6"/>
    <w:rsid w:val="00A461CE"/>
    <w:rsid w:val="00A461DF"/>
    <w:rsid w:val="00A4649D"/>
    <w:rsid w:val="00A464CC"/>
    <w:rsid w:val="00A4652C"/>
    <w:rsid w:val="00A465CE"/>
    <w:rsid w:val="00A46634"/>
    <w:rsid w:val="00A4666F"/>
    <w:rsid w:val="00A4669D"/>
    <w:rsid w:val="00A46743"/>
    <w:rsid w:val="00A46756"/>
    <w:rsid w:val="00A467EC"/>
    <w:rsid w:val="00A46869"/>
    <w:rsid w:val="00A4686C"/>
    <w:rsid w:val="00A469CB"/>
    <w:rsid w:val="00A469FE"/>
    <w:rsid w:val="00A46AB3"/>
    <w:rsid w:val="00A46AD7"/>
    <w:rsid w:val="00A46B9C"/>
    <w:rsid w:val="00A46C3E"/>
    <w:rsid w:val="00A46CC4"/>
    <w:rsid w:val="00A46D52"/>
    <w:rsid w:val="00A46D8D"/>
    <w:rsid w:val="00A46D9C"/>
    <w:rsid w:val="00A46DCB"/>
    <w:rsid w:val="00A46E17"/>
    <w:rsid w:val="00A46E69"/>
    <w:rsid w:val="00A46F0A"/>
    <w:rsid w:val="00A46F1E"/>
    <w:rsid w:val="00A46FCF"/>
    <w:rsid w:val="00A4700A"/>
    <w:rsid w:val="00A471B7"/>
    <w:rsid w:val="00A47238"/>
    <w:rsid w:val="00A4730D"/>
    <w:rsid w:val="00A47357"/>
    <w:rsid w:val="00A4738F"/>
    <w:rsid w:val="00A47485"/>
    <w:rsid w:val="00A474FF"/>
    <w:rsid w:val="00A4750C"/>
    <w:rsid w:val="00A4769D"/>
    <w:rsid w:val="00A4782C"/>
    <w:rsid w:val="00A478A6"/>
    <w:rsid w:val="00A478B1"/>
    <w:rsid w:val="00A478B6"/>
    <w:rsid w:val="00A47AF2"/>
    <w:rsid w:val="00A47B0D"/>
    <w:rsid w:val="00A47CCC"/>
    <w:rsid w:val="00A47D04"/>
    <w:rsid w:val="00A47D35"/>
    <w:rsid w:val="00A47D50"/>
    <w:rsid w:val="00A47DD9"/>
    <w:rsid w:val="00A47DF0"/>
    <w:rsid w:val="00A47E36"/>
    <w:rsid w:val="00A47EAF"/>
    <w:rsid w:val="00A47EBF"/>
    <w:rsid w:val="00A47EEE"/>
    <w:rsid w:val="00A47EF1"/>
    <w:rsid w:val="00A47F40"/>
    <w:rsid w:val="00A47FB4"/>
    <w:rsid w:val="00A50033"/>
    <w:rsid w:val="00A50053"/>
    <w:rsid w:val="00A502EF"/>
    <w:rsid w:val="00A503CE"/>
    <w:rsid w:val="00A503F4"/>
    <w:rsid w:val="00A5041B"/>
    <w:rsid w:val="00A5041F"/>
    <w:rsid w:val="00A50522"/>
    <w:rsid w:val="00A50574"/>
    <w:rsid w:val="00A505F7"/>
    <w:rsid w:val="00A505FA"/>
    <w:rsid w:val="00A505FE"/>
    <w:rsid w:val="00A50644"/>
    <w:rsid w:val="00A50648"/>
    <w:rsid w:val="00A5071F"/>
    <w:rsid w:val="00A50773"/>
    <w:rsid w:val="00A507EA"/>
    <w:rsid w:val="00A5080E"/>
    <w:rsid w:val="00A5083E"/>
    <w:rsid w:val="00A50926"/>
    <w:rsid w:val="00A5098C"/>
    <w:rsid w:val="00A50AC6"/>
    <w:rsid w:val="00A50DF9"/>
    <w:rsid w:val="00A50E7C"/>
    <w:rsid w:val="00A50EE1"/>
    <w:rsid w:val="00A50EFA"/>
    <w:rsid w:val="00A50F06"/>
    <w:rsid w:val="00A50F29"/>
    <w:rsid w:val="00A50FF2"/>
    <w:rsid w:val="00A51063"/>
    <w:rsid w:val="00A51163"/>
    <w:rsid w:val="00A5121C"/>
    <w:rsid w:val="00A51259"/>
    <w:rsid w:val="00A51270"/>
    <w:rsid w:val="00A5131C"/>
    <w:rsid w:val="00A51332"/>
    <w:rsid w:val="00A513E8"/>
    <w:rsid w:val="00A5149C"/>
    <w:rsid w:val="00A514B2"/>
    <w:rsid w:val="00A5150F"/>
    <w:rsid w:val="00A5162E"/>
    <w:rsid w:val="00A5168F"/>
    <w:rsid w:val="00A516C0"/>
    <w:rsid w:val="00A5187B"/>
    <w:rsid w:val="00A5190B"/>
    <w:rsid w:val="00A519E8"/>
    <w:rsid w:val="00A51A28"/>
    <w:rsid w:val="00A51A35"/>
    <w:rsid w:val="00A51A87"/>
    <w:rsid w:val="00A51BC2"/>
    <w:rsid w:val="00A51C4C"/>
    <w:rsid w:val="00A51C7F"/>
    <w:rsid w:val="00A51CE5"/>
    <w:rsid w:val="00A51D1A"/>
    <w:rsid w:val="00A51E15"/>
    <w:rsid w:val="00A51EAD"/>
    <w:rsid w:val="00A51F01"/>
    <w:rsid w:val="00A51F5A"/>
    <w:rsid w:val="00A5207C"/>
    <w:rsid w:val="00A520AC"/>
    <w:rsid w:val="00A521A3"/>
    <w:rsid w:val="00A521BB"/>
    <w:rsid w:val="00A521CC"/>
    <w:rsid w:val="00A521DE"/>
    <w:rsid w:val="00A521F7"/>
    <w:rsid w:val="00A52239"/>
    <w:rsid w:val="00A52246"/>
    <w:rsid w:val="00A52376"/>
    <w:rsid w:val="00A52390"/>
    <w:rsid w:val="00A52455"/>
    <w:rsid w:val="00A52556"/>
    <w:rsid w:val="00A525D3"/>
    <w:rsid w:val="00A526C2"/>
    <w:rsid w:val="00A526E1"/>
    <w:rsid w:val="00A52716"/>
    <w:rsid w:val="00A527A7"/>
    <w:rsid w:val="00A5281D"/>
    <w:rsid w:val="00A528EA"/>
    <w:rsid w:val="00A52958"/>
    <w:rsid w:val="00A52A64"/>
    <w:rsid w:val="00A52A7B"/>
    <w:rsid w:val="00A52B53"/>
    <w:rsid w:val="00A52B73"/>
    <w:rsid w:val="00A52B86"/>
    <w:rsid w:val="00A52B8C"/>
    <w:rsid w:val="00A52B93"/>
    <w:rsid w:val="00A52C56"/>
    <w:rsid w:val="00A52C74"/>
    <w:rsid w:val="00A52EDD"/>
    <w:rsid w:val="00A52F30"/>
    <w:rsid w:val="00A52F37"/>
    <w:rsid w:val="00A52F45"/>
    <w:rsid w:val="00A53021"/>
    <w:rsid w:val="00A53091"/>
    <w:rsid w:val="00A530D8"/>
    <w:rsid w:val="00A531A5"/>
    <w:rsid w:val="00A53389"/>
    <w:rsid w:val="00A533CE"/>
    <w:rsid w:val="00A53404"/>
    <w:rsid w:val="00A5347D"/>
    <w:rsid w:val="00A534A0"/>
    <w:rsid w:val="00A534E1"/>
    <w:rsid w:val="00A5354B"/>
    <w:rsid w:val="00A5354C"/>
    <w:rsid w:val="00A535F2"/>
    <w:rsid w:val="00A53663"/>
    <w:rsid w:val="00A536A1"/>
    <w:rsid w:val="00A53841"/>
    <w:rsid w:val="00A53900"/>
    <w:rsid w:val="00A5392B"/>
    <w:rsid w:val="00A53954"/>
    <w:rsid w:val="00A53A85"/>
    <w:rsid w:val="00A53A9A"/>
    <w:rsid w:val="00A53AC2"/>
    <w:rsid w:val="00A53AF5"/>
    <w:rsid w:val="00A53B61"/>
    <w:rsid w:val="00A53C14"/>
    <w:rsid w:val="00A53C58"/>
    <w:rsid w:val="00A53C7F"/>
    <w:rsid w:val="00A53D41"/>
    <w:rsid w:val="00A53DB6"/>
    <w:rsid w:val="00A53DC9"/>
    <w:rsid w:val="00A53DE7"/>
    <w:rsid w:val="00A53E43"/>
    <w:rsid w:val="00A53E6B"/>
    <w:rsid w:val="00A53EE5"/>
    <w:rsid w:val="00A53EE7"/>
    <w:rsid w:val="00A53EF1"/>
    <w:rsid w:val="00A53F2D"/>
    <w:rsid w:val="00A53F55"/>
    <w:rsid w:val="00A53F7F"/>
    <w:rsid w:val="00A53F82"/>
    <w:rsid w:val="00A53F93"/>
    <w:rsid w:val="00A54058"/>
    <w:rsid w:val="00A54083"/>
    <w:rsid w:val="00A5420E"/>
    <w:rsid w:val="00A54215"/>
    <w:rsid w:val="00A54262"/>
    <w:rsid w:val="00A54267"/>
    <w:rsid w:val="00A542CD"/>
    <w:rsid w:val="00A542D1"/>
    <w:rsid w:val="00A542F0"/>
    <w:rsid w:val="00A543EA"/>
    <w:rsid w:val="00A543FE"/>
    <w:rsid w:val="00A54402"/>
    <w:rsid w:val="00A54405"/>
    <w:rsid w:val="00A54431"/>
    <w:rsid w:val="00A5447D"/>
    <w:rsid w:val="00A5448F"/>
    <w:rsid w:val="00A544D6"/>
    <w:rsid w:val="00A54545"/>
    <w:rsid w:val="00A5456B"/>
    <w:rsid w:val="00A54607"/>
    <w:rsid w:val="00A54679"/>
    <w:rsid w:val="00A5471E"/>
    <w:rsid w:val="00A547A1"/>
    <w:rsid w:val="00A547DA"/>
    <w:rsid w:val="00A547E6"/>
    <w:rsid w:val="00A547EE"/>
    <w:rsid w:val="00A548C9"/>
    <w:rsid w:val="00A54954"/>
    <w:rsid w:val="00A5495E"/>
    <w:rsid w:val="00A54963"/>
    <w:rsid w:val="00A54987"/>
    <w:rsid w:val="00A5499D"/>
    <w:rsid w:val="00A549BE"/>
    <w:rsid w:val="00A54A02"/>
    <w:rsid w:val="00A54AF8"/>
    <w:rsid w:val="00A54BDE"/>
    <w:rsid w:val="00A54C59"/>
    <w:rsid w:val="00A54C6E"/>
    <w:rsid w:val="00A54D8F"/>
    <w:rsid w:val="00A54DEB"/>
    <w:rsid w:val="00A54E0D"/>
    <w:rsid w:val="00A54E32"/>
    <w:rsid w:val="00A54E54"/>
    <w:rsid w:val="00A54E92"/>
    <w:rsid w:val="00A54EAE"/>
    <w:rsid w:val="00A54EFB"/>
    <w:rsid w:val="00A54F02"/>
    <w:rsid w:val="00A54F3D"/>
    <w:rsid w:val="00A54F81"/>
    <w:rsid w:val="00A54F9A"/>
    <w:rsid w:val="00A54FF1"/>
    <w:rsid w:val="00A55062"/>
    <w:rsid w:val="00A55139"/>
    <w:rsid w:val="00A5518F"/>
    <w:rsid w:val="00A55287"/>
    <w:rsid w:val="00A552CC"/>
    <w:rsid w:val="00A552F2"/>
    <w:rsid w:val="00A55311"/>
    <w:rsid w:val="00A55339"/>
    <w:rsid w:val="00A55352"/>
    <w:rsid w:val="00A5544F"/>
    <w:rsid w:val="00A554F8"/>
    <w:rsid w:val="00A55513"/>
    <w:rsid w:val="00A556FF"/>
    <w:rsid w:val="00A5570A"/>
    <w:rsid w:val="00A55756"/>
    <w:rsid w:val="00A5583C"/>
    <w:rsid w:val="00A5585D"/>
    <w:rsid w:val="00A558E4"/>
    <w:rsid w:val="00A558F6"/>
    <w:rsid w:val="00A55904"/>
    <w:rsid w:val="00A55933"/>
    <w:rsid w:val="00A55A03"/>
    <w:rsid w:val="00A55A2D"/>
    <w:rsid w:val="00A55B3B"/>
    <w:rsid w:val="00A55B69"/>
    <w:rsid w:val="00A55BC3"/>
    <w:rsid w:val="00A55BC5"/>
    <w:rsid w:val="00A55C30"/>
    <w:rsid w:val="00A55C6A"/>
    <w:rsid w:val="00A55C79"/>
    <w:rsid w:val="00A55C95"/>
    <w:rsid w:val="00A55CDF"/>
    <w:rsid w:val="00A55D1E"/>
    <w:rsid w:val="00A55E73"/>
    <w:rsid w:val="00A55EDA"/>
    <w:rsid w:val="00A55EE8"/>
    <w:rsid w:val="00A55F9E"/>
    <w:rsid w:val="00A560DA"/>
    <w:rsid w:val="00A56104"/>
    <w:rsid w:val="00A56186"/>
    <w:rsid w:val="00A561A6"/>
    <w:rsid w:val="00A5621C"/>
    <w:rsid w:val="00A562E1"/>
    <w:rsid w:val="00A56365"/>
    <w:rsid w:val="00A563B3"/>
    <w:rsid w:val="00A563C2"/>
    <w:rsid w:val="00A5651E"/>
    <w:rsid w:val="00A56531"/>
    <w:rsid w:val="00A565A5"/>
    <w:rsid w:val="00A565E1"/>
    <w:rsid w:val="00A5662D"/>
    <w:rsid w:val="00A56663"/>
    <w:rsid w:val="00A5684B"/>
    <w:rsid w:val="00A5685E"/>
    <w:rsid w:val="00A56871"/>
    <w:rsid w:val="00A568F6"/>
    <w:rsid w:val="00A569B4"/>
    <w:rsid w:val="00A56A41"/>
    <w:rsid w:val="00A56A82"/>
    <w:rsid w:val="00A56B33"/>
    <w:rsid w:val="00A56B64"/>
    <w:rsid w:val="00A56BE0"/>
    <w:rsid w:val="00A56CC1"/>
    <w:rsid w:val="00A56D56"/>
    <w:rsid w:val="00A56D70"/>
    <w:rsid w:val="00A56E05"/>
    <w:rsid w:val="00A56E0F"/>
    <w:rsid w:val="00A56E2E"/>
    <w:rsid w:val="00A56F01"/>
    <w:rsid w:val="00A56FA9"/>
    <w:rsid w:val="00A57067"/>
    <w:rsid w:val="00A57095"/>
    <w:rsid w:val="00A570B4"/>
    <w:rsid w:val="00A570CA"/>
    <w:rsid w:val="00A57176"/>
    <w:rsid w:val="00A571CC"/>
    <w:rsid w:val="00A571D5"/>
    <w:rsid w:val="00A57220"/>
    <w:rsid w:val="00A5725C"/>
    <w:rsid w:val="00A573DE"/>
    <w:rsid w:val="00A57545"/>
    <w:rsid w:val="00A57551"/>
    <w:rsid w:val="00A575A7"/>
    <w:rsid w:val="00A575B9"/>
    <w:rsid w:val="00A575CE"/>
    <w:rsid w:val="00A57669"/>
    <w:rsid w:val="00A576B2"/>
    <w:rsid w:val="00A57766"/>
    <w:rsid w:val="00A5776B"/>
    <w:rsid w:val="00A57770"/>
    <w:rsid w:val="00A577F3"/>
    <w:rsid w:val="00A5780B"/>
    <w:rsid w:val="00A57862"/>
    <w:rsid w:val="00A578CA"/>
    <w:rsid w:val="00A578D4"/>
    <w:rsid w:val="00A57B14"/>
    <w:rsid w:val="00A57B93"/>
    <w:rsid w:val="00A57BF1"/>
    <w:rsid w:val="00A57C45"/>
    <w:rsid w:val="00A57C95"/>
    <w:rsid w:val="00A57CB7"/>
    <w:rsid w:val="00A57CD1"/>
    <w:rsid w:val="00A57CD3"/>
    <w:rsid w:val="00A57D23"/>
    <w:rsid w:val="00A57ED4"/>
    <w:rsid w:val="00A57EFD"/>
    <w:rsid w:val="00A57FAF"/>
    <w:rsid w:val="00A57FF2"/>
    <w:rsid w:val="00A60140"/>
    <w:rsid w:val="00A6014B"/>
    <w:rsid w:val="00A6014C"/>
    <w:rsid w:val="00A601A9"/>
    <w:rsid w:val="00A60253"/>
    <w:rsid w:val="00A60283"/>
    <w:rsid w:val="00A602D2"/>
    <w:rsid w:val="00A602D7"/>
    <w:rsid w:val="00A602E9"/>
    <w:rsid w:val="00A602EF"/>
    <w:rsid w:val="00A6032B"/>
    <w:rsid w:val="00A6033A"/>
    <w:rsid w:val="00A60375"/>
    <w:rsid w:val="00A6038B"/>
    <w:rsid w:val="00A60499"/>
    <w:rsid w:val="00A604C9"/>
    <w:rsid w:val="00A6054D"/>
    <w:rsid w:val="00A605C1"/>
    <w:rsid w:val="00A605D7"/>
    <w:rsid w:val="00A605FA"/>
    <w:rsid w:val="00A60673"/>
    <w:rsid w:val="00A60704"/>
    <w:rsid w:val="00A6074E"/>
    <w:rsid w:val="00A607C8"/>
    <w:rsid w:val="00A60898"/>
    <w:rsid w:val="00A608C5"/>
    <w:rsid w:val="00A6094E"/>
    <w:rsid w:val="00A60974"/>
    <w:rsid w:val="00A609C2"/>
    <w:rsid w:val="00A609C3"/>
    <w:rsid w:val="00A60B21"/>
    <w:rsid w:val="00A60B24"/>
    <w:rsid w:val="00A60B47"/>
    <w:rsid w:val="00A60B65"/>
    <w:rsid w:val="00A60BDF"/>
    <w:rsid w:val="00A60C09"/>
    <w:rsid w:val="00A60C6E"/>
    <w:rsid w:val="00A60C71"/>
    <w:rsid w:val="00A60D96"/>
    <w:rsid w:val="00A60DA7"/>
    <w:rsid w:val="00A60E0F"/>
    <w:rsid w:val="00A60EBE"/>
    <w:rsid w:val="00A61086"/>
    <w:rsid w:val="00A610E7"/>
    <w:rsid w:val="00A6110F"/>
    <w:rsid w:val="00A61169"/>
    <w:rsid w:val="00A6116E"/>
    <w:rsid w:val="00A6128C"/>
    <w:rsid w:val="00A612DF"/>
    <w:rsid w:val="00A6139A"/>
    <w:rsid w:val="00A6144F"/>
    <w:rsid w:val="00A61453"/>
    <w:rsid w:val="00A614AD"/>
    <w:rsid w:val="00A615ED"/>
    <w:rsid w:val="00A61637"/>
    <w:rsid w:val="00A61695"/>
    <w:rsid w:val="00A616D7"/>
    <w:rsid w:val="00A616D9"/>
    <w:rsid w:val="00A61780"/>
    <w:rsid w:val="00A61792"/>
    <w:rsid w:val="00A617F4"/>
    <w:rsid w:val="00A6185F"/>
    <w:rsid w:val="00A619B5"/>
    <w:rsid w:val="00A61A55"/>
    <w:rsid w:val="00A61AA4"/>
    <w:rsid w:val="00A61AD4"/>
    <w:rsid w:val="00A61B11"/>
    <w:rsid w:val="00A61B71"/>
    <w:rsid w:val="00A61D24"/>
    <w:rsid w:val="00A61D75"/>
    <w:rsid w:val="00A61DF2"/>
    <w:rsid w:val="00A61E75"/>
    <w:rsid w:val="00A61EB0"/>
    <w:rsid w:val="00A61EFE"/>
    <w:rsid w:val="00A61F80"/>
    <w:rsid w:val="00A61FAE"/>
    <w:rsid w:val="00A6204F"/>
    <w:rsid w:val="00A62062"/>
    <w:rsid w:val="00A6210C"/>
    <w:rsid w:val="00A621E2"/>
    <w:rsid w:val="00A62388"/>
    <w:rsid w:val="00A623FD"/>
    <w:rsid w:val="00A62436"/>
    <w:rsid w:val="00A6252F"/>
    <w:rsid w:val="00A6261A"/>
    <w:rsid w:val="00A6273B"/>
    <w:rsid w:val="00A6280B"/>
    <w:rsid w:val="00A62862"/>
    <w:rsid w:val="00A6286C"/>
    <w:rsid w:val="00A62895"/>
    <w:rsid w:val="00A62901"/>
    <w:rsid w:val="00A6299E"/>
    <w:rsid w:val="00A62A1E"/>
    <w:rsid w:val="00A62B62"/>
    <w:rsid w:val="00A62B8F"/>
    <w:rsid w:val="00A62B99"/>
    <w:rsid w:val="00A62CAB"/>
    <w:rsid w:val="00A62D02"/>
    <w:rsid w:val="00A62F03"/>
    <w:rsid w:val="00A62F64"/>
    <w:rsid w:val="00A62F79"/>
    <w:rsid w:val="00A6304A"/>
    <w:rsid w:val="00A63142"/>
    <w:rsid w:val="00A631FA"/>
    <w:rsid w:val="00A63276"/>
    <w:rsid w:val="00A63302"/>
    <w:rsid w:val="00A63337"/>
    <w:rsid w:val="00A63364"/>
    <w:rsid w:val="00A63381"/>
    <w:rsid w:val="00A63398"/>
    <w:rsid w:val="00A633B2"/>
    <w:rsid w:val="00A633B8"/>
    <w:rsid w:val="00A63421"/>
    <w:rsid w:val="00A63429"/>
    <w:rsid w:val="00A6342A"/>
    <w:rsid w:val="00A6346E"/>
    <w:rsid w:val="00A63474"/>
    <w:rsid w:val="00A63486"/>
    <w:rsid w:val="00A63547"/>
    <w:rsid w:val="00A63684"/>
    <w:rsid w:val="00A63699"/>
    <w:rsid w:val="00A636EC"/>
    <w:rsid w:val="00A63740"/>
    <w:rsid w:val="00A63752"/>
    <w:rsid w:val="00A6377E"/>
    <w:rsid w:val="00A637BB"/>
    <w:rsid w:val="00A6389E"/>
    <w:rsid w:val="00A638A5"/>
    <w:rsid w:val="00A638AE"/>
    <w:rsid w:val="00A639C0"/>
    <w:rsid w:val="00A639C8"/>
    <w:rsid w:val="00A639F8"/>
    <w:rsid w:val="00A63B2C"/>
    <w:rsid w:val="00A63BEF"/>
    <w:rsid w:val="00A63D3E"/>
    <w:rsid w:val="00A63DCC"/>
    <w:rsid w:val="00A63E01"/>
    <w:rsid w:val="00A63E82"/>
    <w:rsid w:val="00A63EBA"/>
    <w:rsid w:val="00A63F16"/>
    <w:rsid w:val="00A63F9A"/>
    <w:rsid w:val="00A63FD7"/>
    <w:rsid w:val="00A64012"/>
    <w:rsid w:val="00A641C6"/>
    <w:rsid w:val="00A641E1"/>
    <w:rsid w:val="00A641E8"/>
    <w:rsid w:val="00A641F1"/>
    <w:rsid w:val="00A64280"/>
    <w:rsid w:val="00A642C3"/>
    <w:rsid w:val="00A64305"/>
    <w:rsid w:val="00A643F3"/>
    <w:rsid w:val="00A6455D"/>
    <w:rsid w:val="00A6459E"/>
    <w:rsid w:val="00A645E0"/>
    <w:rsid w:val="00A646D8"/>
    <w:rsid w:val="00A646DE"/>
    <w:rsid w:val="00A647FC"/>
    <w:rsid w:val="00A6481F"/>
    <w:rsid w:val="00A64892"/>
    <w:rsid w:val="00A649AA"/>
    <w:rsid w:val="00A64B77"/>
    <w:rsid w:val="00A64B7E"/>
    <w:rsid w:val="00A64BD7"/>
    <w:rsid w:val="00A64BE0"/>
    <w:rsid w:val="00A64C3B"/>
    <w:rsid w:val="00A64C8F"/>
    <w:rsid w:val="00A64CA4"/>
    <w:rsid w:val="00A64D0E"/>
    <w:rsid w:val="00A64D77"/>
    <w:rsid w:val="00A64D88"/>
    <w:rsid w:val="00A64E47"/>
    <w:rsid w:val="00A64E93"/>
    <w:rsid w:val="00A64ECE"/>
    <w:rsid w:val="00A64ED7"/>
    <w:rsid w:val="00A64F17"/>
    <w:rsid w:val="00A65010"/>
    <w:rsid w:val="00A6503D"/>
    <w:rsid w:val="00A65127"/>
    <w:rsid w:val="00A6514E"/>
    <w:rsid w:val="00A651E7"/>
    <w:rsid w:val="00A65266"/>
    <w:rsid w:val="00A652CA"/>
    <w:rsid w:val="00A652D7"/>
    <w:rsid w:val="00A65366"/>
    <w:rsid w:val="00A6539B"/>
    <w:rsid w:val="00A65472"/>
    <w:rsid w:val="00A654C9"/>
    <w:rsid w:val="00A65538"/>
    <w:rsid w:val="00A655B6"/>
    <w:rsid w:val="00A655C4"/>
    <w:rsid w:val="00A655D5"/>
    <w:rsid w:val="00A65640"/>
    <w:rsid w:val="00A65700"/>
    <w:rsid w:val="00A65799"/>
    <w:rsid w:val="00A657C5"/>
    <w:rsid w:val="00A658CE"/>
    <w:rsid w:val="00A65930"/>
    <w:rsid w:val="00A65A20"/>
    <w:rsid w:val="00A65A79"/>
    <w:rsid w:val="00A65A7A"/>
    <w:rsid w:val="00A65A92"/>
    <w:rsid w:val="00A65C3F"/>
    <w:rsid w:val="00A65C49"/>
    <w:rsid w:val="00A65CA6"/>
    <w:rsid w:val="00A65D24"/>
    <w:rsid w:val="00A65F0C"/>
    <w:rsid w:val="00A65FEA"/>
    <w:rsid w:val="00A6607D"/>
    <w:rsid w:val="00A6620B"/>
    <w:rsid w:val="00A66257"/>
    <w:rsid w:val="00A6628F"/>
    <w:rsid w:val="00A6635A"/>
    <w:rsid w:val="00A663B0"/>
    <w:rsid w:val="00A663C6"/>
    <w:rsid w:val="00A663E7"/>
    <w:rsid w:val="00A663F7"/>
    <w:rsid w:val="00A66429"/>
    <w:rsid w:val="00A66486"/>
    <w:rsid w:val="00A664D1"/>
    <w:rsid w:val="00A6665A"/>
    <w:rsid w:val="00A666C8"/>
    <w:rsid w:val="00A666F1"/>
    <w:rsid w:val="00A666FA"/>
    <w:rsid w:val="00A667C2"/>
    <w:rsid w:val="00A667F5"/>
    <w:rsid w:val="00A66830"/>
    <w:rsid w:val="00A66835"/>
    <w:rsid w:val="00A668A0"/>
    <w:rsid w:val="00A66984"/>
    <w:rsid w:val="00A6699E"/>
    <w:rsid w:val="00A669C0"/>
    <w:rsid w:val="00A66A27"/>
    <w:rsid w:val="00A66A7A"/>
    <w:rsid w:val="00A66A85"/>
    <w:rsid w:val="00A66AAE"/>
    <w:rsid w:val="00A66AD0"/>
    <w:rsid w:val="00A66B51"/>
    <w:rsid w:val="00A66C37"/>
    <w:rsid w:val="00A66C4B"/>
    <w:rsid w:val="00A66C55"/>
    <w:rsid w:val="00A66C6E"/>
    <w:rsid w:val="00A66CB8"/>
    <w:rsid w:val="00A66CFA"/>
    <w:rsid w:val="00A66D8B"/>
    <w:rsid w:val="00A66DC7"/>
    <w:rsid w:val="00A66DCE"/>
    <w:rsid w:val="00A66E35"/>
    <w:rsid w:val="00A66E60"/>
    <w:rsid w:val="00A66E63"/>
    <w:rsid w:val="00A66E79"/>
    <w:rsid w:val="00A66E98"/>
    <w:rsid w:val="00A66F30"/>
    <w:rsid w:val="00A66F3E"/>
    <w:rsid w:val="00A66F40"/>
    <w:rsid w:val="00A66FAE"/>
    <w:rsid w:val="00A66FD4"/>
    <w:rsid w:val="00A67074"/>
    <w:rsid w:val="00A670D4"/>
    <w:rsid w:val="00A670E6"/>
    <w:rsid w:val="00A670F2"/>
    <w:rsid w:val="00A67102"/>
    <w:rsid w:val="00A67157"/>
    <w:rsid w:val="00A67198"/>
    <w:rsid w:val="00A671A3"/>
    <w:rsid w:val="00A6720A"/>
    <w:rsid w:val="00A67256"/>
    <w:rsid w:val="00A67273"/>
    <w:rsid w:val="00A67309"/>
    <w:rsid w:val="00A6737B"/>
    <w:rsid w:val="00A6739A"/>
    <w:rsid w:val="00A6747B"/>
    <w:rsid w:val="00A67548"/>
    <w:rsid w:val="00A675C1"/>
    <w:rsid w:val="00A6763A"/>
    <w:rsid w:val="00A676A6"/>
    <w:rsid w:val="00A676AC"/>
    <w:rsid w:val="00A679B3"/>
    <w:rsid w:val="00A679C5"/>
    <w:rsid w:val="00A67A2A"/>
    <w:rsid w:val="00A67A34"/>
    <w:rsid w:val="00A67A69"/>
    <w:rsid w:val="00A67AB8"/>
    <w:rsid w:val="00A67AF1"/>
    <w:rsid w:val="00A67BB6"/>
    <w:rsid w:val="00A67BDC"/>
    <w:rsid w:val="00A67C16"/>
    <w:rsid w:val="00A67D31"/>
    <w:rsid w:val="00A67D4B"/>
    <w:rsid w:val="00A67D8C"/>
    <w:rsid w:val="00A67ECF"/>
    <w:rsid w:val="00A67F33"/>
    <w:rsid w:val="00A67F75"/>
    <w:rsid w:val="00A67FD2"/>
    <w:rsid w:val="00A70124"/>
    <w:rsid w:val="00A70178"/>
    <w:rsid w:val="00A701E3"/>
    <w:rsid w:val="00A70209"/>
    <w:rsid w:val="00A70274"/>
    <w:rsid w:val="00A702EB"/>
    <w:rsid w:val="00A7030D"/>
    <w:rsid w:val="00A70333"/>
    <w:rsid w:val="00A703CC"/>
    <w:rsid w:val="00A703DC"/>
    <w:rsid w:val="00A70420"/>
    <w:rsid w:val="00A70484"/>
    <w:rsid w:val="00A7053F"/>
    <w:rsid w:val="00A7054B"/>
    <w:rsid w:val="00A705EA"/>
    <w:rsid w:val="00A7069E"/>
    <w:rsid w:val="00A706FE"/>
    <w:rsid w:val="00A70708"/>
    <w:rsid w:val="00A707A5"/>
    <w:rsid w:val="00A707BA"/>
    <w:rsid w:val="00A707D3"/>
    <w:rsid w:val="00A707DD"/>
    <w:rsid w:val="00A70806"/>
    <w:rsid w:val="00A7082F"/>
    <w:rsid w:val="00A7085F"/>
    <w:rsid w:val="00A708A3"/>
    <w:rsid w:val="00A708D1"/>
    <w:rsid w:val="00A70908"/>
    <w:rsid w:val="00A70979"/>
    <w:rsid w:val="00A70AE7"/>
    <w:rsid w:val="00A70B1D"/>
    <w:rsid w:val="00A70C28"/>
    <w:rsid w:val="00A70C40"/>
    <w:rsid w:val="00A70D12"/>
    <w:rsid w:val="00A70DEC"/>
    <w:rsid w:val="00A70DF5"/>
    <w:rsid w:val="00A70E05"/>
    <w:rsid w:val="00A70E07"/>
    <w:rsid w:val="00A70F40"/>
    <w:rsid w:val="00A70F65"/>
    <w:rsid w:val="00A70FE1"/>
    <w:rsid w:val="00A71001"/>
    <w:rsid w:val="00A71026"/>
    <w:rsid w:val="00A7103D"/>
    <w:rsid w:val="00A710DF"/>
    <w:rsid w:val="00A711B1"/>
    <w:rsid w:val="00A711BD"/>
    <w:rsid w:val="00A7127A"/>
    <w:rsid w:val="00A712AB"/>
    <w:rsid w:val="00A7135A"/>
    <w:rsid w:val="00A71440"/>
    <w:rsid w:val="00A71561"/>
    <w:rsid w:val="00A71572"/>
    <w:rsid w:val="00A715B7"/>
    <w:rsid w:val="00A7160C"/>
    <w:rsid w:val="00A716E7"/>
    <w:rsid w:val="00A717E5"/>
    <w:rsid w:val="00A717EB"/>
    <w:rsid w:val="00A71862"/>
    <w:rsid w:val="00A7187C"/>
    <w:rsid w:val="00A71882"/>
    <w:rsid w:val="00A71885"/>
    <w:rsid w:val="00A718AB"/>
    <w:rsid w:val="00A718B0"/>
    <w:rsid w:val="00A71908"/>
    <w:rsid w:val="00A719C0"/>
    <w:rsid w:val="00A71AE6"/>
    <w:rsid w:val="00A71B02"/>
    <w:rsid w:val="00A71B76"/>
    <w:rsid w:val="00A71BF3"/>
    <w:rsid w:val="00A71BF9"/>
    <w:rsid w:val="00A71C0C"/>
    <w:rsid w:val="00A71C4E"/>
    <w:rsid w:val="00A71C63"/>
    <w:rsid w:val="00A71D50"/>
    <w:rsid w:val="00A71F18"/>
    <w:rsid w:val="00A71F38"/>
    <w:rsid w:val="00A71F40"/>
    <w:rsid w:val="00A71F7D"/>
    <w:rsid w:val="00A71F98"/>
    <w:rsid w:val="00A71FC9"/>
    <w:rsid w:val="00A72067"/>
    <w:rsid w:val="00A72135"/>
    <w:rsid w:val="00A721B8"/>
    <w:rsid w:val="00A721BD"/>
    <w:rsid w:val="00A7224C"/>
    <w:rsid w:val="00A722A6"/>
    <w:rsid w:val="00A7234A"/>
    <w:rsid w:val="00A72396"/>
    <w:rsid w:val="00A723DC"/>
    <w:rsid w:val="00A72519"/>
    <w:rsid w:val="00A7258F"/>
    <w:rsid w:val="00A725E4"/>
    <w:rsid w:val="00A72642"/>
    <w:rsid w:val="00A72685"/>
    <w:rsid w:val="00A7268A"/>
    <w:rsid w:val="00A7276D"/>
    <w:rsid w:val="00A72883"/>
    <w:rsid w:val="00A7290B"/>
    <w:rsid w:val="00A72912"/>
    <w:rsid w:val="00A72938"/>
    <w:rsid w:val="00A72965"/>
    <w:rsid w:val="00A72970"/>
    <w:rsid w:val="00A72A56"/>
    <w:rsid w:val="00A72AA5"/>
    <w:rsid w:val="00A72AC3"/>
    <w:rsid w:val="00A72AD9"/>
    <w:rsid w:val="00A72AE7"/>
    <w:rsid w:val="00A72AEB"/>
    <w:rsid w:val="00A72BA5"/>
    <w:rsid w:val="00A72BCA"/>
    <w:rsid w:val="00A72C70"/>
    <w:rsid w:val="00A72CDC"/>
    <w:rsid w:val="00A72D1E"/>
    <w:rsid w:val="00A72D7D"/>
    <w:rsid w:val="00A72DB6"/>
    <w:rsid w:val="00A72E3A"/>
    <w:rsid w:val="00A72E62"/>
    <w:rsid w:val="00A72E70"/>
    <w:rsid w:val="00A72F03"/>
    <w:rsid w:val="00A72F49"/>
    <w:rsid w:val="00A72F4D"/>
    <w:rsid w:val="00A72F86"/>
    <w:rsid w:val="00A7302A"/>
    <w:rsid w:val="00A730A8"/>
    <w:rsid w:val="00A73110"/>
    <w:rsid w:val="00A73166"/>
    <w:rsid w:val="00A7328D"/>
    <w:rsid w:val="00A732F4"/>
    <w:rsid w:val="00A73305"/>
    <w:rsid w:val="00A7330E"/>
    <w:rsid w:val="00A73313"/>
    <w:rsid w:val="00A733C9"/>
    <w:rsid w:val="00A733F2"/>
    <w:rsid w:val="00A7341C"/>
    <w:rsid w:val="00A7351A"/>
    <w:rsid w:val="00A7352B"/>
    <w:rsid w:val="00A735C5"/>
    <w:rsid w:val="00A7360D"/>
    <w:rsid w:val="00A7362A"/>
    <w:rsid w:val="00A73641"/>
    <w:rsid w:val="00A73645"/>
    <w:rsid w:val="00A73681"/>
    <w:rsid w:val="00A736CD"/>
    <w:rsid w:val="00A737A0"/>
    <w:rsid w:val="00A737E0"/>
    <w:rsid w:val="00A737FF"/>
    <w:rsid w:val="00A73834"/>
    <w:rsid w:val="00A73848"/>
    <w:rsid w:val="00A738A3"/>
    <w:rsid w:val="00A73968"/>
    <w:rsid w:val="00A73983"/>
    <w:rsid w:val="00A7399B"/>
    <w:rsid w:val="00A73AEE"/>
    <w:rsid w:val="00A73AF3"/>
    <w:rsid w:val="00A73C71"/>
    <w:rsid w:val="00A73CEA"/>
    <w:rsid w:val="00A73D97"/>
    <w:rsid w:val="00A73DDF"/>
    <w:rsid w:val="00A73E23"/>
    <w:rsid w:val="00A73E49"/>
    <w:rsid w:val="00A73E64"/>
    <w:rsid w:val="00A73E9B"/>
    <w:rsid w:val="00A73F50"/>
    <w:rsid w:val="00A7400C"/>
    <w:rsid w:val="00A740A8"/>
    <w:rsid w:val="00A740B5"/>
    <w:rsid w:val="00A740B9"/>
    <w:rsid w:val="00A74187"/>
    <w:rsid w:val="00A742C3"/>
    <w:rsid w:val="00A742D8"/>
    <w:rsid w:val="00A744A8"/>
    <w:rsid w:val="00A7452C"/>
    <w:rsid w:val="00A74613"/>
    <w:rsid w:val="00A74670"/>
    <w:rsid w:val="00A74686"/>
    <w:rsid w:val="00A746D4"/>
    <w:rsid w:val="00A7470E"/>
    <w:rsid w:val="00A7475F"/>
    <w:rsid w:val="00A7486A"/>
    <w:rsid w:val="00A748E8"/>
    <w:rsid w:val="00A74918"/>
    <w:rsid w:val="00A7491F"/>
    <w:rsid w:val="00A74A58"/>
    <w:rsid w:val="00A74A83"/>
    <w:rsid w:val="00A74A8A"/>
    <w:rsid w:val="00A74AAD"/>
    <w:rsid w:val="00A74AF1"/>
    <w:rsid w:val="00A74BAB"/>
    <w:rsid w:val="00A74BF1"/>
    <w:rsid w:val="00A74C0E"/>
    <w:rsid w:val="00A74C1B"/>
    <w:rsid w:val="00A74C4E"/>
    <w:rsid w:val="00A74C9E"/>
    <w:rsid w:val="00A74D29"/>
    <w:rsid w:val="00A74DEB"/>
    <w:rsid w:val="00A74E60"/>
    <w:rsid w:val="00A74F51"/>
    <w:rsid w:val="00A74F52"/>
    <w:rsid w:val="00A74F74"/>
    <w:rsid w:val="00A74FEF"/>
    <w:rsid w:val="00A75107"/>
    <w:rsid w:val="00A751A8"/>
    <w:rsid w:val="00A752D9"/>
    <w:rsid w:val="00A752E8"/>
    <w:rsid w:val="00A752F2"/>
    <w:rsid w:val="00A75431"/>
    <w:rsid w:val="00A7543D"/>
    <w:rsid w:val="00A75471"/>
    <w:rsid w:val="00A75483"/>
    <w:rsid w:val="00A754A7"/>
    <w:rsid w:val="00A75540"/>
    <w:rsid w:val="00A75571"/>
    <w:rsid w:val="00A757F0"/>
    <w:rsid w:val="00A75818"/>
    <w:rsid w:val="00A7582E"/>
    <w:rsid w:val="00A75881"/>
    <w:rsid w:val="00A75920"/>
    <w:rsid w:val="00A75A64"/>
    <w:rsid w:val="00A75AD6"/>
    <w:rsid w:val="00A75B19"/>
    <w:rsid w:val="00A75B34"/>
    <w:rsid w:val="00A75BA0"/>
    <w:rsid w:val="00A75C17"/>
    <w:rsid w:val="00A75C4B"/>
    <w:rsid w:val="00A75C68"/>
    <w:rsid w:val="00A75C90"/>
    <w:rsid w:val="00A75D6E"/>
    <w:rsid w:val="00A75E3E"/>
    <w:rsid w:val="00A75E44"/>
    <w:rsid w:val="00A75F1A"/>
    <w:rsid w:val="00A75F4D"/>
    <w:rsid w:val="00A75FAE"/>
    <w:rsid w:val="00A76096"/>
    <w:rsid w:val="00A760FF"/>
    <w:rsid w:val="00A76153"/>
    <w:rsid w:val="00A7639C"/>
    <w:rsid w:val="00A76467"/>
    <w:rsid w:val="00A7646A"/>
    <w:rsid w:val="00A76489"/>
    <w:rsid w:val="00A764C3"/>
    <w:rsid w:val="00A764DF"/>
    <w:rsid w:val="00A765B9"/>
    <w:rsid w:val="00A766A3"/>
    <w:rsid w:val="00A7679D"/>
    <w:rsid w:val="00A769B6"/>
    <w:rsid w:val="00A769E9"/>
    <w:rsid w:val="00A76A18"/>
    <w:rsid w:val="00A76AF6"/>
    <w:rsid w:val="00A76B0F"/>
    <w:rsid w:val="00A76B95"/>
    <w:rsid w:val="00A76CEE"/>
    <w:rsid w:val="00A76E4D"/>
    <w:rsid w:val="00A76E5A"/>
    <w:rsid w:val="00A76E65"/>
    <w:rsid w:val="00A76F58"/>
    <w:rsid w:val="00A76FB1"/>
    <w:rsid w:val="00A76FF3"/>
    <w:rsid w:val="00A770FB"/>
    <w:rsid w:val="00A77158"/>
    <w:rsid w:val="00A7715A"/>
    <w:rsid w:val="00A771E2"/>
    <w:rsid w:val="00A7727B"/>
    <w:rsid w:val="00A772BC"/>
    <w:rsid w:val="00A77460"/>
    <w:rsid w:val="00A77491"/>
    <w:rsid w:val="00A77508"/>
    <w:rsid w:val="00A7756B"/>
    <w:rsid w:val="00A7757E"/>
    <w:rsid w:val="00A775CB"/>
    <w:rsid w:val="00A7764F"/>
    <w:rsid w:val="00A776D6"/>
    <w:rsid w:val="00A77854"/>
    <w:rsid w:val="00A778B0"/>
    <w:rsid w:val="00A778E5"/>
    <w:rsid w:val="00A779AF"/>
    <w:rsid w:val="00A77ABC"/>
    <w:rsid w:val="00A77B48"/>
    <w:rsid w:val="00A77C9A"/>
    <w:rsid w:val="00A77D52"/>
    <w:rsid w:val="00A77D6C"/>
    <w:rsid w:val="00A77E0B"/>
    <w:rsid w:val="00A77E41"/>
    <w:rsid w:val="00A77E6F"/>
    <w:rsid w:val="00A77EC4"/>
    <w:rsid w:val="00A77ED9"/>
    <w:rsid w:val="00A77FAD"/>
    <w:rsid w:val="00A77FF6"/>
    <w:rsid w:val="00A7CC58"/>
    <w:rsid w:val="00A7EC0A"/>
    <w:rsid w:val="00A80147"/>
    <w:rsid w:val="00A80189"/>
    <w:rsid w:val="00A80316"/>
    <w:rsid w:val="00A80353"/>
    <w:rsid w:val="00A80392"/>
    <w:rsid w:val="00A8042F"/>
    <w:rsid w:val="00A80440"/>
    <w:rsid w:val="00A80656"/>
    <w:rsid w:val="00A80660"/>
    <w:rsid w:val="00A80674"/>
    <w:rsid w:val="00A80731"/>
    <w:rsid w:val="00A80767"/>
    <w:rsid w:val="00A8076E"/>
    <w:rsid w:val="00A80882"/>
    <w:rsid w:val="00A808E6"/>
    <w:rsid w:val="00A808EA"/>
    <w:rsid w:val="00A80946"/>
    <w:rsid w:val="00A8097C"/>
    <w:rsid w:val="00A80A56"/>
    <w:rsid w:val="00A80A66"/>
    <w:rsid w:val="00A80AFE"/>
    <w:rsid w:val="00A80B16"/>
    <w:rsid w:val="00A80B5A"/>
    <w:rsid w:val="00A80B92"/>
    <w:rsid w:val="00A80BE3"/>
    <w:rsid w:val="00A80BFF"/>
    <w:rsid w:val="00A80C36"/>
    <w:rsid w:val="00A80C66"/>
    <w:rsid w:val="00A80CA7"/>
    <w:rsid w:val="00A80CA9"/>
    <w:rsid w:val="00A80D0E"/>
    <w:rsid w:val="00A80DD0"/>
    <w:rsid w:val="00A80E0E"/>
    <w:rsid w:val="00A80EB9"/>
    <w:rsid w:val="00A80F74"/>
    <w:rsid w:val="00A81003"/>
    <w:rsid w:val="00A81008"/>
    <w:rsid w:val="00A8103C"/>
    <w:rsid w:val="00A81096"/>
    <w:rsid w:val="00A81175"/>
    <w:rsid w:val="00A812BC"/>
    <w:rsid w:val="00A812BF"/>
    <w:rsid w:val="00A8131B"/>
    <w:rsid w:val="00A8158B"/>
    <w:rsid w:val="00A8161C"/>
    <w:rsid w:val="00A81630"/>
    <w:rsid w:val="00A816C6"/>
    <w:rsid w:val="00A8182C"/>
    <w:rsid w:val="00A81870"/>
    <w:rsid w:val="00A81919"/>
    <w:rsid w:val="00A81961"/>
    <w:rsid w:val="00A819E1"/>
    <w:rsid w:val="00A819E3"/>
    <w:rsid w:val="00A81B92"/>
    <w:rsid w:val="00A81CBF"/>
    <w:rsid w:val="00A81CDD"/>
    <w:rsid w:val="00A81D14"/>
    <w:rsid w:val="00A81D6E"/>
    <w:rsid w:val="00A81DCA"/>
    <w:rsid w:val="00A81DF8"/>
    <w:rsid w:val="00A81EA1"/>
    <w:rsid w:val="00A81F86"/>
    <w:rsid w:val="00A81FBC"/>
    <w:rsid w:val="00A81FBF"/>
    <w:rsid w:val="00A81FD4"/>
    <w:rsid w:val="00A82048"/>
    <w:rsid w:val="00A820B1"/>
    <w:rsid w:val="00A82296"/>
    <w:rsid w:val="00A822A0"/>
    <w:rsid w:val="00A822CA"/>
    <w:rsid w:val="00A822FC"/>
    <w:rsid w:val="00A82349"/>
    <w:rsid w:val="00A82357"/>
    <w:rsid w:val="00A82362"/>
    <w:rsid w:val="00A82365"/>
    <w:rsid w:val="00A823A0"/>
    <w:rsid w:val="00A82423"/>
    <w:rsid w:val="00A82527"/>
    <w:rsid w:val="00A82816"/>
    <w:rsid w:val="00A829AB"/>
    <w:rsid w:val="00A82A9D"/>
    <w:rsid w:val="00A82B85"/>
    <w:rsid w:val="00A82BFD"/>
    <w:rsid w:val="00A82C0E"/>
    <w:rsid w:val="00A82C15"/>
    <w:rsid w:val="00A82CDA"/>
    <w:rsid w:val="00A82D27"/>
    <w:rsid w:val="00A82DC5"/>
    <w:rsid w:val="00A82DE4"/>
    <w:rsid w:val="00A82DED"/>
    <w:rsid w:val="00A82E62"/>
    <w:rsid w:val="00A82F46"/>
    <w:rsid w:val="00A82FB2"/>
    <w:rsid w:val="00A82FB5"/>
    <w:rsid w:val="00A8309D"/>
    <w:rsid w:val="00A83142"/>
    <w:rsid w:val="00A831B0"/>
    <w:rsid w:val="00A831BF"/>
    <w:rsid w:val="00A831E1"/>
    <w:rsid w:val="00A831FE"/>
    <w:rsid w:val="00A8329C"/>
    <w:rsid w:val="00A83323"/>
    <w:rsid w:val="00A8332E"/>
    <w:rsid w:val="00A83364"/>
    <w:rsid w:val="00A833E8"/>
    <w:rsid w:val="00A83429"/>
    <w:rsid w:val="00A8345E"/>
    <w:rsid w:val="00A834D3"/>
    <w:rsid w:val="00A8377B"/>
    <w:rsid w:val="00A838A1"/>
    <w:rsid w:val="00A8390A"/>
    <w:rsid w:val="00A83920"/>
    <w:rsid w:val="00A83940"/>
    <w:rsid w:val="00A8396F"/>
    <w:rsid w:val="00A8399C"/>
    <w:rsid w:val="00A839C5"/>
    <w:rsid w:val="00A839F1"/>
    <w:rsid w:val="00A83A4A"/>
    <w:rsid w:val="00A83AC6"/>
    <w:rsid w:val="00A83C07"/>
    <w:rsid w:val="00A83C26"/>
    <w:rsid w:val="00A83C4F"/>
    <w:rsid w:val="00A83C92"/>
    <w:rsid w:val="00A83CF4"/>
    <w:rsid w:val="00A83D38"/>
    <w:rsid w:val="00A83DA6"/>
    <w:rsid w:val="00A83E0F"/>
    <w:rsid w:val="00A83E3E"/>
    <w:rsid w:val="00A83EFB"/>
    <w:rsid w:val="00A83F2B"/>
    <w:rsid w:val="00A83FEE"/>
    <w:rsid w:val="00A83FFB"/>
    <w:rsid w:val="00A84002"/>
    <w:rsid w:val="00A84029"/>
    <w:rsid w:val="00A840D7"/>
    <w:rsid w:val="00A840FB"/>
    <w:rsid w:val="00A84100"/>
    <w:rsid w:val="00A84163"/>
    <w:rsid w:val="00A8424D"/>
    <w:rsid w:val="00A842EF"/>
    <w:rsid w:val="00A84308"/>
    <w:rsid w:val="00A8437C"/>
    <w:rsid w:val="00A84382"/>
    <w:rsid w:val="00A843A4"/>
    <w:rsid w:val="00A843CB"/>
    <w:rsid w:val="00A843FB"/>
    <w:rsid w:val="00A8447B"/>
    <w:rsid w:val="00A844B3"/>
    <w:rsid w:val="00A844BE"/>
    <w:rsid w:val="00A844D1"/>
    <w:rsid w:val="00A84584"/>
    <w:rsid w:val="00A845E3"/>
    <w:rsid w:val="00A8465B"/>
    <w:rsid w:val="00A84781"/>
    <w:rsid w:val="00A84795"/>
    <w:rsid w:val="00A847A7"/>
    <w:rsid w:val="00A847C0"/>
    <w:rsid w:val="00A849B4"/>
    <w:rsid w:val="00A849B6"/>
    <w:rsid w:val="00A849DE"/>
    <w:rsid w:val="00A849E8"/>
    <w:rsid w:val="00A84B1D"/>
    <w:rsid w:val="00A84B5A"/>
    <w:rsid w:val="00A84B61"/>
    <w:rsid w:val="00A84B7D"/>
    <w:rsid w:val="00A84CD8"/>
    <w:rsid w:val="00A84CE3"/>
    <w:rsid w:val="00A84D72"/>
    <w:rsid w:val="00A84D89"/>
    <w:rsid w:val="00A84DDA"/>
    <w:rsid w:val="00A84EB8"/>
    <w:rsid w:val="00A84EDE"/>
    <w:rsid w:val="00A84F04"/>
    <w:rsid w:val="00A84FA7"/>
    <w:rsid w:val="00A84FC8"/>
    <w:rsid w:val="00A84FF5"/>
    <w:rsid w:val="00A85003"/>
    <w:rsid w:val="00A85029"/>
    <w:rsid w:val="00A850C0"/>
    <w:rsid w:val="00A850E2"/>
    <w:rsid w:val="00A851B9"/>
    <w:rsid w:val="00A851E7"/>
    <w:rsid w:val="00A8520E"/>
    <w:rsid w:val="00A85221"/>
    <w:rsid w:val="00A85320"/>
    <w:rsid w:val="00A85374"/>
    <w:rsid w:val="00A853CA"/>
    <w:rsid w:val="00A853F7"/>
    <w:rsid w:val="00A85414"/>
    <w:rsid w:val="00A855DA"/>
    <w:rsid w:val="00A85627"/>
    <w:rsid w:val="00A8577F"/>
    <w:rsid w:val="00A85793"/>
    <w:rsid w:val="00A857B5"/>
    <w:rsid w:val="00A8582E"/>
    <w:rsid w:val="00A858A6"/>
    <w:rsid w:val="00A858B3"/>
    <w:rsid w:val="00A85924"/>
    <w:rsid w:val="00A85961"/>
    <w:rsid w:val="00A85A0B"/>
    <w:rsid w:val="00A85A86"/>
    <w:rsid w:val="00A85B1D"/>
    <w:rsid w:val="00A85B55"/>
    <w:rsid w:val="00A85B7F"/>
    <w:rsid w:val="00A85B9C"/>
    <w:rsid w:val="00A85C01"/>
    <w:rsid w:val="00A85C49"/>
    <w:rsid w:val="00A85C64"/>
    <w:rsid w:val="00A85C76"/>
    <w:rsid w:val="00A85D37"/>
    <w:rsid w:val="00A85DC6"/>
    <w:rsid w:val="00A85E49"/>
    <w:rsid w:val="00A85F31"/>
    <w:rsid w:val="00A85F33"/>
    <w:rsid w:val="00A85F4E"/>
    <w:rsid w:val="00A85FD2"/>
    <w:rsid w:val="00A8602E"/>
    <w:rsid w:val="00A8608B"/>
    <w:rsid w:val="00A860B1"/>
    <w:rsid w:val="00A8618A"/>
    <w:rsid w:val="00A861D2"/>
    <w:rsid w:val="00A8622D"/>
    <w:rsid w:val="00A8622E"/>
    <w:rsid w:val="00A8623A"/>
    <w:rsid w:val="00A86306"/>
    <w:rsid w:val="00A86397"/>
    <w:rsid w:val="00A86465"/>
    <w:rsid w:val="00A8652C"/>
    <w:rsid w:val="00A86531"/>
    <w:rsid w:val="00A865B6"/>
    <w:rsid w:val="00A8663E"/>
    <w:rsid w:val="00A86717"/>
    <w:rsid w:val="00A86A08"/>
    <w:rsid w:val="00A86B78"/>
    <w:rsid w:val="00A86BC2"/>
    <w:rsid w:val="00A86C23"/>
    <w:rsid w:val="00A86C6A"/>
    <w:rsid w:val="00A86C77"/>
    <w:rsid w:val="00A86CAC"/>
    <w:rsid w:val="00A86CF0"/>
    <w:rsid w:val="00A86D51"/>
    <w:rsid w:val="00A86D9F"/>
    <w:rsid w:val="00A86DBC"/>
    <w:rsid w:val="00A86E4E"/>
    <w:rsid w:val="00A86E66"/>
    <w:rsid w:val="00A86E69"/>
    <w:rsid w:val="00A86EA1"/>
    <w:rsid w:val="00A86F4A"/>
    <w:rsid w:val="00A86F50"/>
    <w:rsid w:val="00A86FD0"/>
    <w:rsid w:val="00A87004"/>
    <w:rsid w:val="00A87116"/>
    <w:rsid w:val="00A87181"/>
    <w:rsid w:val="00A871CD"/>
    <w:rsid w:val="00A872EE"/>
    <w:rsid w:val="00A87345"/>
    <w:rsid w:val="00A87349"/>
    <w:rsid w:val="00A873D0"/>
    <w:rsid w:val="00A8759F"/>
    <w:rsid w:val="00A875BB"/>
    <w:rsid w:val="00A8760D"/>
    <w:rsid w:val="00A87643"/>
    <w:rsid w:val="00A876CD"/>
    <w:rsid w:val="00A87732"/>
    <w:rsid w:val="00A877A4"/>
    <w:rsid w:val="00A877AB"/>
    <w:rsid w:val="00A87923"/>
    <w:rsid w:val="00A87932"/>
    <w:rsid w:val="00A87961"/>
    <w:rsid w:val="00A879DD"/>
    <w:rsid w:val="00A87A34"/>
    <w:rsid w:val="00A87A98"/>
    <w:rsid w:val="00A87AD4"/>
    <w:rsid w:val="00A87B90"/>
    <w:rsid w:val="00A87C04"/>
    <w:rsid w:val="00A87C3F"/>
    <w:rsid w:val="00A87CA7"/>
    <w:rsid w:val="00A87CDD"/>
    <w:rsid w:val="00A87CE5"/>
    <w:rsid w:val="00A87D21"/>
    <w:rsid w:val="00A87DD8"/>
    <w:rsid w:val="00A87FC1"/>
    <w:rsid w:val="00A87FCF"/>
    <w:rsid w:val="00A8B6D9"/>
    <w:rsid w:val="00A90077"/>
    <w:rsid w:val="00A9009D"/>
    <w:rsid w:val="00A900B8"/>
    <w:rsid w:val="00A9014C"/>
    <w:rsid w:val="00A9016A"/>
    <w:rsid w:val="00A9018D"/>
    <w:rsid w:val="00A901C5"/>
    <w:rsid w:val="00A90208"/>
    <w:rsid w:val="00A90288"/>
    <w:rsid w:val="00A90314"/>
    <w:rsid w:val="00A903C7"/>
    <w:rsid w:val="00A90403"/>
    <w:rsid w:val="00A9041E"/>
    <w:rsid w:val="00A904C5"/>
    <w:rsid w:val="00A904D3"/>
    <w:rsid w:val="00A904FB"/>
    <w:rsid w:val="00A905BE"/>
    <w:rsid w:val="00A905F5"/>
    <w:rsid w:val="00A905FB"/>
    <w:rsid w:val="00A90691"/>
    <w:rsid w:val="00A906B7"/>
    <w:rsid w:val="00A9077F"/>
    <w:rsid w:val="00A90985"/>
    <w:rsid w:val="00A909E7"/>
    <w:rsid w:val="00A90A5B"/>
    <w:rsid w:val="00A90A71"/>
    <w:rsid w:val="00A90B0B"/>
    <w:rsid w:val="00A90BA5"/>
    <w:rsid w:val="00A90CB3"/>
    <w:rsid w:val="00A90D7E"/>
    <w:rsid w:val="00A90D8F"/>
    <w:rsid w:val="00A90E5F"/>
    <w:rsid w:val="00A90E65"/>
    <w:rsid w:val="00A90F10"/>
    <w:rsid w:val="00A90F6C"/>
    <w:rsid w:val="00A90F7E"/>
    <w:rsid w:val="00A90F85"/>
    <w:rsid w:val="00A9111A"/>
    <w:rsid w:val="00A9113D"/>
    <w:rsid w:val="00A91174"/>
    <w:rsid w:val="00A91193"/>
    <w:rsid w:val="00A911D1"/>
    <w:rsid w:val="00A911D6"/>
    <w:rsid w:val="00A911EF"/>
    <w:rsid w:val="00A91208"/>
    <w:rsid w:val="00A912F3"/>
    <w:rsid w:val="00A91322"/>
    <w:rsid w:val="00A913AC"/>
    <w:rsid w:val="00A913D9"/>
    <w:rsid w:val="00A9147A"/>
    <w:rsid w:val="00A914D3"/>
    <w:rsid w:val="00A9152C"/>
    <w:rsid w:val="00A915CE"/>
    <w:rsid w:val="00A9165D"/>
    <w:rsid w:val="00A9167B"/>
    <w:rsid w:val="00A91700"/>
    <w:rsid w:val="00A91757"/>
    <w:rsid w:val="00A9176F"/>
    <w:rsid w:val="00A91864"/>
    <w:rsid w:val="00A9187D"/>
    <w:rsid w:val="00A918D9"/>
    <w:rsid w:val="00A91910"/>
    <w:rsid w:val="00A919C5"/>
    <w:rsid w:val="00A91B20"/>
    <w:rsid w:val="00A91B31"/>
    <w:rsid w:val="00A91B4E"/>
    <w:rsid w:val="00A91C32"/>
    <w:rsid w:val="00A91C44"/>
    <w:rsid w:val="00A91CE4"/>
    <w:rsid w:val="00A91D5B"/>
    <w:rsid w:val="00A91D91"/>
    <w:rsid w:val="00A91E5B"/>
    <w:rsid w:val="00A91E63"/>
    <w:rsid w:val="00A91EC9"/>
    <w:rsid w:val="00A91FA2"/>
    <w:rsid w:val="00A921AF"/>
    <w:rsid w:val="00A921BD"/>
    <w:rsid w:val="00A9224F"/>
    <w:rsid w:val="00A9229A"/>
    <w:rsid w:val="00A922AC"/>
    <w:rsid w:val="00A9246E"/>
    <w:rsid w:val="00A924AE"/>
    <w:rsid w:val="00A92544"/>
    <w:rsid w:val="00A9257B"/>
    <w:rsid w:val="00A92582"/>
    <w:rsid w:val="00A9265D"/>
    <w:rsid w:val="00A92694"/>
    <w:rsid w:val="00A92697"/>
    <w:rsid w:val="00A926B5"/>
    <w:rsid w:val="00A927C5"/>
    <w:rsid w:val="00A92806"/>
    <w:rsid w:val="00A9282D"/>
    <w:rsid w:val="00A928C1"/>
    <w:rsid w:val="00A9294E"/>
    <w:rsid w:val="00A92A14"/>
    <w:rsid w:val="00A92A47"/>
    <w:rsid w:val="00A92A4B"/>
    <w:rsid w:val="00A92B07"/>
    <w:rsid w:val="00A92B1C"/>
    <w:rsid w:val="00A92B81"/>
    <w:rsid w:val="00A92BB7"/>
    <w:rsid w:val="00A92BC5"/>
    <w:rsid w:val="00A92CC6"/>
    <w:rsid w:val="00A92CD9"/>
    <w:rsid w:val="00A92DD2"/>
    <w:rsid w:val="00A92E36"/>
    <w:rsid w:val="00A92E58"/>
    <w:rsid w:val="00A92F50"/>
    <w:rsid w:val="00A92FA2"/>
    <w:rsid w:val="00A93168"/>
    <w:rsid w:val="00A9324E"/>
    <w:rsid w:val="00A93283"/>
    <w:rsid w:val="00A93288"/>
    <w:rsid w:val="00A932BD"/>
    <w:rsid w:val="00A9343E"/>
    <w:rsid w:val="00A934FF"/>
    <w:rsid w:val="00A93525"/>
    <w:rsid w:val="00A937BE"/>
    <w:rsid w:val="00A937FF"/>
    <w:rsid w:val="00A938EE"/>
    <w:rsid w:val="00A939AD"/>
    <w:rsid w:val="00A93AC3"/>
    <w:rsid w:val="00A93B18"/>
    <w:rsid w:val="00A93B45"/>
    <w:rsid w:val="00A93B84"/>
    <w:rsid w:val="00A93D06"/>
    <w:rsid w:val="00A93D0C"/>
    <w:rsid w:val="00A93D19"/>
    <w:rsid w:val="00A93D69"/>
    <w:rsid w:val="00A93D7D"/>
    <w:rsid w:val="00A93D92"/>
    <w:rsid w:val="00A93DD1"/>
    <w:rsid w:val="00A93ED0"/>
    <w:rsid w:val="00A93F14"/>
    <w:rsid w:val="00A93F41"/>
    <w:rsid w:val="00A94088"/>
    <w:rsid w:val="00A940AC"/>
    <w:rsid w:val="00A941CD"/>
    <w:rsid w:val="00A941D6"/>
    <w:rsid w:val="00A941E6"/>
    <w:rsid w:val="00A94234"/>
    <w:rsid w:val="00A942D2"/>
    <w:rsid w:val="00A9436E"/>
    <w:rsid w:val="00A943A0"/>
    <w:rsid w:val="00A943A9"/>
    <w:rsid w:val="00A943DD"/>
    <w:rsid w:val="00A9448F"/>
    <w:rsid w:val="00A94548"/>
    <w:rsid w:val="00A945A8"/>
    <w:rsid w:val="00A94689"/>
    <w:rsid w:val="00A946EA"/>
    <w:rsid w:val="00A94729"/>
    <w:rsid w:val="00A9480F"/>
    <w:rsid w:val="00A94819"/>
    <w:rsid w:val="00A9481B"/>
    <w:rsid w:val="00A948AC"/>
    <w:rsid w:val="00A948F3"/>
    <w:rsid w:val="00A948F4"/>
    <w:rsid w:val="00A94A09"/>
    <w:rsid w:val="00A94A49"/>
    <w:rsid w:val="00A94A93"/>
    <w:rsid w:val="00A94B96"/>
    <w:rsid w:val="00A94BF6"/>
    <w:rsid w:val="00A94C47"/>
    <w:rsid w:val="00A94C85"/>
    <w:rsid w:val="00A94D36"/>
    <w:rsid w:val="00A94D71"/>
    <w:rsid w:val="00A94DA1"/>
    <w:rsid w:val="00A94E32"/>
    <w:rsid w:val="00A94E87"/>
    <w:rsid w:val="00A94EE2"/>
    <w:rsid w:val="00A94EE7"/>
    <w:rsid w:val="00A9501F"/>
    <w:rsid w:val="00A950CD"/>
    <w:rsid w:val="00A95118"/>
    <w:rsid w:val="00A95123"/>
    <w:rsid w:val="00A9518B"/>
    <w:rsid w:val="00A951AD"/>
    <w:rsid w:val="00A952D4"/>
    <w:rsid w:val="00A95317"/>
    <w:rsid w:val="00A9541F"/>
    <w:rsid w:val="00A95480"/>
    <w:rsid w:val="00A95592"/>
    <w:rsid w:val="00A9572F"/>
    <w:rsid w:val="00A95791"/>
    <w:rsid w:val="00A95797"/>
    <w:rsid w:val="00A95832"/>
    <w:rsid w:val="00A95895"/>
    <w:rsid w:val="00A958B0"/>
    <w:rsid w:val="00A958BE"/>
    <w:rsid w:val="00A9594B"/>
    <w:rsid w:val="00A95969"/>
    <w:rsid w:val="00A959A9"/>
    <w:rsid w:val="00A95A28"/>
    <w:rsid w:val="00A95AA8"/>
    <w:rsid w:val="00A95AB6"/>
    <w:rsid w:val="00A95AFD"/>
    <w:rsid w:val="00A95B20"/>
    <w:rsid w:val="00A95B2E"/>
    <w:rsid w:val="00A95B65"/>
    <w:rsid w:val="00A95CA0"/>
    <w:rsid w:val="00A95CDB"/>
    <w:rsid w:val="00A95E6D"/>
    <w:rsid w:val="00A95EA7"/>
    <w:rsid w:val="00A95EBC"/>
    <w:rsid w:val="00A95F8F"/>
    <w:rsid w:val="00A9602C"/>
    <w:rsid w:val="00A9603E"/>
    <w:rsid w:val="00A96070"/>
    <w:rsid w:val="00A960E5"/>
    <w:rsid w:val="00A960FC"/>
    <w:rsid w:val="00A9614A"/>
    <w:rsid w:val="00A96170"/>
    <w:rsid w:val="00A96230"/>
    <w:rsid w:val="00A96268"/>
    <w:rsid w:val="00A962A0"/>
    <w:rsid w:val="00A96373"/>
    <w:rsid w:val="00A963CA"/>
    <w:rsid w:val="00A963D6"/>
    <w:rsid w:val="00A96524"/>
    <w:rsid w:val="00A9658F"/>
    <w:rsid w:val="00A965E4"/>
    <w:rsid w:val="00A9664A"/>
    <w:rsid w:val="00A9664D"/>
    <w:rsid w:val="00A96753"/>
    <w:rsid w:val="00A9677B"/>
    <w:rsid w:val="00A96792"/>
    <w:rsid w:val="00A967E1"/>
    <w:rsid w:val="00A968D0"/>
    <w:rsid w:val="00A96944"/>
    <w:rsid w:val="00A96A18"/>
    <w:rsid w:val="00A96A2A"/>
    <w:rsid w:val="00A96A84"/>
    <w:rsid w:val="00A96BB4"/>
    <w:rsid w:val="00A96C7D"/>
    <w:rsid w:val="00A96C7F"/>
    <w:rsid w:val="00A96D3F"/>
    <w:rsid w:val="00A96DAE"/>
    <w:rsid w:val="00A96DD0"/>
    <w:rsid w:val="00A96E0D"/>
    <w:rsid w:val="00A96E13"/>
    <w:rsid w:val="00A96E41"/>
    <w:rsid w:val="00A96E87"/>
    <w:rsid w:val="00A96EC2"/>
    <w:rsid w:val="00A96EF8"/>
    <w:rsid w:val="00A96F5F"/>
    <w:rsid w:val="00A96FAB"/>
    <w:rsid w:val="00A96FB5"/>
    <w:rsid w:val="00A96FCA"/>
    <w:rsid w:val="00A9706E"/>
    <w:rsid w:val="00A970B3"/>
    <w:rsid w:val="00A971A4"/>
    <w:rsid w:val="00A97242"/>
    <w:rsid w:val="00A972BC"/>
    <w:rsid w:val="00A97326"/>
    <w:rsid w:val="00A97344"/>
    <w:rsid w:val="00A973AB"/>
    <w:rsid w:val="00A973D1"/>
    <w:rsid w:val="00A97422"/>
    <w:rsid w:val="00A97433"/>
    <w:rsid w:val="00A9751A"/>
    <w:rsid w:val="00A97585"/>
    <w:rsid w:val="00A9758A"/>
    <w:rsid w:val="00A975AD"/>
    <w:rsid w:val="00A97699"/>
    <w:rsid w:val="00A9773B"/>
    <w:rsid w:val="00A977DD"/>
    <w:rsid w:val="00A9788C"/>
    <w:rsid w:val="00A9788E"/>
    <w:rsid w:val="00A978C5"/>
    <w:rsid w:val="00A978EC"/>
    <w:rsid w:val="00A979BC"/>
    <w:rsid w:val="00A979C5"/>
    <w:rsid w:val="00A979CE"/>
    <w:rsid w:val="00A97ACB"/>
    <w:rsid w:val="00A97BCE"/>
    <w:rsid w:val="00A97C82"/>
    <w:rsid w:val="00A97CAA"/>
    <w:rsid w:val="00A97CC2"/>
    <w:rsid w:val="00A97D8C"/>
    <w:rsid w:val="00A97DB6"/>
    <w:rsid w:val="00A97DEE"/>
    <w:rsid w:val="00A97F0A"/>
    <w:rsid w:val="00A97F58"/>
    <w:rsid w:val="00A97F80"/>
    <w:rsid w:val="00A97FAE"/>
    <w:rsid w:val="00AA001C"/>
    <w:rsid w:val="00AA00BD"/>
    <w:rsid w:val="00AA00C5"/>
    <w:rsid w:val="00AA0161"/>
    <w:rsid w:val="00AA024C"/>
    <w:rsid w:val="00AA02D9"/>
    <w:rsid w:val="00AA0340"/>
    <w:rsid w:val="00AA0379"/>
    <w:rsid w:val="00AA0471"/>
    <w:rsid w:val="00AA0490"/>
    <w:rsid w:val="00AA0678"/>
    <w:rsid w:val="00AA0706"/>
    <w:rsid w:val="00AA07D3"/>
    <w:rsid w:val="00AA0900"/>
    <w:rsid w:val="00AA0960"/>
    <w:rsid w:val="00AA09E5"/>
    <w:rsid w:val="00AA0B0B"/>
    <w:rsid w:val="00AA0B16"/>
    <w:rsid w:val="00AA0B5B"/>
    <w:rsid w:val="00AA0C1E"/>
    <w:rsid w:val="00AA0C8F"/>
    <w:rsid w:val="00AA0CC1"/>
    <w:rsid w:val="00AA0D32"/>
    <w:rsid w:val="00AA0D3A"/>
    <w:rsid w:val="00AA0D96"/>
    <w:rsid w:val="00AA0E7C"/>
    <w:rsid w:val="00AA0F71"/>
    <w:rsid w:val="00AA0FE3"/>
    <w:rsid w:val="00AA112B"/>
    <w:rsid w:val="00AA1145"/>
    <w:rsid w:val="00AA1149"/>
    <w:rsid w:val="00AA128C"/>
    <w:rsid w:val="00AA1298"/>
    <w:rsid w:val="00AA12F1"/>
    <w:rsid w:val="00AA132A"/>
    <w:rsid w:val="00AA153C"/>
    <w:rsid w:val="00AA153F"/>
    <w:rsid w:val="00AA15BE"/>
    <w:rsid w:val="00AA166B"/>
    <w:rsid w:val="00AA170A"/>
    <w:rsid w:val="00AA170D"/>
    <w:rsid w:val="00AA1713"/>
    <w:rsid w:val="00AA1762"/>
    <w:rsid w:val="00AA1767"/>
    <w:rsid w:val="00AA17D0"/>
    <w:rsid w:val="00AA17EE"/>
    <w:rsid w:val="00AA18E4"/>
    <w:rsid w:val="00AA18EE"/>
    <w:rsid w:val="00AA18F4"/>
    <w:rsid w:val="00AA1A82"/>
    <w:rsid w:val="00AA1AB6"/>
    <w:rsid w:val="00AA1AF5"/>
    <w:rsid w:val="00AA1B9E"/>
    <w:rsid w:val="00AA1C02"/>
    <w:rsid w:val="00AA2064"/>
    <w:rsid w:val="00AA2071"/>
    <w:rsid w:val="00AA20E5"/>
    <w:rsid w:val="00AA2127"/>
    <w:rsid w:val="00AA2137"/>
    <w:rsid w:val="00AA2157"/>
    <w:rsid w:val="00AA21BF"/>
    <w:rsid w:val="00AA2281"/>
    <w:rsid w:val="00AA22B9"/>
    <w:rsid w:val="00AA22C3"/>
    <w:rsid w:val="00AA23F3"/>
    <w:rsid w:val="00AA248A"/>
    <w:rsid w:val="00AA24EC"/>
    <w:rsid w:val="00AA24F7"/>
    <w:rsid w:val="00AA2571"/>
    <w:rsid w:val="00AA25E2"/>
    <w:rsid w:val="00AA2603"/>
    <w:rsid w:val="00AA261A"/>
    <w:rsid w:val="00AA2645"/>
    <w:rsid w:val="00AA274C"/>
    <w:rsid w:val="00AA278B"/>
    <w:rsid w:val="00AA28A5"/>
    <w:rsid w:val="00AA28C9"/>
    <w:rsid w:val="00AA294D"/>
    <w:rsid w:val="00AA2994"/>
    <w:rsid w:val="00AA29C6"/>
    <w:rsid w:val="00AA2A2F"/>
    <w:rsid w:val="00AA2A4A"/>
    <w:rsid w:val="00AA2B0C"/>
    <w:rsid w:val="00AA2B2B"/>
    <w:rsid w:val="00AA2B34"/>
    <w:rsid w:val="00AA2C04"/>
    <w:rsid w:val="00AA2D44"/>
    <w:rsid w:val="00AA2DC3"/>
    <w:rsid w:val="00AA2DCD"/>
    <w:rsid w:val="00AA2DD1"/>
    <w:rsid w:val="00AA2E19"/>
    <w:rsid w:val="00AA2EFA"/>
    <w:rsid w:val="00AA2FBD"/>
    <w:rsid w:val="00AA2FC2"/>
    <w:rsid w:val="00AA2FDB"/>
    <w:rsid w:val="00AA3009"/>
    <w:rsid w:val="00AA30E5"/>
    <w:rsid w:val="00AA30E7"/>
    <w:rsid w:val="00AA314D"/>
    <w:rsid w:val="00AA31A8"/>
    <w:rsid w:val="00AA32B4"/>
    <w:rsid w:val="00AA343F"/>
    <w:rsid w:val="00AA34BA"/>
    <w:rsid w:val="00AA3502"/>
    <w:rsid w:val="00AA351A"/>
    <w:rsid w:val="00AA356B"/>
    <w:rsid w:val="00AA35CB"/>
    <w:rsid w:val="00AA3621"/>
    <w:rsid w:val="00AA36D8"/>
    <w:rsid w:val="00AA36FB"/>
    <w:rsid w:val="00AA3744"/>
    <w:rsid w:val="00AA37E5"/>
    <w:rsid w:val="00AA3839"/>
    <w:rsid w:val="00AA3848"/>
    <w:rsid w:val="00AA38C0"/>
    <w:rsid w:val="00AA38DB"/>
    <w:rsid w:val="00AA38FD"/>
    <w:rsid w:val="00AA39A8"/>
    <w:rsid w:val="00AA3A2C"/>
    <w:rsid w:val="00AA3A63"/>
    <w:rsid w:val="00AA3AC4"/>
    <w:rsid w:val="00AA3B36"/>
    <w:rsid w:val="00AA3BAF"/>
    <w:rsid w:val="00AA3BCB"/>
    <w:rsid w:val="00AA3BF1"/>
    <w:rsid w:val="00AA3BF5"/>
    <w:rsid w:val="00AA3C36"/>
    <w:rsid w:val="00AA3C4C"/>
    <w:rsid w:val="00AA3D05"/>
    <w:rsid w:val="00AA3D1A"/>
    <w:rsid w:val="00AA3D65"/>
    <w:rsid w:val="00AA3D7B"/>
    <w:rsid w:val="00AA3DCA"/>
    <w:rsid w:val="00AA3E7C"/>
    <w:rsid w:val="00AA3EF2"/>
    <w:rsid w:val="00AA3EFF"/>
    <w:rsid w:val="00AA3F69"/>
    <w:rsid w:val="00AA3F96"/>
    <w:rsid w:val="00AA4064"/>
    <w:rsid w:val="00AA410C"/>
    <w:rsid w:val="00AA41A7"/>
    <w:rsid w:val="00AA41AC"/>
    <w:rsid w:val="00AA41AF"/>
    <w:rsid w:val="00AA41EF"/>
    <w:rsid w:val="00AA420A"/>
    <w:rsid w:val="00AA4211"/>
    <w:rsid w:val="00AA42AE"/>
    <w:rsid w:val="00AA42D0"/>
    <w:rsid w:val="00AA439B"/>
    <w:rsid w:val="00AA44B7"/>
    <w:rsid w:val="00AA44EA"/>
    <w:rsid w:val="00AA4519"/>
    <w:rsid w:val="00AA458C"/>
    <w:rsid w:val="00AA4675"/>
    <w:rsid w:val="00AA4678"/>
    <w:rsid w:val="00AA46D5"/>
    <w:rsid w:val="00AA46F0"/>
    <w:rsid w:val="00AA46F9"/>
    <w:rsid w:val="00AA4759"/>
    <w:rsid w:val="00AA47A7"/>
    <w:rsid w:val="00AA47E5"/>
    <w:rsid w:val="00AA485A"/>
    <w:rsid w:val="00AA4887"/>
    <w:rsid w:val="00AA4991"/>
    <w:rsid w:val="00AA4A3B"/>
    <w:rsid w:val="00AA4AEF"/>
    <w:rsid w:val="00AA4B26"/>
    <w:rsid w:val="00AA4B89"/>
    <w:rsid w:val="00AA4C34"/>
    <w:rsid w:val="00AA4C48"/>
    <w:rsid w:val="00AA4D86"/>
    <w:rsid w:val="00AA4DA6"/>
    <w:rsid w:val="00AA4E75"/>
    <w:rsid w:val="00AA4E9F"/>
    <w:rsid w:val="00AA4F70"/>
    <w:rsid w:val="00AA4FF7"/>
    <w:rsid w:val="00AA50AA"/>
    <w:rsid w:val="00AA50EA"/>
    <w:rsid w:val="00AA518E"/>
    <w:rsid w:val="00AA51DE"/>
    <w:rsid w:val="00AA5209"/>
    <w:rsid w:val="00AA543B"/>
    <w:rsid w:val="00AA54EA"/>
    <w:rsid w:val="00AA55AB"/>
    <w:rsid w:val="00AA55ED"/>
    <w:rsid w:val="00AA564B"/>
    <w:rsid w:val="00AA5888"/>
    <w:rsid w:val="00AA5903"/>
    <w:rsid w:val="00AA5946"/>
    <w:rsid w:val="00AA5991"/>
    <w:rsid w:val="00AA5997"/>
    <w:rsid w:val="00AA5A72"/>
    <w:rsid w:val="00AA5BB2"/>
    <w:rsid w:val="00AA5BB3"/>
    <w:rsid w:val="00AA5BB9"/>
    <w:rsid w:val="00AA5BFF"/>
    <w:rsid w:val="00AA5D69"/>
    <w:rsid w:val="00AA5D9A"/>
    <w:rsid w:val="00AA5E69"/>
    <w:rsid w:val="00AA5EA6"/>
    <w:rsid w:val="00AA5F16"/>
    <w:rsid w:val="00AA6016"/>
    <w:rsid w:val="00AA605D"/>
    <w:rsid w:val="00AA608E"/>
    <w:rsid w:val="00AA60B1"/>
    <w:rsid w:val="00AA60D5"/>
    <w:rsid w:val="00AA60FF"/>
    <w:rsid w:val="00AA6128"/>
    <w:rsid w:val="00AA619F"/>
    <w:rsid w:val="00AA61A1"/>
    <w:rsid w:val="00AA61A7"/>
    <w:rsid w:val="00AA625E"/>
    <w:rsid w:val="00AA63E3"/>
    <w:rsid w:val="00AA64C8"/>
    <w:rsid w:val="00AA64D6"/>
    <w:rsid w:val="00AA65A6"/>
    <w:rsid w:val="00AA65DC"/>
    <w:rsid w:val="00AA664F"/>
    <w:rsid w:val="00AA6657"/>
    <w:rsid w:val="00AA66EA"/>
    <w:rsid w:val="00AA6831"/>
    <w:rsid w:val="00AA68DE"/>
    <w:rsid w:val="00AA6908"/>
    <w:rsid w:val="00AA692A"/>
    <w:rsid w:val="00AA69B6"/>
    <w:rsid w:val="00AA6A01"/>
    <w:rsid w:val="00AA6BE5"/>
    <w:rsid w:val="00AA6C58"/>
    <w:rsid w:val="00AA6C9D"/>
    <w:rsid w:val="00AA6CE4"/>
    <w:rsid w:val="00AA6D02"/>
    <w:rsid w:val="00AA6D4B"/>
    <w:rsid w:val="00AA6DB8"/>
    <w:rsid w:val="00AA6DE1"/>
    <w:rsid w:val="00AA6E89"/>
    <w:rsid w:val="00AA6EE1"/>
    <w:rsid w:val="00AA6F30"/>
    <w:rsid w:val="00AA6FE8"/>
    <w:rsid w:val="00AA709A"/>
    <w:rsid w:val="00AA70F1"/>
    <w:rsid w:val="00AA71A6"/>
    <w:rsid w:val="00AA71C0"/>
    <w:rsid w:val="00AA71CF"/>
    <w:rsid w:val="00AA7269"/>
    <w:rsid w:val="00AA72F8"/>
    <w:rsid w:val="00AA731E"/>
    <w:rsid w:val="00AA7421"/>
    <w:rsid w:val="00AA744D"/>
    <w:rsid w:val="00AA744F"/>
    <w:rsid w:val="00AA7588"/>
    <w:rsid w:val="00AA75D8"/>
    <w:rsid w:val="00AA76F6"/>
    <w:rsid w:val="00AA7722"/>
    <w:rsid w:val="00AA7727"/>
    <w:rsid w:val="00AA7745"/>
    <w:rsid w:val="00AA7812"/>
    <w:rsid w:val="00AA7823"/>
    <w:rsid w:val="00AA78AF"/>
    <w:rsid w:val="00AA7930"/>
    <w:rsid w:val="00AA7946"/>
    <w:rsid w:val="00AA7980"/>
    <w:rsid w:val="00AA79DD"/>
    <w:rsid w:val="00AA7A20"/>
    <w:rsid w:val="00AA7B08"/>
    <w:rsid w:val="00AA7B0A"/>
    <w:rsid w:val="00AA7B2B"/>
    <w:rsid w:val="00AA7B6E"/>
    <w:rsid w:val="00AA7BB3"/>
    <w:rsid w:val="00AA7C95"/>
    <w:rsid w:val="00AA7CA3"/>
    <w:rsid w:val="00AA7CFD"/>
    <w:rsid w:val="00AA7D6F"/>
    <w:rsid w:val="00AA7D86"/>
    <w:rsid w:val="00AA7D96"/>
    <w:rsid w:val="00AA7D97"/>
    <w:rsid w:val="00AA7DF0"/>
    <w:rsid w:val="00AA7E11"/>
    <w:rsid w:val="00AA7EEF"/>
    <w:rsid w:val="00AA7F35"/>
    <w:rsid w:val="00AA7FC3"/>
    <w:rsid w:val="00AA7FF8"/>
    <w:rsid w:val="00AB00F5"/>
    <w:rsid w:val="00AB018D"/>
    <w:rsid w:val="00AB01D1"/>
    <w:rsid w:val="00AB01EE"/>
    <w:rsid w:val="00AB02A2"/>
    <w:rsid w:val="00AB030B"/>
    <w:rsid w:val="00AB0458"/>
    <w:rsid w:val="00AB048C"/>
    <w:rsid w:val="00AB0589"/>
    <w:rsid w:val="00AB0713"/>
    <w:rsid w:val="00AB0761"/>
    <w:rsid w:val="00AB0774"/>
    <w:rsid w:val="00AB07AB"/>
    <w:rsid w:val="00AB08DD"/>
    <w:rsid w:val="00AB093F"/>
    <w:rsid w:val="00AB0957"/>
    <w:rsid w:val="00AB0959"/>
    <w:rsid w:val="00AB09DA"/>
    <w:rsid w:val="00AB0A16"/>
    <w:rsid w:val="00AB0AB2"/>
    <w:rsid w:val="00AB0AEE"/>
    <w:rsid w:val="00AB0BBD"/>
    <w:rsid w:val="00AB0C0F"/>
    <w:rsid w:val="00AB0C3E"/>
    <w:rsid w:val="00AB0CA0"/>
    <w:rsid w:val="00AB0DA4"/>
    <w:rsid w:val="00AB0DA5"/>
    <w:rsid w:val="00AB0DAF"/>
    <w:rsid w:val="00AB0DB3"/>
    <w:rsid w:val="00AB0DBD"/>
    <w:rsid w:val="00AB0DDB"/>
    <w:rsid w:val="00AB0E50"/>
    <w:rsid w:val="00AB0EA8"/>
    <w:rsid w:val="00AB0FBD"/>
    <w:rsid w:val="00AB10B2"/>
    <w:rsid w:val="00AB10C9"/>
    <w:rsid w:val="00AB11BD"/>
    <w:rsid w:val="00AB12A2"/>
    <w:rsid w:val="00AB13DC"/>
    <w:rsid w:val="00AB1409"/>
    <w:rsid w:val="00AB142B"/>
    <w:rsid w:val="00AB1463"/>
    <w:rsid w:val="00AB14AF"/>
    <w:rsid w:val="00AB1678"/>
    <w:rsid w:val="00AB16CE"/>
    <w:rsid w:val="00AB16D1"/>
    <w:rsid w:val="00AB17A2"/>
    <w:rsid w:val="00AB17DC"/>
    <w:rsid w:val="00AB18AC"/>
    <w:rsid w:val="00AB191A"/>
    <w:rsid w:val="00AB1984"/>
    <w:rsid w:val="00AB19D2"/>
    <w:rsid w:val="00AB1A43"/>
    <w:rsid w:val="00AB1AB8"/>
    <w:rsid w:val="00AB1B14"/>
    <w:rsid w:val="00AB1B45"/>
    <w:rsid w:val="00AB1BAB"/>
    <w:rsid w:val="00AB1C89"/>
    <w:rsid w:val="00AB1CAA"/>
    <w:rsid w:val="00AB1DEB"/>
    <w:rsid w:val="00AB1E29"/>
    <w:rsid w:val="00AB1F30"/>
    <w:rsid w:val="00AB1F65"/>
    <w:rsid w:val="00AB1FD3"/>
    <w:rsid w:val="00AB20A4"/>
    <w:rsid w:val="00AB214E"/>
    <w:rsid w:val="00AB2175"/>
    <w:rsid w:val="00AB2192"/>
    <w:rsid w:val="00AB21A9"/>
    <w:rsid w:val="00AB21D2"/>
    <w:rsid w:val="00AB2235"/>
    <w:rsid w:val="00AB2256"/>
    <w:rsid w:val="00AB22C8"/>
    <w:rsid w:val="00AB23E1"/>
    <w:rsid w:val="00AB246C"/>
    <w:rsid w:val="00AB2498"/>
    <w:rsid w:val="00AB24AA"/>
    <w:rsid w:val="00AB26E2"/>
    <w:rsid w:val="00AB26F2"/>
    <w:rsid w:val="00AB2820"/>
    <w:rsid w:val="00AB2941"/>
    <w:rsid w:val="00AB2942"/>
    <w:rsid w:val="00AB29B1"/>
    <w:rsid w:val="00AB2A47"/>
    <w:rsid w:val="00AB2AD7"/>
    <w:rsid w:val="00AB2BDC"/>
    <w:rsid w:val="00AB2C36"/>
    <w:rsid w:val="00AB2C86"/>
    <w:rsid w:val="00AB2D38"/>
    <w:rsid w:val="00AB2D84"/>
    <w:rsid w:val="00AB2DB2"/>
    <w:rsid w:val="00AB2E19"/>
    <w:rsid w:val="00AB2E6E"/>
    <w:rsid w:val="00AB2F13"/>
    <w:rsid w:val="00AB2F4B"/>
    <w:rsid w:val="00AB2F61"/>
    <w:rsid w:val="00AB2F65"/>
    <w:rsid w:val="00AB2F7E"/>
    <w:rsid w:val="00AB2FBE"/>
    <w:rsid w:val="00AB304F"/>
    <w:rsid w:val="00AB3100"/>
    <w:rsid w:val="00AB3131"/>
    <w:rsid w:val="00AB31DE"/>
    <w:rsid w:val="00AB3236"/>
    <w:rsid w:val="00AB328C"/>
    <w:rsid w:val="00AB32A5"/>
    <w:rsid w:val="00AB32E3"/>
    <w:rsid w:val="00AB32EB"/>
    <w:rsid w:val="00AB33C5"/>
    <w:rsid w:val="00AB3614"/>
    <w:rsid w:val="00AB3695"/>
    <w:rsid w:val="00AB36B7"/>
    <w:rsid w:val="00AB3773"/>
    <w:rsid w:val="00AB37AA"/>
    <w:rsid w:val="00AB39C6"/>
    <w:rsid w:val="00AB3A5B"/>
    <w:rsid w:val="00AB3A95"/>
    <w:rsid w:val="00AB3B56"/>
    <w:rsid w:val="00AB3BA1"/>
    <w:rsid w:val="00AB3BE4"/>
    <w:rsid w:val="00AB3C3C"/>
    <w:rsid w:val="00AB3CB7"/>
    <w:rsid w:val="00AB3E1C"/>
    <w:rsid w:val="00AB3E28"/>
    <w:rsid w:val="00AB3F78"/>
    <w:rsid w:val="00AB4078"/>
    <w:rsid w:val="00AB4161"/>
    <w:rsid w:val="00AB419C"/>
    <w:rsid w:val="00AB41C6"/>
    <w:rsid w:val="00AB4215"/>
    <w:rsid w:val="00AB42BF"/>
    <w:rsid w:val="00AB439F"/>
    <w:rsid w:val="00AB4403"/>
    <w:rsid w:val="00AB4483"/>
    <w:rsid w:val="00AB4486"/>
    <w:rsid w:val="00AB4497"/>
    <w:rsid w:val="00AB44F8"/>
    <w:rsid w:val="00AB4559"/>
    <w:rsid w:val="00AB46EB"/>
    <w:rsid w:val="00AB4709"/>
    <w:rsid w:val="00AB4744"/>
    <w:rsid w:val="00AB4774"/>
    <w:rsid w:val="00AB4856"/>
    <w:rsid w:val="00AB49A3"/>
    <w:rsid w:val="00AB4A53"/>
    <w:rsid w:val="00AB4A72"/>
    <w:rsid w:val="00AB4A86"/>
    <w:rsid w:val="00AB4A8B"/>
    <w:rsid w:val="00AB4ACF"/>
    <w:rsid w:val="00AB4AD2"/>
    <w:rsid w:val="00AB4AF3"/>
    <w:rsid w:val="00AB4D28"/>
    <w:rsid w:val="00AB4DC6"/>
    <w:rsid w:val="00AB4E71"/>
    <w:rsid w:val="00AB4EA8"/>
    <w:rsid w:val="00AB4F9C"/>
    <w:rsid w:val="00AB4FD3"/>
    <w:rsid w:val="00AB4FDE"/>
    <w:rsid w:val="00AB5021"/>
    <w:rsid w:val="00AB5029"/>
    <w:rsid w:val="00AB50E5"/>
    <w:rsid w:val="00AB5133"/>
    <w:rsid w:val="00AB5140"/>
    <w:rsid w:val="00AB5194"/>
    <w:rsid w:val="00AB51DE"/>
    <w:rsid w:val="00AB524A"/>
    <w:rsid w:val="00AB524C"/>
    <w:rsid w:val="00AB529D"/>
    <w:rsid w:val="00AB52AE"/>
    <w:rsid w:val="00AB5303"/>
    <w:rsid w:val="00AB5348"/>
    <w:rsid w:val="00AB5389"/>
    <w:rsid w:val="00AB53D6"/>
    <w:rsid w:val="00AB54D0"/>
    <w:rsid w:val="00AB5535"/>
    <w:rsid w:val="00AB5537"/>
    <w:rsid w:val="00AB5579"/>
    <w:rsid w:val="00AB562D"/>
    <w:rsid w:val="00AB564B"/>
    <w:rsid w:val="00AB56A3"/>
    <w:rsid w:val="00AB56EE"/>
    <w:rsid w:val="00AB5708"/>
    <w:rsid w:val="00AB5713"/>
    <w:rsid w:val="00AB57A0"/>
    <w:rsid w:val="00AB57BA"/>
    <w:rsid w:val="00AB58A9"/>
    <w:rsid w:val="00AB5904"/>
    <w:rsid w:val="00AB5A28"/>
    <w:rsid w:val="00AB5AEC"/>
    <w:rsid w:val="00AB5BAA"/>
    <w:rsid w:val="00AB5BB2"/>
    <w:rsid w:val="00AB5BE1"/>
    <w:rsid w:val="00AB5D27"/>
    <w:rsid w:val="00AB5D3D"/>
    <w:rsid w:val="00AB5D5F"/>
    <w:rsid w:val="00AB5E03"/>
    <w:rsid w:val="00AB5E7C"/>
    <w:rsid w:val="00AB5EBB"/>
    <w:rsid w:val="00AB5F5F"/>
    <w:rsid w:val="00AB5FF6"/>
    <w:rsid w:val="00AB6049"/>
    <w:rsid w:val="00AB6193"/>
    <w:rsid w:val="00AB61FD"/>
    <w:rsid w:val="00AB6204"/>
    <w:rsid w:val="00AB6268"/>
    <w:rsid w:val="00AB6275"/>
    <w:rsid w:val="00AB633F"/>
    <w:rsid w:val="00AB6350"/>
    <w:rsid w:val="00AB6355"/>
    <w:rsid w:val="00AB6436"/>
    <w:rsid w:val="00AB6449"/>
    <w:rsid w:val="00AB6480"/>
    <w:rsid w:val="00AB648A"/>
    <w:rsid w:val="00AB649E"/>
    <w:rsid w:val="00AB6518"/>
    <w:rsid w:val="00AB651C"/>
    <w:rsid w:val="00AB659B"/>
    <w:rsid w:val="00AB6652"/>
    <w:rsid w:val="00AB669C"/>
    <w:rsid w:val="00AB67AD"/>
    <w:rsid w:val="00AB6952"/>
    <w:rsid w:val="00AB6ADF"/>
    <w:rsid w:val="00AB6AE6"/>
    <w:rsid w:val="00AB6BE8"/>
    <w:rsid w:val="00AB6BEA"/>
    <w:rsid w:val="00AB6C43"/>
    <w:rsid w:val="00AB6C44"/>
    <w:rsid w:val="00AB6C47"/>
    <w:rsid w:val="00AB6CC2"/>
    <w:rsid w:val="00AB6D22"/>
    <w:rsid w:val="00AB6D3D"/>
    <w:rsid w:val="00AB6E03"/>
    <w:rsid w:val="00AB6F86"/>
    <w:rsid w:val="00AB6F8C"/>
    <w:rsid w:val="00AB7084"/>
    <w:rsid w:val="00AB7250"/>
    <w:rsid w:val="00AB7255"/>
    <w:rsid w:val="00AB72A9"/>
    <w:rsid w:val="00AB72C8"/>
    <w:rsid w:val="00AB72EE"/>
    <w:rsid w:val="00AB72F7"/>
    <w:rsid w:val="00AB72FD"/>
    <w:rsid w:val="00AB7300"/>
    <w:rsid w:val="00AB742D"/>
    <w:rsid w:val="00AB745A"/>
    <w:rsid w:val="00AB74A3"/>
    <w:rsid w:val="00AB74B1"/>
    <w:rsid w:val="00AB7503"/>
    <w:rsid w:val="00AB7562"/>
    <w:rsid w:val="00AB75D6"/>
    <w:rsid w:val="00AB75DE"/>
    <w:rsid w:val="00AB764B"/>
    <w:rsid w:val="00AB76CD"/>
    <w:rsid w:val="00AB76DA"/>
    <w:rsid w:val="00AB76DF"/>
    <w:rsid w:val="00AB7728"/>
    <w:rsid w:val="00AB7747"/>
    <w:rsid w:val="00AB7751"/>
    <w:rsid w:val="00AB7769"/>
    <w:rsid w:val="00AB791A"/>
    <w:rsid w:val="00AB7978"/>
    <w:rsid w:val="00AB79C0"/>
    <w:rsid w:val="00AB79D6"/>
    <w:rsid w:val="00AB7A0D"/>
    <w:rsid w:val="00AB7A28"/>
    <w:rsid w:val="00AB7AC7"/>
    <w:rsid w:val="00AB7BFA"/>
    <w:rsid w:val="00AB7C67"/>
    <w:rsid w:val="00AB7D4E"/>
    <w:rsid w:val="00AB7EC7"/>
    <w:rsid w:val="00AB7F9E"/>
    <w:rsid w:val="00AB7FEE"/>
    <w:rsid w:val="00AC009D"/>
    <w:rsid w:val="00AC01C6"/>
    <w:rsid w:val="00AC0269"/>
    <w:rsid w:val="00AC02A4"/>
    <w:rsid w:val="00AC0440"/>
    <w:rsid w:val="00AC0460"/>
    <w:rsid w:val="00AC0481"/>
    <w:rsid w:val="00AC0562"/>
    <w:rsid w:val="00AC0587"/>
    <w:rsid w:val="00AC0617"/>
    <w:rsid w:val="00AC061B"/>
    <w:rsid w:val="00AC071B"/>
    <w:rsid w:val="00AC0857"/>
    <w:rsid w:val="00AC0934"/>
    <w:rsid w:val="00AC0956"/>
    <w:rsid w:val="00AC095A"/>
    <w:rsid w:val="00AC0B7A"/>
    <w:rsid w:val="00AC0C97"/>
    <w:rsid w:val="00AC0D99"/>
    <w:rsid w:val="00AC0FD5"/>
    <w:rsid w:val="00AC1050"/>
    <w:rsid w:val="00AC1174"/>
    <w:rsid w:val="00AC1268"/>
    <w:rsid w:val="00AC127C"/>
    <w:rsid w:val="00AC1398"/>
    <w:rsid w:val="00AC140A"/>
    <w:rsid w:val="00AC1422"/>
    <w:rsid w:val="00AC1438"/>
    <w:rsid w:val="00AC14B7"/>
    <w:rsid w:val="00AC14FA"/>
    <w:rsid w:val="00AC154C"/>
    <w:rsid w:val="00AC1625"/>
    <w:rsid w:val="00AC163E"/>
    <w:rsid w:val="00AC164B"/>
    <w:rsid w:val="00AC16B2"/>
    <w:rsid w:val="00AC174E"/>
    <w:rsid w:val="00AC1766"/>
    <w:rsid w:val="00AC1810"/>
    <w:rsid w:val="00AC1828"/>
    <w:rsid w:val="00AC1849"/>
    <w:rsid w:val="00AC1872"/>
    <w:rsid w:val="00AC1881"/>
    <w:rsid w:val="00AC188A"/>
    <w:rsid w:val="00AC191E"/>
    <w:rsid w:val="00AC1942"/>
    <w:rsid w:val="00AC1957"/>
    <w:rsid w:val="00AC19C2"/>
    <w:rsid w:val="00AC1A0F"/>
    <w:rsid w:val="00AC1A50"/>
    <w:rsid w:val="00AC1A6B"/>
    <w:rsid w:val="00AC1AA4"/>
    <w:rsid w:val="00AC1AE0"/>
    <w:rsid w:val="00AC1BA5"/>
    <w:rsid w:val="00AC1CAA"/>
    <w:rsid w:val="00AC1CAE"/>
    <w:rsid w:val="00AC1D07"/>
    <w:rsid w:val="00AC1D24"/>
    <w:rsid w:val="00AC1DFE"/>
    <w:rsid w:val="00AC1EAA"/>
    <w:rsid w:val="00AC1EFF"/>
    <w:rsid w:val="00AC1FA2"/>
    <w:rsid w:val="00AC1FFD"/>
    <w:rsid w:val="00AC205B"/>
    <w:rsid w:val="00AC2098"/>
    <w:rsid w:val="00AC20AD"/>
    <w:rsid w:val="00AC214C"/>
    <w:rsid w:val="00AC21A3"/>
    <w:rsid w:val="00AC2238"/>
    <w:rsid w:val="00AC224E"/>
    <w:rsid w:val="00AC2366"/>
    <w:rsid w:val="00AC23A3"/>
    <w:rsid w:val="00AC2443"/>
    <w:rsid w:val="00AC266F"/>
    <w:rsid w:val="00AC281E"/>
    <w:rsid w:val="00AC2824"/>
    <w:rsid w:val="00AC2885"/>
    <w:rsid w:val="00AC2910"/>
    <w:rsid w:val="00AC2A19"/>
    <w:rsid w:val="00AC2A35"/>
    <w:rsid w:val="00AC2A51"/>
    <w:rsid w:val="00AC2B40"/>
    <w:rsid w:val="00AC2B64"/>
    <w:rsid w:val="00AC2B77"/>
    <w:rsid w:val="00AC2BF6"/>
    <w:rsid w:val="00AC2C25"/>
    <w:rsid w:val="00AC2CD2"/>
    <w:rsid w:val="00AC2CD6"/>
    <w:rsid w:val="00AC2E58"/>
    <w:rsid w:val="00AC2E9C"/>
    <w:rsid w:val="00AC2F1B"/>
    <w:rsid w:val="00AC2F7A"/>
    <w:rsid w:val="00AC2FAD"/>
    <w:rsid w:val="00AC2FE0"/>
    <w:rsid w:val="00AC30B8"/>
    <w:rsid w:val="00AC3194"/>
    <w:rsid w:val="00AC31E7"/>
    <w:rsid w:val="00AC3226"/>
    <w:rsid w:val="00AC3248"/>
    <w:rsid w:val="00AC324F"/>
    <w:rsid w:val="00AC325B"/>
    <w:rsid w:val="00AC32BC"/>
    <w:rsid w:val="00AC3352"/>
    <w:rsid w:val="00AC350A"/>
    <w:rsid w:val="00AC3572"/>
    <w:rsid w:val="00AC3596"/>
    <w:rsid w:val="00AC3830"/>
    <w:rsid w:val="00AC3866"/>
    <w:rsid w:val="00AC3885"/>
    <w:rsid w:val="00AC38D2"/>
    <w:rsid w:val="00AC3954"/>
    <w:rsid w:val="00AC395F"/>
    <w:rsid w:val="00AC39A4"/>
    <w:rsid w:val="00AC3A9E"/>
    <w:rsid w:val="00AC3B96"/>
    <w:rsid w:val="00AC3D8E"/>
    <w:rsid w:val="00AC3DA2"/>
    <w:rsid w:val="00AC3F35"/>
    <w:rsid w:val="00AC3F40"/>
    <w:rsid w:val="00AC3F8D"/>
    <w:rsid w:val="00AC401A"/>
    <w:rsid w:val="00AC409E"/>
    <w:rsid w:val="00AC414A"/>
    <w:rsid w:val="00AC416F"/>
    <w:rsid w:val="00AC42E1"/>
    <w:rsid w:val="00AC4310"/>
    <w:rsid w:val="00AC4330"/>
    <w:rsid w:val="00AC4350"/>
    <w:rsid w:val="00AC43D0"/>
    <w:rsid w:val="00AC4406"/>
    <w:rsid w:val="00AC442F"/>
    <w:rsid w:val="00AC447C"/>
    <w:rsid w:val="00AC450F"/>
    <w:rsid w:val="00AC459E"/>
    <w:rsid w:val="00AC45C8"/>
    <w:rsid w:val="00AC45CD"/>
    <w:rsid w:val="00AC46D2"/>
    <w:rsid w:val="00AC4794"/>
    <w:rsid w:val="00AC47C2"/>
    <w:rsid w:val="00AC4830"/>
    <w:rsid w:val="00AC4888"/>
    <w:rsid w:val="00AC4943"/>
    <w:rsid w:val="00AC4966"/>
    <w:rsid w:val="00AC497C"/>
    <w:rsid w:val="00AC49D7"/>
    <w:rsid w:val="00AC4A18"/>
    <w:rsid w:val="00AC4A87"/>
    <w:rsid w:val="00AC4B09"/>
    <w:rsid w:val="00AC4B7B"/>
    <w:rsid w:val="00AC4C10"/>
    <w:rsid w:val="00AC4C38"/>
    <w:rsid w:val="00AC4C99"/>
    <w:rsid w:val="00AC4CE8"/>
    <w:rsid w:val="00AC4CF0"/>
    <w:rsid w:val="00AC4D2D"/>
    <w:rsid w:val="00AC4D42"/>
    <w:rsid w:val="00AC4DAF"/>
    <w:rsid w:val="00AC4DBE"/>
    <w:rsid w:val="00AC4E4A"/>
    <w:rsid w:val="00AC4FA8"/>
    <w:rsid w:val="00AC4FB8"/>
    <w:rsid w:val="00AC524C"/>
    <w:rsid w:val="00AC5298"/>
    <w:rsid w:val="00AC52C3"/>
    <w:rsid w:val="00AC5584"/>
    <w:rsid w:val="00AC55AD"/>
    <w:rsid w:val="00AC55EC"/>
    <w:rsid w:val="00AC567D"/>
    <w:rsid w:val="00AC56AF"/>
    <w:rsid w:val="00AC577F"/>
    <w:rsid w:val="00AC5796"/>
    <w:rsid w:val="00AC57A6"/>
    <w:rsid w:val="00AC58E0"/>
    <w:rsid w:val="00AC5954"/>
    <w:rsid w:val="00AC5976"/>
    <w:rsid w:val="00AC59A3"/>
    <w:rsid w:val="00AC59D4"/>
    <w:rsid w:val="00AC59FA"/>
    <w:rsid w:val="00AC5A42"/>
    <w:rsid w:val="00AC5A85"/>
    <w:rsid w:val="00AC5A9F"/>
    <w:rsid w:val="00AC5B2D"/>
    <w:rsid w:val="00AC5B9C"/>
    <w:rsid w:val="00AC5C0A"/>
    <w:rsid w:val="00AC5CBF"/>
    <w:rsid w:val="00AC5CE5"/>
    <w:rsid w:val="00AC5D3C"/>
    <w:rsid w:val="00AC5E1C"/>
    <w:rsid w:val="00AC5E2E"/>
    <w:rsid w:val="00AC5EF1"/>
    <w:rsid w:val="00AC5F07"/>
    <w:rsid w:val="00AC5F5B"/>
    <w:rsid w:val="00AC5FC0"/>
    <w:rsid w:val="00AC6083"/>
    <w:rsid w:val="00AC60C8"/>
    <w:rsid w:val="00AC6114"/>
    <w:rsid w:val="00AC6138"/>
    <w:rsid w:val="00AC6139"/>
    <w:rsid w:val="00AC6175"/>
    <w:rsid w:val="00AC618D"/>
    <w:rsid w:val="00AC61EC"/>
    <w:rsid w:val="00AC6245"/>
    <w:rsid w:val="00AC6394"/>
    <w:rsid w:val="00AC63CD"/>
    <w:rsid w:val="00AC63D6"/>
    <w:rsid w:val="00AC6406"/>
    <w:rsid w:val="00AC641F"/>
    <w:rsid w:val="00AC644C"/>
    <w:rsid w:val="00AC649F"/>
    <w:rsid w:val="00AC64E4"/>
    <w:rsid w:val="00AC6518"/>
    <w:rsid w:val="00AC654D"/>
    <w:rsid w:val="00AC65EC"/>
    <w:rsid w:val="00AC6601"/>
    <w:rsid w:val="00AC6714"/>
    <w:rsid w:val="00AC67A7"/>
    <w:rsid w:val="00AC684D"/>
    <w:rsid w:val="00AC68D6"/>
    <w:rsid w:val="00AC68EC"/>
    <w:rsid w:val="00AC69F8"/>
    <w:rsid w:val="00AC6A37"/>
    <w:rsid w:val="00AC6A93"/>
    <w:rsid w:val="00AC6AC0"/>
    <w:rsid w:val="00AC6ACE"/>
    <w:rsid w:val="00AC6C1A"/>
    <w:rsid w:val="00AC6CAE"/>
    <w:rsid w:val="00AC6CE4"/>
    <w:rsid w:val="00AC6D07"/>
    <w:rsid w:val="00AC6DE7"/>
    <w:rsid w:val="00AC6EE0"/>
    <w:rsid w:val="00AC6EFF"/>
    <w:rsid w:val="00AC6FEB"/>
    <w:rsid w:val="00AC7057"/>
    <w:rsid w:val="00AC7110"/>
    <w:rsid w:val="00AC71BC"/>
    <w:rsid w:val="00AC7248"/>
    <w:rsid w:val="00AC7277"/>
    <w:rsid w:val="00AC728A"/>
    <w:rsid w:val="00AC7291"/>
    <w:rsid w:val="00AC72C5"/>
    <w:rsid w:val="00AC72DF"/>
    <w:rsid w:val="00AC7330"/>
    <w:rsid w:val="00AC7367"/>
    <w:rsid w:val="00AC7375"/>
    <w:rsid w:val="00AC7389"/>
    <w:rsid w:val="00AC73E5"/>
    <w:rsid w:val="00AC749A"/>
    <w:rsid w:val="00AC7542"/>
    <w:rsid w:val="00AC75A4"/>
    <w:rsid w:val="00AC7674"/>
    <w:rsid w:val="00AC7687"/>
    <w:rsid w:val="00AC772A"/>
    <w:rsid w:val="00AC7741"/>
    <w:rsid w:val="00AC775C"/>
    <w:rsid w:val="00AC77EC"/>
    <w:rsid w:val="00AC7925"/>
    <w:rsid w:val="00AC7945"/>
    <w:rsid w:val="00AC7B44"/>
    <w:rsid w:val="00AC7D45"/>
    <w:rsid w:val="00AC7D7C"/>
    <w:rsid w:val="00AC7DCE"/>
    <w:rsid w:val="00AC7EC1"/>
    <w:rsid w:val="00AC7FFE"/>
    <w:rsid w:val="00AD0041"/>
    <w:rsid w:val="00AD0087"/>
    <w:rsid w:val="00AD017F"/>
    <w:rsid w:val="00AD028D"/>
    <w:rsid w:val="00AD034D"/>
    <w:rsid w:val="00AD03A8"/>
    <w:rsid w:val="00AD0424"/>
    <w:rsid w:val="00AD0553"/>
    <w:rsid w:val="00AD0577"/>
    <w:rsid w:val="00AD073B"/>
    <w:rsid w:val="00AD07B3"/>
    <w:rsid w:val="00AD0832"/>
    <w:rsid w:val="00AD0850"/>
    <w:rsid w:val="00AD0922"/>
    <w:rsid w:val="00AD096A"/>
    <w:rsid w:val="00AD0A50"/>
    <w:rsid w:val="00AD0AA6"/>
    <w:rsid w:val="00AD0B32"/>
    <w:rsid w:val="00AD0B64"/>
    <w:rsid w:val="00AD0C90"/>
    <w:rsid w:val="00AD0C9A"/>
    <w:rsid w:val="00AD0CD0"/>
    <w:rsid w:val="00AD0EA9"/>
    <w:rsid w:val="00AD0EE6"/>
    <w:rsid w:val="00AD0EF1"/>
    <w:rsid w:val="00AD0FA0"/>
    <w:rsid w:val="00AD1028"/>
    <w:rsid w:val="00AD1051"/>
    <w:rsid w:val="00AD10F1"/>
    <w:rsid w:val="00AD1133"/>
    <w:rsid w:val="00AD1148"/>
    <w:rsid w:val="00AD1407"/>
    <w:rsid w:val="00AD1446"/>
    <w:rsid w:val="00AD14A5"/>
    <w:rsid w:val="00AD14CC"/>
    <w:rsid w:val="00AD1722"/>
    <w:rsid w:val="00AD1761"/>
    <w:rsid w:val="00AD1821"/>
    <w:rsid w:val="00AD185B"/>
    <w:rsid w:val="00AD18C3"/>
    <w:rsid w:val="00AD194B"/>
    <w:rsid w:val="00AD1A16"/>
    <w:rsid w:val="00AD1A32"/>
    <w:rsid w:val="00AD1AD6"/>
    <w:rsid w:val="00AD1B3A"/>
    <w:rsid w:val="00AD1B5B"/>
    <w:rsid w:val="00AD1B5F"/>
    <w:rsid w:val="00AD1B7F"/>
    <w:rsid w:val="00AD1B81"/>
    <w:rsid w:val="00AD1C37"/>
    <w:rsid w:val="00AD1CE0"/>
    <w:rsid w:val="00AD1D7A"/>
    <w:rsid w:val="00AD1E04"/>
    <w:rsid w:val="00AD1EEE"/>
    <w:rsid w:val="00AD1EFF"/>
    <w:rsid w:val="00AD2018"/>
    <w:rsid w:val="00AD2024"/>
    <w:rsid w:val="00AD20C8"/>
    <w:rsid w:val="00AD20F5"/>
    <w:rsid w:val="00AD20FB"/>
    <w:rsid w:val="00AD2139"/>
    <w:rsid w:val="00AD21B7"/>
    <w:rsid w:val="00AD2240"/>
    <w:rsid w:val="00AD2309"/>
    <w:rsid w:val="00AD231B"/>
    <w:rsid w:val="00AD2336"/>
    <w:rsid w:val="00AD236B"/>
    <w:rsid w:val="00AD23FC"/>
    <w:rsid w:val="00AD24DC"/>
    <w:rsid w:val="00AD26E5"/>
    <w:rsid w:val="00AD272E"/>
    <w:rsid w:val="00AD2752"/>
    <w:rsid w:val="00AD278A"/>
    <w:rsid w:val="00AD2915"/>
    <w:rsid w:val="00AD2924"/>
    <w:rsid w:val="00AD298B"/>
    <w:rsid w:val="00AD298E"/>
    <w:rsid w:val="00AD29AF"/>
    <w:rsid w:val="00AD2A15"/>
    <w:rsid w:val="00AD2B93"/>
    <w:rsid w:val="00AD2C31"/>
    <w:rsid w:val="00AD2CED"/>
    <w:rsid w:val="00AD2D62"/>
    <w:rsid w:val="00AD2D75"/>
    <w:rsid w:val="00AD2D8A"/>
    <w:rsid w:val="00AD2D8B"/>
    <w:rsid w:val="00AD2EBC"/>
    <w:rsid w:val="00AD2ECE"/>
    <w:rsid w:val="00AD2F94"/>
    <w:rsid w:val="00AD3041"/>
    <w:rsid w:val="00AD30BC"/>
    <w:rsid w:val="00AD3132"/>
    <w:rsid w:val="00AD31A8"/>
    <w:rsid w:val="00AD328B"/>
    <w:rsid w:val="00AD32A7"/>
    <w:rsid w:val="00AD331D"/>
    <w:rsid w:val="00AD33E1"/>
    <w:rsid w:val="00AD340F"/>
    <w:rsid w:val="00AD3433"/>
    <w:rsid w:val="00AD343D"/>
    <w:rsid w:val="00AD34B9"/>
    <w:rsid w:val="00AD352F"/>
    <w:rsid w:val="00AD35EC"/>
    <w:rsid w:val="00AD3673"/>
    <w:rsid w:val="00AD36B9"/>
    <w:rsid w:val="00AD374A"/>
    <w:rsid w:val="00AD375B"/>
    <w:rsid w:val="00AD3818"/>
    <w:rsid w:val="00AD3826"/>
    <w:rsid w:val="00AD384A"/>
    <w:rsid w:val="00AD38C2"/>
    <w:rsid w:val="00AD395A"/>
    <w:rsid w:val="00AD39C9"/>
    <w:rsid w:val="00AD39CC"/>
    <w:rsid w:val="00AD3A95"/>
    <w:rsid w:val="00AD3B2C"/>
    <w:rsid w:val="00AD3B4C"/>
    <w:rsid w:val="00AD3BE6"/>
    <w:rsid w:val="00AD3C39"/>
    <w:rsid w:val="00AD3C51"/>
    <w:rsid w:val="00AD3CC3"/>
    <w:rsid w:val="00AD3D53"/>
    <w:rsid w:val="00AD3D95"/>
    <w:rsid w:val="00AD3DC6"/>
    <w:rsid w:val="00AD3E47"/>
    <w:rsid w:val="00AD3EDB"/>
    <w:rsid w:val="00AD3F70"/>
    <w:rsid w:val="00AD3F8E"/>
    <w:rsid w:val="00AD3FC2"/>
    <w:rsid w:val="00AD3FDA"/>
    <w:rsid w:val="00AD4063"/>
    <w:rsid w:val="00AD411E"/>
    <w:rsid w:val="00AD4158"/>
    <w:rsid w:val="00AD422D"/>
    <w:rsid w:val="00AD4283"/>
    <w:rsid w:val="00AD429D"/>
    <w:rsid w:val="00AD4373"/>
    <w:rsid w:val="00AD4424"/>
    <w:rsid w:val="00AD4444"/>
    <w:rsid w:val="00AD4463"/>
    <w:rsid w:val="00AD449B"/>
    <w:rsid w:val="00AD44C3"/>
    <w:rsid w:val="00AD44CB"/>
    <w:rsid w:val="00AD4562"/>
    <w:rsid w:val="00AD45D7"/>
    <w:rsid w:val="00AD461A"/>
    <w:rsid w:val="00AD46BD"/>
    <w:rsid w:val="00AD46C1"/>
    <w:rsid w:val="00AD4747"/>
    <w:rsid w:val="00AD4783"/>
    <w:rsid w:val="00AD4896"/>
    <w:rsid w:val="00AD4914"/>
    <w:rsid w:val="00AD4930"/>
    <w:rsid w:val="00AD49E2"/>
    <w:rsid w:val="00AD4A34"/>
    <w:rsid w:val="00AD4A8F"/>
    <w:rsid w:val="00AD4AA8"/>
    <w:rsid w:val="00AD4AAA"/>
    <w:rsid w:val="00AD4AC7"/>
    <w:rsid w:val="00AD4B66"/>
    <w:rsid w:val="00AD4BB5"/>
    <w:rsid w:val="00AD4BDD"/>
    <w:rsid w:val="00AD4C6D"/>
    <w:rsid w:val="00AD4D37"/>
    <w:rsid w:val="00AD4DA3"/>
    <w:rsid w:val="00AD4E56"/>
    <w:rsid w:val="00AD4F93"/>
    <w:rsid w:val="00AD50A8"/>
    <w:rsid w:val="00AD5138"/>
    <w:rsid w:val="00AD5152"/>
    <w:rsid w:val="00AD51E4"/>
    <w:rsid w:val="00AD51FF"/>
    <w:rsid w:val="00AD5250"/>
    <w:rsid w:val="00AD525A"/>
    <w:rsid w:val="00AD531D"/>
    <w:rsid w:val="00AD5473"/>
    <w:rsid w:val="00AD54A3"/>
    <w:rsid w:val="00AD5504"/>
    <w:rsid w:val="00AD5566"/>
    <w:rsid w:val="00AD55AF"/>
    <w:rsid w:val="00AD5621"/>
    <w:rsid w:val="00AD567C"/>
    <w:rsid w:val="00AD56CA"/>
    <w:rsid w:val="00AD5734"/>
    <w:rsid w:val="00AD57AF"/>
    <w:rsid w:val="00AD57B3"/>
    <w:rsid w:val="00AD57F3"/>
    <w:rsid w:val="00AD582C"/>
    <w:rsid w:val="00AD58C7"/>
    <w:rsid w:val="00AD58CC"/>
    <w:rsid w:val="00AD58E0"/>
    <w:rsid w:val="00AD59B1"/>
    <w:rsid w:val="00AD5A4F"/>
    <w:rsid w:val="00AD5AEC"/>
    <w:rsid w:val="00AD5B73"/>
    <w:rsid w:val="00AD5B95"/>
    <w:rsid w:val="00AD5C30"/>
    <w:rsid w:val="00AD5C41"/>
    <w:rsid w:val="00AD5D21"/>
    <w:rsid w:val="00AD5D71"/>
    <w:rsid w:val="00AD5ECE"/>
    <w:rsid w:val="00AD5F12"/>
    <w:rsid w:val="00AD5F18"/>
    <w:rsid w:val="00AD5FA0"/>
    <w:rsid w:val="00AD6010"/>
    <w:rsid w:val="00AD60A5"/>
    <w:rsid w:val="00AD6112"/>
    <w:rsid w:val="00AD612D"/>
    <w:rsid w:val="00AD61E5"/>
    <w:rsid w:val="00AD62C4"/>
    <w:rsid w:val="00AD62E8"/>
    <w:rsid w:val="00AD631F"/>
    <w:rsid w:val="00AD63B8"/>
    <w:rsid w:val="00AD64C2"/>
    <w:rsid w:val="00AD64E0"/>
    <w:rsid w:val="00AD65FB"/>
    <w:rsid w:val="00AD6667"/>
    <w:rsid w:val="00AD669E"/>
    <w:rsid w:val="00AD66AC"/>
    <w:rsid w:val="00AD678A"/>
    <w:rsid w:val="00AD67EF"/>
    <w:rsid w:val="00AD67FD"/>
    <w:rsid w:val="00AD6826"/>
    <w:rsid w:val="00AD6907"/>
    <w:rsid w:val="00AD698C"/>
    <w:rsid w:val="00AD6995"/>
    <w:rsid w:val="00AD6A03"/>
    <w:rsid w:val="00AD6A1F"/>
    <w:rsid w:val="00AD6A2C"/>
    <w:rsid w:val="00AD6A3A"/>
    <w:rsid w:val="00AD6AC5"/>
    <w:rsid w:val="00AD6B39"/>
    <w:rsid w:val="00AD6B7E"/>
    <w:rsid w:val="00AD6C2A"/>
    <w:rsid w:val="00AD6C77"/>
    <w:rsid w:val="00AD6CE8"/>
    <w:rsid w:val="00AD6D0B"/>
    <w:rsid w:val="00AD6D3C"/>
    <w:rsid w:val="00AD6DA0"/>
    <w:rsid w:val="00AD6E05"/>
    <w:rsid w:val="00AD6E6A"/>
    <w:rsid w:val="00AD6EB3"/>
    <w:rsid w:val="00AD6F11"/>
    <w:rsid w:val="00AD6F57"/>
    <w:rsid w:val="00AD6F81"/>
    <w:rsid w:val="00AD6FA1"/>
    <w:rsid w:val="00AD6FA9"/>
    <w:rsid w:val="00AD700F"/>
    <w:rsid w:val="00AD7124"/>
    <w:rsid w:val="00AD7321"/>
    <w:rsid w:val="00AD736E"/>
    <w:rsid w:val="00AD7418"/>
    <w:rsid w:val="00AD744B"/>
    <w:rsid w:val="00AD7472"/>
    <w:rsid w:val="00AD74B3"/>
    <w:rsid w:val="00AD7538"/>
    <w:rsid w:val="00AD762E"/>
    <w:rsid w:val="00AD7790"/>
    <w:rsid w:val="00AD77BE"/>
    <w:rsid w:val="00AD7827"/>
    <w:rsid w:val="00AD789E"/>
    <w:rsid w:val="00AD78D8"/>
    <w:rsid w:val="00AD78E5"/>
    <w:rsid w:val="00AD798C"/>
    <w:rsid w:val="00AD79A4"/>
    <w:rsid w:val="00AD7A06"/>
    <w:rsid w:val="00AD7A0C"/>
    <w:rsid w:val="00AD7B01"/>
    <w:rsid w:val="00AD7BD4"/>
    <w:rsid w:val="00AD7BD8"/>
    <w:rsid w:val="00AE00CF"/>
    <w:rsid w:val="00AE0225"/>
    <w:rsid w:val="00AE0249"/>
    <w:rsid w:val="00AE028B"/>
    <w:rsid w:val="00AE03B4"/>
    <w:rsid w:val="00AE046F"/>
    <w:rsid w:val="00AE0479"/>
    <w:rsid w:val="00AE04D6"/>
    <w:rsid w:val="00AE0590"/>
    <w:rsid w:val="00AE05C2"/>
    <w:rsid w:val="00AE0751"/>
    <w:rsid w:val="00AE0785"/>
    <w:rsid w:val="00AE07D0"/>
    <w:rsid w:val="00AE08DA"/>
    <w:rsid w:val="00AE091D"/>
    <w:rsid w:val="00AE099E"/>
    <w:rsid w:val="00AE09A6"/>
    <w:rsid w:val="00AE0AB0"/>
    <w:rsid w:val="00AE0B35"/>
    <w:rsid w:val="00AE0C8A"/>
    <w:rsid w:val="00AE0CB2"/>
    <w:rsid w:val="00AE0D3E"/>
    <w:rsid w:val="00AE0E08"/>
    <w:rsid w:val="00AE0E09"/>
    <w:rsid w:val="00AE0E21"/>
    <w:rsid w:val="00AE0EB6"/>
    <w:rsid w:val="00AE0F3B"/>
    <w:rsid w:val="00AE0F90"/>
    <w:rsid w:val="00AE1049"/>
    <w:rsid w:val="00AE10CC"/>
    <w:rsid w:val="00AE1176"/>
    <w:rsid w:val="00AE11B5"/>
    <w:rsid w:val="00AE11E0"/>
    <w:rsid w:val="00AE1252"/>
    <w:rsid w:val="00AE12A2"/>
    <w:rsid w:val="00AE12B2"/>
    <w:rsid w:val="00AE133F"/>
    <w:rsid w:val="00AE13C7"/>
    <w:rsid w:val="00AE13E0"/>
    <w:rsid w:val="00AE1404"/>
    <w:rsid w:val="00AE141C"/>
    <w:rsid w:val="00AE1470"/>
    <w:rsid w:val="00AE14D6"/>
    <w:rsid w:val="00AE153E"/>
    <w:rsid w:val="00AE15E3"/>
    <w:rsid w:val="00AE1624"/>
    <w:rsid w:val="00AE1638"/>
    <w:rsid w:val="00AE1728"/>
    <w:rsid w:val="00AE184E"/>
    <w:rsid w:val="00AE1891"/>
    <w:rsid w:val="00AE1958"/>
    <w:rsid w:val="00AE19A8"/>
    <w:rsid w:val="00AE1A26"/>
    <w:rsid w:val="00AE1A60"/>
    <w:rsid w:val="00AE1A89"/>
    <w:rsid w:val="00AE1B43"/>
    <w:rsid w:val="00AE1BB8"/>
    <w:rsid w:val="00AE1BC6"/>
    <w:rsid w:val="00AE1BE8"/>
    <w:rsid w:val="00AE1C39"/>
    <w:rsid w:val="00AE1CC2"/>
    <w:rsid w:val="00AE1D64"/>
    <w:rsid w:val="00AE1DC2"/>
    <w:rsid w:val="00AE1DE8"/>
    <w:rsid w:val="00AE1E7E"/>
    <w:rsid w:val="00AE1F55"/>
    <w:rsid w:val="00AE1FA6"/>
    <w:rsid w:val="00AE1FF0"/>
    <w:rsid w:val="00AE1FF6"/>
    <w:rsid w:val="00AE2015"/>
    <w:rsid w:val="00AE20D7"/>
    <w:rsid w:val="00AE2104"/>
    <w:rsid w:val="00AE211A"/>
    <w:rsid w:val="00AE21DD"/>
    <w:rsid w:val="00AE21EE"/>
    <w:rsid w:val="00AE21FF"/>
    <w:rsid w:val="00AE2212"/>
    <w:rsid w:val="00AE2214"/>
    <w:rsid w:val="00AE2253"/>
    <w:rsid w:val="00AE2274"/>
    <w:rsid w:val="00AE227C"/>
    <w:rsid w:val="00AE2331"/>
    <w:rsid w:val="00AE23AA"/>
    <w:rsid w:val="00AE23B6"/>
    <w:rsid w:val="00AE23E9"/>
    <w:rsid w:val="00AE249A"/>
    <w:rsid w:val="00AE24D0"/>
    <w:rsid w:val="00AE25FD"/>
    <w:rsid w:val="00AE2602"/>
    <w:rsid w:val="00AE26FC"/>
    <w:rsid w:val="00AE2704"/>
    <w:rsid w:val="00AE2725"/>
    <w:rsid w:val="00AE273D"/>
    <w:rsid w:val="00AE2742"/>
    <w:rsid w:val="00AE275C"/>
    <w:rsid w:val="00AE2990"/>
    <w:rsid w:val="00AE2A7A"/>
    <w:rsid w:val="00AE2ABF"/>
    <w:rsid w:val="00AE2B09"/>
    <w:rsid w:val="00AE2B2B"/>
    <w:rsid w:val="00AE2B94"/>
    <w:rsid w:val="00AE2BB6"/>
    <w:rsid w:val="00AE2BFC"/>
    <w:rsid w:val="00AE2CC8"/>
    <w:rsid w:val="00AE2CF0"/>
    <w:rsid w:val="00AE2D35"/>
    <w:rsid w:val="00AE2E77"/>
    <w:rsid w:val="00AE2F2C"/>
    <w:rsid w:val="00AE2F7F"/>
    <w:rsid w:val="00AE30B0"/>
    <w:rsid w:val="00AE313E"/>
    <w:rsid w:val="00AE31A3"/>
    <w:rsid w:val="00AE3336"/>
    <w:rsid w:val="00AE33F4"/>
    <w:rsid w:val="00AE3515"/>
    <w:rsid w:val="00AE3545"/>
    <w:rsid w:val="00AE36BD"/>
    <w:rsid w:val="00AE37A8"/>
    <w:rsid w:val="00AE385A"/>
    <w:rsid w:val="00AE389C"/>
    <w:rsid w:val="00AE3902"/>
    <w:rsid w:val="00AE396E"/>
    <w:rsid w:val="00AE39EE"/>
    <w:rsid w:val="00AE3A19"/>
    <w:rsid w:val="00AE3A8B"/>
    <w:rsid w:val="00AE3AF1"/>
    <w:rsid w:val="00AE3B42"/>
    <w:rsid w:val="00AE3B98"/>
    <w:rsid w:val="00AE3CD2"/>
    <w:rsid w:val="00AE3E7F"/>
    <w:rsid w:val="00AE3E85"/>
    <w:rsid w:val="00AE3F44"/>
    <w:rsid w:val="00AE3F8C"/>
    <w:rsid w:val="00AE3FAE"/>
    <w:rsid w:val="00AE40B2"/>
    <w:rsid w:val="00AE40D7"/>
    <w:rsid w:val="00AE418D"/>
    <w:rsid w:val="00AE41E5"/>
    <w:rsid w:val="00AE425F"/>
    <w:rsid w:val="00AE4274"/>
    <w:rsid w:val="00AE42B5"/>
    <w:rsid w:val="00AE42B7"/>
    <w:rsid w:val="00AE42DC"/>
    <w:rsid w:val="00AE42F3"/>
    <w:rsid w:val="00AE4307"/>
    <w:rsid w:val="00AE434A"/>
    <w:rsid w:val="00AE434D"/>
    <w:rsid w:val="00AE435C"/>
    <w:rsid w:val="00AE43D1"/>
    <w:rsid w:val="00AE4506"/>
    <w:rsid w:val="00AE4607"/>
    <w:rsid w:val="00AE4663"/>
    <w:rsid w:val="00AE4665"/>
    <w:rsid w:val="00AE467C"/>
    <w:rsid w:val="00AE46CE"/>
    <w:rsid w:val="00AE4901"/>
    <w:rsid w:val="00AE490E"/>
    <w:rsid w:val="00AE492B"/>
    <w:rsid w:val="00AE4A0B"/>
    <w:rsid w:val="00AE4A83"/>
    <w:rsid w:val="00AE4AB6"/>
    <w:rsid w:val="00AE4ABF"/>
    <w:rsid w:val="00AE4AE6"/>
    <w:rsid w:val="00AE4AFE"/>
    <w:rsid w:val="00AE4B35"/>
    <w:rsid w:val="00AE4B99"/>
    <w:rsid w:val="00AE4C73"/>
    <w:rsid w:val="00AE4CF7"/>
    <w:rsid w:val="00AE4D9B"/>
    <w:rsid w:val="00AE4DE5"/>
    <w:rsid w:val="00AE4E83"/>
    <w:rsid w:val="00AE4F3A"/>
    <w:rsid w:val="00AE500B"/>
    <w:rsid w:val="00AE5083"/>
    <w:rsid w:val="00AE50D6"/>
    <w:rsid w:val="00AE51F2"/>
    <w:rsid w:val="00AE5271"/>
    <w:rsid w:val="00AE5280"/>
    <w:rsid w:val="00AE52DB"/>
    <w:rsid w:val="00AE538D"/>
    <w:rsid w:val="00AE53FC"/>
    <w:rsid w:val="00AE541C"/>
    <w:rsid w:val="00AE544C"/>
    <w:rsid w:val="00AE54A6"/>
    <w:rsid w:val="00AE555F"/>
    <w:rsid w:val="00AE55D8"/>
    <w:rsid w:val="00AE56B0"/>
    <w:rsid w:val="00AE572C"/>
    <w:rsid w:val="00AE576C"/>
    <w:rsid w:val="00AE57AE"/>
    <w:rsid w:val="00AE5884"/>
    <w:rsid w:val="00AE5894"/>
    <w:rsid w:val="00AE58BF"/>
    <w:rsid w:val="00AE58F7"/>
    <w:rsid w:val="00AE5926"/>
    <w:rsid w:val="00AE5A2C"/>
    <w:rsid w:val="00AE5A49"/>
    <w:rsid w:val="00AE5AC3"/>
    <w:rsid w:val="00AE5BA1"/>
    <w:rsid w:val="00AE5BE9"/>
    <w:rsid w:val="00AE5C00"/>
    <w:rsid w:val="00AE5D62"/>
    <w:rsid w:val="00AE5E4D"/>
    <w:rsid w:val="00AE5E72"/>
    <w:rsid w:val="00AE5E7A"/>
    <w:rsid w:val="00AE5F5D"/>
    <w:rsid w:val="00AE5F63"/>
    <w:rsid w:val="00AE5FC1"/>
    <w:rsid w:val="00AE60C4"/>
    <w:rsid w:val="00AE6119"/>
    <w:rsid w:val="00AE613D"/>
    <w:rsid w:val="00AE6215"/>
    <w:rsid w:val="00AE6219"/>
    <w:rsid w:val="00AE62F8"/>
    <w:rsid w:val="00AE6360"/>
    <w:rsid w:val="00AE63C3"/>
    <w:rsid w:val="00AE63FB"/>
    <w:rsid w:val="00AE6412"/>
    <w:rsid w:val="00AE6455"/>
    <w:rsid w:val="00AE64B2"/>
    <w:rsid w:val="00AE64D2"/>
    <w:rsid w:val="00AE654A"/>
    <w:rsid w:val="00AE6611"/>
    <w:rsid w:val="00AE6616"/>
    <w:rsid w:val="00AE6643"/>
    <w:rsid w:val="00AE6678"/>
    <w:rsid w:val="00AE66AA"/>
    <w:rsid w:val="00AE6807"/>
    <w:rsid w:val="00AE6846"/>
    <w:rsid w:val="00AE69EC"/>
    <w:rsid w:val="00AE6A07"/>
    <w:rsid w:val="00AE6ADD"/>
    <w:rsid w:val="00AE6B85"/>
    <w:rsid w:val="00AE6C88"/>
    <w:rsid w:val="00AE6C8A"/>
    <w:rsid w:val="00AE6DC9"/>
    <w:rsid w:val="00AE6DED"/>
    <w:rsid w:val="00AE6E13"/>
    <w:rsid w:val="00AE6EF9"/>
    <w:rsid w:val="00AE6F7A"/>
    <w:rsid w:val="00AE7069"/>
    <w:rsid w:val="00AE70A5"/>
    <w:rsid w:val="00AE710F"/>
    <w:rsid w:val="00AE7123"/>
    <w:rsid w:val="00AE712A"/>
    <w:rsid w:val="00AE71AA"/>
    <w:rsid w:val="00AE71B6"/>
    <w:rsid w:val="00AE71EE"/>
    <w:rsid w:val="00AE7252"/>
    <w:rsid w:val="00AE7280"/>
    <w:rsid w:val="00AE72DA"/>
    <w:rsid w:val="00AE7370"/>
    <w:rsid w:val="00AE74D7"/>
    <w:rsid w:val="00AE75B4"/>
    <w:rsid w:val="00AE75ED"/>
    <w:rsid w:val="00AE7647"/>
    <w:rsid w:val="00AE76B9"/>
    <w:rsid w:val="00AE76DC"/>
    <w:rsid w:val="00AE7727"/>
    <w:rsid w:val="00AE7828"/>
    <w:rsid w:val="00AE7856"/>
    <w:rsid w:val="00AE78AA"/>
    <w:rsid w:val="00AE796A"/>
    <w:rsid w:val="00AE7998"/>
    <w:rsid w:val="00AE7AA0"/>
    <w:rsid w:val="00AE7C16"/>
    <w:rsid w:val="00AE7C1B"/>
    <w:rsid w:val="00AE7CA2"/>
    <w:rsid w:val="00AE7CD2"/>
    <w:rsid w:val="00AE7CEA"/>
    <w:rsid w:val="00AE7CF1"/>
    <w:rsid w:val="00AE7D04"/>
    <w:rsid w:val="00AE7D33"/>
    <w:rsid w:val="00AE7D81"/>
    <w:rsid w:val="00AE7DBE"/>
    <w:rsid w:val="00AE7DE7"/>
    <w:rsid w:val="00AE7E7B"/>
    <w:rsid w:val="00AE7E9F"/>
    <w:rsid w:val="00AE7EAA"/>
    <w:rsid w:val="00AE7F66"/>
    <w:rsid w:val="00AF00FB"/>
    <w:rsid w:val="00AF0174"/>
    <w:rsid w:val="00AF01C7"/>
    <w:rsid w:val="00AF0379"/>
    <w:rsid w:val="00AF0389"/>
    <w:rsid w:val="00AF03BE"/>
    <w:rsid w:val="00AF0475"/>
    <w:rsid w:val="00AF04D9"/>
    <w:rsid w:val="00AF04EA"/>
    <w:rsid w:val="00AF0506"/>
    <w:rsid w:val="00AF0548"/>
    <w:rsid w:val="00AF0646"/>
    <w:rsid w:val="00AF0735"/>
    <w:rsid w:val="00AF073A"/>
    <w:rsid w:val="00AF0808"/>
    <w:rsid w:val="00AF0898"/>
    <w:rsid w:val="00AF08E5"/>
    <w:rsid w:val="00AF08F5"/>
    <w:rsid w:val="00AF0950"/>
    <w:rsid w:val="00AF0967"/>
    <w:rsid w:val="00AF09BC"/>
    <w:rsid w:val="00AF0A10"/>
    <w:rsid w:val="00AF0A26"/>
    <w:rsid w:val="00AF0A81"/>
    <w:rsid w:val="00AF0B7E"/>
    <w:rsid w:val="00AF0BF1"/>
    <w:rsid w:val="00AF0C86"/>
    <w:rsid w:val="00AF0D2F"/>
    <w:rsid w:val="00AF0D80"/>
    <w:rsid w:val="00AF0DCC"/>
    <w:rsid w:val="00AF0DD7"/>
    <w:rsid w:val="00AF0DF2"/>
    <w:rsid w:val="00AF0E0D"/>
    <w:rsid w:val="00AF0E17"/>
    <w:rsid w:val="00AF0E60"/>
    <w:rsid w:val="00AF0E65"/>
    <w:rsid w:val="00AF0F23"/>
    <w:rsid w:val="00AF0F56"/>
    <w:rsid w:val="00AF100F"/>
    <w:rsid w:val="00AF1088"/>
    <w:rsid w:val="00AF10AE"/>
    <w:rsid w:val="00AF1134"/>
    <w:rsid w:val="00AF1181"/>
    <w:rsid w:val="00AF11BE"/>
    <w:rsid w:val="00AF1316"/>
    <w:rsid w:val="00AF1336"/>
    <w:rsid w:val="00AF1388"/>
    <w:rsid w:val="00AF1458"/>
    <w:rsid w:val="00AF1479"/>
    <w:rsid w:val="00AF162A"/>
    <w:rsid w:val="00AF167C"/>
    <w:rsid w:val="00AF16A6"/>
    <w:rsid w:val="00AF1788"/>
    <w:rsid w:val="00AF183F"/>
    <w:rsid w:val="00AF1875"/>
    <w:rsid w:val="00AF18A5"/>
    <w:rsid w:val="00AF1968"/>
    <w:rsid w:val="00AF19FC"/>
    <w:rsid w:val="00AF1A1E"/>
    <w:rsid w:val="00AF1ABE"/>
    <w:rsid w:val="00AF1B74"/>
    <w:rsid w:val="00AF1BFE"/>
    <w:rsid w:val="00AF1C39"/>
    <w:rsid w:val="00AF1C46"/>
    <w:rsid w:val="00AF1CF3"/>
    <w:rsid w:val="00AF1CFC"/>
    <w:rsid w:val="00AF1D1D"/>
    <w:rsid w:val="00AF1F18"/>
    <w:rsid w:val="00AF1F6A"/>
    <w:rsid w:val="00AF1FD3"/>
    <w:rsid w:val="00AF1FFB"/>
    <w:rsid w:val="00AF2063"/>
    <w:rsid w:val="00AF20B0"/>
    <w:rsid w:val="00AF213C"/>
    <w:rsid w:val="00AF21E9"/>
    <w:rsid w:val="00AF2275"/>
    <w:rsid w:val="00AF2289"/>
    <w:rsid w:val="00AF2325"/>
    <w:rsid w:val="00AF2337"/>
    <w:rsid w:val="00AF2433"/>
    <w:rsid w:val="00AF243A"/>
    <w:rsid w:val="00AF2477"/>
    <w:rsid w:val="00AF2559"/>
    <w:rsid w:val="00AF261A"/>
    <w:rsid w:val="00AF2648"/>
    <w:rsid w:val="00AF2665"/>
    <w:rsid w:val="00AF268A"/>
    <w:rsid w:val="00AF2784"/>
    <w:rsid w:val="00AF27C7"/>
    <w:rsid w:val="00AF2885"/>
    <w:rsid w:val="00AF28D6"/>
    <w:rsid w:val="00AF28E8"/>
    <w:rsid w:val="00AF2905"/>
    <w:rsid w:val="00AF2960"/>
    <w:rsid w:val="00AF2967"/>
    <w:rsid w:val="00AF29A3"/>
    <w:rsid w:val="00AF29ED"/>
    <w:rsid w:val="00AF2A50"/>
    <w:rsid w:val="00AF2B7D"/>
    <w:rsid w:val="00AF2B93"/>
    <w:rsid w:val="00AF2C20"/>
    <w:rsid w:val="00AF2C49"/>
    <w:rsid w:val="00AF2CD9"/>
    <w:rsid w:val="00AF2CEE"/>
    <w:rsid w:val="00AF2DAC"/>
    <w:rsid w:val="00AF2F6A"/>
    <w:rsid w:val="00AF3122"/>
    <w:rsid w:val="00AF3204"/>
    <w:rsid w:val="00AF32A3"/>
    <w:rsid w:val="00AF32C8"/>
    <w:rsid w:val="00AF332F"/>
    <w:rsid w:val="00AF33B3"/>
    <w:rsid w:val="00AF33E6"/>
    <w:rsid w:val="00AF3441"/>
    <w:rsid w:val="00AF347B"/>
    <w:rsid w:val="00AF3488"/>
    <w:rsid w:val="00AF3555"/>
    <w:rsid w:val="00AF3579"/>
    <w:rsid w:val="00AF3693"/>
    <w:rsid w:val="00AF36A1"/>
    <w:rsid w:val="00AF384F"/>
    <w:rsid w:val="00AF388D"/>
    <w:rsid w:val="00AF3895"/>
    <w:rsid w:val="00AF38C7"/>
    <w:rsid w:val="00AF396D"/>
    <w:rsid w:val="00AF39E3"/>
    <w:rsid w:val="00AF3A2A"/>
    <w:rsid w:val="00AF3A78"/>
    <w:rsid w:val="00AF3C32"/>
    <w:rsid w:val="00AF3C4D"/>
    <w:rsid w:val="00AF3C6B"/>
    <w:rsid w:val="00AF3C86"/>
    <w:rsid w:val="00AF3D34"/>
    <w:rsid w:val="00AF3DC2"/>
    <w:rsid w:val="00AF3EEE"/>
    <w:rsid w:val="00AF3F17"/>
    <w:rsid w:val="00AF3FFC"/>
    <w:rsid w:val="00AF4180"/>
    <w:rsid w:val="00AF424B"/>
    <w:rsid w:val="00AF4269"/>
    <w:rsid w:val="00AF4300"/>
    <w:rsid w:val="00AF4376"/>
    <w:rsid w:val="00AF4380"/>
    <w:rsid w:val="00AF43C7"/>
    <w:rsid w:val="00AF43E8"/>
    <w:rsid w:val="00AF44D5"/>
    <w:rsid w:val="00AF4545"/>
    <w:rsid w:val="00AF4566"/>
    <w:rsid w:val="00AF45B8"/>
    <w:rsid w:val="00AF4676"/>
    <w:rsid w:val="00AF468A"/>
    <w:rsid w:val="00AF46B6"/>
    <w:rsid w:val="00AF4769"/>
    <w:rsid w:val="00AF47B4"/>
    <w:rsid w:val="00AF481E"/>
    <w:rsid w:val="00AF484B"/>
    <w:rsid w:val="00AF48B0"/>
    <w:rsid w:val="00AF494A"/>
    <w:rsid w:val="00AF49BA"/>
    <w:rsid w:val="00AF49CF"/>
    <w:rsid w:val="00AF4AFA"/>
    <w:rsid w:val="00AF4C96"/>
    <w:rsid w:val="00AF4D40"/>
    <w:rsid w:val="00AF4D79"/>
    <w:rsid w:val="00AF4DCD"/>
    <w:rsid w:val="00AF4EC0"/>
    <w:rsid w:val="00AF4F1A"/>
    <w:rsid w:val="00AF4FEC"/>
    <w:rsid w:val="00AF5121"/>
    <w:rsid w:val="00AF513C"/>
    <w:rsid w:val="00AF5142"/>
    <w:rsid w:val="00AF5232"/>
    <w:rsid w:val="00AF5279"/>
    <w:rsid w:val="00AF5295"/>
    <w:rsid w:val="00AF5296"/>
    <w:rsid w:val="00AF52E6"/>
    <w:rsid w:val="00AF538E"/>
    <w:rsid w:val="00AF53D6"/>
    <w:rsid w:val="00AF53F2"/>
    <w:rsid w:val="00AF55F9"/>
    <w:rsid w:val="00AF5601"/>
    <w:rsid w:val="00AF56E5"/>
    <w:rsid w:val="00AF570B"/>
    <w:rsid w:val="00AF570D"/>
    <w:rsid w:val="00AF5785"/>
    <w:rsid w:val="00AF57C8"/>
    <w:rsid w:val="00AF58F6"/>
    <w:rsid w:val="00AF595C"/>
    <w:rsid w:val="00AF5A52"/>
    <w:rsid w:val="00AF5A59"/>
    <w:rsid w:val="00AF5B0D"/>
    <w:rsid w:val="00AF5B59"/>
    <w:rsid w:val="00AF5C11"/>
    <w:rsid w:val="00AF5C51"/>
    <w:rsid w:val="00AF5C89"/>
    <w:rsid w:val="00AF5D5D"/>
    <w:rsid w:val="00AF5D7D"/>
    <w:rsid w:val="00AF5D85"/>
    <w:rsid w:val="00AF5D9F"/>
    <w:rsid w:val="00AF5DF3"/>
    <w:rsid w:val="00AF5E88"/>
    <w:rsid w:val="00AF5E8A"/>
    <w:rsid w:val="00AF5EE3"/>
    <w:rsid w:val="00AF5F35"/>
    <w:rsid w:val="00AF5FDF"/>
    <w:rsid w:val="00AF6084"/>
    <w:rsid w:val="00AF61C1"/>
    <w:rsid w:val="00AF6236"/>
    <w:rsid w:val="00AF625E"/>
    <w:rsid w:val="00AF62CF"/>
    <w:rsid w:val="00AF634A"/>
    <w:rsid w:val="00AF634E"/>
    <w:rsid w:val="00AF6356"/>
    <w:rsid w:val="00AF6370"/>
    <w:rsid w:val="00AF63EA"/>
    <w:rsid w:val="00AF656B"/>
    <w:rsid w:val="00AF65D3"/>
    <w:rsid w:val="00AF6620"/>
    <w:rsid w:val="00AF664B"/>
    <w:rsid w:val="00AF685A"/>
    <w:rsid w:val="00AF6863"/>
    <w:rsid w:val="00AF68D2"/>
    <w:rsid w:val="00AF68F3"/>
    <w:rsid w:val="00AF699B"/>
    <w:rsid w:val="00AF6A11"/>
    <w:rsid w:val="00AF6A29"/>
    <w:rsid w:val="00AF6A5C"/>
    <w:rsid w:val="00AF6A62"/>
    <w:rsid w:val="00AF6AFF"/>
    <w:rsid w:val="00AF6B18"/>
    <w:rsid w:val="00AF6B23"/>
    <w:rsid w:val="00AF6B54"/>
    <w:rsid w:val="00AF6BBE"/>
    <w:rsid w:val="00AF6C39"/>
    <w:rsid w:val="00AF6C9D"/>
    <w:rsid w:val="00AF6CA4"/>
    <w:rsid w:val="00AF6D5A"/>
    <w:rsid w:val="00AF6E73"/>
    <w:rsid w:val="00AF6F74"/>
    <w:rsid w:val="00AF6FDB"/>
    <w:rsid w:val="00AF7006"/>
    <w:rsid w:val="00AF7007"/>
    <w:rsid w:val="00AF7010"/>
    <w:rsid w:val="00AF7049"/>
    <w:rsid w:val="00AF7162"/>
    <w:rsid w:val="00AF717B"/>
    <w:rsid w:val="00AF7182"/>
    <w:rsid w:val="00AF723A"/>
    <w:rsid w:val="00AF7297"/>
    <w:rsid w:val="00AF7330"/>
    <w:rsid w:val="00AF7351"/>
    <w:rsid w:val="00AF7360"/>
    <w:rsid w:val="00AF746C"/>
    <w:rsid w:val="00AF7500"/>
    <w:rsid w:val="00AF753F"/>
    <w:rsid w:val="00AF7578"/>
    <w:rsid w:val="00AF76B6"/>
    <w:rsid w:val="00AF76FC"/>
    <w:rsid w:val="00AF777D"/>
    <w:rsid w:val="00AF77CA"/>
    <w:rsid w:val="00AF781C"/>
    <w:rsid w:val="00AF785A"/>
    <w:rsid w:val="00AF78BA"/>
    <w:rsid w:val="00AF7902"/>
    <w:rsid w:val="00AF7990"/>
    <w:rsid w:val="00AF7AD1"/>
    <w:rsid w:val="00AF7AEB"/>
    <w:rsid w:val="00AF7B80"/>
    <w:rsid w:val="00AF7BAB"/>
    <w:rsid w:val="00AF7C28"/>
    <w:rsid w:val="00AF7D56"/>
    <w:rsid w:val="00AF7E7C"/>
    <w:rsid w:val="00AF7F7B"/>
    <w:rsid w:val="00AF7F90"/>
    <w:rsid w:val="00B000C6"/>
    <w:rsid w:val="00B00204"/>
    <w:rsid w:val="00B00270"/>
    <w:rsid w:val="00B00308"/>
    <w:rsid w:val="00B003AF"/>
    <w:rsid w:val="00B00412"/>
    <w:rsid w:val="00B0042B"/>
    <w:rsid w:val="00B0049D"/>
    <w:rsid w:val="00B004E1"/>
    <w:rsid w:val="00B0054A"/>
    <w:rsid w:val="00B00569"/>
    <w:rsid w:val="00B00589"/>
    <w:rsid w:val="00B005BE"/>
    <w:rsid w:val="00B00604"/>
    <w:rsid w:val="00B006AC"/>
    <w:rsid w:val="00B006CF"/>
    <w:rsid w:val="00B0070A"/>
    <w:rsid w:val="00B00777"/>
    <w:rsid w:val="00B007E4"/>
    <w:rsid w:val="00B00876"/>
    <w:rsid w:val="00B0096C"/>
    <w:rsid w:val="00B00A20"/>
    <w:rsid w:val="00B00A81"/>
    <w:rsid w:val="00B00AF6"/>
    <w:rsid w:val="00B00B83"/>
    <w:rsid w:val="00B00B89"/>
    <w:rsid w:val="00B00BAA"/>
    <w:rsid w:val="00B00C13"/>
    <w:rsid w:val="00B00C17"/>
    <w:rsid w:val="00B00D54"/>
    <w:rsid w:val="00B01001"/>
    <w:rsid w:val="00B0100B"/>
    <w:rsid w:val="00B0110E"/>
    <w:rsid w:val="00B01111"/>
    <w:rsid w:val="00B01199"/>
    <w:rsid w:val="00B01224"/>
    <w:rsid w:val="00B01398"/>
    <w:rsid w:val="00B013FA"/>
    <w:rsid w:val="00B01485"/>
    <w:rsid w:val="00B0151D"/>
    <w:rsid w:val="00B01522"/>
    <w:rsid w:val="00B015F2"/>
    <w:rsid w:val="00B0167A"/>
    <w:rsid w:val="00B01755"/>
    <w:rsid w:val="00B0177B"/>
    <w:rsid w:val="00B0196A"/>
    <w:rsid w:val="00B01AE9"/>
    <w:rsid w:val="00B01B96"/>
    <w:rsid w:val="00B01D06"/>
    <w:rsid w:val="00B01D3A"/>
    <w:rsid w:val="00B020D1"/>
    <w:rsid w:val="00B0218B"/>
    <w:rsid w:val="00B02194"/>
    <w:rsid w:val="00B02279"/>
    <w:rsid w:val="00B0228A"/>
    <w:rsid w:val="00B0228D"/>
    <w:rsid w:val="00B0233B"/>
    <w:rsid w:val="00B023CE"/>
    <w:rsid w:val="00B0243B"/>
    <w:rsid w:val="00B0252F"/>
    <w:rsid w:val="00B0253A"/>
    <w:rsid w:val="00B0254D"/>
    <w:rsid w:val="00B027D0"/>
    <w:rsid w:val="00B027D8"/>
    <w:rsid w:val="00B027DD"/>
    <w:rsid w:val="00B02842"/>
    <w:rsid w:val="00B028D4"/>
    <w:rsid w:val="00B028F1"/>
    <w:rsid w:val="00B0290B"/>
    <w:rsid w:val="00B0296F"/>
    <w:rsid w:val="00B0297B"/>
    <w:rsid w:val="00B02991"/>
    <w:rsid w:val="00B02A86"/>
    <w:rsid w:val="00B02AC7"/>
    <w:rsid w:val="00B02B70"/>
    <w:rsid w:val="00B02B74"/>
    <w:rsid w:val="00B02B80"/>
    <w:rsid w:val="00B02C1C"/>
    <w:rsid w:val="00B02C25"/>
    <w:rsid w:val="00B02CAC"/>
    <w:rsid w:val="00B02D51"/>
    <w:rsid w:val="00B02D8E"/>
    <w:rsid w:val="00B02EC9"/>
    <w:rsid w:val="00B02FBE"/>
    <w:rsid w:val="00B02FC9"/>
    <w:rsid w:val="00B0308F"/>
    <w:rsid w:val="00B030DF"/>
    <w:rsid w:val="00B03177"/>
    <w:rsid w:val="00B031B9"/>
    <w:rsid w:val="00B03268"/>
    <w:rsid w:val="00B032DD"/>
    <w:rsid w:val="00B032F3"/>
    <w:rsid w:val="00B0334E"/>
    <w:rsid w:val="00B033B4"/>
    <w:rsid w:val="00B03414"/>
    <w:rsid w:val="00B03443"/>
    <w:rsid w:val="00B03476"/>
    <w:rsid w:val="00B03554"/>
    <w:rsid w:val="00B0355C"/>
    <w:rsid w:val="00B0356C"/>
    <w:rsid w:val="00B03676"/>
    <w:rsid w:val="00B036B8"/>
    <w:rsid w:val="00B0377E"/>
    <w:rsid w:val="00B0378E"/>
    <w:rsid w:val="00B037C3"/>
    <w:rsid w:val="00B0380C"/>
    <w:rsid w:val="00B039DD"/>
    <w:rsid w:val="00B039E3"/>
    <w:rsid w:val="00B03A7E"/>
    <w:rsid w:val="00B03AAB"/>
    <w:rsid w:val="00B03AAF"/>
    <w:rsid w:val="00B03ADD"/>
    <w:rsid w:val="00B03AFD"/>
    <w:rsid w:val="00B03B36"/>
    <w:rsid w:val="00B03B3F"/>
    <w:rsid w:val="00B03B67"/>
    <w:rsid w:val="00B03B73"/>
    <w:rsid w:val="00B03B90"/>
    <w:rsid w:val="00B03BB0"/>
    <w:rsid w:val="00B03BBF"/>
    <w:rsid w:val="00B03C57"/>
    <w:rsid w:val="00B03CC9"/>
    <w:rsid w:val="00B03CE6"/>
    <w:rsid w:val="00B03E3D"/>
    <w:rsid w:val="00B03E9F"/>
    <w:rsid w:val="00B03EB9"/>
    <w:rsid w:val="00B03F7D"/>
    <w:rsid w:val="00B03FDC"/>
    <w:rsid w:val="00B04045"/>
    <w:rsid w:val="00B040CB"/>
    <w:rsid w:val="00B041CF"/>
    <w:rsid w:val="00B041D9"/>
    <w:rsid w:val="00B04239"/>
    <w:rsid w:val="00B0424A"/>
    <w:rsid w:val="00B042C0"/>
    <w:rsid w:val="00B043B0"/>
    <w:rsid w:val="00B04408"/>
    <w:rsid w:val="00B04476"/>
    <w:rsid w:val="00B04479"/>
    <w:rsid w:val="00B044D2"/>
    <w:rsid w:val="00B046AC"/>
    <w:rsid w:val="00B04703"/>
    <w:rsid w:val="00B0477D"/>
    <w:rsid w:val="00B047BC"/>
    <w:rsid w:val="00B04802"/>
    <w:rsid w:val="00B048E1"/>
    <w:rsid w:val="00B0491B"/>
    <w:rsid w:val="00B04A59"/>
    <w:rsid w:val="00B04AD7"/>
    <w:rsid w:val="00B04AE1"/>
    <w:rsid w:val="00B04AFE"/>
    <w:rsid w:val="00B04B04"/>
    <w:rsid w:val="00B04B42"/>
    <w:rsid w:val="00B04B57"/>
    <w:rsid w:val="00B04B67"/>
    <w:rsid w:val="00B04BFB"/>
    <w:rsid w:val="00B04CA8"/>
    <w:rsid w:val="00B04CB6"/>
    <w:rsid w:val="00B04E72"/>
    <w:rsid w:val="00B04ECA"/>
    <w:rsid w:val="00B05048"/>
    <w:rsid w:val="00B0509E"/>
    <w:rsid w:val="00B050D9"/>
    <w:rsid w:val="00B05136"/>
    <w:rsid w:val="00B0517C"/>
    <w:rsid w:val="00B051B5"/>
    <w:rsid w:val="00B05233"/>
    <w:rsid w:val="00B0523D"/>
    <w:rsid w:val="00B052A2"/>
    <w:rsid w:val="00B052BC"/>
    <w:rsid w:val="00B052DB"/>
    <w:rsid w:val="00B05351"/>
    <w:rsid w:val="00B05396"/>
    <w:rsid w:val="00B05417"/>
    <w:rsid w:val="00B0542D"/>
    <w:rsid w:val="00B05501"/>
    <w:rsid w:val="00B0556B"/>
    <w:rsid w:val="00B055CA"/>
    <w:rsid w:val="00B055E3"/>
    <w:rsid w:val="00B05601"/>
    <w:rsid w:val="00B056F8"/>
    <w:rsid w:val="00B05753"/>
    <w:rsid w:val="00B057A0"/>
    <w:rsid w:val="00B057ED"/>
    <w:rsid w:val="00B05B19"/>
    <w:rsid w:val="00B05C07"/>
    <w:rsid w:val="00B05C98"/>
    <w:rsid w:val="00B05CA2"/>
    <w:rsid w:val="00B05CD3"/>
    <w:rsid w:val="00B05DBA"/>
    <w:rsid w:val="00B05DD1"/>
    <w:rsid w:val="00B05E1F"/>
    <w:rsid w:val="00B05E2C"/>
    <w:rsid w:val="00B05E74"/>
    <w:rsid w:val="00B05F3A"/>
    <w:rsid w:val="00B06010"/>
    <w:rsid w:val="00B06022"/>
    <w:rsid w:val="00B0602E"/>
    <w:rsid w:val="00B060A2"/>
    <w:rsid w:val="00B0610C"/>
    <w:rsid w:val="00B0610F"/>
    <w:rsid w:val="00B06116"/>
    <w:rsid w:val="00B061D1"/>
    <w:rsid w:val="00B06224"/>
    <w:rsid w:val="00B062E2"/>
    <w:rsid w:val="00B062E3"/>
    <w:rsid w:val="00B06359"/>
    <w:rsid w:val="00B06404"/>
    <w:rsid w:val="00B0643A"/>
    <w:rsid w:val="00B06467"/>
    <w:rsid w:val="00B0653E"/>
    <w:rsid w:val="00B0655A"/>
    <w:rsid w:val="00B065C2"/>
    <w:rsid w:val="00B06613"/>
    <w:rsid w:val="00B0670A"/>
    <w:rsid w:val="00B06811"/>
    <w:rsid w:val="00B068F2"/>
    <w:rsid w:val="00B0695A"/>
    <w:rsid w:val="00B069DD"/>
    <w:rsid w:val="00B06A76"/>
    <w:rsid w:val="00B06A8C"/>
    <w:rsid w:val="00B06BBF"/>
    <w:rsid w:val="00B06BE1"/>
    <w:rsid w:val="00B06CFE"/>
    <w:rsid w:val="00B06D1B"/>
    <w:rsid w:val="00B06D9C"/>
    <w:rsid w:val="00B06E3C"/>
    <w:rsid w:val="00B06EB1"/>
    <w:rsid w:val="00B06ECA"/>
    <w:rsid w:val="00B06EEE"/>
    <w:rsid w:val="00B0700B"/>
    <w:rsid w:val="00B070BC"/>
    <w:rsid w:val="00B0713A"/>
    <w:rsid w:val="00B0714A"/>
    <w:rsid w:val="00B07181"/>
    <w:rsid w:val="00B071A8"/>
    <w:rsid w:val="00B071C2"/>
    <w:rsid w:val="00B0726E"/>
    <w:rsid w:val="00B07309"/>
    <w:rsid w:val="00B0732B"/>
    <w:rsid w:val="00B0742D"/>
    <w:rsid w:val="00B0749B"/>
    <w:rsid w:val="00B0752E"/>
    <w:rsid w:val="00B07591"/>
    <w:rsid w:val="00B076D9"/>
    <w:rsid w:val="00B076EF"/>
    <w:rsid w:val="00B0777E"/>
    <w:rsid w:val="00B07799"/>
    <w:rsid w:val="00B077B7"/>
    <w:rsid w:val="00B0789D"/>
    <w:rsid w:val="00B078F1"/>
    <w:rsid w:val="00B078FB"/>
    <w:rsid w:val="00B079E1"/>
    <w:rsid w:val="00B07AA7"/>
    <w:rsid w:val="00B07B22"/>
    <w:rsid w:val="00B07B24"/>
    <w:rsid w:val="00B07B94"/>
    <w:rsid w:val="00B07C5B"/>
    <w:rsid w:val="00B07C69"/>
    <w:rsid w:val="00B07D1A"/>
    <w:rsid w:val="00B07DD6"/>
    <w:rsid w:val="00B07E7D"/>
    <w:rsid w:val="00B07EE5"/>
    <w:rsid w:val="00B07F1C"/>
    <w:rsid w:val="00B0BDC5"/>
    <w:rsid w:val="00B10082"/>
    <w:rsid w:val="00B1015D"/>
    <w:rsid w:val="00B1018A"/>
    <w:rsid w:val="00B1021F"/>
    <w:rsid w:val="00B1023D"/>
    <w:rsid w:val="00B10376"/>
    <w:rsid w:val="00B103D0"/>
    <w:rsid w:val="00B10453"/>
    <w:rsid w:val="00B10464"/>
    <w:rsid w:val="00B104C5"/>
    <w:rsid w:val="00B104CB"/>
    <w:rsid w:val="00B1056F"/>
    <w:rsid w:val="00B10608"/>
    <w:rsid w:val="00B10697"/>
    <w:rsid w:val="00B106FE"/>
    <w:rsid w:val="00B1083F"/>
    <w:rsid w:val="00B109C2"/>
    <w:rsid w:val="00B109F6"/>
    <w:rsid w:val="00B109FB"/>
    <w:rsid w:val="00B10A0E"/>
    <w:rsid w:val="00B10A70"/>
    <w:rsid w:val="00B10A76"/>
    <w:rsid w:val="00B10A9B"/>
    <w:rsid w:val="00B10AB8"/>
    <w:rsid w:val="00B10B79"/>
    <w:rsid w:val="00B10B7E"/>
    <w:rsid w:val="00B10BCC"/>
    <w:rsid w:val="00B10D48"/>
    <w:rsid w:val="00B10D4E"/>
    <w:rsid w:val="00B10D62"/>
    <w:rsid w:val="00B10F7E"/>
    <w:rsid w:val="00B10FB9"/>
    <w:rsid w:val="00B11048"/>
    <w:rsid w:val="00B110FB"/>
    <w:rsid w:val="00B111EC"/>
    <w:rsid w:val="00B11287"/>
    <w:rsid w:val="00B11314"/>
    <w:rsid w:val="00B113A8"/>
    <w:rsid w:val="00B113EA"/>
    <w:rsid w:val="00B11421"/>
    <w:rsid w:val="00B114EC"/>
    <w:rsid w:val="00B1154A"/>
    <w:rsid w:val="00B11558"/>
    <w:rsid w:val="00B11572"/>
    <w:rsid w:val="00B115F0"/>
    <w:rsid w:val="00B116E5"/>
    <w:rsid w:val="00B11946"/>
    <w:rsid w:val="00B119B4"/>
    <w:rsid w:val="00B11A7F"/>
    <w:rsid w:val="00B11B23"/>
    <w:rsid w:val="00B11B5F"/>
    <w:rsid w:val="00B11BCB"/>
    <w:rsid w:val="00B11C2B"/>
    <w:rsid w:val="00B11C3C"/>
    <w:rsid w:val="00B11C9C"/>
    <w:rsid w:val="00B11CA6"/>
    <w:rsid w:val="00B11CD7"/>
    <w:rsid w:val="00B11D07"/>
    <w:rsid w:val="00B11D2B"/>
    <w:rsid w:val="00B11D85"/>
    <w:rsid w:val="00B11DFE"/>
    <w:rsid w:val="00B11E0D"/>
    <w:rsid w:val="00B11E3F"/>
    <w:rsid w:val="00B11E72"/>
    <w:rsid w:val="00B11EE1"/>
    <w:rsid w:val="00B11F03"/>
    <w:rsid w:val="00B11F45"/>
    <w:rsid w:val="00B11F72"/>
    <w:rsid w:val="00B11FC2"/>
    <w:rsid w:val="00B11FDC"/>
    <w:rsid w:val="00B11FE3"/>
    <w:rsid w:val="00B11FF4"/>
    <w:rsid w:val="00B120D4"/>
    <w:rsid w:val="00B121C4"/>
    <w:rsid w:val="00B121D8"/>
    <w:rsid w:val="00B12277"/>
    <w:rsid w:val="00B124CE"/>
    <w:rsid w:val="00B1254E"/>
    <w:rsid w:val="00B1257E"/>
    <w:rsid w:val="00B125A1"/>
    <w:rsid w:val="00B12603"/>
    <w:rsid w:val="00B12645"/>
    <w:rsid w:val="00B1269B"/>
    <w:rsid w:val="00B126DE"/>
    <w:rsid w:val="00B126ED"/>
    <w:rsid w:val="00B12709"/>
    <w:rsid w:val="00B127F0"/>
    <w:rsid w:val="00B128D6"/>
    <w:rsid w:val="00B12903"/>
    <w:rsid w:val="00B12970"/>
    <w:rsid w:val="00B12B40"/>
    <w:rsid w:val="00B12B6C"/>
    <w:rsid w:val="00B12B82"/>
    <w:rsid w:val="00B12C02"/>
    <w:rsid w:val="00B12C38"/>
    <w:rsid w:val="00B12C69"/>
    <w:rsid w:val="00B12D84"/>
    <w:rsid w:val="00B12DAB"/>
    <w:rsid w:val="00B12DF8"/>
    <w:rsid w:val="00B12E2C"/>
    <w:rsid w:val="00B12F3F"/>
    <w:rsid w:val="00B13011"/>
    <w:rsid w:val="00B13028"/>
    <w:rsid w:val="00B1307E"/>
    <w:rsid w:val="00B132B4"/>
    <w:rsid w:val="00B1332B"/>
    <w:rsid w:val="00B1335F"/>
    <w:rsid w:val="00B1336F"/>
    <w:rsid w:val="00B13371"/>
    <w:rsid w:val="00B134E6"/>
    <w:rsid w:val="00B134E9"/>
    <w:rsid w:val="00B13562"/>
    <w:rsid w:val="00B135C4"/>
    <w:rsid w:val="00B136A8"/>
    <w:rsid w:val="00B137DE"/>
    <w:rsid w:val="00B137E0"/>
    <w:rsid w:val="00B138C3"/>
    <w:rsid w:val="00B138F3"/>
    <w:rsid w:val="00B13910"/>
    <w:rsid w:val="00B13A1C"/>
    <w:rsid w:val="00B13A2F"/>
    <w:rsid w:val="00B13A3F"/>
    <w:rsid w:val="00B13A86"/>
    <w:rsid w:val="00B13BD0"/>
    <w:rsid w:val="00B13C0F"/>
    <w:rsid w:val="00B13C99"/>
    <w:rsid w:val="00B13D08"/>
    <w:rsid w:val="00B13D21"/>
    <w:rsid w:val="00B13D26"/>
    <w:rsid w:val="00B13D6B"/>
    <w:rsid w:val="00B13DA8"/>
    <w:rsid w:val="00B13EA7"/>
    <w:rsid w:val="00B13F7F"/>
    <w:rsid w:val="00B1408E"/>
    <w:rsid w:val="00B140A9"/>
    <w:rsid w:val="00B14215"/>
    <w:rsid w:val="00B1428F"/>
    <w:rsid w:val="00B142A6"/>
    <w:rsid w:val="00B142C7"/>
    <w:rsid w:val="00B142CD"/>
    <w:rsid w:val="00B14387"/>
    <w:rsid w:val="00B1438D"/>
    <w:rsid w:val="00B143C9"/>
    <w:rsid w:val="00B14449"/>
    <w:rsid w:val="00B14454"/>
    <w:rsid w:val="00B1448F"/>
    <w:rsid w:val="00B144D2"/>
    <w:rsid w:val="00B145FE"/>
    <w:rsid w:val="00B14695"/>
    <w:rsid w:val="00B14698"/>
    <w:rsid w:val="00B146A7"/>
    <w:rsid w:val="00B1471F"/>
    <w:rsid w:val="00B14720"/>
    <w:rsid w:val="00B14759"/>
    <w:rsid w:val="00B14798"/>
    <w:rsid w:val="00B147D2"/>
    <w:rsid w:val="00B147DF"/>
    <w:rsid w:val="00B14963"/>
    <w:rsid w:val="00B14ABF"/>
    <w:rsid w:val="00B14AF4"/>
    <w:rsid w:val="00B14B6D"/>
    <w:rsid w:val="00B14C32"/>
    <w:rsid w:val="00B14C3A"/>
    <w:rsid w:val="00B14D3D"/>
    <w:rsid w:val="00B14D9C"/>
    <w:rsid w:val="00B14DB7"/>
    <w:rsid w:val="00B14E23"/>
    <w:rsid w:val="00B14E27"/>
    <w:rsid w:val="00B14F21"/>
    <w:rsid w:val="00B14FFF"/>
    <w:rsid w:val="00B1505B"/>
    <w:rsid w:val="00B1516F"/>
    <w:rsid w:val="00B151A6"/>
    <w:rsid w:val="00B151B0"/>
    <w:rsid w:val="00B1523A"/>
    <w:rsid w:val="00B15265"/>
    <w:rsid w:val="00B152BA"/>
    <w:rsid w:val="00B15305"/>
    <w:rsid w:val="00B15370"/>
    <w:rsid w:val="00B15561"/>
    <w:rsid w:val="00B1556E"/>
    <w:rsid w:val="00B15618"/>
    <w:rsid w:val="00B15665"/>
    <w:rsid w:val="00B15684"/>
    <w:rsid w:val="00B1577D"/>
    <w:rsid w:val="00B157DB"/>
    <w:rsid w:val="00B15898"/>
    <w:rsid w:val="00B15A08"/>
    <w:rsid w:val="00B15B2E"/>
    <w:rsid w:val="00B15B91"/>
    <w:rsid w:val="00B15C1B"/>
    <w:rsid w:val="00B15C26"/>
    <w:rsid w:val="00B15C3D"/>
    <w:rsid w:val="00B15D78"/>
    <w:rsid w:val="00B15ECA"/>
    <w:rsid w:val="00B15EFE"/>
    <w:rsid w:val="00B15F96"/>
    <w:rsid w:val="00B1602D"/>
    <w:rsid w:val="00B16074"/>
    <w:rsid w:val="00B16083"/>
    <w:rsid w:val="00B16093"/>
    <w:rsid w:val="00B160F1"/>
    <w:rsid w:val="00B16132"/>
    <w:rsid w:val="00B16193"/>
    <w:rsid w:val="00B1626C"/>
    <w:rsid w:val="00B162E5"/>
    <w:rsid w:val="00B16330"/>
    <w:rsid w:val="00B163C1"/>
    <w:rsid w:val="00B1643D"/>
    <w:rsid w:val="00B1644B"/>
    <w:rsid w:val="00B164BD"/>
    <w:rsid w:val="00B16554"/>
    <w:rsid w:val="00B16560"/>
    <w:rsid w:val="00B16668"/>
    <w:rsid w:val="00B166E9"/>
    <w:rsid w:val="00B16775"/>
    <w:rsid w:val="00B167B8"/>
    <w:rsid w:val="00B16928"/>
    <w:rsid w:val="00B1698B"/>
    <w:rsid w:val="00B169F8"/>
    <w:rsid w:val="00B16A09"/>
    <w:rsid w:val="00B16A8B"/>
    <w:rsid w:val="00B16BE2"/>
    <w:rsid w:val="00B16CD5"/>
    <w:rsid w:val="00B16D99"/>
    <w:rsid w:val="00B16DE1"/>
    <w:rsid w:val="00B16DF1"/>
    <w:rsid w:val="00B16E5E"/>
    <w:rsid w:val="00B16EA9"/>
    <w:rsid w:val="00B16F96"/>
    <w:rsid w:val="00B170C6"/>
    <w:rsid w:val="00B17212"/>
    <w:rsid w:val="00B17266"/>
    <w:rsid w:val="00B17298"/>
    <w:rsid w:val="00B17397"/>
    <w:rsid w:val="00B1745B"/>
    <w:rsid w:val="00B1747F"/>
    <w:rsid w:val="00B174E4"/>
    <w:rsid w:val="00B17502"/>
    <w:rsid w:val="00B1750F"/>
    <w:rsid w:val="00B1757E"/>
    <w:rsid w:val="00B17584"/>
    <w:rsid w:val="00B175F3"/>
    <w:rsid w:val="00B1768D"/>
    <w:rsid w:val="00B17728"/>
    <w:rsid w:val="00B17750"/>
    <w:rsid w:val="00B17789"/>
    <w:rsid w:val="00B1780D"/>
    <w:rsid w:val="00B17919"/>
    <w:rsid w:val="00B17922"/>
    <w:rsid w:val="00B179DC"/>
    <w:rsid w:val="00B179E7"/>
    <w:rsid w:val="00B17A6E"/>
    <w:rsid w:val="00B17A8B"/>
    <w:rsid w:val="00B17A8C"/>
    <w:rsid w:val="00B17B33"/>
    <w:rsid w:val="00B17B8B"/>
    <w:rsid w:val="00B17BA2"/>
    <w:rsid w:val="00B17BA8"/>
    <w:rsid w:val="00B17D19"/>
    <w:rsid w:val="00B17D65"/>
    <w:rsid w:val="00B17D8C"/>
    <w:rsid w:val="00B17E49"/>
    <w:rsid w:val="00B17F23"/>
    <w:rsid w:val="00B17F36"/>
    <w:rsid w:val="00B20018"/>
    <w:rsid w:val="00B2018D"/>
    <w:rsid w:val="00B201CB"/>
    <w:rsid w:val="00B2025C"/>
    <w:rsid w:val="00B2027B"/>
    <w:rsid w:val="00B2028F"/>
    <w:rsid w:val="00B2034C"/>
    <w:rsid w:val="00B2036E"/>
    <w:rsid w:val="00B2043A"/>
    <w:rsid w:val="00B2048F"/>
    <w:rsid w:val="00B2055B"/>
    <w:rsid w:val="00B20563"/>
    <w:rsid w:val="00B20566"/>
    <w:rsid w:val="00B205D7"/>
    <w:rsid w:val="00B20667"/>
    <w:rsid w:val="00B20713"/>
    <w:rsid w:val="00B20942"/>
    <w:rsid w:val="00B209AC"/>
    <w:rsid w:val="00B20A05"/>
    <w:rsid w:val="00B20A16"/>
    <w:rsid w:val="00B20A31"/>
    <w:rsid w:val="00B20A37"/>
    <w:rsid w:val="00B20A98"/>
    <w:rsid w:val="00B20C7D"/>
    <w:rsid w:val="00B20DAD"/>
    <w:rsid w:val="00B21014"/>
    <w:rsid w:val="00B21073"/>
    <w:rsid w:val="00B21131"/>
    <w:rsid w:val="00B211C2"/>
    <w:rsid w:val="00B2126F"/>
    <w:rsid w:val="00B21339"/>
    <w:rsid w:val="00B21368"/>
    <w:rsid w:val="00B2138E"/>
    <w:rsid w:val="00B213BF"/>
    <w:rsid w:val="00B21584"/>
    <w:rsid w:val="00B2162E"/>
    <w:rsid w:val="00B216CC"/>
    <w:rsid w:val="00B216D3"/>
    <w:rsid w:val="00B216DF"/>
    <w:rsid w:val="00B216E3"/>
    <w:rsid w:val="00B216E9"/>
    <w:rsid w:val="00B216EE"/>
    <w:rsid w:val="00B216FF"/>
    <w:rsid w:val="00B21703"/>
    <w:rsid w:val="00B21725"/>
    <w:rsid w:val="00B21774"/>
    <w:rsid w:val="00B2182C"/>
    <w:rsid w:val="00B21889"/>
    <w:rsid w:val="00B219D1"/>
    <w:rsid w:val="00B21A26"/>
    <w:rsid w:val="00B21B08"/>
    <w:rsid w:val="00B21B3D"/>
    <w:rsid w:val="00B21CDF"/>
    <w:rsid w:val="00B21D2F"/>
    <w:rsid w:val="00B21D36"/>
    <w:rsid w:val="00B21D5D"/>
    <w:rsid w:val="00B21DDF"/>
    <w:rsid w:val="00B21F57"/>
    <w:rsid w:val="00B22087"/>
    <w:rsid w:val="00B220B1"/>
    <w:rsid w:val="00B22101"/>
    <w:rsid w:val="00B221C0"/>
    <w:rsid w:val="00B222AB"/>
    <w:rsid w:val="00B223D1"/>
    <w:rsid w:val="00B223E9"/>
    <w:rsid w:val="00B2240A"/>
    <w:rsid w:val="00B2248E"/>
    <w:rsid w:val="00B224A5"/>
    <w:rsid w:val="00B225EA"/>
    <w:rsid w:val="00B226C9"/>
    <w:rsid w:val="00B2277E"/>
    <w:rsid w:val="00B2280B"/>
    <w:rsid w:val="00B2286B"/>
    <w:rsid w:val="00B22C63"/>
    <w:rsid w:val="00B22C86"/>
    <w:rsid w:val="00B22CCA"/>
    <w:rsid w:val="00B22D5D"/>
    <w:rsid w:val="00B22DAA"/>
    <w:rsid w:val="00B22EFB"/>
    <w:rsid w:val="00B22F15"/>
    <w:rsid w:val="00B22F79"/>
    <w:rsid w:val="00B231B2"/>
    <w:rsid w:val="00B231D4"/>
    <w:rsid w:val="00B231F6"/>
    <w:rsid w:val="00B23218"/>
    <w:rsid w:val="00B23298"/>
    <w:rsid w:val="00B232AC"/>
    <w:rsid w:val="00B232DD"/>
    <w:rsid w:val="00B23314"/>
    <w:rsid w:val="00B2332B"/>
    <w:rsid w:val="00B23424"/>
    <w:rsid w:val="00B2347E"/>
    <w:rsid w:val="00B23480"/>
    <w:rsid w:val="00B2348D"/>
    <w:rsid w:val="00B2359B"/>
    <w:rsid w:val="00B23642"/>
    <w:rsid w:val="00B2367C"/>
    <w:rsid w:val="00B236DA"/>
    <w:rsid w:val="00B236F3"/>
    <w:rsid w:val="00B23738"/>
    <w:rsid w:val="00B23761"/>
    <w:rsid w:val="00B23774"/>
    <w:rsid w:val="00B23920"/>
    <w:rsid w:val="00B23936"/>
    <w:rsid w:val="00B23A65"/>
    <w:rsid w:val="00B23AE7"/>
    <w:rsid w:val="00B23C02"/>
    <w:rsid w:val="00B23C62"/>
    <w:rsid w:val="00B23D56"/>
    <w:rsid w:val="00B23D5B"/>
    <w:rsid w:val="00B23DC4"/>
    <w:rsid w:val="00B23DF4"/>
    <w:rsid w:val="00B23EC3"/>
    <w:rsid w:val="00B23ED3"/>
    <w:rsid w:val="00B23FB8"/>
    <w:rsid w:val="00B23FCF"/>
    <w:rsid w:val="00B2407F"/>
    <w:rsid w:val="00B240A1"/>
    <w:rsid w:val="00B240A7"/>
    <w:rsid w:val="00B240AD"/>
    <w:rsid w:val="00B24301"/>
    <w:rsid w:val="00B24342"/>
    <w:rsid w:val="00B243BE"/>
    <w:rsid w:val="00B243FD"/>
    <w:rsid w:val="00B24415"/>
    <w:rsid w:val="00B24439"/>
    <w:rsid w:val="00B245DC"/>
    <w:rsid w:val="00B245F7"/>
    <w:rsid w:val="00B24635"/>
    <w:rsid w:val="00B2470D"/>
    <w:rsid w:val="00B24769"/>
    <w:rsid w:val="00B247F1"/>
    <w:rsid w:val="00B24845"/>
    <w:rsid w:val="00B248AA"/>
    <w:rsid w:val="00B24922"/>
    <w:rsid w:val="00B249DD"/>
    <w:rsid w:val="00B24A10"/>
    <w:rsid w:val="00B24A44"/>
    <w:rsid w:val="00B24A45"/>
    <w:rsid w:val="00B24B7A"/>
    <w:rsid w:val="00B24BB5"/>
    <w:rsid w:val="00B24BC2"/>
    <w:rsid w:val="00B24C38"/>
    <w:rsid w:val="00B24CEB"/>
    <w:rsid w:val="00B24D4F"/>
    <w:rsid w:val="00B24D5F"/>
    <w:rsid w:val="00B24D74"/>
    <w:rsid w:val="00B24D83"/>
    <w:rsid w:val="00B24D84"/>
    <w:rsid w:val="00B24D97"/>
    <w:rsid w:val="00B24DCD"/>
    <w:rsid w:val="00B24E3C"/>
    <w:rsid w:val="00B24E4C"/>
    <w:rsid w:val="00B24F57"/>
    <w:rsid w:val="00B24F70"/>
    <w:rsid w:val="00B24FC6"/>
    <w:rsid w:val="00B24FCB"/>
    <w:rsid w:val="00B24FE6"/>
    <w:rsid w:val="00B24FF9"/>
    <w:rsid w:val="00B2500E"/>
    <w:rsid w:val="00B2509E"/>
    <w:rsid w:val="00B2519A"/>
    <w:rsid w:val="00B251AB"/>
    <w:rsid w:val="00B251E6"/>
    <w:rsid w:val="00B2529F"/>
    <w:rsid w:val="00B252FA"/>
    <w:rsid w:val="00B25414"/>
    <w:rsid w:val="00B25442"/>
    <w:rsid w:val="00B25452"/>
    <w:rsid w:val="00B2546D"/>
    <w:rsid w:val="00B25543"/>
    <w:rsid w:val="00B25558"/>
    <w:rsid w:val="00B255FD"/>
    <w:rsid w:val="00B2570B"/>
    <w:rsid w:val="00B25711"/>
    <w:rsid w:val="00B257C4"/>
    <w:rsid w:val="00B257EB"/>
    <w:rsid w:val="00B2595B"/>
    <w:rsid w:val="00B25977"/>
    <w:rsid w:val="00B259F2"/>
    <w:rsid w:val="00B25A14"/>
    <w:rsid w:val="00B25AD2"/>
    <w:rsid w:val="00B25B4E"/>
    <w:rsid w:val="00B25B61"/>
    <w:rsid w:val="00B25C89"/>
    <w:rsid w:val="00B25CD5"/>
    <w:rsid w:val="00B25CF6"/>
    <w:rsid w:val="00B25D74"/>
    <w:rsid w:val="00B25E46"/>
    <w:rsid w:val="00B25E50"/>
    <w:rsid w:val="00B25E66"/>
    <w:rsid w:val="00B25E96"/>
    <w:rsid w:val="00B25F2D"/>
    <w:rsid w:val="00B25F6B"/>
    <w:rsid w:val="00B26063"/>
    <w:rsid w:val="00B260B6"/>
    <w:rsid w:val="00B26191"/>
    <w:rsid w:val="00B261AD"/>
    <w:rsid w:val="00B261D9"/>
    <w:rsid w:val="00B261FC"/>
    <w:rsid w:val="00B26280"/>
    <w:rsid w:val="00B262AE"/>
    <w:rsid w:val="00B262D9"/>
    <w:rsid w:val="00B262DF"/>
    <w:rsid w:val="00B262E3"/>
    <w:rsid w:val="00B2636B"/>
    <w:rsid w:val="00B263A6"/>
    <w:rsid w:val="00B26410"/>
    <w:rsid w:val="00B264AE"/>
    <w:rsid w:val="00B264AF"/>
    <w:rsid w:val="00B2663D"/>
    <w:rsid w:val="00B26675"/>
    <w:rsid w:val="00B26697"/>
    <w:rsid w:val="00B26749"/>
    <w:rsid w:val="00B2679C"/>
    <w:rsid w:val="00B267FB"/>
    <w:rsid w:val="00B26810"/>
    <w:rsid w:val="00B2685E"/>
    <w:rsid w:val="00B26912"/>
    <w:rsid w:val="00B26924"/>
    <w:rsid w:val="00B2697E"/>
    <w:rsid w:val="00B269CB"/>
    <w:rsid w:val="00B269DA"/>
    <w:rsid w:val="00B26B96"/>
    <w:rsid w:val="00B26BBA"/>
    <w:rsid w:val="00B26C69"/>
    <w:rsid w:val="00B26C91"/>
    <w:rsid w:val="00B26CCD"/>
    <w:rsid w:val="00B26CE0"/>
    <w:rsid w:val="00B26CF2"/>
    <w:rsid w:val="00B26D99"/>
    <w:rsid w:val="00B26DF6"/>
    <w:rsid w:val="00B26E3D"/>
    <w:rsid w:val="00B26E7F"/>
    <w:rsid w:val="00B26EFA"/>
    <w:rsid w:val="00B26F20"/>
    <w:rsid w:val="00B26F9E"/>
    <w:rsid w:val="00B270B0"/>
    <w:rsid w:val="00B27111"/>
    <w:rsid w:val="00B27152"/>
    <w:rsid w:val="00B2728B"/>
    <w:rsid w:val="00B2728C"/>
    <w:rsid w:val="00B272BA"/>
    <w:rsid w:val="00B272EB"/>
    <w:rsid w:val="00B27317"/>
    <w:rsid w:val="00B27348"/>
    <w:rsid w:val="00B2734B"/>
    <w:rsid w:val="00B2737A"/>
    <w:rsid w:val="00B27457"/>
    <w:rsid w:val="00B2750A"/>
    <w:rsid w:val="00B27545"/>
    <w:rsid w:val="00B2756A"/>
    <w:rsid w:val="00B27708"/>
    <w:rsid w:val="00B277D2"/>
    <w:rsid w:val="00B27831"/>
    <w:rsid w:val="00B27875"/>
    <w:rsid w:val="00B279AD"/>
    <w:rsid w:val="00B279C4"/>
    <w:rsid w:val="00B279D3"/>
    <w:rsid w:val="00B27A16"/>
    <w:rsid w:val="00B27A46"/>
    <w:rsid w:val="00B27AE5"/>
    <w:rsid w:val="00B27B86"/>
    <w:rsid w:val="00B27BBD"/>
    <w:rsid w:val="00B27C31"/>
    <w:rsid w:val="00B27CE1"/>
    <w:rsid w:val="00B27CF6"/>
    <w:rsid w:val="00B27D15"/>
    <w:rsid w:val="00B27D1E"/>
    <w:rsid w:val="00B27D94"/>
    <w:rsid w:val="00B27E3C"/>
    <w:rsid w:val="00B27FAE"/>
    <w:rsid w:val="00B27FE1"/>
    <w:rsid w:val="00B3001F"/>
    <w:rsid w:val="00B300D3"/>
    <w:rsid w:val="00B30121"/>
    <w:rsid w:val="00B301EC"/>
    <w:rsid w:val="00B302F4"/>
    <w:rsid w:val="00B303F7"/>
    <w:rsid w:val="00B3055B"/>
    <w:rsid w:val="00B306D7"/>
    <w:rsid w:val="00B306EB"/>
    <w:rsid w:val="00B3077C"/>
    <w:rsid w:val="00B307A6"/>
    <w:rsid w:val="00B30876"/>
    <w:rsid w:val="00B30A15"/>
    <w:rsid w:val="00B30A52"/>
    <w:rsid w:val="00B30AC8"/>
    <w:rsid w:val="00B30B3C"/>
    <w:rsid w:val="00B30B42"/>
    <w:rsid w:val="00B30C16"/>
    <w:rsid w:val="00B30D80"/>
    <w:rsid w:val="00B30DE6"/>
    <w:rsid w:val="00B30F2A"/>
    <w:rsid w:val="00B31149"/>
    <w:rsid w:val="00B31236"/>
    <w:rsid w:val="00B3129F"/>
    <w:rsid w:val="00B312D7"/>
    <w:rsid w:val="00B31516"/>
    <w:rsid w:val="00B3152C"/>
    <w:rsid w:val="00B31544"/>
    <w:rsid w:val="00B31573"/>
    <w:rsid w:val="00B3166A"/>
    <w:rsid w:val="00B31738"/>
    <w:rsid w:val="00B31882"/>
    <w:rsid w:val="00B31A24"/>
    <w:rsid w:val="00B31A36"/>
    <w:rsid w:val="00B31A6C"/>
    <w:rsid w:val="00B31ADD"/>
    <w:rsid w:val="00B31BB9"/>
    <w:rsid w:val="00B31BCB"/>
    <w:rsid w:val="00B31C3F"/>
    <w:rsid w:val="00B31CB7"/>
    <w:rsid w:val="00B31CDD"/>
    <w:rsid w:val="00B31CE2"/>
    <w:rsid w:val="00B31D3C"/>
    <w:rsid w:val="00B31E03"/>
    <w:rsid w:val="00B31E0F"/>
    <w:rsid w:val="00B31E4F"/>
    <w:rsid w:val="00B31E52"/>
    <w:rsid w:val="00B31E99"/>
    <w:rsid w:val="00B31ECB"/>
    <w:rsid w:val="00B31ED4"/>
    <w:rsid w:val="00B31EFC"/>
    <w:rsid w:val="00B31FA9"/>
    <w:rsid w:val="00B31FFE"/>
    <w:rsid w:val="00B32077"/>
    <w:rsid w:val="00B32173"/>
    <w:rsid w:val="00B321EB"/>
    <w:rsid w:val="00B32260"/>
    <w:rsid w:val="00B322A1"/>
    <w:rsid w:val="00B32326"/>
    <w:rsid w:val="00B32327"/>
    <w:rsid w:val="00B32329"/>
    <w:rsid w:val="00B32344"/>
    <w:rsid w:val="00B32365"/>
    <w:rsid w:val="00B323F4"/>
    <w:rsid w:val="00B32464"/>
    <w:rsid w:val="00B324C5"/>
    <w:rsid w:val="00B327FE"/>
    <w:rsid w:val="00B32849"/>
    <w:rsid w:val="00B3287E"/>
    <w:rsid w:val="00B328AF"/>
    <w:rsid w:val="00B32957"/>
    <w:rsid w:val="00B329AD"/>
    <w:rsid w:val="00B329E1"/>
    <w:rsid w:val="00B329E4"/>
    <w:rsid w:val="00B32A05"/>
    <w:rsid w:val="00B32B32"/>
    <w:rsid w:val="00B32B76"/>
    <w:rsid w:val="00B32C20"/>
    <w:rsid w:val="00B32C61"/>
    <w:rsid w:val="00B32CC1"/>
    <w:rsid w:val="00B32D9E"/>
    <w:rsid w:val="00B32DBD"/>
    <w:rsid w:val="00B32F06"/>
    <w:rsid w:val="00B32F9B"/>
    <w:rsid w:val="00B32FE8"/>
    <w:rsid w:val="00B33079"/>
    <w:rsid w:val="00B330AF"/>
    <w:rsid w:val="00B33117"/>
    <w:rsid w:val="00B33133"/>
    <w:rsid w:val="00B33216"/>
    <w:rsid w:val="00B3327C"/>
    <w:rsid w:val="00B332B6"/>
    <w:rsid w:val="00B3330C"/>
    <w:rsid w:val="00B33316"/>
    <w:rsid w:val="00B33338"/>
    <w:rsid w:val="00B33375"/>
    <w:rsid w:val="00B333C2"/>
    <w:rsid w:val="00B33439"/>
    <w:rsid w:val="00B33487"/>
    <w:rsid w:val="00B334A8"/>
    <w:rsid w:val="00B334F2"/>
    <w:rsid w:val="00B3350F"/>
    <w:rsid w:val="00B33533"/>
    <w:rsid w:val="00B336B0"/>
    <w:rsid w:val="00B33702"/>
    <w:rsid w:val="00B33706"/>
    <w:rsid w:val="00B33769"/>
    <w:rsid w:val="00B3378E"/>
    <w:rsid w:val="00B3385A"/>
    <w:rsid w:val="00B3385D"/>
    <w:rsid w:val="00B338B8"/>
    <w:rsid w:val="00B33905"/>
    <w:rsid w:val="00B33B36"/>
    <w:rsid w:val="00B33B80"/>
    <w:rsid w:val="00B33C25"/>
    <w:rsid w:val="00B33C82"/>
    <w:rsid w:val="00B33D09"/>
    <w:rsid w:val="00B33DE7"/>
    <w:rsid w:val="00B33DFD"/>
    <w:rsid w:val="00B33E49"/>
    <w:rsid w:val="00B33E8F"/>
    <w:rsid w:val="00B33FA2"/>
    <w:rsid w:val="00B33FE6"/>
    <w:rsid w:val="00B34003"/>
    <w:rsid w:val="00B34018"/>
    <w:rsid w:val="00B342A5"/>
    <w:rsid w:val="00B342DA"/>
    <w:rsid w:val="00B3437A"/>
    <w:rsid w:val="00B34579"/>
    <w:rsid w:val="00B3458E"/>
    <w:rsid w:val="00B345BF"/>
    <w:rsid w:val="00B346FE"/>
    <w:rsid w:val="00B3475C"/>
    <w:rsid w:val="00B347E9"/>
    <w:rsid w:val="00B34849"/>
    <w:rsid w:val="00B34853"/>
    <w:rsid w:val="00B348C7"/>
    <w:rsid w:val="00B34937"/>
    <w:rsid w:val="00B34A88"/>
    <w:rsid w:val="00B34B49"/>
    <w:rsid w:val="00B34B65"/>
    <w:rsid w:val="00B34C16"/>
    <w:rsid w:val="00B34C4C"/>
    <w:rsid w:val="00B34C62"/>
    <w:rsid w:val="00B34CDE"/>
    <w:rsid w:val="00B34DEB"/>
    <w:rsid w:val="00B34E98"/>
    <w:rsid w:val="00B34F31"/>
    <w:rsid w:val="00B34F49"/>
    <w:rsid w:val="00B34F9E"/>
    <w:rsid w:val="00B34FA0"/>
    <w:rsid w:val="00B35074"/>
    <w:rsid w:val="00B35097"/>
    <w:rsid w:val="00B35252"/>
    <w:rsid w:val="00B3526B"/>
    <w:rsid w:val="00B3529A"/>
    <w:rsid w:val="00B352A8"/>
    <w:rsid w:val="00B3532B"/>
    <w:rsid w:val="00B35334"/>
    <w:rsid w:val="00B35398"/>
    <w:rsid w:val="00B354BE"/>
    <w:rsid w:val="00B35576"/>
    <w:rsid w:val="00B35591"/>
    <w:rsid w:val="00B3569D"/>
    <w:rsid w:val="00B356CE"/>
    <w:rsid w:val="00B3572B"/>
    <w:rsid w:val="00B358B3"/>
    <w:rsid w:val="00B35933"/>
    <w:rsid w:val="00B359F2"/>
    <w:rsid w:val="00B35A0D"/>
    <w:rsid w:val="00B35AFF"/>
    <w:rsid w:val="00B35B4A"/>
    <w:rsid w:val="00B35B52"/>
    <w:rsid w:val="00B35C33"/>
    <w:rsid w:val="00B35C48"/>
    <w:rsid w:val="00B35D8F"/>
    <w:rsid w:val="00B35DB6"/>
    <w:rsid w:val="00B35DE7"/>
    <w:rsid w:val="00B35DF2"/>
    <w:rsid w:val="00B35DF7"/>
    <w:rsid w:val="00B35E4F"/>
    <w:rsid w:val="00B35E62"/>
    <w:rsid w:val="00B35E7A"/>
    <w:rsid w:val="00B35E80"/>
    <w:rsid w:val="00B35F34"/>
    <w:rsid w:val="00B35F95"/>
    <w:rsid w:val="00B36011"/>
    <w:rsid w:val="00B36039"/>
    <w:rsid w:val="00B36057"/>
    <w:rsid w:val="00B36114"/>
    <w:rsid w:val="00B36280"/>
    <w:rsid w:val="00B362B5"/>
    <w:rsid w:val="00B36337"/>
    <w:rsid w:val="00B36344"/>
    <w:rsid w:val="00B36349"/>
    <w:rsid w:val="00B36406"/>
    <w:rsid w:val="00B36453"/>
    <w:rsid w:val="00B3648E"/>
    <w:rsid w:val="00B3660D"/>
    <w:rsid w:val="00B36674"/>
    <w:rsid w:val="00B366A7"/>
    <w:rsid w:val="00B366B0"/>
    <w:rsid w:val="00B36735"/>
    <w:rsid w:val="00B3675E"/>
    <w:rsid w:val="00B367BA"/>
    <w:rsid w:val="00B367D2"/>
    <w:rsid w:val="00B3681E"/>
    <w:rsid w:val="00B36821"/>
    <w:rsid w:val="00B36954"/>
    <w:rsid w:val="00B36974"/>
    <w:rsid w:val="00B36979"/>
    <w:rsid w:val="00B36A3F"/>
    <w:rsid w:val="00B36A50"/>
    <w:rsid w:val="00B36AC0"/>
    <w:rsid w:val="00B36AE1"/>
    <w:rsid w:val="00B36BBF"/>
    <w:rsid w:val="00B36C1F"/>
    <w:rsid w:val="00B36C5F"/>
    <w:rsid w:val="00B36C8B"/>
    <w:rsid w:val="00B36CB9"/>
    <w:rsid w:val="00B36D84"/>
    <w:rsid w:val="00B36DE0"/>
    <w:rsid w:val="00B36EE4"/>
    <w:rsid w:val="00B36F22"/>
    <w:rsid w:val="00B36F27"/>
    <w:rsid w:val="00B36F66"/>
    <w:rsid w:val="00B37047"/>
    <w:rsid w:val="00B3713F"/>
    <w:rsid w:val="00B3716C"/>
    <w:rsid w:val="00B37179"/>
    <w:rsid w:val="00B371CF"/>
    <w:rsid w:val="00B3722B"/>
    <w:rsid w:val="00B37285"/>
    <w:rsid w:val="00B37363"/>
    <w:rsid w:val="00B37403"/>
    <w:rsid w:val="00B3740A"/>
    <w:rsid w:val="00B374EF"/>
    <w:rsid w:val="00B37508"/>
    <w:rsid w:val="00B3755E"/>
    <w:rsid w:val="00B3759B"/>
    <w:rsid w:val="00B375AC"/>
    <w:rsid w:val="00B376AD"/>
    <w:rsid w:val="00B376B2"/>
    <w:rsid w:val="00B37701"/>
    <w:rsid w:val="00B378AF"/>
    <w:rsid w:val="00B37951"/>
    <w:rsid w:val="00B3798C"/>
    <w:rsid w:val="00B379C2"/>
    <w:rsid w:val="00B379C8"/>
    <w:rsid w:val="00B379CA"/>
    <w:rsid w:val="00B37A78"/>
    <w:rsid w:val="00B37AC5"/>
    <w:rsid w:val="00B37BA5"/>
    <w:rsid w:val="00B37C22"/>
    <w:rsid w:val="00B37CBE"/>
    <w:rsid w:val="00B37CD9"/>
    <w:rsid w:val="00B37CE3"/>
    <w:rsid w:val="00B37D4D"/>
    <w:rsid w:val="00B37E3F"/>
    <w:rsid w:val="00B4005E"/>
    <w:rsid w:val="00B40102"/>
    <w:rsid w:val="00B401E3"/>
    <w:rsid w:val="00B4021A"/>
    <w:rsid w:val="00B40262"/>
    <w:rsid w:val="00B402B2"/>
    <w:rsid w:val="00B402BB"/>
    <w:rsid w:val="00B402C7"/>
    <w:rsid w:val="00B403CB"/>
    <w:rsid w:val="00B4055F"/>
    <w:rsid w:val="00B405C6"/>
    <w:rsid w:val="00B405D5"/>
    <w:rsid w:val="00B4062F"/>
    <w:rsid w:val="00B406A3"/>
    <w:rsid w:val="00B406DF"/>
    <w:rsid w:val="00B406E4"/>
    <w:rsid w:val="00B4070B"/>
    <w:rsid w:val="00B40765"/>
    <w:rsid w:val="00B407D9"/>
    <w:rsid w:val="00B4081F"/>
    <w:rsid w:val="00B40936"/>
    <w:rsid w:val="00B40A9E"/>
    <w:rsid w:val="00B40AF5"/>
    <w:rsid w:val="00B40BAA"/>
    <w:rsid w:val="00B40BAE"/>
    <w:rsid w:val="00B40BD8"/>
    <w:rsid w:val="00B40C8E"/>
    <w:rsid w:val="00B40D77"/>
    <w:rsid w:val="00B40DA4"/>
    <w:rsid w:val="00B40DF1"/>
    <w:rsid w:val="00B40E04"/>
    <w:rsid w:val="00B40E80"/>
    <w:rsid w:val="00B40EC5"/>
    <w:rsid w:val="00B40EDF"/>
    <w:rsid w:val="00B40F1F"/>
    <w:rsid w:val="00B40FC9"/>
    <w:rsid w:val="00B41007"/>
    <w:rsid w:val="00B41034"/>
    <w:rsid w:val="00B4106D"/>
    <w:rsid w:val="00B41149"/>
    <w:rsid w:val="00B411C3"/>
    <w:rsid w:val="00B411C7"/>
    <w:rsid w:val="00B412D3"/>
    <w:rsid w:val="00B41333"/>
    <w:rsid w:val="00B4134E"/>
    <w:rsid w:val="00B4136E"/>
    <w:rsid w:val="00B41381"/>
    <w:rsid w:val="00B413B1"/>
    <w:rsid w:val="00B41444"/>
    <w:rsid w:val="00B414A5"/>
    <w:rsid w:val="00B414B4"/>
    <w:rsid w:val="00B41524"/>
    <w:rsid w:val="00B415D8"/>
    <w:rsid w:val="00B4161A"/>
    <w:rsid w:val="00B41771"/>
    <w:rsid w:val="00B41787"/>
    <w:rsid w:val="00B417A2"/>
    <w:rsid w:val="00B41900"/>
    <w:rsid w:val="00B41969"/>
    <w:rsid w:val="00B419C9"/>
    <w:rsid w:val="00B41A04"/>
    <w:rsid w:val="00B41A2A"/>
    <w:rsid w:val="00B41A6B"/>
    <w:rsid w:val="00B41ADA"/>
    <w:rsid w:val="00B41B97"/>
    <w:rsid w:val="00B41BAC"/>
    <w:rsid w:val="00B41BB9"/>
    <w:rsid w:val="00B41C72"/>
    <w:rsid w:val="00B41CD5"/>
    <w:rsid w:val="00B41E34"/>
    <w:rsid w:val="00B41EA3"/>
    <w:rsid w:val="00B41F87"/>
    <w:rsid w:val="00B41FCA"/>
    <w:rsid w:val="00B42018"/>
    <w:rsid w:val="00B4204B"/>
    <w:rsid w:val="00B42146"/>
    <w:rsid w:val="00B42190"/>
    <w:rsid w:val="00B4219C"/>
    <w:rsid w:val="00B421B1"/>
    <w:rsid w:val="00B421D5"/>
    <w:rsid w:val="00B421DA"/>
    <w:rsid w:val="00B421E7"/>
    <w:rsid w:val="00B42217"/>
    <w:rsid w:val="00B4221C"/>
    <w:rsid w:val="00B4229D"/>
    <w:rsid w:val="00B42336"/>
    <w:rsid w:val="00B42377"/>
    <w:rsid w:val="00B4241F"/>
    <w:rsid w:val="00B42631"/>
    <w:rsid w:val="00B42676"/>
    <w:rsid w:val="00B427A1"/>
    <w:rsid w:val="00B427AC"/>
    <w:rsid w:val="00B427D9"/>
    <w:rsid w:val="00B42871"/>
    <w:rsid w:val="00B428F7"/>
    <w:rsid w:val="00B42A18"/>
    <w:rsid w:val="00B42AB4"/>
    <w:rsid w:val="00B42ABB"/>
    <w:rsid w:val="00B42AE2"/>
    <w:rsid w:val="00B42C53"/>
    <w:rsid w:val="00B42C64"/>
    <w:rsid w:val="00B42D88"/>
    <w:rsid w:val="00B42D9B"/>
    <w:rsid w:val="00B42DDA"/>
    <w:rsid w:val="00B42E0D"/>
    <w:rsid w:val="00B42E4B"/>
    <w:rsid w:val="00B42E5E"/>
    <w:rsid w:val="00B42E71"/>
    <w:rsid w:val="00B42E89"/>
    <w:rsid w:val="00B42EA7"/>
    <w:rsid w:val="00B42EC5"/>
    <w:rsid w:val="00B42EE4"/>
    <w:rsid w:val="00B42F56"/>
    <w:rsid w:val="00B43033"/>
    <w:rsid w:val="00B43035"/>
    <w:rsid w:val="00B43038"/>
    <w:rsid w:val="00B43175"/>
    <w:rsid w:val="00B43177"/>
    <w:rsid w:val="00B431A5"/>
    <w:rsid w:val="00B431BD"/>
    <w:rsid w:val="00B431D2"/>
    <w:rsid w:val="00B4322D"/>
    <w:rsid w:val="00B43249"/>
    <w:rsid w:val="00B432A6"/>
    <w:rsid w:val="00B4336A"/>
    <w:rsid w:val="00B43407"/>
    <w:rsid w:val="00B434BE"/>
    <w:rsid w:val="00B435CC"/>
    <w:rsid w:val="00B4362C"/>
    <w:rsid w:val="00B43631"/>
    <w:rsid w:val="00B43743"/>
    <w:rsid w:val="00B437A5"/>
    <w:rsid w:val="00B437D5"/>
    <w:rsid w:val="00B43820"/>
    <w:rsid w:val="00B4387F"/>
    <w:rsid w:val="00B438A5"/>
    <w:rsid w:val="00B438AE"/>
    <w:rsid w:val="00B438DF"/>
    <w:rsid w:val="00B439B3"/>
    <w:rsid w:val="00B43ABD"/>
    <w:rsid w:val="00B43B00"/>
    <w:rsid w:val="00B43BEB"/>
    <w:rsid w:val="00B43CCF"/>
    <w:rsid w:val="00B43D07"/>
    <w:rsid w:val="00B43DBE"/>
    <w:rsid w:val="00B43E5A"/>
    <w:rsid w:val="00B43EDF"/>
    <w:rsid w:val="00B43F1E"/>
    <w:rsid w:val="00B43F3F"/>
    <w:rsid w:val="00B43F46"/>
    <w:rsid w:val="00B43F49"/>
    <w:rsid w:val="00B43FCA"/>
    <w:rsid w:val="00B43FD9"/>
    <w:rsid w:val="00B43FDF"/>
    <w:rsid w:val="00B44121"/>
    <w:rsid w:val="00B4418C"/>
    <w:rsid w:val="00B441CB"/>
    <w:rsid w:val="00B441F1"/>
    <w:rsid w:val="00B44217"/>
    <w:rsid w:val="00B4463A"/>
    <w:rsid w:val="00B44669"/>
    <w:rsid w:val="00B44721"/>
    <w:rsid w:val="00B4472A"/>
    <w:rsid w:val="00B447FF"/>
    <w:rsid w:val="00B44844"/>
    <w:rsid w:val="00B44875"/>
    <w:rsid w:val="00B44955"/>
    <w:rsid w:val="00B44959"/>
    <w:rsid w:val="00B4498A"/>
    <w:rsid w:val="00B44A4A"/>
    <w:rsid w:val="00B44A63"/>
    <w:rsid w:val="00B44B3A"/>
    <w:rsid w:val="00B44BFF"/>
    <w:rsid w:val="00B44C38"/>
    <w:rsid w:val="00B44C9E"/>
    <w:rsid w:val="00B44C9F"/>
    <w:rsid w:val="00B44D53"/>
    <w:rsid w:val="00B44D62"/>
    <w:rsid w:val="00B44D8D"/>
    <w:rsid w:val="00B44DD1"/>
    <w:rsid w:val="00B44E13"/>
    <w:rsid w:val="00B44E4F"/>
    <w:rsid w:val="00B44E81"/>
    <w:rsid w:val="00B44EC4"/>
    <w:rsid w:val="00B44F14"/>
    <w:rsid w:val="00B44F65"/>
    <w:rsid w:val="00B44FDA"/>
    <w:rsid w:val="00B44FF6"/>
    <w:rsid w:val="00B4502F"/>
    <w:rsid w:val="00B45041"/>
    <w:rsid w:val="00B4505D"/>
    <w:rsid w:val="00B45107"/>
    <w:rsid w:val="00B4513C"/>
    <w:rsid w:val="00B4529E"/>
    <w:rsid w:val="00B452A6"/>
    <w:rsid w:val="00B4531A"/>
    <w:rsid w:val="00B45340"/>
    <w:rsid w:val="00B45526"/>
    <w:rsid w:val="00B45597"/>
    <w:rsid w:val="00B455B1"/>
    <w:rsid w:val="00B455BD"/>
    <w:rsid w:val="00B455C3"/>
    <w:rsid w:val="00B4566B"/>
    <w:rsid w:val="00B4569A"/>
    <w:rsid w:val="00B456CB"/>
    <w:rsid w:val="00B456F0"/>
    <w:rsid w:val="00B45732"/>
    <w:rsid w:val="00B45733"/>
    <w:rsid w:val="00B4573B"/>
    <w:rsid w:val="00B457C6"/>
    <w:rsid w:val="00B457CC"/>
    <w:rsid w:val="00B45899"/>
    <w:rsid w:val="00B4595F"/>
    <w:rsid w:val="00B459C7"/>
    <w:rsid w:val="00B459C9"/>
    <w:rsid w:val="00B45AFD"/>
    <w:rsid w:val="00B45BC7"/>
    <w:rsid w:val="00B45BDA"/>
    <w:rsid w:val="00B45C0C"/>
    <w:rsid w:val="00B45C67"/>
    <w:rsid w:val="00B45C82"/>
    <w:rsid w:val="00B45CB9"/>
    <w:rsid w:val="00B45CF6"/>
    <w:rsid w:val="00B45D02"/>
    <w:rsid w:val="00B45D73"/>
    <w:rsid w:val="00B45DA1"/>
    <w:rsid w:val="00B45EB1"/>
    <w:rsid w:val="00B45EB3"/>
    <w:rsid w:val="00B45FF0"/>
    <w:rsid w:val="00B460E7"/>
    <w:rsid w:val="00B46170"/>
    <w:rsid w:val="00B46354"/>
    <w:rsid w:val="00B463B9"/>
    <w:rsid w:val="00B4640F"/>
    <w:rsid w:val="00B464A0"/>
    <w:rsid w:val="00B464B6"/>
    <w:rsid w:val="00B464C2"/>
    <w:rsid w:val="00B46513"/>
    <w:rsid w:val="00B46570"/>
    <w:rsid w:val="00B465EB"/>
    <w:rsid w:val="00B4665B"/>
    <w:rsid w:val="00B4671A"/>
    <w:rsid w:val="00B4681B"/>
    <w:rsid w:val="00B46851"/>
    <w:rsid w:val="00B4689E"/>
    <w:rsid w:val="00B468B0"/>
    <w:rsid w:val="00B468C7"/>
    <w:rsid w:val="00B46930"/>
    <w:rsid w:val="00B4693C"/>
    <w:rsid w:val="00B469C2"/>
    <w:rsid w:val="00B469C5"/>
    <w:rsid w:val="00B469DB"/>
    <w:rsid w:val="00B46A36"/>
    <w:rsid w:val="00B46A5E"/>
    <w:rsid w:val="00B46A75"/>
    <w:rsid w:val="00B46A9D"/>
    <w:rsid w:val="00B46B42"/>
    <w:rsid w:val="00B46BC2"/>
    <w:rsid w:val="00B46D04"/>
    <w:rsid w:val="00B46D3B"/>
    <w:rsid w:val="00B46EC7"/>
    <w:rsid w:val="00B46F33"/>
    <w:rsid w:val="00B46F34"/>
    <w:rsid w:val="00B46FAB"/>
    <w:rsid w:val="00B46FF0"/>
    <w:rsid w:val="00B470B4"/>
    <w:rsid w:val="00B471CD"/>
    <w:rsid w:val="00B4722B"/>
    <w:rsid w:val="00B47274"/>
    <w:rsid w:val="00B4730A"/>
    <w:rsid w:val="00B47345"/>
    <w:rsid w:val="00B473D3"/>
    <w:rsid w:val="00B474E1"/>
    <w:rsid w:val="00B474F4"/>
    <w:rsid w:val="00B47538"/>
    <w:rsid w:val="00B47550"/>
    <w:rsid w:val="00B47575"/>
    <w:rsid w:val="00B47636"/>
    <w:rsid w:val="00B476CB"/>
    <w:rsid w:val="00B47748"/>
    <w:rsid w:val="00B47866"/>
    <w:rsid w:val="00B4786F"/>
    <w:rsid w:val="00B47877"/>
    <w:rsid w:val="00B47923"/>
    <w:rsid w:val="00B47931"/>
    <w:rsid w:val="00B47995"/>
    <w:rsid w:val="00B47A02"/>
    <w:rsid w:val="00B47AAF"/>
    <w:rsid w:val="00B47B07"/>
    <w:rsid w:val="00B47BAA"/>
    <w:rsid w:val="00B47BB6"/>
    <w:rsid w:val="00B47BE3"/>
    <w:rsid w:val="00B47C10"/>
    <w:rsid w:val="00B47C36"/>
    <w:rsid w:val="00B47C66"/>
    <w:rsid w:val="00B47D49"/>
    <w:rsid w:val="00B47DA2"/>
    <w:rsid w:val="00B47DEF"/>
    <w:rsid w:val="00B47E74"/>
    <w:rsid w:val="00B47EB7"/>
    <w:rsid w:val="00B47F66"/>
    <w:rsid w:val="00B47F67"/>
    <w:rsid w:val="00B47F9F"/>
    <w:rsid w:val="00B47FDB"/>
    <w:rsid w:val="00B4C000"/>
    <w:rsid w:val="00B50175"/>
    <w:rsid w:val="00B50205"/>
    <w:rsid w:val="00B50319"/>
    <w:rsid w:val="00B50361"/>
    <w:rsid w:val="00B50412"/>
    <w:rsid w:val="00B504A7"/>
    <w:rsid w:val="00B504C4"/>
    <w:rsid w:val="00B5050F"/>
    <w:rsid w:val="00B50661"/>
    <w:rsid w:val="00B5068A"/>
    <w:rsid w:val="00B506D8"/>
    <w:rsid w:val="00B5070B"/>
    <w:rsid w:val="00B5083A"/>
    <w:rsid w:val="00B50886"/>
    <w:rsid w:val="00B50992"/>
    <w:rsid w:val="00B509EB"/>
    <w:rsid w:val="00B50AA6"/>
    <w:rsid w:val="00B50AA9"/>
    <w:rsid w:val="00B50AFD"/>
    <w:rsid w:val="00B50B4D"/>
    <w:rsid w:val="00B50B9C"/>
    <w:rsid w:val="00B50C1C"/>
    <w:rsid w:val="00B50C6B"/>
    <w:rsid w:val="00B50C9D"/>
    <w:rsid w:val="00B50CB2"/>
    <w:rsid w:val="00B50D2C"/>
    <w:rsid w:val="00B50D58"/>
    <w:rsid w:val="00B50E19"/>
    <w:rsid w:val="00B50F16"/>
    <w:rsid w:val="00B50F34"/>
    <w:rsid w:val="00B50F54"/>
    <w:rsid w:val="00B50FB5"/>
    <w:rsid w:val="00B51064"/>
    <w:rsid w:val="00B5106F"/>
    <w:rsid w:val="00B51150"/>
    <w:rsid w:val="00B51223"/>
    <w:rsid w:val="00B51257"/>
    <w:rsid w:val="00B5132F"/>
    <w:rsid w:val="00B51350"/>
    <w:rsid w:val="00B5136C"/>
    <w:rsid w:val="00B513AA"/>
    <w:rsid w:val="00B51574"/>
    <w:rsid w:val="00B5158B"/>
    <w:rsid w:val="00B515A5"/>
    <w:rsid w:val="00B515CF"/>
    <w:rsid w:val="00B51629"/>
    <w:rsid w:val="00B516D9"/>
    <w:rsid w:val="00B516EC"/>
    <w:rsid w:val="00B51725"/>
    <w:rsid w:val="00B51793"/>
    <w:rsid w:val="00B517A8"/>
    <w:rsid w:val="00B517D1"/>
    <w:rsid w:val="00B51895"/>
    <w:rsid w:val="00B519E9"/>
    <w:rsid w:val="00B51A47"/>
    <w:rsid w:val="00B51A85"/>
    <w:rsid w:val="00B51BA2"/>
    <w:rsid w:val="00B51C1D"/>
    <w:rsid w:val="00B51CDE"/>
    <w:rsid w:val="00B51D66"/>
    <w:rsid w:val="00B51D95"/>
    <w:rsid w:val="00B51DB1"/>
    <w:rsid w:val="00B51DC8"/>
    <w:rsid w:val="00B51DD1"/>
    <w:rsid w:val="00B51E0A"/>
    <w:rsid w:val="00B51E2E"/>
    <w:rsid w:val="00B51E8F"/>
    <w:rsid w:val="00B51F3C"/>
    <w:rsid w:val="00B51FAE"/>
    <w:rsid w:val="00B52062"/>
    <w:rsid w:val="00B521BD"/>
    <w:rsid w:val="00B5226A"/>
    <w:rsid w:val="00B52386"/>
    <w:rsid w:val="00B52397"/>
    <w:rsid w:val="00B523EC"/>
    <w:rsid w:val="00B524C0"/>
    <w:rsid w:val="00B524D2"/>
    <w:rsid w:val="00B5250B"/>
    <w:rsid w:val="00B52517"/>
    <w:rsid w:val="00B52566"/>
    <w:rsid w:val="00B525F5"/>
    <w:rsid w:val="00B52726"/>
    <w:rsid w:val="00B5273E"/>
    <w:rsid w:val="00B527A9"/>
    <w:rsid w:val="00B527E4"/>
    <w:rsid w:val="00B5283C"/>
    <w:rsid w:val="00B528E4"/>
    <w:rsid w:val="00B52934"/>
    <w:rsid w:val="00B52A09"/>
    <w:rsid w:val="00B52A39"/>
    <w:rsid w:val="00B52A64"/>
    <w:rsid w:val="00B52B43"/>
    <w:rsid w:val="00B52B58"/>
    <w:rsid w:val="00B52B5C"/>
    <w:rsid w:val="00B52B66"/>
    <w:rsid w:val="00B52B70"/>
    <w:rsid w:val="00B52C7D"/>
    <w:rsid w:val="00B52CFA"/>
    <w:rsid w:val="00B52D9C"/>
    <w:rsid w:val="00B52DC8"/>
    <w:rsid w:val="00B52EBC"/>
    <w:rsid w:val="00B52F27"/>
    <w:rsid w:val="00B52F74"/>
    <w:rsid w:val="00B52F95"/>
    <w:rsid w:val="00B52FC0"/>
    <w:rsid w:val="00B52FFD"/>
    <w:rsid w:val="00B5307B"/>
    <w:rsid w:val="00B53087"/>
    <w:rsid w:val="00B530A8"/>
    <w:rsid w:val="00B530C9"/>
    <w:rsid w:val="00B530F0"/>
    <w:rsid w:val="00B53160"/>
    <w:rsid w:val="00B531C3"/>
    <w:rsid w:val="00B53204"/>
    <w:rsid w:val="00B5321B"/>
    <w:rsid w:val="00B532CA"/>
    <w:rsid w:val="00B532FD"/>
    <w:rsid w:val="00B533B4"/>
    <w:rsid w:val="00B53473"/>
    <w:rsid w:val="00B534CD"/>
    <w:rsid w:val="00B53569"/>
    <w:rsid w:val="00B53604"/>
    <w:rsid w:val="00B5362A"/>
    <w:rsid w:val="00B53644"/>
    <w:rsid w:val="00B5365F"/>
    <w:rsid w:val="00B53681"/>
    <w:rsid w:val="00B53730"/>
    <w:rsid w:val="00B5376E"/>
    <w:rsid w:val="00B537CE"/>
    <w:rsid w:val="00B537F5"/>
    <w:rsid w:val="00B53821"/>
    <w:rsid w:val="00B53839"/>
    <w:rsid w:val="00B53861"/>
    <w:rsid w:val="00B53877"/>
    <w:rsid w:val="00B5388C"/>
    <w:rsid w:val="00B539BF"/>
    <w:rsid w:val="00B53A73"/>
    <w:rsid w:val="00B53A76"/>
    <w:rsid w:val="00B53A9B"/>
    <w:rsid w:val="00B53AAF"/>
    <w:rsid w:val="00B53AF9"/>
    <w:rsid w:val="00B53C06"/>
    <w:rsid w:val="00B53D77"/>
    <w:rsid w:val="00B53E16"/>
    <w:rsid w:val="00B53EAA"/>
    <w:rsid w:val="00B53FB4"/>
    <w:rsid w:val="00B54049"/>
    <w:rsid w:val="00B54054"/>
    <w:rsid w:val="00B540AA"/>
    <w:rsid w:val="00B540B0"/>
    <w:rsid w:val="00B54124"/>
    <w:rsid w:val="00B5412B"/>
    <w:rsid w:val="00B541EA"/>
    <w:rsid w:val="00B54238"/>
    <w:rsid w:val="00B543E2"/>
    <w:rsid w:val="00B5445A"/>
    <w:rsid w:val="00B54506"/>
    <w:rsid w:val="00B54585"/>
    <w:rsid w:val="00B5462F"/>
    <w:rsid w:val="00B546A1"/>
    <w:rsid w:val="00B546E7"/>
    <w:rsid w:val="00B54736"/>
    <w:rsid w:val="00B547DB"/>
    <w:rsid w:val="00B5480D"/>
    <w:rsid w:val="00B5486E"/>
    <w:rsid w:val="00B548AA"/>
    <w:rsid w:val="00B549C6"/>
    <w:rsid w:val="00B54A08"/>
    <w:rsid w:val="00B54A44"/>
    <w:rsid w:val="00B54B18"/>
    <w:rsid w:val="00B54BF2"/>
    <w:rsid w:val="00B54C8A"/>
    <w:rsid w:val="00B54D05"/>
    <w:rsid w:val="00B54D0E"/>
    <w:rsid w:val="00B54D27"/>
    <w:rsid w:val="00B54D6A"/>
    <w:rsid w:val="00B54DC3"/>
    <w:rsid w:val="00B54E6F"/>
    <w:rsid w:val="00B54E8D"/>
    <w:rsid w:val="00B54EBF"/>
    <w:rsid w:val="00B54EFC"/>
    <w:rsid w:val="00B55077"/>
    <w:rsid w:val="00B55087"/>
    <w:rsid w:val="00B55127"/>
    <w:rsid w:val="00B55178"/>
    <w:rsid w:val="00B55199"/>
    <w:rsid w:val="00B551B8"/>
    <w:rsid w:val="00B552EB"/>
    <w:rsid w:val="00B55303"/>
    <w:rsid w:val="00B55338"/>
    <w:rsid w:val="00B553F9"/>
    <w:rsid w:val="00B5556D"/>
    <w:rsid w:val="00B55586"/>
    <w:rsid w:val="00B55598"/>
    <w:rsid w:val="00B555C1"/>
    <w:rsid w:val="00B55630"/>
    <w:rsid w:val="00B556F8"/>
    <w:rsid w:val="00B55742"/>
    <w:rsid w:val="00B55797"/>
    <w:rsid w:val="00B558B1"/>
    <w:rsid w:val="00B558D5"/>
    <w:rsid w:val="00B558D8"/>
    <w:rsid w:val="00B55930"/>
    <w:rsid w:val="00B5593F"/>
    <w:rsid w:val="00B55A46"/>
    <w:rsid w:val="00B55AE4"/>
    <w:rsid w:val="00B55B12"/>
    <w:rsid w:val="00B55B2E"/>
    <w:rsid w:val="00B55B5B"/>
    <w:rsid w:val="00B55BF0"/>
    <w:rsid w:val="00B55C4D"/>
    <w:rsid w:val="00B55C5E"/>
    <w:rsid w:val="00B55C64"/>
    <w:rsid w:val="00B55CE5"/>
    <w:rsid w:val="00B55CF9"/>
    <w:rsid w:val="00B55DC7"/>
    <w:rsid w:val="00B55E2B"/>
    <w:rsid w:val="00B55E7C"/>
    <w:rsid w:val="00B55FC9"/>
    <w:rsid w:val="00B560B8"/>
    <w:rsid w:val="00B5610A"/>
    <w:rsid w:val="00B561EC"/>
    <w:rsid w:val="00B5621B"/>
    <w:rsid w:val="00B5621C"/>
    <w:rsid w:val="00B562D5"/>
    <w:rsid w:val="00B56413"/>
    <w:rsid w:val="00B564DC"/>
    <w:rsid w:val="00B56607"/>
    <w:rsid w:val="00B56661"/>
    <w:rsid w:val="00B56740"/>
    <w:rsid w:val="00B56753"/>
    <w:rsid w:val="00B56962"/>
    <w:rsid w:val="00B5698B"/>
    <w:rsid w:val="00B569AE"/>
    <w:rsid w:val="00B569C3"/>
    <w:rsid w:val="00B569F8"/>
    <w:rsid w:val="00B56A98"/>
    <w:rsid w:val="00B56AC8"/>
    <w:rsid w:val="00B56ADB"/>
    <w:rsid w:val="00B56BEA"/>
    <w:rsid w:val="00B56C44"/>
    <w:rsid w:val="00B56CDB"/>
    <w:rsid w:val="00B56D14"/>
    <w:rsid w:val="00B56D64"/>
    <w:rsid w:val="00B56DCF"/>
    <w:rsid w:val="00B56DD1"/>
    <w:rsid w:val="00B56E1A"/>
    <w:rsid w:val="00B56E2F"/>
    <w:rsid w:val="00B56E5A"/>
    <w:rsid w:val="00B56FC2"/>
    <w:rsid w:val="00B57012"/>
    <w:rsid w:val="00B571F7"/>
    <w:rsid w:val="00B57216"/>
    <w:rsid w:val="00B572A3"/>
    <w:rsid w:val="00B5734C"/>
    <w:rsid w:val="00B5754D"/>
    <w:rsid w:val="00B57818"/>
    <w:rsid w:val="00B578F3"/>
    <w:rsid w:val="00B579A9"/>
    <w:rsid w:val="00B579DB"/>
    <w:rsid w:val="00B579F4"/>
    <w:rsid w:val="00B57A7E"/>
    <w:rsid w:val="00B57B0F"/>
    <w:rsid w:val="00B57CB9"/>
    <w:rsid w:val="00B57DAE"/>
    <w:rsid w:val="00B57DC9"/>
    <w:rsid w:val="00B57DEE"/>
    <w:rsid w:val="00B57DFC"/>
    <w:rsid w:val="00B57F35"/>
    <w:rsid w:val="00B57F3F"/>
    <w:rsid w:val="00B57F67"/>
    <w:rsid w:val="00B60070"/>
    <w:rsid w:val="00B600D2"/>
    <w:rsid w:val="00B60228"/>
    <w:rsid w:val="00B60239"/>
    <w:rsid w:val="00B60320"/>
    <w:rsid w:val="00B60357"/>
    <w:rsid w:val="00B6037D"/>
    <w:rsid w:val="00B603AC"/>
    <w:rsid w:val="00B603C5"/>
    <w:rsid w:val="00B603C7"/>
    <w:rsid w:val="00B6047A"/>
    <w:rsid w:val="00B60498"/>
    <w:rsid w:val="00B604D1"/>
    <w:rsid w:val="00B60503"/>
    <w:rsid w:val="00B6066A"/>
    <w:rsid w:val="00B606B0"/>
    <w:rsid w:val="00B60786"/>
    <w:rsid w:val="00B60799"/>
    <w:rsid w:val="00B607EA"/>
    <w:rsid w:val="00B60817"/>
    <w:rsid w:val="00B60860"/>
    <w:rsid w:val="00B6086A"/>
    <w:rsid w:val="00B608BF"/>
    <w:rsid w:val="00B608CC"/>
    <w:rsid w:val="00B6091D"/>
    <w:rsid w:val="00B60935"/>
    <w:rsid w:val="00B60A88"/>
    <w:rsid w:val="00B60A9E"/>
    <w:rsid w:val="00B60AE1"/>
    <w:rsid w:val="00B60BCE"/>
    <w:rsid w:val="00B60CE8"/>
    <w:rsid w:val="00B60E42"/>
    <w:rsid w:val="00B60E60"/>
    <w:rsid w:val="00B60E9D"/>
    <w:rsid w:val="00B610E1"/>
    <w:rsid w:val="00B61273"/>
    <w:rsid w:val="00B61335"/>
    <w:rsid w:val="00B61349"/>
    <w:rsid w:val="00B6140D"/>
    <w:rsid w:val="00B61453"/>
    <w:rsid w:val="00B614B2"/>
    <w:rsid w:val="00B61587"/>
    <w:rsid w:val="00B615DF"/>
    <w:rsid w:val="00B61698"/>
    <w:rsid w:val="00B616A4"/>
    <w:rsid w:val="00B616CB"/>
    <w:rsid w:val="00B6174C"/>
    <w:rsid w:val="00B617A4"/>
    <w:rsid w:val="00B617A5"/>
    <w:rsid w:val="00B61857"/>
    <w:rsid w:val="00B61894"/>
    <w:rsid w:val="00B61896"/>
    <w:rsid w:val="00B6194D"/>
    <w:rsid w:val="00B61969"/>
    <w:rsid w:val="00B619C8"/>
    <w:rsid w:val="00B61A54"/>
    <w:rsid w:val="00B61AAD"/>
    <w:rsid w:val="00B61AF1"/>
    <w:rsid w:val="00B61C9A"/>
    <w:rsid w:val="00B61D74"/>
    <w:rsid w:val="00B61E30"/>
    <w:rsid w:val="00B61E51"/>
    <w:rsid w:val="00B61E7B"/>
    <w:rsid w:val="00B61EF3"/>
    <w:rsid w:val="00B61F01"/>
    <w:rsid w:val="00B61F9A"/>
    <w:rsid w:val="00B61FBD"/>
    <w:rsid w:val="00B62116"/>
    <w:rsid w:val="00B621D6"/>
    <w:rsid w:val="00B62239"/>
    <w:rsid w:val="00B6225A"/>
    <w:rsid w:val="00B62451"/>
    <w:rsid w:val="00B6249F"/>
    <w:rsid w:val="00B624F7"/>
    <w:rsid w:val="00B6252D"/>
    <w:rsid w:val="00B62543"/>
    <w:rsid w:val="00B62630"/>
    <w:rsid w:val="00B6263A"/>
    <w:rsid w:val="00B626FE"/>
    <w:rsid w:val="00B627D1"/>
    <w:rsid w:val="00B627DE"/>
    <w:rsid w:val="00B62881"/>
    <w:rsid w:val="00B628A6"/>
    <w:rsid w:val="00B628CC"/>
    <w:rsid w:val="00B628E5"/>
    <w:rsid w:val="00B629BE"/>
    <w:rsid w:val="00B629EA"/>
    <w:rsid w:val="00B62A14"/>
    <w:rsid w:val="00B62A44"/>
    <w:rsid w:val="00B62A47"/>
    <w:rsid w:val="00B62AD5"/>
    <w:rsid w:val="00B62AF5"/>
    <w:rsid w:val="00B62B39"/>
    <w:rsid w:val="00B62B82"/>
    <w:rsid w:val="00B62BA6"/>
    <w:rsid w:val="00B62BAB"/>
    <w:rsid w:val="00B62BB0"/>
    <w:rsid w:val="00B62C50"/>
    <w:rsid w:val="00B62C73"/>
    <w:rsid w:val="00B62CC5"/>
    <w:rsid w:val="00B62CCC"/>
    <w:rsid w:val="00B62D50"/>
    <w:rsid w:val="00B62DF0"/>
    <w:rsid w:val="00B62E52"/>
    <w:rsid w:val="00B62EA3"/>
    <w:rsid w:val="00B62EED"/>
    <w:rsid w:val="00B62F7A"/>
    <w:rsid w:val="00B62F81"/>
    <w:rsid w:val="00B62FD2"/>
    <w:rsid w:val="00B62FDB"/>
    <w:rsid w:val="00B62FE8"/>
    <w:rsid w:val="00B63013"/>
    <w:rsid w:val="00B63057"/>
    <w:rsid w:val="00B631D4"/>
    <w:rsid w:val="00B63236"/>
    <w:rsid w:val="00B632EE"/>
    <w:rsid w:val="00B632EF"/>
    <w:rsid w:val="00B6338C"/>
    <w:rsid w:val="00B633E8"/>
    <w:rsid w:val="00B633F4"/>
    <w:rsid w:val="00B6360B"/>
    <w:rsid w:val="00B6365B"/>
    <w:rsid w:val="00B63703"/>
    <w:rsid w:val="00B63712"/>
    <w:rsid w:val="00B6388C"/>
    <w:rsid w:val="00B63992"/>
    <w:rsid w:val="00B63A67"/>
    <w:rsid w:val="00B63A8E"/>
    <w:rsid w:val="00B63AF3"/>
    <w:rsid w:val="00B63B13"/>
    <w:rsid w:val="00B63B2D"/>
    <w:rsid w:val="00B63B5F"/>
    <w:rsid w:val="00B63BA7"/>
    <w:rsid w:val="00B63C8F"/>
    <w:rsid w:val="00B63DC8"/>
    <w:rsid w:val="00B63E12"/>
    <w:rsid w:val="00B63E1D"/>
    <w:rsid w:val="00B63E29"/>
    <w:rsid w:val="00B63E55"/>
    <w:rsid w:val="00B63E8A"/>
    <w:rsid w:val="00B6400F"/>
    <w:rsid w:val="00B640A3"/>
    <w:rsid w:val="00B640C7"/>
    <w:rsid w:val="00B6417F"/>
    <w:rsid w:val="00B641CA"/>
    <w:rsid w:val="00B641DF"/>
    <w:rsid w:val="00B64218"/>
    <w:rsid w:val="00B64266"/>
    <w:rsid w:val="00B64407"/>
    <w:rsid w:val="00B64457"/>
    <w:rsid w:val="00B6449C"/>
    <w:rsid w:val="00B644A1"/>
    <w:rsid w:val="00B644A6"/>
    <w:rsid w:val="00B644DF"/>
    <w:rsid w:val="00B64557"/>
    <w:rsid w:val="00B64606"/>
    <w:rsid w:val="00B64653"/>
    <w:rsid w:val="00B646B8"/>
    <w:rsid w:val="00B647B1"/>
    <w:rsid w:val="00B64876"/>
    <w:rsid w:val="00B64944"/>
    <w:rsid w:val="00B64A2B"/>
    <w:rsid w:val="00B64A83"/>
    <w:rsid w:val="00B64A96"/>
    <w:rsid w:val="00B64C2D"/>
    <w:rsid w:val="00B64C48"/>
    <w:rsid w:val="00B64D67"/>
    <w:rsid w:val="00B64D82"/>
    <w:rsid w:val="00B64E76"/>
    <w:rsid w:val="00B64F37"/>
    <w:rsid w:val="00B64F3B"/>
    <w:rsid w:val="00B64F78"/>
    <w:rsid w:val="00B64F86"/>
    <w:rsid w:val="00B64FAF"/>
    <w:rsid w:val="00B64FBC"/>
    <w:rsid w:val="00B6506D"/>
    <w:rsid w:val="00B65072"/>
    <w:rsid w:val="00B6511C"/>
    <w:rsid w:val="00B6518A"/>
    <w:rsid w:val="00B6529B"/>
    <w:rsid w:val="00B6529C"/>
    <w:rsid w:val="00B652CF"/>
    <w:rsid w:val="00B653B9"/>
    <w:rsid w:val="00B65491"/>
    <w:rsid w:val="00B654E7"/>
    <w:rsid w:val="00B654F7"/>
    <w:rsid w:val="00B65585"/>
    <w:rsid w:val="00B655D7"/>
    <w:rsid w:val="00B6561A"/>
    <w:rsid w:val="00B656C6"/>
    <w:rsid w:val="00B65737"/>
    <w:rsid w:val="00B65743"/>
    <w:rsid w:val="00B65755"/>
    <w:rsid w:val="00B6576A"/>
    <w:rsid w:val="00B65863"/>
    <w:rsid w:val="00B658F9"/>
    <w:rsid w:val="00B65914"/>
    <w:rsid w:val="00B659D1"/>
    <w:rsid w:val="00B659F3"/>
    <w:rsid w:val="00B65A10"/>
    <w:rsid w:val="00B65A31"/>
    <w:rsid w:val="00B65AF6"/>
    <w:rsid w:val="00B65B4F"/>
    <w:rsid w:val="00B65C59"/>
    <w:rsid w:val="00B65CC4"/>
    <w:rsid w:val="00B65D06"/>
    <w:rsid w:val="00B65D83"/>
    <w:rsid w:val="00B65D96"/>
    <w:rsid w:val="00B65DB6"/>
    <w:rsid w:val="00B65DBA"/>
    <w:rsid w:val="00B65DDE"/>
    <w:rsid w:val="00B65E7F"/>
    <w:rsid w:val="00B65EC5"/>
    <w:rsid w:val="00B65F5B"/>
    <w:rsid w:val="00B65F7A"/>
    <w:rsid w:val="00B65FA9"/>
    <w:rsid w:val="00B65FF4"/>
    <w:rsid w:val="00B6600B"/>
    <w:rsid w:val="00B66043"/>
    <w:rsid w:val="00B6607F"/>
    <w:rsid w:val="00B66133"/>
    <w:rsid w:val="00B66164"/>
    <w:rsid w:val="00B66227"/>
    <w:rsid w:val="00B6623E"/>
    <w:rsid w:val="00B6632C"/>
    <w:rsid w:val="00B66375"/>
    <w:rsid w:val="00B663C0"/>
    <w:rsid w:val="00B66431"/>
    <w:rsid w:val="00B66438"/>
    <w:rsid w:val="00B6646F"/>
    <w:rsid w:val="00B6648B"/>
    <w:rsid w:val="00B6650B"/>
    <w:rsid w:val="00B665D0"/>
    <w:rsid w:val="00B665DB"/>
    <w:rsid w:val="00B6666B"/>
    <w:rsid w:val="00B6668A"/>
    <w:rsid w:val="00B666DC"/>
    <w:rsid w:val="00B667DB"/>
    <w:rsid w:val="00B66895"/>
    <w:rsid w:val="00B66908"/>
    <w:rsid w:val="00B66930"/>
    <w:rsid w:val="00B66939"/>
    <w:rsid w:val="00B66946"/>
    <w:rsid w:val="00B66985"/>
    <w:rsid w:val="00B669E6"/>
    <w:rsid w:val="00B669ED"/>
    <w:rsid w:val="00B66B5F"/>
    <w:rsid w:val="00B66B6B"/>
    <w:rsid w:val="00B66C8D"/>
    <w:rsid w:val="00B66C97"/>
    <w:rsid w:val="00B66E70"/>
    <w:rsid w:val="00B66FEB"/>
    <w:rsid w:val="00B6704F"/>
    <w:rsid w:val="00B6705A"/>
    <w:rsid w:val="00B6705E"/>
    <w:rsid w:val="00B6709E"/>
    <w:rsid w:val="00B670D6"/>
    <w:rsid w:val="00B671BA"/>
    <w:rsid w:val="00B67204"/>
    <w:rsid w:val="00B67207"/>
    <w:rsid w:val="00B6727B"/>
    <w:rsid w:val="00B672B3"/>
    <w:rsid w:val="00B67378"/>
    <w:rsid w:val="00B67447"/>
    <w:rsid w:val="00B67457"/>
    <w:rsid w:val="00B6750A"/>
    <w:rsid w:val="00B6751C"/>
    <w:rsid w:val="00B67568"/>
    <w:rsid w:val="00B67606"/>
    <w:rsid w:val="00B67645"/>
    <w:rsid w:val="00B676C2"/>
    <w:rsid w:val="00B677A1"/>
    <w:rsid w:val="00B678E2"/>
    <w:rsid w:val="00B67951"/>
    <w:rsid w:val="00B67A73"/>
    <w:rsid w:val="00B67A85"/>
    <w:rsid w:val="00B67AA9"/>
    <w:rsid w:val="00B67AD6"/>
    <w:rsid w:val="00B67B28"/>
    <w:rsid w:val="00B67BC6"/>
    <w:rsid w:val="00B67C6C"/>
    <w:rsid w:val="00B67C9C"/>
    <w:rsid w:val="00B67CD8"/>
    <w:rsid w:val="00B67CDB"/>
    <w:rsid w:val="00B67D25"/>
    <w:rsid w:val="00B67D30"/>
    <w:rsid w:val="00B67DE3"/>
    <w:rsid w:val="00B67EEC"/>
    <w:rsid w:val="00B67F06"/>
    <w:rsid w:val="00B7000F"/>
    <w:rsid w:val="00B70076"/>
    <w:rsid w:val="00B70086"/>
    <w:rsid w:val="00B70126"/>
    <w:rsid w:val="00B7013B"/>
    <w:rsid w:val="00B701F8"/>
    <w:rsid w:val="00B70226"/>
    <w:rsid w:val="00B70251"/>
    <w:rsid w:val="00B70280"/>
    <w:rsid w:val="00B702CF"/>
    <w:rsid w:val="00B702EB"/>
    <w:rsid w:val="00B7032E"/>
    <w:rsid w:val="00B705E8"/>
    <w:rsid w:val="00B7063A"/>
    <w:rsid w:val="00B7064E"/>
    <w:rsid w:val="00B706ED"/>
    <w:rsid w:val="00B70709"/>
    <w:rsid w:val="00B70742"/>
    <w:rsid w:val="00B70771"/>
    <w:rsid w:val="00B707A4"/>
    <w:rsid w:val="00B7080E"/>
    <w:rsid w:val="00B70893"/>
    <w:rsid w:val="00B70B0D"/>
    <w:rsid w:val="00B70B69"/>
    <w:rsid w:val="00B70C11"/>
    <w:rsid w:val="00B70C2F"/>
    <w:rsid w:val="00B70C4F"/>
    <w:rsid w:val="00B70C51"/>
    <w:rsid w:val="00B70C73"/>
    <w:rsid w:val="00B70E46"/>
    <w:rsid w:val="00B71018"/>
    <w:rsid w:val="00B7102D"/>
    <w:rsid w:val="00B7109D"/>
    <w:rsid w:val="00B710E4"/>
    <w:rsid w:val="00B7110D"/>
    <w:rsid w:val="00B71137"/>
    <w:rsid w:val="00B71218"/>
    <w:rsid w:val="00B71372"/>
    <w:rsid w:val="00B71375"/>
    <w:rsid w:val="00B7137F"/>
    <w:rsid w:val="00B71381"/>
    <w:rsid w:val="00B71475"/>
    <w:rsid w:val="00B714F4"/>
    <w:rsid w:val="00B715E4"/>
    <w:rsid w:val="00B71688"/>
    <w:rsid w:val="00B7170E"/>
    <w:rsid w:val="00B7171D"/>
    <w:rsid w:val="00B7176D"/>
    <w:rsid w:val="00B717A8"/>
    <w:rsid w:val="00B717C0"/>
    <w:rsid w:val="00B71877"/>
    <w:rsid w:val="00B7189B"/>
    <w:rsid w:val="00B718E4"/>
    <w:rsid w:val="00B71933"/>
    <w:rsid w:val="00B71939"/>
    <w:rsid w:val="00B71952"/>
    <w:rsid w:val="00B71A14"/>
    <w:rsid w:val="00B71AB7"/>
    <w:rsid w:val="00B71ABD"/>
    <w:rsid w:val="00B71B1A"/>
    <w:rsid w:val="00B71B74"/>
    <w:rsid w:val="00B71C11"/>
    <w:rsid w:val="00B71C58"/>
    <w:rsid w:val="00B71CA7"/>
    <w:rsid w:val="00B71D2F"/>
    <w:rsid w:val="00B71DC7"/>
    <w:rsid w:val="00B71E05"/>
    <w:rsid w:val="00B71E65"/>
    <w:rsid w:val="00B71E6F"/>
    <w:rsid w:val="00B71EC9"/>
    <w:rsid w:val="00B72020"/>
    <w:rsid w:val="00B72046"/>
    <w:rsid w:val="00B72076"/>
    <w:rsid w:val="00B7213A"/>
    <w:rsid w:val="00B72185"/>
    <w:rsid w:val="00B722E2"/>
    <w:rsid w:val="00B723FF"/>
    <w:rsid w:val="00B72496"/>
    <w:rsid w:val="00B724B4"/>
    <w:rsid w:val="00B7250B"/>
    <w:rsid w:val="00B7252F"/>
    <w:rsid w:val="00B7272B"/>
    <w:rsid w:val="00B72777"/>
    <w:rsid w:val="00B727D3"/>
    <w:rsid w:val="00B72806"/>
    <w:rsid w:val="00B72832"/>
    <w:rsid w:val="00B72859"/>
    <w:rsid w:val="00B72871"/>
    <w:rsid w:val="00B72887"/>
    <w:rsid w:val="00B72903"/>
    <w:rsid w:val="00B72909"/>
    <w:rsid w:val="00B72977"/>
    <w:rsid w:val="00B72985"/>
    <w:rsid w:val="00B729E0"/>
    <w:rsid w:val="00B72A00"/>
    <w:rsid w:val="00B72A1D"/>
    <w:rsid w:val="00B72A63"/>
    <w:rsid w:val="00B72A93"/>
    <w:rsid w:val="00B72E11"/>
    <w:rsid w:val="00B72E80"/>
    <w:rsid w:val="00B72F2C"/>
    <w:rsid w:val="00B73040"/>
    <w:rsid w:val="00B730F2"/>
    <w:rsid w:val="00B7319C"/>
    <w:rsid w:val="00B73218"/>
    <w:rsid w:val="00B73312"/>
    <w:rsid w:val="00B7332A"/>
    <w:rsid w:val="00B733C7"/>
    <w:rsid w:val="00B7353E"/>
    <w:rsid w:val="00B7365E"/>
    <w:rsid w:val="00B73732"/>
    <w:rsid w:val="00B737A5"/>
    <w:rsid w:val="00B737FA"/>
    <w:rsid w:val="00B738D9"/>
    <w:rsid w:val="00B73900"/>
    <w:rsid w:val="00B73986"/>
    <w:rsid w:val="00B739F8"/>
    <w:rsid w:val="00B73A41"/>
    <w:rsid w:val="00B73A69"/>
    <w:rsid w:val="00B73B19"/>
    <w:rsid w:val="00B73B4A"/>
    <w:rsid w:val="00B73BB4"/>
    <w:rsid w:val="00B73BD0"/>
    <w:rsid w:val="00B73BF0"/>
    <w:rsid w:val="00B73C13"/>
    <w:rsid w:val="00B73C19"/>
    <w:rsid w:val="00B73D0E"/>
    <w:rsid w:val="00B73D16"/>
    <w:rsid w:val="00B73D5A"/>
    <w:rsid w:val="00B73D8B"/>
    <w:rsid w:val="00B73DA2"/>
    <w:rsid w:val="00B73E35"/>
    <w:rsid w:val="00B73E99"/>
    <w:rsid w:val="00B73EEB"/>
    <w:rsid w:val="00B73EFB"/>
    <w:rsid w:val="00B73F05"/>
    <w:rsid w:val="00B73F5F"/>
    <w:rsid w:val="00B73F71"/>
    <w:rsid w:val="00B74047"/>
    <w:rsid w:val="00B741A2"/>
    <w:rsid w:val="00B741AB"/>
    <w:rsid w:val="00B741B0"/>
    <w:rsid w:val="00B743D9"/>
    <w:rsid w:val="00B743EE"/>
    <w:rsid w:val="00B743F1"/>
    <w:rsid w:val="00B74418"/>
    <w:rsid w:val="00B74482"/>
    <w:rsid w:val="00B744BA"/>
    <w:rsid w:val="00B745FC"/>
    <w:rsid w:val="00B7466B"/>
    <w:rsid w:val="00B74691"/>
    <w:rsid w:val="00B747F2"/>
    <w:rsid w:val="00B74809"/>
    <w:rsid w:val="00B7482A"/>
    <w:rsid w:val="00B74897"/>
    <w:rsid w:val="00B7493F"/>
    <w:rsid w:val="00B749D5"/>
    <w:rsid w:val="00B749F5"/>
    <w:rsid w:val="00B74AB0"/>
    <w:rsid w:val="00B74BF8"/>
    <w:rsid w:val="00B74C57"/>
    <w:rsid w:val="00B74C68"/>
    <w:rsid w:val="00B74C6B"/>
    <w:rsid w:val="00B74CF8"/>
    <w:rsid w:val="00B74CF9"/>
    <w:rsid w:val="00B74D80"/>
    <w:rsid w:val="00B74D91"/>
    <w:rsid w:val="00B74DE8"/>
    <w:rsid w:val="00B74EB5"/>
    <w:rsid w:val="00B74F1C"/>
    <w:rsid w:val="00B74F76"/>
    <w:rsid w:val="00B74FF1"/>
    <w:rsid w:val="00B75022"/>
    <w:rsid w:val="00B75065"/>
    <w:rsid w:val="00B7506D"/>
    <w:rsid w:val="00B7510F"/>
    <w:rsid w:val="00B75110"/>
    <w:rsid w:val="00B7519A"/>
    <w:rsid w:val="00B75220"/>
    <w:rsid w:val="00B752B5"/>
    <w:rsid w:val="00B752D3"/>
    <w:rsid w:val="00B75306"/>
    <w:rsid w:val="00B753CE"/>
    <w:rsid w:val="00B753DF"/>
    <w:rsid w:val="00B75418"/>
    <w:rsid w:val="00B7542A"/>
    <w:rsid w:val="00B754ED"/>
    <w:rsid w:val="00B75509"/>
    <w:rsid w:val="00B75645"/>
    <w:rsid w:val="00B7564D"/>
    <w:rsid w:val="00B7564E"/>
    <w:rsid w:val="00B756D7"/>
    <w:rsid w:val="00B7570E"/>
    <w:rsid w:val="00B7576B"/>
    <w:rsid w:val="00B7591E"/>
    <w:rsid w:val="00B759AF"/>
    <w:rsid w:val="00B75ADB"/>
    <w:rsid w:val="00B75B15"/>
    <w:rsid w:val="00B75C01"/>
    <w:rsid w:val="00B75D54"/>
    <w:rsid w:val="00B75D83"/>
    <w:rsid w:val="00B75DC6"/>
    <w:rsid w:val="00B75E82"/>
    <w:rsid w:val="00B75E8E"/>
    <w:rsid w:val="00B75F3D"/>
    <w:rsid w:val="00B75F65"/>
    <w:rsid w:val="00B75FE0"/>
    <w:rsid w:val="00B76032"/>
    <w:rsid w:val="00B760B4"/>
    <w:rsid w:val="00B7613F"/>
    <w:rsid w:val="00B761E4"/>
    <w:rsid w:val="00B761EE"/>
    <w:rsid w:val="00B762B1"/>
    <w:rsid w:val="00B762BF"/>
    <w:rsid w:val="00B762DD"/>
    <w:rsid w:val="00B76301"/>
    <w:rsid w:val="00B7633E"/>
    <w:rsid w:val="00B763CA"/>
    <w:rsid w:val="00B76407"/>
    <w:rsid w:val="00B76425"/>
    <w:rsid w:val="00B76460"/>
    <w:rsid w:val="00B764F2"/>
    <w:rsid w:val="00B76530"/>
    <w:rsid w:val="00B7656B"/>
    <w:rsid w:val="00B765B4"/>
    <w:rsid w:val="00B765C2"/>
    <w:rsid w:val="00B766BF"/>
    <w:rsid w:val="00B76720"/>
    <w:rsid w:val="00B76721"/>
    <w:rsid w:val="00B76743"/>
    <w:rsid w:val="00B76766"/>
    <w:rsid w:val="00B76847"/>
    <w:rsid w:val="00B768DC"/>
    <w:rsid w:val="00B76936"/>
    <w:rsid w:val="00B76937"/>
    <w:rsid w:val="00B76961"/>
    <w:rsid w:val="00B76A54"/>
    <w:rsid w:val="00B76B73"/>
    <w:rsid w:val="00B76CB6"/>
    <w:rsid w:val="00B76CDD"/>
    <w:rsid w:val="00B76CE5"/>
    <w:rsid w:val="00B76D3A"/>
    <w:rsid w:val="00B76E1C"/>
    <w:rsid w:val="00B76E45"/>
    <w:rsid w:val="00B76E6B"/>
    <w:rsid w:val="00B76F64"/>
    <w:rsid w:val="00B76F88"/>
    <w:rsid w:val="00B76FAD"/>
    <w:rsid w:val="00B76FAE"/>
    <w:rsid w:val="00B76FD5"/>
    <w:rsid w:val="00B77078"/>
    <w:rsid w:val="00B7718F"/>
    <w:rsid w:val="00B771A4"/>
    <w:rsid w:val="00B7733C"/>
    <w:rsid w:val="00B7755A"/>
    <w:rsid w:val="00B775BE"/>
    <w:rsid w:val="00B7763E"/>
    <w:rsid w:val="00B77669"/>
    <w:rsid w:val="00B77738"/>
    <w:rsid w:val="00B7781A"/>
    <w:rsid w:val="00B779D1"/>
    <w:rsid w:val="00B77C62"/>
    <w:rsid w:val="00B77C67"/>
    <w:rsid w:val="00B77C86"/>
    <w:rsid w:val="00B77D4C"/>
    <w:rsid w:val="00B77D93"/>
    <w:rsid w:val="00B77EDE"/>
    <w:rsid w:val="00B77F86"/>
    <w:rsid w:val="00B77FA1"/>
    <w:rsid w:val="00B80062"/>
    <w:rsid w:val="00B8010B"/>
    <w:rsid w:val="00B8014C"/>
    <w:rsid w:val="00B80197"/>
    <w:rsid w:val="00B80237"/>
    <w:rsid w:val="00B802D8"/>
    <w:rsid w:val="00B8033C"/>
    <w:rsid w:val="00B8033D"/>
    <w:rsid w:val="00B8039E"/>
    <w:rsid w:val="00B803D8"/>
    <w:rsid w:val="00B8043E"/>
    <w:rsid w:val="00B80551"/>
    <w:rsid w:val="00B805D8"/>
    <w:rsid w:val="00B80650"/>
    <w:rsid w:val="00B806B3"/>
    <w:rsid w:val="00B807D8"/>
    <w:rsid w:val="00B80809"/>
    <w:rsid w:val="00B8090C"/>
    <w:rsid w:val="00B80A6F"/>
    <w:rsid w:val="00B80A79"/>
    <w:rsid w:val="00B80AEA"/>
    <w:rsid w:val="00B80B50"/>
    <w:rsid w:val="00B80BEA"/>
    <w:rsid w:val="00B80BEC"/>
    <w:rsid w:val="00B80C08"/>
    <w:rsid w:val="00B80C67"/>
    <w:rsid w:val="00B80E0D"/>
    <w:rsid w:val="00B80F5A"/>
    <w:rsid w:val="00B80FD4"/>
    <w:rsid w:val="00B81166"/>
    <w:rsid w:val="00B81175"/>
    <w:rsid w:val="00B81293"/>
    <w:rsid w:val="00B8145C"/>
    <w:rsid w:val="00B814EA"/>
    <w:rsid w:val="00B816C8"/>
    <w:rsid w:val="00B8171E"/>
    <w:rsid w:val="00B81773"/>
    <w:rsid w:val="00B81898"/>
    <w:rsid w:val="00B818C5"/>
    <w:rsid w:val="00B818F4"/>
    <w:rsid w:val="00B819B4"/>
    <w:rsid w:val="00B819F7"/>
    <w:rsid w:val="00B81A39"/>
    <w:rsid w:val="00B81A8F"/>
    <w:rsid w:val="00B81B44"/>
    <w:rsid w:val="00B81D06"/>
    <w:rsid w:val="00B81DD7"/>
    <w:rsid w:val="00B81E48"/>
    <w:rsid w:val="00B81E66"/>
    <w:rsid w:val="00B81E86"/>
    <w:rsid w:val="00B81E9F"/>
    <w:rsid w:val="00B81F47"/>
    <w:rsid w:val="00B81F4B"/>
    <w:rsid w:val="00B81FA4"/>
    <w:rsid w:val="00B8200E"/>
    <w:rsid w:val="00B8205B"/>
    <w:rsid w:val="00B820C5"/>
    <w:rsid w:val="00B820DA"/>
    <w:rsid w:val="00B8211F"/>
    <w:rsid w:val="00B82120"/>
    <w:rsid w:val="00B82179"/>
    <w:rsid w:val="00B821D3"/>
    <w:rsid w:val="00B822D8"/>
    <w:rsid w:val="00B822F8"/>
    <w:rsid w:val="00B82313"/>
    <w:rsid w:val="00B82339"/>
    <w:rsid w:val="00B82483"/>
    <w:rsid w:val="00B8252D"/>
    <w:rsid w:val="00B827AC"/>
    <w:rsid w:val="00B82863"/>
    <w:rsid w:val="00B82871"/>
    <w:rsid w:val="00B828E7"/>
    <w:rsid w:val="00B829B1"/>
    <w:rsid w:val="00B829CC"/>
    <w:rsid w:val="00B82AD7"/>
    <w:rsid w:val="00B82AFD"/>
    <w:rsid w:val="00B82B44"/>
    <w:rsid w:val="00B82BA0"/>
    <w:rsid w:val="00B82BBF"/>
    <w:rsid w:val="00B82C08"/>
    <w:rsid w:val="00B82CCD"/>
    <w:rsid w:val="00B82CD2"/>
    <w:rsid w:val="00B82DCF"/>
    <w:rsid w:val="00B82E46"/>
    <w:rsid w:val="00B82E56"/>
    <w:rsid w:val="00B82E85"/>
    <w:rsid w:val="00B82F79"/>
    <w:rsid w:val="00B8310E"/>
    <w:rsid w:val="00B83128"/>
    <w:rsid w:val="00B8328F"/>
    <w:rsid w:val="00B833F1"/>
    <w:rsid w:val="00B8346E"/>
    <w:rsid w:val="00B834AB"/>
    <w:rsid w:val="00B834C4"/>
    <w:rsid w:val="00B8357A"/>
    <w:rsid w:val="00B8358C"/>
    <w:rsid w:val="00B83668"/>
    <w:rsid w:val="00B836E4"/>
    <w:rsid w:val="00B83749"/>
    <w:rsid w:val="00B83764"/>
    <w:rsid w:val="00B837D9"/>
    <w:rsid w:val="00B838CA"/>
    <w:rsid w:val="00B83968"/>
    <w:rsid w:val="00B83A90"/>
    <w:rsid w:val="00B83B8C"/>
    <w:rsid w:val="00B83BC1"/>
    <w:rsid w:val="00B83C33"/>
    <w:rsid w:val="00B83C51"/>
    <w:rsid w:val="00B83C63"/>
    <w:rsid w:val="00B83CB2"/>
    <w:rsid w:val="00B83DCF"/>
    <w:rsid w:val="00B83E32"/>
    <w:rsid w:val="00B84003"/>
    <w:rsid w:val="00B840F3"/>
    <w:rsid w:val="00B84100"/>
    <w:rsid w:val="00B841A3"/>
    <w:rsid w:val="00B84520"/>
    <w:rsid w:val="00B84549"/>
    <w:rsid w:val="00B845CF"/>
    <w:rsid w:val="00B845D9"/>
    <w:rsid w:val="00B84617"/>
    <w:rsid w:val="00B8464C"/>
    <w:rsid w:val="00B84678"/>
    <w:rsid w:val="00B847CA"/>
    <w:rsid w:val="00B847D3"/>
    <w:rsid w:val="00B847DE"/>
    <w:rsid w:val="00B84814"/>
    <w:rsid w:val="00B84839"/>
    <w:rsid w:val="00B84984"/>
    <w:rsid w:val="00B849DB"/>
    <w:rsid w:val="00B84A05"/>
    <w:rsid w:val="00B84A3E"/>
    <w:rsid w:val="00B84A84"/>
    <w:rsid w:val="00B84ADF"/>
    <w:rsid w:val="00B84B5C"/>
    <w:rsid w:val="00B84B6B"/>
    <w:rsid w:val="00B84B9F"/>
    <w:rsid w:val="00B84BCF"/>
    <w:rsid w:val="00B84BE3"/>
    <w:rsid w:val="00B84C06"/>
    <w:rsid w:val="00B84C3B"/>
    <w:rsid w:val="00B84C46"/>
    <w:rsid w:val="00B84C54"/>
    <w:rsid w:val="00B84C95"/>
    <w:rsid w:val="00B84CB0"/>
    <w:rsid w:val="00B84CB9"/>
    <w:rsid w:val="00B84DCF"/>
    <w:rsid w:val="00B850AA"/>
    <w:rsid w:val="00B850C2"/>
    <w:rsid w:val="00B850EA"/>
    <w:rsid w:val="00B85138"/>
    <w:rsid w:val="00B8517E"/>
    <w:rsid w:val="00B85303"/>
    <w:rsid w:val="00B85332"/>
    <w:rsid w:val="00B853D0"/>
    <w:rsid w:val="00B85423"/>
    <w:rsid w:val="00B85448"/>
    <w:rsid w:val="00B8544D"/>
    <w:rsid w:val="00B854E1"/>
    <w:rsid w:val="00B85526"/>
    <w:rsid w:val="00B85538"/>
    <w:rsid w:val="00B85573"/>
    <w:rsid w:val="00B85594"/>
    <w:rsid w:val="00B855A0"/>
    <w:rsid w:val="00B855AA"/>
    <w:rsid w:val="00B8563F"/>
    <w:rsid w:val="00B8567A"/>
    <w:rsid w:val="00B85697"/>
    <w:rsid w:val="00B856BF"/>
    <w:rsid w:val="00B8571D"/>
    <w:rsid w:val="00B85810"/>
    <w:rsid w:val="00B85845"/>
    <w:rsid w:val="00B8597B"/>
    <w:rsid w:val="00B85987"/>
    <w:rsid w:val="00B8599C"/>
    <w:rsid w:val="00B8599D"/>
    <w:rsid w:val="00B85A4A"/>
    <w:rsid w:val="00B85AA6"/>
    <w:rsid w:val="00B85B7C"/>
    <w:rsid w:val="00B85B9C"/>
    <w:rsid w:val="00B85C7E"/>
    <w:rsid w:val="00B85CB3"/>
    <w:rsid w:val="00B85CE6"/>
    <w:rsid w:val="00B85D28"/>
    <w:rsid w:val="00B85D73"/>
    <w:rsid w:val="00B85E16"/>
    <w:rsid w:val="00B85E79"/>
    <w:rsid w:val="00B85EE7"/>
    <w:rsid w:val="00B85F4B"/>
    <w:rsid w:val="00B85F95"/>
    <w:rsid w:val="00B85FE1"/>
    <w:rsid w:val="00B860FD"/>
    <w:rsid w:val="00B86195"/>
    <w:rsid w:val="00B862B7"/>
    <w:rsid w:val="00B862E7"/>
    <w:rsid w:val="00B863A8"/>
    <w:rsid w:val="00B863DE"/>
    <w:rsid w:val="00B863E8"/>
    <w:rsid w:val="00B86440"/>
    <w:rsid w:val="00B864DC"/>
    <w:rsid w:val="00B8650B"/>
    <w:rsid w:val="00B86601"/>
    <w:rsid w:val="00B866B9"/>
    <w:rsid w:val="00B866D4"/>
    <w:rsid w:val="00B8678B"/>
    <w:rsid w:val="00B867E4"/>
    <w:rsid w:val="00B86880"/>
    <w:rsid w:val="00B868A3"/>
    <w:rsid w:val="00B868FC"/>
    <w:rsid w:val="00B8695E"/>
    <w:rsid w:val="00B869BC"/>
    <w:rsid w:val="00B86BA5"/>
    <w:rsid w:val="00B86C00"/>
    <w:rsid w:val="00B86C40"/>
    <w:rsid w:val="00B86C54"/>
    <w:rsid w:val="00B86C55"/>
    <w:rsid w:val="00B86C62"/>
    <w:rsid w:val="00B86C8C"/>
    <w:rsid w:val="00B86CAB"/>
    <w:rsid w:val="00B86CEE"/>
    <w:rsid w:val="00B86E23"/>
    <w:rsid w:val="00B86F94"/>
    <w:rsid w:val="00B87002"/>
    <w:rsid w:val="00B87062"/>
    <w:rsid w:val="00B87180"/>
    <w:rsid w:val="00B873AB"/>
    <w:rsid w:val="00B873CF"/>
    <w:rsid w:val="00B87401"/>
    <w:rsid w:val="00B87452"/>
    <w:rsid w:val="00B87455"/>
    <w:rsid w:val="00B874BA"/>
    <w:rsid w:val="00B8769C"/>
    <w:rsid w:val="00B876AA"/>
    <w:rsid w:val="00B876F7"/>
    <w:rsid w:val="00B87765"/>
    <w:rsid w:val="00B877B1"/>
    <w:rsid w:val="00B877C1"/>
    <w:rsid w:val="00B87802"/>
    <w:rsid w:val="00B87893"/>
    <w:rsid w:val="00B878A9"/>
    <w:rsid w:val="00B8794C"/>
    <w:rsid w:val="00B87967"/>
    <w:rsid w:val="00B879ED"/>
    <w:rsid w:val="00B87A71"/>
    <w:rsid w:val="00B87B8C"/>
    <w:rsid w:val="00B87C30"/>
    <w:rsid w:val="00B87C3C"/>
    <w:rsid w:val="00B87C70"/>
    <w:rsid w:val="00B87C90"/>
    <w:rsid w:val="00B87D34"/>
    <w:rsid w:val="00B87E93"/>
    <w:rsid w:val="00B87FC1"/>
    <w:rsid w:val="00B90182"/>
    <w:rsid w:val="00B90303"/>
    <w:rsid w:val="00B90413"/>
    <w:rsid w:val="00B904A6"/>
    <w:rsid w:val="00B904C0"/>
    <w:rsid w:val="00B904C7"/>
    <w:rsid w:val="00B9054C"/>
    <w:rsid w:val="00B90592"/>
    <w:rsid w:val="00B90695"/>
    <w:rsid w:val="00B9079C"/>
    <w:rsid w:val="00B9079D"/>
    <w:rsid w:val="00B907B1"/>
    <w:rsid w:val="00B907D6"/>
    <w:rsid w:val="00B907EC"/>
    <w:rsid w:val="00B90806"/>
    <w:rsid w:val="00B90845"/>
    <w:rsid w:val="00B9089C"/>
    <w:rsid w:val="00B908D0"/>
    <w:rsid w:val="00B90908"/>
    <w:rsid w:val="00B90A96"/>
    <w:rsid w:val="00B90AA3"/>
    <w:rsid w:val="00B90B21"/>
    <w:rsid w:val="00B90B79"/>
    <w:rsid w:val="00B90BC5"/>
    <w:rsid w:val="00B90D36"/>
    <w:rsid w:val="00B90DB7"/>
    <w:rsid w:val="00B90DE6"/>
    <w:rsid w:val="00B90DF9"/>
    <w:rsid w:val="00B90E70"/>
    <w:rsid w:val="00B90F4A"/>
    <w:rsid w:val="00B90F9D"/>
    <w:rsid w:val="00B91062"/>
    <w:rsid w:val="00B910D4"/>
    <w:rsid w:val="00B91187"/>
    <w:rsid w:val="00B911B7"/>
    <w:rsid w:val="00B9127F"/>
    <w:rsid w:val="00B91340"/>
    <w:rsid w:val="00B91343"/>
    <w:rsid w:val="00B913A0"/>
    <w:rsid w:val="00B913BF"/>
    <w:rsid w:val="00B913DB"/>
    <w:rsid w:val="00B91401"/>
    <w:rsid w:val="00B9145D"/>
    <w:rsid w:val="00B9146B"/>
    <w:rsid w:val="00B914BC"/>
    <w:rsid w:val="00B91550"/>
    <w:rsid w:val="00B9157B"/>
    <w:rsid w:val="00B915CD"/>
    <w:rsid w:val="00B91656"/>
    <w:rsid w:val="00B9165A"/>
    <w:rsid w:val="00B916E9"/>
    <w:rsid w:val="00B917B4"/>
    <w:rsid w:val="00B917FC"/>
    <w:rsid w:val="00B91820"/>
    <w:rsid w:val="00B91857"/>
    <w:rsid w:val="00B91867"/>
    <w:rsid w:val="00B91980"/>
    <w:rsid w:val="00B91A7A"/>
    <w:rsid w:val="00B91ABA"/>
    <w:rsid w:val="00B91AD0"/>
    <w:rsid w:val="00B91BBD"/>
    <w:rsid w:val="00B91BC8"/>
    <w:rsid w:val="00B91E81"/>
    <w:rsid w:val="00B91EB7"/>
    <w:rsid w:val="00B91F1F"/>
    <w:rsid w:val="00B91F91"/>
    <w:rsid w:val="00B920D4"/>
    <w:rsid w:val="00B92422"/>
    <w:rsid w:val="00B9246B"/>
    <w:rsid w:val="00B92506"/>
    <w:rsid w:val="00B925AD"/>
    <w:rsid w:val="00B925DF"/>
    <w:rsid w:val="00B925EF"/>
    <w:rsid w:val="00B9260A"/>
    <w:rsid w:val="00B9260B"/>
    <w:rsid w:val="00B92627"/>
    <w:rsid w:val="00B92726"/>
    <w:rsid w:val="00B927BF"/>
    <w:rsid w:val="00B927CA"/>
    <w:rsid w:val="00B927E4"/>
    <w:rsid w:val="00B9280E"/>
    <w:rsid w:val="00B92835"/>
    <w:rsid w:val="00B928A2"/>
    <w:rsid w:val="00B92A93"/>
    <w:rsid w:val="00B92AD4"/>
    <w:rsid w:val="00B92B14"/>
    <w:rsid w:val="00B92B31"/>
    <w:rsid w:val="00B92B4C"/>
    <w:rsid w:val="00B92B71"/>
    <w:rsid w:val="00B92BBF"/>
    <w:rsid w:val="00B92C97"/>
    <w:rsid w:val="00B92EBE"/>
    <w:rsid w:val="00B92F10"/>
    <w:rsid w:val="00B92F86"/>
    <w:rsid w:val="00B93012"/>
    <w:rsid w:val="00B9309F"/>
    <w:rsid w:val="00B93146"/>
    <w:rsid w:val="00B93168"/>
    <w:rsid w:val="00B931C4"/>
    <w:rsid w:val="00B931C8"/>
    <w:rsid w:val="00B931CA"/>
    <w:rsid w:val="00B931D6"/>
    <w:rsid w:val="00B93298"/>
    <w:rsid w:val="00B9338F"/>
    <w:rsid w:val="00B933EA"/>
    <w:rsid w:val="00B9340B"/>
    <w:rsid w:val="00B9347C"/>
    <w:rsid w:val="00B934AD"/>
    <w:rsid w:val="00B9354D"/>
    <w:rsid w:val="00B93596"/>
    <w:rsid w:val="00B93661"/>
    <w:rsid w:val="00B93690"/>
    <w:rsid w:val="00B937C9"/>
    <w:rsid w:val="00B937D3"/>
    <w:rsid w:val="00B937D7"/>
    <w:rsid w:val="00B937D9"/>
    <w:rsid w:val="00B93802"/>
    <w:rsid w:val="00B938A7"/>
    <w:rsid w:val="00B938E8"/>
    <w:rsid w:val="00B9392D"/>
    <w:rsid w:val="00B93949"/>
    <w:rsid w:val="00B93983"/>
    <w:rsid w:val="00B93B46"/>
    <w:rsid w:val="00B93B90"/>
    <w:rsid w:val="00B93BC7"/>
    <w:rsid w:val="00B93BE2"/>
    <w:rsid w:val="00B93C2D"/>
    <w:rsid w:val="00B93C48"/>
    <w:rsid w:val="00B93CAC"/>
    <w:rsid w:val="00B93CB3"/>
    <w:rsid w:val="00B93D87"/>
    <w:rsid w:val="00B93DA9"/>
    <w:rsid w:val="00B93E67"/>
    <w:rsid w:val="00B93F33"/>
    <w:rsid w:val="00B93F40"/>
    <w:rsid w:val="00B93F56"/>
    <w:rsid w:val="00B93FC2"/>
    <w:rsid w:val="00B94150"/>
    <w:rsid w:val="00B9416E"/>
    <w:rsid w:val="00B9428D"/>
    <w:rsid w:val="00B942CB"/>
    <w:rsid w:val="00B9433E"/>
    <w:rsid w:val="00B9435A"/>
    <w:rsid w:val="00B94397"/>
    <w:rsid w:val="00B943B3"/>
    <w:rsid w:val="00B94403"/>
    <w:rsid w:val="00B944B3"/>
    <w:rsid w:val="00B9453F"/>
    <w:rsid w:val="00B945E2"/>
    <w:rsid w:val="00B9460E"/>
    <w:rsid w:val="00B9463A"/>
    <w:rsid w:val="00B9464F"/>
    <w:rsid w:val="00B946BC"/>
    <w:rsid w:val="00B94734"/>
    <w:rsid w:val="00B94767"/>
    <w:rsid w:val="00B947AD"/>
    <w:rsid w:val="00B94846"/>
    <w:rsid w:val="00B948BB"/>
    <w:rsid w:val="00B9493D"/>
    <w:rsid w:val="00B9495F"/>
    <w:rsid w:val="00B94B1A"/>
    <w:rsid w:val="00B94B46"/>
    <w:rsid w:val="00B94BAF"/>
    <w:rsid w:val="00B94BD5"/>
    <w:rsid w:val="00B94CC9"/>
    <w:rsid w:val="00B94D28"/>
    <w:rsid w:val="00B94DBC"/>
    <w:rsid w:val="00B94DC1"/>
    <w:rsid w:val="00B94DF2"/>
    <w:rsid w:val="00B94E46"/>
    <w:rsid w:val="00B95000"/>
    <w:rsid w:val="00B95077"/>
    <w:rsid w:val="00B95187"/>
    <w:rsid w:val="00B951E2"/>
    <w:rsid w:val="00B95214"/>
    <w:rsid w:val="00B95298"/>
    <w:rsid w:val="00B953C0"/>
    <w:rsid w:val="00B95400"/>
    <w:rsid w:val="00B954B3"/>
    <w:rsid w:val="00B954B4"/>
    <w:rsid w:val="00B954CA"/>
    <w:rsid w:val="00B95540"/>
    <w:rsid w:val="00B95548"/>
    <w:rsid w:val="00B95568"/>
    <w:rsid w:val="00B9557A"/>
    <w:rsid w:val="00B955C2"/>
    <w:rsid w:val="00B9563B"/>
    <w:rsid w:val="00B956C4"/>
    <w:rsid w:val="00B9573F"/>
    <w:rsid w:val="00B9577E"/>
    <w:rsid w:val="00B95797"/>
    <w:rsid w:val="00B9584E"/>
    <w:rsid w:val="00B9588C"/>
    <w:rsid w:val="00B958C9"/>
    <w:rsid w:val="00B958E4"/>
    <w:rsid w:val="00B958F7"/>
    <w:rsid w:val="00B95A70"/>
    <w:rsid w:val="00B95AC4"/>
    <w:rsid w:val="00B95BB4"/>
    <w:rsid w:val="00B95C48"/>
    <w:rsid w:val="00B95CFF"/>
    <w:rsid w:val="00B95D4B"/>
    <w:rsid w:val="00B95D5C"/>
    <w:rsid w:val="00B95DD1"/>
    <w:rsid w:val="00B95DDF"/>
    <w:rsid w:val="00B95E12"/>
    <w:rsid w:val="00B95E45"/>
    <w:rsid w:val="00B95EF0"/>
    <w:rsid w:val="00B95EF4"/>
    <w:rsid w:val="00B95EFA"/>
    <w:rsid w:val="00B95F3D"/>
    <w:rsid w:val="00B95F8F"/>
    <w:rsid w:val="00B95FD3"/>
    <w:rsid w:val="00B95FDA"/>
    <w:rsid w:val="00B95FFF"/>
    <w:rsid w:val="00B96057"/>
    <w:rsid w:val="00B960F7"/>
    <w:rsid w:val="00B96170"/>
    <w:rsid w:val="00B9617D"/>
    <w:rsid w:val="00B961C7"/>
    <w:rsid w:val="00B961DE"/>
    <w:rsid w:val="00B961FF"/>
    <w:rsid w:val="00B96246"/>
    <w:rsid w:val="00B96282"/>
    <w:rsid w:val="00B962A6"/>
    <w:rsid w:val="00B962C9"/>
    <w:rsid w:val="00B962F3"/>
    <w:rsid w:val="00B9634F"/>
    <w:rsid w:val="00B964B0"/>
    <w:rsid w:val="00B964C5"/>
    <w:rsid w:val="00B96550"/>
    <w:rsid w:val="00B96569"/>
    <w:rsid w:val="00B96614"/>
    <w:rsid w:val="00B9661E"/>
    <w:rsid w:val="00B96659"/>
    <w:rsid w:val="00B96780"/>
    <w:rsid w:val="00B967C8"/>
    <w:rsid w:val="00B968AE"/>
    <w:rsid w:val="00B968B5"/>
    <w:rsid w:val="00B968E7"/>
    <w:rsid w:val="00B96A30"/>
    <w:rsid w:val="00B96A33"/>
    <w:rsid w:val="00B96AB4"/>
    <w:rsid w:val="00B96AD0"/>
    <w:rsid w:val="00B96AD6"/>
    <w:rsid w:val="00B96C19"/>
    <w:rsid w:val="00B96C96"/>
    <w:rsid w:val="00B96CC9"/>
    <w:rsid w:val="00B96DA2"/>
    <w:rsid w:val="00B96DCA"/>
    <w:rsid w:val="00B96DCE"/>
    <w:rsid w:val="00B96E02"/>
    <w:rsid w:val="00B96E69"/>
    <w:rsid w:val="00B96EA7"/>
    <w:rsid w:val="00B96EEE"/>
    <w:rsid w:val="00B96F62"/>
    <w:rsid w:val="00B96FA2"/>
    <w:rsid w:val="00B97004"/>
    <w:rsid w:val="00B97056"/>
    <w:rsid w:val="00B9713F"/>
    <w:rsid w:val="00B97196"/>
    <w:rsid w:val="00B971B5"/>
    <w:rsid w:val="00B971C0"/>
    <w:rsid w:val="00B971C7"/>
    <w:rsid w:val="00B971FA"/>
    <w:rsid w:val="00B9722F"/>
    <w:rsid w:val="00B97239"/>
    <w:rsid w:val="00B97259"/>
    <w:rsid w:val="00B972E1"/>
    <w:rsid w:val="00B97397"/>
    <w:rsid w:val="00B973AE"/>
    <w:rsid w:val="00B9745E"/>
    <w:rsid w:val="00B974F9"/>
    <w:rsid w:val="00B97502"/>
    <w:rsid w:val="00B975C6"/>
    <w:rsid w:val="00B975D6"/>
    <w:rsid w:val="00B9764C"/>
    <w:rsid w:val="00B976A7"/>
    <w:rsid w:val="00B976BE"/>
    <w:rsid w:val="00B97737"/>
    <w:rsid w:val="00B97744"/>
    <w:rsid w:val="00B97749"/>
    <w:rsid w:val="00B97770"/>
    <w:rsid w:val="00B977A8"/>
    <w:rsid w:val="00B9788D"/>
    <w:rsid w:val="00B978DA"/>
    <w:rsid w:val="00B978FE"/>
    <w:rsid w:val="00B9795E"/>
    <w:rsid w:val="00B979CF"/>
    <w:rsid w:val="00B979DE"/>
    <w:rsid w:val="00B97A22"/>
    <w:rsid w:val="00B97A5E"/>
    <w:rsid w:val="00B97A8F"/>
    <w:rsid w:val="00B97B12"/>
    <w:rsid w:val="00B97B23"/>
    <w:rsid w:val="00B97C12"/>
    <w:rsid w:val="00B97C7B"/>
    <w:rsid w:val="00B97CCB"/>
    <w:rsid w:val="00B97CD9"/>
    <w:rsid w:val="00B97D72"/>
    <w:rsid w:val="00B97D99"/>
    <w:rsid w:val="00B97DBE"/>
    <w:rsid w:val="00B97DE8"/>
    <w:rsid w:val="00B97DF3"/>
    <w:rsid w:val="00B97EB8"/>
    <w:rsid w:val="00B97F75"/>
    <w:rsid w:val="00B97FD8"/>
    <w:rsid w:val="00B993B0"/>
    <w:rsid w:val="00B9C74F"/>
    <w:rsid w:val="00BA0029"/>
    <w:rsid w:val="00BA00D3"/>
    <w:rsid w:val="00BA01BA"/>
    <w:rsid w:val="00BA0276"/>
    <w:rsid w:val="00BA02EF"/>
    <w:rsid w:val="00BA0344"/>
    <w:rsid w:val="00BA03D0"/>
    <w:rsid w:val="00BA0460"/>
    <w:rsid w:val="00BA0594"/>
    <w:rsid w:val="00BA062A"/>
    <w:rsid w:val="00BA067C"/>
    <w:rsid w:val="00BA068D"/>
    <w:rsid w:val="00BA06EE"/>
    <w:rsid w:val="00BA0760"/>
    <w:rsid w:val="00BA094A"/>
    <w:rsid w:val="00BA0950"/>
    <w:rsid w:val="00BA096F"/>
    <w:rsid w:val="00BA09C9"/>
    <w:rsid w:val="00BA0A39"/>
    <w:rsid w:val="00BA0A44"/>
    <w:rsid w:val="00BA0A8C"/>
    <w:rsid w:val="00BA0AA6"/>
    <w:rsid w:val="00BA0AE1"/>
    <w:rsid w:val="00BA0B1F"/>
    <w:rsid w:val="00BA0B5D"/>
    <w:rsid w:val="00BA0B85"/>
    <w:rsid w:val="00BA0BED"/>
    <w:rsid w:val="00BA0C0A"/>
    <w:rsid w:val="00BA0C59"/>
    <w:rsid w:val="00BA0C9D"/>
    <w:rsid w:val="00BA0F53"/>
    <w:rsid w:val="00BA0FDD"/>
    <w:rsid w:val="00BA1028"/>
    <w:rsid w:val="00BA1132"/>
    <w:rsid w:val="00BA1166"/>
    <w:rsid w:val="00BA11A7"/>
    <w:rsid w:val="00BA11B4"/>
    <w:rsid w:val="00BA11C1"/>
    <w:rsid w:val="00BA11C9"/>
    <w:rsid w:val="00BA1294"/>
    <w:rsid w:val="00BA12D2"/>
    <w:rsid w:val="00BA133F"/>
    <w:rsid w:val="00BA13FC"/>
    <w:rsid w:val="00BA1447"/>
    <w:rsid w:val="00BA1479"/>
    <w:rsid w:val="00BA147D"/>
    <w:rsid w:val="00BA160B"/>
    <w:rsid w:val="00BA164D"/>
    <w:rsid w:val="00BA1654"/>
    <w:rsid w:val="00BA1697"/>
    <w:rsid w:val="00BA1724"/>
    <w:rsid w:val="00BA1739"/>
    <w:rsid w:val="00BA177E"/>
    <w:rsid w:val="00BA17BC"/>
    <w:rsid w:val="00BA18A1"/>
    <w:rsid w:val="00BA1971"/>
    <w:rsid w:val="00BA19D6"/>
    <w:rsid w:val="00BA1AF5"/>
    <w:rsid w:val="00BA1B89"/>
    <w:rsid w:val="00BA1B95"/>
    <w:rsid w:val="00BA1BA0"/>
    <w:rsid w:val="00BA1C21"/>
    <w:rsid w:val="00BA1C2F"/>
    <w:rsid w:val="00BA1CB4"/>
    <w:rsid w:val="00BA1CD6"/>
    <w:rsid w:val="00BA1CDB"/>
    <w:rsid w:val="00BA1D1D"/>
    <w:rsid w:val="00BA1D40"/>
    <w:rsid w:val="00BA1D47"/>
    <w:rsid w:val="00BA1D5A"/>
    <w:rsid w:val="00BA1D75"/>
    <w:rsid w:val="00BA1D79"/>
    <w:rsid w:val="00BA1E3A"/>
    <w:rsid w:val="00BA1E5C"/>
    <w:rsid w:val="00BA1E99"/>
    <w:rsid w:val="00BA1F22"/>
    <w:rsid w:val="00BA2141"/>
    <w:rsid w:val="00BA21F0"/>
    <w:rsid w:val="00BA23BE"/>
    <w:rsid w:val="00BA2434"/>
    <w:rsid w:val="00BA251A"/>
    <w:rsid w:val="00BA27E4"/>
    <w:rsid w:val="00BA287A"/>
    <w:rsid w:val="00BA2885"/>
    <w:rsid w:val="00BA288E"/>
    <w:rsid w:val="00BA28C5"/>
    <w:rsid w:val="00BA28DC"/>
    <w:rsid w:val="00BA294D"/>
    <w:rsid w:val="00BA2986"/>
    <w:rsid w:val="00BA29E1"/>
    <w:rsid w:val="00BA2AEC"/>
    <w:rsid w:val="00BA2AFC"/>
    <w:rsid w:val="00BA2B27"/>
    <w:rsid w:val="00BA2B4D"/>
    <w:rsid w:val="00BA2B86"/>
    <w:rsid w:val="00BA2B9F"/>
    <w:rsid w:val="00BA2C14"/>
    <w:rsid w:val="00BA2C51"/>
    <w:rsid w:val="00BA2CD0"/>
    <w:rsid w:val="00BA2DBB"/>
    <w:rsid w:val="00BA2F62"/>
    <w:rsid w:val="00BA3080"/>
    <w:rsid w:val="00BA309F"/>
    <w:rsid w:val="00BA30DE"/>
    <w:rsid w:val="00BA312E"/>
    <w:rsid w:val="00BA325B"/>
    <w:rsid w:val="00BA32F6"/>
    <w:rsid w:val="00BA342D"/>
    <w:rsid w:val="00BA3452"/>
    <w:rsid w:val="00BA34FC"/>
    <w:rsid w:val="00BA35DD"/>
    <w:rsid w:val="00BA3680"/>
    <w:rsid w:val="00BA3745"/>
    <w:rsid w:val="00BA3787"/>
    <w:rsid w:val="00BA37EB"/>
    <w:rsid w:val="00BA38C8"/>
    <w:rsid w:val="00BA38E7"/>
    <w:rsid w:val="00BA3931"/>
    <w:rsid w:val="00BA3944"/>
    <w:rsid w:val="00BA39FA"/>
    <w:rsid w:val="00BA3A6C"/>
    <w:rsid w:val="00BA3AEB"/>
    <w:rsid w:val="00BA3AF8"/>
    <w:rsid w:val="00BA3B09"/>
    <w:rsid w:val="00BA3B5B"/>
    <w:rsid w:val="00BA3B60"/>
    <w:rsid w:val="00BA3C4E"/>
    <w:rsid w:val="00BA3C81"/>
    <w:rsid w:val="00BA3C97"/>
    <w:rsid w:val="00BA3D04"/>
    <w:rsid w:val="00BA3D63"/>
    <w:rsid w:val="00BA3DAE"/>
    <w:rsid w:val="00BA3E66"/>
    <w:rsid w:val="00BA3E7C"/>
    <w:rsid w:val="00BA3E90"/>
    <w:rsid w:val="00BA3F4B"/>
    <w:rsid w:val="00BA4000"/>
    <w:rsid w:val="00BA4109"/>
    <w:rsid w:val="00BA427D"/>
    <w:rsid w:val="00BA428C"/>
    <w:rsid w:val="00BA428D"/>
    <w:rsid w:val="00BA436B"/>
    <w:rsid w:val="00BA43C9"/>
    <w:rsid w:val="00BA4425"/>
    <w:rsid w:val="00BA443E"/>
    <w:rsid w:val="00BA44D0"/>
    <w:rsid w:val="00BA4553"/>
    <w:rsid w:val="00BA46E6"/>
    <w:rsid w:val="00BA473A"/>
    <w:rsid w:val="00BA47E7"/>
    <w:rsid w:val="00BA48E0"/>
    <w:rsid w:val="00BA48E4"/>
    <w:rsid w:val="00BA4931"/>
    <w:rsid w:val="00BA4956"/>
    <w:rsid w:val="00BA4966"/>
    <w:rsid w:val="00BA4A12"/>
    <w:rsid w:val="00BA4AC2"/>
    <w:rsid w:val="00BA4AFC"/>
    <w:rsid w:val="00BA4BA0"/>
    <w:rsid w:val="00BA4BD0"/>
    <w:rsid w:val="00BA4BF7"/>
    <w:rsid w:val="00BA4BFB"/>
    <w:rsid w:val="00BA4CC7"/>
    <w:rsid w:val="00BA4D19"/>
    <w:rsid w:val="00BA4D32"/>
    <w:rsid w:val="00BA4D41"/>
    <w:rsid w:val="00BA4EE1"/>
    <w:rsid w:val="00BA4F65"/>
    <w:rsid w:val="00BA4FB3"/>
    <w:rsid w:val="00BA506A"/>
    <w:rsid w:val="00BA50BA"/>
    <w:rsid w:val="00BA5125"/>
    <w:rsid w:val="00BA5194"/>
    <w:rsid w:val="00BA5224"/>
    <w:rsid w:val="00BA5278"/>
    <w:rsid w:val="00BA52A4"/>
    <w:rsid w:val="00BA52DC"/>
    <w:rsid w:val="00BA5330"/>
    <w:rsid w:val="00BA534C"/>
    <w:rsid w:val="00BA53C7"/>
    <w:rsid w:val="00BA54AC"/>
    <w:rsid w:val="00BA5580"/>
    <w:rsid w:val="00BA55A0"/>
    <w:rsid w:val="00BA55AD"/>
    <w:rsid w:val="00BA55FB"/>
    <w:rsid w:val="00BA5630"/>
    <w:rsid w:val="00BA5665"/>
    <w:rsid w:val="00BA5795"/>
    <w:rsid w:val="00BA5857"/>
    <w:rsid w:val="00BA5894"/>
    <w:rsid w:val="00BA58EC"/>
    <w:rsid w:val="00BA5935"/>
    <w:rsid w:val="00BA5988"/>
    <w:rsid w:val="00BA59B6"/>
    <w:rsid w:val="00BA5A62"/>
    <w:rsid w:val="00BA5A70"/>
    <w:rsid w:val="00BA5A7B"/>
    <w:rsid w:val="00BA5AAD"/>
    <w:rsid w:val="00BA5B21"/>
    <w:rsid w:val="00BA5C12"/>
    <w:rsid w:val="00BA5C69"/>
    <w:rsid w:val="00BA5D80"/>
    <w:rsid w:val="00BA5EC9"/>
    <w:rsid w:val="00BA5F05"/>
    <w:rsid w:val="00BA5FDF"/>
    <w:rsid w:val="00BA6042"/>
    <w:rsid w:val="00BA605F"/>
    <w:rsid w:val="00BA6095"/>
    <w:rsid w:val="00BA60E9"/>
    <w:rsid w:val="00BA6298"/>
    <w:rsid w:val="00BA62E3"/>
    <w:rsid w:val="00BA6314"/>
    <w:rsid w:val="00BA6437"/>
    <w:rsid w:val="00BA6439"/>
    <w:rsid w:val="00BA6444"/>
    <w:rsid w:val="00BA650F"/>
    <w:rsid w:val="00BA6515"/>
    <w:rsid w:val="00BA65DD"/>
    <w:rsid w:val="00BA662D"/>
    <w:rsid w:val="00BA679F"/>
    <w:rsid w:val="00BA67F4"/>
    <w:rsid w:val="00BA686D"/>
    <w:rsid w:val="00BA6885"/>
    <w:rsid w:val="00BA6886"/>
    <w:rsid w:val="00BA68A9"/>
    <w:rsid w:val="00BA6902"/>
    <w:rsid w:val="00BA6A61"/>
    <w:rsid w:val="00BA6AC9"/>
    <w:rsid w:val="00BA6AE6"/>
    <w:rsid w:val="00BA6C09"/>
    <w:rsid w:val="00BA6E43"/>
    <w:rsid w:val="00BA6EA2"/>
    <w:rsid w:val="00BA6F1A"/>
    <w:rsid w:val="00BA6FA7"/>
    <w:rsid w:val="00BA6FBA"/>
    <w:rsid w:val="00BA70E4"/>
    <w:rsid w:val="00BA71B7"/>
    <w:rsid w:val="00BA7202"/>
    <w:rsid w:val="00BA7255"/>
    <w:rsid w:val="00BA72C1"/>
    <w:rsid w:val="00BA73E2"/>
    <w:rsid w:val="00BA7425"/>
    <w:rsid w:val="00BA74F7"/>
    <w:rsid w:val="00BA75D2"/>
    <w:rsid w:val="00BA75DE"/>
    <w:rsid w:val="00BA75ED"/>
    <w:rsid w:val="00BA7636"/>
    <w:rsid w:val="00BA765E"/>
    <w:rsid w:val="00BA76D4"/>
    <w:rsid w:val="00BA76FA"/>
    <w:rsid w:val="00BA7733"/>
    <w:rsid w:val="00BA7735"/>
    <w:rsid w:val="00BA77A9"/>
    <w:rsid w:val="00BA7830"/>
    <w:rsid w:val="00BA785A"/>
    <w:rsid w:val="00BA78A6"/>
    <w:rsid w:val="00BA7A60"/>
    <w:rsid w:val="00BA7A82"/>
    <w:rsid w:val="00BA7AE0"/>
    <w:rsid w:val="00BA7AED"/>
    <w:rsid w:val="00BA7B4C"/>
    <w:rsid w:val="00BA7B4D"/>
    <w:rsid w:val="00BA7BB2"/>
    <w:rsid w:val="00BA7BEE"/>
    <w:rsid w:val="00BA7C12"/>
    <w:rsid w:val="00BA7C89"/>
    <w:rsid w:val="00BA7D09"/>
    <w:rsid w:val="00BA7D47"/>
    <w:rsid w:val="00BA7D79"/>
    <w:rsid w:val="00BA7DC8"/>
    <w:rsid w:val="00BA7DEB"/>
    <w:rsid w:val="00BA7E0C"/>
    <w:rsid w:val="00BA7EC3"/>
    <w:rsid w:val="00BA7F84"/>
    <w:rsid w:val="00BA7FE0"/>
    <w:rsid w:val="00BA7FFA"/>
    <w:rsid w:val="00BB00D3"/>
    <w:rsid w:val="00BB00E2"/>
    <w:rsid w:val="00BB01AD"/>
    <w:rsid w:val="00BB01C5"/>
    <w:rsid w:val="00BB0376"/>
    <w:rsid w:val="00BB0385"/>
    <w:rsid w:val="00BB045A"/>
    <w:rsid w:val="00BB0495"/>
    <w:rsid w:val="00BB04F6"/>
    <w:rsid w:val="00BB0555"/>
    <w:rsid w:val="00BB05C6"/>
    <w:rsid w:val="00BB05D2"/>
    <w:rsid w:val="00BB0654"/>
    <w:rsid w:val="00BB06D7"/>
    <w:rsid w:val="00BB06EA"/>
    <w:rsid w:val="00BB074B"/>
    <w:rsid w:val="00BB08A4"/>
    <w:rsid w:val="00BB090A"/>
    <w:rsid w:val="00BB0943"/>
    <w:rsid w:val="00BB097A"/>
    <w:rsid w:val="00BB09C6"/>
    <w:rsid w:val="00BB09F0"/>
    <w:rsid w:val="00BB0A0A"/>
    <w:rsid w:val="00BB0A5D"/>
    <w:rsid w:val="00BB0A74"/>
    <w:rsid w:val="00BB0A79"/>
    <w:rsid w:val="00BB0A8B"/>
    <w:rsid w:val="00BB0AB5"/>
    <w:rsid w:val="00BB0B5C"/>
    <w:rsid w:val="00BB0BF7"/>
    <w:rsid w:val="00BB0C58"/>
    <w:rsid w:val="00BB0DB1"/>
    <w:rsid w:val="00BB0E05"/>
    <w:rsid w:val="00BB0E90"/>
    <w:rsid w:val="00BB0EAD"/>
    <w:rsid w:val="00BB0EBE"/>
    <w:rsid w:val="00BB1025"/>
    <w:rsid w:val="00BB10C4"/>
    <w:rsid w:val="00BB11DA"/>
    <w:rsid w:val="00BB11F0"/>
    <w:rsid w:val="00BB1498"/>
    <w:rsid w:val="00BB151A"/>
    <w:rsid w:val="00BB154D"/>
    <w:rsid w:val="00BB15A9"/>
    <w:rsid w:val="00BB169A"/>
    <w:rsid w:val="00BB1726"/>
    <w:rsid w:val="00BB17C1"/>
    <w:rsid w:val="00BB17D4"/>
    <w:rsid w:val="00BB1872"/>
    <w:rsid w:val="00BB18A2"/>
    <w:rsid w:val="00BB1904"/>
    <w:rsid w:val="00BB1AB7"/>
    <w:rsid w:val="00BB1B2B"/>
    <w:rsid w:val="00BB1B80"/>
    <w:rsid w:val="00BB1DF0"/>
    <w:rsid w:val="00BB1E1D"/>
    <w:rsid w:val="00BB1E47"/>
    <w:rsid w:val="00BB2016"/>
    <w:rsid w:val="00BB208A"/>
    <w:rsid w:val="00BB210C"/>
    <w:rsid w:val="00BB2121"/>
    <w:rsid w:val="00BB21AF"/>
    <w:rsid w:val="00BB22EA"/>
    <w:rsid w:val="00BB2348"/>
    <w:rsid w:val="00BB2350"/>
    <w:rsid w:val="00BB238D"/>
    <w:rsid w:val="00BB246E"/>
    <w:rsid w:val="00BB2483"/>
    <w:rsid w:val="00BB248E"/>
    <w:rsid w:val="00BB2561"/>
    <w:rsid w:val="00BB259D"/>
    <w:rsid w:val="00BB25B7"/>
    <w:rsid w:val="00BB2658"/>
    <w:rsid w:val="00BB2746"/>
    <w:rsid w:val="00BB2831"/>
    <w:rsid w:val="00BB2986"/>
    <w:rsid w:val="00BB2B96"/>
    <w:rsid w:val="00BB2C23"/>
    <w:rsid w:val="00BB2C61"/>
    <w:rsid w:val="00BB2C85"/>
    <w:rsid w:val="00BB2DAE"/>
    <w:rsid w:val="00BB2E01"/>
    <w:rsid w:val="00BB2E14"/>
    <w:rsid w:val="00BB2E57"/>
    <w:rsid w:val="00BB2E7A"/>
    <w:rsid w:val="00BB300F"/>
    <w:rsid w:val="00BB3018"/>
    <w:rsid w:val="00BB312C"/>
    <w:rsid w:val="00BB317C"/>
    <w:rsid w:val="00BB3181"/>
    <w:rsid w:val="00BB31B3"/>
    <w:rsid w:val="00BB31F7"/>
    <w:rsid w:val="00BB31FE"/>
    <w:rsid w:val="00BB3223"/>
    <w:rsid w:val="00BB328B"/>
    <w:rsid w:val="00BB32A0"/>
    <w:rsid w:val="00BB32BB"/>
    <w:rsid w:val="00BB3313"/>
    <w:rsid w:val="00BB3357"/>
    <w:rsid w:val="00BB33AD"/>
    <w:rsid w:val="00BB33EA"/>
    <w:rsid w:val="00BB3460"/>
    <w:rsid w:val="00BB3572"/>
    <w:rsid w:val="00BB3647"/>
    <w:rsid w:val="00BB3657"/>
    <w:rsid w:val="00BB36C0"/>
    <w:rsid w:val="00BB36FB"/>
    <w:rsid w:val="00BB379B"/>
    <w:rsid w:val="00BB37AC"/>
    <w:rsid w:val="00BB381F"/>
    <w:rsid w:val="00BB3876"/>
    <w:rsid w:val="00BB3885"/>
    <w:rsid w:val="00BB3896"/>
    <w:rsid w:val="00BB3912"/>
    <w:rsid w:val="00BB391B"/>
    <w:rsid w:val="00BB39B1"/>
    <w:rsid w:val="00BB39B7"/>
    <w:rsid w:val="00BB3A1C"/>
    <w:rsid w:val="00BB3A3C"/>
    <w:rsid w:val="00BB3AEC"/>
    <w:rsid w:val="00BB3B6C"/>
    <w:rsid w:val="00BB3BF2"/>
    <w:rsid w:val="00BB3C47"/>
    <w:rsid w:val="00BB3CA7"/>
    <w:rsid w:val="00BB3CE7"/>
    <w:rsid w:val="00BB3D26"/>
    <w:rsid w:val="00BB3E3C"/>
    <w:rsid w:val="00BB3F6F"/>
    <w:rsid w:val="00BB3FDC"/>
    <w:rsid w:val="00BB408D"/>
    <w:rsid w:val="00BB4108"/>
    <w:rsid w:val="00BB4109"/>
    <w:rsid w:val="00BB411E"/>
    <w:rsid w:val="00BB4183"/>
    <w:rsid w:val="00BB4186"/>
    <w:rsid w:val="00BB41DC"/>
    <w:rsid w:val="00BB4229"/>
    <w:rsid w:val="00BB430E"/>
    <w:rsid w:val="00BB4312"/>
    <w:rsid w:val="00BB4339"/>
    <w:rsid w:val="00BB43AD"/>
    <w:rsid w:val="00BB4491"/>
    <w:rsid w:val="00BB44AB"/>
    <w:rsid w:val="00BB44CD"/>
    <w:rsid w:val="00BB4647"/>
    <w:rsid w:val="00BB46AE"/>
    <w:rsid w:val="00BB4718"/>
    <w:rsid w:val="00BB47A7"/>
    <w:rsid w:val="00BB4956"/>
    <w:rsid w:val="00BB4AB7"/>
    <w:rsid w:val="00BB4AEB"/>
    <w:rsid w:val="00BB4B53"/>
    <w:rsid w:val="00BB4B5F"/>
    <w:rsid w:val="00BB4B66"/>
    <w:rsid w:val="00BB4BAC"/>
    <w:rsid w:val="00BB4C50"/>
    <w:rsid w:val="00BB4C69"/>
    <w:rsid w:val="00BB4D4D"/>
    <w:rsid w:val="00BB4D58"/>
    <w:rsid w:val="00BB4E8E"/>
    <w:rsid w:val="00BB4EA0"/>
    <w:rsid w:val="00BB4ED3"/>
    <w:rsid w:val="00BB4F91"/>
    <w:rsid w:val="00BB500C"/>
    <w:rsid w:val="00BB50A5"/>
    <w:rsid w:val="00BB50D1"/>
    <w:rsid w:val="00BB50E7"/>
    <w:rsid w:val="00BB511C"/>
    <w:rsid w:val="00BB51C1"/>
    <w:rsid w:val="00BB51F7"/>
    <w:rsid w:val="00BB5234"/>
    <w:rsid w:val="00BB5282"/>
    <w:rsid w:val="00BB53C5"/>
    <w:rsid w:val="00BB541D"/>
    <w:rsid w:val="00BB5592"/>
    <w:rsid w:val="00BB5609"/>
    <w:rsid w:val="00BB5664"/>
    <w:rsid w:val="00BB5669"/>
    <w:rsid w:val="00BB56BA"/>
    <w:rsid w:val="00BB5717"/>
    <w:rsid w:val="00BB571D"/>
    <w:rsid w:val="00BB5760"/>
    <w:rsid w:val="00BB5773"/>
    <w:rsid w:val="00BB57E1"/>
    <w:rsid w:val="00BB5830"/>
    <w:rsid w:val="00BB584D"/>
    <w:rsid w:val="00BB5A0F"/>
    <w:rsid w:val="00BB5AE2"/>
    <w:rsid w:val="00BB5B40"/>
    <w:rsid w:val="00BB5C88"/>
    <w:rsid w:val="00BB5D38"/>
    <w:rsid w:val="00BB5DE8"/>
    <w:rsid w:val="00BB5DF6"/>
    <w:rsid w:val="00BB5E29"/>
    <w:rsid w:val="00BB5F22"/>
    <w:rsid w:val="00BB5FF7"/>
    <w:rsid w:val="00BB6096"/>
    <w:rsid w:val="00BB60D0"/>
    <w:rsid w:val="00BB621D"/>
    <w:rsid w:val="00BB6238"/>
    <w:rsid w:val="00BB629E"/>
    <w:rsid w:val="00BB6382"/>
    <w:rsid w:val="00BB639A"/>
    <w:rsid w:val="00BB63EE"/>
    <w:rsid w:val="00BB6451"/>
    <w:rsid w:val="00BB645F"/>
    <w:rsid w:val="00BB64E5"/>
    <w:rsid w:val="00BB6509"/>
    <w:rsid w:val="00BB6525"/>
    <w:rsid w:val="00BB678C"/>
    <w:rsid w:val="00BB67EC"/>
    <w:rsid w:val="00BB67F3"/>
    <w:rsid w:val="00BB685B"/>
    <w:rsid w:val="00BB698B"/>
    <w:rsid w:val="00BB6A3B"/>
    <w:rsid w:val="00BB6A4C"/>
    <w:rsid w:val="00BB6B2C"/>
    <w:rsid w:val="00BB6B57"/>
    <w:rsid w:val="00BB6BA0"/>
    <w:rsid w:val="00BB6D9D"/>
    <w:rsid w:val="00BB6DCB"/>
    <w:rsid w:val="00BB6E8A"/>
    <w:rsid w:val="00BB6EEE"/>
    <w:rsid w:val="00BB6F11"/>
    <w:rsid w:val="00BB6FE0"/>
    <w:rsid w:val="00BB7038"/>
    <w:rsid w:val="00BB70D6"/>
    <w:rsid w:val="00BB711D"/>
    <w:rsid w:val="00BB7244"/>
    <w:rsid w:val="00BB7262"/>
    <w:rsid w:val="00BB73C0"/>
    <w:rsid w:val="00BB74C5"/>
    <w:rsid w:val="00BB751C"/>
    <w:rsid w:val="00BB7620"/>
    <w:rsid w:val="00BB767C"/>
    <w:rsid w:val="00BB7680"/>
    <w:rsid w:val="00BB770E"/>
    <w:rsid w:val="00BB776E"/>
    <w:rsid w:val="00BB777D"/>
    <w:rsid w:val="00BB7846"/>
    <w:rsid w:val="00BB7941"/>
    <w:rsid w:val="00BB79BF"/>
    <w:rsid w:val="00BB79D4"/>
    <w:rsid w:val="00BB7A15"/>
    <w:rsid w:val="00BB7B0A"/>
    <w:rsid w:val="00BB7B1A"/>
    <w:rsid w:val="00BB7B9C"/>
    <w:rsid w:val="00BB7C28"/>
    <w:rsid w:val="00BB7C9C"/>
    <w:rsid w:val="00BB7CAA"/>
    <w:rsid w:val="00BB7D11"/>
    <w:rsid w:val="00BB7D2F"/>
    <w:rsid w:val="00BB7E15"/>
    <w:rsid w:val="00BB7F0D"/>
    <w:rsid w:val="00BB7F12"/>
    <w:rsid w:val="00BB7F84"/>
    <w:rsid w:val="00BB7F9B"/>
    <w:rsid w:val="00BC00AE"/>
    <w:rsid w:val="00BC0129"/>
    <w:rsid w:val="00BC0169"/>
    <w:rsid w:val="00BC01EE"/>
    <w:rsid w:val="00BC025D"/>
    <w:rsid w:val="00BC0268"/>
    <w:rsid w:val="00BC02A0"/>
    <w:rsid w:val="00BC02B6"/>
    <w:rsid w:val="00BC02E2"/>
    <w:rsid w:val="00BC02FA"/>
    <w:rsid w:val="00BC0304"/>
    <w:rsid w:val="00BC031B"/>
    <w:rsid w:val="00BC034A"/>
    <w:rsid w:val="00BC037F"/>
    <w:rsid w:val="00BC03C8"/>
    <w:rsid w:val="00BC03CC"/>
    <w:rsid w:val="00BC040C"/>
    <w:rsid w:val="00BC0414"/>
    <w:rsid w:val="00BC0450"/>
    <w:rsid w:val="00BC0508"/>
    <w:rsid w:val="00BC05AA"/>
    <w:rsid w:val="00BC0649"/>
    <w:rsid w:val="00BC068D"/>
    <w:rsid w:val="00BC06B2"/>
    <w:rsid w:val="00BC06B6"/>
    <w:rsid w:val="00BC075C"/>
    <w:rsid w:val="00BC0760"/>
    <w:rsid w:val="00BC0769"/>
    <w:rsid w:val="00BC0C1F"/>
    <w:rsid w:val="00BC0D0A"/>
    <w:rsid w:val="00BC0DAD"/>
    <w:rsid w:val="00BC0EDF"/>
    <w:rsid w:val="00BC0F49"/>
    <w:rsid w:val="00BC0F74"/>
    <w:rsid w:val="00BC0FB0"/>
    <w:rsid w:val="00BC101D"/>
    <w:rsid w:val="00BC1023"/>
    <w:rsid w:val="00BC122A"/>
    <w:rsid w:val="00BC12A6"/>
    <w:rsid w:val="00BC138E"/>
    <w:rsid w:val="00BC13FE"/>
    <w:rsid w:val="00BC14A7"/>
    <w:rsid w:val="00BC1570"/>
    <w:rsid w:val="00BC162E"/>
    <w:rsid w:val="00BC1642"/>
    <w:rsid w:val="00BC1677"/>
    <w:rsid w:val="00BC16FB"/>
    <w:rsid w:val="00BC1763"/>
    <w:rsid w:val="00BC1824"/>
    <w:rsid w:val="00BC183B"/>
    <w:rsid w:val="00BC183F"/>
    <w:rsid w:val="00BC1905"/>
    <w:rsid w:val="00BC190B"/>
    <w:rsid w:val="00BC1923"/>
    <w:rsid w:val="00BC1937"/>
    <w:rsid w:val="00BC1A4C"/>
    <w:rsid w:val="00BC1AD4"/>
    <w:rsid w:val="00BC1B7E"/>
    <w:rsid w:val="00BC1DBF"/>
    <w:rsid w:val="00BC1E09"/>
    <w:rsid w:val="00BC1E3D"/>
    <w:rsid w:val="00BC1E63"/>
    <w:rsid w:val="00BC1F60"/>
    <w:rsid w:val="00BC1F99"/>
    <w:rsid w:val="00BC211C"/>
    <w:rsid w:val="00BC213E"/>
    <w:rsid w:val="00BC216F"/>
    <w:rsid w:val="00BC21C3"/>
    <w:rsid w:val="00BC21EC"/>
    <w:rsid w:val="00BC21FD"/>
    <w:rsid w:val="00BC220B"/>
    <w:rsid w:val="00BC2302"/>
    <w:rsid w:val="00BC2388"/>
    <w:rsid w:val="00BC2403"/>
    <w:rsid w:val="00BC2447"/>
    <w:rsid w:val="00BC248C"/>
    <w:rsid w:val="00BC24C7"/>
    <w:rsid w:val="00BC24CF"/>
    <w:rsid w:val="00BC24E3"/>
    <w:rsid w:val="00BC2529"/>
    <w:rsid w:val="00BC2555"/>
    <w:rsid w:val="00BC259C"/>
    <w:rsid w:val="00BC25AA"/>
    <w:rsid w:val="00BC25C0"/>
    <w:rsid w:val="00BC266A"/>
    <w:rsid w:val="00BC266F"/>
    <w:rsid w:val="00BC2678"/>
    <w:rsid w:val="00BC26E7"/>
    <w:rsid w:val="00BC2720"/>
    <w:rsid w:val="00BC27C5"/>
    <w:rsid w:val="00BC27C7"/>
    <w:rsid w:val="00BC27D6"/>
    <w:rsid w:val="00BC27EF"/>
    <w:rsid w:val="00BC2846"/>
    <w:rsid w:val="00BC28AC"/>
    <w:rsid w:val="00BC290E"/>
    <w:rsid w:val="00BC2960"/>
    <w:rsid w:val="00BC2962"/>
    <w:rsid w:val="00BC296E"/>
    <w:rsid w:val="00BC29FE"/>
    <w:rsid w:val="00BC2A53"/>
    <w:rsid w:val="00BC2AC0"/>
    <w:rsid w:val="00BC2B48"/>
    <w:rsid w:val="00BC2BFD"/>
    <w:rsid w:val="00BC2C0E"/>
    <w:rsid w:val="00BC2C56"/>
    <w:rsid w:val="00BC2D64"/>
    <w:rsid w:val="00BC2D67"/>
    <w:rsid w:val="00BC2DEA"/>
    <w:rsid w:val="00BC2F24"/>
    <w:rsid w:val="00BC2FCA"/>
    <w:rsid w:val="00BC3145"/>
    <w:rsid w:val="00BC3249"/>
    <w:rsid w:val="00BC3262"/>
    <w:rsid w:val="00BC326A"/>
    <w:rsid w:val="00BC326B"/>
    <w:rsid w:val="00BC32E9"/>
    <w:rsid w:val="00BC3313"/>
    <w:rsid w:val="00BC3343"/>
    <w:rsid w:val="00BC3360"/>
    <w:rsid w:val="00BC3466"/>
    <w:rsid w:val="00BC3477"/>
    <w:rsid w:val="00BC350E"/>
    <w:rsid w:val="00BC3536"/>
    <w:rsid w:val="00BC35A1"/>
    <w:rsid w:val="00BC3647"/>
    <w:rsid w:val="00BC374B"/>
    <w:rsid w:val="00BC383E"/>
    <w:rsid w:val="00BC386E"/>
    <w:rsid w:val="00BC38AB"/>
    <w:rsid w:val="00BC395A"/>
    <w:rsid w:val="00BC39D1"/>
    <w:rsid w:val="00BC3A05"/>
    <w:rsid w:val="00BC3ACF"/>
    <w:rsid w:val="00BC3AE9"/>
    <w:rsid w:val="00BC3B1E"/>
    <w:rsid w:val="00BC3C43"/>
    <w:rsid w:val="00BC3C73"/>
    <w:rsid w:val="00BC3D07"/>
    <w:rsid w:val="00BC3D2A"/>
    <w:rsid w:val="00BC3D55"/>
    <w:rsid w:val="00BC3D5E"/>
    <w:rsid w:val="00BC3E3B"/>
    <w:rsid w:val="00BC3E6F"/>
    <w:rsid w:val="00BC3EAB"/>
    <w:rsid w:val="00BC3ED3"/>
    <w:rsid w:val="00BC3EED"/>
    <w:rsid w:val="00BC3F57"/>
    <w:rsid w:val="00BC3FE8"/>
    <w:rsid w:val="00BC4009"/>
    <w:rsid w:val="00BC402C"/>
    <w:rsid w:val="00BC4057"/>
    <w:rsid w:val="00BC4088"/>
    <w:rsid w:val="00BC40D8"/>
    <w:rsid w:val="00BC417B"/>
    <w:rsid w:val="00BC4243"/>
    <w:rsid w:val="00BC42D3"/>
    <w:rsid w:val="00BC4480"/>
    <w:rsid w:val="00BC4518"/>
    <w:rsid w:val="00BC45BF"/>
    <w:rsid w:val="00BC45C8"/>
    <w:rsid w:val="00BC45EB"/>
    <w:rsid w:val="00BC463B"/>
    <w:rsid w:val="00BC4657"/>
    <w:rsid w:val="00BC46A8"/>
    <w:rsid w:val="00BC47BB"/>
    <w:rsid w:val="00BC47CA"/>
    <w:rsid w:val="00BC47CB"/>
    <w:rsid w:val="00BC4832"/>
    <w:rsid w:val="00BC48A3"/>
    <w:rsid w:val="00BC48A5"/>
    <w:rsid w:val="00BC49A2"/>
    <w:rsid w:val="00BC49A8"/>
    <w:rsid w:val="00BC49B5"/>
    <w:rsid w:val="00BC49EE"/>
    <w:rsid w:val="00BC4A24"/>
    <w:rsid w:val="00BC4A39"/>
    <w:rsid w:val="00BC4AB9"/>
    <w:rsid w:val="00BC4BE1"/>
    <w:rsid w:val="00BC4CE4"/>
    <w:rsid w:val="00BC4D0D"/>
    <w:rsid w:val="00BC4D10"/>
    <w:rsid w:val="00BC4D70"/>
    <w:rsid w:val="00BC4DEA"/>
    <w:rsid w:val="00BC4E3D"/>
    <w:rsid w:val="00BC502F"/>
    <w:rsid w:val="00BC51F5"/>
    <w:rsid w:val="00BC5268"/>
    <w:rsid w:val="00BC5274"/>
    <w:rsid w:val="00BC5294"/>
    <w:rsid w:val="00BC5311"/>
    <w:rsid w:val="00BC5384"/>
    <w:rsid w:val="00BC55D7"/>
    <w:rsid w:val="00BC5613"/>
    <w:rsid w:val="00BC566B"/>
    <w:rsid w:val="00BC56BD"/>
    <w:rsid w:val="00BC56C2"/>
    <w:rsid w:val="00BC5772"/>
    <w:rsid w:val="00BC57AF"/>
    <w:rsid w:val="00BC57EA"/>
    <w:rsid w:val="00BC5893"/>
    <w:rsid w:val="00BC5895"/>
    <w:rsid w:val="00BC599B"/>
    <w:rsid w:val="00BC59B9"/>
    <w:rsid w:val="00BC5A7E"/>
    <w:rsid w:val="00BC5ACB"/>
    <w:rsid w:val="00BC5AE1"/>
    <w:rsid w:val="00BC5BA0"/>
    <w:rsid w:val="00BC5BDA"/>
    <w:rsid w:val="00BC5C25"/>
    <w:rsid w:val="00BC5C46"/>
    <w:rsid w:val="00BC5D8C"/>
    <w:rsid w:val="00BC5E0C"/>
    <w:rsid w:val="00BC5E51"/>
    <w:rsid w:val="00BC5E9A"/>
    <w:rsid w:val="00BC5F82"/>
    <w:rsid w:val="00BC5FFD"/>
    <w:rsid w:val="00BC6097"/>
    <w:rsid w:val="00BC6134"/>
    <w:rsid w:val="00BC61A0"/>
    <w:rsid w:val="00BC61DE"/>
    <w:rsid w:val="00BC61EE"/>
    <w:rsid w:val="00BC6218"/>
    <w:rsid w:val="00BC6229"/>
    <w:rsid w:val="00BC6236"/>
    <w:rsid w:val="00BC62B4"/>
    <w:rsid w:val="00BC62EF"/>
    <w:rsid w:val="00BC62FC"/>
    <w:rsid w:val="00BC6337"/>
    <w:rsid w:val="00BC639A"/>
    <w:rsid w:val="00BC63F4"/>
    <w:rsid w:val="00BC6413"/>
    <w:rsid w:val="00BC6414"/>
    <w:rsid w:val="00BC64A0"/>
    <w:rsid w:val="00BC64BF"/>
    <w:rsid w:val="00BC652A"/>
    <w:rsid w:val="00BC654C"/>
    <w:rsid w:val="00BC65CB"/>
    <w:rsid w:val="00BC6620"/>
    <w:rsid w:val="00BC6648"/>
    <w:rsid w:val="00BC668C"/>
    <w:rsid w:val="00BC6699"/>
    <w:rsid w:val="00BC6870"/>
    <w:rsid w:val="00BC68BF"/>
    <w:rsid w:val="00BC69B6"/>
    <w:rsid w:val="00BC69BC"/>
    <w:rsid w:val="00BC6AE6"/>
    <w:rsid w:val="00BC6B3C"/>
    <w:rsid w:val="00BC6B97"/>
    <w:rsid w:val="00BC6C00"/>
    <w:rsid w:val="00BC6C3D"/>
    <w:rsid w:val="00BC6CC3"/>
    <w:rsid w:val="00BC6CE2"/>
    <w:rsid w:val="00BC6CED"/>
    <w:rsid w:val="00BC6D12"/>
    <w:rsid w:val="00BC6E32"/>
    <w:rsid w:val="00BC6E9E"/>
    <w:rsid w:val="00BC6EA4"/>
    <w:rsid w:val="00BC6EBB"/>
    <w:rsid w:val="00BC6ECC"/>
    <w:rsid w:val="00BC7047"/>
    <w:rsid w:val="00BC7137"/>
    <w:rsid w:val="00BC72D1"/>
    <w:rsid w:val="00BC72DC"/>
    <w:rsid w:val="00BC72E9"/>
    <w:rsid w:val="00BC7301"/>
    <w:rsid w:val="00BC7309"/>
    <w:rsid w:val="00BC7368"/>
    <w:rsid w:val="00BC73A5"/>
    <w:rsid w:val="00BC7478"/>
    <w:rsid w:val="00BC7502"/>
    <w:rsid w:val="00BC752B"/>
    <w:rsid w:val="00BC75B1"/>
    <w:rsid w:val="00BC75D0"/>
    <w:rsid w:val="00BC7625"/>
    <w:rsid w:val="00BC767E"/>
    <w:rsid w:val="00BC76A7"/>
    <w:rsid w:val="00BC76B1"/>
    <w:rsid w:val="00BC774C"/>
    <w:rsid w:val="00BC7762"/>
    <w:rsid w:val="00BC7805"/>
    <w:rsid w:val="00BC78BE"/>
    <w:rsid w:val="00BC7930"/>
    <w:rsid w:val="00BC7944"/>
    <w:rsid w:val="00BC799D"/>
    <w:rsid w:val="00BC79D8"/>
    <w:rsid w:val="00BC7AEF"/>
    <w:rsid w:val="00BC7B74"/>
    <w:rsid w:val="00BC7BEA"/>
    <w:rsid w:val="00BC7C97"/>
    <w:rsid w:val="00BC7D81"/>
    <w:rsid w:val="00BC7F45"/>
    <w:rsid w:val="00BC7F60"/>
    <w:rsid w:val="00BC7F6D"/>
    <w:rsid w:val="00BC7FB3"/>
    <w:rsid w:val="00BD0099"/>
    <w:rsid w:val="00BD00C4"/>
    <w:rsid w:val="00BD01BE"/>
    <w:rsid w:val="00BD01DF"/>
    <w:rsid w:val="00BD02CF"/>
    <w:rsid w:val="00BD0421"/>
    <w:rsid w:val="00BD0488"/>
    <w:rsid w:val="00BD04BC"/>
    <w:rsid w:val="00BD04C0"/>
    <w:rsid w:val="00BD0511"/>
    <w:rsid w:val="00BD0561"/>
    <w:rsid w:val="00BD0580"/>
    <w:rsid w:val="00BD05BD"/>
    <w:rsid w:val="00BD05F8"/>
    <w:rsid w:val="00BD061C"/>
    <w:rsid w:val="00BD0628"/>
    <w:rsid w:val="00BD0656"/>
    <w:rsid w:val="00BD0689"/>
    <w:rsid w:val="00BD06A1"/>
    <w:rsid w:val="00BD0705"/>
    <w:rsid w:val="00BD0760"/>
    <w:rsid w:val="00BD08BC"/>
    <w:rsid w:val="00BD090D"/>
    <w:rsid w:val="00BD0B2B"/>
    <w:rsid w:val="00BD0B39"/>
    <w:rsid w:val="00BD0BC1"/>
    <w:rsid w:val="00BD0C6F"/>
    <w:rsid w:val="00BD0C81"/>
    <w:rsid w:val="00BD0DCE"/>
    <w:rsid w:val="00BD0E82"/>
    <w:rsid w:val="00BD0EC1"/>
    <w:rsid w:val="00BD0EE2"/>
    <w:rsid w:val="00BD0F43"/>
    <w:rsid w:val="00BD1049"/>
    <w:rsid w:val="00BD1063"/>
    <w:rsid w:val="00BD10B3"/>
    <w:rsid w:val="00BD10F7"/>
    <w:rsid w:val="00BD114E"/>
    <w:rsid w:val="00BD1183"/>
    <w:rsid w:val="00BD11B0"/>
    <w:rsid w:val="00BD1294"/>
    <w:rsid w:val="00BD133C"/>
    <w:rsid w:val="00BD135A"/>
    <w:rsid w:val="00BD13EB"/>
    <w:rsid w:val="00BD1443"/>
    <w:rsid w:val="00BD1460"/>
    <w:rsid w:val="00BD14C1"/>
    <w:rsid w:val="00BD1559"/>
    <w:rsid w:val="00BD156D"/>
    <w:rsid w:val="00BD1629"/>
    <w:rsid w:val="00BD1739"/>
    <w:rsid w:val="00BD17A0"/>
    <w:rsid w:val="00BD18A5"/>
    <w:rsid w:val="00BD1983"/>
    <w:rsid w:val="00BD19A1"/>
    <w:rsid w:val="00BD19A8"/>
    <w:rsid w:val="00BD1A8A"/>
    <w:rsid w:val="00BD1A92"/>
    <w:rsid w:val="00BD1B3C"/>
    <w:rsid w:val="00BD1B9B"/>
    <w:rsid w:val="00BD1BE0"/>
    <w:rsid w:val="00BD1CAB"/>
    <w:rsid w:val="00BD1D05"/>
    <w:rsid w:val="00BD1DE0"/>
    <w:rsid w:val="00BD1E61"/>
    <w:rsid w:val="00BD1EBD"/>
    <w:rsid w:val="00BD1ED1"/>
    <w:rsid w:val="00BD1EDD"/>
    <w:rsid w:val="00BD1EF3"/>
    <w:rsid w:val="00BD1F31"/>
    <w:rsid w:val="00BD1F37"/>
    <w:rsid w:val="00BD1FCA"/>
    <w:rsid w:val="00BD1FD1"/>
    <w:rsid w:val="00BD200D"/>
    <w:rsid w:val="00BD202C"/>
    <w:rsid w:val="00BD20A4"/>
    <w:rsid w:val="00BD20AF"/>
    <w:rsid w:val="00BD20F0"/>
    <w:rsid w:val="00BD217A"/>
    <w:rsid w:val="00BD2274"/>
    <w:rsid w:val="00BD237E"/>
    <w:rsid w:val="00BD2429"/>
    <w:rsid w:val="00BD25DF"/>
    <w:rsid w:val="00BD2653"/>
    <w:rsid w:val="00BD26A0"/>
    <w:rsid w:val="00BD2780"/>
    <w:rsid w:val="00BD27E7"/>
    <w:rsid w:val="00BD2823"/>
    <w:rsid w:val="00BD286E"/>
    <w:rsid w:val="00BD294B"/>
    <w:rsid w:val="00BD2984"/>
    <w:rsid w:val="00BD29D6"/>
    <w:rsid w:val="00BD2A6F"/>
    <w:rsid w:val="00BD2AA2"/>
    <w:rsid w:val="00BD2B02"/>
    <w:rsid w:val="00BD2B68"/>
    <w:rsid w:val="00BD2BAF"/>
    <w:rsid w:val="00BD2BE9"/>
    <w:rsid w:val="00BD2BFB"/>
    <w:rsid w:val="00BD2CDF"/>
    <w:rsid w:val="00BD2D6B"/>
    <w:rsid w:val="00BD2DAB"/>
    <w:rsid w:val="00BD2DE9"/>
    <w:rsid w:val="00BD2EA9"/>
    <w:rsid w:val="00BD2FB5"/>
    <w:rsid w:val="00BD2FC5"/>
    <w:rsid w:val="00BD30FF"/>
    <w:rsid w:val="00BD311E"/>
    <w:rsid w:val="00BD318E"/>
    <w:rsid w:val="00BD330E"/>
    <w:rsid w:val="00BD3367"/>
    <w:rsid w:val="00BD3496"/>
    <w:rsid w:val="00BD34AC"/>
    <w:rsid w:val="00BD34BB"/>
    <w:rsid w:val="00BD34F9"/>
    <w:rsid w:val="00BD350A"/>
    <w:rsid w:val="00BD356A"/>
    <w:rsid w:val="00BD365F"/>
    <w:rsid w:val="00BD36F9"/>
    <w:rsid w:val="00BD3950"/>
    <w:rsid w:val="00BD39A4"/>
    <w:rsid w:val="00BD39F5"/>
    <w:rsid w:val="00BD3A04"/>
    <w:rsid w:val="00BD3A20"/>
    <w:rsid w:val="00BD3A3D"/>
    <w:rsid w:val="00BD3AD6"/>
    <w:rsid w:val="00BD3B32"/>
    <w:rsid w:val="00BD3B4D"/>
    <w:rsid w:val="00BD3B5B"/>
    <w:rsid w:val="00BD3BB2"/>
    <w:rsid w:val="00BD3C20"/>
    <w:rsid w:val="00BD3C58"/>
    <w:rsid w:val="00BD3D2F"/>
    <w:rsid w:val="00BD3D95"/>
    <w:rsid w:val="00BD3F6C"/>
    <w:rsid w:val="00BD3F7A"/>
    <w:rsid w:val="00BD3FCB"/>
    <w:rsid w:val="00BD3FE8"/>
    <w:rsid w:val="00BD400C"/>
    <w:rsid w:val="00BD4021"/>
    <w:rsid w:val="00BD40C8"/>
    <w:rsid w:val="00BD4146"/>
    <w:rsid w:val="00BD4197"/>
    <w:rsid w:val="00BD42AB"/>
    <w:rsid w:val="00BD42D4"/>
    <w:rsid w:val="00BD4371"/>
    <w:rsid w:val="00BD43DD"/>
    <w:rsid w:val="00BD43EB"/>
    <w:rsid w:val="00BD4451"/>
    <w:rsid w:val="00BD4461"/>
    <w:rsid w:val="00BD449F"/>
    <w:rsid w:val="00BD44F6"/>
    <w:rsid w:val="00BD452C"/>
    <w:rsid w:val="00BD45E9"/>
    <w:rsid w:val="00BD4697"/>
    <w:rsid w:val="00BD482E"/>
    <w:rsid w:val="00BD4831"/>
    <w:rsid w:val="00BD4883"/>
    <w:rsid w:val="00BD4A5B"/>
    <w:rsid w:val="00BD4B0B"/>
    <w:rsid w:val="00BD4C33"/>
    <w:rsid w:val="00BD4CAF"/>
    <w:rsid w:val="00BD4CDF"/>
    <w:rsid w:val="00BD4D6C"/>
    <w:rsid w:val="00BD4E1A"/>
    <w:rsid w:val="00BD4E2E"/>
    <w:rsid w:val="00BD4EBD"/>
    <w:rsid w:val="00BD4F10"/>
    <w:rsid w:val="00BD4FE8"/>
    <w:rsid w:val="00BD5090"/>
    <w:rsid w:val="00BD5176"/>
    <w:rsid w:val="00BD518B"/>
    <w:rsid w:val="00BD51D6"/>
    <w:rsid w:val="00BD51F5"/>
    <w:rsid w:val="00BD53B3"/>
    <w:rsid w:val="00BD547B"/>
    <w:rsid w:val="00BD54BA"/>
    <w:rsid w:val="00BD552A"/>
    <w:rsid w:val="00BD5534"/>
    <w:rsid w:val="00BD55A1"/>
    <w:rsid w:val="00BD5620"/>
    <w:rsid w:val="00BD563C"/>
    <w:rsid w:val="00BD5778"/>
    <w:rsid w:val="00BD57C5"/>
    <w:rsid w:val="00BD5828"/>
    <w:rsid w:val="00BD58EB"/>
    <w:rsid w:val="00BD593B"/>
    <w:rsid w:val="00BD5B4C"/>
    <w:rsid w:val="00BD5C73"/>
    <w:rsid w:val="00BD5C96"/>
    <w:rsid w:val="00BD5C98"/>
    <w:rsid w:val="00BD5C9B"/>
    <w:rsid w:val="00BD5CBF"/>
    <w:rsid w:val="00BD5D2D"/>
    <w:rsid w:val="00BD5D48"/>
    <w:rsid w:val="00BD5E05"/>
    <w:rsid w:val="00BD5EA2"/>
    <w:rsid w:val="00BD5EAF"/>
    <w:rsid w:val="00BD5EF8"/>
    <w:rsid w:val="00BD5F20"/>
    <w:rsid w:val="00BD6075"/>
    <w:rsid w:val="00BD60FD"/>
    <w:rsid w:val="00BD611E"/>
    <w:rsid w:val="00BD617D"/>
    <w:rsid w:val="00BD61A2"/>
    <w:rsid w:val="00BD61C3"/>
    <w:rsid w:val="00BD6297"/>
    <w:rsid w:val="00BD62FA"/>
    <w:rsid w:val="00BD6306"/>
    <w:rsid w:val="00BD630E"/>
    <w:rsid w:val="00BD646F"/>
    <w:rsid w:val="00BD66D6"/>
    <w:rsid w:val="00BD6723"/>
    <w:rsid w:val="00BD672F"/>
    <w:rsid w:val="00BD679E"/>
    <w:rsid w:val="00BD6906"/>
    <w:rsid w:val="00BD6942"/>
    <w:rsid w:val="00BD6943"/>
    <w:rsid w:val="00BD6951"/>
    <w:rsid w:val="00BD69EB"/>
    <w:rsid w:val="00BD6A6E"/>
    <w:rsid w:val="00BD6A89"/>
    <w:rsid w:val="00BD6A90"/>
    <w:rsid w:val="00BD6B28"/>
    <w:rsid w:val="00BD6B2E"/>
    <w:rsid w:val="00BD6C1E"/>
    <w:rsid w:val="00BD6C5C"/>
    <w:rsid w:val="00BD6C71"/>
    <w:rsid w:val="00BD6C8E"/>
    <w:rsid w:val="00BD6CC5"/>
    <w:rsid w:val="00BD6D1D"/>
    <w:rsid w:val="00BD6D3B"/>
    <w:rsid w:val="00BD6D60"/>
    <w:rsid w:val="00BD6D64"/>
    <w:rsid w:val="00BD6EA4"/>
    <w:rsid w:val="00BD6F23"/>
    <w:rsid w:val="00BD6F57"/>
    <w:rsid w:val="00BD6FE3"/>
    <w:rsid w:val="00BD7005"/>
    <w:rsid w:val="00BD7031"/>
    <w:rsid w:val="00BD7079"/>
    <w:rsid w:val="00BD7094"/>
    <w:rsid w:val="00BD709F"/>
    <w:rsid w:val="00BD70E4"/>
    <w:rsid w:val="00BD7107"/>
    <w:rsid w:val="00BD7116"/>
    <w:rsid w:val="00BD713A"/>
    <w:rsid w:val="00BD720A"/>
    <w:rsid w:val="00BD724B"/>
    <w:rsid w:val="00BD72F0"/>
    <w:rsid w:val="00BD7318"/>
    <w:rsid w:val="00BD75AF"/>
    <w:rsid w:val="00BD75EF"/>
    <w:rsid w:val="00BD7601"/>
    <w:rsid w:val="00BD761C"/>
    <w:rsid w:val="00BD76B9"/>
    <w:rsid w:val="00BD7917"/>
    <w:rsid w:val="00BD792F"/>
    <w:rsid w:val="00BD7A37"/>
    <w:rsid w:val="00BD7A42"/>
    <w:rsid w:val="00BD7B08"/>
    <w:rsid w:val="00BD7B95"/>
    <w:rsid w:val="00BD7BD6"/>
    <w:rsid w:val="00BD7C0C"/>
    <w:rsid w:val="00BD7CAA"/>
    <w:rsid w:val="00BD7CAB"/>
    <w:rsid w:val="00BD7E7A"/>
    <w:rsid w:val="00BD7ECB"/>
    <w:rsid w:val="00BD7F1D"/>
    <w:rsid w:val="00BD7FAA"/>
    <w:rsid w:val="00BE002B"/>
    <w:rsid w:val="00BE007B"/>
    <w:rsid w:val="00BE00BD"/>
    <w:rsid w:val="00BE01DC"/>
    <w:rsid w:val="00BE01FE"/>
    <w:rsid w:val="00BE0295"/>
    <w:rsid w:val="00BE02A1"/>
    <w:rsid w:val="00BE0315"/>
    <w:rsid w:val="00BE0363"/>
    <w:rsid w:val="00BE039B"/>
    <w:rsid w:val="00BE03BA"/>
    <w:rsid w:val="00BE03D4"/>
    <w:rsid w:val="00BE0426"/>
    <w:rsid w:val="00BE0470"/>
    <w:rsid w:val="00BE04AE"/>
    <w:rsid w:val="00BE060B"/>
    <w:rsid w:val="00BE0723"/>
    <w:rsid w:val="00BE074A"/>
    <w:rsid w:val="00BE0788"/>
    <w:rsid w:val="00BE089C"/>
    <w:rsid w:val="00BE089F"/>
    <w:rsid w:val="00BE08A0"/>
    <w:rsid w:val="00BE0993"/>
    <w:rsid w:val="00BE09B7"/>
    <w:rsid w:val="00BE09E5"/>
    <w:rsid w:val="00BE0AF7"/>
    <w:rsid w:val="00BE0B8E"/>
    <w:rsid w:val="00BE0BAD"/>
    <w:rsid w:val="00BE0BEC"/>
    <w:rsid w:val="00BE0CA3"/>
    <w:rsid w:val="00BE0CAD"/>
    <w:rsid w:val="00BE0CDC"/>
    <w:rsid w:val="00BE0CF3"/>
    <w:rsid w:val="00BE0D0D"/>
    <w:rsid w:val="00BE0D2D"/>
    <w:rsid w:val="00BE0D3E"/>
    <w:rsid w:val="00BE0DCF"/>
    <w:rsid w:val="00BE0E14"/>
    <w:rsid w:val="00BE0E86"/>
    <w:rsid w:val="00BE0F14"/>
    <w:rsid w:val="00BE0F1C"/>
    <w:rsid w:val="00BE0F27"/>
    <w:rsid w:val="00BE0FA1"/>
    <w:rsid w:val="00BE1088"/>
    <w:rsid w:val="00BE1101"/>
    <w:rsid w:val="00BE115C"/>
    <w:rsid w:val="00BE1232"/>
    <w:rsid w:val="00BE1256"/>
    <w:rsid w:val="00BE139C"/>
    <w:rsid w:val="00BE13E2"/>
    <w:rsid w:val="00BE142B"/>
    <w:rsid w:val="00BE1430"/>
    <w:rsid w:val="00BE143C"/>
    <w:rsid w:val="00BE15E6"/>
    <w:rsid w:val="00BE15E8"/>
    <w:rsid w:val="00BE1603"/>
    <w:rsid w:val="00BE1684"/>
    <w:rsid w:val="00BE1771"/>
    <w:rsid w:val="00BE17B3"/>
    <w:rsid w:val="00BE1822"/>
    <w:rsid w:val="00BE1834"/>
    <w:rsid w:val="00BE1838"/>
    <w:rsid w:val="00BE186B"/>
    <w:rsid w:val="00BE1881"/>
    <w:rsid w:val="00BE198B"/>
    <w:rsid w:val="00BE198E"/>
    <w:rsid w:val="00BE1A05"/>
    <w:rsid w:val="00BE1A96"/>
    <w:rsid w:val="00BE1AB2"/>
    <w:rsid w:val="00BE1B10"/>
    <w:rsid w:val="00BE1D24"/>
    <w:rsid w:val="00BE1D4D"/>
    <w:rsid w:val="00BE1DAC"/>
    <w:rsid w:val="00BE1E08"/>
    <w:rsid w:val="00BE1F25"/>
    <w:rsid w:val="00BE1F97"/>
    <w:rsid w:val="00BE1F9E"/>
    <w:rsid w:val="00BE1FBA"/>
    <w:rsid w:val="00BE20C7"/>
    <w:rsid w:val="00BE2207"/>
    <w:rsid w:val="00BE2261"/>
    <w:rsid w:val="00BE2353"/>
    <w:rsid w:val="00BE23D0"/>
    <w:rsid w:val="00BE23E2"/>
    <w:rsid w:val="00BE24A5"/>
    <w:rsid w:val="00BE24E1"/>
    <w:rsid w:val="00BE25B3"/>
    <w:rsid w:val="00BE2683"/>
    <w:rsid w:val="00BE26B5"/>
    <w:rsid w:val="00BE273E"/>
    <w:rsid w:val="00BE274E"/>
    <w:rsid w:val="00BE2825"/>
    <w:rsid w:val="00BE282E"/>
    <w:rsid w:val="00BE2944"/>
    <w:rsid w:val="00BE295F"/>
    <w:rsid w:val="00BE29AC"/>
    <w:rsid w:val="00BE2A66"/>
    <w:rsid w:val="00BE2B19"/>
    <w:rsid w:val="00BE2B75"/>
    <w:rsid w:val="00BE2C93"/>
    <w:rsid w:val="00BE2CCF"/>
    <w:rsid w:val="00BE2D63"/>
    <w:rsid w:val="00BE2E32"/>
    <w:rsid w:val="00BE2F04"/>
    <w:rsid w:val="00BE2FBC"/>
    <w:rsid w:val="00BE30BA"/>
    <w:rsid w:val="00BE310E"/>
    <w:rsid w:val="00BE311D"/>
    <w:rsid w:val="00BE32B6"/>
    <w:rsid w:val="00BE3301"/>
    <w:rsid w:val="00BE3356"/>
    <w:rsid w:val="00BE3374"/>
    <w:rsid w:val="00BE340D"/>
    <w:rsid w:val="00BE344C"/>
    <w:rsid w:val="00BE3464"/>
    <w:rsid w:val="00BE34D5"/>
    <w:rsid w:val="00BE351E"/>
    <w:rsid w:val="00BE3579"/>
    <w:rsid w:val="00BE35B3"/>
    <w:rsid w:val="00BE360F"/>
    <w:rsid w:val="00BE3692"/>
    <w:rsid w:val="00BE36AF"/>
    <w:rsid w:val="00BE36DE"/>
    <w:rsid w:val="00BE375B"/>
    <w:rsid w:val="00BE37BF"/>
    <w:rsid w:val="00BE38A0"/>
    <w:rsid w:val="00BE38CF"/>
    <w:rsid w:val="00BE3917"/>
    <w:rsid w:val="00BE3AB7"/>
    <w:rsid w:val="00BE3AC8"/>
    <w:rsid w:val="00BE3AF9"/>
    <w:rsid w:val="00BE3B3B"/>
    <w:rsid w:val="00BE3BB1"/>
    <w:rsid w:val="00BE3C8E"/>
    <w:rsid w:val="00BE3D26"/>
    <w:rsid w:val="00BE3D7A"/>
    <w:rsid w:val="00BE3DA5"/>
    <w:rsid w:val="00BE3E02"/>
    <w:rsid w:val="00BE3E35"/>
    <w:rsid w:val="00BE3EF4"/>
    <w:rsid w:val="00BE3EFC"/>
    <w:rsid w:val="00BE3FC7"/>
    <w:rsid w:val="00BE408C"/>
    <w:rsid w:val="00BE40FD"/>
    <w:rsid w:val="00BE417F"/>
    <w:rsid w:val="00BE41B0"/>
    <w:rsid w:val="00BE4201"/>
    <w:rsid w:val="00BE4294"/>
    <w:rsid w:val="00BE42C6"/>
    <w:rsid w:val="00BE4435"/>
    <w:rsid w:val="00BE44E1"/>
    <w:rsid w:val="00BE4507"/>
    <w:rsid w:val="00BE4558"/>
    <w:rsid w:val="00BE4581"/>
    <w:rsid w:val="00BE45FD"/>
    <w:rsid w:val="00BE47C3"/>
    <w:rsid w:val="00BE481B"/>
    <w:rsid w:val="00BE4903"/>
    <w:rsid w:val="00BE4A0D"/>
    <w:rsid w:val="00BE4B0B"/>
    <w:rsid w:val="00BE4B2C"/>
    <w:rsid w:val="00BE4B5D"/>
    <w:rsid w:val="00BE4BEA"/>
    <w:rsid w:val="00BE4C0A"/>
    <w:rsid w:val="00BE4C68"/>
    <w:rsid w:val="00BE4DBA"/>
    <w:rsid w:val="00BE4DE3"/>
    <w:rsid w:val="00BE4E42"/>
    <w:rsid w:val="00BE4E50"/>
    <w:rsid w:val="00BE4EC6"/>
    <w:rsid w:val="00BE4FEF"/>
    <w:rsid w:val="00BE506B"/>
    <w:rsid w:val="00BE5078"/>
    <w:rsid w:val="00BE5099"/>
    <w:rsid w:val="00BE5127"/>
    <w:rsid w:val="00BE518D"/>
    <w:rsid w:val="00BE52E1"/>
    <w:rsid w:val="00BE52FC"/>
    <w:rsid w:val="00BE5339"/>
    <w:rsid w:val="00BE53C4"/>
    <w:rsid w:val="00BE54EE"/>
    <w:rsid w:val="00BE5536"/>
    <w:rsid w:val="00BE55C4"/>
    <w:rsid w:val="00BE55F8"/>
    <w:rsid w:val="00BE5631"/>
    <w:rsid w:val="00BE571A"/>
    <w:rsid w:val="00BE5760"/>
    <w:rsid w:val="00BE579B"/>
    <w:rsid w:val="00BE57C4"/>
    <w:rsid w:val="00BE581C"/>
    <w:rsid w:val="00BE58D4"/>
    <w:rsid w:val="00BE5A8F"/>
    <w:rsid w:val="00BE5AC5"/>
    <w:rsid w:val="00BE5ADB"/>
    <w:rsid w:val="00BE5B34"/>
    <w:rsid w:val="00BE5C08"/>
    <w:rsid w:val="00BE5C77"/>
    <w:rsid w:val="00BE5CBE"/>
    <w:rsid w:val="00BE5CD7"/>
    <w:rsid w:val="00BE5CEB"/>
    <w:rsid w:val="00BE5D49"/>
    <w:rsid w:val="00BE5DBE"/>
    <w:rsid w:val="00BE5F37"/>
    <w:rsid w:val="00BE60FE"/>
    <w:rsid w:val="00BE611E"/>
    <w:rsid w:val="00BE615A"/>
    <w:rsid w:val="00BE616E"/>
    <w:rsid w:val="00BE621B"/>
    <w:rsid w:val="00BE62A8"/>
    <w:rsid w:val="00BE63E5"/>
    <w:rsid w:val="00BE63FF"/>
    <w:rsid w:val="00BE645A"/>
    <w:rsid w:val="00BE64AE"/>
    <w:rsid w:val="00BE6547"/>
    <w:rsid w:val="00BE65E9"/>
    <w:rsid w:val="00BE65EA"/>
    <w:rsid w:val="00BE6643"/>
    <w:rsid w:val="00BE6691"/>
    <w:rsid w:val="00BE6725"/>
    <w:rsid w:val="00BE6891"/>
    <w:rsid w:val="00BE68B1"/>
    <w:rsid w:val="00BE68B4"/>
    <w:rsid w:val="00BE6937"/>
    <w:rsid w:val="00BE69F3"/>
    <w:rsid w:val="00BE69FA"/>
    <w:rsid w:val="00BE6A15"/>
    <w:rsid w:val="00BE6A29"/>
    <w:rsid w:val="00BE6B45"/>
    <w:rsid w:val="00BE6BB1"/>
    <w:rsid w:val="00BE6C1C"/>
    <w:rsid w:val="00BE6C2A"/>
    <w:rsid w:val="00BE6C3D"/>
    <w:rsid w:val="00BE6D38"/>
    <w:rsid w:val="00BE6E77"/>
    <w:rsid w:val="00BE6EA9"/>
    <w:rsid w:val="00BE6EC6"/>
    <w:rsid w:val="00BE6F86"/>
    <w:rsid w:val="00BE7071"/>
    <w:rsid w:val="00BE7137"/>
    <w:rsid w:val="00BE718B"/>
    <w:rsid w:val="00BE71D3"/>
    <w:rsid w:val="00BE71FB"/>
    <w:rsid w:val="00BE7229"/>
    <w:rsid w:val="00BE7232"/>
    <w:rsid w:val="00BE72E6"/>
    <w:rsid w:val="00BE72EA"/>
    <w:rsid w:val="00BE749D"/>
    <w:rsid w:val="00BE754E"/>
    <w:rsid w:val="00BE75B1"/>
    <w:rsid w:val="00BE75B2"/>
    <w:rsid w:val="00BE777E"/>
    <w:rsid w:val="00BE7899"/>
    <w:rsid w:val="00BE7934"/>
    <w:rsid w:val="00BE7954"/>
    <w:rsid w:val="00BE799D"/>
    <w:rsid w:val="00BE7A0E"/>
    <w:rsid w:val="00BE7A7B"/>
    <w:rsid w:val="00BE7AEF"/>
    <w:rsid w:val="00BE7B01"/>
    <w:rsid w:val="00BE7B05"/>
    <w:rsid w:val="00BE7B11"/>
    <w:rsid w:val="00BE7B58"/>
    <w:rsid w:val="00BE7BD8"/>
    <w:rsid w:val="00BE7C46"/>
    <w:rsid w:val="00BE7C8A"/>
    <w:rsid w:val="00BE7CED"/>
    <w:rsid w:val="00BE7D06"/>
    <w:rsid w:val="00BE7E52"/>
    <w:rsid w:val="00BE7E92"/>
    <w:rsid w:val="00BE7ECB"/>
    <w:rsid w:val="00BE7FA4"/>
    <w:rsid w:val="00BE7FB9"/>
    <w:rsid w:val="00BE7FBF"/>
    <w:rsid w:val="00BE7FD1"/>
    <w:rsid w:val="00BEE96E"/>
    <w:rsid w:val="00BF00EA"/>
    <w:rsid w:val="00BF02E6"/>
    <w:rsid w:val="00BF030F"/>
    <w:rsid w:val="00BF044A"/>
    <w:rsid w:val="00BF04EB"/>
    <w:rsid w:val="00BF0517"/>
    <w:rsid w:val="00BF056F"/>
    <w:rsid w:val="00BF057E"/>
    <w:rsid w:val="00BF05D2"/>
    <w:rsid w:val="00BF0695"/>
    <w:rsid w:val="00BF06AC"/>
    <w:rsid w:val="00BF06B5"/>
    <w:rsid w:val="00BF074F"/>
    <w:rsid w:val="00BF0753"/>
    <w:rsid w:val="00BF0760"/>
    <w:rsid w:val="00BF078F"/>
    <w:rsid w:val="00BF081C"/>
    <w:rsid w:val="00BF0953"/>
    <w:rsid w:val="00BF0A7F"/>
    <w:rsid w:val="00BF0B89"/>
    <w:rsid w:val="00BF0D0E"/>
    <w:rsid w:val="00BF0D7C"/>
    <w:rsid w:val="00BF0E88"/>
    <w:rsid w:val="00BF0E97"/>
    <w:rsid w:val="00BF0EB9"/>
    <w:rsid w:val="00BF0EEB"/>
    <w:rsid w:val="00BF0F08"/>
    <w:rsid w:val="00BF0FAB"/>
    <w:rsid w:val="00BF101B"/>
    <w:rsid w:val="00BF10CB"/>
    <w:rsid w:val="00BF1209"/>
    <w:rsid w:val="00BF123A"/>
    <w:rsid w:val="00BF1450"/>
    <w:rsid w:val="00BF1493"/>
    <w:rsid w:val="00BF14AF"/>
    <w:rsid w:val="00BF14F9"/>
    <w:rsid w:val="00BF1581"/>
    <w:rsid w:val="00BF158B"/>
    <w:rsid w:val="00BF15A6"/>
    <w:rsid w:val="00BF15FD"/>
    <w:rsid w:val="00BF16F9"/>
    <w:rsid w:val="00BF1701"/>
    <w:rsid w:val="00BF1780"/>
    <w:rsid w:val="00BF1803"/>
    <w:rsid w:val="00BF1865"/>
    <w:rsid w:val="00BF18BD"/>
    <w:rsid w:val="00BF1928"/>
    <w:rsid w:val="00BF194D"/>
    <w:rsid w:val="00BF195C"/>
    <w:rsid w:val="00BF1981"/>
    <w:rsid w:val="00BF1983"/>
    <w:rsid w:val="00BF19AF"/>
    <w:rsid w:val="00BF1A5B"/>
    <w:rsid w:val="00BF1AA6"/>
    <w:rsid w:val="00BF1AD6"/>
    <w:rsid w:val="00BF1B09"/>
    <w:rsid w:val="00BF1BAF"/>
    <w:rsid w:val="00BF1BD3"/>
    <w:rsid w:val="00BF1BEE"/>
    <w:rsid w:val="00BF1CE1"/>
    <w:rsid w:val="00BF1D55"/>
    <w:rsid w:val="00BF1D5F"/>
    <w:rsid w:val="00BF1E28"/>
    <w:rsid w:val="00BF1E97"/>
    <w:rsid w:val="00BF1F74"/>
    <w:rsid w:val="00BF1FE9"/>
    <w:rsid w:val="00BF21B4"/>
    <w:rsid w:val="00BF221F"/>
    <w:rsid w:val="00BF22F1"/>
    <w:rsid w:val="00BF23DA"/>
    <w:rsid w:val="00BF242B"/>
    <w:rsid w:val="00BF242F"/>
    <w:rsid w:val="00BF2469"/>
    <w:rsid w:val="00BF252F"/>
    <w:rsid w:val="00BF2571"/>
    <w:rsid w:val="00BF257A"/>
    <w:rsid w:val="00BF257C"/>
    <w:rsid w:val="00BF25A6"/>
    <w:rsid w:val="00BF25DE"/>
    <w:rsid w:val="00BF2637"/>
    <w:rsid w:val="00BF2647"/>
    <w:rsid w:val="00BF26CF"/>
    <w:rsid w:val="00BF279E"/>
    <w:rsid w:val="00BF2862"/>
    <w:rsid w:val="00BF28B9"/>
    <w:rsid w:val="00BF28F9"/>
    <w:rsid w:val="00BF2970"/>
    <w:rsid w:val="00BF29EB"/>
    <w:rsid w:val="00BF2A7F"/>
    <w:rsid w:val="00BF2AAD"/>
    <w:rsid w:val="00BF2B19"/>
    <w:rsid w:val="00BF2B36"/>
    <w:rsid w:val="00BF2BED"/>
    <w:rsid w:val="00BF2C32"/>
    <w:rsid w:val="00BF2CAB"/>
    <w:rsid w:val="00BF2D04"/>
    <w:rsid w:val="00BF2D45"/>
    <w:rsid w:val="00BF2D48"/>
    <w:rsid w:val="00BF2D6F"/>
    <w:rsid w:val="00BF2DB6"/>
    <w:rsid w:val="00BF2E66"/>
    <w:rsid w:val="00BF2E7F"/>
    <w:rsid w:val="00BF2E87"/>
    <w:rsid w:val="00BF2EE2"/>
    <w:rsid w:val="00BF2FAB"/>
    <w:rsid w:val="00BF308D"/>
    <w:rsid w:val="00BF31D8"/>
    <w:rsid w:val="00BF3209"/>
    <w:rsid w:val="00BF3508"/>
    <w:rsid w:val="00BF3582"/>
    <w:rsid w:val="00BF358B"/>
    <w:rsid w:val="00BF36A3"/>
    <w:rsid w:val="00BF3701"/>
    <w:rsid w:val="00BF3790"/>
    <w:rsid w:val="00BF3795"/>
    <w:rsid w:val="00BF3879"/>
    <w:rsid w:val="00BF3937"/>
    <w:rsid w:val="00BF3A3D"/>
    <w:rsid w:val="00BF3AA1"/>
    <w:rsid w:val="00BF3AE5"/>
    <w:rsid w:val="00BF3B9F"/>
    <w:rsid w:val="00BF3C40"/>
    <w:rsid w:val="00BF3CCA"/>
    <w:rsid w:val="00BF3DB0"/>
    <w:rsid w:val="00BF3DC6"/>
    <w:rsid w:val="00BF3E3E"/>
    <w:rsid w:val="00BF3E7E"/>
    <w:rsid w:val="00BF3E9C"/>
    <w:rsid w:val="00BF3FD1"/>
    <w:rsid w:val="00BF406A"/>
    <w:rsid w:val="00BF41D3"/>
    <w:rsid w:val="00BF42E9"/>
    <w:rsid w:val="00BF431B"/>
    <w:rsid w:val="00BF4355"/>
    <w:rsid w:val="00BF438D"/>
    <w:rsid w:val="00BF438E"/>
    <w:rsid w:val="00BF4407"/>
    <w:rsid w:val="00BF445B"/>
    <w:rsid w:val="00BF4489"/>
    <w:rsid w:val="00BF4496"/>
    <w:rsid w:val="00BF44DC"/>
    <w:rsid w:val="00BF45C7"/>
    <w:rsid w:val="00BF4625"/>
    <w:rsid w:val="00BF462C"/>
    <w:rsid w:val="00BF4659"/>
    <w:rsid w:val="00BF46AE"/>
    <w:rsid w:val="00BF47BB"/>
    <w:rsid w:val="00BF47C8"/>
    <w:rsid w:val="00BF487E"/>
    <w:rsid w:val="00BF494B"/>
    <w:rsid w:val="00BF49DC"/>
    <w:rsid w:val="00BF4A37"/>
    <w:rsid w:val="00BF4A59"/>
    <w:rsid w:val="00BF4AA5"/>
    <w:rsid w:val="00BF4B14"/>
    <w:rsid w:val="00BF4B55"/>
    <w:rsid w:val="00BF4C72"/>
    <w:rsid w:val="00BF4C80"/>
    <w:rsid w:val="00BF4D13"/>
    <w:rsid w:val="00BF4D30"/>
    <w:rsid w:val="00BF4E4B"/>
    <w:rsid w:val="00BF4FAD"/>
    <w:rsid w:val="00BF4FB6"/>
    <w:rsid w:val="00BF4FCC"/>
    <w:rsid w:val="00BF4FE5"/>
    <w:rsid w:val="00BF4FE6"/>
    <w:rsid w:val="00BF5092"/>
    <w:rsid w:val="00BF50AA"/>
    <w:rsid w:val="00BF510C"/>
    <w:rsid w:val="00BF51C1"/>
    <w:rsid w:val="00BF51E7"/>
    <w:rsid w:val="00BF51F0"/>
    <w:rsid w:val="00BF52BD"/>
    <w:rsid w:val="00BF5339"/>
    <w:rsid w:val="00BF53B4"/>
    <w:rsid w:val="00BF53C1"/>
    <w:rsid w:val="00BF53DB"/>
    <w:rsid w:val="00BF5514"/>
    <w:rsid w:val="00BF5586"/>
    <w:rsid w:val="00BF55B9"/>
    <w:rsid w:val="00BF56CC"/>
    <w:rsid w:val="00BF56F7"/>
    <w:rsid w:val="00BF577E"/>
    <w:rsid w:val="00BF57FB"/>
    <w:rsid w:val="00BF5801"/>
    <w:rsid w:val="00BF584B"/>
    <w:rsid w:val="00BF589E"/>
    <w:rsid w:val="00BF5903"/>
    <w:rsid w:val="00BF5A1C"/>
    <w:rsid w:val="00BF5B5E"/>
    <w:rsid w:val="00BF5B85"/>
    <w:rsid w:val="00BF5B87"/>
    <w:rsid w:val="00BF5C62"/>
    <w:rsid w:val="00BF5CFE"/>
    <w:rsid w:val="00BF5D07"/>
    <w:rsid w:val="00BF5D16"/>
    <w:rsid w:val="00BF5DAB"/>
    <w:rsid w:val="00BF5E65"/>
    <w:rsid w:val="00BF5E79"/>
    <w:rsid w:val="00BF5EBB"/>
    <w:rsid w:val="00BF5ECB"/>
    <w:rsid w:val="00BF5F5A"/>
    <w:rsid w:val="00BF5FE1"/>
    <w:rsid w:val="00BF605E"/>
    <w:rsid w:val="00BF60B6"/>
    <w:rsid w:val="00BF617E"/>
    <w:rsid w:val="00BF6198"/>
    <w:rsid w:val="00BF632D"/>
    <w:rsid w:val="00BF63BE"/>
    <w:rsid w:val="00BF63D0"/>
    <w:rsid w:val="00BF63D2"/>
    <w:rsid w:val="00BF6402"/>
    <w:rsid w:val="00BF6451"/>
    <w:rsid w:val="00BF651F"/>
    <w:rsid w:val="00BF65DE"/>
    <w:rsid w:val="00BF65E6"/>
    <w:rsid w:val="00BF65E7"/>
    <w:rsid w:val="00BF660E"/>
    <w:rsid w:val="00BF6668"/>
    <w:rsid w:val="00BF670C"/>
    <w:rsid w:val="00BF6758"/>
    <w:rsid w:val="00BF6775"/>
    <w:rsid w:val="00BF6812"/>
    <w:rsid w:val="00BF6853"/>
    <w:rsid w:val="00BF68A2"/>
    <w:rsid w:val="00BF6945"/>
    <w:rsid w:val="00BF697E"/>
    <w:rsid w:val="00BF6981"/>
    <w:rsid w:val="00BF69B7"/>
    <w:rsid w:val="00BF69E2"/>
    <w:rsid w:val="00BF6A23"/>
    <w:rsid w:val="00BF6A90"/>
    <w:rsid w:val="00BF6AC5"/>
    <w:rsid w:val="00BF6AEF"/>
    <w:rsid w:val="00BF6B5C"/>
    <w:rsid w:val="00BF6B6E"/>
    <w:rsid w:val="00BF6BB4"/>
    <w:rsid w:val="00BF6BF0"/>
    <w:rsid w:val="00BF6C9A"/>
    <w:rsid w:val="00BF6CF1"/>
    <w:rsid w:val="00BF6D14"/>
    <w:rsid w:val="00BF6DDA"/>
    <w:rsid w:val="00BF6E55"/>
    <w:rsid w:val="00BF6EDE"/>
    <w:rsid w:val="00BF6EE8"/>
    <w:rsid w:val="00BF6F9A"/>
    <w:rsid w:val="00BF7185"/>
    <w:rsid w:val="00BF71AE"/>
    <w:rsid w:val="00BF7240"/>
    <w:rsid w:val="00BF7295"/>
    <w:rsid w:val="00BF7313"/>
    <w:rsid w:val="00BF735C"/>
    <w:rsid w:val="00BF7391"/>
    <w:rsid w:val="00BF7497"/>
    <w:rsid w:val="00BF749B"/>
    <w:rsid w:val="00BF75B3"/>
    <w:rsid w:val="00BF7627"/>
    <w:rsid w:val="00BF76D4"/>
    <w:rsid w:val="00BF7717"/>
    <w:rsid w:val="00BF7732"/>
    <w:rsid w:val="00BF77E4"/>
    <w:rsid w:val="00BF7843"/>
    <w:rsid w:val="00BF784B"/>
    <w:rsid w:val="00BF784C"/>
    <w:rsid w:val="00BF78DF"/>
    <w:rsid w:val="00BF78F7"/>
    <w:rsid w:val="00BF7916"/>
    <w:rsid w:val="00BF799F"/>
    <w:rsid w:val="00BF79DC"/>
    <w:rsid w:val="00BF7A39"/>
    <w:rsid w:val="00BF7AEF"/>
    <w:rsid w:val="00BF7B48"/>
    <w:rsid w:val="00BF7B4D"/>
    <w:rsid w:val="00BF7B66"/>
    <w:rsid w:val="00BF7B9D"/>
    <w:rsid w:val="00BF7C9E"/>
    <w:rsid w:val="00BF7D07"/>
    <w:rsid w:val="00BF7D0D"/>
    <w:rsid w:val="00BF7E51"/>
    <w:rsid w:val="00BF7E6A"/>
    <w:rsid w:val="00BF7EDF"/>
    <w:rsid w:val="00BF7F46"/>
    <w:rsid w:val="00BF7F7C"/>
    <w:rsid w:val="00BF7FAA"/>
    <w:rsid w:val="00BF7FC7"/>
    <w:rsid w:val="00BF7FE7"/>
    <w:rsid w:val="00C00059"/>
    <w:rsid w:val="00C000B5"/>
    <w:rsid w:val="00C000EC"/>
    <w:rsid w:val="00C00130"/>
    <w:rsid w:val="00C00139"/>
    <w:rsid w:val="00C00141"/>
    <w:rsid w:val="00C00197"/>
    <w:rsid w:val="00C0019A"/>
    <w:rsid w:val="00C001C4"/>
    <w:rsid w:val="00C0033F"/>
    <w:rsid w:val="00C00360"/>
    <w:rsid w:val="00C00372"/>
    <w:rsid w:val="00C0041B"/>
    <w:rsid w:val="00C00437"/>
    <w:rsid w:val="00C005A8"/>
    <w:rsid w:val="00C005BB"/>
    <w:rsid w:val="00C005BF"/>
    <w:rsid w:val="00C00627"/>
    <w:rsid w:val="00C0069C"/>
    <w:rsid w:val="00C007A3"/>
    <w:rsid w:val="00C00844"/>
    <w:rsid w:val="00C00928"/>
    <w:rsid w:val="00C00974"/>
    <w:rsid w:val="00C00978"/>
    <w:rsid w:val="00C009EC"/>
    <w:rsid w:val="00C00A42"/>
    <w:rsid w:val="00C00A6F"/>
    <w:rsid w:val="00C00B75"/>
    <w:rsid w:val="00C00C2F"/>
    <w:rsid w:val="00C00C6F"/>
    <w:rsid w:val="00C00D18"/>
    <w:rsid w:val="00C00D74"/>
    <w:rsid w:val="00C00E3C"/>
    <w:rsid w:val="00C00ED4"/>
    <w:rsid w:val="00C00F63"/>
    <w:rsid w:val="00C00FA7"/>
    <w:rsid w:val="00C00FC0"/>
    <w:rsid w:val="00C00FD2"/>
    <w:rsid w:val="00C010BF"/>
    <w:rsid w:val="00C01155"/>
    <w:rsid w:val="00C01247"/>
    <w:rsid w:val="00C012C1"/>
    <w:rsid w:val="00C012C7"/>
    <w:rsid w:val="00C01326"/>
    <w:rsid w:val="00C013A9"/>
    <w:rsid w:val="00C01434"/>
    <w:rsid w:val="00C014E3"/>
    <w:rsid w:val="00C01595"/>
    <w:rsid w:val="00C015B2"/>
    <w:rsid w:val="00C01610"/>
    <w:rsid w:val="00C0163A"/>
    <w:rsid w:val="00C017C3"/>
    <w:rsid w:val="00C01873"/>
    <w:rsid w:val="00C0190A"/>
    <w:rsid w:val="00C0194A"/>
    <w:rsid w:val="00C019A5"/>
    <w:rsid w:val="00C019F8"/>
    <w:rsid w:val="00C01A5A"/>
    <w:rsid w:val="00C01A5D"/>
    <w:rsid w:val="00C01A73"/>
    <w:rsid w:val="00C01B25"/>
    <w:rsid w:val="00C01C10"/>
    <w:rsid w:val="00C01C58"/>
    <w:rsid w:val="00C01D23"/>
    <w:rsid w:val="00C01D33"/>
    <w:rsid w:val="00C01D4A"/>
    <w:rsid w:val="00C01D5D"/>
    <w:rsid w:val="00C01E15"/>
    <w:rsid w:val="00C01EC0"/>
    <w:rsid w:val="00C01F0A"/>
    <w:rsid w:val="00C01F38"/>
    <w:rsid w:val="00C01F9D"/>
    <w:rsid w:val="00C01FFE"/>
    <w:rsid w:val="00C02024"/>
    <w:rsid w:val="00C02045"/>
    <w:rsid w:val="00C020AA"/>
    <w:rsid w:val="00C02161"/>
    <w:rsid w:val="00C02179"/>
    <w:rsid w:val="00C0229D"/>
    <w:rsid w:val="00C02322"/>
    <w:rsid w:val="00C0238B"/>
    <w:rsid w:val="00C02451"/>
    <w:rsid w:val="00C02472"/>
    <w:rsid w:val="00C0247E"/>
    <w:rsid w:val="00C024AF"/>
    <w:rsid w:val="00C024E5"/>
    <w:rsid w:val="00C02602"/>
    <w:rsid w:val="00C02605"/>
    <w:rsid w:val="00C026B3"/>
    <w:rsid w:val="00C026B6"/>
    <w:rsid w:val="00C026DB"/>
    <w:rsid w:val="00C026E9"/>
    <w:rsid w:val="00C027F5"/>
    <w:rsid w:val="00C0281F"/>
    <w:rsid w:val="00C02879"/>
    <w:rsid w:val="00C0288B"/>
    <w:rsid w:val="00C028EF"/>
    <w:rsid w:val="00C028FC"/>
    <w:rsid w:val="00C029BA"/>
    <w:rsid w:val="00C029C0"/>
    <w:rsid w:val="00C02A41"/>
    <w:rsid w:val="00C02B04"/>
    <w:rsid w:val="00C02B1B"/>
    <w:rsid w:val="00C02B31"/>
    <w:rsid w:val="00C02B35"/>
    <w:rsid w:val="00C02B3B"/>
    <w:rsid w:val="00C02B44"/>
    <w:rsid w:val="00C02B51"/>
    <w:rsid w:val="00C02DC8"/>
    <w:rsid w:val="00C02F45"/>
    <w:rsid w:val="00C02F71"/>
    <w:rsid w:val="00C02F75"/>
    <w:rsid w:val="00C02F9D"/>
    <w:rsid w:val="00C0302A"/>
    <w:rsid w:val="00C0308F"/>
    <w:rsid w:val="00C031A7"/>
    <w:rsid w:val="00C031B1"/>
    <w:rsid w:val="00C031CF"/>
    <w:rsid w:val="00C031E6"/>
    <w:rsid w:val="00C03223"/>
    <w:rsid w:val="00C03271"/>
    <w:rsid w:val="00C032C0"/>
    <w:rsid w:val="00C0331B"/>
    <w:rsid w:val="00C033B8"/>
    <w:rsid w:val="00C033EA"/>
    <w:rsid w:val="00C0345E"/>
    <w:rsid w:val="00C03511"/>
    <w:rsid w:val="00C0351A"/>
    <w:rsid w:val="00C0354D"/>
    <w:rsid w:val="00C035BD"/>
    <w:rsid w:val="00C03725"/>
    <w:rsid w:val="00C03761"/>
    <w:rsid w:val="00C03798"/>
    <w:rsid w:val="00C0385B"/>
    <w:rsid w:val="00C03938"/>
    <w:rsid w:val="00C0397A"/>
    <w:rsid w:val="00C03984"/>
    <w:rsid w:val="00C039C9"/>
    <w:rsid w:val="00C039EA"/>
    <w:rsid w:val="00C03A26"/>
    <w:rsid w:val="00C03A7C"/>
    <w:rsid w:val="00C03A97"/>
    <w:rsid w:val="00C03AB6"/>
    <w:rsid w:val="00C03C0B"/>
    <w:rsid w:val="00C03C4D"/>
    <w:rsid w:val="00C03C76"/>
    <w:rsid w:val="00C03CBE"/>
    <w:rsid w:val="00C03CF9"/>
    <w:rsid w:val="00C03DED"/>
    <w:rsid w:val="00C03DF9"/>
    <w:rsid w:val="00C03E5C"/>
    <w:rsid w:val="00C03E64"/>
    <w:rsid w:val="00C03EFE"/>
    <w:rsid w:val="00C03F04"/>
    <w:rsid w:val="00C03F69"/>
    <w:rsid w:val="00C0402E"/>
    <w:rsid w:val="00C0414E"/>
    <w:rsid w:val="00C04154"/>
    <w:rsid w:val="00C0415F"/>
    <w:rsid w:val="00C0417B"/>
    <w:rsid w:val="00C04212"/>
    <w:rsid w:val="00C04290"/>
    <w:rsid w:val="00C04401"/>
    <w:rsid w:val="00C04419"/>
    <w:rsid w:val="00C044BF"/>
    <w:rsid w:val="00C044CC"/>
    <w:rsid w:val="00C0455C"/>
    <w:rsid w:val="00C0459D"/>
    <w:rsid w:val="00C045B4"/>
    <w:rsid w:val="00C04654"/>
    <w:rsid w:val="00C046AD"/>
    <w:rsid w:val="00C0480C"/>
    <w:rsid w:val="00C04831"/>
    <w:rsid w:val="00C048F0"/>
    <w:rsid w:val="00C04953"/>
    <w:rsid w:val="00C049FE"/>
    <w:rsid w:val="00C04B2A"/>
    <w:rsid w:val="00C04BA1"/>
    <w:rsid w:val="00C04C32"/>
    <w:rsid w:val="00C04CE9"/>
    <w:rsid w:val="00C04DB8"/>
    <w:rsid w:val="00C04E85"/>
    <w:rsid w:val="00C04EBB"/>
    <w:rsid w:val="00C04F66"/>
    <w:rsid w:val="00C0506C"/>
    <w:rsid w:val="00C050B7"/>
    <w:rsid w:val="00C05135"/>
    <w:rsid w:val="00C0518E"/>
    <w:rsid w:val="00C0522D"/>
    <w:rsid w:val="00C05345"/>
    <w:rsid w:val="00C053E9"/>
    <w:rsid w:val="00C054FA"/>
    <w:rsid w:val="00C0552A"/>
    <w:rsid w:val="00C0556E"/>
    <w:rsid w:val="00C05584"/>
    <w:rsid w:val="00C0558E"/>
    <w:rsid w:val="00C055A4"/>
    <w:rsid w:val="00C055BE"/>
    <w:rsid w:val="00C055E8"/>
    <w:rsid w:val="00C05684"/>
    <w:rsid w:val="00C056EB"/>
    <w:rsid w:val="00C0570C"/>
    <w:rsid w:val="00C05771"/>
    <w:rsid w:val="00C057CB"/>
    <w:rsid w:val="00C058BE"/>
    <w:rsid w:val="00C058C6"/>
    <w:rsid w:val="00C05929"/>
    <w:rsid w:val="00C05942"/>
    <w:rsid w:val="00C059D4"/>
    <w:rsid w:val="00C059E2"/>
    <w:rsid w:val="00C05A26"/>
    <w:rsid w:val="00C05A6A"/>
    <w:rsid w:val="00C05B3A"/>
    <w:rsid w:val="00C05B61"/>
    <w:rsid w:val="00C05E34"/>
    <w:rsid w:val="00C05EB7"/>
    <w:rsid w:val="00C05ECD"/>
    <w:rsid w:val="00C05F51"/>
    <w:rsid w:val="00C05F69"/>
    <w:rsid w:val="00C05FF1"/>
    <w:rsid w:val="00C061FA"/>
    <w:rsid w:val="00C06216"/>
    <w:rsid w:val="00C06246"/>
    <w:rsid w:val="00C06265"/>
    <w:rsid w:val="00C062C9"/>
    <w:rsid w:val="00C06378"/>
    <w:rsid w:val="00C0643E"/>
    <w:rsid w:val="00C06589"/>
    <w:rsid w:val="00C0673E"/>
    <w:rsid w:val="00C0675C"/>
    <w:rsid w:val="00C06835"/>
    <w:rsid w:val="00C06843"/>
    <w:rsid w:val="00C068B6"/>
    <w:rsid w:val="00C06974"/>
    <w:rsid w:val="00C0699E"/>
    <w:rsid w:val="00C06A12"/>
    <w:rsid w:val="00C06AB0"/>
    <w:rsid w:val="00C06AB6"/>
    <w:rsid w:val="00C06B62"/>
    <w:rsid w:val="00C06B64"/>
    <w:rsid w:val="00C06B92"/>
    <w:rsid w:val="00C06C41"/>
    <w:rsid w:val="00C06C6C"/>
    <w:rsid w:val="00C06D87"/>
    <w:rsid w:val="00C06DA5"/>
    <w:rsid w:val="00C06EAC"/>
    <w:rsid w:val="00C06EF7"/>
    <w:rsid w:val="00C06EFE"/>
    <w:rsid w:val="00C06F7C"/>
    <w:rsid w:val="00C06F9B"/>
    <w:rsid w:val="00C07062"/>
    <w:rsid w:val="00C071C2"/>
    <w:rsid w:val="00C071F2"/>
    <w:rsid w:val="00C07213"/>
    <w:rsid w:val="00C072C8"/>
    <w:rsid w:val="00C0730F"/>
    <w:rsid w:val="00C073F2"/>
    <w:rsid w:val="00C07590"/>
    <w:rsid w:val="00C07605"/>
    <w:rsid w:val="00C077C8"/>
    <w:rsid w:val="00C078AE"/>
    <w:rsid w:val="00C07933"/>
    <w:rsid w:val="00C07A96"/>
    <w:rsid w:val="00C07AE9"/>
    <w:rsid w:val="00C07B08"/>
    <w:rsid w:val="00C07BBB"/>
    <w:rsid w:val="00C07C39"/>
    <w:rsid w:val="00C07CD3"/>
    <w:rsid w:val="00C07D3A"/>
    <w:rsid w:val="00C07DB4"/>
    <w:rsid w:val="00C07E25"/>
    <w:rsid w:val="00C07EE6"/>
    <w:rsid w:val="00C07F01"/>
    <w:rsid w:val="00C07F21"/>
    <w:rsid w:val="00C07F63"/>
    <w:rsid w:val="00C07F68"/>
    <w:rsid w:val="00C07F6E"/>
    <w:rsid w:val="00C0F534"/>
    <w:rsid w:val="00C1003E"/>
    <w:rsid w:val="00C100C0"/>
    <w:rsid w:val="00C100C2"/>
    <w:rsid w:val="00C100F8"/>
    <w:rsid w:val="00C101FF"/>
    <w:rsid w:val="00C1029A"/>
    <w:rsid w:val="00C102E1"/>
    <w:rsid w:val="00C10366"/>
    <w:rsid w:val="00C103EC"/>
    <w:rsid w:val="00C10416"/>
    <w:rsid w:val="00C104BA"/>
    <w:rsid w:val="00C104D1"/>
    <w:rsid w:val="00C104F6"/>
    <w:rsid w:val="00C105D9"/>
    <w:rsid w:val="00C10605"/>
    <w:rsid w:val="00C1062D"/>
    <w:rsid w:val="00C10766"/>
    <w:rsid w:val="00C10773"/>
    <w:rsid w:val="00C107E7"/>
    <w:rsid w:val="00C107FE"/>
    <w:rsid w:val="00C1082A"/>
    <w:rsid w:val="00C1084F"/>
    <w:rsid w:val="00C109AB"/>
    <w:rsid w:val="00C10A1D"/>
    <w:rsid w:val="00C10A65"/>
    <w:rsid w:val="00C10A82"/>
    <w:rsid w:val="00C10AE4"/>
    <w:rsid w:val="00C10AE5"/>
    <w:rsid w:val="00C10B3B"/>
    <w:rsid w:val="00C10B56"/>
    <w:rsid w:val="00C10BD5"/>
    <w:rsid w:val="00C10C54"/>
    <w:rsid w:val="00C10DC6"/>
    <w:rsid w:val="00C10E16"/>
    <w:rsid w:val="00C10E59"/>
    <w:rsid w:val="00C10E7E"/>
    <w:rsid w:val="00C11043"/>
    <w:rsid w:val="00C11073"/>
    <w:rsid w:val="00C1109A"/>
    <w:rsid w:val="00C110F1"/>
    <w:rsid w:val="00C11127"/>
    <w:rsid w:val="00C1124D"/>
    <w:rsid w:val="00C112D0"/>
    <w:rsid w:val="00C1142F"/>
    <w:rsid w:val="00C1150B"/>
    <w:rsid w:val="00C115D1"/>
    <w:rsid w:val="00C11708"/>
    <w:rsid w:val="00C1179E"/>
    <w:rsid w:val="00C118D8"/>
    <w:rsid w:val="00C118EB"/>
    <w:rsid w:val="00C11940"/>
    <w:rsid w:val="00C11A4A"/>
    <w:rsid w:val="00C11A7A"/>
    <w:rsid w:val="00C11B0B"/>
    <w:rsid w:val="00C11B28"/>
    <w:rsid w:val="00C11B66"/>
    <w:rsid w:val="00C11B83"/>
    <w:rsid w:val="00C11B8B"/>
    <w:rsid w:val="00C11BF3"/>
    <w:rsid w:val="00C11C46"/>
    <w:rsid w:val="00C11D1B"/>
    <w:rsid w:val="00C11DCD"/>
    <w:rsid w:val="00C11E44"/>
    <w:rsid w:val="00C11E4D"/>
    <w:rsid w:val="00C11EFA"/>
    <w:rsid w:val="00C11F17"/>
    <w:rsid w:val="00C11F51"/>
    <w:rsid w:val="00C11F7B"/>
    <w:rsid w:val="00C11F7E"/>
    <w:rsid w:val="00C1207B"/>
    <w:rsid w:val="00C120F4"/>
    <w:rsid w:val="00C12101"/>
    <w:rsid w:val="00C1213B"/>
    <w:rsid w:val="00C121C8"/>
    <w:rsid w:val="00C121DE"/>
    <w:rsid w:val="00C121FE"/>
    <w:rsid w:val="00C12283"/>
    <w:rsid w:val="00C12296"/>
    <w:rsid w:val="00C122F5"/>
    <w:rsid w:val="00C123CC"/>
    <w:rsid w:val="00C12442"/>
    <w:rsid w:val="00C12480"/>
    <w:rsid w:val="00C124EE"/>
    <w:rsid w:val="00C124F4"/>
    <w:rsid w:val="00C12553"/>
    <w:rsid w:val="00C1259B"/>
    <w:rsid w:val="00C125A6"/>
    <w:rsid w:val="00C1262D"/>
    <w:rsid w:val="00C12633"/>
    <w:rsid w:val="00C12653"/>
    <w:rsid w:val="00C1274D"/>
    <w:rsid w:val="00C1286E"/>
    <w:rsid w:val="00C128CE"/>
    <w:rsid w:val="00C12AFE"/>
    <w:rsid w:val="00C12BA5"/>
    <w:rsid w:val="00C12C1F"/>
    <w:rsid w:val="00C12CDD"/>
    <w:rsid w:val="00C12CE9"/>
    <w:rsid w:val="00C12D09"/>
    <w:rsid w:val="00C12D3C"/>
    <w:rsid w:val="00C12D3F"/>
    <w:rsid w:val="00C12D6A"/>
    <w:rsid w:val="00C12DE4"/>
    <w:rsid w:val="00C12E37"/>
    <w:rsid w:val="00C12E3B"/>
    <w:rsid w:val="00C12E41"/>
    <w:rsid w:val="00C12EB8"/>
    <w:rsid w:val="00C12EB9"/>
    <w:rsid w:val="00C12ED1"/>
    <w:rsid w:val="00C12EF5"/>
    <w:rsid w:val="00C12F43"/>
    <w:rsid w:val="00C12F56"/>
    <w:rsid w:val="00C12F73"/>
    <w:rsid w:val="00C12FAF"/>
    <w:rsid w:val="00C12FBF"/>
    <w:rsid w:val="00C13132"/>
    <w:rsid w:val="00C131BA"/>
    <w:rsid w:val="00C131ED"/>
    <w:rsid w:val="00C13311"/>
    <w:rsid w:val="00C13376"/>
    <w:rsid w:val="00C13384"/>
    <w:rsid w:val="00C133AB"/>
    <w:rsid w:val="00C133CF"/>
    <w:rsid w:val="00C133EA"/>
    <w:rsid w:val="00C1363C"/>
    <w:rsid w:val="00C13690"/>
    <w:rsid w:val="00C13708"/>
    <w:rsid w:val="00C13794"/>
    <w:rsid w:val="00C137EF"/>
    <w:rsid w:val="00C138C9"/>
    <w:rsid w:val="00C138CD"/>
    <w:rsid w:val="00C13913"/>
    <w:rsid w:val="00C139F2"/>
    <w:rsid w:val="00C139F5"/>
    <w:rsid w:val="00C13A35"/>
    <w:rsid w:val="00C13CD2"/>
    <w:rsid w:val="00C13DED"/>
    <w:rsid w:val="00C13E4F"/>
    <w:rsid w:val="00C13EAC"/>
    <w:rsid w:val="00C13F09"/>
    <w:rsid w:val="00C13F81"/>
    <w:rsid w:val="00C14011"/>
    <w:rsid w:val="00C1415F"/>
    <w:rsid w:val="00C141EA"/>
    <w:rsid w:val="00C14200"/>
    <w:rsid w:val="00C14392"/>
    <w:rsid w:val="00C143B6"/>
    <w:rsid w:val="00C143C9"/>
    <w:rsid w:val="00C14522"/>
    <w:rsid w:val="00C1452C"/>
    <w:rsid w:val="00C14583"/>
    <w:rsid w:val="00C1458E"/>
    <w:rsid w:val="00C14686"/>
    <w:rsid w:val="00C146C1"/>
    <w:rsid w:val="00C146D2"/>
    <w:rsid w:val="00C146E9"/>
    <w:rsid w:val="00C1479C"/>
    <w:rsid w:val="00C1479F"/>
    <w:rsid w:val="00C148AE"/>
    <w:rsid w:val="00C14939"/>
    <w:rsid w:val="00C149EE"/>
    <w:rsid w:val="00C14A81"/>
    <w:rsid w:val="00C14B26"/>
    <w:rsid w:val="00C14B81"/>
    <w:rsid w:val="00C14C26"/>
    <w:rsid w:val="00C14C64"/>
    <w:rsid w:val="00C14C67"/>
    <w:rsid w:val="00C14C78"/>
    <w:rsid w:val="00C14CB6"/>
    <w:rsid w:val="00C14CEE"/>
    <w:rsid w:val="00C14D1E"/>
    <w:rsid w:val="00C14D4D"/>
    <w:rsid w:val="00C14D7A"/>
    <w:rsid w:val="00C14DF9"/>
    <w:rsid w:val="00C14E7B"/>
    <w:rsid w:val="00C14EA1"/>
    <w:rsid w:val="00C14FA9"/>
    <w:rsid w:val="00C14FC2"/>
    <w:rsid w:val="00C15098"/>
    <w:rsid w:val="00C15159"/>
    <w:rsid w:val="00C152C4"/>
    <w:rsid w:val="00C15352"/>
    <w:rsid w:val="00C1535D"/>
    <w:rsid w:val="00C15397"/>
    <w:rsid w:val="00C153E4"/>
    <w:rsid w:val="00C15456"/>
    <w:rsid w:val="00C1548D"/>
    <w:rsid w:val="00C154D3"/>
    <w:rsid w:val="00C1550F"/>
    <w:rsid w:val="00C15580"/>
    <w:rsid w:val="00C155D9"/>
    <w:rsid w:val="00C15625"/>
    <w:rsid w:val="00C15662"/>
    <w:rsid w:val="00C15758"/>
    <w:rsid w:val="00C15863"/>
    <w:rsid w:val="00C158D0"/>
    <w:rsid w:val="00C158E9"/>
    <w:rsid w:val="00C15989"/>
    <w:rsid w:val="00C15A6E"/>
    <w:rsid w:val="00C15AE8"/>
    <w:rsid w:val="00C15AF4"/>
    <w:rsid w:val="00C15B11"/>
    <w:rsid w:val="00C15B70"/>
    <w:rsid w:val="00C15BFE"/>
    <w:rsid w:val="00C15C0F"/>
    <w:rsid w:val="00C15CF6"/>
    <w:rsid w:val="00C15D6B"/>
    <w:rsid w:val="00C15E79"/>
    <w:rsid w:val="00C15ECD"/>
    <w:rsid w:val="00C16189"/>
    <w:rsid w:val="00C162F2"/>
    <w:rsid w:val="00C16326"/>
    <w:rsid w:val="00C163A3"/>
    <w:rsid w:val="00C163C5"/>
    <w:rsid w:val="00C1658A"/>
    <w:rsid w:val="00C16591"/>
    <w:rsid w:val="00C165D8"/>
    <w:rsid w:val="00C166D0"/>
    <w:rsid w:val="00C16714"/>
    <w:rsid w:val="00C16842"/>
    <w:rsid w:val="00C16888"/>
    <w:rsid w:val="00C16915"/>
    <w:rsid w:val="00C1697F"/>
    <w:rsid w:val="00C169D0"/>
    <w:rsid w:val="00C169FA"/>
    <w:rsid w:val="00C16AD7"/>
    <w:rsid w:val="00C16C88"/>
    <w:rsid w:val="00C16C9C"/>
    <w:rsid w:val="00C16CCE"/>
    <w:rsid w:val="00C16DDB"/>
    <w:rsid w:val="00C16E56"/>
    <w:rsid w:val="00C16E62"/>
    <w:rsid w:val="00C16F09"/>
    <w:rsid w:val="00C16F63"/>
    <w:rsid w:val="00C16F69"/>
    <w:rsid w:val="00C16F6A"/>
    <w:rsid w:val="00C16F90"/>
    <w:rsid w:val="00C17053"/>
    <w:rsid w:val="00C17066"/>
    <w:rsid w:val="00C17134"/>
    <w:rsid w:val="00C171BB"/>
    <w:rsid w:val="00C171F1"/>
    <w:rsid w:val="00C1722F"/>
    <w:rsid w:val="00C174AC"/>
    <w:rsid w:val="00C17525"/>
    <w:rsid w:val="00C1755D"/>
    <w:rsid w:val="00C175EE"/>
    <w:rsid w:val="00C17752"/>
    <w:rsid w:val="00C17864"/>
    <w:rsid w:val="00C178AE"/>
    <w:rsid w:val="00C178DD"/>
    <w:rsid w:val="00C17914"/>
    <w:rsid w:val="00C17974"/>
    <w:rsid w:val="00C17A06"/>
    <w:rsid w:val="00C17A0D"/>
    <w:rsid w:val="00C17A2C"/>
    <w:rsid w:val="00C17A91"/>
    <w:rsid w:val="00C17AA1"/>
    <w:rsid w:val="00C17AB4"/>
    <w:rsid w:val="00C17BC3"/>
    <w:rsid w:val="00C17BC7"/>
    <w:rsid w:val="00C17CFE"/>
    <w:rsid w:val="00C17D88"/>
    <w:rsid w:val="00C17E28"/>
    <w:rsid w:val="00C17E92"/>
    <w:rsid w:val="00C17F14"/>
    <w:rsid w:val="00C17FB7"/>
    <w:rsid w:val="00C1965A"/>
    <w:rsid w:val="00C20021"/>
    <w:rsid w:val="00C20048"/>
    <w:rsid w:val="00C201BA"/>
    <w:rsid w:val="00C20385"/>
    <w:rsid w:val="00C2042A"/>
    <w:rsid w:val="00C2042C"/>
    <w:rsid w:val="00C204D8"/>
    <w:rsid w:val="00C20509"/>
    <w:rsid w:val="00C20565"/>
    <w:rsid w:val="00C20824"/>
    <w:rsid w:val="00C20850"/>
    <w:rsid w:val="00C2085F"/>
    <w:rsid w:val="00C2089D"/>
    <w:rsid w:val="00C208FD"/>
    <w:rsid w:val="00C20A45"/>
    <w:rsid w:val="00C20BF0"/>
    <w:rsid w:val="00C20C4B"/>
    <w:rsid w:val="00C20C91"/>
    <w:rsid w:val="00C20CA2"/>
    <w:rsid w:val="00C20CB5"/>
    <w:rsid w:val="00C20D5E"/>
    <w:rsid w:val="00C20DCB"/>
    <w:rsid w:val="00C20F7C"/>
    <w:rsid w:val="00C20FA7"/>
    <w:rsid w:val="00C21042"/>
    <w:rsid w:val="00C21046"/>
    <w:rsid w:val="00C210EF"/>
    <w:rsid w:val="00C21129"/>
    <w:rsid w:val="00C21148"/>
    <w:rsid w:val="00C21193"/>
    <w:rsid w:val="00C21237"/>
    <w:rsid w:val="00C212F4"/>
    <w:rsid w:val="00C21311"/>
    <w:rsid w:val="00C213A1"/>
    <w:rsid w:val="00C213C7"/>
    <w:rsid w:val="00C21545"/>
    <w:rsid w:val="00C215BD"/>
    <w:rsid w:val="00C215CB"/>
    <w:rsid w:val="00C21670"/>
    <w:rsid w:val="00C21684"/>
    <w:rsid w:val="00C216B3"/>
    <w:rsid w:val="00C21780"/>
    <w:rsid w:val="00C217B3"/>
    <w:rsid w:val="00C21815"/>
    <w:rsid w:val="00C21820"/>
    <w:rsid w:val="00C2182D"/>
    <w:rsid w:val="00C21871"/>
    <w:rsid w:val="00C2199B"/>
    <w:rsid w:val="00C219FF"/>
    <w:rsid w:val="00C21A72"/>
    <w:rsid w:val="00C21A86"/>
    <w:rsid w:val="00C21BAD"/>
    <w:rsid w:val="00C21BDF"/>
    <w:rsid w:val="00C21CFF"/>
    <w:rsid w:val="00C21D86"/>
    <w:rsid w:val="00C21D9D"/>
    <w:rsid w:val="00C21E4B"/>
    <w:rsid w:val="00C21F74"/>
    <w:rsid w:val="00C21F7D"/>
    <w:rsid w:val="00C21FBB"/>
    <w:rsid w:val="00C21FCD"/>
    <w:rsid w:val="00C220AC"/>
    <w:rsid w:val="00C2215B"/>
    <w:rsid w:val="00C22250"/>
    <w:rsid w:val="00C222DA"/>
    <w:rsid w:val="00C222E6"/>
    <w:rsid w:val="00C22317"/>
    <w:rsid w:val="00C22387"/>
    <w:rsid w:val="00C224C5"/>
    <w:rsid w:val="00C224FA"/>
    <w:rsid w:val="00C22567"/>
    <w:rsid w:val="00C226DC"/>
    <w:rsid w:val="00C22716"/>
    <w:rsid w:val="00C227AA"/>
    <w:rsid w:val="00C22809"/>
    <w:rsid w:val="00C2282E"/>
    <w:rsid w:val="00C22865"/>
    <w:rsid w:val="00C2288F"/>
    <w:rsid w:val="00C228ED"/>
    <w:rsid w:val="00C22A01"/>
    <w:rsid w:val="00C22ADE"/>
    <w:rsid w:val="00C22BA4"/>
    <w:rsid w:val="00C22BE4"/>
    <w:rsid w:val="00C22D72"/>
    <w:rsid w:val="00C22DBE"/>
    <w:rsid w:val="00C22E3A"/>
    <w:rsid w:val="00C22E70"/>
    <w:rsid w:val="00C22F0B"/>
    <w:rsid w:val="00C22F90"/>
    <w:rsid w:val="00C22FE4"/>
    <w:rsid w:val="00C23005"/>
    <w:rsid w:val="00C2303E"/>
    <w:rsid w:val="00C2306F"/>
    <w:rsid w:val="00C2314E"/>
    <w:rsid w:val="00C23177"/>
    <w:rsid w:val="00C231A1"/>
    <w:rsid w:val="00C231C7"/>
    <w:rsid w:val="00C231F7"/>
    <w:rsid w:val="00C23216"/>
    <w:rsid w:val="00C2329D"/>
    <w:rsid w:val="00C2339C"/>
    <w:rsid w:val="00C233AE"/>
    <w:rsid w:val="00C23403"/>
    <w:rsid w:val="00C23501"/>
    <w:rsid w:val="00C2351A"/>
    <w:rsid w:val="00C2351E"/>
    <w:rsid w:val="00C23610"/>
    <w:rsid w:val="00C236D2"/>
    <w:rsid w:val="00C236E4"/>
    <w:rsid w:val="00C237E5"/>
    <w:rsid w:val="00C237EB"/>
    <w:rsid w:val="00C237FF"/>
    <w:rsid w:val="00C23878"/>
    <w:rsid w:val="00C23892"/>
    <w:rsid w:val="00C2393B"/>
    <w:rsid w:val="00C2395B"/>
    <w:rsid w:val="00C2399B"/>
    <w:rsid w:val="00C23A29"/>
    <w:rsid w:val="00C23AA5"/>
    <w:rsid w:val="00C23AB5"/>
    <w:rsid w:val="00C23B0D"/>
    <w:rsid w:val="00C23B63"/>
    <w:rsid w:val="00C23CF2"/>
    <w:rsid w:val="00C23DBA"/>
    <w:rsid w:val="00C23DDF"/>
    <w:rsid w:val="00C23DEC"/>
    <w:rsid w:val="00C23E8F"/>
    <w:rsid w:val="00C23EA8"/>
    <w:rsid w:val="00C23EC9"/>
    <w:rsid w:val="00C240AE"/>
    <w:rsid w:val="00C241AF"/>
    <w:rsid w:val="00C241F8"/>
    <w:rsid w:val="00C242F0"/>
    <w:rsid w:val="00C2439D"/>
    <w:rsid w:val="00C2441B"/>
    <w:rsid w:val="00C244EE"/>
    <w:rsid w:val="00C24546"/>
    <w:rsid w:val="00C24574"/>
    <w:rsid w:val="00C246AD"/>
    <w:rsid w:val="00C2476E"/>
    <w:rsid w:val="00C24812"/>
    <w:rsid w:val="00C24836"/>
    <w:rsid w:val="00C248AF"/>
    <w:rsid w:val="00C248B8"/>
    <w:rsid w:val="00C248F4"/>
    <w:rsid w:val="00C248F8"/>
    <w:rsid w:val="00C24A91"/>
    <w:rsid w:val="00C24AEC"/>
    <w:rsid w:val="00C24AFC"/>
    <w:rsid w:val="00C24B1F"/>
    <w:rsid w:val="00C24B40"/>
    <w:rsid w:val="00C24B94"/>
    <w:rsid w:val="00C24BC0"/>
    <w:rsid w:val="00C24BE5"/>
    <w:rsid w:val="00C24BEF"/>
    <w:rsid w:val="00C24D25"/>
    <w:rsid w:val="00C24D76"/>
    <w:rsid w:val="00C24E30"/>
    <w:rsid w:val="00C24E71"/>
    <w:rsid w:val="00C24E73"/>
    <w:rsid w:val="00C24E9E"/>
    <w:rsid w:val="00C24F35"/>
    <w:rsid w:val="00C24F84"/>
    <w:rsid w:val="00C24FF5"/>
    <w:rsid w:val="00C2506F"/>
    <w:rsid w:val="00C25096"/>
    <w:rsid w:val="00C250A0"/>
    <w:rsid w:val="00C25286"/>
    <w:rsid w:val="00C252D8"/>
    <w:rsid w:val="00C25307"/>
    <w:rsid w:val="00C253BE"/>
    <w:rsid w:val="00C2540C"/>
    <w:rsid w:val="00C25428"/>
    <w:rsid w:val="00C254CB"/>
    <w:rsid w:val="00C254F6"/>
    <w:rsid w:val="00C2558C"/>
    <w:rsid w:val="00C2558F"/>
    <w:rsid w:val="00C25795"/>
    <w:rsid w:val="00C257B7"/>
    <w:rsid w:val="00C25851"/>
    <w:rsid w:val="00C258C7"/>
    <w:rsid w:val="00C25983"/>
    <w:rsid w:val="00C25A03"/>
    <w:rsid w:val="00C25A1C"/>
    <w:rsid w:val="00C25AAF"/>
    <w:rsid w:val="00C25ABB"/>
    <w:rsid w:val="00C25B0E"/>
    <w:rsid w:val="00C25B87"/>
    <w:rsid w:val="00C25C25"/>
    <w:rsid w:val="00C25CD8"/>
    <w:rsid w:val="00C25E16"/>
    <w:rsid w:val="00C25E6C"/>
    <w:rsid w:val="00C25F22"/>
    <w:rsid w:val="00C25F46"/>
    <w:rsid w:val="00C25F94"/>
    <w:rsid w:val="00C25FFC"/>
    <w:rsid w:val="00C26082"/>
    <w:rsid w:val="00C26095"/>
    <w:rsid w:val="00C260E2"/>
    <w:rsid w:val="00C260F2"/>
    <w:rsid w:val="00C26130"/>
    <w:rsid w:val="00C26132"/>
    <w:rsid w:val="00C26147"/>
    <w:rsid w:val="00C26240"/>
    <w:rsid w:val="00C262F2"/>
    <w:rsid w:val="00C26401"/>
    <w:rsid w:val="00C2641C"/>
    <w:rsid w:val="00C2649E"/>
    <w:rsid w:val="00C264C0"/>
    <w:rsid w:val="00C264C5"/>
    <w:rsid w:val="00C2650C"/>
    <w:rsid w:val="00C2657E"/>
    <w:rsid w:val="00C26610"/>
    <w:rsid w:val="00C26681"/>
    <w:rsid w:val="00C2672A"/>
    <w:rsid w:val="00C26777"/>
    <w:rsid w:val="00C267D7"/>
    <w:rsid w:val="00C267E4"/>
    <w:rsid w:val="00C267E8"/>
    <w:rsid w:val="00C26822"/>
    <w:rsid w:val="00C2686E"/>
    <w:rsid w:val="00C268B6"/>
    <w:rsid w:val="00C268C5"/>
    <w:rsid w:val="00C268FF"/>
    <w:rsid w:val="00C26AB4"/>
    <w:rsid w:val="00C26B60"/>
    <w:rsid w:val="00C26B8B"/>
    <w:rsid w:val="00C26C3C"/>
    <w:rsid w:val="00C26C40"/>
    <w:rsid w:val="00C26C8E"/>
    <w:rsid w:val="00C26E51"/>
    <w:rsid w:val="00C26F4C"/>
    <w:rsid w:val="00C27017"/>
    <w:rsid w:val="00C27019"/>
    <w:rsid w:val="00C2702F"/>
    <w:rsid w:val="00C2704A"/>
    <w:rsid w:val="00C270C4"/>
    <w:rsid w:val="00C27183"/>
    <w:rsid w:val="00C271FF"/>
    <w:rsid w:val="00C2721D"/>
    <w:rsid w:val="00C2722C"/>
    <w:rsid w:val="00C2724C"/>
    <w:rsid w:val="00C2727C"/>
    <w:rsid w:val="00C273B0"/>
    <w:rsid w:val="00C273B1"/>
    <w:rsid w:val="00C274DA"/>
    <w:rsid w:val="00C27516"/>
    <w:rsid w:val="00C27544"/>
    <w:rsid w:val="00C27641"/>
    <w:rsid w:val="00C2764F"/>
    <w:rsid w:val="00C276FB"/>
    <w:rsid w:val="00C27759"/>
    <w:rsid w:val="00C2777E"/>
    <w:rsid w:val="00C27806"/>
    <w:rsid w:val="00C27820"/>
    <w:rsid w:val="00C278D3"/>
    <w:rsid w:val="00C27926"/>
    <w:rsid w:val="00C2793E"/>
    <w:rsid w:val="00C27996"/>
    <w:rsid w:val="00C27A2D"/>
    <w:rsid w:val="00C27A35"/>
    <w:rsid w:val="00C27ABF"/>
    <w:rsid w:val="00C27AD8"/>
    <w:rsid w:val="00C27B46"/>
    <w:rsid w:val="00C27BC5"/>
    <w:rsid w:val="00C27BFA"/>
    <w:rsid w:val="00C27C0E"/>
    <w:rsid w:val="00C27C31"/>
    <w:rsid w:val="00C27C3D"/>
    <w:rsid w:val="00C27CA3"/>
    <w:rsid w:val="00C27D6A"/>
    <w:rsid w:val="00C27D79"/>
    <w:rsid w:val="00C27DE5"/>
    <w:rsid w:val="00C27DEA"/>
    <w:rsid w:val="00C27F6A"/>
    <w:rsid w:val="00C27F88"/>
    <w:rsid w:val="00C27FE1"/>
    <w:rsid w:val="00C27FF3"/>
    <w:rsid w:val="00C30069"/>
    <w:rsid w:val="00C3007A"/>
    <w:rsid w:val="00C30097"/>
    <w:rsid w:val="00C300D9"/>
    <w:rsid w:val="00C30155"/>
    <w:rsid w:val="00C301E9"/>
    <w:rsid w:val="00C302FA"/>
    <w:rsid w:val="00C30374"/>
    <w:rsid w:val="00C30435"/>
    <w:rsid w:val="00C3045C"/>
    <w:rsid w:val="00C30600"/>
    <w:rsid w:val="00C3066B"/>
    <w:rsid w:val="00C3072D"/>
    <w:rsid w:val="00C3074E"/>
    <w:rsid w:val="00C30783"/>
    <w:rsid w:val="00C307DF"/>
    <w:rsid w:val="00C308A5"/>
    <w:rsid w:val="00C308D8"/>
    <w:rsid w:val="00C309DF"/>
    <w:rsid w:val="00C30A8F"/>
    <w:rsid w:val="00C30DB5"/>
    <w:rsid w:val="00C30DDC"/>
    <w:rsid w:val="00C30E1C"/>
    <w:rsid w:val="00C30F3F"/>
    <w:rsid w:val="00C31004"/>
    <w:rsid w:val="00C310C2"/>
    <w:rsid w:val="00C31112"/>
    <w:rsid w:val="00C31189"/>
    <w:rsid w:val="00C31390"/>
    <w:rsid w:val="00C313B2"/>
    <w:rsid w:val="00C3144C"/>
    <w:rsid w:val="00C3148A"/>
    <w:rsid w:val="00C3154B"/>
    <w:rsid w:val="00C31626"/>
    <w:rsid w:val="00C31725"/>
    <w:rsid w:val="00C31787"/>
    <w:rsid w:val="00C3178C"/>
    <w:rsid w:val="00C31807"/>
    <w:rsid w:val="00C31822"/>
    <w:rsid w:val="00C31850"/>
    <w:rsid w:val="00C318F2"/>
    <w:rsid w:val="00C31960"/>
    <w:rsid w:val="00C319E2"/>
    <w:rsid w:val="00C319FB"/>
    <w:rsid w:val="00C31A98"/>
    <w:rsid w:val="00C31AB3"/>
    <w:rsid w:val="00C31B73"/>
    <w:rsid w:val="00C31BAF"/>
    <w:rsid w:val="00C31BC5"/>
    <w:rsid w:val="00C31BE7"/>
    <w:rsid w:val="00C31C24"/>
    <w:rsid w:val="00C31C41"/>
    <w:rsid w:val="00C31D0B"/>
    <w:rsid w:val="00C31D55"/>
    <w:rsid w:val="00C31D60"/>
    <w:rsid w:val="00C31E06"/>
    <w:rsid w:val="00C31E30"/>
    <w:rsid w:val="00C31E4B"/>
    <w:rsid w:val="00C31E7A"/>
    <w:rsid w:val="00C31EF1"/>
    <w:rsid w:val="00C32043"/>
    <w:rsid w:val="00C320F4"/>
    <w:rsid w:val="00C321AE"/>
    <w:rsid w:val="00C32235"/>
    <w:rsid w:val="00C323AE"/>
    <w:rsid w:val="00C32408"/>
    <w:rsid w:val="00C32430"/>
    <w:rsid w:val="00C32592"/>
    <w:rsid w:val="00C325D3"/>
    <w:rsid w:val="00C32608"/>
    <w:rsid w:val="00C32611"/>
    <w:rsid w:val="00C32646"/>
    <w:rsid w:val="00C32660"/>
    <w:rsid w:val="00C326E2"/>
    <w:rsid w:val="00C326FF"/>
    <w:rsid w:val="00C32776"/>
    <w:rsid w:val="00C327B1"/>
    <w:rsid w:val="00C3284E"/>
    <w:rsid w:val="00C32860"/>
    <w:rsid w:val="00C328F9"/>
    <w:rsid w:val="00C3296C"/>
    <w:rsid w:val="00C32A1D"/>
    <w:rsid w:val="00C32A23"/>
    <w:rsid w:val="00C32A54"/>
    <w:rsid w:val="00C32A73"/>
    <w:rsid w:val="00C32AE2"/>
    <w:rsid w:val="00C32B39"/>
    <w:rsid w:val="00C32B8F"/>
    <w:rsid w:val="00C32E35"/>
    <w:rsid w:val="00C32E3C"/>
    <w:rsid w:val="00C32EC1"/>
    <w:rsid w:val="00C32F7C"/>
    <w:rsid w:val="00C32FDB"/>
    <w:rsid w:val="00C32FF0"/>
    <w:rsid w:val="00C3300E"/>
    <w:rsid w:val="00C33023"/>
    <w:rsid w:val="00C33075"/>
    <w:rsid w:val="00C33117"/>
    <w:rsid w:val="00C33157"/>
    <w:rsid w:val="00C332B8"/>
    <w:rsid w:val="00C3336D"/>
    <w:rsid w:val="00C333AE"/>
    <w:rsid w:val="00C333EC"/>
    <w:rsid w:val="00C333FD"/>
    <w:rsid w:val="00C334C9"/>
    <w:rsid w:val="00C33551"/>
    <w:rsid w:val="00C33620"/>
    <w:rsid w:val="00C3362C"/>
    <w:rsid w:val="00C33649"/>
    <w:rsid w:val="00C336B4"/>
    <w:rsid w:val="00C337DD"/>
    <w:rsid w:val="00C337FE"/>
    <w:rsid w:val="00C33847"/>
    <w:rsid w:val="00C338E8"/>
    <w:rsid w:val="00C33951"/>
    <w:rsid w:val="00C339A4"/>
    <w:rsid w:val="00C339F2"/>
    <w:rsid w:val="00C33A6A"/>
    <w:rsid w:val="00C33AFE"/>
    <w:rsid w:val="00C33B71"/>
    <w:rsid w:val="00C33BF9"/>
    <w:rsid w:val="00C33C3E"/>
    <w:rsid w:val="00C33C9D"/>
    <w:rsid w:val="00C33D48"/>
    <w:rsid w:val="00C33D4A"/>
    <w:rsid w:val="00C33D63"/>
    <w:rsid w:val="00C33DFD"/>
    <w:rsid w:val="00C33E0E"/>
    <w:rsid w:val="00C33E36"/>
    <w:rsid w:val="00C33EE5"/>
    <w:rsid w:val="00C33F99"/>
    <w:rsid w:val="00C33FD3"/>
    <w:rsid w:val="00C33FEF"/>
    <w:rsid w:val="00C34026"/>
    <w:rsid w:val="00C3404F"/>
    <w:rsid w:val="00C34052"/>
    <w:rsid w:val="00C34073"/>
    <w:rsid w:val="00C340C6"/>
    <w:rsid w:val="00C34245"/>
    <w:rsid w:val="00C3424A"/>
    <w:rsid w:val="00C3428A"/>
    <w:rsid w:val="00C34421"/>
    <w:rsid w:val="00C34441"/>
    <w:rsid w:val="00C34495"/>
    <w:rsid w:val="00C344A9"/>
    <w:rsid w:val="00C345A3"/>
    <w:rsid w:val="00C345B8"/>
    <w:rsid w:val="00C34625"/>
    <w:rsid w:val="00C3466A"/>
    <w:rsid w:val="00C347D0"/>
    <w:rsid w:val="00C347DD"/>
    <w:rsid w:val="00C34817"/>
    <w:rsid w:val="00C34860"/>
    <w:rsid w:val="00C34871"/>
    <w:rsid w:val="00C348E4"/>
    <w:rsid w:val="00C348F1"/>
    <w:rsid w:val="00C3494A"/>
    <w:rsid w:val="00C34954"/>
    <w:rsid w:val="00C34A88"/>
    <w:rsid w:val="00C34AF8"/>
    <w:rsid w:val="00C34B24"/>
    <w:rsid w:val="00C34B26"/>
    <w:rsid w:val="00C34C0C"/>
    <w:rsid w:val="00C34D0A"/>
    <w:rsid w:val="00C34DE8"/>
    <w:rsid w:val="00C34E7A"/>
    <w:rsid w:val="00C34ED7"/>
    <w:rsid w:val="00C34FA4"/>
    <w:rsid w:val="00C34FFA"/>
    <w:rsid w:val="00C3501F"/>
    <w:rsid w:val="00C35058"/>
    <w:rsid w:val="00C350CD"/>
    <w:rsid w:val="00C352EB"/>
    <w:rsid w:val="00C353D6"/>
    <w:rsid w:val="00C35409"/>
    <w:rsid w:val="00C354A1"/>
    <w:rsid w:val="00C354E0"/>
    <w:rsid w:val="00C354E4"/>
    <w:rsid w:val="00C354EB"/>
    <w:rsid w:val="00C35513"/>
    <w:rsid w:val="00C3554B"/>
    <w:rsid w:val="00C35561"/>
    <w:rsid w:val="00C3557B"/>
    <w:rsid w:val="00C35648"/>
    <w:rsid w:val="00C356BB"/>
    <w:rsid w:val="00C35743"/>
    <w:rsid w:val="00C357D9"/>
    <w:rsid w:val="00C3582A"/>
    <w:rsid w:val="00C35928"/>
    <w:rsid w:val="00C3595A"/>
    <w:rsid w:val="00C35962"/>
    <w:rsid w:val="00C35D5E"/>
    <w:rsid w:val="00C35E08"/>
    <w:rsid w:val="00C35E7D"/>
    <w:rsid w:val="00C35E8B"/>
    <w:rsid w:val="00C35EBE"/>
    <w:rsid w:val="00C35EBF"/>
    <w:rsid w:val="00C35F3E"/>
    <w:rsid w:val="00C3601B"/>
    <w:rsid w:val="00C36166"/>
    <w:rsid w:val="00C36193"/>
    <w:rsid w:val="00C36199"/>
    <w:rsid w:val="00C361AE"/>
    <w:rsid w:val="00C36292"/>
    <w:rsid w:val="00C36335"/>
    <w:rsid w:val="00C3640B"/>
    <w:rsid w:val="00C364B9"/>
    <w:rsid w:val="00C364C8"/>
    <w:rsid w:val="00C364F8"/>
    <w:rsid w:val="00C36506"/>
    <w:rsid w:val="00C3651F"/>
    <w:rsid w:val="00C3652F"/>
    <w:rsid w:val="00C36549"/>
    <w:rsid w:val="00C36591"/>
    <w:rsid w:val="00C36666"/>
    <w:rsid w:val="00C3667C"/>
    <w:rsid w:val="00C366AE"/>
    <w:rsid w:val="00C366CF"/>
    <w:rsid w:val="00C366DD"/>
    <w:rsid w:val="00C367A6"/>
    <w:rsid w:val="00C367CB"/>
    <w:rsid w:val="00C3681E"/>
    <w:rsid w:val="00C3685D"/>
    <w:rsid w:val="00C368D3"/>
    <w:rsid w:val="00C3691B"/>
    <w:rsid w:val="00C36A2C"/>
    <w:rsid w:val="00C36AB8"/>
    <w:rsid w:val="00C36AD0"/>
    <w:rsid w:val="00C36B1D"/>
    <w:rsid w:val="00C36CFA"/>
    <w:rsid w:val="00C36D1D"/>
    <w:rsid w:val="00C36D5C"/>
    <w:rsid w:val="00C36E1F"/>
    <w:rsid w:val="00C36E42"/>
    <w:rsid w:val="00C36EDB"/>
    <w:rsid w:val="00C36F7D"/>
    <w:rsid w:val="00C36F9E"/>
    <w:rsid w:val="00C370BA"/>
    <w:rsid w:val="00C370C0"/>
    <w:rsid w:val="00C37150"/>
    <w:rsid w:val="00C37164"/>
    <w:rsid w:val="00C371C7"/>
    <w:rsid w:val="00C371DE"/>
    <w:rsid w:val="00C37251"/>
    <w:rsid w:val="00C37317"/>
    <w:rsid w:val="00C373A4"/>
    <w:rsid w:val="00C373D7"/>
    <w:rsid w:val="00C37409"/>
    <w:rsid w:val="00C37437"/>
    <w:rsid w:val="00C37589"/>
    <w:rsid w:val="00C375FA"/>
    <w:rsid w:val="00C3762F"/>
    <w:rsid w:val="00C376A2"/>
    <w:rsid w:val="00C3779D"/>
    <w:rsid w:val="00C377B9"/>
    <w:rsid w:val="00C377FC"/>
    <w:rsid w:val="00C3782E"/>
    <w:rsid w:val="00C378DA"/>
    <w:rsid w:val="00C37907"/>
    <w:rsid w:val="00C37926"/>
    <w:rsid w:val="00C379C0"/>
    <w:rsid w:val="00C379E3"/>
    <w:rsid w:val="00C37A08"/>
    <w:rsid w:val="00C37A21"/>
    <w:rsid w:val="00C37A2E"/>
    <w:rsid w:val="00C37A36"/>
    <w:rsid w:val="00C37A8E"/>
    <w:rsid w:val="00C37B09"/>
    <w:rsid w:val="00C37B29"/>
    <w:rsid w:val="00C37B31"/>
    <w:rsid w:val="00C37B3B"/>
    <w:rsid w:val="00C37B7B"/>
    <w:rsid w:val="00C37BCC"/>
    <w:rsid w:val="00C37BD9"/>
    <w:rsid w:val="00C37BE2"/>
    <w:rsid w:val="00C37C5F"/>
    <w:rsid w:val="00C37CB1"/>
    <w:rsid w:val="00C37EAE"/>
    <w:rsid w:val="00C37EEA"/>
    <w:rsid w:val="00C37F2E"/>
    <w:rsid w:val="00C40010"/>
    <w:rsid w:val="00C40036"/>
    <w:rsid w:val="00C4011B"/>
    <w:rsid w:val="00C401A5"/>
    <w:rsid w:val="00C401C4"/>
    <w:rsid w:val="00C401C9"/>
    <w:rsid w:val="00C40202"/>
    <w:rsid w:val="00C40225"/>
    <w:rsid w:val="00C40443"/>
    <w:rsid w:val="00C40468"/>
    <w:rsid w:val="00C405FA"/>
    <w:rsid w:val="00C40605"/>
    <w:rsid w:val="00C40674"/>
    <w:rsid w:val="00C406D3"/>
    <w:rsid w:val="00C406D6"/>
    <w:rsid w:val="00C40717"/>
    <w:rsid w:val="00C4075B"/>
    <w:rsid w:val="00C40840"/>
    <w:rsid w:val="00C4084C"/>
    <w:rsid w:val="00C408A0"/>
    <w:rsid w:val="00C4094B"/>
    <w:rsid w:val="00C40AC1"/>
    <w:rsid w:val="00C40B22"/>
    <w:rsid w:val="00C40B47"/>
    <w:rsid w:val="00C40C46"/>
    <w:rsid w:val="00C40CD8"/>
    <w:rsid w:val="00C40D22"/>
    <w:rsid w:val="00C40E33"/>
    <w:rsid w:val="00C40E67"/>
    <w:rsid w:val="00C40EF8"/>
    <w:rsid w:val="00C40F3A"/>
    <w:rsid w:val="00C40F69"/>
    <w:rsid w:val="00C41098"/>
    <w:rsid w:val="00C41128"/>
    <w:rsid w:val="00C4112C"/>
    <w:rsid w:val="00C41158"/>
    <w:rsid w:val="00C41168"/>
    <w:rsid w:val="00C411C7"/>
    <w:rsid w:val="00C4126A"/>
    <w:rsid w:val="00C41282"/>
    <w:rsid w:val="00C412BE"/>
    <w:rsid w:val="00C4135E"/>
    <w:rsid w:val="00C413BD"/>
    <w:rsid w:val="00C413D5"/>
    <w:rsid w:val="00C414EA"/>
    <w:rsid w:val="00C41519"/>
    <w:rsid w:val="00C4152E"/>
    <w:rsid w:val="00C41534"/>
    <w:rsid w:val="00C41565"/>
    <w:rsid w:val="00C415E4"/>
    <w:rsid w:val="00C41695"/>
    <w:rsid w:val="00C416F2"/>
    <w:rsid w:val="00C41780"/>
    <w:rsid w:val="00C41968"/>
    <w:rsid w:val="00C41979"/>
    <w:rsid w:val="00C41983"/>
    <w:rsid w:val="00C419E0"/>
    <w:rsid w:val="00C41B48"/>
    <w:rsid w:val="00C41B6B"/>
    <w:rsid w:val="00C41B6D"/>
    <w:rsid w:val="00C41B89"/>
    <w:rsid w:val="00C41BBA"/>
    <w:rsid w:val="00C41C1D"/>
    <w:rsid w:val="00C41E09"/>
    <w:rsid w:val="00C41FF6"/>
    <w:rsid w:val="00C42011"/>
    <w:rsid w:val="00C4223F"/>
    <w:rsid w:val="00C42249"/>
    <w:rsid w:val="00C42279"/>
    <w:rsid w:val="00C42288"/>
    <w:rsid w:val="00C422BF"/>
    <w:rsid w:val="00C422DA"/>
    <w:rsid w:val="00C4232D"/>
    <w:rsid w:val="00C4234D"/>
    <w:rsid w:val="00C42383"/>
    <w:rsid w:val="00C426DD"/>
    <w:rsid w:val="00C427EA"/>
    <w:rsid w:val="00C4285B"/>
    <w:rsid w:val="00C4296C"/>
    <w:rsid w:val="00C429BA"/>
    <w:rsid w:val="00C429C8"/>
    <w:rsid w:val="00C42A00"/>
    <w:rsid w:val="00C42A69"/>
    <w:rsid w:val="00C42A82"/>
    <w:rsid w:val="00C42A8B"/>
    <w:rsid w:val="00C42C7E"/>
    <w:rsid w:val="00C42C9D"/>
    <w:rsid w:val="00C42D45"/>
    <w:rsid w:val="00C42D53"/>
    <w:rsid w:val="00C42DDA"/>
    <w:rsid w:val="00C42E60"/>
    <w:rsid w:val="00C42E63"/>
    <w:rsid w:val="00C42ED4"/>
    <w:rsid w:val="00C42ED7"/>
    <w:rsid w:val="00C42F8B"/>
    <w:rsid w:val="00C42F8C"/>
    <w:rsid w:val="00C42FE4"/>
    <w:rsid w:val="00C4309E"/>
    <w:rsid w:val="00C43148"/>
    <w:rsid w:val="00C43180"/>
    <w:rsid w:val="00C43289"/>
    <w:rsid w:val="00C433F0"/>
    <w:rsid w:val="00C4347A"/>
    <w:rsid w:val="00C4349E"/>
    <w:rsid w:val="00C43543"/>
    <w:rsid w:val="00C43557"/>
    <w:rsid w:val="00C435F5"/>
    <w:rsid w:val="00C43605"/>
    <w:rsid w:val="00C43631"/>
    <w:rsid w:val="00C43693"/>
    <w:rsid w:val="00C436AB"/>
    <w:rsid w:val="00C43751"/>
    <w:rsid w:val="00C4381B"/>
    <w:rsid w:val="00C43842"/>
    <w:rsid w:val="00C43892"/>
    <w:rsid w:val="00C43918"/>
    <w:rsid w:val="00C43951"/>
    <w:rsid w:val="00C43A0C"/>
    <w:rsid w:val="00C43A70"/>
    <w:rsid w:val="00C43AC2"/>
    <w:rsid w:val="00C43AED"/>
    <w:rsid w:val="00C43AF2"/>
    <w:rsid w:val="00C43B0A"/>
    <w:rsid w:val="00C43B54"/>
    <w:rsid w:val="00C43B99"/>
    <w:rsid w:val="00C43C23"/>
    <w:rsid w:val="00C43D6A"/>
    <w:rsid w:val="00C43DD7"/>
    <w:rsid w:val="00C43E6A"/>
    <w:rsid w:val="00C43F92"/>
    <w:rsid w:val="00C44011"/>
    <w:rsid w:val="00C4403D"/>
    <w:rsid w:val="00C4407C"/>
    <w:rsid w:val="00C440D0"/>
    <w:rsid w:val="00C4420F"/>
    <w:rsid w:val="00C442B4"/>
    <w:rsid w:val="00C4438E"/>
    <w:rsid w:val="00C443B6"/>
    <w:rsid w:val="00C4442E"/>
    <w:rsid w:val="00C44495"/>
    <w:rsid w:val="00C444BE"/>
    <w:rsid w:val="00C444D3"/>
    <w:rsid w:val="00C445C6"/>
    <w:rsid w:val="00C44624"/>
    <w:rsid w:val="00C44669"/>
    <w:rsid w:val="00C4469E"/>
    <w:rsid w:val="00C446A4"/>
    <w:rsid w:val="00C446CB"/>
    <w:rsid w:val="00C44805"/>
    <w:rsid w:val="00C4491E"/>
    <w:rsid w:val="00C449AC"/>
    <w:rsid w:val="00C44ACC"/>
    <w:rsid w:val="00C44AFF"/>
    <w:rsid w:val="00C44B4D"/>
    <w:rsid w:val="00C44B87"/>
    <w:rsid w:val="00C44C3F"/>
    <w:rsid w:val="00C44CC5"/>
    <w:rsid w:val="00C44D2C"/>
    <w:rsid w:val="00C44D52"/>
    <w:rsid w:val="00C44E28"/>
    <w:rsid w:val="00C44E38"/>
    <w:rsid w:val="00C44E60"/>
    <w:rsid w:val="00C44EAF"/>
    <w:rsid w:val="00C44ED4"/>
    <w:rsid w:val="00C45021"/>
    <w:rsid w:val="00C45037"/>
    <w:rsid w:val="00C45063"/>
    <w:rsid w:val="00C450BC"/>
    <w:rsid w:val="00C45150"/>
    <w:rsid w:val="00C4517F"/>
    <w:rsid w:val="00C4519D"/>
    <w:rsid w:val="00C451F9"/>
    <w:rsid w:val="00C45262"/>
    <w:rsid w:val="00C45290"/>
    <w:rsid w:val="00C452AD"/>
    <w:rsid w:val="00C452D0"/>
    <w:rsid w:val="00C45354"/>
    <w:rsid w:val="00C454D7"/>
    <w:rsid w:val="00C4568B"/>
    <w:rsid w:val="00C456F6"/>
    <w:rsid w:val="00C45714"/>
    <w:rsid w:val="00C45752"/>
    <w:rsid w:val="00C45824"/>
    <w:rsid w:val="00C45962"/>
    <w:rsid w:val="00C459D5"/>
    <w:rsid w:val="00C45A1B"/>
    <w:rsid w:val="00C45AA9"/>
    <w:rsid w:val="00C45ACD"/>
    <w:rsid w:val="00C45BC8"/>
    <w:rsid w:val="00C45C51"/>
    <w:rsid w:val="00C45CBD"/>
    <w:rsid w:val="00C45D0C"/>
    <w:rsid w:val="00C45D43"/>
    <w:rsid w:val="00C45D64"/>
    <w:rsid w:val="00C45D9B"/>
    <w:rsid w:val="00C45DEE"/>
    <w:rsid w:val="00C45E1A"/>
    <w:rsid w:val="00C45E5C"/>
    <w:rsid w:val="00C45F31"/>
    <w:rsid w:val="00C45FDE"/>
    <w:rsid w:val="00C460E4"/>
    <w:rsid w:val="00C460F3"/>
    <w:rsid w:val="00C46122"/>
    <w:rsid w:val="00C46190"/>
    <w:rsid w:val="00C462BD"/>
    <w:rsid w:val="00C4636E"/>
    <w:rsid w:val="00C46379"/>
    <w:rsid w:val="00C4639B"/>
    <w:rsid w:val="00C463DA"/>
    <w:rsid w:val="00C46429"/>
    <w:rsid w:val="00C46436"/>
    <w:rsid w:val="00C46600"/>
    <w:rsid w:val="00C46632"/>
    <w:rsid w:val="00C466A6"/>
    <w:rsid w:val="00C466B4"/>
    <w:rsid w:val="00C4672D"/>
    <w:rsid w:val="00C467A8"/>
    <w:rsid w:val="00C46812"/>
    <w:rsid w:val="00C46814"/>
    <w:rsid w:val="00C46836"/>
    <w:rsid w:val="00C46851"/>
    <w:rsid w:val="00C468D3"/>
    <w:rsid w:val="00C46955"/>
    <w:rsid w:val="00C469D8"/>
    <w:rsid w:val="00C469E6"/>
    <w:rsid w:val="00C46A76"/>
    <w:rsid w:val="00C46B0B"/>
    <w:rsid w:val="00C46B88"/>
    <w:rsid w:val="00C46B95"/>
    <w:rsid w:val="00C46BF0"/>
    <w:rsid w:val="00C46C11"/>
    <w:rsid w:val="00C46C2C"/>
    <w:rsid w:val="00C46CCC"/>
    <w:rsid w:val="00C46CF9"/>
    <w:rsid w:val="00C46E8E"/>
    <w:rsid w:val="00C46EBB"/>
    <w:rsid w:val="00C46F08"/>
    <w:rsid w:val="00C46F09"/>
    <w:rsid w:val="00C46F6B"/>
    <w:rsid w:val="00C46FEA"/>
    <w:rsid w:val="00C47028"/>
    <w:rsid w:val="00C47076"/>
    <w:rsid w:val="00C47154"/>
    <w:rsid w:val="00C4720B"/>
    <w:rsid w:val="00C4720F"/>
    <w:rsid w:val="00C47475"/>
    <w:rsid w:val="00C475F4"/>
    <w:rsid w:val="00C476D5"/>
    <w:rsid w:val="00C47793"/>
    <w:rsid w:val="00C47796"/>
    <w:rsid w:val="00C47797"/>
    <w:rsid w:val="00C477F3"/>
    <w:rsid w:val="00C47823"/>
    <w:rsid w:val="00C47888"/>
    <w:rsid w:val="00C478A0"/>
    <w:rsid w:val="00C47922"/>
    <w:rsid w:val="00C47939"/>
    <w:rsid w:val="00C479BE"/>
    <w:rsid w:val="00C47A91"/>
    <w:rsid w:val="00C47AC9"/>
    <w:rsid w:val="00C47B0D"/>
    <w:rsid w:val="00C47B3E"/>
    <w:rsid w:val="00C47BE3"/>
    <w:rsid w:val="00C47C98"/>
    <w:rsid w:val="00C47CDF"/>
    <w:rsid w:val="00C47D5A"/>
    <w:rsid w:val="00C47D73"/>
    <w:rsid w:val="00C47D80"/>
    <w:rsid w:val="00C47D94"/>
    <w:rsid w:val="00C47E54"/>
    <w:rsid w:val="00C47E6F"/>
    <w:rsid w:val="00C47EEB"/>
    <w:rsid w:val="00C47F30"/>
    <w:rsid w:val="00C47F3A"/>
    <w:rsid w:val="00C47F9D"/>
    <w:rsid w:val="00C47FC7"/>
    <w:rsid w:val="00C47FE5"/>
    <w:rsid w:val="00C50024"/>
    <w:rsid w:val="00C5009B"/>
    <w:rsid w:val="00C500A3"/>
    <w:rsid w:val="00C502B9"/>
    <w:rsid w:val="00C502C0"/>
    <w:rsid w:val="00C50313"/>
    <w:rsid w:val="00C5033E"/>
    <w:rsid w:val="00C503E2"/>
    <w:rsid w:val="00C5046E"/>
    <w:rsid w:val="00C504DC"/>
    <w:rsid w:val="00C50542"/>
    <w:rsid w:val="00C5055B"/>
    <w:rsid w:val="00C505EB"/>
    <w:rsid w:val="00C50660"/>
    <w:rsid w:val="00C5068B"/>
    <w:rsid w:val="00C506CA"/>
    <w:rsid w:val="00C50883"/>
    <w:rsid w:val="00C508B6"/>
    <w:rsid w:val="00C50918"/>
    <w:rsid w:val="00C50979"/>
    <w:rsid w:val="00C509B9"/>
    <w:rsid w:val="00C509DD"/>
    <w:rsid w:val="00C50A23"/>
    <w:rsid w:val="00C50B33"/>
    <w:rsid w:val="00C50C69"/>
    <w:rsid w:val="00C50D56"/>
    <w:rsid w:val="00C50D63"/>
    <w:rsid w:val="00C50DB3"/>
    <w:rsid w:val="00C50ECA"/>
    <w:rsid w:val="00C50F32"/>
    <w:rsid w:val="00C50FDA"/>
    <w:rsid w:val="00C50FEB"/>
    <w:rsid w:val="00C511AC"/>
    <w:rsid w:val="00C51208"/>
    <w:rsid w:val="00C51241"/>
    <w:rsid w:val="00C5127C"/>
    <w:rsid w:val="00C513B0"/>
    <w:rsid w:val="00C51533"/>
    <w:rsid w:val="00C5153C"/>
    <w:rsid w:val="00C5154B"/>
    <w:rsid w:val="00C5154D"/>
    <w:rsid w:val="00C515DF"/>
    <w:rsid w:val="00C5169B"/>
    <w:rsid w:val="00C51733"/>
    <w:rsid w:val="00C51767"/>
    <w:rsid w:val="00C517CA"/>
    <w:rsid w:val="00C5188C"/>
    <w:rsid w:val="00C518F2"/>
    <w:rsid w:val="00C519A4"/>
    <w:rsid w:val="00C51AD2"/>
    <w:rsid w:val="00C51B29"/>
    <w:rsid w:val="00C51B91"/>
    <w:rsid w:val="00C51B92"/>
    <w:rsid w:val="00C51BEA"/>
    <w:rsid w:val="00C51C07"/>
    <w:rsid w:val="00C51CA2"/>
    <w:rsid w:val="00C51CF1"/>
    <w:rsid w:val="00C51D47"/>
    <w:rsid w:val="00C51D9E"/>
    <w:rsid w:val="00C51DDD"/>
    <w:rsid w:val="00C51E7E"/>
    <w:rsid w:val="00C5201A"/>
    <w:rsid w:val="00C52092"/>
    <w:rsid w:val="00C5209E"/>
    <w:rsid w:val="00C52102"/>
    <w:rsid w:val="00C52126"/>
    <w:rsid w:val="00C52157"/>
    <w:rsid w:val="00C521FF"/>
    <w:rsid w:val="00C5223E"/>
    <w:rsid w:val="00C5228D"/>
    <w:rsid w:val="00C52352"/>
    <w:rsid w:val="00C52367"/>
    <w:rsid w:val="00C52396"/>
    <w:rsid w:val="00C523C8"/>
    <w:rsid w:val="00C52404"/>
    <w:rsid w:val="00C52486"/>
    <w:rsid w:val="00C52558"/>
    <w:rsid w:val="00C525AB"/>
    <w:rsid w:val="00C52680"/>
    <w:rsid w:val="00C52691"/>
    <w:rsid w:val="00C52709"/>
    <w:rsid w:val="00C52798"/>
    <w:rsid w:val="00C5283F"/>
    <w:rsid w:val="00C528D8"/>
    <w:rsid w:val="00C5296C"/>
    <w:rsid w:val="00C529B4"/>
    <w:rsid w:val="00C52A38"/>
    <w:rsid w:val="00C52A3D"/>
    <w:rsid w:val="00C52B07"/>
    <w:rsid w:val="00C52BCA"/>
    <w:rsid w:val="00C52C45"/>
    <w:rsid w:val="00C52C5C"/>
    <w:rsid w:val="00C52C76"/>
    <w:rsid w:val="00C52CDC"/>
    <w:rsid w:val="00C52D21"/>
    <w:rsid w:val="00C52D64"/>
    <w:rsid w:val="00C52E03"/>
    <w:rsid w:val="00C52EC7"/>
    <w:rsid w:val="00C52EFC"/>
    <w:rsid w:val="00C52FBC"/>
    <w:rsid w:val="00C52FFE"/>
    <w:rsid w:val="00C53025"/>
    <w:rsid w:val="00C53079"/>
    <w:rsid w:val="00C53089"/>
    <w:rsid w:val="00C530D3"/>
    <w:rsid w:val="00C530E2"/>
    <w:rsid w:val="00C530E4"/>
    <w:rsid w:val="00C5315A"/>
    <w:rsid w:val="00C53179"/>
    <w:rsid w:val="00C5317D"/>
    <w:rsid w:val="00C5321B"/>
    <w:rsid w:val="00C53307"/>
    <w:rsid w:val="00C53324"/>
    <w:rsid w:val="00C53361"/>
    <w:rsid w:val="00C53405"/>
    <w:rsid w:val="00C53453"/>
    <w:rsid w:val="00C5354F"/>
    <w:rsid w:val="00C535B5"/>
    <w:rsid w:val="00C535CC"/>
    <w:rsid w:val="00C53634"/>
    <w:rsid w:val="00C53723"/>
    <w:rsid w:val="00C53761"/>
    <w:rsid w:val="00C53786"/>
    <w:rsid w:val="00C5378D"/>
    <w:rsid w:val="00C537A5"/>
    <w:rsid w:val="00C537C0"/>
    <w:rsid w:val="00C537F1"/>
    <w:rsid w:val="00C53898"/>
    <w:rsid w:val="00C538B9"/>
    <w:rsid w:val="00C53907"/>
    <w:rsid w:val="00C53A92"/>
    <w:rsid w:val="00C53AD9"/>
    <w:rsid w:val="00C53B11"/>
    <w:rsid w:val="00C53B22"/>
    <w:rsid w:val="00C53BC0"/>
    <w:rsid w:val="00C53BC2"/>
    <w:rsid w:val="00C53C14"/>
    <w:rsid w:val="00C53D61"/>
    <w:rsid w:val="00C53D76"/>
    <w:rsid w:val="00C53E5A"/>
    <w:rsid w:val="00C53ECA"/>
    <w:rsid w:val="00C53FC9"/>
    <w:rsid w:val="00C54018"/>
    <w:rsid w:val="00C54021"/>
    <w:rsid w:val="00C540A8"/>
    <w:rsid w:val="00C541E0"/>
    <w:rsid w:val="00C5421B"/>
    <w:rsid w:val="00C54292"/>
    <w:rsid w:val="00C54354"/>
    <w:rsid w:val="00C5435A"/>
    <w:rsid w:val="00C5441E"/>
    <w:rsid w:val="00C54432"/>
    <w:rsid w:val="00C5446A"/>
    <w:rsid w:val="00C545E6"/>
    <w:rsid w:val="00C545EF"/>
    <w:rsid w:val="00C5462D"/>
    <w:rsid w:val="00C54686"/>
    <w:rsid w:val="00C546FC"/>
    <w:rsid w:val="00C54740"/>
    <w:rsid w:val="00C54792"/>
    <w:rsid w:val="00C547CD"/>
    <w:rsid w:val="00C5480B"/>
    <w:rsid w:val="00C5487C"/>
    <w:rsid w:val="00C54901"/>
    <w:rsid w:val="00C5498E"/>
    <w:rsid w:val="00C54A2C"/>
    <w:rsid w:val="00C54A88"/>
    <w:rsid w:val="00C54ABA"/>
    <w:rsid w:val="00C54B67"/>
    <w:rsid w:val="00C54C34"/>
    <w:rsid w:val="00C54C61"/>
    <w:rsid w:val="00C54D9D"/>
    <w:rsid w:val="00C54E93"/>
    <w:rsid w:val="00C54F0C"/>
    <w:rsid w:val="00C54F27"/>
    <w:rsid w:val="00C54F80"/>
    <w:rsid w:val="00C5501E"/>
    <w:rsid w:val="00C55099"/>
    <w:rsid w:val="00C550B7"/>
    <w:rsid w:val="00C5518C"/>
    <w:rsid w:val="00C551B1"/>
    <w:rsid w:val="00C55362"/>
    <w:rsid w:val="00C553CC"/>
    <w:rsid w:val="00C553E2"/>
    <w:rsid w:val="00C55404"/>
    <w:rsid w:val="00C5546D"/>
    <w:rsid w:val="00C554B3"/>
    <w:rsid w:val="00C554D8"/>
    <w:rsid w:val="00C554E7"/>
    <w:rsid w:val="00C555B3"/>
    <w:rsid w:val="00C555BC"/>
    <w:rsid w:val="00C555E3"/>
    <w:rsid w:val="00C55633"/>
    <w:rsid w:val="00C55657"/>
    <w:rsid w:val="00C55701"/>
    <w:rsid w:val="00C5571C"/>
    <w:rsid w:val="00C557F4"/>
    <w:rsid w:val="00C558AC"/>
    <w:rsid w:val="00C5599B"/>
    <w:rsid w:val="00C5599E"/>
    <w:rsid w:val="00C55A0D"/>
    <w:rsid w:val="00C55B0B"/>
    <w:rsid w:val="00C55B9B"/>
    <w:rsid w:val="00C55C08"/>
    <w:rsid w:val="00C55C39"/>
    <w:rsid w:val="00C55C88"/>
    <w:rsid w:val="00C55CE1"/>
    <w:rsid w:val="00C55E53"/>
    <w:rsid w:val="00C55FA7"/>
    <w:rsid w:val="00C55FDE"/>
    <w:rsid w:val="00C5608B"/>
    <w:rsid w:val="00C561D0"/>
    <w:rsid w:val="00C56207"/>
    <w:rsid w:val="00C56218"/>
    <w:rsid w:val="00C562ED"/>
    <w:rsid w:val="00C56421"/>
    <w:rsid w:val="00C564A8"/>
    <w:rsid w:val="00C564FD"/>
    <w:rsid w:val="00C56511"/>
    <w:rsid w:val="00C5656C"/>
    <w:rsid w:val="00C5659B"/>
    <w:rsid w:val="00C5659C"/>
    <w:rsid w:val="00C56666"/>
    <w:rsid w:val="00C56776"/>
    <w:rsid w:val="00C567C8"/>
    <w:rsid w:val="00C567E9"/>
    <w:rsid w:val="00C56895"/>
    <w:rsid w:val="00C5691F"/>
    <w:rsid w:val="00C56975"/>
    <w:rsid w:val="00C56A5A"/>
    <w:rsid w:val="00C56B2D"/>
    <w:rsid w:val="00C56BE6"/>
    <w:rsid w:val="00C56C8E"/>
    <w:rsid w:val="00C56CA9"/>
    <w:rsid w:val="00C56CBB"/>
    <w:rsid w:val="00C56CCF"/>
    <w:rsid w:val="00C56D07"/>
    <w:rsid w:val="00C56D2F"/>
    <w:rsid w:val="00C56DC1"/>
    <w:rsid w:val="00C56DD0"/>
    <w:rsid w:val="00C56ECC"/>
    <w:rsid w:val="00C56ED3"/>
    <w:rsid w:val="00C56F05"/>
    <w:rsid w:val="00C56F4C"/>
    <w:rsid w:val="00C56FB9"/>
    <w:rsid w:val="00C56FF8"/>
    <w:rsid w:val="00C5727F"/>
    <w:rsid w:val="00C5732D"/>
    <w:rsid w:val="00C5739F"/>
    <w:rsid w:val="00C573E3"/>
    <w:rsid w:val="00C5765C"/>
    <w:rsid w:val="00C576B6"/>
    <w:rsid w:val="00C57777"/>
    <w:rsid w:val="00C57806"/>
    <w:rsid w:val="00C5784B"/>
    <w:rsid w:val="00C5785D"/>
    <w:rsid w:val="00C57875"/>
    <w:rsid w:val="00C5789E"/>
    <w:rsid w:val="00C5797C"/>
    <w:rsid w:val="00C57992"/>
    <w:rsid w:val="00C57997"/>
    <w:rsid w:val="00C57A29"/>
    <w:rsid w:val="00C57A64"/>
    <w:rsid w:val="00C57AB0"/>
    <w:rsid w:val="00C57AB6"/>
    <w:rsid w:val="00C57ACA"/>
    <w:rsid w:val="00C57AF2"/>
    <w:rsid w:val="00C57BF0"/>
    <w:rsid w:val="00C57C2D"/>
    <w:rsid w:val="00C57C78"/>
    <w:rsid w:val="00C57C7C"/>
    <w:rsid w:val="00C57CE7"/>
    <w:rsid w:val="00C57CF1"/>
    <w:rsid w:val="00C57D26"/>
    <w:rsid w:val="00C57D40"/>
    <w:rsid w:val="00C57DBA"/>
    <w:rsid w:val="00C57E14"/>
    <w:rsid w:val="00C57E59"/>
    <w:rsid w:val="00C57F8C"/>
    <w:rsid w:val="00C57F9C"/>
    <w:rsid w:val="00C57FBD"/>
    <w:rsid w:val="00C5C077"/>
    <w:rsid w:val="00C60066"/>
    <w:rsid w:val="00C6008B"/>
    <w:rsid w:val="00C600E3"/>
    <w:rsid w:val="00C60134"/>
    <w:rsid w:val="00C60194"/>
    <w:rsid w:val="00C601F6"/>
    <w:rsid w:val="00C6028A"/>
    <w:rsid w:val="00C602E2"/>
    <w:rsid w:val="00C6033D"/>
    <w:rsid w:val="00C60377"/>
    <w:rsid w:val="00C604C0"/>
    <w:rsid w:val="00C60537"/>
    <w:rsid w:val="00C6056B"/>
    <w:rsid w:val="00C60588"/>
    <w:rsid w:val="00C605F3"/>
    <w:rsid w:val="00C606EA"/>
    <w:rsid w:val="00C60938"/>
    <w:rsid w:val="00C60978"/>
    <w:rsid w:val="00C60AED"/>
    <w:rsid w:val="00C60B07"/>
    <w:rsid w:val="00C60B22"/>
    <w:rsid w:val="00C60BA2"/>
    <w:rsid w:val="00C60CB4"/>
    <w:rsid w:val="00C60D65"/>
    <w:rsid w:val="00C60E24"/>
    <w:rsid w:val="00C60E59"/>
    <w:rsid w:val="00C60EC1"/>
    <w:rsid w:val="00C60F22"/>
    <w:rsid w:val="00C60FF9"/>
    <w:rsid w:val="00C6102D"/>
    <w:rsid w:val="00C610D0"/>
    <w:rsid w:val="00C6112B"/>
    <w:rsid w:val="00C611DE"/>
    <w:rsid w:val="00C61234"/>
    <w:rsid w:val="00C6126F"/>
    <w:rsid w:val="00C612E3"/>
    <w:rsid w:val="00C612FE"/>
    <w:rsid w:val="00C61367"/>
    <w:rsid w:val="00C61416"/>
    <w:rsid w:val="00C61456"/>
    <w:rsid w:val="00C6159B"/>
    <w:rsid w:val="00C615A4"/>
    <w:rsid w:val="00C615C2"/>
    <w:rsid w:val="00C61619"/>
    <w:rsid w:val="00C616A1"/>
    <w:rsid w:val="00C616B4"/>
    <w:rsid w:val="00C616FC"/>
    <w:rsid w:val="00C617B8"/>
    <w:rsid w:val="00C61825"/>
    <w:rsid w:val="00C61864"/>
    <w:rsid w:val="00C61A39"/>
    <w:rsid w:val="00C61A8F"/>
    <w:rsid w:val="00C61B39"/>
    <w:rsid w:val="00C61B50"/>
    <w:rsid w:val="00C61C72"/>
    <w:rsid w:val="00C61CEC"/>
    <w:rsid w:val="00C61CF1"/>
    <w:rsid w:val="00C61CFF"/>
    <w:rsid w:val="00C61D26"/>
    <w:rsid w:val="00C61DB5"/>
    <w:rsid w:val="00C61E1C"/>
    <w:rsid w:val="00C61F59"/>
    <w:rsid w:val="00C62093"/>
    <w:rsid w:val="00C62110"/>
    <w:rsid w:val="00C62188"/>
    <w:rsid w:val="00C621DA"/>
    <w:rsid w:val="00C62255"/>
    <w:rsid w:val="00C62268"/>
    <w:rsid w:val="00C6229A"/>
    <w:rsid w:val="00C62385"/>
    <w:rsid w:val="00C62428"/>
    <w:rsid w:val="00C6243E"/>
    <w:rsid w:val="00C62467"/>
    <w:rsid w:val="00C624DF"/>
    <w:rsid w:val="00C62520"/>
    <w:rsid w:val="00C6258D"/>
    <w:rsid w:val="00C625CC"/>
    <w:rsid w:val="00C625E8"/>
    <w:rsid w:val="00C625EE"/>
    <w:rsid w:val="00C6270D"/>
    <w:rsid w:val="00C62710"/>
    <w:rsid w:val="00C62733"/>
    <w:rsid w:val="00C6273A"/>
    <w:rsid w:val="00C628FB"/>
    <w:rsid w:val="00C629D7"/>
    <w:rsid w:val="00C62B3C"/>
    <w:rsid w:val="00C62B83"/>
    <w:rsid w:val="00C62B8E"/>
    <w:rsid w:val="00C62C00"/>
    <w:rsid w:val="00C62C0D"/>
    <w:rsid w:val="00C62D4D"/>
    <w:rsid w:val="00C62DEB"/>
    <w:rsid w:val="00C62FA1"/>
    <w:rsid w:val="00C62FD9"/>
    <w:rsid w:val="00C630AE"/>
    <w:rsid w:val="00C630E3"/>
    <w:rsid w:val="00C63162"/>
    <w:rsid w:val="00C631DC"/>
    <w:rsid w:val="00C63282"/>
    <w:rsid w:val="00C63322"/>
    <w:rsid w:val="00C63330"/>
    <w:rsid w:val="00C633E9"/>
    <w:rsid w:val="00C63437"/>
    <w:rsid w:val="00C634D0"/>
    <w:rsid w:val="00C6370A"/>
    <w:rsid w:val="00C637CD"/>
    <w:rsid w:val="00C638E5"/>
    <w:rsid w:val="00C63A09"/>
    <w:rsid w:val="00C63ADC"/>
    <w:rsid w:val="00C63BAB"/>
    <w:rsid w:val="00C63BDB"/>
    <w:rsid w:val="00C63BF6"/>
    <w:rsid w:val="00C63CC4"/>
    <w:rsid w:val="00C63D32"/>
    <w:rsid w:val="00C63D89"/>
    <w:rsid w:val="00C63E14"/>
    <w:rsid w:val="00C63E46"/>
    <w:rsid w:val="00C63EC4"/>
    <w:rsid w:val="00C63EE9"/>
    <w:rsid w:val="00C64003"/>
    <w:rsid w:val="00C640C3"/>
    <w:rsid w:val="00C640D1"/>
    <w:rsid w:val="00C640DB"/>
    <w:rsid w:val="00C64100"/>
    <w:rsid w:val="00C64207"/>
    <w:rsid w:val="00C64253"/>
    <w:rsid w:val="00C642A2"/>
    <w:rsid w:val="00C642B7"/>
    <w:rsid w:val="00C64345"/>
    <w:rsid w:val="00C6436B"/>
    <w:rsid w:val="00C64398"/>
    <w:rsid w:val="00C643B8"/>
    <w:rsid w:val="00C64440"/>
    <w:rsid w:val="00C644F2"/>
    <w:rsid w:val="00C6454D"/>
    <w:rsid w:val="00C64636"/>
    <w:rsid w:val="00C64698"/>
    <w:rsid w:val="00C6470D"/>
    <w:rsid w:val="00C647A2"/>
    <w:rsid w:val="00C647F1"/>
    <w:rsid w:val="00C6480F"/>
    <w:rsid w:val="00C64910"/>
    <w:rsid w:val="00C64A3E"/>
    <w:rsid w:val="00C64B96"/>
    <w:rsid w:val="00C64BF7"/>
    <w:rsid w:val="00C64C07"/>
    <w:rsid w:val="00C64C09"/>
    <w:rsid w:val="00C64CB8"/>
    <w:rsid w:val="00C64D06"/>
    <w:rsid w:val="00C64DC4"/>
    <w:rsid w:val="00C64EC6"/>
    <w:rsid w:val="00C64EDD"/>
    <w:rsid w:val="00C64F2E"/>
    <w:rsid w:val="00C6518F"/>
    <w:rsid w:val="00C65208"/>
    <w:rsid w:val="00C65259"/>
    <w:rsid w:val="00C65341"/>
    <w:rsid w:val="00C6542E"/>
    <w:rsid w:val="00C65436"/>
    <w:rsid w:val="00C654B9"/>
    <w:rsid w:val="00C655BA"/>
    <w:rsid w:val="00C656E0"/>
    <w:rsid w:val="00C65788"/>
    <w:rsid w:val="00C657A1"/>
    <w:rsid w:val="00C657C0"/>
    <w:rsid w:val="00C65800"/>
    <w:rsid w:val="00C65883"/>
    <w:rsid w:val="00C658A3"/>
    <w:rsid w:val="00C658C0"/>
    <w:rsid w:val="00C6598A"/>
    <w:rsid w:val="00C659D7"/>
    <w:rsid w:val="00C65B0B"/>
    <w:rsid w:val="00C65B29"/>
    <w:rsid w:val="00C65B6C"/>
    <w:rsid w:val="00C65B7C"/>
    <w:rsid w:val="00C65B8F"/>
    <w:rsid w:val="00C65BC6"/>
    <w:rsid w:val="00C65BC8"/>
    <w:rsid w:val="00C65CEB"/>
    <w:rsid w:val="00C65D0D"/>
    <w:rsid w:val="00C65DB7"/>
    <w:rsid w:val="00C65DC3"/>
    <w:rsid w:val="00C65E62"/>
    <w:rsid w:val="00C65F67"/>
    <w:rsid w:val="00C65F89"/>
    <w:rsid w:val="00C66000"/>
    <w:rsid w:val="00C6605F"/>
    <w:rsid w:val="00C660A8"/>
    <w:rsid w:val="00C66146"/>
    <w:rsid w:val="00C661DA"/>
    <w:rsid w:val="00C6625D"/>
    <w:rsid w:val="00C6644E"/>
    <w:rsid w:val="00C664AB"/>
    <w:rsid w:val="00C66544"/>
    <w:rsid w:val="00C66591"/>
    <w:rsid w:val="00C665B6"/>
    <w:rsid w:val="00C66603"/>
    <w:rsid w:val="00C6661E"/>
    <w:rsid w:val="00C66696"/>
    <w:rsid w:val="00C669E3"/>
    <w:rsid w:val="00C66A33"/>
    <w:rsid w:val="00C66A65"/>
    <w:rsid w:val="00C66A6E"/>
    <w:rsid w:val="00C66ADD"/>
    <w:rsid w:val="00C66AFD"/>
    <w:rsid w:val="00C66B85"/>
    <w:rsid w:val="00C66BC5"/>
    <w:rsid w:val="00C66C2C"/>
    <w:rsid w:val="00C66C49"/>
    <w:rsid w:val="00C66C87"/>
    <w:rsid w:val="00C66CCD"/>
    <w:rsid w:val="00C66D21"/>
    <w:rsid w:val="00C66D4B"/>
    <w:rsid w:val="00C66D86"/>
    <w:rsid w:val="00C66DFC"/>
    <w:rsid w:val="00C66EA4"/>
    <w:rsid w:val="00C66EB2"/>
    <w:rsid w:val="00C66EB9"/>
    <w:rsid w:val="00C66F28"/>
    <w:rsid w:val="00C66F62"/>
    <w:rsid w:val="00C67034"/>
    <w:rsid w:val="00C67046"/>
    <w:rsid w:val="00C670ED"/>
    <w:rsid w:val="00C67117"/>
    <w:rsid w:val="00C67269"/>
    <w:rsid w:val="00C672C7"/>
    <w:rsid w:val="00C672CA"/>
    <w:rsid w:val="00C67305"/>
    <w:rsid w:val="00C67336"/>
    <w:rsid w:val="00C67418"/>
    <w:rsid w:val="00C67524"/>
    <w:rsid w:val="00C6772C"/>
    <w:rsid w:val="00C6777D"/>
    <w:rsid w:val="00C678F6"/>
    <w:rsid w:val="00C67935"/>
    <w:rsid w:val="00C679CD"/>
    <w:rsid w:val="00C67AA5"/>
    <w:rsid w:val="00C67ACB"/>
    <w:rsid w:val="00C67C27"/>
    <w:rsid w:val="00C67CD2"/>
    <w:rsid w:val="00C67D79"/>
    <w:rsid w:val="00C67E3F"/>
    <w:rsid w:val="00C67E98"/>
    <w:rsid w:val="00C67EA0"/>
    <w:rsid w:val="00C67EAA"/>
    <w:rsid w:val="00C67EE9"/>
    <w:rsid w:val="00C67F19"/>
    <w:rsid w:val="00C67F85"/>
    <w:rsid w:val="00C67FFE"/>
    <w:rsid w:val="00C70088"/>
    <w:rsid w:val="00C7015B"/>
    <w:rsid w:val="00C701F9"/>
    <w:rsid w:val="00C70205"/>
    <w:rsid w:val="00C702C9"/>
    <w:rsid w:val="00C703C4"/>
    <w:rsid w:val="00C703CA"/>
    <w:rsid w:val="00C70424"/>
    <w:rsid w:val="00C7042D"/>
    <w:rsid w:val="00C7046B"/>
    <w:rsid w:val="00C7047C"/>
    <w:rsid w:val="00C704F3"/>
    <w:rsid w:val="00C70630"/>
    <w:rsid w:val="00C7063C"/>
    <w:rsid w:val="00C70650"/>
    <w:rsid w:val="00C70667"/>
    <w:rsid w:val="00C706A9"/>
    <w:rsid w:val="00C706F3"/>
    <w:rsid w:val="00C70726"/>
    <w:rsid w:val="00C7073F"/>
    <w:rsid w:val="00C70797"/>
    <w:rsid w:val="00C70814"/>
    <w:rsid w:val="00C70841"/>
    <w:rsid w:val="00C70921"/>
    <w:rsid w:val="00C7097E"/>
    <w:rsid w:val="00C709A7"/>
    <w:rsid w:val="00C70A65"/>
    <w:rsid w:val="00C70BFD"/>
    <w:rsid w:val="00C70C4B"/>
    <w:rsid w:val="00C70CCA"/>
    <w:rsid w:val="00C70D1F"/>
    <w:rsid w:val="00C70D22"/>
    <w:rsid w:val="00C70D4E"/>
    <w:rsid w:val="00C70E05"/>
    <w:rsid w:val="00C70E17"/>
    <w:rsid w:val="00C70E90"/>
    <w:rsid w:val="00C7104D"/>
    <w:rsid w:val="00C71090"/>
    <w:rsid w:val="00C7109F"/>
    <w:rsid w:val="00C71156"/>
    <w:rsid w:val="00C71278"/>
    <w:rsid w:val="00C71367"/>
    <w:rsid w:val="00C713B2"/>
    <w:rsid w:val="00C713B6"/>
    <w:rsid w:val="00C71443"/>
    <w:rsid w:val="00C7151E"/>
    <w:rsid w:val="00C7157C"/>
    <w:rsid w:val="00C715A1"/>
    <w:rsid w:val="00C71652"/>
    <w:rsid w:val="00C717EA"/>
    <w:rsid w:val="00C717F9"/>
    <w:rsid w:val="00C7184B"/>
    <w:rsid w:val="00C718B7"/>
    <w:rsid w:val="00C718D7"/>
    <w:rsid w:val="00C718E9"/>
    <w:rsid w:val="00C71967"/>
    <w:rsid w:val="00C719AD"/>
    <w:rsid w:val="00C71A06"/>
    <w:rsid w:val="00C71A33"/>
    <w:rsid w:val="00C71A36"/>
    <w:rsid w:val="00C71B44"/>
    <w:rsid w:val="00C71C1F"/>
    <w:rsid w:val="00C71E9A"/>
    <w:rsid w:val="00C71EC8"/>
    <w:rsid w:val="00C71F47"/>
    <w:rsid w:val="00C7200D"/>
    <w:rsid w:val="00C7206D"/>
    <w:rsid w:val="00C72119"/>
    <w:rsid w:val="00C721A5"/>
    <w:rsid w:val="00C721E8"/>
    <w:rsid w:val="00C72222"/>
    <w:rsid w:val="00C72224"/>
    <w:rsid w:val="00C72327"/>
    <w:rsid w:val="00C723D1"/>
    <w:rsid w:val="00C723E3"/>
    <w:rsid w:val="00C724C7"/>
    <w:rsid w:val="00C7267B"/>
    <w:rsid w:val="00C72958"/>
    <w:rsid w:val="00C72959"/>
    <w:rsid w:val="00C729D5"/>
    <w:rsid w:val="00C729E5"/>
    <w:rsid w:val="00C72A4C"/>
    <w:rsid w:val="00C72CA7"/>
    <w:rsid w:val="00C72DDF"/>
    <w:rsid w:val="00C72DFF"/>
    <w:rsid w:val="00C72E87"/>
    <w:rsid w:val="00C72EE9"/>
    <w:rsid w:val="00C72FE6"/>
    <w:rsid w:val="00C730AA"/>
    <w:rsid w:val="00C73142"/>
    <w:rsid w:val="00C73168"/>
    <w:rsid w:val="00C731EF"/>
    <w:rsid w:val="00C73316"/>
    <w:rsid w:val="00C73416"/>
    <w:rsid w:val="00C73440"/>
    <w:rsid w:val="00C734CF"/>
    <w:rsid w:val="00C7350F"/>
    <w:rsid w:val="00C7352C"/>
    <w:rsid w:val="00C7360A"/>
    <w:rsid w:val="00C7368F"/>
    <w:rsid w:val="00C736EE"/>
    <w:rsid w:val="00C738BF"/>
    <w:rsid w:val="00C73917"/>
    <w:rsid w:val="00C7395C"/>
    <w:rsid w:val="00C739EF"/>
    <w:rsid w:val="00C73A5D"/>
    <w:rsid w:val="00C73AC6"/>
    <w:rsid w:val="00C73AE3"/>
    <w:rsid w:val="00C73B30"/>
    <w:rsid w:val="00C73B93"/>
    <w:rsid w:val="00C73B95"/>
    <w:rsid w:val="00C73C0D"/>
    <w:rsid w:val="00C73C2A"/>
    <w:rsid w:val="00C73CD5"/>
    <w:rsid w:val="00C73E24"/>
    <w:rsid w:val="00C73E2F"/>
    <w:rsid w:val="00C73E32"/>
    <w:rsid w:val="00C73E4C"/>
    <w:rsid w:val="00C73E58"/>
    <w:rsid w:val="00C73E98"/>
    <w:rsid w:val="00C73EBC"/>
    <w:rsid w:val="00C73F3F"/>
    <w:rsid w:val="00C740A1"/>
    <w:rsid w:val="00C740E5"/>
    <w:rsid w:val="00C7418A"/>
    <w:rsid w:val="00C741A3"/>
    <w:rsid w:val="00C742CB"/>
    <w:rsid w:val="00C7430B"/>
    <w:rsid w:val="00C74322"/>
    <w:rsid w:val="00C74351"/>
    <w:rsid w:val="00C74373"/>
    <w:rsid w:val="00C74384"/>
    <w:rsid w:val="00C74392"/>
    <w:rsid w:val="00C7439F"/>
    <w:rsid w:val="00C7443E"/>
    <w:rsid w:val="00C7446F"/>
    <w:rsid w:val="00C744D9"/>
    <w:rsid w:val="00C74546"/>
    <w:rsid w:val="00C7459A"/>
    <w:rsid w:val="00C745A4"/>
    <w:rsid w:val="00C7461A"/>
    <w:rsid w:val="00C7465E"/>
    <w:rsid w:val="00C74725"/>
    <w:rsid w:val="00C74770"/>
    <w:rsid w:val="00C74798"/>
    <w:rsid w:val="00C747D9"/>
    <w:rsid w:val="00C74801"/>
    <w:rsid w:val="00C749A6"/>
    <w:rsid w:val="00C74A18"/>
    <w:rsid w:val="00C74A39"/>
    <w:rsid w:val="00C74A74"/>
    <w:rsid w:val="00C74AD7"/>
    <w:rsid w:val="00C74B14"/>
    <w:rsid w:val="00C74B84"/>
    <w:rsid w:val="00C74BCC"/>
    <w:rsid w:val="00C74C67"/>
    <w:rsid w:val="00C74C96"/>
    <w:rsid w:val="00C74D05"/>
    <w:rsid w:val="00C74D31"/>
    <w:rsid w:val="00C74D5B"/>
    <w:rsid w:val="00C74D61"/>
    <w:rsid w:val="00C74DBC"/>
    <w:rsid w:val="00C74F10"/>
    <w:rsid w:val="00C74F3C"/>
    <w:rsid w:val="00C74F6D"/>
    <w:rsid w:val="00C75037"/>
    <w:rsid w:val="00C75099"/>
    <w:rsid w:val="00C75156"/>
    <w:rsid w:val="00C75186"/>
    <w:rsid w:val="00C75259"/>
    <w:rsid w:val="00C75297"/>
    <w:rsid w:val="00C752A5"/>
    <w:rsid w:val="00C75326"/>
    <w:rsid w:val="00C75377"/>
    <w:rsid w:val="00C75411"/>
    <w:rsid w:val="00C7551B"/>
    <w:rsid w:val="00C7552B"/>
    <w:rsid w:val="00C755BC"/>
    <w:rsid w:val="00C755C4"/>
    <w:rsid w:val="00C75629"/>
    <w:rsid w:val="00C75633"/>
    <w:rsid w:val="00C75656"/>
    <w:rsid w:val="00C75676"/>
    <w:rsid w:val="00C75695"/>
    <w:rsid w:val="00C756B2"/>
    <w:rsid w:val="00C75706"/>
    <w:rsid w:val="00C757DF"/>
    <w:rsid w:val="00C75863"/>
    <w:rsid w:val="00C75980"/>
    <w:rsid w:val="00C759F0"/>
    <w:rsid w:val="00C75A2A"/>
    <w:rsid w:val="00C75A3E"/>
    <w:rsid w:val="00C75ACA"/>
    <w:rsid w:val="00C75AE8"/>
    <w:rsid w:val="00C75B7F"/>
    <w:rsid w:val="00C75BD5"/>
    <w:rsid w:val="00C75BFE"/>
    <w:rsid w:val="00C75C44"/>
    <w:rsid w:val="00C75CC8"/>
    <w:rsid w:val="00C75D23"/>
    <w:rsid w:val="00C75D65"/>
    <w:rsid w:val="00C75DB5"/>
    <w:rsid w:val="00C75E18"/>
    <w:rsid w:val="00C75E70"/>
    <w:rsid w:val="00C75E9F"/>
    <w:rsid w:val="00C75F45"/>
    <w:rsid w:val="00C76047"/>
    <w:rsid w:val="00C76057"/>
    <w:rsid w:val="00C760F6"/>
    <w:rsid w:val="00C76263"/>
    <w:rsid w:val="00C76340"/>
    <w:rsid w:val="00C7637E"/>
    <w:rsid w:val="00C763F0"/>
    <w:rsid w:val="00C76456"/>
    <w:rsid w:val="00C764B5"/>
    <w:rsid w:val="00C76598"/>
    <w:rsid w:val="00C765BC"/>
    <w:rsid w:val="00C76667"/>
    <w:rsid w:val="00C766D4"/>
    <w:rsid w:val="00C766E2"/>
    <w:rsid w:val="00C7676C"/>
    <w:rsid w:val="00C7678A"/>
    <w:rsid w:val="00C76819"/>
    <w:rsid w:val="00C7681C"/>
    <w:rsid w:val="00C76837"/>
    <w:rsid w:val="00C76866"/>
    <w:rsid w:val="00C768B8"/>
    <w:rsid w:val="00C76942"/>
    <w:rsid w:val="00C76957"/>
    <w:rsid w:val="00C76975"/>
    <w:rsid w:val="00C7697B"/>
    <w:rsid w:val="00C7697E"/>
    <w:rsid w:val="00C769DE"/>
    <w:rsid w:val="00C769F6"/>
    <w:rsid w:val="00C76AAE"/>
    <w:rsid w:val="00C76AC0"/>
    <w:rsid w:val="00C76B4C"/>
    <w:rsid w:val="00C76C95"/>
    <w:rsid w:val="00C76CE8"/>
    <w:rsid w:val="00C76D69"/>
    <w:rsid w:val="00C76DC6"/>
    <w:rsid w:val="00C76EA6"/>
    <w:rsid w:val="00C76EBD"/>
    <w:rsid w:val="00C76EF3"/>
    <w:rsid w:val="00C76F3E"/>
    <w:rsid w:val="00C76FE5"/>
    <w:rsid w:val="00C76FFD"/>
    <w:rsid w:val="00C7700C"/>
    <w:rsid w:val="00C7709F"/>
    <w:rsid w:val="00C770C9"/>
    <w:rsid w:val="00C770CA"/>
    <w:rsid w:val="00C770FD"/>
    <w:rsid w:val="00C77143"/>
    <w:rsid w:val="00C77153"/>
    <w:rsid w:val="00C77282"/>
    <w:rsid w:val="00C772BA"/>
    <w:rsid w:val="00C7743C"/>
    <w:rsid w:val="00C77526"/>
    <w:rsid w:val="00C77544"/>
    <w:rsid w:val="00C775ED"/>
    <w:rsid w:val="00C776A8"/>
    <w:rsid w:val="00C776D1"/>
    <w:rsid w:val="00C7770C"/>
    <w:rsid w:val="00C77775"/>
    <w:rsid w:val="00C77791"/>
    <w:rsid w:val="00C777ED"/>
    <w:rsid w:val="00C77853"/>
    <w:rsid w:val="00C77897"/>
    <w:rsid w:val="00C778AB"/>
    <w:rsid w:val="00C7797C"/>
    <w:rsid w:val="00C77989"/>
    <w:rsid w:val="00C77AF1"/>
    <w:rsid w:val="00C77B32"/>
    <w:rsid w:val="00C77B84"/>
    <w:rsid w:val="00C77C2C"/>
    <w:rsid w:val="00C77C6B"/>
    <w:rsid w:val="00C77E1B"/>
    <w:rsid w:val="00C77E21"/>
    <w:rsid w:val="00C77E63"/>
    <w:rsid w:val="00C77F56"/>
    <w:rsid w:val="00C8030A"/>
    <w:rsid w:val="00C80332"/>
    <w:rsid w:val="00C80475"/>
    <w:rsid w:val="00C8059E"/>
    <w:rsid w:val="00C805D1"/>
    <w:rsid w:val="00C805E2"/>
    <w:rsid w:val="00C8062D"/>
    <w:rsid w:val="00C8068B"/>
    <w:rsid w:val="00C806B2"/>
    <w:rsid w:val="00C80759"/>
    <w:rsid w:val="00C80797"/>
    <w:rsid w:val="00C807F3"/>
    <w:rsid w:val="00C80812"/>
    <w:rsid w:val="00C80828"/>
    <w:rsid w:val="00C80862"/>
    <w:rsid w:val="00C8092C"/>
    <w:rsid w:val="00C809B7"/>
    <w:rsid w:val="00C809BD"/>
    <w:rsid w:val="00C809D0"/>
    <w:rsid w:val="00C80A0A"/>
    <w:rsid w:val="00C80AEE"/>
    <w:rsid w:val="00C80B43"/>
    <w:rsid w:val="00C80BAD"/>
    <w:rsid w:val="00C80C87"/>
    <w:rsid w:val="00C80C95"/>
    <w:rsid w:val="00C80C9F"/>
    <w:rsid w:val="00C80D6A"/>
    <w:rsid w:val="00C80E51"/>
    <w:rsid w:val="00C80F54"/>
    <w:rsid w:val="00C80F6E"/>
    <w:rsid w:val="00C80FDA"/>
    <w:rsid w:val="00C8104C"/>
    <w:rsid w:val="00C81221"/>
    <w:rsid w:val="00C8124A"/>
    <w:rsid w:val="00C8126A"/>
    <w:rsid w:val="00C81286"/>
    <w:rsid w:val="00C812EF"/>
    <w:rsid w:val="00C813BA"/>
    <w:rsid w:val="00C81461"/>
    <w:rsid w:val="00C81540"/>
    <w:rsid w:val="00C815A6"/>
    <w:rsid w:val="00C815A9"/>
    <w:rsid w:val="00C815BA"/>
    <w:rsid w:val="00C81656"/>
    <w:rsid w:val="00C817AA"/>
    <w:rsid w:val="00C817C8"/>
    <w:rsid w:val="00C81813"/>
    <w:rsid w:val="00C81855"/>
    <w:rsid w:val="00C81866"/>
    <w:rsid w:val="00C818A0"/>
    <w:rsid w:val="00C8190E"/>
    <w:rsid w:val="00C81944"/>
    <w:rsid w:val="00C81A03"/>
    <w:rsid w:val="00C81AF9"/>
    <w:rsid w:val="00C81B12"/>
    <w:rsid w:val="00C81B46"/>
    <w:rsid w:val="00C81B4E"/>
    <w:rsid w:val="00C81BF0"/>
    <w:rsid w:val="00C81C42"/>
    <w:rsid w:val="00C81C47"/>
    <w:rsid w:val="00C81D77"/>
    <w:rsid w:val="00C81E3F"/>
    <w:rsid w:val="00C81E62"/>
    <w:rsid w:val="00C81FA2"/>
    <w:rsid w:val="00C82027"/>
    <w:rsid w:val="00C820D6"/>
    <w:rsid w:val="00C821B7"/>
    <w:rsid w:val="00C821D9"/>
    <w:rsid w:val="00C82362"/>
    <w:rsid w:val="00C82369"/>
    <w:rsid w:val="00C823B9"/>
    <w:rsid w:val="00C823D3"/>
    <w:rsid w:val="00C82436"/>
    <w:rsid w:val="00C8243C"/>
    <w:rsid w:val="00C82474"/>
    <w:rsid w:val="00C824FA"/>
    <w:rsid w:val="00C82520"/>
    <w:rsid w:val="00C82532"/>
    <w:rsid w:val="00C825E2"/>
    <w:rsid w:val="00C826FC"/>
    <w:rsid w:val="00C827F1"/>
    <w:rsid w:val="00C827FB"/>
    <w:rsid w:val="00C8289B"/>
    <w:rsid w:val="00C82B3B"/>
    <w:rsid w:val="00C82C89"/>
    <w:rsid w:val="00C82C92"/>
    <w:rsid w:val="00C82D05"/>
    <w:rsid w:val="00C82D87"/>
    <w:rsid w:val="00C82EB2"/>
    <w:rsid w:val="00C82EB9"/>
    <w:rsid w:val="00C82F14"/>
    <w:rsid w:val="00C82F3B"/>
    <w:rsid w:val="00C82FA1"/>
    <w:rsid w:val="00C82FB9"/>
    <w:rsid w:val="00C8305A"/>
    <w:rsid w:val="00C830AB"/>
    <w:rsid w:val="00C830BA"/>
    <w:rsid w:val="00C830FB"/>
    <w:rsid w:val="00C8313E"/>
    <w:rsid w:val="00C83175"/>
    <w:rsid w:val="00C831BC"/>
    <w:rsid w:val="00C8328E"/>
    <w:rsid w:val="00C83305"/>
    <w:rsid w:val="00C83321"/>
    <w:rsid w:val="00C833A5"/>
    <w:rsid w:val="00C833DB"/>
    <w:rsid w:val="00C8348B"/>
    <w:rsid w:val="00C83595"/>
    <w:rsid w:val="00C8361E"/>
    <w:rsid w:val="00C836D9"/>
    <w:rsid w:val="00C836F6"/>
    <w:rsid w:val="00C83798"/>
    <w:rsid w:val="00C83811"/>
    <w:rsid w:val="00C838DD"/>
    <w:rsid w:val="00C83906"/>
    <w:rsid w:val="00C8393A"/>
    <w:rsid w:val="00C83951"/>
    <w:rsid w:val="00C83969"/>
    <w:rsid w:val="00C839AB"/>
    <w:rsid w:val="00C83A6E"/>
    <w:rsid w:val="00C83A9B"/>
    <w:rsid w:val="00C83C2E"/>
    <w:rsid w:val="00C83D0B"/>
    <w:rsid w:val="00C83D3B"/>
    <w:rsid w:val="00C83DBA"/>
    <w:rsid w:val="00C83E23"/>
    <w:rsid w:val="00C83E6B"/>
    <w:rsid w:val="00C83EBC"/>
    <w:rsid w:val="00C83F13"/>
    <w:rsid w:val="00C83F8A"/>
    <w:rsid w:val="00C83FA1"/>
    <w:rsid w:val="00C8401E"/>
    <w:rsid w:val="00C84173"/>
    <w:rsid w:val="00C84188"/>
    <w:rsid w:val="00C8418D"/>
    <w:rsid w:val="00C841D0"/>
    <w:rsid w:val="00C8422D"/>
    <w:rsid w:val="00C84266"/>
    <w:rsid w:val="00C84283"/>
    <w:rsid w:val="00C844D9"/>
    <w:rsid w:val="00C84537"/>
    <w:rsid w:val="00C84541"/>
    <w:rsid w:val="00C84604"/>
    <w:rsid w:val="00C8466A"/>
    <w:rsid w:val="00C84785"/>
    <w:rsid w:val="00C8478D"/>
    <w:rsid w:val="00C847FF"/>
    <w:rsid w:val="00C8481A"/>
    <w:rsid w:val="00C84955"/>
    <w:rsid w:val="00C8496B"/>
    <w:rsid w:val="00C849CD"/>
    <w:rsid w:val="00C84C79"/>
    <w:rsid w:val="00C84CE0"/>
    <w:rsid w:val="00C84D88"/>
    <w:rsid w:val="00C84F5E"/>
    <w:rsid w:val="00C84F7A"/>
    <w:rsid w:val="00C84FDD"/>
    <w:rsid w:val="00C85141"/>
    <w:rsid w:val="00C85156"/>
    <w:rsid w:val="00C85290"/>
    <w:rsid w:val="00C852DD"/>
    <w:rsid w:val="00C85380"/>
    <w:rsid w:val="00C85432"/>
    <w:rsid w:val="00C854A2"/>
    <w:rsid w:val="00C8566D"/>
    <w:rsid w:val="00C856A8"/>
    <w:rsid w:val="00C8570F"/>
    <w:rsid w:val="00C857A6"/>
    <w:rsid w:val="00C85802"/>
    <w:rsid w:val="00C85821"/>
    <w:rsid w:val="00C85838"/>
    <w:rsid w:val="00C8586E"/>
    <w:rsid w:val="00C858E3"/>
    <w:rsid w:val="00C85900"/>
    <w:rsid w:val="00C85903"/>
    <w:rsid w:val="00C85908"/>
    <w:rsid w:val="00C85A31"/>
    <w:rsid w:val="00C85A87"/>
    <w:rsid w:val="00C85ADB"/>
    <w:rsid w:val="00C85B10"/>
    <w:rsid w:val="00C85C3F"/>
    <w:rsid w:val="00C85CAF"/>
    <w:rsid w:val="00C85D10"/>
    <w:rsid w:val="00C85D6C"/>
    <w:rsid w:val="00C85DFC"/>
    <w:rsid w:val="00C85E2F"/>
    <w:rsid w:val="00C85E51"/>
    <w:rsid w:val="00C85E7F"/>
    <w:rsid w:val="00C85F7B"/>
    <w:rsid w:val="00C85F82"/>
    <w:rsid w:val="00C8603E"/>
    <w:rsid w:val="00C8608A"/>
    <w:rsid w:val="00C86100"/>
    <w:rsid w:val="00C861C5"/>
    <w:rsid w:val="00C861C7"/>
    <w:rsid w:val="00C861CB"/>
    <w:rsid w:val="00C862A5"/>
    <w:rsid w:val="00C862BF"/>
    <w:rsid w:val="00C8630A"/>
    <w:rsid w:val="00C8638E"/>
    <w:rsid w:val="00C863E7"/>
    <w:rsid w:val="00C863F1"/>
    <w:rsid w:val="00C8646B"/>
    <w:rsid w:val="00C8648F"/>
    <w:rsid w:val="00C86556"/>
    <w:rsid w:val="00C867B5"/>
    <w:rsid w:val="00C867BD"/>
    <w:rsid w:val="00C867D2"/>
    <w:rsid w:val="00C86811"/>
    <w:rsid w:val="00C8684A"/>
    <w:rsid w:val="00C86930"/>
    <w:rsid w:val="00C869C9"/>
    <w:rsid w:val="00C869E1"/>
    <w:rsid w:val="00C86A04"/>
    <w:rsid w:val="00C86A2C"/>
    <w:rsid w:val="00C86AB8"/>
    <w:rsid w:val="00C86ABF"/>
    <w:rsid w:val="00C86AE7"/>
    <w:rsid w:val="00C86BA9"/>
    <w:rsid w:val="00C86BD7"/>
    <w:rsid w:val="00C86C0F"/>
    <w:rsid w:val="00C86D2B"/>
    <w:rsid w:val="00C86DA3"/>
    <w:rsid w:val="00C86E6C"/>
    <w:rsid w:val="00C86E7C"/>
    <w:rsid w:val="00C86E87"/>
    <w:rsid w:val="00C86E96"/>
    <w:rsid w:val="00C86FDB"/>
    <w:rsid w:val="00C872C1"/>
    <w:rsid w:val="00C87462"/>
    <w:rsid w:val="00C874F8"/>
    <w:rsid w:val="00C875E3"/>
    <w:rsid w:val="00C8763F"/>
    <w:rsid w:val="00C87678"/>
    <w:rsid w:val="00C876D9"/>
    <w:rsid w:val="00C87777"/>
    <w:rsid w:val="00C87806"/>
    <w:rsid w:val="00C878F0"/>
    <w:rsid w:val="00C87960"/>
    <w:rsid w:val="00C87969"/>
    <w:rsid w:val="00C879B9"/>
    <w:rsid w:val="00C87A73"/>
    <w:rsid w:val="00C87AB8"/>
    <w:rsid w:val="00C87ADB"/>
    <w:rsid w:val="00C87AE7"/>
    <w:rsid w:val="00C87B14"/>
    <w:rsid w:val="00C87C8A"/>
    <w:rsid w:val="00C87CAC"/>
    <w:rsid w:val="00C87D83"/>
    <w:rsid w:val="00C87DBE"/>
    <w:rsid w:val="00C87DDE"/>
    <w:rsid w:val="00C87DFA"/>
    <w:rsid w:val="00C87E78"/>
    <w:rsid w:val="00C87EAD"/>
    <w:rsid w:val="00C87ED5"/>
    <w:rsid w:val="00C87EDF"/>
    <w:rsid w:val="00C87EF3"/>
    <w:rsid w:val="00C87F14"/>
    <w:rsid w:val="00C8C49A"/>
    <w:rsid w:val="00C900D7"/>
    <w:rsid w:val="00C900F2"/>
    <w:rsid w:val="00C901CB"/>
    <w:rsid w:val="00C90254"/>
    <w:rsid w:val="00C902BA"/>
    <w:rsid w:val="00C902BE"/>
    <w:rsid w:val="00C902E6"/>
    <w:rsid w:val="00C904AF"/>
    <w:rsid w:val="00C90529"/>
    <w:rsid w:val="00C90530"/>
    <w:rsid w:val="00C9054C"/>
    <w:rsid w:val="00C905AC"/>
    <w:rsid w:val="00C905BF"/>
    <w:rsid w:val="00C90646"/>
    <w:rsid w:val="00C90689"/>
    <w:rsid w:val="00C90719"/>
    <w:rsid w:val="00C9078B"/>
    <w:rsid w:val="00C907CA"/>
    <w:rsid w:val="00C907EB"/>
    <w:rsid w:val="00C90849"/>
    <w:rsid w:val="00C908F8"/>
    <w:rsid w:val="00C909A6"/>
    <w:rsid w:val="00C90A1C"/>
    <w:rsid w:val="00C90A42"/>
    <w:rsid w:val="00C90A60"/>
    <w:rsid w:val="00C90B42"/>
    <w:rsid w:val="00C90C86"/>
    <w:rsid w:val="00C90CFC"/>
    <w:rsid w:val="00C90D69"/>
    <w:rsid w:val="00C90D6C"/>
    <w:rsid w:val="00C90D86"/>
    <w:rsid w:val="00C90FC3"/>
    <w:rsid w:val="00C91097"/>
    <w:rsid w:val="00C910ED"/>
    <w:rsid w:val="00C910F3"/>
    <w:rsid w:val="00C91108"/>
    <w:rsid w:val="00C9140C"/>
    <w:rsid w:val="00C91472"/>
    <w:rsid w:val="00C91510"/>
    <w:rsid w:val="00C9152E"/>
    <w:rsid w:val="00C91578"/>
    <w:rsid w:val="00C9166A"/>
    <w:rsid w:val="00C916C8"/>
    <w:rsid w:val="00C916F9"/>
    <w:rsid w:val="00C91763"/>
    <w:rsid w:val="00C9178B"/>
    <w:rsid w:val="00C91802"/>
    <w:rsid w:val="00C91828"/>
    <w:rsid w:val="00C91864"/>
    <w:rsid w:val="00C918CB"/>
    <w:rsid w:val="00C91937"/>
    <w:rsid w:val="00C9194D"/>
    <w:rsid w:val="00C9195B"/>
    <w:rsid w:val="00C91974"/>
    <w:rsid w:val="00C91A2E"/>
    <w:rsid w:val="00C91A2F"/>
    <w:rsid w:val="00C91A38"/>
    <w:rsid w:val="00C91AF9"/>
    <w:rsid w:val="00C91B2B"/>
    <w:rsid w:val="00C91B79"/>
    <w:rsid w:val="00C91C5F"/>
    <w:rsid w:val="00C91C8A"/>
    <w:rsid w:val="00C91CAA"/>
    <w:rsid w:val="00C91D36"/>
    <w:rsid w:val="00C91D37"/>
    <w:rsid w:val="00C91DAA"/>
    <w:rsid w:val="00C91E6A"/>
    <w:rsid w:val="00C91F3B"/>
    <w:rsid w:val="00C91F4A"/>
    <w:rsid w:val="00C92016"/>
    <w:rsid w:val="00C9201E"/>
    <w:rsid w:val="00C92079"/>
    <w:rsid w:val="00C920BD"/>
    <w:rsid w:val="00C9216F"/>
    <w:rsid w:val="00C92178"/>
    <w:rsid w:val="00C921F9"/>
    <w:rsid w:val="00C9233D"/>
    <w:rsid w:val="00C92511"/>
    <w:rsid w:val="00C92558"/>
    <w:rsid w:val="00C925E0"/>
    <w:rsid w:val="00C92645"/>
    <w:rsid w:val="00C92681"/>
    <w:rsid w:val="00C92690"/>
    <w:rsid w:val="00C927DD"/>
    <w:rsid w:val="00C9284E"/>
    <w:rsid w:val="00C928C7"/>
    <w:rsid w:val="00C929F5"/>
    <w:rsid w:val="00C929FB"/>
    <w:rsid w:val="00C92A26"/>
    <w:rsid w:val="00C92C38"/>
    <w:rsid w:val="00C92D2A"/>
    <w:rsid w:val="00C92D76"/>
    <w:rsid w:val="00C92EDE"/>
    <w:rsid w:val="00C92F4E"/>
    <w:rsid w:val="00C92F5B"/>
    <w:rsid w:val="00C92FFF"/>
    <w:rsid w:val="00C9302D"/>
    <w:rsid w:val="00C93033"/>
    <w:rsid w:val="00C930CE"/>
    <w:rsid w:val="00C9333D"/>
    <w:rsid w:val="00C93367"/>
    <w:rsid w:val="00C933A1"/>
    <w:rsid w:val="00C93405"/>
    <w:rsid w:val="00C9342F"/>
    <w:rsid w:val="00C9347C"/>
    <w:rsid w:val="00C93481"/>
    <w:rsid w:val="00C9348F"/>
    <w:rsid w:val="00C934BA"/>
    <w:rsid w:val="00C934BD"/>
    <w:rsid w:val="00C93532"/>
    <w:rsid w:val="00C93608"/>
    <w:rsid w:val="00C9367D"/>
    <w:rsid w:val="00C93695"/>
    <w:rsid w:val="00C938AA"/>
    <w:rsid w:val="00C938BC"/>
    <w:rsid w:val="00C93922"/>
    <w:rsid w:val="00C93993"/>
    <w:rsid w:val="00C93A02"/>
    <w:rsid w:val="00C93A0E"/>
    <w:rsid w:val="00C93AE3"/>
    <w:rsid w:val="00C93BD0"/>
    <w:rsid w:val="00C93C31"/>
    <w:rsid w:val="00C93C38"/>
    <w:rsid w:val="00C93D3F"/>
    <w:rsid w:val="00C93DA6"/>
    <w:rsid w:val="00C93E9F"/>
    <w:rsid w:val="00C93F3B"/>
    <w:rsid w:val="00C93F63"/>
    <w:rsid w:val="00C93F7A"/>
    <w:rsid w:val="00C93FCD"/>
    <w:rsid w:val="00C93FD0"/>
    <w:rsid w:val="00C94047"/>
    <w:rsid w:val="00C940AB"/>
    <w:rsid w:val="00C94210"/>
    <w:rsid w:val="00C942ED"/>
    <w:rsid w:val="00C943DE"/>
    <w:rsid w:val="00C943F8"/>
    <w:rsid w:val="00C943FD"/>
    <w:rsid w:val="00C9448B"/>
    <w:rsid w:val="00C944BC"/>
    <w:rsid w:val="00C94555"/>
    <w:rsid w:val="00C945AB"/>
    <w:rsid w:val="00C945DC"/>
    <w:rsid w:val="00C94708"/>
    <w:rsid w:val="00C9486A"/>
    <w:rsid w:val="00C948F6"/>
    <w:rsid w:val="00C948FE"/>
    <w:rsid w:val="00C949C8"/>
    <w:rsid w:val="00C94A12"/>
    <w:rsid w:val="00C94B40"/>
    <w:rsid w:val="00C94BEF"/>
    <w:rsid w:val="00C94C12"/>
    <w:rsid w:val="00C94C22"/>
    <w:rsid w:val="00C94C2C"/>
    <w:rsid w:val="00C94C31"/>
    <w:rsid w:val="00C94C6E"/>
    <w:rsid w:val="00C94C84"/>
    <w:rsid w:val="00C94C89"/>
    <w:rsid w:val="00C94CEB"/>
    <w:rsid w:val="00C94D2D"/>
    <w:rsid w:val="00C94D98"/>
    <w:rsid w:val="00C94E9C"/>
    <w:rsid w:val="00C94EFC"/>
    <w:rsid w:val="00C94F11"/>
    <w:rsid w:val="00C94F13"/>
    <w:rsid w:val="00C94F19"/>
    <w:rsid w:val="00C94F34"/>
    <w:rsid w:val="00C95025"/>
    <w:rsid w:val="00C950EA"/>
    <w:rsid w:val="00C9514C"/>
    <w:rsid w:val="00C95283"/>
    <w:rsid w:val="00C952AA"/>
    <w:rsid w:val="00C952E0"/>
    <w:rsid w:val="00C95321"/>
    <w:rsid w:val="00C95411"/>
    <w:rsid w:val="00C95545"/>
    <w:rsid w:val="00C95611"/>
    <w:rsid w:val="00C9566A"/>
    <w:rsid w:val="00C95736"/>
    <w:rsid w:val="00C9574C"/>
    <w:rsid w:val="00C95758"/>
    <w:rsid w:val="00C95793"/>
    <w:rsid w:val="00C957B0"/>
    <w:rsid w:val="00C95859"/>
    <w:rsid w:val="00C9587C"/>
    <w:rsid w:val="00C958C2"/>
    <w:rsid w:val="00C95957"/>
    <w:rsid w:val="00C959C4"/>
    <w:rsid w:val="00C95AEA"/>
    <w:rsid w:val="00C95C40"/>
    <w:rsid w:val="00C95DA6"/>
    <w:rsid w:val="00C95DCC"/>
    <w:rsid w:val="00C95E9A"/>
    <w:rsid w:val="00C95EFD"/>
    <w:rsid w:val="00C95F2C"/>
    <w:rsid w:val="00C95FE4"/>
    <w:rsid w:val="00C9605C"/>
    <w:rsid w:val="00C960E8"/>
    <w:rsid w:val="00C9610F"/>
    <w:rsid w:val="00C96154"/>
    <w:rsid w:val="00C96182"/>
    <w:rsid w:val="00C961A0"/>
    <w:rsid w:val="00C962AE"/>
    <w:rsid w:val="00C962F3"/>
    <w:rsid w:val="00C9634A"/>
    <w:rsid w:val="00C963BF"/>
    <w:rsid w:val="00C963DD"/>
    <w:rsid w:val="00C964B2"/>
    <w:rsid w:val="00C964F9"/>
    <w:rsid w:val="00C96556"/>
    <w:rsid w:val="00C9661C"/>
    <w:rsid w:val="00C966B6"/>
    <w:rsid w:val="00C96736"/>
    <w:rsid w:val="00C96756"/>
    <w:rsid w:val="00C96774"/>
    <w:rsid w:val="00C96788"/>
    <w:rsid w:val="00C967DA"/>
    <w:rsid w:val="00C9686F"/>
    <w:rsid w:val="00C968AF"/>
    <w:rsid w:val="00C968B4"/>
    <w:rsid w:val="00C968E3"/>
    <w:rsid w:val="00C969BF"/>
    <w:rsid w:val="00C96A8C"/>
    <w:rsid w:val="00C96AFF"/>
    <w:rsid w:val="00C96B63"/>
    <w:rsid w:val="00C96C2B"/>
    <w:rsid w:val="00C96C86"/>
    <w:rsid w:val="00C96D1B"/>
    <w:rsid w:val="00C96D1D"/>
    <w:rsid w:val="00C96E2F"/>
    <w:rsid w:val="00C96E5E"/>
    <w:rsid w:val="00C96E5F"/>
    <w:rsid w:val="00C96E81"/>
    <w:rsid w:val="00C96F65"/>
    <w:rsid w:val="00C96F8D"/>
    <w:rsid w:val="00C96FF1"/>
    <w:rsid w:val="00C96FF6"/>
    <w:rsid w:val="00C970F3"/>
    <w:rsid w:val="00C9729F"/>
    <w:rsid w:val="00C972BC"/>
    <w:rsid w:val="00C97357"/>
    <w:rsid w:val="00C97379"/>
    <w:rsid w:val="00C97395"/>
    <w:rsid w:val="00C97454"/>
    <w:rsid w:val="00C97459"/>
    <w:rsid w:val="00C9747E"/>
    <w:rsid w:val="00C974BF"/>
    <w:rsid w:val="00C974D4"/>
    <w:rsid w:val="00C974E2"/>
    <w:rsid w:val="00C974FA"/>
    <w:rsid w:val="00C976B7"/>
    <w:rsid w:val="00C977AB"/>
    <w:rsid w:val="00C977C2"/>
    <w:rsid w:val="00C977DC"/>
    <w:rsid w:val="00C97869"/>
    <w:rsid w:val="00C978A7"/>
    <w:rsid w:val="00C978D5"/>
    <w:rsid w:val="00C97BB5"/>
    <w:rsid w:val="00C97C3E"/>
    <w:rsid w:val="00C97C66"/>
    <w:rsid w:val="00C97D5E"/>
    <w:rsid w:val="00C97E92"/>
    <w:rsid w:val="00C97E99"/>
    <w:rsid w:val="00C97EA9"/>
    <w:rsid w:val="00C97F5E"/>
    <w:rsid w:val="00C97F64"/>
    <w:rsid w:val="00C97FB0"/>
    <w:rsid w:val="00C99E3C"/>
    <w:rsid w:val="00CA0086"/>
    <w:rsid w:val="00CA0102"/>
    <w:rsid w:val="00CA0145"/>
    <w:rsid w:val="00CA014D"/>
    <w:rsid w:val="00CA01C5"/>
    <w:rsid w:val="00CA0226"/>
    <w:rsid w:val="00CA02F9"/>
    <w:rsid w:val="00CA030D"/>
    <w:rsid w:val="00CA0334"/>
    <w:rsid w:val="00CA048E"/>
    <w:rsid w:val="00CA0495"/>
    <w:rsid w:val="00CA04D0"/>
    <w:rsid w:val="00CA05D6"/>
    <w:rsid w:val="00CA05E3"/>
    <w:rsid w:val="00CA05ED"/>
    <w:rsid w:val="00CA05FD"/>
    <w:rsid w:val="00CA062B"/>
    <w:rsid w:val="00CA0747"/>
    <w:rsid w:val="00CA07BC"/>
    <w:rsid w:val="00CA07E3"/>
    <w:rsid w:val="00CA0838"/>
    <w:rsid w:val="00CA089B"/>
    <w:rsid w:val="00CA08C5"/>
    <w:rsid w:val="00CA0A4D"/>
    <w:rsid w:val="00CA0B56"/>
    <w:rsid w:val="00CA0B78"/>
    <w:rsid w:val="00CA0C29"/>
    <w:rsid w:val="00CA0D06"/>
    <w:rsid w:val="00CA0E06"/>
    <w:rsid w:val="00CA0F18"/>
    <w:rsid w:val="00CA0F9A"/>
    <w:rsid w:val="00CA1000"/>
    <w:rsid w:val="00CA10E5"/>
    <w:rsid w:val="00CA1189"/>
    <w:rsid w:val="00CA1289"/>
    <w:rsid w:val="00CA12ED"/>
    <w:rsid w:val="00CA133C"/>
    <w:rsid w:val="00CA13CB"/>
    <w:rsid w:val="00CA1411"/>
    <w:rsid w:val="00CA1483"/>
    <w:rsid w:val="00CA15EF"/>
    <w:rsid w:val="00CA161F"/>
    <w:rsid w:val="00CA1636"/>
    <w:rsid w:val="00CA16A6"/>
    <w:rsid w:val="00CA16B6"/>
    <w:rsid w:val="00CA1709"/>
    <w:rsid w:val="00CA17CF"/>
    <w:rsid w:val="00CA1894"/>
    <w:rsid w:val="00CA1897"/>
    <w:rsid w:val="00CA18F5"/>
    <w:rsid w:val="00CA1936"/>
    <w:rsid w:val="00CA19CE"/>
    <w:rsid w:val="00CA1A1B"/>
    <w:rsid w:val="00CA1A21"/>
    <w:rsid w:val="00CA1A2A"/>
    <w:rsid w:val="00CA1A61"/>
    <w:rsid w:val="00CA1B67"/>
    <w:rsid w:val="00CA1B8F"/>
    <w:rsid w:val="00CA1D62"/>
    <w:rsid w:val="00CA1D72"/>
    <w:rsid w:val="00CA1F38"/>
    <w:rsid w:val="00CA1FC1"/>
    <w:rsid w:val="00CA20DF"/>
    <w:rsid w:val="00CA210D"/>
    <w:rsid w:val="00CA2123"/>
    <w:rsid w:val="00CA2133"/>
    <w:rsid w:val="00CA2141"/>
    <w:rsid w:val="00CA21D5"/>
    <w:rsid w:val="00CA222F"/>
    <w:rsid w:val="00CA230B"/>
    <w:rsid w:val="00CA237B"/>
    <w:rsid w:val="00CA23CA"/>
    <w:rsid w:val="00CA245E"/>
    <w:rsid w:val="00CA24D1"/>
    <w:rsid w:val="00CA251A"/>
    <w:rsid w:val="00CA2541"/>
    <w:rsid w:val="00CA2748"/>
    <w:rsid w:val="00CA2750"/>
    <w:rsid w:val="00CA27DB"/>
    <w:rsid w:val="00CA27F3"/>
    <w:rsid w:val="00CA2864"/>
    <w:rsid w:val="00CA2A94"/>
    <w:rsid w:val="00CA2AB8"/>
    <w:rsid w:val="00CA2AD0"/>
    <w:rsid w:val="00CA2AD7"/>
    <w:rsid w:val="00CA2AF4"/>
    <w:rsid w:val="00CA2B1E"/>
    <w:rsid w:val="00CA2B5A"/>
    <w:rsid w:val="00CA2C06"/>
    <w:rsid w:val="00CA2C7B"/>
    <w:rsid w:val="00CA2C80"/>
    <w:rsid w:val="00CA2D69"/>
    <w:rsid w:val="00CA2D6C"/>
    <w:rsid w:val="00CA2DA6"/>
    <w:rsid w:val="00CA2DD3"/>
    <w:rsid w:val="00CA2E5A"/>
    <w:rsid w:val="00CA2EC1"/>
    <w:rsid w:val="00CA3056"/>
    <w:rsid w:val="00CA310B"/>
    <w:rsid w:val="00CA311E"/>
    <w:rsid w:val="00CA312C"/>
    <w:rsid w:val="00CA31BE"/>
    <w:rsid w:val="00CA31CE"/>
    <w:rsid w:val="00CA31DC"/>
    <w:rsid w:val="00CA3243"/>
    <w:rsid w:val="00CA3389"/>
    <w:rsid w:val="00CA3396"/>
    <w:rsid w:val="00CA33E0"/>
    <w:rsid w:val="00CA340F"/>
    <w:rsid w:val="00CA349B"/>
    <w:rsid w:val="00CA3581"/>
    <w:rsid w:val="00CA35B9"/>
    <w:rsid w:val="00CA361D"/>
    <w:rsid w:val="00CA36C6"/>
    <w:rsid w:val="00CA37C6"/>
    <w:rsid w:val="00CA384E"/>
    <w:rsid w:val="00CA3850"/>
    <w:rsid w:val="00CA385B"/>
    <w:rsid w:val="00CA3874"/>
    <w:rsid w:val="00CA3893"/>
    <w:rsid w:val="00CA38C5"/>
    <w:rsid w:val="00CA3936"/>
    <w:rsid w:val="00CA3939"/>
    <w:rsid w:val="00CA3994"/>
    <w:rsid w:val="00CA39DA"/>
    <w:rsid w:val="00CA3A0C"/>
    <w:rsid w:val="00CA3A1C"/>
    <w:rsid w:val="00CA3B55"/>
    <w:rsid w:val="00CA3BAE"/>
    <w:rsid w:val="00CA3C34"/>
    <w:rsid w:val="00CA3C7D"/>
    <w:rsid w:val="00CA3CAC"/>
    <w:rsid w:val="00CA3CC8"/>
    <w:rsid w:val="00CA3D09"/>
    <w:rsid w:val="00CA3E42"/>
    <w:rsid w:val="00CA3E6F"/>
    <w:rsid w:val="00CA3E82"/>
    <w:rsid w:val="00CA3EC4"/>
    <w:rsid w:val="00CA3F30"/>
    <w:rsid w:val="00CA3F55"/>
    <w:rsid w:val="00CA3FC4"/>
    <w:rsid w:val="00CA408B"/>
    <w:rsid w:val="00CA40A8"/>
    <w:rsid w:val="00CA40F0"/>
    <w:rsid w:val="00CA4124"/>
    <w:rsid w:val="00CA41E6"/>
    <w:rsid w:val="00CA431F"/>
    <w:rsid w:val="00CA4321"/>
    <w:rsid w:val="00CA4398"/>
    <w:rsid w:val="00CA439B"/>
    <w:rsid w:val="00CA44F9"/>
    <w:rsid w:val="00CA4517"/>
    <w:rsid w:val="00CA453E"/>
    <w:rsid w:val="00CA4550"/>
    <w:rsid w:val="00CA4556"/>
    <w:rsid w:val="00CA4604"/>
    <w:rsid w:val="00CA4676"/>
    <w:rsid w:val="00CA4686"/>
    <w:rsid w:val="00CA4719"/>
    <w:rsid w:val="00CA472D"/>
    <w:rsid w:val="00CA4815"/>
    <w:rsid w:val="00CA481F"/>
    <w:rsid w:val="00CA48FA"/>
    <w:rsid w:val="00CA49E9"/>
    <w:rsid w:val="00CA49EB"/>
    <w:rsid w:val="00CA4AB2"/>
    <w:rsid w:val="00CA4AC5"/>
    <w:rsid w:val="00CA4BA1"/>
    <w:rsid w:val="00CA4DDC"/>
    <w:rsid w:val="00CA4E4B"/>
    <w:rsid w:val="00CA4F18"/>
    <w:rsid w:val="00CA4F27"/>
    <w:rsid w:val="00CA5002"/>
    <w:rsid w:val="00CA503E"/>
    <w:rsid w:val="00CA5160"/>
    <w:rsid w:val="00CA51A5"/>
    <w:rsid w:val="00CA5229"/>
    <w:rsid w:val="00CA5260"/>
    <w:rsid w:val="00CA52D1"/>
    <w:rsid w:val="00CA52D6"/>
    <w:rsid w:val="00CA53B2"/>
    <w:rsid w:val="00CA5407"/>
    <w:rsid w:val="00CA5472"/>
    <w:rsid w:val="00CA5498"/>
    <w:rsid w:val="00CA5538"/>
    <w:rsid w:val="00CA55AB"/>
    <w:rsid w:val="00CA55B0"/>
    <w:rsid w:val="00CA5627"/>
    <w:rsid w:val="00CA563E"/>
    <w:rsid w:val="00CA5655"/>
    <w:rsid w:val="00CA56E8"/>
    <w:rsid w:val="00CA57CC"/>
    <w:rsid w:val="00CA57E5"/>
    <w:rsid w:val="00CA5806"/>
    <w:rsid w:val="00CA5808"/>
    <w:rsid w:val="00CA5984"/>
    <w:rsid w:val="00CA59F6"/>
    <w:rsid w:val="00CA5A8E"/>
    <w:rsid w:val="00CA5B6E"/>
    <w:rsid w:val="00CA5BA9"/>
    <w:rsid w:val="00CA5BF8"/>
    <w:rsid w:val="00CA5C5A"/>
    <w:rsid w:val="00CA5C79"/>
    <w:rsid w:val="00CA5D0E"/>
    <w:rsid w:val="00CA5D33"/>
    <w:rsid w:val="00CA5D3A"/>
    <w:rsid w:val="00CA5D5D"/>
    <w:rsid w:val="00CA5D85"/>
    <w:rsid w:val="00CA5DE8"/>
    <w:rsid w:val="00CA5DF8"/>
    <w:rsid w:val="00CA5E22"/>
    <w:rsid w:val="00CA5EB7"/>
    <w:rsid w:val="00CA5ECF"/>
    <w:rsid w:val="00CA5EEF"/>
    <w:rsid w:val="00CA5F35"/>
    <w:rsid w:val="00CA5F93"/>
    <w:rsid w:val="00CA5FFF"/>
    <w:rsid w:val="00CA60D0"/>
    <w:rsid w:val="00CA60EE"/>
    <w:rsid w:val="00CA60F1"/>
    <w:rsid w:val="00CA6163"/>
    <w:rsid w:val="00CA61D0"/>
    <w:rsid w:val="00CA6202"/>
    <w:rsid w:val="00CA620C"/>
    <w:rsid w:val="00CA62F4"/>
    <w:rsid w:val="00CA6455"/>
    <w:rsid w:val="00CA64B8"/>
    <w:rsid w:val="00CA6616"/>
    <w:rsid w:val="00CA6641"/>
    <w:rsid w:val="00CA66BD"/>
    <w:rsid w:val="00CA66D0"/>
    <w:rsid w:val="00CA6712"/>
    <w:rsid w:val="00CA6717"/>
    <w:rsid w:val="00CA6732"/>
    <w:rsid w:val="00CA67E4"/>
    <w:rsid w:val="00CA67FB"/>
    <w:rsid w:val="00CA6805"/>
    <w:rsid w:val="00CA6815"/>
    <w:rsid w:val="00CA683C"/>
    <w:rsid w:val="00CA68B5"/>
    <w:rsid w:val="00CA691E"/>
    <w:rsid w:val="00CA692B"/>
    <w:rsid w:val="00CA6947"/>
    <w:rsid w:val="00CA6956"/>
    <w:rsid w:val="00CA6960"/>
    <w:rsid w:val="00CA6967"/>
    <w:rsid w:val="00CA69A2"/>
    <w:rsid w:val="00CA6A2A"/>
    <w:rsid w:val="00CA6A48"/>
    <w:rsid w:val="00CA6AA2"/>
    <w:rsid w:val="00CA6AC8"/>
    <w:rsid w:val="00CA6AE1"/>
    <w:rsid w:val="00CA6AEF"/>
    <w:rsid w:val="00CA6B22"/>
    <w:rsid w:val="00CA6B71"/>
    <w:rsid w:val="00CA6BC7"/>
    <w:rsid w:val="00CA6C04"/>
    <w:rsid w:val="00CA6CD4"/>
    <w:rsid w:val="00CA6D17"/>
    <w:rsid w:val="00CA6D83"/>
    <w:rsid w:val="00CA6D89"/>
    <w:rsid w:val="00CA6DF7"/>
    <w:rsid w:val="00CA6ECF"/>
    <w:rsid w:val="00CA6FF9"/>
    <w:rsid w:val="00CA6FFF"/>
    <w:rsid w:val="00CA7014"/>
    <w:rsid w:val="00CA7127"/>
    <w:rsid w:val="00CA72E3"/>
    <w:rsid w:val="00CA73B8"/>
    <w:rsid w:val="00CA740E"/>
    <w:rsid w:val="00CA7412"/>
    <w:rsid w:val="00CA7485"/>
    <w:rsid w:val="00CA75D3"/>
    <w:rsid w:val="00CA75E9"/>
    <w:rsid w:val="00CA76B2"/>
    <w:rsid w:val="00CA7795"/>
    <w:rsid w:val="00CA77EB"/>
    <w:rsid w:val="00CA7864"/>
    <w:rsid w:val="00CA787B"/>
    <w:rsid w:val="00CA78E0"/>
    <w:rsid w:val="00CA790E"/>
    <w:rsid w:val="00CA792D"/>
    <w:rsid w:val="00CA7989"/>
    <w:rsid w:val="00CA79F9"/>
    <w:rsid w:val="00CA7A43"/>
    <w:rsid w:val="00CA7B21"/>
    <w:rsid w:val="00CA7B80"/>
    <w:rsid w:val="00CA7C25"/>
    <w:rsid w:val="00CA7C8E"/>
    <w:rsid w:val="00CA7CC7"/>
    <w:rsid w:val="00CA7CDD"/>
    <w:rsid w:val="00CA7D0E"/>
    <w:rsid w:val="00CA7D3C"/>
    <w:rsid w:val="00CA7D76"/>
    <w:rsid w:val="00CA7DD7"/>
    <w:rsid w:val="00CA7DF8"/>
    <w:rsid w:val="00CA7EB2"/>
    <w:rsid w:val="00CA7F3D"/>
    <w:rsid w:val="00CB0179"/>
    <w:rsid w:val="00CB01A2"/>
    <w:rsid w:val="00CB0222"/>
    <w:rsid w:val="00CB02A8"/>
    <w:rsid w:val="00CB0304"/>
    <w:rsid w:val="00CB036E"/>
    <w:rsid w:val="00CB03D4"/>
    <w:rsid w:val="00CB0466"/>
    <w:rsid w:val="00CB04A0"/>
    <w:rsid w:val="00CB04C7"/>
    <w:rsid w:val="00CB0525"/>
    <w:rsid w:val="00CB0595"/>
    <w:rsid w:val="00CB05BA"/>
    <w:rsid w:val="00CB0608"/>
    <w:rsid w:val="00CB06A2"/>
    <w:rsid w:val="00CB06FE"/>
    <w:rsid w:val="00CB081D"/>
    <w:rsid w:val="00CB08DC"/>
    <w:rsid w:val="00CB0903"/>
    <w:rsid w:val="00CB0914"/>
    <w:rsid w:val="00CB09A4"/>
    <w:rsid w:val="00CB09F9"/>
    <w:rsid w:val="00CB0A6A"/>
    <w:rsid w:val="00CB0B2F"/>
    <w:rsid w:val="00CB0BA1"/>
    <w:rsid w:val="00CB0BA9"/>
    <w:rsid w:val="00CB0BE2"/>
    <w:rsid w:val="00CB0BED"/>
    <w:rsid w:val="00CB0C1E"/>
    <w:rsid w:val="00CB0C72"/>
    <w:rsid w:val="00CB0C93"/>
    <w:rsid w:val="00CB0CE9"/>
    <w:rsid w:val="00CB0D11"/>
    <w:rsid w:val="00CB0D97"/>
    <w:rsid w:val="00CB0DAE"/>
    <w:rsid w:val="00CB0DCC"/>
    <w:rsid w:val="00CB1034"/>
    <w:rsid w:val="00CB10BC"/>
    <w:rsid w:val="00CB1241"/>
    <w:rsid w:val="00CB1248"/>
    <w:rsid w:val="00CB12C7"/>
    <w:rsid w:val="00CB130B"/>
    <w:rsid w:val="00CB1398"/>
    <w:rsid w:val="00CB140D"/>
    <w:rsid w:val="00CB14DB"/>
    <w:rsid w:val="00CB167F"/>
    <w:rsid w:val="00CB1709"/>
    <w:rsid w:val="00CB170F"/>
    <w:rsid w:val="00CB1721"/>
    <w:rsid w:val="00CB1843"/>
    <w:rsid w:val="00CB1847"/>
    <w:rsid w:val="00CB184D"/>
    <w:rsid w:val="00CB1958"/>
    <w:rsid w:val="00CB19B1"/>
    <w:rsid w:val="00CB19B9"/>
    <w:rsid w:val="00CB1A38"/>
    <w:rsid w:val="00CB1A87"/>
    <w:rsid w:val="00CB1B08"/>
    <w:rsid w:val="00CB1BF4"/>
    <w:rsid w:val="00CB1BFF"/>
    <w:rsid w:val="00CB1CC0"/>
    <w:rsid w:val="00CB1CE5"/>
    <w:rsid w:val="00CB1D22"/>
    <w:rsid w:val="00CB1ED4"/>
    <w:rsid w:val="00CB1EF9"/>
    <w:rsid w:val="00CB1F9C"/>
    <w:rsid w:val="00CB1FAA"/>
    <w:rsid w:val="00CB20F0"/>
    <w:rsid w:val="00CB216C"/>
    <w:rsid w:val="00CB22F3"/>
    <w:rsid w:val="00CB2336"/>
    <w:rsid w:val="00CB2338"/>
    <w:rsid w:val="00CB2411"/>
    <w:rsid w:val="00CB2424"/>
    <w:rsid w:val="00CB24AF"/>
    <w:rsid w:val="00CB2552"/>
    <w:rsid w:val="00CB2578"/>
    <w:rsid w:val="00CB25D1"/>
    <w:rsid w:val="00CB2632"/>
    <w:rsid w:val="00CB26C8"/>
    <w:rsid w:val="00CB26FC"/>
    <w:rsid w:val="00CB2777"/>
    <w:rsid w:val="00CB27A3"/>
    <w:rsid w:val="00CB27C1"/>
    <w:rsid w:val="00CB284E"/>
    <w:rsid w:val="00CB28DF"/>
    <w:rsid w:val="00CB2A4E"/>
    <w:rsid w:val="00CB2A5B"/>
    <w:rsid w:val="00CB2A93"/>
    <w:rsid w:val="00CB2AFA"/>
    <w:rsid w:val="00CB2BC0"/>
    <w:rsid w:val="00CB2BFD"/>
    <w:rsid w:val="00CB2C39"/>
    <w:rsid w:val="00CB2CA4"/>
    <w:rsid w:val="00CB2CB8"/>
    <w:rsid w:val="00CB2D12"/>
    <w:rsid w:val="00CB2D18"/>
    <w:rsid w:val="00CB2D6F"/>
    <w:rsid w:val="00CB2DBC"/>
    <w:rsid w:val="00CB2E06"/>
    <w:rsid w:val="00CB2E09"/>
    <w:rsid w:val="00CB2E29"/>
    <w:rsid w:val="00CB2E73"/>
    <w:rsid w:val="00CB2EAF"/>
    <w:rsid w:val="00CB2EE9"/>
    <w:rsid w:val="00CB2F06"/>
    <w:rsid w:val="00CB3088"/>
    <w:rsid w:val="00CB311A"/>
    <w:rsid w:val="00CB318F"/>
    <w:rsid w:val="00CB3194"/>
    <w:rsid w:val="00CB3220"/>
    <w:rsid w:val="00CB329E"/>
    <w:rsid w:val="00CB3305"/>
    <w:rsid w:val="00CB330E"/>
    <w:rsid w:val="00CB3315"/>
    <w:rsid w:val="00CB33F0"/>
    <w:rsid w:val="00CB3499"/>
    <w:rsid w:val="00CB34FB"/>
    <w:rsid w:val="00CB3739"/>
    <w:rsid w:val="00CB3755"/>
    <w:rsid w:val="00CB377B"/>
    <w:rsid w:val="00CB3852"/>
    <w:rsid w:val="00CB3923"/>
    <w:rsid w:val="00CB3939"/>
    <w:rsid w:val="00CB39D4"/>
    <w:rsid w:val="00CB39FB"/>
    <w:rsid w:val="00CB3AA8"/>
    <w:rsid w:val="00CB3B8E"/>
    <w:rsid w:val="00CB3BBB"/>
    <w:rsid w:val="00CB3BEC"/>
    <w:rsid w:val="00CB3C14"/>
    <w:rsid w:val="00CB3C82"/>
    <w:rsid w:val="00CB3D69"/>
    <w:rsid w:val="00CB3DD4"/>
    <w:rsid w:val="00CB3E8C"/>
    <w:rsid w:val="00CB3F92"/>
    <w:rsid w:val="00CB3F9D"/>
    <w:rsid w:val="00CB403A"/>
    <w:rsid w:val="00CB40B7"/>
    <w:rsid w:val="00CB40ED"/>
    <w:rsid w:val="00CB41BA"/>
    <w:rsid w:val="00CB42C6"/>
    <w:rsid w:val="00CB42E6"/>
    <w:rsid w:val="00CB431C"/>
    <w:rsid w:val="00CB4361"/>
    <w:rsid w:val="00CB4368"/>
    <w:rsid w:val="00CB43CA"/>
    <w:rsid w:val="00CB4426"/>
    <w:rsid w:val="00CB4433"/>
    <w:rsid w:val="00CB4481"/>
    <w:rsid w:val="00CB449D"/>
    <w:rsid w:val="00CB4500"/>
    <w:rsid w:val="00CB4520"/>
    <w:rsid w:val="00CB457D"/>
    <w:rsid w:val="00CB467D"/>
    <w:rsid w:val="00CB4683"/>
    <w:rsid w:val="00CB46C4"/>
    <w:rsid w:val="00CB46CB"/>
    <w:rsid w:val="00CB46DF"/>
    <w:rsid w:val="00CB4762"/>
    <w:rsid w:val="00CB4770"/>
    <w:rsid w:val="00CB47D5"/>
    <w:rsid w:val="00CB4803"/>
    <w:rsid w:val="00CB4815"/>
    <w:rsid w:val="00CB4946"/>
    <w:rsid w:val="00CB4949"/>
    <w:rsid w:val="00CB49ED"/>
    <w:rsid w:val="00CB4A19"/>
    <w:rsid w:val="00CB4A4D"/>
    <w:rsid w:val="00CB4A7D"/>
    <w:rsid w:val="00CB4ACD"/>
    <w:rsid w:val="00CB4AE3"/>
    <w:rsid w:val="00CB4AFE"/>
    <w:rsid w:val="00CB4B00"/>
    <w:rsid w:val="00CB4B08"/>
    <w:rsid w:val="00CB4B61"/>
    <w:rsid w:val="00CB4C3E"/>
    <w:rsid w:val="00CB4C48"/>
    <w:rsid w:val="00CB4C4D"/>
    <w:rsid w:val="00CB4C60"/>
    <w:rsid w:val="00CB4CA6"/>
    <w:rsid w:val="00CB4CFC"/>
    <w:rsid w:val="00CB4D70"/>
    <w:rsid w:val="00CB4DB8"/>
    <w:rsid w:val="00CB4E5C"/>
    <w:rsid w:val="00CB4EF7"/>
    <w:rsid w:val="00CB4F94"/>
    <w:rsid w:val="00CB4FB2"/>
    <w:rsid w:val="00CB4FBB"/>
    <w:rsid w:val="00CB4FBF"/>
    <w:rsid w:val="00CB505A"/>
    <w:rsid w:val="00CB5225"/>
    <w:rsid w:val="00CB5287"/>
    <w:rsid w:val="00CB5416"/>
    <w:rsid w:val="00CB55AE"/>
    <w:rsid w:val="00CB562C"/>
    <w:rsid w:val="00CB5657"/>
    <w:rsid w:val="00CB5661"/>
    <w:rsid w:val="00CB566E"/>
    <w:rsid w:val="00CB5701"/>
    <w:rsid w:val="00CB575B"/>
    <w:rsid w:val="00CB57AD"/>
    <w:rsid w:val="00CB58A3"/>
    <w:rsid w:val="00CB593A"/>
    <w:rsid w:val="00CB5997"/>
    <w:rsid w:val="00CB5A11"/>
    <w:rsid w:val="00CB5AC0"/>
    <w:rsid w:val="00CB5AD3"/>
    <w:rsid w:val="00CB5AEC"/>
    <w:rsid w:val="00CB5B0E"/>
    <w:rsid w:val="00CB5B3E"/>
    <w:rsid w:val="00CB5B77"/>
    <w:rsid w:val="00CB5BDD"/>
    <w:rsid w:val="00CB5BF3"/>
    <w:rsid w:val="00CB5BF4"/>
    <w:rsid w:val="00CB5CA9"/>
    <w:rsid w:val="00CB5CE2"/>
    <w:rsid w:val="00CB5D9F"/>
    <w:rsid w:val="00CB5E13"/>
    <w:rsid w:val="00CB5E54"/>
    <w:rsid w:val="00CB5E5B"/>
    <w:rsid w:val="00CB5F08"/>
    <w:rsid w:val="00CB5F36"/>
    <w:rsid w:val="00CB5F3C"/>
    <w:rsid w:val="00CB5F78"/>
    <w:rsid w:val="00CB5F94"/>
    <w:rsid w:val="00CB6061"/>
    <w:rsid w:val="00CB613B"/>
    <w:rsid w:val="00CB615D"/>
    <w:rsid w:val="00CB61AD"/>
    <w:rsid w:val="00CB624E"/>
    <w:rsid w:val="00CB625C"/>
    <w:rsid w:val="00CB634C"/>
    <w:rsid w:val="00CB635C"/>
    <w:rsid w:val="00CB6390"/>
    <w:rsid w:val="00CB63ED"/>
    <w:rsid w:val="00CB64A4"/>
    <w:rsid w:val="00CB6512"/>
    <w:rsid w:val="00CB652E"/>
    <w:rsid w:val="00CB655F"/>
    <w:rsid w:val="00CB65A8"/>
    <w:rsid w:val="00CB65AF"/>
    <w:rsid w:val="00CB65F3"/>
    <w:rsid w:val="00CB6716"/>
    <w:rsid w:val="00CB6758"/>
    <w:rsid w:val="00CB676A"/>
    <w:rsid w:val="00CB67C5"/>
    <w:rsid w:val="00CB6839"/>
    <w:rsid w:val="00CB689A"/>
    <w:rsid w:val="00CB6909"/>
    <w:rsid w:val="00CB697A"/>
    <w:rsid w:val="00CB698B"/>
    <w:rsid w:val="00CB6AC1"/>
    <w:rsid w:val="00CB6B75"/>
    <w:rsid w:val="00CB6BA4"/>
    <w:rsid w:val="00CB6BB6"/>
    <w:rsid w:val="00CB6C1D"/>
    <w:rsid w:val="00CB6D2A"/>
    <w:rsid w:val="00CB6D99"/>
    <w:rsid w:val="00CB6DB4"/>
    <w:rsid w:val="00CB6EAE"/>
    <w:rsid w:val="00CB6F0F"/>
    <w:rsid w:val="00CB6F8A"/>
    <w:rsid w:val="00CB6FBD"/>
    <w:rsid w:val="00CB708C"/>
    <w:rsid w:val="00CB70A0"/>
    <w:rsid w:val="00CB70C3"/>
    <w:rsid w:val="00CB70DC"/>
    <w:rsid w:val="00CB713A"/>
    <w:rsid w:val="00CB714E"/>
    <w:rsid w:val="00CB7180"/>
    <w:rsid w:val="00CB71CB"/>
    <w:rsid w:val="00CB73C7"/>
    <w:rsid w:val="00CB7487"/>
    <w:rsid w:val="00CB7494"/>
    <w:rsid w:val="00CB74E4"/>
    <w:rsid w:val="00CB7554"/>
    <w:rsid w:val="00CB75A5"/>
    <w:rsid w:val="00CB7606"/>
    <w:rsid w:val="00CB765A"/>
    <w:rsid w:val="00CB767C"/>
    <w:rsid w:val="00CB76EF"/>
    <w:rsid w:val="00CB76F0"/>
    <w:rsid w:val="00CB76F9"/>
    <w:rsid w:val="00CB7750"/>
    <w:rsid w:val="00CB786F"/>
    <w:rsid w:val="00CB787D"/>
    <w:rsid w:val="00CB794B"/>
    <w:rsid w:val="00CB7962"/>
    <w:rsid w:val="00CB79A2"/>
    <w:rsid w:val="00CB79CE"/>
    <w:rsid w:val="00CB79F9"/>
    <w:rsid w:val="00CB79FB"/>
    <w:rsid w:val="00CB7A0B"/>
    <w:rsid w:val="00CB7AE6"/>
    <w:rsid w:val="00CB7B0B"/>
    <w:rsid w:val="00CB7BAA"/>
    <w:rsid w:val="00CB7BE7"/>
    <w:rsid w:val="00CB7C5E"/>
    <w:rsid w:val="00CB7CE7"/>
    <w:rsid w:val="00CB7D3D"/>
    <w:rsid w:val="00CB7DA6"/>
    <w:rsid w:val="00CB7E83"/>
    <w:rsid w:val="00CB7EDA"/>
    <w:rsid w:val="00CB7EE7"/>
    <w:rsid w:val="00CB7F03"/>
    <w:rsid w:val="00CB7FCD"/>
    <w:rsid w:val="00CC0049"/>
    <w:rsid w:val="00CC008C"/>
    <w:rsid w:val="00CC011C"/>
    <w:rsid w:val="00CC012B"/>
    <w:rsid w:val="00CC01C7"/>
    <w:rsid w:val="00CC0288"/>
    <w:rsid w:val="00CC02A2"/>
    <w:rsid w:val="00CC030D"/>
    <w:rsid w:val="00CC03FD"/>
    <w:rsid w:val="00CC049C"/>
    <w:rsid w:val="00CC04E5"/>
    <w:rsid w:val="00CC050D"/>
    <w:rsid w:val="00CC051A"/>
    <w:rsid w:val="00CC0558"/>
    <w:rsid w:val="00CC0573"/>
    <w:rsid w:val="00CC05CE"/>
    <w:rsid w:val="00CC060B"/>
    <w:rsid w:val="00CC0610"/>
    <w:rsid w:val="00CC0721"/>
    <w:rsid w:val="00CC074B"/>
    <w:rsid w:val="00CC077B"/>
    <w:rsid w:val="00CC07A6"/>
    <w:rsid w:val="00CC089B"/>
    <w:rsid w:val="00CC08C0"/>
    <w:rsid w:val="00CC09C0"/>
    <w:rsid w:val="00CC0B53"/>
    <w:rsid w:val="00CC0B58"/>
    <w:rsid w:val="00CC0C99"/>
    <w:rsid w:val="00CC0E2B"/>
    <w:rsid w:val="00CC0F20"/>
    <w:rsid w:val="00CC0FE4"/>
    <w:rsid w:val="00CC0FE5"/>
    <w:rsid w:val="00CC0FEF"/>
    <w:rsid w:val="00CC109E"/>
    <w:rsid w:val="00CC10B9"/>
    <w:rsid w:val="00CC11E4"/>
    <w:rsid w:val="00CC1260"/>
    <w:rsid w:val="00CC1321"/>
    <w:rsid w:val="00CC13AA"/>
    <w:rsid w:val="00CC1408"/>
    <w:rsid w:val="00CC1633"/>
    <w:rsid w:val="00CC16C0"/>
    <w:rsid w:val="00CC175B"/>
    <w:rsid w:val="00CC191B"/>
    <w:rsid w:val="00CC193E"/>
    <w:rsid w:val="00CC1A21"/>
    <w:rsid w:val="00CC1A3C"/>
    <w:rsid w:val="00CC1ACB"/>
    <w:rsid w:val="00CC1AE6"/>
    <w:rsid w:val="00CC1BE2"/>
    <w:rsid w:val="00CC1C37"/>
    <w:rsid w:val="00CC1C63"/>
    <w:rsid w:val="00CC1DB6"/>
    <w:rsid w:val="00CC1F16"/>
    <w:rsid w:val="00CC1F5A"/>
    <w:rsid w:val="00CC1F5D"/>
    <w:rsid w:val="00CC1FD2"/>
    <w:rsid w:val="00CC2020"/>
    <w:rsid w:val="00CC207E"/>
    <w:rsid w:val="00CC208F"/>
    <w:rsid w:val="00CC20A2"/>
    <w:rsid w:val="00CC213F"/>
    <w:rsid w:val="00CC2140"/>
    <w:rsid w:val="00CC21B7"/>
    <w:rsid w:val="00CC249A"/>
    <w:rsid w:val="00CC2508"/>
    <w:rsid w:val="00CC25E7"/>
    <w:rsid w:val="00CC267A"/>
    <w:rsid w:val="00CC26A8"/>
    <w:rsid w:val="00CC26AC"/>
    <w:rsid w:val="00CC26C9"/>
    <w:rsid w:val="00CC26CA"/>
    <w:rsid w:val="00CC26DB"/>
    <w:rsid w:val="00CC2700"/>
    <w:rsid w:val="00CC27C2"/>
    <w:rsid w:val="00CC27C3"/>
    <w:rsid w:val="00CC2823"/>
    <w:rsid w:val="00CC284E"/>
    <w:rsid w:val="00CC2866"/>
    <w:rsid w:val="00CC289A"/>
    <w:rsid w:val="00CC29A1"/>
    <w:rsid w:val="00CC29D6"/>
    <w:rsid w:val="00CC2A67"/>
    <w:rsid w:val="00CC2AD4"/>
    <w:rsid w:val="00CC2B07"/>
    <w:rsid w:val="00CC2B17"/>
    <w:rsid w:val="00CC2B4B"/>
    <w:rsid w:val="00CC2BD7"/>
    <w:rsid w:val="00CC2CA1"/>
    <w:rsid w:val="00CC2D51"/>
    <w:rsid w:val="00CC2DC8"/>
    <w:rsid w:val="00CC2E26"/>
    <w:rsid w:val="00CC2F15"/>
    <w:rsid w:val="00CC2F1B"/>
    <w:rsid w:val="00CC2F48"/>
    <w:rsid w:val="00CC3044"/>
    <w:rsid w:val="00CC3078"/>
    <w:rsid w:val="00CC3139"/>
    <w:rsid w:val="00CC31D1"/>
    <w:rsid w:val="00CC3245"/>
    <w:rsid w:val="00CC32B7"/>
    <w:rsid w:val="00CC32D4"/>
    <w:rsid w:val="00CC3422"/>
    <w:rsid w:val="00CC3439"/>
    <w:rsid w:val="00CC34B3"/>
    <w:rsid w:val="00CC34E0"/>
    <w:rsid w:val="00CC368B"/>
    <w:rsid w:val="00CC368C"/>
    <w:rsid w:val="00CC36AE"/>
    <w:rsid w:val="00CC3831"/>
    <w:rsid w:val="00CC38B3"/>
    <w:rsid w:val="00CC38BD"/>
    <w:rsid w:val="00CC38D6"/>
    <w:rsid w:val="00CC399E"/>
    <w:rsid w:val="00CC3A0F"/>
    <w:rsid w:val="00CC3AB9"/>
    <w:rsid w:val="00CC3AF9"/>
    <w:rsid w:val="00CC3B19"/>
    <w:rsid w:val="00CC3B3D"/>
    <w:rsid w:val="00CC3BD4"/>
    <w:rsid w:val="00CC3D48"/>
    <w:rsid w:val="00CC3D80"/>
    <w:rsid w:val="00CC3EBF"/>
    <w:rsid w:val="00CC3F26"/>
    <w:rsid w:val="00CC3F5C"/>
    <w:rsid w:val="00CC40E2"/>
    <w:rsid w:val="00CC417A"/>
    <w:rsid w:val="00CC417B"/>
    <w:rsid w:val="00CC4219"/>
    <w:rsid w:val="00CC42E8"/>
    <w:rsid w:val="00CC435E"/>
    <w:rsid w:val="00CC4455"/>
    <w:rsid w:val="00CC44AF"/>
    <w:rsid w:val="00CC4522"/>
    <w:rsid w:val="00CC4546"/>
    <w:rsid w:val="00CC4698"/>
    <w:rsid w:val="00CC46D4"/>
    <w:rsid w:val="00CC47B1"/>
    <w:rsid w:val="00CC4895"/>
    <w:rsid w:val="00CC48A2"/>
    <w:rsid w:val="00CC48C1"/>
    <w:rsid w:val="00CC49AE"/>
    <w:rsid w:val="00CC49CB"/>
    <w:rsid w:val="00CC49DA"/>
    <w:rsid w:val="00CC4A65"/>
    <w:rsid w:val="00CC4AB1"/>
    <w:rsid w:val="00CC4B13"/>
    <w:rsid w:val="00CC4B4A"/>
    <w:rsid w:val="00CC4B96"/>
    <w:rsid w:val="00CC4D9A"/>
    <w:rsid w:val="00CC4DA0"/>
    <w:rsid w:val="00CC4E66"/>
    <w:rsid w:val="00CC4ED5"/>
    <w:rsid w:val="00CC4EFB"/>
    <w:rsid w:val="00CC4F04"/>
    <w:rsid w:val="00CC504C"/>
    <w:rsid w:val="00CC50A6"/>
    <w:rsid w:val="00CC50B8"/>
    <w:rsid w:val="00CC50C5"/>
    <w:rsid w:val="00CC50F6"/>
    <w:rsid w:val="00CC5103"/>
    <w:rsid w:val="00CC512D"/>
    <w:rsid w:val="00CC515E"/>
    <w:rsid w:val="00CC51CE"/>
    <w:rsid w:val="00CC5354"/>
    <w:rsid w:val="00CC53D2"/>
    <w:rsid w:val="00CC53F2"/>
    <w:rsid w:val="00CC555F"/>
    <w:rsid w:val="00CC55D5"/>
    <w:rsid w:val="00CC5627"/>
    <w:rsid w:val="00CC5647"/>
    <w:rsid w:val="00CC56F4"/>
    <w:rsid w:val="00CC571E"/>
    <w:rsid w:val="00CC57CC"/>
    <w:rsid w:val="00CC58F2"/>
    <w:rsid w:val="00CC5956"/>
    <w:rsid w:val="00CC596F"/>
    <w:rsid w:val="00CC598B"/>
    <w:rsid w:val="00CC59BB"/>
    <w:rsid w:val="00CC5A13"/>
    <w:rsid w:val="00CC5AEA"/>
    <w:rsid w:val="00CC5B14"/>
    <w:rsid w:val="00CC5B38"/>
    <w:rsid w:val="00CC5B8C"/>
    <w:rsid w:val="00CC5C50"/>
    <w:rsid w:val="00CC5D16"/>
    <w:rsid w:val="00CC5D89"/>
    <w:rsid w:val="00CC5EF4"/>
    <w:rsid w:val="00CC5F36"/>
    <w:rsid w:val="00CC5F55"/>
    <w:rsid w:val="00CC5F9A"/>
    <w:rsid w:val="00CC6029"/>
    <w:rsid w:val="00CC603A"/>
    <w:rsid w:val="00CC6044"/>
    <w:rsid w:val="00CC606C"/>
    <w:rsid w:val="00CC61CB"/>
    <w:rsid w:val="00CC61F7"/>
    <w:rsid w:val="00CC61FA"/>
    <w:rsid w:val="00CC623B"/>
    <w:rsid w:val="00CC6270"/>
    <w:rsid w:val="00CC629A"/>
    <w:rsid w:val="00CC6314"/>
    <w:rsid w:val="00CC6394"/>
    <w:rsid w:val="00CC6455"/>
    <w:rsid w:val="00CC6475"/>
    <w:rsid w:val="00CC6583"/>
    <w:rsid w:val="00CC6702"/>
    <w:rsid w:val="00CC6752"/>
    <w:rsid w:val="00CC67CC"/>
    <w:rsid w:val="00CC6866"/>
    <w:rsid w:val="00CC697C"/>
    <w:rsid w:val="00CC69B5"/>
    <w:rsid w:val="00CC69BF"/>
    <w:rsid w:val="00CC6A3B"/>
    <w:rsid w:val="00CC6A5C"/>
    <w:rsid w:val="00CC6B6F"/>
    <w:rsid w:val="00CC6B86"/>
    <w:rsid w:val="00CC6BA8"/>
    <w:rsid w:val="00CC6BD0"/>
    <w:rsid w:val="00CC6C2A"/>
    <w:rsid w:val="00CC6C9C"/>
    <w:rsid w:val="00CC6CD1"/>
    <w:rsid w:val="00CC6D36"/>
    <w:rsid w:val="00CC6DAE"/>
    <w:rsid w:val="00CC6DAF"/>
    <w:rsid w:val="00CC6DD9"/>
    <w:rsid w:val="00CC6E3A"/>
    <w:rsid w:val="00CC6E58"/>
    <w:rsid w:val="00CC6E69"/>
    <w:rsid w:val="00CC6F9F"/>
    <w:rsid w:val="00CC6FDE"/>
    <w:rsid w:val="00CC7179"/>
    <w:rsid w:val="00CC7188"/>
    <w:rsid w:val="00CC71D3"/>
    <w:rsid w:val="00CC724B"/>
    <w:rsid w:val="00CC72ED"/>
    <w:rsid w:val="00CC7346"/>
    <w:rsid w:val="00CC7356"/>
    <w:rsid w:val="00CC7448"/>
    <w:rsid w:val="00CC74AC"/>
    <w:rsid w:val="00CC74F4"/>
    <w:rsid w:val="00CC751D"/>
    <w:rsid w:val="00CC757A"/>
    <w:rsid w:val="00CC75B6"/>
    <w:rsid w:val="00CC7618"/>
    <w:rsid w:val="00CC7668"/>
    <w:rsid w:val="00CC7686"/>
    <w:rsid w:val="00CC77BC"/>
    <w:rsid w:val="00CC7818"/>
    <w:rsid w:val="00CC7857"/>
    <w:rsid w:val="00CC785A"/>
    <w:rsid w:val="00CC78F7"/>
    <w:rsid w:val="00CC792F"/>
    <w:rsid w:val="00CC7974"/>
    <w:rsid w:val="00CC7978"/>
    <w:rsid w:val="00CC797B"/>
    <w:rsid w:val="00CC79EC"/>
    <w:rsid w:val="00CC7B06"/>
    <w:rsid w:val="00CC7BD0"/>
    <w:rsid w:val="00CC7C1A"/>
    <w:rsid w:val="00CC7C8A"/>
    <w:rsid w:val="00CC7CAF"/>
    <w:rsid w:val="00CC7D63"/>
    <w:rsid w:val="00CC7EA9"/>
    <w:rsid w:val="00CC7EB1"/>
    <w:rsid w:val="00CC7F0F"/>
    <w:rsid w:val="00CC7F12"/>
    <w:rsid w:val="00CC7F8B"/>
    <w:rsid w:val="00CD00DC"/>
    <w:rsid w:val="00CD0169"/>
    <w:rsid w:val="00CD0190"/>
    <w:rsid w:val="00CD01D7"/>
    <w:rsid w:val="00CD01E4"/>
    <w:rsid w:val="00CD0370"/>
    <w:rsid w:val="00CD046A"/>
    <w:rsid w:val="00CD0577"/>
    <w:rsid w:val="00CD05AD"/>
    <w:rsid w:val="00CD0605"/>
    <w:rsid w:val="00CD0655"/>
    <w:rsid w:val="00CD0670"/>
    <w:rsid w:val="00CD0682"/>
    <w:rsid w:val="00CD0712"/>
    <w:rsid w:val="00CD078A"/>
    <w:rsid w:val="00CD07D4"/>
    <w:rsid w:val="00CD0805"/>
    <w:rsid w:val="00CD0873"/>
    <w:rsid w:val="00CD0908"/>
    <w:rsid w:val="00CD0959"/>
    <w:rsid w:val="00CD0982"/>
    <w:rsid w:val="00CD099D"/>
    <w:rsid w:val="00CD09B9"/>
    <w:rsid w:val="00CD0AF7"/>
    <w:rsid w:val="00CD0C2A"/>
    <w:rsid w:val="00CD0CC7"/>
    <w:rsid w:val="00CD0D44"/>
    <w:rsid w:val="00CD0D52"/>
    <w:rsid w:val="00CD0D5F"/>
    <w:rsid w:val="00CD0D74"/>
    <w:rsid w:val="00CD0DDC"/>
    <w:rsid w:val="00CD0E15"/>
    <w:rsid w:val="00CD0F80"/>
    <w:rsid w:val="00CD103C"/>
    <w:rsid w:val="00CD107B"/>
    <w:rsid w:val="00CD108B"/>
    <w:rsid w:val="00CD10CB"/>
    <w:rsid w:val="00CD1102"/>
    <w:rsid w:val="00CD1155"/>
    <w:rsid w:val="00CD1167"/>
    <w:rsid w:val="00CD1192"/>
    <w:rsid w:val="00CD1208"/>
    <w:rsid w:val="00CD1211"/>
    <w:rsid w:val="00CD1233"/>
    <w:rsid w:val="00CD12B9"/>
    <w:rsid w:val="00CD1331"/>
    <w:rsid w:val="00CD1413"/>
    <w:rsid w:val="00CD1502"/>
    <w:rsid w:val="00CD152B"/>
    <w:rsid w:val="00CD1541"/>
    <w:rsid w:val="00CD15EA"/>
    <w:rsid w:val="00CD1654"/>
    <w:rsid w:val="00CD16A3"/>
    <w:rsid w:val="00CD16A5"/>
    <w:rsid w:val="00CD16D5"/>
    <w:rsid w:val="00CD1720"/>
    <w:rsid w:val="00CD1731"/>
    <w:rsid w:val="00CD173C"/>
    <w:rsid w:val="00CD17EF"/>
    <w:rsid w:val="00CD1929"/>
    <w:rsid w:val="00CD192C"/>
    <w:rsid w:val="00CD1986"/>
    <w:rsid w:val="00CD1997"/>
    <w:rsid w:val="00CD19DC"/>
    <w:rsid w:val="00CD1A2C"/>
    <w:rsid w:val="00CD1A4A"/>
    <w:rsid w:val="00CD1B21"/>
    <w:rsid w:val="00CD1C4E"/>
    <w:rsid w:val="00CD1D3D"/>
    <w:rsid w:val="00CD1ED7"/>
    <w:rsid w:val="00CD1F68"/>
    <w:rsid w:val="00CD1F78"/>
    <w:rsid w:val="00CD21FE"/>
    <w:rsid w:val="00CD22BC"/>
    <w:rsid w:val="00CD22F5"/>
    <w:rsid w:val="00CD232B"/>
    <w:rsid w:val="00CD23CC"/>
    <w:rsid w:val="00CD2415"/>
    <w:rsid w:val="00CD2443"/>
    <w:rsid w:val="00CD2500"/>
    <w:rsid w:val="00CD2516"/>
    <w:rsid w:val="00CD262A"/>
    <w:rsid w:val="00CD2651"/>
    <w:rsid w:val="00CD2732"/>
    <w:rsid w:val="00CD278C"/>
    <w:rsid w:val="00CD27A2"/>
    <w:rsid w:val="00CD27BC"/>
    <w:rsid w:val="00CD27CA"/>
    <w:rsid w:val="00CD27CC"/>
    <w:rsid w:val="00CD27EC"/>
    <w:rsid w:val="00CD286F"/>
    <w:rsid w:val="00CD2873"/>
    <w:rsid w:val="00CD28F8"/>
    <w:rsid w:val="00CD28FD"/>
    <w:rsid w:val="00CD290C"/>
    <w:rsid w:val="00CD2968"/>
    <w:rsid w:val="00CD2995"/>
    <w:rsid w:val="00CD29A7"/>
    <w:rsid w:val="00CD29C1"/>
    <w:rsid w:val="00CD2A3E"/>
    <w:rsid w:val="00CD2A96"/>
    <w:rsid w:val="00CD2AC6"/>
    <w:rsid w:val="00CD2ADC"/>
    <w:rsid w:val="00CD2B2A"/>
    <w:rsid w:val="00CD2B35"/>
    <w:rsid w:val="00CD2BDE"/>
    <w:rsid w:val="00CD2CAA"/>
    <w:rsid w:val="00CD2CCD"/>
    <w:rsid w:val="00CD2DE3"/>
    <w:rsid w:val="00CD2E8D"/>
    <w:rsid w:val="00CD2EDE"/>
    <w:rsid w:val="00CD2F42"/>
    <w:rsid w:val="00CD2FD4"/>
    <w:rsid w:val="00CD3053"/>
    <w:rsid w:val="00CD3207"/>
    <w:rsid w:val="00CD3217"/>
    <w:rsid w:val="00CD3268"/>
    <w:rsid w:val="00CD32B1"/>
    <w:rsid w:val="00CD3385"/>
    <w:rsid w:val="00CD33B9"/>
    <w:rsid w:val="00CD34F9"/>
    <w:rsid w:val="00CD356C"/>
    <w:rsid w:val="00CD35FB"/>
    <w:rsid w:val="00CD37A6"/>
    <w:rsid w:val="00CD380F"/>
    <w:rsid w:val="00CD388E"/>
    <w:rsid w:val="00CD39DF"/>
    <w:rsid w:val="00CD3A58"/>
    <w:rsid w:val="00CD3A6E"/>
    <w:rsid w:val="00CD3A92"/>
    <w:rsid w:val="00CD3A98"/>
    <w:rsid w:val="00CD3AD2"/>
    <w:rsid w:val="00CD3AE4"/>
    <w:rsid w:val="00CD3B47"/>
    <w:rsid w:val="00CD3B94"/>
    <w:rsid w:val="00CD3BBF"/>
    <w:rsid w:val="00CD3BCE"/>
    <w:rsid w:val="00CD3BED"/>
    <w:rsid w:val="00CD3C34"/>
    <w:rsid w:val="00CD3CCA"/>
    <w:rsid w:val="00CD3D7F"/>
    <w:rsid w:val="00CD3D8A"/>
    <w:rsid w:val="00CD3DBF"/>
    <w:rsid w:val="00CD3E16"/>
    <w:rsid w:val="00CD3E18"/>
    <w:rsid w:val="00CD3EB5"/>
    <w:rsid w:val="00CD3F61"/>
    <w:rsid w:val="00CD3FC7"/>
    <w:rsid w:val="00CD405E"/>
    <w:rsid w:val="00CD406E"/>
    <w:rsid w:val="00CD4084"/>
    <w:rsid w:val="00CD4154"/>
    <w:rsid w:val="00CD4174"/>
    <w:rsid w:val="00CD4199"/>
    <w:rsid w:val="00CD41CE"/>
    <w:rsid w:val="00CD41FB"/>
    <w:rsid w:val="00CD4355"/>
    <w:rsid w:val="00CD4406"/>
    <w:rsid w:val="00CD4414"/>
    <w:rsid w:val="00CD445A"/>
    <w:rsid w:val="00CD448E"/>
    <w:rsid w:val="00CD4532"/>
    <w:rsid w:val="00CD459F"/>
    <w:rsid w:val="00CD45CA"/>
    <w:rsid w:val="00CD45E4"/>
    <w:rsid w:val="00CD4656"/>
    <w:rsid w:val="00CD4691"/>
    <w:rsid w:val="00CD46DA"/>
    <w:rsid w:val="00CD46F1"/>
    <w:rsid w:val="00CD46F4"/>
    <w:rsid w:val="00CD47F6"/>
    <w:rsid w:val="00CD480B"/>
    <w:rsid w:val="00CD4859"/>
    <w:rsid w:val="00CD4A3F"/>
    <w:rsid w:val="00CD4A95"/>
    <w:rsid w:val="00CD4BF1"/>
    <w:rsid w:val="00CD4C4B"/>
    <w:rsid w:val="00CD4CB0"/>
    <w:rsid w:val="00CD4CC1"/>
    <w:rsid w:val="00CD4CEB"/>
    <w:rsid w:val="00CD4CFA"/>
    <w:rsid w:val="00CD4D51"/>
    <w:rsid w:val="00CD4D8D"/>
    <w:rsid w:val="00CD4ECF"/>
    <w:rsid w:val="00CD4ED8"/>
    <w:rsid w:val="00CD4FF0"/>
    <w:rsid w:val="00CD503A"/>
    <w:rsid w:val="00CD5066"/>
    <w:rsid w:val="00CD51EB"/>
    <w:rsid w:val="00CD52F5"/>
    <w:rsid w:val="00CD5306"/>
    <w:rsid w:val="00CD5326"/>
    <w:rsid w:val="00CD533C"/>
    <w:rsid w:val="00CD5371"/>
    <w:rsid w:val="00CD5415"/>
    <w:rsid w:val="00CD5416"/>
    <w:rsid w:val="00CD55C6"/>
    <w:rsid w:val="00CD55DD"/>
    <w:rsid w:val="00CD55FB"/>
    <w:rsid w:val="00CD56A4"/>
    <w:rsid w:val="00CD5741"/>
    <w:rsid w:val="00CD57BA"/>
    <w:rsid w:val="00CD584E"/>
    <w:rsid w:val="00CD5870"/>
    <w:rsid w:val="00CD58AB"/>
    <w:rsid w:val="00CD58B2"/>
    <w:rsid w:val="00CD5947"/>
    <w:rsid w:val="00CD5981"/>
    <w:rsid w:val="00CD59F6"/>
    <w:rsid w:val="00CD5A63"/>
    <w:rsid w:val="00CD5A7D"/>
    <w:rsid w:val="00CD5AB3"/>
    <w:rsid w:val="00CD5AF4"/>
    <w:rsid w:val="00CD5B04"/>
    <w:rsid w:val="00CD5B18"/>
    <w:rsid w:val="00CD5B8C"/>
    <w:rsid w:val="00CD5C5D"/>
    <w:rsid w:val="00CD5CC0"/>
    <w:rsid w:val="00CD5D26"/>
    <w:rsid w:val="00CD5DE1"/>
    <w:rsid w:val="00CD5EB1"/>
    <w:rsid w:val="00CD5ECC"/>
    <w:rsid w:val="00CD5F15"/>
    <w:rsid w:val="00CD5FFA"/>
    <w:rsid w:val="00CD600D"/>
    <w:rsid w:val="00CD60EC"/>
    <w:rsid w:val="00CD6159"/>
    <w:rsid w:val="00CD6184"/>
    <w:rsid w:val="00CD61ED"/>
    <w:rsid w:val="00CD6399"/>
    <w:rsid w:val="00CD6420"/>
    <w:rsid w:val="00CD6445"/>
    <w:rsid w:val="00CD64EF"/>
    <w:rsid w:val="00CD6506"/>
    <w:rsid w:val="00CD654C"/>
    <w:rsid w:val="00CD6576"/>
    <w:rsid w:val="00CD65BC"/>
    <w:rsid w:val="00CD65DC"/>
    <w:rsid w:val="00CD6625"/>
    <w:rsid w:val="00CD662B"/>
    <w:rsid w:val="00CD664C"/>
    <w:rsid w:val="00CD66FD"/>
    <w:rsid w:val="00CD670D"/>
    <w:rsid w:val="00CD6811"/>
    <w:rsid w:val="00CD686F"/>
    <w:rsid w:val="00CD687E"/>
    <w:rsid w:val="00CD6947"/>
    <w:rsid w:val="00CD696E"/>
    <w:rsid w:val="00CD69A6"/>
    <w:rsid w:val="00CD6A46"/>
    <w:rsid w:val="00CD6A6F"/>
    <w:rsid w:val="00CD6ACA"/>
    <w:rsid w:val="00CD6B9F"/>
    <w:rsid w:val="00CD6BF7"/>
    <w:rsid w:val="00CD6C68"/>
    <w:rsid w:val="00CD6CFB"/>
    <w:rsid w:val="00CD6D4C"/>
    <w:rsid w:val="00CD6D52"/>
    <w:rsid w:val="00CD6D54"/>
    <w:rsid w:val="00CD6D6A"/>
    <w:rsid w:val="00CD6D78"/>
    <w:rsid w:val="00CD6E92"/>
    <w:rsid w:val="00CD6EE5"/>
    <w:rsid w:val="00CD6F2E"/>
    <w:rsid w:val="00CD7018"/>
    <w:rsid w:val="00CD707C"/>
    <w:rsid w:val="00CD70E6"/>
    <w:rsid w:val="00CD713E"/>
    <w:rsid w:val="00CD722E"/>
    <w:rsid w:val="00CD726A"/>
    <w:rsid w:val="00CD72CC"/>
    <w:rsid w:val="00CD74B7"/>
    <w:rsid w:val="00CD7513"/>
    <w:rsid w:val="00CD754F"/>
    <w:rsid w:val="00CD75B9"/>
    <w:rsid w:val="00CD75CD"/>
    <w:rsid w:val="00CD75CE"/>
    <w:rsid w:val="00CD75F2"/>
    <w:rsid w:val="00CD761E"/>
    <w:rsid w:val="00CD7697"/>
    <w:rsid w:val="00CD7741"/>
    <w:rsid w:val="00CD77BC"/>
    <w:rsid w:val="00CD7A3B"/>
    <w:rsid w:val="00CD7A7F"/>
    <w:rsid w:val="00CD7A90"/>
    <w:rsid w:val="00CD7AAF"/>
    <w:rsid w:val="00CD7C2A"/>
    <w:rsid w:val="00CD7CB7"/>
    <w:rsid w:val="00CD7D6D"/>
    <w:rsid w:val="00CD7DB6"/>
    <w:rsid w:val="00CD7E26"/>
    <w:rsid w:val="00CD7E5C"/>
    <w:rsid w:val="00CD7E70"/>
    <w:rsid w:val="00CD7EC4"/>
    <w:rsid w:val="00CD7EE3"/>
    <w:rsid w:val="00CD7EFA"/>
    <w:rsid w:val="00CD7F44"/>
    <w:rsid w:val="00CDFB5B"/>
    <w:rsid w:val="00CE0001"/>
    <w:rsid w:val="00CE0028"/>
    <w:rsid w:val="00CE0115"/>
    <w:rsid w:val="00CE019E"/>
    <w:rsid w:val="00CE0200"/>
    <w:rsid w:val="00CE0203"/>
    <w:rsid w:val="00CE0249"/>
    <w:rsid w:val="00CE0254"/>
    <w:rsid w:val="00CE02F2"/>
    <w:rsid w:val="00CE02FA"/>
    <w:rsid w:val="00CE032E"/>
    <w:rsid w:val="00CE0391"/>
    <w:rsid w:val="00CE03FA"/>
    <w:rsid w:val="00CE048A"/>
    <w:rsid w:val="00CE0490"/>
    <w:rsid w:val="00CE0528"/>
    <w:rsid w:val="00CE052E"/>
    <w:rsid w:val="00CE0581"/>
    <w:rsid w:val="00CE0600"/>
    <w:rsid w:val="00CE0630"/>
    <w:rsid w:val="00CE06A2"/>
    <w:rsid w:val="00CE06AC"/>
    <w:rsid w:val="00CE0821"/>
    <w:rsid w:val="00CE0854"/>
    <w:rsid w:val="00CE08E7"/>
    <w:rsid w:val="00CE08F4"/>
    <w:rsid w:val="00CE08F6"/>
    <w:rsid w:val="00CE0953"/>
    <w:rsid w:val="00CE0954"/>
    <w:rsid w:val="00CE0A0C"/>
    <w:rsid w:val="00CE0A49"/>
    <w:rsid w:val="00CE0B34"/>
    <w:rsid w:val="00CE0C8B"/>
    <w:rsid w:val="00CE0C91"/>
    <w:rsid w:val="00CE0CD6"/>
    <w:rsid w:val="00CE0D3E"/>
    <w:rsid w:val="00CE0DC0"/>
    <w:rsid w:val="00CE0F1C"/>
    <w:rsid w:val="00CE0F4A"/>
    <w:rsid w:val="00CE0FA6"/>
    <w:rsid w:val="00CE106A"/>
    <w:rsid w:val="00CE109A"/>
    <w:rsid w:val="00CE111D"/>
    <w:rsid w:val="00CE1130"/>
    <w:rsid w:val="00CE119F"/>
    <w:rsid w:val="00CE11B2"/>
    <w:rsid w:val="00CE11B8"/>
    <w:rsid w:val="00CE11D1"/>
    <w:rsid w:val="00CE1202"/>
    <w:rsid w:val="00CE1203"/>
    <w:rsid w:val="00CE121F"/>
    <w:rsid w:val="00CE1223"/>
    <w:rsid w:val="00CE13B1"/>
    <w:rsid w:val="00CE13CD"/>
    <w:rsid w:val="00CE13EB"/>
    <w:rsid w:val="00CE151B"/>
    <w:rsid w:val="00CE1613"/>
    <w:rsid w:val="00CE16EA"/>
    <w:rsid w:val="00CE171B"/>
    <w:rsid w:val="00CE1744"/>
    <w:rsid w:val="00CE1754"/>
    <w:rsid w:val="00CE1765"/>
    <w:rsid w:val="00CE1837"/>
    <w:rsid w:val="00CE187C"/>
    <w:rsid w:val="00CE19FE"/>
    <w:rsid w:val="00CE1A21"/>
    <w:rsid w:val="00CE1A71"/>
    <w:rsid w:val="00CE1B13"/>
    <w:rsid w:val="00CE1B97"/>
    <w:rsid w:val="00CE1BAE"/>
    <w:rsid w:val="00CE1BE9"/>
    <w:rsid w:val="00CE1C2C"/>
    <w:rsid w:val="00CE1C71"/>
    <w:rsid w:val="00CE1CA4"/>
    <w:rsid w:val="00CE1F01"/>
    <w:rsid w:val="00CE1F27"/>
    <w:rsid w:val="00CE1F62"/>
    <w:rsid w:val="00CE2052"/>
    <w:rsid w:val="00CE2160"/>
    <w:rsid w:val="00CE218D"/>
    <w:rsid w:val="00CE21B8"/>
    <w:rsid w:val="00CE223F"/>
    <w:rsid w:val="00CE22A6"/>
    <w:rsid w:val="00CE22EB"/>
    <w:rsid w:val="00CE23C4"/>
    <w:rsid w:val="00CE2464"/>
    <w:rsid w:val="00CE24C3"/>
    <w:rsid w:val="00CE24E4"/>
    <w:rsid w:val="00CE259E"/>
    <w:rsid w:val="00CE267C"/>
    <w:rsid w:val="00CE268C"/>
    <w:rsid w:val="00CE26E4"/>
    <w:rsid w:val="00CE2710"/>
    <w:rsid w:val="00CE272E"/>
    <w:rsid w:val="00CE2757"/>
    <w:rsid w:val="00CE27E3"/>
    <w:rsid w:val="00CE2827"/>
    <w:rsid w:val="00CE285B"/>
    <w:rsid w:val="00CE2887"/>
    <w:rsid w:val="00CE2911"/>
    <w:rsid w:val="00CE2A34"/>
    <w:rsid w:val="00CE2A5B"/>
    <w:rsid w:val="00CE2AD7"/>
    <w:rsid w:val="00CE2AF9"/>
    <w:rsid w:val="00CE2B85"/>
    <w:rsid w:val="00CE2C33"/>
    <w:rsid w:val="00CE2C9B"/>
    <w:rsid w:val="00CE2CAD"/>
    <w:rsid w:val="00CE2D07"/>
    <w:rsid w:val="00CE2D5D"/>
    <w:rsid w:val="00CE2E0F"/>
    <w:rsid w:val="00CE2E24"/>
    <w:rsid w:val="00CE2E91"/>
    <w:rsid w:val="00CE2F6C"/>
    <w:rsid w:val="00CE2FC3"/>
    <w:rsid w:val="00CE30B5"/>
    <w:rsid w:val="00CE30FC"/>
    <w:rsid w:val="00CE3135"/>
    <w:rsid w:val="00CE33BB"/>
    <w:rsid w:val="00CE33BE"/>
    <w:rsid w:val="00CE33DC"/>
    <w:rsid w:val="00CE3596"/>
    <w:rsid w:val="00CE360A"/>
    <w:rsid w:val="00CE3610"/>
    <w:rsid w:val="00CE3721"/>
    <w:rsid w:val="00CE3746"/>
    <w:rsid w:val="00CE3767"/>
    <w:rsid w:val="00CE3773"/>
    <w:rsid w:val="00CE3778"/>
    <w:rsid w:val="00CE37FB"/>
    <w:rsid w:val="00CE38F3"/>
    <w:rsid w:val="00CE392F"/>
    <w:rsid w:val="00CE3A25"/>
    <w:rsid w:val="00CE3B90"/>
    <w:rsid w:val="00CE3BB7"/>
    <w:rsid w:val="00CE3BFD"/>
    <w:rsid w:val="00CE3C3F"/>
    <w:rsid w:val="00CE3D0F"/>
    <w:rsid w:val="00CE3E28"/>
    <w:rsid w:val="00CE3E4B"/>
    <w:rsid w:val="00CE3E54"/>
    <w:rsid w:val="00CE3E7A"/>
    <w:rsid w:val="00CE3E96"/>
    <w:rsid w:val="00CE3FC3"/>
    <w:rsid w:val="00CE3FE6"/>
    <w:rsid w:val="00CE4026"/>
    <w:rsid w:val="00CE4055"/>
    <w:rsid w:val="00CE40F3"/>
    <w:rsid w:val="00CE415D"/>
    <w:rsid w:val="00CE41D0"/>
    <w:rsid w:val="00CE420C"/>
    <w:rsid w:val="00CE43B0"/>
    <w:rsid w:val="00CE43CE"/>
    <w:rsid w:val="00CE44A8"/>
    <w:rsid w:val="00CE45B6"/>
    <w:rsid w:val="00CE45D8"/>
    <w:rsid w:val="00CE46BC"/>
    <w:rsid w:val="00CE4710"/>
    <w:rsid w:val="00CE4765"/>
    <w:rsid w:val="00CE4778"/>
    <w:rsid w:val="00CE4793"/>
    <w:rsid w:val="00CE481E"/>
    <w:rsid w:val="00CE490E"/>
    <w:rsid w:val="00CE4918"/>
    <w:rsid w:val="00CE4939"/>
    <w:rsid w:val="00CE49FE"/>
    <w:rsid w:val="00CE4A22"/>
    <w:rsid w:val="00CE4A26"/>
    <w:rsid w:val="00CE4A29"/>
    <w:rsid w:val="00CE4A4A"/>
    <w:rsid w:val="00CE4B5A"/>
    <w:rsid w:val="00CE4B8D"/>
    <w:rsid w:val="00CE4C36"/>
    <w:rsid w:val="00CE4CA0"/>
    <w:rsid w:val="00CE4CD8"/>
    <w:rsid w:val="00CE4D09"/>
    <w:rsid w:val="00CE4D45"/>
    <w:rsid w:val="00CE4D58"/>
    <w:rsid w:val="00CE4E6B"/>
    <w:rsid w:val="00CE4E85"/>
    <w:rsid w:val="00CE4EA6"/>
    <w:rsid w:val="00CE4EC8"/>
    <w:rsid w:val="00CE4EEA"/>
    <w:rsid w:val="00CE4F16"/>
    <w:rsid w:val="00CE5012"/>
    <w:rsid w:val="00CE5015"/>
    <w:rsid w:val="00CE50C3"/>
    <w:rsid w:val="00CE510D"/>
    <w:rsid w:val="00CE5113"/>
    <w:rsid w:val="00CE5137"/>
    <w:rsid w:val="00CE5169"/>
    <w:rsid w:val="00CE51CE"/>
    <w:rsid w:val="00CE5204"/>
    <w:rsid w:val="00CE52A9"/>
    <w:rsid w:val="00CE54C0"/>
    <w:rsid w:val="00CE558E"/>
    <w:rsid w:val="00CE561D"/>
    <w:rsid w:val="00CE5632"/>
    <w:rsid w:val="00CE5681"/>
    <w:rsid w:val="00CE5748"/>
    <w:rsid w:val="00CE574B"/>
    <w:rsid w:val="00CE57FB"/>
    <w:rsid w:val="00CE58AC"/>
    <w:rsid w:val="00CE5922"/>
    <w:rsid w:val="00CE599B"/>
    <w:rsid w:val="00CE5A04"/>
    <w:rsid w:val="00CE5A59"/>
    <w:rsid w:val="00CE5AA4"/>
    <w:rsid w:val="00CE5ADB"/>
    <w:rsid w:val="00CE5B4D"/>
    <w:rsid w:val="00CE5B5C"/>
    <w:rsid w:val="00CE5CA2"/>
    <w:rsid w:val="00CE5D18"/>
    <w:rsid w:val="00CE5DE2"/>
    <w:rsid w:val="00CE5E0F"/>
    <w:rsid w:val="00CE5E5F"/>
    <w:rsid w:val="00CE5E70"/>
    <w:rsid w:val="00CE5FB1"/>
    <w:rsid w:val="00CE6055"/>
    <w:rsid w:val="00CE60D3"/>
    <w:rsid w:val="00CE615F"/>
    <w:rsid w:val="00CE6392"/>
    <w:rsid w:val="00CE63F3"/>
    <w:rsid w:val="00CE641D"/>
    <w:rsid w:val="00CE64C4"/>
    <w:rsid w:val="00CE64CA"/>
    <w:rsid w:val="00CE64D3"/>
    <w:rsid w:val="00CE64E0"/>
    <w:rsid w:val="00CE6628"/>
    <w:rsid w:val="00CE6656"/>
    <w:rsid w:val="00CE67AC"/>
    <w:rsid w:val="00CE67FC"/>
    <w:rsid w:val="00CE682E"/>
    <w:rsid w:val="00CE684C"/>
    <w:rsid w:val="00CE6878"/>
    <w:rsid w:val="00CE6908"/>
    <w:rsid w:val="00CE6920"/>
    <w:rsid w:val="00CE6A0C"/>
    <w:rsid w:val="00CE6B28"/>
    <w:rsid w:val="00CE6B7C"/>
    <w:rsid w:val="00CE6BD6"/>
    <w:rsid w:val="00CE6C2E"/>
    <w:rsid w:val="00CE6C3D"/>
    <w:rsid w:val="00CE6C49"/>
    <w:rsid w:val="00CE6CCF"/>
    <w:rsid w:val="00CE6D59"/>
    <w:rsid w:val="00CE6D6E"/>
    <w:rsid w:val="00CE6DD4"/>
    <w:rsid w:val="00CE6DE0"/>
    <w:rsid w:val="00CE6DFF"/>
    <w:rsid w:val="00CE6F84"/>
    <w:rsid w:val="00CE6FF1"/>
    <w:rsid w:val="00CE6FF2"/>
    <w:rsid w:val="00CE705B"/>
    <w:rsid w:val="00CE70A0"/>
    <w:rsid w:val="00CE70D8"/>
    <w:rsid w:val="00CE71C7"/>
    <w:rsid w:val="00CE71D5"/>
    <w:rsid w:val="00CE7235"/>
    <w:rsid w:val="00CE723C"/>
    <w:rsid w:val="00CE7287"/>
    <w:rsid w:val="00CE72E5"/>
    <w:rsid w:val="00CE72F2"/>
    <w:rsid w:val="00CE7300"/>
    <w:rsid w:val="00CE7308"/>
    <w:rsid w:val="00CE73E0"/>
    <w:rsid w:val="00CE7441"/>
    <w:rsid w:val="00CE7486"/>
    <w:rsid w:val="00CE74EC"/>
    <w:rsid w:val="00CE7539"/>
    <w:rsid w:val="00CE759F"/>
    <w:rsid w:val="00CE7626"/>
    <w:rsid w:val="00CE77FF"/>
    <w:rsid w:val="00CE7822"/>
    <w:rsid w:val="00CE78BD"/>
    <w:rsid w:val="00CE7903"/>
    <w:rsid w:val="00CE790A"/>
    <w:rsid w:val="00CE79F9"/>
    <w:rsid w:val="00CE7A42"/>
    <w:rsid w:val="00CE7A81"/>
    <w:rsid w:val="00CE7A99"/>
    <w:rsid w:val="00CE7B20"/>
    <w:rsid w:val="00CE7C36"/>
    <w:rsid w:val="00CE7C94"/>
    <w:rsid w:val="00CE7CB4"/>
    <w:rsid w:val="00CE7CCA"/>
    <w:rsid w:val="00CE7CD7"/>
    <w:rsid w:val="00CE7D81"/>
    <w:rsid w:val="00CE7E36"/>
    <w:rsid w:val="00CE7E8D"/>
    <w:rsid w:val="00CE7F2B"/>
    <w:rsid w:val="00CE7F7C"/>
    <w:rsid w:val="00CE7F9A"/>
    <w:rsid w:val="00CE7FA7"/>
    <w:rsid w:val="00CED166"/>
    <w:rsid w:val="00CF0012"/>
    <w:rsid w:val="00CF002B"/>
    <w:rsid w:val="00CF006A"/>
    <w:rsid w:val="00CF011F"/>
    <w:rsid w:val="00CF021F"/>
    <w:rsid w:val="00CF024B"/>
    <w:rsid w:val="00CF0303"/>
    <w:rsid w:val="00CF0332"/>
    <w:rsid w:val="00CF0376"/>
    <w:rsid w:val="00CF03C3"/>
    <w:rsid w:val="00CF0595"/>
    <w:rsid w:val="00CF05B6"/>
    <w:rsid w:val="00CF05C0"/>
    <w:rsid w:val="00CF0600"/>
    <w:rsid w:val="00CF0633"/>
    <w:rsid w:val="00CF0662"/>
    <w:rsid w:val="00CF06C0"/>
    <w:rsid w:val="00CF089C"/>
    <w:rsid w:val="00CF08DE"/>
    <w:rsid w:val="00CF08E8"/>
    <w:rsid w:val="00CF092A"/>
    <w:rsid w:val="00CF093D"/>
    <w:rsid w:val="00CF0A99"/>
    <w:rsid w:val="00CF0AF7"/>
    <w:rsid w:val="00CF0B2B"/>
    <w:rsid w:val="00CF0B3E"/>
    <w:rsid w:val="00CF0B8C"/>
    <w:rsid w:val="00CF0BB0"/>
    <w:rsid w:val="00CF0BC2"/>
    <w:rsid w:val="00CF0C4D"/>
    <w:rsid w:val="00CF0C5A"/>
    <w:rsid w:val="00CF0CCA"/>
    <w:rsid w:val="00CF0D18"/>
    <w:rsid w:val="00CF0DE8"/>
    <w:rsid w:val="00CF0DFE"/>
    <w:rsid w:val="00CF0E95"/>
    <w:rsid w:val="00CF0F48"/>
    <w:rsid w:val="00CF0F60"/>
    <w:rsid w:val="00CF0FD8"/>
    <w:rsid w:val="00CF1033"/>
    <w:rsid w:val="00CF104C"/>
    <w:rsid w:val="00CF107C"/>
    <w:rsid w:val="00CF109C"/>
    <w:rsid w:val="00CF10EB"/>
    <w:rsid w:val="00CF1140"/>
    <w:rsid w:val="00CF11C8"/>
    <w:rsid w:val="00CF11E5"/>
    <w:rsid w:val="00CF1238"/>
    <w:rsid w:val="00CF124B"/>
    <w:rsid w:val="00CF1313"/>
    <w:rsid w:val="00CF1403"/>
    <w:rsid w:val="00CF1492"/>
    <w:rsid w:val="00CF160A"/>
    <w:rsid w:val="00CF1665"/>
    <w:rsid w:val="00CF166D"/>
    <w:rsid w:val="00CF16E2"/>
    <w:rsid w:val="00CF1792"/>
    <w:rsid w:val="00CF17B2"/>
    <w:rsid w:val="00CF17DD"/>
    <w:rsid w:val="00CF18B4"/>
    <w:rsid w:val="00CF1948"/>
    <w:rsid w:val="00CF1970"/>
    <w:rsid w:val="00CF197F"/>
    <w:rsid w:val="00CF1984"/>
    <w:rsid w:val="00CF1A4D"/>
    <w:rsid w:val="00CF1C30"/>
    <w:rsid w:val="00CF1CD3"/>
    <w:rsid w:val="00CF1D46"/>
    <w:rsid w:val="00CF1D51"/>
    <w:rsid w:val="00CF1D7F"/>
    <w:rsid w:val="00CF1D96"/>
    <w:rsid w:val="00CF1D9B"/>
    <w:rsid w:val="00CF1DD4"/>
    <w:rsid w:val="00CF1DFA"/>
    <w:rsid w:val="00CF1E81"/>
    <w:rsid w:val="00CF1E97"/>
    <w:rsid w:val="00CF1EB1"/>
    <w:rsid w:val="00CF203E"/>
    <w:rsid w:val="00CF2116"/>
    <w:rsid w:val="00CF2132"/>
    <w:rsid w:val="00CF218B"/>
    <w:rsid w:val="00CF2198"/>
    <w:rsid w:val="00CF21C6"/>
    <w:rsid w:val="00CF2227"/>
    <w:rsid w:val="00CF2292"/>
    <w:rsid w:val="00CF22C1"/>
    <w:rsid w:val="00CF239C"/>
    <w:rsid w:val="00CF23D2"/>
    <w:rsid w:val="00CF2448"/>
    <w:rsid w:val="00CF247E"/>
    <w:rsid w:val="00CF2541"/>
    <w:rsid w:val="00CF257A"/>
    <w:rsid w:val="00CF25F8"/>
    <w:rsid w:val="00CF2626"/>
    <w:rsid w:val="00CF2643"/>
    <w:rsid w:val="00CF268D"/>
    <w:rsid w:val="00CF26BC"/>
    <w:rsid w:val="00CF26BE"/>
    <w:rsid w:val="00CF2823"/>
    <w:rsid w:val="00CF296D"/>
    <w:rsid w:val="00CF296E"/>
    <w:rsid w:val="00CF2992"/>
    <w:rsid w:val="00CF2AE0"/>
    <w:rsid w:val="00CF2BC0"/>
    <w:rsid w:val="00CF2CD1"/>
    <w:rsid w:val="00CF2D08"/>
    <w:rsid w:val="00CF2D5F"/>
    <w:rsid w:val="00CF2F43"/>
    <w:rsid w:val="00CF2F45"/>
    <w:rsid w:val="00CF2F58"/>
    <w:rsid w:val="00CF2FAA"/>
    <w:rsid w:val="00CF2FEA"/>
    <w:rsid w:val="00CF3148"/>
    <w:rsid w:val="00CF317F"/>
    <w:rsid w:val="00CF31A3"/>
    <w:rsid w:val="00CF31EE"/>
    <w:rsid w:val="00CF3207"/>
    <w:rsid w:val="00CF32B5"/>
    <w:rsid w:val="00CF32F7"/>
    <w:rsid w:val="00CF3303"/>
    <w:rsid w:val="00CF335E"/>
    <w:rsid w:val="00CF3377"/>
    <w:rsid w:val="00CF3499"/>
    <w:rsid w:val="00CF34B6"/>
    <w:rsid w:val="00CF34E1"/>
    <w:rsid w:val="00CF35BD"/>
    <w:rsid w:val="00CF35C4"/>
    <w:rsid w:val="00CF3678"/>
    <w:rsid w:val="00CF374B"/>
    <w:rsid w:val="00CF377B"/>
    <w:rsid w:val="00CF37BA"/>
    <w:rsid w:val="00CF3859"/>
    <w:rsid w:val="00CF3913"/>
    <w:rsid w:val="00CF3926"/>
    <w:rsid w:val="00CF3936"/>
    <w:rsid w:val="00CF3A5D"/>
    <w:rsid w:val="00CF3AA1"/>
    <w:rsid w:val="00CF3B5A"/>
    <w:rsid w:val="00CF3BD5"/>
    <w:rsid w:val="00CF3C55"/>
    <w:rsid w:val="00CF3CC7"/>
    <w:rsid w:val="00CF3D05"/>
    <w:rsid w:val="00CF3D44"/>
    <w:rsid w:val="00CF3DDF"/>
    <w:rsid w:val="00CF3DF4"/>
    <w:rsid w:val="00CF3E0D"/>
    <w:rsid w:val="00CF3E50"/>
    <w:rsid w:val="00CF3ED3"/>
    <w:rsid w:val="00CF3F2A"/>
    <w:rsid w:val="00CF3F47"/>
    <w:rsid w:val="00CF3F5D"/>
    <w:rsid w:val="00CF3FF1"/>
    <w:rsid w:val="00CF40A0"/>
    <w:rsid w:val="00CF41DD"/>
    <w:rsid w:val="00CF422B"/>
    <w:rsid w:val="00CF4256"/>
    <w:rsid w:val="00CF4297"/>
    <w:rsid w:val="00CF4359"/>
    <w:rsid w:val="00CF4368"/>
    <w:rsid w:val="00CF436E"/>
    <w:rsid w:val="00CF43A6"/>
    <w:rsid w:val="00CF43D7"/>
    <w:rsid w:val="00CF45E6"/>
    <w:rsid w:val="00CF4648"/>
    <w:rsid w:val="00CF464B"/>
    <w:rsid w:val="00CF465F"/>
    <w:rsid w:val="00CF467B"/>
    <w:rsid w:val="00CF470D"/>
    <w:rsid w:val="00CF4760"/>
    <w:rsid w:val="00CF4788"/>
    <w:rsid w:val="00CF4866"/>
    <w:rsid w:val="00CF49BA"/>
    <w:rsid w:val="00CF4A4B"/>
    <w:rsid w:val="00CF4A5E"/>
    <w:rsid w:val="00CF4A98"/>
    <w:rsid w:val="00CF4B0A"/>
    <w:rsid w:val="00CF4B38"/>
    <w:rsid w:val="00CF4BB8"/>
    <w:rsid w:val="00CF4BD6"/>
    <w:rsid w:val="00CF4BDB"/>
    <w:rsid w:val="00CF4BEC"/>
    <w:rsid w:val="00CF4C40"/>
    <w:rsid w:val="00CF4C77"/>
    <w:rsid w:val="00CF4C7C"/>
    <w:rsid w:val="00CF4D72"/>
    <w:rsid w:val="00CF4D76"/>
    <w:rsid w:val="00CF4D7E"/>
    <w:rsid w:val="00CF4E9C"/>
    <w:rsid w:val="00CF4F2E"/>
    <w:rsid w:val="00CF4FA1"/>
    <w:rsid w:val="00CF4FCD"/>
    <w:rsid w:val="00CF502C"/>
    <w:rsid w:val="00CF508E"/>
    <w:rsid w:val="00CF5093"/>
    <w:rsid w:val="00CF516F"/>
    <w:rsid w:val="00CF5261"/>
    <w:rsid w:val="00CF52B7"/>
    <w:rsid w:val="00CF52C2"/>
    <w:rsid w:val="00CF5376"/>
    <w:rsid w:val="00CF53D3"/>
    <w:rsid w:val="00CF53F5"/>
    <w:rsid w:val="00CF5421"/>
    <w:rsid w:val="00CF54F4"/>
    <w:rsid w:val="00CF5529"/>
    <w:rsid w:val="00CF553E"/>
    <w:rsid w:val="00CF56A9"/>
    <w:rsid w:val="00CF5708"/>
    <w:rsid w:val="00CF5794"/>
    <w:rsid w:val="00CF57B3"/>
    <w:rsid w:val="00CF58A4"/>
    <w:rsid w:val="00CF58A8"/>
    <w:rsid w:val="00CF58AE"/>
    <w:rsid w:val="00CF58ED"/>
    <w:rsid w:val="00CF5938"/>
    <w:rsid w:val="00CF59BD"/>
    <w:rsid w:val="00CF5A2A"/>
    <w:rsid w:val="00CF5A37"/>
    <w:rsid w:val="00CF5A69"/>
    <w:rsid w:val="00CF5A82"/>
    <w:rsid w:val="00CF5BD5"/>
    <w:rsid w:val="00CF5C32"/>
    <w:rsid w:val="00CF5C6F"/>
    <w:rsid w:val="00CF5CB1"/>
    <w:rsid w:val="00CF5D4A"/>
    <w:rsid w:val="00CF5D63"/>
    <w:rsid w:val="00CF5D75"/>
    <w:rsid w:val="00CF5DD4"/>
    <w:rsid w:val="00CF5DEB"/>
    <w:rsid w:val="00CF5E83"/>
    <w:rsid w:val="00CF5EEA"/>
    <w:rsid w:val="00CF5F3B"/>
    <w:rsid w:val="00CF5F6D"/>
    <w:rsid w:val="00CF5F8F"/>
    <w:rsid w:val="00CF616E"/>
    <w:rsid w:val="00CF61EC"/>
    <w:rsid w:val="00CF62F4"/>
    <w:rsid w:val="00CF62F9"/>
    <w:rsid w:val="00CF6451"/>
    <w:rsid w:val="00CF6481"/>
    <w:rsid w:val="00CF64A1"/>
    <w:rsid w:val="00CF64B7"/>
    <w:rsid w:val="00CF64F0"/>
    <w:rsid w:val="00CF6515"/>
    <w:rsid w:val="00CF6562"/>
    <w:rsid w:val="00CF6571"/>
    <w:rsid w:val="00CF66EE"/>
    <w:rsid w:val="00CF679D"/>
    <w:rsid w:val="00CF6822"/>
    <w:rsid w:val="00CF6826"/>
    <w:rsid w:val="00CF6835"/>
    <w:rsid w:val="00CF6884"/>
    <w:rsid w:val="00CF6A75"/>
    <w:rsid w:val="00CF6BCB"/>
    <w:rsid w:val="00CF6BFA"/>
    <w:rsid w:val="00CF6C4C"/>
    <w:rsid w:val="00CF6C9A"/>
    <w:rsid w:val="00CF6C9B"/>
    <w:rsid w:val="00CF6CF8"/>
    <w:rsid w:val="00CF6D8D"/>
    <w:rsid w:val="00CF6DEA"/>
    <w:rsid w:val="00CF6EA1"/>
    <w:rsid w:val="00CF6EB1"/>
    <w:rsid w:val="00CF6EBE"/>
    <w:rsid w:val="00CF6ECD"/>
    <w:rsid w:val="00CF6FB2"/>
    <w:rsid w:val="00CF6FC4"/>
    <w:rsid w:val="00CF7003"/>
    <w:rsid w:val="00CF701C"/>
    <w:rsid w:val="00CF70D4"/>
    <w:rsid w:val="00CF7121"/>
    <w:rsid w:val="00CF7159"/>
    <w:rsid w:val="00CF715A"/>
    <w:rsid w:val="00CF7181"/>
    <w:rsid w:val="00CF72F7"/>
    <w:rsid w:val="00CF7438"/>
    <w:rsid w:val="00CF746E"/>
    <w:rsid w:val="00CF750E"/>
    <w:rsid w:val="00CF7519"/>
    <w:rsid w:val="00CF75AD"/>
    <w:rsid w:val="00CF76AF"/>
    <w:rsid w:val="00CF770C"/>
    <w:rsid w:val="00CF7760"/>
    <w:rsid w:val="00CF78FE"/>
    <w:rsid w:val="00CF790A"/>
    <w:rsid w:val="00CF7A0E"/>
    <w:rsid w:val="00CF7A8F"/>
    <w:rsid w:val="00CF7AFE"/>
    <w:rsid w:val="00CF7B10"/>
    <w:rsid w:val="00CF7B11"/>
    <w:rsid w:val="00CF7B27"/>
    <w:rsid w:val="00CF7C0D"/>
    <w:rsid w:val="00CF7CE9"/>
    <w:rsid w:val="00CF7E33"/>
    <w:rsid w:val="00CF7EEA"/>
    <w:rsid w:val="00CF7EF5"/>
    <w:rsid w:val="00CF7F07"/>
    <w:rsid w:val="00CF7FB7"/>
    <w:rsid w:val="00CF7FED"/>
    <w:rsid w:val="00D00081"/>
    <w:rsid w:val="00D000E1"/>
    <w:rsid w:val="00D00114"/>
    <w:rsid w:val="00D001BC"/>
    <w:rsid w:val="00D00283"/>
    <w:rsid w:val="00D003EC"/>
    <w:rsid w:val="00D003EE"/>
    <w:rsid w:val="00D00415"/>
    <w:rsid w:val="00D00482"/>
    <w:rsid w:val="00D00593"/>
    <w:rsid w:val="00D0059A"/>
    <w:rsid w:val="00D0060A"/>
    <w:rsid w:val="00D0066D"/>
    <w:rsid w:val="00D00766"/>
    <w:rsid w:val="00D00851"/>
    <w:rsid w:val="00D00877"/>
    <w:rsid w:val="00D00915"/>
    <w:rsid w:val="00D0099C"/>
    <w:rsid w:val="00D00A3A"/>
    <w:rsid w:val="00D00A9E"/>
    <w:rsid w:val="00D00ADB"/>
    <w:rsid w:val="00D00AFD"/>
    <w:rsid w:val="00D00B81"/>
    <w:rsid w:val="00D00BB0"/>
    <w:rsid w:val="00D00C2A"/>
    <w:rsid w:val="00D00D9E"/>
    <w:rsid w:val="00D00DDF"/>
    <w:rsid w:val="00D00DF5"/>
    <w:rsid w:val="00D00EE6"/>
    <w:rsid w:val="00D00F67"/>
    <w:rsid w:val="00D00F8C"/>
    <w:rsid w:val="00D01066"/>
    <w:rsid w:val="00D0106E"/>
    <w:rsid w:val="00D01146"/>
    <w:rsid w:val="00D01168"/>
    <w:rsid w:val="00D011B0"/>
    <w:rsid w:val="00D011C0"/>
    <w:rsid w:val="00D011C4"/>
    <w:rsid w:val="00D0126D"/>
    <w:rsid w:val="00D012C6"/>
    <w:rsid w:val="00D01316"/>
    <w:rsid w:val="00D01362"/>
    <w:rsid w:val="00D0139D"/>
    <w:rsid w:val="00D01418"/>
    <w:rsid w:val="00D0149B"/>
    <w:rsid w:val="00D014DB"/>
    <w:rsid w:val="00D01516"/>
    <w:rsid w:val="00D01544"/>
    <w:rsid w:val="00D01546"/>
    <w:rsid w:val="00D01594"/>
    <w:rsid w:val="00D01613"/>
    <w:rsid w:val="00D0163F"/>
    <w:rsid w:val="00D016A1"/>
    <w:rsid w:val="00D017AC"/>
    <w:rsid w:val="00D0188F"/>
    <w:rsid w:val="00D018A5"/>
    <w:rsid w:val="00D018DE"/>
    <w:rsid w:val="00D0191E"/>
    <w:rsid w:val="00D01A9F"/>
    <w:rsid w:val="00D01C08"/>
    <w:rsid w:val="00D01C66"/>
    <w:rsid w:val="00D01D20"/>
    <w:rsid w:val="00D01D54"/>
    <w:rsid w:val="00D01E09"/>
    <w:rsid w:val="00D01EA5"/>
    <w:rsid w:val="00D01F3B"/>
    <w:rsid w:val="00D01F88"/>
    <w:rsid w:val="00D01FD6"/>
    <w:rsid w:val="00D02030"/>
    <w:rsid w:val="00D02105"/>
    <w:rsid w:val="00D02118"/>
    <w:rsid w:val="00D02178"/>
    <w:rsid w:val="00D021E0"/>
    <w:rsid w:val="00D02231"/>
    <w:rsid w:val="00D0223D"/>
    <w:rsid w:val="00D0224B"/>
    <w:rsid w:val="00D0231E"/>
    <w:rsid w:val="00D02384"/>
    <w:rsid w:val="00D02389"/>
    <w:rsid w:val="00D023DE"/>
    <w:rsid w:val="00D02422"/>
    <w:rsid w:val="00D024F9"/>
    <w:rsid w:val="00D0269C"/>
    <w:rsid w:val="00D026B6"/>
    <w:rsid w:val="00D026C3"/>
    <w:rsid w:val="00D026DE"/>
    <w:rsid w:val="00D0273F"/>
    <w:rsid w:val="00D027B8"/>
    <w:rsid w:val="00D028FC"/>
    <w:rsid w:val="00D02A07"/>
    <w:rsid w:val="00D02ACB"/>
    <w:rsid w:val="00D02AF7"/>
    <w:rsid w:val="00D02B52"/>
    <w:rsid w:val="00D02B69"/>
    <w:rsid w:val="00D02BBF"/>
    <w:rsid w:val="00D02C41"/>
    <w:rsid w:val="00D02C5C"/>
    <w:rsid w:val="00D02CA8"/>
    <w:rsid w:val="00D02CF0"/>
    <w:rsid w:val="00D02D3C"/>
    <w:rsid w:val="00D02E09"/>
    <w:rsid w:val="00D02E22"/>
    <w:rsid w:val="00D02ED3"/>
    <w:rsid w:val="00D03016"/>
    <w:rsid w:val="00D03250"/>
    <w:rsid w:val="00D03332"/>
    <w:rsid w:val="00D033FF"/>
    <w:rsid w:val="00D034DF"/>
    <w:rsid w:val="00D0357D"/>
    <w:rsid w:val="00D035CE"/>
    <w:rsid w:val="00D03654"/>
    <w:rsid w:val="00D036A3"/>
    <w:rsid w:val="00D03705"/>
    <w:rsid w:val="00D03720"/>
    <w:rsid w:val="00D0374F"/>
    <w:rsid w:val="00D0377E"/>
    <w:rsid w:val="00D037F8"/>
    <w:rsid w:val="00D0381B"/>
    <w:rsid w:val="00D03839"/>
    <w:rsid w:val="00D038E2"/>
    <w:rsid w:val="00D03948"/>
    <w:rsid w:val="00D039C5"/>
    <w:rsid w:val="00D03A21"/>
    <w:rsid w:val="00D03A5F"/>
    <w:rsid w:val="00D03AE4"/>
    <w:rsid w:val="00D03B72"/>
    <w:rsid w:val="00D03B7A"/>
    <w:rsid w:val="00D03C12"/>
    <w:rsid w:val="00D03C17"/>
    <w:rsid w:val="00D03C3B"/>
    <w:rsid w:val="00D03C91"/>
    <w:rsid w:val="00D03CFE"/>
    <w:rsid w:val="00D03D35"/>
    <w:rsid w:val="00D03D52"/>
    <w:rsid w:val="00D03E16"/>
    <w:rsid w:val="00D03EC7"/>
    <w:rsid w:val="00D03ED1"/>
    <w:rsid w:val="00D03EDC"/>
    <w:rsid w:val="00D03FAD"/>
    <w:rsid w:val="00D04054"/>
    <w:rsid w:val="00D040C5"/>
    <w:rsid w:val="00D04208"/>
    <w:rsid w:val="00D04247"/>
    <w:rsid w:val="00D042A9"/>
    <w:rsid w:val="00D042B5"/>
    <w:rsid w:val="00D0440F"/>
    <w:rsid w:val="00D0455B"/>
    <w:rsid w:val="00D045D9"/>
    <w:rsid w:val="00D04668"/>
    <w:rsid w:val="00D04700"/>
    <w:rsid w:val="00D0484D"/>
    <w:rsid w:val="00D0487E"/>
    <w:rsid w:val="00D0498C"/>
    <w:rsid w:val="00D04A80"/>
    <w:rsid w:val="00D04A83"/>
    <w:rsid w:val="00D04A8A"/>
    <w:rsid w:val="00D04AE7"/>
    <w:rsid w:val="00D04AF9"/>
    <w:rsid w:val="00D04B1E"/>
    <w:rsid w:val="00D04C00"/>
    <w:rsid w:val="00D04CDD"/>
    <w:rsid w:val="00D04D9E"/>
    <w:rsid w:val="00D04DE1"/>
    <w:rsid w:val="00D04DF9"/>
    <w:rsid w:val="00D04E0E"/>
    <w:rsid w:val="00D04E44"/>
    <w:rsid w:val="00D04E8C"/>
    <w:rsid w:val="00D04E95"/>
    <w:rsid w:val="00D04ECC"/>
    <w:rsid w:val="00D04F2C"/>
    <w:rsid w:val="00D04F5E"/>
    <w:rsid w:val="00D04FE9"/>
    <w:rsid w:val="00D04FF7"/>
    <w:rsid w:val="00D05021"/>
    <w:rsid w:val="00D0504A"/>
    <w:rsid w:val="00D05066"/>
    <w:rsid w:val="00D05147"/>
    <w:rsid w:val="00D0516D"/>
    <w:rsid w:val="00D05266"/>
    <w:rsid w:val="00D05386"/>
    <w:rsid w:val="00D0549F"/>
    <w:rsid w:val="00D05542"/>
    <w:rsid w:val="00D0555F"/>
    <w:rsid w:val="00D05576"/>
    <w:rsid w:val="00D0561F"/>
    <w:rsid w:val="00D0565F"/>
    <w:rsid w:val="00D056A9"/>
    <w:rsid w:val="00D056DD"/>
    <w:rsid w:val="00D056F0"/>
    <w:rsid w:val="00D057E1"/>
    <w:rsid w:val="00D0583A"/>
    <w:rsid w:val="00D058EE"/>
    <w:rsid w:val="00D058F5"/>
    <w:rsid w:val="00D05935"/>
    <w:rsid w:val="00D059C9"/>
    <w:rsid w:val="00D059E4"/>
    <w:rsid w:val="00D05A39"/>
    <w:rsid w:val="00D05AC4"/>
    <w:rsid w:val="00D05B44"/>
    <w:rsid w:val="00D05B59"/>
    <w:rsid w:val="00D05B80"/>
    <w:rsid w:val="00D05C07"/>
    <w:rsid w:val="00D05C59"/>
    <w:rsid w:val="00D05CE3"/>
    <w:rsid w:val="00D05D04"/>
    <w:rsid w:val="00D05D1C"/>
    <w:rsid w:val="00D05D82"/>
    <w:rsid w:val="00D05DA2"/>
    <w:rsid w:val="00D05DA7"/>
    <w:rsid w:val="00D05DF6"/>
    <w:rsid w:val="00D05E9A"/>
    <w:rsid w:val="00D05F17"/>
    <w:rsid w:val="00D05FAC"/>
    <w:rsid w:val="00D05FF0"/>
    <w:rsid w:val="00D06049"/>
    <w:rsid w:val="00D06132"/>
    <w:rsid w:val="00D061B5"/>
    <w:rsid w:val="00D061B9"/>
    <w:rsid w:val="00D061ED"/>
    <w:rsid w:val="00D061FE"/>
    <w:rsid w:val="00D0623F"/>
    <w:rsid w:val="00D062A0"/>
    <w:rsid w:val="00D06379"/>
    <w:rsid w:val="00D06442"/>
    <w:rsid w:val="00D064CB"/>
    <w:rsid w:val="00D064D2"/>
    <w:rsid w:val="00D06564"/>
    <w:rsid w:val="00D06695"/>
    <w:rsid w:val="00D066B0"/>
    <w:rsid w:val="00D06716"/>
    <w:rsid w:val="00D067F7"/>
    <w:rsid w:val="00D0683F"/>
    <w:rsid w:val="00D068D3"/>
    <w:rsid w:val="00D069B9"/>
    <w:rsid w:val="00D069D9"/>
    <w:rsid w:val="00D06B78"/>
    <w:rsid w:val="00D06B8B"/>
    <w:rsid w:val="00D06B8D"/>
    <w:rsid w:val="00D06B90"/>
    <w:rsid w:val="00D06BC0"/>
    <w:rsid w:val="00D06D79"/>
    <w:rsid w:val="00D06D88"/>
    <w:rsid w:val="00D06DA8"/>
    <w:rsid w:val="00D06E18"/>
    <w:rsid w:val="00D06EA7"/>
    <w:rsid w:val="00D06F90"/>
    <w:rsid w:val="00D06FD7"/>
    <w:rsid w:val="00D07139"/>
    <w:rsid w:val="00D071A7"/>
    <w:rsid w:val="00D071FC"/>
    <w:rsid w:val="00D07266"/>
    <w:rsid w:val="00D072D2"/>
    <w:rsid w:val="00D07318"/>
    <w:rsid w:val="00D07438"/>
    <w:rsid w:val="00D07454"/>
    <w:rsid w:val="00D07561"/>
    <w:rsid w:val="00D075F7"/>
    <w:rsid w:val="00D076F3"/>
    <w:rsid w:val="00D07746"/>
    <w:rsid w:val="00D077CB"/>
    <w:rsid w:val="00D077D1"/>
    <w:rsid w:val="00D077E2"/>
    <w:rsid w:val="00D077F4"/>
    <w:rsid w:val="00D07823"/>
    <w:rsid w:val="00D07834"/>
    <w:rsid w:val="00D0784B"/>
    <w:rsid w:val="00D078E0"/>
    <w:rsid w:val="00D0791E"/>
    <w:rsid w:val="00D07983"/>
    <w:rsid w:val="00D079E4"/>
    <w:rsid w:val="00D07A36"/>
    <w:rsid w:val="00D07A74"/>
    <w:rsid w:val="00D07AAD"/>
    <w:rsid w:val="00D07B18"/>
    <w:rsid w:val="00D07C0B"/>
    <w:rsid w:val="00D07D6B"/>
    <w:rsid w:val="00D07DB3"/>
    <w:rsid w:val="00D07DD9"/>
    <w:rsid w:val="00D07E0F"/>
    <w:rsid w:val="00D07ED9"/>
    <w:rsid w:val="00D07EDF"/>
    <w:rsid w:val="00D07F23"/>
    <w:rsid w:val="00D07F27"/>
    <w:rsid w:val="00D07F3A"/>
    <w:rsid w:val="00D07F64"/>
    <w:rsid w:val="00D0F926"/>
    <w:rsid w:val="00D100FF"/>
    <w:rsid w:val="00D10214"/>
    <w:rsid w:val="00D10223"/>
    <w:rsid w:val="00D1032C"/>
    <w:rsid w:val="00D1032E"/>
    <w:rsid w:val="00D10384"/>
    <w:rsid w:val="00D103EF"/>
    <w:rsid w:val="00D1045A"/>
    <w:rsid w:val="00D1045C"/>
    <w:rsid w:val="00D1052B"/>
    <w:rsid w:val="00D10533"/>
    <w:rsid w:val="00D10535"/>
    <w:rsid w:val="00D10640"/>
    <w:rsid w:val="00D106BA"/>
    <w:rsid w:val="00D10713"/>
    <w:rsid w:val="00D107D7"/>
    <w:rsid w:val="00D10842"/>
    <w:rsid w:val="00D10843"/>
    <w:rsid w:val="00D10892"/>
    <w:rsid w:val="00D108B1"/>
    <w:rsid w:val="00D108CF"/>
    <w:rsid w:val="00D10930"/>
    <w:rsid w:val="00D10950"/>
    <w:rsid w:val="00D10953"/>
    <w:rsid w:val="00D109AC"/>
    <w:rsid w:val="00D10AFF"/>
    <w:rsid w:val="00D10C20"/>
    <w:rsid w:val="00D10C56"/>
    <w:rsid w:val="00D10D5F"/>
    <w:rsid w:val="00D10D60"/>
    <w:rsid w:val="00D10FB1"/>
    <w:rsid w:val="00D10FC6"/>
    <w:rsid w:val="00D10FE4"/>
    <w:rsid w:val="00D11054"/>
    <w:rsid w:val="00D110FD"/>
    <w:rsid w:val="00D1111C"/>
    <w:rsid w:val="00D1113D"/>
    <w:rsid w:val="00D11228"/>
    <w:rsid w:val="00D112ED"/>
    <w:rsid w:val="00D11389"/>
    <w:rsid w:val="00D113E3"/>
    <w:rsid w:val="00D11477"/>
    <w:rsid w:val="00D11521"/>
    <w:rsid w:val="00D11538"/>
    <w:rsid w:val="00D1154D"/>
    <w:rsid w:val="00D11569"/>
    <w:rsid w:val="00D115DF"/>
    <w:rsid w:val="00D11611"/>
    <w:rsid w:val="00D11612"/>
    <w:rsid w:val="00D1176A"/>
    <w:rsid w:val="00D1179F"/>
    <w:rsid w:val="00D117F0"/>
    <w:rsid w:val="00D1183D"/>
    <w:rsid w:val="00D1198E"/>
    <w:rsid w:val="00D119E0"/>
    <w:rsid w:val="00D11A1D"/>
    <w:rsid w:val="00D11A79"/>
    <w:rsid w:val="00D11B05"/>
    <w:rsid w:val="00D11B81"/>
    <w:rsid w:val="00D11BE8"/>
    <w:rsid w:val="00D11D6E"/>
    <w:rsid w:val="00D11E69"/>
    <w:rsid w:val="00D11EBB"/>
    <w:rsid w:val="00D11EFE"/>
    <w:rsid w:val="00D11F00"/>
    <w:rsid w:val="00D11F20"/>
    <w:rsid w:val="00D11F42"/>
    <w:rsid w:val="00D11F48"/>
    <w:rsid w:val="00D11F4C"/>
    <w:rsid w:val="00D11F82"/>
    <w:rsid w:val="00D11F99"/>
    <w:rsid w:val="00D1202F"/>
    <w:rsid w:val="00D120BE"/>
    <w:rsid w:val="00D12132"/>
    <w:rsid w:val="00D1216C"/>
    <w:rsid w:val="00D1231C"/>
    <w:rsid w:val="00D123D8"/>
    <w:rsid w:val="00D124F1"/>
    <w:rsid w:val="00D12512"/>
    <w:rsid w:val="00D125BA"/>
    <w:rsid w:val="00D12671"/>
    <w:rsid w:val="00D126C2"/>
    <w:rsid w:val="00D12722"/>
    <w:rsid w:val="00D1274F"/>
    <w:rsid w:val="00D127D0"/>
    <w:rsid w:val="00D127D3"/>
    <w:rsid w:val="00D12830"/>
    <w:rsid w:val="00D12850"/>
    <w:rsid w:val="00D128E9"/>
    <w:rsid w:val="00D128FB"/>
    <w:rsid w:val="00D1292D"/>
    <w:rsid w:val="00D12955"/>
    <w:rsid w:val="00D12970"/>
    <w:rsid w:val="00D129AF"/>
    <w:rsid w:val="00D129B3"/>
    <w:rsid w:val="00D129E0"/>
    <w:rsid w:val="00D12AD6"/>
    <w:rsid w:val="00D12BC4"/>
    <w:rsid w:val="00D12BCA"/>
    <w:rsid w:val="00D12C45"/>
    <w:rsid w:val="00D12CD2"/>
    <w:rsid w:val="00D12D19"/>
    <w:rsid w:val="00D12DB4"/>
    <w:rsid w:val="00D130AA"/>
    <w:rsid w:val="00D1312E"/>
    <w:rsid w:val="00D131D6"/>
    <w:rsid w:val="00D1328A"/>
    <w:rsid w:val="00D13307"/>
    <w:rsid w:val="00D13314"/>
    <w:rsid w:val="00D1333F"/>
    <w:rsid w:val="00D1334E"/>
    <w:rsid w:val="00D13383"/>
    <w:rsid w:val="00D134D7"/>
    <w:rsid w:val="00D134F5"/>
    <w:rsid w:val="00D134F9"/>
    <w:rsid w:val="00D13520"/>
    <w:rsid w:val="00D13564"/>
    <w:rsid w:val="00D135DB"/>
    <w:rsid w:val="00D135EE"/>
    <w:rsid w:val="00D1361F"/>
    <w:rsid w:val="00D13663"/>
    <w:rsid w:val="00D136FF"/>
    <w:rsid w:val="00D1383B"/>
    <w:rsid w:val="00D138E0"/>
    <w:rsid w:val="00D138FD"/>
    <w:rsid w:val="00D1391C"/>
    <w:rsid w:val="00D13970"/>
    <w:rsid w:val="00D139B7"/>
    <w:rsid w:val="00D13A02"/>
    <w:rsid w:val="00D13AB8"/>
    <w:rsid w:val="00D13AC9"/>
    <w:rsid w:val="00D13B50"/>
    <w:rsid w:val="00D13B76"/>
    <w:rsid w:val="00D13BBF"/>
    <w:rsid w:val="00D13CA5"/>
    <w:rsid w:val="00D13CC8"/>
    <w:rsid w:val="00D13D7F"/>
    <w:rsid w:val="00D13D8B"/>
    <w:rsid w:val="00D13D94"/>
    <w:rsid w:val="00D13DF3"/>
    <w:rsid w:val="00D13DFD"/>
    <w:rsid w:val="00D13E95"/>
    <w:rsid w:val="00D13F82"/>
    <w:rsid w:val="00D14007"/>
    <w:rsid w:val="00D14035"/>
    <w:rsid w:val="00D1403E"/>
    <w:rsid w:val="00D1404D"/>
    <w:rsid w:val="00D14100"/>
    <w:rsid w:val="00D1434A"/>
    <w:rsid w:val="00D143B7"/>
    <w:rsid w:val="00D14444"/>
    <w:rsid w:val="00D14742"/>
    <w:rsid w:val="00D1474C"/>
    <w:rsid w:val="00D14789"/>
    <w:rsid w:val="00D147F7"/>
    <w:rsid w:val="00D148AA"/>
    <w:rsid w:val="00D148FC"/>
    <w:rsid w:val="00D1497F"/>
    <w:rsid w:val="00D14A87"/>
    <w:rsid w:val="00D14C0F"/>
    <w:rsid w:val="00D14C4C"/>
    <w:rsid w:val="00D14D3D"/>
    <w:rsid w:val="00D14D7A"/>
    <w:rsid w:val="00D14EAE"/>
    <w:rsid w:val="00D14F05"/>
    <w:rsid w:val="00D14F46"/>
    <w:rsid w:val="00D14FB9"/>
    <w:rsid w:val="00D14FF7"/>
    <w:rsid w:val="00D15018"/>
    <w:rsid w:val="00D15093"/>
    <w:rsid w:val="00D1518C"/>
    <w:rsid w:val="00D151A0"/>
    <w:rsid w:val="00D151A3"/>
    <w:rsid w:val="00D152C0"/>
    <w:rsid w:val="00D15320"/>
    <w:rsid w:val="00D15383"/>
    <w:rsid w:val="00D153BD"/>
    <w:rsid w:val="00D1552B"/>
    <w:rsid w:val="00D155B8"/>
    <w:rsid w:val="00D15647"/>
    <w:rsid w:val="00D15670"/>
    <w:rsid w:val="00D156A1"/>
    <w:rsid w:val="00D15760"/>
    <w:rsid w:val="00D1576A"/>
    <w:rsid w:val="00D1588C"/>
    <w:rsid w:val="00D158D6"/>
    <w:rsid w:val="00D159AA"/>
    <w:rsid w:val="00D159B6"/>
    <w:rsid w:val="00D15A8F"/>
    <w:rsid w:val="00D15A99"/>
    <w:rsid w:val="00D15AE8"/>
    <w:rsid w:val="00D15B09"/>
    <w:rsid w:val="00D15CC3"/>
    <w:rsid w:val="00D15D59"/>
    <w:rsid w:val="00D15ECE"/>
    <w:rsid w:val="00D15ED0"/>
    <w:rsid w:val="00D15FCF"/>
    <w:rsid w:val="00D15FF9"/>
    <w:rsid w:val="00D1605A"/>
    <w:rsid w:val="00D16150"/>
    <w:rsid w:val="00D16189"/>
    <w:rsid w:val="00D161A3"/>
    <w:rsid w:val="00D161B7"/>
    <w:rsid w:val="00D161C4"/>
    <w:rsid w:val="00D161C5"/>
    <w:rsid w:val="00D16221"/>
    <w:rsid w:val="00D1624B"/>
    <w:rsid w:val="00D162AE"/>
    <w:rsid w:val="00D1638B"/>
    <w:rsid w:val="00D163AC"/>
    <w:rsid w:val="00D163CF"/>
    <w:rsid w:val="00D16494"/>
    <w:rsid w:val="00D164B4"/>
    <w:rsid w:val="00D16530"/>
    <w:rsid w:val="00D1656D"/>
    <w:rsid w:val="00D165B7"/>
    <w:rsid w:val="00D165C7"/>
    <w:rsid w:val="00D165E3"/>
    <w:rsid w:val="00D165F0"/>
    <w:rsid w:val="00D165F8"/>
    <w:rsid w:val="00D16624"/>
    <w:rsid w:val="00D16645"/>
    <w:rsid w:val="00D16688"/>
    <w:rsid w:val="00D166A1"/>
    <w:rsid w:val="00D16771"/>
    <w:rsid w:val="00D1677F"/>
    <w:rsid w:val="00D167C6"/>
    <w:rsid w:val="00D16897"/>
    <w:rsid w:val="00D16A9C"/>
    <w:rsid w:val="00D16AEF"/>
    <w:rsid w:val="00D16B2F"/>
    <w:rsid w:val="00D16B59"/>
    <w:rsid w:val="00D16BF6"/>
    <w:rsid w:val="00D16C06"/>
    <w:rsid w:val="00D16C0C"/>
    <w:rsid w:val="00D16C10"/>
    <w:rsid w:val="00D16C3E"/>
    <w:rsid w:val="00D16C4C"/>
    <w:rsid w:val="00D16C56"/>
    <w:rsid w:val="00D16C75"/>
    <w:rsid w:val="00D16CFF"/>
    <w:rsid w:val="00D16D53"/>
    <w:rsid w:val="00D16DF5"/>
    <w:rsid w:val="00D16EAD"/>
    <w:rsid w:val="00D16F21"/>
    <w:rsid w:val="00D16FA4"/>
    <w:rsid w:val="00D17064"/>
    <w:rsid w:val="00D170AF"/>
    <w:rsid w:val="00D170C7"/>
    <w:rsid w:val="00D170EB"/>
    <w:rsid w:val="00D1711B"/>
    <w:rsid w:val="00D17156"/>
    <w:rsid w:val="00D171D3"/>
    <w:rsid w:val="00D17212"/>
    <w:rsid w:val="00D1725A"/>
    <w:rsid w:val="00D17266"/>
    <w:rsid w:val="00D1729F"/>
    <w:rsid w:val="00D1732B"/>
    <w:rsid w:val="00D17342"/>
    <w:rsid w:val="00D17374"/>
    <w:rsid w:val="00D1738B"/>
    <w:rsid w:val="00D174CE"/>
    <w:rsid w:val="00D174E9"/>
    <w:rsid w:val="00D1751D"/>
    <w:rsid w:val="00D1755D"/>
    <w:rsid w:val="00D17819"/>
    <w:rsid w:val="00D178F4"/>
    <w:rsid w:val="00D17971"/>
    <w:rsid w:val="00D17B37"/>
    <w:rsid w:val="00D17BD4"/>
    <w:rsid w:val="00D17C39"/>
    <w:rsid w:val="00D17C3C"/>
    <w:rsid w:val="00D17C58"/>
    <w:rsid w:val="00D17CA3"/>
    <w:rsid w:val="00D17CEE"/>
    <w:rsid w:val="00D17DA9"/>
    <w:rsid w:val="00D17E33"/>
    <w:rsid w:val="00D17E72"/>
    <w:rsid w:val="00D17E89"/>
    <w:rsid w:val="00D17F4A"/>
    <w:rsid w:val="00D17F4E"/>
    <w:rsid w:val="00D17F5D"/>
    <w:rsid w:val="00D17F5F"/>
    <w:rsid w:val="00D17F6B"/>
    <w:rsid w:val="00D17F71"/>
    <w:rsid w:val="00D17FA7"/>
    <w:rsid w:val="00D17FD1"/>
    <w:rsid w:val="00D200FE"/>
    <w:rsid w:val="00D2028E"/>
    <w:rsid w:val="00D202CB"/>
    <w:rsid w:val="00D202FB"/>
    <w:rsid w:val="00D204DB"/>
    <w:rsid w:val="00D20520"/>
    <w:rsid w:val="00D20588"/>
    <w:rsid w:val="00D20599"/>
    <w:rsid w:val="00D20613"/>
    <w:rsid w:val="00D206EA"/>
    <w:rsid w:val="00D20720"/>
    <w:rsid w:val="00D20760"/>
    <w:rsid w:val="00D2077F"/>
    <w:rsid w:val="00D207AA"/>
    <w:rsid w:val="00D2089D"/>
    <w:rsid w:val="00D208DA"/>
    <w:rsid w:val="00D208E3"/>
    <w:rsid w:val="00D20A0E"/>
    <w:rsid w:val="00D20A34"/>
    <w:rsid w:val="00D20AD3"/>
    <w:rsid w:val="00D20B15"/>
    <w:rsid w:val="00D20B3B"/>
    <w:rsid w:val="00D20B67"/>
    <w:rsid w:val="00D20C45"/>
    <w:rsid w:val="00D20CFD"/>
    <w:rsid w:val="00D20CFE"/>
    <w:rsid w:val="00D20D6B"/>
    <w:rsid w:val="00D20D76"/>
    <w:rsid w:val="00D20DDF"/>
    <w:rsid w:val="00D20E2B"/>
    <w:rsid w:val="00D20E2D"/>
    <w:rsid w:val="00D20EE4"/>
    <w:rsid w:val="00D20FB9"/>
    <w:rsid w:val="00D20FEE"/>
    <w:rsid w:val="00D21075"/>
    <w:rsid w:val="00D2108B"/>
    <w:rsid w:val="00D2113C"/>
    <w:rsid w:val="00D2114A"/>
    <w:rsid w:val="00D2118F"/>
    <w:rsid w:val="00D21224"/>
    <w:rsid w:val="00D21235"/>
    <w:rsid w:val="00D21244"/>
    <w:rsid w:val="00D21248"/>
    <w:rsid w:val="00D2125E"/>
    <w:rsid w:val="00D21283"/>
    <w:rsid w:val="00D2136D"/>
    <w:rsid w:val="00D21395"/>
    <w:rsid w:val="00D2139D"/>
    <w:rsid w:val="00D213C5"/>
    <w:rsid w:val="00D21417"/>
    <w:rsid w:val="00D21576"/>
    <w:rsid w:val="00D2159A"/>
    <w:rsid w:val="00D2167C"/>
    <w:rsid w:val="00D21684"/>
    <w:rsid w:val="00D2176C"/>
    <w:rsid w:val="00D21841"/>
    <w:rsid w:val="00D218E9"/>
    <w:rsid w:val="00D21982"/>
    <w:rsid w:val="00D219B8"/>
    <w:rsid w:val="00D219E4"/>
    <w:rsid w:val="00D21A87"/>
    <w:rsid w:val="00D21AD1"/>
    <w:rsid w:val="00D21B4A"/>
    <w:rsid w:val="00D21C5A"/>
    <w:rsid w:val="00D21C76"/>
    <w:rsid w:val="00D21CB8"/>
    <w:rsid w:val="00D21DC1"/>
    <w:rsid w:val="00D21DDB"/>
    <w:rsid w:val="00D21DE6"/>
    <w:rsid w:val="00D21DEE"/>
    <w:rsid w:val="00D21EB1"/>
    <w:rsid w:val="00D21EDF"/>
    <w:rsid w:val="00D21EFE"/>
    <w:rsid w:val="00D2204C"/>
    <w:rsid w:val="00D22051"/>
    <w:rsid w:val="00D2205C"/>
    <w:rsid w:val="00D22079"/>
    <w:rsid w:val="00D22095"/>
    <w:rsid w:val="00D220FD"/>
    <w:rsid w:val="00D22122"/>
    <w:rsid w:val="00D22126"/>
    <w:rsid w:val="00D22129"/>
    <w:rsid w:val="00D22139"/>
    <w:rsid w:val="00D2220A"/>
    <w:rsid w:val="00D22228"/>
    <w:rsid w:val="00D22345"/>
    <w:rsid w:val="00D22353"/>
    <w:rsid w:val="00D223E1"/>
    <w:rsid w:val="00D224F9"/>
    <w:rsid w:val="00D224FA"/>
    <w:rsid w:val="00D22655"/>
    <w:rsid w:val="00D22699"/>
    <w:rsid w:val="00D22756"/>
    <w:rsid w:val="00D227BF"/>
    <w:rsid w:val="00D22835"/>
    <w:rsid w:val="00D2285D"/>
    <w:rsid w:val="00D2288A"/>
    <w:rsid w:val="00D22897"/>
    <w:rsid w:val="00D2296F"/>
    <w:rsid w:val="00D22986"/>
    <w:rsid w:val="00D22999"/>
    <w:rsid w:val="00D229E9"/>
    <w:rsid w:val="00D22A1A"/>
    <w:rsid w:val="00D22A4F"/>
    <w:rsid w:val="00D22AB8"/>
    <w:rsid w:val="00D22AF5"/>
    <w:rsid w:val="00D22B4E"/>
    <w:rsid w:val="00D22B86"/>
    <w:rsid w:val="00D22B93"/>
    <w:rsid w:val="00D22BAA"/>
    <w:rsid w:val="00D22CA1"/>
    <w:rsid w:val="00D22D6E"/>
    <w:rsid w:val="00D22DE1"/>
    <w:rsid w:val="00D22E74"/>
    <w:rsid w:val="00D22EEA"/>
    <w:rsid w:val="00D22FDD"/>
    <w:rsid w:val="00D23009"/>
    <w:rsid w:val="00D2304D"/>
    <w:rsid w:val="00D230CD"/>
    <w:rsid w:val="00D23113"/>
    <w:rsid w:val="00D23136"/>
    <w:rsid w:val="00D231BD"/>
    <w:rsid w:val="00D231DA"/>
    <w:rsid w:val="00D2322A"/>
    <w:rsid w:val="00D2323F"/>
    <w:rsid w:val="00D2335D"/>
    <w:rsid w:val="00D2344F"/>
    <w:rsid w:val="00D234A5"/>
    <w:rsid w:val="00D234BF"/>
    <w:rsid w:val="00D2353F"/>
    <w:rsid w:val="00D2361D"/>
    <w:rsid w:val="00D23649"/>
    <w:rsid w:val="00D236AD"/>
    <w:rsid w:val="00D236F0"/>
    <w:rsid w:val="00D23790"/>
    <w:rsid w:val="00D23832"/>
    <w:rsid w:val="00D2383A"/>
    <w:rsid w:val="00D2384E"/>
    <w:rsid w:val="00D238C6"/>
    <w:rsid w:val="00D23961"/>
    <w:rsid w:val="00D23999"/>
    <w:rsid w:val="00D239CA"/>
    <w:rsid w:val="00D23A92"/>
    <w:rsid w:val="00D23AB9"/>
    <w:rsid w:val="00D23ACB"/>
    <w:rsid w:val="00D23AD6"/>
    <w:rsid w:val="00D23B29"/>
    <w:rsid w:val="00D23B3A"/>
    <w:rsid w:val="00D23BA2"/>
    <w:rsid w:val="00D23BF5"/>
    <w:rsid w:val="00D23C18"/>
    <w:rsid w:val="00D23C40"/>
    <w:rsid w:val="00D23DA0"/>
    <w:rsid w:val="00D23DC5"/>
    <w:rsid w:val="00D23E86"/>
    <w:rsid w:val="00D23E9B"/>
    <w:rsid w:val="00D23ECF"/>
    <w:rsid w:val="00D23EF3"/>
    <w:rsid w:val="00D2403F"/>
    <w:rsid w:val="00D24047"/>
    <w:rsid w:val="00D2406A"/>
    <w:rsid w:val="00D240C9"/>
    <w:rsid w:val="00D240D5"/>
    <w:rsid w:val="00D24106"/>
    <w:rsid w:val="00D24119"/>
    <w:rsid w:val="00D241EF"/>
    <w:rsid w:val="00D2420F"/>
    <w:rsid w:val="00D24211"/>
    <w:rsid w:val="00D242EE"/>
    <w:rsid w:val="00D243F5"/>
    <w:rsid w:val="00D24453"/>
    <w:rsid w:val="00D2447D"/>
    <w:rsid w:val="00D2449D"/>
    <w:rsid w:val="00D24512"/>
    <w:rsid w:val="00D24560"/>
    <w:rsid w:val="00D24657"/>
    <w:rsid w:val="00D2465C"/>
    <w:rsid w:val="00D247A0"/>
    <w:rsid w:val="00D247D7"/>
    <w:rsid w:val="00D24814"/>
    <w:rsid w:val="00D248ED"/>
    <w:rsid w:val="00D24A0B"/>
    <w:rsid w:val="00D24A6D"/>
    <w:rsid w:val="00D24A92"/>
    <w:rsid w:val="00D24AA5"/>
    <w:rsid w:val="00D24B65"/>
    <w:rsid w:val="00D24B7D"/>
    <w:rsid w:val="00D24B9A"/>
    <w:rsid w:val="00D24BDD"/>
    <w:rsid w:val="00D24CFC"/>
    <w:rsid w:val="00D24D58"/>
    <w:rsid w:val="00D24E56"/>
    <w:rsid w:val="00D24ECA"/>
    <w:rsid w:val="00D24F29"/>
    <w:rsid w:val="00D24FBA"/>
    <w:rsid w:val="00D24FFB"/>
    <w:rsid w:val="00D25023"/>
    <w:rsid w:val="00D250B0"/>
    <w:rsid w:val="00D250BA"/>
    <w:rsid w:val="00D250D8"/>
    <w:rsid w:val="00D250DC"/>
    <w:rsid w:val="00D25113"/>
    <w:rsid w:val="00D25142"/>
    <w:rsid w:val="00D251A0"/>
    <w:rsid w:val="00D251F5"/>
    <w:rsid w:val="00D25266"/>
    <w:rsid w:val="00D25268"/>
    <w:rsid w:val="00D25398"/>
    <w:rsid w:val="00D25446"/>
    <w:rsid w:val="00D25490"/>
    <w:rsid w:val="00D25644"/>
    <w:rsid w:val="00D25836"/>
    <w:rsid w:val="00D258C4"/>
    <w:rsid w:val="00D258C5"/>
    <w:rsid w:val="00D25A67"/>
    <w:rsid w:val="00D25AFC"/>
    <w:rsid w:val="00D25B14"/>
    <w:rsid w:val="00D25B86"/>
    <w:rsid w:val="00D25BB1"/>
    <w:rsid w:val="00D25D61"/>
    <w:rsid w:val="00D25DC8"/>
    <w:rsid w:val="00D25DD3"/>
    <w:rsid w:val="00D25E98"/>
    <w:rsid w:val="00D25ED3"/>
    <w:rsid w:val="00D25FA4"/>
    <w:rsid w:val="00D2613A"/>
    <w:rsid w:val="00D261BB"/>
    <w:rsid w:val="00D2624E"/>
    <w:rsid w:val="00D26297"/>
    <w:rsid w:val="00D26428"/>
    <w:rsid w:val="00D26478"/>
    <w:rsid w:val="00D26486"/>
    <w:rsid w:val="00D265AA"/>
    <w:rsid w:val="00D26679"/>
    <w:rsid w:val="00D26691"/>
    <w:rsid w:val="00D2671B"/>
    <w:rsid w:val="00D26756"/>
    <w:rsid w:val="00D2676E"/>
    <w:rsid w:val="00D2680D"/>
    <w:rsid w:val="00D268F5"/>
    <w:rsid w:val="00D26903"/>
    <w:rsid w:val="00D2693E"/>
    <w:rsid w:val="00D26990"/>
    <w:rsid w:val="00D2699E"/>
    <w:rsid w:val="00D26A19"/>
    <w:rsid w:val="00D26AA5"/>
    <w:rsid w:val="00D26AB2"/>
    <w:rsid w:val="00D26AFC"/>
    <w:rsid w:val="00D26B05"/>
    <w:rsid w:val="00D26B82"/>
    <w:rsid w:val="00D26C29"/>
    <w:rsid w:val="00D26C6C"/>
    <w:rsid w:val="00D26D05"/>
    <w:rsid w:val="00D26D2D"/>
    <w:rsid w:val="00D26E1B"/>
    <w:rsid w:val="00D26E4C"/>
    <w:rsid w:val="00D26E66"/>
    <w:rsid w:val="00D26FF4"/>
    <w:rsid w:val="00D2704A"/>
    <w:rsid w:val="00D27127"/>
    <w:rsid w:val="00D271A4"/>
    <w:rsid w:val="00D271D3"/>
    <w:rsid w:val="00D272AD"/>
    <w:rsid w:val="00D272F8"/>
    <w:rsid w:val="00D2736E"/>
    <w:rsid w:val="00D27453"/>
    <w:rsid w:val="00D2745E"/>
    <w:rsid w:val="00D275A7"/>
    <w:rsid w:val="00D275B5"/>
    <w:rsid w:val="00D275FF"/>
    <w:rsid w:val="00D27626"/>
    <w:rsid w:val="00D27702"/>
    <w:rsid w:val="00D277A8"/>
    <w:rsid w:val="00D277B5"/>
    <w:rsid w:val="00D277C3"/>
    <w:rsid w:val="00D278E9"/>
    <w:rsid w:val="00D279C9"/>
    <w:rsid w:val="00D27A3D"/>
    <w:rsid w:val="00D27B4C"/>
    <w:rsid w:val="00D27B94"/>
    <w:rsid w:val="00D27CD7"/>
    <w:rsid w:val="00D27CEF"/>
    <w:rsid w:val="00D27D61"/>
    <w:rsid w:val="00D27DA5"/>
    <w:rsid w:val="00D27DB0"/>
    <w:rsid w:val="00D27DE0"/>
    <w:rsid w:val="00D27E03"/>
    <w:rsid w:val="00D27E51"/>
    <w:rsid w:val="00D27E61"/>
    <w:rsid w:val="00D27F25"/>
    <w:rsid w:val="00D27F32"/>
    <w:rsid w:val="00D27F80"/>
    <w:rsid w:val="00D27FD1"/>
    <w:rsid w:val="00D3005F"/>
    <w:rsid w:val="00D30075"/>
    <w:rsid w:val="00D300FB"/>
    <w:rsid w:val="00D302C5"/>
    <w:rsid w:val="00D302F2"/>
    <w:rsid w:val="00D303BF"/>
    <w:rsid w:val="00D303C2"/>
    <w:rsid w:val="00D305F4"/>
    <w:rsid w:val="00D30681"/>
    <w:rsid w:val="00D306A1"/>
    <w:rsid w:val="00D306DD"/>
    <w:rsid w:val="00D30721"/>
    <w:rsid w:val="00D3073D"/>
    <w:rsid w:val="00D30789"/>
    <w:rsid w:val="00D30831"/>
    <w:rsid w:val="00D30833"/>
    <w:rsid w:val="00D3088A"/>
    <w:rsid w:val="00D308C9"/>
    <w:rsid w:val="00D308F8"/>
    <w:rsid w:val="00D3094C"/>
    <w:rsid w:val="00D30966"/>
    <w:rsid w:val="00D30969"/>
    <w:rsid w:val="00D309F4"/>
    <w:rsid w:val="00D30A92"/>
    <w:rsid w:val="00D30B2D"/>
    <w:rsid w:val="00D30BA3"/>
    <w:rsid w:val="00D30C28"/>
    <w:rsid w:val="00D30C44"/>
    <w:rsid w:val="00D30C65"/>
    <w:rsid w:val="00D30CB9"/>
    <w:rsid w:val="00D30CBA"/>
    <w:rsid w:val="00D30D15"/>
    <w:rsid w:val="00D30EC1"/>
    <w:rsid w:val="00D30F43"/>
    <w:rsid w:val="00D30FE0"/>
    <w:rsid w:val="00D310C3"/>
    <w:rsid w:val="00D310FC"/>
    <w:rsid w:val="00D3115B"/>
    <w:rsid w:val="00D31178"/>
    <w:rsid w:val="00D312D6"/>
    <w:rsid w:val="00D3137C"/>
    <w:rsid w:val="00D313E1"/>
    <w:rsid w:val="00D31468"/>
    <w:rsid w:val="00D31504"/>
    <w:rsid w:val="00D3154B"/>
    <w:rsid w:val="00D3157B"/>
    <w:rsid w:val="00D315C8"/>
    <w:rsid w:val="00D31667"/>
    <w:rsid w:val="00D3177D"/>
    <w:rsid w:val="00D31889"/>
    <w:rsid w:val="00D318B5"/>
    <w:rsid w:val="00D318E1"/>
    <w:rsid w:val="00D31962"/>
    <w:rsid w:val="00D31A49"/>
    <w:rsid w:val="00D31A7B"/>
    <w:rsid w:val="00D31A83"/>
    <w:rsid w:val="00D31B81"/>
    <w:rsid w:val="00D31BCB"/>
    <w:rsid w:val="00D31BE3"/>
    <w:rsid w:val="00D31BFD"/>
    <w:rsid w:val="00D31C5B"/>
    <w:rsid w:val="00D31D30"/>
    <w:rsid w:val="00D31E5E"/>
    <w:rsid w:val="00D31FE3"/>
    <w:rsid w:val="00D32058"/>
    <w:rsid w:val="00D320DA"/>
    <w:rsid w:val="00D32105"/>
    <w:rsid w:val="00D32161"/>
    <w:rsid w:val="00D32183"/>
    <w:rsid w:val="00D321A8"/>
    <w:rsid w:val="00D321C6"/>
    <w:rsid w:val="00D321DC"/>
    <w:rsid w:val="00D321E8"/>
    <w:rsid w:val="00D3220A"/>
    <w:rsid w:val="00D32219"/>
    <w:rsid w:val="00D32299"/>
    <w:rsid w:val="00D322B4"/>
    <w:rsid w:val="00D322D3"/>
    <w:rsid w:val="00D32343"/>
    <w:rsid w:val="00D32364"/>
    <w:rsid w:val="00D32368"/>
    <w:rsid w:val="00D323B0"/>
    <w:rsid w:val="00D323F2"/>
    <w:rsid w:val="00D324E8"/>
    <w:rsid w:val="00D324EC"/>
    <w:rsid w:val="00D32599"/>
    <w:rsid w:val="00D325B4"/>
    <w:rsid w:val="00D326B2"/>
    <w:rsid w:val="00D326C9"/>
    <w:rsid w:val="00D326E7"/>
    <w:rsid w:val="00D32710"/>
    <w:rsid w:val="00D3271E"/>
    <w:rsid w:val="00D32765"/>
    <w:rsid w:val="00D327A9"/>
    <w:rsid w:val="00D32896"/>
    <w:rsid w:val="00D328D0"/>
    <w:rsid w:val="00D32AD7"/>
    <w:rsid w:val="00D32B0C"/>
    <w:rsid w:val="00D32B25"/>
    <w:rsid w:val="00D32B6E"/>
    <w:rsid w:val="00D32C6B"/>
    <w:rsid w:val="00D32CCB"/>
    <w:rsid w:val="00D32CDA"/>
    <w:rsid w:val="00D32CED"/>
    <w:rsid w:val="00D32D42"/>
    <w:rsid w:val="00D32D5B"/>
    <w:rsid w:val="00D32D89"/>
    <w:rsid w:val="00D32DB0"/>
    <w:rsid w:val="00D32DB5"/>
    <w:rsid w:val="00D32E7E"/>
    <w:rsid w:val="00D32F70"/>
    <w:rsid w:val="00D3305B"/>
    <w:rsid w:val="00D33062"/>
    <w:rsid w:val="00D330AF"/>
    <w:rsid w:val="00D330B6"/>
    <w:rsid w:val="00D3310B"/>
    <w:rsid w:val="00D33187"/>
    <w:rsid w:val="00D331B0"/>
    <w:rsid w:val="00D331E4"/>
    <w:rsid w:val="00D33228"/>
    <w:rsid w:val="00D33266"/>
    <w:rsid w:val="00D3328C"/>
    <w:rsid w:val="00D33298"/>
    <w:rsid w:val="00D332D5"/>
    <w:rsid w:val="00D3332C"/>
    <w:rsid w:val="00D33386"/>
    <w:rsid w:val="00D33472"/>
    <w:rsid w:val="00D33479"/>
    <w:rsid w:val="00D334E5"/>
    <w:rsid w:val="00D33526"/>
    <w:rsid w:val="00D33532"/>
    <w:rsid w:val="00D33564"/>
    <w:rsid w:val="00D33583"/>
    <w:rsid w:val="00D3369B"/>
    <w:rsid w:val="00D336E0"/>
    <w:rsid w:val="00D3376D"/>
    <w:rsid w:val="00D337D8"/>
    <w:rsid w:val="00D3385B"/>
    <w:rsid w:val="00D338D4"/>
    <w:rsid w:val="00D338E0"/>
    <w:rsid w:val="00D338E7"/>
    <w:rsid w:val="00D3394E"/>
    <w:rsid w:val="00D33A4E"/>
    <w:rsid w:val="00D33A65"/>
    <w:rsid w:val="00D33AB2"/>
    <w:rsid w:val="00D33BA0"/>
    <w:rsid w:val="00D33C81"/>
    <w:rsid w:val="00D33D10"/>
    <w:rsid w:val="00D33D34"/>
    <w:rsid w:val="00D33FD7"/>
    <w:rsid w:val="00D340D5"/>
    <w:rsid w:val="00D340DE"/>
    <w:rsid w:val="00D340F0"/>
    <w:rsid w:val="00D340FD"/>
    <w:rsid w:val="00D34302"/>
    <w:rsid w:val="00D34319"/>
    <w:rsid w:val="00D343BC"/>
    <w:rsid w:val="00D34415"/>
    <w:rsid w:val="00D344EE"/>
    <w:rsid w:val="00D344FA"/>
    <w:rsid w:val="00D34505"/>
    <w:rsid w:val="00D3455C"/>
    <w:rsid w:val="00D34587"/>
    <w:rsid w:val="00D34591"/>
    <w:rsid w:val="00D345C1"/>
    <w:rsid w:val="00D345CC"/>
    <w:rsid w:val="00D345D8"/>
    <w:rsid w:val="00D3471D"/>
    <w:rsid w:val="00D347B5"/>
    <w:rsid w:val="00D347F5"/>
    <w:rsid w:val="00D347FA"/>
    <w:rsid w:val="00D34897"/>
    <w:rsid w:val="00D3490F"/>
    <w:rsid w:val="00D3492F"/>
    <w:rsid w:val="00D34A5D"/>
    <w:rsid w:val="00D34A5F"/>
    <w:rsid w:val="00D34A76"/>
    <w:rsid w:val="00D34AB8"/>
    <w:rsid w:val="00D34AF0"/>
    <w:rsid w:val="00D34B0D"/>
    <w:rsid w:val="00D34B86"/>
    <w:rsid w:val="00D34C18"/>
    <w:rsid w:val="00D34D26"/>
    <w:rsid w:val="00D34D61"/>
    <w:rsid w:val="00D34E08"/>
    <w:rsid w:val="00D34E6D"/>
    <w:rsid w:val="00D34ECF"/>
    <w:rsid w:val="00D34F33"/>
    <w:rsid w:val="00D34F8F"/>
    <w:rsid w:val="00D34FE5"/>
    <w:rsid w:val="00D34FF4"/>
    <w:rsid w:val="00D350C7"/>
    <w:rsid w:val="00D350D9"/>
    <w:rsid w:val="00D3511B"/>
    <w:rsid w:val="00D3513E"/>
    <w:rsid w:val="00D35167"/>
    <w:rsid w:val="00D35188"/>
    <w:rsid w:val="00D35195"/>
    <w:rsid w:val="00D353B9"/>
    <w:rsid w:val="00D3546C"/>
    <w:rsid w:val="00D35505"/>
    <w:rsid w:val="00D355E3"/>
    <w:rsid w:val="00D35660"/>
    <w:rsid w:val="00D35713"/>
    <w:rsid w:val="00D357A2"/>
    <w:rsid w:val="00D35840"/>
    <w:rsid w:val="00D3589B"/>
    <w:rsid w:val="00D35912"/>
    <w:rsid w:val="00D359C3"/>
    <w:rsid w:val="00D35A30"/>
    <w:rsid w:val="00D35ACE"/>
    <w:rsid w:val="00D35AF4"/>
    <w:rsid w:val="00D35B30"/>
    <w:rsid w:val="00D35B73"/>
    <w:rsid w:val="00D35CA0"/>
    <w:rsid w:val="00D35CD4"/>
    <w:rsid w:val="00D35D65"/>
    <w:rsid w:val="00D35E63"/>
    <w:rsid w:val="00D3600E"/>
    <w:rsid w:val="00D3602C"/>
    <w:rsid w:val="00D3604C"/>
    <w:rsid w:val="00D36068"/>
    <w:rsid w:val="00D360E9"/>
    <w:rsid w:val="00D360FD"/>
    <w:rsid w:val="00D36141"/>
    <w:rsid w:val="00D36168"/>
    <w:rsid w:val="00D36187"/>
    <w:rsid w:val="00D36195"/>
    <w:rsid w:val="00D361D3"/>
    <w:rsid w:val="00D3620A"/>
    <w:rsid w:val="00D36242"/>
    <w:rsid w:val="00D362AA"/>
    <w:rsid w:val="00D362E9"/>
    <w:rsid w:val="00D36389"/>
    <w:rsid w:val="00D36545"/>
    <w:rsid w:val="00D366B8"/>
    <w:rsid w:val="00D36822"/>
    <w:rsid w:val="00D368D5"/>
    <w:rsid w:val="00D36915"/>
    <w:rsid w:val="00D3696E"/>
    <w:rsid w:val="00D3698C"/>
    <w:rsid w:val="00D36BAA"/>
    <w:rsid w:val="00D36BF8"/>
    <w:rsid w:val="00D36C3A"/>
    <w:rsid w:val="00D36C8B"/>
    <w:rsid w:val="00D36CA6"/>
    <w:rsid w:val="00D36D37"/>
    <w:rsid w:val="00D36D74"/>
    <w:rsid w:val="00D36DEE"/>
    <w:rsid w:val="00D36E23"/>
    <w:rsid w:val="00D36E5C"/>
    <w:rsid w:val="00D36EDE"/>
    <w:rsid w:val="00D36FAC"/>
    <w:rsid w:val="00D36FB5"/>
    <w:rsid w:val="00D36FCF"/>
    <w:rsid w:val="00D3708B"/>
    <w:rsid w:val="00D3712F"/>
    <w:rsid w:val="00D37173"/>
    <w:rsid w:val="00D371A9"/>
    <w:rsid w:val="00D371E0"/>
    <w:rsid w:val="00D37295"/>
    <w:rsid w:val="00D372EC"/>
    <w:rsid w:val="00D37311"/>
    <w:rsid w:val="00D37314"/>
    <w:rsid w:val="00D373FD"/>
    <w:rsid w:val="00D37415"/>
    <w:rsid w:val="00D3745D"/>
    <w:rsid w:val="00D37489"/>
    <w:rsid w:val="00D374B3"/>
    <w:rsid w:val="00D374CD"/>
    <w:rsid w:val="00D374E1"/>
    <w:rsid w:val="00D3750E"/>
    <w:rsid w:val="00D37547"/>
    <w:rsid w:val="00D3755E"/>
    <w:rsid w:val="00D37596"/>
    <w:rsid w:val="00D3761B"/>
    <w:rsid w:val="00D3763B"/>
    <w:rsid w:val="00D3764A"/>
    <w:rsid w:val="00D37670"/>
    <w:rsid w:val="00D37751"/>
    <w:rsid w:val="00D37754"/>
    <w:rsid w:val="00D37824"/>
    <w:rsid w:val="00D3786E"/>
    <w:rsid w:val="00D37888"/>
    <w:rsid w:val="00D378D2"/>
    <w:rsid w:val="00D37A0E"/>
    <w:rsid w:val="00D37A3B"/>
    <w:rsid w:val="00D37B31"/>
    <w:rsid w:val="00D37B74"/>
    <w:rsid w:val="00D37DCD"/>
    <w:rsid w:val="00D37E3C"/>
    <w:rsid w:val="00D37E55"/>
    <w:rsid w:val="00D3C1B2"/>
    <w:rsid w:val="00D40091"/>
    <w:rsid w:val="00D400DE"/>
    <w:rsid w:val="00D400E0"/>
    <w:rsid w:val="00D40134"/>
    <w:rsid w:val="00D40183"/>
    <w:rsid w:val="00D401B3"/>
    <w:rsid w:val="00D401CB"/>
    <w:rsid w:val="00D401D5"/>
    <w:rsid w:val="00D401D6"/>
    <w:rsid w:val="00D4024E"/>
    <w:rsid w:val="00D402A8"/>
    <w:rsid w:val="00D402BB"/>
    <w:rsid w:val="00D402DD"/>
    <w:rsid w:val="00D4037B"/>
    <w:rsid w:val="00D4041F"/>
    <w:rsid w:val="00D40432"/>
    <w:rsid w:val="00D4049F"/>
    <w:rsid w:val="00D404C8"/>
    <w:rsid w:val="00D404E1"/>
    <w:rsid w:val="00D40530"/>
    <w:rsid w:val="00D40691"/>
    <w:rsid w:val="00D406D6"/>
    <w:rsid w:val="00D4073D"/>
    <w:rsid w:val="00D4076E"/>
    <w:rsid w:val="00D407E2"/>
    <w:rsid w:val="00D40805"/>
    <w:rsid w:val="00D4085A"/>
    <w:rsid w:val="00D40866"/>
    <w:rsid w:val="00D40867"/>
    <w:rsid w:val="00D4090E"/>
    <w:rsid w:val="00D40964"/>
    <w:rsid w:val="00D409D8"/>
    <w:rsid w:val="00D409E3"/>
    <w:rsid w:val="00D40A1B"/>
    <w:rsid w:val="00D40A2E"/>
    <w:rsid w:val="00D40A7A"/>
    <w:rsid w:val="00D40AC2"/>
    <w:rsid w:val="00D40B8C"/>
    <w:rsid w:val="00D40CCA"/>
    <w:rsid w:val="00D40D46"/>
    <w:rsid w:val="00D40D66"/>
    <w:rsid w:val="00D40D68"/>
    <w:rsid w:val="00D40D72"/>
    <w:rsid w:val="00D40DB6"/>
    <w:rsid w:val="00D40DD3"/>
    <w:rsid w:val="00D40E07"/>
    <w:rsid w:val="00D40E64"/>
    <w:rsid w:val="00D40EDA"/>
    <w:rsid w:val="00D40F1A"/>
    <w:rsid w:val="00D40F21"/>
    <w:rsid w:val="00D40F27"/>
    <w:rsid w:val="00D4101D"/>
    <w:rsid w:val="00D4104B"/>
    <w:rsid w:val="00D4109B"/>
    <w:rsid w:val="00D4109C"/>
    <w:rsid w:val="00D41172"/>
    <w:rsid w:val="00D411BC"/>
    <w:rsid w:val="00D411EA"/>
    <w:rsid w:val="00D414CA"/>
    <w:rsid w:val="00D41613"/>
    <w:rsid w:val="00D416A6"/>
    <w:rsid w:val="00D416D8"/>
    <w:rsid w:val="00D4171C"/>
    <w:rsid w:val="00D417D3"/>
    <w:rsid w:val="00D41846"/>
    <w:rsid w:val="00D41855"/>
    <w:rsid w:val="00D418E9"/>
    <w:rsid w:val="00D41B2F"/>
    <w:rsid w:val="00D41BE2"/>
    <w:rsid w:val="00D41BF0"/>
    <w:rsid w:val="00D41C34"/>
    <w:rsid w:val="00D41CA4"/>
    <w:rsid w:val="00D41D08"/>
    <w:rsid w:val="00D41D76"/>
    <w:rsid w:val="00D41DFD"/>
    <w:rsid w:val="00D41E0F"/>
    <w:rsid w:val="00D41E1B"/>
    <w:rsid w:val="00D41E58"/>
    <w:rsid w:val="00D42088"/>
    <w:rsid w:val="00D420C4"/>
    <w:rsid w:val="00D421C4"/>
    <w:rsid w:val="00D421E1"/>
    <w:rsid w:val="00D4226D"/>
    <w:rsid w:val="00D422CC"/>
    <w:rsid w:val="00D423A2"/>
    <w:rsid w:val="00D423B9"/>
    <w:rsid w:val="00D423E0"/>
    <w:rsid w:val="00D4241A"/>
    <w:rsid w:val="00D42442"/>
    <w:rsid w:val="00D424BB"/>
    <w:rsid w:val="00D42594"/>
    <w:rsid w:val="00D425FF"/>
    <w:rsid w:val="00D427CE"/>
    <w:rsid w:val="00D42832"/>
    <w:rsid w:val="00D428AE"/>
    <w:rsid w:val="00D428F9"/>
    <w:rsid w:val="00D4297C"/>
    <w:rsid w:val="00D429D8"/>
    <w:rsid w:val="00D42A3E"/>
    <w:rsid w:val="00D42A5F"/>
    <w:rsid w:val="00D42A6C"/>
    <w:rsid w:val="00D42ACC"/>
    <w:rsid w:val="00D42B14"/>
    <w:rsid w:val="00D42B66"/>
    <w:rsid w:val="00D42B67"/>
    <w:rsid w:val="00D42BC2"/>
    <w:rsid w:val="00D42BF0"/>
    <w:rsid w:val="00D42C21"/>
    <w:rsid w:val="00D42C64"/>
    <w:rsid w:val="00D42C74"/>
    <w:rsid w:val="00D42E5E"/>
    <w:rsid w:val="00D42F48"/>
    <w:rsid w:val="00D42FE7"/>
    <w:rsid w:val="00D4300D"/>
    <w:rsid w:val="00D4310F"/>
    <w:rsid w:val="00D43112"/>
    <w:rsid w:val="00D43117"/>
    <w:rsid w:val="00D4317B"/>
    <w:rsid w:val="00D432FB"/>
    <w:rsid w:val="00D4335A"/>
    <w:rsid w:val="00D43369"/>
    <w:rsid w:val="00D43380"/>
    <w:rsid w:val="00D43385"/>
    <w:rsid w:val="00D433B2"/>
    <w:rsid w:val="00D4343A"/>
    <w:rsid w:val="00D43497"/>
    <w:rsid w:val="00D43533"/>
    <w:rsid w:val="00D43568"/>
    <w:rsid w:val="00D435EE"/>
    <w:rsid w:val="00D4369E"/>
    <w:rsid w:val="00D436CB"/>
    <w:rsid w:val="00D4379E"/>
    <w:rsid w:val="00D43820"/>
    <w:rsid w:val="00D4382A"/>
    <w:rsid w:val="00D438D8"/>
    <w:rsid w:val="00D43946"/>
    <w:rsid w:val="00D4396C"/>
    <w:rsid w:val="00D43B8F"/>
    <w:rsid w:val="00D43B9C"/>
    <w:rsid w:val="00D43BD1"/>
    <w:rsid w:val="00D43BFB"/>
    <w:rsid w:val="00D43C52"/>
    <w:rsid w:val="00D43C55"/>
    <w:rsid w:val="00D43CDF"/>
    <w:rsid w:val="00D43CEC"/>
    <w:rsid w:val="00D43D54"/>
    <w:rsid w:val="00D43E7B"/>
    <w:rsid w:val="00D43ED8"/>
    <w:rsid w:val="00D43F18"/>
    <w:rsid w:val="00D43F51"/>
    <w:rsid w:val="00D44070"/>
    <w:rsid w:val="00D440FB"/>
    <w:rsid w:val="00D44102"/>
    <w:rsid w:val="00D44163"/>
    <w:rsid w:val="00D441CB"/>
    <w:rsid w:val="00D441D8"/>
    <w:rsid w:val="00D4420E"/>
    <w:rsid w:val="00D4421C"/>
    <w:rsid w:val="00D44315"/>
    <w:rsid w:val="00D44405"/>
    <w:rsid w:val="00D444CA"/>
    <w:rsid w:val="00D44521"/>
    <w:rsid w:val="00D4456D"/>
    <w:rsid w:val="00D445E4"/>
    <w:rsid w:val="00D445F3"/>
    <w:rsid w:val="00D44649"/>
    <w:rsid w:val="00D4465D"/>
    <w:rsid w:val="00D4466D"/>
    <w:rsid w:val="00D446A5"/>
    <w:rsid w:val="00D446BE"/>
    <w:rsid w:val="00D44749"/>
    <w:rsid w:val="00D447AA"/>
    <w:rsid w:val="00D447BB"/>
    <w:rsid w:val="00D44853"/>
    <w:rsid w:val="00D44888"/>
    <w:rsid w:val="00D44919"/>
    <w:rsid w:val="00D44AD1"/>
    <w:rsid w:val="00D44B4F"/>
    <w:rsid w:val="00D44B6E"/>
    <w:rsid w:val="00D44B94"/>
    <w:rsid w:val="00D44B9E"/>
    <w:rsid w:val="00D44BE6"/>
    <w:rsid w:val="00D44C2D"/>
    <w:rsid w:val="00D44C7D"/>
    <w:rsid w:val="00D44D8D"/>
    <w:rsid w:val="00D44DF1"/>
    <w:rsid w:val="00D44DF4"/>
    <w:rsid w:val="00D44FAD"/>
    <w:rsid w:val="00D44FDC"/>
    <w:rsid w:val="00D450DD"/>
    <w:rsid w:val="00D45160"/>
    <w:rsid w:val="00D451D5"/>
    <w:rsid w:val="00D45223"/>
    <w:rsid w:val="00D452D4"/>
    <w:rsid w:val="00D4534A"/>
    <w:rsid w:val="00D45375"/>
    <w:rsid w:val="00D4541E"/>
    <w:rsid w:val="00D454BE"/>
    <w:rsid w:val="00D454E0"/>
    <w:rsid w:val="00D455CA"/>
    <w:rsid w:val="00D45624"/>
    <w:rsid w:val="00D45648"/>
    <w:rsid w:val="00D45653"/>
    <w:rsid w:val="00D45660"/>
    <w:rsid w:val="00D45691"/>
    <w:rsid w:val="00D4571A"/>
    <w:rsid w:val="00D457B7"/>
    <w:rsid w:val="00D4595E"/>
    <w:rsid w:val="00D45A6A"/>
    <w:rsid w:val="00D45A8A"/>
    <w:rsid w:val="00D45C26"/>
    <w:rsid w:val="00D45CE4"/>
    <w:rsid w:val="00D45DBA"/>
    <w:rsid w:val="00D45DCF"/>
    <w:rsid w:val="00D45E9B"/>
    <w:rsid w:val="00D46048"/>
    <w:rsid w:val="00D46179"/>
    <w:rsid w:val="00D461F0"/>
    <w:rsid w:val="00D461F9"/>
    <w:rsid w:val="00D462AF"/>
    <w:rsid w:val="00D463D8"/>
    <w:rsid w:val="00D463F5"/>
    <w:rsid w:val="00D46503"/>
    <w:rsid w:val="00D4652D"/>
    <w:rsid w:val="00D4653E"/>
    <w:rsid w:val="00D46597"/>
    <w:rsid w:val="00D465D4"/>
    <w:rsid w:val="00D46627"/>
    <w:rsid w:val="00D46640"/>
    <w:rsid w:val="00D466BD"/>
    <w:rsid w:val="00D4673C"/>
    <w:rsid w:val="00D46740"/>
    <w:rsid w:val="00D467CD"/>
    <w:rsid w:val="00D4685D"/>
    <w:rsid w:val="00D469DE"/>
    <w:rsid w:val="00D46A6C"/>
    <w:rsid w:val="00D46A6F"/>
    <w:rsid w:val="00D46AB4"/>
    <w:rsid w:val="00D46B9A"/>
    <w:rsid w:val="00D46BD2"/>
    <w:rsid w:val="00D46C4E"/>
    <w:rsid w:val="00D46C95"/>
    <w:rsid w:val="00D46D3D"/>
    <w:rsid w:val="00D46D4D"/>
    <w:rsid w:val="00D46DDE"/>
    <w:rsid w:val="00D46E01"/>
    <w:rsid w:val="00D46EA3"/>
    <w:rsid w:val="00D46EF0"/>
    <w:rsid w:val="00D4701F"/>
    <w:rsid w:val="00D4704F"/>
    <w:rsid w:val="00D470DF"/>
    <w:rsid w:val="00D47101"/>
    <w:rsid w:val="00D4713B"/>
    <w:rsid w:val="00D47154"/>
    <w:rsid w:val="00D4716F"/>
    <w:rsid w:val="00D471BA"/>
    <w:rsid w:val="00D47254"/>
    <w:rsid w:val="00D47374"/>
    <w:rsid w:val="00D47387"/>
    <w:rsid w:val="00D4738B"/>
    <w:rsid w:val="00D4741A"/>
    <w:rsid w:val="00D4744D"/>
    <w:rsid w:val="00D47476"/>
    <w:rsid w:val="00D4753E"/>
    <w:rsid w:val="00D4755D"/>
    <w:rsid w:val="00D47692"/>
    <w:rsid w:val="00D476F6"/>
    <w:rsid w:val="00D47700"/>
    <w:rsid w:val="00D477BB"/>
    <w:rsid w:val="00D47805"/>
    <w:rsid w:val="00D478AB"/>
    <w:rsid w:val="00D478BF"/>
    <w:rsid w:val="00D47957"/>
    <w:rsid w:val="00D47978"/>
    <w:rsid w:val="00D4797F"/>
    <w:rsid w:val="00D4799A"/>
    <w:rsid w:val="00D479C5"/>
    <w:rsid w:val="00D479FA"/>
    <w:rsid w:val="00D479FC"/>
    <w:rsid w:val="00D47A5A"/>
    <w:rsid w:val="00D47A79"/>
    <w:rsid w:val="00D47B5E"/>
    <w:rsid w:val="00D47B82"/>
    <w:rsid w:val="00D47BF2"/>
    <w:rsid w:val="00D47C64"/>
    <w:rsid w:val="00D47CBD"/>
    <w:rsid w:val="00D47D2A"/>
    <w:rsid w:val="00D47E61"/>
    <w:rsid w:val="00D47E9D"/>
    <w:rsid w:val="00D47EDF"/>
    <w:rsid w:val="00D47F85"/>
    <w:rsid w:val="00D47FA4"/>
    <w:rsid w:val="00D5010D"/>
    <w:rsid w:val="00D502DF"/>
    <w:rsid w:val="00D5032A"/>
    <w:rsid w:val="00D503E3"/>
    <w:rsid w:val="00D5049B"/>
    <w:rsid w:val="00D504D4"/>
    <w:rsid w:val="00D505C7"/>
    <w:rsid w:val="00D505FB"/>
    <w:rsid w:val="00D50626"/>
    <w:rsid w:val="00D50631"/>
    <w:rsid w:val="00D50651"/>
    <w:rsid w:val="00D5083A"/>
    <w:rsid w:val="00D5084A"/>
    <w:rsid w:val="00D50883"/>
    <w:rsid w:val="00D5088C"/>
    <w:rsid w:val="00D5095B"/>
    <w:rsid w:val="00D509A6"/>
    <w:rsid w:val="00D509B8"/>
    <w:rsid w:val="00D50A91"/>
    <w:rsid w:val="00D50AA7"/>
    <w:rsid w:val="00D50ABB"/>
    <w:rsid w:val="00D50B75"/>
    <w:rsid w:val="00D50BAD"/>
    <w:rsid w:val="00D50BE6"/>
    <w:rsid w:val="00D50C04"/>
    <w:rsid w:val="00D50C1B"/>
    <w:rsid w:val="00D50D0A"/>
    <w:rsid w:val="00D50D12"/>
    <w:rsid w:val="00D50E09"/>
    <w:rsid w:val="00D50EBD"/>
    <w:rsid w:val="00D50ED1"/>
    <w:rsid w:val="00D50EE3"/>
    <w:rsid w:val="00D50F21"/>
    <w:rsid w:val="00D50F9B"/>
    <w:rsid w:val="00D510BC"/>
    <w:rsid w:val="00D510EB"/>
    <w:rsid w:val="00D51147"/>
    <w:rsid w:val="00D511E0"/>
    <w:rsid w:val="00D51264"/>
    <w:rsid w:val="00D5127A"/>
    <w:rsid w:val="00D512A7"/>
    <w:rsid w:val="00D51311"/>
    <w:rsid w:val="00D5137A"/>
    <w:rsid w:val="00D51392"/>
    <w:rsid w:val="00D513CB"/>
    <w:rsid w:val="00D513FD"/>
    <w:rsid w:val="00D5142E"/>
    <w:rsid w:val="00D514CD"/>
    <w:rsid w:val="00D5152C"/>
    <w:rsid w:val="00D51680"/>
    <w:rsid w:val="00D516D6"/>
    <w:rsid w:val="00D51707"/>
    <w:rsid w:val="00D51783"/>
    <w:rsid w:val="00D518E0"/>
    <w:rsid w:val="00D51942"/>
    <w:rsid w:val="00D519A4"/>
    <w:rsid w:val="00D519C3"/>
    <w:rsid w:val="00D51A78"/>
    <w:rsid w:val="00D51B6A"/>
    <w:rsid w:val="00D51C25"/>
    <w:rsid w:val="00D51C51"/>
    <w:rsid w:val="00D51DA2"/>
    <w:rsid w:val="00D51E4E"/>
    <w:rsid w:val="00D51E91"/>
    <w:rsid w:val="00D51E9E"/>
    <w:rsid w:val="00D51EB3"/>
    <w:rsid w:val="00D51FDD"/>
    <w:rsid w:val="00D52009"/>
    <w:rsid w:val="00D5206B"/>
    <w:rsid w:val="00D52083"/>
    <w:rsid w:val="00D520B3"/>
    <w:rsid w:val="00D52119"/>
    <w:rsid w:val="00D5217A"/>
    <w:rsid w:val="00D5218E"/>
    <w:rsid w:val="00D522DC"/>
    <w:rsid w:val="00D523A6"/>
    <w:rsid w:val="00D523EB"/>
    <w:rsid w:val="00D52423"/>
    <w:rsid w:val="00D52490"/>
    <w:rsid w:val="00D5256A"/>
    <w:rsid w:val="00D525A0"/>
    <w:rsid w:val="00D52608"/>
    <w:rsid w:val="00D5269E"/>
    <w:rsid w:val="00D5274D"/>
    <w:rsid w:val="00D5277F"/>
    <w:rsid w:val="00D527CB"/>
    <w:rsid w:val="00D528A2"/>
    <w:rsid w:val="00D528D7"/>
    <w:rsid w:val="00D528E5"/>
    <w:rsid w:val="00D5293A"/>
    <w:rsid w:val="00D5293F"/>
    <w:rsid w:val="00D52B99"/>
    <w:rsid w:val="00D52BD1"/>
    <w:rsid w:val="00D52C4A"/>
    <w:rsid w:val="00D52CE3"/>
    <w:rsid w:val="00D52D1B"/>
    <w:rsid w:val="00D52D7C"/>
    <w:rsid w:val="00D52EDD"/>
    <w:rsid w:val="00D53021"/>
    <w:rsid w:val="00D53380"/>
    <w:rsid w:val="00D53386"/>
    <w:rsid w:val="00D5343A"/>
    <w:rsid w:val="00D534CF"/>
    <w:rsid w:val="00D534E5"/>
    <w:rsid w:val="00D53565"/>
    <w:rsid w:val="00D53567"/>
    <w:rsid w:val="00D535DE"/>
    <w:rsid w:val="00D53710"/>
    <w:rsid w:val="00D53776"/>
    <w:rsid w:val="00D53795"/>
    <w:rsid w:val="00D537E5"/>
    <w:rsid w:val="00D53897"/>
    <w:rsid w:val="00D538AE"/>
    <w:rsid w:val="00D538E6"/>
    <w:rsid w:val="00D539E0"/>
    <w:rsid w:val="00D539ED"/>
    <w:rsid w:val="00D53A85"/>
    <w:rsid w:val="00D53A9F"/>
    <w:rsid w:val="00D53AF1"/>
    <w:rsid w:val="00D53C41"/>
    <w:rsid w:val="00D53C8B"/>
    <w:rsid w:val="00D53C9A"/>
    <w:rsid w:val="00D53D2C"/>
    <w:rsid w:val="00D53DF7"/>
    <w:rsid w:val="00D53E03"/>
    <w:rsid w:val="00D53F10"/>
    <w:rsid w:val="00D53F16"/>
    <w:rsid w:val="00D53FE7"/>
    <w:rsid w:val="00D54027"/>
    <w:rsid w:val="00D540C2"/>
    <w:rsid w:val="00D54243"/>
    <w:rsid w:val="00D54282"/>
    <w:rsid w:val="00D54297"/>
    <w:rsid w:val="00D5431C"/>
    <w:rsid w:val="00D54381"/>
    <w:rsid w:val="00D5442C"/>
    <w:rsid w:val="00D5445F"/>
    <w:rsid w:val="00D54555"/>
    <w:rsid w:val="00D5462D"/>
    <w:rsid w:val="00D54639"/>
    <w:rsid w:val="00D546E9"/>
    <w:rsid w:val="00D5494E"/>
    <w:rsid w:val="00D54955"/>
    <w:rsid w:val="00D549EB"/>
    <w:rsid w:val="00D54A1D"/>
    <w:rsid w:val="00D54A70"/>
    <w:rsid w:val="00D54A81"/>
    <w:rsid w:val="00D54B3D"/>
    <w:rsid w:val="00D54B8B"/>
    <w:rsid w:val="00D54C00"/>
    <w:rsid w:val="00D54CF8"/>
    <w:rsid w:val="00D54D16"/>
    <w:rsid w:val="00D54D4D"/>
    <w:rsid w:val="00D54D5A"/>
    <w:rsid w:val="00D54DEB"/>
    <w:rsid w:val="00D54E61"/>
    <w:rsid w:val="00D54FB8"/>
    <w:rsid w:val="00D55149"/>
    <w:rsid w:val="00D5529B"/>
    <w:rsid w:val="00D55391"/>
    <w:rsid w:val="00D553B6"/>
    <w:rsid w:val="00D553C4"/>
    <w:rsid w:val="00D55423"/>
    <w:rsid w:val="00D5543A"/>
    <w:rsid w:val="00D5544B"/>
    <w:rsid w:val="00D5547D"/>
    <w:rsid w:val="00D5549C"/>
    <w:rsid w:val="00D554F8"/>
    <w:rsid w:val="00D55503"/>
    <w:rsid w:val="00D555B8"/>
    <w:rsid w:val="00D55650"/>
    <w:rsid w:val="00D55706"/>
    <w:rsid w:val="00D5570F"/>
    <w:rsid w:val="00D55729"/>
    <w:rsid w:val="00D559CC"/>
    <w:rsid w:val="00D559DC"/>
    <w:rsid w:val="00D55A32"/>
    <w:rsid w:val="00D55B67"/>
    <w:rsid w:val="00D55BE0"/>
    <w:rsid w:val="00D55BFA"/>
    <w:rsid w:val="00D55C67"/>
    <w:rsid w:val="00D55D55"/>
    <w:rsid w:val="00D55DA2"/>
    <w:rsid w:val="00D55DCA"/>
    <w:rsid w:val="00D55E3C"/>
    <w:rsid w:val="00D55EFC"/>
    <w:rsid w:val="00D55F0F"/>
    <w:rsid w:val="00D56028"/>
    <w:rsid w:val="00D5604B"/>
    <w:rsid w:val="00D56051"/>
    <w:rsid w:val="00D56072"/>
    <w:rsid w:val="00D560E6"/>
    <w:rsid w:val="00D56155"/>
    <w:rsid w:val="00D561A4"/>
    <w:rsid w:val="00D56334"/>
    <w:rsid w:val="00D5641F"/>
    <w:rsid w:val="00D5644C"/>
    <w:rsid w:val="00D564D6"/>
    <w:rsid w:val="00D564E1"/>
    <w:rsid w:val="00D56522"/>
    <w:rsid w:val="00D565B0"/>
    <w:rsid w:val="00D565D0"/>
    <w:rsid w:val="00D56658"/>
    <w:rsid w:val="00D567A2"/>
    <w:rsid w:val="00D5688A"/>
    <w:rsid w:val="00D568A3"/>
    <w:rsid w:val="00D56A79"/>
    <w:rsid w:val="00D56AEE"/>
    <w:rsid w:val="00D56B22"/>
    <w:rsid w:val="00D56B38"/>
    <w:rsid w:val="00D56B47"/>
    <w:rsid w:val="00D56BE0"/>
    <w:rsid w:val="00D56C03"/>
    <w:rsid w:val="00D56C32"/>
    <w:rsid w:val="00D56C35"/>
    <w:rsid w:val="00D56CB5"/>
    <w:rsid w:val="00D56D15"/>
    <w:rsid w:val="00D56E05"/>
    <w:rsid w:val="00D56E16"/>
    <w:rsid w:val="00D56ED4"/>
    <w:rsid w:val="00D56F04"/>
    <w:rsid w:val="00D56F27"/>
    <w:rsid w:val="00D56F6C"/>
    <w:rsid w:val="00D56FE1"/>
    <w:rsid w:val="00D57082"/>
    <w:rsid w:val="00D570C4"/>
    <w:rsid w:val="00D570D6"/>
    <w:rsid w:val="00D571C0"/>
    <w:rsid w:val="00D57252"/>
    <w:rsid w:val="00D572A4"/>
    <w:rsid w:val="00D572A8"/>
    <w:rsid w:val="00D57340"/>
    <w:rsid w:val="00D57362"/>
    <w:rsid w:val="00D573EC"/>
    <w:rsid w:val="00D574DC"/>
    <w:rsid w:val="00D574EB"/>
    <w:rsid w:val="00D57561"/>
    <w:rsid w:val="00D576B3"/>
    <w:rsid w:val="00D5770C"/>
    <w:rsid w:val="00D577AF"/>
    <w:rsid w:val="00D577C5"/>
    <w:rsid w:val="00D57805"/>
    <w:rsid w:val="00D5786A"/>
    <w:rsid w:val="00D5788A"/>
    <w:rsid w:val="00D57919"/>
    <w:rsid w:val="00D5791C"/>
    <w:rsid w:val="00D57AB5"/>
    <w:rsid w:val="00D57AF0"/>
    <w:rsid w:val="00D57B1A"/>
    <w:rsid w:val="00D57B3C"/>
    <w:rsid w:val="00D57B8B"/>
    <w:rsid w:val="00D57BEC"/>
    <w:rsid w:val="00D57C3C"/>
    <w:rsid w:val="00D57C61"/>
    <w:rsid w:val="00D57C81"/>
    <w:rsid w:val="00D57D08"/>
    <w:rsid w:val="00D57DCD"/>
    <w:rsid w:val="00D57DD4"/>
    <w:rsid w:val="00D57E0E"/>
    <w:rsid w:val="00D57E2C"/>
    <w:rsid w:val="00D57E4A"/>
    <w:rsid w:val="00D57E77"/>
    <w:rsid w:val="00D57EAB"/>
    <w:rsid w:val="00D57F4B"/>
    <w:rsid w:val="00D57F80"/>
    <w:rsid w:val="00D57F91"/>
    <w:rsid w:val="00D57FB2"/>
    <w:rsid w:val="00D57FE3"/>
    <w:rsid w:val="00D57FE4"/>
    <w:rsid w:val="00D57FF1"/>
    <w:rsid w:val="00D600A0"/>
    <w:rsid w:val="00D6010F"/>
    <w:rsid w:val="00D60190"/>
    <w:rsid w:val="00D60304"/>
    <w:rsid w:val="00D60339"/>
    <w:rsid w:val="00D60390"/>
    <w:rsid w:val="00D603C8"/>
    <w:rsid w:val="00D60475"/>
    <w:rsid w:val="00D604A7"/>
    <w:rsid w:val="00D605E3"/>
    <w:rsid w:val="00D606E6"/>
    <w:rsid w:val="00D607D5"/>
    <w:rsid w:val="00D60805"/>
    <w:rsid w:val="00D60966"/>
    <w:rsid w:val="00D60A4A"/>
    <w:rsid w:val="00D60B23"/>
    <w:rsid w:val="00D60B24"/>
    <w:rsid w:val="00D60B37"/>
    <w:rsid w:val="00D60B7A"/>
    <w:rsid w:val="00D60BAB"/>
    <w:rsid w:val="00D60BCD"/>
    <w:rsid w:val="00D60BE3"/>
    <w:rsid w:val="00D60E9F"/>
    <w:rsid w:val="00D60F0F"/>
    <w:rsid w:val="00D60F1F"/>
    <w:rsid w:val="00D60F2E"/>
    <w:rsid w:val="00D60F34"/>
    <w:rsid w:val="00D60F4E"/>
    <w:rsid w:val="00D610BD"/>
    <w:rsid w:val="00D610E0"/>
    <w:rsid w:val="00D61193"/>
    <w:rsid w:val="00D612EC"/>
    <w:rsid w:val="00D61333"/>
    <w:rsid w:val="00D61407"/>
    <w:rsid w:val="00D61408"/>
    <w:rsid w:val="00D61447"/>
    <w:rsid w:val="00D61465"/>
    <w:rsid w:val="00D6152C"/>
    <w:rsid w:val="00D61555"/>
    <w:rsid w:val="00D6161D"/>
    <w:rsid w:val="00D6170F"/>
    <w:rsid w:val="00D617D1"/>
    <w:rsid w:val="00D617DC"/>
    <w:rsid w:val="00D61845"/>
    <w:rsid w:val="00D6185E"/>
    <w:rsid w:val="00D6187D"/>
    <w:rsid w:val="00D6189A"/>
    <w:rsid w:val="00D6189D"/>
    <w:rsid w:val="00D6190A"/>
    <w:rsid w:val="00D61B05"/>
    <w:rsid w:val="00D61BF0"/>
    <w:rsid w:val="00D61C0E"/>
    <w:rsid w:val="00D61C60"/>
    <w:rsid w:val="00D61C6D"/>
    <w:rsid w:val="00D61CD0"/>
    <w:rsid w:val="00D61E10"/>
    <w:rsid w:val="00D61E3B"/>
    <w:rsid w:val="00D61F18"/>
    <w:rsid w:val="00D6204D"/>
    <w:rsid w:val="00D62058"/>
    <w:rsid w:val="00D6219B"/>
    <w:rsid w:val="00D6241D"/>
    <w:rsid w:val="00D6243F"/>
    <w:rsid w:val="00D62542"/>
    <w:rsid w:val="00D6260A"/>
    <w:rsid w:val="00D6267E"/>
    <w:rsid w:val="00D6273B"/>
    <w:rsid w:val="00D6278A"/>
    <w:rsid w:val="00D62892"/>
    <w:rsid w:val="00D62937"/>
    <w:rsid w:val="00D62B30"/>
    <w:rsid w:val="00D62B49"/>
    <w:rsid w:val="00D62BA9"/>
    <w:rsid w:val="00D62BAB"/>
    <w:rsid w:val="00D62C61"/>
    <w:rsid w:val="00D62CD6"/>
    <w:rsid w:val="00D62D8E"/>
    <w:rsid w:val="00D62E2C"/>
    <w:rsid w:val="00D62EED"/>
    <w:rsid w:val="00D62F34"/>
    <w:rsid w:val="00D62F35"/>
    <w:rsid w:val="00D62F56"/>
    <w:rsid w:val="00D62F5C"/>
    <w:rsid w:val="00D62FC7"/>
    <w:rsid w:val="00D630B4"/>
    <w:rsid w:val="00D631D8"/>
    <w:rsid w:val="00D631F5"/>
    <w:rsid w:val="00D6322E"/>
    <w:rsid w:val="00D6324C"/>
    <w:rsid w:val="00D632BB"/>
    <w:rsid w:val="00D632D8"/>
    <w:rsid w:val="00D6330F"/>
    <w:rsid w:val="00D633AD"/>
    <w:rsid w:val="00D633D8"/>
    <w:rsid w:val="00D6344D"/>
    <w:rsid w:val="00D63499"/>
    <w:rsid w:val="00D6352B"/>
    <w:rsid w:val="00D635A1"/>
    <w:rsid w:val="00D6368A"/>
    <w:rsid w:val="00D636C8"/>
    <w:rsid w:val="00D636F6"/>
    <w:rsid w:val="00D6371F"/>
    <w:rsid w:val="00D63787"/>
    <w:rsid w:val="00D637B1"/>
    <w:rsid w:val="00D63906"/>
    <w:rsid w:val="00D639A3"/>
    <w:rsid w:val="00D639EF"/>
    <w:rsid w:val="00D639F5"/>
    <w:rsid w:val="00D63A16"/>
    <w:rsid w:val="00D63A65"/>
    <w:rsid w:val="00D63ACB"/>
    <w:rsid w:val="00D63B7C"/>
    <w:rsid w:val="00D63BE2"/>
    <w:rsid w:val="00D63C3C"/>
    <w:rsid w:val="00D63C79"/>
    <w:rsid w:val="00D63CB5"/>
    <w:rsid w:val="00D63CDB"/>
    <w:rsid w:val="00D63D80"/>
    <w:rsid w:val="00D63E5F"/>
    <w:rsid w:val="00D63E84"/>
    <w:rsid w:val="00D63E89"/>
    <w:rsid w:val="00D63EA8"/>
    <w:rsid w:val="00D63F76"/>
    <w:rsid w:val="00D63F92"/>
    <w:rsid w:val="00D63FC7"/>
    <w:rsid w:val="00D6401A"/>
    <w:rsid w:val="00D64045"/>
    <w:rsid w:val="00D6406B"/>
    <w:rsid w:val="00D640B5"/>
    <w:rsid w:val="00D64247"/>
    <w:rsid w:val="00D64407"/>
    <w:rsid w:val="00D64444"/>
    <w:rsid w:val="00D644DD"/>
    <w:rsid w:val="00D64538"/>
    <w:rsid w:val="00D6456E"/>
    <w:rsid w:val="00D6457C"/>
    <w:rsid w:val="00D645CA"/>
    <w:rsid w:val="00D645FD"/>
    <w:rsid w:val="00D6474F"/>
    <w:rsid w:val="00D6477B"/>
    <w:rsid w:val="00D647EA"/>
    <w:rsid w:val="00D6486C"/>
    <w:rsid w:val="00D64879"/>
    <w:rsid w:val="00D648B1"/>
    <w:rsid w:val="00D64998"/>
    <w:rsid w:val="00D64A34"/>
    <w:rsid w:val="00D64AAB"/>
    <w:rsid w:val="00D64C7F"/>
    <w:rsid w:val="00D64CD2"/>
    <w:rsid w:val="00D64D58"/>
    <w:rsid w:val="00D64F3A"/>
    <w:rsid w:val="00D65014"/>
    <w:rsid w:val="00D6502A"/>
    <w:rsid w:val="00D65115"/>
    <w:rsid w:val="00D651B3"/>
    <w:rsid w:val="00D651B7"/>
    <w:rsid w:val="00D65290"/>
    <w:rsid w:val="00D6529A"/>
    <w:rsid w:val="00D653B8"/>
    <w:rsid w:val="00D65491"/>
    <w:rsid w:val="00D65519"/>
    <w:rsid w:val="00D655B3"/>
    <w:rsid w:val="00D655CE"/>
    <w:rsid w:val="00D655D0"/>
    <w:rsid w:val="00D65642"/>
    <w:rsid w:val="00D6566F"/>
    <w:rsid w:val="00D657DD"/>
    <w:rsid w:val="00D659FE"/>
    <w:rsid w:val="00D65A06"/>
    <w:rsid w:val="00D65AB7"/>
    <w:rsid w:val="00D65ACA"/>
    <w:rsid w:val="00D65B38"/>
    <w:rsid w:val="00D65BD8"/>
    <w:rsid w:val="00D65CB7"/>
    <w:rsid w:val="00D65CFA"/>
    <w:rsid w:val="00D65D52"/>
    <w:rsid w:val="00D66013"/>
    <w:rsid w:val="00D66066"/>
    <w:rsid w:val="00D661E1"/>
    <w:rsid w:val="00D66243"/>
    <w:rsid w:val="00D66252"/>
    <w:rsid w:val="00D66265"/>
    <w:rsid w:val="00D66298"/>
    <w:rsid w:val="00D66319"/>
    <w:rsid w:val="00D66356"/>
    <w:rsid w:val="00D6638B"/>
    <w:rsid w:val="00D663A4"/>
    <w:rsid w:val="00D663CA"/>
    <w:rsid w:val="00D66429"/>
    <w:rsid w:val="00D66433"/>
    <w:rsid w:val="00D664AD"/>
    <w:rsid w:val="00D664F2"/>
    <w:rsid w:val="00D664FD"/>
    <w:rsid w:val="00D6654C"/>
    <w:rsid w:val="00D66556"/>
    <w:rsid w:val="00D6655C"/>
    <w:rsid w:val="00D665B5"/>
    <w:rsid w:val="00D666EA"/>
    <w:rsid w:val="00D66728"/>
    <w:rsid w:val="00D66788"/>
    <w:rsid w:val="00D66845"/>
    <w:rsid w:val="00D668B4"/>
    <w:rsid w:val="00D66923"/>
    <w:rsid w:val="00D66A1E"/>
    <w:rsid w:val="00D66B01"/>
    <w:rsid w:val="00D66B28"/>
    <w:rsid w:val="00D66BE7"/>
    <w:rsid w:val="00D66C5A"/>
    <w:rsid w:val="00D66D8A"/>
    <w:rsid w:val="00D66E8A"/>
    <w:rsid w:val="00D66EB9"/>
    <w:rsid w:val="00D66F52"/>
    <w:rsid w:val="00D67007"/>
    <w:rsid w:val="00D6705C"/>
    <w:rsid w:val="00D67078"/>
    <w:rsid w:val="00D670C5"/>
    <w:rsid w:val="00D67149"/>
    <w:rsid w:val="00D671A2"/>
    <w:rsid w:val="00D671D9"/>
    <w:rsid w:val="00D67250"/>
    <w:rsid w:val="00D673E6"/>
    <w:rsid w:val="00D67404"/>
    <w:rsid w:val="00D67426"/>
    <w:rsid w:val="00D67453"/>
    <w:rsid w:val="00D67500"/>
    <w:rsid w:val="00D6751C"/>
    <w:rsid w:val="00D675B6"/>
    <w:rsid w:val="00D67627"/>
    <w:rsid w:val="00D676B0"/>
    <w:rsid w:val="00D676B4"/>
    <w:rsid w:val="00D67702"/>
    <w:rsid w:val="00D6777E"/>
    <w:rsid w:val="00D67785"/>
    <w:rsid w:val="00D678A6"/>
    <w:rsid w:val="00D679F8"/>
    <w:rsid w:val="00D67A03"/>
    <w:rsid w:val="00D67A06"/>
    <w:rsid w:val="00D67A17"/>
    <w:rsid w:val="00D67A3D"/>
    <w:rsid w:val="00D67A4D"/>
    <w:rsid w:val="00D67ABE"/>
    <w:rsid w:val="00D67AD7"/>
    <w:rsid w:val="00D67AF7"/>
    <w:rsid w:val="00D67B8E"/>
    <w:rsid w:val="00D67C92"/>
    <w:rsid w:val="00D67CB4"/>
    <w:rsid w:val="00D67CDB"/>
    <w:rsid w:val="00D67D00"/>
    <w:rsid w:val="00D67D3B"/>
    <w:rsid w:val="00D67D70"/>
    <w:rsid w:val="00D67E04"/>
    <w:rsid w:val="00D67E42"/>
    <w:rsid w:val="00D67EA0"/>
    <w:rsid w:val="00D67ED6"/>
    <w:rsid w:val="00D67F61"/>
    <w:rsid w:val="00D67F72"/>
    <w:rsid w:val="00D67F82"/>
    <w:rsid w:val="00D67F9F"/>
    <w:rsid w:val="00D7002B"/>
    <w:rsid w:val="00D70076"/>
    <w:rsid w:val="00D70093"/>
    <w:rsid w:val="00D700EA"/>
    <w:rsid w:val="00D70120"/>
    <w:rsid w:val="00D70134"/>
    <w:rsid w:val="00D70208"/>
    <w:rsid w:val="00D70508"/>
    <w:rsid w:val="00D70572"/>
    <w:rsid w:val="00D705A1"/>
    <w:rsid w:val="00D705F0"/>
    <w:rsid w:val="00D70608"/>
    <w:rsid w:val="00D70657"/>
    <w:rsid w:val="00D706BF"/>
    <w:rsid w:val="00D706C6"/>
    <w:rsid w:val="00D70738"/>
    <w:rsid w:val="00D707D7"/>
    <w:rsid w:val="00D7088D"/>
    <w:rsid w:val="00D708CB"/>
    <w:rsid w:val="00D7098A"/>
    <w:rsid w:val="00D709A0"/>
    <w:rsid w:val="00D70A2D"/>
    <w:rsid w:val="00D70A80"/>
    <w:rsid w:val="00D70AAE"/>
    <w:rsid w:val="00D70AEA"/>
    <w:rsid w:val="00D70B3E"/>
    <w:rsid w:val="00D70B50"/>
    <w:rsid w:val="00D70B5C"/>
    <w:rsid w:val="00D70CA7"/>
    <w:rsid w:val="00D70CDD"/>
    <w:rsid w:val="00D70CE7"/>
    <w:rsid w:val="00D70D55"/>
    <w:rsid w:val="00D70D8B"/>
    <w:rsid w:val="00D70E06"/>
    <w:rsid w:val="00D70E70"/>
    <w:rsid w:val="00D70E8B"/>
    <w:rsid w:val="00D70EAF"/>
    <w:rsid w:val="00D70F31"/>
    <w:rsid w:val="00D70FD4"/>
    <w:rsid w:val="00D70FD6"/>
    <w:rsid w:val="00D7102A"/>
    <w:rsid w:val="00D710FB"/>
    <w:rsid w:val="00D711A9"/>
    <w:rsid w:val="00D71231"/>
    <w:rsid w:val="00D71281"/>
    <w:rsid w:val="00D71384"/>
    <w:rsid w:val="00D713C1"/>
    <w:rsid w:val="00D7145D"/>
    <w:rsid w:val="00D714F6"/>
    <w:rsid w:val="00D71532"/>
    <w:rsid w:val="00D71585"/>
    <w:rsid w:val="00D715A0"/>
    <w:rsid w:val="00D715C4"/>
    <w:rsid w:val="00D71611"/>
    <w:rsid w:val="00D7163B"/>
    <w:rsid w:val="00D716AD"/>
    <w:rsid w:val="00D716D6"/>
    <w:rsid w:val="00D716FE"/>
    <w:rsid w:val="00D717B9"/>
    <w:rsid w:val="00D717C3"/>
    <w:rsid w:val="00D717CC"/>
    <w:rsid w:val="00D7182D"/>
    <w:rsid w:val="00D7186D"/>
    <w:rsid w:val="00D718CD"/>
    <w:rsid w:val="00D71954"/>
    <w:rsid w:val="00D719E9"/>
    <w:rsid w:val="00D71A11"/>
    <w:rsid w:val="00D71A1D"/>
    <w:rsid w:val="00D71A8D"/>
    <w:rsid w:val="00D71BC9"/>
    <w:rsid w:val="00D71BF6"/>
    <w:rsid w:val="00D71C68"/>
    <w:rsid w:val="00D71C87"/>
    <w:rsid w:val="00D71D42"/>
    <w:rsid w:val="00D71D4A"/>
    <w:rsid w:val="00D71DCB"/>
    <w:rsid w:val="00D71E6C"/>
    <w:rsid w:val="00D71F33"/>
    <w:rsid w:val="00D71F44"/>
    <w:rsid w:val="00D71F80"/>
    <w:rsid w:val="00D71FAF"/>
    <w:rsid w:val="00D72018"/>
    <w:rsid w:val="00D72026"/>
    <w:rsid w:val="00D72060"/>
    <w:rsid w:val="00D720AE"/>
    <w:rsid w:val="00D720C9"/>
    <w:rsid w:val="00D720F1"/>
    <w:rsid w:val="00D72138"/>
    <w:rsid w:val="00D7228D"/>
    <w:rsid w:val="00D72403"/>
    <w:rsid w:val="00D72444"/>
    <w:rsid w:val="00D724EF"/>
    <w:rsid w:val="00D72562"/>
    <w:rsid w:val="00D72585"/>
    <w:rsid w:val="00D72590"/>
    <w:rsid w:val="00D72594"/>
    <w:rsid w:val="00D72704"/>
    <w:rsid w:val="00D72732"/>
    <w:rsid w:val="00D7276F"/>
    <w:rsid w:val="00D72770"/>
    <w:rsid w:val="00D7281A"/>
    <w:rsid w:val="00D72855"/>
    <w:rsid w:val="00D728D7"/>
    <w:rsid w:val="00D728EA"/>
    <w:rsid w:val="00D7291A"/>
    <w:rsid w:val="00D72976"/>
    <w:rsid w:val="00D729CA"/>
    <w:rsid w:val="00D72AA7"/>
    <w:rsid w:val="00D72ABA"/>
    <w:rsid w:val="00D72B02"/>
    <w:rsid w:val="00D72BF2"/>
    <w:rsid w:val="00D72C35"/>
    <w:rsid w:val="00D72D01"/>
    <w:rsid w:val="00D72D47"/>
    <w:rsid w:val="00D72D4B"/>
    <w:rsid w:val="00D72D9C"/>
    <w:rsid w:val="00D72E53"/>
    <w:rsid w:val="00D72E5F"/>
    <w:rsid w:val="00D72F1E"/>
    <w:rsid w:val="00D72FE3"/>
    <w:rsid w:val="00D730DD"/>
    <w:rsid w:val="00D7311D"/>
    <w:rsid w:val="00D73193"/>
    <w:rsid w:val="00D731B0"/>
    <w:rsid w:val="00D73358"/>
    <w:rsid w:val="00D73365"/>
    <w:rsid w:val="00D734E8"/>
    <w:rsid w:val="00D734EE"/>
    <w:rsid w:val="00D73533"/>
    <w:rsid w:val="00D73579"/>
    <w:rsid w:val="00D735B5"/>
    <w:rsid w:val="00D735EA"/>
    <w:rsid w:val="00D735FA"/>
    <w:rsid w:val="00D73635"/>
    <w:rsid w:val="00D73645"/>
    <w:rsid w:val="00D736F3"/>
    <w:rsid w:val="00D73738"/>
    <w:rsid w:val="00D7376B"/>
    <w:rsid w:val="00D737AF"/>
    <w:rsid w:val="00D738D6"/>
    <w:rsid w:val="00D7392D"/>
    <w:rsid w:val="00D73A12"/>
    <w:rsid w:val="00D73A32"/>
    <w:rsid w:val="00D73A49"/>
    <w:rsid w:val="00D73A97"/>
    <w:rsid w:val="00D73B33"/>
    <w:rsid w:val="00D73B73"/>
    <w:rsid w:val="00D73C34"/>
    <w:rsid w:val="00D73C76"/>
    <w:rsid w:val="00D73C97"/>
    <w:rsid w:val="00D73CC9"/>
    <w:rsid w:val="00D73CFB"/>
    <w:rsid w:val="00D73D6C"/>
    <w:rsid w:val="00D73D7B"/>
    <w:rsid w:val="00D73DAB"/>
    <w:rsid w:val="00D73DAD"/>
    <w:rsid w:val="00D73DFA"/>
    <w:rsid w:val="00D73F4F"/>
    <w:rsid w:val="00D73F56"/>
    <w:rsid w:val="00D73F72"/>
    <w:rsid w:val="00D73F8F"/>
    <w:rsid w:val="00D73FF9"/>
    <w:rsid w:val="00D74062"/>
    <w:rsid w:val="00D740DE"/>
    <w:rsid w:val="00D7421E"/>
    <w:rsid w:val="00D74250"/>
    <w:rsid w:val="00D74256"/>
    <w:rsid w:val="00D74442"/>
    <w:rsid w:val="00D74455"/>
    <w:rsid w:val="00D7449D"/>
    <w:rsid w:val="00D745BB"/>
    <w:rsid w:val="00D74628"/>
    <w:rsid w:val="00D746CA"/>
    <w:rsid w:val="00D7484D"/>
    <w:rsid w:val="00D74870"/>
    <w:rsid w:val="00D74895"/>
    <w:rsid w:val="00D748EF"/>
    <w:rsid w:val="00D74A07"/>
    <w:rsid w:val="00D74B72"/>
    <w:rsid w:val="00D74C22"/>
    <w:rsid w:val="00D74CCB"/>
    <w:rsid w:val="00D74CE5"/>
    <w:rsid w:val="00D74DB0"/>
    <w:rsid w:val="00D74DD8"/>
    <w:rsid w:val="00D74DE2"/>
    <w:rsid w:val="00D74E05"/>
    <w:rsid w:val="00D74E8F"/>
    <w:rsid w:val="00D74E9E"/>
    <w:rsid w:val="00D74EA9"/>
    <w:rsid w:val="00D75007"/>
    <w:rsid w:val="00D75035"/>
    <w:rsid w:val="00D75109"/>
    <w:rsid w:val="00D75144"/>
    <w:rsid w:val="00D752B3"/>
    <w:rsid w:val="00D75305"/>
    <w:rsid w:val="00D75326"/>
    <w:rsid w:val="00D753FE"/>
    <w:rsid w:val="00D7545F"/>
    <w:rsid w:val="00D7548F"/>
    <w:rsid w:val="00D75527"/>
    <w:rsid w:val="00D75529"/>
    <w:rsid w:val="00D755CC"/>
    <w:rsid w:val="00D755D1"/>
    <w:rsid w:val="00D75816"/>
    <w:rsid w:val="00D759E1"/>
    <w:rsid w:val="00D759F4"/>
    <w:rsid w:val="00D75AAA"/>
    <w:rsid w:val="00D75AB4"/>
    <w:rsid w:val="00D75B09"/>
    <w:rsid w:val="00D75B51"/>
    <w:rsid w:val="00D75C32"/>
    <w:rsid w:val="00D75CAA"/>
    <w:rsid w:val="00D75CEA"/>
    <w:rsid w:val="00D75E21"/>
    <w:rsid w:val="00D75E22"/>
    <w:rsid w:val="00D76017"/>
    <w:rsid w:val="00D760CB"/>
    <w:rsid w:val="00D76115"/>
    <w:rsid w:val="00D76140"/>
    <w:rsid w:val="00D761AE"/>
    <w:rsid w:val="00D761FA"/>
    <w:rsid w:val="00D76296"/>
    <w:rsid w:val="00D762DB"/>
    <w:rsid w:val="00D7635E"/>
    <w:rsid w:val="00D763D4"/>
    <w:rsid w:val="00D76451"/>
    <w:rsid w:val="00D7645C"/>
    <w:rsid w:val="00D7652A"/>
    <w:rsid w:val="00D76610"/>
    <w:rsid w:val="00D7666C"/>
    <w:rsid w:val="00D7674C"/>
    <w:rsid w:val="00D7678D"/>
    <w:rsid w:val="00D76813"/>
    <w:rsid w:val="00D76869"/>
    <w:rsid w:val="00D769FF"/>
    <w:rsid w:val="00D76C0F"/>
    <w:rsid w:val="00D76C11"/>
    <w:rsid w:val="00D76C22"/>
    <w:rsid w:val="00D76C2E"/>
    <w:rsid w:val="00D76D21"/>
    <w:rsid w:val="00D76D23"/>
    <w:rsid w:val="00D76D37"/>
    <w:rsid w:val="00D76D5D"/>
    <w:rsid w:val="00D76E35"/>
    <w:rsid w:val="00D76E7E"/>
    <w:rsid w:val="00D76FA0"/>
    <w:rsid w:val="00D7715A"/>
    <w:rsid w:val="00D7719A"/>
    <w:rsid w:val="00D771B1"/>
    <w:rsid w:val="00D771D5"/>
    <w:rsid w:val="00D7722B"/>
    <w:rsid w:val="00D77285"/>
    <w:rsid w:val="00D772F9"/>
    <w:rsid w:val="00D77311"/>
    <w:rsid w:val="00D77319"/>
    <w:rsid w:val="00D7738B"/>
    <w:rsid w:val="00D773C8"/>
    <w:rsid w:val="00D774C3"/>
    <w:rsid w:val="00D774DE"/>
    <w:rsid w:val="00D77515"/>
    <w:rsid w:val="00D77523"/>
    <w:rsid w:val="00D7760C"/>
    <w:rsid w:val="00D77612"/>
    <w:rsid w:val="00D7762E"/>
    <w:rsid w:val="00D776C1"/>
    <w:rsid w:val="00D77704"/>
    <w:rsid w:val="00D7777C"/>
    <w:rsid w:val="00D77780"/>
    <w:rsid w:val="00D77781"/>
    <w:rsid w:val="00D77878"/>
    <w:rsid w:val="00D778CD"/>
    <w:rsid w:val="00D7796C"/>
    <w:rsid w:val="00D779A0"/>
    <w:rsid w:val="00D77A02"/>
    <w:rsid w:val="00D77A37"/>
    <w:rsid w:val="00D77A54"/>
    <w:rsid w:val="00D77A7E"/>
    <w:rsid w:val="00D77B05"/>
    <w:rsid w:val="00D77C6A"/>
    <w:rsid w:val="00D77CBC"/>
    <w:rsid w:val="00D77CBF"/>
    <w:rsid w:val="00D77D1C"/>
    <w:rsid w:val="00D77D21"/>
    <w:rsid w:val="00D77D53"/>
    <w:rsid w:val="00D77D5E"/>
    <w:rsid w:val="00D77E10"/>
    <w:rsid w:val="00D77E7E"/>
    <w:rsid w:val="00D77F83"/>
    <w:rsid w:val="00D77F89"/>
    <w:rsid w:val="00D77FAD"/>
    <w:rsid w:val="00D77FF6"/>
    <w:rsid w:val="00D80049"/>
    <w:rsid w:val="00D80099"/>
    <w:rsid w:val="00D8011E"/>
    <w:rsid w:val="00D801AC"/>
    <w:rsid w:val="00D8023A"/>
    <w:rsid w:val="00D8028E"/>
    <w:rsid w:val="00D802B2"/>
    <w:rsid w:val="00D802BE"/>
    <w:rsid w:val="00D802F6"/>
    <w:rsid w:val="00D8038D"/>
    <w:rsid w:val="00D803BD"/>
    <w:rsid w:val="00D803F7"/>
    <w:rsid w:val="00D80727"/>
    <w:rsid w:val="00D80774"/>
    <w:rsid w:val="00D80796"/>
    <w:rsid w:val="00D807BC"/>
    <w:rsid w:val="00D8087F"/>
    <w:rsid w:val="00D8089E"/>
    <w:rsid w:val="00D809CC"/>
    <w:rsid w:val="00D80A8F"/>
    <w:rsid w:val="00D80B57"/>
    <w:rsid w:val="00D80B90"/>
    <w:rsid w:val="00D80BC4"/>
    <w:rsid w:val="00D80C69"/>
    <w:rsid w:val="00D80CCF"/>
    <w:rsid w:val="00D80D3A"/>
    <w:rsid w:val="00D80D69"/>
    <w:rsid w:val="00D80D9F"/>
    <w:rsid w:val="00D80DFD"/>
    <w:rsid w:val="00D80E17"/>
    <w:rsid w:val="00D80E1D"/>
    <w:rsid w:val="00D80E40"/>
    <w:rsid w:val="00D80E76"/>
    <w:rsid w:val="00D80F36"/>
    <w:rsid w:val="00D80FF7"/>
    <w:rsid w:val="00D81053"/>
    <w:rsid w:val="00D81089"/>
    <w:rsid w:val="00D81184"/>
    <w:rsid w:val="00D8118E"/>
    <w:rsid w:val="00D81195"/>
    <w:rsid w:val="00D811D8"/>
    <w:rsid w:val="00D8127D"/>
    <w:rsid w:val="00D812B6"/>
    <w:rsid w:val="00D812F8"/>
    <w:rsid w:val="00D8132C"/>
    <w:rsid w:val="00D813E6"/>
    <w:rsid w:val="00D8147A"/>
    <w:rsid w:val="00D81490"/>
    <w:rsid w:val="00D814CF"/>
    <w:rsid w:val="00D81505"/>
    <w:rsid w:val="00D81530"/>
    <w:rsid w:val="00D81532"/>
    <w:rsid w:val="00D8155B"/>
    <w:rsid w:val="00D815A3"/>
    <w:rsid w:val="00D815D1"/>
    <w:rsid w:val="00D8165D"/>
    <w:rsid w:val="00D816D3"/>
    <w:rsid w:val="00D8171F"/>
    <w:rsid w:val="00D817F6"/>
    <w:rsid w:val="00D81877"/>
    <w:rsid w:val="00D818B6"/>
    <w:rsid w:val="00D818DB"/>
    <w:rsid w:val="00D81A19"/>
    <w:rsid w:val="00D81B5A"/>
    <w:rsid w:val="00D81BC9"/>
    <w:rsid w:val="00D81BF6"/>
    <w:rsid w:val="00D81C02"/>
    <w:rsid w:val="00D81C0C"/>
    <w:rsid w:val="00D81C30"/>
    <w:rsid w:val="00D81CA3"/>
    <w:rsid w:val="00D81CFE"/>
    <w:rsid w:val="00D81DBA"/>
    <w:rsid w:val="00D81E02"/>
    <w:rsid w:val="00D81E10"/>
    <w:rsid w:val="00D81E48"/>
    <w:rsid w:val="00D81EC4"/>
    <w:rsid w:val="00D81F71"/>
    <w:rsid w:val="00D81FA5"/>
    <w:rsid w:val="00D81FE2"/>
    <w:rsid w:val="00D82032"/>
    <w:rsid w:val="00D820B0"/>
    <w:rsid w:val="00D820F3"/>
    <w:rsid w:val="00D82109"/>
    <w:rsid w:val="00D82164"/>
    <w:rsid w:val="00D82189"/>
    <w:rsid w:val="00D82208"/>
    <w:rsid w:val="00D8225C"/>
    <w:rsid w:val="00D822F9"/>
    <w:rsid w:val="00D8240D"/>
    <w:rsid w:val="00D82414"/>
    <w:rsid w:val="00D824CD"/>
    <w:rsid w:val="00D82542"/>
    <w:rsid w:val="00D8267D"/>
    <w:rsid w:val="00D82692"/>
    <w:rsid w:val="00D826E5"/>
    <w:rsid w:val="00D828C4"/>
    <w:rsid w:val="00D82960"/>
    <w:rsid w:val="00D829D6"/>
    <w:rsid w:val="00D82B5F"/>
    <w:rsid w:val="00D82BF7"/>
    <w:rsid w:val="00D82C56"/>
    <w:rsid w:val="00D82C8C"/>
    <w:rsid w:val="00D82D27"/>
    <w:rsid w:val="00D82E1A"/>
    <w:rsid w:val="00D82E5E"/>
    <w:rsid w:val="00D82E66"/>
    <w:rsid w:val="00D82F0F"/>
    <w:rsid w:val="00D82F28"/>
    <w:rsid w:val="00D82FB4"/>
    <w:rsid w:val="00D8308A"/>
    <w:rsid w:val="00D831E1"/>
    <w:rsid w:val="00D83262"/>
    <w:rsid w:val="00D832BF"/>
    <w:rsid w:val="00D8342E"/>
    <w:rsid w:val="00D83451"/>
    <w:rsid w:val="00D83488"/>
    <w:rsid w:val="00D8353D"/>
    <w:rsid w:val="00D8355A"/>
    <w:rsid w:val="00D8356A"/>
    <w:rsid w:val="00D8357A"/>
    <w:rsid w:val="00D835CA"/>
    <w:rsid w:val="00D836E0"/>
    <w:rsid w:val="00D83743"/>
    <w:rsid w:val="00D837FA"/>
    <w:rsid w:val="00D838B8"/>
    <w:rsid w:val="00D838D2"/>
    <w:rsid w:val="00D838F9"/>
    <w:rsid w:val="00D8399C"/>
    <w:rsid w:val="00D83B08"/>
    <w:rsid w:val="00D83B56"/>
    <w:rsid w:val="00D83C38"/>
    <w:rsid w:val="00D83C63"/>
    <w:rsid w:val="00D83CB8"/>
    <w:rsid w:val="00D83CED"/>
    <w:rsid w:val="00D83D10"/>
    <w:rsid w:val="00D83D49"/>
    <w:rsid w:val="00D83D4D"/>
    <w:rsid w:val="00D83E64"/>
    <w:rsid w:val="00D83F62"/>
    <w:rsid w:val="00D83F6A"/>
    <w:rsid w:val="00D83FAD"/>
    <w:rsid w:val="00D83FCD"/>
    <w:rsid w:val="00D8408F"/>
    <w:rsid w:val="00D8409A"/>
    <w:rsid w:val="00D840BA"/>
    <w:rsid w:val="00D840D1"/>
    <w:rsid w:val="00D841E4"/>
    <w:rsid w:val="00D84278"/>
    <w:rsid w:val="00D8428D"/>
    <w:rsid w:val="00D842A3"/>
    <w:rsid w:val="00D842D1"/>
    <w:rsid w:val="00D842D8"/>
    <w:rsid w:val="00D8432A"/>
    <w:rsid w:val="00D84346"/>
    <w:rsid w:val="00D8455D"/>
    <w:rsid w:val="00D845AB"/>
    <w:rsid w:val="00D8460E"/>
    <w:rsid w:val="00D846B3"/>
    <w:rsid w:val="00D84708"/>
    <w:rsid w:val="00D84788"/>
    <w:rsid w:val="00D847AD"/>
    <w:rsid w:val="00D847E1"/>
    <w:rsid w:val="00D847E6"/>
    <w:rsid w:val="00D8484E"/>
    <w:rsid w:val="00D8489C"/>
    <w:rsid w:val="00D848C1"/>
    <w:rsid w:val="00D848EE"/>
    <w:rsid w:val="00D84911"/>
    <w:rsid w:val="00D84918"/>
    <w:rsid w:val="00D849E0"/>
    <w:rsid w:val="00D849F0"/>
    <w:rsid w:val="00D84A5F"/>
    <w:rsid w:val="00D84B23"/>
    <w:rsid w:val="00D84B43"/>
    <w:rsid w:val="00D84B64"/>
    <w:rsid w:val="00D84BAF"/>
    <w:rsid w:val="00D84CCF"/>
    <w:rsid w:val="00D84D34"/>
    <w:rsid w:val="00D84D7C"/>
    <w:rsid w:val="00D84E5E"/>
    <w:rsid w:val="00D84E9D"/>
    <w:rsid w:val="00D84EAF"/>
    <w:rsid w:val="00D84F27"/>
    <w:rsid w:val="00D85061"/>
    <w:rsid w:val="00D85096"/>
    <w:rsid w:val="00D850AA"/>
    <w:rsid w:val="00D8516F"/>
    <w:rsid w:val="00D85212"/>
    <w:rsid w:val="00D85304"/>
    <w:rsid w:val="00D85398"/>
    <w:rsid w:val="00D853A3"/>
    <w:rsid w:val="00D853EB"/>
    <w:rsid w:val="00D85401"/>
    <w:rsid w:val="00D85560"/>
    <w:rsid w:val="00D855D1"/>
    <w:rsid w:val="00D855E6"/>
    <w:rsid w:val="00D85659"/>
    <w:rsid w:val="00D85695"/>
    <w:rsid w:val="00D856F1"/>
    <w:rsid w:val="00D85787"/>
    <w:rsid w:val="00D8588B"/>
    <w:rsid w:val="00D858C4"/>
    <w:rsid w:val="00D858EC"/>
    <w:rsid w:val="00D85A45"/>
    <w:rsid w:val="00D85A8A"/>
    <w:rsid w:val="00D85ABC"/>
    <w:rsid w:val="00D85BF6"/>
    <w:rsid w:val="00D85C75"/>
    <w:rsid w:val="00D85CB7"/>
    <w:rsid w:val="00D85CBD"/>
    <w:rsid w:val="00D85CF6"/>
    <w:rsid w:val="00D85DEF"/>
    <w:rsid w:val="00D85E5E"/>
    <w:rsid w:val="00D85E64"/>
    <w:rsid w:val="00D85F7D"/>
    <w:rsid w:val="00D85F97"/>
    <w:rsid w:val="00D85F9C"/>
    <w:rsid w:val="00D85FC8"/>
    <w:rsid w:val="00D85FF9"/>
    <w:rsid w:val="00D860B0"/>
    <w:rsid w:val="00D86275"/>
    <w:rsid w:val="00D86281"/>
    <w:rsid w:val="00D86284"/>
    <w:rsid w:val="00D86326"/>
    <w:rsid w:val="00D863D4"/>
    <w:rsid w:val="00D863FC"/>
    <w:rsid w:val="00D86486"/>
    <w:rsid w:val="00D864A7"/>
    <w:rsid w:val="00D865D1"/>
    <w:rsid w:val="00D865DF"/>
    <w:rsid w:val="00D86688"/>
    <w:rsid w:val="00D86711"/>
    <w:rsid w:val="00D867F7"/>
    <w:rsid w:val="00D86894"/>
    <w:rsid w:val="00D8692A"/>
    <w:rsid w:val="00D86963"/>
    <w:rsid w:val="00D86A18"/>
    <w:rsid w:val="00D86A5C"/>
    <w:rsid w:val="00D86A96"/>
    <w:rsid w:val="00D86AE6"/>
    <w:rsid w:val="00D86C21"/>
    <w:rsid w:val="00D86C57"/>
    <w:rsid w:val="00D86C85"/>
    <w:rsid w:val="00D86D5D"/>
    <w:rsid w:val="00D86DB9"/>
    <w:rsid w:val="00D86E49"/>
    <w:rsid w:val="00D86E5A"/>
    <w:rsid w:val="00D86E71"/>
    <w:rsid w:val="00D86EF7"/>
    <w:rsid w:val="00D86F7D"/>
    <w:rsid w:val="00D86F9F"/>
    <w:rsid w:val="00D86FA1"/>
    <w:rsid w:val="00D86FF5"/>
    <w:rsid w:val="00D8707B"/>
    <w:rsid w:val="00D870FE"/>
    <w:rsid w:val="00D8712E"/>
    <w:rsid w:val="00D8719A"/>
    <w:rsid w:val="00D871DB"/>
    <w:rsid w:val="00D87247"/>
    <w:rsid w:val="00D87376"/>
    <w:rsid w:val="00D8738B"/>
    <w:rsid w:val="00D873BD"/>
    <w:rsid w:val="00D87515"/>
    <w:rsid w:val="00D8754E"/>
    <w:rsid w:val="00D875D3"/>
    <w:rsid w:val="00D87710"/>
    <w:rsid w:val="00D87719"/>
    <w:rsid w:val="00D877C5"/>
    <w:rsid w:val="00D87817"/>
    <w:rsid w:val="00D87902"/>
    <w:rsid w:val="00D87AF8"/>
    <w:rsid w:val="00D87B33"/>
    <w:rsid w:val="00D87C47"/>
    <w:rsid w:val="00D87C63"/>
    <w:rsid w:val="00D87CF9"/>
    <w:rsid w:val="00D87D3F"/>
    <w:rsid w:val="00D87D69"/>
    <w:rsid w:val="00D87E26"/>
    <w:rsid w:val="00D87EC6"/>
    <w:rsid w:val="00D87F06"/>
    <w:rsid w:val="00D87F27"/>
    <w:rsid w:val="00D87FEB"/>
    <w:rsid w:val="00D90013"/>
    <w:rsid w:val="00D9006D"/>
    <w:rsid w:val="00D901C1"/>
    <w:rsid w:val="00D902B7"/>
    <w:rsid w:val="00D903D0"/>
    <w:rsid w:val="00D90404"/>
    <w:rsid w:val="00D904F1"/>
    <w:rsid w:val="00D9053F"/>
    <w:rsid w:val="00D90578"/>
    <w:rsid w:val="00D90627"/>
    <w:rsid w:val="00D90653"/>
    <w:rsid w:val="00D906A8"/>
    <w:rsid w:val="00D90837"/>
    <w:rsid w:val="00D9089B"/>
    <w:rsid w:val="00D90918"/>
    <w:rsid w:val="00D90978"/>
    <w:rsid w:val="00D909A9"/>
    <w:rsid w:val="00D909EC"/>
    <w:rsid w:val="00D909F2"/>
    <w:rsid w:val="00D90A3E"/>
    <w:rsid w:val="00D90A91"/>
    <w:rsid w:val="00D90B1A"/>
    <w:rsid w:val="00D90C32"/>
    <w:rsid w:val="00D90C7A"/>
    <w:rsid w:val="00D90CCD"/>
    <w:rsid w:val="00D90D48"/>
    <w:rsid w:val="00D90D72"/>
    <w:rsid w:val="00D90E43"/>
    <w:rsid w:val="00D90E6D"/>
    <w:rsid w:val="00D90EF3"/>
    <w:rsid w:val="00D90F52"/>
    <w:rsid w:val="00D90F74"/>
    <w:rsid w:val="00D90FBC"/>
    <w:rsid w:val="00D90FC6"/>
    <w:rsid w:val="00D9100C"/>
    <w:rsid w:val="00D91017"/>
    <w:rsid w:val="00D91128"/>
    <w:rsid w:val="00D91141"/>
    <w:rsid w:val="00D91145"/>
    <w:rsid w:val="00D911D8"/>
    <w:rsid w:val="00D911DA"/>
    <w:rsid w:val="00D91249"/>
    <w:rsid w:val="00D912BE"/>
    <w:rsid w:val="00D9133D"/>
    <w:rsid w:val="00D913B0"/>
    <w:rsid w:val="00D9146A"/>
    <w:rsid w:val="00D91489"/>
    <w:rsid w:val="00D914BF"/>
    <w:rsid w:val="00D914F6"/>
    <w:rsid w:val="00D915E2"/>
    <w:rsid w:val="00D915FA"/>
    <w:rsid w:val="00D916FA"/>
    <w:rsid w:val="00D9174B"/>
    <w:rsid w:val="00D91752"/>
    <w:rsid w:val="00D91A48"/>
    <w:rsid w:val="00D91A80"/>
    <w:rsid w:val="00D91A9F"/>
    <w:rsid w:val="00D91AEC"/>
    <w:rsid w:val="00D91C48"/>
    <w:rsid w:val="00D91D6C"/>
    <w:rsid w:val="00D91E1C"/>
    <w:rsid w:val="00D91F10"/>
    <w:rsid w:val="00D91F44"/>
    <w:rsid w:val="00D91F77"/>
    <w:rsid w:val="00D920D4"/>
    <w:rsid w:val="00D922EC"/>
    <w:rsid w:val="00D92344"/>
    <w:rsid w:val="00D92390"/>
    <w:rsid w:val="00D923C8"/>
    <w:rsid w:val="00D924BE"/>
    <w:rsid w:val="00D924F6"/>
    <w:rsid w:val="00D92537"/>
    <w:rsid w:val="00D925CA"/>
    <w:rsid w:val="00D92654"/>
    <w:rsid w:val="00D926C8"/>
    <w:rsid w:val="00D92769"/>
    <w:rsid w:val="00D9280D"/>
    <w:rsid w:val="00D92812"/>
    <w:rsid w:val="00D9288A"/>
    <w:rsid w:val="00D928E2"/>
    <w:rsid w:val="00D9293A"/>
    <w:rsid w:val="00D929EF"/>
    <w:rsid w:val="00D92A55"/>
    <w:rsid w:val="00D92ABB"/>
    <w:rsid w:val="00D92B3B"/>
    <w:rsid w:val="00D92B45"/>
    <w:rsid w:val="00D92B6D"/>
    <w:rsid w:val="00D92BA7"/>
    <w:rsid w:val="00D92BB8"/>
    <w:rsid w:val="00D92BE1"/>
    <w:rsid w:val="00D92C18"/>
    <w:rsid w:val="00D92D23"/>
    <w:rsid w:val="00D92D7B"/>
    <w:rsid w:val="00D92E18"/>
    <w:rsid w:val="00D92EA8"/>
    <w:rsid w:val="00D92EC9"/>
    <w:rsid w:val="00D92EDF"/>
    <w:rsid w:val="00D92EE8"/>
    <w:rsid w:val="00D92F08"/>
    <w:rsid w:val="00D93072"/>
    <w:rsid w:val="00D93095"/>
    <w:rsid w:val="00D930AE"/>
    <w:rsid w:val="00D930DD"/>
    <w:rsid w:val="00D9312B"/>
    <w:rsid w:val="00D93238"/>
    <w:rsid w:val="00D9324C"/>
    <w:rsid w:val="00D93379"/>
    <w:rsid w:val="00D933F5"/>
    <w:rsid w:val="00D93412"/>
    <w:rsid w:val="00D93488"/>
    <w:rsid w:val="00D934D2"/>
    <w:rsid w:val="00D9356F"/>
    <w:rsid w:val="00D935D9"/>
    <w:rsid w:val="00D9360B"/>
    <w:rsid w:val="00D9366B"/>
    <w:rsid w:val="00D93719"/>
    <w:rsid w:val="00D93776"/>
    <w:rsid w:val="00D93907"/>
    <w:rsid w:val="00D9397B"/>
    <w:rsid w:val="00D939EE"/>
    <w:rsid w:val="00D93BEA"/>
    <w:rsid w:val="00D93BEF"/>
    <w:rsid w:val="00D93C17"/>
    <w:rsid w:val="00D93C7B"/>
    <w:rsid w:val="00D93D15"/>
    <w:rsid w:val="00D93D4C"/>
    <w:rsid w:val="00D93D81"/>
    <w:rsid w:val="00D93F26"/>
    <w:rsid w:val="00D94019"/>
    <w:rsid w:val="00D9405E"/>
    <w:rsid w:val="00D940AA"/>
    <w:rsid w:val="00D940DB"/>
    <w:rsid w:val="00D9412B"/>
    <w:rsid w:val="00D942C0"/>
    <w:rsid w:val="00D94304"/>
    <w:rsid w:val="00D94307"/>
    <w:rsid w:val="00D944D1"/>
    <w:rsid w:val="00D9453C"/>
    <w:rsid w:val="00D94578"/>
    <w:rsid w:val="00D94589"/>
    <w:rsid w:val="00D94626"/>
    <w:rsid w:val="00D9462F"/>
    <w:rsid w:val="00D94671"/>
    <w:rsid w:val="00D9480C"/>
    <w:rsid w:val="00D94814"/>
    <w:rsid w:val="00D94815"/>
    <w:rsid w:val="00D94874"/>
    <w:rsid w:val="00D94889"/>
    <w:rsid w:val="00D9492F"/>
    <w:rsid w:val="00D94965"/>
    <w:rsid w:val="00D949F1"/>
    <w:rsid w:val="00D94A08"/>
    <w:rsid w:val="00D94AA0"/>
    <w:rsid w:val="00D94AC3"/>
    <w:rsid w:val="00D94AFA"/>
    <w:rsid w:val="00D94B38"/>
    <w:rsid w:val="00D94B8D"/>
    <w:rsid w:val="00D94BF8"/>
    <w:rsid w:val="00D94C5C"/>
    <w:rsid w:val="00D94C95"/>
    <w:rsid w:val="00D94C9A"/>
    <w:rsid w:val="00D94CEE"/>
    <w:rsid w:val="00D94DB7"/>
    <w:rsid w:val="00D94DF8"/>
    <w:rsid w:val="00D94E46"/>
    <w:rsid w:val="00D94E51"/>
    <w:rsid w:val="00D94E53"/>
    <w:rsid w:val="00D94E85"/>
    <w:rsid w:val="00D94EA7"/>
    <w:rsid w:val="00D94FDA"/>
    <w:rsid w:val="00D95037"/>
    <w:rsid w:val="00D95070"/>
    <w:rsid w:val="00D950CD"/>
    <w:rsid w:val="00D95100"/>
    <w:rsid w:val="00D9511D"/>
    <w:rsid w:val="00D951AD"/>
    <w:rsid w:val="00D951E7"/>
    <w:rsid w:val="00D95338"/>
    <w:rsid w:val="00D953AA"/>
    <w:rsid w:val="00D953BF"/>
    <w:rsid w:val="00D95417"/>
    <w:rsid w:val="00D95511"/>
    <w:rsid w:val="00D95623"/>
    <w:rsid w:val="00D95668"/>
    <w:rsid w:val="00D9573B"/>
    <w:rsid w:val="00D95767"/>
    <w:rsid w:val="00D957B1"/>
    <w:rsid w:val="00D958A4"/>
    <w:rsid w:val="00D958BD"/>
    <w:rsid w:val="00D959C7"/>
    <w:rsid w:val="00D95A09"/>
    <w:rsid w:val="00D95A3E"/>
    <w:rsid w:val="00D95A48"/>
    <w:rsid w:val="00D95ACD"/>
    <w:rsid w:val="00D95AD3"/>
    <w:rsid w:val="00D95B94"/>
    <w:rsid w:val="00D95BC0"/>
    <w:rsid w:val="00D95BE7"/>
    <w:rsid w:val="00D95CA9"/>
    <w:rsid w:val="00D95CD9"/>
    <w:rsid w:val="00D9608E"/>
    <w:rsid w:val="00D9610C"/>
    <w:rsid w:val="00D9611C"/>
    <w:rsid w:val="00D961C6"/>
    <w:rsid w:val="00D961D4"/>
    <w:rsid w:val="00D96294"/>
    <w:rsid w:val="00D96298"/>
    <w:rsid w:val="00D962DD"/>
    <w:rsid w:val="00D963AA"/>
    <w:rsid w:val="00D963C4"/>
    <w:rsid w:val="00D96418"/>
    <w:rsid w:val="00D96454"/>
    <w:rsid w:val="00D964A9"/>
    <w:rsid w:val="00D964C4"/>
    <w:rsid w:val="00D96558"/>
    <w:rsid w:val="00D96648"/>
    <w:rsid w:val="00D967EB"/>
    <w:rsid w:val="00D968BC"/>
    <w:rsid w:val="00D96946"/>
    <w:rsid w:val="00D96999"/>
    <w:rsid w:val="00D96A59"/>
    <w:rsid w:val="00D96AC6"/>
    <w:rsid w:val="00D96BEB"/>
    <w:rsid w:val="00D96DB5"/>
    <w:rsid w:val="00D96E28"/>
    <w:rsid w:val="00D96E48"/>
    <w:rsid w:val="00D96E60"/>
    <w:rsid w:val="00D96E81"/>
    <w:rsid w:val="00D96F5B"/>
    <w:rsid w:val="00D96FA7"/>
    <w:rsid w:val="00D96FDE"/>
    <w:rsid w:val="00D97050"/>
    <w:rsid w:val="00D97139"/>
    <w:rsid w:val="00D9713B"/>
    <w:rsid w:val="00D97159"/>
    <w:rsid w:val="00D97194"/>
    <w:rsid w:val="00D971E9"/>
    <w:rsid w:val="00D97242"/>
    <w:rsid w:val="00D97355"/>
    <w:rsid w:val="00D973C2"/>
    <w:rsid w:val="00D974B7"/>
    <w:rsid w:val="00D97623"/>
    <w:rsid w:val="00D9767F"/>
    <w:rsid w:val="00D976C7"/>
    <w:rsid w:val="00D977D0"/>
    <w:rsid w:val="00D97872"/>
    <w:rsid w:val="00D97895"/>
    <w:rsid w:val="00D97A49"/>
    <w:rsid w:val="00D97A78"/>
    <w:rsid w:val="00D97B50"/>
    <w:rsid w:val="00D97C79"/>
    <w:rsid w:val="00D97C9E"/>
    <w:rsid w:val="00D97CEE"/>
    <w:rsid w:val="00D97D4A"/>
    <w:rsid w:val="00D97DFC"/>
    <w:rsid w:val="00D97E25"/>
    <w:rsid w:val="00D97E36"/>
    <w:rsid w:val="00D97F1B"/>
    <w:rsid w:val="00D97F80"/>
    <w:rsid w:val="00D97FC0"/>
    <w:rsid w:val="00DA0081"/>
    <w:rsid w:val="00DA00FD"/>
    <w:rsid w:val="00DA019F"/>
    <w:rsid w:val="00DA0220"/>
    <w:rsid w:val="00DA023C"/>
    <w:rsid w:val="00DA0382"/>
    <w:rsid w:val="00DA03A8"/>
    <w:rsid w:val="00DA046D"/>
    <w:rsid w:val="00DA047C"/>
    <w:rsid w:val="00DA04EA"/>
    <w:rsid w:val="00DA0536"/>
    <w:rsid w:val="00DA0576"/>
    <w:rsid w:val="00DA05F9"/>
    <w:rsid w:val="00DA0616"/>
    <w:rsid w:val="00DA0695"/>
    <w:rsid w:val="00DA06ED"/>
    <w:rsid w:val="00DA07A4"/>
    <w:rsid w:val="00DA07D0"/>
    <w:rsid w:val="00DA08F2"/>
    <w:rsid w:val="00DA0975"/>
    <w:rsid w:val="00DA0978"/>
    <w:rsid w:val="00DA0A55"/>
    <w:rsid w:val="00DA0A5E"/>
    <w:rsid w:val="00DA0A7C"/>
    <w:rsid w:val="00DA0ADC"/>
    <w:rsid w:val="00DA0AFF"/>
    <w:rsid w:val="00DA0C07"/>
    <w:rsid w:val="00DA0C85"/>
    <w:rsid w:val="00DA0CA6"/>
    <w:rsid w:val="00DA0D98"/>
    <w:rsid w:val="00DA0DBE"/>
    <w:rsid w:val="00DA0E96"/>
    <w:rsid w:val="00DA0EE7"/>
    <w:rsid w:val="00DA0F40"/>
    <w:rsid w:val="00DA0FEE"/>
    <w:rsid w:val="00DA10EE"/>
    <w:rsid w:val="00DA117F"/>
    <w:rsid w:val="00DA1194"/>
    <w:rsid w:val="00DA11A5"/>
    <w:rsid w:val="00DA1292"/>
    <w:rsid w:val="00DA12B1"/>
    <w:rsid w:val="00DA1351"/>
    <w:rsid w:val="00DA143C"/>
    <w:rsid w:val="00DA1442"/>
    <w:rsid w:val="00DA1488"/>
    <w:rsid w:val="00DA160F"/>
    <w:rsid w:val="00DA1683"/>
    <w:rsid w:val="00DA1736"/>
    <w:rsid w:val="00DA1744"/>
    <w:rsid w:val="00DA18C6"/>
    <w:rsid w:val="00DA193A"/>
    <w:rsid w:val="00DA193C"/>
    <w:rsid w:val="00DA1A3B"/>
    <w:rsid w:val="00DA1AC2"/>
    <w:rsid w:val="00DA1B39"/>
    <w:rsid w:val="00DA1B5D"/>
    <w:rsid w:val="00DA1B8A"/>
    <w:rsid w:val="00DA1BB4"/>
    <w:rsid w:val="00DA1BEB"/>
    <w:rsid w:val="00DA1CD2"/>
    <w:rsid w:val="00DA1D98"/>
    <w:rsid w:val="00DA1DB8"/>
    <w:rsid w:val="00DA1E28"/>
    <w:rsid w:val="00DA1EDC"/>
    <w:rsid w:val="00DA1F0F"/>
    <w:rsid w:val="00DA1F70"/>
    <w:rsid w:val="00DA1F9B"/>
    <w:rsid w:val="00DA1FC1"/>
    <w:rsid w:val="00DA1FDE"/>
    <w:rsid w:val="00DA200F"/>
    <w:rsid w:val="00DA2104"/>
    <w:rsid w:val="00DA2265"/>
    <w:rsid w:val="00DA231F"/>
    <w:rsid w:val="00DA23F2"/>
    <w:rsid w:val="00DA246A"/>
    <w:rsid w:val="00DA257B"/>
    <w:rsid w:val="00DA25B8"/>
    <w:rsid w:val="00DA2613"/>
    <w:rsid w:val="00DA273F"/>
    <w:rsid w:val="00DA2762"/>
    <w:rsid w:val="00DA277A"/>
    <w:rsid w:val="00DA2870"/>
    <w:rsid w:val="00DA2951"/>
    <w:rsid w:val="00DA29B0"/>
    <w:rsid w:val="00DA2A0E"/>
    <w:rsid w:val="00DA2A31"/>
    <w:rsid w:val="00DA2A7C"/>
    <w:rsid w:val="00DA2B37"/>
    <w:rsid w:val="00DA2B5C"/>
    <w:rsid w:val="00DA2BED"/>
    <w:rsid w:val="00DA2BFE"/>
    <w:rsid w:val="00DA2F3C"/>
    <w:rsid w:val="00DA305B"/>
    <w:rsid w:val="00DA30ED"/>
    <w:rsid w:val="00DA312C"/>
    <w:rsid w:val="00DA31BD"/>
    <w:rsid w:val="00DA31ED"/>
    <w:rsid w:val="00DA32BF"/>
    <w:rsid w:val="00DA32CF"/>
    <w:rsid w:val="00DA3369"/>
    <w:rsid w:val="00DA33AC"/>
    <w:rsid w:val="00DA33B0"/>
    <w:rsid w:val="00DA33F4"/>
    <w:rsid w:val="00DA347E"/>
    <w:rsid w:val="00DA35B3"/>
    <w:rsid w:val="00DA35B4"/>
    <w:rsid w:val="00DA3656"/>
    <w:rsid w:val="00DA36C2"/>
    <w:rsid w:val="00DA36EB"/>
    <w:rsid w:val="00DA3708"/>
    <w:rsid w:val="00DA370D"/>
    <w:rsid w:val="00DA37D6"/>
    <w:rsid w:val="00DA3873"/>
    <w:rsid w:val="00DA38AD"/>
    <w:rsid w:val="00DA38C6"/>
    <w:rsid w:val="00DA394E"/>
    <w:rsid w:val="00DA3952"/>
    <w:rsid w:val="00DA39A2"/>
    <w:rsid w:val="00DA39A5"/>
    <w:rsid w:val="00DA39B3"/>
    <w:rsid w:val="00DA39DC"/>
    <w:rsid w:val="00DA3A26"/>
    <w:rsid w:val="00DA3A90"/>
    <w:rsid w:val="00DA3AD4"/>
    <w:rsid w:val="00DA3C63"/>
    <w:rsid w:val="00DA3C75"/>
    <w:rsid w:val="00DA3CDF"/>
    <w:rsid w:val="00DA3CF7"/>
    <w:rsid w:val="00DA3D13"/>
    <w:rsid w:val="00DA3D44"/>
    <w:rsid w:val="00DA3E81"/>
    <w:rsid w:val="00DA3F50"/>
    <w:rsid w:val="00DA3F52"/>
    <w:rsid w:val="00DA418B"/>
    <w:rsid w:val="00DA4232"/>
    <w:rsid w:val="00DA42BF"/>
    <w:rsid w:val="00DA43EC"/>
    <w:rsid w:val="00DA4422"/>
    <w:rsid w:val="00DA4563"/>
    <w:rsid w:val="00DA4732"/>
    <w:rsid w:val="00DA47B7"/>
    <w:rsid w:val="00DA485F"/>
    <w:rsid w:val="00DA48DC"/>
    <w:rsid w:val="00DA48F5"/>
    <w:rsid w:val="00DA494C"/>
    <w:rsid w:val="00DA499C"/>
    <w:rsid w:val="00DA49EF"/>
    <w:rsid w:val="00DA4A06"/>
    <w:rsid w:val="00DA4A1E"/>
    <w:rsid w:val="00DA4A23"/>
    <w:rsid w:val="00DA4A6D"/>
    <w:rsid w:val="00DA4AE7"/>
    <w:rsid w:val="00DA4B71"/>
    <w:rsid w:val="00DA4C81"/>
    <w:rsid w:val="00DA4C9C"/>
    <w:rsid w:val="00DA4CE2"/>
    <w:rsid w:val="00DA4CED"/>
    <w:rsid w:val="00DA4D99"/>
    <w:rsid w:val="00DA4DA0"/>
    <w:rsid w:val="00DA4DCD"/>
    <w:rsid w:val="00DA4E4D"/>
    <w:rsid w:val="00DA4ECF"/>
    <w:rsid w:val="00DA4EDE"/>
    <w:rsid w:val="00DA4F08"/>
    <w:rsid w:val="00DA4F42"/>
    <w:rsid w:val="00DA4F7A"/>
    <w:rsid w:val="00DA4F9B"/>
    <w:rsid w:val="00DA4FB2"/>
    <w:rsid w:val="00DA4FFF"/>
    <w:rsid w:val="00DA5018"/>
    <w:rsid w:val="00DA5020"/>
    <w:rsid w:val="00DA5022"/>
    <w:rsid w:val="00DA507F"/>
    <w:rsid w:val="00DA509C"/>
    <w:rsid w:val="00DA50D9"/>
    <w:rsid w:val="00DA50E9"/>
    <w:rsid w:val="00DA5144"/>
    <w:rsid w:val="00DA5157"/>
    <w:rsid w:val="00DA519E"/>
    <w:rsid w:val="00DA51BF"/>
    <w:rsid w:val="00DA51DD"/>
    <w:rsid w:val="00DA51DF"/>
    <w:rsid w:val="00DA525D"/>
    <w:rsid w:val="00DA529A"/>
    <w:rsid w:val="00DA52B3"/>
    <w:rsid w:val="00DA52DB"/>
    <w:rsid w:val="00DA52E0"/>
    <w:rsid w:val="00DA5399"/>
    <w:rsid w:val="00DA542C"/>
    <w:rsid w:val="00DA5522"/>
    <w:rsid w:val="00DA558C"/>
    <w:rsid w:val="00DA5637"/>
    <w:rsid w:val="00DA567A"/>
    <w:rsid w:val="00DA57BE"/>
    <w:rsid w:val="00DA581E"/>
    <w:rsid w:val="00DA5857"/>
    <w:rsid w:val="00DA58FC"/>
    <w:rsid w:val="00DA5916"/>
    <w:rsid w:val="00DA5956"/>
    <w:rsid w:val="00DA599C"/>
    <w:rsid w:val="00DA59A5"/>
    <w:rsid w:val="00DA59B7"/>
    <w:rsid w:val="00DA59B8"/>
    <w:rsid w:val="00DA5A3A"/>
    <w:rsid w:val="00DA5AA5"/>
    <w:rsid w:val="00DA5AC7"/>
    <w:rsid w:val="00DA5B55"/>
    <w:rsid w:val="00DA5C22"/>
    <w:rsid w:val="00DA5C28"/>
    <w:rsid w:val="00DA5C79"/>
    <w:rsid w:val="00DA5DE9"/>
    <w:rsid w:val="00DA5EB7"/>
    <w:rsid w:val="00DA5EEE"/>
    <w:rsid w:val="00DA5F42"/>
    <w:rsid w:val="00DA5FBA"/>
    <w:rsid w:val="00DA604D"/>
    <w:rsid w:val="00DA60DE"/>
    <w:rsid w:val="00DA60E8"/>
    <w:rsid w:val="00DA60FD"/>
    <w:rsid w:val="00DA6100"/>
    <w:rsid w:val="00DA6138"/>
    <w:rsid w:val="00DA616E"/>
    <w:rsid w:val="00DA6175"/>
    <w:rsid w:val="00DA625A"/>
    <w:rsid w:val="00DA6370"/>
    <w:rsid w:val="00DA63F0"/>
    <w:rsid w:val="00DA63F4"/>
    <w:rsid w:val="00DA646F"/>
    <w:rsid w:val="00DA65F9"/>
    <w:rsid w:val="00DA67F8"/>
    <w:rsid w:val="00DA68AA"/>
    <w:rsid w:val="00DA6A06"/>
    <w:rsid w:val="00DA6ADD"/>
    <w:rsid w:val="00DA6B6D"/>
    <w:rsid w:val="00DA6B7A"/>
    <w:rsid w:val="00DA6C04"/>
    <w:rsid w:val="00DA6C77"/>
    <w:rsid w:val="00DA6CD7"/>
    <w:rsid w:val="00DA6D2C"/>
    <w:rsid w:val="00DA6D6B"/>
    <w:rsid w:val="00DA6E04"/>
    <w:rsid w:val="00DA6E2D"/>
    <w:rsid w:val="00DA6EA6"/>
    <w:rsid w:val="00DA6EC7"/>
    <w:rsid w:val="00DA6F6A"/>
    <w:rsid w:val="00DA700B"/>
    <w:rsid w:val="00DA703E"/>
    <w:rsid w:val="00DA7042"/>
    <w:rsid w:val="00DA70BC"/>
    <w:rsid w:val="00DA7118"/>
    <w:rsid w:val="00DA7145"/>
    <w:rsid w:val="00DA728B"/>
    <w:rsid w:val="00DA732E"/>
    <w:rsid w:val="00DA7352"/>
    <w:rsid w:val="00DA748D"/>
    <w:rsid w:val="00DA755C"/>
    <w:rsid w:val="00DA75B6"/>
    <w:rsid w:val="00DA75E1"/>
    <w:rsid w:val="00DA7685"/>
    <w:rsid w:val="00DA7838"/>
    <w:rsid w:val="00DA7A4A"/>
    <w:rsid w:val="00DA7BB8"/>
    <w:rsid w:val="00DA7D8C"/>
    <w:rsid w:val="00DA7DA6"/>
    <w:rsid w:val="00DA7DB4"/>
    <w:rsid w:val="00DA7DBC"/>
    <w:rsid w:val="00DA7DC2"/>
    <w:rsid w:val="00DA7DF5"/>
    <w:rsid w:val="00DA7DFD"/>
    <w:rsid w:val="00DA7F11"/>
    <w:rsid w:val="00DAFC41"/>
    <w:rsid w:val="00DB0052"/>
    <w:rsid w:val="00DB0133"/>
    <w:rsid w:val="00DB0190"/>
    <w:rsid w:val="00DB0199"/>
    <w:rsid w:val="00DB01D9"/>
    <w:rsid w:val="00DB025D"/>
    <w:rsid w:val="00DB0285"/>
    <w:rsid w:val="00DB02C4"/>
    <w:rsid w:val="00DB032F"/>
    <w:rsid w:val="00DB0397"/>
    <w:rsid w:val="00DB0436"/>
    <w:rsid w:val="00DB04B7"/>
    <w:rsid w:val="00DB04B8"/>
    <w:rsid w:val="00DB04E4"/>
    <w:rsid w:val="00DB054E"/>
    <w:rsid w:val="00DB057A"/>
    <w:rsid w:val="00DB0669"/>
    <w:rsid w:val="00DB06AC"/>
    <w:rsid w:val="00DB06C3"/>
    <w:rsid w:val="00DB06E3"/>
    <w:rsid w:val="00DB075B"/>
    <w:rsid w:val="00DB077B"/>
    <w:rsid w:val="00DB0782"/>
    <w:rsid w:val="00DB07DE"/>
    <w:rsid w:val="00DB0874"/>
    <w:rsid w:val="00DB087A"/>
    <w:rsid w:val="00DB08D7"/>
    <w:rsid w:val="00DB09AF"/>
    <w:rsid w:val="00DB09CD"/>
    <w:rsid w:val="00DB0B7D"/>
    <w:rsid w:val="00DB0C93"/>
    <w:rsid w:val="00DB0D07"/>
    <w:rsid w:val="00DB0D52"/>
    <w:rsid w:val="00DB0D5B"/>
    <w:rsid w:val="00DB0D8B"/>
    <w:rsid w:val="00DB0DB4"/>
    <w:rsid w:val="00DB0DE0"/>
    <w:rsid w:val="00DB0DE2"/>
    <w:rsid w:val="00DB0EAE"/>
    <w:rsid w:val="00DB0FE6"/>
    <w:rsid w:val="00DB1025"/>
    <w:rsid w:val="00DB1151"/>
    <w:rsid w:val="00DB11D8"/>
    <w:rsid w:val="00DB132F"/>
    <w:rsid w:val="00DB1550"/>
    <w:rsid w:val="00DB15C9"/>
    <w:rsid w:val="00DB15D6"/>
    <w:rsid w:val="00DB15DB"/>
    <w:rsid w:val="00DB15FA"/>
    <w:rsid w:val="00DB167C"/>
    <w:rsid w:val="00DB1711"/>
    <w:rsid w:val="00DB1720"/>
    <w:rsid w:val="00DB1745"/>
    <w:rsid w:val="00DB1753"/>
    <w:rsid w:val="00DB1791"/>
    <w:rsid w:val="00DB17D2"/>
    <w:rsid w:val="00DB1834"/>
    <w:rsid w:val="00DB1841"/>
    <w:rsid w:val="00DB1851"/>
    <w:rsid w:val="00DB18C0"/>
    <w:rsid w:val="00DB197E"/>
    <w:rsid w:val="00DB198F"/>
    <w:rsid w:val="00DB19AB"/>
    <w:rsid w:val="00DB1A0D"/>
    <w:rsid w:val="00DB1B1E"/>
    <w:rsid w:val="00DB1C9C"/>
    <w:rsid w:val="00DB1D03"/>
    <w:rsid w:val="00DB1D82"/>
    <w:rsid w:val="00DB1F89"/>
    <w:rsid w:val="00DB206F"/>
    <w:rsid w:val="00DB2136"/>
    <w:rsid w:val="00DB2217"/>
    <w:rsid w:val="00DB2222"/>
    <w:rsid w:val="00DB22DE"/>
    <w:rsid w:val="00DB240B"/>
    <w:rsid w:val="00DB24D3"/>
    <w:rsid w:val="00DB2639"/>
    <w:rsid w:val="00DB26AE"/>
    <w:rsid w:val="00DB27F2"/>
    <w:rsid w:val="00DB27FC"/>
    <w:rsid w:val="00DB283E"/>
    <w:rsid w:val="00DB28A1"/>
    <w:rsid w:val="00DB292D"/>
    <w:rsid w:val="00DB294B"/>
    <w:rsid w:val="00DB2AD1"/>
    <w:rsid w:val="00DB2AF5"/>
    <w:rsid w:val="00DB2BB1"/>
    <w:rsid w:val="00DB2C02"/>
    <w:rsid w:val="00DB2C6E"/>
    <w:rsid w:val="00DB2C76"/>
    <w:rsid w:val="00DB2CF1"/>
    <w:rsid w:val="00DB2DB4"/>
    <w:rsid w:val="00DB2E3A"/>
    <w:rsid w:val="00DB2EEA"/>
    <w:rsid w:val="00DB2EEE"/>
    <w:rsid w:val="00DB30F0"/>
    <w:rsid w:val="00DB3144"/>
    <w:rsid w:val="00DB317F"/>
    <w:rsid w:val="00DB318C"/>
    <w:rsid w:val="00DB31BF"/>
    <w:rsid w:val="00DB323D"/>
    <w:rsid w:val="00DB3254"/>
    <w:rsid w:val="00DB32F0"/>
    <w:rsid w:val="00DB333E"/>
    <w:rsid w:val="00DB340B"/>
    <w:rsid w:val="00DB345E"/>
    <w:rsid w:val="00DB3462"/>
    <w:rsid w:val="00DB34BB"/>
    <w:rsid w:val="00DB34BF"/>
    <w:rsid w:val="00DB34F2"/>
    <w:rsid w:val="00DB3515"/>
    <w:rsid w:val="00DB354B"/>
    <w:rsid w:val="00DB3553"/>
    <w:rsid w:val="00DB35A2"/>
    <w:rsid w:val="00DB3605"/>
    <w:rsid w:val="00DB36AE"/>
    <w:rsid w:val="00DB36FC"/>
    <w:rsid w:val="00DB3774"/>
    <w:rsid w:val="00DB37E5"/>
    <w:rsid w:val="00DB3872"/>
    <w:rsid w:val="00DB38A4"/>
    <w:rsid w:val="00DB39B9"/>
    <w:rsid w:val="00DB39CC"/>
    <w:rsid w:val="00DB3A20"/>
    <w:rsid w:val="00DB3A6E"/>
    <w:rsid w:val="00DB3B7E"/>
    <w:rsid w:val="00DB3B8E"/>
    <w:rsid w:val="00DB3CCF"/>
    <w:rsid w:val="00DB3D2B"/>
    <w:rsid w:val="00DB3DD4"/>
    <w:rsid w:val="00DB3E36"/>
    <w:rsid w:val="00DB3E55"/>
    <w:rsid w:val="00DB3EA0"/>
    <w:rsid w:val="00DB3EDE"/>
    <w:rsid w:val="00DB3EE6"/>
    <w:rsid w:val="00DB4033"/>
    <w:rsid w:val="00DB4045"/>
    <w:rsid w:val="00DB4074"/>
    <w:rsid w:val="00DB407B"/>
    <w:rsid w:val="00DB40FB"/>
    <w:rsid w:val="00DB4191"/>
    <w:rsid w:val="00DB41BA"/>
    <w:rsid w:val="00DB41CC"/>
    <w:rsid w:val="00DB42C7"/>
    <w:rsid w:val="00DB4328"/>
    <w:rsid w:val="00DB438D"/>
    <w:rsid w:val="00DB43B3"/>
    <w:rsid w:val="00DB43E6"/>
    <w:rsid w:val="00DB43E9"/>
    <w:rsid w:val="00DB4415"/>
    <w:rsid w:val="00DB4424"/>
    <w:rsid w:val="00DB4495"/>
    <w:rsid w:val="00DB462F"/>
    <w:rsid w:val="00DB46C9"/>
    <w:rsid w:val="00DB472B"/>
    <w:rsid w:val="00DB4779"/>
    <w:rsid w:val="00DB477E"/>
    <w:rsid w:val="00DB47CD"/>
    <w:rsid w:val="00DB4839"/>
    <w:rsid w:val="00DB4974"/>
    <w:rsid w:val="00DB49FA"/>
    <w:rsid w:val="00DB4A09"/>
    <w:rsid w:val="00DB4A46"/>
    <w:rsid w:val="00DB4A7F"/>
    <w:rsid w:val="00DB4B1A"/>
    <w:rsid w:val="00DB4C62"/>
    <w:rsid w:val="00DB4C6B"/>
    <w:rsid w:val="00DB4CB6"/>
    <w:rsid w:val="00DB4D28"/>
    <w:rsid w:val="00DB4DB6"/>
    <w:rsid w:val="00DB4E4F"/>
    <w:rsid w:val="00DB4F12"/>
    <w:rsid w:val="00DB5002"/>
    <w:rsid w:val="00DB5016"/>
    <w:rsid w:val="00DB50C6"/>
    <w:rsid w:val="00DB50DD"/>
    <w:rsid w:val="00DB5124"/>
    <w:rsid w:val="00DB5125"/>
    <w:rsid w:val="00DB515D"/>
    <w:rsid w:val="00DB519E"/>
    <w:rsid w:val="00DB527F"/>
    <w:rsid w:val="00DB52C7"/>
    <w:rsid w:val="00DB5304"/>
    <w:rsid w:val="00DB5351"/>
    <w:rsid w:val="00DB535E"/>
    <w:rsid w:val="00DB53C1"/>
    <w:rsid w:val="00DB53DE"/>
    <w:rsid w:val="00DB553B"/>
    <w:rsid w:val="00DB5574"/>
    <w:rsid w:val="00DB557E"/>
    <w:rsid w:val="00DB55D2"/>
    <w:rsid w:val="00DB56D9"/>
    <w:rsid w:val="00DB57C1"/>
    <w:rsid w:val="00DB57E7"/>
    <w:rsid w:val="00DB5825"/>
    <w:rsid w:val="00DB5950"/>
    <w:rsid w:val="00DB5958"/>
    <w:rsid w:val="00DB59BF"/>
    <w:rsid w:val="00DB59E3"/>
    <w:rsid w:val="00DB5A3C"/>
    <w:rsid w:val="00DB5A8A"/>
    <w:rsid w:val="00DB5B1A"/>
    <w:rsid w:val="00DB5BA2"/>
    <w:rsid w:val="00DB5C2C"/>
    <w:rsid w:val="00DB5CB0"/>
    <w:rsid w:val="00DB5D7A"/>
    <w:rsid w:val="00DB5DBD"/>
    <w:rsid w:val="00DB5F64"/>
    <w:rsid w:val="00DB5F9A"/>
    <w:rsid w:val="00DB613C"/>
    <w:rsid w:val="00DB6142"/>
    <w:rsid w:val="00DB6171"/>
    <w:rsid w:val="00DB62A7"/>
    <w:rsid w:val="00DB62C2"/>
    <w:rsid w:val="00DB6339"/>
    <w:rsid w:val="00DB6377"/>
    <w:rsid w:val="00DB643C"/>
    <w:rsid w:val="00DB64B5"/>
    <w:rsid w:val="00DB65DA"/>
    <w:rsid w:val="00DB6614"/>
    <w:rsid w:val="00DB661C"/>
    <w:rsid w:val="00DB664A"/>
    <w:rsid w:val="00DB67AE"/>
    <w:rsid w:val="00DB6874"/>
    <w:rsid w:val="00DB68A4"/>
    <w:rsid w:val="00DB69D6"/>
    <w:rsid w:val="00DB69E2"/>
    <w:rsid w:val="00DB6A45"/>
    <w:rsid w:val="00DB6AE3"/>
    <w:rsid w:val="00DB6B33"/>
    <w:rsid w:val="00DB6B8D"/>
    <w:rsid w:val="00DB6BB5"/>
    <w:rsid w:val="00DB6BEB"/>
    <w:rsid w:val="00DB6CC7"/>
    <w:rsid w:val="00DB6DC9"/>
    <w:rsid w:val="00DB6E55"/>
    <w:rsid w:val="00DB6F06"/>
    <w:rsid w:val="00DB6F65"/>
    <w:rsid w:val="00DB6FF6"/>
    <w:rsid w:val="00DB7108"/>
    <w:rsid w:val="00DB71D0"/>
    <w:rsid w:val="00DB71F4"/>
    <w:rsid w:val="00DB7221"/>
    <w:rsid w:val="00DB72E6"/>
    <w:rsid w:val="00DB736E"/>
    <w:rsid w:val="00DB7390"/>
    <w:rsid w:val="00DB7544"/>
    <w:rsid w:val="00DB755D"/>
    <w:rsid w:val="00DB7567"/>
    <w:rsid w:val="00DB7584"/>
    <w:rsid w:val="00DB758A"/>
    <w:rsid w:val="00DB75D9"/>
    <w:rsid w:val="00DB7629"/>
    <w:rsid w:val="00DB763E"/>
    <w:rsid w:val="00DB776D"/>
    <w:rsid w:val="00DB7771"/>
    <w:rsid w:val="00DB77B0"/>
    <w:rsid w:val="00DB77F5"/>
    <w:rsid w:val="00DB78E9"/>
    <w:rsid w:val="00DB7953"/>
    <w:rsid w:val="00DB79E4"/>
    <w:rsid w:val="00DB7AE2"/>
    <w:rsid w:val="00DB7B52"/>
    <w:rsid w:val="00DB7B66"/>
    <w:rsid w:val="00DB7B85"/>
    <w:rsid w:val="00DB7BF0"/>
    <w:rsid w:val="00DB7CAF"/>
    <w:rsid w:val="00DB7CEE"/>
    <w:rsid w:val="00DB7E27"/>
    <w:rsid w:val="00DB7E7B"/>
    <w:rsid w:val="00DB7F25"/>
    <w:rsid w:val="00DB7F31"/>
    <w:rsid w:val="00DB7F74"/>
    <w:rsid w:val="00DB7FE6"/>
    <w:rsid w:val="00DC00E6"/>
    <w:rsid w:val="00DC0113"/>
    <w:rsid w:val="00DC0115"/>
    <w:rsid w:val="00DC0170"/>
    <w:rsid w:val="00DC023D"/>
    <w:rsid w:val="00DC028C"/>
    <w:rsid w:val="00DC032A"/>
    <w:rsid w:val="00DC0352"/>
    <w:rsid w:val="00DC035C"/>
    <w:rsid w:val="00DC03D7"/>
    <w:rsid w:val="00DC0439"/>
    <w:rsid w:val="00DC0448"/>
    <w:rsid w:val="00DC047E"/>
    <w:rsid w:val="00DC0511"/>
    <w:rsid w:val="00DC06AB"/>
    <w:rsid w:val="00DC06D8"/>
    <w:rsid w:val="00DC06E7"/>
    <w:rsid w:val="00DC0737"/>
    <w:rsid w:val="00DC0822"/>
    <w:rsid w:val="00DC085C"/>
    <w:rsid w:val="00DC08BE"/>
    <w:rsid w:val="00DC08E2"/>
    <w:rsid w:val="00DC0944"/>
    <w:rsid w:val="00DC0984"/>
    <w:rsid w:val="00DC0A0C"/>
    <w:rsid w:val="00DC0AB3"/>
    <w:rsid w:val="00DC0B7D"/>
    <w:rsid w:val="00DC0BB8"/>
    <w:rsid w:val="00DC0BEB"/>
    <w:rsid w:val="00DC0CC2"/>
    <w:rsid w:val="00DC0CE0"/>
    <w:rsid w:val="00DC0D16"/>
    <w:rsid w:val="00DC0DB9"/>
    <w:rsid w:val="00DC0E3A"/>
    <w:rsid w:val="00DC0E63"/>
    <w:rsid w:val="00DC0E6A"/>
    <w:rsid w:val="00DC0F1D"/>
    <w:rsid w:val="00DC100A"/>
    <w:rsid w:val="00DC1035"/>
    <w:rsid w:val="00DC10B3"/>
    <w:rsid w:val="00DC10BA"/>
    <w:rsid w:val="00DC10EC"/>
    <w:rsid w:val="00DC111C"/>
    <w:rsid w:val="00DC113B"/>
    <w:rsid w:val="00DC1272"/>
    <w:rsid w:val="00DC12D8"/>
    <w:rsid w:val="00DC1304"/>
    <w:rsid w:val="00DC134D"/>
    <w:rsid w:val="00DC1396"/>
    <w:rsid w:val="00DC139B"/>
    <w:rsid w:val="00DC1664"/>
    <w:rsid w:val="00DC16AA"/>
    <w:rsid w:val="00DC1808"/>
    <w:rsid w:val="00DC1891"/>
    <w:rsid w:val="00DC18BF"/>
    <w:rsid w:val="00DC18FC"/>
    <w:rsid w:val="00DC19AF"/>
    <w:rsid w:val="00DC19CA"/>
    <w:rsid w:val="00DC1A9D"/>
    <w:rsid w:val="00DC1B13"/>
    <w:rsid w:val="00DC1B42"/>
    <w:rsid w:val="00DC1B9D"/>
    <w:rsid w:val="00DC1C6A"/>
    <w:rsid w:val="00DC1CA7"/>
    <w:rsid w:val="00DC1EF5"/>
    <w:rsid w:val="00DC1F92"/>
    <w:rsid w:val="00DC1FA9"/>
    <w:rsid w:val="00DC2071"/>
    <w:rsid w:val="00DC2123"/>
    <w:rsid w:val="00DC2163"/>
    <w:rsid w:val="00DC220B"/>
    <w:rsid w:val="00DC226D"/>
    <w:rsid w:val="00DC229F"/>
    <w:rsid w:val="00DC22BA"/>
    <w:rsid w:val="00DC22F5"/>
    <w:rsid w:val="00DC2330"/>
    <w:rsid w:val="00DC239E"/>
    <w:rsid w:val="00DC24EC"/>
    <w:rsid w:val="00DC259F"/>
    <w:rsid w:val="00DC25E3"/>
    <w:rsid w:val="00DC26FE"/>
    <w:rsid w:val="00DC2731"/>
    <w:rsid w:val="00DC278F"/>
    <w:rsid w:val="00DC27A9"/>
    <w:rsid w:val="00DC2813"/>
    <w:rsid w:val="00DC2834"/>
    <w:rsid w:val="00DC2915"/>
    <w:rsid w:val="00DC29D6"/>
    <w:rsid w:val="00DC2B03"/>
    <w:rsid w:val="00DC2B04"/>
    <w:rsid w:val="00DC2B3F"/>
    <w:rsid w:val="00DC2B73"/>
    <w:rsid w:val="00DC2C34"/>
    <w:rsid w:val="00DC2C76"/>
    <w:rsid w:val="00DC2C91"/>
    <w:rsid w:val="00DC2CD8"/>
    <w:rsid w:val="00DC2CFC"/>
    <w:rsid w:val="00DC3030"/>
    <w:rsid w:val="00DC3160"/>
    <w:rsid w:val="00DC31C1"/>
    <w:rsid w:val="00DC3259"/>
    <w:rsid w:val="00DC32B3"/>
    <w:rsid w:val="00DC331B"/>
    <w:rsid w:val="00DC331C"/>
    <w:rsid w:val="00DC3351"/>
    <w:rsid w:val="00DC3380"/>
    <w:rsid w:val="00DC33A1"/>
    <w:rsid w:val="00DC33A4"/>
    <w:rsid w:val="00DC341D"/>
    <w:rsid w:val="00DC344B"/>
    <w:rsid w:val="00DC3458"/>
    <w:rsid w:val="00DC34B2"/>
    <w:rsid w:val="00DC350D"/>
    <w:rsid w:val="00DC370F"/>
    <w:rsid w:val="00DC3745"/>
    <w:rsid w:val="00DC378F"/>
    <w:rsid w:val="00DC37B1"/>
    <w:rsid w:val="00DC3811"/>
    <w:rsid w:val="00DC387D"/>
    <w:rsid w:val="00DC38A6"/>
    <w:rsid w:val="00DC38B3"/>
    <w:rsid w:val="00DC38E1"/>
    <w:rsid w:val="00DC399E"/>
    <w:rsid w:val="00DC39ED"/>
    <w:rsid w:val="00DC3A80"/>
    <w:rsid w:val="00DC3C5F"/>
    <w:rsid w:val="00DC3D09"/>
    <w:rsid w:val="00DC3D0C"/>
    <w:rsid w:val="00DC3E1E"/>
    <w:rsid w:val="00DC3ED6"/>
    <w:rsid w:val="00DC3FBE"/>
    <w:rsid w:val="00DC414A"/>
    <w:rsid w:val="00DC41F5"/>
    <w:rsid w:val="00DC4281"/>
    <w:rsid w:val="00DC432A"/>
    <w:rsid w:val="00DC433C"/>
    <w:rsid w:val="00DC43C1"/>
    <w:rsid w:val="00DC4415"/>
    <w:rsid w:val="00DC4495"/>
    <w:rsid w:val="00DC44F6"/>
    <w:rsid w:val="00DC457B"/>
    <w:rsid w:val="00DC45BE"/>
    <w:rsid w:val="00DC45C0"/>
    <w:rsid w:val="00DC45FC"/>
    <w:rsid w:val="00DC4670"/>
    <w:rsid w:val="00DC468B"/>
    <w:rsid w:val="00DC46C0"/>
    <w:rsid w:val="00DC46CD"/>
    <w:rsid w:val="00DC48A5"/>
    <w:rsid w:val="00DC48FD"/>
    <w:rsid w:val="00DC4A28"/>
    <w:rsid w:val="00DC4C02"/>
    <w:rsid w:val="00DC4C10"/>
    <w:rsid w:val="00DC4C51"/>
    <w:rsid w:val="00DC4DE1"/>
    <w:rsid w:val="00DC4ECE"/>
    <w:rsid w:val="00DC4EE7"/>
    <w:rsid w:val="00DC5055"/>
    <w:rsid w:val="00DC509C"/>
    <w:rsid w:val="00DC5164"/>
    <w:rsid w:val="00DC518F"/>
    <w:rsid w:val="00DC51C9"/>
    <w:rsid w:val="00DC5257"/>
    <w:rsid w:val="00DC52AC"/>
    <w:rsid w:val="00DC5519"/>
    <w:rsid w:val="00DC554C"/>
    <w:rsid w:val="00DC55A9"/>
    <w:rsid w:val="00DC566E"/>
    <w:rsid w:val="00DC567E"/>
    <w:rsid w:val="00DC568F"/>
    <w:rsid w:val="00DC573F"/>
    <w:rsid w:val="00DC57D8"/>
    <w:rsid w:val="00DC5980"/>
    <w:rsid w:val="00DC59BD"/>
    <w:rsid w:val="00DC59EB"/>
    <w:rsid w:val="00DC5B17"/>
    <w:rsid w:val="00DC5C06"/>
    <w:rsid w:val="00DC5C38"/>
    <w:rsid w:val="00DC5C74"/>
    <w:rsid w:val="00DC5D46"/>
    <w:rsid w:val="00DC5D84"/>
    <w:rsid w:val="00DC5DFB"/>
    <w:rsid w:val="00DC5ED3"/>
    <w:rsid w:val="00DC5F3F"/>
    <w:rsid w:val="00DC5FE7"/>
    <w:rsid w:val="00DC6018"/>
    <w:rsid w:val="00DC60C4"/>
    <w:rsid w:val="00DC6145"/>
    <w:rsid w:val="00DC6185"/>
    <w:rsid w:val="00DC618E"/>
    <w:rsid w:val="00DC6255"/>
    <w:rsid w:val="00DC62B3"/>
    <w:rsid w:val="00DC62F5"/>
    <w:rsid w:val="00DC6425"/>
    <w:rsid w:val="00DC6447"/>
    <w:rsid w:val="00DC64C8"/>
    <w:rsid w:val="00DC64D4"/>
    <w:rsid w:val="00DC68B5"/>
    <w:rsid w:val="00DC68F9"/>
    <w:rsid w:val="00DC6958"/>
    <w:rsid w:val="00DC6968"/>
    <w:rsid w:val="00DC6A9E"/>
    <w:rsid w:val="00DC6B30"/>
    <w:rsid w:val="00DC6BC6"/>
    <w:rsid w:val="00DC6C23"/>
    <w:rsid w:val="00DC6C89"/>
    <w:rsid w:val="00DC6CB2"/>
    <w:rsid w:val="00DC6D10"/>
    <w:rsid w:val="00DC6E05"/>
    <w:rsid w:val="00DC6E29"/>
    <w:rsid w:val="00DC6E47"/>
    <w:rsid w:val="00DC6EA8"/>
    <w:rsid w:val="00DC6EE9"/>
    <w:rsid w:val="00DC6F33"/>
    <w:rsid w:val="00DC6FAD"/>
    <w:rsid w:val="00DC6FDC"/>
    <w:rsid w:val="00DC6FDF"/>
    <w:rsid w:val="00DC6FE1"/>
    <w:rsid w:val="00DC6FEF"/>
    <w:rsid w:val="00DC6FF0"/>
    <w:rsid w:val="00DC709D"/>
    <w:rsid w:val="00DC7158"/>
    <w:rsid w:val="00DC71CB"/>
    <w:rsid w:val="00DC71F8"/>
    <w:rsid w:val="00DC7226"/>
    <w:rsid w:val="00DC7278"/>
    <w:rsid w:val="00DC727C"/>
    <w:rsid w:val="00DC730E"/>
    <w:rsid w:val="00DC736B"/>
    <w:rsid w:val="00DC739E"/>
    <w:rsid w:val="00DC73A1"/>
    <w:rsid w:val="00DC7422"/>
    <w:rsid w:val="00DC7433"/>
    <w:rsid w:val="00DC7543"/>
    <w:rsid w:val="00DC7575"/>
    <w:rsid w:val="00DC75F3"/>
    <w:rsid w:val="00DC7668"/>
    <w:rsid w:val="00DC7799"/>
    <w:rsid w:val="00DC7800"/>
    <w:rsid w:val="00DC7820"/>
    <w:rsid w:val="00DC7875"/>
    <w:rsid w:val="00DC78E5"/>
    <w:rsid w:val="00DC795B"/>
    <w:rsid w:val="00DC79BD"/>
    <w:rsid w:val="00DC7AE0"/>
    <w:rsid w:val="00DC7B9D"/>
    <w:rsid w:val="00DC7CB9"/>
    <w:rsid w:val="00DC7CC2"/>
    <w:rsid w:val="00DC7CC6"/>
    <w:rsid w:val="00DC7CD3"/>
    <w:rsid w:val="00DC7D88"/>
    <w:rsid w:val="00DC7E15"/>
    <w:rsid w:val="00DC7E42"/>
    <w:rsid w:val="00DC7F44"/>
    <w:rsid w:val="00DC7FD0"/>
    <w:rsid w:val="00DD00AD"/>
    <w:rsid w:val="00DD00AF"/>
    <w:rsid w:val="00DD010D"/>
    <w:rsid w:val="00DD018A"/>
    <w:rsid w:val="00DD018C"/>
    <w:rsid w:val="00DD01B0"/>
    <w:rsid w:val="00DD01C7"/>
    <w:rsid w:val="00DD03D0"/>
    <w:rsid w:val="00DD044B"/>
    <w:rsid w:val="00DD056E"/>
    <w:rsid w:val="00DD0595"/>
    <w:rsid w:val="00DD06F9"/>
    <w:rsid w:val="00DD081F"/>
    <w:rsid w:val="00DD0875"/>
    <w:rsid w:val="00DD0918"/>
    <w:rsid w:val="00DD0923"/>
    <w:rsid w:val="00DD0965"/>
    <w:rsid w:val="00DD0A07"/>
    <w:rsid w:val="00DD0A08"/>
    <w:rsid w:val="00DD0B01"/>
    <w:rsid w:val="00DD0B15"/>
    <w:rsid w:val="00DD0B63"/>
    <w:rsid w:val="00DD0B9B"/>
    <w:rsid w:val="00DD0C57"/>
    <w:rsid w:val="00DD0C5B"/>
    <w:rsid w:val="00DD0CA5"/>
    <w:rsid w:val="00DD0CDB"/>
    <w:rsid w:val="00DD0D4D"/>
    <w:rsid w:val="00DD0DA6"/>
    <w:rsid w:val="00DD0DFB"/>
    <w:rsid w:val="00DD0E0B"/>
    <w:rsid w:val="00DD0E6B"/>
    <w:rsid w:val="00DD0E74"/>
    <w:rsid w:val="00DD0EC4"/>
    <w:rsid w:val="00DD0F05"/>
    <w:rsid w:val="00DD0F0C"/>
    <w:rsid w:val="00DD0F54"/>
    <w:rsid w:val="00DD0F80"/>
    <w:rsid w:val="00DD1056"/>
    <w:rsid w:val="00DD10BD"/>
    <w:rsid w:val="00DD10CA"/>
    <w:rsid w:val="00DD10CD"/>
    <w:rsid w:val="00DD1171"/>
    <w:rsid w:val="00DD118B"/>
    <w:rsid w:val="00DD11FA"/>
    <w:rsid w:val="00DD1203"/>
    <w:rsid w:val="00DD1206"/>
    <w:rsid w:val="00DD1298"/>
    <w:rsid w:val="00DD12C8"/>
    <w:rsid w:val="00DD12FA"/>
    <w:rsid w:val="00DD1313"/>
    <w:rsid w:val="00DD13C4"/>
    <w:rsid w:val="00DD1536"/>
    <w:rsid w:val="00DD15BF"/>
    <w:rsid w:val="00DD180B"/>
    <w:rsid w:val="00DD1825"/>
    <w:rsid w:val="00DD18E9"/>
    <w:rsid w:val="00DD18FC"/>
    <w:rsid w:val="00DD1A1A"/>
    <w:rsid w:val="00DD1A2D"/>
    <w:rsid w:val="00DD1AD5"/>
    <w:rsid w:val="00DD1BBE"/>
    <w:rsid w:val="00DD1CC8"/>
    <w:rsid w:val="00DD1D3D"/>
    <w:rsid w:val="00DD1DB3"/>
    <w:rsid w:val="00DD1E83"/>
    <w:rsid w:val="00DD1EF0"/>
    <w:rsid w:val="00DD1FB0"/>
    <w:rsid w:val="00DD203E"/>
    <w:rsid w:val="00DD20C5"/>
    <w:rsid w:val="00DD2108"/>
    <w:rsid w:val="00DD21AA"/>
    <w:rsid w:val="00DD21BF"/>
    <w:rsid w:val="00DD2245"/>
    <w:rsid w:val="00DD227B"/>
    <w:rsid w:val="00DD2288"/>
    <w:rsid w:val="00DD22D9"/>
    <w:rsid w:val="00DD2303"/>
    <w:rsid w:val="00DD2326"/>
    <w:rsid w:val="00DD2329"/>
    <w:rsid w:val="00DD237C"/>
    <w:rsid w:val="00DD23BE"/>
    <w:rsid w:val="00DD23D9"/>
    <w:rsid w:val="00DD240A"/>
    <w:rsid w:val="00DD2491"/>
    <w:rsid w:val="00DD24E0"/>
    <w:rsid w:val="00DD2612"/>
    <w:rsid w:val="00DD2648"/>
    <w:rsid w:val="00DD26BD"/>
    <w:rsid w:val="00DD2732"/>
    <w:rsid w:val="00DD27E8"/>
    <w:rsid w:val="00DD28C3"/>
    <w:rsid w:val="00DD2B38"/>
    <w:rsid w:val="00DD2B46"/>
    <w:rsid w:val="00DD2C34"/>
    <w:rsid w:val="00DD2C44"/>
    <w:rsid w:val="00DD2CCE"/>
    <w:rsid w:val="00DD2D13"/>
    <w:rsid w:val="00DD2DE9"/>
    <w:rsid w:val="00DD2DEF"/>
    <w:rsid w:val="00DD2E4C"/>
    <w:rsid w:val="00DD2E84"/>
    <w:rsid w:val="00DD2E8C"/>
    <w:rsid w:val="00DD2EB1"/>
    <w:rsid w:val="00DD2EE8"/>
    <w:rsid w:val="00DD2EEA"/>
    <w:rsid w:val="00DD2F8B"/>
    <w:rsid w:val="00DD2FD0"/>
    <w:rsid w:val="00DD3008"/>
    <w:rsid w:val="00DD322E"/>
    <w:rsid w:val="00DD3245"/>
    <w:rsid w:val="00DD328C"/>
    <w:rsid w:val="00DD32AF"/>
    <w:rsid w:val="00DD33C8"/>
    <w:rsid w:val="00DD340F"/>
    <w:rsid w:val="00DD34C4"/>
    <w:rsid w:val="00DD36CF"/>
    <w:rsid w:val="00DD3709"/>
    <w:rsid w:val="00DD3780"/>
    <w:rsid w:val="00DD3825"/>
    <w:rsid w:val="00DD3836"/>
    <w:rsid w:val="00DD39CB"/>
    <w:rsid w:val="00DD39FD"/>
    <w:rsid w:val="00DD3A2B"/>
    <w:rsid w:val="00DD3ABB"/>
    <w:rsid w:val="00DD3BF7"/>
    <w:rsid w:val="00DD3C1C"/>
    <w:rsid w:val="00DD3C49"/>
    <w:rsid w:val="00DD3CAE"/>
    <w:rsid w:val="00DD3D02"/>
    <w:rsid w:val="00DD3DC0"/>
    <w:rsid w:val="00DD3F22"/>
    <w:rsid w:val="00DD3F31"/>
    <w:rsid w:val="00DD4026"/>
    <w:rsid w:val="00DD405D"/>
    <w:rsid w:val="00DD4073"/>
    <w:rsid w:val="00DD40CB"/>
    <w:rsid w:val="00DD41E4"/>
    <w:rsid w:val="00DD423F"/>
    <w:rsid w:val="00DD429B"/>
    <w:rsid w:val="00DD42E5"/>
    <w:rsid w:val="00DD43D1"/>
    <w:rsid w:val="00DD43F1"/>
    <w:rsid w:val="00DD440F"/>
    <w:rsid w:val="00DD4432"/>
    <w:rsid w:val="00DD447F"/>
    <w:rsid w:val="00DD44E4"/>
    <w:rsid w:val="00DD4518"/>
    <w:rsid w:val="00DD45A3"/>
    <w:rsid w:val="00DD45E7"/>
    <w:rsid w:val="00DD47A5"/>
    <w:rsid w:val="00DD47E4"/>
    <w:rsid w:val="00DD4816"/>
    <w:rsid w:val="00DD4878"/>
    <w:rsid w:val="00DD4892"/>
    <w:rsid w:val="00DD495F"/>
    <w:rsid w:val="00DD4967"/>
    <w:rsid w:val="00DD498D"/>
    <w:rsid w:val="00DD49BC"/>
    <w:rsid w:val="00DD4B6D"/>
    <w:rsid w:val="00DD4B78"/>
    <w:rsid w:val="00DD4C91"/>
    <w:rsid w:val="00DD4C9F"/>
    <w:rsid w:val="00DD4D1E"/>
    <w:rsid w:val="00DD4D4E"/>
    <w:rsid w:val="00DD4D7C"/>
    <w:rsid w:val="00DD4DDB"/>
    <w:rsid w:val="00DD4F43"/>
    <w:rsid w:val="00DD4F92"/>
    <w:rsid w:val="00DD503E"/>
    <w:rsid w:val="00DD505D"/>
    <w:rsid w:val="00DD5104"/>
    <w:rsid w:val="00DD5132"/>
    <w:rsid w:val="00DD51AF"/>
    <w:rsid w:val="00DD51DE"/>
    <w:rsid w:val="00DD5282"/>
    <w:rsid w:val="00DD52DE"/>
    <w:rsid w:val="00DD547E"/>
    <w:rsid w:val="00DD54B4"/>
    <w:rsid w:val="00DD54CD"/>
    <w:rsid w:val="00DD5618"/>
    <w:rsid w:val="00DD5656"/>
    <w:rsid w:val="00DD574C"/>
    <w:rsid w:val="00DD58A8"/>
    <w:rsid w:val="00DD58D7"/>
    <w:rsid w:val="00DD5909"/>
    <w:rsid w:val="00DD595B"/>
    <w:rsid w:val="00DD595D"/>
    <w:rsid w:val="00DD596A"/>
    <w:rsid w:val="00DD5A6D"/>
    <w:rsid w:val="00DD5BBD"/>
    <w:rsid w:val="00DD5C22"/>
    <w:rsid w:val="00DD5C69"/>
    <w:rsid w:val="00DD5D04"/>
    <w:rsid w:val="00DD5D1B"/>
    <w:rsid w:val="00DD5DE6"/>
    <w:rsid w:val="00DD5EDE"/>
    <w:rsid w:val="00DD604E"/>
    <w:rsid w:val="00DD6082"/>
    <w:rsid w:val="00DD616D"/>
    <w:rsid w:val="00DD6417"/>
    <w:rsid w:val="00DD646A"/>
    <w:rsid w:val="00DD6492"/>
    <w:rsid w:val="00DD6498"/>
    <w:rsid w:val="00DD650D"/>
    <w:rsid w:val="00DD667C"/>
    <w:rsid w:val="00DD669A"/>
    <w:rsid w:val="00DD6763"/>
    <w:rsid w:val="00DD677D"/>
    <w:rsid w:val="00DD680C"/>
    <w:rsid w:val="00DD6873"/>
    <w:rsid w:val="00DD68E3"/>
    <w:rsid w:val="00DD69C7"/>
    <w:rsid w:val="00DD69D8"/>
    <w:rsid w:val="00DD6A27"/>
    <w:rsid w:val="00DD6A84"/>
    <w:rsid w:val="00DD6AC1"/>
    <w:rsid w:val="00DD6B63"/>
    <w:rsid w:val="00DD6BC8"/>
    <w:rsid w:val="00DD6BE2"/>
    <w:rsid w:val="00DD6C25"/>
    <w:rsid w:val="00DD6C74"/>
    <w:rsid w:val="00DD6D6C"/>
    <w:rsid w:val="00DD6D6E"/>
    <w:rsid w:val="00DD6E07"/>
    <w:rsid w:val="00DD6E59"/>
    <w:rsid w:val="00DD6E68"/>
    <w:rsid w:val="00DD6E6C"/>
    <w:rsid w:val="00DD6EFE"/>
    <w:rsid w:val="00DD6F2B"/>
    <w:rsid w:val="00DD6F4A"/>
    <w:rsid w:val="00DD6F50"/>
    <w:rsid w:val="00DD7106"/>
    <w:rsid w:val="00DD7113"/>
    <w:rsid w:val="00DD718D"/>
    <w:rsid w:val="00DD71A5"/>
    <w:rsid w:val="00DD71CA"/>
    <w:rsid w:val="00DD73BA"/>
    <w:rsid w:val="00DD73C9"/>
    <w:rsid w:val="00DD7410"/>
    <w:rsid w:val="00DD7529"/>
    <w:rsid w:val="00DD759C"/>
    <w:rsid w:val="00DD7632"/>
    <w:rsid w:val="00DD7731"/>
    <w:rsid w:val="00DD7766"/>
    <w:rsid w:val="00DD777E"/>
    <w:rsid w:val="00DD7789"/>
    <w:rsid w:val="00DD779C"/>
    <w:rsid w:val="00DD77CA"/>
    <w:rsid w:val="00DD77DE"/>
    <w:rsid w:val="00DD7800"/>
    <w:rsid w:val="00DD7824"/>
    <w:rsid w:val="00DD7838"/>
    <w:rsid w:val="00DD7882"/>
    <w:rsid w:val="00DD788C"/>
    <w:rsid w:val="00DD789D"/>
    <w:rsid w:val="00DD78AB"/>
    <w:rsid w:val="00DD78E2"/>
    <w:rsid w:val="00DD7949"/>
    <w:rsid w:val="00DD79C7"/>
    <w:rsid w:val="00DD79E3"/>
    <w:rsid w:val="00DD7A3D"/>
    <w:rsid w:val="00DD7A56"/>
    <w:rsid w:val="00DD7BE4"/>
    <w:rsid w:val="00DD7C03"/>
    <w:rsid w:val="00DD7C10"/>
    <w:rsid w:val="00DD7CC6"/>
    <w:rsid w:val="00DD7CCF"/>
    <w:rsid w:val="00DD7DA5"/>
    <w:rsid w:val="00DD7E46"/>
    <w:rsid w:val="00DD7F3F"/>
    <w:rsid w:val="00DD7F52"/>
    <w:rsid w:val="00DD7F93"/>
    <w:rsid w:val="00DE0012"/>
    <w:rsid w:val="00DE01DC"/>
    <w:rsid w:val="00DE021D"/>
    <w:rsid w:val="00DE0277"/>
    <w:rsid w:val="00DE02A8"/>
    <w:rsid w:val="00DE0322"/>
    <w:rsid w:val="00DE0347"/>
    <w:rsid w:val="00DE0378"/>
    <w:rsid w:val="00DE03DE"/>
    <w:rsid w:val="00DE0497"/>
    <w:rsid w:val="00DE04C8"/>
    <w:rsid w:val="00DE0561"/>
    <w:rsid w:val="00DE0669"/>
    <w:rsid w:val="00DE07A7"/>
    <w:rsid w:val="00DE0807"/>
    <w:rsid w:val="00DE0854"/>
    <w:rsid w:val="00DE08BB"/>
    <w:rsid w:val="00DE0900"/>
    <w:rsid w:val="00DE0908"/>
    <w:rsid w:val="00DE09C7"/>
    <w:rsid w:val="00DE09DF"/>
    <w:rsid w:val="00DE0B76"/>
    <w:rsid w:val="00DE0CBA"/>
    <w:rsid w:val="00DE0CC0"/>
    <w:rsid w:val="00DE0D06"/>
    <w:rsid w:val="00DE0D89"/>
    <w:rsid w:val="00DE0DAC"/>
    <w:rsid w:val="00DE0EB9"/>
    <w:rsid w:val="00DE1072"/>
    <w:rsid w:val="00DE10B0"/>
    <w:rsid w:val="00DE10B8"/>
    <w:rsid w:val="00DE10BE"/>
    <w:rsid w:val="00DE1104"/>
    <w:rsid w:val="00DE1172"/>
    <w:rsid w:val="00DE1234"/>
    <w:rsid w:val="00DE12BF"/>
    <w:rsid w:val="00DE1368"/>
    <w:rsid w:val="00DE13BE"/>
    <w:rsid w:val="00DE1409"/>
    <w:rsid w:val="00DE142D"/>
    <w:rsid w:val="00DE143A"/>
    <w:rsid w:val="00DE143D"/>
    <w:rsid w:val="00DE14EF"/>
    <w:rsid w:val="00DE150B"/>
    <w:rsid w:val="00DE1577"/>
    <w:rsid w:val="00DE15B9"/>
    <w:rsid w:val="00DE1617"/>
    <w:rsid w:val="00DE16B4"/>
    <w:rsid w:val="00DE1786"/>
    <w:rsid w:val="00DE18D1"/>
    <w:rsid w:val="00DE19F6"/>
    <w:rsid w:val="00DE1A26"/>
    <w:rsid w:val="00DE1AFB"/>
    <w:rsid w:val="00DE1B28"/>
    <w:rsid w:val="00DE1B38"/>
    <w:rsid w:val="00DE1B66"/>
    <w:rsid w:val="00DE1B69"/>
    <w:rsid w:val="00DE1BAF"/>
    <w:rsid w:val="00DE1BF4"/>
    <w:rsid w:val="00DE1C13"/>
    <w:rsid w:val="00DE1C75"/>
    <w:rsid w:val="00DE1C8C"/>
    <w:rsid w:val="00DE1CD9"/>
    <w:rsid w:val="00DE1CFB"/>
    <w:rsid w:val="00DE1D18"/>
    <w:rsid w:val="00DE1E3B"/>
    <w:rsid w:val="00DE2153"/>
    <w:rsid w:val="00DE217E"/>
    <w:rsid w:val="00DE2195"/>
    <w:rsid w:val="00DE2230"/>
    <w:rsid w:val="00DE2283"/>
    <w:rsid w:val="00DE22B8"/>
    <w:rsid w:val="00DE2324"/>
    <w:rsid w:val="00DE2380"/>
    <w:rsid w:val="00DE241D"/>
    <w:rsid w:val="00DE245F"/>
    <w:rsid w:val="00DE246F"/>
    <w:rsid w:val="00DE24E0"/>
    <w:rsid w:val="00DE24EB"/>
    <w:rsid w:val="00DE2677"/>
    <w:rsid w:val="00DE2727"/>
    <w:rsid w:val="00DE2782"/>
    <w:rsid w:val="00DE279A"/>
    <w:rsid w:val="00DE27C9"/>
    <w:rsid w:val="00DE28A0"/>
    <w:rsid w:val="00DE28A3"/>
    <w:rsid w:val="00DE2955"/>
    <w:rsid w:val="00DE2990"/>
    <w:rsid w:val="00DE2995"/>
    <w:rsid w:val="00DE29FB"/>
    <w:rsid w:val="00DE2A40"/>
    <w:rsid w:val="00DE2B52"/>
    <w:rsid w:val="00DE2D75"/>
    <w:rsid w:val="00DE2DD3"/>
    <w:rsid w:val="00DE2E36"/>
    <w:rsid w:val="00DE2E99"/>
    <w:rsid w:val="00DE2EEB"/>
    <w:rsid w:val="00DE3053"/>
    <w:rsid w:val="00DE30A4"/>
    <w:rsid w:val="00DE30D5"/>
    <w:rsid w:val="00DE3113"/>
    <w:rsid w:val="00DE31C1"/>
    <w:rsid w:val="00DE3220"/>
    <w:rsid w:val="00DE330C"/>
    <w:rsid w:val="00DE333E"/>
    <w:rsid w:val="00DE338D"/>
    <w:rsid w:val="00DE33B9"/>
    <w:rsid w:val="00DE3434"/>
    <w:rsid w:val="00DE351C"/>
    <w:rsid w:val="00DE364E"/>
    <w:rsid w:val="00DE36AF"/>
    <w:rsid w:val="00DE3736"/>
    <w:rsid w:val="00DE37BD"/>
    <w:rsid w:val="00DE37EA"/>
    <w:rsid w:val="00DE37F8"/>
    <w:rsid w:val="00DE3823"/>
    <w:rsid w:val="00DE3844"/>
    <w:rsid w:val="00DE38CE"/>
    <w:rsid w:val="00DE398C"/>
    <w:rsid w:val="00DE3A6B"/>
    <w:rsid w:val="00DE3A8A"/>
    <w:rsid w:val="00DE3B03"/>
    <w:rsid w:val="00DE3B6F"/>
    <w:rsid w:val="00DE3BD6"/>
    <w:rsid w:val="00DE3C20"/>
    <w:rsid w:val="00DE3D1D"/>
    <w:rsid w:val="00DE3D3B"/>
    <w:rsid w:val="00DE3D8D"/>
    <w:rsid w:val="00DE3DBC"/>
    <w:rsid w:val="00DE3DDA"/>
    <w:rsid w:val="00DE3DFF"/>
    <w:rsid w:val="00DE3E26"/>
    <w:rsid w:val="00DE3EBA"/>
    <w:rsid w:val="00DE4029"/>
    <w:rsid w:val="00DE40BC"/>
    <w:rsid w:val="00DE412B"/>
    <w:rsid w:val="00DE42DB"/>
    <w:rsid w:val="00DE42DD"/>
    <w:rsid w:val="00DE434F"/>
    <w:rsid w:val="00DE4395"/>
    <w:rsid w:val="00DE43BB"/>
    <w:rsid w:val="00DE43C5"/>
    <w:rsid w:val="00DE43CB"/>
    <w:rsid w:val="00DE4556"/>
    <w:rsid w:val="00DE457D"/>
    <w:rsid w:val="00DE45D8"/>
    <w:rsid w:val="00DE462A"/>
    <w:rsid w:val="00DE465A"/>
    <w:rsid w:val="00DE46E5"/>
    <w:rsid w:val="00DE475F"/>
    <w:rsid w:val="00DE4799"/>
    <w:rsid w:val="00DE47F7"/>
    <w:rsid w:val="00DE480C"/>
    <w:rsid w:val="00DE48D1"/>
    <w:rsid w:val="00DE4A09"/>
    <w:rsid w:val="00DE4A17"/>
    <w:rsid w:val="00DE4AF2"/>
    <w:rsid w:val="00DE4B64"/>
    <w:rsid w:val="00DE4BAB"/>
    <w:rsid w:val="00DE4CCD"/>
    <w:rsid w:val="00DE4D8C"/>
    <w:rsid w:val="00DE4F17"/>
    <w:rsid w:val="00DE50DC"/>
    <w:rsid w:val="00DE5108"/>
    <w:rsid w:val="00DE515C"/>
    <w:rsid w:val="00DE51FB"/>
    <w:rsid w:val="00DE5238"/>
    <w:rsid w:val="00DE527F"/>
    <w:rsid w:val="00DE5332"/>
    <w:rsid w:val="00DE5373"/>
    <w:rsid w:val="00DE53AB"/>
    <w:rsid w:val="00DE53FA"/>
    <w:rsid w:val="00DE5432"/>
    <w:rsid w:val="00DE5507"/>
    <w:rsid w:val="00DE5515"/>
    <w:rsid w:val="00DE5548"/>
    <w:rsid w:val="00DE557B"/>
    <w:rsid w:val="00DE5628"/>
    <w:rsid w:val="00DE566D"/>
    <w:rsid w:val="00DE568F"/>
    <w:rsid w:val="00DE56F4"/>
    <w:rsid w:val="00DE57DD"/>
    <w:rsid w:val="00DE57FC"/>
    <w:rsid w:val="00DE580D"/>
    <w:rsid w:val="00DE58D0"/>
    <w:rsid w:val="00DE59CF"/>
    <w:rsid w:val="00DE59EC"/>
    <w:rsid w:val="00DE5AAB"/>
    <w:rsid w:val="00DE5AFA"/>
    <w:rsid w:val="00DE5B2C"/>
    <w:rsid w:val="00DE5B5E"/>
    <w:rsid w:val="00DE5BAB"/>
    <w:rsid w:val="00DE5C9E"/>
    <w:rsid w:val="00DE5CC8"/>
    <w:rsid w:val="00DE5CF3"/>
    <w:rsid w:val="00DE5D30"/>
    <w:rsid w:val="00DE5D3D"/>
    <w:rsid w:val="00DE5E23"/>
    <w:rsid w:val="00DE5F84"/>
    <w:rsid w:val="00DE5FC7"/>
    <w:rsid w:val="00DE60F6"/>
    <w:rsid w:val="00DE6111"/>
    <w:rsid w:val="00DE6168"/>
    <w:rsid w:val="00DE617A"/>
    <w:rsid w:val="00DE627A"/>
    <w:rsid w:val="00DE62F1"/>
    <w:rsid w:val="00DE6353"/>
    <w:rsid w:val="00DE635E"/>
    <w:rsid w:val="00DE637A"/>
    <w:rsid w:val="00DE64A4"/>
    <w:rsid w:val="00DE654C"/>
    <w:rsid w:val="00DE656E"/>
    <w:rsid w:val="00DE65FC"/>
    <w:rsid w:val="00DE66C8"/>
    <w:rsid w:val="00DE673F"/>
    <w:rsid w:val="00DE67D2"/>
    <w:rsid w:val="00DE6822"/>
    <w:rsid w:val="00DE6832"/>
    <w:rsid w:val="00DE686E"/>
    <w:rsid w:val="00DE6877"/>
    <w:rsid w:val="00DE6A1A"/>
    <w:rsid w:val="00DE6A68"/>
    <w:rsid w:val="00DE6B09"/>
    <w:rsid w:val="00DE6C18"/>
    <w:rsid w:val="00DE6C9B"/>
    <w:rsid w:val="00DE6CEB"/>
    <w:rsid w:val="00DE6CEF"/>
    <w:rsid w:val="00DE6D70"/>
    <w:rsid w:val="00DE6E29"/>
    <w:rsid w:val="00DE6F2D"/>
    <w:rsid w:val="00DE7065"/>
    <w:rsid w:val="00DE7110"/>
    <w:rsid w:val="00DE71DE"/>
    <w:rsid w:val="00DE7204"/>
    <w:rsid w:val="00DE7217"/>
    <w:rsid w:val="00DE7293"/>
    <w:rsid w:val="00DE72D3"/>
    <w:rsid w:val="00DE7338"/>
    <w:rsid w:val="00DE7365"/>
    <w:rsid w:val="00DE7425"/>
    <w:rsid w:val="00DE7448"/>
    <w:rsid w:val="00DE7455"/>
    <w:rsid w:val="00DE7492"/>
    <w:rsid w:val="00DE7556"/>
    <w:rsid w:val="00DE7582"/>
    <w:rsid w:val="00DE7618"/>
    <w:rsid w:val="00DE766E"/>
    <w:rsid w:val="00DE76F8"/>
    <w:rsid w:val="00DE7746"/>
    <w:rsid w:val="00DE7835"/>
    <w:rsid w:val="00DE7948"/>
    <w:rsid w:val="00DE7954"/>
    <w:rsid w:val="00DE7A75"/>
    <w:rsid w:val="00DE7AB9"/>
    <w:rsid w:val="00DE7B19"/>
    <w:rsid w:val="00DE7B93"/>
    <w:rsid w:val="00DE7C63"/>
    <w:rsid w:val="00DE7D26"/>
    <w:rsid w:val="00DE7DE9"/>
    <w:rsid w:val="00DF0003"/>
    <w:rsid w:val="00DF002E"/>
    <w:rsid w:val="00DF0033"/>
    <w:rsid w:val="00DF003F"/>
    <w:rsid w:val="00DF0093"/>
    <w:rsid w:val="00DF00BF"/>
    <w:rsid w:val="00DF00D0"/>
    <w:rsid w:val="00DF00F6"/>
    <w:rsid w:val="00DF00FA"/>
    <w:rsid w:val="00DF01E8"/>
    <w:rsid w:val="00DF02F3"/>
    <w:rsid w:val="00DF032F"/>
    <w:rsid w:val="00DF0360"/>
    <w:rsid w:val="00DF0380"/>
    <w:rsid w:val="00DF03B2"/>
    <w:rsid w:val="00DF03ED"/>
    <w:rsid w:val="00DF0422"/>
    <w:rsid w:val="00DF0435"/>
    <w:rsid w:val="00DF04D4"/>
    <w:rsid w:val="00DF06BD"/>
    <w:rsid w:val="00DF07A1"/>
    <w:rsid w:val="00DF0869"/>
    <w:rsid w:val="00DF08E1"/>
    <w:rsid w:val="00DF0998"/>
    <w:rsid w:val="00DF0A49"/>
    <w:rsid w:val="00DF0A5D"/>
    <w:rsid w:val="00DF0A8E"/>
    <w:rsid w:val="00DF0AEE"/>
    <w:rsid w:val="00DF0AF9"/>
    <w:rsid w:val="00DF0B4B"/>
    <w:rsid w:val="00DF0B50"/>
    <w:rsid w:val="00DF0D75"/>
    <w:rsid w:val="00DF0DD4"/>
    <w:rsid w:val="00DF0DDC"/>
    <w:rsid w:val="00DF0E1B"/>
    <w:rsid w:val="00DF0ED0"/>
    <w:rsid w:val="00DF0EDB"/>
    <w:rsid w:val="00DF0F30"/>
    <w:rsid w:val="00DF0F4F"/>
    <w:rsid w:val="00DF101A"/>
    <w:rsid w:val="00DF113E"/>
    <w:rsid w:val="00DF12A6"/>
    <w:rsid w:val="00DF13F0"/>
    <w:rsid w:val="00DF165A"/>
    <w:rsid w:val="00DF1670"/>
    <w:rsid w:val="00DF16A0"/>
    <w:rsid w:val="00DF16BA"/>
    <w:rsid w:val="00DF1773"/>
    <w:rsid w:val="00DF17E9"/>
    <w:rsid w:val="00DF17FD"/>
    <w:rsid w:val="00DF18CC"/>
    <w:rsid w:val="00DF19BE"/>
    <w:rsid w:val="00DF1B32"/>
    <w:rsid w:val="00DF1B43"/>
    <w:rsid w:val="00DF1BDC"/>
    <w:rsid w:val="00DF1C56"/>
    <w:rsid w:val="00DF1D33"/>
    <w:rsid w:val="00DF1DE4"/>
    <w:rsid w:val="00DF1E83"/>
    <w:rsid w:val="00DF1E89"/>
    <w:rsid w:val="00DF1ED1"/>
    <w:rsid w:val="00DF1F22"/>
    <w:rsid w:val="00DF1F43"/>
    <w:rsid w:val="00DF1F7D"/>
    <w:rsid w:val="00DF1FD3"/>
    <w:rsid w:val="00DF207A"/>
    <w:rsid w:val="00DF209A"/>
    <w:rsid w:val="00DF20A5"/>
    <w:rsid w:val="00DF211E"/>
    <w:rsid w:val="00DF2129"/>
    <w:rsid w:val="00DF2235"/>
    <w:rsid w:val="00DF2372"/>
    <w:rsid w:val="00DF2442"/>
    <w:rsid w:val="00DF2486"/>
    <w:rsid w:val="00DF25A0"/>
    <w:rsid w:val="00DF25AC"/>
    <w:rsid w:val="00DF261A"/>
    <w:rsid w:val="00DF2636"/>
    <w:rsid w:val="00DF267B"/>
    <w:rsid w:val="00DF271D"/>
    <w:rsid w:val="00DF2769"/>
    <w:rsid w:val="00DF2791"/>
    <w:rsid w:val="00DF27B7"/>
    <w:rsid w:val="00DF2855"/>
    <w:rsid w:val="00DF285D"/>
    <w:rsid w:val="00DF289C"/>
    <w:rsid w:val="00DF28C3"/>
    <w:rsid w:val="00DF2901"/>
    <w:rsid w:val="00DF290C"/>
    <w:rsid w:val="00DF2B44"/>
    <w:rsid w:val="00DF2B66"/>
    <w:rsid w:val="00DF2B78"/>
    <w:rsid w:val="00DF2C1E"/>
    <w:rsid w:val="00DF2CBD"/>
    <w:rsid w:val="00DF2D09"/>
    <w:rsid w:val="00DF2E03"/>
    <w:rsid w:val="00DF2E29"/>
    <w:rsid w:val="00DF2EBA"/>
    <w:rsid w:val="00DF2ED3"/>
    <w:rsid w:val="00DF30CA"/>
    <w:rsid w:val="00DF3145"/>
    <w:rsid w:val="00DF3295"/>
    <w:rsid w:val="00DF332B"/>
    <w:rsid w:val="00DF3557"/>
    <w:rsid w:val="00DF35B4"/>
    <w:rsid w:val="00DF35FE"/>
    <w:rsid w:val="00DF3731"/>
    <w:rsid w:val="00DF3755"/>
    <w:rsid w:val="00DF377B"/>
    <w:rsid w:val="00DF37E1"/>
    <w:rsid w:val="00DF38C8"/>
    <w:rsid w:val="00DF39B1"/>
    <w:rsid w:val="00DF3A75"/>
    <w:rsid w:val="00DF3ABB"/>
    <w:rsid w:val="00DF3ADA"/>
    <w:rsid w:val="00DF3B30"/>
    <w:rsid w:val="00DF3B65"/>
    <w:rsid w:val="00DF3B77"/>
    <w:rsid w:val="00DF3B8B"/>
    <w:rsid w:val="00DF3BC7"/>
    <w:rsid w:val="00DF3C6F"/>
    <w:rsid w:val="00DF3D49"/>
    <w:rsid w:val="00DF3D6A"/>
    <w:rsid w:val="00DF3D78"/>
    <w:rsid w:val="00DF3D7B"/>
    <w:rsid w:val="00DF3D9C"/>
    <w:rsid w:val="00DF3E18"/>
    <w:rsid w:val="00DF3E75"/>
    <w:rsid w:val="00DF3E9B"/>
    <w:rsid w:val="00DF3F32"/>
    <w:rsid w:val="00DF4049"/>
    <w:rsid w:val="00DF40D9"/>
    <w:rsid w:val="00DF40EF"/>
    <w:rsid w:val="00DF4140"/>
    <w:rsid w:val="00DF41E1"/>
    <w:rsid w:val="00DF42FB"/>
    <w:rsid w:val="00DF4369"/>
    <w:rsid w:val="00DF438A"/>
    <w:rsid w:val="00DF43C3"/>
    <w:rsid w:val="00DF4490"/>
    <w:rsid w:val="00DF44B4"/>
    <w:rsid w:val="00DF4519"/>
    <w:rsid w:val="00DF451F"/>
    <w:rsid w:val="00DF458C"/>
    <w:rsid w:val="00DF4592"/>
    <w:rsid w:val="00DF45D7"/>
    <w:rsid w:val="00DF45E1"/>
    <w:rsid w:val="00DF466B"/>
    <w:rsid w:val="00DF475C"/>
    <w:rsid w:val="00DF47C1"/>
    <w:rsid w:val="00DF485D"/>
    <w:rsid w:val="00DF48D0"/>
    <w:rsid w:val="00DF4917"/>
    <w:rsid w:val="00DF4A21"/>
    <w:rsid w:val="00DF4A40"/>
    <w:rsid w:val="00DF4A56"/>
    <w:rsid w:val="00DF4A8F"/>
    <w:rsid w:val="00DF4B91"/>
    <w:rsid w:val="00DF4BF9"/>
    <w:rsid w:val="00DF4CD3"/>
    <w:rsid w:val="00DF4E36"/>
    <w:rsid w:val="00DF4ED7"/>
    <w:rsid w:val="00DF4EF2"/>
    <w:rsid w:val="00DF4F6E"/>
    <w:rsid w:val="00DF500E"/>
    <w:rsid w:val="00DF501A"/>
    <w:rsid w:val="00DF5079"/>
    <w:rsid w:val="00DF50DD"/>
    <w:rsid w:val="00DF5208"/>
    <w:rsid w:val="00DF5215"/>
    <w:rsid w:val="00DF5228"/>
    <w:rsid w:val="00DF52E7"/>
    <w:rsid w:val="00DF53F1"/>
    <w:rsid w:val="00DF5437"/>
    <w:rsid w:val="00DF543C"/>
    <w:rsid w:val="00DF551D"/>
    <w:rsid w:val="00DF55FC"/>
    <w:rsid w:val="00DF5699"/>
    <w:rsid w:val="00DF56F5"/>
    <w:rsid w:val="00DF5719"/>
    <w:rsid w:val="00DF57F7"/>
    <w:rsid w:val="00DF581B"/>
    <w:rsid w:val="00DF5837"/>
    <w:rsid w:val="00DF5852"/>
    <w:rsid w:val="00DF58AD"/>
    <w:rsid w:val="00DF59D1"/>
    <w:rsid w:val="00DF5A71"/>
    <w:rsid w:val="00DF5BE3"/>
    <w:rsid w:val="00DF5C4F"/>
    <w:rsid w:val="00DF5CE2"/>
    <w:rsid w:val="00DF5DDD"/>
    <w:rsid w:val="00DF5DE2"/>
    <w:rsid w:val="00DF5E45"/>
    <w:rsid w:val="00DF5E8A"/>
    <w:rsid w:val="00DF5EA9"/>
    <w:rsid w:val="00DF5EF3"/>
    <w:rsid w:val="00DF5F38"/>
    <w:rsid w:val="00DF5F98"/>
    <w:rsid w:val="00DF6034"/>
    <w:rsid w:val="00DF6043"/>
    <w:rsid w:val="00DF6100"/>
    <w:rsid w:val="00DF61B0"/>
    <w:rsid w:val="00DF61F8"/>
    <w:rsid w:val="00DF6288"/>
    <w:rsid w:val="00DF6330"/>
    <w:rsid w:val="00DF6395"/>
    <w:rsid w:val="00DF6425"/>
    <w:rsid w:val="00DF6522"/>
    <w:rsid w:val="00DF6523"/>
    <w:rsid w:val="00DF655C"/>
    <w:rsid w:val="00DF65E3"/>
    <w:rsid w:val="00DF66AE"/>
    <w:rsid w:val="00DF66E2"/>
    <w:rsid w:val="00DF6750"/>
    <w:rsid w:val="00DF67B7"/>
    <w:rsid w:val="00DF6819"/>
    <w:rsid w:val="00DF6821"/>
    <w:rsid w:val="00DF6AFF"/>
    <w:rsid w:val="00DF6B22"/>
    <w:rsid w:val="00DF6B9B"/>
    <w:rsid w:val="00DF6C55"/>
    <w:rsid w:val="00DF6C66"/>
    <w:rsid w:val="00DF6CDD"/>
    <w:rsid w:val="00DF6D17"/>
    <w:rsid w:val="00DF6D28"/>
    <w:rsid w:val="00DF6DAF"/>
    <w:rsid w:val="00DF6E13"/>
    <w:rsid w:val="00DF6E57"/>
    <w:rsid w:val="00DF6EDB"/>
    <w:rsid w:val="00DF6FDE"/>
    <w:rsid w:val="00DF701F"/>
    <w:rsid w:val="00DF702E"/>
    <w:rsid w:val="00DF7088"/>
    <w:rsid w:val="00DF70B1"/>
    <w:rsid w:val="00DF718E"/>
    <w:rsid w:val="00DF71ED"/>
    <w:rsid w:val="00DF7240"/>
    <w:rsid w:val="00DF727B"/>
    <w:rsid w:val="00DF72B4"/>
    <w:rsid w:val="00DF730C"/>
    <w:rsid w:val="00DF73C7"/>
    <w:rsid w:val="00DF74E0"/>
    <w:rsid w:val="00DF754E"/>
    <w:rsid w:val="00DF7561"/>
    <w:rsid w:val="00DF7588"/>
    <w:rsid w:val="00DF75F6"/>
    <w:rsid w:val="00DF75FC"/>
    <w:rsid w:val="00DF7609"/>
    <w:rsid w:val="00DF76C2"/>
    <w:rsid w:val="00DF7725"/>
    <w:rsid w:val="00DF773F"/>
    <w:rsid w:val="00DF785A"/>
    <w:rsid w:val="00DF785B"/>
    <w:rsid w:val="00DF78D2"/>
    <w:rsid w:val="00DF78D9"/>
    <w:rsid w:val="00DF798E"/>
    <w:rsid w:val="00DF79B8"/>
    <w:rsid w:val="00DF79CF"/>
    <w:rsid w:val="00DF79F1"/>
    <w:rsid w:val="00DF7C16"/>
    <w:rsid w:val="00DF7CA5"/>
    <w:rsid w:val="00DF7CAF"/>
    <w:rsid w:val="00DF7D78"/>
    <w:rsid w:val="00DF7DC2"/>
    <w:rsid w:val="00DF7E3F"/>
    <w:rsid w:val="00DF7F36"/>
    <w:rsid w:val="00DFF474"/>
    <w:rsid w:val="00E0008F"/>
    <w:rsid w:val="00E000F8"/>
    <w:rsid w:val="00E0018D"/>
    <w:rsid w:val="00E00319"/>
    <w:rsid w:val="00E0031D"/>
    <w:rsid w:val="00E00388"/>
    <w:rsid w:val="00E003D8"/>
    <w:rsid w:val="00E003D9"/>
    <w:rsid w:val="00E00650"/>
    <w:rsid w:val="00E0067F"/>
    <w:rsid w:val="00E0069C"/>
    <w:rsid w:val="00E006A4"/>
    <w:rsid w:val="00E0076A"/>
    <w:rsid w:val="00E00896"/>
    <w:rsid w:val="00E00AB1"/>
    <w:rsid w:val="00E00B7B"/>
    <w:rsid w:val="00E00C0E"/>
    <w:rsid w:val="00E00C47"/>
    <w:rsid w:val="00E00C5A"/>
    <w:rsid w:val="00E00CBB"/>
    <w:rsid w:val="00E00D12"/>
    <w:rsid w:val="00E00D70"/>
    <w:rsid w:val="00E00D98"/>
    <w:rsid w:val="00E00DAE"/>
    <w:rsid w:val="00E00DD1"/>
    <w:rsid w:val="00E00ED7"/>
    <w:rsid w:val="00E00F2A"/>
    <w:rsid w:val="00E00F5C"/>
    <w:rsid w:val="00E01028"/>
    <w:rsid w:val="00E01060"/>
    <w:rsid w:val="00E0106A"/>
    <w:rsid w:val="00E010CF"/>
    <w:rsid w:val="00E0112A"/>
    <w:rsid w:val="00E011D9"/>
    <w:rsid w:val="00E011E1"/>
    <w:rsid w:val="00E0120B"/>
    <w:rsid w:val="00E0123A"/>
    <w:rsid w:val="00E012C6"/>
    <w:rsid w:val="00E0136A"/>
    <w:rsid w:val="00E013A1"/>
    <w:rsid w:val="00E0140E"/>
    <w:rsid w:val="00E014BA"/>
    <w:rsid w:val="00E014F8"/>
    <w:rsid w:val="00E0159A"/>
    <w:rsid w:val="00E01618"/>
    <w:rsid w:val="00E01689"/>
    <w:rsid w:val="00E0183A"/>
    <w:rsid w:val="00E01853"/>
    <w:rsid w:val="00E01962"/>
    <w:rsid w:val="00E01B17"/>
    <w:rsid w:val="00E01BE7"/>
    <w:rsid w:val="00E01C10"/>
    <w:rsid w:val="00E01C28"/>
    <w:rsid w:val="00E01C58"/>
    <w:rsid w:val="00E01CF9"/>
    <w:rsid w:val="00E01D7D"/>
    <w:rsid w:val="00E01DE3"/>
    <w:rsid w:val="00E01E4A"/>
    <w:rsid w:val="00E01EA2"/>
    <w:rsid w:val="00E01F58"/>
    <w:rsid w:val="00E01F77"/>
    <w:rsid w:val="00E01FDB"/>
    <w:rsid w:val="00E02055"/>
    <w:rsid w:val="00E02089"/>
    <w:rsid w:val="00E020B9"/>
    <w:rsid w:val="00E020D7"/>
    <w:rsid w:val="00E020E7"/>
    <w:rsid w:val="00E021C2"/>
    <w:rsid w:val="00E021FA"/>
    <w:rsid w:val="00E0228D"/>
    <w:rsid w:val="00E022F1"/>
    <w:rsid w:val="00E024E2"/>
    <w:rsid w:val="00E0255E"/>
    <w:rsid w:val="00E02587"/>
    <w:rsid w:val="00E025EC"/>
    <w:rsid w:val="00E0263F"/>
    <w:rsid w:val="00E026B6"/>
    <w:rsid w:val="00E02738"/>
    <w:rsid w:val="00E0288A"/>
    <w:rsid w:val="00E028B5"/>
    <w:rsid w:val="00E02989"/>
    <w:rsid w:val="00E029A0"/>
    <w:rsid w:val="00E029AC"/>
    <w:rsid w:val="00E02A65"/>
    <w:rsid w:val="00E02B31"/>
    <w:rsid w:val="00E02B7F"/>
    <w:rsid w:val="00E02BCE"/>
    <w:rsid w:val="00E02C0E"/>
    <w:rsid w:val="00E02CCC"/>
    <w:rsid w:val="00E02CEF"/>
    <w:rsid w:val="00E02D3E"/>
    <w:rsid w:val="00E02DAF"/>
    <w:rsid w:val="00E02DB6"/>
    <w:rsid w:val="00E02EA7"/>
    <w:rsid w:val="00E02F1A"/>
    <w:rsid w:val="00E030E7"/>
    <w:rsid w:val="00E03168"/>
    <w:rsid w:val="00E0320E"/>
    <w:rsid w:val="00E0321C"/>
    <w:rsid w:val="00E0325D"/>
    <w:rsid w:val="00E032C4"/>
    <w:rsid w:val="00E032D3"/>
    <w:rsid w:val="00E03345"/>
    <w:rsid w:val="00E03388"/>
    <w:rsid w:val="00E03393"/>
    <w:rsid w:val="00E033DF"/>
    <w:rsid w:val="00E03559"/>
    <w:rsid w:val="00E0356B"/>
    <w:rsid w:val="00E035AD"/>
    <w:rsid w:val="00E035CC"/>
    <w:rsid w:val="00E0364B"/>
    <w:rsid w:val="00E036E0"/>
    <w:rsid w:val="00E03777"/>
    <w:rsid w:val="00E0390D"/>
    <w:rsid w:val="00E03984"/>
    <w:rsid w:val="00E03A73"/>
    <w:rsid w:val="00E03B5C"/>
    <w:rsid w:val="00E03C61"/>
    <w:rsid w:val="00E03C95"/>
    <w:rsid w:val="00E03D3D"/>
    <w:rsid w:val="00E03D87"/>
    <w:rsid w:val="00E03EFD"/>
    <w:rsid w:val="00E03F17"/>
    <w:rsid w:val="00E03FA5"/>
    <w:rsid w:val="00E03FD7"/>
    <w:rsid w:val="00E04003"/>
    <w:rsid w:val="00E04011"/>
    <w:rsid w:val="00E0408D"/>
    <w:rsid w:val="00E040DC"/>
    <w:rsid w:val="00E0411C"/>
    <w:rsid w:val="00E04144"/>
    <w:rsid w:val="00E0415A"/>
    <w:rsid w:val="00E0417D"/>
    <w:rsid w:val="00E041EE"/>
    <w:rsid w:val="00E042A6"/>
    <w:rsid w:val="00E042E3"/>
    <w:rsid w:val="00E043E6"/>
    <w:rsid w:val="00E044C3"/>
    <w:rsid w:val="00E0451E"/>
    <w:rsid w:val="00E04585"/>
    <w:rsid w:val="00E045C0"/>
    <w:rsid w:val="00E045CC"/>
    <w:rsid w:val="00E04685"/>
    <w:rsid w:val="00E046B2"/>
    <w:rsid w:val="00E046C1"/>
    <w:rsid w:val="00E0474B"/>
    <w:rsid w:val="00E047B7"/>
    <w:rsid w:val="00E048A8"/>
    <w:rsid w:val="00E048CA"/>
    <w:rsid w:val="00E04A7D"/>
    <w:rsid w:val="00E04AC1"/>
    <w:rsid w:val="00E04B48"/>
    <w:rsid w:val="00E04B4E"/>
    <w:rsid w:val="00E04B7B"/>
    <w:rsid w:val="00E04BAF"/>
    <w:rsid w:val="00E04D63"/>
    <w:rsid w:val="00E04D75"/>
    <w:rsid w:val="00E04D9B"/>
    <w:rsid w:val="00E04E43"/>
    <w:rsid w:val="00E04F7C"/>
    <w:rsid w:val="00E04FC2"/>
    <w:rsid w:val="00E050AD"/>
    <w:rsid w:val="00E05202"/>
    <w:rsid w:val="00E05250"/>
    <w:rsid w:val="00E05260"/>
    <w:rsid w:val="00E052DB"/>
    <w:rsid w:val="00E052F0"/>
    <w:rsid w:val="00E0531E"/>
    <w:rsid w:val="00E0534B"/>
    <w:rsid w:val="00E05377"/>
    <w:rsid w:val="00E05455"/>
    <w:rsid w:val="00E05703"/>
    <w:rsid w:val="00E05714"/>
    <w:rsid w:val="00E05823"/>
    <w:rsid w:val="00E0592F"/>
    <w:rsid w:val="00E05A4A"/>
    <w:rsid w:val="00E05A55"/>
    <w:rsid w:val="00E05A9E"/>
    <w:rsid w:val="00E05B6A"/>
    <w:rsid w:val="00E05BE7"/>
    <w:rsid w:val="00E05BEF"/>
    <w:rsid w:val="00E05C20"/>
    <w:rsid w:val="00E05CF0"/>
    <w:rsid w:val="00E05CF3"/>
    <w:rsid w:val="00E05DE9"/>
    <w:rsid w:val="00E05E77"/>
    <w:rsid w:val="00E05E7A"/>
    <w:rsid w:val="00E05EF9"/>
    <w:rsid w:val="00E05F90"/>
    <w:rsid w:val="00E05FA7"/>
    <w:rsid w:val="00E05FD5"/>
    <w:rsid w:val="00E060D5"/>
    <w:rsid w:val="00E06121"/>
    <w:rsid w:val="00E0621D"/>
    <w:rsid w:val="00E06249"/>
    <w:rsid w:val="00E062D8"/>
    <w:rsid w:val="00E063EE"/>
    <w:rsid w:val="00E06411"/>
    <w:rsid w:val="00E06441"/>
    <w:rsid w:val="00E0654F"/>
    <w:rsid w:val="00E06590"/>
    <w:rsid w:val="00E065A2"/>
    <w:rsid w:val="00E065E0"/>
    <w:rsid w:val="00E06625"/>
    <w:rsid w:val="00E0668F"/>
    <w:rsid w:val="00E066BC"/>
    <w:rsid w:val="00E0671D"/>
    <w:rsid w:val="00E06723"/>
    <w:rsid w:val="00E06729"/>
    <w:rsid w:val="00E067C6"/>
    <w:rsid w:val="00E067D8"/>
    <w:rsid w:val="00E0687F"/>
    <w:rsid w:val="00E06888"/>
    <w:rsid w:val="00E06909"/>
    <w:rsid w:val="00E069C9"/>
    <w:rsid w:val="00E06A26"/>
    <w:rsid w:val="00E06A3B"/>
    <w:rsid w:val="00E06ABC"/>
    <w:rsid w:val="00E06B9F"/>
    <w:rsid w:val="00E06BE0"/>
    <w:rsid w:val="00E06C7C"/>
    <w:rsid w:val="00E06C8E"/>
    <w:rsid w:val="00E06CE5"/>
    <w:rsid w:val="00E06D42"/>
    <w:rsid w:val="00E06D7E"/>
    <w:rsid w:val="00E06DC4"/>
    <w:rsid w:val="00E06DDA"/>
    <w:rsid w:val="00E06DDB"/>
    <w:rsid w:val="00E06DE6"/>
    <w:rsid w:val="00E06E3B"/>
    <w:rsid w:val="00E06ED4"/>
    <w:rsid w:val="00E06ED6"/>
    <w:rsid w:val="00E06F00"/>
    <w:rsid w:val="00E06FDB"/>
    <w:rsid w:val="00E0703B"/>
    <w:rsid w:val="00E0708C"/>
    <w:rsid w:val="00E0708E"/>
    <w:rsid w:val="00E070CE"/>
    <w:rsid w:val="00E070DA"/>
    <w:rsid w:val="00E07266"/>
    <w:rsid w:val="00E0728D"/>
    <w:rsid w:val="00E07303"/>
    <w:rsid w:val="00E0736F"/>
    <w:rsid w:val="00E07476"/>
    <w:rsid w:val="00E074B7"/>
    <w:rsid w:val="00E0756A"/>
    <w:rsid w:val="00E07573"/>
    <w:rsid w:val="00E075F9"/>
    <w:rsid w:val="00E07624"/>
    <w:rsid w:val="00E07709"/>
    <w:rsid w:val="00E07725"/>
    <w:rsid w:val="00E07749"/>
    <w:rsid w:val="00E077A3"/>
    <w:rsid w:val="00E077AF"/>
    <w:rsid w:val="00E07B0D"/>
    <w:rsid w:val="00E07BA0"/>
    <w:rsid w:val="00E07C49"/>
    <w:rsid w:val="00E07C83"/>
    <w:rsid w:val="00E07D30"/>
    <w:rsid w:val="00E07D64"/>
    <w:rsid w:val="00E07D65"/>
    <w:rsid w:val="00E07DA8"/>
    <w:rsid w:val="00E07DF9"/>
    <w:rsid w:val="00E07E5F"/>
    <w:rsid w:val="00E07E8B"/>
    <w:rsid w:val="00E07EB7"/>
    <w:rsid w:val="00E07F36"/>
    <w:rsid w:val="00E07F76"/>
    <w:rsid w:val="00E09F21"/>
    <w:rsid w:val="00E0D9A9"/>
    <w:rsid w:val="00E10020"/>
    <w:rsid w:val="00E10048"/>
    <w:rsid w:val="00E100A2"/>
    <w:rsid w:val="00E100CA"/>
    <w:rsid w:val="00E101B8"/>
    <w:rsid w:val="00E101BF"/>
    <w:rsid w:val="00E1023D"/>
    <w:rsid w:val="00E1024C"/>
    <w:rsid w:val="00E1035A"/>
    <w:rsid w:val="00E104A9"/>
    <w:rsid w:val="00E105A5"/>
    <w:rsid w:val="00E105C4"/>
    <w:rsid w:val="00E10722"/>
    <w:rsid w:val="00E10739"/>
    <w:rsid w:val="00E10782"/>
    <w:rsid w:val="00E1079A"/>
    <w:rsid w:val="00E10879"/>
    <w:rsid w:val="00E10893"/>
    <w:rsid w:val="00E10935"/>
    <w:rsid w:val="00E10B6F"/>
    <w:rsid w:val="00E10B78"/>
    <w:rsid w:val="00E10BDA"/>
    <w:rsid w:val="00E10BF0"/>
    <w:rsid w:val="00E10C9E"/>
    <w:rsid w:val="00E10D6E"/>
    <w:rsid w:val="00E10DFA"/>
    <w:rsid w:val="00E10E30"/>
    <w:rsid w:val="00E10E57"/>
    <w:rsid w:val="00E10E5B"/>
    <w:rsid w:val="00E10F9E"/>
    <w:rsid w:val="00E1107F"/>
    <w:rsid w:val="00E110D7"/>
    <w:rsid w:val="00E110F0"/>
    <w:rsid w:val="00E110F7"/>
    <w:rsid w:val="00E111D5"/>
    <w:rsid w:val="00E11235"/>
    <w:rsid w:val="00E1126E"/>
    <w:rsid w:val="00E1128F"/>
    <w:rsid w:val="00E11296"/>
    <w:rsid w:val="00E112B4"/>
    <w:rsid w:val="00E1130D"/>
    <w:rsid w:val="00E1143A"/>
    <w:rsid w:val="00E1145C"/>
    <w:rsid w:val="00E11483"/>
    <w:rsid w:val="00E1148F"/>
    <w:rsid w:val="00E114AC"/>
    <w:rsid w:val="00E114CF"/>
    <w:rsid w:val="00E11544"/>
    <w:rsid w:val="00E1159F"/>
    <w:rsid w:val="00E115DB"/>
    <w:rsid w:val="00E116AD"/>
    <w:rsid w:val="00E11718"/>
    <w:rsid w:val="00E117EB"/>
    <w:rsid w:val="00E1180C"/>
    <w:rsid w:val="00E1181E"/>
    <w:rsid w:val="00E1182A"/>
    <w:rsid w:val="00E11856"/>
    <w:rsid w:val="00E11969"/>
    <w:rsid w:val="00E11994"/>
    <w:rsid w:val="00E11A4B"/>
    <w:rsid w:val="00E11AA7"/>
    <w:rsid w:val="00E11CC7"/>
    <w:rsid w:val="00E11DC6"/>
    <w:rsid w:val="00E11E60"/>
    <w:rsid w:val="00E11EBE"/>
    <w:rsid w:val="00E11F0C"/>
    <w:rsid w:val="00E11F36"/>
    <w:rsid w:val="00E11F8D"/>
    <w:rsid w:val="00E120EB"/>
    <w:rsid w:val="00E12116"/>
    <w:rsid w:val="00E1215A"/>
    <w:rsid w:val="00E12180"/>
    <w:rsid w:val="00E1227C"/>
    <w:rsid w:val="00E122B1"/>
    <w:rsid w:val="00E1232E"/>
    <w:rsid w:val="00E12386"/>
    <w:rsid w:val="00E123A7"/>
    <w:rsid w:val="00E123F5"/>
    <w:rsid w:val="00E124D4"/>
    <w:rsid w:val="00E124E7"/>
    <w:rsid w:val="00E1260E"/>
    <w:rsid w:val="00E1269A"/>
    <w:rsid w:val="00E127D1"/>
    <w:rsid w:val="00E12923"/>
    <w:rsid w:val="00E1294A"/>
    <w:rsid w:val="00E12976"/>
    <w:rsid w:val="00E12C1E"/>
    <w:rsid w:val="00E12C6F"/>
    <w:rsid w:val="00E12C77"/>
    <w:rsid w:val="00E12C9A"/>
    <w:rsid w:val="00E12CFE"/>
    <w:rsid w:val="00E12D39"/>
    <w:rsid w:val="00E12D8E"/>
    <w:rsid w:val="00E12E77"/>
    <w:rsid w:val="00E12F49"/>
    <w:rsid w:val="00E13020"/>
    <w:rsid w:val="00E13029"/>
    <w:rsid w:val="00E1303C"/>
    <w:rsid w:val="00E1304B"/>
    <w:rsid w:val="00E131DA"/>
    <w:rsid w:val="00E131FD"/>
    <w:rsid w:val="00E13205"/>
    <w:rsid w:val="00E1324D"/>
    <w:rsid w:val="00E1327B"/>
    <w:rsid w:val="00E132FC"/>
    <w:rsid w:val="00E1333F"/>
    <w:rsid w:val="00E13367"/>
    <w:rsid w:val="00E13468"/>
    <w:rsid w:val="00E13588"/>
    <w:rsid w:val="00E135FF"/>
    <w:rsid w:val="00E13644"/>
    <w:rsid w:val="00E1366A"/>
    <w:rsid w:val="00E1366D"/>
    <w:rsid w:val="00E137CF"/>
    <w:rsid w:val="00E137E4"/>
    <w:rsid w:val="00E1385E"/>
    <w:rsid w:val="00E13872"/>
    <w:rsid w:val="00E138FE"/>
    <w:rsid w:val="00E13937"/>
    <w:rsid w:val="00E13969"/>
    <w:rsid w:val="00E139A6"/>
    <w:rsid w:val="00E139AF"/>
    <w:rsid w:val="00E139C0"/>
    <w:rsid w:val="00E13A01"/>
    <w:rsid w:val="00E13AA7"/>
    <w:rsid w:val="00E13BD3"/>
    <w:rsid w:val="00E13C31"/>
    <w:rsid w:val="00E13C9C"/>
    <w:rsid w:val="00E13CEF"/>
    <w:rsid w:val="00E13DB5"/>
    <w:rsid w:val="00E13DBE"/>
    <w:rsid w:val="00E13DD2"/>
    <w:rsid w:val="00E13DE0"/>
    <w:rsid w:val="00E13E07"/>
    <w:rsid w:val="00E13E33"/>
    <w:rsid w:val="00E13EE3"/>
    <w:rsid w:val="00E13F3D"/>
    <w:rsid w:val="00E13F82"/>
    <w:rsid w:val="00E13FA2"/>
    <w:rsid w:val="00E14046"/>
    <w:rsid w:val="00E141A9"/>
    <w:rsid w:val="00E141E6"/>
    <w:rsid w:val="00E1427F"/>
    <w:rsid w:val="00E1433F"/>
    <w:rsid w:val="00E143DB"/>
    <w:rsid w:val="00E144E8"/>
    <w:rsid w:val="00E14604"/>
    <w:rsid w:val="00E146E3"/>
    <w:rsid w:val="00E14790"/>
    <w:rsid w:val="00E14791"/>
    <w:rsid w:val="00E147C9"/>
    <w:rsid w:val="00E147D7"/>
    <w:rsid w:val="00E14849"/>
    <w:rsid w:val="00E14850"/>
    <w:rsid w:val="00E148E4"/>
    <w:rsid w:val="00E14919"/>
    <w:rsid w:val="00E14964"/>
    <w:rsid w:val="00E149B0"/>
    <w:rsid w:val="00E149C0"/>
    <w:rsid w:val="00E149C9"/>
    <w:rsid w:val="00E14A9B"/>
    <w:rsid w:val="00E14BA3"/>
    <w:rsid w:val="00E14BAF"/>
    <w:rsid w:val="00E14BDA"/>
    <w:rsid w:val="00E14BF8"/>
    <w:rsid w:val="00E14C02"/>
    <w:rsid w:val="00E14C92"/>
    <w:rsid w:val="00E14CD7"/>
    <w:rsid w:val="00E14CE1"/>
    <w:rsid w:val="00E14D03"/>
    <w:rsid w:val="00E14D7C"/>
    <w:rsid w:val="00E14D98"/>
    <w:rsid w:val="00E14F47"/>
    <w:rsid w:val="00E14F6F"/>
    <w:rsid w:val="00E14F7C"/>
    <w:rsid w:val="00E150CA"/>
    <w:rsid w:val="00E1510A"/>
    <w:rsid w:val="00E15175"/>
    <w:rsid w:val="00E1522F"/>
    <w:rsid w:val="00E15239"/>
    <w:rsid w:val="00E15374"/>
    <w:rsid w:val="00E153AF"/>
    <w:rsid w:val="00E153D4"/>
    <w:rsid w:val="00E15405"/>
    <w:rsid w:val="00E15485"/>
    <w:rsid w:val="00E15495"/>
    <w:rsid w:val="00E1556D"/>
    <w:rsid w:val="00E15575"/>
    <w:rsid w:val="00E15593"/>
    <w:rsid w:val="00E155E2"/>
    <w:rsid w:val="00E15660"/>
    <w:rsid w:val="00E1569E"/>
    <w:rsid w:val="00E15829"/>
    <w:rsid w:val="00E15888"/>
    <w:rsid w:val="00E158DB"/>
    <w:rsid w:val="00E158EF"/>
    <w:rsid w:val="00E15940"/>
    <w:rsid w:val="00E15969"/>
    <w:rsid w:val="00E15976"/>
    <w:rsid w:val="00E15A31"/>
    <w:rsid w:val="00E15B0F"/>
    <w:rsid w:val="00E15B42"/>
    <w:rsid w:val="00E15CBF"/>
    <w:rsid w:val="00E15D3B"/>
    <w:rsid w:val="00E15D98"/>
    <w:rsid w:val="00E15E55"/>
    <w:rsid w:val="00E15E9A"/>
    <w:rsid w:val="00E15EFD"/>
    <w:rsid w:val="00E15F39"/>
    <w:rsid w:val="00E15F72"/>
    <w:rsid w:val="00E15F8A"/>
    <w:rsid w:val="00E1605D"/>
    <w:rsid w:val="00E161A0"/>
    <w:rsid w:val="00E16337"/>
    <w:rsid w:val="00E16348"/>
    <w:rsid w:val="00E164A8"/>
    <w:rsid w:val="00E164FE"/>
    <w:rsid w:val="00E165A3"/>
    <w:rsid w:val="00E16654"/>
    <w:rsid w:val="00E16665"/>
    <w:rsid w:val="00E16699"/>
    <w:rsid w:val="00E16721"/>
    <w:rsid w:val="00E16809"/>
    <w:rsid w:val="00E16846"/>
    <w:rsid w:val="00E1690D"/>
    <w:rsid w:val="00E16969"/>
    <w:rsid w:val="00E169FA"/>
    <w:rsid w:val="00E16A79"/>
    <w:rsid w:val="00E16BEA"/>
    <w:rsid w:val="00E16CB2"/>
    <w:rsid w:val="00E16D2C"/>
    <w:rsid w:val="00E16DD6"/>
    <w:rsid w:val="00E16E83"/>
    <w:rsid w:val="00E16ED6"/>
    <w:rsid w:val="00E16F32"/>
    <w:rsid w:val="00E16F3A"/>
    <w:rsid w:val="00E16FB2"/>
    <w:rsid w:val="00E1702B"/>
    <w:rsid w:val="00E1704A"/>
    <w:rsid w:val="00E17105"/>
    <w:rsid w:val="00E17183"/>
    <w:rsid w:val="00E171C4"/>
    <w:rsid w:val="00E17227"/>
    <w:rsid w:val="00E1723A"/>
    <w:rsid w:val="00E1724C"/>
    <w:rsid w:val="00E17282"/>
    <w:rsid w:val="00E172F1"/>
    <w:rsid w:val="00E17323"/>
    <w:rsid w:val="00E1743E"/>
    <w:rsid w:val="00E17485"/>
    <w:rsid w:val="00E174E0"/>
    <w:rsid w:val="00E17540"/>
    <w:rsid w:val="00E17597"/>
    <w:rsid w:val="00E17672"/>
    <w:rsid w:val="00E176A7"/>
    <w:rsid w:val="00E176E3"/>
    <w:rsid w:val="00E17700"/>
    <w:rsid w:val="00E1778F"/>
    <w:rsid w:val="00E1789C"/>
    <w:rsid w:val="00E17938"/>
    <w:rsid w:val="00E1794E"/>
    <w:rsid w:val="00E17973"/>
    <w:rsid w:val="00E179AA"/>
    <w:rsid w:val="00E179C8"/>
    <w:rsid w:val="00E17A32"/>
    <w:rsid w:val="00E17A59"/>
    <w:rsid w:val="00E17BC3"/>
    <w:rsid w:val="00E17BCA"/>
    <w:rsid w:val="00E17BF6"/>
    <w:rsid w:val="00E17C4A"/>
    <w:rsid w:val="00E17D5C"/>
    <w:rsid w:val="00E17D89"/>
    <w:rsid w:val="00E17EFB"/>
    <w:rsid w:val="00E17F71"/>
    <w:rsid w:val="00E18376"/>
    <w:rsid w:val="00E193D1"/>
    <w:rsid w:val="00E20002"/>
    <w:rsid w:val="00E202A5"/>
    <w:rsid w:val="00E203A7"/>
    <w:rsid w:val="00E20451"/>
    <w:rsid w:val="00E20478"/>
    <w:rsid w:val="00E204B9"/>
    <w:rsid w:val="00E204C1"/>
    <w:rsid w:val="00E2056A"/>
    <w:rsid w:val="00E205CE"/>
    <w:rsid w:val="00E20621"/>
    <w:rsid w:val="00E206C6"/>
    <w:rsid w:val="00E206CB"/>
    <w:rsid w:val="00E20760"/>
    <w:rsid w:val="00E207C0"/>
    <w:rsid w:val="00E20835"/>
    <w:rsid w:val="00E20884"/>
    <w:rsid w:val="00E208D6"/>
    <w:rsid w:val="00E20944"/>
    <w:rsid w:val="00E209BF"/>
    <w:rsid w:val="00E20A46"/>
    <w:rsid w:val="00E20B62"/>
    <w:rsid w:val="00E20B91"/>
    <w:rsid w:val="00E20B98"/>
    <w:rsid w:val="00E20C39"/>
    <w:rsid w:val="00E20C60"/>
    <w:rsid w:val="00E20C75"/>
    <w:rsid w:val="00E20C82"/>
    <w:rsid w:val="00E20CAF"/>
    <w:rsid w:val="00E20D16"/>
    <w:rsid w:val="00E20D63"/>
    <w:rsid w:val="00E20DB7"/>
    <w:rsid w:val="00E20E8C"/>
    <w:rsid w:val="00E20F45"/>
    <w:rsid w:val="00E20F81"/>
    <w:rsid w:val="00E20FF3"/>
    <w:rsid w:val="00E21055"/>
    <w:rsid w:val="00E21161"/>
    <w:rsid w:val="00E211D9"/>
    <w:rsid w:val="00E211ED"/>
    <w:rsid w:val="00E212CF"/>
    <w:rsid w:val="00E21356"/>
    <w:rsid w:val="00E213C9"/>
    <w:rsid w:val="00E213EF"/>
    <w:rsid w:val="00E21418"/>
    <w:rsid w:val="00E21460"/>
    <w:rsid w:val="00E2146E"/>
    <w:rsid w:val="00E2147E"/>
    <w:rsid w:val="00E214F0"/>
    <w:rsid w:val="00E2154A"/>
    <w:rsid w:val="00E2154B"/>
    <w:rsid w:val="00E21595"/>
    <w:rsid w:val="00E21619"/>
    <w:rsid w:val="00E21693"/>
    <w:rsid w:val="00E216E6"/>
    <w:rsid w:val="00E21736"/>
    <w:rsid w:val="00E21893"/>
    <w:rsid w:val="00E21A01"/>
    <w:rsid w:val="00E21ACF"/>
    <w:rsid w:val="00E21BE5"/>
    <w:rsid w:val="00E21C1C"/>
    <w:rsid w:val="00E21D44"/>
    <w:rsid w:val="00E21E66"/>
    <w:rsid w:val="00E21F9E"/>
    <w:rsid w:val="00E22030"/>
    <w:rsid w:val="00E2216B"/>
    <w:rsid w:val="00E22170"/>
    <w:rsid w:val="00E22197"/>
    <w:rsid w:val="00E22256"/>
    <w:rsid w:val="00E2228E"/>
    <w:rsid w:val="00E222BC"/>
    <w:rsid w:val="00E222C8"/>
    <w:rsid w:val="00E2236D"/>
    <w:rsid w:val="00E223F8"/>
    <w:rsid w:val="00E22411"/>
    <w:rsid w:val="00E2241F"/>
    <w:rsid w:val="00E2258A"/>
    <w:rsid w:val="00E225FB"/>
    <w:rsid w:val="00E226A7"/>
    <w:rsid w:val="00E226E3"/>
    <w:rsid w:val="00E22724"/>
    <w:rsid w:val="00E2273B"/>
    <w:rsid w:val="00E2277A"/>
    <w:rsid w:val="00E227E9"/>
    <w:rsid w:val="00E2282C"/>
    <w:rsid w:val="00E2284C"/>
    <w:rsid w:val="00E22878"/>
    <w:rsid w:val="00E228BF"/>
    <w:rsid w:val="00E228C3"/>
    <w:rsid w:val="00E22927"/>
    <w:rsid w:val="00E22934"/>
    <w:rsid w:val="00E2296D"/>
    <w:rsid w:val="00E2299C"/>
    <w:rsid w:val="00E229D7"/>
    <w:rsid w:val="00E229E1"/>
    <w:rsid w:val="00E22A1C"/>
    <w:rsid w:val="00E22A21"/>
    <w:rsid w:val="00E22A30"/>
    <w:rsid w:val="00E22AEF"/>
    <w:rsid w:val="00E22B71"/>
    <w:rsid w:val="00E22B7A"/>
    <w:rsid w:val="00E22BA9"/>
    <w:rsid w:val="00E22BC0"/>
    <w:rsid w:val="00E22BC7"/>
    <w:rsid w:val="00E22CB9"/>
    <w:rsid w:val="00E22CC8"/>
    <w:rsid w:val="00E22D77"/>
    <w:rsid w:val="00E22F62"/>
    <w:rsid w:val="00E22FCB"/>
    <w:rsid w:val="00E22FD8"/>
    <w:rsid w:val="00E23122"/>
    <w:rsid w:val="00E23172"/>
    <w:rsid w:val="00E2319E"/>
    <w:rsid w:val="00E23218"/>
    <w:rsid w:val="00E23341"/>
    <w:rsid w:val="00E233ED"/>
    <w:rsid w:val="00E23412"/>
    <w:rsid w:val="00E234E6"/>
    <w:rsid w:val="00E23509"/>
    <w:rsid w:val="00E2352F"/>
    <w:rsid w:val="00E23552"/>
    <w:rsid w:val="00E2355A"/>
    <w:rsid w:val="00E235CF"/>
    <w:rsid w:val="00E235F3"/>
    <w:rsid w:val="00E2364E"/>
    <w:rsid w:val="00E236F6"/>
    <w:rsid w:val="00E2370B"/>
    <w:rsid w:val="00E23826"/>
    <w:rsid w:val="00E23882"/>
    <w:rsid w:val="00E238BA"/>
    <w:rsid w:val="00E238C0"/>
    <w:rsid w:val="00E238D4"/>
    <w:rsid w:val="00E238F5"/>
    <w:rsid w:val="00E238F6"/>
    <w:rsid w:val="00E23914"/>
    <w:rsid w:val="00E23938"/>
    <w:rsid w:val="00E2395D"/>
    <w:rsid w:val="00E23A43"/>
    <w:rsid w:val="00E23AA9"/>
    <w:rsid w:val="00E23AF1"/>
    <w:rsid w:val="00E23B19"/>
    <w:rsid w:val="00E23B60"/>
    <w:rsid w:val="00E23CB0"/>
    <w:rsid w:val="00E23CDF"/>
    <w:rsid w:val="00E23D3F"/>
    <w:rsid w:val="00E23DAB"/>
    <w:rsid w:val="00E23E32"/>
    <w:rsid w:val="00E23E52"/>
    <w:rsid w:val="00E23E61"/>
    <w:rsid w:val="00E2403F"/>
    <w:rsid w:val="00E240A3"/>
    <w:rsid w:val="00E2413A"/>
    <w:rsid w:val="00E241A5"/>
    <w:rsid w:val="00E241E7"/>
    <w:rsid w:val="00E2428B"/>
    <w:rsid w:val="00E24294"/>
    <w:rsid w:val="00E242B1"/>
    <w:rsid w:val="00E242B2"/>
    <w:rsid w:val="00E242E7"/>
    <w:rsid w:val="00E2432E"/>
    <w:rsid w:val="00E2442B"/>
    <w:rsid w:val="00E24453"/>
    <w:rsid w:val="00E2445F"/>
    <w:rsid w:val="00E2448D"/>
    <w:rsid w:val="00E24519"/>
    <w:rsid w:val="00E2459F"/>
    <w:rsid w:val="00E246CA"/>
    <w:rsid w:val="00E247B3"/>
    <w:rsid w:val="00E248AB"/>
    <w:rsid w:val="00E248AC"/>
    <w:rsid w:val="00E2499F"/>
    <w:rsid w:val="00E249BB"/>
    <w:rsid w:val="00E249CC"/>
    <w:rsid w:val="00E24AEF"/>
    <w:rsid w:val="00E24B1B"/>
    <w:rsid w:val="00E24B24"/>
    <w:rsid w:val="00E24C7B"/>
    <w:rsid w:val="00E24C9E"/>
    <w:rsid w:val="00E24CBE"/>
    <w:rsid w:val="00E24CC0"/>
    <w:rsid w:val="00E24D91"/>
    <w:rsid w:val="00E24D9D"/>
    <w:rsid w:val="00E24DAE"/>
    <w:rsid w:val="00E24DDD"/>
    <w:rsid w:val="00E24DF9"/>
    <w:rsid w:val="00E24E4F"/>
    <w:rsid w:val="00E24F1E"/>
    <w:rsid w:val="00E24F60"/>
    <w:rsid w:val="00E24FC5"/>
    <w:rsid w:val="00E25012"/>
    <w:rsid w:val="00E25096"/>
    <w:rsid w:val="00E25106"/>
    <w:rsid w:val="00E25202"/>
    <w:rsid w:val="00E25245"/>
    <w:rsid w:val="00E25329"/>
    <w:rsid w:val="00E25373"/>
    <w:rsid w:val="00E253DD"/>
    <w:rsid w:val="00E25488"/>
    <w:rsid w:val="00E254CC"/>
    <w:rsid w:val="00E254D6"/>
    <w:rsid w:val="00E255AA"/>
    <w:rsid w:val="00E25698"/>
    <w:rsid w:val="00E256C8"/>
    <w:rsid w:val="00E2575F"/>
    <w:rsid w:val="00E257D4"/>
    <w:rsid w:val="00E25818"/>
    <w:rsid w:val="00E2592D"/>
    <w:rsid w:val="00E259CC"/>
    <w:rsid w:val="00E25A1D"/>
    <w:rsid w:val="00E25A41"/>
    <w:rsid w:val="00E25A93"/>
    <w:rsid w:val="00E25AD0"/>
    <w:rsid w:val="00E25AE0"/>
    <w:rsid w:val="00E25AEE"/>
    <w:rsid w:val="00E25C18"/>
    <w:rsid w:val="00E25C2B"/>
    <w:rsid w:val="00E25C51"/>
    <w:rsid w:val="00E25C63"/>
    <w:rsid w:val="00E25C6E"/>
    <w:rsid w:val="00E25C8A"/>
    <w:rsid w:val="00E25DBA"/>
    <w:rsid w:val="00E25DF4"/>
    <w:rsid w:val="00E25E53"/>
    <w:rsid w:val="00E25E8B"/>
    <w:rsid w:val="00E25F4C"/>
    <w:rsid w:val="00E25FD2"/>
    <w:rsid w:val="00E25FDD"/>
    <w:rsid w:val="00E26049"/>
    <w:rsid w:val="00E26075"/>
    <w:rsid w:val="00E26078"/>
    <w:rsid w:val="00E260CB"/>
    <w:rsid w:val="00E261CF"/>
    <w:rsid w:val="00E2630E"/>
    <w:rsid w:val="00E263C2"/>
    <w:rsid w:val="00E26609"/>
    <w:rsid w:val="00E26662"/>
    <w:rsid w:val="00E26665"/>
    <w:rsid w:val="00E26688"/>
    <w:rsid w:val="00E26745"/>
    <w:rsid w:val="00E26775"/>
    <w:rsid w:val="00E2678B"/>
    <w:rsid w:val="00E2683D"/>
    <w:rsid w:val="00E26884"/>
    <w:rsid w:val="00E268D9"/>
    <w:rsid w:val="00E268F0"/>
    <w:rsid w:val="00E26916"/>
    <w:rsid w:val="00E26975"/>
    <w:rsid w:val="00E26A33"/>
    <w:rsid w:val="00E26B0D"/>
    <w:rsid w:val="00E26BED"/>
    <w:rsid w:val="00E26C04"/>
    <w:rsid w:val="00E26C2D"/>
    <w:rsid w:val="00E26CCF"/>
    <w:rsid w:val="00E26D07"/>
    <w:rsid w:val="00E26D58"/>
    <w:rsid w:val="00E26DEC"/>
    <w:rsid w:val="00E26DF6"/>
    <w:rsid w:val="00E26F06"/>
    <w:rsid w:val="00E26F12"/>
    <w:rsid w:val="00E26F5D"/>
    <w:rsid w:val="00E26F66"/>
    <w:rsid w:val="00E26F8B"/>
    <w:rsid w:val="00E26FAE"/>
    <w:rsid w:val="00E26FDE"/>
    <w:rsid w:val="00E270CD"/>
    <w:rsid w:val="00E27141"/>
    <w:rsid w:val="00E271A3"/>
    <w:rsid w:val="00E27206"/>
    <w:rsid w:val="00E27275"/>
    <w:rsid w:val="00E27291"/>
    <w:rsid w:val="00E2732C"/>
    <w:rsid w:val="00E27333"/>
    <w:rsid w:val="00E2735B"/>
    <w:rsid w:val="00E273B6"/>
    <w:rsid w:val="00E27537"/>
    <w:rsid w:val="00E2754F"/>
    <w:rsid w:val="00E2757D"/>
    <w:rsid w:val="00E275A8"/>
    <w:rsid w:val="00E27600"/>
    <w:rsid w:val="00E27672"/>
    <w:rsid w:val="00E276A9"/>
    <w:rsid w:val="00E2780D"/>
    <w:rsid w:val="00E2786B"/>
    <w:rsid w:val="00E27986"/>
    <w:rsid w:val="00E27991"/>
    <w:rsid w:val="00E27A39"/>
    <w:rsid w:val="00E27A82"/>
    <w:rsid w:val="00E27AF2"/>
    <w:rsid w:val="00E27B58"/>
    <w:rsid w:val="00E27B84"/>
    <w:rsid w:val="00E27BEE"/>
    <w:rsid w:val="00E27C30"/>
    <w:rsid w:val="00E27C36"/>
    <w:rsid w:val="00E27CD6"/>
    <w:rsid w:val="00E27D29"/>
    <w:rsid w:val="00E27DF5"/>
    <w:rsid w:val="00E27E23"/>
    <w:rsid w:val="00E27E7C"/>
    <w:rsid w:val="00E27F29"/>
    <w:rsid w:val="00E27F39"/>
    <w:rsid w:val="00E27F4E"/>
    <w:rsid w:val="00E27FB6"/>
    <w:rsid w:val="00E2B927"/>
    <w:rsid w:val="00E300EE"/>
    <w:rsid w:val="00E30114"/>
    <w:rsid w:val="00E30131"/>
    <w:rsid w:val="00E30169"/>
    <w:rsid w:val="00E30222"/>
    <w:rsid w:val="00E30290"/>
    <w:rsid w:val="00E302AD"/>
    <w:rsid w:val="00E302CB"/>
    <w:rsid w:val="00E3031F"/>
    <w:rsid w:val="00E303F5"/>
    <w:rsid w:val="00E30662"/>
    <w:rsid w:val="00E306C1"/>
    <w:rsid w:val="00E30811"/>
    <w:rsid w:val="00E30862"/>
    <w:rsid w:val="00E30892"/>
    <w:rsid w:val="00E308A4"/>
    <w:rsid w:val="00E30944"/>
    <w:rsid w:val="00E30A1B"/>
    <w:rsid w:val="00E30AE7"/>
    <w:rsid w:val="00E30B4A"/>
    <w:rsid w:val="00E30BC2"/>
    <w:rsid w:val="00E30BD4"/>
    <w:rsid w:val="00E30C39"/>
    <w:rsid w:val="00E30DE1"/>
    <w:rsid w:val="00E30E86"/>
    <w:rsid w:val="00E30EEA"/>
    <w:rsid w:val="00E30F2D"/>
    <w:rsid w:val="00E30F5D"/>
    <w:rsid w:val="00E310B5"/>
    <w:rsid w:val="00E310FD"/>
    <w:rsid w:val="00E3110E"/>
    <w:rsid w:val="00E3115C"/>
    <w:rsid w:val="00E31175"/>
    <w:rsid w:val="00E3117C"/>
    <w:rsid w:val="00E31226"/>
    <w:rsid w:val="00E31284"/>
    <w:rsid w:val="00E312D5"/>
    <w:rsid w:val="00E31328"/>
    <w:rsid w:val="00E3149F"/>
    <w:rsid w:val="00E31503"/>
    <w:rsid w:val="00E315EE"/>
    <w:rsid w:val="00E31657"/>
    <w:rsid w:val="00E31673"/>
    <w:rsid w:val="00E31689"/>
    <w:rsid w:val="00E31730"/>
    <w:rsid w:val="00E31885"/>
    <w:rsid w:val="00E319B8"/>
    <w:rsid w:val="00E319ED"/>
    <w:rsid w:val="00E31A87"/>
    <w:rsid w:val="00E31ABC"/>
    <w:rsid w:val="00E31AEE"/>
    <w:rsid w:val="00E31B3E"/>
    <w:rsid w:val="00E31BB9"/>
    <w:rsid w:val="00E31CC5"/>
    <w:rsid w:val="00E31E77"/>
    <w:rsid w:val="00E31F0A"/>
    <w:rsid w:val="00E31FA8"/>
    <w:rsid w:val="00E3204B"/>
    <w:rsid w:val="00E32271"/>
    <w:rsid w:val="00E32311"/>
    <w:rsid w:val="00E323B6"/>
    <w:rsid w:val="00E3243F"/>
    <w:rsid w:val="00E3244C"/>
    <w:rsid w:val="00E324A4"/>
    <w:rsid w:val="00E324B1"/>
    <w:rsid w:val="00E324BF"/>
    <w:rsid w:val="00E3256E"/>
    <w:rsid w:val="00E32578"/>
    <w:rsid w:val="00E325ED"/>
    <w:rsid w:val="00E326B9"/>
    <w:rsid w:val="00E326C1"/>
    <w:rsid w:val="00E326D1"/>
    <w:rsid w:val="00E3275E"/>
    <w:rsid w:val="00E32775"/>
    <w:rsid w:val="00E327BC"/>
    <w:rsid w:val="00E32890"/>
    <w:rsid w:val="00E329BC"/>
    <w:rsid w:val="00E329C3"/>
    <w:rsid w:val="00E32A3A"/>
    <w:rsid w:val="00E32A6E"/>
    <w:rsid w:val="00E32AB7"/>
    <w:rsid w:val="00E32D7E"/>
    <w:rsid w:val="00E32DA4"/>
    <w:rsid w:val="00E32DAA"/>
    <w:rsid w:val="00E32E01"/>
    <w:rsid w:val="00E32E0C"/>
    <w:rsid w:val="00E32E17"/>
    <w:rsid w:val="00E32F0A"/>
    <w:rsid w:val="00E32F21"/>
    <w:rsid w:val="00E32F93"/>
    <w:rsid w:val="00E32FA2"/>
    <w:rsid w:val="00E32FED"/>
    <w:rsid w:val="00E33006"/>
    <w:rsid w:val="00E33032"/>
    <w:rsid w:val="00E33056"/>
    <w:rsid w:val="00E3313C"/>
    <w:rsid w:val="00E3314F"/>
    <w:rsid w:val="00E33185"/>
    <w:rsid w:val="00E33225"/>
    <w:rsid w:val="00E33229"/>
    <w:rsid w:val="00E332A1"/>
    <w:rsid w:val="00E332C2"/>
    <w:rsid w:val="00E33370"/>
    <w:rsid w:val="00E333D4"/>
    <w:rsid w:val="00E33449"/>
    <w:rsid w:val="00E3347B"/>
    <w:rsid w:val="00E334B2"/>
    <w:rsid w:val="00E3358A"/>
    <w:rsid w:val="00E33592"/>
    <w:rsid w:val="00E335D1"/>
    <w:rsid w:val="00E3363C"/>
    <w:rsid w:val="00E337ED"/>
    <w:rsid w:val="00E33890"/>
    <w:rsid w:val="00E338C6"/>
    <w:rsid w:val="00E339A6"/>
    <w:rsid w:val="00E339FC"/>
    <w:rsid w:val="00E33B90"/>
    <w:rsid w:val="00E33C85"/>
    <w:rsid w:val="00E33D2D"/>
    <w:rsid w:val="00E33D53"/>
    <w:rsid w:val="00E33DB3"/>
    <w:rsid w:val="00E33DF1"/>
    <w:rsid w:val="00E33E2C"/>
    <w:rsid w:val="00E33E41"/>
    <w:rsid w:val="00E33E47"/>
    <w:rsid w:val="00E33EFF"/>
    <w:rsid w:val="00E33F3C"/>
    <w:rsid w:val="00E33F49"/>
    <w:rsid w:val="00E33FC3"/>
    <w:rsid w:val="00E33FF8"/>
    <w:rsid w:val="00E340FF"/>
    <w:rsid w:val="00E34115"/>
    <w:rsid w:val="00E34142"/>
    <w:rsid w:val="00E34153"/>
    <w:rsid w:val="00E34176"/>
    <w:rsid w:val="00E341D8"/>
    <w:rsid w:val="00E34294"/>
    <w:rsid w:val="00E342F0"/>
    <w:rsid w:val="00E34325"/>
    <w:rsid w:val="00E3432A"/>
    <w:rsid w:val="00E34394"/>
    <w:rsid w:val="00E343B1"/>
    <w:rsid w:val="00E343FB"/>
    <w:rsid w:val="00E3440B"/>
    <w:rsid w:val="00E344DF"/>
    <w:rsid w:val="00E34539"/>
    <w:rsid w:val="00E345C4"/>
    <w:rsid w:val="00E34643"/>
    <w:rsid w:val="00E34660"/>
    <w:rsid w:val="00E34667"/>
    <w:rsid w:val="00E34824"/>
    <w:rsid w:val="00E34880"/>
    <w:rsid w:val="00E348A6"/>
    <w:rsid w:val="00E348C2"/>
    <w:rsid w:val="00E34905"/>
    <w:rsid w:val="00E3499D"/>
    <w:rsid w:val="00E349D1"/>
    <w:rsid w:val="00E349DC"/>
    <w:rsid w:val="00E34AB4"/>
    <w:rsid w:val="00E34B49"/>
    <w:rsid w:val="00E34BE3"/>
    <w:rsid w:val="00E34BFA"/>
    <w:rsid w:val="00E34C17"/>
    <w:rsid w:val="00E34C3F"/>
    <w:rsid w:val="00E34E69"/>
    <w:rsid w:val="00E34E90"/>
    <w:rsid w:val="00E34F2C"/>
    <w:rsid w:val="00E3501A"/>
    <w:rsid w:val="00E3507A"/>
    <w:rsid w:val="00E350AD"/>
    <w:rsid w:val="00E350D2"/>
    <w:rsid w:val="00E350FC"/>
    <w:rsid w:val="00E3512A"/>
    <w:rsid w:val="00E351BB"/>
    <w:rsid w:val="00E35294"/>
    <w:rsid w:val="00E35326"/>
    <w:rsid w:val="00E35357"/>
    <w:rsid w:val="00E3535B"/>
    <w:rsid w:val="00E353FC"/>
    <w:rsid w:val="00E35458"/>
    <w:rsid w:val="00E3555B"/>
    <w:rsid w:val="00E355A7"/>
    <w:rsid w:val="00E355C8"/>
    <w:rsid w:val="00E35625"/>
    <w:rsid w:val="00E3562A"/>
    <w:rsid w:val="00E3569D"/>
    <w:rsid w:val="00E3574C"/>
    <w:rsid w:val="00E357B0"/>
    <w:rsid w:val="00E357B1"/>
    <w:rsid w:val="00E357D7"/>
    <w:rsid w:val="00E3585C"/>
    <w:rsid w:val="00E358EA"/>
    <w:rsid w:val="00E35960"/>
    <w:rsid w:val="00E3599A"/>
    <w:rsid w:val="00E35A3C"/>
    <w:rsid w:val="00E35A6E"/>
    <w:rsid w:val="00E35A83"/>
    <w:rsid w:val="00E35B35"/>
    <w:rsid w:val="00E35B81"/>
    <w:rsid w:val="00E35BC1"/>
    <w:rsid w:val="00E35C1B"/>
    <w:rsid w:val="00E35C2F"/>
    <w:rsid w:val="00E35D41"/>
    <w:rsid w:val="00E35E10"/>
    <w:rsid w:val="00E35F23"/>
    <w:rsid w:val="00E35F62"/>
    <w:rsid w:val="00E35FB2"/>
    <w:rsid w:val="00E36043"/>
    <w:rsid w:val="00E360D6"/>
    <w:rsid w:val="00E36122"/>
    <w:rsid w:val="00E361D1"/>
    <w:rsid w:val="00E36203"/>
    <w:rsid w:val="00E3640B"/>
    <w:rsid w:val="00E364E9"/>
    <w:rsid w:val="00E36540"/>
    <w:rsid w:val="00E36558"/>
    <w:rsid w:val="00E365AC"/>
    <w:rsid w:val="00E365E1"/>
    <w:rsid w:val="00E36744"/>
    <w:rsid w:val="00E3681C"/>
    <w:rsid w:val="00E36937"/>
    <w:rsid w:val="00E36971"/>
    <w:rsid w:val="00E3699B"/>
    <w:rsid w:val="00E369F0"/>
    <w:rsid w:val="00E369F7"/>
    <w:rsid w:val="00E36A4E"/>
    <w:rsid w:val="00E36AF1"/>
    <w:rsid w:val="00E36BE9"/>
    <w:rsid w:val="00E36C03"/>
    <w:rsid w:val="00E36C63"/>
    <w:rsid w:val="00E36C99"/>
    <w:rsid w:val="00E36CE6"/>
    <w:rsid w:val="00E36D8F"/>
    <w:rsid w:val="00E36DAF"/>
    <w:rsid w:val="00E36DB9"/>
    <w:rsid w:val="00E36DDC"/>
    <w:rsid w:val="00E36DF4"/>
    <w:rsid w:val="00E36DF5"/>
    <w:rsid w:val="00E36E14"/>
    <w:rsid w:val="00E36FBC"/>
    <w:rsid w:val="00E37011"/>
    <w:rsid w:val="00E370AD"/>
    <w:rsid w:val="00E37139"/>
    <w:rsid w:val="00E3715B"/>
    <w:rsid w:val="00E3724C"/>
    <w:rsid w:val="00E3742F"/>
    <w:rsid w:val="00E3743C"/>
    <w:rsid w:val="00E37495"/>
    <w:rsid w:val="00E374E1"/>
    <w:rsid w:val="00E3752B"/>
    <w:rsid w:val="00E3754E"/>
    <w:rsid w:val="00E37565"/>
    <w:rsid w:val="00E37566"/>
    <w:rsid w:val="00E3759A"/>
    <w:rsid w:val="00E375DF"/>
    <w:rsid w:val="00E3767E"/>
    <w:rsid w:val="00E376EF"/>
    <w:rsid w:val="00E37895"/>
    <w:rsid w:val="00E378F3"/>
    <w:rsid w:val="00E37AF5"/>
    <w:rsid w:val="00E37B4B"/>
    <w:rsid w:val="00E37B97"/>
    <w:rsid w:val="00E37C24"/>
    <w:rsid w:val="00E37C28"/>
    <w:rsid w:val="00E37C33"/>
    <w:rsid w:val="00E37C62"/>
    <w:rsid w:val="00E37CB8"/>
    <w:rsid w:val="00E37D0D"/>
    <w:rsid w:val="00E37D3C"/>
    <w:rsid w:val="00E37D49"/>
    <w:rsid w:val="00E37DBD"/>
    <w:rsid w:val="00E37DDE"/>
    <w:rsid w:val="00E37DE8"/>
    <w:rsid w:val="00E37E41"/>
    <w:rsid w:val="00E37EF4"/>
    <w:rsid w:val="00E37EF6"/>
    <w:rsid w:val="00E37F27"/>
    <w:rsid w:val="00E37F53"/>
    <w:rsid w:val="00E37F8E"/>
    <w:rsid w:val="00E37FCF"/>
    <w:rsid w:val="00E4006D"/>
    <w:rsid w:val="00E40308"/>
    <w:rsid w:val="00E40391"/>
    <w:rsid w:val="00E4051F"/>
    <w:rsid w:val="00E4052A"/>
    <w:rsid w:val="00E40691"/>
    <w:rsid w:val="00E40834"/>
    <w:rsid w:val="00E40865"/>
    <w:rsid w:val="00E408CD"/>
    <w:rsid w:val="00E408F9"/>
    <w:rsid w:val="00E408FC"/>
    <w:rsid w:val="00E409B3"/>
    <w:rsid w:val="00E409B8"/>
    <w:rsid w:val="00E40A34"/>
    <w:rsid w:val="00E40A78"/>
    <w:rsid w:val="00E40AED"/>
    <w:rsid w:val="00E40C35"/>
    <w:rsid w:val="00E40C66"/>
    <w:rsid w:val="00E40DC4"/>
    <w:rsid w:val="00E40E38"/>
    <w:rsid w:val="00E40E9C"/>
    <w:rsid w:val="00E40F29"/>
    <w:rsid w:val="00E4101D"/>
    <w:rsid w:val="00E41020"/>
    <w:rsid w:val="00E4102A"/>
    <w:rsid w:val="00E41059"/>
    <w:rsid w:val="00E41066"/>
    <w:rsid w:val="00E4109C"/>
    <w:rsid w:val="00E41205"/>
    <w:rsid w:val="00E41221"/>
    <w:rsid w:val="00E412A1"/>
    <w:rsid w:val="00E412D6"/>
    <w:rsid w:val="00E413A6"/>
    <w:rsid w:val="00E41410"/>
    <w:rsid w:val="00E414C2"/>
    <w:rsid w:val="00E414E4"/>
    <w:rsid w:val="00E41509"/>
    <w:rsid w:val="00E4167B"/>
    <w:rsid w:val="00E416C9"/>
    <w:rsid w:val="00E416E1"/>
    <w:rsid w:val="00E41728"/>
    <w:rsid w:val="00E4175A"/>
    <w:rsid w:val="00E41898"/>
    <w:rsid w:val="00E418BF"/>
    <w:rsid w:val="00E418C0"/>
    <w:rsid w:val="00E4193D"/>
    <w:rsid w:val="00E41958"/>
    <w:rsid w:val="00E41988"/>
    <w:rsid w:val="00E41999"/>
    <w:rsid w:val="00E41A16"/>
    <w:rsid w:val="00E41A60"/>
    <w:rsid w:val="00E41B3D"/>
    <w:rsid w:val="00E41C17"/>
    <w:rsid w:val="00E41C2C"/>
    <w:rsid w:val="00E41C87"/>
    <w:rsid w:val="00E41D2F"/>
    <w:rsid w:val="00E41EAA"/>
    <w:rsid w:val="00E41EB0"/>
    <w:rsid w:val="00E41FA2"/>
    <w:rsid w:val="00E42007"/>
    <w:rsid w:val="00E42064"/>
    <w:rsid w:val="00E42068"/>
    <w:rsid w:val="00E4210F"/>
    <w:rsid w:val="00E421DC"/>
    <w:rsid w:val="00E4221E"/>
    <w:rsid w:val="00E42240"/>
    <w:rsid w:val="00E4228B"/>
    <w:rsid w:val="00E422D7"/>
    <w:rsid w:val="00E423F9"/>
    <w:rsid w:val="00E42422"/>
    <w:rsid w:val="00E42450"/>
    <w:rsid w:val="00E42498"/>
    <w:rsid w:val="00E424C5"/>
    <w:rsid w:val="00E426C8"/>
    <w:rsid w:val="00E42798"/>
    <w:rsid w:val="00E427CE"/>
    <w:rsid w:val="00E42A22"/>
    <w:rsid w:val="00E42B70"/>
    <w:rsid w:val="00E42C1D"/>
    <w:rsid w:val="00E42C20"/>
    <w:rsid w:val="00E42C47"/>
    <w:rsid w:val="00E42C4B"/>
    <w:rsid w:val="00E42C52"/>
    <w:rsid w:val="00E42CD8"/>
    <w:rsid w:val="00E42CE0"/>
    <w:rsid w:val="00E42F09"/>
    <w:rsid w:val="00E42F10"/>
    <w:rsid w:val="00E43102"/>
    <w:rsid w:val="00E431AC"/>
    <w:rsid w:val="00E43217"/>
    <w:rsid w:val="00E432B6"/>
    <w:rsid w:val="00E43330"/>
    <w:rsid w:val="00E434BD"/>
    <w:rsid w:val="00E43625"/>
    <w:rsid w:val="00E436A2"/>
    <w:rsid w:val="00E436F7"/>
    <w:rsid w:val="00E43781"/>
    <w:rsid w:val="00E4380E"/>
    <w:rsid w:val="00E43980"/>
    <w:rsid w:val="00E43A02"/>
    <w:rsid w:val="00E43A59"/>
    <w:rsid w:val="00E43A9D"/>
    <w:rsid w:val="00E43B52"/>
    <w:rsid w:val="00E43BEA"/>
    <w:rsid w:val="00E43E61"/>
    <w:rsid w:val="00E43FE2"/>
    <w:rsid w:val="00E441AE"/>
    <w:rsid w:val="00E44204"/>
    <w:rsid w:val="00E4420D"/>
    <w:rsid w:val="00E442FE"/>
    <w:rsid w:val="00E44319"/>
    <w:rsid w:val="00E4435D"/>
    <w:rsid w:val="00E44392"/>
    <w:rsid w:val="00E443AE"/>
    <w:rsid w:val="00E44460"/>
    <w:rsid w:val="00E44526"/>
    <w:rsid w:val="00E44556"/>
    <w:rsid w:val="00E445D9"/>
    <w:rsid w:val="00E44689"/>
    <w:rsid w:val="00E44738"/>
    <w:rsid w:val="00E4474C"/>
    <w:rsid w:val="00E4475C"/>
    <w:rsid w:val="00E447B9"/>
    <w:rsid w:val="00E447CB"/>
    <w:rsid w:val="00E44873"/>
    <w:rsid w:val="00E44887"/>
    <w:rsid w:val="00E44888"/>
    <w:rsid w:val="00E448B2"/>
    <w:rsid w:val="00E449C5"/>
    <w:rsid w:val="00E449DF"/>
    <w:rsid w:val="00E44A9E"/>
    <w:rsid w:val="00E44ABF"/>
    <w:rsid w:val="00E44ACB"/>
    <w:rsid w:val="00E44B0B"/>
    <w:rsid w:val="00E44BC4"/>
    <w:rsid w:val="00E44C1A"/>
    <w:rsid w:val="00E44CC9"/>
    <w:rsid w:val="00E44CEF"/>
    <w:rsid w:val="00E44E8B"/>
    <w:rsid w:val="00E44EB5"/>
    <w:rsid w:val="00E44ED7"/>
    <w:rsid w:val="00E44F7C"/>
    <w:rsid w:val="00E44FAD"/>
    <w:rsid w:val="00E4510C"/>
    <w:rsid w:val="00E45214"/>
    <w:rsid w:val="00E4523A"/>
    <w:rsid w:val="00E45274"/>
    <w:rsid w:val="00E4527A"/>
    <w:rsid w:val="00E45337"/>
    <w:rsid w:val="00E45416"/>
    <w:rsid w:val="00E454E8"/>
    <w:rsid w:val="00E45692"/>
    <w:rsid w:val="00E45719"/>
    <w:rsid w:val="00E4571D"/>
    <w:rsid w:val="00E45792"/>
    <w:rsid w:val="00E4581C"/>
    <w:rsid w:val="00E45856"/>
    <w:rsid w:val="00E4587B"/>
    <w:rsid w:val="00E45889"/>
    <w:rsid w:val="00E458CC"/>
    <w:rsid w:val="00E45A54"/>
    <w:rsid w:val="00E45BC0"/>
    <w:rsid w:val="00E45C5C"/>
    <w:rsid w:val="00E45C9B"/>
    <w:rsid w:val="00E45CE9"/>
    <w:rsid w:val="00E45CFF"/>
    <w:rsid w:val="00E45D30"/>
    <w:rsid w:val="00E45D59"/>
    <w:rsid w:val="00E45DFD"/>
    <w:rsid w:val="00E45FCA"/>
    <w:rsid w:val="00E46069"/>
    <w:rsid w:val="00E46095"/>
    <w:rsid w:val="00E46124"/>
    <w:rsid w:val="00E46133"/>
    <w:rsid w:val="00E461F1"/>
    <w:rsid w:val="00E46215"/>
    <w:rsid w:val="00E462CD"/>
    <w:rsid w:val="00E46391"/>
    <w:rsid w:val="00E4639B"/>
    <w:rsid w:val="00E463E9"/>
    <w:rsid w:val="00E46414"/>
    <w:rsid w:val="00E46444"/>
    <w:rsid w:val="00E464D1"/>
    <w:rsid w:val="00E4651F"/>
    <w:rsid w:val="00E465E5"/>
    <w:rsid w:val="00E4677E"/>
    <w:rsid w:val="00E467BE"/>
    <w:rsid w:val="00E46821"/>
    <w:rsid w:val="00E46836"/>
    <w:rsid w:val="00E468F4"/>
    <w:rsid w:val="00E46961"/>
    <w:rsid w:val="00E46A54"/>
    <w:rsid w:val="00E46A98"/>
    <w:rsid w:val="00E46AF8"/>
    <w:rsid w:val="00E46B0F"/>
    <w:rsid w:val="00E46B2D"/>
    <w:rsid w:val="00E46B30"/>
    <w:rsid w:val="00E46B78"/>
    <w:rsid w:val="00E46BE3"/>
    <w:rsid w:val="00E46C9A"/>
    <w:rsid w:val="00E46D1D"/>
    <w:rsid w:val="00E46DCA"/>
    <w:rsid w:val="00E46DF1"/>
    <w:rsid w:val="00E46F2A"/>
    <w:rsid w:val="00E46F35"/>
    <w:rsid w:val="00E470C5"/>
    <w:rsid w:val="00E47144"/>
    <w:rsid w:val="00E471F2"/>
    <w:rsid w:val="00E47242"/>
    <w:rsid w:val="00E4732C"/>
    <w:rsid w:val="00E4740D"/>
    <w:rsid w:val="00E47484"/>
    <w:rsid w:val="00E47500"/>
    <w:rsid w:val="00E4756E"/>
    <w:rsid w:val="00E475F5"/>
    <w:rsid w:val="00E47655"/>
    <w:rsid w:val="00E47698"/>
    <w:rsid w:val="00E476E7"/>
    <w:rsid w:val="00E47715"/>
    <w:rsid w:val="00E47732"/>
    <w:rsid w:val="00E47793"/>
    <w:rsid w:val="00E47799"/>
    <w:rsid w:val="00E4779A"/>
    <w:rsid w:val="00E478B3"/>
    <w:rsid w:val="00E4790B"/>
    <w:rsid w:val="00E47934"/>
    <w:rsid w:val="00E479AB"/>
    <w:rsid w:val="00E47A0D"/>
    <w:rsid w:val="00E47BA6"/>
    <w:rsid w:val="00E47BBE"/>
    <w:rsid w:val="00E47C30"/>
    <w:rsid w:val="00E47CFD"/>
    <w:rsid w:val="00E47D4D"/>
    <w:rsid w:val="00E47E7C"/>
    <w:rsid w:val="00E47E83"/>
    <w:rsid w:val="00E4DFD3"/>
    <w:rsid w:val="00E50056"/>
    <w:rsid w:val="00E5012F"/>
    <w:rsid w:val="00E5021F"/>
    <w:rsid w:val="00E50221"/>
    <w:rsid w:val="00E502F6"/>
    <w:rsid w:val="00E50312"/>
    <w:rsid w:val="00E503EE"/>
    <w:rsid w:val="00E504AC"/>
    <w:rsid w:val="00E50536"/>
    <w:rsid w:val="00E50543"/>
    <w:rsid w:val="00E50587"/>
    <w:rsid w:val="00E505A3"/>
    <w:rsid w:val="00E50600"/>
    <w:rsid w:val="00E50660"/>
    <w:rsid w:val="00E5067A"/>
    <w:rsid w:val="00E5067B"/>
    <w:rsid w:val="00E50714"/>
    <w:rsid w:val="00E5071F"/>
    <w:rsid w:val="00E50780"/>
    <w:rsid w:val="00E507A9"/>
    <w:rsid w:val="00E507D5"/>
    <w:rsid w:val="00E507F7"/>
    <w:rsid w:val="00E507FC"/>
    <w:rsid w:val="00E50885"/>
    <w:rsid w:val="00E5089C"/>
    <w:rsid w:val="00E508D0"/>
    <w:rsid w:val="00E50957"/>
    <w:rsid w:val="00E50976"/>
    <w:rsid w:val="00E50A37"/>
    <w:rsid w:val="00E50BF7"/>
    <w:rsid w:val="00E50D3E"/>
    <w:rsid w:val="00E50DE1"/>
    <w:rsid w:val="00E50E71"/>
    <w:rsid w:val="00E50FA5"/>
    <w:rsid w:val="00E50FE6"/>
    <w:rsid w:val="00E5106C"/>
    <w:rsid w:val="00E510A3"/>
    <w:rsid w:val="00E510B3"/>
    <w:rsid w:val="00E511C2"/>
    <w:rsid w:val="00E51246"/>
    <w:rsid w:val="00E51257"/>
    <w:rsid w:val="00E512D4"/>
    <w:rsid w:val="00E51381"/>
    <w:rsid w:val="00E5138B"/>
    <w:rsid w:val="00E51402"/>
    <w:rsid w:val="00E51423"/>
    <w:rsid w:val="00E51576"/>
    <w:rsid w:val="00E5165B"/>
    <w:rsid w:val="00E516A8"/>
    <w:rsid w:val="00E516C0"/>
    <w:rsid w:val="00E516C4"/>
    <w:rsid w:val="00E516E6"/>
    <w:rsid w:val="00E51717"/>
    <w:rsid w:val="00E517EA"/>
    <w:rsid w:val="00E51877"/>
    <w:rsid w:val="00E518C4"/>
    <w:rsid w:val="00E518CF"/>
    <w:rsid w:val="00E51972"/>
    <w:rsid w:val="00E519AD"/>
    <w:rsid w:val="00E51A56"/>
    <w:rsid w:val="00E51AD1"/>
    <w:rsid w:val="00E51B32"/>
    <w:rsid w:val="00E51B39"/>
    <w:rsid w:val="00E51BFA"/>
    <w:rsid w:val="00E51C54"/>
    <w:rsid w:val="00E51DA7"/>
    <w:rsid w:val="00E51E20"/>
    <w:rsid w:val="00E51E4F"/>
    <w:rsid w:val="00E51F55"/>
    <w:rsid w:val="00E51F75"/>
    <w:rsid w:val="00E51FBB"/>
    <w:rsid w:val="00E51FBD"/>
    <w:rsid w:val="00E5203A"/>
    <w:rsid w:val="00E520EB"/>
    <w:rsid w:val="00E52106"/>
    <w:rsid w:val="00E5210C"/>
    <w:rsid w:val="00E5218D"/>
    <w:rsid w:val="00E521DB"/>
    <w:rsid w:val="00E52219"/>
    <w:rsid w:val="00E52237"/>
    <w:rsid w:val="00E5228A"/>
    <w:rsid w:val="00E5229D"/>
    <w:rsid w:val="00E522A4"/>
    <w:rsid w:val="00E523A1"/>
    <w:rsid w:val="00E52412"/>
    <w:rsid w:val="00E52620"/>
    <w:rsid w:val="00E52637"/>
    <w:rsid w:val="00E52638"/>
    <w:rsid w:val="00E52642"/>
    <w:rsid w:val="00E52677"/>
    <w:rsid w:val="00E526B5"/>
    <w:rsid w:val="00E526D7"/>
    <w:rsid w:val="00E52707"/>
    <w:rsid w:val="00E52714"/>
    <w:rsid w:val="00E52923"/>
    <w:rsid w:val="00E52990"/>
    <w:rsid w:val="00E52993"/>
    <w:rsid w:val="00E529E5"/>
    <w:rsid w:val="00E52A2A"/>
    <w:rsid w:val="00E52A71"/>
    <w:rsid w:val="00E52AFA"/>
    <w:rsid w:val="00E52B3B"/>
    <w:rsid w:val="00E52B9A"/>
    <w:rsid w:val="00E52C0E"/>
    <w:rsid w:val="00E52C22"/>
    <w:rsid w:val="00E52C5D"/>
    <w:rsid w:val="00E52CDF"/>
    <w:rsid w:val="00E52CE4"/>
    <w:rsid w:val="00E52D43"/>
    <w:rsid w:val="00E52D51"/>
    <w:rsid w:val="00E52EBE"/>
    <w:rsid w:val="00E52EE6"/>
    <w:rsid w:val="00E52F2C"/>
    <w:rsid w:val="00E52F37"/>
    <w:rsid w:val="00E52FC1"/>
    <w:rsid w:val="00E52FF4"/>
    <w:rsid w:val="00E5309A"/>
    <w:rsid w:val="00E530B4"/>
    <w:rsid w:val="00E5313A"/>
    <w:rsid w:val="00E531A8"/>
    <w:rsid w:val="00E53335"/>
    <w:rsid w:val="00E53461"/>
    <w:rsid w:val="00E5348E"/>
    <w:rsid w:val="00E53513"/>
    <w:rsid w:val="00E53522"/>
    <w:rsid w:val="00E53553"/>
    <w:rsid w:val="00E5355B"/>
    <w:rsid w:val="00E536AC"/>
    <w:rsid w:val="00E537D7"/>
    <w:rsid w:val="00E5391A"/>
    <w:rsid w:val="00E53940"/>
    <w:rsid w:val="00E539BB"/>
    <w:rsid w:val="00E539F2"/>
    <w:rsid w:val="00E53A49"/>
    <w:rsid w:val="00E53A4D"/>
    <w:rsid w:val="00E53AA6"/>
    <w:rsid w:val="00E53AE9"/>
    <w:rsid w:val="00E53B0E"/>
    <w:rsid w:val="00E53B16"/>
    <w:rsid w:val="00E53B78"/>
    <w:rsid w:val="00E53B7F"/>
    <w:rsid w:val="00E53B8F"/>
    <w:rsid w:val="00E53CC6"/>
    <w:rsid w:val="00E53D05"/>
    <w:rsid w:val="00E53D08"/>
    <w:rsid w:val="00E53DFA"/>
    <w:rsid w:val="00E53EFB"/>
    <w:rsid w:val="00E53F15"/>
    <w:rsid w:val="00E53F4D"/>
    <w:rsid w:val="00E53FF0"/>
    <w:rsid w:val="00E53FF2"/>
    <w:rsid w:val="00E5403F"/>
    <w:rsid w:val="00E54072"/>
    <w:rsid w:val="00E54086"/>
    <w:rsid w:val="00E541EA"/>
    <w:rsid w:val="00E54260"/>
    <w:rsid w:val="00E54285"/>
    <w:rsid w:val="00E542AC"/>
    <w:rsid w:val="00E5431C"/>
    <w:rsid w:val="00E5434F"/>
    <w:rsid w:val="00E543B7"/>
    <w:rsid w:val="00E54427"/>
    <w:rsid w:val="00E54449"/>
    <w:rsid w:val="00E54469"/>
    <w:rsid w:val="00E544CB"/>
    <w:rsid w:val="00E545F4"/>
    <w:rsid w:val="00E54BB0"/>
    <w:rsid w:val="00E54BCC"/>
    <w:rsid w:val="00E54BDF"/>
    <w:rsid w:val="00E54BE8"/>
    <w:rsid w:val="00E54C84"/>
    <w:rsid w:val="00E54C9C"/>
    <w:rsid w:val="00E54D78"/>
    <w:rsid w:val="00E54D96"/>
    <w:rsid w:val="00E54E1A"/>
    <w:rsid w:val="00E54E26"/>
    <w:rsid w:val="00E54EA7"/>
    <w:rsid w:val="00E54EAB"/>
    <w:rsid w:val="00E54F5C"/>
    <w:rsid w:val="00E54F6A"/>
    <w:rsid w:val="00E54FC5"/>
    <w:rsid w:val="00E55008"/>
    <w:rsid w:val="00E55016"/>
    <w:rsid w:val="00E55084"/>
    <w:rsid w:val="00E550C5"/>
    <w:rsid w:val="00E55104"/>
    <w:rsid w:val="00E55123"/>
    <w:rsid w:val="00E55290"/>
    <w:rsid w:val="00E552D8"/>
    <w:rsid w:val="00E55369"/>
    <w:rsid w:val="00E5536F"/>
    <w:rsid w:val="00E553D9"/>
    <w:rsid w:val="00E5547F"/>
    <w:rsid w:val="00E554D5"/>
    <w:rsid w:val="00E554E0"/>
    <w:rsid w:val="00E5551C"/>
    <w:rsid w:val="00E55757"/>
    <w:rsid w:val="00E55838"/>
    <w:rsid w:val="00E5586A"/>
    <w:rsid w:val="00E5587B"/>
    <w:rsid w:val="00E55930"/>
    <w:rsid w:val="00E55949"/>
    <w:rsid w:val="00E55A10"/>
    <w:rsid w:val="00E55B3F"/>
    <w:rsid w:val="00E55CE9"/>
    <w:rsid w:val="00E55DFA"/>
    <w:rsid w:val="00E55E2A"/>
    <w:rsid w:val="00E55F74"/>
    <w:rsid w:val="00E55F7B"/>
    <w:rsid w:val="00E55FBB"/>
    <w:rsid w:val="00E56045"/>
    <w:rsid w:val="00E560C1"/>
    <w:rsid w:val="00E56161"/>
    <w:rsid w:val="00E562B8"/>
    <w:rsid w:val="00E56333"/>
    <w:rsid w:val="00E56367"/>
    <w:rsid w:val="00E563E9"/>
    <w:rsid w:val="00E564C9"/>
    <w:rsid w:val="00E5656E"/>
    <w:rsid w:val="00E565C9"/>
    <w:rsid w:val="00E5662C"/>
    <w:rsid w:val="00E5664D"/>
    <w:rsid w:val="00E566D5"/>
    <w:rsid w:val="00E567FD"/>
    <w:rsid w:val="00E5691C"/>
    <w:rsid w:val="00E56955"/>
    <w:rsid w:val="00E56A4E"/>
    <w:rsid w:val="00E56B35"/>
    <w:rsid w:val="00E56B4D"/>
    <w:rsid w:val="00E56BA4"/>
    <w:rsid w:val="00E56BBC"/>
    <w:rsid w:val="00E56C31"/>
    <w:rsid w:val="00E56C44"/>
    <w:rsid w:val="00E56CCB"/>
    <w:rsid w:val="00E56DA0"/>
    <w:rsid w:val="00E56E18"/>
    <w:rsid w:val="00E56E29"/>
    <w:rsid w:val="00E56E37"/>
    <w:rsid w:val="00E56F2B"/>
    <w:rsid w:val="00E56FC7"/>
    <w:rsid w:val="00E56FDF"/>
    <w:rsid w:val="00E56FEC"/>
    <w:rsid w:val="00E57024"/>
    <w:rsid w:val="00E570B1"/>
    <w:rsid w:val="00E570B9"/>
    <w:rsid w:val="00E570ED"/>
    <w:rsid w:val="00E571FB"/>
    <w:rsid w:val="00E5729A"/>
    <w:rsid w:val="00E572BB"/>
    <w:rsid w:val="00E57380"/>
    <w:rsid w:val="00E57399"/>
    <w:rsid w:val="00E57440"/>
    <w:rsid w:val="00E574E5"/>
    <w:rsid w:val="00E57561"/>
    <w:rsid w:val="00E5765A"/>
    <w:rsid w:val="00E576DE"/>
    <w:rsid w:val="00E5773A"/>
    <w:rsid w:val="00E5773F"/>
    <w:rsid w:val="00E577AC"/>
    <w:rsid w:val="00E57905"/>
    <w:rsid w:val="00E5796F"/>
    <w:rsid w:val="00E57A1B"/>
    <w:rsid w:val="00E57A4E"/>
    <w:rsid w:val="00E57B05"/>
    <w:rsid w:val="00E57B8F"/>
    <w:rsid w:val="00E57C95"/>
    <w:rsid w:val="00E57D52"/>
    <w:rsid w:val="00E57D5D"/>
    <w:rsid w:val="00E57DB2"/>
    <w:rsid w:val="00E57EF1"/>
    <w:rsid w:val="00E57F17"/>
    <w:rsid w:val="00E57F42"/>
    <w:rsid w:val="00E57F5D"/>
    <w:rsid w:val="00E57F76"/>
    <w:rsid w:val="00E60018"/>
    <w:rsid w:val="00E6010B"/>
    <w:rsid w:val="00E60218"/>
    <w:rsid w:val="00E6021C"/>
    <w:rsid w:val="00E6025C"/>
    <w:rsid w:val="00E60287"/>
    <w:rsid w:val="00E602D4"/>
    <w:rsid w:val="00E60314"/>
    <w:rsid w:val="00E60433"/>
    <w:rsid w:val="00E6046B"/>
    <w:rsid w:val="00E604C3"/>
    <w:rsid w:val="00E606E5"/>
    <w:rsid w:val="00E60709"/>
    <w:rsid w:val="00E60742"/>
    <w:rsid w:val="00E60790"/>
    <w:rsid w:val="00E60826"/>
    <w:rsid w:val="00E60931"/>
    <w:rsid w:val="00E60989"/>
    <w:rsid w:val="00E60AB6"/>
    <w:rsid w:val="00E60C4D"/>
    <w:rsid w:val="00E60C93"/>
    <w:rsid w:val="00E60CAA"/>
    <w:rsid w:val="00E60CAE"/>
    <w:rsid w:val="00E60CB0"/>
    <w:rsid w:val="00E60D6A"/>
    <w:rsid w:val="00E60D97"/>
    <w:rsid w:val="00E60DD0"/>
    <w:rsid w:val="00E60E01"/>
    <w:rsid w:val="00E60E3E"/>
    <w:rsid w:val="00E60E66"/>
    <w:rsid w:val="00E60F07"/>
    <w:rsid w:val="00E60F3E"/>
    <w:rsid w:val="00E60F51"/>
    <w:rsid w:val="00E60F96"/>
    <w:rsid w:val="00E60F9F"/>
    <w:rsid w:val="00E61056"/>
    <w:rsid w:val="00E61087"/>
    <w:rsid w:val="00E611C7"/>
    <w:rsid w:val="00E61206"/>
    <w:rsid w:val="00E61354"/>
    <w:rsid w:val="00E613E6"/>
    <w:rsid w:val="00E6140D"/>
    <w:rsid w:val="00E61410"/>
    <w:rsid w:val="00E61415"/>
    <w:rsid w:val="00E61570"/>
    <w:rsid w:val="00E616C1"/>
    <w:rsid w:val="00E61765"/>
    <w:rsid w:val="00E61806"/>
    <w:rsid w:val="00E618C1"/>
    <w:rsid w:val="00E61A54"/>
    <w:rsid w:val="00E61C16"/>
    <w:rsid w:val="00E61D3F"/>
    <w:rsid w:val="00E61D42"/>
    <w:rsid w:val="00E61D4A"/>
    <w:rsid w:val="00E61E54"/>
    <w:rsid w:val="00E61EAF"/>
    <w:rsid w:val="00E61EBF"/>
    <w:rsid w:val="00E61ECB"/>
    <w:rsid w:val="00E61F22"/>
    <w:rsid w:val="00E61FCA"/>
    <w:rsid w:val="00E62221"/>
    <w:rsid w:val="00E62250"/>
    <w:rsid w:val="00E622DA"/>
    <w:rsid w:val="00E62345"/>
    <w:rsid w:val="00E6237F"/>
    <w:rsid w:val="00E62389"/>
    <w:rsid w:val="00E62392"/>
    <w:rsid w:val="00E623DC"/>
    <w:rsid w:val="00E62430"/>
    <w:rsid w:val="00E62553"/>
    <w:rsid w:val="00E62565"/>
    <w:rsid w:val="00E62570"/>
    <w:rsid w:val="00E62588"/>
    <w:rsid w:val="00E6266A"/>
    <w:rsid w:val="00E626B8"/>
    <w:rsid w:val="00E626F6"/>
    <w:rsid w:val="00E628B9"/>
    <w:rsid w:val="00E62969"/>
    <w:rsid w:val="00E62B93"/>
    <w:rsid w:val="00E62CFE"/>
    <w:rsid w:val="00E62D02"/>
    <w:rsid w:val="00E62D32"/>
    <w:rsid w:val="00E62D33"/>
    <w:rsid w:val="00E62D43"/>
    <w:rsid w:val="00E62D7B"/>
    <w:rsid w:val="00E62E00"/>
    <w:rsid w:val="00E62E32"/>
    <w:rsid w:val="00E62E5F"/>
    <w:rsid w:val="00E62EDD"/>
    <w:rsid w:val="00E62F1B"/>
    <w:rsid w:val="00E6303E"/>
    <w:rsid w:val="00E63050"/>
    <w:rsid w:val="00E6305D"/>
    <w:rsid w:val="00E630DA"/>
    <w:rsid w:val="00E63165"/>
    <w:rsid w:val="00E6318E"/>
    <w:rsid w:val="00E63202"/>
    <w:rsid w:val="00E63293"/>
    <w:rsid w:val="00E632AC"/>
    <w:rsid w:val="00E63366"/>
    <w:rsid w:val="00E63478"/>
    <w:rsid w:val="00E6359B"/>
    <w:rsid w:val="00E635D1"/>
    <w:rsid w:val="00E6362A"/>
    <w:rsid w:val="00E6365F"/>
    <w:rsid w:val="00E6376F"/>
    <w:rsid w:val="00E6381A"/>
    <w:rsid w:val="00E63A05"/>
    <w:rsid w:val="00E63A48"/>
    <w:rsid w:val="00E63A5C"/>
    <w:rsid w:val="00E63AF4"/>
    <w:rsid w:val="00E63BCE"/>
    <w:rsid w:val="00E63CAF"/>
    <w:rsid w:val="00E63CD8"/>
    <w:rsid w:val="00E63D1A"/>
    <w:rsid w:val="00E63D4C"/>
    <w:rsid w:val="00E63DB0"/>
    <w:rsid w:val="00E63EAC"/>
    <w:rsid w:val="00E63F12"/>
    <w:rsid w:val="00E63F4F"/>
    <w:rsid w:val="00E64014"/>
    <w:rsid w:val="00E64046"/>
    <w:rsid w:val="00E64160"/>
    <w:rsid w:val="00E641CF"/>
    <w:rsid w:val="00E641EF"/>
    <w:rsid w:val="00E64306"/>
    <w:rsid w:val="00E64315"/>
    <w:rsid w:val="00E64393"/>
    <w:rsid w:val="00E643AD"/>
    <w:rsid w:val="00E64471"/>
    <w:rsid w:val="00E645D5"/>
    <w:rsid w:val="00E64727"/>
    <w:rsid w:val="00E64739"/>
    <w:rsid w:val="00E64787"/>
    <w:rsid w:val="00E647E1"/>
    <w:rsid w:val="00E648E3"/>
    <w:rsid w:val="00E6494C"/>
    <w:rsid w:val="00E6494D"/>
    <w:rsid w:val="00E64A2E"/>
    <w:rsid w:val="00E64A83"/>
    <w:rsid w:val="00E64AB3"/>
    <w:rsid w:val="00E64AF3"/>
    <w:rsid w:val="00E64B5A"/>
    <w:rsid w:val="00E64C0A"/>
    <w:rsid w:val="00E64C28"/>
    <w:rsid w:val="00E64DC0"/>
    <w:rsid w:val="00E64F19"/>
    <w:rsid w:val="00E64F2B"/>
    <w:rsid w:val="00E65027"/>
    <w:rsid w:val="00E65245"/>
    <w:rsid w:val="00E6525B"/>
    <w:rsid w:val="00E65292"/>
    <w:rsid w:val="00E65339"/>
    <w:rsid w:val="00E65352"/>
    <w:rsid w:val="00E653F8"/>
    <w:rsid w:val="00E65407"/>
    <w:rsid w:val="00E6546A"/>
    <w:rsid w:val="00E65476"/>
    <w:rsid w:val="00E65500"/>
    <w:rsid w:val="00E6558B"/>
    <w:rsid w:val="00E65628"/>
    <w:rsid w:val="00E65633"/>
    <w:rsid w:val="00E65698"/>
    <w:rsid w:val="00E656AF"/>
    <w:rsid w:val="00E656F8"/>
    <w:rsid w:val="00E656FA"/>
    <w:rsid w:val="00E65762"/>
    <w:rsid w:val="00E657AD"/>
    <w:rsid w:val="00E657F0"/>
    <w:rsid w:val="00E6587B"/>
    <w:rsid w:val="00E658EC"/>
    <w:rsid w:val="00E65914"/>
    <w:rsid w:val="00E659A5"/>
    <w:rsid w:val="00E659D6"/>
    <w:rsid w:val="00E65AFD"/>
    <w:rsid w:val="00E65B16"/>
    <w:rsid w:val="00E65B72"/>
    <w:rsid w:val="00E65BDD"/>
    <w:rsid w:val="00E65C6A"/>
    <w:rsid w:val="00E65C72"/>
    <w:rsid w:val="00E65D1D"/>
    <w:rsid w:val="00E65D3C"/>
    <w:rsid w:val="00E65D5E"/>
    <w:rsid w:val="00E65D6B"/>
    <w:rsid w:val="00E65DB1"/>
    <w:rsid w:val="00E65DE4"/>
    <w:rsid w:val="00E65E1C"/>
    <w:rsid w:val="00E65ED4"/>
    <w:rsid w:val="00E65ED6"/>
    <w:rsid w:val="00E65F75"/>
    <w:rsid w:val="00E65F90"/>
    <w:rsid w:val="00E6600B"/>
    <w:rsid w:val="00E660B7"/>
    <w:rsid w:val="00E6610E"/>
    <w:rsid w:val="00E66111"/>
    <w:rsid w:val="00E661B6"/>
    <w:rsid w:val="00E661E5"/>
    <w:rsid w:val="00E66212"/>
    <w:rsid w:val="00E66252"/>
    <w:rsid w:val="00E662D2"/>
    <w:rsid w:val="00E66316"/>
    <w:rsid w:val="00E66321"/>
    <w:rsid w:val="00E66335"/>
    <w:rsid w:val="00E6635C"/>
    <w:rsid w:val="00E664BD"/>
    <w:rsid w:val="00E66569"/>
    <w:rsid w:val="00E66589"/>
    <w:rsid w:val="00E666A5"/>
    <w:rsid w:val="00E666BF"/>
    <w:rsid w:val="00E666CE"/>
    <w:rsid w:val="00E66753"/>
    <w:rsid w:val="00E6686C"/>
    <w:rsid w:val="00E66973"/>
    <w:rsid w:val="00E66A3E"/>
    <w:rsid w:val="00E66AF9"/>
    <w:rsid w:val="00E66B45"/>
    <w:rsid w:val="00E66B46"/>
    <w:rsid w:val="00E66B64"/>
    <w:rsid w:val="00E66B71"/>
    <w:rsid w:val="00E66B78"/>
    <w:rsid w:val="00E66B85"/>
    <w:rsid w:val="00E66C2D"/>
    <w:rsid w:val="00E66C44"/>
    <w:rsid w:val="00E66C9B"/>
    <w:rsid w:val="00E66E43"/>
    <w:rsid w:val="00E66EE8"/>
    <w:rsid w:val="00E6703E"/>
    <w:rsid w:val="00E670CF"/>
    <w:rsid w:val="00E670F8"/>
    <w:rsid w:val="00E67104"/>
    <w:rsid w:val="00E671A4"/>
    <w:rsid w:val="00E671A6"/>
    <w:rsid w:val="00E6727C"/>
    <w:rsid w:val="00E672BE"/>
    <w:rsid w:val="00E67310"/>
    <w:rsid w:val="00E6731A"/>
    <w:rsid w:val="00E67380"/>
    <w:rsid w:val="00E67427"/>
    <w:rsid w:val="00E674AC"/>
    <w:rsid w:val="00E674B9"/>
    <w:rsid w:val="00E67544"/>
    <w:rsid w:val="00E676A6"/>
    <w:rsid w:val="00E676A9"/>
    <w:rsid w:val="00E676E3"/>
    <w:rsid w:val="00E67716"/>
    <w:rsid w:val="00E67759"/>
    <w:rsid w:val="00E6775F"/>
    <w:rsid w:val="00E678CF"/>
    <w:rsid w:val="00E67983"/>
    <w:rsid w:val="00E67A5D"/>
    <w:rsid w:val="00E67AC8"/>
    <w:rsid w:val="00E67AE0"/>
    <w:rsid w:val="00E67B40"/>
    <w:rsid w:val="00E67C0C"/>
    <w:rsid w:val="00E67CF4"/>
    <w:rsid w:val="00E67D09"/>
    <w:rsid w:val="00E67DAB"/>
    <w:rsid w:val="00E67DCF"/>
    <w:rsid w:val="00E67ECB"/>
    <w:rsid w:val="00E67F1A"/>
    <w:rsid w:val="00E67F8E"/>
    <w:rsid w:val="00E67FA1"/>
    <w:rsid w:val="00E67FD1"/>
    <w:rsid w:val="00E6E8EE"/>
    <w:rsid w:val="00E701CD"/>
    <w:rsid w:val="00E70320"/>
    <w:rsid w:val="00E70328"/>
    <w:rsid w:val="00E70344"/>
    <w:rsid w:val="00E70362"/>
    <w:rsid w:val="00E7043E"/>
    <w:rsid w:val="00E7047B"/>
    <w:rsid w:val="00E7050C"/>
    <w:rsid w:val="00E70557"/>
    <w:rsid w:val="00E70571"/>
    <w:rsid w:val="00E705FB"/>
    <w:rsid w:val="00E706AE"/>
    <w:rsid w:val="00E706B4"/>
    <w:rsid w:val="00E706E9"/>
    <w:rsid w:val="00E706F7"/>
    <w:rsid w:val="00E70742"/>
    <w:rsid w:val="00E7078D"/>
    <w:rsid w:val="00E707A8"/>
    <w:rsid w:val="00E7087D"/>
    <w:rsid w:val="00E70886"/>
    <w:rsid w:val="00E708C6"/>
    <w:rsid w:val="00E70992"/>
    <w:rsid w:val="00E70B9A"/>
    <w:rsid w:val="00E70C59"/>
    <w:rsid w:val="00E70CD6"/>
    <w:rsid w:val="00E70D2A"/>
    <w:rsid w:val="00E70DB9"/>
    <w:rsid w:val="00E70E56"/>
    <w:rsid w:val="00E70F95"/>
    <w:rsid w:val="00E70FC3"/>
    <w:rsid w:val="00E70FF1"/>
    <w:rsid w:val="00E71080"/>
    <w:rsid w:val="00E71146"/>
    <w:rsid w:val="00E712F4"/>
    <w:rsid w:val="00E71321"/>
    <w:rsid w:val="00E71337"/>
    <w:rsid w:val="00E713A2"/>
    <w:rsid w:val="00E71408"/>
    <w:rsid w:val="00E7153F"/>
    <w:rsid w:val="00E715C3"/>
    <w:rsid w:val="00E715CB"/>
    <w:rsid w:val="00E71622"/>
    <w:rsid w:val="00E718FA"/>
    <w:rsid w:val="00E71913"/>
    <w:rsid w:val="00E71940"/>
    <w:rsid w:val="00E71944"/>
    <w:rsid w:val="00E71974"/>
    <w:rsid w:val="00E719CF"/>
    <w:rsid w:val="00E71A2C"/>
    <w:rsid w:val="00E71ABB"/>
    <w:rsid w:val="00E71B41"/>
    <w:rsid w:val="00E71BBA"/>
    <w:rsid w:val="00E71BDE"/>
    <w:rsid w:val="00E71C05"/>
    <w:rsid w:val="00E71C68"/>
    <w:rsid w:val="00E71C93"/>
    <w:rsid w:val="00E71D5D"/>
    <w:rsid w:val="00E71DC8"/>
    <w:rsid w:val="00E71DF1"/>
    <w:rsid w:val="00E71E2E"/>
    <w:rsid w:val="00E71EB1"/>
    <w:rsid w:val="00E71EC6"/>
    <w:rsid w:val="00E71EFA"/>
    <w:rsid w:val="00E71F51"/>
    <w:rsid w:val="00E720C1"/>
    <w:rsid w:val="00E720E7"/>
    <w:rsid w:val="00E720F8"/>
    <w:rsid w:val="00E721D9"/>
    <w:rsid w:val="00E72258"/>
    <w:rsid w:val="00E72261"/>
    <w:rsid w:val="00E724A9"/>
    <w:rsid w:val="00E724C4"/>
    <w:rsid w:val="00E7254B"/>
    <w:rsid w:val="00E72566"/>
    <w:rsid w:val="00E725B3"/>
    <w:rsid w:val="00E725B5"/>
    <w:rsid w:val="00E726AE"/>
    <w:rsid w:val="00E726D0"/>
    <w:rsid w:val="00E7272B"/>
    <w:rsid w:val="00E7280E"/>
    <w:rsid w:val="00E7282C"/>
    <w:rsid w:val="00E7287E"/>
    <w:rsid w:val="00E729CF"/>
    <w:rsid w:val="00E72A4F"/>
    <w:rsid w:val="00E72A6B"/>
    <w:rsid w:val="00E72A8B"/>
    <w:rsid w:val="00E72B2B"/>
    <w:rsid w:val="00E72BB5"/>
    <w:rsid w:val="00E72BDD"/>
    <w:rsid w:val="00E72C6D"/>
    <w:rsid w:val="00E72CCE"/>
    <w:rsid w:val="00E72D63"/>
    <w:rsid w:val="00E72E49"/>
    <w:rsid w:val="00E72E71"/>
    <w:rsid w:val="00E72EA9"/>
    <w:rsid w:val="00E72EE4"/>
    <w:rsid w:val="00E72F09"/>
    <w:rsid w:val="00E73086"/>
    <w:rsid w:val="00E73088"/>
    <w:rsid w:val="00E73189"/>
    <w:rsid w:val="00E731AB"/>
    <w:rsid w:val="00E73239"/>
    <w:rsid w:val="00E732CB"/>
    <w:rsid w:val="00E732D8"/>
    <w:rsid w:val="00E7335D"/>
    <w:rsid w:val="00E73404"/>
    <w:rsid w:val="00E7347D"/>
    <w:rsid w:val="00E73485"/>
    <w:rsid w:val="00E734BB"/>
    <w:rsid w:val="00E734DF"/>
    <w:rsid w:val="00E73515"/>
    <w:rsid w:val="00E7352E"/>
    <w:rsid w:val="00E735B6"/>
    <w:rsid w:val="00E735CA"/>
    <w:rsid w:val="00E7370D"/>
    <w:rsid w:val="00E7373F"/>
    <w:rsid w:val="00E737C4"/>
    <w:rsid w:val="00E73815"/>
    <w:rsid w:val="00E7381B"/>
    <w:rsid w:val="00E7386B"/>
    <w:rsid w:val="00E7393E"/>
    <w:rsid w:val="00E739A4"/>
    <w:rsid w:val="00E739B3"/>
    <w:rsid w:val="00E739E8"/>
    <w:rsid w:val="00E73A48"/>
    <w:rsid w:val="00E73AD4"/>
    <w:rsid w:val="00E73B90"/>
    <w:rsid w:val="00E73BAA"/>
    <w:rsid w:val="00E73CF1"/>
    <w:rsid w:val="00E73D36"/>
    <w:rsid w:val="00E73DFB"/>
    <w:rsid w:val="00E73F2F"/>
    <w:rsid w:val="00E73F72"/>
    <w:rsid w:val="00E73F7B"/>
    <w:rsid w:val="00E74117"/>
    <w:rsid w:val="00E74150"/>
    <w:rsid w:val="00E74164"/>
    <w:rsid w:val="00E741F8"/>
    <w:rsid w:val="00E74204"/>
    <w:rsid w:val="00E74262"/>
    <w:rsid w:val="00E742AD"/>
    <w:rsid w:val="00E742DA"/>
    <w:rsid w:val="00E74393"/>
    <w:rsid w:val="00E745B7"/>
    <w:rsid w:val="00E7460D"/>
    <w:rsid w:val="00E74665"/>
    <w:rsid w:val="00E7467C"/>
    <w:rsid w:val="00E746AD"/>
    <w:rsid w:val="00E746D3"/>
    <w:rsid w:val="00E7478D"/>
    <w:rsid w:val="00E74809"/>
    <w:rsid w:val="00E748B8"/>
    <w:rsid w:val="00E74929"/>
    <w:rsid w:val="00E74934"/>
    <w:rsid w:val="00E749B2"/>
    <w:rsid w:val="00E749CC"/>
    <w:rsid w:val="00E74A2F"/>
    <w:rsid w:val="00E74A76"/>
    <w:rsid w:val="00E74B00"/>
    <w:rsid w:val="00E74B29"/>
    <w:rsid w:val="00E74B41"/>
    <w:rsid w:val="00E74BAA"/>
    <w:rsid w:val="00E74BBA"/>
    <w:rsid w:val="00E74D60"/>
    <w:rsid w:val="00E74D9D"/>
    <w:rsid w:val="00E74EDB"/>
    <w:rsid w:val="00E74F51"/>
    <w:rsid w:val="00E751A7"/>
    <w:rsid w:val="00E751CF"/>
    <w:rsid w:val="00E75256"/>
    <w:rsid w:val="00E752A8"/>
    <w:rsid w:val="00E753BF"/>
    <w:rsid w:val="00E753DE"/>
    <w:rsid w:val="00E754EA"/>
    <w:rsid w:val="00E755B3"/>
    <w:rsid w:val="00E755BA"/>
    <w:rsid w:val="00E755F1"/>
    <w:rsid w:val="00E7564C"/>
    <w:rsid w:val="00E75842"/>
    <w:rsid w:val="00E75924"/>
    <w:rsid w:val="00E75959"/>
    <w:rsid w:val="00E75A3B"/>
    <w:rsid w:val="00E75A65"/>
    <w:rsid w:val="00E75A6E"/>
    <w:rsid w:val="00E75A8C"/>
    <w:rsid w:val="00E75AF0"/>
    <w:rsid w:val="00E75D49"/>
    <w:rsid w:val="00E75D89"/>
    <w:rsid w:val="00E75DC1"/>
    <w:rsid w:val="00E75E47"/>
    <w:rsid w:val="00E75E4B"/>
    <w:rsid w:val="00E76012"/>
    <w:rsid w:val="00E7605D"/>
    <w:rsid w:val="00E7606F"/>
    <w:rsid w:val="00E76086"/>
    <w:rsid w:val="00E76091"/>
    <w:rsid w:val="00E7619A"/>
    <w:rsid w:val="00E761A0"/>
    <w:rsid w:val="00E761A8"/>
    <w:rsid w:val="00E7621B"/>
    <w:rsid w:val="00E7624E"/>
    <w:rsid w:val="00E762D5"/>
    <w:rsid w:val="00E76380"/>
    <w:rsid w:val="00E76401"/>
    <w:rsid w:val="00E76462"/>
    <w:rsid w:val="00E764A3"/>
    <w:rsid w:val="00E764B1"/>
    <w:rsid w:val="00E764ED"/>
    <w:rsid w:val="00E76640"/>
    <w:rsid w:val="00E76696"/>
    <w:rsid w:val="00E7671A"/>
    <w:rsid w:val="00E76722"/>
    <w:rsid w:val="00E76877"/>
    <w:rsid w:val="00E76889"/>
    <w:rsid w:val="00E768B1"/>
    <w:rsid w:val="00E7691F"/>
    <w:rsid w:val="00E769BD"/>
    <w:rsid w:val="00E76AA9"/>
    <w:rsid w:val="00E76AD6"/>
    <w:rsid w:val="00E76B46"/>
    <w:rsid w:val="00E76B59"/>
    <w:rsid w:val="00E76B6B"/>
    <w:rsid w:val="00E76C5F"/>
    <w:rsid w:val="00E76C71"/>
    <w:rsid w:val="00E76D33"/>
    <w:rsid w:val="00E76DE8"/>
    <w:rsid w:val="00E76E83"/>
    <w:rsid w:val="00E76EF6"/>
    <w:rsid w:val="00E77004"/>
    <w:rsid w:val="00E77081"/>
    <w:rsid w:val="00E7708C"/>
    <w:rsid w:val="00E77133"/>
    <w:rsid w:val="00E7727A"/>
    <w:rsid w:val="00E77294"/>
    <w:rsid w:val="00E772EA"/>
    <w:rsid w:val="00E77311"/>
    <w:rsid w:val="00E77382"/>
    <w:rsid w:val="00E77523"/>
    <w:rsid w:val="00E77552"/>
    <w:rsid w:val="00E775BE"/>
    <w:rsid w:val="00E775D2"/>
    <w:rsid w:val="00E775F3"/>
    <w:rsid w:val="00E77609"/>
    <w:rsid w:val="00E7763C"/>
    <w:rsid w:val="00E77643"/>
    <w:rsid w:val="00E7765C"/>
    <w:rsid w:val="00E776B9"/>
    <w:rsid w:val="00E7777A"/>
    <w:rsid w:val="00E7778F"/>
    <w:rsid w:val="00E778EF"/>
    <w:rsid w:val="00E77923"/>
    <w:rsid w:val="00E77960"/>
    <w:rsid w:val="00E77979"/>
    <w:rsid w:val="00E779E4"/>
    <w:rsid w:val="00E77AFA"/>
    <w:rsid w:val="00E77B31"/>
    <w:rsid w:val="00E77BD3"/>
    <w:rsid w:val="00E77BF9"/>
    <w:rsid w:val="00E77C16"/>
    <w:rsid w:val="00E77C2B"/>
    <w:rsid w:val="00E77C38"/>
    <w:rsid w:val="00E77C71"/>
    <w:rsid w:val="00E77D39"/>
    <w:rsid w:val="00E77DD3"/>
    <w:rsid w:val="00E77F26"/>
    <w:rsid w:val="00E77F61"/>
    <w:rsid w:val="00E77F89"/>
    <w:rsid w:val="00E80169"/>
    <w:rsid w:val="00E80220"/>
    <w:rsid w:val="00E80308"/>
    <w:rsid w:val="00E80354"/>
    <w:rsid w:val="00E8043E"/>
    <w:rsid w:val="00E80530"/>
    <w:rsid w:val="00E80671"/>
    <w:rsid w:val="00E806CB"/>
    <w:rsid w:val="00E8079D"/>
    <w:rsid w:val="00E807BC"/>
    <w:rsid w:val="00E8085C"/>
    <w:rsid w:val="00E808D7"/>
    <w:rsid w:val="00E8092B"/>
    <w:rsid w:val="00E80958"/>
    <w:rsid w:val="00E809A3"/>
    <w:rsid w:val="00E809D2"/>
    <w:rsid w:val="00E809F4"/>
    <w:rsid w:val="00E80B24"/>
    <w:rsid w:val="00E80B41"/>
    <w:rsid w:val="00E80B53"/>
    <w:rsid w:val="00E80BF2"/>
    <w:rsid w:val="00E80C1F"/>
    <w:rsid w:val="00E80C37"/>
    <w:rsid w:val="00E80CE2"/>
    <w:rsid w:val="00E80DB5"/>
    <w:rsid w:val="00E80DDC"/>
    <w:rsid w:val="00E80DE0"/>
    <w:rsid w:val="00E80E7A"/>
    <w:rsid w:val="00E80E7C"/>
    <w:rsid w:val="00E80EBD"/>
    <w:rsid w:val="00E80FCA"/>
    <w:rsid w:val="00E81073"/>
    <w:rsid w:val="00E81207"/>
    <w:rsid w:val="00E81396"/>
    <w:rsid w:val="00E81420"/>
    <w:rsid w:val="00E81438"/>
    <w:rsid w:val="00E81468"/>
    <w:rsid w:val="00E8156E"/>
    <w:rsid w:val="00E815D8"/>
    <w:rsid w:val="00E815FA"/>
    <w:rsid w:val="00E81621"/>
    <w:rsid w:val="00E816F3"/>
    <w:rsid w:val="00E8175A"/>
    <w:rsid w:val="00E81846"/>
    <w:rsid w:val="00E818B8"/>
    <w:rsid w:val="00E818FB"/>
    <w:rsid w:val="00E81964"/>
    <w:rsid w:val="00E819D1"/>
    <w:rsid w:val="00E819D5"/>
    <w:rsid w:val="00E819F6"/>
    <w:rsid w:val="00E81B5A"/>
    <w:rsid w:val="00E81B9C"/>
    <w:rsid w:val="00E81DB6"/>
    <w:rsid w:val="00E81DCC"/>
    <w:rsid w:val="00E81DEC"/>
    <w:rsid w:val="00E81F9C"/>
    <w:rsid w:val="00E82015"/>
    <w:rsid w:val="00E8211D"/>
    <w:rsid w:val="00E821E5"/>
    <w:rsid w:val="00E821F0"/>
    <w:rsid w:val="00E8223E"/>
    <w:rsid w:val="00E82386"/>
    <w:rsid w:val="00E823F4"/>
    <w:rsid w:val="00E82437"/>
    <w:rsid w:val="00E8249B"/>
    <w:rsid w:val="00E82653"/>
    <w:rsid w:val="00E826CB"/>
    <w:rsid w:val="00E826FE"/>
    <w:rsid w:val="00E827A6"/>
    <w:rsid w:val="00E827E5"/>
    <w:rsid w:val="00E82873"/>
    <w:rsid w:val="00E82947"/>
    <w:rsid w:val="00E82959"/>
    <w:rsid w:val="00E8299C"/>
    <w:rsid w:val="00E829ED"/>
    <w:rsid w:val="00E82A39"/>
    <w:rsid w:val="00E82A45"/>
    <w:rsid w:val="00E82C1B"/>
    <w:rsid w:val="00E82CFD"/>
    <w:rsid w:val="00E82D1C"/>
    <w:rsid w:val="00E82EFE"/>
    <w:rsid w:val="00E82F5C"/>
    <w:rsid w:val="00E82FB9"/>
    <w:rsid w:val="00E8300F"/>
    <w:rsid w:val="00E83064"/>
    <w:rsid w:val="00E830EE"/>
    <w:rsid w:val="00E831B9"/>
    <w:rsid w:val="00E831D7"/>
    <w:rsid w:val="00E8320B"/>
    <w:rsid w:val="00E83244"/>
    <w:rsid w:val="00E8324F"/>
    <w:rsid w:val="00E8325A"/>
    <w:rsid w:val="00E83272"/>
    <w:rsid w:val="00E83297"/>
    <w:rsid w:val="00E83324"/>
    <w:rsid w:val="00E83332"/>
    <w:rsid w:val="00E83353"/>
    <w:rsid w:val="00E83360"/>
    <w:rsid w:val="00E83394"/>
    <w:rsid w:val="00E8339A"/>
    <w:rsid w:val="00E83425"/>
    <w:rsid w:val="00E83497"/>
    <w:rsid w:val="00E8349B"/>
    <w:rsid w:val="00E834EA"/>
    <w:rsid w:val="00E8351E"/>
    <w:rsid w:val="00E8353F"/>
    <w:rsid w:val="00E8356F"/>
    <w:rsid w:val="00E83649"/>
    <w:rsid w:val="00E83678"/>
    <w:rsid w:val="00E83712"/>
    <w:rsid w:val="00E83745"/>
    <w:rsid w:val="00E83804"/>
    <w:rsid w:val="00E838D2"/>
    <w:rsid w:val="00E83901"/>
    <w:rsid w:val="00E83999"/>
    <w:rsid w:val="00E83A17"/>
    <w:rsid w:val="00E83A1D"/>
    <w:rsid w:val="00E83AAC"/>
    <w:rsid w:val="00E83B79"/>
    <w:rsid w:val="00E83BA5"/>
    <w:rsid w:val="00E83BF0"/>
    <w:rsid w:val="00E83C22"/>
    <w:rsid w:val="00E83C61"/>
    <w:rsid w:val="00E83DC8"/>
    <w:rsid w:val="00E83DE1"/>
    <w:rsid w:val="00E83E54"/>
    <w:rsid w:val="00E83ED9"/>
    <w:rsid w:val="00E83F1D"/>
    <w:rsid w:val="00E83F88"/>
    <w:rsid w:val="00E83FE1"/>
    <w:rsid w:val="00E8401F"/>
    <w:rsid w:val="00E840B3"/>
    <w:rsid w:val="00E8425C"/>
    <w:rsid w:val="00E8426B"/>
    <w:rsid w:val="00E842AF"/>
    <w:rsid w:val="00E842D0"/>
    <w:rsid w:val="00E842F5"/>
    <w:rsid w:val="00E84318"/>
    <w:rsid w:val="00E84323"/>
    <w:rsid w:val="00E8434C"/>
    <w:rsid w:val="00E84368"/>
    <w:rsid w:val="00E84389"/>
    <w:rsid w:val="00E8439D"/>
    <w:rsid w:val="00E844DC"/>
    <w:rsid w:val="00E84529"/>
    <w:rsid w:val="00E845CA"/>
    <w:rsid w:val="00E845E9"/>
    <w:rsid w:val="00E847C7"/>
    <w:rsid w:val="00E847D1"/>
    <w:rsid w:val="00E8481F"/>
    <w:rsid w:val="00E8482E"/>
    <w:rsid w:val="00E8485C"/>
    <w:rsid w:val="00E848D6"/>
    <w:rsid w:val="00E8491E"/>
    <w:rsid w:val="00E849B5"/>
    <w:rsid w:val="00E849CA"/>
    <w:rsid w:val="00E84A5E"/>
    <w:rsid w:val="00E84B82"/>
    <w:rsid w:val="00E84BB2"/>
    <w:rsid w:val="00E84CB3"/>
    <w:rsid w:val="00E84CCF"/>
    <w:rsid w:val="00E84D48"/>
    <w:rsid w:val="00E84DF7"/>
    <w:rsid w:val="00E84EAA"/>
    <w:rsid w:val="00E84F04"/>
    <w:rsid w:val="00E84F6F"/>
    <w:rsid w:val="00E84F8A"/>
    <w:rsid w:val="00E84F91"/>
    <w:rsid w:val="00E850CE"/>
    <w:rsid w:val="00E8514E"/>
    <w:rsid w:val="00E8515C"/>
    <w:rsid w:val="00E85170"/>
    <w:rsid w:val="00E8523D"/>
    <w:rsid w:val="00E852AD"/>
    <w:rsid w:val="00E85392"/>
    <w:rsid w:val="00E85559"/>
    <w:rsid w:val="00E855B9"/>
    <w:rsid w:val="00E855EC"/>
    <w:rsid w:val="00E85743"/>
    <w:rsid w:val="00E857C8"/>
    <w:rsid w:val="00E857D0"/>
    <w:rsid w:val="00E85814"/>
    <w:rsid w:val="00E85815"/>
    <w:rsid w:val="00E8581C"/>
    <w:rsid w:val="00E85836"/>
    <w:rsid w:val="00E85852"/>
    <w:rsid w:val="00E858F7"/>
    <w:rsid w:val="00E8591E"/>
    <w:rsid w:val="00E85965"/>
    <w:rsid w:val="00E85A62"/>
    <w:rsid w:val="00E85AEF"/>
    <w:rsid w:val="00E85B6B"/>
    <w:rsid w:val="00E85B70"/>
    <w:rsid w:val="00E85BD4"/>
    <w:rsid w:val="00E85C0B"/>
    <w:rsid w:val="00E85CE4"/>
    <w:rsid w:val="00E85D05"/>
    <w:rsid w:val="00E85D33"/>
    <w:rsid w:val="00E85D4D"/>
    <w:rsid w:val="00E85D4F"/>
    <w:rsid w:val="00E85D9A"/>
    <w:rsid w:val="00E85E1E"/>
    <w:rsid w:val="00E85E80"/>
    <w:rsid w:val="00E85E9B"/>
    <w:rsid w:val="00E85EDC"/>
    <w:rsid w:val="00E85F3B"/>
    <w:rsid w:val="00E85F8D"/>
    <w:rsid w:val="00E85FCC"/>
    <w:rsid w:val="00E8605B"/>
    <w:rsid w:val="00E86073"/>
    <w:rsid w:val="00E86074"/>
    <w:rsid w:val="00E860BE"/>
    <w:rsid w:val="00E86188"/>
    <w:rsid w:val="00E8631C"/>
    <w:rsid w:val="00E86349"/>
    <w:rsid w:val="00E864F9"/>
    <w:rsid w:val="00E865BA"/>
    <w:rsid w:val="00E86601"/>
    <w:rsid w:val="00E866DE"/>
    <w:rsid w:val="00E86711"/>
    <w:rsid w:val="00E86826"/>
    <w:rsid w:val="00E8682F"/>
    <w:rsid w:val="00E8684E"/>
    <w:rsid w:val="00E8689A"/>
    <w:rsid w:val="00E868C4"/>
    <w:rsid w:val="00E868FC"/>
    <w:rsid w:val="00E86917"/>
    <w:rsid w:val="00E86940"/>
    <w:rsid w:val="00E86987"/>
    <w:rsid w:val="00E869F3"/>
    <w:rsid w:val="00E86B6B"/>
    <w:rsid w:val="00E86BA8"/>
    <w:rsid w:val="00E86C7E"/>
    <w:rsid w:val="00E86CB0"/>
    <w:rsid w:val="00E86CE4"/>
    <w:rsid w:val="00E86D17"/>
    <w:rsid w:val="00E86D1D"/>
    <w:rsid w:val="00E86D90"/>
    <w:rsid w:val="00E86DB5"/>
    <w:rsid w:val="00E86E08"/>
    <w:rsid w:val="00E86E0F"/>
    <w:rsid w:val="00E86E1A"/>
    <w:rsid w:val="00E86E9E"/>
    <w:rsid w:val="00E86EA5"/>
    <w:rsid w:val="00E86EB9"/>
    <w:rsid w:val="00E86EC1"/>
    <w:rsid w:val="00E86EC9"/>
    <w:rsid w:val="00E86F17"/>
    <w:rsid w:val="00E86F1D"/>
    <w:rsid w:val="00E86F47"/>
    <w:rsid w:val="00E86F6F"/>
    <w:rsid w:val="00E870BF"/>
    <w:rsid w:val="00E87140"/>
    <w:rsid w:val="00E8715F"/>
    <w:rsid w:val="00E871D2"/>
    <w:rsid w:val="00E87213"/>
    <w:rsid w:val="00E87270"/>
    <w:rsid w:val="00E8727F"/>
    <w:rsid w:val="00E872DD"/>
    <w:rsid w:val="00E8738C"/>
    <w:rsid w:val="00E87420"/>
    <w:rsid w:val="00E87447"/>
    <w:rsid w:val="00E87451"/>
    <w:rsid w:val="00E87474"/>
    <w:rsid w:val="00E874D6"/>
    <w:rsid w:val="00E874FC"/>
    <w:rsid w:val="00E875F9"/>
    <w:rsid w:val="00E876A6"/>
    <w:rsid w:val="00E876CA"/>
    <w:rsid w:val="00E876F1"/>
    <w:rsid w:val="00E87709"/>
    <w:rsid w:val="00E87730"/>
    <w:rsid w:val="00E878EA"/>
    <w:rsid w:val="00E87917"/>
    <w:rsid w:val="00E879A2"/>
    <w:rsid w:val="00E87A00"/>
    <w:rsid w:val="00E87AD6"/>
    <w:rsid w:val="00E87AE4"/>
    <w:rsid w:val="00E87C0B"/>
    <w:rsid w:val="00E87C5F"/>
    <w:rsid w:val="00E87C9F"/>
    <w:rsid w:val="00E87D15"/>
    <w:rsid w:val="00E87DBC"/>
    <w:rsid w:val="00E87F66"/>
    <w:rsid w:val="00E9001F"/>
    <w:rsid w:val="00E900E5"/>
    <w:rsid w:val="00E902E0"/>
    <w:rsid w:val="00E903D6"/>
    <w:rsid w:val="00E904B1"/>
    <w:rsid w:val="00E904FC"/>
    <w:rsid w:val="00E90521"/>
    <w:rsid w:val="00E9064A"/>
    <w:rsid w:val="00E906B4"/>
    <w:rsid w:val="00E906DB"/>
    <w:rsid w:val="00E90811"/>
    <w:rsid w:val="00E90829"/>
    <w:rsid w:val="00E90842"/>
    <w:rsid w:val="00E90893"/>
    <w:rsid w:val="00E908F9"/>
    <w:rsid w:val="00E90941"/>
    <w:rsid w:val="00E9094E"/>
    <w:rsid w:val="00E90960"/>
    <w:rsid w:val="00E9096B"/>
    <w:rsid w:val="00E90982"/>
    <w:rsid w:val="00E90BAA"/>
    <w:rsid w:val="00E90BB1"/>
    <w:rsid w:val="00E90CA4"/>
    <w:rsid w:val="00E90CA8"/>
    <w:rsid w:val="00E90CA9"/>
    <w:rsid w:val="00E90CDB"/>
    <w:rsid w:val="00E90D20"/>
    <w:rsid w:val="00E90DBD"/>
    <w:rsid w:val="00E90E74"/>
    <w:rsid w:val="00E90EC8"/>
    <w:rsid w:val="00E90ED2"/>
    <w:rsid w:val="00E90F3D"/>
    <w:rsid w:val="00E910D7"/>
    <w:rsid w:val="00E911BE"/>
    <w:rsid w:val="00E912DD"/>
    <w:rsid w:val="00E913F4"/>
    <w:rsid w:val="00E913FC"/>
    <w:rsid w:val="00E91401"/>
    <w:rsid w:val="00E91432"/>
    <w:rsid w:val="00E914A4"/>
    <w:rsid w:val="00E91518"/>
    <w:rsid w:val="00E9153B"/>
    <w:rsid w:val="00E9154B"/>
    <w:rsid w:val="00E915AF"/>
    <w:rsid w:val="00E915D1"/>
    <w:rsid w:val="00E91644"/>
    <w:rsid w:val="00E91655"/>
    <w:rsid w:val="00E91698"/>
    <w:rsid w:val="00E916E2"/>
    <w:rsid w:val="00E916E4"/>
    <w:rsid w:val="00E9179C"/>
    <w:rsid w:val="00E917A4"/>
    <w:rsid w:val="00E91849"/>
    <w:rsid w:val="00E91883"/>
    <w:rsid w:val="00E91990"/>
    <w:rsid w:val="00E919C2"/>
    <w:rsid w:val="00E91A44"/>
    <w:rsid w:val="00E91A51"/>
    <w:rsid w:val="00E91B0B"/>
    <w:rsid w:val="00E91B87"/>
    <w:rsid w:val="00E91BE0"/>
    <w:rsid w:val="00E91C7A"/>
    <w:rsid w:val="00E91C99"/>
    <w:rsid w:val="00E91CB6"/>
    <w:rsid w:val="00E91CC9"/>
    <w:rsid w:val="00E91CD3"/>
    <w:rsid w:val="00E91DEC"/>
    <w:rsid w:val="00E91DF3"/>
    <w:rsid w:val="00E91E3D"/>
    <w:rsid w:val="00E91EAF"/>
    <w:rsid w:val="00E91F18"/>
    <w:rsid w:val="00E92030"/>
    <w:rsid w:val="00E92043"/>
    <w:rsid w:val="00E9213A"/>
    <w:rsid w:val="00E921D8"/>
    <w:rsid w:val="00E9226F"/>
    <w:rsid w:val="00E922A1"/>
    <w:rsid w:val="00E922C9"/>
    <w:rsid w:val="00E922D4"/>
    <w:rsid w:val="00E922E5"/>
    <w:rsid w:val="00E923DF"/>
    <w:rsid w:val="00E92447"/>
    <w:rsid w:val="00E92525"/>
    <w:rsid w:val="00E92540"/>
    <w:rsid w:val="00E92622"/>
    <w:rsid w:val="00E9275D"/>
    <w:rsid w:val="00E927E2"/>
    <w:rsid w:val="00E92877"/>
    <w:rsid w:val="00E9294C"/>
    <w:rsid w:val="00E92A68"/>
    <w:rsid w:val="00E92A86"/>
    <w:rsid w:val="00E92B6D"/>
    <w:rsid w:val="00E92C3B"/>
    <w:rsid w:val="00E92D07"/>
    <w:rsid w:val="00E92E21"/>
    <w:rsid w:val="00E92E29"/>
    <w:rsid w:val="00E92E85"/>
    <w:rsid w:val="00E92E96"/>
    <w:rsid w:val="00E92F08"/>
    <w:rsid w:val="00E92F59"/>
    <w:rsid w:val="00E92F5B"/>
    <w:rsid w:val="00E9313A"/>
    <w:rsid w:val="00E93155"/>
    <w:rsid w:val="00E9317A"/>
    <w:rsid w:val="00E93193"/>
    <w:rsid w:val="00E931F4"/>
    <w:rsid w:val="00E93231"/>
    <w:rsid w:val="00E9328F"/>
    <w:rsid w:val="00E932CA"/>
    <w:rsid w:val="00E933BF"/>
    <w:rsid w:val="00E933EF"/>
    <w:rsid w:val="00E93424"/>
    <w:rsid w:val="00E9347D"/>
    <w:rsid w:val="00E934AA"/>
    <w:rsid w:val="00E934BA"/>
    <w:rsid w:val="00E93534"/>
    <w:rsid w:val="00E935A8"/>
    <w:rsid w:val="00E935F5"/>
    <w:rsid w:val="00E93640"/>
    <w:rsid w:val="00E93662"/>
    <w:rsid w:val="00E93679"/>
    <w:rsid w:val="00E936C8"/>
    <w:rsid w:val="00E936D0"/>
    <w:rsid w:val="00E93737"/>
    <w:rsid w:val="00E9375C"/>
    <w:rsid w:val="00E93800"/>
    <w:rsid w:val="00E93872"/>
    <w:rsid w:val="00E938C7"/>
    <w:rsid w:val="00E9397C"/>
    <w:rsid w:val="00E939A5"/>
    <w:rsid w:val="00E939EC"/>
    <w:rsid w:val="00E93A38"/>
    <w:rsid w:val="00E93A62"/>
    <w:rsid w:val="00E93AC8"/>
    <w:rsid w:val="00E93BDC"/>
    <w:rsid w:val="00E93C1F"/>
    <w:rsid w:val="00E93D42"/>
    <w:rsid w:val="00E93D62"/>
    <w:rsid w:val="00E93E73"/>
    <w:rsid w:val="00E93F5D"/>
    <w:rsid w:val="00E9400B"/>
    <w:rsid w:val="00E940F8"/>
    <w:rsid w:val="00E94121"/>
    <w:rsid w:val="00E94122"/>
    <w:rsid w:val="00E941C7"/>
    <w:rsid w:val="00E9427C"/>
    <w:rsid w:val="00E9441A"/>
    <w:rsid w:val="00E9442B"/>
    <w:rsid w:val="00E94484"/>
    <w:rsid w:val="00E94485"/>
    <w:rsid w:val="00E9452D"/>
    <w:rsid w:val="00E94603"/>
    <w:rsid w:val="00E9460B"/>
    <w:rsid w:val="00E94652"/>
    <w:rsid w:val="00E94705"/>
    <w:rsid w:val="00E94718"/>
    <w:rsid w:val="00E94746"/>
    <w:rsid w:val="00E947C6"/>
    <w:rsid w:val="00E9484B"/>
    <w:rsid w:val="00E94919"/>
    <w:rsid w:val="00E9495A"/>
    <w:rsid w:val="00E94A1C"/>
    <w:rsid w:val="00E94A2A"/>
    <w:rsid w:val="00E94AAB"/>
    <w:rsid w:val="00E94C0A"/>
    <w:rsid w:val="00E94CB9"/>
    <w:rsid w:val="00E94D21"/>
    <w:rsid w:val="00E94DDA"/>
    <w:rsid w:val="00E94E41"/>
    <w:rsid w:val="00E94E82"/>
    <w:rsid w:val="00E94F7D"/>
    <w:rsid w:val="00E95063"/>
    <w:rsid w:val="00E9509E"/>
    <w:rsid w:val="00E95140"/>
    <w:rsid w:val="00E9519F"/>
    <w:rsid w:val="00E952BF"/>
    <w:rsid w:val="00E9538C"/>
    <w:rsid w:val="00E953A9"/>
    <w:rsid w:val="00E95423"/>
    <w:rsid w:val="00E95456"/>
    <w:rsid w:val="00E9546D"/>
    <w:rsid w:val="00E954F5"/>
    <w:rsid w:val="00E95527"/>
    <w:rsid w:val="00E955B7"/>
    <w:rsid w:val="00E955E9"/>
    <w:rsid w:val="00E9562B"/>
    <w:rsid w:val="00E9566D"/>
    <w:rsid w:val="00E957A7"/>
    <w:rsid w:val="00E957AE"/>
    <w:rsid w:val="00E9583C"/>
    <w:rsid w:val="00E95AA2"/>
    <w:rsid w:val="00E95B47"/>
    <w:rsid w:val="00E95B6A"/>
    <w:rsid w:val="00E95B6C"/>
    <w:rsid w:val="00E95BAB"/>
    <w:rsid w:val="00E95BD7"/>
    <w:rsid w:val="00E95BF3"/>
    <w:rsid w:val="00E95C6D"/>
    <w:rsid w:val="00E95CB2"/>
    <w:rsid w:val="00E95D59"/>
    <w:rsid w:val="00E95D71"/>
    <w:rsid w:val="00E95D84"/>
    <w:rsid w:val="00E95DA3"/>
    <w:rsid w:val="00E95E2D"/>
    <w:rsid w:val="00E95E2F"/>
    <w:rsid w:val="00E95E4A"/>
    <w:rsid w:val="00E95E91"/>
    <w:rsid w:val="00E95EA0"/>
    <w:rsid w:val="00E95F07"/>
    <w:rsid w:val="00E95FCE"/>
    <w:rsid w:val="00E96024"/>
    <w:rsid w:val="00E96040"/>
    <w:rsid w:val="00E9605C"/>
    <w:rsid w:val="00E9608F"/>
    <w:rsid w:val="00E960DD"/>
    <w:rsid w:val="00E960FB"/>
    <w:rsid w:val="00E9612E"/>
    <w:rsid w:val="00E9621E"/>
    <w:rsid w:val="00E96240"/>
    <w:rsid w:val="00E96281"/>
    <w:rsid w:val="00E96487"/>
    <w:rsid w:val="00E964A9"/>
    <w:rsid w:val="00E96518"/>
    <w:rsid w:val="00E96558"/>
    <w:rsid w:val="00E9657E"/>
    <w:rsid w:val="00E965D1"/>
    <w:rsid w:val="00E9674E"/>
    <w:rsid w:val="00E96750"/>
    <w:rsid w:val="00E967FB"/>
    <w:rsid w:val="00E96802"/>
    <w:rsid w:val="00E96855"/>
    <w:rsid w:val="00E968CD"/>
    <w:rsid w:val="00E968D4"/>
    <w:rsid w:val="00E96932"/>
    <w:rsid w:val="00E96A0D"/>
    <w:rsid w:val="00E96A20"/>
    <w:rsid w:val="00E96B6A"/>
    <w:rsid w:val="00E96C78"/>
    <w:rsid w:val="00E96C7D"/>
    <w:rsid w:val="00E96C90"/>
    <w:rsid w:val="00E96CB2"/>
    <w:rsid w:val="00E96CE4"/>
    <w:rsid w:val="00E96D27"/>
    <w:rsid w:val="00E96D71"/>
    <w:rsid w:val="00E96E02"/>
    <w:rsid w:val="00E96E6F"/>
    <w:rsid w:val="00E96ED4"/>
    <w:rsid w:val="00E96F2F"/>
    <w:rsid w:val="00E96F72"/>
    <w:rsid w:val="00E96F86"/>
    <w:rsid w:val="00E9703D"/>
    <w:rsid w:val="00E971A9"/>
    <w:rsid w:val="00E972F9"/>
    <w:rsid w:val="00E9736A"/>
    <w:rsid w:val="00E973A6"/>
    <w:rsid w:val="00E9742A"/>
    <w:rsid w:val="00E97431"/>
    <w:rsid w:val="00E9744B"/>
    <w:rsid w:val="00E97485"/>
    <w:rsid w:val="00E9749E"/>
    <w:rsid w:val="00E974EF"/>
    <w:rsid w:val="00E9756E"/>
    <w:rsid w:val="00E9764C"/>
    <w:rsid w:val="00E97772"/>
    <w:rsid w:val="00E977A0"/>
    <w:rsid w:val="00E978AE"/>
    <w:rsid w:val="00E979E1"/>
    <w:rsid w:val="00E97A0B"/>
    <w:rsid w:val="00E97AA3"/>
    <w:rsid w:val="00E97B8E"/>
    <w:rsid w:val="00E97C5F"/>
    <w:rsid w:val="00E97C64"/>
    <w:rsid w:val="00E97CCE"/>
    <w:rsid w:val="00E97D1A"/>
    <w:rsid w:val="00E97D35"/>
    <w:rsid w:val="00E97D72"/>
    <w:rsid w:val="00E97D8B"/>
    <w:rsid w:val="00E97DA8"/>
    <w:rsid w:val="00E97DD9"/>
    <w:rsid w:val="00E97E40"/>
    <w:rsid w:val="00E97ED1"/>
    <w:rsid w:val="00E97F75"/>
    <w:rsid w:val="00E9880E"/>
    <w:rsid w:val="00E9D08B"/>
    <w:rsid w:val="00EA009D"/>
    <w:rsid w:val="00EA00F6"/>
    <w:rsid w:val="00EA010F"/>
    <w:rsid w:val="00EA0169"/>
    <w:rsid w:val="00EA01C5"/>
    <w:rsid w:val="00EA04D8"/>
    <w:rsid w:val="00EA04E9"/>
    <w:rsid w:val="00EA04EF"/>
    <w:rsid w:val="00EA0517"/>
    <w:rsid w:val="00EA0594"/>
    <w:rsid w:val="00EA0693"/>
    <w:rsid w:val="00EA06FB"/>
    <w:rsid w:val="00EA0725"/>
    <w:rsid w:val="00EA0763"/>
    <w:rsid w:val="00EA07E3"/>
    <w:rsid w:val="00EA07F9"/>
    <w:rsid w:val="00EA0990"/>
    <w:rsid w:val="00EA099C"/>
    <w:rsid w:val="00EA0A8B"/>
    <w:rsid w:val="00EA0B04"/>
    <w:rsid w:val="00EA0B36"/>
    <w:rsid w:val="00EA0B51"/>
    <w:rsid w:val="00EA0B6A"/>
    <w:rsid w:val="00EA0C9E"/>
    <w:rsid w:val="00EA0D0A"/>
    <w:rsid w:val="00EA0D76"/>
    <w:rsid w:val="00EA0DDF"/>
    <w:rsid w:val="00EA0E30"/>
    <w:rsid w:val="00EA0F4B"/>
    <w:rsid w:val="00EA0FD0"/>
    <w:rsid w:val="00EA0FF6"/>
    <w:rsid w:val="00EA0FF7"/>
    <w:rsid w:val="00EA10A7"/>
    <w:rsid w:val="00EA110A"/>
    <w:rsid w:val="00EA1163"/>
    <w:rsid w:val="00EA11CC"/>
    <w:rsid w:val="00EA11D9"/>
    <w:rsid w:val="00EA1242"/>
    <w:rsid w:val="00EA125A"/>
    <w:rsid w:val="00EA1480"/>
    <w:rsid w:val="00EA1556"/>
    <w:rsid w:val="00EA157E"/>
    <w:rsid w:val="00EA15AD"/>
    <w:rsid w:val="00EA15DC"/>
    <w:rsid w:val="00EA1622"/>
    <w:rsid w:val="00EA1669"/>
    <w:rsid w:val="00EA16B1"/>
    <w:rsid w:val="00EA189C"/>
    <w:rsid w:val="00EA196D"/>
    <w:rsid w:val="00EA19C5"/>
    <w:rsid w:val="00EA1A0C"/>
    <w:rsid w:val="00EA1A9B"/>
    <w:rsid w:val="00EA1B00"/>
    <w:rsid w:val="00EA1BAD"/>
    <w:rsid w:val="00EA1BEE"/>
    <w:rsid w:val="00EA1C4E"/>
    <w:rsid w:val="00EA1CE8"/>
    <w:rsid w:val="00EA1DA6"/>
    <w:rsid w:val="00EA1E36"/>
    <w:rsid w:val="00EA1EC1"/>
    <w:rsid w:val="00EA1ED0"/>
    <w:rsid w:val="00EA1F0E"/>
    <w:rsid w:val="00EA1F34"/>
    <w:rsid w:val="00EA20C6"/>
    <w:rsid w:val="00EA2110"/>
    <w:rsid w:val="00EA2139"/>
    <w:rsid w:val="00EA2238"/>
    <w:rsid w:val="00EA224B"/>
    <w:rsid w:val="00EA2250"/>
    <w:rsid w:val="00EA226F"/>
    <w:rsid w:val="00EA22C4"/>
    <w:rsid w:val="00EA240F"/>
    <w:rsid w:val="00EA2483"/>
    <w:rsid w:val="00EA2499"/>
    <w:rsid w:val="00EA25BE"/>
    <w:rsid w:val="00EA25EF"/>
    <w:rsid w:val="00EA264F"/>
    <w:rsid w:val="00EA2732"/>
    <w:rsid w:val="00EA27CD"/>
    <w:rsid w:val="00EA27F5"/>
    <w:rsid w:val="00EA28A5"/>
    <w:rsid w:val="00EA2944"/>
    <w:rsid w:val="00EA294D"/>
    <w:rsid w:val="00EA2979"/>
    <w:rsid w:val="00EA2A26"/>
    <w:rsid w:val="00EA2ACC"/>
    <w:rsid w:val="00EA2C61"/>
    <w:rsid w:val="00EA2C8D"/>
    <w:rsid w:val="00EA2C90"/>
    <w:rsid w:val="00EA2CA8"/>
    <w:rsid w:val="00EA2CB0"/>
    <w:rsid w:val="00EA2CC1"/>
    <w:rsid w:val="00EA2D05"/>
    <w:rsid w:val="00EA2D41"/>
    <w:rsid w:val="00EA2D88"/>
    <w:rsid w:val="00EA2DAB"/>
    <w:rsid w:val="00EA2E37"/>
    <w:rsid w:val="00EA2EE4"/>
    <w:rsid w:val="00EA2FCE"/>
    <w:rsid w:val="00EA2FE9"/>
    <w:rsid w:val="00EA30F9"/>
    <w:rsid w:val="00EA3220"/>
    <w:rsid w:val="00EA3278"/>
    <w:rsid w:val="00EA3311"/>
    <w:rsid w:val="00EA33A9"/>
    <w:rsid w:val="00EA33DC"/>
    <w:rsid w:val="00EA3477"/>
    <w:rsid w:val="00EA3485"/>
    <w:rsid w:val="00EA34B3"/>
    <w:rsid w:val="00EA351F"/>
    <w:rsid w:val="00EA3543"/>
    <w:rsid w:val="00EA35A9"/>
    <w:rsid w:val="00EA35EB"/>
    <w:rsid w:val="00EA36D2"/>
    <w:rsid w:val="00EA375F"/>
    <w:rsid w:val="00EA39AC"/>
    <w:rsid w:val="00EA39DA"/>
    <w:rsid w:val="00EA39F7"/>
    <w:rsid w:val="00EA3A20"/>
    <w:rsid w:val="00EA3AFC"/>
    <w:rsid w:val="00EA3B10"/>
    <w:rsid w:val="00EA3CD3"/>
    <w:rsid w:val="00EA3D5C"/>
    <w:rsid w:val="00EA3DDE"/>
    <w:rsid w:val="00EA3E19"/>
    <w:rsid w:val="00EA3E53"/>
    <w:rsid w:val="00EA3EDA"/>
    <w:rsid w:val="00EA3FA2"/>
    <w:rsid w:val="00EA4015"/>
    <w:rsid w:val="00EA40F9"/>
    <w:rsid w:val="00EA41D9"/>
    <w:rsid w:val="00EA4286"/>
    <w:rsid w:val="00EA42FE"/>
    <w:rsid w:val="00EA4350"/>
    <w:rsid w:val="00EA4362"/>
    <w:rsid w:val="00EA443E"/>
    <w:rsid w:val="00EA446F"/>
    <w:rsid w:val="00EA4503"/>
    <w:rsid w:val="00EA45C3"/>
    <w:rsid w:val="00EA46AD"/>
    <w:rsid w:val="00EA46E2"/>
    <w:rsid w:val="00EA4733"/>
    <w:rsid w:val="00EA473A"/>
    <w:rsid w:val="00EA4749"/>
    <w:rsid w:val="00EA488C"/>
    <w:rsid w:val="00EA48D8"/>
    <w:rsid w:val="00EA4A28"/>
    <w:rsid w:val="00EA4A41"/>
    <w:rsid w:val="00EA4A9C"/>
    <w:rsid w:val="00EA4B2D"/>
    <w:rsid w:val="00EA4BA7"/>
    <w:rsid w:val="00EA4C47"/>
    <w:rsid w:val="00EA4C84"/>
    <w:rsid w:val="00EA4CB4"/>
    <w:rsid w:val="00EA4D0A"/>
    <w:rsid w:val="00EA4D34"/>
    <w:rsid w:val="00EA4D86"/>
    <w:rsid w:val="00EA4E63"/>
    <w:rsid w:val="00EA4ED8"/>
    <w:rsid w:val="00EA4F77"/>
    <w:rsid w:val="00EA4FBE"/>
    <w:rsid w:val="00EA5034"/>
    <w:rsid w:val="00EA505B"/>
    <w:rsid w:val="00EA506B"/>
    <w:rsid w:val="00EA5092"/>
    <w:rsid w:val="00EA5182"/>
    <w:rsid w:val="00EA51CF"/>
    <w:rsid w:val="00EA5286"/>
    <w:rsid w:val="00EA52E6"/>
    <w:rsid w:val="00EA539C"/>
    <w:rsid w:val="00EA5448"/>
    <w:rsid w:val="00EA54B1"/>
    <w:rsid w:val="00EA5690"/>
    <w:rsid w:val="00EA576A"/>
    <w:rsid w:val="00EA57A3"/>
    <w:rsid w:val="00EA57D0"/>
    <w:rsid w:val="00EA57EB"/>
    <w:rsid w:val="00EA58E5"/>
    <w:rsid w:val="00EA5951"/>
    <w:rsid w:val="00EA5A09"/>
    <w:rsid w:val="00EA5AC4"/>
    <w:rsid w:val="00EA5ADE"/>
    <w:rsid w:val="00EA5AEB"/>
    <w:rsid w:val="00EA5B38"/>
    <w:rsid w:val="00EA5B3E"/>
    <w:rsid w:val="00EA5B44"/>
    <w:rsid w:val="00EA5B46"/>
    <w:rsid w:val="00EA5C07"/>
    <w:rsid w:val="00EA5C16"/>
    <w:rsid w:val="00EA5C56"/>
    <w:rsid w:val="00EA5E38"/>
    <w:rsid w:val="00EA5EB2"/>
    <w:rsid w:val="00EA5F8C"/>
    <w:rsid w:val="00EA602F"/>
    <w:rsid w:val="00EA606A"/>
    <w:rsid w:val="00EA607D"/>
    <w:rsid w:val="00EA6089"/>
    <w:rsid w:val="00EA6102"/>
    <w:rsid w:val="00EA6186"/>
    <w:rsid w:val="00EA6311"/>
    <w:rsid w:val="00EA634C"/>
    <w:rsid w:val="00EA64AA"/>
    <w:rsid w:val="00EA64E6"/>
    <w:rsid w:val="00EA6503"/>
    <w:rsid w:val="00EA661F"/>
    <w:rsid w:val="00EA6632"/>
    <w:rsid w:val="00EA6688"/>
    <w:rsid w:val="00EA66A9"/>
    <w:rsid w:val="00EA66DD"/>
    <w:rsid w:val="00EA675A"/>
    <w:rsid w:val="00EA681A"/>
    <w:rsid w:val="00EA6860"/>
    <w:rsid w:val="00EA6872"/>
    <w:rsid w:val="00EA6886"/>
    <w:rsid w:val="00EA6893"/>
    <w:rsid w:val="00EA68F1"/>
    <w:rsid w:val="00EA699C"/>
    <w:rsid w:val="00EA69A5"/>
    <w:rsid w:val="00EA69EA"/>
    <w:rsid w:val="00EA6A5D"/>
    <w:rsid w:val="00EA6AB0"/>
    <w:rsid w:val="00EA6ABC"/>
    <w:rsid w:val="00EA6AC3"/>
    <w:rsid w:val="00EA6B4E"/>
    <w:rsid w:val="00EA6BB1"/>
    <w:rsid w:val="00EA6D00"/>
    <w:rsid w:val="00EA6D74"/>
    <w:rsid w:val="00EA6EBA"/>
    <w:rsid w:val="00EA6F4A"/>
    <w:rsid w:val="00EA6F7B"/>
    <w:rsid w:val="00EA6F92"/>
    <w:rsid w:val="00EA6FBB"/>
    <w:rsid w:val="00EA7022"/>
    <w:rsid w:val="00EA706C"/>
    <w:rsid w:val="00EA70D7"/>
    <w:rsid w:val="00EA718A"/>
    <w:rsid w:val="00EA7195"/>
    <w:rsid w:val="00EA7219"/>
    <w:rsid w:val="00EA7280"/>
    <w:rsid w:val="00EA733C"/>
    <w:rsid w:val="00EA734C"/>
    <w:rsid w:val="00EA737F"/>
    <w:rsid w:val="00EA73C9"/>
    <w:rsid w:val="00EA7406"/>
    <w:rsid w:val="00EA74ED"/>
    <w:rsid w:val="00EA7538"/>
    <w:rsid w:val="00EA75AF"/>
    <w:rsid w:val="00EA75BF"/>
    <w:rsid w:val="00EA75C4"/>
    <w:rsid w:val="00EA7605"/>
    <w:rsid w:val="00EA76A3"/>
    <w:rsid w:val="00EA7763"/>
    <w:rsid w:val="00EA778D"/>
    <w:rsid w:val="00EA7795"/>
    <w:rsid w:val="00EA77CF"/>
    <w:rsid w:val="00EA798F"/>
    <w:rsid w:val="00EA79C5"/>
    <w:rsid w:val="00EA7AE1"/>
    <w:rsid w:val="00EA7B20"/>
    <w:rsid w:val="00EA7B32"/>
    <w:rsid w:val="00EA7BAA"/>
    <w:rsid w:val="00EA7BB9"/>
    <w:rsid w:val="00EA7BC9"/>
    <w:rsid w:val="00EA7CF4"/>
    <w:rsid w:val="00EA7E1D"/>
    <w:rsid w:val="00EA7E75"/>
    <w:rsid w:val="00EA7EDA"/>
    <w:rsid w:val="00EA7F1E"/>
    <w:rsid w:val="00EA7F90"/>
    <w:rsid w:val="00EAB09B"/>
    <w:rsid w:val="00EAFA37"/>
    <w:rsid w:val="00EB0012"/>
    <w:rsid w:val="00EB00BE"/>
    <w:rsid w:val="00EB0187"/>
    <w:rsid w:val="00EB0242"/>
    <w:rsid w:val="00EB0389"/>
    <w:rsid w:val="00EB038F"/>
    <w:rsid w:val="00EB03A8"/>
    <w:rsid w:val="00EB04BB"/>
    <w:rsid w:val="00EB04C4"/>
    <w:rsid w:val="00EB04E6"/>
    <w:rsid w:val="00EB05A6"/>
    <w:rsid w:val="00EB05FD"/>
    <w:rsid w:val="00EB062A"/>
    <w:rsid w:val="00EB066F"/>
    <w:rsid w:val="00EB06D5"/>
    <w:rsid w:val="00EB06F9"/>
    <w:rsid w:val="00EB0715"/>
    <w:rsid w:val="00EB07D2"/>
    <w:rsid w:val="00EB0812"/>
    <w:rsid w:val="00EB0862"/>
    <w:rsid w:val="00EB08A1"/>
    <w:rsid w:val="00EB08DD"/>
    <w:rsid w:val="00EB0982"/>
    <w:rsid w:val="00EB0991"/>
    <w:rsid w:val="00EB0A69"/>
    <w:rsid w:val="00EB0A91"/>
    <w:rsid w:val="00EB0AA2"/>
    <w:rsid w:val="00EB0ABF"/>
    <w:rsid w:val="00EB0AE1"/>
    <w:rsid w:val="00EB0B26"/>
    <w:rsid w:val="00EB0B65"/>
    <w:rsid w:val="00EB0BBB"/>
    <w:rsid w:val="00EB0BCB"/>
    <w:rsid w:val="00EB0C96"/>
    <w:rsid w:val="00EB0C9C"/>
    <w:rsid w:val="00EB0CB8"/>
    <w:rsid w:val="00EB0D53"/>
    <w:rsid w:val="00EB0D5E"/>
    <w:rsid w:val="00EB0D79"/>
    <w:rsid w:val="00EB0D7B"/>
    <w:rsid w:val="00EB0DE7"/>
    <w:rsid w:val="00EB0E59"/>
    <w:rsid w:val="00EB0E72"/>
    <w:rsid w:val="00EB0E93"/>
    <w:rsid w:val="00EB0EA0"/>
    <w:rsid w:val="00EB0F4C"/>
    <w:rsid w:val="00EB1000"/>
    <w:rsid w:val="00EB1011"/>
    <w:rsid w:val="00EB1056"/>
    <w:rsid w:val="00EB1065"/>
    <w:rsid w:val="00EB106C"/>
    <w:rsid w:val="00EB1115"/>
    <w:rsid w:val="00EB12A9"/>
    <w:rsid w:val="00EB1327"/>
    <w:rsid w:val="00EB13DC"/>
    <w:rsid w:val="00EB1429"/>
    <w:rsid w:val="00EB146E"/>
    <w:rsid w:val="00EB1475"/>
    <w:rsid w:val="00EB14CC"/>
    <w:rsid w:val="00EB1545"/>
    <w:rsid w:val="00EB1559"/>
    <w:rsid w:val="00EB15E8"/>
    <w:rsid w:val="00EB163D"/>
    <w:rsid w:val="00EB1693"/>
    <w:rsid w:val="00EB1771"/>
    <w:rsid w:val="00EB177E"/>
    <w:rsid w:val="00EB17AD"/>
    <w:rsid w:val="00EB1815"/>
    <w:rsid w:val="00EB1827"/>
    <w:rsid w:val="00EB1854"/>
    <w:rsid w:val="00EB187F"/>
    <w:rsid w:val="00EB18B7"/>
    <w:rsid w:val="00EB194E"/>
    <w:rsid w:val="00EB1950"/>
    <w:rsid w:val="00EB1973"/>
    <w:rsid w:val="00EB19C0"/>
    <w:rsid w:val="00EB1A26"/>
    <w:rsid w:val="00EB1A30"/>
    <w:rsid w:val="00EB1A45"/>
    <w:rsid w:val="00EB1A57"/>
    <w:rsid w:val="00EB1A79"/>
    <w:rsid w:val="00EB1B45"/>
    <w:rsid w:val="00EB1C31"/>
    <w:rsid w:val="00EB1CF3"/>
    <w:rsid w:val="00EB1D3D"/>
    <w:rsid w:val="00EB1D51"/>
    <w:rsid w:val="00EB1DA9"/>
    <w:rsid w:val="00EB1DB4"/>
    <w:rsid w:val="00EB1E6E"/>
    <w:rsid w:val="00EB1F51"/>
    <w:rsid w:val="00EB20D7"/>
    <w:rsid w:val="00EB2137"/>
    <w:rsid w:val="00EB2155"/>
    <w:rsid w:val="00EB2156"/>
    <w:rsid w:val="00EB2224"/>
    <w:rsid w:val="00EB22F9"/>
    <w:rsid w:val="00EB2322"/>
    <w:rsid w:val="00EB2347"/>
    <w:rsid w:val="00EB236B"/>
    <w:rsid w:val="00EB23E3"/>
    <w:rsid w:val="00EB2492"/>
    <w:rsid w:val="00EB2495"/>
    <w:rsid w:val="00EB24F0"/>
    <w:rsid w:val="00EB2541"/>
    <w:rsid w:val="00EB255C"/>
    <w:rsid w:val="00EB25BF"/>
    <w:rsid w:val="00EB2610"/>
    <w:rsid w:val="00EB262F"/>
    <w:rsid w:val="00EB2633"/>
    <w:rsid w:val="00EB2649"/>
    <w:rsid w:val="00EB268A"/>
    <w:rsid w:val="00EB288A"/>
    <w:rsid w:val="00EB298F"/>
    <w:rsid w:val="00EB29D0"/>
    <w:rsid w:val="00EB2BAE"/>
    <w:rsid w:val="00EB2BCD"/>
    <w:rsid w:val="00EB2C09"/>
    <w:rsid w:val="00EB2C5C"/>
    <w:rsid w:val="00EB2CFE"/>
    <w:rsid w:val="00EB2DFC"/>
    <w:rsid w:val="00EB2F73"/>
    <w:rsid w:val="00EB2FEC"/>
    <w:rsid w:val="00EB30F6"/>
    <w:rsid w:val="00EB31F7"/>
    <w:rsid w:val="00EB3240"/>
    <w:rsid w:val="00EB3249"/>
    <w:rsid w:val="00EB325B"/>
    <w:rsid w:val="00EB328E"/>
    <w:rsid w:val="00EB32BB"/>
    <w:rsid w:val="00EB32EB"/>
    <w:rsid w:val="00EB331E"/>
    <w:rsid w:val="00EB3382"/>
    <w:rsid w:val="00EB339C"/>
    <w:rsid w:val="00EB339D"/>
    <w:rsid w:val="00EB339F"/>
    <w:rsid w:val="00EB33AE"/>
    <w:rsid w:val="00EB3422"/>
    <w:rsid w:val="00EB3427"/>
    <w:rsid w:val="00EB350D"/>
    <w:rsid w:val="00EB3515"/>
    <w:rsid w:val="00EB35A7"/>
    <w:rsid w:val="00EB35DF"/>
    <w:rsid w:val="00EB360F"/>
    <w:rsid w:val="00EB3639"/>
    <w:rsid w:val="00EB38BB"/>
    <w:rsid w:val="00EB393E"/>
    <w:rsid w:val="00EB397A"/>
    <w:rsid w:val="00EB39B9"/>
    <w:rsid w:val="00EB3A08"/>
    <w:rsid w:val="00EB3A0E"/>
    <w:rsid w:val="00EB3AD6"/>
    <w:rsid w:val="00EB3B4B"/>
    <w:rsid w:val="00EB3B57"/>
    <w:rsid w:val="00EB3C33"/>
    <w:rsid w:val="00EB3C9A"/>
    <w:rsid w:val="00EB3D1C"/>
    <w:rsid w:val="00EB3DD5"/>
    <w:rsid w:val="00EB3E01"/>
    <w:rsid w:val="00EB3E68"/>
    <w:rsid w:val="00EB3E7E"/>
    <w:rsid w:val="00EB3EC7"/>
    <w:rsid w:val="00EB3F97"/>
    <w:rsid w:val="00EB3FF9"/>
    <w:rsid w:val="00EB4011"/>
    <w:rsid w:val="00EB416A"/>
    <w:rsid w:val="00EB4198"/>
    <w:rsid w:val="00EB41B4"/>
    <w:rsid w:val="00EB432D"/>
    <w:rsid w:val="00EB4336"/>
    <w:rsid w:val="00EB4355"/>
    <w:rsid w:val="00EB4387"/>
    <w:rsid w:val="00EB43AE"/>
    <w:rsid w:val="00EB444B"/>
    <w:rsid w:val="00EB44A0"/>
    <w:rsid w:val="00EB4540"/>
    <w:rsid w:val="00EB46C4"/>
    <w:rsid w:val="00EB483F"/>
    <w:rsid w:val="00EB48A2"/>
    <w:rsid w:val="00EB48D4"/>
    <w:rsid w:val="00EB4943"/>
    <w:rsid w:val="00EB495E"/>
    <w:rsid w:val="00EB4969"/>
    <w:rsid w:val="00EB4972"/>
    <w:rsid w:val="00EB4982"/>
    <w:rsid w:val="00EB49B2"/>
    <w:rsid w:val="00EB49C4"/>
    <w:rsid w:val="00EB4AE7"/>
    <w:rsid w:val="00EB4AF0"/>
    <w:rsid w:val="00EB4AF8"/>
    <w:rsid w:val="00EB4BC8"/>
    <w:rsid w:val="00EB4C2F"/>
    <w:rsid w:val="00EB4C69"/>
    <w:rsid w:val="00EB4D24"/>
    <w:rsid w:val="00EB4F6E"/>
    <w:rsid w:val="00EB4F81"/>
    <w:rsid w:val="00EB5029"/>
    <w:rsid w:val="00EB5189"/>
    <w:rsid w:val="00EB520E"/>
    <w:rsid w:val="00EB53FC"/>
    <w:rsid w:val="00EB5422"/>
    <w:rsid w:val="00EB54AA"/>
    <w:rsid w:val="00EB54FC"/>
    <w:rsid w:val="00EB55B6"/>
    <w:rsid w:val="00EB55F9"/>
    <w:rsid w:val="00EB5636"/>
    <w:rsid w:val="00EB5660"/>
    <w:rsid w:val="00EB570F"/>
    <w:rsid w:val="00EB5831"/>
    <w:rsid w:val="00EB5989"/>
    <w:rsid w:val="00EB59CA"/>
    <w:rsid w:val="00EB59D1"/>
    <w:rsid w:val="00EB59ED"/>
    <w:rsid w:val="00EB59F6"/>
    <w:rsid w:val="00EB5B27"/>
    <w:rsid w:val="00EB5D14"/>
    <w:rsid w:val="00EB5D4E"/>
    <w:rsid w:val="00EB5E65"/>
    <w:rsid w:val="00EB5E80"/>
    <w:rsid w:val="00EB5F3D"/>
    <w:rsid w:val="00EB5F3E"/>
    <w:rsid w:val="00EB5F4A"/>
    <w:rsid w:val="00EB5F97"/>
    <w:rsid w:val="00EB608D"/>
    <w:rsid w:val="00EB6099"/>
    <w:rsid w:val="00EB60AC"/>
    <w:rsid w:val="00EB60B2"/>
    <w:rsid w:val="00EB61B8"/>
    <w:rsid w:val="00EB620E"/>
    <w:rsid w:val="00EB6267"/>
    <w:rsid w:val="00EB626C"/>
    <w:rsid w:val="00EB6329"/>
    <w:rsid w:val="00EB638E"/>
    <w:rsid w:val="00EB63AF"/>
    <w:rsid w:val="00EB640B"/>
    <w:rsid w:val="00EB6465"/>
    <w:rsid w:val="00EB64AF"/>
    <w:rsid w:val="00EB6525"/>
    <w:rsid w:val="00EB663A"/>
    <w:rsid w:val="00EB663F"/>
    <w:rsid w:val="00EB6644"/>
    <w:rsid w:val="00EB66B6"/>
    <w:rsid w:val="00EB66FB"/>
    <w:rsid w:val="00EB672F"/>
    <w:rsid w:val="00EB6747"/>
    <w:rsid w:val="00EB6776"/>
    <w:rsid w:val="00EB678D"/>
    <w:rsid w:val="00EB6791"/>
    <w:rsid w:val="00EB67FC"/>
    <w:rsid w:val="00EB68C9"/>
    <w:rsid w:val="00EB6A44"/>
    <w:rsid w:val="00EB6AA5"/>
    <w:rsid w:val="00EB6AD7"/>
    <w:rsid w:val="00EB6B33"/>
    <w:rsid w:val="00EB6B70"/>
    <w:rsid w:val="00EB6C71"/>
    <w:rsid w:val="00EB6D0A"/>
    <w:rsid w:val="00EB6DFE"/>
    <w:rsid w:val="00EB6E20"/>
    <w:rsid w:val="00EB6E47"/>
    <w:rsid w:val="00EB6E93"/>
    <w:rsid w:val="00EB6EDD"/>
    <w:rsid w:val="00EB6F12"/>
    <w:rsid w:val="00EB6F3D"/>
    <w:rsid w:val="00EB702A"/>
    <w:rsid w:val="00EB705A"/>
    <w:rsid w:val="00EB70C8"/>
    <w:rsid w:val="00EB70DE"/>
    <w:rsid w:val="00EB7148"/>
    <w:rsid w:val="00EB718F"/>
    <w:rsid w:val="00EB71BE"/>
    <w:rsid w:val="00EB71E2"/>
    <w:rsid w:val="00EB71EC"/>
    <w:rsid w:val="00EB728B"/>
    <w:rsid w:val="00EB72C5"/>
    <w:rsid w:val="00EB7329"/>
    <w:rsid w:val="00EB734F"/>
    <w:rsid w:val="00EB75AD"/>
    <w:rsid w:val="00EB75CE"/>
    <w:rsid w:val="00EB76DB"/>
    <w:rsid w:val="00EB7742"/>
    <w:rsid w:val="00EB7823"/>
    <w:rsid w:val="00EB783C"/>
    <w:rsid w:val="00EB78B5"/>
    <w:rsid w:val="00EB7A62"/>
    <w:rsid w:val="00EB7AC1"/>
    <w:rsid w:val="00EB7B47"/>
    <w:rsid w:val="00EB7B69"/>
    <w:rsid w:val="00EB7BAB"/>
    <w:rsid w:val="00EB7BE4"/>
    <w:rsid w:val="00EB7CE8"/>
    <w:rsid w:val="00EB7D38"/>
    <w:rsid w:val="00EB7D53"/>
    <w:rsid w:val="00EB7E5C"/>
    <w:rsid w:val="00EB7F23"/>
    <w:rsid w:val="00EB7F3B"/>
    <w:rsid w:val="00EB7FA0"/>
    <w:rsid w:val="00EC00AE"/>
    <w:rsid w:val="00EC01BC"/>
    <w:rsid w:val="00EC01D5"/>
    <w:rsid w:val="00EC01F4"/>
    <w:rsid w:val="00EC0227"/>
    <w:rsid w:val="00EC0279"/>
    <w:rsid w:val="00EC028A"/>
    <w:rsid w:val="00EC0306"/>
    <w:rsid w:val="00EC03C9"/>
    <w:rsid w:val="00EC04A9"/>
    <w:rsid w:val="00EC0502"/>
    <w:rsid w:val="00EC0576"/>
    <w:rsid w:val="00EC05EF"/>
    <w:rsid w:val="00EC0670"/>
    <w:rsid w:val="00EC0742"/>
    <w:rsid w:val="00EC0813"/>
    <w:rsid w:val="00EC0834"/>
    <w:rsid w:val="00EC0918"/>
    <w:rsid w:val="00EC0928"/>
    <w:rsid w:val="00EC0A79"/>
    <w:rsid w:val="00EC0D23"/>
    <w:rsid w:val="00EC0D33"/>
    <w:rsid w:val="00EC0E17"/>
    <w:rsid w:val="00EC0E55"/>
    <w:rsid w:val="00EC0E57"/>
    <w:rsid w:val="00EC0EE0"/>
    <w:rsid w:val="00EC0F3E"/>
    <w:rsid w:val="00EC0F45"/>
    <w:rsid w:val="00EC1043"/>
    <w:rsid w:val="00EC1068"/>
    <w:rsid w:val="00EC1110"/>
    <w:rsid w:val="00EC1189"/>
    <w:rsid w:val="00EC12C4"/>
    <w:rsid w:val="00EC1312"/>
    <w:rsid w:val="00EC1388"/>
    <w:rsid w:val="00EC13BA"/>
    <w:rsid w:val="00EC13F4"/>
    <w:rsid w:val="00EC13FB"/>
    <w:rsid w:val="00EC1492"/>
    <w:rsid w:val="00EC14CE"/>
    <w:rsid w:val="00EC15A4"/>
    <w:rsid w:val="00EC15FE"/>
    <w:rsid w:val="00EC1619"/>
    <w:rsid w:val="00EC1656"/>
    <w:rsid w:val="00EC16D9"/>
    <w:rsid w:val="00EC1771"/>
    <w:rsid w:val="00EC17A0"/>
    <w:rsid w:val="00EC17D3"/>
    <w:rsid w:val="00EC17EA"/>
    <w:rsid w:val="00EC19D7"/>
    <w:rsid w:val="00EC1A4F"/>
    <w:rsid w:val="00EC1A68"/>
    <w:rsid w:val="00EC1AFA"/>
    <w:rsid w:val="00EC1BA6"/>
    <w:rsid w:val="00EC1BFB"/>
    <w:rsid w:val="00EC1D12"/>
    <w:rsid w:val="00EC1D6C"/>
    <w:rsid w:val="00EC1F76"/>
    <w:rsid w:val="00EC1F96"/>
    <w:rsid w:val="00EC1F9F"/>
    <w:rsid w:val="00EC1FFE"/>
    <w:rsid w:val="00EC2025"/>
    <w:rsid w:val="00EC203B"/>
    <w:rsid w:val="00EC228A"/>
    <w:rsid w:val="00EC234F"/>
    <w:rsid w:val="00EC23F9"/>
    <w:rsid w:val="00EC24A7"/>
    <w:rsid w:val="00EC24F1"/>
    <w:rsid w:val="00EC2524"/>
    <w:rsid w:val="00EC2543"/>
    <w:rsid w:val="00EC25C9"/>
    <w:rsid w:val="00EC25F9"/>
    <w:rsid w:val="00EC271E"/>
    <w:rsid w:val="00EC278A"/>
    <w:rsid w:val="00EC28B1"/>
    <w:rsid w:val="00EC28FC"/>
    <w:rsid w:val="00EC2955"/>
    <w:rsid w:val="00EC2963"/>
    <w:rsid w:val="00EC29A0"/>
    <w:rsid w:val="00EC2A4D"/>
    <w:rsid w:val="00EC2A56"/>
    <w:rsid w:val="00EC2A5F"/>
    <w:rsid w:val="00EC2B96"/>
    <w:rsid w:val="00EC2C30"/>
    <w:rsid w:val="00EC2CB0"/>
    <w:rsid w:val="00EC2E00"/>
    <w:rsid w:val="00EC2ECD"/>
    <w:rsid w:val="00EC2F01"/>
    <w:rsid w:val="00EC2F07"/>
    <w:rsid w:val="00EC2F38"/>
    <w:rsid w:val="00EC2F71"/>
    <w:rsid w:val="00EC2F9E"/>
    <w:rsid w:val="00EC2FF6"/>
    <w:rsid w:val="00EC2FFE"/>
    <w:rsid w:val="00EC3053"/>
    <w:rsid w:val="00EC30E4"/>
    <w:rsid w:val="00EC30FF"/>
    <w:rsid w:val="00EC3109"/>
    <w:rsid w:val="00EC3171"/>
    <w:rsid w:val="00EC3219"/>
    <w:rsid w:val="00EC32C7"/>
    <w:rsid w:val="00EC32D5"/>
    <w:rsid w:val="00EC33E9"/>
    <w:rsid w:val="00EC33F9"/>
    <w:rsid w:val="00EC342B"/>
    <w:rsid w:val="00EC3434"/>
    <w:rsid w:val="00EC3464"/>
    <w:rsid w:val="00EC34C6"/>
    <w:rsid w:val="00EC3673"/>
    <w:rsid w:val="00EC36F6"/>
    <w:rsid w:val="00EC37B6"/>
    <w:rsid w:val="00EC37C4"/>
    <w:rsid w:val="00EC383E"/>
    <w:rsid w:val="00EC3866"/>
    <w:rsid w:val="00EC38CD"/>
    <w:rsid w:val="00EC38D2"/>
    <w:rsid w:val="00EC392C"/>
    <w:rsid w:val="00EC3960"/>
    <w:rsid w:val="00EC3997"/>
    <w:rsid w:val="00EC3ABB"/>
    <w:rsid w:val="00EC3B30"/>
    <w:rsid w:val="00EC3B88"/>
    <w:rsid w:val="00EC3BC0"/>
    <w:rsid w:val="00EC3C9B"/>
    <w:rsid w:val="00EC3D53"/>
    <w:rsid w:val="00EC3D6A"/>
    <w:rsid w:val="00EC3E8A"/>
    <w:rsid w:val="00EC3F40"/>
    <w:rsid w:val="00EC3F8F"/>
    <w:rsid w:val="00EC4180"/>
    <w:rsid w:val="00EC41CB"/>
    <w:rsid w:val="00EC41D3"/>
    <w:rsid w:val="00EC4200"/>
    <w:rsid w:val="00EC420D"/>
    <w:rsid w:val="00EC4275"/>
    <w:rsid w:val="00EC4291"/>
    <w:rsid w:val="00EC4293"/>
    <w:rsid w:val="00EC42DD"/>
    <w:rsid w:val="00EC4331"/>
    <w:rsid w:val="00EC4336"/>
    <w:rsid w:val="00EC4393"/>
    <w:rsid w:val="00EC43CC"/>
    <w:rsid w:val="00EC4420"/>
    <w:rsid w:val="00EC448A"/>
    <w:rsid w:val="00EC4490"/>
    <w:rsid w:val="00EC44AF"/>
    <w:rsid w:val="00EC450D"/>
    <w:rsid w:val="00EC4515"/>
    <w:rsid w:val="00EC4548"/>
    <w:rsid w:val="00EC454A"/>
    <w:rsid w:val="00EC465D"/>
    <w:rsid w:val="00EC4695"/>
    <w:rsid w:val="00EC4723"/>
    <w:rsid w:val="00EC47BA"/>
    <w:rsid w:val="00EC47F2"/>
    <w:rsid w:val="00EC4813"/>
    <w:rsid w:val="00EC481F"/>
    <w:rsid w:val="00EC48FD"/>
    <w:rsid w:val="00EC4A01"/>
    <w:rsid w:val="00EC4A6C"/>
    <w:rsid w:val="00EC4B46"/>
    <w:rsid w:val="00EC4C01"/>
    <w:rsid w:val="00EC4C54"/>
    <w:rsid w:val="00EC4C9E"/>
    <w:rsid w:val="00EC4D01"/>
    <w:rsid w:val="00EC4DA8"/>
    <w:rsid w:val="00EC4E31"/>
    <w:rsid w:val="00EC4E62"/>
    <w:rsid w:val="00EC4F62"/>
    <w:rsid w:val="00EC4F99"/>
    <w:rsid w:val="00EC4FC3"/>
    <w:rsid w:val="00EC5036"/>
    <w:rsid w:val="00EC514C"/>
    <w:rsid w:val="00EC51C4"/>
    <w:rsid w:val="00EC52CC"/>
    <w:rsid w:val="00EC52EC"/>
    <w:rsid w:val="00EC5341"/>
    <w:rsid w:val="00EC5470"/>
    <w:rsid w:val="00EC5476"/>
    <w:rsid w:val="00EC5530"/>
    <w:rsid w:val="00EC55D9"/>
    <w:rsid w:val="00EC560E"/>
    <w:rsid w:val="00EC5619"/>
    <w:rsid w:val="00EC56C8"/>
    <w:rsid w:val="00EC5787"/>
    <w:rsid w:val="00EC5850"/>
    <w:rsid w:val="00EC58CB"/>
    <w:rsid w:val="00EC595E"/>
    <w:rsid w:val="00EC59F9"/>
    <w:rsid w:val="00EC5A01"/>
    <w:rsid w:val="00EC5A96"/>
    <w:rsid w:val="00EC5ADC"/>
    <w:rsid w:val="00EC5C29"/>
    <w:rsid w:val="00EC5CFA"/>
    <w:rsid w:val="00EC5E91"/>
    <w:rsid w:val="00EC5EA3"/>
    <w:rsid w:val="00EC5EB8"/>
    <w:rsid w:val="00EC5F45"/>
    <w:rsid w:val="00EC5F69"/>
    <w:rsid w:val="00EC5F86"/>
    <w:rsid w:val="00EC5FEC"/>
    <w:rsid w:val="00EC601B"/>
    <w:rsid w:val="00EC6021"/>
    <w:rsid w:val="00EC6041"/>
    <w:rsid w:val="00EC60C6"/>
    <w:rsid w:val="00EC613D"/>
    <w:rsid w:val="00EC615B"/>
    <w:rsid w:val="00EC62F6"/>
    <w:rsid w:val="00EC6308"/>
    <w:rsid w:val="00EC63D3"/>
    <w:rsid w:val="00EC63E5"/>
    <w:rsid w:val="00EC63F2"/>
    <w:rsid w:val="00EC64D1"/>
    <w:rsid w:val="00EC664E"/>
    <w:rsid w:val="00EC6673"/>
    <w:rsid w:val="00EC669B"/>
    <w:rsid w:val="00EC669C"/>
    <w:rsid w:val="00EC672E"/>
    <w:rsid w:val="00EC6758"/>
    <w:rsid w:val="00EC6876"/>
    <w:rsid w:val="00EC6915"/>
    <w:rsid w:val="00EC6973"/>
    <w:rsid w:val="00EC69AF"/>
    <w:rsid w:val="00EC6A5A"/>
    <w:rsid w:val="00EC6A90"/>
    <w:rsid w:val="00EC6A96"/>
    <w:rsid w:val="00EC6AA3"/>
    <w:rsid w:val="00EC6B24"/>
    <w:rsid w:val="00EC6CD5"/>
    <w:rsid w:val="00EC6D3A"/>
    <w:rsid w:val="00EC6DF7"/>
    <w:rsid w:val="00EC6E59"/>
    <w:rsid w:val="00EC6E64"/>
    <w:rsid w:val="00EC6F16"/>
    <w:rsid w:val="00EC6F7E"/>
    <w:rsid w:val="00EC6FE5"/>
    <w:rsid w:val="00EC6FF7"/>
    <w:rsid w:val="00EC715B"/>
    <w:rsid w:val="00EC7179"/>
    <w:rsid w:val="00EC7202"/>
    <w:rsid w:val="00EC72B9"/>
    <w:rsid w:val="00EC72FA"/>
    <w:rsid w:val="00EC736A"/>
    <w:rsid w:val="00EC7378"/>
    <w:rsid w:val="00EC7439"/>
    <w:rsid w:val="00EC747C"/>
    <w:rsid w:val="00EC748D"/>
    <w:rsid w:val="00EC74AD"/>
    <w:rsid w:val="00EC74D8"/>
    <w:rsid w:val="00EC75F8"/>
    <w:rsid w:val="00EC7655"/>
    <w:rsid w:val="00EC76EF"/>
    <w:rsid w:val="00EC7745"/>
    <w:rsid w:val="00EC774A"/>
    <w:rsid w:val="00EC77D7"/>
    <w:rsid w:val="00EC781B"/>
    <w:rsid w:val="00EC783D"/>
    <w:rsid w:val="00EC78E1"/>
    <w:rsid w:val="00EC7906"/>
    <w:rsid w:val="00EC79A0"/>
    <w:rsid w:val="00EC7A32"/>
    <w:rsid w:val="00EC7A33"/>
    <w:rsid w:val="00EC7A4C"/>
    <w:rsid w:val="00EC7A7E"/>
    <w:rsid w:val="00EC7A8B"/>
    <w:rsid w:val="00EC7B37"/>
    <w:rsid w:val="00EC7D0E"/>
    <w:rsid w:val="00EC7DA5"/>
    <w:rsid w:val="00EC7E05"/>
    <w:rsid w:val="00EC7E0F"/>
    <w:rsid w:val="00EC7E46"/>
    <w:rsid w:val="00EC7E9D"/>
    <w:rsid w:val="00EC7EA3"/>
    <w:rsid w:val="00EC7EB6"/>
    <w:rsid w:val="00EC7F7B"/>
    <w:rsid w:val="00ED0003"/>
    <w:rsid w:val="00ED00C4"/>
    <w:rsid w:val="00ED0249"/>
    <w:rsid w:val="00ED0450"/>
    <w:rsid w:val="00ED0505"/>
    <w:rsid w:val="00ED05E9"/>
    <w:rsid w:val="00ED0687"/>
    <w:rsid w:val="00ED071C"/>
    <w:rsid w:val="00ED0749"/>
    <w:rsid w:val="00ED07B5"/>
    <w:rsid w:val="00ED086C"/>
    <w:rsid w:val="00ED090C"/>
    <w:rsid w:val="00ED095A"/>
    <w:rsid w:val="00ED096B"/>
    <w:rsid w:val="00ED09D7"/>
    <w:rsid w:val="00ED0A14"/>
    <w:rsid w:val="00ED0B04"/>
    <w:rsid w:val="00ED0B18"/>
    <w:rsid w:val="00ED0B3F"/>
    <w:rsid w:val="00ED0B9B"/>
    <w:rsid w:val="00ED0C93"/>
    <w:rsid w:val="00ED0CC0"/>
    <w:rsid w:val="00ED0CD0"/>
    <w:rsid w:val="00ED0CDB"/>
    <w:rsid w:val="00ED0CE9"/>
    <w:rsid w:val="00ED0D7B"/>
    <w:rsid w:val="00ED0D7F"/>
    <w:rsid w:val="00ED0DC9"/>
    <w:rsid w:val="00ED0DDF"/>
    <w:rsid w:val="00ED0F1C"/>
    <w:rsid w:val="00ED10EA"/>
    <w:rsid w:val="00ED1113"/>
    <w:rsid w:val="00ED111C"/>
    <w:rsid w:val="00ED1137"/>
    <w:rsid w:val="00ED11A9"/>
    <w:rsid w:val="00ED11CB"/>
    <w:rsid w:val="00ED1212"/>
    <w:rsid w:val="00ED1219"/>
    <w:rsid w:val="00ED123A"/>
    <w:rsid w:val="00ED124D"/>
    <w:rsid w:val="00ED125B"/>
    <w:rsid w:val="00ED1281"/>
    <w:rsid w:val="00ED1282"/>
    <w:rsid w:val="00ED13DC"/>
    <w:rsid w:val="00ED147C"/>
    <w:rsid w:val="00ED14F0"/>
    <w:rsid w:val="00ED1595"/>
    <w:rsid w:val="00ED15AA"/>
    <w:rsid w:val="00ED15F1"/>
    <w:rsid w:val="00ED1637"/>
    <w:rsid w:val="00ED1988"/>
    <w:rsid w:val="00ED19CC"/>
    <w:rsid w:val="00ED1AB2"/>
    <w:rsid w:val="00ED1AE0"/>
    <w:rsid w:val="00ED1B3E"/>
    <w:rsid w:val="00ED1B8A"/>
    <w:rsid w:val="00ED1BF0"/>
    <w:rsid w:val="00ED1C3A"/>
    <w:rsid w:val="00ED1C3D"/>
    <w:rsid w:val="00ED1CC3"/>
    <w:rsid w:val="00ED1D76"/>
    <w:rsid w:val="00ED1EE3"/>
    <w:rsid w:val="00ED1FB6"/>
    <w:rsid w:val="00ED20E8"/>
    <w:rsid w:val="00ED2174"/>
    <w:rsid w:val="00ED219C"/>
    <w:rsid w:val="00ED2220"/>
    <w:rsid w:val="00ED223F"/>
    <w:rsid w:val="00ED2267"/>
    <w:rsid w:val="00ED2270"/>
    <w:rsid w:val="00ED229D"/>
    <w:rsid w:val="00ED23C9"/>
    <w:rsid w:val="00ED2455"/>
    <w:rsid w:val="00ED255A"/>
    <w:rsid w:val="00ED2562"/>
    <w:rsid w:val="00ED2581"/>
    <w:rsid w:val="00ED25A3"/>
    <w:rsid w:val="00ED25E9"/>
    <w:rsid w:val="00ED2677"/>
    <w:rsid w:val="00ED267B"/>
    <w:rsid w:val="00ED267C"/>
    <w:rsid w:val="00ED26E0"/>
    <w:rsid w:val="00ED2911"/>
    <w:rsid w:val="00ED291B"/>
    <w:rsid w:val="00ED29F4"/>
    <w:rsid w:val="00ED2A30"/>
    <w:rsid w:val="00ED2A95"/>
    <w:rsid w:val="00ED2B5C"/>
    <w:rsid w:val="00ED2BB8"/>
    <w:rsid w:val="00ED2BD5"/>
    <w:rsid w:val="00ED2BE3"/>
    <w:rsid w:val="00ED2C31"/>
    <w:rsid w:val="00ED2CE0"/>
    <w:rsid w:val="00ED2D29"/>
    <w:rsid w:val="00ED2D35"/>
    <w:rsid w:val="00ED2DFC"/>
    <w:rsid w:val="00ED2F06"/>
    <w:rsid w:val="00ED3145"/>
    <w:rsid w:val="00ED338E"/>
    <w:rsid w:val="00ED34C9"/>
    <w:rsid w:val="00ED3562"/>
    <w:rsid w:val="00ED356D"/>
    <w:rsid w:val="00ED357E"/>
    <w:rsid w:val="00ED359E"/>
    <w:rsid w:val="00ED36DD"/>
    <w:rsid w:val="00ED3721"/>
    <w:rsid w:val="00ED3738"/>
    <w:rsid w:val="00ED37EA"/>
    <w:rsid w:val="00ED380D"/>
    <w:rsid w:val="00ED386A"/>
    <w:rsid w:val="00ED3874"/>
    <w:rsid w:val="00ED3942"/>
    <w:rsid w:val="00ED39C0"/>
    <w:rsid w:val="00ED3AC4"/>
    <w:rsid w:val="00ED3B76"/>
    <w:rsid w:val="00ED3B81"/>
    <w:rsid w:val="00ED3B92"/>
    <w:rsid w:val="00ED3C73"/>
    <w:rsid w:val="00ED3C79"/>
    <w:rsid w:val="00ED3CC2"/>
    <w:rsid w:val="00ED3CD4"/>
    <w:rsid w:val="00ED3CF4"/>
    <w:rsid w:val="00ED3D00"/>
    <w:rsid w:val="00ED3D38"/>
    <w:rsid w:val="00ED3D65"/>
    <w:rsid w:val="00ED3F22"/>
    <w:rsid w:val="00ED3F49"/>
    <w:rsid w:val="00ED407E"/>
    <w:rsid w:val="00ED40ED"/>
    <w:rsid w:val="00ED40F1"/>
    <w:rsid w:val="00ED41F0"/>
    <w:rsid w:val="00ED432A"/>
    <w:rsid w:val="00ED4369"/>
    <w:rsid w:val="00ED4620"/>
    <w:rsid w:val="00ED4764"/>
    <w:rsid w:val="00ED4797"/>
    <w:rsid w:val="00ED47F8"/>
    <w:rsid w:val="00ED4802"/>
    <w:rsid w:val="00ED480E"/>
    <w:rsid w:val="00ED4854"/>
    <w:rsid w:val="00ED48D3"/>
    <w:rsid w:val="00ED48E6"/>
    <w:rsid w:val="00ED4947"/>
    <w:rsid w:val="00ED4B18"/>
    <w:rsid w:val="00ED4B47"/>
    <w:rsid w:val="00ED4B8E"/>
    <w:rsid w:val="00ED4BD0"/>
    <w:rsid w:val="00ED4BF7"/>
    <w:rsid w:val="00ED4C5E"/>
    <w:rsid w:val="00ED4C76"/>
    <w:rsid w:val="00ED4CCB"/>
    <w:rsid w:val="00ED4CE1"/>
    <w:rsid w:val="00ED4DA5"/>
    <w:rsid w:val="00ED4DBB"/>
    <w:rsid w:val="00ED4F2F"/>
    <w:rsid w:val="00ED4F82"/>
    <w:rsid w:val="00ED5030"/>
    <w:rsid w:val="00ED5094"/>
    <w:rsid w:val="00ED5184"/>
    <w:rsid w:val="00ED5224"/>
    <w:rsid w:val="00ED52EB"/>
    <w:rsid w:val="00ED54FF"/>
    <w:rsid w:val="00ED55A8"/>
    <w:rsid w:val="00ED55E9"/>
    <w:rsid w:val="00ED5678"/>
    <w:rsid w:val="00ED56A7"/>
    <w:rsid w:val="00ED56DE"/>
    <w:rsid w:val="00ED5734"/>
    <w:rsid w:val="00ED574E"/>
    <w:rsid w:val="00ED57E8"/>
    <w:rsid w:val="00ED57F3"/>
    <w:rsid w:val="00ED5993"/>
    <w:rsid w:val="00ED59A8"/>
    <w:rsid w:val="00ED5A67"/>
    <w:rsid w:val="00ED5B86"/>
    <w:rsid w:val="00ED5B94"/>
    <w:rsid w:val="00ED5C11"/>
    <w:rsid w:val="00ED5C63"/>
    <w:rsid w:val="00ED5D43"/>
    <w:rsid w:val="00ED5D68"/>
    <w:rsid w:val="00ED5D94"/>
    <w:rsid w:val="00ED5ED6"/>
    <w:rsid w:val="00ED5FD0"/>
    <w:rsid w:val="00ED6049"/>
    <w:rsid w:val="00ED605F"/>
    <w:rsid w:val="00ED60B1"/>
    <w:rsid w:val="00ED61E7"/>
    <w:rsid w:val="00ED6248"/>
    <w:rsid w:val="00ED62AA"/>
    <w:rsid w:val="00ED62F7"/>
    <w:rsid w:val="00ED6300"/>
    <w:rsid w:val="00ED633E"/>
    <w:rsid w:val="00ED63DF"/>
    <w:rsid w:val="00ED643B"/>
    <w:rsid w:val="00ED65AA"/>
    <w:rsid w:val="00ED65BD"/>
    <w:rsid w:val="00ED6769"/>
    <w:rsid w:val="00ED67A7"/>
    <w:rsid w:val="00ED67AD"/>
    <w:rsid w:val="00ED67CE"/>
    <w:rsid w:val="00ED680C"/>
    <w:rsid w:val="00ED6850"/>
    <w:rsid w:val="00ED6898"/>
    <w:rsid w:val="00ED69A3"/>
    <w:rsid w:val="00ED6A8D"/>
    <w:rsid w:val="00ED6B28"/>
    <w:rsid w:val="00ED6BD3"/>
    <w:rsid w:val="00ED6CB9"/>
    <w:rsid w:val="00ED6CCF"/>
    <w:rsid w:val="00ED6E36"/>
    <w:rsid w:val="00ED6ED7"/>
    <w:rsid w:val="00ED6F7C"/>
    <w:rsid w:val="00ED6F7D"/>
    <w:rsid w:val="00ED6FFC"/>
    <w:rsid w:val="00ED705E"/>
    <w:rsid w:val="00ED707E"/>
    <w:rsid w:val="00ED708C"/>
    <w:rsid w:val="00ED70B5"/>
    <w:rsid w:val="00ED70B8"/>
    <w:rsid w:val="00ED70C1"/>
    <w:rsid w:val="00ED71FC"/>
    <w:rsid w:val="00ED7206"/>
    <w:rsid w:val="00ED720B"/>
    <w:rsid w:val="00ED7215"/>
    <w:rsid w:val="00ED727E"/>
    <w:rsid w:val="00ED728B"/>
    <w:rsid w:val="00ED72BF"/>
    <w:rsid w:val="00ED734D"/>
    <w:rsid w:val="00ED7366"/>
    <w:rsid w:val="00ED737D"/>
    <w:rsid w:val="00ED7393"/>
    <w:rsid w:val="00ED7481"/>
    <w:rsid w:val="00ED7506"/>
    <w:rsid w:val="00ED7509"/>
    <w:rsid w:val="00ED7551"/>
    <w:rsid w:val="00ED762D"/>
    <w:rsid w:val="00ED7786"/>
    <w:rsid w:val="00ED77A3"/>
    <w:rsid w:val="00ED7818"/>
    <w:rsid w:val="00ED7919"/>
    <w:rsid w:val="00ED7929"/>
    <w:rsid w:val="00ED7998"/>
    <w:rsid w:val="00ED79FA"/>
    <w:rsid w:val="00ED7AE8"/>
    <w:rsid w:val="00ED7B87"/>
    <w:rsid w:val="00ED7C5E"/>
    <w:rsid w:val="00ED7C7F"/>
    <w:rsid w:val="00ED7C9A"/>
    <w:rsid w:val="00ED7CEC"/>
    <w:rsid w:val="00ED7D11"/>
    <w:rsid w:val="00ED7D35"/>
    <w:rsid w:val="00ED7DBA"/>
    <w:rsid w:val="00ED7E69"/>
    <w:rsid w:val="00ED7EEE"/>
    <w:rsid w:val="00ED7F16"/>
    <w:rsid w:val="00ED7FB5"/>
    <w:rsid w:val="00ED7FB6"/>
    <w:rsid w:val="00EE0099"/>
    <w:rsid w:val="00EE00EB"/>
    <w:rsid w:val="00EE0229"/>
    <w:rsid w:val="00EE02ED"/>
    <w:rsid w:val="00EE03C5"/>
    <w:rsid w:val="00EE041B"/>
    <w:rsid w:val="00EE0424"/>
    <w:rsid w:val="00EE0433"/>
    <w:rsid w:val="00EE0437"/>
    <w:rsid w:val="00EE071E"/>
    <w:rsid w:val="00EE07B2"/>
    <w:rsid w:val="00EE0803"/>
    <w:rsid w:val="00EE0828"/>
    <w:rsid w:val="00EE0906"/>
    <w:rsid w:val="00EE0940"/>
    <w:rsid w:val="00EE0974"/>
    <w:rsid w:val="00EE09BA"/>
    <w:rsid w:val="00EE0A72"/>
    <w:rsid w:val="00EE0AE3"/>
    <w:rsid w:val="00EE0AF6"/>
    <w:rsid w:val="00EE0AFF"/>
    <w:rsid w:val="00EE0B5A"/>
    <w:rsid w:val="00EE0D05"/>
    <w:rsid w:val="00EE0DAC"/>
    <w:rsid w:val="00EE0E4E"/>
    <w:rsid w:val="00EE0EB1"/>
    <w:rsid w:val="00EE0F15"/>
    <w:rsid w:val="00EE0F28"/>
    <w:rsid w:val="00EE0F75"/>
    <w:rsid w:val="00EE0F7C"/>
    <w:rsid w:val="00EE0FB7"/>
    <w:rsid w:val="00EE1045"/>
    <w:rsid w:val="00EE10DF"/>
    <w:rsid w:val="00EE116F"/>
    <w:rsid w:val="00EE11AC"/>
    <w:rsid w:val="00EE123A"/>
    <w:rsid w:val="00EE1289"/>
    <w:rsid w:val="00EE1378"/>
    <w:rsid w:val="00EE13C3"/>
    <w:rsid w:val="00EE1424"/>
    <w:rsid w:val="00EE146D"/>
    <w:rsid w:val="00EE14EF"/>
    <w:rsid w:val="00EE15AD"/>
    <w:rsid w:val="00EE15D8"/>
    <w:rsid w:val="00EE1877"/>
    <w:rsid w:val="00EE188A"/>
    <w:rsid w:val="00EE189F"/>
    <w:rsid w:val="00EE1C55"/>
    <w:rsid w:val="00EE1CB2"/>
    <w:rsid w:val="00EE1E4A"/>
    <w:rsid w:val="00EE1FC2"/>
    <w:rsid w:val="00EE1FD0"/>
    <w:rsid w:val="00EE2040"/>
    <w:rsid w:val="00EE2104"/>
    <w:rsid w:val="00EE2152"/>
    <w:rsid w:val="00EE2194"/>
    <w:rsid w:val="00EE21AC"/>
    <w:rsid w:val="00EE2354"/>
    <w:rsid w:val="00EE23D7"/>
    <w:rsid w:val="00EE23EB"/>
    <w:rsid w:val="00EE2454"/>
    <w:rsid w:val="00EE2550"/>
    <w:rsid w:val="00EE25C8"/>
    <w:rsid w:val="00EE25E6"/>
    <w:rsid w:val="00EE2687"/>
    <w:rsid w:val="00EE26E5"/>
    <w:rsid w:val="00EE2848"/>
    <w:rsid w:val="00EE2872"/>
    <w:rsid w:val="00EE289A"/>
    <w:rsid w:val="00EE28B5"/>
    <w:rsid w:val="00EE28BB"/>
    <w:rsid w:val="00EE28F0"/>
    <w:rsid w:val="00EE2A0B"/>
    <w:rsid w:val="00EE2AC6"/>
    <w:rsid w:val="00EE2B05"/>
    <w:rsid w:val="00EE2B5C"/>
    <w:rsid w:val="00EE2BF0"/>
    <w:rsid w:val="00EE2CBC"/>
    <w:rsid w:val="00EE2E33"/>
    <w:rsid w:val="00EE2E5B"/>
    <w:rsid w:val="00EE2FE7"/>
    <w:rsid w:val="00EE301E"/>
    <w:rsid w:val="00EE3079"/>
    <w:rsid w:val="00EE307D"/>
    <w:rsid w:val="00EE30AB"/>
    <w:rsid w:val="00EE3230"/>
    <w:rsid w:val="00EE3288"/>
    <w:rsid w:val="00EE3289"/>
    <w:rsid w:val="00EE32C5"/>
    <w:rsid w:val="00EE32CF"/>
    <w:rsid w:val="00EE32FA"/>
    <w:rsid w:val="00EE32FB"/>
    <w:rsid w:val="00EE3336"/>
    <w:rsid w:val="00EE3383"/>
    <w:rsid w:val="00EE34A1"/>
    <w:rsid w:val="00EE354E"/>
    <w:rsid w:val="00EE35F0"/>
    <w:rsid w:val="00EE365A"/>
    <w:rsid w:val="00EE365D"/>
    <w:rsid w:val="00EE365E"/>
    <w:rsid w:val="00EE3679"/>
    <w:rsid w:val="00EE36C5"/>
    <w:rsid w:val="00EE36EE"/>
    <w:rsid w:val="00EE37C6"/>
    <w:rsid w:val="00EE37D8"/>
    <w:rsid w:val="00EE38D6"/>
    <w:rsid w:val="00EE38DB"/>
    <w:rsid w:val="00EE3980"/>
    <w:rsid w:val="00EE3A55"/>
    <w:rsid w:val="00EE3A65"/>
    <w:rsid w:val="00EE3B04"/>
    <w:rsid w:val="00EE3B0D"/>
    <w:rsid w:val="00EE3B67"/>
    <w:rsid w:val="00EE3B74"/>
    <w:rsid w:val="00EE3BA2"/>
    <w:rsid w:val="00EE3C95"/>
    <w:rsid w:val="00EE3CFD"/>
    <w:rsid w:val="00EE3EBF"/>
    <w:rsid w:val="00EE3F17"/>
    <w:rsid w:val="00EE3F59"/>
    <w:rsid w:val="00EE3FE6"/>
    <w:rsid w:val="00EE4026"/>
    <w:rsid w:val="00EE4093"/>
    <w:rsid w:val="00EE4176"/>
    <w:rsid w:val="00EE4247"/>
    <w:rsid w:val="00EE4412"/>
    <w:rsid w:val="00EE4436"/>
    <w:rsid w:val="00EE44BF"/>
    <w:rsid w:val="00EE4603"/>
    <w:rsid w:val="00EE468B"/>
    <w:rsid w:val="00EE46E9"/>
    <w:rsid w:val="00EE4747"/>
    <w:rsid w:val="00EE497B"/>
    <w:rsid w:val="00EE4A2B"/>
    <w:rsid w:val="00EE4AFF"/>
    <w:rsid w:val="00EE4BBD"/>
    <w:rsid w:val="00EE4C33"/>
    <w:rsid w:val="00EE4C93"/>
    <w:rsid w:val="00EE4CDE"/>
    <w:rsid w:val="00EE4CE6"/>
    <w:rsid w:val="00EE4D42"/>
    <w:rsid w:val="00EE4D66"/>
    <w:rsid w:val="00EE4E1E"/>
    <w:rsid w:val="00EE4EC7"/>
    <w:rsid w:val="00EE4ECE"/>
    <w:rsid w:val="00EE4EE9"/>
    <w:rsid w:val="00EE4F11"/>
    <w:rsid w:val="00EE4F4A"/>
    <w:rsid w:val="00EE4FF0"/>
    <w:rsid w:val="00EE5068"/>
    <w:rsid w:val="00EE507D"/>
    <w:rsid w:val="00EE509A"/>
    <w:rsid w:val="00EE50FB"/>
    <w:rsid w:val="00EE5227"/>
    <w:rsid w:val="00EE52C3"/>
    <w:rsid w:val="00EE535D"/>
    <w:rsid w:val="00EE5383"/>
    <w:rsid w:val="00EE547C"/>
    <w:rsid w:val="00EE549C"/>
    <w:rsid w:val="00EE54C3"/>
    <w:rsid w:val="00EE5605"/>
    <w:rsid w:val="00EE5623"/>
    <w:rsid w:val="00EE56BD"/>
    <w:rsid w:val="00EE56D3"/>
    <w:rsid w:val="00EE56EC"/>
    <w:rsid w:val="00EE56EF"/>
    <w:rsid w:val="00EE586F"/>
    <w:rsid w:val="00EE589F"/>
    <w:rsid w:val="00EE58A4"/>
    <w:rsid w:val="00EE58D8"/>
    <w:rsid w:val="00EE58F2"/>
    <w:rsid w:val="00EE593B"/>
    <w:rsid w:val="00EE5B61"/>
    <w:rsid w:val="00EE5BE1"/>
    <w:rsid w:val="00EE5C19"/>
    <w:rsid w:val="00EE5C7B"/>
    <w:rsid w:val="00EE5C99"/>
    <w:rsid w:val="00EE5D48"/>
    <w:rsid w:val="00EE5DF2"/>
    <w:rsid w:val="00EE5DF5"/>
    <w:rsid w:val="00EE5E76"/>
    <w:rsid w:val="00EE5EC1"/>
    <w:rsid w:val="00EE5EF6"/>
    <w:rsid w:val="00EE5F0E"/>
    <w:rsid w:val="00EE5F2C"/>
    <w:rsid w:val="00EE5F6D"/>
    <w:rsid w:val="00EE5F98"/>
    <w:rsid w:val="00EE5FB4"/>
    <w:rsid w:val="00EE6085"/>
    <w:rsid w:val="00EE60DF"/>
    <w:rsid w:val="00EE6180"/>
    <w:rsid w:val="00EE61D4"/>
    <w:rsid w:val="00EE6200"/>
    <w:rsid w:val="00EE62DD"/>
    <w:rsid w:val="00EE62F8"/>
    <w:rsid w:val="00EE6333"/>
    <w:rsid w:val="00EE63CD"/>
    <w:rsid w:val="00EE6426"/>
    <w:rsid w:val="00EE6484"/>
    <w:rsid w:val="00EE6613"/>
    <w:rsid w:val="00EE6740"/>
    <w:rsid w:val="00EE679F"/>
    <w:rsid w:val="00EE67A3"/>
    <w:rsid w:val="00EE6852"/>
    <w:rsid w:val="00EE6905"/>
    <w:rsid w:val="00EE6921"/>
    <w:rsid w:val="00EE6932"/>
    <w:rsid w:val="00EE6955"/>
    <w:rsid w:val="00EE6AED"/>
    <w:rsid w:val="00EE6B9B"/>
    <w:rsid w:val="00EE6C3F"/>
    <w:rsid w:val="00EE6F80"/>
    <w:rsid w:val="00EE702E"/>
    <w:rsid w:val="00EE7058"/>
    <w:rsid w:val="00EE70A8"/>
    <w:rsid w:val="00EE70AE"/>
    <w:rsid w:val="00EE70B4"/>
    <w:rsid w:val="00EE70C1"/>
    <w:rsid w:val="00EE71AF"/>
    <w:rsid w:val="00EE71B3"/>
    <w:rsid w:val="00EE7215"/>
    <w:rsid w:val="00EE7219"/>
    <w:rsid w:val="00EE72A9"/>
    <w:rsid w:val="00EE72DA"/>
    <w:rsid w:val="00EE73B9"/>
    <w:rsid w:val="00EE73DA"/>
    <w:rsid w:val="00EE7442"/>
    <w:rsid w:val="00EE7445"/>
    <w:rsid w:val="00EE74DF"/>
    <w:rsid w:val="00EE750D"/>
    <w:rsid w:val="00EE752B"/>
    <w:rsid w:val="00EE76FB"/>
    <w:rsid w:val="00EE771E"/>
    <w:rsid w:val="00EE77B3"/>
    <w:rsid w:val="00EE7885"/>
    <w:rsid w:val="00EE7957"/>
    <w:rsid w:val="00EE7975"/>
    <w:rsid w:val="00EE7980"/>
    <w:rsid w:val="00EE7A46"/>
    <w:rsid w:val="00EE7AC5"/>
    <w:rsid w:val="00EE7B42"/>
    <w:rsid w:val="00EE7C97"/>
    <w:rsid w:val="00EE7C9E"/>
    <w:rsid w:val="00EE7CCC"/>
    <w:rsid w:val="00EE7D3C"/>
    <w:rsid w:val="00EE7DBA"/>
    <w:rsid w:val="00EE7E60"/>
    <w:rsid w:val="00EE7E93"/>
    <w:rsid w:val="00EE7F77"/>
    <w:rsid w:val="00EEFAEC"/>
    <w:rsid w:val="00EF0028"/>
    <w:rsid w:val="00EF00B5"/>
    <w:rsid w:val="00EF0143"/>
    <w:rsid w:val="00EF01D0"/>
    <w:rsid w:val="00EF01D4"/>
    <w:rsid w:val="00EF023A"/>
    <w:rsid w:val="00EF025E"/>
    <w:rsid w:val="00EF0283"/>
    <w:rsid w:val="00EF0312"/>
    <w:rsid w:val="00EF031B"/>
    <w:rsid w:val="00EF0418"/>
    <w:rsid w:val="00EF0445"/>
    <w:rsid w:val="00EF053C"/>
    <w:rsid w:val="00EF054D"/>
    <w:rsid w:val="00EF05E4"/>
    <w:rsid w:val="00EF0652"/>
    <w:rsid w:val="00EF065D"/>
    <w:rsid w:val="00EF069B"/>
    <w:rsid w:val="00EF06C6"/>
    <w:rsid w:val="00EF06E0"/>
    <w:rsid w:val="00EF075B"/>
    <w:rsid w:val="00EF0787"/>
    <w:rsid w:val="00EF07E7"/>
    <w:rsid w:val="00EF07F3"/>
    <w:rsid w:val="00EF0839"/>
    <w:rsid w:val="00EF0890"/>
    <w:rsid w:val="00EF0920"/>
    <w:rsid w:val="00EF09CA"/>
    <w:rsid w:val="00EF0A23"/>
    <w:rsid w:val="00EF0A72"/>
    <w:rsid w:val="00EF0B64"/>
    <w:rsid w:val="00EF0BE1"/>
    <w:rsid w:val="00EF0BEB"/>
    <w:rsid w:val="00EF0C1E"/>
    <w:rsid w:val="00EF0CDA"/>
    <w:rsid w:val="00EF0DCC"/>
    <w:rsid w:val="00EF0F0B"/>
    <w:rsid w:val="00EF0F0C"/>
    <w:rsid w:val="00EF0F4A"/>
    <w:rsid w:val="00EF0FEC"/>
    <w:rsid w:val="00EF105B"/>
    <w:rsid w:val="00EF10D2"/>
    <w:rsid w:val="00EF10DD"/>
    <w:rsid w:val="00EF1140"/>
    <w:rsid w:val="00EF1173"/>
    <w:rsid w:val="00EF1180"/>
    <w:rsid w:val="00EF120A"/>
    <w:rsid w:val="00EF121B"/>
    <w:rsid w:val="00EF1222"/>
    <w:rsid w:val="00EF12BF"/>
    <w:rsid w:val="00EF12D6"/>
    <w:rsid w:val="00EF1311"/>
    <w:rsid w:val="00EF1339"/>
    <w:rsid w:val="00EF150E"/>
    <w:rsid w:val="00EF1598"/>
    <w:rsid w:val="00EF15ED"/>
    <w:rsid w:val="00EF16EB"/>
    <w:rsid w:val="00EF1932"/>
    <w:rsid w:val="00EF1A9C"/>
    <w:rsid w:val="00EF1AB4"/>
    <w:rsid w:val="00EF1BF8"/>
    <w:rsid w:val="00EF1C4C"/>
    <w:rsid w:val="00EF1CE9"/>
    <w:rsid w:val="00EF1D0B"/>
    <w:rsid w:val="00EF1D58"/>
    <w:rsid w:val="00EF1D76"/>
    <w:rsid w:val="00EF1FAD"/>
    <w:rsid w:val="00EF20C0"/>
    <w:rsid w:val="00EF20EC"/>
    <w:rsid w:val="00EF2123"/>
    <w:rsid w:val="00EF2150"/>
    <w:rsid w:val="00EF217B"/>
    <w:rsid w:val="00EF219B"/>
    <w:rsid w:val="00EF2270"/>
    <w:rsid w:val="00EF22E8"/>
    <w:rsid w:val="00EF22F6"/>
    <w:rsid w:val="00EF234D"/>
    <w:rsid w:val="00EF23E3"/>
    <w:rsid w:val="00EF2477"/>
    <w:rsid w:val="00EF24A2"/>
    <w:rsid w:val="00EF24A7"/>
    <w:rsid w:val="00EF24C9"/>
    <w:rsid w:val="00EF24FA"/>
    <w:rsid w:val="00EF250A"/>
    <w:rsid w:val="00EF265B"/>
    <w:rsid w:val="00EF2721"/>
    <w:rsid w:val="00EF2743"/>
    <w:rsid w:val="00EF27B2"/>
    <w:rsid w:val="00EF290B"/>
    <w:rsid w:val="00EF29B0"/>
    <w:rsid w:val="00EF2A84"/>
    <w:rsid w:val="00EF2C54"/>
    <w:rsid w:val="00EF2DC1"/>
    <w:rsid w:val="00EF2DDE"/>
    <w:rsid w:val="00EF2DE3"/>
    <w:rsid w:val="00EF2F01"/>
    <w:rsid w:val="00EF2F92"/>
    <w:rsid w:val="00EF2F9E"/>
    <w:rsid w:val="00EF3014"/>
    <w:rsid w:val="00EF3100"/>
    <w:rsid w:val="00EF3163"/>
    <w:rsid w:val="00EF3199"/>
    <w:rsid w:val="00EF31B7"/>
    <w:rsid w:val="00EF339D"/>
    <w:rsid w:val="00EF33E7"/>
    <w:rsid w:val="00EF3423"/>
    <w:rsid w:val="00EF3458"/>
    <w:rsid w:val="00EF34DA"/>
    <w:rsid w:val="00EF35B6"/>
    <w:rsid w:val="00EF35D7"/>
    <w:rsid w:val="00EF3602"/>
    <w:rsid w:val="00EF3672"/>
    <w:rsid w:val="00EF36BC"/>
    <w:rsid w:val="00EF3793"/>
    <w:rsid w:val="00EF37A8"/>
    <w:rsid w:val="00EF37DC"/>
    <w:rsid w:val="00EF3810"/>
    <w:rsid w:val="00EF397F"/>
    <w:rsid w:val="00EF39A9"/>
    <w:rsid w:val="00EF3A43"/>
    <w:rsid w:val="00EF3B3B"/>
    <w:rsid w:val="00EF3CE5"/>
    <w:rsid w:val="00EF3D45"/>
    <w:rsid w:val="00EF3E6C"/>
    <w:rsid w:val="00EF3EFB"/>
    <w:rsid w:val="00EF3F8E"/>
    <w:rsid w:val="00EF3FBC"/>
    <w:rsid w:val="00EF40CD"/>
    <w:rsid w:val="00EF415A"/>
    <w:rsid w:val="00EF41BF"/>
    <w:rsid w:val="00EF41DE"/>
    <w:rsid w:val="00EF428E"/>
    <w:rsid w:val="00EF42B1"/>
    <w:rsid w:val="00EF42F4"/>
    <w:rsid w:val="00EF4320"/>
    <w:rsid w:val="00EF43A2"/>
    <w:rsid w:val="00EF43D7"/>
    <w:rsid w:val="00EF44A2"/>
    <w:rsid w:val="00EF44F5"/>
    <w:rsid w:val="00EF4549"/>
    <w:rsid w:val="00EF4556"/>
    <w:rsid w:val="00EF462C"/>
    <w:rsid w:val="00EF466E"/>
    <w:rsid w:val="00EF46BD"/>
    <w:rsid w:val="00EF46C3"/>
    <w:rsid w:val="00EF47BE"/>
    <w:rsid w:val="00EF4859"/>
    <w:rsid w:val="00EF48B3"/>
    <w:rsid w:val="00EF48D2"/>
    <w:rsid w:val="00EF495C"/>
    <w:rsid w:val="00EF4A6D"/>
    <w:rsid w:val="00EF4C1A"/>
    <w:rsid w:val="00EF4C65"/>
    <w:rsid w:val="00EF4C77"/>
    <w:rsid w:val="00EF4C94"/>
    <w:rsid w:val="00EF4D27"/>
    <w:rsid w:val="00EF4D29"/>
    <w:rsid w:val="00EF4DA1"/>
    <w:rsid w:val="00EF4E71"/>
    <w:rsid w:val="00EF4FC7"/>
    <w:rsid w:val="00EF5022"/>
    <w:rsid w:val="00EF5029"/>
    <w:rsid w:val="00EF505D"/>
    <w:rsid w:val="00EF50D7"/>
    <w:rsid w:val="00EF5111"/>
    <w:rsid w:val="00EF51AB"/>
    <w:rsid w:val="00EF52CB"/>
    <w:rsid w:val="00EF52F6"/>
    <w:rsid w:val="00EF533D"/>
    <w:rsid w:val="00EF535F"/>
    <w:rsid w:val="00EF536E"/>
    <w:rsid w:val="00EF5396"/>
    <w:rsid w:val="00EF53B2"/>
    <w:rsid w:val="00EF543E"/>
    <w:rsid w:val="00EF546A"/>
    <w:rsid w:val="00EF54F5"/>
    <w:rsid w:val="00EF553C"/>
    <w:rsid w:val="00EF5579"/>
    <w:rsid w:val="00EF5594"/>
    <w:rsid w:val="00EF559E"/>
    <w:rsid w:val="00EF5634"/>
    <w:rsid w:val="00EF5651"/>
    <w:rsid w:val="00EF57A6"/>
    <w:rsid w:val="00EF57CE"/>
    <w:rsid w:val="00EF58A9"/>
    <w:rsid w:val="00EF595F"/>
    <w:rsid w:val="00EF59CD"/>
    <w:rsid w:val="00EF5A38"/>
    <w:rsid w:val="00EF5B82"/>
    <w:rsid w:val="00EF5D7B"/>
    <w:rsid w:val="00EF5DAE"/>
    <w:rsid w:val="00EF5E4F"/>
    <w:rsid w:val="00EF5E88"/>
    <w:rsid w:val="00EF6099"/>
    <w:rsid w:val="00EF60AD"/>
    <w:rsid w:val="00EF60DC"/>
    <w:rsid w:val="00EF61B6"/>
    <w:rsid w:val="00EF61D4"/>
    <w:rsid w:val="00EF6251"/>
    <w:rsid w:val="00EF62B6"/>
    <w:rsid w:val="00EF62FB"/>
    <w:rsid w:val="00EF633A"/>
    <w:rsid w:val="00EF636D"/>
    <w:rsid w:val="00EF636E"/>
    <w:rsid w:val="00EF63BC"/>
    <w:rsid w:val="00EF64CC"/>
    <w:rsid w:val="00EF6544"/>
    <w:rsid w:val="00EF6578"/>
    <w:rsid w:val="00EF6594"/>
    <w:rsid w:val="00EF6918"/>
    <w:rsid w:val="00EF6962"/>
    <w:rsid w:val="00EF696E"/>
    <w:rsid w:val="00EF696F"/>
    <w:rsid w:val="00EF69C1"/>
    <w:rsid w:val="00EF6A4C"/>
    <w:rsid w:val="00EF6AC0"/>
    <w:rsid w:val="00EF6AE9"/>
    <w:rsid w:val="00EF6C15"/>
    <w:rsid w:val="00EF6C28"/>
    <w:rsid w:val="00EF6C32"/>
    <w:rsid w:val="00EF6C40"/>
    <w:rsid w:val="00EF6C70"/>
    <w:rsid w:val="00EF6C76"/>
    <w:rsid w:val="00EF6E90"/>
    <w:rsid w:val="00EF6EF9"/>
    <w:rsid w:val="00EF6F7F"/>
    <w:rsid w:val="00EF6FAE"/>
    <w:rsid w:val="00EF6FD2"/>
    <w:rsid w:val="00EF6FDB"/>
    <w:rsid w:val="00EF70D8"/>
    <w:rsid w:val="00EF7190"/>
    <w:rsid w:val="00EF71EF"/>
    <w:rsid w:val="00EF7280"/>
    <w:rsid w:val="00EF72A7"/>
    <w:rsid w:val="00EF72F3"/>
    <w:rsid w:val="00EF7329"/>
    <w:rsid w:val="00EF732B"/>
    <w:rsid w:val="00EF7349"/>
    <w:rsid w:val="00EF739B"/>
    <w:rsid w:val="00EF75C1"/>
    <w:rsid w:val="00EF75F1"/>
    <w:rsid w:val="00EF7612"/>
    <w:rsid w:val="00EF761C"/>
    <w:rsid w:val="00EF7638"/>
    <w:rsid w:val="00EF7648"/>
    <w:rsid w:val="00EF7718"/>
    <w:rsid w:val="00EF77FB"/>
    <w:rsid w:val="00EF7800"/>
    <w:rsid w:val="00EF7804"/>
    <w:rsid w:val="00EF7846"/>
    <w:rsid w:val="00EF788F"/>
    <w:rsid w:val="00EF78ED"/>
    <w:rsid w:val="00EF7947"/>
    <w:rsid w:val="00EF7998"/>
    <w:rsid w:val="00EF79C0"/>
    <w:rsid w:val="00EF7A2D"/>
    <w:rsid w:val="00EF7A3A"/>
    <w:rsid w:val="00EF7AE1"/>
    <w:rsid w:val="00EF7B59"/>
    <w:rsid w:val="00EF7BD2"/>
    <w:rsid w:val="00EF7C2B"/>
    <w:rsid w:val="00EF7C4B"/>
    <w:rsid w:val="00EF7C75"/>
    <w:rsid w:val="00EF7C8D"/>
    <w:rsid w:val="00EF7CF0"/>
    <w:rsid w:val="00EF7D07"/>
    <w:rsid w:val="00EF7DEF"/>
    <w:rsid w:val="00EF7E1E"/>
    <w:rsid w:val="00EF7EA7"/>
    <w:rsid w:val="00EF7F2D"/>
    <w:rsid w:val="00EF7F71"/>
    <w:rsid w:val="00EF7F95"/>
    <w:rsid w:val="00F00043"/>
    <w:rsid w:val="00F00045"/>
    <w:rsid w:val="00F000B4"/>
    <w:rsid w:val="00F00209"/>
    <w:rsid w:val="00F00212"/>
    <w:rsid w:val="00F0027D"/>
    <w:rsid w:val="00F00287"/>
    <w:rsid w:val="00F002F6"/>
    <w:rsid w:val="00F0034B"/>
    <w:rsid w:val="00F004B5"/>
    <w:rsid w:val="00F005AA"/>
    <w:rsid w:val="00F0077C"/>
    <w:rsid w:val="00F007E2"/>
    <w:rsid w:val="00F00810"/>
    <w:rsid w:val="00F00850"/>
    <w:rsid w:val="00F00901"/>
    <w:rsid w:val="00F009F1"/>
    <w:rsid w:val="00F00A59"/>
    <w:rsid w:val="00F00A67"/>
    <w:rsid w:val="00F00AA5"/>
    <w:rsid w:val="00F00AF4"/>
    <w:rsid w:val="00F00B5F"/>
    <w:rsid w:val="00F00D1E"/>
    <w:rsid w:val="00F00D51"/>
    <w:rsid w:val="00F00D97"/>
    <w:rsid w:val="00F00DCE"/>
    <w:rsid w:val="00F00E4B"/>
    <w:rsid w:val="00F00F93"/>
    <w:rsid w:val="00F00FC0"/>
    <w:rsid w:val="00F01013"/>
    <w:rsid w:val="00F01062"/>
    <w:rsid w:val="00F0109D"/>
    <w:rsid w:val="00F010F1"/>
    <w:rsid w:val="00F01225"/>
    <w:rsid w:val="00F01281"/>
    <w:rsid w:val="00F012A4"/>
    <w:rsid w:val="00F01357"/>
    <w:rsid w:val="00F0144F"/>
    <w:rsid w:val="00F014B8"/>
    <w:rsid w:val="00F01549"/>
    <w:rsid w:val="00F01555"/>
    <w:rsid w:val="00F015E2"/>
    <w:rsid w:val="00F01607"/>
    <w:rsid w:val="00F01629"/>
    <w:rsid w:val="00F0162E"/>
    <w:rsid w:val="00F018B3"/>
    <w:rsid w:val="00F019DB"/>
    <w:rsid w:val="00F01A1D"/>
    <w:rsid w:val="00F01A2B"/>
    <w:rsid w:val="00F01A76"/>
    <w:rsid w:val="00F01AB0"/>
    <w:rsid w:val="00F01CA9"/>
    <w:rsid w:val="00F01CDD"/>
    <w:rsid w:val="00F01DBE"/>
    <w:rsid w:val="00F01DE3"/>
    <w:rsid w:val="00F01E60"/>
    <w:rsid w:val="00F01FE5"/>
    <w:rsid w:val="00F020A1"/>
    <w:rsid w:val="00F020A5"/>
    <w:rsid w:val="00F0214B"/>
    <w:rsid w:val="00F0221F"/>
    <w:rsid w:val="00F022D5"/>
    <w:rsid w:val="00F0241E"/>
    <w:rsid w:val="00F0244E"/>
    <w:rsid w:val="00F02474"/>
    <w:rsid w:val="00F02485"/>
    <w:rsid w:val="00F0255E"/>
    <w:rsid w:val="00F02624"/>
    <w:rsid w:val="00F02745"/>
    <w:rsid w:val="00F028F2"/>
    <w:rsid w:val="00F0296F"/>
    <w:rsid w:val="00F029FB"/>
    <w:rsid w:val="00F02A06"/>
    <w:rsid w:val="00F02ACB"/>
    <w:rsid w:val="00F02AFC"/>
    <w:rsid w:val="00F02B82"/>
    <w:rsid w:val="00F02C27"/>
    <w:rsid w:val="00F02C79"/>
    <w:rsid w:val="00F02C93"/>
    <w:rsid w:val="00F02CA7"/>
    <w:rsid w:val="00F02CCC"/>
    <w:rsid w:val="00F02CCD"/>
    <w:rsid w:val="00F02D51"/>
    <w:rsid w:val="00F02DF2"/>
    <w:rsid w:val="00F02F3E"/>
    <w:rsid w:val="00F02FB5"/>
    <w:rsid w:val="00F03003"/>
    <w:rsid w:val="00F031EE"/>
    <w:rsid w:val="00F032A9"/>
    <w:rsid w:val="00F0334E"/>
    <w:rsid w:val="00F034B7"/>
    <w:rsid w:val="00F034F0"/>
    <w:rsid w:val="00F03520"/>
    <w:rsid w:val="00F03666"/>
    <w:rsid w:val="00F03738"/>
    <w:rsid w:val="00F0375D"/>
    <w:rsid w:val="00F03769"/>
    <w:rsid w:val="00F037BC"/>
    <w:rsid w:val="00F038E0"/>
    <w:rsid w:val="00F03912"/>
    <w:rsid w:val="00F03919"/>
    <w:rsid w:val="00F03920"/>
    <w:rsid w:val="00F039FF"/>
    <w:rsid w:val="00F03A45"/>
    <w:rsid w:val="00F03B04"/>
    <w:rsid w:val="00F03C67"/>
    <w:rsid w:val="00F03D34"/>
    <w:rsid w:val="00F03DC3"/>
    <w:rsid w:val="00F03F13"/>
    <w:rsid w:val="00F03F22"/>
    <w:rsid w:val="00F03F61"/>
    <w:rsid w:val="00F03FAF"/>
    <w:rsid w:val="00F03FEB"/>
    <w:rsid w:val="00F04057"/>
    <w:rsid w:val="00F04117"/>
    <w:rsid w:val="00F041C8"/>
    <w:rsid w:val="00F042BA"/>
    <w:rsid w:val="00F042E0"/>
    <w:rsid w:val="00F04457"/>
    <w:rsid w:val="00F044D3"/>
    <w:rsid w:val="00F044F4"/>
    <w:rsid w:val="00F04526"/>
    <w:rsid w:val="00F04603"/>
    <w:rsid w:val="00F04682"/>
    <w:rsid w:val="00F046F3"/>
    <w:rsid w:val="00F0478A"/>
    <w:rsid w:val="00F04848"/>
    <w:rsid w:val="00F0486A"/>
    <w:rsid w:val="00F048DF"/>
    <w:rsid w:val="00F049FC"/>
    <w:rsid w:val="00F04A9E"/>
    <w:rsid w:val="00F04AD1"/>
    <w:rsid w:val="00F04B41"/>
    <w:rsid w:val="00F04B81"/>
    <w:rsid w:val="00F04B93"/>
    <w:rsid w:val="00F04BB5"/>
    <w:rsid w:val="00F04C25"/>
    <w:rsid w:val="00F04C3B"/>
    <w:rsid w:val="00F04C88"/>
    <w:rsid w:val="00F04C8B"/>
    <w:rsid w:val="00F04C90"/>
    <w:rsid w:val="00F04CAC"/>
    <w:rsid w:val="00F04D39"/>
    <w:rsid w:val="00F04D7C"/>
    <w:rsid w:val="00F04DF5"/>
    <w:rsid w:val="00F04E45"/>
    <w:rsid w:val="00F04EA0"/>
    <w:rsid w:val="00F04F13"/>
    <w:rsid w:val="00F04F23"/>
    <w:rsid w:val="00F04FB1"/>
    <w:rsid w:val="00F04FCE"/>
    <w:rsid w:val="00F05001"/>
    <w:rsid w:val="00F0502C"/>
    <w:rsid w:val="00F05095"/>
    <w:rsid w:val="00F050D3"/>
    <w:rsid w:val="00F0511B"/>
    <w:rsid w:val="00F05120"/>
    <w:rsid w:val="00F051CC"/>
    <w:rsid w:val="00F051F1"/>
    <w:rsid w:val="00F0521C"/>
    <w:rsid w:val="00F05282"/>
    <w:rsid w:val="00F05297"/>
    <w:rsid w:val="00F052CE"/>
    <w:rsid w:val="00F05326"/>
    <w:rsid w:val="00F05365"/>
    <w:rsid w:val="00F05384"/>
    <w:rsid w:val="00F053F4"/>
    <w:rsid w:val="00F05433"/>
    <w:rsid w:val="00F0549E"/>
    <w:rsid w:val="00F055F1"/>
    <w:rsid w:val="00F05611"/>
    <w:rsid w:val="00F05732"/>
    <w:rsid w:val="00F057E0"/>
    <w:rsid w:val="00F05832"/>
    <w:rsid w:val="00F058C3"/>
    <w:rsid w:val="00F05A1D"/>
    <w:rsid w:val="00F05A97"/>
    <w:rsid w:val="00F05AFE"/>
    <w:rsid w:val="00F05B7A"/>
    <w:rsid w:val="00F05BA8"/>
    <w:rsid w:val="00F05BAB"/>
    <w:rsid w:val="00F05C0C"/>
    <w:rsid w:val="00F05C30"/>
    <w:rsid w:val="00F05CF7"/>
    <w:rsid w:val="00F05D93"/>
    <w:rsid w:val="00F05DC5"/>
    <w:rsid w:val="00F05E75"/>
    <w:rsid w:val="00F05F46"/>
    <w:rsid w:val="00F05FAD"/>
    <w:rsid w:val="00F05FEE"/>
    <w:rsid w:val="00F06052"/>
    <w:rsid w:val="00F06139"/>
    <w:rsid w:val="00F061EB"/>
    <w:rsid w:val="00F06315"/>
    <w:rsid w:val="00F06344"/>
    <w:rsid w:val="00F06364"/>
    <w:rsid w:val="00F06435"/>
    <w:rsid w:val="00F0645C"/>
    <w:rsid w:val="00F0646E"/>
    <w:rsid w:val="00F06487"/>
    <w:rsid w:val="00F064D8"/>
    <w:rsid w:val="00F0652D"/>
    <w:rsid w:val="00F06595"/>
    <w:rsid w:val="00F06700"/>
    <w:rsid w:val="00F06760"/>
    <w:rsid w:val="00F06763"/>
    <w:rsid w:val="00F06823"/>
    <w:rsid w:val="00F06848"/>
    <w:rsid w:val="00F068E5"/>
    <w:rsid w:val="00F0698F"/>
    <w:rsid w:val="00F069A6"/>
    <w:rsid w:val="00F069F8"/>
    <w:rsid w:val="00F06A45"/>
    <w:rsid w:val="00F06B32"/>
    <w:rsid w:val="00F06BB7"/>
    <w:rsid w:val="00F06D22"/>
    <w:rsid w:val="00F06D2D"/>
    <w:rsid w:val="00F06E9E"/>
    <w:rsid w:val="00F06EF7"/>
    <w:rsid w:val="00F06F25"/>
    <w:rsid w:val="00F06F76"/>
    <w:rsid w:val="00F06FC3"/>
    <w:rsid w:val="00F0705F"/>
    <w:rsid w:val="00F070F3"/>
    <w:rsid w:val="00F07142"/>
    <w:rsid w:val="00F071A8"/>
    <w:rsid w:val="00F07222"/>
    <w:rsid w:val="00F07278"/>
    <w:rsid w:val="00F0729D"/>
    <w:rsid w:val="00F073BF"/>
    <w:rsid w:val="00F07478"/>
    <w:rsid w:val="00F07514"/>
    <w:rsid w:val="00F0751A"/>
    <w:rsid w:val="00F0764B"/>
    <w:rsid w:val="00F07758"/>
    <w:rsid w:val="00F07779"/>
    <w:rsid w:val="00F0777F"/>
    <w:rsid w:val="00F077C2"/>
    <w:rsid w:val="00F0783B"/>
    <w:rsid w:val="00F07865"/>
    <w:rsid w:val="00F0787C"/>
    <w:rsid w:val="00F078AE"/>
    <w:rsid w:val="00F07914"/>
    <w:rsid w:val="00F07971"/>
    <w:rsid w:val="00F079CC"/>
    <w:rsid w:val="00F07A14"/>
    <w:rsid w:val="00F07A2F"/>
    <w:rsid w:val="00F07A51"/>
    <w:rsid w:val="00F07A66"/>
    <w:rsid w:val="00F07AD8"/>
    <w:rsid w:val="00F07C37"/>
    <w:rsid w:val="00F07C4E"/>
    <w:rsid w:val="00F07CB8"/>
    <w:rsid w:val="00F07D38"/>
    <w:rsid w:val="00F07D96"/>
    <w:rsid w:val="00F07D98"/>
    <w:rsid w:val="00F07DC2"/>
    <w:rsid w:val="00F07E60"/>
    <w:rsid w:val="00F07E66"/>
    <w:rsid w:val="00F07EA1"/>
    <w:rsid w:val="00F07EB6"/>
    <w:rsid w:val="00F07F31"/>
    <w:rsid w:val="00F07F34"/>
    <w:rsid w:val="00F07FC8"/>
    <w:rsid w:val="00F1000D"/>
    <w:rsid w:val="00F100DE"/>
    <w:rsid w:val="00F10143"/>
    <w:rsid w:val="00F101C5"/>
    <w:rsid w:val="00F101C9"/>
    <w:rsid w:val="00F103A2"/>
    <w:rsid w:val="00F103DE"/>
    <w:rsid w:val="00F103EA"/>
    <w:rsid w:val="00F10489"/>
    <w:rsid w:val="00F10491"/>
    <w:rsid w:val="00F104CB"/>
    <w:rsid w:val="00F10501"/>
    <w:rsid w:val="00F10603"/>
    <w:rsid w:val="00F10716"/>
    <w:rsid w:val="00F1079F"/>
    <w:rsid w:val="00F1084E"/>
    <w:rsid w:val="00F108B6"/>
    <w:rsid w:val="00F1096D"/>
    <w:rsid w:val="00F109CE"/>
    <w:rsid w:val="00F10A41"/>
    <w:rsid w:val="00F10B9D"/>
    <w:rsid w:val="00F10C10"/>
    <w:rsid w:val="00F10D26"/>
    <w:rsid w:val="00F10D7C"/>
    <w:rsid w:val="00F10EB8"/>
    <w:rsid w:val="00F10F9F"/>
    <w:rsid w:val="00F10FC9"/>
    <w:rsid w:val="00F11008"/>
    <w:rsid w:val="00F11092"/>
    <w:rsid w:val="00F111E2"/>
    <w:rsid w:val="00F11266"/>
    <w:rsid w:val="00F112A7"/>
    <w:rsid w:val="00F112C2"/>
    <w:rsid w:val="00F11388"/>
    <w:rsid w:val="00F113EC"/>
    <w:rsid w:val="00F11414"/>
    <w:rsid w:val="00F1144F"/>
    <w:rsid w:val="00F1148C"/>
    <w:rsid w:val="00F114A5"/>
    <w:rsid w:val="00F114F3"/>
    <w:rsid w:val="00F115D9"/>
    <w:rsid w:val="00F11636"/>
    <w:rsid w:val="00F11651"/>
    <w:rsid w:val="00F11661"/>
    <w:rsid w:val="00F116AF"/>
    <w:rsid w:val="00F116C0"/>
    <w:rsid w:val="00F117FA"/>
    <w:rsid w:val="00F1181D"/>
    <w:rsid w:val="00F1185F"/>
    <w:rsid w:val="00F11879"/>
    <w:rsid w:val="00F118CB"/>
    <w:rsid w:val="00F11908"/>
    <w:rsid w:val="00F11911"/>
    <w:rsid w:val="00F1192F"/>
    <w:rsid w:val="00F11932"/>
    <w:rsid w:val="00F1198D"/>
    <w:rsid w:val="00F119CD"/>
    <w:rsid w:val="00F11A21"/>
    <w:rsid w:val="00F11ACF"/>
    <w:rsid w:val="00F11B54"/>
    <w:rsid w:val="00F11BB9"/>
    <w:rsid w:val="00F11C7E"/>
    <w:rsid w:val="00F11CD1"/>
    <w:rsid w:val="00F11CD9"/>
    <w:rsid w:val="00F11CE9"/>
    <w:rsid w:val="00F11CF4"/>
    <w:rsid w:val="00F11D34"/>
    <w:rsid w:val="00F11D4B"/>
    <w:rsid w:val="00F11D78"/>
    <w:rsid w:val="00F11E3C"/>
    <w:rsid w:val="00F11E54"/>
    <w:rsid w:val="00F11E9C"/>
    <w:rsid w:val="00F11F0C"/>
    <w:rsid w:val="00F1203E"/>
    <w:rsid w:val="00F1206C"/>
    <w:rsid w:val="00F1209F"/>
    <w:rsid w:val="00F120AB"/>
    <w:rsid w:val="00F12197"/>
    <w:rsid w:val="00F121A4"/>
    <w:rsid w:val="00F121CA"/>
    <w:rsid w:val="00F1220D"/>
    <w:rsid w:val="00F1226C"/>
    <w:rsid w:val="00F12270"/>
    <w:rsid w:val="00F122A6"/>
    <w:rsid w:val="00F1231F"/>
    <w:rsid w:val="00F123CB"/>
    <w:rsid w:val="00F12409"/>
    <w:rsid w:val="00F12440"/>
    <w:rsid w:val="00F124C0"/>
    <w:rsid w:val="00F124C1"/>
    <w:rsid w:val="00F124DC"/>
    <w:rsid w:val="00F12568"/>
    <w:rsid w:val="00F1259A"/>
    <w:rsid w:val="00F12678"/>
    <w:rsid w:val="00F126E1"/>
    <w:rsid w:val="00F1275D"/>
    <w:rsid w:val="00F127D4"/>
    <w:rsid w:val="00F12800"/>
    <w:rsid w:val="00F12863"/>
    <w:rsid w:val="00F12939"/>
    <w:rsid w:val="00F12A5F"/>
    <w:rsid w:val="00F12AF3"/>
    <w:rsid w:val="00F12AFE"/>
    <w:rsid w:val="00F12B05"/>
    <w:rsid w:val="00F12B14"/>
    <w:rsid w:val="00F12B43"/>
    <w:rsid w:val="00F12CA3"/>
    <w:rsid w:val="00F12CC6"/>
    <w:rsid w:val="00F12CEF"/>
    <w:rsid w:val="00F12D1A"/>
    <w:rsid w:val="00F12D44"/>
    <w:rsid w:val="00F12D8B"/>
    <w:rsid w:val="00F12DF1"/>
    <w:rsid w:val="00F12EB7"/>
    <w:rsid w:val="00F12F11"/>
    <w:rsid w:val="00F12F8D"/>
    <w:rsid w:val="00F12FE3"/>
    <w:rsid w:val="00F13049"/>
    <w:rsid w:val="00F13143"/>
    <w:rsid w:val="00F131A7"/>
    <w:rsid w:val="00F132C5"/>
    <w:rsid w:val="00F132D4"/>
    <w:rsid w:val="00F13307"/>
    <w:rsid w:val="00F134E2"/>
    <w:rsid w:val="00F135C4"/>
    <w:rsid w:val="00F135D4"/>
    <w:rsid w:val="00F1362B"/>
    <w:rsid w:val="00F136F3"/>
    <w:rsid w:val="00F13753"/>
    <w:rsid w:val="00F137D1"/>
    <w:rsid w:val="00F138F6"/>
    <w:rsid w:val="00F1392F"/>
    <w:rsid w:val="00F13959"/>
    <w:rsid w:val="00F13B00"/>
    <w:rsid w:val="00F13B9F"/>
    <w:rsid w:val="00F13C70"/>
    <w:rsid w:val="00F13CB1"/>
    <w:rsid w:val="00F13D53"/>
    <w:rsid w:val="00F13D64"/>
    <w:rsid w:val="00F13D6D"/>
    <w:rsid w:val="00F13D85"/>
    <w:rsid w:val="00F13EEE"/>
    <w:rsid w:val="00F140BB"/>
    <w:rsid w:val="00F140FC"/>
    <w:rsid w:val="00F14266"/>
    <w:rsid w:val="00F14293"/>
    <w:rsid w:val="00F1430A"/>
    <w:rsid w:val="00F14533"/>
    <w:rsid w:val="00F1453C"/>
    <w:rsid w:val="00F14575"/>
    <w:rsid w:val="00F14600"/>
    <w:rsid w:val="00F14606"/>
    <w:rsid w:val="00F14620"/>
    <w:rsid w:val="00F14654"/>
    <w:rsid w:val="00F14699"/>
    <w:rsid w:val="00F1475B"/>
    <w:rsid w:val="00F1478A"/>
    <w:rsid w:val="00F147F2"/>
    <w:rsid w:val="00F14A33"/>
    <w:rsid w:val="00F14A81"/>
    <w:rsid w:val="00F14B06"/>
    <w:rsid w:val="00F14B42"/>
    <w:rsid w:val="00F14B61"/>
    <w:rsid w:val="00F14BC6"/>
    <w:rsid w:val="00F14CBA"/>
    <w:rsid w:val="00F14E77"/>
    <w:rsid w:val="00F14EAB"/>
    <w:rsid w:val="00F14ED7"/>
    <w:rsid w:val="00F15088"/>
    <w:rsid w:val="00F150EB"/>
    <w:rsid w:val="00F150F2"/>
    <w:rsid w:val="00F151C2"/>
    <w:rsid w:val="00F15233"/>
    <w:rsid w:val="00F153E8"/>
    <w:rsid w:val="00F15421"/>
    <w:rsid w:val="00F15432"/>
    <w:rsid w:val="00F1548C"/>
    <w:rsid w:val="00F154A9"/>
    <w:rsid w:val="00F1552D"/>
    <w:rsid w:val="00F155F4"/>
    <w:rsid w:val="00F15690"/>
    <w:rsid w:val="00F15723"/>
    <w:rsid w:val="00F15729"/>
    <w:rsid w:val="00F15730"/>
    <w:rsid w:val="00F15752"/>
    <w:rsid w:val="00F15788"/>
    <w:rsid w:val="00F1585E"/>
    <w:rsid w:val="00F158CF"/>
    <w:rsid w:val="00F15948"/>
    <w:rsid w:val="00F1595C"/>
    <w:rsid w:val="00F15B21"/>
    <w:rsid w:val="00F15BCE"/>
    <w:rsid w:val="00F15BEF"/>
    <w:rsid w:val="00F15C13"/>
    <w:rsid w:val="00F15C36"/>
    <w:rsid w:val="00F15C86"/>
    <w:rsid w:val="00F15C8B"/>
    <w:rsid w:val="00F15CF9"/>
    <w:rsid w:val="00F15D9B"/>
    <w:rsid w:val="00F15DC8"/>
    <w:rsid w:val="00F15DF6"/>
    <w:rsid w:val="00F15E1F"/>
    <w:rsid w:val="00F15EAB"/>
    <w:rsid w:val="00F15EC4"/>
    <w:rsid w:val="00F15EEB"/>
    <w:rsid w:val="00F15F3F"/>
    <w:rsid w:val="00F16114"/>
    <w:rsid w:val="00F161FB"/>
    <w:rsid w:val="00F163B0"/>
    <w:rsid w:val="00F163E5"/>
    <w:rsid w:val="00F16433"/>
    <w:rsid w:val="00F1654E"/>
    <w:rsid w:val="00F16654"/>
    <w:rsid w:val="00F1668A"/>
    <w:rsid w:val="00F166B1"/>
    <w:rsid w:val="00F167E0"/>
    <w:rsid w:val="00F16863"/>
    <w:rsid w:val="00F16878"/>
    <w:rsid w:val="00F168B9"/>
    <w:rsid w:val="00F169C8"/>
    <w:rsid w:val="00F16AFD"/>
    <w:rsid w:val="00F16C27"/>
    <w:rsid w:val="00F16DD2"/>
    <w:rsid w:val="00F16DD6"/>
    <w:rsid w:val="00F16E04"/>
    <w:rsid w:val="00F16ED1"/>
    <w:rsid w:val="00F16EE4"/>
    <w:rsid w:val="00F16F99"/>
    <w:rsid w:val="00F16FC6"/>
    <w:rsid w:val="00F16FF7"/>
    <w:rsid w:val="00F1711B"/>
    <w:rsid w:val="00F17207"/>
    <w:rsid w:val="00F172A6"/>
    <w:rsid w:val="00F17328"/>
    <w:rsid w:val="00F1734B"/>
    <w:rsid w:val="00F17350"/>
    <w:rsid w:val="00F173AC"/>
    <w:rsid w:val="00F173E1"/>
    <w:rsid w:val="00F17402"/>
    <w:rsid w:val="00F17524"/>
    <w:rsid w:val="00F17560"/>
    <w:rsid w:val="00F17586"/>
    <w:rsid w:val="00F17609"/>
    <w:rsid w:val="00F176E1"/>
    <w:rsid w:val="00F1777F"/>
    <w:rsid w:val="00F1786B"/>
    <w:rsid w:val="00F1788A"/>
    <w:rsid w:val="00F179D7"/>
    <w:rsid w:val="00F179FF"/>
    <w:rsid w:val="00F17A70"/>
    <w:rsid w:val="00F17A9D"/>
    <w:rsid w:val="00F17AC3"/>
    <w:rsid w:val="00F17B20"/>
    <w:rsid w:val="00F17B4B"/>
    <w:rsid w:val="00F17C70"/>
    <w:rsid w:val="00F17D0A"/>
    <w:rsid w:val="00F17D37"/>
    <w:rsid w:val="00F17DFE"/>
    <w:rsid w:val="00F17EEB"/>
    <w:rsid w:val="00F1F300"/>
    <w:rsid w:val="00F20045"/>
    <w:rsid w:val="00F200C2"/>
    <w:rsid w:val="00F200FA"/>
    <w:rsid w:val="00F201B4"/>
    <w:rsid w:val="00F20274"/>
    <w:rsid w:val="00F202C8"/>
    <w:rsid w:val="00F20356"/>
    <w:rsid w:val="00F20556"/>
    <w:rsid w:val="00F20570"/>
    <w:rsid w:val="00F20588"/>
    <w:rsid w:val="00F20634"/>
    <w:rsid w:val="00F206B2"/>
    <w:rsid w:val="00F206E7"/>
    <w:rsid w:val="00F2076D"/>
    <w:rsid w:val="00F20859"/>
    <w:rsid w:val="00F20877"/>
    <w:rsid w:val="00F20AA4"/>
    <w:rsid w:val="00F20B29"/>
    <w:rsid w:val="00F20C10"/>
    <w:rsid w:val="00F20CD4"/>
    <w:rsid w:val="00F20E75"/>
    <w:rsid w:val="00F20FF5"/>
    <w:rsid w:val="00F21029"/>
    <w:rsid w:val="00F2124A"/>
    <w:rsid w:val="00F2128C"/>
    <w:rsid w:val="00F212BC"/>
    <w:rsid w:val="00F212CC"/>
    <w:rsid w:val="00F2141D"/>
    <w:rsid w:val="00F2143B"/>
    <w:rsid w:val="00F21462"/>
    <w:rsid w:val="00F21470"/>
    <w:rsid w:val="00F21482"/>
    <w:rsid w:val="00F2148C"/>
    <w:rsid w:val="00F214F5"/>
    <w:rsid w:val="00F21629"/>
    <w:rsid w:val="00F21632"/>
    <w:rsid w:val="00F21704"/>
    <w:rsid w:val="00F21743"/>
    <w:rsid w:val="00F21831"/>
    <w:rsid w:val="00F21908"/>
    <w:rsid w:val="00F21941"/>
    <w:rsid w:val="00F21945"/>
    <w:rsid w:val="00F219C2"/>
    <w:rsid w:val="00F21A12"/>
    <w:rsid w:val="00F21A30"/>
    <w:rsid w:val="00F21ADB"/>
    <w:rsid w:val="00F21B70"/>
    <w:rsid w:val="00F21BCF"/>
    <w:rsid w:val="00F21CDD"/>
    <w:rsid w:val="00F21D36"/>
    <w:rsid w:val="00F21E4A"/>
    <w:rsid w:val="00F21E8F"/>
    <w:rsid w:val="00F21F39"/>
    <w:rsid w:val="00F21F63"/>
    <w:rsid w:val="00F21F7F"/>
    <w:rsid w:val="00F21FE0"/>
    <w:rsid w:val="00F21FE8"/>
    <w:rsid w:val="00F22072"/>
    <w:rsid w:val="00F2213C"/>
    <w:rsid w:val="00F22154"/>
    <w:rsid w:val="00F2219A"/>
    <w:rsid w:val="00F2222D"/>
    <w:rsid w:val="00F22336"/>
    <w:rsid w:val="00F22344"/>
    <w:rsid w:val="00F2236B"/>
    <w:rsid w:val="00F223A9"/>
    <w:rsid w:val="00F223CC"/>
    <w:rsid w:val="00F22456"/>
    <w:rsid w:val="00F2246F"/>
    <w:rsid w:val="00F22525"/>
    <w:rsid w:val="00F2252D"/>
    <w:rsid w:val="00F225AC"/>
    <w:rsid w:val="00F225AE"/>
    <w:rsid w:val="00F225C5"/>
    <w:rsid w:val="00F228D5"/>
    <w:rsid w:val="00F228F4"/>
    <w:rsid w:val="00F228F9"/>
    <w:rsid w:val="00F2296C"/>
    <w:rsid w:val="00F229A3"/>
    <w:rsid w:val="00F22A52"/>
    <w:rsid w:val="00F22A7A"/>
    <w:rsid w:val="00F22ABC"/>
    <w:rsid w:val="00F22B4A"/>
    <w:rsid w:val="00F22BC1"/>
    <w:rsid w:val="00F22C47"/>
    <w:rsid w:val="00F22CE2"/>
    <w:rsid w:val="00F22D29"/>
    <w:rsid w:val="00F22DDA"/>
    <w:rsid w:val="00F22DFE"/>
    <w:rsid w:val="00F22E80"/>
    <w:rsid w:val="00F22F67"/>
    <w:rsid w:val="00F2300F"/>
    <w:rsid w:val="00F230B1"/>
    <w:rsid w:val="00F2316A"/>
    <w:rsid w:val="00F23224"/>
    <w:rsid w:val="00F23242"/>
    <w:rsid w:val="00F2325E"/>
    <w:rsid w:val="00F23274"/>
    <w:rsid w:val="00F232CB"/>
    <w:rsid w:val="00F232D8"/>
    <w:rsid w:val="00F232DD"/>
    <w:rsid w:val="00F23380"/>
    <w:rsid w:val="00F233C4"/>
    <w:rsid w:val="00F234D7"/>
    <w:rsid w:val="00F2351E"/>
    <w:rsid w:val="00F23563"/>
    <w:rsid w:val="00F235F4"/>
    <w:rsid w:val="00F2363E"/>
    <w:rsid w:val="00F236B8"/>
    <w:rsid w:val="00F236C6"/>
    <w:rsid w:val="00F236F4"/>
    <w:rsid w:val="00F23742"/>
    <w:rsid w:val="00F2388E"/>
    <w:rsid w:val="00F239E5"/>
    <w:rsid w:val="00F23A0E"/>
    <w:rsid w:val="00F23A4D"/>
    <w:rsid w:val="00F23AD6"/>
    <w:rsid w:val="00F23B36"/>
    <w:rsid w:val="00F23D41"/>
    <w:rsid w:val="00F23E01"/>
    <w:rsid w:val="00F23E13"/>
    <w:rsid w:val="00F23E9B"/>
    <w:rsid w:val="00F23E9C"/>
    <w:rsid w:val="00F23ED0"/>
    <w:rsid w:val="00F23FBC"/>
    <w:rsid w:val="00F2402B"/>
    <w:rsid w:val="00F24041"/>
    <w:rsid w:val="00F240DF"/>
    <w:rsid w:val="00F2410A"/>
    <w:rsid w:val="00F2414C"/>
    <w:rsid w:val="00F241A9"/>
    <w:rsid w:val="00F2423A"/>
    <w:rsid w:val="00F24268"/>
    <w:rsid w:val="00F24296"/>
    <w:rsid w:val="00F242AD"/>
    <w:rsid w:val="00F242DF"/>
    <w:rsid w:val="00F242E4"/>
    <w:rsid w:val="00F24317"/>
    <w:rsid w:val="00F2432B"/>
    <w:rsid w:val="00F2440B"/>
    <w:rsid w:val="00F24430"/>
    <w:rsid w:val="00F24474"/>
    <w:rsid w:val="00F244D5"/>
    <w:rsid w:val="00F24574"/>
    <w:rsid w:val="00F24639"/>
    <w:rsid w:val="00F24853"/>
    <w:rsid w:val="00F248A8"/>
    <w:rsid w:val="00F248C0"/>
    <w:rsid w:val="00F2492A"/>
    <w:rsid w:val="00F24985"/>
    <w:rsid w:val="00F249AD"/>
    <w:rsid w:val="00F24A15"/>
    <w:rsid w:val="00F24A28"/>
    <w:rsid w:val="00F24A52"/>
    <w:rsid w:val="00F24B2B"/>
    <w:rsid w:val="00F24CEB"/>
    <w:rsid w:val="00F24D1C"/>
    <w:rsid w:val="00F24D49"/>
    <w:rsid w:val="00F24D62"/>
    <w:rsid w:val="00F24E34"/>
    <w:rsid w:val="00F24E40"/>
    <w:rsid w:val="00F24E5D"/>
    <w:rsid w:val="00F24EC1"/>
    <w:rsid w:val="00F24EEF"/>
    <w:rsid w:val="00F24EFF"/>
    <w:rsid w:val="00F24F2B"/>
    <w:rsid w:val="00F24FC0"/>
    <w:rsid w:val="00F24FF1"/>
    <w:rsid w:val="00F25041"/>
    <w:rsid w:val="00F2505A"/>
    <w:rsid w:val="00F250B2"/>
    <w:rsid w:val="00F2513B"/>
    <w:rsid w:val="00F25143"/>
    <w:rsid w:val="00F25196"/>
    <w:rsid w:val="00F2527F"/>
    <w:rsid w:val="00F2532C"/>
    <w:rsid w:val="00F2539E"/>
    <w:rsid w:val="00F253AF"/>
    <w:rsid w:val="00F2553C"/>
    <w:rsid w:val="00F25547"/>
    <w:rsid w:val="00F2556E"/>
    <w:rsid w:val="00F2557A"/>
    <w:rsid w:val="00F255AE"/>
    <w:rsid w:val="00F2580D"/>
    <w:rsid w:val="00F25823"/>
    <w:rsid w:val="00F2582D"/>
    <w:rsid w:val="00F25859"/>
    <w:rsid w:val="00F25864"/>
    <w:rsid w:val="00F2592A"/>
    <w:rsid w:val="00F2599D"/>
    <w:rsid w:val="00F25A3A"/>
    <w:rsid w:val="00F25A4C"/>
    <w:rsid w:val="00F25B0A"/>
    <w:rsid w:val="00F25B95"/>
    <w:rsid w:val="00F25BC5"/>
    <w:rsid w:val="00F25BCF"/>
    <w:rsid w:val="00F25C62"/>
    <w:rsid w:val="00F25D62"/>
    <w:rsid w:val="00F25D82"/>
    <w:rsid w:val="00F25D97"/>
    <w:rsid w:val="00F25DF6"/>
    <w:rsid w:val="00F25E07"/>
    <w:rsid w:val="00F25E5F"/>
    <w:rsid w:val="00F25E6A"/>
    <w:rsid w:val="00F25EAF"/>
    <w:rsid w:val="00F25EE9"/>
    <w:rsid w:val="00F25EEE"/>
    <w:rsid w:val="00F25F42"/>
    <w:rsid w:val="00F25F4A"/>
    <w:rsid w:val="00F25F5D"/>
    <w:rsid w:val="00F2603F"/>
    <w:rsid w:val="00F26116"/>
    <w:rsid w:val="00F26174"/>
    <w:rsid w:val="00F26178"/>
    <w:rsid w:val="00F262BA"/>
    <w:rsid w:val="00F2632F"/>
    <w:rsid w:val="00F263F7"/>
    <w:rsid w:val="00F26429"/>
    <w:rsid w:val="00F265C8"/>
    <w:rsid w:val="00F265F1"/>
    <w:rsid w:val="00F2665A"/>
    <w:rsid w:val="00F26727"/>
    <w:rsid w:val="00F2672C"/>
    <w:rsid w:val="00F267D0"/>
    <w:rsid w:val="00F268EC"/>
    <w:rsid w:val="00F26916"/>
    <w:rsid w:val="00F26A3B"/>
    <w:rsid w:val="00F26A5D"/>
    <w:rsid w:val="00F26ABD"/>
    <w:rsid w:val="00F26AE3"/>
    <w:rsid w:val="00F26B9F"/>
    <w:rsid w:val="00F26C4E"/>
    <w:rsid w:val="00F26E02"/>
    <w:rsid w:val="00F26EBE"/>
    <w:rsid w:val="00F26EDA"/>
    <w:rsid w:val="00F26F25"/>
    <w:rsid w:val="00F26F73"/>
    <w:rsid w:val="00F26FB7"/>
    <w:rsid w:val="00F27095"/>
    <w:rsid w:val="00F27154"/>
    <w:rsid w:val="00F2716F"/>
    <w:rsid w:val="00F271CA"/>
    <w:rsid w:val="00F2720C"/>
    <w:rsid w:val="00F27226"/>
    <w:rsid w:val="00F2722D"/>
    <w:rsid w:val="00F27269"/>
    <w:rsid w:val="00F2729A"/>
    <w:rsid w:val="00F2729E"/>
    <w:rsid w:val="00F27300"/>
    <w:rsid w:val="00F27330"/>
    <w:rsid w:val="00F274A0"/>
    <w:rsid w:val="00F2753C"/>
    <w:rsid w:val="00F27540"/>
    <w:rsid w:val="00F27619"/>
    <w:rsid w:val="00F2761F"/>
    <w:rsid w:val="00F27643"/>
    <w:rsid w:val="00F276EA"/>
    <w:rsid w:val="00F276F9"/>
    <w:rsid w:val="00F2770B"/>
    <w:rsid w:val="00F27885"/>
    <w:rsid w:val="00F278FC"/>
    <w:rsid w:val="00F27969"/>
    <w:rsid w:val="00F27C14"/>
    <w:rsid w:val="00F27C9E"/>
    <w:rsid w:val="00F27CEB"/>
    <w:rsid w:val="00F27D90"/>
    <w:rsid w:val="00F27DEC"/>
    <w:rsid w:val="00F27E2C"/>
    <w:rsid w:val="00F27FA1"/>
    <w:rsid w:val="00F30019"/>
    <w:rsid w:val="00F30044"/>
    <w:rsid w:val="00F30112"/>
    <w:rsid w:val="00F30155"/>
    <w:rsid w:val="00F3016B"/>
    <w:rsid w:val="00F301B4"/>
    <w:rsid w:val="00F3020F"/>
    <w:rsid w:val="00F30287"/>
    <w:rsid w:val="00F302BA"/>
    <w:rsid w:val="00F30393"/>
    <w:rsid w:val="00F303B4"/>
    <w:rsid w:val="00F3041D"/>
    <w:rsid w:val="00F3046C"/>
    <w:rsid w:val="00F30482"/>
    <w:rsid w:val="00F304BF"/>
    <w:rsid w:val="00F30540"/>
    <w:rsid w:val="00F30599"/>
    <w:rsid w:val="00F306EE"/>
    <w:rsid w:val="00F30733"/>
    <w:rsid w:val="00F3088C"/>
    <w:rsid w:val="00F30959"/>
    <w:rsid w:val="00F30A6C"/>
    <w:rsid w:val="00F30B1C"/>
    <w:rsid w:val="00F30B22"/>
    <w:rsid w:val="00F30BD3"/>
    <w:rsid w:val="00F30BF4"/>
    <w:rsid w:val="00F30C0A"/>
    <w:rsid w:val="00F30CE8"/>
    <w:rsid w:val="00F30D02"/>
    <w:rsid w:val="00F30DEC"/>
    <w:rsid w:val="00F30ED0"/>
    <w:rsid w:val="00F30F8F"/>
    <w:rsid w:val="00F30FAF"/>
    <w:rsid w:val="00F30FCD"/>
    <w:rsid w:val="00F31040"/>
    <w:rsid w:val="00F31047"/>
    <w:rsid w:val="00F310EC"/>
    <w:rsid w:val="00F31114"/>
    <w:rsid w:val="00F31132"/>
    <w:rsid w:val="00F311A4"/>
    <w:rsid w:val="00F311AA"/>
    <w:rsid w:val="00F311D4"/>
    <w:rsid w:val="00F31217"/>
    <w:rsid w:val="00F31336"/>
    <w:rsid w:val="00F31387"/>
    <w:rsid w:val="00F3138A"/>
    <w:rsid w:val="00F31397"/>
    <w:rsid w:val="00F3139F"/>
    <w:rsid w:val="00F313EF"/>
    <w:rsid w:val="00F31494"/>
    <w:rsid w:val="00F314B8"/>
    <w:rsid w:val="00F3156E"/>
    <w:rsid w:val="00F31578"/>
    <w:rsid w:val="00F3157E"/>
    <w:rsid w:val="00F315CB"/>
    <w:rsid w:val="00F315EA"/>
    <w:rsid w:val="00F3160E"/>
    <w:rsid w:val="00F316B9"/>
    <w:rsid w:val="00F3171A"/>
    <w:rsid w:val="00F3171E"/>
    <w:rsid w:val="00F31723"/>
    <w:rsid w:val="00F3179C"/>
    <w:rsid w:val="00F31835"/>
    <w:rsid w:val="00F31863"/>
    <w:rsid w:val="00F31869"/>
    <w:rsid w:val="00F31A64"/>
    <w:rsid w:val="00F31A8E"/>
    <w:rsid w:val="00F31ADD"/>
    <w:rsid w:val="00F31B1F"/>
    <w:rsid w:val="00F31C75"/>
    <w:rsid w:val="00F31CAA"/>
    <w:rsid w:val="00F31D4B"/>
    <w:rsid w:val="00F31D6B"/>
    <w:rsid w:val="00F31D6C"/>
    <w:rsid w:val="00F31D90"/>
    <w:rsid w:val="00F31E55"/>
    <w:rsid w:val="00F31FAA"/>
    <w:rsid w:val="00F31FE5"/>
    <w:rsid w:val="00F32048"/>
    <w:rsid w:val="00F320FF"/>
    <w:rsid w:val="00F3213F"/>
    <w:rsid w:val="00F3222A"/>
    <w:rsid w:val="00F322FD"/>
    <w:rsid w:val="00F32327"/>
    <w:rsid w:val="00F32387"/>
    <w:rsid w:val="00F323B3"/>
    <w:rsid w:val="00F323D0"/>
    <w:rsid w:val="00F323D7"/>
    <w:rsid w:val="00F323EA"/>
    <w:rsid w:val="00F3258E"/>
    <w:rsid w:val="00F325C3"/>
    <w:rsid w:val="00F32648"/>
    <w:rsid w:val="00F32701"/>
    <w:rsid w:val="00F32719"/>
    <w:rsid w:val="00F32722"/>
    <w:rsid w:val="00F327A8"/>
    <w:rsid w:val="00F327F6"/>
    <w:rsid w:val="00F3283C"/>
    <w:rsid w:val="00F32876"/>
    <w:rsid w:val="00F32886"/>
    <w:rsid w:val="00F328CB"/>
    <w:rsid w:val="00F329CF"/>
    <w:rsid w:val="00F32A1F"/>
    <w:rsid w:val="00F32AEC"/>
    <w:rsid w:val="00F32B00"/>
    <w:rsid w:val="00F32BCA"/>
    <w:rsid w:val="00F32D15"/>
    <w:rsid w:val="00F32DD2"/>
    <w:rsid w:val="00F32E01"/>
    <w:rsid w:val="00F32E18"/>
    <w:rsid w:val="00F32E28"/>
    <w:rsid w:val="00F32EBE"/>
    <w:rsid w:val="00F32F4C"/>
    <w:rsid w:val="00F33030"/>
    <w:rsid w:val="00F33140"/>
    <w:rsid w:val="00F331CF"/>
    <w:rsid w:val="00F332C2"/>
    <w:rsid w:val="00F333A3"/>
    <w:rsid w:val="00F333B0"/>
    <w:rsid w:val="00F33483"/>
    <w:rsid w:val="00F33502"/>
    <w:rsid w:val="00F33520"/>
    <w:rsid w:val="00F33522"/>
    <w:rsid w:val="00F33565"/>
    <w:rsid w:val="00F33619"/>
    <w:rsid w:val="00F3386D"/>
    <w:rsid w:val="00F3394F"/>
    <w:rsid w:val="00F33C95"/>
    <w:rsid w:val="00F33CC9"/>
    <w:rsid w:val="00F33D35"/>
    <w:rsid w:val="00F33DD2"/>
    <w:rsid w:val="00F33DE0"/>
    <w:rsid w:val="00F33E2B"/>
    <w:rsid w:val="00F33E6D"/>
    <w:rsid w:val="00F33E6F"/>
    <w:rsid w:val="00F33F15"/>
    <w:rsid w:val="00F33F46"/>
    <w:rsid w:val="00F33FF7"/>
    <w:rsid w:val="00F3410E"/>
    <w:rsid w:val="00F34120"/>
    <w:rsid w:val="00F34125"/>
    <w:rsid w:val="00F3414C"/>
    <w:rsid w:val="00F341AA"/>
    <w:rsid w:val="00F341F2"/>
    <w:rsid w:val="00F3424C"/>
    <w:rsid w:val="00F3425A"/>
    <w:rsid w:val="00F34291"/>
    <w:rsid w:val="00F342A7"/>
    <w:rsid w:val="00F34384"/>
    <w:rsid w:val="00F343FA"/>
    <w:rsid w:val="00F3455A"/>
    <w:rsid w:val="00F34597"/>
    <w:rsid w:val="00F3459B"/>
    <w:rsid w:val="00F346A7"/>
    <w:rsid w:val="00F34755"/>
    <w:rsid w:val="00F347C6"/>
    <w:rsid w:val="00F34814"/>
    <w:rsid w:val="00F34839"/>
    <w:rsid w:val="00F34849"/>
    <w:rsid w:val="00F3487B"/>
    <w:rsid w:val="00F349AE"/>
    <w:rsid w:val="00F34AB8"/>
    <w:rsid w:val="00F34B01"/>
    <w:rsid w:val="00F34B27"/>
    <w:rsid w:val="00F34B8C"/>
    <w:rsid w:val="00F34C2E"/>
    <w:rsid w:val="00F34C3A"/>
    <w:rsid w:val="00F34DDF"/>
    <w:rsid w:val="00F34DF8"/>
    <w:rsid w:val="00F34E06"/>
    <w:rsid w:val="00F34E6D"/>
    <w:rsid w:val="00F34EC8"/>
    <w:rsid w:val="00F34ED7"/>
    <w:rsid w:val="00F34F95"/>
    <w:rsid w:val="00F34FDF"/>
    <w:rsid w:val="00F3505A"/>
    <w:rsid w:val="00F350AD"/>
    <w:rsid w:val="00F3513A"/>
    <w:rsid w:val="00F351E0"/>
    <w:rsid w:val="00F35233"/>
    <w:rsid w:val="00F352E1"/>
    <w:rsid w:val="00F352FE"/>
    <w:rsid w:val="00F3555E"/>
    <w:rsid w:val="00F355B2"/>
    <w:rsid w:val="00F35634"/>
    <w:rsid w:val="00F356C3"/>
    <w:rsid w:val="00F356E7"/>
    <w:rsid w:val="00F3570E"/>
    <w:rsid w:val="00F35793"/>
    <w:rsid w:val="00F35837"/>
    <w:rsid w:val="00F3585C"/>
    <w:rsid w:val="00F359CF"/>
    <w:rsid w:val="00F35AEE"/>
    <w:rsid w:val="00F35B93"/>
    <w:rsid w:val="00F35BE5"/>
    <w:rsid w:val="00F35BFC"/>
    <w:rsid w:val="00F35C02"/>
    <w:rsid w:val="00F35D56"/>
    <w:rsid w:val="00F35DE7"/>
    <w:rsid w:val="00F35EBD"/>
    <w:rsid w:val="00F35F48"/>
    <w:rsid w:val="00F35FDC"/>
    <w:rsid w:val="00F3600E"/>
    <w:rsid w:val="00F36038"/>
    <w:rsid w:val="00F3607A"/>
    <w:rsid w:val="00F3609E"/>
    <w:rsid w:val="00F36142"/>
    <w:rsid w:val="00F361B7"/>
    <w:rsid w:val="00F361C1"/>
    <w:rsid w:val="00F3622E"/>
    <w:rsid w:val="00F362F1"/>
    <w:rsid w:val="00F363A9"/>
    <w:rsid w:val="00F363C6"/>
    <w:rsid w:val="00F36438"/>
    <w:rsid w:val="00F36492"/>
    <w:rsid w:val="00F36494"/>
    <w:rsid w:val="00F3651A"/>
    <w:rsid w:val="00F36530"/>
    <w:rsid w:val="00F36535"/>
    <w:rsid w:val="00F3657E"/>
    <w:rsid w:val="00F36595"/>
    <w:rsid w:val="00F365EF"/>
    <w:rsid w:val="00F36618"/>
    <w:rsid w:val="00F368F2"/>
    <w:rsid w:val="00F36909"/>
    <w:rsid w:val="00F36913"/>
    <w:rsid w:val="00F369EB"/>
    <w:rsid w:val="00F36A18"/>
    <w:rsid w:val="00F36A48"/>
    <w:rsid w:val="00F36A8B"/>
    <w:rsid w:val="00F36A94"/>
    <w:rsid w:val="00F36B98"/>
    <w:rsid w:val="00F36D60"/>
    <w:rsid w:val="00F36D7D"/>
    <w:rsid w:val="00F36DBC"/>
    <w:rsid w:val="00F36DD7"/>
    <w:rsid w:val="00F36F24"/>
    <w:rsid w:val="00F36F79"/>
    <w:rsid w:val="00F36F84"/>
    <w:rsid w:val="00F36FE8"/>
    <w:rsid w:val="00F37018"/>
    <w:rsid w:val="00F3706F"/>
    <w:rsid w:val="00F370E7"/>
    <w:rsid w:val="00F37177"/>
    <w:rsid w:val="00F37319"/>
    <w:rsid w:val="00F37322"/>
    <w:rsid w:val="00F37382"/>
    <w:rsid w:val="00F37442"/>
    <w:rsid w:val="00F37537"/>
    <w:rsid w:val="00F375A5"/>
    <w:rsid w:val="00F375D7"/>
    <w:rsid w:val="00F37791"/>
    <w:rsid w:val="00F3780C"/>
    <w:rsid w:val="00F37861"/>
    <w:rsid w:val="00F37932"/>
    <w:rsid w:val="00F37965"/>
    <w:rsid w:val="00F37983"/>
    <w:rsid w:val="00F37A59"/>
    <w:rsid w:val="00F37A8E"/>
    <w:rsid w:val="00F37B07"/>
    <w:rsid w:val="00F37B4B"/>
    <w:rsid w:val="00F37C3F"/>
    <w:rsid w:val="00F37CD6"/>
    <w:rsid w:val="00F37EB7"/>
    <w:rsid w:val="00F37F3C"/>
    <w:rsid w:val="00F37F3F"/>
    <w:rsid w:val="00F37FA1"/>
    <w:rsid w:val="00F40068"/>
    <w:rsid w:val="00F40089"/>
    <w:rsid w:val="00F400AA"/>
    <w:rsid w:val="00F400AD"/>
    <w:rsid w:val="00F40174"/>
    <w:rsid w:val="00F401D2"/>
    <w:rsid w:val="00F404DF"/>
    <w:rsid w:val="00F4054A"/>
    <w:rsid w:val="00F405B1"/>
    <w:rsid w:val="00F40611"/>
    <w:rsid w:val="00F40617"/>
    <w:rsid w:val="00F406BD"/>
    <w:rsid w:val="00F4070E"/>
    <w:rsid w:val="00F40743"/>
    <w:rsid w:val="00F407E7"/>
    <w:rsid w:val="00F408BE"/>
    <w:rsid w:val="00F408EF"/>
    <w:rsid w:val="00F40902"/>
    <w:rsid w:val="00F409BB"/>
    <w:rsid w:val="00F40A59"/>
    <w:rsid w:val="00F40A63"/>
    <w:rsid w:val="00F40A6E"/>
    <w:rsid w:val="00F40BBE"/>
    <w:rsid w:val="00F40BF8"/>
    <w:rsid w:val="00F40BFD"/>
    <w:rsid w:val="00F40C07"/>
    <w:rsid w:val="00F40D68"/>
    <w:rsid w:val="00F40DA2"/>
    <w:rsid w:val="00F40DE1"/>
    <w:rsid w:val="00F40E12"/>
    <w:rsid w:val="00F40E48"/>
    <w:rsid w:val="00F40EA1"/>
    <w:rsid w:val="00F40EB4"/>
    <w:rsid w:val="00F40EC7"/>
    <w:rsid w:val="00F410A2"/>
    <w:rsid w:val="00F4111A"/>
    <w:rsid w:val="00F4118A"/>
    <w:rsid w:val="00F411AC"/>
    <w:rsid w:val="00F411D2"/>
    <w:rsid w:val="00F41234"/>
    <w:rsid w:val="00F4126A"/>
    <w:rsid w:val="00F412EF"/>
    <w:rsid w:val="00F41305"/>
    <w:rsid w:val="00F4137A"/>
    <w:rsid w:val="00F41424"/>
    <w:rsid w:val="00F41489"/>
    <w:rsid w:val="00F415BB"/>
    <w:rsid w:val="00F415C1"/>
    <w:rsid w:val="00F415C5"/>
    <w:rsid w:val="00F415D9"/>
    <w:rsid w:val="00F41641"/>
    <w:rsid w:val="00F41667"/>
    <w:rsid w:val="00F4169E"/>
    <w:rsid w:val="00F41736"/>
    <w:rsid w:val="00F418B6"/>
    <w:rsid w:val="00F418F9"/>
    <w:rsid w:val="00F419B4"/>
    <w:rsid w:val="00F419BD"/>
    <w:rsid w:val="00F41AA6"/>
    <w:rsid w:val="00F41B6C"/>
    <w:rsid w:val="00F41C10"/>
    <w:rsid w:val="00F41C44"/>
    <w:rsid w:val="00F41C7F"/>
    <w:rsid w:val="00F41CA1"/>
    <w:rsid w:val="00F41D4A"/>
    <w:rsid w:val="00F41D5E"/>
    <w:rsid w:val="00F41D81"/>
    <w:rsid w:val="00F41DE4"/>
    <w:rsid w:val="00F41DE7"/>
    <w:rsid w:val="00F41E01"/>
    <w:rsid w:val="00F41EEE"/>
    <w:rsid w:val="00F41FE1"/>
    <w:rsid w:val="00F42167"/>
    <w:rsid w:val="00F42221"/>
    <w:rsid w:val="00F42260"/>
    <w:rsid w:val="00F42288"/>
    <w:rsid w:val="00F42296"/>
    <w:rsid w:val="00F422FD"/>
    <w:rsid w:val="00F42307"/>
    <w:rsid w:val="00F42329"/>
    <w:rsid w:val="00F4234D"/>
    <w:rsid w:val="00F423F7"/>
    <w:rsid w:val="00F423F8"/>
    <w:rsid w:val="00F42505"/>
    <w:rsid w:val="00F4256F"/>
    <w:rsid w:val="00F426F0"/>
    <w:rsid w:val="00F428EE"/>
    <w:rsid w:val="00F42931"/>
    <w:rsid w:val="00F4298A"/>
    <w:rsid w:val="00F42990"/>
    <w:rsid w:val="00F42A68"/>
    <w:rsid w:val="00F42A88"/>
    <w:rsid w:val="00F42A9B"/>
    <w:rsid w:val="00F42B42"/>
    <w:rsid w:val="00F42B65"/>
    <w:rsid w:val="00F42C46"/>
    <w:rsid w:val="00F42CE3"/>
    <w:rsid w:val="00F42D9B"/>
    <w:rsid w:val="00F42DA0"/>
    <w:rsid w:val="00F42DF6"/>
    <w:rsid w:val="00F42E14"/>
    <w:rsid w:val="00F42E1D"/>
    <w:rsid w:val="00F42E71"/>
    <w:rsid w:val="00F42E82"/>
    <w:rsid w:val="00F42E90"/>
    <w:rsid w:val="00F42EC5"/>
    <w:rsid w:val="00F42F19"/>
    <w:rsid w:val="00F42F72"/>
    <w:rsid w:val="00F42F8E"/>
    <w:rsid w:val="00F43042"/>
    <w:rsid w:val="00F43098"/>
    <w:rsid w:val="00F430D0"/>
    <w:rsid w:val="00F430E9"/>
    <w:rsid w:val="00F430F0"/>
    <w:rsid w:val="00F430F7"/>
    <w:rsid w:val="00F43169"/>
    <w:rsid w:val="00F43225"/>
    <w:rsid w:val="00F43318"/>
    <w:rsid w:val="00F43375"/>
    <w:rsid w:val="00F433BD"/>
    <w:rsid w:val="00F43451"/>
    <w:rsid w:val="00F43469"/>
    <w:rsid w:val="00F434D8"/>
    <w:rsid w:val="00F434FB"/>
    <w:rsid w:val="00F43538"/>
    <w:rsid w:val="00F43589"/>
    <w:rsid w:val="00F43641"/>
    <w:rsid w:val="00F43672"/>
    <w:rsid w:val="00F436BA"/>
    <w:rsid w:val="00F436EC"/>
    <w:rsid w:val="00F436FB"/>
    <w:rsid w:val="00F436FF"/>
    <w:rsid w:val="00F43A46"/>
    <w:rsid w:val="00F43A55"/>
    <w:rsid w:val="00F43AF9"/>
    <w:rsid w:val="00F43B04"/>
    <w:rsid w:val="00F43BDD"/>
    <w:rsid w:val="00F43CFD"/>
    <w:rsid w:val="00F43D2F"/>
    <w:rsid w:val="00F43E0C"/>
    <w:rsid w:val="00F43E98"/>
    <w:rsid w:val="00F43EA5"/>
    <w:rsid w:val="00F43ED2"/>
    <w:rsid w:val="00F43EE7"/>
    <w:rsid w:val="00F43F3C"/>
    <w:rsid w:val="00F43FB6"/>
    <w:rsid w:val="00F43FFB"/>
    <w:rsid w:val="00F44020"/>
    <w:rsid w:val="00F44031"/>
    <w:rsid w:val="00F4404D"/>
    <w:rsid w:val="00F44119"/>
    <w:rsid w:val="00F441AE"/>
    <w:rsid w:val="00F441C4"/>
    <w:rsid w:val="00F4436C"/>
    <w:rsid w:val="00F443B4"/>
    <w:rsid w:val="00F4453D"/>
    <w:rsid w:val="00F4455F"/>
    <w:rsid w:val="00F445C4"/>
    <w:rsid w:val="00F445F9"/>
    <w:rsid w:val="00F4465B"/>
    <w:rsid w:val="00F4468A"/>
    <w:rsid w:val="00F446ED"/>
    <w:rsid w:val="00F446F5"/>
    <w:rsid w:val="00F44734"/>
    <w:rsid w:val="00F44762"/>
    <w:rsid w:val="00F447DF"/>
    <w:rsid w:val="00F449AC"/>
    <w:rsid w:val="00F449B3"/>
    <w:rsid w:val="00F449D0"/>
    <w:rsid w:val="00F44AB9"/>
    <w:rsid w:val="00F44B6E"/>
    <w:rsid w:val="00F44B77"/>
    <w:rsid w:val="00F44B95"/>
    <w:rsid w:val="00F44BA3"/>
    <w:rsid w:val="00F44BCC"/>
    <w:rsid w:val="00F44C46"/>
    <w:rsid w:val="00F44CB2"/>
    <w:rsid w:val="00F44DEA"/>
    <w:rsid w:val="00F44E15"/>
    <w:rsid w:val="00F44EB1"/>
    <w:rsid w:val="00F44ECF"/>
    <w:rsid w:val="00F44EDE"/>
    <w:rsid w:val="00F4502B"/>
    <w:rsid w:val="00F45170"/>
    <w:rsid w:val="00F451CA"/>
    <w:rsid w:val="00F451ED"/>
    <w:rsid w:val="00F45240"/>
    <w:rsid w:val="00F4545F"/>
    <w:rsid w:val="00F4552E"/>
    <w:rsid w:val="00F455B3"/>
    <w:rsid w:val="00F4573E"/>
    <w:rsid w:val="00F45780"/>
    <w:rsid w:val="00F457A1"/>
    <w:rsid w:val="00F457F3"/>
    <w:rsid w:val="00F45818"/>
    <w:rsid w:val="00F4589F"/>
    <w:rsid w:val="00F45916"/>
    <w:rsid w:val="00F4591C"/>
    <w:rsid w:val="00F45933"/>
    <w:rsid w:val="00F459EF"/>
    <w:rsid w:val="00F45A13"/>
    <w:rsid w:val="00F45A29"/>
    <w:rsid w:val="00F45A6D"/>
    <w:rsid w:val="00F45B03"/>
    <w:rsid w:val="00F45B08"/>
    <w:rsid w:val="00F45B7F"/>
    <w:rsid w:val="00F45B8E"/>
    <w:rsid w:val="00F45B95"/>
    <w:rsid w:val="00F45BA7"/>
    <w:rsid w:val="00F45BD5"/>
    <w:rsid w:val="00F45C04"/>
    <w:rsid w:val="00F45C80"/>
    <w:rsid w:val="00F45D5D"/>
    <w:rsid w:val="00F45D64"/>
    <w:rsid w:val="00F45E74"/>
    <w:rsid w:val="00F45F06"/>
    <w:rsid w:val="00F45F1E"/>
    <w:rsid w:val="00F45F76"/>
    <w:rsid w:val="00F45F8B"/>
    <w:rsid w:val="00F46094"/>
    <w:rsid w:val="00F460C5"/>
    <w:rsid w:val="00F460E7"/>
    <w:rsid w:val="00F46111"/>
    <w:rsid w:val="00F46156"/>
    <w:rsid w:val="00F461E9"/>
    <w:rsid w:val="00F46234"/>
    <w:rsid w:val="00F46259"/>
    <w:rsid w:val="00F46288"/>
    <w:rsid w:val="00F46394"/>
    <w:rsid w:val="00F463AF"/>
    <w:rsid w:val="00F463B5"/>
    <w:rsid w:val="00F463EF"/>
    <w:rsid w:val="00F4641C"/>
    <w:rsid w:val="00F464A8"/>
    <w:rsid w:val="00F465A3"/>
    <w:rsid w:val="00F4661E"/>
    <w:rsid w:val="00F466B5"/>
    <w:rsid w:val="00F4687E"/>
    <w:rsid w:val="00F468C2"/>
    <w:rsid w:val="00F468C3"/>
    <w:rsid w:val="00F46927"/>
    <w:rsid w:val="00F4693B"/>
    <w:rsid w:val="00F469E3"/>
    <w:rsid w:val="00F469F8"/>
    <w:rsid w:val="00F46BBD"/>
    <w:rsid w:val="00F46C74"/>
    <w:rsid w:val="00F46CF9"/>
    <w:rsid w:val="00F46E0F"/>
    <w:rsid w:val="00F46E3F"/>
    <w:rsid w:val="00F46E80"/>
    <w:rsid w:val="00F46E9A"/>
    <w:rsid w:val="00F46E9B"/>
    <w:rsid w:val="00F46F86"/>
    <w:rsid w:val="00F46F8C"/>
    <w:rsid w:val="00F46FED"/>
    <w:rsid w:val="00F47022"/>
    <w:rsid w:val="00F47045"/>
    <w:rsid w:val="00F470E6"/>
    <w:rsid w:val="00F47109"/>
    <w:rsid w:val="00F47139"/>
    <w:rsid w:val="00F47172"/>
    <w:rsid w:val="00F47196"/>
    <w:rsid w:val="00F471ED"/>
    <w:rsid w:val="00F47245"/>
    <w:rsid w:val="00F47290"/>
    <w:rsid w:val="00F474E9"/>
    <w:rsid w:val="00F47548"/>
    <w:rsid w:val="00F475E6"/>
    <w:rsid w:val="00F47638"/>
    <w:rsid w:val="00F47678"/>
    <w:rsid w:val="00F476B2"/>
    <w:rsid w:val="00F4772F"/>
    <w:rsid w:val="00F47871"/>
    <w:rsid w:val="00F47A4A"/>
    <w:rsid w:val="00F47B17"/>
    <w:rsid w:val="00F47B4E"/>
    <w:rsid w:val="00F47B6B"/>
    <w:rsid w:val="00F47B96"/>
    <w:rsid w:val="00F47BB3"/>
    <w:rsid w:val="00F47C22"/>
    <w:rsid w:val="00F47CA0"/>
    <w:rsid w:val="00F47CAF"/>
    <w:rsid w:val="00F47CC4"/>
    <w:rsid w:val="00F47D54"/>
    <w:rsid w:val="00F47DED"/>
    <w:rsid w:val="00F47DF0"/>
    <w:rsid w:val="00F47E8E"/>
    <w:rsid w:val="00F47EB8"/>
    <w:rsid w:val="00F4B5D3"/>
    <w:rsid w:val="00F50001"/>
    <w:rsid w:val="00F5005C"/>
    <w:rsid w:val="00F50215"/>
    <w:rsid w:val="00F50329"/>
    <w:rsid w:val="00F50365"/>
    <w:rsid w:val="00F503A9"/>
    <w:rsid w:val="00F503B1"/>
    <w:rsid w:val="00F503B3"/>
    <w:rsid w:val="00F50407"/>
    <w:rsid w:val="00F50476"/>
    <w:rsid w:val="00F504A8"/>
    <w:rsid w:val="00F504C2"/>
    <w:rsid w:val="00F504C9"/>
    <w:rsid w:val="00F504F4"/>
    <w:rsid w:val="00F50572"/>
    <w:rsid w:val="00F5062A"/>
    <w:rsid w:val="00F5065D"/>
    <w:rsid w:val="00F5068C"/>
    <w:rsid w:val="00F50701"/>
    <w:rsid w:val="00F5072D"/>
    <w:rsid w:val="00F50807"/>
    <w:rsid w:val="00F50880"/>
    <w:rsid w:val="00F50896"/>
    <w:rsid w:val="00F50A91"/>
    <w:rsid w:val="00F50B5A"/>
    <w:rsid w:val="00F50BAF"/>
    <w:rsid w:val="00F50C30"/>
    <w:rsid w:val="00F50D17"/>
    <w:rsid w:val="00F50E97"/>
    <w:rsid w:val="00F50EB9"/>
    <w:rsid w:val="00F50F13"/>
    <w:rsid w:val="00F51001"/>
    <w:rsid w:val="00F5105C"/>
    <w:rsid w:val="00F51064"/>
    <w:rsid w:val="00F51074"/>
    <w:rsid w:val="00F5111A"/>
    <w:rsid w:val="00F51130"/>
    <w:rsid w:val="00F51149"/>
    <w:rsid w:val="00F51265"/>
    <w:rsid w:val="00F51342"/>
    <w:rsid w:val="00F51369"/>
    <w:rsid w:val="00F51385"/>
    <w:rsid w:val="00F513E3"/>
    <w:rsid w:val="00F5140E"/>
    <w:rsid w:val="00F516A6"/>
    <w:rsid w:val="00F518D2"/>
    <w:rsid w:val="00F518E0"/>
    <w:rsid w:val="00F51950"/>
    <w:rsid w:val="00F519B4"/>
    <w:rsid w:val="00F51A08"/>
    <w:rsid w:val="00F51A49"/>
    <w:rsid w:val="00F51AAC"/>
    <w:rsid w:val="00F51AC1"/>
    <w:rsid w:val="00F51B54"/>
    <w:rsid w:val="00F51B72"/>
    <w:rsid w:val="00F51BBD"/>
    <w:rsid w:val="00F51CF1"/>
    <w:rsid w:val="00F51D53"/>
    <w:rsid w:val="00F51E0D"/>
    <w:rsid w:val="00F51F31"/>
    <w:rsid w:val="00F51F4B"/>
    <w:rsid w:val="00F51FFD"/>
    <w:rsid w:val="00F52038"/>
    <w:rsid w:val="00F5207F"/>
    <w:rsid w:val="00F521F2"/>
    <w:rsid w:val="00F52213"/>
    <w:rsid w:val="00F522A3"/>
    <w:rsid w:val="00F52317"/>
    <w:rsid w:val="00F523D5"/>
    <w:rsid w:val="00F52402"/>
    <w:rsid w:val="00F5243D"/>
    <w:rsid w:val="00F52471"/>
    <w:rsid w:val="00F524E6"/>
    <w:rsid w:val="00F5255B"/>
    <w:rsid w:val="00F525BF"/>
    <w:rsid w:val="00F5263E"/>
    <w:rsid w:val="00F526A7"/>
    <w:rsid w:val="00F526AE"/>
    <w:rsid w:val="00F526E6"/>
    <w:rsid w:val="00F52745"/>
    <w:rsid w:val="00F52776"/>
    <w:rsid w:val="00F5277B"/>
    <w:rsid w:val="00F52840"/>
    <w:rsid w:val="00F52868"/>
    <w:rsid w:val="00F52894"/>
    <w:rsid w:val="00F528BD"/>
    <w:rsid w:val="00F528D6"/>
    <w:rsid w:val="00F528F8"/>
    <w:rsid w:val="00F52920"/>
    <w:rsid w:val="00F52960"/>
    <w:rsid w:val="00F529BB"/>
    <w:rsid w:val="00F52ACB"/>
    <w:rsid w:val="00F52AFC"/>
    <w:rsid w:val="00F52BE1"/>
    <w:rsid w:val="00F52C3F"/>
    <w:rsid w:val="00F52C8F"/>
    <w:rsid w:val="00F52CE4"/>
    <w:rsid w:val="00F52D2C"/>
    <w:rsid w:val="00F52D49"/>
    <w:rsid w:val="00F52D88"/>
    <w:rsid w:val="00F52D8B"/>
    <w:rsid w:val="00F52DA0"/>
    <w:rsid w:val="00F52DC8"/>
    <w:rsid w:val="00F52DCD"/>
    <w:rsid w:val="00F52DCE"/>
    <w:rsid w:val="00F52E10"/>
    <w:rsid w:val="00F52F7D"/>
    <w:rsid w:val="00F53105"/>
    <w:rsid w:val="00F53201"/>
    <w:rsid w:val="00F53248"/>
    <w:rsid w:val="00F53285"/>
    <w:rsid w:val="00F532A6"/>
    <w:rsid w:val="00F534BA"/>
    <w:rsid w:val="00F53535"/>
    <w:rsid w:val="00F53592"/>
    <w:rsid w:val="00F535D7"/>
    <w:rsid w:val="00F5369B"/>
    <w:rsid w:val="00F536D2"/>
    <w:rsid w:val="00F536E0"/>
    <w:rsid w:val="00F53774"/>
    <w:rsid w:val="00F53848"/>
    <w:rsid w:val="00F5384A"/>
    <w:rsid w:val="00F53869"/>
    <w:rsid w:val="00F538DD"/>
    <w:rsid w:val="00F539E3"/>
    <w:rsid w:val="00F53ABD"/>
    <w:rsid w:val="00F53AED"/>
    <w:rsid w:val="00F53C14"/>
    <w:rsid w:val="00F53C6A"/>
    <w:rsid w:val="00F53D5D"/>
    <w:rsid w:val="00F53DCD"/>
    <w:rsid w:val="00F53EAA"/>
    <w:rsid w:val="00F53F23"/>
    <w:rsid w:val="00F54001"/>
    <w:rsid w:val="00F5403C"/>
    <w:rsid w:val="00F54123"/>
    <w:rsid w:val="00F54165"/>
    <w:rsid w:val="00F542B4"/>
    <w:rsid w:val="00F542BE"/>
    <w:rsid w:val="00F54335"/>
    <w:rsid w:val="00F543B3"/>
    <w:rsid w:val="00F544E8"/>
    <w:rsid w:val="00F545A4"/>
    <w:rsid w:val="00F54733"/>
    <w:rsid w:val="00F54749"/>
    <w:rsid w:val="00F54768"/>
    <w:rsid w:val="00F547B9"/>
    <w:rsid w:val="00F5492D"/>
    <w:rsid w:val="00F54990"/>
    <w:rsid w:val="00F5499D"/>
    <w:rsid w:val="00F54A04"/>
    <w:rsid w:val="00F54A1A"/>
    <w:rsid w:val="00F54A23"/>
    <w:rsid w:val="00F54AFE"/>
    <w:rsid w:val="00F54B0C"/>
    <w:rsid w:val="00F54B16"/>
    <w:rsid w:val="00F54B90"/>
    <w:rsid w:val="00F54CC2"/>
    <w:rsid w:val="00F54CC4"/>
    <w:rsid w:val="00F54CF9"/>
    <w:rsid w:val="00F54CFC"/>
    <w:rsid w:val="00F54D73"/>
    <w:rsid w:val="00F54D89"/>
    <w:rsid w:val="00F54DD5"/>
    <w:rsid w:val="00F54DD8"/>
    <w:rsid w:val="00F54E0C"/>
    <w:rsid w:val="00F54E50"/>
    <w:rsid w:val="00F54EA2"/>
    <w:rsid w:val="00F54F68"/>
    <w:rsid w:val="00F5505B"/>
    <w:rsid w:val="00F55213"/>
    <w:rsid w:val="00F55214"/>
    <w:rsid w:val="00F5523F"/>
    <w:rsid w:val="00F55244"/>
    <w:rsid w:val="00F55273"/>
    <w:rsid w:val="00F552A6"/>
    <w:rsid w:val="00F552B2"/>
    <w:rsid w:val="00F552F6"/>
    <w:rsid w:val="00F55331"/>
    <w:rsid w:val="00F55402"/>
    <w:rsid w:val="00F5540A"/>
    <w:rsid w:val="00F55444"/>
    <w:rsid w:val="00F5545D"/>
    <w:rsid w:val="00F554F0"/>
    <w:rsid w:val="00F55633"/>
    <w:rsid w:val="00F556D3"/>
    <w:rsid w:val="00F5573E"/>
    <w:rsid w:val="00F5584B"/>
    <w:rsid w:val="00F558A0"/>
    <w:rsid w:val="00F558D9"/>
    <w:rsid w:val="00F55916"/>
    <w:rsid w:val="00F55930"/>
    <w:rsid w:val="00F559C3"/>
    <w:rsid w:val="00F55A7A"/>
    <w:rsid w:val="00F55B55"/>
    <w:rsid w:val="00F55C4F"/>
    <w:rsid w:val="00F55CE6"/>
    <w:rsid w:val="00F55DB9"/>
    <w:rsid w:val="00F55DBC"/>
    <w:rsid w:val="00F55DC3"/>
    <w:rsid w:val="00F55DEF"/>
    <w:rsid w:val="00F55E32"/>
    <w:rsid w:val="00F55E38"/>
    <w:rsid w:val="00F55F41"/>
    <w:rsid w:val="00F55FDB"/>
    <w:rsid w:val="00F55FF4"/>
    <w:rsid w:val="00F5615F"/>
    <w:rsid w:val="00F5617E"/>
    <w:rsid w:val="00F5619C"/>
    <w:rsid w:val="00F562FD"/>
    <w:rsid w:val="00F56352"/>
    <w:rsid w:val="00F5644D"/>
    <w:rsid w:val="00F56453"/>
    <w:rsid w:val="00F564A2"/>
    <w:rsid w:val="00F56569"/>
    <w:rsid w:val="00F56585"/>
    <w:rsid w:val="00F565A0"/>
    <w:rsid w:val="00F5660F"/>
    <w:rsid w:val="00F56809"/>
    <w:rsid w:val="00F56868"/>
    <w:rsid w:val="00F56966"/>
    <w:rsid w:val="00F56A04"/>
    <w:rsid w:val="00F56A32"/>
    <w:rsid w:val="00F56A46"/>
    <w:rsid w:val="00F56A97"/>
    <w:rsid w:val="00F56C06"/>
    <w:rsid w:val="00F56C07"/>
    <w:rsid w:val="00F56C99"/>
    <w:rsid w:val="00F56D03"/>
    <w:rsid w:val="00F56D0A"/>
    <w:rsid w:val="00F56DA6"/>
    <w:rsid w:val="00F56DF7"/>
    <w:rsid w:val="00F56F2D"/>
    <w:rsid w:val="00F56F77"/>
    <w:rsid w:val="00F56FDA"/>
    <w:rsid w:val="00F57008"/>
    <w:rsid w:val="00F57030"/>
    <w:rsid w:val="00F5703C"/>
    <w:rsid w:val="00F57068"/>
    <w:rsid w:val="00F5717F"/>
    <w:rsid w:val="00F571CF"/>
    <w:rsid w:val="00F571FD"/>
    <w:rsid w:val="00F5734F"/>
    <w:rsid w:val="00F5737B"/>
    <w:rsid w:val="00F573A0"/>
    <w:rsid w:val="00F573B2"/>
    <w:rsid w:val="00F57437"/>
    <w:rsid w:val="00F57597"/>
    <w:rsid w:val="00F575AB"/>
    <w:rsid w:val="00F575B7"/>
    <w:rsid w:val="00F5760A"/>
    <w:rsid w:val="00F57664"/>
    <w:rsid w:val="00F576A0"/>
    <w:rsid w:val="00F576A8"/>
    <w:rsid w:val="00F576AD"/>
    <w:rsid w:val="00F577E9"/>
    <w:rsid w:val="00F5784D"/>
    <w:rsid w:val="00F578F4"/>
    <w:rsid w:val="00F578F5"/>
    <w:rsid w:val="00F579A6"/>
    <w:rsid w:val="00F579E3"/>
    <w:rsid w:val="00F57ABF"/>
    <w:rsid w:val="00F57B11"/>
    <w:rsid w:val="00F57B4B"/>
    <w:rsid w:val="00F57BF3"/>
    <w:rsid w:val="00F57CA3"/>
    <w:rsid w:val="00F57DBD"/>
    <w:rsid w:val="00F57DC9"/>
    <w:rsid w:val="00F57DF6"/>
    <w:rsid w:val="00F57DF7"/>
    <w:rsid w:val="00F57E15"/>
    <w:rsid w:val="00F57F15"/>
    <w:rsid w:val="00F57F58"/>
    <w:rsid w:val="00F57F73"/>
    <w:rsid w:val="00F57FAA"/>
    <w:rsid w:val="00F5D97A"/>
    <w:rsid w:val="00F6000A"/>
    <w:rsid w:val="00F6003D"/>
    <w:rsid w:val="00F60066"/>
    <w:rsid w:val="00F60082"/>
    <w:rsid w:val="00F600C6"/>
    <w:rsid w:val="00F60139"/>
    <w:rsid w:val="00F60181"/>
    <w:rsid w:val="00F601DF"/>
    <w:rsid w:val="00F60258"/>
    <w:rsid w:val="00F602DF"/>
    <w:rsid w:val="00F6044B"/>
    <w:rsid w:val="00F6045B"/>
    <w:rsid w:val="00F604C7"/>
    <w:rsid w:val="00F60515"/>
    <w:rsid w:val="00F6052F"/>
    <w:rsid w:val="00F6055C"/>
    <w:rsid w:val="00F605B3"/>
    <w:rsid w:val="00F6075D"/>
    <w:rsid w:val="00F60774"/>
    <w:rsid w:val="00F607B8"/>
    <w:rsid w:val="00F607F0"/>
    <w:rsid w:val="00F608C2"/>
    <w:rsid w:val="00F608E2"/>
    <w:rsid w:val="00F609FB"/>
    <w:rsid w:val="00F60A2B"/>
    <w:rsid w:val="00F60AD1"/>
    <w:rsid w:val="00F60B86"/>
    <w:rsid w:val="00F60D0A"/>
    <w:rsid w:val="00F60D16"/>
    <w:rsid w:val="00F60D44"/>
    <w:rsid w:val="00F60D98"/>
    <w:rsid w:val="00F60DED"/>
    <w:rsid w:val="00F60E15"/>
    <w:rsid w:val="00F60E4C"/>
    <w:rsid w:val="00F60E5F"/>
    <w:rsid w:val="00F60E99"/>
    <w:rsid w:val="00F60ED1"/>
    <w:rsid w:val="00F60F58"/>
    <w:rsid w:val="00F6100D"/>
    <w:rsid w:val="00F61049"/>
    <w:rsid w:val="00F610A6"/>
    <w:rsid w:val="00F610BA"/>
    <w:rsid w:val="00F610CE"/>
    <w:rsid w:val="00F610EB"/>
    <w:rsid w:val="00F61110"/>
    <w:rsid w:val="00F61140"/>
    <w:rsid w:val="00F61172"/>
    <w:rsid w:val="00F61193"/>
    <w:rsid w:val="00F611BB"/>
    <w:rsid w:val="00F612A4"/>
    <w:rsid w:val="00F612A9"/>
    <w:rsid w:val="00F612F7"/>
    <w:rsid w:val="00F61300"/>
    <w:rsid w:val="00F61332"/>
    <w:rsid w:val="00F613C8"/>
    <w:rsid w:val="00F61446"/>
    <w:rsid w:val="00F6148F"/>
    <w:rsid w:val="00F614EB"/>
    <w:rsid w:val="00F61599"/>
    <w:rsid w:val="00F615CC"/>
    <w:rsid w:val="00F61602"/>
    <w:rsid w:val="00F61680"/>
    <w:rsid w:val="00F616D3"/>
    <w:rsid w:val="00F61823"/>
    <w:rsid w:val="00F61859"/>
    <w:rsid w:val="00F61892"/>
    <w:rsid w:val="00F61966"/>
    <w:rsid w:val="00F61994"/>
    <w:rsid w:val="00F619CA"/>
    <w:rsid w:val="00F61ABD"/>
    <w:rsid w:val="00F61ACF"/>
    <w:rsid w:val="00F61B0D"/>
    <w:rsid w:val="00F61B1A"/>
    <w:rsid w:val="00F61B60"/>
    <w:rsid w:val="00F61C8E"/>
    <w:rsid w:val="00F61CE8"/>
    <w:rsid w:val="00F61D21"/>
    <w:rsid w:val="00F61D2D"/>
    <w:rsid w:val="00F61D83"/>
    <w:rsid w:val="00F61DC1"/>
    <w:rsid w:val="00F61E19"/>
    <w:rsid w:val="00F61E4A"/>
    <w:rsid w:val="00F61E83"/>
    <w:rsid w:val="00F61EB5"/>
    <w:rsid w:val="00F61F3E"/>
    <w:rsid w:val="00F61FCA"/>
    <w:rsid w:val="00F61FD0"/>
    <w:rsid w:val="00F6200D"/>
    <w:rsid w:val="00F62046"/>
    <w:rsid w:val="00F62138"/>
    <w:rsid w:val="00F621E1"/>
    <w:rsid w:val="00F621F1"/>
    <w:rsid w:val="00F6220B"/>
    <w:rsid w:val="00F62344"/>
    <w:rsid w:val="00F62345"/>
    <w:rsid w:val="00F6237E"/>
    <w:rsid w:val="00F62412"/>
    <w:rsid w:val="00F624A8"/>
    <w:rsid w:val="00F6255D"/>
    <w:rsid w:val="00F6265B"/>
    <w:rsid w:val="00F6265D"/>
    <w:rsid w:val="00F626FD"/>
    <w:rsid w:val="00F62809"/>
    <w:rsid w:val="00F6285E"/>
    <w:rsid w:val="00F62944"/>
    <w:rsid w:val="00F62A3E"/>
    <w:rsid w:val="00F62A8D"/>
    <w:rsid w:val="00F62B89"/>
    <w:rsid w:val="00F62B94"/>
    <w:rsid w:val="00F62BCB"/>
    <w:rsid w:val="00F62C81"/>
    <w:rsid w:val="00F62C92"/>
    <w:rsid w:val="00F62D0D"/>
    <w:rsid w:val="00F62D3D"/>
    <w:rsid w:val="00F62DD9"/>
    <w:rsid w:val="00F62DDE"/>
    <w:rsid w:val="00F62EEE"/>
    <w:rsid w:val="00F62F4D"/>
    <w:rsid w:val="00F62F6A"/>
    <w:rsid w:val="00F6301C"/>
    <w:rsid w:val="00F63110"/>
    <w:rsid w:val="00F631A8"/>
    <w:rsid w:val="00F631C3"/>
    <w:rsid w:val="00F631C7"/>
    <w:rsid w:val="00F6329E"/>
    <w:rsid w:val="00F63301"/>
    <w:rsid w:val="00F63331"/>
    <w:rsid w:val="00F63348"/>
    <w:rsid w:val="00F63358"/>
    <w:rsid w:val="00F63608"/>
    <w:rsid w:val="00F63670"/>
    <w:rsid w:val="00F63705"/>
    <w:rsid w:val="00F6376F"/>
    <w:rsid w:val="00F63771"/>
    <w:rsid w:val="00F63790"/>
    <w:rsid w:val="00F637D1"/>
    <w:rsid w:val="00F6386A"/>
    <w:rsid w:val="00F6388A"/>
    <w:rsid w:val="00F63936"/>
    <w:rsid w:val="00F6395B"/>
    <w:rsid w:val="00F6399A"/>
    <w:rsid w:val="00F639A7"/>
    <w:rsid w:val="00F63AB1"/>
    <w:rsid w:val="00F63AB6"/>
    <w:rsid w:val="00F63AC5"/>
    <w:rsid w:val="00F63BDA"/>
    <w:rsid w:val="00F63C10"/>
    <w:rsid w:val="00F63CA4"/>
    <w:rsid w:val="00F63CDE"/>
    <w:rsid w:val="00F63D1C"/>
    <w:rsid w:val="00F63E9A"/>
    <w:rsid w:val="00F63EC3"/>
    <w:rsid w:val="00F63ECB"/>
    <w:rsid w:val="00F640F0"/>
    <w:rsid w:val="00F642BD"/>
    <w:rsid w:val="00F642C7"/>
    <w:rsid w:val="00F64313"/>
    <w:rsid w:val="00F6433E"/>
    <w:rsid w:val="00F6442A"/>
    <w:rsid w:val="00F6461B"/>
    <w:rsid w:val="00F64624"/>
    <w:rsid w:val="00F64627"/>
    <w:rsid w:val="00F64738"/>
    <w:rsid w:val="00F647B0"/>
    <w:rsid w:val="00F64840"/>
    <w:rsid w:val="00F64862"/>
    <w:rsid w:val="00F64876"/>
    <w:rsid w:val="00F648DA"/>
    <w:rsid w:val="00F649E3"/>
    <w:rsid w:val="00F64A23"/>
    <w:rsid w:val="00F64AC6"/>
    <w:rsid w:val="00F64B61"/>
    <w:rsid w:val="00F64B8E"/>
    <w:rsid w:val="00F64BDA"/>
    <w:rsid w:val="00F64CDA"/>
    <w:rsid w:val="00F64DB2"/>
    <w:rsid w:val="00F64DE4"/>
    <w:rsid w:val="00F64DEE"/>
    <w:rsid w:val="00F64E09"/>
    <w:rsid w:val="00F64EB8"/>
    <w:rsid w:val="00F64F05"/>
    <w:rsid w:val="00F64F1D"/>
    <w:rsid w:val="00F64F3C"/>
    <w:rsid w:val="00F6507B"/>
    <w:rsid w:val="00F65085"/>
    <w:rsid w:val="00F650FF"/>
    <w:rsid w:val="00F65100"/>
    <w:rsid w:val="00F651C8"/>
    <w:rsid w:val="00F65226"/>
    <w:rsid w:val="00F65274"/>
    <w:rsid w:val="00F652E8"/>
    <w:rsid w:val="00F652FA"/>
    <w:rsid w:val="00F65452"/>
    <w:rsid w:val="00F654B2"/>
    <w:rsid w:val="00F6550D"/>
    <w:rsid w:val="00F65521"/>
    <w:rsid w:val="00F65625"/>
    <w:rsid w:val="00F656A6"/>
    <w:rsid w:val="00F656FC"/>
    <w:rsid w:val="00F657C2"/>
    <w:rsid w:val="00F657E3"/>
    <w:rsid w:val="00F658A6"/>
    <w:rsid w:val="00F658BE"/>
    <w:rsid w:val="00F65A2D"/>
    <w:rsid w:val="00F65A8E"/>
    <w:rsid w:val="00F65A94"/>
    <w:rsid w:val="00F65B24"/>
    <w:rsid w:val="00F65B54"/>
    <w:rsid w:val="00F65BF5"/>
    <w:rsid w:val="00F65C3F"/>
    <w:rsid w:val="00F65D1E"/>
    <w:rsid w:val="00F65D21"/>
    <w:rsid w:val="00F65D70"/>
    <w:rsid w:val="00F65DD9"/>
    <w:rsid w:val="00F65E37"/>
    <w:rsid w:val="00F65EBC"/>
    <w:rsid w:val="00F65F49"/>
    <w:rsid w:val="00F65F56"/>
    <w:rsid w:val="00F65F69"/>
    <w:rsid w:val="00F65F9C"/>
    <w:rsid w:val="00F6602D"/>
    <w:rsid w:val="00F660D1"/>
    <w:rsid w:val="00F660EF"/>
    <w:rsid w:val="00F66262"/>
    <w:rsid w:val="00F662BF"/>
    <w:rsid w:val="00F662E6"/>
    <w:rsid w:val="00F66317"/>
    <w:rsid w:val="00F6637C"/>
    <w:rsid w:val="00F663B5"/>
    <w:rsid w:val="00F66470"/>
    <w:rsid w:val="00F6648D"/>
    <w:rsid w:val="00F664BB"/>
    <w:rsid w:val="00F66694"/>
    <w:rsid w:val="00F666A3"/>
    <w:rsid w:val="00F667D6"/>
    <w:rsid w:val="00F6682E"/>
    <w:rsid w:val="00F6689E"/>
    <w:rsid w:val="00F6690A"/>
    <w:rsid w:val="00F66914"/>
    <w:rsid w:val="00F669D4"/>
    <w:rsid w:val="00F669F9"/>
    <w:rsid w:val="00F66A36"/>
    <w:rsid w:val="00F66A7C"/>
    <w:rsid w:val="00F66C74"/>
    <w:rsid w:val="00F66C9F"/>
    <w:rsid w:val="00F66D42"/>
    <w:rsid w:val="00F66D6F"/>
    <w:rsid w:val="00F670C1"/>
    <w:rsid w:val="00F670D9"/>
    <w:rsid w:val="00F670E7"/>
    <w:rsid w:val="00F6712A"/>
    <w:rsid w:val="00F67134"/>
    <w:rsid w:val="00F67138"/>
    <w:rsid w:val="00F67194"/>
    <w:rsid w:val="00F67226"/>
    <w:rsid w:val="00F6723D"/>
    <w:rsid w:val="00F6724C"/>
    <w:rsid w:val="00F67270"/>
    <w:rsid w:val="00F67333"/>
    <w:rsid w:val="00F67339"/>
    <w:rsid w:val="00F673D1"/>
    <w:rsid w:val="00F67491"/>
    <w:rsid w:val="00F674BA"/>
    <w:rsid w:val="00F674BC"/>
    <w:rsid w:val="00F67553"/>
    <w:rsid w:val="00F67561"/>
    <w:rsid w:val="00F6759B"/>
    <w:rsid w:val="00F6769C"/>
    <w:rsid w:val="00F678DA"/>
    <w:rsid w:val="00F678FF"/>
    <w:rsid w:val="00F67958"/>
    <w:rsid w:val="00F67973"/>
    <w:rsid w:val="00F679BA"/>
    <w:rsid w:val="00F67A9E"/>
    <w:rsid w:val="00F67AF0"/>
    <w:rsid w:val="00F67B06"/>
    <w:rsid w:val="00F67BDC"/>
    <w:rsid w:val="00F67D02"/>
    <w:rsid w:val="00F67E3E"/>
    <w:rsid w:val="00F67E49"/>
    <w:rsid w:val="00F67F4F"/>
    <w:rsid w:val="00F67F7D"/>
    <w:rsid w:val="00F70051"/>
    <w:rsid w:val="00F70111"/>
    <w:rsid w:val="00F701F5"/>
    <w:rsid w:val="00F7029E"/>
    <w:rsid w:val="00F702C9"/>
    <w:rsid w:val="00F702D0"/>
    <w:rsid w:val="00F702F8"/>
    <w:rsid w:val="00F70343"/>
    <w:rsid w:val="00F703AB"/>
    <w:rsid w:val="00F703E0"/>
    <w:rsid w:val="00F704F9"/>
    <w:rsid w:val="00F70551"/>
    <w:rsid w:val="00F705E6"/>
    <w:rsid w:val="00F706D8"/>
    <w:rsid w:val="00F7078A"/>
    <w:rsid w:val="00F70804"/>
    <w:rsid w:val="00F7094A"/>
    <w:rsid w:val="00F709A4"/>
    <w:rsid w:val="00F709AC"/>
    <w:rsid w:val="00F70B3E"/>
    <w:rsid w:val="00F70B5B"/>
    <w:rsid w:val="00F70BE6"/>
    <w:rsid w:val="00F70BE8"/>
    <w:rsid w:val="00F70BFF"/>
    <w:rsid w:val="00F70D85"/>
    <w:rsid w:val="00F70D8B"/>
    <w:rsid w:val="00F70DF3"/>
    <w:rsid w:val="00F70F45"/>
    <w:rsid w:val="00F70FE3"/>
    <w:rsid w:val="00F70FE9"/>
    <w:rsid w:val="00F710C3"/>
    <w:rsid w:val="00F7117D"/>
    <w:rsid w:val="00F7118D"/>
    <w:rsid w:val="00F71269"/>
    <w:rsid w:val="00F7126C"/>
    <w:rsid w:val="00F71369"/>
    <w:rsid w:val="00F713E6"/>
    <w:rsid w:val="00F714D5"/>
    <w:rsid w:val="00F714E0"/>
    <w:rsid w:val="00F71568"/>
    <w:rsid w:val="00F7156C"/>
    <w:rsid w:val="00F71583"/>
    <w:rsid w:val="00F715BE"/>
    <w:rsid w:val="00F71624"/>
    <w:rsid w:val="00F71633"/>
    <w:rsid w:val="00F7163B"/>
    <w:rsid w:val="00F71661"/>
    <w:rsid w:val="00F7167F"/>
    <w:rsid w:val="00F7172F"/>
    <w:rsid w:val="00F717CE"/>
    <w:rsid w:val="00F71801"/>
    <w:rsid w:val="00F719CA"/>
    <w:rsid w:val="00F719F0"/>
    <w:rsid w:val="00F71A0D"/>
    <w:rsid w:val="00F71AD2"/>
    <w:rsid w:val="00F71B95"/>
    <w:rsid w:val="00F71BBA"/>
    <w:rsid w:val="00F71BD5"/>
    <w:rsid w:val="00F71C7D"/>
    <w:rsid w:val="00F71DA6"/>
    <w:rsid w:val="00F71DB1"/>
    <w:rsid w:val="00F71DC4"/>
    <w:rsid w:val="00F71E42"/>
    <w:rsid w:val="00F71E66"/>
    <w:rsid w:val="00F71F1B"/>
    <w:rsid w:val="00F71F26"/>
    <w:rsid w:val="00F71F45"/>
    <w:rsid w:val="00F71F7B"/>
    <w:rsid w:val="00F71FB4"/>
    <w:rsid w:val="00F72035"/>
    <w:rsid w:val="00F72042"/>
    <w:rsid w:val="00F720A9"/>
    <w:rsid w:val="00F720AC"/>
    <w:rsid w:val="00F720F3"/>
    <w:rsid w:val="00F720FF"/>
    <w:rsid w:val="00F7219B"/>
    <w:rsid w:val="00F721B6"/>
    <w:rsid w:val="00F721D0"/>
    <w:rsid w:val="00F72258"/>
    <w:rsid w:val="00F722C0"/>
    <w:rsid w:val="00F722C7"/>
    <w:rsid w:val="00F722DD"/>
    <w:rsid w:val="00F724EB"/>
    <w:rsid w:val="00F7265F"/>
    <w:rsid w:val="00F72669"/>
    <w:rsid w:val="00F726ED"/>
    <w:rsid w:val="00F72765"/>
    <w:rsid w:val="00F727A1"/>
    <w:rsid w:val="00F727E7"/>
    <w:rsid w:val="00F727F7"/>
    <w:rsid w:val="00F72841"/>
    <w:rsid w:val="00F7299B"/>
    <w:rsid w:val="00F729A5"/>
    <w:rsid w:val="00F72C0A"/>
    <w:rsid w:val="00F72C96"/>
    <w:rsid w:val="00F72CB6"/>
    <w:rsid w:val="00F72CD6"/>
    <w:rsid w:val="00F72CFE"/>
    <w:rsid w:val="00F72D53"/>
    <w:rsid w:val="00F72D82"/>
    <w:rsid w:val="00F72DA9"/>
    <w:rsid w:val="00F72DEB"/>
    <w:rsid w:val="00F72E46"/>
    <w:rsid w:val="00F72E96"/>
    <w:rsid w:val="00F72F48"/>
    <w:rsid w:val="00F72F4A"/>
    <w:rsid w:val="00F72FC5"/>
    <w:rsid w:val="00F72FD7"/>
    <w:rsid w:val="00F73052"/>
    <w:rsid w:val="00F73095"/>
    <w:rsid w:val="00F730B3"/>
    <w:rsid w:val="00F7316F"/>
    <w:rsid w:val="00F7325F"/>
    <w:rsid w:val="00F73318"/>
    <w:rsid w:val="00F73353"/>
    <w:rsid w:val="00F7343E"/>
    <w:rsid w:val="00F73467"/>
    <w:rsid w:val="00F73522"/>
    <w:rsid w:val="00F7359D"/>
    <w:rsid w:val="00F735BA"/>
    <w:rsid w:val="00F735DB"/>
    <w:rsid w:val="00F73608"/>
    <w:rsid w:val="00F73673"/>
    <w:rsid w:val="00F736D7"/>
    <w:rsid w:val="00F73717"/>
    <w:rsid w:val="00F737FB"/>
    <w:rsid w:val="00F738E1"/>
    <w:rsid w:val="00F738F9"/>
    <w:rsid w:val="00F73929"/>
    <w:rsid w:val="00F739BA"/>
    <w:rsid w:val="00F73A5A"/>
    <w:rsid w:val="00F73A7F"/>
    <w:rsid w:val="00F73A9E"/>
    <w:rsid w:val="00F73AA8"/>
    <w:rsid w:val="00F73B1C"/>
    <w:rsid w:val="00F73B2A"/>
    <w:rsid w:val="00F73C82"/>
    <w:rsid w:val="00F73CF2"/>
    <w:rsid w:val="00F73E17"/>
    <w:rsid w:val="00F73E6A"/>
    <w:rsid w:val="00F73E73"/>
    <w:rsid w:val="00F73E8C"/>
    <w:rsid w:val="00F73F02"/>
    <w:rsid w:val="00F73F69"/>
    <w:rsid w:val="00F73F98"/>
    <w:rsid w:val="00F73FA2"/>
    <w:rsid w:val="00F73FB7"/>
    <w:rsid w:val="00F73FE9"/>
    <w:rsid w:val="00F74072"/>
    <w:rsid w:val="00F740D2"/>
    <w:rsid w:val="00F740FD"/>
    <w:rsid w:val="00F741F2"/>
    <w:rsid w:val="00F74245"/>
    <w:rsid w:val="00F74257"/>
    <w:rsid w:val="00F742D5"/>
    <w:rsid w:val="00F7434D"/>
    <w:rsid w:val="00F7439E"/>
    <w:rsid w:val="00F743CF"/>
    <w:rsid w:val="00F743E2"/>
    <w:rsid w:val="00F743F7"/>
    <w:rsid w:val="00F7442A"/>
    <w:rsid w:val="00F74436"/>
    <w:rsid w:val="00F74444"/>
    <w:rsid w:val="00F74486"/>
    <w:rsid w:val="00F7455A"/>
    <w:rsid w:val="00F74597"/>
    <w:rsid w:val="00F745AE"/>
    <w:rsid w:val="00F745B3"/>
    <w:rsid w:val="00F745C9"/>
    <w:rsid w:val="00F7460F"/>
    <w:rsid w:val="00F74647"/>
    <w:rsid w:val="00F7464E"/>
    <w:rsid w:val="00F746D3"/>
    <w:rsid w:val="00F747E7"/>
    <w:rsid w:val="00F7481A"/>
    <w:rsid w:val="00F74834"/>
    <w:rsid w:val="00F74837"/>
    <w:rsid w:val="00F74875"/>
    <w:rsid w:val="00F74A2E"/>
    <w:rsid w:val="00F74BF1"/>
    <w:rsid w:val="00F74C2C"/>
    <w:rsid w:val="00F74C7E"/>
    <w:rsid w:val="00F74CB3"/>
    <w:rsid w:val="00F74CC9"/>
    <w:rsid w:val="00F74CD4"/>
    <w:rsid w:val="00F74D7E"/>
    <w:rsid w:val="00F74E31"/>
    <w:rsid w:val="00F74FC7"/>
    <w:rsid w:val="00F7502C"/>
    <w:rsid w:val="00F750E5"/>
    <w:rsid w:val="00F750EC"/>
    <w:rsid w:val="00F7511B"/>
    <w:rsid w:val="00F75206"/>
    <w:rsid w:val="00F75236"/>
    <w:rsid w:val="00F752BF"/>
    <w:rsid w:val="00F75386"/>
    <w:rsid w:val="00F7542E"/>
    <w:rsid w:val="00F754B9"/>
    <w:rsid w:val="00F75527"/>
    <w:rsid w:val="00F75531"/>
    <w:rsid w:val="00F755D0"/>
    <w:rsid w:val="00F7563C"/>
    <w:rsid w:val="00F756BE"/>
    <w:rsid w:val="00F757FF"/>
    <w:rsid w:val="00F75804"/>
    <w:rsid w:val="00F75814"/>
    <w:rsid w:val="00F75855"/>
    <w:rsid w:val="00F75869"/>
    <w:rsid w:val="00F758DF"/>
    <w:rsid w:val="00F758E7"/>
    <w:rsid w:val="00F75932"/>
    <w:rsid w:val="00F75954"/>
    <w:rsid w:val="00F7596D"/>
    <w:rsid w:val="00F75A4C"/>
    <w:rsid w:val="00F75A7F"/>
    <w:rsid w:val="00F75A83"/>
    <w:rsid w:val="00F75B39"/>
    <w:rsid w:val="00F75B95"/>
    <w:rsid w:val="00F75BC1"/>
    <w:rsid w:val="00F75BF4"/>
    <w:rsid w:val="00F75C2F"/>
    <w:rsid w:val="00F75C82"/>
    <w:rsid w:val="00F75CCA"/>
    <w:rsid w:val="00F75D8D"/>
    <w:rsid w:val="00F75E9F"/>
    <w:rsid w:val="00F7606B"/>
    <w:rsid w:val="00F760EF"/>
    <w:rsid w:val="00F76137"/>
    <w:rsid w:val="00F7613E"/>
    <w:rsid w:val="00F76142"/>
    <w:rsid w:val="00F761AA"/>
    <w:rsid w:val="00F761F5"/>
    <w:rsid w:val="00F7623D"/>
    <w:rsid w:val="00F7625A"/>
    <w:rsid w:val="00F762ED"/>
    <w:rsid w:val="00F762FC"/>
    <w:rsid w:val="00F76303"/>
    <w:rsid w:val="00F7642E"/>
    <w:rsid w:val="00F76449"/>
    <w:rsid w:val="00F76474"/>
    <w:rsid w:val="00F764D1"/>
    <w:rsid w:val="00F764D9"/>
    <w:rsid w:val="00F76541"/>
    <w:rsid w:val="00F76544"/>
    <w:rsid w:val="00F7655B"/>
    <w:rsid w:val="00F7658F"/>
    <w:rsid w:val="00F765D2"/>
    <w:rsid w:val="00F7660F"/>
    <w:rsid w:val="00F76663"/>
    <w:rsid w:val="00F76670"/>
    <w:rsid w:val="00F766DA"/>
    <w:rsid w:val="00F76773"/>
    <w:rsid w:val="00F7686A"/>
    <w:rsid w:val="00F76923"/>
    <w:rsid w:val="00F769E4"/>
    <w:rsid w:val="00F769F6"/>
    <w:rsid w:val="00F76A5A"/>
    <w:rsid w:val="00F76A66"/>
    <w:rsid w:val="00F76AB4"/>
    <w:rsid w:val="00F76AC6"/>
    <w:rsid w:val="00F76AE9"/>
    <w:rsid w:val="00F76B22"/>
    <w:rsid w:val="00F76B32"/>
    <w:rsid w:val="00F76B60"/>
    <w:rsid w:val="00F76B62"/>
    <w:rsid w:val="00F76CFE"/>
    <w:rsid w:val="00F76D44"/>
    <w:rsid w:val="00F76F84"/>
    <w:rsid w:val="00F76F87"/>
    <w:rsid w:val="00F77009"/>
    <w:rsid w:val="00F77051"/>
    <w:rsid w:val="00F770A4"/>
    <w:rsid w:val="00F77149"/>
    <w:rsid w:val="00F77161"/>
    <w:rsid w:val="00F771A1"/>
    <w:rsid w:val="00F771D6"/>
    <w:rsid w:val="00F77279"/>
    <w:rsid w:val="00F772D2"/>
    <w:rsid w:val="00F77312"/>
    <w:rsid w:val="00F7732A"/>
    <w:rsid w:val="00F77371"/>
    <w:rsid w:val="00F773D4"/>
    <w:rsid w:val="00F773F3"/>
    <w:rsid w:val="00F7751E"/>
    <w:rsid w:val="00F7752D"/>
    <w:rsid w:val="00F7753E"/>
    <w:rsid w:val="00F775A3"/>
    <w:rsid w:val="00F775D8"/>
    <w:rsid w:val="00F77630"/>
    <w:rsid w:val="00F77643"/>
    <w:rsid w:val="00F776CD"/>
    <w:rsid w:val="00F776F4"/>
    <w:rsid w:val="00F77711"/>
    <w:rsid w:val="00F77766"/>
    <w:rsid w:val="00F777CB"/>
    <w:rsid w:val="00F778F5"/>
    <w:rsid w:val="00F77955"/>
    <w:rsid w:val="00F7798F"/>
    <w:rsid w:val="00F779BD"/>
    <w:rsid w:val="00F77A5C"/>
    <w:rsid w:val="00F77A89"/>
    <w:rsid w:val="00F77BD7"/>
    <w:rsid w:val="00F77C88"/>
    <w:rsid w:val="00F77CA0"/>
    <w:rsid w:val="00F77D68"/>
    <w:rsid w:val="00F77E9E"/>
    <w:rsid w:val="00F77F54"/>
    <w:rsid w:val="00F77F6F"/>
    <w:rsid w:val="00F77F7C"/>
    <w:rsid w:val="00F77FF6"/>
    <w:rsid w:val="00F8004A"/>
    <w:rsid w:val="00F80065"/>
    <w:rsid w:val="00F800DC"/>
    <w:rsid w:val="00F801DE"/>
    <w:rsid w:val="00F801FE"/>
    <w:rsid w:val="00F80259"/>
    <w:rsid w:val="00F802CA"/>
    <w:rsid w:val="00F802FB"/>
    <w:rsid w:val="00F80385"/>
    <w:rsid w:val="00F80387"/>
    <w:rsid w:val="00F80390"/>
    <w:rsid w:val="00F803A3"/>
    <w:rsid w:val="00F804BA"/>
    <w:rsid w:val="00F804C2"/>
    <w:rsid w:val="00F8051C"/>
    <w:rsid w:val="00F8055F"/>
    <w:rsid w:val="00F80645"/>
    <w:rsid w:val="00F80730"/>
    <w:rsid w:val="00F80733"/>
    <w:rsid w:val="00F80788"/>
    <w:rsid w:val="00F80803"/>
    <w:rsid w:val="00F808B6"/>
    <w:rsid w:val="00F808F0"/>
    <w:rsid w:val="00F808F9"/>
    <w:rsid w:val="00F80951"/>
    <w:rsid w:val="00F809C7"/>
    <w:rsid w:val="00F80A45"/>
    <w:rsid w:val="00F80AEF"/>
    <w:rsid w:val="00F80B14"/>
    <w:rsid w:val="00F80B19"/>
    <w:rsid w:val="00F80BAC"/>
    <w:rsid w:val="00F80BC9"/>
    <w:rsid w:val="00F80C67"/>
    <w:rsid w:val="00F80D07"/>
    <w:rsid w:val="00F80DAD"/>
    <w:rsid w:val="00F80E7E"/>
    <w:rsid w:val="00F80F2A"/>
    <w:rsid w:val="00F80F43"/>
    <w:rsid w:val="00F81038"/>
    <w:rsid w:val="00F810F6"/>
    <w:rsid w:val="00F8112F"/>
    <w:rsid w:val="00F8114B"/>
    <w:rsid w:val="00F8115C"/>
    <w:rsid w:val="00F811BA"/>
    <w:rsid w:val="00F81311"/>
    <w:rsid w:val="00F8138D"/>
    <w:rsid w:val="00F814D8"/>
    <w:rsid w:val="00F8152D"/>
    <w:rsid w:val="00F81532"/>
    <w:rsid w:val="00F81614"/>
    <w:rsid w:val="00F81618"/>
    <w:rsid w:val="00F816DA"/>
    <w:rsid w:val="00F81904"/>
    <w:rsid w:val="00F8197B"/>
    <w:rsid w:val="00F8199F"/>
    <w:rsid w:val="00F81A3B"/>
    <w:rsid w:val="00F81A8D"/>
    <w:rsid w:val="00F81B1A"/>
    <w:rsid w:val="00F81BAA"/>
    <w:rsid w:val="00F81BFC"/>
    <w:rsid w:val="00F81C0B"/>
    <w:rsid w:val="00F81C1B"/>
    <w:rsid w:val="00F81C20"/>
    <w:rsid w:val="00F81D13"/>
    <w:rsid w:val="00F81D54"/>
    <w:rsid w:val="00F81D76"/>
    <w:rsid w:val="00F81DDC"/>
    <w:rsid w:val="00F81E2D"/>
    <w:rsid w:val="00F81EA5"/>
    <w:rsid w:val="00F81ED4"/>
    <w:rsid w:val="00F81F51"/>
    <w:rsid w:val="00F82103"/>
    <w:rsid w:val="00F82136"/>
    <w:rsid w:val="00F82159"/>
    <w:rsid w:val="00F82196"/>
    <w:rsid w:val="00F8253B"/>
    <w:rsid w:val="00F825B4"/>
    <w:rsid w:val="00F82607"/>
    <w:rsid w:val="00F82711"/>
    <w:rsid w:val="00F8278F"/>
    <w:rsid w:val="00F82792"/>
    <w:rsid w:val="00F8282D"/>
    <w:rsid w:val="00F8285F"/>
    <w:rsid w:val="00F828B6"/>
    <w:rsid w:val="00F82926"/>
    <w:rsid w:val="00F82931"/>
    <w:rsid w:val="00F82A20"/>
    <w:rsid w:val="00F82AC7"/>
    <w:rsid w:val="00F82B2C"/>
    <w:rsid w:val="00F82C2C"/>
    <w:rsid w:val="00F82C80"/>
    <w:rsid w:val="00F82CB0"/>
    <w:rsid w:val="00F82CCD"/>
    <w:rsid w:val="00F82D1F"/>
    <w:rsid w:val="00F82D31"/>
    <w:rsid w:val="00F82DE1"/>
    <w:rsid w:val="00F82E8F"/>
    <w:rsid w:val="00F82E9C"/>
    <w:rsid w:val="00F82F40"/>
    <w:rsid w:val="00F82F56"/>
    <w:rsid w:val="00F82F7B"/>
    <w:rsid w:val="00F82FB1"/>
    <w:rsid w:val="00F82FE4"/>
    <w:rsid w:val="00F8302E"/>
    <w:rsid w:val="00F8310B"/>
    <w:rsid w:val="00F83134"/>
    <w:rsid w:val="00F83150"/>
    <w:rsid w:val="00F83199"/>
    <w:rsid w:val="00F83250"/>
    <w:rsid w:val="00F832AD"/>
    <w:rsid w:val="00F832FC"/>
    <w:rsid w:val="00F83302"/>
    <w:rsid w:val="00F83365"/>
    <w:rsid w:val="00F83395"/>
    <w:rsid w:val="00F833F3"/>
    <w:rsid w:val="00F8342E"/>
    <w:rsid w:val="00F834C4"/>
    <w:rsid w:val="00F8357B"/>
    <w:rsid w:val="00F83643"/>
    <w:rsid w:val="00F8364A"/>
    <w:rsid w:val="00F837FB"/>
    <w:rsid w:val="00F83861"/>
    <w:rsid w:val="00F83892"/>
    <w:rsid w:val="00F838B3"/>
    <w:rsid w:val="00F83984"/>
    <w:rsid w:val="00F839E5"/>
    <w:rsid w:val="00F83AB1"/>
    <w:rsid w:val="00F83ACE"/>
    <w:rsid w:val="00F83AD1"/>
    <w:rsid w:val="00F83B3D"/>
    <w:rsid w:val="00F83B7B"/>
    <w:rsid w:val="00F83BC0"/>
    <w:rsid w:val="00F83C46"/>
    <w:rsid w:val="00F83C66"/>
    <w:rsid w:val="00F83C90"/>
    <w:rsid w:val="00F83CAD"/>
    <w:rsid w:val="00F83DA7"/>
    <w:rsid w:val="00F83E0F"/>
    <w:rsid w:val="00F83EC3"/>
    <w:rsid w:val="00F83F55"/>
    <w:rsid w:val="00F83F60"/>
    <w:rsid w:val="00F83F64"/>
    <w:rsid w:val="00F83FDB"/>
    <w:rsid w:val="00F84023"/>
    <w:rsid w:val="00F840C1"/>
    <w:rsid w:val="00F8415A"/>
    <w:rsid w:val="00F84190"/>
    <w:rsid w:val="00F8422B"/>
    <w:rsid w:val="00F8435B"/>
    <w:rsid w:val="00F8439C"/>
    <w:rsid w:val="00F843AB"/>
    <w:rsid w:val="00F84503"/>
    <w:rsid w:val="00F8461F"/>
    <w:rsid w:val="00F84718"/>
    <w:rsid w:val="00F84782"/>
    <w:rsid w:val="00F847B9"/>
    <w:rsid w:val="00F847C6"/>
    <w:rsid w:val="00F84822"/>
    <w:rsid w:val="00F84887"/>
    <w:rsid w:val="00F848F6"/>
    <w:rsid w:val="00F8492B"/>
    <w:rsid w:val="00F84B56"/>
    <w:rsid w:val="00F84B75"/>
    <w:rsid w:val="00F84B89"/>
    <w:rsid w:val="00F84C37"/>
    <w:rsid w:val="00F84CE2"/>
    <w:rsid w:val="00F84CE7"/>
    <w:rsid w:val="00F84CEE"/>
    <w:rsid w:val="00F84D6C"/>
    <w:rsid w:val="00F84D79"/>
    <w:rsid w:val="00F84E17"/>
    <w:rsid w:val="00F84F0E"/>
    <w:rsid w:val="00F84F22"/>
    <w:rsid w:val="00F84F2B"/>
    <w:rsid w:val="00F84F49"/>
    <w:rsid w:val="00F84F73"/>
    <w:rsid w:val="00F8505E"/>
    <w:rsid w:val="00F85079"/>
    <w:rsid w:val="00F85144"/>
    <w:rsid w:val="00F85218"/>
    <w:rsid w:val="00F852C3"/>
    <w:rsid w:val="00F852F2"/>
    <w:rsid w:val="00F85388"/>
    <w:rsid w:val="00F85575"/>
    <w:rsid w:val="00F85626"/>
    <w:rsid w:val="00F856ED"/>
    <w:rsid w:val="00F85743"/>
    <w:rsid w:val="00F8574C"/>
    <w:rsid w:val="00F858AC"/>
    <w:rsid w:val="00F858C2"/>
    <w:rsid w:val="00F858E2"/>
    <w:rsid w:val="00F85913"/>
    <w:rsid w:val="00F8594B"/>
    <w:rsid w:val="00F85A24"/>
    <w:rsid w:val="00F85A2D"/>
    <w:rsid w:val="00F85D3D"/>
    <w:rsid w:val="00F85DDB"/>
    <w:rsid w:val="00F85DDF"/>
    <w:rsid w:val="00F85F70"/>
    <w:rsid w:val="00F85FCB"/>
    <w:rsid w:val="00F8646C"/>
    <w:rsid w:val="00F8653B"/>
    <w:rsid w:val="00F8657A"/>
    <w:rsid w:val="00F86596"/>
    <w:rsid w:val="00F866D5"/>
    <w:rsid w:val="00F866EC"/>
    <w:rsid w:val="00F866F3"/>
    <w:rsid w:val="00F8677F"/>
    <w:rsid w:val="00F86789"/>
    <w:rsid w:val="00F86ACF"/>
    <w:rsid w:val="00F86AF7"/>
    <w:rsid w:val="00F86B21"/>
    <w:rsid w:val="00F86BD4"/>
    <w:rsid w:val="00F86BD9"/>
    <w:rsid w:val="00F86C8E"/>
    <w:rsid w:val="00F86CE3"/>
    <w:rsid w:val="00F86DBF"/>
    <w:rsid w:val="00F86E3F"/>
    <w:rsid w:val="00F86EBB"/>
    <w:rsid w:val="00F86EFF"/>
    <w:rsid w:val="00F87074"/>
    <w:rsid w:val="00F87094"/>
    <w:rsid w:val="00F870D4"/>
    <w:rsid w:val="00F870F1"/>
    <w:rsid w:val="00F87179"/>
    <w:rsid w:val="00F87237"/>
    <w:rsid w:val="00F87240"/>
    <w:rsid w:val="00F8730A"/>
    <w:rsid w:val="00F87313"/>
    <w:rsid w:val="00F87324"/>
    <w:rsid w:val="00F873DB"/>
    <w:rsid w:val="00F8741F"/>
    <w:rsid w:val="00F87427"/>
    <w:rsid w:val="00F8747C"/>
    <w:rsid w:val="00F87521"/>
    <w:rsid w:val="00F8755A"/>
    <w:rsid w:val="00F875AB"/>
    <w:rsid w:val="00F875D5"/>
    <w:rsid w:val="00F8768D"/>
    <w:rsid w:val="00F876D6"/>
    <w:rsid w:val="00F876FA"/>
    <w:rsid w:val="00F87742"/>
    <w:rsid w:val="00F877B6"/>
    <w:rsid w:val="00F877C5"/>
    <w:rsid w:val="00F87812"/>
    <w:rsid w:val="00F8782E"/>
    <w:rsid w:val="00F87835"/>
    <w:rsid w:val="00F87913"/>
    <w:rsid w:val="00F87937"/>
    <w:rsid w:val="00F87938"/>
    <w:rsid w:val="00F87960"/>
    <w:rsid w:val="00F87966"/>
    <w:rsid w:val="00F87AC6"/>
    <w:rsid w:val="00F87ADE"/>
    <w:rsid w:val="00F87BB6"/>
    <w:rsid w:val="00F87D3B"/>
    <w:rsid w:val="00F87D66"/>
    <w:rsid w:val="00F87F6E"/>
    <w:rsid w:val="00F87F9A"/>
    <w:rsid w:val="00F90019"/>
    <w:rsid w:val="00F90049"/>
    <w:rsid w:val="00F90119"/>
    <w:rsid w:val="00F902CC"/>
    <w:rsid w:val="00F9030E"/>
    <w:rsid w:val="00F90315"/>
    <w:rsid w:val="00F90360"/>
    <w:rsid w:val="00F90390"/>
    <w:rsid w:val="00F904AA"/>
    <w:rsid w:val="00F904BB"/>
    <w:rsid w:val="00F904DA"/>
    <w:rsid w:val="00F90644"/>
    <w:rsid w:val="00F906D1"/>
    <w:rsid w:val="00F90720"/>
    <w:rsid w:val="00F90723"/>
    <w:rsid w:val="00F90777"/>
    <w:rsid w:val="00F9079F"/>
    <w:rsid w:val="00F9080B"/>
    <w:rsid w:val="00F90823"/>
    <w:rsid w:val="00F90839"/>
    <w:rsid w:val="00F908EB"/>
    <w:rsid w:val="00F908F9"/>
    <w:rsid w:val="00F90A83"/>
    <w:rsid w:val="00F90A94"/>
    <w:rsid w:val="00F90A9A"/>
    <w:rsid w:val="00F90B17"/>
    <w:rsid w:val="00F90BB3"/>
    <w:rsid w:val="00F90CA8"/>
    <w:rsid w:val="00F90CFF"/>
    <w:rsid w:val="00F90D45"/>
    <w:rsid w:val="00F90D78"/>
    <w:rsid w:val="00F90DF1"/>
    <w:rsid w:val="00F90EC0"/>
    <w:rsid w:val="00F90ECF"/>
    <w:rsid w:val="00F90F83"/>
    <w:rsid w:val="00F91021"/>
    <w:rsid w:val="00F91049"/>
    <w:rsid w:val="00F91076"/>
    <w:rsid w:val="00F910A1"/>
    <w:rsid w:val="00F910C1"/>
    <w:rsid w:val="00F9119F"/>
    <w:rsid w:val="00F911A9"/>
    <w:rsid w:val="00F912BB"/>
    <w:rsid w:val="00F91316"/>
    <w:rsid w:val="00F9131B"/>
    <w:rsid w:val="00F9132A"/>
    <w:rsid w:val="00F9138E"/>
    <w:rsid w:val="00F91442"/>
    <w:rsid w:val="00F91486"/>
    <w:rsid w:val="00F914E1"/>
    <w:rsid w:val="00F91572"/>
    <w:rsid w:val="00F91581"/>
    <w:rsid w:val="00F9158B"/>
    <w:rsid w:val="00F9159A"/>
    <w:rsid w:val="00F915D8"/>
    <w:rsid w:val="00F916B2"/>
    <w:rsid w:val="00F916E1"/>
    <w:rsid w:val="00F91799"/>
    <w:rsid w:val="00F91850"/>
    <w:rsid w:val="00F918A3"/>
    <w:rsid w:val="00F91ABF"/>
    <w:rsid w:val="00F91AF5"/>
    <w:rsid w:val="00F91B94"/>
    <w:rsid w:val="00F91BEC"/>
    <w:rsid w:val="00F91C56"/>
    <w:rsid w:val="00F91CF0"/>
    <w:rsid w:val="00F91D5B"/>
    <w:rsid w:val="00F91E31"/>
    <w:rsid w:val="00F91F7B"/>
    <w:rsid w:val="00F91FDB"/>
    <w:rsid w:val="00F920CC"/>
    <w:rsid w:val="00F92186"/>
    <w:rsid w:val="00F92214"/>
    <w:rsid w:val="00F9223E"/>
    <w:rsid w:val="00F92277"/>
    <w:rsid w:val="00F922B9"/>
    <w:rsid w:val="00F922CF"/>
    <w:rsid w:val="00F923B8"/>
    <w:rsid w:val="00F923C8"/>
    <w:rsid w:val="00F924C9"/>
    <w:rsid w:val="00F924D8"/>
    <w:rsid w:val="00F92665"/>
    <w:rsid w:val="00F92671"/>
    <w:rsid w:val="00F9276E"/>
    <w:rsid w:val="00F927BA"/>
    <w:rsid w:val="00F92842"/>
    <w:rsid w:val="00F92885"/>
    <w:rsid w:val="00F929E1"/>
    <w:rsid w:val="00F92A31"/>
    <w:rsid w:val="00F92B14"/>
    <w:rsid w:val="00F92B35"/>
    <w:rsid w:val="00F92B40"/>
    <w:rsid w:val="00F92B57"/>
    <w:rsid w:val="00F92BAE"/>
    <w:rsid w:val="00F92BB8"/>
    <w:rsid w:val="00F92C38"/>
    <w:rsid w:val="00F92C64"/>
    <w:rsid w:val="00F92D41"/>
    <w:rsid w:val="00F92D85"/>
    <w:rsid w:val="00F92DBF"/>
    <w:rsid w:val="00F92DC4"/>
    <w:rsid w:val="00F92E25"/>
    <w:rsid w:val="00F92E26"/>
    <w:rsid w:val="00F92EB8"/>
    <w:rsid w:val="00F92EC5"/>
    <w:rsid w:val="00F92F61"/>
    <w:rsid w:val="00F92F69"/>
    <w:rsid w:val="00F9305C"/>
    <w:rsid w:val="00F9308E"/>
    <w:rsid w:val="00F930BE"/>
    <w:rsid w:val="00F93151"/>
    <w:rsid w:val="00F93272"/>
    <w:rsid w:val="00F932F1"/>
    <w:rsid w:val="00F93326"/>
    <w:rsid w:val="00F9332E"/>
    <w:rsid w:val="00F93334"/>
    <w:rsid w:val="00F93376"/>
    <w:rsid w:val="00F93381"/>
    <w:rsid w:val="00F933F4"/>
    <w:rsid w:val="00F9341E"/>
    <w:rsid w:val="00F934B6"/>
    <w:rsid w:val="00F934CD"/>
    <w:rsid w:val="00F93525"/>
    <w:rsid w:val="00F93565"/>
    <w:rsid w:val="00F935F3"/>
    <w:rsid w:val="00F9360F"/>
    <w:rsid w:val="00F9363C"/>
    <w:rsid w:val="00F9369E"/>
    <w:rsid w:val="00F93761"/>
    <w:rsid w:val="00F937EB"/>
    <w:rsid w:val="00F938D9"/>
    <w:rsid w:val="00F938EC"/>
    <w:rsid w:val="00F93906"/>
    <w:rsid w:val="00F9393C"/>
    <w:rsid w:val="00F939C3"/>
    <w:rsid w:val="00F939C9"/>
    <w:rsid w:val="00F939DE"/>
    <w:rsid w:val="00F939E0"/>
    <w:rsid w:val="00F93AB2"/>
    <w:rsid w:val="00F93B00"/>
    <w:rsid w:val="00F93B54"/>
    <w:rsid w:val="00F93B98"/>
    <w:rsid w:val="00F93BBF"/>
    <w:rsid w:val="00F93C37"/>
    <w:rsid w:val="00F93C51"/>
    <w:rsid w:val="00F93D58"/>
    <w:rsid w:val="00F93D5A"/>
    <w:rsid w:val="00F93E0C"/>
    <w:rsid w:val="00F93E93"/>
    <w:rsid w:val="00F93EE4"/>
    <w:rsid w:val="00F940E1"/>
    <w:rsid w:val="00F94116"/>
    <w:rsid w:val="00F9418D"/>
    <w:rsid w:val="00F9422C"/>
    <w:rsid w:val="00F94254"/>
    <w:rsid w:val="00F942D4"/>
    <w:rsid w:val="00F94320"/>
    <w:rsid w:val="00F94381"/>
    <w:rsid w:val="00F94478"/>
    <w:rsid w:val="00F944BF"/>
    <w:rsid w:val="00F94562"/>
    <w:rsid w:val="00F945C4"/>
    <w:rsid w:val="00F94925"/>
    <w:rsid w:val="00F94992"/>
    <w:rsid w:val="00F949A5"/>
    <w:rsid w:val="00F949E0"/>
    <w:rsid w:val="00F94A6F"/>
    <w:rsid w:val="00F94ABD"/>
    <w:rsid w:val="00F94B07"/>
    <w:rsid w:val="00F94B6D"/>
    <w:rsid w:val="00F94B9D"/>
    <w:rsid w:val="00F94C99"/>
    <w:rsid w:val="00F94D1B"/>
    <w:rsid w:val="00F94D1C"/>
    <w:rsid w:val="00F94E34"/>
    <w:rsid w:val="00F94F22"/>
    <w:rsid w:val="00F94F4C"/>
    <w:rsid w:val="00F94F5F"/>
    <w:rsid w:val="00F94FD9"/>
    <w:rsid w:val="00F95015"/>
    <w:rsid w:val="00F9506B"/>
    <w:rsid w:val="00F9510A"/>
    <w:rsid w:val="00F951AC"/>
    <w:rsid w:val="00F951F2"/>
    <w:rsid w:val="00F9528F"/>
    <w:rsid w:val="00F95302"/>
    <w:rsid w:val="00F9532D"/>
    <w:rsid w:val="00F953C4"/>
    <w:rsid w:val="00F9540D"/>
    <w:rsid w:val="00F95468"/>
    <w:rsid w:val="00F9552A"/>
    <w:rsid w:val="00F95542"/>
    <w:rsid w:val="00F9555C"/>
    <w:rsid w:val="00F95567"/>
    <w:rsid w:val="00F95583"/>
    <w:rsid w:val="00F95599"/>
    <w:rsid w:val="00F956A9"/>
    <w:rsid w:val="00F9579F"/>
    <w:rsid w:val="00F9580A"/>
    <w:rsid w:val="00F95880"/>
    <w:rsid w:val="00F9595D"/>
    <w:rsid w:val="00F95965"/>
    <w:rsid w:val="00F959B4"/>
    <w:rsid w:val="00F959BE"/>
    <w:rsid w:val="00F959F0"/>
    <w:rsid w:val="00F95BCF"/>
    <w:rsid w:val="00F95D01"/>
    <w:rsid w:val="00F95D72"/>
    <w:rsid w:val="00F95DEE"/>
    <w:rsid w:val="00F95DFF"/>
    <w:rsid w:val="00F95E06"/>
    <w:rsid w:val="00F95E1B"/>
    <w:rsid w:val="00F95E7B"/>
    <w:rsid w:val="00F95ED1"/>
    <w:rsid w:val="00F95F02"/>
    <w:rsid w:val="00F95F47"/>
    <w:rsid w:val="00F95F6C"/>
    <w:rsid w:val="00F95F8E"/>
    <w:rsid w:val="00F96137"/>
    <w:rsid w:val="00F96175"/>
    <w:rsid w:val="00F961F5"/>
    <w:rsid w:val="00F96277"/>
    <w:rsid w:val="00F962C2"/>
    <w:rsid w:val="00F962D8"/>
    <w:rsid w:val="00F9635E"/>
    <w:rsid w:val="00F963D9"/>
    <w:rsid w:val="00F96489"/>
    <w:rsid w:val="00F965F1"/>
    <w:rsid w:val="00F96602"/>
    <w:rsid w:val="00F9677E"/>
    <w:rsid w:val="00F96843"/>
    <w:rsid w:val="00F96866"/>
    <w:rsid w:val="00F9693B"/>
    <w:rsid w:val="00F96A77"/>
    <w:rsid w:val="00F96B20"/>
    <w:rsid w:val="00F96BDF"/>
    <w:rsid w:val="00F96C12"/>
    <w:rsid w:val="00F96C3D"/>
    <w:rsid w:val="00F96D37"/>
    <w:rsid w:val="00F96D8D"/>
    <w:rsid w:val="00F96DDA"/>
    <w:rsid w:val="00F96DEC"/>
    <w:rsid w:val="00F96E88"/>
    <w:rsid w:val="00F96E8D"/>
    <w:rsid w:val="00F96F12"/>
    <w:rsid w:val="00F96F69"/>
    <w:rsid w:val="00F96FB7"/>
    <w:rsid w:val="00F96FCE"/>
    <w:rsid w:val="00F970FD"/>
    <w:rsid w:val="00F97187"/>
    <w:rsid w:val="00F971D2"/>
    <w:rsid w:val="00F971D4"/>
    <w:rsid w:val="00F97249"/>
    <w:rsid w:val="00F97268"/>
    <w:rsid w:val="00F972C0"/>
    <w:rsid w:val="00F97320"/>
    <w:rsid w:val="00F97323"/>
    <w:rsid w:val="00F9732D"/>
    <w:rsid w:val="00F97410"/>
    <w:rsid w:val="00F974BF"/>
    <w:rsid w:val="00F9753E"/>
    <w:rsid w:val="00F9759C"/>
    <w:rsid w:val="00F975D2"/>
    <w:rsid w:val="00F97727"/>
    <w:rsid w:val="00F977FE"/>
    <w:rsid w:val="00F97814"/>
    <w:rsid w:val="00F97825"/>
    <w:rsid w:val="00F9784C"/>
    <w:rsid w:val="00F9786D"/>
    <w:rsid w:val="00F978A0"/>
    <w:rsid w:val="00F97942"/>
    <w:rsid w:val="00F979AD"/>
    <w:rsid w:val="00F97A11"/>
    <w:rsid w:val="00F97A13"/>
    <w:rsid w:val="00F97A4B"/>
    <w:rsid w:val="00F97B0F"/>
    <w:rsid w:val="00F97B38"/>
    <w:rsid w:val="00F97B8F"/>
    <w:rsid w:val="00F97C66"/>
    <w:rsid w:val="00F97CB2"/>
    <w:rsid w:val="00F97CB5"/>
    <w:rsid w:val="00F97CDE"/>
    <w:rsid w:val="00F97D50"/>
    <w:rsid w:val="00F97E41"/>
    <w:rsid w:val="00F97EE2"/>
    <w:rsid w:val="00F97F9D"/>
    <w:rsid w:val="00F9956C"/>
    <w:rsid w:val="00FA0003"/>
    <w:rsid w:val="00FA014B"/>
    <w:rsid w:val="00FA01B9"/>
    <w:rsid w:val="00FA0257"/>
    <w:rsid w:val="00FA0290"/>
    <w:rsid w:val="00FA02FC"/>
    <w:rsid w:val="00FA030E"/>
    <w:rsid w:val="00FA03A3"/>
    <w:rsid w:val="00FA03B9"/>
    <w:rsid w:val="00FA0412"/>
    <w:rsid w:val="00FA0447"/>
    <w:rsid w:val="00FA045D"/>
    <w:rsid w:val="00FA04F8"/>
    <w:rsid w:val="00FA0565"/>
    <w:rsid w:val="00FA05D2"/>
    <w:rsid w:val="00FA05EC"/>
    <w:rsid w:val="00FA06C2"/>
    <w:rsid w:val="00FA06D4"/>
    <w:rsid w:val="00FA0724"/>
    <w:rsid w:val="00FA072D"/>
    <w:rsid w:val="00FA0758"/>
    <w:rsid w:val="00FA075A"/>
    <w:rsid w:val="00FA087C"/>
    <w:rsid w:val="00FA08B5"/>
    <w:rsid w:val="00FA0909"/>
    <w:rsid w:val="00FA0934"/>
    <w:rsid w:val="00FA0951"/>
    <w:rsid w:val="00FA09AE"/>
    <w:rsid w:val="00FA09F3"/>
    <w:rsid w:val="00FA09F5"/>
    <w:rsid w:val="00FA0A14"/>
    <w:rsid w:val="00FA0BBF"/>
    <w:rsid w:val="00FA0BF6"/>
    <w:rsid w:val="00FA0C26"/>
    <w:rsid w:val="00FA0C27"/>
    <w:rsid w:val="00FA0C3C"/>
    <w:rsid w:val="00FA0CFF"/>
    <w:rsid w:val="00FA0D18"/>
    <w:rsid w:val="00FA0D31"/>
    <w:rsid w:val="00FA0D3A"/>
    <w:rsid w:val="00FA0D3E"/>
    <w:rsid w:val="00FA0DD3"/>
    <w:rsid w:val="00FA0E8B"/>
    <w:rsid w:val="00FA0EA2"/>
    <w:rsid w:val="00FA0EC2"/>
    <w:rsid w:val="00FA0FAE"/>
    <w:rsid w:val="00FA0FB3"/>
    <w:rsid w:val="00FA10A1"/>
    <w:rsid w:val="00FA115D"/>
    <w:rsid w:val="00FA129B"/>
    <w:rsid w:val="00FA12CA"/>
    <w:rsid w:val="00FA1303"/>
    <w:rsid w:val="00FA1384"/>
    <w:rsid w:val="00FA1469"/>
    <w:rsid w:val="00FA14CA"/>
    <w:rsid w:val="00FA14E9"/>
    <w:rsid w:val="00FA1545"/>
    <w:rsid w:val="00FA15F3"/>
    <w:rsid w:val="00FA1648"/>
    <w:rsid w:val="00FA1650"/>
    <w:rsid w:val="00FA1660"/>
    <w:rsid w:val="00FA16CF"/>
    <w:rsid w:val="00FA1759"/>
    <w:rsid w:val="00FA1792"/>
    <w:rsid w:val="00FA17C8"/>
    <w:rsid w:val="00FA17FF"/>
    <w:rsid w:val="00FA1995"/>
    <w:rsid w:val="00FA1AC3"/>
    <w:rsid w:val="00FA1BFE"/>
    <w:rsid w:val="00FA1C66"/>
    <w:rsid w:val="00FA1CAF"/>
    <w:rsid w:val="00FA1D4D"/>
    <w:rsid w:val="00FA1D93"/>
    <w:rsid w:val="00FA1E34"/>
    <w:rsid w:val="00FA1E4E"/>
    <w:rsid w:val="00FA1E7F"/>
    <w:rsid w:val="00FA1E8F"/>
    <w:rsid w:val="00FA1F25"/>
    <w:rsid w:val="00FA202B"/>
    <w:rsid w:val="00FA205D"/>
    <w:rsid w:val="00FA208C"/>
    <w:rsid w:val="00FA20C6"/>
    <w:rsid w:val="00FA20C7"/>
    <w:rsid w:val="00FA20F7"/>
    <w:rsid w:val="00FA212E"/>
    <w:rsid w:val="00FA21A5"/>
    <w:rsid w:val="00FA21C7"/>
    <w:rsid w:val="00FA21E1"/>
    <w:rsid w:val="00FA2245"/>
    <w:rsid w:val="00FA2253"/>
    <w:rsid w:val="00FA225A"/>
    <w:rsid w:val="00FA228E"/>
    <w:rsid w:val="00FA236A"/>
    <w:rsid w:val="00FA2450"/>
    <w:rsid w:val="00FA24D1"/>
    <w:rsid w:val="00FA24D6"/>
    <w:rsid w:val="00FA25D1"/>
    <w:rsid w:val="00FA26C7"/>
    <w:rsid w:val="00FA26E8"/>
    <w:rsid w:val="00FA2736"/>
    <w:rsid w:val="00FA2751"/>
    <w:rsid w:val="00FA27BF"/>
    <w:rsid w:val="00FA28B0"/>
    <w:rsid w:val="00FA2985"/>
    <w:rsid w:val="00FA29BB"/>
    <w:rsid w:val="00FA2AE1"/>
    <w:rsid w:val="00FA2C77"/>
    <w:rsid w:val="00FA2D10"/>
    <w:rsid w:val="00FA2E7C"/>
    <w:rsid w:val="00FA2F03"/>
    <w:rsid w:val="00FA2FBB"/>
    <w:rsid w:val="00FA3047"/>
    <w:rsid w:val="00FA30C0"/>
    <w:rsid w:val="00FA311D"/>
    <w:rsid w:val="00FA315A"/>
    <w:rsid w:val="00FA3208"/>
    <w:rsid w:val="00FA3264"/>
    <w:rsid w:val="00FA3270"/>
    <w:rsid w:val="00FA3325"/>
    <w:rsid w:val="00FA3422"/>
    <w:rsid w:val="00FA34B9"/>
    <w:rsid w:val="00FA34DD"/>
    <w:rsid w:val="00FA3530"/>
    <w:rsid w:val="00FA35F0"/>
    <w:rsid w:val="00FA3635"/>
    <w:rsid w:val="00FA366A"/>
    <w:rsid w:val="00FA3735"/>
    <w:rsid w:val="00FA37B8"/>
    <w:rsid w:val="00FA37C3"/>
    <w:rsid w:val="00FA3808"/>
    <w:rsid w:val="00FA380A"/>
    <w:rsid w:val="00FA3868"/>
    <w:rsid w:val="00FA392B"/>
    <w:rsid w:val="00FA3A7E"/>
    <w:rsid w:val="00FA3ADB"/>
    <w:rsid w:val="00FA3B14"/>
    <w:rsid w:val="00FA3B6C"/>
    <w:rsid w:val="00FA3B9A"/>
    <w:rsid w:val="00FA3D15"/>
    <w:rsid w:val="00FA3D18"/>
    <w:rsid w:val="00FA3D2B"/>
    <w:rsid w:val="00FA3DB5"/>
    <w:rsid w:val="00FA3E82"/>
    <w:rsid w:val="00FA3ECB"/>
    <w:rsid w:val="00FA3EF8"/>
    <w:rsid w:val="00FA3F16"/>
    <w:rsid w:val="00FA3F2C"/>
    <w:rsid w:val="00FA3F34"/>
    <w:rsid w:val="00FA4070"/>
    <w:rsid w:val="00FA407B"/>
    <w:rsid w:val="00FA4205"/>
    <w:rsid w:val="00FA4285"/>
    <w:rsid w:val="00FA4472"/>
    <w:rsid w:val="00FA4594"/>
    <w:rsid w:val="00FA4637"/>
    <w:rsid w:val="00FA46BE"/>
    <w:rsid w:val="00FA46F8"/>
    <w:rsid w:val="00FA479C"/>
    <w:rsid w:val="00FA47B0"/>
    <w:rsid w:val="00FA47E3"/>
    <w:rsid w:val="00FA47E6"/>
    <w:rsid w:val="00FA485B"/>
    <w:rsid w:val="00FA48E8"/>
    <w:rsid w:val="00FA49E7"/>
    <w:rsid w:val="00FA4A5B"/>
    <w:rsid w:val="00FA4AC0"/>
    <w:rsid w:val="00FA4ACD"/>
    <w:rsid w:val="00FA4BD9"/>
    <w:rsid w:val="00FA4C80"/>
    <w:rsid w:val="00FA4D32"/>
    <w:rsid w:val="00FA4D77"/>
    <w:rsid w:val="00FA4E4E"/>
    <w:rsid w:val="00FA4EB6"/>
    <w:rsid w:val="00FA4EBA"/>
    <w:rsid w:val="00FA4ED2"/>
    <w:rsid w:val="00FA4F04"/>
    <w:rsid w:val="00FA4F27"/>
    <w:rsid w:val="00FA4F35"/>
    <w:rsid w:val="00FA4FC2"/>
    <w:rsid w:val="00FA4FE8"/>
    <w:rsid w:val="00FA50CD"/>
    <w:rsid w:val="00FA5168"/>
    <w:rsid w:val="00FA51A2"/>
    <w:rsid w:val="00FA51BD"/>
    <w:rsid w:val="00FA51F0"/>
    <w:rsid w:val="00FA51FD"/>
    <w:rsid w:val="00FA5304"/>
    <w:rsid w:val="00FA532A"/>
    <w:rsid w:val="00FA533F"/>
    <w:rsid w:val="00FA53A4"/>
    <w:rsid w:val="00FA5458"/>
    <w:rsid w:val="00FA54CA"/>
    <w:rsid w:val="00FA552C"/>
    <w:rsid w:val="00FA5538"/>
    <w:rsid w:val="00FA55F9"/>
    <w:rsid w:val="00FA561E"/>
    <w:rsid w:val="00FA5630"/>
    <w:rsid w:val="00FA5678"/>
    <w:rsid w:val="00FA569F"/>
    <w:rsid w:val="00FA5882"/>
    <w:rsid w:val="00FA58EC"/>
    <w:rsid w:val="00FA5A16"/>
    <w:rsid w:val="00FA5A33"/>
    <w:rsid w:val="00FA5B87"/>
    <w:rsid w:val="00FA5B8F"/>
    <w:rsid w:val="00FA5C63"/>
    <w:rsid w:val="00FA5CDC"/>
    <w:rsid w:val="00FA5D06"/>
    <w:rsid w:val="00FA5DEE"/>
    <w:rsid w:val="00FA5E13"/>
    <w:rsid w:val="00FA5E1F"/>
    <w:rsid w:val="00FA5EFE"/>
    <w:rsid w:val="00FA5F90"/>
    <w:rsid w:val="00FA5FA1"/>
    <w:rsid w:val="00FA6002"/>
    <w:rsid w:val="00FA6003"/>
    <w:rsid w:val="00FA6076"/>
    <w:rsid w:val="00FA6105"/>
    <w:rsid w:val="00FA612E"/>
    <w:rsid w:val="00FA613B"/>
    <w:rsid w:val="00FA6187"/>
    <w:rsid w:val="00FA61F1"/>
    <w:rsid w:val="00FA628A"/>
    <w:rsid w:val="00FA62B5"/>
    <w:rsid w:val="00FA6388"/>
    <w:rsid w:val="00FA63F9"/>
    <w:rsid w:val="00FA646D"/>
    <w:rsid w:val="00FA6592"/>
    <w:rsid w:val="00FA6610"/>
    <w:rsid w:val="00FA665C"/>
    <w:rsid w:val="00FA669B"/>
    <w:rsid w:val="00FA66AF"/>
    <w:rsid w:val="00FA6700"/>
    <w:rsid w:val="00FA674B"/>
    <w:rsid w:val="00FA686E"/>
    <w:rsid w:val="00FA68CB"/>
    <w:rsid w:val="00FA6972"/>
    <w:rsid w:val="00FA69EE"/>
    <w:rsid w:val="00FA69EF"/>
    <w:rsid w:val="00FA6A1F"/>
    <w:rsid w:val="00FA6AA4"/>
    <w:rsid w:val="00FA6B0B"/>
    <w:rsid w:val="00FA6B55"/>
    <w:rsid w:val="00FA6B98"/>
    <w:rsid w:val="00FA6C51"/>
    <w:rsid w:val="00FA6C62"/>
    <w:rsid w:val="00FA6C6D"/>
    <w:rsid w:val="00FA6D33"/>
    <w:rsid w:val="00FA6DE3"/>
    <w:rsid w:val="00FA6E20"/>
    <w:rsid w:val="00FA6E49"/>
    <w:rsid w:val="00FA6E98"/>
    <w:rsid w:val="00FA6F0F"/>
    <w:rsid w:val="00FA6F1E"/>
    <w:rsid w:val="00FA6F56"/>
    <w:rsid w:val="00FA6F61"/>
    <w:rsid w:val="00FA7098"/>
    <w:rsid w:val="00FA71E4"/>
    <w:rsid w:val="00FA725D"/>
    <w:rsid w:val="00FA7349"/>
    <w:rsid w:val="00FA7353"/>
    <w:rsid w:val="00FA73C6"/>
    <w:rsid w:val="00FA73F2"/>
    <w:rsid w:val="00FA7431"/>
    <w:rsid w:val="00FA7586"/>
    <w:rsid w:val="00FA7692"/>
    <w:rsid w:val="00FA76C6"/>
    <w:rsid w:val="00FA76CB"/>
    <w:rsid w:val="00FA76F5"/>
    <w:rsid w:val="00FA7752"/>
    <w:rsid w:val="00FA77B9"/>
    <w:rsid w:val="00FA77CA"/>
    <w:rsid w:val="00FA7849"/>
    <w:rsid w:val="00FA7887"/>
    <w:rsid w:val="00FA7910"/>
    <w:rsid w:val="00FA7915"/>
    <w:rsid w:val="00FA7A5A"/>
    <w:rsid w:val="00FA7A80"/>
    <w:rsid w:val="00FA7ADC"/>
    <w:rsid w:val="00FA7AEB"/>
    <w:rsid w:val="00FA7AF5"/>
    <w:rsid w:val="00FA7B56"/>
    <w:rsid w:val="00FA7B8D"/>
    <w:rsid w:val="00FA7BB3"/>
    <w:rsid w:val="00FA7C42"/>
    <w:rsid w:val="00FA7CBD"/>
    <w:rsid w:val="00FA7CD0"/>
    <w:rsid w:val="00FA7CE3"/>
    <w:rsid w:val="00FA7D4A"/>
    <w:rsid w:val="00FA7D7C"/>
    <w:rsid w:val="00FA7DE8"/>
    <w:rsid w:val="00FA7EF1"/>
    <w:rsid w:val="00FA7F2E"/>
    <w:rsid w:val="00FA7F5C"/>
    <w:rsid w:val="00FA7FE3"/>
    <w:rsid w:val="00FB0022"/>
    <w:rsid w:val="00FB0105"/>
    <w:rsid w:val="00FB011E"/>
    <w:rsid w:val="00FB0171"/>
    <w:rsid w:val="00FB01A4"/>
    <w:rsid w:val="00FB01E2"/>
    <w:rsid w:val="00FB03AF"/>
    <w:rsid w:val="00FB0449"/>
    <w:rsid w:val="00FB0494"/>
    <w:rsid w:val="00FB05E2"/>
    <w:rsid w:val="00FB0605"/>
    <w:rsid w:val="00FB0688"/>
    <w:rsid w:val="00FB06B4"/>
    <w:rsid w:val="00FB06BC"/>
    <w:rsid w:val="00FB06EC"/>
    <w:rsid w:val="00FB0997"/>
    <w:rsid w:val="00FB0A44"/>
    <w:rsid w:val="00FB0A82"/>
    <w:rsid w:val="00FB0AE2"/>
    <w:rsid w:val="00FB0B53"/>
    <w:rsid w:val="00FB0BFE"/>
    <w:rsid w:val="00FB0C8D"/>
    <w:rsid w:val="00FB0E82"/>
    <w:rsid w:val="00FB1143"/>
    <w:rsid w:val="00FB114C"/>
    <w:rsid w:val="00FB115E"/>
    <w:rsid w:val="00FB128F"/>
    <w:rsid w:val="00FB12CC"/>
    <w:rsid w:val="00FB13CF"/>
    <w:rsid w:val="00FB1473"/>
    <w:rsid w:val="00FB14CC"/>
    <w:rsid w:val="00FB153C"/>
    <w:rsid w:val="00FB169A"/>
    <w:rsid w:val="00FB1737"/>
    <w:rsid w:val="00FB18AB"/>
    <w:rsid w:val="00FB1969"/>
    <w:rsid w:val="00FB19A4"/>
    <w:rsid w:val="00FB1A2E"/>
    <w:rsid w:val="00FB1A60"/>
    <w:rsid w:val="00FB1A99"/>
    <w:rsid w:val="00FB1B3A"/>
    <w:rsid w:val="00FB1CB2"/>
    <w:rsid w:val="00FB1D8B"/>
    <w:rsid w:val="00FB1E71"/>
    <w:rsid w:val="00FB1F8D"/>
    <w:rsid w:val="00FB1FD0"/>
    <w:rsid w:val="00FB201E"/>
    <w:rsid w:val="00FB219B"/>
    <w:rsid w:val="00FB21B9"/>
    <w:rsid w:val="00FB221D"/>
    <w:rsid w:val="00FB2249"/>
    <w:rsid w:val="00FB2446"/>
    <w:rsid w:val="00FB2541"/>
    <w:rsid w:val="00FB25E1"/>
    <w:rsid w:val="00FB274E"/>
    <w:rsid w:val="00FB2756"/>
    <w:rsid w:val="00FB27A8"/>
    <w:rsid w:val="00FB28C4"/>
    <w:rsid w:val="00FB28D3"/>
    <w:rsid w:val="00FB28D4"/>
    <w:rsid w:val="00FB2977"/>
    <w:rsid w:val="00FB29C2"/>
    <w:rsid w:val="00FB2A15"/>
    <w:rsid w:val="00FB2A88"/>
    <w:rsid w:val="00FB2A9B"/>
    <w:rsid w:val="00FB2AD2"/>
    <w:rsid w:val="00FB2AF3"/>
    <w:rsid w:val="00FB2AF6"/>
    <w:rsid w:val="00FB2BA3"/>
    <w:rsid w:val="00FB2BD0"/>
    <w:rsid w:val="00FB2C13"/>
    <w:rsid w:val="00FB2C15"/>
    <w:rsid w:val="00FB2C84"/>
    <w:rsid w:val="00FB2C9C"/>
    <w:rsid w:val="00FB2DD9"/>
    <w:rsid w:val="00FB2E04"/>
    <w:rsid w:val="00FB2E32"/>
    <w:rsid w:val="00FB2E37"/>
    <w:rsid w:val="00FB2E58"/>
    <w:rsid w:val="00FB2EB7"/>
    <w:rsid w:val="00FB2F25"/>
    <w:rsid w:val="00FB2F44"/>
    <w:rsid w:val="00FB2F4E"/>
    <w:rsid w:val="00FB2F91"/>
    <w:rsid w:val="00FB3001"/>
    <w:rsid w:val="00FB3074"/>
    <w:rsid w:val="00FB30E1"/>
    <w:rsid w:val="00FB3170"/>
    <w:rsid w:val="00FB323D"/>
    <w:rsid w:val="00FB324E"/>
    <w:rsid w:val="00FB3271"/>
    <w:rsid w:val="00FB32C5"/>
    <w:rsid w:val="00FB32D9"/>
    <w:rsid w:val="00FB3331"/>
    <w:rsid w:val="00FB33DA"/>
    <w:rsid w:val="00FB34FD"/>
    <w:rsid w:val="00FB354C"/>
    <w:rsid w:val="00FB3561"/>
    <w:rsid w:val="00FB36C2"/>
    <w:rsid w:val="00FB36F9"/>
    <w:rsid w:val="00FB3782"/>
    <w:rsid w:val="00FB37EC"/>
    <w:rsid w:val="00FB387B"/>
    <w:rsid w:val="00FB3882"/>
    <w:rsid w:val="00FB3982"/>
    <w:rsid w:val="00FB3A07"/>
    <w:rsid w:val="00FB3A12"/>
    <w:rsid w:val="00FB3A76"/>
    <w:rsid w:val="00FB3AC2"/>
    <w:rsid w:val="00FB3ACB"/>
    <w:rsid w:val="00FB3AF7"/>
    <w:rsid w:val="00FB3B03"/>
    <w:rsid w:val="00FB3BBE"/>
    <w:rsid w:val="00FB3BEE"/>
    <w:rsid w:val="00FB3BF0"/>
    <w:rsid w:val="00FB3C4D"/>
    <w:rsid w:val="00FB3C57"/>
    <w:rsid w:val="00FB3C97"/>
    <w:rsid w:val="00FB3D5C"/>
    <w:rsid w:val="00FB3D64"/>
    <w:rsid w:val="00FB3D6F"/>
    <w:rsid w:val="00FB3D75"/>
    <w:rsid w:val="00FB3DD0"/>
    <w:rsid w:val="00FB3DED"/>
    <w:rsid w:val="00FB3E07"/>
    <w:rsid w:val="00FB3E11"/>
    <w:rsid w:val="00FB3E59"/>
    <w:rsid w:val="00FB3F56"/>
    <w:rsid w:val="00FB4036"/>
    <w:rsid w:val="00FB4108"/>
    <w:rsid w:val="00FB4245"/>
    <w:rsid w:val="00FB4265"/>
    <w:rsid w:val="00FB444A"/>
    <w:rsid w:val="00FB44AB"/>
    <w:rsid w:val="00FB44B6"/>
    <w:rsid w:val="00FB44F8"/>
    <w:rsid w:val="00FB454E"/>
    <w:rsid w:val="00FB45E1"/>
    <w:rsid w:val="00FB4669"/>
    <w:rsid w:val="00FB46B2"/>
    <w:rsid w:val="00FB4719"/>
    <w:rsid w:val="00FB473A"/>
    <w:rsid w:val="00FB4821"/>
    <w:rsid w:val="00FB4846"/>
    <w:rsid w:val="00FB48DD"/>
    <w:rsid w:val="00FB48EC"/>
    <w:rsid w:val="00FB49D5"/>
    <w:rsid w:val="00FB4A29"/>
    <w:rsid w:val="00FB4A8E"/>
    <w:rsid w:val="00FB4B16"/>
    <w:rsid w:val="00FB4C12"/>
    <w:rsid w:val="00FB4C89"/>
    <w:rsid w:val="00FB4D45"/>
    <w:rsid w:val="00FB4D65"/>
    <w:rsid w:val="00FB4DFC"/>
    <w:rsid w:val="00FB4E6E"/>
    <w:rsid w:val="00FB4EA5"/>
    <w:rsid w:val="00FB5026"/>
    <w:rsid w:val="00FB5053"/>
    <w:rsid w:val="00FB5125"/>
    <w:rsid w:val="00FB51F3"/>
    <w:rsid w:val="00FB5268"/>
    <w:rsid w:val="00FB52F3"/>
    <w:rsid w:val="00FB5312"/>
    <w:rsid w:val="00FB5324"/>
    <w:rsid w:val="00FB5493"/>
    <w:rsid w:val="00FB549A"/>
    <w:rsid w:val="00FB54DF"/>
    <w:rsid w:val="00FB5538"/>
    <w:rsid w:val="00FB55BA"/>
    <w:rsid w:val="00FB5638"/>
    <w:rsid w:val="00FB56AD"/>
    <w:rsid w:val="00FB56CD"/>
    <w:rsid w:val="00FB56F2"/>
    <w:rsid w:val="00FB570E"/>
    <w:rsid w:val="00FB5938"/>
    <w:rsid w:val="00FB59D5"/>
    <w:rsid w:val="00FB5A4D"/>
    <w:rsid w:val="00FB5A4E"/>
    <w:rsid w:val="00FB5AB5"/>
    <w:rsid w:val="00FB5B0E"/>
    <w:rsid w:val="00FB5B57"/>
    <w:rsid w:val="00FB5C14"/>
    <w:rsid w:val="00FB5C88"/>
    <w:rsid w:val="00FB5C90"/>
    <w:rsid w:val="00FB5CA0"/>
    <w:rsid w:val="00FB5D81"/>
    <w:rsid w:val="00FB5DFC"/>
    <w:rsid w:val="00FB5E2A"/>
    <w:rsid w:val="00FB61DE"/>
    <w:rsid w:val="00FB61F8"/>
    <w:rsid w:val="00FB6369"/>
    <w:rsid w:val="00FB63A1"/>
    <w:rsid w:val="00FB63EF"/>
    <w:rsid w:val="00FB64A8"/>
    <w:rsid w:val="00FB65A4"/>
    <w:rsid w:val="00FB65D8"/>
    <w:rsid w:val="00FB6604"/>
    <w:rsid w:val="00FB6637"/>
    <w:rsid w:val="00FB66ED"/>
    <w:rsid w:val="00FB672E"/>
    <w:rsid w:val="00FB67C0"/>
    <w:rsid w:val="00FB67C5"/>
    <w:rsid w:val="00FB692B"/>
    <w:rsid w:val="00FB6988"/>
    <w:rsid w:val="00FB69D3"/>
    <w:rsid w:val="00FB6A3D"/>
    <w:rsid w:val="00FB6A6F"/>
    <w:rsid w:val="00FB6BF4"/>
    <w:rsid w:val="00FB6C52"/>
    <w:rsid w:val="00FB6F0B"/>
    <w:rsid w:val="00FB6F38"/>
    <w:rsid w:val="00FB70AF"/>
    <w:rsid w:val="00FB713A"/>
    <w:rsid w:val="00FB72C7"/>
    <w:rsid w:val="00FB7337"/>
    <w:rsid w:val="00FB7351"/>
    <w:rsid w:val="00FB73A0"/>
    <w:rsid w:val="00FB740D"/>
    <w:rsid w:val="00FB7540"/>
    <w:rsid w:val="00FB75A6"/>
    <w:rsid w:val="00FB7698"/>
    <w:rsid w:val="00FB770E"/>
    <w:rsid w:val="00FB7728"/>
    <w:rsid w:val="00FB7892"/>
    <w:rsid w:val="00FB793B"/>
    <w:rsid w:val="00FB7944"/>
    <w:rsid w:val="00FB799F"/>
    <w:rsid w:val="00FB79B5"/>
    <w:rsid w:val="00FB7A11"/>
    <w:rsid w:val="00FB7A14"/>
    <w:rsid w:val="00FB7B33"/>
    <w:rsid w:val="00FB7BA1"/>
    <w:rsid w:val="00FB7C1A"/>
    <w:rsid w:val="00FB7C26"/>
    <w:rsid w:val="00FB7CC6"/>
    <w:rsid w:val="00FB7D50"/>
    <w:rsid w:val="00FB7DD9"/>
    <w:rsid w:val="00FB7EBB"/>
    <w:rsid w:val="00FB7F1A"/>
    <w:rsid w:val="00FB7F3D"/>
    <w:rsid w:val="00FB7FA8"/>
    <w:rsid w:val="00FBB9E2"/>
    <w:rsid w:val="00FC0003"/>
    <w:rsid w:val="00FC00A8"/>
    <w:rsid w:val="00FC0157"/>
    <w:rsid w:val="00FC01A5"/>
    <w:rsid w:val="00FC01CB"/>
    <w:rsid w:val="00FC01F8"/>
    <w:rsid w:val="00FC020A"/>
    <w:rsid w:val="00FC0230"/>
    <w:rsid w:val="00FC0255"/>
    <w:rsid w:val="00FC02D0"/>
    <w:rsid w:val="00FC02E7"/>
    <w:rsid w:val="00FC0341"/>
    <w:rsid w:val="00FC038C"/>
    <w:rsid w:val="00FC0476"/>
    <w:rsid w:val="00FC0508"/>
    <w:rsid w:val="00FC052A"/>
    <w:rsid w:val="00FC05B0"/>
    <w:rsid w:val="00FC065E"/>
    <w:rsid w:val="00FC06D6"/>
    <w:rsid w:val="00FC06EE"/>
    <w:rsid w:val="00FC07B4"/>
    <w:rsid w:val="00FC07F8"/>
    <w:rsid w:val="00FC098D"/>
    <w:rsid w:val="00FC09E6"/>
    <w:rsid w:val="00FC0A79"/>
    <w:rsid w:val="00FC0B42"/>
    <w:rsid w:val="00FC0B9C"/>
    <w:rsid w:val="00FC0BBC"/>
    <w:rsid w:val="00FC0BF1"/>
    <w:rsid w:val="00FC0BFB"/>
    <w:rsid w:val="00FC0CA7"/>
    <w:rsid w:val="00FC0DBF"/>
    <w:rsid w:val="00FC0DDB"/>
    <w:rsid w:val="00FC0E85"/>
    <w:rsid w:val="00FC0E8D"/>
    <w:rsid w:val="00FC0F95"/>
    <w:rsid w:val="00FC0FA0"/>
    <w:rsid w:val="00FC0FAF"/>
    <w:rsid w:val="00FC102F"/>
    <w:rsid w:val="00FC107C"/>
    <w:rsid w:val="00FC1106"/>
    <w:rsid w:val="00FC11A8"/>
    <w:rsid w:val="00FC11BC"/>
    <w:rsid w:val="00FC12A4"/>
    <w:rsid w:val="00FC156C"/>
    <w:rsid w:val="00FC175A"/>
    <w:rsid w:val="00FC1765"/>
    <w:rsid w:val="00FC17F5"/>
    <w:rsid w:val="00FC181E"/>
    <w:rsid w:val="00FC187B"/>
    <w:rsid w:val="00FC18A7"/>
    <w:rsid w:val="00FC18B5"/>
    <w:rsid w:val="00FC18FD"/>
    <w:rsid w:val="00FC1982"/>
    <w:rsid w:val="00FC19B0"/>
    <w:rsid w:val="00FC19B6"/>
    <w:rsid w:val="00FC1B42"/>
    <w:rsid w:val="00FC1B54"/>
    <w:rsid w:val="00FC1C60"/>
    <w:rsid w:val="00FC1D08"/>
    <w:rsid w:val="00FC1D71"/>
    <w:rsid w:val="00FC1D90"/>
    <w:rsid w:val="00FC1E6A"/>
    <w:rsid w:val="00FC1E6D"/>
    <w:rsid w:val="00FC1EEA"/>
    <w:rsid w:val="00FC1F78"/>
    <w:rsid w:val="00FC1FDC"/>
    <w:rsid w:val="00FC2039"/>
    <w:rsid w:val="00FC209C"/>
    <w:rsid w:val="00FC2150"/>
    <w:rsid w:val="00FC2176"/>
    <w:rsid w:val="00FC223D"/>
    <w:rsid w:val="00FC224D"/>
    <w:rsid w:val="00FC22C4"/>
    <w:rsid w:val="00FC248D"/>
    <w:rsid w:val="00FC2505"/>
    <w:rsid w:val="00FC259E"/>
    <w:rsid w:val="00FC25E0"/>
    <w:rsid w:val="00FC2600"/>
    <w:rsid w:val="00FC2618"/>
    <w:rsid w:val="00FC26D5"/>
    <w:rsid w:val="00FC26F0"/>
    <w:rsid w:val="00FC26F4"/>
    <w:rsid w:val="00FC2767"/>
    <w:rsid w:val="00FC2773"/>
    <w:rsid w:val="00FC2886"/>
    <w:rsid w:val="00FC28CD"/>
    <w:rsid w:val="00FC29C1"/>
    <w:rsid w:val="00FC29D1"/>
    <w:rsid w:val="00FC2A6D"/>
    <w:rsid w:val="00FC2A9D"/>
    <w:rsid w:val="00FC2BA9"/>
    <w:rsid w:val="00FC2BCD"/>
    <w:rsid w:val="00FC2C2C"/>
    <w:rsid w:val="00FC2C3A"/>
    <w:rsid w:val="00FC2C6B"/>
    <w:rsid w:val="00FC2CE1"/>
    <w:rsid w:val="00FC2CF4"/>
    <w:rsid w:val="00FC2E33"/>
    <w:rsid w:val="00FC2E97"/>
    <w:rsid w:val="00FC2EDD"/>
    <w:rsid w:val="00FC2FAB"/>
    <w:rsid w:val="00FC3014"/>
    <w:rsid w:val="00FC3061"/>
    <w:rsid w:val="00FC3075"/>
    <w:rsid w:val="00FC3129"/>
    <w:rsid w:val="00FC313F"/>
    <w:rsid w:val="00FC321B"/>
    <w:rsid w:val="00FC324C"/>
    <w:rsid w:val="00FC3266"/>
    <w:rsid w:val="00FC3309"/>
    <w:rsid w:val="00FC3389"/>
    <w:rsid w:val="00FC33A1"/>
    <w:rsid w:val="00FC33B1"/>
    <w:rsid w:val="00FC33FF"/>
    <w:rsid w:val="00FC3697"/>
    <w:rsid w:val="00FC3712"/>
    <w:rsid w:val="00FC3814"/>
    <w:rsid w:val="00FC381C"/>
    <w:rsid w:val="00FC38A6"/>
    <w:rsid w:val="00FC3A7D"/>
    <w:rsid w:val="00FC3A88"/>
    <w:rsid w:val="00FC3A93"/>
    <w:rsid w:val="00FC3B04"/>
    <w:rsid w:val="00FC3CBD"/>
    <w:rsid w:val="00FC3CCB"/>
    <w:rsid w:val="00FC3CDF"/>
    <w:rsid w:val="00FC3D2F"/>
    <w:rsid w:val="00FC3D71"/>
    <w:rsid w:val="00FC3DD3"/>
    <w:rsid w:val="00FC3E70"/>
    <w:rsid w:val="00FC3F13"/>
    <w:rsid w:val="00FC3F65"/>
    <w:rsid w:val="00FC3FCD"/>
    <w:rsid w:val="00FC4023"/>
    <w:rsid w:val="00FC4055"/>
    <w:rsid w:val="00FC40B5"/>
    <w:rsid w:val="00FC410F"/>
    <w:rsid w:val="00FC4273"/>
    <w:rsid w:val="00FC4343"/>
    <w:rsid w:val="00FC449E"/>
    <w:rsid w:val="00FC45A5"/>
    <w:rsid w:val="00FC45D2"/>
    <w:rsid w:val="00FC4667"/>
    <w:rsid w:val="00FC470B"/>
    <w:rsid w:val="00FC4715"/>
    <w:rsid w:val="00FC472D"/>
    <w:rsid w:val="00FC47CD"/>
    <w:rsid w:val="00FC4864"/>
    <w:rsid w:val="00FC48E8"/>
    <w:rsid w:val="00FC4980"/>
    <w:rsid w:val="00FC49A7"/>
    <w:rsid w:val="00FC49A8"/>
    <w:rsid w:val="00FC49C7"/>
    <w:rsid w:val="00FC4AE6"/>
    <w:rsid w:val="00FC4BBF"/>
    <w:rsid w:val="00FC4C0C"/>
    <w:rsid w:val="00FC4C45"/>
    <w:rsid w:val="00FC4CAB"/>
    <w:rsid w:val="00FC4CCC"/>
    <w:rsid w:val="00FC4D77"/>
    <w:rsid w:val="00FC4DE8"/>
    <w:rsid w:val="00FC4E0D"/>
    <w:rsid w:val="00FC4E81"/>
    <w:rsid w:val="00FC4EBE"/>
    <w:rsid w:val="00FC4EE7"/>
    <w:rsid w:val="00FC4F44"/>
    <w:rsid w:val="00FC4F83"/>
    <w:rsid w:val="00FC504A"/>
    <w:rsid w:val="00FC50BA"/>
    <w:rsid w:val="00FC5111"/>
    <w:rsid w:val="00FC51F8"/>
    <w:rsid w:val="00FC5230"/>
    <w:rsid w:val="00FC5279"/>
    <w:rsid w:val="00FC52E8"/>
    <w:rsid w:val="00FC5353"/>
    <w:rsid w:val="00FC54F9"/>
    <w:rsid w:val="00FC54FD"/>
    <w:rsid w:val="00FC5533"/>
    <w:rsid w:val="00FC55A8"/>
    <w:rsid w:val="00FC55B3"/>
    <w:rsid w:val="00FC564B"/>
    <w:rsid w:val="00FC56D4"/>
    <w:rsid w:val="00FC57E5"/>
    <w:rsid w:val="00FC58B7"/>
    <w:rsid w:val="00FC58E1"/>
    <w:rsid w:val="00FC590B"/>
    <w:rsid w:val="00FC5922"/>
    <w:rsid w:val="00FC598F"/>
    <w:rsid w:val="00FC599D"/>
    <w:rsid w:val="00FC5B5B"/>
    <w:rsid w:val="00FC5C79"/>
    <w:rsid w:val="00FC5CAE"/>
    <w:rsid w:val="00FC5CD6"/>
    <w:rsid w:val="00FC5D7D"/>
    <w:rsid w:val="00FC5D9B"/>
    <w:rsid w:val="00FC5D9C"/>
    <w:rsid w:val="00FC5DBD"/>
    <w:rsid w:val="00FC5DC4"/>
    <w:rsid w:val="00FC5EFD"/>
    <w:rsid w:val="00FC5F13"/>
    <w:rsid w:val="00FC5F70"/>
    <w:rsid w:val="00FC6097"/>
    <w:rsid w:val="00FC60CA"/>
    <w:rsid w:val="00FC6162"/>
    <w:rsid w:val="00FC61E7"/>
    <w:rsid w:val="00FC624B"/>
    <w:rsid w:val="00FC628A"/>
    <w:rsid w:val="00FC62A1"/>
    <w:rsid w:val="00FC62B8"/>
    <w:rsid w:val="00FC62E5"/>
    <w:rsid w:val="00FC653E"/>
    <w:rsid w:val="00FC65F3"/>
    <w:rsid w:val="00FC66D7"/>
    <w:rsid w:val="00FC670F"/>
    <w:rsid w:val="00FC680A"/>
    <w:rsid w:val="00FC686F"/>
    <w:rsid w:val="00FC68A5"/>
    <w:rsid w:val="00FC68AE"/>
    <w:rsid w:val="00FC6929"/>
    <w:rsid w:val="00FC6948"/>
    <w:rsid w:val="00FC697D"/>
    <w:rsid w:val="00FC69C0"/>
    <w:rsid w:val="00FC6A05"/>
    <w:rsid w:val="00FC6A20"/>
    <w:rsid w:val="00FC6A5A"/>
    <w:rsid w:val="00FC6AC7"/>
    <w:rsid w:val="00FC6BA6"/>
    <w:rsid w:val="00FC6BC7"/>
    <w:rsid w:val="00FC6C27"/>
    <w:rsid w:val="00FC6D55"/>
    <w:rsid w:val="00FC6D77"/>
    <w:rsid w:val="00FC6EBF"/>
    <w:rsid w:val="00FC6F2D"/>
    <w:rsid w:val="00FC6F42"/>
    <w:rsid w:val="00FC6F73"/>
    <w:rsid w:val="00FC6FB1"/>
    <w:rsid w:val="00FC7013"/>
    <w:rsid w:val="00FC70AD"/>
    <w:rsid w:val="00FC7187"/>
    <w:rsid w:val="00FC71D8"/>
    <w:rsid w:val="00FC72A7"/>
    <w:rsid w:val="00FC744A"/>
    <w:rsid w:val="00FC7539"/>
    <w:rsid w:val="00FC7577"/>
    <w:rsid w:val="00FC7592"/>
    <w:rsid w:val="00FC75BA"/>
    <w:rsid w:val="00FC7729"/>
    <w:rsid w:val="00FC7756"/>
    <w:rsid w:val="00FC7841"/>
    <w:rsid w:val="00FC7844"/>
    <w:rsid w:val="00FC7919"/>
    <w:rsid w:val="00FC798B"/>
    <w:rsid w:val="00FC79A0"/>
    <w:rsid w:val="00FC7A01"/>
    <w:rsid w:val="00FC7A64"/>
    <w:rsid w:val="00FC7AAB"/>
    <w:rsid w:val="00FC7AC4"/>
    <w:rsid w:val="00FC7B48"/>
    <w:rsid w:val="00FC7BA2"/>
    <w:rsid w:val="00FC7C2A"/>
    <w:rsid w:val="00FC7C6C"/>
    <w:rsid w:val="00FC7E65"/>
    <w:rsid w:val="00FC7EB7"/>
    <w:rsid w:val="00FC7ED6"/>
    <w:rsid w:val="00FC7F0A"/>
    <w:rsid w:val="00FC7FCC"/>
    <w:rsid w:val="00FC8138"/>
    <w:rsid w:val="00FD0019"/>
    <w:rsid w:val="00FD0077"/>
    <w:rsid w:val="00FD0083"/>
    <w:rsid w:val="00FD00C4"/>
    <w:rsid w:val="00FD02B1"/>
    <w:rsid w:val="00FD03EC"/>
    <w:rsid w:val="00FD04C1"/>
    <w:rsid w:val="00FD0545"/>
    <w:rsid w:val="00FD05C2"/>
    <w:rsid w:val="00FD0699"/>
    <w:rsid w:val="00FD06B3"/>
    <w:rsid w:val="00FD0722"/>
    <w:rsid w:val="00FD0739"/>
    <w:rsid w:val="00FD0790"/>
    <w:rsid w:val="00FD07A4"/>
    <w:rsid w:val="00FD087D"/>
    <w:rsid w:val="00FD08E0"/>
    <w:rsid w:val="00FD0925"/>
    <w:rsid w:val="00FD0937"/>
    <w:rsid w:val="00FD097E"/>
    <w:rsid w:val="00FD098E"/>
    <w:rsid w:val="00FD0AEE"/>
    <w:rsid w:val="00FD0AFD"/>
    <w:rsid w:val="00FD0B84"/>
    <w:rsid w:val="00FD0C68"/>
    <w:rsid w:val="00FD0CA7"/>
    <w:rsid w:val="00FD0D60"/>
    <w:rsid w:val="00FD0DAD"/>
    <w:rsid w:val="00FD0EEC"/>
    <w:rsid w:val="00FD10D5"/>
    <w:rsid w:val="00FD1132"/>
    <w:rsid w:val="00FD1151"/>
    <w:rsid w:val="00FD116F"/>
    <w:rsid w:val="00FD1216"/>
    <w:rsid w:val="00FD13E3"/>
    <w:rsid w:val="00FD143C"/>
    <w:rsid w:val="00FD1481"/>
    <w:rsid w:val="00FD14A0"/>
    <w:rsid w:val="00FD14B3"/>
    <w:rsid w:val="00FD150D"/>
    <w:rsid w:val="00FD1585"/>
    <w:rsid w:val="00FD15F1"/>
    <w:rsid w:val="00FD15FE"/>
    <w:rsid w:val="00FD1604"/>
    <w:rsid w:val="00FD1670"/>
    <w:rsid w:val="00FD1703"/>
    <w:rsid w:val="00FD1829"/>
    <w:rsid w:val="00FD1874"/>
    <w:rsid w:val="00FD1884"/>
    <w:rsid w:val="00FD188D"/>
    <w:rsid w:val="00FD18B5"/>
    <w:rsid w:val="00FD18D4"/>
    <w:rsid w:val="00FD18DD"/>
    <w:rsid w:val="00FD18F8"/>
    <w:rsid w:val="00FD1930"/>
    <w:rsid w:val="00FD1B8A"/>
    <w:rsid w:val="00FD1BF8"/>
    <w:rsid w:val="00FD1C46"/>
    <w:rsid w:val="00FD1C5D"/>
    <w:rsid w:val="00FD1E29"/>
    <w:rsid w:val="00FD1EEB"/>
    <w:rsid w:val="00FD1F0C"/>
    <w:rsid w:val="00FD1F38"/>
    <w:rsid w:val="00FD1F53"/>
    <w:rsid w:val="00FD1F8A"/>
    <w:rsid w:val="00FD1FB6"/>
    <w:rsid w:val="00FD203C"/>
    <w:rsid w:val="00FD2066"/>
    <w:rsid w:val="00FD206F"/>
    <w:rsid w:val="00FD20A3"/>
    <w:rsid w:val="00FD20DB"/>
    <w:rsid w:val="00FD20F0"/>
    <w:rsid w:val="00FD237C"/>
    <w:rsid w:val="00FD23B4"/>
    <w:rsid w:val="00FD23D9"/>
    <w:rsid w:val="00FD23E8"/>
    <w:rsid w:val="00FD23E9"/>
    <w:rsid w:val="00FD24A2"/>
    <w:rsid w:val="00FD24ED"/>
    <w:rsid w:val="00FD258B"/>
    <w:rsid w:val="00FD25E1"/>
    <w:rsid w:val="00FD27FA"/>
    <w:rsid w:val="00FD2834"/>
    <w:rsid w:val="00FD2858"/>
    <w:rsid w:val="00FD29A9"/>
    <w:rsid w:val="00FD2A7E"/>
    <w:rsid w:val="00FD2AF0"/>
    <w:rsid w:val="00FD2B0E"/>
    <w:rsid w:val="00FD2C70"/>
    <w:rsid w:val="00FD2C8D"/>
    <w:rsid w:val="00FD2DCC"/>
    <w:rsid w:val="00FD2DE0"/>
    <w:rsid w:val="00FD2E7F"/>
    <w:rsid w:val="00FD2F73"/>
    <w:rsid w:val="00FD3031"/>
    <w:rsid w:val="00FD3057"/>
    <w:rsid w:val="00FD3084"/>
    <w:rsid w:val="00FD323A"/>
    <w:rsid w:val="00FD330A"/>
    <w:rsid w:val="00FD330E"/>
    <w:rsid w:val="00FD331B"/>
    <w:rsid w:val="00FD3383"/>
    <w:rsid w:val="00FD33CE"/>
    <w:rsid w:val="00FD33EE"/>
    <w:rsid w:val="00FD3473"/>
    <w:rsid w:val="00FD3546"/>
    <w:rsid w:val="00FD35F4"/>
    <w:rsid w:val="00FD3682"/>
    <w:rsid w:val="00FD3778"/>
    <w:rsid w:val="00FD3797"/>
    <w:rsid w:val="00FD387D"/>
    <w:rsid w:val="00FD389C"/>
    <w:rsid w:val="00FD397E"/>
    <w:rsid w:val="00FD3A69"/>
    <w:rsid w:val="00FD3AD9"/>
    <w:rsid w:val="00FD3B4B"/>
    <w:rsid w:val="00FD3B9E"/>
    <w:rsid w:val="00FD3BE5"/>
    <w:rsid w:val="00FD3CDF"/>
    <w:rsid w:val="00FD3D0A"/>
    <w:rsid w:val="00FD3D10"/>
    <w:rsid w:val="00FD3E42"/>
    <w:rsid w:val="00FD3F30"/>
    <w:rsid w:val="00FD3F39"/>
    <w:rsid w:val="00FD3F4D"/>
    <w:rsid w:val="00FD4044"/>
    <w:rsid w:val="00FD4061"/>
    <w:rsid w:val="00FD409B"/>
    <w:rsid w:val="00FD40B1"/>
    <w:rsid w:val="00FD416C"/>
    <w:rsid w:val="00FD4203"/>
    <w:rsid w:val="00FD4267"/>
    <w:rsid w:val="00FD4287"/>
    <w:rsid w:val="00FD42E0"/>
    <w:rsid w:val="00FD4308"/>
    <w:rsid w:val="00FD4333"/>
    <w:rsid w:val="00FD4402"/>
    <w:rsid w:val="00FD456D"/>
    <w:rsid w:val="00FD456E"/>
    <w:rsid w:val="00FD45B8"/>
    <w:rsid w:val="00FD45D6"/>
    <w:rsid w:val="00FD46B1"/>
    <w:rsid w:val="00FD482C"/>
    <w:rsid w:val="00FD48C2"/>
    <w:rsid w:val="00FD494C"/>
    <w:rsid w:val="00FD4973"/>
    <w:rsid w:val="00FD4981"/>
    <w:rsid w:val="00FD49D4"/>
    <w:rsid w:val="00FD4B8E"/>
    <w:rsid w:val="00FD4C12"/>
    <w:rsid w:val="00FD4C2D"/>
    <w:rsid w:val="00FD4C4E"/>
    <w:rsid w:val="00FD4CA2"/>
    <w:rsid w:val="00FD4CA4"/>
    <w:rsid w:val="00FD4CFE"/>
    <w:rsid w:val="00FD4D35"/>
    <w:rsid w:val="00FD4D6E"/>
    <w:rsid w:val="00FD4D94"/>
    <w:rsid w:val="00FD4EAA"/>
    <w:rsid w:val="00FD4FF7"/>
    <w:rsid w:val="00FD50AB"/>
    <w:rsid w:val="00FD50BE"/>
    <w:rsid w:val="00FD50D9"/>
    <w:rsid w:val="00FD510A"/>
    <w:rsid w:val="00FD5175"/>
    <w:rsid w:val="00FD5176"/>
    <w:rsid w:val="00FD5218"/>
    <w:rsid w:val="00FD525C"/>
    <w:rsid w:val="00FD5293"/>
    <w:rsid w:val="00FD52A4"/>
    <w:rsid w:val="00FD5305"/>
    <w:rsid w:val="00FD5374"/>
    <w:rsid w:val="00FD53FF"/>
    <w:rsid w:val="00FD5452"/>
    <w:rsid w:val="00FD54AB"/>
    <w:rsid w:val="00FD5587"/>
    <w:rsid w:val="00FD55B6"/>
    <w:rsid w:val="00FD56E9"/>
    <w:rsid w:val="00FD575B"/>
    <w:rsid w:val="00FD57B6"/>
    <w:rsid w:val="00FD57BA"/>
    <w:rsid w:val="00FD57BE"/>
    <w:rsid w:val="00FD5839"/>
    <w:rsid w:val="00FD58D8"/>
    <w:rsid w:val="00FD595D"/>
    <w:rsid w:val="00FD5AF3"/>
    <w:rsid w:val="00FD5B7F"/>
    <w:rsid w:val="00FD5D47"/>
    <w:rsid w:val="00FD5E0B"/>
    <w:rsid w:val="00FD5E8F"/>
    <w:rsid w:val="00FD5FE8"/>
    <w:rsid w:val="00FD60B8"/>
    <w:rsid w:val="00FD60C4"/>
    <w:rsid w:val="00FD6111"/>
    <w:rsid w:val="00FD6123"/>
    <w:rsid w:val="00FD613D"/>
    <w:rsid w:val="00FD623B"/>
    <w:rsid w:val="00FD6369"/>
    <w:rsid w:val="00FD6383"/>
    <w:rsid w:val="00FD63AC"/>
    <w:rsid w:val="00FD646D"/>
    <w:rsid w:val="00FD64F0"/>
    <w:rsid w:val="00FD64FF"/>
    <w:rsid w:val="00FD6676"/>
    <w:rsid w:val="00FD667D"/>
    <w:rsid w:val="00FD6718"/>
    <w:rsid w:val="00FD6788"/>
    <w:rsid w:val="00FD6792"/>
    <w:rsid w:val="00FD67B3"/>
    <w:rsid w:val="00FD6888"/>
    <w:rsid w:val="00FD68B6"/>
    <w:rsid w:val="00FD68BA"/>
    <w:rsid w:val="00FD6916"/>
    <w:rsid w:val="00FD693D"/>
    <w:rsid w:val="00FD6992"/>
    <w:rsid w:val="00FD6AD8"/>
    <w:rsid w:val="00FD6B0D"/>
    <w:rsid w:val="00FD6B40"/>
    <w:rsid w:val="00FD6B9A"/>
    <w:rsid w:val="00FD6C7C"/>
    <w:rsid w:val="00FD6C7D"/>
    <w:rsid w:val="00FD6CF0"/>
    <w:rsid w:val="00FD6E63"/>
    <w:rsid w:val="00FD6F2C"/>
    <w:rsid w:val="00FD6F5E"/>
    <w:rsid w:val="00FD6F6F"/>
    <w:rsid w:val="00FD6F92"/>
    <w:rsid w:val="00FD6FC0"/>
    <w:rsid w:val="00FD6FD7"/>
    <w:rsid w:val="00FD6FE7"/>
    <w:rsid w:val="00FD7029"/>
    <w:rsid w:val="00FD7034"/>
    <w:rsid w:val="00FD704A"/>
    <w:rsid w:val="00FD716F"/>
    <w:rsid w:val="00FD7220"/>
    <w:rsid w:val="00FD7265"/>
    <w:rsid w:val="00FD72B8"/>
    <w:rsid w:val="00FD7341"/>
    <w:rsid w:val="00FD7377"/>
    <w:rsid w:val="00FD74F1"/>
    <w:rsid w:val="00FD75D8"/>
    <w:rsid w:val="00FD75D9"/>
    <w:rsid w:val="00FD766D"/>
    <w:rsid w:val="00FD76F7"/>
    <w:rsid w:val="00FD7721"/>
    <w:rsid w:val="00FD772A"/>
    <w:rsid w:val="00FD7783"/>
    <w:rsid w:val="00FD77CE"/>
    <w:rsid w:val="00FD7860"/>
    <w:rsid w:val="00FD79D4"/>
    <w:rsid w:val="00FD79DB"/>
    <w:rsid w:val="00FD7ABA"/>
    <w:rsid w:val="00FD7AC4"/>
    <w:rsid w:val="00FD7B95"/>
    <w:rsid w:val="00FD7BB8"/>
    <w:rsid w:val="00FD7BCF"/>
    <w:rsid w:val="00FD7CBA"/>
    <w:rsid w:val="00FD7DEB"/>
    <w:rsid w:val="00FD7DF2"/>
    <w:rsid w:val="00FD7E17"/>
    <w:rsid w:val="00FD7E21"/>
    <w:rsid w:val="00FD7F58"/>
    <w:rsid w:val="00FD7F9E"/>
    <w:rsid w:val="00FDD55F"/>
    <w:rsid w:val="00FE00C0"/>
    <w:rsid w:val="00FE0132"/>
    <w:rsid w:val="00FE01D7"/>
    <w:rsid w:val="00FE02EC"/>
    <w:rsid w:val="00FE03B0"/>
    <w:rsid w:val="00FE0425"/>
    <w:rsid w:val="00FE0447"/>
    <w:rsid w:val="00FE04DA"/>
    <w:rsid w:val="00FE05D2"/>
    <w:rsid w:val="00FE062B"/>
    <w:rsid w:val="00FE06D2"/>
    <w:rsid w:val="00FE073F"/>
    <w:rsid w:val="00FE0812"/>
    <w:rsid w:val="00FE0884"/>
    <w:rsid w:val="00FE092F"/>
    <w:rsid w:val="00FE093E"/>
    <w:rsid w:val="00FE0947"/>
    <w:rsid w:val="00FE09A0"/>
    <w:rsid w:val="00FE0A32"/>
    <w:rsid w:val="00FE0C55"/>
    <w:rsid w:val="00FE0CBD"/>
    <w:rsid w:val="00FE0EAE"/>
    <w:rsid w:val="00FE0F0D"/>
    <w:rsid w:val="00FE0FAF"/>
    <w:rsid w:val="00FE1042"/>
    <w:rsid w:val="00FE10D3"/>
    <w:rsid w:val="00FE1120"/>
    <w:rsid w:val="00FE11F7"/>
    <w:rsid w:val="00FE1269"/>
    <w:rsid w:val="00FE12BE"/>
    <w:rsid w:val="00FE1349"/>
    <w:rsid w:val="00FE1353"/>
    <w:rsid w:val="00FE13A5"/>
    <w:rsid w:val="00FE13B8"/>
    <w:rsid w:val="00FE1436"/>
    <w:rsid w:val="00FE1553"/>
    <w:rsid w:val="00FE15EE"/>
    <w:rsid w:val="00FE165B"/>
    <w:rsid w:val="00FE1693"/>
    <w:rsid w:val="00FE1719"/>
    <w:rsid w:val="00FE1744"/>
    <w:rsid w:val="00FE1759"/>
    <w:rsid w:val="00FE175D"/>
    <w:rsid w:val="00FE177B"/>
    <w:rsid w:val="00FE195A"/>
    <w:rsid w:val="00FE1964"/>
    <w:rsid w:val="00FE19FC"/>
    <w:rsid w:val="00FE1A13"/>
    <w:rsid w:val="00FE1A67"/>
    <w:rsid w:val="00FE1AC7"/>
    <w:rsid w:val="00FE1B53"/>
    <w:rsid w:val="00FE1B6D"/>
    <w:rsid w:val="00FE1B7A"/>
    <w:rsid w:val="00FE1BD4"/>
    <w:rsid w:val="00FE1BF3"/>
    <w:rsid w:val="00FE1C68"/>
    <w:rsid w:val="00FE1C8C"/>
    <w:rsid w:val="00FE1C90"/>
    <w:rsid w:val="00FE1D09"/>
    <w:rsid w:val="00FE1D58"/>
    <w:rsid w:val="00FE1DA2"/>
    <w:rsid w:val="00FE1DBF"/>
    <w:rsid w:val="00FE1DE2"/>
    <w:rsid w:val="00FE1DF7"/>
    <w:rsid w:val="00FE1E1D"/>
    <w:rsid w:val="00FE1FFC"/>
    <w:rsid w:val="00FE207C"/>
    <w:rsid w:val="00FE20B4"/>
    <w:rsid w:val="00FE2220"/>
    <w:rsid w:val="00FE22FF"/>
    <w:rsid w:val="00FE236F"/>
    <w:rsid w:val="00FE23AD"/>
    <w:rsid w:val="00FE23EC"/>
    <w:rsid w:val="00FE23F8"/>
    <w:rsid w:val="00FE2405"/>
    <w:rsid w:val="00FE2456"/>
    <w:rsid w:val="00FE246B"/>
    <w:rsid w:val="00FE252F"/>
    <w:rsid w:val="00FE2538"/>
    <w:rsid w:val="00FE2569"/>
    <w:rsid w:val="00FE2636"/>
    <w:rsid w:val="00FE2667"/>
    <w:rsid w:val="00FE2695"/>
    <w:rsid w:val="00FE26C0"/>
    <w:rsid w:val="00FE2710"/>
    <w:rsid w:val="00FE2733"/>
    <w:rsid w:val="00FE2768"/>
    <w:rsid w:val="00FE2791"/>
    <w:rsid w:val="00FE2839"/>
    <w:rsid w:val="00FE286A"/>
    <w:rsid w:val="00FE28DA"/>
    <w:rsid w:val="00FE29B0"/>
    <w:rsid w:val="00FE2AA4"/>
    <w:rsid w:val="00FE2AD6"/>
    <w:rsid w:val="00FE2B08"/>
    <w:rsid w:val="00FE2B6F"/>
    <w:rsid w:val="00FE2BA6"/>
    <w:rsid w:val="00FE2BAC"/>
    <w:rsid w:val="00FE2C56"/>
    <w:rsid w:val="00FE2D2D"/>
    <w:rsid w:val="00FE2D36"/>
    <w:rsid w:val="00FE2D38"/>
    <w:rsid w:val="00FE2D8B"/>
    <w:rsid w:val="00FE2DC1"/>
    <w:rsid w:val="00FE2DC2"/>
    <w:rsid w:val="00FE2E71"/>
    <w:rsid w:val="00FE2E93"/>
    <w:rsid w:val="00FE2EB4"/>
    <w:rsid w:val="00FE2EE3"/>
    <w:rsid w:val="00FE2FBB"/>
    <w:rsid w:val="00FE3017"/>
    <w:rsid w:val="00FE3048"/>
    <w:rsid w:val="00FE3076"/>
    <w:rsid w:val="00FE3084"/>
    <w:rsid w:val="00FE3112"/>
    <w:rsid w:val="00FE318E"/>
    <w:rsid w:val="00FE3197"/>
    <w:rsid w:val="00FE325A"/>
    <w:rsid w:val="00FE325E"/>
    <w:rsid w:val="00FE3290"/>
    <w:rsid w:val="00FE32F5"/>
    <w:rsid w:val="00FE3359"/>
    <w:rsid w:val="00FE33CF"/>
    <w:rsid w:val="00FE3403"/>
    <w:rsid w:val="00FE34B6"/>
    <w:rsid w:val="00FE34E7"/>
    <w:rsid w:val="00FE35DB"/>
    <w:rsid w:val="00FE3629"/>
    <w:rsid w:val="00FE3644"/>
    <w:rsid w:val="00FE3727"/>
    <w:rsid w:val="00FE3772"/>
    <w:rsid w:val="00FE37A5"/>
    <w:rsid w:val="00FE37D5"/>
    <w:rsid w:val="00FE3824"/>
    <w:rsid w:val="00FE384B"/>
    <w:rsid w:val="00FE3895"/>
    <w:rsid w:val="00FE3898"/>
    <w:rsid w:val="00FE393D"/>
    <w:rsid w:val="00FE3974"/>
    <w:rsid w:val="00FE3A25"/>
    <w:rsid w:val="00FE3A32"/>
    <w:rsid w:val="00FE3ABB"/>
    <w:rsid w:val="00FE3AD2"/>
    <w:rsid w:val="00FE3B01"/>
    <w:rsid w:val="00FE3B04"/>
    <w:rsid w:val="00FE3B12"/>
    <w:rsid w:val="00FE3D51"/>
    <w:rsid w:val="00FE3D58"/>
    <w:rsid w:val="00FE3D62"/>
    <w:rsid w:val="00FE3DA9"/>
    <w:rsid w:val="00FE3DE3"/>
    <w:rsid w:val="00FE3E02"/>
    <w:rsid w:val="00FE3E88"/>
    <w:rsid w:val="00FE3EAD"/>
    <w:rsid w:val="00FE3EE4"/>
    <w:rsid w:val="00FE3F2B"/>
    <w:rsid w:val="00FE3F2F"/>
    <w:rsid w:val="00FE404F"/>
    <w:rsid w:val="00FE40F5"/>
    <w:rsid w:val="00FE415F"/>
    <w:rsid w:val="00FE418F"/>
    <w:rsid w:val="00FE41A3"/>
    <w:rsid w:val="00FE4292"/>
    <w:rsid w:val="00FE42AD"/>
    <w:rsid w:val="00FE43B0"/>
    <w:rsid w:val="00FE4464"/>
    <w:rsid w:val="00FE448B"/>
    <w:rsid w:val="00FE465A"/>
    <w:rsid w:val="00FE4720"/>
    <w:rsid w:val="00FE4750"/>
    <w:rsid w:val="00FE47BA"/>
    <w:rsid w:val="00FE481D"/>
    <w:rsid w:val="00FE489F"/>
    <w:rsid w:val="00FE49F2"/>
    <w:rsid w:val="00FE4A3E"/>
    <w:rsid w:val="00FE4A8E"/>
    <w:rsid w:val="00FE4AF9"/>
    <w:rsid w:val="00FE4B92"/>
    <w:rsid w:val="00FE4BB8"/>
    <w:rsid w:val="00FE4C48"/>
    <w:rsid w:val="00FE4C67"/>
    <w:rsid w:val="00FE4D07"/>
    <w:rsid w:val="00FE4D31"/>
    <w:rsid w:val="00FE4D82"/>
    <w:rsid w:val="00FE4DF8"/>
    <w:rsid w:val="00FE4EB8"/>
    <w:rsid w:val="00FE4ED1"/>
    <w:rsid w:val="00FE4F35"/>
    <w:rsid w:val="00FE5082"/>
    <w:rsid w:val="00FE50F2"/>
    <w:rsid w:val="00FE515E"/>
    <w:rsid w:val="00FE52B6"/>
    <w:rsid w:val="00FE52D7"/>
    <w:rsid w:val="00FE5349"/>
    <w:rsid w:val="00FE534C"/>
    <w:rsid w:val="00FE542C"/>
    <w:rsid w:val="00FE55BD"/>
    <w:rsid w:val="00FE55E5"/>
    <w:rsid w:val="00FE55F6"/>
    <w:rsid w:val="00FE561E"/>
    <w:rsid w:val="00FE582B"/>
    <w:rsid w:val="00FE5941"/>
    <w:rsid w:val="00FE596E"/>
    <w:rsid w:val="00FE5973"/>
    <w:rsid w:val="00FE5AF1"/>
    <w:rsid w:val="00FE5C06"/>
    <w:rsid w:val="00FE5D26"/>
    <w:rsid w:val="00FE5E8A"/>
    <w:rsid w:val="00FE5E90"/>
    <w:rsid w:val="00FE6077"/>
    <w:rsid w:val="00FE61EE"/>
    <w:rsid w:val="00FE62C4"/>
    <w:rsid w:val="00FE6394"/>
    <w:rsid w:val="00FE6409"/>
    <w:rsid w:val="00FE64CB"/>
    <w:rsid w:val="00FE6526"/>
    <w:rsid w:val="00FE6534"/>
    <w:rsid w:val="00FE65E8"/>
    <w:rsid w:val="00FE661A"/>
    <w:rsid w:val="00FE668F"/>
    <w:rsid w:val="00FE66AC"/>
    <w:rsid w:val="00FE66BF"/>
    <w:rsid w:val="00FE66D4"/>
    <w:rsid w:val="00FE6770"/>
    <w:rsid w:val="00FE6776"/>
    <w:rsid w:val="00FE6783"/>
    <w:rsid w:val="00FE6849"/>
    <w:rsid w:val="00FE6885"/>
    <w:rsid w:val="00FE68F1"/>
    <w:rsid w:val="00FE6932"/>
    <w:rsid w:val="00FE693C"/>
    <w:rsid w:val="00FE6AF3"/>
    <w:rsid w:val="00FE6BB3"/>
    <w:rsid w:val="00FE6BC3"/>
    <w:rsid w:val="00FE6BD1"/>
    <w:rsid w:val="00FE6BE9"/>
    <w:rsid w:val="00FE6C0B"/>
    <w:rsid w:val="00FE6C55"/>
    <w:rsid w:val="00FE6CBF"/>
    <w:rsid w:val="00FE6CD1"/>
    <w:rsid w:val="00FE6D4D"/>
    <w:rsid w:val="00FE6E61"/>
    <w:rsid w:val="00FE6EC4"/>
    <w:rsid w:val="00FE7063"/>
    <w:rsid w:val="00FE7092"/>
    <w:rsid w:val="00FE70CC"/>
    <w:rsid w:val="00FE7108"/>
    <w:rsid w:val="00FE721A"/>
    <w:rsid w:val="00FE728D"/>
    <w:rsid w:val="00FE7349"/>
    <w:rsid w:val="00FE7529"/>
    <w:rsid w:val="00FE7553"/>
    <w:rsid w:val="00FE75A0"/>
    <w:rsid w:val="00FE75FC"/>
    <w:rsid w:val="00FE76E5"/>
    <w:rsid w:val="00FE76F7"/>
    <w:rsid w:val="00FE7734"/>
    <w:rsid w:val="00FE77BA"/>
    <w:rsid w:val="00FE7991"/>
    <w:rsid w:val="00FE7B3A"/>
    <w:rsid w:val="00FE7D4E"/>
    <w:rsid w:val="00FE7E07"/>
    <w:rsid w:val="00FE7E60"/>
    <w:rsid w:val="00FE7EF1"/>
    <w:rsid w:val="00FE7EFA"/>
    <w:rsid w:val="00FE7F09"/>
    <w:rsid w:val="00FE7F5D"/>
    <w:rsid w:val="00FE7FE0"/>
    <w:rsid w:val="00FF0109"/>
    <w:rsid w:val="00FF023A"/>
    <w:rsid w:val="00FF0274"/>
    <w:rsid w:val="00FF0280"/>
    <w:rsid w:val="00FF02AD"/>
    <w:rsid w:val="00FF0352"/>
    <w:rsid w:val="00FF0380"/>
    <w:rsid w:val="00FF03A3"/>
    <w:rsid w:val="00FF0415"/>
    <w:rsid w:val="00FF0432"/>
    <w:rsid w:val="00FF0583"/>
    <w:rsid w:val="00FF0598"/>
    <w:rsid w:val="00FF0667"/>
    <w:rsid w:val="00FF0674"/>
    <w:rsid w:val="00FF06F7"/>
    <w:rsid w:val="00FF0732"/>
    <w:rsid w:val="00FF07B3"/>
    <w:rsid w:val="00FF096E"/>
    <w:rsid w:val="00FF09F7"/>
    <w:rsid w:val="00FF0AFC"/>
    <w:rsid w:val="00FF0C90"/>
    <w:rsid w:val="00FF0CCB"/>
    <w:rsid w:val="00FF0D23"/>
    <w:rsid w:val="00FF0D26"/>
    <w:rsid w:val="00FF0D4D"/>
    <w:rsid w:val="00FF0E0E"/>
    <w:rsid w:val="00FF0E59"/>
    <w:rsid w:val="00FF0E73"/>
    <w:rsid w:val="00FF0ECA"/>
    <w:rsid w:val="00FF0F82"/>
    <w:rsid w:val="00FF0FD2"/>
    <w:rsid w:val="00FF1019"/>
    <w:rsid w:val="00FF104D"/>
    <w:rsid w:val="00FF114D"/>
    <w:rsid w:val="00FF11BD"/>
    <w:rsid w:val="00FF11F0"/>
    <w:rsid w:val="00FF1354"/>
    <w:rsid w:val="00FF135E"/>
    <w:rsid w:val="00FF14A4"/>
    <w:rsid w:val="00FF15CA"/>
    <w:rsid w:val="00FF1626"/>
    <w:rsid w:val="00FF1628"/>
    <w:rsid w:val="00FF1654"/>
    <w:rsid w:val="00FF1677"/>
    <w:rsid w:val="00FF16E1"/>
    <w:rsid w:val="00FF170D"/>
    <w:rsid w:val="00FF174F"/>
    <w:rsid w:val="00FF176F"/>
    <w:rsid w:val="00FF1796"/>
    <w:rsid w:val="00FF1849"/>
    <w:rsid w:val="00FF184C"/>
    <w:rsid w:val="00FF18E3"/>
    <w:rsid w:val="00FF193E"/>
    <w:rsid w:val="00FF1999"/>
    <w:rsid w:val="00FF1A1F"/>
    <w:rsid w:val="00FF1A70"/>
    <w:rsid w:val="00FF1AD7"/>
    <w:rsid w:val="00FF1B30"/>
    <w:rsid w:val="00FF1BAB"/>
    <w:rsid w:val="00FF1CB0"/>
    <w:rsid w:val="00FF1D7E"/>
    <w:rsid w:val="00FF1E31"/>
    <w:rsid w:val="00FF1E38"/>
    <w:rsid w:val="00FF1E5F"/>
    <w:rsid w:val="00FF1EB3"/>
    <w:rsid w:val="00FF1F3A"/>
    <w:rsid w:val="00FF1F8A"/>
    <w:rsid w:val="00FF1F8B"/>
    <w:rsid w:val="00FF20FD"/>
    <w:rsid w:val="00FF21DF"/>
    <w:rsid w:val="00FF220A"/>
    <w:rsid w:val="00FF2277"/>
    <w:rsid w:val="00FF22A9"/>
    <w:rsid w:val="00FF22C7"/>
    <w:rsid w:val="00FF2334"/>
    <w:rsid w:val="00FF234E"/>
    <w:rsid w:val="00FF23A9"/>
    <w:rsid w:val="00FF23B1"/>
    <w:rsid w:val="00FF23BA"/>
    <w:rsid w:val="00FF23FC"/>
    <w:rsid w:val="00FF254A"/>
    <w:rsid w:val="00FF25BD"/>
    <w:rsid w:val="00FF26B7"/>
    <w:rsid w:val="00FF286E"/>
    <w:rsid w:val="00FF287E"/>
    <w:rsid w:val="00FF2978"/>
    <w:rsid w:val="00FF298D"/>
    <w:rsid w:val="00FF299D"/>
    <w:rsid w:val="00FF2A5C"/>
    <w:rsid w:val="00FF2A8F"/>
    <w:rsid w:val="00FF2B11"/>
    <w:rsid w:val="00FF2BD8"/>
    <w:rsid w:val="00FF2BF7"/>
    <w:rsid w:val="00FF2BFC"/>
    <w:rsid w:val="00FF2C1B"/>
    <w:rsid w:val="00FF2C7F"/>
    <w:rsid w:val="00FF2C82"/>
    <w:rsid w:val="00FF2CD4"/>
    <w:rsid w:val="00FF2D36"/>
    <w:rsid w:val="00FF2D92"/>
    <w:rsid w:val="00FF2DA2"/>
    <w:rsid w:val="00FF2DF4"/>
    <w:rsid w:val="00FF2E22"/>
    <w:rsid w:val="00FF2E91"/>
    <w:rsid w:val="00FF2EC4"/>
    <w:rsid w:val="00FF2EF5"/>
    <w:rsid w:val="00FF2F2A"/>
    <w:rsid w:val="00FF2F66"/>
    <w:rsid w:val="00FF2F77"/>
    <w:rsid w:val="00FF2FAA"/>
    <w:rsid w:val="00FF3037"/>
    <w:rsid w:val="00FF3158"/>
    <w:rsid w:val="00FF31CC"/>
    <w:rsid w:val="00FF3216"/>
    <w:rsid w:val="00FF3271"/>
    <w:rsid w:val="00FF3287"/>
    <w:rsid w:val="00FF3314"/>
    <w:rsid w:val="00FF33F6"/>
    <w:rsid w:val="00FF33FA"/>
    <w:rsid w:val="00FF341F"/>
    <w:rsid w:val="00FF3484"/>
    <w:rsid w:val="00FF34C5"/>
    <w:rsid w:val="00FF3539"/>
    <w:rsid w:val="00FF3562"/>
    <w:rsid w:val="00FF358A"/>
    <w:rsid w:val="00FF3617"/>
    <w:rsid w:val="00FF3674"/>
    <w:rsid w:val="00FF3691"/>
    <w:rsid w:val="00FF36E9"/>
    <w:rsid w:val="00FF36FB"/>
    <w:rsid w:val="00FF37D9"/>
    <w:rsid w:val="00FF3A42"/>
    <w:rsid w:val="00FF3A6B"/>
    <w:rsid w:val="00FF3AAD"/>
    <w:rsid w:val="00FF3AEC"/>
    <w:rsid w:val="00FF3B65"/>
    <w:rsid w:val="00FF3C9A"/>
    <w:rsid w:val="00FF3E16"/>
    <w:rsid w:val="00FF4032"/>
    <w:rsid w:val="00FF4053"/>
    <w:rsid w:val="00FF40E3"/>
    <w:rsid w:val="00FF425F"/>
    <w:rsid w:val="00FF429D"/>
    <w:rsid w:val="00FF43FF"/>
    <w:rsid w:val="00FF4462"/>
    <w:rsid w:val="00FF44B9"/>
    <w:rsid w:val="00FF450F"/>
    <w:rsid w:val="00FF453D"/>
    <w:rsid w:val="00FF457C"/>
    <w:rsid w:val="00FF45AB"/>
    <w:rsid w:val="00FF466F"/>
    <w:rsid w:val="00FF474F"/>
    <w:rsid w:val="00FF47DA"/>
    <w:rsid w:val="00FF47FE"/>
    <w:rsid w:val="00FF485D"/>
    <w:rsid w:val="00FF4870"/>
    <w:rsid w:val="00FF48B0"/>
    <w:rsid w:val="00FF48B3"/>
    <w:rsid w:val="00FF48F7"/>
    <w:rsid w:val="00FF4900"/>
    <w:rsid w:val="00FF4938"/>
    <w:rsid w:val="00FF4941"/>
    <w:rsid w:val="00FF4945"/>
    <w:rsid w:val="00FF495D"/>
    <w:rsid w:val="00FF4A06"/>
    <w:rsid w:val="00FF4A31"/>
    <w:rsid w:val="00FF4A82"/>
    <w:rsid w:val="00FF4AD3"/>
    <w:rsid w:val="00FF4B35"/>
    <w:rsid w:val="00FF4B37"/>
    <w:rsid w:val="00FF4BC9"/>
    <w:rsid w:val="00FF4C17"/>
    <w:rsid w:val="00FF4C44"/>
    <w:rsid w:val="00FF4C74"/>
    <w:rsid w:val="00FF4CA0"/>
    <w:rsid w:val="00FF4CDF"/>
    <w:rsid w:val="00FF4CF9"/>
    <w:rsid w:val="00FF4D50"/>
    <w:rsid w:val="00FF4DBF"/>
    <w:rsid w:val="00FF4DE6"/>
    <w:rsid w:val="00FF4EFE"/>
    <w:rsid w:val="00FF4F2E"/>
    <w:rsid w:val="00FF5031"/>
    <w:rsid w:val="00FF5111"/>
    <w:rsid w:val="00FF520D"/>
    <w:rsid w:val="00FF5297"/>
    <w:rsid w:val="00FF52CA"/>
    <w:rsid w:val="00FF52E6"/>
    <w:rsid w:val="00FF538B"/>
    <w:rsid w:val="00FF53A5"/>
    <w:rsid w:val="00FF53D8"/>
    <w:rsid w:val="00FF5405"/>
    <w:rsid w:val="00FF540C"/>
    <w:rsid w:val="00FF5433"/>
    <w:rsid w:val="00FF5444"/>
    <w:rsid w:val="00FF54F5"/>
    <w:rsid w:val="00FF565E"/>
    <w:rsid w:val="00FF56E5"/>
    <w:rsid w:val="00FF573F"/>
    <w:rsid w:val="00FF5795"/>
    <w:rsid w:val="00FF57D3"/>
    <w:rsid w:val="00FF5856"/>
    <w:rsid w:val="00FF58BB"/>
    <w:rsid w:val="00FF58C4"/>
    <w:rsid w:val="00FF593F"/>
    <w:rsid w:val="00FF59BF"/>
    <w:rsid w:val="00FF5A3A"/>
    <w:rsid w:val="00FF5A3F"/>
    <w:rsid w:val="00FF5BC8"/>
    <w:rsid w:val="00FF5BD7"/>
    <w:rsid w:val="00FF5BE0"/>
    <w:rsid w:val="00FF5C8D"/>
    <w:rsid w:val="00FF5C99"/>
    <w:rsid w:val="00FF5D05"/>
    <w:rsid w:val="00FF5D9B"/>
    <w:rsid w:val="00FF5E1C"/>
    <w:rsid w:val="00FF5F34"/>
    <w:rsid w:val="00FF5FB0"/>
    <w:rsid w:val="00FF60A5"/>
    <w:rsid w:val="00FF60BC"/>
    <w:rsid w:val="00FF613D"/>
    <w:rsid w:val="00FF615C"/>
    <w:rsid w:val="00FF619E"/>
    <w:rsid w:val="00FF61A2"/>
    <w:rsid w:val="00FF61EB"/>
    <w:rsid w:val="00FF62E4"/>
    <w:rsid w:val="00FF63BC"/>
    <w:rsid w:val="00FF6456"/>
    <w:rsid w:val="00FF64AE"/>
    <w:rsid w:val="00FF64C0"/>
    <w:rsid w:val="00FF65B4"/>
    <w:rsid w:val="00FF65D1"/>
    <w:rsid w:val="00FF669F"/>
    <w:rsid w:val="00FF671E"/>
    <w:rsid w:val="00FF68D9"/>
    <w:rsid w:val="00FF6930"/>
    <w:rsid w:val="00FF69D5"/>
    <w:rsid w:val="00FF69E4"/>
    <w:rsid w:val="00FF6A5C"/>
    <w:rsid w:val="00FF6A92"/>
    <w:rsid w:val="00FF6AF8"/>
    <w:rsid w:val="00FF6AFA"/>
    <w:rsid w:val="00FF6B1D"/>
    <w:rsid w:val="00FF6B4D"/>
    <w:rsid w:val="00FF6B6B"/>
    <w:rsid w:val="00FF6B81"/>
    <w:rsid w:val="00FF6CF2"/>
    <w:rsid w:val="00FF6D53"/>
    <w:rsid w:val="00FF6D7D"/>
    <w:rsid w:val="00FF70A2"/>
    <w:rsid w:val="00FF70CB"/>
    <w:rsid w:val="00FF7119"/>
    <w:rsid w:val="00FF713B"/>
    <w:rsid w:val="00FF7195"/>
    <w:rsid w:val="00FF7247"/>
    <w:rsid w:val="00FF727A"/>
    <w:rsid w:val="00FF7280"/>
    <w:rsid w:val="00FF734A"/>
    <w:rsid w:val="00FF737F"/>
    <w:rsid w:val="00FF739A"/>
    <w:rsid w:val="00FF7477"/>
    <w:rsid w:val="00FF74EF"/>
    <w:rsid w:val="00FF7500"/>
    <w:rsid w:val="00FF7512"/>
    <w:rsid w:val="00FF751C"/>
    <w:rsid w:val="00FF7581"/>
    <w:rsid w:val="00FF75B9"/>
    <w:rsid w:val="00FF7600"/>
    <w:rsid w:val="00FF76FF"/>
    <w:rsid w:val="00FF782D"/>
    <w:rsid w:val="00FF7845"/>
    <w:rsid w:val="00FF7894"/>
    <w:rsid w:val="00FF78CF"/>
    <w:rsid w:val="00FF79D6"/>
    <w:rsid w:val="00FF7A0D"/>
    <w:rsid w:val="00FF7A55"/>
    <w:rsid w:val="00FF7A77"/>
    <w:rsid w:val="00FF7A97"/>
    <w:rsid w:val="00FF7B9B"/>
    <w:rsid w:val="00FF7C13"/>
    <w:rsid w:val="00FF7C6C"/>
    <w:rsid w:val="00FF7E06"/>
    <w:rsid w:val="00FF7EC8"/>
    <w:rsid w:val="0100A72D"/>
    <w:rsid w:val="01012A6F"/>
    <w:rsid w:val="0104EB24"/>
    <w:rsid w:val="010967BA"/>
    <w:rsid w:val="0109D032"/>
    <w:rsid w:val="0109D9C4"/>
    <w:rsid w:val="010A34CF"/>
    <w:rsid w:val="010BC074"/>
    <w:rsid w:val="010EC862"/>
    <w:rsid w:val="01101704"/>
    <w:rsid w:val="011300E5"/>
    <w:rsid w:val="0114BDF7"/>
    <w:rsid w:val="0116FABA"/>
    <w:rsid w:val="011B4C64"/>
    <w:rsid w:val="011C2924"/>
    <w:rsid w:val="011C7BDA"/>
    <w:rsid w:val="011CA6FE"/>
    <w:rsid w:val="011DB099"/>
    <w:rsid w:val="011E7526"/>
    <w:rsid w:val="011F562E"/>
    <w:rsid w:val="0122EE32"/>
    <w:rsid w:val="0129D2CF"/>
    <w:rsid w:val="012A897E"/>
    <w:rsid w:val="012AFE7A"/>
    <w:rsid w:val="012BA4F7"/>
    <w:rsid w:val="012C98B5"/>
    <w:rsid w:val="012CC1FA"/>
    <w:rsid w:val="012D7FAD"/>
    <w:rsid w:val="012EB8F2"/>
    <w:rsid w:val="012EC71B"/>
    <w:rsid w:val="013051B2"/>
    <w:rsid w:val="0130C384"/>
    <w:rsid w:val="0130D883"/>
    <w:rsid w:val="01313C4B"/>
    <w:rsid w:val="01338793"/>
    <w:rsid w:val="01338986"/>
    <w:rsid w:val="0135835E"/>
    <w:rsid w:val="01375043"/>
    <w:rsid w:val="0137E149"/>
    <w:rsid w:val="013A4181"/>
    <w:rsid w:val="013AA1A3"/>
    <w:rsid w:val="013B6403"/>
    <w:rsid w:val="013D5D98"/>
    <w:rsid w:val="013E76B6"/>
    <w:rsid w:val="013E92F4"/>
    <w:rsid w:val="013F3470"/>
    <w:rsid w:val="013FA975"/>
    <w:rsid w:val="0143E22A"/>
    <w:rsid w:val="01449CA6"/>
    <w:rsid w:val="0144C799"/>
    <w:rsid w:val="014605C8"/>
    <w:rsid w:val="01469594"/>
    <w:rsid w:val="0147449D"/>
    <w:rsid w:val="01492016"/>
    <w:rsid w:val="014B8E75"/>
    <w:rsid w:val="014BB5E2"/>
    <w:rsid w:val="014CB144"/>
    <w:rsid w:val="014E7B7F"/>
    <w:rsid w:val="014EA072"/>
    <w:rsid w:val="0150030F"/>
    <w:rsid w:val="015063EA"/>
    <w:rsid w:val="01518F86"/>
    <w:rsid w:val="015410ED"/>
    <w:rsid w:val="015496C5"/>
    <w:rsid w:val="01557D5C"/>
    <w:rsid w:val="015979C3"/>
    <w:rsid w:val="015AC7DA"/>
    <w:rsid w:val="015CE960"/>
    <w:rsid w:val="015ED783"/>
    <w:rsid w:val="01604283"/>
    <w:rsid w:val="01609A0F"/>
    <w:rsid w:val="0160DAA5"/>
    <w:rsid w:val="0161FAE3"/>
    <w:rsid w:val="0162D0D8"/>
    <w:rsid w:val="0162E449"/>
    <w:rsid w:val="01630492"/>
    <w:rsid w:val="01640851"/>
    <w:rsid w:val="0164344F"/>
    <w:rsid w:val="01656378"/>
    <w:rsid w:val="0165899E"/>
    <w:rsid w:val="0165C766"/>
    <w:rsid w:val="0165FB25"/>
    <w:rsid w:val="0166285D"/>
    <w:rsid w:val="0167BBB1"/>
    <w:rsid w:val="0168079F"/>
    <w:rsid w:val="0168E2DA"/>
    <w:rsid w:val="01696747"/>
    <w:rsid w:val="01697435"/>
    <w:rsid w:val="016C1CC4"/>
    <w:rsid w:val="016D54A0"/>
    <w:rsid w:val="016FA699"/>
    <w:rsid w:val="01710A74"/>
    <w:rsid w:val="017501F7"/>
    <w:rsid w:val="0176546B"/>
    <w:rsid w:val="017AC556"/>
    <w:rsid w:val="017BB40B"/>
    <w:rsid w:val="017D60E7"/>
    <w:rsid w:val="017DFB71"/>
    <w:rsid w:val="018164AB"/>
    <w:rsid w:val="0181E61C"/>
    <w:rsid w:val="0182EEFF"/>
    <w:rsid w:val="018353F7"/>
    <w:rsid w:val="0186F223"/>
    <w:rsid w:val="0187B2F7"/>
    <w:rsid w:val="018988D7"/>
    <w:rsid w:val="018A6F6A"/>
    <w:rsid w:val="018ADD26"/>
    <w:rsid w:val="018C6411"/>
    <w:rsid w:val="018CB7C9"/>
    <w:rsid w:val="018CDA73"/>
    <w:rsid w:val="018D34E6"/>
    <w:rsid w:val="018E121D"/>
    <w:rsid w:val="01911DD1"/>
    <w:rsid w:val="019238ED"/>
    <w:rsid w:val="01933117"/>
    <w:rsid w:val="01987976"/>
    <w:rsid w:val="0199559B"/>
    <w:rsid w:val="019B23C5"/>
    <w:rsid w:val="019BF110"/>
    <w:rsid w:val="019C63B7"/>
    <w:rsid w:val="019CB2D2"/>
    <w:rsid w:val="019CD9DA"/>
    <w:rsid w:val="019E0761"/>
    <w:rsid w:val="019F7E80"/>
    <w:rsid w:val="019F82EC"/>
    <w:rsid w:val="01A17B29"/>
    <w:rsid w:val="01A4B429"/>
    <w:rsid w:val="01A8B332"/>
    <w:rsid w:val="01A98B38"/>
    <w:rsid w:val="01A99C67"/>
    <w:rsid w:val="01A9AFB3"/>
    <w:rsid w:val="01AA2E01"/>
    <w:rsid w:val="01AC4CB8"/>
    <w:rsid w:val="01ACC440"/>
    <w:rsid w:val="01AEEAC1"/>
    <w:rsid w:val="01AF3228"/>
    <w:rsid w:val="01B3E88E"/>
    <w:rsid w:val="01B66C9E"/>
    <w:rsid w:val="01B8E34F"/>
    <w:rsid w:val="01B9604B"/>
    <w:rsid w:val="01B96842"/>
    <w:rsid w:val="01BA3C0B"/>
    <w:rsid w:val="01BB6340"/>
    <w:rsid w:val="01BF5116"/>
    <w:rsid w:val="01C24A98"/>
    <w:rsid w:val="01C2B328"/>
    <w:rsid w:val="01CC0AB1"/>
    <w:rsid w:val="01CE1318"/>
    <w:rsid w:val="01D13310"/>
    <w:rsid w:val="01D3CDC9"/>
    <w:rsid w:val="01D5BD5B"/>
    <w:rsid w:val="01DAB227"/>
    <w:rsid w:val="01DE0BF5"/>
    <w:rsid w:val="01DE5300"/>
    <w:rsid w:val="01DE6881"/>
    <w:rsid w:val="01DFDA77"/>
    <w:rsid w:val="01E2D52E"/>
    <w:rsid w:val="01E549D0"/>
    <w:rsid w:val="01E7737D"/>
    <w:rsid w:val="01E7DF75"/>
    <w:rsid w:val="01E8BF65"/>
    <w:rsid w:val="01E9924B"/>
    <w:rsid w:val="01E9B1C7"/>
    <w:rsid w:val="01EA99B7"/>
    <w:rsid w:val="01EE0912"/>
    <w:rsid w:val="01F199E4"/>
    <w:rsid w:val="01F5BFE0"/>
    <w:rsid w:val="01F7A7EF"/>
    <w:rsid w:val="01FA78F4"/>
    <w:rsid w:val="01FAA9EF"/>
    <w:rsid w:val="01FB32BC"/>
    <w:rsid w:val="01FC9984"/>
    <w:rsid w:val="01FF2B71"/>
    <w:rsid w:val="01FF9F69"/>
    <w:rsid w:val="02006AC3"/>
    <w:rsid w:val="02017F35"/>
    <w:rsid w:val="02022B53"/>
    <w:rsid w:val="02029078"/>
    <w:rsid w:val="02032767"/>
    <w:rsid w:val="0205DC24"/>
    <w:rsid w:val="02072241"/>
    <w:rsid w:val="0208193F"/>
    <w:rsid w:val="020D93EA"/>
    <w:rsid w:val="020E2546"/>
    <w:rsid w:val="020F1EA5"/>
    <w:rsid w:val="0217EB8D"/>
    <w:rsid w:val="021AC50B"/>
    <w:rsid w:val="021AF4BC"/>
    <w:rsid w:val="021CAE7A"/>
    <w:rsid w:val="021EF1B5"/>
    <w:rsid w:val="021F5AE6"/>
    <w:rsid w:val="02210E39"/>
    <w:rsid w:val="0222B3E8"/>
    <w:rsid w:val="02230995"/>
    <w:rsid w:val="0223676A"/>
    <w:rsid w:val="02284A03"/>
    <w:rsid w:val="02287BDC"/>
    <w:rsid w:val="0229B7EE"/>
    <w:rsid w:val="022B687F"/>
    <w:rsid w:val="022DD267"/>
    <w:rsid w:val="022DF240"/>
    <w:rsid w:val="0232BA54"/>
    <w:rsid w:val="0232DEA7"/>
    <w:rsid w:val="0232DF91"/>
    <w:rsid w:val="0233CE5D"/>
    <w:rsid w:val="0234A9AE"/>
    <w:rsid w:val="023501F0"/>
    <w:rsid w:val="0236CE2A"/>
    <w:rsid w:val="0237B901"/>
    <w:rsid w:val="023BB2C1"/>
    <w:rsid w:val="023CC8C4"/>
    <w:rsid w:val="0242DC1F"/>
    <w:rsid w:val="0243B622"/>
    <w:rsid w:val="0247ED52"/>
    <w:rsid w:val="024AC5C5"/>
    <w:rsid w:val="024BD99B"/>
    <w:rsid w:val="024CA1FA"/>
    <w:rsid w:val="024D83DC"/>
    <w:rsid w:val="024ED97A"/>
    <w:rsid w:val="024EEAEA"/>
    <w:rsid w:val="024FBBCF"/>
    <w:rsid w:val="025014CF"/>
    <w:rsid w:val="02523860"/>
    <w:rsid w:val="025391EE"/>
    <w:rsid w:val="02552CBA"/>
    <w:rsid w:val="025680BB"/>
    <w:rsid w:val="0258557C"/>
    <w:rsid w:val="025A431D"/>
    <w:rsid w:val="025AA956"/>
    <w:rsid w:val="025AB041"/>
    <w:rsid w:val="025B1ABB"/>
    <w:rsid w:val="025CEFA4"/>
    <w:rsid w:val="025EC698"/>
    <w:rsid w:val="025EF91C"/>
    <w:rsid w:val="025FAD87"/>
    <w:rsid w:val="026030F7"/>
    <w:rsid w:val="02604529"/>
    <w:rsid w:val="0260C84D"/>
    <w:rsid w:val="026485C9"/>
    <w:rsid w:val="0265B3DF"/>
    <w:rsid w:val="02660435"/>
    <w:rsid w:val="02666F90"/>
    <w:rsid w:val="0268FF51"/>
    <w:rsid w:val="0269FB80"/>
    <w:rsid w:val="026CE27E"/>
    <w:rsid w:val="026E7C24"/>
    <w:rsid w:val="026EDBAB"/>
    <w:rsid w:val="026FFE77"/>
    <w:rsid w:val="02703937"/>
    <w:rsid w:val="02723A4E"/>
    <w:rsid w:val="027379A2"/>
    <w:rsid w:val="02745D44"/>
    <w:rsid w:val="0274A6A8"/>
    <w:rsid w:val="027633DA"/>
    <w:rsid w:val="0276F833"/>
    <w:rsid w:val="02785EFE"/>
    <w:rsid w:val="0279943E"/>
    <w:rsid w:val="0279A241"/>
    <w:rsid w:val="027ACF13"/>
    <w:rsid w:val="027D56DC"/>
    <w:rsid w:val="027D6294"/>
    <w:rsid w:val="027FA338"/>
    <w:rsid w:val="02809E26"/>
    <w:rsid w:val="0286113C"/>
    <w:rsid w:val="02879A88"/>
    <w:rsid w:val="0287AD5F"/>
    <w:rsid w:val="028B1F5A"/>
    <w:rsid w:val="028C3595"/>
    <w:rsid w:val="028DCE63"/>
    <w:rsid w:val="028FD57E"/>
    <w:rsid w:val="028FE549"/>
    <w:rsid w:val="0291000D"/>
    <w:rsid w:val="0291E5A9"/>
    <w:rsid w:val="0293FE73"/>
    <w:rsid w:val="0296C892"/>
    <w:rsid w:val="0298C81D"/>
    <w:rsid w:val="0298E8F8"/>
    <w:rsid w:val="029970A7"/>
    <w:rsid w:val="02A07EE8"/>
    <w:rsid w:val="02A15430"/>
    <w:rsid w:val="02A208D1"/>
    <w:rsid w:val="02A43927"/>
    <w:rsid w:val="02A4A170"/>
    <w:rsid w:val="02A53421"/>
    <w:rsid w:val="02A5A413"/>
    <w:rsid w:val="02A73383"/>
    <w:rsid w:val="02A751F7"/>
    <w:rsid w:val="02AA0138"/>
    <w:rsid w:val="02AA9F4F"/>
    <w:rsid w:val="02AB074E"/>
    <w:rsid w:val="02AD415C"/>
    <w:rsid w:val="02B25D93"/>
    <w:rsid w:val="02B3DB02"/>
    <w:rsid w:val="02B7BD2A"/>
    <w:rsid w:val="02B8AD31"/>
    <w:rsid w:val="02B9247E"/>
    <w:rsid w:val="02B961CC"/>
    <w:rsid w:val="02BA7A2D"/>
    <w:rsid w:val="02BBD4BB"/>
    <w:rsid w:val="02BC46C9"/>
    <w:rsid w:val="02BEB80D"/>
    <w:rsid w:val="02C15760"/>
    <w:rsid w:val="02C1FFB3"/>
    <w:rsid w:val="02C30367"/>
    <w:rsid w:val="02C309AE"/>
    <w:rsid w:val="02C331A2"/>
    <w:rsid w:val="02C33876"/>
    <w:rsid w:val="02C3C3D5"/>
    <w:rsid w:val="02C3F936"/>
    <w:rsid w:val="02C40EB3"/>
    <w:rsid w:val="02C56B97"/>
    <w:rsid w:val="02C74135"/>
    <w:rsid w:val="02C809C6"/>
    <w:rsid w:val="02C851A7"/>
    <w:rsid w:val="02C88ADD"/>
    <w:rsid w:val="02CAE7B0"/>
    <w:rsid w:val="02CB1BAF"/>
    <w:rsid w:val="02CCD148"/>
    <w:rsid w:val="02CDC749"/>
    <w:rsid w:val="02CE59A5"/>
    <w:rsid w:val="02CEA1D0"/>
    <w:rsid w:val="02CF53A1"/>
    <w:rsid w:val="02D20115"/>
    <w:rsid w:val="02D5D0D6"/>
    <w:rsid w:val="02D5E935"/>
    <w:rsid w:val="02DCCD65"/>
    <w:rsid w:val="02DDAF99"/>
    <w:rsid w:val="02DE14CC"/>
    <w:rsid w:val="02DE1F04"/>
    <w:rsid w:val="02E165E8"/>
    <w:rsid w:val="02E1B0A0"/>
    <w:rsid w:val="02E2D954"/>
    <w:rsid w:val="02E32738"/>
    <w:rsid w:val="02E462F7"/>
    <w:rsid w:val="02E5A37A"/>
    <w:rsid w:val="02E86BC6"/>
    <w:rsid w:val="02E8BA2D"/>
    <w:rsid w:val="02ED0114"/>
    <w:rsid w:val="02EF6C5F"/>
    <w:rsid w:val="02F2ADEE"/>
    <w:rsid w:val="02F37B5B"/>
    <w:rsid w:val="02F41D37"/>
    <w:rsid w:val="02F4C82D"/>
    <w:rsid w:val="02F7B8E9"/>
    <w:rsid w:val="02F98F23"/>
    <w:rsid w:val="02FD8C0E"/>
    <w:rsid w:val="02FE9186"/>
    <w:rsid w:val="02FECA8F"/>
    <w:rsid w:val="03009050"/>
    <w:rsid w:val="0302EE8A"/>
    <w:rsid w:val="0302F8C0"/>
    <w:rsid w:val="03036C1F"/>
    <w:rsid w:val="0303DFCA"/>
    <w:rsid w:val="03047007"/>
    <w:rsid w:val="03067B1C"/>
    <w:rsid w:val="03079350"/>
    <w:rsid w:val="030B6909"/>
    <w:rsid w:val="030C44BE"/>
    <w:rsid w:val="030D3F2B"/>
    <w:rsid w:val="0310270E"/>
    <w:rsid w:val="0311844A"/>
    <w:rsid w:val="03145E32"/>
    <w:rsid w:val="0316CCC6"/>
    <w:rsid w:val="0317B5DD"/>
    <w:rsid w:val="0317BBE8"/>
    <w:rsid w:val="0317CBC2"/>
    <w:rsid w:val="0319D414"/>
    <w:rsid w:val="031A7AF6"/>
    <w:rsid w:val="031A9A78"/>
    <w:rsid w:val="031EAF53"/>
    <w:rsid w:val="031EDEFC"/>
    <w:rsid w:val="031F50A8"/>
    <w:rsid w:val="031FCC7F"/>
    <w:rsid w:val="031FCE91"/>
    <w:rsid w:val="0321A04C"/>
    <w:rsid w:val="03247FFD"/>
    <w:rsid w:val="0324E160"/>
    <w:rsid w:val="0326DDD4"/>
    <w:rsid w:val="032834E3"/>
    <w:rsid w:val="032BB4E9"/>
    <w:rsid w:val="032CC288"/>
    <w:rsid w:val="032D5B22"/>
    <w:rsid w:val="032F4683"/>
    <w:rsid w:val="03324FFC"/>
    <w:rsid w:val="0333D9FA"/>
    <w:rsid w:val="03424166"/>
    <w:rsid w:val="0346B74D"/>
    <w:rsid w:val="03474A34"/>
    <w:rsid w:val="03477BF1"/>
    <w:rsid w:val="034C4EFC"/>
    <w:rsid w:val="034F2D0F"/>
    <w:rsid w:val="034FE181"/>
    <w:rsid w:val="034FF232"/>
    <w:rsid w:val="0352B542"/>
    <w:rsid w:val="03588BE5"/>
    <w:rsid w:val="0359757B"/>
    <w:rsid w:val="035AF721"/>
    <w:rsid w:val="035BA510"/>
    <w:rsid w:val="035EDE3F"/>
    <w:rsid w:val="035F5DA0"/>
    <w:rsid w:val="03615D4D"/>
    <w:rsid w:val="0362AAF0"/>
    <w:rsid w:val="03646C9F"/>
    <w:rsid w:val="0364C47B"/>
    <w:rsid w:val="036592FC"/>
    <w:rsid w:val="03677843"/>
    <w:rsid w:val="036822BA"/>
    <w:rsid w:val="036850CF"/>
    <w:rsid w:val="03685280"/>
    <w:rsid w:val="03689C07"/>
    <w:rsid w:val="036928F2"/>
    <w:rsid w:val="036AD0A7"/>
    <w:rsid w:val="036AF84B"/>
    <w:rsid w:val="036D071B"/>
    <w:rsid w:val="036DBA57"/>
    <w:rsid w:val="036DC68E"/>
    <w:rsid w:val="036E8526"/>
    <w:rsid w:val="036FB38A"/>
    <w:rsid w:val="0370C057"/>
    <w:rsid w:val="0370CFE9"/>
    <w:rsid w:val="037400AC"/>
    <w:rsid w:val="03751FAC"/>
    <w:rsid w:val="037696FB"/>
    <w:rsid w:val="0376A706"/>
    <w:rsid w:val="0376EE19"/>
    <w:rsid w:val="0379512E"/>
    <w:rsid w:val="0379D8AF"/>
    <w:rsid w:val="037BD686"/>
    <w:rsid w:val="037C2DF6"/>
    <w:rsid w:val="037D6DB1"/>
    <w:rsid w:val="037DCEAA"/>
    <w:rsid w:val="037E2010"/>
    <w:rsid w:val="037EA58F"/>
    <w:rsid w:val="037F303E"/>
    <w:rsid w:val="03804447"/>
    <w:rsid w:val="0382B47C"/>
    <w:rsid w:val="0383798B"/>
    <w:rsid w:val="0385689C"/>
    <w:rsid w:val="03857516"/>
    <w:rsid w:val="038634D0"/>
    <w:rsid w:val="038656B3"/>
    <w:rsid w:val="0387221E"/>
    <w:rsid w:val="0388079C"/>
    <w:rsid w:val="03885FF9"/>
    <w:rsid w:val="0388D5E1"/>
    <w:rsid w:val="038AB567"/>
    <w:rsid w:val="038C5D42"/>
    <w:rsid w:val="038CE31A"/>
    <w:rsid w:val="038D0AB1"/>
    <w:rsid w:val="038D3352"/>
    <w:rsid w:val="038F1747"/>
    <w:rsid w:val="038FFFED"/>
    <w:rsid w:val="03914721"/>
    <w:rsid w:val="03995619"/>
    <w:rsid w:val="039996D2"/>
    <w:rsid w:val="039A61E3"/>
    <w:rsid w:val="039BC766"/>
    <w:rsid w:val="039CF2A4"/>
    <w:rsid w:val="039D9C5E"/>
    <w:rsid w:val="039E1411"/>
    <w:rsid w:val="039F4917"/>
    <w:rsid w:val="03A13E6A"/>
    <w:rsid w:val="03A58C12"/>
    <w:rsid w:val="03A60D02"/>
    <w:rsid w:val="03A71CAC"/>
    <w:rsid w:val="03A75903"/>
    <w:rsid w:val="03A81B18"/>
    <w:rsid w:val="03A83E55"/>
    <w:rsid w:val="03A91382"/>
    <w:rsid w:val="03AC8210"/>
    <w:rsid w:val="03AE14B5"/>
    <w:rsid w:val="03AF2B5E"/>
    <w:rsid w:val="03B0EE4C"/>
    <w:rsid w:val="03B4B48E"/>
    <w:rsid w:val="03B64282"/>
    <w:rsid w:val="03B701CB"/>
    <w:rsid w:val="03B80462"/>
    <w:rsid w:val="03B8464B"/>
    <w:rsid w:val="03B9CF9B"/>
    <w:rsid w:val="03B9FCA0"/>
    <w:rsid w:val="03BC567E"/>
    <w:rsid w:val="03BE5D89"/>
    <w:rsid w:val="03BEA036"/>
    <w:rsid w:val="03BEEFEC"/>
    <w:rsid w:val="03C1D361"/>
    <w:rsid w:val="03C27CDE"/>
    <w:rsid w:val="03C28F11"/>
    <w:rsid w:val="03C2D30D"/>
    <w:rsid w:val="03C30A01"/>
    <w:rsid w:val="03C60B26"/>
    <w:rsid w:val="03C636D4"/>
    <w:rsid w:val="03C7ABA2"/>
    <w:rsid w:val="03CAE23D"/>
    <w:rsid w:val="03CCA5CA"/>
    <w:rsid w:val="03CFB5E2"/>
    <w:rsid w:val="03D169FE"/>
    <w:rsid w:val="03D37E8D"/>
    <w:rsid w:val="03D3A5ED"/>
    <w:rsid w:val="03D52CE4"/>
    <w:rsid w:val="03D72050"/>
    <w:rsid w:val="03DAB900"/>
    <w:rsid w:val="03DBE14A"/>
    <w:rsid w:val="03E1B808"/>
    <w:rsid w:val="03E21E36"/>
    <w:rsid w:val="03E3DE87"/>
    <w:rsid w:val="03E406C5"/>
    <w:rsid w:val="03E53828"/>
    <w:rsid w:val="03E650A5"/>
    <w:rsid w:val="03E7BD51"/>
    <w:rsid w:val="03E7C70F"/>
    <w:rsid w:val="03E964F3"/>
    <w:rsid w:val="03E9CC9A"/>
    <w:rsid w:val="03EA3050"/>
    <w:rsid w:val="03EA8AD1"/>
    <w:rsid w:val="03EB2761"/>
    <w:rsid w:val="03ECFC74"/>
    <w:rsid w:val="03ED7256"/>
    <w:rsid w:val="03EF5852"/>
    <w:rsid w:val="03F641D9"/>
    <w:rsid w:val="03F6E4B7"/>
    <w:rsid w:val="03F6FFBE"/>
    <w:rsid w:val="03F9793D"/>
    <w:rsid w:val="03F9AFBF"/>
    <w:rsid w:val="03FCF325"/>
    <w:rsid w:val="03FE88D1"/>
    <w:rsid w:val="04011E77"/>
    <w:rsid w:val="04018834"/>
    <w:rsid w:val="0402127F"/>
    <w:rsid w:val="040A4D13"/>
    <w:rsid w:val="040F89CE"/>
    <w:rsid w:val="0411C733"/>
    <w:rsid w:val="041500BC"/>
    <w:rsid w:val="0417F57A"/>
    <w:rsid w:val="0417FBAE"/>
    <w:rsid w:val="041A3FCB"/>
    <w:rsid w:val="041B595A"/>
    <w:rsid w:val="041C28F0"/>
    <w:rsid w:val="041C4442"/>
    <w:rsid w:val="041CAD71"/>
    <w:rsid w:val="041CD098"/>
    <w:rsid w:val="041CD2DF"/>
    <w:rsid w:val="041D73F6"/>
    <w:rsid w:val="041EDBD2"/>
    <w:rsid w:val="041FA631"/>
    <w:rsid w:val="042045A4"/>
    <w:rsid w:val="0420BCE9"/>
    <w:rsid w:val="04223F4F"/>
    <w:rsid w:val="0422525A"/>
    <w:rsid w:val="042319F5"/>
    <w:rsid w:val="04244D0D"/>
    <w:rsid w:val="042548D2"/>
    <w:rsid w:val="042AEFC9"/>
    <w:rsid w:val="042B54ED"/>
    <w:rsid w:val="0430F81F"/>
    <w:rsid w:val="0431E9CE"/>
    <w:rsid w:val="0434A647"/>
    <w:rsid w:val="043530F4"/>
    <w:rsid w:val="0435FEA5"/>
    <w:rsid w:val="04391EAE"/>
    <w:rsid w:val="04398898"/>
    <w:rsid w:val="0439AFE0"/>
    <w:rsid w:val="0439C46D"/>
    <w:rsid w:val="043ADC3F"/>
    <w:rsid w:val="043C2BA0"/>
    <w:rsid w:val="043CF639"/>
    <w:rsid w:val="043F13E0"/>
    <w:rsid w:val="043F1825"/>
    <w:rsid w:val="04402808"/>
    <w:rsid w:val="044111A9"/>
    <w:rsid w:val="04434B2B"/>
    <w:rsid w:val="04442A83"/>
    <w:rsid w:val="0445B55F"/>
    <w:rsid w:val="04485260"/>
    <w:rsid w:val="044BC89C"/>
    <w:rsid w:val="044E734A"/>
    <w:rsid w:val="044EBC2E"/>
    <w:rsid w:val="0450D07D"/>
    <w:rsid w:val="045160FC"/>
    <w:rsid w:val="04538240"/>
    <w:rsid w:val="0455DC18"/>
    <w:rsid w:val="045656DB"/>
    <w:rsid w:val="0459B8DC"/>
    <w:rsid w:val="045B66A2"/>
    <w:rsid w:val="045D0BAE"/>
    <w:rsid w:val="046252B1"/>
    <w:rsid w:val="04652C03"/>
    <w:rsid w:val="0467F274"/>
    <w:rsid w:val="04684F65"/>
    <w:rsid w:val="0468DA29"/>
    <w:rsid w:val="0469A8BF"/>
    <w:rsid w:val="04709C2D"/>
    <w:rsid w:val="04710E7C"/>
    <w:rsid w:val="047201FA"/>
    <w:rsid w:val="047237B6"/>
    <w:rsid w:val="0472D3DC"/>
    <w:rsid w:val="04740D33"/>
    <w:rsid w:val="047453DF"/>
    <w:rsid w:val="04747592"/>
    <w:rsid w:val="0478890A"/>
    <w:rsid w:val="047ABF7D"/>
    <w:rsid w:val="047AE3CD"/>
    <w:rsid w:val="047AFA25"/>
    <w:rsid w:val="047B22BB"/>
    <w:rsid w:val="047B2801"/>
    <w:rsid w:val="047BEE23"/>
    <w:rsid w:val="047D023E"/>
    <w:rsid w:val="047F9AF0"/>
    <w:rsid w:val="0480027C"/>
    <w:rsid w:val="048058E2"/>
    <w:rsid w:val="0480612E"/>
    <w:rsid w:val="04823DC6"/>
    <w:rsid w:val="04840FE0"/>
    <w:rsid w:val="048720DC"/>
    <w:rsid w:val="04878AA9"/>
    <w:rsid w:val="0487F09D"/>
    <w:rsid w:val="04888C25"/>
    <w:rsid w:val="0489A907"/>
    <w:rsid w:val="048A53FE"/>
    <w:rsid w:val="048B5CE6"/>
    <w:rsid w:val="048BB5D3"/>
    <w:rsid w:val="048C5274"/>
    <w:rsid w:val="048DB39E"/>
    <w:rsid w:val="048E38F1"/>
    <w:rsid w:val="048EFC59"/>
    <w:rsid w:val="0490B53F"/>
    <w:rsid w:val="04914B1F"/>
    <w:rsid w:val="04919F6D"/>
    <w:rsid w:val="0491EB61"/>
    <w:rsid w:val="04931AEE"/>
    <w:rsid w:val="0493DE44"/>
    <w:rsid w:val="0494A442"/>
    <w:rsid w:val="04976099"/>
    <w:rsid w:val="049EC2F9"/>
    <w:rsid w:val="049F93C0"/>
    <w:rsid w:val="049FC6B2"/>
    <w:rsid w:val="04A31676"/>
    <w:rsid w:val="04A482B6"/>
    <w:rsid w:val="04A4A77B"/>
    <w:rsid w:val="04A6F40A"/>
    <w:rsid w:val="04AA055B"/>
    <w:rsid w:val="04AA0C2E"/>
    <w:rsid w:val="04AAC260"/>
    <w:rsid w:val="04AB3ADF"/>
    <w:rsid w:val="04AC0236"/>
    <w:rsid w:val="04AC6DA5"/>
    <w:rsid w:val="04ADBF93"/>
    <w:rsid w:val="04AE12F3"/>
    <w:rsid w:val="04AF0D2A"/>
    <w:rsid w:val="04B8C480"/>
    <w:rsid w:val="04BA4A99"/>
    <w:rsid w:val="04BCB8A9"/>
    <w:rsid w:val="04BF176C"/>
    <w:rsid w:val="04C05535"/>
    <w:rsid w:val="04C083B9"/>
    <w:rsid w:val="04C14B4A"/>
    <w:rsid w:val="04C19193"/>
    <w:rsid w:val="04C206E5"/>
    <w:rsid w:val="04C2A984"/>
    <w:rsid w:val="04C5D053"/>
    <w:rsid w:val="04CC0CA2"/>
    <w:rsid w:val="04CD4189"/>
    <w:rsid w:val="04CD6BC8"/>
    <w:rsid w:val="04D0BA54"/>
    <w:rsid w:val="04D12210"/>
    <w:rsid w:val="04D17B7E"/>
    <w:rsid w:val="04D28ACD"/>
    <w:rsid w:val="04D60417"/>
    <w:rsid w:val="04D7675D"/>
    <w:rsid w:val="04D81441"/>
    <w:rsid w:val="04DC7EC8"/>
    <w:rsid w:val="04DD76FF"/>
    <w:rsid w:val="04DDC83F"/>
    <w:rsid w:val="04E21A6B"/>
    <w:rsid w:val="04E5F788"/>
    <w:rsid w:val="04E6929C"/>
    <w:rsid w:val="04E88CB5"/>
    <w:rsid w:val="04E982DD"/>
    <w:rsid w:val="04EAC7CC"/>
    <w:rsid w:val="04EB5D1B"/>
    <w:rsid w:val="04EBEE09"/>
    <w:rsid w:val="04EDC4F2"/>
    <w:rsid w:val="04EEE610"/>
    <w:rsid w:val="04F05F2E"/>
    <w:rsid w:val="04F2089A"/>
    <w:rsid w:val="04F30CE1"/>
    <w:rsid w:val="04F70E49"/>
    <w:rsid w:val="04F7CA18"/>
    <w:rsid w:val="04F8B92B"/>
    <w:rsid w:val="04F9D1E4"/>
    <w:rsid w:val="04FAA790"/>
    <w:rsid w:val="04FAEFD6"/>
    <w:rsid w:val="04FE533D"/>
    <w:rsid w:val="050178B1"/>
    <w:rsid w:val="0502D46C"/>
    <w:rsid w:val="0502EED8"/>
    <w:rsid w:val="05049E1A"/>
    <w:rsid w:val="05059626"/>
    <w:rsid w:val="0505F5F6"/>
    <w:rsid w:val="050754F5"/>
    <w:rsid w:val="0508F200"/>
    <w:rsid w:val="05094CCE"/>
    <w:rsid w:val="050A4761"/>
    <w:rsid w:val="050C005E"/>
    <w:rsid w:val="050F168C"/>
    <w:rsid w:val="05114630"/>
    <w:rsid w:val="0511E3FC"/>
    <w:rsid w:val="0513324B"/>
    <w:rsid w:val="0514D503"/>
    <w:rsid w:val="0514D796"/>
    <w:rsid w:val="051524CB"/>
    <w:rsid w:val="05156E30"/>
    <w:rsid w:val="0516477F"/>
    <w:rsid w:val="051DF8D6"/>
    <w:rsid w:val="051E9463"/>
    <w:rsid w:val="051F2197"/>
    <w:rsid w:val="05200A9B"/>
    <w:rsid w:val="0520ABF2"/>
    <w:rsid w:val="05221811"/>
    <w:rsid w:val="05276D73"/>
    <w:rsid w:val="0528B933"/>
    <w:rsid w:val="052A1122"/>
    <w:rsid w:val="052BDBDF"/>
    <w:rsid w:val="052C7B4F"/>
    <w:rsid w:val="052D6D1C"/>
    <w:rsid w:val="052FBB98"/>
    <w:rsid w:val="053076D7"/>
    <w:rsid w:val="0530B39A"/>
    <w:rsid w:val="05369304"/>
    <w:rsid w:val="05372DCD"/>
    <w:rsid w:val="0537DC5C"/>
    <w:rsid w:val="0538F33D"/>
    <w:rsid w:val="05397ED9"/>
    <w:rsid w:val="0539C09E"/>
    <w:rsid w:val="053B683C"/>
    <w:rsid w:val="053BF4C4"/>
    <w:rsid w:val="053D7C2D"/>
    <w:rsid w:val="053EE71E"/>
    <w:rsid w:val="05421C1F"/>
    <w:rsid w:val="05429D87"/>
    <w:rsid w:val="0542BCF4"/>
    <w:rsid w:val="0544270B"/>
    <w:rsid w:val="054434EE"/>
    <w:rsid w:val="05446025"/>
    <w:rsid w:val="05446114"/>
    <w:rsid w:val="054496EB"/>
    <w:rsid w:val="0545C299"/>
    <w:rsid w:val="05461067"/>
    <w:rsid w:val="05467D59"/>
    <w:rsid w:val="0549169E"/>
    <w:rsid w:val="0549CA93"/>
    <w:rsid w:val="054AEEA5"/>
    <w:rsid w:val="054B67AF"/>
    <w:rsid w:val="054C1A5C"/>
    <w:rsid w:val="054CAD69"/>
    <w:rsid w:val="054FB052"/>
    <w:rsid w:val="055024A8"/>
    <w:rsid w:val="05502DDD"/>
    <w:rsid w:val="05509586"/>
    <w:rsid w:val="055228B0"/>
    <w:rsid w:val="05532443"/>
    <w:rsid w:val="0554738E"/>
    <w:rsid w:val="05548B79"/>
    <w:rsid w:val="05596B69"/>
    <w:rsid w:val="055ADDD8"/>
    <w:rsid w:val="055B0660"/>
    <w:rsid w:val="055DBC3D"/>
    <w:rsid w:val="055EB366"/>
    <w:rsid w:val="05612774"/>
    <w:rsid w:val="05626B0C"/>
    <w:rsid w:val="0565A30F"/>
    <w:rsid w:val="0565E262"/>
    <w:rsid w:val="056630F2"/>
    <w:rsid w:val="0566CB4E"/>
    <w:rsid w:val="0566D7A3"/>
    <w:rsid w:val="056A733F"/>
    <w:rsid w:val="056B66D0"/>
    <w:rsid w:val="056C30BB"/>
    <w:rsid w:val="056D90D2"/>
    <w:rsid w:val="056F0E57"/>
    <w:rsid w:val="056F5EF3"/>
    <w:rsid w:val="056F7C5D"/>
    <w:rsid w:val="056F8A60"/>
    <w:rsid w:val="056FC61F"/>
    <w:rsid w:val="0572AC6E"/>
    <w:rsid w:val="0573A348"/>
    <w:rsid w:val="05762F89"/>
    <w:rsid w:val="057657D5"/>
    <w:rsid w:val="05774085"/>
    <w:rsid w:val="05775A88"/>
    <w:rsid w:val="057A274A"/>
    <w:rsid w:val="057A4FF6"/>
    <w:rsid w:val="057ABD6D"/>
    <w:rsid w:val="057BC1ED"/>
    <w:rsid w:val="057D7668"/>
    <w:rsid w:val="057EF32D"/>
    <w:rsid w:val="057EFC79"/>
    <w:rsid w:val="0580B5C2"/>
    <w:rsid w:val="0582C5EC"/>
    <w:rsid w:val="05851F02"/>
    <w:rsid w:val="058565AB"/>
    <w:rsid w:val="058931A6"/>
    <w:rsid w:val="058C0117"/>
    <w:rsid w:val="058D41D0"/>
    <w:rsid w:val="058E77D7"/>
    <w:rsid w:val="058F3034"/>
    <w:rsid w:val="058FD6F0"/>
    <w:rsid w:val="0590DD5B"/>
    <w:rsid w:val="0590EA75"/>
    <w:rsid w:val="0591BA21"/>
    <w:rsid w:val="05941B85"/>
    <w:rsid w:val="059476BB"/>
    <w:rsid w:val="0596830F"/>
    <w:rsid w:val="05972DE3"/>
    <w:rsid w:val="05982DF1"/>
    <w:rsid w:val="0598D4BD"/>
    <w:rsid w:val="059D6061"/>
    <w:rsid w:val="059FDFD9"/>
    <w:rsid w:val="05A0CA8E"/>
    <w:rsid w:val="05A3BDA2"/>
    <w:rsid w:val="05A68470"/>
    <w:rsid w:val="05A7068E"/>
    <w:rsid w:val="05A78FF6"/>
    <w:rsid w:val="05A86937"/>
    <w:rsid w:val="05A8C669"/>
    <w:rsid w:val="05A9FFFE"/>
    <w:rsid w:val="05AB4706"/>
    <w:rsid w:val="05AB80F6"/>
    <w:rsid w:val="05AE75FD"/>
    <w:rsid w:val="05B0076A"/>
    <w:rsid w:val="05B0227F"/>
    <w:rsid w:val="05B1EB20"/>
    <w:rsid w:val="05B3DDD0"/>
    <w:rsid w:val="05B4DBEA"/>
    <w:rsid w:val="05B526B3"/>
    <w:rsid w:val="05B6EA25"/>
    <w:rsid w:val="05B91B53"/>
    <w:rsid w:val="05B95F18"/>
    <w:rsid w:val="05BAD3EB"/>
    <w:rsid w:val="05BF2EF3"/>
    <w:rsid w:val="05C070A0"/>
    <w:rsid w:val="05C0D934"/>
    <w:rsid w:val="05C10478"/>
    <w:rsid w:val="05C2F3D6"/>
    <w:rsid w:val="05C438A8"/>
    <w:rsid w:val="05C58B00"/>
    <w:rsid w:val="05C58D92"/>
    <w:rsid w:val="05C5E48B"/>
    <w:rsid w:val="05C65D30"/>
    <w:rsid w:val="05C8C7FC"/>
    <w:rsid w:val="05C8DE15"/>
    <w:rsid w:val="05C96408"/>
    <w:rsid w:val="05CA54F1"/>
    <w:rsid w:val="05CAEADC"/>
    <w:rsid w:val="05CCB51C"/>
    <w:rsid w:val="05CCD5C3"/>
    <w:rsid w:val="05CCEB1E"/>
    <w:rsid w:val="05CD5483"/>
    <w:rsid w:val="05CF5092"/>
    <w:rsid w:val="05CF9DFE"/>
    <w:rsid w:val="05D1752E"/>
    <w:rsid w:val="05D2682A"/>
    <w:rsid w:val="05D26A5E"/>
    <w:rsid w:val="05D3F591"/>
    <w:rsid w:val="05D49608"/>
    <w:rsid w:val="05D56078"/>
    <w:rsid w:val="05D56C07"/>
    <w:rsid w:val="05D833B2"/>
    <w:rsid w:val="05D8FA42"/>
    <w:rsid w:val="05DA9DA1"/>
    <w:rsid w:val="05DB8F28"/>
    <w:rsid w:val="05DC8E56"/>
    <w:rsid w:val="05DD35B4"/>
    <w:rsid w:val="05E06C5B"/>
    <w:rsid w:val="05E17EA9"/>
    <w:rsid w:val="05E29468"/>
    <w:rsid w:val="05E30B71"/>
    <w:rsid w:val="05E3B8B0"/>
    <w:rsid w:val="05E43A98"/>
    <w:rsid w:val="05E45C19"/>
    <w:rsid w:val="05E4F867"/>
    <w:rsid w:val="05E658C2"/>
    <w:rsid w:val="05E7576B"/>
    <w:rsid w:val="05EE1C6D"/>
    <w:rsid w:val="05EE4DEC"/>
    <w:rsid w:val="05F24685"/>
    <w:rsid w:val="05F27887"/>
    <w:rsid w:val="05F4011A"/>
    <w:rsid w:val="05F4B807"/>
    <w:rsid w:val="05F54BC7"/>
    <w:rsid w:val="05F718F3"/>
    <w:rsid w:val="05F744DD"/>
    <w:rsid w:val="05F75A3D"/>
    <w:rsid w:val="05F77EF3"/>
    <w:rsid w:val="05FA9DF5"/>
    <w:rsid w:val="05FB2599"/>
    <w:rsid w:val="05FB5A52"/>
    <w:rsid w:val="05FC4731"/>
    <w:rsid w:val="05FC7E31"/>
    <w:rsid w:val="06014737"/>
    <w:rsid w:val="0601D3F6"/>
    <w:rsid w:val="0603E2B7"/>
    <w:rsid w:val="0605708A"/>
    <w:rsid w:val="0606EEF6"/>
    <w:rsid w:val="0607D244"/>
    <w:rsid w:val="06086C50"/>
    <w:rsid w:val="060B82AF"/>
    <w:rsid w:val="060D27C0"/>
    <w:rsid w:val="060DB490"/>
    <w:rsid w:val="060F71AE"/>
    <w:rsid w:val="060F9F90"/>
    <w:rsid w:val="0610068A"/>
    <w:rsid w:val="06112117"/>
    <w:rsid w:val="06157DBB"/>
    <w:rsid w:val="06165E21"/>
    <w:rsid w:val="0618F9E7"/>
    <w:rsid w:val="061FE918"/>
    <w:rsid w:val="062094B9"/>
    <w:rsid w:val="0624ED7A"/>
    <w:rsid w:val="062632AB"/>
    <w:rsid w:val="0626E817"/>
    <w:rsid w:val="0627ECCB"/>
    <w:rsid w:val="0628D081"/>
    <w:rsid w:val="062D21C1"/>
    <w:rsid w:val="062F0449"/>
    <w:rsid w:val="062F73B6"/>
    <w:rsid w:val="06315C5E"/>
    <w:rsid w:val="06331568"/>
    <w:rsid w:val="063380DA"/>
    <w:rsid w:val="0634DDD4"/>
    <w:rsid w:val="06353482"/>
    <w:rsid w:val="0635D3D9"/>
    <w:rsid w:val="0636A444"/>
    <w:rsid w:val="0637BAA2"/>
    <w:rsid w:val="063A4118"/>
    <w:rsid w:val="063A6A06"/>
    <w:rsid w:val="063C034A"/>
    <w:rsid w:val="063C7D68"/>
    <w:rsid w:val="063D17F2"/>
    <w:rsid w:val="063D6FD2"/>
    <w:rsid w:val="063E32FC"/>
    <w:rsid w:val="063EA722"/>
    <w:rsid w:val="0642134A"/>
    <w:rsid w:val="06427D16"/>
    <w:rsid w:val="06469F71"/>
    <w:rsid w:val="0646BB23"/>
    <w:rsid w:val="0647C6A2"/>
    <w:rsid w:val="064A1CFE"/>
    <w:rsid w:val="064BC520"/>
    <w:rsid w:val="064DA378"/>
    <w:rsid w:val="064E0D0D"/>
    <w:rsid w:val="06506528"/>
    <w:rsid w:val="06514065"/>
    <w:rsid w:val="0655C2B2"/>
    <w:rsid w:val="0656BF9E"/>
    <w:rsid w:val="0658622A"/>
    <w:rsid w:val="065F1D0D"/>
    <w:rsid w:val="06602502"/>
    <w:rsid w:val="06612CCA"/>
    <w:rsid w:val="0662A7BB"/>
    <w:rsid w:val="0662F1E6"/>
    <w:rsid w:val="0663BB2E"/>
    <w:rsid w:val="06649243"/>
    <w:rsid w:val="06674FE9"/>
    <w:rsid w:val="06680363"/>
    <w:rsid w:val="06691F50"/>
    <w:rsid w:val="0669666F"/>
    <w:rsid w:val="066969AD"/>
    <w:rsid w:val="066DF8BD"/>
    <w:rsid w:val="0673C623"/>
    <w:rsid w:val="0678ABEB"/>
    <w:rsid w:val="0678F294"/>
    <w:rsid w:val="067CD185"/>
    <w:rsid w:val="067D85EE"/>
    <w:rsid w:val="067E2197"/>
    <w:rsid w:val="06803FD5"/>
    <w:rsid w:val="0681A359"/>
    <w:rsid w:val="0683239B"/>
    <w:rsid w:val="06859847"/>
    <w:rsid w:val="0685FD4A"/>
    <w:rsid w:val="0686B02A"/>
    <w:rsid w:val="068D4E8E"/>
    <w:rsid w:val="068D8CB8"/>
    <w:rsid w:val="069076CB"/>
    <w:rsid w:val="069447E6"/>
    <w:rsid w:val="0694639F"/>
    <w:rsid w:val="0694EEC9"/>
    <w:rsid w:val="06964C30"/>
    <w:rsid w:val="0697408A"/>
    <w:rsid w:val="06985F22"/>
    <w:rsid w:val="06994E49"/>
    <w:rsid w:val="069A3DFE"/>
    <w:rsid w:val="069A9BB6"/>
    <w:rsid w:val="069CB230"/>
    <w:rsid w:val="069CB851"/>
    <w:rsid w:val="069D5E93"/>
    <w:rsid w:val="069DE75C"/>
    <w:rsid w:val="069E8B55"/>
    <w:rsid w:val="069EF15C"/>
    <w:rsid w:val="06A0A1D5"/>
    <w:rsid w:val="06A0EFBF"/>
    <w:rsid w:val="06A177CB"/>
    <w:rsid w:val="06A1E987"/>
    <w:rsid w:val="06A30F7F"/>
    <w:rsid w:val="06A3A056"/>
    <w:rsid w:val="06A43CFE"/>
    <w:rsid w:val="06A49DE4"/>
    <w:rsid w:val="06A5214B"/>
    <w:rsid w:val="06A69C99"/>
    <w:rsid w:val="06AD91C5"/>
    <w:rsid w:val="06AE11EF"/>
    <w:rsid w:val="06AE9730"/>
    <w:rsid w:val="06B04BE3"/>
    <w:rsid w:val="06B09122"/>
    <w:rsid w:val="06B599E8"/>
    <w:rsid w:val="06B7A1CA"/>
    <w:rsid w:val="06B7ED14"/>
    <w:rsid w:val="06BCF877"/>
    <w:rsid w:val="06BD002D"/>
    <w:rsid w:val="06BD2A1A"/>
    <w:rsid w:val="06BFD9D6"/>
    <w:rsid w:val="06C23315"/>
    <w:rsid w:val="06C58245"/>
    <w:rsid w:val="06C5DDA4"/>
    <w:rsid w:val="06C851B3"/>
    <w:rsid w:val="06C95230"/>
    <w:rsid w:val="06C959B3"/>
    <w:rsid w:val="06C995F6"/>
    <w:rsid w:val="06CB5703"/>
    <w:rsid w:val="06CBC494"/>
    <w:rsid w:val="06CCA649"/>
    <w:rsid w:val="06CD51CA"/>
    <w:rsid w:val="06CEC945"/>
    <w:rsid w:val="06CECE89"/>
    <w:rsid w:val="06CF4E87"/>
    <w:rsid w:val="06D08556"/>
    <w:rsid w:val="06D14D73"/>
    <w:rsid w:val="06D3DB2B"/>
    <w:rsid w:val="06D3FF0D"/>
    <w:rsid w:val="06D44AB8"/>
    <w:rsid w:val="06D49AC2"/>
    <w:rsid w:val="06D5D13A"/>
    <w:rsid w:val="06D5FDF4"/>
    <w:rsid w:val="06D81AD5"/>
    <w:rsid w:val="06D8ED93"/>
    <w:rsid w:val="06DBD9CE"/>
    <w:rsid w:val="06DCBA56"/>
    <w:rsid w:val="06DE8849"/>
    <w:rsid w:val="06E200C5"/>
    <w:rsid w:val="06E2699D"/>
    <w:rsid w:val="06E34EF4"/>
    <w:rsid w:val="06E6B2AE"/>
    <w:rsid w:val="06E72F93"/>
    <w:rsid w:val="06E8D438"/>
    <w:rsid w:val="06E9503B"/>
    <w:rsid w:val="06EBE07F"/>
    <w:rsid w:val="06ED3BBD"/>
    <w:rsid w:val="06EF564C"/>
    <w:rsid w:val="06F2E27D"/>
    <w:rsid w:val="06F6358D"/>
    <w:rsid w:val="06F6A1F5"/>
    <w:rsid w:val="06F87114"/>
    <w:rsid w:val="06F8CA06"/>
    <w:rsid w:val="06F9CF0D"/>
    <w:rsid w:val="06F9F5AD"/>
    <w:rsid w:val="06FC953D"/>
    <w:rsid w:val="06FE2AA6"/>
    <w:rsid w:val="06FF5628"/>
    <w:rsid w:val="06FF8E78"/>
    <w:rsid w:val="0700274B"/>
    <w:rsid w:val="07005DBC"/>
    <w:rsid w:val="07006E87"/>
    <w:rsid w:val="0702DA86"/>
    <w:rsid w:val="07034E09"/>
    <w:rsid w:val="07037442"/>
    <w:rsid w:val="070894D1"/>
    <w:rsid w:val="07097056"/>
    <w:rsid w:val="070A5FD3"/>
    <w:rsid w:val="070A96D3"/>
    <w:rsid w:val="070BA707"/>
    <w:rsid w:val="070E2F8D"/>
    <w:rsid w:val="070E4402"/>
    <w:rsid w:val="070E80D1"/>
    <w:rsid w:val="07111DE4"/>
    <w:rsid w:val="07139710"/>
    <w:rsid w:val="0713B033"/>
    <w:rsid w:val="0714A47B"/>
    <w:rsid w:val="0714DF86"/>
    <w:rsid w:val="07191B31"/>
    <w:rsid w:val="07199179"/>
    <w:rsid w:val="071FCCFA"/>
    <w:rsid w:val="07208770"/>
    <w:rsid w:val="07225914"/>
    <w:rsid w:val="0723C9C7"/>
    <w:rsid w:val="0725A83B"/>
    <w:rsid w:val="07264AE5"/>
    <w:rsid w:val="0726B918"/>
    <w:rsid w:val="0726EA18"/>
    <w:rsid w:val="07270DAF"/>
    <w:rsid w:val="07282635"/>
    <w:rsid w:val="072889C1"/>
    <w:rsid w:val="072A25AE"/>
    <w:rsid w:val="072C8A19"/>
    <w:rsid w:val="072CBD4F"/>
    <w:rsid w:val="072DC924"/>
    <w:rsid w:val="072DDD3B"/>
    <w:rsid w:val="072E2D93"/>
    <w:rsid w:val="07311AD6"/>
    <w:rsid w:val="073183E0"/>
    <w:rsid w:val="0733B541"/>
    <w:rsid w:val="07341D52"/>
    <w:rsid w:val="07359AA3"/>
    <w:rsid w:val="0736548D"/>
    <w:rsid w:val="0736EC48"/>
    <w:rsid w:val="07372A9E"/>
    <w:rsid w:val="0737707B"/>
    <w:rsid w:val="07383008"/>
    <w:rsid w:val="073A53E2"/>
    <w:rsid w:val="073E7DFE"/>
    <w:rsid w:val="073F7328"/>
    <w:rsid w:val="0740953C"/>
    <w:rsid w:val="0742278A"/>
    <w:rsid w:val="07429A07"/>
    <w:rsid w:val="0742C07C"/>
    <w:rsid w:val="07440362"/>
    <w:rsid w:val="07458C03"/>
    <w:rsid w:val="074778E9"/>
    <w:rsid w:val="07482E70"/>
    <w:rsid w:val="07497FCD"/>
    <w:rsid w:val="074C421A"/>
    <w:rsid w:val="074CC756"/>
    <w:rsid w:val="07507F43"/>
    <w:rsid w:val="0751246F"/>
    <w:rsid w:val="0752A750"/>
    <w:rsid w:val="0752B250"/>
    <w:rsid w:val="07547624"/>
    <w:rsid w:val="075613E7"/>
    <w:rsid w:val="075653CB"/>
    <w:rsid w:val="07570F23"/>
    <w:rsid w:val="07580B42"/>
    <w:rsid w:val="075DF3AD"/>
    <w:rsid w:val="075E3C89"/>
    <w:rsid w:val="075EFAE0"/>
    <w:rsid w:val="0763BFFC"/>
    <w:rsid w:val="0763EFDA"/>
    <w:rsid w:val="0764C034"/>
    <w:rsid w:val="07657CFF"/>
    <w:rsid w:val="076914B6"/>
    <w:rsid w:val="07693454"/>
    <w:rsid w:val="076A7EE6"/>
    <w:rsid w:val="076AF31B"/>
    <w:rsid w:val="076BCCF7"/>
    <w:rsid w:val="076D4253"/>
    <w:rsid w:val="07703E3E"/>
    <w:rsid w:val="0770D2BE"/>
    <w:rsid w:val="0771BCED"/>
    <w:rsid w:val="0774E31E"/>
    <w:rsid w:val="07750BA0"/>
    <w:rsid w:val="07759CE8"/>
    <w:rsid w:val="07785706"/>
    <w:rsid w:val="07792551"/>
    <w:rsid w:val="077AF142"/>
    <w:rsid w:val="077CFD2B"/>
    <w:rsid w:val="07819EAA"/>
    <w:rsid w:val="07825FBE"/>
    <w:rsid w:val="0782B990"/>
    <w:rsid w:val="0783D0D8"/>
    <w:rsid w:val="078800A2"/>
    <w:rsid w:val="07883463"/>
    <w:rsid w:val="078B2881"/>
    <w:rsid w:val="078B8FAC"/>
    <w:rsid w:val="078EE583"/>
    <w:rsid w:val="07903070"/>
    <w:rsid w:val="07919489"/>
    <w:rsid w:val="0799711C"/>
    <w:rsid w:val="0799E6ED"/>
    <w:rsid w:val="0799F0B9"/>
    <w:rsid w:val="079AF18B"/>
    <w:rsid w:val="079C90AD"/>
    <w:rsid w:val="079D0E51"/>
    <w:rsid w:val="079E0CB4"/>
    <w:rsid w:val="079EEBFC"/>
    <w:rsid w:val="079F3B7C"/>
    <w:rsid w:val="07A0EF8A"/>
    <w:rsid w:val="07A348E1"/>
    <w:rsid w:val="07A4194D"/>
    <w:rsid w:val="07A4BA33"/>
    <w:rsid w:val="07A4CB8B"/>
    <w:rsid w:val="07A62119"/>
    <w:rsid w:val="07A6F177"/>
    <w:rsid w:val="07A86665"/>
    <w:rsid w:val="07A8F774"/>
    <w:rsid w:val="07A99DD6"/>
    <w:rsid w:val="07AAB2ED"/>
    <w:rsid w:val="07AE34F8"/>
    <w:rsid w:val="07AEB86F"/>
    <w:rsid w:val="07AFBC56"/>
    <w:rsid w:val="07B2B164"/>
    <w:rsid w:val="07B41382"/>
    <w:rsid w:val="07B5522D"/>
    <w:rsid w:val="07B6DC78"/>
    <w:rsid w:val="07B83B3C"/>
    <w:rsid w:val="07B8FA08"/>
    <w:rsid w:val="07B96240"/>
    <w:rsid w:val="07BB0081"/>
    <w:rsid w:val="07BB0C88"/>
    <w:rsid w:val="07BB2682"/>
    <w:rsid w:val="07BE92FC"/>
    <w:rsid w:val="07BEC5BB"/>
    <w:rsid w:val="07BF77F9"/>
    <w:rsid w:val="07C5FD20"/>
    <w:rsid w:val="07C65ED3"/>
    <w:rsid w:val="07C6A06E"/>
    <w:rsid w:val="07C6A168"/>
    <w:rsid w:val="07C79F34"/>
    <w:rsid w:val="07C8DB44"/>
    <w:rsid w:val="07CBE923"/>
    <w:rsid w:val="07CC324A"/>
    <w:rsid w:val="07CD290C"/>
    <w:rsid w:val="07CE4C6A"/>
    <w:rsid w:val="07CF9476"/>
    <w:rsid w:val="07D0C8E8"/>
    <w:rsid w:val="07D0CE6F"/>
    <w:rsid w:val="07D130C8"/>
    <w:rsid w:val="07D20290"/>
    <w:rsid w:val="07D297CC"/>
    <w:rsid w:val="07D36906"/>
    <w:rsid w:val="07D49793"/>
    <w:rsid w:val="07D6F0EA"/>
    <w:rsid w:val="07D7343F"/>
    <w:rsid w:val="07D76627"/>
    <w:rsid w:val="07DC014B"/>
    <w:rsid w:val="07DC30EE"/>
    <w:rsid w:val="07E022CC"/>
    <w:rsid w:val="07E2DB7A"/>
    <w:rsid w:val="07E4D7D9"/>
    <w:rsid w:val="07E52B27"/>
    <w:rsid w:val="07E6A517"/>
    <w:rsid w:val="07E6C487"/>
    <w:rsid w:val="07E70531"/>
    <w:rsid w:val="07EB5370"/>
    <w:rsid w:val="07ED2E7B"/>
    <w:rsid w:val="07ED7E4F"/>
    <w:rsid w:val="07EF6B3F"/>
    <w:rsid w:val="07F0B54B"/>
    <w:rsid w:val="07F0C3A6"/>
    <w:rsid w:val="07F3815B"/>
    <w:rsid w:val="07F64ADE"/>
    <w:rsid w:val="07F9CFC8"/>
    <w:rsid w:val="07FAEB64"/>
    <w:rsid w:val="07FCD876"/>
    <w:rsid w:val="07FEA96B"/>
    <w:rsid w:val="07FEB03B"/>
    <w:rsid w:val="07FEB5EB"/>
    <w:rsid w:val="080026A6"/>
    <w:rsid w:val="08007F65"/>
    <w:rsid w:val="0801623C"/>
    <w:rsid w:val="08023B3E"/>
    <w:rsid w:val="0802AC0E"/>
    <w:rsid w:val="080665F2"/>
    <w:rsid w:val="0807C6C8"/>
    <w:rsid w:val="0808EBA9"/>
    <w:rsid w:val="0809A5AB"/>
    <w:rsid w:val="0809C1C2"/>
    <w:rsid w:val="080AF967"/>
    <w:rsid w:val="080B28B5"/>
    <w:rsid w:val="080C0BE5"/>
    <w:rsid w:val="080C25EF"/>
    <w:rsid w:val="080C9961"/>
    <w:rsid w:val="080DED8D"/>
    <w:rsid w:val="080E84A1"/>
    <w:rsid w:val="080E9D2F"/>
    <w:rsid w:val="08100056"/>
    <w:rsid w:val="08125DD7"/>
    <w:rsid w:val="08141ACF"/>
    <w:rsid w:val="08170779"/>
    <w:rsid w:val="081891DF"/>
    <w:rsid w:val="08195A7B"/>
    <w:rsid w:val="081B6B6E"/>
    <w:rsid w:val="081EC9D6"/>
    <w:rsid w:val="081FCEA8"/>
    <w:rsid w:val="0823A50C"/>
    <w:rsid w:val="0824384F"/>
    <w:rsid w:val="08267160"/>
    <w:rsid w:val="0826D64A"/>
    <w:rsid w:val="0829338E"/>
    <w:rsid w:val="082976DD"/>
    <w:rsid w:val="0829A441"/>
    <w:rsid w:val="082B5CC3"/>
    <w:rsid w:val="082F42E3"/>
    <w:rsid w:val="08343B4D"/>
    <w:rsid w:val="0836E15B"/>
    <w:rsid w:val="0837ACF3"/>
    <w:rsid w:val="0837EF04"/>
    <w:rsid w:val="083A6005"/>
    <w:rsid w:val="083B675A"/>
    <w:rsid w:val="084125FA"/>
    <w:rsid w:val="08424022"/>
    <w:rsid w:val="08429298"/>
    <w:rsid w:val="0843F9DC"/>
    <w:rsid w:val="0844C533"/>
    <w:rsid w:val="08458E9D"/>
    <w:rsid w:val="0845CEFE"/>
    <w:rsid w:val="08476731"/>
    <w:rsid w:val="0847EAEF"/>
    <w:rsid w:val="084871E6"/>
    <w:rsid w:val="084CF6D4"/>
    <w:rsid w:val="08501988"/>
    <w:rsid w:val="08524D55"/>
    <w:rsid w:val="08537751"/>
    <w:rsid w:val="08551CF4"/>
    <w:rsid w:val="08567FB8"/>
    <w:rsid w:val="0858D93E"/>
    <w:rsid w:val="08595623"/>
    <w:rsid w:val="085C532C"/>
    <w:rsid w:val="085CDAC5"/>
    <w:rsid w:val="085E3DE6"/>
    <w:rsid w:val="085EB896"/>
    <w:rsid w:val="085F0C81"/>
    <w:rsid w:val="085F4CE4"/>
    <w:rsid w:val="085FCF16"/>
    <w:rsid w:val="08600D86"/>
    <w:rsid w:val="0861F8EC"/>
    <w:rsid w:val="0862F0F3"/>
    <w:rsid w:val="08633073"/>
    <w:rsid w:val="0863D2AD"/>
    <w:rsid w:val="08640BFE"/>
    <w:rsid w:val="08656222"/>
    <w:rsid w:val="0865D09A"/>
    <w:rsid w:val="0866A70F"/>
    <w:rsid w:val="0866CAFC"/>
    <w:rsid w:val="0866F6F8"/>
    <w:rsid w:val="0867EF98"/>
    <w:rsid w:val="086A3542"/>
    <w:rsid w:val="086D5DA9"/>
    <w:rsid w:val="086E15B7"/>
    <w:rsid w:val="086FD3E3"/>
    <w:rsid w:val="086FE3B7"/>
    <w:rsid w:val="08705E11"/>
    <w:rsid w:val="08710D92"/>
    <w:rsid w:val="0874CDD1"/>
    <w:rsid w:val="0876FFD4"/>
    <w:rsid w:val="08788EBC"/>
    <w:rsid w:val="087BC44D"/>
    <w:rsid w:val="087CCE13"/>
    <w:rsid w:val="087F3EED"/>
    <w:rsid w:val="08814F2B"/>
    <w:rsid w:val="08825D65"/>
    <w:rsid w:val="08835A26"/>
    <w:rsid w:val="0883A3A0"/>
    <w:rsid w:val="0886F724"/>
    <w:rsid w:val="08885FD4"/>
    <w:rsid w:val="08892FCD"/>
    <w:rsid w:val="08894DC8"/>
    <w:rsid w:val="088B69C0"/>
    <w:rsid w:val="088DAA29"/>
    <w:rsid w:val="088E272B"/>
    <w:rsid w:val="0890FA45"/>
    <w:rsid w:val="08910A04"/>
    <w:rsid w:val="0893B945"/>
    <w:rsid w:val="08953F98"/>
    <w:rsid w:val="08962BE6"/>
    <w:rsid w:val="089662AF"/>
    <w:rsid w:val="089746D7"/>
    <w:rsid w:val="0898335F"/>
    <w:rsid w:val="0899AF76"/>
    <w:rsid w:val="0899C4B9"/>
    <w:rsid w:val="089B13A4"/>
    <w:rsid w:val="089D8D66"/>
    <w:rsid w:val="089DBBE8"/>
    <w:rsid w:val="089F4C71"/>
    <w:rsid w:val="08A02829"/>
    <w:rsid w:val="08A0EE64"/>
    <w:rsid w:val="08A1D4E3"/>
    <w:rsid w:val="08A42283"/>
    <w:rsid w:val="08A47CD2"/>
    <w:rsid w:val="08A4E774"/>
    <w:rsid w:val="08A76D42"/>
    <w:rsid w:val="08AC0838"/>
    <w:rsid w:val="08AD6096"/>
    <w:rsid w:val="08AE2499"/>
    <w:rsid w:val="08AEC23A"/>
    <w:rsid w:val="08AEFDDC"/>
    <w:rsid w:val="08B1DA4F"/>
    <w:rsid w:val="08B23715"/>
    <w:rsid w:val="08B2531C"/>
    <w:rsid w:val="08B32E06"/>
    <w:rsid w:val="08B33B15"/>
    <w:rsid w:val="08B3C5E9"/>
    <w:rsid w:val="08B45369"/>
    <w:rsid w:val="08B94675"/>
    <w:rsid w:val="08BA6F76"/>
    <w:rsid w:val="08BAD4AB"/>
    <w:rsid w:val="08BD807B"/>
    <w:rsid w:val="08BDBE8C"/>
    <w:rsid w:val="08BE4ADE"/>
    <w:rsid w:val="08C007A6"/>
    <w:rsid w:val="08C09F1E"/>
    <w:rsid w:val="08C44CBC"/>
    <w:rsid w:val="08C55364"/>
    <w:rsid w:val="08C5D54F"/>
    <w:rsid w:val="08CA0A52"/>
    <w:rsid w:val="08CB6A13"/>
    <w:rsid w:val="08CB8A94"/>
    <w:rsid w:val="08CBAEB5"/>
    <w:rsid w:val="08D15459"/>
    <w:rsid w:val="08D47110"/>
    <w:rsid w:val="08D48C21"/>
    <w:rsid w:val="08D65A49"/>
    <w:rsid w:val="08D93F56"/>
    <w:rsid w:val="08DA6A4C"/>
    <w:rsid w:val="08DB9971"/>
    <w:rsid w:val="08DC193A"/>
    <w:rsid w:val="08DD0A54"/>
    <w:rsid w:val="08DF0F41"/>
    <w:rsid w:val="08E1C811"/>
    <w:rsid w:val="08E3C754"/>
    <w:rsid w:val="08E62D27"/>
    <w:rsid w:val="08E63ED6"/>
    <w:rsid w:val="08E89B84"/>
    <w:rsid w:val="08E9C8EE"/>
    <w:rsid w:val="08EC6E22"/>
    <w:rsid w:val="08EC74CE"/>
    <w:rsid w:val="08ECD8F0"/>
    <w:rsid w:val="08ECFC79"/>
    <w:rsid w:val="08EE388E"/>
    <w:rsid w:val="08F47884"/>
    <w:rsid w:val="08F59687"/>
    <w:rsid w:val="08F776CD"/>
    <w:rsid w:val="08F7E15D"/>
    <w:rsid w:val="08F8989A"/>
    <w:rsid w:val="08FA8031"/>
    <w:rsid w:val="08FB8CAF"/>
    <w:rsid w:val="08FC4C7A"/>
    <w:rsid w:val="08FC4FF1"/>
    <w:rsid w:val="08FC9689"/>
    <w:rsid w:val="08FD8414"/>
    <w:rsid w:val="08FE6976"/>
    <w:rsid w:val="08FF5541"/>
    <w:rsid w:val="08FF96CC"/>
    <w:rsid w:val="090091AB"/>
    <w:rsid w:val="0900A4C9"/>
    <w:rsid w:val="090309BC"/>
    <w:rsid w:val="0903C025"/>
    <w:rsid w:val="0903DDC1"/>
    <w:rsid w:val="09041E3B"/>
    <w:rsid w:val="09042F18"/>
    <w:rsid w:val="09044117"/>
    <w:rsid w:val="09057A31"/>
    <w:rsid w:val="09057FCD"/>
    <w:rsid w:val="09061E42"/>
    <w:rsid w:val="0906B225"/>
    <w:rsid w:val="0907991D"/>
    <w:rsid w:val="090A87D6"/>
    <w:rsid w:val="090C8203"/>
    <w:rsid w:val="090FADCD"/>
    <w:rsid w:val="090FFAE7"/>
    <w:rsid w:val="091094DA"/>
    <w:rsid w:val="0910D5CE"/>
    <w:rsid w:val="0910E8EA"/>
    <w:rsid w:val="0911FD1D"/>
    <w:rsid w:val="0912D65D"/>
    <w:rsid w:val="0914F65E"/>
    <w:rsid w:val="09155E61"/>
    <w:rsid w:val="09158E56"/>
    <w:rsid w:val="091A9646"/>
    <w:rsid w:val="091FBF07"/>
    <w:rsid w:val="0920372B"/>
    <w:rsid w:val="09206CEB"/>
    <w:rsid w:val="0920848A"/>
    <w:rsid w:val="0921C4FE"/>
    <w:rsid w:val="0923DBB3"/>
    <w:rsid w:val="092611FC"/>
    <w:rsid w:val="09291850"/>
    <w:rsid w:val="09296494"/>
    <w:rsid w:val="0929B158"/>
    <w:rsid w:val="092B545C"/>
    <w:rsid w:val="092C11E3"/>
    <w:rsid w:val="092CF8C3"/>
    <w:rsid w:val="0930A842"/>
    <w:rsid w:val="09310F96"/>
    <w:rsid w:val="09322D84"/>
    <w:rsid w:val="0932AD19"/>
    <w:rsid w:val="09360896"/>
    <w:rsid w:val="09368477"/>
    <w:rsid w:val="093795F6"/>
    <w:rsid w:val="093883C4"/>
    <w:rsid w:val="0939496E"/>
    <w:rsid w:val="0939E0D4"/>
    <w:rsid w:val="093DC06B"/>
    <w:rsid w:val="09416B65"/>
    <w:rsid w:val="09429EA5"/>
    <w:rsid w:val="0942A242"/>
    <w:rsid w:val="09433464"/>
    <w:rsid w:val="094479E9"/>
    <w:rsid w:val="0944D8F7"/>
    <w:rsid w:val="09469E00"/>
    <w:rsid w:val="09488E3B"/>
    <w:rsid w:val="094A2A1D"/>
    <w:rsid w:val="094C5E5F"/>
    <w:rsid w:val="094C8B33"/>
    <w:rsid w:val="094FC560"/>
    <w:rsid w:val="0951138D"/>
    <w:rsid w:val="0952C006"/>
    <w:rsid w:val="095413AE"/>
    <w:rsid w:val="0955656B"/>
    <w:rsid w:val="095798F3"/>
    <w:rsid w:val="095807DD"/>
    <w:rsid w:val="0958311E"/>
    <w:rsid w:val="095C1F1F"/>
    <w:rsid w:val="095C75AE"/>
    <w:rsid w:val="095D218D"/>
    <w:rsid w:val="095DEA82"/>
    <w:rsid w:val="095EA8CA"/>
    <w:rsid w:val="096189E9"/>
    <w:rsid w:val="0961BE41"/>
    <w:rsid w:val="0964B368"/>
    <w:rsid w:val="09659079"/>
    <w:rsid w:val="0966853E"/>
    <w:rsid w:val="0967BA71"/>
    <w:rsid w:val="0968AE25"/>
    <w:rsid w:val="0969D90B"/>
    <w:rsid w:val="096A0A19"/>
    <w:rsid w:val="096B1CDE"/>
    <w:rsid w:val="096BB5EF"/>
    <w:rsid w:val="096D8610"/>
    <w:rsid w:val="096EF738"/>
    <w:rsid w:val="09723310"/>
    <w:rsid w:val="0972FBAB"/>
    <w:rsid w:val="0974B1C0"/>
    <w:rsid w:val="0975B24B"/>
    <w:rsid w:val="0977A84D"/>
    <w:rsid w:val="09791A61"/>
    <w:rsid w:val="097A73E1"/>
    <w:rsid w:val="097A7EDB"/>
    <w:rsid w:val="097ABF40"/>
    <w:rsid w:val="097BD0F4"/>
    <w:rsid w:val="097C5D8D"/>
    <w:rsid w:val="097E8ECE"/>
    <w:rsid w:val="097E9DF7"/>
    <w:rsid w:val="097ED8A6"/>
    <w:rsid w:val="097EF37F"/>
    <w:rsid w:val="09825D05"/>
    <w:rsid w:val="0982BC20"/>
    <w:rsid w:val="0983D39E"/>
    <w:rsid w:val="098482DF"/>
    <w:rsid w:val="098562F3"/>
    <w:rsid w:val="09863398"/>
    <w:rsid w:val="09871B3E"/>
    <w:rsid w:val="098786DA"/>
    <w:rsid w:val="0989EF62"/>
    <w:rsid w:val="098A58A7"/>
    <w:rsid w:val="098C0F16"/>
    <w:rsid w:val="098F9DE5"/>
    <w:rsid w:val="09901C84"/>
    <w:rsid w:val="0990653C"/>
    <w:rsid w:val="09927576"/>
    <w:rsid w:val="0992E35C"/>
    <w:rsid w:val="0993FB20"/>
    <w:rsid w:val="0994AC3F"/>
    <w:rsid w:val="0995C1C8"/>
    <w:rsid w:val="0995DF94"/>
    <w:rsid w:val="09960E6F"/>
    <w:rsid w:val="099753CB"/>
    <w:rsid w:val="09982911"/>
    <w:rsid w:val="099854AC"/>
    <w:rsid w:val="09989B1D"/>
    <w:rsid w:val="099ACC5E"/>
    <w:rsid w:val="099D9D0D"/>
    <w:rsid w:val="099F6F9F"/>
    <w:rsid w:val="099F9C21"/>
    <w:rsid w:val="09A09954"/>
    <w:rsid w:val="09A0B2FB"/>
    <w:rsid w:val="09A1639D"/>
    <w:rsid w:val="09A1E71B"/>
    <w:rsid w:val="09A1F6E0"/>
    <w:rsid w:val="09A35388"/>
    <w:rsid w:val="09A63C4E"/>
    <w:rsid w:val="09A69839"/>
    <w:rsid w:val="09A71FE2"/>
    <w:rsid w:val="09A7FFF8"/>
    <w:rsid w:val="09ACE9E2"/>
    <w:rsid w:val="09AD44E0"/>
    <w:rsid w:val="09ADC7FA"/>
    <w:rsid w:val="09AF542C"/>
    <w:rsid w:val="09B01566"/>
    <w:rsid w:val="09B02D8D"/>
    <w:rsid w:val="09B1231E"/>
    <w:rsid w:val="09B1E33C"/>
    <w:rsid w:val="09B2B6BE"/>
    <w:rsid w:val="09B3B7DA"/>
    <w:rsid w:val="09B4B75C"/>
    <w:rsid w:val="09B78241"/>
    <w:rsid w:val="09B89CDF"/>
    <w:rsid w:val="09BD2561"/>
    <w:rsid w:val="09BE0311"/>
    <w:rsid w:val="09BE6B3F"/>
    <w:rsid w:val="09C13E24"/>
    <w:rsid w:val="09C2679D"/>
    <w:rsid w:val="09C30DB3"/>
    <w:rsid w:val="09C57EE7"/>
    <w:rsid w:val="09C66286"/>
    <w:rsid w:val="09C67787"/>
    <w:rsid w:val="09C6A598"/>
    <w:rsid w:val="09C6BC7F"/>
    <w:rsid w:val="09C788A7"/>
    <w:rsid w:val="09C864CB"/>
    <w:rsid w:val="09CA48CA"/>
    <w:rsid w:val="09CB2CD3"/>
    <w:rsid w:val="09CC8C59"/>
    <w:rsid w:val="09D0A32D"/>
    <w:rsid w:val="09D1DA08"/>
    <w:rsid w:val="09D333FB"/>
    <w:rsid w:val="09D4F598"/>
    <w:rsid w:val="09D5D0DF"/>
    <w:rsid w:val="09D9EEB1"/>
    <w:rsid w:val="09DB67E8"/>
    <w:rsid w:val="09DB7792"/>
    <w:rsid w:val="09DBBC18"/>
    <w:rsid w:val="09DE5FEE"/>
    <w:rsid w:val="09DE6A6E"/>
    <w:rsid w:val="09E03609"/>
    <w:rsid w:val="09E0E304"/>
    <w:rsid w:val="09E471C2"/>
    <w:rsid w:val="09E6D070"/>
    <w:rsid w:val="09E76295"/>
    <w:rsid w:val="09E7897C"/>
    <w:rsid w:val="09E8708F"/>
    <w:rsid w:val="09E95DD0"/>
    <w:rsid w:val="09EBF3C9"/>
    <w:rsid w:val="09EBF603"/>
    <w:rsid w:val="09EE4A5F"/>
    <w:rsid w:val="09EE4EA4"/>
    <w:rsid w:val="09F12BED"/>
    <w:rsid w:val="09F26F76"/>
    <w:rsid w:val="09F2EF56"/>
    <w:rsid w:val="09F418BF"/>
    <w:rsid w:val="09F43FF9"/>
    <w:rsid w:val="09F5EB06"/>
    <w:rsid w:val="09F7AC9C"/>
    <w:rsid w:val="09F938E0"/>
    <w:rsid w:val="09F95B27"/>
    <w:rsid w:val="09FADAD5"/>
    <w:rsid w:val="09FAE72B"/>
    <w:rsid w:val="09FDE705"/>
    <w:rsid w:val="09FE72DD"/>
    <w:rsid w:val="09FF5A9C"/>
    <w:rsid w:val="0A0241B8"/>
    <w:rsid w:val="0A02FB15"/>
    <w:rsid w:val="0A0371C5"/>
    <w:rsid w:val="0A0396F1"/>
    <w:rsid w:val="0A0465C4"/>
    <w:rsid w:val="0A05DB45"/>
    <w:rsid w:val="0A061D95"/>
    <w:rsid w:val="0A068E3D"/>
    <w:rsid w:val="0A07D0E5"/>
    <w:rsid w:val="0A0ACF1D"/>
    <w:rsid w:val="0A0AE689"/>
    <w:rsid w:val="0A0E3FF0"/>
    <w:rsid w:val="0A1109F2"/>
    <w:rsid w:val="0A114035"/>
    <w:rsid w:val="0A1177A2"/>
    <w:rsid w:val="0A11B4F1"/>
    <w:rsid w:val="0A13EF7D"/>
    <w:rsid w:val="0A16B657"/>
    <w:rsid w:val="0A16D8E3"/>
    <w:rsid w:val="0A174559"/>
    <w:rsid w:val="0A177643"/>
    <w:rsid w:val="0A17B3DE"/>
    <w:rsid w:val="0A1803E9"/>
    <w:rsid w:val="0A18C623"/>
    <w:rsid w:val="0A1BD025"/>
    <w:rsid w:val="0A1DDDB1"/>
    <w:rsid w:val="0A1E967F"/>
    <w:rsid w:val="0A1EE5A5"/>
    <w:rsid w:val="0A1F6639"/>
    <w:rsid w:val="0A21EA8D"/>
    <w:rsid w:val="0A224713"/>
    <w:rsid w:val="0A22CDCF"/>
    <w:rsid w:val="0A22F1BA"/>
    <w:rsid w:val="0A2421A6"/>
    <w:rsid w:val="0A2487D8"/>
    <w:rsid w:val="0A265501"/>
    <w:rsid w:val="0A2D559E"/>
    <w:rsid w:val="0A32D9F6"/>
    <w:rsid w:val="0A32FCF7"/>
    <w:rsid w:val="0A340AF9"/>
    <w:rsid w:val="0A356D3A"/>
    <w:rsid w:val="0A359D9E"/>
    <w:rsid w:val="0A37592A"/>
    <w:rsid w:val="0A382E2A"/>
    <w:rsid w:val="0A392EC4"/>
    <w:rsid w:val="0A396080"/>
    <w:rsid w:val="0A3C152C"/>
    <w:rsid w:val="0A40F418"/>
    <w:rsid w:val="0A416B8A"/>
    <w:rsid w:val="0A44F48B"/>
    <w:rsid w:val="0A45C76B"/>
    <w:rsid w:val="0A468317"/>
    <w:rsid w:val="0A46C5E8"/>
    <w:rsid w:val="0A4719DE"/>
    <w:rsid w:val="0A47A753"/>
    <w:rsid w:val="0A47C34C"/>
    <w:rsid w:val="0A49AC00"/>
    <w:rsid w:val="0A4AA193"/>
    <w:rsid w:val="0A4BF4DA"/>
    <w:rsid w:val="0A541E3B"/>
    <w:rsid w:val="0A5537AA"/>
    <w:rsid w:val="0A557AF1"/>
    <w:rsid w:val="0A560D5E"/>
    <w:rsid w:val="0A596003"/>
    <w:rsid w:val="0A59DF80"/>
    <w:rsid w:val="0A5A558E"/>
    <w:rsid w:val="0A5AB2F5"/>
    <w:rsid w:val="0A5FE5D2"/>
    <w:rsid w:val="0A5FEDFA"/>
    <w:rsid w:val="0A61A5B0"/>
    <w:rsid w:val="0A6317EA"/>
    <w:rsid w:val="0A680C6B"/>
    <w:rsid w:val="0A6870F9"/>
    <w:rsid w:val="0A6D19A5"/>
    <w:rsid w:val="0A6DD0CA"/>
    <w:rsid w:val="0A6E3F1C"/>
    <w:rsid w:val="0A70E97F"/>
    <w:rsid w:val="0A710A93"/>
    <w:rsid w:val="0A725BA6"/>
    <w:rsid w:val="0A7ADF4C"/>
    <w:rsid w:val="0A7AFEC9"/>
    <w:rsid w:val="0A7B3CFA"/>
    <w:rsid w:val="0A7D2697"/>
    <w:rsid w:val="0A7D3952"/>
    <w:rsid w:val="0A7DB220"/>
    <w:rsid w:val="0A7DDA1B"/>
    <w:rsid w:val="0A7E57C7"/>
    <w:rsid w:val="0A7EAB15"/>
    <w:rsid w:val="0A7EBE25"/>
    <w:rsid w:val="0A7F47C2"/>
    <w:rsid w:val="0A847F2C"/>
    <w:rsid w:val="0A85396F"/>
    <w:rsid w:val="0A85CACB"/>
    <w:rsid w:val="0A85E78E"/>
    <w:rsid w:val="0A88DA99"/>
    <w:rsid w:val="0A88F857"/>
    <w:rsid w:val="0A89C331"/>
    <w:rsid w:val="0A8E3657"/>
    <w:rsid w:val="0A8E8EE7"/>
    <w:rsid w:val="0A9063CD"/>
    <w:rsid w:val="0A9674A2"/>
    <w:rsid w:val="0A98AE03"/>
    <w:rsid w:val="0A9A7CFB"/>
    <w:rsid w:val="0A9B5B82"/>
    <w:rsid w:val="0A9BF4AE"/>
    <w:rsid w:val="0AA2A619"/>
    <w:rsid w:val="0AA2C110"/>
    <w:rsid w:val="0AA65952"/>
    <w:rsid w:val="0AA6ECD1"/>
    <w:rsid w:val="0AA795C6"/>
    <w:rsid w:val="0AA7D489"/>
    <w:rsid w:val="0AA7F22C"/>
    <w:rsid w:val="0AA88376"/>
    <w:rsid w:val="0AA94B6E"/>
    <w:rsid w:val="0AAB2D7D"/>
    <w:rsid w:val="0AAD6EFF"/>
    <w:rsid w:val="0AAF4815"/>
    <w:rsid w:val="0AB08F39"/>
    <w:rsid w:val="0AB3C0F2"/>
    <w:rsid w:val="0AB3D9E7"/>
    <w:rsid w:val="0AB8A55C"/>
    <w:rsid w:val="0AB9D5D3"/>
    <w:rsid w:val="0ABA767C"/>
    <w:rsid w:val="0ABD2CB3"/>
    <w:rsid w:val="0ABD5903"/>
    <w:rsid w:val="0ABE5186"/>
    <w:rsid w:val="0AC574A0"/>
    <w:rsid w:val="0AC6B834"/>
    <w:rsid w:val="0AC6C951"/>
    <w:rsid w:val="0AC7E28A"/>
    <w:rsid w:val="0AC87D06"/>
    <w:rsid w:val="0AC88715"/>
    <w:rsid w:val="0AC8CA16"/>
    <w:rsid w:val="0AC8CADE"/>
    <w:rsid w:val="0AC95713"/>
    <w:rsid w:val="0AC9BF46"/>
    <w:rsid w:val="0ACA2656"/>
    <w:rsid w:val="0ACB053E"/>
    <w:rsid w:val="0ACB8818"/>
    <w:rsid w:val="0ACBB3EA"/>
    <w:rsid w:val="0ACBDD2D"/>
    <w:rsid w:val="0ACD70A5"/>
    <w:rsid w:val="0ACD93BE"/>
    <w:rsid w:val="0AD4C25D"/>
    <w:rsid w:val="0AD9A45F"/>
    <w:rsid w:val="0ADA78A0"/>
    <w:rsid w:val="0ADCA0E1"/>
    <w:rsid w:val="0ADD7ADC"/>
    <w:rsid w:val="0ADEB68A"/>
    <w:rsid w:val="0ADF4B58"/>
    <w:rsid w:val="0ADF5E8B"/>
    <w:rsid w:val="0AE05A0B"/>
    <w:rsid w:val="0AE14027"/>
    <w:rsid w:val="0AE163AE"/>
    <w:rsid w:val="0AE1F18E"/>
    <w:rsid w:val="0AE26415"/>
    <w:rsid w:val="0AE35F62"/>
    <w:rsid w:val="0AE38D80"/>
    <w:rsid w:val="0AE5B15F"/>
    <w:rsid w:val="0AE8C5DA"/>
    <w:rsid w:val="0AE8FE16"/>
    <w:rsid w:val="0AEAE394"/>
    <w:rsid w:val="0AEAEC29"/>
    <w:rsid w:val="0AED1833"/>
    <w:rsid w:val="0AED6E03"/>
    <w:rsid w:val="0AED814B"/>
    <w:rsid w:val="0AED9824"/>
    <w:rsid w:val="0AF0F4B5"/>
    <w:rsid w:val="0AF1B9FB"/>
    <w:rsid w:val="0AF41F4D"/>
    <w:rsid w:val="0AF47ED5"/>
    <w:rsid w:val="0AF6BCF3"/>
    <w:rsid w:val="0AF71D5D"/>
    <w:rsid w:val="0AF725B8"/>
    <w:rsid w:val="0AF9A699"/>
    <w:rsid w:val="0AFC21E4"/>
    <w:rsid w:val="0AFE9DB8"/>
    <w:rsid w:val="0AFF6F9E"/>
    <w:rsid w:val="0B0131A9"/>
    <w:rsid w:val="0B05F8BE"/>
    <w:rsid w:val="0B065FF4"/>
    <w:rsid w:val="0B083986"/>
    <w:rsid w:val="0B099548"/>
    <w:rsid w:val="0B0D0E20"/>
    <w:rsid w:val="0B0DD727"/>
    <w:rsid w:val="0B0ED44B"/>
    <w:rsid w:val="0B0FC2F7"/>
    <w:rsid w:val="0B140142"/>
    <w:rsid w:val="0B14DF33"/>
    <w:rsid w:val="0B157158"/>
    <w:rsid w:val="0B176583"/>
    <w:rsid w:val="0B1A6758"/>
    <w:rsid w:val="0B1A9A7A"/>
    <w:rsid w:val="0B1D7AFB"/>
    <w:rsid w:val="0B1F8B95"/>
    <w:rsid w:val="0B202D8F"/>
    <w:rsid w:val="0B204509"/>
    <w:rsid w:val="0B21897C"/>
    <w:rsid w:val="0B24DC62"/>
    <w:rsid w:val="0B26ED21"/>
    <w:rsid w:val="0B2CB3EA"/>
    <w:rsid w:val="0B2E1B3B"/>
    <w:rsid w:val="0B305CEE"/>
    <w:rsid w:val="0B313821"/>
    <w:rsid w:val="0B319C84"/>
    <w:rsid w:val="0B338E5F"/>
    <w:rsid w:val="0B36B2CB"/>
    <w:rsid w:val="0B370E69"/>
    <w:rsid w:val="0B381827"/>
    <w:rsid w:val="0B390C02"/>
    <w:rsid w:val="0B391308"/>
    <w:rsid w:val="0B394287"/>
    <w:rsid w:val="0B3A002D"/>
    <w:rsid w:val="0B3B0A8B"/>
    <w:rsid w:val="0B3B4511"/>
    <w:rsid w:val="0B3C0FDC"/>
    <w:rsid w:val="0B3E01D2"/>
    <w:rsid w:val="0B3E0D34"/>
    <w:rsid w:val="0B3E3708"/>
    <w:rsid w:val="0B413E23"/>
    <w:rsid w:val="0B4298A0"/>
    <w:rsid w:val="0B440DB0"/>
    <w:rsid w:val="0B443FAD"/>
    <w:rsid w:val="0B463B48"/>
    <w:rsid w:val="0B471869"/>
    <w:rsid w:val="0B487C69"/>
    <w:rsid w:val="0B493CAF"/>
    <w:rsid w:val="0B49B5B8"/>
    <w:rsid w:val="0B4C9F84"/>
    <w:rsid w:val="0B509D77"/>
    <w:rsid w:val="0B530EE9"/>
    <w:rsid w:val="0B554285"/>
    <w:rsid w:val="0B569EC5"/>
    <w:rsid w:val="0B594F83"/>
    <w:rsid w:val="0B5BC438"/>
    <w:rsid w:val="0B5D19F6"/>
    <w:rsid w:val="0B5D2FA6"/>
    <w:rsid w:val="0B5D988C"/>
    <w:rsid w:val="0B5E36D8"/>
    <w:rsid w:val="0B5E6177"/>
    <w:rsid w:val="0B5F16D7"/>
    <w:rsid w:val="0B5F82DE"/>
    <w:rsid w:val="0B5FACF5"/>
    <w:rsid w:val="0B617F4D"/>
    <w:rsid w:val="0B61BEBD"/>
    <w:rsid w:val="0B62EAA7"/>
    <w:rsid w:val="0B62F19D"/>
    <w:rsid w:val="0B649AED"/>
    <w:rsid w:val="0B66FCFD"/>
    <w:rsid w:val="0B676015"/>
    <w:rsid w:val="0B677293"/>
    <w:rsid w:val="0B67E3E3"/>
    <w:rsid w:val="0B68A780"/>
    <w:rsid w:val="0B68BF28"/>
    <w:rsid w:val="0B694A7C"/>
    <w:rsid w:val="0B6B675B"/>
    <w:rsid w:val="0B6B868E"/>
    <w:rsid w:val="0B6B94A1"/>
    <w:rsid w:val="0B6EB2C9"/>
    <w:rsid w:val="0B6EF040"/>
    <w:rsid w:val="0B70C3FA"/>
    <w:rsid w:val="0B712214"/>
    <w:rsid w:val="0B724FE1"/>
    <w:rsid w:val="0B7276FD"/>
    <w:rsid w:val="0B741938"/>
    <w:rsid w:val="0B74BBB0"/>
    <w:rsid w:val="0B7632CD"/>
    <w:rsid w:val="0B76403B"/>
    <w:rsid w:val="0B774DA6"/>
    <w:rsid w:val="0B77C2DD"/>
    <w:rsid w:val="0B7A8600"/>
    <w:rsid w:val="0B7B48C9"/>
    <w:rsid w:val="0B7ED14F"/>
    <w:rsid w:val="0B7F6EF9"/>
    <w:rsid w:val="0B7FBF73"/>
    <w:rsid w:val="0B8074E9"/>
    <w:rsid w:val="0B808FE6"/>
    <w:rsid w:val="0B869625"/>
    <w:rsid w:val="0B8CB7E3"/>
    <w:rsid w:val="0B93AFCF"/>
    <w:rsid w:val="0B948392"/>
    <w:rsid w:val="0B949C81"/>
    <w:rsid w:val="0B95078F"/>
    <w:rsid w:val="0B984702"/>
    <w:rsid w:val="0B990B7A"/>
    <w:rsid w:val="0B9A0A66"/>
    <w:rsid w:val="0B9A8979"/>
    <w:rsid w:val="0B9A920A"/>
    <w:rsid w:val="0B9B11B4"/>
    <w:rsid w:val="0BA05515"/>
    <w:rsid w:val="0BA19AEC"/>
    <w:rsid w:val="0BA588A4"/>
    <w:rsid w:val="0BA61FD5"/>
    <w:rsid w:val="0BA6A814"/>
    <w:rsid w:val="0BA86493"/>
    <w:rsid w:val="0BA8ECE4"/>
    <w:rsid w:val="0BA92FD6"/>
    <w:rsid w:val="0BAA02A7"/>
    <w:rsid w:val="0BAB0CD0"/>
    <w:rsid w:val="0BACAC65"/>
    <w:rsid w:val="0BADF195"/>
    <w:rsid w:val="0BAEA2A8"/>
    <w:rsid w:val="0BAFBE57"/>
    <w:rsid w:val="0BAFDE36"/>
    <w:rsid w:val="0BB100B0"/>
    <w:rsid w:val="0BB18F26"/>
    <w:rsid w:val="0BB36489"/>
    <w:rsid w:val="0BB84797"/>
    <w:rsid w:val="0BB977BB"/>
    <w:rsid w:val="0BB97B2B"/>
    <w:rsid w:val="0BBB7FEE"/>
    <w:rsid w:val="0BBF24E6"/>
    <w:rsid w:val="0BBFB363"/>
    <w:rsid w:val="0BC2D5B2"/>
    <w:rsid w:val="0BC5CA90"/>
    <w:rsid w:val="0BC63333"/>
    <w:rsid w:val="0BC64669"/>
    <w:rsid w:val="0BC68266"/>
    <w:rsid w:val="0BC7F88F"/>
    <w:rsid w:val="0BC899DA"/>
    <w:rsid w:val="0BC8F204"/>
    <w:rsid w:val="0BCA2F3E"/>
    <w:rsid w:val="0BCB7FB7"/>
    <w:rsid w:val="0BCCE140"/>
    <w:rsid w:val="0BCD3D4E"/>
    <w:rsid w:val="0BCEE36C"/>
    <w:rsid w:val="0BCFC511"/>
    <w:rsid w:val="0BD08168"/>
    <w:rsid w:val="0BD105B1"/>
    <w:rsid w:val="0BD1D9B7"/>
    <w:rsid w:val="0BD259D5"/>
    <w:rsid w:val="0BD6665E"/>
    <w:rsid w:val="0BD88F3C"/>
    <w:rsid w:val="0BD91B8B"/>
    <w:rsid w:val="0BDA2A70"/>
    <w:rsid w:val="0BDA4F25"/>
    <w:rsid w:val="0BDB1C95"/>
    <w:rsid w:val="0BDB2BE3"/>
    <w:rsid w:val="0BDB5E6E"/>
    <w:rsid w:val="0BDCDB20"/>
    <w:rsid w:val="0BDD7BF6"/>
    <w:rsid w:val="0BDDCA82"/>
    <w:rsid w:val="0BDEEEE4"/>
    <w:rsid w:val="0BDFA6DA"/>
    <w:rsid w:val="0BE18193"/>
    <w:rsid w:val="0BE27F6E"/>
    <w:rsid w:val="0BE48DD7"/>
    <w:rsid w:val="0BE7A434"/>
    <w:rsid w:val="0BE803C6"/>
    <w:rsid w:val="0BE8EE04"/>
    <w:rsid w:val="0BE94FDF"/>
    <w:rsid w:val="0BE953FD"/>
    <w:rsid w:val="0BE9D32A"/>
    <w:rsid w:val="0BEAC750"/>
    <w:rsid w:val="0BF0EFFA"/>
    <w:rsid w:val="0BF12043"/>
    <w:rsid w:val="0BF215AD"/>
    <w:rsid w:val="0BF3A2F4"/>
    <w:rsid w:val="0BF9DFBD"/>
    <w:rsid w:val="0BFB4D70"/>
    <w:rsid w:val="0BFBB0B7"/>
    <w:rsid w:val="0BFC9262"/>
    <w:rsid w:val="0BFED29B"/>
    <w:rsid w:val="0BFF6937"/>
    <w:rsid w:val="0C06CEE0"/>
    <w:rsid w:val="0C097738"/>
    <w:rsid w:val="0C0A87DC"/>
    <w:rsid w:val="0C0B3438"/>
    <w:rsid w:val="0C0CB9FB"/>
    <w:rsid w:val="0C0D5FFF"/>
    <w:rsid w:val="0C109844"/>
    <w:rsid w:val="0C118F93"/>
    <w:rsid w:val="0C11CD6A"/>
    <w:rsid w:val="0C1765F8"/>
    <w:rsid w:val="0C1C61A9"/>
    <w:rsid w:val="0C1D44D5"/>
    <w:rsid w:val="0C2198A0"/>
    <w:rsid w:val="0C25FF04"/>
    <w:rsid w:val="0C26E2B5"/>
    <w:rsid w:val="0C289A22"/>
    <w:rsid w:val="0C2A2A0C"/>
    <w:rsid w:val="0C2AF0D3"/>
    <w:rsid w:val="0C2AF4E0"/>
    <w:rsid w:val="0C2CEDF4"/>
    <w:rsid w:val="0C2DEC69"/>
    <w:rsid w:val="0C2E3322"/>
    <w:rsid w:val="0C30F9BF"/>
    <w:rsid w:val="0C30FF1C"/>
    <w:rsid w:val="0C3259C2"/>
    <w:rsid w:val="0C3294E9"/>
    <w:rsid w:val="0C3321ED"/>
    <w:rsid w:val="0C3348BB"/>
    <w:rsid w:val="0C36B507"/>
    <w:rsid w:val="0C37A80E"/>
    <w:rsid w:val="0C38524F"/>
    <w:rsid w:val="0C3A442B"/>
    <w:rsid w:val="0C3A4F1F"/>
    <w:rsid w:val="0C3B9895"/>
    <w:rsid w:val="0C3D29A3"/>
    <w:rsid w:val="0C3DEE40"/>
    <w:rsid w:val="0C3E7241"/>
    <w:rsid w:val="0C40D079"/>
    <w:rsid w:val="0C40FB74"/>
    <w:rsid w:val="0C41CC6C"/>
    <w:rsid w:val="0C42B658"/>
    <w:rsid w:val="0C458AB5"/>
    <w:rsid w:val="0C460AE3"/>
    <w:rsid w:val="0C465400"/>
    <w:rsid w:val="0C490A43"/>
    <w:rsid w:val="0C49E55C"/>
    <w:rsid w:val="0C4A5BBC"/>
    <w:rsid w:val="0C4ADDD0"/>
    <w:rsid w:val="0C4E238C"/>
    <w:rsid w:val="0C4E79E7"/>
    <w:rsid w:val="0C4F4E25"/>
    <w:rsid w:val="0C5108A8"/>
    <w:rsid w:val="0C525DE6"/>
    <w:rsid w:val="0C56F28D"/>
    <w:rsid w:val="0C5712B7"/>
    <w:rsid w:val="0C57174D"/>
    <w:rsid w:val="0C57C909"/>
    <w:rsid w:val="0C58F784"/>
    <w:rsid w:val="0C59C68E"/>
    <w:rsid w:val="0C5A2C68"/>
    <w:rsid w:val="0C5AE43C"/>
    <w:rsid w:val="0C5CC679"/>
    <w:rsid w:val="0C5D4FDE"/>
    <w:rsid w:val="0C5D85B3"/>
    <w:rsid w:val="0C5EE31C"/>
    <w:rsid w:val="0C5F5FEE"/>
    <w:rsid w:val="0C62FB16"/>
    <w:rsid w:val="0C652F5A"/>
    <w:rsid w:val="0C68A71F"/>
    <w:rsid w:val="0C698E71"/>
    <w:rsid w:val="0C6AF1DF"/>
    <w:rsid w:val="0C6D6118"/>
    <w:rsid w:val="0C6EC74B"/>
    <w:rsid w:val="0C70161F"/>
    <w:rsid w:val="0C7153DE"/>
    <w:rsid w:val="0C744C1D"/>
    <w:rsid w:val="0C749286"/>
    <w:rsid w:val="0C7534D7"/>
    <w:rsid w:val="0C756180"/>
    <w:rsid w:val="0C78BA73"/>
    <w:rsid w:val="0C792703"/>
    <w:rsid w:val="0C7930BA"/>
    <w:rsid w:val="0C7F54D8"/>
    <w:rsid w:val="0C80DA6D"/>
    <w:rsid w:val="0C81C8D3"/>
    <w:rsid w:val="0C84B97C"/>
    <w:rsid w:val="0C856520"/>
    <w:rsid w:val="0C868E20"/>
    <w:rsid w:val="0C87FC87"/>
    <w:rsid w:val="0C884920"/>
    <w:rsid w:val="0C8A9CAF"/>
    <w:rsid w:val="0C8B5581"/>
    <w:rsid w:val="0C8D95C9"/>
    <w:rsid w:val="0C8E3CEA"/>
    <w:rsid w:val="0C928D6B"/>
    <w:rsid w:val="0C93FD85"/>
    <w:rsid w:val="0C95E1EB"/>
    <w:rsid w:val="0C96B742"/>
    <w:rsid w:val="0C970F4C"/>
    <w:rsid w:val="0C976F35"/>
    <w:rsid w:val="0C9AF8D2"/>
    <w:rsid w:val="0C9CC0C8"/>
    <w:rsid w:val="0CA15274"/>
    <w:rsid w:val="0CA1527E"/>
    <w:rsid w:val="0CA2FC4D"/>
    <w:rsid w:val="0CA32062"/>
    <w:rsid w:val="0CA49C0B"/>
    <w:rsid w:val="0CA4F94E"/>
    <w:rsid w:val="0CA52614"/>
    <w:rsid w:val="0CA60060"/>
    <w:rsid w:val="0CA65CA0"/>
    <w:rsid w:val="0CA6A8F4"/>
    <w:rsid w:val="0CA77EE4"/>
    <w:rsid w:val="0CA960CD"/>
    <w:rsid w:val="0CAA9ADD"/>
    <w:rsid w:val="0CAAA9EE"/>
    <w:rsid w:val="0CAB2807"/>
    <w:rsid w:val="0CADAC53"/>
    <w:rsid w:val="0CAE31E7"/>
    <w:rsid w:val="0CAE587C"/>
    <w:rsid w:val="0CAF9603"/>
    <w:rsid w:val="0CB01021"/>
    <w:rsid w:val="0CB03272"/>
    <w:rsid w:val="0CB10C52"/>
    <w:rsid w:val="0CB19B1A"/>
    <w:rsid w:val="0CB1BE74"/>
    <w:rsid w:val="0CB540EA"/>
    <w:rsid w:val="0CB639B2"/>
    <w:rsid w:val="0CB64945"/>
    <w:rsid w:val="0CB95C51"/>
    <w:rsid w:val="0CBA0E00"/>
    <w:rsid w:val="0CBC8B12"/>
    <w:rsid w:val="0CBCDBF7"/>
    <w:rsid w:val="0CBE5CDB"/>
    <w:rsid w:val="0CBF5FF7"/>
    <w:rsid w:val="0CC090A0"/>
    <w:rsid w:val="0CC2348C"/>
    <w:rsid w:val="0CC3C815"/>
    <w:rsid w:val="0CC3C949"/>
    <w:rsid w:val="0CC42971"/>
    <w:rsid w:val="0CC5555C"/>
    <w:rsid w:val="0CC76CA8"/>
    <w:rsid w:val="0CCA3D66"/>
    <w:rsid w:val="0CCB0A7C"/>
    <w:rsid w:val="0CCCD4A4"/>
    <w:rsid w:val="0CCD65BE"/>
    <w:rsid w:val="0CCD7C20"/>
    <w:rsid w:val="0CD19853"/>
    <w:rsid w:val="0CD1BCD9"/>
    <w:rsid w:val="0CD52888"/>
    <w:rsid w:val="0CD58DD9"/>
    <w:rsid w:val="0CD5F06D"/>
    <w:rsid w:val="0CD946E0"/>
    <w:rsid w:val="0CDAEDF3"/>
    <w:rsid w:val="0CDB2D57"/>
    <w:rsid w:val="0CDCDD3E"/>
    <w:rsid w:val="0CDF4838"/>
    <w:rsid w:val="0CE0AF4E"/>
    <w:rsid w:val="0CE149F3"/>
    <w:rsid w:val="0CE2E652"/>
    <w:rsid w:val="0CE3F428"/>
    <w:rsid w:val="0CE5D59C"/>
    <w:rsid w:val="0CE89773"/>
    <w:rsid w:val="0CE94611"/>
    <w:rsid w:val="0CE9E554"/>
    <w:rsid w:val="0CEC944B"/>
    <w:rsid w:val="0CECCFBC"/>
    <w:rsid w:val="0CF55BC1"/>
    <w:rsid w:val="0CF5B628"/>
    <w:rsid w:val="0CF5E6A3"/>
    <w:rsid w:val="0CF731D0"/>
    <w:rsid w:val="0CF7D6D6"/>
    <w:rsid w:val="0CFA53EA"/>
    <w:rsid w:val="0CFAEE93"/>
    <w:rsid w:val="0CFBAA0E"/>
    <w:rsid w:val="0CFC7BB4"/>
    <w:rsid w:val="0CFEB530"/>
    <w:rsid w:val="0CFFBE56"/>
    <w:rsid w:val="0D017B9B"/>
    <w:rsid w:val="0D01F773"/>
    <w:rsid w:val="0D02BA1D"/>
    <w:rsid w:val="0D082EB7"/>
    <w:rsid w:val="0D0B01F8"/>
    <w:rsid w:val="0D0BB479"/>
    <w:rsid w:val="0D0CD051"/>
    <w:rsid w:val="0D0E9145"/>
    <w:rsid w:val="0D12C6D7"/>
    <w:rsid w:val="0D16F1EC"/>
    <w:rsid w:val="0D189303"/>
    <w:rsid w:val="0D195371"/>
    <w:rsid w:val="0D1AC6CD"/>
    <w:rsid w:val="0D1B4A97"/>
    <w:rsid w:val="0D1B8A0B"/>
    <w:rsid w:val="0D1FD07D"/>
    <w:rsid w:val="0D1FE4AC"/>
    <w:rsid w:val="0D20FD87"/>
    <w:rsid w:val="0D211801"/>
    <w:rsid w:val="0D21A2E7"/>
    <w:rsid w:val="0D224EEA"/>
    <w:rsid w:val="0D229720"/>
    <w:rsid w:val="0D25E3A9"/>
    <w:rsid w:val="0D261F02"/>
    <w:rsid w:val="0D2697AC"/>
    <w:rsid w:val="0D2BE32E"/>
    <w:rsid w:val="0D2C5340"/>
    <w:rsid w:val="0D2D1659"/>
    <w:rsid w:val="0D2E4FBF"/>
    <w:rsid w:val="0D2EDF55"/>
    <w:rsid w:val="0D2F8F36"/>
    <w:rsid w:val="0D3085C2"/>
    <w:rsid w:val="0D31F66F"/>
    <w:rsid w:val="0D32BC37"/>
    <w:rsid w:val="0D3466D1"/>
    <w:rsid w:val="0D34AB19"/>
    <w:rsid w:val="0D367AC3"/>
    <w:rsid w:val="0D382CA7"/>
    <w:rsid w:val="0D383BA3"/>
    <w:rsid w:val="0D3898E0"/>
    <w:rsid w:val="0D399F9C"/>
    <w:rsid w:val="0D3AB360"/>
    <w:rsid w:val="0D3C7C8E"/>
    <w:rsid w:val="0D3CECB3"/>
    <w:rsid w:val="0D4053EA"/>
    <w:rsid w:val="0D40AADA"/>
    <w:rsid w:val="0D420076"/>
    <w:rsid w:val="0D435842"/>
    <w:rsid w:val="0D4373C9"/>
    <w:rsid w:val="0D43B79F"/>
    <w:rsid w:val="0D4A7E9E"/>
    <w:rsid w:val="0D4A90FF"/>
    <w:rsid w:val="0D4C34CA"/>
    <w:rsid w:val="0D4EA78F"/>
    <w:rsid w:val="0D515F00"/>
    <w:rsid w:val="0D51ACF5"/>
    <w:rsid w:val="0D5445B3"/>
    <w:rsid w:val="0D54BEC1"/>
    <w:rsid w:val="0D55BB17"/>
    <w:rsid w:val="0D58C820"/>
    <w:rsid w:val="0D58DE4B"/>
    <w:rsid w:val="0D599C8A"/>
    <w:rsid w:val="0D59B727"/>
    <w:rsid w:val="0D5BBDA3"/>
    <w:rsid w:val="0D5C2DB5"/>
    <w:rsid w:val="0D5D95B2"/>
    <w:rsid w:val="0D5FFA17"/>
    <w:rsid w:val="0D62EB55"/>
    <w:rsid w:val="0D6333AD"/>
    <w:rsid w:val="0D6416C8"/>
    <w:rsid w:val="0D6495CA"/>
    <w:rsid w:val="0D659C4F"/>
    <w:rsid w:val="0D663D2B"/>
    <w:rsid w:val="0D670F0F"/>
    <w:rsid w:val="0D67FB57"/>
    <w:rsid w:val="0D6890C3"/>
    <w:rsid w:val="0D69037A"/>
    <w:rsid w:val="0D6B721F"/>
    <w:rsid w:val="0D6B9B20"/>
    <w:rsid w:val="0D6CC023"/>
    <w:rsid w:val="0D6FB3E9"/>
    <w:rsid w:val="0D70BC00"/>
    <w:rsid w:val="0D72242B"/>
    <w:rsid w:val="0D72D93C"/>
    <w:rsid w:val="0D733818"/>
    <w:rsid w:val="0D73B13D"/>
    <w:rsid w:val="0D73D2C5"/>
    <w:rsid w:val="0D74EF3A"/>
    <w:rsid w:val="0D7657EF"/>
    <w:rsid w:val="0D7764A1"/>
    <w:rsid w:val="0D79B5DC"/>
    <w:rsid w:val="0D79C00B"/>
    <w:rsid w:val="0D7A797C"/>
    <w:rsid w:val="0D7B7CFA"/>
    <w:rsid w:val="0D7CA7F2"/>
    <w:rsid w:val="0D7EC9BD"/>
    <w:rsid w:val="0D8046EE"/>
    <w:rsid w:val="0D806CCD"/>
    <w:rsid w:val="0D8255ED"/>
    <w:rsid w:val="0D848C99"/>
    <w:rsid w:val="0D85B90B"/>
    <w:rsid w:val="0D85CACF"/>
    <w:rsid w:val="0D863C8C"/>
    <w:rsid w:val="0D86476B"/>
    <w:rsid w:val="0D87D54C"/>
    <w:rsid w:val="0D8861B6"/>
    <w:rsid w:val="0D887881"/>
    <w:rsid w:val="0D8878E1"/>
    <w:rsid w:val="0D8CD0B6"/>
    <w:rsid w:val="0D8E574C"/>
    <w:rsid w:val="0D8ED017"/>
    <w:rsid w:val="0D8F5A18"/>
    <w:rsid w:val="0D8FD9D8"/>
    <w:rsid w:val="0D941971"/>
    <w:rsid w:val="0D942A84"/>
    <w:rsid w:val="0D950BA8"/>
    <w:rsid w:val="0D96B519"/>
    <w:rsid w:val="0D9844C8"/>
    <w:rsid w:val="0DA0D751"/>
    <w:rsid w:val="0DA1926D"/>
    <w:rsid w:val="0DA2A4A1"/>
    <w:rsid w:val="0DA2FA9B"/>
    <w:rsid w:val="0DA5D89D"/>
    <w:rsid w:val="0DA6366E"/>
    <w:rsid w:val="0DA74E8F"/>
    <w:rsid w:val="0DA7955E"/>
    <w:rsid w:val="0DA7E6E2"/>
    <w:rsid w:val="0DA99DDB"/>
    <w:rsid w:val="0DAAA447"/>
    <w:rsid w:val="0DAFC2E5"/>
    <w:rsid w:val="0DB24545"/>
    <w:rsid w:val="0DB280D8"/>
    <w:rsid w:val="0DB59FFB"/>
    <w:rsid w:val="0DB75303"/>
    <w:rsid w:val="0DB7F1FD"/>
    <w:rsid w:val="0DBA2AA4"/>
    <w:rsid w:val="0DBC5C44"/>
    <w:rsid w:val="0DBCB307"/>
    <w:rsid w:val="0DBF51B1"/>
    <w:rsid w:val="0DBFAF96"/>
    <w:rsid w:val="0DC02756"/>
    <w:rsid w:val="0DC13C45"/>
    <w:rsid w:val="0DC163F3"/>
    <w:rsid w:val="0DC184C2"/>
    <w:rsid w:val="0DC235F1"/>
    <w:rsid w:val="0DC4D1BF"/>
    <w:rsid w:val="0DC4D452"/>
    <w:rsid w:val="0DC65146"/>
    <w:rsid w:val="0DC6D9C1"/>
    <w:rsid w:val="0DC7F929"/>
    <w:rsid w:val="0DCE0FCB"/>
    <w:rsid w:val="0DCE461F"/>
    <w:rsid w:val="0DD17D29"/>
    <w:rsid w:val="0DD2F692"/>
    <w:rsid w:val="0DD4E6A8"/>
    <w:rsid w:val="0DD5356E"/>
    <w:rsid w:val="0DD6381F"/>
    <w:rsid w:val="0DD76DB9"/>
    <w:rsid w:val="0DDA10E7"/>
    <w:rsid w:val="0DDB0470"/>
    <w:rsid w:val="0DDD82F2"/>
    <w:rsid w:val="0DDE4C20"/>
    <w:rsid w:val="0DE2CBA7"/>
    <w:rsid w:val="0DE40522"/>
    <w:rsid w:val="0DE4623C"/>
    <w:rsid w:val="0DE52DD7"/>
    <w:rsid w:val="0DE913C9"/>
    <w:rsid w:val="0DE98E97"/>
    <w:rsid w:val="0DEA2E78"/>
    <w:rsid w:val="0DEAE8F1"/>
    <w:rsid w:val="0DEB4E2E"/>
    <w:rsid w:val="0DECDCB6"/>
    <w:rsid w:val="0DEDDD76"/>
    <w:rsid w:val="0DF037CC"/>
    <w:rsid w:val="0DF29D9D"/>
    <w:rsid w:val="0DF3135D"/>
    <w:rsid w:val="0DF3CB39"/>
    <w:rsid w:val="0DF4F946"/>
    <w:rsid w:val="0DF6AC10"/>
    <w:rsid w:val="0DF6C95A"/>
    <w:rsid w:val="0DF7CC24"/>
    <w:rsid w:val="0DF7E160"/>
    <w:rsid w:val="0DF85D6F"/>
    <w:rsid w:val="0DF9038D"/>
    <w:rsid w:val="0DFAE4E0"/>
    <w:rsid w:val="0DFB9E0B"/>
    <w:rsid w:val="0DFCB889"/>
    <w:rsid w:val="0DFCEDE9"/>
    <w:rsid w:val="0DFEEED8"/>
    <w:rsid w:val="0DFF6177"/>
    <w:rsid w:val="0DFF776C"/>
    <w:rsid w:val="0E018527"/>
    <w:rsid w:val="0E01FE78"/>
    <w:rsid w:val="0E038E30"/>
    <w:rsid w:val="0E03B113"/>
    <w:rsid w:val="0E049145"/>
    <w:rsid w:val="0E05C1AC"/>
    <w:rsid w:val="0E065500"/>
    <w:rsid w:val="0E0B500B"/>
    <w:rsid w:val="0E0BD7B4"/>
    <w:rsid w:val="0E0DC42C"/>
    <w:rsid w:val="0E0F1EAC"/>
    <w:rsid w:val="0E0FBC59"/>
    <w:rsid w:val="0E1049DC"/>
    <w:rsid w:val="0E1062E7"/>
    <w:rsid w:val="0E11C12B"/>
    <w:rsid w:val="0E164242"/>
    <w:rsid w:val="0E188674"/>
    <w:rsid w:val="0E1B00F9"/>
    <w:rsid w:val="0E1B69DF"/>
    <w:rsid w:val="0E1BF62B"/>
    <w:rsid w:val="0E1C4FB2"/>
    <w:rsid w:val="0E1D007F"/>
    <w:rsid w:val="0E1D6C20"/>
    <w:rsid w:val="0E20FFC4"/>
    <w:rsid w:val="0E23914A"/>
    <w:rsid w:val="0E24E467"/>
    <w:rsid w:val="0E25A062"/>
    <w:rsid w:val="0E26EA5A"/>
    <w:rsid w:val="0E270A6D"/>
    <w:rsid w:val="0E28C45F"/>
    <w:rsid w:val="0E2B2C8C"/>
    <w:rsid w:val="0E2BA6CD"/>
    <w:rsid w:val="0E2D35A2"/>
    <w:rsid w:val="0E2E21B5"/>
    <w:rsid w:val="0E31133C"/>
    <w:rsid w:val="0E31CAEC"/>
    <w:rsid w:val="0E31FE8C"/>
    <w:rsid w:val="0E322F65"/>
    <w:rsid w:val="0E3590C2"/>
    <w:rsid w:val="0E38C005"/>
    <w:rsid w:val="0E3A7B2D"/>
    <w:rsid w:val="0E3C1215"/>
    <w:rsid w:val="0E3C63D5"/>
    <w:rsid w:val="0E3F973E"/>
    <w:rsid w:val="0E3FB4EA"/>
    <w:rsid w:val="0E3FBC37"/>
    <w:rsid w:val="0E426FB9"/>
    <w:rsid w:val="0E42B3AD"/>
    <w:rsid w:val="0E438393"/>
    <w:rsid w:val="0E4B74F2"/>
    <w:rsid w:val="0E4C3C37"/>
    <w:rsid w:val="0E4F1048"/>
    <w:rsid w:val="0E4F69E6"/>
    <w:rsid w:val="0E511FBF"/>
    <w:rsid w:val="0E531301"/>
    <w:rsid w:val="0E5316D2"/>
    <w:rsid w:val="0E535E06"/>
    <w:rsid w:val="0E571893"/>
    <w:rsid w:val="0E59D97A"/>
    <w:rsid w:val="0E5DA5E1"/>
    <w:rsid w:val="0E5DD20C"/>
    <w:rsid w:val="0E61587C"/>
    <w:rsid w:val="0E61E77C"/>
    <w:rsid w:val="0E62D427"/>
    <w:rsid w:val="0E65E2F8"/>
    <w:rsid w:val="0E695902"/>
    <w:rsid w:val="0E6AD017"/>
    <w:rsid w:val="0E6B0D9E"/>
    <w:rsid w:val="0E6B652F"/>
    <w:rsid w:val="0E6F345C"/>
    <w:rsid w:val="0E70247D"/>
    <w:rsid w:val="0E70C498"/>
    <w:rsid w:val="0E71293E"/>
    <w:rsid w:val="0E7232BF"/>
    <w:rsid w:val="0E7502EC"/>
    <w:rsid w:val="0E78D5C7"/>
    <w:rsid w:val="0E79F0C7"/>
    <w:rsid w:val="0E7BAE34"/>
    <w:rsid w:val="0E7DAFD2"/>
    <w:rsid w:val="0E7F4483"/>
    <w:rsid w:val="0E7FC305"/>
    <w:rsid w:val="0E81E473"/>
    <w:rsid w:val="0E82FE7E"/>
    <w:rsid w:val="0E83F5C8"/>
    <w:rsid w:val="0E84611D"/>
    <w:rsid w:val="0E86F294"/>
    <w:rsid w:val="0E87C6B3"/>
    <w:rsid w:val="0E87DD50"/>
    <w:rsid w:val="0E8A23EB"/>
    <w:rsid w:val="0E8E2C27"/>
    <w:rsid w:val="0E8EF097"/>
    <w:rsid w:val="0E8F8A4B"/>
    <w:rsid w:val="0E909F8A"/>
    <w:rsid w:val="0E97BE50"/>
    <w:rsid w:val="0E9B6D28"/>
    <w:rsid w:val="0E9DC505"/>
    <w:rsid w:val="0EA0A336"/>
    <w:rsid w:val="0EA11E21"/>
    <w:rsid w:val="0EA2E88B"/>
    <w:rsid w:val="0EA44C3D"/>
    <w:rsid w:val="0EA70869"/>
    <w:rsid w:val="0EA75262"/>
    <w:rsid w:val="0EA80204"/>
    <w:rsid w:val="0EA83E6F"/>
    <w:rsid w:val="0EAACD49"/>
    <w:rsid w:val="0EACC191"/>
    <w:rsid w:val="0EAD9182"/>
    <w:rsid w:val="0EAE889B"/>
    <w:rsid w:val="0EB0152C"/>
    <w:rsid w:val="0EB1ADD8"/>
    <w:rsid w:val="0EB266D3"/>
    <w:rsid w:val="0EB33064"/>
    <w:rsid w:val="0EB66E03"/>
    <w:rsid w:val="0EB6E60E"/>
    <w:rsid w:val="0EB706B4"/>
    <w:rsid w:val="0EB76F3D"/>
    <w:rsid w:val="0EB91509"/>
    <w:rsid w:val="0EBC7838"/>
    <w:rsid w:val="0EBC97D3"/>
    <w:rsid w:val="0EBCB3F0"/>
    <w:rsid w:val="0EBDE652"/>
    <w:rsid w:val="0EBEA0D0"/>
    <w:rsid w:val="0EBF7441"/>
    <w:rsid w:val="0EC22BF3"/>
    <w:rsid w:val="0EC2337C"/>
    <w:rsid w:val="0EC30404"/>
    <w:rsid w:val="0EC871E2"/>
    <w:rsid w:val="0EC8A7D6"/>
    <w:rsid w:val="0ED1A0CA"/>
    <w:rsid w:val="0ED2712E"/>
    <w:rsid w:val="0ED37976"/>
    <w:rsid w:val="0ED40D13"/>
    <w:rsid w:val="0ED53E12"/>
    <w:rsid w:val="0ED70D9E"/>
    <w:rsid w:val="0ED76980"/>
    <w:rsid w:val="0ED97F7D"/>
    <w:rsid w:val="0ED99598"/>
    <w:rsid w:val="0EDBA650"/>
    <w:rsid w:val="0EDE45B8"/>
    <w:rsid w:val="0EE2C4AA"/>
    <w:rsid w:val="0EE370D0"/>
    <w:rsid w:val="0EE4605C"/>
    <w:rsid w:val="0EE5E14B"/>
    <w:rsid w:val="0EE655E6"/>
    <w:rsid w:val="0EE67C85"/>
    <w:rsid w:val="0EE7306B"/>
    <w:rsid w:val="0EE74849"/>
    <w:rsid w:val="0EE945FF"/>
    <w:rsid w:val="0EE9F51F"/>
    <w:rsid w:val="0EEA18AE"/>
    <w:rsid w:val="0EEA3E27"/>
    <w:rsid w:val="0EEB0E54"/>
    <w:rsid w:val="0EED3EF4"/>
    <w:rsid w:val="0EEF4E67"/>
    <w:rsid w:val="0EF0D753"/>
    <w:rsid w:val="0EF1E782"/>
    <w:rsid w:val="0EF4E716"/>
    <w:rsid w:val="0EF55AF7"/>
    <w:rsid w:val="0EF6A67E"/>
    <w:rsid w:val="0EF80E8A"/>
    <w:rsid w:val="0EFA74FF"/>
    <w:rsid w:val="0EFAE92A"/>
    <w:rsid w:val="0EFC0702"/>
    <w:rsid w:val="0EFC64A8"/>
    <w:rsid w:val="0EFD24E2"/>
    <w:rsid w:val="0EFD5807"/>
    <w:rsid w:val="0EFEB5B0"/>
    <w:rsid w:val="0F000688"/>
    <w:rsid w:val="0F000F88"/>
    <w:rsid w:val="0F00520F"/>
    <w:rsid w:val="0F03A8B9"/>
    <w:rsid w:val="0F03AE7A"/>
    <w:rsid w:val="0F04C950"/>
    <w:rsid w:val="0F06F28D"/>
    <w:rsid w:val="0F077F7E"/>
    <w:rsid w:val="0F079183"/>
    <w:rsid w:val="0F07E60C"/>
    <w:rsid w:val="0F08033F"/>
    <w:rsid w:val="0F0BC4D8"/>
    <w:rsid w:val="0F0C6351"/>
    <w:rsid w:val="0F10B4B5"/>
    <w:rsid w:val="0F132057"/>
    <w:rsid w:val="0F136299"/>
    <w:rsid w:val="0F13773C"/>
    <w:rsid w:val="0F139A92"/>
    <w:rsid w:val="0F15EFC5"/>
    <w:rsid w:val="0F16DF50"/>
    <w:rsid w:val="0F18DF85"/>
    <w:rsid w:val="0F1B3EDD"/>
    <w:rsid w:val="0F1BA4B3"/>
    <w:rsid w:val="0F1BE87D"/>
    <w:rsid w:val="0F1E3F01"/>
    <w:rsid w:val="0F20A8E5"/>
    <w:rsid w:val="0F20AA03"/>
    <w:rsid w:val="0F226E27"/>
    <w:rsid w:val="0F228FC9"/>
    <w:rsid w:val="0F2315EB"/>
    <w:rsid w:val="0F23E853"/>
    <w:rsid w:val="0F26D08C"/>
    <w:rsid w:val="0F293A5E"/>
    <w:rsid w:val="0F2B0488"/>
    <w:rsid w:val="0F2B6AB3"/>
    <w:rsid w:val="0F2CAD5B"/>
    <w:rsid w:val="0F2CD47E"/>
    <w:rsid w:val="0F2D3FB7"/>
    <w:rsid w:val="0F2DF91F"/>
    <w:rsid w:val="0F31F848"/>
    <w:rsid w:val="0F3246F7"/>
    <w:rsid w:val="0F332F0E"/>
    <w:rsid w:val="0F34157F"/>
    <w:rsid w:val="0F36F1BA"/>
    <w:rsid w:val="0F3C2D79"/>
    <w:rsid w:val="0F41ACAA"/>
    <w:rsid w:val="0F41B2F6"/>
    <w:rsid w:val="0F429230"/>
    <w:rsid w:val="0F4313B7"/>
    <w:rsid w:val="0F45C3D9"/>
    <w:rsid w:val="0F48CCCF"/>
    <w:rsid w:val="0F4B0ED6"/>
    <w:rsid w:val="0F4CD09D"/>
    <w:rsid w:val="0F4CEEBA"/>
    <w:rsid w:val="0F4E584F"/>
    <w:rsid w:val="0F4E6B5C"/>
    <w:rsid w:val="0F4EFB29"/>
    <w:rsid w:val="0F501528"/>
    <w:rsid w:val="0F512E12"/>
    <w:rsid w:val="0F523858"/>
    <w:rsid w:val="0F53FAA2"/>
    <w:rsid w:val="0F541571"/>
    <w:rsid w:val="0F54D4A7"/>
    <w:rsid w:val="0F560481"/>
    <w:rsid w:val="0F5A04AB"/>
    <w:rsid w:val="0F5CE727"/>
    <w:rsid w:val="0F5FA8C0"/>
    <w:rsid w:val="0F603776"/>
    <w:rsid w:val="0F61702A"/>
    <w:rsid w:val="0F65578F"/>
    <w:rsid w:val="0F65CC4F"/>
    <w:rsid w:val="0F6616C6"/>
    <w:rsid w:val="0F666B90"/>
    <w:rsid w:val="0F66C897"/>
    <w:rsid w:val="0F670C9C"/>
    <w:rsid w:val="0F685842"/>
    <w:rsid w:val="0F695B5C"/>
    <w:rsid w:val="0F6A2F39"/>
    <w:rsid w:val="0F6A7BF0"/>
    <w:rsid w:val="0F6AF5D3"/>
    <w:rsid w:val="0F6B511A"/>
    <w:rsid w:val="0F6BF124"/>
    <w:rsid w:val="0F6C2653"/>
    <w:rsid w:val="0F6D1B53"/>
    <w:rsid w:val="0F6D383E"/>
    <w:rsid w:val="0F6D88F1"/>
    <w:rsid w:val="0F6E177A"/>
    <w:rsid w:val="0F6E6CFA"/>
    <w:rsid w:val="0F6EA468"/>
    <w:rsid w:val="0F71C508"/>
    <w:rsid w:val="0F728D5A"/>
    <w:rsid w:val="0F72E50F"/>
    <w:rsid w:val="0F73F7D0"/>
    <w:rsid w:val="0F741C7F"/>
    <w:rsid w:val="0F74A996"/>
    <w:rsid w:val="0F74D2BD"/>
    <w:rsid w:val="0F74E9BE"/>
    <w:rsid w:val="0F761EA9"/>
    <w:rsid w:val="0F764979"/>
    <w:rsid w:val="0F7897AA"/>
    <w:rsid w:val="0F7A22DB"/>
    <w:rsid w:val="0F7A7D57"/>
    <w:rsid w:val="0F7B7A08"/>
    <w:rsid w:val="0F7D9DDA"/>
    <w:rsid w:val="0F812433"/>
    <w:rsid w:val="0F83E890"/>
    <w:rsid w:val="0F83FC52"/>
    <w:rsid w:val="0F878050"/>
    <w:rsid w:val="0F88A0AB"/>
    <w:rsid w:val="0F890A73"/>
    <w:rsid w:val="0F8A9A5C"/>
    <w:rsid w:val="0F8C9B0C"/>
    <w:rsid w:val="0F8FDF9B"/>
    <w:rsid w:val="0F9058F2"/>
    <w:rsid w:val="0F90C869"/>
    <w:rsid w:val="0F92EF71"/>
    <w:rsid w:val="0F932ED6"/>
    <w:rsid w:val="0F964E9B"/>
    <w:rsid w:val="0F97C944"/>
    <w:rsid w:val="0F982CF3"/>
    <w:rsid w:val="0F995D4B"/>
    <w:rsid w:val="0F9A8C57"/>
    <w:rsid w:val="0F9AA43A"/>
    <w:rsid w:val="0F9AA816"/>
    <w:rsid w:val="0F9B5972"/>
    <w:rsid w:val="0F9BC02C"/>
    <w:rsid w:val="0F9CF7F1"/>
    <w:rsid w:val="0F9DAC3F"/>
    <w:rsid w:val="0F9E13AB"/>
    <w:rsid w:val="0FA0BE1E"/>
    <w:rsid w:val="0FA3025C"/>
    <w:rsid w:val="0FA34F3F"/>
    <w:rsid w:val="0FA662E3"/>
    <w:rsid w:val="0FA6D4A5"/>
    <w:rsid w:val="0FA6F52F"/>
    <w:rsid w:val="0FA75F74"/>
    <w:rsid w:val="0FA81361"/>
    <w:rsid w:val="0FA8861E"/>
    <w:rsid w:val="0FA909D1"/>
    <w:rsid w:val="0FAA7DDA"/>
    <w:rsid w:val="0FABDA36"/>
    <w:rsid w:val="0FAC79D3"/>
    <w:rsid w:val="0FAC84D1"/>
    <w:rsid w:val="0FADF0B7"/>
    <w:rsid w:val="0FAE2919"/>
    <w:rsid w:val="0FAF0622"/>
    <w:rsid w:val="0FB013D3"/>
    <w:rsid w:val="0FB445E7"/>
    <w:rsid w:val="0FB52942"/>
    <w:rsid w:val="0FB618EC"/>
    <w:rsid w:val="0FB6F7D5"/>
    <w:rsid w:val="0FB81C89"/>
    <w:rsid w:val="0FBA16B9"/>
    <w:rsid w:val="0FBA5DB9"/>
    <w:rsid w:val="0FBBAD2E"/>
    <w:rsid w:val="0FBDE4F8"/>
    <w:rsid w:val="0FBE1F26"/>
    <w:rsid w:val="0FBF50EC"/>
    <w:rsid w:val="0FBFB96B"/>
    <w:rsid w:val="0FC045A4"/>
    <w:rsid w:val="0FC0817E"/>
    <w:rsid w:val="0FC285D5"/>
    <w:rsid w:val="0FC2FBD5"/>
    <w:rsid w:val="0FC38606"/>
    <w:rsid w:val="0FC75018"/>
    <w:rsid w:val="0FC7ADA1"/>
    <w:rsid w:val="0FC93E0D"/>
    <w:rsid w:val="0FC99A82"/>
    <w:rsid w:val="0FC9FDDF"/>
    <w:rsid w:val="0FCA1E1E"/>
    <w:rsid w:val="0FCB07DF"/>
    <w:rsid w:val="0FCB453F"/>
    <w:rsid w:val="0FCC949E"/>
    <w:rsid w:val="0FCD9072"/>
    <w:rsid w:val="0FCFA7AD"/>
    <w:rsid w:val="0FCFFCCF"/>
    <w:rsid w:val="0FD1BE42"/>
    <w:rsid w:val="0FD1D56C"/>
    <w:rsid w:val="0FD2F41A"/>
    <w:rsid w:val="0FD3FB3F"/>
    <w:rsid w:val="0FD4BFB4"/>
    <w:rsid w:val="0FD6FE37"/>
    <w:rsid w:val="0FD7EDFE"/>
    <w:rsid w:val="0FD89A36"/>
    <w:rsid w:val="0FD92A90"/>
    <w:rsid w:val="0FDA1E87"/>
    <w:rsid w:val="0FDB270C"/>
    <w:rsid w:val="0FDF8ED4"/>
    <w:rsid w:val="0FDF8FB4"/>
    <w:rsid w:val="0FE017E2"/>
    <w:rsid w:val="0FE1215D"/>
    <w:rsid w:val="0FE25076"/>
    <w:rsid w:val="0FE30BDB"/>
    <w:rsid w:val="0FE42526"/>
    <w:rsid w:val="0FE4C558"/>
    <w:rsid w:val="0FE588A9"/>
    <w:rsid w:val="0FE58DFB"/>
    <w:rsid w:val="0FE6E34D"/>
    <w:rsid w:val="0FE6F308"/>
    <w:rsid w:val="0FE8EBEB"/>
    <w:rsid w:val="0FEA510C"/>
    <w:rsid w:val="0FEAABE5"/>
    <w:rsid w:val="0FEBD96C"/>
    <w:rsid w:val="0FEDD7C2"/>
    <w:rsid w:val="0FF46008"/>
    <w:rsid w:val="0FF504F1"/>
    <w:rsid w:val="0FF5A898"/>
    <w:rsid w:val="0FFD5946"/>
    <w:rsid w:val="0FFE1AC1"/>
    <w:rsid w:val="1000B38A"/>
    <w:rsid w:val="10024CB0"/>
    <w:rsid w:val="1004EC2B"/>
    <w:rsid w:val="10085D6F"/>
    <w:rsid w:val="10096FD6"/>
    <w:rsid w:val="100A3971"/>
    <w:rsid w:val="100B0AE1"/>
    <w:rsid w:val="100B133E"/>
    <w:rsid w:val="100BF4C3"/>
    <w:rsid w:val="100CE609"/>
    <w:rsid w:val="10107D15"/>
    <w:rsid w:val="1011235C"/>
    <w:rsid w:val="1012FA0A"/>
    <w:rsid w:val="1014A19D"/>
    <w:rsid w:val="1014BDDC"/>
    <w:rsid w:val="1014CEE0"/>
    <w:rsid w:val="10158FAF"/>
    <w:rsid w:val="10160732"/>
    <w:rsid w:val="1016FE85"/>
    <w:rsid w:val="10181DC8"/>
    <w:rsid w:val="10193940"/>
    <w:rsid w:val="1019D2AA"/>
    <w:rsid w:val="101B94D9"/>
    <w:rsid w:val="1022E4A3"/>
    <w:rsid w:val="102352CC"/>
    <w:rsid w:val="102520FB"/>
    <w:rsid w:val="10260A71"/>
    <w:rsid w:val="10293AC7"/>
    <w:rsid w:val="102BC5F7"/>
    <w:rsid w:val="102C3DB6"/>
    <w:rsid w:val="102C5652"/>
    <w:rsid w:val="102C7CDA"/>
    <w:rsid w:val="1030C7CD"/>
    <w:rsid w:val="1031419C"/>
    <w:rsid w:val="1031B3A0"/>
    <w:rsid w:val="103257A4"/>
    <w:rsid w:val="10334B88"/>
    <w:rsid w:val="1039A701"/>
    <w:rsid w:val="103A8E2C"/>
    <w:rsid w:val="103C8897"/>
    <w:rsid w:val="103E00DD"/>
    <w:rsid w:val="104006FF"/>
    <w:rsid w:val="10402E0D"/>
    <w:rsid w:val="10404A85"/>
    <w:rsid w:val="1040BA9F"/>
    <w:rsid w:val="104334E5"/>
    <w:rsid w:val="104388CE"/>
    <w:rsid w:val="1043D87D"/>
    <w:rsid w:val="1044B807"/>
    <w:rsid w:val="10455527"/>
    <w:rsid w:val="1045618D"/>
    <w:rsid w:val="1046C642"/>
    <w:rsid w:val="1046DABC"/>
    <w:rsid w:val="104729F4"/>
    <w:rsid w:val="1047F93C"/>
    <w:rsid w:val="10488A88"/>
    <w:rsid w:val="1048F2F8"/>
    <w:rsid w:val="104997E9"/>
    <w:rsid w:val="104A9052"/>
    <w:rsid w:val="104A9D7A"/>
    <w:rsid w:val="104CF38E"/>
    <w:rsid w:val="104D80B0"/>
    <w:rsid w:val="104EDF29"/>
    <w:rsid w:val="1050F032"/>
    <w:rsid w:val="10510D17"/>
    <w:rsid w:val="105144F7"/>
    <w:rsid w:val="1052005C"/>
    <w:rsid w:val="1053589F"/>
    <w:rsid w:val="1054BDF4"/>
    <w:rsid w:val="105719A9"/>
    <w:rsid w:val="10592E99"/>
    <w:rsid w:val="105A54D1"/>
    <w:rsid w:val="105BA3A7"/>
    <w:rsid w:val="105FE8E7"/>
    <w:rsid w:val="10609466"/>
    <w:rsid w:val="106175C6"/>
    <w:rsid w:val="106281B6"/>
    <w:rsid w:val="10659A38"/>
    <w:rsid w:val="1066C8F6"/>
    <w:rsid w:val="106766AD"/>
    <w:rsid w:val="1067FADE"/>
    <w:rsid w:val="1068444A"/>
    <w:rsid w:val="106A0981"/>
    <w:rsid w:val="106AF623"/>
    <w:rsid w:val="106B5AE8"/>
    <w:rsid w:val="106B5C99"/>
    <w:rsid w:val="106D0808"/>
    <w:rsid w:val="106DA25F"/>
    <w:rsid w:val="106F3679"/>
    <w:rsid w:val="1071AEDB"/>
    <w:rsid w:val="10760881"/>
    <w:rsid w:val="10773A6C"/>
    <w:rsid w:val="107965A2"/>
    <w:rsid w:val="107985FB"/>
    <w:rsid w:val="107A1603"/>
    <w:rsid w:val="107A4FA2"/>
    <w:rsid w:val="107C08B0"/>
    <w:rsid w:val="1081236E"/>
    <w:rsid w:val="108184D7"/>
    <w:rsid w:val="10826733"/>
    <w:rsid w:val="1083967D"/>
    <w:rsid w:val="10842B4C"/>
    <w:rsid w:val="1084CD80"/>
    <w:rsid w:val="1085F531"/>
    <w:rsid w:val="1086AD59"/>
    <w:rsid w:val="10876490"/>
    <w:rsid w:val="1088C7DF"/>
    <w:rsid w:val="108980D4"/>
    <w:rsid w:val="108B008F"/>
    <w:rsid w:val="108E9CF9"/>
    <w:rsid w:val="108EBE69"/>
    <w:rsid w:val="108FF52C"/>
    <w:rsid w:val="1091CAA6"/>
    <w:rsid w:val="10927C70"/>
    <w:rsid w:val="1092EE03"/>
    <w:rsid w:val="10938FA1"/>
    <w:rsid w:val="10939A6A"/>
    <w:rsid w:val="1093E980"/>
    <w:rsid w:val="109556B4"/>
    <w:rsid w:val="1095A12C"/>
    <w:rsid w:val="1096982E"/>
    <w:rsid w:val="1096AC60"/>
    <w:rsid w:val="109871D9"/>
    <w:rsid w:val="10987BC8"/>
    <w:rsid w:val="1098960A"/>
    <w:rsid w:val="109A3603"/>
    <w:rsid w:val="109A4EAB"/>
    <w:rsid w:val="109BD284"/>
    <w:rsid w:val="109CE533"/>
    <w:rsid w:val="109E3617"/>
    <w:rsid w:val="109FA13B"/>
    <w:rsid w:val="10A083A3"/>
    <w:rsid w:val="10A27DB2"/>
    <w:rsid w:val="10A3B585"/>
    <w:rsid w:val="10A8DDC2"/>
    <w:rsid w:val="10A8F424"/>
    <w:rsid w:val="10A93932"/>
    <w:rsid w:val="10AAD917"/>
    <w:rsid w:val="10AC49F0"/>
    <w:rsid w:val="10AC874F"/>
    <w:rsid w:val="10ACD842"/>
    <w:rsid w:val="10AD98BC"/>
    <w:rsid w:val="10B15D4D"/>
    <w:rsid w:val="10B56417"/>
    <w:rsid w:val="10B6EE25"/>
    <w:rsid w:val="10B830B4"/>
    <w:rsid w:val="10B8AE53"/>
    <w:rsid w:val="10B8B3F3"/>
    <w:rsid w:val="10BC995B"/>
    <w:rsid w:val="10BF5F30"/>
    <w:rsid w:val="10C02974"/>
    <w:rsid w:val="10C09FCB"/>
    <w:rsid w:val="10C67370"/>
    <w:rsid w:val="10C7D492"/>
    <w:rsid w:val="10CA2074"/>
    <w:rsid w:val="10CB63A8"/>
    <w:rsid w:val="10CC5C68"/>
    <w:rsid w:val="10CCB209"/>
    <w:rsid w:val="10CCE5B5"/>
    <w:rsid w:val="10CEDB48"/>
    <w:rsid w:val="10CF1B8E"/>
    <w:rsid w:val="10D07772"/>
    <w:rsid w:val="10D08B66"/>
    <w:rsid w:val="10D3B666"/>
    <w:rsid w:val="10D85A63"/>
    <w:rsid w:val="10D88BDF"/>
    <w:rsid w:val="10DB1CF9"/>
    <w:rsid w:val="10DD32B6"/>
    <w:rsid w:val="10DE8394"/>
    <w:rsid w:val="10DF225A"/>
    <w:rsid w:val="10DF9069"/>
    <w:rsid w:val="10DFB549"/>
    <w:rsid w:val="10DFB6A6"/>
    <w:rsid w:val="10DFD101"/>
    <w:rsid w:val="10E3AB08"/>
    <w:rsid w:val="10E4E1D0"/>
    <w:rsid w:val="10E4FED9"/>
    <w:rsid w:val="10E5133E"/>
    <w:rsid w:val="10E56E6D"/>
    <w:rsid w:val="10E63476"/>
    <w:rsid w:val="10E8AEC4"/>
    <w:rsid w:val="10EB0CDA"/>
    <w:rsid w:val="10EBBB89"/>
    <w:rsid w:val="10EBC51D"/>
    <w:rsid w:val="10EEEF73"/>
    <w:rsid w:val="10F0161E"/>
    <w:rsid w:val="10F49070"/>
    <w:rsid w:val="10F4DA80"/>
    <w:rsid w:val="10F60A08"/>
    <w:rsid w:val="10F95780"/>
    <w:rsid w:val="10FA5842"/>
    <w:rsid w:val="10FAC969"/>
    <w:rsid w:val="10FB1EC2"/>
    <w:rsid w:val="10FB8C37"/>
    <w:rsid w:val="10FBAA48"/>
    <w:rsid w:val="10FD4AEF"/>
    <w:rsid w:val="10FD6CE1"/>
    <w:rsid w:val="11022EA5"/>
    <w:rsid w:val="110370C1"/>
    <w:rsid w:val="1104DACB"/>
    <w:rsid w:val="11056E41"/>
    <w:rsid w:val="1106350D"/>
    <w:rsid w:val="11074FBB"/>
    <w:rsid w:val="1107C803"/>
    <w:rsid w:val="1107D4EE"/>
    <w:rsid w:val="11093F66"/>
    <w:rsid w:val="110CC3DE"/>
    <w:rsid w:val="110E208A"/>
    <w:rsid w:val="11104416"/>
    <w:rsid w:val="11120B2E"/>
    <w:rsid w:val="11121B47"/>
    <w:rsid w:val="1112E2EE"/>
    <w:rsid w:val="1114DAE3"/>
    <w:rsid w:val="11169F9C"/>
    <w:rsid w:val="11178508"/>
    <w:rsid w:val="111861AC"/>
    <w:rsid w:val="1119B5AE"/>
    <w:rsid w:val="111A28E7"/>
    <w:rsid w:val="111BD1B5"/>
    <w:rsid w:val="111CFEE9"/>
    <w:rsid w:val="111D1D7D"/>
    <w:rsid w:val="111D530F"/>
    <w:rsid w:val="111F2F26"/>
    <w:rsid w:val="111F8E00"/>
    <w:rsid w:val="1121AF6B"/>
    <w:rsid w:val="11221201"/>
    <w:rsid w:val="11232969"/>
    <w:rsid w:val="1125496C"/>
    <w:rsid w:val="1127C699"/>
    <w:rsid w:val="11292A2C"/>
    <w:rsid w:val="112AADEB"/>
    <w:rsid w:val="112D5084"/>
    <w:rsid w:val="112DC531"/>
    <w:rsid w:val="112ED0AD"/>
    <w:rsid w:val="11311A71"/>
    <w:rsid w:val="113168FA"/>
    <w:rsid w:val="113171D5"/>
    <w:rsid w:val="11327726"/>
    <w:rsid w:val="1132CEDA"/>
    <w:rsid w:val="113680B6"/>
    <w:rsid w:val="11369214"/>
    <w:rsid w:val="1138FC38"/>
    <w:rsid w:val="113B02DC"/>
    <w:rsid w:val="113DBD9C"/>
    <w:rsid w:val="11419D2A"/>
    <w:rsid w:val="1142CB59"/>
    <w:rsid w:val="114321BD"/>
    <w:rsid w:val="11434C97"/>
    <w:rsid w:val="11434D09"/>
    <w:rsid w:val="11454064"/>
    <w:rsid w:val="1148D3C8"/>
    <w:rsid w:val="114A800A"/>
    <w:rsid w:val="114DA6C3"/>
    <w:rsid w:val="114E3DAD"/>
    <w:rsid w:val="114EBF7C"/>
    <w:rsid w:val="114FBFC1"/>
    <w:rsid w:val="1150110F"/>
    <w:rsid w:val="1151B8B2"/>
    <w:rsid w:val="11520FFF"/>
    <w:rsid w:val="11521C4A"/>
    <w:rsid w:val="11533E9D"/>
    <w:rsid w:val="1153930B"/>
    <w:rsid w:val="115699ED"/>
    <w:rsid w:val="1156A033"/>
    <w:rsid w:val="11570D0A"/>
    <w:rsid w:val="115A3BAE"/>
    <w:rsid w:val="115BB4F6"/>
    <w:rsid w:val="115CADDC"/>
    <w:rsid w:val="115D2977"/>
    <w:rsid w:val="115D5FAB"/>
    <w:rsid w:val="115EDDD4"/>
    <w:rsid w:val="115F24A3"/>
    <w:rsid w:val="115FCD68"/>
    <w:rsid w:val="11607DBD"/>
    <w:rsid w:val="1165ECC5"/>
    <w:rsid w:val="1166B286"/>
    <w:rsid w:val="11672F06"/>
    <w:rsid w:val="1168CD4B"/>
    <w:rsid w:val="116B22F5"/>
    <w:rsid w:val="116BB21C"/>
    <w:rsid w:val="116DA587"/>
    <w:rsid w:val="116FDB93"/>
    <w:rsid w:val="1171F5FC"/>
    <w:rsid w:val="117300A1"/>
    <w:rsid w:val="1173810E"/>
    <w:rsid w:val="11754532"/>
    <w:rsid w:val="1176021E"/>
    <w:rsid w:val="1176BEEA"/>
    <w:rsid w:val="1176EAA5"/>
    <w:rsid w:val="1177E83B"/>
    <w:rsid w:val="1177F537"/>
    <w:rsid w:val="11795D91"/>
    <w:rsid w:val="117BE6E5"/>
    <w:rsid w:val="117C19E9"/>
    <w:rsid w:val="117D0A65"/>
    <w:rsid w:val="1181157A"/>
    <w:rsid w:val="11818A19"/>
    <w:rsid w:val="118197B6"/>
    <w:rsid w:val="1182B2E9"/>
    <w:rsid w:val="1184EEB0"/>
    <w:rsid w:val="118681CE"/>
    <w:rsid w:val="118728C8"/>
    <w:rsid w:val="118921A5"/>
    <w:rsid w:val="118A7C33"/>
    <w:rsid w:val="118AF3A0"/>
    <w:rsid w:val="118B82C8"/>
    <w:rsid w:val="118EC141"/>
    <w:rsid w:val="1191E0E2"/>
    <w:rsid w:val="11921B2A"/>
    <w:rsid w:val="1192F62A"/>
    <w:rsid w:val="11946F1B"/>
    <w:rsid w:val="119477D9"/>
    <w:rsid w:val="1196C2A5"/>
    <w:rsid w:val="11978750"/>
    <w:rsid w:val="119A3092"/>
    <w:rsid w:val="119A8E1E"/>
    <w:rsid w:val="119C977E"/>
    <w:rsid w:val="119DEA32"/>
    <w:rsid w:val="119EDB74"/>
    <w:rsid w:val="11A21474"/>
    <w:rsid w:val="11A2C178"/>
    <w:rsid w:val="11A3BA26"/>
    <w:rsid w:val="11A438CB"/>
    <w:rsid w:val="11A54661"/>
    <w:rsid w:val="11A5BFAE"/>
    <w:rsid w:val="11A5D540"/>
    <w:rsid w:val="11A68D0F"/>
    <w:rsid w:val="11A86998"/>
    <w:rsid w:val="11A93ECE"/>
    <w:rsid w:val="11AA3E26"/>
    <w:rsid w:val="11AAB3BD"/>
    <w:rsid w:val="11AE3B59"/>
    <w:rsid w:val="11AF5704"/>
    <w:rsid w:val="11B04981"/>
    <w:rsid w:val="11B0C17D"/>
    <w:rsid w:val="11B16EA6"/>
    <w:rsid w:val="11B25F02"/>
    <w:rsid w:val="11B7E26B"/>
    <w:rsid w:val="11BD1BC5"/>
    <w:rsid w:val="11BD5B91"/>
    <w:rsid w:val="11BF58E1"/>
    <w:rsid w:val="11C1A2E9"/>
    <w:rsid w:val="11C1C023"/>
    <w:rsid w:val="11C1FBDF"/>
    <w:rsid w:val="11C5CF0F"/>
    <w:rsid w:val="11C6AC9C"/>
    <w:rsid w:val="11C9602B"/>
    <w:rsid w:val="11CB20B1"/>
    <w:rsid w:val="11CD2388"/>
    <w:rsid w:val="11CD9392"/>
    <w:rsid w:val="11CF19F2"/>
    <w:rsid w:val="11D13F33"/>
    <w:rsid w:val="11D2681A"/>
    <w:rsid w:val="11D2704F"/>
    <w:rsid w:val="11D35DF4"/>
    <w:rsid w:val="11D6A42C"/>
    <w:rsid w:val="11D6AC8D"/>
    <w:rsid w:val="11D8C017"/>
    <w:rsid w:val="11D8C780"/>
    <w:rsid w:val="11D967A4"/>
    <w:rsid w:val="11DDF6AC"/>
    <w:rsid w:val="11DE1E27"/>
    <w:rsid w:val="11DEE702"/>
    <w:rsid w:val="11DF736A"/>
    <w:rsid w:val="11E030C0"/>
    <w:rsid w:val="11E0EA48"/>
    <w:rsid w:val="11E20A88"/>
    <w:rsid w:val="11E2BC89"/>
    <w:rsid w:val="11E38A09"/>
    <w:rsid w:val="11E44AFB"/>
    <w:rsid w:val="11E4783A"/>
    <w:rsid w:val="11E4CEBE"/>
    <w:rsid w:val="11E74668"/>
    <w:rsid w:val="11E8DB2D"/>
    <w:rsid w:val="11E915A7"/>
    <w:rsid w:val="11E93083"/>
    <w:rsid w:val="11E9960A"/>
    <w:rsid w:val="11EBB51B"/>
    <w:rsid w:val="11EC21B9"/>
    <w:rsid w:val="11EEEE2E"/>
    <w:rsid w:val="11EF5E5F"/>
    <w:rsid w:val="11EFFE00"/>
    <w:rsid w:val="11F0A0FB"/>
    <w:rsid w:val="11F0B22F"/>
    <w:rsid w:val="11F27D48"/>
    <w:rsid w:val="11F6F66C"/>
    <w:rsid w:val="11F8E968"/>
    <w:rsid w:val="11FAF6EB"/>
    <w:rsid w:val="11FB1100"/>
    <w:rsid w:val="11FE1A7C"/>
    <w:rsid w:val="12046265"/>
    <w:rsid w:val="1207EEFF"/>
    <w:rsid w:val="12096323"/>
    <w:rsid w:val="120ADB32"/>
    <w:rsid w:val="120C60B4"/>
    <w:rsid w:val="120C7D86"/>
    <w:rsid w:val="120CAD5B"/>
    <w:rsid w:val="120DD3ED"/>
    <w:rsid w:val="120E04FA"/>
    <w:rsid w:val="121404BE"/>
    <w:rsid w:val="1214500F"/>
    <w:rsid w:val="1217BA53"/>
    <w:rsid w:val="12185C11"/>
    <w:rsid w:val="1218E666"/>
    <w:rsid w:val="121A0667"/>
    <w:rsid w:val="121BC3FC"/>
    <w:rsid w:val="121CFDF2"/>
    <w:rsid w:val="122174EB"/>
    <w:rsid w:val="1221BD1E"/>
    <w:rsid w:val="1224E48B"/>
    <w:rsid w:val="122767EF"/>
    <w:rsid w:val="12283216"/>
    <w:rsid w:val="122890C4"/>
    <w:rsid w:val="122ABAF3"/>
    <w:rsid w:val="122B515A"/>
    <w:rsid w:val="1231295F"/>
    <w:rsid w:val="1231E739"/>
    <w:rsid w:val="12327930"/>
    <w:rsid w:val="1233EFCC"/>
    <w:rsid w:val="1235D977"/>
    <w:rsid w:val="12366583"/>
    <w:rsid w:val="1236C471"/>
    <w:rsid w:val="1236D62B"/>
    <w:rsid w:val="123817A4"/>
    <w:rsid w:val="1239C3AB"/>
    <w:rsid w:val="123AF863"/>
    <w:rsid w:val="123BC9BD"/>
    <w:rsid w:val="123C4A66"/>
    <w:rsid w:val="123CAFD5"/>
    <w:rsid w:val="123E6123"/>
    <w:rsid w:val="123EEAEB"/>
    <w:rsid w:val="123F0E88"/>
    <w:rsid w:val="123FC852"/>
    <w:rsid w:val="123FD1C7"/>
    <w:rsid w:val="12417F99"/>
    <w:rsid w:val="12419175"/>
    <w:rsid w:val="12448B24"/>
    <w:rsid w:val="12456A1A"/>
    <w:rsid w:val="12470F53"/>
    <w:rsid w:val="124719DD"/>
    <w:rsid w:val="124D1576"/>
    <w:rsid w:val="124EC846"/>
    <w:rsid w:val="124EDA6F"/>
    <w:rsid w:val="1250C09C"/>
    <w:rsid w:val="12516BDA"/>
    <w:rsid w:val="125227A0"/>
    <w:rsid w:val="12525304"/>
    <w:rsid w:val="12536362"/>
    <w:rsid w:val="12546D12"/>
    <w:rsid w:val="1255C2F8"/>
    <w:rsid w:val="125ACCAA"/>
    <w:rsid w:val="125C18C4"/>
    <w:rsid w:val="125E7757"/>
    <w:rsid w:val="125E907D"/>
    <w:rsid w:val="12603650"/>
    <w:rsid w:val="12615B0A"/>
    <w:rsid w:val="12615F80"/>
    <w:rsid w:val="1261FAD5"/>
    <w:rsid w:val="12627FA4"/>
    <w:rsid w:val="12655838"/>
    <w:rsid w:val="1265F90A"/>
    <w:rsid w:val="1267B7C9"/>
    <w:rsid w:val="126810A1"/>
    <w:rsid w:val="12691CAC"/>
    <w:rsid w:val="126B8901"/>
    <w:rsid w:val="126D581D"/>
    <w:rsid w:val="126E734C"/>
    <w:rsid w:val="126F2C37"/>
    <w:rsid w:val="126F5EF4"/>
    <w:rsid w:val="126FF0B8"/>
    <w:rsid w:val="1271AE9D"/>
    <w:rsid w:val="1272EEA4"/>
    <w:rsid w:val="1274DF63"/>
    <w:rsid w:val="1275D7C6"/>
    <w:rsid w:val="12773F90"/>
    <w:rsid w:val="12776C15"/>
    <w:rsid w:val="12784F9D"/>
    <w:rsid w:val="1279DBD2"/>
    <w:rsid w:val="127B4DB1"/>
    <w:rsid w:val="127C0A08"/>
    <w:rsid w:val="127E4925"/>
    <w:rsid w:val="127FE56D"/>
    <w:rsid w:val="127FE9D8"/>
    <w:rsid w:val="1283FBD8"/>
    <w:rsid w:val="128447FF"/>
    <w:rsid w:val="1284B2DB"/>
    <w:rsid w:val="1284E5CA"/>
    <w:rsid w:val="128607DE"/>
    <w:rsid w:val="12863EB9"/>
    <w:rsid w:val="1286760A"/>
    <w:rsid w:val="1287DCD5"/>
    <w:rsid w:val="12891DD9"/>
    <w:rsid w:val="1289D257"/>
    <w:rsid w:val="128AAD70"/>
    <w:rsid w:val="128C54F2"/>
    <w:rsid w:val="128CB71A"/>
    <w:rsid w:val="128FC8D8"/>
    <w:rsid w:val="129250FC"/>
    <w:rsid w:val="1292A7E7"/>
    <w:rsid w:val="12936F03"/>
    <w:rsid w:val="12945D5E"/>
    <w:rsid w:val="1297E470"/>
    <w:rsid w:val="1298CE00"/>
    <w:rsid w:val="129A0D64"/>
    <w:rsid w:val="129B0957"/>
    <w:rsid w:val="129C485F"/>
    <w:rsid w:val="129C5992"/>
    <w:rsid w:val="129F1BC1"/>
    <w:rsid w:val="12A0AFE3"/>
    <w:rsid w:val="12A2DD05"/>
    <w:rsid w:val="12A4AB06"/>
    <w:rsid w:val="12A52945"/>
    <w:rsid w:val="12A73A27"/>
    <w:rsid w:val="12A90B82"/>
    <w:rsid w:val="12A99926"/>
    <w:rsid w:val="12A9B093"/>
    <w:rsid w:val="12AD7C60"/>
    <w:rsid w:val="12B02EFF"/>
    <w:rsid w:val="12B0F744"/>
    <w:rsid w:val="12B21FCB"/>
    <w:rsid w:val="12B28ADA"/>
    <w:rsid w:val="12B2E8AC"/>
    <w:rsid w:val="12B38FCC"/>
    <w:rsid w:val="12B5F455"/>
    <w:rsid w:val="12B607E5"/>
    <w:rsid w:val="12B811A3"/>
    <w:rsid w:val="12B8241E"/>
    <w:rsid w:val="12BBCD5D"/>
    <w:rsid w:val="12BBF6D4"/>
    <w:rsid w:val="12BBF855"/>
    <w:rsid w:val="12BC5203"/>
    <w:rsid w:val="12BD3C35"/>
    <w:rsid w:val="12BD89C9"/>
    <w:rsid w:val="12BF4F1A"/>
    <w:rsid w:val="12C0A91A"/>
    <w:rsid w:val="12C4BE9E"/>
    <w:rsid w:val="12C50843"/>
    <w:rsid w:val="12C6BA08"/>
    <w:rsid w:val="12C76F38"/>
    <w:rsid w:val="12C7976D"/>
    <w:rsid w:val="12CAE051"/>
    <w:rsid w:val="12CB1025"/>
    <w:rsid w:val="12CB7E14"/>
    <w:rsid w:val="12CC1C9B"/>
    <w:rsid w:val="12CD58C5"/>
    <w:rsid w:val="12CD945E"/>
    <w:rsid w:val="12CECD16"/>
    <w:rsid w:val="12D1ABE7"/>
    <w:rsid w:val="12D2A815"/>
    <w:rsid w:val="12D5292A"/>
    <w:rsid w:val="12D69259"/>
    <w:rsid w:val="12D95F26"/>
    <w:rsid w:val="12D9D4F4"/>
    <w:rsid w:val="12DB2FC5"/>
    <w:rsid w:val="12DB5952"/>
    <w:rsid w:val="12DD9B36"/>
    <w:rsid w:val="12DDB61F"/>
    <w:rsid w:val="12DF29A7"/>
    <w:rsid w:val="12E0A6C2"/>
    <w:rsid w:val="12E18B97"/>
    <w:rsid w:val="12E5CE5B"/>
    <w:rsid w:val="12E7C428"/>
    <w:rsid w:val="12E8410A"/>
    <w:rsid w:val="12E9308D"/>
    <w:rsid w:val="12EA7F57"/>
    <w:rsid w:val="12EA9CEA"/>
    <w:rsid w:val="12EC943B"/>
    <w:rsid w:val="12EC9624"/>
    <w:rsid w:val="12ED32A0"/>
    <w:rsid w:val="12ED72B3"/>
    <w:rsid w:val="12EE78B5"/>
    <w:rsid w:val="12F0DBF4"/>
    <w:rsid w:val="12F285DF"/>
    <w:rsid w:val="12F4AAFA"/>
    <w:rsid w:val="12F763BD"/>
    <w:rsid w:val="12F79953"/>
    <w:rsid w:val="12F94692"/>
    <w:rsid w:val="12FA0215"/>
    <w:rsid w:val="12FC0E60"/>
    <w:rsid w:val="12FD26AA"/>
    <w:rsid w:val="12FDFAE2"/>
    <w:rsid w:val="12FF20EE"/>
    <w:rsid w:val="12FF23DD"/>
    <w:rsid w:val="12FF6CE7"/>
    <w:rsid w:val="13020F98"/>
    <w:rsid w:val="130482EB"/>
    <w:rsid w:val="1307F0F3"/>
    <w:rsid w:val="130AF4F7"/>
    <w:rsid w:val="130BE6EA"/>
    <w:rsid w:val="130C8F7B"/>
    <w:rsid w:val="130DBEAD"/>
    <w:rsid w:val="130E6FC5"/>
    <w:rsid w:val="130FA3AF"/>
    <w:rsid w:val="13122355"/>
    <w:rsid w:val="13123DA2"/>
    <w:rsid w:val="1313E5E7"/>
    <w:rsid w:val="1313ED0B"/>
    <w:rsid w:val="13143C85"/>
    <w:rsid w:val="131496B1"/>
    <w:rsid w:val="1314D82F"/>
    <w:rsid w:val="1318AB1E"/>
    <w:rsid w:val="13198EC9"/>
    <w:rsid w:val="131C7137"/>
    <w:rsid w:val="13205C25"/>
    <w:rsid w:val="1321EF61"/>
    <w:rsid w:val="1322B32F"/>
    <w:rsid w:val="1325294D"/>
    <w:rsid w:val="1325949F"/>
    <w:rsid w:val="1326F416"/>
    <w:rsid w:val="132752A4"/>
    <w:rsid w:val="13285FDA"/>
    <w:rsid w:val="132AEE7E"/>
    <w:rsid w:val="132B4B99"/>
    <w:rsid w:val="132EA1EA"/>
    <w:rsid w:val="132F1B19"/>
    <w:rsid w:val="1331F2D6"/>
    <w:rsid w:val="13330CC6"/>
    <w:rsid w:val="13356D42"/>
    <w:rsid w:val="13371EDD"/>
    <w:rsid w:val="133A2F12"/>
    <w:rsid w:val="133A3C1D"/>
    <w:rsid w:val="133C1577"/>
    <w:rsid w:val="133C3D68"/>
    <w:rsid w:val="133F9BA4"/>
    <w:rsid w:val="1340B8B0"/>
    <w:rsid w:val="1342D346"/>
    <w:rsid w:val="13459E81"/>
    <w:rsid w:val="1345D0D5"/>
    <w:rsid w:val="13470114"/>
    <w:rsid w:val="1347663B"/>
    <w:rsid w:val="13484ABF"/>
    <w:rsid w:val="1348ECC6"/>
    <w:rsid w:val="134971A9"/>
    <w:rsid w:val="1349B5E4"/>
    <w:rsid w:val="1349CB20"/>
    <w:rsid w:val="1349FFA8"/>
    <w:rsid w:val="134A2005"/>
    <w:rsid w:val="134A6A04"/>
    <w:rsid w:val="134AD40B"/>
    <w:rsid w:val="134AFCB9"/>
    <w:rsid w:val="134D3747"/>
    <w:rsid w:val="134F0384"/>
    <w:rsid w:val="1351A2EC"/>
    <w:rsid w:val="1351B39A"/>
    <w:rsid w:val="1351B88D"/>
    <w:rsid w:val="13525AD4"/>
    <w:rsid w:val="135326AB"/>
    <w:rsid w:val="13554ED9"/>
    <w:rsid w:val="1355EFFA"/>
    <w:rsid w:val="1356C0E7"/>
    <w:rsid w:val="13574A03"/>
    <w:rsid w:val="1357A3FD"/>
    <w:rsid w:val="135926AB"/>
    <w:rsid w:val="1359C12F"/>
    <w:rsid w:val="135A57E0"/>
    <w:rsid w:val="135BDF60"/>
    <w:rsid w:val="135ECC6B"/>
    <w:rsid w:val="136036A1"/>
    <w:rsid w:val="1360ACAA"/>
    <w:rsid w:val="13636675"/>
    <w:rsid w:val="13642D69"/>
    <w:rsid w:val="13653FFF"/>
    <w:rsid w:val="13697A93"/>
    <w:rsid w:val="136D5F98"/>
    <w:rsid w:val="136D755E"/>
    <w:rsid w:val="136E1F4A"/>
    <w:rsid w:val="136EB688"/>
    <w:rsid w:val="1373049C"/>
    <w:rsid w:val="13735578"/>
    <w:rsid w:val="1373D5BD"/>
    <w:rsid w:val="137675FE"/>
    <w:rsid w:val="1378F16B"/>
    <w:rsid w:val="137A1EBE"/>
    <w:rsid w:val="137E757B"/>
    <w:rsid w:val="137FAAB3"/>
    <w:rsid w:val="138194AA"/>
    <w:rsid w:val="1383B201"/>
    <w:rsid w:val="138452F6"/>
    <w:rsid w:val="1384DE5B"/>
    <w:rsid w:val="13870D8A"/>
    <w:rsid w:val="13877BCD"/>
    <w:rsid w:val="13878DB9"/>
    <w:rsid w:val="1387EB67"/>
    <w:rsid w:val="138845CA"/>
    <w:rsid w:val="1389A1E7"/>
    <w:rsid w:val="138A15B8"/>
    <w:rsid w:val="138ABD20"/>
    <w:rsid w:val="138CD2AE"/>
    <w:rsid w:val="138D0561"/>
    <w:rsid w:val="138E7C9B"/>
    <w:rsid w:val="138FAED8"/>
    <w:rsid w:val="138FC262"/>
    <w:rsid w:val="1390740F"/>
    <w:rsid w:val="1391A64C"/>
    <w:rsid w:val="13921B0F"/>
    <w:rsid w:val="139311CB"/>
    <w:rsid w:val="13946BE3"/>
    <w:rsid w:val="13981197"/>
    <w:rsid w:val="1398C70F"/>
    <w:rsid w:val="139A74D1"/>
    <w:rsid w:val="139E7A59"/>
    <w:rsid w:val="139F89ED"/>
    <w:rsid w:val="139F9E9B"/>
    <w:rsid w:val="13A07AC5"/>
    <w:rsid w:val="13A0E10F"/>
    <w:rsid w:val="13A16F3B"/>
    <w:rsid w:val="13A1E6D8"/>
    <w:rsid w:val="13A3B707"/>
    <w:rsid w:val="13A73EDC"/>
    <w:rsid w:val="13A77C5A"/>
    <w:rsid w:val="13A910BD"/>
    <w:rsid w:val="13ABD45B"/>
    <w:rsid w:val="13ACC8E8"/>
    <w:rsid w:val="13AD5E84"/>
    <w:rsid w:val="13AEB9EA"/>
    <w:rsid w:val="13AF6E2A"/>
    <w:rsid w:val="13B17AF6"/>
    <w:rsid w:val="13B32B8B"/>
    <w:rsid w:val="13B6A1F8"/>
    <w:rsid w:val="13B704C8"/>
    <w:rsid w:val="13B77C7C"/>
    <w:rsid w:val="13B854C2"/>
    <w:rsid w:val="13B8A127"/>
    <w:rsid w:val="13B9A7CC"/>
    <w:rsid w:val="13BBFA6E"/>
    <w:rsid w:val="13BD3B95"/>
    <w:rsid w:val="13C0166C"/>
    <w:rsid w:val="13C11A3D"/>
    <w:rsid w:val="13C42CB5"/>
    <w:rsid w:val="13C51621"/>
    <w:rsid w:val="13C6CC53"/>
    <w:rsid w:val="13C92DFF"/>
    <w:rsid w:val="13C95D03"/>
    <w:rsid w:val="13CB629B"/>
    <w:rsid w:val="13CCEC9E"/>
    <w:rsid w:val="13CDDB59"/>
    <w:rsid w:val="13CEEA6F"/>
    <w:rsid w:val="13D10E56"/>
    <w:rsid w:val="13D17AED"/>
    <w:rsid w:val="13D40A3F"/>
    <w:rsid w:val="13D49E8A"/>
    <w:rsid w:val="13D5D134"/>
    <w:rsid w:val="13D60C59"/>
    <w:rsid w:val="13D8AA88"/>
    <w:rsid w:val="13D9E634"/>
    <w:rsid w:val="13DA6BC1"/>
    <w:rsid w:val="13DACB5D"/>
    <w:rsid w:val="13DBB5F5"/>
    <w:rsid w:val="13DE8DA0"/>
    <w:rsid w:val="13E07CC0"/>
    <w:rsid w:val="13E09BBE"/>
    <w:rsid w:val="13E0BEDE"/>
    <w:rsid w:val="13E10AB4"/>
    <w:rsid w:val="13E43578"/>
    <w:rsid w:val="13E47AD7"/>
    <w:rsid w:val="13E57024"/>
    <w:rsid w:val="13E68A3E"/>
    <w:rsid w:val="13E71C7A"/>
    <w:rsid w:val="13E89CD0"/>
    <w:rsid w:val="13E906D4"/>
    <w:rsid w:val="13E932CA"/>
    <w:rsid w:val="13E97C64"/>
    <w:rsid w:val="13E97E60"/>
    <w:rsid w:val="13EBEDB4"/>
    <w:rsid w:val="13EC3399"/>
    <w:rsid w:val="13ED03EA"/>
    <w:rsid w:val="13ED565A"/>
    <w:rsid w:val="13EF46F9"/>
    <w:rsid w:val="13F00E94"/>
    <w:rsid w:val="13F02050"/>
    <w:rsid w:val="13F1975B"/>
    <w:rsid w:val="13F1BE1B"/>
    <w:rsid w:val="13F1C01A"/>
    <w:rsid w:val="13F2234B"/>
    <w:rsid w:val="13F251D6"/>
    <w:rsid w:val="13F40FAD"/>
    <w:rsid w:val="13F46F4E"/>
    <w:rsid w:val="13F54801"/>
    <w:rsid w:val="13F56D51"/>
    <w:rsid w:val="13F596A0"/>
    <w:rsid w:val="13FBFA8F"/>
    <w:rsid w:val="1401E376"/>
    <w:rsid w:val="14037BB8"/>
    <w:rsid w:val="14044711"/>
    <w:rsid w:val="1404EAF4"/>
    <w:rsid w:val="14074F66"/>
    <w:rsid w:val="14075457"/>
    <w:rsid w:val="1408090F"/>
    <w:rsid w:val="140887F6"/>
    <w:rsid w:val="1409A09B"/>
    <w:rsid w:val="140C0209"/>
    <w:rsid w:val="140E8130"/>
    <w:rsid w:val="14105E73"/>
    <w:rsid w:val="1410F642"/>
    <w:rsid w:val="141103D6"/>
    <w:rsid w:val="1412E26C"/>
    <w:rsid w:val="1414DE76"/>
    <w:rsid w:val="141A76D2"/>
    <w:rsid w:val="141BD2F5"/>
    <w:rsid w:val="141C7344"/>
    <w:rsid w:val="141DC128"/>
    <w:rsid w:val="14231440"/>
    <w:rsid w:val="142370D5"/>
    <w:rsid w:val="1423AB69"/>
    <w:rsid w:val="1428952F"/>
    <w:rsid w:val="142932D4"/>
    <w:rsid w:val="142CBEC6"/>
    <w:rsid w:val="142D9C99"/>
    <w:rsid w:val="142E59CE"/>
    <w:rsid w:val="142EE33A"/>
    <w:rsid w:val="143037E2"/>
    <w:rsid w:val="143059CC"/>
    <w:rsid w:val="1430E6DD"/>
    <w:rsid w:val="14324437"/>
    <w:rsid w:val="1432E1AF"/>
    <w:rsid w:val="14343E2A"/>
    <w:rsid w:val="143753D0"/>
    <w:rsid w:val="1438669F"/>
    <w:rsid w:val="1438E823"/>
    <w:rsid w:val="143B613B"/>
    <w:rsid w:val="143C3041"/>
    <w:rsid w:val="143DC9C1"/>
    <w:rsid w:val="14403BB1"/>
    <w:rsid w:val="14416C34"/>
    <w:rsid w:val="144244C4"/>
    <w:rsid w:val="144292EB"/>
    <w:rsid w:val="14429B63"/>
    <w:rsid w:val="144572FA"/>
    <w:rsid w:val="1446E6F8"/>
    <w:rsid w:val="14473A62"/>
    <w:rsid w:val="14483CD1"/>
    <w:rsid w:val="144B5C21"/>
    <w:rsid w:val="144BD82C"/>
    <w:rsid w:val="144CCD0C"/>
    <w:rsid w:val="144D0D60"/>
    <w:rsid w:val="144DE862"/>
    <w:rsid w:val="144EE952"/>
    <w:rsid w:val="144FFB33"/>
    <w:rsid w:val="1450BA23"/>
    <w:rsid w:val="145203F2"/>
    <w:rsid w:val="1452DEFE"/>
    <w:rsid w:val="1453DF23"/>
    <w:rsid w:val="1455310D"/>
    <w:rsid w:val="1455E80B"/>
    <w:rsid w:val="145646D1"/>
    <w:rsid w:val="14568F3F"/>
    <w:rsid w:val="1456D4A9"/>
    <w:rsid w:val="14573F0D"/>
    <w:rsid w:val="14580F98"/>
    <w:rsid w:val="14581A04"/>
    <w:rsid w:val="145A4119"/>
    <w:rsid w:val="145A5AE9"/>
    <w:rsid w:val="145B48E3"/>
    <w:rsid w:val="145C5509"/>
    <w:rsid w:val="145F1C08"/>
    <w:rsid w:val="145F236F"/>
    <w:rsid w:val="1461AD7A"/>
    <w:rsid w:val="1463DB93"/>
    <w:rsid w:val="1463F569"/>
    <w:rsid w:val="14665150"/>
    <w:rsid w:val="146A4841"/>
    <w:rsid w:val="146CAEC0"/>
    <w:rsid w:val="14720E94"/>
    <w:rsid w:val="14747C87"/>
    <w:rsid w:val="14750D80"/>
    <w:rsid w:val="14768DD9"/>
    <w:rsid w:val="147740EF"/>
    <w:rsid w:val="1478A3D1"/>
    <w:rsid w:val="147BB725"/>
    <w:rsid w:val="147CA510"/>
    <w:rsid w:val="147EC709"/>
    <w:rsid w:val="147F1CBD"/>
    <w:rsid w:val="1480AFDC"/>
    <w:rsid w:val="1480EB2B"/>
    <w:rsid w:val="1485D34F"/>
    <w:rsid w:val="14878029"/>
    <w:rsid w:val="1487E616"/>
    <w:rsid w:val="148A241D"/>
    <w:rsid w:val="148A3C6D"/>
    <w:rsid w:val="148B0EAC"/>
    <w:rsid w:val="148CA8AC"/>
    <w:rsid w:val="14911E3F"/>
    <w:rsid w:val="149195A0"/>
    <w:rsid w:val="14931DB9"/>
    <w:rsid w:val="1495230B"/>
    <w:rsid w:val="1495DFD4"/>
    <w:rsid w:val="14987BDD"/>
    <w:rsid w:val="149B3089"/>
    <w:rsid w:val="149DD3FC"/>
    <w:rsid w:val="149FB9E5"/>
    <w:rsid w:val="14A07889"/>
    <w:rsid w:val="14A0BA7D"/>
    <w:rsid w:val="14A3D5CE"/>
    <w:rsid w:val="14AD8C14"/>
    <w:rsid w:val="14ADD780"/>
    <w:rsid w:val="14AFB152"/>
    <w:rsid w:val="14B0F091"/>
    <w:rsid w:val="14B51B66"/>
    <w:rsid w:val="14B55F8A"/>
    <w:rsid w:val="14B709BD"/>
    <w:rsid w:val="14B82DB3"/>
    <w:rsid w:val="14B9E485"/>
    <w:rsid w:val="14BB30FE"/>
    <w:rsid w:val="14BDA308"/>
    <w:rsid w:val="14BF198D"/>
    <w:rsid w:val="14C0756F"/>
    <w:rsid w:val="14C0D54E"/>
    <w:rsid w:val="14C12C50"/>
    <w:rsid w:val="14C391A1"/>
    <w:rsid w:val="14C3BEC3"/>
    <w:rsid w:val="14C3BEF4"/>
    <w:rsid w:val="14C94546"/>
    <w:rsid w:val="14CCE60A"/>
    <w:rsid w:val="14CD48EF"/>
    <w:rsid w:val="14CE53CB"/>
    <w:rsid w:val="14CF7491"/>
    <w:rsid w:val="14D0DABF"/>
    <w:rsid w:val="14D0DB8B"/>
    <w:rsid w:val="14D2735C"/>
    <w:rsid w:val="14D41DB2"/>
    <w:rsid w:val="14D59FFC"/>
    <w:rsid w:val="14D657BC"/>
    <w:rsid w:val="14D98FD5"/>
    <w:rsid w:val="14DE4C28"/>
    <w:rsid w:val="14DEE3DB"/>
    <w:rsid w:val="14E33DB6"/>
    <w:rsid w:val="14E53498"/>
    <w:rsid w:val="14E6323D"/>
    <w:rsid w:val="14E8B4F8"/>
    <w:rsid w:val="14E94B82"/>
    <w:rsid w:val="14EF4739"/>
    <w:rsid w:val="14F1B9EC"/>
    <w:rsid w:val="14F2F6E7"/>
    <w:rsid w:val="14F5C533"/>
    <w:rsid w:val="14F5C7AC"/>
    <w:rsid w:val="14F7008B"/>
    <w:rsid w:val="14F7DDCE"/>
    <w:rsid w:val="14F8AE59"/>
    <w:rsid w:val="14F94C40"/>
    <w:rsid w:val="14F9FB39"/>
    <w:rsid w:val="14FA0C0E"/>
    <w:rsid w:val="14FA9B05"/>
    <w:rsid w:val="14FAD5FE"/>
    <w:rsid w:val="14FBA496"/>
    <w:rsid w:val="14FE45D4"/>
    <w:rsid w:val="1501602D"/>
    <w:rsid w:val="15017687"/>
    <w:rsid w:val="15056B47"/>
    <w:rsid w:val="1505B990"/>
    <w:rsid w:val="15089C90"/>
    <w:rsid w:val="150A17F0"/>
    <w:rsid w:val="150A88BA"/>
    <w:rsid w:val="150D14EA"/>
    <w:rsid w:val="150DEBB6"/>
    <w:rsid w:val="150F8DF2"/>
    <w:rsid w:val="1513BD57"/>
    <w:rsid w:val="151746C0"/>
    <w:rsid w:val="15191835"/>
    <w:rsid w:val="151A31F2"/>
    <w:rsid w:val="151AA2DB"/>
    <w:rsid w:val="151DCC64"/>
    <w:rsid w:val="151E030D"/>
    <w:rsid w:val="151F17F6"/>
    <w:rsid w:val="15216040"/>
    <w:rsid w:val="15232A26"/>
    <w:rsid w:val="15272189"/>
    <w:rsid w:val="1528B1AA"/>
    <w:rsid w:val="152B1C0C"/>
    <w:rsid w:val="152D705B"/>
    <w:rsid w:val="1532632C"/>
    <w:rsid w:val="15340866"/>
    <w:rsid w:val="1534E56B"/>
    <w:rsid w:val="153790A4"/>
    <w:rsid w:val="1537E60D"/>
    <w:rsid w:val="15396549"/>
    <w:rsid w:val="153B2985"/>
    <w:rsid w:val="153B4841"/>
    <w:rsid w:val="153CE4F3"/>
    <w:rsid w:val="153D480E"/>
    <w:rsid w:val="153DFD62"/>
    <w:rsid w:val="153E08BB"/>
    <w:rsid w:val="153E8FB6"/>
    <w:rsid w:val="15405D66"/>
    <w:rsid w:val="15409124"/>
    <w:rsid w:val="1540DF15"/>
    <w:rsid w:val="1541EFDB"/>
    <w:rsid w:val="15427BA2"/>
    <w:rsid w:val="1543FEA8"/>
    <w:rsid w:val="1544596B"/>
    <w:rsid w:val="15469ACF"/>
    <w:rsid w:val="15470C43"/>
    <w:rsid w:val="15474862"/>
    <w:rsid w:val="1547A086"/>
    <w:rsid w:val="154890ED"/>
    <w:rsid w:val="15489A14"/>
    <w:rsid w:val="15494B0C"/>
    <w:rsid w:val="154B9D6B"/>
    <w:rsid w:val="154BDD0E"/>
    <w:rsid w:val="154D5DEF"/>
    <w:rsid w:val="154D6275"/>
    <w:rsid w:val="1550C030"/>
    <w:rsid w:val="15531299"/>
    <w:rsid w:val="1556B8D9"/>
    <w:rsid w:val="15572E4A"/>
    <w:rsid w:val="1557D463"/>
    <w:rsid w:val="15585B4B"/>
    <w:rsid w:val="1558B2AC"/>
    <w:rsid w:val="1559A258"/>
    <w:rsid w:val="1559FBB9"/>
    <w:rsid w:val="155BD181"/>
    <w:rsid w:val="155C9D88"/>
    <w:rsid w:val="155CEEF4"/>
    <w:rsid w:val="15620334"/>
    <w:rsid w:val="15651A43"/>
    <w:rsid w:val="1566072C"/>
    <w:rsid w:val="15666CCE"/>
    <w:rsid w:val="156A82FC"/>
    <w:rsid w:val="156C9119"/>
    <w:rsid w:val="156E18F4"/>
    <w:rsid w:val="156EC8FE"/>
    <w:rsid w:val="156FD51D"/>
    <w:rsid w:val="1574D901"/>
    <w:rsid w:val="15756EEE"/>
    <w:rsid w:val="1577CA72"/>
    <w:rsid w:val="157A0E89"/>
    <w:rsid w:val="157A0FFF"/>
    <w:rsid w:val="157D712E"/>
    <w:rsid w:val="1580BA1D"/>
    <w:rsid w:val="1580BC2B"/>
    <w:rsid w:val="15826E37"/>
    <w:rsid w:val="1584DF4E"/>
    <w:rsid w:val="158583F5"/>
    <w:rsid w:val="1585E077"/>
    <w:rsid w:val="15872885"/>
    <w:rsid w:val="15879A21"/>
    <w:rsid w:val="158B7D56"/>
    <w:rsid w:val="158C011F"/>
    <w:rsid w:val="158DA98A"/>
    <w:rsid w:val="158E5210"/>
    <w:rsid w:val="158F6919"/>
    <w:rsid w:val="15907C62"/>
    <w:rsid w:val="15938077"/>
    <w:rsid w:val="1593DB51"/>
    <w:rsid w:val="1594CE86"/>
    <w:rsid w:val="1595B4D4"/>
    <w:rsid w:val="1596080C"/>
    <w:rsid w:val="15974067"/>
    <w:rsid w:val="15982C05"/>
    <w:rsid w:val="15989C46"/>
    <w:rsid w:val="159B0AF8"/>
    <w:rsid w:val="159B7C09"/>
    <w:rsid w:val="159CF603"/>
    <w:rsid w:val="159D751F"/>
    <w:rsid w:val="15A1BD7D"/>
    <w:rsid w:val="15A1E60F"/>
    <w:rsid w:val="15A39645"/>
    <w:rsid w:val="15A75E03"/>
    <w:rsid w:val="15A984F0"/>
    <w:rsid w:val="15AA16E5"/>
    <w:rsid w:val="15AC4D58"/>
    <w:rsid w:val="15AD70FC"/>
    <w:rsid w:val="15ADEE60"/>
    <w:rsid w:val="15AE0D09"/>
    <w:rsid w:val="15AF276F"/>
    <w:rsid w:val="15B137AC"/>
    <w:rsid w:val="15B34DA2"/>
    <w:rsid w:val="15B430BD"/>
    <w:rsid w:val="15B4EE61"/>
    <w:rsid w:val="15B56E0B"/>
    <w:rsid w:val="15B909A5"/>
    <w:rsid w:val="15BA3039"/>
    <w:rsid w:val="15BA49AF"/>
    <w:rsid w:val="15BAA1F0"/>
    <w:rsid w:val="15BAFF07"/>
    <w:rsid w:val="15BB5E3A"/>
    <w:rsid w:val="15BB68E2"/>
    <w:rsid w:val="15BBE3B4"/>
    <w:rsid w:val="15BD9467"/>
    <w:rsid w:val="15BDB682"/>
    <w:rsid w:val="15BF019B"/>
    <w:rsid w:val="15BFA65D"/>
    <w:rsid w:val="15C0332F"/>
    <w:rsid w:val="15C08D81"/>
    <w:rsid w:val="15C178BC"/>
    <w:rsid w:val="15C2C188"/>
    <w:rsid w:val="15C37E04"/>
    <w:rsid w:val="15C3DFBD"/>
    <w:rsid w:val="15C893D8"/>
    <w:rsid w:val="15C9A23A"/>
    <w:rsid w:val="15CBC3E8"/>
    <w:rsid w:val="15CC7858"/>
    <w:rsid w:val="15D00F6C"/>
    <w:rsid w:val="15D14A61"/>
    <w:rsid w:val="15D388DD"/>
    <w:rsid w:val="15D42529"/>
    <w:rsid w:val="15D4FC92"/>
    <w:rsid w:val="15D6BB65"/>
    <w:rsid w:val="15D864D0"/>
    <w:rsid w:val="15D87701"/>
    <w:rsid w:val="15D8C492"/>
    <w:rsid w:val="15D947F7"/>
    <w:rsid w:val="15DA7BA9"/>
    <w:rsid w:val="15DB3608"/>
    <w:rsid w:val="15DC05FB"/>
    <w:rsid w:val="15E0840F"/>
    <w:rsid w:val="15E1C7E7"/>
    <w:rsid w:val="15E36F61"/>
    <w:rsid w:val="15E39AD9"/>
    <w:rsid w:val="15E4887D"/>
    <w:rsid w:val="15E73D5B"/>
    <w:rsid w:val="15EBD1C9"/>
    <w:rsid w:val="15ED0122"/>
    <w:rsid w:val="15EE1C00"/>
    <w:rsid w:val="15EEC54D"/>
    <w:rsid w:val="15EFC0AA"/>
    <w:rsid w:val="15F2C8C4"/>
    <w:rsid w:val="15F50FC6"/>
    <w:rsid w:val="15F55239"/>
    <w:rsid w:val="15F64478"/>
    <w:rsid w:val="15F82F28"/>
    <w:rsid w:val="15FB7729"/>
    <w:rsid w:val="15FC467C"/>
    <w:rsid w:val="15FCCA5E"/>
    <w:rsid w:val="15FE0A64"/>
    <w:rsid w:val="15FE5A55"/>
    <w:rsid w:val="15FF4448"/>
    <w:rsid w:val="1601F0BE"/>
    <w:rsid w:val="16028817"/>
    <w:rsid w:val="1605E163"/>
    <w:rsid w:val="1606644D"/>
    <w:rsid w:val="16089F3D"/>
    <w:rsid w:val="1609C79E"/>
    <w:rsid w:val="160BF173"/>
    <w:rsid w:val="160E1FBE"/>
    <w:rsid w:val="160EE0B1"/>
    <w:rsid w:val="160F63CC"/>
    <w:rsid w:val="160F7531"/>
    <w:rsid w:val="160FFC82"/>
    <w:rsid w:val="16110B12"/>
    <w:rsid w:val="16137254"/>
    <w:rsid w:val="16137D76"/>
    <w:rsid w:val="1613DE67"/>
    <w:rsid w:val="161460E9"/>
    <w:rsid w:val="1614EE25"/>
    <w:rsid w:val="16156097"/>
    <w:rsid w:val="16159903"/>
    <w:rsid w:val="16167945"/>
    <w:rsid w:val="1616E494"/>
    <w:rsid w:val="16195EF7"/>
    <w:rsid w:val="161A617F"/>
    <w:rsid w:val="161CE1F3"/>
    <w:rsid w:val="161D7894"/>
    <w:rsid w:val="161F2069"/>
    <w:rsid w:val="161FB52E"/>
    <w:rsid w:val="16222C1A"/>
    <w:rsid w:val="1622E4C7"/>
    <w:rsid w:val="1622EC29"/>
    <w:rsid w:val="1623A674"/>
    <w:rsid w:val="1623FB87"/>
    <w:rsid w:val="16245C64"/>
    <w:rsid w:val="1625DFD1"/>
    <w:rsid w:val="16262AA0"/>
    <w:rsid w:val="162A202E"/>
    <w:rsid w:val="162BCED5"/>
    <w:rsid w:val="162E3BC0"/>
    <w:rsid w:val="162F977F"/>
    <w:rsid w:val="16337022"/>
    <w:rsid w:val="1636CA62"/>
    <w:rsid w:val="1638138E"/>
    <w:rsid w:val="16386756"/>
    <w:rsid w:val="163AFC32"/>
    <w:rsid w:val="163C95FE"/>
    <w:rsid w:val="163D5479"/>
    <w:rsid w:val="163D7636"/>
    <w:rsid w:val="163DD331"/>
    <w:rsid w:val="163EC6CB"/>
    <w:rsid w:val="163F4636"/>
    <w:rsid w:val="163FB9F2"/>
    <w:rsid w:val="164092E1"/>
    <w:rsid w:val="16498C85"/>
    <w:rsid w:val="164AE3FA"/>
    <w:rsid w:val="164BB702"/>
    <w:rsid w:val="164F4E4B"/>
    <w:rsid w:val="164F7B34"/>
    <w:rsid w:val="164FF5D2"/>
    <w:rsid w:val="16507562"/>
    <w:rsid w:val="16507653"/>
    <w:rsid w:val="1653213D"/>
    <w:rsid w:val="1654B51C"/>
    <w:rsid w:val="165655B3"/>
    <w:rsid w:val="1657E4F9"/>
    <w:rsid w:val="165827CA"/>
    <w:rsid w:val="165B1A71"/>
    <w:rsid w:val="165BF8DF"/>
    <w:rsid w:val="165DC050"/>
    <w:rsid w:val="165F28C1"/>
    <w:rsid w:val="165FA901"/>
    <w:rsid w:val="165FD1D8"/>
    <w:rsid w:val="16616AC3"/>
    <w:rsid w:val="16630B1D"/>
    <w:rsid w:val="16635429"/>
    <w:rsid w:val="16642190"/>
    <w:rsid w:val="16693025"/>
    <w:rsid w:val="16699366"/>
    <w:rsid w:val="166A89E6"/>
    <w:rsid w:val="166AF5FC"/>
    <w:rsid w:val="166B1B0E"/>
    <w:rsid w:val="166B3139"/>
    <w:rsid w:val="166BED64"/>
    <w:rsid w:val="166CDAFB"/>
    <w:rsid w:val="16728937"/>
    <w:rsid w:val="1672E29E"/>
    <w:rsid w:val="1672FDAE"/>
    <w:rsid w:val="1673FE0C"/>
    <w:rsid w:val="1676946C"/>
    <w:rsid w:val="1676A464"/>
    <w:rsid w:val="16781648"/>
    <w:rsid w:val="16789222"/>
    <w:rsid w:val="1678B9B6"/>
    <w:rsid w:val="167CF482"/>
    <w:rsid w:val="167D481F"/>
    <w:rsid w:val="167E55F2"/>
    <w:rsid w:val="1680577E"/>
    <w:rsid w:val="16822228"/>
    <w:rsid w:val="168239D4"/>
    <w:rsid w:val="1683FD55"/>
    <w:rsid w:val="1684DA30"/>
    <w:rsid w:val="168547E8"/>
    <w:rsid w:val="16861AD0"/>
    <w:rsid w:val="16874259"/>
    <w:rsid w:val="16877800"/>
    <w:rsid w:val="1688551B"/>
    <w:rsid w:val="16886ABF"/>
    <w:rsid w:val="1688F1F1"/>
    <w:rsid w:val="1689084B"/>
    <w:rsid w:val="168A013B"/>
    <w:rsid w:val="168A3584"/>
    <w:rsid w:val="168ACEC1"/>
    <w:rsid w:val="168B8EFC"/>
    <w:rsid w:val="168C19C8"/>
    <w:rsid w:val="168C3801"/>
    <w:rsid w:val="168C4F6F"/>
    <w:rsid w:val="168CB9F8"/>
    <w:rsid w:val="168F2447"/>
    <w:rsid w:val="16932FF1"/>
    <w:rsid w:val="1693FDB0"/>
    <w:rsid w:val="16943B64"/>
    <w:rsid w:val="1696B36D"/>
    <w:rsid w:val="16970990"/>
    <w:rsid w:val="16978FAC"/>
    <w:rsid w:val="169A4DE8"/>
    <w:rsid w:val="169D2950"/>
    <w:rsid w:val="169E1270"/>
    <w:rsid w:val="16A03E47"/>
    <w:rsid w:val="16A1297A"/>
    <w:rsid w:val="16A2F68C"/>
    <w:rsid w:val="16A380BE"/>
    <w:rsid w:val="16A39310"/>
    <w:rsid w:val="16A3B32C"/>
    <w:rsid w:val="16A466D8"/>
    <w:rsid w:val="16A6E0C0"/>
    <w:rsid w:val="16A93B3A"/>
    <w:rsid w:val="16AA1A6C"/>
    <w:rsid w:val="16AA8297"/>
    <w:rsid w:val="16AA9A6A"/>
    <w:rsid w:val="16AAAD58"/>
    <w:rsid w:val="16AAE102"/>
    <w:rsid w:val="16AD9705"/>
    <w:rsid w:val="16AE83D7"/>
    <w:rsid w:val="16B003C7"/>
    <w:rsid w:val="16B0D6BF"/>
    <w:rsid w:val="16B1DC69"/>
    <w:rsid w:val="16B209B9"/>
    <w:rsid w:val="16B40987"/>
    <w:rsid w:val="16B431DB"/>
    <w:rsid w:val="16B65007"/>
    <w:rsid w:val="16B710F4"/>
    <w:rsid w:val="16B89BE4"/>
    <w:rsid w:val="16B9B908"/>
    <w:rsid w:val="16BA0EC6"/>
    <w:rsid w:val="16BB5B14"/>
    <w:rsid w:val="16BC1E11"/>
    <w:rsid w:val="16BDE616"/>
    <w:rsid w:val="16C043F4"/>
    <w:rsid w:val="16C0506D"/>
    <w:rsid w:val="16C57C02"/>
    <w:rsid w:val="16C78C24"/>
    <w:rsid w:val="16C7A667"/>
    <w:rsid w:val="16CE00DC"/>
    <w:rsid w:val="16CE7060"/>
    <w:rsid w:val="16D05329"/>
    <w:rsid w:val="16D1E222"/>
    <w:rsid w:val="16D22003"/>
    <w:rsid w:val="16D367C3"/>
    <w:rsid w:val="16D83466"/>
    <w:rsid w:val="16DBF17F"/>
    <w:rsid w:val="16DD2DB9"/>
    <w:rsid w:val="16E49513"/>
    <w:rsid w:val="16E6F67C"/>
    <w:rsid w:val="16E839D4"/>
    <w:rsid w:val="16E9305B"/>
    <w:rsid w:val="16E935EC"/>
    <w:rsid w:val="16E93CF5"/>
    <w:rsid w:val="16EA67C3"/>
    <w:rsid w:val="16EDC6A0"/>
    <w:rsid w:val="16F05418"/>
    <w:rsid w:val="16F12768"/>
    <w:rsid w:val="16F25C01"/>
    <w:rsid w:val="16F31D8B"/>
    <w:rsid w:val="16F4A27E"/>
    <w:rsid w:val="16F53298"/>
    <w:rsid w:val="16F5843C"/>
    <w:rsid w:val="16F6CDA1"/>
    <w:rsid w:val="16F71F49"/>
    <w:rsid w:val="16F9542E"/>
    <w:rsid w:val="16FC00CC"/>
    <w:rsid w:val="16FC5C0C"/>
    <w:rsid w:val="16FCCA0B"/>
    <w:rsid w:val="16FD106D"/>
    <w:rsid w:val="16FD76AE"/>
    <w:rsid w:val="17011255"/>
    <w:rsid w:val="17059E85"/>
    <w:rsid w:val="1705D5D2"/>
    <w:rsid w:val="170BE924"/>
    <w:rsid w:val="170D388F"/>
    <w:rsid w:val="170E7637"/>
    <w:rsid w:val="1711B36D"/>
    <w:rsid w:val="1711DEA5"/>
    <w:rsid w:val="17132C1F"/>
    <w:rsid w:val="1713EF65"/>
    <w:rsid w:val="1714E48C"/>
    <w:rsid w:val="1715347D"/>
    <w:rsid w:val="171570AA"/>
    <w:rsid w:val="1716D594"/>
    <w:rsid w:val="1716F963"/>
    <w:rsid w:val="1717A85C"/>
    <w:rsid w:val="1717DE68"/>
    <w:rsid w:val="171AB496"/>
    <w:rsid w:val="171B0771"/>
    <w:rsid w:val="171B3D5B"/>
    <w:rsid w:val="171C92DA"/>
    <w:rsid w:val="171ED824"/>
    <w:rsid w:val="171F9E08"/>
    <w:rsid w:val="17236C8A"/>
    <w:rsid w:val="17293220"/>
    <w:rsid w:val="172BA958"/>
    <w:rsid w:val="172F27BD"/>
    <w:rsid w:val="172F4B72"/>
    <w:rsid w:val="17329B6A"/>
    <w:rsid w:val="1733AF6E"/>
    <w:rsid w:val="17396844"/>
    <w:rsid w:val="17398318"/>
    <w:rsid w:val="173DEC93"/>
    <w:rsid w:val="173E9EB8"/>
    <w:rsid w:val="173F2E58"/>
    <w:rsid w:val="173F3AED"/>
    <w:rsid w:val="1740EF80"/>
    <w:rsid w:val="1742E611"/>
    <w:rsid w:val="1742FC00"/>
    <w:rsid w:val="1745691F"/>
    <w:rsid w:val="17459567"/>
    <w:rsid w:val="1746038E"/>
    <w:rsid w:val="174613A3"/>
    <w:rsid w:val="174B7D70"/>
    <w:rsid w:val="174C5B7A"/>
    <w:rsid w:val="174DAC64"/>
    <w:rsid w:val="174EAF9F"/>
    <w:rsid w:val="174F62E9"/>
    <w:rsid w:val="1753E9A9"/>
    <w:rsid w:val="17553AA5"/>
    <w:rsid w:val="1755B50D"/>
    <w:rsid w:val="17575A88"/>
    <w:rsid w:val="1757F952"/>
    <w:rsid w:val="1758C17B"/>
    <w:rsid w:val="1759AA38"/>
    <w:rsid w:val="175B43ED"/>
    <w:rsid w:val="175B6E4B"/>
    <w:rsid w:val="175E274B"/>
    <w:rsid w:val="17630783"/>
    <w:rsid w:val="17678056"/>
    <w:rsid w:val="176859FF"/>
    <w:rsid w:val="1768BAAF"/>
    <w:rsid w:val="1769D153"/>
    <w:rsid w:val="176AC51F"/>
    <w:rsid w:val="177147B0"/>
    <w:rsid w:val="17714BA0"/>
    <w:rsid w:val="1773061E"/>
    <w:rsid w:val="1773CFC0"/>
    <w:rsid w:val="1773ED7E"/>
    <w:rsid w:val="177609E8"/>
    <w:rsid w:val="1777C338"/>
    <w:rsid w:val="1778F386"/>
    <w:rsid w:val="17799CF6"/>
    <w:rsid w:val="177A08F5"/>
    <w:rsid w:val="177C6B74"/>
    <w:rsid w:val="177C994F"/>
    <w:rsid w:val="177D367F"/>
    <w:rsid w:val="177D7685"/>
    <w:rsid w:val="177D87BC"/>
    <w:rsid w:val="177E1F33"/>
    <w:rsid w:val="177E2E12"/>
    <w:rsid w:val="177F1DFB"/>
    <w:rsid w:val="1780644D"/>
    <w:rsid w:val="1782B6D1"/>
    <w:rsid w:val="1782F986"/>
    <w:rsid w:val="17839839"/>
    <w:rsid w:val="17840E11"/>
    <w:rsid w:val="178511F9"/>
    <w:rsid w:val="17870242"/>
    <w:rsid w:val="1787116A"/>
    <w:rsid w:val="178773CA"/>
    <w:rsid w:val="1789F1CD"/>
    <w:rsid w:val="178A624B"/>
    <w:rsid w:val="178EE807"/>
    <w:rsid w:val="178F1EAD"/>
    <w:rsid w:val="17911A91"/>
    <w:rsid w:val="1798B39A"/>
    <w:rsid w:val="179A9782"/>
    <w:rsid w:val="179D5167"/>
    <w:rsid w:val="179F0039"/>
    <w:rsid w:val="179F2C75"/>
    <w:rsid w:val="17A228A3"/>
    <w:rsid w:val="17A3DC6D"/>
    <w:rsid w:val="17A501B9"/>
    <w:rsid w:val="17A53E38"/>
    <w:rsid w:val="17A579A8"/>
    <w:rsid w:val="17AAB7F1"/>
    <w:rsid w:val="17AB2911"/>
    <w:rsid w:val="17AC1A81"/>
    <w:rsid w:val="17B2CEF3"/>
    <w:rsid w:val="17B3390E"/>
    <w:rsid w:val="17B41984"/>
    <w:rsid w:val="17B6B886"/>
    <w:rsid w:val="17B7FD84"/>
    <w:rsid w:val="17B8ACEA"/>
    <w:rsid w:val="17B8F1A9"/>
    <w:rsid w:val="17B989F4"/>
    <w:rsid w:val="17B9B57F"/>
    <w:rsid w:val="17B9C7AB"/>
    <w:rsid w:val="17B9DB97"/>
    <w:rsid w:val="17BA534F"/>
    <w:rsid w:val="17BB2ABC"/>
    <w:rsid w:val="17BC41CC"/>
    <w:rsid w:val="17BDF86E"/>
    <w:rsid w:val="17BE236E"/>
    <w:rsid w:val="17BE3041"/>
    <w:rsid w:val="17C0384A"/>
    <w:rsid w:val="17C22D0D"/>
    <w:rsid w:val="17C3B605"/>
    <w:rsid w:val="17C56FD2"/>
    <w:rsid w:val="17C6D3F8"/>
    <w:rsid w:val="17C976E2"/>
    <w:rsid w:val="17CA04E1"/>
    <w:rsid w:val="17CB0E27"/>
    <w:rsid w:val="17CB76DB"/>
    <w:rsid w:val="17CC7FC8"/>
    <w:rsid w:val="17CD65B5"/>
    <w:rsid w:val="17CE7FF3"/>
    <w:rsid w:val="17CEE0AC"/>
    <w:rsid w:val="17D25F48"/>
    <w:rsid w:val="17D4D29E"/>
    <w:rsid w:val="17D82539"/>
    <w:rsid w:val="17D82B53"/>
    <w:rsid w:val="17D8591C"/>
    <w:rsid w:val="17D8BCF8"/>
    <w:rsid w:val="17D9FEA4"/>
    <w:rsid w:val="17DD31BE"/>
    <w:rsid w:val="17DE1920"/>
    <w:rsid w:val="17DEF094"/>
    <w:rsid w:val="17DF21BD"/>
    <w:rsid w:val="17E178B4"/>
    <w:rsid w:val="17E17AB7"/>
    <w:rsid w:val="17E2C35F"/>
    <w:rsid w:val="17E9F8CE"/>
    <w:rsid w:val="17EBF670"/>
    <w:rsid w:val="17EC837F"/>
    <w:rsid w:val="17ED6673"/>
    <w:rsid w:val="17EF3229"/>
    <w:rsid w:val="17F197E2"/>
    <w:rsid w:val="17F2DCAA"/>
    <w:rsid w:val="17F30CF0"/>
    <w:rsid w:val="17F94A76"/>
    <w:rsid w:val="17F9AA90"/>
    <w:rsid w:val="17FA4E25"/>
    <w:rsid w:val="17FB07CB"/>
    <w:rsid w:val="17FDEE9E"/>
    <w:rsid w:val="1800FF4C"/>
    <w:rsid w:val="180302F5"/>
    <w:rsid w:val="1803490A"/>
    <w:rsid w:val="1803C136"/>
    <w:rsid w:val="1803FB97"/>
    <w:rsid w:val="1807B54B"/>
    <w:rsid w:val="18085135"/>
    <w:rsid w:val="1808FED7"/>
    <w:rsid w:val="1809964F"/>
    <w:rsid w:val="1809B88E"/>
    <w:rsid w:val="180ABB66"/>
    <w:rsid w:val="180BDC10"/>
    <w:rsid w:val="180E27FF"/>
    <w:rsid w:val="180F1B98"/>
    <w:rsid w:val="181002A2"/>
    <w:rsid w:val="18109F77"/>
    <w:rsid w:val="1813D13B"/>
    <w:rsid w:val="1815CE73"/>
    <w:rsid w:val="1817AD26"/>
    <w:rsid w:val="1819D5F0"/>
    <w:rsid w:val="181A71A4"/>
    <w:rsid w:val="181B76E4"/>
    <w:rsid w:val="181BE4BE"/>
    <w:rsid w:val="181DE63A"/>
    <w:rsid w:val="1820321A"/>
    <w:rsid w:val="182134F0"/>
    <w:rsid w:val="1821C7A7"/>
    <w:rsid w:val="1828ECB5"/>
    <w:rsid w:val="18292453"/>
    <w:rsid w:val="18294EC4"/>
    <w:rsid w:val="182D723A"/>
    <w:rsid w:val="182DCAF9"/>
    <w:rsid w:val="182EBDC0"/>
    <w:rsid w:val="182ED853"/>
    <w:rsid w:val="1832D7B1"/>
    <w:rsid w:val="18346DBC"/>
    <w:rsid w:val="1835D51B"/>
    <w:rsid w:val="1836010D"/>
    <w:rsid w:val="18362E5F"/>
    <w:rsid w:val="18388012"/>
    <w:rsid w:val="183BA168"/>
    <w:rsid w:val="183D2E4B"/>
    <w:rsid w:val="183E7393"/>
    <w:rsid w:val="183F4C95"/>
    <w:rsid w:val="183F9C69"/>
    <w:rsid w:val="184438E7"/>
    <w:rsid w:val="18449A23"/>
    <w:rsid w:val="1846840A"/>
    <w:rsid w:val="18470A1E"/>
    <w:rsid w:val="184869AC"/>
    <w:rsid w:val="18487DF7"/>
    <w:rsid w:val="184AF6AF"/>
    <w:rsid w:val="184C8D85"/>
    <w:rsid w:val="184E5942"/>
    <w:rsid w:val="184F9EC4"/>
    <w:rsid w:val="18508C69"/>
    <w:rsid w:val="18539E37"/>
    <w:rsid w:val="185642D4"/>
    <w:rsid w:val="18575996"/>
    <w:rsid w:val="185BB8A8"/>
    <w:rsid w:val="185C8EB3"/>
    <w:rsid w:val="185CCC47"/>
    <w:rsid w:val="185D63BA"/>
    <w:rsid w:val="185E0C29"/>
    <w:rsid w:val="185E371F"/>
    <w:rsid w:val="185E99D3"/>
    <w:rsid w:val="18608801"/>
    <w:rsid w:val="1861F7AE"/>
    <w:rsid w:val="1862F3F2"/>
    <w:rsid w:val="1864F2E0"/>
    <w:rsid w:val="1865B1F4"/>
    <w:rsid w:val="186658B0"/>
    <w:rsid w:val="18668DC2"/>
    <w:rsid w:val="186762D5"/>
    <w:rsid w:val="18679A6C"/>
    <w:rsid w:val="1867F5B5"/>
    <w:rsid w:val="186805EB"/>
    <w:rsid w:val="186837CB"/>
    <w:rsid w:val="186B83E6"/>
    <w:rsid w:val="186BE2E3"/>
    <w:rsid w:val="186C857C"/>
    <w:rsid w:val="186E006A"/>
    <w:rsid w:val="18709DBF"/>
    <w:rsid w:val="1871650B"/>
    <w:rsid w:val="18725BCA"/>
    <w:rsid w:val="187267EA"/>
    <w:rsid w:val="1872F333"/>
    <w:rsid w:val="1875196A"/>
    <w:rsid w:val="1875C4D3"/>
    <w:rsid w:val="18792C73"/>
    <w:rsid w:val="187A18FA"/>
    <w:rsid w:val="187BBF0A"/>
    <w:rsid w:val="187DFE8C"/>
    <w:rsid w:val="187F65BD"/>
    <w:rsid w:val="1885D72D"/>
    <w:rsid w:val="18890551"/>
    <w:rsid w:val="188A302D"/>
    <w:rsid w:val="188ABA98"/>
    <w:rsid w:val="189265EE"/>
    <w:rsid w:val="18927A7E"/>
    <w:rsid w:val="1895759C"/>
    <w:rsid w:val="18967B72"/>
    <w:rsid w:val="189B627D"/>
    <w:rsid w:val="189CDAAC"/>
    <w:rsid w:val="189F0711"/>
    <w:rsid w:val="18A0BE3E"/>
    <w:rsid w:val="18A1BF84"/>
    <w:rsid w:val="18A33923"/>
    <w:rsid w:val="18A435FB"/>
    <w:rsid w:val="18A595E2"/>
    <w:rsid w:val="18A59EFA"/>
    <w:rsid w:val="18A5B7BF"/>
    <w:rsid w:val="18A5F426"/>
    <w:rsid w:val="18A67EB4"/>
    <w:rsid w:val="18A7B3D3"/>
    <w:rsid w:val="18AC12B3"/>
    <w:rsid w:val="18B4B6A1"/>
    <w:rsid w:val="18B564B9"/>
    <w:rsid w:val="18B68FB3"/>
    <w:rsid w:val="18B6B1FB"/>
    <w:rsid w:val="18B6BA3E"/>
    <w:rsid w:val="18B6FB90"/>
    <w:rsid w:val="18B7C7CD"/>
    <w:rsid w:val="18B7F137"/>
    <w:rsid w:val="18B86F06"/>
    <w:rsid w:val="18BA3ED9"/>
    <w:rsid w:val="18BD83EE"/>
    <w:rsid w:val="18C1FBA0"/>
    <w:rsid w:val="18C2D0BC"/>
    <w:rsid w:val="18C3576C"/>
    <w:rsid w:val="18C56D10"/>
    <w:rsid w:val="18C5EF57"/>
    <w:rsid w:val="18C79523"/>
    <w:rsid w:val="18C89052"/>
    <w:rsid w:val="18CABA36"/>
    <w:rsid w:val="18CB7EC7"/>
    <w:rsid w:val="18CD466D"/>
    <w:rsid w:val="18CD6404"/>
    <w:rsid w:val="18CE0E63"/>
    <w:rsid w:val="18CF2E43"/>
    <w:rsid w:val="18D1D844"/>
    <w:rsid w:val="18D2CA03"/>
    <w:rsid w:val="18D3ABF7"/>
    <w:rsid w:val="18D3D188"/>
    <w:rsid w:val="18D456FE"/>
    <w:rsid w:val="18D58C60"/>
    <w:rsid w:val="18D66000"/>
    <w:rsid w:val="18D90623"/>
    <w:rsid w:val="18D9A8E7"/>
    <w:rsid w:val="18DB3877"/>
    <w:rsid w:val="18DC3869"/>
    <w:rsid w:val="18DCBF8F"/>
    <w:rsid w:val="18DD5BFA"/>
    <w:rsid w:val="18E08EA6"/>
    <w:rsid w:val="18E20D19"/>
    <w:rsid w:val="18E23BB7"/>
    <w:rsid w:val="18E27414"/>
    <w:rsid w:val="18E3B85F"/>
    <w:rsid w:val="18E4D954"/>
    <w:rsid w:val="18E500E0"/>
    <w:rsid w:val="18E5E6FE"/>
    <w:rsid w:val="18E67814"/>
    <w:rsid w:val="18E67C87"/>
    <w:rsid w:val="18E6F2A7"/>
    <w:rsid w:val="18E71EF1"/>
    <w:rsid w:val="18E75EBF"/>
    <w:rsid w:val="18E81D5D"/>
    <w:rsid w:val="18E83435"/>
    <w:rsid w:val="18E8776C"/>
    <w:rsid w:val="18E8E1E9"/>
    <w:rsid w:val="18EA0E2E"/>
    <w:rsid w:val="18ECC2ED"/>
    <w:rsid w:val="18EEEA83"/>
    <w:rsid w:val="18EF6AC4"/>
    <w:rsid w:val="18F4644B"/>
    <w:rsid w:val="18F4CB1A"/>
    <w:rsid w:val="18F545B4"/>
    <w:rsid w:val="18F90801"/>
    <w:rsid w:val="18FA0525"/>
    <w:rsid w:val="18FD3718"/>
    <w:rsid w:val="18FE0569"/>
    <w:rsid w:val="190032D6"/>
    <w:rsid w:val="19005338"/>
    <w:rsid w:val="1900671B"/>
    <w:rsid w:val="190124DF"/>
    <w:rsid w:val="19055171"/>
    <w:rsid w:val="190648CE"/>
    <w:rsid w:val="1906A907"/>
    <w:rsid w:val="190916CC"/>
    <w:rsid w:val="190AC624"/>
    <w:rsid w:val="190AEC02"/>
    <w:rsid w:val="190D0958"/>
    <w:rsid w:val="190E4FD9"/>
    <w:rsid w:val="190EA5B8"/>
    <w:rsid w:val="1911690E"/>
    <w:rsid w:val="19138C62"/>
    <w:rsid w:val="191713AF"/>
    <w:rsid w:val="191A3DBA"/>
    <w:rsid w:val="191B5F9B"/>
    <w:rsid w:val="191B6776"/>
    <w:rsid w:val="191C94CD"/>
    <w:rsid w:val="191DDDC5"/>
    <w:rsid w:val="191E36C0"/>
    <w:rsid w:val="191E530C"/>
    <w:rsid w:val="1920508D"/>
    <w:rsid w:val="19205F76"/>
    <w:rsid w:val="1920A36A"/>
    <w:rsid w:val="1920D671"/>
    <w:rsid w:val="1920EC88"/>
    <w:rsid w:val="1922E1E1"/>
    <w:rsid w:val="19245B4B"/>
    <w:rsid w:val="1925B299"/>
    <w:rsid w:val="1926EC00"/>
    <w:rsid w:val="19274658"/>
    <w:rsid w:val="19280FA9"/>
    <w:rsid w:val="192921FE"/>
    <w:rsid w:val="192BC171"/>
    <w:rsid w:val="192BD0FA"/>
    <w:rsid w:val="192C664D"/>
    <w:rsid w:val="192CD831"/>
    <w:rsid w:val="192CE0E6"/>
    <w:rsid w:val="192F8716"/>
    <w:rsid w:val="19312986"/>
    <w:rsid w:val="1932BD51"/>
    <w:rsid w:val="1932D4C2"/>
    <w:rsid w:val="19344DAA"/>
    <w:rsid w:val="1937D1E7"/>
    <w:rsid w:val="19393EC8"/>
    <w:rsid w:val="193A6C3F"/>
    <w:rsid w:val="193D638E"/>
    <w:rsid w:val="193D67C5"/>
    <w:rsid w:val="1940ED4B"/>
    <w:rsid w:val="1940EFB6"/>
    <w:rsid w:val="1941850D"/>
    <w:rsid w:val="19429FAA"/>
    <w:rsid w:val="1944211A"/>
    <w:rsid w:val="1944DCEE"/>
    <w:rsid w:val="1944E7F4"/>
    <w:rsid w:val="1946F136"/>
    <w:rsid w:val="1947A3AF"/>
    <w:rsid w:val="1948EE8A"/>
    <w:rsid w:val="194AB249"/>
    <w:rsid w:val="194D0D08"/>
    <w:rsid w:val="194E7534"/>
    <w:rsid w:val="1955DE8B"/>
    <w:rsid w:val="1956454E"/>
    <w:rsid w:val="19565186"/>
    <w:rsid w:val="195849ED"/>
    <w:rsid w:val="195CA18F"/>
    <w:rsid w:val="195D5E5F"/>
    <w:rsid w:val="195DF7B2"/>
    <w:rsid w:val="1960702F"/>
    <w:rsid w:val="1960A226"/>
    <w:rsid w:val="1960E336"/>
    <w:rsid w:val="19611522"/>
    <w:rsid w:val="19623468"/>
    <w:rsid w:val="19653137"/>
    <w:rsid w:val="19664CCF"/>
    <w:rsid w:val="196668CF"/>
    <w:rsid w:val="1966C451"/>
    <w:rsid w:val="196783E6"/>
    <w:rsid w:val="1968CEEE"/>
    <w:rsid w:val="196991FA"/>
    <w:rsid w:val="196C22D7"/>
    <w:rsid w:val="196C9CAC"/>
    <w:rsid w:val="196FA839"/>
    <w:rsid w:val="19717BCA"/>
    <w:rsid w:val="19717D3D"/>
    <w:rsid w:val="1971B15F"/>
    <w:rsid w:val="19732110"/>
    <w:rsid w:val="19732C2D"/>
    <w:rsid w:val="19740C97"/>
    <w:rsid w:val="19762656"/>
    <w:rsid w:val="1976C88F"/>
    <w:rsid w:val="1977FDD9"/>
    <w:rsid w:val="19790473"/>
    <w:rsid w:val="197980A4"/>
    <w:rsid w:val="197BA0DA"/>
    <w:rsid w:val="197C143A"/>
    <w:rsid w:val="197EC6B0"/>
    <w:rsid w:val="19804A45"/>
    <w:rsid w:val="1982873C"/>
    <w:rsid w:val="1984FC28"/>
    <w:rsid w:val="1985DD84"/>
    <w:rsid w:val="19867E50"/>
    <w:rsid w:val="19895549"/>
    <w:rsid w:val="198AC123"/>
    <w:rsid w:val="198B31E0"/>
    <w:rsid w:val="198B45D4"/>
    <w:rsid w:val="198BEC22"/>
    <w:rsid w:val="198CB645"/>
    <w:rsid w:val="198FBE58"/>
    <w:rsid w:val="1991A667"/>
    <w:rsid w:val="1994E9FA"/>
    <w:rsid w:val="1998507B"/>
    <w:rsid w:val="19994ABF"/>
    <w:rsid w:val="199DB907"/>
    <w:rsid w:val="199E0819"/>
    <w:rsid w:val="199E4567"/>
    <w:rsid w:val="199EBB61"/>
    <w:rsid w:val="199EE3DF"/>
    <w:rsid w:val="199F6342"/>
    <w:rsid w:val="19A25B0B"/>
    <w:rsid w:val="19A50CA1"/>
    <w:rsid w:val="19A563C0"/>
    <w:rsid w:val="19A85185"/>
    <w:rsid w:val="19A8D2AD"/>
    <w:rsid w:val="19A9BC4D"/>
    <w:rsid w:val="19ACC514"/>
    <w:rsid w:val="19AD73FA"/>
    <w:rsid w:val="19AD7795"/>
    <w:rsid w:val="19AE7DFA"/>
    <w:rsid w:val="19AFB95C"/>
    <w:rsid w:val="19B0EEC0"/>
    <w:rsid w:val="19B5FA3B"/>
    <w:rsid w:val="19B6D2D7"/>
    <w:rsid w:val="19B811D7"/>
    <w:rsid w:val="19B8FEC8"/>
    <w:rsid w:val="19B9201A"/>
    <w:rsid w:val="19B9E909"/>
    <w:rsid w:val="19BB184D"/>
    <w:rsid w:val="19BE1F14"/>
    <w:rsid w:val="19C16C63"/>
    <w:rsid w:val="19C4FF7B"/>
    <w:rsid w:val="19C54816"/>
    <w:rsid w:val="19C5EBED"/>
    <w:rsid w:val="19C62ECC"/>
    <w:rsid w:val="19C68B06"/>
    <w:rsid w:val="19C7587E"/>
    <w:rsid w:val="19C7644F"/>
    <w:rsid w:val="19CAEAE0"/>
    <w:rsid w:val="19CC49B1"/>
    <w:rsid w:val="19CE43F3"/>
    <w:rsid w:val="19CFB3F7"/>
    <w:rsid w:val="19D69577"/>
    <w:rsid w:val="19D6BFE9"/>
    <w:rsid w:val="19D6F182"/>
    <w:rsid w:val="19D7B07C"/>
    <w:rsid w:val="19DBDA0C"/>
    <w:rsid w:val="19DDE15C"/>
    <w:rsid w:val="19E2F4CD"/>
    <w:rsid w:val="19E54F32"/>
    <w:rsid w:val="19E5A8A4"/>
    <w:rsid w:val="19E62E95"/>
    <w:rsid w:val="19E65087"/>
    <w:rsid w:val="19EAC007"/>
    <w:rsid w:val="19EB55C7"/>
    <w:rsid w:val="19ECC9C9"/>
    <w:rsid w:val="19ECF97E"/>
    <w:rsid w:val="19EE64D1"/>
    <w:rsid w:val="19F088FC"/>
    <w:rsid w:val="19F0D64F"/>
    <w:rsid w:val="19F0E8EC"/>
    <w:rsid w:val="19F111CE"/>
    <w:rsid w:val="19F1E0A2"/>
    <w:rsid w:val="19F25B10"/>
    <w:rsid w:val="19F2B91E"/>
    <w:rsid w:val="19F473BF"/>
    <w:rsid w:val="19F62729"/>
    <w:rsid w:val="19F7B907"/>
    <w:rsid w:val="19F7D98D"/>
    <w:rsid w:val="19FA0969"/>
    <w:rsid w:val="19FA6B88"/>
    <w:rsid w:val="19FEB37C"/>
    <w:rsid w:val="19FF54D6"/>
    <w:rsid w:val="1A00FA85"/>
    <w:rsid w:val="1A02AB90"/>
    <w:rsid w:val="1A02FF05"/>
    <w:rsid w:val="1A04BCD0"/>
    <w:rsid w:val="1A05AEEA"/>
    <w:rsid w:val="1A062434"/>
    <w:rsid w:val="1A063885"/>
    <w:rsid w:val="1A07E619"/>
    <w:rsid w:val="1A0A53B9"/>
    <w:rsid w:val="1A0BA775"/>
    <w:rsid w:val="1A0D82AA"/>
    <w:rsid w:val="1A0EAEC3"/>
    <w:rsid w:val="1A109186"/>
    <w:rsid w:val="1A146386"/>
    <w:rsid w:val="1A15F8CD"/>
    <w:rsid w:val="1A1618EA"/>
    <w:rsid w:val="1A177196"/>
    <w:rsid w:val="1A182E19"/>
    <w:rsid w:val="1A18394B"/>
    <w:rsid w:val="1A197EEA"/>
    <w:rsid w:val="1A1A9038"/>
    <w:rsid w:val="1A1E068A"/>
    <w:rsid w:val="1A1E6ADD"/>
    <w:rsid w:val="1A1F4A20"/>
    <w:rsid w:val="1A202C29"/>
    <w:rsid w:val="1A20CCB1"/>
    <w:rsid w:val="1A211E13"/>
    <w:rsid w:val="1A220882"/>
    <w:rsid w:val="1A240CB2"/>
    <w:rsid w:val="1A24D187"/>
    <w:rsid w:val="1A24FA74"/>
    <w:rsid w:val="1A316DAD"/>
    <w:rsid w:val="1A3357CC"/>
    <w:rsid w:val="1A3562D6"/>
    <w:rsid w:val="1A397B3D"/>
    <w:rsid w:val="1A3B7ABD"/>
    <w:rsid w:val="1A3FDF96"/>
    <w:rsid w:val="1A403E2D"/>
    <w:rsid w:val="1A40B6A0"/>
    <w:rsid w:val="1A416DCB"/>
    <w:rsid w:val="1A42EB46"/>
    <w:rsid w:val="1A43C0C4"/>
    <w:rsid w:val="1A43F52A"/>
    <w:rsid w:val="1A47FE62"/>
    <w:rsid w:val="1A4C1C81"/>
    <w:rsid w:val="1A4C3A37"/>
    <w:rsid w:val="1A4E67E9"/>
    <w:rsid w:val="1A4F1942"/>
    <w:rsid w:val="1A4FB8A0"/>
    <w:rsid w:val="1A511B51"/>
    <w:rsid w:val="1A53C4B4"/>
    <w:rsid w:val="1A544AED"/>
    <w:rsid w:val="1A550DF0"/>
    <w:rsid w:val="1A557EC4"/>
    <w:rsid w:val="1A584F5E"/>
    <w:rsid w:val="1A58D8A1"/>
    <w:rsid w:val="1A5B121F"/>
    <w:rsid w:val="1A5C25EB"/>
    <w:rsid w:val="1A5C7A22"/>
    <w:rsid w:val="1A5D8E26"/>
    <w:rsid w:val="1A5D9331"/>
    <w:rsid w:val="1A5D93E8"/>
    <w:rsid w:val="1A62B3B7"/>
    <w:rsid w:val="1A634385"/>
    <w:rsid w:val="1A63F6CB"/>
    <w:rsid w:val="1A655F20"/>
    <w:rsid w:val="1A65776A"/>
    <w:rsid w:val="1A660C8D"/>
    <w:rsid w:val="1A66F4FD"/>
    <w:rsid w:val="1A67AFE5"/>
    <w:rsid w:val="1A692D3C"/>
    <w:rsid w:val="1A6A17C4"/>
    <w:rsid w:val="1A6A610A"/>
    <w:rsid w:val="1A6ADD4C"/>
    <w:rsid w:val="1A6B6FA0"/>
    <w:rsid w:val="1A6C6B54"/>
    <w:rsid w:val="1A6E12F4"/>
    <w:rsid w:val="1A708F44"/>
    <w:rsid w:val="1A71215E"/>
    <w:rsid w:val="1A7386B9"/>
    <w:rsid w:val="1A753E2D"/>
    <w:rsid w:val="1A766C12"/>
    <w:rsid w:val="1A77736D"/>
    <w:rsid w:val="1A788F9B"/>
    <w:rsid w:val="1A78E470"/>
    <w:rsid w:val="1A790EEE"/>
    <w:rsid w:val="1A7D8BAF"/>
    <w:rsid w:val="1A7F85EE"/>
    <w:rsid w:val="1A7FB369"/>
    <w:rsid w:val="1A828999"/>
    <w:rsid w:val="1A87B577"/>
    <w:rsid w:val="1A87EE0F"/>
    <w:rsid w:val="1A884A6D"/>
    <w:rsid w:val="1A890200"/>
    <w:rsid w:val="1A8C12E8"/>
    <w:rsid w:val="1A8C7045"/>
    <w:rsid w:val="1A8EC53F"/>
    <w:rsid w:val="1A903E55"/>
    <w:rsid w:val="1A91E5BA"/>
    <w:rsid w:val="1A93022B"/>
    <w:rsid w:val="1A95AB07"/>
    <w:rsid w:val="1A964718"/>
    <w:rsid w:val="1A96F995"/>
    <w:rsid w:val="1A97E56F"/>
    <w:rsid w:val="1A98EB58"/>
    <w:rsid w:val="1A9CBBC5"/>
    <w:rsid w:val="1A9E410D"/>
    <w:rsid w:val="1A9E8054"/>
    <w:rsid w:val="1A9F02C6"/>
    <w:rsid w:val="1AA1C33F"/>
    <w:rsid w:val="1AA2AD64"/>
    <w:rsid w:val="1AA3E2B1"/>
    <w:rsid w:val="1AA90E09"/>
    <w:rsid w:val="1AAA96DB"/>
    <w:rsid w:val="1AAB1289"/>
    <w:rsid w:val="1AABC036"/>
    <w:rsid w:val="1AAD1205"/>
    <w:rsid w:val="1AAD81DA"/>
    <w:rsid w:val="1AAE2F31"/>
    <w:rsid w:val="1AAFF495"/>
    <w:rsid w:val="1AB03496"/>
    <w:rsid w:val="1AB18C58"/>
    <w:rsid w:val="1AB19CC2"/>
    <w:rsid w:val="1AB1A0DD"/>
    <w:rsid w:val="1AB1CCD1"/>
    <w:rsid w:val="1AB2EF2C"/>
    <w:rsid w:val="1AB3FCE2"/>
    <w:rsid w:val="1AB44192"/>
    <w:rsid w:val="1AB5335B"/>
    <w:rsid w:val="1AB801EB"/>
    <w:rsid w:val="1ABC5873"/>
    <w:rsid w:val="1ABE7455"/>
    <w:rsid w:val="1ABFBBF2"/>
    <w:rsid w:val="1ABFC0B9"/>
    <w:rsid w:val="1AC040D1"/>
    <w:rsid w:val="1AC05A90"/>
    <w:rsid w:val="1AC0E935"/>
    <w:rsid w:val="1AC3C149"/>
    <w:rsid w:val="1AC41361"/>
    <w:rsid w:val="1AC560F9"/>
    <w:rsid w:val="1AC59464"/>
    <w:rsid w:val="1AC74A78"/>
    <w:rsid w:val="1ACA15C5"/>
    <w:rsid w:val="1ACD0C51"/>
    <w:rsid w:val="1ACF72B8"/>
    <w:rsid w:val="1AD2F0E0"/>
    <w:rsid w:val="1AD85D1D"/>
    <w:rsid w:val="1ADCB6A0"/>
    <w:rsid w:val="1ADE88FF"/>
    <w:rsid w:val="1ADEB154"/>
    <w:rsid w:val="1ADF1947"/>
    <w:rsid w:val="1ADF36D7"/>
    <w:rsid w:val="1ADFD668"/>
    <w:rsid w:val="1AE0103F"/>
    <w:rsid w:val="1AE0D6CB"/>
    <w:rsid w:val="1AE219FB"/>
    <w:rsid w:val="1AE2DA58"/>
    <w:rsid w:val="1AE2EED4"/>
    <w:rsid w:val="1AE44715"/>
    <w:rsid w:val="1AE54F1F"/>
    <w:rsid w:val="1AE83BF7"/>
    <w:rsid w:val="1AE8B4A3"/>
    <w:rsid w:val="1AE90183"/>
    <w:rsid w:val="1AEA4AB5"/>
    <w:rsid w:val="1AEB5E78"/>
    <w:rsid w:val="1AEC237B"/>
    <w:rsid w:val="1AED9246"/>
    <w:rsid w:val="1AEE1BDB"/>
    <w:rsid w:val="1AEF3291"/>
    <w:rsid w:val="1AF04996"/>
    <w:rsid w:val="1AF1FE64"/>
    <w:rsid w:val="1AF44650"/>
    <w:rsid w:val="1AF48196"/>
    <w:rsid w:val="1AF657A9"/>
    <w:rsid w:val="1AF75209"/>
    <w:rsid w:val="1AF85A13"/>
    <w:rsid w:val="1AF96DC1"/>
    <w:rsid w:val="1AFB3DB3"/>
    <w:rsid w:val="1AFD1F19"/>
    <w:rsid w:val="1AFD6069"/>
    <w:rsid w:val="1AFDE4AB"/>
    <w:rsid w:val="1AFE0B9C"/>
    <w:rsid w:val="1AFE7175"/>
    <w:rsid w:val="1AFF7441"/>
    <w:rsid w:val="1AFFD549"/>
    <w:rsid w:val="1B0059E1"/>
    <w:rsid w:val="1B02C0DB"/>
    <w:rsid w:val="1B03CA12"/>
    <w:rsid w:val="1B042D9A"/>
    <w:rsid w:val="1B06B3F0"/>
    <w:rsid w:val="1B079996"/>
    <w:rsid w:val="1B0AD2DF"/>
    <w:rsid w:val="1B0B7373"/>
    <w:rsid w:val="1B0B821C"/>
    <w:rsid w:val="1B0BF4AA"/>
    <w:rsid w:val="1B0C1585"/>
    <w:rsid w:val="1B0CEF6F"/>
    <w:rsid w:val="1B0D7DF3"/>
    <w:rsid w:val="1B0DC129"/>
    <w:rsid w:val="1B0E9D47"/>
    <w:rsid w:val="1B1246D6"/>
    <w:rsid w:val="1B12AB20"/>
    <w:rsid w:val="1B14DC6C"/>
    <w:rsid w:val="1B15D992"/>
    <w:rsid w:val="1B1A2630"/>
    <w:rsid w:val="1B1B9355"/>
    <w:rsid w:val="1B1CDC61"/>
    <w:rsid w:val="1B1E7368"/>
    <w:rsid w:val="1B1F658E"/>
    <w:rsid w:val="1B1FEF49"/>
    <w:rsid w:val="1B212BC4"/>
    <w:rsid w:val="1B219F0F"/>
    <w:rsid w:val="1B220498"/>
    <w:rsid w:val="1B229EE2"/>
    <w:rsid w:val="1B22A7AF"/>
    <w:rsid w:val="1B22BCAE"/>
    <w:rsid w:val="1B24606E"/>
    <w:rsid w:val="1B26DFB0"/>
    <w:rsid w:val="1B2700DF"/>
    <w:rsid w:val="1B271DFB"/>
    <w:rsid w:val="1B276989"/>
    <w:rsid w:val="1B27F80F"/>
    <w:rsid w:val="1B282AD4"/>
    <w:rsid w:val="1B28C482"/>
    <w:rsid w:val="1B28DD9F"/>
    <w:rsid w:val="1B291D5E"/>
    <w:rsid w:val="1B2A3348"/>
    <w:rsid w:val="1B2A6621"/>
    <w:rsid w:val="1B2C439F"/>
    <w:rsid w:val="1B2D4897"/>
    <w:rsid w:val="1B2DAD84"/>
    <w:rsid w:val="1B2F3154"/>
    <w:rsid w:val="1B2FB8AB"/>
    <w:rsid w:val="1B329EF7"/>
    <w:rsid w:val="1B3562B6"/>
    <w:rsid w:val="1B36B1AC"/>
    <w:rsid w:val="1B36D8BC"/>
    <w:rsid w:val="1B36D90B"/>
    <w:rsid w:val="1B373A23"/>
    <w:rsid w:val="1B38AE95"/>
    <w:rsid w:val="1B38BF22"/>
    <w:rsid w:val="1B38D02D"/>
    <w:rsid w:val="1B390B2E"/>
    <w:rsid w:val="1B39557F"/>
    <w:rsid w:val="1B3A1C10"/>
    <w:rsid w:val="1B3A2F92"/>
    <w:rsid w:val="1B3AF086"/>
    <w:rsid w:val="1B3C3E2F"/>
    <w:rsid w:val="1B3D2A3B"/>
    <w:rsid w:val="1B3EE6AE"/>
    <w:rsid w:val="1B4019E4"/>
    <w:rsid w:val="1B40D58A"/>
    <w:rsid w:val="1B40F8C6"/>
    <w:rsid w:val="1B42F853"/>
    <w:rsid w:val="1B4385CC"/>
    <w:rsid w:val="1B449E49"/>
    <w:rsid w:val="1B480F5C"/>
    <w:rsid w:val="1B49CDF3"/>
    <w:rsid w:val="1B4B9C8B"/>
    <w:rsid w:val="1B4C16B1"/>
    <w:rsid w:val="1B4C529A"/>
    <w:rsid w:val="1B4E1B29"/>
    <w:rsid w:val="1B4EAB5F"/>
    <w:rsid w:val="1B527162"/>
    <w:rsid w:val="1B539430"/>
    <w:rsid w:val="1B5419C0"/>
    <w:rsid w:val="1B58C1C8"/>
    <w:rsid w:val="1B5D4F0F"/>
    <w:rsid w:val="1B5F6A4C"/>
    <w:rsid w:val="1B60B020"/>
    <w:rsid w:val="1B61E943"/>
    <w:rsid w:val="1B61ECBC"/>
    <w:rsid w:val="1B628ADB"/>
    <w:rsid w:val="1B65E8C0"/>
    <w:rsid w:val="1B668DC0"/>
    <w:rsid w:val="1B67C221"/>
    <w:rsid w:val="1B68C272"/>
    <w:rsid w:val="1B692613"/>
    <w:rsid w:val="1B699BF7"/>
    <w:rsid w:val="1B6F56E1"/>
    <w:rsid w:val="1B6FA4ED"/>
    <w:rsid w:val="1B70EF31"/>
    <w:rsid w:val="1B740AD9"/>
    <w:rsid w:val="1B7455F0"/>
    <w:rsid w:val="1B75B9F4"/>
    <w:rsid w:val="1B75D6DD"/>
    <w:rsid w:val="1B760A20"/>
    <w:rsid w:val="1B7781BA"/>
    <w:rsid w:val="1B7B01F9"/>
    <w:rsid w:val="1B7C538D"/>
    <w:rsid w:val="1B7C96B8"/>
    <w:rsid w:val="1B7E5E02"/>
    <w:rsid w:val="1B7E7B55"/>
    <w:rsid w:val="1B80F75A"/>
    <w:rsid w:val="1B81F648"/>
    <w:rsid w:val="1B83C899"/>
    <w:rsid w:val="1B84B6B5"/>
    <w:rsid w:val="1B864B24"/>
    <w:rsid w:val="1B8C269C"/>
    <w:rsid w:val="1B8C8ED9"/>
    <w:rsid w:val="1B8D40EE"/>
    <w:rsid w:val="1B96549A"/>
    <w:rsid w:val="1B975589"/>
    <w:rsid w:val="1B984586"/>
    <w:rsid w:val="1B99107A"/>
    <w:rsid w:val="1B999360"/>
    <w:rsid w:val="1B99FF6E"/>
    <w:rsid w:val="1B9A143D"/>
    <w:rsid w:val="1B9C3BF2"/>
    <w:rsid w:val="1BA2280F"/>
    <w:rsid w:val="1BA2519D"/>
    <w:rsid w:val="1BA258EE"/>
    <w:rsid w:val="1BA287DB"/>
    <w:rsid w:val="1BA41E5B"/>
    <w:rsid w:val="1BA5AE26"/>
    <w:rsid w:val="1BAA8CEA"/>
    <w:rsid w:val="1BAA8E03"/>
    <w:rsid w:val="1BAB42E3"/>
    <w:rsid w:val="1BAB92D1"/>
    <w:rsid w:val="1BAE40DD"/>
    <w:rsid w:val="1BB24C6C"/>
    <w:rsid w:val="1BB264B1"/>
    <w:rsid w:val="1BB6EA52"/>
    <w:rsid w:val="1BB7B774"/>
    <w:rsid w:val="1BB85126"/>
    <w:rsid w:val="1BB89C5D"/>
    <w:rsid w:val="1BB98ED7"/>
    <w:rsid w:val="1BBA553E"/>
    <w:rsid w:val="1BBCC95A"/>
    <w:rsid w:val="1BBF7A36"/>
    <w:rsid w:val="1BC00219"/>
    <w:rsid w:val="1BC37968"/>
    <w:rsid w:val="1BC386F9"/>
    <w:rsid w:val="1BC512AF"/>
    <w:rsid w:val="1BC563AE"/>
    <w:rsid w:val="1BC6507C"/>
    <w:rsid w:val="1BC6E5BC"/>
    <w:rsid w:val="1BCA4791"/>
    <w:rsid w:val="1BCB4E6F"/>
    <w:rsid w:val="1BCB7FDB"/>
    <w:rsid w:val="1BCC79E2"/>
    <w:rsid w:val="1BCD8A1B"/>
    <w:rsid w:val="1BCE8F3E"/>
    <w:rsid w:val="1BCF46D8"/>
    <w:rsid w:val="1BCF79DC"/>
    <w:rsid w:val="1BD01A20"/>
    <w:rsid w:val="1BD0278D"/>
    <w:rsid w:val="1BD1B7E4"/>
    <w:rsid w:val="1BD449D2"/>
    <w:rsid w:val="1BD74B75"/>
    <w:rsid w:val="1BD967FB"/>
    <w:rsid w:val="1BD998B6"/>
    <w:rsid w:val="1BDDA157"/>
    <w:rsid w:val="1BE24D3E"/>
    <w:rsid w:val="1BE6A575"/>
    <w:rsid w:val="1BE98637"/>
    <w:rsid w:val="1BEACE95"/>
    <w:rsid w:val="1BEC78D7"/>
    <w:rsid w:val="1BEDD9C4"/>
    <w:rsid w:val="1BF1400F"/>
    <w:rsid w:val="1BF38D1E"/>
    <w:rsid w:val="1BF390EC"/>
    <w:rsid w:val="1BF5F955"/>
    <w:rsid w:val="1BF701B5"/>
    <w:rsid w:val="1BF74219"/>
    <w:rsid w:val="1BF80993"/>
    <w:rsid w:val="1BF92A0C"/>
    <w:rsid w:val="1BFAFD11"/>
    <w:rsid w:val="1BFBEA1A"/>
    <w:rsid w:val="1BFF0AC1"/>
    <w:rsid w:val="1BFF51C7"/>
    <w:rsid w:val="1BFFB1AF"/>
    <w:rsid w:val="1C0233EF"/>
    <w:rsid w:val="1C0587F1"/>
    <w:rsid w:val="1C06CC83"/>
    <w:rsid w:val="1C084CB3"/>
    <w:rsid w:val="1C08FD28"/>
    <w:rsid w:val="1C0C06B4"/>
    <w:rsid w:val="1C0C8EEF"/>
    <w:rsid w:val="1C0DB4C2"/>
    <w:rsid w:val="1C0E43E7"/>
    <w:rsid w:val="1C10C909"/>
    <w:rsid w:val="1C118352"/>
    <w:rsid w:val="1C126B47"/>
    <w:rsid w:val="1C13A295"/>
    <w:rsid w:val="1C14BF3E"/>
    <w:rsid w:val="1C176EB2"/>
    <w:rsid w:val="1C1771F9"/>
    <w:rsid w:val="1C18EBFF"/>
    <w:rsid w:val="1C19141F"/>
    <w:rsid w:val="1C19616D"/>
    <w:rsid w:val="1C1D23BD"/>
    <w:rsid w:val="1C1E4E48"/>
    <w:rsid w:val="1C1EFBB9"/>
    <w:rsid w:val="1C206812"/>
    <w:rsid w:val="1C210EE4"/>
    <w:rsid w:val="1C21A5FE"/>
    <w:rsid w:val="1C2382E8"/>
    <w:rsid w:val="1C23E0EA"/>
    <w:rsid w:val="1C25C10A"/>
    <w:rsid w:val="1C276D41"/>
    <w:rsid w:val="1C2A5723"/>
    <w:rsid w:val="1C2A75AC"/>
    <w:rsid w:val="1C2B9507"/>
    <w:rsid w:val="1C2DE5E5"/>
    <w:rsid w:val="1C2E3037"/>
    <w:rsid w:val="1C2EC7AF"/>
    <w:rsid w:val="1C2F7484"/>
    <w:rsid w:val="1C30B293"/>
    <w:rsid w:val="1C32681C"/>
    <w:rsid w:val="1C32968F"/>
    <w:rsid w:val="1C334C68"/>
    <w:rsid w:val="1C3757DB"/>
    <w:rsid w:val="1C3A0D71"/>
    <w:rsid w:val="1C3FA02C"/>
    <w:rsid w:val="1C40BBB0"/>
    <w:rsid w:val="1C413B88"/>
    <w:rsid w:val="1C415538"/>
    <w:rsid w:val="1C43FE3D"/>
    <w:rsid w:val="1C44F905"/>
    <w:rsid w:val="1C45E436"/>
    <w:rsid w:val="1C47616A"/>
    <w:rsid w:val="1C48B3A8"/>
    <w:rsid w:val="1C4C28A1"/>
    <w:rsid w:val="1C4E5981"/>
    <w:rsid w:val="1C547772"/>
    <w:rsid w:val="1C57AB8E"/>
    <w:rsid w:val="1C581262"/>
    <w:rsid w:val="1C59D43B"/>
    <w:rsid w:val="1C5B7992"/>
    <w:rsid w:val="1C5B81D6"/>
    <w:rsid w:val="1C5C3D49"/>
    <w:rsid w:val="1C5C5FC9"/>
    <w:rsid w:val="1C5D212E"/>
    <w:rsid w:val="1C5DB887"/>
    <w:rsid w:val="1C5E7E1A"/>
    <w:rsid w:val="1C5F550F"/>
    <w:rsid w:val="1C5FA4F6"/>
    <w:rsid w:val="1C6516F8"/>
    <w:rsid w:val="1C65B630"/>
    <w:rsid w:val="1C6EA578"/>
    <w:rsid w:val="1C6FA738"/>
    <w:rsid w:val="1C729A28"/>
    <w:rsid w:val="1C736571"/>
    <w:rsid w:val="1C73FE41"/>
    <w:rsid w:val="1C75D72F"/>
    <w:rsid w:val="1C77CF2B"/>
    <w:rsid w:val="1C787DBB"/>
    <w:rsid w:val="1C7A7A00"/>
    <w:rsid w:val="1C7BDD69"/>
    <w:rsid w:val="1C7CCAC5"/>
    <w:rsid w:val="1C7E24F8"/>
    <w:rsid w:val="1C7E509A"/>
    <w:rsid w:val="1C83CF4D"/>
    <w:rsid w:val="1C84D666"/>
    <w:rsid w:val="1C84F6ED"/>
    <w:rsid w:val="1C8655DB"/>
    <w:rsid w:val="1C87C81A"/>
    <w:rsid w:val="1C87F4B9"/>
    <w:rsid w:val="1C88E3A6"/>
    <w:rsid w:val="1C8991A8"/>
    <w:rsid w:val="1C8B641D"/>
    <w:rsid w:val="1C8BBEBF"/>
    <w:rsid w:val="1C8C1EED"/>
    <w:rsid w:val="1C900276"/>
    <w:rsid w:val="1C94294A"/>
    <w:rsid w:val="1C958DD9"/>
    <w:rsid w:val="1C9599C2"/>
    <w:rsid w:val="1C9926F1"/>
    <w:rsid w:val="1C99538F"/>
    <w:rsid w:val="1C9B4460"/>
    <w:rsid w:val="1C9DC63C"/>
    <w:rsid w:val="1C9F16CC"/>
    <w:rsid w:val="1C9F3177"/>
    <w:rsid w:val="1C9F653C"/>
    <w:rsid w:val="1CA1501E"/>
    <w:rsid w:val="1CA3B6C9"/>
    <w:rsid w:val="1CA4E058"/>
    <w:rsid w:val="1CA86B7F"/>
    <w:rsid w:val="1CA8D923"/>
    <w:rsid w:val="1CAB8678"/>
    <w:rsid w:val="1CACEED1"/>
    <w:rsid w:val="1CADB751"/>
    <w:rsid w:val="1CAE549A"/>
    <w:rsid w:val="1CAF7DC1"/>
    <w:rsid w:val="1CB153C4"/>
    <w:rsid w:val="1CB3B68E"/>
    <w:rsid w:val="1CB5EBC1"/>
    <w:rsid w:val="1CB7D13C"/>
    <w:rsid w:val="1CB7DE4A"/>
    <w:rsid w:val="1CB8A7EE"/>
    <w:rsid w:val="1CB8EBBB"/>
    <w:rsid w:val="1CB8FE28"/>
    <w:rsid w:val="1CB9AD99"/>
    <w:rsid w:val="1CBA580E"/>
    <w:rsid w:val="1CBD46FB"/>
    <w:rsid w:val="1CBF26CB"/>
    <w:rsid w:val="1CC0FFE2"/>
    <w:rsid w:val="1CC2F997"/>
    <w:rsid w:val="1CC395C2"/>
    <w:rsid w:val="1CC551AE"/>
    <w:rsid w:val="1CC94B58"/>
    <w:rsid w:val="1CC9B40F"/>
    <w:rsid w:val="1CCB1E9A"/>
    <w:rsid w:val="1CCCAF77"/>
    <w:rsid w:val="1CCDA02F"/>
    <w:rsid w:val="1CCE371A"/>
    <w:rsid w:val="1CCE86B0"/>
    <w:rsid w:val="1CD0308C"/>
    <w:rsid w:val="1CD05501"/>
    <w:rsid w:val="1CD1E717"/>
    <w:rsid w:val="1CD2441A"/>
    <w:rsid w:val="1CD40D66"/>
    <w:rsid w:val="1CD66122"/>
    <w:rsid w:val="1CD96F89"/>
    <w:rsid w:val="1CDBABC8"/>
    <w:rsid w:val="1CDDC70C"/>
    <w:rsid w:val="1CE0D3F2"/>
    <w:rsid w:val="1CE149CA"/>
    <w:rsid w:val="1CE2148A"/>
    <w:rsid w:val="1CE27D92"/>
    <w:rsid w:val="1CE522B2"/>
    <w:rsid w:val="1CE74320"/>
    <w:rsid w:val="1CE76217"/>
    <w:rsid w:val="1CE85197"/>
    <w:rsid w:val="1CE9A519"/>
    <w:rsid w:val="1CE9B556"/>
    <w:rsid w:val="1CEA1D8B"/>
    <w:rsid w:val="1CEA63E5"/>
    <w:rsid w:val="1CED53D0"/>
    <w:rsid w:val="1CF514BE"/>
    <w:rsid w:val="1CF5AFA2"/>
    <w:rsid w:val="1CF6566E"/>
    <w:rsid w:val="1CF79491"/>
    <w:rsid w:val="1CF8341E"/>
    <w:rsid w:val="1CF83EEA"/>
    <w:rsid w:val="1CF9287F"/>
    <w:rsid w:val="1CF9C286"/>
    <w:rsid w:val="1CFAD2D1"/>
    <w:rsid w:val="1CFD25D4"/>
    <w:rsid w:val="1CFDD3C4"/>
    <w:rsid w:val="1CFF7058"/>
    <w:rsid w:val="1D00612B"/>
    <w:rsid w:val="1D00866A"/>
    <w:rsid w:val="1D01DFCD"/>
    <w:rsid w:val="1D04567F"/>
    <w:rsid w:val="1D06EDEB"/>
    <w:rsid w:val="1D084640"/>
    <w:rsid w:val="1D09934E"/>
    <w:rsid w:val="1D09ABD8"/>
    <w:rsid w:val="1D0A4EDA"/>
    <w:rsid w:val="1D0E620F"/>
    <w:rsid w:val="1D11285B"/>
    <w:rsid w:val="1D1400B3"/>
    <w:rsid w:val="1D15DF1C"/>
    <w:rsid w:val="1D1CCF3E"/>
    <w:rsid w:val="1D1DF255"/>
    <w:rsid w:val="1D2005F7"/>
    <w:rsid w:val="1D23FCF7"/>
    <w:rsid w:val="1D274807"/>
    <w:rsid w:val="1D28D253"/>
    <w:rsid w:val="1D2948A5"/>
    <w:rsid w:val="1D29AA9E"/>
    <w:rsid w:val="1D2CB684"/>
    <w:rsid w:val="1D2CF60D"/>
    <w:rsid w:val="1D3098F0"/>
    <w:rsid w:val="1D30B664"/>
    <w:rsid w:val="1D311B0B"/>
    <w:rsid w:val="1D352C96"/>
    <w:rsid w:val="1D3736C0"/>
    <w:rsid w:val="1D392ABA"/>
    <w:rsid w:val="1D395EB1"/>
    <w:rsid w:val="1D398A2F"/>
    <w:rsid w:val="1D3B1BEE"/>
    <w:rsid w:val="1D3CFB7F"/>
    <w:rsid w:val="1D3D2F79"/>
    <w:rsid w:val="1D3F7890"/>
    <w:rsid w:val="1D4190C7"/>
    <w:rsid w:val="1D42534B"/>
    <w:rsid w:val="1D43746D"/>
    <w:rsid w:val="1D450A23"/>
    <w:rsid w:val="1D4577AF"/>
    <w:rsid w:val="1D4B8EE0"/>
    <w:rsid w:val="1D4BCBED"/>
    <w:rsid w:val="1D4F2F05"/>
    <w:rsid w:val="1D5004A3"/>
    <w:rsid w:val="1D519F15"/>
    <w:rsid w:val="1D52AE3C"/>
    <w:rsid w:val="1D538C3B"/>
    <w:rsid w:val="1D54C4E1"/>
    <w:rsid w:val="1D553D88"/>
    <w:rsid w:val="1D55E8D5"/>
    <w:rsid w:val="1D567149"/>
    <w:rsid w:val="1D58D215"/>
    <w:rsid w:val="1D59115F"/>
    <w:rsid w:val="1D5938FE"/>
    <w:rsid w:val="1D5AE238"/>
    <w:rsid w:val="1D5B8D8C"/>
    <w:rsid w:val="1D5D5B09"/>
    <w:rsid w:val="1D5D65D4"/>
    <w:rsid w:val="1D606904"/>
    <w:rsid w:val="1D627914"/>
    <w:rsid w:val="1D62A1B5"/>
    <w:rsid w:val="1D645662"/>
    <w:rsid w:val="1D645A23"/>
    <w:rsid w:val="1D66C8B7"/>
    <w:rsid w:val="1D6C48DA"/>
    <w:rsid w:val="1D6ED6A4"/>
    <w:rsid w:val="1D6F6A82"/>
    <w:rsid w:val="1D6FE236"/>
    <w:rsid w:val="1D759D6C"/>
    <w:rsid w:val="1D7AFE98"/>
    <w:rsid w:val="1D7B0E99"/>
    <w:rsid w:val="1D7B7B01"/>
    <w:rsid w:val="1D7E29C1"/>
    <w:rsid w:val="1D7EB869"/>
    <w:rsid w:val="1D7EDC26"/>
    <w:rsid w:val="1D7F1402"/>
    <w:rsid w:val="1D813273"/>
    <w:rsid w:val="1D81B9F8"/>
    <w:rsid w:val="1D85A6C5"/>
    <w:rsid w:val="1D866BAC"/>
    <w:rsid w:val="1D874DC7"/>
    <w:rsid w:val="1D88D9D0"/>
    <w:rsid w:val="1D899CAA"/>
    <w:rsid w:val="1D8A8053"/>
    <w:rsid w:val="1D8ACA88"/>
    <w:rsid w:val="1D8B7B82"/>
    <w:rsid w:val="1D8C217C"/>
    <w:rsid w:val="1D8C8F54"/>
    <w:rsid w:val="1D8D890F"/>
    <w:rsid w:val="1D902455"/>
    <w:rsid w:val="1D90BA5B"/>
    <w:rsid w:val="1D93353C"/>
    <w:rsid w:val="1D93C982"/>
    <w:rsid w:val="1D9456DA"/>
    <w:rsid w:val="1D94A363"/>
    <w:rsid w:val="1D98A81F"/>
    <w:rsid w:val="1D9908DC"/>
    <w:rsid w:val="1D9CE99D"/>
    <w:rsid w:val="1D9D7C89"/>
    <w:rsid w:val="1D9E6868"/>
    <w:rsid w:val="1DA041C0"/>
    <w:rsid w:val="1DA4B1C8"/>
    <w:rsid w:val="1DA4BE13"/>
    <w:rsid w:val="1DA588FA"/>
    <w:rsid w:val="1DA66AF4"/>
    <w:rsid w:val="1DA6B49E"/>
    <w:rsid w:val="1DA7C091"/>
    <w:rsid w:val="1DA83167"/>
    <w:rsid w:val="1DABD5B5"/>
    <w:rsid w:val="1DAC5897"/>
    <w:rsid w:val="1DAC6861"/>
    <w:rsid w:val="1DACFC54"/>
    <w:rsid w:val="1DADA26F"/>
    <w:rsid w:val="1DAEF401"/>
    <w:rsid w:val="1DB02F1A"/>
    <w:rsid w:val="1DB0E4FA"/>
    <w:rsid w:val="1DB19ECE"/>
    <w:rsid w:val="1DB1B2EE"/>
    <w:rsid w:val="1DB5C171"/>
    <w:rsid w:val="1DB87E4F"/>
    <w:rsid w:val="1DB88266"/>
    <w:rsid w:val="1DBA183C"/>
    <w:rsid w:val="1DBB572E"/>
    <w:rsid w:val="1DBBDB89"/>
    <w:rsid w:val="1DBBFBA5"/>
    <w:rsid w:val="1DBF835C"/>
    <w:rsid w:val="1DC069DA"/>
    <w:rsid w:val="1DC08A68"/>
    <w:rsid w:val="1DC1A02A"/>
    <w:rsid w:val="1DC35EA2"/>
    <w:rsid w:val="1DC3F84F"/>
    <w:rsid w:val="1DC4DF73"/>
    <w:rsid w:val="1DC57D79"/>
    <w:rsid w:val="1DC6BDB9"/>
    <w:rsid w:val="1DC9977B"/>
    <w:rsid w:val="1DCAB62F"/>
    <w:rsid w:val="1DCB6BB2"/>
    <w:rsid w:val="1DCBB2AA"/>
    <w:rsid w:val="1DD01D09"/>
    <w:rsid w:val="1DD23702"/>
    <w:rsid w:val="1DD358A2"/>
    <w:rsid w:val="1DD3C529"/>
    <w:rsid w:val="1DD3E08F"/>
    <w:rsid w:val="1DD5D7D8"/>
    <w:rsid w:val="1DD6FD12"/>
    <w:rsid w:val="1DD9DBD8"/>
    <w:rsid w:val="1DDD38AD"/>
    <w:rsid w:val="1DDD9E9C"/>
    <w:rsid w:val="1DE03A58"/>
    <w:rsid w:val="1DE0C28A"/>
    <w:rsid w:val="1DE1B986"/>
    <w:rsid w:val="1DE3B50D"/>
    <w:rsid w:val="1DE5CFEA"/>
    <w:rsid w:val="1DE8A1D6"/>
    <w:rsid w:val="1DE90C50"/>
    <w:rsid w:val="1DE9A4F2"/>
    <w:rsid w:val="1DE9B8A6"/>
    <w:rsid w:val="1DE9E855"/>
    <w:rsid w:val="1DEA0EEC"/>
    <w:rsid w:val="1DEBD68B"/>
    <w:rsid w:val="1DF106DA"/>
    <w:rsid w:val="1DF173B6"/>
    <w:rsid w:val="1DF28CB6"/>
    <w:rsid w:val="1DF52776"/>
    <w:rsid w:val="1DF6866D"/>
    <w:rsid w:val="1DF91BD7"/>
    <w:rsid w:val="1DFBA593"/>
    <w:rsid w:val="1DFC1A18"/>
    <w:rsid w:val="1DFCEE9E"/>
    <w:rsid w:val="1DFDCAD7"/>
    <w:rsid w:val="1DFF9A07"/>
    <w:rsid w:val="1DFFC356"/>
    <w:rsid w:val="1E01AC73"/>
    <w:rsid w:val="1E03511D"/>
    <w:rsid w:val="1E042742"/>
    <w:rsid w:val="1E05DDBA"/>
    <w:rsid w:val="1E097DB0"/>
    <w:rsid w:val="1E0A250A"/>
    <w:rsid w:val="1E0A2C25"/>
    <w:rsid w:val="1E0A8581"/>
    <w:rsid w:val="1E0E2504"/>
    <w:rsid w:val="1E0E8DBC"/>
    <w:rsid w:val="1E0F9936"/>
    <w:rsid w:val="1E11E19E"/>
    <w:rsid w:val="1E124396"/>
    <w:rsid w:val="1E140B73"/>
    <w:rsid w:val="1E18768B"/>
    <w:rsid w:val="1E19201F"/>
    <w:rsid w:val="1E19FC45"/>
    <w:rsid w:val="1E1B40C5"/>
    <w:rsid w:val="1E1E8396"/>
    <w:rsid w:val="1E1EE8DE"/>
    <w:rsid w:val="1E23B7B3"/>
    <w:rsid w:val="1E250287"/>
    <w:rsid w:val="1E258AD3"/>
    <w:rsid w:val="1E26728B"/>
    <w:rsid w:val="1E2AFC97"/>
    <w:rsid w:val="1E2B1ECB"/>
    <w:rsid w:val="1E2C7AE8"/>
    <w:rsid w:val="1E2F1746"/>
    <w:rsid w:val="1E2F1959"/>
    <w:rsid w:val="1E3087AF"/>
    <w:rsid w:val="1E30D06A"/>
    <w:rsid w:val="1E379CC9"/>
    <w:rsid w:val="1E3915C8"/>
    <w:rsid w:val="1E409E9D"/>
    <w:rsid w:val="1E415FC3"/>
    <w:rsid w:val="1E42187B"/>
    <w:rsid w:val="1E4271CD"/>
    <w:rsid w:val="1E428040"/>
    <w:rsid w:val="1E42C0B7"/>
    <w:rsid w:val="1E42CD93"/>
    <w:rsid w:val="1E4308BD"/>
    <w:rsid w:val="1E45B777"/>
    <w:rsid w:val="1E476248"/>
    <w:rsid w:val="1E4ACAC0"/>
    <w:rsid w:val="1E4C2814"/>
    <w:rsid w:val="1E4C5BFE"/>
    <w:rsid w:val="1E4CAEC4"/>
    <w:rsid w:val="1E4CBFA4"/>
    <w:rsid w:val="1E4D9B95"/>
    <w:rsid w:val="1E509718"/>
    <w:rsid w:val="1E52150B"/>
    <w:rsid w:val="1E522030"/>
    <w:rsid w:val="1E539FEB"/>
    <w:rsid w:val="1E546EF9"/>
    <w:rsid w:val="1E557691"/>
    <w:rsid w:val="1E56259E"/>
    <w:rsid w:val="1E5768B1"/>
    <w:rsid w:val="1E580EC3"/>
    <w:rsid w:val="1E591C39"/>
    <w:rsid w:val="1E5A669D"/>
    <w:rsid w:val="1E5B5914"/>
    <w:rsid w:val="1E5E861F"/>
    <w:rsid w:val="1E60E5F1"/>
    <w:rsid w:val="1E61ACD4"/>
    <w:rsid w:val="1E648998"/>
    <w:rsid w:val="1E66943B"/>
    <w:rsid w:val="1E675B13"/>
    <w:rsid w:val="1E69A6BD"/>
    <w:rsid w:val="1E6B71CA"/>
    <w:rsid w:val="1E6BD73E"/>
    <w:rsid w:val="1E6C1E75"/>
    <w:rsid w:val="1E6D218C"/>
    <w:rsid w:val="1E6D8568"/>
    <w:rsid w:val="1E6DADE0"/>
    <w:rsid w:val="1E6E4191"/>
    <w:rsid w:val="1E6F9B6E"/>
    <w:rsid w:val="1E7071D2"/>
    <w:rsid w:val="1E7396B0"/>
    <w:rsid w:val="1E74B926"/>
    <w:rsid w:val="1E74D01D"/>
    <w:rsid w:val="1E751E64"/>
    <w:rsid w:val="1E75EDA7"/>
    <w:rsid w:val="1E76928A"/>
    <w:rsid w:val="1E77A11D"/>
    <w:rsid w:val="1E7C6299"/>
    <w:rsid w:val="1E7C83E2"/>
    <w:rsid w:val="1E7F88EE"/>
    <w:rsid w:val="1E825149"/>
    <w:rsid w:val="1E83D792"/>
    <w:rsid w:val="1E843F6C"/>
    <w:rsid w:val="1E897A23"/>
    <w:rsid w:val="1E8CB144"/>
    <w:rsid w:val="1E8E18AA"/>
    <w:rsid w:val="1E8E80C0"/>
    <w:rsid w:val="1E8E9264"/>
    <w:rsid w:val="1E8F780C"/>
    <w:rsid w:val="1E8F97C0"/>
    <w:rsid w:val="1E8FA1B1"/>
    <w:rsid w:val="1E906E39"/>
    <w:rsid w:val="1E90CDF1"/>
    <w:rsid w:val="1E9352E0"/>
    <w:rsid w:val="1E93F706"/>
    <w:rsid w:val="1E952AE3"/>
    <w:rsid w:val="1E964A35"/>
    <w:rsid w:val="1E97BB31"/>
    <w:rsid w:val="1E97D7EB"/>
    <w:rsid w:val="1E9818C2"/>
    <w:rsid w:val="1E998C2D"/>
    <w:rsid w:val="1E9C5687"/>
    <w:rsid w:val="1E9FAE80"/>
    <w:rsid w:val="1EA0A497"/>
    <w:rsid w:val="1EA17315"/>
    <w:rsid w:val="1EA1F149"/>
    <w:rsid w:val="1EA2C89F"/>
    <w:rsid w:val="1EA3DE90"/>
    <w:rsid w:val="1EA403B8"/>
    <w:rsid w:val="1EA427F2"/>
    <w:rsid w:val="1EA47B8F"/>
    <w:rsid w:val="1EA6C9D4"/>
    <w:rsid w:val="1EA6DB04"/>
    <w:rsid w:val="1EAA45BF"/>
    <w:rsid w:val="1EAC36F5"/>
    <w:rsid w:val="1EACB2F2"/>
    <w:rsid w:val="1EAD7669"/>
    <w:rsid w:val="1EAE73BA"/>
    <w:rsid w:val="1EAF1E86"/>
    <w:rsid w:val="1EB3CEA2"/>
    <w:rsid w:val="1EB454BB"/>
    <w:rsid w:val="1EB7301C"/>
    <w:rsid w:val="1EB86FDC"/>
    <w:rsid w:val="1EB90869"/>
    <w:rsid w:val="1EB97101"/>
    <w:rsid w:val="1EB9CF94"/>
    <w:rsid w:val="1EBAC1FE"/>
    <w:rsid w:val="1EBC4A23"/>
    <w:rsid w:val="1EBC62CB"/>
    <w:rsid w:val="1EBC9BBD"/>
    <w:rsid w:val="1EBD4809"/>
    <w:rsid w:val="1EBD909E"/>
    <w:rsid w:val="1EBEBECB"/>
    <w:rsid w:val="1EC22E76"/>
    <w:rsid w:val="1EC3E401"/>
    <w:rsid w:val="1EC4546C"/>
    <w:rsid w:val="1EC483F5"/>
    <w:rsid w:val="1EC4A27C"/>
    <w:rsid w:val="1EC5AD18"/>
    <w:rsid w:val="1EC6A94A"/>
    <w:rsid w:val="1EC75AF4"/>
    <w:rsid w:val="1EC849F4"/>
    <w:rsid w:val="1EC90A6D"/>
    <w:rsid w:val="1EC9F4AC"/>
    <w:rsid w:val="1ECB3BD7"/>
    <w:rsid w:val="1ECBDBB7"/>
    <w:rsid w:val="1ECCEF6F"/>
    <w:rsid w:val="1ECD2991"/>
    <w:rsid w:val="1ECD434A"/>
    <w:rsid w:val="1ECE42FA"/>
    <w:rsid w:val="1ECE4EA8"/>
    <w:rsid w:val="1ECEA337"/>
    <w:rsid w:val="1ED3CFE3"/>
    <w:rsid w:val="1ED99F98"/>
    <w:rsid w:val="1EDEDCB6"/>
    <w:rsid w:val="1EDF8E48"/>
    <w:rsid w:val="1EE00073"/>
    <w:rsid w:val="1EE16C8E"/>
    <w:rsid w:val="1EE1A345"/>
    <w:rsid w:val="1EE59C46"/>
    <w:rsid w:val="1EE5BBC7"/>
    <w:rsid w:val="1EE7F1FE"/>
    <w:rsid w:val="1EE8777A"/>
    <w:rsid w:val="1EE8F6C1"/>
    <w:rsid w:val="1EEC7B00"/>
    <w:rsid w:val="1EEDC187"/>
    <w:rsid w:val="1EEDDEF1"/>
    <w:rsid w:val="1EEE8198"/>
    <w:rsid w:val="1EF055FF"/>
    <w:rsid w:val="1EF0B13D"/>
    <w:rsid w:val="1EF17E38"/>
    <w:rsid w:val="1EF3B88A"/>
    <w:rsid w:val="1EF7402A"/>
    <w:rsid w:val="1EF7EAC3"/>
    <w:rsid w:val="1EF94092"/>
    <w:rsid w:val="1EFA2900"/>
    <w:rsid w:val="1EFB1A5D"/>
    <w:rsid w:val="1EFB7BF7"/>
    <w:rsid w:val="1EFD2579"/>
    <w:rsid w:val="1EFDC2DF"/>
    <w:rsid w:val="1EFF7146"/>
    <w:rsid w:val="1F00D9F4"/>
    <w:rsid w:val="1F01256B"/>
    <w:rsid w:val="1F01285B"/>
    <w:rsid w:val="1F02892C"/>
    <w:rsid w:val="1F05191B"/>
    <w:rsid w:val="1F0569A4"/>
    <w:rsid w:val="1F06121F"/>
    <w:rsid w:val="1F066402"/>
    <w:rsid w:val="1F066A52"/>
    <w:rsid w:val="1F08B3D2"/>
    <w:rsid w:val="1F0A4A3A"/>
    <w:rsid w:val="1F0ABE7A"/>
    <w:rsid w:val="1F0C0431"/>
    <w:rsid w:val="1F0D9489"/>
    <w:rsid w:val="1F0DC700"/>
    <w:rsid w:val="1F0E1D0E"/>
    <w:rsid w:val="1F17B13D"/>
    <w:rsid w:val="1F18E12E"/>
    <w:rsid w:val="1F18E86B"/>
    <w:rsid w:val="1F18F977"/>
    <w:rsid w:val="1F1D6152"/>
    <w:rsid w:val="1F2019A4"/>
    <w:rsid w:val="1F211FB9"/>
    <w:rsid w:val="1F21CECF"/>
    <w:rsid w:val="1F22F8C6"/>
    <w:rsid w:val="1F231F22"/>
    <w:rsid w:val="1F242E77"/>
    <w:rsid w:val="1F26116C"/>
    <w:rsid w:val="1F27F335"/>
    <w:rsid w:val="1F28B568"/>
    <w:rsid w:val="1F2B333E"/>
    <w:rsid w:val="1F2D26DB"/>
    <w:rsid w:val="1F303825"/>
    <w:rsid w:val="1F30E3B1"/>
    <w:rsid w:val="1F31CB17"/>
    <w:rsid w:val="1F324325"/>
    <w:rsid w:val="1F325DC3"/>
    <w:rsid w:val="1F34CE65"/>
    <w:rsid w:val="1F3613BA"/>
    <w:rsid w:val="1F3720F4"/>
    <w:rsid w:val="1F3C2398"/>
    <w:rsid w:val="1F3DE706"/>
    <w:rsid w:val="1F3F1F6A"/>
    <w:rsid w:val="1F3F825A"/>
    <w:rsid w:val="1F40D204"/>
    <w:rsid w:val="1F426AFC"/>
    <w:rsid w:val="1F45E9E9"/>
    <w:rsid w:val="1F46EA17"/>
    <w:rsid w:val="1F48D8D7"/>
    <w:rsid w:val="1F49CC2E"/>
    <w:rsid w:val="1F4D1353"/>
    <w:rsid w:val="1F4E2ECD"/>
    <w:rsid w:val="1F4FC34D"/>
    <w:rsid w:val="1F4FC6DF"/>
    <w:rsid w:val="1F4FEF5D"/>
    <w:rsid w:val="1F535323"/>
    <w:rsid w:val="1F563874"/>
    <w:rsid w:val="1F57E432"/>
    <w:rsid w:val="1F585BAD"/>
    <w:rsid w:val="1F5987F6"/>
    <w:rsid w:val="1F5BA270"/>
    <w:rsid w:val="1F5C4C5B"/>
    <w:rsid w:val="1F5C78B3"/>
    <w:rsid w:val="1F5CC9ED"/>
    <w:rsid w:val="1F5D8102"/>
    <w:rsid w:val="1F5ED3B8"/>
    <w:rsid w:val="1F5FCCB6"/>
    <w:rsid w:val="1F637882"/>
    <w:rsid w:val="1F65B32A"/>
    <w:rsid w:val="1F6756AE"/>
    <w:rsid w:val="1F693BC8"/>
    <w:rsid w:val="1F69E13F"/>
    <w:rsid w:val="1F6ADD03"/>
    <w:rsid w:val="1F6BA1EC"/>
    <w:rsid w:val="1F6D4F62"/>
    <w:rsid w:val="1F704A41"/>
    <w:rsid w:val="1F70766E"/>
    <w:rsid w:val="1F71CBD9"/>
    <w:rsid w:val="1F7291B3"/>
    <w:rsid w:val="1F735AD5"/>
    <w:rsid w:val="1F741773"/>
    <w:rsid w:val="1F7424BA"/>
    <w:rsid w:val="1F7592C1"/>
    <w:rsid w:val="1F787EB4"/>
    <w:rsid w:val="1F7C57F3"/>
    <w:rsid w:val="1F7EDD65"/>
    <w:rsid w:val="1F7FF05D"/>
    <w:rsid w:val="1F800F98"/>
    <w:rsid w:val="1F827B52"/>
    <w:rsid w:val="1F828F80"/>
    <w:rsid w:val="1F82CF44"/>
    <w:rsid w:val="1F83091B"/>
    <w:rsid w:val="1F843FB0"/>
    <w:rsid w:val="1F86A214"/>
    <w:rsid w:val="1F895660"/>
    <w:rsid w:val="1F8956A1"/>
    <w:rsid w:val="1F898335"/>
    <w:rsid w:val="1F8A1BC1"/>
    <w:rsid w:val="1F8C3B95"/>
    <w:rsid w:val="1F8CA257"/>
    <w:rsid w:val="1F8D1AD7"/>
    <w:rsid w:val="1F8E1F76"/>
    <w:rsid w:val="1F91BA72"/>
    <w:rsid w:val="1F92C7E3"/>
    <w:rsid w:val="1F959182"/>
    <w:rsid w:val="1F960DED"/>
    <w:rsid w:val="1F9647F7"/>
    <w:rsid w:val="1F97B2CD"/>
    <w:rsid w:val="1F996C8E"/>
    <w:rsid w:val="1F9A4DE3"/>
    <w:rsid w:val="1F9AE941"/>
    <w:rsid w:val="1F9B4F2E"/>
    <w:rsid w:val="1F9F1E5D"/>
    <w:rsid w:val="1F9F422E"/>
    <w:rsid w:val="1FA14E94"/>
    <w:rsid w:val="1FA193BA"/>
    <w:rsid w:val="1FA1E2FF"/>
    <w:rsid w:val="1FA5502D"/>
    <w:rsid w:val="1FA876D9"/>
    <w:rsid w:val="1FA9EDFE"/>
    <w:rsid w:val="1FAAFC4F"/>
    <w:rsid w:val="1FAB5145"/>
    <w:rsid w:val="1FAC20D0"/>
    <w:rsid w:val="1FAC55CD"/>
    <w:rsid w:val="1FAE7CC1"/>
    <w:rsid w:val="1FB000CB"/>
    <w:rsid w:val="1FB09FB4"/>
    <w:rsid w:val="1FB0F424"/>
    <w:rsid w:val="1FB11C3C"/>
    <w:rsid w:val="1FB254E3"/>
    <w:rsid w:val="1FB2C202"/>
    <w:rsid w:val="1FB3DC58"/>
    <w:rsid w:val="1FB53B4A"/>
    <w:rsid w:val="1FB7CD90"/>
    <w:rsid w:val="1FBA69B8"/>
    <w:rsid w:val="1FBA751F"/>
    <w:rsid w:val="1FBB8521"/>
    <w:rsid w:val="1FBC1A68"/>
    <w:rsid w:val="1FBF6C60"/>
    <w:rsid w:val="1FC316A8"/>
    <w:rsid w:val="1FC4F29C"/>
    <w:rsid w:val="1FC68A4E"/>
    <w:rsid w:val="1FC6DEA4"/>
    <w:rsid w:val="1FC8245D"/>
    <w:rsid w:val="1FC968D0"/>
    <w:rsid w:val="1FCBD6BF"/>
    <w:rsid w:val="1FCC31E8"/>
    <w:rsid w:val="1FCC8E5B"/>
    <w:rsid w:val="1FCCCB1C"/>
    <w:rsid w:val="1FCE3F6B"/>
    <w:rsid w:val="1FCF02C1"/>
    <w:rsid w:val="1FCF1816"/>
    <w:rsid w:val="1FD40A02"/>
    <w:rsid w:val="1FD4C0BE"/>
    <w:rsid w:val="1FD6759A"/>
    <w:rsid w:val="1FD7603D"/>
    <w:rsid w:val="1FD9534E"/>
    <w:rsid w:val="1FDD5796"/>
    <w:rsid w:val="1FDF158C"/>
    <w:rsid w:val="1FE07C3E"/>
    <w:rsid w:val="1FE0F94C"/>
    <w:rsid w:val="1FE3D693"/>
    <w:rsid w:val="1FE59988"/>
    <w:rsid w:val="1FE5E248"/>
    <w:rsid w:val="1FE6A358"/>
    <w:rsid w:val="1FE7CAEC"/>
    <w:rsid w:val="1FE7CE83"/>
    <w:rsid w:val="1FE88088"/>
    <w:rsid w:val="1FE953E8"/>
    <w:rsid w:val="1FEA093B"/>
    <w:rsid w:val="1FEB98A6"/>
    <w:rsid w:val="1FED0AE7"/>
    <w:rsid w:val="1FF309D4"/>
    <w:rsid w:val="1FF30F20"/>
    <w:rsid w:val="1FF6669E"/>
    <w:rsid w:val="1FF708AE"/>
    <w:rsid w:val="1FF755D5"/>
    <w:rsid w:val="1FF803C6"/>
    <w:rsid w:val="1FF87137"/>
    <w:rsid w:val="1FFA48F0"/>
    <w:rsid w:val="1FFD299D"/>
    <w:rsid w:val="1FFDEE9D"/>
    <w:rsid w:val="1FFF0B26"/>
    <w:rsid w:val="1FFFA789"/>
    <w:rsid w:val="20004AB9"/>
    <w:rsid w:val="20009F19"/>
    <w:rsid w:val="2000DC98"/>
    <w:rsid w:val="20021CCF"/>
    <w:rsid w:val="2002FA27"/>
    <w:rsid w:val="20049878"/>
    <w:rsid w:val="2004C184"/>
    <w:rsid w:val="2006086C"/>
    <w:rsid w:val="20094BBF"/>
    <w:rsid w:val="200B5D37"/>
    <w:rsid w:val="200C3EA3"/>
    <w:rsid w:val="200C75E4"/>
    <w:rsid w:val="200EF200"/>
    <w:rsid w:val="200FFC56"/>
    <w:rsid w:val="201158B7"/>
    <w:rsid w:val="201559E6"/>
    <w:rsid w:val="201906E8"/>
    <w:rsid w:val="201A7CF0"/>
    <w:rsid w:val="201A8635"/>
    <w:rsid w:val="201C94C5"/>
    <w:rsid w:val="202068D2"/>
    <w:rsid w:val="2020A1CD"/>
    <w:rsid w:val="202143B6"/>
    <w:rsid w:val="20222915"/>
    <w:rsid w:val="2023B573"/>
    <w:rsid w:val="2024EBBF"/>
    <w:rsid w:val="20256EBE"/>
    <w:rsid w:val="202712F9"/>
    <w:rsid w:val="202738FB"/>
    <w:rsid w:val="20277139"/>
    <w:rsid w:val="2027B069"/>
    <w:rsid w:val="202844FD"/>
    <w:rsid w:val="2029A238"/>
    <w:rsid w:val="202BBE2F"/>
    <w:rsid w:val="202C252C"/>
    <w:rsid w:val="202DCD1B"/>
    <w:rsid w:val="2030132F"/>
    <w:rsid w:val="20305B57"/>
    <w:rsid w:val="203065E6"/>
    <w:rsid w:val="2032D247"/>
    <w:rsid w:val="203360E2"/>
    <w:rsid w:val="2035E2E2"/>
    <w:rsid w:val="20367907"/>
    <w:rsid w:val="20371B0C"/>
    <w:rsid w:val="203722CB"/>
    <w:rsid w:val="2037C85D"/>
    <w:rsid w:val="2038BB55"/>
    <w:rsid w:val="2038D18E"/>
    <w:rsid w:val="203A6C14"/>
    <w:rsid w:val="203EF37F"/>
    <w:rsid w:val="20416799"/>
    <w:rsid w:val="2041763D"/>
    <w:rsid w:val="20460ECB"/>
    <w:rsid w:val="20464B26"/>
    <w:rsid w:val="20466E89"/>
    <w:rsid w:val="2047A5E1"/>
    <w:rsid w:val="204A3AE5"/>
    <w:rsid w:val="204A9659"/>
    <w:rsid w:val="204E2964"/>
    <w:rsid w:val="204EE01E"/>
    <w:rsid w:val="204F65F4"/>
    <w:rsid w:val="204F9646"/>
    <w:rsid w:val="20504A75"/>
    <w:rsid w:val="20515038"/>
    <w:rsid w:val="20525D85"/>
    <w:rsid w:val="20525FC5"/>
    <w:rsid w:val="2057F019"/>
    <w:rsid w:val="20598763"/>
    <w:rsid w:val="205A1FA7"/>
    <w:rsid w:val="205BBE97"/>
    <w:rsid w:val="205E67A4"/>
    <w:rsid w:val="206184AF"/>
    <w:rsid w:val="20636D52"/>
    <w:rsid w:val="20638E70"/>
    <w:rsid w:val="20657EB2"/>
    <w:rsid w:val="20665546"/>
    <w:rsid w:val="20680C04"/>
    <w:rsid w:val="20683419"/>
    <w:rsid w:val="2069D15B"/>
    <w:rsid w:val="206AD9D3"/>
    <w:rsid w:val="206D561A"/>
    <w:rsid w:val="2070656B"/>
    <w:rsid w:val="2072746A"/>
    <w:rsid w:val="2073BC9B"/>
    <w:rsid w:val="2074CFEA"/>
    <w:rsid w:val="20768948"/>
    <w:rsid w:val="207BF1E2"/>
    <w:rsid w:val="207D0817"/>
    <w:rsid w:val="207E75BA"/>
    <w:rsid w:val="207FEF36"/>
    <w:rsid w:val="208452E7"/>
    <w:rsid w:val="2084BAEC"/>
    <w:rsid w:val="20855F2F"/>
    <w:rsid w:val="2085D97D"/>
    <w:rsid w:val="20868AA1"/>
    <w:rsid w:val="20870E2E"/>
    <w:rsid w:val="2088A5E7"/>
    <w:rsid w:val="2088B60C"/>
    <w:rsid w:val="208BA64A"/>
    <w:rsid w:val="208BCDE4"/>
    <w:rsid w:val="208CFFBA"/>
    <w:rsid w:val="208D5ABC"/>
    <w:rsid w:val="208D5B41"/>
    <w:rsid w:val="208E38D1"/>
    <w:rsid w:val="20904A7E"/>
    <w:rsid w:val="20913588"/>
    <w:rsid w:val="20914EAB"/>
    <w:rsid w:val="20921945"/>
    <w:rsid w:val="2093F5B5"/>
    <w:rsid w:val="20949C80"/>
    <w:rsid w:val="20959035"/>
    <w:rsid w:val="2096518E"/>
    <w:rsid w:val="20967680"/>
    <w:rsid w:val="209D190B"/>
    <w:rsid w:val="209D6CD8"/>
    <w:rsid w:val="209EA0AA"/>
    <w:rsid w:val="20A00261"/>
    <w:rsid w:val="20A0F693"/>
    <w:rsid w:val="20A6C892"/>
    <w:rsid w:val="20A740B4"/>
    <w:rsid w:val="20A847F6"/>
    <w:rsid w:val="20A8B345"/>
    <w:rsid w:val="20A8C287"/>
    <w:rsid w:val="20A91DFE"/>
    <w:rsid w:val="20A9CBEB"/>
    <w:rsid w:val="20AA2EC5"/>
    <w:rsid w:val="20ABDAD3"/>
    <w:rsid w:val="20AD6620"/>
    <w:rsid w:val="20AD6CFC"/>
    <w:rsid w:val="20AE810B"/>
    <w:rsid w:val="20AEC45B"/>
    <w:rsid w:val="20B0B1DB"/>
    <w:rsid w:val="20B252CB"/>
    <w:rsid w:val="20B37462"/>
    <w:rsid w:val="20B443C5"/>
    <w:rsid w:val="20B58F93"/>
    <w:rsid w:val="20B6BDE3"/>
    <w:rsid w:val="20B7D34E"/>
    <w:rsid w:val="20B99F11"/>
    <w:rsid w:val="20BA1DC3"/>
    <w:rsid w:val="20BAC1B3"/>
    <w:rsid w:val="20BC0428"/>
    <w:rsid w:val="20BE8E09"/>
    <w:rsid w:val="20C129C7"/>
    <w:rsid w:val="20C20033"/>
    <w:rsid w:val="20C2B948"/>
    <w:rsid w:val="20C3772D"/>
    <w:rsid w:val="20C5BE2F"/>
    <w:rsid w:val="20C93554"/>
    <w:rsid w:val="20CA0CD9"/>
    <w:rsid w:val="20CB05C2"/>
    <w:rsid w:val="20CB8FC5"/>
    <w:rsid w:val="20CD7147"/>
    <w:rsid w:val="20CE8B87"/>
    <w:rsid w:val="20CF441F"/>
    <w:rsid w:val="20CF70E5"/>
    <w:rsid w:val="20CFAA53"/>
    <w:rsid w:val="20D050CF"/>
    <w:rsid w:val="20D12BCA"/>
    <w:rsid w:val="20D1E4D4"/>
    <w:rsid w:val="20D293D1"/>
    <w:rsid w:val="20D294BD"/>
    <w:rsid w:val="20D39A33"/>
    <w:rsid w:val="20D7F8F3"/>
    <w:rsid w:val="20D82AF1"/>
    <w:rsid w:val="20D8FA21"/>
    <w:rsid w:val="20DE0EC2"/>
    <w:rsid w:val="20DE5396"/>
    <w:rsid w:val="20DFF178"/>
    <w:rsid w:val="20E3E7D1"/>
    <w:rsid w:val="20E52890"/>
    <w:rsid w:val="20E56AB4"/>
    <w:rsid w:val="20E88D6D"/>
    <w:rsid w:val="20EAEFAA"/>
    <w:rsid w:val="20EB3ECD"/>
    <w:rsid w:val="20EBC2B1"/>
    <w:rsid w:val="20ECC020"/>
    <w:rsid w:val="20EE6B27"/>
    <w:rsid w:val="20F17512"/>
    <w:rsid w:val="20F1EEE2"/>
    <w:rsid w:val="20F4EC72"/>
    <w:rsid w:val="20F5A9F2"/>
    <w:rsid w:val="20F6A94E"/>
    <w:rsid w:val="20F86DF5"/>
    <w:rsid w:val="20FA337F"/>
    <w:rsid w:val="20FBC2BB"/>
    <w:rsid w:val="20FC8F30"/>
    <w:rsid w:val="20FD666C"/>
    <w:rsid w:val="20FD7919"/>
    <w:rsid w:val="20FF180A"/>
    <w:rsid w:val="21000FA9"/>
    <w:rsid w:val="2100587E"/>
    <w:rsid w:val="2101F6F3"/>
    <w:rsid w:val="2103BF70"/>
    <w:rsid w:val="21041AE1"/>
    <w:rsid w:val="21072231"/>
    <w:rsid w:val="21082520"/>
    <w:rsid w:val="210EB935"/>
    <w:rsid w:val="210F35CE"/>
    <w:rsid w:val="2110E084"/>
    <w:rsid w:val="21111B47"/>
    <w:rsid w:val="2111EE71"/>
    <w:rsid w:val="21161FE5"/>
    <w:rsid w:val="211734DF"/>
    <w:rsid w:val="211C4A13"/>
    <w:rsid w:val="211DCAA5"/>
    <w:rsid w:val="211E1DE5"/>
    <w:rsid w:val="212047E2"/>
    <w:rsid w:val="2122E9DB"/>
    <w:rsid w:val="21230DC0"/>
    <w:rsid w:val="2126EF28"/>
    <w:rsid w:val="212857D9"/>
    <w:rsid w:val="212956C7"/>
    <w:rsid w:val="212BD835"/>
    <w:rsid w:val="212C5BE1"/>
    <w:rsid w:val="212CB329"/>
    <w:rsid w:val="212D47D2"/>
    <w:rsid w:val="2132041B"/>
    <w:rsid w:val="21321199"/>
    <w:rsid w:val="21328418"/>
    <w:rsid w:val="21331B9D"/>
    <w:rsid w:val="213345C6"/>
    <w:rsid w:val="213422FF"/>
    <w:rsid w:val="213470A5"/>
    <w:rsid w:val="21347B48"/>
    <w:rsid w:val="21359970"/>
    <w:rsid w:val="21369B31"/>
    <w:rsid w:val="2136D126"/>
    <w:rsid w:val="213C9F09"/>
    <w:rsid w:val="213D2699"/>
    <w:rsid w:val="213D9AD4"/>
    <w:rsid w:val="213E0F6C"/>
    <w:rsid w:val="2140B945"/>
    <w:rsid w:val="214114B6"/>
    <w:rsid w:val="214416BF"/>
    <w:rsid w:val="2145A135"/>
    <w:rsid w:val="214A3613"/>
    <w:rsid w:val="214B2B4A"/>
    <w:rsid w:val="214D6E7B"/>
    <w:rsid w:val="21503488"/>
    <w:rsid w:val="21511893"/>
    <w:rsid w:val="2151A083"/>
    <w:rsid w:val="2154C90A"/>
    <w:rsid w:val="21556A40"/>
    <w:rsid w:val="21572B90"/>
    <w:rsid w:val="2158340C"/>
    <w:rsid w:val="2159E802"/>
    <w:rsid w:val="215A59B7"/>
    <w:rsid w:val="215B0B1E"/>
    <w:rsid w:val="215B16DA"/>
    <w:rsid w:val="215B3C7C"/>
    <w:rsid w:val="215CE931"/>
    <w:rsid w:val="215E052D"/>
    <w:rsid w:val="215FE084"/>
    <w:rsid w:val="21637B7D"/>
    <w:rsid w:val="21663C75"/>
    <w:rsid w:val="2166462E"/>
    <w:rsid w:val="21671DF4"/>
    <w:rsid w:val="21675746"/>
    <w:rsid w:val="21682F29"/>
    <w:rsid w:val="216DF6D1"/>
    <w:rsid w:val="216F715B"/>
    <w:rsid w:val="2170297A"/>
    <w:rsid w:val="2170EB65"/>
    <w:rsid w:val="2172D197"/>
    <w:rsid w:val="2173D750"/>
    <w:rsid w:val="2175ACF6"/>
    <w:rsid w:val="217620B0"/>
    <w:rsid w:val="217A45EC"/>
    <w:rsid w:val="217CD827"/>
    <w:rsid w:val="217ED5DD"/>
    <w:rsid w:val="217FC19D"/>
    <w:rsid w:val="218435F6"/>
    <w:rsid w:val="21890A61"/>
    <w:rsid w:val="21899D0A"/>
    <w:rsid w:val="218B01E8"/>
    <w:rsid w:val="218C8DFC"/>
    <w:rsid w:val="218CC5BD"/>
    <w:rsid w:val="218D52D1"/>
    <w:rsid w:val="218E68A6"/>
    <w:rsid w:val="219082F3"/>
    <w:rsid w:val="2191911C"/>
    <w:rsid w:val="2192885A"/>
    <w:rsid w:val="21951434"/>
    <w:rsid w:val="219518FC"/>
    <w:rsid w:val="2195233D"/>
    <w:rsid w:val="21964332"/>
    <w:rsid w:val="2196FD13"/>
    <w:rsid w:val="219A5272"/>
    <w:rsid w:val="219C4416"/>
    <w:rsid w:val="219C843D"/>
    <w:rsid w:val="219CA419"/>
    <w:rsid w:val="219F10BD"/>
    <w:rsid w:val="219F5767"/>
    <w:rsid w:val="219FC979"/>
    <w:rsid w:val="21A1AE51"/>
    <w:rsid w:val="21A1E510"/>
    <w:rsid w:val="21A2D302"/>
    <w:rsid w:val="21A4A91A"/>
    <w:rsid w:val="21A590B5"/>
    <w:rsid w:val="21A710F4"/>
    <w:rsid w:val="21A7194C"/>
    <w:rsid w:val="21A8CDC4"/>
    <w:rsid w:val="21A8E39C"/>
    <w:rsid w:val="21A90C48"/>
    <w:rsid w:val="21AA35FA"/>
    <w:rsid w:val="21B0931A"/>
    <w:rsid w:val="21B4A167"/>
    <w:rsid w:val="21B55A58"/>
    <w:rsid w:val="21B568CC"/>
    <w:rsid w:val="21B693CE"/>
    <w:rsid w:val="21B84129"/>
    <w:rsid w:val="21B8AB4B"/>
    <w:rsid w:val="21B8DC00"/>
    <w:rsid w:val="21B91732"/>
    <w:rsid w:val="21BAE6E8"/>
    <w:rsid w:val="21BBC577"/>
    <w:rsid w:val="21BC718E"/>
    <w:rsid w:val="21C1A385"/>
    <w:rsid w:val="21C3DA0E"/>
    <w:rsid w:val="21C431FF"/>
    <w:rsid w:val="21C58E8B"/>
    <w:rsid w:val="21C67036"/>
    <w:rsid w:val="21C7A6D7"/>
    <w:rsid w:val="21C7C020"/>
    <w:rsid w:val="21C8EABA"/>
    <w:rsid w:val="21C9FAF1"/>
    <w:rsid w:val="21CA0E90"/>
    <w:rsid w:val="21CD3B2D"/>
    <w:rsid w:val="21CDD4E5"/>
    <w:rsid w:val="21CE371A"/>
    <w:rsid w:val="21D33458"/>
    <w:rsid w:val="21D67D43"/>
    <w:rsid w:val="21D6F110"/>
    <w:rsid w:val="21D74DEA"/>
    <w:rsid w:val="21D80802"/>
    <w:rsid w:val="21D98C5E"/>
    <w:rsid w:val="21D9A584"/>
    <w:rsid w:val="21DC5858"/>
    <w:rsid w:val="21DDF61A"/>
    <w:rsid w:val="21E067D0"/>
    <w:rsid w:val="21E1139E"/>
    <w:rsid w:val="21E227C7"/>
    <w:rsid w:val="21E2586D"/>
    <w:rsid w:val="21E5FFF9"/>
    <w:rsid w:val="21E67CF9"/>
    <w:rsid w:val="21E90678"/>
    <w:rsid w:val="21E90AD3"/>
    <w:rsid w:val="21EDCED1"/>
    <w:rsid w:val="21EFAEDB"/>
    <w:rsid w:val="21F31AF8"/>
    <w:rsid w:val="21F50187"/>
    <w:rsid w:val="21F52C58"/>
    <w:rsid w:val="21F55266"/>
    <w:rsid w:val="21F785ED"/>
    <w:rsid w:val="21F79034"/>
    <w:rsid w:val="21F8A22E"/>
    <w:rsid w:val="21F8C807"/>
    <w:rsid w:val="21F95546"/>
    <w:rsid w:val="21F95578"/>
    <w:rsid w:val="21FC5F15"/>
    <w:rsid w:val="21FE4F74"/>
    <w:rsid w:val="22050C31"/>
    <w:rsid w:val="220785B6"/>
    <w:rsid w:val="220AC468"/>
    <w:rsid w:val="220BB5CD"/>
    <w:rsid w:val="220D2D03"/>
    <w:rsid w:val="220F47CD"/>
    <w:rsid w:val="221077E1"/>
    <w:rsid w:val="22133F2C"/>
    <w:rsid w:val="2215569F"/>
    <w:rsid w:val="2215F28D"/>
    <w:rsid w:val="221628CC"/>
    <w:rsid w:val="22175B1C"/>
    <w:rsid w:val="22178CAD"/>
    <w:rsid w:val="221F7046"/>
    <w:rsid w:val="22207BF2"/>
    <w:rsid w:val="22209664"/>
    <w:rsid w:val="222141EE"/>
    <w:rsid w:val="222351EB"/>
    <w:rsid w:val="2226B233"/>
    <w:rsid w:val="2226BCED"/>
    <w:rsid w:val="22273137"/>
    <w:rsid w:val="22281B6A"/>
    <w:rsid w:val="222A10F6"/>
    <w:rsid w:val="222A4124"/>
    <w:rsid w:val="222BEB47"/>
    <w:rsid w:val="222D792E"/>
    <w:rsid w:val="223069FE"/>
    <w:rsid w:val="22331A9C"/>
    <w:rsid w:val="22335CF4"/>
    <w:rsid w:val="2233A381"/>
    <w:rsid w:val="22361AAF"/>
    <w:rsid w:val="2236227D"/>
    <w:rsid w:val="223C701E"/>
    <w:rsid w:val="223D4B63"/>
    <w:rsid w:val="223E058C"/>
    <w:rsid w:val="2244BAF0"/>
    <w:rsid w:val="2245090D"/>
    <w:rsid w:val="22484E01"/>
    <w:rsid w:val="22490CEE"/>
    <w:rsid w:val="224AE814"/>
    <w:rsid w:val="224B3B1F"/>
    <w:rsid w:val="224D4E7A"/>
    <w:rsid w:val="22501094"/>
    <w:rsid w:val="22510F7D"/>
    <w:rsid w:val="22518B50"/>
    <w:rsid w:val="2251D3F3"/>
    <w:rsid w:val="22524ECC"/>
    <w:rsid w:val="225275D6"/>
    <w:rsid w:val="225407F0"/>
    <w:rsid w:val="225511DF"/>
    <w:rsid w:val="22556C94"/>
    <w:rsid w:val="22572638"/>
    <w:rsid w:val="2258BFA1"/>
    <w:rsid w:val="225932D9"/>
    <w:rsid w:val="2259EF1C"/>
    <w:rsid w:val="225B5898"/>
    <w:rsid w:val="225F51D2"/>
    <w:rsid w:val="2261BA4A"/>
    <w:rsid w:val="226231B0"/>
    <w:rsid w:val="22624D30"/>
    <w:rsid w:val="226992BC"/>
    <w:rsid w:val="226F640A"/>
    <w:rsid w:val="227092D7"/>
    <w:rsid w:val="22727675"/>
    <w:rsid w:val="2272FFA0"/>
    <w:rsid w:val="227485DE"/>
    <w:rsid w:val="22751CC8"/>
    <w:rsid w:val="22763247"/>
    <w:rsid w:val="2278BCB1"/>
    <w:rsid w:val="2278E5F6"/>
    <w:rsid w:val="227F704B"/>
    <w:rsid w:val="227F7FE4"/>
    <w:rsid w:val="227FCD0E"/>
    <w:rsid w:val="22812D50"/>
    <w:rsid w:val="22832098"/>
    <w:rsid w:val="22835C56"/>
    <w:rsid w:val="2286C79C"/>
    <w:rsid w:val="2286FE71"/>
    <w:rsid w:val="2287359A"/>
    <w:rsid w:val="228838C0"/>
    <w:rsid w:val="2289D644"/>
    <w:rsid w:val="228A25E1"/>
    <w:rsid w:val="228B6CC6"/>
    <w:rsid w:val="228D00BD"/>
    <w:rsid w:val="228F89B3"/>
    <w:rsid w:val="228FE1BA"/>
    <w:rsid w:val="22913B0F"/>
    <w:rsid w:val="2292ABF5"/>
    <w:rsid w:val="22931D7C"/>
    <w:rsid w:val="22938BE6"/>
    <w:rsid w:val="2294155D"/>
    <w:rsid w:val="2295A930"/>
    <w:rsid w:val="22988950"/>
    <w:rsid w:val="2298FE80"/>
    <w:rsid w:val="22995A4B"/>
    <w:rsid w:val="229A6648"/>
    <w:rsid w:val="229A9070"/>
    <w:rsid w:val="229B1180"/>
    <w:rsid w:val="229C3C27"/>
    <w:rsid w:val="229CE013"/>
    <w:rsid w:val="229D776D"/>
    <w:rsid w:val="229E4881"/>
    <w:rsid w:val="229F752D"/>
    <w:rsid w:val="229FFB4B"/>
    <w:rsid w:val="22A341A6"/>
    <w:rsid w:val="22A3DD93"/>
    <w:rsid w:val="22A5AD09"/>
    <w:rsid w:val="22A7FE26"/>
    <w:rsid w:val="22A9ECB0"/>
    <w:rsid w:val="22AA4808"/>
    <w:rsid w:val="22AA7B72"/>
    <w:rsid w:val="22AAF2E7"/>
    <w:rsid w:val="22ACDD67"/>
    <w:rsid w:val="22AD963E"/>
    <w:rsid w:val="22B67814"/>
    <w:rsid w:val="22B855C9"/>
    <w:rsid w:val="22B9F509"/>
    <w:rsid w:val="22BB30F7"/>
    <w:rsid w:val="22BBED42"/>
    <w:rsid w:val="22BC09D2"/>
    <w:rsid w:val="22BC1345"/>
    <w:rsid w:val="22BE83E2"/>
    <w:rsid w:val="22BF6957"/>
    <w:rsid w:val="22C05FCD"/>
    <w:rsid w:val="22C3AB2D"/>
    <w:rsid w:val="22C98390"/>
    <w:rsid w:val="22C98F8E"/>
    <w:rsid w:val="22CA7965"/>
    <w:rsid w:val="22CC3D2E"/>
    <w:rsid w:val="22CD14E1"/>
    <w:rsid w:val="22CEBCC9"/>
    <w:rsid w:val="22CFE303"/>
    <w:rsid w:val="22D495C7"/>
    <w:rsid w:val="22D77314"/>
    <w:rsid w:val="22D7AFB6"/>
    <w:rsid w:val="22D8FCD4"/>
    <w:rsid w:val="22D96FC0"/>
    <w:rsid w:val="22DA91A7"/>
    <w:rsid w:val="22DB72E3"/>
    <w:rsid w:val="22DBF588"/>
    <w:rsid w:val="22DE142A"/>
    <w:rsid w:val="22DE319C"/>
    <w:rsid w:val="22DE5751"/>
    <w:rsid w:val="22E0F795"/>
    <w:rsid w:val="22E10D3D"/>
    <w:rsid w:val="22E1377C"/>
    <w:rsid w:val="22E39D3F"/>
    <w:rsid w:val="22E56946"/>
    <w:rsid w:val="22E72125"/>
    <w:rsid w:val="22E7B01F"/>
    <w:rsid w:val="22E8F400"/>
    <w:rsid w:val="22EADC12"/>
    <w:rsid w:val="22EAF8B8"/>
    <w:rsid w:val="22EC062B"/>
    <w:rsid w:val="22ED0A9C"/>
    <w:rsid w:val="22EE47C6"/>
    <w:rsid w:val="22EF2409"/>
    <w:rsid w:val="22EFAD4E"/>
    <w:rsid w:val="22F048B6"/>
    <w:rsid w:val="22F053AA"/>
    <w:rsid w:val="22F1F27F"/>
    <w:rsid w:val="22F28D6C"/>
    <w:rsid w:val="22F35A9E"/>
    <w:rsid w:val="22F4A175"/>
    <w:rsid w:val="22F4BF0E"/>
    <w:rsid w:val="22F4FA50"/>
    <w:rsid w:val="22F51050"/>
    <w:rsid w:val="22F79778"/>
    <w:rsid w:val="22F8E7EB"/>
    <w:rsid w:val="22F8EEF3"/>
    <w:rsid w:val="22FA4FB3"/>
    <w:rsid w:val="22FB309B"/>
    <w:rsid w:val="22FC77A2"/>
    <w:rsid w:val="22FCE21A"/>
    <w:rsid w:val="22FD3AF9"/>
    <w:rsid w:val="22FE3C4A"/>
    <w:rsid w:val="22FEFDE4"/>
    <w:rsid w:val="22FF3C96"/>
    <w:rsid w:val="22FFB3F8"/>
    <w:rsid w:val="2300BFBA"/>
    <w:rsid w:val="2303A7AB"/>
    <w:rsid w:val="2307C4B1"/>
    <w:rsid w:val="2307C65F"/>
    <w:rsid w:val="2309DF01"/>
    <w:rsid w:val="230A086E"/>
    <w:rsid w:val="230A301C"/>
    <w:rsid w:val="230A9B74"/>
    <w:rsid w:val="230B0C3F"/>
    <w:rsid w:val="2310E005"/>
    <w:rsid w:val="2311212C"/>
    <w:rsid w:val="231370C8"/>
    <w:rsid w:val="2316BB6F"/>
    <w:rsid w:val="23173306"/>
    <w:rsid w:val="2317BCA2"/>
    <w:rsid w:val="2317C065"/>
    <w:rsid w:val="231E1AC7"/>
    <w:rsid w:val="2320A24A"/>
    <w:rsid w:val="23211B12"/>
    <w:rsid w:val="23214898"/>
    <w:rsid w:val="2327D1A1"/>
    <w:rsid w:val="2329AB42"/>
    <w:rsid w:val="2329EF72"/>
    <w:rsid w:val="232AE2B1"/>
    <w:rsid w:val="232C3B98"/>
    <w:rsid w:val="232D2C37"/>
    <w:rsid w:val="232D4B88"/>
    <w:rsid w:val="233026BD"/>
    <w:rsid w:val="2331B8F5"/>
    <w:rsid w:val="23340B8B"/>
    <w:rsid w:val="23343460"/>
    <w:rsid w:val="233455A9"/>
    <w:rsid w:val="2336E5DD"/>
    <w:rsid w:val="2337394E"/>
    <w:rsid w:val="233AF764"/>
    <w:rsid w:val="233C696E"/>
    <w:rsid w:val="233CD30B"/>
    <w:rsid w:val="233EAE8A"/>
    <w:rsid w:val="233F7AE9"/>
    <w:rsid w:val="233FE02B"/>
    <w:rsid w:val="23401642"/>
    <w:rsid w:val="2341F313"/>
    <w:rsid w:val="23433C30"/>
    <w:rsid w:val="23459D79"/>
    <w:rsid w:val="2345FBB8"/>
    <w:rsid w:val="2346529A"/>
    <w:rsid w:val="2347FA08"/>
    <w:rsid w:val="234B8CE1"/>
    <w:rsid w:val="234DA728"/>
    <w:rsid w:val="234DBB16"/>
    <w:rsid w:val="234DE0ED"/>
    <w:rsid w:val="234ED570"/>
    <w:rsid w:val="23504C84"/>
    <w:rsid w:val="2351211A"/>
    <w:rsid w:val="2353E6D2"/>
    <w:rsid w:val="2353FC35"/>
    <w:rsid w:val="2355C29D"/>
    <w:rsid w:val="2355EB2E"/>
    <w:rsid w:val="235DBE09"/>
    <w:rsid w:val="235E2E99"/>
    <w:rsid w:val="2362E316"/>
    <w:rsid w:val="23655FFF"/>
    <w:rsid w:val="2366533A"/>
    <w:rsid w:val="2366C20A"/>
    <w:rsid w:val="2366CA78"/>
    <w:rsid w:val="2366FD49"/>
    <w:rsid w:val="2367EF41"/>
    <w:rsid w:val="2367F4F0"/>
    <w:rsid w:val="236876C7"/>
    <w:rsid w:val="23696121"/>
    <w:rsid w:val="2369A202"/>
    <w:rsid w:val="236AA730"/>
    <w:rsid w:val="236AD57F"/>
    <w:rsid w:val="236C6760"/>
    <w:rsid w:val="236D390F"/>
    <w:rsid w:val="236D9010"/>
    <w:rsid w:val="236E1A69"/>
    <w:rsid w:val="236EBB7C"/>
    <w:rsid w:val="23703CC9"/>
    <w:rsid w:val="23713910"/>
    <w:rsid w:val="23729D75"/>
    <w:rsid w:val="23740247"/>
    <w:rsid w:val="2377845C"/>
    <w:rsid w:val="23793225"/>
    <w:rsid w:val="2379CB22"/>
    <w:rsid w:val="237AB8DA"/>
    <w:rsid w:val="237B8579"/>
    <w:rsid w:val="237C37B2"/>
    <w:rsid w:val="237D1CD5"/>
    <w:rsid w:val="23803484"/>
    <w:rsid w:val="23811EAD"/>
    <w:rsid w:val="238284E1"/>
    <w:rsid w:val="23844D36"/>
    <w:rsid w:val="23851F89"/>
    <w:rsid w:val="23862B8A"/>
    <w:rsid w:val="23867952"/>
    <w:rsid w:val="2387574C"/>
    <w:rsid w:val="23885854"/>
    <w:rsid w:val="238A655B"/>
    <w:rsid w:val="238C20BE"/>
    <w:rsid w:val="238CAF7D"/>
    <w:rsid w:val="238CC861"/>
    <w:rsid w:val="238D153B"/>
    <w:rsid w:val="238E7AED"/>
    <w:rsid w:val="23914BF6"/>
    <w:rsid w:val="23930ED6"/>
    <w:rsid w:val="2394DD55"/>
    <w:rsid w:val="23998DBE"/>
    <w:rsid w:val="239B95C5"/>
    <w:rsid w:val="239C4D25"/>
    <w:rsid w:val="239F6073"/>
    <w:rsid w:val="23A39D93"/>
    <w:rsid w:val="23A4B1C2"/>
    <w:rsid w:val="23A69015"/>
    <w:rsid w:val="23A70FBC"/>
    <w:rsid w:val="23A76762"/>
    <w:rsid w:val="23A923F0"/>
    <w:rsid w:val="23A9647F"/>
    <w:rsid w:val="23A99E73"/>
    <w:rsid w:val="23AB9BEA"/>
    <w:rsid w:val="23ABE682"/>
    <w:rsid w:val="23ACA951"/>
    <w:rsid w:val="23AF9E03"/>
    <w:rsid w:val="23AFB0AA"/>
    <w:rsid w:val="23B11280"/>
    <w:rsid w:val="23B19405"/>
    <w:rsid w:val="23B27379"/>
    <w:rsid w:val="23B2CA73"/>
    <w:rsid w:val="23B318C9"/>
    <w:rsid w:val="23B32A0E"/>
    <w:rsid w:val="23B4492D"/>
    <w:rsid w:val="23B522A8"/>
    <w:rsid w:val="23B5ED36"/>
    <w:rsid w:val="23B5EE7A"/>
    <w:rsid w:val="23B73175"/>
    <w:rsid w:val="23B91242"/>
    <w:rsid w:val="23BBD76B"/>
    <w:rsid w:val="23BC662F"/>
    <w:rsid w:val="23BD5196"/>
    <w:rsid w:val="23BD6D91"/>
    <w:rsid w:val="23BF1E59"/>
    <w:rsid w:val="23BF7797"/>
    <w:rsid w:val="23C0BC34"/>
    <w:rsid w:val="23C108E9"/>
    <w:rsid w:val="23C24FC5"/>
    <w:rsid w:val="23C4B108"/>
    <w:rsid w:val="23C9FF3A"/>
    <w:rsid w:val="23D08248"/>
    <w:rsid w:val="23D36372"/>
    <w:rsid w:val="23D514B0"/>
    <w:rsid w:val="23D975A6"/>
    <w:rsid w:val="23DAE170"/>
    <w:rsid w:val="23DC055C"/>
    <w:rsid w:val="23DF314D"/>
    <w:rsid w:val="23E345B1"/>
    <w:rsid w:val="23E36B00"/>
    <w:rsid w:val="23E51347"/>
    <w:rsid w:val="23E56465"/>
    <w:rsid w:val="23E5C2E7"/>
    <w:rsid w:val="23E5E879"/>
    <w:rsid w:val="23E62C66"/>
    <w:rsid w:val="23E63F53"/>
    <w:rsid w:val="23E6D7AC"/>
    <w:rsid w:val="23E75B6E"/>
    <w:rsid w:val="23E813C8"/>
    <w:rsid w:val="23E815C4"/>
    <w:rsid w:val="23E896E8"/>
    <w:rsid w:val="23EA6191"/>
    <w:rsid w:val="23EA7327"/>
    <w:rsid w:val="23EAA134"/>
    <w:rsid w:val="23EBA51E"/>
    <w:rsid w:val="23EE9D2A"/>
    <w:rsid w:val="23EFF432"/>
    <w:rsid w:val="23F000F0"/>
    <w:rsid w:val="23F02E59"/>
    <w:rsid w:val="23F0AD4F"/>
    <w:rsid w:val="23F133A7"/>
    <w:rsid w:val="23F193C9"/>
    <w:rsid w:val="23F2792A"/>
    <w:rsid w:val="23F2A896"/>
    <w:rsid w:val="23F58F74"/>
    <w:rsid w:val="23F6D5F4"/>
    <w:rsid w:val="23F91E35"/>
    <w:rsid w:val="23FE9BFE"/>
    <w:rsid w:val="2401BC72"/>
    <w:rsid w:val="240219F6"/>
    <w:rsid w:val="24043946"/>
    <w:rsid w:val="24052A94"/>
    <w:rsid w:val="24058059"/>
    <w:rsid w:val="240621FB"/>
    <w:rsid w:val="240636CF"/>
    <w:rsid w:val="24071345"/>
    <w:rsid w:val="2407EC1B"/>
    <w:rsid w:val="24087CB1"/>
    <w:rsid w:val="240A6357"/>
    <w:rsid w:val="240B7B33"/>
    <w:rsid w:val="240BA4F2"/>
    <w:rsid w:val="240C075B"/>
    <w:rsid w:val="240DFEFF"/>
    <w:rsid w:val="240EF878"/>
    <w:rsid w:val="241104C6"/>
    <w:rsid w:val="2411D5A4"/>
    <w:rsid w:val="24126B75"/>
    <w:rsid w:val="2414C04E"/>
    <w:rsid w:val="2414F333"/>
    <w:rsid w:val="2415BC2C"/>
    <w:rsid w:val="2416576D"/>
    <w:rsid w:val="24166639"/>
    <w:rsid w:val="24169AAE"/>
    <w:rsid w:val="241B4666"/>
    <w:rsid w:val="241D3E1F"/>
    <w:rsid w:val="241D5B4E"/>
    <w:rsid w:val="241EE264"/>
    <w:rsid w:val="24206516"/>
    <w:rsid w:val="24211D98"/>
    <w:rsid w:val="24218B66"/>
    <w:rsid w:val="2421E29B"/>
    <w:rsid w:val="24220E06"/>
    <w:rsid w:val="24232408"/>
    <w:rsid w:val="24246964"/>
    <w:rsid w:val="2428826F"/>
    <w:rsid w:val="242BED74"/>
    <w:rsid w:val="242BFB28"/>
    <w:rsid w:val="2430A378"/>
    <w:rsid w:val="24310C12"/>
    <w:rsid w:val="24311913"/>
    <w:rsid w:val="2432BF5C"/>
    <w:rsid w:val="243342AA"/>
    <w:rsid w:val="24339A21"/>
    <w:rsid w:val="2433B7AD"/>
    <w:rsid w:val="243437FF"/>
    <w:rsid w:val="24376308"/>
    <w:rsid w:val="24378B8B"/>
    <w:rsid w:val="24383607"/>
    <w:rsid w:val="2439313D"/>
    <w:rsid w:val="243A6499"/>
    <w:rsid w:val="243B6D2B"/>
    <w:rsid w:val="244415D5"/>
    <w:rsid w:val="2444D2BF"/>
    <w:rsid w:val="24456D0D"/>
    <w:rsid w:val="24464364"/>
    <w:rsid w:val="244856B4"/>
    <w:rsid w:val="244CE471"/>
    <w:rsid w:val="244D6816"/>
    <w:rsid w:val="244FB976"/>
    <w:rsid w:val="24532A78"/>
    <w:rsid w:val="245660B8"/>
    <w:rsid w:val="2456E70B"/>
    <w:rsid w:val="24587D03"/>
    <w:rsid w:val="24595004"/>
    <w:rsid w:val="245AD012"/>
    <w:rsid w:val="245AE25B"/>
    <w:rsid w:val="245FF719"/>
    <w:rsid w:val="24602851"/>
    <w:rsid w:val="246063ED"/>
    <w:rsid w:val="2462EB43"/>
    <w:rsid w:val="24635D8F"/>
    <w:rsid w:val="2463E882"/>
    <w:rsid w:val="2465C740"/>
    <w:rsid w:val="246683DE"/>
    <w:rsid w:val="24669E04"/>
    <w:rsid w:val="24674C7A"/>
    <w:rsid w:val="24677A49"/>
    <w:rsid w:val="246B5B70"/>
    <w:rsid w:val="246CF6FE"/>
    <w:rsid w:val="246FDAE9"/>
    <w:rsid w:val="24700164"/>
    <w:rsid w:val="2471B055"/>
    <w:rsid w:val="2475DA4A"/>
    <w:rsid w:val="2476D7FA"/>
    <w:rsid w:val="247799D7"/>
    <w:rsid w:val="2478814E"/>
    <w:rsid w:val="247E6BA1"/>
    <w:rsid w:val="247F3017"/>
    <w:rsid w:val="2481882D"/>
    <w:rsid w:val="248800A7"/>
    <w:rsid w:val="248F9986"/>
    <w:rsid w:val="2490CFC4"/>
    <w:rsid w:val="249181DB"/>
    <w:rsid w:val="249252D8"/>
    <w:rsid w:val="2493D336"/>
    <w:rsid w:val="2494A519"/>
    <w:rsid w:val="24959644"/>
    <w:rsid w:val="249707EE"/>
    <w:rsid w:val="2497E42E"/>
    <w:rsid w:val="2498F462"/>
    <w:rsid w:val="249B35A1"/>
    <w:rsid w:val="249B38D2"/>
    <w:rsid w:val="249B70C2"/>
    <w:rsid w:val="24A260CE"/>
    <w:rsid w:val="24A35F80"/>
    <w:rsid w:val="24A3BE3A"/>
    <w:rsid w:val="24A7BF0B"/>
    <w:rsid w:val="24A944A8"/>
    <w:rsid w:val="24AB796F"/>
    <w:rsid w:val="24ABEF2F"/>
    <w:rsid w:val="24ADBD55"/>
    <w:rsid w:val="24AE02B2"/>
    <w:rsid w:val="24AE0D51"/>
    <w:rsid w:val="24B0B971"/>
    <w:rsid w:val="24B43F2F"/>
    <w:rsid w:val="24B4E85C"/>
    <w:rsid w:val="24B5FB72"/>
    <w:rsid w:val="24B95C04"/>
    <w:rsid w:val="24BCD08C"/>
    <w:rsid w:val="24C49E52"/>
    <w:rsid w:val="24C54D31"/>
    <w:rsid w:val="24C6F235"/>
    <w:rsid w:val="24C8BA0B"/>
    <w:rsid w:val="24CB3A25"/>
    <w:rsid w:val="24CF2667"/>
    <w:rsid w:val="24D1354B"/>
    <w:rsid w:val="24D19B68"/>
    <w:rsid w:val="24D26A5C"/>
    <w:rsid w:val="24D3635F"/>
    <w:rsid w:val="24D38A54"/>
    <w:rsid w:val="24D3BAE6"/>
    <w:rsid w:val="24D47255"/>
    <w:rsid w:val="24D4F51D"/>
    <w:rsid w:val="24D617DB"/>
    <w:rsid w:val="24D6991F"/>
    <w:rsid w:val="24D6B66A"/>
    <w:rsid w:val="24D86185"/>
    <w:rsid w:val="24DC4433"/>
    <w:rsid w:val="24DD4302"/>
    <w:rsid w:val="24DD639A"/>
    <w:rsid w:val="24DE28C3"/>
    <w:rsid w:val="24DE95ED"/>
    <w:rsid w:val="24DFDF92"/>
    <w:rsid w:val="24E2D8BC"/>
    <w:rsid w:val="24E2E143"/>
    <w:rsid w:val="24E46002"/>
    <w:rsid w:val="24E5103A"/>
    <w:rsid w:val="24E69261"/>
    <w:rsid w:val="24E8FD1F"/>
    <w:rsid w:val="24EB0AB9"/>
    <w:rsid w:val="24EBF9AF"/>
    <w:rsid w:val="24ED6E35"/>
    <w:rsid w:val="24EDA04E"/>
    <w:rsid w:val="24EFEF74"/>
    <w:rsid w:val="24F009D2"/>
    <w:rsid w:val="24F1941A"/>
    <w:rsid w:val="24F286E9"/>
    <w:rsid w:val="24F30186"/>
    <w:rsid w:val="24F6EC5B"/>
    <w:rsid w:val="24F7DB39"/>
    <w:rsid w:val="24F94656"/>
    <w:rsid w:val="24F9613A"/>
    <w:rsid w:val="24FA0B3C"/>
    <w:rsid w:val="24FC52D1"/>
    <w:rsid w:val="2500CA1C"/>
    <w:rsid w:val="25022709"/>
    <w:rsid w:val="25049CD6"/>
    <w:rsid w:val="25073A4D"/>
    <w:rsid w:val="25092FB2"/>
    <w:rsid w:val="250DE253"/>
    <w:rsid w:val="251049E3"/>
    <w:rsid w:val="25104B7A"/>
    <w:rsid w:val="25114767"/>
    <w:rsid w:val="25118605"/>
    <w:rsid w:val="25141D68"/>
    <w:rsid w:val="251494CE"/>
    <w:rsid w:val="2514E254"/>
    <w:rsid w:val="25159D91"/>
    <w:rsid w:val="25188EC0"/>
    <w:rsid w:val="2518D47E"/>
    <w:rsid w:val="251E7B45"/>
    <w:rsid w:val="251E8665"/>
    <w:rsid w:val="251EBE74"/>
    <w:rsid w:val="25201CBA"/>
    <w:rsid w:val="25209121"/>
    <w:rsid w:val="25223A2A"/>
    <w:rsid w:val="2522E0B3"/>
    <w:rsid w:val="2523A53E"/>
    <w:rsid w:val="252746D8"/>
    <w:rsid w:val="2528011B"/>
    <w:rsid w:val="25289189"/>
    <w:rsid w:val="2528D625"/>
    <w:rsid w:val="2529001D"/>
    <w:rsid w:val="25292AE4"/>
    <w:rsid w:val="25294B38"/>
    <w:rsid w:val="252B1981"/>
    <w:rsid w:val="252CB0FA"/>
    <w:rsid w:val="252D189F"/>
    <w:rsid w:val="252D50EA"/>
    <w:rsid w:val="252D7114"/>
    <w:rsid w:val="252ECA0C"/>
    <w:rsid w:val="252ECE41"/>
    <w:rsid w:val="252F15AB"/>
    <w:rsid w:val="252F7598"/>
    <w:rsid w:val="252F79FF"/>
    <w:rsid w:val="253119BF"/>
    <w:rsid w:val="25317862"/>
    <w:rsid w:val="2534D1D6"/>
    <w:rsid w:val="25356CB4"/>
    <w:rsid w:val="2536D78E"/>
    <w:rsid w:val="2538799E"/>
    <w:rsid w:val="25399ABB"/>
    <w:rsid w:val="253BE83E"/>
    <w:rsid w:val="253CF09F"/>
    <w:rsid w:val="253D95BA"/>
    <w:rsid w:val="25403D27"/>
    <w:rsid w:val="2540B853"/>
    <w:rsid w:val="2543A5EC"/>
    <w:rsid w:val="2546A8FE"/>
    <w:rsid w:val="25471F76"/>
    <w:rsid w:val="25476FD3"/>
    <w:rsid w:val="254843D1"/>
    <w:rsid w:val="2548694B"/>
    <w:rsid w:val="25490D85"/>
    <w:rsid w:val="254A468D"/>
    <w:rsid w:val="254B46E9"/>
    <w:rsid w:val="254BE645"/>
    <w:rsid w:val="254E3429"/>
    <w:rsid w:val="254E97B8"/>
    <w:rsid w:val="254FE139"/>
    <w:rsid w:val="25506129"/>
    <w:rsid w:val="255087F8"/>
    <w:rsid w:val="2550D51E"/>
    <w:rsid w:val="2550E1C9"/>
    <w:rsid w:val="25527AC3"/>
    <w:rsid w:val="255774D5"/>
    <w:rsid w:val="2557858F"/>
    <w:rsid w:val="2559CAF2"/>
    <w:rsid w:val="255A125C"/>
    <w:rsid w:val="255B9DA2"/>
    <w:rsid w:val="255BB67B"/>
    <w:rsid w:val="255D3CE9"/>
    <w:rsid w:val="255E0C9E"/>
    <w:rsid w:val="25607C65"/>
    <w:rsid w:val="25611CE5"/>
    <w:rsid w:val="25620AD6"/>
    <w:rsid w:val="2562B8FF"/>
    <w:rsid w:val="2562F42F"/>
    <w:rsid w:val="2563862D"/>
    <w:rsid w:val="25639C7A"/>
    <w:rsid w:val="25656C5F"/>
    <w:rsid w:val="2566EDDD"/>
    <w:rsid w:val="256A72AF"/>
    <w:rsid w:val="256E7262"/>
    <w:rsid w:val="256F00CA"/>
    <w:rsid w:val="25764646"/>
    <w:rsid w:val="2577BCF4"/>
    <w:rsid w:val="257809E4"/>
    <w:rsid w:val="25781F06"/>
    <w:rsid w:val="25788268"/>
    <w:rsid w:val="257B734C"/>
    <w:rsid w:val="257C3A36"/>
    <w:rsid w:val="257FC3CC"/>
    <w:rsid w:val="257FEE74"/>
    <w:rsid w:val="25807A7D"/>
    <w:rsid w:val="258188B0"/>
    <w:rsid w:val="258290C8"/>
    <w:rsid w:val="2582AFDF"/>
    <w:rsid w:val="2582C8A7"/>
    <w:rsid w:val="25834EE4"/>
    <w:rsid w:val="2583D4AD"/>
    <w:rsid w:val="2583E2A3"/>
    <w:rsid w:val="2586B95B"/>
    <w:rsid w:val="2587BD6F"/>
    <w:rsid w:val="25889D33"/>
    <w:rsid w:val="25893B76"/>
    <w:rsid w:val="258A9544"/>
    <w:rsid w:val="258B3D2C"/>
    <w:rsid w:val="258BBB59"/>
    <w:rsid w:val="258C5074"/>
    <w:rsid w:val="258CF645"/>
    <w:rsid w:val="258F8469"/>
    <w:rsid w:val="25903F0F"/>
    <w:rsid w:val="25934DDD"/>
    <w:rsid w:val="2596004B"/>
    <w:rsid w:val="2597F24D"/>
    <w:rsid w:val="2598204C"/>
    <w:rsid w:val="2598E645"/>
    <w:rsid w:val="259A0B64"/>
    <w:rsid w:val="259E395F"/>
    <w:rsid w:val="259E3AD6"/>
    <w:rsid w:val="259F0B5B"/>
    <w:rsid w:val="259F7611"/>
    <w:rsid w:val="25A06195"/>
    <w:rsid w:val="25A460DF"/>
    <w:rsid w:val="25A4B48A"/>
    <w:rsid w:val="25A4E1CB"/>
    <w:rsid w:val="25A50CD2"/>
    <w:rsid w:val="25A5A6A3"/>
    <w:rsid w:val="25A6FF36"/>
    <w:rsid w:val="25A7C609"/>
    <w:rsid w:val="25A8F352"/>
    <w:rsid w:val="25A98591"/>
    <w:rsid w:val="25AA69B3"/>
    <w:rsid w:val="25ABAAE2"/>
    <w:rsid w:val="25AEC342"/>
    <w:rsid w:val="25AF08C7"/>
    <w:rsid w:val="25AF5E76"/>
    <w:rsid w:val="25B0CD66"/>
    <w:rsid w:val="25B2B2C6"/>
    <w:rsid w:val="25B2D07F"/>
    <w:rsid w:val="25B34EDE"/>
    <w:rsid w:val="25B35AFD"/>
    <w:rsid w:val="25B5B883"/>
    <w:rsid w:val="25B5F563"/>
    <w:rsid w:val="25B7B7DB"/>
    <w:rsid w:val="25B8741A"/>
    <w:rsid w:val="25B8754D"/>
    <w:rsid w:val="25B90941"/>
    <w:rsid w:val="25BDABDD"/>
    <w:rsid w:val="25BE37E0"/>
    <w:rsid w:val="25BF3057"/>
    <w:rsid w:val="25C00827"/>
    <w:rsid w:val="25C16E4C"/>
    <w:rsid w:val="25C30580"/>
    <w:rsid w:val="25C35F8D"/>
    <w:rsid w:val="25C3CFDC"/>
    <w:rsid w:val="25C3F81D"/>
    <w:rsid w:val="25C415D3"/>
    <w:rsid w:val="25C428DE"/>
    <w:rsid w:val="25C4297C"/>
    <w:rsid w:val="25C4D541"/>
    <w:rsid w:val="25C57CA3"/>
    <w:rsid w:val="25C5DD1D"/>
    <w:rsid w:val="25C62CFF"/>
    <w:rsid w:val="25CAD945"/>
    <w:rsid w:val="25CD265D"/>
    <w:rsid w:val="25CE3DF7"/>
    <w:rsid w:val="25CE98C5"/>
    <w:rsid w:val="25D11271"/>
    <w:rsid w:val="25D22605"/>
    <w:rsid w:val="25D2E215"/>
    <w:rsid w:val="25D3A851"/>
    <w:rsid w:val="25D3EA6F"/>
    <w:rsid w:val="25D6752D"/>
    <w:rsid w:val="25DB8A1E"/>
    <w:rsid w:val="25DC18C7"/>
    <w:rsid w:val="25DC6A96"/>
    <w:rsid w:val="25DE0E31"/>
    <w:rsid w:val="25DF183B"/>
    <w:rsid w:val="25E0C26F"/>
    <w:rsid w:val="25E56817"/>
    <w:rsid w:val="25E984B3"/>
    <w:rsid w:val="25E99A33"/>
    <w:rsid w:val="25EA40A7"/>
    <w:rsid w:val="25EC290A"/>
    <w:rsid w:val="25ECC3C1"/>
    <w:rsid w:val="25ED67C6"/>
    <w:rsid w:val="25F2458B"/>
    <w:rsid w:val="25F268B3"/>
    <w:rsid w:val="25F2927D"/>
    <w:rsid w:val="25F350AE"/>
    <w:rsid w:val="25F455AC"/>
    <w:rsid w:val="25F5C93D"/>
    <w:rsid w:val="25F63978"/>
    <w:rsid w:val="25F72315"/>
    <w:rsid w:val="25F73266"/>
    <w:rsid w:val="25F7520B"/>
    <w:rsid w:val="25F8EAC1"/>
    <w:rsid w:val="25FC338C"/>
    <w:rsid w:val="25FE2E30"/>
    <w:rsid w:val="260237DC"/>
    <w:rsid w:val="260265BD"/>
    <w:rsid w:val="260326CD"/>
    <w:rsid w:val="2603DB6E"/>
    <w:rsid w:val="260449DA"/>
    <w:rsid w:val="26068A20"/>
    <w:rsid w:val="260A05B1"/>
    <w:rsid w:val="260BB44F"/>
    <w:rsid w:val="260C3F40"/>
    <w:rsid w:val="261101E2"/>
    <w:rsid w:val="2611D818"/>
    <w:rsid w:val="2611F45E"/>
    <w:rsid w:val="2612C4CD"/>
    <w:rsid w:val="26147E7C"/>
    <w:rsid w:val="26150EF5"/>
    <w:rsid w:val="26155B95"/>
    <w:rsid w:val="26189E8F"/>
    <w:rsid w:val="261A0954"/>
    <w:rsid w:val="261A169C"/>
    <w:rsid w:val="261A8E3E"/>
    <w:rsid w:val="261D74DB"/>
    <w:rsid w:val="26228C54"/>
    <w:rsid w:val="26233B44"/>
    <w:rsid w:val="2623E4C6"/>
    <w:rsid w:val="2624011A"/>
    <w:rsid w:val="2625D755"/>
    <w:rsid w:val="2626E3BB"/>
    <w:rsid w:val="2627BC69"/>
    <w:rsid w:val="2628673E"/>
    <w:rsid w:val="262B7BA4"/>
    <w:rsid w:val="262B90CC"/>
    <w:rsid w:val="262C4837"/>
    <w:rsid w:val="262CB9CD"/>
    <w:rsid w:val="262D2F0B"/>
    <w:rsid w:val="262F02E9"/>
    <w:rsid w:val="2630C616"/>
    <w:rsid w:val="26336A10"/>
    <w:rsid w:val="263510A1"/>
    <w:rsid w:val="2636EE56"/>
    <w:rsid w:val="263791A1"/>
    <w:rsid w:val="2637CB3E"/>
    <w:rsid w:val="2638CCD2"/>
    <w:rsid w:val="2638E060"/>
    <w:rsid w:val="26399815"/>
    <w:rsid w:val="2639CF18"/>
    <w:rsid w:val="263BC741"/>
    <w:rsid w:val="263C6C9C"/>
    <w:rsid w:val="263C8772"/>
    <w:rsid w:val="263D0F2F"/>
    <w:rsid w:val="263D90C7"/>
    <w:rsid w:val="263E08DA"/>
    <w:rsid w:val="263EADA2"/>
    <w:rsid w:val="263F1A82"/>
    <w:rsid w:val="263F50C9"/>
    <w:rsid w:val="263F6747"/>
    <w:rsid w:val="2641139B"/>
    <w:rsid w:val="2641684D"/>
    <w:rsid w:val="26417D08"/>
    <w:rsid w:val="264327A5"/>
    <w:rsid w:val="2643D9C7"/>
    <w:rsid w:val="26462D1A"/>
    <w:rsid w:val="26466798"/>
    <w:rsid w:val="2646C072"/>
    <w:rsid w:val="2647A746"/>
    <w:rsid w:val="2647AAED"/>
    <w:rsid w:val="26481AC6"/>
    <w:rsid w:val="264915CD"/>
    <w:rsid w:val="26492F07"/>
    <w:rsid w:val="264DD236"/>
    <w:rsid w:val="264ED55B"/>
    <w:rsid w:val="264F1365"/>
    <w:rsid w:val="2650D737"/>
    <w:rsid w:val="265118D6"/>
    <w:rsid w:val="2651FE1B"/>
    <w:rsid w:val="26524918"/>
    <w:rsid w:val="2653A51F"/>
    <w:rsid w:val="2655C390"/>
    <w:rsid w:val="26562461"/>
    <w:rsid w:val="265C2458"/>
    <w:rsid w:val="265E65D2"/>
    <w:rsid w:val="265FAFB3"/>
    <w:rsid w:val="265FD37F"/>
    <w:rsid w:val="2664C1D7"/>
    <w:rsid w:val="2664E74D"/>
    <w:rsid w:val="266768AB"/>
    <w:rsid w:val="2669BA2A"/>
    <w:rsid w:val="266A72FD"/>
    <w:rsid w:val="266A8517"/>
    <w:rsid w:val="266B17D5"/>
    <w:rsid w:val="266C26DB"/>
    <w:rsid w:val="266CAA02"/>
    <w:rsid w:val="266FCF9D"/>
    <w:rsid w:val="2672A48C"/>
    <w:rsid w:val="267386DD"/>
    <w:rsid w:val="2674CCAE"/>
    <w:rsid w:val="26753438"/>
    <w:rsid w:val="2675BD41"/>
    <w:rsid w:val="26769CC2"/>
    <w:rsid w:val="2678D100"/>
    <w:rsid w:val="2679254C"/>
    <w:rsid w:val="267ACD2E"/>
    <w:rsid w:val="267B276A"/>
    <w:rsid w:val="26802783"/>
    <w:rsid w:val="268041AD"/>
    <w:rsid w:val="26820D25"/>
    <w:rsid w:val="268702BC"/>
    <w:rsid w:val="268885DF"/>
    <w:rsid w:val="268A6B40"/>
    <w:rsid w:val="268B3793"/>
    <w:rsid w:val="268C4B57"/>
    <w:rsid w:val="268FCE21"/>
    <w:rsid w:val="269068BB"/>
    <w:rsid w:val="26928585"/>
    <w:rsid w:val="2694F1F1"/>
    <w:rsid w:val="26996022"/>
    <w:rsid w:val="269B5694"/>
    <w:rsid w:val="269C9F87"/>
    <w:rsid w:val="269CD71B"/>
    <w:rsid w:val="269E60C3"/>
    <w:rsid w:val="269F4046"/>
    <w:rsid w:val="269F5FD3"/>
    <w:rsid w:val="269F9FC1"/>
    <w:rsid w:val="26A05AA8"/>
    <w:rsid w:val="26A1A9FF"/>
    <w:rsid w:val="26A1D6D3"/>
    <w:rsid w:val="26A2AE5C"/>
    <w:rsid w:val="26A3674A"/>
    <w:rsid w:val="26A66F7F"/>
    <w:rsid w:val="26A74685"/>
    <w:rsid w:val="26A7F7BD"/>
    <w:rsid w:val="26A9AFA3"/>
    <w:rsid w:val="26A9B6E7"/>
    <w:rsid w:val="26A9EEEF"/>
    <w:rsid w:val="26AA287A"/>
    <w:rsid w:val="26AB1E48"/>
    <w:rsid w:val="26AD90B4"/>
    <w:rsid w:val="26ADF97B"/>
    <w:rsid w:val="26AE1EE8"/>
    <w:rsid w:val="26AF61BF"/>
    <w:rsid w:val="26AF7EFE"/>
    <w:rsid w:val="26AFA085"/>
    <w:rsid w:val="26B5ECB7"/>
    <w:rsid w:val="26B65A8B"/>
    <w:rsid w:val="26B7CBBA"/>
    <w:rsid w:val="26B8ADBD"/>
    <w:rsid w:val="26B8D59D"/>
    <w:rsid w:val="26BA4D26"/>
    <w:rsid w:val="26BF0B25"/>
    <w:rsid w:val="26BF458E"/>
    <w:rsid w:val="26BFB95B"/>
    <w:rsid w:val="26C4A66B"/>
    <w:rsid w:val="26C558C2"/>
    <w:rsid w:val="26C83304"/>
    <w:rsid w:val="26CA87B2"/>
    <w:rsid w:val="26CB30E3"/>
    <w:rsid w:val="26CB5241"/>
    <w:rsid w:val="26CC09D7"/>
    <w:rsid w:val="26CC2A5E"/>
    <w:rsid w:val="26CD80F7"/>
    <w:rsid w:val="26CE71AB"/>
    <w:rsid w:val="26CF8F2A"/>
    <w:rsid w:val="26D2136A"/>
    <w:rsid w:val="26D4E5CC"/>
    <w:rsid w:val="26D5232C"/>
    <w:rsid w:val="26D68AD4"/>
    <w:rsid w:val="26D7C096"/>
    <w:rsid w:val="26D844C1"/>
    <w:rsid w:val="26DA8E83"/>
    <w:rsid w:val="26DC9FA1"/>
    <w:rsid w:val="26E0495C"/>
    <w:rsid w:val="26E071D3"/>
    <w:rsid w:val="26E0FDD1"/>
    <w:rsid w:val="26E12579"/>
    <w:rsid w:val="26E12774"/>
    <w:rsid w:val="26E2C03F"/>
    <w:rsid w:val="26E35907"/>
    <w:rsid w:val="26E38CB8"/>
    <w:rsid w:val="26E3D3BF"/>
    <w:rsid w:val="26E4E65B"/>
    <w:rsid w:val="26E5D613"/>
    <w:rsid w:val="26E77312"/>
    <w:rsid w:val="26E795F0"/>
    <w:rsid w:val="26E80343"/>
    <w:rsid w:val="26EA9C6E"/>
    <w:rsid w:val="26EAE2F3"/>
    <w:rsid w:val="26EAFAB0"/>
    <w:rsid w:val="26EB8736"/>
    <w:rsid w:val="26EBB481"/>
    <w:rsid w:val="26ED0AD0"/>
    <w:rsid w:val="26EF5E86"/>
    <w:rsid w:val="26F7529C"/>
    <w:rsid w:val="26F854D0"/>
    <w:rsid w:val="26FA6CC1"/>
    <w:rsid w:val="26FB1C3F"/>
    <w:rsid w:val="26FC9549"/>
    <w:rsid w:val="26FF9B5A"/>
    <w:rsid w:val="26FFF93C"/>
    <w:rsid w:val="2701FBEE"/>
    <w:rsid w:val="2704D6B7"/>
    <w:rsid w:val="2705B7DD"/>
    <w:rsid w:val="2706845B"/>
    <w:rsid w:val="270712F5"/>
    <w:rsid w:val="270DEEDF"/>
    <w:rsid w:val="270E2B5D"/>
    <w:rsid w:val="270F3A22"/>
    <w:rsid w:val="27107473"/>
    <w:rsid w:val="271077CE"/>
    <w:rsid w:val="2710A3A6"/>
    <w:rsid w:val="2710FE7D"/>
    <w:rsid w:val="2712B7FD"/>
    <w:rsid w:val="271341D2"/>
    <w:rsid w:val="27135356"/>
    <w:rsid w:val="2713CD5C"/>
    <w:rsid w:val="2714F1D0"/>
    <w:rsid w:val="27164167"/>
    <w:rsid w:val="2716C68A"/>
    <w:rsid w:val="271990C9"/>
    <w:rsid w:val="271B58B7"/>
    <w:rsid w:val="271B9DDF"/>
    <w:rsid w:val="271BD012"/>
    <w:rsid w:val="271C2788"/>
    <w:rsid w:val="271CA4F6"/>
    <w:rsid w:val="271D88FC"/>
    <w:rsid w:val="271EC6CF"/>
    <w:rsid w:val="271F5891"/>
    <w:rsid w:val="27251043"/>
    <w:rsid w:val="27287980"/>
    <w:rsid w:val="2728D78C"/>
    <w:rsid w:val="27297097"/>
    <w:rsid w:val="272E7771"/>
    <w:rsid w:val="273037C4"/>
    <w:rsid w:val="27311DE0"/>
    <w:rsid w:val="2732315A"/>
    <w:rsid w:val="273425DE"/>
    <w:rsid w:val="27342FE8"/>
    <w:rsid w:val="2734EB7D"/>
    <w:rsid w:val="2734EE7B"/>
    <w:rsid w:val="27379C4A"/>
    <w:rsid w:val="273A1745"/>
    <w:rsid w:val="273B37CE"/>
    <w:rsid w:val="273C9944"/>
    <w:rsid w:val="2741ED47"/>
    <w:rsid w:val="2745216B"/>
    <w:rsid w:val="27485F15"/>
    <w:rsid w:val="27489CE6"/>
    <w:rsid w:val="274904E1"/>
    <w:rsid w:val="27497848"/>
    <w:rsid w:val="274B1A2E"/>
    <w:rsid w:val="274BA2F2"/>
    <w:rsid w:val="274CD20F"/>
    <w:rsid w:val="274D55E5"/>
    <w:rsid w:val="274EC6DA"/>
    <w:rsid w:val="274F2324"/>
    <w:rsid w:val="27504E33"/>
    <w:rsid w:val="27517DF6"/>
    <w:rsid w:val="27525F62"/>
    <w:rsid w:val="2752E96C"/>
    <w:rsid w:val="27536DAE"/>
    <w:rsid w:val="2757B940"/>
    <w:rsid w:val="2758BAEC"/>
    <w:rsid w:val="275A2FBF"/>
    <w:rsid w:val="275BD8F0"/>
    <w:rsid w:val="275E430C"/>
    <w:rsid w:val="275F6C38"/>
    <w:rsid w:val="275FF456"/>
    <w:rsid w:val="2762633B"/>
    <w:rsid w:val="2763B4E6"/>
    <w:rsid w:val="2763CFF9"/>
    <w:rsid w:val="2763FD58"/>
    <w:rsid w:val="27655954"/>
    <w:rsid w:val="27662125"/>
    <w:rsid w:val="2767A291"/>
    <w:rsid w:val="27680960"/>
    <w:rsid w:val="2768D5C6"/>
    <w:rsid w:val="276A4518"/>
    <w:rsid w:val="276B3CCA"/>
    <w:rsid w:val="276CD22F"/>
    <w:rsid w:val="276CFDCA"/>
    <w:rsid w:val="276D5D77"/>
    <w:rsid w:val="276DCD4E"/>
    <w:rsid w:val="276E68D6"/>
    <w:rsid w:val="27704777"/>
    <w:rsid w:val="2777A189"/>
    <w:rsid w:val="27798FFB"/>
    <w:rsid w:val="277C2518"/>
    <w:rsid w:val="277CBC80"/>
    <w:rsid w:val="277F9BD1"/>
    <w:rsid w:val="277FEF22"/>
    <w:rsid w:val="27807B97"/>
    <w:rsid w:val="2781FE49"/>
    <w:rsid w:val="27823219"/>
    <w:rsid w:val="278269C3"/>
    <w:rsid w:val="2782ACBA"/>
    <w:rsid w:val="278613B0"/>
    <w:rsid w:val="278C8AA2"/>
    <w:rsid w:val="278CCCD2"/>
    <w:rsid w:val="278CD8FA"/>
    <w:rsid w:val="2792358B"/>
    <w:rsid w:val="2793C78E"/>
    <w:rsid w:val="27995F55"/>
    <w:rsid w:val="279B786E"/>
    <w:rsid w:val="279BD691"/>
    <w:rsid w:val="279D4CF1"/>
    <w:rsid w:val="279D675F"/>
    <w:rsid w:val="279F118B"/>
    <w:rsid w:val="27A07007"/>
    <w:rsid w:val="27A23D88"/>
    <w:rsid w:val="27A7FD20"/>
    <w:rsid w:val="27A9DE72"/>
    <w:rsid w:val="27ABA582"/>
    <w:rsid w:val="27AC669E"/>
    <w:rsid w:val="27AC99FF"/>
    <w:rsid w:val="27AE1568"/>
    <w:rsid w:val="27B047D8"/>
    <w:rsid w:val="27B1E159"/>
    <w:rsid w:val="27B3A837"/>
    <w:rsid w:val="27B66152"/>
    <w:rsid w:val="27B6F40B"/>
    <w:rsid w:val="27B7006C"/>
    <w:rsid w:val="27B7962C"/>
    <w:rsid w:val="27BA77EB"/>
    <w:rsid w:val="27BAB541"/>
    <w:rsid w:val="27BD6478"/>
    <w:rsid w:val="27BEB380"/>
    <w:rsid w:val="27C24079"/>
    <w:rsid w:val="27C24A03"/>
    <w:rsid w:val="27C30162"/>
    <w:rsid w:val="27C4D181"/>
    <w:rsid w:val="27C61AD7"/>
    <w:rsid w:val="27C73A7E"/>
    <w:rsid w:val="27C8C39D"/>
    <w:rsid w:val="27CA1FC9"/>
    <w:rsid w:val="27CA6EEE"/>
    <w:rsid w:val="27CA79D5"/>
    <w:rsid w:val="27CA94C9"/>
    <w:rsid w:val="27CBE74D"/>
    <w:rsid w:val="27D0268E"/>
    <w:rsid w:val="27D25326"/>
    <w:rsid w:val="27D30393"/>
    <w:rsid w:val="27D3181B"/>
    <w:rsid w:val="27D3456C"/>
    <w:rsid w:val="27D4E617"/>
    <w:rsid w:val="27D84C31"/>
    <w:rsid w:val="27D86BE9"/>
    <w:rsid w:val="27D8C476"/>
    <w:rsid w:val="27D90915"/>
    <w:rsid w:val="27DACF42"/>
    <w:rsid w:val="27DCD47A"/>
    <w:rsid w:val="27DD867A"/>
    <w:rsid w:val="27E0DA3E"/>
    <w:rsid w:val="27E1A85F"/>
    <w:rsid w:val="27E38F74"/>
    <w:rsid w:val="27E4A448"/>
    <w:rsid w:val="27EA197E"/>
    <w:rsid w:val="27EBFF21"/>
    <w:rsid w:val="27EDA6D5"/>
    <w:rsid w:val="27EF3FE4"/>
    <w:rsid w:val="27EF5057"/>
    <w:rsid w:val="27F2C8A8"/>
    <w:rsid w:val="27F3422B"/>
    <w:rsid w:val="27F364D4"/>
    <w:rsid w:val="27F38B19"/>
    <w:rsid w:val="27F498DA"/>
    <w:rsid w:val="27F92C53"/>
    <w:rsid w:val="27FADDF5"/>
    <w:rsid w:val="27FB5349"/>
    <w:rsid w:val="27FC4BA0"/>
    <w:rsid w:val="27FD5067"/>
    <w:rsid w:val="27FE4D3D"/>
    <w:rsid w:val="27FE6FBE"/>
    <w:rsid w:val="28002B69"/>
    <w:rsid w:val="2800AF21"/>
    <w:rsid w:val="280144D2"/>
    <w:rsid w:val="2802DBC2"/>
    <w:rsid w:val="2802E12E"/>
    <w:rsid w:val="2803A240"/>
    <w:rsid w:val="280562D2"/>
    <w:rsid w:val="2807660A"/>
    <w:rsid w:val="280CD2F3"/>
    <w:rsid w:val="280E4A5C"/>
    <w:rsid w:val="2810B3E1"/>
    <w:rsid w:val="28118B79"/>
    <w:rsid w:val="2813552D"/>
    <w:rsid w:val="28144642"/>
    <w:rsid w:val="281503C3"/>
    <w:rsid w:val="281506B1"/>
    <w:rsid w:val="28178C4B"/>
    <w:rsid w:val="281A6DCE"/>
    <w:rsid w:val="281D6CA7"/>
    <w:rsid w:val="281E7DB3"/>
    <w:rsid w:val="281FAD77"/>
    <w:rsid w:val="281FE274"/>
    <w:rsid w:val="28212713"/>
    <w:rsid w:val="2822175A"/>
    <w:rsid w:val="2822A9D5"/>
    <w:rsid w:val="2823E1BF"/>
    <w:rsid w:val="28249465"/>
    <w:rsid w:val="282573F4"/>
    <w:rsid w:val="282B6B05"/>
    <w:rsid w:val="282BAC2A"/>
    <w:rsid w:val="282BE799"/>
    <w:rsid w:val="282D57EC"/>
    <w:rsid w:val="282FD5E2"/>
    <w:rsid w:val="282FE789"/>
    <w:rsid w:val="282FF236"/>
    <w:rsid w:val="282FFA90"/>
    <w:rsid w:val="28300D72"/>
    <w:rsid w:val="2832603A"/>
    <w:rsid w:val="28327986"/>
    <w:rsid w:val="2832BEB5"/>
    <w:rsid w:val="28331497"/>
    <w:rsid w:val="28340AFD"/>
    <w:rsid w:val="2834F31D"/>
    <w:rsid w:val="2837C236"/>
    <w:rsid w:val="2837D2C1"/>
    <w:rsid w:val="2838E84E"/>
    <w:rsid w:val="283A65BE"/>
    <w:rsid w:val="283AD3B0"/>
    <w:rsid w:val="283B92C2"/>
    <w:rsid w:val="283CBA69"/>
    <w:rsid w:val="283FB809"/>
    <w:rsid w:val="2840E742"/>
    <w:rsid w:val="284154BB"/>
    <w:rsid w:val="2842D40B"/>
    <w:rsid w:val="28437783"/>
    <w:rsid w:val="2843FE65"/>
    <w:rsid w:val="284460CE"/>
    <w:rsid w:val="2844A4B1"/>
    <w:rsid w:val="2846355F"/>
    <w:rsid w:val="2846DEDE"/>
    <w:rsid w:val="2849DF7A"/>
    <w:rsid w:val="284AA894"/>
    <w:rsid w:val="284B554C"/>
    <w:rsid w:val="284C6B21"/>
    <w:rsid w:val="284E3BDE"/>
    <w:rsid w:val="2850B46B"/>
    <w:rsid w:val="2850F9E5"/>
    <w:rsid w:val="2852188D"/>
    <w:rsid w:val="28526DE0"/>
    <w:rsid w:val="2852D8AD"/>
    <w:rsid w:val="285359E9"/>
    <w:rsid w:val="28574602"/>
    <w:rsid w:val="285830CE"/>
    <w:rsid w:val="28584841"/>
    <w:rsid w:val="285ACA56"/>
    <w:rsid w:val="285E4E3F"/>
    <w:rsid w:val="285F52B7"/>
    <w:rsid w:val="285F586F"/>
    <w:rsid w:val="2860AB8A"/>
    <w:rsid w:val="28625A1F"/>
    <w:rsid w:val="2862EA1A"/>
    <w:rsid w:val="28635D18"/>
    <w:rsid w:val="28678260"/>
    <w:rsid w:val="28680FE0"/>
    <w:rsid w:val="28681E6D"/>
    <w:rsid w:val="286A9146"/>
    <w:rsid w:val="286B3A0A"/>
    <w:rsid w:val="286FB4FD"/>
    <w:rsid w:val="286FEB78"/>
    <w:rsid w:val="2871DB6C"/>
    <w:rsid w:val="2872D22D"/>
    <w:rsid w:val="287355A4"/>
    <w:rsid w:val="28737EB2"/>
    <w:rsid w:val="2873D885"/>
    <w:rsid w:val="287599F5"/>
    <w:rsid w:val="2875A738"/>
    <w:rsid w:val="28773683"/>
    <w:rsid w:val="2877D3CF"/>
    <w:rsid w:val="28781A33"/>
    <w:rsid w:val="28793725"/>
    <w:rsid w:val="2879FFEB"/>
    <w:rsid w:val="287BEECF"/>
    <w:rsid w:val="287C6322"/>
    <w:rsid w:val="287CAEF2"/>
    <w:rsid w:val="287CBEB2"/>
    <w:rsid w:val="287D2CEF"/>
    <w:rsid w:val="287E43A5"/>
    <w:rsid w:val="287F5361"/>
    <w:rsid w:val="288119E0"/>
    <w:rsid w:val="28817142"/>
    <w:rsid w:val="2884BD48"/>
    <w:rsid w:val="2885F275"/>
    <w:rsid w:val="2885F822"/>
    <w:rsid w:val="288678E3"/>
    <w:rsid w:val="288751D1"/>
    <w:rsid w:val="2888CA61"/>
    <w:rsid w:val="288B4FF7"/>
    <w:rsid w:val="288B6249"/>
    <w:rsid w:val="288B707E"/>
    <w:rsid w:val="288BBB10"/>
    <w:rsid w:val="288FCA65"/>
    <w:rsid w:val="2890DFCB"/>
    <w:rsid w:val="2890ECB7"/>
    <w:rsid w:val="2891317E"/>
    <w:rsid w:val="28920253"/>
    <w:rsid w:val="28936E0F"/>
    <w:rsid w:val="2893B84D"/>
    <w:rsid w:val="2894C664"/>
    <w:rsid w:val="2894FF0A"/>
    <w:rsid w:val="2895C95A"/>
    <w:rsid w:val="289A36CF"/>
    <w:rsid w:val="289AB98E"/>
    <w:rsid w:val="289BCD93"/>
    <w:rsid w:val="289C4E03"/>
    <w:rsid w:val="289D781D"/>
    <w:rsid w:val="289E5DB2"/>
    <w:rsid w:val="289EBE54"/>
    <w:rsid w:val="289EC6A5"/>
    <w:rsid w:val="289F9B9C"/>
    <w:rsid w:val="28A1111F"/>
    <w:rsid w:val="28A1AF94"/>
    <w:rsid w:val="28A461D1"/>
    <w:rsid w:val="28A488DC"/>
    <w:rsid w:val="28A6A20D"/>
    <w:rsid w:val="28A81351"/>
    <w:rsid w:val="28AA87C6"/>
    <w:rsid w:val="28AB9E1B"/>
    <w:rsid w:val="28AC6D1F"/>
    <w:rsid w:val="28ACF257"/>
    <w:rsid w:val="28AF46F5"/>
    <w:rsid w:val="28AF4D11"/>
    <w:rsid w:val="28B02125"/>
    <w:rsid w:val="28B1839D"/>
    <w:rsid w:val="28B1E760"/>
    <w:rsid w:val="28B5A45B"/>
    <w:rsid w:val="28B72434"/>
    <w:rsid w:val="28BC4335"/>
    <w:rsid w:val="28BCD28B"/>
    <w:rsid w:val="28BDCA67"/>
    <w:rsid w:val="28C07E85"/>
    <w:rsid w:val="28C290E1"/>
    <w:rsid w:val="28C305AE"/>
    <w:rsid w:val="28C319CE"/>
    <w:rsid w:val="28C385F7"/>
    <w:rsid w:val="28CAC1AC"/>
    <w:rsid w:val="28CB753B"/>
    <w:rsid w:val="28CBFAB1"/>
    <w:rsid w:val="28CC948E"/>
    <w:rsid w:val="28CE3751"/>
    <w:rsid w:val="28CF2BC9"/>
    <w:rsid w:val="28D262F1"/>
    <w:rsid w:val="28D26B80"/>
    <w:rsid w:val="28D2EBD8"/>
    <w:rsid w:val="28D4140D"/>
    <w:rsid w:val="28D4272D"/>
    <w:rsid w:val="28D43F03"/>
    <w:rsid w:val="28D56ABA"/>
    <w:rsid w:val="28D6900D"/>
    <w:rsid w:val="28D6C598"/>
    <w:rsid w:val="28D71608"/>
    <w:rsid w:val="28D8ADB3"/>
    <w:rsid w:val="28D90E3E"/>
    <w:rsid w:val="28D9EFBE"/>
    <w:rsid w:val="28DB61FD"/>
    <w:rsid w:val="28DCA7A6"/>
    <w:rsid w:val="28DDA8CD"/>
    <w:rsid w:val="28DE0B39"/>
    <w:rsid w:val="28DE6745"/>
    <w:rsid w:val="28DED160"/>
    <w:rsid w:val="28DFC4E4"/>
    <w:rsid w:val="28E43BB5"/>
    <w:rsid w:val="28E50B94"/>
    <w:rsid w:val="28E5168D"/>
    <w:rsid w:val="28E530D5"/>
    <w:rsid w:val="28E83950"/>
    <w:rsid w:val="28E99F82"/>
    <w:rsid w:val="28EA3217"/>
    <w:rsid w:val="28EBD176"/>
    <w:rsid w:val="28ECCF91"/>
    <w:rsid w:val="28ED7D2C"/>
    <w:rsid w:val="28EE540A"/>
    <w:rsid w:val="28F26458"/>
    <w:rsid w:val="28F75495"/>
    <w:rsid w:val="28F7DC82"/>
    <w:rsid w:val="28F8F705"/>
    <w:rsid w:val="28FBBCAE"/>
    <w:rsid w:val="28FC2B1B"/>
    <w:rsid w:val="28FCCDF0"/>
    <w:rsid w:val="28FF681A"/>
    <w:rsid w:val="28FFA157"/>
    <w:rsid w:val="29009B6A"/>
    <w:rsid w:val="290184D1"/>
    <w:rsid w:val="290286B6"/>
    <w:rsid w:val="29065D59"/>
    <w:rsid w:val="290704FE"/>
    <w:rsid w:val="2907A6BB"/>
    <w:rsid w:val="2907B870"/>
    <w:rsid w:val="29090D45"/>
    <w:rsid w:val="290E7CB5"/>
    <w:rsid w:val="290F85CC"/>
    <w:rsid w:val="2910E25A"/>
    <w:rsid w:val="29111CD0"/>
    <w:rsid w:val="2912B588"/>
    <w:rsid w:val="2915537D"/>
    <w:rsid w:val="29156221"/>
    <w:rsid w:val="29175FBF"/>
    <w:rsid w:val="2917C3CF"/>
    <w:rsid w:val="2919A2C4"/>
    <w:rsid w:val="291E4F30"/>
    <w:rsid w:val="291F7D4D"/>
    <w:rsid w:val="29205E54"/>
    <w:rsid w:val="29228C51"/>
    <w:rsid w:val="292298BF"/>
    <w:rsid w:val="29230B3C"/>
    <w:rsid w:val="2923FA50"/>
    <w:rsid w:val="2924B140"/>
    <w:rsid w:val="29288206"/>
    <w:rsid w:val="2929C673"/>
    <w:rsid w:val="2929E444"/>
    <w:rsid w:val="2929E45B"/>
    <w:rsid w:val="292ABB55"/>
    <w:rsid w:val="292BDA97"/>
    <w:rsid w:val="292CE144"/>
    <w:rsid w:val="292EE54C"/>
    <w:rsid w:val="292F19F2"/>
    <w:rsid w:val="29342F05"/>
    <w:rsid w:val="293455C4"/>
    <w:rsid w:val="2935B0C3"/>
    <w:rsid w:val="2937BA1A"/>
    <w:rsid w:val="293B14B5"/>
    <w:rsid w:val="2940F418"/>
    <w:rsid w:val="294116A8"/>
    <w:rsid w:val="2943A7F4"/>
    <w:rsid w:val="29472199"/>
    <w:rsid w:val="29483636"/>
    <w:rsid w:val="294A9682"/>
    <w:rsid w:val="294D0725"/>
    <w:rsid w:val="294D8CD3"/>
    <w:rsid w:val="2950531E"/>
    <w:rsid w:val="2951216D"/>
    <w:rsid w:val="2953105C"/>
    <w:rsid w:val="29532DD2"/>
    <w:rsid w:val="2954258E"/>
    <w:rsid w:val="2955A274"/>
    <w:rsid w:val="29587593"/>
    <w:rsid w:val="29593068"/>
    <w:rsid w:val="295A3F18"/>
    <w:rsid w:val="295A50AB"/>
    <w:rsid w:val="295AC863"/>
    <w:rsid w:val="295D38B8"/>
    <w:rsid w:val="295FEA82"/>
    <w:rsid w:val="2960A68C"/>
    <w:rsid w:val="29645B3E"/>
    <w:rsid w:val="2964B033"/>
    <w:rsid w:val="2966BA9F"/>
    <w:rsid w:val="2966CA60"/>
    <w:rsid w:val="2967127E"/>
    <w:rsid w:val="29697586"/>
    <w:rsid w:val="296D52FE"/>
    <w:rsid w:val="296D8FDE"/>
    <w:rsid w:val="296DB007"/>
    <w:rsid w:val="296E5F3F"/>
    <w:rsid w:val="296FA8C1"/>
    <w:rsid w:val="296FB4AA"/>
    <w:rsid w:val="29701D7B"/>
    <w:rsid w:val="2970523B"/>
    <w:rsid w:val="2971B424"/>
    <w:rsid w:val="297673FF"/>
    <w:rsid w:val="297687E4"/>
    <w:rsid w:val="2978E178"/>
    <w:rsid w:val="297AFBE5"/>
    <w:rsid w:val="297B0F7A"/>
    <w:rsid w:val="297D5BD6"/>
    <w:rsid w:val="297E4CA2"/>
    <w:rsid w:val="297EDCAE"/>
    <w:rsid w:val="297F1B14"/>
    <w:rsid w:val="29834F60"/>
    <w:rsid w:val="2984A392"/>
    <w:rsid w:val="2986C7F1"/>
    <w:rsid w:val="2987F318"/>
    <w:rsid w:val="298870B8"/>
    <w:rsid w:val="2988AFF1"/>
    <w:rsid w:val="298A52E1"/>
    <w:rsid w:val="298B6B3E"/>
    <w:rsid w:val="298E20DB"/>
    <w:rsid w:val="298EB0C9"/>
    <w:rsid w:val="298F3621"/>
    <w:rsid w:val="2991148E"/>
    <w:rsid w:val="2992D2E9"/>
    <w:rsid w:val="2992D429"/>
    <w:rsid w:val="2993F6EE"/>
    <w:rsid w:val="299723E7"/>
    <w:rsid w:val="29990CAA"/>
    <w:rsid w:val="29994356"/>
    <w:rsid w:val="299A06BA"/>
    <w:rsid w:val="299B2456"/>
    <w:rsid w:val="299E0C42"/>
    <w:rsid w:val="299FA220"/>
    <w:rsid w:val="29A4BB35"/>
    <w:rsid w:val="29A5FE71"/>
    <w:rsid w:val="29A7DDC9"/>
    <w:rsid w:val="29A9A38D"/>
    <w:rsid w:val="29A9D61B"/>
    <w:rsid w:val="29AA443E"/>
    <w:rsid w:val="29ABC167"/>
    <w:rsid w:val="29AED45B"/>
    <w:rsid w:val="29B46781"/>
    <w:rsid w:val="29B635DF"/>
    <w:rsid w:val="29BA038E"/>
    <w:rsid w:val="29BB020E"/>
    <w:rsid w:val="29BF3747"/>
    <w:rsid w:val="29C217B8"/>
    <w:rsid w:val="29C38F4B"/>
    <w:rsid w:val="29C5949F"/>
    <w:rsid w:val="29C5DCB1"/>
    <w:rsid w:val="29C5F268"/>
    <w:rsid w:val="29C604D3"/>
    <w:rsid w:val="29C60A4E"/>
    <w:rsid w:val="29C74F6D"/>
    <w:rsid w:val="29C7BA26"/>
    <w:rsid w:val="29CA31BB"/>
    <w:rsid w:val="29CD447F"/>
    <w:rsid w:val="29CE916E"/>
    <w:rsid w:val="29CEB20B"/>
    <w:rsid w:val="29D1B1CE"/>
    <w:rsid w:val="29D23575"/>
    <w:rsid w:val="29D35C09"/>
    <w:rsid w:val="29D6725E"/>
    <w:rsid w:val="29D72ACA"/>
    <w:rsid w:val="29D783E3"/>
    <w:rsid w:val="29DC812F"/>
    <w:rsid w:val="29E010C7"/>
    <w:rsid w:val="29E23BBB"/>
    <w:rsid w:val="29E273E8"/>
    <w:rsid w:val="29E2A98D"/>
    <w:rsid w:val="29E56855"/>
    <w:rsid w:val="29E8F304"/>
    <w:rsid w:val="29EB172C"/>
    <w:rsid w:val="29EB485B"/>
    <w:rsid w:val="29EDF187"/>
    <w:rsid w:val="29EF112F"/>
    <w:rsid w:val="29F08C2B"/>
    <w:rsid w:val="29F0D2D1"/>
    <w:rsid w:val="29F2A1E3"/>
    <w:rsid w:val="29F66F68"/>
    <w:rsid w:val="29F75057"/>
    <w:rsid w:val="29F91BC4"/>
    <w:rsid w:val="29FA3634"/>
    <w:rsid w:val="29FB8570"/>
    <w:rsid w:val="29FBBD45"/>
    <w:rsid w:val="29FE4AB9"/>
    <w:rsid w:val="29FF70FD"/>
    <w:rsid w:val="2A06B204"/>
    <w:rsid w:val="2A0737C3"/>
    <w:rsid w:val="2A0BD6FA"/>
    <w:rsid w:val="2A0C0620"/>
    <w:rsid w:val="2A0CA76C"/>
    <w:rsid w:val="2A0D1547"/>
    <w:rsid w:val="2A0DEE9B"/>
    <w:rsid w:val="2A102E09"/>
    <w:rsid w:val="2A107D97"/>
    <w:rsid w:val="2A10EAE8"/>
    <w:rsid w:val="2A111661"/>
    <w:rsid w:val="2A1174DB"/>
    <w:rsid w:val="2A127645"/>
    <w:rsid w:val="2A12782E"/>
    <w:rsid w:val="2A1294CB"/>
    <w:rsid w:val="2A159FC6"/>
    <w:rsid w:val="2A160EBA"/>
    <w:rsid w:val="2A164C12"/>
    <w:rsid w:val="2A17AFE2"/>
    <w:rsid w:val="2A19EC6C"/>
    <w:rsid w:val="2A1AEF06"/>
    <w:rsid w:val="2A1C6A6A"/>
    <w:rsid w:val="2A1F41BE"/>
    <w:rsid w:val="2A210C3B"/>
    <w:rsid w:val="2A239085"/>
    <w:rsid w:val="2A295E3F"/>
    <w:rsid w:val="2A29ABF2"/>
    <w:rsid w:val="2A29F231"/>
    <w:rsid w:val="2A2A69B2"/>
    <w:rsid w:val="2A2CB6CF"/>
    <w:rsid w:val="2A2DF260"/>
    <w:rsid w:val="2A2F99AB"/>
    <w:rsid w:val="2A322374"/>
    <w:rsid w:val="2A3395CB"/>
    <w:rsid w:val="2A343DEA"/>
    <w:rsid w:val="2A347A1E"/>
    <w:rsid w:val="2A34DEEE"/>
    <w:rsid w:val="2A351DEA"/>
    <w:rsid w:val="2A378ADE"/>
    <w:rsid w:val="2A37A4E0"/>
    <w:rsid w:val="2A37DD62"/>
    <w:rsid w:val="2A382AC6"/>
    <w:rsid w:val="2A38D00D"/>
    <w:rsid w:val="2A3A8ECD"/>
    <w:rsid w:val="2A3CCAB6"/>
    <w:rsid w:val="2A3CE741"/>
    <w:rsid w:val="2A3DC1C0"/>
    <w:rsid w:val="2A3DC6EF"/>
    <w:rsid w:val="2A401C59"/>
    <w:rsid w:val="2A403773"/>
    <w:rsid w:val="2A453C24"/>
    <w:rsid w:val="2A468CC7"/>
    <w:rsid w:val="2A46E99C"/>
    <w:rsid w:val="2A475ED9"/>
    <w:rsid w:val="2A478775"/>
    <w:rsid w:val="2A49C1D0"/>
    <w:rsid w:val="2A4AC218"/>
    <w:rsid w:val="2A4B71B6"/>
    <w:rsid w:val="2A4F4906"/>
    <w:rsid w:val="2A5228A5"/>
    <w:rsid w:val="2A52CA9A"/>
    <w:rsid w:val="2A5326B6"/>
    <w:rsid w:val="2A536075"/>
    <w:rsid w:val="2A54663E"/>
    <w:rsid w:val="2A546875"/>
    <w:rsid w:val="2A56EA0A"/>
    <w:rsid w:val="2A57CF21"/>
    <w:rsid w:val="2A5A311C"/>
    <w:rsid w:val="2A5F561A"/>
    <w:rsid w:val="2A6327C6"/>
    <w:rsid w:val="2A63E25D"/>
    <w:rsid w:val="2A64CAC5"/>
    <w:rsid w:val="2A6593C2"/>
    <w:rsid w:val="2A663D96"/>
    <w:rsid w:val="2A67481C"/>
    <w:rsid w:val="2A6A78F2"/>
    <w:rsid w:val="2A6BD0AA"/>
    <w:rsid w:val="2A6CD2CF"/>
    <w:rsid w:val="2A6DA0E4"/>
    <w:rsid w:val="2A6EC712"/>
    <w:rsid w:val="2A719617"/>
    <w:rsid w:val="2A726A60"/>
    <w:rsid w:val="2A728E05"/>
    <w:rsid w:val="2A74F7F4"/>
    <w:rsid w:val="2A754FAC"/>
    <w:rsid w:val="2A779AF3"/>
    <w:rsid w:val="2A78D4E5"/>
    <w:rsid w:val="2A78DBEC"/>
    <w:rsid w:val="2A7A15C3"/>
    <w:rsid w:val="2A7B3CA4"/>
    <w:rsid w:val="2A7CC53E"/>
    <w:rsid w:val="2A7D7CB3"/>
    <w:rsid w:val="2A7F9D6C"/>
    <w:rsid w:val="2A80EF6E"/>
    <w:rsid w:val="2A80FF62"/>
    <w:rsid w:val="2A833084"/>
    <w:rsid w:val="2A84F47B"/>
    <w:rsid w:val="2A85A9ED"/>
    <w:rsid w:val="2A864E9B"/>
    <w:rsid w:val="2A871AB1"/>
    <w:rsid w:val="2A87C40B"/>
    <w:rsid w:val="2A88E318"/>
    <w:rsid w:val="2A89E9AC"/>
    <w:rsid w:val="2A8BE0CF"/>
    <w:rsid w:val="2A8CD079"/>
    <w:rsid w:val="2A8EAABF"/>
    <w:rsid w:val="2A918D1E"/>
    <w:rsid w:val="2A93FB91"/>
    <w:rsid w:val="2A94F42D"/>
    <w:rsid w:val="2A972020"/>
    <w:rsid w:val="2A972634"/>
    <w:rsid w:val="2A974886"/>
    <w:rsid w:val="2A99F4BB"/>
    <w:rsid w:val="2A9FA657"/>
    <w:rsid w:val="2A9FD063"/>
    <w:rsid w:val="2AA4B98A"/>
    <w:rsid w:val="2AA63A5B"/>
    <w:rsid w:val="2AAA44AD"/>
    <w:rsid w:val="2AAD8093"/>
    <w:rsid w:val="2AAD8A0F"/>
    <w:rsid w:val="2AB098E5"/>
    <w:rsid w:val="2AB15278"/>
    <w:rsid w:val="2AB1D351"/>
    <w:rsid w:val="2AB22B27"/>
    <w:rsid w:val="2AB2C560"/>
    <w:rsid w:val="2AB39FB0"/>
    <w:rsid w:val="2AB3B09F"/>
    <w:rsid w:val="2AB66678"/>
    <w:rsid w:val="2ABA9AA5"/>
    <w:rsid w:val="2ABBE431"/>
    <w:rsid w:val="2ABE6730"/>
    <w:rsid w:val="2ABE7DC0"/>
    <w:rsid w:val="2ABED65F"/>
    <w:rsid w:val="2AC0187C"/>
    <w:rsid w:val="2AC18AAA"/>
    <w:rsid w:val="2AC1A51B"/>
    <w:rsid w:val="2AC1F1EC"/>
    <w:rsid w:val="2AC489E6"/>
    <w:rsid w:val="2AC7972E"/>
    <w:rsid w:val="2AC913C0"/>
    <w:rsid w:val="2AC95AD8"/>
    <w:rsid w:val="2ACA3B38"/>
    <w:rsid w:val="2ACACA6F"/>
    <w:rsid w:val="2ACB4B5F"/>
    <w:rsid w:val="2ACB8374"/>
    <w:rsid w:val="2ACE0EF9"/>
    <w:rsid w:val="2ACF4EA2"/>
    <w:rsid w:val="2AD04905"/>
    <w:rsid w:val="2AD47F5F"/>
    <w:rsid w:val="2ADB47EA"/>
    <w:rsid w:val="2ADB5B83"/>
    <w:rsid w:val="2ADD2D51"/>
    <w:rsid w:val="2AE51EEC"/>
    <w:rsid w:val="2AE6A760"/>
    <w:rsid w:val="2AE768B3"/>
    <w:rsid w:val="2AEAC750"/>
    <w:rsid w:val="2AEC71EA"/>
    <w:rsid w:val="2AED5B4F"/>
    <w:rsid w:val="2AEE34EB"/>
    <w:rsid w:val="2AF0A0EE"/>
    <w:rsid w:val="2AF0DE6E"/>
    <w:rsid w:val="2AF5B3AD"/>
    <w:rsid w:val="2AF5D688"/>
    <w:rsid w:val="2AF6170B"/>
    <w:rsid w:val="2AF61B17"/>
    <w:rsid w:val="2AF7697F"/>
    <w:rsid w:val="2AF79056"/>
    <w:rsid w:val="2AF84329"/>
    <w:rsid w:val="2AF86336"/>
    <w:rsid w:val="2AF92268"/>
    <w:rsid w:val="2AFB511D"/>
    <w:rsid w:val="2AFBA9B5"/>
    <w:rsid w:val="2AFDC71F"/>
    <w:rsid w:val="2AFE1BA3"/>
    <w:rsid w:val="2AFE98D9"/>
    <w:rsid w:val="2B0392C3"/>
    <w:rsid w:val="2B0427F4"/>
    <w:rsid w:val="2B052B69"/>
    <w:rsid w:val="2B053D77"/>
    <w:rsid w:val="2B06EE9A"/>
    <w:rsid w:val="2B093032"/>
    <w:rsid w:val="2B0A7B9C"/>
    <w:rsid w:val="2B0BA361"/>
    <w:rsid w:val="2B0BC1E8"/>
    <w:rsid w:val="2B0E0D2D"/>
    <w:rsid w:val="2B114A8F"/>
    <w:rsid w:val="2B129A98"/>
    <w:rsid w:val="2B130F31"/>
    <w:rsid w:val="2B162533"/>
    <w:rsid w:val="2B175EE2"/>
    <w:rsid w:val="2B176572"/>
    <w:rsid w:val="2B185252"/>
    <w:rsid w:val="2B1A40A9"/>
    <w:rsid w:val="2B2194CB"/>
    <w:rsid w:val="2B23E106"/>
    <w:rsid w:val="2B23F437"/>
    <w:rsid w:val="2B259BC0"/>
    <w:rsid w:val="2B26515F"/>
    <w:rsid w:val="2B2651F6"/>
    <w:rsid w:val="2B277887"/>
    <w:rsid w:val="2B286B3E"/>
    <w:rsid w:val="2B2A1AF1"/>
    <w:rsid w:val="2B2E7517"/>
    <w:rsid w:val="2B2E9DEC"/>
    <w:rsid w:val="2B2F8E39"/>
    <w:rsid w:val="2B2FA23C"/>
    <w:rsid w:val="2B300329"/>
    <w:rsid w:val="2B307A32"/>
    <w:rsid w:val="2B31868E"/>
    <w:rsid w:val="2B3249C3"/>
    <w:rsid w:val="2B32EFA3"/>
    <w:rsid w:val="2B341D54"/>
    <w:rsid w:val="2B343D66"/>
    <w:rsid w:val="2B354C75"/>
    <w:rsid w:val="2B37E639"/>
    <w:rsid w:val="2B3A941A"/>
    <w:rsid w:val="2B3B962E"/>
    <w:rsid w:val="2B3DD627"/>
    <w:rsid w:val="2B3DDC0F"/>
    <w:rsid w:val="2B3DDFBD"/>
    <w:rsid w:val="2B3EC5A5"/>
    <w:rsid w:val="2B3F7B79"/>
    <w:rsid w:val="2B40A144"/>
    <w:rsid w:val="2B40DD57"/>
    <w:rsid w:val="2B414C8E"/>
    <w:rsid w:val="2B4211A2"/>
    <w:rsid w:val="2B447780"/>
    <w:rsid w:val="2B45BA46"/>
    <w:rsid w:val="2B468386"/>
    <w:rsid w:val="2B469DE4"/>
    <w:rsid w:val="2B473370"/>
    <w:rsid w:val="2B477106"/>
    <w:rsid w:val="2B4887B8"/>
    <w:rsid w:val="2B4AF26D"/>
    <w:rsid w:val="2B4AF2A3"/>
    <w:rsid w:val="2B4C0D8F"/>
    <w:rsid w:val="2B4C5DD8"/>
    <w:rsid w:val="2B4DE3E7"/>
    <w:rsid w:val="2B516CEE"/>
    <w:rsid w:val="2B56F76C"/>
    <w:rsid w:val="2B5ABF5A"/>
    <w:rsid w:val="2B5CD7E3"/>
    <w:rsid w:val="2B5E667E"/>
    <w:rsid w:val="2B5ED0BA"/>
    <w:rsid w:val="2B5F3DD8"/>
    <w:rsid w:val="2B60AB51"/>
    <w:rsid w:val="2B61E4ED"/>
    <w:rsid w:val="2B656A57"/>
    <w:rsid w:val="2B660DD2"/>
    <w:rsid w:val="2B66A3A8"/>
    <w:rsid w:val="2B66B137"/>
    <w:rsid w:val="2B67D76D"/>
    <w:rsid w:val="2B6955D2"/>
    <w:rsid w:val="2B699ADF"/>
    <w:rsid w:val="2B6BDA7A"/>
    <w:rsid w:val="2B6CA4E3"/>
    <w:rsid w:val="2B6EB1AA"/>
    <w:rsid w:val="2B6F71FE"/>
    <w:rsid w:val="2B760FAE"/>
    <w:rsid w:val="2B77466C"/>
    <w:rsid w:val="2B778F25"/>
    <w:rsid w:val="2B7809A0"/>
    <w:rsid w:val="2B7856A9"/>
    <w:rsid w:val="2B79ABD6"/>
    <w:rsid w:val="2B7A142A"/>
    <w:rsid w:val="2B7B4E3D"/>
    <w:rsid w:val="2B7F279F"/>
    <w:rsid w:val="2B803553"/>
    <w:rsid w:val="2B80E5F0"/>
    <w:rsid w:val="2B8152CD"/>
    <w:rsid w:val="2B82600B"/>
    <w:rsid w:val="2B834373"/>
    <w:rsid w:val="2B882BA6"/>
    <w:rsid w:val="2B89F27B"/>
    <w:rsid w:val="2B89F555"/>
    <w:rsid w:val="2B8A3461"/>
    <w:rsid w:val="2B8B9567"/>
    <w:rsid w:val="2B8C5A8A"/>
    <w:rsid w:val="2B8E0B2E"/>
    <w:rsid w:val="2B8EBA6C"/>
    <w:rsid w:val="2B92EC03"/>
    <w:rsid w:val="2B938AB2"/>
    <w:rsid w:val="2B93F475"/>
    <w:rsid w:val="2B942A37"/>
    <w:rsid w:val="2B94C843"/>
    <w:rsid w:val="2B95C952"/>
    <w:rsid w:val="2B974556"/>
    <w:rsid w:val="2B9AC888"/>
    <w:rsid w:val="2B9C9337"/>
    <w:rsid w:val="2B9D392E"/>
    <w:rsid w:val="2B9DE88B"/>
    <w:rsid w:val="2B9E502A"/>
    <w:rsid w:val="2B9E61AC"/>
    <w:rsid w:val="2BA12326"/>
    <w:rsid w:val="2BA1748D"/>
    <w:rsid w:val="2BA1F154"/>
    <w:rsid w:val="2BA336FF"/>
    <w:rsid w:val="2BA341F3"/>
    <w:rsid w:val="2BA41C27"/>
    <w:rsid w:val="2BA56705"/>
    <w:rsid w:val="2BA6F1B7"/>
    <w:rsid w:val="2BA71E31"/>
    <w:rsid w:val="2BA761E9"/>
    <w:rsid w:val="2BA8BE7E"/>
    <w:rsid w:val="2BABA029"/>
    <w:rsid w:val="2BAD0133"/>
    <w:rsid w:val="2BADFCC3"/>
    <w:rsid w:val="2BAE7AFC"/>
    <w:rsid w:val="2BB10836"/>
    <w:rsid w:val="2BB5CF87"/>
    <w:rsid w:val="2BB60742"/>
    <w:rsid w:val="2BB7ED61"/>
    <w:rsid w:val="2BB937A2"/>
    <w:rsid w:val="2BB93BEF"/>
    <w:rsid w:val="2BB95E01"/>
    <w:rsid w:val="2BBB8B2A"/>
    <w:rsid w:val="2BBBCF86"/>
    <w:rsid w:val="2BBBD51D"/>
    <w:rsid w:val="2BBD7150"/>
    <w:rsid w:val="2BBF785F"/>
    <w:rsid w:val="2BBF8FA9"/>
    <w:rsid w:val="2BC07FC0"/>
    <w:rsid w:val="2BC21A6D"/>
    <w:rsid w:val="2BC3121D"/>
    <w:rsid w:val="2BC5A648"/>
    <w:rsid w:val="2BC5EB53"/>
    <w:rsid w:val="2BC6F79D"/>
    <w:rsid w:val="2BC7B253"/>
    <w:rsid w:val="2BC80DC9"/>
    <w:rsid w:val="2BC896EE"/>
    <w:rsid w:val="2BCAFCE5"/>
    <w:rsid w:val="2BCD248A"/>
    <w:rsid w:val="2BCDC649"/>
    <w:rsid w:val="2BCF0BCA"/>
    <w:rsid w:val="2BCF1F0F"/>
    <w:rsid w:val="2BCF96B8"/>
    <w:rsid w:val="2BD1CB4C"/>
    <w:rsid w:val="2BD1CFE1"/>
    <w:rsid w:val="2BD67DC9"/>
    <w:rsid w:val="2BD8AA92"/>
    <w:rsid w:val="2BD9131E"/>
    <w:rsid w:val="2BDA6850"/>
    <w:rsid w:val="2BDAC42E"/>
    <w:rsid w:val="2BDB7B5A"/>
    <w:rsid w:val="2BDEB5D8"/>
    <w:rsid w:val="2BDF1ADC"/>
    <w:rsid w:val="2BDFAC8D"/>
    <w:rsid w:val="2BE0636E"/>
    <w:rsid w:val="2BE6BF5D"/>
    <w:rsid w:val="2BE999C1"/>
    <w:rsid w:val="2BE9E2AF"/>
    <w:rsid w:val="2BEA3D83"/>
    <w:rsid w:val="2BEBD9F9"/>
    <w:rsid w:val="2BEC8CBD"/>
    <w:rsid w:val="2BEC9577"/>
    <w:rsid w:val="2BED1360"/>
    <w:rsid w:val="2BED6C43"/>
    <w:rsid w:val="2BEDCA44"/>
    <w:rsid w:val="2BEDFF19"/>
    <w:rsid w:val="2BEE9366"/>
    <w:rsid w:val="2BEF96D3"/>
    <w:rsid w:val="2BF01619"/>
    <w:rsid w:val="2BF03EC8"/>
    <w:rsid w:val="2BF0BEF8"/>
    <w:rsid w:val="2BF12FA6"/>
    <w:rsid w:val="2BF15848"/>
    <w:rsid w:val="2BF2C7A4"/>
    <w:rsid w:val="2BF3B8D6"/>
    <w:rsid w:val="2BF417FD"/>
    <w:rsid w:val="2BF565CA"/>
    <w:rsid w:val="2BF6D448"/>
    <w:rsid w:val="2BF74AEF"/>
    <w:rsid w:val="2BF76B6F"/>
    <w:rsid w:val="2BF9D0F9"/>
    <w:rsid w:val="2BFA4919"/>
    <w:rsid w:val="2BFADDA7"/>
    <w:rsid w:val="2BFD7F54"/>
    <w:rsid w:val="2BFF809A"/>
    <w:rsid w:val="2BFFA8E5"/>
    <w:rsid w:val="2BFFFF22"/>
    <w:rsid w:val="2C00DD33"/>
    <w:rsid w:val="2C00F7F7"/>
    <w:rsid w:val="2C01C4AD"/>
    <w:rsid w:val="2C038035"/>
    <w:rsid w:val="2C053127"/>
    <w:rsid w:val="2C0645F9"/>
    <w:rsid w:val="2C069B5F"/>
    <w:rsid w:val="2C0763AA"/>
    <w:rsid w:val="2C09DE3F"/>
    <w:rsid w:val="2C0AEF7C"/>
    <w:rsid w:val="2C0B88CE"/>
    <w:rsid w:val="2C0C2F40"/>
    <w:rsid w:val="2C0DEECD"/>
    <w:rsid w:val="2C0FAC30"/>
    <w:rsid w:val="2C12CB1B"/>
    <w:rsid w:val="2C14BA3E"/>
    <w:rsid w:val="2C1617EA"/>
    <w:rsid w:val="2C19D32F"/>
    <w:rsid w:val="2C246E4B"/>
    <w:rsid w:val="2C267DA5"/>
    <w:rsid w:val="2C297528"/>
    <w:rsid w:val="2C2B198A"/>
    <w:rsid w:val="2C2B7013"/>
    <w:rsid w:val="2C2EBD91"/>
    <w:rsid w:val="2C2FEE0B"/>
    <w:rsid w:val="2C314614"/>
    <w:rsid w:val="2C31C631"/>
    <w:rsid w:val="2C3235BD"/>
    <w:rsid w:val="2C35275A"/>
    <w:rsid w:val="2C35316F"/>
    <w:rsid w:val="2C354E02"/>
    <w:rsid w:val="2C37A444"/>
    <w:rsid w:val="2C385F91"/>
    <w:rsid w:val="2C39580F"/>
    <w:rsid w:val="2C39A018"/>
    <w:rsid w:val="2C3A7D0F"/>
    <w:rsid w:val="2C3B2C56"/>
    <w:rsid w:val="2C3C5EA7"/>
    <w:rsid w:val="2C3D958B"/>
    <w:rsid w:val="2C40DA61"/>
    <w:rsid w:val="2C424C9E"/>
    <w:rsid w:val="2C42748B"/>
    <w:rsid w:val="2C4413D0"/>
    <w:rsid w:val="2C44321F"/>
    <w:rsid w:val="2C452907"/>
    <w:rsid w:val="2C45F934"/>
    <w:rsid w:val="2C460F61"/>
    <w:rsid w:val="2C471B54"/>
    <w:rsid w:val="2C497ED0"/>
    <w:rsid w:val="2C4A39D8"/>
    <w:rsid w:val="2C4A6A34"/>
    <w:rsid w:val="2C4A72ED"/>
    <w:rsid w:val="2C4BCB01"/>
    <w:rsid w:val="2C4EEBD6"/>
    <w:rsid w:val="2C573C8D"/>
    <w:rsid w:val="2C577267"/>
    <w:rsid w:val="2C5A6CAE"/>
    <w:rsid w:val="2C5AC908"/>
    <w:rsid w:val="2C5B244C"/>
    <w:rsid w:val="2C5BA751"/>
    <w:rsid w:val="2C5E1255"/>
    <w:rsid w:val="2C662D76"/>
    <w:rsid w:val="2C6659FE"/>
    <w:rsid w:val="2C66A8D8"/>
    <w:rsid w:val="2C66E0DA"/>
    <w:rsid w:val="2C69B257"/>
    <w:rsid w:val="2C6AD491"/>
    <w:rsid w:val="2C6BE83F"/>
    <w:rsid w:val="2C6C2565"/>
    <w:rsid w:val="2C6C6B74"/>
    <w:rsid w:val="2C6CCB64"/>
    <w:rsid w:val="2C6D93A6"/>
    <w:rsid w:val="2C6FACCA"/>
    <w:rsid w:val="2C707181"/>
    <w:rsid w:val="2C74552B"/>
    <w:rsid w:val="2C765032"/>
    <w:rsid w:val="2C76ABF4"/>
    <w:rsid w:val="2C77FABA"/>
    <w:rsid w:val="2C782803"/>
    <w:rsid w:val="2C790A81"/>
    <w:rsid w:val="2C795B31"/>
    <w:rsid w:val="2C7D137E"/>
    <w:rsid w:val="2C7E1D86"/>
    <w:rsid w:val="2C7E2B24"/>
    <w:rsid w:val="2C7E475D"/>
    <w:rsid w:val="2C7EA470"/>
    <w:rsid w:val="2C827176"/>
    <w:rsid w:val="2C84D6EB"/>
    <w:rsid w:val="2C84F952"/>
    <w:rsid w:val="2C861152"/>
    <w:rsid w:val="2C88E3E4"/>
    <w:rsid w:val="2C8B2889"/>
    <w:rsid w:val="2C8C6E01"/>
    <w:rsid w:val="2C91E842"/>
    <w:rsid w:val="2C930D0F"/>
    <w:rsid w:val="2C9383E4"/>
    <w:rsid w:val="2C93B3C0"/>
    <w:rsid w:val="2C94A234"/>
    <w:rsid w:val="2C94E870"/>
    <w:rsid w:val="2C953CD8"/>
    <w:rsid w:val="2C95C8CA"/>
    <w:rsid w:val="2C964FFC"/>
    <w:rsid w:val="2C97069E"/>
    <w:rsid w:val="2C9B148D"/>
    <w:rsid w:val="2C9B5A56"/>
    <w:rsid w:val="2C9C5C33"/>
    <w:rsid w:val="2C9CF8A3"/>
    <w:rsid w:val="2C9DD274"/>
    <w:rsid w:val="2CA2A4E4"/>
    <w:rsid w:val="2CA715DA"/>
    <w:rsid w:val="2CA7782B"/>
    <w:rsid w:val="2CA881B8"/>
    <w:rsid w:val="2CA90D06"/>
    <w:rsid w:val="2CAD7B40"/>
    <w:rsid w:val="2CADB651"/>
    <w:rsid w:val="2CAE2206"/>
    <w:rsid w:val="2CAE4F1A"/>
    <w:rsid w:val="2CAF17CA"/>
    <w:rsid w:val="2CAF3C55"/>
    <w:rsid w:val="2CAF6D0F"/>
    <w:rsid w:val="2CAF8999"/>
    <w:rsid w:val="2CB454D1"/>
    <w:rsid w:val="2CB67033"/>
    <w:rsid w:val="2CB7DEC3"/>
    <w:rsid w:val="2CB9C280"/>
    <w:rsid w:val="2CBAC9A3"/>
    <w:rsid w:val="2CBBBF6E"/>
    <w:rsid w:val="2CBBD2CD"/>
    <w:rsid w:val="2CBE04E9"/>
    <w:rsid w:val="2CBE05E1"/>
    <w:rsid w:val="2CBE7DF3"/>
    <w:rsid w:val="2CC51DA8"/>
    <w:rsid w:val="2CC69BEA"/>
    <w:rsid w:val="2CC7D7EC"/>
    <w:rsid w:val="2CC854AC"/>
    <w:rsid w:val="2CCB77E0"/>
    <w:rsid w:val="2CCBBB3D"/>
    <w:rsid w:val="2CCE21DD"/>
    <w:rsid w:val="2CCEC2BC"/>
    <w:rsid w:val="2CCEFB2C"/>
    <w:rsid w:val="2CCF53CE"/>
    <w:rsid w:val="2CD17A69"/>
    <w:rsid w:val="2CD1C176"/>
    <w:rsid w:val="2CD36A5E"/>
    <w:rsid w:val="2CD45A13"/>
    <w:rsid w:val="2CD46BD4"/>
    <w:rsid w:val="2CD707B8"/>
    <w:rsid w:val="2CD7AC3C"/>
    <w:rsid w:val="2CD9135D"/>
    <w:rsid w:val="2CD97915"/>
    <w:rsid w:val="2CD9A7EC"/>
    <w:rsid w:val="2CDB6B9E"/>
    <w:rsid w:val="2CDC357C"/>
    <w:rsid w:val="2CDD5D7B"/>
    <w:rsid w:val="2CDE7EE5"/>
    <w:rsid w:val="2CE1081D"/>
    <w:rsid w:val="2CE1A047"/>
    <w:rsid w:val="2CE1FE12"/>
    <w:rsid w:val="2CE2D3C3"/>
    <w:rsid w:val="2CE56017"/>
    <w:rsid w:val="2CEA5065"/>
    <w:rsid w:val="2CEDBDA9"/>
    <w:rsid w:val="2CEE82BA"/>
    <w:rsid w:val="2CEFE453"/>
    <w:rsid w:val="2CF09EC8"/>
    <w:rsid w:val="2CF1FC24"/>
    <w:rsid w:val="2CF21355"/>
    <w:rsid w:val="2CF213E8"/>
    <w:rsid w:val="2CF3254E"/>
    <w:rsid w:val="2CF33520"/>
    <w:rsid w:val="2CF450EF"/>
    <w:rsid w:val="2CF6FCF6"/>
    <w:rsid w:val="2CF9593C"/>
    <w:rsid w:val="2CF9FAAD"/>
    <w:rsid w:val="2CFCF924"/>
    <w:rsid w:val="2CFDC659"/>
    <w:rsid w:val="2D009C33"/>
    <w:rsid w:val="2D03177D"/>
    <w:rsid w:val="2D0C1B3D"/>
    <w:rsid w:val="2D0D9C9B"/>
    <w:rsid w:val="2D0E1A75"/>
    <w:rsid w:val="2D0F06B3"/>
    <w:rsid w:val="2D1096BA"/>
    <w:rsid w:val="2D10DC35"/>
    <w:rsid w:val="2D13A06A"/>
    <w:rsid w:val="2D13B492"/>
    <w:rsid w:val="2D150626"/>
    <w:rsid w:val="2D1663CD"/>
    <w:rsid w:val="2D16B2F9"/>
    <w:rsid w:val="2D181C76"/>
    <w:rsid w:val="2D184844"/>
    <w:rsid w:val="2D1D7E03"/>
    <w:rsid w:val="2D2019CD"/>
    <w:rsid w:val="2D207E11"/>
    <w:rsid w:val="2D20B9BB"/>
    <w:rsid w:val="2D26093E"/>
    <w:rsid w:val="2D266571"/>
    <w:rsid w:val="2D273F59"/>
    <w:rsid w:val="2D280AF0"/>
    <w:rsid w:val="2D294195"/>
    <w:rsid w:val="2D298677"/>
    <w:rsid w:val="2D29B9C5"/>
    <w:rsid w:val="2D2A9F6A"/>
    <w:rsid w:val="2D2AFB86"/>
    <w:rsid w:val="2D2E410E"/>
    <w:rsid w:val="2D2E450B"/>
    <w:rsid w:val="2D2F56F6"/>
    <w:rsid w:val="2D2FC11D"/>
    <w:rsid w:val="2D309006"/>
    <w:rsid w:val="2D32DB89"/>
    <w:rsid w:val="2D33D1AE"/>
    <w:rsid w:val="2D340B9F"/>
    <w:rsid w:val="2D3A0A7A"/>
    <w:rsid w:val="2D3BF8B8"/>
    <w:rsid w:val="2D3BFC5A"/>
    <w:rsid w:val="2D3D831D"/>
    <w:rsid w:val="2D3E197B"/>
    <w:rsid w:val="2D3E42B6"/>
    <w:rsid w:val="2D3F1254"/>
    <w:rsid w:val="2D3FBC01"/>
    <w:rsid w:val="2D402D4C"/>
    <w:rsid w:val="2D40336C"/>
    <w:rsid w:val="2D40671E"/>
    <w:rsid w:val="2D472371"/>
    <w:rsid w:val="2D486C9D"/>
    <w:rsid w:val="2D49155B"/>
    <w:rsid w:val="2D49C0C1"/>
    <w:rsid w:val="2D49E81E"/>
    <w:rsid w:val="2D4B4AD8"/>
    <w:rsid w:val="2D4C4853"/>
    <w:rsid w:val="2D4D96D3"/>
    <w:rsid w:val="2D4F364A"/>
    <w:rsid w:val="2D4FE8F2"/>
    <w:rsid w:val="2D50FFC5"/>
    <w:rsid w:val="2D515D26"/>
    <w:rsid w:val="2D5209B6"/>
    <w:rsid w:val="2D529E8B"/>
    <w:rsid w:val="2D53165C"/>
    <w:rsid w:val="2D55B9DD"/>
    <w:rsid w:val="2D569443"/>
    <w:rsid w:val="2D574B06"/>
    <w:rsid w:val="2D58FE3D"/>
    <w:rsid w:val="2D5A2C4F"/>
    <w:rsid w:val="2D5EC4AD"/>
    <w:rsid w:val="2D5F1153"/>
    <w:rsid w:val="2D5F666A"/>
    <w:rsid w:val="2D625EDB"/>
    <w:rsid w:val="2D6357CB"/>
    <w:rsid w:val="2D6363DD"/>
    <w:rsid w:val="2D63CE14"/>
    <w:rsid w:val="2D64675E"/>
    <w:rsid w:val="2D6505D0"/>
    <w:rsid w:val="2D6697FD"/>
    <w:rsid w:val="2D671B33"/>
    <w:rsid w:val="2D67E14C"/>
    <w:rsid w:val="2D6B957F"/>
    <w:rsid w:val="2D6C769C"/>
    <w:rsid w:val="2D6CA48D"/>
    <w:rsid w:val="2D6CC632"/>
    <w:rsid w:val="2D6E45E6"/>
    <w:rsid w:val="2D6E9498"/>
    <w:rsid w:val="2D6F5323"/>
    <w:rsid w:val="2D6FF5A6"/>
    <w:rsid w:val="2D7039A0"/>
    <w:rsid w:val="2D741676"/>
    <w:rsid w:val="2D786E56"/>
    <w:rsid w:val="2D7D3B41"/>
    <w:rsid w:val="2D7F200A"/>
    <w:rsid w:val="2D7F2ABE"/>
    <w:rsid w:val="2D7F7800"/>
    <w:rsid w:val="2D839A39"/>
    <w:rsid w:val="2D86D9E5"/>
    <w:rsid w:val="2D893E4B"/>
    <w:rsid w:val="2D8975E2"/>
    <w:rsid w:val="2D89C785"/>
    <w:rsid w:val="2D8C546B"/>
    <w:rsid w:val="2D8D6E19"/>
    <w:rsid w:val="2D8DE6C5"/>
    <w:rsid w:val="2D907B1D"/>
    <w:rsid w:val="2D9255A0"/>
    <w:rsid w:val="2D92748F"/>
    <w:rsid w:val="2D933542"/>
    <w:rsid w:val="2D9350E3"/>
    <w:rsid w:val="2D936F75"/>
    <w:rsid w:val="2D96CA35"/>
    <w:rsid w:val="2D96EE0B"/>
    <w:rsid w:val="2D974870"/>
    <w:rsid w:val="2D97DE2D"/>
    <w:rsid w:val="2D982A48"/>
    <w:rsid w:val="2D98E760"/>
    <w:rsid w:val="2D9BA546"/>
    <w:rsid w:val="2D9D7D7B"/>
    <w:rsid w:val="2D9E3145"/>
    <w:rsid w:val="2DA17791"/>
    <w:rsid w:val="2DA252A8"/>
    <w:rsid w:val="2DA59C6F"/>
    <w:rsid w:val="2DAB65C3"/>
    <w:rsid w:val="2DAB971E"/>
    <w:rsid w:val="2DAC1200"/>
    <w:rsid w:val="2DB1A2D4"/>
    <w:rsid w:val="2DB1D29C"/>
    <w:rsid w:val="2DB35340"/>
    <w:rsid w:val="2DB3EFBE"/>
    <w:rsid w:val="2DB7C220"/>
    <w:rsid w:val="2DBAB678"/>
    <w:rsid w:val="2DBC5122"/>
    <w:rsid w:val="2DBE3663"/>
    <w:rsid w:val="2DBEC956"/>
    <w:rsid w:val="2DC02BAC"/>
    <w:rsid w:val="2DC38BCE"/>
    <w:rsid w:val="2DC413CA"/>
    <w:rsid w:val="2DC4F84D"/>
    <w:rsid w:val="2DC51418"/>
    <w:rsid w:val="2DC67BB3"/>
    <w:rsid w:val="2DC9F4D2"/>
    <w:rsid w:val="2DCC3AE6"/>
    <w:rsid w:val="2DCE2619"/>
    <w:rsid w:val="2DCE8F0C"/>
    <w:rsid w:val="2DCFDB12"/>
    <w:rsid w:val="2DD18003"/>
    <w:rsid w:val="2DD1881E"/>
    <w:rsid w:val="2DD3C5B4"/>
    <w:rsid w:val="2DD6111B"/>
    <w:rsid w:val="2DD7D237"/>
    <w:rsid w:val="2DDAA450"/>
    <w:rsid w:val="2DDB32AF"/>
    <w:rsid w:val="2DDD3CF4"/>
    <w:rsid w:val="2DDDB360"/>
    <w:rsid w:val="2DDE8397"/>
    <w:rsid w:val="2DE061C9"/>
    <w:rsid w:val="2DE4EE95"/>
    <w:rsid w:val="2DE5714A"/>
    <w:rsid w:val="2DE5EFD1"/>
    <w:rsid w:val="2DE6DB3B"/>
    <w:rsid w:val="2DE7C922"/>
    <w:rsid w:val="2DE9DF10"/>
    <w:rsid w:val="2DEAAECD"/>
    <w:rsid w:val="2DEAD079"/>
    <w:rsid w:val="2DEAD99B"/>
    <w:rsid w:val="2DEC3CDA"/>
    <w:rsid w:val="2DEED243"/>
    <w:rsid w:val="2DEF7811"/>
    <w:rsid w:val="2DF078C3"/>
    <w:rsid w:val="2DF0F3A9"/>
    <w:rsid w:val="2DF120AF"/>
    <w:rsid w:val="2DF1E951"/>
    <w:rsid w:val="2DF45A9C"/>
    <w:rsid w:val="2DF703B6"/>
    <w:rsid w:val="2DF750DF"/>
    <w:rsid w:val="2DFBF1BE"/>
    <w:rsid w:val="2DFD8325"/>
    <w:rsid w:val="2DFF7CE1"/>
    <w:rsid w:val="2DFFC12F"/>
    <w:rsid w:val="2E0077FB"/>
    <w:rsid w:val="2E0081BF"/>
    <w:rsid w:val="2E00BF75"/>
    <w:rsid w:val="2E00C054"/>
    <w:rsid w:val="2E04E076"/>
    <w:rsid w:val="2E061D22"/>
    <w:rsid w:val="2E0883D9"/>
    <w:rsid w:val="2E08C289"/>
    <w:rsid w:val="2E0A2751"/>
    <w:rsid w:val="2E0B171E"/>
    <w:rsid w:val="2E0B8DC7"/>
    <w:rsid w:val="2E0D1D8D"/>
    <w:rsid w:val="2E11E1F1"/>
    <w:rsid w:val="2E12FF1D"/>
    <w:rsid w:val="2E130568"/>
    <w:rsid w:val="2E168166"/>
    <w:rsid w:val="2E17F5C7"/>
    <w:rsid w:val="2E196EB5"/>
    <w:rsid w:val="2E1A4E97"/>
    <w:rsid w:val="2E1AC6CC"/>
    <w:rsid w:val="2E1BEEBA"/>
    <w:rsid w:val="2E1C02F6"/>
    <w:rsid w:val="2E1C6939"/>
    <w:rsid w:val="2E1C7C67"/>
    <w:rsid w:val="2E1EBEDA"/>
    <w:rsid w:val="2E1FEBC5"/>
    <w:rsid w:val="2E205B4A"/>
    <w:rsid w:val="2E209BC6"/>
    <w:rsid w:val="2E23A196"/>
    <w:rsid w:val="2E2449F4"/>
    <w:rsid w:val="2E245DB1"/>
    <w:rsid w:val="2E27A60B"/>
    <w:rsid w:val="2E288833"/>
    <w:rsid w:val="2E289112"/>
    <w:rsid w:val="2E2B35DA"/>
    <w:rsid w:val="2E2B407F"/>
    <w:rsid w:val="2E2C6B98"/>
    <w:rsid w:val="2E2F78D8"/>
    <w:rsid w:val="2E2F8E68"/>
    <w:rsid w:val="2E307485"/>
    <w:rsid w:val="2E309F15"/>
    <w:rsid w:val="2E31485A"/>
    <w:rsid w:val="2E333C8C"/>
    <w:rsid w:val="2E35E9B0"/>
    <w:rsid w:val="2E39A965"/>
    <w:rsid w:val="2E3CB500"/>
    <w:rsid w:val="2E3E26AC"/>
    <w:rsid w:val="2E3EADF5"/>
    <w:rsid w:val="2E3F084C"/>
    <w:rsid w:val="2E3FCCA9"/>
    <w:rsid w:val="2E40046D"/>
    <w:rsid w:val="2E404B54"/>
    <w:rsid w:val="2E408ABE"/>
    <w:rsid w:val="2E40E8E3"/>
    <w:rsid w:val="2E42F210"/>
    <w:rsid w:val="2E44C54E"/>
    <w:rsid w:val="2E48A561"/>
    <w:rsid w:val="2E493894"/>
    <w:rsid w:val="2E49759A"/>
    <w:rsid w:val="2E4C1A9F"/>
    <w:rsid w:val="2E4E45EC"/>
    <w:rsid w:val="2E4F3C99"/>
    <w:rsid w:val="2E4F7269"/>
    <w:rsid w:val="2E4FC0C3"/>
    <w:rsid w:val="2E525010"/>
    <w:rsid w:val="2E527944"/>
    <w:rsid w:val="2E5347C3"/>
    <w:rsid w:val="2E54649B"/>
    <w:rsid w:val="2E56F97E"/>
    <w:rsid w:val="2E5715B4"/>
    <w:rsid w:val="2E581EF7"/>
    <w:rsid w:val="2E58D726"/>
    <w:rsid w:val="2E59DA0D"/>
    <w:rsid w:val="2E5B16F4"/>
    <w:rsid w:val="2E5E1200"/>
    <w:rsid w:val="2E5F67EA"/>
    <w:rsid w:val="2E6046FE"/>
    <w:rsid w:val="2E61F277"/>
    <w:rsid w:val="2E64DC09"/>
    <w:rsid w:val="2E66856D"/>
    <w:rsid w:val="2E676377"/>
    <w:rsid w:val="2E6EFE98"/>
    <w:rsid w:val="2E7218FE"/>
    <w:rsid w:val="2E74EDB6"/>
    <w:rsid w:val="2E75279C"/>
    <w:rsid w:val="2E757FE6"/>
    <w:rsid w:val="2E772DE7"/>
    <w:rsid w:val="2E784D96"/>
    <w:rsid w:val="2E7AD40E"/>
    <w:rsid w:val="2E7CDA11"/>
    <w:rsid w:val="2E7CF917"/>
    <w:rsid w:val="2E7D4AAE"/>
    <w:rsid w:val="2E80A97C"/>
    <w:rsid w:val="2E825DC0"/>
    <w:rsid w:val="2E827C95"/>
    <w:rsid w:val="2E82E6A6"/>
    <w:rsid w:val="2E835473"/>
    <w:rsid w:val="2E85454E"/>
    <w:rsid w:val="2E87B8D3"/>
    <w:rsid w:val="2E880B0F"/>
    <w:rsid w:val="2E892F78"/>
    <w:rsid w:val="2E898A19"/>
    <w:rsid w:val="2E8AABE6"/>
    <w:rsid w:val="2E8B58A2"/>
    <w:rsid w:val="2E8BE1BF"/>
    <w:rsid w:val="2E8C70C2"/>
    <w:rsid w:val="2E8CABC1"/>
    <w:rsid w:val="2E8DA37F"/>
    <w:rsid w:val="2E8F6983"/>
    <w:rsid w:val="2E905FBE"/>
    <w:rsid w:val="2E9107BA"/>
    <w:rsid w:val="2E9122AF"/>
    <w:rsid w:val="2E926071"/>
    <w:rsid w:val="2E9498EE"/>
    <w:rsid w:val="2E9BDA37"/>
    <w:rsid w:val="2E9CBB1E"/>
    <w:rsid w:val="2E9D027F"/>
    <w:rsid w:val="2EA08DA7"/>
    <w:rsid w:val="2EA3DA12"/>
    <w:rsid w:val="2EA59F45"/>
    <w:rsid w:val="2EA7E806"/>
    <w:rsid w:val="2EA96D6D"/>
    <w:rsid w:val="2EA97FDE"/>
    <w:rsid w:val="2EAA960F"/>
    <w:rsid w:val="2EAB4415"/>
    <w:rsid w:val="2EABD47E"/>
    <w:rsid w:val="2EAE4BEB"/>
    <w:rsid w:val="2EAF09CD"/>
    <w:rsid w:val="2EB119F3"/>
    <w:rsid w:val="2EB27FAF"/>
    <w:rsid w:val="2EB35D09"/>
    <w:rsid w:val="2EB3870E"/>
    <w:rsid w:val="2EB45AEC"/>
    <w:rsid w:val="2EB48FB6"/>
    <w:rsid w:val="2EB5B77A"/>
    <w:rsid w:val="2EB87926"/>
    <w:rsid w:val="2EBBE92C"/>
    <w:rsid w:val="2EBF9620"/>
    <w:rsid w:val="2EC01BB2"/>
    <w:rsid w:val="2EC24783"/>
    <w:rsid w:val="2EC3526D"/>
    <w:rsid w:val="2EC3F055"/>
    <w:rsid w:val="2EC48026"/>
    <w:rsid w:val="2EC48A2C"/>
    <w:rsid w:val="2EC4B79D"/>
    <w:rsid w:val="2EC5F311"/>
    <w:rsid w:val="2EC780D7"/>
    <w:rsid w:val="2EC992A7"/>
    <w:rsid w:val="2ECCEC84"/>
    <w:rsid w:val="2ECE472B"/>
    <w:rsid w:val="2ECEC207"/>
    <w:rsid w:val="2ECED116"/>
    <w:rsid w:val="2ECFA986"/>
    <w:rsid w:val="2ED23FED"/>
    <w:rsid w:val="2ED86B58"/>
    <w:rsid w:val="2ED91615"/>
    <w:rsid w:val="2EDB3849"/>
    <w:rsid w:val="2EDBFF8E"/>
    <w:rsid w:val="2EDCD9B7"/>
    <w:rsid w:val="2EDF354E"/>
    <w:rsid w:val="2EE102A0"/>
    <w:rsid w:val="2EE167C6"/>
    <w:rsid w:val="2EE1AB47"/>
    <w:rsid w:val="2EE34748"/>
    <w:rsid w:val="2EE5C069"/>
    <w:rsid w:val="2EE61F3A"/>
    <w:rsid w:val="2EE6D62A"/>
    <w:rsid w:val="2EE6F018"/>
    <w:rsid w:val="2EEA6A28"/>
    <w:rsid w:val="2EEB9447"/>
    <w:rsid w:val="2EEC6C37"/>
    <w:rsid w:val="2EED1171"/>
    <w:rsid w:val="2EED2AE6"/>
    <w:rsid w:val="2EEDE312"/>
    <w:rsid w:val="2EEDFD41"/>
    <w:rsid w:val="2EEE6D2B"/>
    <w:rsid w:val="2EEEA925"/>
    <w:rsid w:val="2EF29A99"/>
    <w:rsid w:val="2EF37407"/>
    <w:rsid w:val="2EF58CB1"/>
    <w:rsid w:val="2EF76D05"/>
    <w:rsid w:val="2EF92660"/>
    <w:rsid w:val="2EFC29EE"/>
    <w:rsid w:val="2EFC5FB2"/>
    <w:rsid w:val="2EFD6FE2"/>
    <w:rsid w:val="2EFE5826"/>
    <w:rsid w:val="2F005324"/>
    <w:rsid w:val="2F010E10"/>
    <w:rsid w:val="2F02BE97"/>
    <w:rsid w:val="2F02D53A"/>
    <w:rsid w:val="2F04753B"/>
    <w:rsid w:val="2F04C6C8"/>
    <w:rsid w:val="2F0522B3"/>
    <w:rsid w:val="2F064A3B"/>
    <w:rsid w:val="2F0C0100"/>
    <w:rsid w:val="2F0CA0A5"/>
    <w:rsid w:val="2F0DE6CC"/>
    <w:rsid w:val="2F0E1F5A"/>
    <w:rsid w:val="2F0F4C9A"/>
    <w:rsid w:val="2F0F7270"/>
    <w:rsid w:val="2F0FF25A"/>
    <w:rsid w:val="2F10E2B7"/>
    <w:rsid w:val="2F119E3B"/>
    <w:rsid w:val="2F15274A"/>
    <w:rsid w:val="2F173B51"/>
    <w:rsid w:val="2F19DE9A"/>
    <w:rsid w:val="2F1B6289"/>
    <w:rsid w:val="2F1BADD2"/>
    <w:rsid w:val="2F1DEC39"/>
    <w:rsid w:val="2F22DFC7"/>
    <w:rsid w:val="2F232E3E"/>
    <w:rsid w:val="2F257D6D"/>
    <w:rsid w:val="2F25EE04"/>
    <w:rsid w:val="2F2648A4"/>
    <w:rsid w:val="2F27F660"/>
    <w:rsid w:val="2F2A33A8"/>
    <w:rsid w:val="2F2B1C1E"/>
    <w:rsid w:val="2F2F990B"/>
    <w:rsid w:val="2F2FA756"/>
    <w:rsid w:val="2F2FE308"/>
    <w:rsid w:val="2F303B6C"/>
    <w:rsid w:val="2F31621E"/>
    <w:rsid w:val="2F37AE2A"/>
    <w:rsid w:val="2F382086"/>
    <w:rsid w:val="2F38603B"/>
    <w:rsid w:val="2F398581"/>
    <w:rsid w:val="2F398B64"/>
    <w:rsid w:val="2F3BC2C1"/>
    <w:rsid w:val="2F3FDF60"/>
    <w:rsid w:val="2F401980"/>
    <w:rsid w:val="2F4149E5"/>
    <w:rsid w:val="2F44565B"/>
    <w:rsid w:val="2F4560CB"/>
    <w:rsid w:val="2F45A70B"/>
    <w:rsid w:val="2F4734AE"/>
    <w:rsid w:val="2F4909CC"/>
    <w:rsid w:val="2F490D1C"/>
    <w:rsid w:val="2F4A00BA"/>
    <w:rsid w:val="2F4A15AC"/>
    <w:rsid w:val="2F4D6BD3"/>
    <w:rsid w:val="2F4FC58B"/>
    <w:rsid w:val="2F4FE36D"/>
    <w:rsid w:val="2F512E32"/>
    <w:rsid w:val="2F517EAF"/>
    <w:rsid w:val="2F52067C"/>
    <w:rsid w:val="2F523688"/>
    <w:rsid w:val="2F52B0DF"/>
    <w:rsid w:val="2F557EF8"/>
    <w:rsid w:val="2F55869B"/>
    <w:rsid w:val="2F5807E1"/>
    <w:rsid w:val="2F588B49"/>
    <w:rsid w:val="2F58A8AB"/>
    <w:rsid w:val="2F5B8A90"/>
    <w:rsid w:val="2F5D1A11"/>
    <w:rsid w:val="2F5D7C1E"/>
    <w:rsid w:val="2F5E0C17"/>
    <w:rsid w:val="2F600CC0"/>
    <w:rsid w:val="2F6213AD"/>
    <w:rsid w:val="2F627C34"/>
    <w:rsid w:val="2F62BD7E"/>
    <w:rsid w:val="2F62C57B"/>
    <w:rsid w:val="2F636B34"/>
    <w:rsid w:val="2F6760B6"/>
    <w:rsid w:val="2F6803FC"/>
    <w:rsid w:val="2F682662"/>
    <w:rsid w:val="2F683391"/>
    <w:rsid w:val="2F69F2A2"/>
    <w:rsid w:val="2F6B5BFC"/>
    <w:rsid w:val="2F6BAEA0"/>
    <w:rsid w:val="2F6C3920"/>
    <w:rsid w:val="2F7152A5"/>
    <w:rsid w:val="2F731F8E"/>
    <w:rsid w:val="2F781BBD"/>
    <w:rsid w:val="2F78949F"/>
    <w:rsid w:val="2F78EBDF"/>
    <w:rsid w:val="2F7955E6"/>
    <w:rsid w:val="2F7A8F5D"/>
    <w:rsid w:val="2F7C790D"/>
    <w:rsid w:val="2F7C946C"/>
    <w:rsid w:val="2F7D0F5D"/>
    <w:rsid w:val="2F7DBBD1"/>
    <w:rsid w:val="2F82C9BB"/>
    <w:rsid w:val="2F82EF46"/>
    <w:rsid w:val="2F85EB8C"/>
    <w:rsid w:val="2F883431"/>
    <w:rsid w:val="2F8890CB"/>
    <w:rsid w:val="2F88CF0C"/>
    <w:rsid w:val="2F8B8DE5"/>
    <w:rsid w:val="2F8C78CD"/>
    <w:rsid w:val="2F8C8927"/>
    <w:rsid w:val="2F92A1D4"/>
    <w:rsid w:val="2F945CA8"/>
    <w:rsid w:val="2F95D4FF"/>
    <w:rsid w:val="2F95FAEC"/>
    <w:rsid w:val="2F9684EB"/>
    <w:rsid w:val="2F96FAD0"/>
    <w:rsid w:val="2F97688E"/>
    <w:rsid w:val="2F9780F8"/>
    <w:rsid w:val="2F999EDC"/>
    <w:rsid w:val="2F99CDBC"/>
    <w:rsid w:val="2F9BD88A"/>
    <w:rsid w:val="2F9D9170"/>
    <w:rsid w:val="2F9DED03"/>
    <w:rsid w:val="2F9F881B"/>
    <w:rsid w:val="2F9FAC8D"/>
    <w:rsid w:val="2F9FCBD6"/>
    <w:rsid w:val="2FA2F599"/>
    <w:rsid w:val="2FA474D9"/>
    <w:rsid w:val="2FA5C2D9"/>
    <w:rsid w:val="2FA66DC9"/>
    <w:rsid w:val="2FA76BCA"/>
    <w:rsid w:val="2FA778E4"/>
    <w:rsid w:val="2FAB33F6"/>
    <w:rsid w:val="2FACE5D3"/>
    <w:rsid w:val="2FAD415D"/>
    <w:rsid w:val="2FAEBC68"/>
    <w:rsid w:val="2FB10A3D"/>
    <w:rsid w:val="2FB140EC"/>
    <w:rsid w:val="2FB22607"/>
    <w:rsid w:val="2FB2BCE3"/>
    <w:rsid w:val="2FB3086D"/>
    <w:rsid w:val="2FB4EDE3"/>
    <w:rsid w:val="2FB68C1C"/>
    <w:rsid w:val="2FB8A370"/>
    <w:rsid w:val="2FBBBE58"/>
    <w:rsid w:val="2FBC94C9"/>
    <w:rsid w:val="2FBCCCCF"/>
    <w:rsid w:val="2FBD3E0F"/>
    <w:rsid w:val="2FC039B0"/>
    <w:rsid w:val="2FC0B650"/>
    <w:rsid w:val="2FC3A426"/>
    <w:rsid w:val="2FC46833"/>
    <w:rsid w:val="2FC4B9E0"/>
    <w:rsid w:val="2FC7FA99"/>
    <w:rsid w:val="2FC9D7DD"/>
    <w:rsid w:val="2FCA7D9F"/>
    <w:rsid w:val="2FCB7FDA"/>
    <w:rsid w:val="2FCBB041"/>
    <w:rsid w:val="2FCE6B36"/>
    <w:rsid w:val="2FD04FBF"/>
    <w:rsid w:val="2FD0749C"/>
    <w:rsid w:val="2FD19D13"/>
    <w:rsid w:val="2FD1B861"/>
    <w:rsid w:val="2FD64A59"/>
    <w:rsid w:val="2FDA238A"/>
    <w:rsid w:val="2FDCC821"/>
    <w:rsid w:val="2FDDEB77"/>
    <w:rsid w:val="2FDEF741"/>
    <w:rsid w:val="2FDF056B"/>
    <w:rsid w:val="2FE29737"/>
    <w:rsid w:val="2FE2DE63"/>
    <w:rsid w:val="2FE35A88"/>
    <w:rsid w:val="2FE3B1B5"/>
    <w:rsid w:val="2FE77D32"/>
    <w:rsid w:val="2FE7E840"/>
    <w:rsid w:val="2FEDC3D8"/>
    <w:rsid w:val="2FEE3DC6"/>
    <w:rsid w:val="2FEF38FF"/>
    <w:rsid w:val="2FF258E7"/>
    <w:rsid w:val="2FF6389E"/>
    <w:rsid w:val="2FF6534B"/>
    <w:rsid w:val="2FF6D99B"/>
    <w:rsid w:val="2FF6EF47"/>
    <w:rsid w:val="2FF7026A"/>
    <w:rsid w:val="2FF74018"/>
    <w:rsid w:val="2FF83E11"/>
    <w:rsid w:val="2FF8E974"/>
    <w:rsid w:val="2FF8FD2B"/>
    <w:rsid w:val="2FF90490"/>
    <w:rsid w:val="2FF9447E"/>
    <w:rsid w:val="2FF9A78D"/>
    <w:rsid w:val="2FF9C5FA"/>
    <w:rsid w:val="3004A65E"/>
    <w:rsid w:val="3005FF81"/>
    <w:rsid w:val="3006BB56"/>
    <w:rsid w:val="3007C414"/>
    <w:rsid w:val="30099FDC"/>
    <w:rsid w:val="300BDBB1"/>
    <w:rsid w:val="300C4051"/>
    <w:rsid w:val="300DF6C1"/>
    <w:rsid w:val="300F3792"/>
    <w:rsid w:val="300F8A50"/>
    <w:rsid w:val="3011675D"/>
    <w:rsid w:val="3014016D"/>
    <w:rsid w:val="3015167B"/>
    <w:rsid w:val="3015D0D1"/>
    <w:rsid w:val="3015EF32"/>
    <w:rsid w:val="3016A043"/>
    <w:rsid w:val="3018E347"/>
    <w:rsid w:val="301A2A18"/>
    <w:rsid w:val="301A2ECE"/>
    <w:rsid w:val="301C427B"/>
    <w:rsid w:val="301E50CD"/>
    <w:rsid w:val="301EAC18"/>
    <w:rsid w:val="302181FE"/>
    <w:rsid w:val="3022073F"/>
    <w:rsid w:val="302224C5"/>
    <w:rsid w:val="3025CD15"/>
    <w:rsid w:val="3027529E"/>
    <w:rsid w:val="30290289"/>
    <w:rsid w:val="30290CF3"/>
    <w:rsid w:val="3029F6A5"/>
    <w:rsid w:val="302A8533"/>
    <w:rsid w:val="302C3F20"/>
    <w:rsid w:val="302E8C00"/>
    <w:rsid w:val="302F338F"/>
    <w:rsid w:val="3032A195"/>
    <w:rsid w:val="3033658B"/>
    <w:rsid w:val="303397FA"/>
    <w:rsid w:val="3033BAF4"/>
    <w:rsid w:val="30379B0A"/>
    <w:rsid w:val="303A72B8"/>
    <w:rsid w:val="303AA3AE"/>
    <w:rsid w:val="303B9C15"/>
    <w:rsid w:val="303D5BCD"/>
    <w:rsid w:val="303E092A"/>
    <w:rsid w:val="303F423D"/>
    <w:rsid w:val="303F8006"/>
    <w:rsid w:val="30408A0D"/>
    <w:rsid w:val="30409A19"/>
    <w:rsid w:val="30414CA0"/>
    <w:rsid w:val="3041EB8B"/>
    <w:rsid w:val="3042EFE4"/>
    <w:rsid w:val="304372C8"/>
    <w:rsid w:val="304491B5"/>
    <w:rsid w:val="3045E6F8"/>
    <w:rsid w:val="304672D9"/>
    <w:rsid w:val="3047AE08"/>
    <w:rsid w:val="304A31F5"/>
    <w:rsid w:val="304A6B1A"/>
    <w:rsid w:val="304ADF30"/>
    <w:rsid w:val="304BE060"/>
    <w:rsid w:val="3053724B"/>
    <w:rsid w:val="305419EE"/>
    <w:rsid w:val="305599EC"/>
    <w:rsid w:val="3058F1E4"/>
    <w:rsid w:val="30592186"/>
    <w:rsid w:val="30593E42"/>
    <w:rsid w:val="305A0329"/>
    <w:rsid w:val="305C69BA"/>
    <w:rsid w:val="305D3068"/>
    <w:rsid w:val="305FCAC2"/>
    <w:rsid w:val="30641F82"/>
    <w:rsid w:val="3065AD63"/>
    <w:rsid w:val="3067A464"/>
    <w:rsid w:val="3067CD64"/>
    <w:rsid w:val="306921C9"/>
    <w:rsid w:val="306C8F01"/>
    <w:rsid w:val="30701F14"/>
    <w:rsid w:val="30713254"/>
    <w:rsid w:val="3074BCD7"/>
    <w:rsid w:val="3076D481"/>
    <w:rsid w:val="30779CD2"/>
    <w:rsid w:val="30781BA2"/>
    <w:rsid w:val="3078B9E4"/>
    <w:rsid w:val="3079151D"/>
    <w:rsid w:val="307A2BA3"/>
    <w:rsid w:val="307D9232"/>
    <w:rsid w:val="307EFCEF"/>
    <w:rsid w:val="30835649"/>
    <w:rsid w:val="30843A2A"/>
    <w:rsid w:val="308616EC"/>
    <w:rsid w:val="3088A490"/>
    <w:rsid w:val="30897931"/>
    <w:rsid w:val="3089C40F"/>
    <w:rsid w:val="308A3CF6"/>
    <w:rsid w:val="308B8489"/>
    <w:rsid w:val="308BB9E2"/>
    <w:rsid w:val="308C3A37"/>
    <w:rsid w:val="308EA167"/>
    <w:rsid w:val="30900120"/>
    <w:rsid w:val="30926F26"/>
    <w:rsid w:val="30945EB7"/>
    <w:rsid w:val="309683EC"/>
    <w:rsid w:val="3097F997"/>
    <w:rsid w:val="3099244B"/>
    <w:rsid w:val="3099D788"/>
    <w:rsid w:val="309C5379"/>
    <w:rsid w:val="30A02D10"/>
    <w:rsid w:val="30A18E88"/>
    <w:rsid w:val="30A53CE0"/>
    <w:rsid w:val="30A63877"/>
    <w:rsid w:val="30A70DA0"/>
    <w:rsid w:val="30A778B6"/>
    <w:rsid w:val="30A8DE44"/>
    <w:rsid w:val="30AB1E34"/>
    <w:rsid w:val="30AD0FE5"/>
    <w:rsid w:val="30B0A74F"/>
    <w:rsid w:val="30B0C087"/>
    <w:rsid w:val="30B18386"/>
    <w:rsid w:val="30B1BF98"/>
    <w:rsid w:val="30B27797"/>
    <w:rsid w:val="30B794E9"/>
    <w:rsid w:val="30B8EBF7"/>
    <w:rsid w:val="30BD8113"/>
    <w:rsid w:val="30BDBE47"/>
    <w:rsid w:val="30BF8988"/>
    <w:rsid w:val="30C0317D"/>
    <w:rsid w:val="30C08EB4"/>
    <w:rsid w:val="30C15C7D"/>
    <w:rsid w:val="30C1E9A0"/>
    <w:rsid w:val="30C2F32D"/>
    <w:rsid w:val="30C79F95"/>
    <w:rsid w:val="30CAC691"/>
    <w:rsid w:val="30CB061A"/>
    <w:rsid w:val="30CE5594"/>
    <w:rsid w:val="30CF83A8"/>
    <w:rsid w:val="30D05D5A"/>
    <w:rsid w:val="30D24AA8"/>
    <w:rsid w:val="30D3BD6B"/>
    <w:rsid w:val="30D5B309"/>
    <w:rsid w:val="30D6A280"/>
    <w:rsid w:val="30D7CBC5"/>
    <w:rsid w:val="30DA811F"/>
    <w:rsid w:val="30DB6E2E"/>
    <w:rsid w:val="30DD9B78"/>
    <w:rsid w:val="30DE94B6"/>
    <w:rsid w:val="30E06D98"/>
    <w:rsid w:val="30E10012"/>
    <w:rsid w:val="30E17864"/>
    <w:rsid w:val="30E5D89A"/>
    <w:rsid w:val="30E5DCB8"/>
    <w:rsid w:val="30E823E5"/>
    <w:rsid w:val="30E87F3D"/>
    <w:rsid w:val="30E93274"/>
    <w:rsid w:val="30E947D8"/>
    <w:rsid w:val="30E9D271"/>
    <w:rsid w:val="30EAD0AF"/>
    <w:rsid w:val="30EAED6E"/>
    <w:rsid w:val="30EB8EAC"/>
    <w:rsid w:val="30EBE904"/>
    <w:rsid w:val="30EF4A61"/>
    <w:rsid w:val="30EFB2BE"/>
    <w:rsid w:val="30F04AE3"/>
    <w:rsid w:val="30F099DA"/>
    <w:rsid w:val="30F35EE3"/>
    <w:rsid w:val="30F7F8B8"/>
    <w:rsid w:val="30F81A7F"/>
    <w:rsid w:val="30F8F7F5"/>
    <w:rsid w:val="30F9434D"/>
    <w:rsid w:val="30F9506C"/>
    <w:rsid w:val="30FAEE70"/>
    <w:rsid w:val="30FD0014"/>
    <w:rsid w:val="30FF100F"/>
    <w:rsid w:val="30FFDE6B"/>
    <w:rsid w:val="31012BFA"/>
    <w:rsid w:val="3102EC2E"/>
    <w:rsid w:val="31056A30"/>
    <w:rsid w:val="31097C34"/>
    <w:rsid w:val="310A88CB"/>
    <w:rsid w:val="310B2717"/>
    <w:rsid w:val="310D916E"/>
    <w:rsid w:val="310F67C6"/>
    <w:rsid w:val="3112EEEE"/>
    <w:rsid w:val="3113D9BD"/>
    <w:rsid w:val="31158297"/>
    <w:rsid w:val="3115EE2A"/>
    <w:rsid w:val="3118C0D3"/>
    <w:rsid w:val="311ADC5C"/>
    <w:rsid w:val="311BEA58"/>
    <w:rsid w:val="311D72A0"/>
    <w:rsid w:val="31210383"/>
    <w:rsid w:val="31210F94"/>
    <w:rsid w:val="31230469"/>
    <w:rsid w:val="312319A2"/>
    <w:rsid w:val="31253696"/>
    <w:rsid w:val="3125901F"/>
    <w:rsid w:val="3125A13F"/>
    <w:rsid w:val="31262EED"/>
    <w:rsid w:val="3127AAC6"/>
    <w:rsid w:val="312987C0"/>
    <w:rsid w:val="312A93AB"/>
    <w:rsid w:val="312AAB64"/>
    <w:rsid w:val="312AD2C1"/>
    <w:rsid w:val="312C2548"/>
    <w:rsid w:val="312CF007"/>
    <w:rsid w:val="312D5885"/>
    <w:rsid w:val="3130788B"/>
    <w:rsid w:val="3130AAFD"/>
    <w:rsid w:val="3134F7DB"/>
    <w:rsid w:val="3138D29F"/>
    <w:rsid w:val="313A1B34"/>
    <w:rsid w:val="313A65BD"/>
    <w:rsid w:val="313B2DC9"/>
    <w:rsid w:val="313D7758"/>
    <w:rsid w:val="313F0F02"/>
    <w:rsid w:val="314060CE"/>
    <w:rsid w:val="3145E538"/>
    <w:rsid w:val="3148B591"/>
    <w:rsid w:val="3148D470"/>
    <w:rsid w:val="31499828"/>
    <w:rsid w:val="314BE5B0"/>
    <w:rsid w:val="314CAFA4"/>
    <w:rsid w:val="314CD537"/>
    <w:rsid w:val="314D00E5"/>
    <w:rsid w:val="314DFE74"/>
    <w:rsid w:val="314E7CAA"/>
    <w:rsid w:val="314F8907"/>
    <w:rsid w:val="31519612"/>
    <w:rsid w:val="315284FC"/>
    <w:rsid w:val="315371AA"/>
    <w:rsid w:val="3155FFA7"/>
    <w:rsid w:val="315BC0A3"/>
    <w:rsid w:val="315CE0E7"/>
    <w:rsid w:val="315ED874"/>
    <w:rsid w:val="315F6B84"/>
    <w:rsid w:val="315FE7E7"/>
    <w:rsid w:val="31601745"/>
    <w:rsid w:val="3160EF8E"/>
    <w:rsid w:val="31625784"/>
    <w:rsid w:val="31629325"/>
    <w:rsid w:val="31638FD5"/>
    <w:rsid w:val="31645514"/>
    <w:rsid w:val="31652F21"/>
    <w:rsid w:val="3165FA69"/>
    <w:rsid w:val="3167B53E"/>
    <w:rsid w:val="31691BD4"/>
    <w:rsid w:val="316973FD"/>
    <w:rsid w:val="316A9E22"/>
    <w:rsid w:val="316BB338"/>
    <w:rsid w:val="316C698B"/>
    <w:rsid w:val="316CD98B"/>
    <w:rsid w:val="316E4CB5"/>
    <w:rsid w:val="316FC4A6"/>
    <w:rsid w:val="31757F97"/>
    <w:rsid w:val="317584AF"/>
    <w:rsid w:val="3177127E"/>
    <w:rsid w:val="31772977"/>
    <w:rsid w:val="31777D49"/>
    <w:rsid w:val="31779E05"/>
    <w:rsid w:val="317AAE05"/>
    <w:rsid w:val="317AB3C8"/>
    <w:rsid w:val="317BA31E"/>
    <w:rsid w:val="317C2997"/>
    <w:rsid w:val="317C3035"/>
    <w:rsid w:val="317FE295"/>
    <w:rsid w:val="3181447D"/>
    <w:rsid w:val="31825E1B"/>
    <w:rsid w:val="3184E862"/>
    <w:rsid w:val="31862465"/>
    <w:rsid w:val="31864630"/>
    <w:rsid w:val="3186C4E8"/>
    <w:rsid w:val="31872A21"/>
    <w:rsid w:val="31894583"/>
    <w:rsid w:val="318A7445"/>
    <w:rsid w:val="31900F47"/>
    <w:rsid w:val="31944773"/>
    <w:rsid w:val="3194777A"/>
    <w:rsid w:val="3194F0CB"/>
    <w:rsid w:val="3197602F"/>
    <w:rsid w:val="3198098C"/>
    <w:rsid w:val="319A357F"/>
    <w:rsid w:val="319BB368"/>
    <w:rsid w:val="319BBE70"/>
    <w:rsid w:val="319CACFC"/>
    <w:rsid w:val="319EA189"/>
    <w:rsid w:val="319FA8FE"/>
    <w:rsid w:val="319FF962"/>
    <w:rsid w:val="31A5A154"/>
    <w:rsid w:val="31A63BCD"/>
    <w:rsid w:val="31A6FFD5"/>
    <w:rsid w:val="31A9CFB6"/>
    <w:rsid w:val="31AC6048"/>
    <w:rsid w:val="31ACFFB5"/>
    <w:rsid w:val="31AD6391"/>
    <w:rsid w:val="31AEC2D3"/>
    <w:rsid w:val="31AFB2C0"/>
    <w:rsid w:val="31B37EB5"/>
    <w:rsid w:val="31B6C481"/>
    <w:rsid w:val="31B7EDC7"/>
    <w:rsid w:val="31BA4F84"/>
    <w:rsid w:val="31BA7613"/>
    <w:rsid w:val="31BB79D7"/>
    <w:rsid w:val="31BBE190"/>
    <w:rsid w:val="31BD34BE"/>
    <w:rsid w:val="31BDE380"/>
    <w:rsid w:val="31C029B5"/>
    <w:rsid w:val="31C200AF"/>
    <w:rsid w:val="31C22344"/>
    <w:rsid w:val="31C5C1FE"/>
    <w:rsid w:val="31C6E63B"/>
    <w:rsid w:val="31C6FC7A"/>
    <w:rsid w:val="31C8156B"/>
    <w:rsid w:val="31C86CD9"/>
    <w:rsid w:val="31C98B37"/>
    <w:rsid w:val="31C99B40"/>
    <w:rsid w:val="31CA1A24"/>
    <w:rsid w:val="31CBFE92"/>
    <w:rsid w:val="31CF5EBD"/>
    <w:rsid w:val="31D0155A"/>
    <w:rsid w:val="31D1CF53"/>
    <w:rsid w:val="31D24AAB"/>
    <w:rsid w:val="31D28CE8"/>
    <w:rsid w:val="31D4EBF4"/>
    <w:rsid w:val="31D91E0D"/>
    <w:rsid w:val="31D9D364"/>
    <w:rsid w:val="31DA5E4E"/>
    <w:rsid w:val="31DABA61"/>
    <w:rsid w:val="31DB9301"/>
    <w:rsid w:val="31DC5F43"/>
    <w:rsid w:val="31DD94A6"/>
    <w:rsid w:val="31E24BFD"/>
    <w:rsid w:val="31E2AB52"/>
    <w:rsid w:val="31E315A7"/>
    <w:rsid w:val="31E54CEC"/>
    <w:rsid w:val="31E584BC"/>
    <w:rsid w:val="31E763F2"/>
    <w:rsid w:val="31E89EF4"/>
    <w:rsid w:val="31E8D23F"/>
    <w:rsid w:val="31E921C8"/>
    <w:rsid w:val="31E9E459"/>
    <w:rsid w:val="31EA4473"/>
    <w:rsid w:val="31EC0E6E"/>
    <w:rsid w:val="31EC518F"/>
    <w:rsid w:val="31EF6C5A"/>
    <w:rsid w:val="31F08ED6"/>
    <w:rsid w:val="31F1CE7A"/>
    <w:rsid w:val="31F54DBF"/>
    <w:rsid w:val="31F8485F"/>
    <w:rsid w:val="31FA0A04"/>
    <w:rsid w:val="31FA8D0E"/>
    <w:rsid w:val="31FB1933"/>
    <w:rsid w:val="31FB4EE1"/>
    <w:rsid w:val="31FCA227"/>
    <w:rsid w:val="31FDAA79"/>
    <w:rsid w:val="31FE2B1C"/>
    <w:rsid w:val="31FE6C8B"/>
    <w:rsid w:val="32004C97"/>
    <w:rsid w:val="32030348"/>
    <w:rsid w:val="3203194A"/>
    <w:rsid w:val="3203D615"/>
    <w:rsid w:val="32057D71"/>
    <w:rsid w:val="32067AFC"/>
    <w:rsid w:val="32085E13"/>
    <w:rsid w:val="32097F8A"/>
    <w:rsid w:val="320CADE8"/>
    <w:rsid w:val="321438B9"/>
    <w:rsid w:val="32161631"/>
    <w:rsid w:val="32164248"/>
    <w:rsid w:val="321723A3"/>
    <w:rsid w:val="32180DD8"/>
    <w:rsid w:val="32195499"/>
    <w:rsid w:val="3219DD5F"/>
    <w:rsid w:val="321A4BBC"/>
    <w:rsid w:val="321CF12A"/>
    <w:rsid w:val="321D19B9"/>
    <w:rsid w:val="321D4165"/>
    <w:rsid w:val="32210201"/>
    <w:rsid w:val="322147D9"/>
    <w:rsid w:val="3223A587"/>
    <w:rsid w:val="3223F20D"/>
    <w:rsid w:val="32260A20"/>
    <w:rsid w:val="322866F6"/>
    <w:rsid w:val="322B94AA"/>
    <w:rsid w:val="322F1AEC"/>
    <w:rsid w:val="32309CCA"/>
    <w:rsid w:val="32313A3C"/>
    <w:rsid w:val="323184E1"/>
    <w:rsid w:val="3231DDC0"/>
    <w:rsid w:val="3233001B"/>
    <w:rsid w:val="32338EA0"/>
    <w:rsid w:val="3234C296"/>
    <w:rsid w:val="323588CE"/>
    <w:rsid w:val="32359DED"/>
    <w:rsid w:val="323663C4"/>
    <w:rsid w:val="323738BF"/>
    <w:rsid w:val="32375CCC"/>
    <w:rsid w:val="323804B2"/>
    <w:rsid w:val="323888D5"/>
    <w:rsid w:val="32390ADD"/>
    <w:rsid w:val="323A51DD"/>
    <w:rsid w:val="323D1F2B"/>
    <w:rsid w:val="323F15BC"/>
    <w:rsid w:val="3243CB24"/>
    <w:rsid w:val="32468DE1"/>
    <w:rsid w:val="3247931C"/>
    <w:rsid w:val="3248D622"/>
    <w:rsid w:val="324A565E"/>
    <w:rsid w:val="324B13FD"/>
    <w:rsid w:val="324B75E0"/>
    <w:rsid w:val="324D858B"/>
    <w:rsid w:val="324E2414"/>
    <w:rsid w:val="324EA149"/>
    <w:rsid w:val="32503192"/>
    <w:rsid w:val="3251B724"/>
    <w:rsid w:val="3253E09B"/>
    <w:rsid w:val="32542D5D"/>
    <w:rsid w:val="32564AAA"/>
    <w:rsid w:val="3258FBDE"/>
    <w:rsid w:val="325A6EBD"/>
    <w:rsid w:val="325AD5FE"/>
    <w:rsid w:val="325BE172"/>
    <w:rsid w:val="325C7450"/>
    <w:rsid w:val="325CC67B"/>
    <w:rsid w:val="325D3B9F"/>
    <w:rsid w:val="32619FCD"/>
    <w:rsid w:val="32624270"/>
    <w:rsid w:val="3262F9D3"/>
    <w:rsid w:val="32632144"/>
    <w:rsid w:val="32638D89"/>
    <w:rsid w:val="3265FBBC"/>
    <w:rsid w:val="32661D4D"/>
    <w:rsid w:val="326762EE"/>
    <w:rsid w:val="32677D1F"/>
    <w:rsid w:val="326859ED"/>
    <w:rsid w:val="3268F2C0"/>
    <w:rsid w:val="326B7A76"/>
    <w:rsid w:val="326D11BF"/>
    <w:rsid w:val="326D8BB5"/>
    <w:rsid w:val="326DC398"/>
    <w:rsid w:val="326DDB80"/>
    <w:rsid w:val="326DF981"/>
    <w:rsid w:val="327110BF"/>
    <w:rsid w:val="32727B02"/>
    <w:rsid w:val="32755C7C"/>
    <w:rsid w:val="327C38D9"/>
    <w:rsid w:val="327C8AA6"/>
    <w:rsid w:val="327D31FF"/>
    <w:rsid w:val="327E8EC0"/>
    <w:rsid w:val="3281FCA4"/>
    <w:rsid w:val="32831640"/>
    <w:rsid w:val="3283F934"/>
    <w:rsid w:val="3284B095"/>
    <w:rsid w:val="3284B199"/>
    <w:rsid w:val="328879E4"/>
    <w:rsid w:val="3288B5FB"/>
    <w:rsid w:val="3289E630"/>
    <w:rsid w:val="328AD290"/>
    <w:rsid w:val="328AED3F"/>
    <w:rsid w:val="328B55AA"/>
    <w:rsid w:val="328CE71A"/>
    <w:rsid w:val="328EFB00"/>
    <w:rsid w:val="329042B6"/>
    <w:rsid w:val="3294DB0F"/>
    <w:rsid w:val="32958897"/>
    <w:rsid w:val="3297181B"/>
    <w:rsid w:val="32992779"/>
    <w:rsid w:val="32998214"/>
    <w:rsid w:val="329A557F"/>
    <w:rsid w:val="329AF738"/>
    <w:rsid w:val="329B2E80"/>
    <w:rsid w:val="329C3E41"/>
    <w:rsid w:val="329E9D84"/>
    <w:rsid w:val="32A0452C"/>
    <w:rsid w:val="32A089E5"/>
    <w:rsid w:val="32A0AF3B"/>
    <w:rsid w:val="32A1A0A9"/>
    <w:rsid w:val="32A22C99"/>
    <w:rsid w:val="32A30C2E"/>
    <w:rsid w:val="32A4E427"/>
    <w:rsid w:val="32A52775"/>
    <w:rsid w:val="32A7FF13"/>
    <w:rsid w:val="32A81AAE"/>
    <w:rsid w:val="32A85966"/>
    <w:rsid w:val="32AA344F"/>
    <w:rsid w:val="32B0747A"/>
    <w:rsid w:val="32B08AF3"/>
    <w:rsid w:val="32B3E6DE"/>
    <w:rsid w:val="32B5F0AC"/>
    <w:rsid w:val="32B663CE"/>
    <w:rsid w:val="32B82E91"/>
    <w:rsid w:val="32BB1B3A"/>
    <w:rsid w:val="32BC20C6"/>
    <w:rsid w:val="32BEB16A"/>
    <w:rsid w:val="32C0DBB3"/>
    <w:rsid w:val="32C2AC3B"/>
    <w:rsid w:val="32C424B5"/>
    <w:rsid w:val="32C44AA0"/>
    <w:rsid w:val="32C52608"/>
    <w:rsid w:val="32C73A5F"/>
    <w:rsid w:val="32C84C7C"/>
    <w:rsid w:val="32CA0D1E"/>
    <w:rsid w:val="32CEB5A4"/>
    <w:rsid w:val="32CECF06"/>
    <w:rsid w:val="32D1E386"/>
    <w:rsid w:val="32D1E55E"/>
    <w:rsid w:val="32D4DC14"/>
    <w:rsid w:val="32D4DC63"/>
    <w:rsid w:val="32D525FD"/>
    <w:rsid w:val="32D5809D"/>
    <w:rsid w:val="32D62864"/>
    <w:rsid w:val="32D6FD88"/>
    <w:rsid w:val="32D706CA"/>
    <w:rsid w:val="32D790F0"/>
    <w:rsid w:val="32D83E52"/>
    <w:rsid w:val="32DA9603"/>
    <w:rsid w:val="32DC0CE2"/>
    <w:rsid w:val="32DD23FE"/>
    <w:rsid w:val="32DF9DFA"/>
    <w:rsid w:val="32E2D441"/>
    <w:rsid w:val="32E37CC9"/>
    <w:rsid w:val="32E505ED"/>
    <w:rsid w:val="32E55180"/>
    <w:rsid w:val="32E684BC"/>
    <w:rsid w:val="32E7BDFF"/>
    <w:rsid w:val="32EB3F3F"/>
    <w:rsid w:val="32EC335D"/>
    <w:rsid w:val="32ECD517"/>
    <w:rsid w:val="32ED3732"/>
    <w:rsid w:val="32ED46AA"/>
    <w:rsid w:val="32ED777D"/>
    <w:rsid w:val="32EE0917"/>
    <w:rsid w:val="32EE13F4"/>
    <w:rsid w:val="32F21ACA"/>
    <w:rsid w:val="32F384F2"/>
    <w:rsid w:val="32F470B3"/>
    <w:rsid w:val="32F76183"/>
    <w:rsid w:val="32F7805F"/>
    <w:rsid w:val="32F85E9F"/>
    <w:rsid w:val="32F9CD59"/>
    <w:rsid w:val="32FB4199"/>
    <w:rsid w:val="32FB5DE9"/>
    <w:rsid w:val="32FBC5A0"/>
    <w:rsid w:val="3300501A"/>
    <w:rsid w:val="3300949B"/>
    <w:rsid w:val="33021E61"/>
    <w:rsid w:val="3303ADCA"/>
    <w:rsid w:val="3305BCBD"/>
    <w:rsid w:val="33075E63"/>
    <w:rsid w:val="3309DB3C"/>
    <w:rsid w:val="330A56E5"/>
    <w:rsid w:val="330A5E01"/>
    <w:rsid w:val="330B6F07"/>
    <w:rsid w:val="330C22FE"/>
    <w:rsid w:val="330DEA6E"/>
    <w:rsid w:val="330ED049"/>
    <w:rsid w:val="33120A5F"/>
    <w:rsid w:val="3313560E"/>
    <w:rsid w:val="331A28FE"/>
    <w:rsid w:val="331A2ACB"/>
    <w:rsid w:val="331AAB27"/>
    <w:rsid w:val="331B76FD"/>
    <w:rsid w:val="331ED8BD"/>
    <w:rsid w:val="331FC01C"/>
    <w:rsid w:val="331FF93A"/>
    <w:rsid w:val="33215B2F"/>
    <w:rsid w:val="3322821A"/>
    <w:rsid w:val="33252DCC"/>
    <w:rsid w:val="33286DF1"/>
    <w:rsid w:val="33290578"/>
    <w:rsid w:val="3329D4D3"/>
    <w:rsid w:val="332B6765"/>
    <w:rsid w:val="332C1984"/>
    <w:rsid w:val="332C662B"/>
    <w:rsid w:val="332E197B"/>
    <w:rsid w:val="332EBA74"/>
    <w:rsid w:val="3331960D"/>
    <w:rsid w:val="33326E6C"/>
    <w:rsid w:val="33346CF6"/>
    <w:rsid w:val="3335E63F"/>
    <w:rsid w:val="333769BB"/>
    <w:rsid w:val="3338510B"/>
    <w:rsid w:val="33388421"/>
    <w:rsid w:val="33389C44"/>
    <w:rsid w:val="3338E7CA"/>
    <w:rsid w:val="333D4197"/>
    <w:rsid w:val="333E0843"/>
    <w:rsid w:val="333F367E"/>
    <w:rsid w:val="333FC1E8"/>
    <w:rsid w:val="3340A562"/>
    <w:rsid w:val="3341DDD2"/>
    <w:rsid w:val="3344E327"/>
    <w:rsid w:val="3344E7E9"/>
    <w:rsid w:val="33455836"/>
    <w:rsid w:val="3346328C"/>
    <w:rsid w:val="3348869C"/>
    <w:rsid w:val="33499D63"/>
    <w:rsid w:val="334BDE4D"/>
    <w:rsid w:val="334C13A2"/>
    <w:rsid w:val="334FF5CA"/>
    <w:rsid w:val="3354B3D6"/>
    <w:rsid w:val="3355D483"/>
    <w:rsid w:val="3359A244"/>
    <w:rsid w:val="335AEB13"/>
    <w:rsid w:val="335BAACB"/>
    <w:rsid w:val="335CE806"/>
    <w:rsid w:val="335EF1B3"/>
    <w:rsid w:val="335F8D5D"/>
    <w:rsid w:val="336118A9"/>
    <w:rsid w:val="336511EC"/>
    <w:rsid w:val="33670CFA"/>
    <w:rsid w:val="33680F86"/>
    <w:rsid w:val="336892B9"/>
    <w:rsid w:val="3368CEE9"/>
    <w:rsid w:val="33690552"/>
    <w:rsid w:val="336B7A13"/>
    <w:rsid w:val="336CB12F"/>
    <w:rsid w:val="33706A22"/>
    <w:rsid w:val="33708F11"/>
    <w:rsid w:val="3372744D"/>
    <w:rsid w:val="337362DD"/>
    <w:rsid w:val="3373A115"/>
    <w:rsid w:val="33742AF4"/>
    <w:rsid w:val="33745D71"/>
    <w:rsid w:val="33749AE0"/>
    <w:rsid w:val="3375B125"/>
    <w:rsid w:val="3375D345"/>
    <w:rsid w:val="337688AA"/>
    <w:rsid w:val="337C35C0"/>
    <w:rsid w:val="337CF24C"/>
    <w:rsid w:val="338001A8"/>
    <w:rsid w:val="338077FA"/>
    <w:rsid w:val="3380ABB7"/>
    <w:rsid w:val="3381FB4A"/>
    <w:rsid w:val="3386C642"/>
    <w:rsid w:val="33870B04"/>
    <w:rsid w:val="3389A514"/>
    <w:rsid w:val="338B08CF"/>
    <w:rsid w:val="338D28F7"/>
    <w:rsid w:val="338FAB5D"/>
    <w:rsid w:val="3390D42C"/>
    <w:rsid w:val="3391396D"/>
    <w:rsid w:val="33928A7C"/>
    <w:rsid w:val="33957C67"/>
    <w:rsid w:val="33979FD8"/>
    <w:rsid w:val="3398B480"/>
    <w:rsid w:val="3399B607"/>
    <w:rsid w:val="339B02DF"/>
    <w:rsid w:val="339CBFD7"/>
    <w:rsid w:val="339E7B73"/>
    <w:rsid w:val="339F9CE1"/>
    <w:rsid w:val="33A1023A"/>
    <w:rsid w:val="33A23334"/>
    <w:rsid w:val="33A27E9C"/>
    <w:rsid w:val="33A36D93"/>
    <w:rsid w:val="33A64ADC"/>
    <w:rsid w:val="33A6B1B4"/>
    <w:rsid w:val="33A75878"/>
    <w:rsid w:val="33A7ECB0"/>
    <w:rsid w:val="33A91123"/>
    <w:rsid w:val="33AB7EC2"/>
    <w:rsid w:val="33AB978C"/>
    <w:rsid w:val="33AC8A8F"/>
    <w:rsid w:val="33ACA7D7"/>
    <w:rsid w:val="33AF6EF2"/>
    <w:rsid w:val="33AF89EE"/>
    <w:rsid w:val="33AFE58D"/>
    <w:rsid w:val="33B08EAD"/>
    <w:rsid w:val="33B12A65"/>
    <w:rsid w:val="33B1B5DA"/>
    <w:rsid w:val="33B43A3A"/>
    <w:rsid w:val="33B46018"/>
    <w:rsid w:val="33B4ACE5"/>
    <w:rsid w:val="33B54BE5"/>
    <w:rsid w:val="33B5D3F5"/>
    <w:rsid w:val="33B753A5"/>
    <w:rsid w:val="33B9F874"/>
    <w:rsid w:val="33BA859F"/>
    <w:rsid w:val="33BAB1AE"/>
    <w:rsid w:val="33BAF702"/>
    <w:rsid w:val="33BBA875"/>
    <w:rsid w:val="33BBEF50"/>
    <w:rsid w:val="33BE95A1"/>
    <w:rsid w:val="33C21BE3"/>
    <w:rsid w:val="33C2D2FE"/>
    <w:rsid w:val="33C31ECB"/>
    <w:rsid w:val="33C46495"/>
    <w:rsid w:val="33C6B0B1"/>
    <w:rsid w:val="33C6C9A1"/>
    <w:rsid w:val="33CD2FB8"/>
    <w:rsid w:val="33CDCFE7"/>
    <w:rsid w:val="33CDE43A"/>
    <w:rsid w:val="33CE1EE9"/>
    <w:rsid w:val="33D10F63"/>
    <w:rsid w:val="33D12B11"/>
    <w:rsid w:val="33D3BFB5"/>
    <w:rsid w:val="33D6063D"/>
    <w:rsid w:val="33D6350D"/>
    <w:rsid w:val="33D7C82D"/>
    <w:rsid w:val="33D9CDBE"/>
    <w:rsid w:val="33DD1970"/>
    <w:rsid w:val="33DD4FEA"/>
    <w:rsid w:val="33E05DB6"/>
    <w:rsid w:val="33E144D9"/>
    <w:rsid w:val="33E59666"/>
    <w:rsid w:val="33E66A6E"/>
    <w:rsid w:val="33E8B4C4"/>
    <w:rsid w:val="33E8D4C4"/>
    <w:rsid w:val="33E9FF92"/>
    <w:rsid w:val="33EAD08E"/>
    <w:rsid w:val="33EB4DD1"/>
    <w:rsid w:val="33EDDB9E"/>
    <w:rsid w:val="33EE62A0"/>
    <w:rsid w:val="33EEC3A7"/>
    <w:rsid w:val="33F09D0B"/>
    <w:rsid w:val="33F19BFC"/>
    <w:rsid w:val="33F1F4F9"/>
    <w:rsid w:val="33F25EE6"/>
    <w:rsid w:val="33F2E81A"/>
    <w:rsid w:val="33F67A02"/>
    <w:rsid w:val="33F7BDF9"/>
    <w:rsid w:val="33F8CA55"/>
    <w:rsid w:val="33F9C4F3"/>
    <w:rsid w:val="33FA75F8"/>
    <w:rsid w:val="33FD4436"/>
    <w:rsid w:val="33FFD231"/>
    <w:rsid w:val="3400E3E1"/>
    <w:rsid w:val="3401411C"/>
    <w:rsid w:val="3405E2E7"/>
    <w:rsid w:val="3405EA98"/>
    <w:rsid w:val="3407C184"/>
    <w:rsid w:val="3409E996"/>
    <w:rsid w:val="340B8847"/>
    <w:rsid w:val="340BF6F5"/>
    <w:rsid w:val="340C61E2"/>
    <w:rsid w:val="340D1879"/>
    <w:rsid w:val="340DF2F2"/>
    <w:rsid w:val="34135E45"/>
    <w:rsid w:val="3413600E"/>
    <w:rsid w:val="34139132"/>
    <w:rsid w:val="3416E7A4"/>
    <w:rsid w:val="3418C96C"/>
    <w:rsid w:val="34194A9E"/>
    <w:rsid w:val="341984F7"/>
    <w:rsid w:val="341A83B2"/>
    <w:rsid w:val="341B8C4C"/>
    <w:rsid w:val="341C757D"/>
    <w:rsid w:val="341D53A4"/>
    <w:rsid w:val="341E6E31"/>
    <w:rsid w:val="3421A91A"/>
    <w:rsid w:val="34220CE1"/>
    <w:rsid w:val="342263C0"/>
    <w:rsid w:val="34237EA5"/>
    <w:rsid w:val="3426CCEE"/>
    <w:rsid w:val="3428E8F9"/>
    <w:rsid w:val="342B0127"/>
    <w:rsid w:val="342C44F0"/>
    <w:rsid w:val="342E7908"/>
    <w:rsid w:val="342F0F6B"/>
    <w:rsid w:val="342FF5A8"/>
    <w:rsid w:val="34319543"/>
    <w:rsid w:val="34320729"/>
    <w:rsid w:val="3435E1DE"/>
    <w:rsid w:val="34363E9A"/>
    <w:rsid w:val="3437563D"/>
    <w:rsid w:val="34383BA9"/>
    <w:rsid w:val="3439629B"/>
    <w:rsid w:val="3439C8EE"/>
    <w:rsid w:val="3439D168"/>
    <w:rsid w:val="343CD0B0"/>
    <w:rsid w:val="343E55B8"/>
    <w:rsid w:val="343F12EE"/>
    <w:rsid w:val="343F6427"/>
    <w:rsid w:val="34406046"/>
    <w:rsid w:val="3441844F"/>
    <w:rsid w:val="344486AB"/>
    <w:rsid w:val="3444BEEE"/>
    <w:rsid w:val="344561EA"/>
    <w:rsid w:val="34480CCC"/>
    <w:rsid w:val="344AF3F9"/>
    <w:rsid w:val="344C56A2"/>
    <w:rsid w:val="34517396"/>
    <w:rsid w:val="3451B05C"/>
    <w:rsid w:val="34526A57"/>
    <w:rsid w:val="345290EF"/>
    <w:rsid w:val="3452BFE5"/>
    <w:rsid w:val="345BA65F"/>
    <w:rsid w:val="345FC49B"/>
    <w:rsid w:val="3460FA93"/>
    <w:rsid w:val="34614840"/>
    <w:rsid w:val="34619264"/>
    <w:rsid w:val="34624A99"/>
    <w:rsid w:val="3464D35E"/>
    <w:rsid w:val="346628C8"/>
    <w:rsid w:val="3466634A"/>
    <w:rsid w:val="346A465E"/>
    <w:rsid w:val="346B7ABA"/>
    <w:rsid w:val="346F27C7"/>
    <w:rsid w:val="346F61B2"/>
    <w:rsid w:val="34702FA7"/>
    <w:rsid w:val="347118C6"/>
    <w:rsid w:val="3474A793"/>
    <w:rsid w:val="3477E7EB"/>
    <w:rsid w:val="347BFB8E"/>
    <w:rsid w:val="347C3027"/>
    <w:rsid w:val="347C3ECB"/>
    <w:rsid w:val="347E6F43"/>
    <w:rsid w:val="347F4AA2"/>
    <w:rsid w:val="34802FAD"/>
    <w:rsid w:val="3482374E"/>
    <w:rsid w:val="34823B3D"/>
    <w:rsid w:val="34831725"/>
    <w:rsid w:val="34864613"/>
    <w:rsid w:val="34889526"/>
    <w:rsid w:val="34895C92"/>
    <w:rsid w:val="3489AD54"/>
    <w:rsid w:val="348ACF19"/>
    <w:rsid w:val="348D7D39"/>
    <w:rsid w:val="348D9610"/>
    <w:rsid w:val="348E4875"/>
    <w:rsid w:val="3492189E"/>
    <w:rsid w:val="34925621"/>
    <w:rsid w:val="349263C0"/>
    <w:rsid w:val="34926C77"/>
    <w:rsid w:val="34934F7A"/>
    <w:rsid w:val="34936BF8"/>
    <w:rsid w:val="349420BA"/>
    <w:rsid w:val="349780EC"/>
    <w:rsid w:val="349915DF"/>
    <w:rsid w:val="34996672"/>
    <w:rsid w:val="349983F6"/>
    <w:rsid w:val="349BFABA"/>
    <w:rsid w:val="349C2DE1"/>
    <w:rsid w:val="349DA923"/>
    <w:rsid w:val="349F1748"/>
    <w:rsid w:val="34A1CDF1"/>
    <w:rsid w:val="34A30FB6"/>
    <w:rsid w:val="34A38A0D"/>
    <w:rsid w:val="34A3B758"/>
    <w:rsid w:val="34A3F24F"/>
    <w:rsid w:val="34A69E23"/>
    <w:rsid w:val="34A75C9F"/>
    <w:rsid w:val="34A83C6C"/>
    <w:rsid w:val="34A88A2B"/>
    <w:rsid w:val="34A9A9EC"/>
    <w:rsid w:val="34AAFF8E"/>
    <w:rsid w:val="34AB1198"/>
    <w:rsid w:val="34AED656"/>
    <w:rsid w:val="34B27EC2"/>
    <w:rsid w:val="34B28150"/>
    <w:rsid w:val="34B7E9EC"/>
    <w:rsid w:val="34B85ABA"/>
    <w:rsid w:val="34B93E7A"/>
    <w:rsid w:val="34BCE5F8"/>
    <w:rsid w:val="34BE3D6D"/>
    <w:rsid w:val="34BE963F"/>
    <w:rsid w:val="34C19CAB"/>
    <w:rsid w:val="34C458DC"/>
    <w:rsid w:val="34C59686"/>
    <w:rsid w:val="34C6550F"/>
    <w:rsid w:val="34C81482"/>
    <w:rsid w:val="34CAE120"/>
    <w:rsid w:val="34CE35A7"/>
    <w:rsid w:val="34CF8A00"/>
    <w:rsid w:val="34D02FDB"/>
    <w:rsid w:val="34D0E2A9"/>
    <w:rsid w:val="34D6E690"/>
    <w:rsid w:val="34D9617C"/>
    <w:rsid w:val="34D99751"/>
    <w:rsid w:val="34D9B828"/>
    <w:rsid w:val="34DA30ED"/>
    <w:rsid w:val="34DB9AF0"/>
    <w:rsid w:val="34DDEFAF"/>
    <w:rsid w:val="34DF68A8"/>
    <w:rsid w:val="34E026C7"/>
    <w:rsid w:val="34E52043"/>
    <w:rsid w:val="34E52557"/>
    <w:rsid w:val="34EA6540"/>
    <w:rsid w:val="34EE6B14"/>
    <w:rsid w:val="34F00784"/>
    <w:rsid w:val="34F107D2"/>
    <w:rsid w:val="34F4FBB7"/>
    <w:rsid w:val="34F7A341"/>
    <w:rsid w:val="34F90599"/>
    <w:rsid w:val="34FBB190"/>
    <w:rsid w:val="34FBDE32"/>
    <w:rsid w:val="35000B10"/>
    <w:rsid w:val="35021370"/>
    <w:rsid w:val="350245E3"/>
    <w:rsid w:val="3503DCDE"/>
    <w:rsid w:val="35042F12"/>
    <w:rsid w:val="35045735"/>
    <w:rsid w:val="3504ADB9"/>
    <w:rsid w:val="35060232"/>
    <w:rsid w:val="35060E98"/>
    <w:rsid w:val="35069BAF"/>
    <w:rsid w:val="3507804A"/>
    <w:rsid w:val="3507CF85"/>
    <w:rsid w:val="3508396E"/>
    <w:rsid w:val="3509EF3E"/>
    <w:rsid w:val="350AEA9F"/>
    <w:rsid w:val="350C7C80"/>
    <w:rsid w:val="350E7627"/>
    <w:rsid w:val="350E8830"/>
    <w:rsid w:val="350EF8C6"/>
    <w:rsid w:val="350F406B"/>
    <w:rsid w:val="3510FAF2"/>
    <w:rsid w:val="35114AEA"/>
    <w:rsid w:val="35127AB6"/>
    <w:rsid w:val="35139EAF"/>
    <w:rsid w:val="35153505"/>
    <w:rsid w:val="35158E91"/>
    <w:rsid w:val="351726B9"/>
    <w:rsid w:val="35174D6D"/>
    <w:rsid w:val="351A25FB"/>
    <w:rsid w:val="351A90AA"/>
    <w:rsid w:val="351C06DC"/>
    <w:rsid w:val="351D0F5E"/>
    <w:rsid w:val="351D8AFF"/>
    <w:rsid w:val="351DB1A2"/>
    <w:rsid w:val="3521E3B5"/>
    <w:rsid w:val="3522B7BA"/>
    <w:rsid w:val="3522F690"/>
    <w:rsid w:val="3523EC4C"/>
    <w:rsid w:val="352625F3"/>
    <w:rsid w:val="3526D4E8"/>
    <w:rsid w:val="35271230"/>
    <w:rsid w:val="3527E501"/>
    <w:rsid w:val="3528C2B0"/>
    <w:rsid w:val="352B3428"/>
    <w:rsid w:val="352BB2AE"/>
    <w:rsid w:val="352D232B"/>
    <w:rsid w:val="352E41B0"/>
    <w:rsid w:val="3533BC49"/>
    <w:rsid w:val="35368900"/>
    <w:rsid w:val="35372D9C"/>
    <w:rsid w:val="3539EC2B"/>
    <w:rsid w:val="353B0898"/>
    <w:rsid w:val="353C1C0E"/>
    <w:rsid w:val="353DA5BB"/>
    <w:rsid w:val="353DAA05"/>
    <w:rsid w:val="353F5EB9"/>
    <w:rsid w:val="353F87FC"/>
    <w:rsid w:val="35407B0F"/>
    <w:rsid w:val="3541160D"/>
    <w:rsid w:val="354149A5"/>
    <w:rsid w:val="35424F90"/>
    <w:rsid w:val="35435712"/>
    <w:rsid w:val="35441B39"/>
    <w:rsid w:val="35457D2A"/>
    <w:rsid w:val="3546275E"/>
    <w:rsid w:val="3547001E"/>
    <w:rsid w:val="354C87F5"/>
    <w:rsid w:val="354D4353"/>
    <w:rsid w:val="354FA863"/>
    <w:rsid w:val="3550A0D5"/>
    <w:rsid w:val="3550C9BD"/>
    <w:rsid w:val="3555A051"/>
    <w:rsid w:val="3556090B"/>
    <w:rsid w:val="355820CF"/>
    <w:rsid w:val="3559BB86"/>
    <w:rsid w:val="355ADBCC"/>
    <w:rsid w:val="355C4300"/>
    <w:rsid w:val="355D697E"/>
    <w:rsid w:val="35607DB0"/>
    <w:rsid w:val="35639853"/>
    <w:rsid w:val="3564F96B"/>
    <w:rsid w:val="3565F5DC"/>
    <w:rsid w:val="3566BF7A"/>
    <w:rsid w:val="3568E633"/>
    <w:rsid w:val="356E298A"/>
    <w:rsid w:val="356E4538"/>
    <w:rsid w:val="356FB117"/>
    <w:rsid w:val="356FED25"/>
    <w:rsid w:val="3572030D"/>
    <w:rsid w:val="3576DFB2"/>
    <w:rsid w:val="35789C04"/>
    <w:rsid w:val="357B96DD"/>
    <w:rsid w:val="357C1E24"/>
    <w:rsid w:val="357C98D3"/>
    <w:rsid w:val="357D8FDA"/>
    <w:rsid w:val="357FAB8F"/>
    <w:rsid w:val="35839F1E"/>
    <w:rsid w:val="3585CA6D"/>
    <w:rsid w:val="35887B69"/>
    <w:rsid w:val="35893DF5"/>
    <w:rsid w:val="358E3570"/>
    <w:rsid w:val="358E86A9"/>
    <w:rsid w:val="358FD3B3"/>
    <w:rsid w:val="3590AF02"/>
    <w:rsid w:val="3596F33D"/>
    <w:rsid w:val="35971ED9"/>
    <w:rsid w:val="3597DF21"/>
    <w:rsid w:val="35981BFC"/>
    <w:rsid w:val="3599330F"/>
    <w:rsid w:val="3599ED8A"/>
    <w:rsid w:val="359A991E"/>
    <w:rsid w:val="359AF0D0"/>
    <w:rsid w:val="359BBBF0"/>
    <w:rsid w:val="359E1894"/>
    <w:rsid w:val="359EECA8"/>
    <w:rsid w:val="359F80DD"/>
    <w:rsid w:val="359FBFC7"/>
    <w:rsid w:val="359FC64F"/>
    <w:rsid w:val="35A0B460"/>
    <w:rsid w:val="35A1BA4C"/>
    <w:rsid w:val="35A1D0F8"/>
    <w:rsid w:val="35A26671"/>
    <w:rsid w:val="35A4497B"/>
    <w:rsid w:val="35A50BB8"/>
    <w:rsid w:val="35A6623C"/>
    <w:rsid w:val="35A866C9"/>
    <w:rsid w:val="35A8AE33"/>
    <w:rsid w:val="35A99D38"/>
    <w:rsid w:val="35A9F26D"/>
    <w:rsid w:val="35AAE54B"/>
    <w:rsid w:val="35AD0F73"/>
    <w:rsid w:val="35ADDF2D"/>
    <w:rsid w:val="35B191B5"/>
    <w:rsid w:val="35B1DBDD"/>
    <w:rsid w:val="35B3274B"/>
    <w:rsid w:val="35B46EA9"/>
    <w:rsid w:val="35B56618"/>
    <w:rsid w:val="35B8851A"/>
    <w:rsid w:val="35BA06E3"/>
    <w:rsid w:val="35BA2736"/>
    <w:rsid w:val="35BB211D"/>
    <w:rsid w:val="35BE4CFB"/>
    <w:rsid w:val="35BE5D03"/>
    <w:rsid w:val="35BF6514"/>
    <w:rsid w:val="35BFD76A"/>
    <w:rsid w:val="35C2445A"/>
    <w:rsid w:val="35C50299"/>
    <w:rsid w:val="35C52606"/>
    <w:rsid w:val="35C5FC33"/>
    <w:rsid w:val="35C9EA2E"/>
    <w:rsid w:val="35CC4C6E"/>
    <w:rsid w:val="35CCAF2F"/>
    <w:rsid w:val="35CE5131"/>
    <w:rsid w:val="35CEF2AE"/>
    <w:rsid w:val="35CEF79D"/>
    <w:rsid w:val="35CFF990"/>
    <w:rsid w:val="35D2D1E1"/>
    <w:rsid w:val="35D4CC1A"/>
    <w:rsid w:val="35D6CDB3"/>
    <w:rsid w:val="35DAC910"/>
    <w:rsid w:val="35DC3071"/>
    <w:rsid w:val="35E1AED3"/>
    <w:rsid w:val="35E31B89"/>
    <w:rsid w:val="35E38358"/>
    <w:rsid w:val="35E44F33"/>
    <w:rsid w:val="35E474A5"/>
    <w:rsid w:val="35E5AB3D"/>
    <w:rsid w:val="35E5BF19"/>
    <w:rsid w:val="35E8FDF8"/>
    <w:rsid w:val="35E935DD"/>
    <w:rsid w:val="35E93CCF"/>
    <w:rsid w:val="35EC4B58"/>
    <w:rsid w:val="35ECC9DE"/>
    <w:rsid w:val="35ECF5C0"/>
    <w:rsid w:val="35ED0A58"/>
    <w:rsid w:val="35ED5231"/>
    <w:rsid w:val="35ED5A2E"/>
    <w:rsid w:val="35EF4223"/>
    <w:rsid w:val="35EFABC9"/>
    <w:rsid w:val="35F41717"/>
    <w:rsid w:val="35F43B65"/>
    <w:rsid w:val="35F6312B"/>
    <w:rsid w:val="35F71934"/>
    <w:rsid w:val="35F78DA5"/>
    <w:rsid w:val="35F8749F"/>
    <w:rsid w:val="35FBF9E2"/>
    <w:rsid w:val="35FFB333"/>
    <w:rsid w:val="36019EDF"/>
    <w:rsid w:val="36040C0B"/>
    <w:rsid w:val="3604B955"/>
    <w:rsid w:val="3605CD54"/>
    <w:rsid w:val="3606C47C"/>
    <w:rsid w:val="36092CE5"/>
    <w:rsid w:val="360DB603"/>
    <w:rsid w:val="36140A5B"/>
    <w:rsid w:val="3614A23A"/>
    <w:rsid w:val="3614B317"/>
    <w:rsid w:val="36154D68"/>
    <w:rsid w:val="36191037"/>
    <w:rsid w:val="3619902F"/>
    <w:rsid w:val="361AD86F"/>
    <w:rsid w:val="361AEA3A"/>
    <w:rsid w:val="36206761"/>
    <w:rsid w:val="362096FC"/>
    <w:rsid w:val="36209DD4"/>
    <w:rsid w:val="3622B652"/>
    <w:rsid w:val="3622F20C"/>
    <w:rsid w:val="36231CD5"/>
    <w:rsid w:val="36287DB1"/>
    <w:rsid w:val="362CC20D"/>
    <w:rsid w:val="362D723F"/>
    <w:rsid w:val="36322F9C"/>
    <w:rsid w:val="3633837F"/>
    <w:rsid w:val="36351BA6"/>
    <w:rsid w:val="3635ADE3"/>
    <w:rsid w:val="36363B3E"/>
    <w:rsid w:val="3636DEEE"/>
    <w:rsid w:val="3638EF27"/>
    <w:rsid w:val="3638F37D"/>
    <w:rsid w:val="363C35B1"/>
    <w:rsid w:val="363E5EFE"/>
    <w:rsid w:val="3640092E"/>
    <w:rsid w:val="3640FFE6"/>
    <w:rsid w:val="36411D97"/>
    <w:rsid w:val="3641FAA0"/>
    <w:rsid w:val="364375DF"/>
    <w:rsid w:val="364404A0"/>
    <w:rsid w:val="36446F53"/>
    <w:rsid w:val="3644D802"/>
    <w:rsid w:val="3645F94A"/>
    <w:rsid w:val="3646C68E"/>
    <w:rsid w:val="36478A46"/>
    <w:rsid w:val="36482D9D"/>
    <w:rsid w:val="3648A12B"/>
    <w:rsid w:val="364BC2ED"/>
    <w:rsid w:val="364C4618"/>
    <w:rsid w:val="364DFA66"/>
    <w:rsid w:val="364F8EE4"/>
    <w:rsid w:val="364F94E6"/>
    <w:rsid w:val="3651721A"/>
    <w:rsid w:val="3651AD20"/>
    <w:rsid w:val="365311B3"/>
    <w:rsid w:val="3654B591"/>
    <w:rsid w:val="3655F124"/>
    <w:rsid w:val="365B4E37"/>
    <w:rsid w:val="365C1AD5"/>
    <w:rsid w:val="365C6FBB"/>
    <w:rsid w:val="365E5E2B"/>
    <w:rsid w:val="365E7E6E"/>
    <w:rsid w:val="365EB031"/>
    <w:rsid w:val="365FE10B"/>
    <w:rsid w:val="365FE6CD"/>
    <w:rsid w:val="36616A25"/>
    <w:rsid w:val="366205E6"/>
    <w:rsid w:val="3664A23D"/>
    <w:rsid w:val="3665468E"/>
    <w:rsid w:val="3666015C"/>
    <w:rsid w:val="36672D48"/>
    <w:rsid w:val="3669BFF3"/>
    <w:rsid w:val="366A76D5"/>
    <w:rsid w:val="366AB13A"/>
    <w:rsid w:val="366CFFB2"/>
    <w:rsid w:val="366EA660"/>
    <w:rsid w:val="366ECBA7"/>
    <w:rsid w:val="366ED134"/>
    <w:rsid w:val="36701D12"/>
    <w:rsid w:val="36710B85"/>
    <w:rsid w:val="3671E62E"/>
    <w:rsid w:val="36760548"/>
    <w:rsid w:val="36769A08"/>
    <w:rsid w:val="3676DC6C"/>
    <w:rsid w:val="3677278E"/>
    <w:rsid w:val="36778730"/>
    <w:rsid w:val="3678A99E"/>
    <w:rsid w:val="36790CEA"/>
    <w:rsid w:val="3679480B"/>
    <w:rsid w:val="367BE598"/>
    <w:rsid w:val="367D52A4"/>
    <w:rsid w:val="367E9C7D"/>
    <w:rsid w:val="367EF40D"/>
    <w:rsid w:val="36809369"/>
    <w:rsid w:val="3682ED2C"/>
    <w:rsid w:val="3683A70D"/>
    <w:rsid w:val="3684E23C"/>
    <w:rsid w:val="368758F9"/>
    <w:rsid w:val="3687AD9E"/>
    <w:rsid w:val="368A78C2"/>
    <w:rsid w:val="368AB4A9"/>
    <w:rsid w:val="368C4DBF"/>
    <w:rsid w:val="368E8DAC"/>
    <w:rsid w:val="368F1AA0"/>
    <w:rsid w:val="368F9E7A"/>
    <w:rsid w:val="3691AAF1"/>
    <w:rsid w:val="3691DD4F"/>
    <w:rsid w:val="3692686F"/>
    <w:rsid w:val="3694C400"/>
    <w:rsid w:val="3694E325"/>
    <w:rsid w:val="369630F6"/>
    <w:rsid w:val="3698A151"/>
    <w:rsid w:val="36990DE0"/>
    <w:rsid w:val="3699F62C"/>
    <w:rsid w:val="369A7D6C"/>
    <w:rsid w:val="369BCF6A"/>
    <w:rsid w:val="369E1995"/>
    <w:rsid w:val="369F9EBA"/>
    <w:rsid w:val="36A00226"/>
    <w:rsid w:val="36A0B1A1"/>
    <w:rsid w:val="36A3A76F"/>
    <w:rsid w:val="36A5213B"/>
    <w:rsid w:val="36A60069"/>
    <w:rsid w:val="36A7BC86"/>
    <w:rsid w:val="36A7CBF4"/>
    <w:rsid w:val="36AA6C24"/>
    <w:rsid w:val="36AA77F7"/>
    <w:rsid w:val="36AC1869"/>
    <w:rsid w:val="36AD6B4D"/>
    <w:rsid w:val="36AF1BA9"/>
    <w:rsid w:val="36B00578"/>
    <w:rsid w:val="36B008E2"/>
    <w:rsid w:val="36B4BCD4"/>
    <w:rsid w:val="36BAE834"/>
    <w:rsid w:val="36C0F40A"/>
    <w:rsid w:val="36C23C37"/>
    <w:rsid w:val="36C542BF"/>
    <w:rsid w:val="36C688A1"/>
    <w:rsid w:val="36C76837"/>
    <w:rsid w:val="36C8A88A"/>
    <w:rsid w:val="36C8DBA6"/>
    <w:rsid w:val="36CA18C9"/>
    <w:rsid w:val="36CD8B4B"/>
    <w:rsid w:val="36CEB54E"/>
    <w:rsid w:val="36CF4529"/>
    <w:rsid w:val="36D1FA20"/>
    <w:rsid w:val="36D297AB"/>
    <w:rsid w:val="36D6184C"/>
    <w:rsid w:val="36D637B2"/>
    <w:rsid w:val="36D9F064"/>
    <w:rsid w:val="36DC7AB1"/>
    <w:rsid w:val="36DE1F74"/>
    <w:rsid w:val="36DF274F"/>
    <w:rsid w:val="36E17768"/>
    <w:rsid w:val="36E21090"/>
    <w:rsid w:val="36E2B47F"/>
    <w:rsid w:val="36E2BDEB"/>
    <w:rsid w:val="36E34ADD"/>
    <w:rsid w:val="36E357C3"/>
    <w:rsid w:val="36E455C4"/>
    <w:rsid w:val="36E7432C"/>
    <w:rsid w:val="36E94B49"/>
    <w:rsid w:val="36EA0A88"/>
    <w:rsid w:val="36EBF50C"/>
    <w:rsid w:val="36EC5A8D"/>
    <w:rsid w:val="36EF0083"/>
    <w:rsid w:val="36EF99CB"/>
    <w:rsid w:val="36F016E5"/>
    <w:rsid w:val="36F206F7"/>
    <w:rsid w:val="36F2BE73"/>
    <w:rsid w:val="36F44970"/>
    <w:rsid w:val="36F6E3AC"/>
    <w:rsid w:val="36F829B2"/>
    <w:rsid w:val="36F9E8C3"/>
    <w:rsid w:val="36FA9FD4"/>
    <w:rsid w:val="36FBB6F0"/>
    <w:rsid w:val="36FF52A5"/>
    <w:rsid w:val="3700B16C"/>
    <w:rsid w:val="37015DD5"/>
    <w:rsid w:val="3701CE6B"/>
    <w:rsid w:val="37030F24"/>
    <w:rsid w:val="3703D74D"/>
    <w:rsid w:val="3703EC2B"/>
    <w:rsid w:val="3703F892"/>
    <w:rsid w:val="37044659"/>
    <w:rsid w:val="3705CF5B"/>
    <w:rsid w:val="3706681F"/>
    <w:rsid w:val="3707B4DE"/>
    <w:rsid w:val="3708524E"/>
    <w:rsid w:val="370AA561"/>
    <w:rsid w:val="370C6C2A"/>
    <w:rsid w:val="370DB6CE"/>
    <w:rsid w:val="3710DCBD"/>
    <w:rsid w:val="37127CC3"/>
    <w:rsid w:val="37179AFB"/>
    <w:rsid w:val="37188B8A"/>
    <w:rsid w:val="37195326"/>
    <w:rsid w:val="371BBBEB"/>
    <w:rsid w:val="371BDFC4"/>
    <w:rsid w:val="371CA73E"/>
    <w:rsid w:val="371DFC76"/>
    <w:rsid w:val="371F7799"/>
    <w:rsid w:val="371FAC6E"/>
    <w:rsid w:val="37209207"/>
    <w:rsid w:val="3720B8AC"/>
    <w:rsid w:val="3721F77E"/>
    <w:rsid w:val="3722DC5F"/>
    <w:rsid w:val="3724A3D7"/>
    <w:rsid w:val="37255617"/>
    <w:rsid w:val="3725688D"/>
    <w:rsid w:val="37258CBE"/>
    <w:rsid w:val="3726830F"/>
    <w:rsid w:val="37278132"/>
    <w:rsid w:val="372B4FED"/>
    <w:rsid w:val="37328063"/>
    <w:rsid w:val="3732C5F9"/>
    <w:rsid w:val="3735FB11"/>
    <w:rsid w:val="37379E9A"/>
    <w:rsid w:val="3738B9CA"/>
    <w:rsid w:val="373B1869"/>
    <w:rsid w:val="373EEEE0"/>
    <w:rsid w:val="37430657"/>
    <w:rsid w:val="37449973"/>
    <w:rsid w:val="3744EAE3"/>
    <w:rsid w:val="3744F9AA"/>
    <w:rsid w:val="37452793"/>
    <w:rsid w:val="37481D71"/>
    <w:rsid w:val="374BD74D"/>
    <w:rsid w:val="374C61E5"/>
    <w:rsid w:val="374D3326"/>
    <w:rsid w:val="374FF1BB"/>
    <w:rsid w:val="3751184D"/>
    <w:rsid w:val="37519266"/>
    <w:rsid w:val="37546FC6"/>
    <w:rsid w:val="37580AB0"/>
    <w:rsid w:val="375817BA"/>
    <w:rsid w:val="375899BC"/>
    <w:rsid w:val="37594DCF"/>
    <w:rsid w:val="375B1EDA"/>
    <w:rsid w:val="375B3575"/>
    <w:rsid w:val="375B5433"/>
    <w:rsid w:val="375E6067"/>
    <w:rsid w:val="375F4BD2"/>
    <w:rsid w:val="3760DFD5"/>
    <w:rsid w:val="3760F1BF"/>
    <w:rsid w:val="37615B3C"/>
    <w:rsid w:val="3761D7A1"/>
    <w:rsid w:val="376424DC"/>
    <w:rsid w:val="3764903E"/>
    <w:rsid w:val="3764CD83"/>
    <w:rsid w:val="3767C43F"/>
    <w:rsid w:val="37682D9F"/>
    <w:rsid w:val="3769A9FE"/>
    <w:rsid w:val="376A9687"/>
    <w:rsid w:val="376CFE8F"/>
    <w:rsid w:val="37702884"/>
    <w:rsid w:val="3770CC43"/>
    <w:rsid w:val="37716F0F"/>
    <w:rsid w:val="37729AC8"/>
    <w:rsid w:val="3772CF69"/>
    <w:rsid w:val="3775DEC5"/>
    <w:rsid w:val="37773B96"/>
    <w:rsid w:val="3778257B"/>
    <w:rsid w:val="3778CA9E"/>
    <w:rsid w:val="3778FDC2"/>
    <w:rsid w:val="3779AE2B"/>
    <w:rsid w:val="377DBCFF"/>
    <w:rsid w:val="377E52B4"/>
    <w:rsid w:val="3780531F"/>
    <w:rsid w:val="3780CD5B"/>
    <w:rsid w:val="3781240C"/>
    <w:rsid w:val="3782A810"/>
    <w:rsid w:val="3783AF22"/>
    <w:rsid w:val="3785D964"/>
    <w:rsid w:val="3787EDC4"/>
    <w:rsid w:val="378A4301"/>
    <w:rsid w:val="378A5C1A"/>
    <w:rsid w:val="378A61EF"/>
    <w:rsid w:val="378C4D22"/>
    <w:rsid w:val="378ECF0E"/>
    <w:rsid w:val="378FC380"/>
    <w:rsid w:val="3790A392"/>
    <w:rsid w:val="37927B39"/>
    <w:rsid w:val="3792ED34"/>
    <w:rsid w:val="379390BD"/>
    <w:rsid w:val="3793D99A"/>
    <w:rsid w:val="3794B4BE"/>
    <w:rsid w:val="3797642E"/>
    <w:rsid w:val="3798470D"/>
    <w:rsid w:val="379B1261"/>
    <w:rsid w:val="379C4D6B"/>
    <w:rsid w:val="379C9734"/>
    <w:rsid w:val="379DA868"/>
    <w:rsid w:val="37A14FE3"/>
    <w:rsid w:val="37A20DF2"/>
    <w:rsid w:val="37A35599"/>
    <w:rsid w:val="37A363D9"/>
    <w:rsid w:val="37AB1B3D"/>
    <w:rsid w:val="37AD3E70"/>
    <w:rsid w:val="37ADB55E"/>
    <w:rsid w:val="37ADE486"/>
    <w:rsid w:val="37AE8CA5"/>
    <w:rsid w:val="37AF3DA8"/>
    <w:rsid w:val="37AFB8DC"/>
    <w:rsid w:val="37AFD808"/>
    <w:rsid w:val="37B0CA79"/>
    <w:rsid w:val="37B29FF4"/>
    <w:rsid w:val="37B31C05"/>
    <w:rsid w:val="37B364D4"/>
    <w:rsid w:val="37B51D8F"/>
    <w:rsid w:val="37B78306"/>
    <w:rsid w:val="37B8AD40"/>
    <w:rsid w:val="37B9150B"/>
    <w:rsid w:val="37BA021D"/>
    <w:rsid w:val="37BBA388"/>
    <w:rsid w:val="37BDF416"/>
    <w:rsid w:val="37BE4878"/>
    <w:rsid w:val="37C0316D"/>
    <w:rsid w:val="37C3049E"/>
    <w:rsid w:val="37C48F1B"/>
    <w:rsid w:val="37C4F393"/>
    <w:rsid w:val="37C7CFB2"/>
    <w:rsid w:val="37C7F192"/>
    <w:rsid w:val="37C9AFD1"/>
    <w:rsid w:val="37CC3E44"/>
    <w:rsid w:val="37CD12DE"/>
    <w:rsid w:val="37D09158"/>
    <w:rsid w:val="37D0D4E3"/>
    <w:rsid w:val="37D41317"/>
    <w:rsid w:val="37D442EC"/>
    <w:rsid w:val="37D465E3"/>
    <w:rsid w:val="37D52CAF"/>
    <w:rsid w:val="37D62046"/>
    <w:rsid w:val="37D7B08E"/>
    <w:rsid w:val="37D89957"/>
    <w:rsid w:val="37D8E6E3"/>
    <w:rsid w:val="37DA33DB"/>
    <w:rsid w:val="37DA4C1D"/>
    <w:rsid w:val="37DEC7A6"/>
    <w:rsid w:val="37DF0465"/>
    <w:rsid w:val="37DFC970"/>
    <w:rsid w:val="37E01B74"/>
    <w:rsid w:val="37E1A46D"/>
    <w:rsid w:val="37E498B8"/>
    <w:rsid w:val="37E515A5"/>
    <w:rsid w:val="37E57284"/>
    <w:rsid w:val="37E62CAB"/>
    <w:rsid w:val="37E676FE"/>
    <w:rsid w:val="37E70E14"/>
    <w:rsid w:val="37E99C74"/>
    <w:rsid w:val="37EAF96B"/>
    <w:rsid w:val="37EB69AF"/>
    <w:rsid w:val="37EBE2AD"/>
    <w:rsid w:val="37EC386D"/>
    <w:rsid w:val="37ED06D1"/>
    <w:rsid w:val="37ED0CA3"/>
    <w:rsid w:val="37EE7344"/>
    <w:rsid w:val="37F35AC3"/>
    <w:rsid w:val="37F40966"/>
    <w:rsid w:val="37F47930"/>
    <w:rsid w:val="37F4BFDA"/>
    <w:rsid w:val="37F76D8D"/>
    <w:rsid w:val="37F9BCE5"/>
    <w:rsid w:val="37FF1743"/>
    <w:rsid w:val="37FF6CC6"/>
    <w:rsid w:val="380406C8"/>
    <w:rsid w:val="38043F5B"/>
    <w:rsid w:val="38050382"/>
    <w:rsid w:val="38050823"/>
    <w:rsid w:val="3805FA00"/>
    <w:rsid w:val="38075267"/>
    <w:rsid w:val="380846D6"/>
    <w:rsid w:val="380D3DA6"/>
    <w:rsid w:val="380F7569"/>
    <w:rsid w:val="38110A10"/>
    <w:rsid w:val="3812D903"/>
    <w:rsid w:val="3813D59D"/>
    <w:rsid w:val="3814785F"/>
    <w:rsid w:val="381696D1"/>
    <w:rsid w:val="3817A1A7"/>
    <w:rsid w:val="3819CA0C"/>
    <w:rsid w:val="381A3013"/>
    <w:rsid w:val="381B8CE9"/>
    <w:rsid w:val="381BCF6E"/>
    <w:rsid w:val="381E6FF5"/>
    <w:rsid w:val="38205093"/>
    <w:rsid w:val="382070DB"/>
    <w:rsid w:val="3822B177"/>
    <w:rsid w:val="3823BB86"/>
    <w:rsid w:val="3824EE19"/>
    <w:rsid w:val="38251BD5"/>
    <w:rsid w:val="3825F82C"/>
    <w:rsid w:val="38261270"/>
    <w:rsid w:val="382A6F95"/>
    <w:rsid w:val="382C0A37"/>
    <w:rsid w:val="382DAACB"/>
    <w:rsid w:val="382EE688"/>
    <w:rsid w:val="382FBD44"/>
    <w:rsid w:val="38304D9E"/>
    <w:rsid w:val="3835E41B"/>
    <w:rsid w:val="3835F883"/>
    <w:rsid w:val="38364320"/>
    <w:rsid w:val="38378A26"/>
    <w:rsid w:val="3838A684"/>
    <w:rsid w:val="3838BD6E"/>
    <w:rsid w:val="3838E857"/>
    <w:rsid w:val="38392180"/>
    <w:rsid w:val="383AB979"/>
    <w:rsid w:val="383B0568"/>
    <w:rsid w:val="383DDE02"/>
    <w:rsid w:val="383E2177"/>
    <w:rsid w:val="383F12E8"/>
    <w:rsid w:val="3841229A"/>
    <w:rsid w:val="384207A7"/>
    <w:rsid w:val="384253C3"/>
    <w:rsid w:val="38429422"/>
    <w:rsid w:val="38443A04"/>
    <w:rsid w:val="3844C888"/>
    <w:rsid w:val="38457BF4"/>
    <w:rsid w:val="384627E0"/>
    <w:rsid w:val="38468D0F"/>
    <w:rsid w:val="3846FDBD"/>
    <w:rsid w:val="38470AFB"/>
    <w:rsid w:val="3848DA90"/>
    <w:rsid w:val="384C620D"/>
    <w:rsid w:val="384DCFB0"/>
    <w:rsid w:val="384E3838"/>
    <w:rsid w:val="3851BCBB"/>
    <w:rsid w:val="38534524"/>
    <w:rsid w:val="38536CFB"/>
    <w:rsid w:val="3853BDAC"/>
    <w:rsid w:val="3853E8C3"/>
    <w:rsid w:val="38540FCD"/>
    <w:rsid w:val="3854D671"/>
    <w:rsid w:val="3856795B"/>
    <w:rsid w:val="385BAA18"/>
    <w:rsid w:val="385CFB26"/>
    <w:rsid w:val="385F43FD"/>
    <w:rsid w:val="385F8ECB"/>
    <w:rsid w:val="3860B44A"/>
    <w:rsid w:val="38641421"/>
    <w:rsid w:val="38642986"/>
    <w:rsid w:val="3864CBDE"/>
    <w:rsid w:val="38656C85"/>
    <w:rsid w:val="386604FF"/>
    <w:rsid w:val="386A762D"/>
    <w:rsid w:val="386E4C23"/>
    <w:rsid w:val="3870DB80"/>
    <w:rsid w:val="3870F09A"/>
    <w:rsid w:val="3871684C"/>
    <w:rsid w:val="3872D4DB"/>
    <w:rsid w:val="387399B5"/>
    <w:rsid w:val="3873FDE5"/>
    <w:rsid w:val="38742FB8"/>
    <w:rsid w:val="3876B7D1"/>
    <w:rsid w:val="387743EA"/>
    <w:rsid w:val="3877746B"/>
    <w:rsid w:val="38777E6F"/>
    <w:rsid w:val="38797986"/>
    <w:rsid w:val="387B178E"/>
    <w:rsid w:val="387E8EBC"/>
    <w:rsid w:val="38838738"/>
    <w:rsid w:val="3884DBE7"/>
    <w:rsid w:val="388579F2"/>
    <w:rsid w:val="3885E805"/>
    <w:rsid w:val="3887839C"/>
    <w:rsid w:val="388929B8"/>
    <w:rsid w:val="388BD513"/>
    <w:rsid w:val="388FA0B8"/>
    <w:rsid w:val="38909543"/>
    <w:rsid w:val="38929852"/>
    <w:rsid w:val="38937CA3"/>
    <w:rsid w:val="38942FB4"/>
    <w:rsid w:val="38944249"/>
    <w:rsid w:val="3895330F"/>
    <w:rsid w:val="3896A38E"/>
    <w:rsid w:val="3896BCDE"/>
    <w:rsid w:val="3896FFA3"/>
    <w:rsid w:val="3897DCE2"/>
    <w:rsid w:val="3898560D"/>
    <w:rsid w:val="389890D8"/>
    <w:rsid w:val="389F0EAF"/>
    <w:rsid w:val="389FCCD2"/>
    <w:rsid w:val="389FFD14"/>
    <w:rsid w:val="38A1AAB0"/>
    <w:rsid w:val="38A27C2F"/>
    <w:rsid w:val="38A35713"/>
    <w:rsid w:val="38A37AE7"/>
    <w:rsid w:val="38A6EE6A"/>
    <w:rsid w:val="38A76F76"/>
    <w:rsid w:val="38A8599B"/>
    <w:rsid w:val="38A94B60"/>
    <w:rsid w:val="38AB5913"/>
    <w:rsid w:val="38ABC3C8"/>
    <w:rsid w:val="38AE698F"/>
    <w:rsid w:val="38AE9B5B"/>
    <w:rsid w:val="38AEBFFB"/>
    <w:rsid w:val="38B00600"/>
    <w:rsid w:val="38B01EEA"/>
    <w:rsid w:val="38B05FD6"/>
    <w:rsid w:val="38B1B275"/>
    <w:rsid w:val="38B38451"/>
    <w:rsid w:val="38B3C237"/>
    <w:rsid w:val="38B54E42"/>
    <w:rsid w:val="38B60658"/>
    <w:rsid w:val="38B6225D"/>
    <w:rsid w:val="38B62E42"/>
    <w:rsid w:val="38B6CBA6"/>
    <w:rsid w:val="38B7C726"/>
    <w:rsid w:val="38BA6093"/>
    <w:rsid w:val="38BB60CA"/>
    <w:rsid w:val="38BF1835"/>
    <w:rsid w:val="38C01A7A"/>
    <w:rsid w:val="38C05E31"/>
    <w:rsid w:val="38C15AC8"/>
    <w:rsid w:val="38C40B56"/>
    <w:rsid w:val="38C76890"/>
    <w:rsid w:val="38CB483E"/>
    <w:rsid w:val="38CB76D6"/>
    <w:rsid w:val="38CE4ECF"/>
    <w:rsid w:val="38CEDE2A"/>
    <w:rsid w:val="38CF670F"/>
    <w:rsid w:val="38D00380"/>
    <w:rsid w:val="38D16E44"/>
    <w:rsid w:val="38D273CA"/>
    <w:rsid w:val="38D2D09B"/>
    <w:rsid w:val="38D6A831"/>
    <w:rsid w:val="38D706A2"/>
    <w:rsid w:val="38D7C324"/>
    <w:rsid w:val="38D80D7E"/>
    <w:rsid w:val="38D865D6"/>
    <w:rsid w:val="38D87E89"/>
    <w:rsid w:val="38D8D14B"/>
    <w:rsid w:val="38DA6E31"/>
    <w:rsid w:val="38DAE80B"/>
    <w:rsid w:val="38DD1488"/>
    <w:rsid w:val="38DDB11B"/>
    <w:rsid w:val="38DE3A14"/>
    <w:rsid w:val="38DF47FC"/>
    <w:rsid w:val="38E0B2BF"/>
    <w:rsid w:val="38E10EB5"/>
    <w:rsid w:val="38E1E9A3"/>
    <w:rsid w:val="38E23699"/>
    <w:rsid w:val="38E2991E"/>
    <w:rsid w:val="38E300FD"/>
    <w:rsid w:val="38E4AB3E"/>
    <w:rsid w:val="38E51D5C"/>
    <w:rsid w:val="38E8BEC3"/>
    <w:rsid w:val="38EC187A"/>
    <w:rsid w:val="38EF4AB7"/>
    <w:rsid w:val="38F78561"/>
    <w:rsid w:val="38FB35C4"/>
    <w:rsid w:val="38FC7E5B"/>
    <w:rsid w:val="38FCA6BD"/>
    <w:rsid w:val="38FD222B"/>
    <w:rsid w:val="38FE813C"/>
    <w:rsid w:val="38FFF82B"/>
    <w:rsid w:val="3905577D"/>
    <w:rsid w:val="390616D4"/>
    <w:rsid w:val="39065BB0"/>
    <w:rsid w:val="39067EA3"/>
    <w:rsid w:val="39076782"/>
    <w:rsid w:val="3907CA51"/>
    <w:rsid w:val="390895AA"/>
    <w:rsid w:val="3909376D"/>
    <w:rsid w:val="390A5D5C"/>
    <w:rsid w:val="390AE609"/>
    <w:rsid w:val="390B0172"/>
    <w:rsid w:val="390BC8B5"/>
    <w:rsid w:val="390C502D"/>
    <w:rsid w:val="391040AA"/>
    <w:rsid w:val="391074AF"/>
    <w:rsid w:val="39115053"/>
    <w:rsid w:val="39116045"/>
    <w:rsid w:val="3912336F"/>
    <w:rsid w:val="3913612F"/>
    <w:rsid w:val="39143882"/>
    <w:rsid w:val="3917C06C"/>
    <w:rsid w:val="3917F4E3"/>
    <w:rsid w:val="391A7C54"/>
    <w:rsid w:val="391D2FAB"/>
    <w:rsid w:val="391D3950"/>
    <w:rsid w:val="3922E506"/>
    <w:rsid w:val="392515DB"/>
    <w:rsid w:val="39252093"/>
    <w:rsid w:val="3925CBEC"/>
    <w:rsid w:val="39269444"/>
    <w:rsid w:val="39276A1C"/>
    <w:rsid w:val="39292B9D"/>
    <w:rsid w:val="3929594A"/>
    <w:rsid w:val="392A1048"/>
    <w:rsid w:val="392BF048"/>
    <w:rsid w:val="392CCB82"/>
    <w:rsid w:val="392CD8EB"/>
    <w:rsid w:val="392D108B"/>
    <w:rsid w:val="392EF79A"/>
    <w:rsid w:val="392FF255"/>
    <w:rsid w:val="3931653B"/>
    <w:rsid w:val="3933C37F"/>
    <w:rsid w:val="393A6487"/>
    <w:rsid w:val="393E42E5"/>
    <w:rsid w:val="393FD709"/>
    <w:rsid w:val="394110B4"/>
    <w:rsid w:val="39426AD2"/>
    <w:rsid w:val="39438497"/>
    <w:rsid w:val="39452D56"/>
    <w:rsid w:val="394927DA"/>
    <w:rsid w:val="394BBA6D"/>
    <w:rsid w:val="394CF121"/>
    <w:rsid w:val="394D348A"/>
    <w:rsid w:val="394EBF39"/>
    <w:rsid w:val="394F38F6"/>
    <w:rsid w:val="3950A755"/>
    <w:rsid w:val="3952C8E8"/>
    <w:rsid w:val="395B21EC"/>
    <w:rsid w:val="395C20D4"/>
    <w:rsid w:val="396045A4"/>
    <w:rsid w:val="3960D8FF"/>
    <w:rsid w:val="3962AFA3"/>
    <w:rsid w:val="396540F1"/>
    <w:rsid w:val="3967D740"/>
    <w:rsid w:val="396A58F2"/>
    <w:rsid w:val="396AA831"/>
    <w:rsid w:val="396F20A6"/>
    <w:rsid w:val="396F51D7"/>
    <w:rsid w:val="396FEAED"/>
    <w:rsid w:val="3970E564"/>
    <w:rsid w:val="3970F403"/>
    <w:rsid w:val="39732972"/>
    <w:rsid w:val="3975A5E8"/>
    <w:rsid w:val="397683A8"/>
    <w:rsid w:val="39779747"/>
    <w:rsid w:val="397824B2"/>
    <w:rsid w:val="39799402"/>
    <w:rsid w:val="3979F9F2"/>
    <w:rsid w:val="397B09F4"/>
    <w:rsid w:val="397B5E3D"/>
    <w:rsid w:val="397C7222"/>
    <w:rsid w:val="397EAD41"/>
    <w:rsid w:val="397EB5CB"/>
    <w:rsid w:val="397FD3B7"/>
    <w:rsid w:val="3982CEDA"/>
    <w:rsid w:val="3982F7BC"/>
    <w:rsid w:val="3983EE4A"/>
    <w:rsid w:val="39841C18"/>
    <w:rsid w:val="3984B62A"/>
    <w:rsid w:val="398541B4"/>
    <w:rsid w:val="39869667"/>
    <w:rsid w:val="3986BBAB"/>
    <w:rsid w:val="398737D4"/>
    <w:rsid w:val="3987F62E"/>
    <w:rsid w:val="398DABA6"/>
    <w:rsid w:val="398FF8F1"/>
    <w:rsid w:val="3990BE39"/>
    <w:rsid w:val="39913FF3"/>
    <w:rsid w:val="3992316F"/>
    <w:rsid w:val="3993035F"/>
    <w:rsid w:val="399516D0"/>
    <w:rsid w:val="399CF4E8"/>
    <w:rsid w:val="399D11CC"/>
    <w:rsid w:val="399D75E9"/>
    <w:rsid w:val="399D7A77"/>
    <w:rsid w:val="399EBB7A"/>
    <w:rsid w:val="399EE755"/>
    <w:rsid w:val="399FF654"/>
    <w:rsid w:val="39A0F73C"/>
    <w:rsid w:val="39A1ED06"/>
    <w:rsid w:val="39A2EB41"/>
    <w:rsid w:val="39A3281E"/>
    <w:rsid w:val="39A5599C"/>
    <w:rsid w:val="39A69678"/>
    <w:rsid w:val="39A7C213"/>
    <w:rsid w:val="39A97267"/>
    <w:rsid w:val="39A9C229"/>
    <w:rsid w:val="39AA836A"/>
    <w:rsid w:val="39AAD65F"/>
    <w:rsid w:val="39B0F788"/>
    <w:rsid w:val="39B23AF0"/>
    <w:rsid w:val="39B5CBE7"/>
    <w:rsid w:val="39B6B84A"/>
    <w:rsid w:val="39BC7E66"/>
    <w:rsid w:val="39BD6E59"/>
    <w:rsid w:val="39BFCB91"/>
    <w:rsid w:val="39C04363"/>
    <w:rsid w:val="39C2568F"/>
    <w:rsid w:val="39C27A92"/>
    <w:rsid w:val="39C2D086"/>
    <w:rsid w:val="39C46396"/>
    <w:rsid w:val="39C4924F"/>
    <w:rsid w:val="39C675EE"/>
    <w:rsid w:val="39C70FA7"/>
    <w:rsid w:val="39C725D1"/>
    <w:rsid w:val="39C7B42D"/>
    <w:rsid w:val="39C8199D"/>
    <w:rsid w:val="39CB4C74"/>
    <w:rsid w:val="39CBF5C3"/>
    <w:rsid w:val="39CC592F"/>
    <w:rsid w:val="39CC8C25"/>
    <w:rsid w:val="39CD6D92"/>
    <w:rsid w:val="39CF4F55"/>
    <w:rsid w:val="39D12459"/>
    <w:rsid w:val="39D16358"/>
    <w:rsid w:val="39D3A87C"/>
    <w:rsid w:val="39D3FBD5"/>
    <w:rsid w:val="39D5D942"/>
    <w:rsid w:val="39D72D58"/>
    <w:rsid w:val="39D977AF"/>
    <w:rsid w:val="39DAD87E"/>
    <w:rsid w:val="39DB953D"/>
    <w:rsid w:val="39DE71AB"/>
    <w:rsid w:val="39DFA1F0"/>
    <w:rsid w:val="39E16884"/>
    <w:rsid w:val="39E1E16E"/>
    <w:rsid w:val="39E1E40D"/>
    <w:rsid w:val="39E1FC13"/>
    <w:rsid w:val="39E4AAF4"/>
    <w:rsid w:val="39E4B4F7"/>
    <w:rsid w:val="39E5EEAB"/>
    <w:rsid w:val="39E810E6"/>
    <w:rsid w:val="39E9D886"/>
    <w:rsid w:val="39EA7A88"/>
    <w:rsid w:val="39EAA586"/>
    <w:rsid w:val="39EAD6DD"/>
    <w:rsid w:val="39ED81F6"/>
    <w:rsid w:val="39EE7E9F"/>
    <w:rsid w:val="39EE8416"/>
    <w:rsid w:val="39F3AB8A"/>
    <w:rsid w:val="39F5A0CC"/>
    <w:rsid w:val="39F5B4A5"/>
    <w:rsid w:val="39FE3ED4"/>
    <w:rsid w:val="39FE9099"/>
    <w:rsid w:val="39FEE4CF"/>
    <w:rsid w:val="39FF4B2F"/>
    <w:rsid w:val="3A0025F9"/>
    <w:rsid w:val="3A0258B0"/>
    <w:rsid w:val="3A02731A"/>
    <w:rsid w:val="3A047ECC"/>
    <w:rsid w:val="3A079DB6"/>
    <w:rsid w:val="3A0939C9"/>
    <w:rsid w:val="3A09BBCF"/>
    <w:rsid w:val="3A0A5D3C"/>
    <w:rsid w:val="3A0CC0A9"/>
    <w:rsid w:val="3A0EDF47"/>
    <w:rsid w:val="3A0FE8D9"/>
    <w:rsid w:val="3A1027A2"/>
    <w:rsid w:val="3A13C538"/>
    <w:rsid w:val="3A14295F"/>
    <w:rsid w:val="3A147E11"/>
    <w:rsid w:val="3A17C389"/>
    <w:rsid w:val="3A1832F8"/>
    <w:rsid w:val="3A18435C"/>
    <w:rsid w:val="3A189AD7"/>
    <w:rsid w:val="3A1A655A"/>
    <w:rsid w:val="3A1A920B"/>
    <w:rsid w:val="3A201C51"/>
    <w:rsid w:val="3A202AF6"/>
    <w:rsid w:val="3A2063D2"/>
    <w:rsid w:val="3A215D4E"/>
    <w:rsid w:val="3A239410"/>
    <w:rsid w:val="3A24D34E"/>
    <w:rsid w:val="3A268BAE"/>
    <w:rsid w:val="3A28DA2B"/>
    <w:rsid w:val="3A29C80D"/>
    <w:rsid w:val="3A2A4AC7"/>
    <w:rsid w:val="3A2A4D2E"/>
    <w:rsid w:val="3A2AD377"/>
    <w:rsid w:val="3A2EF335"/>
    <w:rsid w:val="3A2F9FD0"/>
    <w:rsid w:val="3A30641C"/>
    <w:rsid w:val="3A30D399"/>
    <w:rsid w:val="3A334C9A"/>
    <w:rsid w:val="3A37A881"/>
    <w:rsid w:val="3A3CA9F5"/>
    <w:rsid w:val="3A3EBB29"/>
    <w:rsid w:val="3A3F4855"/>
    <w:rsid w:val="3A428D41"/>
    <w:rsid w:val="3A43859F"/>
    <w:rsid w:val="3A4416E3"/>
    <w:rsid w:val="3A44AF98"/>
    <w:rsid w:val="3A44BDFA"/>
    <w:rsid w:val="3A4531AB"/>
    <w:rsid w:val="3A456ECF"/>
    <w:rsid w:val="3A48EA41"/>
    <w:rsid w:val="3A496CC4"/>
    <w:rsid w:val="3A4AE142"/>
    <w:rsid w:val="3A4C7DE8"/>
    <w:rsid w:val="3A4E0483"/>
    <w:rsid w:val="3A4E6A93"/>
    <w:rsid w:val="3A5034B3"/>
    <w:rsid w:val="3A50A755"/>
    <w:rsid w:val="3A50B687"/>
    <w:rsid w:val="3A51BE0F"/>
    <w:rsid w:val="3A532C70"/>
    <w:rsid w:val="3A5356BE"/>
    <w:rsid w:val="3A542496"/>
    <w:rsid w:val="3A5570F8"/>
    <w:rsid w:val="3A557902"/>
    <w:rsid w:val="3A58F46B"/>
    <w:rsid w:val="3A59885E"/>
    <w:rsid w:val="3A5A582B"/>
    <w:rsid w:val="3A5B6417"/>
    <w:rsid w:val="3A5BEC39"/>
    <w:rsid w:val="3A5C8486"/>
    <w:rsid w:val="3A5E5544"/>
    <w:rsid w:val="3A60495D"/>
    <w:rsid w:val="3A651BD9"/>
    <w:rsid w:val="3A670B08"/>
    <w:rsid w:val="3A68E8D9"/>
    <w:rsid w:val="3A69333E"/>
    <w:rsid w:val="3A711A1D"/>
    <w:rsid w:val="3A749AB7"/>
    <w:rsid w:val="3A76560C"/>
    <w:rsid w:val="3A77766A"/>
    <w:rsid w:val="3A7971FA"/>
    <w:rsid w:val="3A79DDAA"/>
    <w:rsid w:val="3A7C7197"/>
    <w:rsid w:val="3A7D44A8"/>
    <w:rsid w:val="3A844BB3"/>
    <w:rsid w:val="3A866A46"/>
    <w:rsid w:val="3A8A6C66"/>
    <w:rsid w:val="3A8B4FEE"/>
    <w:rsid w:val="3A8CB25E"/>
    <w:rsid w:val="3A92A553"/>
    <w:rsid w:val="3A92F55D"/>
    <w:rsid w:val="3A94EEF6"/>
    <w:rsid w:val="3A966577"/>
    <w:rsid w:val="3A96859F"/>
    <w:rsid w:val="3A989786"/>
    <w:rsid w:val="3A98AAA0"/>
    <w:rsid w:val="3A98CFC9"/>
    <w:rsid w:val="3A9B70B8"/>
    <w:rsid w:val="3A9BD24D"/>
    <w:rsid w:val="3A9FB974"/>
    <w:rsid w:val="3AA1C0D9"/>
    <w:rsid w:val="3AA30132"/>
    <w:rsid w:val="3AA34329"/>
    <w:rsid w:val="3AA64A92"/>
    <w:rsid w:val="3AA7B8EF"/>
    <w:rsid w:val="3AAB3432"/>
    <w:rsid w:val="3AAB4EDA"/>
    <w:rsid w:val="3AAC7B0C"/>
    <w:rsid w:val="3AACAC72"/>
    <w:rsid w:val="3AAE61AB"/>
    <w:rsid w:val="3AAEBFDB"/>
    <w:rsid w:val="3AAF5A91"/>
    <w:rsid w:val="3AB21A56"/>
    <w:rsid w:val="3AB2A51D"/>
    <w:rsid w:val="3AB2FE36"/>
    <w:rsid w:val="3AB3FBA3"/>
    <w:rsid w:val="3AB5B2B6"/>
    <w:rsid w:val="3AB69E25"/>
    <w:rsid w:val="3AB78891"/>
    <w:rsid w:val="3AB7B61C"/>
    <w:rsid w:val="3AB9243F"/>
    <w:rsid w:val="3ABB66DF"/>
    <w:rsid w:val="3ABBBE6E"/>
    <w:rsid w:val="3ABC4745"/>
    <w:rsid w:val="3ABE9816"/>
    <w:rsid w:val="3AC019FB"/>
    <w:rsid w:val="3AC14B54"/>
    <w:rsid w:val="3AC18139"/>
    <w:rsid w:val="3AC1A479"/>
    <w:rsid w:val="3AC4648E"/>
    <w:rsid w:val="3AC467D6"/>
    <w:rsid w:val="3AC50E09"/>
    <w:rsid w:val="3AC52F41"/>
    <w:rsid w:val="3AC6231B"/>
    <w:rsid w:val="3AC71BA0"/>
    <w:rsid w:val="3AC76869"/>
    <w:rsid w:val="3ACE937C"/>
    <w:rsid w:val="3AD148AA"/>
    <w:rsid w:val="3AD19671"/>
    <w:rsid w:val="3AD498A3"/>
    <w:rsid w:val="3AD8AB70"/>
    <w:rsid w:val="3AD8CCE8"/>
    <w:rsid w:val="3AD93113"/>
    <w:rsid w:val="3AD95742"/>
    <w:rsid w:val="3AD968F6"/>
    <w:rsid w:val="3AD9AC55"/>
    <w:rsid w:val="3ADADCFA"/>
    <w:rsid w:val="3ADD10BF"/>
    <w:rsid w:val="3ADD9C5F"/>
    <w:rsid w:val="3ADFEE31"/>
    <w:rsid w:val="3AE28D7F"/>
    <w:rsid w:val="3AE2C1FD"/>
    <w:rsid w:val="3AE67465"/>
    <w:rsid w:val="3AE76727"/>
    <w:rsid w:val="3AE77625"/>
    <w:rsid w:val="3AE8DE05"/>
    <w:rsid w:val="3AECE10E"/>
    <w:rsid w:val="3AEE667F"/>
    <w:rsid w:val="3AEF0869"/>
    <w:rsid w:val="3AF3CB3D"/>
    <w:rsid w:val="3AF42CCA"/>
    <w:rsid w:val="3AF5DE5A"/>
    <w:rsid w:val="3AF82C0F"/>
    <w:rsid w:val="3AFB13FB"/>
    <w:rsid w:val="3AFE36B9"/>
    <w:rsid w:val="3AFEF9D3"/>
    <w:rsid w:val="3AFF1C02"/>
    <w:rsid w:val="3B004272"/>
    <w:rsid w:val="3B005F58"/>
    <w:rsid w:val="3B013717"/>
    <w:rsid w:val="3B031978"/>
    <w:rsid w:val="3B035F07"/>
    <w:rsid w:val="3B040290"/>
    <w:rsid w:val="3B04D346"/>
    <w:rsid w:val="3B05B81C"/>
    <w:rsid w:val="3B086239"/>
    <w:rsid w:val="3B087161"/>
    <w:rsid w:val="3B096351"/>
    <w:rsid w:val="3B0A28B3"/>
    <w:rsid w:val="3B0D263C"/>
    <w:rsid w:val="3B0DD45F"/>
    <w:rsid w:val="3B0DEB68"/>
    <w:rsid w:val="3B0EB49C"/>
    <w:rsid w:val="3B10454D"/>
    <w:rsid w:val="3B116DDD"/>
    <w:rsid w:val="3B11C90C"/>
    <w:rsid w:val="3B125D59"/>
    <w:rsid w:val="3B12DEF3"/>
    <w:rsid w:val="3B138D2A"/>
    <w:rsid w:val="3B1581CC"/>
    <w:rsid w:val="3B166880"/>
    <w:rsid w:val="3B185B22"/>
    <w:rsid w:val="3B1A8333"/>
    <w:rsid w:val="3B1A84C4"/>
    <w:rsid w:val="3B1AB20A"/>
    <w:rsid w:val="3B1B0033"/>
    <w:rsid w:val="3B1B3AD3"/>
    <w:rsid w:val="3B1E4A57"/>
    <w:rsid w:val="3B1E7593"/>
    <w:rsid w:val="3B1EADB8"/>
    <w:rsid w:val="3B20627C"/>
    <w:rsid w:val="3B23E0BB"/>
    <w:rsid w:val="3B246E28"/>
    <w:rsid w:val="3B268580"/>
    <w:rsid w:val="3B27A7BD"/>
    <w:rsid w:val="3B27CA72"/>
    <w:rsid w:val="3B28E3EF"/>
    <w:rsid w:val="3B2930E6"/>
    <w:rsid w:val="3B2A6D71"/>
    <w:rsid w:val="3B2A94C5"/>
    <w:rsid w:val="3B2B891F"/>
    <w:rsid w:val="3B2B9582"/>
    <w:rsid w:val="3B2BB1AF"/>
    <w:rsid w:val="3B2C8A5F"/>
    <w:rsid w:val="3B2CD85D"/>
    <w:rsid w:val="3B2E2E3A"/>
    <w:rsid w:val="3B2FFE7E"/>
    <w:rsid w:val="3B322154"/>
    <w:rsid w:val="3B323ABC"/>
    <w:rsid w:val="3B324FA1"/>
    <w:rsid w:val="3B32781A"/>
    <w:rsid w:val="3B3426B0"/>
    <w:rsid w:val="3B34AEA3"/>
    <w:rsid w:val="3B34DC70"/>
    <w:rsid w:val="3B362A82"/>
    <w:rsid w:val="3B369C03"/>
    <w:rsid w:val="3B36D57E"/>
    <w:rsid w:val="3B383313"/>
    <w:rsid w:val="3B385BD6"/>
    <w:rsid w:val="3B399FA6"/>
    <w:rsid w:val="3B39C1EE"/>
    <w:rsid w:val="3B3F031B"/>
    <w:rsid w:val="3B40805F"/>
    <w:rsid w:val="3B40F6C9"/>
    <w:rsid w:val="3B42981B"/>
    <w:rsid w:val="3B4623A0"/>
    <w:rsid w:val="3B4783F1"/>
    <w:rsid w:val="3B49058C"/>
    <w:rsid w:val="3B4D8DF1"/>
    <w:rsid w:val="3B4F4753"/>
    <w:rsid w:val="3B4FB20B"/>
    <w:rsid w:val="3B51E07D"/>
    <w:rsid w:val="3B521A4B"/>
    <w:rsid w:val="3B5257F6"/>
    <w:rsid w:val="3B52C8C0"/>
    <w:rsid w:val="3B552A20"/>
    <w:rsid w:val="3B55A1CA"/>
    <w:rsid w:val="3B56DB9B"/>
    <w:rsid w:val="3B581032"/>
    <w:rsid w:val="3B59B7E3"/>
    <w:rsid w:val="3B5A4E51"/>
    <w:rsid w:val="3B5BD95C"/>
    <w:rsid w:val="3B5CD9E9"/>
    <w:rsid w:val="3B5F28B9"/>
    <w:rsid w:val="3B5FADFE"/>
    <w:rsid w:val="3B652B69"/>
    <w:rsid w:val="3B6628A1"/>
    <w:rsid w:val="3B685719"/>
    <w:rsid w:val="3B6946A7"/>
    <w:rsid w:val="3B6D7C05"/>
    <w:rsid w:val="3B6E1ED6"/>
    <w:rsid w:val="3B6FFFFF"/>
    <w:rsid w:val="3B7169B9"/>
    <w:rsid w:val="3B716A65"/>
    <w:rsid w:val="3B721AAC"/>
    <w:rsid w:val="3B731BD7"/>
    <w:rsid w:val="3B742846"/>
    <w:rsid w:val="3B75B0B5"/>
    <w:rsid w:val="3B76633E"/>
    <w:rsid w:val="3B76C9F3"/>
    <w:rsid w:val="3B775DBC"/>
    <w:rsid w:val="3B77B51A"/>
    <w:rsid w:val="3B7BD462"/>
    <w:rsid w:val="3B7D823A"/>
    <w:rsid w:val="3B7DC5E5"/>
    <w:rsid w:val="3B7EFB98"/>
    <w:rsid w:val="3B8161CB"/>
    <w:rsid w:val="3B82247A"/>
    <w:rsid w:val="3B84D3CC"/>
    <w:rsid w:val="3B85E751"/>
    <w:rsid w:val="3B87CD28"/>
    <w:rsid w:val="3B883258"/>
    <w:rsid w:val="3B88F350"/>
    <w:rsid w:val="3B8A12DA"/>
    <w:rsid w:val="3B8BFA39"/>
    <w:rsid w:val="3B8D442D"/>
    <w:rsid w:val="3B9079D1"/>
    <w:rsid w:val="3B91EA54"/>
    <w:rsid w:val="3B92E599"/>
    <w:rsid w:val="3B97C440"/>
    <w:rsid w:val="3B9CDC16"/>
    <w:rsid w:val="3B9D8E81"/>
    <w:rsid w:val="3B9E6D6B"/>
    <w:rsid w:val="3B9E8DD3"/>
    <w:rsid w:val="3BA07329"/>
    <w:rsid w:val="3BA0B66C"/>
    <w:rsid w:val="3BA38F0C"/>
    <w:rsid w:val="3BA3B04C"/>
    <w:rsid w:val="3BA48DC3"/>
    <w:rsid w:val="3BA5A720"/>
    <w:rsid w:val="3BA6867F"/>
    <w:rsid w:val="3BA7E0EB"/>
    <w:rsid w:val="3BA8F8E6"/>
    <w:rsid w:val="3BA90FDE"/>
    <w:rsid w:val="3BA9A5C9"/>
    <w:rsid w:val="3BAB2D6E"/>
    <w:rsid w:val="3BADA4E3"/>
    <w:rsid w:val="3BB131D0"/>
    <w:rsid w:val="3BB17CB5"/>
    <w:rsid w:val="3BB2411A"/>
    <w:rsid w:val="3BB6848B"/>
    <w:rsid w:val="3BB7B95F"/>
    <w:rsid w:val="3BB88C20"/>
    <w:rsid w:val="3BB963F3"/>
    <w:rsid w:val="3BBA3DC7"/>
    <w:rsid w:val="3BBA664C"/>
    <w:rsid w:val="3BBBBF3C"/>
    <w:rsid w:val="3BBF5B4B"/>
    <w:rsid w:val="3BC15D19"/>
    <w:rsid w:val="3BC2A9BF"/>
    <w:rsid w:val="3BC3F91D"/>
    <w:rsid w:val="3BC533A8"/>
    <w:rsid w:val="3BC53662"/>
    <w:rsid w:val="3BCB14C3"/>
    <w:rsid w:val="3BD00ACB"/>
    <w:rsid w:val="3BD061ED"/>
    <w:rsid w:val="3BD1B15C"/>
    <w:rsid w:val="3BD21D14"/>
    <w:rsid w:val="3BD2ED29"/>
    <w:rsid w:val="3BD5795B"/>
    <w:rsid w:val="3BD62F2F"/>
    <w:rsid w:val="3BD643CE"/>
    <w:rsid w:val="3BD71311"/>
    <w:rsid w:val="3BD71FFD"/>
    <w:rsid w:val="3BD7CBE6"/>
    <w:rsid w:val="3BD814CF"/>
    <w:rsid w:val="3BDBF518"/>
    <w:rsid w:val="3BDC298B"/>
    <w:rsid w:val="3BDC33FD"/>
    <w:rsid w:val="3BDD1B67"/>
    <w:rsid w:val="3BDF45B9"/>
    <w:rsid w:val="3BDFCFDF"/>
    <w:rsid w:val="3BE1DBB9"/>
    <w:rsid w:val="3BE36342"/>
    <w:rsid w:val="3BE40D04"/>
    <w:rsid w:val="3BE45FCF"/>
    <w:rsid w:val="3BE75555"/>
    <w:rsid w:val="3BE770BA"/>
    <w:rsid w:val="3BE7C232"/>
    <w:rsid w:val="3BE99DF4"/>
    <w:rsid w:val="3BEAE058"/>
    <w:rsid w:val="3BEB08DE"/>
    <w:rsid w:val="3BEB700D"/>
    <w:rsid w:val="3BECF2AD"/>
    <w:rsid w:val="3BEF597C"/>
    <w:rsid w:val="3BEFAE07"/>
    <w:rsid w:val="3BF09F70"/>
    <w:rsid w:val="3BF15E31"/>
    <w:rsid w:val="3BF36F92"/>
    <w:rsid w:val="3BF4DE46"/>
    <w:rsid w:val="3BF82529"/>
    <w:rsid w:val="3BF8D4CC"/>
    <w:rsid w:val="3BFAAB55"/>
    <w:rsid w:val="3BFB856D"/>
    <w:rsid w:val="3BFC6A8A"/>
    <w:rsid w:val="3BFCB7B0"/>
    <w:rsid w:val="3BFCE445"/>
    <w:rsid w:val="3BFD77A8"/>
    <w:rsid w:val="3BFF1ED8"/>
    <w:rsid w:val="3C041208"/>
    <w:rsid w:val="3C041FEF"/>
    <w:rsid w:val="3C08BA40"/>
    <w:rsid w:val="3C08CC83"/>
    <w:rsid w:val="3C123904"/>
    <w:rsid w:val="3C1384F2"/>
    <w:rsid w:val="3C13CCC1"/>
    <w:rsid w:val="3C13E84E"/>
    <w:rsid w:val="3C152C32"/>
    <w:rsid w:val="3C16B85B"/>
    <w:rsid w:val="3C1D0955"/>
    <w:rsid w:val="3C1D8C3C"/>
    <w:rsid w:val="3C1F7E42"/>
    <w:rsid w:val="3C22F824"/>
    <w:rsid w:val="3C2358EC"/>
    <w:rsid w:val="3C26B56F"/>
    <w:rsid w:val="3C27A609"/>
    <w:rsid w:val="3C27A984"/>
    <w:rsid w:val="3C282D78"/>
    <w:rsid w:val="3C284EDA"/>
    <w:rsid w:val="3C28A2CA"/>
    <w:rsid w:val="3C2CF01B"/>
    <w:rsid w:val="3C2DFB53"/>
    <w:rsid w:val="3C2E4506"/>
    <w:rsid w:val="3C2F3298"/>
    <w:rsid w:val="3C32112F"/>
    <w:rsid w:val="3C326CCC"/>
    <w:rsid w:val="3C332DB7"/>
    <w:rsid w:val="3C34EB7D"/>
    <w:rsid w:val="3C356CBE"/>
    <w:rsid w:val="3C362775"/>
    <w:rsid w:val="3C37A3B2"/>
    <w:rsid w:val="3C39919E"/>
    <w:rsid w:val="3C3BA635"/>
    <w:rsid w:val="3C43420F"/>
    <w:rsid w:val="3C484616"/>
    <w:rsid w:val="3C492ADF"/>
    <w:rsid w:val="3C499233"/>
    <w:rsid w:val="3C49E756"/>
    <w:rsid w:val="3C4A70BB"/>
    <w:rsid w:val="3C4A936F"/>
    <w:rsid w:val="3C4B0DF1"/>
    <w:rsid w:val="3C4C1F03"/>
    <w:rsid w:val="3C4DBCAE"/>
    <w:rsid w:val="3C4E7456"/>
    <w:rsid w:val="3C4E9FF5"/>
    <w:rsid w:val="3C4EDB11"/>
    <w:rsid w:val="3C51E609"/>
    <w:rsid w:val="3C52A073"/>
    <w:rsid w:val="3C5437E6"/>
    <w:rsid w:val="3C549840"/>
    <w:rsid w:val="3C57957E"/>
    <w:rsid w:val="3C583D16"/>
    <w:rsid w:val="3C58B4D1"/>
    <w:rsid w:val="3C5B7898"/>
    <w:rsid w:val="3C5C9F53"/>
    <w:rsid w:val="3C5D7650"/>
    <w:rsid w:val="3C5E267B"/>
    <w:rsid w:val="3C5EB536"/>
    <w:rsid w:val="3C5FD837"/>
    <w:rsid w:val="3C603ACB"/>
    <w:rsid w:val="3C60522C"/>
    <w:rsid w:val="3C619AD0"/>
    <w:rsid w:val="3C627A11"/>
    <w:rsid w:val="3C62EFF9"/>
    <w:rsid w:val="3C668D73"/>
    <w:rsid w:val="3C680754"/>
    <w:rsid w:val="3C6970B9"/>
    <w:rsid w:val="3C6C9CF5"/>
    <w:rsid w:val="3C6D590E"/>
    <w:rsid w:val="3C704F10"/>
    <w:rsid w:val="3C73AA83"/>
    <w:rsid w:val="3C7498F4"/>
    <w:rsid w:val="3C754323"/>
    <w:rsid w:val="3C75432C"/>
    <w:rsid w:val="3C755A65"/>
    <w:rsid w:val="3C778791"/>
    <w:rsid w:val="3C796D46"/>
    <w:rsid w:val="3C79A545"/>
    <w:rsid w:val="3C7A351A"/>
    <w:rsid w:val="3C7A9007"/>
    <w:rsid w:val="3C7D5B5E"/>
    <w:rsid w:val="3C7ECBDF"/>
    <w:rsid w:val="3C7ECF59"/>
    <w:rsid w:val="3C7F63A3"/>
    <w:rsid w:val="3C7F87B8"/>
    <w:rsid w:val="3C8172A0"/>
    <w:rsid w:val="3C81B0EA"/>
    <w:rsid w:val="3C81BF34"/>
    <w:rsid w:val="3C81EFCC"/>
    <w:rsid w:val="3C8204A8"/>
    <w:rsid w:val="3C840488"/>
    <w:rsid w:val="3C8548A3"/>
    <w:rsid w:val="3C8566CB"/>
    <w:rsid w:val="3C858FE1"/>
    <w:rsid w:val="3C85F9A0"/>
    <w:rsid w:val="3C87522F"/>
    <w:rsid w:val="3C8752B7"/>
    <w:rsid w:val="3C898522"/>
    <w:rsid w:val="3C8B6A82"/>
    <w:rsid w:val="3C8B88B9"/>
    <w:rsid w:val="3C8DB3D9"/>
    <w:rsid w:val="3C8EF796"/>
    <w:rsid w:val="3C90CC95"/>
    <w:rsid w:val="3C911F37"/>
    <w:rsid w:val="3C94FEAA"/>
    <w:rsid w:val="3C966182"/>
    <w:rsid w:val="3C98A0D0"/>
    <w:rsid w:val="3C9908AD"/>
    <w:rsid w:val="3C9A5E59"/>
    <w:rsid w:val="3C9AF769"/>
    <w:rsid w:val="3C9D2BF4"/>
    <w:rsid w:val="3C9D7DD7"/>
    <w:rsid w:val="3C9ED984"/>
    <w:rsid w:val="3CA29046"/>
    <w:rsid w:val="3CA2C5F0"/>
    <w:rsid w:val="3CA2FBF6"/>
    <w:rsid w:val="3CA3267E"/>
    <w:rsid w:val="3CA3693C"/>
    <w:rsid w:val="3CA3A065"/>
    <w:rsid w:val="3CA4C72F"/>
    <w:rsid w:val="3CA57554"/>
    <w:rsid w:val="3CA5EB2B"/>
    <w:rsid w:val="3CA7D1B7"/>
    <w:rsid w:val="3CA88590"/>
    <w:rsid w:val="3CA9BA18"/>
    <w:rsid w:val="3CAA8249"/>
    <w:rsid w:val="3CAAAC7C"/>
    <w:rsid w:val="3CAC54E1"/>
    <w:rsid w:val="3CADE6C7"/>
    <w:rsid w:val="3CAFEE51"/>
    <w:rsid w:val="3CB09046"/>
    <w:rsid w:val="3CB12832"/>
    <w:rsid w:val="3CB1A1C9"/>
    <w:rsid w:val="3CBA8016"/>
    <w:rsid w:val="3CBB3B3D"/>
    <w:rsid w:val="3CBB6477"/>
    <w:rsid w:val="3CBB9643"/>
    <w:rsid w:val="3CBEF520"/>
    <w:rsid w:val="3CC3B4AE"/>
    <w:rsid w:val="3CC3E6C0"/>
    <w:rsid w:val="3CC431C0"/>
    <w:rsid w:val="3CC66302"/>
    <w:rsid w:val="3CC70EBC"/>
    <w:rsid w:val="3CC77512"/>
    <w:rsid w:val="3CC7A9E2"/>
    <w:rsid w:val="3CC8C179"/>
    <w:rsid w:val="3CCAA327"/>
    <w:rsid w:val="3CCBE1CC"/>
    <w:rsid w:val="3CCC2164"/>
    <w:rsid w:val="3CCCCE73"/>
    <w:rsid w:val="3CCF8416"/>
    <w:rsid w:val="3CD368DB"/>
    <w:rsid w:val="3CD446ED"/>
    <w:rsid w:val="3CD850C0"/>
    <w:rsid w:val="3CDE02F6"/>
    <w:rsid w:val="3CDEC794"/>
    <w:rsid w:val="3CDF201C"/>
    <w:rsid w:val="3CDF8225"/>
    <w:rsid w:val="3CDFC9B3"/>
    <w:rsid w:val="3CDFF8B1"/>
    <w:rsid w:val="3CE07C37"/>
    <w:rsid w:val="3CE0C17D"/>
    <w:rsid w:val="3CE23008"/>
    <w:rsid w:val="3CE6FDD2"/>
    <w:rsid w:val="3CEA0ED4"/>
    <w:rsid w:val="3CEAECC5"/>
    <w:rsid w:val="3CEBA40E"/>
    <w:rsid w:val="3CEC0B95"/>
    <w:rsid w:val="3CEC9AD4"/>
    <w:rsid w:val="3CED3A9C"/>
    <w:rsid w:val="3CF05805"/>
    <w:rsid w:val="3CF18390"/>
    <w:rsid w:val="3CF258B6"/>
    <w:rsid w:val="3CF334A7"/>
    <w:rsid w:val="3CF3BA3A"/>
    <w:rsid w:val="3CF3FB69"/>
    <w:rsid w:val="3CF454C6"/>
    <w:rsid w:val="3CF47185"/>
    <w:rsid w:val="3CF704D8"/>
    <w:rsid w:val="3CF7808F"/>
    <w:rsid w:val="3CFAB702"/>
    <w:rsid w:val="3CFC12DF"/>
    <w:rsid w:val="3CFCA064"/>
    <w:rsid w:val="3CFCE9D3"/>
    <w:rsid w:val="3CFD424C"/>
    <w:rsid w:val="3CFD63AC"/>
    <w:rsid w:val="3D002514"/>
    <w:rsid w:val="3D01439C"/>
    <w:rsid w:val="3D02BD2B"/>
    <w:rsid w:val="3D033BE5"/>
    <w:rsid w:val="3D0445B6"/>
    <w:rsid w:val="3D04764E"/>
    <w:rsid w:val="3D056B9B"/>
    <w:rsid w:val="3D06025C"/>
    <w:rsid w:val="3D083944"/>
    <w:rsid w:val="3D08F670"/>
    <w:rsid w:val="3D09C67C"/>
    <w:rsid w:val="3D0B53EF"/>
    <w:rsid w:val="3D0C27C4"/>
    <w:rsid w:val="3D0E8489"/>
    <w:rsid w:val="3D108ABF"/>
    <w:rsid w:val="3D11DA91"/>
    <w:rsid w:val="3D126135"/>
    <w:rsid w:val="3D15309A"/>
    <w:rsid w:val="3D1670ED"/>
    <w:rsid w:val="3D1ACCF7"/>
    <w:rsid w:val="3D1B76A8"/>
    <w:rsid w:val="3D1B7A3B"/>
    <w:rsid w:val="3D1D0A15"/>
    <w:rsid w:val="3D1F9C26"/>
    <w:rsid w:val="3D1FAC6B"/>
    <w:rsid w:val="3D2057B3"/>
    <w:rsid w:val="3D2263FA"/>
    <w:rsid w:val="3D22BB1A"/>
    <w:rsid w:val="3D2422D4"/>
    <w:rsid w:val="3D25BEAF"/>
    <w:rsid w:val="3D262084"/>
    <w:rsid w:val="3D262CB0"/>
    <w:rsid w:val="3D2963D0"/>
    <w:rsid w:val="3D2AD1B6"/>
    <w:rsid w:val="3D2B96FC"/>
    <w:rsid w:val="3D2C4E2D"/>
    <w:rsid w:val="3D2F4530"/>
    <w:rsid w:val="3D2F7158"/>
    <w:rsid w:val="3D311185"/>
    <w:rsid w:val="3D31272A"/>
    <w:rsid w:val="3D31D2A3"/>
    <w:rsid w:val="3D33C6EC"/>
    <w:rsid w:val="3D35D626"/>
    <w:rsid w:val="3D36B105"/>
    <w:rsid w:val="3D39971F"/>
    <w:rsid w:val="3D3FE6F2"/>
    <w:rsid w:val="3D402B9E"/>
    <w:rsid w:val="3D41D684"/>
    <w:rsid w:val="3D43BD3F"/>
    <w:rsid w:val="3D43D320"/>
    <w:rsid w:val="3D4A118A"/>
    <w:rsid w:val="3D4A1606"/>
    <w:rsid w:val="3D512D2E"/>
    <w:rsid w:val="3D517A42"/>
    <w:rsid w:val="3D52CD29"/>
    <w:rsid w:val="3D52ECE1"/>
    <w:rsid w:val="3D537CAC"/>
    <w:rsid w:val="3D542A07"/>
    <w:rsid w:val="3D55729D"/>
    <w:rsid w:val="3D5597C2"/>
    <w:rsid w:val="3D57295C"/>
    <w:rsid w:val="3D583056"/>
    <w:rsid w:val="3D5A8773"/>
    <w:rsid w:val="3D60EA61"/>
    <w:rsid w:val="3D61F058"/>
    <w:rsid w:val="3D65DFE2"/>
    <w:rsid w:val="3D66A443"/>
    <w:rsid w:val="3D675FC1"/>
    <w:rsid w:val="3D6783E8"/>
    <w:rsid w:val="3D67EC43"/>
    <w:rsid w:val="3D69A1F3"/>
    <w:rsid w:val="3D6A2ECF"/>
    <w:rsid w:val="3D6AC6BC"/>
    <w:rsid w:val="3D6BE5F4"/>
    <w:rsid w:val="3D6C3310"/>
    <w:rsid w:val="3D6DD4C9"/>
    <w:rsid w:val="3D6ECF76"/>
    <w:rsid w:val="3D7013BE"/>
    <w:rsid w:val="3D7175CF"/>
    <w:rsid w:val="3D72CD59"/>
    <w:rsid w:val="3D74DB3E"/>
    <w:rsid w:val="3D757ADF"/>
    <w:rsid w:val="3D772E5E"/>
    <w:rsid w:val="3D7E7A3F"/>
    <w:rsid w:val="3D7EE924"/>
    <w:rsid w:val="3D7F024D"/>
    <w:rsid w:val="3D82E7C9"/>
    <w:rsid w:val="3D82EADA"/>
    <w:rsid w:val="3D853D7E"/>
    <w:rsid w:val="3D85E4DB"/>
    <w:rsid w:val="3D883202"/>
    <w:rsid w:val="3D8C97FF"/>
    <w:rsid w:val="3D8E05AD"/>
    <w:rsid w:val="3D8FEDC5"/>
    <w:rsid w:val="3D9021C7"/>
    <w:rsid w:val="3D921D1E"/>
    <w:rsid w:val="3D98ACF1"/>
    <w:rsid w:val="3D9A5FDC"/>
    <w:rsid w:val="3D9B5101"/>
    <w:rsid w:val="3D9F3C36"/>
    <w:rsid w:val="3D9F6DD4"/>
    <w:rsid w:val="3DA13E4A"/>
    <w:rsid w:val="3DA2CB59"/>
    <w:rsid w:val="3DA37B37"/>
    <w:rsid w:val="3DA3916E"/>
    <w:rsid w:val="3DA39AD7"/>
    <w:rsid w:val="3DA4AEC2"/>
    <w:rsid w:val="3DA4BF36"/>
    <w:rsid w:val="3DA53297"/>
    <w:rsid w:val="3DA6C574"/>
    <w:rsid w:val="3DA9A9BD"/>
    <w:rsid w:val="3DA9ABD6"/>
    <w:rsid w:val="3DA9C982"/>
    <w:rsid w:val="3DAB842B"/>
    <w:rsid w:val="3DABBF10"/>
    <w:rsid w:val="3DAC6633"/>
    <w:rsid w:val="3DAEF78F"/>
    <w:rsid w:val="3DB32107"/>
    <w:rsid w:val="3DB3B1CF"/>
    <w:rsid w:val="3DB49BFA"/>
    <w:rsid w:val="3DB4DB60"/>
    <w:rsid w:val="3DB77E5C"/>
    <w:rsid w:val="3DB8DF25"/>
    <w:rsid w:val="3DBCBE55"/>
    <w:rsid w:val="3DBDA18F"/>
    <w:rsid w:val="3DBE5A63"/>
    <w:rsid w:val="3DC2B05C"/>
    <w:rsid w:val="3DC2FD77"/>
    <w:rsid w:val="3DC34709"/>
    <w:rsid w:val="3DC45809"/>
    <w:rsid w:val="3DC666A2"/>
    <w:rsid w:val="3DC78320"/>
    <w:rsid w:val="3DC8A773"/>
    <w:rsid w:val="3DC92970"/>
    <w:rsid w:val="3DC9493F"/>
    <w:rsid w:val="3DCA78C7"/>
    <w:rsid w:val="3DCB6ECB"/>
    <w:rsid w:val="3DCCA622"/>
    <w:rsid w:val="3DCE29E2"/>
    <w:rsid w:val="3DD049E9"/>
    <w:rsid w:val="3DD09DCD"/>
    <w:rsid w:val="3DD1860B"/>
    <w:rsid w:val="3DD22F37"/>
    <w:rsid w:val="3DD58D4F"/>
    <w:rsid w:val="3DD63378"/>
    <w:rsid w:val="3DD66238"/>
    <w:rsid w:val="3DD70319"/>
    <w:rsid w:val="3DD7834C"/>
    <w:rsid w:val="3DD82976"/>
    <w:rsid w:val="3DDBE442"/>
    <w:rsid w:val="3DDD3A23"/>
    <w:rsid w:val="3DDEA4DC"/>
    <w:rsid w:val="3DDECCD1"/>
    <w:rsid w:val="3DDEF978"/>
    <w:rsid w:val="3DE0EBEF"/>
    <w:rsid w:val="3DE2DA6C"/>
    <w:rsid w:val="3DE31C53"/>
    <w:rsid w:val="3DE3A9A8"/>
    <w:rsid w:val="3DE3C3AD"/>
    <w:rsid w:val="3DE452C4"/>
    <w:rsid w:val="3DE4F598"/>
    <w:rsid w:val="3DE64A11"/>
    <w:rsid w:val="3DE78E5A"/>
    <w:rsid w:val="3DEA85E8"/>
    <w:rsid w:val="3DEAD38D"/>
    <w:rsid w:val="3DEB91AC"/>
    <w:rsid w:val="3DEB99D1"/>
    <w:rsid w:val="3DEBB2E7"/>
    <w:rsid w:val="3DEFAB24"/>
    <w:rsid w:val="3DF23327"/>
    <w:rsid w:val="3DF401B5"/>
    <w:rsid w:val="3DF41A5D"/>
    <w:rsid w:val="3DF433EB"/>
    <w:rsid w:val="3DF54E26"/>
    <w:rsid w:val="3DF5A8F1"/>
    <w:rsid w:val="3DF7BDC5"/>
    <w:rsid w:val="3DF7D921"/>
    <w:rsid w:val="3DFA4410"/>
    <w:rsid w:val="3DFAD7D1"/>
    <w:rsid w:val="3DFB1655"/>
    <w:rsid w:val="3DFBD28C"/>
    <w:rsid w:val="3DFC8B67"/>
    <w:rsid w:val="3DFEA5BA"/>
    <w:rsid w:val="3E0845AF"/>
    <w:rsid w:val="3E08BF8A"/>
    <w:rsid w:val="3E0A58FE"/>
    <w:rsid w:val="3E0AA1D0"/>
    <w:rsid w:val="3E0B7586"/>
    <w:rsid w:val="3E0BE14D"/>
    <w:rsid w:val="3E0CB75E"/>
    <w:rsid w:val="3E102F1C"/>
    <w:rsid w:val="3E124D2B"/>
    <w:rsid w:val="3E12BBBE"/>
    <w:rsid w:val="3E18DC5C"/>
    <w:rsid w:val="3E192DD1"/>
    <w:rsid w:val="3E20115F"/>
    <w:rsid w:val="3E207A97"/>
    <w:rsid w:val="3E2301FB"/>
    <w:rsid w:val="3E2310B1"/>
    <w:rsid w:val="3E23CF84"/>
    <w:rsid w:val="3E277D28"/>
    <w:rsid w:val="3E27FBCE"/>
    <w:rsid w:val="3E2867C0"/>
    <w:rsid w:val="3E293CD3"/>
    <w:rsid w:val="3E294F44"/>
    <w:rsid w:val="3E2C058A"/>
    <w:rsid w:val="3E339616"/>
    <w:rsid w:val="3E355CD9"/>
    <w:rsid w:val="3E35D6EA"/>
    <w:rsid w:val="3E36DADF"/>
    <w:rsid w:val="3E383B4D"/>
    <w:rsid w:val="3E38CB4B"/>
    <w:rsid w:val="3E39DAE4"/>
    <w:rsid w:val="3E39EC64"/>
    <w:rsid w:val="3E3CBD22"/>
    <w:rsid w:val="3E3E5A2F"/>
    <w:rsid w:val="3E40404C"/>
    <w:rsid w:val="3E411A42"/>
    <w:rsid w:val="3E427FC1"/>
    <w:rsid w:val="3E44CD47"/>
    <w:rsid w:val="3E45C883"/>
    <w:rsid w:val="3E463846"/>
    <w:rsid w:val="3E49842A"/>
    <w:rsid w:val="3E4C2D1B"/>
    <w:rsid w:val="3E4C9A6B"/>
    <w:rsid w:val="3E4FE5D9"/>
    <w:rsid w:val="3E50ECD1"/>
    <w:rsid w:val="3E5111E7"/>
    <w:rsid w:val="3E531661"/>
    <w:rsid w:val="3E543B58"/>
    <w:rsid w:val="3E5884F0"/>
    <w:rsid w:val="3E590DE7"/>
    <w:rsid w:val="3E59F8C7"/>
    <w:rsid w:val="3E5A1BDD"/>
    <w:rsid w:val="3E5CC5B9"/>
    <w:rsid w:val="3E5D3A29"/>
    <w:rsid w:val="3E5FA222"/>
    <w:rsid w:val="3E628BF1"/>
    <w:rsid w:val="3E646E4D"/>
    <w:rsid w:val="3E64D1FA"/>
    <w:rsid w:val="3E680AE1"/>
    <w:rsid w:val="3E6B1CA7"/>
    <w:rsid w:val="3E6B6E20"/>
    <w:rsid w:val="3E6BDD31"/>
    <w:rsid w:val="3E6C2ADF"/>
    <w:rsid w:val="3E6EA40D"/>
    <w:rsid w:val="3E71EDD6"/>
    <w:rsid w:val="3E72E08E"/>
    <w:rsid w:val="3E7390C8"/>
    <w:rsid w:val="3E7488EF"/>
    <w:rsid w:val="3E74F341"/>
    <w:rsid w:val="3E77323E"/>
    <w:rsid w:val="3E777DBB"/>
    <w:rsid w:val="3E7A0478"/>
    <w:rsid w:val="3E7E25C7"/>
    <w:rsid w:val="3E7FC8C5"/>
    <w:rsid w:val="3E80E9E6"/>
    <w:rsid w:val="3E83A176"/>
    <w:rsid w:val="3E83B4BF"/>
    <w:rsid w:val="3E859732"/>
    <w:rsid w:val="3E870DAA"/>
    <w:rsid w:val="3E875FB7"/>
    <w:rsid w:val="3E880E4B"/>
    <w:rsid w:val="3E881CE9"/>
    <w:rsid w:val="3E884AF7"/>
    <w:rsid w:val="3E8877E8"/>
    <w:rsid w:val="3E89C6E9"/>
    <w:rsid w:val="3E8C097D"/>
    <w:rsid w:val="3E931853"/>
    <w:rsid w:val="3E93CF9B"/>
    <w:rsid w:val="3E950243"/>
    <w:rsid w:val="3E950ED0"/>
    <w:rsid w:val="3E955329"/>
    <w:rsid w:val="3E961786"/>
    <w:rsid w:val="3E97E380"/>
    <w:rsid w:val="3E986165"/>
    <w:rsid w:val="3E9ADD21"/>
    <w:rsid w:val="3E9B3670"/>
    <w:rsid w:val="3E9C8E5B"/>
    <w:rsid w:val="3E9DC0F0"/>
    <w:rsid w:val="3E9FC4D2"/>
    <w:rsid w:val="3EA01DCF"/>
    <w:rsid w:val="3EA1E38B"/>
    <w:rsid w:val="3EA3DAC9"/>
    <w:rsid w:val="3EA4B065"/>
    <w:rsid w:val="3EA606BD"/>
    <w:rsid w:val="3EA80913"/>
    <w:rsid w:val="3EA888A6"/>
    <w:rsid w:val="3EA9989F"/>
    <w:rsid w:val="3EA9B97D"/>
    <w:rsid w:val="3EAADA68"/>
    <w:rsid w:val="3EAD9374"/>
    <w:rsid w:val="3EAF254C"/>
    <w:rsid w:val="3EAF53AB"/>
    <w:rsid w:val="3EAF91BA"/>
    <w:rsid w:val="3EB32674"/>
    <w:rsid w:val="3EB33A8B"/>
    <w:rsid w:val="3EB7BF3A"/>
    <w:rsid w:val="3EB807B6"/>
    <w:rsid w:val="3EB89CF3"/>
    <w:rsid w:val="3EB8BC68"/>
    <w:rsid w:val="3EB9EE76"/>
    <w:rsid w:val="3EBB7BB7"/>
    <w:rsid w:val="3EBC1CFE"/>
    <w:rsid w:val="3EC2908A"/>
    <w:rsid w:val="3EC2A027"/>
    <w:rsid w:val="3EC39ECE"/>
    <w:rsid w:val="3EC3B2CD"/>
    <w:rsid w:val="3EC50464"/>
    <w:rsid w:val="3EC72F3B"/>
    <w:rsid w:val="3EC86487"/>
    <w:rsid w:val="3EC8A0F0"/>
    <w:rsid w:val="3ECE0A2A"/>
    <w:rsid w:val="3ECF2116"/>
    <w:rsid w:val="3ED30D4F"/>
    <w:rsid w:val="3ED38D91"/>
    <w:rsid w:val="3ED472C3"/>
    <w:rsid w:val="3ED51F75"/>
    <w:rsid w:val="3EDA31E9"/>
    <w:rsid w:val="3EDA7406"/>
    <w:rsid w:val="3EDA8D38"/>
    <w:rsid w:val="3EDB0D1D"/>
    <w:rsid w:val="3EDC1599"/>
    <w:rsid w:val="3EDCE8E7"/>
    <w:rsid w:val="3EDD4485"/>
    <w:rsid w:val="3EDD57F1"/>
    <w:rsid w:val="3EDDDAEB"/>
    <w:rsid w:val="3EDE2D0F"/>
    <w:rsid w:val="3EDFA2F2"/>
    <w:rsid w:val="3EDFA3AE"/>
    <w:rsid w:val="3EE107F5"/>
    <w:rsid w:val="3EE28BB4"/>
    <w:rsid w:val="3EE4540F"/>
    <w:rsid w:val="3EE4F1EB"/>
    <w:rsid w:val="3EE59A1A"/>
    <w:rsid w:val="3EE5B4A0"/>
    <w:rsid w:val="3EE62345"/>
    <w:rsid w:val="3EE67DFF"/>
    <w:rsid w:val="3EE78123"/>
    <w:rsid w:val="3EE8B9D6"/>
    <w:rsid w:val="3EEB78C9"/>
    <w:rsid w:val="3EEC3CA2"/>
    <w:rsid w:val="3EEE763A"/>
    <w:rsid w:val="3EF23DCF"/>
    <w:rsid w:val="3EF3FAF5"/>
    <w:rsid w:val="3EF6B90F"/>
    <w:rsid w:val="3EF7E4EF"/>
    <w:rsid w:val="3EFAD3EC"/>
    <w:rsid w:val="3EFB2EDC"/>
    <w:rsid w:val="3F004C33"/>
    <w:rsid w:val="3F00B2F8"/>
    <w:rsid w:val="3F0235FF"/>
    <w:rsid w:val="3F0296A9"/>
    <w:rsid w:val="3F02A042"/>
    <w:rsid w:val="3F04B461"/>
    <w:rsid w:val="3F04EBDB"/>
    <w:rsid w:val="3F0751CD"/>
    <w:rsid w:val="3F08E0FA"/>
    <w:rsid w:val="3F0990C9"/>
    <w:rsid w:val="3F0C63B7"/>
    <w:rsid w:val="3F0CF60B"/>
    <w:rsid w:val="3F102247"/>
    <w:rsid w:val="3F104560"/>
    <w:rsid w:val="3F10B09A"/>
    <w:rsid w:val="3F1141CA"/>
    <w:rsid w:val="3F124672"/>
    <w:rsid w:val="3F1443AE"/>
    <w:rsid w:val="3F15A032"/>
    <w:rsid w:val="3F15F526"/>
    <w:rsid w:val="3F160561"/>
    <w:rsid w:val="3F163A8A"/>
    <w:rsid w:val="3F1773B2"/>
    <w:rsid w:val="3F17B0E1"/>
    <w:rsid w:val="3F1BFE67"/>
    <w:rsid w:val="3F1C3858"/>
    <w:rsid w:val="3F1E1421"/>
    <w:rsid w:val="3F234234"/>
    <w:rsid w:val="3F23979E"/>
    <w:rsid w:val="3F2AC7A8"/>
    <w:rsid w:val="3F2C1C3B"/>
    <w:rsid w:val="3F2CC715"/>
    <w:rsid w:val="3F2EDC28"/>
    <w:rsid w:val="3F2F790E"/>
    <w:rsid w:val="3F2FEA5B"/>
    <w:rsid w:val="3F34E944"/>
    <w:rsid w:val="3F36E9A3"/>
    <w:rsid w:val="3F375ED3"/>
    <w:rsid w:val="3F391CC9"/>
    <w:rsid w:val="3F398A0C"/>
    <w:rsid w:val="3F3AF435"/>
    <w:rsid w:val="3F3B36C3"/>
    <w:rsid w:val="3F3BCE21"/>
    <w:rsid w:val="3F3CE4AF"/>
    <w:rsid w:val="3F3D2559"/>
    <w:rsid w:val="3F3DCCA9"/>
    <w:rsid w:val="3F401F52"/>
    <w:rsid w:val="3F40FD40"/>
    <w:rsid w:val="3F411587"/>
    <w:rsid w:val="3F41E1ED"/>
    <w:rsid w:val="3F41F85A"/>
    <w:rsid w:val="3F440F84"/>
    <w:rsid w:val="3F44694B"/>
    <w:rsid w:val="3F4660A5"/>
    <w:rsid w:val="3F46A6BA"/>
    <w:rsid w:val="3F497B3B"/>
    <w:rsid w:val="3F4A310A"/>
    <w:rsid w:val="3F4BF682"/>
    <w:rsid w:val="3F4D2636"/>
    <w:rsid w:val="3F4DB50C"/>
    <w:rsid w:val="3F512CB2"/>
    <w:rsid w:val="3F532FF7"/>
    <w:rsid w:val="3F543544"/>
    <w:rsid w:val="3F5468A2"/>
    <w:rsid w:val="3F560408"/>
    <w:rsid w:val="3F566E7F"/>
    <w:rsid w:val="3F577948"/>
    <w:rsid w:val="3F57C831"/>
    <w:rsid w:val="3F59EE9F"/>
    <w:rsid w:val="3F5A6FB4"/>
    <w:rsid w:val="3F5ADBB1"/>
    <w:rsid w:val="3F5B8C6C"/>
    <w:rsid w:val="3F5CECC4"/>
    <w:rsid w:val="3F5DE932"/>
    <w:rsid w:val="3F5ECA3A"/>
    <w:rsid w:val="3F60914B"/>
    <w:rsid w:val="3F61F44A"/>
    <w:rsid w:val="3F62D623"/>
    <w:rsid w:val="3F64BB4F"/>
    <w:rsid w:val="3F64BE1E"/>
    <w:rsid w:val="3F6886F0"/>
    <w:rsid w:val="3F6B3626"/>
    <w:rsid w:val="3F6B8D51"/>
    <w:rsid w:val="3F6B944C"/>
    <w:rsid w:val="3F6D810D"/>
    <w:rsid w:val="3F6EE1EE"/>
    <w:rsid w:val="3F6F5D22"/>
    <w:rsid w:val="3F6FF3BB"/>
    <w:rsid w:val="3F71E036"/>
    <w:rsid w:val="3F74293A"/>
    <w:rsid w:val="3F75C878"/>
    <w:rsid w:val="3F765442"/>
    <w:rsid w:val="3F76A45B"/>
    <w:rsid w:val="3F76E13A"/>
    <w:rsid w:val="3F7A441E"/>
    <w:rsid w:val="3F7B0F44"/>
    <w:rsid w:val="3F7C2963"/>
    <w:rsid w:val="3F7E3EB7"/>
    <w:rsid w:val="3F807B54"/>
    <w:rsid w:val="3F82A8C5"/>
    <w:rsid w:val="3F889074"/>
    <w:rsid w:val="3F889309"/>
    <w:rsid w:val="3F8DFF55"/>
    <w:rsid w:val="3F8E682C"/>
    <w:rsid w:val="3F8EFFA9"/>
    <w:rsid w:val="3F8F8C4D"/>
    <w:rsid w:val="3F8FC55E"/>
    <w:rsid w:val="3F8FE6F3"/>
    <w:rsid w:val="3F91B5CC"/>
    <w:rsid w:val="3F91C805"/>
    <w:rsid w:val="3F921AC3"/>
    <w:rsid w:val="3F928179"/>
    <w:rsid w:val="3F965389"/>
    <w:rsid w:val="3F99266B"/>
    <w:rsid w:val="3F992C76"/>
    <w:rsid w:val="3F99540C"/>
    <w:rsid w:val="3F9AD9EC"/>
    <w:rsid w:val="3F9BE954"/>
    <w:rsid w:val="3F9EE764"/>
    <w:rsid w:val="3FA132A7"/>
    <w:rsid w:val="3FA175C7"/>
    <w:rsid w:val="3FA182B9"/>
    <w:rsid w:val="3FA4BF54"/>
    <w:rsid w:val="3FA5DE00"/>
    <w:rsid w:val="3FA63BA8"/>
    <w:rsid w:val="3FA989F1"/>
    <w:rsid w:val="3FA9B327"/>
    <w:rsid w:val="3FAA49BF"/>
    <w:rsid w:val="3FAB7F16"/>
    <w:rsid w:val="3FAFBFBF"/>
    <w:rsid w:val="3FAFF829"/>
    <w:rsid w:val="3FB0A2E0"/>
    <w:rsid w:val="3FB0F41F"/>
    <w:rsid w:val="3FBC6E6F"/>
    <w:rsid w:val="3FBD45BB"/>
    <w:rsid w:val="3FBE2573"/>
    <w:rsid w:val="3FBE2BD0"/>
    <w:rsid w:val="3FBF3F8F"/>
    <w:rsid w:val="3FC03B8F"/>
    <w:rsid w:val="3FC1129A"/>
    <w:rsid w:val="3FC116BF"/>
    <w:rsid w:val="3FC2B58D"/>
    <w:rsid w:val="3FC4E7F7"/>
    <w:rsid w:val="3FC86A6C"/>
    <w:rsid w:val="3FCA4F47"/>
    <w:rsid w:val="3FCC9E23"/>
    <w:rsid w:val="3FCD5F58"/>
    <w:rsid w:val="3FCDD1EC"/>
    <w:rsid w:val="3FCDFBB5"/>
    <w:rsid w:val="3FCEC800"/>
    <w:rsid w:val="3FCF3E59"/>
    <w:rsid w:val="3FD014DD"/>
    <w:rsid w:val="3FD1B132"/>
    <w:rsid w:val="3FD384B7"/>
    <w:rsid w:val="3FD5C056"/>
    <w:rsid w:val="3FD7D415"/>
    <w:rsid w:val="3FD86805"/>
    <w:rsid w:val="3FD8DE5C"/>
    <w:rsid w:val="3FDA51BF"/>
    <w:rsid w:val="3FDAAFA4"/>
    <w:rsid w:val="3FDADD60"/>
    <w:rsid w:val="3FDD1995"/>
    <w:rsid w:val="3FE17607"/>
    <w:rsid w:val="3FE18D43"/>
    <w:rsid w:val="3FE1DAF1"/>
    <w:rsid w:val="3FE269D7"/>
    <w:rsid w:val="3FEB4BBF"/>
    <w:rsid w:val="3FEB9700"/>
    <w:rsid w:val="3FED647D"/>
    <w:rsid w:val="3FED84DC"/>
    <w:rsid w:val="3FEF7D94"/>
    <w:rsid w:val="3FEFC485"/>
    <w:rsid w:val="3FF14521"/>
    <w:rsid w:val="3FF1D3C6"/>
    <w:rsid w:val="3FF36487"/>
    <w:rsid w:val="3FF3F0B0"/>
    <w:rsid w:val="3FF491C6"/>
    <w:rsid w:val="3FF6F9A7"/>
    <w:rsid w:val="3FFECF46"/>
    <w:rsid w:val="4004A64D"/>
    <w:rsid w:val="4004DD80"/>
    <w:rsid w:val="400685AF"/>
    <w:rsid w:val="40068B96"/>
    <w:rsid w:val="400707F5"/>
    <w:rsid w:val="400C458A"/>
    <w:rsid w:val="40114684"/>
    <w:rsid w:val="40127E8A"/>
    <w:rsid w:val="4012A18E"/>
    <w:rsid w:val="401330CA"/>
    <w:rsid w:val="40143B6F"/>
    <w:rsid w:val="4014BB9D"/>
    <w:rsid w:val="40167688"/>
    <w:rsid w:val="4016D060"/>
    <w:rsid w:val="4016E89E"/>
    <w:rsid w:val="40183BC7"/>
    <w:rsid w:val="4019D4A0"/>
    <w:rsid w:val="401A897E"/>
    <w:rsid w:val="401AC92B"/>
    <w:rsid w:val="401DD4A7"/>
    <w:rsid w:val="401F7AA5"/>
    <w:rsid w:val="40216776"/>
    <w:rsid w:val="40243588"/>
    <w:rsid w:val="40249FDB"/>
    <w:rsid w:val="402611F7"/>
    <w:rsid w:val="40265B8C"/>
    <w:rsid w:val="4026D798"/>
    <w:rsid w:val="40289403"/>
    <w:rsid w:val="4028969A"/>
    <w:rsid w:val="4028B5CB"/>
    <w:rsid w:val="4029D69A"/>
    <w:rsid w:val="402B111E"/>
    <w:rsid w:val="402B8724"/>
    <w:rsid w:val="402C3CB9"/>
    <w:rsid w:val="40308E75"/>
    <w:rsid w:val="4031B0CB"/>
    <w:rsid w:val="403489D7"/>
    <w:rsid w:val="4036E1C7"/>
    <w:rsid w:val="403786DB"/>
    <w:rsid w:val="403837E5"/>
    <w:rsid w:val="40386FC8"/>
    <w:rsid w:val="4039B1AC"/>
    <w:rsid w:val="403B880E"/>
    <w:rsid w:val="403BB153"/>
    <w:rsid w:val="403C0415"/>
    <w:rsid w:val="403CF2D7"/>
    <w:rsid w:val="403D9810"/>
    <w:rsid w:val="403F5705"/>
    <w:rsid w:val="403F623A"/>
    <w:rsid w:val="404670F3"/>
    <w:rsid w:val="404685CA"/>
    <w:rsid w:val="40484537"/>
    <w:rsid w:val="404872D4"/>
    <w:rsid w:val="4048818A"/>
    <w:rsid w:val="40498DF1"/>
    <w:rsid w:val="404A77FA"/>
    <w:rsid w:val="404B0063"/>
    <w:rsid w:val="404CFD25"/>
    <w:rsid w:val="404EBA7D"/>
    <w:rsid w:val="404FD6D0"/>
    <w:rsid w:val="40526D2E"/>
    <w:rsid w:val="4053BF46"/>
    <w:rsid w:val="4055DC8F"/>
    <w:rsid w:val="40573F7E"/>
    <w:rsid w:val="4058AB93"/>
    <w:rsid w:val="405AAD93"/>
    <w:rsid w:val="405CCE77"/>
    <w:rsid w:val="405D0B6A"/>
    <w:rsid w:val="405F9A67"/>
    <w:rsid w:val="40604F47"/>
    <w:rsid w:val="406165DB"/>
    <w:rsid w:val="4066B80A"/>
    <w:rsid w:val="4067AE6E"/>
    <w:rsid w:val="406A567D"/>
    <w:rsid w:val="406AA253"/>
    <w:rsid w:val="406C3BDC"/>
    <w:rsid w:val="406C5D5E"/>
    <w:rsid w:val="406E40EA"/>
    <w:rsid w:val="4072AC31"/>
    <w:rsid w:val="4073943B"/>
    <w:rsid w:val="40753411"/>
    <w:rsid w:val="40774701"/>
    <w:rsid w:val="40788897"/>
    <w:rsid w:val="407D53B4"/>
    <w:rsid w:val="407EFBE4"/>
    <w:rsid w:val="4081A5DE"/>
    <w:rsid w:val="4089C85C"/>
    <w:rsid w:val="408B47C3"/>
    <w:rsid w:val="408CBDCE"/>
    <w:rsid w:val="408DA6D8"/>
    <w:rsid w:val="408FCE7D"/>
    <w:rsid w:val="40924670"/>
    <w:rsid w:val="4092CF16"/>
    <w:rsid w:val="409496AA"/>
    <w:rsid w:val="4098F4A4"/>
    <w:rsid w:val="40990BB1"/>
    <w:rsid w:val="4099C02B"/>
    <w:rsid w:val="409A2776"/>
    <w:rsid w:val="409CAF1B"/>
    <w:rsid w:val="409E974C"/>
    <w:rsid w:val="40A1DA69"/>
    <w:rsid w:val="40A4E3EB"/>
    <w:rsid w:val="40A58586"/>
    <w:rsid w:val="40A8B476"/>
    <w:rsid w:val="40A9E97C"/>
    <w:rsid w:val="40AABA54"/>
    <w:rsid w:val="40ABD205"/>
    <w:rsid w:val="40ADC3BE"/>
    <w:rsid w:val="40AE1AEA"/>
    <w:rsid w:val="40B20D4B"/>
    <w:rsid w:val="40B39E70"/>
    <w:rsid w:val="40B662B7"/>
    <w:rsid w:val="40BA0521"/>
    <w:rsid w:val="40BADA68"/>
    <w:rsid w:val="40BBD07F"/>
    <w:rsid w:val="40BC0F6C"/>
    <w:rsid w:val="40BC29EF"/>
    <w:rsid w:val="40BF1E16"/>
    <w:rsid w:val="40C02FAC"/>
    <w:rsid w:val="40C1181C"/>
    <w:rsid w:val="40C12B55"/>
    <w:rsid w:val="40C29AE0"/>
    <w:rsid w:val="40C4EEE0"/>
    <w:rsid w:val="40C58DE8"/>
    <w:rsid w:val="40C61412"/>
    <w:rsid w:val="40C66233"/>
    <w:rsid w:val="40C757F9"/>
    <w:rsid w:val="40C9074B"/>
    <w:rsid w:val="40CA6E0C"/>
    <w:rsid w:val="40CADEB8"/>
    <w:rsid w:val="40CB6156"/>
    <w:rsid w:val="40CBFF42"/>
    <w:rsid w:val="40D0CD29"/>
    <w:rsid w:val="40D2C9F5"/>
    <w:rsid w:val="40DA83D7"/>
    <w:rsid w:val="40DD4608"/>
    <w:rsid w:val="40E13D32"/>
    <w:rsid w:val="40E1CEF8"/>
    <w:rsid w:val="40E3DBF9"/>
    <w:rsid w:val="40E49067"/>
    <w:rsid w:val="40E84B8C"/>
    <w:rsid w:val="40E92633"/>
    <w:rsid w:val="40EAA7A5"/>
    <w:rsid w:val="40EB31E1"/>
    <w:rsid w:val="40EBA80D"/>
    <w:rsid w:val="40EC0504"/>
    <w:rsid w:val="40ED0C2D"/>
    <w:rsid w:val="40F43F71"/>
    <w:rsid w:val="40F468A0"/>
    <w:rsid w:val="40F4F6B6"/>
    <w:rsid w:val="40F511B3"/>
    <w:rsid w:val="40F56A83"/>
    <w:rsid w:val="40F5C8B2"/>
    <w:rsid w:val="40F6CEF0"/>
    <w:rsid w:val="40F9B0DB"/>
    <w:rsid w:val="40FA0E96"/>
    <w:rsid w:val="40FB5E05"/>
    <w:rsid w:val="40FBEF4D"/>
    <w:rsid w:val="40FD4509"/>
    <w:rsid w:val="40FD7B6F"/>
    <w:rsid w:val="40FE48F7"/>
    <w:rsid w:val="40FEE6C7"/>
    <w:rsid w:val="4100D4B8"/>
    <w:rsid w:val="41020523"/>
    <w:rsid w:val="4102FF98"/>
    <w:rsid w:val="4104BA5F"/>
    <w:rsid w:val="41075CE4"/>
    <w:rsid w:val="410A8EAC"/>
    <w:rsid w:val="410BAA45"/>
    <w:rsid w:val="410C8612"/>
    <w:rsid w:val="410F7977"/>
    <w:rsid w:val="4111267B"/>
    <w:rsid w:val="4111E8AB"/>
    <w:rsid w:val="4112B460"/>
    <w:rsid w:val="41163EEE"/>
    <w:rsid w:val="41175B7E"/>
    <w:rsid w:val="411C2987"/>
    <w:rsid w:val="411C7F9F"/>
    <w:rsid w:val="4122648B"/>
    <w:rsid w:val="412355D1"/>
    <w:rsid w:val="41237FBB"/>
    <w:rsid w:val="41256E87"/>
    <w:rsid w:val="4125C4E2"/>
    <w:rsid w:val="4125E1C4"/>
    <w:rsid w:val="4126CFD9"/>
    <w:rsid w:val="412817BF"/>
    <w:rsid w:val="412E0B32"/>
    <w:rsid w:val="412F48DC"/>
    <w:rsid w:val="412FCDA4"/>
    <w:rsid w:val="412FF26E"/>
    <w:rsid w:val="4130A7EF"/>
    <w:rsid w:val="4130F218"/>
    <w:rsid w:val="4131070A"/>
    <w:rsid w:val="41316D0C"/>
    <w:rsid w:val="41321273"/>
    <w:rsid w:val="413259DA"/>
    <w:rsid w:val="4132F595"/>
    <w:rsid w:val="4134EA3C"/>
    <w:rsid w:val="41361187"/>
    <w:rsid w:val="41384D09"/>
    <w:rsid w:val="41396FDC"/>
    <w:rsid w:val="413A8630"/>
    <w:rsid w:val="413BBC42"/>
    <w:rsid w:val="413CC24B"/>
    <w:rsid w:val="413D10F9"/>
    <w:rsid w:val="413D2B30"/>
    <w:rsid w:val="413DA867"/>
    <w:rsid w:val="413ED61F"/>
    <w:rsid w:val="413F2CB4"/>
    <w:rsid w:val="41406682"/>
    <w:rsid w:val="4140B71B"/>
    <w:rsid w:val="4140FB57"/>
    <w:rsid w:val="4141D77A"/>
    <w:rsid w:val="4142ED5D"/>
    <w:rsid w:val="41444C4D"/>
    <w:rsid w:val="41445950"/>
    <w:rsid w:val="4146DA97"/>
    <w:rsid w:val="41472D52"/>
    <w:rsid w:val="4149C125"/>
    <w:rsid w:val="414C03C6"/>
    <w:rsid w:val="414DF5CF"/>
    <w:rsid w:val="414E910D"/>
    <w:rsid w:val="414E9B04"/>
    <w:rsid w:val="4150EB3A"/>
    <w:rsid w:val="41513992"/>
    <w:rsid w:val="4151F300"/>
    <w:rsid w:val="415287F3"/>
    <w:rsid w:val="415410A3"/>
    <w:rsid w:val="4154E7DF"/>
    <w:rsid w:val="41569AFF"/>
    <w:rsid w:val="415A6042"/>
    <w:rsid w:val="415AA12F"/>
    <w:rsid w:val="415ABBCD"/>
    <w:rsid w:val="415FBA2E"/>
    <w:rsid w:val="4161D52C"/>
    <w:rsid w:val="416203DB"/>
    <w:rsid w:val="4163036D"/>
    <w:rsid w:val="4164E98D"/>
    <w:rsid w:val="41653229"/>
    <w:rsid w:val="4165CE20"/>
    <w:rsid w:val="416DA87E"/>
    <w:rsid w:val="416E2CF5"/>
    <w:rsid w:val="41705FC7"/>
    <w:rsid w:val="4172B48E"/>
    <w:rsid w:val="4175E385"/>
    <w:rsid w:val="4177031F"/>
    <w:rsid w:val="417854F5"/>
    <w:rsid w:val="417D208A"/>
    <w:rsid w:val="417D564B"/>
    <w:rsid w:val="417EE30C"/>
    <w:rsid w:val="4182B972"/>
    <w:rsid w:val="4182CC60"/>
    <w:rsid w:val="4183287E"/>
    <w:rsid w:val="41837CB8"/>
    <w:rsid w:val="4185246D"/>
    <w:rsid w:val="418615AC"/>
    <w:rsid w:val="4186D37D"/>
    <w:rsid w:val="4186F756"/>
    <w:rsid w:val="4187E96E"/>
    <w:rsid w:val="41881558"/>
    <w:rsid w:val="418842E7"/>
    <w:rsid w:val="4189A35E"/>
    <w:rsid w:val="418FF3E9"/>
    <w:rsid w:val="41921337"/>
    <w:rsid w:val="41927D4B"/>
    <w:rsid w:val="4192AE4C"/>
    <w:rsid w:val="4196620F"/>
    <w:rsid w:val="4197E4A2"/>
    <w:rsid w:val="41996B37"/>
    <w:rsid w:val="4199C100"/>
    <w:rsid w:val="419E9815"/>
    <w:rsid w:val="419EA92F"/>
    <w:rsid w:val="41A0293F"/>
    <w:rsid w:val="41A12E31"/>
    <w:rsid w:val="41A2078C"/>
    <w:rsid w:val="41A256C8"/>
    <w:rsid w:val="41A4B644"/>
    <w:rsid w:val="41A72554"/>
    <w:rsid w:val="41A7CB26"/>
    <w:rsid w:val="41A95EBC"/>
    <w:rsid w:val="41AB513C"/>
    <w:rsid w:val="41AC5364"/>
    <w:rsid w:val="41AC78BF"/>
    <w:rsid w:val="41AE0E83"/>
    <w:rsid w:val="41AF5B6A"/>
    <w:rsid w:val="41B09CF9"/>
    <w:rsid w:val="41B0E553"/>
    <w:rsid w:val="41B18E3E"/>
    <w:rsid w:val="41B5A8F3"/>
    <w:rsid w:val="41B78462"/>
    <w:rsid w:val="41B933F9"/>
    <w:rsid w:val="41BBA3A0"/>
    <w:rsid w:val="41BBD5E7"/>
    <w:rsid w:val="41BC2308"/>
    <w:rsid w:val="41BCFDEC"/>
    <w:rsid w:val="41C08FF5"/>
    <w:rsid w:val="41C289F2"/>
    <w:rsid w:val="41C2A87D"/>
    <w:rsid w:val="41C4B520"/>
    <w:rsid w:val="41C6723A"/>
    <w:rsid w:val="41C7863F"/>
    <w:rsid w:val="41C8620D"/>
    <w:rsid w:val="41C92799"/>
    <w:rsid w:val="41CB7987"/>
    <w:rsid w:val="41CDFA82"/>
    <w:rsid w:val="41D09857"/>
    <w:rsid w:val="41D0D101"/>
    <w:rsid w:val="41D0EE11"/>
    <w:rsid w:val="41D284B7"/>
    <w:rsid w:val="41D527B3"/>
    <w:rsid w:val="41D5DD95"/>
    <w:rsid w:val="41D67DE1"/>
    <w:rsid w:val="41D8099D"/>
    <w:rsid w:val="41D860A8"/>
    <w:rsid w:val="41D91DBE"/>
    <w:rsid w:val="41D9EE0E"/>
    <w:rsid w:val="41DA3244"/>
    <w:rsid w:val="41DCF1E1"/>
    <w:rsid w:val="41DDD7BE"/>
    <w:rsid w:val="41DE2E11"/>
    <w:rsid w:val="41DE3056"/>
    <w:rsid w:val="41DEF0D4"/>
    <w:rsid w:val="41E1D889"/>
    <w:rsid w:val="41E2D4B0"/>
    <w:rsid w:val="41E5C211"/>
    <w:rsid w:val="41E76D10"/>
    <w:rsid w:val="41E8B3B4"/>
    <w:rsid w:val="41E93A48"/>
    <w:rsid w:val="41E9CE34"/>
    <w:rsid w:val="41EA0E47"/>
    <w:rsid w:val="41EC7572"/>
    <w:rsid w:val="41EDDB73"/>
    <w:rsid w:val="41EFB375"/>
    <w:rsid w:val="41EFC279"/>
    <w:rsid w:val="41F116C1"/>
    <w:rsid w:val="41F2575C"/>
    <w:rsid w:val="41F3A1BE"/>
    <w:rsid w:val="41F422C3"/>
    <w:rsid w:val="41F45AD3"/>
    <w:rsid w:val="41F5E67C"/>
    <w:rsid w:val="41F5EC7B"/>
    <w:rsid w:val="41F79D51"/>
    <w:rsid w:val="41F84643"/>
    <w:rsid w:val="41F87BEB"/>
    <w:rsid w:val="41F8B9EC"/>
    <w:rsid w:val="4204ADB0"/>
    <w:rsid w:val="42059939"/>
    <w:rsid w:val="4206CC03"/>
    <w:rsid w:val="4208C17C"/>
    <w:rsid w:val="420AB3E1"/>
    <w:rsid w:val="420ADDCA"/>
    <w:rsid w:val="420C71B9"/>
    <w:rsid w:val="420C92DA"/>
    <w:rsid w:val="420D0B91"/>
    <w:rsid w:val="420DBB11"/>
    <w:rsid w:val="420EB53A"/>
    <w:rsid w:val="420FF492"/>
    <w:rsid w:val="4210D151"/>
    <w:rsid w:val="4210E2EA"/>
    <w:rsid w:val="421155BC"/>
    <w:rsid w:val="4212FEEB"/>
    <w:rsid w:val="42145B21"/>
    <w:rsid w:val="4214BD7F"/>
    <w:rsid w:val="4214C902"/>
    <w:rsid w:val="421531AC"/>
    <w:rsid w:val="42180B63"/>
    <w:rsid w:val="421CB78D"/>
    <w:rsid w:val="42265ABC"/>
    <w:rsid w:val="42273104"/>
    <w:rsid w:val="42274B6A"/>
    <w:rsid w:val="42280465"/>
    <w:rsid w:val="42295240"/>
    <w:rsid w:val="42297ADA"/>
    <w:rsid w:val="4229CC7B"/>
    <w:rsid w:val="4229D6B9"/>
    <w:rsid w:val="422A4D79"/>
    <w:rsid w:val="422C612C"/>
    <w:rsid w:val="422E24CE"/>
    <w:rsid w:val="422EA130"/>
    <w:rsid w:val="422F4890"/>
    <w:rsid w:val="42312EC7"/>
    <w:rsid w:val="42324FA0"/>
    <w:rsid w:val="42328E8A"/>
    <w:rsid w:val="4232AA4E"/>
    <w:rsid w:val="42355D44"/>
    <w:rsid w:val="42359B58"/>
    <w:rsid w:val="4236BD55"/>
    <w:rsid w:val="42378912"/>
    <w:rsid w:val="42381696"/>
    <w:rsid w:val="4238D1F7"/>
    <w:rsid w:val="42399813"/>
    <w:rsid w:val="423B248F"/>
    <w:rsid w:val="423BCF9B"/>
    <w:rsid w:val="423E3B26"/>
    <w:rsid w:val="42407EAC"/>
    <w:rsid w:val="42437BFD"/>
    <w:rsid w:val="4244E511"/>
    <w:rsid w:val="4247E733"/>
    <w:rsid w:val="424E2CAE"/>
    <w:rsid w:val="424FD34B"/>
    <w:rsid w:val="4253F135"/>
    <w:rsid w:val="4254DD07"/>
    <w:rsid w:val="42579B19"/>
    <w:rsid w:val="425B4C34"/>
    <w:rsid w:val="425D2775"/>
    <w:rsid w:val="425D4F43"/>
    <w:rsid w:val="425E05A2"/>
    <w:rsid w:val="425E4867"/>
    <w:rsid w:val="425EF4E3"/>
    <w:rsid w:val="425FB56B"/>
    <w:rsid w:val="426008C9"/>
    <w:rsid w:val="4260E22C"/>
    <w:rsid w:val="42615B66"/>
    <w:rsid w:val="42618E08"/>
    <w:rsid w:val="4264912C"/>
    <w:rsid w:val="4266B225"/>
    <w:rsid w:val="42686653"/>
    <w:rsid w:val="4268C33E"/>
    <w:rsid w:val="42699EF8"/>
    <w:rsid w:val="426B2048"/>
    <w:rsid w:val="42715100"/>
    <w:rsid w:val="4271C5DD"/>
    <w:rsid w:val="42726644"/>
    <w:rsid w:val="4273F46A"/>
    <w:rsid w:val="42752FE0"/>
    <w:rsid w:val="427538FE"/>
    <w:rsid w:val="427A3163"/>
    <w:rsid w:val="427AD92D"/>
    <w:rsid w:val="427B264B"/>
    <w:rsid w:val="427D4DB3"/>
    <w:rsid w:val="427E883E"/>
    <w:rsid w:val="427F3DC7"/>
    <w:rsid w:val="427F8362"/>
    <w:rsid w:val="42800EDB"/>
    <w:rsid w:val="42804378"/>
    <w:rsid w:val="4280E5D7"/>
    <w:rsid w:val="42838AB4"/>
    <w:rsid w:val="4284E426"/>
    <w:rsid w:val="4289E1E5"/>
    <w:rsid w:val="428D1F25"/>
    <w:rsid w:val="428F7064"/>
    <w:rsid w:val="428F8D89"/>
    <w:rsid w:val="428FA466"/>
    <w:rsid w:val="42917E12"/>
    <w:rsid w:val="42926870"/>
    <w:rsid w:val="42944A30"/>
    <w:rsid w:val="4294E61F"/>
    <w:rsid w:val="4297E2EA"/>
    <w:rsid w:val="4298C8B8"/>
    <w:rsid w:val="42993FA1"/>
    <w:rsid w:val="4299D193"/>
    <w:rsid w:val="429A55F9"/>
    <w:rsid w:val="429CC8CC"/>
    <w:rsid w:val="429DAC76"/>
    <w:rsid w:val="429E4010"/>
    <w:rsid w:val="429E403F"/>
    <w:rsid w:val="42A31C98"/>
    <w:rsid w:val="42A56E23"/>
    <w:rsid w:val="42AA9E99"/>
    <w:rsid w:val="42AC566B"/>
    <w:rsid w:val="42AD51DA"/>
    <w:rsid w:val="42AF3926"/>
    <w:rsid w:val="42AFFB9B"/>
    <w:rsid w:val="42B19FAA"/>
    <w:rsid w:val="42B25A13"/>
    <w:rsid w:val="42B34723"/>
    <w:rsid w:val="42B51708"/>
    <w:rsid w:val="42B6CA11"/>
    <w:rsid w:val="42B72B90"/>
    <w:rsid w:val="42B760F7"/>
    <w:rsid w:val="42B7943A"/>
    <w:rsid w:val="42B7B3CF"/>
    <w:rsid w:val="42B848F5"/>
    <w:rsid w:val="42B90CD4"/>
    <w:rsid w:val="42BA2B30"/>
    <w:rsid w:val="42BAA294"/>
    <w:rsid w:val="42BB3978"/>
    <w:rsid w:val="42BD4CB1"/>
    <w:rsid w:val="42BDAB3E"/>
    <w:rsid w:val="42BE65CE"/>
    <w:rsid w:val="42BF104B"/>
    <w:rsid w:val="42BF9DF9"/>
    <w:rsid w:val="42C56E06"/>
    <w:rsid w:val="42C5DBFB"/>
    <w:rsid w:val="42C6281F"/>
    <w:rsid w:val="42C7B253"/>
    <w:rsid w:val="42C874C5"/>
    <w:rsid w:val="42C93316"/>
    <w:rsid w:val="42CE7F0C"/>
    <w:rsid w:val="42CF2131"/>
    <w:rsid w:val="42D07C6A"/>
    <w:rsid w:val="42D306B9"/>
    <w:rsid w:val="42D368FA"/>
    <w:rsid w:val="42D84934"/>
    <w:rsid w:val="42D8F1FA"/>
    <w:rsid w:val="42D94A73"/>
    <w:rsid w:val="42DC7B0F"/>
    <w:rsid w:val="42DD4844"/>
    <w:rsid w:val="42DEAB5F"/>
    <w:rsid w:val="42DFAA55"/>
    <w:rsid w:val="42E1F2C6"/>
    <w:rsid w:val="42E482D9"/>
    <w:rsid w:val="42E49A91"/>
    <w:rsid w:val="42E5EA4E"/>
    <w:rsid w:val="42E7EEFA"/>
    <w:rsid w:val="42E853B9"/>
    <w:rsid w:val="42E8A6C9"/>
    <w:rsid w:val="42E922F7"/>
    <w:rsid w:val="42E96EB4"/>
    <w:rsid w:val="42EA24B5"/>
    <w:rsid w:val="42EB0A35"/>
    <w:rsid w:val="42EB30DF"/>
    <w:rsid w:val="42EC3B97"/>
    <w:rsid w:val="42EDA48E"/>
    <w:rsid w:val="42EF4B74"/>
    <w:rsid w:val="42F0B009"/>
    <w:rsid w:val="42F1B6B6"/>
    <w:rsid w:val="42F3C5AF"/>
    <w:rsid w:val="42F666EA"/>
    <w:rsid w:val="42F6E307"/>
    <w:rsid w:val="42F70C7D"/>
    <w:rsid w:val="42F73FD6"/>
    <w:rsid w:val="42F86FAA"/>
    <w:rsid w:val="42F8BD28"/>
    <w:rsid w:val="42FA04B4"/>
    <w:rsid w:val="42FBB08C"/>
    <w:rsid w:val="42FE7C37"/>
    <w:rsid w:val="42FF886D"/>
    <w:rsid w:val="43016C53"/>
    <w:rsid w:val="43031CC0"/>
    <w:rsid w:val="430341D7"/>
    <w:rsid w:val="430353DD"/>
    <w:rsid w:val="4303BB26"/>
    <w:rsid w:val="430576C9"/>
    <w:rsid w:val="430B0F3B"/>
    <w:rsid w:val="430CC157"/>
    <w:rsid w:val="430CCD93"/>
    <w:rsid w:val="430FC22C"/>
    <w:rsid w:val="4311E859"/>
    <w:rsid w:val="43125643"/>
    <w:rsid w:val="4312F284"/>
    <w:rsid w:val="4313D765"/>
    <w:rsid w:val="4315C873"/>
    <w:rsid w:val="431774B8"/>
    <w:rsid w:val="4317F260"/>
    <w:rsid w:val="431825AB"/>
    <w:rsid w:val="4319D775"/>
    <w:rsid w:val="431B7609"/>
    <w:rsid w:val="431D0AF2"/>
    <w:rsid w:val="4320C069"/>
    <w:rsid w:val="4320CF7C"/>
    <w:rsid w:val="43232DEE"/>
    <w:rsid w:val="4325C985"/>
    <w:rsid w:val="43267654"/>
    <w:rsid w:val="432981E4"/>
    <w:rsid w:val="432A3E89"/>
    <w:rsid w:val="432A7E70"/>
    <w:rsid w:val="432CEA39"/>
    <w:rsid w:val="432D10F0"/>
    <w:rsid w:val="432DB633"/>
    <w:rsid w:val="4331B3E6"/>
    <w:rsid w:val="433276E9"/>
    <w:rsid w:val="43331F98"/>
    <w:rsid w:val="43334655"/>
    <w:rsid w:val="43342470"/>
    <w:rsid w:val="43344AC5"/>
    <w:rsid w:val="43346D6A"/>
    <w:rsid w:val="43386907"/>
    <w:rsid w:val="4338C1D6"/>
    <w:rsid w:val="433B96FF"/>
    <w:rsid w:val="433C37DA"/>
    <w:rsid w:val="433EDEE1"/>
    <w:rsid w:val="433FFFBC"/>
    <w:rsid w:val="43401F42"/>
    <w:rsid w:val="4340E169"/>
    <w:rsid w:val="43416FEB"/>
    <w:rsid w:val="43418821"/>
    <w:rsid w:val="434388E1"/>
    <w:rsid w:val="4344422C"/>
    <w:rsid w:val="4346A4A6"/>
    <w:rsid w:val="4347324F"/>
    <w:rsid w:val="4347C9B2"/>
    <w:rsid w:val="434A9D79"/>
    <w:rsid w:val="434B466F"/>
    <w:rsid w:val="434B5880"/>
    <w:rsid w:val="434D2B90"/>
    <w:rsid w:val="434D84BF"/>
    <w:rsid w:val="434E40A1"/>
    <w:rsid w:val="434FA8E2"/>
    <w:rsid w:val="43500E45"/>
    <w:rsid w:val="43573D0C"/>
    <w:rsid w:val="43579391"/>
    <w:rsid w:val="4357E8BF"/>
    <w:rsid w:val="435CB827"/>
    <w:rsid w:val="435D0E27"/>
    <w:rsid w:val="435D4385"/>
    <w:rsid w:val="435E119C"/>
    <w:rsid w:val="43600135"/>
    <w:rsid w:val="43605131"/>
    <w:rsid w:val="4362710B"/>
    <w:rsid w:val="436372E3"/>
    <w:rsid w:val="4365C835"/>
    <w:rsid w:val="4366D0D5"/>
    <w:rsid w:val="4367754A"/>
    <w:rsid w:val="4368555F"/>
    <w:rsid w:val="436A150D"/>
    <w:rsid w:val="436D968A"/>
    <w:rsid w:val="436EEF66"/>
    <w:rsid w:val="4370042F"/>
    <w:rsid w:val="43711E19"/>
    <w:rsid w:val="43725459"/>
    <w:rsid w:val="437386B6"/>
    <w:rsid w:val="4373FC21"/>
    <w:rsid w:val="43744183"/>
    <w:rsid w:val="43779553"/>
    <w:rsid w:val="437BA5DA"/>
    <w:rsid w:val="437E1465"/>
    <w:rsid w:val="437E2C65"/>
    <w:rsid w:val="43889197"/>
    <w:rsid w:val="43899FB3"/>
    <w:rsid w:val="438A62D1"/>
    <w:rsid w:val="438A6C15"/>
    <w:rsid w:val="438C5A8C"/>
    <w:rsid w:val="438C82DA"/>
    <w:rsid w:val="438CC86B"/>
    <w:rsid w:val="438D12B2"/>
    <w:rsid w:val="438D5AFE"/>
    <w:rsid w:val="438F5727"/>
    <w:rsid w:val="438F85E2"/>
    <w:rsid w:val="4392148E"/>
    <w:rsid w:val="439498BA"/>
    <w:rsid w:val="43958CC1"/>
    <w:rsid w:val="4395F377"/>
    <w:rsid w:val="43960583"/>
    <w:rsid w:val="4396A4A0"/>
    <w:rsid w:val="439948D5"/>
    <w:rsid w:val="4399C7F4"/>
    <w:rsid w:val="439D0F0E"/>
    <w:rsid w:val="439F0C03"/>
    <w:rsid w:val="439F5916"/>
    <w:rsid w:val="43A13AA7"/>
    <w:rsid w:val="43A2417F"/>
    <w:rsid w:val="43A2CA3B"/>
    <w:rsid w:val="43A3CF4E"/>
    <w:rsid w:val="43A891E6"/>
    <w:rsid w:val="43AA8C03"/>
    <w:rsid w:val="43ABF0BE"/>
    <w:rsid w:val="43AC9367"/>
    <w:rsid w:val="43AD8B6F"/>
    <w:rsid w:val="43AEE366"/>
    <w:rsid w:val="43B08942"/>
    <w:rsid w:val="43B1659A"/>
    <w:rsid w:val="43B1F8B8"/>
    <w:rsid w:val="43B36E5E"/>
    <w:rsid w:val="43B52A6A"/>
    <w:rsid w:val="43B5FD33"/>
    <w:rsid w:val="43B6CB53"/>
    <w:rsid w:val="43B6DF5D"/>
    <w:rsid w:val="43B85C15"/>
    <w:rsid w:val="43BA66A0"/>
    <w:rsid w:val="43BB39C9"/>
    <w:rsid w:val="43BB93FB"/>
    <w:rsid w:val="43BDB3B7"/>
    <w:rsid w:val="43BE9E61"/>
    <w:rsid w:val="43BEFD36"/>
    <w:rsid w:val="43C04C15"/>
    <w:rsid w:val="43C12182"/>
    <w:rsid w:val="43C17E0D"/>
    <w:rsid w:val="43C4122F"/>
    <w:rsid w:val="43C4DF18"/>
    <w:rsid w:val="43CA08E3"/>
    <w:rsid w:val="43CA71FC"/>
    <w:rsid w:val="43CBC6B1"/>
    <w:rsid w:val="43CC9A13"/>
    <w:rsid w:val="43CDA512"/>
    <w:rsid w:val="43D2A498"/>
    <w:rsid w:val="43D309FC"/>
    <w:rsid w:val="43D444FC"/>
    <w:rsid w:val="43D47B0C"/>
    <w:rsid w:val="43D847E2"/>
    <w:rsid w:val="43DA68C5"/>
    <w:rsid w:val="43DB8EAF"/>
    <w:rsid w:val="43DCC035"/>
    <w:rsid w:val="43DD0E1C"/>
    <w:rsid w:val="43DD850F"/>
    <w:rsid w:val="43DE2B73"/>
    <w:rsid w:val="43DE649B"/>
    <w:rsid w:val="43DF0BCF"/>
    <w:rsid w:val="43DFDA55"/>
    <w:rsid w:val="43E348CB"/>
    <w:rsid w:val="43E39CC0"/>
    <w:rsid w:val="43E3CAEA"/>
    <w:rsid w:val="43E62094"/>
    <w:rsid w:val="43E70703"/>
    <w:rsid w:val="43E71E01"/>
    <w:rsid w:val="43E76FC4"/>
    <w:rsid w:val="43E85537"/>
    <w:rsid w:val="43ECDECA"/>
    <w:rsid w:val="43EFBEE8"/>
    <w:rsid w:val="43F122D5"/>
    <w:rsid w:val="43F3B9AE"/>
    <w:rsid w:val="43F64623"/>
    <w:rsid w:val="43F6C0F2"/>
    <w:rsid w:val="43F6D5B0"/>
    <w:rsid w:val="43FC89B2"/>
    <w:rsid w:val="43FF4277"/>
    <w:rsid w:val="43FF7BD1"/>
    <w:rsid w:val="4400ECED"/>
    <w:rsid w:val="440359AD"/>
    <w:rsid w:val="440361A1"/>
    <w:rsid w:val="44046592"/>
    <w:rsid w:val="440624C1"/>
    <w:rsid w:val="4407342E"/>
    <w:rsid w:val="4409AEC4"/>
    <w:rsid w:val="440B4CE0"/>
    <w:rsid w:val="440B4DAB"/>
    <w:rsid w:val="440B96B9"/>
    <w:rsid w:val="44103A62"/>
    <w:rsid w:val="4412E707"/>
    <w:rsid w:val="4414F523"/>
    <w:rsid w:val="44170D02"/>
    <w:rsid w:val="44195146"/>
    <w:rsid w:val="4419F1C2"/>
    <w:rsid w:val="441AB463"/>
    <w:rsid w:val="441B0CB7"/>
    <w:rsid w:val="441B677F"/>
    <w:rsid w:val="441C1CDC"/>
    <w:rsid w:val="441C98F5"/>
    <w:rsid w:val="441E1054"/>
    <w:rsid w:val="4420B8B2"/>
    <w:rsid w:val="4421B40E"/>
    <w:rsid w:val="44233E54"/>
    <w:rsid w:val="44235CC2"/>
    <w:rsid w:val="442429B9"/>
    <w:rsid w:val="44246310"/>
    <w:rsid w:val="44257061"/>
    <w:rsid w:val="4425D9B9"/>
    <w:rsid w:val="442642BA"/>
    <w:rsid w:val="4426DF7D"/>
    <w:rsid w:val="4427E57C"/>
    <w:rsid w:val="44298250"/>
    <w:rsid w:val="442D186C"/>
    <w:rsid w:val="442ED252"/>
    <w:rsid w:val="442EF844"/>
    <w:rsid w:val="442F67A5"/>
    <w:rsid w:val="442FF83C"/>
    <w:rsid w:val="44309FF1"/>
    <w:rsid w:val="443224DB"/>
    <w:rsid w:val="44337C45"/>
    <w:rsid w:val="44341E26"/>
    <w:rsid w:val="4434689E"/>
    <w:rsid w:val="4434EFC7"/>
    <w:rsid w:val="44361895"/>
    <w:rsid w:val="4439267C"/>
    <w:rsid w:val="44398A00"/>
    <w:rsid w:val="4439D358"/>
    <w:rsid w:val="443F80D9"/>
    <w:rsid w:val="443FD3B0"/>
    <w:rsid w:val="44411BD4"/>
    <w:rsid w:val="444121DF"/>
    <w:rsid w:val="44424CDD"/>
    <w:rsid w:val="44451E5E"/>
    <w:rsid w:val="4445FC3F"/>
    <w:rsid w:val="444659D5"/>
    <w:rsid w:val="4446AA6F"/>
    <w:rsid w:val="444722D8"/>
    <w:rsid w:val="4448A3EE"/>
    <w:rsid w:val="444901AD"/>
    <w:rsid w:val="44498266"/>
    <w:rsid w:val="444AF8BB"/>
    <w:rsid w:val="444B448F"/>
    <w:rsid w:val="444BBAAD"/>
    <w:rsid w:val="444DA765"/>
    <w:rsid w:val="444FCEA7"/>
    <w:rsid w:val="44502A92"/>
    <w:rsid w:val="44523141"/>
    <w:rsid w:val="44525CC0"/>
    <w:rsid w:val="44544A6F"/>
    <w:rsid w:val="4454B109"/>
    <w:rsid w:val="44558987"/>
    <w:rsid w:val="445B147E"/>
    <w:rsid w:val="445EB937"/>
    <w:rsid w:val="445ED3AC"/>
    <w:rsid w:val="445F7D9C"/>
    <w:rsid w:val="445FBE69"/>
    <w:rsid w:val="445FD609"/>
    <w:rsid w:val="44602446"/>
    <w:rsid w:val="44612051"/>
    <w:rsid w:val="44623040"/>
    <w:rsid w:val="4463113E"/>
    <w:rsid w:val="446761A7"/>
    <w:rsid w:val="4468537E"/>
    <w:rsid w:val="4468E6F8"/>
    <w:rsid w:val="446A9799"/>
    <w:rsid w:val="446F3662"/>
    <w:rsid w:val="446FCF8E"/>
    <w:rsid w:val="447101FB"/>
    <w:rsid w:val="44721521"/>
    <w:rsid w:val="44724D93"/>
    <w:rsid w:val="4472D0AB"/>
    <w:rsid w:val="44765509"/>
    <w:rsid w:val="4476D81B"/>
    <w:rsid w:val="44786C1F"/>
    <w:rsid w:val="447918A4"/>
    <w:rsid w:val="447991D1"/>
    <w:rsid w:val="447A7005"/>
    <w:rsid w:val="447C0A47"/>
    <w:rsid w:val="447D4A58"/>
    <w:rsid w:val="44823926"/>
    <w:rsid w:val="448320D3"/>
    <w:rsid w:val="4486E910"/>
    <w:rsid w:val="448837A1"/>
    <w:rsid w:val="44885C6D"/>
    <w:rsid w:val="448C0ED9"/>
    <w:rsid w:val="448D5424"/>
    <w:rsid w:val="448FF77E"/>
    <w:rsid w:val="4491E36D"/>
    <w:rsid w:val="4493BCCA"/>
    <w:rsid w:val="4493C127"/>
    <w:rsid w:val="449415CA"/>
    <w:rsid w:val="44958704"/>
    <w:rsid w:val="4497E3C4"/>
    <w:rsid w:val="449B406B"/>
    <w:rsid w:val="449C5A8C"/>
    <w:rsid w:val="449C6BBF"/>
    <w:rsid w:val="449FA3B9"/>
    <w:rsid w:val="44A04DFA"/>
    <w:rsid w:val="44A1EE38"/>
    <w:rsid w:val="44A44812"/>
    <w:rsid w:val="44A648D3"/>
    <w:rsid w:val="44AA0C02"/>
    <w:rsid w:val="44AC786C"/>
    <w:rsid w:val="44AD5C55"/>
    <w:rsid w:val="44B035F3"/>
    <w:rsid w:val="44B0E9D1"/>
    <w:rsid w:val="44B16B9E"/>
    <w:rsid w:val="44B25773"/>
    <w:rsid w:val="44B2BF9B"/>
    <w:rsid w:val="44B42085"/>
    <w:rsid w:val="44B4F1BF"/>
    <w:rsid w:val="44B57055"/>
    <w:rsid w:val="44B6261B"/>
    <w:rsid w:val="44B985C1"/>
    <w:rsid w:val="44BB77AA"/>
    <w:rsid w:val="44BC17BA"/>
    <w:rsid w:val="44BCFA5B"/>
    <w:rsid w:val="44BDEA82"/>
    <w:rsid w:val="44BF234D"/>
    <w:rsid w:val="44BF970C"/>
    <w:rsid w:val="44C01DC7"/>
    <w:rsid w:val="44C0A995"/>
    <w:rsid w:val="44C2E1C1"/>
    <w:rsid w:val="44C41BBB"/>
    <w:rsid w:val="44C58D90"/>
    <w:rsid w:val="44C629E0"/>
    <w:rsid w:val="44C7590B"/>
    <w:rsid w:val="44C7C63A"/>
    <w:rsid w:val="44C8A8BE"/>
    <w:rsid w:val="44C8D4DB"/>
    <w:rsid w:val="44C9849A"/>
    <w:rsid w:val="44CB102D"/>
    <w:rsid w:val="44CCCC84"/>
    <w:rsid w:val="44D00861"/>
    <w:rsid w:val="44D1D9E8"/>
    <w:rsid w:val="44D32420"/>
    <w:rsid w:val="44D3BF7B"/>
    <w:rsid w:val="44D41A60"/>
    <w:rsid w:val="44D4E49A"/>
    <w:rsid w:val="44D4E961"/>
    <w:rsid w:val="44DA4BA4"/>
    <w:rsid w:val="44DCE8A1"/>
    <w:rsid w:val="44DD51C1"/>
    <w:rsid w:val="44DDBC80"/>
    <w:rsid w:val="44E09CA2"/>
    <w:rsid w:val="44E1A457"/>
    <w:rsid w:val="44E1A7DF"/>
    <w:rsid w:val="44E2C04B"/>
    <w:rsid w:val="44E7E0B0"/>
    <w:rsid w:val="44E831E8"/>
    <w:rsid w:val="44E8A703"/>
    <w:rsid w:val="44EBDA5C"/>
    <w:rsid w:val="44EC8E2D"/>
    <w:rsid w:val="44EDC8B8"/>
    <w:rsid w:val="44EE6AF9"/>
    <w:rsid w:val="44EF02AB"/>
    <w:rsid w:val="44EFE0FD"/>
    <w:rsid w:val="44F0388C"/>
    <w:rsid w:val="44F0724A"/>
    <w:rsid w:val="44F4C50F"/>
    <w:rsid w:val="44F54709"/>
    <w:rsid w:val="44F72A03"/>
    <w:rsid w:val="44F7DA5E"/>
    <w:rsid w:val="44F87CA3"/>
    <w:rsid w:val="44F893B6"/>
    <w:rsid w:val="44F9CD49"/>
    <w:rsid w:val="44FB8166"/>
    <w:rsid w:val="44FB8BB6"/>
    <w:rsid w:val="44FDCA53"/>
    <w:rsid w:val="44FDE013"/>
    <w:rsid w:val="44FE1EF1"/>
    <w:rsid w:val="44FE6AAA"/>
    <w:rsid w:val="44FE7B60"/>
    <w:rsid w:val="44FE99C3"/>
    <w:rsid w:val="44FF1956"/>
    <w:rsid w:val="45001A2F"/>
    <w:rsid w:val="450184FC"/>
    <w:rsid w:val="45019D89"/>
    <w:rsid w:val="4501B86B"/>
    <w:rsid w:val="4502B4B2"/>
    <w:rsid w:val="45030429"/>
    <w:rsid w:val="450853B4"/>
    <w:rsid w:val="450890DA"/>
    <w:rsid w:val="4508B495"/>
    <w:rsid w:val="45093517"/>
    <w:rsid w:val="450B54DE"/>
    <w:rsid w:val="450BA3E4"/>
    <w:rsid w:val="450C20F1"/>
    <w:rsid w:val="450CB76F"/>
    <w:rsid w:val="450FC802"/>
    <w:rsid w:val="45112E86"/>
    <w:rsid w:val="45113954"/>
    <w:rsid w:val="45113FF3"/>
    <w:rsid w:val="45116762"/>
    <w:rsid w:val="45120A0A"/>
    <w:rsid w:val="4513247F"/>
    <w:rsid w:val="45139C0F"/>
    <w:rsid w:val="45163A10"/>
    <w:rsid w:val="45176EAC"/>
    <w:rsid w:val="451B1487"/>
    <w:rsid w:val="451BE2EC"/>
    <w:rsid w:val="451CEE56"/>
    <w:rsid w:val="452442BC"/>
    <w:rsid w:val="45248720"/>
    <w:rsid w:val="452699A4"/>
    <w:rsid w:val="4527FD41"/>
    <w:rsid w:val="45297A7B"/>
    <w:rsid w:val="452A548B"/>
    <w:rsid w:val="452ABB74"/>
    <w:rsid w:val="452D8EB7"/>
    <w:rsid w:val="452F49E9"/>
    <w:rsid w:val="452F6D70"/>
    <w:rsid w:val="45303421"/>
    <w:rsid w:val="45316C05"/>
    <w:rsid w:val="4531D3B8"/>
    <w:rsid w:val="453459D4"/>
    <w:rsid w:val="45346BE4"/>
    <w:rsid w:val="45348593"/>
    <w:rsid w:val="45356C82"/>
    <w:rsid w:val="4536B0D4"/>
    <w:rsid w:val="4536C6D5"/>
    <w:rsid w:val="4538D95B"/>
    <w:rsid w:val="4539350A"/>
    <w:rsid w:val="453A0403"/>
    <w:rsid w:val="453CA6D6"/>
    <w:rsid w:val="453D1D30"/>
    <w:rsid w:val="45418812"/>
    <w:rsid w:val="45421A17"/>
    <w:rsid w:val="4545B37C"/>
    <w:rsid w:val="4545C17E"/>
    <w:rsid w:val="4546025A"/>
    <w:rsid w:val="454670E3"/>
    <w:rsid w:val="454862BC"/>
    <w:rsid w:val="454DFA76"/>
    <w:rsid w:val="454EE751"/>
    <w:rsid w:val="454EF361"/>
    <w:rsid w:val="454F6B9B"/>
    <w:rsid w:val="454FB108"/>
    <w:rsid w:val="454FDE9A"/>
    <w:rsid w:val="45513D0D"/>
    <w:rsid w:val="4551CBBF"/>
    <w:rsid w:val="455446AE"/>
    <w:rsid w:val="45581592"/>
    <w:rsid w:val="4558951E"/>
    <w:rsid w:val="455A21FC"/>
    <w:rsid w:val="455A6FA6"/>
    <w:rsid w:val="455B1CC1"/>
    <w:rsid w:val="455DE7DE"/>
    <w:rsid w:val="455E1C31"/>
    <w:rsid w:val="455EF1EE"/>
    <w:rsid w:val="455F4F0C"/>
    <w:rsid w:val="45618779"/>
    <w:rsid w:val="456218B8"/>
    <w:rsid w:val="45625172"/>
    <w:rsid w:val="456282B1"/>
    <w:rsid w:val="45672D52"/>
    <w:rsid w:val="4567F659"/>
    <w:rsid w:val="45696016"/>
    <w:rsid w:val="456AC515"/>
    <w:rsid w:val="456B3AF6"/>
    <w:rsid w:val="45702148"/>
    <w:rsid w:val="457065F1"/>
    <w:rsid w:val="4570E9F3"/>
    <w:rsid w:val="45719599"/>
    <w:rsid w:val="4571E042"/>
    <w:rsid w:val="4571E308"/>
    <w:rsid w:val="45725304"/>
    <w:rsid w:val="4573BC97"/>
    <w:rsid w:val="45774E3E"/>
    <w:rsid w:val="4577FA12"/>
    <w:rsid w:val="4578CDB1"/>
    <w:rsid w:val="4579DFA3"/>
    <w:rsid w:val="4579ED31"/>
    <w:rsid w:val="457B545D"/>
    <w:rsid w:val="457E37A8"/>
    <w:rsid w:val="45802EF2"/>
    <w:rsid w:val="458413EA"/>
    <w:rsid w:val="4588A358"/>
    <w:rsid w:val="4589BD1A"/>
    <w:rsid w:val="458A22E9"/>
    <w:rsid w:val="458A59FC"/>
    <w:rsid w:val="458C1F31"/>
    <w:rsid w:val="458D9EEC"/>
    <w:rsid w:val="45907683"/>
    <w:rsid w:val="4590F855"/>
    <w:rsid w:val="4591554E"/>
    <w:rsid w:val="45937A55"/>
    <w:rsid w:val="45968A8E"/>
    <w:rsid w:val="4596DECD"/>
    <w:rsid w:val="459A2429"/>
    <w:rsid w:val="459B007A"/>
    <w:rsid w:val="459B2739"/>
    <w:rsid w:val="459B990B"/>
    <w:rsid w:val="459BB253"/>
    <w:rsid w:val="459C5804"/>
    <w:rsid w:val="459C8547"/>
    <w:rsid w:val="459D4B9F"/>
    <w:rsid w:val="459DA600"/>
    <w:rsid w:val="459E6052"/>
    <w:rsid w:val="459E854D"/>
    <w:rsid w:val="45A07F44"/>
    <w:rsid w:val="45A17045"/>
    <w:rsid w:val="45A7A771"/>
    <w:rsid w:val="45AA7192"/>
    <w:rsid w:val="45AB5EBB"/>
    <w:rsid w:val="45AF734B"/>
    <w:rsid w:val="45B3D424"/>
    <w:rsid w:val="45B56BEC"/>
    <w:rsid w:val="45B71CED"/>
    <w:rsid w:val="45B769EC"/>
    <w:rsid w:val="45B8A439"/>
    <w:rsid w:val="45BA959B"/>
    <w:rsid w:val="45BB0398"/>
    <w:rsid w:val="45BB3937"/>
    <w:rsid w:val="45BBBAF8"/>
    <w:rsid w:val="45BBDF34"/>
    <w:rsid w:val="45BDE674"/>
    <w:rsid w:val="45BE82B5"/>
    <w:rsid w:val="45BECD3D"/>
    <w:rsid w:val="45C10BF2"/>
    <w:rsid w:val="45C1ECF1"/>
    <w:rsid w:val="45C4D133"/>
    <w:rsid w:val="45C51D31"/>
    <w:rsid w:val="45C5D6ED"/>
    <w:rsid w:val="45C6BC54"/>
    <w:rsid w:val="45C7BAAB"/>
    <w:rsid w:val="45C8D4B8"/>
    <w:rsid w:val="45CBE32D"/>
    <w:rsid w:val="45CE68C2"/>
    <w:rsid w:val="45CFDE68"/>
    <w:rsid w:val="45D09605"/>
    <w:rsid w:val="45D0A186"/>
    <w:rsid w:val="45D24CA3"/>
    <w:rsid w:val="45D304F6"/>
    <w:rsid w:val="45D469F3"/>
    <w:rsid w:val="45D5F83C"/>
    <w:rsid w:val="45DA2144"/>
    <w:rsid w:val="45DAB401"/>
    <w:rsid w:val="45DABF9E"/>
    <w:rsid w:val="45DD4657"/>
    <w:rsid w:val="45DD5744"/>
    <w:rsid w:val="45DE2E8D"/>
    <w:rsid w:val="45E1823C"/>
    <w:rsid w:val="45E184D5"/>
    <w:rsid w:val="45E1BC92"/>
    <w:rsid w:val="45E88B5B"/>
    <w:rsid w:val="45EA3B8A"/>
    <w:rsid w:val="45ECC1E2"/>
    <w:rsid w:val="45F225EF"/>
    <w:rsid w:val="45F74234"/>
    <w:rsid w:val="45F77A07"/>
    <w:rsid w:val="45F84220"/>
    <w:rsid w:val="45F87536"/>
    <w:rsid w:val="45F87B1D"/>
    <w:rsid w:val="45F99061"/>
    <w:rsid w:val="45FAAD46"/>
    <w:rsid w:val="45FB79E5"/>
    <w:rsid w:val="45FC0F46"/>
    <w:rsid w:val="45FC2B5A"/>
    <w:rsid w:val="45FE00E6"/>
    <w:rsid w:val="45FEFC31"/>
    <w:rsid w:val="45FF0632"/>
    <w:rsid w:val="460136CD"/>
    <w:rsid w:val="46024A70"/>
    <w:rsid w:val="4604906F"/>
    <w:rsid w:val="4604FF58"/>
    <w:rsid w:val="46058883"/>
    <w:rsid w:val="4605D9AC"/>
    <w:rsid w:val="46066F05"/>
    <w:rsid w:val="46080A21"/>
    <w:rsid w:val="4608F7BB"/>
    <w:rsid w:val="460A0586"/>
    <w:rsid w:val="460BBCA8"/>
    <w:rsid w:val="460BC192"/>
    <w:rsid w:val="460BEE3C"/>
    <w:rsid w:val="460D4595"/>
    <w:rsid w:val="460EDBF4"/>
    <w:rsid w:val="460EFBFE"/>
    <w:rsid w:val="460F701F"/>
    <w:rsid w:val="461113E5"/>
    <w:rsid w:val="4612C02A"/>
    <w:rsid w:val="4612EE65"/>
    <w:rsid w:val="4612F9A8"/>
    <w:rsid w:val="46182B4C"/>
    <w:rsid w:val="461A7959"/>
    <w:rsid w:val="461BD5E2"/>
    <w:rsid w:val="461E0123"/>
    <w:rsid w:val="461F2595"/>
    <w:rsid w:val="461FECC3"/>
    <w:rsid w:val="462159A1"/>
    <w:rsid w:val="4621D6FB"/>
    <w:rsid w:val="462244E6"/>
    <w:rsid w:val="46236002"/>
    <w:rsid w:val="462559D3"/>
    <w:rsid w:val="4625904B"/>
    <w:rsid w:val="462CB7AC"/>
    <w:rsid w:val="462F74AE"/>
    <w:rsid w:val="462FBCE7"/>
    <w:rsid w:val="46318CC7"/>
    <w:rsid w:val="4631BBBA"/>
    <w:rsid w:val="4633A545"/>
    <w:rsid w:val="4633C456"/>
    <w:rsid w:val="46349D91"/>
    <w:rsid w:val="4634EE77"/>
    <w:rsid w:val="4636954D"/>
    <w:rsid w:val="463911DC"/>
    <w:rsid w:val="463B9AC4"/>
    <w:rsid w:val="463D4429"/>
    <w:rsid w:val="463E2D56"/>
    <w:rsid w:val="463F274C"/>
    <w:rsid w:val="46403E31"/>
    <w:rsid w:val="4642559B"/>
    <w:rsid w:val="46429F69"/>
    <w:rsid w:val="4645BFB2"/>
    <w:rsid w:val="464AC3E9"/>
    <w:rsid w:val="464C1D89"/>
    <w:rsid w:val="464E7208"/>
    <w:rsid w:val="46502B47"/>
    <w:rsid w:val="46523E56"/>
    <w:rsid w:val="46528F25"/>
    <w:rsid w:val="46530E92"/>
    <w:rsid w:val="465316CB"/>
    <w:rsid w:val="46532A4B"/>
    <w:rsid w:val="465377B6"/>
    <w:rsid w:val="4654B3FF"/>
    <w:rsid w:val="4655381F"/>
    <w:rsid w:val="46556EF4"/>
    <w:rsid w:val="465807B9"/>
    <w:rsid w:val="4659AF86"/>
    <w:rsid w:val="465ACC70"/>
    <w:rsid w:val="465B58F6"/>
    <w:rsid w:val="46605289"/>
    <w:rsid w:val="466125D1"/>
    <w:rsid w:val="4662992E"/>
    <w:rsid w:val="46654258"/>
    <w:rsid w:val="46657386"/>
    <w:rsid w:val="4666270E"/>
    <w:rsid w:val="46682EC6"/>
    <w:rsid w:val="46688878"/>
    <w:rsid w:val="46696B92"/>
    <w:rsid w:val="466B9A5D"/>
    <w:rsid w:val="466C0383"/>
    <w:rsid w:val="466C79DD"/>
    <w:rsid w:val="466D0F9A"/>
    <w:rsid w:val="466F8BC4"/>
    <w:rsid w:val="46701FFE"/>
    <w:rsid w:val="4670B486"/>
    <w:rsid w:val="46719C19"/>
    <w:rsid w:val="4672BDBA"/>
    <w:rsid w:val="4672FC7E"/>
    <w:rsid w:val="46735FFF"/>
    <w:rsid w:val="467431F9"/>
    <w:rsid w:val="467539FE"/>
    <w:rsid w:val="46781B0F"/>
    <w:rsid w:val="467C117C"/>
    <w:rsid w:val="467E18F5"/>
    <w:rsid w:val="467E2F66"/>
    <w:rsid w:val="468149BD"/>
    <w:rsid w:val="4681CA75"/>
    <w:rsid w:val="46841A3C"/>
    <w:rsid w:val="46866347"/>
    <w:rsid w:val="468ABC6F"/>
    <w:rsid w:val="468ED4FF"/>
    <w:rsid w:val="4690EE34"/>
    <w:rsid w:val="4691E484"/>
    <w:rsid w:val="4695C8F1"/>
    <w:rsid w:val="4695CFBF"/>
    <w:rsid w:val="46983D21"/>
    <w:rsid w:val="46993DFE"/>
    <w:rsid w:val="4699594E"/>
    <w:rsid w:val="469A7F74"/>
    <w:rsid w:val="469BAED2"/>
    <w:rsid w:val="469D5CDF"/>
    <w:rsid w:val="469EF02D"/>
    <w:rsid w:val="469FE1A9"/>
    <w:rsid w:val="46A22FB2"/>
    <w:rsid w:val="46A2C12C"/>
    <w:rsid w:val="46A3B452"/>
    <w:rsid w:val="46A6F06F"/>
    <w:rsid w:val="46A92363"/>
    <w:rsid w:val="46A9A733"/>
    <w:rsid w:val="46AA8ABB"/>
    <w:rsid w:val="46AB338F"/>
    <w:rsid w:val="46AB4530"/>
    <w:rsid w:val="46AB8C67"/>
    <w:rsid w:val="46ACBA2A"/>
    <w:rsid w:val="46AE1A13"/>
    <w:rsid w:val="46AE9357"/>
    <w:rsid w:val="46AF7EA3"/>
    <w:rsid w:val="46B059F5"/>
    <w:rsid w:val="46B2BFF7"/>
    <w:rsid w:val="46B3F965"/>
    <w:rsid w:val="46B7343B"/>
    <w:rsid w:val="46B83255"/>
    <w:rsid w:val="46B8BE01"/>
    <w:rsid w:val="46B9D1A8"/>
    <w:rsid w:val="46BAB915"/>
    <w:rsid w:val="46BD608D"/>
    <w:rsid w:val="46C0B221"/>
    <w:rsid w:val="46C17213"/>
    <w:rsid w:val="46C3FB96"/>
    <w:rsid w:val="46C450E6"/>
    <w:rsid w:val="46C594F4"/>
    <w:rsid w:val="46C6A187"/>
    <w:rsid w:val="46C6F3AB"/>
    <w:rsid w:val="46C7A45C"/>
    <w:rsid w:val="46C7B8A2"/>
    <w:rsid w:val="46C88271"/>
    <w:rsid w:val="46CB698B"/>
    <w:rsid w:val="46CB6E14"/>
    <w:rsid w:val="46CC044B"/>
    <w:rsid w:val="46CCC861"/>
    <w:rsid w:val="46CE8653"/>
    <w:rsid w:val="46D3B8A9"/>
    <w:rsid w:val="46D47B3B"/>
    <w:rsid w:val="46D65222"/>
    <w:rsid w:val="46D696E6"/>
    <w:rsid w:val="46D69E07"/>
    <w:rsid w:val="46D832B1"/>
    <w:rsid w:val="46D96AF1"/>
    <w:rsid w:val="46DB501C"/>
    <w:rsid w:val="46DBAE1F"/>
    <w:rsid w:val="46DCA218"/>
    <w:rsid w:val="46DFC897"/>
    <w:rsid w:val="46E23E03"/>
    <w:rsid w:val="46E29A71"/>
    <w:rsid w:val="46E476B5"/>
    <w:rsid w:val="46E979E8"/>
    <w:rsid w:val="46EADA92"/>
    <w:rsid w:val="46EE5D96"/>
    <w:rsid w:val="46EFF36F"/>
    <w:rsid w:val="46F08C7D"/>
    <w:rsid w:val="46F21CC9"/>
    <w:rsid w:val="46F5D53A"/>
    <w:rsid w:val="46F632BF"/>
    <w:rsid w:val="46F63B0B"/>
    <w:rsid w:val="46F7FEBD"/>
    <w:rsid w:val="46F9605C"/>
    <w:rsid w:val="46F997A9"/>
    <w:rsid w:val="46FC3042"/>
    <w:rsid w:val="46FC7C58"/>
    <w:rsid w:val="46FD25AC"/>
    <w:rsid w:val="46FE779E"/>
    <w:rsid w:val="46FEB47F"/>
    <w:rsid w:val="4702861A"/>
    <w:rsid w:val="47037AE1"/>
    <w:rsid w:val="4704515D"/>
    <w:rsid w:val="470542F5"/>
    <w:rsid w:val="4705D285"/>
    <w:rsid w:val="4709943F"/>
    <w:rsid w:val="470B55E5"/>
    <w:rsid w:val="470E3730"/>
    <w:rsid w:val="470E9A82"/>
    <w:rsid w:val="47119201"/>
    <w:rsid w:val="47128C8C"/>
    <w:rsid w:val="4715BC14"/>
    <w:rsid w:val="4717AE2F"/>
    <w:rsid w:val="471E7AB6"/>
    <w:rsid w:val="47207A25"/>
    <w:rsid w:val="4722928F"/>
    <w:rsid w:val="47238E29"/>
    <w:rsid w:val="47253D16"/>
    <w:rsid w:val="47272A8F"/>
    <w:rsid w:val="47272AF7"/>
    <w:rsid w:val="4728188E"/>
    <w:rsid w:val="472A201D"/>
    <w:rsid w:val="472D2C34"/>
    <w:rsid w:val="473035BD"/>
    <w:rsid w:val="4730BED9"/>
    <w:rsid w:val="4731FE00"/>
    <w:rsid w:val="47338322"/>
    <w:rsid w:val="4733F25B"/>
    <w:rsid w:val="4735D5BF"/>
    <w:rsid w:val="47380EF7"/>
    <w:rsid w:val="4738C84C"/>
    <w:rsid w:val="4739C7EB"/>
    <w:rsid w:val="473A1427"/>
    <w:rsid w:val="4742D401"/>
    <w:rsid w:val="4744B837"/>
    <w:rsid w:val="4744CEA2"/>
    <w:rsid w:val="4744FB0D"/>
    <w:rsid w:val="47450DB2"/>
    <w:rsid w:val="4745CCE1"/>
    <w:rsid w:val="4747151E"/>
    <w:rsid w:val="474736DE"/>
    <w:rsid w:val="47474A1C"/>
    <w:rsid w:val="4748F461"/>
    <w:rsid w:val="474A50E6"/>
    <w:rsid w:val="474A61B8"/>
    <w:rsid w:val="474BD626"/>
    <w:rsid w:val="474C07F0"/>
    <w:rsid w:val="474C1C91"/>
    <w:rsid w:val="474E342C"/>
    <w:rsid w:val="474E8BA8"/>
    <w:rsid w:val="47521022"/>
    <w:rsid w:val="4752A71B"/>
    <w:rsid w:val="4757DC3A"/>
    <w:rsid w:val="475CD66D"/>
    <w:rsid w:val="475F8DB0"/>
    <w:rsid w:val="476044D8"/>
    <w:rsid w:val="4760C041"/>
    <w:rsid w:val="47610003"/>
    <w:rsid w:val="47632AAF"/>
    <w:rsid w:val="47642CF2"/>
    <w:rsid w:val="476437AB"/>
    <w:rsid w:val="476571F7"/>
    <w:rsid w:val="47659FE9"/>
    <w:rsid w:val="47735C73"/>
    <w:rsid w:val="4778BD7A"/>
    <w:rsid w:val="47791620"/>
    <w:rsid w:val="4780127B"/>
    <w:rsid w:val="47806C4B"/>
    <w:rsid w:val="4780CBF6"/>
    <w:rsid w:val="4786C527"/>
    <w:rsid w:val="478709E1"/>
    <w:rsid w:val="47873B0E"/>
    <w:rsid w:val="4787DCAF"/>
    <w:rsid w:val="4789BD95"/>
    <w:rsid w:val="4789D4AD"/>
    <w:rsid w:val="478D046E"/>
    <w:rsid w:val="478D5B17"/>
    <w:rsid w:val="478DA2B4"/>
    <w:rsid w:val="478F3F98"/>
    <w:rsid w:val="47907DF3"/>
    <w:rsid w:val="4792CB67"/>
    <w:rsid w:val="4793E527"/>
    <w:rsid w:val="47959810"/>
    <w:rsid w:val="4797B63F"/>
    <w:rsid w:val="4798551F"/>
    <w:rsid w:val="479B2537"/>
    <w:rsid w:val="479BB82A"/>
    <w:rsid w:val="479BF358"/>
    <w:rsid w:val="479D30CF"/>
    <w:rsid w:val="479DA78F"/>
    <w:rsid w:val="479DAF93"/>
    <w:rsid w:val="479F96D8"/>
    <w:rsid w:val="47A04A40"/>
    <w:rsid w:val="47A0F3B0"/>
    <w:rsid w:val="47A227C1"/>
    <w:rsid w:val="47A24A36"/>
    <w:rsid w:val="47A2D43F"/>
    <w:rsid w:val="47A88904"/>
    <w:rsid w:val="47A920B7"/>
    <w:rsid w:val="47AA4244"/>
    <w:rsid w:val="47AA7EF5"/>
    <w:rsid w:val="47AE15C7"/>
    <w:rsid w:val="47AEDB5F"/>
    <w:rsid w:val="47AF2376"/>
    <w:rsid w:val="47B13676"/>
    <w:rsid w:val="47B8F406"/>
    <w:rsid w:val="47BB14B7"/>
    <w:rsid w:val="47BB9A5D"/>
    <w:rsid w:val="47BCE70F"/>
    <w:rsid w:val="47BF3396"/>
    <w:rsid w:val="47BF3764"/>
    <w:rsid w:val="47BF911F"/>
    <w:rsid w:val="47C2C2EB"/>
    <w:rsid w:val="47C5869A"/>
    <w:rsid w:val="47C59876"/>
    <w:rsid w:val="47C749DF"/>
    <w:rsid w:val="47C98F8E"/>
    <w:rsid w:val="47C9D630"/>
    <w:rsid w:val="47CBC885"/>
    <w:rsid w:val="47CCBDA9"/>
    <w:rsid w:val="47CCC619"/>
    <w:rsid w:val="47CE8066"/>
    <w:rsid w:val="47D21CFA"/>
    <w:rsid w:val="47D26E06"/>
    <w:rsid w:val="47D3991B"/>
    <w:rsid w:val="47D8D2A5"/>
    <w:rsid w:val="47DB4B7F"/>
    <w:rsid w:val="47E1BE06"/>
    <w:rsid w:val="47E1EF3F"/>
    <w:rsid w:val="47E32CED"/>
    <w:rsid w:val="47E35A98"/>
    <w:rsid w:val="47E3C05E"/>
    <w:rsid w:val="47E4F790"/>
    <w:rsid w:val="47E82CA2"/>
    <w:rsid w:val="47E86BFC"/>
    <w:rsid w:val="47E873A5"/>
    <w:rsid w:val="47E96720"/>
    <w:rsid w:val="47E9D420"/>
    <w:rsid w:val="47EA93E1"/>
    <w:rsid w:val="47EACA53"/>
    <w:rsid w:val="47EB3820"/>
    <w:rsid w:val="47ECE9CB"/>
    <w:rsid w:val="47EDB89B"/>
    <w:rsid w:val="47EE8BB2"/>
    <w:rsid w:val="47EEEA03"/>
    <w:rsid w:val="47EFADC3"/>
    <w:rsid w:val="47F274B9"/>
    <w:rsid w:val="47F293B3"/>
    <w:rsid w:val="47F2DEF9"/>
    <w:rsid w:val="47F33DD6"/>
    <w:rsid w:val="47F59055"/>
    <w:rsid w:val="47F9A543"/>
    <w:rsid w:val="47FA0007"/>
    <w:rsid w:val="47FA67C8"/>
    <w:rsid w:val="47FD03BB"/>
    <w:rsid w:val="47FDD5A5"/>
    <w:rsid w:val="47FEA150"/>
    <w:rsid w:val="47FF664F"/>
    <w:rsid w:val="48004081"/>
    <w:rsid w:val="4803C3D6"/>
    <w:rsid w:val="480446CD"/>
    <w:rsid w:val="48054A47"/>
    <w:rsid w:val="4806538C"/>
    <w:rsid w:val="480669D6"/>
    <w:rsid w:val="4807B685"/>
    <w:rsid w:val="48085D12"/>
    <w:rsid w:val="480C71FF"/>
    <w:rsid w:val="480DD2DD"/>
    <w:rsid w:val="480DFBC7"/>
    <w:rsid w:val="480F1E65"/>
    <w:rsid w:val="4810DDC3"/>
    <w:rsid w:val="4810ED92"/>
    <w:rsid w:val="48116068"/>
    <w:rsid w:val="48116C4B"/>
    <w:rsid w:val="48119031"/>
    <w:rsid w:val="48123D36"/>
    <w:rsid w:val="48146762"/>
    <w:rsid w:val="48167EAD"/>
    <w:rsid w:val="48170827"/>
    <w:rsid w:val="481B0C05"/>
    <w:rsid w:val="481C256C"/>
    <w:rsid w:val="481CB98F"/>
    <w:rsid w:val="481F4C02"/>
    <w:rsid w:val="48205934"/>
    <w:rsid w:val="48207CCB"/>
    <w:rsid w:val="4820F567"/>
    <w:rsid w:val="48220569"/>
    <w:rsid w:val="482308BB"/>
    <w:rsid w:val="4827D4FE"/>
    <w:rsid w:val="48280AC1"/>
    <w:rsid w:val="4830F958"/>
    <w:rsid w:val="48315988"/>
    <w:rsid w:val="4831C2DD"/>
    <w:rsid w:val="4832185E"/>
    <w:rsid w:val="483370FE"/>
    <w:rsid w:val="48357663"/>
    <w:rsid w:val="4837E5C2"/>
    <w:rsid w:val="4838D883"/>
    <w:rsid w:val="483B4BD8"/>
    <w:rsid w:val="483C8AA0"/>
    <w:rsid w:val="48407B6E"/>
    <w:rsid w:val="4843D093"/>
    <w:rsid w:val="4843D43B"/>
    <w:rsid w:val="484514F2"/>
    <w:rsid w:val="48453CEE"/>
    <w:rsid w:val="4848A487"/>
    <w:rsid w:val="4849070F"/>
    <w:rsid w:val="484A1E9B"/>
    <w:rsid w:val="484A7018"/>
    <w:rsid w:val="484B0599"/>
    <w:rsid w:val="4850B2B7"/>
    <w:rsid w:val="485169D3"/>
    <w:rsid w:val="48528C49"/>
    <w:rsid w:val="4856D8F4"/>
    <w:rsid w:val="48577F4A"/>
    <w:rsid w:val="485849DD"/>
    <w:rsid w:val="4859048C"/>
    <w:rsid w:val="48596B4F"/>
    <w:rsid w:val="485A272F"/>
    <w:rsid w:val="485A4C44"/>
    <w:rsid w:val="485C6815"/>
    <w:rsid w:val="485CC08A"/>
    <w:rsid w:val="485D2E07"/>
    <w:rsid w:val="485DACB8"/>
    <w:rsid w:val="485EBCA7"/>
    <w:rsid w:val="486065C5"/>
    <w:rsid w:val="48611893"/>
    <w:rsid w:val="4867DA29"/>
    <w:rsid w:val="4867EAF7"/>
    <w:rsid w:val="486A4780"/>
    <w:rsid w:val="486B35C1"/>
    <w:rsid w:val="486B451A"/>
    <w:rsid w:val="486E1B6C"/>
    <w:rsid w:val="486E8C40"/>
    <w:rsid w:val="486F212A"/>
    <w:rsid w:val="48706C6F"/>
    <w:rsid w:val="48708ACC"/>
    <w:rsid w:val="4870DB79"/>
    <w:rsid w:val="48715FF6"/>
    <w:rsid w:val="48716B52"/>
    <w:rsid w:val="48717CE4"/>
    <w:rsid w:val="4871EBCE"/>
    <w:rsid w:val="4875C150"/>
    <w:rsid w:val="48769D50"/>
    <w:rsid w:val="487B4642"/>
    <w:rsid w:val="487DB08A"/>
    <w:rsid w:val="487E7741"/>
    <w:rsid w:val="4882AF14"/>
    <w:rsid w:val="4882F5E0"/>
    <w:rsid w:val="48837A61"/>
    <w:rsid w:val="48857D95"/>
    <w:rsid w:val="4886EFE9"/>
    <w:rsid w:val="48881B6B"/>
    <w:rsid w:val="488A9E4D"/>
    <w:rsid w:val="488B3169"/>
    <w:rsid w:val="488B3846"/>
    <w:rsid w:val="488D0464"/>
    <w:rsid w:val="4892BC2D"/>
    <w:rsid w:val="48977B4A"/>
    <w:rsid w:val="48979A97"/>
    <w:rsid w:val="4897C8CC"/>
    <w:rsid w:val="48981425"/>
    <w:rsid w:val="4899CC64"/>
    <w:rsid w:val="4899DC0F"/>
    <w:rsid w:val="489C7429"/>
    <w:rsid w:val="489D9BDC"/>
    <w:rsid w:val="489DEB01"/>
    <w:rsid w:val="489E225D"/>
    <w:rsid w:val="48A0D0A3"/>
    <w:rsid w:val="48A18962"/>
    <w:rsid w:val="48A2ED1F"/>
    <w:rsid w:val="48A48B59"/>
    <w:rsid w:val="48A4E944"/>
    <w:rsid w:val="48A551A1"/>
    <w:rsid w:val="48A9425B"/>
    <w:rsid w:val="48AD03EE"/>
    <w:rsid w:val="48B013CC"/>
    <w:rsid w:val="48B06E73"/>
    <w:rsid w:val="48B0DF1A"/>
    <w:rsid w:val="48B185A3"/>
    <w:rsid w:val="48B26957"/>
    <w:rsid w:val="48B28A6F"/>
    <w:rsid w:val="48B2B948"/>
    <w:rsid w:val="48B87086"/>
    <w:rsid w:val="48B9171C"/>
    <w:rsid w:val="48BA9005"/>
    <w:rsid w:val="48BAE3E3"/>
    <w:rsid w:val="48BDE1C8"/>
    <w:rsid w:val="48BEF19E"/>
    <w:rsid w:val="48C0B866"/>
    <w:rsid w:val="48C0E8C4"/>
    <w:rsid w:val="48C1B7CD"/>
    <w:rsid w:val="48C1CA1C"/>
    <w:rsid w:val="48C1D168"/>
    <w:rsid w:val="48C1F679"/>
    <w:rsid w:val="48C225BD"/>
    <w:rsid w:val="48C3A6F8"/>
    <w:rsid w:val="48C41F96"/>
    <w:rsid w:val="48C46856"/>
    <w:rsid w:val="48C60317"/>
    <w:rsid w:val="48C60626"/>
    <w:rsid w:val="48C64CBB"/>
    <w:rsid w:val="48CAD7FA"/>
    <w:rsid w:val="48CD2261"/>
    <w:rsid w:val="48CE910E"/>
    <w:rsid w:val="48CFA7F8"/>
    <w:rsid w:val="48D03C21"/>
    <w:rsid w:val="48D2DE0F"/>
    <w:rsid w:val="48D43D76"/>
    <w:rsid w:val="48D6328D"/>
    <w:rsid w:val="48DA0143"/>
    <w:rsid w:val="48DA575C"/>
    <w:rsid w:val="48DCB579"/>
    <w:rsid w:val="48DD1C51"/>
    <w:rsid w:val="48E225ED"/>
    <w:rsid w:val="48E4A5E6"/>
    <w:rsid w:val="48EB33C7"/>
    <w:rsid w:val="48F29363"/>
    <w:rsid w:val="48F316D6"/>
    <w:rsid w:val="48F51CD4"/>
    <w:rsid w:val="48F617C8"/>
    <w:rsid w:val="48F66650"/>
    <w:rsid w:val="48F71450"/>
    <w:rsid w:val="48F729A8"/>
    <w:rsid w:val="48F7E04A"/>
    <w:rsid w:val="48F9791A"/>
    <w:rsid w:val="48F97C94"/>
    <w:rsid w:val="48FA123A"/>
    <w:rsid w:val="48FC9196"/>
    <w:rsid w:val="48FE00F0"/>
    <w:rsid w:val="48FE6FC8"/>
    <w:rsid w:val="49072EE6"/>
    <w:rsid w:val="4909542A"/>
    <w:rsid w:val="4909DA4C"/>
    <w:rsid w:val="490AA43F"/>
    <w:rsid w:val="490B8D88"/>
    <w:rsid w:val="490C83B9"/>
    <w:rsid w:val="490CAB22"/>
    <w:rsid w:val="490D6318"/>
    <w:rsid w:val="490FECB5"/>
    <w:rsid w:val="49102F68"/>
    <w:rsid w:val="4910D3B2"/>
    <w:rsid w:val="49123F1D"/>
    <w:rsid w:val="49129B4B"/>
    <w:rsid w:val="49132E68"/>
    <w:rsid w:val="49168A60"/>
    <w:rsid w:val="4918583D"/>
    <w:rsid w:val="491C2A73"/>
    <w:rsid w:val="491D8B80"/>
    <w:rsid w:val="491F3885"/>
    <w:rsid w:val="491F989F"/>
    <w:rsid w:val="491FA55C"/>
    <w:rsid w:val="49227853"/>
    <w:rsid w:val="492433A1"/>
    <w:rsid w:val="49283C8F"/>
    <w:rsid w:val="49288424"/>
    <w:rsid w:val="49289405"/>
    <w:rsid w:val="4928CB94"/>
    <w:rsid w:val="49298A8E"/>
    <w:rsid w:val="49299E9B"/>
    <w:rsid w:val="492B6739"/>
    <w:rsid w:val="492C605F"/>
    <w:rsid w:val="492EB6E9"/>
    <w:rsid w:val="4930A4F1"/>
    <w:rsid w:val="4931BF57"/>
    <w:rsid w:val="493336CF"/>
    <w:rsid w:val="4933F31A"/>
    <w:rsid w:val="493458C1"/>
    <w:rsid w:val="4934A472"/>
    <w:rsid w:val="4935B387"/>
    <w:rsid w:val="49372570"/>
    <w:rsid w:val="4937C559"/>
    <w:rsid w:val="4937D699"/>
    <w:rsid w:val="49382A28"/>
    <w:rsid w:val="49397AC3"/>
    <w:rsid w:val="4939A8D1"/>
    <w:rsid w:val="493B1224"/>
    <w:rsid w:val="493B2477"/>
    <w:rsid w:val="493B7FAE"/>
    <w:rsid w:val="493E87D0"/>
    <w:rsid w:val="493E9A11"/>
    <w:rsid w:val="493ED254"/>
    <w:rsid w:val="493F9A04"/>
    <w:rsid w:val="4941519E"/>
    <w:rsid w:val="494449C5"/>
    <w:rsid w:val="494BE69B"/>
    <w:rsid w:val="494C27B3"/>
    <w:rsid w:val="494EA9AF"/>
    <w:rsid w:val="494F4A0E"/>
    <w:rsid w:val="49504B73"/>
    <w:rsid w:val="49515483"/>
    <w:rsid w:val="4955024C"/>
    <w:rsid w:val="49558262"/>
    <w:rsid w:val="49561BDC"/>
    <w:rsid w:val="49577379"/>
    <w:rsid w:val="495774E4"/>
    <w:rsid w:val="49578C67"/>
    <w:rsid w:val="4958ADD0"/>
    <w:rsid w:val="495906C6"/>
    <w:rsid w:val="495B502E"/>
    <w:rsid w:val="495D21DE"/>
    <w:rsid w:val="495EACFD"/>
    <w:rsid w:val="495EBFCF"/>
    <w:rsid w:val="49606DDB"/>
    <w:rsid w:val="49609B75"/>
    <w:rsid w:val="49618514"/>
    <w:rsid w:val="4961FC51"/>
    <w:rsid w:val="49623273"/>
    <w:rsid w:val="4963D398"/>
    <w:rsid w:val="496783A7"/>
    <w:rsid w:val="4968BEFF"/>
    <w:rsid w:val="496ABD42"/>
    <w:rsid w:val="496AF1FF"/>
    <w:rsid w:val="496B6DA3"/>
    <w:rsid w:val="496BABDF"/>
    <w:rsid w:val="496CDB6E"/>
    <w:rsid w:val="496F8933"/>
    <w:rsid w:val="4973A9BE"/>
    <w:rsid w:val="4976FF0D"/>
    <w:rsid w:val="49772427"/>
    <w:rsid w:val="497C119D"/>
    <w:rsid w:val="4980E781"/>
    <w:rsid w:val="49853ACA"/>
    <w:rsid w:val="4989D328"/>
    <w:rsid w:val="498C71CF"/>
    <w:rsid w:val="498CCFB2"/>
    <w:rsid w:val="498ECD41"/>
    <w:rsid w:val="498F4A94"/>
    <w:rsid w:val="4993A449"/>
    <w:rsid w:val="4994185F"/>
    <w:rsid w:val="49955490"/>
    <w:rsid w:val="499601B7"/>
    <w:rsid w:val="49973179"/>
    <w:rsid w:val="4998D021"/>
    <w:rsid w:val="499B248B"/>
    <w:rsid w:val="499B5211"/>
    <w:rsid w:val="499C060B"/>
    <w:rsid w:val="499D4D4A"/>
    <w:rsid w:val="499DA56F"/>
    <w:rsid w:val="499E1A8F"/>
    <w:rsid w:val="49A0A5F6"/>
    <w:rsid w:val="49A1239B"/>
    <w:rsid w:val="49A321A7"/>
    <w:rsid w:val="49A592AB"/>
    <w:rsid w:val="49A5F9D2"/>
    <w:rsid w:val="49A7B655"/>
    <w:rsid w:val="49A7E97F"/>
    <w:rsid w:val="49A80895"/>
    <w:rsid w:val="49A91988"/>
    <w:rsid w:val="49AA6F4E"/>
    <w:rsid w:val="49AB94CC"/>
    <w:rsid w:val="49AB9CDD"/>
    <w:rsid w:val="49AD3550"/>
    <w:rsid w:val="49AEEF0F"/>
    <w:rsid w:val="49B081C9"/>
    <w:rsid w:val="49B0F851"/>
    <w:rsid w:val="49B27EFB"/>
    <w:rsid w:val="49B49614"/>
    <w:rsid w:val="49B52D66"/>
    <w:rsid w:val="49B615CA"/>
    <w:rsid w:val="49B6659B"/>
    <w:rsid w:val="49B7F517"/>
    <w:rsid w:val="49B9E535"/>
    <w:rsid w:val="49BD0F37"/>
    <w:rsid w:val="49BD273E"/>
    <w:rsid w:val="49BFB190"/>
    <w:rsid w:val="49BFC716"/>
    <w:rsid w:val="49C15B9C"/>
    <w:rsid w:val="49C18C59"/>
    <w:rsid w:val="49C24400"/>
    <w:rsid w:val="49C26419"/>
    <w:rsid w:val="49C314AB"/>
    <w:rsid w:val="49C6F2D2"/>
    <w:rsid w:val="49CE2F72"/>
    <w:rsid w:val="49CF65CA"/>
    <w:rsid w:val="49D044CB"/>
    <w:rsid w:val="49D671B3"/>
    <w:rsid w:val="49D6C684"/>
    <w:rsid w:val="49DA1B96"/>
    <w:rsid w:val="49DB2E49"/>
    <w:rsid w:val="49DCFC00"/>
    <w:rsid w:val="49DE1EF9"/>
    <w:rsid w:val="49DFE162"/>
    <w:rsid w:val="49E1067E"/>
    <w:rsid w:val="49E25259"/>
    <w:rsid w:val="49E32EBE"/>
    <w:rsid w:val="49E55979"/>
    <w:rsid w:val="49E78FA2"/>
    <w:rsid w:val="49E7DD9E"/>
    <w:rsid w:val="49E81635"/>
    <w:rsid w:val="49E8D4FA"/>
    <w:rsid w:val="49E987E4"/>
    <w:rsid w:val="49EB5CF8"/>
    <w:rsid w:val="49EBFBE2"/>
    <w:rsid w:val="49EC45AF"/>
    <w:rsid w:val="49ED1A75"/>
    <w:rsid w:val="49EE8239"/>
    <w:rsid w:val="49EFC422"/>
    <w:rsid w:val="49F20A6D"/>
    <w:rsid w:val="49F45D15"/>
    <w:rsid w:val="49F56F66"/>
    <w:rsid w:val="49F668F8"/>
    <w:rsid w:val="49FAEE7A"/>
    <w:rsid w:val="49FC3B6B"/>
    <w:rsid w:val="49FC42AE"/>
    <w:rsid w:val="49FDAC9B"/>
    <w:rsid w:val="49FE2C1D"/>
    <w:rsid w:val="49FEAF52"/>
    <w:rsid w:val="4A0094F9"/>
    <w:rsid w:val="4A026A95"/>
    <w:rsid w:val="4A02A3F0"/>
    <w:rsid w:val="4A03668D"/>
    <w:rsid w:val="4A03ABFB"/>
    <w:rsid w:val="4A042858"/>
    <w:rsid w:val="4A04D5D6"/>
    <w:rsid w:val="4A05204E"/>
    <w:rsid w:val="4A06EA48"/>
    <w:rsid w:val="4A091FDE"/>
    <w:rsid w:val="4A0C8C0A"/>
    <w:rsid w:val="4A0CA195"/>
    <w:rsid w:val="4A0D1C61"/>
    <w:rsid w:val="4A0E9A9A"/>
    <w:rsid w:val="4A0FE1B7"/>
    <w:rsid w:val="4A13CE58"/>
    <w:rsid w:val="4A154824"/>
    <w:rsid w:val="4A15806E"/>
    <w:rsid w:val="4A183F7C"/>
    <w:rsid w:val="4A18DAD3"/>
    <w:rsid w:val="4A1B1889"/>
    <w:rsid w:val="4A1B2BAF"/>
    <w:rsid w:val="4A1BF1BE"/>
    <w:rsid w:val="4A1C7FAE"/>
    <w:rsid w:val="4A1C821C"/>
    <w:rsid w:val="4A1D019A"/>
    <w:rsid w:val="4A201594"/>
    <w:rsid w:val="4A2135C2"/>
    <w:rsid w:val="4A233AFF"/>
    <w:rsid w:val="4A252E09"/>
    <w:rsid w:val="4A27C4B6"/>
    <w:rsid w:val="4A27DCA5"/>
    <w:rsid w:val="4A28E4CD"/>
    <w:rsid w:val="4A2B5BC2"/>
    <w:rsid w:val="4A2C454D"/>
    <w:rsid w:val="4A2C6DC9"/>
    <w:rsid w:val="4A2D17B7"/>
    <w:rsid w:val="4A2E072F"/>
    <w:rsid w:val="4A2F8576"/>
    <w:rsid w:val="4A31428C"/>
    <w:rsid w:val="4A34E6E1"/>
    <w:rsid w:val="4A34E7D3"/>
    <w:rsid w:val="4A373B8F"/>
    <w:rsid w:val="4A39802C"/>
    <w:rsid w:val="4A3A2290"/>
    <w:rsid w:val="4A3ACB13"/>
    <w:rsid w:val="4A3AF266"/>
    <w:rsid w:val="4A3B88DD"/>
    <w:rsid w:val="4A3BDE04"/>
    <w:rsid w:val="4A3C2486"/>
    <w:rsid w:val="4A3E8AF6"/>
    <w:rsid w:val="4A4216EF"/>
    <w:rsid w:val="4A426D6D"/>
    <w:rsid w:val="4A433FFF"/>
    <w:rsid w:val="4A435D9A"/>
    <w:rsid w:val="4A450C10"/>
    <w:rsid w:val="4A45453C"/>
    <w:rsid w:val="4A4563B4"/>
    <w:rsid w:val="4A45CEAD"/>
    <w:rsid w:val="4A477861"/>
    <w:rsid w:val="4A47C976"/>
    <w:rsid w:val="4A485FED"/>
    <w:rsid w:val="4A486973"/>
    <w:rsid w:val="4A49532D"/>
    <w:rsid w:val="4A496F02"/>
    <w:rsid w:val="4A4D0CE6"/>
    <w:rsid w:val="4A4E3299"/>
    <w:rsid w:val="4A50A287"/>
    <w:rsid w:val="4A510057"/>
    <w:rsid w:val="4A539944"/>
    <w:rsid w:val="4A53D00C"/>
    <w:rsid w:val="4A56F5F8"/>
    <w:rsid w:val="4A5745F7"/>
    <w:rsid w:val="4A583DCA"/>
    <w:rsid w:val="4A585767"/>
    <w:rsid w:val="4A5A2A01"/>
    <w:rsid w:val="4A5C3198"/>
    <w:rsid w:val="4A5D5549"/>
    <w:rsid w:val="4A5DD374"/>
    <w:rsid w:val="4A5E9526"/>
    <w:rsid w:val="4A60C6CE"/>
    <w:rsid w:val="4A60F47F"/>
    <w:rsid w:val="4A62AA8A"/>
    <w:rsid w:val="4A642C3E"/>
    <w:rsid w:val="4A65751C"/>
    <w:rsid w:val="4A66102C"/>
    <w:rsid w:val="4A6679B7"/>
    <w:rsid w:val="4A67356F"/>
    <w:rsid w:val="4A674A9B"/>
    <w:rsid w:val="4A690EB1"/>
    <w:rsid w:val="4A6AF4F2"/>
    <w:rsid w:val="4A6E021C"/>
    <w:rsid w:val="4A745322"/>
    <w:rsid w:val="4A745B9E"/>
    <w:rsid w:val="4A795189"/>
    <w:rsid w:val="4A7BC2F5"/>
    <w:rsid w:val="4A7D3257"/>
    <w:rsid w:val="4A81646A"/>
    <w:rsid w:val="4A81692C"/>
    <w:rsid w:val="4A81C720"/>
    <w:rsid w:val="4A83C0B3"/>
    <w:rsid w:val="4A848780"/>
    <w:rsid w:val="4A87EEEF"/>
    <w:rsid w:val="4A906E5E"/>
    <w:rsid w:val="4A913DB4"/>
    <w:rsid w:val="4A984BC5"/>
    <w:rsid w:val="4A9A7F79"/>
    <w:rsid w:val="4A9AF1F0"/>
    <w:rsid w:val="4A9BBC3C"/>
    <w:rsid w:val="4A9CE982"/>
    <w:rsid w:val="4A9E62E5"/>
    <w:rsid w:val="4AA3CB3B"/>
    <w:rsid w:val="4AA53599"/>
    <w:rsid w:val="4AA604BF"/>
    <w:rsid w:val="4AA61A53"/>
    <w:rsid w:val="4AA64B2C"/>
    <w:rsid w:val="4AA65740"/>
    <w:rsid w:val="4AA6BC91"/>
    <w:rsid w:val="4AA95133"/>
    <w:rsid w:val="4AAA1C0C"/>
    <w:rsid w:val="4AAAC73F"/>
    <w:rsid w:val="4AABDDDF"/>
    <w:rsid w:val="4AABFE37"/>
    <w:rsid w:val="4AAD8E53"/>
    <w:rsid w:val="4AADEB29"/>
    <w:rsid w:val="4AAEEA41"/>
    <w:rsid w:val="4AB08B32"/>
    <w:rsid w:val="4AB97BD1"/>
    <w:rsid w:val="4ABB809B"/>
    <w:rsid w:val="4ABB92F1"/>
    <w:rsid w:val="4ABD42FD"/>
    <w:rsid w:val="4AC210E0"/>
    <w:rsid w:val="4AC249DE"/>
    <w:rsid w:val="4AC28A78"/>
    <w:rsid w:val="4AC3A51D"/>
    <w:rsid w:val="4AC3BD7C"/>
    <w:rsid w:val="4AC617C3"/>
    <w:rsid w:val="4AC71BAC"/>
    <w:rsid w:val="4AC851E2"/>
    <w:rsid w:val="4AC92AF7"/>
    <w:rsid w:val="4ACA2ABE"/>
    <w:rsid w:val="4ACCB094"/>
    <w:rsid w:val="4ACEC838"/>
    <w:rsid w:val="4AD068B5"/>
    <w:rsid w:val="4AD39721"/>
    <w:rsid w:val="4AD588DC"/>
    <w:rsid w:val="4AD58D2D"/>
    <w:rsid w:val="4AD5E564"/>
    <w:rsid w:val="4AD62CB3"/>
    <w:rsid w:val="4AD6CDCA"/>
    <w:rsid w:val="4AD79518"/>
    <w:rsid w:val="4AD87D82"/>
    <w:rsid w:val="4AD90EBE"/>
    <w:rsid w:val="4ADAE08D"/>
    <w:rsid w:val="4ADC43AB"/>
    <w:rsid w:val="4ADCA879"/>
    <w:rsid w:val="4ADD81F5"/>
    <w:rsid w:val="4ADE2315"/>
    <w:rsid w:val="4ADFB7F0"/>
    <w:rsid w:val="4AE1B418"/>
    <w:rsid w:val="4AE39252"/>
    <w:rsid w:val="4AE71A81"/>
    <w:rsid w:val="4AE92928"/>
    <w:rsid w:val="4AE93842"/>
    <w:rsid w:val="4AE9A34F"/>
    <w:rsid w:val="4AEA62E7"/>
    <w:rsid w:val="4AEC9CDD"/>
    <w:rsid w:val="4AEF7ADF"/>
    <w:rsid w:val="4AEFE6C0"/>
    <w:rsid w:val="4AF07E8B"/>
    <w:rsid w:val="4AF10C88"/>
    <w:rsid w:val="4AF23F28"/>
    <w:rsid w:val="4AF2A34E"/>
    <w:rsid w:val="4AF33FE3"/>
    <w:rsid w:val="4AF34112"/>
    <w:rsid w:val="4AF91043"/>
    <w:rsid w:val="4AF9D028"/>
    <w:rsid w:val="4AFBE9B3"/>
    <w:rsid w:val="4AFC26BF"/>
    <w:rsid w:val="4AFC2B64"/>
    <w:rsid w:val="4AFC958A"/>
    <w:rsid w:val="4AFCA23F"/>
    <w:rsid w:val="4AFE4F9F"/>
    <w:rsid w:val="4B00031D"/>
    <w:rsid w:val="4B008B2D"/>
    <w:rsid w:val="4B01D5B1"/>
    <w:rsid w:val="4B02D559"/>
    <w:rsid w:val="4B02FF6C"/>
    <w:rsid w:val="4B042EC7"/>
    <w:rsid w:val="4B044F92"/>
    <w:rsid w:val="4B045ED4"/>
    <w:rsid w:val="4B04BE2B"/>
    <w:rsid w:val="4B05B771"/>
    <w:rsid w:val="4B06B569"/>
    <w:rsid w:val="4B07709F"/>
    <w:rsid w:val="4B07C552"/>
    <w:rsid w:val="4B07E4DE"/>
    <w:rsid w:val="4B0903CC"/>
    <w:rsid w:val="4B0BF6A3"/>
    <w:rsid w:val="4B11AC3B"/>
    <w:rsid w:val="4B13FD22"/>
    <w:rsid w:val="4B14BA39"/>
    <w:rsid w:val="4B168AFF"/>
    <w:rsid w:val="4B1B8850"/>
    <w:rsid w:val="4B1CB1C4"/>
    <w:rsid w:val="4B1D0EA1"/>
    <w:rsid w:val="4B1FE601"/>
    <w:rsid w:val="4B21579F"/>
    <w:rsid w:val="4B23D78E"/>
    <w:rsid w:val="4B2B6961"/>
    <w:rsid w:val="4B2C42D5"/>
    <w:rsid w:val="4B319BF4"/>
    <w:rsid w:val="4B32DF5E"/>
    <w:rsid w:val="4B3695A8"/>
    <w:rsid w:val="4B3A89D0"/>
    <w:rsid w:val="4B3B50BF"/>
    <w:rsid w:val="4B3F1568"/>
    <w:rsid w:val="4B3FE15D"/>
    <w:rsid w:val="4B413523"/>
    <w:rsid w:val="4B429269"/>
    <w:rsid w:val="4B46556D"/>
    <w:rsid w:val="4B46E8B8"/>
    <w:rsid w:val="4B475408"/>
    <w:rsid w:val="4B48453D"/>
    <w:rsid w:val="4B4A4D9F"/>
    <w:rsid w:val="4B4C42C2"/>
    <w:rsid w:val="4B4C6B81"/>
    <w:rsid w:val="4B510F35"/>
    <w:rsid w:val="4B512F5C"/>
    <w:rsid w:val="4B51F41F"/>
    <w:rsid w:val="4B5238F7"/>
    <w:rsid w:val="4B523D3E"/>
    <w:rsid w:val="4B547FFC"/>
    <w:rsid w:val="4B563282"/>
    <w:rsid w:val="4B575827"/>
    <w:rsid w:val="4B57AE7B"/>
    <w:rsid w:val="4B5810A3"/>
    <w:rsid w:val="4B5878A4"/>
    <w:rsid w:val="4B5B9CB8"/>
    <w:rsid w:val="4B5BB0EE"/>
    <w:rsid w:val="4B5C9CD2"/>
    <w:rsid w:val="4B5E07CD"/>
    <w:rsid w:val="4B5E1ECC"/>
    <w:rsid w:val="4B5E2258"/>
    <w:rsid w:val="4B5E6172"/>
    <w:rsid w:val="4B5E8388"/>
    <w:rsid w:val="4B5EAA95"/>
    <w:rsid w:val="4B5F6120"/>
    <w:rsid w:val="4B619553"/>
    <w:rsid w:val="4B61AA78"/>
    <w:rsid w:val="4B62EE38"/>
    <w:rsid w:val="4B62F4A2"/>
    <w:rsid w:val="4B66B409"/>
    <w:rsid w:val="4B66E833"/>
    <w:rsid w:val="4B671CF3"/>
    <w:rsid w:val="4B698F85"/>
    <w:rsid w:val="4B6AF6D7"/>
    <w:rsid w:val="4B6B1369"/>
    <w:rsid w:val="4B6E2CF4"/>
    <w:rsid w:val="4B6E2D11"/>
    <w:rsid w:val="4B70AA0F"/>
    <w:rsid w:val="4B70BD50"/>
    <w:rsid w:val="4B70D322"/>
    <w:rsid w:val="4B719B63"/>
    <w:rsid w:val="4B71D696"/>
    <w:rsid w:val="4B7277A4"/>
    <w:rsid w:val="4B72D5C8"/>
    <w:rsid w:val="4B734285"/>
    <w:rsid w:val="4B737E99"/>
    <w:rsid w:val="4B747E3A"/>
    <w:rsid w:val="4B7674A0"/>
    <w:rsid w:val="4B77BD89"/>
    <w:rsid w:val="4B780126"/>
    <w:rsid w:val="4B7DE4D9"/>
    <w:rsid w:val="4B7EF0C8"/>
    <w:rsid w:val="4B80777F"/>
    <w:rsid w:val="4B810DE9"/>
    <w:rsid w:val="4B827A59"/>
    <w:rsid w:val="4B82A29D"/>
    <w:rsid w:val="4B82CCD4"/>
    <w:rsid w:val="4B869AF1"/>
    <w:rsid w:val="4B8955E6"/>
    <w:rsid w:val="4B89B87C"/>
    <w:rsid w:val="4B8BA05A"/>
    <w:rsid w:val="4B8D16D4"/>
    <w:rsid w:val="4B8D6449"/>
    <w:rsid w:val="4B8F2C11"/>
    <w:rsid w:val="4B90485D"/>
    <w:rsid w:val="4B91BDA6"/>
    <w:rsid w:val="4B928211"/>
    <w:rsid w:val="4B98DCCB"/>
    <w:rsid w:val="4B9B102E"/>
    <w:rsid w:val="4B9B9E0C"/>
    <w:rsid w:val="4B9BE38D"/>
    <w:rsid w:val="4BA0BEE5"/>
    <w:rsid w:val="4BA0C55A"/>
    <w:rsid w:val="4BA1CA65"/>
    <w:rsid w:val="4BA30DCA"/>
    <w:rsid w:val="4BA97E1C"/>
    <w:rsid w:val="4BAB951C"/>
    <w:rsid w:val="4BAD9B02"/>
    <w:rsid w:val="4BAEBD85"/>
    <w:rsid w:val="4BAF70D7"/>
    <w:rsid w:val="4BAF8947"/>
    <w:rsid w:val="4BB150CF"/>
    <w:rsid w:val="4BB3DE85"/>
    <w:rsid w:val="4BB4C25C"/>
    <w:rsid w:val="4BB67460"/>
    <w:rsid w:val="4BB8D04C"/>
    <w:rsid w:val="4BB8D5E5"/>
    <w:rsid w:val="4BB932E5"/>
    <w:rsid w:val="4BB9B146"/>
    <w:rsid w:val="4BBA411C"/>
    <w:rsid w:val="4BBC4AF8"/>
    <w:rsid w:val="4BC09E20"/>
    <w:rsid w:val="4BC24DA3"/>
    <w:rsid w:val="4BC4138A"/>
    <w:rsid w:val="4BC47236"/>
    <w:rsid w:val="4BC57B03"/>
    <w:rsid w:val="4BC63B5F"/>
    <w:rsid w:val="4BC702F2"/>
    <w:rsid w:val="4BC785DE"/>
    <w:rsid w:val="4BC9B5E8"/>
    <w:rsid w:val="4BCA72AE"/>
    <w:rsid w:val="4BCDA54A"/>
    <w:rsid w:val="4BCF4176"/>
    <w:rsid w:val="4BD10963"/>
    <w:rsid w:val="4BD2B481"/>
    <w:rsid w:val="4BD31F6E"/>
    <w:rsid w:val="4BD36F28"/>
    <w:rsid w:val="4BD41D98"/>
    <w:rsid w:val="4BD558F4"/>
    <w:rsid w:val="4BD56EC3"/>
    <w:rsid w:val="4BD6451B"/>
    <w:rsid w:val="4BD9E207"/>
    <w:rsid w:val="4BDE9178"/>
    <w:rsid w:val="4BDE99EE"/>
    <w:rsid w:val="4BDEB7F5"/>
    <w:rsid w:val="4BDEDFA7"/>
    <w:rsid w:val="4BE30618"/>
    <w:rsid w:val="4BE4A625"/>
    <w:rsid w:val="4BE62645"/>
    <w:rsid w:val="4BE717FE"/>
    <w:rsid w:val="4BE80E3C"/>
    <w:rsid w:val="4BE95F00"/>
    <w:rsid w:val="4BE96264"/>
    <w:rsid w:val="4BEBFC63"/>
    <w:rsid w:val="4BECA986"/>
    <w:rsid w:val="4BECC3D7"/>
    <w:rsid w:val="4BED40B7"/>
    <w:rsid w:val="4BED5C91"/>
    <w:rsid w:val="4BF0461C"/>
    <w:rsid w:val="4BF1F205"/>
    <w:rsid w:val="4BF28D2E"/>
    <w:rsid w:val="4BF507F0"/>
    <w:rsid w:val="4BF5A7C6"/>
    <w:rsid w:val="4BF65A0F"/>
    <w:rsid w:val="4BF7154F"/>
    <w:rsid w:val="4BF7ADEF"/>
    <w:rsid w:val="4BFBAD65"/>
    <w:rsid w:val="4BFC9A51"/>
    <w:rsid w:val="4BFCA77E"/>
    <w:rsid w:val="4C00C375"/>
    <w:rsid w:val="4C0273AF"/>
    <w:rsid w:val="4C03052B"/>
    <w:rsid w:val="4C03F4E4"/>
    <w:rsid w:val="4C05A320"/>
    <w:rsid w:val="4C07DAC8"/>
    <w:rsid w:val="4C09093B"/>
    <w:rsid w:val="4C0A3B3F"/>
    <w:rsid w:val="4C0A745D"/>
    <w:rsid w:val="4C0AEF8B"/>
    <w:rsid w:val="4C0B12D6"/>
    <w:rsid w:val="4C0C8231"/>
    <w:rsid w:val="4C0D9FF5"/>
    <w:rsid w:val="4C0E3895"/>
    <w:rsid w:val="4C12B4F7"/>
    <w:rsid w:val="4C136D0E"/>
    <w:rsid w:val="4C152244"/>
    <w:rsid w:val="4C15E6B0"/>
    <w:rsid w:val="4C15F9EE"/>
    <w:rsid w:val="4C16800F"/>
    <w:rsid w:val="4C179A82"/>
    <w:rsid w:val="4C193EE8"/>
    <w:rsid w:val="4C1B8C06"/>
    <w:rsid w:val="4C1C7F91"/>
    <w:rsid w:val="4C1CFF65"/>
    <w:rsid w:val="4C1DAA68"/>
    <w:rsid w:val="4C1E2F55"/>
    <w:rsid w:val="4C205A54"/>
    <w:rsid w:val="4C212822"/>
    <w:rsid w:val="4C214118"/>
    <w:rsid w:val="4C2197BD"/>
    <w:rsid w:val="4C220DD0"/>
    <w:rsid w:val="4C22ADC8"/>
    <w:rsid w:val="4C2487F1"/>
    <w:rsid w:val="4C258145"/>
    <w:rsid w:val="4C2914B4"/>
    <w:rsid w:val="4C29D06B"/>
    <w:rsid w:val="4C2A100E"/>
    <w:rsid w:val="4C2A6F4C"/>
    <w:rsid w:val="4C2AB97F"/>
    <w:rsid w:val="4C2B7ECA"/>
    <w:rsid w:val="4C2C7588"/>
    <w:rsid w:val="4C2D9691"/>
    <w:rsid w:val="4C2F85AD"/>
    <w:rsid w:val="4C2FBCC9"/>
    <w:rsid w:val="4C328313"/>
    <w:rsid w:val="4C3320EA"/>
    <w:rsid w:val="4C335B59"/>
    <w:rsid w:val="4C344B5B"/>
    <w:rsid w:val="4C399633"/>
    <w:rsid w:val="4C3C1E33"/>
    <w:rsid w:val="4C3CC2CC"/>
    <w:rsid w:val="4C3CFDB9"/>
    <w:rsid w:val="4C3D19FE"/>
    <w:rsid w:val="4C3EAFE5"/>
    <w:rsid w:val="4C3F7DED"/>
    <w:rsid w:val="4C40941D"/>
    <w:rsid w:val="4C4163B0"/>
    <w:rsid w:val="4C42DAA5"/>
    <w:rsid w:val="4C43B027"/>
    <w:rsid w:val="4C44C030"/>
    <w:rsid w:val="4C4508CF"/>
    <w:rsid w:val="4C48CF7C"/>
    <w:rsid w:val="4C49E12E"/>
    <w:rsid w:val="4C4A21AD"/>
    <w:rsid w:val="4C4A9054"/>
    <w:rsid w:val="4C4B0980"/>
    <w:rsid w:val="4C4BC184"/>
    <w:rsid w:val="4C4D7DED"/>
    <w:rsid w:val="4C4DEEEC"/>
    <w:rsid w:val="4C5145B5"/>
    <w:rsid w:val="4C52CA01"/>
    <w:rsid w:val="4C52EA72"/>
    <w:rsid w:val="4C54D649"/>
    <w:rsid w:val="4C556EA6"/>
    <w:rsid w:val="4C557F30"/>
    <w:rsid w:val="4C56AA52"/>
    <w:rsid w:val="4C58A6D1"/>
    <w:rsid w:val="4C58E90F"/>
    <w:rsid w:val="4C598A29"/>
    <w:rsid w:val="4C5BF62D"/>
    <w:rsid w:val="4C5C6FE9"/>
    <w:rsid w:val="4C5D5918"/>
    <w:rsid w:val="4C5F0EB1"/>
    <w:rsid w:val="4C5F7FA7"/>
    <w:rsid w:val="4C5FC368"/>
    <w:rsid w:val="4C62C41F"/>
    <w:rsid w:val="4C64FB58"/>
    <w:rsid w:val="4C6568D7"/>
    <w:rsid w:val="4C6599BA"/>
    <w:rsid w:val="4C673B68"/>
    <w:rsid w:val="4C67B319"/>
    <w:rsid w:val="4C6902A3"/>
    <w:rsid w:val="4C69A58B"/>
    <w:rsid w:val="4C6C466E"/>
    <w:rsid w:val="4C6CDBC6"/>
    <w:rsid w:val="4C6DEA86"/>
    <w:rsid w:val="4C6FDAD8"/>
    <w:rsid w:val="4C724564"/>
    <w:rsid w:val="4C725590"/>
    <w:rsid w:val="4C733315"/>
    <w:rsid w:val="4C736D58"/>
    <w:rsid w:val="4C73AB2D"/>
    <w:rsid w:val="4C75CF3A"/>
    <w:rsid w:val="4C78F6CF"/>
    <w:rsid w:val="4C791138"/>
    <w:rsid w:val="4C7A187C"/>
    <w:rsid w:val="4C7A88B6"/>
    <w:rsid w:val="4C7DEBCD"/>
    <w:rsid w:val="4C7F5D14"/>
    <w:rsid w:val="4C80D0DC"/>
    <w:rsid w:val="4C819AE5"/>
    <w:rsid w:val="4C821347"/>
    <w:rsid w:val="4C82A59A"/>
    <w:rsid w:val="4C848CBB"/>
    <w:rsid w:val="4C8654E8"/>
    <w:rsid w:val="4C86AD12"/>
    <w:rsid w:val="4C88D672"/>
    <w:rsid w:val="4C8913F9"/>
    <w:rsid w:val="4C895585"/>
    <w:rsid w:val="4C897A3F"/>
    <w:rsid w:val="4C8BF08F"/>
    <w:rsid w:val="4C8DF882"/>
    <w:rsid w:val="4C90640E"/>
    <w:rsid w:val="4C907E70"/>
    <w:rsid w:val="4C90F1C9"/>
    <w:rsid w:val="4C913676"/>
    <w:rsid w:val="4C92956F"/>
    <w:rsid w:val="4C9308E0"/>
    <w:rsid w:val="4C931F3A"/>
    <w:rsid w:val="4C958237"/>
    <w:rsid w:val="4C959E6E"/>
    <w:rsid w:val="4C972ED3"/>
    <w:rsid w:val="4C9992D2"/>
    <w:rsid w:val="4C9CD284"/>
    <w:rsid w:val="4C9DBA92"/>
    <w:rsid w:val="4C9F2419"/>
    <w:rsid w:val="4CA07DFF"/>
    <w:rsid w:val="4CA1BF98"/>
    <w:rsid w:val="4CA42404"/>
    <w:rsid w:val="4CA4D28A"/>
    <w:rsid w:val="4CA550A6"/>
    <w:rsid w:val="4CA5B841"/>
    <w:rsid w:val="4CA67417"/>
    <w:rsid w:val="4CA71292"/>
    <w:rsid w:val="4CA7D7AB"/>
    <w:rsid w:val="4CA9588D"/>
    <w:rsid w:val="4CAD7B3C"/>
    <w:rsid w:val="4CADEACC"/>
    <w:rsid w:val="4CAF8F27"/>
    <w:rsid w:val="4CB1D20A"/>
    <w:rsid w:val="4CB1EB1D"/>
    <w:rsid w:val="4CB3C94E"/>
    <w:rsid w:val="4CB3DFDD"/>
    <w:rsid w:val="4CB7E045"/>
    <w:rsid w:val="4CB83A60"/>
    <w:rsid w:val="4CB9228A"/>
    <w:rsid w:val="4CBC710E"/>
    <w:rsid w:val="4CBCE0E4"/>
    <w:rsid w:val="4CBD8615"/>
    <w:rsid w:val="4CBDF942"/>
    <w:rsid w:val="4CBE9634"/>
    <w:rsid w:val="4CC04F84"/>
    <w:rsid w:val="4CC6C009"/>
    <w:rsid w:val="4CC88374"/>
    <w:rsid w:val="4CCA26B6"/>
    <w:rsid w:val="4CCBCDF8"/>
    <w:rsid w:val="4CCCE523"/>
    <w:rsid w:val="4CD0F2BD"/>
    <w:rsid w:val="4CD1ED9D"/>
    <w:rsid w:val="4CD2B689"/>
    <w:rsid w:val="4CD2DA8E"/>
    <w:rsid w:val="4CD91160"/>
    <w:rsid w:val="4CD98CCE"/>
    <w:rsid w:val="4CDA654E"/>
    <w:rsid w:val="4CE1ACFC"/>
    <w:rsid w:val="4CE3BD49"/>
    <w:rsid w:val="4CE87BAA"/>
    <w:rsid w:val="4CEB41BA"/>
    <w:rsid w:val="4CEC636E"/>
    <w:rsid w:val="4CEDE5EE"/>
    <w:rsid w:val="4CEEEB0C"/>
    <w:rsid w:val="4CEF5EAB"/>
    <w:rsid w:val="4CF04DF9"/>
    <w:rsid w:val="4CF39347"/>
    <w:rsid w:val="4CF4DEBD"/>
    <w:rsid w:val="4CF82BCB"/>
    <w:rsid w:val="4CF8C429"/>
    <w:rsid w:val="4CF8DCA8"/>
    <w:rsid w:val="4CFA461B"/>
    <w:rsid w:val="4CFBF6F8"/>
    <w:rsid w:val="4CFC145F"/>
    <w:rsid w:val="4CFC269E"/>
    <w:rsid w:val="4CFC2E97"/>
    <w:rsid w:val="4CFEFA37"/>
    <w:rsid w:val="4CFF9BE4"/>
    <w:rsid w:val="4D01ED66"/>
    <w:rsid w:val="4D020189"/>
    <w:rsid w:val="4D029659"/>
    <w:rsid w:val="4D0353A2"/>
    <w:rsid w:val="4D042EB9"/>
    <w:rsid w:val="4D051DF7"/>
    <w:rsid w:val="4D057144"/>
    <w:rsid w:val="4D068076"/>
    <w:rsid w:val="4D0734E9"/>
    <w:rsid w:val="4D074611"/>
    <w:rsid w:val="4D076A74"/>
    <w:rsid w:val="4D08A6C9"/>
    <w:rsid w:val="4D08A936"/>
    <w:rsid w:val="4D08CFF4"/>
    <w:rsid w:val="4D092BFE"/>
    <w:rsid w:val="4D0A749A"/>
    <w:rsid w:val="4D0DFEAD"/>
    <w:rsid w:val="4D0F75CF"/>
    <w:rsid w:val="4D110022"/>
    <w:rsid w:val="4D16D60B"/>
    <w:rsid w:val="4D16E0AD"/>
    <w:rsid w:val="4D174A1B"/>
    <w:rsid w:val="4D19395D"/>
    <w:rsid w:val="4D1A5CAE"/>
    <w:rsid w:val="4D1B30CF"/>
    <w:rsid w:val="4D1C2711"/>
    <w:rsid w:val="4D1E3664"/>
    <w:rsid w:val="4D1F13C2"/>
    <w:rsid w:val="4D208773"/>
    <w:rsid w:val="4D20985E"/>
    <w:rsid w:val="4D21372E"/>
    <w:rsid w:val="4D232B03"/>
    <w:rsid w:val="4D232CA6"/>
    <w:rsid w:val="4D239987"/>
    <w:rsid w:val="4D261733"/>
    <w:rsid w:val="4D26AB29"/>
    <w:rsid w:val="4D28C9D4"/>
    <w:rsid w:val="4D29993D"/>
    <w:rsid w:val="4D2E848D"/>
    <w:rsid w:val="4D313814"/>
    <w:rsid w:val="4D33CFD6"/>
    <w:rsid w:val="4D37EE35"/>
    <w:rsid w:val="4D3A3355"/>
    <w:rsid w:val="4D3AEB85"/>
    <w:rsid w:val="4D3D2CAA"/>
    <w:rsid w:val="4D3D6F94"/>
    <w:rsid w:val="4D3E2242"/>
    <w:rsid w:val="4D3EDE62"/>
    <w:rsid w:val="4D3F67B0"/>
    <w:rsid w:val="4D3FDCF7"/>
    <w:rsid w:val="4D415C77"/>
    <w:rsid w:val="4D41C99F"/>
    <w:rsid w:val="4D438D81"/>
    <w:rsid w:val="4D441A10"/>
    <w:rsid w:val="4D452A8F"/>
    <w:rsid w:val="4D462B06"/>
    <w:rsid w:val="4D463AC2"/>
    <w:rsid w:val="4D46E448"/>
    <w:rsid w:val="4D47D670"/>
    <w:rsid w:val="4D488225"/>
    <w:rsid w:val="4D4A479F"/>
    <w:rsid w:val="4D4EA2E9"/>
    <w:rsid w:val="4D4FEF1C"/>
    <w:rsid w:val="4D5246A4"/>
    <w:rsid w:val="4D553EB6"/>
    <w:rsid w:val="4D55D9AE"/>
    <w:rsid w:val="4D55DFF1"/>
    <w:rsid w:val="4D55F74D"/>
    <w:rsid w:val="4D56F179"/>
    <w:rsid w:val="4D57283E"/>
    <w:rsid w:val="4D584E1A"/>
    <w:rsid w:val="4D5965F1"/>
    <w:rsid w:val="4D5A6A4C"/>
    <w:rsid w:val="4D5D9A2F"/>
    <w:rsid w:val="4D60252E"/>
    <w:rsid w:val="4D606DF9"/>
    <w:rsid w:val="4D618080"/>
    <w:rsid w:val="4D62AE7F"/>
    <w:rsid w:val="4D63507D"/>
    <w:rsid w:val="4D692FA3"/>
    <w:rsid w:val="4D6AE9DB"/>
    <w:rsid w:val="4D6BE349"/>
    <w:rsid w:val="4D6E3B9A"/>
    <w:rsid w:val="4D7014D8"/>
    <w:rsid w:val="4D70E518"/>
    <w:rsid w:val="4D7215A5"/>
    <w:rsid w:val="4D721A3F"/>
    <w:rsid w:val="4D728F49"/>
    <w:rsid w:val="4D774C1E"/>
    <w:rsid w:val="4D778984"/>
    <w:rsid w:val="4D78AEB7"/>
    <w:rsid w:val="4D7B87D5"/>
    <w:rsid w:val="4D827981"/>
    <w:rsid w:val="4D89E700"/>
    <w:rsid w:val="4D8B734B"/>
    <w:rsid w:val="4D8DB06A"/>
    <w:rsid w:val="4D8DFB84"/>
    <w:rsid w:val="4D8F3F61"/>
    <w:rsid w:val="4D8FD29B"/>
    <w:rsid w:val="4D8FDB4B"/>
    <w:rsid w:val="4D902EF0"/>
    <w:rsid w:val="4D905F78"/>
    <w:rsid w:val="4D918B3E"/>
    <w:rsid w:val="4D920EFF"/>
    <w:rsid w:val="4D939C4A"/>
    <w:rsid w:val="4D93D809"/>
    <w:rsid w:val="4D9758CC"/>
    <w:rsid w:val="4D975AAF"/>
    <w:rsid w:val="4D996B2E"/>
    <w:rsid w:val="4D99D112"/>
    <w:rsid w:val="4D9C9E85"/>
    <w:rsid w:val="4D9EBB21"/>
    <w:rsid w:val="4D9F6084"/>
    <w:rsid w:val="4D9FBBA4"/>
    <w:rsid w:val="4DA00E42"/>
    <w:rsid w:val="4DA24033"/>
    <w:rsid w:val="4DA3F979"/>
    <w:rsid w:val="4DA4E190"/>
    <w:rsid w:val="4DA52F6A"/>
    <w:rsid w:val="4DA5E066"/>
    <w:rsid w:val="4DA75366"/>
    <w:rsid w:val="4DA80722"/>
    <w:rsid w:val="4DA86D2D"/>
    <w:rsid w:val="4DAC976C"/>
    <w:rsid w:val="4DAF1F4D"/>
    <w:rsid w:val="4DAF45AC"/>
    <w:rsid w:val="4DAF5947"/>
    <w:rsid w:val="4DB017FF"/>
    <w:rsid w:val="4DB32CFB"/>
    <w:rsid w:val="4DB495DC"/>
    <w:rsid w:val="4DB4E873"/>
    <w:rsid w:val="4DB5B044"/>
    <w:rsid w:val="4DB62699"/>
    <w:rsid w:val="4DB71D5A"/>
    <w:rsid w:val="4DB73334"/>
    <w:rsid w:val="4DB76BFF"/>
    <w:rsid w:val="4DB99383"/>
    <w:rsid w:val="4DB9CD28"/>
    <w:rsid w:val="4DBC6ECA"/>
    <w:rsid w:val="4DBCC952"/>
    <w:rsid w:val="4DBD582A"/>
    <w:rsid w:val="4DBEC56C"/>
    <w:rsid w:val="4DC22BFB"/>
    <w:rsid w:val="4DC4619B"/>
    <w:rsid w:val="4DC75975"/>
    <w:rsid w:val="4DC75A45"/>
    <w:rsid w:val="4DC7992C"/>
    <w:rsid w:val="4DC81289"/>
    <w:rsid w:val="4DCB09BF"/>
    <w:rsid w:val="4DCD8E94"/>
    <w:rsid w:val="4DCDA825"/>
    <w:rsid w:val="4DCF9BB6"/>
    <w:rsid w:val="4DD0E756"/>
    <w:rsid w:val="4DD192D9"/>
    <w:rsid w:val="4DD2C0EC"/>
    <w:rsid w:val="4DD3280C"/>
    <w:rsid w:val="4DD348E3"/>
    <w:rsid w:val="4DD5D721"/>
    <w:rsid w:val="4DD9DA12"/>
    <w:rsid w:val="4DDC2D53"/>
    <w:rsid w:val="4DDC72B8"/>
    <w:rsid w:val="4DDCD8A4"/>
    <w:rsid w:val="4DDD38E4"/>
    <w:rsid w:val="4DDD6887"/>
    <w:rsid w:val="4DDE6436"/>
    <w:rsid w:val="4DE4BC4E"/>
    <w:rsid w:val="4DE62818"/>
    <w:rsid w:val="4DE768FB"/>
    <w:rsid w:val="4DE89BF0"/>
    <w:rsid w:val="4DE96A07"/>
    <w:rsid w:val="4DE96E2C"/>
    <w:rsid w:val="4DEA4454"/>
    <w:rsid w:val="4DEA5376"/>
    <w:rsid w:val="4DEB32A4"/>
    <w:rsid w:val="4DEBF712"/>
    <w:rsid w:val="4DEC2779"/>
    <w:rsid w:val="4DEE9CD9"/>
    <w:rsid w:val="4DEF5065"/>
    <w:rsid w:val="4DF0AC30"/>
    <w:rsid w:val="4DF14DD0"/>
    <w:rsid w:val="4DF37B81"/>
    <w:rsid w:val="4DF3C3FF"/>
    <w:rsid w:val="4DF4B4AE"/>
    <w:rsid w:val="4DF50EC3"/>
    <w:rsid w:val="4DF65111"/>
    <w:rsid w:val="4DF77DA7"/>
    <w:rsid w:val="4DFA8E7B"/>
    <w:rsid w:val="4DFB45DF"/>
    <w:rsid w:val="4DFBA7EA"/>
    <w:rsid w:val="4DFC58E4"/>
    <w:rsid w:val="4DFEAA5B"/>
    <w:rsid w:val="4DFEC07E"/>
    <w:rsid w:val="4DFF8F87"/>
    <w:rsid w:val="4DFFD31A"/>
    <w:rsid w:val="4E0016E7"/>
    <w:rsid w:val="4E036DF5"/>
    <w:rsid w:val="4E048B7F"/>
    <w:rsid w:val="4E05E5E5"/>
    <w:rsid w:val="4E083247"/>
    <w:rsid w:val="4E09B68B"/>
    <w:rsid w:val="4E09C045"/>
    <w:rsid w:val="4E0A31EC"/>
    <w:rsid w:val="4E0EF45C"/>
    <w:rsid w:val="4E114CEE"/>
    <w:rsid w:val="4E1291AE"/>
    <w:rsid w:val="4E1388B5"/>
    <w:rsid w:val="4E15AC0E"/>
    <w:rsid w:val="4E177110"/>
    <w:rsid w:val="4E17CBFD"/>
    <w:rsid w:val="4E188442"/>
    <w:rsid w:val="4E188AB9"/>
    <w:rsid w:val="4E190D26"/>
    <w:rsid w:val="4E19997D"/>
    <w:rsid w:val="4E1A3C73"/>
    <w:rsid w:val="4E1AACD3"/>
    <w:rsid w:val="4E1BA9FA"/>
    <w:rsid w:val="4E1C41AF"/>
    <w:rsid w:val="4E1DF3B9"/>
    <w:rsid w:val="4E2168FB"/>
    <w:rsid w:val="4E222C2A"/>
    <w:rsid w:val="4E2C0FC9"/>
    <w:rsid w:val="4E2FDC7E"/>
    <w:rsid w:val="4E307BFE"/>
    <w:rsid w:val="4E3224AE"/>
    <w:rsid w:val="4E32DFE9"/>
    <w:rsid w:val="4E34F322"/>
    <w:rsid w:val="4E36885A"/>
    <w:rsid w:val="4E370C0D"/>
    <w:rsid w:val="4E3760A8"/>
    <w:rsid w:val="4E3A0D23"/>
    <w:rsid w:val="4E3B7DD6"/>
    <w:rsid w:val="4E3B9ECD"/>
    <w:rsid w:val="4E3ED95B"/>
    <w:rsid w:val="4E4112A6"/>
    <w:rsid w:val="4E412E8E"/>
    <w:rsid w:val="4E4272FE"/>
    <w:rsid w:val="4E4605CF"/>
    <w:rsid w:val="4E480FBF"/>
    <w:rsid w:val="4E4898EB"/>
    <w:rsid w:val="4E4BB209"/>
    <w:rsid w:val="4E4BDDBB"/>
    <w:rsid w:val="4E4C4E86"/>
    <w:rsid w:val="4E4E6D6A"/>
    <w:rsid w:val="4E4EF1E1"/>
    <w:rsid w:val="4E505772"/>
    <w:rsid w:val="4E509C28"/>
    <w:rsid w:val="4E50AEF7"/>
    <w:rsid w:val="4E51EF41"/>
    <w:rsid w:val="4E530CA5"/>
    <w:rsid w:val="4E55D42E"/>
    <w:rsid w:val="4E584103"/>
    <w:rsid w:val="4E5A431A"/>
    <w:rsid w:val="4E5BFEA1"/>
    <w:rsid w:val="4E5C4722"/>
    <w:rsid w:val="4E633CA5"/>
    <w:rsid w:val="4E65263E"/>
    <w:rsid w:val="4E6762A9"/>
    <w:rsid w:val="4E679308"/>
    <w:rsid w:val="4E689D79"/>
    <w:rsid w:val="4E695F3A"/>
    <w:rsid w:val="4E698AA9"/>
    <w:rsid w:val="4E6A98F6"/>
    <w:rsid w:val="4E6C2A0A"/>
    <w:rsid w:val="4E6DBDCE"/>
    <w:rsid w:val="4E6F7205"/>
    <w:rsid w:val="4E714687"/>
    <w:rsid w:val="4E7246B7"/>
    <w:rsid w:val="4E729560"/>
    <w:rsid w:val="4E783923"/>
    <w:rsid w:val="4E796A40"/>
    <w:rsid w:val="4E7B6C5D"/>
    <w:rsid w:val="4E7E23D3"/>
    <w:rsid w:val="4E7EC49E"/>
    <w:rsid w:val="4E7FC623"/>
    <w:rsid w:val="4E8134C1"/>
    <w:rsid w:val="4E814E35"/>
    <w:rsid w:val="4E84A8A8"/>
    <w:rsid w:val="4E879614"/>
    <w:rsid w:val="4E8998D6"/>
    <w:rsid w:val="4E89D4D0"/>
    <w:rsid w:val="4E8E0D2C"/>
    <w:rsid w:val="4E9525DE"/>
    <w:rsid w:val="4E95CA50"/>
    <w:rsid w:val="4E962512"/>
    <w:rsid w:val="4E96878D"/>
    <w:rsid w:val="4E99F16C"/>
    <w:rsid w:val="4E9A31E5"/>
    <w:rsid w:val="4E9AAD2A"/>
    <w:rsid w:val="4E9DB34D"/>
    <w:rsid w:val="4E9DDE48"/>
    <w:rsid w:val="4E9E05AA"/>
    <w:rsid w:val="4E9E3483"/>
    <w:rsid w:val="4E9EF60D"/>
    <w:rsid w:val="4E9F8492"/>
    <w:rsid w:val="4EA406C8"/>
    <w:rsid w:val="4EA761A7"/>
    <w:rsid w:val="4EA796CE"/>
    <w:rsid w:val="4EA86CD4"/>
    <w:rsid w:val="4EAB6449"/>
    <w:rsid w:val="4EAD0B89"/>
    <w:rsid w:val="4EB04319"/>
    <w:rsid w:val="4EB66076"/>
    <w:rsid w:val="4EB978D5"/>
    <w:rsid w:val="4EBDABD7"/>
    <w:rsid w:val="4EBEEFFE"/>
    <w:rsid w:val="4EC3427B"/>
    <w:rsid w:val="4EC5A7CE"/>
    <w:rsid w:val="4EC723E6"/>
    <w:rsid w:val="4EC73275"/>
    <w:rsid w:val="4EC83DCF"/>
    <w:rsid w:val="4ECAD32F"/>
    <w:rsid w:val="4ECB7088"/>
    <w:rsid w:val="4ECD5A84"/>
    <w:rsid w:val="4ECE5C41"/>
    <w:rsid w:val="4ECEDAAB"/>
    <w:rsid w:val="4ECFBAC4"/>
    <w:rsid w:val="4ECFFF9F"/>
    <w:rsid w:val="4ED0F987"/>
    <w:rsid w:val="4ED39D13"/>
    <w:rsid w:val="4ED6CC90"/>
    <w:rsid w:val="4ED76DFB"/>
    <w:rsid w:val="4ED911A2"/>
    <w:rsid w:val="4ED981D2"/>
    <w:rsid w:val="4EDA6099"/>
    <w:rsid w:val="4EDB51AA"/>
    <w:rsid w:val="4EDE0354"/>
    <w:rsid w:val="4EDEC0DA"/>
    <w:rsid w:val="4EDF4CE8"/>
    <w:rsid w:val="4EDFE008"/>
    <w:rsid w:val="4EE30A5E"/>
    <w:rsid w:val="4EE48726"/>
    <w:rsid w:val="4EE5768C"/>
    <w:rsid w:val="4EE78AD3"/>
    <w:rsid w:val="4EE79F4C"/>
    <w:rsid w:val="4EE7A816"/>
    <w:rsid w:val="4EE90322"/>
    <w:rsid w:val="4EEA6407"/>
    <w:rsid w:val="4EEBFCBE"/>
    <w:rsid w:val="4EEDBBFE"/>
    <w:rsid w:val="4EEF0B28"/>
    <w:rsid w:val="4EF05625"/>
    <w:rsid w:val="4EF0DE8E"/>
    <w:rsid w:val="4EF1D00D"/>
    <w:rsid w:val="4EF32BAF"/>
    <w:rsid w:val="4EF358FA"/>
    <w:rsid w:val="4EF3B54D"/>
    <w:rsid w:val="4EF4339A"/>
    <w:rsid w:val="4EF69B75"/>
    <w:rsid w:val="4EFB0747"/>
    <w:rsid w:val="4EFB0FC2"/>
    <w:rsid w:val="4EFD88C1"/>
    <w:rsid w:val="4EFE38C8"/>
    <w:rsid w:val="4EFF4237"/>
    <w:rsid w:val="4F019157"/>
    <w:rsid w:val="4F0323CB"/>
    <w:rsid w:val="4F051AAF"/>
    <w:rsid w:val="4F06C469"/>
    <w:rsid w:val="4F0749A6"/>
    <w:rsid w:val="4F0831B2"/>
    <w:rsid w:val="4F09EC74"/>
    <w:rsid w:val="4F0B8F44"/>
    <w:rsid w:val="4F0BB7ED"/>
    <w:rsid w:val="4F0DCE1A"/>
    <w:rsid w:val="4F0DECDD"/>
    <w:rsid w:val="4F0DFD47"/>
    <w:rsid w:val="4F102F02"/>
    <w:rsid w:val="4F116382"/>
    <w:rsid w:val="4F11A5BE"/>
    <w:rsid w:val="4F15E624"/>
    <w:rsid w:val="4F167EA9"/>
    <w:rsid w:val="4F1CC119"/>
    <w:rsid w:val="4F1CEB4E"/>
    <w:rsid w:val="4F1D95FB"/>
    <w:rsid w:val="4F1D9B20"/>
    <w:rsid w:val="4F1DD0D9"/>
    <w:rsid w:val="4F1E347A"/>
    <w:rsid w:val="4F1EB1A0"/>
    <w:rsid w:val="4F223001"/>
    <w:rsid w:val="4F22CC62"/>
    <w:rsid w:val="4F24B27A"/>
    <w:rsid w:val="4F250FAD"/>
    <w:rsid w:val="4F27AFE2"/>
    <w:rsid w:val="4F2829FD"/>
    <w:rsid w:val="4F284311"/>
    <w:rsid w:val="4F295FE6"/>
    <w:rsid w:val="4F2B7AC4"/>
    <w:rsid w:val="4F2EA2EC"/>
    <w:rsid w:val="4F2FB0AE"/>
    <w:rsid w:val="4F30987D"/>
    <w:rsid w:val="4F309A37"/>
    <w:rsid w:val="4F311077"/>
    <w:rsid w:val="4F32B547"/>
    <w:rsid w:val="4F371026"/>
    <w:rsid w:val="4F3AFF10"/>
    <w:rsid w:val="4F3D9F69"/>
    <w:rsid w:val="4F3E1D34"/>
    <w:rsid w:val="4F3F4E07"/>
    <w:rsid w:val="4F41F974"/>
    <w:rsid w:val="4F43AAE9"/>
    <w:rsid w:val="4F43EDB0"/>
    <w:rsid w:val="4F45887A"/>
    <w:rsid w:val="4F4692A1"/>
    <w:rsid w:val="4F480CEE"/>
    <w:rsid w:val="4F49B1FD"/>
    <w:rsid w:val="4F4AA5B1"/>
    <w:rsid w:val="4F4AEB70"/>
    <w:rsid w:val="4F4CBDE6"/>
    <w:rsid w:val="4F4D5E43"/>
    <w:rsid w:val="4F4E1B6A"/>
    <w:rsid w:val="4F4FCDBE"/>
    <w:rsid w:val="4F505C6C"/>
    <w:rsid w:val="4F522F2F"/>
    <w:rsid w:val="4F52A63F"/>
    <w:rsid w:val="4F5340C9"/>
    <w:rsid w:val="4F53B096"/>
    <w:rsid w:val="4F546D18"/>
    <w:rsid w:val="4F5523B7"/>
    <w:rsid w:val="4F5B6E5E"/>
    <w:rsid w:val="4F5C3818"/>
    <w:rsid w:val="4F5F2163"/>
    <w:rsid w:val="4F5F4E64"/>
    <w:rsid w:val="4F61333F"/>
    <w:rsid w:val="4F6182B5"/>
    <w:rsid w:val="4F65F045"/>
    <w:rsid w:val="4F66C371"/>
    <w:rsid w:val="4F67BE96"/>
    <w:rsid w:val="4F68B41E"/>
    <w:rsid w:val="4F6D4DAE"/>
    <w:rsid w:val="4F6F44BE"/>
    <w:rsid w:val="4F711427"/>
    <w:rsid w:val="4F71A8E5"/>
    <w:rsid w:val="4F73932D"/>
    <w:rsid w:val="4F74BD65"/>
    <w:rsid w:val="4F77E076"/>
    <w:rsid w:val="4F77FE7C"/>
    <w:rsid w:val="4F7E9CFA"/>
    <w:rsid w:val="4F7EBD00"/>
    <w:rsid w:val="4F7F9957"/>
    <w:rsid w:val="4F819743"/>
    <w:rsid w:val="4F82D0BC"/>
    <w:rsid w:val="4F89413D"/>
    <w:rsid w:val="4F8B2C15"/>
    <w:rsid w:val="4F8F5B8B"/>
    <w:rsid w:val="4F8F626F"/>
    <w:rsid w:val="4F93B986"/>
    <w:rsid w:val="4F97A0EA"/>
    <w:rsid w:val="4F982C29"/>
    <w:rsid w:val="4F98F634"/>
    <w:rsid w:val="4F9C9C1A"/>
    <w:rsid w:val="4F9EB7F5"/>
    <w:rsid w:val="4FA00B30"/>
    <w:rsid w:val="4FA3F0EA"/>
    <w:rsid w:val="4FA40AAD"/>
    <w:rsid w:val="4FA4F78D"/>
    <w:rsid w:val="4FA52763"/>
    <w:rsid w:val="4FA61954"/>
    <w:rsid w:val="4FA86A93"/>
    <w:rsid w:val="4FAA3B9B"/>
    <w:rsid w:val="4FACF326"/>
    <w:rsid w:val="4FAFA384"/>
    <w:rsid w:val="4FB17CD9"/>
    <w:rsid w:val="4FB19915"/>
    <w:rsid w:val="4FB2D0DB"/>
    <w:rsid w:val="4FB4709F"/>
    <w:rsid w:val="4FB5DBD2"/>
    <w:rsid w:val="4FB81BE3"/>
    <w:rsid w:val="4FB84D29"/>
    <w:rsid w:val="4FB8632B"/>
    <w:rsid w:val="4FBB1B09"/>
    <w:rsid w:val="4FC1623F"/>
    <w:rsid w:val="4FC43BBA"/>
    <w:rsid w:val="4FC484C2"/>
    <w:rsid w:val="4FC59E5A"/>
    <w:rsid w:val="4FC7160E"/>
    <w:rsid w:val="4FC76F2F"/>
    <w:rsid w:val="4FC7C747"/>
    <w:rsid w:val="4FCBB005"/>
    <w:rsid w:val="4FCD4392"/>
    <w:rsid w:val="4FCD5222"/>
    <w:rsid w:val="4FCE703B"/>
    <w:rsid w:val="4FD03034"/>
    <w:rsid w:val="4FD0F232"/>
    <w:rsid w:val="4FD139A6"/>
    <w:rsid w:val="4FD3FE98"/>
    <w:rsid w:val="4FD70AD9"/>
    <w:rsid w:val="4FDBC975"/>
    <w:rsid w:val="4FDC5291"/>
    <w:rsid w:val="4FDD7DF2"/>
    <w:rsid w:val="4FDD8FA7"/>
    <w:rsid w:val="4FDF156D"/>
    <w:rsid w:val="4FDF1E81"/>
    <w:rsid w:val="4FE3E7BE"/>
    <w:rsid w:val="4FE43C60"/>
    <w:rsid w:val="4FE6982D"/>
    <w:rsid w:val="4FEA1EAE"/>
    <w:rsid w:val="4FECFEE5"/>
    <w:rsid w:val="4FED6A59"/>
    <w:rsid w:val="4FEE301C"/>
    <w:rsid w:val="4FEEA031"/>
    <w:rsid w:val="4FEEED92"/>
    <w:rsid w:val="4FEF37E7"/>
    <w:rsid w:val="4FF1692E"/>
    <w:rsid w:val="4FF1C71F"/>
    <w:rsid w:val="4FF2E729"/>
    <w:rsid w:val="4FF64128"/>
    <w:rsid w:val="4FF9AA39"/>
    <w:rsid w:val="4FFA2069"/>
    <w:rsid w:val="4FFA26F6"/>
    <w:rsid w:val="4FFD9B57"/>
    <w:rsid w:val="4FFF6577"/>
    <w:rsid w:val="50008BFA"/>
    <w:rsid w:val="50009E86"/>
    <w:rsid w:val="5000CC27"/>
    <w:rsid w:val="5003B58B"/>
    <w:rsid w:val="5003BBF7"/>
    <w:rsid w:val="5003BC8D"/>
    <w:rsid w:val="5005D428"/>
    <w:rsid w:val="5005FC58"/>
    <w:rsid w:val="50063557"/>
    <w:rsid w:val="5006836E"/>
    <w:rsid w:val="5009EA03"/>
    <w:rsid w:val="500A51E2"/>
    <w:rsid w:val="500B5250"/>
    <w:rsid w:val="500CA637"/>
    <w:rsid w:val="500EADC1"/>
    <w:rsid w:val="500EC03F"/>
    <w:rsid w:val="500FB206"/>
    <w:rsid w:val="500FFF40"/>
    <w:rsid w:val="5011D0C8"/>
    <w:rsid w:val="50151692"/>
    <w:rsid w:val="501649AD"/>
    <w:rsid w:val="50180E34"/>
    <w:rsid w:val="50199ADC"/>
    <w:rsid w:val="501A0A9A"/>
    <w:rsid w:val="501A1EBD"/>
    <w:rsid w:val="501CC547"/>
    <w:rsid w:val="501D8F35"/>
    <w:rsid w:val="501F1BE9"/>
    <w:rsid w:val="50206452"/>
    <w:rsid w:val="50222772"/>
    <w:rsid w:val="50225882"/>
    <w:rsid w:val="50229818"/>
    <w:rsid w:val="50232B29"/>
    <w:rsid w:val="5023D5E8"/>
    <w:rsid w:val="5024FA56"/>
    <w:rsid w:val="5025D5BE"/>
    <w:rsid w:val="5025DC12"/>
    <w:rsid w:val="5025E749"/>
    <w:rsid w:val="5026FCA3"/>
    <w:rsid w:val="5027B70F"/>
    <w:rsid w:val="50280FBD"/>
    <w:rsid w:val="50283D4D"/>
    <w:rsid w:val="502843A6"/>
    <w:rsid w:val="502A38B8"/>
    <w:rsid w:val="502B7D2D"/>
    <w:rsid w:val="502E1ABC"/>
    <w:rsid w:val="50302681"/>
    <w:rsid w:val="5030F773"/>
    <w:rsid w:val="50322C0A"/>
    <w:rsid w:val="5033B7DC"/>
    <w:rsid w:val="50347D94"/>
    <w:rsid w:val="5034EE9D"/>
    <w:rsid w:val="503A5E67"/>
    <w:rsid w:val="503BD6A2"/>
    <w:rsid w:val="503BECB8"/>
    <w:rsid w:val="503BF688"/>
    <w:rsid w:val="503C6F87"/>
    <w:rsid w:val="503CCF3C"/>
    <w:rsid w:val="503FCE8C"/>
    <w:rsid w:val="5040024A"/>
    <w:rsid w:val="50451A72"/>
    <w:rsid w:val="50464CE4"/>
    <w:rsid w:val="504739CE"/>
    <w:rsid w:val="50478860"/>
    <w:rsid w:val="50495EBA"/>
    <w:rsid w:val="504A3367"/>
    <w:rsid w:val="504A4953"/>
    <w:rsid w:val="504B4CDB"/>
    <w:rsid w:val="504B7055"/>
    <w:rsid w:val="504C3106"/>
    <w:rsid w:val="504C6637"/>
    <w:rsid w:val="505017AC"/>
    <w:rsid w:val="5052F6AC"/>
    <w:rsid w:val="50542D36"/>
    <w:rsid w:val="5056A414"/>
    <w:rsid w:val="5059049F"/>
    <w:rsid w:val="50595F04"/>
    <w:rsid w:val="505A9EC8"/>
    <w:rsid w:val="505FD9A0"/>
    <w:rsid w:val="50609C9E"/>
    <w:rsid w:val="5062A406"/>
    <w:rsid w:val="5067093A"/>
    <w:rsid w:val="5067A87F"/>
    <w:rsid w:val="50680E12"/>
    <w:rsid w:val="5068350C"/>
    <w:rsid w:val="506B36E3"/>
    <w:rsid w:val="506D5306"/>
    <w:rsid w:val="506E4F23"/>
    <w:rsid w:val="506FBBA9"/>
    <w:rsid w:val="506FE697"/>
    <w:rsid w:val="507005FA"/>
    <w:rsid w:val="50702EF6"/>
    <w:rsid w:val="50708569"/>
    <w:rsid w:val="5071163E"/>
    <w:rsid w:val="5071A476"/>
    <w:rsid w:val="507481B8"/>
    <w:rsid w:val="5076FBF6"/>
    <w:rsid w:val="507887F3"/>
    <w:rsid w:val="507B74AB"/>
    <w:rsid w:val="507CCC32"/>
    <w:rsid w:val="507D22B1"/>
    <w:rsid w:val="507EC6D4"/>
    <w:rsid w:val="507FEDF1"/>
    <w:rsid w:val="507FF52D"/>
    <w:rsid w:val="50813402"/>
    <w:rsid w:val="50824893"/>
    <w:rsid w:val="5083756B"/>
    <w:rsid w:val="5084F846"/>
    <w:rsid w:val="50850F64"/>
    <w:rsid w:val="50860CEE"/>
    <w:rsid w:val="5087098E"/>
    <w:rsid w:val="508712DE"/>
    <w:rsid w:val="50876B3D"/>
    <w:rsid w:val="5088D2F2"/>
    <w:rsid w:val="5088F08F"/>
    <w:rsid w:val="508DE80E"/>
    <w:rsid w:val="508E6B16"/>
    <w:rsid w:val="50910A23"/>
    <w:rsid w:val="5092E86A"/>
    <w:rsid w:val="5097D50A"/>
    <w:rsid w:val="509930C0"/>
    <w:rsid w:val="509A1DE7"/>
    <w:rsid w:val="509CA080"/>
    <w:rsid w:val="509FB892"/>
    <w:rsid w:val="509FBF45"/>
    <w:rsid w:val="509FC496"/>
    <w:rsid w:val="50A0393D"/>
    <w:rsid w:val="50A14042"/>
    <w:rsid w:val="50A1BD3F"/>
    <w:rsid w:val="50A34F69"/>
    <w:rsid w:val="50A5C45A"/>
    <w:rsid w:val="50A627CE"/>
    <w:rsid w:val="50AABC38"/>
    <w:rsid w:val="50AF7C05"/>
    <w:rsid w:val="50AFAEFA"/>
    <w:rsid w:val="50B08BBF"/>
    <w:rsid w:val="50B23C01"/>
    <w:rsid w:val="50B29686"/>
    <w:rsid w:val="50B67877"/>
    <w:rsid w:val="50B68AB5"/>
    <w:rsid w:val="50B6BAA5"/>
    <w:rsid w:val="50B7729C"/>
    <w:rsid w:val="50B7CB36"/>
    <w:rsid w:val="50B8A5BA"/>
    <w:rsid w:val="50BB9A58"/>
    <w:rsid w:val="50BC0DE7"/>
    <w:rsid w:val="50BC891E"/>
    <w:rsid w:val="50BCBF0E"/>
    <w:rsid w:val="50BDD79D"/>
    <w:rsid w:val="50C0CDC7"/>
    <w:rsid w:val="50C2FCA7"/>
    <w:rsid w:val="50C3B73F"/>
    <w:rsid w:val="50C649CB"/>
    <w:rsid w:val="50C7DCBB"/>
    <w:rsid w:val="50C84E67"/>
    <w:rsid w:val="50C87C30"/>
    <w:rsid w:val="50C9485C"/>
    <w:rsid w:val="50CAE1A6"/>
    <w:rsid w:val="50CAEEBB"/>
    <w:rsid w:val="50CC43E5"/>
    <w:rsid w:val="50CD5062"/>
    <w:rsid w:val="50CD6D9B"/>
    <w:rsid w:val="50CF2992"/>
    <w:rsid w:val="50D47F82"/>
    <w:rsid w:val="50D74FD5"/>
    <w:rsid w:val="50DBC7AF"/>
    <w:rsid w:val="50DCAA4B"/>
    <w:rsid w:val="50DCE1D0"/>
    <w:rsid w:val="50DD0381"/>
    <w:rsid w:val="50DD11A1"/>
    <w:rsid w:val="50DD203B"/>
    <w:rsid w:val="50DD877A"/>
    <w:rsid w:val="50DED835"/>
    <w:rsid w:val="50E0E828"/>
    <w:rsid w:val="50E1F4E7"/>
    <w:rsid w:val="50E308B6"/>
    <w:rsid w:val="50E3549A"/>
    <w:rsid w:val="50E3CC93"/>
    <w:rsid w:val="50E3E540"/>
    <w:rsid w:val="50E51888"/>
    <w:rsid w:val="50EBA31D"/>
    <w:rsid w:val="50EBC487"/>
    <w:rsid w:val="50EDAD24"/>
    <w:rsid w:val="50EF70E0"/>
    <w:rsid w:val="50F08BA7"/>
    <w:rsid w:val="50F40432"/>
    <w:rsid w:val="50F41E2B"/>
    <w:rsid w:val="50F82100"/>
    <w:rsid w:val="50F861E4"/>
    <w:rsid w:val="50F90E44"/>
    <w:rsid w:val="50FB8AE9"/>
    <w:rsid w:val="50FCB6D9"/>
    <w:rsid w:val="50FD2040"/>
    <w:rsid w:val="50FD7C1E"/>
    <w:rsid w:val="50FD80AA"/>
    <w:rsid w:val="50FDF2AC"/>
    <w:rsid w:val="50FF0071"/>
    <w:rsid w:val="5101E1F0"/>
    <w:rsid w:val="5103B512"/>
    <w:rsid w:val="51045C4D"/>
    <w:rsid w:val="510510AB"/>
    <w:rsid w:val="5107C882"/>
    <w:rsid w:val="5109D0FD"/>
    <w:rsid w:val="510BDC1A"/>
    <w:rsid w:val="510C646A"/>
    <w:rsid w:val="51114012"/>
    <w:rsid w:val="5111DD04"/>
    <w:rsid w:val="5112130F"/>
    <w:rsid w:val="51129083"/>
    <w:rsid w:val="5112C4D2"/>
    <w:rsid w:val="511392CA"/>
    <w:rsid w:val="5115FD60"/>
    <w:rsid w:val="5116DBDF"/>
    <w:rsid w:val="511713A6"/>
    <w:rsid w:val="5119AE3B"/>
    <w:rsid w:val="5119F684"/>
    <w:rsid w:val="511A12EC"/>
    <w:rsid w:val="511A5CA1"/>
    <w:rsid w:val="511B6219"/>
    <w:rsid w:val="511B6F7C"/>
    <w:rsid w:val="51208F71"/>
    <w:rsid w:val="5120DB38"/>
    <w:rsid w:val="51221D9D"/>
    <w:rsid w:val="51249E60"/>
    <w:rsid w:val="5125CB2A"/>
    <w:rsid w:val="51286183"/>
    <w:rsid w:val="512AE07B"/>
    <w:rsid w:val="512E3A3D"/>
    <w:rsid w:val="512FB013"/>
    <w:rsid w:val="5133DD12"/>
    <w:rsid w:val="51350B5B"/>
    <w:rsid w:val="51386C7B"/>
    <w:rsid w:val="5138DF7B"/>
    <w:rsid w:val="513B04DF"/>
    <w:rsid w:val="513B7A76"/>
    <w:rsid w:val="513BFCE7"/>
    <w:rsid w:val="513DF7FD"/>
    <w:rsid w:val="513EDF35"/>
    <w:rsid w:val="5140D7B5"/>
    <w:rsid w:val="5142044D"/>
    <w:rsid w:val="5142C3C2"/>
    <w:rsid w:val="51441985"/>
    <w:rsid w:val="5145CD18"/>
    <w:rsid w:val="514638B3"/>
    <w:rsid w:val="5146658E"/>
    <w:rsid w:val="514915B6"/>
    <w:rsid w:val="51491C8F"/>
    <w:rsid w:val="5149BC46"/>
    <w:rsid w:val="5149D567"/>
    <w:rsid w:val="514AB834"/>
    <w:rsid w:val="514AF1B0"/>
    <w:rsid w:val="515128F0"/>
    <w:rsid w:val="5151DB0A"/>
    <w:rsid w:val="5153002A"/>
    <w:rsid w:val="5153301F"/>
    <w:rsid w:val="515402DA"/>
    <w:rsid w:val="5154E47A"/>
    <w:rsid w:val="5157C140"/>
    <w:rsid w:val="5159822E"/>
    <w:rsid w:val="5159F7A6"/>
    <w:rsid w:val="515BED5E"/>
    <w:rsid w:val="515D24C6"/>
    <w:rsid w:val="515ECB0A"/>
    <w:rsid w:val="515FEDCD"/>
    <w:rsid w:val="51608533"/>
    <w:rsid w:val="516143ED"/>
    <w:rsid w:val="5163923C"/>
    <w:rsid w:val="5164253E"/>
    <w:rsid w:val="516E9FA1"/>
    <w:rsid w:val="516F0468"/>
    <w:rsid w:val="5170F25D"/>
    <w:rsid w:val="51717565"/>
    <w:rsid w:val="51724197"/>
    <w:rsid w:val="5175A5DB"/>
    <w:rsid w:val="5178336D"/>
    <w:rsid w:val="51787B49"/>
    <w:rsid w:val="51797713"/>
    <w:rsid w:val="517A75EF"/>
    <w:rsid w:val="517B3779"/>
    <w:rsid w:val="517B40EC"/>
    <w:rsid w:val="517C89C2"/>
    <w:rsid w:val="5180C517"/>
    <w:rsid w:val="51822F71"/>
    <w:rsid w:val="51846BC1"/>
    <w:rsid w:val="518607A1"/>
    <w:rsid w:val="518AB791"/>
    <w:rsid w:val="518BC42E"/>
    <w:rsid w:val="518C5F1F"/>
    <w:rsid w:val="518ED0DA"/>
    <w:rsid w:val="518FBD25"/>
    <w:rsid w:val="519124EC"/>
    <w:rsid w:val="51929642"/>
    <w:rsid w:val="5192F743"/>
    <w:rsid w:val="5194AF77"/>
    <w:rsid w:val="51968826"/>
    <w:rsid w:val="5196BCD1"/>
    <w:rsid w:val="519D4BB4"/>
    <w:rsid w:val="519DDC47"/>
    <w:rsid w:val="519F517D"/>
    <w:rsid w:val="51A175D7"/>
    <w:rsid w:val="51A1B878"/>
    <w:rsid w:val="51A2627D"/>
    <w:rsid w:val="51A94D16"/>
    <w:rsid w:val="51A9C193"/>
    <w:rsid w:val="51AA12E6"/>
    <w:rsid w:val="51AB9C86"/>
    <w:rsid w:val="51B0D109"/>
    <w:rsid w:val="51B0F685"/>
    <w:rsid w:val="51B2335E"/>
    <w:rsid w:val="51B404D4"/>
    <w:rsid w:val="51B583CF"/>
    <w:rsid w:val="51B79D37"/>
    <w:rsid w:val="51B8ABFC"/>
    <w:rsid w:val="51B9601C"/>
    <w:rsid w:val="51BA2170"/>
    <w:rsid w:val="51BB7A90"/>
    <w:rsid w:val="51BF5583"/>
    <w:rsid w:val="51C0DF4F"/>
    <w:rsid w:val="51C14353"/>
    <w:rsid w:val="51C1A2F7"/>
    <w:rsid w:val="51C538AD"/>
    <w:rsid w:val="51C67FAE"/>
    <w:rsid w:val="51C8A649"/>
    <w:rsid w:val="51C8B3BA"/>
    <w:rsid w:val="51C9DBEB"/>
    <w:rsid w:val="51CA478B"/>
    <w:rsid w:val="51CCB538"/>
    <w:rsid w:val="51CD99E0"/>
    <w:rsid w:val="51CDBEAA"/>
    <w:rsid w:val="51CE212E"/>
    <w:rsid w:val="51CF012E"/>
    <w:rsid w:val="51D0982B"/>
    <w:rsid w:val="51D13989"/>
    <w:rsid w:val="51D28A92"/>
    <w:rsid w:val="51D3AEA7"/>
    <w:rsid w:val="51D3D1F0"/>
    <w:rsid w:val="51D53A78"/>
    <w:rsid w:val="51D685F6"/>
    <w:rsid w:val="51D70737"/>
    <w:rsid w:val="51DC6EBE"/>
    <w:rsid w:val="51DCE7F6"/>
    <w:rsid w:val="51DD2AF6"/>
    <w:rsid w:val="51E06CA0"/>
    <w:rsid w:val="51E0CFCC"/>
    <w:rsid w:val="51E437C3"/>
    <w:rsid w:val="51E441DA"/>
    <w:rsid w:val="51E57C6D"/>
    <w:rsid w:val="51E5AECE"/>
    <w:rsid w:val="51E5DB5D"/>
    <w:rsid w:val="51E67FDE"/>
    <w:rsid w:val="51E75B63"/>
    <w:rsid w:val="51E801BF"/>
    <w:rsid w:val="51EB9FD8"/>
    <w:rsid w:val="51EBC8E2"/>
    <w:rsid w:val="51EBF25B"/>
    <w:rsid w:val="51EC894C"/>
    <w:rsid w:val="51ED51C9"/>
    <w:rsid w:val="51EDAB23"/>
    <w:rsid w:val="51F09FDA"/>
    <w:rsid w:val="51F101FE"/>
    <w:rsid w:val="51F169D8"/>
    <w:rsid w:val="51F179E6"/>
    <w:rsid w:val="51F32242"/>
    <w:rsid w:val="51F348E9"/>
    <w:rsid w:val="51F5D8CB"/>
    <w:rsid w:val="51F68C97"/>
    <w:rsid w:val="51F69427"/>
    <w:rsid w:val="51F8616E"/>
    <w:rsid w:val="51F9011E"/>
    <w:rsid w:val="51FA0BCE"/>
    <w:rsid w:val="51FC27C5"/>
    <w:rsid w:val="51FDAD39"/>
    <w:rsid w:val="51FF5D8A"/>
    <w:rsid w:val="51FF63A7"/>
    <w:rsid w:val="51FFF474"/>
    <w:rsid w:val="52002011"/>
    <w:rsid w:val="52004228"/>
    <w:rsid w:val="520166DB"/>
    <w:rsid w:val="52018B3A"/>
    <w:rsid w:val="52052E61"/>
    <w:rsid w:val="5205B624"/>
    <w:rsid w:val="52070024"/>
    <w:rsid w:val="52072A96"/>
    <w:rsid w:val="5207CAB1"/>
    <w:rsid w:val="52085A7B"/>
    <w:rsid w:val="52087F80"/>
    <w:rsid w:val="5208B91B"/>
    <w:rsid w:val="520D1D19"/>
    <w:rsid w:val="520D2B73"/>
    <w:rsid w:val="52117C19"/>
    <w:rsid w:val="5211F83B"/>
    <w:rsid w:val="521256D2"/>
    <w:rsid w:val="52138B77"/>
    <w:rsid w:val="52146B7E"/>
    <w:rsid w:val="521514DD"/>
    <w:rsid w:val="521A6764"/>
    <w:rsid w:val="521A6CE4"/>
    <w:rsid w:val="521B0E72"/>
    <w:rsid w:val="521BD3CA"/>
    <w:rsid w:val="521C28CF"/>
    <w:rsid w:val="521CE60E"/>
    <w:rsid w:val="521EE653"/>
    <w:rsid w:val="521F61A1"/>
    <w:rsid w:val="52234853"/>
    <w:rsid w:val="52249910"/>
    <w:rsid w:val="5225939D"/>
    <w:rsid w:val="5225EE37"/>
    <w:rsid w:val="5226B064"/>
    <w:rsid w:val="52270BDD"/>
    <w:rsid w:val="52278FBC"/>
    <w:rsid w:val="522A432B"/>
    <w:rsid w:val="522A5551"/>
    <w:rsid w:val="522AAB6D"/>
    <w:rsid w:val="522B36B7"/>
    <w:rsid w:val="522BF688"/>
    <w:rsid w:val="522C0BF9"/>
    <w:rsid w:val="522E36A8"/>
    <w:rsid w:val="522EBD19"/>
    <w:rsid w:val="522FC033"/>
    <w:rsid w:val="5230445A"/>
    <w:rsid w:val="52314A58"/>
    <w:rsid w:val="5232C0B3"/>
    <w:rsid w:val="52333F44"/>
    <w:rsid w:val="52343741"/>
    <w:rsid w:val="5237740A"/>
    <w:rsid w:val="5238A7D1"/>
    <w:rsid w:val="52395486"/>
    <w:rsid w:val="52396E73"/>
    <w:rsid w:val="523A500D"/>
    <w:rsid w:val="523BBD9C"/>
    <w:rsid w:val="523C6DCA"/>
    <w:rsid w:val="523CA9A1"/>
    <w:rsid w:val="523DA1E3"/>
    <w:rsid w:val="5240C20F"/>
    <w:rsid w:val="524123D2"/>
    <w:rsid w:val="52436CB1"/>
    <w:rsid w:val="5243A015"/>
    <w:rsid w:val="524477F8"/>
    <w:rsid w:val="524B4B0A"/>
    <w:rsid w:val="524E1ED9"/>
    <w:rsid w:val="525212AC"/>
    <w:rsid w:val="5252FDF7"/>
    <w:rsid w:val="52553015"/>
    <w:rsid w:val="525898FB"/>
    <w:rsid w:val="525903E7"/>
    <w:rsid w:val="525D46A0"/>
    <w:rsid w:val="5260E04D"/>
    <w:rsid w:val="52617F8A"/>
    <w:rsid w:val="5264CE2E"/>
    <w:rsid w:val="5268C769"/>
    <w:rsid w:val="526957DE"/>
    <w:rsid w:val="526A0958"/>
    <w:rsid w:val="526B054E"/>
    <w:rsid w:val="526B0E3D"/>
    <w:rsid w:val="526C4A80"/>
    <w:rsid w:val="52704151"/>
    <w:rsid w:val="5273B435"/>
    <w:rsid w:val="527B76F0"/>
    <w:rsid w:val="527CE577"/>
    <w:rsid w:val="527E0B42"/>
    <w:rsid w:val="52846B87"/>
    <w:rsid w:val="5285D6C0"/>
    <w:rsid w:val="5285DCCE"/>
    <w:rsid w:val="5286C7F7"/>
    <w:rsid w:val="52882177"/>
    <w:rsid w:val="528967A7"/>
    <w:rsid w:val="52897D0A"/>
    <w:rsid w:val="528B4CC4"/>
    <w:rsid w:val="528B5EC9"/>
    <w:rsid w:val="528DE6E3"/>
    <w:rsid w:val="528EBA1A"/>
    <w:rsid w:val="528F0E26"/>
    <w:rsid w:val="529137F3"/>
    <w:rsid w:val="5292933E"/>
    <w:rsid w:val="5294C934"/>
    <w:rsid w:val="52951AFC"/>
    <w:rsid w:val="5297D9CE"/>
    <w:rsid w:val="529943F0"/>
    <w:rsid w:val="5299FD6C"/>
    <w:rsid w:val="529BE89F"/>
    <w:rsid w:val="529CFF8C"/>
    <w:rsid w:val="52A3E38F"/>
    <w:rsid w:val="52A3FCE9"/>
    <w:rsid w:val="52AA8669"/>
    <w:rsid w:val="52AAC364"/>
    <w:rsid w:val="52AC194A"/>
    <w:rsid w:val="52AD2412"/>
    <w:rsid w:val="52AE984C"/>
    <w:rsid w:val="52B0A913"/>
    <w:rsid w:val="52B1C3EC"/>
    <w:rsid w:val="52B367BB"/>
    <w:rsid w:val="52B3AA6A"/>
    <w:rsid w:val="52B4CB79"/>
    <w:rsid w:val="52B51521"/>
    <w:rsid w:val="52B57C86"/>
    <w:rsid w:val="52B738BC"/>
    <w:rsid w:val="52B943DF"/>
    <w:rsid w:val="52B9584A"/>
    <w:rsid w:val="52BB29AD"/>
    <w:rsid w:val="52BCB544"/>
    <w:rsid w:val="52BFBBFE"/>
    <w:rsid w:val="52C127B6"/>
    <w:rsid w:val="52C53375"/>
    <w:rsid w:val="52C71AE4"/>
    <w:rsid w:val="52C83D6E"/>
    <w:rsid w:val="52C982D6"/>
    <w:rsid w:val="52C9AFE0"/>
    <w:rsid w:val="52C9D3B3"/>
    <w:rsid w:val="52CA35C9"/>
    <w:rsid w:val="52CC3695"/>
    <w:rsid w:val="52D0C6B9"/>
    <w:rsid w:val="52D40266"/>
    <w:rsid w:val="52D4D90A"/>
    <w:rsid w:val="52D5BE42"/>
    <w:rsid w:val="52DC554A"/>
    <w:rsid w:val="52DD61BF"/>
    <w:rsid w:val="52DE5FF2"/>
    <w:rsid w:val="52E259AC"/>
    <w:rsid w:val="52E2DC2F"/>
    <w:rsid w:val="52E2E13F"/>
    <w:rsid w:val="52E4ED7E"/>
    <w:rsid w:val="52E6461C"/>
    <w:rsid w:val="52E66E7A"/>
    <w:rsid w:val="52E67D56"/>
    <w:rsid w:val="52E70E55"/>
    <w:rsid w:val="52EC0B06"/>
    <w:rsid w:val="52EE837E"/>
    <w:rsid w:val="52EEC110"/>
    <w:rsid w:val="52EFEA0B"/>
    <w:rsid w:val="52F00CB0"/>
    <w:rsid w:val="52F0A805"/>
    <w:rsid w:val="52F0B395"/>
    <w:rsid w:val="52F41C16"/>
    <w:rsid w:val="52F65E3B"/>
    <w:rsid w:val="52F8FBDB"/>
    <w:rsid w:val="52FBF12A"/>
    <w:rsid w:val="52FF2814"/>
    <w:rsid w:val="5303C9D1"/>
    <w:rsid w:val="53043A94"/>
    <w:rsid w:val="5306A312"/>
    <w:rsid w:val="5306E268"/>
    <w:rsid w:val="53077F90"/>
    <w:rsid w:val="5307FAB0"/>
    <w:rsid w:val="5309BFCC"/>
    <w:rsid w:val="530A6DA5"/>
    <w:rsid w:val="530D6F6D"/>
    <w:rsid w:val="53103162"/>
    <w:rsid w:val="53162E2B"/>
    <w:rsid w:val="53175712"/>
    <w:rsid w:val="531832FB"/>
    <w:rsid w:val="5319418A"/>
    <w:rsid w:val="53195448"/>
    <w:rsid w:val="531BCEC5"/>
    <w:rsid w:val="531E6494"/>
    <w:rsid w:val="531E7F22"/>
    <w:rsid w:val="532248AF"/>
    <w:rsid w:val="5323421B"/>
    <w:rsid w:val="5323AEA3"/>
    <w:rsid w:val="5326E8F2"/>
    <w:rsid w:val="532C2190"/>
    <w:rsid w:val="5330D9C2"/>
    <w:rsid w:val="5333092C"/>
    <w:rsid w:val="5333ACE9"/>
    <w:rsid w:val="5334EB12"/>
    <w:rsid w:val="533717AF"/>
    <w:rsid w:val="5337FBE9"/>
    <w:rsid w:val="53394239"/>
    <w:rsid w:val="5339904C"/>
    <w:rsid w:val="533BDCA7"/>
    <w:rsid w:val="533D26FB"/>
    <w:rsid w:val="533E13AD"/>
    <w:rsid w:val="534311E9"/>
    <w:rsid w:val="5343F44D"/>
    <w:rsid w:val="5344100C"/>
    <w:rsid w:val="5347D75C"/>
    <w:rsid w:val="53493208"/>
    <w:rsid w:val="534995BA"/>
    <w:rsid w:val="534A4762"/>
    <w:rsid w:val="534AB9AE"/>
    <w:rsid w:val="534BECAA"/>
    <w:rsid w:val="534C7B1F"/>
    <w:rsid w:val="534DB0F5"/>
    <w:rsid w:val="534E63D4"/>
    <w:rsid w:val="534F0AA3"/>
    <w:rsid w:val="534F2B14"/>
    <w:rsid w:val="534F2EA7"/>
    <w:rsid w:val="534F5726"/>
    <w:rsid w:val="5350C888"/>
    <w:rsid w:val="5350E6DF"/>
    <w:rsid w:val="5351FC79"/>
    <w:rsid w:val="53523D50"/>
    <w:rsid w:val="5352DD44"/>
    <w:rsid w:val="535A2005"/>
    <w:rsid w:val="535B21AB"/>
    <w:rsid w:val="535B371E"/>
    <w:rsid w:val="535B7168"/>
    <w:rsid w:val="535BF227"/>
    <w:rsid w:val="535D3D93"/>
    <w:rsid w:val="535D599C"/>
    <w:rsid w:val="535F5507"/>
    <w:rsid w:val="5360784D"/>
    <w:rsid w:val="53634DDC"/>
    <w:rsid w:val="53652DCD"/>
    <w:rsid w:val="53660866"/>
    <w:rsid w:val="5368489D"/>
    <w:rsid w:val="536A09B6"/>
    <w:rsid w:val="536A32BD"/>
    <w:rsid w:val="536A6512"/>
    <w:rsid w:val="536B0E95"/>
    <w:rsid w:val="536B1D81"/>
    <w:rsid w:val="536C3FB0"/>
    <w:rsid w:val="536C6A01"/>
    <w:rsid w:val="536C771B"/>
    <w:rsid w:val="536F99C0"/>
    <w:rsid w:val="53715973"/>
    <w:rsid w:val="53729ADE"/>
    <w:rsid w:val="5372E6FF"/>
    <w:rsid w:val="5373B5F8"/>
    <w:rsid w:val="537622AB"/>
    <w:rsid w:val="537D5375"/>
    <w:rsid w:val="537E5093"/>
    <w:rsid w:val="537E54FC"/>
    <w:rsid w:val="537F5390"/>
    <w:rsid w:val="5380A644"/>
    <w:rsid w:val="538249B6"/>
    <w:rsid w:val="53845821"/>
    <w:rsid w:val="53846DAF"/>
    <w:rsid w:val="53853A79"/>
    <w:rsid w:val="5385A2A8"/>
    <w:rsid w:val="5386DA12"/>
    <w:rsid w:val="5387C556"/>
    <w:rsid w:val="5388707C"/>
    <w:rsid w:val="53887BBD"/>
    <w:rsid w:val="538975D3"/>
    <w:rsid w:val="538A2420"/>
    <w:rsid w:val="538B6A05"/>
    <w:rsid w:val="538B9D3E"/>
    <w:rsid w:val="538C8626"/>
    <w:rsid w:val="53917C74"/>
    <w:rsid w:val="53939739"/>
    <w:rsid w:val="53942C5D"/>
    <w:rsid w:val="53949650"/>
    <w:rsid w:val="539506CD"/>
    <w:rsid w:val="5398245D"/>
    <w:rsid w:val="539A4DE9"/>
    <w:rsid w:val="539A799E"/>
    <w:rsid w:val="539D02CD"/>
    <w:rsid w:val="539D66FF"/>
    <w:rsid w:val="539DA07B"/>
    <w:rsid w:val="539E28A3"/>
    <w:rsid w:val="53A30C40"/>
    <w:rsid w:val="53A52FE7"/>
    <w:rsid w:val="53A66065"/>
    <w:rsid w:val="53A79433"/>
    <w:rsid w:val="53A95078"/>
    <w:rsid w:val="53AA3C2F"/>
    <w:rsid w:val="53AB08E6"/>
    <w:rsid w:val="53ACEBCB"/>
    <w:rsid w:val="53AD1AA4"/>
    <w:rsid w:val="53ADCBEE"/>
    <w:rsid w:val="53AE2949"/>
    <w:rsid w:val="53B0D3F5"/>
    <w:rsid w:val="53B3015A"/>
    <w:rsid w:val="53B37DF3"/>
    <w:rsid w:val="53B39E4A"/>
    <w:rsid w:val="53B4D35B"/>
    <w:rsid w:val="53B75EEE"/>
    <w:rsid w:val="53B8AB28"/>
    <w:rsid w:val="53B9DE53"/>
    <w:rsid w:val="53B9F87A"/>
    <w:rsid w:val="53BAACA0"/>
    <w:rsid w:val="53BAEFE0"/>
    <w:rsid w:val="53BB29A2"/>
    <w:rsid w:val="53BDA9EA"/>
    <w:rsid w:val="53BDC1BB"/>
    <w:rsid w:val="53BF0BFF"/>
    <w:rsid w:val="53BF328D"/>
    <w:rsid w:val="53C471A3"/>
    <w:rsid w:val="53C51B8D"/>
    <w:rsid w:val="53C5DB77"/>
    <w:rsid w:val="53C5DDEC"/>
    <w:rsid w:val="53C860DC"/>
    <w:rsid w:val="53C8DBCE"/>
    <w:rsid w:val="53CB2A15"/>
    <w:rsid w:val="53CC7A3E"/>
    <w:rsid w:val="53CC9C87"/>
    <w:rsid w:val="53CE7B4B"/>
    <w:rsid w:val="53CF2E34"/>
    <w:rsid w:val="53D0B08B"/>
    <w:rsid w:val="53D26FC3"/>
    <w:rsid w:val="53D510EF"/>
    <w:rsid w:val="53D66CDE"/>
    <w:rsid w:val="53D6F798"/>
    <w:rsid w:val="53D828C0"/>
    <w:rsid w:val="53D92334"/>
    <w:rsid w:val="53DA290E"/>
    <w:rsid w:val="53DAEC4C"/>
    <w:rsid w:val="53DB0F0B"/>
    <w:rsid w:val="53DBB77A"/>
    <w:rsid w:val="53DFF2F4"/>
    <w:rsid w:val="53E06C0F"/>
    <w:rsid w:val="53E17B98"/>
    <w:rsid w:val="53E2F398"/>
    <w:rsid w:val="53E3EA4E"/>
    <w:rsid w:val="53E55657"/>
    <w:rsid w:val="53E73150"/>
    <w:rsid w:val="53E8AA09"/>
    <w:rsid w:val="53E99FE8"/>
    <w:rsid w:val="53EB6A12"/>
    <w:rsid w:val="53EB9904"/>
    <w:rsid w:val="53ECC369"/>
    <w:rsid w:val="53EDE625"/>
    <w:rsid w:val="53EECFEE"/>
    <w:rsid w:val="53EF7AF3"/>
    <w:rsid w:val="53F47876"/>
    <w:rsid w:val="53F63888"/>
    <w:rsid w:val="53F698DC"/>
    <w:rsid w:val="53F6EBC9"/>
    <w:rsid w:val="53F70951"/>
    <w:rsid w:val="53F7B5C8"/>
    <w:rsid w:val="53F9DF3D"/>
    <w:rsid w:val="53FA3C64"/>
    <w:rsid w:val="53FAC52B"/>
    <w:rsid w:val="53FBAE22"/>
    <w:rsid w:val="53FC05CF"/>
    <w:rsid w:val="53FD5C03"/>
    <w:rsid w:val="53FDB86F"/>
    <w:rsid w:val="54001ED7"/>
    <w:rsid w:val="540215D4"/>
    <w:rsid w:val="540224AE"/>
    <w:rsid w:val="5402703C"/>
    <w:rsid w:val="5405BECF"/>
    <w:rsid w:val="54077DD5"/>
    <w:rsid w:val="5408D9D0"/>
    <w:rsid w:val="54096A3F"/>
    <w:rsid w:val="540CEC4F"/>
    <w:rsid w:val="540CF9F4"/>
    <w:rsid w:val="540DF0C4"/>
    <w:rsid w:val="540E155F"/>
    <w:rsid w:val="5413A922"/>
    <w:rsid w:val="5413A9DA"/>
    <w:rsid w:val="5413C645"/>
    <w:rsid w:val="5418900F"/>
    <w:rsid w:val="5418B70A"/>
    <w:rsid w:val="54190390"/>
    <w:rsid w:val="541A2048"/>
    <w:rsid w:val="541BDC39"/>
    <w:rsid w:val="541C4C82"/>
    <w:rsid w:val="541CDE0C"/>
    <w:rsid w:val="541E0890"/>
    <w:rsid w:val="5421C493"/>
    <w:rsid w:val="5423CEDE"/>
    <w:rsid w:val="542953EB"/>
    <w:rsid w:val="5429733E"/>
    <w:rsid w:val="542A3E09"/>
    <w:rsid w:val="542C70DC"/>
    <w:rsid w:val="542D710B"/>
    <w:rsid w:val="542D73D2"/>
    <w:rsid w:val="542E198F"/>
    <w:rsid w:val="542E6F43"/>
    <w:rsid w:val="543400C5"/>
    <w:rsid w:val="54340586"/>
    <w:rsid w:val="54372BEB"/>
    <w:rsid w:val="5437896A"/>
    <w:rsid w:val="5437F03D"/>
    <w:rsid w:val="54381E57"/>
    <w:rsid w:val="543A3CB9"/>
    <w:rsid w:val="543A8404"/>
    <w:rsid w:val="543B41D8"/>
    <w:rsid w:val="543F3C09"/>
    <w:rsid w:val="543FF81C"/>
    <w:rsid w:val="5441FA58"/>
    <w:rsid w:val="54439F85"/>
    <w:rsid w:val="54440EFF"/>
    <w:rsid w:val="54450450"/>
    <w:rsid w:val="54471482"/>
    <w:rsid w:val="5447C99E"/>
    <w:rsid w:val="5447C9C3"/>
    <w:rsid w:val="5448E304"/>
    <w:rsid w:val="544CAD62"/>
    <w:rsid w:val="544F472D"/>
    <w:rsid w:val="54514971"/>
    <w:rsid w:val="5452B940"/>
    <w:rsid w:val="5452EA40"/>
    <w:rsid w:val="54536A14"/>
    <w:rsid w:val="5454DF24"/>
    <w:rsid w:val="545A3E13"/>
    <w:rsid w:val="545B337E"/>
    <w:rsid w:val="54613E53"/>
    <w:rsid w:val="5465695C"/>
    <w:rsid w:val="5466C93F"/>
    <w:rsid w:val="5466D67F"/>
    <w:rsid w:val="546B0A2B"/>
    <w:rsid w:val="546E60B4"/>
    <w:rsid w:val="5471B8BB"/>
    <w:rsid w:val="5472311C"/>
    <w:rsid w:val="5472B3CE"/>
    <w:rsid w:val="5475204E"/>
    <w:rsid w:val="5475500D"/>
    <w:rsid w:val="54769EF4"/>
    <w:rsid w:val="5477135A"/>
    <w:rsid w:val="54798763"/>
    <w:rsid w:val="547AA1CC"/>
    <w:rsid w:val="547DAF58"/>
    <w:rsid w:val="547EBB8B"/>
    <w:rsid w:val="5483577D"/>
    <w:rsid w:val="54853CE9"/>
    <w:rsid w:val="54858447"/>
    <w:rsid w:val="54865B08"/>
    <w:rsid w:val="5486DA9E"/>
    <w:rsid w:val="5487C526"/>
    <w:rsid w:val="548DF6BF"/>
    <w:rsid w:val="5492014E"/>
    <w:rsid w:val="54937B8A"/>
    <w:rsid w:val="549430F6"/>
    <w:rsid w:val="54971590"/>
    <w:rsid w:val="54978AEC"/>
    <w:rsid w:val="54979C4C"/>
    <w:rsid w:val="549879F3"/>
    <w:rsid w:val="549A6BBA"/>
    <w:rsid w:val="549A7A3D"/>
    <w:rsid w:val="549EB875"/>
    <w:rsid w:val="549EF598"/>
    <w:rsid w:val="54A08E6C"/>
    <w:rsid w:val="54A315CB"/>
    <w:rsid w:val="54A380E6"/>
    <w:rsid w:val="54A3FFBC"/>
    <w:rsid w:val="54A4748A"/>
    <w:rsid w:val="54A67761"/>
    <w:rsid w:val="54A6FE9E"/>
    <w:rsid w:val="54A844C9"/>
    <w:rsid w:val="54A8D6D4"/>
    <w:rsid w:val="54AB9026"/>
    <w:rsid w:val="54AC2DB2"/>
    <w:rsid w:val="54AC40DB"/>
    <w:rsid w:val="54AC6460"/>
    <w:rsid w:val="54AEE400"/>
    <w:rsid w:val="54AFF1D6"/>
    <w:rsid w:val="54B21ED7"/>
    <w:rsid w:val="54B3A19F"/>
    <w:rsid w:val="54B6A66B"/>
    <w:rsid w:val="54B8A78F"/>
    <w:rsid w:val="54BDC28F"/>
    <w:rsid w:val="54C11ADB"/>
    <w:rsid w:val="54C17EDD"/>
    <w:rsid w:val="54C5FF01"/>
    <w:rsid w:val="54C7C5C8"/>
    <w:rsid w:val="54D06699"/>
    <w:rsid w:val="54D167AD"/>
    <w:rsid w:val="54D25580"/>
    <w:rsid w:val="54D37023"/>
    <w:rsid w:val="54D4316E"/>
    <w:rsid w:val="54D5057E"/>
    <w:rsid w:val="54D5F50B"/>
    <w:rsid w:val="54D64777"/>
    <w:rsid w:val="54D76B13"/>
    <w:rsid w:val="54D8209C"/>
    <w:rsid w:val="54D83401"/>
    <w:rsid w:val="54D8CC20"/>
    <w:rsid w:val="54DB39E5"/>
    <w:rsid w:val="54DBAD21"/>
    <w:rsid w:val="54DC293B"/>
    <w:rsid w:val="54DE8690"/>
    <w:rsid w:val="54DF08AF"/>
    <w:rsid w:val="54DF57DD"/>
    <w:rsid w:val="54E014F5"/>
    <w:rsid w:val="54E08E47"/>
    <w:rsid w:val="54E18B20"/>
    <w:rsid w:val="54E2AF51"/>
    <w:rsid w:val="54E2F30E"/>
    <w:rsid w:val="54E5613B"/>
    <w:rsid w:val="54E5FCF1"/>
    <w:rsid w:val="54E72D8A"/>
    <w:rsid w:val="54E89765"/>
    <w:rsid w:val="54EA598A"/>
    <w:rsid w:val="54EAA62E"/>
    <w:rsid w:val="54EB7D97"/>
    <w:rsid w:val="54EB986F"/>
    <w:rsid w:val="54EC8D16"/>
    <w:rsid w:val="54ED161F"/>
    <w:rsid w:val="54F1EA1C"/>
    <w:rsid w:val="54F4CF50"/>
    <w:rsid w:val="54F5A748"/>
    <w:rsid w:val="54F93006"/>
    <w:rsid w:val="54FA2D5E"/>
    <w:rsid w:val="54FB15C0"/>
    <w:rsid w:val="54FC87D3"/>
    <w:rsid w:val="54FD0016"/>
    <w:rsid w:val="54FF87BF"/>
    <w:rsid w:val="54FFF2C5"/>
    <w:rsid w:val="550325C8"/>
    <w:rsid w:val="55037316"/>
    <w:rsid w:val="55045D4B"/>
    <w:rsid w:val="5504D78E"/>
    <w:rsid w:val="5504F35E"/>
    <w:rsid w:val="550755A4"/>
    <w:rsid w:val="55078AA0"/>
    <w:rsid w:val="55079F08"/>
    <w:rsid w:val="5507EA35"/>
    <w:rsid w:val="5507FDDF"/>
    <w:rsid w:val="55081792"/>
    <w:rsid w:val="55083A04"/>
    <w:rsid w:val="550E092D"/>
    <w:rsid w:val="550E7AD6"/>
    <w:rsid w:val="550F53EB"/>
    <w:rsid w:val="55101355"/>
    <w:rsid w:val="55119117"/>
    <w:rsid w:val="55134A40"/>
    <w:rsid w:val="5514EEF1"/>
    <w:rsid w:val="5516EF9A"/>
    <w:rsid w:val="55180D72"/>
    <w:rsid w:val="551896D1"/>
    <w:rsid w:val="551CAB79"/>
    <w:rsid w:val="551D6E91"/>
    <w:rsid w:val="551F59C2"/>
    <w:rsid w:val="551F838C"/>
    <w:rsid w:val="5521EEBB"/>
    <w:rsid w:val="55223EF8"/>
    <w:rsid w:val="5523BD7A"/>
    <w:rsid w:val="5526A614"/>
    <w:rsid w:val="5528319C"/>
    <w:rsid w:val="552C755C"/>
    <w:rsid w:val="553340CA"/>
    <w:rsid w:val="5533C41A"/>
    <w:rsid w:val="55343CDC"/>
    <w:rsid w:val="55370067"/>
    <w:rsid w:val="55399E14"/>
    <w:rsid w:val="5539A879"/>
    <w:rsid w:val="553A6E13"/>
    <w:rsid w:val="553A8136"/>
    <w:rsid w:val="553C5D6A"/>
    <w:rsid w:val="553DC8C4"/>
    <w:rsid w:val="553E74EC"/>
    <w:rsid w:val="553E83B7"/>
    <w:rsid w:val="553F0819"/>
    <w:rsid w:val="5541197A"/>
    <w:rsid w:val="5541CD54"/>
    <w:rsid w:val="55452853"/>
    <w:rsid w:val="55462F11"/>
    <w:rsid w:val="55482715"/>
    <w:rsid w:val="5549EF72"/>
    <w:rsid w:val="554AF5C9"/>
    <w:rsid w:val="554B510C"/>
    <w:rsid w:val="554E1D4D"/>
    <w:rsid w:val="554EBDAD"/>
    <w:rsid w:val="5550D8E8"/>
    <w:rsid w:val="55511505"/>
    <w:rsid w:val="5553A8C7"/>
    <w:rsid w:val="555A64F8"/>
    <w:rsid w:val="555A81E4"/>
    <w:rsid w:val="555AD01D"/>
    <w:rsid w:val="555B30EA"/>
    <w:rsid w:val="555B5A9F"/>
    <w:rsid w:val="555DB2AA"/>
    <w:rsid w:val="556009AE"/>
    <w:rsid w:val="5561F61A"/>
    <w:rsid w:val="55643E4B"/>
    <w:rsid w:val="5565507E"/>
    <w:rsid w:val="5565DCAA"/>
    <w:rsid w:val="55660694"/>
    <w:rsid w:val="55674DB1"/>
    <w:rsid w:val="556897EE"/>
    <w:rsid w:val="5568B02B"/>
    <w:rsid w:val="556E06CA"/>
    <w:rsid w:val="556ECBD2"/>
    <w:rsid w:val="556F7397"/>
    <w:rsid w:val="556F9EA9"/>
    <w:rsid w:val="5570F024"/>
    <w:rsid w:val="557394A1"/>
    <w:rsid w:val="55758AF6"/>
    <w:rsid w:val="5575DE55"/>
    <w:rsid w:val="5578E75A"/>
    <w:rsid w:val="557B7A07"/>
    <w:rsid w:val="557CF53B"/>
    <w:rsid w:val="557E81CB"/>
    <w:rsid w:val="557F34F3"/>
    <w:rsid w:val="5580C495"/>
    <w:rsid w:val="55820270"/>
    <w:rsid w:val="558341F8"/>
    <w:rsid w:val="5584475A"/>
    <w:rsid w:val="5587A8E9"/>
    <w:rsid w:val="5587D9B8"/>
    <w:rsid w:val="558A8E02"/>
    <w:rsid w:val="558AB2EF"/>
    <w:rsid w:val="558B1D31"/>
    <w:rsid w:val="558BED12"/>
    <w:rsid w:val="558D997D"/>
    <w:rsid w:val="558DC88B"/>
    <w:rsid w:val="558DCAE2"/>
    <w:rsid w:val="558E8CA2"/>
    <w:rsid w:val="558EBEAA"/>
    <w:rsid w:val="558EE60A"/>
    <w:rsid w:val="558EEA37"/>
    <w:rsid w:val="5594904B"/>
    <w:rsid w:val="559669DB"/>
    <w:rsid w:val="55974197"/>
    <w:rsid w:val="5597C287"/>
    <w:rsid w:val="559B3AA7"/>
    <w:rsid w:val="559C19A9"/>
    <w:rsid w:val="559E7146"/>
    <w:rsid w:val="559E94B7"/>
    <w:rsid w:val="559F839A"/>
    <w:rsid w:val="55A02B0B"/>
    <w:rsid w:val="55A4B6E4"/>
    <w:rsid w:val="55A6AF7B"/>
    <w:rsid w:val="55A72838"/>
    <w:rsid w:val="55A9270A"/>
    <w:rsid w:val="55AAF7DD"/>
    <w:rsid w:val="55AC9341"/>
    <w:rsid w:val="55AD6026"/>
    <w:rsid w:val="55B0FF3F"/>
    <w:rsid w:val="55B26C2F"/>
    <w:rsid w:val="55B2B0CE"/>
    <w:rsid w:val="55B2BB12"/>
    <w:rsid w:val="55B6378C"/>
    <w:rsid w:val="55B81585"/>
    <w:rsid w:val="55B8E702"/>
    <w:rsid w:val="55BA7537"/>
    <w:rsid w:val="55BB24F1"/>
    <w:rsid w:val="55BC49B9"/>
    <w:rsid w:val="55BCDD79"/>
    <w:rsid w:val="55BD1DBC"/>
    <w:rsid w:val="55BE19C9"/>
    <w:rsid w:val="55C00BCE"/>
    <w:rsid w:val="55C0CE7F"/>
    <w:rsid w:val="55C259F2"/>
    <w:rsid w:val="55C3ABDD"/>
    <w:rsid w:val="55C6813C"/>
    <w:rsid w:val="55C71E4D"/>
    <w:rsid w:val="55C9BC84"/>
    <w:rsid w:val="55CCD3EE"/>
    <w:rsid w:val="55CD883F"/>
    <w:rsid w:val="55CD8C8A"/>
    <w:rsid w:val="55CEAE76"/>
    <w:rsid w:val="55CF3654"/>
    <w:rsid w:val="55CFDC07"/>
    <w:rsid w:val="55D3E540"/>
    <w:rsid w:val="55D6A486"/>
    <w:rsid w:val="55DC9BB8"/>
    <w:rsid w:val="55DDC744"/>
    <w:rsid w:val="55DF5E1C"/>
    <w:rsid w:val="55E03320"/>
    <w:rsid w:val="55E20208"/>
    <w:rsid w:val="55E2A78C"/>
    <w:rsid w:val="55E42AFC"/>
    <w:rsid w:val="55E45461"/>
    <w:rsid w:val="55E4B41F"/>
    <w:rsid w:val="55E5092D"/>
    <w:rsid w:val="55E5B6F6"/>
    <w:rsid w:val="55E5D783"/>
    <w:rsid w:val="55E703D8"/>
    <w:rsid w:val="55E8E66B"/>
    <w:rsid w:val="55E9A057"/>
    <w:rsid w:val="55EA93ED"/>
    <w:rsid w:val="55ECD96D"/>
    <w:rsid w:val="55EE32B4"/>
    <w:rsid w:val="55EFF092"/>
    <w:rsid w:val="55F12340"/>
    <w:rsid w:val="55F350C8"/>
    <w:rsid w:val="55F6ED9C"/>
    <w:rsid w:val="55FD0249"/>
    <w:rsid w:val="55FE125E"/>
    <w:rsid w:val="55FEE7F3"/>
    <w:rsid w:val="55FF7F1B"/>
    <w:rsid w:val="55FFA8C2"/>
    <w:rsid w:val="5600646D"/>
    <w:rsid w:val="5601195F"/>
    <w:rsid w:val="560143CA"/>
    <w:rsid w:val="5602DF14"/>
    <w:rsid w:val="56033290"/>
    <w:rsid w:val="56042C35"/>
    <w:rsid w:val="56055B8F"/>
    <w:rsid w:val="5605B264"/>
    <w:rsid w:val="5605CC75"/>
    <w:rsid w:val="5605E334"/>
    <w:rsid w:val="560740F8"/>
    <w:rsid w:val="560AA335"/>
    <w:rsid w:val="560AC0CE"/>
    <w:rsid w:val="560C8416"/>
    <w:rsid w:val="560EEEE9"/>
    <w:rsid w:val="561126EC"/>
    <w:rsid w:val="56114F69"/>
    <w:rsid w:val="5612C533"/>
    <w:rsid w:val="5616F429"/>
    <w:rsid w:val="561918CF"/>
    <w:rsid w:val="56194189"/>
    <w:rsid w:val="561A2AC4"/>
    <w:rsid w:val="561A8575"/>
    <w:rsid w:val="561AAD6C"/>
    <w:rsid w:val="561AD14C"/>
    <w:rsid w:val="561AE293"/>
    <w:rsid w:val="561D6A0D"/>
    <w:rsid w:val="56200C45"/>
    <w:rsid w:val="5622D1CE"/>
    <w:rsid w:val="56282342"/>
    <w:rsid w:val="5628C304"/>
    <w:rsid w:val="5629A921"/>
    <w:rsid w:val="5629C1EF"/>
    <w:rsid w:val="562C21A5"/>
    <w:rsid w:val="562D5E64"/>
    <w:rsid w:val="562F5CBA"/>
    <w:rsid w:val="562F7E70"/>
    <w:rsid w:val="562F8BF2"/>
    <w:rsid w:val="562FF0ED"/>
    <w:rsid w:val="56322E7C"/>
    <w:rsid w:val="5633721B"/>
    <w:rsid w:val="5634DECE"/>
    <w:rsid w:val="5635AE11"/>
    <w:rsid w:val="563725B1"/>
    <w:rsid w:val="5638AED3"/>
    <w:rsid w:val="563AC86A"/>
    <w:rsid w:val="563AEE0F"/>
    <w:rsid w:val="563C86EE"/>
    <w:rsid w:val="563E28E4"/>
    <w:rsid w:val="563E522D"/>
    <w:rsid w:val="563E6C73"/>
    <w:rsid w:val="563F86C1"/>
    <w:rsid w:val="56445FBA"/>
    <w:rsid w:val="56455622"/>
    <w:rsid w:val="564573FA"/>
    <w:rsid w:val="5646B954"/>
    <w:rsid w:val="5648459E"/>
    <w:rsid w:val="564C2804"/>
    <w:rsid w:val="564CA551"/>
    <w:rsid w:val="564DA9C7"/>
    <w:rsid w:val="564E67B8"/>
    <w:rsid w:val="564E9287"/>
    <w:rsid w:val="564F35B2"/>
    <w:rsid w:val="564FE0FF"/>
    <w:rsid w:val="56509CD2"/>
    <w:rsid w:val="565132FC"/>
    <w:rsid w:val="5654FC75"/>
    <w:rsid w:val="565820CE"/>
    <w:rsid w:val="565886A3"/>
    <w:rsid w:val="56593504"/>
    <w:rsid w:val="565BD9D7"/>
    <w:rsid w:val="565CE019"/>
    <w:rsid w:val="565E3676"/>
    <w:rsid w:val="565E43F1"/>
    <w:rsid w:val="566193C1"/>
    <w:rsid w:val="5663FB4B"/>
    <w:rsid w:val="5664C1BE"/>
    <w:rsid w:val="5664CA72"/>
    <w:rsid w:val="56651CCF"/>
    <w:rsid w:val="5665D7B4"/>
    <w:rsid w:val="566687A8"/>
    <w:rsid w:val="5666F92B"/>
    <w:rsid w:val="56677F1F"/>
    <w:rsid w:val="566927C3"/>
    <w:rsid w:val="566AAABC"/>
    <w:rsid w:val="566AD843"/>
    <w:rsid w:val="566BE902"/>
    <w:rsid w:val="566D63BC"/>
    <w:rsid w:val="566DB720"/>
    <w:rsid w:val="566DF3AA"/>
    <w:rsid w:val="566F8061"/>
    <w:rsid w:val="56706921"/>
    <w:rsid w:val="5672AC31"/>
    <w:rsid w:val="5675C1A0"/>
    <w:rsid w:val="5676D30E"/>
    <w:rsid w:val="5676E612"/>
    <w:rsid w:val="56794DC5"/>
    <w:rsid w:val="567971B2"/>
    <w:rsid w:val="567C7DEF"/>
    <w:rsid w:val="567CAC91"/>
    <w:rsid w:val="567CE6DF"/>
    <w:rsid w:val="567D2A2F"/>
    <w:rsid w:val="567D6F50"/>
    <w:rsid w:val="567D9A1F"/>
    <w:rsid w:val="56835627"/>
    <w:rsid w:val="56838843"/>
    <w:rsid w:val="5683C563"/>
    <w:rsid w:val="568460E9"/>
    <w:rsid w:val="5687096C"/>
    <w:rsid w:val="5688E2E1"/>
    <w:rsid w:val="568A7625"/>
    <w:rsid w:val="568B663D"/>
    <w:rsid w:val="568D2EA9"/>
    <w:rsid w:val="568DBB9B"/>
    <w:rsid w:val="568F745F"/>
    <w:rsid w:val="5692DD2C"/>
    <w:rsid w:val="569315D9"/>
    <w:rsid w:val="5693B857"/>
    <w:rsid w:val="569AD60F"/>
    <w:rsid w:val="56A10DD4"/>
    <w:rsid w:val="56A28D63"/>
    <w:rsid w:val="56A42309"/>
    <w:rsid w:val="56A47D37"/>
    <w:rsid w:val="56A5A668"/>
    <w:rsid w:val="56A8236B"/>
    <w:rsid w:val="56A8FBEB"/>
    <w:rsid w:val="56A91800"/>
    <w:rsid w:val="56A9C263"/>
    <w:rsid w:val="56AEB96D"/>
    <w:rsid w:val="56AFFAAE"/>
    <w:rsid w:val="56B05226"/>
    <w:rsid w:val="56B4E3BE"/>
    <w:rsid w:val="56B9DF4E"/>
    <w:rsid w:val="56BA9C14"/>
    <w:rsid w:val="56BDD9A3"/>
    <w:rsid w:val="56BE3138"/>
    <w:rsid w:val="56BE8C83"/>
    <w:rsid w:val="56C0D39C"/>
    <w:rsid w:val="56C185FB"/>
    <w:rsid w:val="56C25E65"/>
    <w:rsid w:val="56C3597F"/>
    <w:rsid w:val="56C53CB4"/>
    <w:rsid w:val="56C5FA67"/>
    <w:rsid w:val="56C66F29"/>
    <w:rsid w:val="56C7EBD6"/>
    <w:rsid w:val="56C92C47"/>
    <w:rsid w:val="56C9DCE8"/>
    <w:rsid w:val="56CAF9C3"/>
    <w:rsid w:val="56CB6252"/>
    <w:rsid w:val="56CD38AF"/>
    <w:rsid w:val="56CE288B"/>
    <w:rsid w:val="56CF1C17"/>
    <w:rsid w:val="56CF3215"/>
    <w:rsid w:val="56CFA47D"/>
    <w:rsid w:val="56D099DF"/>
    <w:rsid w:val="56D171DD"/>
    <w:rsid w:val="56D4263D"/>
    <w:rsid w:val="56D80CDA"/>
    <w:rsid w:val="56DB92ED"/>
    <w:rsid w:val="56DC4423"/>
    <w:rsid w:val="56DD2806"/>
    <w:rsid w:val="56DD40E8"/>
    <w:rsid w:val="56DDADCF"/>
    <w:rsid w:val="56DE32FD"/>
    <w:rsid w:val="56DEEF98"/>
    <w:rsid w:val="56E08C1B"/>
    <w:rsid w:val="56E1C415"/>
    <w:rsid w:val="56E2B2EB"/>
    <w:rsid w:val="56E65461"/>
    <w:rsid w:val="56E959BF"/>
    <w:rsid w:val="56EAA049"/>
    <w:rsid w:val="56EBDBB3"/>
    <w:rsid w:val="56EDB7ED"/>
    <w:rsid w:val="56F04EAC"/>
    <w:rsid w:val="56F0EC26"/>
    <w:rsid w:val="56F46968"/>
    <w:rsid w:val="56F470D5"/>
    <w:rsid w:val="56F50477"/>
    <w:rsid w:val="56F5A7ED"/>
    <w:rsid w:val="56F7E773"/>
    <w:rsid w:val="56F88F4E"/>
    <w:rsid w:val="56F9F539"/>
    <w:rsid w:val="56FAFAA9"/>
    <w:rsid w:val="56FB389D"/>
    <w:rsid w:val="56FCAFA5"/>
    <w:rsid w:val="56FD015F"/>
    <w:rsid w:val="56FE3454"/>
    <w:rsid w:val="56FE4C1F"/>
    <w:rsid w:val="56FE5762"/>
    <w:rsid w:val="57031EEA"/>
    <w:rsid w:val="5703614A"/>
    <w:rsid w:val="5703E02D"/>
    <w:rsid w:val="5706A410"/>
    <w:rsid w:val="5707365E"/>
    <w:rsid w:val="5708433D"/>
    <w:rsid w:val="57091CB8"/>
    <w:rsid w:val="57095658"/>
    <w:rsid w:val="570A116E"/>
    <w:rsid w:val="570C9BDE"/>
    <w:rsid w:val="570CBA55"/>
    <w:rsid w:val="570E7DF8"/>
    <w:rsid w:val="5710C298"/>
    <w:rsid w:val="57146825"/>
    <w:rsid w:val="57149FAB"/>
    <w:rsid w:val="5714F634"/>
    <w:rsid w:val="5715CBE8"/>
    <w:rsid w:val="5716E8FD"/>
    <w:rsid w:val="571719AD"/>
    <w:rsid w:val="5717D096"/>
    <w:rsid w:val="5718635D"/>
    <w:rsid w:val="57191F03"/>
    <w:rsid w:val="5719263E"/>
    <w:rsid w:val="571A76C6"/>
    <w:rsid w:val="571B6ED9"/>
    <w:rsid w:val="571D2402"/>
    <w:rsid w:val="571E6354"/>
    <w:rsid w:val="571EDF55"/>
    <w:rsid w:val="571F546D"/>
    <w:rsid w:val="571F6EE7"/>
    <w:rsid w:val="5721A523"/>
    <w:rsid w:val="5723FF6C"/>
    <w:rsid w:val="57250505"/>
    <w:rsid w:val="57276AD6"/>
    <w:rsid w:val="57290242"/>
    <w:rsid w:val="57291FA8"/>
    <w:rsid w:val="572EA66F"/>
    <w:rsid w:val="572FF4C8"/>
    <w:rsid w:val="5731C316"/>
    <w:rsid w:val="57344950"/>
    <w:rsid w:val="5735189E"/>
    <w:rsid w:val="57355CB5"/>
    <w:rsid w:val="57360FFD"/>
    <w:rsid w:val="573652E0"/>
    <w:rsid w:val="5736E0A4"/>
    <w:rsid w:val="57382DEB"/>
    <w:rsid w:val="5738B8C6"/>
    <w:rsid w:val="57395116"/>
    <w:rsid w:val="5739795B"/>
    <w:rsid w:val="573C1E60"/>
    <w:rsid w:val="573E45D7"/>
    <w:rsid w:val="573F618D"/>
    <w:rsid w:val="573F8095"/>
    <w:rsid w:val="573F9C70"/>
    <w:rsid w:val="57426121"/>
    <w:rsid w:val="57431AEB"/>
    <w:rsid w:val="5744DF3B"/>
    <w:rsid w:val="57451D8F"/>
    <w:rsid w:val="5745EBCE"/>
    <w:rsid w:val="574658A5"/>
    <w:rsid w:val="5746AD85"/>
    <w:rsid w:val="57474923"/>
    <w:rsid w:val="57480359"/>
    <w:rsid w:val="574919FA"/>
    <w:rsid w:val="574B3942"/>
    <w:rsid w:val="574BA000"/>
    <w:rsid w:val="574E0369"/>
    <w:rsid w:val="575059B7"/>
    <w:rsid w:val="575548C8"/>
    <w:rsid w:val="57554956"/>
    <w:rsid w:val="57561504"/>
    <w:rsid w:val="57586740"/>
    <w:rsid w:val="57592F08"/>
    <w:rsid w:val="575BDA8F"/>
    <w:rsid w:val="575C2926"/>
    <w:rsid w:val="575C8AF4"/>
    <w:rsid w:val="575D8C25"/>
    <w:rsid w:val="575D9BF5"/>
    <w:rsid w:val="575EB6A1"/>
    <w:rsid w:val="576021D7"/>
    <w:rsid w:val="576272C5"/>
    <w:rsid w:val="5766F8BD"/>
    <w:rsid w:val="576C0290"/>
    <w:rsid w:val="576D044A"/>
    <w:rsid w:val="576E0A1F"/>
    <w:rsid w:val="576F0830"/>
    <w:rsid w:val="57706F79"/>
    <w:rsid w:val="5770E703"/>
    <w:rsid w:val="577227C9"/>
    <w:rsid w:val="57737BF4"/>
    <w:rsid w:val="5773F60D"/>
    <w:rsid w:val="577429F1"/>
    <w:rsid w:val="57754AE8"/>
    <w:rsid w:val="5776DF11"/>
    <w:rsid w:val="5777F9A7"/>
    <w:rsid w:val="57790B1B"/>
    <w:rsid w:val="57801E5C"/>
    <w:rsid w:val="578070F9"/>
    <w:rsid w:val="578155F6"/>
    <w:rsid w:val="5781A44B"/>
    <w:rsid w:val="57843029"/>
    <w:rsid w:val="57845134"/>
    <w:rsid w:val="5784FF2B"/>
    <w:rsid w:val="578554BA"/>
    <w:rsid w:val="57857225"/>
    <w:rsid w:val="57861C74"/>
    <w:rsid w:val="578627D6"/>
    <w:rsid w:val="57867356"/>
    <w:rsid w:val="57872092"/>
    <w:rsid w:val="5787C301"/>
    <w:rsid w:val="5787D024"/>
    <w:rsid w:val="578806D3"/>
    <w:rsid w:val="57894E1A"/>
    <w:rsid w:val="5789C53A"/>
    <w:rsid w:val="578B02AF"/>
    <w:rsid w:val="578E3544"/>
    <w:rsid w:val="578F0798"/>
    <w:rsid w:val="578F58AF"/>
    <w:rsid w:val="57911CCD"/>
    <w:rsid w:val="57912DC1"/>
    <w:rsid w:val="5791F788"/>
    <w:rsid w:val="5792310C"/>
    <w:rsid w:val="57943909"/>
    <w:rsid w:val="579660E7"/>
    <w:rsid w:val="57966CF6"/>
    <w:rsid w:val="5798252A"/>
    <w:rsid w:val="579B41F7"/>
    <w:rsid w:val="579C0457"/>
    <w:rsid w:val="579C1D20"/>
    <w:rsid w:val="57A3F19E"/>
    <w:rsid w:val="57A49BDA"/>
    <w:rsid w:val="57A585D4"/>
    <w:rsid w:val="57A62DF4"/>
    <w:rsid w:val="57A7FA64"/>
    <w:rsid w:val="57AA2BA2"/>
    <w:rsid w:val="57AE0612"/>
    <w:rsid w:val="57AEB4BB"/>
    <w:rsid w:val="57B1B9C3"/>
    <w:rsid w:val="57B22121"/>
    <w:rsid w:val="57B24F07"/>
    <w:rsid w:val="57B24F92"/>
    <w:rsid w:val="57B33DE2"/>
    <w:rsid w:val="57B48754"/>
    <w:rsid w:val="57B4F25D"/>
    <w:rsid w:val="57B60CB5"/>
    <w:rsid w:val="57B6188D"/>
    <w:rsid w:val="57B7DD86"/>
    <w:rsid w:val="57B800A2"/>
    <w:rsid w:val="57B84DB3"/>
    <w:rsid w:val="57B8AEC4"/>
    <w:rsid w:val="57B964B2"/>
    <w:rsid w:val="57BD5729"/>
    <w:rsid w:val="57C18C9B"/>
    <w:rsid w:val="57C24A16"/>
    <w:rsid w:val="57C252DC"/>
    <w:rsid w:val="57C47129"/>
    <w:rsid w:val="57C75968"/>
    <w:rsid w:val="57C803A8"/>
    <w:rsid w:val="57C83169"/>
    <w:rsid w:val="57C83FFC"/>
    <w:rsid w:val="57CB2EF7"/>
    <w:rsid w:val="57CC65CD"/>
    <w:rsid w:val="57D133F2"/>
    <w:rsid w:val="57D2BAE1"/>
    <w:rsid w:val="57D2DFDE"/>
    <w:rsid w:val="57D3FC2D"/>
    <w:rsid w:val="57D40D6C"/>
    <w:rsid w:val="57D51ABA"/>
    <w:rsid w:val="57D5D82C"/>
    <w:rsid w:val="57D84604"/>
    <w:rsid w:val="57DA2E69"/>
    <w:rsid w:val="57DAF93E"/>
    <w:rsid w:val="57DC627B"/>
    <w:rsid w:val="57DCCD92"/>
    <w:rsid w:val="57DCD447"/>
    <w:rsid w:val="57DD3F77"/>
    <w:rsid w:val="57DF9A45"/>
    <w:rsid w:val="57E0271F"/>
    <w:rsid w:val="57E0AFF5"/>
    <w:rsid w:val="57E0DB93"/>
    <w:rsid w:val="57E0DDB2"/>
    <w:rsid w:val="57E14795"/>
    <w:rsid w:val="57E5DEE6"/>
    <w:rsid w:val="57E97AF0"/>
    <w:rsid w:val="57EBB267"/>
    <w:rsid w:val="57EC08D5"/>
    <w:rsid w:val="57ECA628"/>
    <w:rsid w:val="57ECB063"/>
    <w:rsid w:val="57F31FB7"/>
    <w:rsid w:val="57F41F65"/>
    <w:rsid w:val="57F425B4"/>
    <w:rsid w:val="57F43B07"/>
    <w:rsid w:val="57F8EBFB"/>
    <w:rsid w:val="57FA1C23"/>
    <w:rsid w:val="57FA4589"/>
    <w:rsid w:val="57FC216C"/>
    <w:rsid w:val="57FC90B5"/>
    <w:rsid w:val="57FF2015"/>
    <w:rsid w:val="57FF7842"/>
    <w:rsid w:val="57FFB124"/>
    <w:rsid w:val="580409C7"/>
    <w:rsid w:val="5804D540"/>
    <w:rsid w:val="580576D6"/>
    <w:rsid w:val="5805A822"/>
    <w:rsid w:val="5807C25C"/>
    <w:rsid w:val="5807FC48"/>
    <w:rsid w:val="580CD292"/>
    <w:rsid w:val="5810E049"/>
    <w:rsid w:val="5810FA73"/>
    <w:rsid w:val="5811AB72"/>
    <w:rsid w:val="58132077"/>
    <w:rsid w:val="58135E44"/>
    <w:rsid w:val="581360F1"/>
    <w:rsid w:val="5814280B"/>
    <w:rsid w:val="581447DF"/>
    <w:rsid w:val="58179BBA"/>
    <w:rsid w:val="58182BB3"/>
    <w:rsid w:val="58185AD2"/>
    <w:rsid w:val="581A7B7A"/>
    <w:rsid w:val="581A82F1"/>
    <w:rsid w:val="581B248D"/>
    <w:rsid w:val="581BEA4E"/>
    <w:rsid w:val="581C7B95"/>
    <w:rsid w:val="581CC164"/>
    <w:rsid w:val="581DC352"/>
    <w:rsid w:val="581E30DF"/>
    <w:rsid w:val="581E9D50"/>
    <w:rsid w:val="58202D69"/>
    <w:rsid w:val="58238DE3"/>
    <w:rsid w:val="5826A351"/>
    <w:rsid w:val="5829C9EB"/>
    <w:rsid w:val="582A65F2"/>
    <w:rsid w:val="582B62CD"/>
    <w:rsid w:val="582C3E3F"/>
    <w:rsid w:val="582E5DB8"/>
    <w:rsid w:val="582E8A4B"/>
    <w:rsid w:val="582F167C"/>
    <w:rsid w:val="582F1E86"/>
    <w:rsid w:val="58304FA7"/>
    <w:rsid w:val="5831817C"/>
    <w:rsid w:val="5833575E"/>
    <w:rsid w:val="58400D34"/>
    <w:rsid w:val="58404658"/>
    <w:rsid w:val="5842E612"/>
    <w:rsid w:val="58436304"/>
    <w:rsid w:val="5844495D"/>
    <w:rsid w:val="5844CABA"/>
    <w:rsid w:val="584520ED"/>
    <w:rsid w:val="5848F154"/>
    <w:rsid w:val="58492F55"/>
    <w:rsid w:val="584964BE"/>
    <w:rsid w:val="5849E780"/>
    <w:rsid w:val="584B4B53"/>
    <w:rsid w:val="584B8BA6"/>
    <w:rsid w:val="584C4BAD"/>
    <w:rsid w:val="584DB613"/>
    <w:rsid w:val="585169CA"/>
    <w:rsid w:val="58517E5A"/>
    <w:rsid w:val="5851CED7"/>
    <w:rsid w:val="58547593"/>
    <w:rsid w:val="58574784"/>
    <w:rsid w:val="58580FC1"/>
    <w:rsid w:val="5858454E"/>
    <w:rsid w:val="58587525"/>
    <w:rsid w:val="5858C3C7"/>
    <w:rsid w:val="58598054"/>
    <w:rsid w:val="585D8803"/>
    <w:rsid w:val="5861CD32"/>
    <w:rsid w:val="5864D769"/>
    <w:rsid w:val="58653688"/>
    <w:rsid w:val="5868287D"/>
    <w:rsid w:val="586BD75B"/>
    <w:rsid w:val="586CD6F1"/>
    <w:rsid w:val="586CF007"/>
    <w:rsid w:val="586E77EE"/>
    <w:rsid w:val="5871F69C"/>
    <w:rsid w:val="5873688D"/>
    <w:rsid w:val="5874A689"/>
    <w:rsid w:val="58767CF5"/>
    <w:rsid w:val="587845B5"/>
    <w:rsid w:val="587A1DB9"/>
    <w:rsid w:val="587A4110"/>
    <w:rsid w:val="587AB189"/>
    <w:rsid w:val="587CF0D1"/>
    <w:rsid w:val="587F0E9A"/>
    <w:rsid w:val="587F16B7"/>
    <w:rsid w:val="587F496C"/>
    <w:rsid w:val="5881A8CA"/>
    <w:rsid w:val="5881F943"/>
    <w:rsid w:val="588220BA"/>
    <w:rsid w:val="58861FEC"/>
    <w:rsid w:val="58880935"/>
    <w:rsid w:val="588847A9"/>
    <w:rsid w:val="5889026F"/>
    <w:rsid w:val="5889F1DB"/>
    <w:rsid w:val="588E6EF9"/>
    <w:rsid w:val="5891A313"/>
    <w:rsid w:val="589219B2"/>
    <w:rsid w:val="58927206"/>
    <w:rsid w:val="5896ED31"/>
    <w:rsid w:val="58985715"/>
    <w:rsid w:val="589BE1F5"/>
    <w:rsid w:val="589C00B1"/>
    <w:rsid w:val="589EFC43"/>
    <w:rsid w:val="58A0244B"/>
    <w:rsid w:val="58A4E111"/>
    <w:rsid w:val="58A4EBF2"/>
    <w:rsid w:val="58A79B87"/>
    <w:rsid w:val="58A81626"/>
    <w:rsid w:val="58A8A5F1"/>
    <w:rsid w:val="58AA00D0"/>
    <w:rsid w:val="58AB13B6"/>
    <w:rsid w:val="58AD04EE"/>
    <w:rsid w:val="58ADEABE"/>
    <w:rsid w:val="58AEDA6F"/>
    <w:rsid w:val="58AEF865"/>
    <w:rsid w:val="58AF606C"/>
    <w:rsid w:val="58AFF416"/>
    <w:rsid w:val="58B0C55F"/>
    <w:rsid w:val="58B35753"/>
    <w:rsid w:val="58B54CB9"/>
    <w:rsid w:val="58B8B29D"/>
    <w:rsid w:val="58BC3678"/>
    <w:rsid w:val="58BCA94C"/>
    <w:rsid w:val="58BD1DAB"/>
    <w:rsid w:val="58C05AA4"/>
    <w:rsid w:val="58C13724"/>
    <w:rsid w:val="58C3E4CF"/>
    <w:rsid w:val="58C5AB05"/>
    <w:rsid w:val="58C5BE6F"/>
    <w:rsid w:val="58C6534A"/>
    <w:rsid w:val="58C71E8B"/>
    <w:rsid w:val="58C7F50A"/>
    <w:rsid w:val="58C81D82"/>
    <w:rsid w:val="58CA5728"/>
    <w:rsid w:val="58CB74FB"/>
    <w:rsid w:val="58CB9920"/>
    <w:rsid w:val="58CBE2BC"/>
    <w:rsid w:val="58CCB2BC"/>
    <w:rsid w:val="58CFD0D6"/>
    <w:rsid w:val="58D03D8D"/>
    <w:rsid w:val="58D09BFC"/>
    <w:rsid w:val="58D0BB74"/>
    <w:rsid w:val="58D122A4"/>
    <w:rsid w:val="58D154A3"/>
    <w:rsid w:val="58D1F812"/>
    <w:rsid w:val="58D28A1A"/>
    <w:rsid w:val="58D91C28"/>
    <w:rsid w:val="58DA2019"/>
    <w:rsid w:val="58DC7826"/>
    <w:rsid w:val="58DD13BE"/>
    <w:rsid w:val="58DEE448"/>
    <w:rsid w:val="58DF758E"/>
    <w:rsid w:val="58E0A383"/>
    <w:rsid w:val="58E157CE"/>
    <w:rsid w:val="58E18C66"/>
    <w:rsid w:val="58E1D08F"/>
    <w:rsid w:val="58E1FE00"/>
    <w:rsid w:val="58E4C3DB"/>
    <w:rsid w:val="58E6DAFE"/>
    <w:rsid w:val="58E8B2DB"/>
    <w:rsid w:val="58EA591C"/>
    <w:rsid w:val="58EB1371"/>
    <w:rsid w:val="58ED4D32"/>
    <w:rsid w:val="58EEBF28"/>
    <w:rsid w:val="58EF0423"/>
    <w:rsid w:val="58F0F17E"/>
    <w:rsid w:val="58F14D06"/>
    <w:rsid w:val="58F22D2A"/>
    <w:rsid w:val="58F2A5F2"/>
    <w:rsid w:val="58F35D7E"/>
    <w:rsid w:val="58F417C7"/>
    <w:rsid w:val="58F5DAF2"/>
    <w:rsid w:val="58F5F3B4"/>
    <w:rsid w:val="58F6AFBA"/>
    <w:rsid w:val="58F6D303"/>
    <w:rsid w:val="58F6DDFE"/>
    <w:rsid w:val="58F964C8"/>
    <w:rsid w:val="58F96EDC"/>
    <w:rsid w:val="58FB0FFE"/>
    <w:rsid w:val="58FB3947"/>
    <w:rsid w:val="58FB4006"/>
    <w:rsid w:val="58FB880D"/>
    <w:rsid w:val="58FBE757"/>
    <w:rsid w:val="5901EBC2"/>
    <w:rsid w:val="5903F027"/>
    <w:rsid w:val="59065C7A"/>
    <w:rsid w:val="5906A1B3"/>
    <w:rsid w:val="59085D10"/>
    <w:rsid w:val="590A599D"/>
    <w:rsid w:val="590C541F"/>
    <w:rsid w:val="590C90B6"/>
    <w:rsid w:val="5910F06C"/>
    <w:rsid w:val="5910F7EF"/>
    <w:rsid w:val="5912F966"/>
    <w:rsid w:val="59165CAB"/>
    <w:rsid w:val="5916A75F"/>
    <w:rsid w:val="591734C0"/>
    <w:rsid w:val="591B98B0"/>
    <w:rsid w:val="591BD5DA"/>
    <w:rsid w:val="591E7499"/>
    <w:rsid w:val="5921762C"/>
    <w:rsid w:val="59230024"/>
    <w:rsid w:val="592414D1"/>
    <w:rsid w:val="5924E01C"/>
    <w:rsid w:val="5925BB8D"/>
    <w:rsid w:val="5925E775"/>
    <w:rsid w:val="59265963"/>
    <w:rsid w:val="592BCB47"/>
    <w:rsid w:val="592D047A"/>
    <w:rsid w:val="592D04A4"/>
    <w:rsid w:val="592DDB8B"/>
    <w:rsid w:val="592E7DFD"/>
    <w:rsid w:val="593179D1"/>
    <w:rsid w:val="5931FA9D"/>
    <w:rsid w:val="5932D1B2"/>
    <w:rsid w:val="5935067D"/>
    <w:rsid w:val="59363DA1"/>
    <w:rsid w:val="59365B14"/>
    <w:rsid w:val="593676B4"/>
    <w:rsid w:val="59398AEC"/>
    <w:rsid w:val="593B1FAF"/>
    <w:rsid w:val="593BE84C"/>
    <w:rsid w:val="593EC671"/>
    <w:rsid w:val="594015B9"/>
    <w:rsid w:val="59409D55"/>
    <w:rsid w:val="594190F1"/>
    <w:rsid w:val="59442F8C"/>
    <w:rsid w:val="59457920"/>
    <w:rsid w:val="594733E7"/>
    <w:rsid w:val="594ADC0F"/>
    <w:rsid w:val="594B0A5F"/>
    <w:rsid w:val="594BC983"/>
    <w:rsid w:val="594CAD1B"/>
    <w:rsid w:val="594F925B"/>
    <w:rsid w:val="59505E72"/>
    <w:rsid w:val="595096B6"/>
    <w:rsid w:val="59517B0F"/>
    <w:rsid w:val="5951F078"/>
    <w:rsid w:val="5955AF92"/>
    <w:rsid w:val="5955DA92"/>
    <w:rsid w:val="59565A7B"/>
    <w:rsid w:val="59592442"/>
    <w:rsid w:val="59592E60"/>
    <w:rsid w:val="595A3CD8"/>
    <w:rsid w:val="595A7398"/>
    <w:rsid w:val="595E8DCB"/>
    <w:rsid w:val="595FBEEC"/>
    <w:rsid w:val="595FDF2D"/>
    <w:rsid w:val="59602A62"/>
    <w:rsid w:val="5960971C"/>
    <w:rsid w:val="59630C85"/>
    <w:rsid w:val="59641288"/>
    <w:rsid w:val="5964D53A"/>
    <w:rsid w:val="59656EBA"/>
    <w:rsid w:val="5965C50F"/>
    <w:rsid w:val="5965CD9B"/>
    <w:rsid w:val="5965DF06"/>
    <w:rsid w:val="59671567"/>
    <w:rsid w:val="596AD798"/>
    <w:rsid w:val="596C64A1"/>
    <w:rsid w:val="596C997C"/>
    <w:rsid w:val="596D03C6"/>
    <w:rsid w:val="596D2F1A"/>
    <w:rsid w:val="596E1243"/>
    <w:rsid w:val="596F38AB"/>
    <w:rsid w:val="59701964"/>
    <w:rsid w:val="5972DBC0"/>
    <w:rsid w:val="59735CFA"/>
    <w:rsid w:val="59737070"/>
    <w:rsid w:val="597659A6"/>
    <w:rsid w:val="5976EB2D"/>
    <w:rsid w:val="5977B10C"/>
    <w:rsid w:val="5977E5B7"/>
    <w:rsid w:val="597B3F6D"/>
    <w:rsid w:val="597BB4ED"/>
    <w:rsid w:val="597C690E"/>
    <w:rsid w:val="597CD299"/>
    <w:rsid w:val="597D67E8"/>
    <w:rsid w:val="597F004B"/>
    <w:rsid w:val="597FEF74"/>
    <w:rsid w:val="59813D35"/>
    <w:rsid w:val="5981BC95"/>
    <w:rsid w:val="5982B6B7"/>
    <w:rsid w:val="59850959"/>
    <w:rsid w:val="598BABA4"/>
    <w:rsid w:val="598C6E56"/>
    <w:rsid w:val="598C8920"/>
    <w:rsid w:val="598CA4F0"/>
    <w:rsid w:val="598D1A27"/>
    <w:rsid w:val="598EB94B"/>
    <w:rsid w:val="598FE5E5"/>
    <w:rsid w:val="59907237"/>
    <w:rsid w:val="59927894"/>
    <w:rsid w:val="59931E82"/>
    <w:rsid w:val="5994FA84"/>
    <w:rsid w:val="59959554"/>
    <w:rsid w:val="59959983"/>
    <w:rsid w:val="5999759E"/>
    <w:rsid w:val="5999A761"/>
    <w:rsid w:val="599AFE8D"/>
    <w:rsid w:val="599BD78B"/>
    <w:rsid w:val="59A03791"/>
    <w:rsid w:val="59A0828F"/>
    <w:rsid w:val="59A36300"/>
    <w:rsid w:val="59A795EA"/>
    <w:rsid w:val="59A834CD"/>
    <w:rsid w:val="59A8A538"/>
    <w:rsid w:val="59A9F9DA"/>
    <w:rsid w:val="59AB12E5"/>
    <w:rsid w:val="59AB8AA4"/>
    <w:rsid w:val="59AFC53C"/>
    <w:rsid w:val="59B50AE8"/>
    <w:rsid w:val="59B753D8"/>
    <w:rsid w:val="59B833E5"/>
    <w:rsid w:val="59B97BD6"/>
    <w:rsid w:val="59BC387B"/>
    <w:rsid w:val="59BD7DA7"/>
    <w:rsid w:val="59BEB194"/>
    <w:rsid w:val="59BF5C13"/>
    <w:rsid w:val="59BF79C7"/>
    <w:rsid w:val="59BFF1B9"/>
    <w:rsid w:val="59C05767"/>
    <w:rsid w:val="59C0AD9D"/>
    <w:rsid w:val="59C6BC84"/>
    <w:rsid w:val="59C9047F"/>
    <w:rsid w:val="59CA4893"/>
    <w:rsid w:val="59CADE44"/>
    <w:rsid w:val="59CE732E"/>
    <w:rsid w:val="59D03AFF"/>
    <w:rsid w:val="59D0C1B4"/>
    <w:rsid w:val="59D11329"/>
    <w:rsid w:val="59D1B6F8"/>
    <w:rsid w:val="59D22898"/>
    <w:rsid w:val="59D23E7D"/>
    <w:rsid w:val="59D71BF1"/>
    <w:rsid w:val="59D7BC85"/>
    <w:rsid w:val="59D8320B"/>
    <w:rsid w:val="59DCE06A"/>
    <w:rsid w:val="59DEBCC4"/>
    <w:rsid w:val="59DECE7E"/>
    <w:rsid w:val="59DFE22F"/>
    <w:rsid w:val="59E2847F"/>
    <w:rsid w:val="59E4DA87"/>
    <w:rsid w:val="59E59094"/>
    <w:rsid w:val="59E5BF98"/>
    <w:rsid w:val="59E5D6A6"/>
    <w:rsid w:val="59E69DB6"/>
    <w:rsid w:val="59E6C26C"/>
    <w:rsid w:val="59E6E0CC"/>
    <w:rsid w:val="59EBBB90"/>
    <w:rsid w:val="59ECE3CB"/>
    <w:rsid w:val="59EDFC07"/>
    <w:rsid w:val="59EFE229"/>
    <w:rsid w:val="59F2240A"/>
    <w:rsid w:val="59F2FAEE"/>
    <w:rsid w:val="59F3A9E0"/>
    <w:rsid w:val="59F7158C"/>
    <w:rsid w:val="59F9158E"/>
    <w:rsid w:val="59FA5639"/>
    <w:rsid w:val="59FB8626"/>
    <w:rsid w:val="59FC36F9"/>
    <w:rsid w:val="59FD788A"/>
    <w:rsid w:val="59FDEBCA"/>
    <w:rsid w:val="59FF4E26"/>
    <w:rsid w:val="5A0046E9"/>
    <w:rsid w:val="5A00A5A1"/>
    <w:rsid w:val="5A00DA73"/>
    <w:rsid w:val="5A029371"/>
    <w:rsid w:val="5A02B6FF"/>
    <w:rsid w:val="5A04F106"/>
    <w:rsid w:val="5A075619"/>
    <w:rsid w:val="5A076ADC"/>
    <w:rsid w:val="5A094EEA"/>
    <w:rsid w:val="5A09EA60"/>
    <w:rsid w:val="5A0B9626"/>
    <w:rsid w:val="5A0CC338"/>
    <w:rsid w:val="5A0D864B"/>
    <w:rsid w:val="5A0E0720"/>
    <w:rsid w:val="5A0E57B8"/>
    <w:rsid w:val="5A0EA9D9"/>
    <w:rsid w:val="5A113DBA"/>
    <w:rsid w:val="5A1218EF"/>
    <w:rsid w:val="5A1275D3"/>
    <w:rsid w:val="5A13AB96"/>
    <w:rsid w:val="5A146508"/>
    <w:rsid w:val="5A155376"/>
    <w:rsid w:val="5A1556BE"/>
    <w:rsid w:val="5A15610B"/>
    <w:rsid w:val="5A163C51"/>
    <w:rsid w:val="5A1663AD"/>
    <w:rsid w:val="5A1D8997"/>
    <w:rsid w:val="5A1E3838"/>
    <w:rsid w:val="5A1FEDD5"/>
    <w:rsid w:val="5A206CD5"/>
    <w:rsid w:val="5A22CD4B"/>
    <w:rsid w:val="5A235E0C"/>
    <w:rsid w:val="5A248206"/>
    <w:rsid w:val="5A27D066"/>
    <w:rsid w:val="5A2819D1"/>
    <w:rsid w:val="5A2A7B90"/>
    <w:rsid w:val="5A2C2FFC"/>
    <w:rsid w:val="5A2C883D"/>
    <w:rsid w:val="5A2D2E45"/>
    <w:rsid w:val="5A2E5702"/>
    <w:rsid w:val="5A2FDD4C"/>
    <w:rsid w:val="5A3070AB"/>
    <w:rsid w:val="5A3193D0"/>
    <w:rsid w:val="5A322E3B"/>
    <w:rsid w:val="5A33864C"/>
    <w:rsid w:val="5A33BFDF"/>
    <w:rsid w:val="5A3423E6"/>
    <w:rsid w:val="5A346D71"/>
    <w:rsid w:val="5A3513E3"/>
    <w:rsid w:val="5A353314"/>
    <w:rsid w:val="5A37F56B"/>
    <w:rsid w:val="5A397460"/>
    <w:rsid w:val="5A39C4DB"/>
    <w:rsid w:val="5A3B266B"/>
    <w:rsid w:val="5A3BDA26"/>
    <w:rsid w:val="5A3CEA5F"/>
    <w:rsid w:val="5A3CFE54"/>
    <w:rsid w:val="5A3E0582"/>
    <w:rsid w:val="5A3E8BE9"/>
    <w:rsid w:val="5A423FE6"/>
    <w:rsid w:val="5A466ADC"/>
    <w:rsid w:val="5A47117B"/>
    <w:rsid w:val="5A487E97"/>
    <w:rsid w:val="5A4C12E8"/>
    <w:rsid w:val="5A4CDE9C"/>
    <w:rsid w:val="5A4D26FC"/>
    <w:rsid w:val="5A51DA85"/>
    <w:rsid w:val="5A5235FD"/>
    <w:rsid w:val="5A524BD6"/>
    <w:rsid w:val="5A54671E"/>
    <w:rsid w:val="5A5534FF"/>
    <w:rsid w:val="5A570D44"/>
    <w:rsid w:val="5A59252D"/>
    <w:rsid w:val="5A5BEC63"/>
    <w:rsid w:val="5A5BEE41"/>
    <w:rsid w:val="5A5D67CF"/>
    <w:rsid w:val="5A5E5F1A"/>
    <w:rsid w:val="5A60A162"/>
    <w:rsid w:val="5A616326"/>
    <w:rsid w:val="5A617078"/>
    <w:rsid w:val="5A6217ED"/>
    <w:rsid w:val="5A64718F"/>
    <w:rsid w:val="5A65ABB3"/>
    <w:rsid w:val="5A66E619"/>
    <w:rsid w:val="5A66F2E2"/>
    <w:rsid w:val="5A67413D"/>
    <w:rsid w:val="5A68AB73"/>
    <w:rsid w:val="5A6AFF99"/>
    <w:rsid w:val="5A6CD027"/>
    <w:rsid w:val="5A6D83C0"/>
    <w:rsid w:val="5A6F2B9A"/>
    <w:rsid w:val="5A712D5A"/>
    <w:rsid w:val="5A728388"/>
    <w:rsid w:val="5A75C7B8"/>
    <w:rsid w:val="5A7689A0"/>
    <w:rsid w:val="5A77CB96"/>
    <w:rsid w:val="5A7841CF"/>
    <w:rsid w:val="5A789154"/>
    <w:rsid w:val="5A78B28E"/>
    <w:rsid w:val="5A795085"/>
    <w:rsid w:val="5A795464"/>
    <w:rsid w:val="5A7966FE"/>
    <w:rsid w:val="5A798E5A"/>
    <w:rsid w:val="5A7BD6EF"/>
    <w:rsid w:val="5A7CB6AF"/>
    <w:rsid w:val="5A7D328D"/>
    <w:rsid w:val="5A7DD89C"/>
    <w:rsid w:val="5A7E0145"/>
    <w:rsid w:val="5A7E03C3"/>
    <w:rsid w:val="5A8182C5"/>
    <w:rsid w:val="5A819DF9"/>
    <w:rsid w:val="5A8228B8"/>
    <w:rsid w:val="5A839A04"/>
    <w:rsid w:val="5A84A7A4"/>
    <w:rsid w:val="5A866FF0"/>
    <w:rsid w:val="5A87BF16"/>
    <w:rsid w:val="5A8C711B"/>
    <w:rsid w:val="5A8D4386"/>
    <w:rsid w:val="5A8E0C6D"/>
    <w:rsid w:val="5A8F4913"/>
    <w:rsid w:val="5A8FD6A9"/>
    <w:rsid w:val="5A91C077"/>
    <w:rsid w:val="5A925D48"/>
    <w:rsid w:val="5A92645A"/>
    <w:rsid w:val="5A962826"/>
    <w:rsid w:val="5A96A4A6"/>
    <w:rsid w:val="5A98D643"/>
    <w:rsid w:val="5A990F00"/>
    <w:rsid w:val="5A992288"/>
    <w:rsid w:val="5A9A7E7F"/>
    <w:rsid w:val="5A9C2FBA"/>
    <w:rsid w:val="5A9C6DCF"/>
    <w:rsid w:val="5A9D794C"/>
    <w:rsid w:val="5A9D9EDE"/>
    <w:rsid w:val="5A9F4C3B"/>
    <w:rsid w:val="5AA13AED"/>
    <w:rsid w:val="5AA1957E"/>
    <w:rsid w:val="5AA21DF4"/>
    <w:rsid w:val="5AA2A6F9"/>
    <w:rsid w:val="5AA4186C"/>
    <w:rsid w:val="5AA4FF71"/>
    <w:rsid w:val="5AA71E32"/>
    <w:rsid w:val="5AA87545"/>
    <w:rsid w:val="5AAC1B10"/>
    <w:rsid w:val="5AAC6152"/>
    <w:rsid w:val="5AACAB50"/>
    <w:rsid w:val="5AACFAC3"/>
    <w:rsid w:val="5AAD27C0"/>
    <w:rsid w:val="5AAE5B29"/>
    <w:rsid w:val="5AB4B6CD"/>
    <w:rsid w:val="5AB4FA36"/>
    <w:rsid w:val="5AB522DC"/>
    <w:rsid w:val="5AB52711"/>
    <w:rsid w:val="5AB719D0"/>
    <w:rsid w:val="5AB9C7AD"/>
    <w:rsid w:val="5ABA41A9"/>
    <w:rsid w:val="5ABBFC6D"/>
    <w:rsid w:val="5ABD274C"/>
    <w:rsid w:val="5ABE6262"/>
    <w:rsid w:val="5ABEA8DA"/>
    <w:rsid w:val="5ABEE782"/>
    <w:rsid w:val="5ABEEC5E"/>
    <w:rsid w:val="5AC0F200"/>
    <w:rsid w:val="5AC14B98"/>
    <w:rsid w:val="5AC2DCE5"/>
    <w:rsid w:val="5AC2FF7C"/>
    <w:rsid w:val="5AC3E487"/>
    <w:rsid w:val="5AC3FBC3"/>
    <w:rsid w:val="5AC67ABC"/>
    <w:rsid w:val="5AC966B9"/>
    <w:rsid w:val="5ACAE9D2"/>
    <w:rsid w:val="5ACF770F"/>
    <w:rsid w:val="5ACFFE7A"/>
    <w:rsid w:val="5AD037C6"/>
    <w:rsid w:val="5AD68841"/>
    <w:rsid w:val="5AD69054"/>
    <w:rsid w:val="5AD6C5B6"/>
    <w:rsid w:val="5AD74B77"/>
    <w:rsid w:val="5AD7C0D1"/>
    <w:rsid w:val="5AD905F4"/>
    <w:rsid w:val="5ADFB286"/>
    <w:rsid w:val="5AE0E957"/>
    <w:rsid w:val="5AE2AEAE"/>
    <w:rsid w:val="5AE314FB"/>
    <w:rsid w:val="5AE36F8B"/>
    <w:rsid w:val="5AE5232C"/>
    <w:rsid w:val="5AE82C07"/>
    <w:rsid w:val="5AE968A0"/>
    <w:rsid w:val="5AEA9F17"/>
    <w:rsid w:val="5AF1194C"/>
    <w:rsid w:val="5AF283A8"/>
    <w:rsid w:val="5AF368A2"/>
    <w:rsid w:val="5AF5A3C0"/>
    <w:rsid w:val="5AF6B49C"/>
    <w:rsid w:val="5AF791C6"/>
    <w:rsid w:val="5AF9A7D2"/>
    <w:rsid w:val="5AFBA87E"/>
    <w:rsid w:val="5AFBEE35"/>
    <w:rsid w:val="5AFDF3E6"/>
    <w:rsid w:val="5AFE010D"/>
    <w:rsid w:val="5AFE68A4"/>
    <w:rsid w:val="5B0530FA"/>
    <w:rsid w:val="5B05CE5F"/>
    <w:rsid w:val="5B06A95C"/>
    <w:rsid w:val="5B06C6F2"/>
    <w:rsid w:val="5B06E041"/>
    <w:rsid w:val="5B07BB94"/>
    <w:rsid w:val="5B0972C5"/>
    <w:rsid w:val="5B099483"/>
    <w:rsid w:val="5B09A0B7"/>
    <w:rsid w:val="5B0A29B1"/>
    <w:rsid w:val="5B0AB2FA"/>
    <w:rsid w:val="5B0DE870"/>
    <w:rsid w:val="5B0E9DBF"/>
    <w:rsid w:val="5B0F222A"/>
    <w:rsid w:val="5B10C4B6"/>
    <w:rsid w:val="5B115F5E"/>
    <w:rsid w:val="5B118265"/>
    <w:rsid w:val="5B11A042"/>
    <w:rsid w:val="5B11A3F1"/>
    <w:rsid w:val="5B137BE0"/>
    <w:rsid w:val="5B15143C"/>
    <w:rsid w:val="5B16A999"/>
    <w:rsid w:val="5B1985E0"/>
    <w:rsid w:val="5B19D163"/>
    <w:rsid w:val="5B19EA0C"/>
    <w:rsid w:val="5B1B5457"/>
    <w:rsid w:val="5B1C6099"/>
    <w:rsid w:val="5B1CA2E2"/>
    <w:rsid w:val="5B1E70FB"/>
    <w:rsid w:val="5B1E90A8"/>
    <w:rsid w:val="5B1F8CBD"/>
    <w:rsid w:val="5B212D93"/>
    <w:rsid w:val="5B21A198"/>
    <w:rsid w:val="5B2261EF"/>
    <w:rsid w:val="5B2288F9"/>
    <w:rsid w:val="5B2624B4"/>
    <w:rsid w:val="5B2813AC"/>
    <w:rsid w:val="5B28C9DF"/>
    <w:rsid w:val="5B2A02C7"/>
    <w:rsid w:val="5B2AA51E"/>
    <w:rsid w:val="5B2B2DE2"/>
    <w:rsid w:val="5B335C22"/>
    <w:rsid w:val="5B3487FA"/>
    <w:rsid w:val="5B351DE5"/>
    <w:rsid w:val="5B3631A8"/>
    <w:rsid w:val="5B372560"/>
    <w:rsid w:val="5B397389"/>
    <w:rsid w:val="5B3AE6AB"/>
    <w:rsid w:val="5B3BA1AA"/>
    <w:rsid w:val="5B3C62D5"/>
    <w:rsid w:val="5B3C6A35"/>
    <w:rsid w:val="5B3CE7A0"/>
    <w:rsid w:val="5B3D19BE"/>
    <w:rsid w:val="5B3DBF3F"/>
    <w:rsid w:val="5B3EF5F1"/>
    <w:rsid w:val="5B467DB2"/>
    <w:rsid w:val="5B4894ED"/>
    <w:rsid w:val="5B496F04"/>
    <w:rsid w:val="5B49D24A"/>
    <w:rsid w:val="5B4A5482"/>
    <w:rsid w:val="5B4CA499"/>
    <w:rsid w:val="5B4D9F46"/>
    <w:rsid w:val="5B4DB93D"/>
    <w:rsid w:val="5B52839A"/>
    <w:rsid w:val="5B57C3C0"/>
    <w:rsid w:val="5B58C51E"/>
    <w:rsid w:val="5B58CC66"/>
    <w:rsid w:val="5B58E763"/>
    <w:rsid w:val="5B59D522"/>
    <w:rsid w:val="5B5A40FA"/>
    <w:rsid w:val="5B5A81F5"/>
    <w:rsid w:val="5B5C05CB"/>
    <w:rsid w:val="5B5C836F"/>
    <w:rsid w:val="5B5D9AA9"/>
    <w:rsid w:val="5B5E7CE9"/>
    <w:rsid w:val="5B60468B"/>
    <w:rsid w:val="5B6061A5"/>
    <w:rsid w:val="5B60D516"/>
    <w:rsid w:val="5B624AF5"/>
    <w:rsid w:val="5B625BE0"/>
    <w:rsid w:val="5B643B52"/>
    <w:rsid w:val="5B66E31F"/>
    <w:rsid w:val="5B683CAE"/>
    <w:rsid w:val="5B6843D1"/>
    <w:rsid w:val="5B69BA3B"/>
    <w:rsid w:val="5B6AAEF5"/>
    <w:rsid w:val="5B6C8392"/>
    <w:rsid w:val="5B6E3DD1"/>
    <w:rsid w:val="5B7342AB"/>
    <w:rsid w:val="5B734725"/>
    <w:rsid w:val="5B75E1F2"/>
    <w:rsid w:val="5B773484"/>
    <w:rsid w:val="5B776B44"/>
    <w:rsid w:val="5B78BE04"/>
    <w:rsid w:val="5B79B998"/>
    <w:rsid w:val="5B7BD9AE"/>
    <w:rsid w:val="5B7CD3FF"/>
    <w:rsid w:val="5B7D03E6"/>
    <w:rsid w:val="5B7E21D1"/>
    <w:rsid w:val="5B7F2A81"/>
    <w:rsid w:val="5B813C41"/>
    <w:rsid w:val="5B8179BE"/>
    <w:rsid w:val="5B83C4DA"/>
    <w:rsid w:val="5B8480D2"/>
    <w:rsid w:val="5B863D74"/>
    <w:rsid w:val="5B8DF306"/>
    <w:rsid w:val="5B8EA7B8"/>
    <w:rsid w:val="5B90802F"/>
    <w:rsid w:val="5B9371F8"/>
    <w:rsid w:val="5B938F8F"/>
    <w:rsid w:val="5B953D20"/>
    <w:rsid w:val="5B96423C"/>
    <w:rsid w:val="5B96998F"/>
    <w:rsid w:val="5B97E044"/>
    <w:rsid w:val="5B9BA495"/>
    <w:rsid w:val="5B9BCD3B"/>
    <w:rsid w:val="5B9C22D7"/>
    <w:rsid w:val="5B9C4A76"/>
    <w:rsid w:val="5B9D0D27"/>
    <w:rsid w:val="5B9D16F5"/>
    <w:rsid w:val="5B9E44F7"/>
    <w:rsid w:val="5B9F9D67"/>
    <w:rsid w:val="5BA10477"/>
    <w:rsid w:val="5BA191ED"/>
    <w:rsid w:val="5BA2012C"/>
    <w:rsid w:val="5BA23586"/>
    <w:rsid w:val="5BA425D0"/>
    <w:rsid w:val="5BA51348"/>
    <w:rsid w:val="5BA64FDD"/>
    <w:rsid w:val="5BA6A413"/>
    <w:rsid w:val="5BA6DDFF"/>
    <w:rsid w:val="5BA71A1D"/>
    <w:rsid w:val="5BA7AC84"/>
    <w:rsid w:val="5BAA29A7"/>
    <w:rsid w:val="5BAAD63A"/>
    <w:rsid w:val="5BAAEE5A"/>
    <w:rsid w:val="5BADF390"/>
    <w:rsid w:val="5BAE3AF2"/>
    <w:rsid w:val="5BAE6B65"/>
    <w:rsid w:val="5BAFD799"/>
    <w:rsid w:val="5BB64998"/>
    <w:rsid w:val="5BB974F4"/>
    <w:rsid w:val="5BBA7BA4"/>
    <w:rsid w:val="5BBB1BF8"/>
    <w:rsid w:val="5BBBB37E"/>
    <w:rsid w:val="5BBC3173"/>
    <w:rsid w:val="5BBEBBAA"/>
    <w:rsid w:val="5BC0417F"/>
    <w:rsid w:val="5BC20A6F"/>
    <w:rsid w:val="5BC2867B"/>
    <w:rsid w:val="5BC3296F"/>
    <w:rsid w:val="5BC378AC"/>
    <w:rsid w:val="5BC3EA58"/>
    <w:rsid w:val="5BC44AFE"/>
    <w:rsid w:val="5BC59971"/>
    <w:rsid w:val="5BC80C6D"/>
    <w:rsid w:val="5BCD5729"/>
    <w:rsid w:val="5BD01DB1"/>
    <w:rsid w:val="5BD0B9AA"/>
    <w:rsid w:val="5BD287CA"/>
    <w:rsid w:val="5BD2D48C"/>
    <w:rsid w:val="5BD3DADB"/>
    <w:rsid w:val="5BD40CC5"/>
    <w:rsid w:val="5BD57B7E"/>
    <w:rsid w:val="5BD85D3F"/>
    <w:rsid w:val="5BDC34E8"/>
    <w:rsid w:val="5BDD5FFE"/>
    <w:rsid w:val="5BDEB412"/>
    <w:rsid w:val="5BDFD03F"/>
    <w:rsid w:val="5BE16B59"/>
    <w:rsid w:val="5BE20F2C"/>
    <w:rsid w:val="5BE2DD43"/>
    <w:rsid w:val="5BE37F8B"/>
    <w:rsid w:val="5BE52450"/>
    <w:rsid w:val="5BE6B812"/>
    <w:rsid w:val="5BE75756"/>
    <w:rsid w:val="5BE7F236"/>
    <w:rsid w:val="5BE8DB6A"/>
    <w:rsid w:val="5BEA65C5"/>
    <w:rsid w:val="5BEAFF32"/>
    <w:rsid w:val="5BEB730C"/>
    <w:rsid w:val="5BEB7B3A"/>
    <w:rsid w:val="5BECF023"/>
    <w:rsid w:val="5BED700E"/>
    <w:rsid w:val="5BEFEC58"/>
    <w:rsid w:val="5BF045B7"/>
    <w:rsid w:val="5BF2C6F0"/>
    <w:rsid w:val="5BF362AE"/>
    <w:rsid w:val="5BF4A718"/>
    <w:rsid w:val="5BF56AA6"/>
    <w:rsid w:val="5BF5D1E8"/>
    <w:rsid w:val="5BF9AC09"/>
    <w:rsid w:val="5BF9B4AC"/>
    <w:rsid w:val="5BFBF3B5"/>
    <w:rsid w:val="5BFE895E"/>
    <w:rsid w:val="5C008E7C"/>
    <w:rsid w:val="5C015E16"/>
    <w:rsid w:val="5C039580"/>
    <w:rsid w:val="5C05927D"/>
    <w:rsid w:val="5C08BA1B"/>
    <w:rsid w:val="5C0B4ECD"/>
    <w:rsid w:val="5C0B70A9"/>
    <w:rsid w:val="5C0B9DF0"/>
    <w:rsid w:val="5C0FF867"/>
    <w:rsid w:val="5C10106D"/>
    <w:rsid w:val="5C103F2E"/>
    <w:rsid w:val="5C16BEDA"/>
    <w:rsid w:val="5C17E3ED"/>
    <w:rsid w:val="5C1BD93F"/>
    <w:rsid w:val="5C1C4E16"/>
    <w:rsid w:val="5C1D13BC"/>
    <w:rsid w:val="5C1D60FC"/>
    <w:rsid w:val="5C21349E"/>
    <w:rsid w:val="5C2246AF"/>
    <w:rsid w:val="5C232627"/>
    <w:rsid w:val="5C249652"/>
    <w:rsid w:val="5C24BD60"/>
    <w:rsid w:val="5C27CEB8"/>
    <w:rsid w:val="5C28142E"/>
    <w:rsid w:val="5C29097C"/>
    <w:rsid w:val="5C2ABDAF"/>
    <w:rsid w:val="5C2B28FB"/>
    <w:rsid w:val="5C2CE89D"/>
    <w:rsid w:val="5C3046A8"/>
    <w:rsid w:val="5C312E2C"/>
    <w:rsid w:val="5C322DC1"/>
    <w:rsid w:val="5C32C15D"/>
    <w:rsid w:val="5C33A9B4"/>
    <w:rsid w:val="5C35D5E5"/>
    <w:rsid w:val="5C362DBC"/>
    <w:rsid w:val="5C364C47"/>
    <w:rsid w:val="5C3714D7"/>
    <w:rsid w:val="5C37A182"/>
    <w:rsid w:val="5C3CA71A"/>
    <w:rsid w:val="5C3F75A7"/>
    <w:rsid w:val="5C425CD6"/>
    <w:rsid w:val="5C4400D0"/>
    <w:rsid w:val="5C448789"/>
    <w:rsid w:val="5C48B782"/>
    <w:rsid w:val="5C4A042C"/>
    <w:rsid w:val="5C4BAFDC"/>
    <w:rsid w:val="5C4C0274"/>
    <w:rsid w:val="5C4D5B8A"/>
    <w:rsid w:val="5C4EA2C8"/>
    <w:rsid w:val="5C4EBF07"/>
    <w:rsid w:val="5C5012B4"/>
    <w:rsid w:val="5C503BB3"/>
    <w:rsid w:val="5C50CAFF"/>
    <w:rsid w:val="5C53B09D"/>
    <w:rsid w:val="5C543F87"/>
    <w:rsid w:val="5C54B930"/>
    <w:rsid w:val="5C55833D"/>
    <w:rsid w:val="5C563684"/>
    <w:rsid w:val="5C576044"/>
    <w:rsid w:val="5C57E7FF"/>
    <w:rsid w:val="5C5994AE"/>
    <w:rsid w:val="5C59E9F4"/>
    <w:rsid w:val="5C5A14C7"/>
    <w:rsid w:val="5C5A516F"/>
    <w:rsid w:val="5C5A5709"/>
    <w:rsid w:val="5C5AD1DA"/>
    <w:rsid w:val="5C602C9C"/>
    <w:rsid w:val="5C633AA6"/>
    <w:rsid w:val="5C6565A1"/>
    <w:rsid w:val="5C6941BD"/>
    <w:rsid w:val="5C6957DE"/>
    <w:rsid w:val="5C69D16B"/>
    <w:rsid w:val="5C6B274D"/>
    <w:rsid w:val="5C6CAA53"/>
    <w:rsid w:val="5C6E5FBC"/>
    <w:rsid w:val="5C6F153C"/>
    <w:rsid w:val="5C6F841F"/>
    <w:rsid w:val="5C726279"/>
    <w:rsid w:val="5C73C1BD"/>
    <w:rsid w:val="5C74875B"/>
    <w:rsid w:val="5C74CD30"/>
    <w:rsid w:val="5C7540D5"/>
    <w:rsid w:val="5C773BDC"/>
    <w:rsid w:val="5C79C629"/>
    <w:rsid w:val="5C79CDFB"/>
    <w:rsid w:val="5C7A6235"/>
    <w:rsid w:val="5C7B5735"/>
    <w:rsid w:val="5C8178BF"/>
    <w:rsid w:val="5C8187F6"/>
    <w:rsid w:val="5C81D6FE"/>
    <w:rsid w:val="5C835040"/>
    <w:rsid w:val="5C8422C7"/>
    <w:rsid w:val="5C85E918"/>
    <w:rsid w:val="5C882A4D"/>
    <w:rsid w:val="5C8874F1"/>
    <w:rsid w:val="5C8B41FC"/>
    <w:rsid w:val="5C8B7AC7"/>
    <w:rsid w:val="5C8C3BFF"/>
    <w:rsid w:val="5C8DBC70"/>
    <w:rsid w:val="5C8EBD7C"/>
    <w:rsid w:val="5C8F75D7"/>
    <w:rsid w:val="5C8F8C91"/>
    <w:rsid w:val="5C9035AB"/>
    <w:rsid w:val="5C90FB70"/>
    <w:rsid w:val="5C924FD9"/>
    <w:rsid w:val="5C932678"/>
    <w:rsid w:val="5C935287"/>
    <w:rsid w:val="5C94D62B"/>
    <w:rsid w:val="5C962F83"/>
    <w:rsid w:val="5C98DDA0"/>
    <w:rsid w:val="5C9A822E"/>
    <w:rsid w:val="5C9AE66F"/>
    <w:rsid w:val="5C9B4A77"/>
    <w:rsid w:val="5C9D195B"/>
    <w:rsid w:val="5CA0FB41"/>
    <w:rsid w:val="5CA29825"/>
    <w:rsid w:val="5CA318CC"/>
    <w:rsid w:val="5CA36545"/>
    <w:rsid w:val="5CA573D0"/>
    <w:rsid w:val="5CA66DDE"/>
    <w:rsid w:val="5CAC5A7C"/>
    <w:rsid w:val="5CAC9ED1"/>
    <w:rsid w:val="5CB05BDE"/>
    <w:rsid w:val="5CB0A80B"/>
    <w:rsid w:val="5CB0ED68"/>
    <w:rsid w:val="5CB1D050"/>
    <w:rsid w:val="5CB65638"/>
    <w:rsid w:val="5CB79BA5"/>
    <w:rsid w:val="5CB9E596"/>
    <w:rsid w:val="5CBB88EA"/>
    <w:rsid w:val="5CBC9B0B"/>
    <w:rsid w:val="5CBD5589"/>
    <w:rsid w:val="5CBD7A29"/>
    <w:rsid w:val="5CC03A74"/>
    <w:rsid w:val="5CC19156"/>
    <w:rsid w:val="5CC2A9D8"/>
    <w:rsid w:val="5CC2EFC7"/>
    <w:rsid w:val="5CC73481"/>
    <w:rsid w:val="5CC78752"/>
    <w:rsid w:val="5CC85EEE"/>
    <w:rsid w:val="5CC85FEB"/>
    <w:rsid w:val="5CC9A679"/>
    <w:rsid w:val="5CC9AD4C"/>
    <w:rsid w:val="5CC9BE1A"/>
    <w:rsid w:val="5CCD8F7F"/>
    <w:rsid w:val="5CCFE8EF"/>
    <w:rsid w:val="5CD0FBD5"/>
    <w:rsid w:val="5CD173F8"/>
    <w:rsid w:val="5CD1E110"/>
    <w:rsid w:val="5CD1E804"/>
    <w:rsid w:val="5CD4DF63"/>
    <w:rsid w:val="5CD588F6"/>
    <w:rsid w:val="5CD76976"/>
    <w:rsid w:val="5CD81141"/>
    <w:rsid w:val="5CD91D6A"/>
    <w:rsid w:val="5CD99726"/>
    <w:rsid w:val="5CDA4459"/>
    <w:rsid w:val="5CDB9A87"/>
    <w:rsid w:val="5CDE4DCB"/>
    <w:rsid w:val="5CDE8D75"/>
    <w:rsid w:val="5CE09754"/>
    <w:rsid w:val="5CE1CC27"/>
    <w:rsid w:val="5CE487FD"/>
    <w:rsid w:val="5CE73EA6"/>
    <w:rsid w:val="5CE7950D"/>
    <w:rsid w:val="5CE7EDC1"/>
    <w:rsid w:val="5CE9465B"/>
    <w:rsid w:val="5CEA03F3"/>
    <w:rsid w:val="5CEA5903"/>
    <w:rsid w:val="5CEA5F0F"/>
    <w:rsid w:val="5CEB8D7D"/>
    <w:rsid w:val="5CEF6EEA"/>
    <w:rsid w:val="5CF07657"/>
    <w:rsid w:val="5CF12E75"/>
    <w:rsid w:val="5CF3BE6E"/>
    <w:rsid w:val="5CF4420B"/>
    <w:rsid w:val="5CF7F735"/>
    <w:rsid w:val="5CF82F44"/>
    <w:rsid w:val="5CFC3AE8"/>
    <w:rsid w:val="5CFCD261"/>
    <w:rsid w:val="5CFFAB36"/>
    <w:rsid w:val="5D00F7A5"/>
    <w:rsid w:val="5D01A9CF"/>
    <w:rsid w:val="5D027FD2"/>
    <w:rsid w:val="5D0284F0"/>
    <w:rsid w:val="5D084C11"/>
    <w:rsid w:val="5D087F45"/>
    <w:rsid w:val="5D08B007"/>
    <w:rsid w:val="5D0914A8"/>
    <w:rsid w:val="5D0B442F"/>
    <w:rsid w:val="5D0B6488"/>
    <w:rsid w:val="5D0B8B6B"/>
    <w:rsid w:val="5D0C79FD"/>
    <w:rsid w:val="5D0D4152"/>
    <w:rsid w:val="5D0E6297"/>
    <w:rsid w:val="5D112F38"/>
    <w:rsid w:val="5D13345B"/>
    <w:rsid w:val="5D13567B"/>
    <w:rsid w:val="5D13C917"/>
    <w:rsid w:val="5D13CD6A"/>
    <w:rsid w:val="5D13E885"/>
    <w:rsid w:val="5D14C9F9"/>
    <w:rsid w:val="5D172718"/>
    <w:rsid w:val="5D175618"/>
    <w:rsid w:val="5D185F6D"/>
    <w:rsid w:val="5D19CD57"/>
    <w:rsid w:val="5D1A6C29"/>
    <w:rsid w:val="5D1D3780"/>
    <w:rsid w:val="5D1E5BFC"/>
    <w:rsid w:val="5D20DEF7"/>
    <w:rsid w:val="5D218202"/>
    <w:rsid w:val="5D21EF54"/>
    <w:rsid w:val="5D260C50"/>
    <w:rsid w:val="5D28126A"/>
    <w:rsid w:val="5D28B7D5"/>
    <w:rsid w:val="5D29597B"/>
    <w:rsid w:val="5D2E34CF"/>
    <w:rsid w:val="5D2E8BCE"/>
    <w:rsid w:val="5D2FCADE"/>
    <w:rsid w:val="5D301F57"/>
    <w:rsid w:val="5D308B82"/>
    <w:rsid w:val="5D30DB32"/>
    <w:rsid w:val="5D3349BF"/>
    <w:rsid w:val="5D33645D"/>
    <w:rsid w:val="5D33B7E9"/>
    <w:rsid w:val="5D34BB67"/>
    <w:rsid w:val="5D37345B"/>
    <w:rsid w:val="5D378EED"/>
    <w:rsid w:val="5D379CF1"/>
    <w:rsid w:val="5D38499E"/>
    <w:rsid w:val="5D3BF9A2"/>
    <w:rsid w:val="5D3E80FE"/>
    <w:rsid w:val="5D3E83AA"/>
    <w:rsid w:val="5D3F7421"/>
    <w:rsid w:val="5D42AFC4"/>
    <w:rsid w:val="5D46BBB8"/>
    <w:rsid w:val="5D4850FE"/>
    <w:rsid w:val="5D49072C"/>
    <w:rsid w:val="5D493882"/>
    <w:rsid w:val="5D4DB960"/>
    <w:rsid w:val="5D503FC8"/>
    <w:rsid w:val="5D5427A5"/>
    <w:rsid w:val="5D542CB2"/>
    <w:rsid w:val="5D557AC6"/>
    <w:rsid w:val="5D55D04E"/>
    <w:rsid w:val="5D5666C8"/>
    <w:rsid w:val="5D57F214"/>
    <w:rsid w:val="5D597C49"/>
    <w:rsid w:val="5D5AE444"/>
    <w:rsid w:val="5D5B02C6"/>
    <w:rsid w:val="5D5B1D72"/>
    <w:rsid w:val="5D5D5105"/>
    <w:rsid w:val="5D5F0920"/>
    <w:rsid w:val="5D5F26C8"/>
    <w:rsid w:val="5D5F6A46"/>
    <w:rsid w:val="5D6108A2"/>
    <w:rsid w:val="5D610C0A"/>
    <w:rsid w:val="5D617347"/>
    <w:rsid w:val="5D61D35C"/>
    <w:rsid w:val="5D644CAC"/>
    <w:rsid w:val="5D655341"/>
    <w:rsid w:val="5D6592FD"/>
    <w:rsid w:val="5D660777"/>
    <w:rsid w:val="5D666F84"/>
    <w:rsid w:val="5D66BF8A"/>
    <w:rsid w:val="5D66E92B"/>
    <w:rsid w:val="5D672B80"/>
    <w:rsid w:val="5D67B172"/>
    <w:rsid w:val="5D68ADE5"/>
    <w:rsid w:val="5D6972C0"/>
    <w:rsid w:val="5D6C2821"/>
    <w:rsid w:val="5D6D5200"/>
    <w:rsid w:val="5D6E009E"/>
    <w:rsid w:val="5D6E4D81"/>
    <w:rsid w:val="5D7158C8"/>
    <w:rsid w:val="5D74CA03"/>
    <w:rsid w:val="5D772F9A"/>
    <w:rsid w:val="5D7807A0"/>
    <w:rsid w:val="5D7908D9"/>
    <w:rsid w:val="5D791AED"/>
    <w:rsid w:val="5D7954DC"/>
    <w:rsid w:val="5D7AA40E"/>
    <w:rsid w:val="5D7D29D0"/>
    <w:rsid w:val="5D7E3146"/>
    <w:rsid w:val="5D7EF641"/>
    <w:rsid w:val="5D7F2C67"/>
    <w:rsid w:val="5D820339"/>
    <w:rsid w:val="5D842DEB"/>
    <w:rsid w:val="5D88D364"/>
    <w:rsid w:val="5D890E26"/>
    <w:rsid w:val="5D8C0DC2"/>
    <w:rsid w:val="5D8C5E23"/>
    <w:rsid w:val="5D8E86EA"/>
    <w:rsid w:val="5D8EA5EB"/>
    <w:rsid w:val="5D8FB989"/>
    <w:rsid w:val="5D8FBD5A"/>
    <w:rsid w:val="5D90BA6C"/>
    <w:rsid w:val="5D939149"/>
    <w:rsid w:val="5D94B95C"/>
    <w:rsid w:val="5D95579A"/>
    <w:rsid w:val="5D96C81F"/>
    <w:rsid w:val="5D9AACCC"/>
    <w:rsid w:val="5D9B39DA"/>
    <w:rsid w:val="5D9B7D01"/>
    <w:rsid w:val="5D9C892E"/>
    <w:rsid w:val="5D9DD469"/>
    <w:rsid w:val="5D9F7A34"/>
    <w:rsid w:val="5DA10C0E"/>
    <w:rsid w:val="5DA45A22"/>
    <w:rsid w:val="5DA6D1F3"/>
    <w:rsid w:val="5DA82174"/>
    <w:rsid w:val="5DA8D729"/>
    <w:rsid w:val="5DA966A3"/>
    <w:rsid w:val="5DA9C063"/>
    <w:rsid w:val="5DAC14D7"/>
    <w:rsid w:val="5DAC4D12"/>
    <w:rsid w:val="5DAFA840"/>
    <w:rsid w:val="5DAFDBEA"/>
    <w:rsid w:val="5DB26BDF"/>
    <w:rsid w:val="5DB42D9F"/>
    <w:rsid w:val="5DB546EF"/>
    <w:rsid w:val="5DB74A59"/>
    <w:rsid w:val="5DB96008"/>
    <w:rsid w:val="5DBA2972"/>
    <w:rsid w:val="5DBAB513"/>
    <w:rsid w:val="5DBAD992"/>
    <w:rsid w:val="5DBFED55"/>
    <w:rsid w:val="5DC22BA8"/>
    <w:rsid w:val="5DC3179E"/>
    <w:rsid w:val="5DC3C98D"/>
    <w:rsid w:val="5DC453E2"/>
    <w:rsid w:val="5DC90291"/>
    <w:rsid w:val="5DCA9EDF"/>
    <w:rsid w:val="5DCADF23"/>
    <w:rsid w:val="5DCB2420"/>
    <w:rsid w:val="5DCB6A04"/>
    <w:rsid w:val="5DD00827"/>
    <w:rsid w:val="5DD06240"/>
    <w:rsid w:val="5DD15ECF"/>
    <w:rsid w:val="5DD1A5EA"/>
    <w:rsid w:val="5DD2F984"/>
    <w:rsid w:val="5DD34824"/>
    <w:rsid w:val="5DD3E1A8"/>
    <w:rsid w:val="5DD66F41"/>
    <w:rsid w:val="5DD72505"/>
    <w:rsid w:val="5DD90DFB"/>
    <w:rsid w:val="5DDB5EC7"/>
    <w:rsid w:val="5DE1B9AA"/>
    <w:rsid w:val="5DE1BFB2"/>
    <w:rsid w:val="5DE2CC97"/>
    <w:rsid w:val="5DE34B52"/>
    <w:rsid w:val="5DE441BC"/>
    <w:rsid w:val="5DE479E9"/>
    <w:rsid w:val="5DE81414"/>
    <w:rsid w:val="5DE936AB"/>
    <w:rsid w:val="5DE9B306"/>
    <w:rsid w:val="5DEA33CD"/>
    <w:rsid w:val="5DEEC454"/>
    <w:rsid w:val="5DEEC6CB"/>
    <w:rsid w:val="5DEFF27D"/>
    <w:rsid w:val="5DF059FD"/>
    <w:rsid w:val="5DF27471"/>
    <w:rsid w:val="5DF6DBC1"/>
    <w:rsid w:val="5DFD1AA8"/>
    <w:rsid w:val="5DFD369A"/>
    <w:rsid w:val="5DFF4B66"/>
    <w:rsid w:val="5E0142E7"/>
    <w:rsid w:val="5E018E79"/>
    <w:rsid w:val="5E04D3F5"/>
    <w:rsid w:val="5E0618C0"/>
    <w:rsid w:val="5E063ED3"/>
    <w:rsid w:val="5E066981"/>
    <w:rsid w:val="5E082978"/>
    <w:rsid w:val="5E08F463"/>
    <w:rsid w:val="5E095C81"/>
    <w:rsid w:val="5E0B439A"/>
    <w:rsid w:val="5E0C0AAE"/>
    <w:rsid w:val="5E0C752F"/>
    <w:rsid w:val="5E0E590C"/>
    <w:rsid w:val="5E0EE53A"/>
    <w:rsid w:val="5E10F209"/>
    <w:rsid w:val="5E11D791"/>
    <w:rsid w:val="5E128396"/>
    <w:rsid w:val="5E1336E3"/>
    <w:rsid w:val="5E16FA05"/>
    <w:rsid w:val="5E1A84E3"/>
    <w:rsid w:val="5E1AEC1D"/>
    <w:rsid w:val="5E1CA5C8"/>
    <w:rsid w:val="5E1E0B6A"/>
    <w:rsid w:val="5E1EB3BE"/>
    <w:rsid w:val="5E1EE88D"/>
    <w:rsid w:val="5E21A080"/>
    <w:rsid w:val="5E21ABDB"/>
    <w:rsid w:val="5E21DCF2"/>
    <w:rsid w:val="5E2206B3"/>
    <w:rsid w:val="5E22EAF8"/>
    <w:rsid w:val="5E23926D"/>
    <w:rsid w:val="5E25ACD6"/>
    <w:rsid w:val="5E25BB21"/>
    <w:rsid w:val="5E2605C6"/>
    <w:rsid w:val="5E27538F"/>
    <w:rsid w:val="5E289284"/>
    <w:rsid w:val="5E291DF4"/>
    <w:rsid w:val="5E2B454F"/>
    <w:rsid w:val="5E2D4E7E"/>
    <w:rsid w:val="5E2E0F39"/>
    <w:rsid w:val="5E317702"/>
    <w:rsid w:val="5E31C17F"/>
    <w:rsid w:val="5E328437"/>
    <w:rsid w:val="5E3E70A5"/>
    <w:rsid w:val="5E3F9DCA"/>
    <w:rsid w:val="5E4017F1"/>
    <w:rsid w:val="5E44394C"/>
    <w:rsid w:val="5E450200"/>
    <w:rsid w:val="5E451F8A"/>
    <w:rsid w:val="5E455179"/>
    <w:rsid w:val="5E45A827"/>
    <w:rsid w:val="5E47A28F"/>
    <w:rsid w:val="5E47EB45"/>
    <w:rsid w:val="5E48AA75"/>
    <w:rsid w:val="5E49314A"/>
    <w:rsid w:val="5E4AC019"/>
    <w:rsid w:val="5E4E4F57"/>
    <w:rsid w:val="5E50633C"/>
    <w:rsid w:val="5E50AF12"/>
    <w:rsid w:val="5E53B744"/>
    <w:rsid w:val="5E548750"/>
    <w:rsid w:val="5E54F8E2"/>
    <w:rsid w:val="5E558AFB"/>
    <w:rsid w:val="5E56EB58"/>
    <w:rsid w:val="5E58CE55"/>
    <w:rsid w:val="5E59C514"/>
    <w:rsid w:val="5E5A7EBB"/>
    <w:rsid w:val="5E5CA112"/>
    <w:rsid w:val="5E5CE753"/>
    <w:rsid w:val="5E632C5F"/>
    <w:rsid w:val="5E63B3BC"/>
    <w:rsid w:val="5E63C845"/>
    <w:rsid w:val="5E6576D3"/>
    <w:rsid w:val="5E660E9B"/>
    <w:rsid w:val="5E6637C4"/>
    <w:rsid w:val="5E68D926"/>
    <w:rsid w:val="5E6B72C8"/>
    <w:rsid w:val="5E6BF108"/>
    <w:rsid w:val="5E6C9217"/>
    <w:rsid w:val="5E6D014E"/>
    <w:rsid w:val="5E6F6D6B"/>
    <w:rsid w:val="5E70B711"/>
    <w:rsid w:val="5E711CBD"/>
    <w:rsid w:val="5E743001"/>
    <w:rsid w:val="5E75C9FE"/>
    <w:rsid w:val="5E75FEAF"/>
    <w:rsid w:val="5E760170"/>
    <w:rsid w:val="5E777AAB"/>
    <w:rsid w:val="5E7867A5"/>
    <w:rsid w:val="5E7B1CF9"/>
    <w:rsid w:val="5E7C1281"/>
    <w:rsid w:val="5E7D6A07"/>
    <w:rsid w:val="5E7EB738"/>
    <w:rsid w:val="5E7F2B79"/>
    <w:rsid w:val="5E80C150"/>
    <w:rsid w:val="5E815DCC"/>
    <w:rsid w:val="5E8391FA"/>
    <w:rsid w:val="5E84B508"/>
    <w:rsid w:val="5E84BAED"/>
    <w:rsid w:val="5E86BB93"/>
    <w:rsid w:val="5E881306"/>
    <w:rsid w:val="5E8AE59A"/>
    <w:rsid w:val="5E8BA1DC"/>
    <w:rsid w:val="5E905709"/>
    <w:rsid w:val="5E90DBE1"/>
    <w:rsid w:val="5E90EF81"/>
    <w:rsid w:val="5E93BC30"/>
    <w:rsid w:val="5E94F7AB"/>
    <w:rsid w:val="5E978EB0"/>
    <w:rsid w:val="5E9B1FD6"/>
    <w:rsid w:val="5E9BED93"/>
    <w:rsid w:val="5E9BF640"/>
    <w:rsid w:val="5E9CF29B"/>
    <w:rsid w:val="5E9E4312"/>
    <w:rsid w:val="5EA0BDF4"/>
    <w:rsid w:val="5EA23316"/>
    <w:rsid w:val="5EA33966"/>
    <w:rsid w:val="5EA360E4"/>
    <w:rsid w:val="5EA3A07A"/>
    <w:rsid w:val="5EA48903"/>
    <w:rsid w:val="5EA4EA52"/>
    <w:rsid w:val="5EA73D15"/>
    <w:rsid w:val="5EA7607E"/>
    <w:rsid w:val="5EA77401"/>
    <w:rsid w:val="5EA82862"/>
    <w:rsid w:val="5EA98846"/>
    <w:rsid w:val="5EAC2A4A"/>
    <w:rsid w:val="5EAD0B58"/>
    <w:rsid w:val="5EAE6715"/>
    <w:rsid w:val="5EB3D2EB"/>
    <w:rsid w:val="5EB4E1E9"/>
    <w:rsid w:val="5EB5811D"/>
    <w:rsid w:val="5EB5CEB2"/>
    <w:rsid w:val="5EB65E37"/>
    <w:rsid w:val="5EB84460"/>
    <w:rsid w:val="5EB8DD30"/>
    <w:rsid w:val="5EB9F366"/>
    <w:rsid w:val="5EBA77AB"/>
    <w:rsid w:val="5EBB88CE"/>
    <w:rsid w:val="5EBBEC2A"/>
    <w:rsid w:val="5EC01E4C"/>
    <w:rsid w:val="5EC0FB1D"/>
    <w:rsid w:val="5EC1B319"/>
    <w:rsid w:val="5EC1BA95"/>
    <w:rsid w:val="5EC205CC"/>
    <w:rsid w:val="5EC39931"/>
    <w:rsid w:val="5EC3C44B"/>
    <w:rsid w:val="5EC6FB66"/>
    <w:rsid w:val="5EC78630"/>
    <w:rsid w:val="5EC7F75D"/>
    <w:rsid w:val="5EC86A5A"/>
    <w:rsid w:val="5ECB6DA4"/>
    <w:rsid w:val="5ECCF717"/>
    <w:rsid w:val="5ECD6D4B"/>
    <w:rsid w:val="5ECF10DB"/>
    <w:rsid w:val="5ECFC410"/>
    <w:rsid w:val="5ED2173F"/>
    <w:rsid w:val="5ED40ECC"/>
    <w:rsid w:val="5ED4D845"/>
    <w:rsid w:val="5ED73C44"/>
    <w:rsid w:val="5ED7DACF"/>
    <w:rsid w:val="5ED8FB77"/>
    <w:rsid w:val="5EDB8284"/>
    <w:rsid w:val="5EDCA2B4"/>
    <w:rsid w:val="5EDDCFD3"/>
    <w:rsid w:val="5EDE4A92"/>
    <w:rsid w:val="5EDF4216"/>
    <w:rsid w:val="5EE38CC7"/>
    <w:rsid w:val="5EE66942"/>
    <w:rsid w:val="5EE78AA3"/>
    <w:rsid w:val="5EE8ABCB"/>
    <w:rsid w:val="5EEA98C1"/>
    <w:rsid w:val="5EEC70CF"/>
    <w:rsid w:val="5EECD2D7"/>
    <w:rsid w:val="5EEFCB45"/>
    <w:rsid w:val="5EF00581"/>
    <w:rsid w:val="5EF3318C"/>
    <w:rsid w:val="5EF359E1"/>
    <w:rsid w:val="5EF475F2"/>
    <w:rsid w:val="5EF6ECB4"/>
    <w:rsid w:val="5EF94CA8"/>
    <w:rsid w:val="5EFA6AC8"/>
    <w:rsid w:val="5EFF9DD0"/>
    <w:rsid w:val="5F039A14"/>
    <w:rsid w:val="5F056B03"/>
    <w:rsid w:val="5F05E48F"/>
    <w:rsid w:val="5F07664A"/>
    <w:rsid w:val="5F0DF2C8"/>
    <w:rsid w:val="5F0E849D"/>
    <w:rsid w:val="5F0EC9AA"/>
    <w:rsid w:val="5F101107"/>
    <w:rsid w:val="5F112DEC"/>
    <w:rsid w:val="5F129891"/>
    <w:rsid w:val="5F13DB94"/>
    <w:rsid w:val="5F1840EA"/>
    <w:rsid w:val="5F1A0903"/>
    <w:rsid w:val="5F1D6A5A"/>
    <w:rsid w:val="5F1E0434"/>
    <w:rsid w:val="5F1E86B9"/>
    <w:rsid w:val="5F1ECED0"/>
    <w:rsid w:val="5F1F7081"/>
    <w:rsid w:val="5F2040A4"/>
    <w:rsid w:val="5F21CB80"/>
    <w:rsid w:val="5F22652D"/>
    <w:rsid w:val="5F23F4C4"/>
    <w:rsid w:val="5F246BB8"/>
    <w:rsid w:val="5F24D915"/>
    <w:rsid w:val="5F255065"/>
    <w:rsid w:val="5F2AACFE"/>
    <w:rsid w:val="5F2C5EC6"/>
    <w:rsid w:val="5F2C97BB"/>
    <w:rsid w:val="5F2DA4BC"/>
    <w:rsid w:val="5F2DA6D7"/>
    <w:rsid w:val="5F2E373A"/>
    <w:rsid w:val="5F2EF0C6"/>
    <w:rsid w:val="5F2F70D0"/>
    <w:rsid w:val="5F2FC952"/>
    <w:rsid w:val="5F313AC7"/>
    <w:rsid w:val="5F318B12"/>
    <w:rsid w:val="5F320819"/>
    <w:rsid w:val="5F326119"/>
    <w:rsid w:val="5F3416E3"/>
    <w:rsid w:val="5F37550F"/>
    <w:rsid w:val="5F3756FD"/>
    <w:rsid w:val="5F389EA0"/>
    <w:rsid w:val="5F38F8D4"/>
    <w:rsid w:val="5F39D5AF"/>
    <w:rsid w:val="5F3ADB9F"/>
    <w:rsid w:val="5F3BE8B8"/>
    <w:rsid w:val="5F3D93ED"/>
    <w:rsid w:val="5F3EA0AA"/>
    <w:rsid w:val="5F3ED25E"/>
    <w:rsid w:val="5F447C9E"/>
    <w:rsid w:val="5F4510E8"/>
    <w:rsid w:val="5F459817"/>
    <w:rsid w:val="5F4B3804"/>
    <w:rsid w:val="5F4BA56C"/>
    <w:rsid w:val="5F4C1829"/>
    <w:rsid w:val="5F514A92"/>
    <w:rsid w:val="5F523722"/>
    <w:rsid w:val="5F5292DA"/>
    <w:rsid w:val="5F56657F"/>
    <w:rsid w:val="5F56C6EB"/>
    <w:rsid w:val="5F5762CE"/>
    <w:rsid w:val="5F5804DF"/>
    <w:rsid w:val="5F5918AB"/>
    <w:rsid w:val="5F5926A5"/>
    <w:rsid w:val="5F59E706"/>
    <w:rsid w:val="5F5A3B68"/>
    <w:rsid w:val="5F5AD4AC"/>
    <w:rsid w:val="5F5B448A"/>
    <w:rsid w:val="5F5DF03F"/>
    <w:rsid w:val="5F5E19C5"/>
    <w:rsid w:val="5F5EEE6F"/>
    <w:rsid w:val="5F5F5461"/>
    <w:rsid w:val="5F60841D"/>
    <w:rsid w:val="5F61F5DC"/>
    <w:rsid w:val="5F632C22"/>
    <w:rsid w:val="5F63B04C"/>
    <w:rsid w:val="5F64B0A0"/>
    <w:rsid w:val="5F64B56A"/>
    <w:rsid w:val="5F67A7D9"/>
    <w:rsid w:val="5F687350"/>
    <w:rsid w:val="5F68872E"/>
    <w:rsid w:val="5F68DADC"/>
    <w:rsid w:val="5F690EE3"/>
    <w:rsid w:val="5F6C7B5A"/>
    <w:rsid w:val="5F6EDFB1"/>
    <w:rsid w:val="5F6FF3D8"/>
    <w:rsid w:val="5F70EFC7"/>
    <w:rsid w:val="5F73B925"/>
    <w:rsid w:val="5F76F300"/>
    <w:rsid w:val="5F79508A"/>
    <w:rsid w:val="5F7DCF01"/>
    <w:rsid w:val="5F7EDF79"/>
    <w:rsid w:val="5F864D7B"/>
    <w:rsid w:val="5F8C84C0"/>
    <w:rsid w:val="5F8EBCB8"/>
    <w:rsid w:val="5F8FC0C5"/>
    <w:rsid w:val="5F900B4E"/>
    <w:rsid w:val="5F919CC8"/>
    <w:rsid w:val="5F92F102"/>
    <w:rsid w:val="5F96D112"/>
    <w:rsid w:val="5F993DEC"/>
    <w:rsid w:val="5F99F608"/>
    <w:rsid w:val="5F9B5375"/>
    <w:rsid w:val="5F9F21EA"/>
    <w:rsid w:val="5F9FA26F"/>
    <w:rsid w:val="5FA09358"/>
    <w:rsid w:val="5FA1A78F"/>
    <w:rsid w:val="5FA5CFC1"/>
    <w:rsid w:val="5FA6AD75"/>
    <w:rsid w:val="5FA6C15A"/>
    <w:rsid w:val="5FA728C1"/>
    <w:rsid w:val="5FA939C1"/>
    <w:rsid w:val="5FA9665A"/>
    <w:rsid w:val="5FAB4D68"/>
    <w:rsid w:val="5FAF2391"/>
    <w:rsid w:val="5FAF30D1"/>
    <w:rsid w:val="5FB01BC4"/>
    <w:rsid w:val="5FB16202"/>
    <w:rsid w:val="5FB176AC"/>
    <w:rsid w:val="5FB311CC"/>
    <w:rsid w:val="5FB31997"/>
    <w:rsid w:val="5FB39FD4"/>
    <w:rsid w:val="5FBA4F16"/>
    <w:rsid w:val="5FBB1676"/>
    <w:rsid w:val="5FBBD752"/>
    <w:rsid w:val="5FBDEAB1"/>
    <w:rsid w:val="5FBE92EE"/>
    <w:rsid w:val="5FBFE69E"/>
    <w:rsid w:val="5FC0715A"/>
    <w:rsid w:val="5FC09AE3"/>
    <w:rsid w:val="5FC2F097"/>
    <w:rsid w:val="5FC38AA8"/>
    <w:rsid w:val="5FC6F540"/>
    <w:rsid w:val="5FC9B309"/>
    <w:rsid w:val="5FC9FC2D"/>
    <w:rsid w:val="5FCB50DC"/>
    <w:rsid w:val="5FCEF0E8"/>
    <w:rsid w:val="5FCFEA6C"/>
    <w:rsid w:val="5FD2D5B7"/>
    <w:rsid w:val="5FD69DB6"/>
    <w:rsid w:val="5FD8B603"/>
    <w:rsid w:val="5FD92AFE"/>
    <w:rsid w:val="5FD97288"/>
    <w:rsid w:val="5FD9EB9B"/>
    <w:rsid w:val="5FDFCDFB"/>
    <w:rsid w:val="5FE19BB5"/>
    <w:rsid w:val="5FE4C0A4"/>
    <w:rsid w:val="5FE53BB3"/>
    <w:rsid w:val="5FE5DB66"/>
    <w:rsid w:val="5FE6CD19"/>
    <w:rsid w:val="5FE76FB7"/>
    <w:rsid w:val="5FE82924"/>
    <w:rsid w:val="5FEAF1B3"/>
    <w:rsid w:val="5FEC593E"/>
    <w:rsid w:val="5FEDADE7"/>
    <w:rsid w:val="5FEEADD5"/>
    <w:rsid w:val="5FEFBF1F"/>
    <w:rsid w:val="5FF02515"/>
    <w:rsid w:val="5FF06740"/>
    <w:rsid w:val="5FF70308"/>
    <w:rsid w:val="5FF84139"/>
    <w:rsid w:val="5FF8A671"/>
    <w:rsid w:val="5FFD6DFA"/>
    <w:rsid w:val="5FFF1EB7"/>
    <w:rsid w:val="5FFF782E"/>
    <w:rsid w:val="6000DB98"/>
    <w:rsid w:val="6002BCBE"/>
    <w:rsid w:val="6005F7B2"/>
    <w:rsid w:val="6006AC17"/>
    <w:rsid w:val="60070F72"/>
    <w:rsid w:val="60090D72"/>
    <w:rsid w:val="60097DC8"/>
    <w:rsid w:val="6009E1F3"/>
    <w:rsid w:val="600A20BA"/>
    <w:rsid w:val="600B1B34"/>
    <w:rsid w:val="600BC17B"/>
    <w:rsid w:val="600BD657"/>
    <w:rsid w:val="600C03F3"/>
    <w:rsid w:val="600D51F1"/>
    <w:rsid w:val="600DC0D3"/>
    <w:rsid w:val="600E7F79"/>
    <w:rsid w:val="600E8E2A"/>
    <w:rsid w:val="601044C6"/>
    <w:rsid w:val="6011FDEA"/>
    <w:rsid w:val="601265CF"/>
    <w:rsid w:val="60155B38"/>
    <w:rsid w:val="6015B209"/>
    <w:rsid w:val="60163AD9"/>
    <w:rsid w:val="601677B4"/>
    <w:rsid w:val="6016E032"/>
    <w:rsid w:val="60185F2E"/>
    <w:rsid w:val="6018CB9D"/>
    <w:rsid w:val="60190E8C"/>
    <w:rsid w:val="6019BCE7"/>
    <w:rsid w:val="6019DB89"/>
    <w:rsid w:val="601B3EDC"/>
    <w:rsid w:val="601B715E"/>
    <w:rsid w:val="601BC00B"/>
    <w:rsid w:val="601CA662"/>
    <w:rsid w:val="601CB7BE"/>
    <w:rsid w:val="6020AD52"/>
    <w:rsid w:val="602193D1"/>
    <w:rsid w:val="602269BB"/>
    <w:rsid w:val="60230E88"/>
    <w:rsid w:val="6023123D"/>
    <w:rsid w:val="602675EF"/>
    <w:rsid w:val="602835A9"/>
    <w:rsid w:val="6028751B"/>
    <w:rsid w:val="60294018"/>
    <w:rsid w:val="6029EEBE"/>
    <w:rsid w:val="602AA70C"/>
    <w:rsid w:val="602B90B7"/>
    <w:rsid w:val="6030F626"/>
    <w:rsid w:val="60315D16"/>
    <w:rsid w:val="60342E1E"/>
    <w:rsid w:val="60345680"/>
    <w:rsid w:val="60346019"/>
    <w:rsid w:val="603675CA"/>
    <w:rsid w:val="6036FAD0"/>
    <w:rsid w:val="6039FA13"/>
    <w:rsid w:val="603AEC59"/>
    <w:rsid w:val="603B218B"/>
    <w:rsid w:val="603D8991"/>
    <w:rsid w:val="60402B2E"/>
    <w:rsid w:val="6042488B"/>
    <w:rsid w:val="60425728"/>
    <w:rsid w:val="604515CF"/>
    <w:rsid w:val="604588E6"/>
    <w:rsid w:val="604AAF72"/>
    <w:rsid w:val="604C5673"/>
    <w:rsid w:val="604E172A"/>
    <w:rsid w:val="6052776A"/>
    <w:rsid w:val="605283D9"/>
    <w:rsid w:val="60552364"/>
    <w:rsid w:val="60570F9A"/>
    <w:rsid w:val="605924E2"/>
    <w:rsid w:val="605B700C"/>
    <w:rsid w:val="605C7EEF"/>
    <w:rsid w:val="605CD758"/>
    <w:rsid w:val="605D916F"/>
    <w:rsid w:val="605E6A71"/>
    <w:rsid w:val="605E8CFB"/>
    <w:rsid w:val="605FFF83"/>
    <w:rsid w:val="60652A39"/>
    <w:rsid w:val="606712B9"/>
    <w:rsid w:val="606A6568"/>
    <w:rsid w:val="606CA05A"/>
    <w:rsid w:val="606CA90D"/>
    <w:rsid w:val="606D33D9"/>
    <w:rsid w:val="606E0554"/>
    <w:rsid w:val="606E5FEC"/>
    <w:rsid w:val="606EA395"/>
    <w:rsid w:val="6073A26E"/>
    <w:rsid w:val="60774CFB"/>
    <w:rsid w:val="607B5EB5"/>
    <w:rsid w:val="607B6149"/>
    <w:rsid w:val="607D2ABA"/>
    <w:rsid w:val="607DFDA6"/>
    <w:rsid w:val="60807D6F"/>
    <w:rsid w:val="60810F24"/>
    <w:rsid w:val="608357B8"/>
    <w:rsid w:val="6087203A"/>
    <w:rsid w:val="60902875"/>
    <w:rsid w:val="60917482"/>
    <w:rsid w:val="60995212"/>
    <w:rsid w:val="609A293E"/>
    <w:rsid w:val="60A0D38B"/>
    <w:rsid w:val="60A1A4B5"/>
    <w:rsid w:val="60A24D47"/>
    <w:rsid w:val="60A5F8C0"/>
    <w:rsid w:val="60A69FF6"/>
    <w:rsid w:val="60A8831E"/>
    <w:rsid w:val="60ACD637"/>
    <w:rsid w:val="60AD6C10"/>
    <w:rsid w:val="60ADEFAA"/>
    <w:rsid w:val="60AF1506"/>
    <w:rsid w:val="60AF7C2C"/>
    <w:rsid w:val="60B165EB"/>
    <w:rsid w:val="60B26A69"/>
    <w:rsid w:val="60B49D26"/>
    <w:rsid w:val="60B6D53C"/>
    <w:rsid w:val="60B98EF0"/>
    <w:rsid w:val="60BACEE7"/>
    <w:rsid w:val="60C01427"/>
    <w:rsid w:val="60C13847"/>
    <w:rsid w:val="60C15A46"/>
    <w:rsid w:val="60C15FE5"/>
    <w:rsid w:val="60C22682"/>
    <w:rsid w:val="60C2739E"/>
    <w:rsid w:val="60C5A5F7"/>
    <w:rsid w:val="60C73900"/>
    <w:rsid w:val="60C93BB4"/>
    <w:rsid w:val="60C976A9"/>
    <w:rsid w:val="60C9CAEC"/>
    <w:rsid w:val="60CDEC2C"/>
    <w:rsid w:val="60CF6E39"/>
    <w:rsid w:val="60D0B53C"/>
    <w:rsid w:val="60D0C9D0"/>
    <w:rsid w:val="60D1A4E6"/>
    <w:rsid w:val="60D60F43"/>
    <w:rsid w:val="60D69095"/>
    <w:rsid w:val="60DA8101"/>
    <w:rsid w:val="60DB6E0E"/>
    <w:rsid w:val="60DE017F"/>
    <w:rsid w:val="60DE0589"/>
    <w:rsid w:val="60DFF02B"/>
    <w:rsid w:val="60E00212"/>
    <w:rsid w:val="60E04E72"/>
    <w:rsid w:val="60E0C7B2"/>
    <w:rsid w:val="60E435F2"/>
    <w:rsid w:val="60E52F63"/>
    <w:rsid w:val="60E647FA"/>
    <w:rsid w:val="60E91680"/>
    <w:rsid w:val="60EA2C0F"/>
    <w:rsid w:val="60F2EA84"/>
    <w:rsid w:val="60FE473C"/>
    <w:rsid w:val="60FEB63E"/>
    <w:rsid w:val="60FFBF20"/>
    <w:rsid w:val="60FFE25A"/>
    <w:rsid w:val="610183E7"/>
    <w:rsid w:val="6104EEC7"/>
    <w:rsid w:val="610735DA"/>
    <w:rsid w:val="6109B13D"/>
    <w:rsid w:val="610A5C9A"/>
    <w:rsid w:val="610A7A8B"/>
    <w:rsid w:val="610AFAAF"/>
    <w:rsid w:val="610C1AAD"/>
    <w:rsid w:val="610C6A0B"/>
    <w:rsid w:val="610E630A"/>
    <w:rsid w:val="610F0EB4"/>
    <w:rsid w:val="610F2A3F"/>
    <w:rsid w:val="61119D42"/>
    <w:rsid w:val="6112BF70"/>
    <w:rsid w:val="6113114C"/>
    <w:rsid w:val="61150DAD"/>
    <w:rsid w:val="61154974"/>
    <w:rsid w:val="61175BA6"/>
    <w:rsid w:val="6119F4C7"/>
    <w:rsid w:val="611BEB42"/>
    <w:rsid w:val="611C8715"/>
    <w:rsid w:val="611CD06A"/>
    <w:rsid w:val="611D4B1A"/>
    <w:rsid w:val="611EC856"/>
    <w:rsid w:val="61222003"/>
    <w:rsid w:val="6123706A"/>
    <w:rsid w:val="61239B27"/>
    <w:rsid w:val="61248370"/>
    <w:rsid w:val="6124F18F"/>
    <w:rsid w:val="6126447C"/>
    <w:rsid w:val="61272412"/>
    <w:rsid w:val="6127B8A3"/>
    <w:rsid w:val="61285451"/>
    <w:rsid w:val="612BEF37"/>
    <w:rsid w:val="612F4372"/>
    <w:rsid w:val="612F5953"/>
    <w:rsid w:val="613137D9"/>
    <w:rsid w:val="61315E0C"/>
    <w:rsid w:val="613277AC"/>
    <w:rsid w:val="6133D8E3"/>
    <w:rsid w:val="6135487F"/>
    <w:rsid w:val="61359FE2"/>
    <w:rsid w:val="613762C2"/>
    <w:rsid w:val="6139A127"/>
    <w:rsid w:val="613FF6DF"/>
    <w:rsid w:val="6141C13A"/>
    <w:rsid w:val="6141DD8F"/>
    <w:rsid w:val="61428A91"/>
    <w:rsid w:val="6142CB61"/>
    <w:rsid w:val="61430D47"/>
    <w:rsid w:val="61439AA5"/>
    <w:rsid w:val="614410B2"/>
    <w:rsid w:val="61442CC7"/>
    <w:rsid w:val="61480EA9"/>
    <w:rsid w:val="61488BA9"/>
    <w:rsid w:val="614A4DE7"/>
    <w:rsid w:val="614CB55E"/>
    <w:rsid w:val="614D4C54"/>
    <w:rsid w:val="614FC8A0"/>
    <w:rsid w:val="6150C2F3"/>
    <w:rsid w:val="6150C4AF"/>
    <w:rsid w:val="6150F4CD"/>
    <w:rsid w:val="6152CC02"/>
    <w:rsid w:val="61532965"/>
    <w:rsid w:val="6154D139"/>
    <w:rsid w:val="61558009"/>
    <w:rsid w:val="61563732"/>
    <w:rsid w:val="61567C8D"/>
    <w:rsid w:val="61576783"/>
    <w:rsid w:val="61590898"/>
    <w:rsid w:val="615B1C3C"/>
    <w:rsid w:val="615CA7E7"/>
    <w:rsid w:val="615CD95F"/>
    <w:rsid w:val="615D9875"/>
    <w:rsid w:val="615E6C5E"/>
    <w:rsid w:val="615E6CDA"/>
    <w:rsid w:val="615F3B36"/>
    <w:rsid w:val="615F8742"/>
    <w:rsid w:val="616036BC"/>
    <w:rsid w:val="6162B4D0"/>
    <w:rsid w:val="6163B31B"/>
    <w:rsid w:val="61648A4F"/>
    <w:rsid w:val="6165AE0E"/>
    <w:rsid w:val="6165D7F9"/>
    <w:rsid w:val="6167F3AB"/>
    <w:rsid w:val="616CFD7E"/>
    <w:rsid w:val="616E0473"/>
    <w:rsid w:val="6172E7AE"/>
    <w:rsid w:val="61754DF6"/>
    <w:rsid w:val="6176F192"/>
    <w:rsid w:val="61770265"/>
    <w:rsid w:val="61772ECA"/>
    <w:rsid w:val="61776528"/>
    <w:rsid w:val="6177E997"/>
    <w:rsid w:val="6178F1FD"/>
    <w:rsid w:val="6179440D"/>
    <w:rsid w:val="6179BECF"/>
    <w:rsid w:val="617C8973"/>
    <w:rsid w:val="617CBB79"/>
    <w:rsid w:val="617ECC83"/>
    <w:rsid w:val="61820390"/>
    <w:rsid w:val="61855C46"/>
    <w:rsid w:val="6188562A"/>
    <w:rsid w:val="61886D9A"/>
    <w:rsid w:val="618A9999"/>
    <w:rsid w:val="618B915F"/>
    <w:rsid w:val="618CB157"/>
    <w:rsid w:val="6190E9E9"/>
    <w:rsid w:val="6192B092"/>
    <w:rsid w:val="6193CE3B"/>
    <w:rsid w:val="6195F166"/>
    <w:rsid w:val="61971468"/>
    <w:rsid w:val="619929B4"/>
    <w:rsid w:val="61996C28"/>
    <w:rsid w:val="6199EF75"/>
    <w:rsid w:val="619B19CD"/>
    <w:rsid w:val="61A0F82E"/>
    <w:rsid w:val="61A25737"/>
    <w:rsid w:val="61A45341"/>
    <w:rsid w:val="61A47DCE"/>
    <w:rsid w:val="61A54768"/>
    <w:rsid w:val="61A56713"/>
    <w:rsid w:val="61A5967D"/>
    <w:rsid w:val="61A6F96A"/>
    <w:rsid w:val="61A79039"/>
    <w:rsid w:val="61A82886"/>
    <w:rsid w:val="61A84ADA"/>
    <w:rsid w:val="61AD9F34"/>
    <w:rsid w:val="61AE29E7"/>
    <w:rsid w:val="61AFFB6C"/>
    <w:rsid w:val="61B03F5E"/>
    <w:rsid w:val="61B27828"/>
    <w:rsid w:val="61B2E8A4"/>
    <w:rsid w:val="61B4F604"/>
    <w:rsid w:val="61B525C2"/>
    <w:rsid w:val="61B75211"/>
    <w:rsid w:val="61B9A775"/>
    <w:rsid w:val="61BD0CE6"/>
    <w:rsid w:val="61BD12FC"/>
    <w:rsid w:val="61BDB5A4"/>
    <w:rsid w:val="61BF72AF"/>
    <w:rsid w:val="61BFCBDC"/>
    <w:rsid w:val="61C11A10"/>
    <w:rsid w:val="61C38300"/>
    <w:rsid w:val="61C53B42"/>
    <w:rsid w:val="61C8447F"/>
    <w:rsid w:val="61C876ED"/>
    <w:rsid w:val="61C9764F"/>
    <w:rsid w:val="61CB42F2"/>
    <w:rsid w:val="61CCA7C2"/>
    <w:rsid w:val="61CEB439"/>
    <w:rsid w:val="61CF7994"/>
    <w:rsid w:val="61D0E84E"/>
    <w:rsid w:val="61D10C3B"/>
    <w:rsid w:val="61D12BF5"/>
    <w:rsid w:val="61D5174B"/>
    <w:rsid w:val="61D639A8"/>
    <w:rsid w:val="61D640F1"/>
    <w:rsid w:val="61DB1FF8"/>
    <w:rsid w:val="61DC36A2"/>
    <w:rsid w:val="61E01730"/>
    <w:rsid w:val="61E1134E"/>
    <w:rsid w:val="61E42014"/>
    <w:rsid w:val="61E72AD5"/>
    <w:rsid w:val="61E77B1D"/>
    <w:rsid w:val="61E7EF52"/>
    <w:rsid w:val="61EA031C"/>
    <w:rsid w:val="61ED492F"/>
    <w:rsid w:val="61EDCA96"/>
    <w:rsid w:val="61EDF454"/>
    <w:rsid w:val="61EF47B4"/>
    <w:rsid w:val="61F08EF2"/>
    <w:rsid w:val="61F2A87B"/>
    <w:rsid w:val="61F66D9D"/>
    <w:rsid w:val="61F6D9D1"/>
    <w:rsid w:val="61F84B8E"/>
    <w:rsid w:val="61FA19D8"/>
    <w:rsid w:val="61FAB56A"/>
    <w:rsid w:val="61FBF8E4"/>
    <w:rsid w:val="61FFC39A"/>
    <w:rsid w:val="62006032"/>
    <w:rsid w:val="6201B7DA"/>
    <w:rsid w:val="6201E939"/>
    <w:rsid w:val="62030A1E"/>
    <w:rsid w:val="6204F4BB"/>
    <w:rsid w:val="6205B728"/>
    <w:rsid w:val="62079ADB"/>
    <w:rsid w:val="6208CE77"/>
    <w:rsid w:val="62099E0D"/>
    <w:rsid w:val="620E2525"/>
    <w:rsid w:val="6213EA2C"/>
    <w:rsid w:val="6214E16D"/>
    <w:rsid w:val="6214F9E0"/>
    <w:rsid w:val="6215058A"/>
    <w:rsid w:val="621529BC"/>
    <w:rsid w:val="6217654C"/>
    <w:rsid w:val="621791EE"/>
    <w:rsid w:val="62195077"/>
    <w:rsid w:val="62196DE8"/>
    <w:rsid w:val="621AD048"/>
    <w:rsid w:val="621D9416"/>
    <w:rsid w:val="621E697D"/>
    <w:rsid w:val="621FE3F0"/>
    <w:rsid w:val="622028F4"/>
    <w:rsid w:val="6220981B"/>
    <w:rsid w:val="6228EFCC"/>
    <w:rsid w:val="62292ADB"/>
    <w:rsid w:val="622C1481"/>
    <w:rsid w:val="622C4D57"/>
    <w:rsid w:val="6230A75B"/>
    <w:rsid w:val="6231718E"/>
    <w:rsid w:val="6233A395"/>
    <w:rsid w:val="62349DBF"/>
    <w:rsid w:val="62355265"/>
    <w:rsid w:val="62368548"/>
    <w:rsid w:val="62390366"/>
    <w:rsid w:val="623A2090"/>
    <w:rsid w:val="623BA3C2"/>
    <w:rsid w:val="623BB9E5"/>
    <w:rsid w:val="623CF5C6"/>
    <w:rsid w:val="623E415C"/>
    <w:rsid w:val="623E46DA"/>
    <w:rsid w:val="624576A7"/>
    <w:rsid w:val="6245C5FB"/>
    <w:rsid w:val="624E2B4E"/>
    <w:rsid w:val="62501848"/>
    <w:rsid w:val="62546074"/>
    <w:rsid w:val="62555A26"/>
    <w:rsid w:val="62583534"/>
    <w:rsid w:val="6259D7AF"/>
    <w:rsid w:val="625BA10C"/>
    <w:rsid w:val="625CBAE3"/>
    <w:rsid w:val="625E3509"/>
    <w:rsid w:val="625EEC27"/>
    <w:rsid w:val="625EFAAB"/>
    <w:rsid w:val="62609D67"/>
    <w:rsid w:val="62612211"/>
    <w:rsid w:val="62630EBC"/>
    <w:rsid w:val="6263F7B2"/>
    <w:rsid w:val="6266002F"/>
    <w:rsid w:val="62678912"/>
    <w:rsid w:val="626A9FD1"/>
    <w:rsid w:val="626AAADF"/>
    <w:rsid w:val="626C9FCA"/>
    <w:rsid w:val="626CC664"/>
    <w:rsid w:val="626D9FE9"/>
    <w:rsid w:val="626E9403"/>
    <w:rsid w:val="626F180F"/>
    <w:rsid w:val="62727568"/>
    <w:rsid w:val="6272FC48"/>
    <w:rsid w:val="6275401E"/>
    <w:rsid w:val="62759CB1"/>
    <w:rsid w:val="62785EE2"/>
    <w:rsid w:val="62794E0C"/>
    <w:rsid w:val="62798CD2"/>
    <w:rsid w:val="627B9EE5"/>
    <w:rsid w:val="627C1B37"/>
    <w:rsid w:val="62806E43"/>
    <w:rsid w:val="62815413"/>
    <w:rsid w:val="62819185"/>
    <w:rsid w:val="628397CC"/>
    <w:rsid w:val="6284AA8E"/>
    <w:rsid w:val="6285DAEA"/>
    <w:rsid w:val="6287D788"/>
    <w:rsid w:val="628B615B"/>
    <w:rsid w:val="628D6A88"/>
    <w:rsid w:val="628F8EC7"/>
    <w:rsid w:val="629222D5"/>
    <w:rsid w:val="62A00458"/>
    <w:rsid w:val="62A27B4F"/>
    <w:rsid w:val="62A2B31F"/>
    <w:rsid w:val="62A63FE1"/>
    <w:rsid w:val="62A6E9D6"/>
    <w:rsid w:val="62A71535"/>
    <w:rsid w:val="62ABFE15"/>
    <w:rsid w:val="62AF6207"/>
    <w:rsid w:val="62B23B14"/>
    <w:rsid w:val="62B6D1DF"/>
    <w:rsid w:val="62B6D276"/>
    <w:rsid w:val="62B83F46"/>
    <w:rsid w:val="62B9D94F"/>
    <w:rsid w:val="62BABCC2"/>
    <w:rsid w:val="62BD2A46"/>
    <w:rsid w:val="62BE7B15"/>
    <w:rsid w:val="62BF4594"/>
    <w:rsid w:val="62BFEFC8"/>
    <w:rsid w:val="62C07CD7"/>
    <w:rsid w:val="62C5C0A6"/>
    <w:rsid w:val="62CA82A9"/>
    <w:rsid w:val="62CB34A8"/>
    <w:rsid w:val="62CBD20C"/>
    <w:rsid w:val="62CCEC82"/>
    <w:rsid w:val="62CD18B6"/>
    <w:rsid w:val="62CDF72A"/>
    <w:rsid w:val="62CF3299"/>
    <w:rsid w:val="62D10C15"/>
    <w:rsid w:val="62D30092"/>
    <w:rsid w:val="62D4A629"/>
    <w:rsid w:val="62D4DD00"/>
    <w:rsid w:val="62D9AC95"/>
    <w:rsid w:val="62D9E2F5"/>
    <w:rsid w:val="62DC5F89"/>
    <w:rsid w:val="62DDF709"/>
    <w:rsid w:val="62DFFDB7"/>
    <w:rsid w:val="62E2D784"/>
    <w:rsid w:val="62E8D58B"/>
    <w:rsid w:val="62E99037"/>
    <w:rsid w:val="62EE9C60"/>
    <w:rsid w:val="62F193F5"/>
    <w:rsid w:val="62F2A2C7"/>
    <w:rsid w:val="62F3D29F"/>
    <w:rsid w:val="62F43EDD"/>
    <w:rsid w:val="62F4A825"/>
    <w:rsid w:val="62F63023"/>
    <w:rsid w:val="62F7A70B"/>
    <w:rsid w:val="62F7B006"/>
    <w:rsid w:val="62F7E3C9"/>
    <w:rsid w:val="62F872B2"/>
    <w:rsid w:val="62F8BFA3"/>
    <w:rsid w:val="62FA690A"/>
    <w:rsid w:val="62FB7FED"/>
    <w:rsid w:val="62FBB107"/>
    <w:rsid w:val="62FC045F"/>
    <w:rsid w:val="62FCA7D0"/>
    <w:rsid w:val="62FCDDB1"/>
    <w:rsid w:val="62FEDB59"/>
    <w:rsid w:val="63002329"/>
    <w:rsid w:val="630114D8"/>
    <w:rsid w:val="63017D0F"/>
    <w:rsid w:val="6304183F"/>
    <w:rsid w:val="6306BBC1"/>
    <w:rsid w:val="6309BFB2"/>
    <w:rsid w:val="630CAEFD"/>
    <w:rsid w:val="6310B951"/>
    <w:rsid w:val="6310CDA7"/>
    <w:rsid w:val="6310F601"/>
    <w:rsid w:val="631452BE"/>
    <w:rsid w:val="6314FC24"/>
    <w:rsid w:val="6317643A"/>
    <w:rsid w:val="6318B17A"/>
    <w:rsid w:val="631A850B"/>
    <w:rsid w:val="631F23B7"/>
    <w:rsid w:val="631F8A76"/>
    <w:rsid w:val="6320D318"/>
    <w:rsid w:val="6320E218"/>
    <w:rsid w:val="6322F579"/>
    <w:rsid w:val="6325AC8E"/>
    <w:rsid w:val="6327A512"/>
    <w:rsid w:val="63281F4F"/>
    <w:rsid w:val="6328CB54"/>
    <w:rsid w:val="6328CCE2"/>
    <w:rsid w:val="63297466"/>
    <w:rsid w:val="632E91F7"/>
    <w:rsid w:val="632FBDFA"/>
    <w:rsid w:val="6334E8F7"/>
    <w:rsid w:val="633680DE"/>
    <w:rsid w:val="63392D4D"/>
    <w:rsid w:val="633A7C97"/>
    <w:rsid w:val="633A8DDF"/>
    <w:rsid w:val="633E9942"/>
    <w:rsid w:val="63414C66"/>
    <w:rsid w:val="63453BF7"/>
    <w:rsid w:val="6345A20A"/>
    <w:rsid w:val="6346282E"/>
    <w:rsid w:val="634AB2C9"/>
    <w:rsid w:val="634DCE28"/>
    <w:rsid w:val="634E55AA"/>
    <w:rsid w:val="634F1376"/>
    <w:rsid w:val="63537B65"/>
    <w:rsid w:val="63539B9F"/>
    <w:rsid w:val="6353D003"/>
    <w:rsid w:val="6355B836"/>
    <w:rsid w:val="63586E67"/>
    <w:rsid w:val="635A7E97"/>
    <w:rsid w:val="635C210D"/>
    <w:rsid w:val="635C9ABB"/>
    <w:rsid w:val="635F4C0C"/>
    <w:rsid w:val="6362891A"/>
    <w:rsid w:val="6364435B"/>
    <w:rsid w:val="63646814"/>
    <w:rsid w:val="63649782"/>
    <w:rsid w:val="63659C0A"/>
    <w:rsid w:val="6365D1DF"/>
    <w:rsid w:val="6366D1B0"/>
    <w:rsid w:val="63687587"/>
    <w:rsid w:val="636A1578"/>
    <w:rsid w:val="636A405B"/>
    <w:rsid w:val="636A9851"/>
    <w:rsid w:val="636C22F6"/>
    <w:rsid w:val="636C6B98"/>
    <w:rsid w:val="636D5F8F"/>
    <w:rsid w:val="636DFD25"/>
    <w:rsid w:val="636E41EE"/>
    <w:rsid w:val="636F0D74"/>
    <w:rsid w:val="636F17AF"/>
    <w:rsid w:val="637081BC"/>
    <w:rsid w:val="63712FD9"/>
    <w:rsid w:val="63714065"/>
    <w:rsid w:val="63738889"/>
    <w:rsid w:val="637401B1"/>
    <w:rsid w:val="63759BA4"/>
    <w:rsid w:val="6378C899"/>
    <w:rsid w:val="637AECA4"/>
    <w:rsid w:val="637BCD75"/>
    <w:rsid w:val="637CFC11"/>
    <w:rsid w:val="637DDC6E"/>
    <w:rsid w:val="637E050D"/>
    <w:rsid w:val="637E24C8"/>
    <w:rsid w:val="637EF7F9"/>
    <w:rsid w:val="63807210"/>
    <w:rsid w:val="63807D10"/>
    <w:rsid w:val="63808557"/>
    <w:rsid w:val="6380DA8B"/>
    <w:rsid w:val="6380FA34"/>
    <w:rsid w:val="63818CFA"/>
    <w:rsid w:val="6382B349"/>
    <w:rsid w:val="638381EE"/>
    <w:rsid w:val="638462E9"/>
    <w:rsid w:val="6385505E"/>
    <w:rsid w:val="63873F5E"/>
    <w:rsid w:val="638B303D"/>
    <w:rsid w:val="638C55B0"/>
    <w:rsid w:val="638CEA9C"/>
    <w:rsid w:val="638ED04D"/>
    <w:rsid w:val="63926C3E"/>
    <w:rsid w:val="6396F74F"/>
    <w:rsid w:val="6397FE2C"/>
    <w:rsid w:val="639867C3"/>
    <w:rsid w:val="6399204B"/>
    <w:rsid w:val="639929E3"/>
    <w:rsid w:val="63A118F2"/>
    <w:rsid w:val="63A194AC"/>
    <w:rsid w:val="63A26BB9"/>
    <w:rsid w:val="63A2B804"/>
    <w:rsid w:val="63A2CFBF"/>
    <w:rsid w:val="63A36435"/>
    <w:rsid w:val="63A3A17B"/>
    <w:rsid w:val="63A3D085"/>
    <w:rsid w:val="63A3DBDC"/>
    <w:rsid w:val="63A65E87"/>
    <w:rsid w:val="63A69A64"/>
    <w:rsid w:val="63A7A800"/>
    <w:rsid w:val="63A9B69D"/>
    <w:rsid w:val="63AAEAAF"/>
    <w:rsid w:val="63ABFFEA"/>
    <w:rsid w:val="63AC21FA"/>
    <w:rsid w:val="63AD2119"/>
    <w:rsid w:val="63AE932D"/>
    <w:rsid w:val="63AEC863"/>
    <w:rsid w:val="63B054B9"/>
    <w:rsid w:val="63B07695"/>
    <w:rsid w:val="63B0FD9E"/>
    <w:rsid w:val="63B158C9"/>
    <w:rsid w:val="63B40E0F"/>
    <w:rsid w:val="63B46270"/>
    <w:rsid w:val="63B61DEF"/>
    <w:rsid w:val="63B7C7C5"/>
    <w:rsid w:val="63B9373C"/>
    <w:rsid w:val="63BB0A79"/>
    <w:rsid w:val="63BBAD33"/>
    <w:rsid w:val="63BC863C"/>
    <w:rsid w:val="63BD3386"/>
    <w:rsid w:val="63BDA57D"/>
    <w:rsid w:val="63BEF608"/>
    <w:rsid w:val="63C7AB6F"/>
    <w:rsid w:val="63CB5BA4"/>
    <w:rsid w:val="63CB71EB"/>
    <w:rsid w:val="63CD799A"/>
    <w:rsid w:val="63CF948E"/>
    <w:rsid w:val="63CFF14B"/>
    <w:rsid w:val="63D18827"/>
    <w:rsid w:val="63D31DB3"/>
    <w:rsid w:val="63D5C04E"/>
    <w:rsid w:val="63D670DC"/>
    <w:rsid w:val="63D6EEDD"/>
    <w:rsid w:val="63D96768"/>
    <w:rsid w:val="63DCDD00"/>
    <w:rsid w:val="63DE48E3"/>
    <w:rsid w:val="63DE60F1"/>
    <w:rsid w:val="63DF3EC6"/>
    <w:rsid w:val="63DF9E56"/>
    <w:rsid w:val="63E0AD2F"/>
    <w:rsid w:val="63E1C79D"/>
    <w:rsid w:val="63E2D0D7"/>
    <w:rsid w:val="63E34BD5"/>
    <w:rsid w:val="63E47A77"/>
    <w:rsid w:val="63E4A486"/>
    <w:rsid w:val="63E83BE8"/>
    <w:rsid w:val="63E8ADF4"/>
    <w:rsid w:val="63E9A3D2"/>
    <w:rsid w:val="63E9AC4A"/>
    <w:rsid w:val="63EB9BD1"/>
    <w:rsid w:val="63ED3EAC"/>
    <w:rsid w:val="63EDEAD2"/>
    <w:rsid w:val="63EE1B65"/>
    <w:rsid w:val="63F1A66A"/>
    <w:rsid w:val="63F70608"/>
    <w:rsid w:val="63FA21F2"/>
    <w:rsid w:val="63FB208A"/>
    <w:rsid w:val="63FC78DE"/>
    <w:rsid w:val="63FE9427"/>
    <w:rsid w:val="6401C88C"/>
    <w:rsid w:val="6403856A"/>
    <w:rsid w:val="64041FC9"/>
    <w:rsid w:val="6408C9E6"/>
    <w:rsid w:val="64091C7E"/>
    <w:rsid w:val="640AD71A"/>
    <w:rsid w:val="640D4A2F"/>
    <w:rsid w:val="640D9903"/>
    <w:rsid w:val="64111D3C"/>
    <w:rsid w:val="6412667B"/>
    <w:rsid w:val="6413875F"/>
    <w:rsid w:val="6413DFD3"/>
    <w:rsid w:val="64141391"/>
    <w:rsid w:val="641419C3"/>
    <w:rsid w:val="6414E229"/>
    <w:rsid w:val="64166F2E"/>
    <w:rsid w:val="64181E0D"/>
    <w:rsid w:val="641A0B37"/>
    <w:rsid w:val="641A4421"/>
    <w:rsid w:val="641B7069"/>
    <w:rsid w:val="641D5764"/>
    <w:rsid w:val="641DFCAA"/>
    <w:rsid w:val="641F582C"/>
    <w:rsid w:val="641F9224"/>
    <w:rsid w:val="642173FC"/>
    <w:rsid w:val="64265F8F"/>
    <w:rsid w:val="6427522C"/>
    <w:rsid w:val="6428ABEA"/>
    <w:rsid w:val="642B02C8"/>
    <w:rsid w:val="642C5C75"/>
    <w:rsid w:val="642D53B5"/>
    <w:rsid w:val="642DAE57"/>
    <w:rsid w:val="642FF34C"/>
    <w:rsid w:val="6430D45D"/>
    <w:rsid w:val="643190E1"/>
    <w:rsid w:val="64321D6A"/>
    <w:rsid w:val="6432E97D"/>
    <w:rsid w:val="64341757"/>
    <w:rsid w:val="643550C6"/>
    <w:rsid w:val="6436E4B4"/>
    <w:rsid w:val="64399E56"/>
    <w:rsid w:val="643A9EFF"/>
    <w:rsid w:val="643B55D7"/>
    <w:rsid w:val="643BCBDE"/>
    <w:rsid w:val="643D8141"/>
    <w:rsid w:val="643EB8ED"/>
    <w:rsid w:val="643F7DE1"/>
    <w:rsid w:val="643FEC92"/>
    <w:rsid w:val="6441151B"/>
    <w:rsid w:val="6441400F"/>
    <w:rsid w:val="6443BC1F"/>
    <w:rsid w:val="644587FC"/>
    <w:rsid w:val="64459DD5"/>
    <w:rsid w:val="64463822"/>
    <w:rsid w:val="6447765A"/>
    <w:rsid w:val="64496C9F"/>
    <w:rsid w:val="644A05FF"/>
    <w:rsid w:val="6450E5F6"/>
    <w:rsid w:val="645128BB"/>
    <w:rsid w:val="6451BFF4"/>
    <w:rsid w:val="6452CE1C"/>
    <w:rsid w:val="645767E8"/>
    <w:rsid w:val="64578A06"/>
    <w:rsid w:val="6458F99D"/>
    <w:rsid w:val="6459995D"/>
    <w:rsid w:val="6459C5DE"/>
    <w:rsid w:val="645C4B8C"/>
    <w:rsid w:val="645C5174"/>
    <w:rsid w:val="645CD6F1"/>
    <w:rsid w:val="645DB106"/>
    <w:rsid w:val="645DD2BE"/>
    <w:rsid w:val="64610BFD"/>
    <w:rsid w:val="6461EF75"/>
    <w:rsid w:val="6462204C"/>
    <w:rsid w:val="64654869"/>
    <w:rsid w:val="64657201"/>
    <w:rsid w:val="6466C701"/>
    <w:rsid w:val="64690758"/>
    <w:rsid w:val="646D0E47"/>
    <w:rsid w:val="646D7746"/>
    <w:rsid w:val="646E1A3A"/>
    <w:rsid w:val="646FA620"/>
    <w:rsid w:val="64723BA8"/>
    <w:rsid w:val="6474AF27"/>
    <w:rsid w:val="64753BD3"/>
    <w:rsid w:val="6476B512"/>
    <w:rsid w:val="647BB04E"/>
    <w:rsid w:val="647C091E"/>
    <w:rsid w:val="647C7BB9"/>
    <w:rsid w:val="6484A540"/>
    <w:rsid w:val="64856220"/>
    <w:rsid w:val="64858829"/>
    <w:rsid w:val="6485DACA"/>
    <w:rsid w:val="6485E265"/>
    <w:rsid w:val="64860743"/>
    <w:rsid w:val="64886399"/>
    <w:rsid w:val="648AC9B5"/>
    <w:rsid w:val="648B3935"/>
    <w:rsid w:val="648D5625"/>
    <w:rsid w:val="648E1DE9"/>
    <w:rsid w:val="648FC642"/>
    <w:rsid w:val="64900483"/>
    <w:rsid w:val="6490A46D"/>
    <w:rsid w:val="64914B97"/>
    <w:rsid w:val="6491890B"/>
    <w:rsid w:val="649227BC"/>
    <w:rsid w:val="64933BD3"/>
    <w:rsid w:val="6493FF9B"/>
    <w:rsid w:val="64995E8B"/>
    <w:rsid w:val="649A52C0"/>
    <w:rsid w:val="649A641A"/>
    <w:rsid w:val="649AFDBE"/>
    <w:rsid w:val="649C5DAC"/>
    <w:rsid w:val="649E73D6"/>
    <w:rsid w:val="64A07212"/>
    <w:rsid w:val="64A3FE5E"/>
    <w:rsid w:val="64A49194"/>
    <w:rsid w:val="64A5F966"/>
    <w:rsid w:val="64A730DC"/>
    <w:rsid w:val="64A74D7C"/>
    <w:rsid w:val="64A78018"/>
    <w:rsid w:val="64AACB72"/>
    <w:rsid w:val="64AAE372"/>
    <w:rsid w:val="64AB051E"/>
    <w:rsid w:val="64AB317C"/>
    <w:rsid w:val="64ABD248"/>
    <w:rsid w:val="64AD9167"/>
    <w:rsid w:val="64AF975E"/>
    <w:rsid w:val="64B19879"/>
    <w:rsid w:val="64B2610B"/>
    <w:rsid w:val="64B312E7"/>
    <w:rsid w:val="64B3F669"/>
    <w:rsid w:val="64B4B88C"/>
    <w:rsid w:val="64B5ED5E"/>
    <w:rsid w:val="64B6FD2C"/>
    <w:rsid w:val="64B7DE5A"/>
    <w:rsid w:val="64B7F5AD"/>
    <w:rsid w:val="64B8868F"/>
    <w:rsid w:val="64B8BEBC"/>
    <w:rsid w:val="64B8C723"/>
    <w:rsid w:val="64B932A2"/>
    <w:rsid w:val="64B9EAF3"/>
    <w:rsid w:val="64BACBF5"/>
    <w:rsid w:val="64BB400D"/>
    <w:rsid w:val="64BB7A67"/>
    <w:rsid w:val="64BE416C"/>
    <w:rsid w:val="64BF905D"/>
    <w:rsid w:val="64C1F36B"/>
    <w:rsid w:val="64C205C1"/>
    <w:rsid w:val="64C414B5"/>
    <w:rsid w:val="64C43466"/>
    <w:rsid w:val="64C4AD5A"/>
    <w:rsid w:val="64C51DF7"/>
    <w:rsid w:val="64C5CF6D"/>
    <w:rsid w:val="64C5D0FD"/>
    <w:rsid w:val="64C7BFC8"/>
    <w:rsid w:val="64C97773"/>
    <w:rsid w:val="64C9A761"/>
    <w:rsid w:val="64CACA4D"/>
    <w:rsid w:val="64CBC9C3"/>
    <w:rsid w:val="64CCCCC1"/>
    <w:rsid w:val="64CD129F"/>
    <w:rsid w:val="64CD9E22"/>
    <w:rsid w:val="64CDE9F0"/>
    <w:rsid w:val="64CE5C9E"/>
    <w:rsid w:val="64CE8B89"/>
    <w:rsid w:val="64CF15AA"/>
    <w:rsid w:val="64CF8D82"/>
    <w:rsid w:val="64CFAF47"/>
    <w:rsid w:val="64D02B51"/>
    <w:rsid w:val="64D4011F"/>
    <w:rsid w:val="64D4032D"/>
    <w:rsid w:val="64D73E49"/>
    <w:rsid w:val="64D76447"/>
    <w:rsid w:val="64D87E4C"/>
    <w:rsid w:val="64DAC0C4"/>
    <w:rsid w:val="64DB1259"/>
    <w:rsid w:val="64DE3CE0"/>
    <w:rsid w:val="64DF46F7"/>
    <w:rsid w:val="64DF724A"/>
    <w:rsid w:val="64E05A54"/>
    <w:rsid w:val="64E2859A"/>
    <w:rsid w:val="64E483AF"/>
    <w:rsid w:val="64E48FD8"/>
    <w:rsid w:val="64E670B0"/>
    <w:rsid w:val="64E7C13E"/>
    <w:rsid w:val="64E900AB"/>
    <w:rsid w:val="64E92458"/>
    <w:rsid w:val="64E9D40A"/>
    <w:rsid w:val="64ECD410"/>
    <w:rsid w:val="64EF3563"/>
    <w:rsid w:val="64F2AC15"/>
    <w:rsid w:val="64F30ED4"/>
    <w:rsid w:val="64F33B5D"/>
    <w:rsid w:val="64F4BA5F"/>
    <w:rsid w:val="64F523BE"/>
    <w:rsid w:val="64F6693E"/>
    <w:rsid w:val="64F8DB26"/>
    <w:rsid w:val="64F97D53"/>
    <w:rsid w:val="64FBB8CC"/>
    <w:rsid w:val="64FC8F02"/>
    <w:rsid w:val="64FDB6DA"/>
    <w:rsid w:val="64FDBFE5"/>
    <w:rsid w:val="64FE8F44"/>
    <w:rsid w:val="65000428"/>
    <w:rsid w:val="6501A9F5"/>
    <w:rsid w:val="6502FFE8"/>
    <w:rsid w:val="6505E3A4"/>
    <w:rsid w:val="65075824"/>
    <w:rsid w:val="650A34EA"/>
    <w:rsid w:val="650B42D0"/>
    <w:rsid w:val="650C164E"/>
    <w:rsid w:val="650D04D9"/>
    <w:rsid w:val="650FFF9B"/>
    <w:rsid w:val="65117032"/>
    <w:rsid w:val="6511D3C0"/>
    <w:rsid w:val="65132B6C"/>
    <w:rsid w:val="651349B4"/>
    <w:rsid w:val="6513B1DC"/>
    <w:rsid w:val="65147350"/>
    <w:rsid w:val="6514E8D1"/>
    <w:rsid w:val="651549FB"/>
    <w:rsid w:val="6515BE02"/>
    <w:rsid w:val="651620E6"/>
    <w:rsid w:val="65172738"/>
    <w:rsid w:val="6517DBB6"/>
    <w:rsid w:val="6518A99D"/>
    <w:rsid w:val="65192D8B"/>
    <w:rsid w:val="6519D4A7"/>
    <w:rsid w:val="651A0091"/>
    <w:rsid w:val="651A35B3"/>
    <w:rsid w:val="651C3C0C"/>
    <w:rsid w:val="651D3531"/>
    <w:rsid w:val="651DEFF4"/>
    <w:rsid w:val="65202D95"/>
    <w:rsid w:val="6521737E"/>
    <w:rsid w:val="652229E1"/>
    <w:rsid w:val="6526F110"/>
    <w:rsid w:val="6527E2D7"/>
    <w:rsid w:val="65289F0B"/>
    <w:rsid w:val="6528D66F"/>
    <w:rsid w:val="65297935"/>
    <w:rsid w:val="652BA60B"/>
    <w:rsid w:val="652CAAF5"/>
    <w:rsid w:val="652D45D7"/>
    <w:rsid w:val="652DC978"/>
    <w:rsid w:val="6530DC5C"/>
    <w:rsid w:val="65312460"/>
    <w:rsid w:val="6532E2F6"/>
    <w:rsid w:val="65339CFE"/>
    <w:rsid w:val="653494B5"/>
    <w:rsid w:val="6536CFFA"/>
    <w:rsid w:val="6538F85D"/>
    <w:rsid w:val="6539FF96"/>
    <w:rsid w:val="653A1431"/>
    <w:rsid w:val="653CC779"/>
    <w:rsid w:val="653E71D2"/>
    <w:rsid w:val="653F0A1A"/>
    <w:rsid w:val="6541DACB"/>
    <w:rsid w:val="65438230"/>
    <w:rsid w:val="654494F3"/>
    <w:rsid w:val="65465C2C"/>
    <w:rsid w:val="654814F0"/>
    <w:rsid w:val="65484DDE"/>
    <w:rsid w:val="6549F3A4"/>
    <w:rsid w:val="654A18AE"/>
    <w:rsid w:val="654ACB7F"/>
    <w:rsid w:val="654D2392"/>
    <w:rsid w:val="654DC991"/>
    <w:rsid w:val="654DE911"/>
    <w:rsid w:val="655232FA"/>
    <w:rsid w:val="65537B67"/>
    <w:rsid w:val="655436B0"/>
    <w:rsid w:val="65547869"/>
    <w:rsid w:val="65568176"/>
    <w:rsid w:val="65583CA6"/>
    <w:rsid w:val="6558D3DB"/>
    <w:rsid w:val="655A087A"/>
    <w:rsid w:val="655A6387"/>
    <w:rsid w:val="655AD8CB"/>
    <w:rsid w:val="655F14A2"/>
    <w:rsid w:val="6563B5FE"/>
    <w:rsid w:val="6564E3EE"/>
    <w:rsid w:val="6565A23C"/>
    <w:rsid w:val="65666CCA"/>
    <w:rsid w:val="65670BB2"/>
    <w:rsid w:val="6568F9EC"/>
    <w:rsid w:val="656B560E"/>
    <w:rsid w:val="656CEECA"/>
    <w:rsid w:val="656F1147"/>
    <w:rsid w:val="656F4ED5"/>
    <w:rsid w:val="6570E7F7"/>
    <w:rsid w:val="6571E7A3"/>
    <w:rsid w:val="657413BD"/>
    <w:rsid w:val="6574CDBD"/>
    <w:rsid w:val="6579BE63"/>
    <w:rsid w:val="657A1A86"/>
    <w:rsid w:val="657BF2E7"/>
    <w:rsid w:val="657CABD5"/>
    <w:rsid w:val="657D2280"/>
    <w:rsid w:val="657E88C2"/>
    <w:rsid w:val="6581DA4D"/>
    <w:rsid w:val="658219C4"/>
    <w:rsid w:val="6589A921"/>
    <w:rsid w:val="658DF2E5"/>
    <w:rsid w:val="658E7277"/>
    <w:rsid w:val="6592D050"/>
    <w:rsid w:val="6595A181"/>
    <w:rsid w:val="65972F3F"/>
    <w:rsid w:val="659A4A6E"/>
    <w:rsid w:val="659B3FE1"/>
    <w:rsid w:val="659B688E"/>
    <w:rsid w:val="659C462A"/>
    <w:rsid w:val="659D5126"/>
    <w:rsid w:val="659D95A7"/>
    <w:rsid w:val="659E479E"/>
    <w:rsid w:val="659FA1FC"/>
    <w:rsid w:val="65A18F8F"/>
    <w:rsid w:val="65A1F60F"/>
    <w:rsid w:val="65A481A2"/>
    <w:rsid w:val="65A49810"/>
    <w:rsid w:val="65A5730F"/>
    <w:rsid w:val="65A6B4C1"/>
    <w:rsid w:val="65AA5922"/>
    <w:rsid w:val="65AA62EA"/>
    <w:rsid w:val="65AA7B39"/>
    <w:rsid w:val="65AF1ECB"/>
    <w:rsid w:val="65B13CFA"/>
    <w:rsid w:val="65B1DCAB"/>
    <w:rsid w:val="65B3B266"/>
    <w:rsid w:val="65B426BB"/>
    <w:rsid w:val="65B4C6F0"/>
    <w:rsid w:val="65B546EE"/>
    <w:rsid w:val="65B6651D"/>
    <w:rsid w:val="65B830F7"/>
    <w:rsid w:val="65BA4BF3"/>
    <w:rsid w:val="65BF1F04"/>
    <w:rsid w:val="65BF2147"/>
    <w:rsid w:val="65BF538C"/>
    <w:rsid w:val="65C24387"/>
    <w:rsid w:val="65C396E4"/>
    <w:rsid w:val="65C46584"/>
    <w:rsid w:val="65C566D4"/>
    <w:rsid w:val="65C65577"/>
    <w:rsid w:val="65C84837"/>
    <w:rsid w:val="65C9828D"/>
    <w:rsid w:val="65CBCCDE"/>
    <w:rsid w:val="65CC20C2"/>
    <w:rsid w:val="65CC38D8"/>
    <w:rsid w:val="65CC7FE0"/>
    <w:rsid w:val="65CEAA35"/>
    <w:rsid w:val="65D00AD6"/>
    <w:rsid w:val="65D0E388"/>
    <w:rsid w:val="65D11FE1"/>
    <w:rsid w:val="65D16BB8"/>
    <w:rsid w:val="65D1C015"/>
    <w:rsid w:val="65D29C3D"/>
    <w:rsid w:val="65D49E04"/>
    <w:rsid w:val="65D52F4E"/>
    <w:rsid w:val="65D5EB48"/>
    <w:rsid w:val="65D61539"/>
    <w:rsid w:val="65D62C99"/>
    <w:rsid w:val="65D647D1"/>
    <w:rsid w:val="65D68AB4"/>
    <w:rsid w:val="65D8E618"/>
    <w:rsid w:val="65D9BDC6"/>
    <w:rsid w:val="65D9CA0D"/>
    <w:rsid w:val="65E06C5F"/>
    <w:rsid w:val="65E0DB64"/>
    <w:rsid w:val="65E16A4D"/>
    <w:rsid w:val="65E18DF7"/>
    <w:rsid w:val="65E1D587"/>
    <w:rsid w:val="65E58388"/>
    <w:rsid w:val="65EA5346"/>
    <w:rsid w:val="65ECCD93"/>
    <w:rsid w:val="65ED584F"/>
    <w:rsid w:val="65EDBAEE"/>
    <w:rsid w:val="65F21C27"/>
    <w:rsid w:val="65F2354B"/>
    <w:rsid w:val="65F240E2"/>
    <w:rsid w:val="65F26490"/>
    <w:rsid w:val="65F4F8F2"/>
    <w:rsid w:val="65F926D2"/>
    <w:rsid w:val="65FA8670"/>
    <w:rsid w:val="65FE606A"/>
    <w:rsid w:val="65FFE987"/>
    <w:rsid w:val="6602516F"/>
    <w:rsid w:val="6603C6E9"/>
    <w:rsid w:val="6604D662"/>
    <w:rsid w:val="66062757"/>
    <w:rsid w:val="66096E9F"/>
    <w:rsid w:val="660ACA0A"/>
    <w:rsid w:val="660F54D6"/>
    <w:rsid w:val="6610D2B1"/>
    <w:rsid w:val="661251B6"/>
    <w:rsid w:val="66129C71"/>
    <w:rsid w:val="66138232"/>
    <w:rsid w:val="66138E2F"/>
    <w:rsid w:val="66144EDF"/>
    <w:rsid w:val="66153C97"/>
    <w:rsid w:val="66154566"/>
    <w:rsid w:val="66163721"/>
    <w:rsid w:val="6618A960"/>
    <w:rsid w:val="6618C0EC"/>
    <w:rsid w:val="661C96BB"/>
    <w:rsid w:val="661DF150"/>
    <w:rsid w:val="661DF172"/>
    <w:rsid w:val="6620F6C0"/>
    <w:rsid w:val="66245B3C"/>
    <w:rsid w:val="6624800D"/>
    <w:rsid w:val="662637E8"/>
    <w:rsid w:val="66285FA3"/>
    <w:rsid w:val="662AEF97"/>
    <w:rsid w:val="662B792F"/>
    <w:rsid w:val="662C6E98"/>
    <w:rsid w:val="662D8EC3"/>
    <w:rsid w:val="662F2BCF"/>
    <w:rsid w:val="662F7AB3"/>
    <w:rsid w:val="66301D05"/>
    <w:rsid w:val="66307FE9"/>
    <w:rsid w:val="6630C0ED"/>
    <w:rsid w:val="6630FBB2"/>
    <w:rsid w:val="663201EB"/>
    <w:rsid w:val="66323E32"/>
    <w:rsid w:val="663243F1"/>
    <w:rsid w:val="66337052"/>
    <w:rsid w:val="66363330"/>
    <w:rsid w:val="6636FF45"/>
    <w:rsid w:val="6638C7AD"/>
    <w:rsid w:val="663943FD"/>
    <w:rsid w:val="663B27FE"/>
    <w:rsid w:val="663B2F72"/>
    <w:rsid w:val="663E457E"/>
    <w:rsid w:val="663E8032"/>
    <w:rsid w:val="6642F772"/>
    <w:rsid w:val="66433EA4"/>
    <w:rsid w:val="6644EDE1"/>
    <w:rsid w:val="664657FC"/>
    <w:rsid w:val="6646E7EB"/>
    <w:rsid w:val="66479C11"/>
    <w:rsid w:val="6648C197"/>
    <w:rsid w:val="664A4424"/>
    <w:rsid w:val="664BB841"/>
    <w:rsid w:val="664EB6D5"/>
    <w:rsid w:val="664ECCAE"/>
    <w:rsid w:val="664F882E"/>
    <w:rsid w:val="66504411"/>
    <w:rsid w:val="66505479"/>
    <w:rsid w:val="6651C617"/>
    <w:rsid w:val="6652DA2A"/>
    <w:rsid w:val="66539700"/>
    <w:rsid w:val="6657CBD5"/>
    <w:rsid w:val="665906D9"/>
    <w:rsid w:val="665A0573"/>
    <w:rsid w:val="665BF161"/>
    <w:rsid w:val="665E04ED"/>
    <w:rsid w:val="665EF145"/>
    <w:rsid w:val="665FE44B"/>
    <w:rsid w:val="6660CF32"/>
    <w:rsid w:val="666100FE"/>
    <w:rsid w:val="66621613"/>
    <w:rsid w:val="6663E825"/>
    <w:rsid w:val="666462D9"/>
    <w:rsid w:val="6665AAE0"/>
    <w:rsid w:val="66671EF6"/>
    <w:rsid w:val="66676153"/>
    <w:rsid w:val="66697BA3"/>
    <w:rsid w:val="666A0932"/>
    <w:rsid w:val="666BD4C0"/>
    <w:rsid w:val="666CBC9C"/>
    <w:rsid w:val="66702FD9"/>
    <w:rsid w:val="66722152"/>
    <w:rsid w:val="66736ECC"/>
    <w:rsid w:val="6677F4CB"/>
    <w:rsid w:val="6678DDC2"/>
    <w:rsid w:val="66798868"/>
    <w:rsid w:val="667A8EEE"/>
    <w:rsid w:val="667C3ECE"/>
    <w:rsid w:val="667CDDF4"/>
    <w:rsid w:val="667EFF25"/>
    <w:rsid w:val="667FE561"/>
    <w:rsid w:val="6682753E"/>
    <w:rsid w:val="668645BC"/>
    <w:rsid w:val="66880092"/>
    <w:rsid w:val="668A44A2"/>
    <w:rsid w:val="668ADF1E"/>
    <w:rsid w:val="668B86CE"/>
    <w:rsid w:val="668CC48D"/>
    <w:rsid w:val="668EA8FB"/>
    <w:rsid w:val="66931986"/>
    <w:rsid w:val="66947FB9"/>
    <w:rsid w:val="669570DF"/>
    <w:rsid w:val="669832D0"/>
    <w:rsid w:val="6699029A"/>
    <w:rsid w:val="669914A9"/>
    <w:rsid w:val="669B294B"/>
    <w:rsid w:val="669C5655"/>
    <w:rsid w:val="669D8CD4"/>
    <w:rsid w:val="669DFC4E"/>
    <w:rsid w:val="669E02C5"/>
    <w:rsid w:val="669E28F3"/>
    <w:rsid w:val="669FC8DC"/>
    <w:rsid w:val="669FEF54"/>
    <w:rsid w:val="669FF8AD"/>
    <w:rsid w:val="66A143CF"/>
    <w:rsid w:val="66A19464"/>
    <w:rsid w:val="66A35C00"/>
    <w:rsid w:val="66A72359"/>
    <w:rsid w:val="66A7AF06"/>
    <w:rsid w:val="66AB49E4"/>
    <w:rsid w:val="66ABD634"/>
    <w:rsid w:val="66ABEF97"/>
    <w:rsid w:val="66AC3FC7"/>
    <w:rsid w:val="66AE19F9"/>
    <w:rsid w:val="66B0CF7B"/>
    <w:rsid w:val="66B5C4B9"/>
    <w:rsid w:val="66B5ECF4"/>
    <w:rsid w:val="66BA3B70"/>
    <w:rsid w:val="66BCD3A5"/>
    <w:rsid w:val="66BD2826"/>
    <w:rsid w:val="66BEF0BA"/>
    <w:rsid w:val="66C148AE"/>
    <w:rsid w:val="66C2BFB5"/>
    <w:rsid w:val="66C33C2F"/>
    <w:rsid w:val="66D05422"/>
    <w:rsid w:val="66D346FD"/>
    <w:rsid w:val="66D3B130"/>
    <w:rsid w:val="66D62DFB"/>
    <w:rsid w:val="66D6F79F"/>
    <w:rsid w:val="66D72087"/>
    <w:rsid w:val="66D7E7C1"/>
    <w:rsid w:val="66D98CA0"/>
    <w:rsid w:val="66DDEA4A"/>
    <w:rsid w:val="66DF4A4B"/>
    <w:rsid w:val="66E7F6F9"/>
    <w:rsid w:val="66E8F6EA"/>
    <w:rsid w:val="66E9753D"/>
    <w:rsid w:val="66EC815F"/>
    <w:rsid w:val="66EE241B"/>
    <w:rsid w:val="66EE8962"/>
    <w:rsid w:val="66F0265D"/>
    <w:rsid w:val="66F0E46E"/>
    <w:rsid w:val="66F23383"/>
    <w:rsid w:val="66F42FE1"/>
    <w:rsid w:val="66F6B780"/>
    <w:rsid w:val="66F724B5"/>
    <w:rsid w:val="66F78279"/>
    <w:rsid w:val="66F7E5CB"/>
    <w:rsid w:val="66F84427"/>
    <w:rsid w:val="66F85A1A"/>
    <w:rsid w:val="66F87265"/>
    <w:rsid w:val="66FA9AEE"/>
    <w:rsid w:val="66FBBF26"/>
    <w:rsid w:val="66FC9BFE"/>
    <w:rsid w:val="6704B9B5"/>
    <w:rsid w:val="67058F0C"/>
    <w:rsid w:val="6707F397"/>
    <w:rsid w:val="670931C2"/>
    <w:rsid w:val="670A04BC"/>
    <w:rsid w:val="670A04C3"/>
    <w:rsid w:val="670A9ED0"/>
    <w:rsid w:val="670E015F"/>
    <w:rsid w:val="670E52A0"/>
    <w:rsid w:val="670E582C"/>
    <w:rsid w:val="67102AAD"/>
    <w:rsid w:val="67108A97"/>
    <w:rsid w:val="671388A0"/>
    <w:rsid w:val="671A8030"/>
    <w:rsid w:val="671AAF8B"/>
    <w:rsid w:val="671BA7DE"/>
    <w:rsid w:val="671C2543"/>
    <w:rsid w:val="671C4E10"/>
    <w:rsid w:val="671C51DC"/>
    <w:rsid w:val="671E3EF3"/>
    <w:rsid w:val="671E5275"/>
    <w:rsid w:val="671E8C54"/>
    <w:rsid w:val="671F88D4"/>
    <w:rsid w:val="6720377D"/>
    <w:rsid w:val="67204C15"/>
    <w:rsid w:val="672267B8"/>
    <w:rsid w:val="672550F2"/>
    <w:rsid w:val="67265751"/>
    <w:rsid w:val="6726E8B0"/>
    <w:rsid w:val="6726F2CF"/>
    <w:rsid w:val="6729B5A0"/>
    <w:rsid w:val="672FB3FE"/>
    <w:rsid w:val="67300200"/>
    <w:rsid w:val="6730532A"/>
    <w:rsid w:val="67317604"/>
    <w:rsid w:val="6733DB86"/>
    <w:rsid w:val="67343296"/>
    <w:rsid w:val="6734880B"/>
    <w:rsid w:val="67380D5E"/>
    <w:rsid w:val="67381717"/>
    <w:rsid w:val="6738B82E"/>
    <w:rsid w:val="673E6F94"/>
    <w:rsid w:val="6740CB5B"/>
    <w:rsid w:val="674326B3"/>
    <w:rsid w:val="67475B00"/>
    <w:rsid w:val="674D55FD"/>
    <w:rsid w:val="674D9190"/>
    <w:rsid w:val="674F2B3E"/>
    <w:rsid w:val="67507133"/>
    <w:rsid w:val="67544161"/>
    <w:rsid w:val="67578410"/>
    <w:rsid w:val="675946D7"/>
    <w:rsid w:val="67594F0D"/>
    <w:rsid w:val="6759794D"/>
    <w:rsid w:val="675A9BA4"/>
    <w:rsid w:val="675B1225"/>
    <w:rsid w:val="675C34FC"/>
    <w:rsid w:val="675C8CC6"/>
    <w:rsid w:val="675EA8DF"/>
    <w:rsid w:val="675F2D42"/>
    <w:rsid w:val="6761646E"/>
    <w:rsid w:val="6761E4EB"/>
    <w:rsid w:val="676367EB"/>
    <w:rsid w:val="67637A66"/>
    <w:rsid w:val="676497C0"/>
    <w:rsid w:val="67657C9F"/>
    <w:rsid w:val="676BA407"/>
    <w:rsid w:val="676FB82C"/>
    <w:rsid w:val="67704947"/>
    <w:rsid w:val="67705E0F"/>
    <w:rsid w:val="6772A633"/>
    <w:rsid w:val="6776A68F"/>
    <w:rsid w:val="67793949"/>
    <w:rsid w:val="67795DBE"/>
    <w:rsid w:val="6779AC5B"/>
    <w:rsid w:val="6779B3CA"/>
    <w:rsid w:val="6779EE7E"/>
    <w:rsid w:val="677AE4B0"/>
    <w:rsid w:val="677F83EE"/>
    <w:rsid w:val="677FB3D7"/>
    <w:rsid w:val="6780DEE0"/>
    <w:rsid w:val="67832F5F"/>
    <w:rsid w:val="6783BD91"/>
    <w:rsid w:val="67869F9F"/>
    <w:rsid w:val="6787F671"/>
    <w:rsid w:val="6788E67E"/>
    <w:rsid w:val="67891BE5"/>
    <w:rsid w:val="678C5F18"/>
    <w:rsid w:val="678D5DE5"/>
    <w:rsid w:val="678FC47C"/>
    <w:rsid w:val="678FEB69"/>
    <w:rsid w:val="67918089"/>
    <w:rsid w:val="6793D72A"/>
    <w:rsid w:val="6794C8AF"/>
    <w:rsid w:val="6794EEA2"/>
    <w:rsid w:val="67950FEB"/>
    <w:rsid w:val="6795D9F1"/>
    <w:rsid w:val="6796BDF4"/>
    <w:rsid w:val="67995B62"/>
    <w:rsid w:val="679B6CEA"/>
    <w:rsid w:val="679FB08B"/>
    <w:rsid w:val="67A18B55"/>
    <w:rsid w:val="67A2EA97"/>
    <w:rsid w:val="67A40700"/>
    <w:rsid w:val="67A716A8"/>
    <w:rsid w:val="67A72DBE"/>
    <w:rsid w:val="67AC6B5F"/>
    <w:rsid w:val="67AEEAEA"/>
    <w:rsid w:val="67B75757"/>
    <w:rsid w:val="67B92EB2"/>
    <w:rsid w:val="67B951AA"/>
    <w:rsid w:val="67BD05E2"/>
    <w:rsid w:val="67C0A1CC"/>
    <w:rsid w:val="67C1049D"/>
    <w:rsid w:val="67C41FF4"/>
    <w:rsid w:val="67C5D210"/>
    <w:rsid w:val="67C70421"/>
    <w:rsid w:val="67C7A42B"/>
    <w:rsid w:val="67C8E33D"/>
    <w:rsid w:val="67C9BE20"/>
    <w:rsid w:val="67C9D1DA"/>
    <w:rsid w:val="67CA3AD3"/>
    <w:rsid w:val="67CAD990"/>
    <w:rsid w:val="67CD9097"/>
    <w:rsid w:val="67CDA02D"/>
    <w:rsid w:val="67CE9660"/>
    <w:rsid w:val="67CF91C2"/>
    <w:rsid w:val="67D8A97E"/>
    <w:rsid w:val="67DB0702"/>
    <w:rsid w:val="67DD56D3"/>
    <w:rsid w:val="67DD8D7B"/>
    <w:rsid w:val="67DE85D1"/>
    <w:rsid w:val="67DF9EA6"/>
    <w:rsid w:val="67E1AA14"/>
    <w:rsid w:val="67E2604F"/>
    <w:rsid w:val="67E739A3"/>
    <w:rsid w:val="67EC80A8"/>
    <w:rsid w:val="67ED369C"/>
    <w:rsid w:val="67F12C00"/>
    <w:rsid w:val="67F2CACF"/>
    <w:rsid w:val="67F4BB36"/>
    <w:rsid w:val="67F6D49D"/>
    <w:rsid w:val="67F8289E"/>
    <w:rsid w:val="67F8B4C9"/>
    <w:rsid w:val="67F8C016"/>
    <w:rsid w:val="67FA4539"/>
    <w:rsid w:val="67FC9DA9"/>
    <w:rsid w:val="67FE4CBF"/>
    <w:rsid w:val="67FE9474"/>
    <w:rsid w:val="67FEC090"/>
    <w:rsid w:val="67FF8617"/>
    <w:rsid w:val="68003A42"/>
    <w:rsid w:val="68012A2B"/>
    <w:rsid w:val="68028151"/>
    <w:rsid w:val="68030580"/>
    <w:rsid w:val="6807B933"/>
    <w:rsid w:val="680AF6A7"/>
    <w:rsid w:val="680B3007"/>
    <w:rsid w:val="680C044D"/>
    <w:rsid w:val="680C20CE"/>
    <w:rsid w:val="680C45DE"/>
    <w:rsid w:val="680CD752"/>
    <w:rsid w:val="6811B2F6"/>
    <w:rsid w:val="68121B59"/>
    <w:rsid w:val="68122BD1"/>
    <w:rsid w:val="68160A3A"/>
    <w:rsid w:val="681733F0"/>
    <w:rsid w:val="681A034A"/>
    <w:rsid w:val="681AA48F"/>
    <w:rsid w:val="681D0F27"/>
    <w:rsid w:val="681EF474"/>
    <w:rsid w:val="681EFA5F"/>
    <w:rsid w:val="681F8430"/>
    <w:rsid w:val="68206ABE"/>
    <w:rsid w:val="6822551C"/>
    <w:rsid w:val="6823D668"/>
    <w:rsid w:val="682C2300"/>
    <w:rsid w:val="682D0658"/>
    <w:rsid w:val="682D25CA"/>
    <w:rsid w:val="68307587"/>
    <w:rsid w:val="68315208"/>
    <w:rsid w:val="68315A4C"/>
    <w:rsid w:val="68315B9C"/>
    <w:rsid w:val="68331443"/>
    <w:rsid w:val="6833B9AA"/>
    <w:rsid w:val="68355415"/>
    <w:rsid w:val="68359C15"/>
    <w:rsid w:val="6835CBE7"/>
    <w:rsid w:val="6837B507"/>
    <w:rsid w:val="683AF74F"/>
    <w:rsid w:val="683B3802"/>
    <w:rsid w:val="683D1251"/>
    <w:rsid w:val="68400129"/>
    <w:rsid w:val="6840A880"/>
    <w:rsid w:val="68411CEB"/>
    <w:rsid w:val="6842684D"/>
    <w:rsid w:val="68426860"/>
    <w:rsid w:val="68433959"/>
    <w:rsid w:val="6843474D"/>
    <w:rsid w:val="68454480"/>
    <w:rsid w:val="68476566"/>
    <w:rsid w:val="684CF809"/>
    <w:rsid w:val="684DFE9A"/>
    <w:rsid w:val="684F647A"/>
    <w:rsid w:val="684FF21C"/>
    <w:rsid w:val="68505731"/>
    <w:rsid w:val="6851C139"/>
    <w:rsid w:val="6853D878"/>
    <w:rsid w:val="6854F635"/>
    <w:rsid w:val="6854FF25"/>
    <w:rsid w:val="6855CE3F"/>
    <w:rsid w:val="68577C5D"/>
    <w:rsid w:val="6858CB22"/>
    <w:rsid w:val="685A61BA"/>
    <w:rsid w:val="685A9F28"/>
    <w:rsid w:val="68608304"/>
    <w:rsid w:val="68669D21"/>
    <w:rsid w:val="68679EF8"/>
    <w:rsid w:val="686C8469"/>
    <w:rsid w:val="686CC1E1"/>
    <w:rsid w:val="68708696"/>
    <w:rsid w:val="68725EED"/>
    <w:rsid w:val="6872CB48"/>
    <w:rsid w:val="687384D4"/>
    <w:rsid w:val="6876FBB7"/>
    <w:rsid w:val="6877BE67"/>
    <w:rsid w:val="6878FB2C"/>
    <w:rsid w:val="687A995E"/>
    <w:rsid w:val="687B1E11"/>
    <w:rsid w:val="687CD1A7"/>
    <w:rsid w:val="687EED43"/>
    <w:rsid w:val="6880AAEC"/>
    <w:rsid w:val="6881F086"/>
    <w:rsid w:val="6884DF91"/>
    <w:rsid w:val="6885B179"/>
    <w:rsid w:val="6885C2DF"/>
    <w:rsid w:val="688779F8"/>
    <w:rsid w:val="6889AEFD"/>
    <w:rsid w:val="688BFFBD"/>
    <w:rsid w:val="688C254C"/>
    <w:rsid w:val="688DF6DC"/>
    <w:rsid w:val="688E0382"/>
    <w:rsid w:val="688ED845"/>
    <w:rsid w:val="6893BACE"/>
    <w:rsid w:val="68940EA7"/>
    <w:rsid w:val="689425C4"/>
    <w:rsid w:val="68943567"/>
    <w:rsid w:val="68943AC9"/>
    <w:rsid w:val="68977837"/>
    <w:rsid w:val="6898C579"/>
    <w:rsid w:val="689AF5DD"/>
    <w:rsid w:val="689B1C6A"/>
    <w:rsid w:val="689B22E4"/>
    <w:rsid w:val="689BDE45"/>
    <w:rsid w:val="689CE4FF"/>
    <w:rsid w:val="689D1342"/>
    <w:rsid w:val="689EC2E3"/>
    <w:rsid w:val="68A1F881"/>
    <w:rsid w:val="68A519EF"/>
    <w:rsid w:val="68A6D99C"/>
    <w:rsid w:val="68A83D18"/>
    <w:rsid w:val="68A8DC77"/>
    <w:rsid w:val="68AA2D8A"/>
    <w:rsid w:val="68AA5E5D"/>
    <w:rsid w:val="68AA8B8A"/>
    <w:rsid w:val="68AABB7C"/>
    <w:rsid w:val="68AD480D"/>
    <w:rsid w:val="68AE35B4"/>
    <w:rsid w:val="68AE5640"/>
    <w:rsid w:val="68AE90B4"/>
    <w:rsid w:val="68AF2BA5"/>
    <w:rsid w:val="68B10DF3"/>
    <w:rsid w:val="68B38F80"/>
    <w:rsid w:val="68B3CEC3"/>
    <w:rsid w:val="68B45A57"/>
    <w:rsid w:val="68B4D378"/>
    <w:rsid w:val="68B5DD12"/>
    <w:rsid w:val="68B73619"/>
    <w:rsid w:val="68B81E5D"/>
    <w:rsid w:val="68B83AB4"/>
    <w:rsid w:val="68BC5360"/>
    <w:rsid w:val="68C12E4F"/>
    <w:rsid w:val="68C199FC"/>
    <w:rsid w:val="68C21B13"/>
    <w:rsid w:val="68C22707"/>
    <w:rsid w:val="68C550BB"/>
    <w:rsid w:val="68C5D13A"/>
    <w:rsid w:val="68CACAA3"/>
    <w:rsid w:val="68CD5A72"/>
    <w:rsid w:val="68CFBAAC"/>
    <w:rsid w:val="68CFE5F9"/>
    <w:rsid w:val="68D662D6"/>
    <w:rsid w:val="68D7660B"/>
    <w:rsid w:val="68D81A11"/>
    <w:rsid w:val="68D8F2B7"/>
    <w:rsid w:val="68DA5BD7"/>
    <w:rsid w:val="68DB50AA"/>
    <w:rsid w:val="68DD4157"/>
    <w:rsid w:val="68DF6C79"/>
    <w:rsid w:val="68DFC65D"/>
    <w:rsid w:val="68E57049"/>
    <w:rsid w:val="68E7086F"/>
    <w:rsid w:val="68E9CF2B"/>
    <w:rsid w:val="68EC599E"/>
    <w:rsid w:val="68ECA964"/>
    <w:rsid w:val="68ED1471"/>
    <w:rsid w:val="68EFCEA8"/>
    <w:rsid w:val="68F30064"/>
    <w:rsid w:val="68F34996"/>
    <w:rsid w:val="68F48501"/>
    <w:rsid w:val="68F68036"/>
    <w:rsid w:val="68F719EE"/>
    <w:rsid w:val="68F86E26"/>
    <w:rsid w:val="68F96E0B"/>
    <w:rsid w:val="68FAFC6C"/>
    <w:rsid w:val="69025759"/>
    <w:rsid w:val="690531CC"/>
    <w:rsid w:val="69055DAA"/>
    <w:rsid w:val="69056CD5"/>
    <w:rsid w:val="6906D315"/>
    <w:rsid w:val="6907282C"/>
    <w:rsid w:val="6907E09D"/>
    <w:rsid w:val="69082296"/>
    <w:rsid w:val="69098157"/>
    <w:rsid w:val="690BDE09"/>
    <w:rsid w:val="690FC694"/>
    <w:rsid w:val="6910A03D"/>
    <w:rsid w:val="69125F43"/>
    <w:rsid w:val="6913CA4A"/>
    <w:rsid w:val="6913FE51"/>
    <w:rsid w:val="69142B58"/>
    <w:rsid w:val="6914571B"/>
    <w:rsid w:val="6914C077"/>
    <w:rsid w:val="69162E3A"/>
    <w:rsid w:val="6916777F"/>
    <w:rsid w:val="6916D76E"/>
    <w:rsid w:val="691745C2"/>
    <w:rsid w:val="69177CA9"/>
    <w:rsid w:val="69180E88"/>
    <w:rsid w:val="69189631"/>
    <w:rsid w:val="691991AC"/>
    <w:rsid w:val="691A66C9"/>
    <w:rsid w:val="691E23BD"/>
    <w:rsid w:val="691EC485"/>
    <w:rsid w:val="691EEC88"/>
    <w:rsid w:val="6920059A"/>
    <w:rsid w:val="692038FD"/>
    <w:rsid w:val="6921FD05"/>
    <w:rsid w:val="69220D6C"/>
    <w:rsid w:val="69222F88"/>
    <w:rsid w:val="6925BA85"/>
    <w:rsid w:val="692614A1"/>
    <w:rsid w:val="69293F68"/>
    <w:rsid w:val="692A8C44"/>
    <w:rsid w:val="692B9669"/>
    <w:rsid w:val="692CC51E"/>
    <w:rsid w:val="692D5D23"/>
    <w:rsid w:val="692FC7FD"/>
    <w:rsid w:val="69300ADE"/>
    <w:rsid w:val="6931107A"/>
    <w:rsid w:val="69327786"/>
    <w:rsid w:val="6932F3C1"/>
    <w:rsid w:val="69331185"/>
    <w:rsid w:val="69331C18"/>
    <w:rsid w:val="6934CF6C"/>
    <w:rsid w:val="69353CAB"/>
    <w:rsid w:val="6937D6A1"/>
    <w:rsid w:val="6937EEBF"/>
    <w:rsid w:val="6939B417"/>
    <w:rsid w:val="6939C89A"/>
    <w:rsid w:val="693B8618"/>
    <w:rsid w:val="693D47AB"/>
    <w:rsid w:val="693D6936"/>
    <w:rsid w:val="693D7B12"/>
    <w:rsid w:val="693E50F3"/>
    <w:rsid w:val="6941AC1B"/>
    <w:rsid w:val="694395DE"/>
    <w:rsid w:val="6944156C"/>
    <w:rsid w:val="6944D36E"/>
    <w:rsid w:val="694592C0"/>
    <w:rsid w:val="6946A772"/>
    <w:rsid w:val="69473292"/>
    <w:rsid w:val="6949FC9A"/>
    <w:rsid w:val="694B733E"/>
    <w:rsid w:val="694C2CC1"/>
    <w:rsid w:val="694E3FE3"/>
    <w:rsid w:val="69518E56"/>
    <w:rsid w:val="6955BED8"/>
    <w:rsid w:val="69562FE6"/>
    <w:rsid w:val="695B3A89"/>
    <w:rsid w:val="695B8C90"/>
    <w:rsid w:val="695C3F66"/>
    <w:rsid w:val="695D6878"/>
    <w:rsid w:val="695EFE81"/>
    <w:rsid w:val="69601FE9"/>
    <w:rsid w:val="69639FB7"/>
    <w:rsid w:val="696572E5"/>
    <w:rsid w:val="6966715B"/>
    <w:rsid w:val="69690BA7"/>
    <w:rsid w:val="696A5D70"/>
    <w:rsid w:val="696A92B8"/>
    <w:rsid w:val="696CD2F3"/>
    <w:rsid w:val="696D0E51"/>
    <w:rsid w:val="696DABCE"/>
    <w:rsid w:val="696FE111"/>
    <w:rsid w:val="69701DB1"/>
    <w:rsid w:val="6971D2E8"/>
    <w:rsid w:val="69722B80"/>
    <w:rsid w:val="697496F0"/>
    <w:rsid w:val="697672C5"/>
    <w:rsid w:val="697BE8F4"/>
    <w:rsid w:val="697DB30B"/>
    <w:rsid w:val="69803A59"/>
    <w:rsid w:val="6983B4F9"/>
    <w:rsid w:val="6985754E"/>
    <w:rsid w:val="69866FF4"/>
    <w:rsid w:val="69869DE4"/>
    <w:rsid w:val="6986F0BE"/>
    <w:rsid w:val="698845C4"/>
    <w:rsid w:val="698AA3A5"/>
    <w:rsid w:val="698B52E4"/>
    <w:rsid w:val="698DF91E"/>
    <w:rsid w:val="69911888"/>
    <w:rsid w:val="699253A7"/>
    <w:rsid w:val="6995C75B"/>
    <w:rsid w:val="69990930"/>
    <w:rsid w:val="699B6845"/>
    <w:rsid w:val="699CBEFC"/>
    <w:rsid w:val="699E8098"/>
    <w:rsid w:val="699ECC39"/>
    <w:rsid w:val="69A2CA4F"/>
    <w:rsid w:val="69A2E960"/>
    <w:rsid w:val="69A37E39"/>
    <w:rsid w:val="69A61A38"/>
    <w:rsid w:val="69A728B8"/>
    <w:rsid w:val="69A766EF"/>
    <w:rsid w:val="69A7BF0E"/>
    <w:rsid w:val="69A8AD7F"/>
    <w:rsid w:val="69A8D725"/>
    <w:rsid w:val="69AA8E7C"/>
    <w:rsid w:val="69AD207A"/>
    <w:rsid w:val="69B085C4"/>
    <w:rsid w:val="69B16D91"/>
    <w:rsid w:val="69B32337"/>
    <w:rsid w:val="69B50F65"/>
    <w:rsid w:val="69B5885A"/>
    <w:rsid w:val="69B689C9"/>
    <w:rsid w:val="69B6A5B5"/>
    <w:rsid w:val="69B8CAD8"/>
    <w:rsid w:val="69B8FE5F"/>
    <w:rsid w:val="69BB3CC9"/>
    <w:rsid w:val="69BBB4B1"/>
    <w:rsid w:val="69C14611"/>
    <w:rsid w:val="69C1AFF5"/>
    <w:rsid w:val="69C2A192"/>
    <w:rsid w:val="69C42CC9"/>
    <w:rsid w:val="69C7F630"/>
    <w:rsid w:val="69C95F5B"/>
    <w:rsid w:val="69CA6F9F"/>
    <w:rsid w:val="69CB19B2"/>
    <w:rsid w:val="69CDF160"/>
    <w:rsid w:val="69CE9AA6"/>
    <w:rsid w:val="69CFCCA5"/>
    <w:rsid w:val="69D2539E"/>
    <w:rsid w:val="69D30437"/>
    <w:rsid w:val="69D4AE81"/>
    <w:rsid w:val="69D4D560"/>
    <w:rsid w:val="69D50105"/>
    <w:rsid w:val="69D55587"/>
    <w:rsid w:val="69D579E7"/>
    <w:rsid w:val="69D6294A"/>
    <w:rsid w:val="69D845DC"/>
    <w:rsid w:val="69DD6325"/>
    <w:rsid w:val="69DD95A2"/>
    <w:rsid w:val="69DE3710"/>
    <w:rsid w:val="69E6A402"/>
    <w:rsid w:val="69E6A7B5"/>
    <w:rsid w:val="69EADB57"/>
    <w:rsid w:val="69EB5762"/>
    <w:rsid w:val="69ECFC4C"/>
    <w:rsid w:val="69EE2B74"/>
    <w:rsid w:val="69EF9212"/>
    <w:rsid w:val="69F0E096"/>
    <w:rsid w:val="69F0E94B"/>
    <w:rsid w:val="69F4F687"/>
    <w:rsid w:val="69F5801A"/>
    <w:rsid w:val="69F6D16C"/>
    <w:rsid w:val="69F72242"/>
    <w:rsid w:val="69FA9CF7"/>
    <w:rsid w:val="69FBAB73"/>
    <w:rsid w:val="69FBD45A"/>
    <w:rsid w:val="69FC2225"/>
    <w:rsid w:val="69FD9BAC"/>
    <w:rsid w:val="69FEDD28"/>
    <w:rsid w:val="69FEFFA0"/>
    <w:rsid w:val="6A014512"/>
    <w:rsid w:val="6A0223E3"/>
    <w:rsid w:val="6A02E65D"/>
    <w:rsid w:val="6A045C60"/>
    <w:rsid w:val="6A051472"/>
    <w:rsid w:val="6A06CA4E"/>
    <w:rsid w:val="6A09B0A2"/>
    <w:rsid w:val="6A0CB8F5"/>
    <w:rsid w:val="6A0CF13A"/>
    <w:rsid w:val="6A1023B0"/>
    <w:rsid w:val="6A1027A5"/>
    <w:rsid w:val="6A108CBE"/>
    <w:rsid w:val="6A10D266"/>
    <w:rsid w:val="6A11CD0E"/>
    <w:rsid w:val="6A12DBE1"/>
    <w:rsid w:val="6A170E5B"/>
    <w:rsid w:val="6A17F8AF"/>
    <w:rsid w:val="6A1A98C5"/>
    <w:rsid w:val="6A1A9C61"/>
    <w:rsid w:val="6A1C2477"/>
    <w:rsid w:val="6A1CA77A"/>
    <w:rsid w:val="6A1D25B0"/>
    <w:rsid w:val="6A1FC3F1"/>
    <w:rsid w:val="6A22C61A"/>
    <w:rsid w:val="6A270BE5"/>
    <w:rsid w:val="6A2866E4"/>
    <w:rsid w:val="6A287D62"/>
    <w:rsid w:val="6A2A9715"/>
    <w:rsid w:val="6A2D1504"/>
    <w:rsid w:val="6A2D7DE7"/>
    <w:rsid w:val="6A3220BB"/>
    <w:rsid w:val="6A333FD5"/>
    <w:rsid w:val="6A341E24"/>
    <w:rsid w:val="6A356418"/>
    <w:rsid w:val="6A3745D5"/>
    <w:rsid w:val="6A37BC0A"/>
    <w:rsid w:val="6A38B094"/>
    <w:rsid w:val="6A3B4CB0"/>
    <w:rsid w:val="6A3BF0B5"/>
    <w:rsid w:val="6A3CE55E"/>
    <w:rsid w:val="6A3E0A03"/>
    <w:rsid w:val="6A3E2ED8"/>
    <w:rsid w:val="6A3F1314"/>
    <w:rsid w:val="6A432231"/>
    <w:rsid w:val="6A43DD42"/>
    <w:rsid w:val="6A45F5D6"/>
    <w:rsid w:val="6A47C13A"/>
    <w:rsid w:val="6A48E1AA"/>
    <w:rsid w:val="6A497B92"/>
    <w:rsid w:val="6A4A2914"/>
    <w:rsid w:val="6A4D47F2"/>
    <w:rsid w:val="6A4E0E8E"/>
    <w:rsid w:val="6A4F2B65"/>
    <w:rsid w:val="6A4F33A9"/>
    <w:rsid w:val="6A4F3970"/>
    <w:rsid w:val="6A502BA3"/>
    <w:rsid w:val="6A508D3A"/>
    <w:rsid w:val="6A519D3B"/>
    <w:rsid w:val="6A540458"/>
    <w:rsid w:val="6A54EAB5"/>
    <w:rsid w:val="6A55CEDF"/>
    <w:rsid w:val="6A55E386"/>
    <w:rsid w:val="6A5EDAFF"/>
    <w:rsid w:val="6A616E50"/>
    <w:rsid w:val="6A61B2C7"/>
    <w:rsid w:val="6A6373E9"/>
    <w:rsid w:val="6A65A436"/>
    <w:rsid w:val="6A6665F9"/>
    <w:rsid w:val="6A669F97"/>
    <w:rsid w:val="6A671A4B"/>
    <w:rsid w:val="6A6AAD2B"/>
    <w:rsid w:val="6A6C2C87"/>
    <w:rsid w:val="6A71599A"/>
    <w:rsid w:val="6A726CFF"/>
    <w:rsid w:val="6A72E46A"/>
    <w:rsid w:val="6A7611AA"/>
    <w:rsid w:val="6A7904B6"/>
    <w:rsid w:val="6A7934CE"/>
    <w:rsid w:val="6A7B2184"/>
    <w:rsid w:val="6A7CBBCA"/>
    <w:rsid w:val="6A7DD244"/>
    <w:rsid w:val="6A807E4B"/>
    <w:rsid w:val="6A80C90F"/>
    <w:rsid w:val="6A813875"/>
    <w:rsid w:val="6A8A653E"/>
    <w:rsid w:val="6A8AD951"/>
    <w:rsid w:val="6A8B8EB6"/>
    <w:rsid w:val="6A8B9861"/>
    <w:rsid w:val="6A8BFA2B"/>
    <w:rsid w:val="6A8C8DCD"/>
    <w:rsid w:val="6A8CD9CA"/>
    <w:rsid w:val="6A8ED97C"/>
    <w:rsid w:val="6A91DC22"/>
    <w:rsid w:val="6A95BE65"/>
    <w:rsid w:val="6A983516"/>
    <w:rsid w:val="6A9841E2"/>
    <w:rsid w:val="6A9846DB"/>
    <w:rsid w:val="6A9A84D5"/>
    <w:rsid w:val="6A9D9E8D"/>
    <w:rsid w:val="6A9E4187"/>
    <w:rsid w:val="6A9F1B39"/>
    <w:rsid w:val="6AA01706"/>
    <w:rsid w:val="6AA08661"/>
    <w:rsid w:val="6AA0D192"/>
    <w:rsid w:val="6AA15DD1"/>
    <w:rsid w:val="6AA29442"/>
    <w:rsid w:val="6AA322F2"/>
    <w:rsid w:val="6AA33728"/>
    <w:rsid w:val="6AA39B80"/>
    <w:rsid w:val="6AA42DA3"/>
    <w:rsid w:val="6AA6C7BA"/>
    <w:rsid w:val="6AA6DE8C"/>
    <w:rsid w:val="6AAA09B1"/>
    <w:rsid w:val="6AAA0B05"/>
    <w:rsid w:val="6AAAE31F"/>
    <w:rsid w:val="6AAAE8AE"/>
    <w:rsid w:val="6AAB0934"/>
    <w:rsid w:val="6AAEC381"/>
    <w:rsid w:val="6AB1D9B2"/>
    <w:rsid w:val="6AB2730E"/>
    <w:rsid w:val="6AB75174"/>
    <w:rsid w:val="6AB81A01"/>
    <w:rsid w:val="6AB8CDCD"/>
    <w:rsid w:val="6AB9F0CA"/>
    <w:rsid w:val="6ABA4D34"/>
    <w:rsid w:val="6ABAEA9A"/>
    <w:rsid w:val="6ABB21DE"/>
    <w:rsid w:val="6ABB25DA"/>
    <w:rsid w:val="6ABE4DD7"/>
    <w:rsid w:val="6ABEE614"/>
    <w:rsid w:val="6ABEF063"/>
    <w:rsid w:val="6AC0611C"/>
    <w:rsid w:val="6AC18E69"/>
    <w:rsid w:val="6AC27245"/>
    <w:rsid w:val="6AC3C40F"/>
    <w:rsid w:val="6AC3F509"/>
    <w:rsid w:val="6AC610D4"/>
    <w:rsid w:val="6AC6BB97"/>
    <w:rsid w:val="6AC797D9"/>
    <w:rsid w:val="6AC7B64E"/>
    <w:rsid w:val="6ACA30C4"/>
    <w:rsid w:val="6ACA56B3"/>
    <w:rsid w:val="6ACB0313"/>
    <w:rsid w:val="6ACDC6EC"/>
    <w:rsid w:val="6AD04735"/>
    <w:rsid w:val="6AD1B31B"/>
    <w:rsid w:val="6AD23D92"/>
    <w:rsid w:val="6AD40754"/>
    <w:rsid w:val="6AD42A51"/>
    <w:rsid w:val="6AD666E9"/>
    <w:rsid w:val="6AD683F6"/>
    <w:rsid w:val="6AD7E6EC"/>
    <w:rsid w:val="6AD98701"/>
    <w:rsid w:val="6AD9BE0F"/>
    <w:rsid w:val="6ADD4581"/>
    <w:rsid w:val="6AE06487"/>
    <w:rsid w:val="6AE394CC"/>
    <w:rsid w:val="6AE52DED"/>
    <w:rsid w:val="6AE6342B"/>
    <w:rsid w:val="6AEB33B2"/>
    <w:rsid w:val="6AEBFFB9"/>
    <w:rsid w:val="6AEC5254"/>
    <w:rsid w:val="6AEC88A3"/>
    <w:rsid w:val="6AEC9A55"/>
    <w:rsid w:val="6AEE3C22"/>
    <w:rsid w:val="6AEE60AD"/>
    <w:rsid w:val="6AEEFC2C"/>
    <w:rsid w:val="6AF0F778"/>
    <w:rsid w:val="6AF4B854"/>
    <w:rsid w:val="6AF52E7B"/>
    <w:rsid w:val="6AF5A1AD"/>
    <w:rsid w:val="6AF92134"/>
    <w:rsid w:val="6AF9C913"/>
    <w:rsid w:val="6AFA6C94"/>
    <w:rsid w:val="6AFA99E3"/>
    <w:rsid w:val="6AFB1CDC"/>
    <w:rsid w:val="6AFB50E0"/>
    <w:rsid w:val="6AFB66B9"/>
    <w:rsid w:val="6AFB9FE3"/>
    <w:rsid w:val="6AFBA43E"/>
    <w:rsid w:val="6AFCF7F4"/>
    <w:rsid w:val="6AFEE9D8"/>
    <w:rsid w:val="6B009B36"/>
    <w:rsid w:val="6B012E94"/>
    <w:rsid w:val="6B01B285"/>
    <w:rsid w:val="6B04AB4A"/>
    <w:rsid w:val="6B0546C1"/>
    <w:rsid w:val="6B058219"/>
    <w:rsid w:val="6B05E16C"/>
    <w:rsid w:val="6B06FFAF"/>
    <w:rsid w:val="6B07144E"/>
    <w:rsid w:val="6B0754D2"/>
    <w:rsid w:val="6B0AD741"/>
    <w:rsid w:val="6B0B86F4"/>
    <w:rsid w:val="6B0C3A2E"/>
    <w:rsid w:val="6B0D26D3"/>
    <w:rsid w:val="6B117987"/>
    <w:rsid w:val="6B11F6A6"/>
    <w:rsid w:val="6B123109"/>
    <w:rsid w:val="6B123ED4"/>
    <w:rsid w:val="6B127FF3"/>
    <w:rsid w:val="6B142B0B"/>
    <w:rsid w:val="6B151512"/>
    <w:rsid w:val="6B164B4C"/>
    <w:rsid w:val="6B169FCC"/>
    <w:rsid w:val="6B17AAF6"/>
    <w:rsid w:val="6B1A16F5"/>
    <w:rsid w:val="6B1CD74B"/>
    <w:rsid w:val="6B1FB16A"/>
    <w:rsid w:val="6B211B1C"/>
    <w:rsid w:val="6B21F539"/>
    <w:rsid w:val="6B232271"/>
    <w:rsid w:val="6B24108B"/>
    <w:rsid w:val="6B260CCA"/>
    <w:rsid w:val="6B267F21"/>
    <w:rsid w:val="6B275D98"/>
    <w:rsid w:val="6B27FAE6"/>
    <w:rsid w:val="6B295507"/>
    <w:rsid w:val="6B29C32F"/>
    <w:rsid w:val="6B2A8DD2"/>
    <w:rsid w:val="6B2B0F01"/>
    <w:rsid w:val="6B2C13AC"/>
    <w:rsid w:val="6B2D1A06"/>
    <w:rsid w:val="6B2E0BAE"/>
    <w:rsid w:val="6B2E4435"/>
    <w:rsid w:val="6B2E77B9"/>
    <w:rsid w:val="6B306922"/>
    <w:rsid w:val="6B309EDA"/>
    <w:rsid w:val="6B342A77"/>
    <w:rsid w:val="6B356C54"/>
    <w:rsid w:val="6B3588DA"/>
    <w:rsid w:val="6B35BD66"/>
    <w:rsid w:val="6B3612E9"/>
    <w:rsid w:val="6B363B8F"/>
    <w:rsid w:val="6B3684E4"/>
    <w:rsid w:val="6B389F24"/>
    <w:rsid w:val="6B3C616F"/>
    <w:rsid w:val="6B3CD1B9"/>
    <w:rsid w:val="6B3F8635"/>
    <w:rsid w:val="6B4217D0"/>
    <w:rsid w:val="6B444E83"/>
    <w:rsid w:val="6B46237A"/>
    <w:rsid w:val="6B470D89"/>
    <w:rsid w:val="6B479A8D"/>
    <w:rsid w:val="6B499E6E"/>
    <w:rsid w:val="6B4B50E9"/>
    <w:rsid w:val="6B4C08DB"/>
    <w:rsid w:val="6B4F6114"/>
    <w:rsid w:val="6B5089B7"/>
    <w:rsid w:val="6B50D7F7"/>
    <w:rsid w:val="6B52017B"/>
    <w:rsid w:val="6B52B457"/>
    <w:rsid w:val="6B5312A3"/>
    <w:rsid w:val="6B531D0B"/>
    <w:rsid w:val="6B53D071"/>
    <w:rsid w:val="6B54EFF0"/>
    <w:rsid w:val="6B57766B"/>
    <w:rsid w:val="6B584897"/>
    <w:rsid w:val="6B5B4272"/>
    <w:rsid w:val="6B644818"/>
    <w:rsid w:val="6B64C1C2"/>
    <w:rsid w:val="6B673CF5"/>
    <w:rsid w:val="6B68EACE"/>
    <w:rsid w:val="6B69D459"/>
    <w:rsid w:val="6B6BEBBD"/>
    <w:rsid w:val="6B6CB51C"/>
    <w:rsid w:val="6B6CC289"/>
    <w:rsid w:val="6B6D8D97"/>
    <w:rsid w:val="6B72E33C"/>
    <w:rsid w:val="6B75928C"/>
    <w:rsid w:val="6B75FE5C"/>
    <w:rsid w:val="6B77C8A5"/>
    <w:rsid w:val="6B77DF75"/>
    <w:rsid w:val="6B78653E"/>
    <w:rsid w:val="6B79AFA3"/>
    <w:rsid w:val="6B7A75B7"/>
    <w:rsid w:val="6B7B8A7C"/>
    <w:rsid w:val="6B7D091F"/>
    <w:rsid w:val="6B7DD8E8"/>
    <w:rsid w:val="6B7F4768"/>
    <w:rsid w:val="6B81833E"/>
    <w:rsid w:val="6B842322"/>
    <w:rsid w:val="6B845456"/>
    <w:rsid w:val="6B846371"/>
    <w:rsid w:val="6B84A756"/>
    <w:rsid w:val="6B8841D4"/>
    <w:rsid w:val="6B895A89"/>
    <w:rsid w:val="6B8AAFA1"/>
    <w:rsid w:val="6B8B25A1"/>
    <w:rsid w:val="6B8CC4D8"/>
    <w:rsid w:val="6B8CEC95"/>
    <w:rsid w:val="6B8DB3F7"/>
    <w:rsid w:val="6B8DD281"/>
    <w:rsid w:val="6B8DF185"/>
    <w:rsid w:val="6B8F377D"/>
    <w:rsid w:val="6B920955"/>
    <w:rsid w:val="6B953A85"/>
    <w:rsid w:val="6B963000"/>
    <w:rsid w:val="6B965FB7"/>
    <w:rsid w:val="6B97F298"/>
    <w:rsid w:val="6B98BDB4"/>
    <w:rsid w:val="6B9A11AB"/>
    <w:rsid w:val="6B9CE2AD"/>
    <w:rsid w:val="6B9DA014"/>
    <w:rsid w:val="6B9F7F9E"/>
    <w:rsid w:val="6B9FC067"/>
    <w:rsid w:val="6BA00654"/>
    <w:rsid w:val="6BA497AD"/>
    <w:rsid w:val="6BA72B06"/>
    <w:rsid w:val="6BA78C4D"/>
    <w:rsid w:val="6BA7A411"/>
    <w:rsid w:val="6BAA14F6"/>
    <w:rsid w:val="6BAA23EC"/>
    <w:rsid w:val="6BAADE3F"/>
    <w:rsid w:val="6BAB5A3A"/>
    <w:rsid w:val="6BAB8B39"/>
    <w:rsid w:val="6BABAB99"/>
    <w:rsid w:val="6BAC0138"/>
    <w:rsid w:val="6BAD5B77"/>
    <w:rsid w:val="6BAE1ADB"/>
    <w:rsid w:val="6BAE9683"/>
    <w:rsid w:val="6BAEC643"/>
    <w:rsid w:val="6BB04646"/>
    <w:rsid w:val="6BB94460"/>
    <w:rsid w:val="6BC17820"/>
    <w:rsid w:val="6BC184DC"/>
    <w:rsid w:val="6BC1F27A"/>
    <w:rsid w:val="6BC31477"/>
    <w:rsid w:val="6BC65AC5"/>
    <w:rsid w:val="6BCA74F1"/>
    <w:rsid w:val="6BCB23A6"/>
    <w:rsid w:val="6BCBE518"/>
    <w:rsid w:val="6BCCE1B8"/>
    <w:rsid w:val="6BCD4BFC"/>
    <w:rsid w:val="6BCE5E62"/>
    <w:rsid w:val="6BCFD5AF"/>
    <w:rsid w:val="6BD00D21"/>
    <w:rsid w:val="6BD12197"/>
    <w:rsid w:val="6BD14AEC"/>
    <w:rsid w:val="6BD284B2"/>
    <w:rsid w:val="6BD329D4"/>
    <w:rsid w:val="6BD33048"/>
    <w:rsid w:val="6BD3FCEB"/>
    <w:rsid w:val="6BD404A3"/>
    <w:rsid w:val="6BD589C3"/>
    <w:rsid w:val="6BD5963C"/>
    <w:rsid w:val="6BD88BB1"/>
    <w:rsid w:val="6BD8E497"/>
    <w:rsid w:val="6BDF20C8"/>
    <w:rsid w:val="6BDF29C8"/>
    <w:rsid w:val="6BDF9F62"/>
    <w:rsid w:val="6BDFA051"/>
    <w:rsid w:val="6BDFC315"/>
    <w:rsid w:val="6BE09D5C"/>
    <w:rsid w:val="6BE1137B"/>
    <w:rsid w:val="6BE1D01C"/>
    <w:rsid w:val="6BE2DAA0"/>
    <w:rsid w:val="6BE32ED9"/>
    <w:rsid w:val="6BE48AEC"/>
    <w:rsid w:val="6BE66C8C"/>
    <w:rsid w:val="6BE6E4ED"/>
    <w:rsid w:val="6BE954A5"/>
    <w:rsid w:val="6BE9ACDB"/>
    <w:rsid w:val="6BEB7A05"/>
    <w:rsid w:val="6BEBA10F"/>
    <w:rsid w:val="6BEC27BB"/>
    <w:rsid w:val="6BEC75DB"/>
    <w:rsid w:val="6BEEE05E"/>
    <w:rsid w:val="6BF0183C"/>
    <w:rsid w:val="6BF02508"/>
    <w:rsid w:val="6BF15BF9"/>
    <w:rsid w:val="6BF34DD7"/>
    <w:rsid w:val="6BF8F033"/>
    <w:rsid w:val="6BFA01DB"/>
    <w:rsid w:val="6BFA1541"/>
    <w:rsid w:val="6BFA5FFA"/>
    <w:rsid w:val="6BFE3497"/>
    <w:rsid w:val="6BFF086E"/>
    <w:rsid w:val="6C00C47F"/>
    <w:rsid w:val="6C011A9C"/>
    <w:rsid w:val="6C04E8D1"/>
    <w:rsid w:val="6C0ABCF4"/>
    <w:rsid w:val="6C0C0DA0"/>
    <w:rsid w:val="6C0C2773"/>
    <w:rsid w:val="6C0D0FD1"/>
    <w:rsid w:val="6C0D8F84"/>
    <w:rsid w:val="6C1095AA"/>
    <w:rsid w:val="6C11972E"/>
    <w:rsid w:val="6C149C2E"/>
    <w:rsid w:val="6C14B878"/>
    <w:rsid w:val="6C152B59"/>
    <w:rsid w:val="6C15CC92"/>
    <w:rsid w:val="6C16423E"/>
    <w:rsid w:val="6C173D70"/>
    <w:rsid w:val="6C17D19D"/>
    <w:rsid w:val="6C1D825A"/>
    <w:rsid w:val="6C1E5B11"/>
    <w:rsid w:val="6C2086B1"/>
    <w:rsid w:val="6C225D18"/>
    <w:rsid w:val="6C24327E"/>
    <w:rsid w:val="6C24B62B"/>
    <w:rsid w:val="6C250FD4"/>
    <w:rsid w:val="6C252AB4"/>
    <w:rsid w:val="6C26F259"/>
    <w:rsid w:val="6C29A29C"/>
    <w:rsid w:val="6C2A8AED"/>
    <w:rsid w:val="6C2B63C7"/>
    <w:rsid w:val="6C2CAFC2"/>
    <w:rsid w:val="6C302A18"/>
    <w:rsid w:val="6C31D605"/>
    <w:rsid w:val="6C323B63"/>
    <w:rsid w:val="6C37A710"/>
    <w:rsid w:val="6C3DC9E2"/>
    <w:rsid w:val="6C409550"/>
    <w:rsid w:val="6C448CFA"/>
    <w:rsid w:val="6C453A8A"/>
    <w:rsid w:val="6C48CEF7"/>
    <w:rsid w:val="6C48DDB3"/>
    <w:rsid w:val="6C495CFB"/>
    <w:rsid w:val="6C4E481A"/>
    <w:rsid w:val="6C4E489F"/>
    <w:rsid w:val="6C4F54CF"/>
    <w:rsid w:val="6C51B9E4"/>
    <w:rsid w:val="6C5385D6"/>
    <w:rsid w:val="6C55B747"/>
    <w:rsid w:val="6C569881"/>
    <w:rsid w:val="6C56B58B"/>
    <w:rsid w:val="6C585FAF"/>
    <w:rsid w:val="6C5AE762"/>
    <w:rsid w:val="6C5AF396"/>
    <w:rsid w:val="6C5C1CAC"/>
    <w:rsid w:val="6C5D578D"/>
    <w:rsid w:val="6C5DC674"/>
    <w:rsid w:val="6C5F2C5E"/>
    <w:rsid w:val="6C5FEBD9"/>
    <w:rsid w:val="6C60E72E"/>
    <w:rsid w:val="6C62739E"/>
    <w:rsid w:val="6C63D301"/>
    <w:rsid w:val="6C6413BA"/>
    <w:rsid w:val="6C672944"/>
    <w:rsid w:val="6C672FCE"/>
    <w:rsid w:val="6C67C7C4"/>
    <w:rsid w:val="6C684292"/>
    <w:rsid w:val="6C68B66B"/>
    <w:rsid w:val="6C6B24B1"/>
    <w:rsid w:val="6C6DFCA0"/>
    <w:rsid w:val="6C71E001"/>
    <w:rsid w:val="6C73C918"/>
    <w:rsid w:val="6C74A68B"/>
    <w:rsid w:val="6C755115"/>
    <w:rsid w:val="6C76B2BA"/>
    <w:rsid w:val="6C76D588"/>
    <w:rsid w:val="6C77AE7C"/>
    <w:rsid w:val="6C78F39C"/>
    <w:rsid w:val="6C79D4D8"/>
    <w:rsid w:val="6C7AA3C9"/>
    <w:rsid w:val="6C7AC6F4"/>
    <w:rsid w:val="6C7CA31B"/>
    <w:rsid w:val="6C7CAECB"/>
    <w:rsid w:val="6C80817A"/>
    <w:rsid w:val="6C81768C"/>
    <w:rsid w:val="6C84D4C7"/>
    <w:rsid w:val="6C84F64D"/>
    <w:rsid w:val="6C8506D7"/>
    <w:rsid w:val="6C8A8E63"/>
    <w:rsid w:val="6C8ACAAE"/>
    <w:rsid w:val="6C8AEFD4"/>
    <w:rsid w:val="6C8B9A2C"/>
    <w:rsid w:val="6C8B9C38"/>
    <w:rsid w:val="6C8BA97A"/>
    <w:rsid w:val="6C8DF019"/>
    <w:rsid w:val="6C8F7172"/>
    <w:rsid w:val="6C9094DC"/>
    <w:rsid w:val="6C935E2E"/>
    <w:rsid w:val="6C94E4FB"/>
    <w:rsid w:val="6C94EA5C"/>
    <w:rsid w:val="6C94F7D6"/>
    <w:rsid w:val="6C97F001"/>
    <w:rsid w:val="6C982A60"/>
    <w:rsid w:val="6C988AFB"/>
    <w:rsid w:val="6C9A5AD0"/>
    <w:rsid w:val="6C9B5B54"/>
    <w:rsid w:val="6C9CEE60"/>
    <w:rsid w:val="6CA10DEC"/>
    <w:rsid w:val="6CA1F7FE"/>
    <w:rsid w:val="6CA37332"/>
    <w:rsid w:val="6CA5641B"/>
    <w:rsid w:val="6CA6BE85"/>
    <w:rsid w:val="6CA6EFE8"/>
    <w:rsid w:val="6CA8D3F5"/>
    <w:rsid w:val="6CA9BCDA"/>
    <w:rsid w:val="6CAA179B"/>
    <w:rsid w:val="6CAA1C1B"/>
    <w:rsid w:val="6CAC410C"/>
    <w:rsid w:val="6CAD2A3A"/>
    <w:rsid w:val="6CB33595"/>
    <w:rsid w:val="6CB339B2"/>
    <w:rsid w:val="6CB44D58"/>
    <w:rsid w:val="6CB65397"/>
    <w:rsid w:val="6CB6CE7E"/>
    <w:rsid w:val="6CB7393F"/>
    <w:rsid w:val="6CB8CBA6"/>
    <w:rsid w:val="6CBB021A"/>
    <w:rsid w:val="6CBCF195"/>
    <w:rsid w:val="6CBD1B4A"/>
    <w:rsid w:val="6CBDC3B3"/>
    <w:rsid w:val="6CC0FB64"/>
    <w:rsid w:val="6CC13357"/>
    <w:rsid w:val="6CC40578"/>
    <w:rsid w:val="6CC444A7"/>
    <w:rsid w:val="6CCC1B03"/>
    <w:rsid w:val="6CD30B35"/>
    <w:rsid w:val="6CD39E08"/>
    <w:rsid w:val="6CD43D27"/>
    <w:rsid w:val="6CD67F3C"/>
    <w:rsid w:val="6CD69970"/>
    <w:rsid w:val="6CDACF1E"/>
    <w:rsid w:val="6CDB6EA6"/>
    <w:rsid w:val="6CDC7577"/>
    <w:rsid w:val="6CDE0DC4"/>
    <w:rsid w:val="6CDF95C1"/>
    <w:rsid w:val="6CE18DFA"/>
    <w:rsid w:val="6CE3D42B"/>
    <w:rsid w:val="6CE4258E"/>
    <w:rsid w:val="6CE7A397"/>
    <w:rsid w:val="6CEB45E4"/>
    <w:rsid w:val="6CEC68FA"/>
    <w:rsid w:val="6CEF4E7E"/>
    <w:rsid w:val="6CF0F8B9"/>
    <w:rsid w:val="6CF1243F"/>
    <w:rsid w:val="6CF1A223"/>
    <w:rsid w:val="6CF2116A"/>
    <w:rsid w:val="6CF22479"/>
    <w:rsid w:val="6CF23E4F"/>
    <w:rsid w:val="6CF5071C"/>
    <w:rsid w:val="6CF5141E"/>
    <w:rsid w:val="6CF5C02A"/>
    <w:rsid w:val="6CF6149C"/>
    <w:rsid w:val="6CF83F0C"/>
    <w:rsid w:val="6D0242D6"/>
    <w:rsid w:val="6D0255DF"/>
    <w:rsid w:val="6D034F63"/>
    <w:rsid w:val="6D038537"/>
    <w:rsid w:val="6D08725F"/>
    <w:rsid w:val="6D0BA016"/>
    <w:rsid w:val="6D0D7569"/>
    <w:rsid w:val="6D0EE911"/>
    <w:rsid w:val="6D0F6662"/>
    <w:rsid w:val="6D0F81CD"/>
    <w:rsid w:val="6D0FAA26"/>
    <w:rsid w:val="6D16B636"/>
    <w:rsid w:val="6D180D76"/>
    <w:rsid w:val="6D1A80EB"/>
    <w:rsid w:val="6D1CB9F4"/>
    <w:rsid w:val="6D1D841F"/>
    <w:rsid w:val="6D1E043C"/>
    <w:rsid w:val="6D1F2723"/>
    <w:rsid w:val="6D21B525"/>
    <w:rsid w:val="6D22A6D5"/>
    <w:rsid w:val="6D23423D"/>
    <w:rsid w:val="6D23F279"/>
    <w:rsid w:val="6D24D7A4"/>
    <w:rsid w:val="6D265E76"/>
    <w:rsid w:val="6D2AFF50"/>
    <w:rsid w:val="6D2B1FE7"/>
    <w:rsid w:val="6D2D986B"/>
    <w:rsid w:val="6D3018CB"/>
    <w:rsid w:val="6D306FCB"/>
    <w:rsid w:val="6D31212B"/>
    <w:rsid w:val="6D34794E"/>
    <w:rsid w:val="6D34E506"/>
    <w:rsid w:val="6D3A130D"/>
    <w:rsid w:val="6D3B06C9"/>
    <w:rsid w:val="6D3BC5F6"/>
    <w:rsid w:val="6D3E7EAA"/>
    <w:rsid w:val="6D423A6C"/>
    <w:rsid w:val="6D437F42"/>
    <w:rsid w:val="6D43A9D2"/>
    <w:rsid w:val="6D45AC2A"/>
    <w:rsid w:val="6D45D300"/>
    <w:rsid w:val="6D46CC04"/>
    <w:rsid w:val="6D499A4C"/>
    <w:rsid w:val="6D4B1EBB"/>
    <w:rsid w:val="6D4B7C01"/>
    <w:rsid w:val="6D4C0F74"/>
    <w:rsid w:val="6D4C897A"/>
    <w:rsid w:val="6D4C9F1A"/>
    <w:rsid w:val="6D4D13E2"/>
    <w:rsid w:val="6D4D1D12"/>
    <w:rsid w:val="6D4DF482"/>
    <w:rsid w:val="6D4E15AE"/>
    <w:rsid w:val="6D50AD93"/>
    <w:rsid w:val="6D51C39D"/>
    <w:rsid w:val="6D52B164"/>
    <w:rsid w:val="6D53892C"/>
    <w:rsid w:val="6D5426CA"/>
    <w:rsid w:val="6D54280F"/>
    <w:rsid w:val="6D56D210"/>
    <w:rsid w:val="6D57F03F"/>
    <w:rsid w:val="6D5956CF"/>
    <w:rsid w:val="6D59656E"/>
    <w:rsid w:val="6D5A1554"/>
    <w:rsid w:val="6D5FD68B"/>
    <w:rsid w:val="6D606CC4"/>
    <w:rsid w:val="6D607239"/>
    <w:rsid w:val="6D62E4FB"/>
    <w:rsid w:val="6D65617F"/>
    <w:rsid w:val="6D67933B"/>
    <w:rsid w:val="6D681961"/>
    <w:rsid w:val="6D6AA25D"/>
    <w:rsid w:val="6D6D32E4"/>
    <w:rsid w:val="6D6F1D63"/>
    <w:rsid w:val="6D6FD7C3"/>
    <w:rsid w:val="6D75BD5B"/>
    <w:rsid w:val="6D7A6194"/>
    <w:rsid w:val="6D7B75D8"/>
    <w:rsid w:val="6D7CB633"/>
    <w:rsid w:val="6D7D73DB"/>
    <w:rsid w:val="6D7F0A72"/>
    <w:rsid w:val="6D8028E8"/>
    <w:rsid w:val="6D8213D8"/>
    <w:rsid w:val="6D82D0D2"/>
    <w:rsid w:val="6D83A67C"/>
    <w:rsid w:val="6D83EB82"/>
    <w:rsid w:val="6D85660C"/>
    <w:rsid w:val="6D876199"/>
    <w:rsid w:val="6D877AAB"/>
    <w:rsid w:val="6D886D37"/>
    <w:rsid w:val="6D893DDB"/>
    <w:rsid w:val="6D896CDD"/>
    <w:rsid w:val="6D8AE02E"/>
    <w:rsid w:val="6D8B7B36"/>
    <w:rsid w:val="6D8CC038"/>
    <w:rsid w:val="6D8D7EEE"/>
    <w:rsid w:val="6D8E941C"/>
    <w:rsid w:val="6D8EA8C6"/>
    <w:rsid w:val="6D8FBDA7"/>
    <w:rsid w:val="6D915E43"/>
    <w:rsid w:val="6D91F704"/>
    <w:rsid w:val="6D935738"/>
    <w:rsid w:val="6D96C079"/>
    <w:rsid w:val="6D974D96"/>
    <w:rsid w:val="6D97A0A0"/>
    <w:rsid w:val="6D9882A5"/>
    <w:rsid w:val="6D996FD8"/>
    <w:rsid w:val="6D9A2A5A"/>
    <w:rsid w:val="6D9A5653"/>
    <w:rsid w:val="6D9EAA8F"/>
    <w:rsid w:val="6D9F4B21"/>
    <w:rsid w:val="6D9F8205"/>
    <w:rsid w:val="6DA063C4"/>
    <w:rsid w:val="6DA0D2EE"/>
    <w:rsid w:val="6DA21F22"/>
    <w:rsid w:val="6DA269E0"/>
    <w:rsid w:val="6DA26BC8"/>
    <w:rsid w:val="6DA50C0A"/>
    <w:rsid w:val="6DA50D24"/>
    <w:rsid w:val="6DA51018"/>
    <w:rsid w:val="6DA60E1F"/>
    <w:rsid w:val="6DA7560B"/>
    <w:rsid w:val="6DAA16CA"/>
    <w:rsid w:val="6DAC14C3"/>
    <w:rsid w:val="6DAF378B"/>
    <w:rsid w:val="6DAFB124"/>
    <w:rsid w:val="6DAFE97B"/>
    <w:rsid w:val="6DB04409"/>
    <w:rsid w:val="6DB069EB"/>
    <w:rsid w:val="6DB189AC"/>
    <w:rsid w:val="6DB1B8A5"/>
    <w:rsid w:val="6DB3DE2F"/>
    <w:rsid w:val="6DB6D21B"/>
    <w:rsid w:val="6DBA900D"/>
    <w:rsid w:val="6DBCC760"/>
    <w:rsid w:val="6DBFF063"/>
    <w:rsid w:val="6DC5310E"/>
    <w:rsid w:val="6DC66C57"/>
    <w:rsid w:val="6DC7EEE3"/>
    <w:rsid w:val="6DC9D258"/>
    <w:rsid w:val="6DCB6778"/>
    <w:rsid w:val="6DCCCEA2"/>
    <w:rsid w:val="6DCD5DC5"/>
    <w:rsid w:val="6DCF83E9"/>
    <w:rsid w:val="6DD3A439"/>
    <w:rsid w:val="6DD453CA"/>
    <w:rsid w:val="6DD6AADC"/>
    <w:rsid w:val="6DDA2BD5"/>
    <w:rsid w:val="6DDC7B55"/>
    <w:rsid w:val="6DDD94A5"/>
    <w:rsid w:val="6DDE249F"/>
    <w:rsid w:val="6DDFEE20"/>
    <w:rsid w:val="6DE2E393"/>
    <w:rsid w:val="6DE2EA32"/>
    <w:rsid w:val="6DE532C8"/>
    <w:rsid w:val="6DE6364B"/>
    <w:rsid w:val="6DEA252E"/>
    <w:rsid w:val="6DEF0E25"/>
    <w:rsid w:val="6DEF430E"/>
    <w:rsid w:val="6DEFD86A"/>
    <w:rsid w:val="6DF03150"/>
    <w:rsid w:val="6DF058DC"/>
    <w:rsid w:val="6DF6A86D"/>
    <w:rsid w:val="6DF6FD7F"/>
    <w:rsid w:val="6DF73674"/>
    <w:rsid w:val="6DF8B2A8"/>
    <w:rsid w:val="6DFA349B"/>
    <w:rsid w:val="6DFBB5B5"/>
    <w:rsid w:val="6DFC641B"/>
    <w:rsid w:val="6DFD4ACA"/>
    <w:rsid w:val="6DFED787"/>
    <w:rsid w:val="6DFFE2CB"/>
    <w:rsid w:val="6E0047AC"/>
    <w:rsid w:val="6E015B6C"/>
    <w:rsid w:val="6E029BE5"/>
    <w:rsid w:val="6E02DBFC"/>
    <w:rsid w:val="6E05B949"/>
    <w:rsid w:val="6E07261B"/>
    <w:rsid w:val="6E0C7670"/>
    <w:rsid w:val="6E0DB4C1"/>
    <w:rsid w:val="6E0DE4B4"/>
    <w:rsid w:val="6E0E6635"/>
    <w:rsid w:val="6E107866"/>
    <w:rsid w:val="6E110491"/>
    <w:rsid w:val="6E141BE1"/>
    <w:rsid w:val="6E14F20D"/>
    <w:rsid w:val="6E15C347"/>
    <w:rsid w:val="6E181EAF"/>
    <w:rsid w:val="6E1AB345"/>
    <w:rsid w:val="6E1B9222"/>
    <w:rsid w:val="6E1EBCD0"/>
    <w:rsid w:val="6E1ED52A"/>
    <w:rsid w:val="6E1F35DB"/>
    <w:rsid w:val="6E21C50F"/>
    <w:rsid w:val="6E239347"/>
    <w:rsid w:val="6E257E73"/>
    <w:rsid w:val="6E25A350"/>
    <w:rsid w:val="6E25AEED"/>
    <w:rsid w:val="6E27132A"/>
    <w:rsid w:val="6E278B54"/>
    <w:rsid w:val="6E29B7C8"/>
    <w:rsid w:val="6E2A6EEB"/>
    <w:rsid w:val="6E2B3FAF"/>
    <w:rsid w:val="6E2B9092"/>
    <w:rsid w:val="6E2BD21C"/>
    <w:rsid w:val="6E2C2702"/>
    <w:rsid w:val="6E2CC8ED"/>
    <w:rsid w:val="6E2D8936"/>
    <w:rsid w:val="6E2EF937"/>
    <w:rsid w:val="6E305888"/>
    <w:rsid w:val="6E32CD88"/>
    <w:rsid w:val="6E32E34B"/>
    <w:rsid w:val="6E32FFF8"/>
    <w:rsid w:val="6E33E088"/>
    <w:rsid w:val="6E33E190"/>
    <w:rsid w:val="6E3575D5"/>
    <w:rsid w:val="6E36E445"/>
    <w:rsid w:val="6E396350"/>
    <w:rsid w:val="6E3D5306"/>
    <w:rsid w:val="6E3EAA21"/>
    <w:rsid w:val="6E3EACB2"/>
    <w:rsid w:val="6E3FF0E5"/>
    <w:rsid w:val="6E4023B6"/>
    <w:rsid w:val="6E41C3DA"/>
    <w:rsid w:val="6E441383"/>
    <w:rsid w:val="6E48F9F6"/>
    <w:rsid w:val="6E498818"/>
    <w:rsid w:val="6E4A2CB0"/>
    <w:rsid w:val="6E4BE2DE"/>
    <w:rsid w:val="6E4D54CD"/>
    <w:rsid w:val="6E4E2776"/>
    <w:rsid w:val="6E4F3D93"/>
    <w:rsid w:val="6E51DA92"/>
    <w:rsid w:val="6E5248E1"/>
    <w:rsid w:val="6E524CA2"/>
    <w:rsid w:val="6E52F1AE"/>
    <w:rsid w:val="6E5335C7"/>
    <w:rsid w:val="6E53793A"/>
    <w:rsid w:val="6E545890"/>
    <w:rsid w:val="6E54C37C"/>
    <w:rsid w:val="6E54EF2A"/>
    <w:rsid w:val="6E5559DE"/>
    <w:rsid w:val="6E557456"/>
    <w:rsid w:val="6E55A266"/>
    <w:rsid w:val="6E5710E1"/>
    <w:rsid w:val="6E57CF52"/>
    <w:rsid w:val="6E57EFB3"/>
    <w:rsid w:val="6E5986CA"/>
    <w:rsid w:val="6E59A5CE"/>
    <w:rsid w:val="6E59B680"/>
    <w:rsid w:val="6E5A4023"/>
    <w:rsid w:val="6E5C6DCD"/>
    <w:rsid w:val="6E5D2222"/>
    <w:rsid w:val="6E5DDD4C"/>
    <w:rsid w:val="6E5EA314"/>
    <w:rsid w:val="6E5F8E38"/>
    <w:rsid w:val="6E5FB5AC"/>
    <w:rsid w:val="6E606A49"/>
    <w:rsid w:val="6E60B71A"/>
    <w:rsid w:val="6E6335D7"/>
    <w:rsid w:val="6E642F18"/>
    <w:rsid w:val="6E695305"/>
    <w:rsid w:val="6E6AC829"/>
    <w:rsid w:val="6E6CCD4A"/>
    <w:rsid w:val="6E6D6636"/>
    <w:rsid w:val="6E6EE9B8"/>
    <w:rsid w:val="6E6F6A17"/>
    <w:rsid w:val="6E70C859"/>
    <w:rsid w:val="6E74EBA1"/>
    <w:rsid w:val="6E75E0DE"/>
    <w:rsid w:val="6E76A157"/>
    <w:rsid w:val="6E786A07"/>
    <w:rsid w:val="6E79D71D"/>
    <w:rsid w:val="6E7CD7F3"/>
    <w:rsid w:val="6E7D0EFC"/>
    <w:rsid w:val="6E7DC6C1"/>
    <w:rsid w:val="6E7EB535"/>
    <w:rsid w:val="6E857C76"/>
    <w:rsid w:val="6E85F3E7"/>
    <w:rsid w:val="6E86A5BB"/>
    <w:rsid w:val="6E8774B1"/>
    <w:rsid w:val="6E87B824"/>
    <w:rsid w:val="6E87D0B0"/>
    <w:rsid w:val="6E885489"/>
    <w:rsid w:val="6E8A23EB"/>
    <w:rsid w:val="6E8A2E05"/>
    <w:rsid w:val="6E8B4D0C"/>
    <w:rsid w:val="6E8C3211"/>
    <w:rsid w:val="6E8C6446"/>
    <w:rsid w:val="6E8E491C"/>
    <w:rsid w:val="6E90FA4B"/>
    <w:rsid w:val="6E91131E"/>
    <w:rsid w:val="6E91C543"/>
    <w:rsid w:val="6E9337C2"/>
    <w:rsid w:val="6E934313"/>
    <w:rsid w:val="6E94F091"/>
    <w:rsid w:val="6E951D86"/>
    <w:rsid w:val="6E953662"/>
    <w:rsid w:val="6E95E39C"/>
    <w:rsid w:val="6E95F5D0"/>
    <w:rsid w:val="6E96AA21"/>
    <w:rsid w:val="6E97D164"/>
    <w:rsid w:val="6E97DC9B"/>
    <w:rsid w:val="6E9C4149"/>
    <w:rsid w:val="6E9C5CC5"/>
    <w:rsid w:val="6E9CA9F7"/>
    <w:rsid w:val="6E9E6212"/>
    <w:rsid w:val="6E9F21B6"/>
    <w:rsid w:val="6EA0D6F6"/>
    <w:rsid w:val="6EA13963"/>
    <w:rsid w:val="6EA2157F"/>
    <w:rsid w:val="6EA2ABD3"/>
    <w:rsid w:val="6EA2FA84"/>
    <w:rsid w:val="6EA32E7A"/>
    <w:rsid w:val="6EA44EAB"/>
    <w:rsid w:val="6EA45558"/>
    <w:rsid w:val="6EAD95F3"/>
    <w:rsid w:val="6EB232D7"/>
    <w:rsid w:val="6EB256E1"/>
    <w:rsid w:val="6EB31B62"/>
    <w:rsid w:val="6EB3D80F"/>
    <w:rsid w:val="6EB3EB80"/>
    <w:rsid w:val="6EB42860"/>
    <w:rsid w:val="6EB5485E"/>
    <w:rsid w:val="6EB64CB4"/>
    <w:rsid w:val="6EB79C1A"/>
    <w:rsid w:val="6EBB19C2"/>
    <w:rsid w:val="6EBBC5A6"/>
    <w:rsid w:val="6EBD7F9A"/>
    <w:rsid w:val="6EBEE839"/>
    <w:rsid w:val="6EC0B194"/>
    <w:rsid w:val="6EC162C1"/>
    <w:rsid w:val="6EC5FCDB"/>
    <w:rsid w:val="6ECBCB84"/>
    <w:rsid w:val="6ECC6201"/>
    <w:rsid w:val="6ECC6733"/>
    <w:rsid w:val="6ECD2E60"/>
    <w:rsid w:val="6ECDFCDF"/>
    <w:rsid w:val="6ED2C979"/>
    <w:rsid w:val="6ED2E830"/>
    <w:rsid w:val="6ED442BC"/>
    <w:rsid w:val="6ED4B74A"/>
    <w:rsid w:val="6ED5AD3F"/>
    <w:rsid w:val="6ED5C756"/>
    <w:rsid w:val="6ED8A54F"/>
    <w:rsid w:val="6ED9ABD6"/>
    <w:rsid w:val="6EDA0200"/>
    <w:rsid w:val="6EDD723A"/>
    <w:rsid w:val="6EE05008"/>
    <w:rsid w:val="6EE0FDDB"/>
    <w:rsid w:val="6EE1BAC3"/>
    <w:rsid w:val="6EE3F55F"/>
    <w:rsid w:val="6EE7A912"/>
    <w:rsid w:val="6EEA2A3B"/>
    <w:rsid w:val="6EEA6CC2"/>
    <w:rsid w:val="6EEB8CC4"/>
    <w:rsid w:val="6EEE770C"/>
    <w:rsid w:val="6EEE7BEB"/>
    <w:rsid w:val="6EEEA8CB"/>
    <w:rsid w:val="6EEF8A88"/>
    <w:rsid w:val="6EF0507D"/>
    <w:rsid w:val="6EF1B746"/>
    <w:rsid w:val="6EF33E06"/>
    <w:rsid w:val="6EF8D356"/>
    <w:rsid w:val="6EF911D3"/>
    <w:rsid w:val="6EFA112C"/>
    <w:rsid w:val="6EFA9645"/>
    <w:rsid w:val="6EFA9E70"/>
    <w:rsid w:val="6EFC0149"/>
    <w:rsid w:val="6EFC6F4D"/>
    <w:rsid w:val="6EFC9BC7"/>
    <w:rsid w:val="6EFDB181"/>
    <w:rsid w:val="6EFE099D"/>
    <w:rsid w:val="6EFF8C0B"/>
    <w:rsid w:val="6EFFAF3A"/>
    <w:rsid w:val="6F006DF5"/>
    <w:rsid w:val="6F0253F2"/>
    <w:rsid w:val="6F0584E5"/>
    <w:rsid w:val="6F06402C"/>
    <w:rsid w:val="6F065904"/>
    <w:rsid w:val="6F069809"/>
    <w:rsid w:val="6F090FFD"/>
    <w:rsid w:val="6F097CD1"/>
    <w:rsid w:val="6F099DC1"/>
    <w:rsid w:val="6F09D436"/>
    <w:rsid w:val="6F0B6939"/>
    <w:rsid w:val="6F0BF15A"/>
    <w:rsid w:val="6F0EC400"/>
    <w:rsid w:val="6F0F9E4D"/>
    <w:rsid w:val="6F102E58"/>
    <w:rsid w:val="6F11A1E8"/>
    <w:rsid w:val="6F132D7E"/>
    <w:rsid w:val="6F167808"/>
    <w:rsid w:val="6F16EFF9"/>
    <w:rsid w:val="6F18709C"/>
    <w:rsid w:val="6F1A032C"/>
    <w:rsid w:val="6F1D65D3"/>
    <w:rsid w:val="6F20BE36"/>
    <w:rsid w:val="6F2146FC"/>
    <w:rsid w:val="6F22B1A9"/>
    <w:rsid w:val="6F22D34B"/>
    <w:rsid w:val="6F243255"/>
    <w:rsid w:val="6F244E6F"/>
    <w:rsid w:val="6F266FBB"/>
    <w:rsid w:val="6F2742D7"/>
    <w:rsid w:val="6F2851C5"/>
    <w:rsid w:val="6F294FE9"/>
    <w:rsid w:val="6F298E43"/>
    <w:rsid w:val="6F2B3E6F"/>
    <w:rsid w:val="6F2C2F2A"/>
    <w:rsid w:val="6F2C6A61"/>
    <w:rsid w:val="6F2CA257"/>
    <w:rsid w:val="6F2EAE5F"/>
    <w:rsid w:val="6F2F0DFD"/>
    <w:rsid w:val="6F2FF484"/>
    <w:rsid w:val="6F3036DD"/>
    <w:rsid w:val="6F31685C"/>
    <w:rsid w:val="6F32509C"/>
    <w:rsid w:val="6F32BAF1"/>
    <w:rsid w:val="6F348DEB"/>
    <w:rsid w:val="6F349DDE"/>
    <w:rsid w:val="6F34EBF5"/>
    <w:rsid w:val="6F375B40"/>
    <w:rsid w:val="6F380F45"/>
    <w:rsid w:val="6F3829C2"/>
    <w:rsid w:val="6F386A69"/>
    <w:rsid w:val="6F3B4289"/>
    <w:rsid w:val="6F3B42C3"/>
    <w:rsid w:val="6F3B7EBC"/>
    <w:rsid w:val="6F3BF00A"/>
    <w:rsid w:val="6F3CFD2E"/>
    <w:rsid w:val="6F3F4998"/>
    <w:rsid w:val="6F4679C6"/>
    <w:rsid w:val="6F49C40D"/>
    <w:rsid w:val="6F4A83F9"/>
    <w:rsid w:val="6F4B2D10"/>
    <w:rsid w:val="6F4FFD0A"/>
    <w:rsid w:val="6F50B590"/>
    <w:rsid w:val="6F52777F"/>
    <w:rsid w:val="6F53F244"/>
    <w:rsid w:val="6F5545AA"/>
    <w:rsid w:val="6F5878EE"/>
    <w:rsid w:val="6F590639"/>
    <w:rsid w:val="6F5AB50C"/>
    <w:rsid w:val="6F5B7829"/>
    <w:rsid w:val="6F5C3EF4"/>
    <w:rsid w:val="6F5D84AF"/>
    <w:rsid w:val="6F5DD97B"/>
    <w:rsid w:val="6F5E1CC6"/>
    <w:rsid w:val="6F6372CB"/>
    <w:rsid w:val="6F639FBA"/>
    <w:rsid w:val="6F645B99"/>
    <w:rsid w:val="6F6645EE"/>
    <w:rsid w:val="6F6834DB"/>
    <w:rsid w:val="6F68C096"/>
    <w:rsid w:val="6F691ACF"/>
    <w:rsid w:val="6F694AF7"/>
    <w:rsid w:val="6F69CC22"/>
    <w:rsid w:val="6F6C9CBF"/>
    <w:rsid w:val="6F6E45EA"/>
    <w:rsid w:val="6F6E8325"/>
    <w:rsid w:val="6F6EFF32"/>
    <w:rsid w:val="6F6F99B2"/>
    <w:rsid w:val="6F72C632"/>
    <w:rsid w:val="6F72D52F"/>
    <w:rsid w:val="6F73A1E3"/>
    <w:rsid w:val="6F73DA7B"/>
    <w:rsid w:val="6F741CB4"/>
    <w:rsid w:val="6F74B0F1"/>
    <w:rsid w:val="6F75B9A8"/>
    <w:rsid w:val="6F76FFE1"/>
    <w:rsid w:val="6F789324"/>
    <w:rsid w:val="6F79D33B"/>
    <w:rsid w:val="6F7B8E99"/>
    <w:rsid w:val="6F7BFE6D"/>
    <w:rsid w:val="6F7D538A"/>
    <w:rsid w:val="6F817B6A"/>
    <w:rsid w:val="6F848430"/>
    <w:rsid w:val="6F84EA2A"/>
    <w:rsid w:val="6F865956"/>
    <w:rsid w:val="6F86D2E2"/>
    <w:rsid w:val="6F880667"/>
    <w:rsid w:val="6F893E30"/>
    <w:rsid w:val="6F8A1BAF"/>
    <w:rsid w:val="6F8F81A6"/>
    <w:rsid w:val="6F948510"/>
    <w:rsid w:val="6F97EE23"/>
    <w:rsid w:val="6F999C15"/>
    <w:rsid w:val="6F9A31D6"/>
    <w:rsid w:val="6F9B7BCE"/>
    <w:rsid w:val="6F9BCA00"/>
    <w:rsid w:val="6F9BF473"/>
    <w:rsid w:val="6F9BF5E9"/>
    <w:rsid w:val="6F9C7240"/>
    <w:rsid w:val="6F9F2D95"/>
    <w:rsid w:val="6F9F57B9"/>
    <w:rsid w:val="6FA0C614"/>
    <w:rsid w:val="6FA2DD30"/>
    <w:rsid w:val="6FA59FFE"/>
    <w:rsid w:val="6FA8D1F6"/>
    <w:rsid w:val="6FA9F972"/>
    <w:rsid w:val="6FAA5552"/>
    <w:rsid w:val="6FAAD3A9"/>
    <w:rsid w:val="6FAC3B3B"/>
    <w:rsid w:val="6FAE488E"/>
    <w:rsid w:val="6FAEB1B3"/>
    <w:rsid w:val="6FAED18B"/>
    <w:rsid w:val="6FAF0FAE"/>
    <w:rsid w:val="6FAFB1F9"/>
    <w:rsid w:val="6FB30649"/>
    <w:rsid w:val="6FB3C9D3"/>
    <w:rsid w:val="6FB58E29"/>
    <w:rsid w:val="6FB633A2"/>
    <w:rsid w:val="6FB67CCB"/>
    <w:rsid w:val="6FB6D2D7"/>
    <w:rsid w:val="6FB7015A"/>
    <w:rsid w:val="6FB746AD"/>
    <w:rsid w:val="6FB8D093"/>
    <w:rsid w:val="6FBA245D"/>
    <w:rsid w:val="6FBA28A6"/>
    <w:rsid w:val="6FBADD22"/>
    <w:rsid w:val="6FBCD1F3"/>
    <w:rsid w:val="6FBE3DF0"/>
    <w:rsid w:val="6FBF0900"/>
    <w:rsid w:val="6FBF1DAC"/>
    <w:rsid w:val="6FBFA704"/>
    <w:rsid w:val="6FC127B9"/>
    <w:rsid w:val="6FC4401B"/>
    <w:rsid w:val="6FC515D9"/>
    <w:rsid w:val="6FC63F93"/>
    <w:rsid w:val="6FC9DC75"/>
    <w:rsid w:val="6FCB0171"/>
    <w:rsid w:val="6FCB0E05"/>
    <w:rsid w:val="6FCDC06A"/>
    <w:rsid w:val="6FCDF8FF"/>
    <w:rsid w:val="6FCF6EA7"/>
    <w:rsid w:val="6FD21488"/>
    <w:rsid w:val="6FD5401C"/>
    <w:rsid w:val="6FD77B7F"/>
    <w:rsid w:val="6FD8328D"/>
    <w:rsid w:val="6FD84B6A"/>
    <w:rsid w:val="6FD87302"/>
    <w:rsid w:val="6FD95713"/>
    <w:rsid w:val="6FDA91D3"/>
    <w:rsid w:val="6FDB6F15"/>
    <w:rsid w:val="6FDC6784"/>
    <w:rsid w:val="6FDC8214"/>
    <w:rsid w:val="6FDD4E0C"/>
    <w:rsid w:val="6FDDE181"/>
    <w:rsid w:val="6FE3B2E6"/>
    <w:rsid w:val="6FE3D1EC"/>
    <w:rsid w:val="6FE6769F"/>
    <w:rsid w:val="6FE6A8EC"/>
    <w:rsid w:val="6FE77519"/>
    <w:rsid w:val="6FE8E778"/>
    <w:rsid w:val="6FEA4F65"/>
    <w:rsid w:val="6FEB2069"/>
    <w:rsid w:val="6FEC2BD6"/>
    <w:rsid w:val="6FED142F"/>
    <w:rsid w:val="6FED5FD4"/>
    <w:rsid w:val="6FEF64F0"/>
    <w:rsid w:val="6FF020F0"/>
    <w:rsid w:val="6FF075E1"/>
    <w:rsid w:val="6FF2228A"/>
    <w:rsid w:val="6FF28749"/>
    <w:rsid w:val="6FF7D7BC"/>
    <w:rsid w:val="6FF7D7FC"/>
    <w:rsid w:val="6FF84454"/>
    <w:rsid w:val="6FF87F03"/>
    <w:rsid w:val="6FF8938C"/>
    <w:rsid w:val="6FF8C2DE"/>
    <w:rsid w:val="6FFA4EF4"/>
    <w:rsid w:val="6FFB04FC"/>
    <w:rsid w:val="6FFCEB12"/>
    <w:rsid w:val="6FFD6EF6"/>
    <w:rsid w:val="6FFF03DB"/>
    <w:rsid w:val="70034C89"/>
    <w:rsid w:val="700AFC6E"/>
    <w:rsid w:val="700B7FF9"/>
    <w:rsid w:val="700F01E2"/>
    <w:rsid w:val="7010D401"/>
    <w:rsid w:val="7012690F"/>
    <w:rsid w:val="70132D59"/>
    <w:rsid w:val="701A74C7"/>
    <w:rsid w:val="701B43C8"/>
    <w:rsid w:val="701D1470"/>
    <w:rsid w:val="7021FFD0"/>
    <w:rsid w:val="70233E69"/>
    <w:rsid w:val="70236E06"/>
    <w:rsid w:val="7024978E"/>
    <w:rsid w:val="70252124"/>
    <w:rsid w:val="7025238B"/>
    <w:rsid w:val="7025DBB5"/>
    <w:rsid w:val="7026D802"/>
    <w:rsid w:val="7028A2E5"/>
    <w:rsid w:val="702A3F15"/>
    <w:rsid w:val="702A743A"/>
    <w:rsid w:val="702BAF88"/>
    <w:rsid w:val="702C16DC"/>
    <w:rsid w:val="702C52D2"/>
    <w:rsid w:val="702E367E"/>
    <w:rsid w:val="70300855"/>
    <w:rsid w:val="7031905A"/>
    <w:rsid w:val="7031A851"/>
    <w:rsid w:val="70332890"/>
    <w:rsid w:val="70365390"/>
    <w:rsid w:val="70367710"/>
    <w:rsid w:val="70374018"/>
    <w:rsid w:val="70382FFB"/>
    <w:rsid w:val="703CD944"/>
    <w:rsid w:val="703DC644"/>
    <w:rsid w:val="703E1296"/>
    <w:rsid w:val="703E422B"/>
    <w:rsid w:val="703EDE21"/>
    <w:rsid w:val="70422D75"/>
    <w:rsid w:val="70432C59"/>
    <w:rsid w:val="7043710A"/>
    <w:rsid w:val="7048B2BF"/>
    <w:rsid w:val="70513FD8"/>
    <w:rsid w:val="7051F7EF"/>
    <w:rsid w:val="705225FA"/>
    <w:rsid w:val="705471C4"/>
    <w:rsid w:val="705703A5"/>
    <w:rsid w:val="705AF958"/>
    <w:rsid w:val="705B9652"/>
    <w:rsid w:val="705BD2E1"/>
    <w:rsid w:val="705DBFC3"/>
    <w:rsid w:val="705DF294"/>
    <w:rsid w:val="70612730"/>
    <w:rsid w:val="70634BE6"/>
    <w:rsid w:val="706583B3"/>
    <w:rsid w:val="70675065"/>
    <w:rsid w:val="7069371D"/>
    <w:rsid w:val="7069C59A"/>
    <w:rsid w:val="706ADD65"/>
    <w:rsid w:val="706B289C"/>
    <w:rsid w:val="706BD6CA"/>
    <w:rsid w:val="706C323A"/>
    <w:rsid w:val="706C3453"/>
    <w:rsid w:val="706D30DF"/>
    <w:rsid w:val="706F212C"/>
    <w:rsid w:val="70719190"/>
    <w:rsid w:val="707200B6"/>
    <w:rsid w:val="707348EB"/>
    <w:rsid w:val="7074089A"/>
    <w:rsid w:val="70791F5C"/>
    <w:rsid w:val="707FB5AE"/>
    <w:rsid w:val="707FB98C"/>
    <w:rsid w:val="70805D0E"/>
    <w:rsid w:val="70827721"/>
    <w:rsid w:val="70834B65"/>
    <w:rsid w:val="70834F93"/>
    <w:rsid w:val="70872A9B"/>
    <w:rsid w:val="70875F0E"/>
    <w:rsid w:val="708C6A40"/>
    <w:rsid w:val="708C8EB3"/>
    <w:rsid w:val="7090F117"/>
    <w:rsid w:val="70910F01"/>
    <w:rsid w:val="7091AA70"/>
    <w:rsid w:val="7091C50E"/>
    <w:rsid w:val="70928FF7"/>
    <w:rsid w:val="70934925"/>
    <w:rsid w:val="7095B185"/>
    <w:rsid w:val="709998E6"/>
    <w:rsid w:val="7099B55F"/>
    <w:rsid w:val="709AD24B"/>
    <w:rsid w:val="709B705A"/>
    <w:rsid w:val="709E273F"/>
    <w:rsid w:val="709EC9B4"/>
    <w:rsid w:val="709F6F22"/>
    <w:rsid w:val="70A18BEF"/>
    <w:rsid w:val="70A4415A"/>
    <w:rsid w:val="70A88659"/>
    <w:rsid w:val="70A9131F"/>
    <w:rsid w:val="70A93D21"/>
    <w:rsid w:val="70A967B1"/>
    <w:rsid w:val="70AA5297"/>
    <w:rsid w:val="70AB7B41"/>
    <w:rsid w:val="70AC74C0"/>
    <w:rsid w:val="70AD49C3"/>
    <w:rsid w:val="70ADF8F3"/>
    <w:rsid w:val="70AFBBFB"/>
    <w:rsid w:val="70B3E817"/>
    <w:rsid w:val="70B3F875"/>
    <w:rsid w:val="70B4415C"/>
    <w:rsid w:val="70B5EF06"/>
    <w:rsid w:val="70B7FB06"/>
    <w:rsid w:val="70B7FD93"/>
    <w:rsid w:val="70B800C6"/>
    <w:rsid w:val="70BD12B5"/>
    <w:rsid w:val="70BED4F8"/>
    <w:rsid w:val="70BF3B40"/>
    <w:rsid w:val="70C02FD7"/>
    <w:rsid w:val="70C15C7C"/>
    <w:rsid w:val="70C17855"/>
    <w:rsid w:val="70C1F26D"/>
    <w:rsid w:val="70C79C1C"/>
    <w:rsid w:val="70C8CC61"/>
    <w:rsid w:val="70C9B80C"/>
    <w:rsid w:val="70C9E273"/>
    <w:rsid w:val="70CAB4B8"/>
    <w:rsid w:val="70CBD567"/>
    <w:rsid w:val="70CC530C"/>
    <w:rsid w:val="70CE8921"/>
    <w:rsid w:val="70CEDACE"/>
    <w:rsid w:val="70D1CC12"/>
    <w:rsid w:val="70D518BF"/>
    <w:rsid w:val="70D52B27"/>
    <w:rsid w:val="70D73D40"/>
    <w:rsid w:val="70D79424"/>
    <w:rsid w:val="70DA635D"/>
    <w:rsid w:val="70E135E5"/>
    <w:rsid w:val="70E16E44"/>
    <w:rsid w:val="70E5A147"/>
    <w:rsid w:val="70E63680"/>
    <w:rsid w:val="70E70459"/>
    <w:rsid w:val="70E8E85F"/>
    <w:rsid w:val="70ECDC77"/>
    <w:rsid w:val="70EDBAF4"/>
    <w:rsid w:val="70EE43FE"/>
    <w:rsid w:val="70EF8077"/>
    <w:rsid w:val="70EF867D"/>
    <w:rsid w:val="70F080FF"/>
    <w:rsid w:val="70F45354"/>
    <w:rsid w:val="70F7DFC0"/>
    <w:rsid w:val="70F8057C"/>
    <w:rsid w:val="70F8C167"/>
    <w:rsid w:val="70FB0C05"/>
    <w:rsid w:val="70FD01C4"/>
    <w:rsid w:val="71006F01"/>
    <w:rsid w:val="7101803B"/>
    <w:rsid w:val="7102862B"/>
    <w:rsid w:val="710405EC"/>
    <w:rsid w:val="7106E47D"/>
    <w:rsid w:val="71077035"/>
    <w:rsid w:val="7107C50C"/>
    <w:rsid w:val="710B0487"/>
    <w:rsid w:val="710D3CCB"/>
    <w:rsid w:val="710E1F5E"/>
    <w:rsid w:val="710EB989"/>
    <w:rsid w:val="710EE624"/>
    <w:rsid w:val="710FC8C8"/>
    <w:rsid w:val="7111082B"/>
    <w:rsid w:val="7111BE70"/>
    <w:rsid w:val="7112AB4D"/>
    <w:rsid w:val="71131459"/>
    <w:rsid w:val="711534AD"/>
    <w:rsid w:val="7115B693"/>
    <w:rsid w:val="71170149"/>
    <w:rsid w:val="7118ADC9"/>
    <w:rsid w:val="71190BDF"/>
    <w:rsid w:val="71199A41"/>
    <w:rsid w:val="7119C452"/>
    <w:rsid w:val="711C04B1"/>
    <w:rsid w:val="711F3CC1"/>
    <w:rsid w:val="7120F34E"/>
    <w:rsid w:val="7121371A"/>
    <w:rsid w:val="71248EB9"/>
    <w:rsid w:val="7125CF8C"/>
    <w:rsid w:val="71269E0B"/>
    <w:rsid w:val="712A177B"/>
    <w:rsid w:val="712AAF9C"/>
    <w:rsid w:val="712AD707"/>
    <w:rsid w:val="712E8A05"/>
    <w:rsid w:val="712EDD48"/>
    <w:rsid w:val="713326E9"/>
    <w:rsid w:val="71337C78"/>
    <w:rsid w:val="71347BD5"/>
    <w:rsid w:val="7134E8B9"/>
    <w:rsid w:val="71358BEB"/>
    <w:rsid w:val="71363DD5"/>
    <w:rsid w:val="713A02A1"/>
    <w:rsid w:val="713AD7BA"/>
    <w:rsid w:val="713D86FF"/>
    <w:rsid w:val="713EACCC"/>
    <w:rsid w:val="7140476B"/>
    <w:rsid w:val="71413F5C"/>
    <w:rsid w:val="71444D7E"/>
    <w:rsid w:val="7145F8F7"/>
    <w:rsid w:val="71467CC1"/>
    <w:rsid w:val="7146A182"/>
    <w:rsid w:val="7146F575"/>
    <w:rsid w:val="7148B950"/>
    <w:rsid w:val="7148D580"/>
    <w:rsid w:val="714AD3D2"/>
    <w:rsid w:val="714F477E"/>
    <w:rsid w:val="714F6242"/>
    <w:rsid w:val="71505D47"/>
    <w:rsid w:val="7155568C"/>
    <w:rsid w:val="7155AF64"/>
    <w:rsid w:val="71564A1D"/>
    <w:rsid w:val="7157228F"/>
    <w:rsid w:val="71587471"/>
    <w:rsid w:val="715CAACF"/>
    <w:rsid w:val="715CB950"/>
    <w:rsid w:val="715F2382"/>
    <w:rsid w:val="7160B769"/>
    <w:rsid w:val="7165795B"/>
    <w:rsid w:val="716BD4FB"/>
    <w:rsid w:val="716C80AA"/>
    <w:rsid w:val="716E1112"/>
    <w:rsid w:val="716EAD07"/>
    <w:rsid w:val="716FB29A"/>
    <w:rsid w:val="717284B7"/>
    <w:rsid w:val="717338DE"/>
    <w:rsid w:val="717377B3"/>
    <w:rsid w:val="71738CCC"/>
    <w:rsid w:val="7174F29A"/>
    <w:rsid w:val="71750409"/>
    <w:rsid w:val="717693C1"/>
    <w:rsid w:val="7176DFF4"/>
    <w:rsid w:val="71771B62"/>
    <w:rsid w:val="7179EE59"/>
    <w:rsid w:val="71807529"/>
    <w:rsid w:val="7181B8EE"/>
    <w:rsid w:val="7182B4F4"/>
    <w:rsid w:val="71851764"/>
    <w:rsid w:val="71897B3E"/>
    <w:rsid w:val="718C63E3"/>
    <w:rsid w:val="7190CCF2"/>
    <w:rsid w:val="71911DEA"/>
    <w:rsid w:val="719123D7"/>
    <w:rsid w:val="719162BB"/>
    <w:rsid w:val="71927F7E"/>
    <w:rsid w:val="7193D8F7"/>
    <w:rsid w:val="7194154D"/>
    <w:rsid w:val="7194A395"/>
    <w:rsid w:val="719A3D2E"/>
    <w:rsid w:val="719ABF0D"/>
    <w:rsid w:val="719C3A16"/>
    <w:rsid w:val="719C4374"/>
    <w:rsid w:val="719D31BF"/>
    <w:rsid w:val="719DFFA4"/>
    <w:rsid w:val="719F9418"/>
    <w:rsid w:val="71A4C7FE"/>
    <w:rsid w:val="71A4EE3B"/>
    <w:rsid w:val="71A6E3BB"/>
    <w:rsid w:val="71A827FA"/>
    <w:rsid w:val="71A95D80"/>
    <w:rsid w:val="71A97BA5"/>
    <w:rsid w:val="71B02400"/>
    <w:rsid w:val="71B1430D"/>
    <w:rsid w:val="71B1F71A"/>
    <w:rsid w:val="71B28646"/>
    <w:rsid w:val="71B42A5A"/>
    <w:rsid w:val="71B455C4"/>
    <w:rsid w:val="71B5AF32"/>
    <w:rsid w:val="71B5E432"/>
    <w:rsid w:val="71B7B1C2"/>
    <w:rsid w:val="71B987F6"/>
    <w:rsid w:val="71BB10AF"/>
    <w:rsid w:val="71BD7937"/>
    <w:rsid w:val="71BED3AC"/>
    <w:rsid w:val="71BF6003"/>
    <w:rsid w:val="71C0E71E"/>
    <w:rsid w:val="71C1E677"/>
    <w:rsid w:val="71C5D98A"/>
    <w:rsid w:val="71C67043"/>
    <w:rsid w:val="71C84E85"/>
    <w:rsid w:val="71CA937F"/>
    <w:rsid w:val="71CC1E6C"/>
    <w:rsid w:val="71CEF21D"/>
    <w:rsid w:val="71CF0BC7"/>
    <w:rsid w:val="71CFAF1D"/>
    <w:rsid w:val="71CFFC5D"/>
    <w:rsid w:val="71D16078"/>
    <w:rsid w:val="71D1CB3D"/>
    <w:rsid w:val="71D33ABF"/>
    <w:rsid w:val="71D925A7"/>
    <w:rsid w:val="71D99308"/>
    <w:rsid w:val="71D9F690"/>
    <w:rsid w:val="71DAE727"/>
    <w:rsid w:val="71DBBEA6"/>
    <w:rsid w:val="71DC977A"/>
    <w:rsid w:val="71DE8F94"/>
    <w:rsid w:val="71DFC13C"/>
    <w:rsid w:val="71E4E338"/>
    <w:rsid w:val="71E595D7"/>
    <w:rsid w:val="71E65FD9"/>
    <w:rsid w:val="71E70C92"/>
    <w:rsid w:val="71E82DC8"/>
    <w:rsid w:val="71E8D891"/>
    <w:rsid w:val="71E989CF"/>
    <w:rsid w:val="71E99DCF"/>
    <w:rsid w:val="71E9CE57"/>
    <w:rsid w:val="71EA4FAB"/>
    <w:rsid w:val="71EC13F3"/>
    <w:rsid w:val="71EF5B66"/>
    <w:rsid w:val="71EFC0D2"/>
    <w:rsid w:val="71F01172"/>
    <w:rsid w:val="71F213ED"/>
    <w:rsid w:val="71F4008F"/>
    <w:rsid w:val="71F41E01"/>
    <w:rsid w:val="71F48B46"/>
    <w:rsid w:val="71F5EB0F"/>
    <w:rsid w:val="71FAB1A9"/>
    <w:rsid w:val="71FF7682"/>
    <w:rsid w:val="72071058"/>
    <w:rsid w:val="72085F27"/>
    <w:rsid w:val="72087200"/>
    <w:rsid w:val="72088BD1"/>
    <w:rsid w:val="7208E922"/>
    <w:rsid w:val="72090D20"/>
    <w:rsid w:val="720CFA04"/>
    <w:rsid w:val="720DC96B"/>
    <w:rsid w:val="7210CB4B"/>
    <w:rsid w:val="7212FD88"/>
    <w:rsid w:val="72135FFE"/>
    <w:rsid w:val="7213A5BF"/>
    <w:rsid w:val="72141F3C"/>
    <w:rsid w:val="721A106C"/>
    <w:rsid w:val="721C9919"/>
    <w:rsid w:val="721DDE58"/>
    <w:rsid w:val="7221821D"/>
    <w:rsid w:val="7221E2D7"/>
    <w:rsid w:val="7225DDB4"/>
    <w:rsid w:val="72284BC5"/>
    <w:rsid w:val="722927F5"/>
    <w:rsid w:val="72293D71"/>
    <w:rsid w:val="7229808A"/>
    <w:rsid w:val="722AA79F"/>
    <w:rsid w:val="722D4FA5"/>
    <w:rsid w:val="7230BF5E"/>
    <w:rsid w:val="723120FF"/>
    <w:rsid w:val="7233C973"/>
    <w:rsid w:val="7233FCE4"/>
    <w:rsid w:val="72358399"/>
    <w:rsid w:val="7235A944"/>
    <w:rsid w:val="72367B0C"/>
    <w:rsid w:val="7236A71C"/>
    <w:rsid w:val="72371FEF"/>
    <w:rsid w:val="72389EF5"/>
    <w:rsid w:val="723A328A"/>
    <w:rsid w:val="723B3A65"/>
    <w:rsid w:val="723BCA0B"/>
    <w:rsid w:val="723D4EE8"/>
    <w:rsid w:val="723DEF9B"/>
    <w:rsid w:val="7240E268"/>
    <w:rsid w:val="7241268E"/>
    <w:rsid w:val="7243F284"/>
    <w:rsid w:val="72455785"/>
    <w:rsid w:val="7245CAE9"/>
    <w:rsid w:val="7247629D"/>
    <w:rsid w:val="724A7096"/>
    <w:rsid w:val="724CCF36"/>
    <w:rsid w:val="724D07ED"/>
    <w:rsid w:val="724F408B"/>
    <w:rsid w:val="72514008"/>
    <w:rsid w:val="7251716E"/>
    <w:rsid w:val="72521A97"/>
    <w:rsid w:val="7253E91A"/>
    <w:rsid w:val="72544783"/>
    <w:rsid w:val="725619DF"/>
    <w:rsid w:val="7258B5C3"/>
    <w:rsid w:val="725908F6"/>
    <w:rsid w:val="7259237B"/>
    <w:rsid w:val="7259DD18"/>
    <w:rsid w:val="7261B8EF"/>
    <w:rsid w:val="726212CB"/>
    <w:rsid w:val="7263091D"/>
    <w:rsid w:val="7263CAAC"/>
    <w:rsid w:val="72651E57"/>
    <w:rsid w:val="72692C76"/>
    <w:rsid w:val="726BFF2E"/>
    <w:rsid w:val="726D3014"/>
    <w:rsid w:val="726E2648"/>
    <w:rsid w:val="726F0A10"/>
    <w:rsid w:val="727059CC"/>
    <w:rsid w:val="7270970E"/>
    <w:rsid w:val="7270C59A"/>
    <w:rsid w:val="7272C527"/>
    <w:rsid w:val="72734AB2"/>
    <w:rsid w:val="7273A52D"/>
    <w:rsid w:val="7274CC3A"/>
    <w:rsid w:val="7276ED99"/>
    <w:rsid w:val="72778920"/>
    <w:rsid w:val="72794739"/>
    <w:rsid w:val="727A5B1A"/>
    <w:rsid w:val="727A6B15"/>
    <w:rsid w:val="727B34DD"/>
    <w:rsid w:val="728524E1"/>
    <w:rsid w:val="7285DF07"/>
    <w:rsid w:val="72874BEF"/>
    <w:rsid w:val="7287D62A"/>
    <w:rsid w:val="7289FC11"/>
    <w:rsid w:val="728A141F"/>
    <w:rsid w:val="7290FCA6"/>
    <w:rsid w:val="729104B3"/>
    <w:rsid w:val="72911F59"/>
    <w:rsid w:val="72914338"/>
    <w:rsid w:val="72926D60"/>
    <w:rsid w:val="7292D6E9"/>
    <w:rsid w:val="72958059"/>
    <w:rsid w:val="7296CC93"/>
    <w:rsid w:val="72990B9E"/>
    <w:rsid w:val="729B3BE9"/>
    <w:rsid w:val="729C4D78"/>
    <w:rsid w:val="729D7706"/>
    <w:rsid w:val="729D9F3D"/>
    <w:rsid w:val="729E5081"/>
    <w:rsid w:val="729F1FD5"/>
    <w:rsid w:val="72A138C6"/>
    <w:rsid w:val="72A30EEC"/>
    <w:rsid w:val="72A3B8D3"/>
    <w:rsid w:val="72A5BD49"/>
    <w:rsid w:val="72AA4C2E"/>
    <w:rsid w:val="72AB936F"/>
    <w:rsid w:val="72AD490F"/>
    <w:rsid w:val="72AEBEFE"/>
    <w:rsid w:val="72AF0FCB"/>
    <w:rsid w:val="72B112FC"/>
    <w:rsid w:val="72B2F8B9"/>
    <w:rsid w:val="72B34646"/>
    <w:rsid w:val="72B3DBE8"/>
    <w:rsid w:val="72B3F9C7"/>
    <w:rsid w:val="72B534CA"/>
    <w:rsid w:val="72B71AC3"/>
    <w:rsid w:val="72B8B4FE"/>
    <w:rsid w:val="72BA7B9E"/>
    <w:rsid w:val="72BAE1D5"/>
    <w:rsid w:val="72BAF03E"/>
    <w:rsid w:val="72C29046"/>
    <w:rsid w:val="72C31780"/>
    <w:rsid w:val="72C379C9"/>
    <w:rsid w:val="72C4CAF8"/>
    <w:rsid w:val="72C4FCB5"/>
    <w:rsid w:val="72C5324D"/>
    <w:rsid w:val="72C599C7"/>
    <w:rsid w:val="72C5DDDE"/>
    <w:rsid w:val="72C8E2B7"/>
    <w:rsid w:val="72CB0D36"/>
    <w:rsid w:val="72CB1B3C"/>
    <w:rsid w:val="72CB32A6"/>
    <w:rsid w:val="72CD029E"/>
    <w:rsid w:val="72CDF38D"/>
    <w:rsid w:val="72CFB3C0"/>
    <w:rsid w:val="72D04952"/>
    <w:rsid w:val="72D05A65"/>
    <w:rsid w:val="72D13FAA"/>
    <w:rsid w:val="72D26051"/>
    <w:rsid w:val="72D32413"/>
    <w:rsid w:val="72D52451"/>
    <w:rsid w:val="72D53208"/>
    <w:rsid w:val="72D6F200"/>
    <w:rsid w:val="72D6F4D2"/>
    <w:rsid w:val="72D71C9A"/>
    <w:rsid w:val="72D7D2AB"/>
    <w:rsid w:val="72D8A032"/>
    <w:rsid w:val="72D9B911"/>
    <w:rsid w:val="72DAD194"/>
    <w:rsid w:val="72DB2359"/>
    <w:rsid w:val="72DC95CB"/>
    <w:rsid w:val="72DCC3E9"/>
    <w:rsid w:val="72DD2ABB"/>
    <w:rsid w:val="72DD8239"/>
    <w:rsid w:val="72DD9540"/>
    <w:rsid w:val="72DEE55F"/>
    <w:rsid w:val="72E11BCF"/>
    <w:rsid w:val="72E125DC"/>
    <w:rsid w:val="72E222CF"/>
    <w:rsid w:val="72E50785"/>
    <w:rsid w:val="72E5D964"/>
    <w:rsid w:val="72E7339E"/>
    <w:rsid w:val="72E95CE7"/>
    <w:rsid w:val="72E99E13"/>
    <w:rsid w:val="72EAD066"/>
    <w:rsid w:val="72EE2B02"/>
    <w:rsid w:val="72F0DC64"/>
    <w:rsid w:val="72F28155"/>
    <w:rsid w:val="72F35F6A"/>
    <w:rsid w:val="72F64E9A"/>
    <w:rsid w:val="72F91813"/>
    <w:rsid w:val="72FAE86B"/>
    <w:rsid w:val="72FDA6E7"/>
    <w:rsid w:val="73017476"/>
    <w:rsid w:val="7301EFFD"/>
    <w:rsid w:val="73030678"/>
    <w:rsid w:val="7303F187"/>
    <w:rsid w:val="730539BF"/>
    <w:rsid w:val="73069B0E"/>
    <w:rsid w:val="730736A7"/>
    <w:rsid w:val="7308025C"/>
    <w:rsid w:val="7309D898"/>
    <w:rsid w:val="730A08C5"/>
    <w:rsid w:val="730B0E67"/>
    <w:rsid w:val="730B232B"/>
    <w:rsid w:val="730F7EFF"/>
    <w:rsid w:val="731257E0"/>
    <w:rsid w:val="73135E75"/>
    <w:rsid w:val="7313757C"/>
    <w:rsid w:val="7313FA47"/>
    <w:rsid w:val="7314660B"/>
    <w:rsid w:val="73159462"/>
    <w:rsid w:val="73170B18"/>
    <w:rsid w:val="73180B42"/>
    <w:rsid w:val="731C2199"/>
    <w:rsid w:val="731E0174"/>
    <w:rsid w:val="731F1963"/>
    <w:rsid w:val="73220C76"/>
    <w:rsid w:val="7322E114"/>
    <w:rsid w:val="73239ED5"/>
    <w:rsid w:val="7328E787"/>
    <w:rsid w:val="732B4C50"/>
    <w:rsid w:val="732D0F1C"/>
    <w:rsid w:val="7331A6E0"/>
    <w:rsid w:val="7332597B"/>
    <w:rsid w:val="73337E78"/>
    <w:rsid w:val="73390614"/>
    <w:rsid w:val="73396B17"/>
    <w:rsid w:val="7339BD45"/>
    <w:rsid w:val="733AB2F8"/>
    <w:rsid w:val="733AC452"/>
    <w:rsid w:val="733CEEC9"/>
    <w:rsid w:val="733DE70E"/>
    <w:rsid w:val="7341FA51"/>
    <w:rsid w:val="7342AB5F"/>
    <w:rsid w:val="73456075"/>
    <w:rsid w:val="73499DFB"/>
    <w:rsid w:val="734B259A"/>
    <w:rsid w:val="734ECFD1"/>
    <w:rsid w:val="734FC920"/>
    <w:rsid w:val="735279D7"/>
    <w:rsid w:val="7352FDD6"/>
    <w:rsid w:val="7353CE95"/>
    <w:rsid w:val="73560AF8"/>
    <w:rsid w:val="73571348"/>
    <w:rsid w:val="735A2A68"/>
    <w:rsid w:val="735D0875"/>
    <w:rsid w:val="735D9557"/>
    <w:rsid w:val="735DF462"/>
    <w:rsid w:val="73602834"/>
    <w:rsid w:val="7361D0BB"/>
    <w:rsid w:val="7366E6D1"/>
    <w:rsid w:val="7368F308"/>
    <w:rsid w:val="7368F73C"/>
    <w:rsid w:val="736F36C7"/>
    <w:rsid w:val="737261D5"/>
    <w:rsid w:val="7375E345"/>
    <w:rsid w:val="73787607"/>
    <w:rsid w:val="7378C452"/>
    <w:rsid w:val="737CCAEC"/>
    <w:rsid w:val="737F6F34"/>
    <w:rsid w:val="73812862"/>
    <w:rsid w:val="738241D9"/>
    <w:rsid w:val="7382BD9B"/>
    <w:rsid w:val="738309A0"/>
    <w:rsid w:val="7383930B"/>
    <w:rsid w:val="73842081"/>
    <w:rsid w:val="73867529"/>
    <w:rsid w:val="738A71F2"/>
    <w:rsid w:val="738D5800"/>
    <w:rsid w:val="738F5E1D"/>
    <w:rsid w:val="73909439"/>
    <w:rsid w:val="7390A590"/>
    <w:rsid w:val="7392C48F"/>
    <w:rsid w:val="73956BBF"/>
    <w:rsid w:val="73957335"/>
    <w:rsid w:val="7396F26B"/>
    <w:rsid w:val="739B1C7D"/>
    <w:rsid w:val="739B4FEC"/>
    <w:rsid w:val="739CA1B2"/>
    <w:rsid w:val="739E1D98"/>
    <w:rsid w:val="73A09C78"/>
    <w:rsid w:val="73A2BBF6"/>
    <w:rsid w:val="73A38353"/>
    <w:rsid w:val="73A857E6"/>
    <w:rsid w:val="73ABCE9A"/>
    <w:rsid w:val="73AC70DF"/>
    <w:rsid w:val="73ADD060"/>
    <w:rsid w:val="73B1004A"/>
    <w:rsid w:val="73B18BA8"/>
    <w:rsid w:val="73B1DEB2"/>
    <w:rsid w:val="73B5F3C7"/>
    <w:rsid w:val="73B73641"/>
    <w:rsid w:val="73B8CFCA"/>
    <w:rsid w:val="73B91E95"/>
    <w:rsid w:val="73B9759F"/>
    <w:rsid w:val="73B9AAD2"/>
    <w:rsid w:val="73BAA8EB"/>
    <w:rsid w:val="73BBAEA2"/>
    <w:rsid w:val="73BC1AE5"/>
    <w:rsid w:val="73BE314A"/>
    <w:rsid w:val="73BF6736"/>
    <w:rsid w:val="73BFFF11"/>
    <w:rsid w:val="73C018EB"/>
    <w:rsid w:val="73C0F798"/>
    <w:rsid w:val="73C30017"/>
    <w:rsid w:val="73C3F47F"/>
    <w:rsid w:val="73C498C6"/>
    <w:rsid w:val="73C72A8E"/>
    <w:rsid w:val="73C81A7A"/>
    <w:rsid w:val="73C8892C"/>
    <w:rsid w:val="73CAB7D3"/>
    <w:rsid w:val="73CAB8CD"/>
    <w:rsid w:val="73CC21C2"/>
    <w:rsid w:val="73CC29C9"/>
    <w:rsid w:val="73D0F7F4"/>
    <w:rsid w:val="73D21139"/>
    <w:rsid w:val="73D29445"/>
    <w:rsid w:val="73D397AC"/>
    <w:rsid w:val="73D4EA10"/>
    <w:rsid w:val="73D68523"/>
    <w:rsid w:val="73D6C71D"/>
    <w:rsid w:val="73DCEDB6"/>
    <w:rsid w:val="73DCF6F3"/>
    <w:rsid w:val="73DD5026"/>
    <w:rsid w:val="73DEC940"/>
    <w:rsid w:val="73DFC12D"/>
    <w:rsid w:val="73E30FC4"/>
    <w:rsid w:val="73E42296"/>
    <w:rsid w:val="73E4BA9B"/>
    <w:rsid w:val="73E4E25E"/>
    <w:rsid w:val="73E8004D"/>
    <w:rsid w:val="73E88B6E"/>
    <w:rsid w:val="73E949A3"/>
    <w:rsid w:val="73EA6483"/>
    <w:rsid w:val="73EBB3A5"/>
    <w:rsid w:val="73ED22ED"/>
    <w:rsid w:val="73EF2B90"/>
    <w:rsid w:val="73F0885C"/>
    <w:rsid w:val="73F22EE0"/>
    <w:rsid w:val="73F36F42"/>
    <w:rsid w:val="73F4986A"/>
    <w:rsid w:val="73F5503C"/>
    <w:rsid w:val="73F5D904"/>
    <w:rsid w:val="73F66FB6"/>
    <w:rsid w:val="740014BB"/>
    <w:rsid w:val="7400CCFB"/>
    <w:rsid w:val="7402F148"/>
    <w:rsid w:val="740323E4"/>
    <w:rsid w:val="74035A63"/>
    <w:rsid w:val="7403B7E0"/>
    <w:rsid w:val="7406D9BC"/>
    <w:rsid w:val="74090FE5"/>
    <w:rsid w:val="740AF23A"/>
    <w:rsid w:val="740E188C"/>
    <w:rsid w:val="740E53F6"/>
    <w:rsid w:val="740F1B8A"/>
    <w:rsid w:val="7410F036"/>
    <w:rsid w:val="7411069A"/>
    <w:rsid w:val="741182C5"/>
    <w:rsid w:val="7411CF13"/>
    <w:rsid w:val="741233E1"/>
    <w:rsid w:val="7412D168"/>
    <w:rsid w:val="7413A4E2"/>
    <w:rsid w:val="7413CAE2"/>
    <w:rsid w:val="74140F8F"/>
    <w:rsid w:val="7414E755"/>
    <w:rsid w:val="741A0BEE"/>
    <w:rsid w:val="741A9A7A"/>
    <w:rsid w:val="741BBC8A"/>
    <w:rsid w:val="741CBC39"/>
    <w:rsid w:val="741D7D9B"/>
    <w:rsid w:val="741F215F"/>
    <w:rsid w:val="741F6977"/>
    <w:rsid w:val="741FFAF0"/>
    <w:rsid w:val="7420BAB8"/>
    <w:rsid w:val="742465F7"/>
    <w:rsid w:val="7424CD82"/>
    <w:rsid w:val="74261F88"/>
    <w:rsid w:val="742811EA"/>
    <w:rsid w:val="742ADD31"/>
    <w:rsid w:val="742B9669"/>
    <w:rsid w:val="742BB2A0"/>
    <w:rsid w:val="743355D5"/>
    <w:rsid w:val="7435734D"/>
    <w:rsid w:val="743E0021"/>
    <w:rsid w:val="743EDD5E"/>
    <w:rsid w:val="743F7D6A"/>
    <w:rsid w:val="74416819"/>
    <w:rsid w:val="74427699"/>
    <w:rsid w:val="74441433"/>
    <w:rsid w:val="7444CCAB"/>
    <w:rsid w:val="74451321"/>
    <w:rsid w:val="74479E55"/>
    <w:rsid w:val="7449D66F"/>
    <w:rsid w:val="744B1CF5"/>
    <w:rsid w:val="744B6EFE"/>
    <w:rsid w:val="744BD046"/>
    <w:rsid w:val="744BE154"/>
    <w:rsid w:val="744BF514"/>
    <w:rsid w:val="744C526F"/>
    <w:rsid w:val="744C6915"/>
    <w:rsid w:val="744D706B"/>
    <w:rsid w:val="744F8371"/>
    <w:rsid w:val="7450D597"/>
    <w:rsid w:val="74513AC3"/>
    <w:rsid w:val="74519E59"/>
    <w:rsid w:val="7451D081"/>
    <w:rsid w:val="7451FC31"/>
    <w:rsid w:val="7453018C"/>
    <w:rsid w:val="74540B1D"/>
    <w:rsid w:val="7454427B"/>
    <w:rsid w:val="74556D98"/>
    <w:rsid w:val="7455E9BC"/>
    <w:rsid w:val="745A7257"/>
    <w:rsid w:val="745EF3AB"/>
    <w:rsid w:val="745FB9FA"/>
    <w:rsid w:val="745FE72B"/>
    <w:rsid w:val="7460EE8F"/>
    <w:rsid w:val="74619D90"/>
    <w:rsid w:val="746324D4"/>
    <w:rsid w:val="74643EAD"/>
    <w:rsid w:val="74650F78"/>
    <w:rsid w:val="7468A3EE"/>
    <w:rsid w:val="7469E9FA"/>
    <w:rsid w:val="746A2100"/>
    <w:rsid w:val="746C5B0C"/>
    <w:rsid w:val="746D0276"/>
    <w:rsid w:val="746D4449"/>
    <w:rsid w:val="747017CE"/>
    <w:rsid w:val="74714F56"/>
    <w:rsid w:val="7471B342"/>
    <w:rsid w:val="74721DB0"/>
    <w:rsid w:val="74723D23"/>
    <w:rsid w:val="74743FDD"/>
    <w:rsid w:val="747609B3"/>
    <w:rsid w:val="74760D07"/>
    <w:rsid w:val="7477668D"/>
    <w:rsid w:val="7477B8A6"/>
    <w:rsid w:val="747A440D"/>
    <w:rsid w:val="747C87FE"/>
    <w:rsid w:val="747D96A5"/>
    <w:rsid w:val="747FAF33"/>
    <w:rsid w:val="7481152C"/>
    <w:rsid w:val="74827B26"/>
    <w:rsid w:val="74837447"/>
    <w:rsid w:val="74852CBB"/>
    <w:rsid w:val="748BBF8D"/>
    <w:rsid w:val="748CA60A"/>
    <w:rsid w:val="7491AC96"/>
    <w:rsid w:val="74923949"/>
    <w:rsid w:val="7492F0BA"/>
    <w:rsid w:val="74936AE9"/>
    <w:rsid w:val="74943507"/>
    <w:rsid w:val="74982FD7"/>
    <w:rsid w:val="749889CC"/>
    <w:rsid w:val="7498A302"/>
    <w:rsid w:val="7499559C"/>
    <w:rsid w:val="749DF5DE"/>
    <w:rsid w:val="74A09824"/>
    <w:rsid w:val="74A1ACE9"/>
    <w:rsid w:val="74A5A7E3"/>
    <w:rsid w:val="74A6A17C"/>
    <w:rsid w:val="74A7ED36"/>
    <w:rsid w:val="74A8A4C9"/>
    <w:rsid w:val="74A9D036"/>
    <w:rsid w:val="74AB5848"/>
    <w:rsid w:val="74AF3B0A"/>
    <w:rsid w:val="74AF8F81"/>
    <w:rsid w:val="74AFA8E5"/>
    <w:rsid w:val="74B316FB"/>
    <w:rsid w:val="74B3AEAF"/>
    <w:rsid w:val="74B41C21"/>
    <w:rsid w:val="74B48582"/>
    <w:rsid w:val="74B508F0"/>
    <w:rsid w:val="74B68FCA"/>
    <w:rsid w:val="74B691E3"/>
    <w:rsid w:val="74B76233"/>
    <w:rsid w:val="74BCFED9"/>
    <w:rsid w:val="74BF1F53"/>
    <w:rsid w:val="74BF98CD"/>
    <w:rsid w:val="74C22B3E"/>
    <w:rsid w:val="74C46134"/>
    <w:rsid w:val="74C481BB"/>
    <w:rsid w:val="74C5141F"/>
    <w:rsid w:val="74C75E8A"/>
    <w:rsid w:val="74C8364B"/>
    <w:rsid w:val="74C83914"/>
    <w:rsid w:val="74C8FBC4"/>
    <w:rsid w:val="74C9445A"/>
    <w:rsid w:val="74CDDBAF"/>
    <w:rsid w:val="74CF5A25"/>
    <w:rsid w:val="74CF86C2"/>
    <w:rsid w:val="74D0E015"/>
    <w:rsid w:val="74D28F2C"/>
    <w:rsid w:val="74D36F30"/>
    <w:rsid w:val="74D426B0"/>
    <w:rsid w:val="74D47FFF"/>
    <w:rsid w:val="74D8B4B9"/>
    <w:rsid w:val="74DA43CD"/>
    <w:rsid w:val="74DBD5D9"/>
    <w:rsid w:val="74DC300E"/>
    <w:rsid w:val="74DC3081"/>
    <w:rsid w:val="74DDCFAA"/>
    <w:rsid w:val="74DEDC8D"/>
    <w:rsid w:val="74DF22E7"/>
    <w:rsid w:val="74DF6EEF"/>
    <w:rsid w:val="74E473F0"/>
    <w:rsid w:val="74E4C1EC"/>
    <w:rsid w:val="74E628AB"/>
    <w:rsid w:val="74E666A6"/>
    <w:rsid w:val="74E6DA1B"/>
    <w:rsid w:val="74E82E0E"/>
    <w:rsid w:val="74E85B10"/>
    <w:rsid w:val="74EA0796"/>
    <w:rsid w:val="74EC951B"/>
    <w:rsid w:val="74EEA300"/>
    <w:rsid w:val="74EF9320"/>
    <w:rsid w:val="74F04DD4"/>
    <w:rsid w:val="74F4F6AA"/>
    <w:rsid w:val="74F53129"/>
    <w:rsid w:val="74F55637"/>
    <w:rsid w:val="74F56B94"/>
    <w:rsid w:val="74F6794D"/>
    <w:rsid w:val="74FB9BA2"/>
    <w:rsid w:val="74FC0DC8"/>
    <w:rsid w:val="7501984D"/>
    <w:rsid w:val="75023F8F"/>
    <w:rsid w:val="75025861"/>
    <w:rsid w:val="75043215"/>
    <w:rsid w:val="75058C2A"/>
    <w:rsid w:val="750895CC"/>
    <w:rsid w:val="750A2C6B"/>
    <w:rsid w:val="750AF84B"/>
    <w:rsid w:val="750F7F35"/>
    <w:rsid w:val="750FB71C"/>
    <w:rsid w:val="75107E29"/>
    <w:rsid w:val="75119636"/>
    <w:rsid w:val="7513B27A"/>
    <w:rsid w:val="751459F0"/>
    <w:rsid w:val="751617F9"/>
    <w:rsid w:val="75162F8E"/>
    <w:rsid w:val="751669F9"/>
    <w:rsid w:val="75183DD9"/>
    <w:rsid w:val="7518AB4F"/>
    <w:rsid w:val="7518E7AE"/>
    <w:rsid w:val="751A6E45"/>
    <w:rsid w:val="751B26BD"/>
    <w:rsid w:val="751E26EB"/>
    <w:rsid w:val="75250A37"/>
    <w:rsid w:val="7528F4B5"/>
    <w:rsid w:val="752951D5"/>
    <w:rsid w:val="752C5DEA"/>
    <w:rsid w:val="752C8F44"/>
    <w:rsid w:val="752D434F"/>
    <w:rsid w:val="752FFEEB"/>
    <w:rsid w:val="75351E9A"/>
    <w:rsid w:val="75360304"/>
    <w:rsid w:val="7537300E"/>
    <w:rsid w:val="753A1721"/>
    <w:rsid w:val="753E15A1"/>
    <w:rsid w:val="753E351D"/>
    <w:rsid w:val="754074ED"/>
    <w:rsid w:val="75414628"/>
    <w:rsid w:val="75436E83"/>
    <w:rsid w:val="7547A03E"/>
    <w:rsid w:val="754847E0"/>
    <w:rsid w:val="7549BDC3"/>
    <w:rsid w:val="754A87A5"/>
    <w:rsid w:val="754C1503"/>
    <w:rsid w:val="754D2338"/>
    <w:rsid w:val="754DB15D"/>
    <w:rsid w:val="754F2294"/>
    <w:rsid w:val="7551A9B3"/>
    <w:rsid w:val="75525C26"/>
    <w:rsid w:val="755264C6"/>
    <w:rsid w:val="75544C8D"/>
    <w:rsid w:val="7558F067"/>
    <w:rsid w:val="755908FF"/>
    <w:rsid w:val="755BB3D0"/>
    <w:rsid w:val="755C09D6"/>
    <w:rsid w:val="755C3A1D"/>
    <w:rsid w:val="755D195A"/>
    <w:rsid w:val="755D6A7E"/>
    <w:rsid w:val="755FC608"/>
    <w:rsid w:val="755FEB2E"/>
    <w:rsid w:val="75610E37"/>
    <w:rsid w:val="7563D1F3"/>
    <w:rsid w:val="7563F50E"/>
    <w:rsid w:val="75643164"/>
    <w:rsid w:val="7564AFA8"/>
    <w:rsid w:val="756768A4"/>
    <w:rsid w:val="756B302F"/>
    <w:rsid w:val="756E8D29"/>
    <w:rsid w:val="75704D0B"/>
    <w:rsid w:val="7571D1DC"/>
    <w:rsid w:val="7575A5B8"/>
    <w:rsid w:val="7576F6BF"/>
    <w:rsid w:val="7577CF38"/>
    <w:rsid w:val="757B3F93"/>
    <w:rsid w:val="757B6BE1"/>
    <w:rsid w:val="757D361D"/>
    <w:rsid w:val="757EEA9D"/>
    <w:rsid w:val="758090CA"/>
    <w:rsid w:val="7582149F"/>
    <w:rsid w:val="75828773"/>
    <w:rsid w:val="7583AFB2"/>
    <w:rsid w:val="7583BBB0"/>
    <w:rsid w:val="75851ED9"/>
    <w:rsid w:val="758588C9"/>
    <w:rsid w:val="75899227"/>
    <w:rsid w:val="7589AF3C"/>
    <w:rsid w:val="758B6C63"/>
    <w:rsid w:val="758F06B8"/>
    <w:rsid w:val="7590D121"/>
    <w:rsid w:val="7594D6E5"/>
    <w:rsid w:val="7596AA77"/>
    <w:rsid w:val="7596C31E"/>
    <w:rsid w:val="75A0A07C"/>
    <w:rsid w:val="75A237D8"/>
    <w:rsid w:val="75A63B48"/>
    <w:rsid w:val="75A694B5"/>
    <w:rsid w:val="75AC7175"/>
    <w:rsid w:val="75AD8C93"/>
    <w:rsid w:val="75ADC65B"/>
    <w:rsid w:val="75B3F03A"/>
    <w:rsid w:val="75B7ED18"/>
    <w:rsid w:val="75BAAB43"/>
    <w:rsid w:val="75BE6D68"/>
    <w:rsid w:val="75BFD2B8"/>
    <w:rsid w:val="75BFE38C"/>
    <w:rsid w:val="75C18F7C"/>
    <w:rsid w:val="75C305F7"/>
    <w:rsid w:val="75C4EFAC"/>
    <w:rsid w:val="75C4FB10"/>
    <w:rsid w:val="75C608B2"/>
    <w:rsid w:val="75C79B3D"/>
    <w:rsid w:val="75C867E5"/>
    <w:rsid w:val="75C8BEB4"/>
    <w:rsid w:val="75CA0467"/>
    <w:rsid w:val="75CA3310"/>
    <w:rsid w:val="75CEBB9F"/>
    <w:rsid w:val="75D19E46"/>
    <w:rsid w:val="75D3CA74"/>
    <w:rsid w:val="75D4B8DF"/>
    <w:rsid w:val="75D503D5"/>
    <w:rsid w:val="75D7A221"/>
    <w:rsid w:val="75D9585C"/>
    <w:rsid w:val="75DAB14E"/>
    <w:rsid w:val="75DC819C"/>
    <w:rsid w:val="75DD9892"/>
    <w:rsid w:val="75DDD7FB"/>
    <w:rsid w:val="75DFB5DF"/>
    <w:rsid w:val="75E191A9"/>
    <w:rsid w:val="75E35361"/>
    <w:rsid w:val="75E601EC"/>
    <w:rsid w:val="75E61B68"/>
    <w:rsid w:val="75E69EB0"/>
    <w:rsid w:val="75E74A1F"/>
    <w:rsid w:val="75E92742"/>
    <w:rsid w:val="75E9922C"/>
    <w:rsid w:val="75E99CB6"/>
    <w:rsid w:val="75EAB40C"/>
    <w:rsid w:val="75EBB29A"/>
    <w:rsid w:val="75ECD37D"/>
    <w:rsid w:val="75EE2D40"/>
    <w:rsid w:val="75EE83DF"/>
    <w:rsid w:val="75EF2699"/>
    <w:rsid w:val="75F01EA3"/>
    <w:rsid w:val="75F0908C"/>
    <w:rsid w:val="75F30D43"/>
    <w:rsid w:val="75F32E00"/>
    <w:rsid w:val="75F65BEB"/>
    <w:rsid w:val="75F932CE"/>
    <w:rsid w:val="75F93C4F"/>
    <w:rsid w:val="75F9E1CE"/>
    <w:rsid w:val="75FB1EA3"/>
    <w:rsid w:val="75FD19DB"/>
    <w:rsid w:val="75FF08AA"/>
    <w:rsid w:val="75FF936B"/>
    <w:rsid w:val="7600E029"/>
    <w:rsid w:val="7600F1F8"/>
    <w:rsid w:val="7600F3E3"/>
    <w:rsid w:val="7604FBB9"/>
    <w:rsid w:val="760500F4"/>
    <w:rsid w:val="76053CE5"/>
    <w:rsid w:val="7605FD93"/>
    <w:rsid w:val="7607AC8F"/>
    <w:rsid w:val="7608739B"/>
    <w:rsid w:val="76087825"/>
    <w:rsid w:val="7608DE12"/>
    <w:rsid w:val="760A4830"/>
    <w:rsid w:val="760C39C6"/>
    <w:rsid w:val="76125DDF"/>
    <w:rsid w:val="76129F90"/>
    <w:rsid w:val="7615CAA9"/>
    <w:rsid w:val="7615CB57"/>
    <w:rsid w:val="76193E3A"/>
    <w:rsid w:val="761CE0C4"/>
    <w:rsid w:val="761EA355"/>
    <w:rsid w:val="761FB404"/>
    <w:rsid w:val="7620B403"/>
    <w:rsid w:val="762167CC"/>
    <w:rsid w:val="76230150"/>
    <w:rsid w:val="7623C4E9"/>
    <w:rsid w:val="762824FF"/>
    <w:rsid w:val="762A80FF"/>
    <w:rsid w:val="762B261B"/>
    <w:rsid w:val="762C0AF9"/>
    <w:rsid w:val="762C7116"/>
    <w:rsid w:val="762C7BBD"/>
    <w:rsid w:val="762F0BD2"/>
    <w:rsid w:val="76310F25"/>
    <w:rsid w:val="76350264"/>
    <w:rsid w:val="7636DB9F"/>
    <w:rsid w:val="76371772"/>
    <w:rsid w:val="763743F9"/>
    <w:rsid w:val="7637C9FE"/>
    <w:rsid w:val="7639C249"/>
    <w:rsid w:val="763A95DB"/>
    <w:rsid w:val="763AC4A1"/>
    <w:rsid w:val="763B158E"/>
    <w:rsid w:val="763D5A3A"/>
    <w:rsid w:val="763F38EE"/>
    <w:rsid w:val="763F9506"/>
    <w:rsid w:val="7642EBD2"/>
    <w:rsid w:val="7646F959"/>
    <w:rsid w:val="76477898"/>
    <w:rsid w:val="76497DEA"/>
    <w:rsid w:val="764BFE75"/>
    <w:rsid w:val="764CF29A"/>
    <w:rsid w:val="764D36D2"/>
    <w:rsid w:val="764D6385"/>
    <w:rsid w:val="764F3490"/>
    <w:rsid w:val="7653CDA5"/>
    <w:rsid w:val="765A4CA9"/>
    <w:rsid w:val="765B4CE3"/>
    <w:rsid w:val="765DABC1"/>
    <w:rsid w:val="7660412C"/>
    <w:rsid w:val="7661640E"/>
    <w:rsid w:val="766338E7"/>
    <w:rsid w:val="7664FC93"/>
    <w:rsid w:val="766633DF"/>
    <w:rsid w:val="76675894"/>
    <w:rsid w:val="7668CE86"/>
    <w:rsid w:val="766B2A12"/>
    <w:rsid w:val="766F7352"/>
    <w:rsid w:val="767285D6"/>
    <w:rsid w:val="76747F96"/>
    <w:rsid w:val="76748A88"/>
    <w:rsid w:val="767667CF"/>
    <w:rsid w:val="7676BBBE"/>
    <w:rsid w:val="7676FE7A"/>
    <w:rsid w:val="7677DBC6"/>
    <w:rsid w:val="7677ECEB"/>
    <w:rsid w:val="76780525"/>
    <w:rsid w:val="7678FB1F"/>
    <w:rsid w:val="767EC539"/>
    <w:rsid w:val="7684E739"/>
    <w:rsid w:val="7684F051"/>
    <w:rsid w:val="768708EE"/>
    <w:rsid w:val="768A3700"/>
    <w:rsid w:val="768B819F"/>
    <w:rsid w:val="768C8F5A"/>
    <w:rsid w:val="768D5E3E"/>
    <w:rsid w:val="768EE077"/>
    <w:rsid w:val="7690DBBA"/>
    <w:rsid w:val="76911DCB"/>
    <w:rsid w:val="7691998B"/>
    <w:rsid w:val="7694238B"/>
    <w:rsid w:val="76968796"/>
    <w:rsid w:val="7696FB78"/>
    <w:rsid w:val="7697DEC5"/>
    <w:rsid w:val="7698D275"/>
    <w:rsid w:val="7698D5CD"/>
    <w:rsid w:val="769ED48B"/>
    <w:rsid w:val="76A23D1F"/>
    <w:rsid w:val="76A34043"/>
    <w:rsid w:val="76A34D33"/>
    <w:rsid w:val="76A3CB04"/>
    <w:rsid w:val="76A476B6"/>
    <w:rsid w:val="76A8D06E"/>
    <w:rsid w:val="76AA4F60"/>
    <w:rsid w:val="76AB00A6"/>
    <w:rsid w:val="76AD2190"/>
    <w:rsid w:val="76B1DE24"/>
    <w:rsid w:val="76B6AF9A"/>
    <w:rsid w:val="76B7A30A"/>
    <w:rsid w:val="76B7B009"/>
    <w:rsid w:val="76BB736A"/>
    <w:rsid w:val="76BBC174"/>
    <w:rsid w:val="76BC1B1B"/>
    <w:rsid w:val="76BC4D54"/>
    <w:rsid w:val="76BF7CA5"/>
    <w:rsid w:val="76C0F81A"/>
    <w:rsid w:val="76C167AB"/>
    <w:rsid w:val="76C1D993"/>
    <w:rsid w:val="76C33251"/>
    <w:rsid w:val="76C3D268"/>
    <w:rsid w:val="76C54827"/>
    <w:rsid w:val="76C7A19C"/>
    <w:rsid w:val="76C899DD"/>
    <w:rsid w:val="76C8A2AD"/>
    <w:rsid w:val="76C9DC15"/>
    <w:rsid w:val="76CA7353"/>
    <w:rsid w:val="76CD1BD5"/>
    <w:rsid w:val="76D18ACC"/>
    <w:rsid w:val="76D20435"/>
    <w:rsid w:val="76D4EAB9"/>
    <w:rsid w:val="76D52BCA"/>
    <w:rsid w:val="76D59A65"/>
    <w:rsid w:val="76D76622"/>
    <w:rsid w:val="76D7EC20"/>
    <w:rsid w:val="76D85FBE"/>
    <w:rsid w:val="76D89573"/>
    <w:rsid w:val="76D8CB29"/>
    <w:rsid w:val="76D95011"/>
    <w:rsid w:val="76DA8297"/>
    <w:rsid w:val="76DE7A7E"/>
    <w:rsid w:val="76E07939"/>
    <w:rsid w:val="76E10121"/>
    <w:rsid w:val="76E22656"/>
    <w:rsid w:val="76E32B5D"/>
    <w:rsid w:val="76E343B6"/>
    <w:rsid w:val="76E5C61D"/>
    <w:rsid w:val="76E7065A"/>
    <w:rsid w:val="76E7C373"/>
    <w:rsid w:val="76E7E70C"/>
    <w:rsid w:val="76E7E738"/>
    <w:rsid w:val="76E96D50"/>
    <w:rsid w:val="76E9A228"/>
    <w:rsid w:val="76ECC524"/>
    <w:rsid w:val="76EF89E8"/>
    <w:rsid w:val="76F14026"/>
    <w:rsid w:val="76F288D7"/>
    <w:rsid w:val="76F33942"/>
    <w:rsid w:val="76F3EFAE"/>
    <w:rsid w:val="76F6CF1B"/>
    <w:rsid w:val="76F94FCE"/>
    <w:rsid w:val="76F9AB8F"/>
    <w:rsid w:val="76FEC92E"/>
    <w:rsid w:val="76FF5F37"/>
    <w:rsid w:val="7700B9FE"/>
    <w:rsid w:val="7701CFAC"/>
    <w:rsid w:val="77021118"/>
    <w:rsid w:val="7702BAA3"/>
    <w:rsid w:val="7702CC91"/>
    <w:rsid w:val="77045593"/>
    <w:rsid w:val="7704B795"/>
    <w:rsid w:val="7704C5B4"/>
    <w:rsid w:val="77064AF2"/>
    <w:rsid w:val="77066941"/>
    <w:rsid w:val="7707268C"/>
    <w:rsid w:val="77091135"/>
    <w:rsid w:val="7709D56B"/>
    <w:rsid w:val="770A234A"/>
    <w:rsid w:val="770B8D01"/>
    <w:rsid w:val="770B9C56"/>
    <w:rsid w:val="770BAC61"/>
    <w:rsid w:val="770CE7C5"/>
    <w:rsid w:val="770D2C34"/>
    <w:rsid w:val="770D4809"/>
    <w:rsid w:val="770F8086"/>
    <w:rsid w:val="771132E8"/>
    <w:rsid w:val="771175C8"/>
    <w:rsid w:val="77142A7E"/>
    <w:rsid w:val="77176B5D"/>
    <w:rsid w:val="7717C1EC"/>
    <w:rsid w:val="771BB8B5"/>
    <w:rsid w:val="771D34A4"/>
    <w:rsid w:val="771D8E03"/>
    <w:rsid w:val="771E8584"/>
    <w:rsid w:val="77202856"/>
    <w:rsid w:val="7722DA2C"/>
    <w:rsid w:val="77233088"/>
    <w:rsid w:val="7724CEDF"/>
    <w:rsid w:val="77256E46"/>
    <w:rsid w:val="77274D6B"/>
    <w:rsid w:val="7727BF07"/>
    <w:rsid w:val="77289B80"/>
    <w:rsid w:val="7729E927"/>
    <w:rsid w:val="7729F5E1"/>
    <w:rsid w:val="772A2ADC"/>
    <w:rsid w:val="772A49B0"/>
    <w:rsid w:val="772C50BD"/>
    <w:rsid w:val="772CD0C8"/>
    <w:rsid w:val="772D5E58"/>
    <w:rsid w:val="772E0AFA"/>
    <w:rsid w:val="773120A0"/>
    <w:rsid w:val="7732F4D6"/>
    <w:rsid w:val="773412AD"/>
    <w:rsid w:val="77349985"/>
    <w:rsid w:val="773509CE"/>
    <w:rsid w:val="77367600"/>
    <w:rsid w:val="77367B48"/>
    <w:rsid w:val="77369C87"/>
    <w:rsid w:val="7738932A"/>
    <w:rsid w:val="773C1C9A"/>
    <w:rsid w:val="773D8C12"/>
    <w:rsid w:val="774288E4"/>
    <w:rsid w:val="7742CD66"/>
    <w:rsid w:val="77432522"/>
    <w:rsid w:val="77456737"/>
    <w:rsid w:val="7749F88B"/>
    <w:rsid w:val="774BCC36"/>
    <w:rsid w:val="774D28B2"/>
    <w:rsid w:val="774F130E"/>
    <w:rsid w:val="774FAB4A"/>
    <w:rsid w:val="77506EDD"/>
    <w:rsid w:val="77529259"/>
    <w:rsid w:val="77531775"/>
    <w:rsid w:val="7753509E"/>
    <w:rsid w:val="775398D7"/>
    <w:rsid w:val="77542C60"/>
    <w:rsid w:val="775475C7"/>
    <w:rsid w:val="7754E887"/>
    <w:rsid w:val="77568035"/>
    <w:rsid w:val="7757E6E8"/>
    <w:rsid w:val="7758D640"/>
    <w:rsid w:val="775ABE3C"/>
    <w:rsid w:val="775B619A"/>
    <w:rsid w:val="775B92B6"/>
    <w:rsid w:val="775BC3FD"/>
    <w:rsid w:val="775C31D3"/>
    <w:rsid w:val="775DFF80"/>
    <w:rsid w:val="77605749"/>
    <w:rsid w:val="776289C8"/>
    <w:rsid w:val="7763EAC7"/>
    <w:rsid w:val="776472E5"/>
    <w:rsid w:val="77650083"/>
    <w:rsid w:val="776B4E11"/>
    <w:rsid w:val="7773683B"/>
    <w:rsid w:val="7773FB55"/>
    <w:rsid w:val="77745515"/>
    <w:rsid w:val="7774CD2D"/>
    <w:rsid w:val="77789B25"/>
    <w:rsid w:val="7778FE25"/>
    <w:rsid w:val="777A7B7D"/>
    <w:rsid w:val="777A813E"/>
    <w:rsid w:val="777A965A"/>
    <w:rsid w:val="777C25E8"/>
    <w:rsid w:val="777CAF42"/>
    <w:rsid w:val="777CE97C"/>
    <w:rsid w:val="777E5436"/>
    <w:rsid w:val="777F2F66"/>
    <w:rsid w:val="777F7028"/>
    <w:rsid w:val="7781DD47"/>
    <w:rsid w:val="7782EC40"/>
    <w:rsid w:val="77835F66"/>
    <w:rsid w:val="7783FBF5"/>
    <w:rsid w:val="778775F4"/>
    <w:rsid w:val="77894304"/>
    <w:rsid w:val="77897D32"/>
    <w:rsid w:val="778A1AC0"/>
    <w:rsid w:val="778C5C9A"/>
    <w:rsid w:val="778E7D99"/>
    <w:rsid w:val="779008C3"/>
    <w:rsid w:val="77924DDA"/>
    <w:rsid w:val="7793EEDC"/>
    <w:rsid w:val="77942525"/>
    <w:rsid w:val="779AD156"/>
    <w:rsid w:val="779B2124"/>
    <w:rsid w:val="779B8168"/>
    <w:rsid w:val="779BD38C"/>
    <w:rsid w:val="779DC788"/>
    <w:rsid w:val="779DF623"/>
    <w:rsid w:val="779E1171"/>
    <w:rsid w:val="779F9852"/>
    <w:rsid w:val="77A3B4B8"/>
    <w:rsid w:val="77A44EFC"/>
    <w:rsid w:val="77A4D6C5"/>
    <w:rsid w:val="77A4F39F"/>
    <w:rsid w:val="77A50B69"/>
    <w:rsid w:val="77A61BF6"/>
    <w:rsid w:val="77A7A0ED"/>
    <w:rsid w:val="77A88B91"/>
    <w:rsid w:val="77A9E1AF"/>
    <w:rsid w:val="77AF7CCF"/>
    <w:rsid w:val="77B02BA4"/>
    <w:rsid w:val="77B118B2"/>
    <w:rsid w:val="77B151A6"/>
    <w:rsid w:val="77B1801D"/>
    <w:rsid w:val="77B26838"/>
    <w:rsid w:val="77B51760"/>
    <w:rsid w:val="77B523A1"/>
    <w:rsid w:val="77B65BC1"/>
    <w:rsid w:val="77B694FD"/>
    <w:rsid w:val="77B73A7D"/>
    <w:rsid w:val="77B80055"/>
    <w:rsid w:val="77B810A4"/>
    <w:rsid w:val="77B88EE6"/>
    <w:rsid w:val="77BB6012"/>
    <w:rsid w:val="77BB90E1"/>
    <w:rsid w:val="77BBEB24"/>
    <w:rsid w:val="77BD6984"/>
    <w:rsid w:val="77C0FD1B"/>
    <w:rsid w:val="77C26C9B"/>
    <w:rsid w:val="77C669E1"/>
    <w:rsid w:val="77C6755C"/>
    <w:rsid w:val="77C8DE1B"/>
    <w:rsid w:val="77CC8843"/>
    <w:rsid w:val="77CD184D"/>
    <w:rsid w:val="77D23C7A"/>
    <w:rsid w:val="77D2A6B6"/>
    <w:rsid w:val="77D728FB"/>
    <w:rsid w:val="77D788C1"/>
    <w:rsid w:val="77D92A6C"/>
    <w:rsid w:val="77DC4666"/>
    <w:rsid w:val="77DC8818"/>
    <w:rsid w:val="77DDE506"/>
    <w:rsid w:val="77E10C3B"/>
    <w:rsid w:val="77E29573"/>
    <w:rsid w:val="77E2D7DA"/>
    <w:rsid w:val="77E31EB0"/>
    <w:rsid w:val="77E41C48"/>
    <w:rsid w:val="77E49DE8"/>
    <w:rsid w:val="77E69708"/>
    <w:rsid w:val="77E831C0"/>
    <w:rsid w:val="77E852DC"/>
    <w:rsid w:val="77EB5707"/>
    <w:rsid w:val="77EBC389"/>
    <w:rsid w:val="77EF7EC3"/>
    <w:rsid w:val="77F04E94"/>
    <w:rsid w:val="77F1CC2B"/>
    <w:rsid w:val="77F5CCD8"/>
    <w:rsid w:val="77F7C923"/>
    <w:rsid w:val="77F7D350"/>
    <w:rsid w:val="77F7E05F"/>
    <w:rsid w:val="77F9FAB6"/>
    <w:rsid w:val="77FA127A"/>
    <w:rsid w:val="77FA8B8B"/>
    <w:rsid w:val="77FD263A"/>
    <w:rsid w:val="77FD3978"/>
    <w:rsid w:val="77FD9153"/>
    <w:rsid w:val="77FD9D94"/>
    <w:rsid w:val="77FFB42A"/>
    <w:rsid w:val="77FFD7A2"/>
    <w:rsid w:val="78001C23"/>
    <w:rsid w:val="7803EE5F"/>
    <w:rsid w:val="7805E04E"/>
    <w:rsid w:val="7807FEA3"/>
    <w:rsid w:val="7809E07B"/>
    <w:rsid w:val="780E0CDB"/>
    <w:rsid w:val="780F9BCB"/>
    <w:rsid w:val="780FE249"/>
    <w:rsid w:val="78135777"/>
    <w:rsid w:val="7813FE55"/>
    <w:rsid w:val="78142249"/>
    <w:rsid w:val="781579CD"/>
    <w:rsid w:val="78191EF7"/>
    <w:rsid w:val="78193280"/>
    <w:rsid w:val="781965CC"/>
    <w:rsid w:val="781AA3C7"/>
    <w:rsid w:val="781BFD98"/>
    <w:rsid w:val="78202671"/>
    <w:rsid w:val="78202C91"/>
    <w:rsid w:val="78206F08"/>
    <w:rsid w:val="7820DB28"/>
    <w:rsid w:val="78235AFB"/>
    <w:rsid w:val="78246048"/>
    <w:rsid w:val="7827AA45"/>
    <w:rsid w:val="7827B975"/>
    <w:rsid w:val="7828EB81"/>
    <w:rsid w:val="7829A2A3"/>
    <w:rsid w:val="782B9AFE"/>
    <w:rsid w:val="782BBDD4"/>
    <w:rsid w:val="782E3900"/>
    <w:rsid w:val="782F2758"/>
    <w:rsid w:val="783384C7"/>
    <w:rsid w:val="7833B498"/>
    <w:rsid w:val="7836D58B"/>
    <w:rsid w:val="783F4355"/>
    <w:rsid w:val="783FC909"/>
    <w:rsid w:val="783FD53E"/>
    <w:rsid w:val="7843AA51"/>
    <w:rsid w:val="7846E8A7"/>
    <w:rsid w:val="7846F74C"/>
    <w:rsid w:val="7848184F"/>
    <w:rsid w:val="784865A2"/>
    <w:rsid w:val="7848F56C"/>
    <w:rsid w:val="7849FDFC"/>
    <w:rsid w:val="784CE1A4"/>
    <w:rsid w:val="784FD234"/>
    <w:rsid w:val="7853283C"/>
    <w:rsid w:val="78555AE2"/>
    <w:rsid w:val="78577C02"/>
    <w:rsid w:val="785941D1"/>
    <w:rsid w:val="785A9C9A"/>
    <w:rsid w:val="785C1674"/>
    <w:rsid w:val="785D057A"/>
    <w:rsid w:val="785D2528"/>
    <w:rsid w:val="785DD1E1"/>
    <w:rsid w:val="785EB739"/>
    <w:rsid w:val="78629AD1"/>
    <w:rsid w:val="78646941"/>
    <w:rsid w:val="786570EE"/>
    <w:rsid w:val="78682494"/>
    <w:rsid w:val="786825A2"/>
    <w:rsid w:val="786849BF"/>
    <w:rsid w:val="786ACFB6"/>
    <w:rsid w:val="786C6F48"/>
    <w:rsid w:val="78707F8B"/>
    <w:rsid w:val="7871217A"/>
    <w:rsid w:val="787510B8"/>
    <w:rsid w:val="78755DDE"/>
    <w:rsid w:val="7875867A"/>
    <w:rsid w:val="78763CAC"/>
    <w:rsid w:val="7878D59B"/>
    <w:rsid w:val="7879618D"/>
    <w:rsid w:val="787AB01E"/>
    <w:rsid w:val="787AFAC7"/>
    <w:rsid w:val="787FD536"/>
    <w:rsid w:val="7880EADF"/>
    <w:rsid w:val="788142A7"/>
    <w:rsid w:val="7881579E"/>
    <w:rsid w:val="7883FBC2"/>
    <w:rsid w:val="7884B64C"/>
    <w:rsid w:val="7884C724"/>
    <w:rsid w:val="788577A7"/>
    <w:rsid w:val="7886C27E"/>
    <w:rsid w:val="788A2C04"/>
    <w:rsid w:val="788AC3E7"/>
    <w:rsid w:val="788B0D30"/>
    <w:rsid w:val="788D052D"/>
    <w:rsid w:val="788D3924"/>
    <w:rsid w:val="788EC694"/>
    <w:rsid w:val="788F7121"/>
    <w:rsid w:val="788F7A6B"/>
    <w:rsid w:val="7890246D"/>
    <w:rsid w:val="78902AB6"/>
    <w:rsid w:val="7890FBB2"/>
    <w:rsid w:val="7891EC77"/>
    <w:rsid w:val="789548F8"/>
    <w:rsid w:val="7899DD1B"/>
    <w:rsid w:val="789A994A"/>
    <w:rsid w:val="789AD3E6"/>
    <w:rsid w:val="789CE577"/>
    <w:rsid w:val="789D31F6"/>
    <w:rsid w:val="789DBBF9"/>
    <w:rsid w:val="789F69A1"/>
    <w:rsid w:val="78A12729"/>
    <w:rsid w:val="78A310F2"/>
    <w:rsid w:val="78A84449"/>
    <w:rsid w:val="78A92AEF"/>
    <w:rsid w:val="78A96043"/>
    <w:rsid w:val="78AB1D57"/>
    <w:rsid w:val="78ACA08A"/>
    <w:rsid w:val="78AD0507"/>
    <w:rsid w:val="78ADB29B"/>
    <w:rsid w:val="78AE618B"/>
    <w:rsid w:val="78AF43C1"/>
    <w:rsid w:val="78AF8EEE"/>
    <w:rsid w:val="78B0AA33"/>
    <w:rsid w:val="78B44928"/>
    <w:rsid w:val="78B49D85"/>
    <w:rsid w:val="78B7180B"/>
    <w:rsid w:val="78B9EB50"/>
    <w:rsid w:val="78BB6DF3"/>
    <w:rsid w:val="78BD3FCD"/>
    <w:rsid w:val="78BDEE9C"/>
    <w:rsid w:val="78BFC5AC"/>
    <w:rsid w:val="78C1A411"/>
    <w:rsid w:val="78C1B7C4"/>
    <w:rsid w:val="78C21C81"/>
    <w:rsid w:val="78C235DC"/>
    <w:rsid w:val="78C29491"/>
    <w:rsid w:val="78C4BBDF"/>
    <w:rsid w:val="78C5FD93"/>
    <w:rsid w:val="78CBD026"/>
    <w:rsid w:val="78CC05B2"/>
    <w:rsid w:val="78CF0D56"/>
    <w:rsid w:val="78D02BE2"/>
    <w:rsid w:val="78D2D51D"/>
    <w:rsid w:val="78D5C0F8"/>
    <w:rsid w:val="78D68A44"/>
    <w:rsid w:val="78D765A2"/>
    <w:rsid w:val="78D914FD"/>
    <w:rsid w:val="78D9AAE5"/>
    <w:rsid w:val="78DBB7A3"/>
    <w:rsid w:val="78DCB944"/>
    <w:rsid w:val="78DDE4BE"/>
    <w:rsid w:val="78DF5FE7"/>
    <w:rsid w:val="78E01C44"/>
    <w:rsid w:val="78E15730"/>
    <w:rsid w:val="78E2EEC1"/>
    <w:rsid w:val="78E3E137"/>
    <w:rsid w:val="78E42F42"/>
    <w:rsid w:val="78E443DF"/>
    <w:rsid w:val="78E5FB92"/>
    <w:rsid w:val="78E66C4E"/>
    <w:rsid w:val="78E7A5EB"/>
    <w:rsid w:val="78EB6503"/>
    <w:rsid w:val="78EB71BB"/>
    <w:rsid w:val="78EBC0B8"/>
    <w:rsid w:val="78ED15BF"/>
    <w:rsid w:val="78EDD928"/>
    <w:rsid w:val="78EDFE84"/>
    <w:rsid w:val="78EE1C6B"/>
    <w:rsid w:val="78EE7989"/>
    <w:rsid w:val="78F19DD2"/>
    <w:rsid w:val="78F53F4C"/>
    <w:rsid w:val="78F59D7B"/>
    <w:rsid w:val="78F74A48"/>
    <w:rsid w:val="78F824C7"/>
    <w:rsid w:val="78F8B7B0"/>
    <w:rsid w:val="78FCE8D3"/>
    <w:rsid w:val="78FDAB16"/>
    <w:rsid w:val="78FEC8F3"/>
    <w:rsid w:val="78FEE85A"/>
    <w:rsid w:val="78FF3B9E"/>
    <w:rsid w:val="7902055C"/>
    <w:rsid w:val="7903D40E"/>
    <w:rsid w:val="7906DBE5"/>
    <w:rsid w:val="7907EEB3"/>
    <w:rsid w:val="7909AD41"/>
    <w:rsid w:val="790A2316"/>
    <w:rsid w:val="790AC1EB"/>
    <w:rsid w:val="790BDC02"/>
    <w:rsid w:val="790CE2D3"/>
    <w:rsid w:val="790FC7E1"/>
    <w:rsid w:val="791077D1"/>
    <w:rsid w:val="7910F09E"/>
    <w:rsid w:val="79121306"/>
    <w:rsid w:val="7913592E"/>
    <w:rsid w:val="79150486"/>
    <w:rsid w:val="791575C6"/>
    <w:rsid w:val="79175CA3"/>
    <w:rsid w:val="791C7D27"/>
    <w:rsid w:val="791CAC32"/>
    <w:rsid w:val="791D3FDA"/>
    <w:rsid w:val="792018EE"/>
    <w:rsid w:val="7920F2D6"/>
    <w:rsid w:val="79226339"/>
    <w:rsid w:val="792719B4"/>
    <w:rsid w:val="792E1537"/>
    <w:rsid w:val="792F4B51"/>
    <w:rsid w:val="792FA767"/>
    <w:rsid w:val="792FF2D1"/>
    <w:rsid w:val="79301E4F"/>
    <w:rsid w:val="7932E913"/>
    <w:rsid w:val="79367B12"/>
    <w:rsid w:val="793713E3"/>
    <w:rsid w:val="79373A11"/>
    <w:rsid w:val="7937CA47"/>
    <w:rsid w:val="79394AED"/>
    <w:rsid w:val="79399505"/>
    <w:rsid w:val="7939CF51"/>
    <w:rsid w:val="7939D0C6"/>
    <w:rsid w:val="793A41AA"/>
    <w:rsid w:val="793A68C3"/>
    <w:rsid w:val="7943011F"/>
    <w:rsid w:val="7943394F"/>
    <w:rsid w:val="79437A91"/>
    <w:rsid w:val="79458804"/>
    <w:rsid w:val="7945DB9D"/>
    <w:rsid w:val="7947971F"/>
    <w:rsid w:val="794900B4"/>
    <w:rsid w:val="7949AD53"/>
    <w:rsid w:val="794B007A"/>
    <w:rsid w:val="794C65A0"/>
    <w:rsid w:val="794E8B60"/>
    <w:rsid w:val="794F84B4"/>
    <w:rsid w:val="794FECB8"/>
    <w:rsid w:val="79500EA6"/>
    <w:rsid w:val="79517E0D"/>
    <w:rsid w:val="7953981E"/>
    <w:rsid w:val="7953F0DD"/>
    <w:rsid w:val="795432A8"/>
    <w:rsid w:val="7955839D"/>
    <w:rsid w:val="7955C912"/>
    <w:rsid w:val="7955DDF9"/>
    <w:rsid w:val="7955FABB"/>
    <w:rsid w:val="795A9C7E"/>
    <w:rsid w:val="795ABC4E"/>
    <w:rsid w:val="795AF22E"/>
    <w:rsid w:val="795C5412"/>
    <w:rsid w:val="795C5647"/>
    <w:rsid w:val="795C5EDB"/>
    <w:rsid w:val="795E01C2"/>
    <w:rsid w:val="795E4F4D"/>
    <w:rsid w:val="795EDE66"/>
    <w:rsid w:val="795FF13B"/>
    <w:rsid w:val="796001D1"/>
    <w:rsid w:val="79606BE0"/>
    <w:rsid w:val="7961E72B"/>
    <w:rsid w:val="7962528A"/>
    <w:rsid w:val="7965C4E6"/>
    <w:rsid w:val="7967085A"/>
    <w:rsid w:val="796774FC"/>
    <w:rsid w:val="796B8007"/>
    <w:rsid w:val="796B8A5F"/>
    <w:rsid w:val="796D0D6E"/>
    <w:rsid w:val="796D6E19"/>
    <w:rsid w:val="796EE129"/>
    <w:rsid w:val="796F1C35"/>
    <w:rsid w:val="796FBFA3"/>
    <w:rsid w:val="7971A1BB"/>
    <w:rsid w:val="7972828F"/>
    <w:rsid w:val="79753E7F"/>
    <w:rsid w:val="7976B9F4"/>
    <w:rsid w:val="7977EA86"/>
    <w:rsid w:val="797B0775"/>
    <w:rsid w:val="797B9354"/>
    <w:rsid w:val="797CC06C"/>
    <w:rsid w:val="797E056F"/>
    <w:rsid w:val="797EBEF3"/>
    <w:rsid w:val="797ED8FF"/>
    <w:rsid w:val="7980B851"/>
    <w:rsid w:val="7982C8B2"/>
    <w:rsid w:val="79837045"/>
    <w:rsid w:val="798457B4"/>
    <w:rsid w:val="798560AC"/>
    <w:rsid w:val="79866EC9"/>
    <w:rsid w:val="79875E38"/>
    <w:rsid w:val="7988C87B"/>
    <w:rsid w:val="798EB89E"/>
    <w:rsid w:val="798F5005"/>
    <w:rsid w:val="798F96CA"/>
    <w:rsid w:val="799004BA"/>
    <w:rsid w:val="7993236B"/>
    <w:rsid w:val="7994049B"/>
    <w:rsid w:val="7994F905"/>
    <w:rsid w:val="79952179"/>
    <w:rsid w:val="79959FF6"/>
    <w:rsid w:val="79975098"/>
    <w:rsid w:val="79981DDA"/>
    <w:rsid w:val="799904D0"/>
    <w:rsid w:val="799A3730"/>
    <w:rsid w:val="799D6B5E"/>
    <w:rsid w:val="799E117D"/>
    <w:rsid w:val="799EADDA"/>
    <w:rsid w:val="79A0F4A6"/>
    <w:rsid w:val="79A0F7BE"/>
    <w:rsid w:val="79A1D063"/>
    <w:rsid w:val="79A214B7"/>
    <w:rsid w:val="79A2B646"/>
    <w:rsid w:val="79A61F57"/>
    <w:rsid w:val="79A732CE"/>
    <w:rsid w:val="79A870D6"/>
    <w:rsid w:val="79A8A4D0"/>
    <w:rsid w:val="79A9AB5B"/>
    <w:rsid w:val="79AA08E8"/>
    <w:rsid w:val="79AB9509"/>
    <w:rsid w:val="79AF85D8"/>
    <w:rsid w:val="79AFCE89"/>
    <w:rsid w:val="79B14439"/>
    <w:rsid w:val="79B3C7F8"/>
    <w:rsid w:val="79B506FC"/>
    <w:rsid w:val="79B57AB7"/>
    <w:rsid w:val="79B6A5CD"/>
    <w:rsid w:val="79B72F84"/>
    <w:rsid w:val="79B7D4AD"/>
    <w:rsid w:val="79B83E4A"/>
    <w:rsid w:val="79B91B13"/>
    <w:rsid w:val="79B98377"/>
    <w:rsid w:val="79BCAC9A"/>
    <w:rsid w:val="79BD25A8"/>
    <w:rsid w:val="79BD4AB2"/>
    <w:rsid w:val="79BD7B1F"/>
    <w:rsid w:val="79C39EFF"/>
    <w:rsid w:val="79C512EE"/>
    <w:rsid w:val="79C878B1"/>
    <w:rsid w:val="79C98595"/>
    <w:rsid w:val="79C990B4"/>
    <w:rsid w:val="79CA2488"/>
    <w:rsid w:val="79CC0B5D"/>
    <w:rsid w:val="79CC8FD3"/>
    <w:rsid w:val="79CD9E43"/>
    <w:rsid w:val="79CE9C3A"/>
    <w:rsid w:val="79CEA513"/>
    <w:rsid w:val="79CF30A8"/>
    <w:rsid w:val="79D0DABE"/>
    <w:rsid w:val="79D21259"/>
    <w:rsid w:val="79D23C1D"/>
    <w:rsid w:val="79D76CFD"/>
    <w:rsid w:val="79D96F09"/>
    <w:rsid w:val="79D9C4FE"/>
    <w:rsid w:val="79DB1B7F"/>
    <w:rsid w:val="79DB8476"/>
    <w:rsid w:val="79DCDBE0"/>
    <w:rsid w:val="79DD32F2"/>
    <w:rsid w:val="79DF3DDA"/>
    <w:rsid w:val="79DFA61F"/>
    <w:rsid w:val="79E06138"/>
    <w:rsid w:val="79E15067"/>
    <w:rsid w:val="79E19866"/>
    <w:rsid w:val="79E3D100"/>
    <w:rsid w:val="79E58E98"/>
    <w:rsid w:val="79E5E7E2"/>
    <w:rsid w:val="79E5F4CC"/>
    <w:rsid w:val="79E6D515"/>
    <w:rsid w:val="79E73423"/>
    <w:rsid w:val="79E84BA7"/>
    <w:rsid w:val="79EABAF6"/>
    <w:rsid w:val="79EAE616"/>
    <w:rsid w:val="79EE1686"/>
    <w:rsid w:val="79F3CB25"/>
    <w:rsid w:val="79F5F715"/>
    <w:rsid w:val="79F7D05F"/>
    <w:rsid w:val="79F8CA74"/>
    <w:rsid w:val="79F9928D"/>
    <w:rsid w:val="79FAB079"/>
    <w:rsid w:val="79FBB6D7"/>
    <w:rsid w:val="79FC0058"/>
    <w:rsid w:val="79FD4B38"/>
    <w:rsid w:val="7A00FF4C"/>
    <w:rsid w:val="7A02179F"/>
    <w:rsid w:val="7A024A1D"/>
    <w:rsid w:val="7A04F449"/>
    <w:rsid w:val="7A0763F9"/>
    <w:rsid w:val="7A07DF57"/>
    <w:rsid w:val="7A07E3D2"/>
    <w:rsid w:val="7A0991BF"/>
    <w:rsid w:val="7A0A0C10"/>
    <w:rsid w:val="7A0C0138"/>
    <w:rsid w:val="7A0CB6E0"/>
    <w:rsid w:val="7A0F3475"/>
    <w:rsid w:val="7A13E082"/>
    <w:rsid w:val="7A141031"/>
    <w:rsid w:val="7A163EE9"/>
    <w:rsid w:val="7A184DC0"/>
    <w:rsid w:val="7A18E055"/>
    <w:rsid w:val="7A192E94"/>
    <w:rsid w:val="7A19C4F5"/>
    <w:rsid w:val="7A1A2A4F"/>
    <w:rsid w:val="7A1B21FD"/>
    <w:rsid w:val="7A1CA151"/>
    <w:rsid w:val="7A1ECE94"/>
    <w:rsid w:val="7A1F9512"/>
    <w:rsid w:val="7A1FEEB0"/>
    <w:rsid w:val="7A23DDC1"/>
    <w:rsid w:val="7A24AEDD"/>
    <w:rsid w:val="7A260033"/>
    <w:rsid w:val="7A26B6CA"/>
    <w:rsid w:val="7A29AF90"/>
    <w:rsid w:val="7A2B4F33"/>
    <w:rsid w:val="7A2B6761"/>
    <w:rsid w:val="7A2C1D10"/>
    <w:rsid w:val="7A2C2B12"/>
    <w:rsid w:val="7A2E6E98"/>
    <w:rsid w:val="7A328E3A"/>
    <w:rsid w:val="7A347155"/>
    <w:rsid w:val="7A35B6D9"/>
    <w:rsid w:val="7A35B6F0"/>
    <w:rsid w:val="7A37E912"/>
    <w:rsid w:val="7A387E09"/>
    <w:rsid w:val="7A38B5A1"/>
    <w:rsid w:val="7A38DC74"/>
    <w:rsid w:val="7A39A7DC"/>
    <w:rsid w:val="7A39DF72"/>
    <w:rsid w:val="7A39E3AF"/>
    <w:rsid w:val="7A3A856A"/>
    <w:rsid w:val="7A3AF603"/>
    <w:rsid w:val="7A3E8678"/>
    <w:rsid w:val="7A3E9DE0"/>
    <w:rsid w:val="7A3EC057"/>
    <w:rsid w:val="7A3F01F2"/>
    <w:rsid w:val="7A3F5AE7"/>
    <w:rsid w:val="7A3F6740"/>
    <w:rsid w:val="7A3FCCBF"/>
    <w:rsid w:val="7A4265CB"/>
    <w:rsid w:val="7A445244"/>
    <w:rsid w:val="7A476C11"/>
    <w:rsid w:val="7A47A3F8"/>
    <w:rsid w:val="7A4B6741"/>
    <w:rsid w:val="7A4B8FF1"/>
    <w:rsid w:val="7A4CCE56"/>
    <w:rsid w:val="7A4D7253"/>
    <w:rsid w:val="7A4E348F"/>
    <w:rsid w:val="7A4E5D80"/>
    <w:rsid w:val="7A4F50AA"/>
    <w:rsid w:val="7A50AE47"/>
    <w:rsid w:val="7A514EE0"/>
    <w:rsid w:val="7A52EF72"/>
    <w:rsid w:val="7A564A5F"/>
    <w:rsid w:val="7A576195"/>
    <w:rsid w:val="7A58E34A"/>
    <w:rsid w:val="7A594F39"/>
    <w:rsid w:val="7A5ABF50"/>
    <w:rsid w:val="7A5AC76A"/>
    <w:rsid w:val="7A5B6050"/>
    <w:rsid w:val="7A5CB5E5"/>
    <w:rsid w:val="7A5E22AA"/>
    <w:rsid w:val="7A5E8B24"/>
    <w:rsid w:val="7A601D38"/>
    <w:rsid w:val="7A620996"/>
    <w:rsid w:val="7A63ADCB"/>
    <w:rsid w:val="7A65556F"/>
    <w:rsid w:val="7A689EDB"/>
    <w:rsid w:val="7A68A2BE"/>
    <w:rsid w:val="7A694EF2"/>
    <w:rsid w:val="7A6C3A04"/>
    <w:rsid w:val="7A6C4114"/>
    <w:rsid w:val="7A6CB0B6"/>
    <w:rsid w:val="7A6DCCBC"/>
    <w:rsid w:val="7A6E704D"/>
    <w:rsid w:val="7A6E903B"/>
    <w:rsid w:val="7A6ED14E"/>
    <w:rsid w:val="7A6F2BEE"/>
    <w:rsid w:val="7A744403"/>
    <w:rsid w:val="7A753CA7"/>
    <w:rsid w:val="7A77F21E"/>
    <w:rsid w:val="7A7AC1D7"/>
    <w:rsid w:val="7A7AF4A8"/>
    <w:rsid w:val="7A7B25EE"/>
    <w:rsid w:val="7A7B538D"/>
    <w:rsid w:val="7A7B7CF0"/>
    <w:rsid w:val="7A7D6A43"/>
    <w:rsid w:val="7A7DD664"/>
    <w:rsid w:val="7A815BF4"/>
    <w:rsid w:val="7A817CF6"/>
    <w:rsid w:val="7A830642"/>
    <w:rsid w:val="7A831014"/>
    <w:rsid w:val="7A858B0B"/>
    <w:rsid w:val="7A8615A7"/>
    <w:rsid w:val="7A89E297"/>
    <w:rsid w:val="7A8BF4AC"/>
    <w:rsid w:val="7A8CC7F2"/>
    <w:rsid w:val="7A8D21D6"/>
    <w:rsid w:val="7A8F89E7"/>
    <w:rsid w:val="7A902DE3"/>
    <w:rsid w:val="7A92E728"/>
    <w:rsid w:val="7A935544"/>
    <w:rsid w:val="7A943992"/>
    <w:rsid w:val="7A9522E0"/>
    <w:rsid w:val="7A9558D5"/>
    <w:rsid w:val="7A95AE4F"/>
    <w:rsid w:val="7A966947"/>
    <w:rsid w:val="7A98E881"/>
    <w:rsid w:val="7A99FBA9"/>
    <w:rsid w:val="7A9A6580"/>
    <w:rsid w:val="7A9B4D88"/>
    <w:rsid w:val="7A9B840D"/>
    <w:rsid w:val="7A9ED425"/>
    <w:rsid w:val="7A9FD556"/>
    <w:rsid w:val="7AA07F4F"/>
    <w:rsid w:val="7AA2B00E"/>
    <w:rsid w:val="7AA2F0BA"/>
    <w:rsid w:val="7AA3059C"/>
    <w:rsid w:val="7AA4314C"/>
    <w:rsid w:val="7AA51FCD"/>
    <w:rsid w:val="7AA71CDC"/>
    <w:rsid w:val="7AA9029E"/>
    <w:rsid w:val="7AA9091A"/>
    <w:rsid w:val="7AAB81C0"/>
    <w:rsid w:val="7AADF73A"/>
    <w:rsid w:val="7AAF00BD"/>
    <w:rsid w:val="7AB23DB2"/>
    <w:rsid w:val="7AB392AD"/>
    <w:rsid w:val="7AB498BB"/>
    <w:rsid w:val="7AB5FB2D"/>
    <w:rsid w:val="7AB61607"/>
    <w:rsid w:val="7AB63783"/>
    <w:rsid w:val="7AB6D1C3"/>
    <w:rsid w:val="7AB76425"/>
    <w:rsid w:val="7AB7A80D"/>
    <w:rsid w:val="7AB7E5E2"/>
    <w:rsid w:val="7AB97C06"/>
    <w:rsid w:val="7ABB26E7"/>
    <w:rsid w:val="7ABB5886"/>
    <w:rsid w:val="7ABC76C6"/>
    <w:rsid w:val="7ABE4AD9"/>
    <w:rsid w:val="7ABEC5B6"/>
    <w:rsid w:val="7ABED587"/>
    <w:rsid w:val="7AC14EEC"/>
    <w:rsid w:val="7AC1DE09"/>
    <w:rsid w:val="7AC3B64B"/>
    <w:rsid w:val="7ACA079B"/>
    <w:rsid w:val="7ACBB96F"/>
    <w:rsid w:val="7ACC6E34"/>
    <w:rsid w:val="7ACE2BDE"/>
    <w:rsid w:val="7ACF02D5"/>
    <w:rsid w:val="7ACFAF0B"/>
    <w:rsid w:val="7ACFDA8F"/>
    <w:rsid w:val="7AD060D0"/>
    <w:rsid w:val="7AD2146D"/>
    <w:rsid w:val="7AD43DEA"/>
    <w:rsid w:val="7AD5B30D"/>
    <w:rsid w:val="7AD5C57F"/>
    <w:rsid w:val="7AD876F5"/>
    <w:rsid w:val="7AD9334C"/>
    <w:rsid w:val="7ADB4DFE"/>
    <w:rsid w:val="7ADC2E56"/>
    <w:rsid w:val="7ADC75DD"/>
    <w:rsid w:val="7ADCAFD2"/>
    <w:rsid w:val="7AE2E9D9"/>
    <w:rsid w:val="7AE3F11D"/>
    <w:rsid w:val="7AE461EE"/>
    <w:rsid w:val="7AE6C860"/>
    <w:rsid w:val="7AE8AEE2"/>
    <w:rsid w:val="7AEA2472"/>
    <w:rsid w:val="7AEB2675"/>
    <w:rsid w:val="7AEB9B9F"/>
    <w:rsid w:val="7AEBD117"/>
    <w:rsid w:val="7AECC563"/>
    <w:rsid w:val="7AEDA9E0"/>
    <w:rsid w:val="7AEFAF69"/>
    <w:rsid w:val="7AF1CD34"/>
    <w:rsid w:val="7AF24677"/>
    <w:rsid w:val="7AF2ADBF"/>
    <w:rsid w:val="7AF53B43"/>
    <w:rsid w:val="7AF55AB5"/>
    <w:rsid w:val="7AF786A3"/>
    <w:rsid w:val="7AF83ABF"/>
    <w:rsid w:val="7AFC7854"/>
    <w:rsid w:val="7AFF9AD3"/>
    <w:rsid w:val="7B003892"/>
    <w:rsid w:val="7B003F0F"/>
    <w:rsid w:val="7B01FAF0"/>
    <w:rsid w:val="7B02C497"/>
    <w:rsid w:val="7B04E352"/>
    <w:rsid w:val="7B0880FB"/>
    <w:rsid w:val="7B0A9BB1"/>
    <w:rsid w:val="7B0EE921"/>
    <w:rsid w:val="7B1099E8"/>
    <w:rsid w:val="7B123A50"/>
    <w:rsid w:val="7B13A565"/>
    <w:rsid w:val="7B1536F4"/>
    <w:rsid w:val="7B169D7B"/>
    <w:rsid w:val="7B185299"/>
    <w:rsid w:val="7B18A469"/>
    <w:rsid w:val="7B196D4A"/>
    <w:rsid w:val="7B1B0DB4"/>
    <w:rsid w:val="7B1B2CEA"/>
    <w:rsid w:val="7B1BC6CC"/>
    <w:rsid w:val="7B1C2CF1"/>
    <w:rsid w:val="7B1CBBD7"/>
    <w:rsid w:val="7B1D9513"/>
    <w:rsid w:val="7B1DB5BF"/>
    <w:rsid w:val="7B1DF6E6"/>
    <w:rsid w:val="7B1E7CAA"/>
    <w:rsid w:val="7B20E976"/>
    <w:rsid w:val="7B2116E3"/>
    <w:rsid w:val="7B2313AF"/>
    <w:rsid w:val="7B242C90"/>
    <w:rsid w:val="7B253CE9"/>
    <w:rsid w:val="7B25724B"/>
    <w:rsid w:val="7B257FDB"/>
    <w:rsid w:val="7B26A02B"/>
    <w:rsid w:val="7B26F377"/>
    <w:rsid w:val="7B26F3D7"/>
    <w:rsid w:val="7B2B00A1"/>
    <w:rsid w:val="7B2D0C4D"/>
    <w:rsid w:val="7B2E609F"/>
    <w:rsid w:val="7B2EEDDA"/>
    <w:rsid w:val="7B2EFCD1"/>
    <w:rsid w:val="7B2F44BF"/>
    <w:rsid w:val="7B2FA3EA"/>
    <w:rsid w:val="7B328F0D"/>
    <w:rsid w:val="7B32B10A"/>
    <w:rsid w:val="7B3417C4"/>
    <w:rsid w:val="7B359FE7"/>
    <w:rsid w:val="7B3706A2"/>
    <w:rsid w:val="7B38336D"/>
    <w:rsid w:val="7B3878ED"/>
    <w:rsid w:val="7B392BBA"/>
    <w:rsid w:val="7B393331"/>
    <w:rsid w:val="7B3BDAD4"/>
    <w:rsid w:val="7B3F6134"/>
    <w:rsid w:val="7B40B960"/>
    <w:rsid w:val="7B434055"/>
    <w:rsid w:val="7B4449EC"/>
    <w:rsid w:val="7B44E866"/>
    <w:rsid w:val="7B44F1F9"/>
    <w:rsid w:val="7B481F72"/>
    <w:rsid w:val="7B49A83B"/>
    <w:rsid w:val="7B4B0754"/>
    <w:rsid w:val="7B4DD2FD"/>
    <w:rsid w:val="7B4ED2C8"/>
    <w:rsid w:val="7B4EEC6E"/>
    <w:rsid w:val="7B50F6C7"/>
    <w:rsid w:val="7B5275B2"/>
    <w:rsid w:val="7B52947C"/>
    <w:rsid w:val="7B530ECB"/>
    <w:rsid w:val="7B539B7B"/>
    <w:rsid w:val="7B54AC0B"/>
    <w:rsid w:val="7B54DD1C"/>
    <w:rsid w:val="7B5627A2"/>
    <w:rsid w:val="7B56739D"/>
    <w:rsid w:val="7B57A422"/>
    <w:rsid w:val="7B5A0A05"/>
    <w:rsid w:val="7B5B05E6"/>
    <w:rsid w:val="7B5B7F94"/>
    <w:rsid w:val="7B5EE71C"/>
    <w:rsid w:val="7B5F01A0"/>
    <w:rsid w:val="7B62A61F"/>
    <w:rsid w:val="7B64946E"/>
    <w:rsid w:val="7B65C252"/>
    <w:rsid w:val="7B6EC8BC"/>
    <w:rsid w:val="7B711B30"/>
    <w:rsid w:val="7B717008"/>
    <w:rsid w:val="7B71D186"/>
    <w:rsid w:val="7B73B212"/>
    <w:rsid w:val="7B741D62"/>
    <w:rsid w:val="7B7528DD"/>
    <w:rsid w:val="7B75F32E"/>
    <w:rsid w:val="7B75F4D5"/>
    <w:rsid w:val="7B766D35"/>
    <w:rsid w:val="7B77E534"/>
    <w:rsid w:val="7B787130"/>
    <w:rsid w:val="7B7A0A1A"/>
    <w:rsid w:val="7B7A25BF"/>
    <w:rsid w:val="7B7D2FD5"/>
    <w:rsid w:val="7B7D60FF"/>
    <w:rsid w:val="7B7E2483"/>
    <w:rsid w:val="7B7E91DE"/>
    <w:rsid w:val="7B80B22C"/>
    <w:rsid w:val="7B827543"/>
    <w:rsid w:val="7B86819F"/>
    <w:rsid w:val="7B876A75"/>
    <w:rsid w:val="7B894DDE"/>
    <w:rsid w:val="7B8A99B5"/>
    <w:rsid w:val="7B8B093C"/>
    <w:rsid w:val="7B8D262F"/>
    <w:rsid w:val="7B8D290C"/>
    <w:rsid w:val="7B8D7EDF"/>
    <w:rsid w:val="7B916E7A"/>
    <w:rsid w:val="7B919059"/>
    <w:rsid w:val="7B928D74"/>
    <w:rsid w:val="7B93558F"/>
    <w:rsid w:val="7B975AD3"/>
    <w:rsid w:val="7B98697F"/>
    <w:rsid w:val="7B991218"/>
    <w:rsid w:val="7B996945"/>
    <w:rsid w:val="7B9A3041"/>
    <w:rsid w:val="7B9C59AD"/>
    <w:rsid w:val="7B9CC650"/>
    <w:rsid w:val="7B9DEE78"/>
    <w:rsid w:val="7BA0605F"/>
    <w:rsid w:val="7BA0AAAD"/>
    <w:rsid w:val="7BA0FF57"/>
    <w:rsid w:val="7BA12017"/>
    <w:rsid w:val="7BA2BB29"/>
    <w:rsid w:val="7BA6BDA3"/>
    <w:rsid w:val="7BAB4295"/>
    <w:rsid w:val="7BAD9631"/>
    <w:rsid w:val="7BAE77F4"/>
    <w:rsid w:val="7BAEB0F3"/>
    <w:rsid w:val="7BB08362"/>
    <w:rsid w:val="7BB23D81"/>
    <w:rsid w:val="7BB2832D"/>
    <w:rsid w:val="7BB665AB"/>
    <w:rsid w:val="7BB67D0D"/>
    <w:rsid w:val="7BB77A50"/>
    <w:rsid w:val="7BBA5D9D"/>
    <w:rsid w:val="7BBBB749"/>
    <w:rsid w:val="7BBBEAB9"/>
    <w:rsid w:val="7BBCFC1C"/>
    <w:rsid w:val="7BBF060E"/>
    <w:rsid w:val="7BC0B5D4"/>
    <w:rsid w:val="7BC1DCAC"/>
    <w:rsid w:val="7BC1F0E7"/>
    <w:rsid w:val="7BC35615"/>
    <w:rsid w:val="7BC38E29"/>
    <w:rsid w:val="7BC4CC5E"/>
    <w:rsid w:val="7BC74D60"/>
    <w:rsid w:val="7BC98F00"/>
    <w:rsid w:val="7BC99565"/>
    <w:rsid w:val="7BCD7221"/>
    <w:rsid w:val="7BCEEBDF"/>
    <w:rsid w:val="7BCF6539"/>
    <w:rsid w:val="7BD02017"/>
    <w:rsid w:val="7BD4E3F0"/>
    <w:rsid w:val="7BD5BF2C"/>
    <w:rsid w:val="7BD64408"/>
    <w:rsid w:val="7BD706EB"/>
    <w:rsid w:val="7BD741D9"/>
    <w:rsid w:val="7BD819E1"/>
    <w:rsid w:val="7BD830A1"/>
    <w:rsid w:val="7BDA3D1A"/>
    <w:rsid w:val="7BDCDB41"/>
    <w:rsid w:val="7BDD1EB4"/>
    <w:rsid w:val="7BDD3891"/>
    <w:rsid w:val="7BE34B69"/>
    <w:rsid w:val="7BE35D3B"/>
    <w:rsid w:val="7BE45926"/>
    <w:rsid w:val="7BE61039"/>
    <w:rsid w:val="7BE616EB"/>
    <w:rsid w:val="7BE957BE"/>
    <w:rsid w:val="7BE9C654"/>
    <w:rsid w:val="7BEC49FE"/>
    <w:rsid w:val="7BEDA6D0"/>
    <w:rsid w:val="7BEE2AE2"/>
    <w:rsid w:val="7BF0701F"/>
    <w:rsid w:val="7BF151A8"/>
    <w:rsid w:val="7BF5C8D7"/>
    <w:rsid w:val="7BFA762B"/>
    <w:rsid w:val="7BFAEBB6"/>
    <w:rsid w:val="7BFBBC1A"/>
    <w:rsid w:val="7BFBCD35"/>
    <w:rsid w:val="7BFE5575"/>
    <w:rsid w:val="7C01533F"/>
    <w:rsid w:val="7C06B290"/>
    <w:rsid w:val="7C07415B"/>
    <w:rsid w:val="7C07E17C"/>
    <w:rsid w:val="7C07E5C1"/>
    <w:rsid w:val="7C090BF4"/>
    <w:rsid w:val="7C0AB11D"/>
    <w:rsid w:val="7C0B858B"/>
    <w:rsid w:val="7C0BEC54"/>
    <w:rsid w:val="7C0D3AD5"/>
    <w:rsid w:val="7C0D6AD3"/>
    <w:rsid w:val="7C108F4E"/>
    <w:rsid w:val="7C1293E0"/>
    <w:rsid w:val="7C13530F"/>
    <w:rsid w:val="7C151B47"/>
    <w:rsid w:val="7C15F6D0"/>
    <w:rsid w:val="7C16B5C9"/>
    <w:rsid w:val="7C1850BF"/>
    <w:rsid w:val="7C1867ED"/>
    <w:rsid w:val="7C19D372"/>
    <w:rsid w:val="7C1A00B6"/>
    <w:rsid w:val="7C1A95CE"/>
    <w:rsid w:val="7C1C25D1"/>
    <w:rsid w:val="7C1C8A7B"/>
    <w:rsid w:val="7C1D8A9B"/>
    <w:rsid w:val="7C1E6D2D"/>
    <w:rsid w:val="7C1EED63"/>
    <w:rsid w:val="7C21CF13"/>
    <w:rsid w:val="7C21EAE2"/>
    <w:rsid w:val="7C222F06"/>
    <w:rsid w:val="7C242EFA"/>
    <w:rsid w:val="7C28B39B"/>
    <w:rsid w:val="7C2B0A4C"/>
    <w:rsid w:val="7C2C6CDA"/>
    <w:rsid w:val="7C2CF00E"/>
    <w:rsid w:val="7C2E7705"/>
    <w:rsid w:val="7C2EC2AB"/>
    <w:rsid w:val="7C3084B5"/>
    <w:rsid w:val="7C3147C5"/>
    <w:rsid w:val="7C3706F1"/>
    <w:rsid w:val="7C3A2893"/>
    <w:rsid w:val="7C3BEAB4"/>
    <w:rsid w:val="7C3DFC15"/>
    <w:rsid w:val="7C401B84"/>
    <w:rsid w:val="7C430AEB"/>
    <w:rsid w:val="7C43440C"/>
    <w:rsid w:val="7C43E5A9"/>
    <w:rsid w:val="7C451570"/>
    <w:rsid w:val="7C48AC21"/>
    <w:rsid w:val="7C48CCA5"/>
    <w:rsid w:val="7C4A9E9A"/>
    <w:rsid w:val="7C4B2CA6"/>
    <w:rsid w:val="7C4B9F12"/>
    <w:rsid w:val="7C4BEC26"/>
    <w:rsid w:val="7C4CEC63"/>
    <w:rsid w:val="7C5413BD"/>
    <w:rsid w:val="7C547363"/>
    <w:rsid w:val="7C55113C"/>
    <w:rsid w:val="7C551CFD"/>
    <w:rsid w:val="7C5588E5"/>
    <w:rsid w:val="7C593502"/>
    <w:rsid w:val="7C599E09"/>
    <w:rsid w:val="7C5AA6B6"/>
    <w:rsid w:val="7C5B7323"/>
    <w:rsid w:val="7C5BAEEC"/>
    <w:rsid w:val="7C5D171E"/>
    <w:rsid w:val="7C5D9242"/>
    <w:rsid w:val="7C5E10CE"/>
    <w:rsid w:val="7C5E3583"/>
    <w:rsid w:val="7C62FC30"/>
    <w:rsid w:val="7C63F6B8"/>
    <w:rsid w:val="7C659744"/>
    <w:rsid w:val="7C65990B"/>
    <w:rsid w:val="7C668405"/>
    <w:rsid w:val="7C67AB00"/>
    <w:rsid w:val="7C686957"/>
    <w:rsid w:val="7C68BF3E"/>
    <w:rsid w:val="7C692D52"/>
    <w:rsid w:val="7C6B8005"/>
    <w:rsid w:val="7C6B885B"/>
    <w:rsid w:val="7C728285"/>
    <w:rsid w:val="7C72DAD7"/>
    <w:rsid w:val="7C76AD02"/>
    <w:rsid w:val="7C779B9E"/>
    <w:rsid w:val="7C77CF02"/>
    <w:rsid w:val="7C77D722"/>
    <w:rsid w:val="7C781356"/>
    <w:rsid w:val="7C78E290"/>
    <w:rsid w:val="7C7ECA50"/>
    <w:rsid w:val="7C7F86AF"/>
    <w:rsid w:val="7C80D4D1"/>
    <w:rsid w:val="7C82DA0C"/>
    <w:rsid w:val="7C86BEE1"/>
    <w:rsid w:val="7C870B23"/>
    <w:rsid w:val="7C8DDD91"/>
    <w:rsid w:val="7C90255E"/>
    <w:rsid w:val="7C915676"/>
    <w:rsid w:val="7C92304B"/>
    <w:rsid w:val="7C9268F9"/>
    <w:rsid w:val="7C9818E6"/>
    <w:rsid w:val="7C98B84A"/>
    <w:rsid w:val="7C98FCD5"/>
    <w:rsid w:val="7C9E0261"/>
    <w:rsid w:val="7C9E23B9"/>
    <w:rsid w:val="7C9F3878"/>
    <w:rsid w:val="7CA645FA"/>
    <w:rsid w:val="7CA7338E"/>
    <w:rsid w:val="7CA7CED6"/>
    <w:rsid w:val="7CA9C339"/>
    <w:rsid w:val="7CAA09F3"/>
    <w:rsid w:val="7CAA1C20"/>
    <w:rsid w:val="7CAD7E47"/>
    <w:rsid w:val="7CAE8B8E"/>
    <w:rsid w:val="7CAF5B8A"/>
    <w:rsid w:val="7CAF6D00"/>
    <w:rsid w:val="7CB05959"/>
    <w:rsid w:val="7CB32A35"/>
    <w:rsid w:val="7CB5447A"/>
    <w:rsid w:val="7CB6E97B"/>
    <w:rsid w:val="7CB9FB0C"/>
    <w:rsid w:val="7CBAECBA"/>
    <w:rsid w:val="7CBB3939"/>
    <w:rsid w:val="7CBB3FC7"/>
    <w:rsid w:val="7CBC780C"/>
    <w:rsid w:val="7CBFC537"/>
    <w:rsid w:val="7CC01A60"/>
    <w:rsid w:val="7CC0C2E7"/>
    <w:rsid w:val="7CC37082"/>
    <w:rsid w:val="7CC930B8"/>
    <w:rsid w:val="7CC95730"/>
    <w:rsid w:val="7CC9D12B"/>
    <w:rsid w:val="7CCD50A9"/>
    <w:rsid w:val="7CCD6273"/>
    <w:rsid w:val="7CD090A6"/>
    <w:rsid w:val="7CD17F51"/>
    <w:rsid w:val="7CD915E6"/>
    <w:rsid w:val="7CDC8970"/>
    <w:rsid w:val="7CDCE043"/>
    <w:rsid w:val="7CE5A9C0"/>
    <w:rsid w:val="7CE7B95B"/>
    <w:rsid w:val="7CEC680E"/>
    <w:rsid w:val="7CEE56D6"/>
    <w:rsid w:val="7CEF70AA"/>
    <w:rsid w:val="7CF02F8D"/>
    <w:rsid w:val="7CF333C9"/>
    <w:rsid w:val="7CF383F3"/>
    <w:rsid w:val="7CF3AD8C"/>
    <w:rsid w:val="7CF40BE5"/>
    <w:rsid w:val="7CF438AB"/>
    <w:rsid w:val="7CF8A4AE"/>
    <w:rsid w:val="7CF8CB67"/>
    <w:rsid w:val="7CF90F3E"/>
    <w:rsid w:val="7CFAE05C"/>
    <w:rsid w:val="7CFCDC18"/>
    <w:rsid w:val="7CFF7047"/>
    <w:rsid w:val="7CFFC528"/>
    <w:rsid w:val="7D006AF2"/>
    <w:rsid w:val="7D02EA91"/>
    <w:rsid w:val="7D03A4DD"/>
    <w:rsid w:val="7D041D9D"/>
    <w:rsid w:val="7D081B94"/>
    <w:rsid w:val="7D088865"/>
    <w:rsid w:val="7D0907B8"/>
    <w:rsid w:val="7D098CB1"/>
    <w:rsid w:val="7D09AA7F"/>
    <w:rsid w:val="7D0A11E2"/>
    <w:rsid w:val="7D0A3E02"/>
    <w:rsid w:val="7D0B1EDA"/>
    <w:rsid w:val="7D0C1B2F"/>
    <w:rsid w:val="7D0D52F9"/>
    <w:rsid w:val="7D0D6A73"/>
    <w:rsid w:val="7D0E40C6"/>
    <w:rsid w:val="7D0F9977"/>
    <w:rsid w:val="7D1276F6"/>
    <w:rsid w:val="7D133C18"/>
    <w:rsid w:val="7D16C03A"/>
    <w:rsid w:val="7D1979D3"/>
    <w:rsid w:val="7D1B3155"/>
    <w:rsid w:val="7D1DB0A6"/>
    <w:rsid w:val="7D23D5BA"/>
    <w:rsid w:val="7D246318"/>
    <w:rsid w:val="7D259565"/>
    <w:rsid w:val="7D273C50"/>
    <w:rsid w:val="7D297428"/>
    <w:rsid w:val="7D2C3965"/>
    <w:rsid w:val="7D2DF497"/>
    <w:rsid w:val="7D2E66E0"/>
    <w:rsid w:val="7D2F074D"/>
    <w:rsid w:val="7D2F72CC"/>
    <w:rsid w:val="7D2FEB4A"/>
    <w:rsid w:val="7D30BFB9"/>
    <w:rsid w:val="7D348A37"/>
    <w:rsid w:val="7D34DF9D"/>
    <w:rsid w:val="7D373D39"/>
    <w:rsid w:val="7D373F69"/>
    <w:rsid w:val="7D3D2E71"/>
    <w:rsid w:val="7D3D990F"/>
    <w:rsid w:val="7D3DF187"/>
    <w:rsid w:val="7D3E7218"/>
    <w:rsid w:val="7D3F6C6A"/>
    <w:rsid w:val="7D425230"/>
    <w:rsid w:val="7D4476D2"/>
    <w:rsid w:val="7D457B36"/>
    <w:rsid w:val="7D46449A"/>
    <w:rsid w:val="7D46C5DB"/>
    <w:rsid w:val="7D473DA5"/>
    <w:rsid w:val="7D4817DE"/>
    <w:rsid w:val="7D48EB33"/>
    <w:rsid w:val="7D495B5B"/>
    <w:rsid w:val="7D4964ED"/>
    <w:rsid w:val="7D4B6B6F"/>
    <w:rsid w:val="7D4CF715"/>
    <w:rsid w:val="7D4D1EF3"/>
    <w:rsid w:val="7D4F758B"/>
    <w:rsid w:val="7D507327"/>
    <w:rsid w:val="7D56C8A0"/>
    <w:rsid w:val="7D56C8B6"/>
    <w:rsid w:val="7D57401B"/>
    <w:rsid w:val="7D595930"/>
    <w:rsid w:val="7D5A6A66"/>
    <w:rsid w:val="7D5F4339"/>
    <w:rsid w:val="7D5F9392"/>
    <w:rsid w:val="7D5FB86F"/>
    <w:rsid w:val="7D60841B"/>
    <w:rsid w:val="7D626AA8"/>
    <w:rsid w:val="7D635DB3"/>
    <w:rsid w:val="7D63932B"/>
    <w:rsid w:val="7D64573C"/>
    <w:rsid w:val="7D64768C"/>
    <w:rsid w:val="7D66FBB4"/>
    <w:rsid w:val="7D674E27"/>
    <w:rsid w:val="7D681CF3"/>
    <w:rsid w:val="7D685364"/>
    <w:rsid w:val="7D6917F7"/>
    <w:rsid w:val="7D6C657C"/>
    <w:rsid w:val="7D6CA319"/>
    <w:rsid w:val="7D6DA1E0"/>
    <w:rsid w:val="7D6F4068"/>
    <w:rsid w:val="7D70EE72"/>
    <w:rsid w:val="7D725227"/>
    <w:rsid w:val="7D72D78C"/>
    <w:rsid w:val="7D74291F"/>
    <w:rsid w:val="7D74BCFE"/>
    <w:rsid w:val="7D756165"/>
    <w:rsid w:val="7D758AAE"/>
    <w:rsid w:val="7D77EC96"/>
    <w:rsid w:val="7D79C78D"/>
    <w:rsid w:val="7D7B8E64"/>
    <w:rsid w:val="7D7D0470"/>
    <w:rsid w:val="7D7DE107"/>
    <w:rsid w:val="7D7F14C7"/>
    <w:rsid w:val="7D80401F"/>
    <w:rsid w:val="7D82D389"/>
    <w:rsid w:val="7D8607C1"/>
    <w:rsid w:val="7D866F4E"/>
    <w:rsid w:val="7D86D39F"/>
    <w:rsid w:val="7D8A523B"/>
    <w:rsid w:val="7D8C665C"/>
    <w:rsid w:val="7D8CBC4E"/>
    <w:rsid w:val="7D8D8AD8"/>
    <w:rsid w:val="7D8EF11A"/>
    <w:rsid w:val="7D921978"/>
    <w:rsid w:val="7D93C6DC"/>
    <w:rsid w:val="7D940EB6"/>
    <w:rsid w:val="7D987633"/>
    <w:rsid w:val="7D991B05"/>
    <w:rsid w:val="7D9967A1"/>
    <w:rsid w:val="7D99ACCA"/>
    <w:rsid w:val="7D99DD86"/>
    <w:rsid w:val="7D9A0D11"/>
    <w:rsid w:val="7D9AB7D8"/>
    <w:rsid w:val="7D9B62AC"/>
    <w:rsid w:val="7D9E20EA"/>
    <w:rsid w:val="7DA1C6C7"/>
    <w:rsid w:val="7DA2F7CB"/>
    <w:rsid w:val="7DA2FC01"/>
    <w:rsid w:val="7DA363D9"/>
    <w:rsid w:val="7DA413E5"/>
    <w:rsid w:val="7DA474CB"/>
    <w:rsid w:val="7DA56DB9"/>
    <w:rsid w:val="7DA6B076"/>
    <w:rsid w:val="7DA6D738"/>
    <w:rsid w:val="7DA84CDE"/>
    <w:rsid w:val="7DA98EAE"/>
    <w:rsid w:val="7DA9C6D6"/>
    <w:rsid w:val="7DA9CE8A"/>
    <w:rsid w:val="7DAB5C02"/>
    <w:rsid w:val="7DADB793"/>
    <w:rsid w:val="7DAE1A29"/>
    <w:rsid w:val="7DAF4495"/>
    <w:rsid w:val="7DAF9B38"/>
    <w:rsid w:val="7DB4A2C3"/>
    <w:rsid w:val="7DB7524B"/>
    <w:rsid w:val="7DB7D2BD"/>
    <w:rsid w:val="7DB84267"/>
    <w:rsid w:val="7DB8D2DD"/>
    <w:rsid w:val="7DB8FC20"/>
    <w:rsid w:val="7DBB5BAA"/>
    <w:rsid w:val="7DBD45B5"/>
    <w:rsid w:val="7DBDE510"/>
    <w:rsid w:val="7DBEEBCE"/>
    <w:rsid w:val="7DBF0C81"/>
    <w:rsid w:val="7DBFA6DA"/>
    <w:rsid w:val="7DC13BC6"/>
    <w:rsid w:val="7DC323AD"/>
    <w:rsid w:val="7DC386FE"/>
    <w:rsid w:val="7DC54556"/>
    <w:rsid w:val="7DC77C3A"/>
    <w:rsid w:val="7DC82292"/>
    <w:rsid w:val="7DC88A28"/>
    <w:rsid w:val="7DC8F77D"/>
    <w:rsid w:val="7DC9F685"/>
    <w:rsid w:val="7DCEE51D"/>
    <w:rsid w:val="7DD25DC6"/>
    <w:rsid w:val="7DD52E66"/>
    <w:rsid w:val="7DD5BFBF"/>
    <w:rsid w:val="7DD6920E"/>
    <w:rsid w:val="7DD72B7F"/>
    <w:rsid w:val="7DD7E3DE"/>
    <w:rsid w:val="7DD84962"/>
    <w:rsid w:val="7DD8E7FA"/>
    <w:rsid w:val="7DDA49D7"/>
    <w:rsid w:val="7DDAF9B1"/>
    <w:rsid w:val="7DDB709A"/>
    <w:rsid w:val="7DDB7244"/>
    <w:rsid w:val="7DDC59FF"/>
    <w:rsid w:val="7DE22790"/>
    <w:rsid w:val="7DE3DF88"/>
    <w:rsid w:val="7DE47667"/>
    <w:rsid w:val="7DE57BBC"/>
    <w:rsid w:val="7DE583CB"/>
    <w:rsid w:val="7DE5B3B0"/>
    <w:rsid w:val="7DE942A8"/>
    <w:rsid w:val="7DE9D50F"/>
    <w:rsid w:val="7DEAD0B4"/>
    <w:rsid w:val="7DEB9A48"/>
    <w:rsid w:val="7DEBF8A4"/>
    <w:rsid w:val="7DEC506C"/>
    <w:rsid w:val="7DECBFAE"/>
    <w:rsid w:val="7DEE9107"/>
    <w:rsid w:val="7DF08940"/>
    <w:rsid w:val="7DF285EA"/>
    <w:rsid w:val="7DF28CFC"/>
    <w:rsid w:val="7DF32637"/>
    <w:rsid w:val="7DF46DFC"/>
    <w:rsid w:val="7DF72B62"/>
    <w:rsid w:val="7DF89B58"/>
    <w:rsid w:val="7DFB036B"/>
    <w:rsid w:val="7DFB3274"/>
    <w:rsid w:val="7DFC144D"/>
    <w:rsid w:val="7DFDB4CA"/>
    <w:rsid w:val="7DFFEB4D"/>
    <w:rsid w:val="7E01F3C6"/>
    <w:rsid w:val="7E03D27D"/>
    <w:rsid w:val="7E040931"/>
    <w:rsid w:val="7E042631"/>
    <w:rsid w:val="7E084CB6"/>
    <w:rsid w:val="7E0A23C9"/>
    <w:rsid w:val="7E0B7061"/>
    <w:rsid w:val="7E0B82CF"/>
    <w:rsid w:val="7E10DBDE"/>
    <w:rsid w:val="7E11060C"/>
    <w:rsid w:val="7E123B5C"/>
    <w:rsid w:val="7E1441BE"/>
    <w:rsid w:val="7E15C3D9"/>
    <w:rsid w:val="7E18641C"/>
    <w:rsid w:val="7E18D09A"/>
    <w:rsid w:val="7E1A3FFB"/>
    <w:rsid w:val="7E1AD07E"/>
    <w:rsid w:val="7E1AF11A"/>
    <w:rsid w:val="7E1B0352"/>
    <w:rsid w:val="7E1C8795"/>
    <w:rsid w:val="7E1E78B6"/>
    <w:rsid w:val="7E1EB7E7"/>
    <w:rsid w:val="7E1F0500"/>
    <w:rsid w:val="7E1FA0F4"/>
    <w:rsid w:val="7E2088F2"/>
    <w:rsid w:val="7E21FEBB"/>
    <w:rsid w:val="7E220F21"/>
    <w:rsid w:val="7E2256FC"/>
    <w:rsid w:val="7E25DD3E"/>
    <w:rsid w:val="7E2676F5"/>
    <w:rsid w:val="7E26940F"/>
    <w:rsid w:val="7E28B6A3"/>
    <w:rsid w:val="7E2940BB"/>
    <w:rsid w:val="7E2BC8AD"/>
    <w:rsid w:val="7E307384"/>
    <w:rsid w:val="7E3149DE"/>
    <w:rsid w:val="7E3157EB"/>
    <w:rsid w:val="7E324F8C"/>
    <w:rsid w:val="7E34A50D"/>
    <w:rsid w:val="7E3578C1"/>
    <w:rsid w:val="7E365728"/>
    <w:rsid w:val="7E369BE1"/>
    <w:rsid w:val="7E39D977"/>
    <w:rsid w:val="7E3C988D"/>
    <w:rsid w:val="7E3CE849"/>
    <w:rsid w:val="7E3D9EC5"/>
    <w:rsid w:val="7E400F2A"/>
    <w:rsid w:val="7E4088CA"/>
    <w:rsid w:val="7E415493"/>
    <w:rsid w:val="7E437CFB"/>
    <w:rsid w:val="7E4427E6"/>
    <w:rsid w:val="7E44BB9B"/>
    <w:rsid w:val="7E45E478"/>
    <w:rsid w:val="7E4894B6"/>
    <w:rsid w:val="7E4B7E2B"/>
    <w:rsid w:val="7E4C004D"/>
    <w:rsid w:val="7E4E8FA3"/>
    <w:rsid w:val="7E4FDFF3"/>
    <w:rsid w:val="7E5464D3"/>
    <w:rsid w:val="7E54A9C3"/>
    <w:rsid w:val="7E552A57"/>
    <w:rsid w:val="7E5551B8"/>
    <w:rsid w:val="7E5637BA"/>
    <w:rsid w:val="7E565D34"/>
    <w:rsid w:val="7E5A72A3"/>
    <w:rsid w:val="7E5C7797"/>
    <w:rsid w:val="7E5D86A8"/>
    <w:rsid w:val="7E5E109F"/>
    <w:rsid w:val="7E5F3517"/>
    <w:rsid w:val="7E5F3FA3"/>
    <w:rsid w:val="7E5FB1B7"/>
    <w:rsid w:val="7E61A5F7"/>
    <w:rsid w:val="7E64C4CD"/>
    <w:rsid w:val="7E654C6C"/>
    <w:rsid w:val="7E65925A"/>
    <w:rsid w:val="7E6936B1"/>
    <w:rsid w:val="7E69ACA6"/>
    <w:rsid w:val="7E6C8A5D"/>
    <w:rsid w:val="7E6F6AC9"/>
    <w:rsid w:val="7E6F7B24"/>
    <w:rsid w:val="7E727ACD"/>
    <w:rsid w:val="7E734A9F"/>
    <w:rsid w:val="7E73B616"/>
    <w:rsid w:val="7E746461"/>
    <w:rsid w:val="7E752EE7"/>
    <w:rsid w:val="7E759FBE"/>
    <w:rsid w:val="7E79C69B"/>
    <w:rsid w:val="7E7BBB39"/>
    <w:rsid w:val="7E7F2522"/>
    <w:rsid w:val="7E81C6B3"/>
    <w:rsid w:val="7E81DE53"/>
    <w:rsid w:val="7E824927"/>
    <w:rsid w:val="7E828F71"/>
    <w:rsid w:val="7E82BFA8"/>
    <w:rsid w:val="7E83C971"/>
    <w:rsid w:val="7E85A4A9"/>
    <w:rsid w:val="7E85E609"/>
    <w:rsid w:val="7E865F1B"/>
    <w:rsid w:val="7E86D4C7"/>
    <w:rsid w:val="7E879E4E"/>
    <w:rsid w:val="7E8AD77E"/>
    <w:rsid w:val="7E8C73FF"/>
    <w:rsid w:val="7E8EC4A6"/>
    <w:rsid w:val="7E8EF17C"/>
    <w:rsid w:val="7E9252E5"/>
    <w:rsid w:val="7E94137C"/>
    <w:rsid w:val="7E97582B"/>
    <w:rsid w:val="7E9A26C7"/>
    <w:rsid w:val="7E9B43E1"/>
    <w:rsid w:val="7E9B5E34"/>
    <w:rsid w:val="7E9C2402"/>
    <w:rsid w:val="7E9CA46F"/>
    <w:rsid w:val="7E9CE898"/>
    <w:rsid w:val="7E9DAC2E"/>
    <w:rsid w:val="7E9DAE19"/>
    <w:rsid w:val="7E9F6C51"/>
    <w:rsid w:val="7E9FA5D0"/>
    <w:rsid w:val="7E9FA5DA"/>
    <w:rsid w:val="7E9FEBF9"/>
    <w:rsid w:val="7EA09152"/>
    <w:rsid w:val="7EA0B2FC"/>
    <w:rsid w:val="7EA1C40D"/>
    <w:rsid w:val="7EA30BDC"/>
    <w:rsid w:val="7EA3B902"/>
    <w:rsid w:val="7EA40BE2"/>
    <w:rsid w:val="7EA51B83"/>
    <w:rsid w:val="7EA616AB"/>
    <w:rsid w:val="7EA84EDF"/>
    <w:rsid w:val="7EA86CA5"/>
    <w:rsid w:val="7EA8C31B"/>
    <w:rsid w:val="7EAA6D6F"/>
    <w:rsid w:val="7EAB722F"/>
    <w:rsid w:val="7EACA7A9"/>
    <w:rsid w:val="7EAD6D93"/>
    <w:rsid w:val="7EADD5F2"/>
    <w:rsid w:val="7EAF71CF"/>
    <w:rsid w:val="7EAFE283"/>
    <w:rsid w:val="7EB2909B"/>
    <w:rsid w:val="7EB5960E"/>
    <w:rsid w:val="7EB60DAF"/>
    <w:rsid w:val="7EB69F39"/>
    <w:rsid w:val="7EB720AE"/>
    <w:rsid w:val="7EB7A19E"/>
    <w:rsid w:val="7EB83111"/>
    <w:rsid w:val="7EB95BE4"/>
    <w:rsid w:val="7EBA6586"/>
    <w:rsid w:val="7EBADA75"/>
    <w:rsid w:val="7EBAF3B5"/>
    <w:rsid w:val="7EBC3E5A"/>
    <w:rsid w:val="7EBF1DA0"/>
    <w:rsid w:val="7EC33F1B"/>
    <w:rsid w:val="7EC4FE48"/>
    <w:rsid w:val="7EC627EF"/>
    <w:rsid w:val="7EC8B9B6"/>
    <w:rsid w:val="7EC98CC1"/>
    <w:rsid w:val="7ECA7DBF"/>
    <w:rsid w:val="7ECB6CE5"/>
    <w:rsid w:val="7ECC6996"/>
    <w:rsid w:val="7ECC9CD7"/>
    <w:rsid w:val="7ECCBB18"/>
    <w:rsid w:val="7ECF3F24"/>
    <w:rsid w:val="7ED0DC95"/>
    <w:rsid w:val="7ED1502E"/>
    <w:rsid w:val="7ED2FFDE"/>
    <w:rsid w:val="7ED3A353"/>
    <w:rsid w:val="7ED5FED2"/>
    <w:rsid w:val="7ED6BAC5"/>
    <w:rsid w:val="7EDB0400"/>
    <w:rsid w:val="7EDB496E"/>
    <w:rsid w:val="7EDC748E"/>
    <w:rsid w:val="7EDE5F1F"/>
    <w:rsid w:val="7EDE7677"/>
    <w:rsid w:val="7EDEAA31"/>
    <w:rsid w:val="7EDECDDE"/>
    <w:rsid w:val="7EDFDA55"/>
    <w:rsid w:val="7EDFEE89"/>
    <w:rsid w:val="7EE1B9E7"/>
    <w:rsid w:val="7EE68CB0"/>
    <w:rsid w:val="7EE6E86A"/>
    <w:rsid w:val="7EE712FE"/>
    <w:rsid w:val="7EE78754"/>
    <w:rsid w:val="7EE8E35F"/>
    <w:rsid w:val="7EEA2070"/>
    <w:rsid w:val="7EEA3AE7"/>
    <w:rsid w:val="7EEAE0FE"/>
    <w:rsid w:val="7EEB197F"/>
    <w:rsid w:val="7EECC836"/>
    <w:rsid w:val="7EECFB79"/>
    <w:rsid w:val="7EEE8B3B"/>
    <w:rsid w:val="7EEEB0A6"/>
    <w:rsid w:val="7EF0B6E7"/>
    <w:rsid w:val="7EF160A8"/>
    <w:rsid w:val="7EF18F32"/>
    <w:rsid w:val="7EF3D85A"/>
    <w:rsid w:val="7EF6FBE2"/>
    <w:rsid w:val="7EFA0B77"/>
    <w:rsid w:val="7EFAFE4C"/>
    <w:rsid w:val="7EFB91AC"/>
    <w:rsid w:val="7EFD2E6B"/>
    <w:rsid w:val="7EFE7B2F"/>
    <w:rsid w:val="7EFF8CED"/>
    <w:rsid w:val="7F005C97"/>
    <w:rsid w:val="7F006206"/>
    <w:rsid w:val="7F01CDB2"/>
    <w:rsid w:val="7F02C747"/>
    <w:rsid w:val="7F03CB49"/>
    <w:rsid w:val="7F049047"/>
    <w:rsid w:val="7F04D930"/>
    <w:rsid w:val="7F05EA60"/>
    <w:rsid w:val="7F06FBD1"/>
    <w:rsid w:val="7F0701C2"/>
    <w:rsid w:val="7F08314A"/>
    <w:rsid w:val="7F096FF9"/>
    <w:rsid w:val="7F09B099"/>
    <w:rsid w:val="7F0B1D5A"/>
    <w:rsid w:val="7F0B42A7"/>
    <w:rsid w:val="7F0BEFE3"/>
    <w:rsid w:val="7F0CF801"/>
    <w:rsid w:val="7F0E258E"/>
    <w:rsid w:val="7F10E6CB"/>
    <w:rsid w:val="7F129F9F"/>
    <w:rsid w:val="7F162DF0"/>
    <w:rsid w:val="7F1682CF"/>
    <w:rsid w:val="7F1A8C69"/>
    <w:rsid w:val="7F1C9BFF"/>
    <w:rsid w:val="7F1CEE8B"/>
    <w:rsid w:val="7F1D2374"/>
    <w:rsid w:val="7F1FC008"/>
    <w:rsid w:val="7F2418D7"/>
    <w:rsid w:val="7F26916D"/>
    <w:rsid w:val="7F26C9A9"/>
    <w:rsid w:val="7F2BED00"/>
    <w:rsid w:val="7F2CD889"/>
    <w:rsid w:val="7F311D55"/>
    <w:rsid w:val="7F316786"/>
    <w:rsid w:val="7F31AFCC"/>
    <w:rsid w:val="7F31D3A5"/>
    <w:rsid w:val="7F327677"/>
    <w:rsid w:val="7F3324F6"/>
    <w:rsid w:val="7F33C1A6"/>
    <w:rsid w:val="7F35B632"/>
    <w:rsid w:val="7F36C453"/>
    <w:rsid w:val="7F38778F"/>
    <w:rsid w:val="7F3A8782"/>
    <w:rsid w:val="7F3C0D56"/>
    <w:rsid w:val="7F3C57ED"/>
    <w:rsid w:val="7F3D416F"/>
    <w:rsid w:val="7F3D570A"/>
    <w:rsid w:val="7F3F2435"/>
    <w:rsid w:val="7F401607"/>
    <w:rsid w:val="7F41622D"/>
    <w:rsid w:val="7F42F1AB"/>
    <w:rsid w:val="7F43E6B7"/>
    <w:rsid w:val="7F454DC6"/>
    <w:rsid w:val="7F458307"/>
    <w:rsid w:val="7F45CF1A"/>
    <w:rsid w:val="7F47B27C"/>
    <w:rsid w:val="7F47DA22"/>
    <w:rsid w:val="7F498971"/>
    <w:rsid w:val="7F4A04A3"/>
    <w:rsid w:val="7F4C9E3F"/>
    <w:rsid w:val="7F4E9C1E"/>
    <w:rsid w:val="7F504867"/>
    <w:rsid w:val="7F50E0B7"/>
    <w:rsid w:val="7F50FC2E"/>
    <w:rsid w:val="7F546D5D"/>
    <w:rsid w:val="7F558C32"/>
    <w:rsid w:val="7F569DB0"/>
    <w:rsid w:val="7F58A203"/>
    <w:rsid w:val="7F59F4FB"/>
    <w:rsid w:val="7F5D21C3"/>
    <w:rsid w:val="7F610E35"/>
    <w:rsid w:val="7F613149"/>
    <w:rsid w:val="7F63FD9F"/>
    <w:rsid w:val="7F64B345"/>
    <w:rsid w:val="7F659C89"/>
    <w:rsid w:val="7F65E3BC"/>
    <w:rsid w:val="7F66157A"/>
    <w:rsid w:val="7F67B2EC"/>
    <w:rsid w:val="7F6C3AFC"/>
    <w:rsid w:val="7F6C466A"/>
    <w:rsid w:val="7F6D0ACD"/>
    <w:rsid w:val="7F6E8ABF"/>
    <w:rsid w:val="7F70F827"/>
    <w:rsid w:val="7F717BB1"/>
    <w:rsid w:val="7F72257A"/>
    <w:rsid w:val="7F751846"/>
    <w:rsid w:val="7F76DAAC"/>
    <w:rsid w:val="7F7707F5"/>
    <w:rsid w:val="7F794EEF"/>
    <w:rsid w:val="7F7A19F6"/>
    <w:rsid w:val="7F7D57A6"/>
    <w:rsid w:val="7F7D6196"/>
    <w:rsid w:val="7F7F3823"/>
    <w:rsid w:val="7F7F6048"/>
    <w:rsid w:val="7F7FBD94"/>
    <w:rsid w:val="7F832CAB"/>
    <w:rsid w:val="7F84D29C"/>
    <w:rsid w:val="7F8502B0"/>
    <w:rsid w:val="7F876D9C"/>
    <w:rsid w:val="7F880F56"/>
    <w:rsid w:val="7F881F85"/>
    <w:rsid w:val="7F8B11FB"/>
    <w:rsid w:val="7F8B65EE"/>
    <w:rsid w:val="7F8BA71A"/>
    <w:rsid w:val="7F8CF7E9"/>
    <w:rsid w:val="7F8D4C34"/>
    <w:rsid w:val="7F8DF4D5"/>
    <w:rsid w:val="7F8FA673"/>
    <w:rsid w:val="7F929265"/>
    <w:rsid w:val="7F948AA7"/>
    <w:rsid w:val="7F968B1A"/>
    <w:rsid w:val="7F9831AD"/>
    <w:rsid w:val="7F98F0E2"/>
    <w:rsid w:val="7F9A0EF9"/>
    <w:rsid w:val="7F9A3E71"/>
    <w:rsid w:val="7F9B5F8A"/>
    <w:rsid w:val="7F9B8FF5"/>
    <w:rsid w:val="7F9C16FA"/>
    <w:rsid w:val="7F9F09CE"/>
    <w:rsid w:val="7F9F92E2"/>
    <w:rsid w:val="7F9FB158"/>
    <w:rsid w:val="7F9FD48E"/>
    <w:rsid w:val="7FA41F0B"/>
    <w:rsid w:val="7FA56462"/>
    <w:rsid w:val="7FA879B2"/>
    <w:rsid w:val="7FA8FC52"/>
    <w:rsid w:val="7FA99EEB"/>
    <w:rsid w:val="7FAB3543"/>
    <w:rsid w:val="7FAD0635"/>
    <w:rsid w:val="7FADA29B"/>
    <w:rsid w:val="7FADE4D1"/>
    <w:rsid w:val="7FAE2124"/>
    <w:rsid w:val="7FAE312F"/>
    <w:rsid w:val="7FB04A16"/>
    <w:rsid w:val="7FB140FB"/>
    <w:rsid w:val="7FB582D2"/>
    <w:rsid w:val="7FB655DF"/>
    <w:rsid w:val="7FB72D55"/>
    <w:rsid w:val="7FB8D2CB"/>
    <w:rsid w:val="7FB9BD3A"/>
    <w:rsid w:val="7FBB6F2E"/>
    <w:rsid w:val="7FBBA426"/>
    <w:rsid w:val="7FBC3AD3"/>
    <w:rsid w:val="7FBCC4E9"/>
    <w:rsid w:val="7FBD0A48"/>
    <w:rsid w:val="7FBF13B2"/>
    <w:rsid w:val="7FC2A4B7"/>
    <w:rsid w:val="7FC380C4"/>
    <w:rsid w:val="7FC6017C"/>
    <w:rsid w:val="7FC6CD1C"/>
    <w:rsid w:val="7FCC82FC"/>
    <w:rsid w:val="7FCC8C39"/>
    <w:rsid w:val="7FCCD577"/>
    <w:rsid w:val="7FCD31DA"/>
    <w:rsid w:val="7FCF57B6"/>
    <w:rsid w:val="7FD0A676"/>
    <w:rsid w:val="7FD180D0"/>
    <w:rsid w:val="7FD24666"/>
    <w:rsid w:val="7FD4432B"/>
    <w:rsid w:val="7FD684C1"/>
    <w:rsid w:val="7FD7EE5E"/>
    <w:rsid w:val="7FDADD5C"/>
    <w:rsid w:val="7FDCCBAD"/>
    <w:rsid w:val="7FDEBEAB"/>
    <w:rsid w:val="7FE283B6"/>
    <w:rsid w:val="7FE3633D"/>
    <w:rsid w:val="7FE3B83A"/>
    <w:rsid w:val="7FE5A7CC"/>
    <w:rsid w:val="7FE5D70F"/>
    <w:rsid w:val="7FE77544"/>
    <w:rsid w:val="7FE8DB48"/>
    <w:rsid w:val="7FEA7385"/>
    <w:rsid w:val="7FEC625C"/>
    <w:rsid w:val="7FECA7F4"/>
    <w:rsid w:val="7FEF9609"/>
    <w:rsid w:val="7FF2EFC5"/>
    <w:rsid w:val="7FF35EA2"/>
    <w:rsid w:val="7FF3A769"/>
    <w:rsid w:val="7FF4067F"/>
    <w:rsid w:val="7FF50D5E"/>
    <w:rsid w:val="7FF66FEB"/>
    <w:rsid w:val="7FF73FFA"/>
    <w:rsid w:val="7FF74929"/>
    <w:rsid w:val="7FFB1482"/>
    <w:rsid w:val="7FFB74C6"/>
    <w:rsid w:val="7FFF6CA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0CBE4E48-7F10-4A7E-9B33-2522533DB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A96"/>
    <w:pPr>
      <w:spacing w:after="240"/>
    </w:pPr>
  </w:style>
  <w:style w:type="paragraph" w:styleId="Heading1">
    <w:name w:val="heading 1"/>
    <w:basedOn w:val="Normal"/>
    <w:next w:val="Normal"/>
    <w:link w:val="Heading1Char"/>
    <w:uiPriority w:val="9"/>
    <w:qFormat/>
    <w:rsid w:val="00B64A96"/>
    <w:pPr>
      <w:keepNext/>
      <w:keepLines/>
      <w:spacing w:before="720" w:after="480" w:line="192" w:lineRule="auto"/>
      <w:outlineLvl w:val="0"/>
    </w:pPr>
    <w:rPr>
      <w:rFonts w:ascii="Calibri" w:eastAsiaTheme="majorEastAsia" w:hAnsi="Calibri" w:cstheme="majorBidi"/>
      <w:b/>
      <w:color w:val="002D3E"/>
      <w:sz w:val="72"/>
      <w:szCs w:val="26"/>
    </w:rPr>
  </w:style>
  <w:style w:type="paragraph" w:styleId="Heading2">
    <w:name w:val="heading 2"/>
    <w:next w:val="Normal"/>
    <w:link w:val="Heading2Char"/>
    <w:uiPriority w:val="9"/>
    <w:unhideWhenUsed/>
    <w:qFormat/>
    <w:rsid w:val="0011090B"/>
    <w:pPr>
      <w:numPr>
        <w:numId w:val="22"/>
      </w:numPr>
      <w:pBdr>
        <w:bottom w:val="single" w:sz="24" w:space="4" w:color="F99D2A" w:themeColor="accent6"/>
      </w:pBdr>
      <w:tabs>
        <w:tab w:val="left" w:pos="1985"/>
      </w:tabs>
      <w:outlineLvl w:val="1"/>
    </w:pPr>
    <w:rPr>
      <w:rFonts w:ascii="Calibri Light" w:eastAsiaTheme="majorEastAsia" w:hAnsi="Calibri Light" w:cstheme="majorBidi"/>
      <w:b/>
      <w:bCs/>
      <w:color w:val="297BAF"/>
      <w:sz w:val="40"/>
      <w:szCs w:val="40"/>
    </w:rPr>
  </w:style>
  <w:style w:type="paragraph" w:styleId="Heading3">
    <w:name w:val="heading 3"/>
    <w:basedOn w:val="Normal"/>
    <w:next w:val="Normal"/>
    <w:link w:val="Heading3Char"/>
    <w:uiPriority w:val="9"/>
    <w:unhideWhenUsed/>
    <w:qFormat/>
    <w:rsid w:val="007034F3"/>
    <w:pPr>
      <w:keepNext/>
      <w:numPr>
        <w:ilvl w:val="1"/>
        <w:numId w:val="22"/>
      </w:numPr>
      <w:tabs>
        <w:tab w:val="left" w:pos="567"/>
        <w:tab w:val="left" w:pos="709"/>
        <w:tab w:val="left" w:pos="851"/>
      </w:tabs>
      <w:spacing w:before="160" w:after="120"/>
      <w:outlineLvl w:val="2"/>
    </w:pPr>
    <w:rPr>
      <w:rFonts w:ascii="Calibri" w:eastAsiaTheme="majorEastAsia" w:hAnsi="Calibri" w:cstheme="majorBidi"/>
      <w:b/>
      <w:bCs/>
      <w:color w:val="00254A" w:themeColor="text2"/>
      <w:sz w:val="32"/>
      <w:szCs w:val="32"/>
    </w:rPr>
  </w:style>
  <w:style w:type="paragraph" w:styleId="Heading4">
    <w:name w:val="heading 4"/>
    <w:basedOn w:val="Normal"/>
    <w:next w:val="Normal"/>
    <w:link w:val="Heading4Char"/>
    <w:uiPriority w:val="9"/>
    <w:unhideWhenUsed/>
    <w:qFormat/>
    <w:rsid w:val="00BA6095"/>
    <w:pPr>
      <w:keepNext/>
      <w:keepLines/>
      <w:numPr>
        <w:ilvl w:val="2"/>
        <w:numId w:val="22"/>
      </w:numPr>
      <w:tabs>
        <w:tab w:val="left" w:pos="851"/>
      </w:tabs>
      <w:spacing w:before="120" w:after="80"/>
      <w:ind w:left="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D7449D"/>
    <w:pPr>
      <w:keepNext/>
      <w:keepLines/>
      <w:numPr>
        <w:ilvl w:val="3"/>
        <w:numId w:val="22"/>
      </w:numPr>
      <w:spacing w:before="240" w:after="60"/>
      <w:outlineLvl w:val="4"/>
    </w:pPr>
    <w:rPr>
      <w:rFonts w:eastAsiaTheme="majorEastAsia" w:cstheme="minorHAnsi"/>
      <w:b/>
      <w:sz w:val="24"/>
    </w:rPr>
  </w:style>
  <w:style w:type="paragraph" w:styleId="Heading6">
    <w:name w:val="heading 6"/>
    <w:basedOn w:val="Heading7"/>
    <w:next w:val="Normal"/>
    <w:link w:val="Heading6Char"/>
    <w:uiPriority w:val="9"/>
    <w:unhideWhenUsed/>
    <w:qFormat/>
    <w:rsid w:val="00876085"/>
    <w:pPr>
      <w:numPr>
        <w:ilvl w:val="4"/>
        <w:numId w:val="22"/>
      </w:numPr>
      <w:outlineLvl w:val="5"/>
    </w:pPr>
    <w:rPr>
      <w:b/>
      <w:bCs w:val="0"/>
      <w:color w:val="595959" w:themeColor="text1" w:themeTint="A6"/>
      <w:sz w:val="22"/>
      <w:szCs w:val="22"/>
    </w:rPr>
  </w:style>
  <w:style w:type="paragraph" w:styleId="Heading7">
    <w:name w:val="heading 7"/>
    <w:basedOn w:val="Normal"/>
    <w:next w:val="Normal"/>
    <w:link w:val="Heading7Char"/>
    <w:uiPriority w:val="9"/>
    <w:qFormat/>
    <w:rsid w:val="007A6A50"/>
    <w:pPr>
      <w:keepNext/>
      <w:keepLines/>
      <w:spacing w:before="120" w:after="0"/>
      <w:outlineLvl w:val="6"/>
    </w:pPr>
    <w:rPr>
      <w:rFonts w:asciiTheme="majorHAnsi" w:eastAsiaTheme="majorEastAsia" w:hAnsiTheme="majorHAnsi" w:cstheme="majorBidi"/>
      <w:bCs/>
      <w:iCs/>
      <w:color w:val="262626" w:themeColor="text1" w:themeTint="D9"/>
      <w:sz w:val="21"/>
      <w:szCs w:val="21"/>
    </w:rPr>
  </w:style>
  <w:style w:type="paragraph" w:styleId="Heading8">
    <w:name w:val="heading 8"/>
    <w:basedOn w:val="Normal"/>
    <w:next w:val="Normal"/>
    <w:link w:val="Heading8Char"/>
    <w:uiPriority w:val="9"/>
    <w:unhideWhenUsed/>
    <w:qFormat/>
    <w:rsid w:val="005B344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A15FA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rsid w:val="00645CB1"/>
    <w:rPr>
      <w:b/>
      <w:bCs/>
    </w:rPr>
  </w:style>
  <w:style w:type="character" w:styleId="Hyperlink">
    <w:name w:val="Hyperlink"/>
    <w:basedOn w:val="DefaultParagraphFont"/>
    <w:uiPriority w:val="99"/>
    <w:unhideWhenUsed/>
    <w:qFormat/>
    <w:rsid w:val="00645CB1"/>
    <w:rPr>
      <w:color w:val="297BAF"/>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aliases w:val="NSRB Table"/>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82240"/>
    <w:rPr>
      <w:rFonts w:ascii="Calibri" w:eastAsiaTheme="majorEastAsia" w:hAnsi="Calibri" w:cstheme="majorBidi"/>
      <w:b/>
      <w:color w:val="002D3E"/>
      <w:sz w:val="72"/>
      <w:szCs w:val="26"/>
    </w:rPr>
  </w:style>
  <w:style w:type="character" w:customStyle="1" w:styleId="Heading2Char">
    <w:name w:val="Heading 2 Char"/>
    <w:basedOn w:val="DefaultParagraphFont"/>
    <w:link w:val="Heading2"/>
    <w:uiPriority w:val="9"/>
    <w:rsid w:val="0011090B"/>
    <w:rPr>
      <w:rFonts w:ascii="Calibri Light" w:eastAsiaTheme="majorEastAsia" w:hAnsi="Calibri Light" w:cstheme="majorBidi"/>
      <w:b/>
      <w:bCs/>
      <w:color w:val="297BAF"/>
      <w:sz w:val="40"/>
      <w:szCs w:val="40"/>
    </w:rPr>
  </w:style>
  <w:style w:type="character" w:customStyle="1" w:styleId="Heading3Char">
    <w:name w:val="Heading 3 Char"/>
    <w:basedOn w:val="DefaultParagraphFont"/>
    <w:link w:val="Heading3"/>
    <w:uiPriority w:val="9"/>
    <w:rsid w:val="007034F3"/>
    <w:rPr>
      <w:rFonts w:ascii="Calibri" w:eastAsiaTheme="majorEastAsia" w:hAnsi="Calibri" w:cstheme="majorBidi"/>
      <w:b/>
      <w:bCs/>
      <w:color w:val="00254A" w:themeColor="text2"/>
      <w:sz w:val="32"/>
      <w:szCs w:val="32"/>
    </w:rPr>
  </w:style>
  <w:style w:type="character" w:customStyle="1" w:styleId="Heading4Char">
    <w:name w:val="Heading 4 Char"/>
    <w:basedOn w:val="DefaultParagraphFont"/>
    <w:link w:val="Heading4"/>
    <w:uiPriority w:val="9"/>
    <w:rsid w:val="00BA6095"/>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E032C4"/>
    <w:rPr>
      <w:rFonts w:eastAsiaTheme="majorEastAsia" w:cstheme="minorHAnsi"/>
      <w:b/>
      <w:sz w:val="24"/>
    </w:rPr>
  </w:style>
  <w:style w:type="character" w:customStyle="1" w:styleId="Heading6Char">
    <w:name w:val="Heading 6 Char"/>
    <w:basedOn w:val="DefaultParagraphFont"/>
    <w:link w:val="Heading6"/>
    <w:uiPriority w:val="9"/>
    <w:rsid w:val="00876085"/>
    <w:rPr>
      <w:rFonts w:asciiTheme="majorHAnsi" w:eastAsiaTheme="majorEastAsia" w:hAnsiTheme="majorHAnsi" w:cstheme="majorBidi"/>
      <w:b/>
      <w:iCs/>
      <w:color w:val="595959" w:themeColor="text1" w:themeTint="A6"/>
    </w:rPr>
  </w:style>
  <w:style w:type="paragraph" w:styleId="Caption">
    <w:name w:val="caption"/>
    <w:basedOn w:val="Normal"/>
    <w:next w:val="Normal"/>
    <w:uiPriority w:val="35"/>
    <w:qFormat/>
    <w:rsid w:val="006E4538"/>
    <w:pPr>
      <w:keepNext/>
      <w:keepLines/>
      <w:spacing w:before="240" w:after="120" w:line="240" w:lineRule="auto"/>
    </w:pPr>
    <w:rPr>
      <w:iCs/>
      <w:color w:val="757679"/>
    </w:rPr>
  </w:style>
  <w:style w:type="paragraph" w:customStyle="1" w:styleId="Source">
    <w:name w:val="Source"/>
    <w:basedOn w:val="Normal"/>
    <w:uiPriority w:val="97"/>
    <w:qFormat/>
    <w:rsid w:val="00A302A4"/>
    <w:pPr>
      <w:spacing w:before="120"/>
      <w:contextualSpacing/>
    </w:pPr>
    <w:rPr>
      <w:color w:val="757679"/>
      <w:sz w:val="20"/>
    </w:rPr>
  </w:style>
  <w:style w:type="character" w:customStyle="1" w:styleId="Heading7Char">
    <w:name w:val="Heading 7 Char"/>
    <w:basedOn w:val="DefaultParagraphFont"/>
    <w:link w:val="Heading7"/>
    <w:uiPriority w:val="9"/>
    <w:rsid w:val="00566DF2"/>
    <w:rPr>
      <w:rFonts w:asciiTheme="majorHAnsi" w:eastAsiaTheme="majorEastAsia" w:hAnsiTheme="majorHAnsi" w:cstheme="majorBidi"/>
      <w:bCs/>
      <w:iCs/>
      <w:color w:val="262626" w:themeColor="text1" w:themeTint="D9"/>
      <w:sz w:val="21"/>
      <w:szCs w:val="21"/>
    </w:rPr>
  </w:style>
  <w:style w:type="paragraph" w:styleId="Subtitle">
    <w:name w:val="Subtitle"/>
    <w:basedOn w:val="Normal"/>
    <w:next w:val="Normal"/>
    <w:link w:val="SubtitleChar"/>
    <w:uiPriority w:val="11"/>
    <w:qFormat/>
    <w:rsid w:val="00645CB1"/>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645CB1"/>
    <w:rPr>
      <w:rFonts w:eastAsiaTheme="minorEastAsia"/>
      <w:color w:val="008599" w:themeColor="accent1"/>
      <w:spacing w:val="15"/>
      <w:sz w:val="40"/>
    </w:rPr>
  </w:style>
  <w:style w:type="paragraph" w:styleId="List">
    <w:name w:val="List"/>
    <w:basedOn w:val="Normal"/>
    <w:uiPriority w:val="98"/>
    <w:qFormat/>
    <w:rsid w:val="00645CB1"/>
    <w:pPr>
      <w:numPr>
        <w:numId w:val="2"/>
      </w:numPr>
      <w:spacing w:after="200"/>
      <w:contextualSpacing/>
    </w:pPr>
  </w:style>
  <w:style w:type="paragraph" w:styleId="List2">
    <w:name w:val="List 2"/>
    <w:basedOn w:val="List"/>
    <w:uiPriority w:val="98"/>
    <w:qFormat/>
    <w:rsid w:val="004E1649"/>
    <w:pPr>
      <w:numPr>
        <w:ilvl w:val="1"/>
      </w:numPr>
      <w:spacing w:before="100" w:beforeAutospacing="1" w:afterAutospacing="1" w:line="240" w:lineRule="auto"/>
    </w:pPr>
  </w:style>
  <w:style w:type="paragraph" w:styleId="List3">
    <w:name w:val="List 3"/>
    <w:basedOn w:val="Normal"/>
    <w:uiPriority w:val="98"/>
    <w:qFormat/>
    <w:rsid w:val="00645CB1"/>
    <w:pPr>
      <w:numPr>
        <w:ilvl w:val="2"/>
        <w:numId w:val="2"/>
      </w:numPr>
      <w:spacing w:after="200"/>
      <w:contextualSpacing/>
    </w:pPr>
  </w:style>
  <w:style w:type="paragraph" w:styleId="List4">
    <w:name w:val="List 4"/>
    <w:basedOn w:val="Normal"/>
    <w:uiPriority w:val="98"/>
    <w:qFormat/>
    <w:rsid w:val="00645CB1"/>
    <w:pPr>
      <w:spacing w:after="200"/>
      <w:ind w:left="1588" w:hanging="397"/>
      <w:contextualSpacing/>
    </w:pPr>
  </w:style>
  <w:style w:type="paragraph" w:styleId="ListNumber">
    <w:name w:val="List Number"/>
    <w:basedOn w:val="Normal"/>
    <w:link w:val="ListNumberChar"/>
    <w:uiPriority w:val="99"/>
    <w:qFormat/>
    <w:rsid w:val="008C67CA"/>
    <w:pPr>
      <w:tabs>
        <w:tab w:val="num" w:pos="360"/>
      </w:tabs>
      <w:spacing w:after="200"/>
      <w:ind w:left="360" w:hanging="360"/>
      <w:contextualSpacing/>
    </w:pPr>
  </w:style>
  <w:style w:type="paragraph" w:styleId="ListNumber2">
    <w:name w:val="List Number 2"/>
    <w:basedOn w:val="Normal"/>
    <w:uiPriority w:val="98"/>
    <w:qFormat/>
    <w:rsid w:val="008C67CA"/>
    <w:pPr>
      <w:numPr>
        <w:ilvl w:val="1"/>
        <w:numId w:val="51"/>
      </w:numPr>
      <w:spacing w:after="200"/>
      <w:contextualSpacing/>
    </w:pPr>
  </w:style>
  <w:style w:type="paragraph" w:styleId="ListBullet3">
    <w:name w:val="List Bullet 3"/>
    <w:basedOn w:val="Normal"/>
    <w:uiPriority w:val="98"/>
    <w:qFormat/>
    <w:rsid w:val="00645CB1"/>
    <w:pPr>
      <w:spacing w:after="200"/>
      <w:ind w:left="1287" w:hanging="360"/>
      <w:contextualSpacing/>
    </w:pPr>
  </w:style>
  <w:style w:type="paragraph" w:styleId="ListNumber3">
    <w:name w:val="List Number 3"/>
    <w:basedOn w:val="Normal"/>
    <w:uiPriority w:val="98"/>
    <w:qFormat/>
    <w:rsid w:val="008C67CA"/>
    <w:pPr>
      <w:numPr>
        <w:ilvl w:val="2"/>
        <w:numId w:val="51"/>
      </w:numPr>
      <w:spacing w:after="200"/>
      <w:contextualSpacing/>
    </w:pPr>
  </w:style>
  <w:style w:type="paragraph" w:styleId="ListNumber4">
    <w:name w:val="List Number 4"/>
    <w:basedOn w:val="Normal"/>
    <w:uiPriority w:val="98"/>
    <w:qFormat/>
    <w:rsid w:val="00645CB1"/>
    <w:pPr>
      <w:spacing w:after="200"/>
      <w:ind w:left="2892" w:hanging="1078"/>
      <w:contextualSpacing/>
    </w:pPr>
  </w:style>
  <w:style w:type="paragraph" w:styleId="ListBullet">
    <w:name w:val="List Bullet"/>
    <w:basedOn w:val="Normal"/>
    <w:uiPriority w:val="98"/>
    <w:qFormat/>
    <w:rsid w:val="00645CB1"/>
    <w:pPr>
      <w:numPr>
        <w:numId w:val="10"/>
      </w:numPr>
      <w:spacing w:after="200"/>
      <w:contextualSpacing/>
    </w:pPr>
  </w:style>
  <w:style w:type="paragraph" w:styleId="ListBullet2">
    <w:name w:val="List Bullet 2"/>
    <w:basedOn w:val="Normal"/>
    <w:uiPriority w:val="98"/>
    <w:qFormat/>
    <w:rsid w:val="00D1576A"/>
    <w:pPr>
      <w:numPr>
        <w:numId w:val="15"/>
      </w:numPr>
      <w:spacing w:before="100" w:beforeAutospacing="1" w:after="200" w:afterAutospacing="1" w:line="240" w:lineRule="auto"/>
      <w:contextualSpacing/>
    </w:pPr>
  </w:style>
  <w:style w:type="paragraph" w:styleId="ListBullet4">
    <w:name w:val="List Bullet 4"/>
    <w:basedOn w:val="Normal"/>
    <w:uiPriority w:val="98"/>
    <w:qFormat/>
    <w:rsid w:val="00645CB1"/>
    <w:pPr>
      <w:spacing w:after="200"/>
      <w:ind w:left="1854" w:hanging="360"/>
      <w:contextualSpacing/>
    </w:pPr>
  </w:style>
  <w:style w:type="paragraph" w:styleId="Quote">
    <w:name w:val="Quote"/>
    <w:basedOn w:val="Normal"/>
    <w:next w:val="Normal"/>
    <w:link w:val="QuoteChar"/>
    <w:uiPriority w:val="29"/>
    <w:qFormat/>
    <w:rsid w:val="009A2CA7"/>
    <w:pPr>
      <w:keepLines/>
      <w:spacing w:before="200"/>
      <w:ind w:left="567" w:right="862"/>
    </w:pPr>
    <w:rPr>
      <w:iCs/>
      <w:color w:val="757679"/>
    </w:rPr>
  </w:style>
  <w:style w:type="character" w:customStyle="1" w:styleId="QuoteChar">
    <w:name w:val="Quote Char"/>
    <w:basedOn w:val="DefaultParagraphFont"/>
    <w:link w:val="Quote"/>
    <w:uiPriority w:val="29"/>
    <w:rsid w:val="009A2CA7"/>
    <w:rPr>
      <w:iCs/>
      <w:color w:val="75767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34617F"/>
    <w:pPr>
      <w:tabs>
        <w:tab w:val="right" w:leader="dot" w:pos="9015"/>
      </w:tabs>
      <w:spacing w:before="120" w:after="0"/>
    </w:pPr>
    <w:rPr>
      <w:rFonts w:cstheme="minorHAnsi"/>
      <w:b/>
      <w:bCs/>
      <w:i/>
      <w:iCs/>
      <w:sz w:val="24"/>
      <w:szCs w:val="24"/>
    </w:rPr>
  </w:style>
  <w:style w:type="paragraph" w:styleId="TOC2">
    <w:name w:val="toc 2"/>
    <w:basedOn w:val="Normal"/>
    <w:next w:val="Normal"/>
    <w:autoRedefine/>
    <w:uiPriority w:val="39"/>
    <w:unhideWhenUsed/>
    <w:rsid w:val="00682FC0"/>
    <w:pPr>
      <w:tabs>
        <w:tab w:val="right" w:leader="dot" w:pos="9015"/>
      </w:tabs>
      <w:spacing w:before="120" w:after="0"/>
    </w:pPr>
    <w:rPr>
      <w:rFonts w:cstheme="minorHAnsi"/>
      <w:b/>
      <w:bCs/>
    </w:rPr>
  </w:style>
  <w:style w:type="paragraph" w:styleId="TOC3">
    <w:name w:val="toc 3"/>
    <w:basedOn w:val="Normal"/>
    <w:next w:val="Normal"/>
    <w:autoRedefine/>
    <w:uiPriority w:val="39"/>
    <w:unhideWhenUsed/>
    <w:rsid w:val="00F50407"/>
    <w:pPr>
      <w:tabs>
        <w:tab w:val="right" w:leader="dot" w:pos="9016"/>
      </w:tabs>
      <w:spacing w:after="0"/>
      <w:ind w:left="440"/>
    </w:pPr>
    <w:rPr>
      <w:rFonts w:cstheme="minorHAnsi"/>
      <w:sz w:val="20"/>
      <w:szCs w:val="20"/>
    </w:rPr>
  </w:style>
  <w:style w:type="paragraph" w:styleId="TOCHeading">
    <w:name w:val="TOC Heading"/>
    <w:basedOn w:val="Non-numberedHeading1"/>
    <w:next w:val="Normal"/>
    <w:uiPriority w:val="39"/>
    <w:unhideWhenUsed/>
    <w:qFormat/>
    <w:rsid w:val="00504771"/>
  </w:style>
  <w:style w:type="paragraph" w:styleId="Title">
    <w:name w:val="Title"/>
    <w:basedOn w:val="Normal"/>
    <w:next w:val="Normal"/>
    <w:link w:val="TitleChar"/>
    <w:uiPriority w:val="10"/>
    <w:qFormat/>
    <w:rsid w:val="00645CB1"/>
    <w:pPr>
      <w:spacing w:before="1080" w:after="0" w:line="276" w:lineRule="auto"/>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10"/>
    <w:rsid w:val="00645CB1"/>
    <w:rPr>
      <w:rFonts w:ascii="Calibri" w:eastAsiaTheme="majorEastAsia" w:hAnsi="Calibri" w:cstheme="majorBidi"/>
      <w:b/>
      <w:color w:val="002D3F"/>
      <w:spacing w:val="-10"/>
      <w:kern w:val="28"/>
      <w:sz w:val="60"/>
      <w:szCs w:val="56"/>
    </w:rPr>
  </w:style>
  <w:style w:type="paragraph" w:styleId="ListParagraph">
    <w:name w:val="List Paragraph"/>
    <w:aliases w:val="Bullet Point,Bullet point,Recommendation,L,List Paragraph1,List Paragraph11,List Paragraph2,bullet point list,F5 List Paragraph,Dot pt,CV text,Table text,List Paragraph111,Medium Grid 1 - Accent 21,Numbered Paragraph,Bulleted Para,b,Bulle"/>
    <w:basedOn w:val="Normal"/>
    <w:link w:val="ListParagraphChar"/>
    <w:uiPriority w:val="34"/>
    <w:qFormat/>
    <w:rsid w:val="00645CB1"/>
    <w:pPr>
      <w:spacing w:after="200" w:line="360" w:lineRule="auto"/>
      <w:ind w:left="720"/>
      <w:contextualSpacing/>
    </w:pPr>
  </w:style>
  <w:style w:type="table" w:styleId="TableGridLight">
    <w:name w:val="Grid Table Light"/>
    <w:basedOn w:val="TableNormal"/>
    <w:uiPriority w:val="40"/>
    <w:rsid w:val="0087224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Bullet Point Char,Bullet point Char,Recommendation Char,L Char,List Paragraph1 Char,List Paragraph11 Char,List Paragraph2 Char,bullet point list Char,F5 List Paragraph Char,Dot pt Char,CV text Char,Table text Char,Bulleted Para Char"/>
    <w:basedOn w:val="DefaultParagraphFont"/>
    <w:link w:val="ListParagraph"/>
    <w:uiPriority w:val="34"/>
    <w:qFormat/>
    <w:locked/>
    <w:rsid w:val="00645CB1"/>
  </w:style>
  <w:style w:type="paragraph" w:customStyle="1" w:styleId="xmsolistparagraph">
    <w:name w:val="x_msolistparagraph"/>
    <w:basedOn w:val="Normal"/>
    <w:rsid w:val="0087224A"/>
    <w:pPr>
      <w:spacing w:after="0" w:line="240" w:lineRule="auto"/>
      <w:ind w:left="720"/>
    </w:pPr>
    <w:rPr>
      <w:rFonts w:ascii="Calibri" w:hAnsi="Calibri" w:cs="Calibri"/>
      <w:lang w:eastAsia="en-AU"/>
    </w:rPr>
  </w:style>
  <w:style w:type="paragraph" w:styleId="FootnoteText">
    <w:name w:val="footnote text"/>
    <w:aliases w:val="Footnote Text Char1 Char,Footnote Text Char Char1 Char,Footnote Text Char Char Char Char Char1,Footnote Text Char Char Char,Footnote Text Char Char Char Char"/>
    <w:basedOn w:val="Normal"/>
    <w:link w:val="FootnoteTextChar"/>
    <w:uiPriority w:val="99"/>
    <w:unhideWhenUsed/>
    <w:qFormat/>
    <w:rsid w:val="00645CB1"/>
    <w:pPr>
      <w:spacing w:after="0" w:line="240" w:lineRule="auto"/>
    </w:pPr>
    <w:rPr>
      <w:sz w:val="20"/>
      <w:szCs w:val="20"/>
    </w:rPr>
  </w:style>
  <w:style w:type="character" w:customStyle="1" w:styleId="FootnoteTextChar">
    <w:name w:val="Footnote Text Char"/>
    <w:aliases w:val="Footnote Text Char1 Char Char,Footnote Text Char Char1 Char Char,Footnote Text Char Char Char Char Char1 Char,Footnote Text Char Char Char Char1,Footnote Text Char Char Char Char Char"/>
    <w:basedOn w:val="DefaultParagraphFont"/>
    <w:link w:val="FootnoteText"/>
    <w:uiPriority w:val="99"/>
    <w:rsid w:val="00645CB1"/>
    <w:rPr>
      <w:sz w:val="20"/>
      <w:szCs w:val="20"/>
    </w:rPr>
  </w:style>
  <w:style w:type="character" w:styleId="FootnoteReference">
    <w:name w:val="footnote reference"/>
    <w:aliases w:val="FC,(NECG) Footnote Reference,Footnote sign,Footnote sign1,EN Footnote Reference,number,SUPERS"/>
    <w:basedOn w:val="DefaultParagraphFont"/>
    <w:uiPriority w:val="99"/>
    <w:unhideWhenUsed/>
    <w:rsid w:val="000A1F40"/>
    <w:rPr>
      <w:vertAlign w:val="superscript"/>
    </w:rPr>
  </w:style>
  <w:style w:type="character" w:styleId="CommentReference">
    <w:name w:val="annotation reference"/>
    <w:basedOn w:val="DefaultParagraphFont"/>
    <w:uiPriority w:val="99"/>
    <w:semiHidden/>
    <w:unhideWhenUsed/>
    <w:rsid w:val="003B5FB5"/>
    <w:rPr>
      <w:sz w:val="16"/>
      <w:szCs w:val="16"/>
    </w:rPr>
  </w:style>
  <w:style w:type="paragraph" w:styleId="CommentText">
    <w:name w:val="annotation text"/>
    <w:basedOn w:val="Normal"/>
    <w:link w:val="CommentTextChar"/>
    <w:uiPriority w:val="99"/>
    <w:unhideWhenUsed/>
    <w:rsid w:val="003B5FB5"/>
    <w:pPr>
      <w:spacing w:line="240" w:lineRule="auto"/>
    </w:pPr>
    <w:rPr>
      <w:sz w:val="20"/>
      <w:szCs w:val="20"/>
    </w:rPr>
  </w:style>
  <w:style w:type="character" w:customStyle="1" w:styleId="CommentTextChar">
    <w:name w:val="Comment Text Char"/>
    <w:basedOn w:val="DefaultParagraphFont"/>
    <w:link w:val="CommentText"/>
    <w:uiPriority w:val="99"/>
    <w:rsid w:val="003B5FB5"/>
    <w:rPr>
      <w:sz w:val="20"/>
      <w:szCs w:val="20"/>
    </w:rPr>
  </w:style>
  <w:style w:type="paragraph" w:styleId="CommentSubject">
    <w:name w:val="annotation subject"/>
    <w:basedOn w:val="CommentText"/>
    <w:next w:val="CommentText"/>
    <w:link w:val="CommentSubjectChar"/>
    <w:uiPriority w:val="99"/>
    <w:semiHidden/>
    <w:unhideWhenUsed/>
    <w:rsid w:val="003B5FB5"/>
    <w:rPr>
      <w:b/>
      <w:bCs/>
    </w:rPr>
  </w:style>
  <w:style w:type="character" w:customStyle="1" w:styleId="CommentSubjectChar">
    <w:name w:val="Comment Subject Char"/>
    <w:basedOn w:val="CommentTextChar"/>
    <w:link w:val="CommentSubject"/>
    <w:uiPriority w:val="99"/>
    <w:semiHidden/>
    <w:rsid w:val="003B5FB5"/>
    <w:rPr>
      <w:b/>
      <w:bCs/>
      <w:sz w:val="20"/>
      <w:szCs w:val="20"/>
    </w:rPr>
  </w:style>
  <w:style w:type="paragraph" w:customStyle="1" w:styleId="subsection">
    <w:name w:val="subsection"/>
    <w:basedOn w:val="Normal"/>
    <w:rsid w:val="00C015B2"/>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Heading2-LettertotheMinister">
    <w:name w:val="Heading 2 - Letter to the Minister"/>
    <w:basedOn w:val="Heading2"/>
    <w:autoRedefine/>
    <w:rsid w:val="00257062"/>
    <w:pPr>
      <w:numPr>
        <w:numId w:val="0"/>
      </w:numPr>
      <w:pBdr>
        <w:bottom w:val="none" w:sz="0" w:space="0" w:color="auto"/>
      </w:pBdr>
      <w:tabs>
        <w:tab w:val="left" w:pos="1843"/>
      </w:tabs>
      <w:spacing w:after="0"/>
    </w:pPr>
    <w:rPr>
      <w:rFonts w:eastAsia="Times New Roman"/>
      <w:color w:val="FFFFFF" w:themeColor="background1"/>
      <w:sz w:val="4"/>
      <w:szCs w:val="4"/>
    </w:rPr>
  </w:style>
  <w:style w:type="paragraph" w:styleId="Revision">
    <w:name w:val="Revision"/>
    <w:hidden/>
    <w:uiPriority w:val="99"/>
    <w:semiHidden/>
    <w:rsid w:val="00A94548"/>
    <w:pPr>
      <w:spacing w:after="0" w:line="240" w:lineRule="auto"/>
    </w:pPr>
  </w:style>
  <w:style w:type="character" w:customStyle="1" w:styleId="normaltextrun">
    <w:name w:val="normaltextrun"/>
    <w:basedOn w:val="DefaultParagraphFont"/>
    <w:rsid w:val="00B15370"/>
  </w:style>
  <w:style w:type="character" w:customStyle="1" w:styleId="eop">
    <w:name w:val="eop"/>
    <w:basedOn w:val="DefaultParagraphFont"/>
    <w:rsid w:val="0088424F"/>
  </w:style>
  <w:style w:type="character" w:customStyle="1" w:styleId="ui-provider">
    <w:name w:val="ui-provider"/>
    <w:basedOn w:val="DefaultParagraphFont"/>
    <w:rsid w:val="00125263"/>
  </w:style>
  <w:style w:type="paragraph" w:customStyle="1" w:styleId="pf0">
    <w:name w:val="pf0"/>
    <w:basedOn w:val="Normal"/>
    <w:rsid w:val="000E06F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0E06F9"/>
    <w:rPr>
      <w:rFonts w:ascii="Segoe UI" w:hAnsi="Segoe UI" w:cs="Segoe UI" w:hint="default"/>
      <w:sz w:val="18"/>
      <w:szCs w:val="18"/>
    </w:rPr>
  </w:style>
  <w:style w:type="character" w:styleId="Mention">
    <w:name w:val="Mention"/>
    <w:basedOn w:val="DefaultParagraphFont"/>
    <w:uiPriority w:val="99"/>
    <w:unhideWhenUsed/>
    <w:rsid w:val="00E44319"/>
    <w:rPr>
      <w:color w:val="2B579A"/>
      <w:shd w:val="clear" w:color="auto" w:fill="E1DFDD"/>
    </w:rPr>
  </w:style>
  <w:style w:type="character" w:styleId="FollowedHyperlink">
    <w:name w:val="FollowedHyperlink"/>
    <w:basedOn w:val="DefaultParagraphFont"/>
    <w:uiPriority w:val="99"/>
    <w:semiHidden/>
    <w:unhideWhenUsed/>
    <w:rsid w:val="00A83EFB"/>
    <w:rPr>
      <w:color w:val="CE372F" w:themeColor="followedHyperlink"/>
      <w:u w:val="single"/>
    </w:rPr>
  </w:style>
  <w:style w:type="character" w:customStyle="1" w:styleId="cf11">
    <w:name w:val="cf11"/>
    <w:basedOn w:val="DefaultParagraphFont"/>
    <w:rsid w:val="001C0721"/>
    <w:rPr>
      <w:rFonts w:ascii="Segoe UI" w:hAnsi="Segoe UI" w:cs="Segoe UI" w:hint="default"/>
      <w:sz w:val="18"/>
      <w:szCs w:val="18"/>
      <w:shd w:val="clear" w:color="auto" w:fill="FFFFFF"/>
    </w:rPr>
  </w:style>
  <w:style w:type="character" w:customStyle="1" w:styleId="superscript">
    <w:name w:val="superscript"/>
    <w:basedOn w:val="DefaultParagraphFont"/>
    <w:rsid w:val="00ED0CD0"/>
  </w:style>
  <w:style w:type="paragraph" w:styleId="NoSpacing">
    <w:name w:val="No Spacing"/>
    <w:link w:val="NoSpacingChar"/>
    <w:uiPriority w:val="1"/>
    <w:qFormat/>
    <w:rsid w:val="00645CB1"/>
    <w:pPr>
      <w:spacing w:after="0" w:line="240" w:lineRule="auto"/>
    </w:pPr>
  </w:style>
  <w:style w:type="paragraph" w:styleId="NormalWeb">
    <w:name w:val="Normal (Web)"/>
    <w:basedOn w:val="Normal"/>
    <w:uiPriority w:val="99"/>
    <w:unhideWhenUsed/>
    <w:rsid w:val="008766B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ubtleEmphasis">
    <w:name w:val="Subtle Emphasis"/>
    <w:basedOn w:val="DefaultParagraphFont"/>
    <w:uiPriority w:val="19"/>
    <w:qFormat/>
    <w:rsid w:val="00645CB1"/>
    <w:rPr>
      <w:i/>
      <w:iCs/>
      <w:color w:val="404040" w:themeColor="text1" w:themeTint="BF"/>
    </w:rPr>
  </w:style>
  <w:style w:type="character" w:styleId="Emphasis">
    <w:name w:val="Emphasis"/>
    <w:basedOn w:val="DefaultParagraphFont"/>
    <w:uiPriority w:val="20"/>
    <w:qFormat/>
    <w:rsid w:val="00645CB1"/>
    <w:rPr>
      <w:i/>
      <w:iCs/>
    </w:rPr>
  </w:style>
  <w:style w:type="character" w:customStyle="1" w:styleId="BoxTextChar">
    <w:name w:val="Box Text Char"/>
    <w:basedOn w:val="DefaultParagraphFont"/>
    <w:link w:val="BoxText"/>
    <w:locked/>
    <w:rsid w:val="00AF746C"/>
    <w:rPr>
      <w:rFonts w:ascii="Calibri Light" w:hAnsi="Calibri Light" w:cs="Calibri Light"/>
      <w:color w:val="4472C4"/>
    </w:rPr>
  </w:style>
  <w:style w:type="paragraph" w:customStyle="1" w:styleId="BoxText">
    <w:name w:val="Box Text"/>
    <w:basedOn w:val="Normal"/>
    <w:link w:val="BoxTextChar"/>
    <w:rsid w:val="00AF746C"/>
    <w:pPr>
      <w:spacing w:before="120" w:after="120" w:line="240" w:lineRule="auto"/>
    </w:pPr>
    <w:rPr>
      <w:rFonts w:ascii="Calibri Light" w:hAnsi="Calibri Light" w:cs="Calibri Light"/>
      <w:color w:val="4472C4"/>
    </w:rPr>
  </w:style>
  <w:style w:type="paragraph" w:customStyle="1" w:styleId="xmsonormal">
    <w:name w:val="x_msonormal"/>
    <w:basedOn w:val="Normal"/>
    <w:rsid w:val="00980179"/>
    <w:pPr>
      <w:spacing w:after="0" w:line="240" w:lineRule="auto"/>
    </w:pPr>
    <w:rPr>
      <w:rFonts w:ascii="Calibri" w:hAnsi="Calibri" w:cs="Calibri"/>
      <w:sz w:val="24"/>
      <w:szCs w:val="24"/>
      <w:lang w:eastAsia="en-AU"/>
    </w:rPr>
  </w:style>
  <w:style w:type="character" w:styleId="PageNumber">
    <w:name w:val="page number"/>
    <w:basedOn w:val="DefaultParagraphFont"/>
    <w:uiPriority w:val="99"/>
    <w:semiHidden/>
    <w:unhideWhenUsed/>
    <w:rsid w:val="00980179"/>
  </w:style>
  <w:style w:type="character" w:customStyle="1" w:styleId="authors">
    <w:name w:val="authors"/>
    <w:basedOn w:val="DefaultParagraphFont"/>
    <w:rsid w:val="00980179"/>
  </w:style>
  <w:style w:type="character" w:customStyle="1" w:styleId="arttitle">
    <w:name w:val="art_title"/>
    <w:basedOn w:val="DefaultParagraphFont"/>
    <w:rsid w:val="00980179"/>
  </w:style>
  <w:style w:type="character" w:customStyle="1" w:styleId="serialtitle">
    <w:name w:val="serial_title"/>
    <w:basedOn w:val="DefaultParagraphFont"/>
    <w:rsid w:val="00980179"/>
  </w:style>
  <w:style w:type="character" w:customStyle="1" w:styleId="volumeissue">
    <w:name w:val="volume_issue"/>
    <w:basedOn w:val="DefaultParagraphFont"/>
    <w:rsid w:val="00980179"/>
  </w:style>
  <w:style w:type="character" w:customStyle="1" w:styleId="pagerange">
    <w:name w:val="page_range"/>
    <w:basedOn w:val="DefaultParagraphFont"/>
    <w:rsid w:val="00980179"/>
  </w:style>
  <w:style w:type="character" w:customStyle="1" w:styleId="doilink">
    <w:name w:val="doi_link"/>
    <w:basedOn w:val="DefaultParagraphFont"/>
    <w:rsid w:val="00980179"/>
  </w:style>
  <w:style w:type="character" w:customStyle="1" w:styleId="Date1">
    <w:name w:val="Date1"/>
    <w:basedOn w:val="DefaultParagraphFont"/>
    <w:rsid w:val="00980179"/>
  </w:style>
  <w:style w:type="character" w:customStyle="1" w:styleId="QuoteChar1">
    <w:name w:val="Quote Char1"/>
    <w:basedOn w:val="DefaultParagraphFont"/>
    <w:uiPriority w:val="29"/>
    <w:rsid w:val="00980179"/>
    <w:rPr>
      <w:i/>
      <w:iCs/>
      <w:color w:val="404040" w:themeColor="text1" w:themeTint="BF"/>
    </w:rPr>
  </w:style>
  <w:style w:type="paragraph" w:styleId="TOC4">
    <w:name w:val="toc 4"/>
    <w:basedOn w:val="Normal"/>
    <w:next w:val="Normal"/>
    <w:autoRedefine/>
    <w:uiPriority w:val="39"/>
    <w:unhideWhenUsed/>
    <w:rsid w:val="006004B7"/>
    <w:pPr>
      <w:tabs>
        <w:tab w:val="right" w:leader="dot" w:pos="9016"/>
      </w:tabs>
      <w:spacing w:after="0"/>
      <w:ind w:left="660"/>
    </w:pPr>
    <w:rPr>
      <w:rFonts w:cstheme="minorHAnsi"/>
      <w:sz w:val="20"/>
      <w:szCs w:val="20"/>
    </w:rPr>
  </w:style>
  <w:style w:type="paragraph" w:styleId="TOC5">
    <w:name w:val="toc 5"/>
    <w:basedOn w:val="Normal"/>
    <w:next w:val="Normal"/>
    <w:autoRedefine/>
    <w:uiPriority w:val="39"/>
    <w:unhideWhenUsed/>
    <w:rsid w:val="003462A4"/>
    <w:pPr>
      <w:spacing w:after="0"/>
      <w:ind w:left="880"/>
    </w:pPr>
    <w:rPr>
      <w:rFonts w:cstheme="minorHAnsi"/>
      <w:sz w:val="20"/>
      <w:szCs w:val="20"/>
    </w:rPr>
  </w:style>
  <w:style w:type="paragraph" w:styleId="TOC6">
    <w:name w:val="toc 6"/>
    <w:basedOn w:val="Normal"/>
    <w:next w:val="Normal"/>
    <w:autoRedefine/>
    <w:uiPriority w:val="39"/>
    <w:unhideWhenUsed/>
    <w:rsid w:val="003462A4"/>
    <w:pPr>
      <w:spacing w:after="0"/>
      <w:ind w:left="1100"/>
    </w:pPr>
    <w:rPr>
      <w:rFonts w:cstheme="minorHAnsi"/>
      <w:sz w:val="20"/>
      <w:szCs w:val="20"/>
    </w:rPr>
  </w:style>
  <w:style w:type="paragraph" w:styleId="TOC7">
    <w:name w:val="toc 7"/>
    <w:basedOn w:val="Normal"/>
    <w:next w:val="Normal"/>
    <w:autoRedefine/>
    <w:uiPriority w:val="39"/>
    <w:unhideWhenUsed/>
    <w:rsid w:val="003462A4"/>
    <w:pPr>
      <w:spacing w:after="0"/>
      <w:ind w:left="1320"/>
    </w:pPr>
    <w:rPr>
      <w:rFonts w:cstheme="minorHAnsi"/>
      <w:sz w:val="20"/>
      <w:szCs w:val="20"/>
    </w:rPr>
  </w:style>
  <w:style w:type="paragraph" w:styleId="TOC8">
    <w:name w:val="toc 8"/>
    <w:basedOn w:val="Normal"/>
    <w:next w:val="Normal"/>
    <w:autoRedefine/>
    <w:uiPriority w:val="39"/>
    <w:unhideWhenUsed/>
    <w:rsid w:val="003462A4"/>
    <w:pPr>
      <w:spacing w:after="0"/>
      <w:ind w:left="1540"/>
    </w:pPr>
    <w:rPr>
      <w:rFonts w:cstheme="minorHAnsi"/>
      <w:sz w:val="20"/>
      <w:szCs w:val="20"/>
    </w:rPr>
  </w:style>
  <w:style w:type="paragraph" w:styleId="TOC9">
    <w:name w:val="toc 9"/>
    <w:basedOn w:val="Normal"/>
    <w:next w:val="Normal"/>
    <w:autoRedefine/>
    <w:uiPriority w:val="39"/>
    <w:unhideWhenUsed/>
    <w:rsid w:val="003462A4"/>
    <w:pPr>
      <w:spacing w:after="0"/>
      <w:ind w:left="1760"/>
    </w:pPr>
    <w:rPr>
      <w:rFonts w:cstheme="minorHAnsi"/>
      <w:sz w:val="20"/>
      <w:szCs w:val="20"/>
    </w:rPr>
  </w:style>
  <w:style w:type="character" w:styleId="HTMLCite">
    <w:name w:val="HTML Cite"/>
    <w:basedOn w:val="DefaultParagraphFont"/>
    <w:uiPriority w:val="99"/>
    <w:semiHidden/>
    <w:unhideWhenUsed/>
    <w:rsid w:val="0018400A"/>
    <w:rPr>
      <w:i/>
      <w:iCs/>
    </w:rPr>
  </w:style>
  <w:style w:type="character" w:customStyle="1" w:styleId="apx8vc">
    <w:name w:val="apx8vc"/>
    <w:basedOn w:val="DefaultParagraphFont"/>
    <w:rsid w:val="0018400A"/>
  </w:style>
  <w:style w:type="character" w:customStyle="1" w:styleId="contentpasted0">
    <w:name w:val="contentpasted0"/>
    <w:basedOn w:val="DefaultParagraphFont"/>
    <w:rsid w:val="004D44F9"/>
  </w:style>
  <w:style w:type="character" w:customStyle="1" w:styleId="reference-accessdate">
    <w:name w:val="reference-accessdate"/>
    <w:basedOn w:val="DefaultParagraphFont"/>
    <w:rsid w:val="008D7DCD"/>
  </w:style>
  <w:style w:type="character" w:customStyle="1" w:styleId="nowrap">
    <w:name w:val="nowrap"/>
    <w:basedOn w:val="DefaultParagraphFont"/>
    <w:rsid w:val="008D7DCD"/>
  </w:style>
  <w:style w:type="character" w:customStyle="1" w:styleId="CABNETParagraphChar">
    <w:name w:val="CABNET Paragraph. Char"/>
    <w:basedOn w:val="DefaultParagraphFont"/>
    <w:link w:val="CABNETParagraph"/>
    <w:uiPriority w:val="98"/>
    <w:locked/>
    <w:rsid w:val="00645CB1"/>
    <w:rPr>
      <w:rFonts w:ascii="Arial" w:hAnsi="Arial" w:cstheme="minorHAnsi"/>
    </w:rPr>
  </w:style>
  <w:style w:type="paragraph" w:customStyle="1" w:styleId="CABNETParagraph">
    <w:name w:val="CABNET Paragraph."/>
    <w:basedOn w:val="Normal"/>
    <w:link w:val="CABNETParagraphChar"/>
    <w:uiPriority w:val="98"/>
    <w:rsid w:val="00645CB1"/>
    <w:pPr>
      <w:spacing w:before="120" w:after="120" w:line="240" w:lineRule="auto"/>
    </w:pPr>
    <w:rPr>
      <w:rFonts w:ascii="Arial" w:hAnsi="Arial" w:cstheme="minorHAnsi"/>
    </w:rPr>
  </w:style>
  <w:style w:type="character" w:customStyle="1" w:styleId="msoins0">
    <w:name w:val="msoins"/>
    <w:basedOn w:val="DefaultParagraphFont"/>
    <w:rsid w:val="00231C25"/>
  </w:style>
  <w:style w:type="character" w:customStyle="1" w:styleId="msodel0">
    <w:name w:val="msodel"/>
    <w:basedOn w:val="DefaultParagraphFont"/>
    <w:rsid w:val="00231C25"/>
  </w:style>
  <w:style w:type="character" w:customStyle="1" w:styleId="NoSpacingChar">
    <w:name w:val="No Spacing Char"/>
    <w:basedOn w:val="DefaultParagraphFont"/>
    <w:link w:val="NoSpacing"/>
    <w:uiPriority w:val="1"/>
    <w:rsid w:val="00645CB1"/>
  </w:style>
  <w:style w:type="table" w:styleId="GridTable1Light-Accent6">
    <w:name w:val="Grid Table 1 Light Accent 6"/>
    <w:basedOn w:val="TableGrid"/>
    <w:uiPriority w:val="46"/>
    <w:rsid w:val="00D71585"/>
    <w:pPr>
      <w:spacing w:before="240" w:after="240"/>
    </w:pPr>
    <w:tblPr>
      <w:tblStyleRowBandSize w:val="1"/>
      <w:tblStyleColBandSize w:val="1"/>
      <w:tblBorders>
        <w:top w:val="single" w:sz="24" w:space="0" w:color="F99D2A" w:themeColor="accent6"/>
        <w:left w:val="single" w:sz="24" w:space="0" w:color="F99D2A" w:themeColor="accent6"/>
        <w:bottom w:val="single" w:sz="24" w:space="0" w:color="F99D2A" w:themeColor="accent6"/>
        <w:right w:val="single" w:sz="24" w:space="0" w:color="F99D2A" w:themeColor="accent6"/>
        <w:insideH w:val="none" w:sz="0" w:space="0" w:color="auto"/>
        <w:insideV w:val="none" w:sz="0" w:space="0" w:color="auto"/>
      </w:tblBorders>
    </w:tblPr>
    <w:trPr>
      <w:cantSplit/>
    </w:trPr>
    <w:tcPr>
      <w:vAlign w:val="center"/>
    </w:tcPr>
    <w:tblStylePr w:type="firstRow">
      <w:rPr>
        <w:b/>
        <w:bCs/>
      </w:rPr>
      <w:tblPr/>
      <w:tcPr>
        <w:tcBorders>
          <w:bottom w:val="single" w:sz="12" w:space="0" w:color="FBC37E" w:themeColor="accent6" w:themeTint="99"/>
        </w:tcBorders>
      </w:tcPr>
    </w:tblStylePr>
    <w:tblStylePr w:type="lastRow">
      <w:rPr>
        <w:b/>
        <w:bCs/>
      </w:rPr>
      <w:tblPr/>
      <w:tcPr>
        <w:tcBorders>
          <w:top w:val="double" w:sz="2" w:space="0" w:color="FBC37E" w:themeColor="accent6" w:themeTint="99"/>
        </w:tcBorders>
      </w:tcPr>
    </w:tblStylePr>
    <w:tblStylePr w:type="firstCol">
      <w:rPr>
        <w:b/>
        <w:bCs/>
      </w:rPr>
    </w:tblStylePr>
    <w:tblStylePr w:type="lastCol">
      <w:rPr>
        <w:b/>
        <w:bCs/>
      </w:rPr>
    </w:tblStylePr>
  </w:style>
  <w:style w:type="table" w:styleId="ListTable3-Accent6">
    <w:name w:val="List Table 3 Accent 6"/>
    <w:basedOn w:val="TableNormal"/>
    <w:uiPriority w:val="48"/>
    <w:rsid w:val="00924ADD"/>
    <w:pPr>
      <w:spacing w:after="0" w:line="240" w:lineRule="auto"/>
    </w:pPr>
    <w:tblPr>
      <w:tblStyleRowBandSize w:val="1"/>
      <w:tblStyleColBandSize w:val="1"/>
      <w:tblBorders>
        <w:top w:val="single" w:sz="4" w:space="0" w:color="F99D2A" w:themeColor="accent6"/>
        <w:left w:val="single" w:sz="4" w:space="0" w:color="F99D2A" w:themeColor="accent6"/>
        <w:bottom w:val="single" w:sz="4" w:space="0" w:color="F99D2A" w:themeColor="accent6"/>
        <w:right w:val="single" w:sz="4" w:space="0" w:color="F99D2A" w:themeColor="accent6"/>
      </w:tblBorders>
    </w:tblPr>
    <w:tblStylePr w:type="firstRow">
      <w:rPr>
        <w:b/>
        <w:bCs/>
        <w:color w:val="FFFFFF" w:themeColor="background1"/>
      </w:rPr>
      <w:tblPr/>
      <w:tcPr>
        <w:shd w:val="clear" w:color="auto" w:fill="F99D2A" w:themeFill="accent6"/>
      </w:tcPr>
    </w:tblStylePr>
    <w:tblStylePr w:type="lastRow">
      <w:rPr>
        <w:b/>
        <w:bCs/>
      </w:rPr>
      <w:tblPr/>
      <w:tcPr>
        <w:tcBorders>
          <w:top w:val="double" w:sz="4" w:space="0" w:color="F99D2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99D2A" w:themeColor="accent6"/>
          <w:right w:val="single" w:sz="4" w:space="0" w:color="F99D2A" w:themeColor="accent6"/>
        </w:tcBorders>
      </w:tcPr>
    </w:tblStylePr>
    <w:tblStylePr w:type="band1Horz">
      <w:tblPr/>
      <w:tcPr>
        <w:tcBorders>
          <w:top w:val="single" w:sz="4" w:space="0" w:color="F99D2A" w:themeColor="accent6"/>
          <w:bottom w:val="single" w:sz="4" w:space="0" w:color="F99D2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9D2A" w:themeColor="accent6"/>
          <w:left w:val="nil"/>
        </w:tcBorders>
      </w:tcPr>
    </w:tblStylePr>
    <w:tblStylePr w:type="swCell">
      <w:tblPr/>
      <w:tcPr>
        <w:tcBorders>
          <w:top w:val="double" w:sz="4" w:space="0" w:color="F99D2A" w:themeColor="accent6"/>
          <w:right w:val="nil"/>
        </w:tcBorders>
      </w:tcPr>
    </w:tblStylePr>
  </w:style>
  <w:style w:type="table" w:styleId="TableClassic1">
    <w:name w:val="Table Classic 1"/>
    <w:basedOn w:val="TableNormal"/>
    <w:uiPriority w:val="99"/>
    <w:semiHidden/>
    <w:unhideWhenUsed/>
    <w:rsid w:val="00924ADD"/>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stTable6Colorful-Accent6">
    <w:name w:val="List Table 6 Colorful Accent 6"/>
    <w:basedOn w:val="TableNormal"/>
    <w:uiPriority w:val="51"/>
    <w:rsid w:val="00924ADD"/>
    <w:pPr>
      <w:spacing w:after="0" w:line="240" w:lineRule="auto"/>
    </w:pPr>
    <w:rPr>
      <w:color w:val="D37706" w:themeColor="accent6" w:themeShade="BF"/>
    </w:rPr>
    <w:tblPr>
      <w:tblStyleRowBandSize w:val="1"/>
      <w:tblStyleColBandSize w:val="1"/>
    </w:tblPr>
    <w:tblStylePr w:type="firstRow">
      <w:rPr>
        <w:b/>
        <w:bCs/>
      </w:rPr>
      <w:tblPr/>
      <w:tcPr>
        <w:tcBorders>
          <w:bottom w:val="single" w:sz="4" w:space="0" w:color="F99D2A" w:themeColor="accent6"/>
        </w:tcBorders>
      </w:tcPr>
    </w:tblStylePr>
    <w:tblStylePr w:type="lastRow">
      <w:rPr>
        <w:b/>
        <w:bCs/>
      </w:rPr>
      <w:tblPr/>
      <w:tcPr>
        <w:tcBorders>
          <w:top w:val="double" w:sz="4" w:space="0" w:color="F99D2A" w:themeColor="accent6"/>
        </w:tcBorders>
      </w:tcPr>
    </w:tblStylePr>
    <w:tblStylePr w:type="firstCol">
      <w:rPr>
        <w:b/>
        <w:bCs/>
      </w:rPr>
    </w:tblStylePr>
    <w:tblStylePr w:type="lastCol">
      <w:rPr>
        <w:b/>
        <w:bCs/>
      </w:rPr>
    </w:tblStylePr>
    <w:tblStylePr w:type="band1Vert">
      <w:tblPr/>
      <w:tcPr>
        <w:shd w:val="clear" w:color="auto" w:fill="FDEBD4" w:themeFill="accent6" w:themeFillTint="33"/>
      </w:tcPr>
    </w:tblStylePr>
    <w:tblStylePr w:type="band1Horz">
      <w:tblPr/>
      <w:tcPr>
        <w:shd w:val="clear" w:color="auto" w:fill="FDEBD4" w:themeFill="accent6" w:themeFillTint="33"/>
      </w:tcPr>
    </w:tblStylePr>
  </w:style>
  <w:style w:type="table" w:styleId="ListTable7Colorful-Accent6">
    <w:name w:val="List Table 7 Colorful Accent 6"/>
    <w:basedOn w:val="TableNormal"/>
    <w:uiPriority w:val="52"/>
    <w:rsid w:val="00924ADD"/>
    <w:pPr>
      <w:spacing w:after="0" w:line="240" w:lineRule="auto"/>
    </w:pPr>
    <w:rPr>
      <w:color w:val="D3770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9D2A"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99D2A"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9D2A"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99D2A" w:themeColor="accent6"/>
        </w:tcBorders>
        <w:shd w:val="clear" w:color="auto" w:fill="FFFFFF" w:themeFill="background1"/>
      </w:tcPr>
    </w:tblStylePr>
    <w:tblStylePr w:type="band1Vert">
      <w:tblPr/>
      <w:tcPr>
        <w:shd w:val="clear" w:color="auto" w:fill="FDEBD4" w:themeFill="accent6" w:themeFillTint="33"/>
      </w:tcPr>
    </w:tblStylePr>
    <w:tblStylePr w:type="band1Horz">
      <w:tblPr/>
      <w:tcPr>
        <w:shd w:val="clear" w:color="auto" w:fill="FDEBD4"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5Dark-Accent6">
    <w:name w:val="List Table 5 Dark Accent 6"/>
    <w:basedOn w:val="TableNormal"/>
    <w:uiPriority w:val="50"/>
    <w:rsid w:val="00924ADD"/>
    <w:pPr>
      <w:spacing w:after="0" w:line="240" w:lineRule="auto"/>
    </w:pPr>
    <w:rPr>
      <w:color w:val="FFFFFF" w:themeColor="background1"/>
    </w:rPr>
    <w:tblPr>
      <w:tblStyleRowBandSize w:val="1"/>
      <w:tblStyleColBandSize w:val="1"/>
      <w:tblBorders>
        <w:top w:val="single" w:sz="24" w:space="0" w:color="F99D2A" w:themeColor="accent6"/>
        <w:left w:val="single" w:sz="24" w:space="0" w:color="F99D2A" w:themeColor="accent6"/>
        <w:bottom w:val="single" w:sz="24" w:space="0" w:color="F99D2A" w:themeColor="accent6"/>
        <w:right w:val="single" w:sz="24" w:space="0" w:color="F99D2A" w:themeColor="accent6"/>
      </w:tblBorders>
    </w:tblPr>
    <w:tcPr>
      <w:shd w:val="clear" w:color="auto" w:fill="F99D2A"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ulloutboxes">
    <w:name w:val="Pull out boxes"/>
    <w:basedOn w:val="Normal"/>
    <w:qFormat/>
    <w:rsid w:val="00645CB1"/>
    <w:pPr>
      <w:pBdr>
        <w:top w:val="single" w:sz="6" w:space="8" w:color="F26423"/>
        <w:left w:val="single" w:sz="48" w:space="4" w:color="F26423"/>
        <w:bottom w:val="single" w:sz="6" w:space="8" w:color="F26423"/>
        <w:right w:val="single" w:sz="6" w:space="4" w:color="F26423"/>
      </w:pBdr>
      <w:spacing w:before="240" w:line="240" w:lineRule="auto"/>
      <w:ind w:left="210" w:right="210"/>
    </w:pPr>
    <w:rPr>
      <w:rFonts w:ascii="Calibri" w:hAnsi="Calibri" w:cs="Calibri"/>
      <w:color w:val="000000" w:themeColor="text1"/>
    </w:rPr>
  </w:style>
  <w:style w:type="paragraph" w:customStyle="1" w:styleId="Recommendations-Heading5">
    <w:name w:val="Recommendations - Heading 5"/>
    <w:basedOn w:val="Normal"/>
    <w:link w:val="Recommendations-Heading5Char"/>
    <w:qFormat/>
    <w:rsid w:val="00F8747C"/>
    <w:pPr>
      <w:keepNext/>
      <w:spacing w:after="120" w:line="240" w:lineRule="auto"/>
      <w:outlineLvl w:val="4"/>
    </w:pPr>
    <w:rPr>
      <w:rFonts w:ascii="Calibri" w:eastAsia="Yu Gothic Light" w:hAnsi="Calibri" w:cs="Calibri"/>
      <w:b/>
      <w:color w:val="CF531C"/>
      <w:sz w:val="32"/>
      <w:szCs w:val="32"/>
    </w:rPr>
  </w:style>
  <w:style w:type="paragraph" w:customStyle="1" w:styleId="Considerations">
    <w:name w:val="Considerations"/>
    <w:basedOn w:val="Normal"/>
    <w:qFormat/>
    <w:rsid w:val="00645CB1"/>
    <w:pPr>
      <w:pBdr>
        <w:top w:val="single" w:sz="48" w:space="1" w:color="E5EAF2"/>
        <w:left w:val="single" w:sz="48" w:space="4" w:color="E5EAF2"/>
        <w:bottom w:val="single" w:sz="48" w:space="1" w:color="E5EAF2"/>
        <w:right w:val="single" w:sz="48" w:space="4" w:color="E5EAF2"/>
      </w:pBdr>
      <w:shd w:val="clear" w:color="D2E8FF" w:fill="E5EAF2"/>
      <w:spacing w:after="0" w:line="240" w:lineRule="auto"/>
      <w:ind w:left="210" w:right="210"/>
    </w:pPr>
    <w:rPr>
      <w:rFonts w:ascii="Calibri" w:eastAsia="Calibri" w:hAnsi="Calibri" w:cs="Calibri"/>
    </w:rPr>
  </w:style>
  <w:style w:type="paragraph" w:customStyle="1" w:styleId="Casestudy">
    <w:name w:val="Case study"/>
    <w:basedOn w:val="Normal"/>
    <w:link w:val="CasestudyChar"/>
    <w:qFormat/>
    <w:rsid w:val="00645CB1"/>
    <w:pPr>
      <w:shd w:val="solid" w:color="D9D9D9" w:themeColor="background1" w:themeShade="D9" w:fill="D9D9D9" w:themeFill="background1" w:themeFillShade="D9"/>
    </w:pPr>
  </w:style>
  <w:style w:type="paragraph" w:customStyle="1" w:styleId="Rec-frontmatternonheading">
    <w:name w:val="Rec - front matter (non heading)"/>
    <w:basedOn w:val="Normal"/>
    <w:link w:val="Rec-frontmatternonheadingChar"/>
    <w:qFormat/>
    <w:rsid w:val="007A5313"/>
    <w:pPr>
      <w:keepNext/>
      <w:spacing w:before="160" w:after="120"/>
    </w:pPr>
    <w:rPr>
      <w:b/>
      <w:color w:val="CF531C"/>
      <w:sz w:val="28"/>
    </w:rPr>
  </w:style>
  <w:style w:type="paragraph" w:customStyle="1" w:styleId="Principlesboxnonheading">
    <w:name w:val="Principles box (non heading)"/>
    <w:basedOn w:val="Rec-frontmatternonheading"/>
    <w:qFormat/>
    <w:rsid w:val="0032275C"/>
    <w:rPr>
      <w:color w:val="004C6C" w:themeColor="background2"/>
    </w:rPr>
  </w:style>
  <w:style w:type="paragraph" w:customStyle="1" w:styleId="Principles">
    <w:name w:val="Principles"/>
    <w:basedOn w:val="Casestudy"/>
    <w:qFormat/>
    <w:rsid w:val="00645CB1"/>
    <w:pPr>
      <w:shd w:val="solid" w:color="DAF2EF" w:themeColor="accent4" w:themeTint="33" w:fill="DAF2EF" w:themeFill="accent4" w:themeFillTint="33"/>
    </w:pPr>
  </w:style>
  <w:style w:type="table" w:customStyle="1" w:styleId="ImmediateAction">
    <w:name w:val="Immediate Action"/>
    <w:basedOn w:val="TableNormal"/>
    <w:uiPriority w:val="99"/>
    <w:rsid w:val="00530711"/>
    <w:pPr>
      <w:spacing w:after="0" w:line="240" w:lineRule="auto"/>
    </w:pPr>
    <w:tblPr>
      <w:tblCellMar>
        <w:top w:w="113" w:type="dxa"/>
        <w:left w:w="210" w:type="dxa"/>
        <w:bottom w:w="113" w:type="dxa"/>
        <w:right w:w="210" w:type="dxa"/>
      </w:tblCellMar>
    </w:tblPr>
    <w:tcPr>
      <w:shd w:val="clear" w:color="auto" w:fill="FFF4ED"/>
    </w:tcPr>
  </w:style>
  <w:style w:type="paragraph" w:customStyle="1" w:styleId="ImmediateAction-Heading">
    <w:name w:val="Immediate Action - Heading"/>
    <w:basedOn w:val="Normal"/>
    <w:link w:val="ImmediateAction-HeadingChar"/>
    <w:qFormat/>
    <w:rsid w:val="00645CB1"/>
    <w:pPr>
      <w:spacing w:after="120" w:line="240" w:lineRule="auto"/>
    </w:pPr>
    <w:rPr>
      <w:b/>
      <w:color w:val="CF531C"/>
      <w:sz w:val="28"/>
    </w:rPr>
  </w:style>
  <w:style w:type="paragraph" w:customStyle="1" w:styleId="PriorityActions-Body">
    <w:name w:val="Priority Actions - Body"/>
    <w:basedOn w:val="Considerations"/>
    <w:qFormat/>
    <w:rsid w:val="00645CB1"/>
    <w:pPr>
      <w:pBdr>
        <w:top w:val="single" w:sz="48" w:space="1" w:color="FFF4ED"/>
        <w:left w:val="single" w:sz="48" w:space="4" w:color="FFF4ED"/>
        <w:bottom w:val="single" w:sz="48" w:space="1" w:color="FFF4ED"/>
        <w:right w:val="single" w:sz="48" w:space="4" w:color="FFF4ED"/>
      </w:pBdr>
      <w:shd w:val="clear" w:color="D2E8FF" w:fill="FFF4ED"/>
      <w:spacing w:after="240"/>
    </w:pPr>
    <w:rPr>
      <w:bCs/>
      <w:i/>
      <w:color w:val="000000" w:themeColor="text1"/>
    </w:rPr>
  </w:style>
  <w:style w:type="character" w:customStyle="1" w:styleId="PriorityAction-Bold">
    <w:name w:val="Priority Action - Bold"/>
    <w:basedOn w:val="Strong"/>
    <w:uiPriority w:val="1"/>
    <w:qFormat/>
    <w:rsid w:val="00645CB1"/>
    <w:rPr>
      <w:b/>
      <w:bCs/>
      <w:i/>
    </w:rPr>
  </w:style>
  <w:style w:type="paragraph" w:customStyle="1" w:styleId="PriorityActions-ListBullet">
    <w:name w:val="Priority Actions - List Bullet"/>
    <w:basedOn w:val="ListBullet"/>
    <w:qFormat/>
    <w:rsid w:val="00645CB1"/>
    <w:pPr>
      <w:numPr>
        <w:numId w:val="1"/>
      </w:numPr>
      <w:pBdr>
        <w:top w:val="single" w:sz="48" w:space="1" w:color="FFF4ED"/>
        <w:left w:val="single" w:sz="48" w:space="4" w:color="FFF4ED"/>
        <w:bottom w:val="single" w:sz="48" w:space="1" w:color="FFF4ED"/>
        <w:right w:val="single" w:sz="48" w:space="4" w:color="FFF4ED"/>
      </w:pBdr>
      <w:shd w:val="clear" w:color="auto" w:fill="FFF4ED"/>
      <w:ind w:right="210"/>
    </w:pPr>
  </w:style>
  <w:style w:type="paragraph" w:customStyle="1" w:styleId="BlueShadedBox-Body">
    <w:name w:val="Blue Shaded Box - Body"/>
    <w:basedOn w:val="PriorityActions-Body"/>
    <w:qFormat/>
    <w:rsid w:val="00645CB1"/>
    <w:pPr>
      <w:pBdr>
        <w:top w:val="single" w:sz="48" w:space="1" w:color="E5EAF2"/>
        <w:left w:val="single" w:sz="48" w:space="4" w:color="E5EAF2"/>
        <w:bottom w:val="single" w:sz="48" w:space="1" w:color="E5EAF2"/>
        <w:right w:val="single" w:sz="48" w:space="4" w:color="E5EAF2"/>
      </w:pBdr>
      <w:shd w:val="clear" w:color="D2E8FF" w:fill="E5EAF2"/>
    </w:pPr>
    <w:rPr>
      <w:i w:val="0"/>
    </w:rPr>
  </w:style>
  <w:style w:type="table" w:customStyle="1" w:styleId="CaseStudy0">
    <w:name w:val="Case Study"/>
    <w:basedOn w:val="TableNormal"/>
    <w:uiPriority w:val="99"/>
    <w:rsid w:val="00272CC8"/>
    <w:pPr>
      <w:spacing w:after="0" w:line="240" w:lineRule="auto"/>
    </w:pPr>
    <w:tblPr>
      <w:tblCellMar>
        <w:top w:w="113" w:type="dxa"/>
        <w:left w:w="210" w:type="dxa"/>
        <w:bottom w:w="113" w:type="dxa"/>
        <w:right w:w="210" w:type="dxa"/>
      </w:tblCellMar>
    </w:tblPr>
    <w:tcPr>
      <w:shd w:val="clear" w:color="auto" w:fill="F0F0F1"/>
    </w:tcPr>
  </w:style>
  <w:style w:type="paragraph" w:customStyle="1" w:styleId="BlueShadedBox-ListLetterstest">
    <w:name w:val="Blue Shaded Box - List Letters test"/>
    <w:basedOn w:val="ListNumber"/>
    <w:qFormat/>
    <w:rsid w:val="008C67CA"/>
    <w:pPr>
      <w:pBdr>
        <w:top w:val="single" w:sz="48" w:space="1" w:color="E5EAF2"/>
        <w:left w:val="single" w:sz="48" w:space="4" w:color="E5EAF2"/>
        <w:bottom w:val="single" w:sz="48" w:space="1" w:color="E5EAF2"/>
        <w:right w:val="single" w:sz="48" w:space="4" w:color="E5EAF2"/>
      </w:pBdr>
      <w:shd w:val="clear" w:color="auto" w:fill="E5EAF2"/>
      <w:ind w:left="930" w:right="210"/>
    </w:pPr>
  </w:style>
  <w:style w:type="table" w:customStyle="1" w:styleId="BlueTable">
    <w:name w:val="Blue Table"/>
    <w:basedOn w:val="TableNormal"/>
    <w:uiPriority w:val="99"/>
    <w:rsid w:val="00FC381C"/>
    <w:pPr>
      <w:spacing w:after="0" w:line="240" w:lineRule="auto"/>
    </w:pPr>
    <w:tblPr>
      <w:tblCellMar>
        <w:top w:w="113" w:type="dxa"/>
        <w:left w:w="210" w:type="dxa"/>
        <w:bottom w:w="113" w:type="dxa"/>
        <w:right w:w="210" w:type="dxa"/>
      </w:tblCellMar>
    </w:tblPr>
    <w:tcPr>
      <w:shd w:val="clear" w:color="auto" w:fill="E5EAF2"/>
    </w:tcPr>
  </w:style>
  <w:style w:type="paragraph" w:customStyle="1" w:styleId="CaseStudy-Heading">
    <w:name w:val="Case Study - Heading"/>
    <w:basedOn w:val="ImmediateAction-Heading"/>
    <w:link w:val="CaseStudy-HeadingChar"/>
    <w:qFormat/>
    <w:rsid w:val="00645CB1"/>
    <w:rPr>
      <w:color w:val="002D3E"/>
    </w:rPr>
  </w:style>
  <w:style w:type="paragraph" w:customStyle="1" w:styleId="Normal-AfterTable">
    <w:name w:val="Normal - After Table"/>
    <w:basedOn w:val="Normal"/>
    <w:qFormat/>
    <w:rsid w:val="00645CB1"/>
    <w:pPr>
      <w:spacing w:before="240"/>
    </w:pPr>
  </w:style>
  <w:style w:type="table" w:customStyle="1" w:styleId="SpotLight">
    <w:name w:val="Spot Light"/>
    <w:basedOn w:val="CaseStudy0"/>
    <w:uiPriority w:val="99"/>
    <w:rsid w:val="00672023"/>
    <w:tblPr/>
    <w:tcPr>
      <w:shd w:val="clear" w:color="auto" w:fill="E1EAE3"/>
    </w:tcPr>
  </w:style>
  <w:style w:type="paragraph" w:customStyle="1" w:styleId="Heading4-LookslikeHeading5">
    <w:name w:val="Heading 4 - Looks like Heading 5"/>
    <w:basedOn w:val="Heading4"/>
    <w:rsid w:val="00645CB1"/>
    <w:rPr>
      <w:color w:val="297BAF"/>
    </w:rPr>
  </w:style>
  <w:style w:type="table" w:customStyle="1" w:styleId="DESE">
    <w:name w:val="DESE"/>
    <w:basedOn w:val="TableNormal"/>
    <w:uiPriority w:val="99"/>
    <w:rsid w:val="00B920D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character" w:customStyle="1" w:styleId="s2">
    <w:name w:val="s2"/>
    <w:basedOn w:val="DefaultParagraphFont"/>
    <w:rsid w:val="00B920D4"/>
  </w:style>
  <w:style w:type="character" w:customStyle="1" w:styleId="A3">
    <w:name w:val="A3"/>
    <w:uiPriority w:val="99"/>
    <w:rsid w:val="00B920D4"/>
    <w:rPr>
      <w:rFonts w:cs="Poppins"/>
      <w:color w:val="000000"/>
      <w:sz w:val="18"/>
      <w:szCs w:val="18"/>
    </w:rPr>
  </w:style>
  <w:style w:type="paragraph" w:customStyle="1" w:styleId="Pa7">
    <w:name w:val="Pa7"/>
    <w:basedOn w:val="Normal"/>
    <w:next w:val="Normal"/>
    <w:uiPriority w:val="99"/>
    <w:rsid w:val="00B920D4"/>
    <w:pPr>
      <w:autoSpaceDE w:val="0"/>
      <w:autoSpaceDN w:val="0"/>
      <w:adjustRightInd w:val="0"/>
      <w:spacing w:after="0" w:line="221" w:lineRule="atLeast"/>
    </w:pPr>
    <w:rPr>
      <w:rFonts w:ascii="Poppins" w:hAnsi="Poppins" w:cs="Times New Roman"/>
      <w:sz w:val="24"/>
      <w:szCs w:val="24"/>
    </w:rPr>
  </w:style>
  <w:style w:type="paragraph" w:customStyle="1" w:styleId="Default">
    <w:name w:val="Default"/>
    <w:rsid w:val="00B920D4"/>
    <w:pPr>
      <w:autoSpaceDE w:val="0"/>
      <w:autoSpaceDN w:val="0"/>
      <w:adjustRightInd w:val="0"/>
      <w:spacing w:after="0" w:line="240" w:lineRule="auto"/>
    </w:pPr>
    <w:rPr>
      <w:rFonts w:ascii="Poppins" w:hAnsi="Poppins" w:cs="Poppins"/>
      <w:color w:val="000000"/>
      <w:sz w:val="24"/>
      <w:szCs w:val="24"/>
    </w:rPr>
  </w:style>
  <w:style w:type="character" w:customStyle="1" w:styleId="A7">
    <w:name w:val="A7"/>
    <w:uiPriority w:val="99"/>
    <w:rsid w:val="00B920D4"/>
    <w:rPr>
      <w:rFonts w:cs="Poppins"/>
      <w:color w:val="000000"/>
      <w:sz w:val="16"/>
      <w:szCs w:val="16"/>
    </w:rPr>
  </w:style>
  <w:style w:type="character" w:customStyle="1" w:styleId="A4">
    <w:name w:val="A4"/>
    <w:uiPriority w:val="99"/>
    <w:rsid w:val="00B920D4"/>
    <w:rPr>
      <w:rFonts w:cs="Poppins"/>
      <w:color w:val="000000"/>
      <w:sz w:val="16"/>
      <w:szCs w:val="16"/>
    </w:rPr>
  </w:style>
  <w:style w:type="character" w:customStyle="1" w:styleId="A5">
    <w:name w:val="A5"/>
    <w:uiPriority w:val="99"/>
    <w:rsid w:val="00B920D4"/>
    <w:rPr>
      <w:rFonts w:cs="Poppins"/>
      <w:color w:val="000000"/>
      <w:sz w:val="20"/>
      <w:szCs w:val="20"/>
    </w:rPr>
  </w:style>
  <w:style w:type="paragraph" w:customStyle="1" w:styleId="Pa29">
    <w:name w:val="Pa29"/>
    <w:basedOn w:val="Default"/>
    <w:next w:val="Default"/>
    <w:uiPriority w:val="99"/>
    <w:rsid w:val="00B920D4"/>
    <w:pPr>
      <w:spacing w:line="241" w:lineRule="atLeast"/>
    </w:pPr>
    <w:rPr>
      <w:rFonts w:cs="Times New Roman"/>
      <w:color w:val="auto"/>
    </w:rPr>
  </w:style>
  <w:style w:type="paragraph" w:customStyle="1" w:styleId="Pa35">
    <w:name w:val="Pa35"/>
    <w:basedOn w:val="Default"/>
    <w:next w:val="Default"/>
    <w:uiPriority w:val="99"/>
    <w:rsid w:val="00B920D4"/>
    <w:pPr>
      <w:spacing w:line="241" w:lineRule="atLeast"/>
    </w:pPr>
    <w:rPr>
      <w:rFonts w:ascii="Poppins SemiBold" w:hAnsi="Poppins SemiBold" w:cs="Times New Roman"/>
      <w:color w:val="auto"/>
    </w:rPr>
  </w:style>
  <w:style w:type="paragraph" w:customStyle="1" w:styleId="Pa30">
    <w:name w:val="Pa30"/>
    <w:basedOn w:val="Default"/>
    <w:next w:val="Default"/>
    <w:uiPriority w:val="99"/>
    <w:rsid w:val="00B920D4"/>
    <w:pPr>
      <w:spacing w:line="241" w:lineRule="atLeast"/>
    </w:pPr>
    <w:rPr>
      <w:rFonts w:ascii="Poppins SemiBold" w:hAnsi="Poppins SemiBold" w:cs="Times New Roman"/>
      <w:color w:val="auto"/>
    </w:rPr>
  </w:style>
  <w:style w:type="paragraph" w:customStyle="1" w:styleId="Pa1">
    <w:name w:val="Pa1"/>
    <w:basedOn w:val="Default"/>
    <w:next w:val="Default"/>
    <w:uiPriority w:val="99"/>
    <w:rsid w:val="00B920D4"/>
    <w:pPr>
      <w:spacing w:line="261" w:lineRule="atLeast"/>
    </w:pPr>
    <w:rPr>
      <w:rFonts w:cs="Times New Roman"/>
      <w:color w:val="auto"/>
    </w:rPr>
  </w:style>
  <w:style w:type="paragraph" w:customStyle="1" w:styleId="paragraph">
    <w:name w:val="paragraph"/>
    <w:basedOn w:val="Normal"/>
    <w:link w:val="paragraphChar"/>
    <w:rsid w:val="00B920D4"/>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RecommendationsText">
    <w:name w:val="Recommendations Text"/>
    <w:basedOn w:val="List"/>
    <w:link w:val="RecommendationsTextChar"/>
    <w:qFormat/>
    <w:rsid w:val="004F212C"/>
    <w:pPr>
      <w:numPr>
        <w:numId w:val="18"/>
      </w:numPr>
    </w:pPr>
  </w:style>
  <w:style w:type="character" w:customStyle="1" w:styleId="RecommendationsTextChar">
    <w:name w:val="Recommendations Text Char"/>
    <w:basedOn w:val="ListParagraphChar"/>
    <w:link w:val="RecommendationsText"/>
    <w:rsid w:val="004F705F"/>
  </w:style>
  <w:style w:type="character" w:customStyle="1" w:styleId="Heading8Char">
    <w:name w:val="Heading 8 Char"/>
    <w:basedOn w:val="DefaultParagraphFont"/>
    <w:link w:val="Heading8"/>
    <w:uiPriority w:val="9"/>
    <w:rsid w:val="005B3445"/>
    <w:rPr>
      <w:rFonts w:asciiTheme="majorHAnsi" w:eastAsiaTheme="majorEastAsia" w:hAnsiTheme="majorHAnsi" w:cstheme="majorBidi"/>
      <w:color w:val="272727" w:themeColor="text1" w:themeTint="D8"/>
      <w:sz w:val="21"/>
      <w:szCs w:val="21"/>
    </w:rPr>
  </w:style>
  <w:style w:type="table" w:styleId="ListTable3-Accent1">
    <w:name w:val="List Table 3 Accent 1"/>
    <w:basedOn w:val="TableNormal"/>
    <w:uiPriority w:val="48"/>
    <w:rsid w:val="005B3445"/>
    <w:pPr>
      <w:spacing w:after="0" w:line="240" w:lineRule="auto"/>
    </w:pPr>
    <w:tblPr>
      <w:tblStyleRowBandSize w:val="1"/>
      <w:tblStyleColBandSize w:val="1"/>
      <w:tblBorders>
        <w:top w:val="single" w:sz="4" w:space="0" w:color="008599" w:themeColor="accent1"/>
        <w:left w:val="single" w:sz="4" w:space="0" w:color="008599" w:themeColor="accent1"/>
        <w:bottom w:val="single" w:sz="4" w:space="0" w:color="008599" w:themeColor="accent1"/>
        <w:right w:val="single" w:sz="4" w:space="0" w:color="008599" w:themeColor="accent1"/>
      </w:tblBorders>
    </w:tblPr>
    <w:tblStylePr w:type="firstRow">
      <w:rPr>
        <w:b/>
        <w:bCs/>
        <w:color w:val="FFFFFF" w:themeColor="background1"/>
      </w:rPr>
      <w:tblPr/>
      <w:tcPr>
        <w:shd w:val="clear" w:color="auto" w:fill="008599" w:themeFill="accent1"/>
      </w:tcPr>
    </w:tblStylePr>
    <w:tblStylePr w:type="lastRow">
      <w:rPr>
        <w:b/>
        <w:bCs/>
      </w:rPr>
      <w:tblPr/>
      <w:tcPr>
        <w:tcBorders>
          <w:top w:val="double" w:sz="4" w:space="0" w:color="00859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599" w:themeColor="accent1"/>
          <w:right w:val="single" w:sz="4" w:space="0" w:color="008599" w:themeColor="accent1"/>
        </w:tcBorders>
      </w:tcPr>
    </w:tblStylePr>
    <w:tblStylePr w:type="band1Horz">
      <w:tblPr/>
      <w:tcPr>
        <w:tcBorders>
          <w:top w:val="single" w:sz="4" w:space="0" w:color="008599" w:themeColor="accent1"/>
          <w:bottom w:val="single" w:sz="4" w:space="0" w:color="00859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599" w:themeColor="accent1"/>
          <w:left w:val="nil"/>
        </w:tcBorders>
      </w:tcPr>
    </w:tblStylePr>
    <w:tblStylePr w:type="swCell">
      <w:tblPr/>
      <w:tcPr>
        <w:tcBorders>
          <w:top w:val="double" w:sz="4" w:space="0" w:color="008599" w:themeColor="accent1"/>
          <w:right w:val="nil"/>
        </w:tcBorders>
      </w:tcPr>
    </w:tblStylePr>
  </w:style>
  <w:style w:type="paragraph" w:customStyle="1" w:styleId="Longquotation">
    <w:name w:val="Long quotation"/>
    <w:basedOn w:val="Normal"/>
    <w:link w:val="LongquotationChar"/>
    <w:uiPriority w:val="1"/>
    <w:qFormat/>
    <w:rsid w:val="005B3445"/>
    <w:pPr>
      <w:spacing w:after="120" w:line="288" w:lineRule="auto"/>
      <w:ind w:left="340"/>
    </w:pPr>
    <w:rPr>
      <w:rFonts w:ascii="Arial" w:eastAsia="Times New Roman" w:hAnsi="Arial" w:cs="Times New Roman"/>
      <w:i/>
      <w:iCs/>
      <w:sz w:val="24"/>
      <w:szCs w:val="20"/>
      <w:lang w:eastAsia="en-AU"/>
    </w:rPr>
  </w:style>
  <w:style w:type="character" w:customStyle="1" w:styleId="LongquotationChar">
    <w:name w:val="Long quotation Char"/>
    <w:basedOn w:val="DefaultParagraphFont"/>
    <w:link w:val="Longquotation"/>
    <w:uiPriority w:val="1"/>
    <w:rsid w:val="005B3445"/>
    <w:rPr>
      <w:rFonts w:ascii="Arial" w:eastAsia="Times New Roman" w:hAnsi="Arial" w:cs="Times New Roman"/>
      <w:i/>
      <w:iCs/>
      <w:sz w:val="24"/>
      <w:szCs w:val="20"/>
      <w:lang w:eastAsia="en-AU"/>
    </w:rPr>
  </w:style>
  <w:style w:type="paragraph" w:styleId="PlainText">
    <w:name w:val="Plain Text"/>
    <w:basedOn w:val="Normal"/>
    <w:link w:val="PlainTextChar"/>
    <w:uiPriority w:val="99"/>
    <w:unhideWhenUsed/>
    <w:rsid w:val="005B3445"/>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rsid w:val="005B3445"/>
    <w:rPr>
      <w:rFonts w:ascii="Calibri" w:eastAsia="Times New Roman" w:hAnsi="Calibri"/>
      <w:szCs w:val="21"/>
    </w:rPr>
  </w:style>
  <w:style w:type="paragraph" w:customStyle="1" w:styleId="pf1">
    <w:name w:val="pf1"/>
    <w:basedOn w:val="Normal"/>
    <w:rsid w:val="005B3445"/>
    <w:pPr>
      <w:spacing w:before="100" w:beforeAutospacing="1" w:after="100" w:afterAutospacing="1" w:line="240" w:lineRule="auto"/>
      <w:ind w:left="360"/>
    </w:pPr>
    <w:rPr>
      <w:rFonts w:ascii="Times New Roman" w:eastAsia="Times New Roman" w:hAnsi="Times New Roman" w:cs="Times New Roman"/>
      <w:sz w:val="24"/>
      <w:szCs w:val="24"/>
      <w:lang w:eastAsia="en-AU"/>
    </w:rPr>
  </w:style>
  <w:style w:type="table" w:styleId="GridTable5Dark-Accent4">
    <w:name w:val="Grid Table 5 Dark Accent 4"/>
    <w:basedOn w:val="TableNormal"/>
    <w:uiPriority w:val="50"/>
    <w:rsid w:val="005B34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E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7BFA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7BFA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7BFA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7BFAF" w:themeFill="accent4"/>
      </w:tcPr>
    </w:tblStylePr>
    <w:tblStylePr w:type="band1Vert">
      <w:tblPr/>
      <w:tcPr>
        <w:shd w:val="clear" w:color="auto" w:fill="B5E5DF" w:themeFill="accent4" w:themeFillTint="66"/>
      </w:tcPr>
    </w:tblStylePr>
    <w:tblStylePr w:type="band1Horz">
      <w:tblPr/>
      <w:tcPr>
        <w:shd w:val="clear" w:color="auto" w:fill="B5E5DF" w:themeFill="accent4" w:themeFillTint="66"/>
      </w:tcPr>
    </w:tblStylePr>
  </w:style>
  <w:style w:type="paragraph" w:customStyle="1" w:styleId="p2">
    <w:name w:val="p2"/>
    <w:basedOn w:val="Normal"/>
    <w:rsid w:val="00D27626"/>
    <w:pPr>
      <w:spacing w:before="100" w:beforeAutospacing="1" w:after="100" w:afterAutospacing="1" w:line="240" w:lineRule="auto"/>
    </w:pPr>
    <w:rPr>
      <w:rFonts w:ascii="Calibri" w:hAnsi="Calibri" w:cs="Calibri"/>
      <w:lang w:eastAsia="en-AU"/>
    </w:rPr>
  </w:style>
  <w:style w:type="paragraph" w:customStyle="1" w:styleId="Heading4-AUA">
    <w:name w:val="Heading 4 - AUA"/>
    <w:basedOn w:val="Heading4"/>
    <w:autoRedefine/>
    <w:rsid w:val="00D27626"/>
    <w:pPr>
      <w:numPr>
        <w:ilvl w:val="0"/>
        <w:numId w:val="0"/>
      </w:numPr>
      <w:tabs>
        <w:tab w:val="num" w:pos="360"/>
      </w:tabs>
      <w:ind w:left="360" w:hanging="360"/>
    </w:pPr>
    <w:rPr>
      <w:rFonts w:ascii="Arial" w:eastAsiaTheme="minorHAnsi" w:hAnsi="Arial" w:cstheme="minorBidi"/>
      <w:bCs/>
      <w:iCs w:val="0"/>
      <w:color w:val="297BAF"/>
      <w:sz w:val="32"/>
      <w:szCs w:val="32"/>
    </w:rPr>
  </w:style>
  <w:style w:type="table" w:styleId="ListTable4-Accent5">
    <w:name w:val="List Table 4 Accent 5"/>
    <w:basedOn w:val="TableNormal"/>
    <w:uiPriority w:val="49"/>
    <w:rsid w:val="00D27626"/>
    <w:pPr>
      <w:spacing w:after="0" w:line="240" w:lineRule="auto"/>
    </w:pPr>
    <w:tblPr>
      <w:tblStyleRowBandSize w:val="1"/>
      <w:tblStyleColBandSize w:val="1"/>
      <w:tblBorders>
        <w:top w:val="single" w:sz="4" w:space="0" w:color="F6A1A1" w:themeColor="accent5" w:themeTint="99"/>
        <w:left w:val="single" w:sz="4" w:space="0" w:color="F6A1A1" w:themeColor="accent5" w:themeTint="99"/>
        <w:bottom w:val="single" w:sz="4" w:space="0" w:color="F6A1A1" w:themeColor="accent5" w:themeTint="99"/>
        <w:right w:val="single" w:sz="4" w:space="0" w:color="F6A1A1" w:themeColor="accent5" w:themeTint="99"/>
        <w:insideH w:val="single" w:sz="4" w:space="0" w:color="F6A1A1" w:themeColor="accent5" w:themeTint="99"/>
      </w:tblBorders>
    </w:tblPr>
    <w:tblStylePr w:type="firstRow">
      <w:rPr>
        <w:b/>
        <w:bCs/>
        <w:color w:val="FFFFFF" w:themeColor="background1"/>
      </w:rPr>
      <w:tblPr/>
      <w:tcPr>
        <w:tcBorders>
          <w:top w:val="single" w:sz="4" w:space="0" w:color="F16464" w:themeColor="accent5"/>
          <w:left w:val="single" w:sz="4" w:space="0" w:color="F16464" w:themeColor="accent5"/>
          <w:bottom w:val="single" w:sz="4" w:space="0" w:color="F16464" w:themeColor="accent5"/>
          <w:right w:val="single" w:sz="4" w:space="0" w:color="F16464" w:themeColor="accent5"/>
          <w:insideH w:val="nil"/>
        </w:tcBorders>
        <w:shd w:val="clear" w:color="auto" w:fill="F16464" w:themeFill="accent5"/>
      </w:tcPr>
    </w:tblStylePr>
    <w:tblStylePr w:type="lastRow">
      <w:rPr>
        <w:b/>
        <w:bCs/>
      </w:rPr>
      <w:tblPr/>
      <w:tcPr>
        <w:tcBorders>
          <w:top w:val="double" w:sz="4" w:space="0" w:color="F6A1A1" w:themeColor="accent5" w:themeTint="99"/>
        </w:tcBorders>
      </w:tcPr>
    </w:tblStylePr>
    <w:tblStylePr w:type="firstCol">
      <w:rPr>
        <w:b/>
        <w:bCs/>
      </w:rPr>
    </w:tblStylePr>
    <w:tblStylePr w:type="lastCol">
      <w:rPr>
        <w:b/>
        <w:bCs/>
      </w:rPr>
    </w:tblStylePr>
    <w:tblStylePr w:type="band1Vert">
      <w:tblPr/>
      <w:tcPr>
        <w:shd w:val="clear" w:color="auto" w:fill="FCDFDF" w:themeFill="accent5" w:themeFillTint="33"/>
      </w:tcPr>
    </w:tblStylePr>
    <w:tblStylePr w:type="band1Horz">
      <w:tblPr/>
      <w:tcPr>
        <w:shd w:val="clear" w:color="auto" w:fill="FCDFDF" w:themeFill="accent5" w:themeFillTint="33"/>
      </w:tcPr>
    </w:tblStylePr>
  </w:style>
  <w:style w:type="character" w:customStyle="1" w:styleId="grame">
    <w:name w:val="grame"/>
    <w:basedOn w:val="DefaultParagraphFont"/>
    <w:rsid w:val="00D27626"/>
  </w:style>
  <w:style w:type="table" w:styleId="PlainTable3">
    <w:name w:val="Plain Table 3"/>
    <w:basedOn w:val="TableNormal"/>
    <w:uiPriority w:val="43"/>
    <w:rsid w:val="00D2762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5Dark-Accent1">
    <w:name w:val="Grid Table 5 Dark Accent 1"/>
    <w:basedOn w:val="TableNormal"/>
    <w:uiPriority w:val="50"/>
    <w:rsid w:val="00D2762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F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59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59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59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599" w:themeFill="accent1"/>
      </w:tcPr>
    </w:tblStylePr>
    <w:tblStylePr w:type="band1Vert">
      <w:tblPr/>
      <w:tcPr>
        <w:shd w:val="clear" w:color="auto" w:fill="70EBFF" w:themeFill="accent1" w:themeFillTint="66"/>
      </w:tcPr>
    </w:tblStylePr>
    <w:tblStylePr w:type="band1Horz">
      <w:tblPr/>
      <w:tcPr>
        <w:shd w:val="clear" w:color="auto" w:fill="70EBFF" w:themeFill="accent1" w:themeFillTint="66"/>
      </w:tcPr>
    </w:tblStylePr>
  </w:style>
  <w:style w:type="table" w:styleId="GridTable5Dark-Accent5">
    <w:name w:val="Grid Table 5 Dark Accent 5"/>
    <w:basedOn w:val="TableNormal"/>
    <w:uiPriority w:val="50"/>
    <w:rsid w:val="00D2762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646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646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646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6464" w:themeFill="accent5"/>
      </w:tcPr>
    </w:tblStylePr>
    <w:tblStylePr w:type="band1Vert">
      <w:tblPr/>
      <w:tcPr>
        <w:shd w:val="clear" w:color="auto" w:fill="F9C0C0" w:themeFill="accent5" w:themeFillTint="66"/>
      </w:tcPr>
    </w:tblStylePr>
    <w:tblStylePr w:type="band1Horz">
      <w:tblPr/>
      <w:tcPr>
        <w:shd w:val="clear" w:color="auto" w:fill="F9C0C0" w:themeFill="accent5" w:themeFillTint="66"/>
      </w:tcPr>
    </w:tblStylePr>
  </w:style>
  <w:style w:type="paragraph" w:customStyle="1" w:styleId="Subbodytext">
    <w:name w:val="Sub: body text"/>
    <w:basedOn w:val="Normal"/>
    <w:rsid w:val="00D27626"/>
    <w:pPr>
      <w:spacing w:line="252" w:lineRule="auto"/>
    </w:pPr>
    <w:rPr>
      <w:rFonts w:ascii="Calibri" w:hAnsi="Calibri" w:cs="Calibri"/>
    </w:rPr>
  </w:style>
  <w:style w:type="paragraph" w:customStyle="1" w:styleId="SubFootnote">
    <w:name w:val="Sub: Footnote"/>
    <w:basedOn w:val="Normal"/>
    <w:rsid w:val="00D27626"/>
    <w:pPr>
      <w:spacing w:after="0" w:line="252" w:lineRule="auto"/>
      <w:contextualSpacing/>
    </w:pPr>
    <w:rPr>
      <w:rFonts w:ascii="Calibri" w:hAnsi="Calibri" w:cs="Calibri"/>
      <w:sz w:val="16"/>
      <w:szCs w:val="16"/>
    </w:rPr>
  </w:style>
  <w:style w:type="paragraph" w:customStyle="1" w:styleId="Letteredlist">
    <w:name w:val="Lettered list"/>
    <w:basedOn w:val="paragraph"/>
    <w:link w:val="LetteredlistChar"/>
    <w:autoRedefine/>
    <w:rsid w:val="00D27626"/>
    <w:pPr>
      <w:spacing w:before="0" w:beforeAutospacing="0" w:after="0" w:afterAutospacing="0"/>
      <w:ind w:left="357" w:hanging="357"/>
      <w:textAlignment w:val="baseline"/>
    </w:pPr>
  </w:style>
  <w:style w:type="character" w:customStyle="1" w:styleId="paragraphChar">
    <w:name w:val="paragraph Char"/>
    <w:basedOn w:val="DefaultParagraphFont"/>
    <w:link w:val="paragraph"/>
    <w:rsid w:val="00D27626"/>
    <w:rPr>
      <w:rFonts w:ascii="Times New Roman" w:eastAsia="Times New Roman" w:hAnsi="Times New Roman" w:cs="Times New Roman"/>
      <w:sz w:val="24"/>
      <w:szCs w:val="24"/>
      <w:lang w:eastAsia="en-AU"/>
    </w:rPr>
  </w:style>
  <w:style w:type="character" w:customStyle="1" w:styleId="LetteredlistChar">
    <w:name w:val="Lettered list Char"/>
    <w:basedOn w:val="paragraphChar"/>
    <w:link w:val="Letteredlist"/>
    <w:rsid w:val="00D27626"/>
    <w:rPr>
      <w:rFonts w:ascii="Times New Roman" w:eastAsia="Times New Roman" w:hAnsi="Times New Roman" w:cs="Times New Roman"/>
      <w:sz w:val="24"/>
      <w:szCs w:val="24"/>
      <w:lang w:eastAsia="en-AU"/>
    </w:rPr>
  </w:style>
  <w:style w:type="paragraph" w:styleId="BodyText">
    <w:name w:val="Body Text"/>
    <w:basedOn w:val="Normal"/>
    <w:link w:val="BodyTextChar"/>
    <w:qFormat/>
    <w:rsid w:val="008C67CA"/>
  </w:style>
  <w:style w:type="character" w:customStyle="1" w:styleId="BodyTextChar">
    <w:name w:val="Body Text Char"/>
    <w:basedOn w:val="DefaultParagraphFont"/>
    <w:link w:val="BodyText"/>
    <w:rsid w:val="00E57B8F"/>
  </w:style>
  <w:style w:type="character" w:customStyle="1" w:styleId="Heading9Char">
    <w:name w:val="Heading 9 Char"/>
    <w:basedOn w:val="DefaultParagraphFont"/>
    <w:link w:val="Heading9"/>
    <w:uiPriority w:val="9"/>
    <w:semiHidden/>
    <w:rsid w:val="005021CF"/>
    <w:rPr>
      <w:rFonts w:asciiTheme="majorHAnsi" w:eastAsiaTheme="majorEastAsia" w:hAnsiTheme="majorHAnsi" w:cstheme="majorBidi"/>
      <w:i/>
      <w:iCs/>
      <w:color w:val="272727" w:themeColor="text1" w:themeTint="D8"/>
      <w:sz w:val="21"/>
      <w:szCs w:val="21"/>
    </w:rPr>
  </w:style>
  <w:style w:type="character" w:customStyle="1" w:styleId="EndnoteTextChar">
    <w:name w:val="Endnote Text Char"/>
    <w:basedOn w:val="DefaultParagraphFont"/>
    <w:link w:val="EndnoteText"/>
    <w:uiPriority w:val="99"/>
    <w:rsid w:val="00F3609E"/>
    <w:rPr>
      <w:rFonts w:ascii="Arial" w:hAnsi="Arial" w:cs="Arial"/>
      <w:sz w:val="20"/>
      <w:szCs w:val="20"/>
      <w:lang w:val="en-GB"/>
    </w:rPr>
  </w:style>
  <w:style w:type="paragraph" w:styleId="EndnoteText">
    <w:name w:val="endnote text"/>
    <w:basedOn w:val="Normal"/>
    <w:link w:val="EndnoteTextChar"/>
    <w:uiPriority w:val="99"/>
    <w:unhideWhenUsed/>
    <w:rsid w:val="00F3609E"/>
    <w:pPr>
      <w:spacing w:after="0" w:line="240" w:lineRule="auto"/>
    </w:pPr>
    <w:rPr>
      <w:rFonts w:ascii="Arial" w:hAnsi="Arial" w:cs="Arial"/>
      <w:sz w:val="20"/>
      <w:szCs w:val="20"/>
      <w:lang w:val="en-GB"/>
    </w:rPr>
  </w:style>
  <w:style w:type="character" w:customStyle="1" w:styleId="EndnoteTextChar1">
    <w:name w:val="Endnote Text Char1"/>
    <w:basedOn w:val="DefaultParagraphFont"/>
    <w:uiPriority w:val="99"/>
    <w:semiHidden/>
    <w:rsid w:val="00F3609E"/>
    <w:rPr>
      <w:sz w:val="20"/>
      <w:szCs w:val="20"/>
    </w:rPr>
  </w:style>
  <w:style w:type="paragraph" w:customStyle="1" w:styleId="Non-numberedHeading1">
    <w:name w:val="Non-numbered Heading 1"/>
    <w:basedOn w:val="Normal"/>
    <w:link w:val="Non-numberedHeading1Char"/>
    <w:qFormat/>
    <w:rsid w:val="004840EF"/>
    <w:rPr>
      <w:rFonts w:ascii="Calibri" w:hAnsi="Calibri"/>
      <w:b/>
      <w:color w:val="002D3E"/>
      <w:sz w:val="72"/>
    </w:rPr>
  </w:style>
  <w:style w:type="character" w:customStyle="1" w:styleId="Non-numberedHeading1Char">
    <w:name w:val="Non-numbered Heading 1 Char"/>
    <w:basedOn w:val="Heading1Char"/>
    <w:link w:val="Non-numberedHeading1"/>
    <w:rsid w:val="004840EF"/>
    <w:rPr>
      <w:rFonts w:ascii="Calibri" w:eastAsiaTheme="majorEastAsia" w:hAnsi="Calibri" w:cstheme="majorBidi"/>
      <w:b/>
      <w:color w:val="002D3E"/>
      <w:sz w:val="72"/>
      <w:szCs w:val="26"/>
    </w:rPr>
  </w:style>
  <w:style w:type="paragraph" w:customStyle="1" w:styleId="Non-numberedHeading2">
    <w:name w:val="Non-numbered Heading 2"/>
    <w:basedOn w:val="Heading2"/>
    <w:link w:val="Non-numberedHeading2Char"/>
    <w:qFormat/>
    <w:rsid w:val="0077189F"/>
    <w:pPr>
      <w:numPr>
        <w:numId w:val="0"/>
      </w:numPr>
    </w:pPr>
  </w:style>
  <w:style w:type="character" w:customStyle="1" w:styleId="Non-numberedHeading2Char">
    <w:name w:val="Non-numbered Heading 2 Char"/>
    <w:basedOn w:val="Heading2Char"/>
    <w:link w:val="Non-numberedHeading2"/>
    <w:rsid w:val="00770507"/>
    <w:rPr>
      <w:rFonts w:ascii="Calibri Light" w:eastAsiaTheme="majorEastAsia" w:hAnsi="Calibri Light" w:cstheme="majorBidi"/>
      <w:b/>
      <w:bCs/>
      <w:color w:val="297BAF"/>
      <w:sz w:val="48"/>
      <w:szCs w:val="48"/>
    </w:rPr>
  </w:style>
  <w:style w:type="paragraph" w:customStyle="1" w:styleId="Non-numberedHeading3">
    <w:name w:val="Non-numbered Heading 3"/>
    <w:basedOn w:val="Heading3"/>
    <w:link w:val="Non-numberedHeading3Char"/>
    <w:qFormat/>
    <w:rsid w:val="000D402F"/>
    <w:pPr>
      <w:numPr>
        <w:ilvl w:val="0"/>
        <w:numId w:val="0"/>
      </w:numPr>
    </w:pPr>
  </w:style>
  <w:style w:type="character" w:customStyle="1" w:styleId="Non-numberedHeading3Char">
    <w:name w:val="Non-numbered Heading 3 Char"/>
    <w:basedOn w:val="Heading3Char"/>
    <w:link w:val="Non-numberedHeading3"/>
    <w:rsid w:val="00D200FE"/>
    <w:rPr>
      <w:rFonts w:ascii="Calibri" w:eastAsiaTheme="majorEastAsia" w:hAnsi="Calibri" w:cstheme="majorBidi"/>
      <w:b/>
      <w:bCs/>
      <w:color w:val="00254A" w:themeColor="text2"/>
      <w:sz w:val="32"/>
      <w:szCs w:val="32"/>
    </w:rPr>
  </w:style>
  <w:style w:type="paragraph" w:customStyle="1" w:styleId="Non-numberedHeading4">
    <w:name w:val="Non-numbered Heading 4"/>
    <w:basedOn w:val="Heading4"/>
    <w:link w:val="Non-numberedHeading4Char"/>
    <w:qFormat/>
    <w:rsid w:val="00775761"/>
    <w:pPr>
      <w:numPr>
        <w:ilvl w:val="0"/>
        <w:numId w:val="0"/>
      </w:numPr>
    </w:pPr>
  </w:style>
  <w:style w:type="character" w:customStyle="1" w:styleId="Non-numberedHeading4Char">
    <w:name w:val="Non-numbered Heading 4 Char"/>
    <w:basedOn w:val="Heading4Char"/>
    <w:link w:val="Non-numberedHeading4"/>
    <w:rsid w:val="00775761"/>
    <w:rPr>
      <w:rFonts w:asciiTheme="majorHAnsi" w:eastAsiaTheme="majorEastAsia" w:hAnsiTheme="majorHAnsi" w:cstheme="majorBidi"/>
      <w:b/>
      <w:iCs/>
      <w:color w:val="004C6C" w:themeColor="background2"/>
      <w:sz w:val="28"/>
    </w:rPr>
  </w:style>
  <w:style w:type="table" w:styleId="PlainTable4">
    <w:name w:val="Plain Table 4"/>
    <w:basedOn w:val="TableNormal"/>
    <w:uiPriority w:val="44"/>
    <w:rsid w:val="007B32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1Light-Accent5">
    <w:name w:val="List Table 1 Light Accent 5"/>
    <w:basedOn w:val="TableNormal"/>
    <w:uiPriority w:val="46"/>
    <w:rsid w:val="007B321E"/>
    <w:pPr>
      <w:spacing w:after="0" w:line="240" w:lineRule="auto"/>
    </w:pPr>
    <w:tblPr>
      <w:tblStyleRowBandSize w:val="1"/>
      <w:tblStyleColBandSize w:val="1"/>
    </w:tblPr>
    <w:tblStylePr w:type="firstRow">
      <w:rPr>
        <w:b/>
        <w:bCs/>
      </w:rPr>
      <w:tblPr/>
      <w:tcPr>
        <w:tcBorders>
          <w:bottom w:val="single" w:sz="4" w:space="0" w:color="F6A1A1" w:themeColor="accent5" w:themeTint="99"/>
        </w:tcBorders>
      </w:tcPr>
    </w:tblStylePr>
    <w:tblStylePr w:type="lastRow">
      <w:rPr>
        <w:b/>
        <w:bCs/>
      </w:rPr>
      <w:tblPr/>
      <w:tcPr>
        <w:tcBorders>
          <w:top w:val="single" w:sz="4" w:space="0" w:color="F6A1A1" w:themeColor="accent5" w:themeTint="99"/>
        </w:tcBorders>
      </w:tcPr>
    </w:tblStylePr>
    <w:tblStylePr w:type="firstCol">
      <w:rPr>
        <w:b/>
        <w:bCs/>
      </w:rPr>
    </w:tblStylePr>
    <w:tblStylePr w:type="lastCol">
      <w:rPr>
        <w:b/>
        <w:bCs/>
      </w:rPr>
    </w:tblStylePr>
    <w:tblStylePr w:type="band1Vert">
      <w:tblPr/>
      <w:tcPr>
        <w:shd w:val="clear" w:color="auto" w:fill="FCDFDF" w:themeFill="accent5" w:themeFillTint="33"/>
      </w:tcPr>
    </w:tblStylePr>
    <w:tblStylePr w:type="band1Horz">
      <w:tblPr/>
      <w:tcPr>
        <w:shd w:val="clear" w:color="auto" w:fill="FCDFDF" w:themeFill="accent5" w:themeFillTint="33"/>
      </w:tcPr>
    </w:tblStylePr>
  </w:style>
  <w:style w:type="paragraph" w:customStyle="1" w:styleId="Table">
    <w:name w:val="Table"/>
    <w:basedOn w:val="Normal"/>
    <w:link w:val="TableChar"/>
    <w:rsid w:val="007B321E"/>
    <w:pPr>
      <w:spacing w:after="160"/>
    </w:pPr>
    <w:rPr>
      <w:rFonts w:ascii="Arial" w:hAnsi="Arial"/>
    </w:rPr>
  </w:style>
  <w:style w:type="character" w:customStyle="1" w:styleId="TableChar">
    <w:name w:val="Table Char"/>
    <w:basedOn w:val="DefaultParagraphFont"/>
    <w:link w:val="Table"/>
    <w:rsid w:val="007B321E"/>
    <w:rPr>
      <w:rFonts w:ascii="Arial" w:hAnsi="Arial"/>
    </w:rPr>
  </w:style>
  <w:style w:type="table" w:styleId="ListTable2-Accent5">
    <w:name w:val="List Table 2 Accent 5"/>
    <w:basedOn w:val="TableNormal"/>
    <w:uiPriority w:val="47"/>
    <w:rsid w:val="007B321E"/>
    <w:pPr>
      <w:spacing w:after="0" w:line="240" w:lineRule="auto"/>
    </w:pPr>
    <w:tblPr>
      <w:tblStyleRowBandSize w:val="1"/>
      <w:tblStyleColBandSize w:val="1"/>
      <w:tblBorders>
        <w:top w:val="single" w:sz="4" w:space="0" w:color="F6A1A1" w:themeColor="accent5" w:themeTint="99"/>
        <w:bottom w:val="single" w:sz="4" w:space="0" w:color="F6A1A1" w:themeColor="accent5" w:themeTint="99"/>
        <w:insideH w:val="single" w:sz="4" w:space="0" w:color="F6A1A1"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FDF" w:themeFill="accent5" w:themeFillTint="33"/>
      </w:tcPr>
    </w:tblStylePr>
    <w:tblStylePr w:type="band1Horz">
      <w:tblPr/>
      <w:tcPr>
        <w:shd w:val="clear" w:color="auto" w:fill="FCDFDF" w:themeFill="accent5" w:themeFillTint="33"/>
      </w:tcPr>
    </w:tblStylePr>
  </w:style>
  <w:style w:type="paragraph" w:customStyle="1" w:styleId="non-numberedheading30">
    <w:name w:val="non-numbered heading 3"/>
    <w:basedOn w:val="Heading3"/>
    <w:rsid w:val="007B321E"/>
    <w:pPr>
      <w:tabs>
        <w:tab w:val="clear" w:pos="567"/>
        <w:tab w:val="clear" w:pos="709"/>
        <w:tab w:val="clear" w:pos="851"/>
        <w:tab w:val="left" w:pos="0"/>
      </w:tabs>
      <w:ind w:left="431" w:hanging="431"/>
      <w:outlineLvl w:val="9"/>
    </w:pPr>
    <w:rPr>
      <w:rFonts w:ascii="Arial" w:eastAsiaTheme="minorHAnsi" w:hAnsi="Arial" w:cs="Arial"/>
      <w:bCs w:val="0"/>
      <w:color w:val="auto"/>
      <w:sz w:val="36"/>
      <w:szCs w:val="36"/>
    </w:rPr>
  </w:style>
  <w:style w:type="paragraph" w:customStyle="1" w:styleId="msonormal0">
    <w:name w:val="msonormal"/>
    <w:basedOn w:val="Normal"/>
    <w:rsid w:val="007B321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5">
    <w:name w:val="xl65"/>
    <w:basedOn w:val="Normal"/>
    <w:rsid w:val="007B321E"/>
    <w:pPr>
      <w:pBdr>
        <w:top w:val="single" w:sz="4" w:space="0" w:color="8EA9DB"/>
        <w:bottom w:val="single" w:sz="4" w:space="0" w:color="8EA9DB"/>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6">
    <w:name w:val="xl66"/>
    <w:basedOn w:val="Normal"/>
    <w:rsid w:val="007B321E"/>
    <w:pPr>
      <w:pBdr>
        <w:top w:val="single" w:sz="4" w:space="0" w:color="8EA9DB"/>
        <w:bottom w:val="single" w:sz="4" w:space="0" w:color="8EA9DB"/>
      </w:pBdr>
      <w:shd w:val="clear" w:color="D9E1F2" w:fill="D9E1F2"/>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7">
    <w:name w:val="xl67"/>
    <w:basedOn w:val="Normal"/>
    <w:rsid w:val="007B321E"/>
    <w:pPr>
      <w:pBdr>
        <w:top w:val="single" w:sz="4" w:space="0" w:color="8EA9DB"/>
        <w:bottom w:val="single" w:sz="4" w:space="0" w:color="8EA9DB"/>
      </w:pBdr>
      <w:shd w:val="clear" w:color="D9E1F2" w:fill="D9E1F2"/>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8">
    <w:name w:val="xl68"/>
    <w:basedOn w:val="Normal"/>
    <w:rsid w:val="007B321E"/>
    <w:pPr>
      <w:pBdr>
        <w:top w:val="single" w:sz="4" w:space="0" w:color="8EA9DB"/>
        <w:bottom w:val="single" w:sz="4" w:space="0" w:color="8EA9DB"/>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9">
    <w:name w:val="xl69"/>
    <w:basedOn w:val="Normal"/>
    <w:rsid w:val="007B321E"/>
    <w:pPr>
      <w:pBdr>
        <w:top w:val="single" w:sz="4" w:space="0" w:color="8EA9DB"/>
        <w:bottom w:val="single" w:sz="4" w:space="0" w:color="8EA9DB"/>
      </w:pBdr>
      <w:shd w:val="clear" w:color="D9E1F2" w:fill="D9E1F2"/>
      <w:spacing w:before="100" w:beforeAutospacing="1" w:after="100" w:afterAutospacing="1" w:line="240" w:lineRule="auto"/>
    </w:pPr>
    <w:rPr>
      <w:rFonts w:ascii="Times New Roman" w:eastAsia="Times New Roman" w:hAnsi="Times New Roman" w:cs="Times New Roman"/>
      <w:color w:val="9C5700"/>
      <w:sz w:val="24"/>
      <w:szCs w:val="24"/>
      <w:lang w:eastAsia="en-AU"/>
    </w:rPr>
  </w:style>
  <w:style w:type="paragraph" w:customStyle="1" w:styleId="font0">
    <w:name w:val="font0"/>
    <w:basedOn w:val="Normal"/>
    <w:rsid w:val="007B321E"/>
    <w:pPr>
      <w:spacing w:before="100" w:beforeAutospacing="1" w:after="100" w:afterAutospacing="1" w:line="240" w:lineRule="auto"/>
    </w:pPr>
    <w:rPr>
      <w:rFonts w:ascii="Calibri" w:eastAsia="Times New Roman" w:hAnsi="Calibri" w:cs="Calibri"/>
      <w:color w:val="000000"/>
      <w:lang w:eastAsia="en-AU"/>
    </w:rPr>
  </w:style>
  <w:style w:type="paragraph" w:customStyle="1" w:styleId="xl70">
    <w:name w:val="xl70"/>
    <w:basedOn w:val="Normal"/>
    <w:rsid w:val="007B321E"/>
    <w:pPr>
      <w:pBdr>
        <w:top w:val="single" w:sz="4" w:space="0" w:color="8EA9DB"/>
        <w:bottom w:val="single" w:sz="4" w:space="0" w:color="8EA9DB"/>
        <w:right w:val="single" w:sz="4" w:space="0" w:color="8EA9DB"/>
      </w:pBdr>
      <w:shd w:val="clear" w:color="D9E1F2" w:fill="D9E1F2"/>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1">
    <w:name w:val="xl71"/>
    <w:basedOn w:val="Normal"/>
    <w:rsid w:val="007B321E"/>
    <w:pPr>
      <w:pBdr>
        <w:top w:val="single" w:sz="4" w:space="0" w:color="8EA9DB"/>
        <w:bottom w:val="single" w:sz="4" w:space="0" w:color="8EA9DB"/>
      </w:pBdr>
      <w:shd w:val="clear" w:color="D9E1F2" w:fill="D9E1F2"/>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2">
    <w:name w:val="xl72"/>
    <w:basedOn w:val="Normal"/>
    <w:rsid w:val="007B321E"/>
    <w:pPr>
      <w:pBdr>
        <w:top w:val="single" w:sz="4" w:space="0" w:color="8EA9DB"/>
        <w:bottom w:val="single" w:sz="4" w:space="0" w:color="8EA9DB"/>
        <w:right w:val="single" w:sz="4" w:space="0" w:color="8EA9DB"/>
      </w:pBdr>
      <w:shd w:val="clear" w:color="D9E1F2" w:fill="D9E1F2"/>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3">
    <w:name w:val="xl73"/>
    <w:basedOn w:val="Normal"/>
    <w:rsid w:val="007B321E"/>
    <w:pPr>
      <w:pBdr>
        <w:top w:val="single" w:sz="4" w:space="0" w:color="8EA9DB"/>
        <w:bottom w:val="single" w:sz="4" w:space="0" w:color="8EA9DB"/>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4">
    <w:name w:val="xl74"/>
    <w:basedOn w:val="Normal"/>
    <w:rsid w:val="007B321E"/>
    <w:pPr>
      <w:pBdr>
        <w:top w:val="single" w:sz="4" w:space="0" w:color="8EA9DB"/>
        <w:bottom w:val="single" w:sz="4" w:space="0" w:color="8EA9DB"/>
        <w:right w:val="single" w:sz="4" w:space="0" w:color="8EA9DB"/>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5">
    <w:name w:val="xl75"/>
    <w:basedOn w:val="Normal"/>
    <w:rsid w:val="007B321E"/>
    <w:pPr>
      <w:pBdr>
        <w:top w:val="single" w:sz="4" w:space="0" w:color="8EA9DB"/>
        <w:bottom w:val="single" w:sz="4" w:space="0" w:color="8EA9DB"/>
      </w:pBdr>
      <w:spacing w:before="100" w:beforeAutospacing="1" w:after="100" w:afterAutospacing="1" w:line="240" w:lineRule="auto"/>
    </w:pPr>
    <w:rPr>
      <w:rFonts w:ascii="Times New Roman" w:eastAsia="Times New Roman" w:hAnsi="Times New Roman" w:cs="Times New Roman"/>
      <w:color w:val="9C5700"/>
      <w:sz w:val="24"/>
      <w:szCs w:val="24"/>
      <w:lang w:eastAsia="en-AU"/>
    </w:rPr>
  </w:style>
  <w:style w:type="paragraph" w:customStyle="1" w:styleId="xl76">
    <w:name w:val="xl76"/>
    <w:basedOn w:val="Normal"/>
    <w:rsid w:val="007B321E"/>
    <w:pPr>
      <w:pBdr>
        <w:top w:val="single" w:sz="4" w:space="0" w:color="8EA9DB"/>
        <w:bottom w:val="single" w:sz="4" w:space="0" w:color="8EA9DB"/>
      </w:pBdr>
      <w:spacing w:before="100" w:beforeAutospacing="1" w:after="100" w:afterAutospacing="1" w:line="240" w:lineRule="auto"/>
    </w:pPr>
    <w:rPr>
      <w:rFonts w:ascii="Times New Roman" w:eastAsia="Times New Roman" w:hAnsi="Times New Roman" w:cs="Times New Roman"/>
      <w:color w:val="000000"/>
      <w:sz w:val="24"/>
      <w:szCs w:val="24"/>
      <w:lang w:eastAsia="en-AU"/>
    </w:rPr>
  </w:style>
  <w:style w:type="paragraph" w:customStyle="1" w:styleId="xl77">
    <w:name w:val="xl77"/>
    <w:basedOn w:val="Normal"/>
    <w:rsid w:val="007B321E"/>
    <w:pPr>
      <w:pBdr>
        <w:top w:val="single" w:sz="4" w:space="0" w:color="8EA9DB"/>
        <w:bottom w:val="single" w:sz="4" w:space="0" w:color="8EA9DB"/>
      </w:pBdr>
      <w:shd w:val="clear" w:color="D9E1F2" w:fill="D9E1F2"/>
      <w:spacing w:before="100" w:beforeAutospacing="1" w:after="100" w:afterAutospacing="1" w:line="240" w:lineRule="auto"/>
    </w:pPr>
    <w:rPr>
      <w:rFonts w:ascii="Times New Roman" w:eastAsia="Times New Roman" w:hAnsi="Times New Roman" w:cs="Times New Roman"/>
      <w:color w:val="000000"/>
      <w:sz w:val="24"/>
      <w:szCs w:val="24"/>
      <w:lang w:eastAsia="en-AU"/>
    </w:rPr>
  </w:style>
  <w:style w:type="paragraph" w:customStyle="1" w:styleId="xl78">
    <w:name w:val="xl78"/>
    <w:basedOn w:val="Normal"/>
    <w:rsid w:val="007B321E"/>
    <w:pPr>
      <w:pBdr>
        <w:top w:val="single" w:sz="4" w:space="0" w:color="8EA9DB"/>
        <w:bottom w:val="single" w:sz="4" w:space="0" w:color="8EA9DB"/>
        <w:right w:val="single" w:sz="4" w:space="0" w:color="8EA9DB"/>
      </w:pBdr>
      <w:shd w:val="clear" w:color="4472C4" w:fill="4472C4"/>
      <w:spacing w:before="100" w:beforeAutospacing="1" w:after="100" w:afterAutospacing="1" w:line="240" w:lineRule="auto"/>
    </w:pPr>
    <w:rPr>
      <w:rFonts w:ascii="Times New Roman" w:eastAsia="Times New Roman" w:hAnsi="Times New Roman" w:cs="Times New Roman"/>
      <w:b/>
      <w:bCs/>
      <w:color w:val="FFFFFF"/>
      <w:sz w:val="24"/>
      <w:szCs w:val="24"/>
      <w:lang w:eastAsia="en-AU"/>
    </w:rPr>
  </w:style>
  <w:style w:type="table" w:styleId="GridTable1Light-Accent3">
    <w:name w:val="Grid Table 1 Light Accent 3"/>
    <w:basedOn w:val="TableNormal"/>
    <w:uiPriority w:val="46"/>
    <w:rsid w:val="009F72E7"/>
    <w:pPr>
      <w:spacing w:after="0" w:line="240" w:lineRule="auto"/>
    </w:pPr>
    <w:tblPr>
      <w:tblStyleRowBandSize w:val="1"/>
      <w:tblStyleColBandSize w:val="1"/>
      <w:tblBorders>
        <w:top w:val="single" w:sz="4" w:space="0" w:color="A1E4F9" w:themeColor="accent3" w:themeTint="66"/>
        <w:left w:val="single" w:sz="4" w:space="0" w:color="A1E4F9" w:themeColor="accent3" w:themeTint="66"/>
        <w:bottom w:val="single" w:sz="4" w:space="0" w:color="A1E4F9" w:themeColor="accent3" w:themeTint="66"/>
        <w:right w:val="single" w:sz="4" w:space="0" w:color="A1E4F9" w:themeColor="accent3" w:themeTint="66"/>
        <w:insideH w:val="single" w:sz="4" w:space="0" w:color="A1E4F9" w:themeColor="accent3" w:themeTint="66"/>
        <w:insideV w:val="single" w:sz="4" w:space="0" w:color="A1E4F9" w:themeColor="accent3" w:themeTint="66"/>
      </w:tblBorders>
    </w:tblPr>
    <w:tblStylePr w:type="firstRow">
      <w:rPr>
        <w:b/>
        <w:bCs/>
      </w:rPr>
      <w:tblPr/>
      <w:tcPr>
        <w:tcBorders>
          <w:bottom w:val="single" w:sz="12" w:space="0" w:color="72D7F6" w:themeColor="accent3" w:themeTint="99"/>
        </w:tcBorders>
      </w:tcPr>
    </w:tblStylePr>
    <w:tblStylePr w:type="lastRow">
      <w:rPr>
        <w:b/>
        <w:bCs/>
      </w:rPr>
      <w:tblPr/>
      <w:tcPr>
        <w:tcBorders>
          <w:top w:val="double" w:sz="2" w:space="0" w:color="72D7F6" w:themeColor="accent3" w:themeTint="99"/>
        </w:tcBorders>
      </w:tcPr>
    </w:tblStylePr>
    <w:tblStylePr w:type="firstCol">
      <w:rPr>
        <w:b/>
        <w:bCs/>
      </w:rPr>
    </w:tblStylePr>
    <w:tblStylePr w:type="lastCol">
      <w:rPr>
        <w:b/>
        <w:bCs/>
      </w:rPr>
    </w:tblStylePr>
  </w:style>
  <w:style w:type="table" w:styleId="ListTable2-Accent3">
    <w:name w:val="List Table 2 Accent 3"/>
    <w:basedOn w:val="TableNormal"/>
    <w:uiPriority w:val="47"/>
    <w:rsid w:val="0084327B"/>
    <w:pPr>
      <w:spacing w:after="0" w:line="240" w:lineRule="auto"/>
    </w:pPr>
    <w:tblPr>
      <w:tblStyleRowBandSize w:val="1"/>
      <w:tblStyleColBandSize w:val="1"/>
      <w:tblBorders>
        <w:top w:val="single" w:sz="4" w:space="0" w:color="72D7F6" w:themeColor="accent3" w:themeTint="99"/>
        <w:bottom w:val="single" w:sz="4" w:space="0" w:color="72D7F6" w:themeColor="accent3" w:themeTint="99"/>
        <w:insideH w:val="single" w:sz="4" w:space="0" w:color="72D7F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F1FC" w:themeFill="accent3" w:themeFillTint="33"/>
      </w:tcPr>
    </w:tblStylePr>
    <w:tblStylePr w:type="band1Horz">
      <w:tblPr/>
      <w:tcPr>
        <w:shd w:val="clear" w:color="auto" w:fill="D0F1FC" w:themeFill="accent3" w:themeFillTint="33"/>
      </w:tcPr>
    </w:tblStylePr>
  </w:style>
  <w:style w:type="table" w:styleId="ListTable6Colorful-Accent3">
    <w:name w:val="List Table 6 Colorful Accent 3"/>
    <w:basedOn w:val="TableNormal"/>
    <w:uiPriority w:val="51"/>
    <w:rsid w:val="000E3CBF"/>
    <w:pPr>
      <w:spacing w:after="0" w:line="240" w:lineRule="auto"/>
    </w:pPr>
    <w:rPr>
      <w:color w:val="0B8FB7" w:themeColor="accent3" w:themeShade="BF"/>
    </w:rPr>
    <w:tblPr>
      <w:tblStyleRowBandSize w:val="1"/>
      <w:tblStyleColBandSize w:val="1"/>
      <w:tblBorders>
        <w:top w:val="single" w:sz="4" w:space="0" w:color="15BEF0" w:themeColor="accent3"/>
        <w:bottom w:val="single" w:sz="4" w:space="0" w:color="15BEF0" w:themeColor="accent3"/>
      </w:tblBorders>
    </w:tblPr>
    <w:tblStylePr w:type="firstRow">
      <w:rPr>
        <w:b/>
        <w:bCs/>
      </w:rPr>
      <w:tblPr/>
      <w:tcPr>
        <w:tcBorders>
          <w:bottom w:val="single" w:sz="4" w:space="0" w:color="15BEF0" w:themeColor="accent3"/>
        </w:tcBorders>
      </w:tcPr>
    </w:tblStylePr>
    <w:tblStylePr w:type="lastRow">
      <w:rPr>
        <w:b/>
        <w:bCs/>
      </w:rPr>
      <w:tblPr/>
      <w:tcPr>
        <w:tcBorders>
          <w:top w:val="double" w:sz="4" w:space="0" w:color="15BEF0" w:themeColor="accent3"/>
        </w:tcBorders>
      </w:tcPr>
    </w:tblStylePr>
    <w:tblStylePr w:type="firstCol">
      <w:rPr>
        <w:b/>
        <w:bCs/>
      </w:rPr>
    </w:tblStylePr>
    <w:tblStylePr w:type="lastCol">
      <w:rPr>
        <w:b/>
        <w:bCs/>
      </w:rPr>
    </w:tblStylePr>
    <w:tblStylePr w:type="band1Vert">
      <w:tblPr/>
      <w:tcPr>
        <w:shd w:val="clear" w:color="auto" w:fill="D0F1FC" w:themeFill="accent3" w:themeFillTint="33"/>
      </w:tcPr>
    </w:tblStylePr>
    <w:tblStylePr w:type="band1Horz">
      <w:tblPr/>
      <w:tcPr>
        <w:shd w:val="clear" w:color="auto" w:fill="D0F1FC" w:themeFill="accent3" w:themeFillTint="33"/>
      </w:tcPr>
    </w:tblStylePr>
  </w:style>
  <w:style w:type="paragraph" w:customStyle="1" w:styleId="Findings">
    <w:name w:val="Findings"/>
    <w:basedOn w:val="Heading5"/>
    <w:link w:val="FindingsChar"/>
    <w:qFormat/>
    <w:rsid w:val="00124895"/>
    <w:pPr>
      <w:spacing w:before="100" w:beforeAutospacing="1" w:after="0" w:line="240" w:lineRule="auto"/>
      <w:ind w:left="42"/>
    </w:pPr>
  </w:style>
  <w:style w:type="character" w:customStyle="1" w:styleId="FindingsChar">
    <w:name w:val="Findings Char"/>
    <w:basedOn w:val="Heading5Char"/>
    <w:link w:val="Findings"/>
    <w:rsid w:val="00846C02"/>
    <w:rPr>
      <w:rFonts w:eastAsiaTheme="majorEastAsia" w:cstheme="minorHAnsi"/>
      <w:b/>
      <w:sz w:val="24"/>
    </w:rPr>
  </w:style>
  <w:style w:type="character" w:customStyle="1" w:styleId="findhit">
    <w:name w:val="findhit"/>
    <w:basedOn w:val="DefaultParagraphFont"/>
    <w:rsid w:val="00DF67B7"/>
  </w:style>
  <w:style w:type="paragraph" w:customStyle="1" w:styleId="outlineelement">
    <w:name w:val="outlineelement"/>
    <w:basedOn w:val="Normal"/>
    <w:rsid w:val="002357B6"/>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Rec">
    <w:name w:val="Rec"/>
    <w:basedOn w:val="ListParagraph"/>
    <w:link w:val="RecChar"/>
    <w:qFormat/>
    <w:rsid w:val="00B9788D"/>
    <w:pPr>
      <w:spacing w:after="120" w:line="240" w:lineRule="auto"/>
      <w:ind w:hanging="360"/>
      <w:contextualSpacing w:val="0"/>
    </w:pPr>
    <w:rPr>
      <w:rFonts w:eastAsia="Times New Roman"/>
      <w:color w:val="000000" w:themeColor="text1"/>
      <w:kern w:val="2"/>
      <w:lang w:eastAsia="en-AU"/>
      <w14:ligatures w14:val="standardContextual"/>
    </w:rPr>
  </w:style>
  <w:style w:type="character" w:customStyle="1" w:styleId="RecChar">
    <w:name w:val="Rec Char"/>
    <w:basedOn w:val="ListParagraphChar"/>
    <w:link w:val="Rec"/>
    <w:rsid w:val="00B9788D"/>
    <w:rPr>
      <w:rFonts w:eastAsia="Times New Roman"/>
      <w:color w:val="000000" w:themeColor="text1"/>
      <w:kern w:val="2"/>
      <w:lang w:eastAsia="en-AU"/>
      <w14:ligatures w14:val="standardContextual"/>
    </w:rPr>
  </w:style>
  <w:style w:type="character" w:styleId="EndnoteReference">
    <w:name w:val="endnote reference"/>
    <w:basedOn w:val="DefaultParagraphFont"/>
    <w:uiPriority w:val="99"/>
    <w:semiHidden/>
    <w:unhideWhenUsed/>
    <w:rsid w:val="00021DDF"/>
    <w:rPr>
      <w:vertAlign w:val="superscript"/>
    </w:rPr>
  </w:style>
  <w:style w:type="character" w:customStyle="1" w:styleId="cf21">
    <w:name w:val="cf21"/>
    <w:basedOn w:val="DefaultParagraphFont"/>
    <w:rsid w:val="00CB7EE7"/>
    <w:rPr>
      <w:rFonts w:ascii="Segoe UI" w:hAnsi="Segoe UI" w:cs="Segoe UI" w:hint="default"/>
      <w:sz w:val="18"/>
      <w:szCs w:val="18"/>
    </w:rPr>
  </w:style>
  <w:style w:type="character" w:customStyle="1" w:styleId="cf31">
    <w:name w:val="cf31"/>
    <w:basedOn w:val="DefaultParagraphFont"/>
    <w:rsid w:val="00CB7EE7"/>
    <w:rPr>
      <w:rFonts w:ascii="Segoe UI" w:hAnsi="Segoe UI" w:cs="Segoe UI" w:hint="default"/>
      <w:sz w:val="18"/>
      <w:szCs w:val="18"/>
      <w:shd w:val="clear" w:color="auto" w:fill="FFFFFF"/>
    </w:rPr>
  </w:style>
  <w:style w:type="character" w:customStyle="1" w:styleId="authorname">
    <w:name w:val="authorname"/>
    <w:basedOn w:val="DefaultParagraphFont"/>
    <w:rsid w:val="007314D8"/>
  </w:style>
  <w:style w:type="character" w:customStyle="1" w:styleId="separator">
    <w:name w:val="separator"/>
    <w:basedOn w:val="DefaultParagraphFont"/>
    <w:rsid w:val="007314D8"/>
  </w:style>
  <w:style w:type="paragraph" w:customStyle="1" w:styleId="PriorityAction-Heading5">
    <w:name w:val="Priority Action - Heading 5"/>
    <w:basedOn w:val="Heading5"/>
    <w:rsid w:val="00F605B3"/>
    <w:pPr>
      <w:pBdr>
        <w:top w:val="single" w:sz="48" w:space="1" w:color="FFF4ED"/>
        <w:left w:val="single" w:sz="48" w:space="4" w:color="FFF4ED"/>
        <w:bottom w:val="single" w:sz="48" w:space="1" w:color="FFF4ED"/>
        <w:right w:val="single" w:sz="48" w:space="4" w:color="FFF4ED"/>
      </w:pBdr>
      <w:shd w:val="clear" w:color="FCD7A9" w:themeColor="accent6" w:themeTint="66" w:fill="FFF4ED"/>
      <w:spacing w:after="160" w:line="240" w:lineRule="auto"/>
      <w:ind w:left="210" w:right="210"/>
    </w:pPr>
    <w:rPr>
      <w:color w:val="CF531C"/>
      <w:sz w:val="32"/>
    </w:rPr>
  </w:style>
  <w:style w:type="character" w:customStyle="1" w:styleId="Date2">
    <w:name w:val="Date2"/>
    <w:basedOn w:val="DefaultParagraphFont"/>
    <w:rsid w:val="00BB5592"/>
  </w:style>
  <w:style w:type="paragraph" w:customStyle="1" w:styleId="Immediateaction0">
    <w:name w:val="Immediate action"/>
    <w:basedOn w:val="Normal"/>
    <w:qFormat/>
    <w:rsid w:val="00F605B3"/>
    <w:pPr>
      <w:shd w:val="clear" w:color="FCDFDF" w:themeColor="accent5" w:themeTint="33" w:fill="auto"/>
    </w:pPr>
    <w:rPr>
      <w:b/>
      <w:color w:val="CF531C"/>
      <w:sz w:val="28"/>
    </w:rPr>
  </w:style>
  <w:style w:type="paragraph" w:customStyle="1" w:styleId="Spotlight0">
    <w:name w:val="Spotlight"/>
    <w:basedOn w:val="Casestudy"/>
    <w:rsid w:val="00F605B3"/>
    <w:pPr>
      <w:shd w:val="solid" w:color="DAF2EF" w:themeColor="accent4" w:themeTint="33" w:fill="DAF2EF" w:themeFill="accent4" w:themeFillTint="33"/>
      <w:spacing w:before="120"/>
    </w:pPr>
    <w:rPr>
      <w:rFonts w:eastAsiaTheme="minorEastAsia"/>
      <w:bCs/>
      <w:spacing w:val="15"/>
      <w:szCs w:val="24"/>
    </w:rPr>
  </w:style>
  <w:style w:type="paragraph" w:customStyle="1" w:styleId="Spotlight2">
    <w:name w:val="Spotlight 2"/>
    <w:basedOn w:val="Casestudy"/>
    <w:rsid w:val="00F605B3"/>
    <w:pPr>
      <w:shd w:val="solid" w:color="DAF2EF" w:themeColor="accent4" w:themeTint="33" w:fill="DAF2EF" w:themeFill="accent4" w:themeFillTint="33"/>
    </w:pPr>
  </w:style>
  <w:style w:type="character" w:customStyle="1" w:styleId="CasestudyChar">
    <w:name w:val="Case study Char"/>
    <w:basedOn w:val="Heading3Char"/>
    <w:link w:val="Casestudy"/>
    <w:rsid w:val="00F605B3"/>
    <w:rPr>
      <w:rFonts w:ascii="Calibri" w:eastAsiaTheme="majorEastAsia" w:hAnsi="Calibri" w:cstheme="majorBidi"/>
      <w:b w:val="0"/>
      <w:bCs w:val="0"/>
      <w:color w:val="00254A" w:themeColor="text2"/>
      <w:sz w:val="32"/>
      <w:szCs w:val="32"/>
      <w:shd w:val="solid" w:color="D9D9D9" w:themeColor="background1" w:themeShade="D9" w:fill="D9D9D9" w:themeFill="background1" w:themeFillShade="D9"/>
    </w:rPr>
  </w:style>
  <w:style w:type="character" w:customStyle="1" w:styleId="scxw113103143">
    <w:name w:val="scxw113103143"/>
    <w:basedOn w:val="DefaultParagraphFont"/>
    <w:rsid w:val="00F605B3"/>
  </w:style>
  <w:style w:type="character" w:customStyle="1" w:styleId="apple-converted-space">
    <w:name w:val="apple-converted-space"/>
    <w:basedOn w:val="DefaultParagraphFont"/>
    <w:rsid w:val="00F605B3"/>
  </w:style>
  <w:style w:type="character" w:customStyle="1" w:styleId="yellowfind">
    <w:name w:val="yellowfind"/>
    <w:basedOn w:val="DefaultParagraphFont"/>
    <w:rsid w:val="00F605B3"/>
  </w:style>
  <w:style w:type="paragraph" w:customStyle="1" w:styleId="Recsin-chapterL1">
    <w:name w:val="Recs in-chapter L1"/>
    <w:basedOn w:val="List"/>
    <w:qFormat/>
    <w:rsid w:val="00A35D38"/>
    <w:pPr>
      <w:framePr w:wrap="notBeside" w:vAnchor="text" w:hAnchor="text" w:y="1"/>
      <w:numPr>
        <w:numId w:val="5"/>
      </w:numPr>
      <w:spacing w:before="200" w:line="240" w:lineRule="auto"/>
      <w:ind w:right="108"/>
      <w:contextualSpacing w:val="0"/>
    </w:pPr>
  </w:style>
  <w:style w:type="paragraph" w:customStyle="1" w:styleId="Recsin-chapterL2">
    <w:name w:val="Recs in-chapter L2"/>
    <w:basedOn w:val="List2"/>
    <w:qFormat/>
    <w:rsid w:val="00684552"/>
    <w:pPr>
      <w:numPr>
        <w:numId w:val="5"/>
      </w:numPr>
      <w:spacing w:after="100"/>
      <w:ind w:right="108"/>
    </w:pPr>
    <w:rPr>
      <w:bCs/>
    </w:rPr>
  </w:style>
  <w:style w:type="paragraph" w:customStyle="1" w:styleId="Recsin-chapterL3">
    <w:name w:val="Recs in-chapter L3"/>
    <w:basedOn w:val="Recsin-chapterL2"/>
    <w:qFormat/>
    <w:rsid w:val="001720CE"/>
    <w:pPr>
      <w:numPr>
        <w:ilvl w:val="2"/>
      </w:numPr>
      <w:spacing w:after="200"/>
    </w:pPr>
  </w:style>
  <w:style w:type="paragraph" w:customStyle="1" w:styleId="Findingsintextbox-correctmargins">
    <w:name w:val="Findings in text box - correct margins"/>
    <w:basedOn w:val="BodyText"/>
    <w:link w:val="Findingsintextbox-correctmarginsChar"/>
    <w:qFormat/>
    <w:rsid w:val="007402B3"/>
    <w:pPr>
      <w:spacing w:line="240" w:lineRule="auto"/>
      <w:ind w:left="108" w:right="108"/>
    </w:pPr>
  </w:style>
  <w:style w:type="character" w:customStyle="1" w:styleId="Findingsintextbox-correctmarginsChar">
    <w:name w:val="Findings in text box - correct margins Char"/>
    <w:basedOn w:val="BodyTextChar"/>
    <w:link w:val="Findingsintextbox-correctmargins"/>
    <w:rsid w:val="007402B3"/>
    <w:rPr>
      <w:szCs w:val="20"/>
    </w:rPr>
  </w:style>
  <w:style w:type="paragraph" w:customStyle="1" w:styleId="PrinciplesTitle">
    <w:name w:val="Principles Title"/>
    <w:basedOn w:val="Heading4"/>
    <w:qFormat/>
    <w:rsid w:val="005D1E6C"/>
    <w:pPr>
      <w:numPr>
        <w:ilvl w:val="0"/>
        <w:numId w:val="0"/>
      </w:numPr>
    </w:pPr>
  </w:style>
  <w:style w:type="table" w:styleId="ListTable4-Accent3">
    <w:name w:val="List Table 4 Accent 3"/>
    <w:basedOn w:val="TableNormal"/>
    <w:uiPriority w:val="49"/>
    <w:rsid w:val="005D1E6C"/>
    <w:pPr>
      <w:spacing w:after="0" w:line="240" w:lineRule="auto"/>
    </w:pPr>
    <w:tblPr>
      <w:tblStyleRowBandSize w:val="1"/>
      <w:tblStyleColBandSize w:val="1"/>
      <w:tblBorders>
        <w:top w:val="single" w:sz="4" w:space="0" w:color="72D7F6" w:themeColor="accent3" w:themeTint="99"/>
        <w:left w:val="single" w:sz="4" w:space="0" w:color="72D7F6" w:themeColor="accent3" w:themeTint="99"/>
        <w:bottom w:val="single" w:sz="4" w:space="0" w:color="72D7F6" w:themeColor="accent3" w:themeTint="99"/>
        <w:right w:val="single" w:sz="4" w:space="0" w:color="72D7F6" w:themeColor="accent3" w:themeTint="99"/>
        <w:insideH w:val="single" w:sz="4" w:space="0" w:color="72D7F6" w:themeColor="accent3" w:themeTint="99"/>
      </w:tblBorders>
    </w:tblPr>
    <w:tblStylePr w:type="firstRow">
      <w:rPr>
        <w:b/>
        <w:bCs/>
        <w:color w:val="FFFFFF" w:themeColor="background1"/>
      </w:rPr>
      <w:tblPr/>
      <w:tcPr>
        <w:tcBorders>
          <w:top w:val="single" w:sz="4" w:space="0" w:color="15BEF0" w:themeColor="accent3"/>
          <w:left w:val="single" w:sz="4" w:space="0" w:color="15BEF0" w:themeColor="accent3"/>
          <w:bottom w:val="single" w:sz="4" w:space="0" w:color="15BEF0" w:themeColor="accent3"/>
          <w:right w:val="single" w:sz="4" w:space="0" w:color="15BEF0" w:themeColor="accent3"/>
          <w:insideH w:val="nil"/>
        </w:tcBorders>
        <w:shd w:val="clear" w:color="auto" w:fill="15BEF0" w:themeFill="accent3"/>
      </w:tcPr>
    </w:tblStylePr>
    <w:tblStylePr w:type="lastRow">
      <w:rPr>
        <w:b/>
        <w:bCs/>
      </w:rPr>
      <w:tblPr/>
      <w:tcPr>
        <w:tcBorders>
          <w:top w:val="double" w:sz="4" w:space="0" w:color="72D7F6" w:themeColor="accent3" w:themeTint="99"/>
        </w:tcBorders>
      </w:tcPr>
    </w:tblStylePr>
    <w:tblStylePr w:type="firstCol">
      <w:rPr>
        <w:b/>
        <w:bCs/>
      </w:rPr>
    </w:tblStylePr>
    <w:tblStylePr w:type="lastCol">
      <w:rPr>
        <w:b/>
        <w:bCs/>
      </w:rPr>
    </w:tblStylePr>
    <w:tblStylePr w:type="band1Vert">
      <w:tblPr/>
      <w:tcPr>
        <w:shd w:val="clear" w:color="auto" w:fill="D0F1FC" w:themeFill="accent3" w:themeFillTint="33"/>
      </w:tcPr>
    </w:tblStylePr>
    <w:tblStylePr w:type="band1Horz">
      <w:tblPr/>
      <w:tcPr>
        <w:shd w:val="clear" w:color="auto" w:fill="D0F1FC" w:themeFill="accent3" w:themeFillTint="33"/>
      </w:tcPr>
    </w:tblStylePr>
  </w:style>
  <w:style w:type="numbering" w:customStyle="1" w:styleId="NoList1">
    <w:name w:val="No List1"/>
    <w:next w:val="NoList"/>
    <w:uiPriority w:val="99"/>
    <w:semiHidden/>
    <w:unhideWhenUsed/>
    <w:rsid w:val="005D1E6C"/>
  </w:style>
  <w:style w:type="paragraph" w:customStyle="1" w:styleId="xl64">
    <w:name w:val="xl64"/>
    <w:basedOn w:val="Normal"/>
    <w:rsid w:val="005D1E6C"/>
    <w:pPr>
      <w:pBdr>
        <w:top w:val="single" w:sz="4" w:space="0" w:color="72D7F6"/>
        <w:left w:val="single" w:sz="4" w:space="0" w:color="000000"/>
        <w:bottom w:val="single" w:sz="4" w:space="0" w:color="72D7F6"/>
      </w:pBdr>
      <w:spacing w:before="100" w:beforeAutospacing="1" w:after="100" w:afterAutospacing="1" w:line="240" w:lineRule="auto"/>
    </w:pPr>
    <w:rPr>
      <w:rFonts w:ascii="Calibri" w:eastAsia="Times New Roman" w:hAnsi="Calibri" w:cs="Calibri"/>
      <w:b/>
      <w:bCs/>
      <w:sz w:val="24"/>
      <w:szCs w:val="24"/>
      <w:lang w:eastAsia="en-AU"/>
    </w:rPr>
  </w:style>
  <w:style w:type="paragraph" w:customStyle="1" w:styleId="Boxtitlessubheadings">
    <w:name w:val="Box titles/subheadings"/>
    <w:basedOn w:val="Normal"/>
    <w:link w:val="BoxtitlessubheadingsChar"/>
    <w:qFormat/>
    <w:rsid w:val="00135551"/>
    <w:pPr>
      <w:keepNext/>
      <w:keepLines/>
      <w:spacing w:before="120" w:after="120" w:line="240" w:lineRule="auto"/>
      <w:ind w:left="108" w:right="108"/>
    </w:pPr>
    <w:rPr>
      <w:rFonts w:ascii="Calibri" w:eastAsia="Yu Gothic Light" w:hAnsi="Calibri" w:cs="Calibri"/>
      <w:b/>
      <w:sz w:val="24"/>
    </w:rPr>
  </w:style>
  <w:style w:type="character" w:customStyle="1" w:styleId="BoxtitlessubheadingsChar">
    <w:name w:val="Box titles/subheadings Char"/>
    <w:basedOn w:val="DefaultParagraphFont"/>
    <w:link w:val="Boxtitlessubheadings"/>
    <w:rsid w:val="00C95DCC"/>
    <w:rPr>
      <w:rFonts w:ascii="Calibri" w:eastAsia="Yu Gothic Light" w:hAnsi="Calibri" w:cs="Calibri"/>
      <w:b/>
      <w:sz w:val="24"/>
    </w:rPr>
  </w:style>
  <w:style w:type="paragraph" w:customStyle="1" w:styleId="Boxtext0">
    <w:name w:val="Box text"/>
    <w:basedOn w:val="Normal"/>
    <w:link w:val="BoxtextChar0"/>
    <w:qFormat/>
    <w:rsid w:val="008C67CA"/>
    <w:pPr>
      <w:keepNext/>
      <w:keepLines/>
      <w:spacing w:before="200"/>
      <w:ind w:left="108" w:right="108"/>
      <w:outlineLvl w:val="4"/>
    </w:pPr>
  </w:style>
  <w:style w:type="character" w:customStyle="1" w:styleId="BoxtextChar0">
    <w:name w:val="Box text Char"/>
    <w:basedOn w:val="BodyTextChar"/>
    <w:link w:val="Boxtext0"/>
    <w:rsid w:val="00E526B5"/>
  </w:style>
  <w:style w:type="character" w:customStyle="1" w:styleId="field">
    <w:name w:val="field"/>
    <w:basedOn w:val="DefaultParagraphFont"/>
    <w:rsid w:val="00EB0715"/>
  </w:style>
  <w:style w:type="paragraph" w:customStyle="1" w:styleId="Conclusions">
    <w:name w:val="Conclusions"/>
    <w:basedOn w:val="BodyText"/>
    <w:link w:val="ConclusionsChar"/>
    <w:qFormat/>
    <w:rsid w:val="00E176A7"/>
    <w:rPr>
      <w:b/>
      <w:color w:val="00254A"/>
      <w:sz w:val="32"/>
    </w:rPr>
  </w:style>
  <w:style w:type="character" w:customStyle="1" w:styleId="ConclusionsChar">
    <w:name w:val="Conclusions Char"/>
    <w:basedOn w:val="BodyTextChar"/>
    <w:link w:val="Conclusions"/>
    <w:rsid w:val="00E176A7"/>
    <w:rPr>
      <w:b/>
      <w:color w:val="00254A"/>
      <w:sz w:val="32"/>
      <w:szCs w:val="20"/>
    </w:rPr>
  </w:style>
  <w:style w:type="paragraph" w:styleId="TableofFigures">
    <w:name w:val="table of figures"/>
    <w:basedOn w:val="Normal"/>
    <w:next w:val="Normal"/>
    <w:uiPriority w:val="99"/>
    <w:unhideWhenUsed/>
    <w:rsid w:val="0087622C"/>
    <w:pPr>
      <w:spacing w:after="0"/>
    </w:pPr>
  </w:style>
  <w:style w:type="table" w:styleId="ListTable1Light-Accent3">
    <w:name w:val="List Table 1 Light Accent 3"/>
    <w:basedOn w:val="TableNormal"/>
    <w:uiPriority w:val="46"/>
    <w:rsid w:val="000F5820"/>
    <w:pPr>
      <w:spacing w:after="0" w:line="240" w:lineRule="auto"/>
    </w:pPr>
    <w:tblPr>
      <w:tblStyleRowBandSize w:val="1"/>
      <w:tblStyleColBandSize w:val="1"/>
    </w:tblPr>
    <w:tblStylePr w:type="firstRow">
      <w:rPr>
        <w:b/>
        <w:bCs/>
      </w:rPr>
      <w:tblPr/>
      <w:tcPr>
        <w:tcBorders>
          <w:bottom w:val="single" w:sz="4" w:space="0" w:color="72D7F6" w:themeColor="accent3" w:themeTint="99"/>
        </w:tcBorders>
      </w:tcPr>
    </w:tblStylePr>
    <w:tblStylePr w:type="lastRow">
      <w:rPr>
        <w:b/>
        <w:bCs/>
      </w:rPr>
      <w:tblPr/>
      <w:tcPr>
        <w:tcBorders>
          <w:top w:val="single" w:sz="4" w:space="0" w:color="72D7F6" w:themeColor="accent3" w:themeTint="99"/>
        </w:tcBorders>
      </w:tcPr>
    </w:tblStylePr>
    <w:tblStylePr w:type="firstCol">
      <w:rPr>
        <w:b/>
        <w:bCs/>
      </w:rPr>
    </w:tblStylePr>
    <w:tblStylePr w:type="lastCol">
      <w:rPr>
        <w:b/>
        <w:bCs/>
      </w:rPr>
    </w:tblStylePr>
    <w:tblStylePr w:type="band1Vert">
      <w:tblPr/>
      <w:tcPr>
        <w:shd w:val="clear" w:color="auto" w:fill="D0F1FC" w:themeFill="accent3" w:themeFillTint="33"/>
      </w:tcPr>
    </w:tblStylePr>
    <w:tblStylePr w:type="band1Horz">
      <w:tblPr/>
      <w:tcPr>
        <w:shd w:val="clear" w:color="auto" w:fill="D0F1FC" w:themeFill="accent3" w:themeFillTint="33"/>
      </w:tcPr>
    </w:tblStylePr>
  </w:style>
  <w:style w:type="table" w:styleId="ListTable1Light-Accent4">
    <w:name w:val="List Table 1 Light Accent 4"/>
    <w:basedOn w:val="TableNormal"/>
    <w:uiPriority w:val="46"/>
    <w:rsid w:val="00201F69"/>
    <w:pPr>
      <w:spacing w:after="0" w:line="240" w:lineRule="auto"/>
    </w:pPr>
    <w:tblPr>
      <w:tblStyleRowBandSize w:val="1"/>
      <w:tblStyleColBandSize w:val="1"/>
    </w:tblPr>
    <w:tblStylePr w:type="firstRow">
      <w:rPr>
        <w:b/>
        <w:bCs/>
      </w:rPr>
      <w:tblPr/>
      <w:tcPr>
        <w:tcBorders>
          <w:bottom w:val="single" w:sz="4" w:space="0" w:color="90D8CF" w:themeColor="accent4" w:themeTint="99"/>
        </w:tcBorders>
      </w:tcPr>
    </w:tblStylePr>
    <w:tblStylePr w:type="lastRow">
      <w:rPr>
        <w:b/>
        <w:bCs/>
      </w:rPr>
      <w:tblPr/>
      <w:tcPr>
        <w:tcBorders>
          <w:top w:val="single" w:sz="4" w:space="0" w:color="90D8CF" w:themeColor="accent4" w:themeTint="99"/>
        </w:tcBorders>
      </w:tcPr>
    </w:tblStylePr>
    <w:tblStylePr w:type="firstCol">
      <w:rPr>
        <w:b/>
        <w:bCs/>
      </w:rPr>
    </w:tblStylePr>
    <w:tblStylePr w:type="lastCol">
      <w:rPr>
        <w:b/>
        <w:bCs/>
      </w:rPr>
    </w:tblStylePr>
    <w:tblStylePr w:type="band1Vert">
      <w:tblPr/>
      <w:tcPr>
        <w:shd w:val="clear" w:color="auto" w:fill="DAF2EF" w:themeFill="accent4" w:themeFillTint="33"/>
      </w:tcPr>
    </w:tblStylePr>
    <w:tblStylePr w:type="band1Horz">
      <w:tblPr/>
      <w:tcPr>
        <w:shd w:val="clear" w:color="auto" w:fill="DAF2EF" w:themeFill="accent4" w:themeFillTint="33"/>
      </w:tcPr>
    </w:tblStylePr>
  </w:style>
  <w:style w:type="table" w:styleId="ListTable2-Accent1">
    <w:name w:val="List Table 2 Accent 1"/>
    <w:basedOn w:val="TableNormal"/>
    <w:uiPriority w:val="47"/>
    <w:rsid w:val="00201F69"/>
    <w:pPr>
      <w:spacing w:after="0" w:line="240" w:lineRule="auto"/>
    </w:pPr>
    <w:tblPr>
      <w:tblStyleRowBandSize w:val="1"/>
      <w:tblStyleColBandSize w:val="1"/>
      <w:tblBorders>
        <w:top w:val="single" w:sz="4" w:space="0" w:color="28E2FF" w:themeColor="accent1" w:themeTint="99"/>
        <w:bottom w:val="single" w:sz="4" w:space="0" w:color="28E2FF" w:themeColor="accent1" w:themeTint="99"/>
        <w:insideH w:val="single" w:sz="4" w:space="0" w:color="28E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F5FF" w:themeFill="accent1" w:themeFillTint="33"/>
      </w:tcPr>
    </w:tblStylePr>
    <w:tblStylePr w:type="band1Horz">
      <w:tblPr/>
      <w:tcPr>
        <w:shd w:val="clear" w:color="auto" w:fill="B7F5FF" w:themeFill="accent1" w:themeFillTint="33"/>
      </w:tcPr>
    </w:tblStylePr>
  </w:style>
  <w:style w:type="table" w:styleId="GridTable3-Accent3">
    <w:name w:val="Grid Table 3 Accent 3"/>
    <w:basedOn w:val="TableNormal"/>
    <w:uiPriority w:val="48"/>
    <w:rsid w:val="00073EC0"/>
    <w:pPr>
      <w:spacing w:after="0" w:line="240" w:lineRule="auto"/>
    </w:pPr>
    <w:tblPr>
      <w:tblStyleRowBandSize w:val="1"/>
      <w:tblStyleColBandSize w:val="1"/>
      <w:tblBorders>
        <w:top w:val="single" w:sz="4" w:space="0" w:color="72D7F6" w:themeColor="accent3" w:themeTint="99"/>
        <w:left w:val="single" w:sz="4" w:space="0" w:color="72D7F6" w:themeColor="accent3" w:themeTint="99"/>
        <w:bottom w:val="single" w:sz="4" w:space="0" w:color="72D7F6" w:themeColor="accent3" w:themeTint="99"/>
        <w:right w:val="single" w:sz="4" w:space="0" w:color="72D7F6" w:themeColor="accent3" w:themeTint="99"/>
        <w:insideH w:val="single" w:sz="4" w:space="0" w:color="72D7F6" w:themeColor="accent3" w:themeTint="99"/>
        <w:insideV w:val="single" w:sz="4" w:space="0" w:color="72D7F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F1FC" w:themeFill="accent3" w:themeFillTint="33"/>
      </w:tcPr>
    </w:tblStylePr>
    <w:tblStylePr w:type="band1Horz">
      <w:tblPr/>
      <w:tcPr>
        <w:shd w:val="clear" w:color="auto" w:fill="D0F1FC" w:themeFill="accent3" w:themeFillTint="33"/>
      </w:tcPr>
    </w:tblStylePr>
    <w:tblStylePr w:type="neCell">
      <w:tblPr/>
      <w:tcPr>
        <w:tcBorders>
          <w:bottom w:val="single" w:sz="4" w:space="0" w:color="72D7F6" w:themeColor="accent3" w:themeTint="99"/>
        </w:tcBorders>
      </w:tcPr>
    </w:tblStylePr>
    <w:tblStylePr w:type="nwCell">
      <w:tblPr/>
      <w:tcPr>
        <w:tcBorders>
          <w:bottom w:val="single" w:sz="4" w:space="0" w:color="72D7F6" w:themeColor="accent3" w:themeTint="99"/>
        </w:tcBorders>
      </w:tcPr>
    </w:tblStylePr>
    <w:tblStylePr w:type="seCell">
      <w:tblPr/>
      <w:tcPr>
        <w:tcBorders>
          <w:top w:val="single" w:sz="4" w:space="0" w:color="72D7F6" w:themeColor="accent3" w:themeTint="99"/>
        </w:tcBorders>
      </w:tcPr>
    </w:tblStylePr>
    <w:tblStylePr w:type="swCell">
      <w:tblPr/>
      <w:tcPr>
        <w:tcBorders>
          <w:top w:val="single" w:sz="4" w:space="0" w:color="72D7F6" w:themeColor="accent3" w:themeTint="99"/>
        </w:tcBorders>
      </w:tcPr>
    </w:tblStylePr>
  </w:style>
  <w:style w:type="table" w:styleId="GridTable2-Accent3">
    <w:name w:val="Grid Table 2 Accent 3"/>
    <w:basedOn w:val="TableNormal"/>
    <w:uiPriority w:val="47"/>
    <w:rsid w:val="00BE4DE3"/>
    <w:pPr>
      <w:spacing w:after="0" w:line="240" w:lineRule="auto"/>
    </w:pPr>
    <w:tblPr>
      <w:tblStyleRowBandSize w:val="1"/>
      <w:tblStyleColBandSize w:val="1"/>
      <w:tblBorders>
        <w:top w:val="single" w:sz="2" w:space="0" w:color="72D7F6" w:themeColor="accent3" w:themeTint="99"/>
        <w:bottom w:val="single" w:sz="2" w:space="0" w:color="72D7F6" w:themeColor="accent3" w:themeTint="99"/>
        <w:insideH w:val="single" w:sz="2" w:space="0" w:color="72D7F6" w:themeColor="accent3" w:themeTint="99"/>
        <w:insideV w:val="single" w:sz="2" w:space="0" w:color="72D7F6" w:themeColor="accent3" w:themeTint="99"/>
      </w:tblBorders>
    </w:tblPr>
    <w:tblStylePr w:type="firstRow">
      <w:rPr>
        <w:b/>
        <w:bCs/>
      </w:rPr>
      <w:tblPr/>
      <w:tcPr>
        <w:tcBorders>
          <w:top w:val="nil"/>
          <w:bottom w:val="single" w:sz="12" w:space="0" w:color="72D7F6" w:themeColor="accent3" w:themeTint="99"/>
          <w:insideH w:val="nil"/>
          <w:insideV w:val="nil"/>
        </w:tcBorders>
        <w:shd w:val="clear" w:color="auto" w:fill="FFFFFF" w:themeFill="background1"/>
      </w:tcPr>
    </w:tblStylePr>
    <w:tblStylePr w:type="lastRow">
      <w:rPr>
        <w:b/>
        <w:bCs/>
      </w:rPr>
      <w:tblPr/>
      <w:tcPr>
        <w:tcBorders>
          <w:top w:val="double" w:sz="2" w:space="0" w:color="72D7F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F1FC" w:themeFill="accent3" w:themeFillTint="33"/>
      </w:tcPr>
    </w:tblStylePr>
    <w:tblStylePr w:type="band1Horz">
      <w:tblPr/>
      <w:tcPr>
        <w:shd w:val="clear" w:color="auto" w:fill="D0F1FC" w:themeFill="accent3" w:themeFillTint="33"/>
      </w:tcPr>
    </w:tblStylePr>
  </w:style>
  <w:style w:type="table" w:customStyle="1" w:styleId="GridTable3-Accent31">
    <w:name w:val="Grid Table 3 - Accent 31"/>
    <w:basedOn w:val="TableNormal"/>
    <w:next w:val="GridTable3-Accent3"/>
    <w:uiPriority w:val="48"/>
    <w:rsid w:val="00A158D5"/>
    <w:pPr>
      <w:spacing w:after="0" w:line="240" w:lineRule="auto"/>
    </w:pPr>
    <w:tblPr>
      <w:tblStyleRowBandSize w:val="1"/>
      <w:tblStyleColBandSize w:val="1"/>
      <w:tblBorders>
        <w:top w:val="single" w:sz="4" w:space="0" w:color="72D7F6"/>
        <w:left w:val="single" w:sz="4" w:space="0" w:color="72D7F6"/>
        <w:bottom w:val="single" w:sz="4" w:space="0" w:color="72D7F6"/>
        <w:right w:val="single" w:sz="4" w:space="0" w:color="72D7F6"/>
        <w:insideH w:val="single" w:sz="4" w:space="0" w:color="72D7F6"/>
        <w:insideV w:val="single" w:sz="4" w:space="0" w:color="72D7F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0F1FC"/>
      </w:tcPr>
    </w:tblStylePr>
    <w:tblStylePr w:type="band1Horz">
      <w:tblPr/>
      <w:tcPr>
        <w:shd w:val="clear" w:color="auto" w:fill="D0F1FC"/>
      </w:tcPr>
    </w:tblStylePr>
    <w:tblStylePr w:type="neCell">
      <w:tblPr/>
      <w:tcPr>
        <w:tcBorders>
          <w:bottom w:val="single" w:sz="4" w:space="0" w:color="72D7F6"/>
        </w:tcBorders>
      </w:tcPr>
    </w:tblStylePr>
    <w:tblStylePr w:type="nwCell">
      <w:tblPr/>
      <w:tcPr>
        <w:tcBorders>
          <w:bottom w:val="single" w:sz="4" w:space="0" w:color="72D7F6"/>
        </w:tcBorders>
      </w:tcPr>
    </w:tblStylePr>
    <w:tblStylePr w:type="seCell">
      <w:tblPr/>
      <w:tcPr>
        <w:tcBorders>
          <w:top w:val="single" w:sz="4" w:space="0" w:color="72D7F6"/>
        </w:tcBorders>
      </w:tcPr>
    </w:tblStylePr>
    <w:tblStylePr w:type="swCell">
      <w:tblPr/>
      <w:tcPr>
        <w:tcBorders>
          <w:top w:val="single" w:sz="4" w:space="0" w:color="72D7F6"/>
        </w:tcBorders>
      </w:tcPr>
    </w:tblStylePr>
  </w:style>
  <w:style w:type="paragraph" w:customStyle="1" w:styleId="xmsobodytext">
    <w:name w:val="x_msobodytext"/>
    <w:basedOn w:val="Normal"/>
    <w:rsid w:val="00AA439B"/>
    <w:pPr>
      <w:spacing w:before="120" w:after="120" w:line="280" w:lineRule="atLeast"/>
    </w:pPr>
    <w:rPr>
      <w:rFonts w:ascii="Calibri" w:hAnsi="Calibri" w:cs="Calibri"/>
      <w:lang w:eastAsia="en-AU"/>
    </w:rPr>
  </w:style>
  <w:style w:type="character" w:customStyle="1" w:styleId="xmsofootnotereference">
    <w:name w:val="x_msofootnotereference"/>
    <w:basedOn w:val="DefaultParagraphFont"/>
    <w:rsid w:val="00AA439B"/>
    <w:rPr>
      <w:vertAlign w:val="superscript"/>
    </w:rPr>
  </w:style>
  <w:style w:type="character" w:customStyle="1" w:styleId="xnormaltextrun">
    <w:name w:val="x_normaltextrun"/>
    <w:basedOn w:val="DefaultParagraphFont"/>
    <w:rsid w:val="009B11FB"/>
  </w:style>
  <w:style w:type="paragraph" w:customStyle="1" w:styleId="font5">
    <w:name w:val="font5"/>
    <w:basedOn w:val="Normal"/>
    <w:rsid w:val="00681560"/>
    <w:pPr>
      <w:spacing w:before="100" w:beforeAutospacing="1" w:after="100" w:afterAutospacing="1" w:line="240" w:lineRule="auto"/>
    </w:pPr>
    <w:rPr>
      <w:rFonts w:ascii="Segoe UI" w:eastAsia="Times New Roman" w:hAnsi="Segoe UI" w:cs="Segoe UI"/>
      <w:color w:val="000000"/>
      <w:sz w:val="20"/>
      <w:szCs w:val="20"/>
      <w:lang w:eastAsia="en-AU"/>
    </w:rPr>
  </w:style>
  <w:style w:type="paragraph" w:customStyle="1" w:styleId="font6">
    <w:name w:val="font6"/>
    <w:basedOn w:val="Normal"/>
    <w:rsid w:val="00681560"/>
    <w:pPr>
      <w:spacing w:before="100" w:beforeAutospacing="1" w:after="100" w:afterAutospacing="1" w:line="240" w:lineRule="auto"/>
    </w:pPr>
    <w:rPr>
      <w:rFonts w:ascii="Calibri" w:eastAsia="Times New Roman" w:hAnsi="Calibri" w:cs="Calibri"/>
      <w:color w:val="000000"/>
      <w:sz w:val="20"/>
      <w:szCs w:val="20"/>
      <w:lang w:eastAsia="en-AU"/>
    </w:rPr>
  </w:style>
  <w:style w:type="paragraph" w:customStyle="1" w:styleId="font7">
    <w:name w:val="font7"/>
    <w:basedOn w:val="Normal"/>
    <w:rsid w:val="00681560"/>
    <w:pPr>
      <w:spacing w:before="100" w:beforeAutospacing="1" w:after="100" w:afterAutospacing="1" w:line="240" w:lineRule="auto"/>
    </w:pPr>
    <w:rPr>
      <w:rFonts w:ascii="Calibri" w:eastAsia="Times New Roman" w:hAnsi="Calibri" w:cs="Calibri"/>
      <w:i/>
      <w:iCs/>
      <w:color w:val="000000"/>
      <w:lang w:eastAsia="en-AU"/>
    </w:rPr>
  </w:style>
  <w:style w:type="paragraph" w:customStyle="1" w:styleId="font8">
    <w:name w:val="font8"/>
    <w:basedOn w:val="Normal"/>
    <w:rsid w:val="00681560"/>
    <w:pPr>
      <w:spacing w:before="100" w:beforeAutospacing="1" w:after="100" w:afterAutospacing="1" w:line="240" w:lineRule="auto"/>
    </w:pPr>
    <w:rPr>
      <w:rFonts w:ascii="Calibri" w:eastAsia="Times New Roman" w:hAnsi="Calibri" w:cs="Calibri"/>
      <w:i/>
      <w:iCs/>
      <w:color w:val="000000"/>
      <w:sz w:val="20"/>
      <w:szCs w:val="20"/>
      <w:lang w:eastAsia="en-AU"/>
    </w:rPr>
  </w:style>
  <w:style w:type="paragraph" w:customStyle="1" w:styleId="font9">
    <w:name w:val="font9"/>
    <w:basedOn w:val="Normal"/>
    <w:rsid w:val="00681560"/>
    <w:pPr>
      <w:spacing w:before="100" w:beforeAutospacing="1" w:after="100" w:afterAutospacing="1" w:line="240" w:lineRule="auto"/>
    </w:pPr>
    <w:rPr>
      <w:rFonts w:ascii="Calibri" w:eastAsia="Times New Roman" w:hAnsi="Calibri" w:cs="Calibri"/>
      <w:color w:val="000000"/>
      <w:sz w:val="20"/>
      <w:szCs w:val="20"/>
      <w:lang w:eastAsia="en-AU"/>
    </w:rPr>
  </w:style>
  <w:style w:type="paragraph" w:customStyle="1" w:styleId="font10">
    <w:name w:val="font10"/>
    <w:basedOn w:val="Normal"/>
    <w:rsid w:val="00681560"/>
    <w:pPr>
      <w:spacing w:before="100" w:beforeAutospacing="1" w:after="100" w:afterAutospacing="1" w:line="240" w:lineRule="auto"/>
    </w:pPr>
    <w:rPr>
      <w:rFonts w:ascii="Calibri" w:eastAsia="Times New Roman" w:hAnsi="Calibri" w:cs="Calibri"/>
      <w:i/>
      <w:iCs/>
      <w:color w:val="000000"/>
      <w:sz w:val="20"/>
      <w:szCs w:val="20"/>
      <w:lang w:eastAsia="en-AU"/>
    </w:rPr>
  </w:style>
  <w:style w:type="paragraph" w:customStyle="1" w:styleId="font11">
    <w:name w:val="font11"/>
    <w:basedOn w:val="Normal"/>
    <w:rsid w:val="00681560"/>
    <w:pPr>
      <w:spacing w:before="100" w:beforeAutospacing="1" w:after="100" w:afterAutospacing="1" w:line="240" w:lineRule="auto"/>
    </w:pPr>
    <w:rPr>
      <w:rFonts w:ascii="Calibri" w:eastAsia="Times New Roman" w:hAnsi="Calibri" w:cs="Calibri"/>
      <w:color w:val="297BAF"/>
      <w:sz w:val="20"/>
      <w:szCs w:val="20"/>
      <w:lang w:eastAsia="en-AU"/>
    </w:rPr>
  </w:style>
  <w:style w:type="paragraph" w:customStyle="1" w:styleId="font12">
    <w:name w:val="font12"/>
    <w:basedOn w:val="Normal"/>
    <w:rsid w:val="00681560"/>
    <w:pPr>
      <w:spacing w:before="100" w:beforeAutospacing="1" w:after="100" w:afterAutospacing="1" w:line="240" w:lineRule="auto"/>
    </w:pPr>
    <w:rPr>
      <w:rFonts w:ascii="Calibri" w:eastAsia="Times New Roman" w:hAnsi="Calibri" w:cs="Calibri"/>
      <w:color w:val="297BAF"/>
      <w:sz w:val="20"/>
      <w:szCs w:val="20"/>
      <w:u w:val="single"/>
      <w:lang w:eastAsia="en-AU"/>
    </w:rPr>
  </w:style>
  <w:style w:type="paragraph" w:customStyle="1" w:styleId="font13">
    <w:name w:val="font13"/>
    <w:basedOn w:val="Normal"/>
    <w:rsid w:val="00681560"/>
    <w:pPr>
      <w:spacing w:before="100" w:beforeAutospacing="1" w:after="100" w:afterAutospacing="1" w:line="240" w:lineRule="auto"/>
    </w:pPr>
    <w:rPr>
      <w:rFonts w:ascii="Calibri" w:eastAsia="Times New Roman" w:hAnsi="Calibri" w:cs="Calibri"/>
      <w:color w:val="040C28"/>
      <w:sz w:val="20"/>
      <w:szCs w:val="20"/>
      <w:lang w:eastAsia="en-AU"/>
    </w:rPr>
  </w:style>
  <w:style w:type="paragraph" w:customStyle="1" w:styleId="font14">
    <w:name w:val="font14"/>
    <w:basedOn w:val="Normal"/>
    <w:rsid w:val="00681560"/>
    <w:pPr>
      <w:spacing w:before="100" w:beforeAutospacing="1" w:after="100" w:afterAutospacing="1" w:line="240" w:lineRule="auto"/>
    </w:pPr>
    <w:rPr>
      <w:rFonts w:ascii="Calibri" w:eastAsia="Times New Roman" w:hAnsi="Calibri" w:cs="Calibri"/>
      <w:color w:val="202124"/>
      <w:sz w:val="20"/>
      <w:szCs w:val="20"/>
      <w:lang w:eastAsia="en-AU"/>
    </w:rPr>
  </w:style>
  <w:style w:type="paragraph" w:customStyle="1" w:styleId="font15">
    <w:name w:val="font15"/>
    <w:basedOn w:val="Normal"/>
    <w:rsid w:val="00681560"/>
    <w:pPr>
      <w:spacing w:before="100" w:beforeAutospacing="1" w:after="100" w:afterAutospacing="1" w:line="240" w:lineRule="auto"/>
    </w:pPr>
    <w:rPr>
      <w:rFonts w:ascii="Calibri" w:eastAsia="Times New Roman" w:hAnsi="Calibri" w:cs="Calibri"/>
      <w:i/>
      <w:iCs/>
      <w:color w:val="040C28"/>
      <w:sz w:val="20"/>
      <w:szCs w:val="20"/>
      <w:lang w:eastAsia="en-AU"/>
    </w:rPr>
  </w:style>
  <w:style w:type="paragraph" w:customStyle="1" w:styleId="font16">
    <w:name w:val="font16"/>
    <w:basedOn w:val="Normal"/>
    <w:rsid w:val="00681560"/>
    <w:pPr>
      <w:spacing w:before="100" w:beforeAutospacing="1" w:after="100" w:afterAutospacing="1" w:line="240" w:lineRule="auto"/>
    </w:pPr>
    <w:rPr>
      <w:rFonts w:ascii="Calibri" w:eastAsia="Times New Roman" w:hAnsi="Calibri" w:cs="Calibri"/>
      <w:color w:val="297BAF"/>
      <w:u w:val="single"/>
      <w:lang w:eastAsia="en-AU"/>
    </w:rPr>
  </w:style>
  <w:style w:type="paragraph" w:customStyle="1" w:styleId="font17">
    <w:name w:val="font17"/>
    <w:basedOn w:val="Normal"/>
    <w:rsid w:val="00681560"/>
    <w:pPr>
      <w:spacing w:before="100" w:beforeAutospacing="1" w:after="100" w:afterAutospacing="1" w:line="240" w:lineRule="auto"/>
    </w:pPr>
    <w:rPr>
      <w:rFonts w:ascii="Calibri" w:eastAsia="Times New Roman" w:hAnsi="Calibri" w:cs="Calibri"/>
      <w:color w:val="000000"/>
      <w:lang w:eastAsia="en-AU"/>
    </w:rPr>
  </w:style>
  <w:style w:type="paragraph" w:customStyle="1" w:styleId="font18">
    <w:name w:val="font18"/>
    <w:basedOn w:val="Normal"/>
    <w:rsid w:val="00681560"/>
    <w:pPr>
      <w:spacing w:before="100" w:beforeAutospacing="1" w:after="100" w:afterAutospacing="1" w:line="240" w:lineRule="auto"/>
    </w:pPr>
    <w:rPr>
      <w:rFonts w:ascii="Calibri" w:eastAsia="Times New Roman" w:hAnsi="Calibri" w:cs="Calibri"/>
      <w:i/>
      <w:iCs/>
      <w:color w:val="000000"/>
      <w:lang w:eastAsia="en-AU"/>
    </w:rPr>
  </w:style>
  <w:style w:type="paragraph" w:customStyle="1" w:styleId="font19">
    <w:name w:val="font19"/>
    <w:basedOn w:val="Normal"/>
    <w:rsid w:val="00681560"/>
    <w:pPr>
      <w:spacing w:before="100" w:beforeAutospacing="1" w:after="100" w:afterAutospacing="1" w:line="240" w:lineRule="auto"/>
    </w:pPr>
    <w:rPr>
      <w:rFonts w:ascii="Calibri" w:eastAsia="Times New Roman" w:hAnsi="Calibri" w:cs="Calibri"/>
      <w:i/>
      <w:iCs/>
      <w:color w:val="297BAF"/>
      <w:sz w:val="20"/>
      <w:szCs w:val="20"/>
      <w:lang w:eastAsia="en-AU"/>
    </w:rPr>
  </w:style>
  <w:style w:type="paragraph" w:customStyle="1" w:styleId="font20">
    <w:name w:val="font20"/>
    <w:basedOn w:val="Normal"/>
    <w:rsid w:val="00681560"/>
    <w:pPr>
      <w:spacing w:before="100" w:beforeAutospacing="1" w:after="100" w:afterAutospacing="1" w:line="240" w:lineRule="auto"/>
    </w:pPr>
    <w:rPr>
      <w:rFonts w:ascii="Calibri" w:eastAsia="Times New Roman" w:hAnsi="Calibri" w:cs="Calibri"/>
      <w:color w:val="757679"/>
      <w:sz w:val="18"/>
      <w:szCs w:val="18"/>
      <w:lang w:eastAsia="en-AU"/>
    </w:rPr>
  </w:style>
  <w:style w:type="paragraph" w:customStyle="1" w:styleId="font21">
    <w:name w:val="font21"/>
    <w:basedOn w:val="Normal"/>
    <w:rsid w:val="00681560"/>
    <w:pPr>
      <w:spacing w:before="100" w:beforeAutospacing="1" w:after="100" w:afterAutospacing="1" w:line="240" w:lineRule="auto"/>
    </w:pPr>
    <w:rPr>
      <w:rFonts w:ascii="Calibri" w:eastAsia="Times New Roman" w:hAnsi="Calibri" w:cs="Calibri"/>
      <w:lang w:eastAsia="en-AU"/>
    </w:rPr>
  </w:style>
  <w:style w:type="paragraph" w:customStyle="1" w:styleId="font22">
    <w:name w:val="font22"/>
    <w:basedOn w:val="Normal"/>
    <w:rsid w:val="00681560"/>
    <w:pPr>
      <w:spacing w:before="100" w:beforeAutospacing="1" w:after="100" w:afterAutospacing="1" w:line="240" w:lineRule="auto"/>
    </w:pPr>
    <w:rPr>
      <w:rFonts w:ascii="Calibri" w:eastAsia="Times New Roman" w:hAnsi="Calibri" w:cs="Calibri"/>
      <w:i/>
      <w:iCs/>
      <w:lang w:eastAsia="en-AU"/>
    </w:rPr>
  </w:style>
  <w:style w:type="paragraph" w:customStyle="1" w:styleId="font23">
    <w:name w:val="font23"/>
    <w:basedOn w:val="Normal"/>
    <w:rsid w:val="00681560"/>
    <w:pPr>
      <w:spacing w:before="100" w:beforeAutospacing="1" w:after="100" w:afterAutospacing="1" w:line="240" w:lineRule="auto"/>
    </w:pPr>
    <w:rPr>
      <w:rFonts w:ascii="Symbol" w:eastAsia="Times New Roman" w:hAnsi="Symbol" w:cs="Times New Roman"/>
      <w:color w:val="000000"/>
      <w:lang w:eastAsia="en-AU"/>
    </w:rPr>
  </w:style>
  <w:style w:type="paragraph" w:customStyle="1" w:styleId="font24">
    <w:name w:val="font24"/>
    <w:basedOn w:val="Normal"/>
    <w:rsid w:val="00681560"/>
    <w:pPr>
      <w:spacing w:before="100" w:beforeAutospacing="1" w:after="100" w:afterAutospacing="1" w:line="240" w:lineRule="auto"/>
    </w:pPr>
    <w:rPr>
      <w:rFonts w:ascii="Segoe UI" w:eastAsia="Times New Roman" w:hAnsi="Segoe UI" w:cs="Segoe UI"/>
      <w:color w:val="000000"/>
      <w:sz w:val="18"/>
      <w:szCs w:val="18"/>
      <w:lang w:eastAsia="en-AU"/>
    </w:rPr>
  </w:style>
  <w:style w:type="paragraph" w:customStyle="1" w:styleId="font25">
    <w:name w:val="font25"/>
    <w:basedOn w:val="Normal"/>
    <w:rsid w:val="00681560"/>
    <w:pPr>
      <w:spacing w:before="100" w:beforeAutospacing="1" w:after="100" w:afterAutospacing="1" w:line="240" w:lineRule="auto"/>
    </w:pPr>
    <w:rPr>
      <w:rFonts w:ascii="Segoe UI" w:eastAsia="Times New Roman" w:hAnsi="Segoe UI" w:cs="Segoe UI"/>
      <w:i/>
      <w:iCs/>
      <w:color w:val="000000"/>
      <w:sz w:val="20"/>
      <w:szCs w:val="20"/>
      <w:lang w:eastAsia="en-AU"/>
    </w:rPr>
  </w:style>
  <w:style w:type="paragraph" w:customStyle="1" w:styleId="font26">
    <w:name w:val="font26"/>
    <w:basedOn w:val="Normal"/>
    <w:rsid w:val="00681560"/>
    <w:pPr>
      <w:spacing w:before="100" w:beforeAutospacing="1" w:after="100" w:afterAutospacing="1" w:line="240" w:lineRule="auto"/>
    </w:pPr>
    <w:rPr>
      <w:rFonts w:ascii="Symbol" w:eastAsia="Times New Roman" w:hAnsi="Symbol" w:cs="Times New Roman"/>
      <w:i/>
      <w:iCs/>
      <w:color w:val="000000"/>
      <w:lang w:eastAsia="en-AU"/>
    </w:rPr>
  </w:style>
  <w:style w:type="paragraph" w:customStyle="1" w:styleId="font27">
    <w:name w:val="font27"/>
    <w:basedOn w:val="Normal"/>
    <w:rsid w:val="00681560"/>
    <w:pPr>
      <w:spacing w:before="100" w:beforeAutospacing="1" w:after="100" w:afterAutospacing="1" w:line="240" w:lineRule="auto"/>
    </w:pPr>
    <w:rPr>
      <w:rFonts w:ascii="Calibri" w:eastAsia="Times New Roman" w:hAnsi="Calibri" w:cs="Calibri"/>
      <w:color w:val="000000"/>
      <w:lang w:eastAsia="en-AU"/>
    </w:rPr>
  </w:style>
  <w:style w:type="paragraph" w:customStyle="1" w:styleId="xl79">
    <w:name w:val="xl79"/>
    <w:basedOn w:val="Normal"/>
    <w:rsid w:val="00681560"/>
    <w:pPr>
      <w:spacing w:before="100" w:beforeAutospacing="1" w:after="100" w:afterAutospacing="1" w:line="240" w:lineRule="auto"/>
      <w:textAlignment w:val="center"/>
    </w:pPr>
    <w:rPr>
      <w:rFonts w:ascii="Times New Roman" w:eastAsia="Times New Roman" w:hAnsi="Times New Roman" w:cs="Times New Roman"/>
      <w:sz w:val="24"/>
      <w:szCs w:val="24"/>
      <w:lang w:eastAsia="en-AU"/>
    </w:rPr>
  </w:style>
  <w:style w:type="paragraph" w:customStyle="1" w:styleId="xl80">
    <w:name w:val="xl80"/>
    <w:basedOn w:val="Normal"/>
    <w:rsid w:val="0068156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81">
    <w:name w:val="xl81"/>
    <w:basedOn w:val="Normal"/>
    <w:rsid w:val="00681560"/>
    <w:pPr>
      <w:spacing w:before="100" w:beforeAutospacing="1" w:after="100" w:afterAutospacing="1" w:line="240" w:lineRule="auto"/>
      <w:textAlignment w:val="center"/>
    </w:pPr>
    <w:rPr>
      <w:rFonts w:ascii="Times New Roman" w:eastAsia="Times New Roman" w:hAnsi="Times New Roman" w:cs="Times New Roman"/>
      <w:color w:val="0563C1"/>
      <w:sz w:val="24"/>
      <w:szCs w:val="24"/>
      <w:u w:val="single"/>
      <w:lang w:eastAsia="en-AU"/>
    </w:rPr>
  </w:style>
  <w:style w:type="paragraph" w:customStyle="1" w:styleId="xl82">
    <w:name w:val="xl82"/>
    <w:basedOn w:val="Normal"/>
    <w:rsid w:val="00681560"/>
    <w:pPr>
      <w:spacing w:before="100" w:beforeAutospacing="1" w:after="100" w:afterAutospacing="1" w:line="240" w:lineRule="auto"/>
      <w:textAlignment w:val="center"/>
    </w:pPr>
    <w:rPr>
      <w:rFonts w:ascii="Times New Roman" w:eastAsia="Times New Roman" w:hAnsi="Times New Roman" w:cs="Times New Roman"/>
      <w:sz w:val="24"/>
      <w:szCs w:val="24"/>
      <w:lang w:eastAsia="en-AU"/>
    </w:rPr>
  </w:style>
  <w:style w:type="paragraph" w:customStyle="1" w:styleId="xl83">
    <w:name w:val="xl83"/>
    <w:basedOn w:val="Normal"/>
    <w:rsid w:val="00681560"/>
    <w:pPr>
      <w:pBdr>
        <w:right w:val="single" w:sz="8"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en-AU"/>
    </w:rPr>
  </w:style>
  <w:style w:type="paragraph" w:customStyle="1" w:styleId="xl84">
    <w:name w:val="xl84"/>
    <w:basedOn w:val="Normal"/>
    <w:rsid w:val="00681560"/>
    <w:pPr>
      <w:spacing w:before="100" w:beforeAutospacing="1" w:after="100" w:afterAutospacing="1" w:line="240" w:lineRule="auto"/>
    </w:pPr>
    <w:rPr>
      <w:rFonts w:ascii="Times New Roman" w:eastAsia="Times New Roman" w:hAnsi="Times New Roman" w:cs="Times New Roman"/>
      <w:sz w:val="20"/>
      <w:szCs w:val="20"/>
      <w:lang w:eastAsia="en-AU"/>
    </w:rPr>
  </w:style>
  <w:style w:type="paragraph" w:customStyle="1" w:styleId="Boxdotpoint">
    <w:name w:val="Box dot point"/>
    <w:basedOn w:val="Boxtext0"/>
    <w:link w:val="BoxdotpointChar"/>
    <w:qFormat/>
    <w:rsid w:val="005F50CC"/>
    <w:pPr>
      <w:numPr>
        <w:numId w:val="40"/>
      </w:numPr>
      <w:ind w:left="465" w:hanging="357"/>
      <w:contextualSpacing/>
    </w:pPr>
  </w:style>
  <w:style w:type="character" w:customStyle="1" w:styleId="BoxdotpointChar">
    <w:name w:val="Box dot point Char"/>
    <w:basedOn w:val="BoxtextChar0"/>
    <w:link w:val="Boxdotpoint"/>
    <w:rsid w:val="005F50CC"/>
  </w:style>
  <w:style w:type="paragraph" w:customStyle="1" w:styleId="Boxnumber">
    <w:name w:val="Box number"/>
    <w:basedOn w:val="ListNumber"/>
    <w:link w:val="BoxnumberChar"/>
    <w:qFormat/>
    <w:rsid w:val="0020392A"/>
    <w:pPr>
      <w:numPr>
        <w:numId w:val="53"/>
      </w:numPr>
      <w:spacing w:after="120"/>
      <w:ind w:left="467"/>
    </w:pPr>
  </w:style>
  <w:style w:type="character" w:customStyle="1" w:styleId="ListNumberChar">
    <w:name w:val="List Number Char"/>
    <w:basedOn w:val="DefaultParagraphFont"/>
    <w:link w:val="ListNumber"/>
    <w:uiPriority w:val="99"/>
    <w:rsid w:val="00F120AB"/>
  </w:style>
  <w:style w:type="character" w:customStyle="1" w:styleId="BoxnumberChar">
    <w:name w:val="Box number Char"/>
    <w:basedOn w:val="ListNumberChar"/>
    <w:link w:val="Boxnumber"/>
    <w:rsid w:val="0020392A"/>
  </w:style>
  <w:style w:type="paragraph" w:customStyle="1" w:styleId="Findinginchapterheading">
    <w:name w:val="Finding (in chapter heading)"/>
    <w:basedOn w:val="Rec-frontmatternonheading"/>
    <w:link w:val="FindinginchapterheadingChar"/>
    <w:qFormat/>
    <w:rsid w:val="00285443"/>
    <w:pPr>
      <w:spacing w:before="120" w:after="60"/>
      <w:ind w:left="108" w:right="108"/>
    </w:pPr>
    <w:rPr>
      <w:color w:val="004C6C" w:themeColor="background2"/>
    </w:rPr>
  </w:style>
  <w:style w:type="character" w:customStyle="1" w:styleId="Recommendations-Heading5Char">
    <w:name w:val="Recommendations - Heading 5 Char"/>
    <w:basedOn w:val="DefaultParagraphFont"/>
    <w:link w:val="Recommendations-Heading5"/>
    <w:rsid w:val="008A0E6F"/>
    <w:rPr>
      <w:rFonts w:ascii="Calibri" w:eastAsia="Yu Gothic Light" w:hAnsi="Calibri" w:cs="Calibri"/>
      <w:b/>
      <w:color w:val="CF531C"/>
      <w:sz w:val="32"/>
      <w:szCs w:val="32"/>
    </w:rPr>
  </w:style>
  <w:style w:type="character" w:customStyle="1" w:styleId="FindinginchapterheadingChar">
    <w:name w:val="Finding (in chapter heading) Char"/>
    <w:basedOn w:val="Recommendations-Heading5Char"/>
    <w:link w:val="Findinginchapterheading"/>
    <w:rsid w:val="00F649E3"/>
    <w:rPr>
      <w:rFonts w:ascii="Calibri" w:eastAsia="Yu Gothic Light" w:hAnsi="Calibri" w:cs="Calibri"/>
      <w:b/>
      <w:color w:val="004C6C" w:themeColor="background2"/>
      <w:sz w:val="28"/>
      <w:szCs w:val="32"/>
    </w:rPr>
  </w:style>
  <w:style w:type="paragraph" w:styleId="BodyText2">
    <w:name w:val="Body Text 2"/>
    <w:basedOn w:val="Normal"/>
    <w:link w:val="BodyText2Char"/>
    <w:uiPriority w:val="99"/>
    <w:semiHidden/>
    <w:unhideWhenUsed/>
    <w:rsid w:val="00A350B1"/>
    <w:pPr>
      <w:spacing w:after="120" w:line="480" w:lineRule="auto"/>
    </w:pPr>
  </w:style>
  <w:style w:type="character" w:customStyle="1" w:styleId="BodyText2Char">
    <w:name w:val="Body Text 2 Char"/>
    <w:basedOn w:val="DefaultParagraphFont"/>
    <w:link w:val="BodyText2"/>
    <w:uiPriority w:val="99"/>
    <w:semiHidden/>
    <w:rsid w:val="00A350B1"/>
  </w:style>
  <w:style w:type="paragraph" w:styleId="BodyText3">
    <w:name w:val="Body Text 3"/>
    <w:basedOn w:val="Normal"/>
    <w:link w:val="BodyText3Char"/>
    <w:uiPriority w:val="99"/>
    <w:semiHidden/>
    <w:unhideWhenUsed/>
    <w:rsid w:val="00A350B1"/>
    <w:pPr>
      <w:spacing w:after="120"/>
    </w:pPr>
    <w:rPr>
      <w:sz w:val="16"/>
      <w:szCs w:val="16"/>
    </w:rPr>
  </w:style>
  <w:style w:type="character" w:customStyle="1" w:styleId="BodyText3Char">
    <w:name w:val="Body Text 3 Char"/>
    <w:basedOn w:val="DefaultParagraphFont"/>
    <w:link w:val="BodyText3"/>
    <w:uiPriority w:val="99"/>
    <w:semiHidden/>
    <w:rsid w:val="00A350B1"/>
    <w:rPr>
      <w:sz w:val="16"/>
      <w:szCs w:val="16"/>
    </w:rPr>
  </w:style>
  <w:style w:type="paragraph" w:styleId="BodyTextFirstIndent">
    <w:name w:val="Body Text First Indent"/>
    <w:basedOn w:val="BodyText"/>
    <w:link w:val="BodyTextFirstIndentChar"/>
    <w:uiPriority w:val="99"/>
    <w:semiHidden/>
    <w:unhideWhenUsed/>
    <w:rsid w:val="00A350B1"/>
    <w:pPr>
      <w:ind w:firstLine="360"/>
    </w:pPr>
  </w:style>
  <w:style w:type="character" w:customStyle="1" w:styleId="BodyTextFirstIndentChar">
    <w:name w:val="Body Text First Indent Char"/>
    <w:basedOn w:val="BodyTextChar"/>
    <w:link w:val="BodyTextFirstIndent"/>
    <w:uiPriority w:val="99"/>
    <w:semiHidden/>
    <w:rsid w:val="00A350B1"/>
  </w:style>
  <w:style w:type="paragraph" w:styleId="BodyTextIndent">
    <w:name w:val="Body Text Indent"/>
    <w:basedOn w:val="Normal"/>
    <w:link w:val="BodyTextIndentChar"/>
    <w:uiPriority w:val="99"/>
    <w:semiHidden/>
    <w:unhideWhenUsed/>
    <w:rsid w:val="00A350B1"/>
    <w:pPr>
      <w:spacing w:after="120"/>
      <w:ind w:left="283"/>
    </w:pPr>
  </w:style>
  <w:style w:type="character" w:customStyle="1" w:styleId="BodyTextIndentChar">
    <w:name w:val="Body Text Indent Char"/>
    <w:basedOn w:val="DefaultParagraphFont"/>
    <w:link w:val="BodyTextIndent"/>
    <w:uiPriority w:val="99"/>
    <w:semiHidden/>
    <w:rsid w:val="00A350B1"/>
  </w:style>
  <w:style w:type="paragraph" w:styleId="BodyTextFirstIndent2">
    <w:name w:val="Body Text First Indent 2"/>
    <w:basedOn w:val="BodyTextIndent"/>
    <w:link w:val="BodyTextFirstIndent2Char"/>
    <w:uiPriority w:val="99"/>
    <w:semiHidden/>
    <w:unhideWhenUsed/>
    <w:rsid w:val="00A350B1"/>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A350B1"/>
  </w:style>
  <w:style w:type="paragraph" w:styleId="BodyTextIndent2">
    <w:name w:val="Body Text Indent 2"/>
    <w:basedOn w:val="Normal"/>
    <w:link w:val="BodyTextIndent2Char"/>
    <w:uiPriority w:val="99"/>
    <w:semiHidden/>
    <w:unhideWhenUsed/>
    <w:rsid w:val="00A350B1"/>
    <w:pPr>
      <w:spacing w:after="120" w:line="480" w:lineRule="auto"/>
      <w:ind w:left="283"/>
    </w:pPr>
  </w:style>
  <w:style w:type="character" w:customStyle="1" w:styleId="BodyTextIndent2Char">
    <w:name w:val="Body Text Indent 2 Char"/>
    <w:basedOn w:val="DefaultParagraphFont"/>
    <w:link w:val="BodyTextIndent2"/>
    <w:uiPriority w:val="99"/>
    <w:semiHidden/>
    <w:rsid w:val="00A350B1"/>
  </w:style>
  <w:style w:type="paragraph" w:styleId="BodyTextIndent3">
    <w:name w:val="Body Text Indent 3"/>
    <w:basedOn w:val="Normal"/>
    <w:link w:val="BodyTextIndent3Char"/>
    <w:uiPriority w:val="99"/>
    <w:semiHidden/>
    <w:unhideWhenUsed/>
    <w:rsid w:val="00A350B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350B1"/>
    <w:rPr>
      <w:sz w:val="16"/>
      <w:szCs w:val="16"/>
    </w:rPr>
  </w:style>
  <w:style w:type="paragraph" w:customStyle="1" w:styleId="Recheadinginbox">
    <w:name w:val="Rec heading in box"/>
    <w:basedOn w:val="Rec-frontmatternonheading"/>
    <w:link w:val="RecheadinginboxChar"/>
    <w:qFormat/>
    <w:rsid w:val="00905354"/>
    <w:pPr>
      <w:spacing w:before="240" w:after="60"/>
      <w:ind w:left="108" w:right="108"/>
    </w:pPr>
  </w:style>
  <w:style w:type="character" w:customStyle="1" w:styleId="Rec-frontmatternonheadingChar">
    <w:name w:val="Rec - front matter (non heading) Char"/>
    <w:basedOn w:val="DefaultParagraphFont"/>
    <w:link w:val="Rec-frontmatternonheading"/>
    <w:rsid w:val="00905354"/>
    <w:rPr>
      <w:b/>
      <w:color w:val="CF531C"/>
      <w:sz w:val="28"/>
    </w:rPr>
  </w:style>
  <w:style w:type="character" w:customStyle="1" w:styleId="RecheadinginboxChar">
    <w:name w:val="Rec heading in box Char"/>
    <w:basedOn w:val="Rec-frontmatternonheadingChar"/>
    <w:link w:val="Recheadinginbox"/>
    <w:rsid w:val="00905354"/>
    <w:rPr>
      <w:b/>
      <w:color w:val="CF531C"/>
      <w:sz w:val="28"/>
    </w:rPr>
  </w:style>
  <w:style w:type="paragraph" w:customStyle="1" w:styleId="Non-numberedheading5">
    <w:name w:val="Non-numbered heading 5"/>
    <w:basedOn w:val="CaseStudy-Heading"/>
    <w:link w:val="Non-numberedheading5Char"/>
    <w:qFormat/>
    <w:rsid w:val="00C854A2"/>
    <w:pPr>
      <w:outlineLvl w:val="4"/>
    </w:pPr>
  </w:style>
  <w:style w:type="character" w:customStyle="1" w:styleId="ImmediateAction-HeadingChar">
    <w:name w:val="Immediate Action - Heading Char"/>
    <w:basedOn w:val="DefaultParagraphFont"/>
    <w:link w:val="ImmediateAction-Heading"/>
    <w:rsid w:val="00C854A2"/>
    <w:rPr>
      <w:b/>
      <w:color w:val="CF531C"/>
      <w:sz w:val="28"/>
    </w:rPr>
  </w:style>
  <w:style w:type="character" w:customStyle="1" w:styleId="CaseStudy-HeadingChar">
    <w:name w:val="Case Study - Heading Char"/>
    <w:basedOn w:val="ImmediateAction-HeadingChar"/>
    <w:link w:val="CaseStudy-Heading"/>
    <w:rsid w:val="00C854A2"/>
    <w:rPr>
      <w:b/>
      <w:color w:val="002D3E"/>
      <w:sz w:val="28"/>
    </w:rPr>
  </w:style>
  <w:style w:type="character" w:customStyle="1" w:styleId="Non-numberedheading5Char">
    <w:name w:val="Non-numbered heading 5 Char"/>
    <w:basedOn w:val="CaseStudy-HeadingChar"/>
    <w:link w:val="Non-numberedheading5"/>
    <w:rsid w:val="00C854A2"/>
    <w:rPr>
      <w:b/>
      <w:color w:val="002D3E"/>
      <w:sz w:val="28"/>
    </w:rPr>
  </w:style>
  <w:style w:type="table" w:styleId="GridTable4-Accent5">
    <w:name w:val="Grid Table 4 Accent 5"/>
    <w:basedOn w:val="TableNormal"/>
    <w:uiPriority w:val="49"/>
    <w:rsid w:val="00517884"/>
    <w:pPr>
      <w:spacing w:after="0" w:line="240" w:lineRule="auto"/>
    </w:pPr>
    <w:rPr>
      <w:kern w:val="2"/>
      <w14:ligatures w14:val="standardContextual"/>
    </w:rPr>
    <w:tblPr>
      <w:tblStyleRowBandSize w:val="1"/>
      <w:tblStyleColBandSize w:val="1"/>
      <w:tblBorders>
        <w:top w:val="single" w:sz="4" w:space="0" w:color="F6A1A1" w:themeColor="accent5" w:themeTint="99"/>
        <w:left w:val="single" w:sz="4" w:space="0" w:color="F6A1A1" w:themeColor="accent5" w:themeTint="99"/>
        <w:bottom w:val="single" w:sz="4" w:space="0" w:color="F6A1A1" w:themeColor="accent5" w:themeTint="99"/>
        <w:right w:val="single" w:sz="4" w:space="0" w:color="F6A1A1" w:themeColor="accent5" w:themeTint="99"/>
        <w:insideH w:val="single" w:sz="4" w:space="0" w:color="F6A1A1" w:themeColor="accent5" w:themeTint="99"/>
        <w:insideV w:val="single" w:sz="4" w:space="0" w:color="F6A1A1" w:themeColor="accent5" w:themeTint="99"/>
      </w:tblBorders>
    </w:tblPr>
    <w:tblStylePr w:type="firstRow">
      <w:rPr>
        <w:b/>
        <w:bCs/>
        <w:color w:val="FFFFFF" w:themeColor="background1"/>
      </w:rPr>
      <w:tblPr/>
      <w:tcPr>
        <w:tcBorders>
          <w:top w:val="single" w:sz="4" w:space="0" w:color="F16464" w:themeColor="accent5"/>
          <w:left w:val="single" w:sz="4" w:space="0" w:color="F16464" w:themeColor="accent5"/>
          <w:bottom w:val="single" w:sz="4" w:space="0" w:color="F16464" w:themeColor="accent5"/>
          <w:right w:val="single" w:sz="4" w:space="0" w:color="F16464" w:themeColor="accent5"/>
          <w:insideH w:val="nil"/>
          <w:insideV w:val="nil"/>
        </w:tcBorders>
        <w:shd w:val="clear" w:color="auto" w:fill="F16464" w:themeFill="accent5"/>
      </w:tcPr>
    </w:tblStylePr>
    <w:tblStylePr w:type="lastRow">
      <w:rPr>
        <w:b/>
        <w:bCs/>
      </w:rPr>
      <w:tblPr/>
      <w:tcPr>
        <w:tcBorders>
          <w:top w:val="double" w:sz="4" w:space="0" w:color="F16464" w:themeColor="accent5"/>
        </w:tcBorders>
      </w:tcPr>
    </w:tblStylePr>
    <w:tblStylePr w:type="firstCol">
      <w:rPr>
        <w:b/>
        <w:bCs/>
      </w:rPr>
    </w:tblStylePr>
    <w:tblStylePr w:type="lastCol">
      <w:rPr>
        <w:b/>
        <w:bCs/>
      </w:rPr>
    </w:tblStylePr>
    <w:tblStylePr w:type="band1Vert">
      <w:tblPr/>
      <w:tcPr>
        <w:shd w:val="clear" w:color="auto" w:fill="FCDFDF" w:themeFill="accent5" w:themeFillTint="33"/>
      </w:tcPr>
    </w:tblStylePr>
    <w:tblStylePr w:type="band1Horz">
      <w:tblPr/>
      <w:tcPr>
        <w:shd w:val="clear" w:color="auto" w:fill="FCDFDF"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0905">
      <w:bodyDiv w:val="1"/>
      <w:marLeft w:val="0"/>
      <w:marRight w:val="0"/>
      <w:marTop w:val="0"/>
      <w:marBottom w:val="0"/>
      <w:divBdr>
        <w:top w:val="none" w:sz="0" w:space="0" w:color="auto"/>
        <w:left w:val="none" w:sz="0" w:space="0" w:color="auto"/>
        <w:bottom w:val="none" w:sz="0" w:space="0" w:color="auto"/>
        <w:right w:val="none" w:sz="0" w:space="0" w:color="auto"/>
      </w:divBdr>
    </w:div>
    <w:div w:id="23987514">
      <w:bodyDiv w:val="1"/>
      <w:marLeft w:val="0"/>
      <w:marRight w:val="0"/>
      <w:marTop w:val="0"/>
      <w:marBottom w:val="0"/>
      <w:divBdr>
        <w:top w:val="none" w:sz="0" w:space="0" w:color="auto"/>
        <w:left w:val="none" w:sz="0" w:space="0" w:color="auto"/>
        <w:bottom w:val="none" w:sz="0" w:space="0" w:color="auto"/>
        <w:right w:val="none" w:sz="0" w:space="0" w:color="auto"/>
      </w:divBdr>
    </w:div>
    <w:div w:id="32315355">
      <w:bodyDiv w:val="1"/>
      <w:marLeft w:val="0"/>
      <w:marRight w:val="0"/>
      <w:marTop w:val="0"/>
      <w:marBottom w:val="0"/>
      <w:divBdr>
        <w:top w:val="none" w:sz="0" w:space="0" w:color="auto"/>
        <w:left w:val="none" w:sz="0" w:space="0" w:color="auto"/>
        <w:bottom w:val="none" w:sz="0" w:space="0" w:color="auto"/>
        <w:right w:val="none" w:sz="0" w:space="0" w:color="auto"/>
      </w:divBdr>
    </w:div>
    <w:div w:id="41709556">
      <w:bodyDiv w:val="1"/>
      <w:marLeft w:val="0"/>
      <w:marRight w:val="0"/>
      <w:marTop w:val="0"/>
      <w:marBottom w:val="0"/>
      <w:divBdr>
        <w:top w:val="none" w:sz="0" w:space="0" w:color="auto"/>
        <w:left w:val="none" w:sz="0" w:space="0" w:color="auto"/>
        <w:bottom w:val="none" w:sz="0" w:space="0" w:color="auto"/>
        <w:right w:val="none" w:sz="0" w:space="0" w:color="auto"/>
      </w:divBdr>
    </w:div>
    <w:div w:id="57636691">
      <w:bodyDiv w:val="1"/>
      <w:marLeft w:val="0"/>
      <w:marRight w:val="0"/>
      <w:marTop w:val="0"/>
      <w:marBottom w:val="0"/>
      <w:divBdr>
        <w:top w:val="none" w:sz="0" w:space="0" w:color="auto"/>
        <w:left w:val="none" w:sz="0" w:space="0" w:color="auto"/>
        <w:bottom w:val="none" w:sz="0" w:space="0" w:color="auto"/>
        <w:right w:val="none" w:sz="0" w:space="0" w:color="auto"/>
      </w:divBdr>
    </w:div>
    <w:div w:id="96873811">
      <w:bodyDiv w:val="1"/>
      <w:marLeft w:val="0"/>
      <w:marRight w:val="0"/>
      <w:marTop w:val="0"/>
      <w:marBottom w:val="0"/>
      <w:divBdr>
        <w:top w:val="none" w:sz="0" w:space="0" w:color="auto"/>
        <w:left w:val="none" w:sz="0" w:space="0" w:color="auto"/>
        <w:bottom w:val="none" w:sz="0" w:space="0" w:color="auto"/>
        <w:right w:val="none" w:sz="0" w:space="0" w:color="auto"/>
      </w:divBdr>
    </w:div>
    <w:div w:id="97724094">
      <w:bodyDiv w:val="1"/>
      <w:marLeft w:val="0"/>
      <w:marRight w:val="0"/>
      <w:marTop w:val="0"/>
      <w:marBottom w:val="0"/>
      <w:divBdr>
        <w:top w:val="none" w:sz="0" w:space="0" w:color="auto"/>
        <w:left w:val="none" w:sz="0" w:space="0" w:color="auto"/>
        <w:bottom w:val="none" w:sz="0" w:space="0" w:color="auto"/>
        <w:right w:val="none" w:sz="0" w:space="0" w:color="auto"/>
      </w:divBdr>
    </w:div>
    <w:div w:id="102045234">
      <w:bodyDiv w:val="1"/>
      <w:marLeft w:val="0"/>
      <w:marRight w:val="0"/>
      <w:marTop w:val="0"/>
      <w:marBottom w:val="0"/>
      <w:divBdr>
        <w:top w:val="none" w:sz="0" w:space="0" w:color="auto"/>
        <w:left w:val="none" w:sz="0" w:space="0" w:color="auto"/>
        <w:bottom w:val="none" w:sz="0" w:space="0" w:color="auto"/>
        <w:right w:val="none" w:sz="0" w:space="0" w:color="auto"/>
      </w:divBdr>
      <w:divsChild>
        <w:div w:id="588080909">
          <w:marLeft w:val="0"/>
          <w:marRight w:val="0"/>
          <w:marTop w:val="0"/>
          <w:marBottom w:val="0"/>
          <w:divBdr>
            <w:top w:val="none" w:sz="0" w:space="0" w:color="auto"/>
            <w:left w:val="none" w:sz="0" w:space="0" w:color="auto"/>
            <w:bottom w:val="none" w:sz="0" w:space="0" w:color="auto"/>
            <w:right w:val="none" w:sz="0" w:space="0" w:color="auto"/>
          </w:divBdr>
        </w:div>
      </w:divsChild>
    </w:div>
    <w:div w:id="105269370">
      <w:bodyDiv w:val="1"/>
      <w:marLeft w:val="0"/>
      <w:marRight w:val="0"/>
      <w:marTop w:val="0"/>
      <w:marBottom w:val="0"/>
      <w:divBdr>
        <w:top w:val="none" w:sz="0" w:space="0" w:color="auto"/>
        <w:left w:val="none" w:sz="0" w:space="0" w:color="auto"/>
        <w:bottom w:val="none" w:sz="0" w:space="0" w:color="auto"/>
        <w:right w:val="none" w:sz="0" w:space="0" w:color="auto"/>
      </w:divBdr>
    </w:div>
    <w:div w:id="105735022">
      <w:bodyDiv w:val="1"/>
      <w:marLeft w:val="0"/>
      <w:marRight w:val="0"/>
      <w:marTop w:val="0"/>
      <w:marBottom w:val="0"/>
      <w:divBdr>
        <w:top w:val="none" w:sz="0" w:space="0" w:color="auto"/>
        <w:left w:val="none" w:sz="0" w:space="0" w:color="auto"/>
        <w:bottom w:val="none" w:sz="0" w:space="0" w:color="auto"/>
        <w:right w:val="none" w:sz="0" w:space="0" w:color="auto"/>
      </w:divBdr>
    </w:div>
    <w:div w:id="106242688">
      <w:bodyDiv w:val="1"/>
      <w:marLeft w:val="0"/>
      <w:marRight w:val="0"/>
      <w:marTop w:val="0"/>
      <w:marBottom w:val="0"/>
      <w:divBdr>
        <w:top w:val="none" w:sz="0" w:space="0" w:color="auto"/>
        <w:left w:val="none" w:sz="0" w:space="0" w:color="auto"/>
        <w:bottom w:val="none" w:sz="0" w:space="0" w:color="auto"/>
        <w:right w:val="none" w:sz="0" w:space="0" w:color="auto"/>
      </w:divBdr>
    </w:div>
    <w:div w:id="108671096">
      <w:bodyDiv w:val="1"/>
      <w:marLeft w:val="0"/>
      <w:marRight w:val="0"/>
      <w:marTop w:val="0"/>
      <w:marBottom w:val="0"/>
      <w:divBdr>
        <w:top w:val="none" w:sz="0" w:space="0" w:color="auto"/>
        <w:left w:val="none" w:sz="0" w:space="0" w:color="auto"/>
        <w:bottom w:val="none" w:sz="0" w:space="0" w:color="auto"/>
        <w:right w:val="none" w:sz="0" w:space="0" w:color="auto"/>
      </w:divBdr>
    </w:div>
    <w:div w:id="109711590">
      <w:bodyDiv w:val="1"/>
      <w:marLeft w:val="0"/>
      <w:marRight w:val="0"/>
      <w:marTop w:val="0"/>
      <w:marBottom w:val="0"/>
      <w:divBdr>
        <w:top w:val="none" w:sz="0" w:space="0" w:color="auto"/>
        <w:left w:val="none" w:sz="0" w:space="0" w:color="auto"/>
        <w:bottom w:val="none" w:sz="0" w:space="0" w:color="auto"/>
        <w:right w:val="none" w:sz="0" w:space="0" w:color="auto"/>
      </w:divBdr>
    </w:div>
    <w:div w:id="117184575">
      <w:bodyDiv w:val="1"/>
      <w:marLeft w:val="0"/>
      <w:marRight w:val="0"/>
      <w:marTop w:val="0"/>
      <w:marBottom w:val="0"/>
      <w:divBdr>
        <w:top w:val="none" w:sz="0" w:space="0" w:color="auto"/>
        <w:left w:val="none" w:sz="0" w:space="0" w:color="auto"/>
        <w:bottom w:val="none" w:sz="0" w:space="0" w:color="auto"/>
        <w:right w:val="none" w:sz="0" w:space="0" w:color="auto"/>
      </w:divBdr>
    </w:div>
    <w:div w:id="153224222">
      <w:bodyDiv w:val="1"/>
      <w:marLeft w:val="0"/>
      <w:marRight w:val="0"/>
      <w:marTop w:val="0"/>
      <w:marBottom w:val="0"/>
      <w:divBdr>
        <w:top w:val="none" w:sz="0" w:space="0" w:color="auto"/>
        <w:left w:val="none" w:sz="0" w:space="0" w:color="auto"/>
        <w:bottom w:val="none" w:sz="0" w:space="0" w:color="auto"/>
        <w:right w:val="none" w:sz="0" w:space="0" w:color="auto"/>
      </w:divBdr>
    </w:div>
    <w:div w:id="166985832">
      <w:bodyDiv w:val="1"/>
      <w:marLeft w:val="0"/>
      <w:marRight w:val="0"/>
      <w:marTop w:val="0"/>
      <w:marBottom w:val="0"/>
      <w:divBdr>
        <w:top w:val="none" w:sz="0" w:space="0" w:color="auto"/>
        <w:left w:val="none" w:sz="0" w:space="0" w:color="auto"/>
        <w:bottom w:val="none" w:sz="0" w:space="0" w:color="auto"/>
        <w:right w:val="none" w:sz="0" w:space="0" w:color="auto"/>
      </w:divBdr>
    </w:div>
    <w:div w:id="171770133">
      <w:bodyDiv w:val="1"/>
      <w:marLeft w:val="0"/>
      <w:marRight w:val="0"/>
      <w:marTop w:val="0"/>
      <w:marBottom w:val="0"/>
      <w:divBdr>
        <w:top w:val="none" w:sz="0" w:space="0" w:color="auto"/>
        <w:left w:val="none" w:sz="0" w:space="0" w:color="auto"/>
        <w:bottom w:val="none" w:sz="0" w:space="0" w:color="auto"/>
        <w:right w:val="none" w:sz="0" w:space="0" w:color="auto"/>
      </w:divBdr>
    </w:div>
    <w:div w:id="181600458">
      <w:bodyDiv w:val="1"/>
      <w:marLeft w:val="0"/>
      <w:marRight w:val="0"/>
      <w:marTop w:val="0"/>
      <w:marBottom w:val="0"/>
      <w:divBdr>
        <w:top w:val="none" w:sz="0" w:space="0" w:color="auto"/>
        <w:left w:val="none" w:sz="0" w:space="0" w:color="auto"/>
        <w:bottom w:val="none" w:sz="0" w:space="0" w:color="auto"/>
        <w:right w:val="none" w:sz="0" w:space="0" w:color="auto"/>
      </w:divBdr>
    </w:div>
    <w:div w:id="184947427">
      <w:bodyDiv w:val="1"/>
      <w:marLeft w:val="0"/>
      <w:marRight w:val="0"/>
      <w:marTop w:val="0"/>
      <w:marBottom w:val="0"/>
      <w:divBdr>
        <w:top w:val="none" w:sz="0" w:space="0" w:color="auto"/>
        <w:left w:val="none" w:sz="0" w:space="0" w:color="auto"/>
        <w:bottom w:val="none" w:sz="0" w:space="0" w:color="auto"/>
        <w:right w:val="none" w:sz="0" w:space="0" w:color="auto"/>
      </w:divBdr>
      <w:divsChild>
        <w:div w:id="29109629">
          <w:marLeft w:val="0"/>
          <w:marRight w:val="0"/>
          <w:marTop w:val="0"/>
          <w:marBottom w:val="0"/>
          <w:divBdr>
            <w:top w:val="none" w:sz="0" w:space="0" w:color="auto"/>
            <w:left w:val="none" w:sz="0" w:space="0" w:color="auto"/>
            <w:bottom w:val="none" w:sz="0" w:space="0" w:color="auto"/>
            <w:right w:val="none" w:sz="0" w:space="0" w:color="auto"/>
          </w:divBdr>
        </w:div>
        <w:div w:id="117644446">
          <w:marLeft w:val="0"/>
          <w:marRight w:val="0"/>
          <w:marTop w:val="0"/>
          <w:marBottom w:val="0"/>
          <w:divBdr>
            <w:top w:val="none" w:sz="0" w:space="0" w:color="auto"/>
            <w:left w:val="none" w:sz="0" w:space="0" w:color="auto"/>
            <w:bottom w:val="none" w:sz="0" w:space="0" w:color="auto"/>
            <w:right w:val="none" w:sz="0" w:space="0" w:color="auto"/>
          </w:divBdr>
        </w:div>
        <w:div w:id="150220987">
          <w:marLeft w:val="0"/>
          <w:marRight w:val="0"/>
          <w:marTop w:val="0"/>
          <w:marBottom w:val="0"/>
          <w:divBdr>
            <w:top w:val="none" w:sz="0" w:space="0" w:color="auto"/>
            <w:left w:val="none" w:sz="0" w:space="0" w:color="auto"/>
            <w:bottom w:val="none" w:sz="0" w:space="0" w:color="auto"/>
            <w:right w:val="none" w:sz="0" w:space="0" w:color="auto"/>
          </w:divBdr>
        </w:div>
        <w:div w:id="210074247">
          <w:marLeft w:val="0"/>
          <w:marRight w:val="0"/>
          <w:marTop w:val="0"/>
          <w:marBottom w:val="0"/>
          <w:divBdr>
            <w:top w:val="none" w:sz="0" w:space="0" w:color="auto"/>
            <w:left w:val="none" w:sz="0" w:space="0" w:color="auto"/>
            <w:bottom w:val="none" w:sz="0" w:space="0" w:color="auto"/>
            <w:right w:val="none" w:sz="0" w:space="0" w:color="auto"/>
          </w:divBdr>
        </w:div>
        <w:div w:id="262618188">
          <w:marLeft w:val="0"/>
          <w:marRight w:val="0"/>
          <w:marTop w:val="0"/>
          <w:marBottom w:val="0"/>
          <w:divBdr>
            <w:top w:val="none" w:sz="0" w:space="0" w:color="auto"/>
            <w:left w:val="none" w:sz="0" w:space="0" w:color="auto"/>
            <w:bottom w:val="none" w:sz="0" w:space="0" w:color="auto"/>
            <w:right w:val="none" w:sz="0" w:space="0" w:color="auto"/>
          </w:divBdr>
        </w:div>
        <w:div w:id="269360593">
          <w:marLeft w:val="0"/>
          <w:marRight w:val="0"/>
          <w:marTop w:val="0"/>
          <w:marBottom w:val="0"/>
          <w:divBdr>
            <w:top w:val="none" w:sz="0" w:space="0" w:color="auto"/>
            <w:left w:val="none" w:sz="0" w:space="0" w:color="auto"/>
            <w:bottom w:val="none" w:sz="0" w:space="0" w:color="auto"/>
            <w:right w:val="none" w:sz="0" w:space="0" w:color="auto"/>
          </w:divBdr>
        </w:div>
        <w:div w:id="389159296">
          <w:marLeft w:val="0"/>
          <w:marRight w:val="0"/>
          <w:marTop w:val="0"/>
          <w:marBottom w:val="0"/>
          <w:divBdr>
            <w:top w:val="none" w:sz="0" w:space="0" w:color="auto"/>
            <w:left w:val="none" w:sz="0" w:space="0" w:color="auto"/>
            <w:bottom w:val="none" w:sz="0" w:space="0" w:color="auto"/>
            <w:right w:val="none" w:sz="0" w:space="0" w:color="auto"/>
          </w:divBdr>
        </w:div>
        <w:div w:id="389380163">
          <w:marLeft w:val="0"/>
          <w:marRight w:val="0"/>
          <w:marTop w:val="0"/>
          <w:marBottom w:val="0"/>
          <w:divBdr>
            <w:top w:val="none" w:sz="0" w:space="0" w:color="auto"/>
            <w:left w:val="none" w:sz="0" w:space="0" w:color="auto"/>
            <w:bottom w:val="none" w:sz="0" w:space="0" w:color="auto"/>
            <w:right w:val="none" w:sz="0" w:space="0" w:color="auto"/>
          </w:divBdr>
        </w:div>
        <w:div w:id="415787960">
          <w:marLeft w:val="0"/>
          <w:marRight w:val="0"/>
          <w:marTop w:val="0"/>
          <w:marBottom w:val="0"/>
          <w:divBdr>
            <w:top w:val="none" w:sz="0" w:space="0" w:color="auto"/>
            <w:left w:val="none" w:sz="0" w:space="0" w:color="auto"/>
            <w:bottom w:val="none" w:sz="0" w:space="0" w:color="auto"/>
            <w:right w:val="none" w:sz="0" w:space="0" w:color="auto"/>
          </w:divBdr>
        </w:div>
        <w:div w:id="456342039">
          <w:marLeft w:val="0"/>
          <w:marRight w:val="0"/>
          <w:marTop w:val="0"/>
          <w:marBottom w:val="0"/>
          <w:divBdr>
            <w:top w:val="none" w:sz="0" w:space="0" w:color="auto"/>
            <w:left w:val="none" w:sz="0" w:space="0" w:color="auto"/>
            <w:bottom w:val="none" w:sz="0" w:space="0" w:color="auto"/>
            <w:right w:val="none" w:sz="0" w:space="0" w:color="auto"/>
          </w:divBdr>
        </w:div>
        <w:div w:id="663974757">
          <w:marLeft w:val="0"/>
          <w:marRight w:val="0"/>
          <w:marTop w:val="0"/>
          <w:marBottom w:val="0"/>
          <w:divBdr>
            <w:top w:val="none" w:sz="0" w:space="0" w:color="auto"/>
            <w:left w:val="none" w:sz="0" w:space="0" w:color="auto"/>
            <w:bottom w:val="none" w:sz="0" w:space="0" w:color="auto"/>
            <w:right w:val="none" w:sz="0" w:space="0" w:color="auto"/>
          </w:divBdr>
        </w:div>
        <w:div w:id="715204617">
          <w:marLeft w:val="0"/>
          <w:marRight w:val="0"/>
          <w:marTop w:val="0"/>
          <w:marBottom w:val="0"/>
          <w:divBdr>
            <w:top w:val="none" w:sz="0" w:space="0" w:color="auto"/>
            <w:left w:val="none" w:sz="0" w:space="0" w:color="auto"/>
            <w:bottom w:val="none" w:sz="0" w:space="0" w:color="auto"/>
            <w:right w:val="none" w:sz="0" w:space="0" w:color="auto"/>
          </w:divBdr>
        </w:div>
        <w:div w:id="756636043">
          <w:marLeft w:val="0"/>
          <w:marRight w:val="0"/>
          <w:marTop w:val="0"/>
          <w:marBottom w:val="0"/>
          <w:divBdr>
            <w:top w:val="none" w:sz="0" w:space="0" w:color="auto"/>
            <w:left w:val="none" w:sz="0" w:space="0" w:color="auto"/>
            <w:bottom w:val="none" w:sz="0" w:space="0" w:color="auto"/>
            <w:right w:val="none" w:sz="0" w:space="0" w:color="auto"/>
          </w:divBdr>
        </w:div>
        <w:div w:id="1049841415">
          <w:marLeft w:val="0"/>
          <w:marRight w:val="0"/>
          <w:marTop w:val="0"/>
          <w:marBottom w:val="0"/>
          <w:divBdr>
            <w:top w:val="none" w:sz="0" w:space="0" w:color="auto"/>
            <w:left w:val="none" w:sz="0" w:space="0" w:color="auto"/>
            <w:bottom w:val="none" w:sz="0" w:space="0" w:color="auto"/>
            <w:right w:val="none" w:sz="0" w:space="0" w:color="auto"/>
          </w:divBdr>
        </w:div>
        <w:div w:id="1103304233">
          <w:marLeft w:val="0"/>
          <w:marRight w:val="0"/>
          <w:marTop w:val="0"/>
          <w:marBottom w:val="0"/>
          <w:divBdr>
            <w:top w:val="none" w:sz="0" w:space="0" w:color="auto"/>
            <w:left w:val="none" w:sz="0" w:space="0" w:color="auto"/>
            <w:bottom w:val="none" w:sz="0" w:space="0" w:color="auto"/>
            <w:right w:val="none" w:sz="0" w:space="0" w:color="auto"/>
          </w:divBdr>
        </w:div>
        <w:div w:id="1148090213">
          <w:marLeft w:val="0"/>
          <w:marRight w:val="0"/>
          <w:marTop w:val="0"/>
          <w:marBottom w:val="0"/>
          <w:divBdr>
            <w:top w:val="none" w:sz="0" w:space="0" w:color="auto"/>
            <w:left w:val="none" w:sz="0" w:space="0" w:color="auto"/>
            <w:bottom w:val="none" w:sz="0" w:space="0" w:color="auto"/>
            <w:right w:val="none" w:sz="0" w:space="0" w:color="auto"/>
          </w:divBdr>
        </w:div>
        <w:div w:id="1360625332">
          <w:marLeft w:val="0"/>
          <w:marRight w:val="0"/>
          <w:marTop w:val="0"/>
          <w:marBottom w:val="0"/>
          <w:divBdr>
            <w:top w:val="none" w:sz="0" w:space="0" w:color="auto"/>
            <w:left w:val="none" w:sz="0" w:space="0" w:color="auto"/>
            <w:bottom w:val="none" w:sz="0" w:space="0" w:color="auto"/>
            <w:right w:val="none" w:sz="0" w:space="0" w:color="auto"/>
          </w:divBdr>
        </w:div>
        <w:div w:id="1439056800">
          <w:marLeft w:val="0"/>
          <w:marRight w:val="0"/>
          <w:marTop w:val="0"/>
          <w:marBottom w:val="0"/>
          <w:divBdr>
            <w:top w:val="none" w:sz="0" w:space="0" w:color="auto"/>
            <w:left w:val="none" w:sz="0" w:space="0" w:color="auto"/>
            <w:bottom w:val="none" w:sz="0" w:space="0" w:color="auto"/>
            <w:right w:val="none" w:sz="0" w:space="0" w:color="auto"/>
          </w:divBdr>
        </w:div>
        <w:div w:id="1473210128">
          <w:marLeft w:val="0"/>
          <w:marRight w:val="0"/>
          <w:marTop w:val="0"/>
          <w:marBottom w:val="0"/>
          <w:divBdr>
            <w:top w:val="none" w:sz="0" w:space="0" w:color="auto"/>
            <w:left w:val="none" w:sz="0" w:space="0" w:color="auto"/>
            <w:bottom w:val="none" w:sz="0" w:space="0" w:color="auto"/>
            <w:right w:val="none" w:sz="0" w:space="0" w:color="auto"/>
          </w:divBdr>
        </w:div>
        <w:div w:id="1561597562">
          <w:marLeft w:val="0"/>
          <w:marRight w:val="0"/>
          <w:marTop w:val="0"/>
          <w:marBottom w:val="0"/>
          <w:divBdr>
            <w:top w:val="none" w:sz="0" w:space="0" w:color="auto"/>
            <w:left w:val="none" w:sz="0" w:space="0" w:color="auto"/>
            <w:bottom w:val="none" w:sz="0" w:space="0" w:color="auto"/>
            <w:right w:val="none" w:sz="0" w:space="0" w:color="auto"/>
          </w:divBdr>
        </w:div>
        <w:div w:id="1623263134">
          <w:marLeft w:val="0"/>
          <w:marRight w:val="0"/>
          <w:marTop w:val="0"/>
          <w:marBottom w:val="0"/>
          <w:divBdr>
            <w:top w:val="none" w:sz="0" w:space="0" w:color="auto"/>
            <w:left w:val="none" w:sz="0" w:space="0" w:color="auto"/>
            <w:bottom w:val="none" w:sz="0" w:space="0" w:color="auto"/>
            <w:right w:val="none" w:sz="0" w:space="0" w:color="auto"/>
          </w:divBdr>
        </w:div>
        <w:div w:id="1760369114">
          <w:marLeft w:val="0"/>
          <w:marRight w:val="0"/>
          <w:marTop w:val="0"/>
          <w:marBottom w:val="0"/>
          <w:divBdr>
            <w:top w:val="none" w:sz="0" w:space="0" w:color="auto"/>
            <w:left w:val="none" w:sz="0" w:space="0" w:color="auto"/>
            <w:bottom w:val="none" w:sz="0" w:space="0" w:color="auto"/>
            <w:right w:val="none" w:sz="0" w:space="0" w:color="auto"/>
          </w:divBdr>
        </w:div>
        <w:div w:id="1771774258">
          <w:marLeft w:val="0"/>
          <w:marRight w:val="0"/>
          <w:marTop w:val="0"/>
          <w:marBottom w:val="0"/>
          <w:divBdr>
            <w:top w:val="none" w:sz="0" w:space="0" w:color="auto"/>
            <w:left w:val="none" w:sz="0" w:space="0" w:color="auto"/>
            <w:bottom w:val="none" w:sz="0" w:space="0" w:color="auto"/>
            <w:right w:val="none" w:sz="0" w:space="0" w:color="auto"/>
          </w:divBdr>
        </w:div>
        <w:div w:id="1809350561">
          <w:marLeft w:val="0"/>
          <w:marRight w:val="0"/>
          <w:marTop w:val="0"/>
          <w:marBottom w:val="0"/>
          <w:divBdr>
            <w:top w:val="none" w:sz="0" w:space="0" w:color="auto"/>
            <w:left w:val="none" w:sz="0" w:space="0" w:color="auto"/>
            <w:bottom w:val="none" w:sz="0" w:space="0" w:color="auto"/>
            <w:right w:val="none" w:sz="0" w:space="0" w:color="auto"/>
          </w:divBdr>
        </w:div>
        <w:div w:id="1846482829">
          <w:marLeft w:val="0"/>
          <w:marRight w:val="0"/>
          <w:marTop w:val="0"/>
          <w:marBottom w:val="0"/>
          <w:divBdr>
            <w:top w:val="none" w:sz="0" w:space="0" w:color="auto"/>
            <w:left w:val="none" w:sz="0" w:space="0" w:color="auto"/>
            <w:bottom w:val="none" w:sz="0" w:space="0" w:color="auto"/>
            <w:right w:val="none" w:sz="0" w:space="0" w:color="auto"/>
          </w:divBdr>
        </w:div>
        <w:div w:id="1885673867">
          <w:marLeft w:val="0"/>
          <w:marRight w:val="0"/>
          <w:marTop w:val="0"/>
          <w:marBottom w:val="0"/>
          <w:divBdr>
            <w:top w:val="none" w:sz="0" w:space="0" w:color="auto"/>
            <w:left w:val="none" w:sz="0" w:space="0" w:color="auto"/>
            <w:bottom w:val="none" w:sz="0" w:space="0" w:color="auto"/>
            <w:right w:val="none" w:sz="0" w:space="0" w:color="auto"/>
          </w:divBdr>
        </w:div>
        <w:div w:id="1914849755">
          <w:marLeft w:val="0"/>
          <w:marRight w:val="0"/>
          <w:marTop w:val="0"/>
          <w:marBottom w:val="0"/>
          <w:divBdr>
            <w:top w:val="none" w:sz="0" w:space="0" w:color="auto"/>
            <w:left w:val="none" w:sz="0" w:space="0" w:color="auto"/>
            <w:bottom w:val="none" w:sz="0" w:space="0" w:color="auto"/>
            <w:right w:val="none" w:sz="0" w:space="0" w:color="auto"/>
          </w:divBdr>
        </w:div>
        <w:div w:id="1981690472">
          <w:marLeft w:val="0"/>
          <w:marRight w:val="0"/>
          <w:marTop w:val="0"/>
          <w:marBottom w:val="0"/>
          <w:divBdr>
            <w:top w:val="none" w:sz="0" w:space="0" w:color="auto"/>
            <w:left w:val="none" w:sz="0" w:space="0" w:color="auto"/>
            <w:bottom w:val="none" w:sz="0" w:space="0" w:color="auto"/>
            <w:right w:val="none" w:sz="0" w:space="0" w:color="auto"/>
          </w:divBdr>
        </w:div>
      </w:divsChild>
    </w:div>
    <w:div w:id="188422249">
      <w:bodyDiv w:val="1"/>
      <w:marLeft w:val="0"/>
      <w:marRight w:val="0"/>
      <w:marTop w:val="0"/>
      <w:marBottom w:val="0"/>
      <w:divBdr>
        <w:top w:val="none" w:sz="0" w:space="0" w:color="auto"/>
        <w:left w:val="none" w:sz="0" w:space="0" w:color="auto"/>
        <w:bottom w:val="none" w:sz="0" w:space="0" w:color="auto"/>
        <w:right w:val="none" w:sz="0" w:space="0" w:color="auto"/>
      </w:divBdr>
      <w:divsChild>
        <w:div w:id="1022975226">
          <w:marLeft w:val="0"/>
          <w:marRight w:val="0"/>
          <w:marTop w:val="0"/>
          <w:marBottom w:val="0"/>
          <w:divBdr>
            <w:top w:val="none" w:sz="0" w:space="0" w:color="auto"/>
            <w:left w:val="none" w:sz="0" w:space="0" w:color="auto"/>
            <w:bottom w:val="none" w:sz="0" w:space="0" w:color="auto"/>
            <w:right w:val="none" w:sz="0" w:space="0" w:color="auto"/>
          </w:divBdr>
          <w:divsChild>
            <w:div w:id="174350037">
              <w:marLeft w:val="0"/>
              <w:marRight w:val="0"/>
              <w:marTop w:val="0"/>
              <w:marBottom w:val="0"/>
              <w:divBdr>
                <w:top w:val="none" w:sz="0" w:space="0" w:color="auto"/>
                <w:left w:val="none" w:sz="0" w:space="0" w:color="auto"/>
                <w:bottom w:val="none" w:sz="0" w:space="0" w:color="auto"/>
                <w:right w:val="none" w:sz="0" w:space="0" w:color="auto"/>
              </w:divBdr>
            </w:div>
            <w:div w:id="855849597">
              <w:marLeft w:val="0"/>
              <w:marRight w:val="0"/>
              <w:marTop w:val="0"/>
              <w:marBottom w:val="0"/>
              <w:divBdr>
                <w:top w:val="none" w:sz="0" w:space="0" w:color="auto"/>
                <w:left w:val="none" w:sz="0" w:space="0" w:color="auto"/>
                <w:bottom w:val="none" w:sz="0" w:space="0" w:color="auto"/>
                <w:right w:val="none" w:sz="0" w:space="0" w:color="auto"/>
              </w:divBdr>
            </w:div>
            <w:div w:id="159516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1264">
      <w:bodyDiv w:val="1"/>
      <w:marLeft w:val="0"/>
      <w:marRight w:val="0"/>
      <w:marTop w:val="0"/>
      <w:marBottom w:val="0"/>
      <w:divBdr>
        <w:top w:val="none" w:sz="0" w:space="0" w:color="auto"/>
        <w:left w:val="none" w:sz="0" w:space="0" w:color="auto"/>
        <w:bottom w:val="none" w:sz="0" w:space="0" w:color="auto"/>
        <w:right w:val="none" w:sz="0" w:space="0" w:color="auto"/>
      </w:divBdr>
    </w:div>
    <w:div w:id="201404667">
      <w:bodyDiv w:val="1"/>
      <w:marLeft w:val="0"/>
      <w:marRight w:val="0"/>
      <w:marTop w:val="0"/>
      <w:marBottom w:val="0"/>
      <w:divBdr>
        <w:top w:val="none" w:sz="0" w:space="0" w:color="auto"/>
        <w:left w:val="none" w:sz="0" w:space="0" w:color="auto"/>
        <w:bottom w:val="none" w:sz="0" w:space="0" w:color="auto"/>
        <w:right w:val="none" w:sz="0" w:space="0" w:color="auto"/>
      </w:divBdr>
      <w:divsChild>
        <w:div w:id="260143409">
          <w:marLeft w:val="0"/>
          <w:marRight w:val="0"/>
          <w:marTop w:val="0"/>
          <w:marBottom w:val="0"/>
          <w:divBdr>
            <w:top w:val="none" w:sz="0" w:space="0" w:color="auto"/>
            <w:left w:val="none" w:sz="0" w:space="0" w:color="auto"/>
            <w:bottom w:val="none" w:sz="0" w:space="0" w:color="auto"/>
            <w:right w:val="none" w:sz="0" w:space="0" w:color="auto"/>
          </w:divBdr>
        </w:div>
        <w:div w:id="988440969">
          <w:marLeft w:val="0"/>
          <w:marRight w:val="0"/>
          <w:marTop w:val="0"/>
          <w:marBottom w:val="0"/>
          <w:divBdr>
            <w:top w:val="none" w:sz="0" w:space="0" w:color="auto"/>
            <w:left w:val="none" w:sz="0" w:space="0" w:color="auto"/>
            <w:bottom w:val="none" w:sz="0" w:space="0" w:color="auto"/>
            <w:right w:val="none" w:sz="0" w:space="0" w:color="auto"/>
          </w:divBdr>
        </w:div>
      </w:divsChild>
    </w:div>
    <w:div w:id="243877341">
      <w:bodyDiv w:val="1"/>
      <w:marLeft w:val="0"/>
      <w:marRight w:val="0"/>
      <w:marTop w:val="0"/>
      <w:marBottom w:val="0"/>
      <w:divBdr>
        <w:top w:val="none" w:sz="0" w:space="0" w:color="auto"/>
        <w:left w:val="none" w:sz="0" w:space="0" w:color="auto"/>
        <w:bottom w:val="none" w:sz="0" w:space="0" w:color="auto"/>
        <w:right w:val="none" w:sz="0" w:space="0" w:color="auto"/>
      </w:divBdr>
      <w:divsChild>
        <w:div w:id="370613467">
          <w:marLeft w:val="0"/>
          <w:marRight w:val="0"/>
          <w:marTop w:val="0"/>
          <w:marBottom w:val="0"/>
          <w:divBdr>
            <w:top w:val="none" w:sz="0" w:space="0" w:color="auto"/>
            <w:left w:val="none" w:sz="0" w:space="0" w:color="auto"/>
            <w:bottom w:val="none" w:sz="0" w:space="0" w:color="auto"/>
            <w:right w:val="none" w:sz="0" w:space="0" w:color="auto"/>
          </w:divBdr>
        </w:div>
      </w:divsChild>
    </w:div>
    <w:div w:id="251160457">
      <w:bodyDiv w:val="1"/>
      <w:marLeft w:val="0"/>
      <w:marRight w:val="0"/>
      <w:marTop w:val="0"/>
      <w:marBottom w:val="0"/>
      <w:divBdr>
        <w:top w:val="none" w:sz="0" w:space="0" w:color="auto"/>
        <w:left w:val="none" w:sz="0" w:space="0" w:color="auto"/>
        <w:bottom w:val="none" w:sz="0" w:space="0" w:color="auto"/>
        <w:right w:val="none" w:sz="0" w:space="0" w:color="auto"/>
      </w:divBdr>
      <w:divsChild>
        <w:div w:id="66458327">
          <w:marLeft w:val="0"/>
          <w:marRight w:val="0"/>
          <w:marTop w:val="0"/>
          <w:marBottom w:val="0"/>
          <w:divBdr>
            <w:top w:val="none" w:sz="0" w:space="0" w:color="auto"/>
            <w:left w:val="none" w:sz="0" w:space="0" w:color="auto"/>
            <w:bottom w:val="none" w:sz="0" w:space="0" w:color="auto"/>
            <w:right w:val="none" w:sz="0" w:space="0" w:color="auto"/>
          </w:divBdr>
        </w:div>
        <w:div w:id="1111784898">
          <w:marLeft w:val="0"/>
          <w:marRight w:val="0"/>
          <w:marTop w:val="0"/>
          <w:marBottom w:val="0"/>
          <w:divBdr>
            <w:top w:val="none" w:sz="0" w:space="0" w:color="auto"/>
            <w:left w:val="none" w:sz="0" w:space="0" w:color="auto"/>
            <w:bottom w:val="none" w:sz="0" w:space="0" w:color="auto"/>
            <w:right w:val="none" w:sz="0" w:space="0" w:color="auto"/>
          </w:divBdr>
        </w:div>
        <w:div w:id="1228299524">
          <w:marLeft w:val="0"/>
          <w:marRight w:val="0"/>
          <w:marTop w:val="0"/>
          <w:marBottom w:val="0"/>
          <w:divBdr>
            <w:top w:val="none" w:sz="0" w:space="0" w:color="auto"/>
            <w:left w:val="none" w:sz="0" w:space="0" w:color="auto"/>
            <w:bottom w:val="none" w:sz="0" w:space="0" w:color="auto"/>
            <w:right w:val="none" w:sz="0" w:space="0" w:color="auto"/>
          </w:divBdr>
        </w:div>
        <w:div w:id="1792823499">
          <w:marLeft w:val="0"/>
          <w:marRight w:val="0"/>
          <w:marTop w:val="0"/>
          <w:marBottom w:val="0"/>
          <w:divBdr>
            <w:top w:val="none" w:sz="0" w:space="0" w:color="auto"/>
            <w:left w:val="none" w:sz="0" w:space="0" w:color="auto"/>
            <w:bottom w:val="none" w:sz="0" w:space="0" w:color="auto"/>
            <w:right w:val="none" w:sz="0" w:space="0" w:color="auto"/>
          </w:divBdr>
        </w:div>
        <w:div w:id="2116439817">
          <w:marLeft w:val="0"/>
          <w:marRight w:val="0"/>
          <w:marTop w:val="0"/>
          <w:marBottom w:val="0"/>
          <w:divBdr>
            <w:top w:val="none" w:sz="0" w:space="0" w:color="auto"/>
            <w:left w:val="none" w:sz="0" w:space="0" w:color="auto"/>
            <w:bottom w:val="none" w:sz="0" w:space="0" w:color="auto"/>
            <w:right w:val="none" w:sz="0" w:space="0" w:color="auto"/>
          </w:divBdr>
        </w:div>
      </w:divsChild>
    </w:div>
    <w:div w:id="256524391">
      <w:bodyDiv w:val="1"/>
      <w:marLeft w:val="0"/>
      <w:marRight w:val="0"/>
      <w:marTop w:val="0"/>
      <w:marBottom w:val="0"/>
      <w:divBdr>
        <w:top w:val="none" w:sz="0" w:space="0" w:color="auto"/>
        <w:left w:val="none" w:sz="0" w:space="0" w:color="auto"/>
        <w:bottom w:val="none" w:sz="0" w:space="0" w:color="auto"/>
        <w:right w:val="none" w:sz="0" w:space="0" w:color="auto"/>
      </w:divBdr>
    </w:div>
    <w:div w:id="277223300">
      <w:bodyDiv w:val="1"/>
      <w:marLeft w:val="0"/>
      <w:marRight w:val="0"/>
      <w:marTop w:val="0"/>
      <w:marBottom w:val="0"/>
      <w:divBdr>
        <w:top w:val="none" w:sz="0" w:space="0" w:color="auto"/>
        <w:left w:val="none" w:sz="0" w:space="0" w:color="auto"/>
        <w:bottom w:val="none" w:sz="0" w:space="0" w:color="auto"/>
        <w:right w:val="none" w:sz="0" w:space="0" w:color="auto"/>
      </w:divBdr>
      <w:divsChild>
        <w:div w:id="1013193120">
          <w:marLeft w:val="0"/>
          <w:marRight w:val="0"/>
          <w:marTop w:val="0"/>
          <w:marBottom w:val="0"/>
          <w:divBdr>
            <w:top w:val="none" w:sz="0" w:space="0" w:color="auto"/>
            <w:left w:val="none" w:sz="0" w:space="0" w:color="auto"/>
            <w:bottom w:val="none" w:sz="0" w:space="0" w:color="auto"/>
            <w:right w:val="none" w:sz="0" w:space="0" w:color="auto"/>
          </w:divBdr>
        </w:div>
      </w:divsChild>
    </w:div>
    <w:div w:id="285047779">
      <w:bodyDiv w:val="1"/>
      <w:marLeft w:val="0"/>
      <w:marRight w:val="0"/>
      <w:marTop w:val="0"/>
      <w:marBottom w:val="0"/>
      <w:divBdr>
        <w:top w:val="none" w:sz="0" w:space="0" w:color="auto"/>
        <w:left w:val="none" w:sz="0" w:space="0" w:color="auto"/>
        <w:bottom w:val="none" w:sz="0" w:space="0" w:color="auto"/>
        <w:right w:val="none" w:sz="0" w:space="0" w:color="auto"/>
      </w:divBdr>
      <w:divsChild>
        <w:div w:id="672605304">
          <w:marLeft w:val="0"/>
          <w:marRight w:val="0"/>
          <w:marTop w:val="0"/>
          <w:marBottom w:val="0"/>
          <w:divBdr>
            <w:top w:val="none" w:sz="0" w:space="0" w:color="auto"/>
            <w:left w:val="none" w:sz="0" w:space="0" w:color="auto"/>
            <w:bottom w:val="none" w:sz="0" w:space="0" w:color="auto"/>
            <w:right w:val="none" w:sz="0" w:space="0" w:color="auto"/>
          </w:divBdr>
        </w:div>
        <w:div w:id="820390392">
          <w:marLeft w:val="0"/>
          <w:marRight w:val="0"/>
          <w:marTop w:val="0"/>
          <w:marBottom w:val="0"/>
          <w:divBdr>
            <w:top w:val="none" w:sz="0" w:space="0" w:color="auto"/>
            <w:left w:val="none" w:sz="0" w:space="0" w:color="auto"/>
            <w:bottom w:val="none" w:sz="0" w:space="0" w:color="auto"/>
            <w:right w:val="none" w:sz="0" w:space="0" w:color="auto"/>
          </w:divBdr>
        </w:div>
        <w:div w:id="1099985055">
          <w:marLeft w:val="0"/>
          <w:marRight w:val="0"/>
          <w:marTop w:val="0"/>
          <w:marBottom w:val="0"/>
          <w:divBdr>
            <w:top w:val="none" w:sz="0" w:space="0" w:color="auto"/>
            <w:left w:val="none" w:sz="0" w:space="0" w:color="auto"/>
            <w:bottom w:val="none" w:sz="0" w:space="0" w:color="auto"/>
            <w:right w:val="none" w:sz="0" w:space="0" w:color="auto"/>
          </w:divBdr>
        </w:div>
        <w:div w:id="1932279823">
          <w:marLeft w:val="0"/>
          <w:marRight w:val="0"/>
          <w:marTop w:val="0"/>
          <w:marBottom w:val="0"/>
          <w:divBdr>
            <w:top w:val="none" w:sz="0" w:space="0" w:color="auto"/>
            <w:left w:val="none" w:sz="0" w:space="0" w:color="auto"/>
            <w:bottom w:val="none" w:sz="0" w:space="0" w:color="auto"/>
            <w:right w:val="none" w:sz="0" w:space="0" w:color="auto"/>
          </w:divBdr>
        </w:div>
      </w:divsChild>
    </w:div>
    <w:div w:id="293487686">
      <w:bodyDiv w:val="1"/>
      <w:marLeft w:val="0"/>
      <w:marRight w:val="0"/>
      <w:marTop w:val="0"/>
      <w:marBottom w:val="0"/>
      <w:divBdr>
        <w:top w:val="none" w:sz="0" w:space="0" w:color="auto"/>
        <w:left w:val="none" w:sz="0" w:space="0" w:color="auto"/>
        <w:bottom w:val="none" w:sz="0" w:space="0" w:color="auto"/>
        <w:right w:val="none" w:sz="0" w:space="0" w:color="auto"/>
      </w:divBdr>
    </w:div>
    <w:div w:id="301036444">
      <w:bodyDiv w:val="1"/>
      <w:marLeft w:val="0"/>
      <w:marRight w:val="0"/>
      <w:marTop w:val="0"/>
      <w:marBottom w:val="0"/>
      <w:divBdr>
        <w:top w:val="none" w:sz="0" w:space="0" w:color="auto"/>
        <w:left w:val="none" w:sz="0" w:space="0" w:color="auto"/>
        <w:bottom w:val="none" w:sz="0" w:space="0" w:color="auto"/>
        <w:right w:val="none" w:sz="0" w:space="0" w:color="auto"/>
      </w:divBdr>
    </w:div>
    <w:div w:id="303126964">
      <w:bodyDiv w:val="1"/>
      <w:marLeft w:val="0"/>
      <w:marRight w:val="0"/>
      <w:marTop w:val="0"/>
      <w:marBottom w:val="0"/>
      <w:divBdr>
        <w:top w:val="none" w:sz="0" w:space="0" w:color="auto"/>
        <w:left w:val="none" w:sz="0" w:space="0" w:color="auto"/>
        <w:bottom w:val="none" w:sz="0" w:space="0" w:color="auto"/>
        <w:right w:val="none" w:sz="0" w:space="0" w:color="auto"/>
      </w:divBdr>
      <w:divsChild>
        <w:div w:id="974532454">
          <w:marLeft w:val="0"/>
          <w:marRight w:val="0"/>
          <w:marTop w:val="0"/>
          <w:marBottom w:val="0"/>
          <w:divBdr>
            <w:top w:val="none" w:sz="0" w:space="0" w:color="auto"/>
            <w:left w:val="none" w:sz="0" w:space="0" w:color="auto"/>
            <w:bottom w:val="none" w:sz="0" w:space="0" w:color="auto"/>
            <w:right w:val="none" w:sz="0" w:space="0" w:color="auto"/>
          </w:divBdr>
          <w:divsChild>
            <w:div w:id="165631688">
              <w:marLeft w:val="0"/>
              <w:marRight w:val="0"/>
              <w:marTop w:val="0"/>
              <w:marBottom w:val="0"/>
              <w:divBdr>
                <w:top w:val="none" w:sz="0" w:space="0" w:color="auto"/>
                <w:left w:val="none" w:sz="0" w:space="0" w:color="auto"/>
                <w:bottom w:val="none" w:sz="0" w:space="0" w:color="auto"/>
                <w:right w:val="none" w:sz="0" w:space="0" w:color="auto"/>
              </w:divBdr>
            </w:div>
            <w:div w:id="710225088">
              <w:marLeft w:val="0"/>
              <w:marRight w:val="0"/>
              <w:marTop w:val="0"/>
              <w:marBottom w:val="0"/>
              <w:divBdr>
                <w:top w:val="none" w:sz="0" w:space="0" w:color="auto"/>
                <w:left w:val="none" w:sz="0" w:space="0" w:color="auto"/>
                <w:bottom w:val="none" w:sz="0" w:space="0" w:color="auto"/>
                <w:right w:val="none" w:sz="0" w:space="0" w:color="auto"/>
              </w:divBdr>
            </w:div>
            <w:div w:id="724834306">
              <w:marLeft w:val="0"/>
              <w:marRight w:val="0"/>
              <w:marTop w:val="0"/>
              <w:marBottom w:val="0"/>
              <w:divBdr>
                <w:top w:val="none" w:sz="0" w:space="0" w:color="auto"/>
                <w:left w:val="none" w:sz="0" w:space="0" w:color="auto"/>
                <w:bottom w:val="none" w:sz="0" w:space="0" w:color="auto"/>
                <w:right w:val="none" w:sz="0" w:space="0" w:color="auto"/>
              </w:divBdr>
            </w:div>
            <w:div w:id="739523614">
              <w:marLeft w:val="0"/>
              <w:marRight w:val="0"/>
              <w:marTop w:val="0"/>
              <w:marBottom w:val="0"/>
              <w:divBdr>
                <w:top w:val="none" w:sz="0" w:space="0" w:color="auto"/>
                <w:left w:val="none" w:sz="0" w:space="0" w:color="auto"/>
                <w:bottom w:val="none" w:sz="0" w:space="0" w:color="auto"/>
                <w:right w:val="none" w:sz="0" w:space="0" w:color="auto"/>
              </w:divBdr>
            </w:div>
            <w:div w:id="1504198500">
              <w:marLeft w:val="0"/>
              <w:marRight w:val="0"/>
              <w:marTop w:val="0"/>
              <w:marBottom w:val="0"/>
              <w:divBdr>
                <w:top w:val="none" w:sz="0" w:space="0" w:color="auto"/>
                <w:left w:val="none" w:sz="0" w:space="0" w:color="auto"/>
                <w:bottom w:val="none" w:sz="0" w:space="0" w:color="auto"/>
                <w:right w:val="none" w:sz="0" w:space="0" w:color="auto"/>
              </w:divBdr>
            </w:div>
            <w:div w:id="2086876228">
              <w:marLeft w:val="0"/>
              <w:marRight w:val="0"/>
              <w:marTop w:val="0"/>
              <w:marBottom w:val="0"/>
              <w:divBdr>
                <w:top w:val="none" w:sz="0" w:space="0" w:color="auto"/>
                <w:left w:val="none" w:sz="0" w:space="0" w:color="auto"/>
                <w:bottom w:val="none" w:sz="0" w:space="0" w:color="auto"/>
                <w:right w:val="none" w:sz="0" w:space="0" w:color="auto"/>
              </w:divBdr>
            </w:div>
            <w:div w:id="2122068547">
              <w:marLeft w:val="0"/>
              <w:marRight w:val="0"/>
              <w:marTop w:val="0"/>
              <w:marBottom w:val="0"/>
              <w:divBdr>
                <w:top w:val="none" w:sz="0" w:space="0" w:color="auto"/>
                <w:left w:val="none" w:sz="0" w:space="0" w:color="auto"/>
                <w:bottom w:val="none" w:sz="0" w:space="0" w:color="auto"/>
                <w:right w:val="none" w:sz="0" w:space="0" w:color="auto"/>
              </w:divBdr>
            </w:div>
          </w:divsChild>
        </w:div>
        <w:div w:id="1434088643">
          <w:marLeft w:val="0"/>
          <w:marRight w:val="0"/>
          <w:marTop w:val="0"/>
          <w:marBottom w:val="0"/>
          <w:divBdr>
            <w:top w:val="none" w:sz="0" w:space="0" w:color="auto"/>
            <w:left w:val="none" w:sz="0" w:space="0" w:color="auto"/>
            <w:bottom w:val="none" w:sz="0" w:space="0" w:color="auto"/>
            <w:right w:val="none" w:sz="0" w:space="0" w:color="auto"/>
          </w:divBdr>
          <w:divsChild>
            <w:div w:id="48765640">
              <w:marLeft w:val="0"/>
              <w:marRight w:val="0"/>
              <w:marTop w:val="0"/>
              <w:marBottom w:val="0"/>
              <w:divBdr>
                <w:top w:val="none" w:sz="0" w:space="0" w:color="auto"/>
                <w:left w:val="none" w:sz="0" w:space="0" w:color="auto"/>
                <w:bottom w:val="none" w:sz="0" w:space="0" w:color="auto"/>
                <w:right w:val="none" w:sz="0" w:space="0" w:color="auto"/>
              </w:divBdr>
            </w:div>
            <w:div w:id="452748562">
              <w:marLeft w:val="0"/>
              <w:marRight w:val="0"/>
              <w:marTop w:val="0"/>
              <w:marBottom w:val="0"/>
              <w:divBdr>
                <w:top w:val="none" w:sz="0" w:space="0" w:color="auto"/>
                <w:left w:val="none" w:sz="0" w:space="0" w:color="auto"/>
                <w:bottom w:val="none" w:sz="0" w:space="0" w:color="auto"/>
                <w:right w:val="none" w:sz="0" w:space="0" w:color="auto"/>
              </w:divBdr>
            </w:div>
            <w:div w:id="864247983">
              <w:marLeft w:val="0"/>
              <w:marRight w:val="0"/>
              <w:marTop w:val="0"/>
              <w:marBottom w:val="0"/>
              <w:divBdr>
                <w:top w:val="none" w:sz="0" w:space="0" w:color="auto"/>
                <w:left w:val="none" w:sz="0" w:space="0" w:color="auto"/>
                <w:bottom w:val="none" w:sz="0" w:space="0" w:color="auto"/>
                <w:right w:val="none" w:sz="0" w:space="0" w:color="auto"/>
              </w:divBdr>
            </w:div>
            <w:div w:id="881476428">
              <w:marLeft w:val="0"/>
              <w:marRight w:val="0"/>
              <w:marTop w:val="0"/>
              <w:marBottom w:val="0"/>
              <w:divBdr>
                <w:top w:val="none" w:sz="0" w:space="0" w:color="auto"/>
                <w:left w:val="none" w:sz="0" w:space="0" w:color="auto"/>
                <w:bottom w:val="none" w:sz="0" w:space="0" w:color="auto"/>
                <w:right w:val="none" w:sz="0" w:space="0" w:color="auto"/>
              </w:divBdr>
            </w:div>
            <w:div w:id="1043866147">
              <w:marLeft w:val="0"/>
              <w:marRight w:val="0"/>
              <w:marTop w:val="0"/>
              <w:marBottom w:val="0"/>
              <w:divBdr>
                <w:top w:val="none" w:sz="0" w:space="0" w:color="auto"/>
                <w:left w:val="none" w:sz="0" w:space="0" w:color="auto"/>
                <w:bottom w:val="none" w:sz="0" w:space="0" w:color="auto"/>
                <w:right w:val="none" w:sz="0" w:space="0" w:color="auto"/>
              </w:divBdr>
            </w:div>
            <w:div w:id="136382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075944">
      <w:bodyDiv w:val="1"/>
      <w:marLeft w:val="0"/>
      <w:marRight w:val="0"/>
      <w:marTop w:val="0"/>
      <w:marBottom w:val="0"/>
      <w:divBdr>
        <w:top w:val="none" w:sz="0" w:space="0" w:color="auto"/>
        <w:left w:val="none" w:sz="0" w:space="0" w:color="auto"/>
        <w:bottom w:val="none" w:sz="0" w:space="0" w:color="auto"/>
        <w:right w:val="none" w:sz="0" w:space="0" w:color="auto"/>
      </w:divBdr>
      <w:divsChild>
        <w:div w:id="47650288">
          <w:marLeft w:val="0"/>
          <w:marRight w:val="0"/>
          <w:marTop w:val="0"/>
          <w:marBottom w:val="0"/>
          <w:divBdr>
            <w:top w:val="none" w:sz="0" w:space="0" w:color="auto"/>
            <w:left w:val="none" w:sz="0" w:space="0" w:color="auto"/>
            <w:bottom w:val="none" w:sz="0" w:space="0" w:color="auto"/>
            <w:right w:val="none" w:sz="0" w:space="0" w:color="auto"/>
          </w:divBdr>
        </w:div>
        <w:div w:id="212623324">
          <w:marLeft w:val="0"/>
          <w:marRight w:val="0"/>
          <w:marTop w:val="0"/>
          <w:marBottom w:val="0"/>
          <w:divBdr>
            <w:top w:val="none" w:sz="0" w:space="0" w:color="auto"/>
            <w:left w:val="none" w:sz="0" w:space="0" w:color="auto"/>
            <w:bottom w:val="none" w:sz="0" w:space="0" w:color="auto"/>
            <w:right w:val="none" w:sz="0" w:space="0" w:color="auto"/>
          </w:divBdr>
        </w:div>
        <w:div w:id="464200366">
          <w:marLeft w:val="0"/>
          <w:marRight w:val="0"/>
          <w:marTop w:val="0"/>
          <w:marBottom w:val="0"/>
          <w:divBdr>
            <w:top w:val="none" w:sz="0" w:space="0" w:color="auto"/>
            <w:left w:val="none" w:sz="0" w:space="0" w:color="auto"/>
            <w:bottom w:val="none" w:sz="0" w:space="0" w:color="auto"/>
            <w:right w:val="none" w:sz="0" w:space="0" w:color="auto"/>
          </w:divBdr>
        </w:div>
      </w:divsChild>
    </w:div>
    <w:div w:id="321276898">
      <w:bodyDiv w:val="1"/>
      <w:marLeft w:val="0"/>
      <w:marRight w:val="0"/>
      <w:marTop w:val="0"/>
      <w:marBottom w:val="0"/>
      <w:divBdr>
        <w:top w:val="none" w:sz="0" w:space="0" w:color="auto"/>
        <w:left w:val="none" w:sz="0" w:space="0" w:color="auto"/>
        <w:bottom w:val="none" w:sz="0" w:space="0" w:color="auto"/>
        <w:right w:val="none" w:sz="0" w:space="0" w:color="auto"/>
      </w:divBdr>
    </w:div>
    <w:div w:id="323779953">
      <w:bodyDiv w:val="1"/>
      <w:marLeft w:val="0"/>
      <w:marRight w:val="0"/>
      <w:marTop w:val="0"/>
      <w:marBottom w:val="0"/>
      <w:divBdr>
        <w:top w:val="none" w:sz="0" w:space="0" w:color="auto"/>
        <w:left w:val="none" w:sz="0" w:space="0" w:color="auto"/>
        <w:bottom w:val="none" w:sz="0" w:space="0" w:color="auto"/>
        <w:right w:val="none" w:sz="0" w:space="0" w:color="auto"/>
      </w:divBdr>
    </w:div>
    <w:div w:id="339547479">
      <w:bodyDiv w:val="1"/>
      <w:marLeft w:val="0"/>
      <w:marRight w:val="0"/>
      <w:marTop w:val="0"/>
      <w:marBottom w:val="0"/>
      <w:divBdr>
        <w:top w:val="none" w:sz="0" w:space="0" w:color="auto"/>
        <w:left w:val="none" w:sz="0" w:space="0" w:color="auto"/>
        <w:bottom w:val="none" w:sz="0" w:space="0" w:color="auto"/>
        <w:right w:val="none" w:sz="0" w:space="0" w:color="auto"/>
      </w:divBdr>
    </w:div>
    <w:div w:id="340592863">
      <w:bodyDiv w:val="1"/>
      <w:marLeft w:val="0"/>
      <w:marRight w:val="0"/>
      <w:marTop w:val="0"/>
      <w:marBottom w:val="0"/>
      <w:divBdr>
        <w:top w:val="none" w:sz="0" w:space="0" w:color="auto"/>
        <w:left w:val="none" w:sz="0" w:space="0" w:color="auto"/>
        <w:bottom w:val="none" w:sz="0" w:space="0" w:color="auto"/>
        <w:right w:val="none" w:sz="0" w:space="0" w:color="auto"/>
      </w:divBdr>
      <w:divsChild>
        <w:div w:id="182473198">
          <w:marLeft w:val="0"/>
          <w:marRight w:val="0"/>
          <w:marTop w:val="0"/>
          <w:marBottom w:val="0"/>
          <w:divBdr>
            <w:top w:val="none" w:sz="0" w:space="0" w:color="auto"/>
            <w:left w:val="none" w:sz="0" w:space="0" w:color="auto"/>
            <w:bottom w:val="none" w:sz="0" w:space="0" w:color="auto"/>
            <w:right w:val="none" w:sz="0" w:space="0" w:color="auto"/>
          </w:divBdr>
          <w:divsChild>
            <w:div w:id="14775033">
              <w:marLeft w:val="0"/>
              <w:marRight w:val="0"/>
              <w:marTop w:val="0"/>
              <w:marBottom w:val="0"/>
              <w:divBdr>
                <w:top w:val="none" w:sz="0" w:space="0" w:color="auto"/>
                <w:left w:val="none" w:sz="0" w:space="0" w:color="auto"/>
                <w:bottom w:val="none" w:sz="0" w:space="0" w:color="auto"/>
                <w:right w:val="none" w:sz="0" w:space="0" w:color="auto"/>
              </w:divBdr>
            </w:div>
            <w:div w:id="483593377">
              <w:marLeft w:val="0"/>
              <w:marRight w:val="0"/>
              <w:marTop w:val="0"/>
              <w:marBottom w:val="0"/>
              <w:divBdr>
                <w:top w:val="none" w:sz="0" w:space="0" w:color="auto"/>
                <w:left w:val="none" w:sz="0" w:space="0" w:color="auto"/>
                <w:bottom w:val="none" w:sz="0" w:space="0" w:color="auto"/>
                <w:right w:val="none" w:sz="0" w:space="0" w:color="auto"/>
              </w:divBdr>
            </w:div>
            <w:div w:id="1120537840">
              <w:marLeft w:val="0"/>
              <w:marRight w:val="0"/>
              <w:marTop w:val="0"/>
              <w:marBottom w:val="0"/>
              <w:divBdr>
                <w:top w:val="none" w:sz="0" w:space="0" w:color="auto"/>
                <w:left w:val="none" w:sz="0" w:space="0" w:color="auto"/>
                <w:bottom w:val="none" w:sz="0" w:space="0" w:color="auto"/>
                <w:right w:val="none" w:sz="0" w:space="0" w:color="auto"/>
              </w:divBdr>
            </w:div>
            <w:div w:id="1256982949">
              <w:marLeft w:val="0"/>
              <w:marRight w:val="0"/>
              <w:marTop w:val="0"/>
              <w:marBottom w:val="0"/>
              <w:divBdr>
                <w:top w:val="none" w:sz="0" w:space="0" w:color="auto"/>
                <w:left w:val="none" w:sz="0" w:space="0" w:color="auto"/>
                <w:bottom w:val="none" w:sz="0" w:space="0" w:color="auto"/>
                <w:right w:val="none" w:sz="0" w:space="0" w:color="auto"/>
              </w:divBdr>
            </w:div>
            <w:div w:id="1363937255">
              <w:marLeft w:val="0"/>
              <w:marRight w:val="0"/>
              <w:marTop w:val="0"/>
              <w:marBottom w:val="0"/>
              <w:divBdr>
                <w:top w:val="none" w:sz="0" w:space="0" w:color="auto"/>
                <w:left w:val="none" w:sz="0" w:space="0" w:color="auto"/>
                <w:bottom w:val="none" w:sz="0" w:space="0" w:color="auto"/>
                <w:right w:val="none" w:sz="0" w:space="0" w:color="auto"/>
              </w:divBdr>
            </w:div>
            <w:div w:id="1626081757">
              <w:marLeft w:val="0"/>
              <w:marRight w:val="0"/>
              <w:marTop w:val="0"/>
              <w:marBottom w:val="0"/>
              <w:divBdr>
                <w:top w:val="none" w:sz="0" w:space="0" w:color="auto"/>
                <w:left w:val="none" w:sz="0" w:space="0" w:color="auto"/>
                <w:bottom w:val="none" w:sz="0" w:space="0" w:color="auto"/>
                <w:right w:val="none" w:sz="0" w:space="0" w:color="auto"/>
              </w:divBdr>
            </w:div>
            <w:div w:id="1629319748">
              <w:marLeft w:val="0"/>
              <w:marRight w:val="0"/>
              <w:marTop w:val="0"/>
              <w:marBottom w:val="0"/>
              <w:divBdr>
                <w:top w:val="none" w:sz="0" w:space="0" w:color="auto"/>
                <w:left w:val="none" w:sz="0" w:space="0" w:color="auto"/>
                <w:bottom w:val="none" w:sz="0" w:space="0" w:color="auto"/>
                <w:right w:val="none" w:sz="0" w:space="0" w:color="auto"/>
              </w:divBdr>
            </w:div>
            <w:div w:id="1703818671">
              <w:marLeft w:val="0"/>
              <w:marRight w:val="0"/>
              <w:marTop w:val="0"/>
              <w:marBottom w:val="0"/>
              <w:divBdr>
                <w:top w:val="none" w:sz="0" w:space="0" w:color="auto"/>
                <w:left w:val="none" w:sz="0" w:space="0" w:color="auto"/>
                <w:bottom w:val="none" w:sz="0" w:space="0" w:color="auto"/>
                <w:right w:val="none" w:sz="0" w:space="0" w:color="auto"/>
              </w:divBdr>
            </w:div>
            <w:div w:id="1852183770">
              <w:marLeft w:val="0"/>
              <w:marRight w:val="0"/>
              <w:marTop w:val="0"/>
              <w:marBottom w:val="0"/>
              <w:divBdr>
                <w:top w:val="none" w:sz="0" w:space="0" w:color="auto"/>
                <w:left w:val="none" w:sz="0" w:space="0" w:color="auto"/>
                <w:bottom w:val="none" w:sz="0" w:space="0" w:color="auto"/>
                <w:right w:val="none" w:sz="0" w:space="0" w:color="auto"/>
              </w:divBdr>
            </w:div>
            <w:div w:id="2004770910">
              <w:marLeft w:val="0"/>
              <w:marRight w:val="0"/>
              <w:marTop w:val="0"/>
              <w:marBottom w:val="0"/>
              <w:divBdr>
                <w:top w:val="none" w:sz="0" w:space="0" w:color="auto"/>
                <w:left w:val="none" w:sz="0" w:space="0" w:color="auto"/>
                <w:bottom w:val="none" w:sz="0" w:space="0" w:color="auto"/>
                <w:right w:val="none" w:sz="0" w:space="0" w:color="auto"/>
              </w:divBdr>
            </w:div>
          </w:divsChild>
        </w:div>
        <w:div w:id="671493100">
          <w:marLeft w:val="0"/>
          <w:marRight w:val="0"/>
          <w:marTop w:val="0"/>
          <w:marBottom w:val="0"/>
          <w:divBdr>
            <w:top w:val="none" w:sz="0" w:space="0" w:color="auto"/>
            <w:left w:val="none" w:sz="0" w:space="0" w:color="auto"/>
            <w:bottom w:val="none" w:sz="0" w:space="0" w:color="auto"/>
            <w:right w:val="none" w:sz="0" w:space="0" w:color="auto"/>
          </w:divBdr>
          <w:divsChild>
            <w:div w:id="611667169">
              <w:marLeft w:val="0"/>
              <w:marRight w:val="0"/>
              <w:marTop w:val="0"/>
              <w:marBottom w:val="0"/>
              <w:divBdr>
                <w:top w:val="none" w:sz="0" w:space="0" w:color="auto"/>
                <w:left w:val="none" w:sz="0" w:space="0" w:color="auto"/>
                <w:bottom w:val="none" w:sz="0" w:space="0" w:color="auto"/>
                <w:right w:val="none" w:sz="0" w:space="0" w:color="auto"/>
              </w:divBdr>
            </w:div>
            <w:div w:id="789131365">
              <w:marLeft w:val="0"/>
              <w:marRight w:val="0"/>
              <w:marTop w:val="0"/>
              <w:marBottom w:val="0"/>
              <w:divBdr>
                <w:top w:val="none" w:sz="0" w:space="0" w:color="auto"/>
                <w:left w:val="none" w:sz="0" w:space="0" w:color="auto"/>
                <w:bottom w:val="none" w:sz="0" w:space="0" w:color="auto"/>
                <w:right w:val="none" w:sz="0" w:space="0" w:color="auto"/>
              </w:divBdr>
            </w:div>
            <w:div w:id="1632781838">
              <w:marLeft w:val="0"/>
              <w:marRight w:val="0"/>
              <w:marTop w:val="0"/>
              <w:marBottom w:val="0"/>
              <w:divBdr>
                <w:top w:val="none" w:sz="0" w:space="0" w:color="auto"/>
                <w:left w:val="none" w:sz="0" w:space="0" w:color="auto"/>
                <w:bottom w:val="none" w:sz="0" w:space="0" w:color="auto"/>
                <w:right w:val="none" w:sz="0" w:space="0" w:color="auto"/>
              </w:divBdr>
            </w:div>
            <w:div w:id="175022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056039">
      <w:bodyDiv w:val="1"/>
      <w:marLeft w:val="0"/>
      <w:marRight w:val="0"/>
      <w:marTop w:val="0"/>
      <w:marBottom w:val="0"/>
      <w:divBdr>
        <w:top w:val="none" w:sz="0" w:space="0" w:color="auto"/>
        <w:left w:val="none" w:sz="0" w:space="0" w:color="auto"/>
        <w:bottom w:val="none" w:sz="0" w:space="0" w:color="auto"/>
        <w:right w:val="none" w:sz="0" w:space="0" w:color="auto"/>
      </w:divBdr>
    </w:div>
    <w:div w:id="341467793">
      <w:bodyDiv w:val="1"/>
      <w:marLeft w:val="0"/>
      <w:marRight w:val="0"/>
      <w:marTop w:val="0"/>
      <w:marBottom w:val="0"/>
      <w:divBdr>
        <w:top w:val="none" w:sz="0" w:space="0" w:color="auto"/>
        <w:left w:val="none" w:sz="0" w:space="0" w:color="auto"/>
        <w:bottom w:val="none" w:sz="0" w:space="0" w:color="auto"/>
        <w:right w:val="none" w:sz="0" w:space="0" w:color="auto"/>
      </w:divBdr>
    </w:div>
    <w:div w:id="353042772">
      <w:bodyDiv w:val="1"/>
      <w:marLeft w:val="0"/>
      <w:marRight w:val="0"/>
      <w:marTop w:val="0"/>
      <w:marBottom w:val="0"/>
      <w:divBdr>
        <w:top w:val="none" w:sz="0" w:space="0" w:color="auto"/>
        <w:left w:val="none" w:sz="0" w:space="0" w:color="auto"/>
        <w:bottom w:val="none" w:sz="0" w:space="0" w:color="auto"/>
        <w:right w:val="none" w:sz="0" w:space="0" w:color="auto"/>
      </w:divBdr>
    </w:div>
    <w:div w:id="353502469">
      <w:bodyDiv w:val="1"/>
      <w:marLeft w:val="0"/>
      <w:marRight w:val="0"/>
      <w:marTop w:val="0"/>
      <w:marBottom w:val="0"/>
      <w:divBdr>
        <w:top w:val="none" w:sz="0" w:space="0" w:color="auto"/>
        <w:left w:val="none" w:sz="0" w:space="0" w:color="auto"/>
        <w:bottom w:val="none" w:sz="0" w:space="0" w:color="auto"/>
        <w:right w:val="none" w:sz="0" w:space="0" w:color="auto"/>
      </w:divBdr>
    </w:div>
    <w:div w:id="362748941">
      <w:bodyDiv w:val="1"/>
      <w:marLeft w:val="0"/>
      <w:marRight w:val="0"/>
      <w:marTop w:val="0"/>
      <w:marBottom w:val="0"/>
      <w:divBdr>
        <w:top w:val="none" w:sz="0" w:space="0" w:color="auto"/>
        <w:left w:val="none" w:sz="0" w:space="0" w:color="auto"/>
        <w:bottom w:val="none" w:sz="0" w:space="0" w:color="auto"/>
        <w:right w:val="none" w:sz="0" w:space="0" w:color="auto"/>
      </w:divBdr>
      <w:divsChild>
        <w:div w:id="1093547491">
          <w:marLeft w:val="0"/>
          <w:marRight w:val="0"/>
          <w:marTop w:val="0"/>
          <w:marBottom w:val="0"/>
          <w:divBdr>
            <w:top w:val="none" w:sz="0" w:space="0" w:color="auto"/>
            <w:left w:val="none" w:sz="0" w:space="0" w:color="auto"/>
            <w:bottom w:val="none" w:sz="0" w:space="0" w:color="auto"/>
            <w:right w:val="none" w:sz="0" w:space="0" w:color="auto"/>
          </w:divBdr>
        </w:div>
        <w:div w:id="1635285191">
          <w:marLeft w:val="0"/>
          <w:marRight w:val="0"/>
          <w:marTop w:val="0"/>
          <w:marBottom w:val="0"/>
          <w:divBdr>
            <w:top w:val="none" w:sz="0" w:space="0" w:color="auto"/>
            <w:left w:val="none" w:sz="0" w:space="0" w:color="auto"/>
            <w:bottom w:val="none" w:sz="0" w:space="0" w:color="auto"/>
            <w:right w:val="none" w:sz="0" w:space="0" w:color="auto"/>
          </w:divBdr>
        </w:div>
      </w:divsChild>
    </w:div>
    <w:div w:id="369307881">
      <w:bodyDiv w:val="1"/>
      <w:marLeft w:val="0"/>
      <w:marRight w:val="0"/>
      <w:marTop w:val="0"/>
      <w:marBottom w:val="0"/>
      <w:divBdr>
        <w:top w:val="none" w:sz="0" w:space="0" w:color="auto"/>
        <w:left w:val="none" w:sz="0" w:space="0" w:color="auto"/>
        <w:bottom w:val="none" w:sz="0" w:space="0" w:color="auto"/>
        <w:right w:val="none" w:sz="0" w:space="0" w:color="auto"/>
      </w:divBdr>
    </w:div>
    <w:div w:id="375739236">
      <w:bodyDiv w:val="1"/>
      <w:marLeft w:val="0"/>
      <w:marRight w:val="0"/>
      <w:marTop w:val="0"/>
      <w:marBottom w:val="0"/>
      <w:divBdr>
        <w:top w:val="none" w:sz="0" w:space="0" w:color="auto"/>
        <w:left w:val="none" w:sz="0" w:space="0" w:color="auto"/>
        <w:bottom w:val="none" w:sz="0" w:space="0" w:color="auto"/>
        <w:right w:val="none" w:sz="0" w:space="0" w:color="auto"/>
      </w:divBdr>
    </w:div>
    <w:div w:id="378012019">
      <w:bodyDiv w:val="1"/>
      <w:marLeft w:val="0"/>
      <w:marRight w:val="0"/>
      <w:marTop w:val="0"/>
      <w:marBottom w:val="0"/>
      <w:divBdr>
        <w:top w:val="none" w:sz="0" w:space="0" w:color="auto"/>
        <w:left w:val="none" w:sz="0" w:space="0" w:color="auto"/>
        <w:bottom w:val="none" w:sz="0" w:space="0" w:color="auto"/>
        <w:right w:val="none" w:sz="0" w:space="0" w:color="auto"/>
      </w:divBdr>
    </w:div>
    <w:div w:id="378097009">
      <w:bodyDiv w:val="1"/>
      <w:marLeft w:val="0"/>
      <w:marRight w:val="0"/>
      <w:marTop w:val="0"/>
      <w:marBottom w:val="0"/>
      <w:divBdr>
        <w:top w:val="none" w:sz="0" w:space="0" w:color="auto"/>
        <w:left w:val="none" w:sz="0" w:space="0" w:color="auto"/>
        <w:bottom w:val="none" w:sz="0" w:space="0" w:color="auto"/>
        <w:right w:val="none" w:sz="0" w:space="0" w:color="auto"/>
      </w:divBdr>
      <w:divsChild>
        <w:div w:id="544488029">
          <w:marLeft w:val="0"/>
          <w:marRight w:val="0"/>
          <w:marTop w:val="0"/>
          <w:marBottom w:val="0"/>
          <w:divBdr>
            <w:top w:val="none" w:sz="0" w:space="0" w:color="auto"/>
            <w:left w:val="none" w:sz="0" w:space="0" w:color="auto"/>
            <w:bottom w:val="none" w:sz="0" w:space="0" w:color="auto"/>
            <w:right w:val="none" w:sz="0" w:space="0" w:color="auto"/>
          </w:divBdr>
        </w:div>
      </w:divsChild>
    </w:div>
    <w:div w:id="378671579">
      <w:bodyDiv w:val="1"/>
      <w:marLeft w:val="0"/>
      <w:marRight w:val="0"/>
      <w:marTop w:val="0"/>
      <w:marBottom w:val="0"/>
      <w:divBdr>
        <w:top w:val="none" w:sz="0" w:space="0" w:color="auto"/>
        <w:left w:val="none" w:sz="0" w:space="0" w:color="auto"/>
        <w:bottom w:val="none" w:sz="0" w:space="0" w:color="auto"/>
        <w:right w:val="none" w:sz="0" w:space="0" w:color="auto"/>
      </w:divBdr>
      <w:divsChild>
        <w:div w:id="1007371256">
          <w:marLeft w:val="0"/>
          <w:marRight w:val="0"/>
          <w:marTop w:val="0"/>
          <w:marBottom w:val="0"/>
          <w:divBdr>
            <w:top w:val="none" w:sz="0" w:space="0" w:color="auto"/>
            <w:left w:val="none" w:sz="0" w:space="0" w:color="auto"/>
            <w:bottom w:val="none" w:sz="0" w:space="0" w:color="auto"/>
            <w:right w:val="none" w:sz="0" w:space="0" w:color="auto"/>
          </w:divBdr>
        </w:div>
      </w:divsChild>
    </w:div>
    <w:div w:id="393892611">
      <w:bodyDiv w:val="1"/>
      <w:marLeft w:val="0"/>
      <w:marRight w:val="0"/>
      <w:marTop w:val="0"/>
      <w:marBottom w:val="0"/>
      <w:divBdr>
        <w:top w:val="none" w:sz="0" w:space="0" w:color="auto"/>
        <w:left w:val="none" w:sz="0" w:space="0" w:color="auto"/>
        <w:bottom w:val="none" w:sz="0" w:space="0" w:color="auto"/>
        <w:right w:val="none" w:sz="0" w:space="0" w:color="auto"/>
      </w:divBdr>
      <w:divsChild>
        <w:div w:id="1398740924">
          <w:marLeft w:val="0"/>
          <w:marRight w:val="0"/>
          <w:marTop w:val="0"/>
          <w:marBottom w:val="0"/>
          <w:divBdr>
            <w:top w:val="none" w:sz="0" w:space="0" w:color="auto"/>
            <w:left w:val="none" w:sz="0" w:space="0" w:color="auto"/>
            <w:bottom w:val="none" w:sz="0" w:space="0" w:color="auto"/>
            <w:right w:val="none" w:sz="0" w:space="0" w:color="auto"/>
          </w:divBdr>
        </w:div>
      </w:divsChild>
    </w:div>
    <w:div w:id="397552270">
      <w:bodyDiv w:val="1"/>
      <w:marLeft w:val="0"/>
      <w:marRight w:val="0"/>
      <w:marTop w:val="0"/>
      <w:marBottom w:val="0"/>
      <w:divBdr>
        <w:top w:val="none" w:sz="0" w:space="0" w:color="auto"/>
        <w:left w:val="none" w:sz="0" w:space="0" w:color="auto"/>
        <w:bottom w:val="none" w:sz="0" w:space="0" w:color="auto"/>
        <w:right w:val="none" w:sz="0" w:space="0" w:color="auto"/>
      </w:divBdr>
    </w:div>
    <w:div w:id="400568584">
      <w:bodyDiv w:val="1"/>
      <w:marLeft w:val="0"/>
      <w:marRight w:val="0"/>
      <w:marTop w:val="0"/>
      <w:marBottom w:val="0"/>
      <w:divBdr>
        <w:top w:val="none" w:sz="0" w:space="0" w:color="auto"/>
        <w:left w:val="none" w:sz="0" w:space="0" w:color="auto"/>
        <w:bottom w:val="none" w:sz="0" w:space="0" w:color="auto"/>
        <w:right w:val="none" w:sz="0" w:space="0" w:color="auto"/>
      </w:divBdr>
    </w:div>
    <w:div w:id="407574450">
      <w:bodyDiv w:val="1"/>
      <w:marLeft w:val="0"/>
      <w:marRight w:val="0"/>
      <w:marTop w:val="0"/>
      <w:marBottom w:val="0"/>
      <w:divBdr>
        <w:top w:val="none" w:sz="0" w:space="0" w:color="auto"/>
        <w:left w:val="none" w:sz="0" w:space="0" w:color="auto"/>
        <w:bottom w:val="none" w:sz="0" w:space="0" w:color="auto"/>
        <w:right w:val="none" w:sz="0" w:space="0" w:color="auto"/>
      </w:divBdr>
    </w:div>
    <w:div w:id="412094983">
      <w:bodyDiv w:val="1"/>
      <w:marLeft w:val="0"/>
      <w:marRight w:val="0"/>
      <w:marTop w:val="0"/>
      <w:marBottom w:val="0"/>
      <w:divBdr>
        <w:top w:val="none" w:sz="0" w:space="0" w:color="auto"/>
        <w:left w:val="none" w:sz="0" w:space="0" w:color="auto"/>
        <w:bottom w:val="none" w:sz="0" w:space="0" w:color="auto"/>
        <w:right w:val="none" w:sz="0" w:space="0" w:color="auto"/>
      </w:divBdr>
    </w:div>
    <w:div w:id="413556673">
      <w:bodyDiv w:val="1"/>
      <w:marLeft w:val="0"/>
      <w:marRight w:val="0"/>
      <w:marTop w:val="0"/>
      <w:marBottom w:val="0"/>
      <w:divBdr>
        <w:top w:val="none" w:sz="0" w:space="0" w:color="auto"/>
        <w:left w:val="none" w:sz="0" w:space="0" w:color="auto"/>
        <w:bottom w:val="none" w:sz="0" w:space="0" w:color="auto"/>
        <w:right w:val="none" w:sz="0" w:space="0" w:color="auto"/>
      </w:divBdr>
    </w:div>
    <w:div w:id="418136413">
      <w:bodyDiv w:val="1"/>
      <w:marLeft w:val="0"/>
      <w:marRight w:val="0"/>
      <w:marTop w:val="0"/>
      <w:marBottom w:val="0"/>
      <w:divBdr>
        <w:top w:val="none" w:sz="0" w:space="0" w:color="auto"/>
        <w:left w:val="none" w:sz="0" w:space="0" w:color="auto"/>
        <w:bottom w:val="none" w:sz="0" w:space="0" w:color="auto"/>
        <w:right w:val="none" w:sz="0" w:space="0" w:color="auto"/>
      </w:divBdr>
    </w:div>
    <w:div w:id="430972253">
      <w:bodyDiv w:val="1"/>
      <w:marLeft w:val="0"/>
      <w:marRight w:val="0"/>
      <w:marTop w:val="0"/>
      <w:marBottom w:val="0"/>
      <w:divBdr>
        <w:top w:val="none" w:sz="0" w:space="0" w:color="auto"/>
        <w:left w:val="none" w:sz="0" w:space="0" w:color="auto"/>
        <w:bottom w:val="none" w:sz="0" w:space="0" w:color="auto"/>
        <w:right w:val="none" w:sz="0" w:space="0" w:color="auto"/>
      </w:divBdr>
    </w:div>
    <w:div w:id="433404265">
      <w:bodyDiv w:val="1"/>
      <w:marLeft w:val="0"/>
      <w:marRight w:val="0"/>
      <w:marTop w:val="0"/>
      <w:marBottom w:val="0"/>
      <w:divBdr>
        <w:top w:val="none" w:sz="0" w:space="0" w:color="auto"/>
        <w:left w:val="none" w:sz="0" w:space="0" w:color="auto"/>
        <w:bottom w:val="none" w:sz="0" w:space="0" w:color="auto"/>
        <w:right w:val="none" w:sz="0" w:space="0" w:color="auto"/>
      </w:divBdr>
    </w:div>
    <w:div w:id="440345740">
      <w:bodyDiv w:val="1"/>
      <w:marLeft w:val="0"/>
      <w:marRight w:val="0"/>
      <w:marTop w:val="0"/>
      <w:marBottom w:val="0"/>
      <w:divBdr>
        <w:top w:val="none" w:sz="0" w:space="0" w:color="auto"/>
        <w:left w:val="none" w:sz="0" w:space="0" w:color="auto"/>
        <w:bottom w:val="none" w:sz="0" w:space="0" w:color="auto"/>
        <w:right w:val="none" w:sz="0" w:space="0" w:color="auto"/>
      </w:divBdr>
      <w:divsChild>
        <w:div w:id="1089038250">
          <w:marLeft w:val="0"/>
          <w:marRight w:val="0"/>
          <w:marTop w:val="0"/>
          <w:marBottom w:val="0"/>
          <w:divBdr>
            <w:top w:val="none" w:sz="0" w:space="0" w:color="auto"/>
            <w:left w:val="none" w:sz="0" w:space="0" w:color="auto"/>
            <w:bottom w:val="none" w:sz="0" w:space="0" w:color="auto"/>
            <w:right w:val="none" w:sz="0" w:space="0" w:color="auto"/>
          </w:divBdr>
        </w:div>
        <w:div w:id="1156994922">
          <w:marLeft w:val="0"/>
          <w:marRight w:val="0"/>
          <w:marTop w:val="0"/>
          <w:marBottom w:val="0"/>
          <w:divBdr>
            <w:top w:val="none" w:sz="0" w:space="0" w:color="auto"/>
            <w:left w:val="none" w:sz="0" w:space="0" w:color="auto"/>
            <w:bottom w:val="none" w:sz="0" w:space="0" w:color="auto"/>
            <w:right w:val="none" w:sz="0" w:space="0" w:color="auto"/>
          </w:divBdr>
        </w:div>
        <w:div w:id="1396969888">
          <w:marLeft w:val="0"/>
          <w:marRight w:val="0"/>
          <w:marTop w:val="0"/>
          <w:marBottom w:val="0"/>
          <w:divBdr>
            <w:top w:val="none" w:sz="0" w:space="0" w:color="auto"/>
            <w:left w:val="none" w:sz="0" w:space="0" w:color="auto"/>
            <w:bottom w:val="none" w:sz="0" w:space="0" w:color="auto"/>
            <w:right w:val="none" w:sz="0" w:space="0" w:color="auto"/>
          </w:divBdr>
        </w:div>
        <w:div w:id="1526559227">
          <w:marLeft w:val="0"/>
          <w:marRight w:val="0"/>
          <w:marTop w:val="0"/>
          <w:marBottom w:val="0"/>
          <w:divBdr>
            <w:top w:val="none" w:sz="0" w:space="0" w:color="auto"/>
            <w:left w:val="none" w:sz="0" w:space="0" w:color="auto"/>
            <w:bottom w:val="none" w:sz="0" w:space="0" w:color="auto"/>
            <w:right w:val="none" w:sz="0" w:space="0" w:color="auto"/>
          </w:divBdr>
        </w:div>
        <w:div w:id="1671252548">
          <w:marLeft w:val="0"/>
          <w:marRight w:val="0"/>
          <w:marTop w:val="0"/>
          <w:marBottom w:val="0"/>
          <w:divBdr>
            <w:top w:val="none" w:sz="0" w:space="0" w:color="auto"/>
            <w:left w:val="none" w:sz="0" w:space="0" w:color="auto"/>
            <w:bottom w:val="none" w:sz="0" w:space="0" w:color="auto"/>
            <w:right w:val="none" w:sz="0" w:space="0" w:color="auto"/>
          </w:divBdr>
        </w:div>
      </w:divsChild>
    </w:div>
    <w:div w:id="461659455">
      <w:bodyDiv w:val="1"/>
      <w:marLeft w:val="0"/>
      <w:marRight w:val="0"/>
      <w:marTop w:val="0"/>
      <w:marBottom w:val="0"/>
      <w:divBdr>
        <w:top w:val="none" w:sz="0" w:space="0" w:color="auto"/>
        <w:left w:val="none" w:sz="0" w:space="0" w:color="auto"/>
        <w:bottom w:val="none" w:sz="0" w:space="0" w:color="auto"/>
        <w:right w:val="none" w:sz="0" w:space="0" w:color="auto"/>
      </w:divBdr>
    </w:div>
    <w:div w:id="471139292">
      <w:bodyDiv w:val="1"/>
      <w:marLeft w:val="0"/>
      <w:marRight w:val="0"/>
      <w:marTop w:val="0"/>
      <w:marBottom w:val="0"/>
      <w:divBdr>
        <w:top w:val="none" w:sz="0" w:space="0" w:color="auto"/>
        <w:left w:val="none" w:sz="0" w:space="0" w:color="auto"/>
        <w:bottom w:val="none" w:sz="0" w:space="0" w:color="auto"/>
        <w:right w:val="none" w:sz="0" w:space="0" w:color="auto"/>
      </w:divBdr>
      <w:divsChild>
        <w:div w:id="2031908963">
          <w:marLeft w:val="0"/>
          <w:marRight w:val="0"/>
          <w:marTop w:val="0"/>
          <w:marBottom w:val="0"/>
          <w:divBdr>
            <w:top w:val="none" w:sz="0" w:space="0" w:color="auto"/>
            <w:left w:val="none" w:sz="0" w:space="0" w:color="auto"/>
            <w:bottom w:val="none" w:sz="0" w:space="0" w:color="auto"/>
            <w:right w:val="none" w:sz="0" w:space="0" w:color="auto"/>
          </w:divBdr>
        </w:div>
      </w:divsChild>
    </w:div>
    <w:div w:id="486020365">
      <w:bodyDiv w:val="1"/>
      <w:marLeft w:val="0"/>
      <w:marRight w:val="0"/>
      <w:marTop w:val="0"/>
      <w:marBottom w:val="0"/>
      <w:divBdr>
        <w:top w:val="none" w:sz="0" w:space="0" w:color="auto"/>
        <w:left w:val="none" w:sz="0" w:space="0" w:color="auto"/>
        <w:bottom w:val="none" w:sz="0" w:space="0" w:color="auto"/>
        <w:right w:val="none" w:sz="0" w:space="0" w:color="auto"/>
      </w:divBdr>
      <w:divsChild>
        <w:div w:id="457189760">
          <w:marLeft w:val="0"/>
          <w:marRight w:val="0"/>
          <w:marTop w:val="0"/>
          <w:marBottom w:val="0"/>
          <w:divBdr>
            <w:top w:val="none" w:sz="0" w:space="0" w:color="auto"/>
            <w:left w:val="none" w:sz="0" w:space="0" w:color="auto"/>
            <w:bottom w:val="none" w:sz="0" w:space="0" w:color="auto"/>
            <w:right w:val="none" w:sz="0" w:space="0" w:color="auto"/>
          </w:divBdr>
        </w:div>
      </w:divsChild>
    </w:div>
    <w:div w:id="491338246">
      <w:bodyDiv w:val="1"/>
      <w:marLeft w:val="0"/>
      <w:marRight w:val="0"/>
      <w:marTop w:val="0"/>
      <w:marBottom w:val="0"/>
      <w:divBdr>
        <w:top w:val="none" w:sz="0" w:space="0" w:color="auto"/>
        <w:left w:val="none" w:sz="0" w:space="0" w:color="auto"/>
        <w:bottom w:val="none" w:sz="0" w:space="0" w:color="auto"/>
        <w:right w:val="none" w:sz="0" w:space="0" w:color="auto"/>
      </w:divBdr>
      <w:divsChild>
        <w:div w:id="1807384058">
          <w:marLeft w:val="0"/>
          <w:marRight w:val="0"/>
          <w:marTop w:val="0"/>
          <w:marBottom w:val="0"/>
          <w:divBdr>
            <w:top w:val="none" w:sz="0" w:space="0" w:color="auto"/>
            <w:left w:val="none" w:sz="0" w:space="0" w:color="auto"/>
            <w:bottom w:val="none" w:sz="0" w:space="0" w:color="auto"/>
            <w:right w:val="none" w:sz="0" w:space="0" w:color="auto"/>
          </w:divBdr>
        </w:div>
      </w:divsChild>
    </w:div>
    <w:div w:id="496072677">
      <w:bodyDiv w:val="1"/>
      <w:marLeft w:val="0"/>
      <w:marRight w:val="0"/>
      <w:marTop w:val="0"/>
      <w:marBottom w:val="0"/>
      <w:divBdr>
        <w:top w:val="none" w:sz="0" w:space="0" w:color="auto"/>
        <w:left w:val="none" w:sz="0" w:space="0" w:color="auto"/>
        <w:bottom w:val="none" w:sz="0" w:space="0" w:color="auto"/>
        <w:right w:val="none" w:sz="0" w:space="0" w:color="auto"/>
      </w:divBdr>
    </w:div>
    <w:div w:id="525944754">
      <w:bodyDiv w:val="1"/>
      <w:marLeft w:val="0"/>
      <w:marRight w:val="0"/>
      <w:marTop w:val="0"/>
      <w:marBottom w:val="0"/>
      <w:divBdr>
        <w:top w:val="none" w:sz="0" w:space="0" w:color="auto"/>
        <w:left w:val="none" w:sz="0" w:space="0" w:color="auto"/>
        <w:bottom w:val="none" w:sz="0" w:space="0" w:color="auto"/>
        <w:right w:val="none" w:sz="0" w:space="0" w:color="auto"/>
      </w:divBdr>
    </w:div>
    <w:div w:id="531916414">
      <w:bodyDiv w:val="1"/>
      <w:marLeft w:val="0"/>
      <w:marRight w:val="0"/>
      <w:marTop w:val="0"/>
      <w:marBottom w:val="0"/>
      <w:divBdr>
        <w:top w:val="none" w:sz="0" w:space="0" w:color="auto"/>
        <w:left w:val="none" w:sz="0" w:space="0" w:color="auto"/>
        <w:bottom w:val="none" w:sz="0" w:space="0" w:color="auto"/>
        <w:right w:val="none" w:sz="0" w:space="0" w:color="auto"/>
      </w:divBdr>
    </w:div>
    <w:div w:id="541985329">
      <w:bodyDiv w:val="1"/>
      <w:marLeft w:val="0"/>
      <w:marRight w:val="0"/>
      <w:marTop w:val="0"/>
      <w:marBottom w:val="0"/>
      <w:divBdr>
        <w:top w:val="none" w:sz="0" w:space="0" w:color="auto"/>
        <w:left w:val="none" w:sz="0" w:space="0" w:color="auto"/>
        <w:bottom w:val="none" w:sz="0" w:space="0" w:color="auto"/>
        <w:right w:val="none" w:sz="0" w:space="0" w:color="auto"/>
      </w:divBdr>
      <w:divsChild>
        <w:div w:id="525099653">
          <w:marLeft w:val="0"/>
          <w:marRight w:val="0"/>
          <w:marTop w:val="0"/>
          <w:marBottom w:val="0"/>
          <w:divBdr>
            <w:top w:val="none" w:sz="0" w:space="0" w:color="auto"/>
            <w:left w:val="none" w:sz="0" w:space="0" w:color="auto"/>
            <w:bottom w:val="none" w:sz="0" w:space="0" w:color="auto"/>
            <w:right w:val="none" w:sz="0" w:space="0" w:color="auto"/>
          </w:divBdr>
        </w:div>
        <w:div w:id="726075178">
          <w:marLeft w:val="0"/>
          <w:marRight w:val="0"/>
          <w:marTop w:val="0"/>
          <w:marBottom w:val="0"/>
          <w:divBdr>
            <w:top w:val="none" w:sz="0" w:space="0" w:color="auto"/>
            <w:left w:val="none" w:sz="0" w:space="0" w:color="auto"/>
            <w:bottom w:val="none" w:sz="0" w:space="0" w:color="auto"/>
            <w:right w:val="none" w:sz="0" w:space="0" w:color="auto"/>
          </w:divBdr>
        </w:div>
        <w:div w:id="1784761227">
          <w:marLeft w:val="0"/>
          <w:marRight w:val="0"/>
          <w:marTop w:val="0"/>
          <w:marBottom w:val="0"/>
          <w:divBdr>
            <w:top w:val="none" w:sz="0" w:space="0" w:color="auto"/>
            <w:left w:val="none" w:sz="0" w:space="0" w:color="auto"/>
            <w:bottom w:val="none" w:sz="0" w:space="0" w:color="auto"/>
            <w:right w:val="none" w:sz="0" w:space="0" w:color="auto"/>
          </w:divBdr>
        </w:div>
        <w:div w:id="1796833128">
          <w:marLeft w:val="0"/>
          <w:marRight w:val="0"/>
          <w:marTop w:val="0"/>
          <w:marBottom w:val="0"/>
          <w:divBdr>
            <w:top w:val="none" w:sz="0" w:space="0" w:color="auto"/>
            <w:left w:val="none" w:sz="0" w:space="0" w:color="auto"/>
            <w:bottom w:val="none" w:sz="0" w:space="0" w:color="auto"/>
            <w:right w:val="none" w:sz="0" w:space="0" w:color="auto"/>
          </w:divBdr>
        </w:div>
        <w:div w:id="1970282749">
          <w:marLeft w:val="0"/>
          <w:marRight w:val="0"/>
          <w:marTop w:val="0"/>
          <w:marBottom w:val="0"/>
          <w:divBdr>
            <w:top w:val="none" w:sz="0" w:space="0" w:color="auto"/>
            <w:left w:val="none" w:sz="0" w:space="0" w:color="auto"/>
            <w:bottom w:val="none" w:sz="0" w:space="0" w:color="auto"/>
            <w:right w:val="none" w:sz="0" w:space="0" w:color="auto"/>
          </w:divBdr>
        </w:div>
      </w:divsChild>
    </w:div>
    <w:div w:id="551422497">
      <w:bodyDiv w:val="1"/>
      <w:marLeft w:val="0"/>
      <w:marRight w:val="0"/>
      <w:marTop w:val="0"/>
      <w:marBottom w:val="0"/>
      <w:divBdr>
        <w:top w:val="none" w:sz="0" w:space="0" w:color="auto"/>
        <w:left w:val="none" w:sz="0" w:space="0" w:color="auto"/>
        <w:bottom w:val="none" w:sz="0" w:space="0" w:color="auto"/>
        <w:right w:val="none" w:sz="0" w:space="0" w:color="auto"/>
      </w:divBdr>
    </w:div>
    <w:div w:id="552621806">
      <w:bodyDiv w:val="1"/>
      <w:marLeft w:val="0"/>
      <w:marRight w:val="0"/>
      <w:marTop w:val="0"/>
      <w:marBottom w:val="0"/>
      <w:divBdr>
        <w:top w:val="none" w:sz="0" w:space="0" w:color="auto"/>
        <w:left w:val="none" w:sz="0" w:space="0" w:color="auto"/>
        <w:bottom w:val="none" w:sz="0" w:space="0" w:color="auto"/>
        <w:right w:val="none" w:sz="0" w:space="0" w:color="auto"/>
      </w:divBdr>
      <w:divsChild>
        <w:div w:id="1918320969">
          <w:marLeft w:val="0"/>
          <w:marRight w:val="0"/>
          <w:marTop w:val="0"/>
          <w:marBottom w:val="0"/>
          <w:divBdr>
            <w:top w:val="none" w:sz="0" w:space="0" w:color="auto"/>
            <w:left w:val="none" w:sz="0" w:space="0" w:color="auto"/>
            <w:bottom w:val="none" w:sz="0" w:space="0" w:color="auto"/>
            <w:right w:val="none" w:sz="0" w:space="0" w:color="auto"/>
          </w:divBdr>
        </w:div>
      </w:divsChild>
    </w:div>
    <w:div w:id="555821826">
      <w:bodyDiv w:val="1"/>
      <w:marLeft w:val="0"/>
      <w:marRight w:val="0"/>
      <w:marTop w:val="0"/>
      <w:marBottom w:val="0"/>
      <w:divBdr>
        <w:top w:val="none" w:sz="0" w:space="0" w:color="auto"/>
        <w:left w:val="none" w:sz="0" w:space="0" w:color="auto"/>
        <w:bottom w:val="none" w:sz="0" w:space="0" w:color="auto"/>
        <w:right w:val="none" w:sz="0" w:space="0" w:color="auto"/>
      </w:divBdr>
    </w:div>
    <w:div w:id="568732953">
      <w:bodyDiv w:val="1"/>
      <w:marLeft w:val="0"/>
      <w:marRight w:val="0"/>
      <w:marTop w:val="0"/>
      <w:marBottom w:val="0"/>
      <w:divBdr>
        <w:top w:val="none" w:sz="0" w:space="0" w:color="auto"/>
        <w:left w:val="none" w:sz="0" w:space="0" w:color="auto"/>
        <w:bottom w:val="none" w:sz="0" w:space="0" w:color="auto"/>
        <w:right w:val="none" w:sz="0" w:space="0" w:color="auto"/>
      </w:divBdr>
    </w:div>
    <w:div w:id="593054830">
      <w:bodyDiv w:val="1"/>
      <w:marLeft w:val="0"/>
      <w:marRight w:val="0"/>
      <w:marTop w:val="0"/>
      <w:marBottom w:val="0"/>
      <w:divBdr>
        <w:top w:val="none" w:sz="0" w:space="0" w:color="auto"/>
        <w:left w:val="none" w:sz="0" w:space="0" w:color="auto"/>
        <w:bottom w:val="none" w:sz="0" w:space="0" w:color="auto"/>
        <w:right w:val="none" w:sz="0" w:space="0" w:color="auto"/>
      </w:divBdr>
    </w:div>
    <w:div w:id="654333195">
      <w:bodyDiv w:val="1"/>
      <w:marLeft w:val="0"/>
      <w:marRight w:val="0"/>
      <w:marTop w:val="0"/>
      <w:marBottom w:val="0"/>
      <w:divBdr>
        <w:top w:val="none" w:sz="0" w:space="0" w:color="auto"/>
        <w:left w:val="none" w:sz="0" w:space="0" w:color="auto"/>
        <w:bottom w:val="none" w:sz="0" w:space="0" w:color="auto"/>
        <w:right w:val="none" w:sz="0" w:space="0" w:color="auto"/>
      </w:divBdr>
      <w:divsChild>
        <w:div w:id="574628947">
          <w:marLeft w:val="0"/>
          <w:marRight w:val="0"/>
          <w:marTop w:val="0"/>
          <w:marBottom w:val="0"/>
          <w:divBdr>
            <w:top w:val="none" w:sz="0" w:space="0" w:color="auto"/>
            <w:left w:val="none" w:sz="0" w:space="0" w:color="auto"/>
            <w:bottom w:val="none" w:sz="0" w:space="0" w:color="auto"/>
            <w:right w:val="none" w:sz="0" w:space="0" w:color="auto"/>
          </w:divBdr>
        </w:div>
        <w:div w:id="1274630344">
          <w:marLeft w:val="0"/>
          <w:marRight w:val="0"/>
          <w:marTop w:val="0"/>
          <w:marBottom w:val="0"/>
          <w:divBdr>
            <w:top w:val="none" w:sz="0" w:space="0" w:color="auto"/>
            <w:left w:val="none" w:sz="0" w:space="0" w:color="auto"/>
            <w:bottom w:val="none" w:sz="0" w:space="0" w:color="auto"/>
            <w:right w:val="none" w:sz="0" w:space="0" w:color="auto"/>
          </w:divBdr>
        </w:div>
        <w:div w:id="1787235393">
          <w:marLeft w:val="0"/>
          <w:marRight w:val="0"/>
          <w:marTop w:val="0"/>
          <w:marBottom w:val="0"/>
          <w:divBdr>
            <w:top w:val="none" w:sz="0" w:space="0" w:color="auto"/>
            <w:left w:val="none" w:sz="0" w:space="0" w:color="auto"/>
            <w:bottom w:val="none" w:sz="0" w:space="0" w:color="auto"/>
            <w:right w:val="none" w:sz="0" w:space="0" w:color="auto"/>
          </w:divBdr>
        </w:div>
      </w:divsChild>
    </w:div>
    <w:div w:id="657879585">
      <w:bodyDiv w:val="1"/>
      <w:marLeft w:val="0"/>
      <w:marRight w:val="0"/>
      <w:marTop w:val="0"/>
      <w:marBottom w:val="0"/>
      <w:divBdr>
        <w:top w:val="none" w:sz="0" w:space="0" w:color="auto"/>
        <w:left w:val="none" w:sz="0" w:space="0" w:color="auto"/>
        <w:bottom w:val="none" w:sz="0" w:space="0" w:color="auto"/>
        <w:right w:val="none" w:sz="0" w:space="0" w:color="auto"/>
      </w:divBdr>
    </w:div>
    <w:div w:id="666830082">
      <w:bodyDiv w:val="1"/>
      <w:marLeft w:val="0"/>
      <w:marRight w:val="0"/>
      <w:marTop w:val="0"/>
      <w:marBottom w:val="0"/>
      <w:divBdr>
        <w:top w:val="none" w:sz="0" w:space="0" w:color="auto"/>
        <w:left w:val="none" w:sz="0" w:space="0" w:color="auto"/>
        <w:bottom w:val="none" w:sz="0" w:space="0" w:color="auto"/>
        <w:right w:val="none" w:sz="0" w:space="0" w:color="auto"/>
      </w:divBdr>
      <w:divsChild>
        <w:div w:id="1028683809">
          <w:marLeft w:val="0"/>
          <w:marRight w:val="0"/>
          <w:marTop w:val="0"/>
          <w:marBottom w:val="0"/>
          <w:divBdr>
            <w:top w:val="none" w:sz="0" w:space="0" w:color="auto"/>
            <w:left w:val="none" w:sz="0" w:space="0" w:color="auto"/>
            <w:bottom w:val="none" w:sz="0" w:space="0" w:color="auto"/>
            <w:right w:val="none" w:sz="0" w:space="0" w:color="auto"/>
          </w:divBdr>
        </w:div>
      </w:divsChild>
    </w:div>
    <w:div w:id="668021151">
      <w:bodyDiv w:val="1"/>
      <w:marLeft w:val="0"/>
      <w:marRight w:val="0"/>
      <w:marTop w:val="0"/>
      <w:marBottom w:val="0"/>
      <w:divBdr>
        <w:top w:val="none" w:sz="0" w:space="0" w:color="auto"/>
        <w:left w:val="none" w:sz="0" w:space="0" w:color="auto"/>
        <w:bottom w:val="none" w:sz="0" w:space="0" w:color="auto"/>
        <w:right w:val="none" w:sz="0" w:space="0" w:color="auto"/>
      </w:divBdr>
    </w:div>
    <w:div w:id="680664211">
      <w:bodyDiv w:val="1"/>
      <w:marLeft w:val="0"/>
      <w:marRight w:val="0"/>
      <w:marTop w:val="0"/>
      <w:marBottom w:val="0"/>
      <w:divBdr>
        <w:top w:val="none" w:sz="0" w:space="0" w:color="auto"/>
        <w:left w:val="none" w:sz="0" w:space="0" w:color="auto"/>
        <w:bottom w:val="none" w:sz="0" w:space="0" w:color="auto"/>
        <w:right w:val="none" w:sz="0" w:space="0" w:color="auto"/>
      </w:divBdr>
    </w:div>
    <w:div w:id="684939894">
      <w:bodyDiv w:val="1"/>
      <w:marLeft w:val="0"/>
      <w:marRight w:val="0"/>
      <w:marTop w:val="0"/>
      <w:marBottom w:val="0"/>
      <w:divBdr>
        <w:top w:val="none" w:sz="0" w:space="0" w:color="auto"/>
        <w:left w:val="none" w:sz="0" w:space="0" w:color="auto"/>
        <w:bottom w:val="none" w:sz="0" w:space="0" w:color="auto"/>
        <w:right w:val="none" w:sz="0" w:space="0" w:color="auto"/>
      </w:divBdr>
    </w:div>
    <w:div w:id="686294683">
      <w:bodyDiv w:val="1"/>
      <w:marLeft w:val="0"/>
      <w:marRight w:val="0"/>
      <w:marTop w:val="0"/>
      <w:marBottom w:val="0"/>
      <w:divBdr>
        <w:top w:val="none" w:sz="0" w:space="0" w:color="auto"/>
        <w:left w:val="none" w:sz="0" w:space="0" w:color="auto"/>
        <w:bottom w:val="none" w:sz="0" w:space="0" w:color="auto"/>
        <w:right w:val="none" w:sz="0" w:space="0" w:color="auto"/>
      </w:divBdr>
    </w:div>
    <w:div w:id="692923279">
      <w:bodyDiv w:val="1"/>
      <w:marLeft w:val="0"/>
      <w:marRight w:val="0"/>
      <w:marTop w:val="0"/>
      <w:marBottom w:val="0"/>
      <w:divBdr>
        <w:top w:val="none" w:sz="0" w:space="0" w:color="auto"/>
        <w:left w:val="none" w:sz="0" w:space="0" w:color="auto"/>
        <w:bottom w:val="none" w:sz="0" w:space="0" w:color="auto"/>
        <w:right w:val="none" w:sz="0" w:space="0" w:color="auto"/>
      </w:divBdr>
    </w:div>
    <w:div w:id="695539181">
      <w:bodyDiv w:val="1"/>
      <w:marLeft w:val="0"/>
      <w:marRight w:val="0"/>
      <w:marTop w:val="0"/>
      <w:marBottom w:val="0"/>
      <w:divBdr>
        <w:top w:val="none" w:sz="0" w:space="0" w:color="auto"/>
        <w:left w:val="none" w:sz="0" w:space="0" w:color="auto"/>
        <w:bottom w:val="none" w:sz="0" w:space="0" w:color="auto"/>
        <w:right w:val="none" w:sz="0" w:space="0" w:color="auto"/>
      </w:divBdr>
    </w:div>
    <w:div w:id="713964936">
      <w:bodyDiv w:val="1"/>
      <w:marLeft w:val="0"/>
      <w:marRight w:val="0"/>
      <w:marTop w:val="0"/>
      <w:marBottom w:val="0"/>
      <w:divBdr>
        <w:top w:val="none" w:sz="0" w:space="0" w:color="auto"/>
        <w:left w:val="none" w:sz="0" w:space="0" w:color="auto"/>
        <w:bottom w:val="none" w:sz="0" w:space="0" w:color="auto"/>
        <w:right w:val="none" w:sz="0" w:space="0" w:color="auto"/>
      </w:divBdr>
    </w:div>
    <w:div w:id="715466409">
      <w:bodyDiv w:val="1"/>
      <w:marLeft w:val="0"/>
      <w:marRight w:val="0"/>
      <w:marTop w:val="0"/>
      <w:marBottom w:val="0"/>
      <w:divBdr>
        <w:top w:val="none" w:sz="0" w:space="0" w:color="auto"/>
        <w:left w:val="none" w:sz="0" w:space="0" w:color="auto"/>
        <w:bottom w:val="none" w:sz="0" w:space="0" w:color="auto"/>
        <w:right w:val="none" w:sz="0" w:space="0" w:color="auto"/>
      </w:divBdr>
      <w:divsChild>
        <w:div w:id="54548323">
          <w:marLeft w:val="0"/>
          <w:marRight w:val="0"/>
          <w:marTop w:val="0"/>
          <w:marBottom w:val="0"/>
          <w:divBdr>
            <w:top w:val="none" w:sz="0" w:space="0" w:color="auto"/>
            <w:left w:val="none" w:sz="0" w:space="0" w:color="auto"/>
            <w:bottom w:val="none" w:sz="0" w:space="0" w:color="auto"/>
            <w:right w:val="none" w:sz="0" w:space="0" w:color="auto"/>
          </w:divBdr>
        </w:div>
        <w:div w:id="393546520">
          <w:marLeft w:val="0"/>
          <w:marRight w:val="0"/>
          <w:marTop w:val="0"/>
          <w:marBottom w:val="0"/>
          <w:divBdr>
            <w:top w:val="none" w:sz="0" w:space="0" w:color="auto"/>
            <w:left w:val="none" w:sz="0" w:space="0" w:color="auto"/>
            <w:bottom w:val="none" w:sz="0" w:space="0" w:color="auto"/>
            <w:right w:val="none" w:sz="0" w:space="0" w:color="auto"/>
          </w:divBdr>
        </w:div>
        <w:div w:id="939602266">
          <w:marLeft w:val="0"/>
          <w:marRight w:val="0"/>
          <w:marTop w:val="0"/>
          <w:marBottom w:val="0"/>
          <w:divBdr>
            <w:top w:val="none" w:sz="0" w:space="0" w:color="auto"/>
            <w:left w:val="none" w:sz="0" w:space="0" w:color="auto"/>
            <w:bottom w:val="none" w:sz="0" w:space="0" w:color="auto"/>
            <w:right w:val="none" w:sz="0" w:space="0" w:color="auto"/>
          </w:divBdr>
        </w:div>
        <w:div w:id="1818495088">
          <w:marLeft w:val="0"/>
          <w:marRight w:val="0"/>
          <w:marTop w:val="0"/>
          <w:marBottom w:val="0"/>
          <w:divBdr>
            <w:top w:val="none" w:sz="0" w:space="0" w:color="auto"/>
            <w:left w:val="none" w:sz="0" w:space="0" w:color="auto"/>
            <w:bottom w:val="none" w:sz="0" w:space="0" w:color="auto"/>
            <w:right w:val="none" w:sz="0" w:space="0" w:color="auto"/>
          </w:divBdr>
        </w:div>
      </w:divsChild>
    </w:div>
    <w:div w:id="719205727">
      <w:bodyDiv w:val="1"/>
      <w:marLeft w:val="0"/>
      <w:marRight w:val="0"/>
      <w:marTop w:val="0"/>
      <w:marBottom w:val="0"/>
      <w:divBdr>
        <w:top w:val="none" w:sz="0" w:space="0" w:color="auto"/>
        <w:left w:val="none" w:sz="0" w:space="0" w:color="auto"/>
        <w:bottom w:val="none" w:sz="0" w:space="0" w:color="auto"/>
        <w:right w:val="none" w:sz="0" w:space="0" w:color="auto"/>
      </w:divBdr>
    </w:div>
    <w:div w:id="725685056">
      <w:bodyDiv w:val="1"/>
      <w:marLeft w:val="0"/>
      <w:marRight w:val="0"/>
      <w:marTop w:val="0"/>
      <w:marBottom w:val="0"/>
      <w:divBdr>
        <w:top w:val="none" w:sz="0" w:space="0" w:color="auto"/>
        <w:left w:val="none" w:sz="0" w:space="0" w:color="auto"/>
        <w:bottom w:val="none" w:sz="0" w:space="0" w:color="auto"/>
        <w:right w:val="none" w:sz="0" w:space="0" w:color="auto"/>
      </w:divBdr>
      <w:divsChild>
        <w:div w:id="1894463863">
          <w:marLeft w:val="0"/>
          <w:marRight w:val="0"/>
          <w:marTop w:val="0"/>
          <w:marBottom w:val="0"/>
          <w:divBdr>
            <w:top w:val="none" w:sz="0" w:space="0" w:color="auto"/>
            <w:left w:val="none" w:sz="0" w:space="0" w:color="auto"/>
            <w:bottom w:val="none" w:sz="0" w:space="0" w:color="auto"/>
            <w:right w:val="none" w:sz="0" w:space="0" w:color="auto"/>
          </w:divBdr>
        </w:div>
      </w:divsChild>
    </w:div>
    <w:div w:id="742803427">
      <w:bodyDiv w:val="1"/>
      <w:marLeft w:val="0"/>
      <w:marRight w:val="0"/>
      <w:marTop w:val="0"/>
      <w:marBottom w:val="0"/>
      <w:divBdr>
        <w:top w:val="none" w:sz="0" w:space="0" w:color="auto"/>
        <w:left w:val="none" w:sz="0" w:space="0" w:color="auto"/>
        <w:bottom w:val="none" w:sz="0" w:space="0" w:color="auto"/>
        <w:right w:val="none" w:sz="0" w:space="0" w:color="auto"/>
      </w:divBdr>
    </w:div>
    <w:div w:id="745955765">
      <w:bodyDiv w:val="1"/>
      <w:marLeft w:val="0"/>
      <w:marRight w:val="0"/>
      <w:marTop w:val="0"/>
      <w:marBottom w:val="0"/>
      <w:divBdr>
        <w:top w:val="none" w:sz="0" w:space="0" w:color="auto"/>
        <w:left w:val="none" w:sz="0" w:space="0" w:color="auto"/>
        <w:bottom w:val="none" w:sz="0" w:space="0" w:color="auto"/>
        <w:right w:val="none" w:sz="0" w:space="0" w:color="auto"/>
      </w:divBdr>
      <w:divsChild>
        <w:div w:id="170142010">
          <w:marLeft w:val="0"/>
          <w:marRight w:val="0"/>
          <w:marTop w:val="0"/>
          <w:marBottom w:val="0"/>
          <w:divBdr>
            <w:top w:val="none" w:sz="0" w:space="0" w:color="auto"/>
            <w:left w:val="none" w:sz="0" w:space="0" w:color="auto"/>
            <w:bottom w:val="none" w:sz="0" w:space="0" w:color="auto"/>
            <w:right w:val="none" w:sz="0" w:space="0" w:color="auto"/>
          </w:divBdr>
        </w:div>
        <w:div w:id="548345563">
          <w:marLeft w:val="0"/>
          <w:marRight w:val="0"/>
          <w:marTop w:val="0"/>
          <w:marBottom w:val="0"/>
          <w:divBdr>
            <w:top w:val="none" w:sz="0" w:space="0" w:color="auto"/>
            <w:left w:val="none" w:sz="0" w:space="0" w:color="auto"/>
            <w:bottom w:val="none" w:sz="0" w:space="0" w:color="auto"/>
            <w:right w:val="none" w:sz="0" w:space="0" w:color="auto"/>
          </w:divBdr>
        </w:div>
        <w:div w:id="553856724">
          <w:marLeft w:val="0"/>
          <w:marRight w:val="0"/>
          <w:marTop w:val="0"/>
          <w:marBottom w:val="0"/>
          <w:divBdr>
            <w:top w:val="none" w:sz="0" w:space="0" w:color="auto"/>
            <w:left w:val="none" w:sz="0" w:space="0" w:color="auto"/>
            <w:bottom w:val="none" w:sz="0" w:space="0" w:color="auto"/>
            <w:right w:val="none" w:sz="0" w:space="0" w:color="auto"/>
          </w:divBdr>
        </w:div>
        <w:div w:id="557591558">
          <w:marLeft w:val="0"/>
          <w:marRight w:val="0"/>
          <w:marTop w:val="0"/>
          <w:marBottom w:val="0"/>
          <w:divBdr>
            <w:top w:val="none" w:sz="0" w:space="0" w:color="auto"/>
            <w:left w:val="none" w:sz="0" w:space="0" w:color="auto"/>
            <w:bottom w:val="none" w:sz="0" w:space="0" w:color="auto"/>
            <w:right w:val="none" w:sz="0" w:space="0" w:color="auto"/>
          </w:divBdr>
        </w:div>
        <w:div w:id="613292135">
          <w:marLeft w:val="0"/>
          <w:marRight w:val="0"/>
          <w:marTop w:val="0"/>
          <w:marBottom w:val="0"/>
          <w:divBdr>
            <w:top w:val="none" w:sz="0" w:space="0" w:color="auto"/>
            <w:left w:val="none" w:sz="0" w:space="0" w:color="auto"/>
            <w:bottom w:val="none" w:sz="0" w:space="0" w:color="auto"/>
            <w:right w:val="none" w:sz="0" w:space="0" w:color="auto"/>
          </w:divBdr>
        </w:div>
        <w:div w:id="1027294240">
          <w:marLeft w:val="0"/>
          <w:marRight w:val="0"/>
          <w:marTop w:val="0"/>
          <w:marBottom w:val="0"/>
          <w:divBdr>
            <w:top w:val="none" w:sz="0" w:space="0" w:color="auto"/>
            <w:left w:val="none" w:sz="0" w:space="0" w:color="auto"/>
            <w:bottom w:val="none" w:sz="0" w:space="0" w:color="auto"/>
            <w:right w:val="none" w:sz="0" w:space="0" w:color="auto"/>
          </w:divBdr>
        </w:div>
        <w:div w:id="1245533884">
          <w:marLeft w:val="0"/>
          <w:marRight w:val="0"/>
          <w:marTop w:val="0"/>
          <w:marBottom w:val="0"/>
          <w:divBdr>
            <w:top w:val="none" w:sz="0" w:space="0" w:color="auto"/>
            <w:left w:val="none" w:sz="0" w:space="0" w:color="auto"/>
            <w:bottom w:val="none" w:sz="0" w:space="0" w:color="auto"/>
            <w:right w:val="none" w:sz="0" w:space="0" w:color="auto"/>
          </w:divBdr>
        </w:div>
        <w:div w:id="1476676207">
          <w:marLeft w:val="0"/>
          <w:marRight w:val="0"/>
          <w:marTop w:val="0"/>
          <w:marBottom w:val="0"/>
          <w:divBdr>
            <w:top w:val="none" w:sz="0" w:space="0" w:color="auto"/>
            <w:left w:val="none" w:sz="0" w:space="0" w:color="auto"/>
            <w:bottom w:val="none" w:sz="0" w:space="0" w:color="auto"/>
            <w:right w:val="none" w:sz="0" w:space="0" w:color="auto"/>
          </w:divBdr>
        </w:div>
        <w:div w:id="1587571866">
          <w:marLeft w:val="0"/>
          <w:marRight w:val="0"/>
          <w:marTop w:val="0"/>
          <w:marBottom w:val="0"/>
          <w:divBdr>
            <w:top w:val="none" w:sz="0" w:space="0" w:color="auto"/>
            <w:left w:val="none" w:sz="0" w:space="0" w:color="auto"/>
            <w:bottom w:val="none" w:sz="0" w:space="0" w:color="auto"/>
            <w:right w:val="none" w:sz="0" w:space="0" w:color="auto"/>
          </w:divBdr>
        </w:div>
        <w:div w:id="1682658097">
          <w:marLeft w:val="0"/>
          <w:marRight w:val="0"/>
          <w:marTop w:val="0"/>
          <w:marBottom w:val="0"/>
          <w:divBdr>
            <w:top w:val="none" w:sz="0" w:space="0" w:color="auto"/>
            <w:left w:val="none" w:sz="0" w:space="0" w:color="auto"/>
            <w:bottom w:val="none" w:sz="0" w:space="0" w:color="auto"/>
            <w:right w:val="none" w:sz="0" w:space="0" w:color="auto"/>
          </w:divBdr>
        </w:div>
        <w:div w:id="1693727971">
          <w:marLeft w:val="0"/>
          <w:marRight w:val="0"/>
          <w:marTop w:val="0"/>
          <w:marBottom w:val="0"/>
          <w:divBdr>
            <w:top w:val="none" w:sz="0" w:space="0" w:color="auto"/>
            <w:left w:val="none" w:sz="0" w:space="0" w:color="auto"/>
            <w:bottom w:val="none" w:sz="0" w:space="0" w:color="auto"/>
            <w:right w:val="none" w:sz="0" w:space="0" w:color="auto"/>
          </w:divBdr>
        </w:div>
        <w:div w:id="1851261962">
          <w:marLeft w:val="0"/>
          <w:marRight w:val="0"/>
          <w:marTop w:val="0"/>
          <w:marBottom w:val="0"/>
          <w:divBdr>
            <w:top w:val="none" w:sz="0" w:space="0" w:color="auto"/>
            <w:left w:val="none" w:sz="0" w:space="0" w:color="auto"/>
            <w:bottom w:val="none" w:sz="0" w:space="0" w:color="auto"/>
            <w:right w:val="none" w:sz="0" w:space="0" w:color="auto"/>
          </w:divBdr>
        </w:div>
        <w:div w:id="1924602845">
          <w:marLeft w:val="0"/>
          <w:marRight w:val="0"/>
          <w:marTop w:val="0"/>
          <w:marBottom w:val="0"/>
          <w:divBdr>
            <w:top w:val="none" w:sz="0" w:space="0" w:color="auto"/>
            <w:left w:val="none" w:sz="0" w:space="0" w:color="auto"/>
            <w:bottom w:val="none" w:sz="0" w:space="0" w:color="auto"/>
            <w:right w:val="none" w:sz="0" w:space="0" w:color="auto"/>
          </w:divBdr>
        </w:div>
        <w:div w:id="1968464780">
          <w:marLeft w:val="0"/>
          <w:marRight w:val="0"/>
          <w:marTop w:val="0"/>
          <w:marBottom w:val="0"/>
          <w:divBdr>
            <w:top w:val="none" w:sz="0" w:space="0" w:color="auto"/>
            <w:left w:val="none" w:sz="0" w:space="0" w:color="auto"/>
            <w:bottom w:val="none" w:sz="0" w:space="0" w:color="auto"/>
            <w:right w:val="none" w:sz="0" w:space="0" w:color="auto"/>
          </w:divBdr>
        </w:div>
        <w:div w:id="1995405689">
          <w:marLeft w:val="0"/>
          <w:marRight w:val="0"/>
          <w:marTop w:val="0"/>
          <w:marBottom w:val="0"/>
          <w:divBdr>
            <w:top w:val="none" w:sz="0" w:space="0" w:color="auto"/>
            <w:left w:val="none" w:sz="0" w:space="0" w:color="auto"/>
            <w:bottom w:val="none" w:sz="0" w:space="0" w:color="auto"/>
            <w:right w:val="none" w:sz="0" w:space="0" w:color="auto"/>
          </w:divBdr>
        </w:div>
        <w:div w:id="2112360675">
          <w:marLeft w:val="0"/>
          <w:marRight w:val="0"/>
          <w:marTop w:val="0"/>
          <w:marBottom w:val="0"/>
          <w:divBdr>
            <w:top w:val="none" w:sz="0" w:space="0" w:color="auto"/>
            <w:left w:val="none" w:sz="0" w:space="0" w:color="auto"/>
            <w:bottom w:val="none" w:sz="0" w:space="0" w:color="auto"/>
            <w:right w:val="none" w:sz="0" w:space="0" w:color="auto"/>
          </w:divBdr>
        </w:div>
      </w:divsChild>
    </w:div>
    <w:div w:id="752362680">
      <w:bodyDiv w:val="1"/>
      <w:marLeft w:val="0"/>
      <w:marRight w:val="0"/>
      <w:marTop w:val="0"/>
      <w:marBottom w:val="0"/>
      <w:divBdr>
        <w:top w:val="none" w:sz="0" w:space="0" w:color="auto"/>
        <w:left w:val="none" w:sz="0" w:space="0" w:color="auto"/>
        <w:bottom w:val="none" w:sz="0" w:space="0" w:color="auto"/>
        <w:right w:val="none" w:sz="0" w:space="0" w:color="auto"/>
      </w:divBdr>
      <w:divsChild>
        <w:div w:id="468013136">
          <w:marLeft w:val="0"/>
          <w:marRight w:val="0"/>
          <w:marTop w:val="0"/>
          <w:marBottom w:val="0"/>
          <w:divBdr>
            <w:top w:val="none" w:sz="0" w:space="0" w:color="auto"/>
            <w:left w:val="none" w:sz="0" w:space="0" w:color="auto"/>
            <w:bottom w:val="none" w:sz="0" w:space="0" w:color="auto"/>
            <w:right w:val="none" w:sz="0" w:space="0" w:color="auto"/>
          </w:divBdr>
        </w:div>
        <w:div w:id="599874483">
          <w:marLeft w:val="0"/>
          <w:marRight w:val="0"/>
          <w:marTop w:val="0"/>
          <w:marBottom w:val="0"/>
          <w:divBdr>
            <w:top w:val="none" w:sz="0" w:space="0" w:color="auto"/>
            <w:left w:val="none" w:sz="0" w:space="0" w:color="auto"/>
            <w:bottom w:val="none" w:sz="0" w:space="0" w:color="auto"/>
            <w:right w:val="none" w:sz="0" w:space="0" w:color="auto"/>
          </w:divBdr>
        </w:div>
        <w:div w:id="672101041">
          <w:marLeft w:val="0"/>
          <w:marRight w:val="0"/>
          <w:marTop w:val="0"/>
          <w:marBottom w:val="0"/>
          <w:divBdr>
            <w:top w:val="none" w:sz="0" w:space="0" w:color="auto"/>
            <w:left w:val="none" w:sz="0" w:space="0" w:color="auto"/>
            <w:bottom w:val="none" w:sz="0" w:space="0" w:color="auto"/>
            <w:right w:val="none" w:sz="0" w:space="0" w:color="auto"/>
          </w:divBdr>
        </w:div>
        <w:div w:id="899631760">
          <w:marLeft w:val="0"/>
          <w:marRight w:val="0"/>
          <w:marTop w:val="0"/>
          <w:marBottom w:val="0"/>
          <w:divBdr>
            <w:top w:val="none" w:sz="0" w:space="0" w:color="auto"/>
            <w:left w:val="none" w:sz="0" w:space="0" w:color="auto"/>
            <w:bottom w:val="none" w:sz="0" w:space="0" w:color="auto"/>
            <w:right w:val="none" w:sz="0" w:space="0" w:color="auto"/>
          </w:divBdr>
        </w:div>
        <w:div w:id="940915645">
          <w:marLeft w:val="0"/>
          <w:marRight w:val="0"/>
          <w:marTop w:val="0"/>
          <w:marBottom w:val="0"/>
          <w:divBdr>
            <w:top w:val="none" w:sz="0" w:space="0" w:color="auto"/>
            <w:left w:val="none" w:sz="0" w:space="0" w:color="auto"/>
            <w:bottom w:val="none" w:sz="0" w:space="0" w:color="auto"/>
            <w:right w:val="none" w:sz="0" w:space="0" w:color="auto"/>
          </w:divBdr>
        </w:div>
        <w:div w:id="1054697461">
          <w:marLeft w:val="0"/>
          <w:marRight w:val="0"/>
          <w:marTop w:val="0"/>
          <w:marBottom w:val="0"/>
          <w:divBdr>
            <w:top w:val="none" w:sz="0" w:space="0" w:color="auto"/>
            <w:left w:val="none" w:sz="0" w:space="0" w:color="auto"/>
            <w:bottom w:val="none" w:sz="0" w:space="0" w:color="auto"/>
            <w:right w:val="none" w:sz="0" w:space="0" w:color="auto"/>
          </w:divBdr>
        </w:div>
        <w:div w:id="1078942194">
          <w:marLeft w:val="0"/>
          <w:marRight w:val="0"/>
          <w:marTop w:val="0"/>
          <w:marBottom w:val="0"/>
          <w:divBdr>
            <w:top w:val="none" w:sz="0" w:space="0" w:color="auto"/>
            <w:left w:val="none" w:sz="0" w:space="0" w:color="auto"/>
            <w:bottom w:val="none" w:sz="0" w:space="0" w:color="auto"/>
            <w:right w:val="none" w:sz="0" w:space="0" w:color="auto"/>
          </w:divBdr>
        </w:div>
        <w:div w:id="1096557593">
          <w:marLeft w:val="0"/>
          <w:marRight w:val="0"/>
          <w:marTop w:val="0"/>
          <w:marBottom w:val="0"/>
          <w:divBdr>
            <w:top w:val="none" w:sz="0" w:space="0" w:color="auto"/>
            <w:left w:val="none" w:sz="0" w:space="0" w:color="auto"/>
            <w:bottom w:val="none" w:sz="0" w:space="0" w:color="auto"/>
            <w:right w:val="none" w:sz="0" w:space="0" w:color="auto"/>
          </w:divBdr>
        </w:div>
        <w:div w:id="1165245841">
          <w:marLeft w:val="0"/>
          <w:marRight w:val="0"/>
          <w:marTop w:val="0"/>
          <w:marBottom w:val="0"/>
          <w:divBdr>
            <w:top w:val="none" w:sz="0" w:space="0" w:color="auto"/>
            <w:left w:val="none" w:sz="0" w:space="0" w:color="auto"/>
            <w:bottom w:val="none" w:sz="0" w:space="0" w:color="auto"/>
            <w:right w:val="none" w:sz="0" w:space="0" w:color="auto"/>
          </w:divBdr>
        </w:div>
        <w:div w:id="1214850007">
          <w:marLeft w:val="0"/>
          <w:marRight w:val="0"/>
          <w:marTop w:val="0"/>
          <w:marBottom w:val="0"/>
          <w:divBdr>
            <w:top w:val="none" w:sz="0" w:space="0" w:color="auto"/>
            <w:left w:val="none" w:sz="0" w:space="0" w:color="auto"/>
            <w:bottom w:val="none" w:sz="0" w:space="0" w:color="auto"/>
            <w:right w:val="none" w:sz="0" w:space="0" w:color="auto"/>
          </w:divBdr>
        </w:div>
        <w:div w:id="1375695354">
          <w:marLeft w:val="0"/>
          <w:marRight w:val="0"/>
          <w:marTop w:val="0"/>
          <w:marBottom w:val="0"/>
          <w:divBdr>
            <w:top w:val="none" w:sz="0" w:space="0" w:color="auto"/>
            <w:left w:val="none" w:sz="0" w:space="0" w:color="auto"/>
            <w:bottom w:val="none" w:sz="0" w:space="0" w:color="auto"/>
            <w:right w:val="none" w:sz="0" w:space="0" w:color="auto"/>
          </w:divBdr>
        </w:div>
        <w:div w:id="1408647175">
          <w:marLeft w:val="0"/>
          <w:marRight w:val="0"/>
          <w:marTop w:val="0"/>
          <w:marBottom w:val="0"/>
          <w:divBdr>
            <w:top w:val="none" w:sz="0" w:space="0" w:color="auto"/>
            <w:left w:val="none" w:sz="0" w:space="0" w:color="auto"/>
            <w:bottom w:val="none" w:sz="0" w:space="0" w:color="auto"/>
            <w:right w:val="none" w:sz="0" w:space="0" w:color="auto"/>
          </w:divBdr>
        </w:div>
        <w:div w:id="1422409787">
          <w:marLeft w:val="0"/>
          <w:marRight w:val="0"/>
          <w:marTop w:val="0"/>
          <w:marBottom w:val="0"/>
          <w:divBdr>
            <w:top w:val="none" w:sz="0" w:space="0" w:color="auto"/>
            <w:left w:val="none" w:sz="0" w:space="0" w:color="auto"/>
            <w:bottom w:val="none" w:sz="0" w:space="0" w:color="auto"/>
            <w:right w:val="none" w:sz="0" w:space="0" w:color="auto"/>
          </w:divBdr>
        </w:div>
        <w:div w:id="1496606988">
          <w:marLeft w:val="0"/>
          <w:marRight w:val="0"/>
          <w:marTop w:val="0"/>
          <w:marBottom w:val="0"/>
          <w:divBdr>
            <w:top w:val="none" w:sz="0" w:space="0" w:color="auto"/>
            <w:left w:val="none" w:sz="0" w:space="0" w:color="auto"/>
            <w:bottom w:val="none" w:sz="0" w:space="0" w:color="auto"/>
            <w:right w:val="none" w:sz="0" w:space="0" w:color="auto"/>
          </w:divBdr>
        </w:div>
        <w:div w:id="1702513899">
          <w:marLeft w:val="0"/>
          <w:marRight w:val="0"/>
          <w:marTop w:val="0"/>
          <w:marBottom w:val="0"/>
          <w:divBdr>
            <w:top w:val="none" w:sz="0" w:space="0" w:color="auto"/>
            <w:left w:val="none" w:sz="0" w:space="0" w:color="auto"/>
            <w:bottom w:val="none" w:sz="0" w:space="0" w:color="auto"/>
            <w:right w:val="none" w:sz="0" w:space="0" w:color="auto"/>
          </w:divBdr>
        </w:div>
        <w:div w:id="2024045228">
          <w:marLeft w:val="0"/>
          <w:marRight w:val="0"/>
          <w:marTop w:val="0"/>
          <w:marBottom w:val="0"/>
          <w:divBdr>
            <w:top w:val="none" w:sz="0" w:space="0" w:color="auto"/>
            <w:left w:val="none" w:sz="0" w:space="0" w:color="auto"/>
            <w:bottom w:val="none" w:sz="0" w:space="0" w:color="auto"/>
            <w:right w:val="none" w:sz="0" w:space="0" w:color="auto"/>
          </w:divBdr>
        </w:div>
        <w:div w:id="2026394315">
          <w:marLeft w:val="0"/>
          <w:marRight w:val="0"/>
          <w:marTop w:val="0"/>
          <w:marBottom w:val="0"/>
          <w:divBdr>
            <w:top w:val="none" w:sz="0" w:space="0" w:color="auto"/>
            <w:left w:val="none" w:sz="0" w:space="0" w:color="auto"/>
            <w:bottom w:val="none" w:sz="0" w:space="0" w:color="auto"/>
            <w:right w:val="none" w:sz="0" w:space="0" w:color="auto"/>
          </w:divBdr>
        </w:div>
        <w:div w:id="2085100144">
          <w:marLeft w:val="0"/>
          <w:marRight w:val="0"/>
          <w:marTop w:val="0"/>
          <w:marBottom w:val="0"/>
          <w:divBdr>
            <w:top w:val="none" w:sz="0" w:space="0" w:color="auto"/>
            <w:left w:val="none" w:sz="0" w:space="0" w:color="auto"/>
            <w:bottom w:val="none" w:sz="0" w:space="0" w:color="auto"/>
            <w:right w:val="none" w:sz="0" w:space="0" w:color="auto"/>
          </w:divBdr>
        </w:div>
      </w:divsChild>
    </w:div>
    <w:div w:id="752512783">
      <w:bodyDiv w:val="1"/>
      <w:marLeft w:val="0"/>
      <w:marRight w:val="0"/>
      <w:marTop w:val="0"/>
      <w:marBottom w:val="0"/>
      <w:divBdr>
        <w:top w:val="none" w:sz="0" w:space="0" w:color="auto"/>
        <w:left w:val="none" w:sz="0" w:space="0" w:color="auto"/>
        <w:bottom w:val="none" w:sz="0" w:space="0" w:color="auto"/>
        <w:right w:val="none" w:sz="0" w:space="0" w:color="auto"/>
      </w:divBdr>
      <w:divsChild>
        <w:div w:id="210532522">
          <w:marLeft w:val="446"/>
          <w:marRight w:val="0"/>
          <w:marTop w:val="0"/>
          <w:marBottom w:val="0"/>
          <w:divBdr>
            <w:top w:val="none" w:sz="0" w:space="0" w:color="auto"/>
            <w:left w:val="none" w:sz="0" w:space="0" w:color="auto"/>
            <w:bottom w:val="none" w:sz="0" w:space="0" w:color="auto"/>
            <w:right w:val="none" w:sz="0" w:space="0" w:color="auto"/>
          </w:divBdr>
        </w:div>
        <w:div w:id="338967909">
          <w:marLeft w:val="446"/>
          <w:marRight w:val="0"/>
          <w:marTop w:val="0"/>
          <w:marBottom w:val="0"/>
          <w:divBdr>
            <w:top w:val="none" w:sz="0" w:space="0" w:color="auto"/>
            <w:left w:val="none" w:sz="0" w:space="0" w:color="auto"/>
            <w:bottom w:val="none" w:sz="0" w:space="0" w:color="auto"/>
            <w:right w:val="none" w:sz="0" w:space="0" w:color="auto"/>
          </w:divBdr>
        </w:div>
        <w:div w:id="641621610">
          <w:marLeft w:val="446"/>
          <w:marRight w:val="0"/>
          <w:marTop w:val="0"/>
          <w:marBottom w:val="0"/>
          <w:divBdr>
            <w:top w:val="none" w:sz="0" w:space="0" w:color="auto"/>
            <w:left w:val="none" w:sz="0" w:space="0" w:color="auto"/>
            <w:bottom w:val="none" w:sz="0" w:space="0" w:color="auto"/>
            <w:right w:val="none" w:sz="0" w:space="0" w:color="auto"/>
          </w:divBdr>
        </w:div>
        <w:div w:id="1295208701">
          <w:marLeft w:val="446"/>
          <w:marRight w:val="0"/>
          <w:marTop w:val="0"/>
          <w:marBottom w:val="0"/>
          <w:divBdr>
            <w:top w:val="none" w:sz="0" w:space="0" w:color="auto"/>
            <w:left w:val="none" w:sz="0" w:space="0" w:color="auto"/>
            <w:bottom w:val="none" w:sz="0" w:space="0" w:color="auto"/>
            <w:right w:val="none" w:sz="0" w:space="0" w:color="auto"/>
          </w:divBdr>
        </w:div>
      </w:divsChild>
    </w:div>
    <w:div w:id="761101298">
      <w:bodyDiv w:val="1"/>
      <w:marLeft w:val="0"/>
      <w:marRight w:val="0"/>
      <w:marTop w:val="0"/>
      <w:marBottom w:val="0"/>
      <w:divBdr>
        <w:top w:val="none" w:sz="0" w:space="0" w:color="auto"/>
        <w:left w:val="none" w:sz="0" w:space="0" w:color="auto"/>
        <w:bottom w:val="none" w:sz="0" w:space="0" w:color="auto"/>
        <w:right w:val="none" w:sz="0" w:space="0" w:color="auto"/>
      </w:divBdr>
      <w:divsChild>
        <w:div w:id="1599757316">
          <w:marLeft w:val="0"/>
          <w:marRight w:val="0"/>
          <w:marTop w:val="0"/>
          <w:marBottom w:val="0"/>
          <w:divBdr>
            <w:top w:val="none" w:sz="0" w:space="0" w:color="auto"/>
            <w:left w:val="none" w:sz="0" w:space="0" w:color="auto"/>
            <w:bottom w:val="none" w:sz="0" w:space="0" w:color="auto"/>
            <w:right w:val="none" w:sz="0" w:space="0" w:color="auto"/>
          </w:divBdr>
        </w:div>
      </w:divsChild>
    </w:div>
    <w:div w:id="764692696">
      <w:bodyDiv w:val="1"/>
      <w:marLeft w:val="0"/>
      <w:marRight w:val="0"/>
      <w:marTop w:val="0"/>
      <w:marBottom w:val="0"/>
      <w:divBdr>
        <w:top w:val="none" w:sz="0" w:space="0" w:color="auto"/>
        <w:left w:val="none" w:sz="0" w:space="0" w:color="auto"/>
        <w:bottom w:val="none" w:sz="0" w:space="0" w:color="auto"/>
        <w:right w:val="none" w:sz="0" w:space="0" w:color="auto"/>
      </w:divBdr>
    </w:div>
    <w:div w:id="771584355">
      <w:bodyDiv w:val="1"/>
      <w:marLeft w:val="0"/>
      <w:marRight w:val="0"/>
      <w:marTop w:val="0"/>
      <w:marBottom w:val="0"/>
      <w:divBdr>
        <w:top w:val="none" w:sz="0" w:space="0" w:color="auto"/>
        <w:left w:val="none" w:sz="0" w:space="0" w:color="auto"/>
        <w:bottom w:val="none" w:sz="0" w:space="0" w:color="auto"/>
        <w:right w:val="none" w:sz="0" w:space="0" w:color="auto"/>
      </w:divBdr>
    </w:div>
    <w:div w:id="801773942">
      <w:bodyDiv w:val="1"/>
      <w:marLeft w:val="0"/>
      <w:marRight w:val="0"/>
      <w:marTop w:val="0"/>
      <w:marBottom w:val="0"/>
      <w:divBdr>
        <w:top w:val="none" w:sz="0" w:space="0" w:color="auto"/>
        <w:left w:val="none" w:sz="0" w:space="0" w:color="auto"/>
        <w:bottom w:val="none" w:sz="0" w:space="0" w:color="auto"/>
        <w:right w:val="none" w:sz="0" w:space="0" w:color="auto"/>
      </w:divBdr>
    </w:div>
    <w:div w:id="802504916">
      <w:bodyDiv w:val="1"/>
      <w:marLeft w:val="0"/>
      <w:marRight w:val="0"/>
      <w:marTop w:val="0"/>
      <w:marBottom w:val="0"/>
      <w:divBdr>
        <w:top w:val="none" w:sz="0" w:space="0" w:color="auto"/>
        <w:left w:val="none" w:sz="0" w:space="0" w:color="auto"/>
        <w:bottom w:val="none" w:sz="0" w:space="0" w:color="auto"/>
        <w:right w:val="none" w:sz="0" w:space="0" w:color="auto"/>
      </w:divBdr>
      <w:divsChild>
        <w:div w:id="959843774">
          <w:marLeft w:val="0"/>
          <w:marRight w:val="0"/>
          <w:marTop w:val="0"/>
          <w:marBottom w:val="0"/>
          <w:divBdr>
            <w:top w:val="none" w:sz="0" w:space="0" w:color="auto"/>
            <w:left w:val="none" w:sz="0" w:space="0" w:color="auto"/>
            <w:bottom w:val="none" w:sz="0" w:space="0" w:color="auto"/>
            <w:right w:val="none" w:sz="0" w:space="0" w:color="auto"/>
          </w:divBdr>
        </w:div>
        <w:div w:id="1222130751">
          <w:marLeft w:val="0"/>
          <w:marRight w:val="0"/>
          <w:marTop w:val="0"/>
          <w:marBottom w:val="0"/>
          <w:divBdr>
            <w:top w:val="none" w:sz="0" w:space="0" w:color="auto"/>
            <w:left w:val="none" w:sz="0" w:space="0" w:color="auto"/>
            <w:bottom w:val="none" w:sz="0" w:space="0" w:color="auto"/>
            <w:right w:val="none" w:sz="0" w:space="0" w:color="auto"/>
          </w:divBdr>
        </w:div>
        <w:div w:id="2010594334">
          <w:marLeft w:val="0"/>
          <w:marRight w:val="0"/>
          <w:marTop w:val="0"/>
          <w:marBottom w:val="0"/>
          <w:divBdr>
            <w:top w:val="none" w:sz="0" w:space="0" w:color="auto"/>
            <w:left w:val="none" w:sz="0" w:space="0" w:color="auto"/>
            <w:bottom w:val="none" w:sz="0" w:space="0" w:color="auto"/>
            <w:right w:val="none" w:sz="0" w:space="0" w:color="auto"/>
          </w:divBdr>
        </w:div>
      </w:divsChild>
    </w:div>
    <w:div w:id="804005783">
      <w:bodyDiv w:val="1"/>
      <w:marLeft w:val="0"/>
      <w:marRight w:val="0"/>
      <w:marTop w:val="0"/>
      <w:marBottom w:val="0"/>
      <w:divBdr>
        <w:top w:val="none" w:sz="0" w:space="0" w:color="auto"/>
        <w:left w:val="none" w:sz="0" w:space="0" w:color="auto"/>
        <w:bottom w:val="none" w:sz="0" w:space="0" w:color="auto"/>
        <w:right w:val="none" w:sz="0" w:space="0" w:color="auto"/>
      </w:divBdr>
      <w:divsChild>
        <w:div w:id="545794566">
          <w:marLeft w:val="0"/>
          <w:marRight w:val="0"/>
          <w:marTop w:val="0"/>
          <w:marBottom w:val="0"/>
          <w:divBdr>
            <w:top w:val="none" w:sz="0" w:space="0" w:color="auto"/>
            <w:left w:val="none" w:sz="0" w:space="0" w:color="auto"/>
            <w:bottom w:val="none" w:sz="0" w:space="0" w:color="auto"/>
            <w:right w:val="none" w:sz="0" w:space="0" w:color="auto"/>
          </w:divBdr>
        </w:div>
        <w:div w:id="692418375">
          <w:marLeft w:val="0"/>
          <w:marRight w:val="0"/>
          <w:marTop w:val="0"/>
          <w:marBottom w:val="0"/>
          <w:divBdr>
            <w:top w:val="none" w:sz="0" w:space="0" w:color="auto"/>
            <w:left w:val="none" w:sz="0" w:space="0" w:color="auto"/>
            <w:bottom w:val="none" w:sz="0" w:space="0" w:color="auto"/>
            <w:right w:val="none" w:sz="0" w:space="0" w:color="auto"/>
          </w:divBdr>
        </w:div>
        <w:div w:id="2023167430">
          <w:marLeft w:val="0"/>
          <w:marRight w:val="0"/>
          <w:marTop w:val="0"/>
          <w:marBottom w:val="0"/>
          <w:divBdr>
            <w:top w:val="none" w:sz="0" w:space="0" w:color="auto"/>
            <w:left w:val="none" w:sz="0" w:space="0" w:color="auto"/>
            <w:bottom w:val="none" w:sz="0" w:space="0" w:color="auto"/>
            <w:right w:val="none" w:sz="0" w:space="0" w:color="auto"/>
          </w:divBdr>
        </w:div>
      </w:divsChild>
    </w:div>
    <w:div w:id="810366175">
      <w:bodyDiv w:val="1"/>
      <w:marLeft w:val="0"/>
      <w:marRight w:val="0"/>
      <w:marTop w:val="0"/>
      <w:marBottom w:val="0"/>
      <w:divBdr>
        <w:top w:val="none" w:sz="0" w:space="0" w:color="auto"/>
        <w:left w:val="none" w:sz="0" w:space="0" w:color="auto"/>
        <w:bottom w:val="none" w:sz="0" w:space="0" w:color="auto"/>
        <w:right w:val="none" w:sz="0" w:space="0" w:color="auto"/>
      </w:divBdr>
    </w:div>
    <w:div w:id="820737049">
      <w:bodyDiv w:val="1"/>
      <w:marLeft w:val="0"/>
      <w:marRight w:val="0"/>
      <w:marTop w:val="0"/>
      <w:marBottom w:val="0"/>
      <w:divBdr>
        <w:top w:val="none" w:sz="0" w:space="0" w:color="auto"/>
        <w:left w:val="none" w:sz="0" w:space="0" w:color="auto"/>
        <w:bottom w:val="none" w:sz="0" w:space="0" w:color="auto"/>
        <w:right w:val="none" w:sz="0" w:space="0" w:color="auto"/>
      </w:divBdr>
    </w:div>
    <w:div w:id="822355367">
      <w:bodyDiv w:val="1"/>
      <w:marLeft w:val="0"/>
      <w:marRight w:val="0"/>
      <w:marTop w:val="0"/>
      <w:marBottom w:val="0"/>
      <w:divBdr>
        <w:top w:val="none" w:sz="0" w:space="0" w:color="auto"/>
        <w:left w:val="none" w:sz="0" w:space="0" w:color="auto"/>
        <w:bottom w:val="none" w:sz="0" w:space="0" w:color="auto"/>
        <w:right w:val="none" w:sz="0" w:space="0" w:color="auto"/>
      </w:divBdr>
      <w:divsChild>
        <w:div w:id="352073363">
          <w:marLeft w:val="0"/>
          <w:marRight w:val="0"/>
          <w:marTop w:val="0"/>
          <w:marBottom w:val="0"/>
          <w:divBdr>
            <w:top w:val="none" w:sz="0" w:space="0" w:color="auto"/>
            <w:left w:val="none" w:sz="0" w:space="0" w:color="auto"/>
            <w:bottom w:val="none" w:sz="0" w:space="0" w:color="auto"/>
            <w:right w:val="none" w:sz="0" w:space="0" w:color="auto"/>
          </w:divBdr>
        </w:div>
      </w:divsChild>
    </w:div>
    <w:div w:id="829491221">
      <w:bodyDiv w:val="1"/>
      <w:marLeft w:val="0"/>
      <w:marRight w:val="0"/>
      <w:marTop w:val="0"/>
      <w:marBottom w:val="0"/>
      <w:divBdr>
        <w:top w:val="none" w:sz="0" w:space="0" w:color="auto"/>
        <w:left w:val="none" w:sz="0" w:space="0" w:color="auto"/>
        <w:bottom w:val="none" w:sz="0" w:space="0" w:color="auto"/>
        <w:right w:val="none" w:sz="0" w:space="0" w:color="auto"/>
      </w:divBdr>
    </w:div>
    <w:div w:id="832641846">
      <w:bodyDiv w:val="1"/>
      <w:marLeft w:val="0"/>
      <w:marRight w:val="0"/>
      <w:marTop w:val="0"/>
      <w:marBottom w:val="0"/>
      <w:divBdr>
        <w:top w:val="none" w:sz="0" w:space="0" w:color="auto"/>
        <w:left w:val="none" w:sz="0" w:space="0" w:color="auto"/>
        <w:bottom w:val="none" w:sz="0" w:space="0" w:color="auto"/>
        <w:right w:val="none" w:sz="0" w:space="0" w:color="auto"/>
      </w:divBdr>
    </w:div>
    <w:div w:id="854265158">
      <w:bodyDiv w:val="1"/>
      <w:marLeft w:val="0"/>
      <w:marRight w:val="0"/>
      <w:marTop w:val="0"/>
      <w:marBottom w:val="0"/>
      <w:divBdr>
        <w:top w:val="none" w:sz="0" w:space="0" w:color="auto"/>
        <w:left w:val="none" w:sz="0" w:space="0" w:color="auto"/>
        <w:bottom w:val="none" w:sz="0" w:space="0" w:color="auto"/>
        <w:right w:val="none" w:sz="0" w:space="0" w:color="auto"/>
      </w:divBdr>
    </w:div>
    <w:div w:id="860126133">
      <w:bodyDiv w:val="1"/>
      <w:marLeft w:val="0"/>
      <w:marRight w:val="0"/>
      <w:marTop w:val="0"/>
      <w:marBottom w:val="0"/>
      <w:divBdr>
        <w:top w:val="none" w:sz="0" w:space="0" w:color="auto"/>
        <w:left w:val="none" w:sz="0" w:space="0" w:color="auto"/>
        <w:bottom w:val="none" w:sz="0" w:space="0" w:color="auto"/>
        <w:right w:val="none" w:sz="0" w:space="0" w:color="auto"/>
      </w:divBdr>
      <w:divsChild>
        <w:div w:id="1594124320">
          <w:marLeft w:val="0"/>
          <w:marRight w:val="0"/>
          <w:marTop w:val="0"/>
          <w:marBottom w:val="0"/>
          <w:divBdr>
            <w:top w:val="none" w:sz="0" w:space="0" w:color="auto"/>
            <w:left w:val="none" w:sz="0" w:space="0" w:color="auto"/>
            <w:bottom w:val="none" w:sz="0" w:space="0" w:color="auto"/>
            <w:right w:val="none" w:sz="0" w:space="0" w:color="auto"/>
          </w:divBdr>
          <w:divsChild>
            <w:div w:id="1361126261">
              <w:marLeft w:val="0"/>
              <w:marRight w:val="0"/>
              <w:marTop w:val="0"/>
              <w:marBottom w:val="0"/>
              <w:divBdr>
                <w:top w:val="none" w:sz="0" w:space="0" w:color="auto"/>
                <w:left w:val="none" w:sz="0" w:space="0" w:color="auto"/>
                <w:bottom w:val="none" w:sz="0" w:space="0" w:color="auto"/>
                <w:right w:val="none" w:sz="0" w:space="0" w:color="auto"/>
              </w:divBdr>
            </w:div>
            <w:div w:id="1682270034">
              <w:marLeft w:val="0"/>
              <w:marRight w:val="0"/>
              <w:marTop w:val="0"/>
              <w:marBottom w:val="0"/>
              <w:divBdr>
                <w:top w:val="none" w:sz="0" w:space="0" w:color="auto"/>
                <w:left w:val="none" w:sz="0" w:space="0" w:color="auto"/>
                <w:bottom w:val="none" w:sz="0" w:space="0" w:color="auto"/>
                <w:right w:val="none" w:sz="0" w:space="0" w:color="auto"/>
              </w:divBdr>
            </w:div>
            <w:div w:id="1839998898">
              <w:marLeft w:val="0"/>
              <w:marRight w:val="0"/>
              <w:marTop w:val="0"/>
              <w:marBottom w:val="0"/>
              <w:divBdr>
                <w:top w:val="none" w:sz="0" w:space="0" w:color="auto"/>
                <w:left w:val="none" w:sz="0" w:space="0" w:color="auto"/>
                <w:bottom w:val="none" w:sz="0" w:space="0" w:color="auto"/>
                <w:right w:val="none" w:sz="0" w:space="0" w:color="auto"/>
              </w:divBdr>
            </w:div>
            <w:div w:id="1980568988">
              <w:marLeft w:val="0"/>
              <w:marRight w:val="0"/>
              <w:marTop w:val="0"/>
              <w:marBottom w:val="0"/>
              <w:divBdr>
                <w:top w:val="none" w:sz="0" w:space="0" w:color="auto"/>
                <w:left w:val="none" w:sz="0" w:space="0" w:color="auto"/>
                <w:bottom w:val="none" w:sz="0" w:space="0" w:color="auto"/>
                <w:right w:val="none" w:sz="0" w:space="0" w:color="auto"/>
              </w:divBdr>
            </w:div>
          </w:divsChild>
        </w:div>
        <w:div w:id="1993367543">
          <w:marLeft w:val="0"/>
          <w:marRight w:val="0"/>
          <w:marTop w:val="0"/>
          <w:marBottom w:val="0"/>
          <w:divBdr>
            <w:top w:val="none" w:sz="0" w:space="0" w:color="auto"/>
            <w:left w:val="none" w:sz="0" w:space="0" w:color="auto"/>
            <w:bottom w:val="none" w:sz="0" w:space="0" w:color="auto"/>
            <w:right w:val="none" w:sz="0" w:space="0" w:color="auto"/>
          </w:divBdr>
          <w:divsChild>
            <w:div w:id="30617269">
              <w:marLeft w:val="0"/>
              <w:marRight w:val="0"/>
              <w:marTop w:val="0"/>
              <w:marBottom w:val="0"/>
              <w:divBdr>
                <w:top w:val="none" w:sz="0" w:space="0" w:color="auto"/>
                <w:left w:val="none" w:sz="0" w:space="0" w:color="auto"/>
                <w:bottom w:val="none" w:sz="0" w:space="0" w:color="auto"/>
                <w:right w:val="none" w:sz="0" w:space="0" w:color="auto"/>
              </w:divBdr>
            </w:div>
            <w:div w:id="69272756">
              <w:marLeft w:val="0"/>
              <w:marRight w:val="0"/>
              <w:marTop w:val="0"/>
              <w:marBottom w:val="0"/>
              <w:divBdr>
                <w:top w:val="none" w:sz="0" w:space="0" w:color="auto"/>
                <w:left w:val="none" w:sz="0" w:space="0" w:color="auto"/>
                <w:bottom w:val="none" w:sz="0" w:space="0" w:color="auto"/>
                <w:right w:val="none" w:sz="0" w:space="0" w:color="auto"/>
              </w:divBdr>
            </w:div>
            <w:div w:id="236407129">
              <w:marLeft w:val="0"/>
              <w:marRight w:val="0"/>
              <w:marTop w:val="0"/>
              <w:marBottom w:val="0"/>
              <w:divBdr>
                <w:top w:val="none" w:sz="0" w:space="0" w:color="auto"/>
                <w:left w:val="none" w:sz="0" w:space="0" w:color="auto"/>
                <w:bottom w:val="none" w:sz="0" w:space="0" w:color="auto"/>
                <w:right w:val="none" w:sz="0" w:space="0" w:color="auto"/>
              </w:divBdr>
            </w:div>
            <w:div w:id="1049768045">
              <w:marLeft w:val="0"/>
              <w:marRight w:val="0"/>
              <w:marTop w:val="0"/>
              <w:marBottom w:val="0"/>
              <w:divBdr>
                <w:top w:val="none" w:sz="0" w:space="0" w:color="auto"/>
                <w:left w:val="none" w:sz="0" w:space="0" w:color="auto"/>
                <w:bottom w:val="none" w:sz="0" w:space="0" w:color="auto"/>
                <w:right w:val="none" w:sz="0" w:space="0" w:color="auto"/>
              </w:divBdr>
            </w:div>
            <w:div w:id="1436746969">
              <w:marLeft w:val="0"/>
              <w:marRight w:val="0"/>
              <w:marTop w:val="0"/>
              <w:marBottom w:val="0"/>
              <w:divBdr>
                <w:top w:val="none" w:sz="0" w:space="0" w:color="auto"/>
                <w:left w:val="none" w:sz="0" w:space="0" w:color="auto"/>
                <w:bottom w:val="none" w:sz="0" w:space="0" w:color="auto"/>
                <w:right w:val="none" w:sz="0" w:space="0" w:color="auto"/>
              </w:divBdr>
            </w:div>
            <w:div w:id="1865551511">
              <w:marLeft w:val="0"/>
              <w:marRight w:val="0"/>
              <w:marTop w:val="0"/>
              <w:marBottom w:val="0"/>
              <w:divBdr>
                <w:top w:val="none" w:sz="0" w:space="0" w:color="auto"/>
                <w:left w:val="none" w:sz="0" w:space="0" w:color="auto"/>
                <w:bottom w:val="none" w:sz="0" w:space="0" w:color="auto"/>
                <w:right w:val="none" w:sz="0" w:space="0" w:color="auto"/>
              </w:divBdr>
            </w:div>
            <w:div w:id="197506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718915">
      <w:bodyDiv w:val="1"/>
      <w:marLeft w:val="0"/>
      <w:marRight w:val="0"/>
      <w:marTop w:val="0"/>
      <w:marBottom w:val="0"/>
      <w:divBdr>
        <w:top w:val="none" w:sz="0" w:space="0" w:color="auto"/>
        <w:left w:val="none" w:sz="0" w:space="0" w:color="auto"/>
        <w:bottom w:val="none" w:sz="0" w:space="0" w:color="auto"/>
        <w:right w:val="none" w:sz="0" w:space="0" w:color="auto"/>
      </w:divBdr>
    </w:div>
    <w:div w:id="874271537">
      <w:bodyDiv w:val="1"/>
      <w:marLeft w:val="0"/>
      <w:marRight w:val="0"/>
      <w:marTop w:val="0"/>
      <w:marBottom w:val="0"/>
      <w:divBdr>
        <w:top w:val="none" w:sz="0" w:space="0" w:color="auto"/>
        <w:left w:val="none" w:sz="0" w:space="0" w:color="auto"/>
        <w:bottom w:val="none" w:sz="0" w:space="0" w:color="auto"/>
        <w:right w:val="none" w:sz="0" w:space="0" w:color="auto"/>
      </w:divBdr>
    </w:div>
    <w:div w:id="878395206">
      <w:bodyDiv w:val="1"/>
      <w:marLeft w:val="0"/>
      <w:marRight w:val="0"/>
      <w:marTop w:val="0"/>
      <w:marBottom w:val="0"/>
      <w:divBdr>
        <w:top w:val="none" w:sz="0" w:space="0" w:color="auto"/>
        <w:left w:val="none" w:sz="0" w:space="0" w:color="auto"/>
        <w:bottom w:val="none" w:sz="0" w:space="0" w:color="auto"/>
        <w:right w:val="none" w:sz="0" w:space="0" w:color="auto"/>
      </w:divBdr>
    </w:div>
    <w:div w:id="892692857">
      <w:bodyDiv w:val="1"/>
      <w:marLeft w:val="0"/>
      <w:marRight w:val="0"/>
      <w:marTop w:val="0"/>
      <w:marBottom w:val="0"/>
      <w:divBdr>
        <w:top w:val="none" w:sz="0" w:space="0" w:color="auto"/>
        <w:left w:val="none" w:sz="0" w:space="0" w:color="auto"/>
        <w:bottom w:val="none" w:sz="0" w:space="0" w:color="auto"/>
        <w:right w:val="none" w:sz="0" w:space="0" w:color="auto"/>
      </w:divBdr>
    </w:div>
    <w:div w:id="896549227">
      <w:bodyDiv w:val="1"/>
      <w:marLeft w:val="0"/>
      <w:marRight w:val="0"/>
      <w:marTop w:val="0"/>
      <w:marBottom w:val="0"/>
      <w:divBdr>
        <w:top w:val="none" w:sz="0" w:space="0" w:color="auto"/>
        <w:left w:val="none" w:sz="0" w:space="0" w:color="auto"/>
        <w:bottom w:val="none" w:sz="0" w:space="0" w:color="auto"/>
        <w:right w:val="none" w:sz="0" w:space="0" w:color="auto"/>
      </w:divBdr>
    </w:div>
    <w:div w:id="912927810">
      <w:bodyDiv w:val="1"/>
      <w:marLeft w:val="0"/>
      <w:marRight w:val="0"/>
      <w:marTop w:val="0"/>
      <w:marBottom w:val="0"/>
      <w:divBdr>
        <w:top w:val="none" w:sz="0" w:space="0" w:color="auto"/>
        <w:left w:val="none" w:sz="0" w:space="0" w:color="auto"/>
        <w:bottom w:val="none" w:sz="0" w:space="0" w:color="auto"/>
        <w:right w:val="none" w:sz="0" w:space="0" w:color="auto"/>
      </w:divBdr>
    </w:div>
    <w:div w:id="928974877">
      <w:bodyDiv w:val="1"/>
      <w:marLeft w:val="0"/>
      <w:marRight w:val="0"/>
      <w:marTop w:val="0"/>
      <w:marBottom w:val="0"/>
      <w:divBdr>
        <w:top w:val="none" w:sz="0" w:space="0" w:color="auto"/>
        <w:left w:val="none" w:sz="0" w:space="0" w:color="auto"/>
        <w:bottom w:val="none" w:sz="0" w:space="0" w:color="auto"/>
        <w:right w:val="none" w:sz="0" w:space="0" w:color="auto"/>
      </w:divBdr>
      <w:divsChild>
        <w:div w:id="841968002">
          <w:marLeft w:val="360"/>
          <w:marRight w:val="0"/>
          <w:marTop w:val="200"/>
          <w:marBottom w:val="0"/>
          <w:divBdr>
            <w:top w:val="none" w:sz="0" w:space="0" w:color="auto"/>
            <w:left w:val="none" w:sz="0" w:space="0" w:color="auto"/>
            <w:bottom w:val="none" w:sz="0" w:space="0" w:color="auto"/>
            <w:right w:val="none" w:sz="0" w:space="0" w:color="auto"/>
          </w:divBdr>
        </w:div>
      </w:divsChild>
    </w:div>
    <w:div w:id="997197829">
      <w:bodyDiv w:val="1"/>
      <w:marLeft w:val="0"/>
      <w:marRight w:val="0"/>
      <w:marTop w:val="0"/>
      <w:marBottom w:val="0"/>
      <w:divBdr>
        <w:top w:val="none" w:sz="0" w:space="0" w:color="auto"/>
        <w:left w:val="none" w:sz="0" w:space="0" w:color="auto"/>
        <w:bottom w:val="none" w:sz="0" w:space="0" w:color="auto"/>
        <w:right w:val="none" w:sz="0" w:space="0" w:color="auto"/>
      </w:divBdr>
    </w:div>
    <w:div w:id="1007557840">
      <w:bodyDiv w:val="1"/>
      <w:marLeft w:val="0"/>
      <w:marRight w:val="0"/>
      <w:marTop w:val="0"/>
      <w:marBottom w:val="0"/>
      <w:divBdr>
        <w:top w:val="none" w:sz="0" w:space="0" w:color="auto"/>
        <w:left w:val="none" w:sz="0" w:space="0" w:color="auto"/>
        <w:bottom w:val="none" w:sz="0" w:space="0" w:color="auto"/>
        <w:right w:val="none" w:sz="0" w:space="0" w:color="auto"/>
      </w:divBdr>
      <w:divsChild>
        <w:div w:id="41639012">
          <w:marLeft w:val="0"/>
          <w:marRight w:val="0"/>
          <w:marTop w:val="0"/>
          <w:marBottom w:val="0"/>
          <w:divBdr>
            <w:top w:val="none" w:sz="0" w:space="0" w:color="auto"/>
            <w:left w:val="none" w:sz="0" w:space="0" w:color="auto"/>
            <w:bottom w:val="none" w:sz="0" w:space="0" w:color="auto"/>
            <w:right w:val="none" w:sz="0" w:space="0" w:color="auto"/>
          </w:divBdr>
        </w:div>
        <w:div w:id="292828239">
          <w:marLeft w:val="0"/>
          <w:marRight w:val="0"/>
          <w:marTop w:val="0"/>
          <w:marBottom w:val="0"/>
          <w:divBdr>
            <w:top w:val="none" w:sz="0" w:space="0" w:color="auto"/>
            <w:left w:val="none" w:sz="0" w:space="0" w:color="auto"/>
            <w:bottom w:val="none" w:sz="0" w:space="0" w:color="auto"/>
            <w:right w:val="none" w:sz="0" w:space="0" w:color="auto"/>
          </w:divBdr>
        </w:div>
        <w:div w:id="1078331514">
          <w:marLeft w:val="0"/>
          <w:marRight w:val="0"/>
          <w:marTop w:val="0"/>
          <w:marBottom w:val="0"/>
          <w:divBdr>
            <w:top w:val="none" w:sz="0" w:space="0" w:color="auto"/>
            <w:left w:val="none" w:sz="0" w:space="0" w:color="auto"/>
            <w:bottom w:val="none" w:sz="0" w:space="0" w:color="auto"/>
            <w:right w:val="none" w:sz="0" w:space="0" w:color="auto"/>
          </w:divBdr>
        </w:div>
        <w:div w:id="2047439724">
          <w:marLeft w:val="0"/>
          <w:marRight w:val="0"/>
          <w:marTop w:val="0"/>
          <w:marBottom w:val="0"/>
          <w:divBdr>
            <w:top w:val="none" w:sz="0" w:space="0" w:color="auto"/>
            <w:left w:val="none" w:sz="0" w:space="0" w:color="auto"/>
            <w:bottom w:val="none" w:sz="0" w:space="0" w:color="auto"/>
            <w:right w:val="none" w:sz="0" w:space="0" w:color="auto"/>
          </w:divBdr>
        </w:div>
      </w:divsChild>
    </w:div>
    <w:div w:id="1011487225">
      <w:bodyDiv w:val="1"/>
      <w:marLeft w:val="0"/>
      <w:marRight w:val="0"/>
      <w:marTop w:val="0"/>
      <w:marBottom w:val="0"/>
      <w:divBdr>
        <w:top w:val="none" w:sz="0" w:space="0" w:color="auto"/>
        <w:left w:val="none" w:sz="0" w:space="0" w:color="auto"/>
        <w:bottom w:val="none" w:sz="0" w:space="0" w:color="auto"/>
        <w:right w:val="none" w:sz="0" w:space="0" w:color="auto"/>
      </w:divBdr>
      <w:divsChild>
        <w:div w:id="100692009">
          <w:marLeft w:val="0"/>
          <w:marRight w:val="0"/>
          <w:marTop w:val="0"/>
          <w:marBottom w:val="0"/>
          <w:divBdr>
            <w:top w:val="none" w:sz="0" w:space="0" w:color="auto"/>
            <w:left w:val="none" w:sz="0" w:space="0" w:color="auto"/>
            <w:bottom w:val="none" w:sz="0" w:space="0" w:color="auto"/>
            <w:right w:val="none" w:sz="0" w:space="0" w:color="auto"/>
          </w:divBdr>
        </w:div>
        <w:div w:id="208877656">
          <w:marLeft w:val="0"/>
          <w:marRight w:val="0"/>
          <w:marTop w:val="0"/>
          <w:marBottom w:val="0"/>
          <w:divBdr>
            <w:top w:val="none" w:sz="0" w:space="0" w:color="auto"/>
            <w:left w:val="none" w:sz="0" w:space="0" w:color="auto"/>
            <w:bottom w:val="none" w:sz="0" w:space="0" w:color="auto"/>
            <w:right w:val="none" w:sz="0" w:space="0" w:color="auto"/>
          </w:divBdr>
        </w:div>
        <w:div w:id="415439829">
          <w:marLeft w:val="0"/>
          <w:marRight w:val="0"/>
          <w:marTop w:val="0"/>
          <w:marBottom w:val="0"/>
          <w:divBdr>
            <w:top w:val="none" w:sz="0" w:space="0" w:color="auto"/>
            <w:left w:val="none" w:sz="0" w:space="0" w:color="auto"/>
            <w:bottom w:val="none" w:sz="0" w:space="0" w:color="auto"/>
            <w:right w:val="none" w:sz="0" w:space="0" w:color="auto"/>
          </w:divBdr>
        </w:div>
        <w:div w:id="480657743">
          <w:marLeft w:val="0"/>
          <w:marRight w:val="0"/>
          <w:marTop w:val="0"/>
          <w:marBottom w:val="0"/>
          <w:divBdr>
            <w:top w:val="none" w:sz="0" w:space="0" w:color="auto"/>
            <w:left w:val="none" w:sz="0" w:space="0" w:color="auto"/>
            <w:bottom w:val="none" w:sz="0" w:space="0" w:color="auto"/>
            <w:right w:val="none" w:sz="0" w:space="0" w:color="auto"/>
          </w:divBdr>
        </w:div>
        <w:div w:id="603466430">
          <w:marLeft w:val="0"/>
          <w:marRight w:val="0"/>
          <w:marTop w:val="0"/>
          <w:marBottom w:val="0"/>
          <w:divBdr>
            <w:top w:val="none" w:sz="0" w:space="0" w:color="auto"/>
            <w:left w:val="none" w:sz="0" w:space="0" w:color="auto"/>
            <w:bottom w:val="none" w:sz="0" w:space="0" w:color="auto"/>
            <w:right w:val="none" w:sz="0" w:space="0" w:color="auto"/>
          </w:divBdr>
        </w:div>
        <w:div w:id="739907663">
          <w:marLeft w:val="0"/>
          <w:marRight w:val="0"/>
          <w:marTop w:val="0"/>
          <w:marBottom w:val="0"/>
          <w:divBdr>
            <w:top w:val="none" w:sz="0" w:space="0" w:color="auto"/>
            <w:left w:val="none" w:sz="0" w:space="0" w:color="auto"/>
            <w:bottom w:val="none" w:sz="0" w:space="0" w:color="auto"/>
            <w:right w:val="none" w:sz="0" w:space="0" w:color="auto"/>
          </w:divBdr>
        </w:div>
        <w:div w:id="898979899">
          <w:marLeft w:val="0"/>
          <w:marRight w:val="0"/>
          <w:marTop w:val="0"/>
          <w:marBottom w:val="0"/>
          <w:divBdr>
            <w:top w:val="none" w:sz="0" w:space="0" w:color="auto"/>
            <w:left w:val="none" w:sz="0" w:space="0" w:color="auto"/>
            <w:bottom w:val="none" w:sz="0" w:space="0" w:color="auto"/>
            <w:right w:val="none" w:sz="0" w:space="0" w:color="auto"/>
          </w:divBdr>
        </w:div>
        <w:div w:id="1008753371">
          <w:marLeft w:val="0"/>
          <w:marRight w:val="0"/>
          <w:marTop w:val="0"/>
          <w:marBottom w:val="0"/>
          <w:divBdr>
            <w:top w:val="none" w:sz="0" w:space="0" w:color="auto"/>
            <w:left w:val="none" w:sz="0" w:space="0" w:color="auto"/>
            <w:bottom w:val="none" w:sz="0" w:space="0" w:color="auto"/>
            <w:right w:val="none" w:sz="0" w:space="0" w:color="auto"/>
          </w:divBdr>
        </w:div>
        <w:div w:id="1033387948">
          <w:marLeft w:val="0"/>
          <w:marRight w:val="0"/>
          <w:marTop w:val="0"/>
          <w:marBottom w:val="0"/>
          <w:divBdr>
            <w:top w:val="none" w:sz="0" w:space="0" w:color="auto"/>
            <w:left w:val="none" w:sz="0" w:space="0" w:color="auto"/>
            <w:bottom w:val="none" w:sz="0" w:space="0" w:color="auto"/>
            <w:right w:val="none" w:sz="0" w:space="0" w:color="auto"/>
          </w:divBdr>
        </w:div>
        <w:div w:id="1075711267">
          <w:marLeft w:val="0"/>
          <w:marRight w:val="0"/>
          <w:marTop w:val="0"/>
          <w:marBottom w:val="0"/>
          <w:divBdr>
            <w:top w:val="none" w:sz="0" w:space="0" w:color="auto"/>
            <w:left w:val="none" w:sz="0" w:space="0" w:color="auto"/>
            <w:bottom w:val="none" w:sz="0" w:space="0" w:color="auto"/>
            <w:right w:val="none" w:sz="0" w:space="0" w:color="auto"/>
          </w:divBdr>
        </w:div>
        <w:div w:id="1362246613">
          <w:marLeft w:val="0"/>
          <w:marRight w:val="0"/>
          <w:marTop w:val="0"/>
          <w:marBottom w:val="0"/>
          <w:divBdr>
            <w:top w:val="none" w:sz="0" w:space="0" w:color="auto"/>
            <w:left w:val="none" w:sz="0" w:space="0" w:color="auto"/>
            <w:bottom w:val="none" w:sz="0" w:space="0" w:color="auto"/>
            <w:right w:val="none" w:sz="0" w:space="0" w:color="auto"/>
          </w:divBdr>
        </w:div>
        <w:div w:id="1445881535">
          <w:marLeft w:val="0"/>
          <w:marRight w:val="0"/>
          <w:marTop w:val="0"/>
          <w:marBottom w:val="0"/>
          <w:divBdr>
            <w:top w:val="none" w:sz="0" w:space="0" w:color="auto"/>
            <w:left w:val="none" w:sz="0" w:space="0" w:color="auto"/>
            <w:bottom w:val="none" w:sz="0" w:space="0" w:color="auto"/>
            <w:right w:val="none" w:sz="0" w:space="0" w:color="auto"/>
          </w:divBdr>
        </w:div>
        <w:div w:id="1502622328">
          <w:marLeft w:val="0"/>
          <w:marRight w:val="0"/>
          <w:marTop w:val="0"/>
          <w:marBottom w:val="0"/>
          <w:divBdr>
            <w:top w:val="none" w:sz="0" w:space="0" w:color="auto"/>
            <w:left w:val="none" w:sz="0" w:space="0" w:color="auto"/>
            <w:bottom w:val="none" w:sz="0" w:space="0" w:color="auto"/>
            <w:right w:val="none" w:sz="0" w:space="0" w:color="auto"/>
          </w:divBdr>
        </w:div>
        <w:div w:id="1603220032">
          <w:marLeft w:val="0"/>
          <w:marRight w:val="0"/>
          <w:marTop w:val="0"/>
          <w:marBottom w:val="0"/>
          <w:divBdr>
            <w:top w:val="none" w:sz="0" w:space="0" w:color="auto"/>
            <w:left w:val="none" w:sz="0" w:space="0" w:color="auto"/>
            <w:bottom w:val="none" w:sz="0" w:space="0" w:color="auto"/>
            <w:right w:val="none" w:sz="0" w:space="0" w:color="auto"/>
          </w:divBdr>
        </w:div>
        <w:div w:id="1685132039">
          <w:marLeft w:val="0"/>
          <w:marRight w:val="0"/>
          <w:marTop w:val="0"/>
          <w:marBottom w:val="0"/>
          <w:divBdr>
            <w:top w:val="none" w:sz="0" w:space="0" w:color="auto"/>
            <w:left w:val="none" w:sz="0" w:space="0" w:color="auto"/>
            <w:bottom w:val="none" w:sz="0" w:space="0" w:color="auto"/>
            <w:right w:val="none" w:sz="0" w:space="0" w:color="auto"/>
          </w:divBdr>
        </w:div>
        <w:div w:id="1740439639">
          <w:marLeft w:val="0"/>
          <w:marRight w:val="0"/>
          <w:marTop w:val="0"/>
          <w:marBottom w:val="0"/>
          <w:divBdr>
            <w:top w:val="none" w:sz="0" w:space="0" w:color="auto"/>
            <w:left w:val="none" w:sz="0" w:space="0" w:color="auto"/>
            <w:bottom w:val="none" w:sz="0" w:space="0" w:color="auto"/>
            <w:right w:val="none" w:sz="0" w:space="0" w:color="auto"/>
          </w:divBdr>
        </w:div>
        <w:div w:id="1935478251">
          <w:marLeft w:val="0"/>
          <w:marRight w:val="0"/>
          <w:marTop w:val="0"/>
          <w:marBottom w:val="0"/>
          <w:divBdr>
            <w:top w:val="none" w:sz="0" w:space="0" w:color="auto"/>
            <w:left w:val="none" w:sz="0" w:space="0" w:color="auto"/>
            <w:bottom w:val="none" w:sz="0" w:space="0" w:color="auto"/>
            <w:right w:val="none" w:sz="0" w:space="0" w:color="auto"/>
          </w:divBdr>
        </w:div>
        <w:div w:id="1957444818">
          <w:marLeft w:val="0"/>
          <w:marRight w:val="0"/>
          <w:marTop w:val="0"/>
          <w:marBottom w:val="0"/>
          <w:divBdr>
            <w:top w:val="none" w:sz="0" w:space="0" w:color="auto"/>
            <w:left w:val="none" w:sz="0" w:space="0" w:color="auto"/>
            <w:bottom w:val="none" w:sz="0" w:space="0" w:color="auto"/>
            <w:right w:val="none" w:sz="0" w:space="0" w:color="auto"/>
          </w:divBdr>
        </w:div>
        <w:div w:id="1989243863">
          <w:marLeft w:val="0"/>
          <w:marRight w:val="0"/>
          <w:marTop w:val="0"/>
          <w:marBottom w:val="0"/>
          <w:divBdr>
            <w:top w:val="none" w:sz="0" w:space="0" w:color="auto"/>
            <w:left w:val="none" w:sz="0" w:space="0" w:color="auto"/>
            <w:bottom w:val="none" w:sz="0" w:space="0" w:color="auto"/>
            <w:right w:val="none" w:sz="0" w:space="0" w:color="auto"/>
          </w:divBdr>
        </w:div>
        <w:div w:id="2144299544">
          <w:marLeft w:val="0"/>
          <w:marRight w:val="0"/>
          <w:marTop w:val="0"/>
          <w:marBottom w:val="0"/>
          <w:divBdr>
            <w:top w:val="none" w:sz="0" w:space="0" w:color="auto"/>
            <w:left w:val="none" w:sz="0" w:space="0" w:color="auto"/>
            <w:bottom w:val="none" w:sz="0" w:space="0" w:color="auto"/>
            <w:right w:val="none" w:sz="0" w:space="0" w:color="auto"/>
          </w:divBdr>
        </w:div>
      </w:divsChild>
    </w:div>
    <w:div w:id="1017584370">
      <w:bodyDiv w:val="1"/>
      <w:marLeft w:val="0"/>
      <w:marRight w:val="0"/>
      <w:marTop w:val="0"/>
      <w:marBottom w:val="0"/>
      <w:divBdr>
        <w:top w:val="none" w:sz="0" w:space="0" w:color="auto"/>
        <w:left w:val="none" w:sz="0" w:space="0" w:color="auto"/>
        <w:bottom w:val="none" w:sz="0" w:space="0" w:color="auto"/>
        <w:right w:val="none" w:sz="0" w:space="0" w:color="auto"/>
      </w:divBdr>
    </w:div>
    <w:div w:id="1033918379">
      <w:bodyDiv w:val="1"/>
      <w:marLeft w:val="0"/>
      <w:marRight w:val="0"/>
      <w:marTop w:val="0"/>
      <w:marBottom w:val="0"/>
      <w:divBdr>
        <w:top w:val="none" w:sz="0" w:space="0" w:color="auto"/>
        <w:left w:val="none" w:sz="0" w:space="0" w:color="auto"/>
        <w:bottom w:val="none" w:sz="0" w:space="0" w:color="auto"/>
        <w:right w:val="none" w:sz="0" w:space="0" w:color="auto"/>
      </w:divBdr>
    </w:div>
    <w:div w:id="1042944162">
      <w:bodyDiv w:val="1"/>
      <w:marLeft w:val="0"/>
      <w:marRight w:val="0"/>
      <w:marTop w:val="0"/>
      <w:marBottom w:val="0"/>
      <w:divBdr>
        <w:top w:val="none" w:sz="0" w:space="0" w:color="auto"/>
        <w:left w:val="none" w:sz="0" w:space="0" w:color="auto"/>
        <w:bottom w:val="none" w:sz="0" w:space="0" w:color="auto"/>
        <w:right w:val="none" w:sz="0" w:space="0" w:color="auto"/>
      </w:divBdr>
    </w:div>
    <w:div w:id="1050307867">
      <w:bodyDiv w:val="1"/>
      <w:marLeft w:val="0"/>
      <w:marRight w:val="0"/>
      <w:marTop w:val="0"/>
      <w:marBottom w:val="0"/>
      <w:divBdr>
        <w:top w:val="none" w:sz="0" w:space="0" w:color="auto"/>
        <w:left w:val="none" w:sz="0" w:space="0" w:color="auto"/>
        <w:bottom w:val="none" w:sz="0" w:space="0" w:color="auto"/>
        <w:right w:val="none" w:sz="0" w:space="0" w:color="auto"/>
      </w:divBdr>
      <w:divsChild>
        <w:div w:id="12919041">
          <w:marLeft w:val="0"/>
          <w:marRight w:val="0"/>
          <w:marTop w:val="0"/>
          <w:marBottom w:val="0"/>
          <w:divBdr>
            <w:top w:val="none" w:sz="0" w:space="0" w:color="auto"/>
            <w:left w:val="none" w:sz="0" w:space="0" w:color="auto"/>
            <w:bottom w:val="none" w:sz="0" w:space="0" w:color="auto"/>
            <w:right w:val="none" w:sz="0" w:space="0" w:color="auto"/>
          </w:divBdr>
        </w:div>
        <w:div w:id="22102021">
          <w:marLeft w:val="0"/>
          <w:marRight w:val="0"/>
          <w:marTop w:val="0"/>
          <w:marBottom w:val="0"/>
          <w:divBdr>
            <w:top w:val="none" w:sz="0" w:space="0" w:color="auto"/>
            <w:left w:val="none" w:sz="0" w:space="0" w:color="auto"/>
            <w:bottom w:val="none" w:sz="0" w:space="0" w:color="auto"/>
            <w:right w:val="none" w:sz="0" w:space="0" w:color="auto"/>
          </w:divBdr>
        </w:div>
        <w:div w:id="69158968">
          <w:marLeft w:val="0"/>
          <w:marRight w:val="0"/>
          <w:marTop w:val="0"/>
          <w:marBottom w:val="0"/>
          <w:divBdr>
            <w:top w:val="none" w:sz="0" w:space="0" w:color="auto"/>
            <w:left w:val="none" w:sz="0" w:space="0" w:color="auto"/>
            <w:bottom w:val="none" w:sz="0" w:space="0" w:color="auto"/>
            <w:right w:val="none" w:sz="0" w:space="0" w:color="auto"/>
          </w:divBdr>
        </w:div>
        <w:div w:id="152530348">
          <w:marLeft w:val="0"/>
          <w:marRight w:val="0"/>
          <w:marTop w:val="0"/>
          <w:marBottom w:val="0"/>
          <w:divBdr>
            <w:top w:val="none" w:sz="0" w:space="0" w:color="auto"/>
            <w:left w:val="none" w:sz="0" w:space="0" w:color="auto"/>
            <w:bottom w:val="none" w:sz="0" w:space="0" w:color="auto"/>
            <w:right w:val="none" w:sz="0" w:space="0" w:color="auto"/>
          </w:divBdr>
        </w:div>
        <w:div w:id="274483206">
          <w:marLeft w:val="0"/>
          <w:marRight w:val="0"/>
          <w:marTop w:val="0"/>
          <w:marBottom w:val="0"/>
          <w:divBdr>
            <w:top w:val="none" w:sz="0" w:space="0" w:color="auto"/>
            <w:left w:val="none" w:sz="0" w:space="0" w:color="auto"/>
            <w:bottom w:val="none" w:sz="0" w:space="0" w:color="auto"/>
            <w:right w:val="none" w:sz="0" w:space="0" w:color="auto"/>
          </w:divBdr>
        </w:div>
        <w:div w:id="317613972">
          <w:marLeft w:val="0"/>
          <w:marRight w:val="0"/>
          <w:marTop w:val="0"/>
          <w:marBottom w:val="0"/>
          <w:divBdr>
            <w:top w:val="none" w:sz="0" w:space="0" w:color="auto"/>
            <w:left w:val="none" w:sz="0" w:space="0" w:color="auto"/>
            <w:bottom w:val="none" w:sz="0" w:space="0" w:color="auto"/>
            <w:right w:val="none" w:sz="0" w:space="0" w:color="auto"/>
          </w:divBdr>
        </w:div>
        <w:div w:id="562182000">
          <w:marLeft w:val="0"/>
          <w:marRight w:val="0"/>
          <w:marTop w:val="0"/>
          <w:marBottom w:val="0"/>
          <w:divBdr>
            <w:top w:val="none" w:sz="0" w:space="0" w:color="auto"/>
            <w:left w:val="none" w:sz="0" w:space="0" w:color="auto"/>
            <w:bottom w:val="none" w:sz="0" w:space="0" w:color="auto"/>
            <w:right w:val="none" w:sz="0" w:space="0" w:color="auto"/>
          </w:divBdr>
        </w:div>
        <w:div w:id="852181716">
          <w:marLeft w:val="0"/>
          <w:marRight w:val="0"/>
          <w:marTop w:val="0"/>
          <w:marBottom w:val="0"/>
          <w:divBdr>
            <w:top w:val="none" w:sz="0" w:space="0" w:color="auto"/>
            <w:left w:val="none" w:sz="0" w:space="0" w:color="auto"/>
            <w:bottom w:val="none" w:sz="0" w:space="0" w:color="auto"/>
            <w:right w:val="none" w:sz="0" w:space="0" w:color="auto"/>
          </w:divBdr>
        </w:div>
        <w:div w:id="1257134833">
          <w:marLeft w:val="0"/>
          <w:marRight w:val="0"/>
          <w:marTop w:val="0"/>
          <w:marBottom w:val="0"/>
          <w:divBdr>
            <w:top w:val="none" w:sz="0" w:space="0" w:color="auto"/>
            <w:left w:val="none" w:sz="0" w:space="0" w:color="auto"/>
            <w:bottom w:val="none" w:sz="0" w:space="0" w:color="auto"/>
            <w:right w:val="none" w:sz="0" w:space="0" w:color="auto"/>
          </w:divBdr>
        </w:div>
        <w:div w:id="1269654400">
          <w:marLeft w:val="0"/>
          <w:marRight w:val="0"/>
          <w:marTop w:val="0"/>
          <w:marBottom w:val="0"/>
          <w:divBdr>
            <w:top w:val="none" w:sz="0" w:space="0" w:color="auto"/>
            <w:left w:val="none" w:sz="0" w:space="0" w:color="auto"/>
            <w:bottom w:val="none" w:sz="0" w:space="0" w:color="auto"/>
            <w:right w:val="none" w:sz="0" w:space="0" w:color="auto"/>
          </w:divBdr>
        </w:div>
        <w:div w:id="1344673450">
          <w:marLeft w:val="0"/>
          <w:marRight w:val="0"/>
          <w:marTop w:val="0"/>
          <w:marBottom w:val="0"/>
          <w:divBdr>
            <w:top w:val="none" w:sz="0" w:space="0" w:color="auto"/>
            <w:left w:val="none" w:sz="0" w:space="0" w:color="auto"/>
            <w:bottom w:val="none" w:sz="0" w:space="0" w:color="auto"/>
            <w:right w:val="none" w:sz="0" w:space="0" w:color="auto"/>
          </w:divBdr>
        </w:div>
        <w:div w:id="1410955593">
          <w:marLeft w:val="0"/>
          <w:marRight w:val="0"/>
          <w:marTop w:val="0"/>
          <w:marBottom w:val="0"/>
          <w:divBdr>
            <w:top w:val="none" w:sz="0" w:space="0" w:color="auto"/>
            <w:left w:val="none" w:sz="0" w:space="0" w:color="auto"/>
            <w:bottom w:val="none" w:sz="0" w:space="0" w:color="auto"/>
            <w:right w:val="none" w:sz="0" w:space="0" w:color="auto"/>
          </w:divBdr>
        </w:div>
        <w:div w:id="1469589013">
          <w:marLeft w:val="0"/>
          <w:marRight w:val="0"/>
          <w:marTop w:val="0"/>
          <w:marBottom w:val="0"/>
          <w:divBdr>
            <w:top w:val="none" w:sz="0" w:space="0" w:color="auto"/>
            <w:left w:val="none" w:sz="0" w:space="0" w:color="auto"/>
            <w:bottom w:val="none" w:sz="0" w:space="0" w:color="auto"/>
            <w:right w:val="none" w:sz="0" w:space="0" w:color="auto"/>
          </w:divBdr>
        </w:div>
        <w:div w:id="1516771836">
          <w:marLeft w:val="0"/>
          <w:marRight w:val="0"/>
          <w:marTop w:val="0"/>
          <w:marBottom w:val="0"/>
          <w:divBdr>
            <w:top w:val="none" w:sz="0" w:space="0" w:color="auto"/>
            <w:left w:val="none" w:sz="0" w:space="0" w:color="auto"/>
            <w:bottom w:val="none" w:sz="0" w:space="0" w:color="auto"/>
            <w:right w:val="none" w:sz="0" w:space="0" w:color="auto"/>
          </w:divBdr>
        </w:div>
        <w:div w:id="1538740300">
          <w:marLeft w:val="0"/>
          <w:marRight w:val="0"/>
          <w:marTop w:val="0"/>
          <w:marBottom w:val="0"/>
          <w:divBdr>
            <w:top w:val="none" w:sz="0" w:space="0" w:color="auto"/>
            <w:left w:val="none" w:sz="0" w:space="0" w:color="auto"/>
            <w:bottom w:val="none" w:sz="0" w:space="0" w:color="auto"/>
            <w:right w:val="none" w:sz="0" w:space="0" w:color="auto"/>
          </w:divBdr>
        </w:div>
        <w:div w:id="1587425557">
          <w:marLeft w:val="0"/>
          <w:marRight w:val="0"/>
          <w:marTop w:val="0"/>
          <w:marBottom w:val="0"/>
          <w:divBdr>
            <w:top w:val="none" w:sz="0" w:space="0" w:color="auto"/>
            <w:left w:val="none" w:sz="0" w:space="0" w:color="auto"/>
            <w:bottom w:val="none" w:sz="0" w:space="0" w:color="auto"/>
            <w:right w:val="none" w:sz="0" w:space="0" w:color="auto"/>
          </w:divBdr>
        </w:div>
        <w:div w:id="1763643574">
          <w:marLeft w:val="0"/>
          <w:marRight w:val="0"/>
          <w:marTop w:val="0"/>
          <w:marBottom w:val="0"/>
          <w:divBdr>
            <w:top w:val="none" w:sz="0" w:space="0" w:color="auto"/>
            <w:left w:val="none" w:sz="0" w:space="0" w:color="auto"/>
            <w:bottom w:val="none" w:sz="0" w:space="0" w:color="auto"/>
            <w:right w:val="none" w:sz="0" w:space="0" w:color="auto"/>
          </w:divBdr>
        </w:div>
        <w:div w:id="1803569540">
          <w:marLeft w:val="0"/>
          <w:marRight w:val="0"/>
          <w:marTop w:val="0"/>
          <w:marBottom w:val="0"/>
          <w:divBdr>
            <w:top w:val="none" w:sz="0" w:space="0" w:color="auto"/>
            <w:left w:val="none" w:sz="0" w:space="0" w:color="auto"/>
            <w:bottom w:val="none" w:sz="0" w:space="0" w:color="auto"/>
            <w:right w:val="none" w:sz="0" w:space="0" w:color="auto"/>
          </w:divBdr>
        </w:div>
        <w:div w:id="2059934190">
          <w:marLeft w:val="0"/>
          <w:marRight w:val="0"/>
          <w:marTop w:val="0"/>
          <w:marBottom w:val="0"/>
          <w:divBdr>
            <w:top w:val="none" w:sz="0" w:space="0" w:color="auto"/>
            <w:left w:val="none" w:sz="0" w:space="0" w:color="auto"/>
            <w:bottom w:val="none" w:sz="0" w:space="0" w:color="auto"/>
            <w:right w:val="none" w:sz="0" w:space="0" w:color="auto"/>
          </w:divBdr>
        </w:div>
      </w:divsChild>
    </w:div>
    <w:div w:id="1063990769">
      <w:bodyDiv w:val="1"/>
      <w:marLeft w:val="0"/>
      <w:marRight w:val="0"/>
      <w:marTop w:val="0"/>
      <w:marBottom w:val="0"/>
      <w:divBdr>
        <w:top w:val="none" w:sz="0" w:space="0" w:color="auto"/>
        <w:left w:val="none" w:sz="0" w:space="0" w:color="auto"/>
        <w:bottom w:val="none" w:sz="0" w:space="0" w:color="auto"/>
        <w:right w:val="none" w:sz="0" w:space="0" w:color="auto"/>
      </w:divBdr>
    </w:div>
    <w:div w:id="1067459622">
      <w:bodyDiv w:val="1"/>
      <w:marLeft w:val="0"/>
      <w:marRight w:val="0"/>
      <w:marTop w:val="0"/>
      <w:marBottom w:val="0"/>
      <w:divBdr>
        <w:top w:val="none" w:sz="0" w:space="0" w:color="auto"/>
        <w:left w:val="none" w:sz="0" w:space="0" w:color="auto"/>
        <w:bottom w:val="none" w:sz="0" w:space="0" w:color="auto"/>
        <w:right w:val="none" w:sz="0" w:space="0" w:color="auto"/>
      </w:divBdr>
      <w:divsChild>
        <w:div w:id="422803385">
          <w:marLeft w:val="0"/>
          <w:marRight w:val="0"/>
          <w:marTop w:val="0"/>
          <w:marBottom w:val="0"/>
          <w:divBdr>
            <w:top w:val="none" w:sz="0" w:space="0" w:color="auto"/>
            <w:left w:val="none" w:sz="0" w:space="0" w:color="auto"/>
            <w:bottom w:val="none" w:sz="0" w:space="0" w:color="auto"/>
            <w:right w:val="none" w:sz="0" w:space="0" w:color="auto"/>
          </w:divBdr>
        </w:div>
        <w:div w:id="1887915025">
          <w:marLeft w:val="0"/>
          <w:marRight w:val="0"/>
          <w:marTop w:val="0"/>
          <w:marBottom w:val="0"/>
          <w:divBdr>
            <w:top w:val="none" w:sz="0" w:space="0" w:color="auto"/>
            <w:left w:val="none" w:sz="0" w:space="0" w:color="auto"/>
            <w:bottom w:val="none" w:sz="0" w:space="0" w:color="auto"/>
            <w:right w:val="none" w:sz="0" w:space="0" w:color="auto"/>
          </w:divBdr>
        </w:div>
        <w:div w:id="1916238493">
          <w:marLeft w:val="0"/>
          <w:marRight w:val="0"/>
          <w:marTop w:val="0"/>
          <w:marBottom w:val="0"/>
          <w:divBdr>
            <w:top w:val="none" w:sz="0" w:space="0" w:color="auto"/>
            <w:left w:val="none" w:sz="0" w:space="0" w:color="auto"/>
            <w:bottom w:val="none" w:sz="0" w:space="0" w:color="auto"/>
            <w:right w:val="none" w:sz="0" w:space="0" w:color="auto"/>
          </w:divBdr>
        </w:div>
      </w:divsChild>
    </w:div>
    <w:div w:id="1074933017">
      <w:bodyDiv w:val="1"/>
      <w:marLeft w:val="0"/>
      <w:marRight w:val="0"/>
      <w:marTop w:val="0"/>
      <w:marBottom w:val="0"/>
      <w:divBdr>
        <w:top w:val="none" w:sz="0" w:space="0" w:color="auto"/>
        <w:left w:val="none" w:sz="0" w:space="0" w:color="auto"/>
        <w:bottom w:val="none" w:sz="0" w:space="0" w:color="auto"/>
        <w:right w:val="none" w:sz="0" w:space="0" w:color="auto"/>
      </w:divBdr>
    </w:div>
    <w:div w:id="1092897053">
      <w:bodyDiv w:val="1"/>
      <w:marLeft w:val="0"/>
      <w:marRight w:val="0"/>
      <w:marTop w:val="0"/>
      <w:marBottom w:val="0"/>
      <w:divBdr>
        <w:top w:val="none" w:sz="0" w:space="0" w:color="auto"/>
        <w:left w:val="none" w:sz="0" w:space="0" w:color="auto"/>
        <w:bottom w:val="none" w:sz="0" w:space="0" w:color="auto"/>
        <w:right w:val="none" w:sz="0" w:space="0" w:color="auto"/>
      </w:divBdr>
    </w:div>
    <w:div w:id="1094087230">
      <w:bodyDiv w:val="1"/>
      <w:marLeft w:val="0"/>
      <w:marRight w:val="0"/>
      <w:marTop w:val="0"/>
      <w:marBottom w:val="0"/>
      <w:divBdr>
        <w:top w:val="none" w:sz="0" w:space="0" w:color="auto"/>
        <w:left w:val="none" w:sz="0" w:space="0" w:color="auto"/>
        <w:bottom w:val="none" w:sz="0" w:space="0" w:color="auto"/>
        <w:right w:val="none" w:sz="0" w:space="0" w:color="auto"/>
      </w:divBdr>
    </w:div>
    <w:div w:id="1110668093">
      <w:bodyDiv w:val="1"/>
      <w:marLeft w:val="0"/>
      <w:marRight w:val="0"/>
      <w:marTop w:val="0"/>
      <w:marBottom w:val="0"/>
      <w:divBdr>
        <w:top w:val="none" w:sz="0" w:space="0" w:color="auto"/>
        <w:left w:val="none" w:sz="0" w:space="0" w:color="auto"/>
        <w:bottom w:val="none" w:sz="0" w:space="0" w:color="auto"/>
        <w:right w:val="none" w:sz="0" w:space="0" w:color="auto"/>
      </w:divBdr>
    </w:div>
    <w:div w:id="1128085989">
      <w:bodyDiv w:val="1"/>
      <w:marLeft w:val="0"/>
      <w:marRight w:val="0"/>
      <w:marTop w:val="0"/>
      <w:marBottom w:val="0"/>
      <w:divBdr>
        <w:top w:val="none" w:sz="0" w:space="0" w:color="auto"/>
        <w:left w:val="none" w:sz="0" w:space="0" w:color="auto"/>
        <w:bottom w:val="none" w:sz="0" w:space="0" w:color="auto"/>
        <w:right w:val="none" w:sz="0" w:space="0" w:color="auto"/>
      </w:divBdr>
    </w:div>
    <w:div w:id="1130175099">
      <w:bodyDiv w:val="1"/>
      <w:marLeft w:val="0"/>
      <w:marRight w:val="0"/>
      <w:marTop w:val="0"/>
      <w:marBottom w:val="0"/>
      <w:divBdr>
        <w:top w:val="none" w:sz="0" w:space="0" w:color="auto"/>
        <w:left w:val="none" w:sz="0" w:space="0" w:color="auto"/>
        <w:bottom w:val="none" w:sz="0" w:space="0" w:color="auto"/>
        <w:right w:val="none" w:sz="0" w:space="0" w:color="auto"/>
      </w:divBdr>
    </w:div>
    <w:div w:id="1138571006">
      <w:bodyDiv w:val="1"/>
      <w:marLeft w:val="0"/>
      <w:marRight w:val="0"/>
      <w:marTop w:val="0"/>
      <w:marBottom w:val="0"/>
      <w:divBdr>
        <w:top w:val="none" w:sz="0" w:space="0" w:color="auto"/>
        <w:left w:val="none" w:sz="0" w:space="0" w:color="auto"/>
        <w:bottom w:val="none" w:sz="0" w:space="0" w:color="auto"/>
        <w:right w:val="none" w:sz="0" w:space="0" w:color="auto"/>
      </w:divBdr>
    </w:div>
    <w:div w:id="1139147172">
      <w:bodyDiv w:val="1"/>
      <w:marLeft w:val="0"/>
      <w:marRight w:val="0"/>
      <w:marTop w:val="0"/>
      <w:marBottom w:val="0"/>
      <w:divBdr>
        <w:top w:val="none" w:sz="0" w:space="0" w:color="auto"/>
        <w:left w:val="none" w:sz="0" w:space="0" w:color="auto"/>
        <w:bottom w:val="none" w:sz="0" w:space="0" w:color="auto"/>
        <w:right w:val="none" w:sz="0" w:space="0" w:color="auto"/>
      </w:divBdr>
    </w:div>
    <w:div w:id="1142884781">
      <w:bodyDiv w:val="1"/>
      <w:marLeft w:val="0"/>
      <w:marRight w:val="0"/>
      <w:marTop w:val="0"/>
      <w:marBottom w:val="0"/>
      <w:divBdr>
        <w:top w:val="none" w:sz="0" w:space="0" w:color="auto"/>
        <w:left w:val="none" w:sz="0" w:space="0" w:color="auto"/>
        <w:bottom w:val="none" w:sz="0" w:space="0" w:color="auto"/>
        <w:right w:val="none" w:sz="0" w:space="0" w:color="auto"/>
      </w:divBdr>
    </w:div>
    <w:div w:id="1148934296">
      <w:bodyDiv w:val="1"/>
      <w:marLeft w:val="0"/>
      <w:marRight w:val="0"/>
      <w:marTop w:val="0"/>
      <w:marBottom w:val="0"/>
      <w:divBdr>
        <w:top w:val="none" w:sz="0" w:space="0" w:color="auto"/>
        <w:left w:val="none" w:sz="0" w:space="0" w:color="auto"/>
        <w:bottom w:val="none" w:sz="0" w:space="0" w:color="auto"/>
        <w:right w:val="none" w:sz="0" w:space="0" w:color="auto"/>
      </w:divBdr>
      <w:divsChild>
        <w:div w:id="671374554">
          <w:marLeft w:val="0"/>
          <w:marRight w:val="0"/>
          <w:marTop w:val="0"/>
          <w:marBottom w:val="0"/>
          <w:divBdr>
            <w:top w:val="none" w:sz="0" w:space="0" w:color="auto"/>
            <w:left w:val="none" w:sz="0" w:space="0" w:color="auto"/>
            <w:bottom w:val="none" w:sz="0" w:space="0" w:color="auto"/>
            <w:right w:val="none" w:sz="0" w:space="0" w:color="auto"/>
          </w:divBdr>
        </w:div>
        <w:div w:id="1000281535">
          <w:marLeft w:val="0"/>
          <w:marRight w:val="0"/>
          <w:marTop w:val="0"/>
          <w:marBottom w:val="0"/>
          <w:divBdr>
            <w:top w:val="none" w:sz="0" w:space="0" w:color="auto"/>
            <w:left w:val="none" w:sz="0" w:space="0" w:color="auto"/>
            <w:bottom w:val="none" w:sz="0" w:space="0" w:color="auto"/>
            <w:right w:val="none" w:sz="0" w:space="0" w:color="auto"/>
          </w:divBdr>
        </w:div>
        <w:div w:id="1903179350">
          <w:marLeft w:val="0"/>
          <w:marRight w:val="0"/>
          <w:marTop w:val="0"/>
          <w:marBottom w:val="0"/>
          <w:divBdr>
            <w:top w:val="none" w:sz="0" w:space="0" w:color="auto"/>
            <w:left w:val="none" w:sz="0" w:space="0" w:color="auto"/>
            <w:bottom w:val="none" w:sz="0" w:space="0" w:color="auto"/>
            <w:right w:val="none" w:sz="0" w:space="0" w:color="auto"/>
          </w:divBdr>
        </w:div>
      </w:divsChild>
    </w:div>
    <w:div w:id="1156998956">
      <w:bodyDiv w:val="1"/>
      <w:marLeft w:val="0"/>
      <w:marRight w:val="0"/>
      <w:marTop w:val="0"/>
      <w:marBottom w:val="0"/>
      <w:divBdr>
        <w:top w:val="none" w:sz="0" w:space="0" w:color="auto"/>
        <w:left w:val="none" w:sz="0" w:space="0" w:color="auto"/>
        <w:bottom w:val="none" w:sz="0" w:space="0" w:color="auto"/>
        <w:right w:val="none" w:sz="0" w:space="0" w:color="auto"/>
      </w:divBdr>
    </w:div>
    <w:div w:id="1159227812">
      <w:bodyDiv w:val="1"/>
      <w:marLeft w:val="0"/>
      <w:marRight w:val="0"/>
      <w:marTop w:val="0"/>
      <w:marBottom w:val="0"/>
      <w:divBdr>
        <w:top w:val="none" w:sz="0" w:space="0" w:color="auto"/>
        <w:left w:val="none" w:sz="0" w:space="0" w:color="auto"/>
        <w:bottom w:val="none" w:sz="0" w:space="0" w:color="auto"/>
        <w:right w:val="none" w:sz="0" w:space="0" w:color="auto"/>
      </w:divBdr>
    </w:div>
    <w:div w:id="1161970196">
      <w:bodyDiv w:val="1"/>
      <w:marLeft w:val="0"/>
      <w:marRight w:val="0"/>
      <w:marTop w:val="0"/>
      <w:marBottom w:val="0"/>
      <w:divBdr>
        <w:top w:val="none" w:sz="0" w:space="0" w:color="auto"/>
        <w:left w:val="none" w:sz="0" w:space="0" w:color="auto"/>
        <w:bottom w:val="none" w:sz="0" w:space="0" w:color="auto"/>
        <w:right w:val="none" w:sz="0" w:space="0" w:color="auto"/>
      </w:divBdr>
      <w:divsChild>
        <w:div w:id="546769198">
          <w:marLeft w:val="0"/>
          <w:marRight w:val="0"/>
          <w:marTop w:val="0"/>
          <w:marBottom w:val="0"/>
          <w:divBdr>
            <w:top w:val="none" w:sz="0" w:space="0" w:color="auto"/>
            <w:left w:val="none" w:sz="0" w:space="0" w:color="auto"/>
            <w:bottom w:val="none" w:sz="0" w:space="0" w:color="auto"/>
            <w:right w:val="none" w:sz="0" w:space="0" w:color="auto"/>
          </w:divBdr>
        </w:div>
        <w:div w:id="1506508576">
          <w:marLeft w:val="0"/>
          <w:marRight w:val="0"/>
          <w:marTop w:val="0"/>
          <w:marBottom w:val="0"/>
          <w:divBdr>
            <w:top w:val="none" w:sz="0" w:space="0" w:color="auto"/>
            <w:left w:val="none" w:sz="0" w:space="0" w:color="auto"/>
            <w:bottom w:val="none" w:sz="0" w:space="0" w:color="auto"/>
            <w:right w:val="none" w:sz="0" w:space="0" w:color="auto"/>
          </w:divBdr>
        </w:div>
      </w:divsChild>
    </w:div>
    <w:div w:id="1167937672">
      <w:bodyDiv w:val="1"/>
      <w:marLeft w:val="0"/>
      <w:marRight w:val="0"/>
      <w:marTop w:val="0"/>
      <w:marBottom w:val="0"/>
      <w:divBdr>
        <w:top w:val="none" w:sz="0" w:space="0" w:color="auto"/>
        <w:left w:val="none" w:sz="0" w:space="0" w:color="auto"/>
        <w:bottom w:val="none" w:sz="0" w:space="0" w:color="auto"/>
        <w:right w:val="none" w:sz="0" w:space="0" w:color="auto"/>
      </w:divBdr>
      <w:divsChild>
        <w:div w:id="628752562">
          <w:marLeft w:val="0"/>
          <w:marRight w:val="0"/>
          <w:marTop w:val="0"/>
          <w:marBottom w:val="0"/>
          <w:divBdr>
            <w:top w:val="none" w:sz="0" w:space="0" w:color="auto"/>
            <w:left w:val="none" w:sz="0" w:space="0" w:color="auto"/>
            <w:bottom w:val="none" w:sz="0" w:space="0" w:color="auto"/>
            <w:right w:val="none" w:sz="0" w:space="0" w:color="auto"/>
          </w:divBdr>
        </w:div>
        <w:div w:id="661203521">
          <w:marLeft w:val="0"/>
          <w:marRight w:val="0"/>
          <w:marTop w:val="0"/>
          <w:marBottom w:val="0"/>
          <w:divBdr>
            <w:top w:val="none" w:sz="0" w:space="0" w:color="auto"/>
            <w:left w:val="none" w:sz="0" w:space="0" w:color="auto"/>
            <w:bottom w:val="none" w:sz="0" w:space="0" w:color="auto"/>
            <w:right w:val="none" w:sz="0" w:space="0" w:color="auto"/>
          </w:divBdr>
        </w:div>
        <w:div w:id="684282328">
          <w:marLeft w:val="0"/>
          <w:marRight w:val="0"/>
          <w:marTop w:val="0"/>
          <w:marBottom w:val="0"/>
          <w:divBdr>
            <w:top w:val="none" w:sz="0" w:space="0" w:color="auto"/>
            <w:left w:val="none" w:sz="0" w:space="0" w:color="auto"/>
            <w:bottom w:val="none" w:sz="0" w:space="0" w:color="auto"/>
            <w:right w:val="none" w:sz="0" w:space="0" w:color="auto"/>
          </w:divBdr>
        </w:div>
        <w:div w:id="865413985">
          <w:marLeft w:val="0"/>
          <w:marRight w:val="0"/>
          <w:marTop w:val="0"/>
          <w:marBottom w:val="0"/>
          <w:divBdr>
            <w:top w:val="none" w:sz="0" w:space="0" w:color="auto"/>
            <w:left w:val="none" w:sz="0" w:space="0" w:color="auto"/>
            <w:bottom w:val="none" w:sz="0" w:space="0" w:color="auto"/>
            <w:right w:val="none" w:sz="0" w:space="0" w:color="auto"/>
          </w:divBdr>
        </w:div>
        <w:div w:id="875385243">
          <w:marLeft w:val="0"/>
          <w:marRight w:val="0"/>
          <w:marTop w:val="0"/>
          <w:marBottom w:val="0"/>
          <w:divBdr>
            <w:top w:val="none" w:sz="0" w:space="0" w:color="auto"/>
            <w:left w:val="none" w:sz="0" w:space="0" w:color="auto"/>
            <w:bottom w:val="none" w:sz="0" w:space="0" w:color="auto"/>
            <w:right w:val="none" w:sz="0" w:space="0" w:color="auto"/>
          </w:divBdr>
        </w:div>
        <w:div w:id="906646581">
          <w:marLeft w:val="0"/>
          <w:marRight w:val="0"/>
          <w:marTop w:val="0"/>
          <w:marBottom w:val="0"/>
          <w:divBdr>
            <w:top w:val="none" w:sz="0" w:space="0" w:color="auto"/>
            <w:left w:val="none" w:sz="0" w:space="0" w:color="auto"/>
            <w:bottom w:val="none" w:sz="0" w:space="0" w:color="auto"/>
            <w:right w:val="none" w:sz="0" w:space="0" w:color="auto"/>
          </w:divBdr>
        </w:div>
        <w:div w:id="1174301416">
          <w:marLeft w:val="0"/>
          <w:marRight w:val="0"/>
          <w:marTop w:val="0"/>
          <w:marBottom w:val="0"/>
          <w:divBdr>
            <w:top w:val="none" w:sz="0" w:space="0" w:color="auto"/>
            <w:left w:val="none" w:sz="0" w:space="0" w:color="auto"/>
            <w:bottom w:val="none" w:sz="0" w:space="0" w:color="auto"/>
            <w:right w:val="none" w:sz="0" w:space="0" w:color="auto"/>
          </w:divBdr>
        </w:div>
        <w:div w:id="1200127502">
          <w:marLeft w:val="0"/>
          <w:marRight w:val="0"/>
          <w:marTop w:val="0"/>
          <w:marBottom w:val="0"/>
          <w:divBdr>
            <w:top w:val="none" w:sz="0" w:space="0" w:color="auto"/>
            <w:left w:val="none" w:sz="0" w:space="0" w:color="auto"/>
            <w:bottom w:val="none" w:sz="0" w:space="0" w:color="auto"/>
            <w:right w:val="none" w:sz="0" w:space="0" w:color="auto"/>
          </w:divBdr>
        </w:div>
        <w:div w:id="1802530479">
          <w:marLeft w:val="0"/>
          <w:marRight w:val="0"/>
          <w:marTop w:val="0"/>
          <w:marBottom w:val="0"/>
          <w:divBdr>
            <w:top w:val="none" w:sz="0" w:space="0" w:color="auto"/>
            <w:left w:val="none" w:sz="0" w:space="0" w:color="auto"/>
            <w:bottom w:val="none" w:sz="0" w:space="0" w:color="auto"/>
            <w:right w:val="none" w:sz="0" w:space="0" w:color="auto"/>
          </w:divBdr>
        </w:div>
        <w:div w:id="2144039806">
          <w:marLeft w:val="0"/>
          <w:marRight w:val="0"/>
          <w:marTop w:val="0"/>
          <w:marBottom w:val="0"/>
          <w:divBdr>
            <w:top w:val="none" w:sz="0" w:space="0" w:color="auto"/>
            <w:left w:val="none" w:sz="0" w:space="0" w:color="auto"/>
            <w:bottom w:val="none" w:sz="0" w:space="0" w:color="auto"/>
            <w:right w:val="none" w:sz="0" w:space="0" w:color="auto"/>
          </w:divBdr>
        </w:div>
      </w:divsChild>
    </w:div>
    <w:div w:id="1169172204">
      <w:bodyDiv w:val="1"/>
      <w:marLeft w:val="0"/>
      <w:marRight w:val="0"/>
      <w:marTop w:val="0"/>
      <w:marBottom w:val="0"/>
      <w:divBdr>
        <w:top w:val="none" w:sz="0" w:space="0" w:color="auto"/>
        <w:left w:val="none" w:sz="0" w:space="0" w:color="auto"/>
        <w:bottom w:val="none" w:sz="0" w:space="0" w:color="auto"/>
        <w:right w:val="none" w:sz="0" w:space="0" w:color="auto"/>
      </w:divBdr>
      <w:divsChild>
        <w:div w:id="219823831">
          <w:marLeft w:val="0"/>
          <w:marRight w:val="0"/>
          <w:marTop w:val="0"/>
          <w:marBottom w:val="0"/>
          <w:divBdr>
            <w:top w:val="none" w:sz="0" w:space="0" w:color="auto"/>
            <w:left w:val="none" w:sz="0" w:space="0" w:color="auto"/>
            <w:bottom w:val="none" w:sz="0" w:space="0" w:color="auto"/>
            <w:right w:val="none" w:sz="0" w:space="0" w:color="auto"/>
          </w:divBdr>
        </w:div>
        <w:div w:id="1935893627">
          <w:marLeft w:val="0"/>
          <w:marRight w:val="0"/>
          <w:marTop w:val="0"/>
          <w:marBottom w:val="0"/>
          <w:divBdr>
            <w:top w:val="none" w:sz="0" w:space="0" w:color="auto"/>
            <w:left w:val="none" w:sz="0" w:space="0" w:color="auto"/>
            <w:bottom w:val="none" w:sz="0" w:space="0" w:color="auto"/>
            <w:right w:val="none" w:sz="0" w:space="0" w:color="auto"/>
          </w:divBdr>
        </w:div>
      </w:divsChild>
    </w:div>
    <w:div w:id="1169711854">
      <w:bodyDiv w:val="1"/>
      <w:marLeft w:val="0"/>
      <w:marRight w:val="0"/>
      <w:marTop w:val="0"/>
      <w:marBottom w:val="0"/>
      <w:divBdr>
        <w:top w:val="none" w:sz="0" w:space="0" w:color="auto"/>
        <w:left w:val="none" w:sz="0" w:space="0" w:color="auto"/>
        <w:bottom w:val="none" w:sz="0" w:space="0" w:color="auto"/>
        <w:right w:val="none" w:sz="0" w:space="0" w:color="auto"/>
      </w:divBdr>
      <w:divsChild>
        <w:div w:id="61831266">
          <w:marLeft w:val="0"/>
          <w:marRight w:val="0"/>
          <w:marTop w:val="0"/>
          <w:marBottom w:val="0"/>
          <w:divBdr>
            <w:top w:val="none" w:sz="0" w:space="0" w:color="auto"/>
            <w:left w:val="none" w:sz="0" w:space="0" w:color="auto"/>
            <w:bottom w:val="none" w:sz="0" w:space="0" w:color="auto"/>
            <w:right w:val="none" w:sz="0" w:space="0" w:color="auto"/>
          </w:divBdr>
        </w:div>
        <w:div w:id="301885670">
          <w:marLeft w:val="0"/>
          <w:marRight w:val="0"/>
          <w:marTop w:val="0"/>
          <w:marBottom w:val="0"/>
          <w:divBdr>
            <w:top w:val="none" w:sz="0" w:space="0" w:color="auto"/>
            <w:left w:val="none" w:sz="0" w:space="0" w:color="auto"/>
            <w:bottom w:val="none" w:sz="0" w:space="0" w:color="auto"/>
            <w:right w:val="none" w:sz="0" w:space="0" w:color="auto"/>
          </w:divBdr>
        </w:div>
        <w:div w:id="400979157">
          <w:marLeft w:val="0"/>
          <w:marRight w:val="0"/>
          <w:marTop w:val="0"/>
          <w:marBottom w:val="0"/>
          <w:divBdr>
            <w:top w:val="none" w:sz="0" w:space="0" w:color="auto"/>
            <w:left w:val="none" w:sz="0" w:space="0" w:color="auto"/>
            <w:bottom w:val="none" w:sz="0" w:space="0" w:color="auto"/>
            <w:right w:val="none" w:sz="0" w:space="0" w:color="auto"/>
          </w:divBdr>
        </w:div>
        <w:div w:id="440419363">
          <w:marLeft w:val="0"/>
          <w:marRight w:val="0"/>
          <w:marTop w:val="0"/>
          <w:marBottom w:val="0"/>
          <w:divBdr>
            <w:top w:val="none" w:sz="0" w:space="0" w:color="auto"/>
            <w:left w:val="none" w:sz="0" w:space="0" w:color="auto"/>
            <w:bottom w:val="none" w:sz="0" w:space="0" w:color="auto"/>
            <w:right w:val="none" w:sz="0" w:space="0" w:color="auto"/>
          </w:divBdr>
        </w:div>
        <w:div w:id="668100105">
          <w:marLeft w:val="0"/>
          <w:marRight w:val="0"/>
          <w:marTop w:val="0"/>
          <w:marBottom w:val="0"/>
          <w:divBdr>
            <w:top w:val="none" w:sz="0" w:space="0" w:color="auto"/>
            <w:left w:val="none" w:sz="0" w:space="0" w:color="auto"/>
            <w:bottom w:val="none" w:sz="0" w:space="0" w:color="auto"/>
            <w:right w:val="none" w:sz="0" w:space="0" w:color="auto"/>
          </w:divBdr>
        </w:div>
        <w:div w:id="756942296">
          <w:marLeft w:val="0"/>
          <w:marRight w:val="0"/>
          <w:marTop w:val="0"/>
          <w:marBottom w:val="0"/>
          <w:divBdr>
            <w:top w:val="none" w:sz="0" w:space="0" w:color="auto"/>
            <w:left w:val="none" w:sz="0" w:space="0" w:color="auto"/>
            <w:bottom w:val="none" w:sz="0" w:space="0" w:color="auto"/>
            <w:right w:val="none" w:sz="0" w:space="0" w:color="auto"/>
          </w:divBdr>
        </w:div>
        <w:div w:id="988704193">
          <w:marLeft w:val="0"/>
          <w:marRight w:val="0"/>
          <w:marTop w:val="0"/>
          <w:marBottom w:val="0"/>
          <w:divBdr>
            <w:top w:val="none" w:sz="0" w:space="0" w:color="auto"/>
            <w:left w:val="none" w:sz="0" w:space="0" w:color="auto"/>
            <w:bottom w:val="none" w:sz="0" w:space="0" w:color="auto"/>
            <w:right w:val="none" w:sz="0" w:space="0" w:color="auto"/>
          </w:divBdr>
        </w:div>
        <w:div w:id="1034422477">
          <w:marLeft w:val="0"/>
          <w:marRight w:val="0"/>
          <w:marTop w:val="0"/>
          <w:marBottom w:val="0"/>
          <w:divBdr>
            <w:top w:val="none" w:sz="0" w:space="0" w:color="auto"/>
            <w:left w:val="none" w:sz="0" w:space="0" w:color="auto"/>
            <w:bottom w:val="none" w:sz="0" w:space="0" w:color="auto"/>
            <w:right w:val="none" w:sz="0" w:space="0" w:color="auto"/>
          </w:divBdr>
        </w:div>
        <w:div w:id="1074888518">
          <w:marLeft w:val="0"/>
          <w:marRight w:val="0"/>
          <w:marTop w:val="0"/>
          <w:marBottom w:val="0"/>
          <w:divBdr>
            <w:top w:val="none" w:sz="0" w:space="0" w:color="auto"/>
            <w:left w:val="none" w:sz="0" w:space="0" w:color="auto"/>
            <w:bottom w:val="none" w:sz="0" w:space="0" w:color="auto"/>
            <w:right w:val="none" w:sz="0" w:space="0" w:color="auto"/>
          </w:divBdr>
        </w:div>
        <w:div w:id="1112243407">
          <w:marLeft w:val="0"/>
          <w:marRight w:val="0"/>
          <w:marTop w:val="0"/>
          <w:marBottom w:val="0"/>
          <w:divBdr>
            <w:top w:val="none" w:sz="0" w:space="0" w:color="auto"/>
            <w:left w:val="none" w:sz="0" w:space="0" w:color="auto"/>
            <w:bottom w:val="none" w:sz="0" w:space="0" w:color="auto"/>
            <w:right w:val="none" w:sz="0" w:space="0" w:color="auto"/>
          </w:divBdr>
        </w:div>
        <w:div w:id="1744907154">
          <w:marLeft w:val="0"/>
          <w:marRight w:val="0"/>
          <w:marTop w:val="0"/>
          <w:marBottom w:val="0"/>
          <w:divBdr>
            <w:top w:val="none" w:sz="0" w:space="0" w:color="auto"/>
            <w:left w:val="none" w:sz="0" w:space="0" w:color="auto"/>
            <w:bottom w:val="none" w:sz="0" w:space="0" w:color="auto"/>
            <w:right w:val="none" w:sz="0" w:space="0" w:color="auto"/>
          </w:divBdr>
        </w:div>
        <w:div w:id="2101834000">
          <w:marLeft w:val="0"/>
          <w:marRight w:val="0"/>
          <w:marTop w:val="0"/>
          <w:marBottom w:val="0"/>
          <w:divBdr>
            <w:top w:val="none" w:sz="0" w:space="0" w:color="auto"/>
            <w:left w:val="none" w:sz="0" w:space="0" w:color="auto"/>
            <w:bottom w:val="none" w:sz="0" w:space="0" w:color="auto"/>
            <w:right w:val="none" w:sz="0" w:space="0" w:color="auto"/>
          </w:divBdr>
        </w:div>
        <w:div w:id="2125925501">
          <w:marLeft w:val="0"/>
          <w:marRight w:val="0"/>
          <w:marTop w:val="0"/>
          <w:marBottom w:val="0"/>
          <w:divBdr>
            <w:top w:val="none" w:sz="0" w:space="0" w:color="auto"/>
            <w:left w:val="none" w:sz="0" w:space="0" w:color="auto"/>
            <w:bottom w:val="none" w:sz="0" w:space="0" w:color="auto"/>
            <w:right w:val="none" w:sz="0" w:space="0" w:color="auto"/>
          </w:divBdr>
        </w:div>
      </w:divsChild>
    </w:div>
    <w:div w:id="1170213840">
      <w:bodyDiv w:val="1"/>
      <w:marLeft w:val="0"/>
      <w:marRight w:val="0"/>
      <w:marTop w:val="0"/>
      <w:marBottom w:val="0"/>
      <w:divBdr>
        <w:top w:val="none" w:sz="0" w:space="0" w:color="auto"/>
        <w:left w:val="none" w:sz="0" w:space="0" w:color="auto"/>
        <w:bottom w:val="none" w:sz="0" w:space="0" w:color="auto"/>
        <w:right w:val="none" w:sz="0" w:space="0" w:color="auto"/>
      </w:divBdr>
    </w:div>
    <w:div w:id="1188255063">
      <w:bodyDiv w:val="1"/>
      <w:marLeft w:val="0"/>
      <w:marRight w:val="0"/>
      <w:marTop w:val="0"/>
      <w:marBottom w:val="0"/>
      <w:divBdr>
        <w:top w:val="none" w:sz="0" w:space="0" w:color="auto"/>
        <w:left w:val="none" w:sz="0" w:space="0" w:color="auto"/>
        <w:bottom w:val="none" w:sz="0" w:space="0" w:color="auto"/>
        <w:right w:val="none" w:sz="0" w:space="0" w:color="auto"/>
      </w:divBdr>
    </w:div>
    <w:div w:id="1199204753">
      <w:bodyDiv w:val="1"/>
      <w:marLeft w:val="0"/>
      <w:marRight w:val="0"/>
      <w:marTop w:val="0"/>
      <w:marBottom w:val="0"/>
      <w:divBdr>
        <w:top w:val="none" w:sz="0" w:space="0" w:color="auto"/>
        <w:left w:val="none" w:sz="0" w:space="0" w:color="auto"/>
        <w:bottom w:val="none" w:sz="0" w:space="0" w:color="auto"/>
        <w:right w:val="none" w:sz="0" w:space="0" w:color="auto"/>
      </w:divBdr>
      <w:divsChild>
        <w:div w:id="1727488700">
          <w:marLeft w:val="0"/>
          <w:marRight w:val="0"/>
          <w:marTop w:val="0"/>
          <w:marBottom w:val="0"/>
          <w:divBdr>
            <w:top w:val="none" w:sz="0" w:space="0" w:color="auto"/>
            <w:left w:val="none" w:sz="0" w:space="0" w:color="auto"/>
            <w:bottom w:val="none" w:sz="0" w:space="0" w:color="auto"/>
            <w:right w:val="none" w:sz="0" w:space="0" w:color="auto"/>
          </w:divBdr>
        </w:div>
        <w:div w:id="1969896801">
          <w:marLeft w:val="0"/>
          <w:marRight w:val="0"/>
          <w:marTop w:val="0"/>
          <w:marBottom w:val="0"/>
          <w:divBdr>
            <w:top w:val="none" w:sz="0" w:space="0" w:color="auto"/>
            <w:left w:val="none" w:sz="0" w:space="0" w:color="auto"/>
            <w:bottom w:val="none" w:sz="0" w:space="0" w:color="auto"/>
            <w:right w:val="none" w:sz="0" w:space="0" w:color="auto"/>
          </w:divBdr>
        </w:div>
      </w:divsChild>
    </w:div>
    <w:div w:id="1204630971">
      <w:bodyDiv w:val="1"/>
      <w:marLeft w:val="0"/>
      <w:marRight w:val="0"/>
      <w:marTop w:val="0"/>
      <w:marBottom w:val="0"/>
      <w:divBdr>
        <w:top w:val="none" w:sz="0" w:space="0" w:color="auto"/>
        <w:left w:val="none" w:sz="0" w:space="0" w:color="auto"/>
        <w:bottom w:val="none" w:sz="0" w:space="0" w:color="auto"/>
        <w:right w:val="none" w:sz="0" w:space="0" w:color="auto"/>
      </w:divBdr>
    </w:div>
    <w:div w:id="1208882166">
      <w:bodyDiv w:val="1"/>
      <w:marLeft w:val="0"/>
      <w:marRight w:val="0"/>
      <w:marTop w:val="0"/>
      <w:marBottom w:val="0"/>
      <w:divBdr>
        <w:top w:val="none" w:sz="0" w:space="0" w:color="auto"/>
        <w:left w:val="none" w:sz="0" w:space="0" w:color="auto"/>
        <w:bottom w:val="none" w:sz="0" w:space="0" w:color="auto"/>
        <w:right w:val="none" w:sz="0" w:space="0" w:color="auto"/>
      </w:divBdr>
    </w:div>
    <w:div w:id="1220172786">
      <w:bodyDiv w:val="1"/>
      <w:marLeft w:val="0"/>
      <w:marRight w:val="0"/>
      <w:marTop w:val="0"/>
      <w:marBottom w:val="0"/>
      <w:divBdr>
        <w:top w:val="none" w:sz="0" w:space="0" w:color="auto"/>
        <w:left w:val="none" w:sz="0" w:space="0" w:color="auto"/>
        <w:bottom w:val="none" w:sz="0" w:space="0" w:color="auto"/>
        <w:right w:val="none" w:sz="0" w:space="0" w:color="auto"/>
      </w:divBdr>
      <w:divsChild>
        <w:div w:id="142358307">
          <w:marLeft w:val="0"/>
          <w:marRight w:val="0"/>
          <w:marTop w:val="0"/>
          <w:marBottom w:val="0"/>
          <w:divBdr>
            <w:top w:val="none" w:sz="0" w:space="0" w:color="auto"/>
            <w:left w:val="none" w:sz="0" w:space="0" w:color="auto"/>
            <w:bottom w:val="none" w:sz="0" w:space="0" w:color="auto"/>
            <w:right w:val="none" w:sz="0" w:space="0" w:color="auto"/>
          </w:divBdr>
        </w:div>
        <w:div w:id="165245886">
          <w:marLeft w:val="0"/>
          <w:marRight w:val="0"/>
          <w:marTop w:val="0"/>
          <w:marBottom w:val="0"/>
          <w:divBdr>
            <w:top w:val="none" w:sz="0" w:space="0" w:color="auto"/>
            <w:left w:val="none" w:sz="0" w:space="0" w:color="auto"/>
            <w:bottom w:val="none" w:sz="0" w:space="0" w:color="auto"/>
            <w:right w:val="none" w:sz="0" w:space="0" w:color="auto"/>
          </w:divBdr>
        </w:div>
        <w:div w:id="216547940">
          <w:marLeft w:val="0"/>
          <w:marRight w:val="0"/>
          <w:marTop w:val="0"/>
          <w:marBottom w:val="0"/>
          <w:divBdr>
            <w:top w:val="none" w:sz="0" w:space="0" w:color="auto"/>
            <w:left w:val="none" w:sz="0" w:space="0" w:color="auto"/>
            <w:bottom w:val="none" w:sz="0" w:space="0" w:color="auto"/>
            <w:right w:val="none" w:sz="0" w:space="0" w:color="auto"/>
          </w:divBdr>
        </w:div>
        <w:div w:id="253127193">
          <w:marLeft w:val="0"/>
          <w:marRight w:val="0"/>
          <w:marTop w:val="0"/>
          <w:marBottom w:val="0"/>
          <w:divBdr>
            <w:top w:val="none" w:sz="0" w:space="0" w:color="auto"/>
            <w:left w:val="none" w:sz="0" w:space="0" w:color="auto"/>
            <w:bottom w:val="none" w:sz="0" w:space="0" w:color="auto"/>
            <w:right w:val="none" w:sz="0" w:space="0" w:color="auto"/>
          </w:divBdr>
        </w:div>
        <w:div w:id="263198105">
          <w:marLeft w:val="0"/>
          <w:marRight w:val="0"/>
          <w:marTop w:val="0"/>
          <w:marBottom w:val="0"/>
          <w:divBdr>
            <w:top w:val="none" w:sz="0" w:space="0" w:color="auto"/>
            <w:left w:val="none" w:sz="0" w:space="0" w:color="auto"/>
            <w:bottom w:val="none" w:sz="0" w:space="0" w:color="auto"/>
            <w:right w:val="none" w:sz="0" w:space="0" w:color="auto"/>
          </w:divBdr>
        </w:div>
        <w:div w:id="264076671">
          <w:marLeft w:val="0"/>
          <w:marRight w:val="0"/>
          <w:marTop w:val="0"/>
          <w:marBottom w:val="0"/>
          <w:divBdr>
            <w:top w:val="none" w:sz="0" w:space="0" w:color="auto"/>
            <w:left w:val="none" w:sz="0" w:space="0" w:color="auto"/>
            <w:bottom w:val="none" w:sz="0" w:space="0" w:color="auto"/>
            <w:right w:val="none" w:sz="0" w:space="0" w:color="auto"/>
          </w:divBdr>
        </w:div>
        <w:div w:id="313995357">
          <w:marLeft w:val="0"/>
          <w:marRight w:val="0"/>
          <w:marTop w:val="0"/>
          <w:marBottom w:val="0"/>
          <w:divBdr>
            <w:top w:val="none" w:sz="0" w:space="0" w:color="auto"/>
            <w:left w:val="none" w:sz="0" w:space="0" w:color="auto"/>
            <w:bottom w:val="none" w:sz="0" w:space="0" w:color="auto"/>
            <w:right w:val="none" w:sz="0" w:space="0" w:color="auto"/>
          </w:divBdr>
        </w:div>
        <w:div w:id="430785348">
          <w:marLeft w:val="0"/>
          <w:marRight w:val="0"/>
          <w:marTop w:val="0"/>
          <w:marBottom w:val="0"/>
          <w:divBdr>
            <w:top w:val="none" w:sz="0" w:space="0" w:color="auto"/>
            <w:left w:val="none" w:sz="0" w:space="0" w:color="auto"/>
            <w:bottom w:val="none" w:sz="0" w:space="0" w:color="auto"/>
            <w:right w:val="none" w:sz="0" w:space="0" w:color="auto"/>
          </w:divBdr>
        </w:div>
        <w:div w:id="462112515">
          <w:marLeft w:val="0"/>
          <w:marRight w:val="0"/>
          <w:marTop w:val="0"/>
          <w:marBottom w:val="0"/>
          <w:divBdr>
            <w:top w:val="none" w:sz="0" w:space="0" w:color="auto"/>
            <w:left w:val="none" w:sz="0" w:space="0" w:color="auto"/>
            <w:bottom w:val="none" w:sz="0" w:space="0" w:color="auto"/>
            <w:right w:val="none" w:sz="0" w:space="0" w:color="auto"/>
          </w:divBdr>
        </w:div>
        <w:div w:id="567568949">
          <w:marLeft w:val="0"/>
          <w:marRight w:val="0"/>
          <w:marTop w:val="0"/>
          <w:marBottom w:val="0"/>
          <w:divBdr>
            <w:top w:val="none" w:sz="0" w:space="0" w:color="auto"/>
            <w:left w:val="none" w:sz="0" w:space="0" w:color="auto"/>
            <w:bottom w:val="none" w:sz="0" w:space="0" w:color="auto"/>
            <w:right w:val="none" w:sz="0" w:space="0" w:color="auto"/>
          </w:divBdr>
        </w:div>
        <w:div w:id="622658879">
          <w:marLeft w:val="0"/>
          <w:marRight w:val="0"/>
          <w:marTop w:val="0"/>
          <w:marBottom w:val="0"/>
          <w:divBdr>
            <w:top w:val="none" w:sz="0" w:space="0" w:color="auto"/>
            <w:left w:val="none" w:sz="0" w:space="0" w:color="auto"/>
            <w:bottom w:val="none" w:sz="0" w:space="0" w:color="auto"/>
            <w:right w:val="none" w:sz="0" w:space="0" w:color="auto"/>
          </w:divBdr>
        </w:div>
        <w:div w:id="623660283">
          <w:marLeft w:val="0"/>
          <w:marRight w:val="0"/>
          <w:marTop w:val="0"/>
          <w:marBottom w:val="0"/>
          <w:divBdr>
            <w:top w:val="none" w:sz="0" w:space="0" w:color="auto"/>
            <w:left w:val="none" w:sz="0" w:space="0" w:color="auto"/>
            <w:bottom w:val="none" w:sz="0" w:space="0" w:color="auto"/>
            <w:right w:val="none" w:sz="0" w:space="0" w:color="auto"/>
          </w:divBdr>
        </w:div>
        <w:div w:id="647824040">
          <w:marLeft w:val="0"/>
          <w:marRight w:val="0"/>
          <w:marTop w:val="0"/>
          <w:marBottom w:val="0"/>
          <w:divBdr>
            <w:top w:val="none" w:sz="0" w:space="0" w:color="auto"/>
            <w:left w:val="none" w:sz="0" w:space="0" w:color="auto"/>
            <w:bottom w:val="none" w:sz="0" w:space="0" w:color="auto"/>
            <w:right w:val="none" w:sz="0" w:space="0" w:color="auto"/>
          </w:divBdr>
        </w:div>
        <w:div w:id="777797804">
          <w:marLeft w:val="0"/>
          <w:marRight w:val="0"/>
          <w:marTop w:val="0"/>
          <w:marBottom w:val="0"/>
          <w:divBdr>
            <w:top w:val="none" w:sz="0" w:space="0" w:color="auto"/>
            <w:left w:val="none" w:sz="0" w:space="0" w:color="auto"/>
            <w:bottom w:val="none" w:sz="0" w:space="0" w:color="auto"/>
            <w:right w:val="none" w:sz="0" w:space="0" w:color="auto"/>
          </w:divBdr>
        </w:div>
        <w:div w:id="832767349">
          <w:marLeft w:val="0"/>
          <w:marRight w:val="0"/>
          <w:marTop w:val="0"/>
          <w:marBottom w:val="0"/>
          <w:divBdr>
            <w:top w:val="none" w:sz="0" w:space="0" w:color="auto"/>
            <w:left w:val="none" w:sz="0" w:space="0" w:color="auto"/>
            <w:bottom w:val="none" w:sz="0" w:space="0" w:color="auto"/>
            <w:right w:val="none" w:sz="0" w:space="0" w:color="auto"/>
          </w:divBdr>
        </w:div>
        <w:div w:id="846404337">
          <w:marLeft w:val="0"/>
          <w:marRight w:val="0"/>
          <w:marTop w:val="0"/>
          <w:marBottom w:val="0"/>
          <w:divBdr>
            <w:top w:val="none" w:sz="0" w:space="0" w:color="auto"/>
            <w:left w:val="none" w:sz="0" w:space="0" w:color="auto"/>
            <w:bottom w:val="none" w:sz="0" w:space="0" w:color="auto"/>
            <w:right w:val="none" w:sz="0" w:space="0" w:color="auto"/>
          </w:divBdr>
        </w:div>
        <w:div w:id="907961316">
          <w:marLeft w:val="0"/>
          <w:marRight w:val="0"/>
          <w:marTop w:val="0"/>
          <w:marBottom w:val="0"/>
          <w:divBdr>
            <w:top w:val="none" w:sz="0" w:space="0" w:color="auto"/>
            <w:left w:val="none" w:sz="0" w:space="0" w:color="auto"/>
            <w:bottom w:val="none" w:sz="0" w:space="0" w:color="auto"/>
            <w:right w:val="none" w:sz="0" w:space="0" w:color="auto"/>
          </w:divBdr>
        </w:div>
        <w:div w:id="970598046">
          <w:marLeft w:val="0"/>
          <w:marRight w:val="0"/>
          <w:marTop w:val="0"/>
          <w:marBottom w:val="0"/>
          <w:divBdr>
            <w:top w:val="none" w:sz="0" w:space="0" w:color="auto"/>
            <w:left w:val="none" w:sz="0" w:space="0" w:color="auto"/>
            <w:bottom w:val="none" w:sz="0" w:space="0" w:color="auto"/>
            <w:right w:val="none" w:sz="0" w:space="0" w:color="auto"/>
          </w:divBdr>
        </w:div>
        <w:div w:id="1133719594">
          <w:marLeft w:val="0"/>
          <w:marRight w:val="0"/>
          <w:marTop w:val="0"/>
          <w:marBottom w:val="0"/>
          <w:divBdr>
            <w:top w:val="none" w:sz="0" w:space="0" w:color="auto"/>
            <w:left w:val="none" w:sz="0" w:space="0" w:color="auto"/>
            <w:bottom w:val="none" w:sz="0" w:space="0" w:color="auto"/>
            <w:right w:val="none" w:sz="0" w:space="0" w:color="auto"/>
          </w:divBdr>
        </w:div>
        <w:div w:id="1135677868">
          <w:marLeft w:val="0"/>
          <w:marRight w:val="0"/>
          <w:marTop w:val="0"/>
          <w:marBottom w:val="0"/>
          <w:divBdr>
            <w:top w:val="none" w:sz="0" w:space="0" w:color="auto"/>
            <w:left w:val="none" w:sz="0" w:space="0" w:color="auto"/>
            <w:bottom w:val="none" w:sz="0" w:space="0" w:color="auto"/>
            <w:right w:val="none" w:sz="0" w:space="0" w:color="auto"/>
          </w:divBdr>
        </w:div>
        <w:div w:id="1189878251">
          <w:marLeft w:val="0"/>
          <w:marRight w:val="0"/>
          <w:marTop w:val="0"/>
          <w:marBottom w:val="0"/>
          <w:divBdr>
            <w:top w:val="none" w:sz="0" w:space="0" w:color="auto"/>
            <w:left w:val="none" w:sz="0" w:space="0" w:color="auto"/>
            <w:bottom w:val="none" w:sz="0" w:space="0" w:color="auto"/>
            <w:right w:val="none" w:sz="0" w:space="0" w:color="auto"/>
          </w:divBdr>
        </w:div>
        <w:div w:id="1238325724">
          <w:marLeft w:val="0"/>
          <w:marRight w:val="0"/>
          <w:marTop w:val="0"/>
          <w:marBottom w:val="0"/>
          <w:divBdr>
            <w:top w:val="none" w:sz="0" w:space="0" w:color="auto"/>
            <w:left w:val="none" w:sz="0" w:space="0" w:color="auto"/>
            <w:bottom w:val="none" w:sz="0" w:space="0" w:color="auto"/>
            <w:right w:val="none" w:sz="0" w:space="0" w:color="auto"/>
          </w:divBdr>
        </w:div>
        <w:div w:id="1336416307">
          <w:marLeft w:val="0"/>
          <w:marRight w:val="0"/>
          <w:marTop w:val="0"/>
          <w:marBottom w:val="0"/>
          <w:divBdr>
            <w:top w:val="none" w:sz="0" w:space="0" w:color="auto"/>
            <w:left w:val="none" w:sz="0" w:space="0" w:color="auto"/>
            <w:bottom w:val="none" w:sz="0" w:space="0" w:color="auto"/>
            <w:right w:val="none" w:sz="0" w:space="0" w:color="auto"/>
          </w:divBdr>
        </w:div>
        <w:div w:id="1513913870">
          <w:marLeft w:val="0"/>
          <w:marRight w:val="0"/>
          <w:marTop w:val="0"/>
          <w:marBottom w:val="0"/>
          <w:divBdr>
            <w:top w:val="none" w:sz="0" w:space="0" w:color="auto"/>
            <w:left w:val="none" w:sz="0" w:space="0" w:color="auto"/>
            <w:bottom w:val="none" w:sz="0" w:space="0" w:color="auto"/>
            <w:right w:val="none" w:sz="0" w:space="0" w:color="auto"/>
          </w:divBdr>
        </w:div>
        <w:div w:id="1565405749">
          <w:marLeft w:val="0"/>
          <w:marRight w:val="0"/>
          <w:marTop w:val="0"/>
          <w:marBottom w:val="0"/>
          <w:divBdr>
            <w:top w:val="none" w:sz="0" w:space="0" w:color="auto"/>
            <w:left w:val="none" w:sz="0" w:space="0" w:color="auto"/>
            <w:bottom w:val="none" w:sz="0" w:space="0" w:color="auto"/>
            <w:right w:val="none" w:sz="0" w:space="0" w:color="auto"/>
          </w:divBdr>
        </w:div>
        <w:div w:id="1668367333">
          <w:marLeft w:val="0"/>
          <w:marRight w:val="0"/>
          <w:marTop w:val="0"/>
          <w:marBottom w:val="0"/>
          <w:divBdr>
            <w:top w:val="none" w:sz="0" w:space="0" w:color="auto"/>
            <w:left w:val="none" w:sz="0" w:space="0" w:color="auto"/>
            <w:bottom w:val="none" w:sz="0" w:space="0" w:color="auto"/>
            <w:right w:val="none" w:sz="0" w:space="0" w:color="auto"/>
          </w:divBdr>
        </w:div>
        <w:div w:id="1701710521">
          <w:marLeft w:val="0"/>
          <w:marRight w:val="0"/>
          <w:marTop w:val="0"/>
          <w:marBottom w:val="0"/>
          <w:divBdr>
            <w:top w:val="none" w:sz="0" w:space="0" w:color="auto"/>
            <w:left w:val="none" w:sz="0" w:space="0" w:color="auto"/>
            <w:bottom w:val="none" w:sz="0" w:space="0" w:color="auto"/>
            <w:right w:val="none" w:sz="0" w:space="0" w:color="auto"/>
          </w:divBdr>
        </w:div>
        <w:div w:id="1727801447">
          <w:marLeft w:val="0"/>
          <w:marRight w:val="0"/>
          <w:marTop w:val="0"/>
          <w:marBottom w:val="0"/>
          <w:divBdr>
            <w:top w:val="none" w:sz="0" w:space="0" w:color="auto"/>
            <w:left w:val="none" w:sz="0" w:space="0" w:color="auto"/>
            <w:bottom w:val="none" w:sz="0" w:space="0" w:color="auto"/>
            <w:right w:val="none" w:sz="0" w:space="0" w:color="auto"/>
          </w:divBdr>
        </w:div>
        <w:div w:id="1751072776">
          <w:marLeft w:val="0"/>
          <w:marRight w:val="0"/>
          <w:marTop w:val="0"/>
          <w:marBottom w:val="0"/>
          <w:divBdr>
            <w:top w:val="none" w:sz="0" w:space="0" w:color="auto"/>
            <w:left w:val="none" w:sz="0" w:space="0" w:color="auto"/>
            <w:bottom w:val="none" w:sz="0" w:space="0" w:color="auto"/>
            <w:right w:val="none" w:sz="0" w:space="0" w:color="auto"/>
          </w:divBdr>
        </w:div>
        <w:div w:id="1782526726">
          <w:marLeft w:val="0"/>
          <w:marRight w:val="0"/>
          <w:marTop w:val="0"/>
          <w:marBottom w:val="0"/>
          <w:divBdr>
            <w:top w:val="none" w:sz="0" w:space="0" w:color="auto"/>
            <w:left w:val="none" w:sz="0" w:space="0" w:color="auto"/>
            <w:bottom w:val="none" w:sz="0" w:space="0" w:color="auto"/>
            <w:right w:val="none" w:sz="0" w:space="0" w:color="auto"/>
          </w:divBdr>
        </w:div>
        <w:div w:id="1799376311">
          <w:marLeft w:val="0"/>
          <w:marRight w:val="0"/>
          <w:marTop w:val="0"/>
          <w:marBottom w:val="0"/>
          <w:divBdr>
            <w:top w:val="none" w:sz="0" w:space="0" w:color="auto"/>
            <w:left w:val="none" w:sz="0" w:space="0" w:color="auto"/>
            <w:bottom w:val="none" w:sz="0" w:space="0" w:color="auto"/>
            <w:right w:val="none" w:sz="0" w:space="0" w:color="auto"/>
          </w:divBdr>
        </w:div>
        <w:div w:id="1916820801">
          <w:marLeft w:val="0"/>
          <w:marRight w:val="0"/>
          <w:marTop w:val="0"/>
          <w:marBottom w:val="0"/>
          <w:divBdr>
            <w:top w:val="none" w:sz="0" w:space="0" w:color="auto"/>
            <w:left w:val="none" w:sz="0" w:space="0" w:color="auto"/>
            <w:bottom w:val="none" w:sz="0" w:space="0" w:color="auto"/>
            <w:right w:val="none" w:sz="0" w:space="0" w:color="auto"/>
          </w:divBdr>
        </w:div>
        <w:div w:id="1975745236">
          <w:marLeft w:val="0"/>
          <w:marRight w:val="0"/>
          <w:marTop w:val="0"/>
          <w:marBottom w:val="0"/>
          <w:divBdr>
            <w:top w:val="none" w:sz="0" w:space="0" w:color="auto"/>
            <w:left w:val="none" w:sz="0" w:space="0" w:color="auto"/>
            <w:bottom w:val="none" w:sz="0" w:space="0" w:color="auto"/>
            <w:right w:val="none" w:sz="0" w:space="0" w:color="auto"/>
          </w:divBdr>
        </w:div>
        <w:div w:id="2055421343">
          <w:marLeft w:val="0"/>
          <w:marRight w:val="0"/>
          <w:marTop w:val="0"/>
          <w:marBottom w:val="0"/>
          <w:divBdr>
            <w:top w:val="none" w:sz="0" w:space="0" w:color="auto"/>
            <w:left w:val="none" w:sz="0" w:space="0" w:color="auto"/>
            <w:bottom w:val="none" w:sz="0" w:space="0" w:color="auto"/>
            <w:right w:val="none" w:sz="0" w:space="0" w:color="auto"/>
          </w:divBdr>
        </w:div>
        <w:div w:id="2068531687">
          <w:marLeft w:val="0"/>
          <w:marRight w:val="0"/>
          <w:marTop w:val="0"/>
          <w:marBottom w:val="0"/>
          <w:divBdr>
            <w:top w:val="none" w:sz="0" w:space="0" w:color="auto"/>
            <w:left w:val="none" w:sz="0" w:space="0" w:color="auto"/>
            <w:bottom w:val="none" w:sz="0" w:space="0" w:color="auto"/>
            <w:right w:val="none" w:sz="0" w:space="0" w:color="auto"/>
          </w:divBdr>
        </w:div>
      </w:divsChild>
    </w:div>
    <w:div w:id="1235044561">
      <w:bodyDiv w:val="1"/>
      <w:marLeft w:val="0"/>
      <w:marRight w:val="0"/>
      <w:marTop w:val="0"/>
      <w:marBottom w:val="0"/>
      <w:divBdr>
        <w:top w:val="none" w:sz="0" w:space="0" w:color="auto"/>
        <w:left w:val="none" w:sz="0" w:space="0" w:color="auto"/>
        <w:bottom w:val="none" w:sz="0" w:space="0" w:color="auto"/>
        <w:right w:val="none" w:sz="0" w:space="0" w:color="auto"/>
      </w:divBdr>
    </w:div>
    <w:div w:id="1261765427">
      <w:bodyDiv w:val="1"/>
      <w:marLeft w:val="0"/>
      <w:marRight w:val="0"/>
      <w:marTop w:val="0"/>
      <w:marBottom w:val="0"/>
      <w:divBdr>
        <w:top w:val="none" w:sz="0" w:space="0" w:color="auto"/>
        <w:left w:val="none" w:sz="0" w:space="0" w:color="auto"/>
        <w:bottom w:val="none" w:sz="0" w:space="0" w:color="auto"/>
        <w:right w:val="none" w:sz="0" w:space="0" w:color="auto"/>
      </w:divBdr>
    </w:div>
    <w:div w:id="1287472239">
      <w:bodyDiv w:val="1"/>
      <w:marLeft w:val="0"/>
      <w:marRight w:val="0"/>
      <w:marTop w:val="0"/>
      <w:marBottom w:val="0"/>
      <w:divBdr>
        <w:top w:val="none" w:sz="0" w:space="0" w:color="auto"/>
        <w:left w:val="none" w:sz="0" w:space="0" w:color="auto"/>
        <w:bottom w:val="none" w:sz="0" w:space="0" w:color="auto"/>
        <w:right w:val="none" w:sz="0" w:space="0" w:color="auto"/>
      </w:divBdr>
    </w:div>
    <w:div w:id="1289169370">
      <w:bodyDiv w:val="1"/>
      <w:marLeft w:val="0"/>
      <w:marRight w:val="0"/>
      <w:marTop w:val="0"/>
      <w:marBottom w:val="0"/>
      <w:divBdr>
        <w:top w:val="none" w:sz="0" w:space="0" w:color="auto"/>
        <w:left w:val="none" w:sz="0" w:space="0" w:color="auto"/>
        <w:bottom w:val="none" w:sz="0" w:space="0" w:color="auto"/>
        <w:right w:val="none" w:sz="0" w:space="0" w:color="auto"/>
      </w:divBdr>
      <w:divsChild>
        <w:div w:id="134445330">
          <w:marLeft w:val="0"/>
          <w:marRight w:val="0"/>
          <w:marTop w:val="0"/>
          <w:marBottom w:val="0"/>
          <w:divBdr>
            <w:top w:val="none" w:sz="0" w:space="0" w:color="auto"/>
            <w:left w:val="none" w:sz="0" w:space="0" w:color="auto"/>
            <w:bottom w:val="none" w:sz="0" w:space="0" w:color="auto"/>
            <w:right w:val="none" w:sz="0" w:space="0" w:color="auto"/>
          </w:divBdr>
          <w:divsChild>
            <w:div w:id="2087413093">
              <w:marLeft w:val="0"/>
              <w:marRight w:val="0"/>
              <w:marTop w:val="0"/>
              <w:marBottom w:val="0"/>
              <w:divBdr>
                <w:top w:val="none" w:sz="0" w:space="0" w:color="auto"/>
                <w:left w:val="none" w:sz="0" w:space="0" w:color="auto"/>
                <w:bottom w:val="none" w:sz="0" w:space="0" w:color="auto"/>
                <w:right w:val="none" w:sz="0" w:space="0" w:color="auto"/>
              </w:divBdr>
            </w:div>
          </w:divsChild>
        </w:div>
        <w:div w:id="811212999">
          <w:marLeft w:val="0"/>
          <w:marRight w:val="0"/>
          <w:marTop w:val="0"/>
          <w:marBottom w:val="0"/>
          <w:divBdr>
            <w:top w:val="none" w:sz="0" w:space="0" w:color="auto"/>
            <w:left w:val="none" w:sz="0" w:space="0" w:color="auto"/>
            <w:bottom w:val="none" w:sz="0" w:space="0" w:color="auto"/>
            <w:right w:val="none" w:sz="0" w:space="0" w:color="auto"/>
          </w:divBdr>
          <w:divsChild>
            <w:div w:id="31151459">
              <w:marLeft w:val="0"/>
              <w:marRight w:val="0"/>
              <w:marTop w:val="0"/>
              <w:marBottom w:val="0"/>
              <w:divBdr>
                <w:top w:val="none" w:sz="0" w:space="0" w:color="auto"/>
                <w:left w:val="none" w:sz="0" w:space="0" w:color="auto"/>
                <w:bottom w:val="none" w:sz="0" w:space="0" w:color="auto"/>
                <w:right w:val="none" w:sz="0" w:space="0" w:color="auto"/>
              </w:divBdr>
            </w:div>
            <w:div w:id="541483073">
              <w:marLeft w:val="0"/>
              <w:marRight w:val="0"/>
              <w:marTop w:val="0"/>
              <w:marBottom w:val="0"/>
              <w:divBdr>
                <w:top w:val="none" w:sz="0" w:space="0" w:color="auto"/>
                <w:left w:val="none" w:sz="0" w:space="0" w:color="auto"/>
                <w:bottom w:val="none" w:sz="0" w:space="0" w:color="auto"/>
                <w:right w:val="none" w:sz="0" w:space="0" w:color="auto"/>
              </w:divBdr>
            </w:div>
            <w:div w:id="826749303">
              <w:marLeft w:val="0"/>
              <w:marRight w:val="0"/>
              <w:marTop w:val="0"/>
              <w:marBottom w:val="0"/>
              <w:divBdr>
                <w:top w:val="none" w:sz="0" w:space="0" w:color="auto"/>
                <w:left w:val="none" w:sz="0" w:space="0" w:color="auto"/>
                <w:bottom w:val="none" w:sz="0" w:space="0" w:color="auto"/>
                <w:right w:val="none" w:sz="0" w:space="0" w:color="auto"/>
              </w:divBdr>
            </w:div>
            <w:div w:id="1275290107">
              <w:marLeft w:val="0"/>
              <w:marRight w:val="0"/>
              <w:marTop w:val="0"/>
              <w:marBottom w:val="0"/>
              <w:divBdr>
                <w:top w:val="none" w:sz="0" w:space="0" w:color="auto"/>
                <w:left w:val="none" w:sz="0" w:space="0" w:color="auto"/>
                <w:bottom w:val="none" w:sz="0" w:space="0" w:color="auto"/>
                <w:right w:val="none" w:sz="0" w:space="0" w:color="auto"/>
              </w:divBdr>
            </w:div>
            <w:div w:id="1427651276">
              <w:marLeft w:val="0"/>
              <w:marRight w:val="0"/>
              <w:marTop w:val="0"/>
              <w:marBottom w:val="0"/>
              <w:divBdr>
                <w:top w:val="none" w:sz="0" w:space="0" w:color="auto"/>
                <w:left w:val="none" w:sz="0" w:space="0" w:color="auto"/>
                <w:bottom w:val="none" w:sz="0" w:space="0" w:color="auto"/>
                <w:right w:val="none" w:sz="0" w:space="0" w:color="auto"/>
              </w:divBdr>
            </w:div>
            <w:div w:id="191077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549311">
      <w:bodyDiv w:val="1"/>
      <w:marLeft w:val="0"/>
      <w:marRight w:val="0"/>
      <w:marTop w:val="0"/>
      <w:marBottom w:val="0"/>
      <w:divBdr>
        <w:top w:val="none" w:sz="0" w:space="0" w:color="auto"/>
        <w:left w:val="none" w:sz="0" w:space="0" w:color="auto"/>
        <w:bottom w:val="none" w:sz="0" w:space="0" w:color="auto"/>
        <w:right w:val="none" w:sz="0" w:space="0" w:color="auto"/>
      </w:divBdr>
    </w:div>
    <w:div w:id="1295140057">
      <w:bodyDiv w:val="1"/>
      <w:marLeft w:val="0"/>
      <w:marRight w:val="0"/>
      <w:marTop w:val="0"/>
      <w:marBottom w:val="0"/>
      <w:divBdr>
        <w:top w:val="none" w:sz="0" w:space="0" w:color="auto"/>
        <w:left w:val="none" w:sz="0" w:space="0" w:color="auto"/>
        <w:bottom w:val="none" w:sz="0" w:space="0" w:color="auto"/>
        <w:right w:val="none" w:sz="0" w:space="0" w:color="auto"/>
      </w:divBdr>
    </w:div>
    <w:div w:id="1298490567">
      <w:bodyDiv w:val="1"/>
      <w:marLeft w:val="0"/>
      <w:marRight w:val="0"/>
      <w:marTop w:val="0"/>
      <w:marBottom w:val="0"/>
      <w:divBdr>
        <w:top w:val="none" w:sz="0" w:space="0" w:color="auto"/>
        <w:left w:val="none" w:sz="0" w:space="0" w:color="auto"/>
        <w:bottom w:val="none" w:sz="0" w:space="0" w:color="auto"/>
        <w:right w:val="none" w:sz="0" w:space="0" w:color="auto"/>
      </w:divBdr>
    </w:div>
    <w:div w:id="1304776347">
      <w:bodyDiv w:val="1"/>
      <w:marLeft w:val="0"/>
      <w:marRight w:val="0"/>
      <w:marTop w:val="0"/>
      <w:marBottom w:val="0"/>
      <w:divBdr>
        <w:top w:val="none" w:sz="0" w:space="0" w:color="auto"/>
        <w:left w:val="none" w:sz="0" w:space="0" w:color="auto"/>
        <w:bottom w:val="none" w:sz="0" w:space="0" w:color="auto"/>
        <w:right w:val="none" w:sz="0" w:space="0" w:color="auto"/>
      </w:divBdr>
    </w:div>
    <w:div w:id="1321497364">
      <w:bodyDiv w:val="1"/>
      <w:marLeft w:val="0"/>
      <w:marRight w:val="0"/>
      <w:marTop w:val="0"/>
      <w:marBottom w:val="0"/>
      <w:divBdr>
        <w:top w:val="none" w:sz="0" w:space="0" w:color="auto"/>
        <w:left w:val="none" w:sz="0" w:space="0" w:color="auto"/>
        <w:bottom w:val="none" w:sz="0" w:space="0" w:color="auto"/>
        <w:right w:val="none" w:sz="0" w:space="0" w:color="auto"/>
      </w:divBdr>
      <w:divsChild>
        <w:div w:id="244145721">
          <w:marLeft w:val="0"/>
          <w:marRight w:val="0"/>
          <w:marTop w:val="0"/>
          <w:marBottom w:val="0"/>
          <w:divBdr>
            <w:top w:val="none" w:sz="0" w:space="0" w:color="auto"/>
            <w:left w:val="none" w:sz="0" w:space="0" w:color="auto"/>
            <w:bottom w:val="none" w:sz="0" w:space="0" w:color="auto"/>
            <w:right w:val="none" w:sz="0" w:space="0" w:color="auto"/>
          </w:divBdr>
        </w:div>
      </w:divsChild>
    </w:div>
    <w:div w:id="1361711039">
      <w:bodyDiv w:val="1"/>
      <w:marLeft w:val="0"/>
      <w:marRight w:val="0"/>
      <w:marTop w:val="0"/>
      <w:marBottom w:val="0"/>
      <w:divBdr>
        <w:top w:val="none" w:sz="0" w:space="0" w:color="auto"/>
        <w:left w:val="none" w:sz="0" w:space="0" w:color="auto"/>
        <w:bottom w:val="none" w:sz="0" w:space="0" w:color="auto"/>
        <w:right w:val="none" w:sz="0" w:space="0" w:color="auto"/>
      </w:divBdr>
    </w:div>
    <w:div w:id="1377588310">
      <w:bodyDiv w:val="1"/>
      <w:marLeft w:val="0"/>
      <w:marRight w:val="0"/>
      <w:marTop w:val="0"/>
      <w:marBottom w:val="0"/>
      <w:divBdr>
        <w:top w:val="none" w:sz="0" w:space="0" w:color="auto"/>
        <w:left w:val="none" w:sz="0" w:space="0" w:color="auto"/>
        <w:bottom w:val="none" w:sz="0" w:space="0" w:color="auto"/>
        <w:right w:val="none" w:sz="0" w:space="0" w:color="auto"/>
      </w:divBdr>
    </w:div>
    <w:div w:id="1382903666">
      <w:bodyDiv w:val="1"/>
      <w:marLeft w:val="0"/>
      <w:marRight w:val="0"/>
      <w:marTop w:val="0"/>
      <w:marBottom w:val="0"/>
      <w:divBdr>
        <w:top w:val="none" w:sz="0" w:space="0" w:color="auto"/>
        <w:left w:val="none" w:sz="0" w:space="0" w:color="auto"/>
        <w:bottom w:val="none" w:sz="0" w:space="0" w:color="auto"/>
        <w:right w:val="none" w:sz="0" w:space="0" w:color="auto"/>
      </w:divBdr>
      <w:divsChild>
        <w:div w:id="399406954">
          <w:marLeft w:val="0"/>
          <w:marRight w:val="0"/>
          <w:marTop w:val="0"/>
          <w:marBottom w:val="0"/>
          <w:divBdr>
            <w:top w:val="none" w:sz="0" w:space="0" w:color="auto"/>
            <w:left w:val="none" w:sz="0" w:space="0" w:color="auto"/>
            <w:bottom w:val="none" w:sz="0" w:space="0" w:color="auto"/>
            <w:right w:val="none" w:sz="0" w:space="0" w:color="auto"/>
          </w:divBdr>
        </w:div>
        <w:div w:id="890189909">
          <w:marLeft w:val="0"/>
          <w:marRight w:val="0"/>
          <w:marTop w:val="0"/>
          <w:marBottom w:val="0"/>
          <w:divBdr>
            <w:top w:val="none" w:sz="0" w:space="0" w:color="auto"/>
            <w:left w:val="none" w:sz="0" w:space="0" w:color="auto"/>
            <w:bottom w:val="none" w:sz="0" w:space="0" w:color="auto"/>
            <w:right w:val="none" w:sz="0" w:space="0" w:color="auto"/>
          </w:divBdr>
        </w:div>
      </w:divsChild>
    </w:div>
    <w:div w:id="1383095656">
      <w:bodyDiv w:val="1"/>
      <w:marLeft w:val="0"/>
      <w:marRight w:val="0"/>
      <w:marTop w:val="0"/>
      <w:marBottom w:val="0"/>
      <w:divBdr>
        <w:top w:val="none" w:sz="0" w:space="0" w:color="auto"/>
        <w:left w:val="none" w:sz="0" w:space="0" w:color="auto"/>
        <w:bottom w:val="none" w:sz="0" w:space="0" w:color="auto"/>
        <w:right w:val="none" w:sz="0" w:space="0" w:color="auto"/>
      </w:divBdr>
    </w:div>
    <w:div w:id="1391031195">
      <w:bodyDiv w:val="1"/>
      <w:marLeft w:val="0"/>
      <w:marRight w:val="0"/>
      <w:marTop w:val="0"/>
      <w:marBottom w:val="0"/>
      <w:divBdr>
        <w:top w:val="none" w:sz="0" w:space="0" w:color="auto"/>
        <w:left w:val="none" w:sz="0" w:space="0" w:color="auto"/>
        <w:bottom w:val="none" w:sz="0" w:space="0" w:color="auto"/>
        <w:right w:val="none" w:sz="0" w:space="0" w:color="auto"/>
      </w:divBdr>
    </w:div>
    <w:div w:id="1401052212">
      <w:bodyDiv w:val="1"/>
      <w:marLeft w:val="0"/>
      <w:marRight w:val="0"/>
      <w:marTop w:val="0"/>
      <w:marBottom w:val="0"/>
      <w:divBdr>
        <w:top w:val="none" w:sz="0" w:space="0" w:color="auto"/>
        <w:left w:val="none" w:sz="0" w:space="0" w:color="auto"/>
        <w:bottom w:val="none" w:sz="0" w:space="0" w:color="auto"/>
        <w:right w:val="none" w:sz="0" w:space="0" w:color="auto"/>
      </w:divBdr>
      <w:divsChild>
        <w:div w:id="532547103">
          <w:marLeft w:val="0"/>
          <w:marRight w:val="0"/>
          <w:marTop w:val="0"/>
          <w:marBottom w:val="0"/>
          <w:divBdr>
            <w:top w:val="none" w:sz="0" w:space="0" w:color="auto"/>
            <w:left w:val="none" w:sz="0" w:space="0" w:color="auto"/>
            <w:bottom w:val="none" w:sz="0" w:space="0" w:color="auto"/>
            <w:right w:val="none" w:sz="0" w:space="0" w:color="auto"/>
          </w:divBdr>
        </w:div>
      </w:divsChild>
    </w:div>
    <w:div w:id="1410881011">
      <w:bodyDiv w:val="1"/>
      <w:marLeft w:val="0"/>
      <w:marRight w:val="0"/>
      <w:marTop w:val="0"/>
      <w:marBottom w:val="0"/>
      <w:divBdr>
        <w:top w:val="none" w:sz="0" w:space="0" w:color="auto"/>
        <w:left w:val="none" w:sz="0" w:space="0" w:color="auto"/>
        <w:bottom w:val="none" w:sz="0" w:space="0" w:color="auto"/>
        <w:right w:val="none" w:sz="0" w:space="0" w:color="auto"/>
      </w:divBdr>
    </w:div>
    <w:div w:id="1418088448">
      <w:bodyDiv w:val="1"/>
      <w:marLeft w:val="0"/>
      <w:marRight w:val="0"/>
      <w:marTop w:val="0"/>
      <w:marBottom w:val="0"/>
      <w:divBdr>
        <w:top w:val="none" w:sz="0" w:space="0" w:color="auto"/>
        <w:left w:val="none" w:sz="0" w:space="0" w:color="auto"/>
        <w:bottom w:val="none" w:sz="0" w:space="0" w:color="auto"/>
        <w:right w:val="none" w:sz="0" w:space="0" w:color="auto"/>
      </w:divBdr>
      <w:divsChild>
        <w:div w:id="651520039">
          <w:marLeft w:val="0"/>
          <w:marRight w:val="0"/>
          <w:marTop w:val="0"/>
          <w:marBottom w:val="0"/>
          <w:divBdr>
            <w:top w:val="none" w:sz="0" w:space="0" w:color="auto"/>
            <w:left w:val="none" w:sz="0" w:space="0" w:color="auto"/>
            <w:bottom w:val="none" w:sz="0" w:space="0" w:color="auto"/>
            <w:right w:val="none" w:sz="0" w:space="0" w:color="auto"/>
          </w:divBdr>
        </w:div>
        <w:div w:id="1224481921">
          <w:marLeft w:val="0"/>
          <w:marRight w:val="0"/>
          <w:marTop w:val="0"/>
          <w:marBottom w:val="0"/>
          <w:divBdr>
            <w:top w:val="none" w:sz="0" w:space="0" w:color="auto"/>
            <w:left w:val="none" w:sz="0" w:space="0" w:color="auto"/>
            <w:bottom w:val="none" w:sz="0" w:space="0" w:color="auto"/>
            <w:right w:val="none" w:sz="0" w:space="0" w:color="auto"/>
          </w:divBdr>
        </w:div>
        <w:div w:id="1230191559">
          <w:marLeft w:val="0"/>
          <w:marRight w:val="0"/>
          <w:marTop w:val="0"/>
          <w:marBottom w:val="0"/>
          <w:divBdr>
            <w:top w:val="none" w:sz="0" w:space="0" w:color="auto"/>
            <w:left w:val="none" w:sz="0" w:space="0" w:color="auto"/>
            <w:bottom w:val="none" w:sz="0" w:space="0" w:color="auto"/>
            <w:right w:val="none" w:sz="0" w:space="0" w:color="auto"/>
          </w:divBdr>
        </w:div>
        <w:div w:id="1528955086">
          <w:marLeft w:val="0"/>
          <w:marRight w:val="0"/>
          <w:marTop w:val="0"/>
          <w:marBottom w:val="0"/>
          <w:divBdr>
            <w:top w:val="none" w:sz="0" w:space="0" w:color="auto"/>
            <w:left w:val="none" w:sz="0" w:space="0" w:color="auto"/>
            <w:bottom w:val="none" w:sz="0" w:space="0" w:color="auto"/>
            <w:right w:val="none" w:sz="0" w:space="0" w:color="auto"/>
          </w:divBdr>
        </w:div>
        <w:div w:id="2063165768">
          <w:marLeft w:val="0"/>
          <w:marRight w:val="0"/>
          <w:marTop w:val="0"/>
          <w:marBottom w:val="0"/>
          <w:divBdr>
            <w:top w:val="none" w:sz="0" w:space="0" w:color="auto"/>
            <w:left w:val="none" w:sz="0" w:space="0" w:color="auto"/>
            <w:bottom w:val="none" w:sz="0" w:space="0" w:color="auto"/>
            <w:right w:val="none" w:sz="0" w:space="0" w:color="auto"/>
          </w:divBdr>
        </w:div>
      </w:divsChild>
    </w:div>
    <w:div w:id="1438678156">
      <w:bodyDiv w:val="1"/>
      <w:marLeft w:val="0"/>
      <w:marRight w:val="0"/>
      <w:marTop w:val="0"/>
      <w:marBottom w:val="0"/>
      <w:divBdr>
        <w:top w:val="none" w:sz="0" w:space="0" w:color="auto"/>
        <w:left w:val="none" w:sz="0" w:space="0" w:color="auto"/>
        <w:bottom w:val="none" w:sz="0" w:space="0" w:color="auto"/>
        <w:right w:val="none" w:sz="0" w:space="0" w:color="auto"/>
      </w:divBdr>
    </w:div>
    <w:div w:id="1444039312">
      <w:bodyDiv w:val="1"/>
      <w:marLeft w:val="0"/>
      <w:marRight w:val="0"/>
      <w:marTop w:val="0"/>
      <w:marBottom w:val="0"/>
      <w:divBdr>
        <w:top w:val="none" w:sz="0" w:space="0" w:color="auto"/>
        <w:left w:val="none" w:sz="0" w:space="0" w:color="auto"/>
        <w:bottom w:val="none" w:sz="0" w:space="0" w:color="auto"/>
        <w:right w:val="none" w:sz="0" w:space="0" w:color="auto"/>
      </w:divBdr>
    </w:div>
    <w:div w:id="1454668204">
      <w:bodyDiv w:val="1"/>
      <w:marLeft w:val="0"/>
      <w:marRight w:val="0"/>
      <w:marTop w:val="0"/>
      <w:marBottom w:val="0"/>
      <w:divBdr>
        <w:top w:val="none" w:sz="0" w:space="0" w:color="auto"/>
        <w:left w:val="none" w:sz="0" w:space="0" w:color="auto"/>
        <w:bottom w:val="none" w:sz="0" w:space="0" w:color="auto"/>
        <w:right w:val="none" w:sz="0" w:space="0" w:color="auto"/>
      </w:divBdr>
      <w:divsChild>
        <w:div w:id="1518809335">
          <w:marLeft w:val="0"/>
          <w:marRight w:val="0"/>
          <w:marTop w:val="0"/>
          <w:marBottom w:val="0"/>
          <w:divBdr>
            <w:top w:val="none" w:sz="0" w:space="0" w:color="auto"/>
            <w:left w:val="none" w:sz="0" w:space="0" w:color="auto"/>
            <w:bottom w:val="none" w:sz="0" w:space="0" w:color="auto"/>
            <w:right w:val="none" w:sz="0" w:space="0" w:color="auto"/>
          </w:divBdr>
        </w:div>
        <w:div w:id="1600404896">
          <w:marLeft w:val="0"/>
          <w:marRight w:val="0"/>
          <w:marTop w:val="0"/>
          <w:marBottom w:val="0"/>
          <w:divBdr>
            <w:top w:val="none" w:sz="0" w:space="0" w:color="auto"/>
            <w:left w:val="none" w:sz="0" w:space="0" w:color="auto"/>
            <w:bottom w:val="none" w:sz="0" w:space="0" w:color="auto"/>
            <w:right w:val="none" w:sz="0" w:space="0" w:color="auto"/>
          </w:divBdr>
        </w:div>
        <w:div w:id="1650287839">
          <w:marLeft w:val="0"/>
          <w:marRight w:val="0"/>
          <w:marTop w:val="0"/>
          <w:marBottom w:val="0"/>
          <w:divBdr>
            <w:top w:val="none" w:sz="0" w:space="0" w:color="auto"/>
            <w:left w:val="none" w:sz="0" w:space="0" w:color="auto"/>
            <w:bottom w:val="none" w:sz="0" w:space="0" w:color="auto"/>
            <w:right w:val="none" w:sz="0" w:space="0" w:color="auto"/>
          </w:divBdr>
        </w:div>
      </w:divsChild>
    </w:div>
    <w:div w:id="1469013565">
      <w:bodyDiv w:val="1"/>
      <w:marLeft w:val="0"/>
      <w:marRight w:val="0"/>
      <w:marTop w:val="0"/>
      <w:marBottom w:val="0"/>
      <w:divBdr>
        <w:top w:val="none" w:sz="0" w:space="0" w:color="auto"/>
        <w:left w:val="none" w:sz="0" w:space="0" w:color="auto"/>
        <w:bottom w:val="none" w:sz="0" w:space="0" w:color="auto"/>
        <w:right w:val="none" w:sz="0" w:space="0" w:color="auto"/>
      </w:divBdr>
    </w:div>
    <w:div w:id="1470632843">
      <w:bodyDiv w:val="1"/>
      <w:marLeft w:val="0"/>
      <w:marRight w:val="0"/>
      <w:marTop w:val="0"/>
      <w:marBottom w:val="0"/>
      <w:divBdr>
        <w:top w:val="none" w:sz="0" w:space="0" w:color="auto"/>
        <w:left w:val="none" w:sz="0" w:space="0" w:color="auto"/>
        <w:bottom w:val="none" w:sz="0" w:space="0" w:color="auto"/>
        <w:right w:val="none" w:sz="0" w:space="0" w:color="auto"/>
      </w:divBdr>
      <w:divsChild>
        <w:div w:id="979653020">
          <w:marLeft w:val="0"/>
          <w:marRight w:val="0"/>
          <w:marTop w:val="0"/>
          <w:marBottom w:val="0"/>
          <w:divBdr>
            <w:top w:val="none" w:sz="0" w:space="0" w:color="auto"/>
            <w:left w:val="none" w:sz="0" w:space="0" w:color="auto"/>
            <w:bottom w:val="none" w:sz="0" w:space="0" w:color="auto"/>
            <w:right w:val="none" w:sz="0" w:space="0" w:color="auto"/>
          </w:divBdr>
        </w:div>
        <w:div w:id="1189685559">
          <w:marLeft w:val="0"/>
          <w:marRight w:val="0"/>
          <w:marTop w:val="0"/>
          <w:marBottom w:val="0"/>
          <w:divBdr>
            <w:top w:val="none" w:sz="0" w:space="0" w:color="auto"/>
            <w:left w:val="none" w:sz="0" w:space="0" w:color="auto"/>
            <w:bottom w:val="none" w:sz="0" w:space="0" w:color="auto"/>
            <w:right w:val="none" w:sz="0" w:space="0" w:color="auto"/>
          </w:divBdr>
        </w:div>
        <w:div w:id="1269384815">
          <w:marLeft w:val="0"/>
          <w:marRight w:val="0"/>
          <w:marTop w:val="0"/>
          <w:marBottom w:val="0"/>
          <w:divBdr>
            <w:top w:val="none" w:sz="0" w:space="0" w:color="auto"/>
            <w:left w:val="none" w:sz="0" w:space="0" w:color="auto"/>
            <w:bottom w:val="none" w:sz="0" w:space="0" w:color="auto"/>
            <w:right w:val="none" w:sz="0" w:space="0" w:color="auto"/>
          </w:divBdr>
        </w:div>
        <w:div w:id="1469929805">
          <w:marLeft w:val="0"/>
          <w:marRight w:val="0"/>
          <w:marTop w:val="0"/>
          <w:marBottom w:val="0"/>
          <w:divBdr>
            <w:top w:val="none" w:sz="0" w:space="0" w:color="auto"/>
            <w:left w:val="none" w:sz="0" w:space="0" w:color="auto"/>
            <w:bottom w:val="none" w:sz="0" w:space="0" w:color="auto"/>
            <w:right w:val="none" w:sz="0" w:space="0" w:color="auto"/>
          </w:divBdr>
        </w:div>
        <w:div w:id="1685982551">
          <w:marLeft w:val="0"/>
          <w:marRight w:val="0"/>
          <w:marTop w:val="0"/>
          <w:marBottom w:val="0"/>
          <w:divBdr>
            <w:top w:val="none" w:sz="0" w:space="0" w:color="auto"/>
            <w:left w:val="none" w:sz="0" w:space="0" w:color="auto"/>
            <w:bottom w:val="none" w:sz="0" w:space="0" w:color="auto"/>
            <w:right w:val="none" w:sz="0" w:space="0" w:color="auto"/>
          </w:divBdr>
        </w:div>
        <w:div w:id="1711999351">
          <w:marLeft w:val="0"/>
          <w:marRight w:val="0"/>
          <w:marTop w:val="0"/>
          <w:marBottom w:val="0"/>
          <w:divBdr>
            <w:top w:val="none" w:sz="0" w:space="0" w:color="auto"/>
            <w:left w:val="none" w:sz="0" w:space="0" w:color="auto"/>
            <w:bottom w:val="none" w:sz="0" w:space="0" w:color="auto"/>
            <w:right w:val="none" w:sz="0" w:space="0" w:color="auto"/>
          </w:divBdr>
        </w:div>
      </w:divsChild>
    </w:div>
    <w:div w:id="1471480855">
      <w:bodyDiv w:val="1"/>
      <w:marLeft w:val="0"/>
      <w:marRight w:val="0"/>
      <w:marTop w:val="0"/>
      <w:marBottom w:val="0"/>
      <w:divBdr>
        <w:top w:val="none" w:sz="0" w:space="0" w:color="auto"/>
        <w:left w:val="none" w:sz="0" w:space="0" w:color="auto"/>
        <w:bottom w:val="none" w:sz="0" w:space="0" w:color="auto"/>
        <w:right w:val="none" w:sz="0" w:space="0" w:color="auto"/>
      </w:divBdr>
    </w:div>
    <w:div w:id="1474249393">
      <w:bodyDiv w:val="1"/>
      <w:marLeft w:val="0"/>
      <w:marRight w:val="0"/>
      <w:marTop w:val="0"/>
      <w:marBottom w:val="0"/>
      <w:divBdr>
        <w:top w:val="none" w:sz="0" w:space="0" w:color="auto"/>
        <w:left w:val="none" w:sz="0" w:space="0" w:color="auto"/>
        <w:bottom w:val="none" w:sz="0" w:space="0" w:color="auto"/>
        <w:right w:val="none" w:sz="0" w:space="0" w:color="auto"/>
      </w:divBdr>
    </w:div>
    <w:div w:id="1488085402">
      <w:bodyDiv w:val="1"/>
      <w:marLeft w:val="0"/>
      <w:marRight w:val="0"/>
      <w:marTop w:val="0"/>
      <w:marBottom w:val="0"/>
      <w:divBdr>
        <w:top w:val="none" w:sz="0" w:space="0" w:color="auto"/>
        <w:left w:val="none" w:sz="0" w:space="0" w:color="auto"/>
        <w:bottom w:val="none" w:sz="0" w:space="0" w:color="auto"/>
        <w:right w:val="none" w:sz="0" w:space="0" w:color="auto"/>
      </w:divBdr>
    </w:div>
    <w:div w:id="1508133937">
      <w:bodyDiv w:val="1"/>
      <w:marLeft w:val="0"/>
      <w:marRight w:val="0"/>
      <w:marTop w:val="0"/>
      <w:marBottom w:val="0"/>
      <w:divBdr>
        <w:top w:val="none" w:sz="0" w:space="0" w:color="auto"/>
        <w:left w:val="none" w:sz="0" w:space="0" w:color="auto"/>
        <w:bottom w:val="none" w:sz="0" w:space="0" w:color="auto"/>
        <w:right w:val="none" w:sz="0" w:space="0" w:color="auto"/>
      </w:divBdr>
    </w:div>
    <w:div w:id="1521776645">
      <w:bodyDiv w:val="1"/>
      <w:marLeft w:val="0"/>
      <w:marRight w:val="0"/>
      <w:marTop w:val="0"/>
      <w:marBottom w:val="0"/>
      <w:divBdr>
        <w:top w:val="none" w:sz="0" w:space="0" w:color="auto"/>
        <w:left w:val="none" w:sz="0" w:space="0" w:color="auto"/>
        <w:bottom w:val="none" w:sz="0" w:space="0" w:color="auto"/>
        <w:right w:val="none" w:sz="0" w:space="0" w:color="auto"/>
      </w:divBdr>
    </w:div>
    <w:div w:id="1525090195">
      <w:bodyDiv w:val="1"/>
      <w:marLeft w:val="0"/>
      <w:marRight w:val="0"/>
      <w:marTop w:val="0"/>
      <w:marBottom w:val="0"/>
      <w:divBdr>
        <w:top w:val="none" w:sz="0" w:space="0" w:color="auto"/>
        <w:left w:val="none" w:sz="0" w:space="0" w:color="auto"/>
        <w:bottom w:val="none" w:sz="0" w:space="0" w:color="auto"/>
        <w:right w:val="none" w:sz="0" w:space="0" w:color="auto"/>
      </w:divBdr>
    </w:div>
    <w:div w:id="1527981652">
      <w:bodyDiv w:val="1"/>
      <w:marLeft w:val="0"/>
      <w:marRight w:val="0"/>
      <w:marTop w:val="0"/>
      <w:marBottom w:val="0"/>
      <w:divBdr>
        <w:top w:val="none" w:sz="0" w:space="0" w:color="auto"/>
        <w:left w:val="none" w:sz="0" w:space="0" w:color="auto"/>
        <w:bottom w:val="none" w:sz="0" w:space="0" w:color="auto"/>
        <w:right w:val="none" w:sz="0" w:space="0" w:color="auto"/>
      </w:divBdr>
    </w:div>
    <w:div w:id="1564675316">
      <w:bodyDiv w:val="1"/>
      <w:marLeft w:val="0"/>
      <w:marRight w:val="0"/>
      <w:marTop w:val="0"/>
      <w:marBottom w:val="0"/>
      <w:divBdr>
        <w:top w:val="none" w:sz="0" w:space="0" w:color="auto"/>
        <w:left w:val="none" w:sz="0" w:space="0" w:color="auto"/>
        <w:bottom w:val="none" w:sz="0" w:space="0" w:color="auto"/>
        <w:right w:val="none" w:sz="0" w:space="0" w:color="auto"/>
      </w:divBdr>
      <w:divsChild>
        <w:div w:id="542207085">
          <w:marLeft w:val="0"/>
          <w:marRight w:val="0"/>
          <w:marTop w:val="0"/>
          <w:marBottom w:val="0"/>
          <w:divBdr>
            <w:top w:val="none" w:sz="0" w:space="0" w:color="auto"/>
            <w:left w:val="none" w:sz="0" w:space="0" w:color="auto"/>
            <w:bottom w:val="none" w:sz="0" w:space="0" w:color="auto"/>
            <w:right w:val="none" w:sz="0" w:space="0" w:color="auto"/>
          </w:divBdr>
        </w:div>
        <w:div w:id="692345098">
          <w:marLeft w:val="0"/>
          <w:marRight w:val="0"/>
          <w:marTop w:val="0"/>
          <w:marBottom w:val="0"/>
          <w:divBdr>
            <w:top w:val="none" w:sz="0" w:space="0" w:color="auto"/>
            <w:left w:val="none" w:sz="0" w:space="0" w:color="auto"/>
            <w:bottom w:val="none" w:sz="0" w:space="0" w:color="auto"/>
            <w:right w:val="none" w:sz="0" w:space="0" w:color="auto"/>
          </w:divBdr>
        </w:div>
        <w:div w:id="966811560">
          <w:marLeft w:val="0"/>
          <w:marRight w:val="0"/>
          <w:marTop w:val="0"/>
          <w:marBottom w:val="0"/>
          <w:divBdr>
            <w:top w:val="none" w:sz="0" w:space="0" w:color="auto"/>
            <w:left w:val="none" w:sz="0" w:space="0" w:color="auto"/>
            <w:bottom w:val="none" w:sz="0" w:space="0" w:color="auto"/>
            <w:right w:val="none" w:sz="0" w:space="0" w:color="auto"/>
          </w:divBdr>
        </w:div>
        <w:div w:id="1043409039">
          <w:marLeft w:val="0"/>
          <w:marRight w:val="0"/>
          <w:marTop w:val="0"/>
          <w:marBottom w:val="0"/>
          <w:divBdr>
            <w:top w:val="none" w:sz="0" w:space="0" w:color="auto"/>
            <w:left w:val="none" w:sz="0" w:space="0" w:color="auto"/>
            <w:bottom w:val="none" w:sz="0" w:space="0" w:color="auto"/>
            <w:right w:val="none" w:sz="0" w:space="0" w:color="auto"/>
          </w:divBdr>
        </w:div>
        <w:div w:id="1187645319">
          <w:marLeft w:val="0"/>
          <w:marRight w:val="0"/>
          <w:marTop w:val="0"/>
          <w:marBottom w:val="0"/>
          <w:divBdr>
            <w:top w:val="none" w:sz="0" w:space="0" w:color="auto"/>
            <w:left w:val="none" w:sz="0" w:space="0" w:color="auto"/>
            <w:bottom w:val="none" w:sz="0" w:space="0" w:color="auto"/>
            <w:right w:val="none" w:sz="0" w:space="0" w:color="auto"/>
          </w:divBdr>
        </w:div>
        <w:div w:id="1660620475">
          <w:marLeft w:val="0"/>
          <w:marRight w:val="0"/>
          <w:marTop w:val="0"/>
          <w:marBottom w:val="0"/>
          <w:divBdr>
            <w:top w:val="none" w:sz="0" w:space="0" w:color="auto"/>
            <w:left w:val="none" w:sz="0" w:space="0" w:color="auto"/>
            <w:bottom w:val="none" w:sz="0" w:space="0" w:color="auto"/>
            <w:right w:val="none" w:sz="0" w:space="0" w:color="auto"/>
          </w:divBdr>
        </w:div>
      </w:divsChild>
    </w:div>
    <w:div w:id="1569878564">
      <w:bodyDiv w:val="1"/>
      <w:marLeft w:val="0"/>
      <w:marRight w:val="0"/>
      <w:marTop w:val="0"/>
      <w:marBottom w:val="0"/>
      <w:divBdr>
        <w:top w:val="none" w:sz="0" w:space="0" w:color="auto"/>
        <w:left w:val="none" w:sz="0" w:space="0" w:color="auto"/>
        <w:bottom w:val="none" w:sz="0" w:space="0" w:color="auto"/>
        <w:right w:val="none" w:sz="0" w:space="0" w:color="auto"/>
      </w:divBdr>
    </w:div>
    <w:div w:id="1587499758">
      <w:bodyDiv w:val="1"/>
      <w:marLeft w:val="0"/>
      <w:marRight w:val="0"/>
      <w:marTop w:val="0"/>
      <w:marBottom w:val="0"/>
      <w:divBdr>
        <w:top w:val="none" w:sz="0" w:space="0" w:color="auto"/>
        <w:left w:val="none" w:sz="0" w:space="0" w:color="auto"/>
        <w:bottom w:val="none" w:sz="0" w:space="0" w:color="auto"/>
        <w:right w:val="none" w:sz="0" w:space="0" w:color="auto"/>
      </w:divBdr>
    </w:div>
    <w:div w:id="1587611880">
      <w:bodyDiv w:val="1"/>
      <w:marLeft w:val="0"/>
      <w:marRight w:val="0"/>
      <w:marTop w:val="0"/>
      <w:marBottom w:val="0"/>
      <w:divBdr>
        <w:top w:val="none" w:sz="0" w:space="0" w:color="auto"/>
        <w:left w:val="none" w:sz="0" w:space="0" w:color="auto"/>
        <w:bottom w:val="none" w:sz="0" w:space="0" w:color="auto"/>
        <w:right w:val="none" w:sz="0" w:space="0" w:color="auto"/>
      </w:divBdr>
    </w:div>
    <w:div w:id="1592618444">
      <w:bodyDiv w:val="1"/>
      <w:marLeft w:val="0"/>
      <w:marRight w:val="0"/>
      <w:marTop w:val="0"/>
      <w:marBottom w:val="0"/>
      <w:divBdr>
        <w:top w:val="none" w:sz="0" w:space="0" w:color="auto"/>
        <w:left w:val="none" w:sz="0" w:space="0" w:color="auto"/>
        <w:bottom w:val="none" w:sz="0" w:space="0" w:color="auto"/>
        <w:right w:val="none" w:sz="0" w:space="0" w:color="auto"/>
      </w:divBdr>
    </w:div>
    <w:div w:id="1596792457">
      <w:bodyDiv w:val="1"/>
      <w:marLeft w:val="0"/>
      <w:marRight w:val="0"/>
      <w:marTop w:val="0"/>
      <w:marBottom w:val="0"/>
      <w:divBdr>
        <w:top w:val="none" w:sz="0" w:space="0" w:color="auto"/>
        <w:left w:val="none" w:sz="0" w:space="0" w:color="auto"/>
        <w:bottom w:val="none" w:sz="0" w:space="0" w:color="auto"/>
        <w:right w:val="none" w:sz="0" w:space="0" w:color="auto"/>
      </w:divBdr>
    </w:div>
    <w:div w:id="1599023546">
      <w:bodyDiv w:val="1"/>
      <w:marLeft w:val="0"/>
      <w:marRight w:val="0"/>
      <w:marTop w:val="0"/>
      <w:marBottom w:val="0"/>
      <w:divBdr>
        <w:top w:val="none" w:sz="0" w:space="0" w:color="auto"/>
        <w:left w:val="none" w:sz="0" w:space="0" w:color="auto"/>
        <w:bottom w:val="none" w:sz="0" w:space="0" w:color="auto"/>
        <w:right w:val="none" w:sz="0" w:space="0" w:color="auto"/>
      </w:divBdr>
    </w:div>
    <w:div w:id="1624772325">
      <w:bodyDiv w:val="1"/>
      <w:marLeft w:val="0"/>
      <w:marRight w:val="0"/>
      <w:marTop w:val="0"/>
      <w:marBottom w:val="0"/>
      <w:divBdr>
        <w:top w:val="none" w:sz="0" w:space="0" w:color="auto"/>
        <w:left w:val="none" w:sz="0" w:space="0" w:color="auto"/>
        <w:bottom w:val="none" w:sz="0" w:space="0" w:color="auto"/>
        <w:right w:val="none" w:sz="0" w:space="0" w:color="auto"/>
      </w:divBdr>
    </w:div>
    <w:div w:id="1638605647">
      <w:bodyDiv w:val="1"/>
      <w:marLeft w:val="0"/>
      <w:marRight w:val="0"/>
      <w:marTop w:val="0"/>
      <w:marBottom w:val="0"/>
      <w:divBdr>
        <w:top w:val="none" w:sz="0" w:space="0" w:color="auto"/>
        <w:left w:val="none" w:sz="0" w:space="0" w:color="auto"/>
        <w:bottom w:val="none" w:sz="0" w:space="0" w:color="auto"/>
        <w:right w:val="none" w:sz="0" w:space="0" w:color="auto"/>
      </w:divBdr>
      <w:divsChild>
        <w:div w:id="4599298">
          <w:marLeft w:val="0"/>
          <w:marRight w:val="0"/>
          <w:marTop w:val="0"/>
          <w:marBottom w:val="0"/>
          <w:divBdr>
            <w:top w:val="none" w:sz="0" w:space="0" w:color="auto"/>
            <w:left w:val="none" w:sz="0" w:space="0" w:color="auto"/>
            <w:bottom w:val="none" w:sz="0" w:space="0" w:color="auto"/>
            <w:right w:val="none" w:sz="0" w:space="0" w:color="auto"/>
          </w:divBdr>
        </w:div>
        <w:div w:id="667367113">
          <w:marLeft w:val="0"/>
          <w:marRight w:val="0"/>
          <w:marTop w:val="0"/>
          <w:marBottom w:val="0"/>
          <w:divBdr>
            <w:top w:val="none" w:sz="0" w:space="0" w:color="auto"/>
            <w:left w:val="none" w:sz="0" w:space="0" w:color="auto"/>
            <w:bottom w:val="none" w:sz="0" w:space="0" w:color="auto"/>
            <w:right w:val="none" w:sz="0" w:space="0" w:color="auto"/>
          </w:divBdr>
        </w:div>
        <w:div w:id="795876206">
          <w:marLeft w:val="0"/>
          <w:marRight w:val="0"/>
          <w:marTop w:val="0"/>
          <w:marBottom w:val="0"/>
          <w:divBdr>
            <w:top w:val="none" w:sz="0" w:space="0" w:color="auto"/>
            <w:left w:val="none" w:sz="0" w:space="0" w:color="auto"/>
            <w:bottom w:val="none" w:sz="0" w:space="0" w:color="auto"/>
            <w:right w:val="none" w:sz="0" w:space="0" w:color="auto"/>
          </w:divBdr>
        </w:div>
      </w:divsChild>
    </w:div>
    <w:div w:id="1702047953">
      <w:bodyDiv w:val="1"/>
      <w:marLeft w:val="0"/>
      <w:marRight w:val="0"/>
      <w:marTop w:val="0"/>
      <w:marBottom w:val="0"/>
      <w:divBdr>
        <w:top w:val="none" w:sz="0" w:space="0" w:color="auto"/>
        <w:left w:val="none" w:sz="0" w:space="0" w:color="auto"/>
        <w:bottom w:val="none" w:sz="0" w:space="0" w:color="auto"/>
        <w:right w:val="none" w:sz="0" w:space="0" w:color="auto"/>
      </w:divBdr>
      <w:divsChild>
        <w:div w:id="7100451">
          <w:marLeft w:val="0"/>
          <w:marRight w:val="0"/>
          <w:marTop w:val="0"/>
          <w:marBottom w:val="0"/>
          <w:divBdr>
            <w:top w:val="none" w:sz="0" w:space="0" w:color="auto"/>
            <w:left w:val="none" w:sz="0" w:space="0" w:color="auto"/>
            <w:bottom w:val="none" w:sz="0" w:space="0" w:color="auto"/>
            <w:right w:val="none" w:sz="0" w:space="0" w:color="auto"/>
          </w:divBdr>
        </w:div>
        <w:div w:id="98647734">
          <w:marLeft w:val="0"/>
          <w:marRight w:val="0"/>
          <w:marTop w:val="0"/>
          <w:marBottom w:val="0"/>
          <w:divBdr>
            <w:top w:val="none" w:sz="0" w:space="0" w:color="auto"/>
            <w:left w:val="none" w:sz="0" w:space="0" w:color="auto"/>
            <w:bottom w:val="none" w:sz="0" w:space="0" w:color="auto"/>
            <w:right w:val="none" w:sz="0" w:space="0" w:color="auto"/>
          </w:divBdr>
        </w:div>
        <w:div w:id="122768789">
          <w:marLeft w:val="0"/>
          <w:marRight w:val="0"/>
          <w:marTop w:val="0"/>
          <w:marBottom w:val="0"/>
          <w:divBdr>
            <w:top w:val="none" w:sz="0" w:space="0" w:color="auto"/>
            <w:left w:val="none" w:sz="0" w:space="0" w:color="auto"/>
            <w:bottom w:val="none" w:sz="0" w:space="0" w:color="auto"/>
            <w:right w:val="none" w:sz="0" w:space="0" w:color="auto"/>
          </w:divBdr>
        </w:div>
        <w:div w:id="163982222">
          <w:marLeft w:val="0"/>
          <w:marRight w:val="0"/>
          <w:marTop w:val="0"/>
          <w:marBottom w:val="0"/>
          <w:divBdr>
            <w:top w:val="none" w:sz="0" w:space="0" w:color="auto"/>
            <w:left w:val="none" w:sz="0" w:space="0" w:color="auto"/>
            <w:bottom w:val="none" w:sz="0" w:space="0" w:color="auto"/>
            <w:right w:val="none" w:sz="0" w:space="0" w:color="auto"/>
          </w:divBdr>
        </w:div>
        <w:div w:id="339281897">
          <w:marLeft w:val="0"/>
          <w:marRight w:val="0"/>
          <w:marTop w:val="0"/>
          <w:marBottom w:val="0"/>
          <w:divBdr>
            <w:top w:val="none" w:sz="0" w:space="0" w:color="auto"/>
            <w:left w:val="none" w:sz="0" w:space="0" w:color="auto"/>
            <w:bottom w:val="none" w:sz="0" w:space="0" w:color="auto"/>
            <w:right w:val="none" w:sz="0" w:space="0" w:color="auto"/>
          </w:divBdr>
        </w:div>
        <w:div w:id="447705084">
          <w:marLeft w:val="0"/>
          <w:marRight w:val="0"/>
          <w:marTop w:val="0"/>
          <w:marBottom w:val="0"/>
          <w:divBdr>
            <w:top w:val="none" w:sz="0" w:space="0" w:color="auto"/>
            <w:left w:val="none" w:sz="0" w:space="0" w:color="auto"/>
            <w:bottom w:val="none" w:sz="0" w:space="0" w:color="auto"/>
            <w:right w:val="none" w:sz="0" w:space="0" w:color="auto"/>
          </w:divBdr>
        </w:div>
        <w:div w:id="549726194">
          <w:marLeft w:val="0"/>
          <w:marRight w:val="0"/>
          <w:marTop w:val="0"/>
          <w:marBottom w:val="0"/>
          <w:divBdr>
            <w:top w:val="none" w:sz="0" w:space="0" w:color="auto"/>
            <w:left w:val="none" w:sz="0" w:space="0" w:color="auto"/>
            <w:bottom w:val="none" w:sz="0" w:space="0" w:color="auto"/>
            <w:right w:val="none" w:sz="0" w:space="0" w:color="auto"/>
          </w:divBdr>
        </w:div>
        <w:div w:id="586964718">
          <w:marLeft w:val="0"/>
          <w:marRight w:val="0"/>
          <w:marTop w:val="0"/>
          <w:marBottom w:val="0"/>
          <w:divBdr>
            <w:top w:val="none" w:sz="0" w:space="0" w:color="auto"/>
            <w:left w:val="none" w:sz="0" w:space="0" w:color="auto"/>
            <w:bottom w:val="none" w:sz="0" w:space="0" w:color="auto"/>
            <w:right w:val="none" w:sz="0" w:space="0" w:color="auto"/>
          </w:divBdr>
        </w:div>
        <w:div w:id="1175724563">
          <w:marLeft w:val="0"/>
          <w:marRight w:val="0"/>
          <w:marTop w:val="0"/>
          <w:marBottom w:val="0"/>
          <w:divBdr>
            <w:top w:val="none" w:sz="0" w:space="0" w:color="auto"/>
            <w:left w:val="none" w:sz="0" w:space="0" w:color="auto"/>
            <w:bottom w:val="none" w:sz="0" w:space="0" w:color="auto"/>
            <w:right w:val="none" w:sz="0" w:space="0" w:color="auto"/>
          </w:divBdr>
        </w:div>
        <w:div w:id="1362974576">
          <w:marLeft w:val="0"/>
          <w:marRight w:val="0"/>
          <w:marTop w:val="0"/>
          <w:marBottom w:val="0"/>
          <w:divBdr>
            <w:top w:val="none" w:sz="0" w:space="0" w:color="auto"/>
            <w:left w:val="none" w:sz="0" w:space="0" w:color="auto"/>
            <w:bottom w:val="none" w:sz="0" w:space="0" w:color="auto"/>
            <w:right w:val="none" w:sz="0" w:space="0" w:color="auto"/>
          </w:divBdr>
        </w:div>
        <w:div w:id="1432821913">
          <w:marLeft w:val="0"/>
          <w:marRight w:val="0"/>
          <w:marTop w:val="0"/>
          <w:marBottom w:val="0"/>
          <w:divBdr>
            <w:top w:val="none" w:sz="0" w:space="0" w:color="auto"/>
            <w:left w:val="none" w:sz="0" w:space="0" w:color="auto"/>
            <w:bottom w:val="none" w:sz="0" w:space="0" w:color="auto"/>
            <w:right w:val="none" w:sz="0" w:space="0" w:color="auto"/>
          </w:divBdr>
        </w:div>
        <w:div w:id="1554077966">
          <w:marLeft w:val="0"/>
          <w:marRight w:val="0"/>
          <w:marTop w:val="0"/>
          <w:marBottom w:val="0"/>
          <w:divBdr>
            <w:top w:val="none" w:sz="0" w:space="0" w:color="auto"/>
            <w:left w:val="none" w:sz="0" w:space="0" w:color="auto"/>
            <w:bottom w:val="none" w:sz="0" w:space="0" w:color="auto"/>
            <w:right w:val="none" w:sz="0" w:space="0" w:color="auto"/>
          </w:divBdr>
        </w:div>
        <w:div w:id="1568566446">
          <w:marLeft w:val="0"/>
          <w:marRight w:val="0"/>
          <w:marTop w:val="0"/>
          <w:marBottom w:val="0"/>
          <w:divBdr>
            <w:top w:val="none" w:sz="0" w:space="0" w:color="auto"/>
            <w:left w:val="none" w:sz="0" w:space="0" w:color="auto"/>
            <w:bottom w:val="none" w:sz="0" w:space="0" w:color="auto"/>
            <w:right w:val="none" w:sz="0" w:space="0" w:color="auto"/>
          </w:divBdr>
        </w:div>
        <w:div w:id="1721704175">
          <w:marLeft w:val="0"/>
          <w:marRight w:val="0"/>
          <w:marTop w:val="0"/>
          <w:marBottom w:val="0"/>
          <w:divBdr>
            <w:top w:val="none" w:sz="0" w:space="0" w:color="auto"/>
            <w:left w:val="none" w:sz="0" w:space="0" w:color="auto"/>
            <w:bottom w:val="none" w:sz="0" w:space="0" w:color="auto"/>
            <w:right w:val="none" w:sz="0" w:space="0" w:color="auto"/>
          </w:divBdr>
        </w:div>
        <w:div w:id="1735929435">
          <w:marLeft w:val="0"/>
          <w:marRight w:val="0"/>
          <w:marTop w:val="0"/>
          <w:marBottom w:val="0"/>
          <w:divBdr>
            <w:top w:val="none" w:sz="0" w:space="0" w:color="auto"/>
            <w:left w:val="none" w:sz="0" w:space="0" w:color="auto"/>
            <w:bottom w:val="none" w:sz="0" w:space="0" w:color="auto"/>
            <w:right w:val="none" w:sz="0" w:space="0" w:color="auto"/>
          </w:divBdr>
        </w:div>
        <w:div w:id="1947150611">
          <w:marLeft w:val="0"/>
          <w:marRight w:val="0"/>
          <w:marTop w:val="0"/>
          <w:marBottom w:val="0"/>
          <w:divBdr>
            <w:top w:val="none" w:sz="0" w:space="0" w:color="auto"/>
            <w:left w:val="none" w:sz="0" w:space="0" w:color="auto"/>
            <w:bottom w:val="none" w:sz="0" w:space="0" w:color="auto"/>
            <w:right w:val="none" w:sz="0" w:space="0" w:color="auto"/>
          </w:divBdr>
        </w:div>
      </w:divsChild>
    </w:div>
    <w:div w:id="1702431990">
      <w:bodyDiv w:val="1"/>
      <w:marLeft w:val="0"/>
      <w:marRight w:val="0"/>
      <w:marTop w:val="0"/>
      <w:marBottom w:val="0"/>
      <w:divBdr>
        <w:top w:val="none" w:sz="0" w:space="0" w:color="auto"/>
        <w:left w:val="none" w:sz="0" w:space="0" w:color="auto"/>
        <w:bottom w:val="none" w:sz="0" w:space="0" w:color="auto"/>
        <w:right w:val="none" w:sz="0" w:space="0" w:color="auto"/>
      </w:divBdr>
    </w:div>
    <w:div w:id="1723169729">
      <w:bodyDiv w:val="1"/>
      <w:marLeft w:val="0"/>
      <w:marRight w:val="0"/>
      <w:marTop w:val="0"/>
      <w:marBottom w:val="0"/>
      <w:divBdr>
        <w:top w:val="none" w:sz="0" w:space="0" w:color="auto"/>
        <w:left w:val="none" w:sz="0" w:space="0" w:color="auto"/>
        <w:bottom w:val="none" w:sz="0" w:space="0" w:color="auto"/>
        <w:right w:val="none" w:sz="0" w:space="0" w:color="auto"/>
      </w:divBdr>
    </w:div>
    <w:div w:id="1742947443">
      <w:bodyDiv w:val="1"/>
      <w:marLeft w:val="0"/>
      <w:marRight w:val="0"/>
      <w:marTop w:val="0"/>
      <w:marBottom w:val="0"/>
      <w:divBdr>
        <w:top w:val="none" w:sz="0" w:space="0" w:color="auto"/>
        <w:left w:val="none" w:sz="0" w:space="0" w:color="auto"/>
        <w:bottom w:val="none" w:sz="0" w:space="0" w:color="auto"/>
        <w:right w:val="none" w:sz="0" w:space="0" w:color="auto"/>
      </w:divBdr>
    </w:div>
    <w:div w:id="1744913243">
      <w:bodyDiv w:val="1"/>
      <w:marLeft w:val="0"/>
      <w:marRight w:val="0"/>
      <w:marTop w:val="0"/>
      <w:marBottom w:val="0"/>
      <w:divBdr>
        <w:top w:val="none" w:sz="0" w:space="0" w:color="auto"/>
        <w:left w:val="none" w:sz="0" w:space="0" w:color="auto"/>
        <w:bottom w:val="none" w:sz="0" w:space="0" w:color="auto"/>
        <w:right w:val="none" w:sz="0" w:space="0" w:color="auto"/>
      </w:divBdr>
    </w:div>
    <w:div w:id="1762221001">
      <w:bodyDiv w:val="1"/>
      <w:marLeft w:val="0"/>
      <w:marRight w:val="0"/>
      <w:marTop w:val="0"/>
      <w:marBottom w:val="0"/>
      <w:divBdr>
        <w:top w:val="none" w:sz="0" w:space="0" w:color="auto"/>
        <w:left w:val="none" w:sz="0" w:space="0" w:color="auto"/>
        <w:bottom w:val="none" w:sz="0" w:space="0" w:color="auto"/>
        <w:right w:val="none" w:sz="0" w:space="0" w:color="auto"/>
      </w:divBdr>
    </w:div>
    <w:div w:id="1773427903">
      <w:bodyDiv w:val="1"/>
      <w:marLeft w:val="0"/>
      <w:marRight w:val="0"/>
      <w:marTop w:val="0"/>
      <w:marBottom w:val="0"/>
      <w:divBdr>
        <w:top w:val="none" w:sz="0" w:space="0" w:color="auto"/>
        <w:left w:val="none" w:sz="0" w:space="0" w:color="auto"/>
        <w:bottom w:val="none" w:sz="0" w:space="0" w:color="auto"/>
        <w:right w:val="none" w:sz="0" w:space="0" w:color="auto"/>
      </w:divBdr>
    </w:div>
    <w:div w:id="1776973582">
      <w:bodyDiv w:val="1"/>
      <w:marLeft w:val="0"/>
      <w:marRight w:val="0"/>
      <w:marTop w:val="0"/>
      <w:marBottom w:val="0"/>
      <w:divBdr>
        <w:top w:val="none" w:sz="0" w:space="0" w:color="auto"/>
        <w:left w:val="none" w:sz="0" w:space="0" w:color="auto"/>
        <w:bottom w:val="none" w:sz="0" w:space="0" w:color="auto"/>
        <w:right w:val="none" w:sz="0" w:space="0" w:color="auto"/>
      </w:divBdr>
      <w:divsChild>
        <w:div w:id="48581000">
          <w:marLeft w:val="0"/>
          <w:marRight w:val="0"/>
          <w:marTop w:val="0"/>
          <w:marBottom w:val="0"/>
          <w:divBdr>
            <w:top w:val="none" w:sz="0" w:space="0" w:color="auto"/>
            <w:left w:val="none" w:sz="0" w:space="0" w:color="auto"/>
            <w:bottom w:val="none" w:sz="0" w:space="0" w:color="auto"/>
            <w:right w:val="none" w:sz="0" w:space="0" w:color="auto"/>
          </w:divBdr>
        </w:div>
        <w:div w:id="66339987">
          <w:marLeft w:val="0"/>
          <w:marRight w:val="0"/>
          <w:marTop w:val="0"/>
          <w:marBottom w:val="0"/>
          <w:divBdr>
            <w:top w:val="none" w:sz="0" w:space="0" w:color="auto"/>
            <w:left w:val="none" w:sz="0" w:space="0" w:color="auto"/>
            <w:bottom w:val="none" w:sz="0" w:space="0" w:color="auto"/>
            <w:right w:val="none" w:sz="0" w:space="0" w:color="auto"/>
          </w:divBdr>
        </w:div>
        <w:div w:id="174803472">
          <w:marLeft w:val="0"/>
          <w:marRight w:val="0"/>
          <w:marTop w:val="0"/>
          <w:marBottom w:val="0"/>
          <w:divBdr>
            <w:top w:val="none" w:sz="0" w:space="0" w:color="auto"/>
            <w:left w:val="none" w:sz="0" w:space="0" w:color="auto"/>
            <w:bottom w:val="none" w:sz="0" w:space="0" w:color="auto"/>
            <w:right w:val="none" w:sz="0" w:space="0" w:color="auto"/>
          </w:divBdr>
        </w:div>
        <w:div w:id="617686065">
          <w:marLeft w:val="0"/>
          <w:marRight w:val="0"/>
          <w:marTop w:val="0"/>
          <w:marBottom w:val="0"/>
          <w:divBdr>
            <w:top w:val="none" w:sz="0" w:space="0" w:color="auto"/>
            <w:left w:val="none" w:sz="0" w:space="0" w:color="auto"/>
            <w:bottom w:val="none" w:sz="0" w:space="0" w:color="auto"/>
            <w:right w:val="none" w:sz="0" w:space="0" w:color="auto"/>
          </w:divBdr>
        </w:div>
        <w:div w:id="1116173086">
          <w:marLeft w:val="0"/>
          <w:marRight w:val="0"/>
          <w:marTop w:val="0"/>
          <w:marBottom w:val="0"/>
          <w:divBdr>
            <w:top w:val="none" w:sz="0" w:space="0" w:color="auto"/>
            <w:left w:val="none" w:sz="0" w:space="0" w:color="auto"/>
            <w:bottom w:val="none" w:sz="0" w:space="0" w:color="auto"/>
            <w:right w:val="none" w:sz="0" w:space="0" w:color="auto"/>
          </w:divBdr>
        </w:div>
        <w:div w:id="1142380287">
          <w:marLeft w:val="0"/>
          <w:marRight w:val="0"/>
          <w:marTop w:val="0"/>
          <w:marBottom w:val="0"/>
          <w:divBdr>
            <w:top w:val="none" w:sz="0" w:space="0" w:color="auto"/>
            <w:left w:val="none" w:sz="0" w:space="0" w:color="auto"/>
            <w:bottom w:val="none" w:sz="0" w:space="0" w:color="auto"/>
            <w:right w:val="none" w:sz="0" w:space="0" w:color="auto"/>
          </w:divBdr>
        </w:div>
        <w:div w:id="2067754066">
          <w:marLeft w:val="0"/>
          <w:marRight w:val="0"/>
          <w:marTop w:val="0"/>
          <w:marBottom w:val="0"/>
          <w:divBdr>
            <w:top w:val="none" w:sz="0" w:space="0" w:color="auto"/>
            <w:left w:val="none" w:sz="0" w:space="0" w:color="auto"/>
            <w:bottom w:val="none" w:sz="0" w:space="0" w:color="auto"/>
            <w:right w:val="none" w:sz="0" w:space="0" w:color="auto"/>
          </w:divBdr>
        </w:div>
      </w:divsChild>
    </w:div>
    <w:div w:id="1785270458">
      <w:bodyDiv w:val="1"/>
      <w:marLeft w:val="0"/>
      <w:marRight w:val="0"/>
      <w:marTop w:val="0"/>
      <w:marBottom w:val="0"/>
      <w:divBdr>
        <w:top w:val="none" w:sz="0" w:space="0" w:color="auto"/>
        <w:left w:val="none" w:sz="0" w:space="0" w:color="auto"/>
        <w:bottom w:val="none" w:sz="0" w:space="0" w:color="auto"/>
        <w:right w:val="none" w:sz="0" w:space="0" w:color="auto"/>
      </w:divBdr>
    </w:div>
    <w:div w:id="1789734440">
      <w:bodyDiv w:val="1"/>
      <w:marLeft w:val="0"/>
      <w:marRight w:val="0"/>
      <w:marTop w:val="0"/>
      <w:marBottom w:val="0"/>
      <w:divBdr>
        <w:top w:val="none" w:sz="0" w:space="0" w:color="auto"/>
        <w:left w:val="none" w:sz="0" w:space="0" w:color="auto"/>
        <w:bottom w:val="none" w:sz="0" w:space="0" w:color="auto"/>
        <w:right w:val="none" w:sz="0" w:space="0" w:color="auto"/>
      </w:divBdr>
    </w:div>
    <w:div w:id="1792435526">
      <w:bodyDiv w:val="1"/>
      <w:marLeft w:val="0"/>
      <w:marRight w:val="0"/>
      <w:marTop w:val="0"/>
      <w:marBottom w:val="0"/>
      <w:divBdr>
        <w:top w:val="none" w:sz="0" w:space="0" w:color="auto"/>
        <w:left w:val="none" w:sz="0" w:space="0" w:color="auto"/>
        <w:bottom w:val="none" w:sz="0" w:space="0" w:color="auto"/>
        <w:right w:val="none" w:sz="0" w:space="0" w:color="auto"/>
      </w:divBdr>
    </w:div>
    <w:div w:id="1802503381">
      <w:bodyDiv w:val="1"/>
      <w:marLeft w:val="0"/>
      <w:marRight w:val="0"/>
      <w:marTop w:val="0"/>
      <w:marBottom w:val="0"/>
      <w:divBdr>
        <w:top w:val="none" w:sz="0" w:space="0" w:color="auto"/>
        <w:left w:val="none" w:sz="0" w:space="0" w:color="auto"/>
        <w:bottom w:val="none" w:sz="0" w:space="0" w:color="auto"/>
        <w:right w:val="none" w:sz="0" w:space="0" w:color="auto"/>
      </w:divBdr>
      <w:divsChild>
        <w:div w:id="1107773521">
          <w:marLeft w:val="0"/>
          <w:marRight w:val="0"/>
          <w:marTop w:val="0"/>
          <w:marBottom w:val="0"/>
          <w:divBdr>
            <w:top w:val="none" w:sz="0" w:space="0" w:color="auto"/>
            <w:left w:val="none" w:sz="0" w:space="0" w:color="auto"/>
            <w:bottom w:val="none" w:sz="0" w:space="0" w:color="auto"/>
            <w:right w:val="none" w:sz="0" w:space="0" w:color="auto"/>
          </w:divBdr>
        </w:div>
      </w:divsChild>
    </w:div>
    <w:div w:id="1810244207">
      <w:bodyDiv w:val="1"/>
      <w:marLeft w:val="0"/>
      <w:marRight w:val="0"/>
      <w:marTop w:val="0"/>
      <w:marBottom w:val="0"/>
      <w:divBdr>
        <w:top w:val="none" w:sz="0" w:space="0" w:color="auto"/>
        <w:left w:val="none" w:sz="0" w:space="0" w:color="auto"/>
        <w:bottom w:val="none" w:sz="0" w:space="0" w:color="auto"/>
        <w:right w:val="none" w:sz="0" w:space="0" w:color="auto"/>
      </w:divBdr>
    </w:div>
    <w:div w:id="1811945656">
      <w:bodyDiv w:val="1"/>
      <w:marLeft w:val="0"/>
      <w:marRight w:val="0"/>
      <w:marTop w:val="0"/>
      <w:marBottom w:val="0"/>
      <w:divBdr>
        <w:top w:val="none" w:sz="0" w:space="0" w:color="auto"/>
        <w:left w:val="none" w:sz="0" w:space="0" w:color="auto"/>
        <w:bottom w:val="none" w:sz="0" w:space="0" w:color="auto"/>
        <w:right w:val="none" w:sz="0" w:space="0" w:color="auto"/>
      </w:divBdr>
    </w:div>
    <w:div w:id="1813011980">
      <w:bodyDiv w:val="1"/>
      <w:marLeft w:val="0"/>
      <w:marRight w:val="0"/>
      <w:marTop w:val="0"/>
      <w:marBottom w:val="0"/>
      <w:divBdr>
        <w:top w:val="none" w:sz="0" w:space="0" w:color="auto"/>
        <w:left w:val="none" w:sz="0" w:space="0" w:color="auto"/>
        <w:bottom w:val="none" w:sz="0" w:space="0" w:color="auto"/>
        <w:right w:val="none" w:sz="0" w:space="0" w:color="auto"/>
      </w:divBdr>
    </w:div>
    <w:div w:id="1825508867">
      <w:bodyDiv w:val="1"/>
      <w:marLeft w:val="0"/>
      <w:marRight w:val="0"/>
      <w:marTop w:val="0"/>
      <w:marBottom w:val="0"/>
      <w:divBdr>
        <w:top w:val="none" w:sz="0" w:space="0" w:color="auto"/>
        <w:left w:val="none" w:sz="0" w:space="0" w:color="auto"/>
        <w:bottom w:val="none" w:sz="0" w:space="0" w:color="auto"/>
        <w:right w:val="none" w:sz="0" w:space="0" w:color="auto"/>
      </w:divBdr>
    </w:div>
    <w:div w:id="1832939308">
      <w:bodyDiv w:val="1"/>
      <w:marLeft w:val="0"/>
      <w:marRight w:val="0"/>
      <w:marTop w:val="0"/>
      <w:marBottom w:val="0"/>
      <w:divBdr>
        <w:top w:val="none" w:sz="0" w:space="0" w:color="auto"/>
        <w:left w:val="none" w:sz="0" w:space="0" w:color="auto"/>
        <w:bottom w:val="none" w:sz="0" w:space="0" w:color="auto"/>
        <w:right w:val="none" w:sz="0" w:space="0" w:color="auto"/>
      </w:divBdr>
    </w:div>
    <w:div w:id="1834177641">
      <w:bodyDiv w:val="1"/>
      <w:marLeft w:val="0"/>
      <w:marRight w:val="0"/>
      <w:marTop w:val="0"/>
      <w:marBottom w:val="0"/>
      <w:divBdr>
        <w:top w:val="none" w:sz="0" w:space="0" w:color="auto"/>
        <w:left w:val="none" w:sz="0" w:space="0" w:color="auto"/>
        <w:bottom w:val="none" w:sz="0" w:space="0" w:color="auto"/>
        <w:right w:val="none" w:sz="0" w:space="0" w:color="auto"/>
      </w:divBdr>
    </w:div>
    <w:div w:id="1846750583">
      <w:bodyDiv w:val="1"/>
      <w:marLeft w:val="0"/>
      <w:marRight w:val="0"/>
      <w:marTop w:val="0"/>
      <w:marBottom w:val="0"/>
      <w:divBdr>
        <w:top w:val="none" w:sz="0" w:space="0" w:color="auto"/>
        <w:left w:val="none" w:sz="0" w:space="0" w:color="auto"/>
        <w:bottom w:val="none" w:sz="0" w:space="0" w:color="auto"/>
        <w:right w:val="none" w:sz="0" w:space="0" w:color="auto"/>
      </w:divBdr>
    </w:div>
    <w:div w:id="1862353372">
      <w:bodyDiv w:val="1"/>
      <w:marLeft w:val="0"/>
      <w:marRight w:val="0"/>
      <w:marTop w:val="0"/>
      <w:marBottom w:val="0"/>
      <w:divBdr>
        <w:top w:val="none" w:sz="0" w:space="0" w:color="auto"/>
        <w:left w:val="none" w:sz="0" w:space="0" w:color="auto"/>
        <w:bottom w:val="none" w:sz="0" w:space="0" w:color="auto"/>
        <w:right w:val="none" w:sz="0" w:space="0" w:color="auto"/>
      </w:divBdr>
      <w:divsChild>
        <w:div w:id="108666688">
          <w:marLeft w:val="0"/>
          <w:marRight w:val="0"/>
          <w:marTop w:val="0"/>
          <w:marBottom w:val="0"/>
          <w:divBdr>
            <w:top w:val="none" w:sz="0" w:space="0" w:color="auto"/>
            <w:left w:val="none" w:sz="0" w:space="0" w:color="auto"/>
            <w:bottom w:val="none" w:sz="0" w:space="0" w:color="auto"/>
            <w:right w:val="none" w:sz="0" w:space="0" w:color="auto"/>
          </w:divBdr>
        </w:div>
      </w:divsChild>
    </w:div>
    <w:div w:id="1869947346">
      <w:bodyDiv w:val="1"/>
      <w:marLeft w:val="0"/>
      <w:marRight w:val="0"/>
      <w:marTop w:val="0"/>
      <w:marBottom w:val="0"/>
      <w:divBdr>
        <w:top w:val="none" w:sz="0" w:space="0" w:color="auto"/>
        <w:left w:val="none" w:sz="0" w:space="0" w:color="auto"/>
        <w:bottom w:val="none" w:sz="0" w:space="0" w:color="auto"/>
        <w:right w:val="none" w:sz="0" w:space="0" w:color="auto"/>
      </w:divBdr>
    </w:div>
    <w:div w:id="1891531914">
      <w:bodyDiv w:val="1"/>
      <w:marLeft w:val="0"/>
      <w:marRight w:val="0"/>
      <w:marTop w:val="0"/>
      <w:marBottom w:val="0"/>
      <w:divBdr>
        <w:top w:val="none" w:sz="0" w:space="0" w:color="auto"/>
        <w:left w:val="none" w:sz="0" w:space="0" w:color="auto"/>
        <w:bottom w:val="none" w:sz="0" w:space="0" w:color="auto"/>
        <w:right w:val="none" w:sz="0" w:space="0" w:color="auto"/>
      </w:divBdr>
    </w:div>
    <w:div w:id="1905215510">
      <w:bodyDiv w:val="1"/>
      <w:marLeft w:val="0"/>
      <w:marRight w:val="0"/>
      <w:marTop w:val="0"/>
      <w:marBottom w:val="0"/>
      <w:divBdr>
        <w:top w:val="none" w:sz="0" w:space="0" w:color="auto"/>
        <w:left w:val="none" w:sz="0" w:space="0" w:color="auto"/>
        <w:bottom w:val="none" w:sz="0" w:space="0" w:color="auto"/>
        <w:right w:val="none" w:sz="0" w:space="0" w:color="auto"/>
      </w:divBdr>
    </w:div>
    <w:div w:id="1917785223">
      <w:bodyDiv w:val="1"/>
      <w:marLeft w:val="0"/>
      <w:marRight w:val="0"/>
      <w:marTop w:val="0"/>
      <w:marBottom w:val="0"/>
      <w:divBdr>
        <w:top w:val="none" w:sz="0" w:space="0" w:color="auto"/>
        <w:left w:val="none" w:sz="0" w:space="0" w:color="auto"/>
        <w:bottom w:val="none" w:sz="0" w:space="0" w:color="auto"/>
        <w:right w:val="none" w:sz="0" w:space="0" w:color="auto"/>
      </w:divBdr>
      <w:divsChild>
        <w:div w:id="1176044116">
          <w:marLeft w:val="0"/>
          <w:marRight w:val="0"/>
          <w:marTop w:val="0"/>
          <w:marBottom w:val="0"/>
          <w:divBdr>
            <w:top w:val="none" w:sz="0" w:space="0" w:color="auto"/>
            <w:left w:val="none" w:sz="0" w:space="0" w:color="auto"/>
            <w:bottom w:val="none" w:sz="0" w:space="0" w:color="auto"/>
            <w:right w:val="none" w:sz="0" w:space="0" w:color="auto"/>
          </w:divBdr>
        </w:div>
        <w:div w:id="1214925225">
          <w:marLeft w:val="0"/>
          <w:marRight w:val="0"/>
          <w:marTop w:val="0"/>
          <w:marBottom w:val="0"/>
          <w:divBdr>
            <w:top w:val="none" w:sz="0" w:space="0" w:color="auto"/>
            <w:left w:val="none" w:sz="0" w:space="0" w:color="auto"/>
            <w:bottom w:val="none" w:sz="0" w:space="0" w:color="auto"/>
            <w:right w:val="none" w:sz="0" w:space="0" w:color="auto"/>
          </w:divBdr>
        </w:div>
        <w:div w:id="1343363663">
          <w:marLeft w:val="0"/>
          <w:marRight w:val="0"/>
          <w:marTop w:val="0"/>
          <w:marBottom w:val="0"/>
          <w:divBdr>
            <w:top w:val="none" w:sz="0" w:space="0" w:color="auto"/>
            <w:left w:val="none" w:sz="0" w:space="0" w:color="auto"/>
            <w:bottom w:val="none" w:sz="0" w:space="0" w:color="auto"/>
            <w:right w:val="none" w:sz="0" w:space="0" w:color="auto"/>
          </w:divBdr>
        </w:div>
        <w:div w:id="1371681911">
          <w:marLeft w:val="0"/>
          <w:marRight w:val="0"/>
          <w:marTop w:val="0"/>
          <w:marBottom w:val="0"/>
          <w:divBdr>
            <w:top w:val="none" w:sz="0" w:space="0" w:color="auto"/>
            <w:left w:val="none" w:sz="0" w:space="0" w:color="auto"/>
            <w:bottom w:val="none" w:sz="0" w:space="0" w:color="auto"/>
            <w:right w:val="none" w:sz="0" w:space="0" w:color="auto"/>
          </w:divBdr>
        </w:div>
      </w:divsChild>
    </w:div>
    <w:div w:id="1921983698">
      <w:bodyDiv w:val="1"/>
      <w:marLeft w:val="0"/>
      <w:marRight w:val="0"/>
      <w:marTop w:val="0"/>
      <w:marBottom w:val="0"/>
      <w:divBdr>
        <w:top w:val="none" w:sz="0" w:space="0" w:color="auto"/>
        <w:left w:val="none" w:sz="0" w:space="0" w:color="auto"/>
        <w:bottom w:val="none" w:sz="0" w:space="0" w:color="auto"/>
        <w:right w:val="none" w:sz="0" w:space="0" w:color="auto"/>
      </w:divBdr>
    </w:div>
    <w:div w:id="1923829865">
      <w:bodyDiv w:val="1"/>
      <w:marLeft w:val="0"/>
      <w:marRight w:val="0"/>
      <w:marTop w:val="0"/>
      <w:marBottom w:val="0"/>
      <w:divBdr>
        <w:top w:val="none" w:sz="0" w:space="0" w:color="auto"/>
        <w:left w:val="none" w:sz="0" w:space="0" w:color="auto"/>
        <w:bottom w:val="none" w:sz="0" w:space="0" w:color="auto"/>
        <w:right w:val="none" w:sz="0" w:space="0" w:color="auto"/>
      </w:divBdr>
    </w:div>
    <w:div w:id="1927497388">
      <w:bodyDiv w:val="1"/>
      <w:marLeft w:val="0"/>
      <w:marRight w:val="0"/>
      <w:marTop w:val="0"/>
      <w:marBottom w:val="0"/>
      <w:divBdr>
        <w:top w:val="none" w:sz="0" w:space="0" w:color="auto"/>
        <w:left w:val="none" w:sz="0" w:space="0" w:color="auto"/>
        <w:bottom w:val="none" w:sz="0" w:space="0" w:color="auto"/>
        <w:right w:val="none" w:sz="0" w:space="0" w:color="auto"/>
      </w:divBdr>
    </w:div>
    <w:div w:id="1930654579">
      <w:bodyDiv w:val="1"/>
      <w:marLeft w:val="0"/>
      <w:marRight w:val="0"/>
      <w:marTop w:val="0"/>
      <w:marBottom w:val="0"/>
      <w:divBdr>
        <w:top w:val="none" w:sz="0" w:space="0" w:color="auto"/>
        <w:left w:val="none" w:sz="0" w:space="0" w:color="auto"/>
        <w:bottom w:val="none" w:sz="0" w:space="0" w:color="auto"/>
        <w:right w:val="none" w:sz="0" w:space="0" w:color="auto"/>
      </w:divBdr>
      <w:divsChild>
        <w:div w:id="413013610">
          <w:marLeft w:val="0"/>
          <w:marRight w:val="0"/>
          <w:marTop w:val="0"/>
          <w:marBottom w:val="0"/>
          <w:divBdr>
            <w:top w:val="none" w:sz="0" w:space="0" w:color="auto"/>
            <w:left w:val="none" w:sz="0" w:space="0" w:color="auto"/>
            <w:bottom w:val="none" w:sz="0" w:space="0" w:color="auto"/>
            <w:right w:val="none" w:sz="0" w:space="0" w:color="auto"/>
          </w:divBdr>
        </w:div>
        <w:div w:id="567495301">
          <w:marLeft w:val="0"/>
          <w:marRight w:val="0"/>
          <w:marTop w:val="0"/>
          <w:marBottom w:val="0"/>
          <w:divBdr>
            <w:top w:val="none" w:sz="0" w:space="0" w:color="auto"/>
            <w:left w:val="none" w:sz="0" w:space="0" w:color="auto"/>
            <w:bottom w:val="none" w:sz="0" w:space="0" w:color="auto"/>
            <w:right w:val="none" w:sz="0" w:space="0" w:color="auto"/>
          </w:divBdr>
        </w:div>
        <w:div w:id="1056708183">
          <w:marLeft w:val="0"/>
          <w:marRight w:val="0"/>
          <w:marTop w:val="0"/>
          <w:marBottom w:val="0"/>
          <w:divBdr>
            <w:top w:val="none" w:sz="0" w:space="0" w:color="auto"/>
            <w:left w:val="none" w:sz="0" w:space="0" w:color="auto"/>
            <w:bottom w:val="none" w:sz="0" w:space="0" w:color="auto"/>
            <w:right w:val="none" w:sz="0" w:space="0" w:color="auto"/>
          </w:divBdr>
        </w:div>
        <w:div w:id="1447121817">
          <w:marLeft w:val="0"/>
          <w:marRight w:val="0"/>
          <w:marTop w:val="0"/>
          <w:marBottom w:val="0"/>
          <w:divBdr>
            <w:top w:val="none" w:sz="0" w:space="0" w:color="auto"/>
            <w:left w:val="none" w:sz="0" w:space="0" w:color="auto"/>
            <w:bottom w:val="none" w:sz="0" w:space="0" w:color="auto"/>
            <w:right w:val="none" w:sz="0" w:space="0" w:color="auto"/>
          </w:divBdr>
        </w:div>
        <w:div w:id="1660688797">
          <w:marLeft w:val="0"/>
          <w:marRight w:val="0"/>
          <w:marTop w:val="0"/>
          <w:marBottom w:val="0"/>
          <w:divBdr>
            <w:top w:val="none" w:sz="0" w:space="0" w:color="auto"/>
            <w:left w:val="none" w:sz="0" w:space="0" w:color="auto"/>
            <w:bottom w:val="none" w:sz="0" w:space="0" w:color="auto"/>
            <w:right w:val="none" w:sz="0" w:space="0" w:color="auto"/>
          </w:divBdr>
        </w:div>
        <w:div w:id="1684084951">
          <w:marLeft w:val="0"/>
          <w:marRight w:val="0"/>
          <w:marTop w:val="0"/>
          <w:marBottom w:val="0"/>
          <w:divBdr>
            <w:top w:val="none" w:sz="0" w:space="0" w:color="auto"/>
            <w:left w:val="none" w:sz="0" w:space="0" w:color="auto"/>
            <w:bottom w:val="none" w:sz="0" w:space="0" w:color="auto"/>
            <w:right w:val="none" w:sz="0" w:space="0" w:color="auto"/>
          </w:divBdr>
        </w:div>
        <w:div w:id="1695881266">
          <w:marLeft w:val="0"/>
          <w:marRight w:val="0"/>
          <w:marTop w:val="0"/>
          <w:marBottom w:val="0"/>
          <w:divBdr>
            <w:top w:val="none" w:sz="0" w:space="0" w:color="auto"/>
            <w:left w:val="none" w:sz="0" w:space="0" w:color="auto"/>
            <w:bottom w:val="none" w:sz="0" w:space="0" w:color="auto"/>
            <w:right w:val="none" w:sz="0" w:space="0" w:color="auto"/>
          </w:divBdr>
        </w:div>
      </w:divsChild>
    </w:div>
    <w:div w:id="1936547693">
      <w:bodyDiv w:val="1"/>
      <w:marLeft w:val="0"/>
      <w:marRight w:val="0"/>
      <w:marTop w:val="0"/>
      <w:marBottom w:val="0"/>
      <w:divBdr>
        <w:top w:val="none" w:sz="0" w:space="0" w:color="auto"/>
        <w:left w:val="none" w:sz="0" w:space="0" w:color="auto"/>
        <w:bottom w:val="none" w:sz="0" w:space="0" w:color="auto"/>
        <w:right w:val="none" w:sz="0" w:space="0" w:color="auto"/>
      </w:divBdr>
      <w:divsChild>
        <w:div w:id="250234578">
          <w:marLeft w:val="0"/>
          <w:marRight w:val="0"/>
          <w:marTop w:val="0"/>
          <w:marBottom w:val="0"/>
          <w:divBdr>
            <w:top w:val="none" w:sz="0" w:space="0" w:color="auto"/>
            <w:left w:val="none" w:sz="0" w:space="0" w:color="auto"/>
            <w:bottom w:val="none" w:sz="0" w:space="0" w:color="auto"/>
            <w:right w:val="none" w:sz="0" w:space="0" w:color="auto"/>
          </w:divBdr>
        </w:div>
        <w:div w:id="276106819">
          <w:marLeft w:val="0"/>
          <w:marRight w:val="0"/>
          <w:marTop w:val="0"/>
          <w:marBottom w:val="0"/>
          <w:divBdr>
            <w:top w:val="none" w:sz="0" w:space="0" w:color="auto"/>
            <w:left w:val="none" w:sz="0" w:space="0" w:color="auto"/>
            <w:bottom w:val="none" w:sz="0" w:space="0" w:color="auto"/>
            <w:right w:val="none" w:sz="0" w:space="0" w:color="auto"/>
          </w:divBdr>
        </w:div>
        <w:div w:id="383021185">
          <w:marLeft w:val="0"/>
          <w:marRight w:val="0"/>
          <w:marTop w:val="0"/>
          <w:marBottom w:val="0"/>
          <w:divBdr>
            <w:top w:val="none" w:sz="0" w:space="0" w:color="auto"/>
            <w:left w:val="none" w:sz="0" w:space="0" w:color="auto"/>
            <w:bottom w:val="none" w:sz="0" w:space="0" w:color="auto"/>
            <w:right w:val="none" w:sz="0" w:space="0" w:color="auto"/>
          </w:divBdr>
        </w:div>
        <w:div w:id="515846375">
          <w:marLeft w:val="0"/>
          <w:marRight w:val="0"/>
          <w:marTop w:val="0"/>
          <w:marBottom w:val="0"/>
          <w:divBdr>
            <w:top w:val="none" w:sz="0" w:space="0" w:color="auto"/>
            <w:left w:val="none" w:sz="0" w:space="0" w:color="auto"/>
            <w:bottom w:val="none" w:sz="0" w:space="0" w:color="auto"/>
            <w:right w:val="none" w:sz="0" w:space="0" w:color="auto"/>
          </w:divBdr>
        </w:div>
        <w:div w:id="786123244">
          <w:marLeft w:val="0"/>
          <w:marRight w:val="0"/>
          <w:marTop w:val="0"/>
          <w:marBottom w:val="0"/>
          <w:divBdr>
            <w:top w:val="none" w:sz="0" w:space="0" w:color="auto"/>
            <w:left w:val="none" w:sz="0" w:space="0" w:color="auto"/>
            <w:bottom w:val="none" w:sz="0" w:space="0" w:color="auto"/>
            <w:right w:val="none" w:sz="0" w:space="0" w:color="auto"/>
          </w:divBdr>
        </w:div>
        <w:div w:id="841821862">
          <w:marLeft w:val="0"/>
          <w:marRight w:val="0"/>
          <w:marTop w:val="0"/>
          <w:marBottom w:val="0"/>
          <w:divBdr>
            <w:top w:val="none" w:sz="0" w:space="0" w:color="auto"/>
            <w:left w:val="none" w:sz="0" w:space="0" w:color="auto"/>
            <w:bottom w:val="none" w:sz="0" w:space="0" w:color="auto"/>
            <w:right w:val="none" w:sz="0" w:space="0" w:color="auto"/>
          </w:divBdr>
        </w:div>
        <w:div w:id="926688543">
          <w:marLeft w:val="0"/>
          <w:marRight w:val="0"/>
          <w:marTop w:val="0"/>
          <w:marBottom w:val="0"/>
          <w:divBdr>
            <w:top w:val="none" w:sz="0" w:space="0" w:color="auto"/>
            <w:left w:val="none" w:sz="0" w:space="0" w:color="auto"/>
            <w:bottom w:val="none" w:sz="0" w:space="0" w:color="auto"/>
            <w:right w:val="none" w:sz="0" w:space="0" w:color="auto"/>
          </w:divBdr>
        </w:div>
        <w:div w:id="1096756437">
          <w:marLeft w:val="0"/>
          <w:marRight w:val="0"/>
          <w:marTop w:val="0"/>
          <w:marBottom w:val="0"/>
          <w:divBdr>
            <w:top w:val="none" w:sz="0" w:space="0" w:color="auto"/>
            <w:left w:val="none" w:sz="0" w:space="0" w:color="auto"/>
            <w:bottom w:val="none" w:sz="0" w:space="0" w:color="auto"/>
            <w:right w:val="none" w:sz="0" w:space="0" w:color="auto"/>
          </w:divBdr>
        </w:div>
        <w:div w:id="1111365972">
          <w:marLeft w:val="0"/>
          <w:marRight w:val="0"/>
          <w:marTop w:val="0"/>
          <w:marBottom w:val="0"/>
          <w:divBdr>
            <w:top w:val="none" w:sz="0" w:space="0" w:color="auto"/>
            <w:left w:val="none" w:sz="0" w:space="0" w:color="auto"/>
            <w:bottom w:val="none" w:sz="0" w:space="0" w:color="auto"/>
            <w:right w:val="none" w:sz="0" w:space="0" w:color="auto"/>
          </w:divBdr>
        </w:div>
        <w:div w:id="1490822674">
          <w:marLeft w:val="0"/>
          <w:marRight w:val="0"/>
          <w:marTop w:val="0"/>
          <w:marBottom w:val="0"/>
          <w:divBdr>
            <w:top w:val="none" w:sz="0" w:space="0" w:color="auto"/>
            <w:left w:val="none" w:sz="0" w:space="0" w:color="auto"/>
            <w:bottom w:val="none" w:sz="0" w:space="0" w:color="auto"/>
            <w:right w:val="none" w:sz="0" w:space="0" w:color="auto"/>
          </w:divBdr>
        </w:div>
      </w:divsChild>
    </w:div>
    <w:div w:id="1938974799">
      <w:bodyDiv w:val="1"/>
      <w:marLeft w:val="0"/>
      <w:marRight w:val="0"/>
      <w:marTop w:val="0"/>
      <w:marBottom w:val="0"/>
      <w:divBdr>
        <w:top w:val="none" w:sz="0" w:space="0" w:color="auto"/>
        <w:left w:val="none" w:sz="0" w:space="0" w:color="auto"/>
        <w:bottom w:val="none" w:sz="0" w:space="0" w:color="auto"/>
        <w:right w:val="none" w:sz="0" w:space="0" w:color="auto"/>
      </w:divBdr>
    </w:div>
    <w:div w:id="1978874936">
      <w:bodyDiv w:val="1"/>
      <w:marLeft w:val="0"/>
      <w:marRight w:val="0"/>
      <w:marTop w:val="0"/>
      <w:marBottom w:val="0"/>
      <w:divBdr>
        <w:top w:val="none" w:sz="0" w:space="0" w:color="auto"/>
        <w:left w:val="none" w:sz="0" w:space="0" w:color="auto"/>
        <w:bottom w:val="none" w:sz="0" w:space="0" w:color="auto"/>
        <w:right w:val="none" w:sz="0" w:space="0" w:color="auto"/>
      </w:divBdr>
    </w:div>
    <w:div w:id="2000959091">
      <w:bodyDiv w:val="1"/>
      <w:marLeft w:val="0"/>
      <w:marRight w:val="0"/>
      <w:marTop w:val="0"/>
      <w:marBottom w:val="0"/>
      <w:divBdr>
        <w:top w:val="none" w:sz="0" w:space="0" w:color="auto"/>
        <w:left w:val="none" w:sz="0" w:space="0" w:color="auto"/>
        <w:bottom w:val="none" w:sz="0" w:space="0" w:color="auto"/>
        <w:right w:val="none" w:sz="0" w:space="0" w:color="auto"/>
      </w:divBdr>
    </w:div>
    <w:div w:id="2018463505">
      <w:bodyDiv w:val="1"/>
      <w:marLeft w:val="0"/>
      <w:marRight w:val="0"/>
      <w:marTop w:val="0"/>
      <w:marBottom w:val="0"/>
      <w:divBdr>
        <w:top w:val="none" w:sz="0" w:space="0" w:color="auto"/>
        <w:left w:val="none" w:sz="0" w:space="0" w:color="auto"/>
        <w:bottom w:val="none" w:sz="0" w:space="0" w:color="auto"/>
        <w:right w:val="none" w:sz="0" w:space="0" w:color="auto"/>
      </w:divBdr>
    </w:div>
    <w:div w:id="2024043062">
      <w:bodyDiv w:val="1"/>
      <w:marLeft w:val="0"/>
      <w:marRight w:val="0"/>
      <w:marTop w:val="0"/>
      <w:marBottom w:val="0"/>
      <w:divBdr>
        <w:top w:val="none" w:sz="0" w:space="0" w:color="auto"/>
        <w:left w:val="none" w:sz="0" w:space="0" w:color="auto"/>
        <w:bottom w:val="none" w:sz="0" w:space="0" w:color="auto"/>
        <w:right w:val="none" w:sz="0" w:space="0" w:color="auto"/>
      </w:divBdr>
    </w:div>
    <w:div w:id="2031949072">
      <w:bodyDiv w:val="1"/>
      <w:marLeft w:val="0"/>
      <w:marRight w:val="0"/>
      <w:marTop w:val="0"/>
      <w:marBottom w:val="0"/>
      <w:divBdr>
        <w:top w:val="none" w:sz="0" w:space="0" w:color="auto"/>
        <w:left w:val="none" w:sz="0" w:space="0" w:color="auto"/>
        <w:bottom w:val="none" w:sz="0" w:space="0" w:color="auto"/>
        <w:right w:val="none" w:sz="0" w:space="0" w:color="auto"/>
      </w:divBdr>
      <w:divsChild>
        <w:div w:id="63572625">
          <w:marLeft w:val="0"/>
          <w:marRight w:val="0"/>
          <w:marTop w:val="0"/>
          <w:marBottom w:val="0"/>
          <w:divBdr>
            <w:top w:val="none" w:sz="0" w:space="0" w:color="auto"/>
            <w:left w:val="none" w:sz="0" w:space="0" w:color="auto"/>
            <w:bottom w:val="none" w:sz="0" w:space="0" w:color="auto"/>
            <w:right w:val="none" w:sz="0" w:space="0" w:color="auto"/>
          </w:divBdr>
        </w:div>
        <w:div w:id="65538605">
          <w:marLeft w:val="0"/>
          <w:marRight w:val="0"/>
          <w:marTop w:val="0"/>
          <w:marBottom w:val="0"/>
          <w:divBdr>
            <w:top w:val="none" w:sz="0" w:space="0" w:color="auto"/>
            <w:left w:val="none" w:sz="0" w:space="0" w:color="auto"/>
            <w:bottom w:val="none" w:sz="0" w:space="0" w:color="auto"/>
            <w:right w:val="none" w:sz="0" w:space="0" w:color="auto"/>
          </w:divBdr>
        </w:div>
        <w:div w:id="1782414210">
          <w:marLeft w:val="0"/>
          <w:marRight w:val="0"/>
          <w:marTop w:val="0"/>
          <w:marBottom w:val="0"/>
          <w:divBdr>
            <w:top w:val="none" w:sz="0" w:space="0" w:color="auto"/>
            <w:left w:val="none" w:sz="0" w:space="0" w:color="auto"/>
            <w:bottom w:val="none" w:sz="0" w:space="0" w:color="auto"/>
            <w:right w:val="none" w:sz="0" w:space="0" w:color="auto"/>
          </w:divBdr>
        </w:div>
      </w:divsChild>
    </w:div>
    <w:div w:id="2045322958">
      <w:bodyDiv w:val="1"/>
      <w:marLeft w:val="0"/>
      <w:marRight w:val="0"/>
      <w:marTop w:val="0"/>
      <w:marBottom w:val="0"/>
      <w:divBdr>
        <w:top w:val="none" w:sz="0" w:space="0" w:color="auto"/>
        <w:left w:val="none" w:sz="0" w:space="0" w:color="auto"/>
        <w:bottom w:val="none" w:sz="0" w:space="0" w:color="auto"/>
        <w:right w:val="none" w:sz="0" w:space="0" w:color="auto"/>
      </w:divBdr>
      <w:divsChild>
        <w:div w:id="122962315">
          <w:marLeft w:val="0"/>
          <w:marRight w:val="0"/>
          <w:marTop w:val="0"/>
          <w:marBottom w:val="0"/>
          <w:divBdr>
            <w:top w:val="none" w:sz="0" w:space="0" w:color="auto"/>
            <w:left w:val="none" w:sz="0" w:space="0" w:color="auto"/>
            <w:bottom w:val="none" w:sz="0" w:space="0" w:color="auto"/>
            <w:right w:val="none" w:sz="0" w:space="0" w:color="auto"/>
          </w:divBdr>
        </w:div>
        <w:div w:id="285933693">
          <w:marLeft w:val="0"/>
          <w:marRight w:val="0"/>
          <w:marTop w:val="0"/>
          <w:marBottom w:val="0"/>
          <w:divBdr>
            <w:top w:val="none" w:sz="0" w:space="0" w:color="auto"/>
            <w:left w:val="none" w:sz="0" w:space="0" w:color="auto"/>
            <w:bottom w:val="none" w:sz="0" w:space="0" w:color="auto"/>
            <w:right w:val="none" w:sz="0" w:space="0" w:color="auto"/>
          </w:divBdr>
        </w:div>
        <w:div w:id="297221678">
          <w:marLeft w:val="0"/>
          <w:marRight w:val="0"/>
          <w:marTop w:val="0"/>
          <w:marBottom w:val="0"/>
          <w:divBdr>
            <w:top w:val="none" w:sz="0" w:space="0" w:color="auto"/>
            <w:left w:val="none" w:sz="0" w:space="0" w:color="auto"/>
            <w:bottom w:val="none" w:sz="0" w:space="0" w:color="auto"/>
            <w:right w:val="none" w:sz="0" w:space="0" w:color="auto"/>
          </w:divBdr>
        </w:div>
        <w:div w:id="313726913">
          <w:marLeft w:val="0"/>
          <w:marRight w:val="0"/>
          <w:marTop w:val="0"/>
          <w:marBottom w:val="0"/>
          <w:divBdr>
            <w:top w:val="none" w:sz="0" w:space="0" w:color="auto"/>
            <w:left w:val="none" w:sz="0" w:space="0" w:color="auto"/>
            <w:bottom w:val="none" w:sz="0" w:space="0" w:color="auto"/>
            <w:right w:val="none" w:sz="0" w:space="0" w:color="auto"/>
          </w:divBdr>
        </w:div>
        <w:div w:id="421725849">
          <w:marLeft w:val="0"/>
          <w:marRight w:val="0"/>
          <w:marTop w:val="0"/>
          <w:marBottom w:val="0"/>
          <w:divBdr>
            <w:top w:val="none" w:sz="0" w:space="0" w:color="auto"/>
            <w:left w:val="none" w:sz="0" w:space="0" w:color="auto"/>
            <w:bottom w:val="none" w:sz="0" w:space="0" w:color="auto"/>
            <w:right w:val="none" w:sz="0" w:space="0" w:color="auto"/>
          </w:divBdr>
        </w:div>
        <w:div w:id="538393168">
          <w:marLeft w:val="0"/>
          <w:marRight w:val="0"/>
          <w:marTop w:val="0"/>
          <w:marBottom w:val="0"/>
          <w:divBdr>
            <w:top w:val="none" w:sz="0" w:space="0" w:color="auto"/>
            <w:left w:val="none" w:sz="0" w:space="0" w:color="auto"/>
            <w:bottom w:val="none" w:sz="0" w:space="0" w:color="auto"/>
            <w:right w:val="none" w:sz="0" w:space="0" w:color="auto"/>
          </w:divBdr>
        </w:div>
        <w:div w:id="549926604">
          <w:marLeft w:val="0"/>
          <w:marRight w:val="0"/>
          <w:marTop w:val="0"/>
          <w:marBottom w:val="0"/>
          <w:divBdr>
            <w:top w:val="none" w:sz="0" w:space="0" w:color="auto"/>
            <w:left w:val="none" w:sz="0" w:space="0" w:color="auto"/>
            <w:bottom w:val="none" w:sz="0" w:space="0" w:color="auto"/>
            <w:right w:val="none" w:sz="0" w:space="0" w:color="auto"/>
          </w:divBdr>
        </w:div>
        <w:div w:id="800421850">
          <w:marLeft w:val="0"/>
          <w:marRight w:val="0"/>
          <w:marTop w:val="0"/>
          <w:marBottom w:val="0"/>
          <w:divBdr>
            <w:top w:val="none" w:sz="0" w:space="0" w:color="auto"/>
            <w:left w:val="none" w:sz="0" w:space="0" w:color="auto"/>
            <w:bottom w:val="none" w:sz="0" w:space="0" w:color="auto"/>
            <w:right w:val="none" w:sz="0" w:space="0" w:color="auto"/>
          </w:divBdr>
        </w:div>
        <w:div w:id="948241833">
          <w:marLeft w:val="0"/>
          <w:marRight w:val="0"/>
          <w:marTop w:val="0"/>
          <w:marBottom w:val="0"/>
          <w:divBdr>
            <w:top w:val="none" w:sz="0" w:space="0" w:color="auto"/>
            <w:left w:val="none" w:sz="0" w:space="0" w:color="auto"/>
            <w:bottom w:val="none" w:sz="0" w:space="0" w:color="auto"/>
            <w:right w:val="none" w:sz="0" w:space="0" w:color="auto"/>
          </w:divBdr>
        </w:div>
        <w:div w:id="1028797228">
          <w:marLeft w:val="0"/>
          <w:marRight w:val="0"/>
          <w:marTop w:val="0"/>
          <w:marBottom w:val="0"/>
          <w:divBdr>
            <w:top w:val="none" w:sz="0" w:space="0" w:color="auto"/>
            <w:left w:val="none" w:sz="0" w:space="0" w:color="auto"/>
            <w:bottom w:val="none" w:sz="0" w:space="0" w:color="auto"/>
            <w:right w:val="none" w:sz="0" w:space="0" w:color="auto"/>
          </w:divBdr>
        </w:div>
        <w:div w:id="1072897860">
          <w:marLeft w:val="0"/>
          <w:marRight w:val="0"/>
          <w:marTop w:val="0"/>
          <w:marBottom w:val="0"/>
          <w:divBdr>
            <w:top w:val="none" w:sz="0" w:space="0" w:color="auto"/>
            <w:left w:val="none" w:sz="0" w:space="0" w:color="auto"/>
            <w:bottom w:val="none" w:sz="0" w:space="0" w:color="auto"/>
            <w:right w:val="none" w:sz="0" w:space="0" w:color="auto"/>
          </w:divBdr>
        </w:div>
        <w:div w:id="1357150888">
          <w:marLeft w:val="0"/>
          <w:marRight w:val="0"/>
          <w:marTop w:val="0"/>
          <w:marBottom w:val="0"/>
          <w:divBdr>
            <w:top w:val="none" w:sz="0" w:space="0" w:color="auto"/>
            <w:left w:val="none" w:sz="0" w:space="0" w:color="auto"/>
            <w:bottom w:val="none" w:sz="0" w:space="0" w:color="auto"/>
            <w:right w:val="none" w:sz="0" w:space="0" w:color="auto"/>
          </w:divBdr>
        </w:div>
        <w:div w:id="1392458874">
          <w:marLeft w:val="0"/>
          <w:marRight w:val="0"/>
          <w:marTop w:val="0"/>
          <w:marBottom w:val="0"/>
          <w:divBdr>
            <w:top w:val="none" w:sz="0" w:space="0" w:color="auto"/>
            <w:left w:val="none" w:sz="0" w:space="0" w:color="auto"/>
            <w:bottom w:val="none" w:sz="0" w:space="0" w:color="auto"/>
            <w:right w:val="none" w:sz="0" w:space="0" w:color="auto"/>
          </w:divBdr>
        </w:div>
        <w:div w:id="1404376052">
          <w:marLeft w:val="0"/>
          <w:marRight w:val="0"/>
          <w:marTop w:val="0"/>
          <w:marBottom w:val="0"/>
          <w:divBdr>
            <w:top w:val="none" w:sz="0" w:space="0" w:color="auto"/>
            <w:left w:val="none" w:sz="0" w:space="0" w:color="auto"/>
            <w:bottom w:val="none" w:sz="0" w:space="0" w:color="auto"/>
            <w:right w:val="none" w:sz="0" w:space="0" w:color="auto"/>
          </w:divBdr>
        </w:div>
        <w:div w:id="1465854207">
          <w:marLeft w:val="0"/>
          <w:marRight w:val="0"/>
          <w:marTop w:val="0"/>
          <w:marBottom w:val="0"/>
          <w:divBdr>
            <w:top w:val="none" w:sz="0" w:space="0" w:color="auto"/>
            <w:left w:val="none" w:sz="0" w:space="0" w:color="auto"/>
            <w:bottom w:val="none" w:sz="0" w:space="0" w:color="auto"/>
            <w:right w:val="none" w:sz="0" w:space="0" w:color="auto"/>
          </w:divBdr>
        </w:div>
        <w:div w:id="1511601697">
          <w:marLeft w:val="0"/>
          <w:marRight w:val="0"/>
          <w:marTop w:val="0"/>
          <w:marBottom w:val="0"/>
          <w:divBdr>
            <w:top w:val="none" w:sz="0" w:space="0" w:color="auto"/>
            <w:left w:val="none" w:sz="0" w:space="0" w:color="auto"/>
            <w:bottom w:val="none" w:sz="0" w:space="0" w:color="auto"/>
            <w:right w:val="none" w:sz="0" w:space="0" w:color="auto"/>
          </w:divBdr>
        </w:div>
        <w:div w:id="1717582348">
          <w:marLeft w:val="0"/>
          <w:marRight w:val="0"/>
          <w:marTop w:val="0"/>
          <w:marBottom w:val="0"/>
          <w:divBdr>
            <w:top w:val="none" w:sz="0" w:space="0" w:color="auto"/>
            <w:left w:val="none" w:sz="0" w:space="0" w:color="auto"/>
            <w:bottom w:val="none" w:sz="0" w:space="0" w:color="auto"/>
            <w:right w:val="none" w:sz="0" w:space="0" w:color="auto"/>
          </w:divBdr>
        </w:div>
        <w:div w:id="1745956235">
          <w:marLeft w:val="0"/>
          <w:marRight w:val="0"/>
          <w:marTop w:val="0"/>
          <w:marBottom w:val="0"/>
          <w:divBdr>
            <w:top w:val="none" w:sz="0" w:space="0" w:color="auto"/>
            <w:left w:val="none" w:sz="0" w:space="0" w:color="auto"/>
            <w:bottom w:val="none" w:sz="0" w:space="0" w:color="auto"/>
            <w:right w:val="none" w:sz="0" w:space="0" w:color="auto"/>
          </w:divBdr>
        </w:div>
        <w:div w:id="2052070341">
          <w:marLeft w:val="0"/>
          <w:marRight w:val="0"/>
          <w:marTop w:val="0"/>
          <w:marBottom w:val="0"/>
          <w:divBdr>
            <w:top w:val="none" w:sz="0" w:space="0" w:color="auto"/>
            <w:left w:val="none" w:sz="0" w:space="0" w:color="auto"/>
            <w:bottom w:val="none" w:sz="0" w:space="0" w:color="auto"/>
            <w:right w:val="none" w:sz="0" w:space="0" w:color="auto"/>
          </w:divBdr>
        </w:div>
        <w:div w:id="2066290943">
          <w:marLeft w:val="0"/>
          <w:marRight w:val="0"/>
          <w:marTop w:val="0"/>
          <w:marBottom w:val="0"/>
          <w:divBdr>
            <w:top w:val="none" w:sz="0" w:space="0" w:color="auto"/>
            <w:left w:val="none" w:sz="0" w:space="0" w:color="auto"/>
            <w:bottom w:val="none" w:sz="0" w:space="0" w:color="auto"/>
            <w:right w:val="none" w:sz="0" w:space="0" w:color="auto"/>
          </w:divBdr>
        </w:div>
      </w:divsChild>
    </w:div>
    <w:div w:id="2048917887">
      <w:bodyDiv w:val="1"/>
      <w:marLeft w:val="0"/>
      <w:marRight w:val="0"/>
      <w:marTop w:val="0"/>
      <w:marBottom w:val="0"/>
      <w:divBdr>
        <w:top w:val="none" w:sz="0" w:space="0" w:color="auto"/>
        <w:left w:val="none" w:sz="0" w:space="0" w:color="auto"/>
        <w:bottom w:val="none" w:sz="0" w:space="0" w:color="auto"/>
        <w:right w:val="none" w:sz="0" w:space="0" w:color="auto"/>
      </w:divBdr>
    </w:div>
    <w:div w:id="2053842315">
      <w:bodyDiv w:val="1"/>
      <w:marLeft w:val="0"/>
      <w:marRight w:val="0"/>
      <w:marTop w:val="0"/>
      <w:marBottom w:val="0"/>
      <w:divBdr>
        <w:top w:val="none" w:sz="0" w:space="0" w:color="auto"/>
        <w:left w:val="none" w:sz="0" w:space="0" w:color="auto"/>
        <w:bottom w:val="none" w:sz="0" w:space="0" w:color="auto"/>
        <w:right w:val="none" w:sz="0" w:space="0" w:color="auto"/>
      </w:divBdr>
    </w:div>
    <w:div w:id="2055233351">
      <w:bodyDiv w:val="1"/>
      <w:marLeft w:val="0"/>
      <w:marRight w:val="0"/>
      <w:marTop w:val="0"/>
      <w:marBottom w:val="0"/>
      <w:divBdr>
        <w:top w:val="none" w:sz="0" w:space="0" w:color="auto"/>
        <w:left w:val="none" w:sz="0" w:space="0" w:color="auto"/>
        <w:bottom w:val="none" w:sz="0" w:space="0" w:color="auto"/>
        <w:right w:val="none" w:sz="0" w:space="0" w:color="auto"/>
      </w:divBdr>
    </w:div>
    <w:div w:id="2064328220">
      <w:bodyDiv w:val="1"/>
      <w:marLeft w:val="0"/>
      <w:marRight w:val="0"/>
      <w:marTop w:val="0"/>
      <w:marBottom w:val="0"/>
      <w:divBdr>
        <w:top w:val="none" w:sz="0" w:space="0" w:color="auto"/>
        <w:left w:val="none" w:sz="0" w:space="0" w:color="auto"/>
        <w:bottom w:val="none" w:sz="0" w:space="0" w:color="auto"/>
        <w:right w:val="none" w:sz="0" w:space="0" w:color="auto"/>
      </w:divBdr>
    </w:div>
    <w:div w:id="2066101693">
      <w:bodyDiv w:val="1"/>
      <w:marLeft w:val="0"/>
      <w:marRight w:val="0"/>
      <w:marTop w:val="0"/>
      <w:marBottom w:val="0"/>
      <w:divBdr>
        <w:top w:val="none" w:sz="0" w:space="0" w:color="auto"/>
        <w:left w:val="none" w:sz="0" w:space="0" w:color="auto"/>
        <w:bottom w:val="none" w:sz="0" w:space="0" w:color="auto"/>
        <w:right w:val="none" w:sz="0" w:space="0" w:color="auto"/>
      </w:divBdr>
      <w:divsChild>
        <w:div w:id="1264533288">
          <w:marLeft w:val="0"/>
          <w:marRight w:val="0"/>
          <w:marTop w:val="0"/>
          <w:marBottom w:val="0"/>
          <w:divBdr>
            <w:top w:val="none" w:sz="0" w:space="0" w:color="auto"/>
            <w:left w:val="none" w:sz="0" w:space="0" w:color="auto"/>
            <w:bottom w:val="none" w:sz="0" w:space="0" w:color="auto"/>
            <w:right w:val="none" w:sz="0" w:space="0" w:color="auto"/>
          </w:divBdr>
          <w:divsChild>
            <w:div w:id="60031989">
              <w:marLeft w:val="0"/>
              <w:marRight w:val="0"/>
              <w:marTop w:val="0"/>
              <w:marBottom w:val="0"/>
              <w:divBdr>
                <w:top w:val="none" w:sz="0" w:space="0" w:color="auto"/>
                <w:left w:val="none" w:sz="0" w:space="0" w:color="auto"/>
                <w:bottom w:val="none" w:sz="0" w:space="0" w:color="auto"/>
                <w:right w:val="none" w:sz="0" w:space="0" w:color="auto"/>
              </w:divBdr>
            </w:div>
            <w:div w:id="249897985">
              <w:marLeft w:val="0"/>
              <w:marRight w:val="0"/>
              <w:marTop w:val="0"/>
              <w:marBottom w:val="0"/>
              <w:divBdr>
                <w:top w:val="none" w:sz="0" w:space="0" w:color="auto"/>
                <w:left w:val="none" w:sz="0" w:space="0" w:color="auto"/>
                <w:bottom w:val="none" w:sz="0" w:space="0" w:color="auto"/>
                <w:right w:val="none" w:sz="0" w:space="0" w:color="auto"/>
              </w:divBdr>
            </w:div>
            <w:div w:id="273094540">
              <w:marLeft w:val="0"/>
              <w:marRight w:val="0"/>
              <w:marTop w:val="0"/>
              <w:marBottom w:val="0"/>
              <w:divBdr>
                <w:top w:val="none" w:sz="0" w:space="0" w:color="auto"/>
                <w:left w:val="none" w:sz="0" w:space="0" w:color="auto"/>
                <w:bottom w:val="none" w:sz="0" w:space="0" w:color="auto"/>
                <w:right w:val="none" w:sz="0" w:space="0" w:color="auto"/>
              </w:divBdr>
            </w:div>
            <w:div w:id="660736806">
              <w:marLeft w:val="0"/>
              <w:marRight w:val="0"/>
              <w:marTop w:val="0"/>
              <w:marBottom w:val="0"/>
              <w:divBdr>
                <w:top w:val="none" w:sz="0" w:space="0" w:color="auto"/>
                <w:left w:val="none" w:sz="0" w:space="0" w:color="auto"/>
                <w:bottom w:val="none" w:sz="0" w:space="0" w:color="auto"/>
                <w:right w:val="none" w:sz="0" w:space="0" w:color="auto"/>
              </w:divBdr>
            </w:div>
            <w:div w:id="816188845">
              <w:marLeft w:val="0"/>
              <w:marRight w:val="0"/>
              <w:marTop w:val="0"/>
              <w:marBottom w:val="0"/>
              <w:divBdr>
                <w:top w:val="none" w:sz="0" w:space="0" w:color="auto"/>
                <w:left w:val="none" w:sz="0" w:space="0" w:color="auto"/>
                <w:bottom w:val="none" w:sz="0" w:space="0" w:color="auto"/>
                <w:right w:val="none" w:sz="0" w:space="0" w:color="auto"/>
              </w:divBdr>
            </w:div>
            <w:div w:id="991561781">
              <w:marLeft w:val="0"/>
              <w:marRight w:val="0"/>
              <w:marTop w:val="0"/>
              <w:marBottom w:val="0"/>
              <w:divBdr>
                <w:top w:val="none" w:sz="0" w:space="0" w:color="auto"/>
                <w:left w:val="none" w:sz="0" w:space="0" w:color="auto"/>
                <w:bottom w:val="none" w:sz="0" w:space="0" w:color="auto"/>
                <w:right w:val="none" w:sz="0" w:space="0" w:color="auto"/>
              </w:divBdr>
            </w:div>
            <w:div w:id="1000737941">
              <w:marLeft w:val="0"/>
              <w:marRight w:val="0"/>
              <w:marTop w:val="0"/>
              <w:marBottom w:val="0"/>
              <w:divBdr>
                <w:top w:val="none" w:sz="0" w:space="0" w:color="auto"/>
                <w:left w:val="none" w:sz="0" w:space="0" w:color="auto"/>
                <w:bottom w:val="none" w:sz="0" w:space="0" w:color="auto"/>
                <w:right w:val="none" w:sz="0" w:space="0" w:color="auto"/>
              </w:divBdr>
            </w:div>
            <w:div w:id="1066757231">
              <w:marLeft w:val="0"/>
              <w:marRight w:val="0"/>
              <w:marTop w:val="0"/>
              <w:marBottom w:val="0"/>
              <w:divBdr>
                <w:top w:val="none" w:sz="0" w:space="0" w:color="auto"/>
                <w:left w:val="none" w:sz="0" w:space="0" w:color="auto"/>
                <w:bottom w:val="none" w:sz="0" w:space="0" w:color="auto"/>
                <w:right w:val="none" w:sz="0" w:space="0" w:color="auto"/>
              </w:divBdr>
            </w:div>
            <w:div w:id="1995182012">
              <w:marLeft w:val="0"/>
              <w:marRight w:val="0"/>
              <w:marTop w:val="0"/>
              <w:marBottom w:val="0"/>
              <w:divBdr>
                <w:top w:val="none" w:sz="0" w:space="0" w:color="auto"/>
                <w:left w:val="none" w:sz="0" w:space="0" w:color="auto"/>
                <w:bottom w:val="none" w:sz="0" w:space="0" w:color="auto"/>
                <w:right w:val="none" w:sz="0" w:space="0" w:color="auto"/>
              </w:divBdr>
            </w:div>
          </w:divsChild>
        </w:div>
        <w:div w:id="1870029457">
          <w:marLeft w:val="0"/>
          <w:marRight w:val="0"/>
          <w:marTop w:val="0"/>
          <w:marBottom w:val="0"/>
          <w:divBdr>
            <w:top w:val="none" w:sz="0" w:space="0" w:color="auto"/>
            <w:left w:val="none" w:sz="0" w:space="0" w:color="auto"/>
            <w:bottom w:val="none" w:sz="0" w:space="0" w:color="auto"/>
            <w:right w:val="none" w:sz="0" w:space="0" w:color="auto"/>
          </w:divBdr>
          <w:divsChild>
            <w:div w:id="111481318">
              <w:marLeft w:val="0"/>
              <w:marRight w:val="0"/>
              <w:marTop w:val="0"/>
              <w:marBottom w:val="0"/>
              <w:divBdr>
                <w:top w:val="none" w:sz="0" w:space="0" w:color="auto"/>
                <w:left w:val="none" w:sz="0" w:space="0" w:color="auto"/>
                <w:bottom w:val="none" w:sz="0" w:space="0" w:color="auto"/>
                <w:right w:val="none" w:sz="0" w:space="0" w:color="auto"/>
              </w:divBdr>
            </w:div>
            <w:div w:id="144467899">
              <w:marLeft w:val="0"/>
              <w:marRight w:val="0"/>
              <w:marTop w:val="0"/>
              <w:marBottom w:val="0"/>
              <w:divBdr>
                <w:top w:val="none" w:sz="0" w:space="0" w:color="auto"/>
                <w:left w:val="none" w:sz="0" w:space="0" w:color="auto"/>
                <w:bottom w:val="none" w:sz="0" w:space="0" w:color="auto"/>
                <w:right w:val="none" w:sz="0" w:space="0" w:color="auto"/>
              </w:divBdr>
            </w:div>
            <w:div w:id="167408393">
              <w:marLeft w:val="0"/>
              <w:marRight w:val="0"/>
              <w:marTop w:val="0"/>
              <w:marBottom w:val="0"/>
              <w:divBdr>
                <w:top w:val="none" w:sz="0" w:space="0" w:color="auto"/>
                <w:left w:val="none" w:sz="0" w:space="0" w:color="auto"/>
                <w:bottom w:val="none" w:sz="0" w:space="0" w:color="auto"/>
                <w:right w:val="none" w:sz="0" w:space="0" w:color="auto"/>
              </w:divBdr>
            </w:div>
            <w:div w:id="286668157">
              <w:marLeft w:val="0"/>
              <w:marRight w:val="0"/>
              <w:marTop w:val="0"/>
              <w:marBottom w:val="0"/>
              <w:divBdr>
                <w:top w:val="none" w:sz="0" w:space="0" w:color="auto"/>
                <w:left w:val="none" w:sz="0" w:space="0" w:color="auto"/>
                <w:bottom w:val="none" w:sz="0" w:space="0" w:color="auto"/>
                <w:right w:val="none" w:sz="0" w:space="0" w:color="auto"/>
              </w:divBdr>
            </w:div>
            <w:div w:id="296419351">
              <w:marLeft w:val="0"/>
              <w:marRight w:val="0"/>
              <w:marTop w:val="0"/>
              <w:marBottom w:val="0"/>
              <w:divBdr>
                <w:top w:val="none" w:sz="0" w:space="0" w:color="auto"/>
                <w:left w:val="none" w:sz="0" w:space="0" w:color="auto"/>
                <w:bottom w:val="none" w:sz="0" w:space="0" w:color="auto"/>
                <w:right w:val="none" w:sz="0" w:space="0" w:color="auto"/>
              </w:divBdr>
            </w:div>
            <w:div w:id="309749589">
              <w:marLeft w:val="0"/>
              <w:marRight w:val="0"/>
              <w:marTop w:val="0"/>
              <w:marBottom w:val="0"/>
              <w:divBdr>
                <w:top w:val="none" w:sz="0" w:space="0" w:color="auto"/>
                <w:left w:val="none" w:sz="0" w:space="0" w:color="auto"/>
                <w:bottom w:val="none" w:sz="0" w:space="0" w:color="auto"/>
                <w:right w:val="none" w:sz="0" w:space="0" w:color="auto"/>
              </w:divBdr>
            </w:div>
            <w:div w:id="379091844">
              <w:marLeft w:val="0"/>
              <w:marRight w:val="0"/>
              <w:marTop w:val="0"/>
              <w:marBottom w:val="0"/>
              <w:divBdr>
                <w:top w:val="none" w:sz="0" w:space="0" w:color="auto"/>
                <w:left w:val="none" w:sz="0" w:space="0" w:color="auto"/>
                <w:bottom w:val="none" w:sz="0" w:space="0" w:color="auto"/>
                <w:right w:val="none" w:sz="0" w:space="0" w:color="auto"/>
              </w:divBdr>
            </w:div>
            <w:div w:id="473565617">
              <w:marLeft w:val="0"/>
              <w:marRight w:val="0"/>
              <w:marTop w:val="0"/>
              <w:marBottom w:val="0"/>
              <w:divBdr>
                <w:top w:val="none" w:sz="0" w:space="0" w:color="auto"/>
                <w:left w:val="none" w:sz="0" w:space="0" w:color="auto"/>
                <w:bottom w:val="none" w:sz="0" w:space="0" w:color="auto"/>
                <w:right w:val="none" w:sz="0" w:space="0" w:color="auto"/>
              </w:divBdr>
            </w:div>
            <w:div w:id="665596375">
              <w:marLeft w:val="0"/>
              <w:marRight w:val="0"/>
              <w:marTop w:val="0"/>
              <w:marBottom w:val="0"/>
              <w:divBdr>
                <w:top w:val="none" w:sz="0" w:space="0" w:color="auto"/>
                <w:left w:val="none" w:sz="0" w:space="0" w:color="auto"/>
                <w:bottom w:val="none" w:sz="0" w:space="0" w:color="auto"/>
                <w:right w:val="none" w:sz="0" w:space="0" w:color="auto"/>
              </w:divBdr>
            </w:div>
            <w:div w:id="730807266">
              <w:marLeft w:val="0"/>
              <w:marRight w:val="0"/>
              <w:marTop w:val="0"/>
              <w:marBottom w:val="0"/>
              <w:divBdr>
                <w:top w:val="none" w:sz="0" w:space="0" w:color="auto"/>
                <w:left w:val="none" w:sz="0" w:space="0" w:color="auto"/>
                <w:bottom w:val="none" w:sz="0" w:space="0" w:color="auto"/>
                <w:right w:val="none" w:sz="0" w:space="0" w:color="auto"/>
              </w:divBdr>
            </w:div>
            <w:div w:id="779880338">
              <w:marLeft w:val="0"/>
              <w:marRight w:val="0"/>
              <w:marTop w:val="0"/>
              <w:marBottom w:val="0"/>
              <w:divBdr>
                <w:top w:val="none" w:sz="0" w:space="0" w:color="auto"/>
                <w:left w:val="none" w:sz="0" w:space="0" w:color="auto"/>
                <w:bottom w:val="none" w:sz="0" w:space="0" w:color="auto"/>
                <w:right w:val="none" w:sz="0" w:space="0" w:color="auto"/>
              </w:divBdr>
            </w:div>
            <w:div w:id="1057818190">
              <w:marLeft w:val="0"/>
              <w:marRight w:val="0"/>
              <w:marTop w:val="0"/>
              <w:marBottom w:val="0"/>
              <w:divBdr>
                <w:top w:val="none" w:sz="0" w:space="0" w:color="auto"/>
                <w:left w:val="none" w:sz="0" w:space="0" w:color="auto"/>
                <w:bottom w:val="none" w:sz="0" w:space="0" w:color="auto"/>
                <w:right w:val="none" w:sz="0" w:space="0" w:color="auto"/>
              </w:divBdr>
            </w:div>
            <w:div w:id="1341156666">
              <w:marLeft w:val="0"/>
              <w:marRight w:val="0"/>
              <w:marTop w:val="0"/>
              <w:marBottom w:val="0"/>
              <w:divBdr>
                <w:top w:val="none" w:sz="0" w:space="0" w:color="auto"/>
                <w:left w:val="none" w:sz="0" w:space="0" w:color="auto"/>
                <w:bottom w:val="none" w:sz="0" w:space="0" w:color="auto"/>
                <w:right w:val="none" w:sz="0" w:space="0" w:color="auto"/>
              </w:divBdr>
            </w:div>
            <w:div w:id="1443762186">
              <w:marLeft w:val="0"/>
              <w:marRight w:val="0"/>
              <w:marTop w:val="0"/>
              <w:marBottom w:val="0"/>
              <w:divBdr>
                <w:top w:val="none" w:sz="0" w:space="0" w:color="auto"/>
                <w:left w:val="none" w:sz="0" w:space="0" w:color="auto"/>
                <w:bottom w:val="none" w:sz="0" w:space="0" w:color="auto"/>
                <w:right w:val="none" w:sz="0" w:space="0" w:color="auto"/>
              </w:divBdr>
            </w:div>
            <w:div w:id="1836259393">
              <w:marLeft w:val="0"/>
              <w:marRight w:val="0"/>
              <w:marTop w:val="0"/>
              <w:marBottom w:val="0"/>
              <w:divBdr>
                <w:top w:val="none" w:sz="0" w:space="0" w:color="auto"/>
                <w:left w:val="none" w:sz="0" w:space="0" w:color="auto"/>
                <w:bottom w:val="none" w:sz="0" w:space="0" w:color="auto"/>
                <w:right w:val="none" w:sz="0" w:space="0" w:color="auto"/>
              </w:divBdr>
            </w:div>
            <w:div w:id="1885828468">
              <w:marLeft w:val="0"/>
              <w:marRight w:val="0"/>
              <w:marTop w:val="0"/>
              <w:marBottom w:val="0"/>
              <w:divBdr>
                <w:top w:val="none" w:sz="0" w:space="0" w:color="auto"/>
                <w:left w:val="none" w:sz="0" w:space="0" w:color="auto"/>
                <w:bottom w:val="none" w:sz="0" w:space="0" w:color="auto"/>
                <w:right w:val="none" w:sz="0" w:space="0" w:color="auto"/>
              </w:divBdr>
            </w:div>
            <w:div w:id="213039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373338">
      <w:bodyDiv w:val="1"/>
      <w:marLeft w:val="0"/>
      <w:marRight w:val="0"/>
      <w:marTop w:val="0"/>
      <w:marBottom w:val="0"/>
      <w:divBdr>
        <w:top w:val="none" w:sz="0" w:space="0" w:color="auto"/>
        <w:left w:val="none" w:sz="0" w:space="0" w:color="auto"/>
        <w:bottom w:val="none" w:sz="0" w:space="0" w:color="auto"/>
        <w:right w:val="none" w:sz="0" w:space="0" w:color="auto"/>
      </w:divBdr>
    </w:div>
    <w:div w:id="2073653586">
      <w:bodyDiv w:val="1"/>
      <w:marLeft w:val="0"/>
      <w:marRight w:val="0"/>
      <w:marTop w:val="0"/>
      <w:marBottom w:val="0"/>
      <w:divBdr>
        <w:top w:val="none" w:sz="0" w:space="0" w:color="auto"/>
        <w:left w:val="none" w:sz="0" w:space="0" w:color="auto"/>
        <w:bottom w:val="none" w:sz="0" w:space="0" w:color="auto"/>
        <w:right w:val="none" w:sz="0" w:space="0" w:color="auto"/>
      </w:divBdr>
      <w:divsChild>
        <w:div w:id="164632454">
          <w:marLeft w:val="0"/>
          <w:marRight w:val="0"/>
          <w:marTop w:val="0"/>
          <w:marBottom w:val="0"/>
          <w:divBdr>
            <w:top w:val="none" w:sz="0" w:space="0" w:color="auto"/>
            <w:left w:val="none" w:sz="0" w:space="0" w:color="auto"/>
            <w:bottom w:val="none" w:sz="0" w:space="0" w:color="auto"/>
            <w:right w:val="none" w:sz="0" w:space="0" w:color="auto"/>
          </w:divBdr>
        </w:div>
        <w:div w:id="600987124">
          <w:marLeft w:val="0"/>
          <w:marRight w:val="0"/>
          <w:marTop w:val="0"/>
          <w:marBottom w:val="0"/>
          <w:divBdr>
            <w:top w:val="none" w:sz="0" w:space="0" w:color="auto"/>
            <w:left w:val="none" w:sz="0" w:space="0" w:color="auto"/>
            <w:bottom w:val="none" w:sz="0" w:space="0" w:color="auto"/>
            <w:right w:val="none" w:sz="0" w:space="0" w:color="auto"/>
          </w:divBdr>
        </w:div>
        <w:div w:id="1024476365">
          <w:marLeft w:val="0"/>
          <w:marRight w:val="0"/>
          <w:marTop w:val="0"/>
          <w:marBottom w:val="0"/>
          <w:divBdr>
            <w:top w:val="none" w:sz="0" w:space="0" w:color="auto"/>
            <w:left w:val="none" w:sz="0" w:space="0" w:color="auto"/>
            <w:bottom w:val="none" w:sz="0" w:space="0" w:color="auto"/>
            <w:right w:val="none" w:sz="0" w:space="0" w:color="auto"/>
          </w:divBdr>
        </w:div>
        <w:div w:id="1173570721">
          <w:marLeft w:val="0"/>
          <w:marRight w:val="0"/>
          <w:marTop w:val="0"/>
          <w:marBottom w:val="0"/>
          <w:divBdr>
            <w:top w:val="none" w:sz="0" w:space="0" w:color="auto"/>
            <w:left w:val="none" w:sz="0" w:space="0" w:color="auto"/>
            <w:bottom w:val="none" w:sz="0" w:space="0" w:color="auto"/>
            <w:right w:val="none" w:sz="0" w:space="0" w:color="auto"/>
          </w:divBdr>
        </w:div>
        <w:div w:id="1611937615">
          <w:marLeft w:val="0"/>
          <w:marRight w:val="0"/>
          <w:marTop w:val="0"/>
          <w:marBottom w:val="0"/>
          <w:divBdr>
            <w:top w:val="none" w:sz="0" w:space="0" w:color="auto"/>
            <w:left w:val="none" w:sz="0" w:space="0" w:color="auto"/>
            <w:bottom w:val="none" w:sz="0" w:space="0" w:color="auto"/>
            <w:right w:val="none" w:sz="0" w:space="0" w:color="auto"/>
          </w:divBdr>
        </w:div>
      </w:divsChild>
    </w:div>
    <w:div w:id="2074427974">
      <w:bodyDiv w:val="1"/>
      <w:marLeft w:val="0"/>
      <w:marRight w:val="0"/>
      <w:marTop w:val="0"/>
      <w:marBottom w:val="0"/>
      <w:divBdr>
        <w:top w:val="none" w:sz="0" w:space="0" w:color="auto"/>
        <w:left w:val="none" w:sz="0" w:space="0" w:color="auto"/>
        <w:bottom w:val="none" w:sz="0" w:space="0" w:color="auto"/>
        <w:right w:val="none" w:sz="0" w:space="0" w:color="auto"/>
      </w:divBdr>
      <w:divsChild>
        <w:div w:id="713847055">
          <w:marLeft w:val="0"/>
          <w:marRight w:val="0"/>
          <w:marTop w:val="0"/>
          <w:marBottom w:val="0"/>
          <w:divBdr>
            <w:top w:val="none" w:sz="0" w:space="0" w:color="auto"/>
            <w:left w:val="none" w:sz="0" w:space="0" w:color="auto"/>
            <w:bottom w:val="none" w:sz="0" w:space="0" w:color="auto"/>
            <w:right w:val="none" w:sz="0" w:space="0" w:color="auto"/>
          </w:divBdr>
        </w:div>
      </w:divsChild>
    </w:div>
    <w:div w:id="2111047573">
      <w:bodyDiv w:val="1"/>
      <w:marLeft w:val="0"/>
      <w:marRight w:val="0"/>
      <w:marTop w:val="0"/>
      <w:marBottom w:val="0"/>
      <w:divBdr>
        <w:top w:val="none" w:sz="0" w:space="0" w:color="auto"/>
        <w:left w:val="none" w:sz="0" w:space="0" w:color="auto"/>
        <w:bottom w:val="none" w:sz="0" w:space="0" w:color="auto"/>
        <w:right w:val="none" w:sz="0" w:space="0" w:color="auto"/>
      </w:divBdr>
    </w:div>
    <w:div w:id="2119913285">
      <w:bodyDiv w:val="1"/>
      <w:marLeft w:val="0"/>
      <w:marRight w:val="0"/>
      <w:marTop w:val="0"/>
      <w:marBottom w:val="0"/>
      <w:divBdr>
        <w:top w:val="none" w:sz="0" w:space="0" w:color="auto"/>
        <w:left w:val="none" w:sz="0" w:space="0" w:color="auto"/>
        <w:bottom w:val="none" w:sz="0" w:space="0" w:color="auto"/>
        <w:right w:val="none" w:sz="0" w:space="0" w:color="auto"/>
      </w:divBdr>
      <w:divsChild>
        <w:div w:id="24332509">
          <w:marLeft w:val="0"/>
          <w:marRight w:val="0"/>
          <w:marTop w:val="0"/>
          <w:marBottom w:val="0"/>
          <w:divBdr>
            <w:top w:val="none" w:sz="0" w:space="0" w:color="auto"/>
            <w:left w:val="none" w:sz="0" w:space="0" w:color="auto"/>
            <w:bottom w:val="none" w:sz="0" w:space="0" w:color="auto"/>
            <w:right w:val="none" w:sz="0" w:space="0" w:color="auto"/>
          </w:divBdr>
        </w:div>
        <w:div w:id="727849991">
          <w:marLeft w:val="0"/>
          <w:marRight w:val="0"/>
          <w:marTop w:val="0"/>
          <w:marBottom w:val="0"/>
          <w:divBdr>
            <w:top w:val="none" w:sz="0" w:space="0" w:color="auto"/>
            <w:left w:val="none" w:sz="0" w:space="0" w:color="auto"/>
            <w:bottom w:val="none" w:sz="0" w:space="0" w:color="auto"/>
            <w:right w:val="none" w:sz="0" w:space="0" w:color="auto"/>
          </w:divBdr>
        </w:div>
        <w:div w:id="1143502446">
          <w:marLeft w:val="0"/>
          <w:marRight w:val="0"/>
          <w:marTop w:val="0"/>
          <w:marBottom w:val="0"/>
          <w:divBdr>
            <w:top w:val="none" w:sz="0" w:space="0" w:color="auto"/>
            <w:left w:val="none" w:sz="0" w:space="0" w:color="auto"/>
            <w:bottom w:val="none" w:sz="0" w:space="0" w:color="auto"/>
            <w:right w:val="none" w:sz="0" w:space="0" w:color="auto"/>
          </w:divBdr>
        </w:div>
        <w:div w:id="1507551071">
          <w:marLeft w:val="0"/>
          <w:marRight w:val="0"/>
          <w:marTop w:val="0"/>
          <w:marBottom w:val="0"/>
          <w:divBdr>
            <w:top w:val="none" w:sz="0" w:space="0" w:color="auto"/>
            <w:left w:val="none" w:sz="0" w:space="0" w:color="auto"/>
            <w:bottom w:val="none" w:sz="0" w:space="0" w:color="auto"/>
            <w:right w:val="none" w:sz="0" w:space="0" w:color="auto"/>
          </w:divBdr>
        </w:div>
      </w:divsChild>
    </w:div>
    <w:div w:id="2125229145">
      <w:bodyDiv w:val="1"/>
      <w:marLeft w:val="0"/>
      <w:marRight w:val="0"/>
      <w:marTop w:val="0"/>
      <w:marBottom w:val="0"/>
      <w:divBdr>
        <w:top w:val="none" w:sz="0" w:space="0" w:color="auto"/>
        <w:left w:val="none" w:sz="0" w:space="0" w:color="auto"/>
        <w:bottom w:val="none" w:sz="0" w:space="0" w:color="auto"/>
        <w:right w:val="none" w:sz="0" w:space="0" w:color="auto"/>
      </w:divBdr>
    </w:div>
    <w:div w:id="212842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svg"/><Relationship Id="rId299" Type="http://schemas.openxmlformats.org/officeDocument/2006/relationships/hyperlink" Target="http://www.dfat.gov.au/sites/default/files/trade-and-investment-glance-2021.pdf" TargetMode="External"/><Relationship Id="rId21" Type="http://schemas.openxmlformats.org/officeDocument/2006/relationships/header" Target="header3.xml"/><Relationship Id="rId63" Type="http://schemas.openxmlformats.org/officeDocument/2006/relationships/image" Target="media/image22.svg"/><Relationship Id="rId159" Type="http://schemas.openxmlformats.org/officeDocument/2006/relationships/header" Target="header33.xml"/><Relationship Id="rId324" Type="http://schemas.openxmlformats.org/officeDocument/2006/relationships/hyperlink" Target="http://www.legislation.gov.au/Details/F2022C00105" TargetMode="External"/><Relationship Id="rId366" Type="http://schemas.openxmlformats.org/officeDocument/2006/relationships/hyperlink" Target="https://www2.nzqa.govt.nz/tertiary/the-code/the-code-for-learners/" TargetMode="External"/><Relationship Id="rId170" Type="http://schemas.openxmlformats.org/officeDocument/2006/relationships/image" Target="media/image83.svg"/><Relationship Id="rId226" Type="http://schemas.openxmlformats.org/officeDocument/2006/relationships/hyperlink" Target="http://www.arc.gov.au/standard-excellence-research-australia-era-and-engagement-and-impact-ei-2018-outcomes" TargetMode="External"/><Relationship Id="rId433" Type="http://schemas.openxmlformats.org/officeDocument/2006/relationships/hyperlink" Target="http://www.education.gov.au/system/files/2023-09/AUA_inter_&#8204;tranche11_246%20&#8204;University%25&#8204;20of%20New%20England.pdf" TargetMode="External"/><Relationship Id="rId268" Type="http://schemas.openxmlformats.org/officeDocument/2006/relationships/hyperlink" Target="http://hdl.voced.edu.au/10707/162333" TargetMode="External"/><Relationship Id="rId32" Type="http://schemas.openxmlformats.org/officeDocument/2006/relationships/image" Target="media/image3.png"/><Relationship Id="rId74" Type="http://schemas.openxmlformats.org/officeDocument/2006/relationships/hyperlink" Target="https://www.education.gov.au/higher-education-statistics/resources/2022-section-11-equity-groups" TargetMode="External"/><Relationship Id="rId128" Type="http://schemas.openxmlformats.org/officeDocument/2006/relationships/image" Target="media/image63.png"/><Relationship Id="rId335" Type="http://schemas.openxmlformats.org/officeDocument/2006/relationships/hyperlink" Target="http://www.jobsandskills.gov.au/data/skills-priority-list" TargetMode="External"/><Relationship Id="rId377" Type="http://schemas.openxmlformats.org/officeDocument/2006/relationships/hyperlink" Target="http://www.chiefscientist.gov.au/sites/default/files/2020-09/mapping_university_prerequisites_in_australia.pdf" TargetMode="External"/><Relationship Id="rId5" Type="http://schemas.openxmlformats.org/officeDocument/2006/relationships/numbering" Target="numbering.xml"/><Relationship Id="rId181" Type="http://schemas.openxmlformats.org/officeDocument/2006/relationships/header" Target="header44.xml"/><Relationship Id="rId237" Type="http://schemas.openxmlformats.org/officeDocument/2006/relationships/hyperlink" Target="http://www.ncsehe.edu.au/publications/careers-study-information-low-ses-students/" TargetMode="External"/><Relationship Id="rId402" Type="http://schemas.openxmlformats.org/officeDocument/2006/relationships/hyperlink" Target="http://www.timeshighereducation.com/news/australian-universities-cap-international-student-numbers" TargetMode="External"/><Relationship Id="rId279" Type="http://schemas.openxmlformats.org/officeDocument/2006/relationships/hyperlink" Target="http://www.education.gov.au/higher-education-statistics/staff-data/selected-higher-education-statistics-2022-staff-data" TargetMode="External"/><Relationship Id="rId444" Type="http://schemas.openxmlformats.org/officeDocument/2006/relationships/header" Target="header58.xml"/><Relationship Id="rId43" Type="http://schemas.openxmlformats.org/officeDocument/2006/relationships/image" Target="media/image9.png"/><Relationship Id="rId139" Type="http://schemas.openxmlformats.org/officeDocument/2006/relationships/header" Target="header24.xml"/><Relationship Id="rId290" Type="http://schemas.openxmlformats.org/officeDocument/2006/relationships/hyperlink" Target="http://www.education.gov.au/higher-education-statistics/staff-data/selected-higher-education-statistics-2022-staff-data" TargetMode="External"/><Relationship Id="rId304" Type="http://schemas.openxmlformats.org/officeDocument/2006/relationships/hyperlink" Target="http://www.industry.gov.au/publications/science-research-and-innovation-sri-budget-tables-2022-23" TargetMode="External"/><Relationship Id="rId346" Type="http://schemas.openxmlformats.org/officeDocument/2006/relationships/hyperlink" Target="http://dx.doi.org/10.1080/13603116.2015.1079273" TargetMode="External"/><Relationship Id="rId388" Type="http://schemas.openxmlformats.org/officeDocument/2006/relationships/hyperlink" Target="http://www.pc.gov.au/inquiries/completed/school-agreement/report" TargetMode="External"/><Relationship Id="rId85" Type="http://schemas.openxmlformats.org/officeDocument/2006/relationships/image" Target="media/image34.svg"/><Relationship Id="rId150" Type="http://schemas.openxmlformats.org/officeDocument/2006/relationships/header" Target="header27.xml"/><Relationship Id="rId192" Type="http://schemas.openxmlformats.org/officeDocument/2006/relationships/header" Target="header55.xml"/><Relationship Id="rId206" Type="http://schemas.openxmlformats.org/officeDocument/2006/relationships/hyperlink" Target="http://www.abs.gov.au/statistics/economy/price-indexes-and-inflation/consumer-price-index-australia/latest-release" TargetMode="External"/><Relationship Id="rId413" Type="http://schemas.openxmlformats.org/officeDocument/2006/relationships/hyperlink" Target="https://education.nsw.gov.au/about-us/strategies-and-reports/our-reports-and-reviews/review-on-the-nsw-vocational-education-and-training-sector" TargetMode="External"/><Relationship Id="rId248" Type="http://schemas.openxmlformats.org/officeDocument/2006/relationships/hyperlink" Target="http://www.population.gov.au/data-and-forecasts/projections/budget-2023-24-population-projections-australia-2022-23-2033-34" TargetMode="External"/><Relationship Id="rId12" Type="http://schemas.openxmlformats.org/officeDocument/2006/relationships/image" Target="media/image2.jpeg"/><Relationship Id="rId108" Type="http://schemas.openxmlformats.org/officeDocument/2006/relationships/image" Target="media/image49.png"/><Relationship Id="rId315" Type="http://schemas.openxmlformats.org/officeDocument/2006/relationships/hyperlink" Target="https://parlinfo.aph.gov.au/parlInfo/download/legislation/ems/r6390_ems_53e96fa8-8d78-471d-b6b5-266e4e93871a/upload_pdf/716910.pdf;fileType=application%2Fpdf" TargetMode="External"/><Relationship Id="rId357" Type="http://schemas.openxmlformats.org/officeDocument/2006/relationships/hyperlink" Target="http://www.education.gov.au/system/files/documents/submission-file/2023-02/AUA_priorities_National%20Union%20of%20Students.pdf" TargetMode="External"/><Relationship Id="rId54" Type="http://schemas.openxmlformats.org/officeDocument/2006/relationships/image" Target="media/image15.png"/><Relationship Id="rId96" Type="http://schemas.openxmlformats.org/officeDocument/2006/relationships/footer" Target="footer8.xml"/><Relationship Id="rId161" Type="http://schemas.openxmlformats.org/officeDocument/2006/relationships/header" Target="header35.xml"/><Relationship Id="rId217" Type="http://schemas.openxmlformats.org/officeDocument/2006/relationships/hyperlink" Target="http://www.education.gov.au/system/files/2023-09/AUA_inter_tranche7_157%20Australian%20Industry%20Group.pdf" TargetMode="External"/><Relationship Id="rId399" Type="http://schemas.openxmlformats.org/officeDocument/2006/relationships/hyperlink" Target="http://www.rba.gov.au/education/resources/snapshots/economy-composition-snapshot/" TargetMode="External"/><Relationship Id="rId259" Type="http://schemas.openxmlformats.org/officeDocument/2006/relationships/hyperlink" Target="https://grattan.edu.au/wp-content/uploads/2022/12/Australias-migration-opportunity-how-rethinking-skilled-migration-can-solve-some-of-our-biggest-problems.pdf" TargetMode="External"/><Relationship Id="rId424" Type="http://schemas.openxmlformats.org/officeDocument/2006/relationships/hyperlink" Target="http://www.education.gov.au/australian-universities-accord/resources/think-change-resolve-tertiary-education-innovation-report" TargetMode="External"/><Relationship Id="rId23" Type="http://schemas.openxmlformats.org/officeDocument/2006/relationships/header" Target="header4.xml"/><Relationship Id="rId119" Type="http://schemas.openxmlformats.org/officeDocument/2006/relationships/image" Target="media/image58.svg"/><Relationship Id="rId270" Type="http://schemas.openxmlformats.org/officeDocument/2006/relationships/hyperlink" Target="http://www.deloitte.com/au/en/services/economics/perspectives/soft-skills-business-success.html" TargetMode="External"/><Relationship Id="rId326" Type="http://schemas.openxmlformats.org/officeDocument/2006/relationships/hyperlink" Target="http://www.legislation.gov.au/Details/C2022C00005" TargetMode="External"/><Relationship Id="rId65" Type="http://schemas.openxmlformats.org/officeDocument/2006/relationships/image" Target="media/image23.png"/><Relationship Id="rId130" Type="http://schemas.openxmlformats.org/officeDocument/2006/relationships/hyperlink" Target="https://www.abs.gov.au/statistics/industry/technology-and-innovation/research-and-experimental-development-businesses-australia/2021-22" TargetMode="External"/><Relationship Id="rId368" Type="http://schemas.openxmlformats.org/officeDocument/2006/relationships/hyperlink" Target="https://apo.org.au/sites/default/files/resource-files/2008-08/apo-nid3465.pdf" TargetMode="External"/><Relationship Id="rId172" Type="http://schemas.openxmlformats.org/officeDocument/2006/relationships/image" Target="media/image84.png"/><Relationship Id="rId228" Type="http://schemas.openxmlformats.org/officeDocument/2006/relationships/hyperlink" Target="https://dataportal.arc.gov.au/ERA/NationalReport/2018/" TargetMode="External"/><Relationship Id="rId435" Type="http://schemas.openxmlformats.org/officeDocument/2006/relationships/hyperlink" Target="https://doi.org/10.47381/aijre.v28i1.167" TargetMode="External"/><Relationship Id="rId281" Type="http://schemas.openxmlformats.org/officeDocument/2006/relationships/hyperlink" Target="https://www.education.gov.au/national-industry-phd-program/funding-outcomes" TargetMode="External"/><Relationship Id="rId337" Type="http://schemas.openxmlformats.org/officeDocument/2006/relationships/hyperlink" Target="http://www.jobsandskills.gov.au/data/employment-projections" TargetMode="External"/><Relationship Id="rId34" Type="http://schemas.openxmlformats.org/officeDocument/2006/relationships/hyperlink" Target="http://www.abs.gov.au/AUSSTATS/abs@.nsf/second+level+view?ReadForm&amp;prodno=1301.0&amp;viewtitle=&#8204;Year&#8204;%25&#8204;20&#8204;Book&#8204;%20Australia~2012~Latest~24/05/2012&amp;&amp;tabname=Past%20Future%20Issues&amp;prodno=1301.0&amp;issue=2012&amp;&#8204;num&#8204;=&#8204;&amp;view=&amp;" TargetMode="External"/><Relationship Id="rId76" Type="http://schemas.openxmlformats.org/officeDocument/2006/relationships/image" Target="media/image28.svg"/><Relationship Id="rId141" Type="http://schemas.openxmlformats.org/officeDocument/2006/relationships/header" Target="header26.xml"/><Relationship Id="rId379" Type="http://schemas.openxmlformats.org/officeDocument/2006/relationships/hyperlink" Target="http://www.homeaffairs.gov.au/reports-and-pubs/files/review-migration-system-final-report.pdf" TargetMode="External"/><Relationship Id="rId7" Type="http://schemas.openxmlformats.org/officeDocument/2006/relationships/settings" Target="settings.xml"/><Relationship Id="rId183" Type="http://schemas.openxmlformats.org/officeDocument/2006/relationships/header" Target="header46.xml"/><Relationship Id="rId239" Type="http://schemas.openxmlformats.org/officeDocument/2006/relationships/hyperlink" Target="https://csrm.cass.anu.edu.au/sites/default/files/docs/2023/8/Attitudes_towards_education_in_Australia_-_For_web.pdf" TargetMode="External"/><Relationship Id="rId390" Type="http://schemas.openxmlformats.org/officeDocument/2006/relationships/hyperlink" Target="http://www.qilt.edu.au/surveys/student-experience-survey-(ses)" TargetMode="External"/><Relationship Id="rId404" Type="http://schemas.openxmlformats.org/officeDocument/2006/relationships/hyperlink" Target="http://www.racgp.org.au/getmedia/80c8bdc9-8886-4055-8a8d-ea793b088e5a/Health-of-the-Nation.pdf.aspx" TargetMode="External"/><Relationship Id="rId446" Type="http://schemas.openxmlformats.org/officeDocument/2006/relationships/header" Target="header60.xml"/><Relationship Id="rId250" Type="http://schemas.openxmlformats.org/officeDocument/2006/relationships/hyperlink" Target="http://www.theaustralian.com.au/commentary/universities-should-pay-levy-on-foreign-student-industry&#8204;/&#8204;news-story/57c14ca00cd248774e24b51f1c8ad80d" TargetMode="External"/><Relationship Id="rId292" Type="http://schemas.openxmlformats.org/officeDocument/2006/relationships/hyperlink" Target="http://www.education.gov.au/international-education-data-and-research/international-student-monthly-summary-and-data-tables" TargetMode="External"/><Relationship Id="rId306" Type="http://schemas.openxmlformats.org/officeDocument/2006/relationships/hyperlink" Target="http://www.dpac.tas.gov.au/divisions/policy/partnership_with_the_university_of_tasmania" TargetMode="External"/><Relationship Id="rId45" Type="http://schemas.openxmlformats.org/officeDocument/2006/relationships/hyperlink" Target="https://www.abs.gov.au/statistics/people/population/population-census/latest-release" TargetMode="External"/><Relationship Id="rId87" Type="http://schemas.openxmlformats.org/officeDocument/2006/relationships/image" Target="media/image36.svg"/><Relationship Id="rId110" Type="http://schemas.openxmlformats.org/officeDocument/2006/relationships/image" Target="media/image51.png"/><Relationship Id="rId348" Type="http://schemas.openxmlformats.org/officeDocument/2006/relationships/hyperlink" Target="https://openresearch-repository.anu.edu.au/handle/1885/209175" TargetMode="External"/><Relationship Id="rId152" Type="http://schemas.openxmlformats.org/officeDocument/2006/relationships/image" Target="media/image77.png"/><Relationship Id="rId194" Type="http://schemas.openxmlformats.org/officeDocument/2006/relationships/header" Target="header57.xml"/><Relationship Id="rId208" Type="http://schemas.openxmlformats.org/officeDocument/2006/relationships/hyperlink" Target="https://www.abs.gov.au/statistics/people/population/regional-population/2021-22" TargetMode="External"/><Relationship Id="rId415" Type="http://schemas.openxmlformats.org/officeDocument/2006/relationships/hyperlink" Target="https://doi.org/10.5204/ssj.2313" TargetMode="External"/><Relationship Id="rId261" Type="http://schemas.openxmlformats.org/officeDocument/2006/relationships/hyperlink" Target="https://adb.anu.edu.au/biography/mills-richard-charles-7593" TargetMode="External"/><Relationship Id="rId14" Type="http://schemas.openxmlformats.org/officeDocument/2006/relationships/hyperlink" Target="https://creativecommons.org/licenses/by/4.0/legalcode" TargetMode="External"/><Relationship Id="rId56" Type="http://schemas.openxmlformats.org/officeDocument/2006/relationships/image" Target="media/image17.png"/><Relationship Id="rId317" Type="http://schemas.openxmlformats.org/officeDocument/2006/relationships/hyperlink" Target="https://parlinfo.aph.gov.au/parlInfo/download/legislation/ems/r6584_ems_79c2b067-a1b7-4c5d-949a-73e246023baa/upload_pdf/746432.pdf;fileType=application%2Fpdf" TargetMode="External"/><Relationship Id="rId359" Type="http://schemas.openxmlformats.org/officeDocument/2006/relationships/hyperlink" Target="https://www2.nzqa.govt.nz/tertiary/approval-accreditation-and-registration/micro-credentials/" TargetMode="External"/><Relationship Id="rId98" Type="http://schemas.openxmlformats.org/officeDocument/2006/relationships/footer" Target="footer10.xml"/><Relationship Id="rId121" Type="http://schemas.openxmlformats.org/officeDocument/2006/relationships/image" Target="media/image60.svg"/><Relationship Id="rId163" Type="http://schemas.openxmlformats.org/officeDocument/2006/relationships/header" Target="header37.xml"/><Relationship Id="rId219" Type="http://schemas.openxmlformats.org/officeDocument/2006/relationships/hyperlink" Target="http://www.aitsl.edu.au/research/australian-teacher-workforce-data/atwdreports/national-trends-teacher-workforce" TargetMode="External"/><Relationship Id="rId370" Type="http://schemas.openxmlformats.org/officeDocument/2006/relationships/hyperlink" Target="http://www.oecd-ilibrary.org/education/data/education-at-a-glance/educational-attainment-and-labour-force-status_889e8641-en" TargetMode="External"/><Relationship Id="rId426" Type="http://schemas.openxmlformats.org/officeDocument/2006/relationships/hyperlink" Target="https://universities&#8204;australia.edu.au/wp-content/uploads/2022/09/220207-HE-Facts-and-Figures-2022_2.0.pdf" TargetMode="External"/><Relationship Id="rId230" Type="http://schemas.openxmlformats.org/officeDocument/2006/relationships/hyperlink" Target="http://www.ava.com.au/news/ava-federal-government-pre-budget--submission-may-2023-budget/" TargetMode="External"/><Relationship Id="rId25" Type="http://schemas.openxmlformats.org/officeDocument/2006/relationships/footer" Target="footer6.xml"/><Relationship Id="rId67" Type="http://schemas.openxmlformats.org/officeDocument/2006/relationships/hyperlink" Target="https://www.jobsandskills.gov.au/data/employment-projections" TargetMode="External"/><Relationship Id="rId272" Type="http://schemas.openxmlformats.org/officeDocument/2006/relationships/hyperlink" Target="http://dx.doi.org/10.2139/ssrn.4573321" TargetMode="External"/><Relationship Id="rId328" Type="http://schemas.openxmlformats.org/officeDocument/2006/relationships/hyperlink" Target="http://www.vu.edu.au/mitchell-institute/education/tertiary-education/needs-based-funding-lessons-from-the-school-sector" TargetMode="External"/><Relationship Id="rId132" Type="http://schemas.openxmlformats.org/officeDocument/2006/relationships/image" Target="media/image66.svg"/><Relationship Id="rId174" Type="http://schemas.openxmlformats.org/officeDocument/2006/relationships/header" Target="header40.xml"/><Relationship Id="rId381" Type="http://schemas.openxmlformats.org/officeDocument/2006/relationships/hyperlink" Target="https://doi.org/10.1093/reseval/rvt021" TargetMode="External"/><Relationship Id="rId241" Type="http://schemas.openxmlformats.org/officeDocument/2006/relationships/hyperlink" Target="https://www.education.gov.au/system/files/2023-09/AUA_inter_tranche8_168%20Business%20Council%20of%20Australia.pdf" TargetMode="External"/><Relationship Id="rId437" Type="http://schemas.openxmlformats.org/officeDocument/2006/relationships/hyperlink" Target="https://doi.org/10.22605/RRH1908" TargetMode="External"/><Relationship Id="rId36" Type="http://schemas.openxmlformats.org/officeDocument/2006/relationships/hyperlink" Target="http://www.abs.gov.au/statistics/people/population/national-state-and-territory-population/jun-2022" TargetMode="External"/><Relationship Id="rId283" Type="http://schemas.openxmlformats.org/officeDocument/2006/relationships/hyperlink" Target="http://www.education.gov.au/regional-university-study-hubs/student-testimonials" TargetMode="External"/><Relationship Id="rId339" Type="http://schemas.openxmlformats.org/officeDocument/2006/relationships/hyperlink" Target="http://www.jobsandskills.gov.au/publications/towards-national-jobs-and-skills-roadmap" TargetMode="External"/><Relationship Id="rId78" Type="http://schemas.openxmlformats.org/officeDocument/2006/relationships/hyperlink" Target="https://www.abs.gov.au/statistics/people/people-and-communities" TargetMode="External"/><Relationship Id="rId101" Type="http://schemas.openxmlformats.org/officeDocument/2006/relationships/image" Target="media/image43.png"/><Relationship Id="rId143" Type="http://schemas.openxmlformats.org/officeDocument/2006/relationships/image" Target="media/image72.svg"/><Relationship Id="rId185" Type="http://schemas.openxmlformats.org/officeDocument/2006/relationships/header" Target="header48.xml"/><Relationship Id="rId350" Type="http://schemas.openxmlformats.org/officeDocument/2006/relationships/hyperlink" Target="https://online.monash.edu/support/" TargetMode="External"/><Relationship Id="rId406" Type="http://schemas.openxmlformats.org/officeDocument/2006/relationships/hyperlink" Target="http://www.theaustralian.com.au/inquirer/the-great-skills-shift-everyones-an-expert-now/news-story/8ffef73878c4f308dde2457837e6c5de" TargetMode="External"/><Relationship Id="rId9" Type="http://schemas.openxmlformats.org/officeDocument/2006/relationships/footnotes" Target="footnotes.xml"/><Relationship Id="rId210" Type="http://schemas.openxmlformats.org/officeDocument/2006/relationships/hyperlink" Target="https://www.abs.gov.au/statistics/industry/technology-and-innovation/research-and-experimental-development-businesses-australia/latest-release" TargetMode="External"/><Relationship Id="rId392" Type="http://schemas.openxmlformats.org/officeDocument/2006/relationships/hyperlink" Target="http://www.qilt.edu.au/" TargetMode="External"/><Relationship Id="rId448" Type="http://schemas.openxmlformats.org/officeDocument/2006/relationships/theme" Target="theme/theme1.xml"/><Relationship Id="rId252" Type="http://schemas.openxmlformats.org/officeDocument/2006/relationships/hyperlink" Target="https://study.csu.edu.au/career-area/education-teaching/teachers-aide" TargetMode="External"/><Relationship Id="rId294" Type="http://schemas.openxmlformats.org/officeDocument/2006/relationships/hyperlink" Target="http://www.education.gov.au/higher-education-publications/resources/national-microcredentials-framework" TargetMode="External"/><Relationship Id="rId308" Type="http://schemas.openxmlformats.org/officeDocument/2006/relationships/hyperlink" Target="http://www.dss.gov.au/groups-councils-and-committees-economic-inclusion-advisory-committee/interim-economic-inclusion-advisory-committee-2023-24-report" TargetMode="External"/><Relationship Id="rId47" Type="http://schemas.openxmlformats.org/officeDocument/2006/relationships/hyperlink" Target="https://population.gov.au/data-and-forecasts/projections/budget-2023-24-population-projections-australia-2022-23-2033-34" TargetMode="External"/><Relationship Id="rId89" Type="http://schemas.openxmlformats.org/officeDocument/2006/relationships/image" Target="media/image38.svg"/><Relationship Id="rId112" Type="http://schemas.openxmlformats.org/officeDocument/2006/relationships/image" Target="media/image53.png"/><Relationship Id="rId154" Type="http://schemas.openxmlformats.org/officeDocument/2006/relationships/image" Target="media/image79.svg"/><Relationship Id="rId361" Type="http://schemas.openxmlformats.org/officeDocument/2006/relationships/hyperlink" Target="https://csrm.cass.anu.edu.au/research/publications/mapping-australian-higher-education-2023" TargetMode="External"/><Relationship Id="rId196" Type="http://schemas.openxmlformats.org/officeDocument/2006/relationships/hyperlink" Target="https://advance-he.ac.uk/knowledge-hub/professional-standards-framework-teaching-and-supporting-learning-higher-education-0" TargetMode="External"/><Relationship Id="rId417" Type="http://schemas.openxmlformats.org/officeDocument/2006/relationships/hyperlink" Target="https://doi.org/10.1080/07294360.2021.1990222" TargetMode="External"/><Relationship Id="rId16" Type="http://schemas.openxmlformats.org/officeDocument/2006/relationships/footer" Target="footer1.xml"/><Relationship Id="rId221" Type="http://schemas.openxmlformats.org/officeDocument/2006/relationships/hyperlink" Target="https://www.aqf.edu.au/about/what-aqf" TargetMode="External"/><Relationship Id="rId263" Type="http://schemas.openxmlformats.org/officeDocument/2006/relationships/hyperlink" Target="http://www.abs.gov.au/AUSSTATS/abs@.nsf/DetailsPage/1301.01946-47?OpenDocument" TargetMode="External"/><Relationship Id="rId319" Type="http://schemas.openxmlformats.org/officeDocument/2006/relationships/hyperlink" Target="https://go8.edu.au/wp-content/uploads/2023/09/Go8-Policy-Brief-Basic-Research.pdf" TargetMode="External"/><Relationship Id="rId58" Type="http://schemas.openxmlformats.org/officeDocument/2006/relationships/hyperlink" Target="https://www.education.gov.au/higher-education-statistics/resources/2022-section-11-equity-groups" TargetMode="External"/><Relationship Id="rId123" Type="http://schemas.openxmlformats.org/officeDocument/2006/relationships/hyperlink" Target="https://www.abs.gov.au/statistics/industry/technology-and-innovation/research-and-experimental-development-businesses-australia/latest-release" TargetMode="External"/><Relationship Id="rId330" Type="http://schemas.openxmlformats.org/officeDocument/2006/relationships/hyperlink" Target="http://www.iteca.edu.au/state-of-sector" TargetMode="External"/><Relationship Id="rId165" Type="http://schemas.openxmlformats.org/officeDocument/2006/relationships/header" Target="header39.xml"/><Relationship Id="rId372" Type="http://schemas.openxmlformats.org/officeDocument/2006/relationships/hyperlink" Target="https://data.oecd.org/rd/gross-domestic-spending-on-r-d.htm" TargetMode="External"/><Relationship Id="rId428" Type="http://schemas.openxmlformats.org/officeDocument/2006/relationships/hyperlink" Target="https://universitiesaustralia.edu.au/wp-content/uploads/2022/12/UA22005-Accord-Submission-FA.pdf" TargetMode="External"/><Relationship Id="rId232" Type="http://schemas.openxmlformats.org/officeDocument/2006/relationships/hyperlink" Target="https://www.voced.edu.au/content/ngv%3A96397" TargetMode="External"/><Relationship Id="rId274" Type="http://schemas.openxmlformats.org/officeDocument/2006/relationships/hyperlink" Target="http://www.energy.gov.au/government-priorities/australias-energy-strategies-and-frameworks/powering-australia" TargetMode="External"/><Relationship Id="rId27" Type="http://schemas.openxmlformats.org/officeDocument/2006/relationships/header" Target="header7.xml"/><Relationship Id="rId69" Type="http://schemas.openxmlformats.org/officeDocument/2006/relationships/header" Target="header15.xml"/><Relationship Id="rId134" Type="http://schemas.openxmlformats.org/officeDocument/2006/relationships/image" Target="media/image67.png"/><Relationship Id="rId80" Type="http://schemas.openxmlformats.org/officeDocument/2006/relationships/image" Target="media/image29.png"/><Relationship Id="rId176" Type="http://schemas.openxmlformats.org/officeDocument/2006/relationships/footer" Target="footer11.xml"/><Relationship Id="rId341" Type="http://schemas.openxmlformats.org/officeDocument/2006/relationships/hyperlink" Target="http://www.education.gov.au/higher-education-reviews-and-consultations/resources/review-demand-driven-funding-system-report" TargetMode="External"/><Relationship Id="rId383" Type="http://schemas.openxmlformats.org/officeDocument/2006/relationships/hyperlink" Target="http://www.pc.gov.au/inquiries/completed/productivity-review/report/productivity-review.pdf" TargetMode="External"/><Relationship Id="rId439" Type="http://schemas.openxmlformats.org/officeDocument/2006/relationships/hyperlink" Target="http://www.education.gov.au/australian-universities-accord/consultations/australian-universities-accord-panel-discussion-paper-consultation/submission/16041" TargetMode="External"/><Relationship Id="rId201" Type="http://schemas.openxmlformats.org/officeDocument/2006/relationships/hyperlink" Target="https://www.abs.gov.au/statistics/economy/national-accounts/australian-national-accounts-national-income-expenditure-and-product/jun-2023" TargetMode="External"/><Relationship Id="rId243" Type="http://schemas.openxmlformats.org/officeDocument/2006/relationships/hyperlink" Target="http://www.eas.caltech.edu/about/strategic-plan" TargetMode="External"/><Relationship Id="rId285" Type="http://schemas.openxmlformats.org/officeDocument/2006/relationships/hyperlink" Target="http://www.education.gov.au/australian-universities-accord/resources/draft-action-plan-addressing-genderbased-violence-higher-education" TargetMode="External"/><Relationship Id="rId450" Type="http://schemas.microsoft.com/office/2020/10/relationships/intelligence" Target="intelligence2.xml"/><Relationship Id="rId38" Type="http://schemas.openxmlformats.org/officeDocument/2006/relationships/header" Target="header13.xml"/><Relationship Id="rId103" Type="http://schemas.openxmlformats.org/officeDocument/2006/relationships/image" Target="media/image45.png"/><Relationship Id="rId310" Type="http://schemas.openxmlformats.org/officeDocument/2006/relationships/hyperlink" Target="http://www.aihw.gov.au/reports/australias-health/profile-of-australias-population" TargetMode="External"/><Relationship Id="rId91" Type="http://schemas.openxmlformats.org/officeDocument/2006/relationships/header" Target="header18.xml"/><Relationship Id="rId145" Type="http://schemas.openxmlformats.org/officeDocument/2006/relationships/image" Target="media/image73.png"/><Relationship Id="rId187" Type="http://schemas.openxmlformats.org/officeDocument/2006/relationships/header" Target="header50.xml"/><Relationship Id="rId352" Type="http://schemas.openxmlformats.org/officeDocument/2006/relationships/hyperlink" Target="http://www.education.gov.au/access-and-participation/resources/national-regional-rural-and-remote-tertiary-education-strategy-final-report" TargetMode="External"/><Relationship Id="rId394" Type="http://schemas.openxmlformats.org/officeDocument/2006/relationships/hyperlink" Target="http://www.qilt.edu.au/surveys/graduate-outcomes-survey-(gos)" TargetMode="External"/><Relationship Id="rId408" Type="http://schemas.openxmlformats.org/officeDocument/2006/relationships/hyperlink" Target="http://www.scival.com/collaboration/collabMetrics?uri=Country/36" TargetMode="External"/><Relationship Id="rId212" Type="http://schemas.openxmlformats.org/officeDocument/2006/relationships/hyperlink" Target="http://www.abs.gov.au/statistics/industry/technology-and-innovation/research-and-experimental-development-higher-education-organisations-australia/latest-release" TargetMode="External"/><Relationship Id="rId254" Type="http://schemas.openxmlformats.org/officeDocument/2006/relationships/hyperlink" Target="https://doi.org/10.5281/zenodo.8362576" TargetMode="External"/><Relationship Id="rId49" Type="http://schemas.openxmlformats.org/officeDocument/2006/relationships/image" Target="media/image12.svg"/><Relationship Id="rId114" Type="http://schemas.openxmlformats.org/officeDocument/2006/relationships/header" Target="header21.xml"/><Relationship Id="rId296" Type="http://schemas.openxmlformats.org/officeDocument/2006/relationships/hyperlink" Target="http://www.education.gov.au/higher-education-statistics/resources/2022-section-11-equity-groups" TargetMode="External"/><Relationship Id="rId60" Type="http://schemas.openxmlformats.org/officeDocument/2006/relationships/image" Target="media/image20.svg"/><Relationship Id="rId156" Type="http://schemas.openxmlformats.org/officeDocument/2006/relationships/header" Target="header30.xml"/><Relationship Id="rId198" Type="http://schemas.openxmlformats.org/officeDocument/2006/relationships/hyperlink" Target="http://www.ncsehe.edu.au/wp-content/uploads/2022/11/2022-NCSEHE-Austin-Final.pdf" TargetMode="External"/><Relationship Id="rId321" Type="http://schemas.openxmlformats.org/officeDocument/2006/relationships/hyperlink" Target="https://atlas.cid.harvard.edu/rankings" TargetMode="External"/><Relationship Id="rId363" Type="http://schemas.openxmlformats.org/officeDocument/2006/relationships/hyperlink" Target="http://www.education.gov.au/australian-universities-accord/resources/australian-universities-accord-discussion-paper-submission-analysis" TargetMode="External"/><Relationship Id="rId419" Type="http://schemas.openxmlformats.org/officeDocument/2006/relationships/hyperlink" Target="http://www.teqsa.gov.au/guides-resources/resources/guidance-notes/guidance-note-nested-courses-study" TargetMode="External"/><Relationship Id="rId223" Type="http://schemas.openxmlformats.org/officeDocument/2006/relationships/hyperlink" Target="http://www.arc.gov.au/sites/default/files/era_ei_ac_report.pdf" TargetMode="External"/><Relationship Id="rId430" Type="http://schemas.openxmlformats.org/officeDocument/2006/relationships/hyperlink" Target="https://ucx.canberra.edu.au/initiatives/ucx-food-pantry.html" TargetMode="External"/><Relationship Id="rId18" Type="http://schemas.openxmlformats.org/officeDocument/2006/relationships/footer" Target="footer3.xml"/><Relationship Id="rId265" Type="http://schemas.openxmlformats.org/officeDocument/2006/relationships/hyperlink" Target="https://doi.org/10.1007/s10734-021-00759-8" TargetMode="External"/><Relationship Id="rId50" Type="http://schemas.openxmlformats.org/officeDocument/2006/relationships/hyperlink" Target="https://www.abs.gov.au/statistics/people/population/population-projections-australia/2022-base-2071" TargetMode="External"/><Relationship Id="rId104" Type="http://schemas.openxmlformats.org/officeDocument/2006/relationships/image" Target="media/image46.svg"/><Relationship Id="rId125" Type="http://schemas.openxmlformats.org/officeDocument/2006/relationships/image" Target="media/image61.png"/><Relationship Id="rId146" Type="http://schemas.openxmlformats.org/officeDocument/2006/relationships/image" Target="media/image74.svg"/><Relationship Id="rId167" Type="http://schemas.openxmlformats.org/officeDocument/2006/relationships/image" Target="media/image81.svg"/><Relationship Id="rId188" Type="http://schemas.openxmlformats.org/officeDocument/2006/relationships/header" Target="header51.xml"/><Relationship Id="rId311" Type="http://schemas.openxmlformats.org/officeDocument/2006/relationships/hyperlink" Target="https://treasury.gov.au/employment-whitepaper/final-report" TargetMode="External"/><Relationship Id="rId332" Type="http://schemas.openxmlformats.org/officeDocument/2006/relationships/hyperlink" Target="https://espace.library.uq.edu.au/view/UQ:bd8a044/&#8204;Review&#8204;_&#8204;of&#8204;_&#8204;Equity_Groups_Final_Report.pdf?dsi_version=b288c45b247e4dbcd7bf879e09724b9c" TargetMode="External"/><Relationship Id="rId353" Type="http://schemas.openxmlformats.org/officeDocument/2006/relationships/hyperlink" Target="https://www.education.gov.au/australian-universities-accord&#8204;/&#8204;consultations&#8204;/australian-universities-accord-panel-discussion-paper-consultation&#8204;/&#8204;submission&#8204;/&#8204;15916" TargetMode="External"/><Relationship Id="rId374" Type="http://schemas.openxmlformats.org/officeDocument/2006/relationships/hyperlink" Target="https://doi.org/10.1787/e08803ce-en" TargetMode="External"/><Relationship Id="rId395" Type="http://schemas.openxmlformats.org/officeDocument/2006/relationships/hyperlink" Target="https://doi.org/10.5204/ssj.v10i1.923" TargetMode="External"/><Relationship Id="rId409" Type="http://schemas.openxmlformats.org/officeDocument/2006/relationships/hyperlink" Target="https://doi.org/10.5694/mja2.51476" TargetMode="External"/><Relationship Id="rId71" Type="http://schemas.openxmlformats.org/officeDocument/2006/relationships/header" Target="header16.xml"/><Relationship Id="rId92" Type="http://schemas.openxmlformats.org/officeDocument/2006/relationships/image" Target="media/image39.png"/><Relationship Id="rId213" Type="http://schemas.openxmlformats.org/officeDocument/2006/relationships/hyperlink" Target="http://www.education.gov.au/system/files/2023-09/AUA_inter_tranche9a_192%20Australian%20Chamber%20of%20Commerce%20and%20Industry.pdf" TargetMode="External"/><Relationship Id="rId234" Type="http://schemas.openxmlformats.org/officeDocument/2006/relationships/hyperlink" Target="http://www.batchelor.edu.au/portfolio/advanced-diploma-of-education-success/" TargetMode="External"/><Relationship Id="rId420" Type="http://schemas.openxmlformats.org/officeDocument/2006/relationships/hyperlink" Target="http://www.teqsa.gov.au/national-register" TargetMode="External"/><Relationship Id="rId2" Type="http://schemas.openxmlformats.org/officeDocument/2006/relationships/customXml" Target="../customXml/item2.xml"/><Relationship Id="rId29" Type="http://schemas.openxmlformats.org/officeDocument/2006/relationships/header" Target="header9.xml"/><Relationship Id="rId255" Type="http://schemas.openxmlformats.org/officeDocument/2006/relationships/hyperlink" Target="http://www.aap.com.au/aapreleases/cision20231115ae68209/" TargetMode="External"/><Relationship Id="rId276" Type="http://schemas.openxmlformats.org/officeDocument/2006/relationships/hyperlink" Target="http://www.microcredseeker.edu.au/about" TargetMode="External"/><Relationship Id="rId297" Type="http://schemas.openxmlformats.org/officeDocument/2006/relationships/hyperlink" Target="http://www.yourcareer.gov.au/learn-and-train/myskills" TargetMode="External"/><Relationship Id="rId441" Type="http://schemas.openxmlformats.org/officeDocument/2006/relationships/hyperlink" Target="http://www.wipo.int/global_innovation_index/en/" TargetMode="External"/><Relationship Id="rId40" Type="http://schemas.openxmlformats.org/officeDocument/2006/relationships/image" Target="media/image6.svg"/><Relationship Id="rId115" Type="http://schemas.openxmlformats.org/officeDocument/2006/relationships/header" Target="header22.xml"/><Relationship Id="rId136" Type="http://schemas.openxmlformats.org/officeDocument/2006/relationships/image" Target="media/image69.png"/><Relationship Id="rId157" Type="http://schemas.openxmlformats.org/officeDocument/2006/relationships/header" Target="header31.xml"/><Relationship Id="rId178" Type="http://schemas.openxmlformats.org/officeDocument/2006/relationships/header" Target="header42.xml"/><Relationship Id="rId301" Type="http://schemas.openxmlformats.org/officeDocument/2006/relationships/hyperlink" Target="https://immi.homeaffairs.gov.au/programs-subsite/migration-strategy/Documents/migration-strategy.pdf" TargetMode="External"/><Relationship Id="rId322" Type="http://schemas.openxmlformats.org/officeDocument/2006/relationships/hyperlink" Target="http://www.ncsehe.edu.au/wp-content/uploads/2015/03/Out-of-Care-Into-University.pdf" TargetMode="External"/><Relationship Id="rId343" Type="http://schemas.openxmlformats.org/officeDocument/2006/relationships/hyperlink" Target="https://techtransfer.org.au/scopr-2022-public-research-powers-ahead-on-commercialisation/" TargetMode="External"/><Relationship Id="rId364" Type="http://schemas.openxmlformats.org/officeDocument/2006/relationships/hyperlink" Target="https://nousgroup.com/wp-content/uploads/2020/09/RUN-Summary-Report-final-compressed.pdf" TargetMode="External"/><Relationship Id="rId61" Type="http://schemas.openxmlformats.org/officeDocument/2006/relationships/hyperlink" Target="https://www.jobsandskills.gov.au/sites/default/files/2023-10/2023%20SPL%20Key%20Findings%20Report.pdf" TargetMode="External"/><Relationship Id="rId82" Type="http://schemas.openxmlformats.org/officeDocument/2006/relationships/image" Target="media/image31.png"/><Relationship Id="rId199" Type="http://schemas.openxmlformats.org/officeDocument/2006/relationships/hyperlink" Target="https://documents.uow.edu.au/content/groups/public/@web/@dvce/@in2uni/documents/" TargetMode="External"/><Relationship Id="rId203" Type="http://schemas.openxmlformats.org/officeDocument/2006/relationships/hyperlink" Target="http://www.abs.gov.au/statistics/economy/international-trade/balance-payments-and-international-investment-position-australia/latest-release" TargetMode="External"/><Relationship Id="rId385" Type="http://schemas.openxmlformats.org/officeDocument/2006/relationships/hyperlink" Target="http://www.pc.gov.au/inquiries/completed/productivity/report/productivity-volume8-education-skills.pdf" TargetMode="External"/><Relationship Id="rId19" Type="http://schemas.openxmlformats.org/officeDocument/2006/relationships/header" Target="header2.xml"/><Relationship Id="rId224" Type="http://schemas.openxmlformats.org/officeDocument/2006/relationships/hyperlink" Target="http://www.arc.gov&#8204;.&#8204;au/sites/default/files/2022-06/Evaluation%20of%20the%20&#8204;Discovery%25&#8204;20Projects%20&#8204;scheme&#8204;%25&#8204;20&#8204;%28PDF%29.pdf" TargetMode="External"/><Relationship Id="rId245" Type="http://schemas.openxmlformats.org/officeDocument/2006/relationships/hyperlink" Target="http://www.theage.com.au/national/victoria/victorian-universities-deep-in-the-red-as-overseas-student-numbers-stay-low-20230502-p5d50b.html" TargetMode="External"/><Relationship Id="rId266" Type="http://schemas.openxmlformats.org/officeDocument/2006/relationships/hyperlink" Target="http://www.doi.org/10.26188/23995704" TargetMode="External"/><Relationship Id="rId287" Type="http://schemas.openxmlformats.org/officeDocument/2006/relationships/hyperlink" Target="http://www.education.gov.au/higher-education-statistics/resources/2022-section-16-equity-performance-data" TargetMode="External"/><Relationship Id="rId410" Type="http://schemas.openxmlformats.org/officeDocument/2006/relationships/hyperlink" Target="http://www.servicesaustralia.gov.au&#8204;/income-bank" TargetMode="External"/><Relationship Id="rId431" Type="http://schemas.openxmlformats.org/officeDocument/2006/relationships/hyperlink" Target="http://www.une.edu.au/research/research-centres-institutes/smart-farm" TargetMode="External"/><Relationship Id="rId30" Type="http://schemas.openxmlformats.org/officeDocument/2006/relationships/header" Target="header10.xml"/><Relationship Id="rId105" Type="http://schemas.openxmlformats.org/officeDocument/2006/relationships/image" Target="media/image47.png"/><Relationship Id="rId126" Type="http://schemas.openxmlformats.org/officeDocument/2006/relationships/image" Target="media/image62.svg"/><Relationship Id="rId147" Type="http://schemas.openxmlformats.org/officeDocument/2006/relationships/image" Target="media/image75.png"/><Relationship Id="rId168" Type="http://schemas.openxmlformats.org/officeDocument/2006/relationships/hyperlink" Target="https://www.education.gov.au/australian-universities-accord/resources/nous-group-consultation-report" TargetMode="External"/><Relationship Id="rId312" Type="http://schemas.openxmlformats.org/officeDocument/2006/relationships/hyperlink" Target="http://www.ncsehe.edu.au/wp-content/uploads/2022/11/2022-Dollinger-Final.pdf" TargetMode="External"/><Relationship Id="rId333" Type="http://schemas.openxmlformats.org/officeDocument/2006/relationships/hyperlink" Target="https://medicaldeans.org.au/" TargetMode="External"/><Relationship Id="rId354" Type="http://schemas.openxmlformats.org/officeDocument/2006/relationships/hyperlink" Target="http://www.education.gov.au/system/files/2023-09/AUA_inter_tranche6a_139%20National%20Association%20of%20Graduate%20Careers%20Advisory%20Services%20%28NAGCAS%29.pdf" TargetMode="External"/><Relationship Id="rId51" Type="http://schemas.openxmlformats.org/officeDocument/2006/relationships/image" Target="media/image13.png"/><Relationship Id="rId72" Type="http://schemas.openxmlformats.org/officeDocument/2006/relationships/image" Target="media/image25.png"/><Relationship Id="rId93" Type="http://schemas.openxmlformats.org/officeDocument/2006/relationships/image" Target="media/image40.svg"/><Relationship Id="rId189" Type="http://schemas.openxmlformats.org/officeDocument/2006/relationships/header" Target="header52.xml"/><Relationship Id="rId375" Type="http://schemas.openxmlformats.org/officeDocument/2006/relationships/hyperlink" Target="http://www.officeforstudents.org.uk/advice-and-guidance/skills-and-employment/higher-education-short-course-trial/" TargetMode="External"/><Relationship Id="rId396" Type="http://schemas.openxmlformats.org/officeDocument/2006/relationships/hyperlink" Target="http://www.run.edu.au/about-us/statistics/" TargetMode="External"/><Relationship Id="rId3" Type="http://schemas.openxmlformats.org/officeDocument/2006/relationships/customXml" Target="../customXml/item3.xml"/><Relationship Id="rId214" Type="http://schemas.openxmlformats.org/officeDocument/2006/relationships/hyperlink" Target="http://www.acecqa.gov.au/national-quality-framework" TargetMode="External"/><Relationship Id="rId235" Type="http://schemas.openxmlformats.org/officeDocument/2006/relationships/hyperlink" Target="https://link.springer.com/book/10.1007/978-3-030-97837-2" TargetMode="External"/><Relationship Id="rId256" Type="http://schemas.openxmlformats.org/officeDocument/2006/relationships/hyperlink" Target="https://incites.clarivate.com/" TargetMode="External"/><Relationship Id="rId277" Type="http://schemas.openxmlformats.org/officeDocument/2006/relationships/hyperlink" Target="http://www.education.gov.au/higher-education-reviews-and-consultations/resources/review-australian-qualifications-framework-final-report-2019" TargetMode="External"/><Relationship Id="rId298" Type="http://schemas.openxmlformats.org/officeDocument/2006/relationships/hyperlink" Target="http://www.dewr.gov.au/nci/partnership-grants-program" TargetMode="External"/><Relationship Id="rId400" Type="http://schemas.openxmlformats.org/officeDocument/2006/relationships/hyperlink" Target="http://www.elsevier.com/connect/the-growing-importance-of-research-infrastructures" TargetMode="External"/><Relationship Id="rId421" Type="http://schemas.openxmlformats.org/officeDocument/2006/relationships/hyperlink" Target="https://lismoreapp.com.au/news-sport/news/lismores-scu-temporary-home-site-now-open-for-flood-impacted-residents?id=63866b690ea5fe0150859a85" TargetMode="External"/><Relationship Id="rId442" Type="http://schemas.openxmlformats.org/officeDocument/2006/relationships/hyperlink" Target="https://melbourneinstitute.unimelb.edu.au/__data/assets/pdf_file/0011/4751741/wp2023n11.pdf" TargetMode="External"/><Relationship Id="rId116" Type="http://schemas.openxmlformats.org/officeDocument/2006/relationships/image" Target="media/image55.png"/><Relationship Id="rId137" Type="http://schemas.openxmlformats.org/officeDocument/2006/relationships/image" Target="media/image70.svg"/><Relationship Id="rId158" Type="http://schemas.openxmlformats.org/officeDocument/2006/relationships/header" Target="header32.xml"/><Relationship Id="rId302" Type="http://schemas.openxmlformats.org/officeDocument/2006/relationships/hyperlink" Target="http://www.homeaffairs.gov.au/reports-and-publications/reviews-and-inquiries/departmental-reviews/migration-system-for-australias-future" TargetMode="External"/><Relationship Id="rId323" Type="http://schemas.openxmlformats.org/officeDocument/2006/relationships/hyperlink" Target="https://doi.org/10.25904/1912/4989" TargetMode="External"/><Relationship Id="rId344" Type="http://schemas.openxmlformats.org/officeDocument/2006/relationships/hyperlink" Target="http://www.latrobe.edu.au/mylatrobe/take-time-out-in-the-lounge/" TargetMode="External"/><Relationship Id="rId20" Type="http://schemas.openxmlformats.org/officeDocument/2006/relationships/footer" Target="footer4.xml"/><Relationship Id="rId41" Type="http://schemas.openxmlformats.org/officeDocument/2006/relationships/image" Target="media/image7.png"/><Relationship Id="rId62" Type="http://schemas.openxmlformats.org/officeDocument/2006/relationships/image" Target="media/image21.png"/><Relationship Id="rId83" Type="http://schemas.openxmlformats.org/officeDocument/2006/relationships/image" Target="media/image32.svg"/><Relationship Id="rId179" Type="http://schemas.openxmlformats.org/officeDocument/2006/relationships/footer" Target="footer13.xml"/><Relationship Id="rId365" Type="http://schemas.openxmlformats.org/officeDocument/2006/relationships/hyperlink" Target="http://www.education.gov.au/australian-universities-accord/resources/nous-group-consultation-report" TargetMode="External"/><Relationship Id="rId386" Type="http://schemas.openxmlformats.org/officeDocument/2006/relationships/hyperlink" Target="http://www.pc.gov.au/inquiries/completed/productivity/report/productivity-volume5-innovation-diffusion.pdf" TargetMode="External"/><Relationship Id="rId190" Type="http://schemas.openxmlformats.org/officeDocument/2006/relationships/header" Target="header53.xml"/><Relationship Id="rId204" Type="http://schemas.openxmlformats.org/officeDocument/2006/relationships/hyperlink" Target="https://www.abs.gov.au/statistics/labour/employment-and-unemployment/barriers-and-incentives-labour-force-participation-australia/latest-release" TargetMode="External"/><Relationship Id="rId225" Type="http://schemas.openxmlformats.org/officeDocument/2006/relationships/hyperlink" Target="http://www.arc.gov.au/sites/default/files/2022-06/Evaluation%20of%20the%20Discovery%20Projects%20scheme%20%28PDF%29.pdf" TargetMode="External"/><Relationship Id="rId246" Type="http://schemas.openxmlformats.org/officeDocument/2006/relationships/hyperlink" Target="https://www.smh.com.au/national/nsw/all-but-one-of-the-state-s-universities-are-losing-money-as-student-numbers-shrink-20230531-p5dcto.html" TargetMode="External"/><Relationship Id="rId267" Type="http://schemas.openxmlformats.org/officeDocument/2006/relationships/hyperlink" Target="http://www.education.gov.au/system/files/documents/submission-file/2023-02/AUA_priorities_Curtin%20Student%20Guild_0.pdf" TargetMode="External"/><Relationship Id="rId288" Type="http://schemas.openxmlformats.org/officeDocument/2006/relationships/hyperlink" Target="http://www.education.gov.au/higher-education-statistics/resources/2022-section-2-all-students" TargetMode="External"/><Relationship Id="rId411" Type="http://schemas.openxmlformats.org/officeDocument/2006/relationships/hyperlink" Target="http://www.servicesaustralia.gov.au/income-test-for-jobseeker-payment" TargetMode="External"/><Relationship Id="rId432" Type="http://schemas.openxmlformats.org/officeDocument/2006/relationships/hyperlink" Target="http://www.une.edu.au/about-une/annual-reports" TargetMode="External"/><Relationship Id="rId106" Type="http://schemas.openxmlformats.org/officeDocument/2006/relationships/image" Target="media/image48.svg"/><Relationship Id="rId127" Type="http://schemas.openxmlformats.org/officeDocument/2006/relationships/hyperlink" Target="https://www.oecd.org/sti/msti.htm" TargetMode="External"/><Relationship Id="rId313" Type="http://schemas.openxmlformats.org/officeDocument/2006/relationships/hyperlink" Target="https://research-repository.griffith.edu.au/bitstream/handle/10072/38922/65824_&#8204;1.&#8204;pdf?sequence=1" TargetMode="External"/><Relationship Id="rId10" Type="http://schemas.openxmlformats.org/officeDocument/2006/relationships/endnotes" Target="endnotes.xml"/><Relationship Id="rId31" Type="http://schemas.openxmlformats.org/officeDocument/2006/relationships/header" Target="header11.xml"/><Relationship Id="rId52" Type="http://schemas.openxmlformats.org/officeDocument/2006/relationships/image" Target="media/image14.svg"/><Relationship Id="rId73" Type="http://schemas.openxmlformats.org/officeDocument/2006/relationships/image" Target="media/image26.svg"/><Relationship Id="rId94" Type="http://schemas.openxmlformats.org/officeDocument/2006/relationships/header" Target="header19.xml"/><Relationship Id="rId148" Type="http://schemas.openxmlformats.org/officeDocument/2006/relationships/image" Target="media/image76.svg"/><Relationship Id="rId169" Type="http://schemas.openxmlformats.org/officeDocument/2006/relationships/image" Target="media/image82.png"/><Relationship Id="rId334" Type="http://schemas.openxmlformats.org/officeDocument/2006/relationships/hyperlink" Target="http://www.jobsandskills.gov.au/data/skills-shortages-analysis" TargetMode="External"/><Relationship Id="rId355" Type="http://schemas.openxmlformats.org/officeDocument/2006/relationships/hyperlink" Target="http://www.yourcareer.gov.au/resources/australian-jobs-report" TargetMode="External"/><Relationship Id="rId376" Type="http://schemas.openxmlformats.org/officeDocument/2006/relationships/hyperlink" Target="http://www.officeforstudents.org.uk/advice-and-guidance/the-tef/" TargetMode="External"/><Relationship Id="rId397" Type="http://schemas.openxmlformats.org/officeDocument/2006/relationships/hyperlink" Target="http://www.education.gov.au/system/files/documents/submission-file/2023-04/AUA_tranche1_Regional%20Universities%20Network.pdf" TargetMode="External"/><Relationship Id="rId4" Type="http://schemas.openxmlformats.org/officeDocument/2006/relationships/customXml" Target="../customXml/item4.xml"/><Relationship Id="rId180" Type="http://schemas.openxmlformats.org/officeDocument/2006/relationships/header" Target="header43.xml"/><Relationship Id="rId215" Type="http://schemas.openxmlformats.org/officeDocument/2006/relationships/hyperlink" Target="http://www.acs.org.au/professionalrecognition/microcredentials-home.html" TargetMode="External"/><Relationship Id="rId236" Type="http://schemas.openxmlformats.org/officeDocument/2006/relationships/hyperlink" Target="https://nova.newcastle.edu.au/vital/access/manager/Repository/uon:32946" TargetMode="External"/><Relationship Id="rId257" Type="http://schemas.openxmlformats.org/officeDocument/2006/relationships/hyperlink" Target="http://www.investment.nsw.gov.au/innovation/nsw-innovation-and-productivity-council/our-publications/the-innovation-economy-implications-and-imperatives-for-states-and-regions/" TargetMode="External"/><Relationship Id="rId278" Type="http://schemas.openxmlformats.org/officeDocument/2006/relationships/hyperlink" Target="http://hdl.voced.edu.au/10707/44384" TargetMode="External"/><Relationship Id="rId401" Type="http://schemas.openxmlformats.org/officeDocument/2006/relationships/hyperlink" Target="http://www.timeshighereducation.com/news/australian-rd-investment-hits-17-year-low" TargetMode="External"/><Relationship Id="rId422" Type="http://schemas.openxmlformats.org/officeDocument/2006/relationships/hyperlink" Target="http://www.aph.&#8204;gov&#8204;.&#8204;au/&#8204;&#8204;Parliamentar&#8204;&#8204;y&#8204;_Business/Committees/Senate/Legal_and_Constitutional&#8204;_Affairs/&#8204;sexualcontentlaws&#8204;/&#8204;Report" TargetMode="External"/><Relationship Id="rId443" Type="http://schemas.openxmlformats.org/officeDocument/2006/relationships/hyperlink" Target="https://doi.org/10.5204/ssj.v11i1.1458" TargetMode="External"/><Relationship Id="rId303" Type="http://schemas.openxmlformats.org/officeDocument/2006/relationships/hyperlink" Target="https://immi.homeaffairs.gov.au/programs-subsite/migration-strategy/Documents/migration-strategy.pdf" TargetMode="External"/><Relationship Id="rId42" Type="http://schemas.openxmlformats.org/officeDocument/2006/relationships/image" Target="media/image8.svg"/><Relationship Id="rId84" Type="http://schemas.openxmlformats.org/officeDocument/2006/relationships/image" Target="media/image33.png"/><Relationship Id="rId138" Type="http://schemas.openxmlformats.org/officeDocument/2006/relationships/header" Target="header23.xml"/><Relationship Id="rId345" Type="http://schemas.openxmlformats.org/officeDocument/2006/relationships/hyperlink" Target="https://doi.org/10.57956/kxye-qd93" TargetMode="External"/><Relationship Id="rId387" Type="http://schemas.openxmlformats.org/officeDocument/2006/relationships/hyperlink" Target="http://www.pc.gov.au/inquiries/current/childhood/draft/childhood-draft.pdf" TargetMode="External"/><Relationship Id="rId191" Type="http://schemas.openxmlformats.org/officeDocument/2006/relationships/header" Target="header54.xml"/><Relationship Id="rId205" Type="http://schemas.openxmlformats.org/officeDocument/2006/relationships/hyperlink" Target="https://www.abs.gov.au/census/find-census-data/quickstats/2021/6" TargetMode="External"/><Relationship Id="rId247" Type="http://schemas.openxmlformats.org/officeDocument/2006/relationships/hyperlink" Target="mktgdocs.cbre.com/2299/c5166330-37d3-4674-8cda-dce518da0b37-1392467054.pdf" TargetMode="External"/><Relationship Id="rId412" Type="http://schemas.openxmlformats.org/officeDocument/2006/relationships/hyperlink" Target="http://www.education.gov.au/higher-education-reviews-and-consultations/resources/trusting-australias-ability-review-australian-research-council-act-2001" TargetMode="External"/><Relationship Id="rId107" Type="http://schemas.openxmlformats.org/officeDocument/2006/relationships/hyperlink" Target="https://www.ato.gov.au/tax-rates-and-codes/study-and-training-support-loans-rates-and-repayment-thresholds" TargetMode="External"/><Relationship Id="rId289" Type="http://schemas.openxmlformats.org/officeDocument/2006/relationships/hyperlink" Target="http://www.education.gov.au/higher-education-statistics/resources/2022-section-5-liability-status-categories" TargetMode="External"/><Relationship Id="rId11" Type="http://schemas.openxmlformats.org/officeDocument/2006/relationships/image" Target="media/image1.jpeg"/><Relationship Id="rId53" Type="http://schemas.openxmlformats.org/officeDocument/2006/relationships/hyperlink" Target="https://www.abs.gov.au/statistics/microdata-tablebuilder/tablebuilder" TargetMode="External"/><Relationship Id="rId149" Type="http://schemas.openxmlformats.org/officeDocument/2006/relationships/hyperlink" Target="https://www.education.gov.au/higher-education-statistics/student-data/selected-higher-education-statistics-2022-student-data" TargetMode="External"/><Relationship Id="rId314" Type="http://schemas.openxmlformats.org/officeDocument/2006/relationships/hyperlink" Target="http://www.education.gov.au/collections/communiques-education-ministers-meeting-2023" TargetMode="External"/><Relationship Id="rId356" Type="http://schemas.openxmlformats.org/officeDocument/2006/relationships/hyperlink" Target="http://hdl.voced.edu.au/10707/659556" TargetMode="External"/><Relationship Id="rId398" Type="http://schemas.openxmlformats.org/officeDocument/2006/relationships/hyperlink" Target="http://www.rba.gov.au/inflation/measures-cpi.html" TargetMode="External"/><Relationship Id="rId95" Type="http://schemas.openxmlformats.org/officeDocument/2006/relationships/header" Target="header20.xml"/><Relationship Id="rId160" Type="http://schemas.openxmlformats.org/officeDocument/2006/relationships/header" Target="header34.xml"/><Relationship Id="rId216" Type="http://schemas.openxmlformats.org/officeDocument/2006/relationships/hyperlink" Target="http://www.aced.edu.au/downloads/POSITION%20STATEMENT%20No%205%20Mathematics%20Requirements%20for%20Engineering%20Degrees.pdf" TargetMode="External"/><Relationship Id="rId423" Type="http://schemas.openxmlformats.org/officeDocument/2006/relationships/hyperlink" Target="https://data.worldbank.org/indicator/SP.POP.TOTL" TargetMode="External"/><Relationship Id="rId258" Type="http://schemas.openxmlformats.org/officeDocument/2006/relationships/hyperlink" Target="http://www.closingthegap.gov.au/national-agreement/national-agreement-closing-the-gap" TargetMode="External"/><Relationship Id="rId22" Type="http://schemas.openxmlformats.org/officeDocument/2006/relationships/footer" Target="footer5.xml"/><Relationship Id="rId64" Type="http://schemas.openxmlformats.org/officeDocument/2006/relationships/hyperlink" Target="https://www.jobsandskills.gov.au/sites/default/files/2023-10/2023%20SPL%20Key%20Findings%20Report.pdf" TargetMode="External"/><Relationship Id="rId118" Type="http://schemas.openxmlformats.org/officeDocument/2006/relationships/image" Target="media/image57.png"/><Relationship Id="rId325" Type="http://schemas.openxmlformats.org/officeDocument/2006/relationships/hyperlink" Target="http://www.education.gov.au/system/files/documents/submission-file/2023-07/Higher%20Education%20Standards%20Panel%20%28HESP%29.pdf" TargetMode="External"/><Relationship Id="rId367" Type="http://schemas.openxmlformats.org/officeDocument/2006/relationships/hyperlink" Target="http://www.education.gov.au/review-inform-better-and-fairer-education-system/resources/expert-panels-report" TargetMode="External"/><Relationship Id="rId171" Type="http://schemas.openxmlformats.org/officeDocument/2006/relationships/hyperlink" Target="https://www.education.gov.au/australian-universities-accord/resources/australian-universities-accord-discussion-paper-submission-analysis" TargetMode="External"/><Relationship Id="rId227" Type="http://schemas.openxmlformats.org/officeDocument/2006/relationships/hyperlink" Target="https://dataportal.arc.gov.au/ERA/NationalReport/2018/" TargetMode="External"/><Relationship Id="rId269" Type="http://schemas.openxmlformats.org/officeDocument/2006/relationships/hyperlink" Target="https://research.acer.edu.au/cgi/viewcontent.cgi?article=1056&amp;context=ozpisa" TargetMode="External"/><Relationship Id="rId434" Type="http://schemas.openxmlformats.org/officeDocument/2006/relationships/hyperlink" Target="http://www.education.gov.au/australian-universities-accord/consultations/consultation-accord-interim-report/submission/17093" TargetMode="External"/><Relationship Id="rId33" Type="http://schemas.openxmlformats.org/officeDocument/2006/relationships/image" Target="media/image4.svg"/><Relationship Id="rId129" Type="http://schemas.openxmlformats.org/officeDocument/2006/relationships/image" Target="media/image64.svg"/><Relationship Id="rId280" Type="http://schemas.openxmlformats.org/officeDocument/2006/relationships/hyperlink" Target="http://www.education.gov.au/research-translation-and-commercialisation-agenda" TargetMode="External"/><Relationship Id="rId336" Type="http://schemas.openxmlformats.org/officeDocument/2006/relationships/hyperlink" Target="https://labourmarketinsights.gov.au/media/l2ueqd0e/employment-outlook-industry-and-occupation-trends.pdf" TargetMode="External"/><Relationship Id="rId75" Type="http://schemas.openxmlformats.org/officeDocument/2006/relationships/image" Target="media/image27.png"/><Relationship Id="rId140" Type="http://schemas.openxmlformats.org/officeDocument/2006/relationships/header" Target="header25.xml"/><Relationship Id="rId182" Type="http://schemas.openxmlformats.org/officeDocument/2006/relationships/header" Target="header45.xml"/><Relationship Id="rId378" Type="http://schemas.openxmlformats.org/officeDocument/2006/relationships/hyperlink" Target="http://www.spre.com.au/download/ExportsAustraliaStates2022.pdf" TargetMode="External"/><Relationship Id="rId403" Type="http://schemas.openxmlformats.org/officeDocument/2006/relationships/hyperlink" Target="http://www.timeshighereducation&#8204;.&#8204;com&#8204;/news/back-black-australian-universities-brace-bushfire-season" TargetMode="External"/><Relationship Id="rId6" Type="http://schemas.openxmlformats.org/officeDocument/2006/relationships/styles" Target="styles.xml"/><Relationship Id="rId238" Type="http://schemas.openxmlformats.org/officeDocument/2006/relationships/hyperlink" Target="https://melbourne-cshe.unimelb.edu.au/__data/assets/pdf_file/0010/1490923/The_Academic_Profession_in_Transition_Sept2011.pdf" TargetMode="External"/><Relationship Id="rId445" Type="http://schemas.openxmlformats.org/officeDocument/2006/relationships/header" Target="header59.xml"/><Relationship Id="rId291" Type="http://schemas.openxmlformats.org/officeDocument/2006/relationships/hyperlink" Target="http://www.education.gov.au/higher-education-statistics/resources/indigenous-students-higher-degrees-research" TargetMode="External"/><Relationship Id="rId305" Type="http://schemas.openxmlformats.org/officeDocument/2006/relationships/hyperlink" Target="http://www.skillfinder.com.au/page/about" TargetMode="External"/><Relationship Id="rId347" Type="http://schemas.openxmlformats.org/officeDocument/2006/relationships/hyperlink" Target="http://www.jstor.org/stable/3447236" TargetMode="External"/><Relationship Id="rId44" Type="http://schemas.openxmlformats.org/officeDocument/2006/relationships/image" Target="media/image10.svg"/><Relationship Id="rId86" Type="http://schemas.openxmlformats.org/officeDocument/2006/relationships/image" Target="media/image35.png"/><Relationship Id="rId151" Type="http://schemas.openxmlformats.org/officeDocument/2006/relationships/header" Target="header28.xml"/><Relationship Id="rId389" Type="http://schemas.openxmlformats.org/officeDocument/2006/relationships/hyperlink" Target="http://www.pc.gov.au/research/completed/university-report-card/university-report-card.pdf" TargetMode="External"/><Relationship Id="rId193" Type="http://schemas.openxmlformats.org/officeDocument/2006/relationships/header" Target="header56.xml"/><Relationship Id="rId207" Type="http://schemas.openxmlformats.org/officeDocument/2006/relationships/hyperlink" Target="https://www.abs.gov.au/statistics/people/education/education-and-work-australia/may-2023/" TargetMode="External"/><Relationship Id="rId249" Type="http://schemas.openxmlformats.org/officeDocument/2006/relationships/hyperlink" Target="https://doi.org/10.1111/j.1475-4932.2009.00554.x" TargetMode="External"/><Relationship Id="rId414" Type="http://schemas.openxmlformats.org/officeDocument/2006/relationships/hyperlink" Target="http://www.education.gov.au/quality-schools-package/resources/looking-future-report-review-senior-secondary-pathways-work-further-education-and-training" TargetMode="External"/><Relationship Id="rId13" Type="http://schemas.openxmlformats.org/officeDocument/2006/relationships/hyperlink" Target="https://creativecommons.org/licenses/by/4.0/" TargetMode="External"/><Relationship Id="rId109" Type="http://schemas.openxmlformats.org/officeDocument/2006/relationships/image" Target="media/image50.svg"/><Relationship Id="rId260" Type="http://schemas.openxmlformats.org/officeDocument/2006/relationships/hyperlink" Target="http://hdl.voced.edu.au/10707/228224" TargetMode="External"/><Relationship Id="rId316" Type="http://schemas.openxmlformats.org/officeDocument/2006/relationships/hyperlink" Target="https://ec.europa.eu/eurostat/cache/metadata/en/inn_cis12_esms.htm" TargetMode="External"/><Relationship Id="rId55" Type="http://schemas.openxmlformats.org/officeDocument/2006/relationships/image" Target="media/image16.svg"/><Relationship Id="rId97" Type="http://schemas.openxmlformats.org/officeDocument/2006/relationships/footer" Target="footer9.xml"/><Relationship Id="rId120" Type="http://schemas.openxmlformats.org/officeDocument/2006/relationships/image" Target="media/image59.png"/><Relationship Id="rId358" Type="http://schemas.openxmlformats.org/officeDocument/2006/relationships/hyperlink" Target="http://www.lsay.edu.au/publications/search-for-lsay-publications/generation-z-life-at-22" TargetMode="External"/><Relationship Id="rId162" Type="http://schemas.openxmlformats.org/officeDocument/2006/relationships/header" Target="header36.xml"/><Relationship Id="rId218" Type="http://schemas.openxmlformats.org/officeDocument/2006/relationships/hyperlink" Target="http://www.education.gov.au/australian-universities-accord/consultations/consultation-accord-interim-report/submission/16952" TargetMode="External"/><Relationship Id="rId425" Type="http://schemas.openxmlformats.org/officeDocument/2006/relationships/hyperlink" Target="http://www.timeshighereducation.com/world-university-rankings/2023/world-ranking" TargetMode="External"/><Relationship Id="rId271" Type="http://schemas.openxmlformats.org/officeDocument/2006/relationships/hyperlink" Target="https://doi.org/10.1007/s43545-023-00641-7" TargetMode="External"/><Relationship Id="rId24" Type="http://schemas.openxmlformats.org/officeDocument/2006/relationships/header" Target="header5.xml"/><Relationship Id="rId66" Type="http://schemas.openxmlformats.org/officeDocument/2006/relationships/image" Target="media/image24.svg"/><Relationship Id="rId131" Type="http://schemas.openxmlformats.org/officeDocument/2006/relationships/image" Target="media/image65.png"/><Relationship Id="rId327" Type="http://schemas.openxmlformats.org/officeDocument/2006/relationships/hyperlink" Target="http://www.aph.gov.au/Parliamentary_Business/Bills_Legislation/Bills_&#8204;Search_Results/Result?bId=r7060" TargetMode="External"/><Relationship Id="rId369" Type="http://schemas.openxmlformats.org/officeDocument/2006/relationships/hyperlink" Target="http://www.oecd-il&#8204;i&#8204;brary.org/docserver/e13bef63-en.pdf?expires=1702424845&amp;id=id&amp;&#8204;accname=&#8204;guest&#8204;&amp;check&#8204;sum=911&#8204;13B459B04&#8204;9A3E&#8204;3&#8204;9F8C1D230A37A21" TargetMode="External"/><Relationship Id="rId173" Type="http://schemas.openxmlformats.org/officeDocument/2006/relationships/image" Target="media/image85.svg"/><Relationship Id="rId229" Type="http://schemas.openxmlformats.org/officeDocument/2006/relationships/hyperlink" Target="https://atn.edu.au/wp-content/uploads/2021/12/atn01-phd-report-web-single.pdf" TargetMode="External"/><Relationship Id="rId380" Type="http://schemas.openxmlformats.org/officeDocument/2006/relationships/hyperlink" Target="https://parlinfo.aph.gov.au/parlInfo/download/library/prspub/7622081/upload_binary/7622081.pdf" TargetMode="External"/><Relationship Id="rId436" Type="http://schemas.openxmlformats.org/officeDocument/2006/relationships/hyperlink" Target="https://content.vic.gov.au/sites/default/files/2020-03/Working-%20together-in%20place-Policy%20Framework.pdf" TargetMode="External"/><Relationship Id="rId240" Type="http://schemas.openxmlformats.org/officeDocument/2006/relationships/hyperlink" Target="http://www.researchprofessionalnews.com/rr-news-europe-universities-2023-9-leiden-rankings-to-add-open-source-version-in-2024/" TargetMode="External"/><Relationship Id="rId35" Type="http://schemas.openxmlformats.org/officeDocument/2006/relationships/hyperlink" Target="https://www.education.gov.au/higher-education-statistics/resources/time-series-data-1949-2000" TargetMode="External"/><Relationship Id="rId77" Type="http://schemas.openxmlformats.org/officeDocument/2006/relationships/hyperlink" Target="https://www.education.gov.au/higher-education-statistics/resources/2022-section-16-equity-performance-data" TargetMode="External"/><Relationship Id="rId100" Type="http://schemas.openxmlformats.org/officeDocument/2006/relationships/image" Target="media/image42.svg"/><Relationship Id="rId282" Type="http://schemas.openxmlformats.org/officeDocument/2006/relationships/hyperlink" Target="http://www.education.gov.au/research-translation-and-commercialisation-agenda" TargetMode="External"/><Relationship Id="rId338" Type="http://schemas.openxmlformats.org/officeDocument/2006/relationships/hyperlink" Target="http://www.jobsandskills.gov.au/studies/clean-energy-capacity-study" TargetMode="External"/><Relationship Id="rId8" Type="http://schemas.openxmlformats.org/officeDocument/2006/relationships/webSettings" Target="webSettings.xml"/><Relationship Id="rId142" Type="http://schemas.openxmlformats.org/officeDocument/2006/relationships/image" Target="media/image71.png"/><Relationship Id="rId184" Type="http://schemas.openxmlformats.org/officeDocument/2006/relationships/header" Target="header47.xml"/><Relationship Id="rId391" Type="http://schemas.openxmlformats.org/officeDocument/2006/relationships/hyperlink" Target="http://www.qilt.edu.au/surveys/student-experience-survey-(ses)" TargetMode="External"/><Relationship Id="rId405" Type="http://schemas.openxmlformats.org/officeDocument/2006/relationships/hyperlink" Target="https://doi.org/10.5694/mja2.52033" TargetMode="External"/><Relationship Id="rId447" Type="http://schemas.openxmlformats.org/officeDocument/2006/relationships/fontTable" Target="fontTable.xml"/><Relationship Id="rId251" Type="http://schemas.openxmlformats.org/officeDocument/2006/relationships/hyperlink" Target="https://brucejchapman.com/wp-content/uploads/2018/12/The-rationale-for-the-HECS.pdf" TargetMode="External"/><Relationship Id="rId46" Type="http://schemas.openxmlformats.org/officeDocument/2006/relationships/hyperlink" Target="https://www.abs.gov.au/statistics/people/population/population-projections-australia/latest-release" TargetMode="External"/><Relationship Id="rId293" Type="http://schemas.openxmlformats.org/officeDocument/2006/relationships/hyperlink" Target="http://www.education.gov.au/international-education-data-and-research/international-student-monthly-summary-and-data-tables" TargetMode="External"/><Relationship Id="rId307" Type="http://schemas.openxmlformats.org/officeDocument/2006/relationships/hyperlink" Target="http://www.pmc.gov.au/publications/strengthening-skills-expert-review-australias-vocational-education-and-training-system" TargetMode="External"/><Relationship Id="rId349" Type="http://schemas.openxmlformats.org/officeDocument/2006/relationships/hyperlink" Target="https://link.springer.com/article/10.1007/s11273-022-09866-4" TargetMode="External"/><Relationship Id="rId88" Type="http://schemas.openxmlformats.org/officeDocument/2006/relationships/image" Target="media/image37.png"/><Relationship Id="rId111" Type="http://schemas.openxmlformats.org/officeDocument/2006/relationships/image" Target="media/image52.svg"/><Relationship Id="rId153" Type="http://schemas.openxmlformats.org/officeDocument/2006/relationships/image" Target="media/image78.png"/><Relationship Id="rId195" Type="http://schemas.openxmlformats.org/officeDocument/2006/relationships/hyperlink" Target="http://www.education.gov.au/heppp/heppp-evaluation" TargetMode="External"/><Relationship Id="rId209" Type="http://schemas.openxmlformats.org/officeDocument/2006/relationships/hyperlink" Target="http://www.abs.gov.au/AUSSTATS/abs@.nsf/Lookup/8112.0Main+Features12008-09?OpenDocument" TargetMode="External"/><Relationship Id="rId360" Type="http://schemas.openxmlformats.org/officeDocument/2006/relationships/hyperlink" Target="https://grattan.edu.au/wp-content/uploads/2016/12/883-Shared-interest-A-universal-loan-fee-for-HELP.pdf" TargetMode="External"/><Relationship Id="rId416" Type="http://schemas.openxmlformats.org/officeDocument/2006/relationships/hyperlink" Target="http://www.studygoldcoast.org.au/host-for-the-coast/" TargetMode="External"/><Relationship Id="rId220" Type="http://schemas.openxmlformats.org/officeDocument/2006/relationships/hyperlink" Target="http://www.apprise.org.au/project/first-nations-led-projects-funded-for-covid-19-research/" TargetMode="External"/><Relationship Id="rId15" Type="http://schemas.openxmlformats.org/officeDocument/2006/relationships/header" Target="header1.xml"/><Relationship Id="rId57" Type="http://schemas.openxmlformats.org/officeDocument/2006/relationships/image" Target="media/image18.svg"/><Relationship Id="rId262" Type="http://schemas.openxmlformats.org/officeDocument/2006/relationships/hyperlink" Target="http://hdl.voced.edu.au/10707/228215" TargetMode="External"/><Relationship Id="rId318" Type="http://schemas.openxmlformats.org/officeDocument/2006/relationships/hyperlink" Target="https://www.emerald.com/insight/content/doi/10.1108/S2055-364120190000017012/full/html" TargetMode="External"/><Relationship Id="rId99" Type="http://schemas.openxmlformats.org/officeDocument/2006/relationships/image" Target="media/image41.png"/><Relationship Id="rId122" Type="http://schemas.openxmlformats.org/officeDocument/2006/relationships/hyperlink" Target="https://www.abs.gov.au/AUSSTATS/abs@.nsf/Lookup/8112.0Main+Features12008-09?OpenDocument" TargetMode="External"/><Relationship Id="rId164" Type="http://schemas.openxmlformats.org/officeDocument/2006/relationships/header" Target="header38.xml"/><Relationship Id="rId371" Type="http://schemas.openxmlformats.org/officeDocument/2006/relationships/hyperlink" Target="http://www.oecd.org/sti/inno/Enhancing-Public-Research-Performance.pdf" TargetMode="External"/><Relationship Id="rId427" Type="http://schemas.openxmlformats.org/officeDocument/2006/relationships/hyperlink" Target="https://universitiesaustralia.edu.au/wp-content/uploads/2022/11/UA-submission-to-the-Prodcutivity-Commission-5-Year-Inquiry-Interim-Report-1.pdf" TargetMode="External"/><Relationship Id="rId26" Type="http://schemas.openxmlformats.org/officeDocument/2006/relationships/header" Target="header6.xml"/><Relationship Id="rId231" Type="http://schemas.openxmlformats.org/officeDocument/2006/relationships/hyperlink" Target="http://www.chiefscientist.gov.au/sites/default/files/2023-08/Clarifying%20the%20distinctions%20between%20research%20integrity%2C%20research%20quality%2C%20excellence%2C%20and%20impact.pdf" TargetMode="External"/><Relationship Id="rId273" Type="http://schemas.openxmlformats.org/officeDocument/2006/relationships/hyperlink" Target="http://www.education.gov.au/system/files/documents/submission-file/2023-02/AUA_priorities_Curtin%20Student%20Guild_0.pdf" TargetMode="External"/><Relationship Id="rId329" Type="http://schemas.openxmlformats.org/officeDocument/2006/relationships/hyperlink" Target="http://www.imf.org/en/Publications/CR/Issues/2021/12/02/Australia-Selected-Issues-510757" TargetMode="External"/><Relationship Id="rId68" Type="http://schemas.openxmlformats.org/officeDocument/2006/relationships/header" Target="header14.xml"/><Relationship Id="rId133" Type="http://schemas.openxmlformats.org/officeDocument/2006/relationships/hyperlink" Target="https://www.industry.gov.au/&#8204;publications/&#8204;science-research-and-innovation-sri-budget-tables-2022-23" TargetMode="External"/><Relationship Id="rId175" Type="http://schemas.openxmlformats.org/officeDocument/2006/relationships/header" Target="header41.xml"/><Relationship Id="rId340" Type="http://schemas.openxmlformats.org/officeDocument/2006/relationships/hyperlink" Target="https://parlinfo.aph.gov.au/parlInfo/download/committees/reportjnt/024680/toc_pdf/FinalReportoftheInquiryintoAustralia&#8217;sSkilledMigrationProgram.pdf;fileType=application%2Fpdf" TargetMode="External"/><Relationship Id="rId200" Type="http://schemas.openxmlformats.org/officeDocument/2006/relationships/hyperlink" Target="http://www.abs.gov.au/statistics/people/population/australias-population-country-birth/latest-release" TargetMode="External"/><Relationship Id="rId382" Type="http://schemas.openxmlformats.org/officeDocument/2006/relationships/hyperlink" Target="http://www.ncsehe.edu.au/wp-content/uploads/2016/07/Final-Pathways-to-Higher-Education-The-Efficacy-of-Enabling-and-Sub-Bachelor-Pathways-for-Disadvantaged-Students.pdf" TargetMode="External"/><Relationship Id="rId438" Type="http://schemas.openxmlformats.org/officeDocument/2006/relationships/hyperlink" Target="https://melbourneinstitute.unimelb.edu.au/downloads/working-paper-series/wp2013n34.pdf" TargetMode="External"/><Relationship Id="rId242" Type="http://schemas.openxmlformats.org/officeDocument/2006/relationships/hyperlink" Target="https://cica.org.au/wp-content/uploads/The-Early-Years-Career-Development-for-Young-Children-Educators-Guide-October-2017.pdf" TargetMode="External"/><Relationship Id="rId284" Type="http://schemas.openxmlformats.org/officeDocument/2006/relationships/hyperlink" Target="http://www.education.gov.au/research-block-grants/resources/research-block-grant-allocations-time-series" TargetMode="External"/><Relationship Id="rId37" Type="http://schemas.openxmlformats.org/officeDocument/2006/relationships/header" Target="header12.xml"/><Relationship Id="rId79" Type="http://schemas.openxmlformats.org/officeDocument/2006/relationships/hyperlink" Target="https://www.education.gov.au/higher-education-statistics/resources/2022-section-16-equity-performance-data" TargetMode="External"/><Relationship Id="rId102" Type="http://schemas.openxmlformats.org/officeDocument/2006/relationships/image" Target="media/image44.svg"/><Relationship Id="rId144" Type="http://schemas.openxmlformats.org/officeDocument/2006/relationships/hyperlink" Target="https://www.abs.gov.au/census/guide-census-data/census-dictionary/2021/variables-topic/education-and-training/level-highest-educational-attainment-heap" TargetMode="External"/><Relationship Id="rId90" Type="http://schemas.openxmlformats.org/officeDocument/2006/relationships/header" Target="header17.xml"/><Relationship Id="rId186" Type="http://schemas.openxmlformats.org/officeDocument/2006/relationships/header" Target="header49.xml"/><Relationship Id="rId351" Type="http://schemas.openxmlformats.org/officeDocument/2006/relationships/hyperlink" Target="https://doi.org/10.1080/07294360.2018.1440536" TargetMode="External"/><Relationship Id="rId393" Type="http://schemas.openxmlformats.org/officeDocument/2006/relationships/hyperlink" Target="http://www.qilt.edu.au/surveys/graduate-outcomes-survey---longitudinal-(gos-l)" TargetMode="External"/><Relationship Id="rId407" Type="http://schemas.openxmlformats.org/officeDocument/2006/relationships/hyperlink" Target="http://www.scival.com/benchmarking/ranking/the/worldUniversityRankings" TargetMode="External"/><Relationship Id="rId449" Type="http://schemas.microsoft.com/office/2019/05/relationships/documenttasks" Target="documenttasks/documenttasks1.xml"/><Relationship Id="rId211" Type="http://schemas.openxmlformats.org/officeDocument/2006/relationships/hyperlink" Target="http://www.abs.gov.au/statistics/industry/technology-and-innovation/research-and-experimental-development-government-and-private-non-profit-organisations-australia/2020-21" TargetMode="External"/><Relationship Id="rId253" Type="http://schemas.openxmlformats.org/officeDocument/2006/relationships/hyperlink" Target="http://www.nytimes.com/2018/04/02/upshot/an-international-final-four-which-country-handles-student-debt-best.html" TargetMode="External"/><Relationship Id="rId295" Type="http://schemas.openxmlformats.org/officeDocument/2006/relationships/hyperlink" Target="http://www.education.gov.au/higher-education-statistics/resources/student-enrolments-pivot-table-2022" TargetMode="External"/><Relationship Id="rId309" Type="http://schemas.openxmlformats.org/officeDocument/2006/relationships/hyperlink" Target="https://treasury.gov.au/sites/default/files/2023-08/p2023-435150.pdf" TargetMode="External"/><Relationship Id="rId48" Type="http://schemas.openxmlformats.org/officeDocument/2006/relationships/image" Target="media/image11.png"/><Relationship Id="rId113" Type="http://schemas.openxmlformats.org/officeDocument/2006/relationships/image" Target="media/image54.svg"/><Relationship Id="rId320" Type="http://schemas.openxmlformats.org/officeDocument/2006/relationships/hyperlink" Target="http://www.education.gov.au/quality-schools-package/resources/independent-review-regional-rural-and-remote-education-final-report" TargetMode="External"/><Relationship Id="rId155" Type="http://schemas.openxmlformats.org/officeDocument/2006/relationships/header" Target="header29.xml"/><Relationship Id="rId197" Type="http://schemas.openxmlformats.org/officeDocument/2006/relationships/hyperlink" Target="https://www.industry.gov.au/sites/default/files/2020-02/australian-business-investment-in-innovation-levels-trends-and-drivers.pdf" TargetMode="External"/><Relationship Id="rId362" Type="http://schemas.openxmlformats.org/officeDocument/2006/relationships/hyperlink" Target="https://grattan.edu.au/wp-content/uploads/2015/10/831-Cash-nexus-report.pdf" TargetMode="External"/><Relationship Id="rId418" Type="http://schemas.openxmlformats.org/officeDocument/2006/relationships/hyperlink" Target="https://tafeqld.edu.au/campaigns/queensland-future-skills-partnership" TargetMode="External"/><Relationship Id="rId222" Type="http://schemas.openxmlformats.org/officeDocument/2006/relationships/hyperlink" Target="http://www.arc.gov.au/sites/default/files/2023-06/ARC%20at%20a%20Glance%20-%20June%202023%20v4_double-page.pdf" TargetMode="External"/><Relationship Id="rId264" Type="http://schemas.openxmlformats.org/officeDocument/2006/relationships/hyperlink" Target="http://www.education.gov.au/system/files/documents/submission-file/2023-04/AUA_tranche3_Gwilym%20Croucher%20%26amp%3B%20%20Vin%20Massaro.pdf" TargetMode="External"/><Relationship Id="rId17" Type="http://schemas.openxmlformats.org/officeDocument/2006/relationships/footer" Target="footer2.xml"/><Relationship Id="rId59" Type="http://schemas.openxmlformats.org/officeDocument/2006/relationships/image" Target="media/image19.png"/><Relationship Id="rId124" Type="http://schemas.openxmlformats.org/officeDocument/2006/relationships/hyperlink" Target="https://www.abs.gov.au/statistics/economy/national-accounts/australian-national-accounts-national-income-expenditure-and-product/jun-2023" TargetMode="External"/><Relationship Id="rId70" Type="http://schemas.openxmlformats.org/officeDocument/2006/relationships/footer" Target="footer7.xml"/><Relationship Id="rId166" Type="http://schemas.openxmlformats.org/officeDocument/2006/relationships/image" Target="media/image80.png"/><Relationship Id="rId331" Type="http://schemas.openxmlformats.org/officeDocument/2006/relationships/hyperlink" Target="http://www.education.gov.au/australian-universities-accord/consultations/consultation-discussion-paper" TargetMode="External"/><Relationship Id="rId373" Type="http://schemas.openxmlformats.org/officeDocument/2006/relationships/hyperlink" Target="http://www.oecd.org/sti/inno/innovation-indicators-2023-highlights.pdf" TargetMode="External"/><Relationship Id="rId429" Type="http://schemas.openxmlformats.org/officeDocument/2006/relationships/hyperlink" Target="https://universitiesaustralia.edu.au/wp-content/uploads/2022/03/WIL-in-universities-final-report-April-2019.pdf" TargetMode="External"/><Relationship Id="rId1" Type="http://schemas.openxmlformats.org/officeDocument/2006/relationships/customXml" Target="../customXml/item1.xml"/><Relationship Id="rId233" Type="http://schemas.openxmlformats.org/officeDocument/2006/relationships/hyperlink" Target="http://www.imf.org/en&#8204;/Blogs/&#8204;Articles&#8204;/&#8204;2021/10/06/blog-ch3-weo-why-basic-science-matters-for-economic-growth" TargetMode="External"/><Relationship Id="rId440" Type="http://schemas.openxmlformats.org/officeDocument/2006/relationships/hyperlink" Target="https://doi.org/10.1080/03075079212331382547" TargetMode="External"/><Relationship Id="rId28" Type="http://schemas.openxmlformats.org/officeDocument/2006/relationships/header" Target="header8.xml"/><Relationship Id="rId275" Type="http://schemas.openxmlformats.org/officeDocument/2006/relationships/hyperlink" Target="http://www.courseseeker.edu.au/" TargetMode="External"/><Relationship Id="rId300" Type="http://schemas.openxmlformats.org/officeDocument/2006/relationships/hyperlink" Target="http://www.health.gov.au/our-work/national-medical-workforce-strategy-2021-2031" TargetMode="External"/><Relationship Id="rId81" Type="http://schemas.openxmlformats.org/officeDocument/2006/relationships/image" Target="media/image30.svg"/><Relationship Id="rId135" Type="http://schemas.openxmlformats.org/officeDocument/2006/relationships/image" Target="media/image68.svg"/><Relationship Id="rId177" Type="http://schemas.openxmlformats.org/officeDocument/2006/relationships/footer" Target="footer12.xml"/><Relationship Id="rId342" Type="http://schemas.openxmlformats.org/officeDocument/2006/relationships/hyperlink" Target="http://www.education.gov.au/australian-universities-accord/consultations/australian-universities-accord-panel-discussion-paper-consultation/submission/16326" TargetMode="External"/><Relationship Id="rId384" Type="http://schemas.openxmlformats.org/officeDocument/2006/relationships/hyperlink" Target="http://www.pc.gov.au/inquiries/completed/productivity/report/productivity-advancing-prosperity-all-volumes.pdf" TargetMode="External"/><Relationship Id="rId202" Type="http://schemas.openxmlformats.org/officeDocument/2006/relationships/hyperlink" Target="http://www.abs.gov.au/statistics/economy/national-accounts/australian-national-accounts-national-income-expenditure-and-product/latest-release" TargetMode="External"/><Relationship Id="rId244" Type="http://schemas.openxmlformats.org/officeDocument/2006/relationships/hyperlink" Target="http://www.ncsehe.edu.au/wp-content/uploads/2015/11/Are-Low-SES-Students-Disadvantaged-in-the-University-Application-Process-November-2015.pdf" TargetMode="External"/><Relationship Id="rId39" Type="http://schemas.openxmlformats.org/officeDocument/2006/relationships/image" Target="media/image5.png"/><Relationship Id="rId286" Type="http://schemas.openxmlformats.org/officeDocument/2006/relationships/hyperlink" Target="http://www.education.gov.au/higher-education-publications/resources/2021-higher-education-providers-finance-tables" TargetMode="External"/></Relationships>
</file>

<file path=word/_rels/footnotes.xml.rels><?xml version="1.0" encoding="UTF-8" standalone="yes"?>
<Relationships xmlns="http://schemas.openxmlformats.org/package/2006/relationships"><Relationship Id="rId117" Type="http://schemas.openxmlformats.org/officeDocument/2006/relationships/hyperlink" Target="https://education.nsw.gov.au/about-us/strategies-and-reports/our-reports-and-reviews/review-on-the-nsw-vocational-education-and-training-sector" TargetMode="External"/><Relationship Id="rId21" Type="http://schemas.openxmlformats.org/officeDocument/2006/relationships/hyperlink" Target="http://hdl.voced.edu.au/10707/228224" TargetMode="External"/><Relationship Id="rId63" Type="http://schemas.openxmlformats.org/officeDocument/2006/relationships/hyperlink" Target="https://www.jobsandskills.gov.au/data/employment-projections" TargetMode="External"/><Relationship Id="rId159" Type="http://schemas.openxmlformats.org/officeDocument/2006/relationships/hyperlink" Target="https://www.education.gov.au/regional-university-study-hubs/student-testimonials" TargetMode="External"/><Relationship Id="rId170" Type="http://schemas.openxmlformats.org/officeDocument/2006/relationships/hyperlink" Target="https://dataportal.arc.gov.au/ERA/NationalReport/2018/" TargetMode="External"/><Relationship Id="rId191" Type="http://schemas.openxmlformats.org/officeDocument/2006/relationships/hyperlink" Target="https://universitiesaustralia.edu.au/wp-content/uploads/2022/11/UA-submission-to-the-Prodcutivity-Commission-5-Year-Inquiry-Interim-Report-1.pdf" TargetMode="External"/><Relationship Id="rId205" Type="http://schemas.openxmlformats.org/officeDocument/2006/relationships/hyperlink" Target="https://parlinfo.aph.gov.au&#8204;/parlInfo&#8204;/&#8204;download/library/prspub/7622081/upload_binary/7622081.pdf;fileType=application%2Fpdf" TargetMode="External"/><Relationship Id="rId226" Type="http://schemas.openxmlformats.org/officeDocument/2006/relationships/hyperlink" Target="https://www.education.gov.au/higher-education-statistics/resources/student-enrolments-pivot-table-2022" TargetMode="External"/><Relationship Id="rId247" Type="http://schemas.openxmlformats.org/officeDocument/2006/relationships/hyperlink" Target="https://www.smh.com.au/national/nsw/all-but-one-of-the-state-s-universities-are-losing-money-as-student-numbers-shrink-20230531-p5dcto.html" TargetMode="External"/><Relationship Id="rId107" Type="http://schemas.openxmlformats.org/officeDocument/2006/relationships/hyperlink" Target="https://www.ncsehe.edu.au/wp-content/uploads/2022/11/2022-NCSEHE-Austin-Final.pdf" TargetMode="External"/><Relationship Id="rId11" Type="http://schemas.openxmlformats.org/officeDocument/2006/relationships/hyperlink" Target="https://www.pc.gov.au/inquiries/current/childhood/draft" TargetMode="External"/><Relationship Id="rId32" Type="http://schemas.openxmlformats.org/officeDocument/2006/relationships/hyperlink" Target="https://www.abs.gov.au/&#8204;statistics/&#8204;industry&#8204;/technology-and-innovation/research-and-experimental-development-higher-education-organisations&#8204;-&#8204;australia/latest-release" TargetMode="External"/><Relationship Id="rId53" Type="http://schemas.openxmlformats.org/officeDocument/2006/relationships/hyperlink" Target="http://www.spre.com.au/download/ExportsAustraliaStates2022.pdf" TargetMode="External"/><Relationship Id="rId74" Type="http://schemas.openxmlformats.org/officeDocument/2006/relationships/hyperlink" Target="https://www.education.gov.au/system/files/documents/submission-file/2023-04/AUA_tranche4_Sally%20Kift.pdf" TargetMode="External"/><Relationship Id="rId128" Type="http://schemas.openxmlformats.org/officeDocument/2006/relationships/hyperlink" Target="https://www.lsay.edu.au/publications/search-for-lsay-publications/generation-z-life-at-22" TargetMode="External"/><Relationship Id="rId149" Type="http://schemas.openxmlformats.org/officeDocument/2006/relationships/hyperlink" Target="https://www.education.gov.au/collections/communiques-education-ministers-meeting-2023" TargetMode="External"/><Relationship Id="rId5" Type="http://schemas.openxmlformats.org/officeDocument/2006/relationships/hyperlink" Target="https://www.qilt.edu.au/surveys/student-experience-survey-(ses)" TargetMode="External"/><Relationship Id="rId95" Type="http://schemas.openxmlformats.org/officeDocument/2006/relationships/hyperlink" Target="https://tafeqld.edu.au/&#8204;campaigns&#8204;/&#8204;queensland-&#8204;future-skills-partnership" TargetMode="External"/><Relationship Id="rId160" Type="http://schemas.openxmlformats.org/officeDocument/2006/relationships/hyperlink" Target="https://www.qilt.edu.au/" TargetMode="External"/><Relationship Id="rId181" Type="http://schemas.openxmlformats.org/officeDocument/2006/relationships/hyperlink" Target="https://atlas.cid.harvard.edu/rankings" TargetMode="External"/><Relationship Id="rId216" Type="http://schemas.openxmlformats.org/officeDocument/2006/relationships/hyperlink" Target="https://doi.org/10.1007/s10734-021-00759-8" TargetMode="External"/><Relationship Id="rId237" Type="http://schemas.openxmlformats.org/officeDocument/2006/relationships/hyperlink" Target="https://doi.org/10.22605/RRH1908" TargetMode="External"/><Relationship Id="rId258" Type="http://schemas.openxmlformats.org/officeDocument/2006/relationships/hyperlink" Target="https://parlinfo.aph.gov.au/parlInfo/search/display/display.w3p;query=Id%3A%22legislation%2Fems%2Fr6390_ems_53e96fa8-8d78-471d-b6b5-266e4e93871a%22" TargetMode="External"/><Relationship Id="rId22" Type="http://schemas.openxmlformats.org/officeDocument/2006/relationships/hyperlink" Target="https://www.voced.edu.au/content/ngv%3A53781" TargetMode="External"/><Relationship Id="rId43" Type="http://schemas.openxmlformats.org/officeDocument/2006/relationships/hyperlink" Target="https://www.timeshighereducation.com/news/back-black-australian-universities-brace-bushfire-season" TargetMode="External"/><Relationship Id="rId64" Type="http://schemas.openxmlformats.org/officeDocument/2006/relationships/hyperlink" Target="https://www.ava.com.au/news/ava-federal-government-pre-budget--submission-may-2023-budget/" TargetMode="External"/><Relationship Id="rId118" Type="http://schemas.openxmlformats.org/officeDocument/2006/relationships/hyperlink" Target="https://www.education.gov.au/heppp/heppp-evaluation" TargetMode="External"/><Relationship Id="rId139" Type="http://schemas.openxmlformats.org/officeDocument/2006/relationships/hyperlink" Target="https://www.pc.gov.au/inquiries/completed/productivity-review/report/productivity-review.pdf" TargetMode="External"/><Relationship Id="rId85" Type="http://schemas.openxmlformats.org/officeDocument/2006/relationships/hyperlink" Target="https://www.pc.gov.au/inquiries/completed/productivity/report/productivity-volume8-education-skills.pdf" TargetMode="External"/><Relationship Id="rId150" Type="http://schemas.openxmlformats.org/officeDocument/2006/relationships/hyperlink" Target="https://www.qilt.edu.au/surveys/graduate-outcomes-survey-(gos)" TargetMode="External"/><Relationship Id="rId171" Type="http://schemas.openxmlformats.org/officeDocument/2006/relationships/hyperlink" Target="https://www.aap.com.au/aapreleases/cision20231115ae68209/" TargetMode="External"/><Relationship Id="rId192" Type="http://schemas.openxmlformats.org/officeDocument/2006/relationships/hyperlink" Target="https://www.education.gov.au/australian-universities-accord/consultations/australian-universities-accord-panel-discussion-paper-consultation/submission/15945" TargetMode="External"/><Relationship Id="rId206" Type="http://schemas.openxmlformats.org/officeDocument/2006/relationships/hyperlink" Target="https://www.chiefscientist.gov.au/sites&#8204;/&#8204;default&#8204;/files/2023-08/Clarifying%20the&#8204;%20&#8204;distin&#8204;c&#8204;t&#8204;i&#8204;o&#8204;n&#8204;s&#8204;%20&#8204;between%20&#8204;research&#8204;%20integrity%2C%25&#8204;20research%25&#8204;20&#8204;quality%2C%20excellence%2C%20and%20impact.pdf" TargetMode="External"/><Relationship Id="rId227" Type="http://schemas.openxmlformats.org/officeDocument/2006/relationships/hyperlink" Target="https://www.run.edu.au/about-us/statistics/" TargetMode="External"/><Relationship Id="rId248" Type="http://schemas.openxmlformats.org/officeDocument/2006/relationships/hyperlink" Target="https://www.theage.com.au/national/victoria/victorian-universities-deep-in-the-red-as-overseas-student-numbers-stay-low-20230502-p5d50b.html" TargetMode="External"/><Relationship Id="rId12" Type="http://schemas.openxmlformats.org/officeDocument/2006/relationships/hyperlink" Target="https://www.pc.gov.au/inquiries/completed/school-agreement/report" TargetMode="External"/><Relationship Id="rId33" Type="http://schemas.openxmlformats.org/officeDocument/2006/relationships/hyperlink" Target="https://www.abs.gov.au/statistics/industry/technology-and-innovation/research-and-experimental-development-government-and-private-non-profit-organisations-australia/2020-21" TargetMode="External"/><Relationship Id="rId108" Type="http://schemas.openxmlformats.org/officeDocument/2006/relationships/hyperlink" Target="https://www.ncsehe.edu.au/publications/careers-study-information-low-ses-students/" TargetMode="External"/><Relationship Id="rId129" Type="http://schemas.openxmlformats.org/officeDocument/2006/relationships/hyperlink" Target="https://www.education.gov.au/system/files/documents/submission-file/2023-02/AUA_priorities_National%20Union%20of%20Students.pdf" TargetMode="External"/><Relationship Id="rId54" Type="http://schemas.openxmlformats.org/officeDocument/2006/relationships/hyperlink" Target="https://www.education.gov.au/international-education-data-and-research/international-student-monthly-summary-and-data-tables" TargetMode="External"/><Relationship Id="rId75" Type="http://schemas.openxmlformats.org/officeDocument/2006/relationships/hyperlink" Target="https://www.education.gov.au/higher-education-reviews-and-consultations/resources/review-australian-qualifications-framework-final-report-2019" TargetMode="External"/><Relationship Id="rId96" Type="http://schemas.openxmlformats.org/officeDocument/2006/relationships/hyperlink" Target="https://espace.library.uq.edu.au/vie&#8204;w/UQ:bd8a044/Review_of_E&#8204;quity_Groups_&#8204;Final&#8204;_&#8204;Report.pdf?dsi_version&#8204;=b28&#8204;8&#8204;c&#8204;4&#8204;5&#8204;b247e4dbcd7bf879e09724b9c" TargetMode="External"/><Relationship Id="rId140" Type="http://schemas.openxmlformats.org/officeDocument/2006/relationships/hyperlink" Target="https://www.abs.gov.au/statistics/labour/employment-and-unemployment/barriers-and-incentives-labour-force-participation-australia/latest-release" TargetMode="External"/><Relationship Id="rId161" Type="http://schemas.openxmlformats.org/officeDocument/2006/relationships/hyperlink" Target="https://immi.homeaffairs.gov.au/programs-subsite/migration-strategy/Documents/migration-strategy.pdf" TargetMode="External"/><Relationship Id="rId182" Type="http://schemas.openxmlformats.org/officeDocument/2006/relationships/hyperlink" Target="https://www.imf.org/en/Publications/CR/Issues/2021/12/02/Australia-Selected-Issues-510757" TargetMode="External"/><Relationship Id="rId217" Type="http://schemas.openxmlformats.org/officeDocument/2006/relationships/hyperlink" Target="https://www.doi.org/10.26188/23995704" TargetMode="External"/><Relationship Id="rId6" Type="http://schemas.openxmlformats.org/officeDocument/2006/relationships/hyperlink" Target="https://www.education.gov.au/higher-education-statistics/resources/2022-section-2-all-students" TargetMode="External"/><Relationship Id="rId238" Type="http://schemas.openxmlformats.org/officeDocument/2006/relationships/hyperlink" Target="https://medicaldeans.org.au/" TargetMode="External"/><Relationship Id="rId259" Type="http://schemas.openxmlformats.org/officeDocument/2006/relationships/hyperlink" Target="https://www.theaustralian.com.au/commentary/universities-should-pay-levy-on-foreign-student-industry&#8204;/&#8204;news-story/57c14ca00cd248774e24b51f1c8ad80d" TargetMode="External"/><Relationship Id="rId23" Type="http://schemas.openxmlformats.org/officeDocument/2006/relationships/hyperlink" Target="https://doi.org/10.1007/978-3-030-97837-2" TargetMode="External"/><Relationship Id="rId119" Type="http://schemas.openxmlformats.org/officeDocument/2006/relationships/hyperlink" Target="http://hdl.handle.net/1959.13/1389888" TargetMode="External"/><Relationship Id="rId44" Type="http://schemas.openxmlformats.org/officeDocument/2006/relationships/hyperlink" Target="https://lismoreapp.com.au/news-sport/news/lismores-scu-temporary-home-site-now-open-for-flood-impacted&#8204;-residents?id=63866b690ea5fe0150859a85" TargetMode="External"/><Relationship Id="rId65" Type="http://schemas.openxmlformats.org/officeDocument/2006/relationships/hyperlink" Target="https://www.health.gov.au/our-work/national-medical-workforce-strategy-2021-2031" TargetMode="External"/><Relationship Id="rId86" Type="http://schemas.openxmlformats.org/officeDocument/2006/relationships/hyperlink" Target="https://www2.nzqa.govt.nz/tertiary/approval-accreditation-and-registration/micro-credentials/" TargetMode="External"/><Relationship Id="rId130" Type="http://schemas.openxmlformats.org/officeDocument/2006/relationships/hyperlink" Target="https://www.education.gov.au/system/files/documents/submission-file/2023-02/AUA_priorities_Curtin%20Student%20Guild_0.pdf" TargetMode="External"/><Relationship Id="rId151" Type="http://schemas.openxmlformats.org/officeDocument/2006/relationships/hyperlink" Target="https://www.qilt.edu.au/surveys/graduate-outcomes-survey---longitudinal-(gos-l)" TargetMode="External"/><Relationship Id="rId172" Type="http://schemas.openxmlformats.org/officeDocument/2006/relationships/hyperlink" Target="https://dataportal.arc.gov.au/ERA/NationalReport/2018&#8204;/pages/section1&#8204;/&#8204;research-quality/" TargetMode="External"/><Relationship Id="rId193" Type="http://schemas.openxmlformats.org/officeDocument/2006/relationships/hyperlink" Target="https://www.arc.gov.au/sites/default/files/2023-06/ARC%20at%20a%20Glance%20-%20June%202023%20v4_double-page.pdf" TargetMode="External"/><Relationship Id="rId207" Type="http://schemas.openxmlformats.org/officeDocument/2006/relationships/hyperlink" Target="https://www.arc.gov.au/standard-excellence-research-australia-era-and-engagement-and-impact-ei-2018-outcomes" TargetMode="External"/><Relationship Id="rId228" Type="http://schemas.openxmlformats.org/officeDocument/2006/relationships/hyperlink" Target="https://www.abs.gov.au/census/find-census-data/quickstats/2021/6" TargetMode="External"/><Relationship Id="rId249" Type="http://schemas.openxmlformats.org/officeDocument/2006/relationships/hyperlink" Target="https://www.education.gov.au/higher-education-publications/finance-publication" TargetMode="External"/><Relationship Id="rId13" Type="http://schemas.openxmlformats.org/officeDocument/2006/relationships/hyperlink" Target="https://cica.org.au/wp-content/uploads/The-Early-Years-Career-Development-for-Young-Children-Educators-Guide-October-2017.pdf" TargetMode="External"/><Relationship Id="rId109" Type="http://schemas.openxmlformats.org/officeDocument/2006/relationships/hyperlink" Target="https://documents.uow.edu.au/content/groups/public/@web/@dvce/@in2uni/documents/doc/uow264921.pdf" TargetMode="External"/><Relationship Id="rId260" Type="http://schemas.openxmlformats.org/officeDocument/2006/relationships/hyperlink" Target="https://www.education.gov.au/australian-universities-accord/resources/nous-group-consultation-report" TargetMode="External"/><Relationship Id="rId34" Type="http://schemas.openxmlformats.org/officeDocument/2006/relationships/hyperlink" Target="https://incites.clarivate.com/" TargetMode="External"/><Relationship Id="rId55" Type="http://schemas.openxmlformats.org/officeDocument/2006/relationships/hyperlink" Target="https://www.education.gov.au/international-education-data-and-research/international-student-monthly-summary-and-data-tables" TargetMode="External"/><Relationship Id="rId76" Type="http://schemas.openxmlformats.org/officeDocument/2006/relationships/hyperlink" Target="https://www.northmetrotafe.wa.edu.au/news-and-events/joining-forces-tackle-ongoing-cyber-security-challenge" TargetMode="External"/><Relationship Id="rId97" Type="http://schemas.openxmlformats.org/officeDocument/2006/relationships/hyperlink" Target="https://www.aph.gov.au/Parliamentary_Business/Bills_Legislation/Bills_Search_Results/Result?bId=r7060" TargetMode="External"/><Relationship Id="rId120" Type="http://schemas.openxmlformats.org/officeDocument/2006/relationships/hyperlink" Target="https://content.vic.gov.au/sites/default/files/2020-03/Working-%20together-in%20place-Policy%20Framework.pdf" TargetMode="External"/><Relationship Id="rId141" Type="http://schemas.openxmlformats.org/officeDocument/2006/relationships/hyperlink" Target="https://www.rba.gov.au/inflation/measures-cpi.html" TargetMode="External"/><Relationship Id="rId7" Type="http://schemas.openxmlformats.org/officeDocument/2006/relationships/hyperlink" Target="https://www.education.gov.au/higher-education-publications/resources/2021-higher-education-providers-finance-tables" TargetMode="External"/><Relationship Id="rId162" Type="http://schemas.openxmlformats.org/officeDocument/2006/relationships/hyperlink" Target="https://www.timeshighereducation.com/news/australian-universities-cap-international-student-numbers" TargetMode="External"/><Relationship Id="rId183" Type="http://schemas.openxmlformats.org/officeDocument/2006/relationships/hyperlink" Target="https://www.pc.gov.au/inquiries/completed/productivity/report/productivity-advancing-prosperity-all-volumes.pdf" TargetMode="External"/><Relationship Id="rId218" Type="http://schemas.openxmlformats.org/officeDocument/2006/relationships/hyperlink" Target="https://www.closingthegap.gov.au/national-agreement/national-agreement-closing-the-gap" TargetMode="External"/><Relationship Id="rId239" Type="http://schemas.openxmlformats.org/officeDocument/2006/relationships/hyperlink" Target="https://www.education.gov.au/system/files/2023-09/AUA_inter_tranche11_246%20University%20of%20New%20England.pdf" TargetMode="External"/><Relationship Id="rId250" Type="http://schemas.openxmlformats.org/officeDocument/2006/relationships/hyperlink" Target="https://www.education.gov.au/higher-education-publications/finance-publication" TargetMode="External"/><Relationship Id="rId24" Type="http://schemas.openxmlformats.org/officeDocument/2006/relationships/hyperlink" Target="https://www.abs.gov.au/statistics/industry/technology-and-innovation/research-and-experimental-development-businesses-australia/latest-release" TargetMode="External"/><Relationship Id="rId45" Type="http://schemas.openxmlformats.org/officeDocument/2006/relationships/hyperlink" Target="http://hdl.voced.edu.au/10707/659556" TargetMode="External"/><Relationship Id="rId66" Type="http://schemas.openxmlformats.org/officeDocument/2006/relationships/hyperlink" Target="https://www.education.gov.au/system/files/2023-09/AUA_inter_tranche9a_192%20Australian%20Chamber%20of%20Commerce%20and%20Industry.pdf" TargetMode="External"/><Relationship Id="rId87" Type="http://schemas.openxmlformats.org/officeDocument/2006/relationships/hyperlink" Target="https://www.officeforstudents.org.uk/advice-and-guidance/skills-and-employment/higher-education-short-course-trial/" TargetMode="External"/><Relationship Id="rId110" Type="http://schemas.openxmlformats.org/officeDocument/2006/relationships/hyperlink" Target="https://www.education.gov.au/system/files/2023-09/AUA_inter_tranche6a_139%20National%20Association%20of%20Graduate%20Careers%20Advisory%20Services%20%28NAGCAS%29.pdf" TargetMode="External"/><Relationship Id="rId131" Type="http://schemas.openxmlformats.org/officeDocument/2006/relationships/hyperlink" Target="https://www.dss.gov.au/groups-councils-and-committees-economic-inclusion-advisory-committee/interim-economic-inclusion-advisory-committee-2023-24-report" TargetMode="External"/><Relationship Id="rId152" Type="http://schemas.openxmlformats.org/officeDocument/2006/relationships/hyperlink" Target="https://www.qilt.edu.au/&#8204;surveys/&#8204;student-experience-survey-(ses)" TargetMode="External"/><Relationship Id="rId173" Type="http://schemas.openxmlformats.org/officeDocument/2006/relationships/hyperlink" Target="http://www.scival.com/collaboration/collabMetrics?uri=Country/36" TargetMode="External"/><Relationship Id="rId194" Type="http://schemas.openxmlformats.org/officeDocument/2006/relationships/hyperlink" Target="https://datahelpdesk.worldbank.org/knowledgebase/articles/114942-what-is-the-difference-between-current-and-constan" TargetMode="External"/><Relationship Id="rId208" Type="http://schemas.openxmlformats.org/officeDocument/2006/relationships/hyperlink" Target="https://www.education.gov.au&#8204;/&#8204;higher-education-reviews-and-consultations/resources/trusting-australias-ability-review-australian-research-council-act-2001" TargetMode="External"/><Relationship Id="rId229" Type="http://schemas.openxmlformats.org/officeDocument/2006/relationships/hyperlink" Target="https://www.une.edu.au/research/research-centres-institutes/smart-farm" TargetMode="External"/><Relationship Id="rId240" Type="http://schemas.openxmlformats.org/officeDocument/2006/relationships/hyperlink" Target="https://www.vu.edu.au/mitchell-institute/education/tertiary-education/needs-based-funding-lessons-from-the-school-sector" TargetMode="External"/><Relationship Id="rId261" Type="http://schemas.openxmlformats.org/officeDocument/2006/relationships/hyperlink" Target="https://www.education.gov.au/australian-universities-accord/consultations/higher-education-review" TargetMode="External"/><Relationship Id="rId14" Type="http://schemas.openxmlformats.org/officeDocument/2006/relationships/hyperlink" Target="https://www.education.gov.au/review-inform-better-and-fairer-education-system/resources/expert-panels-report" TargetMode="External"/><Relationship Id="rId35" Type="http://schemas.openxmlformats.org/officeDocument/2006/relationships/hyperlink" Target="https://data.worldbank.org/indicator/SP.POP.TOTL" TargetMode="External"/><Relationship Id="rId56" Type="http://schemas.openxmlformats.org/officeDocument/2006/relationships/hyperlink" Target="https://www.dfat.gov.au/sites/default/files/trade-and-investment-glance-2021.pdf" TargetMode="External"/><Relationship Id="rId77" Type="http://schemas.openxmlformats.org/officeDocument/2006/relationships/hyperlink" Target="https://www.pmc.gov.au/publications/strengthening-skills-expert-review-australias-vocational-education-and-training-system" TargetMode="External"/><Relationship Id="rId100" Type="http://schemas.openxmlformats.org/officeDocument/2006/relationships/hyperlink" Target="https://www.education.gov.au/higher-education-statistics/resources/2022-section-16-equity-performance-data" TargetMode="External"/><Relationship Id="rId8" Type="http://schemas.openxmlformats.org/officeDocument/2006/relationships/hyperlink" Target="https://www.abs.gov.au/statistics/economy/international-trade/balance-payments-and-international-investment-position-australia/latest-release" TargetMode="External"/><Relationship Id="rId98" Type="http://schemas.openxmlformats.org/officeDocument/2006/relationships/hyperlink" Target="https://www.ncsehe&#8204;.edu.&#8204;au/wp-content/uploads/2015/03/Out-of-Care-Into-University.pdf" TargetMode="External"/><Relationship Id="rId121" Type="http://schemas.openxmlformats.org/officeDocument/2006/relationships/hyperlink" Target="https://www.ncsehe.edu.au/wp-content/uploads/2022/11/2022-Dollinger-Final.pdf" TargetMode="External"/><Relationship Id="rId142" Type="http://schemas.openxmlformats.org/officeDocument/2006/relationships/hyperlink" Target="https://www.education.gov.au/australian-universities-accord/consultations/consultation-discussion-paper" TargetMode="External"/><Relationship Id="rId163" Type="http://schemas.openxmlformats.org/officeDocument/2006/relationships/hyperlink" Target="https://parlinfo.aph.gov.au/parlInfo/&#8204;download/committees/reportjnt/024680/toc_pdf/FinalReport&#8204;of&#8204;the&#8204;InquiryintoAustralia&#8217;sSkilledMigrationProgram.pdf;fileType=application%2Fpdf" TargetMode="External"/><Relationship Id="rId184" Type="http://schemas.openxmlformats.org/officeDocument/2006/relationships/hyperlink" Target="https://www.investment.nsw.gov.au/assets/Uploads/files/IPC/Full-Report-IPC-The-Innovation-Economy-2018.pdf" TargetMode="External"/><Relationship Id="rId219" Type="http://schemas.openxmlformats.org/officeDocument/2006/relationships/hyperlink" Target="https://www.education.gov.au/system/files/documents/submission-file/2023-04/AUA_tranche3_Gwilym%20Croucher%20%26amp%3B%20%20Vin%20Massaro.pdf" TargetMode="External"/><Relationship Id="rId230" Type="http://schemas.openxmlformats.org/officeDocument/2006/relationships/hyperlink" Target="https://nousgroup.com/wp-content/uploads/2020/09/RUN-Summary-Report-final-compressed.pdf" TargetMode="External"/><Relationship Id="rId251" Type="http://schemas.openxmlformats.org/officeDocument/2006/relationships/hyperlink" Target="https://www.education.gov.au/higher-education-publications/finance-publication" TargetMode="External"/><Relationship Id="rId25" Type="http://schemas.openxmlformats.org/officeDocument/2006/relationships/hyperlink" Target="https://www.education.gov.au/research-translation-and-commercialisation-agenda" TargetMode="External"/><Relationship Id="rId46" Type="http://schemas.openxmlformats.org/officeDocument/2006/relationships/hyperlink" Target="https://population.gov.au/data-and-forecasts/projections/budget-2023-24-population-projections-australia-2022-23-2033-34" TargetMode="External"/><Relationship Id="rId67" Type="http://schemas.openxmlformats.org/officeDocument/2006/relationships/hyperlink" Target="https://www.education.gov.au/system/files/2023-09/AUA_inter_tranche8_168%20Business%20Council%20of%20Australia.pdf" TargetMode="External"/><Relationship Id="rId88" Type="http://schemas.openxmlformats.org/officeDocument/2006/relationships/hyperlink" Target="https://www.acs.org.au/professionalrecognition/microcredentials-home.html" TargetMode="External"/><Relationship Id="rId111" Type="http://schemas.openxmlformats.org/officeDocument/2006/relationships/hyperlink" Target="https://www.education.gov.au/access-and-participation/resources/national-regional-rural-and-remote-tertiary-education-strategy-final-report" TargetMode="External"/><Relationship Id="rId132" Type="http://schemas.openxmlformats.org/officeDocument/2006/relationships/hyperlink" Target="https://www.servicesaustralia.gov.au/income-test-for-jobseeker-payment" TargetMode="External"/><Relationship Id="rId153" Type="http://schemas.openxmlformats.org/officeDocument/2006/relationships/hyperlink" Target="https://www.officeforstudents.&#8204;org&#8204;.&#8204;uk/advice-and-guidance/the-tef/" TargetMode="External"/><Relationship Id="rId174" Type="http://schemas.openxmlformats.org/officeDocument/2006/relationships/hyperlink" Target="https://www.abs.gov.au/statistics/economy/national-accounts/australian-national-accounts-national-income-expenditure-and-product/latest-release" TargetMode="External"/><Relationship Id="rId195" Type="http://schemas.openxmlformats.org/officeDocument/2006/relationships/hyperlink" Target="https://www.apprise.org.au/project/first-nations-led-projects-funded-for-covid-19-research/" TargetMode="External"/><Relationship Id="rId209" Type="http://schemas.openxmlformats.org/officeDocument/2006/relationships/hyperlink" Target="https://www.researchprofessionalnews.com/rr-news-europe-universities-2023-9-leiden-rankings-to-add-open-source-version-in-2024/" TargetMode="External"/><Relationship Id="rId220" Type="http://schemas.openxmlformats.org/officeDocument/2006/relationships/hyperlink" Target="https://www.education.gov.au/australian-universities-accord/consultations/australian-universities-accord-panel-discussion-paper-consultation/submission/16041" TargetMode="External"/><Relationship Id="rId241" Type="http://schemas.openxmlformats.org/officeDocument/2006/relationships/hyperlink" Target="https://doi.org/10.5204/ssj.2313" TargetMode="External"/><Relationship Id="rId15" Type="http://schemas.openxmlformats.org/officeDocument/2006/relationships/hyperlink" Target="https://www.pc.gov.au/inquiries/completed/productivity/report/productivity-advancing-prosperity-all-volumes.pdf" TargetMode="External"/><Relationship Id="rId36" Type="http://schemas.openxmlformats.org/officeDocument/2006/relationships/hyperlink" Target="http://www.scival.com/collaboration/collabMetrics?uri=Country/36" TargetMode="External"/><Relationship Id="rId57" Type="http://schemas.openxmlformats.org/officeDocument/2006/relationships/hyperlink" Target="https://www.timeshighereducation.com/world-university-rankings/2023/world-ranking" TargetMode="External"/><Relationship Id="rId262" Type="http://schemas.openxmlformats.org/officeDocument/2006/relationships/hyperlink" Target="https://www.education.gov.au/australian-universities-accord/resources/australian-universities-accord-discussion-paper-submission-analysis" TargetMode="External"/><Relationship Id="rId78" Type="http://schemas.openxmlformats.org/officeDocument/2006/relationships/hyperlink" Target="https://www.education.gov.au/quality-schools-package/resources/looking-future-report-review-senior-secondary-pathways-work-further-education-and-training" TargetMode="External"/><Relationship Id="rId99" Type="http://schemas.openxmlformats.org/officeDocument/2006/relationships/hyperlink" Target="http://dx.doi.org/10.1080/13603116.2015.1079273." TargetMode="External"/><Relationship Id="rId101" Type="http://schemas.openxmlformats.org/officeDocument/2006/relationships/hyperlink" Target="https://www.pc.gov.au/research/completed/university-report-card/university-report-card.pdf" TargetMode="External"/><Relationship Id="rId122" Type="http://schemas.openxmlformats.org/officeDocument/2006/relationships/hyperlink" Target="https://www.chiefscientist.gov.au/sites/default/files/2020-09/mapping_university_prerequisites_in_australia.pdf" TargetMode="External"/><Relationship Id="rId143" Type="http://schemas.openxmlformats.org/officeDocument/2006/relationships/hyperlink" Target="https://grattan.edu.au/wp-content/uploads/2016/12/883-Shared-interest-A-universal-loan-fee-for-HELP.pdf" TargetMode="External"/><Relationship Id="rId164" Type="http://schemas.openxmlformats.org/officeDocument/2006/relationships/hyperlink" Target="https://grattan.edu.au/wp-content/uploads/2022/12/Australias-migration-opportunity-how-rethinking-skilled-migration-can-solve-some-of-our-biggest-problems.pdf" TargetMode="External"/><Relationship Id="rId185" Type="http://schemas.openxmlformats.org/officeDocument/2006/relationships/hyperlink" Target="http://www.dpac.tas.gov.au/divisions/policy/partnership_with_the_university_of_tasmania" TargetMode="External"/><Relationship Id="rId9" Type="http://schemas.openxmlformats.org/officeDocument/2006/relationships/hyperlink" Target="https://www.homeaffairs.gov.au/reports-and-pubs/files/review-migration-system-final-report.pdf" TargetMode="External"/><Relationship Id="rId210" Type="http://schemas.openxmlformats.org/officeDocument/2006/relationships/hyperlink" Target="https://doi.org/10.5281/zenodo.8362576" TargetMode="External"/><Relationship Id="rId26" Type="http://schemas.openxmlformats.org/officeDocument/2006/relationships/hyperlink" Target="https://www.teqsa.gov.au/national-register" TargetMode="External"/><Relationship Id="rId231" Type="http://schemas.openxmlformats.org/officeDocument/2006/relationships/hyperlink" Target="https://www.education.gov.au/system/files/documents/submission-file/2023-04/AUA_tranche1_Regional%20Universities%20Network.pdf" TargetMode="External"/><Relationship Id="rId252" Type="http://schemas.openxmlformats.org/officeDocument/2006/relationships/hyperlink" Target="https://universitiesaustralia.edu.au/wp-content/uploads/2022/09/220207-HE-Facts-and-Figures-2022_2.0.pdf" TargetMode="External"/><Relationship Id="rId47" Type="http://schemas.openxmlformats.org/officeDocument/2006/relationships/hyperlink" Target="https://treasury.gov.au/sites/default/files/2023-08/p2023-435150.pdf" TargetMode="External"/><Relationship Id="rId68" Type="http://schemas.openxmlformats.org/officeDocument/2006/relationships/hyperlink" Target="https://www.education.gov.au/system/files/2023-09/AUA_inter_tranche7_157%20Australian%20Industry%20Group.pdf" TargetMode="External"/><Relationship Id="rId89" Type="http://schemas.openxmlformats.org/officeDocument/2006/relationships/hyperlink" Target="https://www.education.gov.au/higher-education-publications/resources/national-microcredentials-framework" TargetMode="External"/><Relationship Id="rId112" Type="http://schemas.openxmlformats.org/officeDocument/2006/relationships/hyperlink" Target="https://www.oecd-ilibrary.org/employment/strengthening-career-guidance-for-mid-career-adults-in-australia_e08803ce-en" TargetMode="External"/><Relationship Id="rId133" Type="http://schemas.openxmlformats.org/officeDocument/2006/relationships/hyperlink" Target="https://www.servicesaustralia.gov.au/income-bank" TargetMode="External"/><Relationship Id="rId154" Type="http://schemas.openxmlformats.org/officeDocument/2006/relationships/hyperlink" Target="https://www.acecqa.gov.au/national-quality-framework" TargetMode="External"/><Relationship Id="rId175" Type="http://schemas.openxmlformats.org/officeDocument/2006/relationships/hyperlink" Target="https://www.industry.gov.au/publications/science-research-and-innovation-sri-budget-tables-2022-23" TargetMode="External"/><Relationship Id="rId196" Type="http://schemas.openxmlformats.org/officeDocument/2006/relationships/hyperlink" Target="https://www.elsevier.com/connect/the-growing-importance-of-research-infrastructures" TargetMode="External"/><Relationship Id="rId200" Type="http://schemas.openxmlformats.org/officeDocument/2006/relationships/hyperlink" Target="https://openresearch-repository.anu.edu.au/handle/1885/209175" TargetMode="External"/><Relationship Id="rId16" Type="http://schemas.openxmlformats.org/officeDocument/2006/relationships/hyperlink" Target="https://research-repository.griffith.edu.au/bitstream/handle/10072/38922/65824_1.pdf?sequence=1" TargetMode="External"/><Relationship Id="rId221" Type="http://schemas.openxmlformats.org/officeDocument/2006/relationships/hyperlink" Target="https://www.abs.gov.au/statistics/people/population/regional-population/2021-22" TargetMode="External"/><Relationship Id="rId242" Type="http://schemas.openxmlformats.org/officeDocument/2006/relationships/hyperlink" Target="https://www.iteca.edu.au/state-of-sector" TargetMode="External"/><Relationship Id="rId263" Type="http://schemas.openxmlformats.org/officeDocument/2006/relationships/hyperlink" Target="https://www.education.gov.au/australian-universities-accord/consultations/consultation-discussion-paper" TargetMode="External"/><Relationship Id="rId37" Type="http://schemas.openxmlformats.org/officeDocument/2006/relationships/hyperlink" Target="https://dataportal.arc.gov.au/ERA/NationalReport/2018/" TargetMode="External"/><Relationship Id="rId58" Type="http://schemas.openxmlformats.org/officeDocument/2006/relationships/hyperlink" Target="https://www.theaustralian.com.au/inquirer/the-great-skills-shift-everyones-an-expert-now/news-story&#8204;/&#8204;8ffef7&#8204;3&#8204;878c4f308dde2457837e6c5de" TargetMode="External"/><Relationship Id="rId79" Type="http://schemas.openxmlformats.org/officeDocument/2006/relationships/hyperlink" Target="https://www.yourcareer.gov.au/learn-and-train/myskills" TargetMode="External"/><Relationship Id="rId102" Type="http://schemas.openxmlformats.org/officeDocument/2006/relationships/hyperlink" Target="https://research.acer.edu.au/cgi/viewcontent.cgi?article=1056&amp;context=ozpisa" TargetMode="External"/><Relationship Id="rId123" Type="http://schemas.openxmlformats.org/officeDocument/2006/relationships/hyperlink" Target="https://www.aced.edu.au/downloads/POSITION%20STATEMENT%20No%205%20Mathematics%20Requirements%20for%20Engineering%20Degrees.pdf" TargetMode="External"/><Relationship Id="rId144" Type="http://schemas.openxmlformats.org/officeDocument/2006/relationships/hyperlink" Target="https://ro.uow.edu.au/jutlp/vol19/iss4/03" TargetMode="External"/><Relationship Id="rId90" Type="http://schemas.openxmlformats.org/officeDocument/2006/relationships/hyperlink" Target="https://www.teqsa.gov.au/guides-resources/resources/guidance-notes/guidance-note-nested-courses-study" TargetMode="External"/><Relationship Id="rId165" Type="http://schemas.openxmlformats.org/officeDocument/2006/relationships/hyperlink" Target="https://mktgdocs.cbre.com/2299/c5166330-37d3-4674-8cda-dce518da0b37-1392467054.pdf" TargetMode="External"/><Relationship Id="rId186" Type="http://schemas.openxmlformats.org/officeDocument/2006/relationships/hyperlink" Target="https://www.education.gov.au/university-research-commercialisation-package/announcements/research-commercialisation-action-plan-has-been-released" TargetMode="External"/><Relationship Id="rId211" Type="http://schemas.openxmlformats.org/officeDocument/2006/relationships/hyperlink" Target="https://www.arc.gov.au/sites/default/files/era_ei_ac_report.pdf" TargetMode="External"/><Relationship Id="rId232" Type="http://schemas.openxmlformats.org/officeDocument/2006/relationships/hyperlink" Target="https://study.csu.edu.au/career-area/education-teaching/teachers-aide" TargetMode="External"/><Relationship Id="rId253" Type="http://schemas.openxmlformats.org/officeDocument/2006/relationships/hyperlink" Target="https://www.education.gov.au/higher-education-reviews-and-consultations/resources/review-demand-driven-funding-system-report" TargetMode="External"/><Relationship Id="rId27" Type="http://schemas.openxmlformats.org/officeDocument/2006/relationships/hyperlink" Target="https://www.oecd.org/sti/msti.htm" TargetMode="External"/><Relationship Id="rId48" Type="http://schemas.openxmlformats.org/officeDocument/2006/relationships/hyperlink" Target="https://www.abs.gov.au/statistics/people/population/australias-population-country-birth/latest-release" TargetMode="External"/><Relationship Id="rId69" Type="http://schemas.openxmlformats.org/officeDocument/2006/relationships/hyperlink" Target="https://www.yourcareer.gov.au/resources/australian-jobs-report" TargetMode="External"/><Relationship Id="rId113" Type="http://schemas.openxmlformats.org/officeDocument/2006/relationships/hyperlink" Target="https://doi.org/10.1787/25206125" TargetMode="External"/><Relationship Id="rId134" Type="http://schemas.openxmlformats.org/officeDocument/2006/relationships/hyperlink" Target="https://www.education.gov.au/quality-schools-package/resources/independent-review-regional-rural-and-remote-education-final-report" TargetMode="External"/><Relationship Id="rId80" Type="http://schemas.openxmlformats.org/officeDocument/2006/relationships/hyperlink" Target="https://www.microcredseeker.edu.au/about" TargetMode="External"/><Relationship Id="rId155" Type="http://schemas.openxmlformats.org/officeDocument/2006/relationships/hyperlink" Target="https://advance-he.ac.uk/knowledge-hub/professional-standards-framework&#8204;-&#8204;teaching-and-supporting-learning-higher-education-0" TargetMode="External"/><Relationship Id="rId176" Type="http://schemas.openxmlformats.org/officeDocument/2006/relationships/hyperlink" Target="https://www.abs.gov.au/statistics/economy/national-accounts/australian-national-accounts-national-income-expenditure-and-product/latest-release" TargetMode="External"/><Relationship Id="rId197" Type="http://schemas.openxmlformats.org/officeDocument/2006/relationships/hyperlink" Target="https://socialsciences.org.au/data-enabled-reseach-future/" TargetMode="External"/><Relationship Id="rId201" Type="http://schemas.openxmlformats.org/officeDocument/2006/relationships/hyperlink" Target="https://www.qilt.edu.au/docs/default-source/default-document-library/2022-gos-national-report.pdf?sfvrsn=c5d342c8_2" TargetMode="External"/><Relationship Id="rId222" Type="http://schemas.openxmlformats.org/officeDocument/2006/relationships/hyperlink" Target="https://www.education.gov.au/higher-education-statistics/resources/2021-section-2-all-students" TargetMode="External"/><Relationship Id="rId243" Type="http://schemas.openxmlformats.org/officeDocument/2006/relationships/hyperlink" Target="https://www.cqu.edu.au/news/842769/new-rockhampton-cquniversity-facility-to-support-future-training-needs-of-resources-sector" TargetMode="External"/><Relationship Id="rId264" Type="http://schemas.openxmlformats.org/officeDocument/2006/relationships/hyperlink" Target="https://www.education.gov.au/australian-universities-accord/consultations/consultation-interim-report" TargetMode="External"/><Relationship Id="rId17" Type="http://schemas.openxmlformats.org/officeDocument/2006/relationships/hyperlink" Target="https://www.abs.gov.au/AUSSTATS/abs@.nsf/DetailsPage/1301.01946-47?OpenDocument" TargetMode="External"/><Relationship Id="rId38" Type="http://schemas.openxmlformats.org/officeDocument/2006/relationships/hyperlink" Target="https://www.timeshighereducation.com/news/australian-rd-investment-hits-17-year-low" TargetMode="External"/><Relationship Id="rId59" Type="http://schemas.openxmlformats.org/officeDocument/2006/relationships/hyperlink" Target="https://www.abs.gov.au/statistics/people/education/education-and-work-australia/may-2023" TargetMode="External"/><Relationship Id="rId103" Type="http://schemas.openxmlformats.org/officeDocument/2006/relationships/hyperlink" Target="https://www.education.gov.au/system/files/documents/submission-file/2023-07/Higher%20Education%20Standards%20Panel%20%28HESP%29.pdf" TargetMode="External"/><Relationship Id="rId124" Type="http://schemas.openxmlformats.org/officeDocument/2006/relationships/hyperlink" Target="https://www.education.gov.au/system/files/documents/submission-file/2023-04/AUA_tranche1_University%20of%20Newcastle.pdf" TargetMode="External"/><Relationship Id="rId70" Type="http://schemas.openxmlformats.org/officeDocument/2006/relationships/hyperlink" Target="https://www.deloitte.com/au/en/services/economics/perspectives/soft-skills-business-success.html" TargetMode="External"/><Relationship Id="rId91" Type="http://schemas.openxmlformats.org/officeDocument/2006/relationships/hyperlink" Target="https://www.oecd-ilibrary.org/education/data/education-at-a-glance/educational-attainment-and-labour-force-status_889e8641-en" TargetMode="External"/><Relationship Id="rId145" Type="http://schemas.openxmlformats.org/officeDocument/2006/relationships/hyperlink" Target="https://www.aph.gov.au/&#8204;Parliamentary&#8204;_Business/Committees/Senate/Legal_and_Constitutional_Affairs/sexualcontentlaws/Report" TargetMode="External"/><Relationship Id="rId166" Type="http://schemas.openxmlformats.org/officeDocument/2006/relationships/hyperlink" Target="https://www.studygoldcoast.org.au/host-for-the-coast/" TargetMode="External"/><Relationship Id="rId187" Type="http://schemas.openxmlformats.org/officeDocument/2006/relationships/hyperlink" Target="https://www.education.gov.au/national-industry-phd-program/funding-outcomes" TargetMode="External"/><Relationship Id="rId1" Type="http://schemas.openxmlformats.org/officeDocument/2006/relationships/hyperlink" Target="http://www.education.gov.au/higher-education-statistics/resources/2022-section-11-equity-groups" TargetMode="External"/><Relationship Id="rId212" Type="http://schemas.openxmlformats.org/officeDocument/2006/relationships/hyperlink" Target="https://www.oecd.org/sti/inno/Enhancing-Public-Research-Performance.pdf" TargetMode="External"/><Relationship Id="rId233" Type="http://schemas.openxmlformats.org/officeDocument/2006/relationships/hyperlink" Target="https://www.batchelor.edu.au/portfolio/advanced-diploma-of-education-success/" TargetMode="External"/><Relationship Id="rId254" Type="http://schemas.openxmlformats.org/officeDocument/2006/relationships/hyperlink" Target="https://www.education.gov.au/higher-education-publications/finance-publication" TargetMode="External"/><Relationship Id="rId28" Type="http://schemas.openxmlformats.org/officeDocument/2006/relationships/hyperlink" Target="https://www.abs.gov.au/statistics/economy/price-indexes-and-inflation/consumer-price-index-australia/latest-release" TargetMode="External"/><Relationship Id="rId49" Type="http://schemas.openxmlformats.org/officeDocument/2006/relationships/hyperlink" Target="https://www.jobsandskills.gov.au/data/skills-shortages-analysis" TargetMode="External"/><Relationship Id="rId114" Type="http://schemas.openxmlformats.org/officeDocument/2006/relationships/hyperlink" Target="https://www.ncsehe.edu.au/wp-content/uploads/2015/11/Are-Low-SES-Students-Disadvantaged-in-the-University-Application-Process-November-2015.pdf" TargetMode="External"/><Relationship Id="rId60" Type="http://schemas.openxmlformats.org/officeDocument/2006/relationships/hyperlink" Target="https://treasury.gov.au/employment-whitepaper/final-report" TargetMode="External"/><Relationship Id="rId81" Type="http://schemas.openxmlformats.org/officeDocument/2006/relationships/hyperlink" Target="https://www.courseseeker.edu.au/" TargetMode="External"/><Relationship Id="rId135" Type="http://schemas.openxmlformats.org/officeDocument/2006/relationships/hyperlink" Target="https://parlinfo.aph.gov.au/parlInfo/search/display/display.w3p;query=Id%3A%22legislation%2Fems%2Fr6584_ems_79c2b067-a1b7-4c5d-949a-73e246023baa%22" TargetMode="External"/><Relationship Id="rId156" Type="http://schemas.openxmlformats.org/officeDocument/2006/relationships/hyperlink" Target="https://www.latrobe.edu.au/mylatrobe/take-time-out-in-the-lounge/" TargetMode="External"/><Relationship Id="rId177" Type="http://schemas.openxmlformats.org/officeDocument/2006/relationships/hyperlink" Target="https://www.oecd.org/sti/msti.htm" TargetMode="External"/><Relationship Id="rId198" Type="http://schemas.openxmlformats.org/officeDocument/2006/relationships/hyperlink" Target="https://www.health.gov.au/our-work/mrff-research-data-infrastructure-initiative" TargetMode="External"/><Relationship Id="rId202" Type="http://schemas.openxmlformats.org/officeDocument/2006/relationships/hyperlink" Target="https://www.education.gov.au/higher-education-statistics/resources/indigenous-students-higher-degrees-research" TargetMode="External"/><Relationship Id="rId223" Type="http://schemas.openxmlformats.org/officeDocument/2006/relationships/hyperlink" Target="https://www.aihw.gov.au/reports/australias-health/profile-of-australias-population" TargetMode="External"/><Relationship Id="rId244" Type="http://schemas.openxmlformats.org/officeDocument/2006/relationships/hyperlink" Target="https://www.energy.gov.au/government-priorities/australias-energy-strategies-and-frameworks/powering-australia" TargetMode="External"/><Relationship Id="rId18" Type="http://schemas.openxmlformats.org/officeDocument/2006/relationships/hyperlink" Target="http://hdl.voced.edu.au/10707/228215" TargetMode="External"/><Relationship Id="rId39" Type="http://schemas.openxmlformats.org/officeDocument/2006/relationships/hyperlink" Target="https://data.oecd.org/rd/gross-domestic-spending-on-r-d.htm" TargetMode="External"/><Relationship Id="rId50" Type="http://schemas.openxmlformats.org/officeDocument/2006/relationships/hyperlink" Target="https://www.jobsandskills.gov.au/publications/towards-national-jobs-and-skills-roadmap" TargetMode="External"/><Relationship Id="rId104" Type="http://schemas.openxmlformats.org/officeDocument/2006/relationships/hyperlink" Target="https://doi.org/10.25904/1912/4989" TargetMode="External"/><Relationship Id="rId125" Type="http://schemas.openxmlformats.org/officeDocument/2006/relationships/hyperlink" Target="https://www.education.gov.au/australian-universities-accord/consultations/australian-universities-accord-panel-discussion-paper-consultation/submission/15916" TargetMode="External"/><Relationship Id="rId146" Type="http://schemas.openxmlformats.org/officeDocument/2006/relationships/hyperlink" Target="https://www.education.gov.au/australian-universities-accord/resources/draft-action-plan-addressing-genderbased-violence-higher-education" TargetMode="External"/><Relationship Id="rId167" Type="http://schemas.openxmlformats.org/officeDocument/2006/relationships/hyperlink" Target="https://incites.clarivate.com/" TargetMode="External"/><Relationship Id="rId188" Type="http://schemas.openxmlformats.org/officeDocument/2006/relationships/hyperlink" Target="https://www.arc.gov.au/funding-research/funding-outcome/selection-outcome-reports/industrial-transformation-training-centres-selection-report-funding-commencing-2023" TargetMode="External"/><Relationship Id="rId71" Type="http://schemas.openxmlformats.org/officeDocument/2006/relationships/hyperlink" Target="https://www.pc.gov.au/inquiries/completed/productivity/report/productivity-volume5-innovation-diffusion.pdf" TargetMode="External"/><Relationship Id="rId92" Type="http://schemas.openxmlformats.org/officeDocument/2006/relationships/hyperlink" Target="https://atn.edu.au/wp-content/uploads/2021/12/atn01-phd-report-web-single.pdf" TargetMode="External"/><Relationship Id="rId213" Type="http://schemas.openxmlformats.org/officeDocument/2006/relationships/hyperlink" Target="https://doi" TargetMode="External"/><Relationship Id="rId234" Type="http://schemas.openxmlformats.org/officeDocument/2006/relationships/hyperlink" Target="https://doi.org/10.5694/mja2.52033" TargetMode="External"/><Relationship Id="rId2" Type="http://schemas.openxmlformats.org/officeDocument/2006/relationships/hyperlink" Target="https://www.education.gov.au/higher-education-statistics/resources/2022-section-5-liability-status-categories" TargetMode="External"/><Relationship Id="rId29" Type="http://schemas.openxmlformats.org/officeDocument/2006/relationships/hyperlink" Target="https://www.abs.gov.au/statistics/industry/technology-and-innovation/research-and-experimental-development-businesses-australia/latest-release" TargetMode="External"/><Relationship Id="rId255" Type="http://schemas.openxmlformats.org/officeDocument/2006/relationships/hyperlink" Target="https://www.education.gov.au/higher-education-publications/resources/2022-transparency-higher-education-expenditure-publication" TargetMode="External"/><Relationship Id="rId40" Type="http://schemas.openxmlformats.org/officeDocument/2006/relationships/hyperlink" Target="https://www.wipo.int/global_innovation_index/en/" TargetMode="External"/><Relationship Id="rId115" Type="http://schemas.openxmlformats.org/officeDocument/2006/relationships/hyperlink" Target="https://www.ncsehe.edu.au/wp-content/uploads/2015/11/Are-Low-SES-Students-Disadvantaged-in-the-University-Application-Process-November-2015.pdf" TargetMode="External"/><Relationship Id="rId136" Type="http://schemas.openxmlformats.org/officeDocument/2006/relationships/hyperlink" Target="https://universitiesaustralia.edu.au/wp-content/uploads/2022/12/UA22005-Accord-Submission-FA.pdf" TargetMode="External"/><Relationship Id="rId157" Type="http://schemas.openxmlformats.org/officeDocument/2006/relationships/hyperlink" Target="https://ucx.canberra.edu.au&#8204;/&#8204;initiatives/&#8204;ucx-&#8204;food-pantry.html" TargetMode="External"/><Relationship Id="rId178" Type="http://schemas.openxmlformats.org/officeDocument/2006/relationships/hyperlink" Target="https://stats.oecd.org/Index.aspx?DataSetCode=MSTI_PUB" TargetMode="External"/><Relationship Id="rId61" Type="http://schemas.openxmlformats.org/officeDocument/2006/relationships/hyperlink" Target="https://www.homeaffairs.gov.au/reports-and-publications/reviews-and-inquiries/departmental-reviews/migration-system-for-australias-future" TargetMode="External"/><Relationship Id="rId82" Type="http://schemas.openxmlformats.org/officeDocument/2006/relationships/hyperlink" Target="https://www.skillfinder.com.au/page/about" TargetMode="External"/><Relationship Id="rId199" Type="http://schemas.openxmlformats.org/officeDocument/2006/relationships/hyperlink" Target="https://melbourne-cshe.unimelb.edu.au/__data/assets/pdf_file/0010/1490923/The_Academic_Profession_in_Transition_Sept2011.pdf" TargetMode="External"/><Relationship Id="rId203" Type="http://schemas.openxmlformats.org/officeDocument/2006/relationships/hyperlink" Target="https://www.education.gov.au/research-block-grants/consolidated-time-series-data" TargetMode="External"/><Relationship Id="rId19" Type="http://schemas.openxmlformats.org/officeDocument/2006/relationships/hyperlink" Target="http://www.jstor.org/stable/3447236" TargetMode="External"/><Relationship Id="rId224" Type="http://schemas.openxmlformats.org/officeDocument/2006/relationships/hyperlink" Target="https://www.rba.gov.au/education/resources/snapshots/economy-composition-snapshot/" TargetMode="External"/><Relationship Id="rId245" Type="http://schemas.openxmlformats.org/officeDocument/2006/relationships/hyperlink" Target="https://www.une.edu.au/about-une/annual-reports" TargetMode="External"/><Relationship Id="rId30" Type="http://schemas.openxmlformats.org/officeDocument/2006/relationships/hyperlink" Target="https://www.abs.gov.au/statistics/economy/national-accounts/australian-national-accounts-national-income-expenditure-and-product/latest-release" TargetMode="External"/><Relationship Id="rId105" Type="http://schemas.openxmlformats.org/officeDocument/2006/relationships/hyperlink" Target="https://doi.org/10.47381/aijre.v28i1.167" TargetMode="External"/><Relationship Id="rId126" Type="http://schemas.openxmlformats.org/officeDocument/2006/relationships/hyperlink" Target="https://www.ncsehe.edu.au/wp-content/uploads/2016/07/Final-Pathways-to-Higher-Education-The-Efficacy-of-Enabling-and-Sub-Bachelor-Pathways-for-Disadvantaged-Students.pdf" TargetMode="External"/><Relationship Id="rId147" Type="http://schemas.openxmlformats.org/officeDocument/2006/relationships/hyperlink" Target="https://www2.nzqa.govt.nz/tertiary/the-code/the-code-for-learners/" TargetMode="External"/><Relationship Id="rId168" Type="http://schemas.openxmlformats.org/officeDocument/2006/relationships/hyperlink" Target="https://data.worldbank.org/indicator/SP.POP.TOTL" TargetMode="External"/><Relationship Id="rId51" Type="http://schemas.openxmlformats.org/officeDocument/2006/relationships/hyperlink" Target="https://labourmarketinsights.gov.au/media/b2ppdmvp/employment-outlook-industry-and-occupation-trends.pdf" TargetMode="External"/><Relationship Id="rId72" Type="http://schemas.openxmlformats.org/officeDocument/2006/relationships/hyperlink" Target="https://www.jobsandskills.gov.au/studies/clean-energy-capacity-study" TargetMode="External"/><Relationship Id="rId93" Type="http://schemas.openxmlformats.org/officeDocument/2006/relationships/hyperlink" Target="https://universities&#8204;australia&#8204;.edu.au/wp-content/uploads/2022/03/WIL-in-universities-final-report-April-2019.pdf" TargetMode="External"/><Relationship Id="rId189" Type="http://schemas.openxmlformats.org/officeDocument/2006/relationships/hyperlink" Target="https://go8.edu.au/wp-content/uploads/2023/09/Go8-Policy-Brief-Basic-Research.pdf" TargetMode="External"/><Relationship Id="rId3" Type="http://schemas.openxmlformats.org/officeDocument/2006/relationships/hyperlink" Target="https://csrm.cass.anu.edu.au/sites/default/files/docs/2023/8/Attitudes_towards_education_in_Australia_-_For_web.pdf" TargetMode="External"/><Relationship Id="rId214" Type="http://schemas.openxmlformats.org/officeDocument/2006/relationships/hyperlink" Target="https://www.education.gov.au/higher-education-statistics/staff-data/selected-higher-education-statistics-2022-staff-data" TargetMode="External"/><Relationship Id="rId235" Type="http://schemas.openxmlformats.org/officeDocument/2006/relationships/hyperlink" Target="https://www.who.int/publications/i/item/9789240024229" TargetMode="External"/><Relationship Id="rId256" Type="http://schemas.openxmlformats.org/officeDocument/2006/relationships/hyperlink" Target="https://grattan.edu.au/wp-content/uploads/2015/10/831-Cash-nexus-report.pdf" TargetMode="External"/><Relationship Id="rId116" Type="http://schemas.openxmlformats.org/officeDocument/2006/relationships/hyperlink" Target="https://www.dewr.gov.au/nci/partnership-grants-program" TargetMode="External"/><Relationship Id="rId137" Type="http://schemas.openxmlformats.org/officeDocument/2006/relationships/hyperlink" Target="https://www.nytimes.com/2018/04/02/upshot/an-international-final-four-which-country-handles-student-debt-best.html" TargetMode="External"/><Relationship Id="rId158" Type="http://schemas.openxmlformats.org/officeDocument/2006/relationships/hyperlink" Target="https://online.monash.edu/support/" TargetMode="External"/><Relationship Id="rId20" Type="http://schemas.openxmlformats.org/officeDocument/2006/relationships/hyperlink" Target="https://adb.anu.edu.au/biography/mills-richard-charles-7593" TargetMode="External"/><Relationship Id="rId41" Type="http://schemas.openxmlformats.org/officeDocument/2006/relationships/hyperlink" Target="https://www.legislation.gov.au/Details/F2022C00105" TargetMode="External"/><Relationship Id="rId62" Type="http://schemas.openxmlformats.org/officeDocument/2006/relationships/hyperlink" Target="https://immi.homeaffairs.gov.au/programs-subsite/migration-strategy/Documents/migration-strategy.pdf" TargetMode="External"/><Relationship Id="rId83" Type="http://schemas.openxmlformats.org/officeDocument/2006/relationships/hyperlink" Target="https://www.oecd-il&#8204;i&#8204;brary.org/docserver/e13bef63-en.pdf?expires=1702424845&amp;id=id&amp;accname=guest&#8204;&amp;checksum=911&#8204;13B459B04&#8204;9A3E&#8204;3&#8204;9F8C1D230A37A21" TargetMode="External"/><Relationship Id="rId179" Type="http://schemas.openxmlformats.org/officeDocument/2006/relationships/hyperlink" Target="https://www.oecd.org/sti/inno/innovation-indicators-2023-highlights.pdf" TargetMode="External"/><Relationship Id="rId190" Type="http://schemas.openxmlformats.org/officeDocument/2006/relationships/hyperlink" Target="https://www.imf.org/en/Blogs/Articles/2021/10/06/blog-ch3-weo-why-basic-science-matters-for-economic-growth" TargetMode="External"/><Relationship Id="rId204" Type="http://schemas.openxmlformats.org/officeDocument/2006/relationships/hyperlink" Target="https://www.education.gov.au/research-block-grants/resources/research-block-grant-allocations-time-series" TargetMode="External"/><Relationship Id="rId225" Type="http://schemas.openxmlformats.org/officeDocument/2006/relationships/hyperlink" Target="https://www.aitsl.edu.au/research/australian-teacher-workforce-data/atwdreports/national-trends-teacher-workforce" TargetMode="External"/><Relationship Id="rId246" Type="http://schemas.openxmlformats.org/officeDocument/2006/relationships/hyperlink" Target="https://www.education.gov.au/higher-education-publications/finance-publication" TargetMode="External"/><Relationship Id="rId106" Type="http://schemas.openxmlformats.org/officeDocument/2006/relationships/hyperlink" Target="https://doi.org/10.5204/ssj.v11i1.1458" TargetMode="External"/><Relationship Id="rId127" Type="http://schemas.openxmlformats.org/officeDocument/2006/relationships/hyperlink" Target="https://doi.org/10.1080/07294360.2021.1990222" TargetMode="External"/><Relationship Id="rId10" Type="http://schemas.openxmlformats.org/officeDocument/2006/relationships/hyperlink" Target="https://www.legislation.gov.au/Details/C2022C00005" TargetMode="External"/><Relationship Id="rId31" Type="http://schemas.openxmlformats.org/officeDocument/2006/relationships/hyperlink" Target="https://www.industry.gov.au/publications/science-research-and-innovation-sri-budget-tables-2022-23" TargetMode="External"/><Relationship Id="rId52" Type="http://schemas.openxmlformats.org/officeDocument/2006/relationships/hyperlink" Target="https://doi.org/10.57956/kxye-qd93" TargetMode="External"/><Relationship Id="rId73" Type="http://schemas.openxmlformats.org/officeDocument/2006/relationships/hyperlink" Target="https://www.aqf.edu.au/about/what-aqf" TargetMode="External"/><Relationship Id="rId94" Type="http://schemas.openxmlformats.org/officeDocument/2006/relationships/hyperlink" Target="https://www.education.gov.au/australian-universities-accord/resources/think-change-resolve-tertiary-education-innovation-report" TargetMode="External"/><Relationship Id="rId148" Type="http://schemas.openxmlformats.org/officeDocument/2006/relationships/hyperlink" Target="https://www2.nzqa.govt.nz/tertiary/the-code/the-code-for-education-providers/self-review-and-attestation/" TargetMode="External"/><Relationship Id="rId169" Type="http://schemas.openxmlformats.org/officeDocument/2006/relationships/hyperlink" Target="https://www.scival.com/benchmarking/ranking/the/worldUniversityRankings" TargetMode="External"/><Relationship Id="rId4" Type="http://schemas.openxmlformats.org/officeDocument/2006/relationships/hyperlink" Target="https://melbourneinstitute.unimelb.edu.au/__data/assets/pdf_file/0011/4751741/wp2023n11.pdf" TargetMode="External"/><Relationship Id="rId180" Type="http://schemas.openxmlformats.org/officeDocument/2006/relationships/hyperlink" Target="https://ec.europa.&#8204;eu/eurostat/cache/metadata&#8204;/&#8204;en/inn_cis12_esms.htm" TargetMode="External"/><Relationship Id="rId215" Type="http://schemas.openxmlformats.org/officeDocument/2006/relationships/hyperlink" Target="http://www.education.gov.au/higher-education-statistics/staff-data/selected-higher-education-statistics-2022-staff-data" TargetMode="External"/><Relationship Id="rId236" Type="http://schemas.openxmlformats.org/officeDocument/2006/relationships/hyperlink" Target="https://www.racgp.org.au/getmedia/80c8bdc9-8886-4055-8a8d-ea793b088e5a/Health-of-the-Nation.pdf.aspx" TargetMode="External"/><Relationship Id="rId257" Type="http://schemas.openxmlformats.org/officeDocument/2006/relationships/hyperlink" Target="https://techtransfer.org.au/scopr-2022-public-research-powers-ahead-on-commercialisation/" TargetMode="External"/><Relationship Id="rId42" Type="http://schemas.openxmlformats.org/officeDocument/2006/relationships/hyperlink" Target="https://csrm.cass.anu.edu.au/research/publications/mapping-australian-higher-education-2023" TargetMode="External"/><Relationship Id="rId84" Type="http://schemas.openxmlformats.org/officeDocument/2006/relationships/hyperlink" Target="http://hdl.voced.edu.au/10707/162333" TargetMode="External"/><Relationship Id="rId138" Type="http://schemas.openxmlformats.org/officeDocument/2006/relationships/hyperlink" Target="https://brucejchapman.com/wp-content/uploads/2018/12/The-rationale-for-the-HECS.pdf" TargetMode="External"/></Relationships>
</file>

<file path=word/documenttasks/documenttasks1.xml><?xml version="1.0" encoding="utf-8"?>
<t:Tasks xmlns:t="http://schemas.microsoft.com/office/tasks/2019/documenttasks" xmlns:oel="http://schemas.microsoft.com/office/2019/extlst">
  <t:Task id="{588109F5-3644-431A-B452-2D3591C2720F}">
    <t:Anchor>
      <t:Comment id="674975509"/>
    </t:Anchor>
    <t:History>
      <t:Event id="{CC174B20-02F5-4672-ACB5-E8A59F231EC9}" time="2023-06-19T04:43:55.315Z">
        <t:Attribution userId="S::kate.chipperfield@education.gov.au::e543c2b9-78bf-4fe6-8ad0-e72e0a80b428" userProvider="AD" userName="CHIPPERFIELD,Kate"/>
        <t:Anchor>
          <t:Comment id="1270369430"/>
        </t:Anchor>
        <t:Create/>
      </t:Event>
      <t:Event id="{5D57F643-C7D7-40D8-A6CE-E06B63841689}" time="2023-06-19T04:43:55.315Z">
        <t:Attribution userId="S::kate.chipperfield@education.gov.au::e543c2b9-78bf-4fe6-8ad0-e72e0a80b428" userProvider="AD" userName="CHIPPERFIELD,Kate"/>
        <t:Anchor>
          <t:Comment id="1270369430"/>
        </t:Anchor>
        <t:Assign userId="S::Alex.Platt@education.gov.au::f6d811c3-3339-4a53-bfa9-f9271f78aadc" userProvider="AD" userName="PLATT,Alex"/>
      </t:Event>
      <t:Event id="{F1C04231-9467-4578-95AA-BD16E221864B}" time="2023-06-19T04:43:55.315Z">
        <t:Attribution userId="S::kate.chipperfield@education.gov.au::e543c2b9-78bf-4fe6-8ad0-e72e0a80b428" userProvider="AD" userName="CHIPPERFIELD,Kate"/>
        <t:Anchor>
          <t:Comment id="1270369430"/>
        </t:Anchor>
        <t:SetTitle title="@PLATT,Alex - we need to ensure to pick this point back up later in the report as part of the considerations for change"/>
      </t:Event>
    </t:History>
  </t:Task>
  <t:Task id="{DF5D8862-EA20-4435-9AE1-91726BC43AD6}">
    <t:Anchor>
      <t:Comment id="690085025"/>
    </t:Anchor>
    <t:History>
      <t:Event id="{CA2974BB-61B9-4099-8781-6E5BD17F69AD}" time="2023-12-11T04:43:53.628Z">
        <t:Attribution userId="S::Patricia.Frazis@education.gov.au::ea924890-c63f-49ef-a96f-7702b49eb3aa" userProvider="AD" userName="FRAZIS,Patricia"/>
        <t:Anchor>
          <t:Comment id="690085025"/>
        </t:Anchor>
        <t:Create/>
      </t:Event>
      <t:Event id="{FBE7657F-4F5C-4358-BAD5-36B36B5C2AA1}" time="2023-12-11T04:43:53.628Z">
        <t:Attribution userId="S::Patricia.Frazis@education.gov.au::ea924890-c63f-49ef-a96f-7702b49eb3aa" userProvider="AD" userName="FRAZIS,Patricia"/>
        <t:Anchor>
          <t:Comment id="690085025"/>
        </t:Anchor>
        <t:Assign userId="S::Leonie.Doyle@education.gov.au::ccf55ba2-3076-4eab-a8f8-61486efe2636" userProvider="AD" userName="DOYLE,Leonie"/>
      </t:Event>
      <t:Event id="{B33B46D2-6AB2-454B-950D-689629814571}" time="2023-12-11T04:43:53.628Z">
        <t:Attribution userId="S::Patricia.Frazis@education.gov.au::ea924890-c63f-49ef-a96f-7702b49eb3aa" userProvider="AD" userName="FRAZIS,Patricia"/>
        <t:Anchor>
          <t:Comment id="690085025"/>
        </t:Anchor>
        <t:SetTitle title="From Larissa - this seems incomplete @DOYLE,Leonie "/>
      </t:Event>
    </t:History>
  </t:Task>
  <t:Task id="{B78215E4-63CE-4A6F-89B4-DD8CA54AC151}">
    <t:Anchor>
      <t:Comment id="674975550"/>
    </t:Anchor>
    <t:History>
      <t:Event id="{CC174B20-02F5-4672-ACB5-E8A59F231EC9}" time="2023-06-19T04:43:55.315Z">
        <t:Attribution userId="S::kate.chipperfield@education.gov.au::e543c2b9-78bf-4fe6-8ad0-e72e0a80b428" userProvider="AD" userName="CHIPPERFIELD,Kate"/>
        <t:Anchor>
          <t:Comment id="1270369430"/>
        </t:Anchor>
        <t:Create/>
      </t:Event>
      <t:Event id="{5D57F643-C7D7-40D8-A6CE-E06B63841689}" time="2023-06-19T04:43:55.315Z">
        <t:Attribution userId="S::kate.chipperfield@education.gov.au::e543c2b9-78bf-4fe6-8ad0-e72e0a80b428" userProvider="AD" userName="CHIPPERFIELD,Kate"/>
        <t:Anchor>
          <t:Comment id="1270369430"/>
        </t:Anchor>
        <t:Assign userId="S::Alex.Platt@education.gov.au::f6d811c3-3339-4a53-bfa9-f9271f78aadc" userProvider="AD" userName="PLATT,Alex"/>
      </t:Event>
      <t:Event id="{F1C04231-9467-4578-95AA-BD16E221864B}" time="2023-06-19T04:43:55.315Z">
        <t:Attribution userId="S::kate.chipperfield@education.gov.au::e543c2b9-78bf-4fe6-8ad0-e72e0a80b428" userProvider="AD" userName="CHIPPERFIELD,Kate"/>
        <t:Anchor>
          <t:Comment id="1270369430"/>
        </t:Anchor>
        <t:SetTitle title="@PLATT,Alex - we need to ensure to pick this point back up later in the report as part of the considerations for change"/>
      </t:Event>
      <t:Event id="{1B21AFBD-50CB-417F-88BA-EE61E54B9DB2}" time="2023-06-20T04:13:44.247Z">
        <t:Attribution userId="S::Kimberley.Dimitriadis@education.gov.au::ec6e5c91-32f1-466a-b26f-6d6727c55a74" userProvider="AD" userName="DIMITRIADIS,Kimberley"/>
        <t:Progress percentComplete="100"/>
      </t:Event>
    </t:History>
  </t:Task>
  <t:Task id="{974D2742-A38E-472C-9B3D-E1C5D32681E0}">
    <t:Anchor>
      <t:Comment id="2075836206"/>
    </t:Anchor>
    <t:History>
      <t:Event id="{1944AD1B-0B96-4C21-B25D-853C9C769B00}" time="2023-11-21T05:21:26.836Z">
        <t:Attribution userId="S::kimberley.dimitriadis@education.gov.au::ec6e5c91-32f1-466a-b26f-6d6727c55a74" userProvider="AD" userName="DIMITRIADIS,Kimberley"/>
        <t:Anchor>
          <t:Comment id="2075836206"/>
        </t:Anchor>
        <t:Create/>
      </t:Event>
      <t:Event id="{25E67FEB-6809-49EB-9F4C-9C1598CE8601}" time="2023-11-21T05:21:26.836Z">
        <t:Attribution userId="S::kimberley.dimitriadis@education.gov.au::ec6e5c91-32f1-466a-b26f-6d6727c55a74" userProvider="AD" userName="DIMITRIADIS,Kimberley"/>
        <t:Anchor>
          <t:Comment id="2075836206"/>
        </t:Anchor>
        <t:Assign userId="S::Lachlan.Chislett@education.gov.au::a425221e-2384-4c05-a750-da72d9e450dc" userProvider="AD" userName="CHISLETT,Lachlan"/>
      </t:Event>
      <t:Event id="{CD16E2D6-3681-43F6-B065-C6AF3BE243F4}" time="2023-11-21T05:21:26.836Z">
        <t:Attribution userId="S::kimberley.dimitriadis@education.gov.au::ec6e5c91-32f1-466a-b26f-6d6727c55a74" userProvider="AD" userName="DIMITRIADIS,Kimberley"/>
        <t:Anchor>
          <t:Comment id="2075836206"/>
        </t:Anchor>
        <t:SetTitle title="@CHISLETT,Lachlan ready for you"/>
      </t:Event>
      <t:Event id="{979E556A-2964-4AB1-82B3-8E77D5D2A8E6}" time="2023-11-25T03:22:06.142Z">
        <t:Attribution userId="S::Freya.Douglas@education.gov.au::adf9b146-e5c3-4f3f-96b8-0457c512d2f7" userProvider="AD" userName="DOUGLAS,Freya"/>
        <t:Progress percentComplete="100"/>
      </t:Event>
    </t:History>
  </t:Task>
  <t:Task id="{D865FBDC-0130-4761-BABF-64BCEB145931}">
    <t:Anchor>
      <t:Comment id="712686815"/>
    </t:Anchor>
    <t:History>
      <t:Event id="{687C3B12-716C-4AA4-B8EC-8584651E9265}" time="2024-01-12T02:43:12.106Z">
        <t:Attribution userId="S::William.Salkeld@education.gov.au::9d69aa78-4072-40c3-bc31-770fe8527955" userProvider="AD" userName="SALKELD,William"/>
        <t:Anchor>
          <t:Comment id="712686815"/>
        </t:Anchor>
        <t:Create/>
      </t:Event>
      <t:Event id="{CF02A343-4302-41CD-AF82-7376E4E39799}" time="2024-01-12T02:43:12.106Z">
        <t:Attribution userId="S::William.Salkeld@education.gov.au::9d69aa78-4072-40c3-bc31-770fe8527955" userProvider="AD" userName="SALKELD,William"/>
        <t:Anchor>
          <t:Comment id="712686815"/>
        </t:Anchor>
        <t:Assign userId="S::Freya.Douglas@education.gov.au::adf9b146-e5c3-4f3f-96b8-0457c512d2f7" userProvider="AD" userName="DOUGLAS,Freya"/>
      </t:Event>
      <t:Event id="{1BCF0113-B866-4D6D-8C2C-4A5E62CEE045}" time="2024-01-12T02:43:12.106Z">
        <t:Attribution userId="S::William.Salkeld@education.gov.au::9d69aa78-4072-40c3-bc31-770fe8527955" userProvider="AD" userName="SALKELD,William"/>
        <t:Anchor>
          <t:Comment id="712686815"/>
        </t:Anchor>
        <t:SetTitle title="@DOUGLAS,Freya something has gone wrong with the list numbers here and unsure how to fix it"/>
      </t:Event>
      <t:Event id="{52FB0D6B-45A9-4B78-9F01-CA69D11215EB}" time="2024-01-12T06:27:08.688Z">
        <t:Attribution userId="S::Freya.Douglas@education.gov.au::adf9b146-e5c3-4f3f-96b8-0457c512d2f7" userProvider="AD" userName="DOUGLAS,Freya"/>
        <t:Progress percentComplete="100"/>
      </t:Event>
    </t:History>
  </t:Task>
  <t:Task id="{A8B8F610-ABAF-4C62-BECE-871D300EFA6E}">
    <t:Anchor>
      <t:Comment id="230157388"/>
    </t:Anchor>
    <t:History>
      <t:Event id="{F826CB92-1C0E-440A-8A6E-D5D289E6FD33}" time="2023-11-21T01:55:58.085Z">
        <t:Attribution userId="S::kimberley.dimitriadis@education.gov.au::ec6e5c91-32f1-466a-b26f-6d6727c55a74" userProvider="AD" userName="DIMITRIADIS,Kimberley"/>
        <t:Anchor>
          <t:Comment id="168161862"/>
        </t:Anchor>
        <t:Create/>
      </t:Event>
      <t:Event id="{8178AAB5-EE1A-45E3-9D58-858AD780A7D9}" time="2023-11-21T01:55:58.085Z">
        <t:Attribution userId="S::kimberley.dimitriadis@education.gov.au::ec6e5c91-32f1-466a-b26f-6d6727c55a74" userProvider="AD" userName="DIMITRIADIS,Kimberley"/>
        <t:Anchor>
          <t:Comment id="168161862"/>
        </t:Anchor>
        <t:Assign userId="S::William.Salkeld@education.gov.au::9d69aa78-4072-40c3-bc31-770fe8527955" userProvider="AD" userName="SALKELD,William"/>
      </t:Event>
      <t:Event id="{A0ECC596-976E-4604-B635-28B2F2E2A40A}" time="2023-11-21T01:55:58.085Z">
        <t:Attribution userId="S::kimberley.dimitriadis@education.gov.au::ec6e5c91-32f1-466a-b26f-6d6727c55a74" userProvider="AD" userName="DIMITRIADIS,Kimberley"/>
        <t:Anchor>
          <t:Comment id="168161862"/>
        </t:Anchor>
        <t:SetTitle title="@SALKELD,William let me know once you've had a first cut - thanks!"/>
      </t:Event>
      <t:Event id="{6A64EBAC-7A73-42FF-9170-41A8A54B82D6}" time="2023-11-25T03:41:17.704Z">
        <t:Attribution userId="S::Freya.Douglas@education.gov.au::adf9b146-e5c3-4f3f-96b8-0457c512d2f7" userProvider="AD" userName="DOUGLAS,Freya"/>
        <t:Progress percentComplete="100"/>
      </t:Event>
    </t:History>
  </t:Task>
</t:Task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2089BA480C0446BB84ABD093B986E9" ma:contentTypeVersion="6" ma:contentTypeDescription="Create a new document." ma:contentTypeScope="" ma:versionID="f8acaf5d67410e6a0f1e5b4f12dd090c">
  <xsd:schema xmlns:xsd="http://www.w3.org/2001/XMLSchema" xmlns:xs="http://www.w3.org/2001/XMLSchema" xmlns:p="http://schemas.microsoft.com/office/2006/metadata/properties" xmlns:ns2="7f4ca6dc-45ac-450d-859b-680f90676d54" xmlns:ns3="150ed607-d011-45d5-8216-b1990882b9c0" targetNamespace="http://schemas.microsoft.com/office/2006/metadata/properties" ma:root="true" ma:fieldsID="4ff590b85bf64a04a74c0aff762375b7" ns2:_="" ns3:_="">
    <xsd:import namespace="7f4ca6dc-45ac-450d-859b-680f90676d54"/>
    <xsd:import namespace="150ed607-d011-45d5-8216-b1990882b9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4ca6dc-45ac-450d-859b-680f90676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0ed607-d011-45d5-8216-b1990882b9c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150ed607-d011-45d5-8216-b1990882b9c0">
      <UserInfo>
        <DisplayName>HAWKINS,Phillip</DisplayName>
        <AccountId>136</AccountId>
        <AccountType/>
      </UserInfo>
      <UserInfo>
        <DisplayName>CHISLETT,Lachlan</DisplayName>
        <AccountId>221</AccountId>
        <AccountType/>
      </UserInfo>
      <UserInfo>
        <DisplayName>GRANLUND,Rebecca</DisplayName>
        <AccountId>62</AccountId>
        <AccountType/>
      </UserInfo>
      <UserInfo>
        <DisplayName>WUNSCH,Nicole</DisplayName>
        <AccountId>363</AccountId>
        <AccountType/>
      </UserInfo>
      <UserInfo>
        <DisplayName>TEBBS,Camille (TEMP)</DisplayName>
        <AccountId>312</AccountId>
        <AccountType/>
      </UserInfo>
      <UserInfo>
        <DisplayName>RIORDAN,Martin</DisplayName>
        <AccountId>447</AccountId>
        <AccountType/>
      </UserInfo>
      <UserInfo>
        <DisplayName>BROSNAN,Jessica</DisplayName>
        <AccountId>178</AccountId>
        <AccountType/>
      </UserInfo>
      <UserInfo>
        <DisplayName>PLATT,Alex</DisplayName>
        <AccountId>448</AccountId>
        <AccountType/>
      </UserInfo>
      <UserInfo>
        <DisplayName>HORGAN,Sophie</DisplayName>
        <AccountId>311</AccountId>
        <AccountType/>
      </UserInfo>
      <UserInfo>
        <DisplayName>MASON,Rebecca</DisplayName>
        <AccountId>76</AccountId>
        <AccountType/>
      </UserInfo>
      <UserInfo>
        <DisplayName>DOUGLAS,Freya</DisplayName>
        <AccountId>513</AccountId>
        <AccountType/>
      </UserInfo>
      <UserInfo>
        <DisplayName>SALKELD,William</DisplayName>
        <AccountId>601</AccountId>
        <AccountType/>
      </UserInfo>
      <UserInfo>
        <DisplayName>FRAZIS,Patricia</DisplayName>
        <AccountId>573</AccountId>
        <AccountType/>
      </UserInfo>
      <UserInfo>
        <DisplayName>ROSIER,Melanie</DisplayName>
        <AccountId>24</AccountId>
        <AccountType/>
      </UserInfo>
      <UserInfo>
        <DisplayName>TRELOAR,Arthur</DisplayName>
        <AccountId>11</AccountId>
        <AccountType/>
      </UserInfo>
      <UserInfo>
        <DisplayName>DONEGAN,Danielle</DisplayName>
        <AccountId>169</AccountId>
        <AccountType/>
      </UserInfo>
      <UserInfo>
        <DisplayName>IDE-TOBIN,Danielle</DisplayName>
        <AccountId>565</AccountId>
        <AccountType/>
      </UserInfo>
      <UserInfo>
        <DisplayName>LIN,Peter</DisplayName>
        <AccountId>566</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B7C19A-29B6-424E-B672-ED5DC507B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4ca6dc-45ac-450d-859b-680f90676d54"/>
    <ds:schemaRef ds:uri="150ed607-d011-45d5-8216-b1990882b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E272AA-3138-5A43-8154-E10A76BF8573}">
  <ds:schemaRefs>
    <ds:schemaRef ds:uri="http://schemas.openxmlformats.org/officeDocument/2006/bibliography"/>
  </ds:schemaRefs>
</ds:datastoreItem>
</file>

<file path=customXml/itemProps3.xml><?xml version="1.0" encoding="utf-8"?>
<ds:datastoreItem xmlns:ds="http://schemas.openxmlformats.org/officeDocument/2006/customXml" ds:itemID="{9861E2CB-9092-4F75-8CCA-4223D12398A0}">
  <ds:schemaRefs>
    <ds:schemaRef ds:uri="http://schemas.microsoft.com/office/2006/metadata/properties"/>
    <ds:schemaRef ds:uri="http://schemas.microsoft.com/office/infopath/2007/PartnerControls"/>
    <ds:schemaRef ds:uri="150ed607-d011-45d5-8216-b1990882b9c0"/>
  </ds:schemaRefs>
</ds:datastoreItem>
</file>

<file path=customXml/itemProps4.xml><?xml version="1.0" encoding="utf-8"?>
<ds:datastoreItem xmlns:ds="http://schemas.openxmlformats.org/officeDocument/2006/customXml" ds:itemID="{3A02D53A-304F-457B-89B0-5F14EB2E5F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358</Pages>
  <Words>145897</Words>
  <Characters>831619</Characters>
  <Application>Microsoft Office Word</Application>
  <DocSecurity>0</DocSecurity>
  <Lines>6930</Lines>
  <Paragraphs>1951</Paragraphs>
  <ScaleCrop>false</ScaleCrop>
  <HeadingPairs>
    <vt:vector size="2" baseType="variant">
      <vt:variant>
        <vt:lpstr>Title</vt:lpstr>
      </vt:variant>
      <vt:variant>
        <vt:i4>1</vt:i4>
      </vt:variant>
    </vt:vector>
  </HeadingPairs>
  <TitlesOfParts>
    <vt:vector size="1" baseType="lpstr">
      <vt:lpstr>Australian Universities Accord – Interim Report</vt:lpstr>
    </vt:vector>
  </TitlesOfParts>
  <Company/>
  <LinksUpToDate>false</LinksUpToDate>
  <CharactersWithSpaces>975565</CharactersWithSpaces>
  <SharedDoc>false</SharedDoc>
  <HLinks>
    <vt:vector size="4434" baseType="variant">
      <vt:variant>
        <vt:i4>3145783</vt:i4>
      </vt:variant>
      <vt:variant>
        <vt:i4>2718</vt:i4>
      </vt:variant>
      <vt:variant>
        <vt:i4>0</vt:i4>
      </vt:variant>
      <vt:variant>
        <vt:i4>5</vt:i4>
      </vt:variant>
      <vt:variant>
        <vt:lpwstr>https://doi.org/10.5204/ssj.v11i1.1458</vt:lpwstr>
      </vt:variant>
      <vt:variant>
        <vt:lpwstr/>
      </vt:variant>
      <vt:variant>
        <vt:i4>8060961</vt:i4>
      </vt:variant>
      <vt:variant>
        <vt:i4>2715</vt:i4>
      </vt:variant>
      <vt:variant>
        <vt:i4>0</vt:i4>
      </vt:variant>
      <vt:variant>
        <vt:i4>5</vt:i4>
      </vt:variant>
      <vt:variant>
        <vt:lpwstr>http://www.yourcareer.gov.au/school-leavers-support/school-leavers-information-kit</vt:lpwstr>
      </vt:variant>
      <vt:variant>
        <vt:lpwstr/>
      </vt:variant>
      <vt:variant>
        <vt:i4>3211291</vt:i4>
      </vt:variant>
      <vt:variant>
        <vt:i4>2712</vt:i4>
      </vt:variant>
      <vt:variant>
        <vt:i4>0</vt:i4>
      </vt:variant>
      <vt:variant>
        <vt:i4>5</vt:i4>
      </vt:variant>
      <vt:variant>
        <vt:lpwstr>https://melbourneinstitute.unimelb.edu.au/__data/assets/pdf_file/0011/4751741/wp2023n11.pdf</vt:lpwstr>
      </vt:variant>
      <vt:variant>
        <vt:lpwstr/>
      </vt:variant>
      <vt:variant>
        <vt:i4>6160394</vt:i4>
      </vt:variant>
      <vt:variant>
        <vt:i4>2709</vt:i4>
      </vt:variant>
      <vt:variant>
        <vt:i4>0</vt:i4>
      </vt:variant>
      <vt:variant>
        <vt:i4>5</vt:i4>
      </vt:variant>
      <vt:variant>
        <vt:lpwstr>http://www.wipo.int/global_innovation_index/en/</vt:lpwstr>
      </vt:variant>
      <vt:variant>
        <vt:lpwstr/>
      </vt:variant>
      <vt:variant>
        <vt:i4>1048579</vt:i4>
      </vt:variant>
      <vt:variant>
        <vt:i4>2706</vt:i4>
      </vt:variant>
      <vt:variant>
        <vt:i4>0</vt:i4>
      </vt:variant>
      <vt:variant>
        <vt:i4>5</vt:i4>
      </vt:variant>
      <vt:variant>
        <vt:lpwstr>http://www.who.int/publications/i/item/9789240024229</vt:lpwstr>
      </vt:variant>
      <vt:variant>
        <vt:lpwstr/>
      </vt:variant>
      <vt:variant>
        <vt:i4>1179674</vt:i4>
      </vt:variant>
      <vt:variant>
        <vt:i4>2703</vt:i4>
      </vt:variant>
      <vt:variant>
        <vt:i4>0</vt:i4>
      </vt:variant>
      <vt:variant>
        <vt:i4>5</vt:i4>
      </vt:variant>
      <vt:variant>
        <vt:lpwstr>https://ro.uow.edu.au/jutlp/vol19/iss4/03</vt:lpwstr>
      </vt:variant>
      <vt:variant>
        <vt:lpwstr/>
      </vt:variant>
      <vt:variant>
        <vt:i4>2031710</vt:i4>
      </vt:variant>
      <vt:variant>
        <vt:i4>2700</vt:i4>
      </vt:variant>
      <vt:variant>
        <vt:i4>0</vt:i4>
      </vt:variant>
      <vt:variant>
        <vt:i4>5</vt:i4>
      </vt:variant>
      <vt:variant>
        <vt:lpwstr>https://doi.org/10.1080/03075079212331382547</vt:lpwstr>
      </vt:variant>
      <vt:variant>
        <vt:lpwstr/>
      </vt:variant>
      <vt:variant>
        <vt:i4>1703943</vt:i4>
      </vt:variant>
      <vt:variant>
        <vt:i4>2697</vt:i4>
      </vt:variant>
      <vt:variant>
        <vt:i4>0</vt:i4>
      </vt:variant>
      <vt:variant>
        <vt:i4>5</vt:i4>
      </vt:variant>
      <vt:variant>
        <vt:lpwstr>http://www.education.gov.au/australian-universities-accord/consultations/australian-universities-accord-panel-discussion-paper-consultation/submission/16041</vt:lpwstr>
      </vt:variant>
      <vt:variant>
        <vt:lpwstr/>
      </vt:variant>
      <vt:variant>
        <vt:i4>2228276</vt:i4>
      </vt:variant>
      <vt:variant>
        <vt:i4>2694</vt:i4>
      </vt:variant>
      <vt:variant>
        <vt:i4>0</vt:i4>
      </vt:variant>
      <vt:variant>
        <vt:i4>5</vt:i4>
      </vt:variant>
      <vt:variant>
        <vt:lpwstr>http://www.education.gov.au/review-research-policy-and-funding-arrangements</vt:lpwstr>
      </vt:variant>
      <vt:variant>
        <vt:lpwstr/>
      </vt:variant>
      <vt:variant>
        <vt:i4>2555942</vt:i4>
      </vt:variant>
      <vt:variant>
        <vt:i4>2691</vt:i4>
      </vt:variant>
      <vt:variant>
        <vt:i4>0</vt:i4>
      </vt:variant>
      <vt:variant>
        <vt:i4>5</vt:i4>
      </vt:variant>
      <vt:variant>
        <vt:lpwstr>https://melbourneinstitute.unimelb.edu.au/downloads/working-paper-series/wp2013n34.pdf</vt:lpwstr>
      </vt:variant>
      <vt:variant>
        <vt:lpwstr/>
      </vt:variant>
      <vt:variant>
        <vt:i4>1507332</vt:i4>
      </vt:variant>
      <vt:variant>
        <vt:i4>2688</vt:i4>
      </vt:variant>
      <vt:variant>
        <vt:i4>0</vt:i4>
      </vt:variant>
      <vt:variant>
        <vt:i4>5</vt:i4>
      </vt:variant>
      <vt:variant>
        <vt:lpwstr>https://doi.org/10.22605/RRH1908</vt:lpwstr>
      </vt:variant>
      <vt:variant>
        <vt:lpwstr/>
      </vt:variant>
      <vt:variant>
        <vt:i4>7733299</vt:i4>
      </vt:variant>
      <vt:variant>
        <vt:i4>2685</vt:i4>
      </vt:variant>
      <vt:variant>
        <vt:i4>0</vt:i4>
      </vt:variant>
      <vt:variant>
        <vt:i4>5</vt:i4>
      </vt:variant>
      <vt:variant>
        <vt:lpwstr>https://content.vic.gov.au/sites/default/files/2020-03/Working- together-in place-Policy Framework.pdf</vt:lpwstr>
      </vt:variant>
      <vt:variant>
        <vt:lpwstr/>
      </vt:variant>
      <vt:variant>
        <vt:i4>1835020</vt:i4>
      </vt:variant>
      <vt:variant>
        <vt:i4>2682</vt:i4>
      </vt:variant>
      <vt:variant>
        <vt:i4>0</vt:i4>
      </vt:variant>
      <vt:variant>
        <vt:i4>5</vt:i4>
      </vt:variant>
      <vt:variant>
        <vt:lpwstr>https://doi.org/10.47381/aijre.v28i1.167</vt:lpwstr>
      </vt:variant>
      <vt:variant>
        <vt:lpwstr/>
      </vt:variant>
      <vt:variant>
        <vt:i4>917590</vt:i4>
      </vt:variant>
      <vt:variant>
        <vt:i4>2679</vt:i4>
      </vt:variant>
      <vt:variant>
        <vt:i4>0</vt:i4>
      </vt:variant>
      <vt:variant>
        <vt:i4>5</vt:i4>
      </vt:variant>
      <vt:variant>
        <vt:lpwstr>http://www.education.gov.au/australian-universities-accord/consultations/consultation-accord-interim-report/submission/17093</vt:lpwstr>
      </vt:variant>
      <vt:variant>
        <vt:lpwstr/>
      </vt:variant>
      <vt:variant>
        <vt:i4>538050571</vt:i4>
      </vt:variant>
      <vt:variant>
        <vt:i4>2676</vt:i4>
      </vt:variant>
      <vt:variant>
        <vt:i4>0</vt:i4>
      </vt:variant>
      <vt:variant>
        <vt:i4>5</vt:i4>
      </vt:variant>
      <vt:variant>
        <vt:lpwstr>http://www.education.gov.au/system/files/2023-09/AUA_inter_‌tranche11_246 ‌University%25‌20of New England.pdf</vt:lpwstr>
      </vt:variant>
      <vt:variant>
        <vt:lpwstr/>
      </vt:variant>
      <vt:variant>
        <vt:i4>6946936</vt:i4>
      </vt:variant>
      <vt:variant>
        <vt:i4>2673</vt:i4>
      </vt:variant>
      <vt:variant>
        <vt:i4>0</vt:i4>
      </vt:variant>
      <vt:variant>
        <vt:i4>5</vt:i4>
      </vt:variant>
      <vt:variant>
        <vt:lpwstr>http://www.une.edu.au/about-une/annual-reports</vt:lpwstr>
      </vt:variant>
      <vt:variant>
        <vt:lpwstr/>
      </vt:variant>
      <vt:variant>
        <vt:i4>1245194</vt:i4>
      </vt:variant>
      <vt:variant>
        <vt:i4>2670</vt:i4>
      </vt:variant>
      <vt:variant>
        <vt:i4>0</vt:i4>
      </vt:variant>
      <vt:variant>
        <vt:i4>5</vt:i4>
      </vt:variant>
      <vt:variant>
        <vt:lpwstr>http://www.une.edu.au/research/research-centres-institutes/smart-farm</vt:lpwstr>
      </vt:variant>
      <vt:variant>
        <vt:lpwstr/>
      </vt:variant>
      <vt:variant>
        <vt:i4>5570590</vt:i4>
      </vt:variant>
      <vt:variant>
        <vt:i4>2667</vt:i4>
      </vt:variant>
      <vt:variant>
        <vt:i4>0</vt:i4>
      </vt:variant>
      <vt:variant>
        <vt:i4>5</vt:i4>
      </vt:variant>
      <vt:variant>
        <vt:lpwstr>https://ucx.canberra.edu.au/initiatives/ucx-food-pantry.html</vt:lpwstr>
      </vt:variant>
      <vt:variant>
        <vt:lpwstr/>
      </vt:variant>
      <vt:variant>
        <vt:i4>2621473</vt:i4>
      </vt:variant>
      <vt:variant>
        <vt:i4>2664</vt:i4>
      </vt:variant>
      <vt:variant>
        <vt:i4>0</vt:i4>
      </vt:variant>
      <vt:variant>
        <vt:i4>5</vt:i4>
      </vt:variant>
      <vt:variant>
        <vt:lpwstr>https://universitiesaustralia.edu.au/wp-content/uploads/2022/03/WIL-in-universities-final-report-April-2019.pdf</vt:lpwstr>
      </vt:variant>
      <vt:variant>
        <vt:lpwstr/>
      </vt:variant>
      <vt:variant>
        <vt:i4>4194381</vt:i4>
      </vt:variant>
      <vt:variant>
        <vt:i4>2661</vt:i4>
      </vt:variant>
      <vt:variant>
        <vt:i4>0</vt:i4>
      </vt:variant>
      <vt:variant>
        <vt:i4>5</vt:i4>
      </vt:variant>
      <vt:variant>
        <vt:lpwstr>https://universitiesaustralia.edu.au/wp-content/uploads/2022/12/UA22005-Accord-Submission-FA.pdf</vt:lpwstr>
      </vt:variant>
      <vt:variant>
        <vt:lpwstr/>
      </vt:variant>
      <vt:variant>
        <vt:i4>852050</vt:i4>
      </vt:variant>
      <vt:variant>
        <vt:i4>2658</vt:i4>
      </vt:variant>
      <vt:variant>
        <vt:i4>0</vt:i4>
      </vt:variant>
      <vt:variant>
        <vt:i4>5</vt:i4>
      </vt:variant>
      <vt:variant>
        <vt:lpwstr>https://universitiesaustralia.edu.au/wp-content/uploads/2022/11/UA-submission-to-the-Prodcutivity-Commission-5-Year-Inquiry-Interim-Report-1.pdf</vt:lpwstr>
      </vt:variant>
      <vt:variant>
        <vt:lpwstr/>
      </vt:variant>
      <vt:variant>
        <vt:i4>1179691</vt:i4>
      </vt:variant>
      <vt:variant>
        <vt:i4>2655</vt:i4>
      </vt:variant>
      <vt:variant>
        <vt:i4>0</vt:i4>
      </vt:variant>
      <vt:variant>
        <vt:i4>5</vt:i4>
      </vt:variant>
      <vt:variant>
        <vt:lpwstr>https://universitiesaustralia.edu.au/wp-content/uploads/2022/09/220207-HE-Facts-and-Figures-2022_2.0.pdf</vt:lpwstr>
      </vt:variant>
      <vt:variant>
        <vt:lpwstr/>
      </vt:variant>
      <vt:variant>
        <vt:i4>8061053</vt:i4>
      </vt:variant>
      <vt:variant>
        <vt:i4>2652</vt:i4>
      </vt:variant>
      <vt:variant>
        <vt:i4>0</vt:i4>
      </vt:variant>
      <vt:variant>
        <vt:i4>5</vt:i4>
      </vt:variant>
      <vt:variant>
        <vt:lpwstr>http://www.timeshighereducation.com/world-university-rankings/2023/world-ranking</vt:lpwstr>
      </vt:variant>
      <vt:variant>
        <vt:lpwstr>!/length/25/locations/CHN/sort_by/rank/sort_order/asc/cols/stats</vt:lpwstr>
      </vt:variant>
      <vt:variant>
        <vt:i4>7733300</vt:i4>
      </vt:variant>
      <vt:variant>
        <vt:i4>2649</vt:i4>
      </vt:variant>
      <vt:variant>
        <vt:i4>0</vt:i4>
      </vt:variant>
      <vt:variant>
        <vt:i4>5</vt:i4>
      </vt:variant>
      <vt:variant>
        <vt:lpwstr>http://www.education.gov.au/australian-universities-accord/resources/think-change-resolve-tertiary-education-innovation-report</vt:lpwstr>
      </vt:variant>
      <vt:variant>
        <vt:lpwstr/>
      </vt:variant>
      <vt:variant>
        <vt:i4>327764</vt:i4>
      </vt:variant>
      <vt:variant>
        <vt:i4>2646</vt:i4>
      </vt:variant>
      <vt:variant>
        <vt:i4>0</vt:i4>
      </vt:variant>
      <vt:variant>
        <vt:i4>5</vt:i4>
      </vt:variant>
      <vt:variant>
        <vt:lpwstr>https://data.worldbank.org/indicator/SP.POP.TOTL</vt:lpwstr>
      </vt:variant>
      <vt:variant>
        <vt:lpwstr/>
      </vt:variant>
      <vt:variant>
        <vt:i4>541327415</vt:i4>
      </vt:variant>
      <vt:variant>
        <vt:i4>2643</vt:i4>
      </vt:variant>
      <vt:variant>
        <vt:i4>0</vt:i4>
      </vt:variant>
      <vt:variant>
        <vt:i4>5</vt:i4>
      </vt:variant>
      <vt:variant>
        <vt:lpwstr>http://www.aph.gov.au/‌‌Parliamentar‌‌y‌_Business/Committees/Senate/Legal_and_Constitutional‌_Affairs/‌sexualcontentlaws‌/‌Report</vt:lpwstr>
      </vt:variant>
      <vt:variant>
        <vt:lpwstr/>
      </vt:variant>
      <vt:variant>
        <vt:i4>6160394</vt:i4>
      </vt:variant>
      <vt:variant>
        <vt:i4>2640</vt:i4>
      </vt:variant>
      <vt:variant>
        <vt:i4>0</vt:i4>
      </vt:variant>
      <vt:variant>
        <vt:i4>5</vt:i4>
      </vt:variant>
      <vt:variant>
        <vt:lpwstr>https://lismoreapp.com.au/news-sport/news/lismores-scu-temporary-home-site-now-open-for-flood-impacted-residents?id=63866b690ea5fe0150859a85</vt:lpwstr>
      </vt:variant>
      <vt:variant>
        <vt:lpwstr/>
      </vt:variant>
      <vt:variant>
        <vt:i4>1638429</vt:i4>
      </vt:variant>
      <vt:variant>
        <vt:i4>2637</vt:i4>
      </vt:variant>
      <vt:variant>
        <vt:i4>0</vt:i4>
      </vt:variant>
      <vt:variant>
        <vt:i4>5</vt:i4>
      </vt:variant>
      <vt:variant>
        <vt:lpwstr>http://www.teqsa.gov.au/national-register</vt:lpwstr>
      </vt:variant>
      <vt:variant>
        <vt:lpwstr/>
      </vt:variant>
      <vt:variant>
        <vt:i4>4653138</vt:i4>
      </vt:variant>
      <vt:variant>
        <vt:i4>2634</vt:i4>
      </vt:variant>
      <vt:variant>
        <vt:i4>0</vt:i4>
      </vt:variant>
      <vt:variant>
        <vt:i4>5</vt:i4>
      </vt:variant>
      <vt:variant>
        <vt:lpwstr>http://www.teqsa.gov.au/guides-resources/resources/guidance-notes/guidance-note-nested-courses-study</vt:lpwstr>
      </vt:variant>
      <vt:variant>
        <vt:lpwstr/>
      </vt:variant>
      <vt:variant>
        <vt:i4>1179657</vt:i4>
      </vt:variant>
      <vt:variant>
        <vt:i4>2631</vt:i4>
      </vt:variant>
      <vt:variant>
        <vt:i4>0</vt:i4>
      </vt:variant>
      <vt:variant>
        <vt:i4>5</vt:i4>
      </vt:variant>
      <vt:variant>
        <vt:lpwstr>https://tafeqld.edu.au/campaigns/queensland-future-skills-partnership</vt:lpwstr>
      </vt:variant>
      <vt:variant>
        <vt:lpwstr/>
      </vt:variant>
      <vt:variant>
        <vt:i4>196687</vt:i4>
      </vt:variant>
      <vt:variant>
        <vt:i4>2628</vt:i4>
      </vt:variant>
      <vt:variant>
        <vt:i4>0</vt:i4>
      </vt:variant>
      <vt:variant>
        <vt:i4>5</vt:i4>
      </vt:variant>
      <vt:variant>
        <vt:lpwstr>https://doi.org/10.1080/07294360.2021.1990222</vt:lpwstr>
      </vt:variant>
      <vt:variant>
        <vt:lpwstr/>
      </vt:variant>
      <vt:variant>
        <vt:i4>4587539</vt:i4>
      </vt:variant>
      <vt:variant>
        <vt:i4>2625</vt:i4>
      </vt:variant>
      <vt:variant>
        <vt:i4>0</vt:i4>
      </vt:variant>
      <vt:variant>
        <vt:i4>5</vt:i4>
      </vt:variant>
      <vt:variant>
        <vt:lpwstr>http://www.studygoldcoast.org.au/host-for-the-coast/</vt:lpwstr>
      </vt:variant>
      <vt:variant>
        <vt:lpwstr/>
      </vt:variant>
      <vt:variant>
        <vt:i4>4849734</vt:i4>
      </vt:variant>
      <vt:variant>
        <vt:i4>2622</vt:i4>
      </vt:variant>
      <vt:variant>
        <vt:i4>0</vt:i4>
      </vt:variant>
      <vt:variant>
        <vt:i4>5</vt:i4>
      </vt:variant>
      <vt:variant>
        <vt:lpwstr>https://doi.org/10.5204/ssj.2313</vt:lpwstr>
      </vt:variant>
      <vt:variant>
        <vt:lpwstr/>
      </vt:variant>
      <vt:variant>
        <vt:i4>524291</vt:i4>
      </vt:variant>
      <vt:variant>
        <vt:i4>2619</vt:i4>
      </vt:variant>
      <vt:variant>
        <vt:i4>0</vt:i4>
      </vt:variant>
      <vt:variant>
        <vt:i4>5</vt:i4>
      </vt:variant>
      <vt:variant>
        <vt:lpwstr>http://www.education.gov.au/quality-schools-package/resources/looking-future-report-review-senior-secondary-pathways-work-further-education-and-training</vt:lpwstr>
      </vt:variant>
      <vt:variant>
        <vt:lpwstr/>
      </vt:variant>
      <vt:variant>
        <vt:i4>8323184</vt:i4>
      </vt:variant>
      <vt:variant>
        <vt:i4>2616</vt:i4>
      </vt:variant>
      <vt:variant>
        <vt:i4>0</vt:i4>
      </vt:variant>
      <vt:variant>
        <vt:i4>5</vt:i4>
      </vt:variant>
      <vt:variant>
        <vt:lpwstr>https://education.nsw.gov.au/about-us/strategies-and-reports/our-reports-and-reviews/review-on-the-nsw-vocational-education-and-training-sector</vt:lpwstr>
      </vt:variant>
      <vt:variant>
        <vt:lpwstr/>
      </vt:variant>
      <vt:variant>
        <vt:i4>4915209</vt:i4>
      </vt:variant>
      <vt:variant>
        <vt:i4>2613</vt:i4>
      </vt:variant>
      <vt:variant>
        <vt:i4>0</vt:i4>
      </vt:variant>
      <vt:variant>
        <vt:i4>5</vt:i4>
      </vt:variant>
      <vt:variant>
        <vt:lpwstr>http://www.education.gov.au/higher-education-reviews-and-consultations/resources/trusting-australias-ability-review-australian-research-council-act-2001</vt:lpwstr>
      </vt:variant>
      <vt:variant>
        <vt:lpwstr/>
      </vt:variant>
      <vt:variant>
        <vt:i4>4915223</vt:i4>
      </vt:variant>
      <vt:variant>
        <vt:i4>2610</vt:i4>
      </vt:variant>
      <vt:variant>
        <vt:i4>0</vt:i4>
      </vt:variant>
      <vt:variant>
        <vt:i4>5</vt:i4>
      </vt:variant>
      <vt:variant>
        <vt:lpwstr>http://www.servicesaustralia.gov.au/income-test-for-jobseeker-payment</vt:lpwstr>
      </vt:variant>
      <vt:variant>
        <vt:lpwstr/>
      </vt:variant>
      <vt:variant>
        <vt:i4>8126571</vt:i4>
      </vt:variant>
      <vt:variant>
        <vt:i4>2607</vt:i4>
      </vt:variant>
      <vt:variant>
        <vt:i4>0</vt:i4>
      </vt:variant>
      <vt:variant>
        <vt:i4>5</vt:i4>
      </vt:variant>
      <vt:variant>
        <vt:lpwstr>http://www.servicesaustralia.gov.au/income-bank</vt:lpwstr>
      </vt:variant>
      <vt:variant>
        <vt:lpwstr/>
      </vt:variant>
      <vt:variant>
        <vt:i4>7405692</vt:i4>
      </vt:variant>
      <vt:variant>
        <vt:i4>2604</vt:i4>
      </vt:variant>
      <vt:variant>
        <vt:i4>0</vt:i4>
      </vt:variant>
      <vt:variant>
        <vt:i4>5</vt:i4>
      </vt:variant>
      <vt:variant>
        <vt:lpwstr>https://doi.org/10.5694/mja2.51476</vt:lpwstr>
      </vt:variant>
      <vt:variant>
        <vt:lpwstr/>
      </vt:variant>
      <vt:variant>
        <vt:i4>1441817</vt:i4>
      </vt:variant>
      <vt:variant>
        <vt:i4>2601</vt:i4>
      </vt:variant>
      <vt:variant>
        <vt:i4>0</vt:i4>
      </vt:variant>
      <vt:variant>
        <vt:i4>5</vt:i4>
      </vt:variant>
      <vt:variant>
        <vt:lpwstr>http://www.scival.com/collaboration/collabMetrics?uri=Country/36</vt:lpwstr>
      </vt:variant>
      <vt:variant>
        <vt:lpwstr/>
      </vt:variant>
      <vt:variant>
        <vt:i4>2490475</vt:i4>
      </vt:variant>
      <vt:variant>
        <vt:i4>2598</vt:i4>
      </vt:variant>
      <vt:variant>
        <vt:i4>0</vt:i4>
      </vt:variant>
      <vt:variant>
        <vt:i4>5</vt:i4>
      </vt:variant>
      <vt:variant>
        <vt:lpwstr>http://www.scival.com/benchmarking/ranking/the/worldUniversityRankings</vt:lpwstr>
      </vt:variant>
      <vt:variant>
        <vt:lpwstr/>
      </vt:variant>
      <vt:variant>
        <vt:i4>7798836</vt:i4>
      </vt:variant>
      <vt:variant>
        <vt:i4>2595</vt:i4>
      </vt:variant>
      <vt:variant>
        <vt:i4>0</vt:i4>
      </vt:variant>
      <vt:variant>
        <vt:i4>5</vt:i4>
      </vt:variant>
      <vt:variant>
        <vt:lpwstr>http://www.theaustralian.com.au/inquirer/the-great-skills-shift-everyones-an-expert-now/news-story/8ffef73878c4f308dde2457837e6c5de</vt:lpwstr>
      </vt:variant>
      <vt:variant>
        <vt:lpwstr/>
      </vt:variant>
      <vt:variant>
        <vt:i4>7340155</vt:i4>
      </vt:variant>
      <vt:variant>
        <vt:i4>2592</vt:i4>
      </vt:variant>
      <vt:variant>
        <vt:i4>0</vt:i4>
      </vt:variant>
      <vt:variant>
        <vt:i4>5</vt:i4>
      </vt:variant>
      <vt:variant>
        <vt:lpwstr>https://doi.org/10.5694/mja2.52033</vt:lpwstr>
      </vt:variant>
      <vt:variant>
        <vt:lpwstr/>
      </vt:variant>
      <vt:variant>
        <vt:i4>2424946</vt:i4>
      </vt:variant>
      <vt:variant>
        <vt:i4>2589</vt:i4>
      </vt:variant>
      <vt:variant>
        <vt:i4>0</vt:i4>
      </vt:variant>
      <vt:variant>
        <vt:i4>5</vt:i4>
      </vt:variant>
      <vt:variant>
        <vt:lpwstr>http://www.racgp.org.au/getmedia/80c8bdc9-8886-4055-8a8d-ea793b088e5a/Health-of-the-Nation.pdf.aspx</vt:lpwstr>
      </vt:variant>
      <vt:variant>
        <vt:lpwstr/>
      </vt:variant>
      <vt:variant>
        <vt:i4>5832731</vt:i4>
      </vt:variant>
      <vt:variant>
        <vt:i4>2586</vt:i4>
      </vt:variant>
      <vt:variant>
        <vt:i4>0</vt:i4>
      </vt:variant>
      <vt:variant>
        <vt:i4>5</vt:i4>
      </vt:variant>
      <vt:variant>
        <vt:lpwstr>http://www.timeshighereducation.com/news/back-black-australian-universities-brace-bushfire-season</vt:lpwstr>
      </vt:variant>
      <vt:variant>
        <vt:lpwstr/>
      </vt:variant>
      <vt:variant>
        <vt:i4>8061025</vt:i4>
      </vt:variant>
      <vt:variant>
        <vt:i4>2583</vt:i4>
      </vt:variant>
      <vt:variant>
        <vt:i4>0</vt:i4>
      </vt:variant>
      <vt:variant>
        <vt:i4>5</vt:i4>
      </vt:variant>
      <vt:variant>
        <vt:lpwstr>http://www.timeshighereducation.com/news/australian-universities-cap-international-student-numbers</vt:lpwstr>
      </vt:variant>
      <vt:variant>
        <vt:lpwstr/>
      </vt:variant>
      <vt:variant>
        <vt:i4>3801202</vt:i4>
      </vt:variant>
      <vt:variant>
        <vt:i4>2580</vt:i4>
      </vt:variant>
      <vt:variant>
        <vt:i4>0</vt:i4>
      </vt:variant>
      <vt:variant>
        <vt:i4>5</vt:i4>
      </vt:variant>
      <vt:variant>
        <vt:lpwstr>http://www.timeshighereducation.com/news/australian-rd-investment-hits-17-year-low</vt:lpwstr>
      </vt:variant>
      <vt:variant>
        <vt:lpwstr/>
      </vt:variant>
      <vt:variant>
        <vt:i4>3211301</vt:i4>
      </vt:variant>
      <vt:variant>
        <vt:i4>2577</vt:i4>
      </vt:variant>
      <vt:variant>
        <vt:i4>0</vt:i4>
      </vt:variant>
      <vt:variant>
        <vt:i4>5</vt:i4>
      </vt:variant>
      <vt:variant>
        <vt:lpwstr>http://www.elsevier.com/connect/the-growing-importance-of-research-infrastructures</vt:lpwstr>
      </vt:variant>
      <vt:variant>
        <vt:lpwstr/>
      </vt:variant>
      <vt:variant>
        <vt:i4>6160474</vt:i4>
      </vt:variant>
      <vt:variant>
        <vt:i4>2574</vt:i4>
      </vt:variant>
      <vt:variant>
        <vt:i4>0</vt:i4>
      </vt:variant>
      <vt:variant>
        <vt:i4>5</vt:i4>
      </vt:variant>
      <vt:variant>
        <vt:lpwstr>http://www.rba.gov.au/education/resources/snapshots/economy-composition-snapshot/</vt:lpwstr>
      </vt:variant>
      <vt:variant>
        <vt:lpwstr/>
      </vt:variant>
      <vt:variant>
        <vt:i4>4784218</vt:i4>
      </vt:variant>
      <vt:variant>
        <vt:i4>2571</vt:i4>
      </vt:variant>
      <vt:variant>
        <vt:i4>0</vt:i4>
      </vt:variant>
      <vt:variant>
        <vt:i4>5</vt:i4>
      </vt:variant>
      <vt:variant>
        <vt:lpwstr>http://www.rba.gov.au/inflation/measures-cpi.html</vt:lpwstr>
      </vt:variant>
      <vt:variant>
        <vt:lpwstr/>
      </vt:variant>
      <vt:variant>
        <vt:i4>6488173</vt:i4>
      </vt:variant>
      <vt:variant>
        <vt:i4>2568</vt:i4>
      </vt:variant>
      <vt:variant>
        <vt:i4>0</vt:i4>
      </vt:variant>
      <vt:variant>
        <vt:i4>5</vt:i4>
      </vt:variant>
      <vt:variant>
        <vt:lpwstr>http://www.education.gov.au/system/files/documents/submission-file/2023-04/AUA_tranche1_Regional Universities Network.pdf</vt:lpwstr>
      </vt:variant>
      <vt:variant>
        <vt:lpwstr/>
      </vt:variant>
      <vt:variant>
        <vt:i4>6488189</vt:i4>
      </vt:variant>
      <vt:variant>
        <vt:i4>2565</vt:i4>
      </vt:variant>
      <vt:variant>
        <vt:i4>0</vt:i4>
      </vt:variant>
      <vt:variant>
        <vt:i4>5</vt:i4>
      </vt:variant>
      <vt:variant>
        <vt:lpwstr>http://www.run.edu.au/about-us/statistics/</vt:lpwstr>
      </vt:variant>
      <vt:variant>
        <vt:lpwstr/>
      </vt:variant>
      <vt:variant>
        <vt:i4>917515</vt:i4>
      </vt:variant>
      <vt:variant>
        <vt:i4>2562</vt:i4>
      </vt:variant>
      <vt:variant>
        <vt:i4>0</vt:i4>
      </vt:variant>
      <vt:variant>
        <vt:i4>5</vt:i4>
      </vt:variant>
      <vt:variant>
        <vt:lpwstr>https://doi.org/10.5204/ssj.v10i1.923</vt:lpwstr>
      </vt:variant>
      <vt:variant>
        <vt:lpwstr/>
      </vt:variant>
      <vt:variant>
        <vt:i4>5177429</vt:i4>
      </vt:variant>
      <vt:variant>
        <vt:i4>2559</vt:i4>
      </vt:variant>
      <vt:variant>
        <vt:i4>0</vt:i4>
      </vt:variant>
      <vt:variant>
        <vt:i4>5</vt:i4>
      </vt:variant>
      <vt:variant>
        <vt:lpwstr>http://www.qilt.edu.au/surveys/graduate-outcomes-survey-(gos)</vt:lpwstr>
      </vt:variant>
      <vt:variant>
        <vt:lpwstr/>
      </vt:variant>
      <vt:variant>
        <vt:i4>3080316</vt:i4>
      </vt:variant>
      <vt:variant>
        <vt:i4>2556</vt:i4>
      </vt:variant>
      <vt:variant>
        <vt:i4>0</vt:i4>
      </vt:variant>
      <vt:variant>
        <vt:i4>5</vt:i4>
      </vt:variant>
      <vt:variant>
        <vt:lpwstr>http://www.qilt.edu.au/surveys/graduate-outcomes-survey---longitudinal-(gos-l)</vt:lpwstr>
      </vt:variant>
      <vt:variant>
        <vt:lpwstr/>
      </vt:variant>
      <vt:variant>
        <vt:i4>2555964</vt:i4>
      </vt:variant>
      <vt:variant>
        <vt:i4>2553</vt:i4>
      </vt:variant>
      <vt:variant>
        <vt:i4>0</vt:i4>
      </vt:variant>
      <vt:variant>
        <vt:i4>5</vt:i4>
      </vt:variant>
      <vt:variant>
        <vt:lpwstr>http://www.qilt.edu.au/</vt:lpwstr>
      </vt:variant>
      <vt:variant>
        <vt:lpwstr/>
      </vt:variant>
      <vt:variant>
        <vt:i4>7667747</vt:i4>
      </vt:variant>
      <vt:variant>
        <vt:i4>2550</vt:i4>
      </vt:variant>
      <vt:variant>
        <vt:i4>0</vt:i4>
      </vt:variant>
      <vt:variant>
        <vt:i4>5</vt:i4>
      </vt:variant>
      <vt:variant>
        <vt:lpwstr>http://www.qilt.edu.au/surveys/student-experience-survey-(ses)</vt:lpwstr>
      </vt:variant>
      <vt:variant>
        <vt:lpwstr/>
      </vt:variant>
      <vt:variant>
        <vt:i4>7667747</vt:i4>
      </vt:variant>
      <vt:variant>
        <vt:i4>2547</vt:i4>
      </vt:variant>
      <vt:variant>
        <vt:i4>0</vt:i4>
      </vt:variant>
      <vt:variant>
        <vt:i4>5</vt:i4>
      </vt:variant>
      <vt:variant>
        <vt:lpwstr>http://www.qilt.edu.au/surveys/student-experience-survey-(ses)</vt:lpwstr>
      </vt:variant>
      <vt:variant>
        <vt:lpwstr/>
      </vt:variant>
      <vt:variant>
        <vt:i4>589893</vt:i4>
      </vt:variant>
      <vt:variant>
        <vt:i4>2544</vt:i4>
      </vt:variant>
      <vt:variant>
        <vt:i4>0</vt:i4>
      </vt:variant>
      <vt:variant>
        <vt:i4>5</vt:i4>
      </vt:variant>
      <vt:variant>
        <vt:lpwstr>http://www.pc.gov.au/research/completed/university-report-card/university-report-card.pdf</vt:lpwstr>
      </vt:variant>
      <vt:variant>
        <vt:lpwstr/>
      </vt:variant>
      <vt:variant>
        <vt:i4>5308424</vt:i4>
      </vt:variant>
      <vt:variant>
        <vt:i4>2541</vt:i4>
      </vt:variant>
      <vt:variant>
        <vt:i4>0</vt:i4>
      </vt:variant>
      <vt:variant>
        <vt:i4>5</vt:i4>
      </vt:variant>
      <vt:variant>
        <vt:lpwstr>http://www.pc.gov.au/inquiries/completed/school-agreement/report</vt:lpwstr>
      </vt:variant>
      <vt:variant>
        <vt:lpwstr/>
      </vt:variant>
      <vt:variant>
        <vt:i4>3932270</vt:i4>
      </vt:variant>
      <vt:variant>
        <vt:i4>2538</vt:i4>
      </vt:variant>
      <vt:variant>
        <vt:i4>0</vt:i4>
      </vt:variant>
      <vt:variant>
        <vt:i4>5</vt:i4>
      </vt:variant>
      <vt:variant>
        <vt:lpwstr>http://www.pc.gov.au/inquiries/current/childhood/draft/childhood-draft.pdf</vt:lpwstr>
      </vt:variant>
      <vt:variant>
        <vt:lpwstr/>
      </vt:variant>
      <vt:variant>
        <vt:i4>7798908</vt:i4>
      </vt:variant>
      <vt:variant>
        <vt:i4>2535</vt:i4>
      </vt:variant>
      <vt:variant>
        <vt:i4>0</vt:i4>
      </vt:variant>
      <vt:variant>
        <vt:i4>5</vt:i4>
      </vt:variant>
      <vt:variant>
        <vt:lpwstr>http://www.pc.gov.au/inquiries/completed/productivity/report/productivity-volume5-innovation-diffusion.pdf</vt:lpwstr>
      </vt:variant>
      <vt:variant>
        <vt:lpwstr/>
      </vt:variant>
      <vt:variant>
        <vt:i4>2424869</vt:i4>
      </vt:variant>
      <vt:variant>
        <vt:i4>2532</vt:i4>
      </vt:variant>
      <vt:variant>
        <vt:i4>0</vt:i4>
      </vt:variant>
      <vt:variant>
        <vt:i4>5</vt:i4>
      </vt:variant>
      <vt:variant>
        <vt:lpwstr>http://www.pc.gov.au/inquiries/completed/productivity/report/productivity-volume8-education-skills.pdf</vt:lpwstr>
      </vt:variant>
      <vt:variant>
        <vt:lpwstr/>
      </vt:variant>
      <vt:variant>
        <vt:i4>6946919</vt:i4>
      </vt:variant>
      <vt:variant>
        <vt:i4>2529</vt:i4>
      </vt:variant>
      <vt:variant>
        <vt:i4>0</vt:i4>
      </vt:variant>
      <vt:variant>
        <vt:i4>5</vt:i4>
      </vt:variant>
      <vt:variant>
        <vt:lpwstr>http://www.pc.gov.au/inquiries/completed/productivity/report/productivity-advancing-prosperity-all-volumes.pdf</vt:lpwstr>
      </vt:variant>
      <vt:variant>
        <vt:lpwstr/>
      </vt:variant>
      <vt:variant>
        <vt:i4>6946937</vt:i4>
      </vt:variant>
      <vt:variant>
        <vt:i4>2526</vt:i4>
      </vt:variant>
      <vt:variant>
        <vt:i4>0</vt:i4>
      </vt:variant>
      <vt:variant>
        <vt:i4>5</vt:i4>
      </vt:variant>
      <vt:variant>
        <vt:lpwstr>http://www.pc.gov.au/inquiries/completed/productivity-review/report/productivity-review.pdf</vt:lpwstr>
      </vt:variant>
      <vt:variant>
        <vt:lpwstr/>
      </vt:variant>
      <vt:variant>
        <vt:i4>5832796</vt:i4>
      </vt:variant>
      <vt:variant>
        <vt:i4>2523</vt:i4>
      </vt:variant>
      <vt:variant>
        <vt:i4>0</vt:i4>
      </vt:variant>
      <vt:variant>
        <vt:i4>5</vt:i4>
      </vt:variant>
      <vt:variant>
        <vt:lpwstr>http://www.ncsehe.edu.au/wp-content/uploads/2016/07/Final-Pathways-to-Higher-Education-The-Efficacy-of-Enabling-and-Sub-Bachelor-Pathways-for-Disadvantaged-Students.pdf</vt:lpwstr>
      </vt:variant>
      <vt:variant>
        <vt:lpwstr/>
      </vt:variant>
      <vt:variant>
        <vt:i4>2293878</vt:i4>
      </vt:variant>
      <vt:variant>
        <vt:i4>2520</vt:i4>
      </vt:variant>
      <vt:variant>
        <vt:i4>0</vt:i4>
      </vt:variant>
      <vt:variant>
        <vt:i4>5</vt:i4>
      </vt:variant>
      <vt:variant>
        <vt:lpwstr>https://doi.org/10.1093/reseval/rvt021</vt:lpwstr>
      </vt:variant>
      <vt:variant>
        <vt:lpwstr/>
      </vt:variant>
      <vt:variant>
        <vt:i4>1048609</vt:i4>
      </vt:variant>
      <vt:variant>
        <vt:i4>2517</vt:i4>
      </vt:variant>
      <vt:variant>
        <vt:i4>0</vt:i4>
      </vt:variant>
      <vt:variant>
        <vt:i4>5</vt:i4>
      </vt:variant>
      <vt:variant>
        <vt:lpwstr>https://parlinfo.aph.gov.au/parlInfo/download/library/prspub/7622081/upload_binary/7622081.pdf</vt:lpwstr>
      </vt:variant>
      <vt:variant>
        <vt:lpwstr/>
      </vt:variant>
      <vt:variant>
        <vt:i4>6029401</vt:i4>
      </vt:variant>
      <vt:variant>
        <vt:i4>2514</vt:i4>
      </vt:variant>
      <vt:variant>
        <vt:i4>0</vt:i4>
      </vt:variant>
      <vt:variant>
        <vt:i4>5</vt:i4>
      </vt:variant>
      <vt:variant>
        <vt:lpwstr>http://www.homeaffairs.gov.au/reports-and-pubs/files/review-migration-system-final-report.pdf</vt:lpwstr>
      </vt:variant>
      <vt:variant>
        <vt:lpwstr/>
      </vt:variant>
      <vt:variant>
        <vt:i4>6815791</vt:i4>
      </vt:variant>
      <vt:variant>
        <vt:i4>2511</vt:i4>
      </vt:variant>
      <vt:variant>
        <vt:i4>0</vt:i4>
      </vt:variant>
      <vt:variant>
        <vt:i4>5</vt:i4>
      </vt:variant>
      <vt:variant>
        <vt:lpwstr>http://www.spre.com.au/download/ExportsAustraliaStates2022.pdf</vt:lpwstr>
      </vt:variant>
      <vt:variant>
        <vt:lpwstr/>
      </vt:variant>
      <vt:variant>
        <vt:i4>2752621</vt:i4>
      </vt:variant>
      <vt:variant>
        <vt:i4>2508</vt:i4>
      </vt:variant>
      <vt:variant>
        <vt:i4>0</vt:i4>
      </vt:variant>
      <vt:variant>
        <vt:i4>5</vt:i4>
      </vt:variant>
      <vt:variant>
        <vt:lpwstr>http://www.chiefscientist.gov.au/sites/default/files/2020-09/mapping_university_prerequisites_in_australia.pdf</vt:lpwstr>
      </vt:variant>
      <vt:variant>
        <vt:lpwstr/>
      </vt:variant>
      <vt:variant>
        <vt:i4>4915288</vt:i4>
      </vt:variant>
      <vt:variant>
        <vt:i4>2505</vt:i4>
      </vt:variant>
      <vt:variant>
        <vt:i4>0</vt:i4>
      </vt:variant>
      <vt:variant>
        <vt:i4>5</vt:i4>
      </vt:variant>
      <vt:variant>
        <vt:lpwstr>http://www.officeforstudents.org.uk/advice-and-guidance/the-tef/</vt:lpwstr>
      </vt:variant>
      <vt:variant>
        <vt:lpwstr/>
      </vt:variant>
      <vt:variant>
        <vt:i4>7995490</vt:i4>
      </vt:variant>
      <vt:variant>
        <vt:i4>2502</vt:i4>
      </vt:variant>
      <vt:variant>
        <vt:i4>0</vt:i4>
      </vt:variant>
      <vt:variant>
        <vt:i4>5</vt:i4>
      </vt:variant>
      <vt:variant>
        <vt:lpwstr>http://www.officeforstudents.org.uk/advice-and-guidance/skills-and-employment/higher-education-short-course-trial/</vt:lpwstr>
      </vt:variant>
      <vt:variant>
        <vt:lpwstr/>
      </vt:variant>
      <vt:variant>
        <vt:i4>2097273</vt:i4>
      </vt:variant>
      <vt:variant>
        <vt:i4>2499</vt:i4>
      </vt:variant>
      <vt:variant>
        <vt:i4>0</vt:i4>
      </vt:variant>
      <vt:variant>
        <vt:i4>5</vt:i4>
      </vt:variant>
      <vt:variant>
        <vt:lpwstr>https://doi.org/10.1787/e08803ce-en</vt:lpwstr>
      </vt:variant>
      <vt:variant>
        <vt:lpwstr/>
      </vt:variant>
      <vt:variant>
        <vt:i4>8061040</vt:i4>
      </vt:variant>
      <vt:variant>
        <vt:i4>2496</vt:i4>
      </vt:variant>
      <vt:variant>
        <vt:i4>0</vt:i4>
      </vt:variant>
      <vt:variant>
        <vt:i4>5</vt:i4>
      </vt:variant>
      <vt:variant>
        <vt:lpwstr>http://www.oecd.org/sti/inno/innovation-indicators-2023-highlights.pdf</vt:lpwstr>
      </vt:variant>
      <vt:variant>
        <vt:lpwstr/>
      </vt:variant>
      <vt:variant>
        <vt:i4>6946874</vt:i4>
      </vt:variant>
      <vt:variant>
        <vt:i4>2493</vt:i4>
      </vt:variant>
      <vt:variant>
        <vt:i4>0</vt:i4>
      </vt:variant>
      <vt:variant>
        <vt:i4>5</vt:i4>
      </vt:variant>
      <vt:variant>
        <vt:lpwstr>https://data.oecd.org/rd/gross-domestic-spending-on-r-d.htm</vt:lpwstr>
      </vt:variant>
      <vt:variant>
        <vt:lpwstr/>
      </vt:variant>
      <vt:variant>
        <vt:i4>3276841</vt:i4>
      </vt:variant>
      <vt:variant>
        <vt:i4>2490</vt:i4>
      </vt:variant>
      <vt:variant>
        <vt:i4>0</vt:i4>
      </vt:variant>
      <vt:variant>
        <vt:i4>5</vt:i4>
      </vt:variant>
      <vt:variant>
        <vt:lpwstr>http://www.oecd.org/sti/inno/Enhancing-Public-Research-Performance.pdf</vt:lpwstr>
      </vt:variant>
      <vt:variant>
        <vt:lpwstr/>
      </vt:variant>
      <vt:variant>
        <vt:i4>4587616</vt:i4>
      </vt:variant>
      <vt:variant>
        <vt:i4>2487</vt:i4>
      </vt:variant>
      <vt:variant>
        <vt:i4>0</vt:i4>
      </vt:variant>
      <vt:variant>
        <vt:i4>5</vt:i4>
      </vt:variant>
      <vt:variant>
        <vt:lpwstr>http://www.oecd-ilibrary.org/education/data/education-at-a-glance/educational-attainment-and-labour-force-status_889e8641-en</vt:lpwstr>
      </vt:variant>
      <vt:variant>
        <vt:lpwstr/>
      </vt:variant>
      <vt:variant>
        <vt:i4>7929973</vt:i4>
      </vt:variant>
      <vt:variant>
        <vt:i4>2484</vt:i4>
      </vt:variant>
      <vt:variant>
        <vt:i4>0</vt:i4>
      </vt:variant>
      <vt:variant>
        <vt:i4>5</vt:i4>
      </vt:variant>
      <vt:variant>
        <vt:lpwstr>http://www.oecd-ilibrary.org/docserver/e13bef63-en.pdf?expires=1702424845&amp;id=id&amp;‌accname=‌guest‌&amp;check‌sum=911‌13B459B04‌9A3E‌3‌9F8C1D230A37A21</vt:lpwstr>
      </vt:variant>
      <vt:variant>
        <vt:lpwstr/>
      </vt:variant>
      <vt:variant>
        <vt:i4>1900617</vt:i4>
      </vt:variant>
      <vt:variant>
        <vt:i4>2481</vt:i4>
      </vt:variant>
      <vt:variant>
        <vt:i4>0</vt:i4>
      </vt:variant>
      <vt:variant>
        <vt:i4>5</vt:i4>
      </vt:variant>
      <vt:variant>
        <vt:lpwstr>https://apo.org.au/sites/default/files/resource-files/2008-08/apo-nid3465.pdf</vt:lpwstr>
      </vt:variant>
      <vt:variant>
        <vt:lpwstr/>
      </vt:variant>
      <vt:variant>
        <vt:i4>7340088</vt:i4>
      </vt:variant>
      <vt:variant>
        <vt:i4>2478</vt:i4>
      </vt:variant>
      <vt:variant>
        <vt:i4>0</vt:i4>
      </vt:variant>
      <vt:variant>
        <vt:i4>5</vt:i4>
      </vt:variant>
      <vt:variant>
        <vt:lpwstr>http://www.education.gov.au/review-inform-better-and-fairer-education-system/resources/expert-panels-report</vt:lpwstr>
      </vt:variant>
      <vt:variant>
        <vt:lpwstr/>
      </vt:variant>
      <vt:variant>
        <vt:i4>6946869</vt:i4>
      </vt:variant>
      <vt:variant>
        <vt:i4>2475</vt:i4>
      </vt:variant>
      <vt:variant>
        <vt:i4>0</vt:i4>
      </vt:variant>
      <vt:variant>
        <vt:i4>5</vt:i4>
      </vt:variant>
      <vt:variant>
        <vt:lpwstr>https://www2.nzqa.govt.nz/tertiary/the-code/the-code-for-learners/</vt:lpwstr>
      </vt:variant>
      <vt:variant>
        <vt:lpwstr/>
      </vt:variant>
      <vt:variant>
        <vt:i4>2424886</vt:i4>
      </vt:variant>
      <vt:variant>
        <vt:i4>2472</vt:i4>
      </vt:variant>
      <vt:variant>
        <vt:i4>0</vt:i4>
      </vt:variant>
      <vt:variant>
        <vt:i4>5</vt:i4>
      </vt:variant>
      <vt:variant>
        <vt:lpwstr>http://www.education.gov.au/australian-universities-accord/resources/nous-group-consultation-report</vt:lpwstr>
      </vt:variant>
      <vt:variant>
        <vt:lpwstr/>
      </vt:variant>
      <vt:variant>
        <vt:i4>786499</vt:i4>
      </vt:variant>
      <vt:variant>
        <vt:i4>2469</vt:i4>
      </vt:variant>
      <vt:variant>
        <vt:i4>0</vt:i4>
      </vt:variant>
      <vt:variant>
        <vt:i4>5</vt:i4>
      </vt:variant>
      <vt:variant>
        <vt:lpwstr>https://nousgroup.com/wp-content/uploads/2020/09/RUN-Summary-Report-final-compressed.pdf</vt:lpwstr>
      </vt:variant>
      <vt:variant>
        <vt:lpwstr/>
      </vt:variant>
      <vt:variant>
        <vt:i4>1835101</vt:i4>
      </vt:variant>
      <vt:variant>
        <vt:i4>2466</vt:i4>
      </vt:variant>
      <vt:variant>
        <vt:i4>0</vt:i4>
      </vt:variant>
      <vt:variant>
        <vt:i4>5</vt:i4>
      </vt:variant>
      <vt:variant>
        <vt:lpwstr>http://www.education.gov.au/australian-universities-accord/resources/australian-universities-accord-discussion-paper-submission-analysis</vt:lpwstr>
      </vt:variant>
      <vt:variant>
        <vt:lpwstr/>
      </vt:variant>
      <vt:variant>
        <vt:i4>6291582</vt:i4>
      </vt:variant>
      <vt:variant>
        <vt:i4>2463</vt:i4>
      </vt:variant>
      <vt:variant>
        <vt:i4>0</vt:i4>
      </vt:variant>
      <vt:variant>
        <vt:i4>5</vt:i4>
      </vt:variant>
      <vt:variant>
        <vt:lpwstr>https://grattan.edu.au/wp-content/uploads/2015/10/831-Cash-nexus-report.pdf</vt:lpwstr>
      </vt:variant>
      <vt:variant>
        <vt:lpwstr/>
      </vt:variant>
      <vt:variant>
        <vt:i4>2490492</vt:i4>
      </vt:variant>
      <vt:variant>
        <vt:i4>2460</vt:i4>
      </vt:variant>
      <vt:variant>
        <vt:i4>0</vt:i4>
      </vt:variant>
      <vt:variant>
        <vt:i4>5</vt:i4>
      </vt:variant>
      <vt:variant>
        <vt:lpwstr>https://csrm.cass.anu.edu.au/research/publications/mapping-australian-higher-education-2023</vt:lpwstr>
      </vt:variant>
      <vt:variant>
        <vt:lpwstr/>
      </vt:variant>
      <vt:variant>
        <vt:i4>2228344</vt:i4>
      </vt:variant>
      <vt:variant>
        <vt:i4>2457</vt:i4>
      </vt:variant>
      <vt:variant>
        <vt:i4>0</vt:i4>
      </vt:variant>
      <vt:variant>
        <vt:i4>5</vt:i4>
      </vt:variant>
      <vt:variant>
        <vt:lpwstr>https://grattan.edu.au/wp-content/uploads/2016/12/883-Shared-interest-A-universal-loan-fee-for-HELP.pdf</vt:lpwstr>
      </vt:variant>
      <vt:variant>
        <vt:lpwstr/>
      </vt:variant>
      <vt:variant>
        <vt:i4>655388</vt:i4>
      </vt:variant>
      <vt:variant>
        <vt:i4>2454</vt:i4>
      </vt:variant>
      <vt:variant>
        <vt:i4>0</vt:i4>
      </vt:variant>
      <vt:variant>
        <vt:i4>5</vt:i4>
      </vt:variant>
      <vt:variant>
        <vt:lpwstr>https://www2.nzqa.govt.nz/tertiary/approval-accreditation-and-registration/micro-credentials/</vt:lpwstr>
      </vt:variant>
      <vt:variant>
        <vt:lpwstr/>
      </vt:variant>
      <vt:variant>
        <vt:i4>5111885</vt:i4>
      </vt:variant>
      <vt:variant>
        <vt:i4>2451</vt:i4>
      </vt:variant>
      <vt:variant>
        <vt:i4>0</vt:i4>
      </vt:variant>
      <vt:variant>
        <vt:i4>5</vt:i4>
      </vt:variant>
      <vt:variant>
        <vt:lpwstr>http://www.lsay.edu.au/publications/search-for-lsay-publications/generation-z-life-at-22</vt:lpwstr>
      </vt:variant>
      <vt:variant>
        <vt:lpwstr/>
      </vt:variant>
      <vt:variant>
        <vt:i4>4128804</vt:i4>
      </vt:variant>
      <vt:variant>
        <vt:i4>2448</vt:i4>
      </vt:variant>
      <vt:variant>
        <vt:i4>0</vt:i4>
      </vt:variant>
      <vt:variant>
        <vt:i4>5</vt:i4>
      </vt:variant>
      <vt:variant>
        <vt:lpwstr>http://www.education.gov.au/system/files/documents/submission-file/2023-02/AUA_priorities_National Union of Students.pdf</vt:lpwstr>
      </vt:variant>
      <vt:variant>
        <vt:lpwstr/>
      </vt:variant>
      <vt:variant>
        <vt:i4>1638483</vt:i4>
      </vt:variant>
      <vt:variant>
        <vt:i4>2445</vt:i4>
      </vt:variant>
      <vt:variant>
        <vt:i4>0</vt:i4>
      </vt:variant>
      <vt:variant>
        <vt:i4>5</vt:i4>
      </vt:variant>
      <vt:variant>
        <vt:lpwstr>http://hdl.voced.edu.au/10707/659556</vt:lpwstr>
      </vt:variant>
      <vt:variant>
        <vt:lpwstr/>
      </vt:variant>
      <vt:variant>
        <vt:i4>7405676</vt:i4>
      </vt:variant>
      <vt:variant>
        <vt:i4>2442</vt:i4>
      </vt:variant>
      <vt:variant>
        <vt:i4>0</vt:i4>
      </vt:variant>
      <vt:variant>
        <vt:i4>5</vt:i4>
      </vt:variant>
      <vt:variant>
        <vt:lpwstr>http://www.yourcareer.gov.au/resources/australian-jobs-report</vt:lpwstr>
      </vt:variant>
      <vt:variant>
        <vt:lpwstr>download-the-full-publication-2</vt:lpwstr>
      </vt:variant>
      <vt:variant>
        <vt:i4>1114165</vt:i4>
      </vt:variant>
      <vt:variant>
        <vt:i4>2439</vt:i4>
      </vt:variant>
      <vt:variant>
        <vt:i4>0</vt:i4>
      </vt:variant>
      <vt:variant>
        <vt:i4>5</vt:i4>
      </vt:variant>
      <vt:variant>
        <vt:lpwstr>http://www.education.gov.au/system/files/2023-09/AUA_inter_tranche6a_139 National Association of Graduate Careers Advisory Services %28NAGCAS%29.pdf</vt:lpwstr>
      </vt:variant>
      <vt:variant>
        <vt:lpwstr/>
      </vt:variant>
      <vt:variant>
        <vt:i4>540409948</vt:i4>
      </vt:variant>
      <vt:variant>
        <vt:i4>2436</vt:i4>
      </vt:variant>
      <vt:variant>
        <vt:i4>0</vt:i4>
      </vt:variant>
      <vt:variant>
        <vt:i4>5</vt:i4>
      </vt:variant>
      <vt:variant>
        <vt:lpwstr>https://www.education.gov.au/australian-universities-accord‌/‌consultations‌/australian-universities-accord-panel-discussion-paper-consultation‌/‌submission‌/‌15916</vt:lpwstr>
      </vt:variant>
      <vt:variant>
        <vt:lpwstr/>
      </vt:variant>
      <vt:variant>
        <vt:i4>7405692</vt:i4>
      </vt:variant>
      <vt:variant>
        <vt:i4>2433</vt:i4>
      </vt:variant>
      <vt:variant>
        <vt:i4>0</vt:i4>
      </vt:variant>
      <vt:variant>
        <vt:i4>5</vt:i4>
      </vt:variant>
      <vt:variant>
        <vt:lpwstr>http://www.education.gov.au/access-and-participation/resources/national-regional-rural-and-remote-tertiary-education-strategy-final-report</vt:lpwstr>
      </vt:variant>
      <vt:variant>
        <vt:lpwstr/>
      </vt:variant>
      <vt:variant>
        <vt:i4>786508</vt:i4>
      </vt:variant>
      <vt:variant>
        <vt:i4>2430</vt:i4>
      </vt:variant>
      <vt:variant>
        <vt:i4>0</vt:i4>
      </vt:variant>
      <vt:variant>
        <vt:i4>5</vt:i4>
      </vt:variant>
      <vt:variant>
        <vt:lpwstr>https://doi.org/10.1080/07294360.2018.1440536</vt:lpwstr>
      </vt:variant>
      <vt:variant>
        <vt:lpwstr/>
      </vt:variant>
      <vt:variant>
        <vt:i4>4063341</vt:i4>
      </vt:variant>
      <vt:variant>
        <vt:i4>2427</vt:i4>
      </vt:variant>
      <vt:variant>
        <vt:i4>0</vt:i4>
      </vt:variant>
      <vt:variant>
        <vt:i4>5</vt:i4>
      </vt:variant>
      <vt:variant>
        <vt:lpwstr>https://online.monash.edu/support/</vt:lpwstr>
      </vt:variant>
      <vt:variant>
        <vt:lpwstr/>
      </vt:variant>
      <vt:variant>
        <vt:i4>589824</vt:i4>
      </vt:variant>
      <vt:variant>
        <vt:i4>2424</vt:i4>
      </vt:variant>
      <vt:variant>
        <vt:i4>0</vt:i4>
      </vt:variant>
      <vt:variant>
        <vt:i4>5</vt:i4>
      </vt:variant>
      <vt:variant>
        <vt:lpwstr>https://link.springer.com/article/10.1007/s11273-022-09866-4</vt:lpwstr>
      </vt:variant>
      <vt:variant>
        <vt:lpwstr/>
      </vt:variant>
      <vt:variant>
        <vt:i4>4653084</vt:i4>
      </vt:variant>
      <vt:variant>
        <vt:i4>2421</vt:i4>
      </vt:variant>
      <vt:variant>
        <vt:i4>0</vt:i4>
      </vt:variant>
      <vt:variant>
        <vt:i4>5</vt:i4>
      </vt:variant>
      <vt:variant>
        <vt:lpwstr>https://openresearch-repository.anu.edu.au/handle/1885/209175</vt:lpwstr>
      </vt:variant>
      <vt:variant>
        <vt:lpwstr/>
      </vt:variant>
      <vt:variant>
        <vt:i4>3014777</vt:i4>
      </vt:variant>
      <vt:variant>
        <vt:i4>2418</vt:i4>
      </vt:variant>
      <vt:variant>
        <vt:i4>0</vt:i4>
      </vt:variant>
      <vt:variant>
        <vt:i4>5</vt:i4>
      </vt:variant>
      <vt:variant>
        <vt:lpwstr>http://www.jstor.org/stable/3447236</vt:lpwstr>
      </vt:variant>
      <vt:variant>
        <vt:lpwstr/>
      </vt:variant>
      <vt:variant>
        <vt:i4>8126577</vt:i4>
      </vt:variant>
      <vt:variant>
        <vt:i4>2415</vt:i4>
      </vt:variant>
      <vt:variant>
        <vt:i4>0</vt:i4>
      </vt:variant>
      <vt:variant>
        <vt:i4>5</vt:i4>
      </vt:variant>
      <vt:variant>
        <vt:lpwstr>http://dx.doi.org/10.1080/13603116.2015.1079273</vt:lpwstr>
      </vt:variant>
      <vt:variant>
        <vt:lpwstr/>
      </vt:variant>
      <vt:variant>
        <vt:i4>7274530</vt:i4>
      </vt:variant>
      <vt:variant>
        <vt:i4>2412</vt:i4>
      </vt:variant>
      <vt:variant>
        <vt:i4>0</vt:i4>
      </vt:variant>
      <vt:variant>
        <vt:i4>5</vt:i4>
      </vt:variant>
      <vt:variant>
        <vt:lpwstr>https://doi.org/10.57956/kxye-qd93</vt:lpwstr>
      </vt:variant>
      <vt:variant>
        <vt:lpwstr/>
      </vt:variant>
      <vt:variant>
        <vt:i4>393231</vt:i4>
      </vt:variant>
      <vt:variant>
        <vt:i4>2409</vt:i4>
      </vt:variant>
      <vt:variant>
        <vt:i4>0</vt:i4>
      </vt:variant>
      <vt:variant>
        <vt:i4>5</vt:i4>
      </vt:variant>
      <vt:variant>
        <vt:lpwstr>http://www.latrobe.edu.au/mylatrobe/take-time-out-in-the-lounge/</vt:lpwstr>
      </vt:variant>
      <vt:variant>
        <vt:lpwstr/>
      </vt:variant>
      <vt:variant>
        <vt:i4>5636098</vt:i4>
      </vt:variant>
      <vt:variant>
        <vt:i4>2406</vt:i4>
      </vt:variant>
      <vt:variant>
        <vt:i4>0</vt:i4>
      </vt:variant>
      <vt:variant>
        <vt:i4>5</vt:i4>
      </vt:variant>
      <vt:variant>
        <vt:lpwstr>https://techtransfer.org.au/scopr-2022-public-research-powers-ahead-on-commercialisation/</vt:lpwstr>
      </vt:variant>
      <vt:variant>
        <vt:lpwstr/>
      </vt:variant>
      <vt:variant>
        <vt:i4>1966081</vt:i4>
      </vt:variant>
      <vt:variant>
        <vt:i4>2403</vt:i4>
      </vt:variant>
      <vt:variant>
        <vt:i4>0</vt:i4>
      </vt:variant>
      <vt:variant>
        <vt:i4>5</vt:i4>
      </vt:variant>
      <vt:variant>
        <vt:lpwstr>http://www.education.gov.au/australian-universities-accord/consultations/australian-universities-accord-panel-discussion-paper-consultation/submission/16326</vt:lpwstr>
      </vt:variant>
      <vt:variant>
        <vt:lpwstr/>
      </vt:variant>
      <vt:variant>
        <vt:i4>3866657</vt:i4>
      </vt:variant>
      <vt:variant>
        <vt:i4>2400</vt:i4>
      </vt:variant>
      <vt:variant>
        <vt:i4>0</vt:i4>
      </vt:variant>
      <vt:variant>
        <vt:i4>5</vt:i4>
      </vt:variant>
      <vt:variant>
        <vt:lpwstr>http://www.education.gov.au/higher-education-reviews-and-consultations/resources/review-demand-driven-funding-system-report</vt:lpwstr>
      </vt:variant>
      <vt:variant>
        <vt:lpwstr/>
      </vt:variant>
      <vt:variant>
        <vt:i4>6103051</vt:i4>
      </vt:variant>
      <vt:variant>
        <vt:i4>2397</vt:i4>
      </vt:variant>
      <vt:variant>
        <vt:i4>0</vt:i4>
      </vt:variant>
      <vt:variant>
        <vt:i4>5</vt:i4>
      </vt:variant>
      <vt:variant>
        <vt:lpwstr>https://parlinfo.aph.gov.au/parlInfo/download/committees/reportjnt/024680/toc_pdf/FinalReportoftheInquiryintoAustralia’sSkilledMigrationProgram.pdf;fileType=application%2Fpdf</vt:lpwstr>
      </vt:variant>
      <vt:variant>
        <vt:lpwstr/>
      </vt:variant>
      <vt:variant>
        <vt:i4>786525</vt:i4>
      </vt:variant>
      <vt:variant>
        <vt:i4>2394</vt:i4>
      </vt:variant>
      <vt:variant>
        <vt:i4>0</vt:i4>
      </vt:variant>
      <vt:variant>
        <vt:i4>5</vt:i4>
      </vt:variant>
      <vt:variant>
        <vt:lpwstr>http://www.jobsandskills.gov.au/publications/towards-national-jobs-and-skills-roadmap</vt:lpwstr>
      </vt:variant>
      <vt:variant>
        <vt:lpwstr/>
      </vt:variant>
      <vt:variant>
        <vt:i4>5439496</vt:i4>
      </vt:variant>
      <vt:variant>
        <vt:i4>2391</vt:i4>
      </vt:variant>
      <vt:variant>
        <vt:i4>0</vt:i4>
      </vt:variant>
      <vt:variant>
        <vt:i4>5</vt:i4>
      </vt:variant>
      <vt:variant>
        <vt:lpwstr>http://www.jobsandskills.gov.au/studies/clean-energy-capacity-study</vt:lpwstr>
      </vt:variant>
      <vt:variant>
        <vt:lpwstr>finalreport</vt:lpwstr>
      </vt:variant>
      <vt:variant>
        <vt:i4>2424953</vt:i4>
      </vt:variant>
      <vt:variant>
        <vt:i4>2388</vt:i4>
      </vt:variant>
      <vt:variant>
        <vt:i4>0</vt:i4>
      </vt:variant>
      <vt:variant>
        <vt:i4>5</vt:i4>
      </vt:variant>
      <vt:variant>
        <vt:lpwstr>http://www.jobsandskills.gov.au/data/employment-projections</vt:lpwstr>
      </vt:variant>
      <vt:variant>
        <vt:lpwstr/>
      </vt:variant>
      <vt:variant>
        <vt:i4>655382</vt:i4>
      </vt:variant>
      <vt:variant>
        <vt:i4>2385</vt:i4>
      </vt:variant>
      <vt:variant>
        <vt:i4>0</vt:i4>
      </vt:variant>
      <vt:variant>
        <vt:i4>5</vt:i4>
      </vt:variant>
      <vt:variant>
        <vt:lpwstr>https://labourmarketinsights.gov.au/media/l2ueqd0e/employment-outlook-industry-and-occupation-trends.pdf</vt:lpwstr>
      </vt:variant>
      <vt:variant>
        <vt:lpwstr/>
      </vt:variant>
      <vt:variant>
        <vt:i4>4456542</vt:i4>
      </vt:variant>
      <vt:variant>
        <vt:i4>2382</vt:i4>
      </vt:variant>
      <vt:variant>
        <vt:i4>0</vt:i4>
      </vt:variant>
      <vt:variant>
        <vt:i4>5</vt:i4>
      </vt:variant>
      <vt:variant>
        <vt:lpwstr>http://www.jobsandskills.gov.au/data/skills-priority-list</vt:lpwstr>
      </vt:variant>
      <vt:variant>
        <vt:lpwstr/>
      </vt:variant>
      <vt:variant>
        <vt:i4>6750313</vt:i4>
      </vt:variant>
      <vt:variant>
        <vt:i4>2379</vt:i4>
      </vt:variant>
      <vt:variant>
        <vt:i4>0</vt:i4>
      </vt:variant>
      <vt:variant>
        <vt:i4>5</vt:i4>
      </vt:variant>
      <vt:variant>
        <vt:lpwstr>http://www.jobsandskills.gov.au/data/skills-shortages-analysis</vt:lpwstr>
      </vt:variant>
      <vt:variant>
        <vt:lpwstr/>
      </vt:variant>
      <vt:variant>
        <vt:i4>4980810</vt:i4>
      </vt:variant>
      <vt:variant>
        <vt:i4>2376</vt:i4>
      </vt:variant>
      <vt:variant>
        <vt:i4>0</vt:i4>
      </vt:variant>
      <vt:variant>
        <vt:i4>5</vt:i4>
      </vt:variant>
      <vt:variant>
        <vt:lpwstr>https://medicaldeans.org.au/</vt:lpwstr>
      </vt:variant>
      <vt:variant>
        <vt:lpwstr/>
      </vt:variant>
      <vt:variant>
        <vt:i4>543490113</vt:i4>
      </vt:variant>
      <vt:variant>
        <vt:i4>2373</vt:i4>
      </vt:variant>
      <vt:variant>
        <vt:i4>0</vt:i4>
      </vt:variant>
      <vt:variant>
        <vt:i4>5</vt:i4>
      </vt:variant>
      <vt:variant>
        <vt:lpwstr>https://espace.library.uq.edu.au/view/UQ:bd8a044/‌Review‌_‌of‌_‌Equity_Groups_Final_Report.pdf?dsi_version=b288c45b247e4dbcd7bf879e09724b9c</vt:lpwstr>
      </vt:variant>
      <vt:variant>
        <vt:lpwstr/>
      </vt:variant>
      <vt:variant>
        <vt:i4>6881320</vt:i4>
      </vt:variant>
      <vt:variant>
        <vt:i4>2370</vt:i4>
      </vt:variant>
      <vt:variant>
        <vt:i4>0</vt:i4>
      </vt:variant>
      <vt:variant>
        <vt:i4>5</vt:i4>
      </vt:variant>
      <vt:variant>
        <vt:lpwstr>http://www.education.gov.au/australian-universities-accord/consultations/consultation-discussion-paper</vt:lpwstr>
      </vt:variant>
      <vt:variant>
        <vt:lpwstr/>
      </vt:variant>
      <vt:variant>
        <vt:i4>2883698</vt:i4>
      </vt:variant>
      <vt:variant>
        <vt:i4>2367</vt:i4>
      </vt:variant>
      <vt:variant>
        <vt:i4>0</vt:i4>
      </vt:variant>
      <vt:variant>
        <vt:i4>5</vt:i4>
      </vt:variant>
      <vt:variant>
        <vt:lpwstr>http://www.iteca.edu.au/state-of-sector</vt:lpwstr>
      </vt:variant>
      <vt:variant>
        <vt:lpwstr/>
      </vt:variant>
      <vt:variant>
        <vt:i4>1572865</vt:i4>
      </vt:variant>
      <vt:variant>
        <vt:i4>2364</vt:i4>
      </vt:variant>
      <vt:variant>
        <vt:i4>0</vt:i4>
      </vt:variant>
      <vt:variant>
        <vt:i4>5</vt:i4>
      </vt:variant>
      <vt:variant>
        <vt:lpwstr>http://www.imf.org/en/Publications/CR/Issues/2021/12/02/Australia-Selected-Issues-510757</vt:lpwstr>
      </vt:variant>
      <vt:variant>
        <vt:lpwstr/>
      </vt:variant>
      <vt:variant>
        <vt:i4>7536682</vt:i4>
      </vt:variant>
      <vt:variant>
        <vt:i4>2361</vt:i4>
      </vt:variant>
      <vt:variant>
        <vt:i4>0</vt:i4>
      </vt:variant>
      <vt:variant>
        <vt:i4>5</vt:i4>
      </vt:variant>
      <vt:variant>
        <vt:lpwstr>http://www.vu.edu.au/mitchell-institute/education/tertiary-education/needs-based-funding-lessons-from-the-school-sector</vt:lpwstr>
      </vt:variant>
      <vt:variant>
        <vt:lpwstr/>
      </vt:variant>
      <vt:variant>
        <vt:i4>542310520</vt:i4>
      </vt:variant>
      <vt:variant>
        <vt:i4>2358</vt:i4>
      </vt:variant>
      <vt:variant>
        <vt:i4>0</vt:i4>
      </vt:variant>
      <vt:variant>
        <vt:i4>5</vt:i4>
      </vt:variant>
      <vt:variant>
        <vt:lpwstr>http://www.aph.gov.au/Parliamentary_Business/Bills_Legislation/Bills_‌Search_Results/Result?bId=r7060</vt:lpwstr>
      </vt:variant>
      <vt:variant>
        <vt:lpwstr/>
      </vt:variant>
      <vt:variant>
        <vt:i4>5111898</vt:i4>
      </vt:variant>
      <vt:variant>
        <vt:i4>2355</vt:i4>
      </vt:variant>
      <vt:variant>
        <vt:i4>0</vt:i4>
      </vt:variant>
      <vt:variant>
        <vt:i4>5</vt:i4>
      </vt:variant>
      <vt:variant>
        <vt:lpwstr>http://www.legislation.gov.au/Details/C2022C00005</vt:lpwstr>
      </vt:variant>
      <vt:variant>
        <vt:lpwstr/>
      </vt:variant>
      <vt:variant>
        <vt:i4>8192062</vt:i4>
      </vt:variant>
      <vt:variant>
        <vt:i4>2352</vt:i4>
      </vt:variant>
      <vt:variant>
        <vt:i4>0</vt:i4>
      </vt:variant>
      <vt:variant>
        <vt:i4>5</vt:i4>
      </vt:variant>
      <vt:variant>
        <vt:lpwstr>http://www.education.gov.au/system/files/documents/submission-file/2023-07/Higher Education Standards Panel %28HESP%29.pdf</vt:lpwstr>
      </vt:variant>
      <vt:variant>
        <vt:lpwstr/>
      </vt:variant>
      <vt:variant>
        <vt:i4>5111902</vt:i4>
      </vt:variant>
      <vt:variant>
        <vt:i4>2349</vt:i4>
      </vt:variant>
      <vt:variant>
        <vt:i4>0</vt:i4>
      </vt:variant>
      <vt:variant>
        <vt:i4>5</vt:i4>
      </vt:variant>
      <vt:variant>
        <vt:lpwstr>http://www.legislation.gov.au/Details/F2022C00105</vt:lpwstr>
      </vt:variant>
      <vt:variant>
        <vt:lpwstr/>
      </vt:variant>
      <vt:variant>
        <vt:i4>2949239</vt:i4>
      </vt:variant>
      <vt:variant>
        <vt:i4>2346</vt:i4>
      </vt:variant>
      <vt:variant>
        <vt:i4>0</vt:i4>
      </vt:variant>
      <vt:variant>
        <vt:i4>5</vt:i4>
      </vt:variant>
      <vt:variant>
        <vt:lpwstr>https://doi.org/10.25904/1912/4989</vt:lpwstr>
      </vt:variant>
      <vt:variant>
        <vt:lpwstr/>
      </vt:variant>
      <vt:variant>
        <vt:i4>3539058</vt:i4>
      </vt:variant>
      <vt:variant>
        <vt:i4>2343</vt:i4>
      </vt:variant>
      <vt:variant>
        <vt:i4>0</vt:i4>
      </vt:variant>
      <vt:variant>
        <vt:i4>5</vt:i4>
      </vt:variant>
      <vt:variant>
        <vt:lpwstr>http://www.ncsehe.edu.au/wp-content/uploads/2015/03/Out-of-Care-Into-University.pdf</vt:lpwstr>
      </vt:variant>
      <vt:variant>
        <vt:lpwstr/>
      </vt:variant>
      <vt:variant>
        <vt:i4>7995428</vt:i4>
      </vt:variant>
      <vt:variant>
        <vt:i4>2340</vt:i4>
      </vt:variant>
      <vt:variant>
        <vt:i4>0</vt:i4>
      </vt:variant>
      <vt:variant>
        <vt:i4>5</vt:i4>
      </vt:variant>
      <vt:variant>
        <vt:lpwstr>https://atlas.cid.harvard.edu/rankings</vt:lpwstr>
      </vt:variant>
      <vt:variant>
        <vt:lpwstr/>
      </vt:variant>
      <vt:variant>
        <vt:i4>786515</vt:i4>
      </vt:variant>
      <vt:variant>
        <vt:i4>2337</vt:i4>
      </vt:variant>
      <vt:variant>
        <vt:i4>0</vt:i4>
      </vt:variant>
      <vt:variant>
        <vt:i4>5</vt:i4>
      </vt:variant>
      <vt:variant>
        <vt:lpwstr>http://www.education.gov.au/quality-schools-package/resources/independent-review-regional-rural-and-remote-education-final-report</vt:lpwstr>
      </vt:variant>
      <vt:variant>
        <vt:lpwstr/>
      </vt:variant>
      <vt:variant>
        <vt:i4>4980808</vt:i4>
      </vt:variant>
      <vt:variant>
        <vt:i4>2334</vt:i4>
      </vt:variant>
      <vt:variant>
        <vt:i4>0</vt:i4>
      </vt:variant>
      <vt:variant>
        <vt:i4>5</vt:i4>
      </vt:variant>
      <vt:variant>
        <vt:lpwstr>https://go8.edu.au/wp-content/uploads/2023/09/Go8-Policy-Brief-Basic-Research.pdf</vt:lpwstr>
      </vt:variant>
      <vt:variant>
        <vt:lpwstr/>
      </vt:variant>
      <vt:variant>
        <vt:i4>3866674</vt:i4>
      </vt:variant>
      <vt:variant>
        <vt:i4>2331</vt:i4>
      </vt:variant>
      <vt:variant>
        <vt:i4>0</vt:i4>
      </vt:variant>
      <vt:variant>
        <vt:i4>5</vt:i4>
      </vt:variant>
      <vt:variant>
        <vt:lpwstr>https://www.emerald.com/insight/content/doi/10.1108/S2055-364120190000017012/full/html</vt:lpwstr>
      </vt:variant>
      <vt:variant>
        <vt:lpwstr/>
      </vt:variant>
      <vt:variant>
        <vt:i4>3473495</vt:i4>
      </vt:variant>
      <vt:variant>
        <vt:i4>2328</vt:i4>
      </vt:variant>
      <vt:variant>
        <vt:i4>0</vt:i4>
      </vt:variant>
      <vt:variant>
        <vt:i4>5</vt:i4>
      </vt:variant>
      <vt:variant>
        <vt:lpwstr>https://parlinfo.aph.gov.au/parlInfo/download/legislation/ems/r6584_ems_79c2b067-a1b7-4c5d-949a-73e246023baa/upload_pdf/746432.pdf;fileType=application%2Fpdf</vt:lpwstr>
      </vt:variant>
      <vt:variant>
        <vt:lpwstr/>
      </vt:variant>
      <vt:variant>
        <vt:i4>720903</vt:i4>
      </vt:variant>
      <vt:variant>
        <vt:i4>2325</vt:i4>
      </vt:variant>
      <vt:variant>
        <vt:i4>0</vt:i4>
      </vt:variant>
      <vt:variant>
        <vt:i4>5</vt:i4>
      </vt:variant>
      <vt:variant>
        <vt:lpwstr>https://ec.europa.eu/eurostat/cache/metadata/en/inn_cis12_esms.htm</vt:lpwstr>
      </vt:variant>
      <vt:variant>
        <vt:lpwstr>annex1678715583437</vt:lpwstr>
      </vt:variant>
      <vt:variant>
        <vt:i4>7012444</vt:i4>
      </vt:variant>
      <vt:variant>
        <vt:i4>2322</vt:i4>
      </vt:variant>
      <vt:variant>
        <vt:i4>0</vt:i4>
      </vt:variant>
      <vt:variant>
        <vt:i4>5</vt:i4>
      </vt:variant>
      <vt:variant>
        <vt:lpwstr>https://parlinfo.aph.gov.au/parlInfo/download/legislation/ems/r6390_ems_53e96fa8-8d78-471d-b6b5-266e4e93871a/upload_pdf/716910.pdf;fileType=application%2Fpdf</vt:lpwstr>
      </vt:variant>
      <vt:variant>
        <vt:lpwstr/>
      </vt:variant>
      <vt:variant>
        <vt:i4>5505110</vt:i4>
      </vt:variant>
      <vt:variant>
        <vt:i4>2319</vt:i4>
      </vt:variant>
      <vt:variant>
        <vt:i4>0</vt:i4>
      </vt:variant>
      <vt:variant>
        <vt:i4>5</vt:i4>
      </vt:variant>
      <vt:variant>
        <vt:lpwstr>http://www.education.gov.au/collections/communiques-education-ministers-meeting-2023</vt:lpwstr>
      </vt:variant>
      <vt:variant>
        <vt:lpwstr/>
      </vt:variant>
      <vt:variant>
        <vt:i4>543367185</vt:i4>
      </vt:variant>
      <vt:variant>
        <vt:i4>2316</vt:i4>
      </vt:variant>
      <vt:variant>
        <vt:i4>0</vt:i4>
      </vt:variant>
      <vt:variant>
        <vt:i4>5</vt:i4>
      </vt:variant>
      <vt:variant>
        <vt:lpwstr>https://research-repository.griffith.edu.au/bitstream/handle/10072/38922/65824_‌1.‌pdf?sequence=1</vt:lpwstr>
      </vt:variant>
      <vt:variant>
        <vt:lpwstr/>
      </vt:variant>
      <vt:variant>
        <vt:i4>196702</vt:i4>
      </vt:variant>
      <vt:variant>
        <vt:i4>2313</vt:i4>
      </vt:variant>
      <vt:variant>
        <vt:i4>0</vt:i4>
      </vt:variant>
      <vt:variant>
        <vt:i4>5</vt:i4>
      </vt:variant>
      <vt:variant>
        <vt:lpwstr>http://www.ncsehe.edu.au/wp-content/uploads/2022/11/2022-Dollinger-Final.pdf</vt:lpwstr>
      </vt:variant>
      <vt:variant>
        <vt:lpwstr/>
      </vt:variant>
      <vt:variant>
        <vt:i4>3342436</vt:i4>
      </vt:variant>
      <vt:variant>
        <vt:i4>2310</vt:i4>
      </vt:variant>
      <vt:variant>
        <vt:i4>0</vt:i4>
      </vt:variant>
      <vt:variant>
        <vt:i4>5</vt:i4>
      </vt:variant>
      <vt:variant>
        <vt:lpwstr>https://treasury.gov.au/employment-whitepaper/final-report</vt:lpwstr>
      </vt:variant>
      <vt:variant>
        <vt:lpwstr/>
      </vt:variant>
      <vt:variant>
        <vt:i4>4587529</vt:i4>
      </vt:variant>
      <vt:variant>
        <vt:i4>2307</vt:i4>
      </vt:variant>
      <vt:variant>
        <vt:i4>0</vt:i4>
      </vt:variant>
      <vt:variant>
        <vt:i4>5</vt:i4>
      </vt:variant>
      <vt:variant>
        <vt:lpwstr>http://www.aihw.gov.au/reports/australias-health/profile-of-australias-population</vt:lpwstr>
      </vt:variant>
      <vt:variant>
        <vt:lpwstr/>
      </vt:variant>
      <vt:variant>
        <vt:i4>196700</vt:i4>
      </vt:variant>
      <vt:variant>
        <vt:i4>2304</vt:i4>
      </vt:variant>
      <vt:variant>
        <vt:i4>0</vt:i4>
      </vt:variant>
      <vt:variant>
        <vt:i4>5</vt:i4>
      </vt:variant>
      <vt:variant>
        <vt:lpwstr>https://treasury.gov.au/sites/default/files/2023-08/p2023-435150.pdf</vt:lpwstr>
      </vt:variant>
      <vt:variant>
        <vt:lpwstr/>
      </vt:variant>
      <vt:variant>
        <vt:i4>7012466</vt:i4>
      </vt:variant>
      <vt:variant>
        <vt:i4>2301</vt:i4>
      </vt:variant>
      <vt:variant>
        <vt:i4>0</vt:i4>
      </vt:variant>
      <vt:variant>
        <vt:i4>5</vt:i4>
      </vt:variant>
      <vt:variant>
        <vt:lpwstr>http://www.dss.gov.au/groups-councils-and-committees-economic-inclusion-advisory-committee/interim-economic-inclusion-advisory-committee-2023-24-report</vt:lpwstr>
      </vt:variant>
      <vt:variant>
        <vt:lpwstr/>
      </vt:variant>
      <vt:variant>
        <vt:i4>4259840</vt:i4>
      </vt:variant>
      <vt:variant>
        <vt:i4>2298</vt:i4>
      </vt:variant>
      <vt:variant>
        <vt:i4>0</vt:i4>
      </vt:variant>
      <vt:variant>
        <vt:i4>5</vt:i4>
      </vt:variant>
      <vt:variant>
        <vt:lpwstr>http://www.pmc.gov.au/publications/strengthening-skills-expert-review-australias-vocational-education-and-training-system</vt:lpwstr>
      </vt:variant>
      <vt:variant>
        <vt:lpwstr/>
      </vt:variant>
      <vt:variant>
        <vt:i4>3866633</vt:i4>
      </vt:variant>
      <vt:variant>
        <vt:i4>2295</vt:i4>
      </vt:variant>
      <vt:variant>
        <vt:i4>0</vt:i4>
      </vt:variant>
      <vt:variant>
        <vt:i4>5</vt:i4>
      </vt:variant>
      <vt:variant>
        <vt:lpwstr>http://www.dpac.tas.gov.au/divisions/policy/partnership_with_the_university_of_tasmania</vt:lpwstr>
      </vt:variant>
      <vt:variant>
        <vt:lpwstr/>
      </vt:variant>
      <vt:variant>
        <vt:i4>1835023</vt:i4>
      </vt:variant>
      <vt:variant>
        <vt:i4>2292</vt:i4>
      </vt:variant>
      <vt:variant>
        <vt:i4>0</vt:i4>
      </vt:variant>
      <vt:variant>
        <vt:i4>5</vt:i4>
      </vt:variant>
      <vt:variant>
        <vt:lpwstr>http://www.skillfinder.com.au/page/about</vt:lpwstr>
      </vt:variant>
      <vt:variant>
        <vt:lpwstr/>
      </vt:variant>
      <vt:variant>
        <vt:i4>4718615</vt:i4>
      </vt:variant>
      <vt:variant>
        <vt:i4>2289</vt:i4>
      </vt:variant>
      <vt:variant>
        <vt:i4>0</vt:i4>
      </vt:variant>
      <vt:variant>
        <vt:i4>5</vt:i4>
      </vt:variant>
      <vt:variant>
        <vt:lpwstr>http://www.industry.gov.au/publications/science-research-and-innovation-sri-budget-tables-2022-23</vt:lpwstr>
      </vt:variant>
      <vt:variant>
        <vt:lpwstr/>
      </vt:variant>
      <vt:variant>
        <vt:i4>983064</vt:i4>
      </vt:variant>
      <vt:variant>
        <vt:i4>2286</vt:i4>
      </vt:variant>
      <vt:variant>
        <vt:i4>0</vt:i4>
      </vt:variant>
      <vt:variant>
        <vt:i4>5</vt:i4>
      </vt:variant>
      <vt:variant>
        <vt:lpwstr>https://immi.homeaffairs.gov.au/programs-subsite/migration-strategy/Documents/migration-strategy.pdf</vt:lpwstr>
      </vt:variant>
      <vt:variant>
        <vt:lpwstr/>
      </vt:variant>
      <vt:variant>
        <vt:i4>1245268</vt:i4>
      </vt:variant>
      <vt:variant>
        <vt:i4>2283</vt:i4>
      </vt:variant>
      <vt:variant>
        <vt:i4>0</vt:i4>
      </vt:variant>
      <vt:variant>
        <vt:i4>5</vt:i4>
      </vt:variant>
      <vt:variant>
        <vt:lpwstr>http://www.homeaffairs.gov.au/reports-and-publications/reviews-and-inquiries/departmental-reviews/migration-system-for-australias-future</vt:lpwstr>
      </vt:variant>
      <vt:variant>
        <vt:lpwstr/>
      </vt:variant>
      <vt:variant>
        <vt:i4>983064</vt:i4>
      </vt:variant>
      <vt:variant>
        <vt:i4>2280</vt:i4>
      </vt:variant>
      <vt:variant>
        <vt:i4>0</vt:i4>
      </vt:variant>
      <vt:variant>
        <vt:i4>5</vt:i4>
      </vt:variant>
      <vt:variant>
        <vt:lpwstr>https://immi.homeaffairs.gov.au/programs-subsite/migration-strategy/Documents/migration-strategy.pdf</vt:lpwstr>
      </vt:variant>
      <vt:variant>
        <vt:lpwstr/>
      </vt:variant>
      <vt:variant>
        <vt:i4>3932282</vt:i4>
      </vt:variant>
      <vt:variant>
        <vt:i4>2277</vt:i4>
      </vt:variant>
      <vt:variant>
        <vt:i4>0</vt:i4>
      </vt:variant>
      <vt:variant>
        <vt:i4>5</vt:i4>
      </vt:variant>
      <vt:variant>
        <vt:lpwstr>http://www.health.gov.au/our-work/national-medical-workforce-strategy-2021-2031</vt:lpwstr>
      </vt:variant>
      <vt:variant>
        <vt:lpwstr/>
      </vt:variant>
      <vt:variant>
        <vt:i4>2097269</vt:i4>
      </vt:variant>
      <vt:variant>
        <vt:i4>2274</vt:i4>
      </vt:variant>
      <vt:variant>
        <vt:i4>0</vt:i4>
      </vt:variant>
      <vt:variant>
        <vt:i4>5</vt:i4>
      </vt:variant>
      <vt:variant>
        <vt:lpwstr>http://www.dfat.gov.au/sites/default/files/trade-and-investment-glance-2021.pdf</vt:lpwstr>
      </vt:variant>
      <vt:variant>
        <vt:lpwstr/>
      </vt:variant>
      <vt:variant>
        <vt:i4>524305</vt:i4>
      </vt:variant>
      <vt:variant>
        <vt:i4>2271</vt:i4>
      </vt:variant>
      <vt:variant>
        <vt:i4>0</vt:i4>
      </vt:variant>
      <vt:variant>
        <vt:i4>5</vt:i4>
      </vt:variant>
      <vt:variant>
        <vt:lpwstr>http://www.dewr.gov.au/nci/partnership-grants-program</vt:lpwstr>
      </vt:variant>
      <vt:variant>
        <vt:lpwstr/>
      </vt:variant>
      <vt:variant>
        <vt:i4>5177431</vt:i4>
      </vt:variant>
      <vt:variant>
        <vt:i4>2268</vt:i4>
      </vt:variant>
      <vt:variant>
        <vt:i4>0</vt:i4>
      </vt:variant>
      <vt:variant>
        <vt:i4>5</vt:i4>
      </vt:variant>
      <vt:variant>
        <vt:lpwstr>http://www.yourcareer.gov.au/learn-and-train/myskills</vt:lpwstr>
      </vt:variant>
      <vt:variant>
        <vt:lpwstr/>
      </vt:variant>
      <vt:variant>
        <vt:i4>6684716</vt:i4>
      </vt:variant>
      <vt:variant>
        <vt:i4>2265</vt:i4>
      </vt:variant>
      <vt:variant>
        <vt:i4>0</vt:i4>
      </vt:variant>
      <vt:variant>
        <vt:i4>5</vt:i4>
      </vt:variant>
      <vt:variant>
        <vt:lpwstr>http://www.education.gov.au/higher-education-statistics/resources/2022-section-11-equity-groups</vt:lpwstr>
      </vt:variant>
      <vt:variant>
        <vt:lpwstr/>
      </vt:variant>
      <vt:variant>
        <vt:i4>5570630</vt:i4>
      </vt:variant>
      <vt:variant>
        <vt:i4>2262</vt:i4>
      </vt:variant>
      <vt:variant>
        <vt:i4>0</vt:i4>
      </vt:variant>
      <vt:variant>
        <vt:i4>5</vt:i4>
      </vt:variant>
      <vt:variant>
        <vt:lpwstr>http://www.education.gov.au/higher-education-statistics/resources/student-enrolments-pivot-table-2022</vt:lpwstr>
      </vt:variant>
      <vt:variant>
        <vt:lpwstr/>
      </vt:variant>
      <vt:variant>
        <vt:i4>2490492</vt:i4>
      </vt:variant>
      <vt:variant>
        <vt:i4>2259</vt:i4>
      </vt:variant>
      <vt:variant>
        <vt:i4>0</vt:i4>
      </vt:variant>
      <vt:variant>
        <vt:i4>5</vt:i4>
      </vt:variant>
      <vt:variant>
        <vt:lpwstr>http://www.education.gov.au/higher-education-publications/resources/national-microcredentials-framework</vt:lpwstr>
      </vt:variant>
      <vt:variant>
        <vt:lpwstr/>
      </vt:variant>
      <vt:variant>
        <vt:i4>6553714</vt:i4>
      </vt:variant>
      <vt:variant>
        <vt:i4>2256</vt:i4>
      </vt:variant>
      <vt:variant>
        <vt:i4>0</vt:i4>
      </vt:variant>
      <vt:variant>
        <vt:i4>5</vt:i4>
      </vt:variant>
      <vt:variant>
        <vt:lpwstr>http://www.education.gov.au/international-education-data-and-research/international-student-monthly-summary-and-data-tables</vt:lpwstr>
      </vt:variant>
      <vt:variant>
        <vt:lpwstr/>
      </vt:variant>
      <vt:variant>
        <vt:i4>5177434</vt:i4>
      </vt:variant>
      <vt:variant>
        <vt:i4>2253</vt:i4>
      </vt:variant>
      <vt:variant>
        <vt:i4>0</vt:i4>
      </vt:variant>
      <vt:variant>
        <vt:i4>5</vt:i4>
      </vt:variant>
      <vt:variant>
        <vt:lpwstr>http://www.education.gov.au/international-education-data-and-research/international-student-monthly-summary-and-data-tables</vt:lpwstr>
      </vt:variant>
      <vt:variant>
        <vt:lpwstr>:~:text=In%20the%20year%2Dto%2Ddate,the%20COVID%2D19%20pandemic</vt:lpwstr>
      </vt:variant>
      <vt:variant>
        <vt:i4>5701654</vt:i4>
      </vt:variant>
      <vt:variant>
        <vt:i4>2250</vt:i4>
      </vt:variant>
      <vt:variant>
        <vt:i4>0</vt:i4>
      </vt:variant>
      <vt:variant>
        <vt:i4>5</vt:i4>
      </vt:variant>
      <vt:variant>
        <vt:lpwstr>http://www.education.gov.au/higher-education-statistics/resources/indigenous-students-higher-degrees-research</vt:lpwstr>
      </vt:variant>
      <vt:variant>
        <vt:lpwstr/>
      </vt:variant>
      <vt:variant>
        <vt:i4>7143550</vt:i4>
      </vt:variant>
      <vt:variant>
        <vt:i4>2247</vt:i4>
      </vt:variant>
      <vt:variant>
        <vt:i4>0</vt:i4>
      </vt:variant>
      <vt:variant>
        <vt:i4>5</vt:i4>
      </vt:variant>
      <vt:variant>
        <vt:lpwstr>http://www.education.gov.au/higher-education-statistics/staff-data/selected-higher-education-statistics-2022-staff-data</vt:lpwstr>
      </vt:variant>
      <vt:variant>
        <vt:lpwstr/>
      </vt:variant>
      <vt:variant>
        <vt:i4>1638484</vt:i4>
      </vt:variant>
      <vt:variant>
        <vt:i4>2244</vt:i4>
      </vt:variant>
      <vt:variant>
        <vt:i4>0</vt:i4>
      </vt:variant>
      <vt:variant>
        <vt:i4>5</vt:i4>
      </vt:variant>
      <vt:variant>
        <vt:lpwstr>http://www.education.gov.au/higher-education-statistics/resources/2022-section-5-liability-status-categories</vt:lpwstr>
      </vt:variant>
      <vt:variant>
        <vt:lpwstr/>
      </vt:variant>
      <vt:variant>
        <vt:i4>4915265</vt:i4>
      </vt:variant>
      <vt:variant>
        <vt:i4>2241</vt:i4>
      </vt:variant>
      <vt:variant>
        <vt:i4>0</vt:i4>
      </vt:variant>
      <vt:variant>
        <vt:i4>5</vt:i4>
      </vt:variant>
      <vt:variant>
        <vt:lpwstr>http://www.education.gov.au/higher-education-statistics/resources/2022-section-2-all-students</vt:lpwstr>
      </vt:variant>
      <vt:variant>
        <vt:lpwstr/>
      </vt:variant>
      <vt:variant>
        <vt:i4>327699</vt:i4>
      </vt:variant>
      <vt:variant>
        <vt:i4>2238</vt:i4>
      </vt:variant>
      <vt:variant>
        <vt:i4>0</vt:i4>
      </vt:variant>
      <vt:variant>
        <vt:i4>5</vt:i4>
      </vt:variant>
      <vt:variant>
        <vt:lpwstr>http://www.education.gov.au/higher-education-statistics/resources/2022-section-16-equity-performance-data</vt:lpwstr>
      </vt:variant>
      <vt:variant>
        <vt:lpwstr/>
      </vt:variant>
      <vt:variant>
        <vt:i4>7798894</vt:i4>
      </vt:variant>
      <vt:variant>
        <vt:i4>2235</vt:i4>
      </vt:variant>
      <vt:variant>
        <vt:i4>0</vt:i4>
      </vt:variant>
      <vt:variant>
        <vt:i4>5</vt:i4>
      </vt:variant>
      <vt:variant>
        <vt:lpwstr>http://www.education.gov.au/higher-education-publications/resources/2021-higher-education-providers-finance-tables</vt:lpwstr>
      </vt:variant>
      <vt:variant>
        <vt:lpwstr/>
      </vt:variant>
      <vt:variant>
        <vt:i4>2359336</vt:i4>
      </vt:variant>
      <vt:variant>
        <vt:i4>2232</vt:i4>
      </vt:variant>
      <vt:variant>
        <vt:i4>0</vt:i4>
      </vt:variant>
      <vt:variant>
        <vt:i4>5</vt:i4>
      </vt:variant>
      <vt:variant>
        <vt:lpwstr>http://www.education.gov.au/australian-universities-accord/resources/draft-action-plan-addressing-genderbased-violence-higher-education</vt:lpwstr>
      </vt:variant>
      <vt:variant>
        <vt:lpwstr/>
      </vt:variant>
      <vt:variant>
        <vt:i4>5374028</vt:i4>
      </vt:variant>
      <vt:variant>
        <vt:i4>2229</vt:i4>
      </vt:variant>
      <vt:variant>
        <vt:i4>0</vt:i4>
      </vt:variant>
      <vt:variant>
        <vt:i4>5</vt:i4>
      </vt:variant>
      <vt:variant>
        <vt:lpwstr>http://www.education.gov.au/research-block-grants/resources/research-block-grant-allocations-time-series</vt:lpwstr>
      </vt:variant>
      <vt:variant>
        <vt:lpwstr/>
      </vt:variant>
      <vt:variant>
        <vt:i4>7798880</vt:i4>
      </vt:variant>
      <vt:variant>
        <vt:i4>2226</vt:i4>
      </vt:variant>
      <vt:variant>
        <vt:i4>0</vt:i4>
      </vt:variant>
      <vt:variant>
        <vt:i4>5</vt:i4>
      </vt:variant>
      <vt:variant>
        <vt:lpwstr>http://www.education.gov.au/regional-university-study-hubs/student-testimonials</vt:lpwstr>
      </vt:variant>
      <vt:variant>
        <vt:lpwstr/>
      </vt:variant>
      <vt:variant>
        <vt:i4>1769540</vt:i4>
      </vt:variant>
      <vt:variant>
        <vt:i4>2223</vt:i4>
      </vt:variant>
      <vt:variant>
        <vt:i4>0</vt:i4>
      </vt:variant>
      <vt:variant>
        <vt:i4>5</vt:i4>
      </vt:variant>
      <vt:variant>
        <vt:lpwstr>http://www.education.gov.au/research-translation-and-commercialisation-agenda</vt:lpwstr>
      </vt:variant>
      <vt:variant>
        <vt:lpwstr/>
      </vt:variant>
      <vt:variant>
        <vt:i4>6422645</vt:i4>
      </vt:variant>
      <vt:variant>
        <vt:i4>2220</vt:i4>
      </vt:variant>
      <vt:variant>
        <vt:i4>0</vt:i4>
      </vt:variant>
      <vt:variant>
        <vt:i4>5</vt:i4>
      </vt:variant>
      <vt:variant>
        <vt:lpwstr>https://www.education.gov.au/national-industry-phd-program/funding-outcomes</vt:lpwstr>
      </vt:variant>
      <vt:variant>
        <vt:lpwstr/>
      </vt:variant>
      <vt:variant>
        <vt:i4>1769540</vt:i4>
      </vt:variant>
      <vt:variant>
        <vt:i4>2217</vt:i4>
      </vt:variant>
      <vt:variant>
        <vt:i4>0</vt:i4>
      </vt:variant>
      <vt:variant>
        <vt:i4>5</vt:i4>
      </vt:variant>
      <vt:variant>
        <vt:lpwstr>http://www.education.gov.au/research-translation-and-commercialisation-agenda</vt:lpwstr>
      </vt:variant>
      <vt:variant>
        <vt:lpwstr/>
      </vt:variant>
      <vt:variant>
        <vt:i4>7143550</vt:i4>
      </vt:variant>
      <vt:variant>
        <vt:i4>2214</vt:i4>
      </vt:variant>
      <vt:variant>
        <vt:i4>0</vt:i4>
      </vt:variant>
      <vt:variant>
        <vt:i4>5</vt:i4>
      </vt:variant>
      <vt:variant>
        <vt:lpwstr>http://www.education.gov.au/higher-education-statistics/staff-data/selected-higher-education-statistics-2022-staff-data</vt:lpwstr>
      </vt:variant>
      <vt:variant>
        <vt:lpwstr/>
      </vt:variant>
      <vt:variant>
        <vt:i4>2293870</vt:i4>
      </vt:variant>
      <vt:variant>
        <vt:i4>2211</vt:i4>
      </vt:variant>
      <vt:variant>
        <vt:i4>0</vt:i4>
      </vt:variant>
      <vt:variant>
        <vt:i4>5</vt:i4>
      </vt:variant>
      <vt:variant>
        <vt:lpwstr>http://hdl.voced.edu.au/10707/44384</vt:lpwstr>
      </vt:variant>
      <vt:variant>
        <vt:lpwstr/>
      </vt:variant>
      <vt:variant>
        <vt:i4>983070</vt:i4>
      </vt:variant>
      <vt:variant>
        <vt:i4>2208</vt:i4>
      </vt:variant>
      <vt:variant>
        <vt:i4>0</vt:i4>
      </vt:variant>
      <vt:variant>
        <vt:i4>5</vt:i4>
      </vt:variant>
      <vt:variant>
        <vt:lpwstr>http://www.education.gov.au/higher-education-reviews-and-consultations/resources/review-australian-qualifications-framework-final-report-2019</vt:lpwstr>
      </vt:variant>
      <vt:variant>
        <vt:lpwstr/>
      </vt:variant>
      <vt:variant>
        <vt:i4>6881313</vt:i4>
      </vt:variant>
      <vt:variant>
        <vt:i4>2205</vt:i4>
      </vt:variant>
      <vt:variant>
        <vt:i4>0</vt:i4>
      </vt:variant>
      <vt:variant>
        <vt:i4>5</vt:i4>
      </vt:variant>
      <vt:variant>
        <vt:lpwstr>http://www.microcredseeker.edu.au/about</vt:lpwstr>
      </vt:variant>
      <vt:variant>
        <vt:lpwstr/>
      </vt:variant>
      <vt:variant>
        <vt:i4>2883621</vt:i4>
      </vt:variant>
      <vt:variant>
        <vt:i4>2202</vt:i4>
      </vt:variant>
      <vt:variant>
        <vt:i4>0</vt:i4>
      </vt:variant>
      <vt:variant>
        <vt:i4>5</vt:i4>
      </vt:variant>
      <vt:variant>
        <vt:lpwstr>http://www.courseseeker.edu.au/</vt:lpwstr>
      </vt:variant>
      <vt:variant>
        <vt:lpwstr/>
      </vt:variant>
      <vt:variant>
        <vt:i4>2031700</vt:i4>
      </vt:variant>
      <vt:variant>
        <vt:i4>2199</vt:i4>
      </vt:variant>
      <vt:variant>
        <vt:i4>0</vt:i4>
      </vt:variant>
      <vt:variant>
        <vt:i4>5</vt:i4>
      </vt:variant>
      <vt:variant>
        <vt:lpwstr>http://www.energy.gov.au/government-priorities/australias-energy-strategies-and-frameworks/powering-australia</vt:lpwstr>
      </vt:variant>
      <vt:variant>
        <vt:lpwstr/>
      </vt:variant>
      <vt:variant>
        <vt:i4>2555904</vt:i4>
      </vt:variant>
      <vt:variant>
        <vt:i4>2196</vt:i4>
      </vt:variant>
      <vt:variant>
        <vt:i4>0</vt:i4>
      </vt:variant>
      <vt:variant>
        <vt:i4>5</vt:i4>
      </vt:variant>
      <vt:variant>
        <vt:lpwstr>http://www.education.gov.au/system/files/documents/submission-file/2023-02/AUA_priorities_Curtin Student Guild_0.pdf</vt:lpwstr>
      </vt:variant>
      <vt:variant>
        <vt:lpwstr/>
      </vt:variant>
      <vt:variant>
        <vt:i4>8323192</vt:i4>
      </vt:variant>
      <vt:variant>
        <vt:i4>2193</vt:i4>
      </vt:variant>
      <vt:variant>
        <vt:i4>0</vt:i4>
      </vt:variant>
      <vt:variant>
        <vt:i4>5</vt:i4>
      </vt:variant>
      <vt:variant>
        <vt:lpwstr>http://dx.doi.org/10.2139/ssrn.4573321</vt:lpwstr>
      </vt:variant>
      <vt:variant>
        <vt:lpwstr/>
      </vt:variant>
      <vt:variant>
        <vt:i4>2359346</vt:i4>
      </vt:variant>
      <vt:variant>
        <vt:i4>2190</vt:i4>
      </vt:variant>
      <vt:variant>
        <vt:i4>0</vt:i4>
      </vt:variant>
      <vt:variant>
        <vt:i4>5</vt:i4>
      </vt:variant>
      <vt:variant>
        <vt:lpwstr>https://doi.org/10.1007/s43545-023-00641-7</vt:lpwstr>
      </vt:variant>
      <vt:variant>
        <vt:lpwstr/>
      </vt:variant>
      <vt:variant>
        <vt:i4>6815803</vt:i4>
      </vt:variant>
      <vt:variant>
        <vt:i4>2187</vt:i4>
      </vt:variant>
      <vt:variant>
        <vt:i4>0</vt:i4>
      </vt:variant>
      <vt:variant>
        <vt:i4>5</vt:i4>
      </vt:variant>
      <vt:variant>
        <vt:lpwstr>http://www.deloitte.com/au/en/services/economics/perspectives/soft-skills-business-success.html</vt:lpwstr>
      </vt:variant>
      <vt:variant>
        <vt:lpwstr/>
      </vt:variant>
      <vt:variant>
        <vt:i4>786507</vt:i4>
      </vt:variant>
      <vt:variant>
        <vt:i4>2184</vt:i4>
      </vt:variant>
      <vt:variant>
        <vt:i4>0</vt:i4>
      </vt:variant>
      <vt:variant>
        <vt:i4>5</vt:i4>
      </vt:variant>
      <vt:variant>
        <vt:lpwstr>https://research.acer.edu.au/cgi/viewcontent.cgi?article=1056&amp;context=ozpisa</vt:lpwstr>
      </vt:variant>
      <vt:variant>
        <vt:lpwstr/>
      </vt:variant>
      <vt:variant>
        <vt:i4>1638489</vt:i4>
      </vt:variant>
      <vt:variant>
        <vt:i4>2181</vt:i4>
      </vt:variant>
      <vt:variant>
        <vt:i4>0</vt:i4>
      </vt:variant>
      <vt:variant>
        <vt:i4>5</vt:i4>
      </vt:variant>
      <vt:variant>
        <vt:lpwstr>http://hdl.voced.edu.au/10707/162333</vt:lpwstr>
      </vt:variant>
      <vt:variant>
        <vt:lpwstr/>
      </vt:variant>
      <vt:variant>
        <vt:i4>2555904</vt:i4>
      </vt:variant>
      <vt:variant>
        <vt:i4>2178</vt:i4>
      </vt:variant>
      <vt:variant>
        <vt:i4>0</vt:i4>
      </vt:variant>
      <vt:variant>
        <vt:i4>5</vt:i4>
      </vt:variant>
      <vt:variant>
        <vt:lpwstr>http://www.education.gov.au/system/files/documents/submission-file/2023-02/AUA_priorities_Curtin Student Guild_0.pdf</vt:lpwstr>
      </vt:variant>
      <vt:variant>
        <vt:lpwstr/>
      </vt:variant>
      <vt:variant>
        <vt:i4>1638473</vt:i4>
      </vt:variant>
      <vt:variant>
        <vt:i4>2175</vt:i4>
      </vt:variant>
      <vt:variant>
        <vt:i4>0</vt:i4>
      </vt:variant>
      <vt:variant>
        <vt:i4>5</vt:i4>
      </vt:variant>
      <vt:variant>
        <vt:lpwstr>http://www.doi.org/10.26188/23995704</vt:lpwstr>
      </vt:variant>
      <vt:variant>
        <vt:lpwstr/>
      </vt:variant>
      <vt:variant>
        <vt:i4>2490423</vt:i4>
      </vt:variant>
      <vt:variant>
        <vt:i4>2172</vt:i4>
      </vt:variant>
      <vt:variant>
        <vt:i4>0</vt:i4>
      </vt:variant>
      <vt:variant>
        <vt:i4>5</vt:i4>
      </vt:variant>
      <vt:variant>
        <vt:lpwstr>https://doi.org/10.1007/s10734-021-00759-8</vt:lpwstr>
      </vt:variant>
      <vt:variant>
        <vt:lpwstr/>
      </vt:variant>
      <vt:variant>
        <vt:i4>917523</vt:i4>
      </vt:variant>
      <vt:variant>
        <vt:i4>2169</vt:i4>
      </vt:variant>
      <vt:variant>
        <vt:i4>0</vt:i4>
      </vt:variant>
      <vt:variant>
        <vt:i4>5</vt:i4>
      </vt:variant>
      <vt:variant>
        <vt:lpwstr>http://www.education.gov.au/system/files/documents/submission-file/2023-04/AUA_tranche3_Gwilym Croucher %26amp%3B  Vin Massaro.pdf</vt:lpwstr>
      </vt:variant>
      <vt:variant>
        <vt:lpwstr/>
      </vt:variant>
      <vt:variant>
        <vt:i4>6357007</vt:i4>
      </vt:variant>
      <vt:variant>
        <vt:i4>2166</vt:i4>
      </vt:variant>
      <vt:variant>
        <vt:i4>0</vt:i4>
      </vt:variant>
      <vt:variant>
        <vt:i4>5</vt:i4>
      </vt:variant>
      <vt:variant>
        <vt:lpwstr>http://www.abs.gov.au/AUSSTATS/abs@.nsf/DetailsPage/1301.01946-47?OpenDocument</vt:lpwstr>
      </vt:variant>
      <vt:variant>
        <vt:lpwstr/>
      </vt:variant>
      <vt:variant>
        <vt:i4>1704018</vt:i4>
      </vt:variant>
      <vt:variant>
        <vt:i4>2163</vt:i4>
      </vt:variant>
      <vt:variant>
        <vt:i4>0</vt:i4>
      </vt:variant>
      <vt:variant>
        <vt:i4>5</vt:i4>
      </vt:variant>
      <vt:variant>
        <vt:lpwstr>http://hdl.voced.edu.au/10707/228215</vt:lpwstr>
      </vt:variant>
      <vt:variant>
        <vt:lpwstr/>
      </vt:variant>
      <vt:variant>
        <vt:i4>2555952</vt:i4>
      </vt:variant>
      <vt:variant>
        <vt:i4>2160</vt:i4>
      </vt:variant>
      <vt:variant>
        <vt:i4>0</vt:i4>
      </vt:variant>
      <vt:variant>
        <vt:i4>5</vt:i4>
      </vt:variant>
      <vt:variant>
        <vt:lpwstr>https://adb.anu.edu.au/biography/mills-richard-charles-7593</vt:lpwstr>
      </vt:variant>
      <vt:variant>
        <vt:lpwstr/>
      </vt:variant>
      <vt:variant>
        <vt:i4>1769553</vt:i4>
      </vt:variant>
      <vt:variant>
        <vt:i4>2157</vt:i4>
      </vt:variant>
      <vt:variant>
        <vt:i4>0</vt:i4>
      </vt:variant>
      <vt:variant>
        <vt:i4>5</vt:i4>
      </vt:variant>
      <vt:variant>
        <vt:lpwstr>http://hdl.voced.edu.au/10707/228224</vt:lpwstr>
      </vt:variant>
      <vt:variant>
        <vt:lpwstr/>
      </vt:variant>
      <vt:variant>
        <vt:i4>2293863</vt:i4>
      </vt:variant>
      <vt:variant>
        <vt:i4>2154</vt:i4>
      </vt:variant>
      <vt:variant>
        <vt:i4>0</vt:i4>
      </vt:variant>
      <vt:variant>
        <vt:i4>5</vt:i4>
      </vt:variant>
      <vt:variant>
        <vt:lpwstr>https://grattan.edu.au/wp-content/uploads/2022/12/Australias-migration-opportunity-how-rethinking-skilled-migration-can-solve-some-of-our-biggest-problems.pdf</vt:lpwstr>
      </vt:variant>
      <vt:variant>
        <vt:lpwstr/>
      </vt:variant>
      <vt:variant>
        <vt:i4>589893</vt:i4>
      </vt:variant>
      <vt:variant>
        <vt:i4>2151</vt:i4>
      </vt:variant>
      <vt:variant>
        <vt:i4>0</vt:i4>
      </vt:variant>
      <vt:variant>
        <vt:i4>5</vt:i4>
      </vt:variant>
      <vt:variant>
        <vt:lpwstr>http://www.closingthegap.gov.au/national-agreement/national-agreement-closing-the-gap</vt:lpwstr>
      </vt:variant>
      <vt:variant>
        <vt:lpwstr/>
      </vt:variant>
      <vt:variant>
        <vt:i4>524299</vt:i4>
      </vt:variant>
      <vt:variant>
        <vt:i4>2148</vt:i4>
      </vt:variant>
      <vt:variant>
        <vt:i4>0</vt:i4>
      </vt:variant>
      <vt:variant>
        <vt:i4>5</vt:i4>
      </vt:variant>
      <vt:variant>
        <vt:lpwstr>http://www.investment.nsw.gov.au/innovation/nsw-innovation-and-productivity-council/our-publications/the-innovation-economy-implications-and-imperatives-for-states-and-regions/</vt:lpwstr>
      </vt:variant>
      <vt:variant>
        <vt:lpwstr/>
      </vt:variant>
      <vt:variant>
        <vt:i4>2293814</vt:i4>
      </vt:variant>
      <vt:variant>
        <vt:i4>2145</vt:i4>
      </vt:variant>
      <vt:variant>
        <vt:i4>0</vt:i4>
      </vt:variant>
      <vt:variant>
        <vt:i4>5</vt:i4>
      </vt:variant>
      <vt:variant>
        <vt:lpwstr>https://incites.clarivate.com/</vt:lpwstr>
      </vt:variant>
      <vt:variant>
        <vt:lpwstr>/analysis/0/organization</vt:lpwstr>
      </vt:variant>
      <vt:variant>
        <vt:i4>327705</vt:i4>
      </vt:variant>
      <vt:variant>
        <vt:i4>2142</vt:i4>
      </vt:variant>
      <vt:variant>
        <vt:i4>0</vt:i4>
      </vt:variant>
      <vt:variant>
        <vt:i4>5</vt:i4>
      </vt:variant>
      <vt:variant>
        <vt:lpwstr>http://www.aap.com.au/aapreleases/cision20231115ae68209/</vt:lpwstr>
      </vt:variant>
      <vt:variant>
        <vt:lpwstr/>
      </vt:variant>
      <vt:variant>
        <vt:i4>7798833</vt:i4>
      </vt:variant>
      <vt:variant>
        <vt:i4>2139</vt:i4>
      </vt:variant>
      <vt:variant>
        <vt:i4>0</vt:i4>
      </vt:variant>
      <vt:variant>
        <vt:i4>5</vt:i4>
      </vt:variant>
      <vt:variant>
        <vt:lpwstr>https://doi.org/10.5281/zenodo.8362576</vt:lpwstr>
      </vt:variant>
      <vt:variant>
        <vt:lpwstr/>
      </vt:variant>
      <vt:variant>
        <vt:i4>5242949</vt:i4>
      </vt:variant>
      <vt:variant>
        <vt:i4>2136</vt:i4>
      </vt:variant>
      <vt:variant>
        <vt:i4>0</vt:i4>
      </vt:variant>
      <vt:variant>
        <vt:i4>5</vt:i4>
      </vt:variant>
      <vt:variant>
        <vt:lpwstr>http://www.nytimes.com/2018/04/02/upshot/an-international-final-four-which-country-handles-student-debt-best.html</vt:lpwstr>
      </vt:variant>
      <vt:variant>
        <vt:lpwstr/>
      </vt:variant>
      <vt:variant>
        <vt:i4>5767256</vt:i4>
      </vt:variant>
      <vt:variant>
        <vt:i4>2133</vt:i4>
      </vt:variant>
      <vt:variant>
        <vt:i4>0</vt:i4>
      </vt:variant>
      <vt:variant>
        <vt:i4>5</vt:i4>
      </vt:variant>
      <vt:variant>
        <vt:lpwstr>https://study.csu.edu.au/career-area/education-teaching/teachers-aide</vt:lpwstr>
      </vt:variant>
      <vt:variant>
        <vt:lpwstr/>
      </vt:variant>
      <vt:variant>
        <vt:i4>3932284</vt:i4>
      </vt:variant>
      <vt:variant>
        <vt:i4>2130</vt:i4>
      </vt:variant>
      <vt:variant>
        <vt:i4>0</vt:i4>
      </vt:variant>
      <vt:variant>
        <vt:i4>5</vt:i4>
      </vt:variant>
      <vt:variant>
        <vt:lpwstr>https://brucejchapman.com/wp-content/uploads/2018/12/The-rationale-for-the-HECS.pdf</vt:lpwstr>
      </vt:variant>
      <vt:variant>
        <vt:lpwstr/>
      </vt:variant>
      <vt:variant>
        <vt:i4>5308511</vt:i4>
      </vt:variant>
      <vt:variant>
        <vt:i4>2127</vt:i4>
      </vt:variant>
      <vt:variant>
        <vt:i4>0</vt:i4>
      </vt:variant>
      <vt:variant>
        <vt:i4>5</vt:i4>
      </vt:variant>
      <vt:variant>
        <vt:lpwstr>http://www.theaustralian.com.au/commentary/universities-should-pay-levy-on-foreign-student-industry‌/‌news-story/57c14ca00cd248774e24b51f1c8ad80d</vt:lpwstr>
      </vt:variant>
      <vt:variant>
        <vt:lpwstr/>
      </vt:variant>
      <vt:variant>
        <vt:i4>5505047</vt:i4>
      </vt:variant>
      <vt:variant>
        <vt:i4>2124</vt:i4>
      </vt:variant>
      <vt:variant>
        <vt:i4>0</vt:i4>
      </vt:variant>
      <vt:variant>
        <vt:i4>5</vt:i4>
      </vt:variant>
      <vt:variant>
        <vt:lpwstr>https://doi.org/10.1111/j.1475-4932.2009.00554.x</vt:lpwstr>
      </vt:variant>
      <vt:variant>
        <vt:lpwstr/>
      </vt:variant>
      <vt:variant>
        <vt:i4>2490480</vt:i4>
      </vt:variant>
      <vt:variant>
        <vt:i4>2121</vt:i4>
      </vt:variant>
      <vt:variant>
        <vt:i4>0</vt:i4>
      </vt:variant>
      <vt:variant>
        <vt:i4>5</vt:i4>
      </vt:variant>
      <vt:variant>
        <vt:lpwstr>http://www.population.gov.au/data-and-forecasts/projections/budget-2023-24-population-projections-australia-2022-23-2033-34</vt:lpwstr>
      </vt:variant>
      <vt:variant>
        <vt:lpwstr/>
      </vt:variant>
      <vt:variant>
        <vt:i4>6225923</vt:i4>
      </vt:variant>
      <vt:variant>
        <vt:i4>2118</vt:i4>
      </vt:variant>
      <vt:variant>
        <vt:i4>0</vt:i4>
      </vt:variant>
      <vt:variant>
        <vt:i4>5</vt:i4>
      </vt:variant>
      <vt:variant>
        <vt:lpwstr>https://sharedservicescentre.sharepoint.com/sites/EDU-HigherEducationAccord-TEAM/Final Report/Report Finalisation/mktgdocs.cbre.com/2299/c5166330-37d3-4674-8cda-dce518da0b37-1392467054.pdf</vt:lpwstr>
      </vt:variant>
      <vt:variant>
        <vt:lpwstr/>
      </vt:variant>
      <vt:variant>
        <vt:i4>2883702</vt:i4>
      </vt:variant>
      <vt:variant>
        <vt:i4>2115</vt:i4>
      </vt:variant>
      <vt:variant>
        <vt:i4>0</vt:i4>
      </vt:variant>
      <vt:variant>
        <vt:i4>5</vt:i4>
      </vt:variant>
      <vt:variant>
        <vt:lpwstr>https://www.smh.com.au/national/nsw/all-but-one-of-the-state-s-universities-are-losing-money-as-student-numbers-shrink-20230531-p5dcto.html</vt:lpwstr>
      </vt:variant>
      <vt:variant>
        <vt:lpwstr/>
      </vt:variant>
      <vt:variant>
        <vt:i4>6553710</vt:i4>
      </vt:variant>
      <vt:variant>
        <vt:i4>2112</vt:i4>
      </vt:variant>
      <vt:variant>
        <vt:i4>0</vt:i4>
      </vt:variant>
      <vt:variant>
        <vt:i4>5</vt:i4>
      </vt:variant>
      <vt:variant>
        <vt:lpwstr>http://www.theage.com.au/national/victoria/victorian-universities-deep-in-the-red-as-overseas-student-numbers-stay-low-20230502-p5d50b.html</vt:lpwstr>
      </vt:variant>
      <vt:variant>
        <vt:lpwstr/>
      </vt:variant>
      <vt:variant>
        <vt:i4>8323186</vt:i4>
      </vt:variant>
      <vt:variant>
        <vt:i4>2109</vt:i4>
      </vt:variant>
      <vt:variant>
        <vt:i4>0</vt:i4>
      </vt:variant>
      <vt:variant>
        <vt:i4>5</vt:i4>
      </vt:variant>
      <vt:variant>
        <vt:lpwstr>http://www.ncsehe.edu.au/wp-content/uploads/2015/11/Are-Low-SES-Students-Disadvantaged-in-the-University-Application-Process-November-2015.pdf</vt:lpwstr>
      </vt:variant>
      <vt:variant>
        <vt:lpwstr/>
      </vt:variant>
      <vt:variant>
        <vt:i4>3473516</vt:i4>
      </vt:variant>
      <vt:variant>
        <vt:i4>2106</vt:i4>
      </vt:variant>
      <vt:variant>
        <vt:i4>0</vt:i4>
      </vt:variant>
      <vt:variant>
        <vt:i4>5</vt:i4>
      </vt:variant>
      <vt:variant>
        <vt:lpwstr>http://www.eas.caltech.edu/about/strategic-plan</vt:lpwstr>
      </vt:variant>
      <vt:variant>
        <vt:lpwstr/>
      </vt:variant>
      <vt:variant>
        <vt:i4>393311</vt:i4>
      </vt:variant>
      <vt:variant>
        <vt:i4>2103</vt:i4>
      </vt:variant>
      <vt:variant>
        <vt:i4>0</vt:i4>
      </vt:variant>
      <vt:variant>
        <vt:i4>5</vt:i4>
      </vt:variant>
      <vt:variant>
        <vt:lpwstr>https://cica.org.au/wp-content/uploads/The-Early-Years-Career-Development-for-Young-Children-Educators-Guide-October-2017.pdf</vt:lpwstr>
      </vt:variant>
      <vt:variant>
        <vt:lpwstr/>
      </vt:variant>
      <vt:variant>
        <vt:i4>7929934</vt:i4>
      </vt:variant>
      <vt:variant>
        <vt:i4>2100</vt:i4>
      </vt:variant>
      <vt:variant>
        <vt:i4>0</vt:i4>
      </vt:variant>
      <vt:variant>
        <vt:i4>5</vt:i4>
      </vt:variant>
      <vt:variant>
        <vt:lpwstr>https://www.education.gov.au/system/files/2023-09/AUA_inter_tranche8_168 Business Council of Australia.pdf</vt:lpwstr>
      </vt:variant>
      <vt:variant>
        <vt:lpwstr/>
      </vt:variant>
      <vt:variant>
        <vt:i4>6553698</vt:i4>
      </vt:variant>
      <vt:variant>
        <vt:i4>2097</vt:i4>
      </vt:variant>
      <vt:variant>
        <vt:i4>0</vt:i4>
      </vt:variant>
      <vt:variant>
        <vt:i4>5</vt:i4>
      </vt:variant>
      <vt:variant>
        <vt:lpwstr>http://www.researchprofessionalnews.com/rr-news-europe-universities-2023-9-leiden-rankings-to-add-open-source-version-in-2024/</vt:lpwstr>
      </vt:variant>
      <vt:variant>
        <vt:lpwstr/>
      </vt:variant>
      <vt:variant>
        <vt:i4>7405575</vt:i4>
      </vt:variant>
      <vt:variant>
        <vt:i4>2094</vt:i4>
      </vt:variant>
      <vt:variant>
        <vt:i4>0</vt:i4>
      </vt:variant>
      <vt:variant>
        <vt:i4>5</vt:i4>
      </vt:variant>
      <vt:variant>
        <vt:lpwstr>https://csrm.cass.anu.edu.au/sites/default/files/docs/2023/8/Attitudes_towards_education_in_Australia_-_For_web.pdf</vt:lpwstr>
      </vt:variant>
      <vt:variant>
        <vt:lpwstr/>
      </vt:variant>
      <vt:variant>
        <vt:i4>2621562</vt:i4>
      </vt:variant>
      <vt:variant>
        <vt:i4>2091</vt:i4>
      </vt:variant>
      <vt:variant>
        <vt:i4>0</vt:i4>
      </vt:variant>
      <vt:variant>
        <vt:i4>5</vt:i4>
      </vt:variant>
      <vt:variant>
        <vt:lpwstr>https://melbourne-cshe.unimelb.edu.au/__data/assets/pdf_file/0010/1490923/The_Academic_Profession_in_Transition_Sept2011.pdf</vt:lpwstr>
      </vt:variant>
      <vt:variant>
        <vt:lpwstr/>
      </vt:variant>
      <vt:variant>
        <vt:i4>4587536</vt:i4>
      </vt:variant>
      <vt:variant>
        <vt:i4>2088</vt:i4>
      </vt:variant>
      <vt:variant>
        <vt:i4>0</vt:i4>
      </vt:variant>
      <vt:variant>
        <vt:i4>5</vt:i4>
      </vt:variant>
      <vt:variant>
        <vt:lpwstr>http://www.ncsehe.edu.au/publications/careers-study-information-low-ses-students/</vt:lpwstr>
      </vt:variant>
      <vt:variant>
        <vt:lpwstr/>
      </vt:variant>
      <vt:variant>
        <vt:i4>6750304</vt:i4>
      </vt:variant>
      <vt:variant>
        <vt:i4>2085</vt:i4>
      </vt:variant>
      <vt:variant>
        <vt:i4>0</vt:i4>
      </vt:variant>
      <vt:variant>
        <vt:i4>5</vt:i4>
      </vt:variant>
      <vt:variant>
        <vt:lpwstr>https://nova.newcastle.edu.au/vital/access/manager/Repository/uon:32946</vt:lpwstr>
      </vt:variant>
      <vt:variant>
        <vt:lpwstr/>
      </vt:variant>
      <vt:variant>
        <vt:i4>6094930</vt:i4>
      </vt:variant>
      <vt:variant>
        <vt:i4>2082</vt:i4>
      </vt:variant>
      <vt:variant>
        <vt:i4>0</vt:i4>
      </vt:variant>
      <vt:variant>
        <vt:i4>5</vt:i4>
      </vt:variant>
      <vt:variant>
        <vt:lpwstr>https://link.springer.com/book/10.1007/978-3-030-97837-2</vt:lpwstr>
      </vt:variant>
      <vt:variant>
        <vt:lpwstr/>
      </vt:variant>
      <vt:variant>
        <vt:i4>393292</vt:i4>
      </vt:variant>
      <vt:variant>
        <vt:i4>2079</vt:i4>
      </vt:variant>
      <vt:variant>
        <vt:i4>0</vt:i4>
      </vt:variant>
      <vt:variant>
        <vt:i4>5</vt:i4>
      </vt:variant>
      <vt:variant>
        <vt:lpwstr>http://www.batchelor.edu.au/portfolio/advanced-diploma-of-education-success/</vt:lpwstr>
      </vt:variant>
      <vt:variant>
        <vt:lpwstr/>
      </vt:variant>
      <vt:variant>
        <vt:i4>6619235</vt:i4>
      </vt:variant>
      <vt:variant>
        <vt:i4>2076</vt:i4>
      </vt:variant>
      <vt:variant>
        <vt:i4>0</vt:i4>
      </vt:variant>
      <vt:variant>
        <vt:i4>5</vt:i4>
      </vt:variant>
      <vt:variant>
        <vt:lpwstr>http://www.imf.org/en‌/Blogs/‌Articles‌/‌2021/10/06/blog-ch3-weo-why-basic-science-matters-for-economic-growth</vt:lpwstr>
      </vt:variant>
      <vt:variant>
        <vt:lpwstr/>
      </vt:variant>
      <vt:variant>
        <vt:i4>5832729</vt:i4>
      </vt:variant>
      <vt:variant>
        <vt:i4>2073</vt:i4>
      </vt:variant>
      <vt:variant>
        <vt:i4>0</vt:i4>
      </vt:variant>
      <vt:variant>
        <vt:i4>5</vt:i4>
      </vt:variant>
      <vt:variant>
        <vt:lpwstr>https://www.voced.edu.au/content/ngv%3A96397</vt:lpwstr>
      </vt:variant>
      <vt:variant>
        <vt:lpwstr/>
      </vt:variant>
      <vt:variant>
        <vt:i4>2752638</vt:i4>
      </vt:variant>
      <vt:variant>
        <vt:i4>2070</vt:i4>
      </vt:variant>
      <vt:variant>
        <vt:i4>0</vt:i4>
      </vt:variant>
      <vt:variant>
        <vt:i4>5</vt:i4>
      </vt:variant>
      <vt:variant>
        <vt:lpwstr>http://www.chiefscientist.gov.au/sites/default/files/2023-08/Clarifying the distinctions between research integrity%2C research quality%2C excellence%2C and impact.pdf</vt:lpwstr>
      </vt:variant>
      <vt:variant>
        <vt:lpwstr/>
      </vt:variant>
      <vt:variant>
        <vt:i4>720982</vt:i4>
      </vt:variant>
      <vt:variant>
        <vt:i4>2067</vt:i4>
      </vt:variant>
      <vt:variant>
        <vt:i4>0</vt:i4>
      </vt:variant>
      <vt:variant>
        <vt:i4>5</vt:i4>
      </vt:variant>
      <vt:variant>
        <vt:lpwstr>http://www.ava.com.au/news/ava-federal-government-pre-budget--submission-may-2023-budget/</vt:lpwstr>
      </vt:variant>
      <vt:variant>
        <vt:lpwstr/>
      </vt:variant>
      <vt:variant>
        <vt:i4>4390991</vt:i4>
      </vt:variant>
      <vt:variant>
        <vt:i4>2064</vt:i4>
      </vt:variant>
      <vt:variant>
        <vt:i4>0</vt:i4>
      </vt:variant>
      <vt:variant>
        <vt:i4>5</vt:i4>
      </vt:variant>
      <vt:variant>
        <vt:lpwstr>https://atn.edu.au/wp-content/uploads/2021/12/atn01-phd-report-web-single.pdf</vt:lpwstr>
      </vt:variant>
      <vt:variant>
        <vt:lpwstr/>
      </vt:variant>
      <vt:variant>
        <vt:i4>4063282</vt:i4>
      </vt:variant>
      <vt:variant>
        <vt:i4>2061</vt:i4>
      </vt:variant>
      <vt:variant>
        <vt:i4>0</vt:i4>
      </vt:variant>
      <vt:variant>
        <vt:i4>5</vt:i4>
      </vt:variant>
      <vt:variant>
        <vt:lpwstr>https://dataportal.arc.gov.au/ERA/NationalReport/2018/</vt:lpwstr>
      </vt:variant>
      <vt:variant>
        <vt:lpwstr/>
      </vt:variant>
      <vt:variant>
        <vt:i4>4063282</vt:i4>
      </vt:variant>
      <vt:variant>
        <vt:i4>2058</vt:i4>
      </vt:variant>
      <vt:variant>
        <vt:i4>0</vt:i4>
      </vt:variant>
      <vt:variant>
        <vt:i4>5</vt:i4>
      </vt:variant>
      <vt:variant>
        <vt:lpwstr>https://dataportal.arc.gov.au/ERA/NationalReport/2018/</vt:lpwstr>
      </vt:variant>
      <vt:variant>
        <vt:lpwstr/>
      </vt:variant>
      <vt:variant>
        <vt:i4>8323176</vt:i4>
      </vt:variant>
      <vt:variant>
        <vt:i4>2055</vt:i4>
      </vt:variant>
      <vt:variant>
        <vt:i4>0</vt:i4>
      </vt:variant>
      <vt:variant>
        <vt:i4>5</vt:i4>
      </vt:variant>
      <vt:variant>
        <vt:lpwstr>http://www.arc.gov.au/standard-excellence-research-australia-era-and-engagement-and-impact-ei-2018-outcomes</vt:lpwstr>
      </vt:variant>
      <vt:variant>
        <vt:lpwstr/>
      </vt:variant>
      <vt:variant>
        <vt:i4>8060972</vt:i4>
      </vt:variant>
      <vt:variant>
        <vt:i4>2052</vt:i4>
      </vt:variant>
      <vt:variant>
        <vt:i4>0</vt:i4>
      </vt:variant>
      <vt:variant>
        <vt:i4>5</vt:i4>
      </vt:variant>
      <vt:variant>
        <vt:lpwstr>http://www.arc.gov.au/sites/default/files/2022-06/Evaluation of the Discovery Projects scheme %28PDF%29.pdf</vt:lpwstr>
      </vt:variant>
      <vt:variant>
        <vt:lpwstr/>
      </vt:variant>
      <vt:variant>
        <vt:i4>539500671</vt:i4>
      </vt:variant>
      <vt:variant>
        <vt:i4>2049</vt:i4>
      </vt:variant>
      <vt:variant>
        <vt:i4>0</vt:i4>
      </vt:variant>
      <vt:variant>
        <vt:i4>5</vt:i4>
      </vt:variant>
      <vt:variant>
        <vt:lpwstr>http://www.arc.gov.au/sites/default/files/2022-06/Evaluation of the ‌Discovery%25‌20Projects ‌scheme‌%25‌20‌%28PDF%29.pdf</vt:lpwstr>
      </vt:variant>
      <vt:variant>
        <vt:lpwstr/>
      </vt:variant>
      <vt:variant>
        <vt:i4>2293841</vt:i4>
      </vt:variant>
      <vt:variant>
        <vt:i4>2046</vt:i4>
      </vt:variant>
      <vt:variant>
        <vt:i4>0</vt:i4>
      </vt:variant>
      <vt:variant>
        <vt:i4>5</vt:i4>
      </vt:variant>
      <vt:variant>
        <vt:lpwstr>http://www.arc.gov.au/sites/default/files/era_ei_ac_report.pdf</vt:lpwstr>
      </vt:variant>
      <vt:variant>
        <vt:lpwstr/>
      </vt:variant>
      <vt:variant>
        <vt:i4>4784191</vt:i4>
      </vt:variant>
      <vt:variant>
        <vt:i4>2043</vt:i4>
      </vt:variant>
      <vt:variant>
        <vt:i4>0</vt:i4>
      </vt:variant>
      <vt:variant>
        <vt:i4>5</vt:i4>
      </vt:variant>
      <vt:variant>
        <vt:lpwstr>http://www.arc.gov.au/sites/default/files/2023-06/ARC at a Glance - June 2023 v4_double-page.pdf</vt:lpwstr>
      </vt:variant>
      <vt:variant>
        <vt:lpwstr/>
      </vt:variant>
      <vt:variant>
        <vt:i4>1572956</vt:i4>
      </vt:variant>
      <vt:variant>
        <vt:i4>2040</vt:i4>
      </vt:variant>
      <vt:variant>
        <vt:i4>0</vt:i4>
      </vt:variant>
      <vt:variant>
        <vt:i4>5</vt:i4>
      </vt:variant>
      <vt:variant>
        <vt:lpwstr>https://www.aqf.edu.au/about/what-aqf</vt:lpwstr>
      </vt:variant>
      <vt:variant>
        <vt:lpwstr/>
      </vt:variant>
      <vt:variant>
        <vt:i4>2359411</vt:i4>
      </vt:variant>
      <vt:variant>
        <vt:i4>2037</vt:i4>
      </vt:variant>
      <vt:variant>
        <vt:i4>0</vt:i4>
      </vt:variant>
      <vt:variant>
        <vt:i4>5</vt:i4>
      </vt:variant>
      <vt:variant>
        <vt:lpwstr>http://www.apprise.org.au/project/first-nations-led-projects-funded-for-covid-19-research/</vt:lpwstr>
      </vt:variant>
      <vt:variant>
        <vt:lpwstr/>
      </vt:variant>
      <vt:variant>
        <vt:i4>327681</vt:i4>
      </vt:variant>
      <vt:variant>
        <vt:i4>2034</vt:i4>
      </vt:variant>
      <vt:variant>
        <vt:i4>0</vt:i4>
      </vt:variant>
      <vt:variant>
        <vt:i4>5</vt:i4>
      </vt:variant>
      <vt:variant>
        <vt:lpwstr>http://www.aitsl.edu.au/research/australian-teacher-workforce-data/atwdreports/national-trends-teacher-workforce</vt:lpwstr>
      </vt:variant>
      <vt:variant>
        <vt:lpwstr/>
      </vt:variant>
      <vt:variant>
        <vt:i4>393307</vt:i4>
      </vt:variant>
      <vt:variant>
        <vt:i4>2031</vt:i4>
      </vt:variant>
      <vt:variant>
        <vt:i4>0</vt:i4>
      </vt:variant>
      <vt:variant>
        <vt:i4>5</vt:i4>
      </vt:variant>
      <vt:variant>
        <vt:lpwstr>http://www.education.gov.au/australian-universities-accord/consultations/consultation-accord-interim-report/submission/16952</vt:lpwstr>
      </vt:variant>
      <vt:variant>
        <vt:lpwstr/>
      </vt:variant>
      <vt:variant>
        <vt:i4>4128843</vt:i4>
      </vt:variant>
      <vt:variant>
        <vt:i4>2028</vt:i4>
      </vt:variant>
      <vt:variant>
        <vt:i4>0</vt:i4>
      </vt:variant>
      <vt:variant>
        <vt:i4>5</vt:i4>
      </vt:variant>
      <vt:variant>
        <vt:lpwstr>http://www.education.gov.au/system/files/2023-09/AUA_inter_tranche7_157 Australian Industry Group.pdf</vt:lpwstr>
      </vt:variant>
      <vt:variant>
        <vt:lpwstr/>
      </vt:variant>
      <vt:variant>
        <vt:i4>131090</vt:i4>
      </vt:variant>
      <vt:variant>
        <vt:i4>2025</vt:i4>
      </vt:variant>
      <vt:variant>
        <vt:i4>0</vt:i4>
      </vt:variant>
      <vt:variant>
        <vt:i4>5</vt:i4>
      </vt:variant>
      <vt:variant>
        <vt:lpwstr>http://www.aced.edu.au/downloads/POSITION STATEMENT No 5 Mathematics Requirements for Engineering Degrees.pdf</vt:lpwstr>
      </vt:variant>
      <vt:variant>
        <vt:lpwstr/>
      </vt:variant>
      <vt:variant>
        <vt:i4>917525</vt:i4>
      </vt:variant>
      <vt:variant>
        <vt:i4>2022</vt:i4>
      </vt:variant>
      <vt:variant>
        <vt:i4>0</vt:i4>
      </vt:variant>
      <vt:variant>
        <vt:i4>5</vt:i4>
      </vt:variant>
      <vt:variant>
        <vt:lpwstr>http://www.acs.org.au/professionalrecognition/microcredentials-home.html</vt:lpwstr>
      </vt:variant>
      <vt:variant>
        <vt:lpwstr/>
      </vt:variant>
      <vt:variant>
        <vt:i4>2556009</vt:i4>
      </vt:variant>
      <vt:variant>
        <vt:i4>2019</vt:i4>
      </vt:variant>
      <vt:variant>
        <vt:i4>0</vt:i4>
      </vt:variant>
      <vt:variant>
        <vt:i4>5</vt:i4>
      </vt:variant>
      <vt:variant>
        <vt:lpwstr>http://www.acecqa.gov.au/national-quality-framework</vt:lpwstr>
      </vt:variant>
      <vt:variant>
        <vt:lpwstr/>
      </vt:variant>
      <vt:variant>
        <vt:i4>1835066</vt:i4>
      </vt:variant>
      <vt:variant>
        <vt:i4>2016</vt:i4>
      </vt:variant>
      <vt:variant>
        <vt:i4>0</vt:i4>
      </vt:variant>
      <vt:variant>
        <vt:i4>5</vt:i4>
      </vt:variant>
      <vt:variant>
        <vt:lpwstr>http://www.education.gov.au/system/files/2023-09/AUA_inter_tranche9a_192 Australian Chamber of Commerce and Industry.pdf</vt:lpwstr>
      </vt:variant>
      <vt:variant>
        <vt:lpwstr/>
      </vt:variant>
      <vt:variant>
        <vt:i4>5111827</vt:i4>
      </vt:variant>
      <vt:variant>
        <vt:i4>2013</vt:i4>
      </vt:variant>
      <vt:variant>
        <vt:i4>0</vt:i4>
      </vt:variant>
      <vt:variant>
        <vt:i4>5</vt:i4>
      </vt:variant>
      <vt:variant>
        <vt:lpwstr>http://www.abs.gov.au/statistics/industry/technology-and-innovation/research-and-experimental-development-higher-education-organisations-australia/latest-release</vt:lpwstr>
      </vt:variant>
      <vt:variant>
        <vt:lpwstr/>
      </vt:variant>
      <vt:variant>
        <vt:i4>8192049</vt:i4>
      </vt:variant>
      <vt:variant>
        <vt:i4>2010</vt:i4>
      </vt:variant>
      <vt:variant>
        <vt:i4>0</vt:i4>
      </vt:variant>
      <vt:variant>
        <vt:i4>5</vt:i4>
      </vt:variant>
      <vt:variant>
        <vt:lpwstr>http://www.abs.gov.au/statistics/industry/technology-and-innovation/research-and-experimental-development-government-and-private-non-profit-organisations-australia/2020-21</vt:lpwstr>
      </vt:variant>
      <vt:variant>
        <vt:lpwstr/>
      </vt:variant>
      <vt:variant>
        <vt:i4>7143460</vt:i4>
      </vt:variant>
      <vt:variant>
        <vt:i4>2007</vt:i4>
      </vt:variant>
      <vt:variant>
        <vt:i4>0</vt:i4>
      </vt:variant>
      <vt:variant>
        <vt:i4>5</vt:i4>
      </vt:variant>
      <vt:variant>
        <vt:lpwstr>https://www.abs.gov.au/statistics/industry/technology-and-innovation/research-and-experimental-development-businesses-australia/latest-release</vt:lpwstr>
      </vt:variant>
      <vt:variant>
        <vt:lpwstr/>
      </vt:variant>
      <vt:variant>
        <vt:i4>6684698</vt:i4>
      </vt:variant>
      <vt:variant>
        <vt:i4>2004</vt:i4>
      </vt:variant>
      <vt:variant>
        <vt:i4>0</vt:i4>
      </vt:variant>
      <vt:variant>
        <vt:i4>5</vt:i4>
      </vt:variant>
      <vt:variant>
        <vt:lpwstr>http://www.abs.gov.au/AUSSTATS/abs@.nsf/Lookup/8112.0Main+Features12008-09?OpenDocument</vt:lpwstr>
      </vt:variant>
      <vt:variant>
        <vt:lpwstr/>
      </vt:variant>
      <vt:variant>
        <vt:i4>4063267</vt:i4>
      </vt:variant>
      <vt:variant>
        <vt:i4>2001</vt:i4>
      </vt:variant>
      <vt:variant>
        <vt:i4>0</vt:i4>
      </vt:variant>
      <vt:variant>
        <vt:i4>5</vt:i4>
      </vt:variant>
      <vt:variant>
        <vt:lpwstr>https://www.abs.gov.au/statistics/people/population/regional-population/2021-22</vt:lpwstr>
      </vt:variant>
      <vt:variant>
        <vt:lpwstr/>
      </vt:variant>
      <vt:variant>
        <vt:i4>4653060</vt:i4>
      </vt:variant>
      <vt:variant>
        <vt:i4>1998</vt:i4>
      </vt:variant>
      <vt:variant>
        <vt:i4>0</vt:i4>
      </vt:variant>
      <vt:variant>
        <vt:i4>5</vt:i4>
      </vt:variant>
      <vt:variant>
        <vt:lpwstr>https://www.abs.gov.au/statistics/people/education/education-and-work-australia/may-2023/</vt:lpwstr>
      </vt:variant>
      <vt:variant>
        <vt:lpwstr/>
      </vt:variant>
      <vt:variant>
        <vt:i4>6488188</vt:i4>
      </vt:variant>
      <vt:variant>
        <vt:i4>1995</vt:i4>
      </vt:variant>
      <vt:variant>
        <vt:i4>0</vt:i4>
      </vt:variant>
      <vt:variant>
        <vt:i4>5</vt:i4>
      </vt:variant>
      <vt:variant>
        <vt:lpwstr>http://www.abs.gov.au/statistics/economy/price-indexes-and-inflation/consumer-price-index-australia/latest-release</vt:lpwstr>
      </vt:variant>
      <vt:variant>
        <vt:lpwstr/>
      </vt:variant>
      <vt:variant>
        <vt:i4>5505103</vt:i4>
      </vt:variant>
      <vt:variant>
        <vt:i4>1992</vt:i4>
      </vt:variant>
      <vt:variant>
        <vt:i4>0</vt:i4>
      </vt:variant>
      <vt:variant>
        <vt:i4>5</vt:i4>
      </vt:variant>
      <vt:variant>
        <vt:lpwstr>https://www.abs.gov.au/census/find-census-data/quickstats/2021/6</vt:lpwstr>
      </vt:variant>
      <vt:variant>
        <vt:lpwstr/>
      </vt:variant>
      <vt:variant>
        <vt:i4>720907</vt:i4>
      </vt:variant>
      <vt:variant>
        <vt:i4>1989</vt:i4>
      </vt:variant>
      <vt:variant>
        <vt:i4>0</vt:i4>
      </vt:variant>
      <vt:variant>
        <vt:i4>5</vt:i4>
      </vt:variant>
      <vt:variant>
        <vt:lpwstr>https://www.abs.gov.au/statistics/labour/employment-and-unemployment/barriers-and-incentives-labour-force-participation-australia/latest-release</vt:lpwstr>
      </vt:variant>
      <vt:variant>
        <vt:lpwstr/>
      </vt:variant>
      <vt:variant>
        <vt:i4>5242891</vt:i4>
      </vt:variant>
      <vt:variant>
        <vt:i4>1986</vt:i4>
      </vt:variant>
      <vt:variant>
        <vt:i4>0</vt:i4>
      </vt:variant>
      <vt:variant>
        <vt:i4>5</vt:i4>
      </vt:variant>
      <vt:variant>
        <vt:lpwstr>http://www.abs.gov.au/statistics/economy/international-trade/balance-payments-and-international-investment-position-australia/latest-release</vt:lpwstr>
      </vt:variant>
      <vt:variant>
        <vt:lpwstr/>
      </vt:variant>
      <vt:variant>
        <vt:i4>4063292</vt:i4>
      </vt:variant>
      <vt:variant>
        <vt:i4>1983</vt:i4>
      </vt:variant>
      <vt:variant>
        <vt:i4>0</vt:i4>
      </vt:variant>
      <vt:variant>
        <vt:i4>5</vt:i4>
      </vt:variant>
      <vt:variant>
        <vt:lpwstr>http://www.abs.gov.au/statistics/economy/national-accounts/australian-national-accounts-national-income-expenditure-and-product/latest-release</vt:lpwstr>
      </vt:variant>
      <vt:variant>
        <vt:lpwstr/>
      </vt:variant>
      <vt:variant>
        <vt:i4>1376343</vt:i4>
      </vt:variant>
      <vt:variant>
        <vt:i4>1980</vt:i4>
      </vt:variant>
      <vt:variant>
        <vt:i4>0</vt:i4>
      </vt:variant>
      <vt:variant>
        <vt:i4>5</vt:i4>
      </vt:variant>
      <vt:variant>
        <vt:lpwstr>https://www.abs.gov.au/statistics/economy/national-accounts/australian-national-accounts-national-income-expenditure-and-product/jun-2023</vt:lpwstr>
      </vt:variant>
      <vt:variant>
        <vt:lpwstr/>
      </vt:variant>
      <vt:variant>
        <vt:i4>4521984</vt:i4>
      </vt:variant>
      <vt:variant>
        <vt:i4>1977</vt:i4>
      </vt:variant>
      <vt:variant>
        <vt:i4>0</vt:i4>
      </vt:variant>
      <vt:variant>
        <vt:i4>5</vt:i4>
      </vt:variant>
      <vt:variant>
        <vt:lpwstr>http://www.abs.gov.au/statistics/people/population/australias-population-country-birth/latest-release</vt:lpwstr>
      </vt:variant>
      <vt:variant>
        <vt:lpwstr/>
      </vt:variant>
      <vt:variant>
        <vt:i4>6750226</vt:i4>
      </vt:variant>
      <vt:variant>
        <vt:i4>1974</vt:i4>
      </vt:variant>
      <vt:variant>
        <vt:i4>0</vt:i4>
      </vt:variant>
      <vt:variant>
        <vt:i4>5</vt:i4>
      </vt:variant>
      <vt:variant>
        <vt:lpwstr>https://documents.uow.edu.au/content/groups/public/@web/@dvce/@in2uni/documents/</vt:lpwstr>
      </vt:variant>
      <vt:variant>
        <vt:lpwstr/>
      </vt:variant>
      <vt:variant>
        <vt:i4>4194382</vt:i4>
      </vt:variant>
      <vt:variant>
        <vt:i4>1971</vt:i4>
      </vt:variant>
      <vt:variant>
        <vt:i4>0</vt:i4>
      </vt:variant>
      <vt:variant>
        <vt:i4>5</vt:i4>
      </vt:variant>
      <vt:variant>
        <vt:lpwstr>http://www.ncsehe.edu.au/wp-content/uploads/2022/11/2022-NCSEHE-Austin-Final.pdf</vt:lpwstr>
      </vt:variant>
      <vt:variant>
        <vt:lpwstr/>
      </vt:variant>
      <vt:variant>
        <vt:i4>7209010</vt:i4>
      </vt:variant>
      <vt:variant>
        <vt:i4>1968</vt:i4>
      </vt:variant>
      <vt:variant>
        <vt:i4>0</vt:i4>
      </vt:variant>
      <vt:variant>
        <vt:i4>5</vt:i4>
      </vt:variant>
      <vt:variant>
        <vt:lpwstr>https://www.industry.gov.au/sites/default/files/2020-02/australian-business-investment-in-innovation-levels-trends-and-drivers.pdf</vt:lpwstr>
      </vt:variant>
      <vt:variant>
        <vt:lpwstr/>
      </vt:variant>
      <vt:variant>
        <vt:i4>7209075</vt:i4>
      </vt:variant>
      <vt:variant>
        <vt:i4>1965</vt:i4>
      </vt:variant>
      <vt:variant>
        <vt:i4>0</vt:i4>
      </vt:variant>
      <vt:variant>
        <vt:i4>5</vt:i4>
      </vt:variant>
      <vt:variant>
        <vt:lpwstr>https://advance-he.ac.uk/knowledge-hub/professional-standards-framework-teaching-and-supporting-learning-higher-education-0</vt:lpwstr>
      </vt:variant>
      <vt:variant>
        <vt:lpwstr/>
      </vt:variant>
      <vt:variant>
        <vt:i4>8126524</vt:i4>
      </vt:variant>
      <vt:variant>
        <vt:i4>1962</vt:i4>
      </vt:variant>
      <vt:variant>
        <vt:i4>0</vt:i4>
      </vt:variant>
      <vt:variant>
        <vt:i4>5</vt:i4>
      </vt:variant>
      <vt:variant>
        <vt:lpwstr>http://www.education.gov.au/heppp/heppp-evaluation</vt:lpwstr>
      </vt:variant>
      <vt:variant>
        <vt:lpwstr/>
      </vt:variant>
      <vt:variant>
        <vt:i4>1048634</vt:i4>
      </vt:variant>
      <vt:variant>
        <vt:i4>1955</vt:i4>
      </vt:variant>
      <vt:variant>
        <vt:i4>0</vt:i4>
      </vt:variant>
      <vt:variant>
        <vt:i4>5</vt:i4>
      </vt:variant>
      <vt:variant>
        <vt:lpwstr/>
      </vt:variant>
      <vt:variant>
        <vt:lpwstr>_Toc154674804</vt:lpwstr>
      </vt:variant>
      <vt:variant>
        <vt:i4>1048634</vt:i4>
      </vt:variant>
      <vt:variant>
        <vt:i4>1949</vt:i4>
      </vt:variant>
      <vt:variant>
        <vt:i4>0</vt:i4>
      </vt:variant>
      <vt:variant>
        <vt:i4>5</vt:i4>
      </vt:variant>
      <vt:variant>
        <vt:lpwstr/>
      </vt:variant>
      <vt:variant>
        <vt:lpwstr>_Toc154674803</vt:lpwstr>
      </vt:variant>
      <vt:variant>
        <vt:i4>1048634</vt:i4>
      </vt:variant>
      <vt:variant>
        <vt:i4>1943</vt:i4>
      </vt:variant>
      <vt:variant>
        <vt:i4>0</vt:i4>
      </vt:variant>
      <vt:variant>
        <vt:i4>5</vt:i4>
      </vt:variant>
      <vt:variant>
        <vt:lpwstr/>
      </vt:variant>
      <vt:variant>
        <vt:lpwstr>_Toc154674802</vt:lpwstr>
      </vt:variant>
      <vt:variant>
        <vt:i4>1048634</vt:i4>
      </vt:variant>
      <vt:variant>
        <vt:i4>1937</vt:i4>
      </vt:variant>
      <vt:variant>
        <vt:i4>0</vt:i4>
      </vt:variant>
      <vt:variant>
        <vt:i4>5</vt:i4>
      </vt:variant>
      <vt:variant>
        <vt:lpwstr/>
      </vt:variant>
      <vt:variant>
        <vt:lpwstr>_Toc154674801</vt:lpwstr>
      </vt:variant>
      <vt:variant>
        <vt:i4>1048634</vt:i4>
      </vt:variant>
      <vt:variant>
        <vt:i4>1931</vt:i4>
      </vt:variant>
      <vt:variant>
        <vt:i4>0</vt:i4>
      </vt:variant>
      <vt:variant>
        <vt:i4>5</vt:i4>
      </vt:variant>
      <vt:variant>
        <vt:lpwstr/>
      </vt:variant>
      <vt:variant>
        <vt:lpwstr>_Toc154674800</vt:lpwstr>
      </vt:variant>
      <vt:variant>
        <vt:i4>1638453</vt:i4>
      </vt:variant>
      <vt:variant>
        <vt:i4>1925</vt:i4>
      </vt:variant>
      <vt:variant>
        <vt:i4>0</vt:i4>
      </vt:variant>
      <vt:variant>
        <vt:i4>5</vt:i4>
      </vt:variant>
      <vt:variant>
        <vt:lpwstr/>
      </vt:variant>
      <vt:variant>
        <vt:lpwstr>_Toc154674799</vt:lpwstr>
      </vt:variant>
      <vt:variant>
        <vt:i4>1638453</vt:i4>
      </vt:variant>
      <vt:variant>
        <vt:i4>1919</vt:i4>
      </vt:variant>
      <vt:variant>
        <vt:i4>0</vt:i4>
      </vt:variant>
      <vt:variant>
        <vt:i4>5</vt:i4>
      </vt:variant>
      <vt:variant>
        <vt:lpwstr/>
      </vt:variant>
      <vt:variant>
        <vt:lpwstr>_Toc154674798</vt:lpwstr>
      </vt:variant>
      <vt:variant>
        <vt:i4>1638453</vt:i4>
      </vt:variant>
      <vt:variant>
        <vt:i4>1913</vt:i4>
      </vt:variant>
      <vt:variant>
        <vt:i4>0</vt:i4>
      </vt:variant>
      <vt:variant>
        <vt:i4>5</vt:i4>
      </vt:variant>
      <vt:variant>
        <vt:lpwstr/>
      </vt:variant>
      <vt:variant>
        <vt:lpwstr>_Toc154674797</vt:lpwstr>
      </vt:variant>
      <vt:variant>
        <vt:i4>1638453</vt:i4>
      </vt:variant>
      <vt:variant>
        <vt:i4>1907</vt:i4>
      </vt:variant>
      <vt:variant>
        <vt:i4>0</vt:i4>
      </vt:variant>
      <vt:variant>
        <vt:i4>5</vt:i4>
      </vt:variant>
      <vt:variant>
        <vt:lpwstr/>
      </vt:variant>
      <vt:variant>
        <vt:lpwstr>_Toc154674796</vt:lpwstr>
      </vt:variant>
      <vt:variant>
        <vt:i4>1638453</vt:i4>
      </vt:variant>
      <vt:variant>
        <vt:i4>1901</vt:i4>
      </vt:variant>
      <vt:variant>
        <vt:i4>0</vt:i4>
      </vt:variant>
      <vt:variant>
        <vt:i4>5</vt:i4>
      </vt:variant>
      <vt:variant>
        <vt:lpwstr/>
      </vt:variant>
      <vt:variant>
        <vt:lpwstr>_Toc154674795</vt:lpwstr>
      </vt:variant>
      <vt:variant>
        <vt:i4>1638453</vt:i4>
      </vt:variant>
      <vt:variant>
        <vt:i4>1895</vt:i4>
      </vt:variant>
      <vt:variant>
        <vt:i4>0</vt:i4>
      </vt:variant>
      <vt:variant>
        <vt:i4>5</vt:i4>
      </vt:variant>
      <vt:variant>
        <vt:lpwstr/>
      </vt:variant>
      <vt:variant>
        <vt:lpwstr>_Toc154674794</vt:lpwstr>
      </vt:variant>
      <vt:variant>
        <vt:i4>1638453</vt:i4>
      </vt:variant>
      <vt:variant>
        <vt:i4>1889</vt:i4>
      </vt:variant>
      <vt:variant>
        <vt:i4>0</vt:i4>
      </vt:variant>
      <vt:variant>
        <vt:i4>5</vt:i4>
      </vt:variant>
      <vt:variant>
        <vt:lpwstr/>
      </vt:variant>
      <vt:variant>
        <vt:lpwstr>_Toc154674793</vt:lpwstr>
      </vt:variant>
      <vt:variant>
        <vt:i4>1638453</vt:i4>
      </vt:variant>
      <vt:variant>
        <vt:i4>1883</vt:i4>
      </vt:variant>
      <vt:variant>
        <vt:i4>0</vt:i4>
      </vt:variant>
      <vt:variant>
        <vt:i4>5</vt:i4>
      </vt:variant>
      <vt:variant>
        <vt:lpwstr/>
      </vt:variant>
      <vt:variant>
        <vt:lpwstr>_Toc154674792</vt:lpwstr>
      </vt:variant>
      <vt:variant>
        <vt:i4>1638453</vt:i4>
      </vt:variant>
      <vt:variant>
        <vt:i4>1877</vt:i4>
      </vt:variant>
      <vt:variant>
        <vt:i4>0</vt:i4>
      </vt:variant>
      <vt:variant>
        <vt:i4>5</vt:i4>
      </vt:variant>
      <vt:variant>
        <vt:lpwstr/>
      </vt:variant>
      <vt:variant>
        <vt:lpwstr>_Toc154674791</vt:lpwstr>
      </vt:variant>
      <vt:variant>
        <vt:i4>1638453</vt:i4>
      </vt:variant>
      <vt:variant>
        <vt:i4>1871</vt:i4>
      </vt:variant>
      <vt:variant>
        <vt:i4>0</vt:i4>
      </vt:variant>
      <vt:variant>
        <vt:i4>5</vt:i4>
      </vt:variant>
      <vt:variant>
        <vt:lpwstr/>
      </vt:variant>
      <vt:variant>
        <vt:lpwstr>_Toc154674790</vt:lpwstr>
      </vt:variant>
      <vt:variant>
        <vt:i4>1572917</vt:i4>
      </vt:variant>
      <vt:variant>
        <vt:i4>1865</vt:i4>
      </vt:variant>
      <vt:variant>
        <vt:i4>0</vt:i4>
      </vt:variant>
      <vt:variant>
        <vt:i4>5</vt:i4>
      </vt:variant>
      <vt:variant>
        <vt:lpwstr/>
      </vt:variant>
      <vt:variant>
        <vt:lpwstr>_Toc154674789</vt:lpwstr>
      </vt:variant>
      <vt:variant>
        <vt:i4>1572917</vt:i4>
      </vt:variant>
      <vt:variant>
        <vt:i4>1859</vt:i4>
      </vt:variant>
      <vt:variant>
        <vt:i4>0</vt:i4>
      </vt:variant>
      <vt:variant>
        <vt:i4>5</vt:i4>
      </vt:variant>
      <vt:variant>
        <vt:lpwstr/>
      </vt:variant>
      <vt:variant>
        <vt:lpwstr>_Toc154674788</vt:lpwstr>
      </vt:variant>
      <vt:variant>
        <vt:i4>1572917</vt:i4>
      </vt:variant>
      <vt:variant>
        <vt:i4>1853</vt:i4>
      </vt:variant>
      <vt:variant>
        <vt:i4>0</vt:i4>
      </vt:variant>
      <vt:variant>
        <vt:i4>5</vt:i4>
      </vt:variant>
      <vt:variant>
        <vt:lpwstr/>
      </vt:variant>
      <vt:variant>
        <vt:lpwstr>_Toc154674787</vt:lpwstr>
      </vt:variant>
      <vt:variant>
        <vt:i4>1572917</vt:i4>
      </vt:variant>
      <vt:variant>
        <vt:i4>1847</vt:i4>
      </vt:variant>
      <vt:variant>
        <vt:i4>0</vt:i4>
      </vt:variant>
      <vt:variant>
        <vt:i4>5</vt:i4>
      </vt:variant>
      <vt:variant>
        <vt:lpwstr/>
      </vt:variant>
      <vt:variant>
        <vt:lpwstr>_Toc154674786</vt:lpwstr>
      </vt:variant>
      <vt:variant>
        <vt:i4>1572917</vt:i4>
      </vt:variant>
      <vt:variant>
        <vt:i4>1841</vt:i4>
      </vt:variant>
      <vt:variant>
        <vt:i4>0</vt:i4>
      </vt:variant>
      <vt:variant>
        <vt:i4>5</vt:i4>
      </vt:variant>
      <vt:variant>
        <vt:lpwstr/>
      </vt:variant>
      <vt:variant>
        <vt:lpwstr>_Toc154674785</vt:lpwstr>
      </vt:variant>
      <vt:variant>
        <vt:i4>1572917</vt:i4>
      </vt:variant>
      <vt:variant>
        <vt:i4>1835</vt:i4>
      </vt:variant>
      <vt:variant>
        <vt:i4>0</vt:i4>
      </vt:variant>
      <vt:variant>
        <vt:i4>5</vt:i4>
      </vt:variant>
      <vt:variant>
        <vt:lpwstr/>
      </vt:variant>
      <vt:variant>
        <vt:lpwstr>_Toc154674784</vt:lpwstr>
      </vt:variant>
      <vt:variant>
        <vt:i4>1572917</vt:i4>
      </vt:variant>
      <vt:variant>
        <vt:i4>1829</vt:i4>
      </vt:variant>
      <vt:variant>
        <vt:i4>0</vt:i4>
      </vt:variant>
      <vt:variant>
        <vt:i4>5</vt:i4>
      </vt:variant>
      <vt:variant>
        <vt:lpwstr/>
      </vt:variant>
      <vt:variant>
        <vt:lpwstr>_Toc154674783</vt:lpwstr>
      </vt:variant>
      <vt:variant>
        <vt:i4>1572917</vt:i4>
      </vt:variant>
      <vt:variant>
        <vt:i4>1823</vt:i4>
      </vt:variant>
      <vt:variant>
        <vt:i4>0</vt:i4>
      </vt:variant>
      <vt:variant>
        <vt:i4>5</vt:i4>
      </vt:variant>
      <vt:variant>
        <vt:lpwstr/>
      </vt:variant>
      <vt:variant>
        <vt:lpwstr>_Toc154674782</vt:lpwstr>
      </vt:variant>
      <vt:variant>
        <vt:i4>1572917</vt:i4>
      </vt:variant>
      <vt:variant>
        <vt:i4>1817</vt:i4>
      </vt:variant>
      <vt:variant>
        <vt:i4>0</vt:i4>
      </vt:variant>
      <vt:variant>
        <vt:i4>5</vt:i4>
      </vt:variant>
      <vt:variant>
        <vt:lpwstr/>
      </vt:variant>
      <vt:variant>
        <vt:lpwstr>_Toc154674781</vt:lpwstr>
      </vt:variant>
      <vt:variant>
        <vt:i4>1572917</vt:i4>
      </vt:variant>
      <vt:variant>
        <vt:i4>1811</vt:i4>
      </vt:variant>
      <vt:variant>
        <vt:i4>0</vt:i4>
      </vt:variant>
      <vt:variant>
        <vt:i4>5</vt:i4>
      </vt:variant>
      <vt:variant>
        <vt:lpwstr/>
      </vt:variant>
      <vt:variant>
        <vt:lpwstr>_Toc154674780</vt:lpwstr>
      </vt:variant>
      <vt:variant>
        <vt:i4>1507381</vt:i4>
      </vt:variant>
      <vt:variant>
        <vt:i4>1805</vt:i4>
      </vt:variant>
      <vt:variant>
        <vt:i4>0</vt:i4>
      </vt:variant>
      <vt:variant>
        <vt:i4>5</vt:i4>
      </vt:variant>
      <vt:variant>
        <vt:lpwstr/>
      </vt:variant>
      <vt:variant>
        <vt:lpwstr>_Toc154674779</vt:lpwstr>
      </vt:variant>
      <vt:variant>
        <vt:i4>1507381</vt:i4>
      </vt:variant>
      <vt:variant>
        <vt:i4>1799</vt:i4>
      </vt:variant>
      <vt:variant>
        <vt:i4>0</vt:i4>
      </vt:variant>
      <vt:variant>
        <vt:i4>5</vt:i4>
      </vt:variant>
      <vt:variant>
        <vt:lpwstr/>
      </vt:variant>
      <vt:variant>
        <vt:lpwstr>_Toc154674778</vt:lpwstr>
      </vt:variant>
      <vt:variant>
        <vt:i4>1507381</vt:i4>
      </vt:variant>
      <vt:variant>
        <vt:i4>1793</vt:i4>
      </vt:variant>
      <vt:variant>
        <vt:i4>0</vt:i4>
      </vt:variant>
      <vt:variant>
        <vt:i4>5</vt:i4>
      </vt:variant>
      <vt:variant>
        <vt:lpwstr/>
      </vt:variant>
      <vt:variant>
        <vt:lpwstr>_Toc154674777</vt:lpwstr>
      </vt:variant>
      <vt:variant>
        <vt:i4>1507381</vt:i4>
      </vt:variant>
      <vt:variant>
        <vt:i4>1787</vt:i4>
      </vt:variant>
      <vt:variant>
        <vt:i4>0</vt:i4>
      </vt:variant>
      <vt:variant>
        <vt:i4>5</vt:i4>
      </vt:variant>
      <vt:variant>
        <vt:lpwstr/>
      </vt:variant>
      <vt:variant>
        <vt:lpwstr>_Toc154674776</vt:lpwstr>
      </vt:variant>
      <vt:variant>
        <vt:i4>1507381</vt:i4>
      </vt:variant>
      <vt:variant>
        <vt:i4>1781</vt:i4>
      </vt:variant>
      <vt:variant>
        <vt:i4>0</vt:i4>
      </vt:variant>
      <vt:variant>
        <vt:i4>5</vt:i4>
      </vt:variant>
      <vt:variant>
        <vt:lpwstr/>
      </vt:variant>
      <vt:variant>
        <vt:lpwstr>_Toc154674775</vt:lpwstr>
      </vt:variant>
      <vt:variant>
        <vt:i4>1507381</vt:i4>
      </vt:variant>
      <vt:variant>
        <vt:i4>1775</vt:i4>
      </vt:variant>
      <vt:variant>
        <vt:i4>0</vt:i4>
      </vt:variant>
      <vt:variant>
        <vt:i4>5</vt:i4>
      </vt:variant>
      <vt:variant>
        <vt:lpwstr/>
      </vt:variant>
      <vt:variant>
        <vt:lpwstr>_Toc154674774</vt:lpwstr>
      </vt:variant>
      <vt:variant>
        <vt:i4>1507381</vt:i4>
      </vt:variant>
      <vt:variant>
        <vt:i4>1769</vt:i4>
      </vt:variant>
      <vt:variant>
        <vt:i4>0</vt:i4>
      </vt:variant>
      <vt:variant>
        <vt:i4>5</vt:i4>
      </vt:variant>
      <vt:variant>
        <vt:lpwstr/>
      </vt:variant>
      <vt:variant>
        <vt:lpwstr>_Toc154674773</vt:lpwstr>
      </vt:variant>
      <vt:variant>
        <vt:i4>1507381</vt:i4>
      </vt:variant>
      <vt:variant>
        <vt:i4>1763</vt:i4>
      </vt:variant>
      <vt:variant>
        <vt:i4>0</vt:i4>
      </vt:variant>
      <vt:variant>
        <vt:i4>5</vt:i4>
      </vt:variant>
      <vt:variant>
        <vt:lpwstr/>
      </vt:variant>
      <vt:variant>
        <vt:lpwstr>_Toc154674772</vt:lpwstr>
      </vt:variant>
      <vt:variant>
        <vt:i4>1507381</vt:i4>
      </vt:variant>
      <vt:variant>
        <vt:i4>1757</vt:i4>
      </vt:variant>
      <vt:variant>
        <vt:i4>0</vt:i4>
      </vt:variant>
      <vt:variant>
        <vt:i4>5</vt:i4>
      </vt:variant>
      <vt:variant>
        <vt:lpwstr/>
      </vt:variant>
      <vt:variant>
        <vt:lpwstr>_Toc154674771</vt:lpwstr>
      </vt:variant>
      <vt:variant>
        <vt:i4>1507381</vt:i4>
      </vt:variant>
      <vt:variant>
        <vt:i4>1751</vt:i4>
      </vt:variant>
      <vt:variant>
        <vt:i4>0</vt:i4>
      </vt:variant>
      <vt:variant>
        <vt:i4>5</vt:i4>
      </vt:variant>
      <vt:variant>
        <vt:lpwstr/>
      </vt:variant>
      <vt:variant>
        <vt:lpwstr>_Toc154674770</vt:lpwstr>
      </vt:variant>
      <vt:variant>
        <vt:i4>1441845</vt:i4>
      </vt:variant>
      <vt:variant>
        <vt:i4>1745</vt:i4>
      </vt:variant>
      <vt:variant>
        <vt:i4>0</vt:i4>
      </vt:variant>
      <vt:variant>
        <vt:i4>5</vt:i4>
      </vt:variant>
      <vt:variant>
        <vt:lpwstr/>
      </vt:variant>
      <vt:variant>
        <vt:lpwstr>_Toc154674769</vt:lpwstr>
      </vt:variant>
      <vt:variant>
        <vt:i4>1441845</vt:i4>
      </vt:variant>
      <vt:variant>
        <vt:i4>1739</vt:i4>
      </vt:variant>
      <vt:variant>
        <vt:i4>0</vt:i4>
      </vt:variant>
      <vt:variant>
        <vt:i4>5</vt:i4>
      </vt:variant>
      <vt:variant>
        <vt:lpwstr/>
      </vt:variant>
      <vt:variant>
        <vt:lpwstr>_Toc154674768</vt:lpwstr>
      </vt:variant>
      <vt:variant>
        <vt:i4>1441845</vt:i4>
      </vt:variant>
      <vt:variant>
        <vt:i4>1733</vt:i4>
      </vt:variant>
      <vt:variant>
        <vt:i4>0</vt:i4>
      </vt:variant>
      <vt:variant>
        <vt:i4>5</vt:i4>
      </vt:variant>
      <vt:variant>
        <vt:lpwstr/>
      </vt:variant>
      <vt:variant>
        <vt:lpwstr>_Toc154674767</vt:lpwstr>
      </vt:variant>
      <vt:variant>
        <vt:i4>1441845</vt:i4>
      </vt:variant>
      <vt:variant>
        <vt:i4>1727</vt:i4>
      </vt:variant>
      <vt:variant>
        <vt:i4>0</vt:i4>
      </vt:variant>
      <vt:variant>
        <vt:i4>5</vt:i4>
      </vt:variant>
      <vt:variant>
        <vt:lpwstr/>
      </vt:variant>
      <vt:variant>
        <vt:lpwstr>_Toc154674766</vt:lpwstr>
      </vt:variant>
      <vt:variant>
        <vt:i4>1441845</vt:i4>
      </vt:variant>
      <vt:variant>
        <vt:i4>1721</vt:i4>
      </vt:variant>
      <vt:variant>
        <vt:i4>0</vt:i4>
      </vt:variant>
      <vt:variant>
        <vt:i4>5</vt:i4>
      </vt:variant>
      <vt:variant>
        <vt:lpwstr/>
      </vt:variant>
      <vt:variant>
        <vt:lpwstr>_Toc154674765</vt:lpwstr>
      </vt:variant>
      <vt:variant>
        <vt:i4>1441845</vt:i4>
      </vt:variant>
      <vt:variant>
        <vt:i4>1715</vt:i4>
      </vt:variant>
      <vt:variant>
        <vt:i4>0</vt:i4>
      </vt:variant>
      <vt:variant>
        <vt:i4>5</vt:i4>
      </vt:variant>
      <vt:variant>
        <vt:lpwstr/>
      </vt:variant>
      <vt:variant>
        <vt:lpwstr>_Toc154674764</vt:lpwstr>
      </vt:variant>
      <vt:variant>
        <vt:i4>1441845</vt:i4>
      </vt:variant>
      <vt:variant>
        <vt:i4>1709</vt:i4>
      </vt:variant>
      <vt:variant>
        <vt:i4>0</vt:i4>
      </vt:variant>
      <vt:variant>
        <vt:i4>5</vt:i4>
      </vt:variant>
      <vt:variant>
        <vt:lpwstr/>
      </vt:variant>
      <vt:variant>
        <vt:lpwstr>_Toc154674763</vt:lpwstr>
      </vt:variant>
      <vt:variant>
        <vt:i4>1048628</vt:i4>
      </vt:variant>
      <vt:variant>
        <vt:i4>1700</vt:i4>
      </vt:variant>
      <vt:variant>
        <vt:i4>0</vt:i4>
      </vt:variant>
      <vt:variant>
        <vt:i4>5</vt:i4>
      </vt:variant>
      <vt:variant>
        <vt:lpwstr/>
      </vt:variant>
      <vt:variant>
        <vt:lpwstr>_Toc153809635</vt:lpwstr>
      </vt:variant>
      <vt:variant>
        <vt:i4>1048628</vt:i4>
      </vt:variant>
      <vt:variant>
        <vt:i4>1694</vt:i4>
      </vt:variant>
      <vt:variant>
        <vt:i4>0</vt:i4>
      </vt:variant>
      <vt:variant>
        <vt:i4>5</vt:i4>
      </vt:variant>
      <vt:variant>
        <vt:lpwstr/>
      </vt:variant>
      <vt:variant>
        <vt:lpwstr>_Toc153809634</vt:lpwstr>
      </vt:variant>
      <vt:variant>
        <vt:i4>1048628</vt:i4>
      </vt:variant>
      <vt:variant>
        <vt:i4>1688</vt:i4>
      </vt:variant>
      <vt:variant>
        <vt:i4>0</vt:i4>
      </vt:variant>
      <vt:variant>
        <vt:i4>5</vt:i4>
      </vt:variant>
      <vt:variant>
        <vt:lpwstr/>
      </vt:variant>
      <vt:variant>
        <vt:lpwstr>_Toc153809633</vt:lpwstr>
      </vt:variant>
      <vt:variant>
        <vt:i4>1048628</vt:i4>
      </vt:variant>
      <vt:variant>
        <vt:i4>1682</vt:i4>
      </vt:variant>
      <vt:variant>
        <vt:i4>0</vt:i4>
      </vt:variant>
      <vt:variant>
        <vt:i4>5</vt:i4>
      </vt:variant>
      <vt:variant>
        <vt:lpwstr/>
      </vt:variant>
      <vt:variant>
        <vt:lpwstr>_Toc153809632</vt:lpwstr>
      </vt:variant>
      <vt:variant>
        <vt:i4>1048628</vt:i4>
      </vt:variant>
      <vt:variant>
        <vt:i4>1676</vt:i4>
      </vt:variant>
      <vt:variant>
        <vt:i4>0</vt:i4>
      </vt:variant>
      <vt:variant>
        <vt:i4>5</vt:i4>
      </vt:variant>
      <vt:variant>
        <vt:lpwstr/>
      </vt:variant>
      <vt:variant>
        <vt:lpwstr>_Toc153809631</vt:lpwstr>
      </vt:variant>
      <vt:variant>
        <vt:i4>1048628</vt:i4>
      </vt:variant>
      <vt:variant>
        <vt:i4>1670</vt:i4>
      </vt:variant>
      <vt:variant>
        <vt:i4>0</vt:i4>
      </vt:variant>
      <vt:variant>
        <vt:i4>5</vt:i4>
      </vt:variant>
      <vt:variant>
        <vt:lpwstr/>
      </vt:variant>
      <vt:variant>
        <vt:lpwstr>_Toc153809630</vt:lpwstr>
      </vt:variant>
      <vt:variant>
        <vt:i4>1114164</vt:i4>
      </vt:variant>
      <vt:variant>
        <vt:i4>1664</vt:i4>
      </vt:variant>
      <vt:variant>
        <vt:i4>0</vt:i4>
      </vt:variant>
      <vt:variant>
        <vt:i4>5</vt:i4>
      </vt:variant>
      <vt:variant>
        <vt:lpwstr/>
      </vt:variant>
      <vt:variant>
        <vt:lpwstr>_Toc153809629</vt:lpwstr>
      </vt:variant>
      <vt:variant>
        <vt:i4>4521988</vt:i4>
      </vt:variant>
      <vt:variant>
        <vt:i4>1653</vt:i4>
      </vt:variant>
      <vt:variant>
        <vt:i4>0</vt:i4>
      </vt:variant>
      <vt:variant>
        <vt:i4>5</vt:i4>
      </vt:variant>
      <vt:variant>
        <vt:lpwstr>https://www.education.gov.au/australian-universities-accord/resources/australian-universities-accord-discussion-paper-submission-analysis</vt:lpwstr>
      </vt:variant>
      <vt:variant>
        <vt:lpwstr/>
      </vt:variant>
      <vt:variant>
        <vt:i4>5898318</vt:i4>
      </vt:variant>
      <vt:variant>
        <vt:i4>1644</vt:i4>
      </vt:variant>
      <vt:variant>
        <vt:i4>0</vt:i4>
      </vt:variant>
      <vt:variant>
        <vt:i4>5</vt:i4>
      </vt:variant>
      <vt:variant>
        <vt:lpwstr>https://www.education.gov.au/australian-universities-accord/resources/nous-group-consultation-report</vt:lpwstr>
      </vt:variant>
      <vt:variant>
        <vt:lpwstr/>
      </vt:variant>
      <vt:variant>
        <vt:i4>524297</vt:i4>
      </vt:variant>
      <vt:variant>
        <vt:i4>1518</vt:i4>
      </vt:variant>
      <vt:variant>
        <vt:i4>0</vt:i4>
      </vt:variant>
      <vt:variant>
        <vt:i4>5</vt:i4>
      </vt:variant>
      <vt:variant>
        <vt:lpwstr>https://www.education.gov.au/higher-education-statistics/student-data/selected-higher-education-statistics-2022-student-data</vt:lpwstr>
      </vt:variant>
      <vt:variant>
        <vt:lpwstr/>
      </vt:variant>
      <vt:variant>
        <vt:i4>2949231</vt:i4>
      </vt:variant>
      <vt:variant>
        <vt:i4>1467</vt:i4>
      </vt:variant>
      <vt:variant>
        <vt:i4>0</vt:i4>
      </vt:variant>
      <vt:variant>
        <vt:i4>5</vt:i4>
      </vt:variant>
      <vt:variant>
        <vt:lpwstr>https://www.abs.gov.au/census/guide-census-data/census-dictionary/2021/variables-topic/education-and-training/level-highest-educational-attainment-heap</vt:lpwstr>
      </vt:variant>
      <vt:variant>
        <vt:lpwstr/>
      </vt:variant>
      <vt:variant>
        <vt:i4>1835011</vt:i4>
      </vt:variant>
      <vt:variant>
        <vt:i4>1362</vt:i4>
      </vt:variant>
      <vt:variant>
        <vt:i4>0</vt:i4>
      </vt:variant>
      <vt:variant>
        <vt:i4>5</vt:i4>
      </vt:variant>
      <vt:variant>
        <vt:lpwstr>https://www.industry.gov.au/‌publications/‌science-research-and-innovation-sri-budget-tables-2022-23</vt:lpwstr>
      </vt:variant>
      <vt:variant>
        <vt:lpwstr/>
      </vt:variant>
      <vt:variant>
        <vt:i4>3407932</vt:i4>
      </vt:variant>
      <vt:variant>
        <vt:i4>1353</vt:i4>
      </vt:variant>
      <vt:variant>
        <vt:i4>0</vt:i4>
      </vt:variant>
      <vt:variant>
        <vt:i4>5</vt:i4>
      </vt:variant>
      <vt:variant>
        <vt:lpwstr>https://www.abs.gov.au/statistics/industry/technology-and-innovation/research-and-experimental-development-businesses-australia/2021-22</vt:lpwstr>
      </vt:variant>
      <vt:variant>
        <vt:lpwstr/>
      </vt:variant>
      <vt:variant>
        <vt:i4>1572886</vt:i4>
      </vt:variant>
      <vt:variant>
        <vt:i4>1344</vt:i4>
      </vt:variant>
      <vt:variant>
        <vt:i4>0</vt:i4>
      </vt:variant>
      <vt:variant>
        <vt:i4>5</vt:i4>
      </vt:variant>
      <vt:variant>
        <vt:lpwstr>https://www.oecd.org/sti/msti.htm</vt:lpwstr>
      </vt:variant>
      <vt:variant>
        <vt:lpwstr/>
      </vt:variant>
      <vt:variant>
        <vt:i4>1376343</vt:i4>
      </vt:variant>
      <vt:variant>
        <vt:i4>1335</vt:i4>
      </vt:variant>
      <vt:variant>
        <vt:i4>0</vt:i4>
      </vt:variant>
      <vt:variant>
        <vt:i4>5</vt:i4>
      </vt:variant>
      <vt:variant>
        <vt:lpwstr>https://www.abs.gov.au/statistics/economy/national-accounts/australian-national-accounts-national-income-expenditure-and-product/jun-2023</vt:lpwstr>
      </vt:variant>
      <vt:variant>
        <vt:lpwstr/>
      </vt:variant>
      <vt:variant>
        <vt:i4>2490468</vt:i4>
      </vt:variant>
      <vt:variant>
        <vt:i4>1332</vt:i4>
      </vt:variant>
      <vt:variant>
        <vt:i4>0</vt:i4>
      </vt:variant>
      <vt:variant>
        <vt:i4>5</vt:i4>
      </vt:variant>
      <vt:variant>
        <vt:lpwstr>https://www.abs.gov.au/statistics/industry/technology-and-innovation/research-and-experimental-development-businesses-australia/latest-release</vt:lpwstr>
      </vt:variant>
      <vt:variant>
        <vt:lpwstr>cite-window1</vt:lpwstr>
      </vt:variant>
      <vt:variant>
        <vt:i4>7733261</vt:i4>
      </vt:variant>
      <vt:variant>
        <vt:i4>1329</vt:i4>
      </vt:variant>
      <vt:variant>
        <vt:i4>0</vt:i4>
      </vt:variant>
      <vt:variant>
        <vt:i4>5</vt:i4>
      </vt:variant>
      <vt:variant>
        <vt:lpwstr>https://www.abs.gov.au/AUSSTATS/abs@.nsf/Lookup/8112.0Main+Features12008-09?OpenDocument</vt:lpwstr>
      </vt:variant>
      <vt:variant>
        <vt:lpwstr/>
      </vt:variant>
      <vt:variant>
        <vt:i4>3539052</vt:i4>
      </vt:variant>
      <vt:variant>
        <vt:i4>1254</vt:i4>
      </vt:variant>
      <vt:variant>
        <vt:i4>0</vt:i4>
      </vt:variant>
      <vt:variant>
        <vt:i4>5</vt:i4>
      </vt:variant>
      <vt:variant>
        <vt:lpwstr>https://www.legacy.ato.gov.au/rates/help,-tsl-and-sfss-repayment-thresholds-and-rates/</vt:lpwstr>
      </vt:variant>
      <vt:variant>
        <vt:lpwstr>HELPandTSLrepaymentthresholdsandrates201</vt:lpwstr>
      </vt:variant>
      <vt:variant>
        <vt:i4>6946926</vt:i4>
      </vt:variant>
      <vt:variant>
        <vt:i4>1128</vt:i4>
      </vt:variant>
      <vt:variant>
        <vt:i4>0</vt:i4>
      </vt:variant>
      <vt:variant>
        <vt:i4>5</vt:i4>
      </vt:variant>
      <vt:variant>
        <vt:lpwstr>https://www.education.gov.au/higher-education-statistics/resources/2022-section-16-equity-performance-data</vt:lpwstr>
      </vt:variant>
      <vt:variant>
        <vt:lpwstr/>
      </vt:variant>
      <vt:variant>
        <vt:i4>6488118</vt:i4>
      </vt:variant>
      <vt:variant>
        <vt:i4>1125</vt:i4>
      </vt:variant>
      <vt:variant>
        <vt:i4>0</vt:i4>
      </vt:variant>
      <vt:variant>
        <vt:i4>5</vt:i4>
      </vt:variant>
      <vt:variant>
        <vt:lpwstr>https://www.abs.gov.au/statistics/people/people-and-communities</vt:lpwstr>
      </vt:variant>
      <vt:variant>
        <vt:lpwstr/>
      </vt:variant>
      <vt:variant>
        <vt:i4>6946926</vt:i4>
      </vt:variant>
      <vt:variant>
        <vt:i4>1107</vt:i4>
      </vt:variant>
      <vt:variant>
        <vt:i4>0</vt:i4>
      </vt:variant>
      <vt:variant>
        <vt:i4>5</vt:i4>
      </vt:variant>
      <vt:variant>
        <vt:lpwstr>https://www.education.gov.au/higher-education-statistics/resources/2022-section-16-equity-performance-data</vt:lpwstr>
      </vt:variant>
      <vt:variant>
        <vt:lpwstr/>
      </vt:variant>
      <vt:variant>
        <vt:i4>4653069</vt:i4>
      </vt:variant>
      <vt:variant>
        <vt:i4>1092</vt:i4>
      </vt:variant>
      <vt:variant>
        <vt:i4>0</vt:i4>
      </vt:variant>
      <vt:variant>
        <vt:i4>5</vt:i4>
      </vt:variant>
      <vt:variant>
        <vt:lpwstr>https://www.education.gov.au/higher-education-statistics/resources/2022-section-11-equity-groups</vt:lpwstr>
      </vt:variant>
      <vt:variant>
        <vt:lpwstr/>
      </vt:variant>
      <vt:variant>
        <vt:i4>1179726</vt:i4>
      </vt:variant>
      <vt:variant>
        <vt:i4>1035</vt:i4>
      </vt:variant>
      <vt:variant>
        <vt:i4>0</vt:i4>
      </vt:variant>
      <vt:variant>
        <vt:i4>5</vt:i4>
      </vt:variant>
      <vt:variant>
        <vt:lpwstr>https://www.jobsandskills.gov.au/data/employment-projections</vt:lpwstr>
      </vt:variant>
      <vt:variant>
        <vt:lpwstr/>
      </vt:variant>
      <vt:variant>
        <vt:i4>5898266</vt:i4>
      </vt:variant>
      <vt:variant>
        <vt:i4>1026</vt:i4>
      </vt:variant>
      <vt:variant>
        <vt:i4>0</vt:i4>
      </vt:variant>
      <vt:variant>
        <vt:i4>5</vt:i4>
      </vt:variant>
      <vt:variant>
        <vt:lpwstr>https://www.jobsandskills.gov.au/sites/default/files/2023-10/2023 SPL Key Findings Report.pdf</vt:lpwstr>
      </vt:variant>
      <vt:variant>
        <vt:lpwstr/>
      </vt:variant>
      <vt:variant>
        <vt:i4>5898266</vt:i4>
      </vt:variant>
      <vt:variant>
        <vt:i4>1017</vt:i4>
      </vt:variant>
      <vt:variant>
        <vt:i4>0</vt:i4>
      </vt:variant>
      <vt:variant>
        <vt:i4>5</vt:i4>
      </vt:variant>
      <vt:variant>
        <vt:lpwstr>https://www.jobsandskills.gov.au/sites/default/files/2023-10/2023 SPL Key Findings Report.pdf</vt:lpwstr>
      </vt:variant>
      <vt:variant>
        <vt:lpwstr/>
      </vt:variant>
      <vt:variant>
        <vt:i4>4653069</vt:i4>
      </vt:variant>
      <vt:variant>
        <vt:i4>993</vt:i4>
      </vt:variant>
      <vt:variant>
        <vt:i4>0</vt:i4>
      </vt:variant>
      <vt:variant>
        <vt:i4>5</vt:i4>
      </vt:variant>
      <vt:variant>
        <vt:lpwstr>https://www.education.gov.au/higher-education-statistics/resources/2022-section-11-equity-groups</vt:lpwstr>
      </vt:variant>
      <vt:variant>
        <vt:lpwstr/>
      </vt:variant>
      <vt:variant>
        <vt:i4>4849735</vt:i4>
      </vt:variant>
      <vt:variant>
        <vt:i4>972</vt:i4>
      </vt:variant>
      <vt:variant>
        <vt:i4>0</vt:i4>
      </vt:variant>
      <vt:variant>
        <vt:i4>5</vt:i4>
      </vt:variant>
      <vt:variant>
        <vt:lpwstr>https://www.abs.gov.au/statistics/microdata-tablebuilder/tablebuilder</vt:lpwstr>
      </vt:variant>
      <vt:variant>
        <vt:lpwstr/>
      </vt:variant>
      <vt:variant>
        <vt:i4>7602279</vt:i4>
      </vt:variant>
      <vt:variant>
        <vt:i4>960</vt:i4>
      </vt:variant>
      <vt:variant>
        <vt:i4>0</vt:i4>
      </vt:variant>
      <vt:variant>
        <vt:i4>5</vt:i4>
      </vt:variant>
      <vt:variant>
        <vt:lpwstr>https://www.abs.gov.au/statistics/people/population/population-projections-australia/2022-base-2071</vt:lpwstr>
      </vt:variant>
      <vt:variant>
        <vt:lpwstr/>
      </vt:variant>
      <vt:variant>
        <vt:i4>327757</vt:i4>
      </vt:variant>
      <vt:variant>
        <vt:i4>945</vt:i4>
      </vt:variant>
      <vt:variant>
        <vt:i4>0</vt:i4>
      </vt:variant>
      <vt:variant>
        <vt:i4>5</vt:i4>
      </vt:variant>
      <vt:variant>
        <vt:lpwstr>https://population.gov.au/data-and-forecasts/projections/budget-2023-24-population-projections-australia-2022-23-2033-34</vt:lpwstr>
      </vt:variant>
      <vt:variant>
        <vt:lpwstr/>
      </vt:variant>
      <vt:variant>
        <vt:i4>7143526</vt:i4>
      </vt:variant>
      <vt:variant>
        <vt:i4>942</vt:i4>
      </vt:variant>
      <vt:variant>
        <vt:i4>0</vt:i4>
      </vt:variant>
      <vt:variant>
        <vt:i4>5</vt:i4>
      </vt:variant>
      <vt:variant>
        <vt:lpwstr>https://www.abs.gov.au/statistics/people/population/population-projections-australia/latest-release</vt:lpwstr>
      </vt:variant>
      <vt:variant>
        <vt:lpwstr/>
      </vt:variant>
      <vt:variant>
        <vt:i4>1704014</vt:i4>
      </vt:variant>
      <vt:variant>
        <vt:i4>939</vt:i4>
      </vt:variant>
      <vt:variant>
        <vt:i4>0</vt:i4>
      </vt:variant>
      <vt:variant>
        <vt:i4>5</vt:i4>
      </vt:variant>
      <vt:variant>
        <vt:lpwstr>https://www.abs.gov.au/statistics/people/population/population-census/latest-release</vt:lpwstr>
      </vt:variant>
      <vt:variant>
        <vt:lpwstr/>
      </vt:variant>
      <vt:variant>
        <vt:i4>3932274</vt:i4>
      </vt:variant>
      <vt:variant>
        <vt:i4>906</vt:i4>
      </vt:variant>
      <vt:variant>
        <vt:i4>0</vt:i4>
      </vt:variant>
      <vt:variant>
        <vt:i4>5</vt:i4>
      </vt:variant>
      <vt:variant>
        <vt:lpwstr>http://www.abs.gov.au/statistics/people/population/national-state-and-territory-population/jun-2022</vt:lpwstr>
      </vt:variant>
      <vt:variant>
        <vt:lpwstr/>
      </vt:variant>
      <vt:variant>
        <vt:i4>4259904</vt:i4>
      </vt:variant>
      <vt:variant>
        <vt:i4>903</vt:i4>
      </vt:variant>
      <vt:variant>
        <vt:i4>0</vt:i4>
      </vt:variant>
      <vt:variant>
        <vt:i4>5</vt:i4>
      </vt:variant>
      <vt:variant>
        <vt:lpwstr>https://www.education.gov.au/higher-education-statistics/resources/time-series-data-1949-2000</vt:lpwstr>
      </vt:variant>
      <vt:variant>
        <vt:lpwstr/>
      </vt:variant>
      <vt:variant>
        <vt:i4>1704056</vt:i4>
      </vt:variant>
      <vt:variant>
        <vt:i4>900</vt:i4>
      </vt:variant>
      <vt:variant>
        <vt:i4>0</vt:i4>
      </vt:variant>
      <vt:variant>
        <vt:i4>5</vt:i4>
      </vt:variant>
      <vt:variant>
        <vt:lpwstr>http://www.abs.gov.au/AUSSTATS/abs@.nsf/second+level+view?ReadForm&amp;prodno=1301.0&amp;viewtitle=‌Year‌%25‌20‌Book‌%20Australia~2012~Latest~24/05/2012&amp;&amp;tabname=Past%20Future%20Issues&amp;prodno=1301.0&amp;issue=2012&amp;‌num‌=‌&amp;view=&amp;</vt:lpwstr>
      </vt:variant>
      <vt:variant>
        <vt:lpwstr/>
      </vt:variant>
      <vt:variant>
        <vt:i4>1179705</vt:i4>
      </vt:variant>
      <vt:variant>
        <vt:i4>866</vt:i4>
      </vt:variant>
      <vt:variant>
        <vt:i4>0</vt:i4>
      </vt:variant>
      <vt:variant>
        <vt:i4>5</vt:i4>
      </vt:variant>
      <vt:variant>
        <vt:lpwstr/>
      </vt:variant>
      <vt:variant>
        <vt:lpwstr>_Toc158122238</vt:lpwstr>
      </vt:variant>
      <vt:variant>
        <vt:i4>1179705</vt:i4>
      </vt:variant>
      <vt:variant>
        <vt:i4>860</vt:i4>
      </vt:variant>
      <vt:variant>
        <vt:i4>0</vt:i4>
      </vt:variant>
      <vt:variant>
        <vt:i4>5</vt:i4>
      </vt:variant>
      <vt:variant>
        <vt:lpwstr/>
      </vt:variant>
      <vt:variant>
        <vt:lpwstr>_Toc158122237</vt:lpwstr>
      </vt:variant>
      <vt:variant>
        <vt:i4>1179705</vt:i4>
      </vt:variant>
      <vt:variant>
        <vt:i4>854</vt:i4>
      </vt:variant>
      <vt:variant>
        <vt:i4>0</vt:i4>
      </vt:variant>
      <vt:variant>
        <vt:i4>5</vt:i4>
      </vt:variant>
      <vt:variant>
        <vt:lpwstr/>
      </vt:variant>
      <vt:variant>
        <vt:lpwstr>_Toc158122236</vt:lpwstr>
      </vt:variant>
      <vt:variant>
        <vt:i4>1179705</vt:i4>
      </vt:variant>
      <vt:variant>
        <vt:i4>848</vt:i4>
      </vt:variant>
      <vt:variant>
        <vt:i4>0</vt:i4>
      </vt:variant>
      <vt:variant>
        <vt:i4>5</vt:i4>
      </vt:variant>
      <vt:variant>
        <vt:lpwstr/>
      </vt:variant>
      <vt:variant>
        <vt:lpwstr>_Toc158122235</vt:lpwstr>
      </vt:variant>
      <vt:variant>
        <vt:i4>1179705</vt:i4>
      </vt:variant>
      <vt:variant>
        <vt:i4>842</vt:i4>
      </vt:variant>
      <vt:variant>
        <vt:i4>0</vt:i4>
      </vt:variant>
      <vt:variant>
        <vt:i4>5</vt:i4>
      </vt:variant>
      <vt:variant>
        <vt:lpwstr/>
      </vt:variant>
      <vt:variant>
        <vt:lpwstr>_Toc158122234</vt:lpwstr>
      </vt:variant>
      <vt:variant>
        <vt:i4>1179705</vt:i4>
      </vt:variant>
      <vt:variant>
        <vt:i4>836</vt:i4>
      </vt:variant>
      <vt:variant>
        <vt:i4>0</vt:i4>
      </vt:variant>
      <vt:variant>
        <vt:i4>5</vt:i4>
      </vt:variant>
      <vt:variant>
        <vt:lpwstr/>
      </vt:variant>
      <vt:variant>
        <vt:lpwstr>_Toc158122233</vt:lpwstr>
      </vt:variant>
      <vt:variant>
        <vt:i4>1179705</vt:i4>
      </vt:variant>
      <vt:variant>
        <vt:i4>830</vt:i4>
      </vt:variant>
      <vt:variant>
        <vt:i4>0</vt:i4>
      </vt:variant>
      <vt:variant>
        <vt:i4>5</vt:i4>
      </vt:variant>
      <vt:variant>
        <vt:lpwstr/>
      </vt:variant>
      <vt:variant>
        <vt:lpwstr>_Toc158122232</vt:lpwstr>
      </vt:variant>
      <vt:variant>
        <vt:i4>1179705</vt:i4>
      </vt:variant>
      <vt:variant>
        <vt:i4>824</vt:i4>
      </vt:variant>
      <vt:variant>
        <vt:i4>0</vt:i4>
      </vt:variant>
      <vt:variant>
        <vt:i4>5</vt:i4>
      </vt:variant>
      <vt:variant>
        <vt:lpwstr/>
      </vt:variant>
      <vt:variant>
        <vt:lpwstr>_Toc158122231</vt:lpwstr>
      </vt:variant>
      <vt:variant>
        <vt:i4>1179705</vt:i4>
      </vt:variant>
      <vt:variant>
        <vt:i4>818</vt:i4>
      </vt:variant>
      <vt:variant>
        <vt:i4>0</vt:i4>
      </vt:variant>
      <vt:variant>
        <vt:i4>5</vt:i4>
      </vt:variant>
      <vt:variant>
        <vt:lpwstr/>
      </vt:variant>
      <vt:variant>
        <vt:lpwstr>_Toc158122230</vt:lpwstr>
      </vt:variant>
      <vt:variant>
        <vt:i4>1245241</vt:i4>
      </vt:variant>
      <vt:variant>
        <vt:i4>812</vt:i4>
      </vt:variant>
      <vt:variant>
        <vt:i4>0</vt:i4>
      </vt:variant>
      <vt:variant>
        <vt:i4>5</vt:i4>
      </vt:variant>
      <vt:variant>
        <vt:lpwstr/>
      </vt:variant>
      <vt:variant>
        <vt:lpwstr>_Toc158122229</vt:lpwstr>
      </vt:variant>
      <vt:variant>
        <vt:i4>1245241</vt:i4>
      </vt:variant>
      <vt:variant>
        <vt:i4>806</vt:i4>
      </vt:variant>
      <vt:variant>
        <vt:i4>0</vt:i4>
      </vt:variant>
      <vt:variant>
        <vt:i4>5</vt:i4>
      </vt:variant>
      <vt:variant>
        <vt:lpwstr/>
      </vt:variant>
      <vt:variant>
        <vt:lpwstr>_Toc158122228</vt:lpwstr>
      </vt:variant>
      <vt:variant>
        <vt:i4>1245241</vt:i4>
      </vt:variant>
      <vt:variant>
        <vt:i4>800</vt:i4>
      </vt:variant>
      <vt:variant>
        <vt:i4>0</vt:i4>
      </vt:variant>
      <vt:variant>
        <vt:i4>5</vt:i4>
      </vt:variant>
      <vt:variant>
        <vt:lpwstr/>
      </vt:variant>
      <vt:variant>
        <vt:lpwstr>_Toc158122227</vt:lpwstr>
      </vt:variant>
      <vt:variant>
        <vt:i4>1245241</vt:i4>
      </vt:variant>
      <vt:variant>
        <vt:i4>794</vt:i4>
      </vt:variant>
      <vt:variant>
        <vt:i4>0</vt:i4>
      </vt:variant>
      <vt:variant>
        <vt:i4>5</vt:i4>
      </vt:variant>
      <vt:variant>
        <vt:lpwstr/>
      </vt:variant>
      <vt:variant>
        <vt:lpwstr>_Toc158122226</vt:lpwstr>
      </vt:variant>
      <vt:variant>
        <vt:i4>1245241</vt:i4>
      </vt:variant>
      <vt:variant>
        <vt:i4>788</vt:i4>
      </vt:variant>
      <vt:variant>
        <vt:i4>0</vt:i4>
      </vt:variant>
      <vt:variant>
        <vt:i4>5</vt:i4>
      </vt:variant>
      <vt:variant>
        <vt:lpwstr/>
      </vt:variant>
      <vt:variant>
        <vt:lpwstr>_Toc158122225</vt:lpwstr>
      </vt:variant>
      <vt:variant>
        <vt:i4>1245241</vt:i4>
      </vt:variant>
      <vt:variant>
        <vt:i4>782</vt:i4>
      </vt:variant>
      <vt:variant>
        <vt:i4>0</vt:i4>
      </vt:variant>
      <vt:variant>
        <vt:i4>5</vt:i4>
      </vt:variant>
      <vt:variant>
        <vt:lpwstr/>
      </vt:variant>
      <vt:variant>
        <vt:lpwstr>_Toc158122224</vt:lpwstr>
      </vt:variant>
      <vt:variant>
        <vt:i4>1245241</vt:i4>
      </vt:variant>
      <vt:variant>
        <vt:i4>776</vt:i4>
      </vt:variant>
      <vt:variant>
        <vt:i4>0</vt:i4>
      </vt:variant>
      <vt:variant>
        <vt:i4>5</vt:i4>
      </vt:variant>
      <vt:variant>
        <vt:lpwstr/>
      </vt:variant>
      <vt:variant>
        <vt:lpwstr>_Toc158122223</vt:lpwstr>
      </vt:variant>
      <vt:variant>
        <vt:i4>1245241</vt:i4>
      </vt:variant>
      <vt:variant>
        <vt:i4>770</vt:i4>
      </vt:variant>
      <vt:variant>
        <vt:i4>0</vt:i4>
      </vt:variant>
      <vt:variant>
        <vt:i4>5</vt:i4>
      </vt:variant>
      <vt:variant>
        <vt:lpwstr/>
      </vt:variant>
      <vt:variant>
        <vt:lpwstr>_Toc158122222</vt:lpwstr>
      </vt:variant>
      <vt:variant>
        <vt:i4>1245241</vt:i4>
      </vt:variant>
      <vt:variant>
        <vt:i4>764</vt:i4>
      </vt:variant>
      <vt:variant>
        <vt:i4>0</vt:i4>
      </vt:variant>
      <vt:variant>
        <vt:i4>5</vt:i4>
      </vt:variant>
      <vt:variant>
        <vt:lpwstr/>
      </vt:variant>
      <vt:variant>
        <vt:lpwstr>_Toc158122221</vt:lpwstr>
      </vt:variant>
      <vt:variant>
        <vt:i4>1245241</vt:i4>
      </vt:variant>
      <vt:variant>
        <vt:i4>758</vt:i4>
      </vt:variant>
      <vt:variant>
        <vt:i4>0</vt:i4>
      </vt:variant>
      <vt:variant>
        <vt:i4>5</vt:i4>
      </vt:variant>
      <vt:variant>
        <vt:lpwstr/>
      </vt:variant>
      <vt:variant>
        <vt:lpwstr>_Toc158122220</vt:lpwstr>
      </vt:variant>
      <vt:variant>
        <vt:i4>1048633</vt:i4>
      </vt:variant>
      <vt:variant>
        <vt:i4>752</vt:i4>
      </vt:variant>
      <vt:variant>
        <vt:i4>0</vt:i4>
      </vt:variant>
      <vt:variant>
        <vt:i4>5</vt:i4>
      </vt:variant>
      <vt:variant>
        <vt:lpwstr/>
      </vt:variant>
      <vt:variant>
        <vt:lpwstr>_Toc158122219</vt:lpwstr>
      </vt:variant>
      <vt:variant>
        <vt:i4>1048633</vt:i4>
      </vt:variant>
      <vt:variant>
        <vt:i4>746</vt:i4>
      </vt:variant>
      <vt:variant>
        <vt:i4>0</vt:i4>
      </vt:variant>
      <vt:variant>
        <vt:i4>5</vt:i4>
      </vt:variant>
      <vt:variant>
        <vt:lpwstr/>
      </vt:variant>
      <vt:variant>
        <vt:lpwstr>_Toc158122218</vt:lpwstr>
      </vt:variant>
      <vt:variant>
        <vt:i4>1048633</vt:i4>
      </vt:variant>
      <vt:variant>
        <vt:i4>740</vt:i4>
      </vt:variant>
      <vt:variant>
        <vt:i4>0</vt:i4>
      </vt:variant>
      <vt:variant>
        <vt:i4>5</vt:i4>
      </vt:variant>
      <vt:variant>
        <vt:lpwstr/>
      </vt:variant>
      <vt:variant>
        <vt:lpwstr>_Toc158122217</vt:lpwstr>
      </vt:variant>
      <vt:variant>
        <vt:i4>1048633</vt:i4>
      </vt:variant>
      <vt:variant>
        <vt:i4>734</vt:i4>
      </vt:variant>
      <vt:variant>
        <vt:i4>0</vt:i4>
      </vt:variant>
      <vt:variant>
        <vt:i4>5</vt:i4>
      </vt:variant>
      <vt:variant>
        <vt:lpwstr/>
      </vt:variant>
      <vt:variant>
        <vt:lpwstr>_Toc158122216</vt:lpwstr>
      </vt:variant>
      <vt:variant>
        <vt:i4>1048633</vt:i4>
      </vt:variant>
      <vt:variant>
        <vt:i4>728</vt:i4>
      </vt:variant>
      <vt:variant>
        <vt:i4>0</vt:i4>
      </vt:variant>
      <vt:variant>
        <vt:i4>5</vt:i4>
      </vt:variant>
      <vt:variant>
        <vt:lpwstr/>
      </vt:variant>
      <vt:variant>
        <vt:lpwstr>_Toc158122215</vt:lpwstr>
      </vt:variant>
      <vt:variant>
        <vt:i4>1048633</vt:i4>
      </vt:variant>
      <vt:variant>
        <vt:i4>722</vt:i4>
      </vt:variant>
      <vt:variant>
        <vt:i4>0</vt:i4>
      </vt:variant>
      <vt:variant>
        <vt:i4>5</vt:i4>
      </vt:variant>
      <vt:variant>
        <vt:lpwstr/>
      </vt:variant>
      <vt:variant>
        <vt:lpwstr>_Toc158122214</vt:lpwstr>
      </vt:variant>
      <vt:variant>
        <vt:i4>1048633</vt:i4>
      </vt:variant>
      <vt:variant>
        <vt:i4>716</vt:i4>
      </vt:variant>
      <vt:variant>
        <vt:i4>0</vt:i4>
      </vt:variant>
      <vt:variant>
        <vt:i4>5</vt:i4>
      </vt:variant>
      <vt:variant>
        <vt:lpwstr/>
      </vt:variant>
      <vt:variant>
        <vt:lpwstr>_Toc158122213</vt:lpwstr>
      </vt:variant>
      <vt:variant>
        <vt:i4>1048633</vt:i4>
      </vt:variant>
      <vt:variant>
        <vt:i4>710</vt:i4>
      </vt:variant>
      <vt:variant>
        <vt:i4>0</vt:i4>
      </vt:variant>
      <vt:variant>
        <vt:i4>5</vt:i4>
      </vt:variant>
      <vt:variant>
        <vt:lpwstr/>
      </vt:variant>
      <vt:variant>
        <vt:lpwstr>_Toc158122212</vt:lpwstr>
      </vt:variant>
      <vt:variant>
        <vt:i4>1048633</vt:i4>
      </vt:variant>
      <vt:variant>
        <vt:i4>704</vt:i4>
      </vt:variant>
      <vt:variant>
        <vt:i4>0</vt:i4>
      </vt:variant>
      <vt:variant>
        <vt:i4>5</vt:i4>
      </vt:variant>
      <vt:variant>
        <vt:lpwstr/>
      </vt:variant>
      <vt:variant>
        <vt:lpwstr>_Toc158122211</vt:lpwstr>
      </vt:variant>
      <vt:variant>
        <vt:i4>1048633</vt:i4>
      </vt:variant>
      <vt:variant>
        <vt:i4>698</vt:i4>
      </vt:variant>
      <vt:variant>
        <vt:i4>0</vt:i4>
      </vt:variant>
      <vt:variant>
        <vt:i4>5</vt:i4>
      </vt:variant>
      <vt:variant>
        <vt:lpwstr/>
      </vt:variant>
      <vt:variant>
        <vt:lpwstr>_Toc158122210</vt:lpwstr>
      </vt:variant>
      <vt:variant>
        <vt:i4>1114169</vt:i4>
      </vt:variant>
      <vt:variant>
        <vt:i4>692</vt:i4>
      </vt:variant>
      <vt:variant>
        <vt:i4>0</vt:i4>
      </vt:variant>
      <vt:variant>
        <vt:i4>5</vt:i4>
      </vt:variant>
      <vt:variant>
        <vt:lpwstr/>
      </vt:variant>
      <vt:variant>
        <vt:lpwstr>_Toc158122209</vt:lpwstr>
      </vt:variant>
      <vt:variant>
        <vt:i4>1114169</vt:i4>
      </vt:variant>
      <vt:variant>
        <vt:i4>686</vt:i4>
      </vt:variant>
      <vt:variant>
        <vt:i4>0</vt:i4>
      </vt:variant>
      <vt:variant>
        <vt:i4>5</vt:i4>
      </vt:variant>
      <vt:variant>
        <vt:lpwstr/>
      </vt:variant>
      <vt:variant>
        <vt:lpwstr>_Toc158122208</vt:lpwstr>
      </vt:variant>
      <vt:variant>
        <vt:i4>1114169</vt:i4>
      </vt:variant>
      <vt:variant>
        <vt:i4>680</vt:i4>
      </vt:variant>
      <vt:variant>
        <vt:i4>0</vt:i4>
      </vt:variant>
      <vt:variant>
        <vt:i4>5</vt:i4>
      </vt:variant>
      <vt:variant>
        <vt:lpwstr/>
      </vt:variant>
      <vt:variant>
        <vt:lpwstr>_Toc158122207</vt:lpwstr>
      </vt:variant>
      <vt:variant>
        <vt:i4>1114169</vt:i4>
      </vt:variant>
      <vt:variant>
        <vt:i4>674</vt:i4>
      </vt:variant>
      <vt:variant>
        <vt:i4>0</vt:i4>
      </vt:variant>
      <vt:variant>
        <vt:i4>5</vt:i4>
      </vt:variant>
      <vt:variant>
        <vt:lpwstr/>
      </vt:variant>
      <vt:variant>
        <vt:lpwstr>_Toc158122206</vt:lpwstr>
      </vt:variant>
      <vt:variant>
        <vt:i4>1114169</vt:i4>
      </vt:variant>
      <vt:variant>
        <vt:i4>668</vt:i4>
      </vt:variant>
      <vt:variant>
        <vt:i4>0</vt:i4>
      </vt:variant>
      <vt:variant>
        <vt:i4>5</vt:i4>
      </vt:variant>
      <vt:variant>
        <vt:lpwstr/>
      </vt:variant>
      <vt:variant>
        <vt:lpwstr>_Toc158122205</vt:lpwstr>
      </vt:variant>
      <vt:variant>
        <vt:i4>1114169</vt:i4>
      </vt:variant>
      <vt:variant>
        <vt:i4>662</vt:i4>
      </vt:variant>
      <vt:variant>
        <vt:i4>0</vt:i4>
      </vt:variant>
      <vt:variant>
        <vt:i4>5</vt:i4>
      </vt:variant>
      <vt:variant>
        <vt:lpwstr/>
      </vt:variant>
      <vt:variant>
        <vt:lpwstr>_Toc158122204</vt:lpwstr>
      </vt:variant>
      <vt:variant>
        <vt:i4>1114169</vt:i4>
      </vt:variant>
      <vt:variant>
        <vt:i4>656</vt:i4>
      </vt:variant>
      <vt:variant>
        <vt:i4>0</vt:i4>
      </vt:variant>
      <vt:variant>
        <vt:i4>5</vt:i4>
      </vt:variant>
      <vt:variant>
        <vt:lpwstr/>
      </vt:variant>
      <vt:variant>
        <vt:lpwstr>_Toc158122203</vt:lpwstr>
      </vt:variant>
      <vt:variant>
        <vt:i4>1114169</vt:i4>
      </vt:variant>
      <vt:variant>
        <vt:i4>650</vt:i4>
      </vt:variant>
      <vt:variant>
        <vt:i4>0</vt:i4>
      </vt:variant>
      <vt:variant>
        <vt:i4>5</vt:i4>
      </vt:variant>
      <vt:variant>
        <vt:lpwstr/>
      </vt:variant>
      <vt:variant>
        <vt:lpwstr>_Toc158122202</vt:lpwstr>
      </vt:variant>
      <vt:variant>
        <vt:i4>1114169</vt:i4>
      </vt:variant>
      <vt:variant>
        <vt:i4>644</vt:i4>
      </vt:variant>
      <vt:variant>
        <vt:i4>0</vt:i4>
      </vt:variant>
      <vt:variant>
        <vt:i4>5</vt:i4>
      </vt:variant>
      <vt:variant>
        <vt:lpwstr/>
      </vt:variant>
      <vt:variant>
        <vt:lpwstr>_Toc158122201</vt:lpwstr>
      </vt:variant>
      <vt:variant>
        <vt:i4>1114169</vt:i4>
      </vt:variant>
      <vt:variant>
        <vt:i4>638</vt:i4>
      </vt:variant>
      <vt:variant>
        <vt:i4>0</vt:i4>
      </vt:variant>
      <vt:variant>
        <vt:i4>5</vt:i4>
      </vt:variant>
      <vt:variant>
        <vt:lpwstr/>
      </vt:variant>
      <vt:variant>
        <vt:lpwstr>_Toc158122200</vt:lpwstr>
      </vt:variant>
      <vt:variant>
        <vt:i4>1572922</vt:i4>
      </vt:variant>
      <vt:variant>
        <vt:i4>632</vt:i4>
      </vt:variant>
      <vt:variant>
        <vt:i4>0</vt:i4>
      </vt:variant>
      <vt:variant>
        <vt:i4>5</vt:i4>
      </vt:variant>
      <vt:variant>
        <vt:lpwstr/>
      </vt:variant>
      <vt:variant>
        <vt:lpwstr>_Toc158122199</vt:lpwstr>
      </vt:variant>
      <vt:variant>
        <vt:i4>1572922</vt:i4>
      </vt:variant>
      <vt:variant>
        <vt:i4>626</vt:i4>
      </vt:variant>
      <vt:variant>
        <vt:i4>0</vt:i4>
      </vt:variant>
      <vt:variant>
        <vt:i4>5</vt:i4>
      </vt:variant>
      <vt:variant>
        <vt:lpwstr/>
      </vt:variant>
      <vt:variant>
        <vt:lpwstr>_Toc158122198</vt:lpwstr>
      </vt:variant>
      <vt:variant>
        <vt:i4>1572922</vt:i4>
      </vt:variant>
      <vt:variant>
        <vt:i4>620</vt:i4>
      </vt:variant>
      <vt:variant>
        <vt:i4>0</vt:i4>
      </vt:variant>
      <vt:variant>
        <vt:i4>5</vt:i4>
      </vt:variant>
      <vt:variant>
        <vt:lpwstr/>
      </vt:variant>
      <vt:variant>
        <vt:lpwstr>_Toc158122197</vt:lpwstr>
      </vt:variant>
      <vt:variant>
        <vt:i4>1572922</vt:i4>
      </vt:variant>
      <vt:variant>
        <vt:i4>614</vt:i4>
      </vt:variant>
      <vt:variant>
        <vt:i4>0</vt:i4>
      </vt:variant>
      <vt:variant>
        <vt:i4>5</vt:i4>
      </vt:variant>
      <vt:variant>
        <vt:lpwstr/>
      </vt:variant>
      <vt:variant>
        <vt:lpwstr>_Toc158122196</vt:lpwstr>
      </vt:variant>
      <vt:variant>
        <vt:i4>1572922</vt:i4>
      </vt:variant>
      <vt:variant>
        <vt:i4>608</vt:i4>
      </vt:variant>
      <vt:variant>
        <vt:i4>0</vt:i4>
      </vt:variant>
      <vt:variant>
        <vt:i4>5</vt:i4>
      </vt:variant>
      <vt:variant>
        <vt:lpwstr/>
      </vt:variant>
      <vt:variant>
        <vt:lpwstr>_Toc158122195</vt:lpwstr>
      </vt:variant>
      <vt:variant>
        <vt:i4>1572922</vt:i4>
      </vt:variant>
      <vt:variant>
        <vt:i4>602</vt:i4>
      </vt:variant>
      <vt:variant>
        <vt:i4>0</vt:i4>
      </vt:variant>
      <vt:variant>
        <vt:i4>5</vt:i4>
      </vt:variant>
      <vt:variant>
        <vt:lpwstr/>
      </vt:variant>
      <vt:variant>
        <vt:lpwstr>_Toc158122194</vt:lpwstr>
      </vt:variant>
      <vt:variant>
        <vt:i4>1572922</vt:i4>
      </vt:variant>
      <vt:variant>
        <vt:i4>596</vt:i4>
      </vt:variant>
      <vt:variant>
        <vt:i4>0</vt:i4>
      </vt:variant>
      <vt:variant>
        <vt:i4>5</vt:i4>
      </vt:variant>
      <vt:variant>
        <vt:lpwstr/>
      </vt:variant>
      <vt:variant>
        <vt:lpwstr>_Toc158122193</vt:lpwstr>
      </vt:variant>
      <vt:variant>
        <vt:i4>1572922</vt:i4>
      </vt:variant>
      <vt:variant>
        <vt:i4>590</vt:i4>
      </vt:variant>
      <vt:variant>
        <vt:i4>0</vt:i4>
      </vt:variant>
      <vt:variant>
        <vt:i4>5</vt:i4>
      </vt:variant>
      <vt:variant>
        <vt:lpwstr/>
      </vt:variant>
      <vt:variant>
        <vt:lpwstr>_Toc158122192</vt:lpwstr>
      </vt:variant>
      <vt:variant>
        <vt:i4>1572922</vt:i4>
      </vt:variant>
      <vt:variant>
        <vt:i4>584</vt:i4>
      </vt:variant>
      <vt:variant>
        <vt:i4>0</vt:i4>
      </vt:variant>
      <vt:variant>
        <vt:i4>5</vt:i4>
      </vt:variant>
      <vt:variant>
        <vt:lpwstr/>
      </vt:variant>
      <vt:variant>
        <vt:lpwstr>_Toc158122191</vt:lpwstr>
      </vt:variant>
      <vt:variant>
        <vt:i4>1572922</vt:i4>
      </vt:variant>
      <vt:variant>
        <vt:i4>578</vt:i4>
      </vt:variant>
      <vt:variant>
        <vt:i4>0</vt:i4>
      </vt:variant>
      <vt:variant>
        <vt:i4>5</vt:i4>
      </vt:variant>
      <vt:variant>
        <vt:lpwstr/>
      </vt:variant>
      <vt:variant>
        <vt:lpwstr>_Toc158122190</vt:lpwstr>
      </vt:variant>
      <vt:variant>
        <vt:i4>1638458</vt:i4>
      </vt:variant>
      <vt:variant>
        <vt:i4>572</vt:i4>
      </vt:variant>
      <vt:variant>
        <vt:i4>0</vt:i4>
      </vt:variant>
      <vt:variant>
        <vt:i4>5</vt:i4>
      </vt:variant>
      <vt:variant>
        <vt:lpwstr/>
      </vt:variant>
      <vt:variant>
        <vt:lpwstr>_Toc158122189</vt:lpwstr>
      </vt:variant>
      <vt:variant>
        <vt:i4>1638458</vt:i4>
      </vt:variant>
      <vt:variant>
        <vt:i4>566</vt:i4>
      </vt:variant>
      <vt:variant>
        <vt:i4>0</vt:i4>
      </vt:variant>
      <vt:variant>
        <vt:i4>5</vt:i4>
      </vt:variant>
      <vt:variant>
        <vt:lpwstr/>
      </vt:variant>
      <vt:variant>
        <vt:lpwstr>_Toc158122188</vt:lpwstr>
      </vt:variant>
      <vt:variant>
        <vt:i4>1638458</vt:i4>
      </vt:variant>
      <vt:variant>
        <vt:i4>560</vt:i4>
      </vt:variant>
      <vt:variant>
        <vt:i4>0</vt:i4>
      </vt:variant>
      <vt:variant>
        <vt:i4>5</vt:i4>
      </vt:variant>
      <vt:variant>
        <vt:lpwstr/>
      </vt:variant>
      <vt:variant>
        <vt:lpwstr>_Toc158122187</vt:lpwstr>
      </vt:variant>
      <vt:variant>
        <vt:i4>1638458</vt:i4>
      </vt:variant>
      <vt:variant>
        <vt:i4>554</vt:i4>
      </vt:variant>
      <vt:variant>
        <vt:i4>0</vt:i4>
      </vt:variant>
      <vt:variant>
        <vt:i4>5</vt:i4>
      </vt:variant>
      <vt:variant>
        <vt:lpwstr/>
      </vt:variant>
      <vt:variant>
        <vt:lpwstr>_Toc158122186</vt:lpwstr>
      </vt:variant>
      <vt:variant>
        <vt:i4>1638458</vt:i4>
      </vt:variant>
      <vt:variant>
        <vt:i4>548</vt:i4>
      </vt:variant>
      <vt:variant>
        <vt:i4>0</vt:i4>
      </vt:variant>
      <vt:variant>
        <vt:i4>5</vt:i4>
      </vt:variant>
      <vt:variant>
        <vt:lpwstr/>
      </vt:variant>
      <vt:variant>
        <vt:lpwstr>_Toc158122185</vt:lpwstr>
      </vt:variant>
      <vt:variant>
        <vt:i4>1638458</vt:i4>
      </vt:variant>
      <vt:variant>
        <vt:i4>542</vt:i4>
      </vt:variant>
      <vt:variant>
        <vt:i4>0</vt:i4>
      </vt:variant>
      <vt:variant>
        <vt:i4>5</vt:i4>
      </vt:variant>
      <vt:variant>
        <vt:lpwstr/>
      </vt:variant>
      <vt:variant>
        <vt:lpwstr>_Toc158122184</vt:lpwstr>
      </vt:variant>
      <vt:variant>
        <vt:i4>1638458</vt:i4>
      </vt:variant>
      <vt:variant>
        <vt:i4>536</vt:i4>
      </vt:variant>
      <vt:variant>
        <vt:i4>0</vt:i4>
      </vt:variant>
      <vt:variant>
        <vt:i4>5</vt:i4>
      </vt:variant>
      <vt:variant>
        <vt:lpwstr/>
      </vt:variant>
      <vt:variant>
        <vt:lpwstr>_Toc158122183</vt:lpwstr>
      </vt:variant>
      <vt:variant>
        <vt:i4>1638458</vt:i4>
      </vt:variant>
      <vt:variant>
        <vt:i4>530</vt:i4>
      </vt:variant>
      <vt:variant>
        <vt:i4>0</vt:i4>
      </vt:variant>
      <vt:variant>
        <vt:i4>5</vt:i4>
      </vt:variant>
      <vt:variant>
        <vt:lpwstr/>
      </vt:variant>
      <vt:variant>
        <vt:lpwstr>_Toc158122182</vt:lpwstr>
      </vt:variant>
      <vt:variant>
        <vt:i4>1638458</vt:i4>
      </vt:variant>
      <vt:variant>
        <vt:i4>524</vt:i4>
      </vt:variant>
      <vt:variant>
        <vt:i4>0</vt:i4>
      </vt:variant>
      <vt:variant>
        <vt:i4>5</vt:i4>
      </vt:variant>
      <vt:variant>
        <vt:lpwstr/>
      </vt:variant>
      <vt:variant>
        <vt:lpwstr>_Toc158122181</vt:lpwstr>
      </vt:variant>
      <vt:variant>
        <vt:i4>1638458</vt:i4>
      </vt:variant>
      <vt:variant>
        <vt:i4>518</vt:i4>
      </vt:variant>
      <vt:variant>
        <vt:i4>0</vt:i4>
      </vt:variant>
      <vt:variant>
        <vt:i4>5</vt:i4>
      </vt:variant>
      <vt:variant>
        <vt:lpwstr/>
      </vt:variant>
      <vt:variant>
        <vt:lpwstr>_Toc158122180</vt:lpwstr>
      </vt:variant>
      <vt:variant>
        <vt:i4>1441850</vt:i4>
      </vt:variant>
      <vt:variant>
        <vt:i4>512</vt:i4>
      </vt:variant>
      <vt:variant>
        <vt:i4>0</vt:i4>
      </vt:variant>
      <vt:variant>
        <vt:i4>5</vt:i4>
      </vt:variant>
      <vt:variant>
        <vt:lpwstr/>
      </vt:variant>
      <vt:variant>
        <vt:lpwstr>_Toc158122179</vt:lpwstr>
      </vt:variant>
      <vt:variant>
        <vt:i4>1441850</vt:i4>
      </vt:variant>
      <vt:variant>
        <vt:i4>506</vt:i4>
      </vt:variant>
      <vt:variant>
        <vt:i4>0</vt:i4>
      </vt:variant>
      <vt:variant>
        <vt:i4>5</vt:i4>
      </vt:variant>
      <vt:variant>
        <vt:lpwstr/>
      </vt:variant>
      <vt:variant>
        <vt:lpwstr>_Toc158122178</vt:lpwstr>
      </vt:variant>
      <vt:variant>
        <vt:i4>1441850</vt:i4>
      </vt:variant>
      <vt:variant>
        <vt:i4>500</vt:i4>
      </vt:variant>
      <vt:variant>
        <vt:i4>0</vt:i4>
      </vt:variant>
      <vt:variant>
        <vt:i4>5</vt:i4>
      </vt:variant>
      <vt:variant>
        <vt:lpwstr/>
      </vt:variant>
      <vt:variant>
        <vt:lpwstr>_Toc158122177</vt:lpwstr>
      </vt:variant>
      <vt:variant>
        <vt:i4>1441850</vt:i4>
      </vt:variant>
      <vt:variant>
        <vt:i4>494</vt:i4>
      </vt:variant>
      <vt:variant>
        <vt:i4>0</vt:i4>
      </vt:variant>
      <vt:variant>
        <vt:i4>5</vt:i4>
      </vt:variant>
      <vt:variant>
        <vt:lpwstr/>
      </vt:variant>
      <vt:variant>
        <vt:lpwstr>_Toc158122176</vt:lpwstr>
      </vt:variant>
      <vt:variant>
        <vt:i4>1441850</vt:i4>
      </vt:variant>
      <vt:variant>
        <vt:i4>488</vt:i4>
      </vt:variant>
      <vt:variant>
        <vt:i4>0</vt:i4>
      </vt:variant>
      <vt:variant>
        <vt:i4>5</vt:i4>
      </vt:variant>
      <vt:variant>
        <vt:lpwstr/>
      </vt:variant>
      <vt:variant>
        <vt:lpwstr>_Toc158122175</vt:lpwstr>
      </vt:variant>
      <vt:variant>
        <vt:i4>1441850</vt:i4>
      </vt:variant>
      <vt:variant>
        <vt:i4>482</vt:i4>
      </vt:variant>
      <vt:variant>
        <vt:i4>0</vt:i4>
      </vt:variant>
      <vt:variant>
        <vt:i4>5</vt:i4>
      </vt:variant>
      <vt:variant>
        <vt:lpwstr/>
      </vt:variant>
      <vt:variant>
        <vt:lpwstr>_Toc158122174</vt:lpwstr>
      </vt:variant>
      <vt:variant>
        <vt:i4>1441850</vt:i4>
      </vt:variant>
      <vt:variant>
        <vt:i4>476</vt:i4>
      </vt:variant>
      <vt:variant>
        <vt:i4>0</vt:i4>
      </vt:variant>
      <vt:variant>
        <vt:i4>5</vt:i4>
      </vt:variant>
      <vt:variant>
        <vt:lpwstr/>
      </vt:variant>
      <vt:variant>
        <vt:lpwstr>_Toc158122173</vt:lpwstr>
      </vt:variant>
      <vt:variant>
        <vt:i4>1441850</vt:i4>
      </vt:variant>
      <vt:variant>
        <vt:i4>470</vt:i4>
      </vt:variant>
      <vt:variant>
        <vt:i4>0</vt:i4>
      </vt:variant>
      <vt:variant>
        <vt:i4>5</vt:i4>
      </vt:variant>
      <vt:variant>
        <vt:lpwstr/>
      </vt:variant>
      <vt:variant>
        <vt:lpwstr>_Toc158122172</vt:lpwstr>
      </vt:variant>
      <vt:variant>
        <vt:i4>1441850</vt:i4>
      </vt:variant>
      <vt:variant>
        <vt:i4>464</vt:i4>
      </vt:variant>
      <vt:variant>
        <vt:i4>0</vt:i4>
      </vt:variant>
      <vt:variant>
        <vt:i4>5</vt:i4>
      </vt:variant>
      <vt:variant>
        <vt:lpwstr/>
      </vt:variant>
      <vt:variant>
        <vt:lpwstr>_Toc158122171</vt:lpwstr>
      </vt:variant>
      <vt:variant>
        <vt:i4>1441850</vt:i4>
      </vt:variant>
      <vt:variant>
        <vt:i4>458</vt:i4>
      </vt:variant>
      <vt:variant>
        <vt:i4>0</vt:i4>
      </vt:variant>
      <vt:variant>
        <vt:i4>5</vt:i4>
      </vt:variant>
      <vt:variant>
        <vt:lpwstr/>
      </vt:variant>
      <vt:variant>
        <vt:lpwstr>_Toc158122170</vt:lpwstr>
      </vt:variant>
      <vt:variant>
        <vt:i4>1507386</vt:i4>
      </vt:variant>
      <vt:variant>
        <vt:i4>452</vt:i4>
      </vt:variant>
      <vt:variant>
        <vt:i4>0</vt:i4>
      </vt:variant>
      <vt:variant>
        <vt:i4>5</vt:i4>
      </vt:variant>
      <vt:variant>
        <vt:lpwstr/>
      </vt:variant>
      <vt:variant>
        <vt:lpwstr>_Toc158122169</vt:lpwstr>
      </vt:variant>
      <vt:variant>
        <vt:i4>1507386</vt:i4>
      </vt:variant>
      <vt:variant>
        <vt:i4>446</vt:i4>
      </vt:variant>
      <vt:variant>
        <vt:i4>0</vt:i4>
      </vt:variant>
      <vt:variant>
        <vt:i4>5</vt:i4>
      </vt:variant>
      <vt:variant>
        <vt:lpwstr/>
      </vt:variant>
      <vt:variant>
        <vt:lpwstr>_Toc158122168</vt:lpwstr>
      </vt:variant>
      <vt:variant>
        <vt:i4>1507386</vt:i4>
      </vt:variant>
      <vt:variant>
        <vt:i4>440</vt:i4>
      </vt:variant>
      <vt:variant>
        <vt:i4>0</vt:i4>
      </vt:variant>
      <vt:variant>
        <vt:i4>5</vt:i4>
      </vt:variant>
      <vt:variant>
        <vt:lpwstr/>
      </vt:variant>
      <vt:variant>
        <vt:lpwstr>_Toc158122167</vt:lpwstr>
      </vt:variant>
      <vt:variant>
        <vt:i4>1507386</vt:i4>
      </vt:variant>
      <vt:variant>
        <vt:i4>434</vt:i4>
      </vt:variant>
      <vt:variant>
        <vt:i4>0</vt:i4>
      </vt:variant>
      <vt:variant>
        <vt:i4>5</vt:i4>
      </vt:variant>
      <vt:variant>
        <vt:lpwstr/>
      </vt:variant>
      <vt:variant>
        <vt:lpwstr>_Toc158122166</vt:lpwstr>
      </vt:variant>
      <vt:variant>
        <vt:i4>1507386</vt:i4>
      </vt:variant>
      <vt:variant>
        <vt:i4>428</vt:i4>
      </vt:variant>
      <vt:variant>
        <vt:i4>0</vt:i4>
      </vt:variant>
      <vt:variant>
        <vt:i4>5</vt:i4>
      </vt:variant>
      <vt:variant>
        <vt:lpwstr/>
      </vt:variant>
      <vt:variant>
        <vt:lpwstr>_Toc158122165</vt:lpwstr>
      </vt:variant>
      <vt:variant>
        <vt:i4>1507386</vt:i4>
      </vt:variant>
      <vt:variant>
        <vt:i4>422</vt:i4>
      </vt:variant>
      <vt:variant>
        <vt:i4>0</vt:i4>
      </vt:variant>
      <vt:variant>
        <vt:i4>5</vt:i4>
      </vt:variant>
      <vt:variant>
        <vt:lpwstr/>
      </vt:variant>
      <vt:variant>
        <vt:lpwstr>_Toc158122164</vt:lpwstr>
      </vt:variant>
      <vt:variant>
        <vt:i4>1507386</vt:i4>
      </vt:variant>
      <vt:variant>
        <vt:i4>416</vt:i4>
      </vt:variant>
      <vt:variant>
        <vt:i4>0</vt:i4>
      </vt:variant>
      <vt:variant>
        <vt:i4>5</vt:i4>
      </vt:variant>
      <vt:variant>
        <vt:lpwstr/>
      </vt:variant>
      <vt:variant>
        <vt:lpwstr>_Toc158122163</vt:lpwstr>
      </vt:variant>
      <vt:variant>
        <vt:i4>1507386</vt:i4>
      </vt:variant>
      <vt:variant>
        <vt:i4>410</vt:i4>
      </vt:variant>
      <vt:variant>
        <vt:i4>0</vt:i4>
      </vt:variant>
      <vt:variant>
        <vt:i4>5</vt:i4>
      </vt:variant>
      <vt:variant>
        <vt:lpwstr/>
      </vt:variant>
      <vt:variant>
        <vt:lpwstr>_Toc158122162</vt:lpwstr>
      </vt:variant>
      <vt:variant>
        <vt:i4>1507386</vt:i4>
      </vt:variant>
      <vt:variant>
        <vt:i4>404</vt:i4>
      </vt:variant>
      <vt:variant>
        <vt:i4>0</vt:i4>
      </vt:variant>
      <vt:variant>
        <vt:i4>5</vt:i4>
      </vt:variant>
      <vt:variant>
        <vt:lpwstr/>
      </vt:variant>
      <vt:variant>
        <vt:lpwstr>_Toc158122161</vt:lpwstr>
      </vt:variant>
      <vt:variant>
        <vt:i4>1507386</vt:i4>
      </vt:variant>
      <vt:variant>
        <vt:i4>398</vt:i4>
      </vt:variant>
      <vt:variant>
        <vt:i4>0</vt:i4>
      </vt:variant>
      <vt:variant>
        <vt:i4>5</vt:i4>
      </vt:variant>
      <vt:variant>
        <vt:lpwstr/>
      </vt:variant>
      <vt:variant>
        <vt:lpwstr>_Toc158122160</vt:lpwstr>
      </vt:variant>
      <vt:variant>
        <vt:i4>1310778</vt:i4>
      </vt:variant>
      <vt:variant>
        <vt:i4>392</vt:i4>
      </vt:variant>
      <vt:variant>
        <vt:i4>0</vt:i4>
      </vt:variant>
      <vt:variant>
        <vt:i4>5</vt:i4>
      </vt:variant>
      <vt:variant>
        <vt:lpwstr/>
      </vt:variant>
      <vt:variant>
        <vt:lpwstr>_Toc158122159</vt:lpwstr>
      </vt:variant>
      <vt:variant>
        <vt:i4>1310778</vt:i4>
      </vt:variant>
      <vt:variant>
        <vt:i4>386</vt:i4>
      </vt:variant>
      <vt:variant>
        <vt:i4>0</vt:i4>
      </vt:variant>
      <vt:variant>
        <vt:i4>5</vt:i4>
      </vt:variant>
      <vt:variant>
        <vt:lpwstr/>
      </vt:variant>
      <vt:variant>
        <vt:lpwstr>_Toc158122158</vt:lpwstr>
      </vt:variant>
      <vt:variant>
        <vt:i4>1310778</vt:i4>
      </vt:variant>
      <vt:variant>
        <vt:i4>380</vt:i4>
      </vt:variant>
      <vt:variant>
        <vt:i4>0</vt:i4>
      </vt:variant>
      <vt:variant>
        <vt:i4>5</vt:i4>
      </vt:variant>
      <vt:variant>
        <vt:lpwstr/>
      </vt:variant>
      <vt:variant>
        <vt:lpwstr>_Toc158122157</vt:lpwstr>
      </vt:variant>
      <vt:variant>
        <vt:i4>1310778</vt:i4>
      </vt:variant>
      <vt:variant>
        <vt:i4>374</vt:i4>
      </vt:variant>
      <vt:variant>
        <vt:i4>0</vt:i4>
      </vt:variant>
      <vt:variant>
        <vt:i4>5</vt:i4>
      </vt:variant>
      <vt:variant>
        <vt:lpwstr/>
      </vt:variant>
      <vt:variant>
        <vt:lpwstr>_Toc158122156</vt:lpwstr>
      </vt:variant>
      <vt:variant>
        <vt:i4>1310778</vt:i4>
      </vt:variant>
      <vt:variant>
        <vt:i4>368</vt:i4>
      </vt:variant>
      <vt:variant>
        <vt:i4>0</vt:i4>
      </vt:variant>
      <vt:variant>
        <vt:i4>5</vt:i4>
      </vt:variant>
      <vt:variant>
        <vt:lpwstr/>
      </vt:variant>
      <vt:variant>
        <vt:lpwstr>_Toc158122155</vt:lpwstr>
      </vt:variant>
      <vt:variant>
        <vt:i4>1310778</vt:i4>
      </vt:variant>
      <vt:variant>
        <vt:i4>362</vt:i4>
      </vt:variant>
      <vt:variant>
        <vt:i4>0</vt:i4>
      </vt:variant>
      <vt:variant>
        <vt:i4>5</vt:i4>
      </vt:variant>
      <vt:variant>
        <vt:lpwstr/>
      </vt:variant>
      <vt:variant>
        <vt:lpwstr>_Toc158122154</vt:lpwstr>
      </vt:variant>
      <vt:variant>
        <vt:i4>1310778</vt:i4>
      </vt:variant>
      <vt:variant>
        <vt:i4>356</vt:i4>
      </vt:variant>
      <vt:variant>
        <vt:i4>0</vt:i4>
      </vt:variant>
      <vt:variant>
        <vt:i4>5</vt:i4>
      </vt:variant>
      <vt:variant>
        <vt:lpwstr/>
      </vt:variant>
      <vt:variant>
        <vt:lpwstr>_Toc158122153</vt:lpwstr>
      </vt:variant>
      <vt:variant>
        <vt:i4>1310778</vt:i4>
      </vt:variant>
      <vt:variant>
        <vt:i4>350</vt:i4>
      </vt:variant>
      <vt:variant>
        <vt:i4>0</vt:i4>
      </vt:variant>
      <vt:variant>
        <vt:i4>5</vt:i4>
      </vt:variant>
      <vt:variant>
        <vt:lpwstr/>
      </vt:variant>
      <vt:variant>
        <vt:lpwstr>_Toc158122152</vt:lpwstr>
      </vt:variant>
      <vt:variant>
        <vt:i4>1310778</vt:i4>
      </vt:variant>
      <vt:variant>
        <vt:i4>344</vt:i4>
      </vt:variant>
      <vt:variant>
        <vt:i4>0</vt:i4>
      </vt:variant>
      <vt:variant>
        <vt:i4>5</vt:i4>
      </vt:variant>
      <vt:variant>
        <vt:lpwstr/>
      </vt:variant>
      <vt:variant>
        <vt:lpwstr>_Toc158122151</vt:lpwstr>
      </vt:variant>
      <vt:variant>
        <vt:i4>1310778</vt:i4>
      </vt:variant>
      <vt:variant>
        <vt:i4>338</vt:i4>
      </vt:variant>
      <vt:variant>
        <vt:i4>0</vt:i4>
      </vt:variant>
      <vt:variant>
        <vt:i4>5</vt:i4>
      </vt:variant>
      <vt:variant>
        <vt:lpwstr/>
      </vt:variant>
      <vt:variant>
        <vt:lpwstr>_Toc158122150</vt:lpwstr>
      </vt:variant>
      <vt:variant>
        <vt:i4>1376314</vt:i4>
      </vt:variant>
      <vt:variant>
        <vt:i4>332</vt:i4>
      </vt:variant>
      <vt:variant>
        <vt:i4>0</vt:i4>
      </vt:variant>
      <vt:variant>
        <vt:i4>5</vt:i4>
      </vt:variant>
      <vt:variant>
        <vt:lpwstr/>
      </vt:variant>
      <vt:variant>
        <vt:lpwstr>_Toc158122149</vt:lpwstr>
      </vt:variant>
      <vt:variant>
        <vt:i4>1376314</vt:i4>
      </vt:variant>
      <vt:variant>
        <vt:i4>326</vt:i4>
      </vt:variant>
      <vt:variant>
        <vt:i4>0</vt:i4>
      </vt:variant>
      <vt:variant>
        <vt:i4>5</vt:i4>
      </vt:variant>
      <vt:variant>
        <vt:lpwstr/>
      </vt:variant>
      <vt:variant>
        <vt:lpwstr>_Toc158122148</vt:lpwstr>
      </vt:variant>
      <vt:variant>
        <vt:i4>1376314</vt:i4>
      </vt:variant>
      <vt:variant>
        <vt:i4>320</vt:i4>
      </vt:variant>
      <vt:variant>
        <vt:i4>0</vt:i4>
      </vt:variant>
      <vt:variant>
        <vt:i4>5</vt:i4>
      </vt:variant>
      <vt:variant>
        <vt:lpwstr/>
      </vt:variant>
      <vt:variant>
        <vt:lpwstr>_Toc158122147</vt:lpwstr>
      </vt:variant>
      <vt:variant>
        <vt:i4>1376314</vt:i4>
      </vt:variant>
      <vt:variant>
        <vt:i4>314</vt:i4>
      </vt:variant>
      <vt:variant>
        <vt:i4>0</vt:i4>
      </vt:variant>
      <vt:variant>
        <vt:i4>5</vt:i4>
      </vt:variant>
      <vt:variant>
        <vt:lpwstr/>
      </vt:variant>
      <vt:variant>
        <vt:lpwstr>_Toc158122146</vt:lpwstr>
      </vt:variant>
      <vt:variant>
        <vt:i4>1376314</vt:i4>
      </vt:variant>
      <vt:variant>
        <vt:i4>308</vt:i4>
      </vt:variant>
      <vt:variant>
        <vt:i4>0</vt:i4>
      </vt:variant>
      <vt:variant>
        <vt:i4>5</vt:i4>
      </vt:variant>
      <vt:variant>
        <vt:lpwstr/>
      </vt:variant>
      <vt:variant>
        <vt:lpwstr>_Toc158122145</vt:lpwstr>
      </vt:variant>
      <vt:variant>
        <vt:i4>1376314</vt:i4>
      </vt:variant>
      <vt:variant>
        <vt:i4>302</vt:i4>
      </vt:variant>
      <vt:variant>
        <vt:i4>0</vt:i4>
      </vt:variant>
      <vt:variant>
        <vt:i4>5</vt:i4>
      </vt:variant>
      <vt:variant>
        <vt:lpwstr/>
      </vt:variant>
      <vt:variant>
        <vt:lpwstr>_Toc158122144</vt:lpwstr>
      </vt:variant>
      <vt:variant>
        <vt:i4>1376314</vt:i4>
      </vt:variant>
      <vt:variant>
        <vt:i4>296</vt:i4>
      </vt:variant>
      <vt:variant>
        <vt:i4>0</vt:i4>
      </vt:variant>
      <vt:variant>
        <vt:i4>5</vt:i4>
      </vt:variant>
      <vt:variant>
        <vt:lpwstr/>
      </vt:variant>
      <vt:variant>
        <vt:lpwstr>_Toc158122143</vt:lpwstr>
      </vt:variant>
      <vt:variant>
        <vt:i4>1376314</vt:i4>
      </vt:variant>
      <vt:variant>
        <vt:i4>290</vt:i4>
      </vt:variant>
      <vt:variant>
        <vt:i4>0</vt:i4>
      </vt:variant>
      <vt:variant>
        <vt:i4>5</vt:i4>
      </vt:variant>
      <vt:variant>
        <vt:lpwstr/>
      </vt:variant>
      <vt:variant>
        <vt:lpwstr>_Toc158122142</vt:lpwstr>
      </vt:variant>
      <vt:variant>
        <vt:i4>1376314</vt:i4>
      </vt:variant>
      <vt:variant>
        <vt:i4>284</vt:i4>
      </vt:variant>
      <vt:variant>
        <vt:i4>0</vt:i4>
      </vt:variant>
      <vt:variant>
        <vt:i4>5</vt:i4>
      </vt:variant>
      <vt:variant>
        <vt:lpwstr/>
      </vt:variant>
      <vt:variant>
        <vt:lpwstr>_Toc158122141</vt:lpwstr>
      </vt:variant>
      <vt:variant>
        <vt:i4>1376314</vt:i4>
      </vt:variant>
      <vt:variant>
        <vt:i4>278</vt:i4>
      </vt:variant>
      <vt:variant>
        <vt:i4>0</vt:i4>
      </vt:variant>
      <vt:variant>
        <vt:i4>5</vt:i4>
      </vt:variant>
      <vt:variant>
        <vt:lpwstr/>
      </vt:variant>
      <vt:variant>
        <vt:lpwstr>_Toc158122140</vt:lpwstr>
      </vt:variant>
      <vt:variant>
        <vt:i4>1179706</vt:i4>
      </vt:variant>
      <vt:variant>
        <vt:i4>272</vt:i4>
      </vt:variant>
      <vt:variant>
        <vt:i4>0</vt:i4>
      </vt:variant>
      <vt:variant>
        <vt:i4>5</vt:i4>
      </vt:variant>
      <vt:variant>
        <vt:lpwstr/>
      </vt:variant>
      <vt:variant>
        <vt:lpwstr>_Toc158122139</vt:lpwstr>
      </vt:variant>
      <vt:variant>
        <vt:i4>1179706</vt:i4>
      </vt:variant>
      <vt:variant>
        <vt:i4>266</vt:i4>
      </vt:variant>
      <vt:variant>
        <vt:i4>0</vt:i4>
      </vt:variant>
      <vt:variant>
        <vt:i4>5</vt:i4>
      </vt:variant>
      <vt:variant>
        <vt:lpwstr/>
      </vt:variant>
      <vt:variant>
        <vt:lpwstr>_Toc158122138</vt:lpwstr>
      </vt:variant>
      <vt:variant>
        <vt:i4>1179706</vt:i4>
      </vt:variant>
      <vt:variant>
        <vt:i4>260</vt:i4>
      </vt:variant>
      <vt:variant>
        <vt:i4>0</vt:i4>
      </vt:variant>
      <vt:variant>
        <vt:i4>5</vt:i4>
      </vt:variant>
      <vt:variant>
        <vt:lpwstr/>
      </vt:variant>
      <vt:variant>
        <vt:lpwstr>_Toc158122137</vt:lpwstr>
      </vt:variant>
      <vt:variant>
        <vt:i4>1179706</vt:i4>
      </vt:variant>
      <vt:variant>
        <vt:i4>254</vt:i4>
      </vt:variant>
      <vt:variant>
        <vt:i4>0</vt:i4>
      </vt:variant>
      <vt:variant>
        <vt:i4>5</vt:i4>
      </vt:variant>
      <vt:variant>
        <vt:lpwstr/>
      </vt:variant>
      <vt:variant>
        <vt:lpwstr>_Toc158122136</vt:lpwstr>
      </vt:variant>
      <vt:variant>
        <vt:i4>1179706</vt:i4>
      </vt:variant>
      <vt:variant>
        <vt:i4>248</vt:i4>
      </vt:variant>
      <vt:variant>
        <vt:i4>0</vt:i4>
      </vt:variant>
      <vt:variant>
        <vt:i4>5</vt:i4>
      </vt:variant>
      <vt:variant>
        <vt:lpwstr/>
      </vt:variant>
      <vt:variant>
        <vt:lpwstr>_Toc158122135</vt:lpwstr>
      </vt:variant>
      <vt:variant>
        <vt:i4>1179706</vt:i4>
      </vt:variant>
      <vt:variant>
        <vt:i4>242</vt:i4>
      </vt:variant>
      <vt:variant>
        <vt:i4>0</vt:i4>
      </vt:variant>
      <vt:variant>
        <vt:i4>5</vt:i4>
      </vt:variant>
      <vt:variant>
        <vt:lpwstr/>
      </vt:variant>
      <vt:variant>
        <vt:lpwstr>_Toc158122134</vt:lpwstr>
      </vt:variant>
      <vt:variant>
        <vt:i4>1179706</vt:i4>
      </vt:variant>
      <vt:variant>
        <vt:i4>236</vt:i4>
      </vt:variant>
      <vt:variant>
        <vt:i4>0</vt:i4>
      </vt:variant>
      <vt:variant>
        <vt:i4>5</vt:i4>
      </vt:variant>
      <vt:variant>
        <vt:lpwstr/>
      </vt:variant>
      <vt:variant>
        <vt:lpwstr>_Toc158122133</vt:lpwstr>
      </vt:variant>
      <vt:variant>
        <vt:i4>1179706</vt:i4>
      </vt:variant>
      <vt:variant>
        <vt:i4>230</vt:i4>
      </vt:variant>
      <vt:variant>
        <vt:i4>0</vt:i4>
      </vt:variant>
      <vt:variant>
        <vt:i4>5</vt:i4>
      </vt:variant>
      <vt:variant>
        <vt:lpwstr/>
      </vt:variant>
      <vt:variant>
        <vt:lpwstr>_Toc158122132</vt:lpwstr>
      </vt:variant>
      <vt:variant>
        <vt:i4>1179706</vt:i4>
      </vt:variant>
      <vt:variant>
        <vt:i4>224</vt:i4>
      </vt:variant>
      <vt:variant>
        <vt:i4>0</vt:i4>
      </vt:variant>
      <vt:variant>
        <vt:i4>5</vt:i4>
      </vt:variant>
      <vt:variant>
        <vt:lpwstr/>
      </vt:variant>
      <vt:variant>
        <vt:lpwstr>_Toc158122131</vt:lpwstr>
      </vt:variant>
      <vt:variant>
        <vt:i4>1179706</vt:i4>
      </vt:variant>
      <vt:variant>
        <vt:i4>218</vt:i4>
      </vt:variant>
      <vt:variant>
        <vt:i4>0</vt:i4>
      </vt:variant>
      <vt:variant>
        <vt:i4>5</vt:i4>
      </vt:variant>
      <vt:variant>
        <vt:lpwstr/>
      </vt:variant>
      <vt:variant>
        <vt:lpwstr>_Toc158122130</vt:lpwstr>
      </vt:variant>
      <vt:variant>
        <vt:i4>1245242</vt:i4>
      </vt:variant>
      <vt:variant>
        <vt:i4>212</vt:i4>
      </vt:variant>
      <vt:variant>
        <vt:i4>0</vt:i4>
      </vt:variant>
      <vt:variant>
        <vt:i4>5</vt:i4>
      </vt:variant>
      <vt:variant>
        <vt:lpwstr/>
      </vt:variant>
      <vt:variant>
        <vt:lpwstr>_Toc158122129</vt:lpwstr>
      </vt:variant>
      <vt:variant>
        <vt:i4>1245242</vt:i4>
      </vt:variant>
      <vt:variant>
        <vt:i4>206</vt:i4>
      </vt:variant>
      <vt:variant>
        <vt:i4>0</vt:i4>
      </vt:variant>
      <vt:variant>
        <vt:i4>5</vt:i4>
      </vt:variant>
      <vt:variant>
        <vt:lpwstr/>
      </vt:variant>
      <vt:variant>
        <vt:lpwstr>_Toc158122128</vt:lpwstr>
      </vt:variant>
      <vt:variant>
        <vt:i4>1245242</vt:i4>
      </vt:variant>
      <vt:variant>
        <vt:i4>200</vt:i4>
      </vt:variant>
      <vt:variant>
        <vt:i4>0</vt:i4>
      </vt:variant>
      <vt:variant>
        <vt:i4>5</vt:i4>
      </vt:variant>
      <vt:variant>
        <vt:lpwstr/>
      </vt:variant>
      <vt:variant>
        <vt:lpwstr>_Toc158122127</vt:lpwstr>
      </vt:variant>
      <vt:variant>
        <vt:i4>1245242</vt:i4>
      </vt:variant>
      <vt:variant>
        <vt:i4>194</vt:i4>
      </vt:variant>
      <vt:variant>
        <vt:i4>0</vt:i4>
      </vt:variant>
      <vt:variant>
        <vt:i4>5</vt:i4>
      </vt:variant>
      <vt:variant>
        <vt:lpwstr/>
      </vt:variant>
      <vt:variant>
        <vt:lpwstr>_Toc158122126</vt:lpwstr>
      </vt:variant>
      <vt:variant>
        <vt:i4>1245242</vt:i4>
      </vt:variant>
      <vt:variant>
        <vt:i4>188</vt:i4>
      </vt:variant>
      <vt:variant>
        <vt:i4>0</vt:i4>
      </vt:variant>
      <vt:variant>
        <vt:i4>5</vt:i4>
      </vt:variant>
      <vt:variant>
        <vt:lpwstr/>
      </vt:variant>
      <vt:variant>
        <vt:lpwstr>_Toc158122125</vt:lpwstr>
      </vt:variant>
      <vt:variant>
        <vt:i4>1245242</vt:i4>
      </vt:variant>
      <vt:variant>
        <vt:i4>182</vt:i4>
      </vt:variant>
      <vt:variant>
        <vt:i4>0</vt:i4>
      </vt:variant>
      <vt:variant>
        <vt:i4>5</vt:i4>
      </vt:variant>
      <vt:variant>
        <vt:lpwstr/>
      </vt:variant>
      <vt:variant>
        <vt:lpwstr>_Toc158122124</vt:lpwstr>
      </vt:variant>
      <vt:variant>
        <vt:i4>1245242</vt:i4>
      </vt:variant>
      <vt:variant>
        <vt:i4>176</vt:i4>
      </vt:variant>
      <vt:variant>
        <vt:i4>0</vt:i4>
      </vt:variant>
      <vt:variant>
        <vt:i4>5</vt:i4>
      </vt:variant>
      <vt:variant>
        <vt:lpwstr/>
      </vt:variant>
      <vt:variant>
        <vt:lpwstr>_Toc158122123</vt:lpwstr>
      </vt:variant>
      <vt:variant>
        <vt:i4>1245242</vt:i4>
      </vt:variant>
      <vt:variant>
        <vt:i4>170</vt:i4>
      </vt:variant>
      <vt:variant>
        <vt:i4>0</vt:i4>
      </vt:variant>
      <vt:variant>
        <vt:i4>5</vt:i4>
      </vt:variant>
      <vt:variant>
        <vt:lpwstr/>
      </vt:variant>
      <vt:variant>
        <vt:lpwstr>_Toc158122122</vt:lpwstr>
      </vt:variant>
      <vt:variant>
        <vt:i4>1245242</vt:i4>
      </vt:variant>
      <vt:variant>
        <vt:i4>164</vt:i4>
      </vt:variant>
      <vt:variant>
        <vt:i4>0</vt:i4>
      </vt:variant>
      <vt:variant>
        <vt:i4>5</vt:i4>
      </vt:variant>
      <vt:variant>
        <vt:lpwstr/>
      </vt:variant>
      <vt:variant>
        <vt:lpwstr>_Toc158122121</vt:lpwstr>
      </vt:variant>
      <vt:variant>
        <vt:i4>1245242</vt:i4>
      </vt:variant>
      <vt:variant>
        <vt:i4>158</vt:i4>
      </vt:variant>
      <vt:variant>
        <vt:i4>0</vt:i4>
      </vt:variant>
      <vt:variant>
        <vt:i4>5</vt:i4>
      </vt:variant>
      <vt:variant>
        <vt:lpwstr/>
      </vt:variant>
      <vt:variant>
        <vt:lpwstr>_Toc158122120</vt:lpwstr>
      </vt:variant>
      <vt:variant>
        <vt:i4>1048634</vt:i4>
      </vt:variant>
      <vt:variant>
        <vt:i4>152</vt:i4>
      </vt:variant>
      <vt:variant>
        <vt:i4>0</vt:i4>
      </vt:variant>
      <vt:variant>
        <vt:i4>5</vt:i4>
      </vt:variant>
      <vt:variant>
        <vt:lpwstr/>
      </vt:variant>
      <vt:variant>
        <vt:lpwstr>_Toc158122119</vt:lpwstr>
      </vt:variant>
      <vt:variant>
        <vt:i4>1048634</vt:i4>
      </vt:variant>
      <vt:variant>
        <vt:i4>146</vt:i4>
      </vt:variant>
      <vt:variant>
        <vt:i4>0</vt:i4>
      </vt:variant>
      <vt:variant>
        <vt:i4>5</vt:i4>
      </vt:variant>
      <vt:variant>
        <vt:lpwstr/>
      </vt:variant>
      <vt:variant>
        <vt:lpwstr>_Toc158122118</vt:lpwstr>
      </vt:variant>
      <vt:variant>
        <vt:i4>1048634</vt:i4>
      </vt:variant>
      <vt:variant>
        <vt:i4>140</vt:i4>
      </vt:variant>
      <vt:variant>
        <vt:i4>0</vt:i4>
      </vt:variant>
      <vt:variant>
        <vt:i4>5</vt:i4>
      </vt:variant>
      <vt:variant>
        <vt:lpwstr/>
      </vt:variant>
      <vt:variant>
        <vt:lpwstr>_Toc158122117</vt:lpwstr>
      </vt:variant>
      <vt:variant>
        <vt:i4>1048634</vt:i4>
      </vt:variant>
      <vt:variant>
        <vt:i4>134</vt:i4>
      </vt:variant>
      <vt:variant>
        <vt:i4>0</vt:i4>
      </vt:variant>
      <vt:variant>
        <vt:i4>5</vt:i4>
      </vt:variant>
      <vt:variant>
        <vt:lpwstr/>
      </vt:variant>
      <vt:variant>
        <vt:lpwstr>_Toc158122116</vt:lpwstr>
      </vt:variant>
      <vt:variant>
        <vt:i4>1048634</vt:i4>
      </vt:variant>
      <vt:variant>
        <vt:i4>128</vt:i4>
      </vt:variant>
      <vt:variant>
        <vt:i4>0</vt:i4>
      </vt:variant>
      <vt:variant>
        <vt:i4>5</vt:i4>
      </vt:variant>
      <vt:variant>
        <vt:lpwstr/>
      </vt:variant>
      <vt:variant>
        <vt:lpwstr>_Toc158122115</vt:lpwstr>
      </vt:variant>
      <vt:variant>
        <vt:i4>1048634</vt:i4>
      </vt:variant>
      <vt:variant>
        <vt:i4>122</vt:i4>
      </vt:variant>
      <vt:variant>
        <vt:i4>0</vt:i4>
      </vt:variant>
      <vt:variant>
        <vt:i4>5</vt:i4>
      </vt:variant>
      <vt:variant>
        <vt:lpwstr/>
      </vt:variant>
      <vt:variant>
        <vt:lpwstr>_Toc158122114</vt:lpwstr>
      </vt:variant>
      <vt:variant>
        <vt:i4>1048634</vt:i4>
      </vt:variant>
      <vt:variant>
        <vt:i4>116</vt:i4>
      </vt:variant>
      <vt:variant>
        <vt:i4>0</vt:i4>
      </vt:variant>
      <vt:variant>
        <vt:i4>5</vt:i4>
      </vt:variant>
      <vt:variant>
        <vt:lpwstr/>
      </vt:variant>
      <vt:variant>
        <vt:lpwstr>_Toc158122113</vt:lpwstr>
      </vt:variant>
      <vt:variant>
        <vt:i4>1048634</vt:i4>
      </vt:variant>
      <vt:variant>
        <vt:i4>110</vt:i4>
      </vt:variant>
      <vt:variant>
        <vt:i4>0</vt:i4>
      </vt:variant>
      <vt:variant>
        <vt:i4>5</vt:i4>
      </vt:variant>
      <vt:variant>
        <vt:lpwstr/>
      </vt:variant>
      <vt:variant>
        <vt:lpwstr>_Toc158122112</vt:lpwstr>
      </vt:variant>
      <vt:variant>
        <vt:i4>1048634</vt:i4>
      </vt:variant>
      <vt:variant>
        <vt:i4>104</vt:i4>
      </vt:variant>
      <vt:variant>
        <vt:i4>0</vt:i4>
      </vt:variant>
      <vt:variant>
        <vt:i4>5</vt:i4>
      </vt:variant>
      <vt:variant>
        <vt:lpwstr/>
      </vt:variant>
      <vt:variant>
        <vt:lpwstr>_Toc158122111</vt:lpwstr>
      </vt:variant>
      <vt:variant>
        <vt:i4>1048634</vt:i4>
      </vt:variant>
      <vt:variant>
        <vt:i4>98</vt:i4>
      </vt:variant>
      <vt:variant>
        <vt:i4>0</vt:i4>
      </vt:variant>
      <vt:variant>
        <vt:i4>5</vt:i4>
      </vt:variant>
      <vt:variant>
        <vt:lpwstr/>
      </vt:variant>
      <vt:variant>
        <vt:lpwstr>_Toc158122110</vt:lpwstr>
      </vt:variant>
      <vt:variant>
        <vt:i4>1114170</vt:i4>
      </vt:variant>
      <vt:variant>
        <vt:i4>92</vt:i4>
      </vt:variant>
      <vt:variant>
        <vt:i4>0</vt:i4>
      </vt:variant>
      <vt:variant>
        <vt:i4>5</vt:i4>
      </vt:variant>
      <vt:variant>
        <vt:lpwstr/>
      </vt:variant>
      <vt:variant>
        <vt:lpwstr>_Toc158122109</vt:lpwstr>
      </vt:variant>
      <vt:variant>
        <vt:i4>1114170</vt:i4>
      </vt:variant>
      <vt:variant>
        <vt:i4>86</vt:i4>
      </vt:variant>
      <vt:variant>
        <vt:i4>0</vt:i4>
      </vt:variant>
      <vt:variant>
        <vt:i4>5</vt:i4>
      </vt:variant>
      <vt:variant>
        <vt:lpwstr/>
      </vt:variant>
      <vt:variant>
        <vt:lpwstr>_Toc158122108</vt:lpwstr>
      </vt:variant>
      <vt:variant>
        <vt:i4>1114170</vt:i4>
      </vt:variant>
      <vt:variant>
        <vt:i4>80</vt:i4>
      </vt:variant>
      <vt:variant>
        <vt:i4>0</vt:i4>
      </vt:variant>
      <vt:variant>
        <vt:i4>5</vt:i4>
      </vt:variant>
      <vt:variant>
        <vt:lpwstr/>
      </vt:variant>
      <vt:variant>
        <vt:lpwstr>_Toc158122107</vt:lpwstr>
      </vt:variant>
      <vt:variant>
        <vt:i4>1114170</vt:i4>
      </vt:variant>
      <vt:variant>
        <vt:i4>74</vt:i4>
      </vt:variant>
      <vt:variant>
        <vt:i4>0</vt:i4>
      </vt:variant>
      <vt:variant>
        <vt:i4>5</vt:i4>
      </vt:variant>
      <vt:variant>
        <vt:lpwstr/>
      </vt:variant>
      <vt:variant>
        <vt:lpwstr>_Toc158122106</vt:lpwstr>
      </vt:variant>
      <vt:variant>
        <vt:i4>1114170</vt:i4>
      </vt:variant>
      <vt:variant>
        <vt:i4>68</vt:i4>
      </vt:variant>
      <vt:variant>
        <vt:i4>0</vt:i4>
      </vt:variant>
      <vt:variant>
        <vt:i4>5</vt:i4>
      </vt:variant>
      <vt:variant>
        <vt:lpwstr/>
      </vt:variant>
      <vt:variant>
        <vt:lpwstr>_Toc158122105</vt:lpwstr>
      </vt:variant>
      <vt:variant>
        <vt:i4>1114170</vt:i4>
      </vt:variant>
      <vt:variant>
        <vt:i4>62</vt:i4>
      </vt:variant>
      <vt:variant>
        <vt:i4>0</vt:i4>
      </vt:variant>
      <vt:variant>
        <vt:i4>5</vt:i4>
      </vt:variant>
      <vt:variant>
        <vt:lpwstr/>
      </vt:variant>
      <vt:variant>
        <vt:lpwstr>_Toc158122104</vt:lpwstr>
      </vt:variant>
      <vt:variant>
        <vt:i4>1114170</vt:i4>
      </vt:variant>
      <vt:variant>
        <vt:i4>56</vt:i4>
      </vt:variant>
      <vt:variant>
        <vt:i4>0</vt:i4>
      </vt:variant>
      <vt:variant>
        <vt:i4>5</vt:i4>
      </vt:variant>
      <vt:variant>
        <vt:lpwstr/>
      </vt:variant>
      <vt:variant>
        <vt:lpwstr>_Toc158122103</vt:lpwstr>
      </vt:variant>
      <vt:variant>
        <vt:i4>1114170</vt:i4>
      </vt:variant>
      <vt:variant>
        <vt:i4>50</vt:i4>
      </vt:variant>
      <vt:variant>
        <vt:i4>0</vt:i4>
      </vt:variant>
      <vt:variant>
        <vt:i4>5</vt:i4>
      </vt:variant>
      <vt:variant>
        <vt:lpwstr/>
      </vt:variant>
      <vt:variant>
        <vt:lpwstr>_Toc158122102</vt:lpwstr>
      </vt:variant>
      <vt:variant>
        <vt:i4>1114170</vt:i4>
      </vt:variant>
      <vt:variant>
        <vt:i4>44</vt:i4>
      </vt:variant>
      <vt:variant>
        <vt:i4>0</vt:i4>
      </vt:variant>
      <vt:variant>
        <vt:i4>5</vt:i4>
      </vt:variant>
      <vt:variant>
        <vt:lpwstr/>
      </vt:variant>
      <vt:variant>
        <vt:lpwstr>_Toc158122101</vt:lpwstr>
      </vt:variant>
      <vt:variant>
        <vt:i4>1114170</vt:i4>
      </vt:variant>
      <vt:variant>
        <vt:i4>38</vt:i4>
      </vt:variant>
      <vt:variant>
        <vt:i4>0</vt:i4>
      </vt:variant>
      <vt:variant>
        <vt:i4>5</vt:i4>
      </vt:variant>
      <vt:variant>
        <vt:lpwstr/>
      </vt:variant>
      <vt:variant>
        <vt:lpwstr>_Toc158122100</vt:lpwstr>
      </vt:variant>
      <vt:variant>
        <vt:i4>1572923</vt:i4>
      </vt:variant>
      <vt:variant>
        <vt:i4>32</vt:i4>
      </vt:variant>
      <vt:variant>
        <vt:i4>0</vt:i4>
      </vt:variant>
      <vt:variant>
        <vt:i4>5</vt:i4>
      </vt:variant>
      <vt:variant>
        <vt:lpwstr/>
      </vt:variant>
      <vt:variant>
        <vt:lpwstr>_Toc158122099</vt:lpwstr>
      </vt:variant>
      <vt:variant>
        <vt:i4>1572923</vt:i4>
      </vt:variant>
      <vt:variant>
        <vt:i4>26</vt:i4>
      </vt:variant>
      <vt:variant>
        <vt:i4>0</vt:i4>
      </vt:variant>
      <vt:variant>
        <vt:i4>5</vt:i4>
      </vt:variant>
      <vt:variant>
        <vt:lpwstr/>
      </vt:variant>
      <vt:variant>
        <vt:lpwstr>_Toc158122098</vt:lpwstr>
      </vt:variant>
      <vt:variant>
        <vt:i4>1572923</vt:i4>
      </vt:variant>
      <vt:variant>
        <vt:i4>20</vt:i4>
      </vt:variant>
      <vt:variant>
        <vt:i4>0</vt:i4>
      </vt:variant>
      <vt:variant>
        <vt:i4>5</vt:i4>
      </vt:variant>
      <vt:variant>
        <vt:lpwstr/>
      </vt:variant>
      <vt:variant>
        <vt:lpwstr>_Toc158122097</vt:lpwstr>
      </vt:variant>
      <vt:variant>
        <vt:i4>1572923</vt:i4>
      </vt:variant>
      <vt:variant>
        <vt:i4>14</vt:i4>
      </vt:variant>
      <vt:variant>
        <vt:i4>0</vt:i4>
      </vt:variant>
      <vt:variant>
        <vt:i4>5</vt:i4>
      </vt:variant>
      <vt:variant>
        <vt:lpwstr/>
      </vt:variant>
      <vt:variant>
        <vt:lpwstr>_Toc158122096</vt:lpwstr>
      </vt:variant>
      <vt:variant>
        <vt:i4>1572923</vt:i4>
      </vt:variant>
      <vt:variant>
        <vt:i4>8</vt:i4>
      </vt:variant>
      <vt:variant>
        <vt:i4>0</vt:i4>
      </vt:variant>
      <vt:variant>
        <vt:i4>5</vt:i4>
      </vt:variant>
      <vt:variant>
        <vt:lpwstr/>
      </vt:variant>
      <vt:variant>
        <vt:lpwstr>_Toc158122095</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1376331</vt:i4>
      </vt:variant>
      <vt:variant>
        <vt:i4>801</vt:i4>
      </vt:variant>
      <vt:variant>
        <vt:i4>0</vt:i4>
      </vt:variant>
      <vt:variant>
        <vt:i4>5</vt:i4>
      </vt:variant>
      <vt:variant>
        <vt:lpwstr>https://www.education.gov.au/australian-universities-accord/consultations/consultation-interim-report</vt:lpwstr>
      </vt:variant>
      <vt:variant>
        <vt:lpwstr/>
      </vt:variant>
      <vt:variant>
        <vt:i4>3145840</vt:i4>
      </vt:variant>
      <vt:variant>
        <vt:i4>798</vt:i4>
      </vt:variant>
      <vt:variant>
        <vt:i4>0</vt:i4>
      </vt:variant>
      <vt:variant>
        <vt:i4>5</vt:i4>
      </vt:variant>
      <vt:variant>
        <vt:lpwstr>https://www.education.gov.au/australian-universities-accord/consultations/consultation-discussion-paper</vt:lpwstr>
      </vt:variant>
      <vt:variant>
        <vt:lpwstr/>
      </vt:variant>
      <vt:variant>
        <vt:i4>4521988</vt:i4>
      </vt:variant>
      <vt:variant>
        <vt:i4>795</vt:i4>
      </vt:variant>
      <vt:variant>
        <vt:i4>0</vt:i4>
      </vt:variant>
      <vt:variant>
        <vt:i4>5</vt:i4>
      </vt:variant>
      <vt:variant>
        <vt:lpwstr>https://www.education.gov.au/australian-universities-accord/resources/australian-universities-accord-discussion-paper-submission-analysis</vt:lpwstr>
      </vt:variant>
      <vt:variant>
        <vt:lpwstr/>
      </vt:variant>
      <vt:variant>
        <vt:i4>1376334</vt:i4>
      </vt:variant>
      <vt:variant>
        <vt:i4>792</vt:i4>
      </vt:variant>
      <vt:variant>
        <vt:i4>0</vt:i4>
      </vt:variant>
      <vt:variant>
        <vt:i4>5</vt:i4>
      </vt:variant>
      <vt:variant>
        <vt:lpwstr>https://www.education.gov.au/australian-universities-accord/consultations/higher-education-review</vt:lpwstr>
      </vt:variant>
      <vt:variant>
        <vt:lpwstr/>
      </vt:variant>
      <vt:variant>
        <vt:i4>5898318</vt:i4>
      </vt:variant>
      <vt:variant>
        <vt:i4>789</vt:i4>
      </vt:variant>
      <vt:variant>
        <vt:i4>0</vt:i4>
      </vt:variant>
      <vt:variant>
        <vt:i4>5</vt:i4>
      </vt:variant>
      <vt:variant>
        <vt:lpwstr>https://www.education.gov.au/australian-universities-accord/resources/nous-group-consultation-report</vt:lpwstr>
      </vt:variant>
      <vt:variant>
        <vt:lpwstr/>
      </vt:variant>
      <vt:variant>
        <vt:i4>2293818</vt:i4>
      </vt:variant>
      <vt:variant>
        <vt:i4>786</vt:i4>
      </vt:variant>
      <vt:variant>
        <vt:i4>0</vt:i4>
      </vt:variant>
      <vt:variant>
        <vt:i4>5</vt:i4>
      </vt:variant>
      <vt:variant>
        <vt:lpwstr>https://www.theaustralian.com.au/commentary/universities-should-pay-levy-on-foreign-student-industry‌/‌news-story/57c14ca00cd248774e24b51f1c8ad80d</vt:lpwstr>
      </vt:variant>
      <vt:variant>
        <vt:lpwstr/>
      </vt:variant>
      <vt:variant>
        <vt:i4>7798838</vt:i4>
      </vt:variant>
      <vt:variant>
        <vt:i4>783</vt:i4>
      </vt:variant>
      <vt:variant>
        <vt:i4>0</vt:i4>
      </vt:variant>
      <vt:variant>
        <vt:i4>5</vt:i4>
      </vt:variant>
      <vt:variant>
        <vt:lpwstr>https://parlinfo.aph.gov.au/parlInfo/search/display/display.w3p;query=Id%3A%22legislation%2Fems%2Fr6390_ems_53e96fa8-8d78-471d-b6b5-266e4e93871a%22</vt:lpwstr>
      </vt:variant>
      <vt:variant>
        <vt:lpwstr/>
      </vt:variant>
      <vt:variant>
        <vt:i4>5636098</vt:i4>
      </vt:variant>
      <vt:variant>
        <vt:i4>780</vt:i4>
      </vt:variant>
      <vt:variant>
        <vt:i4>0</vt:i4>
      </vt:variant>
      <vt:variant>
        <vt:i4>5</vt:i4>
      </vt:variant>
      <vt:variant>
        <vt:lpwstr>https://techtransfer.org.au/scopr-2022-public-research-powers-ahead-on-commercialisation/</vt:lpwstr>
      </vt:variant>
      <vt:variant>
        <vt:lpwstr/>
      </vt:variant>
      <vt:variant>
        <vt:i4>6291582</vt:i4>
      </vt:variant>
      <vt:variant>
        <vt:i4>777</vt:i4>
      </vt:variant>
      <vt:variant>
        <vt:i4>0</vt:i4>
      </vt:variant>
      <vt:variant>
        <vt:i4>5</vt:i4>
      </vt:variant>
      <vt:variant>
        <vt:lpwstr>https://grattan.edu.au/wp-content/uploads/2015/10/831-Cash-nexus-report.pdf</vt:lpwstr>
      </vt:variant>
      <vt:variant>
        <vt:lpwstr/>
      </vt:variant>
      <vt:variant>
        <vt:i4>3080246</vt:i4>
      </vt:variant>
      <vt:variant>
        <vt:i4>774</vt:i4>
      </vt:variant>
      <vt:variant>
        <vt:i4>0</vt:i4>
      </vt:variant>
      <vt:variant>
        <vt:i4>5</vt:i4>
      </vt:variant>
      <vt:variant>
        <vt:lpwstr>https://www.education.gov.au/higher-education-publications/resources/2022-transparency-higher-education-expenditure-publication</vt:lpwstr>
      </vt:variant>
      <vt:variant>
        <vt:lpwstr/>
      </vt:variant>
      <vt:variant>
        <vt:i4>3407993</vt:i4>
      </vt:variant>
      <vt:variant>
        <vt:i4>771</vt:i4>
      </vt:variant>
      <vt:variant>
        <vt:i4>0</vt:i4>
      </vt:variant>
      <vt:variant>
        <vt:i4>5</vt:i4>
      </vt:variant>
      <vt:variant>
        <vt:lpwstr>https://www.education.gov.au/higher-education-publications/finance-publication</vt:lpwstr>
      </vt:variant>
      <vt:variant>
        <vt:lpwstr/>
      </vt:variant>
      <vt:variant>
        <vt:i4>5046352</vt:i4>
      </vt:variant>
      <vt:variant>
        <vt:i4>768</vt:i4>
      </vt:variant>
      <vt:variant>
        <vt:i4>0</vt:i4>
      </vt:variant>
      <vt:variant>
        <vt:i4>5</vt:i4>
      </vt:variant>
      <vt:variant>
        <vt:lpwstr>https://www.education.gov.au/higher-education-reviews-and-consultations/resources/review-demand-driven-funding-system-report</vt:lpwstr>
      </vt:variant>
      <vt:variant>
        <vt:lpwstr/>
      </vt:variant>
      <vt:variant>
        <vt:i4>1179691</vt:i4>
      </vt:variant>
      <vt:variant>
        <vt:i4>765</vt:i4>
      </vt:variant>
      <vt:variant>
        <vt:i4>0</vt:i4>
      </vt:variant>
      <vt:variant>
        <vt:i4>5</vt:i4>
      </vt:variant>
      <vt:variant>
        <vt:lpwstr>https://universitiesaustralia.edu.au/wp-content/uploads/2022/09/220207-HE-Facts-and-Figures-2022_2.0.pdf</vt:lpwstr>
      </vt:variant>
      <vt:variant>
        <vt:lpwstr/>
      </vt:variant>
      <vt:variant>
        <vt:i4>3407993</vt:i4>
      </vt:variant>
      <vt:variant>
        <vt:i4>762</vt:i4>
      </vt:variant>
      <vt:variant>
        <vt:i4>0</vt:i4>
      </vt:variant>
      <vt:variant>
        <vt:i4>5</vt:i4>
      </vt:variant>
      <vt:variant>
        <vt:lpwstr>https://www.education.gov.au/higher-education-publications/finance-publication</vt:lpwstr>
      </vt:variant>
      <vt:variant>
        <vt:lpwstr/>
      </vt:variant>
      <vt:variant>
        <vt:i4>3407993</vt:i4>
      </vt:variant>
      <vt:variant>
        <vt:i4>759</vt:i4>
      </vt:variant>
      <vt:variant>
        <vt:i4>0</vt:i4>
      </vt:variant>
      <vt:variant>
        <vt:i4>5</vt:i4>
      </vt:variant>
      <vt:variant>
        <vt:lpwstr>https://www.education.gov.au/higher-education-publications/finance-publication</vt:lpwstr>
      </vt:variant>
      <vt:variant>
        <vt:lpwstr/>
      </vt:variant>
      <vt:variant>
        <vt:i4>3407993</vt:i4>
      </vt:variant>
      <vt:variant>
        <vt:i4>756</vt:i4>
      </vt:variant>
      <vt:variant>
        <vt:i4>0</vt:i4>
      </vt:variant>
      <vt:variant>
        <vt:i4>5</vt:i4>
      </vt:variant>
      <vt:variant>
        <vt:lpwstr>https://www.education.gov.au/higher-education-publications/finance-publication</vt:lpwstr>
      </vt:variant>
      <vt:variant>
        <vt:lpwstr/>
      </vt:variant>
      <vt:variant>
        <vt:i4>1703951</vt:i4>
      </vt:variant>
      <vt:variant>
        <vt:i4>753</vt:i4>
      </vt:variant>
      <vt:variant>
        <vt:i4>0</vt:i4>
      </vt:variant>
      <vt:variant>
        <vt:i4>5</vt:i4>
      </vt:variant>
      <vt:variant>
        <vt:lpwstr>https://www.theage.com.au/national/victoria/victorian-universities-deep-in-the-red-as-overseas-student-numbers-stay-low-20230502-p5d50b.html</vt:lpwstr>
      </vt:variant>
      <vt:variant>
        <vt:lpwstr/>
      </vt:variant>
      <vt:variant>
        <vt:i4>2883702</vt:i4>
      </vt:variant>
      <vt:variant>
        <vt:i4>750</vt:i4>
      </vt:variant>
      <vt:variant>
        <vt:i4>0</vt:i4>
      </vt:variant>
      <vt:variant>
        <vt:i4>5</vt:i4>
      </vt:variant>
      <vt:variant>
        <vt:lpwstr>https://www.smh.com.au/national/nsw/all-but-one-of-the-state-s-universities-are-losing-money-as-student-numbers-shrink-20230531-p5dcto.html</vt:lpwstr>
      </vt:variant>
      <vt:variant>
        <vt:lpwstr/>
      </vt:variant>
      <vt:variant>
        <vt:i4>3407993</vt:i4>
      </vt:variant>
      <vt:variant>
        <vt:i4>747</vt:i4>
      </vt:variant>
      <vt:variant>
        <vt:i4>0</vt:i4>
      </vt:variant>
      <vt:variant>
        <vt:i4>5</vt:i4>
      </vt:variant>
      <vt:variant>
        <vt:lpwstr>https://www.education.gov.au/higher-education-publications/finance-publication</vt:lpwstr>
      </vt:variant>
      <vt:variant>
        <vt:lpwstr/>
      </vt:variant>
      <vt:variant>
        <vt:i4>6291570</vt:i4>
      </vt:variant>
      <vt:variant>
        <vt:i4>744</vt:i4>
      </vt:variant>
      <vt:variant>
        <vt:i4>0</vt:i4>
      </vt:variant>
      <vt:variant>
        <vt:i4>5</vt:i4>
      </vt:variant>
      <vt:variant>
        <vt:lpwstr>https://www.une.edu.au/about-une/annual-reports</vt:lpwstr>
      </vt:variant>
      <vt:variant>
        <vt:lpwstr/>
      </vt:variant>
      <vt:variant>
        <vt:i4>2949236</vt:i4>
      </vt:variant>
      <vt:variant>
        <vt:i4>741</vt:i4>
      </vt:variant>
      <vt:variant>
        <vt:i4>0</vt:i4>
      </vt:variant>
      <vt:variant>
        <vt:i4>5</vt:i4>
      </vt:variant>
      <vt:variant>
        <vt:lpwstr>https://www.energy.gov.au/government-priorities/australias-energy-strategies-and-frameworks/powering-australia</vt:lpwstr>
      </vt:variant>
      <vt:variant>
        <vt:lpwstr/>
      </vt:variant>
      <vt:variant>
        <vt:i4>1310749</vt:i4>
      </vt:variant>
      <vt:variant>
        <vt:i4>738</vt:i4>
      </vt:variant>
      <vt:variant>
        <vt:i4>0</vt:i4>
      </vt:variant>
      <vt:variant>
        <vt:i4>5</vt:i4>
      </vt:variant>
      <vt:variant>
        <vt:lpwstr>https://www.cqu.edu.au/news/842769/new-rockhampton-cquniversity-facility-to-support-future-training-needs-of-resources-sector</vt:lpwstr>
      </vt:variant>
      <vt:variant>
        <vt:lpwstr/>
      </vt:variant>
      <vt:variant>
        <vt:i4>1572935</vt:i4>
      </vt:variant>
      <vt:variant>
        <vt:i4>735</vt:i4>
      </vt:variant>
      <vt:variant>
        <vt:i4>0</vt:i4>
      </vt:variant>
      <vt:variant>
        <vt:i4>5</vt:i4>
      </vt:variant>
      <vt:variant>
        <vt:lpwstr>https://www.iteca.edu.au/state-of-sector</vt:lpwstr>
      </vt:variant>
      <vt:variant>
        <vt:lpwstr/>
      </vt:variant>
      <vt:variant>
        <vt:i4>4849734</vt:i4>
      </vt:variant>
      <vt:variant>
        <vt:i4>732</vt:i4>
      </vt:variant>
      <vt:variant>
        <vt:i4>0</vt:i4>
      </vt:variant>
      <vt:variant>
        <vt:i4>5</vt:i4>
      </vt:variant>
      <vt:variant>
        <vt:lpwstr>https://doi.org/10.5204/ssj.2313</vt:lpwstr>
      </vt:variant>
      <vt:variant>
        <vt:lpwstr/>
      </vt:variant>
      <vt:variant>
        <vt:i4>4194328</vt:i4>
      </vt:variant>
      <vt:variant>
        <vt:i4>729</vt:i4>
      </vt:variant>
      <vt:variant>
        <vt:i4>0</vt:i4>
      </vt:variant>
      <vt:variant>
        <vt:i4>5</vt:i4>
      </vt:variant>
      <vt:variant>
        <vt:lpwstr>https://www.vu.edu.au/mitchell-institute/education/tertiary-education/needs-based-funding-lessons-from-the-school-sector</vt:lpwstr>
      </vt:variant>
      <vt:variant>
        <vt:lpwstr/>
      </vt:variant>
      <vt:variant>
        <vt:i4>1900667</vt:i4>
      </vt:variant>
      <vt:variant>
        <vt:i4>726</vt:i4>
      </vt:variant>
      <vt:variant>
        <vt:i4>0</vt:i4>
      </vt:variant>
      <vt:variant>
        <vt:i4>5</vt:i4>
      </vt:variant>
      <vt:variant>
        <vt:lpwstr>https://www.education.gov.au/system/files/2023-09/AUA_inter_tranche11_246 University of New England.pdf</vt:lpwstr>
      </vt:variant>
      <vt:variant>
        <vt:lpwstr/>
      </vt:variant>
      <vt:variant>
        <vt:i4>4980810</vt:i4>
      </vt:variant>
      <vt:variant>
        <vt:i4>714</vt:i4>
      </vt:variant>
      <vt:variant>
        <vt:i4>0</vt:i4>
      </vt:variant>
      <vt:variant>
        <vt:i4>5</vt:i4>
      </vt:variant>
      <vt:variant>
        <vt:lpwstr>https://medicaldeans.org.au/</vt:lpwstr>
      </vt:variant>
      <vt:variant>
        <vt:lpwstr/>
      </vt:variant>
      <vt:variant>
        <vt:i4>1507332</vt:i4>
      </vt:variant>
      <vt:variant>
        <vt:i4>711</vt:i4>
      </vt:variant>
      <vt:variant>
        <vt:i4>0</vt:i4>
      </vt:variant>
      <vt:variant>
        <vt:i4>5</vt:i4>
      </vt:variant>
      <vt:variant>
        <vt:lpwstr>https://doi.org/10.22605/RRH1908</vt:lpwstr>
      </vt:variant>
      <vt:variant>
        <vt:lpwstr/>
      </vt:variant>
      <vt:variant>
        <vt:i4>1179726</vt:i4>
      </vt:variant>
      <vt:variant>
        <vt:i4>708</vt:i4>
      </vt:variant>
      <vt:variant>
        <vt:i4>0</vt:i4>
      </vt:variant>
      <vt:variant>
        <vt:i4>5</vt:i4>
      </vt:variant>
      <vt:variant>
        <vt:lpwstr>https://www.racgp.org.au/getmedia/80c8bdc9-8886-4055-8a8d-ea793b088e5a/Health-of-the-Nation.pdf.aspx</vt:lpwstr>
      </vt:variant>
      <vt:variant>
        <vt:lpwstr/>
      </vt:variant>
      <vt:variant>
        <vt:i4>1769538</vt:i4>
      </vt:variant>
      <vt:variant>
        <vt:i4>705</vt:i4>
      </vt:variant>
      <vt:variant>
        <vt:i4>0</vt:i4>
      </vt:variant>
      <vt:variant>
        <vt:i4>5</vt:i4>
      </vt:variant>
      <vt:variant>
        <vt:lpwstr>https://www.who.int/publications/i/item/9789240024229</vt:lpwstr>
      </vt:variant>
      <vt:variant>
        <vt:lpwstr/>
      </vt:variant>
      <vt:variant>
        <vt:i4>7340155</vt:i4>
      </vt:variant>
      <vt:variant>
        <vt:i4>702</vt:i4>
      </vt:variant>
      <vt:variant>
        <vt:i4>0</vt:i4>
      </vt:variant>
      <vt:variant>
        <vt:i4>5</vt:i4>
      </vt:variant>
      <vt:variant>
        <vt:lpwstr>https://doi.org/10.5694/mja2.52033</vt:lpwstr>
      </vt:variant>
      <vt:variant>
        <vt:lpwstr/>
      </vt:variant>
      <vt:variant>
        <vt:i4>5505090</vt:i4>
      </vt:variant>
      <vt:variant>
        <vt:i4>699</vt:i4>
      </vt:variant>
      <vt:variant>
        <vt:i4>0</vt:i4>
      </vt:variant>
      <vt:variant>
        <vt:i4>5</vt:i4>
      </vt:variant>
      <vt:variant>
        <vt:lpwstr>https://www.batchelor.edu.au/portfolio/advanced-diploma-of-education-success/</vt:lpwstr>
      </vt:variant>
      <vt:variant>
        <vt:lpwstr/>
      </vt:variant>
      <vt:variant>
        <vt:i4>5767256</vt:i4>
      </vt:variant>
      <vt:variant>
        <vt:i4>696</vt:i4>
      </vt:variant>
      <vt:variant>
        <vt:i4>0</vt:i4>
      </vt:variant>
      <vt:variant>
        <vt:i4>5</vt:i4>
      </vt:variant>
      <vt:variant>
        <vt:lpwstr>https://study.csu.edu.au/career-area/education-teaching/teachers-aide</vt:lpwstr>
      </vt:variant>
      <vt:variant>
        <vt:lpwstr/>
      </vt:variant>
      <vt:variant>
        <vt:i4>1245192</vt:i4>
      </vt:variant>
      <vt:variant>
        <vt:i4>693</vt:i4>
      </vt:variant>
      <vt:variant>
        <vt:i4>0</vt:i4>
      </vt:variant>
      <vt:variant>
        <vt:i4>5</vt:i4>
      </vt:variant>
      <vt:variant>
        <vt:lpwstr>https://www.education.gov.au/system/files/documents/submission-file/2023-04/AUA_tranche1_Regional Universities Network.pdf</vt:lpwstr>
      </vt:variant>
      <vt:variant>
        <vt:lpwstr/>
      </vt:variant>
      <vt:variant>
        <vt:i4>786499</vt:i4>
      </vt:variant>
      <vt:variant>
        <vt:i4>690</vt:i4>
      </vt:variant>
      <vt:variant>
        <vt:i4>0</vt:i4>
      </vt:variant>
      <vt:variant>
        <vt:i4>5</vt:i4>
      </vt:variant>
      <vt:variant>
        <vt:lpwstr>https://nousgroup.com/wp-content/uploads/2020/09/RUN-Summary-Report-final-compressed.pdf</vt:lpwstr>
      </vt:variant>
      <vt:variant>
        <vt:lpwstr/>
      </vt:variant>
      <vt:variant>
        <vt:i4>8323192</vt:i4>
      </vt:variant>
      <vt:variant>
        <vt:i4>687</vt:i4>
      </vt:variant>
      <vt:variant>
        <vt:i4>0</vt:i4>
      </vt:variant>
      <vt:variant>
        <vt:i4>5</vt:i4>
      </vt:variant>
      <vt:variant>
        <vt:lpwstr>https://www.une.edu.au/research/research-centres-institutes/smart-farm</vt:lpwstr>
      </vt:variant>
      <vt:variant>
        <vt:lpwstr/>
      </vt:variant>
      <vt:variant>
        <vt:i4>5505103</vt:i4>
      </vt:variant>
      <vt:variant>
        <vt:i4>684</vt:i4>
      </vt:variant>
      <vt:variant>
        <vt:i4>0</vt:i4>
      </vt:variant>
      <vt:variant>
        <vt:i4>5</vt:i4>
      </vt:variant>
      <vt:variant>
        <vt:lpwstr>https://www.abs.gov.au/census/find-census-data/quickstats/2021/6</vt:lpwstr>
      </vt:variant>
      <vt:variant>
        <vt:lpwstr/>
      </vt:variant>
      <vt:variant>
        <vt:i4>6619175</vt:i4>
      </vt:variant>
      <vt:variant>
        <vt:i4>681</vt:i4>
      </vt:variant>
      <vt:variant>
        <vt:i4>0</vt:i4>
      </vt:variant>
      <vt:variant>
        <vt:i4>5</vt:i4>
      </vt:variant>
      <vt:variant>
        <vt:lpwstr>https://www.run.edu.au/about-us/statistics/</vt:lpwstr>
      </vt:variant>
      <vt:variant>
        <vt:lpwstr/>
      </vt:variant>
      <vt:variant>
        <vt:i4>7077950</vt:i4>
      </vt:variant>
      <vt:variant>
        <vt:i4>678</vt:i4>
      </vt:variant>
      <vt:variant>
        <vt:i4>0</vt:i4>
      </vt:variant>
      <vt:variant>
        <vt:i4>5</vt:i4>
      </vt:variant>
      <vt:variant>
        <vt:lpwstr>https://www.education.gov.au/higher-education-statistics/resources/student-enrolments-pivot-table-2022</vt:lpwstr>
      </vt:variant>
      <vt:variant>
        <vt:lpwstr/>
      </vt:variant>
      <vt:variant>
        <vt:i4>1638411</vt:i4>
      </vt:variant>
      <vt:variant>
        <vt:i4>675</vt:i4>
      </vt:variant>
      <vt:variant>
        <vt:i4>0</vt:i4>
      </vt:variant>
      <vt:variant>
        <vt:i4>5</vt:i4>
      </vt:variant>
      <vt:variant>
        <vt:lpwstr>https://www.aitsl.edu.au/research/australian-teacher-workforce-data/atwdreports/national-trends-teacher-workforce</vt:lpwstr>
      </vt:variant>
      <vt:variant>
        <vt:lpwstr/>
      </vt:variant>
      <vt:variant>
        <vt:i4>7143477</vt:i4>
      </vt:variant>
      <vt:variant>
        <vt:i4>672</vt:i4>
      </vt:variant>
      <vt:variant>
        <vt:i4>0</vt:i4>
      </vt:variant>
      <vt:variant>
        <vt:i4>5</vt:i4>
      </vt:variant>
      <vt:variant>
        <vt:lpwstr>https://www.rba.gov.au/education/resources/snapshots/economy-composition-snapshot/</vt:lpwstr>
      </vt:variant>
      <vt:variant>
        <vt:lpwstr/>
      </vt:variant>
      <vt:variant>
        <vt:i4>8323117</vt:i4>
      </vt:variant>
      <vt:variant>
        <vt:i4>669</vt:i4>
      </vt:variant>
      <vt:variant>
        <vt:i4>0</vt:i4>
      </vt:variant>
      <vt:variant>
        <vt:i4>5</vt:i4>
      </vt:variant>
      <vt:variant>
        <vt:lpwstr>https://www.aihw.gov.au/reports/australias-health/profile-of-australias-population</vt:lpwstr>
      </vt:variant>
      <vt:variant>
        <vt:lpwstr/>
      </vt:variant>
      <vt:variant>
        <vt:i4>2752547</vt:i4>
      </vt:variant>
      <vt:variant>
        <vt:i4>666</vt:i4>
      </vt:variant>
      <vt:variant>
        <vt:i4>0</vt:i4>
      </vt:variant>
      <vt:variant>
        <vt:i4>5</vt:i4>
      </vt:variant>
      <vt:variant>
        <vt:lpwstr>https://www.education.gov.au/higher-education-statistics/resources/2021-section-2-all-students</vt:lpwstr>
      </vt:variant>
      <vt:variant>
        <vt:lpwstr/>
      </vt:variant>
      <vt:variant>
        <vt:i4>4063267</vt:i4>
      </vt:variant>
      <vt:variant>
        <vt:i4>663</vt:i4>
      </vt:variant>
      <vt:variant>
        <vt:i4>0</vt:i4>
      </vt:variant>
      <vt:variant>
        <vt:i4>5</vt:i4>
      </vt:variant>
      <vt:variant>
        <vt:lpwstr>https://www.abs.gov.au/statistics/people/population/regional-population/2021-22</vt:lpwstr>
      </vt:variant>
      <vt:variant>
        <vt:lpwstr/>
      </vt:variant>
      <vt:variant>
        <vt:i4>2031680</vt:i4>
      </vt:variant>
      <vt:variant>
        <vt:i4>660</vt:i4>
      </vt:variant>
      <vt:variant>
        <vt:i4>0</vt:i4>
      </vt:variant>
      <vt:variant>
        <vt:i4>5</vt:i4>
      </vt:variant>
      <vt:variant>
        <vt:lpwstr>https://www.education.gov.au/australian-universities-accord/consultations/australian-universities-accord-panel-discussion-paper-consultation/submission/16041</vt:lpwstr>
      </vt:variant>
      <vt:variant>
        <vt:lpwstr/>
      </vt:variant>
      <vt:variant>
        <vt:i4>720899</vt:i4>
      </vt:variant>
      <vt:variant>
        <vt:i4>657</vt:i4>
      </vt:variant>
      <vt:variant>
        <vt:i4>0</vt:i4>
      </vt:variant>
      <vt:variant>
        <vt:i4>5</vt:i4>
      </vt:variant>
      <vt:variant>
        <vt:lpwstr>https://www.education.gov.au/system/files/documents/submission-file/2023-04/AUA_tranche3_Gwilym Croucher %26amp%3B  Vin Massaro.pdf</vt:lpwstr>
      </vt:variant>
      <vt:variant>
        <vt:lpwstr/>
      </vt:variant>
      <vt:variant>
        <vt:i4>2949218</vt:i4>
      </vt:variant>
      <vt:variant>
        <vt:i4>654</vt:i4>
      </vt:variant>
      <vt:variant>
        <vt:i4>0</vt:i4>
      </vt:variant>
      <vt:variant>
        <vt:i4>5</vt:i4>
      </vt:variant>
      <vt:variant>
        <vt:lpwstr>https://www.closingthegap.gov.au/national-agreement/national-agreement-closing-the-gap</vt:lpwstr>
      </vt:variant>
      <vt:variant>
        <vt:lpwstr/>
      </vt:variant>
      <vt:variant>
        <vt:i4>5308486</vt:i4>
      </vt:variant>
      <vt:variant>
        <vt:i4>651</vt:i4>
      </vt:variant>
      <vt:variant>
        <vt:i4>0</vt:i4>
      </vt:variant>
      <vt:variant>
        <vt:i4>5</vt:i4>
      </vt:variant>
      <vt:variant>
        <vt:lpwstr>https://www.doi.org/10.26188/23995704</vt:lpwstr>
      </vt:variant>
      <vt:variant>
        <vt:lpwstr/>
      </vt:variant>
      <vt:variant>
        <vt:i4>2490423</vt:i4>
      </vt:variant>
      <vt:variant>
        <vt:i4>648</vt:i4>
      </vt:variant>
      <vt:variant>
        <vt:i4>0</vt:i4>
      </vt:variant>
      <vt:variant>
        <vt:i4>5</vt:i4>
      </vt:variant>
      <vt:variant>
        <vt:lpwstr>https://doi.org/10.1007/s10734-021-00759-8</vt:lpwstr>
      </vt:variant>
      <vt:variant>
        <vt:lpwstr/>
      </vt:variant>
      <vt:variant>
        <vt:i4>7143550</vt:i4>
      </vt:variant>
      <vt:variant>
        <vt:i4>645</vt:i4>
      </vt:variant>
      <vt:variant>
        <vt:i4>0</vt:i4>
      </vt:variant>
      <vt:variant>
        <vt:i4>5</vt:i4>
      </vt:variant>
      <vt:variant>
        <vt:lpwstr>http://www.education.gov.au/higher-education-statistics/staff-data/selected-higher-education-statistics-2022-staff-data</vt:lpwstr>
      </vt:variant>
      <vt:variant>
        <vt:lpwstr/>
      </vt:variant>
      <vt:variant>
        <vt:i4>458758</vt:i4>
      </vt:variant>
      <vt:variant>
        <vt:i4>642</vt:i4>
      </vt:variant>
      <vt:variant>
        <vt:i4>0</vt:i4>
      </vt:variant>
      <vt:variant>
        <vt:i4>5</vt:i4>
      </vt:variant>
      <vt:variant>
        <vt:lpwstr>https://www.education.gov.au/higher-education-statistics/staff-data/selected-higher-education-statistics-2022-staff-data</vt:lpwstr>
      </vt:variant>
      <vt:variant>
        <vt:lpwstr/>
      </vt:variant>
      <vt:variant>
        <vt:i4>5308493</vt:i4>
      </vt:variant>
      <vt:variant>
        <vt:i4>639</vt:i4>
      </vt:variant>
      <vt:variant>
        <vt:i4>0</vt:i4>
      </vt:variant>
      <vt:variant>
        <vt:i4>5</vt:i4>
      </vt:variant>
      <vt:variant>
        <vt:lpwstr>https://doi/</vt:lpwstr>
      </vt:variant>
      <vt:variant>
        <vt:lpwstr/>
      </vt:variant>
      <vt:variant>
        <vt:i4>3211327</vt:i4>
      </vt:variant>
      <vt:variant>
        <vt:i4>636</vt:i4>
      </vt:variant>
      <vt:variant>
        <vt:i4>0</vt:i4>
      </vt:variant>
      <vt:variant>
        <vt:i4>5</vt:i4>
      </vt:variant>
      <vt:variant>
        <vt:lpwstr>https://www.oecd.org/sti/inno/Enhancing-Public-Research-Performance.pdf</vt:lpwstr>
      </vt:variant>
      <vt:variant>
        <vt:lpwstr/>
      </vt:variant>
      <vt:variant>
        <vt:i4>4784174</vt:i4>
      </vt:variant>
      <vt:variant>
        <vt:i4>633</vt:i4>
      </vt:variant>
      <vt:variant>
        <vt:i4>0</vt:i4>
      </vt:variant>
      <vt:variant>
        <vt:i4>5</vt:i4>
      </vt:variant>
      <vt:variant>
        <vt:lpwstr>https://www.arc.gov.au/sites/default/files/era_ei_ac_report.pdf</vt:lpwstr>
      </vt:variant>
      <vt:variant>
        <vt:lpwstr/>
      </vt:variant>
      <vt:variant>
        <vt:i4>7798833</vt:i4>
      </vt:variant>
      <vt:variant>
        <vt:i4>630</vt:i4>
      </vt:variant>
      <vt:variant>
        <vt:i4>0</vt:i4>
      </vt:variant>
      <vt:variant>
        <vt:i4>5</vt:i4>
      </vt:variant>
      <vt:variant>
        <vt:lpwstr>https://doi.org/10.5281/zenodo.8362576</vt:lpwstr>
      </vt:variant>
      <vt:variant>
        <vt:lpwstr/>
      </vt:variant>
      <vt:variant>
        <vt:i4>7995424</vt:i4>
      </vt:variant>
      <vt:variant>
        <vt:i4>627</vt:i4>
      </vt:variant>
      <vt:variant>
        <vt:i4>0</vt:i4>
      </vt:variant>
      <vt:variant>
        <vt:i4>5</vt:i4>
      </vt:variant>
      <vt:variant>
        <vt:lpwstr>https://www.researchprofessionalnews.com/rr-news-europe-universities-2023-9-leiden-rankings-to-add-open-source-version-in-2024/</vt:lpwstr>
      </vt:variant>
      <vt:variant>
        <vt:lpwstr/>
      </vt:variant>
      <vt:variant>
        <vt:i4>537591862</vt:i4>
      </vt:variant>
      <vt:variant>
        <vt:i4>624</vt:i4>
      </vt:variant>
      <vt:variant>
        <vt:i4>0</vt:i4>
      </vt:variant>
      <vt:variant>
        <vt:i4>5</vt:i4>
      </vt:variant>
      <vt:variant>
        <vt:lpwstr>https://www.education.gov.au/‌higher-education-reviews-and-consultations/resources/trusting-australias-ability-review-australian-research-council-act-2001</vt:lpwstr>
      </vt:variant>
      <vt:variant>
        <vt:lpwstr/>
      </vt:variant>
      <vt:variant>
        <vt:i4>196628</vt:i4>
      </vt:variant>
      <vt:variant>
        <vt:i4>621</vt:i4>
      </vt:variant>
      <vt:variant>
        <vt:i4>0</vt:i4>
      </vt:variant>
      <vt:variant>
        <vt:i4>5</vt:i4>
      </vt:variant>
      <vt:variant>
        <vt:lpwstr>https://www.arc.gov.au/standard-excellence-research-australia-era-and-engagement-and-impact-ei-2018-outcomes</vt:lpwstr>
      </vt:variant>
      <vt:variant>
        <vt:lpwstr/>
      </vt:variant>
      <vt:variant>
        <vt:i4>3932285</vt:i4>
      </vt:variant>
      <vt:variant>
        <vt:i4>618</vt:i4>
      </vt:variant>
      <vt:variant>
        <vt:i4>0</vt:i4>
      </vt:variant>
      <vt:variant>
        <vt:i4>5</vt:i4>
      </vt:variant>
      <vt:variant>
        <vt:lpwstr>https://www.chiefscientist.gov.au/sites‌/‌default‌/files/2023-08/Clarifying the‌ ‌distin‌c‌t‌i‌o‌n‌s‌ ‌between ‌research‌ integrity%2C%25‌20research%25‌20‌quality%2C excellence%2C and impact.pdf</vt:lpwstr>
      </vt:variant>
      <vt:variant>
        <vt:lpwstr/>
      </vt:variant>
      <vt:variant>
        <vt:i4>3604561</vt:i4>
      </vt:variant>
      <vt:variant>
        <vt:i4>615</vt:i4>
      </vt:variant>
      <vt:variant>
        <vt:i4>0</vt:i4>
      </vt:variant>
      <vt:variant>
        <vt:i4>5</vt:i4>
      </vt:variant>
      <vt:variant>
        <vt:lpwstr>https://parlinfo.aph.gov.au/parlInfo‌/‌download/library/prspub/7622081/upload_binary/7622081.pdf;fileType=application%2Fpdf</vt:lpwstr>
      </vt:variant>
      <vt:variant>
        <vt:lpwstr>search=%22library/prspub/7622081%22</vt:lpwstr>
      </vt:variant>
      <vt:variant>
        <vt:i4>5505098</vt:i4>
      </vt:variant>
      <vt:variant>
        <vt:i4>612</vt:i4>
      </vt:variant>
      <vt:variant>
        <vt:i4>0</vt:i4>
      </vt:variant>
      <vt:variant>
        <vt:i4>5</vt:i4>
      </vt:variant>
      <vt:variant>
        <vt:lpwstr>https://www.education.gov.au/research-block-grants/resources/research-block-grant-allocations-time-series</vt:lpwstr>
      </vt:variant>
      <vt:variant>
        <vt:lpwstr/>
      </vt:variant>
      <vt:variant>
        <vt:i4>4849687</vt:i4>
      </vt:variant>
      <vt:variant>
        <vt:i4>609</vt:i4>
      </vt:variant>
      <vt:variant>
        <vt:i4>0</vt:i4>
      </vt:variant>
      <vt:variant>
        <vt:i4>5</vt:i4>
      </vt:variant>
      <vt:variant>
        <vt:lpwstr>https://www.education.gov.au/research-block-grants/consolidated-time-series-data</vt:lpwstr>
      </vt:variant>
      <vt:variant>
        <vt:lpwstr/>
      </vt:variant>
      <vt:variant>
        <vt:i4>6684732</vt:i4>
      </vt:variant>
      <vt:variant>
        <vt:i4>606</vt:i4>
      </vt:variant>
      <vt:variant>
        <vt:i4>0</vt:i4>
      </vt:variant>
      <vt:variant>
        <vt:i4>5</vt:i4>
      </vt:variant>
      <vt:variant>
        <vt:lpwstr>https://www.education.gov.au/higher-education-statistics/resources/indigenous-students-higher-degrees-research</vt:lpwstr>
      </vt:variant>
      <vt:variant>
        <vt:lpwstr/>
      </vt:variant>
      <vt:variant>
        <vt:i4>1245237</vt:i4>
      </vt:variant>
      <vt:variant>
        <vt:i4>603</vt:i4>
      </vt:variant>
      <vt:variant>
        <vt:i4>0</vt:i4>
      </vt:variant>
      <vt:variant>
        <vt:i4>5</vt:i4>
      </vt:variant>
      <vt:variant>
        <vt:lpwstr>https://www.qilt.edu.au/docs/default-source/default-document-library/2022-gos-national-report.pdf?sfvrsn=c5d342c8_2</vt:lpwstr>
      </vt:variant>
      <vt:variant>
        <vt:lpwstr/>
      </vt:variant>
      <vt:variant>
        <vt:i4>4653084</vt:i4>
      </vt:variant>
      <vt:variant>
        <vt:i4>600</vt:i4>
      </vt:variant>
      <vt:variant>
        <vt:i4>0</vt:i4>
      </vt:variant>
      <vt:variant>
        <vt:i4>5</vt:i4>
      </vt:variant>
      <vt:variant>
        <vt:lpwstr>https://openresearch-repository.anu.edu.au/handle/1885/209175</vt:lpwstr>
      </vt:variant>
      <vt:variant>
        <vt:lpwstr/>
      </vt:variant>
      <vt:variant>
        <vt:i4>2621562</vt:i4>
      </vt:variant>
      <vt:variant>
        <vt:i4>597</vt:i4>
      </vt:variant>
      <vt:variant>
        <vt:i4>0</vt:i4>
      </vt:variant>
      <vt:variant>
        <vt:i4>5</vt:i4>
      </vt:variant>
      <vt:variant>
        <vt:lpwstr>https://melbourne-cshe.unimelb.edu.au/__data/assets/pdf_file/0010/1490923/The_Academic_Profession_in_Transition_Sept2011.pdf</vt:lpwstr>
      </vt:variant>
      <vt:variant>
        <vt:lpwstr/>
      </vt:variant>
      <vt:variant>
        <vt:i4>7536751</vt:i4>
      </vt:variant>
      <vt:variant>
        <vt:i4>594</vt:i4>
      </vt:variant>
      <vt:variant>
        <vt:i4>0</vt:i4>
      </vt:variant>
      <vt:variant>
        <vt:i4>5</vt:i4>
      </vt:variant>
      <vt:variant>
        <vt:lpwstr>https://www.health.gov.au/our-work/mrff-research-data-infrastructure-initiative</vt:lpwstr>
      </vt:variant>
      <vt:variant>
        <vt:lpwstr>about-the-research-data-infrastructure-initiative</vt:lpwstr>
      </vt:variant>
      <vt:variant>
        <vt:i4>6291573</vt:i4>
      </vt:variant>
      <vt:variant>
        <vt:i4>591</vt:i4>
      </vt:variant>
      <vt:variant>
        <vt:i4>0</vt:i4>
      </vt:variant>
      <vt:variant>
        <vt:i4>5</vt:i4>
      </vt:variant>
      <vt:variant>
        <vt:lpwstr>https://socialsciences.org.au/data-enabled-reseach-future/</vt:lpwstr>
      </vt:variant>
      <vt:variant>
        <vt:lpwstr/>
      </vt:variant>
      <vt:variant>
        <vt:i4>3997737</vt:i4>
      </vt:variant>
      <vt:variant>
        <vt:i4>588</vt:i4>
      </vt:variant>
      <vt:variant>
        <vt:i4>0</vt:i4>
      </vt:variant>
      <vt:variant>
        <vt:i4>5</vt:i4>
      </vt:variant>
      <vt:variant>
        <vt:lpwstr>https://www.elsevier.com/connect/the-growing-importance-of-research-infrastructures</vt:lpwstr>
      </vt:variant>
      <vt:variant>
        <vt:lpwstr/>
      </vt:variant>
      <vt:variant>
        <vt:i4>7012448</vt:i4>
      </vt:variant>
      <vt:variant>
        <vt:i4>585</vt:i4>
      </vt:variant>
      <vt:variant>
        <vt:i4>0</vt:i4>
      </vt:variant>
      <vt:variant>
        <vt:i4>5</vt:i4>
      </vt:variant>
      <vt:variant>
        <vt:lpwstr>https://www.apprise.org.au/project/first-nations-led-projects-funded-for-covid-19-research/</vt:lpwstr>
      </vt:variant>
      <vt:variant>
        <vt:lpwstr/>
      </vt:variant>
      <vt:variant>
        <vt:i4>3604518</vt:i4>
      </vt:variant>
      <vt:variant>
        <vt:i4>582</vt:i4>
      </vt:variant>
      <vt:variant>
        <vt:i4>0</vt:i4>
      </vt:variant>
      <vt:variant>
        <vt:i4>5</vt:i4>
      </vt:variant>
      <vt:variant>
        <vt:lpwstr>https://datahelpdesk.worldbank.org/knowledgebase/articles/114942-what-is-the-difference-between-current-and-constan</vt:lpwstr>
      </vt:variant>
      <vt:variant>
        <vt:lpwstr/>
      </vt:variant>
      <vt:variant>
        <vt:i4>2555972</vt:i4>
      </vt:variant>
      <vt:variant>
        <vt:i4>579</vt:i4>
      </vt:variant>
      <vt:variant>
        <vt:i4>0</vt:i4>
      </vt:variant>
      <vt:variant>
        <vt:i4>5</vt:i4>
      </vt:variant>
      <vt:variant>
        <vt:lpwstr>https://www.arc.gov.au/sites/default/files/2023-06/ARC at a Glance - June 2023 v4_double-page.pdf</vt:lpwstr>
      </vt:variant>
      <vt:variant>
        <vt:lpwstr/>
      </vt:variant>
      <vt:variant>
        <vt:i4>1835081</vt:i4>
      </vt:variant>
      <vt:variant>
        <vt:i4>576</vt:i4>
      </vt:variant>
      <vt:variant>
        <vt:i4>0</vt:i4>
      </vt:variant>
      <vt:variant>
        <vt:i4>5</vt:i4>
      </vt:variant>
      <vt:variant>
        <vt:lpwstr>https://www.education.gov.au/australian-universities-accord/consultations/australian-universities-accord-panel-discussion-paper-consultation/submission/15945</vt:lpwstr>
      </vt:variant>
      <vt:variant>
        <vt:lpwstr/>
      </vt:variant>
      <vt:variant>
        <vt:i4>852050</vt:i4>
      </vt:variant>
      <vt:variant>
        <vt:i4>573</vt:i4>
      </vt:variant>
      <vt:variant>
        <vt:i4>0</vt:i4>
      </vt:variant>
      <vt:variant>
        <vt:i4>5</vt:i4>
      </vt:variant>
      <vt:variant>
        <vt:lpwstr>https://universitiesaustralia.edu.au/wp-content/uploads/2022/11/UA-submission-to-the-Prodcutivity-Commission-5-Year-Inquiry-Interim-Report-1.pdf</vt:lpwstr>
      </vt:variant>
      <vt:variant>
        <vt:lpwstr/>
      </vt:variant>
      <vt:variant>
        <vt:i4>2162748</vt:i4>
      </vt:variant>
      <vt:variant>
        <vt:i4>570</vt:i4>
      </vt:variant>
      <vt:variant>
        <vt:i4>0</vt:i4>
      </vt:variant>
      <vt:variant>
        <vt:i4>5</vt:i4>
      </vt:variant>
      <vt:variant>
        <vt:lpwstr>https://www.imf.org/en/Blogs/Articles/2021/10/06/blog-ch3-weo-why-basic-science-matters-for-economic-growth</vt:lpwstr>
      </vt:variant>
      <vt:variant>
        <vt:lpwstr/>
      </vt:variant>
      <vt:variant>
        <vt:i4>4980808</vt:i4>
      </vt:variant>
      <vt:variant>
        <vt:i4>567</vt:i4>
      </vt:variant>
      <vt:variant>
        <vt:i4>0</vt:i4>
      </vt:variant>
      <vt:variant>
        <vt:i4>5</vt:i4>
      </vt:variant>
      <vt:variant>
        <vt:lpwstr>https://go8.edu.au/wp-content/uploads/2023/09/Go8-Policy-Brief-Basic-Research.pdf</vt:lpwstr>
      </vt:variant>
      <vt:variant>
        <vt:lpwstr/>
      </vt:variant>
      <vt:variant>
        <vt:i4>655441</vt:i4>
      </vt:variant>
      <vt:variant>
        <vt:i4>564</vt:i4>
      </vt:variant>
      <vt:variant>
        <vt:i4>0</vt:i4>
      </vt:variant>
      <vt:variant>
        <vt:i4>5</vt:i4>
      </vt:variant>
      <vt:variant>
        <vt:lpwstr>https://www.arc.gov.au/funding-research/funding-outcome/selection-outcome-reports/industrial-transformation-training-centres-selection-report-funding-commencing-2023</vt:lpwstr>
      </vt:variant>
      <vt:variant>
        <vt:lpwstr/>
      </vt:variant>
      <vt:variant>
        <vt:i4>6422645</vt:i4>
      </vt:variant>
      <vt:variant>
        <vt:i4>561</vt:i4>
      </vt:variant>
      <vt:variant>
        <vt:i4>0</vt:i4>
      </vt:variant>
      <vt:variant>
        <vt:i4>5</vt:i4>
      </vt:variant>
      <vt:variant>
        <vt:lpwstr>https://www.education.gov.au/national-industry-phd-program/funding-outcomes</vt:lpwstr>
      </vt:variant>
      <vt:variant>
        <vt:lpwstr/>
      </vt:variant>
      <vt:variant>
        <vt:i4>262160</vt:i4>
      </vt:variant>
      <vt:variant>
        <vt:i4>558</vt:i4>
      </vt:variant>
      <vt:variant>
        <vt:i4>0</vt:i4>
      </vt:variant>
      <vt:variant>
        <vt:i4>5</vt:i4>
      </vt:variant>
      <vt:variant>
        <vt:lpwstr>https://www.education.gov.au/university-research-commercialisation-package/announcements/research-commercialisation-action-plan-has-been-released</vt:lpwstr>
      </vt:variant>
      <vt:variant>
        <vt:lpwstr/>
      </vt:variant>
      <vt:variant>
        <vt:i4>3866633</vt:i4>
      </vt:variant>
      <vt:variant>
        <vt:i4>555</vt:i4>
      </vt:variant>
      <vt:variant>
        <vt:i4>0</vt:i4>
      </vt:variant>
      <vt:variant>
        <vt:i4>5</vt:i4>
      </vt:variant>
      <vt:variant>
        <vt:lpwstr>http://www.dpac.tas.gov.au/divisions/policy/partnership_with_the_university_of_tasmania</vt:lpwstr>
      </vt:variant>
      <vt:variant>
        <vt:lpwstr/>
      </vt:variant>
      <vt:variant>
        <vt:i4>2818151</vt:i4>
      </vt:variant>
      <vt:variant>
        <vt:i4>552</vt:i4>
      </vt:variant>
      <vt:variant>
        <vt:i4>0</vt:i4>
      </vt:variant>
      <vt:variant>
        <vt:i4>5</vt:i4>
      </vt:variant>
      <vt:variant>
        <vt:lpwstr>https://www.investment.nsw.gov.au/assets/Uploads/files/IPC/Full-Report-IPC-The-Innovation-Economy-2018.pdf</vt:lpwstr>
      </vt:variant>
      <vt:variant>
        <vt:lpwstr/>
      </vt:variant>
      <vt:variant>
        <vt:i4>8323175</vt:i4>
      </vt:variant>
      <vt:variant>
        <vt:i4>549</vt:i4>
      </vt:variant>
      <vt:variant>
        <vt:i4>0</vt:i4>
      </vt:variant>
      <vt:variant>
        <vt:i4>5</vt:i4>
      </vt:variant>
      <vt:variant>
        <vt:lpwstr>https://www.pc.gov.au/inquiries/completed/productivity/report/productivity-advancing-prosperity-all-volumes.pdf</vt:lpwstr>
      </vt:variant>
      <vt:variant>
        <vt:lpwstr/>
      </vt:variant>
      <vt:variant>
        <vt:i4>1638468</vt:i4>
      </vt:variant>
      <vt:variant>
        <vt:i4>546</vt:i4>
      </vt:variant>
      <vt:variant>
        <vt:i4>0</vt:i4>
      </vt:variant>
      <vt:variant>
        <vt:i4>5</vt:i4>
      </vt:variant>
      <vt:variant>
        <vt:lpwstr>https://www.imf.org/en/Publications/CR/Issues/2021/12/02/Australia-Selected-Issues-510757</vt:lpwstr>
      </vt:variant>
      <vt:variant>
        <vt:lpwstr/>
      </vt:variant>
      <vt:variant>
        <vt:i4>7995428</vt:i4>
      </vt:variant>
      <vt:variant>
        <vt:i4>543</vt:i4>
      </vt:variant>
      <vt:variant>
        <vt:i4>0</vt:i4>
      </vt:variant>
      <vt:variant>
        <vt:i4>5</vt:i4>
      </vt:variant>
      <vt:variant>
        <vt:lpwstr>https://atlas.cid.harvard.edu/rankings</vt:lpwstr>
      </vt:variant>
      <vt:variant>
        <vt:lpwstr/>
      </vt:variant>
      <vt:variant>
        <vt:i4>2359336</vt:i4>
      </vt:variant>
      <vt:variant>
        <vt:i4>540</vt:i4>
      </vt:variant>
      <vt:variant>
        <vt:i4>0</vt:i4>
      </vt:variant>
      <vt:variant>
        <vt:i4>5</vt:i4>
      </vt:variant>
      <vt:variant>
        <vt:lpwstr>https://ec.europa.eu/eurostat/cache/metadata‌/‌en/inn_cis12_esms.htm</vt:lpwstr>
      </vt:variant>
      <vt:variant>
        <vt:lpwstr>annex1678715583437</vt:lpwstr>
      </vt:variant>
      <vt:variant>
        <vt:i4>6815862</vt:i4>
      </vt:variant>
      <vt:variant>
        <vt:i4>537</vt:i4>
      </vt:variant>
      <vt:variant>
        <vt:i4>0</vt:i4>
      </vt:variant>
      <vt:variant>
        <vt:i4>5</vt:i4>
      </vt:variant>
      <vt:variant>
        <vt:lpwstr>https://www.oecd.org/sti/inno/innovation-indicators-2023-highlights.pdf</vt:lpwstr>
      </vt:variant>
      <vt:variant>
        <vt:lpwstr/>
      </vt:variant>
      <vt:variant>
        <vt:i4>3801182</vt:i4>
      </vt:variant>
      <vt:variant>
        <vt:i4>534</vt:i4>
      </vt:variant>
      <vt:variant>
        <vt:i4>0</vt:i4>
      </vt:variant>
      <vt:variant>
        <vt:i4>5</vt:i4>
      </vt:variant>
      <vt:variant>
        <vt:lpwstr>https://stats.oecd.org/Index.aspx?DataSetCode=MSTI_PUB</vt:lpwstr>
      </vt:variant>
      <vt:variant>
        <vt:lpwstr/>
      </vt:variant>
      <vt:variant>
        <vt:i4>1572886</vt:i4>
      </vt:variant>
      <vt:variant>
        <vt:i4>531</vt:i4>
      </vt:variant>
      <vt:variant>
        <vt:i4>0</vt:i4>
      </vt:variant>
      <vt:variant>
        <vt:i4>5</vt:i4>
      </vt:variant>
      <vt:variant>
        <vt:lpwstr>https://www.oecd.org/sti/msti.htm</vt:lpwstr>
      </vt:variant>
      <vt:variant>
        <vt:lpwstr/>
      </vt:variant>
      <vt:variant>
        <vt:i4>2359344</vt:i4>
      </vt:variant>
      <vt:variant>
        <vt:i4>528</vt:i4>
      </vt:variant>
      <vt:variant>
        <vt:i4>0</vt:i4>
      </vt:variant>
      <vt:variant>
        <vt:i4>5</vt:i4>
      </vt:variant>
      <vt:variant>
        <vt:lpwstr>https://www.abs.gov.au/statistics/economy/national-accounts/australian-national-accounts-national-income-expenditure-and-product/latest-release</vt:lpwstr>
      </vt:variant>
      <vt:variant>
        <vt:lpwstr/>
      </vt:variant>
      <vt:variant>
        <vt:i4>3932195</vt:i4>
      </vt:variant>
      <vt:variant>
        <vt:i4>525</vt:i4>
      </vt:variant>
      <vt:variant>
        <vt:i4>0</vt:i4>
      </vt:variant>
      <vt:variant>
        <vt:i4>5</vt:i4>
      </vt:variant>
      <vt:variant>
        <vt:lpwstr>https://www.industry.gov.au/publications/science-research-and-innovation-sri-budget-tables-2022-23</vt:lpwstr>
      </vt:variant>
      <vt:variant>
        <vt:lpwstr/>
      </vt:variant>
      <vt:variant>
        <vt:i4>2359344</vt:i4>
      </vt:variant>
      <vt:variant>
        <vt:i4>522</vt:i4>
      </vt:variant>
      <vt:variant>
        <vt:i4>0</vt:i4>
      </vt:variant>
      <vt:variant>
        <vt:i4>5</vt:i4>
      </vt:variant>
      <vt:variant>
        <vt:lpwstr>https://www.abs.gov.au/statistics/economy/national-accounts/australian-national-accounts-national-income-expenditure-and-product/latest-release</vt:lpwstr>
      </vt:variant>
      <vt:variant>
        <vt:lpwstr/>
      </vt:variant>
      <vt:variant>
        <vt:i4>1441817</vt:i4>
      </vt:variant>
      <vt:variant>
        <vt:i4>519</vt:i4>
      </vt:variant>
      <vt:variant>
        <vt:i4>0</vt:i4>
      </vt:variant>
      <vt:variant>
        <vt:i4>5</vt:i4>
      </vt:variant>
      <vt:variant>
        <vt:lpwstr>http://www.scival.com/collaboration/collabMetrics?uri=Country/36</vt:lpwstr>
      </vt:variant>
      <vt:variant>
        <vt:lpwstr/>
      </vt:variant>
      <vt:variant>
        <vt:i4>544473109</vt:i4>
      </vt:variant>
      <vt:variant>
        <vt:i4>516</vt:i4>
      </vt:variant>
      <vt:variant>
        <vt:i4>0</vt:i4>
      </vt:variant>
      <vt:variant>
        <vt:i4>5</vt:i4>
      </vt:variant>
      <vt:variant>
        <vt:lpwstr>https://dataportal.arc.gov.au/ERA/NationalReport/2018‌/pages/section1‌/‌research-quality/</vt:lpwstr>
      </vt:variant>
      <vt:variant>
        <vt:lpwstr/>
      </vt:variant>
      <vt:variant>
        <vt:i4>65601</vt:i4>
      </vt:variant>
      <vt:variant>
        <vt:i4>513</vt:i4>
      </vt:variant>
      <vt:variant>
        <vt:i4>0</vt:i4>
      </vt:variant>
      <vt:variant>
        <vt:i4>5</vt:i4>
      </vt:variant>
      <vt:variant>
        <vt:lpwstr>https://www.aap.com.au/aapreleases/cision20231115ae68209/</vt:lpwstr>
      </vt:variant>
      <vt:variant>
        <vt:lpwstr/>
      </vt:variant>
      <vt:variant>
        <vt:i4>4063282</vt:i4>
      </vt:variant>
      <vt:variant>
        <vt:i4>510</vt:i4>
      </vt:variant>
      <vt:variant>
        <vt:i4>0</vt:i4>
      </vt:variant>
      <vt:variant>
        <vt:i4>5</vt:i4>
      </vt:variant>
      <vt:variant>
        <vt:lpwstr>https://dataportal.arc.gov.au/ERA/NationalReport/2018/</vt:lpwstr>
      </vt:variant>
      <vt:variant>
        <vt:lpwstr/>
      </vt:variant>
      <vt:variant>
        <vt:i4>7536702</vt:i4>
      </vt:variant>
      <vt:variant>
        <vt:i4>507</vt:i4>
      </vt:variant>
      <vt:variant>
        <vt:i4>0</vt:i4>
      </vt:variant>
      <vt:variant>
        <vt:i4>5</vt:i4>
      </vt:variant>
      <vt:variant>
        <vt:lpwstr>https://www.scival.com/benchmarking/ranking/the/worldUniversityRankings</vt:lpwstr>
      </vt:variant>
      <vt:variant>
        <vt:lpwstr/>
      </vt:variant>
      <vt:variant>
        <vt:i4>327764</vt:i4>
      </vt:variant>
      <vt:variant>
        <vt:i4>504</vt:i4>
      </vt:variant>
      <vt:variant>
        <vt:i4>0</vt:i4>
      </vt:variant>
      <vt:variant>
        <vt:i4>5</vt:i4>
      </vt:variant>
      <vt:variant>
        <vt:lpwstr>https://data.worldbank.org/indicator/SP.POP.TOTL</vt:lpwstr>
      </vt:variant>
      <vt:variant>
        <vt:lpwstr/>
      </vt:variant>
      <vt:variant>
        <vt:i4>2293814</vt:i4>
      </vt:variant>
      <vt:variant>
        <vt:i4>501</vt:i4>
      </vt:variant>
      <vt:variant>
        <vt:i4>0</vt:i4>
      </vt:variant>
      <vt:variant>
        <vt:i4>5</vt:i4>
      </vt:variant>
      <vt:variant>
        <vt:lpwstr>https://incites.clarivate.com/</vt:lpwstr>
      </vt:variant>
      <vt:variant>
        <vt:lpwstr>/analysis/0/organization</vt:lpwstr>
      </vt:variant>
      <vt:variant>
        <vt:i4>720898</vt:i4>
      </vt:variant>
      <vt:variant>
        <vt:i4>498</vt:i4>
      </vt:variant>
      <vt:variant>
        <vt:i4>0</vt:i4>
      </vt:variant>
      <vt:variant>
        <vt:i4>5</vt:i4>
      </vt:variant>
      <vt:variant>
        <vt:lpwstr>https://www.studygoldcoast.org.au/host-for-the-coast/</vt:lpwstr>
      </vt:variant>
      <vt:variant>
        <vt:lpwstr/>
      </vt:variant>
      <vt:variant>
        <vt:i4>7864442</vt:i4>
      </vt:variant>
      <vt:variant>
        <vt:i4>495</vt:i4>
      </vt:variant>
      <vt:variant>
        <vt:i4>0</vt:i4>
      </vt:variant>
      <vt:variant>
        <vt:i4>5</vt:i4>
      </vt:variant>
      <vt:variant>
        <vt:lpwstr>https://mktgdocs.cbre.com/2299/c5166330-37d3-4674-8cda-dce518da0b37-1392467054.pdf</vt:lpwstr>
      </vt:variant>
      <vt:variant>
        <vt:lpwstr/>
      </vt:variant>
      <vt:variant>
        <vt:i4>2293863</vt:i4>
      </vt:variant>
      <vt:variant>
        <vt:i4>492</vt:i4>
      </vt:variant>
      <vt:variant>
        <vt:i4>0</vt:i4>
      </vt:variant>
      <vt:variant>
        <vt:i4>5</vt:i4>
      </vt:variant>
      <vt:variant>
        <vt:lpwstr>https://grattan.edu.au/wp-content/uploads/2022/12/Australias-migration-opportunity-how-rethinking-skilled-migration-can-solve-some-of-our-biggest-problems.pdf</vt:lpwstr>
      </vt:variant>
      <vt:variant>
        <vt:lpwstr/>
      </vt:variant>
      <vt:variant>
        <vt:i4>541327378</vt:i4>
      </vt:variant>
      <vt:variant>
        <vt:i4>489</vt:i4>
      </vt:variant>
      <vt:variant>
        <vt:i4>0</vt:i4>
      </vt:variant>
      <vt:variant>
        <vt:i4>5</vt:i4>
      </vt:variant>
      <vt:variant>
        <vt:lpwstr>https://parlinfo.aph.gov.au/parlInfo/‌download/committees/reportjnt/024680/toc_pdf/FinalReport‌of‌the‌InquiryintoAustralia’sSkilledMigrationProgram.pdf;fileType=application%2Fpdf</vt:lpwstr>
      </vt:variant>
      <vt:variant>
        <vt:lpwstr/>
      </vt:variant>
      <vt:variant>
        <vt:i4>7929955</vt:i4>
      </vt:variant>
      <vt:variant>
        <vt:i4>486</vt:i4>
      </vt:variant>
      <vt:variant>
        <vt:i4>0</vt:i4>
      </vt:variant>
      <vt:variant>
        <vt:i4>5</vt:i4>
      </vt:variant>
      <vt:variant>
        <vt:lpwstr>https://www.timeshighereducation.com/news/australian-universities-cap-international-student-numbers</vt:lpwstr>
      </vt:variant>
      <vt:variant>
        <vt:lpwstr/>
      </vt:variant>
      <vt:variant>
        <vt:i4>983064</vt:i4>
      </vt:variant>
      <vt:variant>
        <vt:i4>483</vt:i4>
      </vt:variant>
      <vt:variant>
        <vt:i4>0</vt:i4>
      </vt:variant>
      <vt:variant>
        <vt:i4>5</vt:i4>
      </vt:variant>
      <vt:variant>
        <vt:lpwstr>https://immi.homeaffairs.gov.au/programs-subsite/migration-strategy/Documents/migration-strategy.pdf</vt:lpwstr>
      </vt:variant>
      <vt:variant>
        <vt:lpwstr/>
      </vt:variant>
      <vt:variant>
        <vt:i4>720972</vt:i4>
      </vt:variant>
      <vt:variant>
        <vt:i4>480</vt:i4>
      </vt:variant>
      <vt:variant>
        <vt:i4>0</vt:i4>
      </vt:variant>
      <vt:variant>
        <vt:i4>5</vt:i4>
      </vt:variant>
      <vt:variant>
        <vt:lpwstr>https://www.qilt.edu.au/</vt:lpwstr>
      </vt:variant>
      <vt:variant>
        <vt:lpwstr/>
      </vt:variant>
      <vt:variant>
        <vt:i4>720924</vt:i4>
      </vt:variant>
      <vt:variant>
        <vt:i4>477</vt:i4>
      </vt:variant>
      <vt:variant>
        <vt:i4>0</vt:i4>
      </vt:variant>
      <vt:variant>
        <vt:i4>5</vt:i4>
      </vt:variant>
      <vt:variant>
        <vt:lpwstr>https://www.education.gov.au/regional-university-study-hubs/student-testimonials</vt:lpwstr>
      </vt:variant>
      <vt:variant>
        <vt:lpwstr/>
      </vt:variant>
      <vt:variant>
        <vt:i4>4063341</vt:i4>
      </vt:variant>
      <vt:variant>
        <vt:i4>474</vt:i4>
      </vt:variant>
      <vt:variant>
        <vt:i4>0</vt:i4>
      </vt:variant>
      <vt:variant>
        <vt:i4>5</vt:i4>
      </vt:variant>
      <vt:variant>
        <vt:lpwstr>https://online.monash.edu/support/</vt:lpwstr>
      </vt:variant>
      <vt:variant>
        <vt:lpwstr/>
      </vt:variant>
      <vt:variant>
        <vt:i4>537198638</vt:i4>
      </vt:variant>
      <vt:variant>
        <vt:i4>471</vt:i4>
      </vt:variant>
      <vt:variant>
        <vt:i4>0</vt:i4>
      </vt:variant>
      <vt:variant>
        <vt:i4>5</vt:i4>
      </vt:variant>
      <vt:variant>
        <vt:lpwstr>https://ucx.canberra.edu.au/‌initiatives/‌ucx-‌food-pantry.html</vt:lpwstr>
      </vt:variant>
      <vt:variant>
        <vt:lpwstr/>
      </vt:variant>
      <vt:variant>
        <vt:i4>1507394</vt:i4>
      </vt:variant>
      <vt:variant>
        <vt:i4>468</vt:i4>
      </vt:variant>
      <vt:variant>
        <vt:i4>0</vt:i4>
      </vt:variant>
      <vt:variant>
        <vt:i4>5</vt:i4>
      </vt:variant>
      <vt:variant>
        <vt:lpwstr>https://www.latrobe.edu.au/mylatrobe/take-time-out-in-the-lounge/</vt:lpwstr>
      </vt:variant>
      <vt:variant>
        <vt:lpwstr/>
      </vt:variant>
      <vt:variant>
        <vt:i4>4391006</vt:i4>
      </vt:variant>
      <vt:variant>
        <vt:i4>465</vt:i4>
      </vt:variant>
      <vt:variant>
        <vt:i4>0</vt:i4>
      </vt:variant>
      <vt:variant>
        <vt:i4>5</vt:i4>
      </vt:variant>
      <vt:variant>
        <vt:lpwstr>https://advance-he.ac.uk/knowledge-hub/professional-standards-framework‌-‌teaching-and-supporting-learning-higher-education-0</vt:lpwstr>
      </vt:variant>
      <vt:variant>
        <vt:lpwstr/>
      </vt:variant>
      <vt:variant>
        <vt:i4>1704012</vt:i4>
      </vt:variant>
      <vt:variant>
        <vt:i4>462</vt:i4>
      </vt:variant>
      <vt:variant>
        <vt:i4>0</vt:i4>
      </vt:variant>
      <vt:variant>
        <vt:i4>5</vt:i4>
      </vt:variant>
      <vt:variant>
        <vt:lpwstr>https://www.acecqa.gov.au/national-quality-framework</vt:lpwstr>
      </vt:variant>
      <vt:variant>
        <vt:lpwstr/>
      </vt:variant>
      <vt:variant>
        <vt:i4>4194319</vt:i4>
      </vt:variant>
      <vt:variant>
        <vt:i4>459</vt:i4>
      </vt:variant>
      <vt:variant>
        <vt:i4>0</vt:i4>
      </vt:variant>
      <vt:variant>
        <vt:i4>5</vt:i4>
      </vt:variant>
      <vt:variant>
        <vt:lpwstr>https://www.officeforstudents.org.uk/advice-and-guidance/the-tef/</vt:lpwstr>
      </vt:variant>
      <vt:variant>
        <vt:lpwstr/>
      </vt:variant>
      <vt:variant>
        <vt:i4>544546937</vt:i4>
      </vt:variant>
      <vt:variant>
        <vt:i4>456</vt:i4>
      </vt:variant>
      <vt:variant>
        <vt:i4>0</vt:i4>
      </vt:variant>
      <vt:variant>
        <vt:i4>5</vt:i4>
      </vt:variant>
      <vt:variant>
        <vt:lpwstr>https://www.qilt.edu.au/‌surveys/‌student-experience-survey-(ses)</vt:lpwstr>
      </vt:variant>
      <vt:variant>
        <vt:lpwstr/>
      </vt:variant>
      <vt:variant>
        <vt:i4>6553709</vt:i4>
      </vt:variant>
      <vt:variant>
        <vt:i4>453</vt:i4>
      </vt:variant>
      <vt:variant>
        <vt:i4>0</vt:i4>
      </vt:variant>
      <vt:variant>
        <vt:i4>5</vt:i4>
      </vt:variant>
      <vt:variant>
        <vt:lpwstr>https://www.qilt.edu.au/surveys/graduate-outcomes-survey---longitudinal-(gos-l)</vt:lpwstr>
      </vt:variant>
      <vt:variant>
        <vt:lpwstr/>
      </vt:variant>
      <vt:variant>
        <vt:i4>6553636</vt:i4>
      </vt:variant>
      <vt:variant>
        <vt:i4>450</vt:i4>
      </vt:variant>
      <vt:variant>
        <vt:i4>0</vt:i4>
      </vt:variant>
      <vt:variant>
        <vt:i4>5</vt:i4>
      </vt:variant>
      <vt:variant>
        <vt:lpwstr>https://www.qilt.edu.au/surveys/graduate-outcomes-survey-(gos)</vt:lpwstr>
      </vt:variant>
      <vt:variant>
        <vt:lpwstr/>
      </vt:variant>
      <vt:variant>
        <vt:i4>5111820</vt:i4>
      </vt:variant>
      <vt:variant>
        <vt:i4>447</vt:i4>
      </vt:variant>
      <vt:variant>
        <vt:i4>0</vt:i4>
      </vt:variant>
      <vt:variant>
        <vt:i4>5</vt:i4>
      </vt:variant>
      <vt:variant>
        <vt:lpwstr>https://www.education.gov.au/collections/communiques-education-ministers-meeting-2023</vt:lpwstr>
      </vt:variant>
      <vt:variant>
        <vt:lpwstr/>
      </vt:variant>
      <vt:variant>
        <vt:i4>917578</vt:i4>
      </vt:variant>
      <vt:variant>
        <vt:i4>444</vt:i4>
      </vt:variant>
      <vt:variant>
        <vt:i4>0</vt:i4>
      </vt:variant>
      <vt:variant>
        <vt:i4>5</vt:i4>
      </vt:variant>
      <vt:variant>
        <vt:lpwstr>https://www2.nzqa.govt.nz/tertiary/the-code/the-code-for-education-providers/self-review-and-attestation/</vt:lpwstr>
      </vt:variant>
      <vt:variant>
        <vt:lpwstr/>
      </vt:variant>
      <vt:variant>
        <vt:i4>6946869</vt:i4>
      </vt:variant>
      <vt:variant>
        <vt:i4>441</vt:i4>
      </vt:variant>
      <vt:variant>
        <vt:i4>0</vt:i4>
      </vt:variant>
      <vt:variant>
        <vt:i4>5</vt:i4>
      </vt:variant>
      <vt:variant>
        <vt:lpwstr>https://www2.nzqa.govt.nz/tertiary/the-code/the-code-for-learners/</vt:lpwstr>
      </vt:variant>
      <vt:variant>
        <vt:lpwstr/>
      </vt:variant>
      <vt:variant>
        <vt:i4>6160463</vt:i4>
      </vt:variant>
      <vt:variant>
        <vt:i4>438</vt:i4>
      </vt:variant>
      <vt:variant>
        <vt:i4>0</vt:i4>
      </vt:variant>
      <vt:variant>
        <vt:i4>5</vt:i4>
      </vt:variant>
      <vt:variant>
        <vt:lpwstr>https://www.education.gov.au/australian-universities-accord/resources/draft-action-plan-addressing-genderbased-violence-higher-education</vt:lpwstr>
      </vt:variant>
      <vt:variant>
        <vt:lpwstr/>
      </vt:variant>
      <vt:variant>
        <vt:i4>2097196</vt:i4>
      </vt:variant>
      <vt:variant>
        <vt:i4>435</vt:i4>
      </vt:variant>
      <vt:variant>
        <vt:i4>0</vt:i4>
      </vt:variant>
      <vt:variant>
        <vt:i4>5</vt:i4>
      </vt:variant>
      <vt:variant>
        <vt:lpwstr>https://www.aph.gov.au/‌Parliamentary‌_Business/Committees/Senate/Legal_and_Constitutional_Affairs/sexualcontentlaws/Report</vt:lpwstr>
      </vt:variant>
      <vt:variant>
        <vt:lpwstr/>
      </vt:variant>
      <vt:variant>
        <vt:i4>1179674</vt:i4>
      </vt:variant>
      <vt:variant>
        <vt:i4>432</vt:i4>
      </vt:variant>
      <vt:variant>
        <vt:i4>0</vt:i4>
      </vt:variant>
      <vt:variant>
        <vt:i4>5</vt:i4>
      </vt:variant>
      <vt:variant>
        <vt:lpwstr>https://ro.uow.edu.au/jutlp/vol19/iss4/03</vt:lpwstr>
      </vt:variant>
      <vt:variant>
        <vt:lpwstr/>
      </vt:variant>
      <vt:variant>
        <vt:i4>2228344</vt:i4>
      </vt:variant>
      <vt:variant>
        <vt:i4>429</vt:i4>
      </vt:variant>
      <vt:variant>
        <vt:i4>0</vt:i4>
      </vt:variant>
      <vt:variant>
        <vt:i4>5</vt:i4>
      </vt:variant>
      <vt:variant>
        <vt:lpwstr>https://grattan.edu.au/wp-content/uploads/2016/12/883-Shared-interest-A-universal-loan-fee-for-HELP.pdf</vt:lpwstr>
      </vt:variant>
      <vt:variant>
        <vt:lpwstr/>
      </vt:variant>
      <vt:variant>
        <vt:i4>3145840</vt:i4>
      </vt:variant>
      <vt:variant>
        <vt:i4>426</vt:i4>
      </vt:variant>
      <vt:variant>
        <vt:i4>0</vt:i4>
      </vt:variant>
      <vt:variant>
        <vt:i4>5</vt:i4>
      </vt:variant>
      <vt:variant>
        <vt:lpwstr>https://www.education.gov.au/australian-universities-accord/consultations/consultation-discussion-paper</vt:lpwstr>
      </vt:variant>
      <vt:variant>
        <vt:lpwstr/>
      </vt:variant>
      <vt:variant>
        <vt:i4>3014690</vt:i4>
      </vt:variant>
      <vt:variant>
        <vt:i4>423</vt:i4>
      </vt:variant>
      <vt:variant>
        <vt:i4>0</vt:i4>
      </vt:variant>
      <vt:variant>
        <vt:i4>5</vt:i4>
      </vt:variant>
      <vt:variant>
        <vt:lpwstr>https://www.rba.gov.au/inflation/measures-cpi.html</vt:lpwstr>
      </vt:variant>
      <vt:variant>
        <vt:lpwstr/>
      </vt:variant>
      <vt:variant>
        <vt:i4>720907</vt:i4>
      </vt:variant>
      <vt:variant>
        <vt:i4>420</vt:i4>
      </vt:variant>
      <vt:variant>
        <vt:i4>0</vt:i4>
      </vt:variant>
      <vt:variant>
        <vt:i4>5</vt:i4>
      </vt:variant>
      <vt:variant>
        <vt:lpwstr>https://www.abs.gov.au/statistics/labour/employment-and-unemployment/barriers-and-incentives-labour-force-participation-australia/latest-release</vt:lpwstr>
      </vt:variant>
      <vt:variant>
        <vt:lpwstr/>
      </vt:variant>
      <vt:variant>
        <vt:i4>458753</vt:i4>
      </vt:variant>
      <vt:variant>
        <vt:i4>417</vt:i4>
      </vt:variant>
      <vt:variant>
        <vt:i4>0</vt:i4>
      </vt:variant>
      <vt:variant>
        <vt:i4>5</vt:i4>
      </vt:variant>
      <vt:variant>
        <vt:lpwstr>https://www.pc.gov.au/inquiries/completed/productivity-review/report/productivity-review.pdf</vt:lpwstr>
      </vt:variant>
      <vt:variant>
        <vt:lpwstr/>
      </vt:variant>
      <vt:variant>
        <vt:i4>3932284</vt:i4>
      </vt:variant>
      <vt:variant>
        <vt:i4>414</vt:i4>
      </vt:variant>
      <vt:variant>
        <vt:i4>0</vt:i4>
      </vt:variant>
      <vt:variant>
        <vt:i4>5</vt:i4>
      </vt:variant>
      <vt:variant>
        <vt:lpwstr>https://brucejchapman.com/wp-content/uploads/2018/12/The-rationale-for-the-HECS.pdf</vt:lpwstr>
      </vt:variant>
      <vt:variant>
        <vt:lpwstr/>
      </vt:variant>
      <vt:variant>
        <vt:i4>3211323</vt:i4>
      </vt:variant>
      <vt:variant>
        <vt:i4>411</vt:i4>
      </vt:variant>
      <vt:variant>
        <vt:i4>0</vt:i4>
      </vt:variant>
      <vt:variant>
        <vt:i4>5</vt:i4>
      </vt:variant>
      <vt:variant>
        <vt:lpwstr>https://www.nytimes.com/2018/04/02/upshot/an-international-final-four-which-country-handles-student-debt-best.html</vt:lpwstr>
      </vt:variant>
      <vt:variant>
        <vt:lpwstr/>
      </vt:variant>
      <vt:variant>
        <vt:i4>4194381</vt:i4>
      </vt:variant>
      <vt:variant>
        <vt:i4>408</vt:i4>
      </vt:variant>
      <vt:variant>
        <vt:i4>0</vt:i4>
      </vt:variant>
      <vt:variant>
        <vt:i4>5</vt:i4>
      </vt:variant>
      <vt:variant>
        <vt:lpwstr>https://universitiesaustralia.edu.au/wp-content/uploads/2022/12/UA22005-Accord-Submission-FA.pdf</vt:lpwstr>
      </vt:variant>
      <vt:variant>
        <vt:lpwstr/>
      </vt:variant>
      <vt:variant>
        <vt:i4>2293823</vt:i4>
      </vt:variant>
      <vt:variant>
        <vt:i4>405</vt:i4>
      </vt:variant>
      <vt:variant>
        <vt:i4>0</vt:i4>
      </vt:variant>
      <vt:variant>
        <vt:i4>5</vt:i4>
      </vt:variant>
      <vt:variant>
        <vt:lpwstr>https://parlinfo.aph.gov.au/parlInfo/search/display/display.w3p;query=Id%3A%22legislation%2Fems%2Fr6584_ems_79c2b067-a1b7-4c5d-949a-73e246023baa%22</vt:lpwstr>
      </vt:variant>
      <vt:variant>
        <vt:lpwstr/>
      </vt:variant>
      <vt:variant>
        <vt:i4>4128871</vt:i4>
      </vt:variant>
      <vt:variant>
        <vt:i4>402</vt:i4>
      </vt:variant>
      <vt:variant>
        <vt:i4>0</vt:i4>
      </vt:variant>
      <vt:variant>
        <vt:i4>5</vt:i4>
      </vt:variant>
      <vt:variant>
        <vt:lpwstr>https://www.education.gov.au/quality-schools-package/resources/independent-review-regional-rural-and-remote-education-final-report</vt:lpwstr>
      </vt:variant>
      <vt:variant>
        <vt:lpwstr/>
      </vt:variant>
      <vt:variant>
        <vt:i4>1572887</vt:i4>
      </vt:variant>
      <vt:variant>
        <vt:i4>399</vt:i4>
      </vt:variant>
      <vt:variant>
        <vt:i4>0</vt:i4>
      </vt:variant>
      <vt:variant>
        <vt:i4>5</vt:i4>
      </vt:variant>
      <vt:variant>
        <vt:lpwstr>https://www.servicesaustralia.gov.au/income-bank</vt:lpwstr>
      </vt:variant>
      <vt:variant>
        <vt:lpwstr/>
      </vt:variant>
      <vt:variant>
        <vt:i4>8060960</vt:i4>
      </vt:variant>
      <vt:variant>
        <vt:i4>396</vt:i4>
      </vt:variant>
      <vt:variant>
        <vt:i4>0</vt:i4>
      </vt:variant>
      <vt:variant>
        <vt:i4>5</vt:i4>
      </vt:variant>
      <vt:variant>
        <vt:lpwstr>https://www.servicesaustralia.gov.au/income-test-for-jobseeker-payment</vt:lpwstr>
      </vt:variant>
      <vt:variant>
        <vt:lpwstr/>
      </vt:variant>
      <vt:variant>
        <vt:i4>1966080</vt:i4>
      </vt:variant>
      <vt:variant>
        <vt:i4>393</vt:i4>
      </vt:variant>
      <vt:variant>
        <vt:i4>0</vt:i4>
      </vt:variant>
      <vt:variant>
        <vt:i4>5</vt:i4>
      </vt:variant>
      <vt:variant>
        <vt:lpwstr>https://www.dss.gov.au/groups-councils-and-committees-economic-inclusion-advisory-committee/interim-economic-inclusion-advisory-committee-2023-24-report</vt:lpwstr>
      </vt:variant>
      <vt:variant>
        <vt:lpwstr/>
      </vt:variant>
      <vt:variant>
        <vt:i4>1572906</vt:i4>
      </vt:variant>
      <vt:variant>
        <vt:i4>390</vt:i4>
      </vt:variant>
      <vt:variant>
        <vt:i4>0</vt:i4>
      </vt:variant>
      <vt:variant>
        <vt:i4>5</vt:i4>
      </vt:variant>
      <vt:variant>
        <vt:lpwstr>https://www.education.gov.au/system/files/documents/submission-file/2023-02/AUA_priorities_Curtin Student Guild_0.pdf</vt:lpwstr>
      </vt:variant>
      <vt:variant>
        <vt:lpwstr/>
      </vt:variant>
      <vt:variant>
        <vt:i4>3932210</vt:i4>
      </vt:variant>
      <vt:variant>
        <vt:i4>387</vt:i4>
      </vt:variant>
      <vt:variant>
        <vt:i4>0</vt:i4>
      </vt:variant>
      <vt:variant>
        <vt:i4>5</vt:i4>
      </vt:variant>
      <vt:variant>
        <vt:lpwstr>https://www.education.gov.au/system/files/documents/submission-file/2023-02/AUA_priorities_National Union of Students.pdf</vt:lpwstr>
      </vt:variant>
      <vt:variant>
        <vt:lpwstr/>
      </vt:variant>
      <vt:variant>
        <vt:i4>5570583</vt:i4>
      </vt:variant>
      <vt:variant>
        <vt:i4>384</vt:i4>
      </vt:variant>
      <vt:variant>
        <vt:i4>0</vt:i4>
      </vt:variant>
      <vt:variant>
        <vt:i4>5</vt:i4>
      </vt:variant>
      <vt:variant>
        <vt:lpwstr>https://www.lsay.edu.au/publications/search-for-lsay-publications/generation-z-life-at-22</vt:lpwstr>
      </vt:variant>
      <vt:variant>
        <vt:lpwstr/>
      </vt:variant>
      <vt:variant>
        <vt:i4>196687</vt:i4>
      </vt:variant>
      <vt:variant>
        <vt:i4>381</vt:i4>
      </vt:variant>
      <vt:variant>
        <vt:i4>0</vt:i4>
      </vt:variant>
      <vt:variant>
        <vt:i4>5</vt:i4>
      </vt:variant>
      <vt:variant>
        <vt:lpwstr>https://doi.org/10.1080/07294360.2021.1990222</vt:lpwstr>
      </vt:variant>
      <vt:variant>
        <vt:lpwstr/>
      </vt:variant>
      <vt:variant>
        <vt:i4>4456532</vt:i4>
      </vt:variant>
      <vt:variant>
        <vt:i4>378</vt:i4>
      </vt:variant>
      <vt:variant>
        <vt:i4>0</vt:i4>
      </vt:variant>
      <vt:variant>
        <vt:i4>5</vt:i4>
      </vt:variant>
      <vt:variant>
        <vt:lpwstr>https://www.ncsehe.edu.au/wp-content/uploads/2016/07/Final-Pathways-to-Higher-Education-The-Efficacy-of-Enabling-and-Sub-Bachelor-Pathways-for-Disadvantaged-Students.pdf</vt:lpwstr>
      </vt:variant>
      <vt:variant>
        <vt:lpwstr/>
      </vt:variant>
      <vt:variant>
        <vt:i4>1638473</vt:i4>
      </vt:variant>
      <vt:variant>
        <vt:i4>375</vt:i4>
      </vt:variant>
      <vt:variant>
        <vt:i4>0</vt:i4>
      </vt:variant>
      <vt:variant>
        <vt:i4>5</vt:i4>
      </vt:variant>
      <vt:variant>
        <vt:lpwstr>https://www.education.gov.au/australian-universities-accord/consultations/australian-universities-accord-panel-discussion-paper-consultation/submission/15916</vt:lpwstr>
      </vt:variant>
      <vt:variant>
        <vt:lpwstr/>
      </vt:variant>
      <vt:variant>
        <vt:i4>8257649</vt:i4>
      </vt:variant>
      <vt:variant>
        <vt:i4>372</vt:i4>
      </vt:variant>
      <vt:variant>
        <vt:i4>0</vt:i4>
      </vt:variant>
      <vt:variant>
        <vt:i4>5</vt:i4>
      </vt:variant>
      <vt:variant>
        <vt:lpwstr>https://www.education.gov.au/system/files/documents/submission-file/2023-04/AUA_tranche1_University of Newcastle.pdf</vt:lpwstr>
      </vt:variant>
      <vt:variant>
        <vt:lpwstr/>
      </vt:variant>
      <vt:variant>
        <vt:i4>7077993</vt:i4>
      </vt:variant>
      <vt:variant>
        <vt:i4>369</vt:i4>
      </vt:variant>
      <vt:variant>
        <vt:i4>0</vt:i4>
      </vt:variant>
      <vt:variant>
        <vt:i4>5</vt:i4>
      </vt:variant>
      <vt:variant>
        <vt:lpwstr>https://www.aced.edu.au/downloads/POSITION STATEMENT No 5 Mathematics Requirements for Engineering Degrees.pdf</vt:lpwstr>
      </vt:variant>
      <vt:variant>
        <vt:lpwstr/>
      </vt:variant>
      <vt:variant>
        <vt:i4>7667751</vt:i4>
      </vt:variant>
      <vt:variant>
        <vt:i4>366</vt:i4>
      </vt:variant>
      <vt:variant>
        <vt:i4>0</vt:i4>
      </vt:variant>
      <vt:variant>
        <vt:i4>5</vt:i4>
      </vt:variant>
      <vt:variant>
        <vt:lpwstr>https://www.chiefscientist.gov.au/sites/default/files/2020-09/mapping_university_prerequisites_in_australia.pdf</vt:lpwstr>
      </vt:variant>
      <vt:variant>
        <vt:lpwstr/>
      </vt:variant>
      <vt:variant>
        <vt:i4>4587534</vt:i4>
      </vt:variant>
      <vt:variant>
        <vt:i4>363</vt:i4>
      </vt:variant>
      <vt:variant>
        <vt:i4>0</vt:i4>
      </vt:variant>
      <vt:variant>
        <vt:i4>5</vt:i4>
      </vt:variant>
      <vt:variant>
        <vt:lpwstr>https://www.ncsehe.edu.au/wp-content/uploads/2022/11/2022-Dollinger-Final.pdf</vt:lpwstr>
      </vt:variant>
      <vt:variant>
        <vt:lpwstr/>
      </vt:variant>
      <vt:variant>
        <vt:i4>7733299</vt:i4>
      </vt:variant>
      <vt:variant>
        <vt:i4>360</vt:i4>
      </vt:variant>
      <vt:variant>
        <vt:i4>0</vt:i4>
      </vt:variant>
      <vt:variant>
        <vt:i4>5</vt:i4>
      </vt:variant>
      <vt:variant>
        <vt:lpwstr>https://content.vic.gov.au/sites/default/files/2020-03/Working- together-in place-Policy Framework.pdf</vt:lpwstr>
      </vt:variant>
      <vt:variant>
        <vt:lpwstr/>
      </vt:variant>
      <vt:variant>
        <vt:i4>851985</vt:i4>
      </vt:variant>
      <vt:variant>
        <vt:i4>357</vt:i4>
      </vt:variant>
      <vt:variant>
        <vt:i4>0</vt:i4>
      </vt:variant>
      <vt:variant>
        <vt:i4>5</vt:i4>
      </vt:variant>
      <vt:variant>
        <vt:lpwstr>http://hdl.handle.net/1959.13/1389888</vt:lpwstr>
      </vt:variant>
      <vt:variant>
        <vt:lpwstr/>
      </vt:variant>
      <vt:variant>
        <vt:i4>2359417</vt:i4>
      </vt:variant>
      <vt:variant>
        <vt:i4>354</vt:i4>
      </vt:variant>
      <vt:variant>
        <vt:i4>0</vt:i4>
      </vt:variant>
      <vt:variant>
        <vt:i4>5</vt:i4>
      </vt:variant>
      <vt:variant>
        <vt:lpwstr>https://www.education.gov.au/heppp/heppp-evaluation</vt:lpwstr>
      </vt:variant>
      <vt:variant>
        <vt:lpwstr/>
      </vt:variant>
      <vt:variant>
        <vt:i4>8323184</vt:i4>
      </vt:variant>
      <vt:variant>
        <vt:i4>351</vt:i4>
      </vt:variant>
      <vt:variant>
        <vt:i4>0</vt:i4>
      </vt:variant>
      <vt:variant>
        <vt:i4>5</vt:i4>
      </vt:variant>
      <vt:variant>
        <vt:lpwstr>https://education.nsw.gov.au/about-us/strategies-and-reports/our-reports-and-reviews/review-on-the-nsw-vocational-education-and-training-sector</vt:lpwstr>
      </vt:variant>
      <vt:variant>
        <vt:lpwstr/>
      </vt:variant>
      <vt:variant>
        <vt:i4>6553699</vt:i4>
      </vt:variant>
      <vt:variant>
        <vt:i4>348</vt:i4>
      </vt:variant>
      <vt:variant>
        <vt:i4>0</vt:i4>
      </vt:variant>
      <vt:variant>
        <vt:i4>5</vt:i4>
      </vt:variant>
      <vt:variant>
        <vt:lpwstr>https://www.dewr.gov.au/nci/partnership-grants-program</vt:lpwstr>
      </vt:variant>
      <vt:variant>
        <vt:lpwstr/>
      </vt:variant>
      <vt:variant>
        <vt:i4>6946930</vt:i4>
      </vt:variant>
      <vt:variant>
        <vt:i4>345</vt:i4>
      </vt:variant>
      <vt:variant>
        <vt:i4>0</vt:i4>
      </vt:variant>
      <vt:variant>
        <vt:i4>5</vt:i4>
      </vt:variant>
      <vt:variant>
        <vt:lpwstr>https://www.ncsehe.edu.au/wp-content/uploads/2015/11/Are-Low-SES-Students-Disadvantaged-in-the-University-Application-Process-November-2015.pdf</vt:lpwstr>
      </vt:variant>
      <vt:variant>
        <vt:lpwstr/>
      </vt:variant>
      <vt:variant>
        <vt:i4>6946930</vt:i4>
      </vt:variant>
      <vt:variant>
        <vt:i4>342</vt:i4>
      </vt:variant>
      <vt:variant>
        <vt:i4>0</vt:i4>
      </vt:variant>
      <vt:variant>
        <vt:i4>5</vt:i4>
      </vt:variant>
      <vt:variant>
        <vt:lpwstr>https://www.ncsehe.edu.au/wp-content/uploads/2015/11/Are-Low-SES-Students-Disadvantaged-in-the-University-Application-Process-November-2015.pdf</vt:lpwstr>
      </vt:variant>
      <vt:variant>
        <vt:lpwstr/>
      </vt:variant>
      <vt:variant>
        <vt:i4>1704030</vt:i4>
      </vt:variant>
      <vt:variant>
        <vt:i4>339</vt:i4>
      </vt:variant>
      <vt:variant>
        <vt:i4>0</vt:i4>
      </vt:variant>
      <vt:variant>
        <vt:i4>5</vt:i4>
      </vt:variant>
      <vt:variant>
        <vt:lpwstr>https://doi.org/10.1787/25206125</vt:lpwstr>
      </vt:variant>
      <vt:variant>
        <vt:lpwstr/>
      </vt:variant>
      <vt:variant>
        <vt:i4>7733328</vt:i4>
      </vt:variant>
      <vt:variant>
        <vt:i4>336</vt:i4>
      </vt:variant>
      <vt:variant>
        <vt:i4>0</vt:i4>
      </vt:variant>
      <vt:variant>
        <vt:i4>5</vt:i4>
      </vt:variant>
      <vt:variant>
        <vt:lpwstr>https://www.oecd-ilibrary.org/employment/strengthening-career-guidance-for-mid-career-adults-in-australia_e08803ce-en</vt:lpwstr>
      </vt:variant>
      <vt:variant>
        <vt:lpwstr/>
      </vt:variant>
      <vt:variant>
        <vt:i4>6553710</vt:i4>
      </vt:variant>
      <vt:variant>
        <vt:i4>333</vt:i4>
      </vt:variant>
      <vt:variant>
        <vt:i4>0</vt:i4>
      </vt:variant>
      <vt:variant>
        <vt:i4>5</vt:i4>
      </vt:variant>
      <vt:variant>
        <vt:lpwstr>https://www.education.gov.au/access-and-participation/resources/national-regional-rural-and-remote-tertiary-education-strategy-final-report</vt:lpwstr>
      </vt:variant>
      <vt:variant>
        <vt:lpwstr/>
      </vt:variant>
      <vt:variant>
        <vt:i4>2949148</vt:i4>
      </vt:variant>
      <vt:variant>
        <vt:i4>330</vt:i4>
      </vt:variant>
      <vt:variant>
        <vt:i4>0</vt:i4>
      </vt:variant>
      <vt:variant>
        <vt:i4>5</vt:i4>
      </vt:variant>
      <vt:variant>
        <vt:lpwstr>https://www.education.gov.au/system/files/2023-09/AUA_inter_tranche6a_139 National Association of Graduate Careers Advisory Services %28NAGCAS%29.pdf</vt:lpwstr>
      </vt:variant>
      <vt:variant>
        <vt:lpwstr/>
      </vt:variant>
      <vt:variant>
        <vt:i4>3539033</vt:i4>
      </vt:variant>
      <vt:variant>
        <vt:i4>327</vt:i4>
      </vt:variant>
      <vt:variant>
        <vt:i4>0</vt:i4>
      </vt:variant>
      <vt:variant>
        <vt:i4>5</vt:i4>
      </vt:variant>
      <vt:variant>
        <vt:lpwstr>https://documents.uow.edu.au/content/groups/public/@web/@dvce/@in2uni/documents/doc/uow264921.pdf</vt:lpwstr>
      </vt:variant>
      <vt:variant>
        <vt:lpwstr/>
      </vt:variant>
      <vt:variant>
        <vt:i4>2555949</vt:i4>
      </vt:variant>
      <vt:variant>
        <vt:i4>324</vt:i4>
      </vt:variant>
      <vt:variant>
        <vt:i4>0</vt:i4>
      </vt:variant>
      <vt:variant>
        <vt:i4>5</vt:i4>
      </vt:variant>
      <vt:variant>
        <vt:lpwstr>https://www.ncsehe.edu.au/publications/careers-study-information-low-ses-students/</vt:lpwstr>
      </vt:variant>
      <vt:variant>
        <vt:lpwstr/>
      </vt:variant>
      <vt:variant>
        <vt:i4>5636173</vt:i4>
      </vt:variant>
      <vt:variant>
        <vt:i4>321</vt:i4>
      </vt:variant>
      <vt:variant>
        <vt:i4>0</vt:i4>
      </vt:variant>
      <vt:variant>
        <vt:i4>5</vt:i4>
      </vt:variant>
      <vt:variant>
        <vt:lpwstr>https://www.ncsehe.edu.au/wp-content/uploads/2022/11/2022-NCSEHE-Austin-Final.pdf</vt:lpwstr>
      </vt:variant>
      <vt:variant>
        <vt:lpwstr/>
      </vt:variant>
      <vt:variant>
        <vt:i4>3145783</vt:i4>
      </vt:variant>
      <vt:variant>
        <vt:i4>318</vt:i4>
      </vt:variant>
      <vt:variant>
        <vt:i4>0</vt:i4>
      </vt:variant>
      <vt:variant>
        <vt:i4>5</vt:i4>
      </vt:variant>
      <vt:variant>
        <vt:lpwstr>https://doi.org/10.5204/ssj.v11i1.1458</vt:lpwstr>
      </vt:variant>
      <vt:variant>
        <vt:lpwstr/>
      </vt:variant>
      <vt:variant>
        <vt:i4>1835020</vt:i4>
      </vt:variant>
      <vt:variant>
        <vt:i4>315</vt:i4>
      </vt:variant>
      <vt:variant>
        <vt:i4>0</vt:i4>
      </vt:variant>
      <vt:variant>
        <vt:i4>5</vt:i4>
      </vt:variant>
      <vt:variant>
        <vt:lpwstr>https://doi.org/10.47381/aijre.v28i1.167</vt:lpwstr>
      </vt:variant>
      <vt:variant>
        <vt:lpwstr/>
      </vt:variant>
      <vt:variant>
        <vt:i4>2949239</vt:i4>
      </vt:variant>
      <vt:variant>
        <vt:i4>312</vt:i4>
      </vt:variant>
      <vt:variant>
        <vt:i4>0</vt:i4>
      </vt:variant>
      <vt:variant>
        <vt:i4>5</vt:i4>
      </vt:variant>
      <vt:variant>
        <vt:lpwstr>https://doi.org/10.25904/1912/4989</vt:lpwstr>
      </vt:variant>
      <vt:variant>
        <vt:lpwstr/>
      </vt:variant>
      <vt:variant>
        <vt:i4>2490480</vt:i4>
      </vt:variant>
      <vt:variant>
        <vt:i4>309</vt:i4>
      </vt:variant>
      <vt:variant>
        <vt:i4>0</vt:i4>
      </vt:variant>
      <vt:variant>
        <vt:i4>5</vt:i4>
      </vt:variant>
      <vt:variant>
        <vt:lpwstr>https://www.education.gov.au/system/files/documents/submission-file/2023-07/Higher Education Standards Panel %28HESP%29.pdf</vt:lpwstr>
      </vt:variant>
      <vt:variant>
        <vt:lpwstr/>
      </vt:variant>
      <vt:variant>
        <vt:i4>786507</vt:i4>
      </vt:variant>
      <vt:variant>
        <vt:i4>306</vt:i4>
      </vt:variant>
      <vt:variant>
        <vt:i4>0</vt:i4>
      </vt:variant>
      <vt:variant>
        <vt:i4>5</vt:i4>
      </vt:variant>
      <vt:variant>
        <vt:lpwstr>https://research.acer.edu.au/cgi/viewcontent.cgi?article=1056&amp;context=ozpisa</vt:lpwstr>
      </vt:variant>
      <vt:variant>
        <vt:lpwstr/>
      </vt:variant>
      <vt:variant>
        <vt:i4>3866722</vt:i4>
      </vt:variant>
      <vt:variant>
        <vt:i4>303</vt:i4>
      </vt:variant>
      <vt:variant>
        <vt:i4>0</vt:i4>
      </vt:variant>
      <vt:variant>
        <vt:i4>5</vt:i4>
      </vt:variant>
      <vt:variant>
        <vt:lpwstr>https://www.pc.gov.au/research/completed/university-report-card/university-report-card.pdf</vt:lpwstr>
      </vt:variant>
      <vt:variant>
        <vt:lpwstr/>
      </vt:variant>
      <vt:variant>
        <vt:i4>6946926</vt:i4>
      </vt:variant>
      <vt:variant>
        <vt:i4>300</vt:i4>
      </vt:variant>
      <vt:variant>
        <vt:i4>0</vt:i4>
      </vt:variant>
      <vt:variant>
        <vt:i4>5</vt:i4>
      </vt:variant>
      <vt:variant>
        <vt:lpwstr>https://www.education.gov.au/higher-education-statistics/resources/2022-section-16-equity-performance-data</vt:lpwstr>
      </vt:variant>
      <vt:variant>
        <vt:lpwstr/>
      </vt:variant>
      <vt:variant>
        <vt:i4>5374018</vt:i4>
      </vt:variant>
      <vt:variant>
        <vt:i4>297</vt:i4>
      </vt:variant>
      <vt:variant>
        <vt:i4>0</vt:i4>
      </vt:variant>
      <vt:variant>
        <vt:i4>5</vt:i4>
      </vt:variant>
      <vt:variant>
        <vt:lpwstr>http://dx.doi.org/10.1080/13603116.2015.1079273.</vt:lpwstr>
      </vt:variant>
      <vt:variant>
        <vt:lpwstr/>
      </vt:variant>
      <vt:variant>
        <vt:i4>786525</vt:i4>
      </vt:variant>
      <vt:variant>
        <vt:i4>294</vt:i4>
      </vt:variant>
      <vt:variant>
        <vt:i4>0</vt:i4>
      </vt:variant>
      <vt:variant>
        <vt:i4>5</vt:i4>
      </vt:variant>
      <vt:variant>
        <vt:lpwstr>https://www.ncsehe.edu.au/wp-content/uploads/2015/03/Out-of-Care-Into-University.pdf</vt:lpwstr>
      </vt:variant>
      <vt:variant>
        <vt:lpwstr/>
      </vt:variant>
      <vt:variant>
        <vt:i4>4390935</vt:i4>
      </vt:variant>
      <vt:variant>
        <vt:i4>291</vt:i4>
      </vt:variant>
      <vt:variant>
        <vt:i4>0</vt:i4>
      </vt:variant>
      <vt:variant>
        <vt:i4>5</vt:i4>
      </vt:variant>
      <vt:variant>
        <vt:lpwstr>https://www.aph.gov.au/Parliamentary_Business/Bills_Legislation/Bills_Search_Results/Result?bId=r7060</vt:lpwstr>
      </vt:variant>
      <vt:variant>
        <vt:lpwstr/>
      </vt:variant>
      <vt:variant>
        <vt:i4>544407639</vt:i4>
      </vt:variant>
      <vt:variant>
        <vt:i4>288</vt:i4>
      </vt:variant>
      <vt:variant>
        <vt:i4>0</vt:i4>
      </vt:variant>
      <vt:variant>
        <vt:i4>5</vt:i4>
      </vt:variant>
      <vt:variant>
        <vt:lpwstr>https://espace.library.uq.edu.au/vie‌w/UQ:bd8a044/Review_of_E‌quity_Groups_‌Final‌_‌Report.pdf?dsi_version‌=b28‌8‌c‌4‌5‌b247e4dbcd7bf879e09724b9c</vt:lpwstr>
      </vt:variant>
      <vt:variant>
        <vt:lpwstr/>
      </vt:variant>
      <vt:variant>
        <vt:i4>4980823</vt:i4>
      </vt:variant>
      <vt:variant>
        <vt:i4>285</vt:i4>
      </vt:variant>
      <vt:variant>
        <vt:i4>0</vt:i4>
      </vt:variant>
      <vt:variant>
        <vt:i4>5</vt:i4>
      </vt:variant>
      <vt:variant>
        <vt:lpwstr>https://tafeqld.edu.au/‌campaigns‌/‌queensland-‌future-skills-partnership</vt:lpwstr>
      </vt:variant>
      <vt:variant>
        <vt:lpwstr/>
      </vt:variant>
      <vt:variant>
        <vt:i4>2883689</vt:i4>
      </vt:variant>
      <vt:variant>
        <vt:i4>282</vt:i4>
      </vt:variant>
      <vt:variant>
        <vt:i4>0</vt:i4>
      </vt:variant>
      <vt:variant>
        <vt:i4>5</vt:i4>
      </vt:variant>
      <vt:variant>
        <vt:lpwstr>https://www.education.gov.au/australian-universities-accord/resources/think-change-resolve-tertiary-education-innovation-report</vt:lpwstr>
      </vt:variant>
      <vt:variant>
        <vt:lpwstr/>
      </vt:variant>
      <vt:variant>
        <vt:i4>2621473</vt:i4>
      </vt:variant>
      <vt:variant>
        <vt:i4>279</vt:i4>
      </vt:variant>
      <vt:variant>
        <vt:i4>0</vt:i4>
      </vt:variant>
      <vt:variant>
        <vt:i4>5</vt:i4>
      </vt:variant>
      <vt:variant>
        <vt:lpwstr>https://universitiesaustralia.edu.au/wp-content/uploads/2022/03/WIL-in-universities-final-report-April-2019.pdf</vt:lpwstr>
      </vt:variant>
      <vt:variant>
        <vt:lpwstr/>
      </vt:variant>
      <vt:variant>
        <vt:i4>4390991</vt:i4>
      </vt:variant>
      <vt:variant>
        <vt:i4>276</vt:i4>
      </vt:variant>
      <vt:variant>
        <vt:i4>0</vt:i4>
      </vt:variant>
      <vt:variant>
        <vt:i4>5</vt:i4>
      </vt:variant>
      <vt:variant>
        <vt:lpwstr>https://atn.edu.au/wp-content/uploads/2021/12/atn01-phd-report-web-single.pdf</vt:lpwstr>
      </vt:variant>
      <vt:variant>
        <vt:lpwstr/>
      </vt:variant>
      <vt:variant>
        <vt:i4>7864387</vt:i4>
      </vt:variant>
      <vt:variant>
        <vt:i4>273</vt:i4>
      </vt:variant>
      <vt:variant>
        <vt:i4>0</vt:i4>
      </vt:variant>
      <vt:variant>
        <vt:i4>5</vt:i4>
      </vt:variant>
      <vt:variant>
        <vt:lpwstr>https://www.oecd-ilibrary.org/education/data/education-at-a-glance/educational-attainment-and-labour-force-status_889e8641-en</vt:lpwstr>
      </vt:variant>
      <vt:variant>
        <vt:lpwstr/>
      </vt:variant>
      <vt:variant>
        <vt:i4>4849749</vt:i4>
      </vt:variant>
      <vt:variant>
        <vt:i4>270</vt:i4>
      </vt:variant>
      <vt:variant>
        <vt:i4>0</vt:i4>
      </vt:variant>
      <vt:variant>
        <vt:i4>5</vt:i4>
      </vt:variant>
      <vt:variant>
        <vt:lpwstr>https://www.teqsa.gov.au/guides-resources/resources/guidance-notes/guidance-note-nested-courses-study</vt:lpwstr>
      </vt:variant>
      <vt:variant>
        <vt:lpwstr/>
      </vt:variant>
      <vt:variant>
        <vt:i4>983117</vt:i4>
      </vt:variant>
      <vt:variant>
        <vt:i4>267</vt:i4>
      </vt:variant>
      <vt:variant>
        <vt:i4>0</vt:i4>
      </vt:variant>
      <vt:variant>
        <vt:i4>5</vt:i4>
      </vt:variant>
      <vt:variant>
        <vt:lpwstr>https://www.education.gov.au/higher-education-publications/resources/national-microcredentials-framework</vt:lpwstr>
      </vt:variant>
      <vt:variant>
        <vt:lpwstr/>
      </vt:variant>
      <vt:variant>
        <vt:i4>851977</vt:i4>
      </vt:variant>
      <vt:variant>
        <vt:i4>264</vt:i4>
      </vt:variant>
      <vt:variant>
        <vt:i4>0</vt:i4>
      </vt:variant>
      <vt:variant>
        <vt:i4>5</vt:i4>
      </vt:variant>
      <vt:variant>
        <vt:lpwstr>https://www.acs.org.au/professionalrecognition/microcredentials-home.html</vt:lpwstr>
      </vt:variant>
      <vt:variant>
        <vt:lpwstr/>
      </vt:variant>
      <vt:variant>
        <vt:i4>7995454</vt:i4>
      </vt:variant>
      <vt:variant>
        <vt:i4>261</vt:i4>
      </vt:variant>
      <vt:variant>
        <vt:i4>0</vt:i4>
      </vt:variant>
      <vt:variant>
        <vt:i4>5</vt:i4>
      </vt:variant>
      <vt:variant>
        <vt:lpwstr>https://www.officeforstudents.org.uk/advice-and-guidance/skills-and-employment/higher-education-short-course-trial/</vt:lpwstr>
      </vt:variant>
      <vt:variant>
        <vt:lpwstr/>
      </vt:variant>
      <vt:variant>
        <vt:i4>655388</vt:i4>
      </vt:variant>
      <vt:variant>
        <vt:i4>258</vt:i4>
      </vt:variant>
      <vt:variant>
        <vt:i4>0</vt:i4>
      </vt:variant>
      <vt:variant>
        <vt:i4>5</vt:i4>
      </vt:variant>
      <vt:variant>
        <vt:lpwstr>https://www2.nzqa.govt.nz/tertiary/approval-accreditation-and-registration/micro-credentials/</vt:lpwstr>
      </vt:variant>
      <vt:variant>
        <vt:lpwstr/>
      </vt:variant>
      <vt:variant>
        <vt:i4>3997736</vt:i4>
      </vt:variant>
      <vt:variant>
        <vt:i4>255</vt:i4>
      </vt:variant>
      <vt:variant>
        <vt:i4>0</vt:i4>
      </vt:variant>
      <vt:variant>
        <vt:i4>5</vt:i4>
      </vt:variant>
      <vt:variant>
        <vt:lpwstr>https://www.pc.gov.au/inquiries/completed/productivity/report/productivity-volume8-education-skills.pdf</vt:lpwstr>
      </vt:variant>
      <vt:variant>
        <vt:lpwstr/>
      </vt:variant>
      <vt:variant>
        <vt:i4>1638489</vt:i4>
      </vt:variant>
      <vt:variant>
        <vt:i4>252</vt:i4>
      </vt:variant>
      <vt:variant>
        <vt:i4>0</vt:i4>
      </vt:variant>
      <vt:variant>
        <vt:i4>5</vt:i4>
      </vt:variant>
      <vt:variant>
        <vt:lpwstr>http://hdl.voced.edu.au/10707/162333</vt:lpwstr>
      </vt:variant>
      <vt:variant>
        <vt:lpwstr/>
      </vt:variant>
      <vt:variant>
        <vt:i4>794751</vt:i4>
      </vt:variant>
      <vt:variant>
        <vt:i4>249</vt:i4>
      </vt:variant>
      <vt:variant>
        <vt:i4>0</vt:i4>
      </vt:variant>
      <vt:variant>
        <vt:i4>5</vt:i4>
      </vt:variant>
      <vt:variant>
        <vt:lpwstr>https://www.oecd-ilibrary.org/docserver/e13bef63-en.pdf?expires=1702424845&amp;id=id&amp;accname=guest‌&amp;checksum=911‌13B459B04‌9A3E‌3‌9F8C1D230A37A21</vt:lpwstr>
      </vt:variant>
      <vt:variant>
        <vt:lpwstr/>
      </vt:variant>
      <vt:variant>
        <vt:i4>1507331</vt:i4>
      </vt:variant>
      <vt:variant>
        <vt:i4>246</vt:i4>
      </vt:variant>
      <vt:variant>
        <vt:i4>0</vt:i4>
      </vt:variant>
      <vt:variant>
        <vt:i4>5</vt:i4>
      </vt:variant>
      <vt:variant>
        <vt:lpwstr>https://www.skillfinder.com.au/page/about</vt:lpwstr>
      </vt:variant>
      <vt:variant>
        <vt:lpwstr/>
      </vt:variant>
      <vt:variant>
        <vt:i4>1179719</vt:i4>
      </vt:variant>
      <vt:variant>
        <vt:i4>243</vt:i4>
      </vt:variant>
      <vt:variant>
        <vt:i4>0</vt:i4>
      </vt:variant>
      <vt:variant>
        <vt:i4>5</vt:i4>
      </vt:variant>
      <vt:variant>
        <vt:lpwstr>https://www.courseseeker.edu.au/</vt:lpwstr>
      </vt:variant>
      <vt:variant>
        <vt:lpwstr/>
      </vt:variant>
      <vt:variant>
        <vt:i4>5046274</vt:i4>
      </vt:variant>
      <vt:variant>
        <vt:i4>240</vt:i4>
      </vt:variant>
      <vt:variant>
        <vt:i4>0</vt:i4>
      </vt:variant>
      <vt:variant>
        <vt:i4>5</vt:i4>
      </vt:variant>
      <vt:variant>
        <vt:lpwstr>https://www.microcredseeker.edu.au/about</vt:lpwstr>
      </vt:variant>
      <vt:variant>
        <vt:lpwstr/>
      </vt:variant>
      <vt:variant>
        <vt:i4>3932196</vt:i4>
      </vt:variant>
      <vt:variant>
        <vt:i4>237</vt:i4>
      </vt:variant>
      <vt:variant>
        <vt:i4>0</vt:i4>
      </vt:variant>
      <vt:variant>
        <vt:i4>5</vt:i4>
      </vt:variant>
      <vt:variant>
        <vt:lpwstr>https://www.yourcareer.gov.au/learn-and-train/myskills</vt:lpwstr>
      </vt:variant>
      <vt:variant>
        <vt:lpwstr/>
      </vt:variant>
      <vt:variant>
        <vt:i4>1769476</vt:i4>
      </vt:variant>
      <vt:variant>
        <vt:i4>234</vt:i4>
      </vt:variant>
      <vt:variant>
        <vt:i4>0</vt:i4>
      </vt:variant>
      <vt:variant>
        <vt:i4>5</vt:i4>
      </vt:variant>
      <vt:variant>
        <vt:lpwstr>https://www.education.gov.au/quality-schools-package/resources/looking-future-report-review-senior-secondary-pathways-work-further-education-and-training</vt:lpwstr>
      </vt:variant>
      <vt:variant>
        <vt:lpwstr/>
      </vt:variant>
      <vt:variant>
        <vt:i4>7667754</vt:i4>
      </vt:variant>
      <vt:variant>
        <vt:i4>231</vt:i4>
      </vt:variant>
      <vt:variant>
        <vt:i4>0</vt:i4>
      </vt:variant>
      <vt:variant>
        <vt:i4>5</vt:i4>
      </vt:variant>
      <vt:variant>
        <vt:lpwstr>https://www.pmc.gov.au/publications/strengthening-skills-expert-review-australias-vocational-education-and-training-system</vt:lpwstr>
      </vt:variant>
      <vt:variant>
        <vt:lpwstr/>
      </vt:variant>
      <vt:variant>
        <vt:i4>2949232</vt:i4>
      </vt:variant>
      <vt:variant>
        <vt:i4>225</vt:i4>
      </vt:variant>
      <vt:variant>
        <vt:i4>0</vt:i4>
      </vt:variant>
      <vt:variant>
        <vt:i4>5</vt:i4>
      </vt:variant>
      <vt:variant>
        <vt:lpwstr>https://www.northmetrotafe.wa.edu.au/news-and-events/joining-forces-tackle-ongoing-cyber-security-challenge</vt:lpwstr>
      </vt:variant>
      <vt:variant>
        <vt:lpwstr/>
      </vt:variant>
      <vt:variant>
        <vt:i4>4128868</vt:i4>
      </vt:variant>
      <vt:variant>
        <vt:i4>222</vt:i4>
      </vt:variant>
      <vt:variant>
        <vt:i4>0</vt:i4>
      </vt:variant>
      <vt:variant>
        <vt:i4>5</vt:i4>
      </vt:variant>
      <vt:variant>
        <vt:lpwstr>https://www.education.gov.au/higher-education-reviews-and-consultations/resources/review-australian-qualifications-framework-final-report-2019</vt:lpwstr>
      </vt:variant>
      <vt:variant>
        <vt:lpwstr/>
      </vt:variant>
      <vt:variant>
        <vt:i4>1900631</vt:i4>
      </vt:variant>
      <vt:variant>
        <vt:i4>219</vt:i4>
      </vt:variant>
      <vt:variant>
        <vt:i4>0</vt:i4>
      </vt:variant>
      <vt:variant>
        <vt:i4>5</vt:i4>
      </vt:variant>
      <vt:variant>
        <vt:lpwstr>https://www.education.gov.au/system/files/documents/submission-file/2023-04/AUA_tranche4_Sally Kift.pdf</vt:lpwstr>
      </vt:variant>
      <vt:variant>
        <vt:lpwstr/>
      </vt:variant>
      <vt:variant>
        <vt:i4>1572956</vt:i4>
      </vt:variant>
      <vt:variant>
        <vt:i4>216</vt:i4>
      </vt:variant>
      <vt:variant>
        <vt:i4>0</vt:i4>
      </vt:variant>
      <vt:variant>
        <vt:i4>5</vt:i4>
      </vt:variant>
      <vt:variant>
        <vt:lpwstr>https://www.aqf.edu.au/about/what-aqf</vt:lpwstr>
      </vt:variant>
      <vt:variant>
        <vt:lpwstr/>
      </vt:variant>
      <vt:variant>
        <vt:i4>8323118</vt:i4>
      </vt:variant>
      <vt:variant>
        <vt:i4>213</vt:i4>
      </vt:variant>
      <vt:variant>
        <vt:i4>0</vt:i4>
      </vt:variant>
      <vt:variant>
        <vt:i4>5</vt:i4>
      </vt:variant>
      <vt:variant>
        <vt:lpwstr>https://www.jobsandskills.gov.au/studies/clean-energy-capacity-study</vt:lpwstr>
      </vt:variant>
      <vt:variant>
        <vt:lpwstr>finalreport</vt:lpwstr>
      </vt:variant>
      <vt:variant>
        <vt:i4>6553722</vt:i4>
      </vt:variant>
      <vt:variant>
        <vt:i4>210</vt:i4>
      </vt:variant>
      <vt:variant>
        <vt:i4>0</vt:i4>
      </vt:variant>
      <vt:variant>
        <vt:i4>5</vt:i4>
      </vt:variant>
      <vt:variant>
        <vt:lpwstr>https://www.pc.gov.au/inquiries/completed/productivity/report/productivity-volume5-innovation-diffusion.pdf</vt:lpwstr>
      </vt:variant>
      <vt:variant>
        <vt:lpwstr/>
      </vt:variant>
      <vt:variant>
        <vt:i4>5177347</vt:i4>
      </vt:variant>
      <vt:variant>
        <vt:i4>207</vt:i4>
      </vt:variant>
      <vt:variant>
        <vt:i4>0</vt:i4>
      </vt:variant>
      <vt:variant>
        <vt:i4>5</vt:i4>
      </vt:variant>
      <vt:variant>
        <vt:lpwstr>https://www.deloitte.com/au/en/services/economics/perspectives/soft-skills-business-success.html</vt:lpwstr>
      </vt:variant>
      <vt:variant>
        <vt:lpwstr/>
      </vt:variant>
      <vt:variant>
        <vt:i4>131096</vt:i4>
      </vt:variant>
      <vt:variant>
        <vt:i4>204</vt:i4>
      </vt:variant>
      <vt:variant>
        <vt:i4>0</vt:i4>
      </vt:variant>
      <vt:variant>
        <vt:i4>5</vt:i4>
      </vt:variant>
      <vt:variant>
        <vt:lpwstr>https://www.yourcareer.gov.au/resources/australian-jobs-report</vt:lpwstr>
      </vt:variant>
      <vt:variant>
        <vt:lpwstr>download-the-full-publication-2</vt:lpwstr>
      </vt:variant>
      <vt:variant>
        <vt:i4>3473492</vt:i4>
      </vt:variant>
      <vt:variant>
        <vt:i4>201</vt:i4>
      </vt:variant>
      <vt:variant>
        <vt:i4>0</vt:i4>
      </vt:variant>
      <vt:variant>
        <vt:i4>5</vt:i4>
      </vt:variant>
      <vt:variant>
        <vt:lpwstr>https://www.education.gov.au/system/files/2023-09/AUA_inter_tranche7_157 Australian Industry Group.pdf</vt:lpwstr>
      </vt:variant>
      <vt:variant>
        <vt:lpwstr/>
      </vt:variant>
      <vt:variant>
        <vt:i4>7929934</vt:i4>
      </vt:variant>
      <vt:variant>
        <vt:i4>198</vt:i4>
      </vt:variant>
      <vt:variant>
        <vt:i4>0</vt:i4>
      </vt:variant>
      <vt:variant>
        <vt:i4>5</vt:i4>
      </vt:variant>
      <vt:variant>
        <vt:lpwstr>https://www.education.gov.au/system/files/2023-09/AUA_inter_tranche8_168 Business Council of Australia.pdf</vt:lpwstr>
      </vt:variant>
      <vt:variant>
        <vt:lpwstr/>
      </vt:variant>
      <vt:variant>
        <vt:i4>2228241</vt:i4>
      </vt:variant>
      <vt:variant>
        <vt:i4>195</vt:i4>
      </vt:variant>
      <vt:variant>
        <vt:i4>0</vt:i4>
      </vt:variant>
      <vt:variant>
        <vt:i4>5</vt:i4>
      </vt:variant>
      <vt:variant>
        <vt:lpwstr>https://www.education.gov.au/system/files/2023-09/AUA_inter_tranche9a_192 Australian Chamber of Commerce and Industry.pdf</vt:lpwstr>
      </vt:variant>
      <vt:variant>
        <vt:lpwstr/>
      </vt:variant>
      <vt:variant>
        <vt:i4>5439575</vt:i4>
      </vt:variant>
      <vt:variant>
        <vt:i4>192</vt:i4>
      </vt:variant>
      <vt:variant>
        <vt:i4>0</vt:i4>
      </vt:variant>
      <vt:variant>
        <vt:i4>5</vt:i4>
      </vt:variant>
      <vt:variant>
        <vt:lpwstr>https://www.health.gov.au/our-work/national-medical-workforce-strategy-2021-2031</vt:lpwstr>
      </vt:variant>
      <vt:variant>
        <vt:lpwstr/>
      </vt:variant>
      <vt:variant>
        <vt:i4>6357088</vt:i4>
      </vt:variant>
      <vt:variant>
        <vt:i4>189</vt:i4>
      </vt:variant>
      <vt:variant>
        <vt:i4>0</vt:i4>
      </vt:variant>
      <vt:variant>
        <vt:i4>5</vt:i4>
      </vt:variant>
      <vt:variant>
        <vt:lpwstr>https://www.ava.com.au/news/ava-federal-government-pre-budget--submission-may-2023-budget/</vt:lpwstr>
      </vt:variant>
      <vt:variant>
        <vt:lpwstr/>
      </vt:variant>
      <vt:variant>
        <vt:i4>1179726</vt:i4>
      </vt:variant>
      <vt:variant>
        <vt:i4>186</vt:i4>
      </vt:variant>
      <vt:variant>
        <vt:i4>0</vt:i4>
      </vt:variant>
      <vt:variant>
        <vt:i4>5</vt:i4>
      </vt:variant>
      <vt:variant>
        <vt:lpwstr>https://www.jobsandskills.gov.au/data/employment-projections</vt:lpwstr>
      </vt:variant>
      <vt:variant>
        <vt:lpwstr/>
      </vt:variant>
      <vt:variant>
        <vt:i4>983064</vt:i4>
      </vt:variant>
      <vt:variant>
        <vt:i4>183</vt:i4>
      </vt:variant>
      <vt:variant>
        <vt:i4>0</vt:i4>
      </vt:variant>
      <vt:variant>
        <vt:i4>5</vt:i4>
      </vt:variant>
      <vt:variant>
        <vt:lpwstr>https://immi.homeaffairs.gov.au/programs-subsite/migration-strategy/Documents/migration-strategy.pdf</vt:lpwstr>
      </vt:variant>
      <vt:variant>
        <vt:lpwstr/>
      </vt:variant>
      <vt:variant>
        <vt:i4>4980765</vt:i4>
      </vt:variant>
      <vt:variant>
        <vt:i4>180</vt:i4>
      </vt:variant>
      <vt:variant>
        <vt:i4>0</vt:i4>
      </vt:variant>
      <vt:variant>
        <vt:i4>5</vt:i4>
      </vt:variant>
      <vt:variant>
        <vt:lpwstr>https://www.homeaffairs.gov.au/reports-and-publications/reviews-and-inquiries/departmental-reviews/migration-system-for-australias-future</vt:lpwstr>
      </vt:variant>
      <vt:variant>
        <vt:lpwstr/>
      </vt:variant>
      <vt:variant>
        <vt:i4>3342436</vt:i4>
      </vt:variant>
      <vt:variant>
        <vt:i4>177</vt:i4>
      </vt:variant>
      <vt:variant>
        <vt:i4>0</vt:i4>
      </vt:variant>
      <vt:variant>
        <vt:i4>5</vt:i4>
      </vt:variant>
      <vt:variant>
        <vt:lpwstr>https://treasury.gov.au/employment-whitepaper/final-report</vt:lpwstr>
      </vt:variant>
      <vt:variant>
        <vt:lpwstr/>
      </vt:variant>
      <vt:variant>
        <vt:i4>4653060</vt:i4>
      </vt:variant>
      <vt:variant>
        <vt:i4>174</vt:i4>
      </vt:variant>
      <vt:variant>
        <vt:i4>0</vt:i4>
      </vt:variant>
      <vt:variant>
        <vt:i4>5</vt:i4>
      </vt:variant>
      <vt:variant>
        <vt:lpwstr>https://www.abs.gov.au/statistics/people/education/education-and-work-australia/may-2023</vt:lpwstr>
      </vt:variant>
      <vt:variant>
        <vt:lpwstr/>
      </vt:variant>
      <vt:variant>
        <vt:i4>5570560</vt:i4>
      </vt:variant>
      <vt:variant>
        <vt:i4>171</vt:i4>
      </vt:variant>
      <vt:variant>
        <vt:i4>0</vt:i4>
      </vt:variant>
      <vt:variant>
        <vt:i4>5</vt:i4>
      </vt:variant>
      <vt:variant>
        <vt:lpwstr>https://www.theaustralian.com.au/inquirer/the-great-skills-shift-everyones-an-expert-now/news-story‌/‌8ffef7‌3‌878c4f308dde2457837e6c5de</vt:lpwstr>
      </vt:variant>
      <vt:variant>
        <vt:lpwstr/>
      </vt:variant>
      <vt:variant>
        <vt:i4>3080253</vt:i4>
      </vt:variant>
      <vt:variant>
        <vt:i4>168</vt:i4>
      </vt:variant>
      <vt:variant>
        <vt:i4>0</vt:i4>
      </vt:variant>
      <vt:variant>
        <vt:i4>5</vt:i4>
      </vt:variant>
      <vt:variant>
        <vt:lpwstr>https://www.timeshighereducation.com/world-university-rankings/2023/world-ranking</vt:lpwstr>
      </vt:variant>
      <vt:variant>
        <vt:lpwstr>!/‌length/25‌/locations‌/‌CHN/sort_by/rank/sort_order/asc/cols/stats</vt:lpwstr>
      </vt:variant>
      <vt:variant>
        <vt:i4>720971</vt:i4>
      </vt:variant>
      <vt:variant>
        <vt:i4>165</vt:i4>
      </vt:variant>
      <vt:variant>
        <vt:i4>0</vt:i4>
      </vt:variant>
      <vt:variant>
        <vt:i4>5</vt:i4>
      </vt:variant>
      <vt:variant>
        <vt:lpwstr>https://www.dfat.gov.au/sites/default/files/trade-and-investment-glance-2021.pdf</vt:lpwstr>
      </vt:variant>
      <vt:variant>
        <vt:lpwstr/>
      </vt:variant>
      <vt:variant>
        <vt:i4>393235</vt:i4>
      </vt:variant>
      <vt:variant>
        <vt:i4>162</vt:i4>
      </vt:variant>
      <vt:variant>
        <vt:i4>0</vt:i4>
      </vt:variant>
      <vt:variant>
        <vt:i4>5</vt:i4>
      </vt:variant>
      <vt:variant>
        <vt:lpwstr>https://www.education.gov.au/international-education-data-and-research/international-student-monthly-summary-and-data-tables</vt:lpwstr>
      </vt:variant>
      <vt:variant>
        <vt:lpwstr>‌:~:text=In%20the%20‌year%2Dto%2D‌date‌,‌‌the%20COVID%2D19%20pandemic</vt:lpwstr>
      </vt:variant>
      <vt:variant>
        <vt:i4>1638415</vt:i4>
      </vt:variant>
      <vt:variant>
        <vt:i4>159</vt:i4>
      </vt:variant>
      <vt:variant>
        <vt:i4>0</vt:i4>
      </vt:variant>
      <vt:variant>
        <vt:i4>5</vt:i4>
      </vt:variant>
      <vt:variant>
        <vt:lpwstr>https://www.education.gov.au/international-education-data-and-research/international-student-monthly-summary-and-data-tables</vt:lpwstr>
      </vt:variant>
      <vt:variant>
        <vt:lpwstr/>
      </vt:variant>
      <vt:variant>
        <vt:i4>6815791</vt:i4>
      </vt:variant>
      <vt:variant>
        <vt:i4>156</vt:i4>
      </vt:variant>
      <vt:variant>
        <vt:i4>0</vt:i4>
      </vt:variant>
      <vt:variant>
        <vt:i4>5</vt:i4>
      </vt:variant>
      <vt:variant>
        <vt:lpwstr>http://www.spre.com.au/download/ExportsAustraliaStates2022.pdf</vt:lpwstr>
      </vt:variant>
      <vt:variant>
        <vt:lpwstr/>
      </vt:variant>
      <vt:variant>
        <vt:i4>7274530</vt:i4>
      </vt:variant>
      <vt:variant>
        <vt:i4>153</vt:i4>
      </vt:variant>
      <vt:variant>
        <vt:i4>0</vt:i4>
      </vt:variant>
      <vt:variant>
        <vt:i4>5</vt:i4>
      </vt:variant>
      <vt:variant>
        <vt:lpwstr>https://doi.org/10.57956/kxye-qd93</vt:lpwstr>
      </vt:variant>
      <vt:variant>
        <vt:lpwstr/>
      </vt:variant>
      <vt:variant>
        <vt:i4>196686</vt:i4>
      </vt:variant>
      <vt:variant>
        <vt:i4>150</vt:i4>
      </vt:variant>
      <vt:variant>
        <vt:i4>0</vt:i4>
      </vt:variant>
      <vt:variant>
        <vt:i4>5</vt:i4>
      </vt:variant>
      <vt:variant>
        <vt:lpwstr>https://labourmarketinsights.gov.au/media/b2ppdmvp/employment-outlook-industry-and-occupation-trends.pdf</vt:lpwstr>
      </vt:variant>
      <vt:variant>
        <vt:lpwstr/>
      </vt:variant>
      <vt:variant>
        <vt:i4>3473511</vt:i4>
      </vt:variant>
      <vt:variant>
        <vt:i4>147</vt:i4>
      </vt:variant>
      <vt:variant>
        <vt:i4>0</vt:i4>
      </vt:variant>
      <vt:variant>
        <vt:i4>5</vt:i4>
      </vt:variant>
      <vt:variant>
        <vt:lpwstr>https://www.jobsandskills.gov.au/publications/towards-national-jobs-and-skills-roadmap</vt:lpwstr>
      </vt:variant>
      <vt:variant>
        <vt:lpwstr/>
      </vt:variant>
      <vt:variant>
        <vt:i4>7405695</vt:i4>
      </vt:variant>
      <vt:variant>
        <vt:i4>144</vt:i4>
      </vt:variant>
      <vt:variant>
        <vt:i4>0</vt:i4>
      </vt:variant>
      <vt:variant>
        <vt:i4>5</vt:i4>
      </vt:variant>
      <vt:variant>
        <vt:lpwstr>https://www.jobsandskills.gov.au/data/skills-shortages-analysis</vt:lpwstr>
      </vt:variant>
      <vt:variant>
        <vt:lpwstr/>
      </vt:variant>
      <vt:variant>
        <vt:i4>8192046</vt:i4>
      </vt:variant>
      <vt:variant>
        <vt:i4>141</vt:i4>
      </vt:variant>
      <vt:variant>
        <vt:i4>0</vt:i4>
      </vt:variant>
      <vt:variant>
        <vt:i4>5</vt:i4>
      </vt:variant>
      <vt:variant>
        <vt:lpwstr>https://www.abs.gov.au/statistics/people/population/australias-population-country-birth/latest-release</vt:lpwstr>
      </vt:variant>
      <vt:variant>
        <vt:lpwstr/>
      </vt:variant>
      <vt:variant>
        <vt:i4>196700</vt:i4>
      </vt:variant>
      <vt:variant>
        <vt:i4>138</vt:i4>
      </vt:variant>
      <vt:variant>
        <vt:i4>0</vt:i4>
      </vt:variant>
      <vt:variant>
        <vt:i4>5</vt:i4>
      </vt:variant>
      <vt:variant>
        <vt:lpwstr>https://treasury.gov.au/sites/default/files/2023-08/p2023-435150.pdf</vt:lpwstr>
      </vt:variant>
      <vt:variant>
        <vt:lpwstr/>
      </vt:variant>
      <vt:variant>
        <vt:i4>327757</vt:i4>
      </vt:variant>
      <vt:variant>
        <vt:i4>135</vt:i4>
      </vt:variant>
      <vt:variant>
        <vt:i4>0</vt:i4>
      </vt:variant>
      <vt:variant>
        <vt:i4>5</vt:i4>
      </vt:variant>
      <vt:variant>
        <vt:lpwstr>https://population.gov.au/data-and-forecasts/projections/budget-2023-24-population-projections-australia-2022-23-2033-34</vt:lpwstr>
      </vt:variant>
      <vt:variant>
        <vt:lpwstr/>
      </vt:variant>
      <vt:variant>
        <vt:i4>1638483</vt:i4>
      </vt:variant>
      <vt:variant>
        <vt:i4>132</vt:i4>
      </vt:variant>
      <vt:variant>
        <vt:i4>0</vt:i4>
      </vt:variant>
      <vt:variant>
        <vt:i4>5</vt:i4>
      </vt:variant>
      <vt:variant>
        <vt:lpwstr>http://hdl.voced.edu.au/10707/659556</vt:lpwstr>
      </vt:variant>
      <vt:variant>
        <vt:lpwstr/>
      </vt:variant>
      <vt:variant>
        <vt:i4>1515642</vt:i4>
      </vt:variant>
      <vt:variant>
        <vt:i4>129</vt:i4>
      </vt:variant>
      <vt:variant>
        <vt:i4>0</vt:i4>
      </vt:variant>
      <vt:variant>
        <vt:i4>5</vt:i4>
      </vt:variant>
      <vt:variant>
        <vt:lpwstr>https://lismoreapp.com.au/news-sport/news/lismores-scu-temporary-home-site-now-open-for-flood-impacted‌-residents?id=63866b690ea5fe0150859a85</vt:lpwstr>
      </vt:variant>
      <vt:variant>
        <vt:lpwstr/>
      </vt:variant>
      <vt:variant>
        <vt:i4>7143474</vt:i4>
      </vt:variant>
      <vt:variant>
        <vt:i4>126</vt:i4>
      </vt:variant>
      <vt:variant>
        <vt:i4>0</vt:i4>
      </vt:variant>
      <vt:variant>
        <vt:i4>5</vt:i4>
      </vt:variant>
      <vt:variant>
        <vt:lpwstr>https://www.timeshighereducation.com/news/back-black-australian-universities-brace-bushfire-season</vt:lpwstr>
      </vt:variant>
      <vt:variant>
        <vt:lpwstr/>
      </vt:variant>
      <vt:variant>
        <vt:i4>2490492</vt:i4>
      </vt:variant>
      <vt:variant>
        <vt:i4>123</vt:i4>
      </vt:variant>
      <vt:variant>
        <vt:i4>0</vt:i4>
      </vt:variant>
      <vt:variant>
        <vt:i4>5</vt:i4>
      </vt:variant>
      <vt:variant>
        <vt:lpwstr>https://csrm.cass.anu.edu.au/research/publications/mapping-australian-higher-education-2023</vt:lpwstr>
      </vt:variant>
      <vt:variant>
        <vt:lpwstr/>
      </vt:variant>
      <vt:variant>
        <vt:i4>7536677</vt:i4>
      </vt:variant>
      <vt:variant>
        <vt:i4>120</vt:i4>
      </vt:variant>
      <vt:variant>
        <vt:i4>0</vt:i4>
      </vt:variant>
      <vt:variant>
        <vt:i4>5</vt:i4>
      </vt:variant>
      <vt:variant>
        <vt:lpwstr>https://www.legislation.gov.au/Details/F2022C00105</vt:lpwstr>
      </vt:variant>
      <vt:variant>
        <vt:lpwstr/>
      </vt:variant>
      <vt:variant>
        <vt:i4>3997749</vt:i4>
      </vt:variant>
      <vt:variant>
        <vt:i4>117</vt:i4>
      </vt:variant>
      <vt:variant>
        <vt:i4>0</vt:i4>
      </vt:variant>
      <vt:variant>
        <vt:i4>5</vt:i4>
      </vt:variant>
      <vt:variant>
        <vt:lpwstr>https://www.wipo.int/global_innovation_index/en/</vt:lpwstr>
      </vt:variant>
      <vt:variant>
        <vt:lpwstr/>
      </vt:variant>
      <vt:variant>
        <vt:i4>6946874</vt:i4>
      </vt:variant>
      <vt:variant>
        <vt:i4>114</vt:i4>
      </vt:variant>
      <vt:variant>
        <vt:i4>0</vt:i4>
      </vt:variant>
      <vt:variant>
        <vt:i4>5</vt:i4>
      </vt:variant>
      <vt:variant>
        <vt:lpwstr>https://data.oecd.org/rd/gross-domestic-spending-on-r-d.htm</vt:lpwstr>
      </vt:variant>
      <vt:variant>
        <vt:lpwstr/>
      </vt:variant>
      <vt:variant>
        <vt:i4>6946854</vt:i4>
      </vt:variant>
      <vt:variant>
        <vt:i4>111</vt:i4>
      </vt:variant>
      <vt:variant>
        <vt:i4>0</vt:i4>
      </vt:variant>
      <vt:variant>
        <vt:i4>5</vt:i4>
      </vt:variant>
      <vt:variant>
        <vt:lpwstr>https://www.timeshighereducation.com/news/australian-rd-investment-hits-17-year-low</vt:lpwstr>
      </vt:variant>
      <vt:variant>
        <vt:lpwstr/>
      </vt:variant>
      <vt:variant>
        <vt:i4>4063282</vt:i4>
      </vt:variant>
      <vt:variant>
        <vt:i4>108</vt:i4>
      </vt:variant>
      <vt:variant>
        <vt:i4>0</vt:i4>
      </vt:variant>
      <vt:variant>
        <vt:i4>5</vt:i4>
      </vt:variant>
      <vt:variant>
        <vt:lpwstr>https://dataportal.arc.gov.au/ERA/NationalReport/2018/</vt:lpwstr>
      </vt:variant>
      <vt:variant>
        <vt:lpwstr/>
      </vt:variant>
      <vt:variant>
        <vt:i4>1441817</vt:i4>
      </vt:variant>
      <vt:variant>
        <vt:i4>105</vt:i4>
      </vt:variant>
      <vt:variant>
        <vt:i4>0</vt:i4>
      </vt:variant>
      <vt:variant>
        <vt:i4>5</vt:i4>
      </vt:variant>
      <vt:variant>
        <vt:lpwstr>http://www.scival.com/collaboration/collabMetrics?uri=Country/36</vt:lpwstr>
      </vt:variant>
      <vt:variant>
        <vt:lpwstr/>
      </vt:variant>
      <vt:variant>
        <vt:i4>327764</vt:i4>
      </vt:variant>
      <vt:variant>
        <vt:i4>102</vt:i4>
      </vt:variant>
      <vt:variant>
        <vt:i4>0</vt:i4>
      </vt:variant>
      <vt:variant>
        <vt:i4>5</vt:i4>
      </vt:variant>
      <vt:variant>
        <vt:lpwstr>https://data.worldbank.org/indicator/SP.POP.TOTL</vt:lpwstr>
      </vt:variant>
      <vt:variant>
        <vt:lpwstr/>
      </vt:variant>
      <vt:variant>
        <vt:i4>2293814</vt:i4>
      </vt:variant>
      <vt:variant>
        <vt:i4>99</vt:i4>
      </vt:variant>
      <vt:variant>
        <vt:i4>0</vt:i4>
      </vt:variant>
      <vt:variant>
        <vt:i4>5</vt:i4>
      </vt:variant>
      <vt:variant>
        <vt:lpwstr>https://incites.clarivate.com/</vt:lpwstr>
      </vt:variant>
      <vt:variant>
        <vt:lpwstr>/analysis/0/organization</vt:lpwstr>
      </vt:variant>
      <vt:variant>
        <vt:i4>1572886</vt:i4>
      </vt:variant>
      <vt:variant>
        <vt:i4>96</vt:i4>
      </vt:variant>
      <vt:variant>
        <vt:i4>0</vt:i4>
      </vt:variant>
      <vt:variant>
        <vt:i4>5</vt:i4>
      </vt:variant>
      <vt:variant>
        <vt:lpwstr>https://www.abs.gov.au/statistics/industry/technology-and-innovation/research-and-experimental-development-government-and-private-non-profit-organisations-australia/2020-21</vt:lpwstr>
      </vt:variant>
      <vt:variant>
        <vt:lpwstr/>
      </vt:variant>
      <vt:variant>
        <vt:i4>3088397</vt:i4>
      </vt:variant>
      <vt:variant>
        <vt:i4>93</vt:i4>
      </vt:variant>
      <vt:variant>
        <vt:i4>0</vt:i4>
      </vt:variant>
      <vt:variant>
        <vt:i4>5</vt:i4>
      </vt:variant>
      <vt:variant>
        <vt:lpwstr>https://www.abs.gov.au/‌statistics/‌industry‌/technology-and-innovation/research-and-experimental-development-higher-education-organisations‌-‌australia/latest-release</vt:lpwstr>
      </vt:variant>
      <vt:variant>
        <vt:lpwstr/>
      </vt:variant>
      <vt:variant>
        <vt:i4>3932195</vt:i4>
      </vt:variant>
      <vt:variant>
        <vt:i4>90</vt:i4>
      </vt:variant>
      <vt:variant>
        <vt:i4>0</vt:i4>
      </vt:variant>
      <vt:variant>
        <vt:i4>5</vt:i4>
      </vt:variant>
      <vt:variant>
        <vt:lpwstr>https://www.industry.gov.au/publications/science-research-and-innovation-sri-budget-tables-2022-23</vt:lpwstr>
      </vt:variant>
      <vt:variant>
        <vt:lpwstr/>
      </vt:variant>
      <vt:variant>
        <vt:i4>2359344</vt:i4>
      </vt:variant>
      <vt:variant>
        <vt:i4>87</vt:i4>
      </vt:variant>
      <vt:variant>
        <vt:i4>0</vt:i4>
      </vt:variant>
      <vt:variant>
        <vt:i4>5</vt:i4>
      </vt:variant>
      <vt:variant>
        <vt:lpwstr>https://www.abs.gov.au/statistics/economy/national-accounts/australian-national-accounts-national-income-expenditure-and-product/latest-release</vt:lpwstr>
      </vt:variant>
      <vt:variant>
        <vt:lpwstr/>
      </vt:variant>
      <vt:variant>
        <vt:i4>7143460</vt:i4>
      </vt:variant>
      <vt:variant>
        <vt:i4>84</vt:i4>
      </vt:variant>
      <vt:variant>
        <vt:i4>0</vt:i4>
      </vt:variant>
      <vt:variant>
        <vt:i4>5</vt:i4>
      </vt:variant>
      <vt:variant>
        <vt:lpwstr>https://www.abs.gov.au/statistics/industry/technology-and-innovation/research-and-experimental-development-businesses-australia/latest-release</vt:lpwstr>
      </vt:variant>
      <vt:variant>
        <vt:lpwstr/>
      </vt:variant>
      <vt:variant>
        <vt:i4>6553709</vt:i4>
      </vt:variant>
      <vt:variant>
        <vt:i4>81</vt:i4>
      </vt:variant>
      <vt:variant>
        <vt:i4>0</vt:i4>
      </vt:variant>
      <vt:variant>
        <vt:i4>5</vt:i4>
      </vt:variant>
      <vt:variant>
        <vt:lpwstr>https://www.abs.gov.au/statistics/economy/price-indexes-and-inflation/consumer-price-index-australia/latest-release</vt:lpwstr>
      </vt:variant>
      <vt:variant>
        <vt:lpwstr/>
      </vt:variant>
      <vt:variant>
        <vt:i4>1572886</vt:i4>
      </vt:variant>
      <vt:variant>
        <vt:i4>78</vt:i4>
      </vt:variant>
      <vt:variant>
        <vt:i4>0</vt:i4>
      </vt:variant>
      <vt:variant>
        <vt:i4>5</vt:i4>
      </vt:variant>
      <vt:variant>
        <vt:lpwstr>https://www.oecd.org/sti/msti.htm</vt:lpwstr>
      </vt:variant>
      <vt:variant>
        <vt:lpwstr/>
      </vt:variant>
      <vt:variant>
        <vt:i4>7798898</vt:i4>
      </vt:variant>
      <vt:variant>
        <vt:i4>75</vt:i4>
      </vt:variant>
      <vt:variant>
        <vt:i4>0</vt:i4>
      </vt:variant>
      <vt:variant>
        <vt:i4>5</vt:i4>
      </vt:variant>
      <vt:variant>
        <vt:lpwstr>https://www.teqsa.gov.au/national-register</vt:lpwstr>
      </vt:variant>
      <vt:variant>
        <vt:lpwstr/>
      </vt:variant>
      <vt:variant>
        <vt:i4>3997808</vt:i4>
      </vt:variant>
      <vt:variant>
        <vt:i4>72</vt:i4>
      </vt:variant>
      <vt:variant>
        <vt:i4>0</vt:i4>
      </vt:variant>
      <vt:variant>
        <vt:i4>5</vt:i4>
      </vt:variant>
      <vt:variant>
        <vt:lpwstr>https://www.education.gov.au/research-translation-and-commercialisation-agenda</vt:lpwstr>
      </vt:variant>
      <vt:variant>
        <vt:lpwstr/>
      </vt:variant>
      <vt:variant>
        <vt:i4>7143460</vt:i4>
      </vt:variant>
      <vt:variant>
        <vt:i4>69</vt:i4>
      </vt:variant>
      <vt:variant>
        <vt:i4>0</vt:i4>
      </vt:variant>
      <vt:variant>
        <vt:i4>5</vt:i4>
      </vt:variant>
      <vt:variant>
        <vt:lpwstr>https://www.abs.gov.au/statistics/industry/technology-and-innovation/research-and-experimental-development-businesses-australia/latest-release</vt:lpwstr>
      </vt:variant>
      <vt:variant>
        <vt:lpwstr/>
      </vt:variant>
      <vt:variant>
        <vt:i4>1245273</vt:i4>
      </vt:variant>
      <vt:variant>
        <vt:i4>66</vt:i4>
      </vt:variant>
      <vt:variant>
        <vt:i4>0</vt:i4>
      </vt:variant>
      <vt:variant>
        <vt:i4>5</vt:i4>
      </vt:variant>
      <vt:variant>
        <vt:lpwstr>https://doi.org/10.1007/978-3-030-97837-2</vt:lpwstr>
      </vt:variant>
      <vt:variant>
        <vt:lpwstr/>
      </vt:variant>
      <vt:variant>
        <vt:i4>5701661</vt:i4>
      </vt:variant>
      <vt:variant>
        <vt:i4>63</vt:i4>
      </vt:variant>
      <vt:variant>
        <vt:i4>0</vt:i4>
      </vt:variant>
      <vt:variant>
        <vt:i4>5</vt:i4>
      </vt:variant>
      <vt:variant>
        <vt:lpwstr>https://www.voced.edu.au/content/ngv%3A53781</vt:lpwstr>
      </vt:variant>
      <vt:variant>
        <vt:lpwstr/>
      </vt:variant>
      <vt:variant>
        <vt:i4>1769553</vt:i4>
      </vt:variant>
      <vt:variant>
        <vt:i4>60</vt:i4>
      </vt:variant>
      <vt:variant>
        <vt:i4>0</vt:i4>
      </vt:variant>
      <vt:variant>
        <vt:i4>5</vt:i4>
      </vt:variant>
      <vt:variant>
        <vt:lpwstr>http://hdl.voced.edu.au/10707/228224</vt:lpwstr>
      </vt:variant>
      <vt:variant>
        <vt:lpwstr/>
      </vt:variant>
      <vt:variant>
        <vt:i4>2555952</vt:i4>
      </vt:variant>
      <vt:variant>
        <vt:i4>57</vt:i4>
      </vt:variant>
      <vt:variant>
        <vt:i4>0</vt:i4>
      </vt:variant>
      <vt:variant>
        <vt:i4>5</vt:i4>
      </vt:variant>
      <vt:variant>
        <vt:lpwstr>https://adb.anu.edu.au/biography/mills-richard-charles-7593</vt:lpwstr>
      </vt:variant>
      <vt:variant>
        <vt:lpwstr/>
      </vt:variant>
      <vt:variant>
        <vt:i4>3014777</vt:i4>
      </vt:variant>
      <vt:variant>
        <vt:i4>54</vt:i4>
      </vt:variant>
      <vt:variant>
        <vt:i4>0</vt:i4>
      </vt:variant>
      <vt:variant>
        <vt:i4>5</vt:i4>
      </vt:variant>
      <vt:variant>
        <vt:lpwstr>http://www.jstor.org/stable/3447236</vt:lpwstr>
      </vt:variant>
      <vt:variant>
        <vt:lpwstr/>
      </vt:variant>
      <vt:variant>
        <vt:i4>1704018</vt:i4>
      </vt:variant>
      <vt:variant>
        <vt:i4>51</vt:i4>
      </vt:variant>
      <vt:variant>
        <vt:i4>0</vt:i4>
      </vt:variant>
      <vt:variant>
        <vt:i4>5</vt:i4>
      </vt:variant>
      <vt:variant>
        <vt:lpwstr>http://hdl.voced.edu.au/10707/228215</vt:lpwstr>
      </vt:variant>
      <vt:variant>
        <vt:lpwstr/>
      </vt:variant>
      <vt:variant>
        <vt:i4>1507454</vt:i4>
      </vt:variant>
      <vt:variant>
        <vt:i4>48</vt:i4>
      </vt:variant>
      <vt:variant>
        <vt:i4>0</vt:i4>
      </vt:variant>
      <vt:variant>
        <vt:i4>5</vt:i4>
      </vt:variant>
      <vt:variant>
        <vt:lpwstr>https://www.abs.gov.au/AUSSTATS/abs@.nsf/DetailsPage/1301.01946-47?OpenDocument</vt:lpwstr>
      </vt:variant>
      <vt:variant>
        <vt:lpwstr/>
      </vt:variant>
      <vt:variant>
        <vt:i4>7340034</vt:i4>
      </vt:variant>
      <vt:variant>
        <vt:i4>45</vt:i4>
      </vt:variant>
      <vt:variant>
        <vt:i4>0</vt:i4>
      </vt:variant>
      <vt:variant>
        <vt:i4>5</vt:i4>
      </vt:variant>
      <vt:variant>
        <vt:lpwstr>https://research-repository.griffith.edu.au/bitstream/handle/10072/38922/65824_1.pdf?sequence=1</vt:lpwstr>
      </vt:variant>
      <vt:variant>
        <vt:lpwstr/>
      </vt:variant>
      <vt:variant>
        <vt:i4>8323175</vt:i4>
      </vt:variant>
      <vt:variant>
        <vt:i4>42</vt:i4>
      </vt:variant>
      <vt:variant>
        <vt:i4>0</vt:i4>
      </vt:variant>
      <vt:variant>
        <vt:i4>5</vt:i4>
      </vt:variant>
      <vt:variant>
        <vt:lpwstr>https://www.pc.gov.au/inquiries/completed/productivity/report/productivity-advancing-prosperity-all-volumes.pdf</vt:lpwstr>
      </vt:variant>
      <vt:variant>
        <vt:lpwstr/>
      </vt:variant>
      <vt:variant>
        <vt:i4>5505051</vt:i4>
      </vt:variant>
      <vt:variant>
        <vt:i4>39</vt:i4>
      </vt:variant>
      <vt:variant>
        <vt:i4>0</vt:i4>
      </vt:variant>
      <vt:variant>
        <vt:i4>5</vt:i4>
      </vt:variant>
      <vt:variant>
        <vt:lpwstr>https://www.education.gov.au/review-inform-better-and-fairer-education-system/resources/expert-panels-report</vt:lpwstr>
      </vt:variant>
      <vt:variant>
        <vt:lpwstr/>
      </vt:variant>
      <vt:variant>
        <vt:i4>393311</vt:i4>
      </vt:variant>
      <vt:variant>
        <vt:i4>36</vt:i4>
      </vt:variant>
      <vt:variant>
        <vt:i4>0</vt:i4>
      </vt:variant>
      <vt:variant>
        <vt:i4>5</vt:i4>
      </vt:variant>
      <vt:variant>
        <vt:lpwstr>https://cica.org.au/wp-content/uploads/The-Early-Years-Career-Development-for-Young-Children-Educators-Guide-October-2017.pdf</vt:lpwstr>
      </vt:variant>
      <vt:variant>
        <vt:lpwstr/>
      </vt:variant>
      <vt:variant>
        <vt:i4>1048654</vt:i4>
      </vt:variant>
      <vt:variant>
        <vt:i4>33</vt:i4>
      </vt:variant>
      <vt:variant>
        <vt:i4>0</vt:i4>
      </vt:variant>
      <vt:variant>
        <vt:i4>5</vt:i4>
      </vt:variant>
      <vt:variant>
        <vt:lpwstr>https://www.pc.gov.au/inquiries/completed/school-agreement/report</vt:lpwstr>
      </vt:variant>
      <vt:variant>
        <vt:lpwstr/>
      </vt:variant>
      <vt:variant>
        <vt:i4>2687009</vt:i4>
      </vt:variant>
      <vt:variant>
        <vt:i4>30</vt:i4>
      </vt:variant>
      <vt:variant>
        <vt:i4>0</vt:i4>
      </vt:variant>
      <vt:variant>
        <vt:i4>5</vt:i4>
      </vt:variant>
      <vt:variant>
        <vt:lpwstr>https://www.pc.gov.au/inquiries/current/childhood/draft</vt:lpwstr>
      </vt:variant>
      <vt:variant>
        <vt:lpwstr/>
      </vt:variant>
      <vt:variant>
        <vt:i4>7798821</vt:i4>
      </vt:variant>
      <vt:variant>
        <vt:i4>27</vt:i4>
      </vt:variant>
      <vt:variant>
        <vt:i4>0</vt:i4>
      </vt:variant>
      <vt:variant>
        <vt:i4>5</vt:i4>
      </vt:variant>
      <vt:variant>
        <vt:lpwstr>https://www.legislation.gov.au/Details/C2022C00005</vt:lpwstr>
      </vt:variant>
      <vt:variant>
        <vt:lpwstr/>
      </vt:variant>
      <vt:variant>
        <vt:i4>2555959</vt:i4>
      </vt:variant>
      <vt:variant>
        <vt:i4>24</vt:i4>
      </vt:variant>
      <vt:variant>
        <vt:i4>0</vt:i4>
      </vt:variant>
      <vt:variant>
        <vt:i4>5</vt:i4>
      </vt:variant>
      <vt:variant>
        <vt:lpwstr>https://www.homeaffairs.gov.au/reports-and-pubs/files/review-migration-system-final-report.pdf</vt:lpwstr>
      </vt:variant>
      <vt:variant>
        <vt:lpwstr/>
      </vt:variant>
      <vt:variant>
        <vt:i4>1245278</vt:i4>
      </vt:variant>
      <vt:variant>
        <vt:i4>21</vt:i4>
      </vt:variant>
      <vt:variant>
        <vt:i4>0</vt:i4>
      </vt:variant>
      <vt:variant>
        <vt:i4>5</vt:i4>
      </vt:variant>
      <vt:variant>
        <vt:lpwstr>https://www.abs.gov.au/statistics/economy/international-trade/balance-payments-and-international-investment-position-australia/latest-release</vt:lpwstr>
      </vt:variant>
      <vt:variant>
        <vt:lpwstr/>
      </vt:variant>
      <vt:variant>
        <vt:i4>7733359</vt:i4>
      </vt:variant>
      <vt:variant>
        <vt:i4>18</vt:i4>
      </vt:variant>
      <vt:variant>
        <vt:i4>0</vt:i4>
      </vt:variant>
      <vt:variant>
        <vt:i4>5</vt:i4>
      </vt:variant>
      <vt:variant>
        <vt:lpwstr>https://www.education.gov.au/higher-education-publications/resources/2021-higher-education-providers-finance-tables</vt:lpwstr>
      </vt:variant>
      <vt:variant>
        <vt:lpwstr/>
      </vt:variant>
      <vt:variant>
        <vt:i4>2752544</vt:i4>
      </vt:variant>
      <vt:variant>
        <vt:i4>15</vt:i4>
      </vt:variant>
      <vt:variant>
        <vt:i4>0</vt:i4>
      </vt:variant>
      <vt:variant>
        <vt:i4>5</vt:i4>
      </vt:variant>
      <vt:variant>
        <vt:lpwstr>https://www.education.gov.au/higher-education-statistics/resources/2022-section-2-all-students</vt:lpwstr>
      </vt:variant>
      <vt:variant>
        <vt:lpwstr/>
      </vt:variant>
      <vt:variant>
        <vt:i4>3866679</vt:i4>
      </vt:variant>
      <vt:variant>
        <vt:i4>12</vt:i4>
      </vt:variant>
      <vt:variant>
        <vt:i4>0</vt:i4>
      </vt:variant>
      <vt:variant>
        <vt:i4>5</vt:i4>
      </vt:variant>
      <vt:variant>
        <vt:lpwstr>https://www.qilt.edu.au/surveys/student-experience-survey-(ses)</vt:lpwstr>
      </vt:variant>
      <vt:variant>
        <vt:lpwstr/>
      </vt:variant>
      <vt:variant>
        <vt:i4>3211291</vt:i4>
      </vt:variant>
      <vt:variant>
        <vt:i4>9</vt:i4>
      </vt:variant>
      <vt:variant>
        <vt:i4>0</vt:i4>
      </vt:variant>
      <vt:variant>
        <vt:i4>5</vt:i4>
      </vt:variant>
      <vt:variant>
        <vt:lpwstr>https://melbourneinstitute.unimelb.edu.au/__data/assets/pdf_file/0011/4751741/wp2023n11.pdf</vt:lpwstr>
      </vt:variant>
      <vt:variant>
        <vt:lpwstr/>
      </vt:variant>
      <vt:variant>
        <vt:i4>7405575</vt:i4>
      </vt:variant>
      <vt:variant>
        <vt:i4>6</vt:i4>
      </vt:variant>
      <vt:variant>
        <vt:i4>0</vt:i4>
      </vt:variant>
      <vt:variant>
        <vt:i4>5</vt:i4>
      </vt:variant>
      <vt:variant>
        <vt:lpwstr>https://csrm.cass.anu.edu.au/sites/default/files/docs/2023/8/Attitudes_towards_education_in_Australia_-_For_web.pdf</vt:lpwstr>
      </vt:variant>
      <vt:variant>
        <vt:lpwstr/>
      </vt:variant>
      <vt:variant>
        <vt:i4>4980737</vt:i4>
      </vt:variant>
      <vt:variant>
        <vt:i4>3</vt:i4>
      </vt:variant>
      <vt:variant>
        <vt:i4>0</vt:i4>
      </vt:variant>
      <vt:variant>
        <vt:i4>5</vt:i4>
      </vt:variant>
      <vt:variant>
        <vt:lpwstr>https://www.education.gov.au/higher-education-statistics/resources/2022-section-5-liability-status-categories</vt:lpwstr>
      </vt:variant>
      <vt:variant>
        <vt:lpwstr/>
      </vt:variant>
      <vt:variant>
        <vt:i4>6684716</vt:i4>
      </vt:variant>
      <vt:variant>
        <vt:i4>0</vt:i4>
      </vt:variant>
      <vt:variant>
        <vt:i4>0</vt:i4>
      </vt:variant>
      <vt:variant>
        <vt:i4>5</vt:i4>
      </vt:variant>
      <vt:variant>
        <vt:lpwstr>http://www.education.gov.au/higher-education-statistics/resources/2022-section-11-equity-groups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Universities Accord – Interim Report</dc:title>
  <dc:subject/>
  <dc:creator>CHIPPERFIELD,Kate</dc:creator>
  <cp:keywords/>
  <dc:description/>
  <cp:lastModifiedBy>BRENNAN,Katherine</cp:lastModifiedBy>
  <cp:revision>6</cp:revision>
  <cp:lastPrinted>2024-01-08T08:41:00Z</cp:lastPrinted>
  <dcterms:created xsi:type="dcterms:W3CDTF">2024-02-23T05:44:00Z</dcterms:created>
  <dcterms:modified xsi:type="dcterms:W3CDTF">2024-02-23T05:54:00Z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0x010100E62089BA480C0446BB84ABD093B986E9</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y fmtid="{D5CDD505-2E9C-101B-9397-08002B2CF9AE}" pid="13" name="MediaServiceImageTags">
    <vt:lpwstr/>
  </property>
  <property fmtid="{D5CDD505-2E9C-101B-9397-08002B2CF9AE}" pid="14" name="MSIP_Label_8c3d088b-6243-4963-a2e2-8b321ab7f8fc_Enabled">
    <vt:lpwstr>true</vt:lpwstr>
  </property>
  <property fmtid="{D5CDD505-2E9C-101B-9397-08002B2CF9AE}" pid="15" name="MSIP_Label_8c3d088b-6243-4963-a2e2-8b321ab7f8fc_SetDate">
    <vt:lpwstr>2023-05-13T00:12:23Z</vt:lpwstr>
  </property>
  <property fmtid="{D5CDD505-2E9C-101B-9397-08002B2CF9AE}" pid="16" name="MSIP_Label_8c3d088b-6243-4963-a2e2-8b321ab7f8fc_Method">
    <vt:lpwstr>Standard</vt:lpwstr>
  </property>
  <property fmtid="{D5CDD505-2E9C-101B-9397-08002B2CF9AE}" pid="17" name="MSIP_Label_8c3d088b-6243-4963-a2e2-8b321ab7f8fc_Name">
    <vt:lpwstr>Trusted</vt:lpwstr>
  </property>
  <property fmtid="{D5CDD505-2E9C-101B-9397-08002B2CF9AE}" pid="18" name="MSIP_Label_8c3d088b-6243-4963-a2e2-8b321ab7f8fc_SiteId">
    <vt:lpwstr>d1323671-cdbe-4417-b4d4-bdb24b51316b</vt:lpwstr>
  </property>
  <property fmtid="{D5CDD505-2E9C-101B-9397-08002B2CF9AE}" pid="19" name="MSIP_Label_8c3d088b-6243-4963-a2e2-8b321ab7f8fc_ActionId">
    <vt:lpwstr>72c2341d-e11e-4379-b86a-06b3a4cbd167</vt:lpwstr>
  </property>
  <property fmtid="{D5CDD505-2E9C-101B-9397-08002B2CF9AE}" pid="20" name="MSIP_Label_8c3d088b-6243-4963-a2e2-8b321ab7f8fc_ContentBits">
    <vt:lpwstr>1</vt:lpwstr>
  </property>
</Properties>
</file>